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4BA5232">
      <w:pPr>
        <w:pStyle w:val="3"/>
        <w:jc w:val="center"/>
        <w:rPr>
          <w:rFonts w:ascii="Times New Roman" w:hAnsi="Times New Roman"/>
          <w:sz w:val="36"/>
          <w:szCs w:val="36"/>
          <w:highlight w:val="none"/>
        </w:rPr>
      </w:pPr>
    </w:p>
    <w:p w14:paraId="5AE1FD27">
      <w:pPr>
        <w:pStyle w:val="3"/>
        <w:spacing w:after="0" w:afterAutospacing="0"/>
        <w:jc w:val="center"/>
        <w:rPr>
          <w:rFonts w:hint="eastAsia" w:ascii="Times New Roman" w:hAnsi="Times New Roman"/>
          <w:sz w:val="48"/>
          <w:highlight w:val="none"/>
          <w:lang w:val="en-US" w:eastAsia="zh-CN"/>
        </w:rPr>
      </w:pPr>
      <w:bookmarkStart w:id="0" w:name="_Toc29870"/>
      <w:bookmarkStart w:id="1" w:name="_Toc20621"/>
      <w:bookmarkStart w:id="2" w:name="_Toc113023545"/>
      <w:bookmarkStart w:id="3" w:name="_Toc124511865"/>
      <w:bookmarkStart w:id="4" w:name="_Toc107238058"/>
      <w:bookmarkStart w:id="5" w:name="_Toc113023293"/>
      <w:bookmarkStart w:id="6" w:name="_Toc105659843"/>
      <w:r>
        <w:rPr>
          <w:rFonts w:hint="eastAsia" w:ascii="Times New Roman" w:hAnsi="Times New Roman"/>
          <w:sz w:val="48"/>
          <w:highlight w:val="none"/>
          <w:lang w:val="en-US" w:eastAsia="zh-CN"/>
        </w:rPr>
        <w:t>绥芬河市新区供热有限责任公司燃煤</w:t>
      </w:r>
      <w:bookmarkEnd w:id="0"/>
      <w:bookmarkEnd w:id="1"/>
    </w:p>
    <w:p w14:paraId="235F9353">
      <w:pPr>
        <w:pStyle w:val="3"/>
        <w:spacing w:after="0" w:afterAutospacing="0"/>
        <w:jc w:val="center"/>
        <w:rPr>
          <w:rFonts w:ascii="Times New Roman" w:hAnsi="Times New Roman"/>
          <w:sz w:val="48"/>
          <w:highlight w:val="none"/>
        </w:rPr>
      </w:pPr>
      <w:bookmarkStart w:id="7" w:name="_Toc14874"/>
      <w:bookmarkStart w:id="8" w:name="_Toc12089"/>
      <w:r>
        <w:rPr>
          <w:rFonts w:hint="eastAsia" w:ascii="Times New Roman" w:hAnsi="Times New Roman"/>
          <w:sz w:val="48"/>
          <w:highlight w:val="none"/>
          <w:lang w:val="en-US" w:eastAsia="zh-CN"/>
        </w:rPr>
        <w:t>供热锅炉建设项目</w:t>
      </w:r>
      <w:r>
        <w:rPr>
          <w:rFonts w:ascii="Times New Roman" w:hAnsi="Times New Roman"/>
          <w:sz w:val="48"/>
          <w:highlight w:val="none"/>
        </w:rPr>
        <w:t>环境影响报告书</w:t>
      </w:r>
      <w:bookmarkEnd w:id="2"/>
      <w:bookmarkEnd w:id="3"/>
      <w:bookmarkEnd w:id="4"/>
      <w:bookmarkEnd w:id="5"/>
      <w:bookmarkEnd w:id="6"/>
      <w:bookmarkEnd w:id="7"/>
      <w:bookmarkEnd w:id="8"/>
    </w:p>
    <w:p w14:paraId="689D496E">
      <w:pPr>
        <w:ind w:firstLine="0" w:firstLineChars="0"/>
        <w:jc w:val="center"/>
        <w:rPr>
          <w:rFonts w:ascii="Times New Roman" w:hAnsi="Times New Roman"/>
          <w:sz w:val="28"/>
          <w:highlight w:val="none"/>
        </w:rPr>
      </w:pPr>
    </w:p>
    <w:p w14:paraId="40A9C76F">
      <w:pPr>
        <w:ind w:firstLine="480"/>
        <w:rPr>
          <w:rFonts w:hint="eastAsia" w:ascii="Times New Roman" w:hAnsi="Times New Roman"/>
          <w:highlight w:val="none"/>
        </w:rPr>
      </w:pPr>
    </w:p>
    <w:p w14:paraId="0B6C2EBE">
      <w:pPr>
        <w:pStyle w:val="23"/>
        <w:ind w:firstLine="480"/>
        <w:rPr>
          <w:color w:val="auto"/>
          <w:highlight w:val="none"/>
        </w:rPr>
      </w:pPr>
    </w:p>
    <w:p w14:paraId="4CA9CE4A">
      <w:pPr>
        <w:pStyle w:val="7"/>
        <w:ind w:firstLine="480"/>
        <w:rPr>
          <w:rFonts w:hint="eastAsia" w:ascii="Times New Roman" w:hAnsi="Times New Roman"/>
          <w:highlight w:val="none"/>
        </w:rPr>
      </w:pPr>
    </w:p>
    <w:p w14:paraId="3D804D65">
      <w:pPr>
        <w:ind w:firstLine="480"/>
        <w:rPr>
          <w:highlight w:val="none"/>
        </w:rPr>
      </w:pPr>
    </w:p>
    <w:p w14:paraId="1D91424A">
      <w:pPr>
        <w:ind w:firstLine="480"/>
        <w:rPr>
          <w:rFonts w:ascii="Times New Roman" w:hAnsi="Times New Roman"/>
          <w:highlight w:val="none"/>
        </w:rPr>
      </w:pPr>
    </w:p>
    <w:p w14:paraId="2A221C49">
      <w:pPr>
        <w:pStyle w:val="23"/>
        <w:ind w:firstLine="480"/>
        <w:rPr>
          <w:rFonts w:ascii="Times New Roman" w:hAnsi="Times New Roman"/>
          <w:color w:val="auto"/>
          <w:highlight w:val="none"/>
        </w:rPr>
      </w:pPr>
    </w:p>
    <w:p w14:paraId="7E98D2E0">
      <w:pPr>
        <w:ind w:firstLine="480"/>
        <w:rPr>
          <w:rFonts w:ascii="Times New Roman" w:hAnsi="Times New Roman"/>
          <w:highlight w:val="none"/>
        </w:rPr>
      </w:pPr>
    </w:p>
    <w:p w14:paraId="7597B240">
      <w:pPr>
        <w:ind w:firstLine="480"/>
        <w:rPr>
          <w:rFonts w:ascii="Times New Roman" w:hAnsi="Times New Roman"/>
          <w:highlight w:val="none"/>
        </w:rPr>
      </w:pPr>
    </w:p>
    <w:p w14:paraId="52C25A0B">
      <w:pPr>
        <w:ind w:firstLine="480"/>
        <w:rPr>
          <w:rFonts w:ascii="Times New Roman" w:hAnsi="Times New Roman"/>
          <w:highlight w:val="none"/>
        </w:rPr>
      </w:pPr>
    </w:p>
    <w:p w14:paraId="1B108F7F">
      <w:pPr>
        <w:ind w:firstLine="480"/>
        <w:rPr>
          <w:rFonts w:ascii="Times New Roman" w:hAnsi="Times New Roman"/>
          <w:highlight w:val="none"/>
        </w:rPr>
      </w:pPr>
    </w:p>
    <w:p w14:paraId="0167A8B8">
      <w:pPr>
        <w:ind w:firstLine="480"/>
        <w:rPr>
          <w:rFonts w:ascii="Times New Roman" w:hAnsi="Times New Roman"/>
          <w:highlight w:val="none"/>
        </w:rPr>
      </w:pPr>
    </w:p>
    <w:p w14:paraId="7E0B5D55">
      <w:pPr>
        <w:ind w:firstLine="0" w:firstLineChars="0"/>
        <w:jc w:val="center"/>
        <w:rPr>
          <w:rFonts w:ascii="Times New Roman" w:hAnsi="Times New Roman"/>
          <w:sz w:val="32"/>
          <w:highlight w:val="none"/>
        </w:rPr>
      </w:pPr>
      <w:r>
        <w:rPr>
          <w:rFonts w:ascii="Times New Roman" w:hAnsi="Times New Roman"/>
          <w:sz w:val="32"/>
          <w:highlight w:val="none"/>
        </w:rPr>
        <w:t>建设单位：</w:t>
      </w:r>
      <w:r>
        <w:rPr>
          <w:rFonts w:hint="eastAsia" w:ascii="Times New Roman" w:hAnsi="Times New Roman"/>
          <w:sz w:val="32"/>
          <w:highlight w:val="none"/>
          <w:lang w:val="en-US" w:eastAsia="zh-CN"/>
        </w:rPr>
        <w:t>绥芬河市新区供热有限责任</w:t>
      </w:r>
      <w:r>
        <w:rPr>
          <w:rFonts w:ascii="Times New Roman" w:hAnsi="Times New Roman"/>
          <w:sz w:val="32"/>
          <w:highlight w:val="none"/>
        </w:rPr>
        <w:t>公司</w:t>
      </w:r>
    </w:p>
    <w:p w14:paraId="59AAF560">
      <w:pPr>
        <w:ind w:firstLine="0" w:firstLineChars="0"/>
        <w:jc w:val="center"/>
        <w:rPr>
          <w:rFonts w:ascii="Times New Roman" w:hAnsi="Times New Roman"/>
          <w:sz w:val="32"/>
          <w:highlight w:val="none"/>
        </w:rPr>
      </w:pPr>
      <w:r>
        <w:rPr>
          <w:rFonts w:ascii="Times New Roman" w:hAnsi="Times New Roman"/>
          <w:sz w:val="32"/>
          <w:highlight w:val="none"/>
        </w:rPr>
        <w:t>编制单位：黑龙江</w:t>
      </w:r>
      <w:r>
        <w:rPr>
          <w:rFonts w:hint="eastAsia" w:ascii="Times New Roman" w:hAnsi="Times New Roman"/>
          <w:sz w:val="32"/>
          <w:highlight w:val="none"/>
          <w:lang w:val="en-US" w:eastAsia="zh-CN"/>
        </w:rPr>
        <w:t>克巽检测技术</w:t>
      </w:r>
      <w:r>
        <w:rPr>
          <w:rFonts w:ascii="Times New Roman" w:hAnsi="Times New Roman"/>
          <w:sz w:val="32"/>
          <w:highlight w:val="none"/>
        </w:rPr>
        <w:t>有限公司</w:t>
      </w:r>
    </w:p>
    <w:p w14:paraId="43786C00">
      <w:pPr>
        <w:ind w:firstLine="0" w:firstLineChars="0"/>
        <w:jc w:val="center"/>
        <w:rPr>
          <w:rFonts w:ascii="Times New Roman" w:hAnsi="Times New Roman"/>
          <w:highlight w:val="none"/>
        </w:rPr>
      </w:pPr>
    </w:p>
    <w:p w14:paraId="148D3516">
      <w:pPr>
        <w:ind w:firstLine="0" w:firstLineChars="0"/>
        <w:jc w:val="center"/>
        <w:rPr>
          <w:rFonts w:ascii="Times New Roman" w:hAnsi="Times New Roman"/>
          <w:sz w:val="32"/>
          <w:highlight w:val="none"/>
        </w:rPr>
      </w:pPr>
      <w:r>
        <w:rPr>
          <w:rFonts w:ascii="Times New Roman" w:hAnsi="Times New Roman"/>
          <w:sz w:val="32"/>
          <w:highlight w:val="none"/>
        </w:rPr>
        <w:t>编制日期：202</w:t>
      </w:r>
      <w:r>
        <w:rPr>
          <w:rFonts w:hint="eastAsia" w:ascii="Times New Roman" w:hAnsi="Times New Roman"/>
          <w:sz w:val="32"/>
          <w:highlight w:val="none"/>
          <w:lang w:val="en-US" w:eastAsia="zh-CN"/>
        </w:rPr>
        <w:t>5</w:t>
      </w:r>
      <w:r>
        <w:rPr>
          <w:rFonts w:ascii="Times New Roman" w:hAnsi="Times New Roman"/>
          <w:sz w:val="32"/>
          <w:highlight w:val="none"/>
        </w:rPr>
        <w:t>年</w:t>
      </w:r>
      <w:r>
        <w:rPr>
          <w:rFonts w:hint="eastAsia" w:ascii="Times New Roman" w:hAnsi="Times New Roman"/>
          <w:sz w:val="32"/>
          <w:highlight w:val="none"/>
          <w:lang w:val="en-US" w:eastAsia="zh-CN"/>
        </w:rPr>
        <w:t>10</w:t>
      </w:r>
      <w:r>
        <w:rPr>
          <w:rFonts w:ascii="Times New Roman" w:hAnsi="Times New Roman"/>
          <w:sz w:val="32"/>
          <w:highlight w:val="none"/>
        </w:rPr>
        <w:t>月</w:t>
      </w:r>
    </w:p>
    <w:p w14:paraId="541942AF">
      <w:pPr>
        <w:rPr>
          <w:highlight w:val="none"/>
        </w:rPr>
      </w:pPr>
    </w:p>
    <w:p w14:paraId="721A2F76">
      <w:pPr>
        <w:pStyle w:val="23"/>
        <w:rPr>
          <w:highlight w:val="none"/>
        </w:rPr>
      </w:pPr>
    </w:p>
    <w:p w14:paraId="1CCB4CA1">
      <w:pPr>
        <w:rPr>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sdt>
      <w:sdtPr>
        <w:rPr>
          <w:rFonts w:ascii="宋体" w:hAnsi="宋体" w:eastAsia="宋体" w:cs="Times New Roman"/>
          <w:kern w:val="2"/>
          <w:sz w:val="21"/>
          <w:szCs w:val="22"/>
          <w:highlight w:val="none"/>
          <w:lang w:val="en-US" w:eastAsia="zh-CN" w:bidi="ar-SA"/>
        </w:rPr>
        <w:id w:val="147469389"/>
        <w15:color w:val="DBDBDB"/>
        <w:docPartObj>
          <w:docPartGallery w:val="Table of Contents"/>
          <w:docPartUnique/>
        </w:docPartObj>
      </w:sdtPr>
      <w:sdtEndPr>
        <w:rPr>
          <w:rFonts w:ascii="Times New Roman" w:hAnsi="Times New Roman" w:eastAsia="宋体" w:cs="Times New Roman"/>
          <w:kern w:val="2"/>
          <w:sz w:val="21"/>
          <w:szCs w:val="24"/>
          <w:highlight w:val="none"/>
          <w:lang w:val="en-US" w:eastAsia="zh-CN" w:bidi="ar-SA"/>
        </w:rPr>
      </w:sdtEndPr>
      <w:sdtContent>
        <w:p w14:paraId="5FC9B4F6">
          <w:pPr>
            <w:spacing w:before="0" w:beforeLines="0" w:after="0" w:afterLines="0" w:line="240" w:lineRule="auto"/>
            <w:ind w:left="0" w:leftChars="0" w:right="0" w:rightChars="0" w:firstLine="0" w:firstLineChars="0"/>
            <w:jc w:val="center"/>
            <w:rPr>
              <w:highlight w:val="none"/>
            </w:rPr>
          </w:pPr>
          <w:r>
            <w:rPr>
              <w:rFonts w:ascii="宋体" w:hAnsi="宋体" w:eastAsia="宋体"/>
              <w:sz w:val="28"/>
              <w:szCs w:val="28"/>
              <w:highlight w:val="none"/>
            </w:rPr>
            <w:t>目</w:t>
          </w:r>
          <w:r>
            <w:rPr>
              <w:rFonts w:hint="eastAsia" w:ascii="宋体" w:hAnsi="宋体" w:eastAsia="宋体"/>
              <w:sz w:val="28"/>
              <w:szCs w:val="28"/>
              <w:highlight w:val="none"/>
              <w:lang w:val="en-US" w:eastAsia="zh-CN"/>
            </w:rPr>
            <w:t xml:space="preserve">  </w:t>
          </w:r>
          <w:r>
            <w:rPr>
              <w:rFonts w:ascii="宋体" w:hAnsi="宋体" w:eastAsia="宋体"/>
              <w:sz w:val="28"/>
              <w:szCs w:val="28"/>
              <w:highlight w:val="none"/>
            </w:rPr>
            <w:t>录</w:t>
          </w:r>
        </w:p>
        <w:p w14:paraId="0268ECF2">
          <w:pPr>
            <w:pStyle w:val="11"/>
            <w:spacing w:line="240" w:lineRule="auto"/>
            <w:rPr>
              <w:highlight w:val="none"/>
            </w:rPr>
          </w:pPr>
          <w:r>
            <w:rPr>
              <w:rFonts w:hint="eastAsia"/>
              <w:sz w:val="21"/>
              <w:szCs w:val="21"/>
              <w:highlight w:val="none"/>
              <w:lang w:eastAsia="zh-CN"/>
            </w:rPr>
            <w:tab/>
          </w:r>
          <w:r>
            <w:rPr>
              <w:sz w:val="21"/>
              <w:szCs w:val="21"/>
              <w:highlight w:val="none"/>
            </w:rPr>
            <w:fldChar w:fldCharType="begin"/>
          </w:r>
          <w:r>
            <w:rPr>
              <w:sz w:val="21"/>
              <w:szCs w:val="21"/>
              <w:highlight w:val="none"/>
            </w:rPr>
            <w:instrText xml:space="preserve">TOC \o "1-3" \h \u </w:instrText>
          </w:r>
          <w:r>
            <w:rPr>
              <w:sz w:val="21"/>
              <w:szCs w:val="21"/>
              <w:highlight w:val="none"/>
            </w:rPr>
            <w:fldChar w:fldCharType="separate"/>
          </w:r>
        </w:p>
        <w:p w14:paraId="7E461C37">
          <w:pPr>
            <w:pStyle w:val="14"/>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_Toc10328 </w:instrText>
          </w:r>
          <w:r>
            <w:rPr>
              <w:sz w:val="21"/>
              <w:szCs w:val="21"/>
              <w:highlight w:val="none"/>
            </w:rPr>
            <w:fldChar w:fldCharType="separate"/>
          </w:r>
          <w:r>
            <w:rPr>
              <w:rFonts w:hint="eastAsia"/>
              <w:sz w:val="21"/>
              <w:szCs w:val="21"/>
              <w:highlight w:val="none"/>
              <w:lang w:val="en-US" w:eastAsia="zh-CN"/>
            </w:rPr>
            <w:t>1概述</w:t>
          </w:r>
          <w:r>
            <w:rPr>
              <w:sz w:val="21"/>
              <w:szCs w:val="21"/>
              <w:highlight w:val="none"/>
            </w:rPr>
            <w:tab/>
          </w:r>
          <w:r>
            <w:rPr>
              <w:sz w:val="21"/>
              <w:szCs w:val="21"/>
              <w:highlight w:val="none"/>
            </w:rPr>
            <w:fldChar w:fldCharType="begin"/>
          </w:r>
          <w:r>
            <w:rPr>
              <w:sz w:val="21"/>
              <w:szCs w:val="21"/>
              <w:highlight w:val="none"/>
            </w:rPr>
            <w:instrText xml:space="preserve"> PAGEREF _Toc10328 \h </w:instrText>
          </w:r>
          <w:r>
            <w:rPr>
              <w:sz w:val="21"/>
              <w:szCs w:val="21"/>
              <w:highlight w:val="none"/>
            </w:rPr>
            <w:fldChar w:fldCharType="separate"/>
          </w:r>
          <w:r>
            <w:rPr>
              <w:sz w:val="21"/>
              <w:szCs w:val="21"/>
              <w:highlight w:val="none"/>
            </w:rPr>
            <w:t>1</w:t>
          </w:r>
          <w:r>
            <w:rPr>
              <w:sz w:val="21"/>
              <w:szCs w:val="21"/>
              <w:highlight w:val="none"/>
            </w:rPr>
            <w:fldChar w:fldCharType="end"/>
          </w:r>
          <w:r>
            <w:rPr>
              <w:sz w:val="21"/>
              <w:szCs w:val="21"/>
              <w:highlight w:val="none"/>
            </w:rPr>
            <w:fldChar w:fldCharType="end"/>
          </w:r>
        </w:p>
        <w:p w14:paraId="547186BB">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_Toc19465 </w:instrText>
          </w:r>
          <w:r>
            <w:rPr>
              <w:sz w:val="21"/>
              <w:szCs w:val="21"/>
              <w:highlight w:val="none"/>
            </w:rPr>
            <w:fldChar w:fldCharType="separate"/>
          </w:r>
          <w:r>
            <w:rPr>
              <w:rFonts w:hint="eastAsia"/>
              <w:sz w:val="21"/>
              <w:szCs w:val="21"/>
              <w:highlight w:val="none"/>
              <w:lang w:val="en-US" w:eastAsia="zh-CN"/>
            </w:rPr>
            <w:t>1.1建设项目由来</w:t>
          </w:r>
          <w:r>
            <w:rPr>
              <w:sz w:val="21"/>
              <w:szCs w:val="21"/>
              <w:highlight w:val="none"/>
            </w:rPr>
            <w:tab/>
          </w:r>
          <w:r>
            <w:rPr>
              <w:sz w:val="21"/>
              <w:szCs w:val="21"/>
              <w:highlight w:val="none"/>
            </w:rPr>
            <w:fldChar w:fldCharType="begin"/>
          </w:r>
          <w:r>
            <w:rPr>
              <w:sz w:val="21"/>
              <w:szCs w:val="21"/>
              <w:highlight w:val="none"/>
            </w:rPr>
            <w:instrText xml:space="preserve"> PAGEREF _Toc19465 \h </w:instrText>
          </w:r>
          <w:r>
            <w:rPr>
              <w:sz w:val="21"/>
              <w:szCs w:val="21"/>
              <w:highlight w:val="none"/>
            </w:rPr>
            <w:fldChar w:fldCharType="separate"/>
          </w:r>
          <w:r>
            <w:rPr>
              <w:sz w:val="21"/>
              <w:szCs w:val="21"/>
              <w:highlight w:val="none"/>
            </w:rPr>
            <w:t>1</w:t>
          </w:r>
          <w:r>
            <w:rPr>
              <w:sz w:val="21"/>
              <w:szCs w:val="21"/>
              <w:highlight w:val="none"/>
            </w:rPr>
            <w:fldChar w:fldCharType="end"/>
          </w:r>
          <w:r>
            <w:rPr>
              <w:sz w:val="21"/>
              <w:szCs w:val="21"/>
              <w:highlight w:val="none"/>
            </w:rPr>
            <w:fldChar w:fldCharType="end"/>
          </w:r>
        </w:p>
        <w:p w14:paraId="2B75D061">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_Toc22503 </w:instrText>
          </w:r>
          <w:r>
            <w:rPr>
              <w:sz w:val="21"/>
              <w:szCs w:val="21"/>
              <w:highlight w:val="none"/>
            </w:rPr>
            <w:fldChar w:fldCharType="separate"/>
          </w:r>
          <w:r>
            <w:rPr>
              <w:rFonts w:hint="eastAsia"/>
              <w:sz w:val="21"/>
              <w:szCs w:val="21"/>
              <w:highlight w:val="none"/>
              <w:lang w:val="en-US" w:eastAsia="zh-CN"/>
            </w:rPr>
            <w:t>1.2</w:t>
          </w:r>
          <w:r>
            <w:rPr>
              <w:rFonts w:ascii="Times New Roman" w:hAnsi="Times New Roman"/>
              <w:sz w:val="21"/>
              <w:szCs w:val="21"/>
              <w:highlight w:val="none"/>
            </w:rPr>
            <w:t>建设项目的特点</w:t>
          </w:r>
          <w:r>
            <w:rPr>
              <w:sz w:val="21"/>
              <w:szCs w:val="21"/>
              <w:highlight w:val="none"/>
            </w:rPr>
            <w:tab/>
          </w:r>
          <w:r>
            <w:rPr>
              <w:sz w:val="21"/>
              <w:szCs w:val="21"/>
              <w:highlight w:val="none"/>
            </w:rPr>
            <w:fldChar w:fldCharType="begin"/>
          </w:r>
          <w:r>
            <w:rPr>
              <w:sz w:val="21"/>
              <w:szCs w:val="21"/>
              <w:highlight w:val="none"/>
            </w:rPr>
            <w:instrText xml:space="preserve"> PAGEREF _Toc22503 \h </w:instrText>
          </w:r>
          <w:r>
            <w:rPr>
              <w:sz w:val="21"/>
              <w:szCs w:val="21"/>
              <w:highlight w:val="none"/>
            </w:rPr>
            <w:fldChar w:fldCharType="separate"/>
          </w:r>
          <w:r>
            <w:rPr>
              <w:sz w:val="21"/>
              <w:szCs w:val="21"/>
              <w:highlight w:val="none"/>
            </w:rPr>
            <w:t>2</w:t>
          </w:r>
          <w:r>
            <w:rPr>
              <w:sz w:val="21"/>
              <w:szCs w:val="21"/>
              <w:highlight w:val="none"/>
            </w:rPr>
            <w:fldChar w:fldCharType="end"/>
          </w:r>
          <w:r>
            <w:rPr>
              <w:sz w:val="21"/>
              <w:szCs w:val="21"/>
              <w:highlight w:val="none"/>
            </w:rPr>
            <w:fldChar w:fldCharType="end"/>
          </w:r>
        </w:p>
        <w:p w14:paraId="7BB775E9">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_Toc18669 </w:instrText>
          </w:r>
          <w:r>
            <w:rPr>
              <w:sz w:val="21"/>
              <w:szCs w:val="21"/>
              <w:highlight w:val="none"/>
            </w:rPr>
            <w:fldChar w:fldCharType="separate"/>
          </w:r>
          <w:r>
            <w:rPr>
              <w:rFonts w:hint="eastAsia"/>
              <w:sz w:val="21"/>
              <w:szCs w:val="21"/>
              <w:highlight w:val="none"/>
              <w:lang w:val="en-US" w:eastAsia="zh-CN"/>
            </w:rPr>
            <w:t>1.3环境影响评价工作过程</w:t>
          </w:r>
          <w:r>
            <w:rPr>
              <w:sz w:val="21"/>
              <w:szCs w:val="21"/>
              <w:highlight w:val="none"/>
            </w:rPr>
            <w:tab/>
          </w:r>
          <w:r>
            <w:rPr>
              <w:sz w:val="21"/>
              <w:szCs w:val="21"/>
              <w:highlight w:val="none"/>
            </w:rPr>
            <w:fldChar w:fldCharType="begin"/>
          </w:r>
          <w:r>
            <w:rPr>
              <w:sz w:val="21"/>
              <w:szCs w:val="21"/>
              <w:highlight w:val="none"/>
            </w:rPr>
            <w:instrText xml:space="preserve"> PAGEREF _Toc18669 \h </w:instrText>
          </w:r>
          <w:r>
            <w:rPr>
              <w:sz w:val="21"/>
              <w:szCs w:val="21"/>
              <w:highlight w:val="none"/>
            </w:rPr>
            <w:fldChar w:fldCharType="separate"/>
          </w:r>
          <w:r>
            <w:rPr>
              <w:sz w:val="21"/>
              <w:szCs w:val="21"/>
              <w:highlight w:val="none"/>
            </w:rPr>
            <w:t>3</w:t>
          </w:r>
          <w:r>
            <w:rPr>
              <w:sz w:val="21"/>
              <w:szCs w:val="21"/>
              <w:highlight w:val="none"/>
            </w:rPr>
            <w:fldChar w:fldCharType="end"/>
          </w:r>
          <w:r>
            <w:rPr>
              <w:sz w:val="21"/>
              <w:szCs w:val="21"/>
              <w:highlight w:val="none"/>
            </w:rPr>
            <w:fldChar w:fldCharType="end"/>
          </w:r>
        </w:p>
        <w:p w14:paraId="0AFB9C34">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_Toc2984 </w:instrText>
          </w:r>
          <w:r>
            <w:rPr>
              <w:sz w:val="21"/>
              <w:szCs w:val="21"/>
              <w:highlight w:val="none"/>
            </w:rPr>
            <w:fldChar w:fldCharType="separate"/>
          </w:r>
          <w:r>
            <w:rPr>
              <w:rFonts w:hint="eastAsia"/>
              <w:sz w:val="21"/>
              <w:szCs w:val="21"/>
              <w:highlight w:val="none"/>
              <w:lang w:val="en-US" w:eastAsia="zh-CN"/>
            </w:rPr>
            <w:t>1.4分析判定相关情况</w:t>
          </w:r>
          <w:r>
            <w:rPr>
              <w:sz w:val="21"/>
              <w:szCs w:val="21"/>
              <w:highlight w:val="none"/>
            </w:rPr>
            <w:tab/>
          </w:r>
          <w:r>
            <w:rPr>
              <w:sz w:val="21"/>
              <w:szCs w:val="21"/>
              <w:highlight w:val="none"/>
            </w:rPr>
            <w:fldChar w:fldCharType="begin"/>
          </w:r>
          <w:r>
            <w:rPr>
              <w:sz w:val="21"/>
              <w:szCs w:val="21"/>
              <w:highlight w:val="none"/>
            </w:rPr>
            <w:instrText xml:space="preserve"> PAGEREF _Toc2984 \h </w:instrText>
          </w:r>
          <w:r>
            <w:rPr>
              <w:sz w:val="21"/>
              <w:szCs w:val="21"/>
              <w:highlight w:val="none"/>
            </w:rPr>
            <w:fldChar w:fldCharType="separate"/>
          </w:r>
          <w:r>
            <w:rPr>
              <w:sz w:val="21"/>
              <w:szCs w:val="21"/>
              <w:highlight w:val="none"/>
            </w:rPr>
            <w:t>5</w:t>
          </w:r>
          <w:r>
            <w:rPr>
              <w:sz w:val="21"/>
              <w:szCs w:val="21"/>
              <w:highlight w:val="none"/>
            </w:rPr>
            <w:fldChar w:fldCharType="end"/>
          </w:r>
          <w:r>
            <w:rPr>
              <w:sz w:val="21"/>
              <w:szCs w:val="21"/>
              <w:highlight w:val="none"/>
            </w:rPr>
            <w:fldChar w:fldCharType="end"/>
          </w:r>
        </w:p>
        <w:p w14:paraId="50ECA7D6">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_Toc18177 </w:instrText>
          </w:r>
          <w:r>
            <w:rPr>
              <w:sz w:val="21"/>
              <w:szCs w:val="21"/>
              <w:highlight w:val="none"/>
            </w:rPr>
            <w:fldChar w:fldCharType="separate"/>
          </w:r>
          <w:r>
            <w:rPr>
              <w:rFonts w:hint="default" w:ascii="Times New Roman" w:hAnsi="Times New Roman" w:cs="Times New Roman"/>
              <w:sz w:val="21"/>
              <w:szCs w:val="21"/>
              <w:highlight w:val="none"/>
              <w:lang w:val="en-US" w:eastAsia="zh-CN"/>
            </w:rPr>
            <w:t>1.4.1</w:t>
          </w:r>
          <w:r>
            <w:rPr>
              <w:rFonts w:ascii="Times New Roman" w:hAnsi="Times New Roman"/>
              <w:sz w:val="21"/>
              <w:szCs w:val="21"/>
              <w:highlight w:val="none"/>
            </w:rPr>
            <w:t>与《产业结构调整指导目录（</w:t>
          </w:r>
          <w:r>
            <w:rPr>
              <w:rFonts w:hint="eastAsia" w:ascii="Times New Roman" w:hAnsi="Times New Roman"/>
              <w:sz w:val="21"/>
              <w:szCs w:val="21"/>
              <w:highlight w:val="none"/>
              <w:lang w:val="en-US" w:eastAsia="zh-CN"/>
            </w:rPr>
            <w:t>2024</w:t>
          </w:r>
          <w:r>
            <w:rPr>
              <w:rFonts w:ascii="Times New Roman" w:hAnsi="Times New Roman"/>
              <w:sz w:val="21"/>
              <w:szCs w:val="21"/>
              <w:highlight w:val="none"/>
            </w:rPr>
            <w:t>年本）》的符合性</w:t>
          </w:r>
          <w:r>
            <w:rPr>
              <w:rFonts w:hint="eastAsia" w:ascii="Times New Roman" w:hAnsi="Times New Roman"/>
              <w:sz w:val="21"/>
              <w:szCs w:val="21"/>
              <w:highlight w:val="none"/>
              <w:lang w:val="en-US" w:eastAsia="zh-CN"/>
            </w:rPr>
            <w:t>分析</w:t>
          </w:r>
          <w:r>
            <w:rPr>
              <w:sz w:val="21"/>
              <w:szCs w:val="21"/>
              <w:highlight w:val="none"/>
            </w:rPr>
            <w:tab/>
          </w:r>
          <w:r>
            <w:rPr>
              <w:sz w:val="21"/>
              <w:szCs w:val="21"/>
              <w:highlight w:val="none"/>
            </w:rPr>
            <w:fldChar w:fldCharType="begin"/>
          </w:r>
          <w:r>
            <w:rPr>
              <w:sz w:val="21"/>
              <w:szCs w:val="21"/>
              <w:highlight w:val="none"/>
            </w:rPr>
            <w:instrText xml:space="preserve"> PAGEREF _Toc18177 \h </w:instrText>
          </w:r>
          <w:r>
            <w:rPr>
              <w:sz w:val="21"/>
              <w:szCs w:val="21"/>
              <w:highlight w:val="none"/>
            </w:rPr>
            <w:fldChar w:fldCharType="separate"/>
          </w:r>
          <w:r>
            <w:rPr>
              <w:sz w:val="21"/>
              <w:szCs w:val="21"/>
              <w:highlight w:val="none"/>
            </w:rPr>
            <w:t>5</w:t>
          </w:r>
          <w:r>
            <w:rPr>
              <w:sz w:val="21"/>
              <w:szCs w:val="21"/>
              <w:highlight w:val="none"/>
            </w:rPr>
            <w:fldChar w:fldCharType="end"/>
          </w:r>
          <w:r>
            <w:rPr>
              <w:sz w:val="21"/>
              <w:szCs w:val="21"/>
              <w:highlight w:val="none"/>
            </w:rPr>
            <w:fldChar w:fldCharType="end"/>
          </w:r>
        </w:p>
        <w:p w14:paraId="085F636B">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_Toc31624 </w:instrText>
          </w:r>
          <w:r>
            <w:rPr>
              <w:sz w:val="21"/>
              <w:szCs w:val="21"/>
              <w:highlight w:val="none"/>
            </w:rPr>
            <w:fldChar w:fldCharType="separate"/>
          </w:r>
          <w:r>
            <w:rPr>
              <w:rFonts w:hint="eastAsia" w:ascii="Times New Roman" w:hAnsi="Times New Roman" w:eastAsia="宋体" w:cs="Times New Roman"/>
              <w:sz w:val="21"/>
              <w:szCs w:val="21"/>
              <w:highlight w:val="none"/>
              <w:lang w:val="en-US" w:eastAsia="zh-CN"/>
            </w:rPr>
            <w:t>1.4.2生态环境分区管控符合性分析</w:t>
          </w:r>
          <w:r>
            <w:rPr>
              <w:sz w:val="21"/>
              <w:szCs w:val="21"/>
              <w:highlight w:val="none"/>
            </w:rPr>
            <w:tab/>
          </w:r>
          <w:r>
            <w:rPr>
              <w:sz w:val="21"/>
              <w:szCs w:val="21"/>
              <w:highlight w:val="none"/>
            </w:rPr>
            <w:fldChar w:fldCharType="begin"/>
          </w:r>
          <w:r>
            <w:rPr>
              <w:sz w:val="21"/>
              <w:szCs w:val="21"/>
              <w:highlight w:val="none"/>
            </w:rPr>
            <w:instrText xml:space="preserve"> PAGEREF _Toc31624 \h </w:instrText>
          </w:r>
          <w:r>
            <w:rPr>
              <w:sz w:val="21"/>
              <w:szCs w:val="21"/>
              <w:highlight w:val="none"/>
            </w:rPr>
            <w:fldChar w:fldCharType="separate"/>
          </w:r>
          <w:r>
            <w:rPr>
              <w:sz w:val="21"/>
              <w:szCs w:val="21"/>
              <w:highlight w:val="none"/>
            </w:rPr>
            <w:t>5</w:t>
          </w:r>
          <w:r>
            <w:rPr>
              <w:sz w:val="21"/>
              <w:szCs w:val="21"/>
              <w:highlight w:val="none"/>
            </w:rPr>
            <w:fldChar w:fldCharType="end"/>
          </w:r>
          <w:r>
            <w:rPr>
              <w:sz w:val="21"/>
              <w:szCs w:val="21"/>
              <w:highlight w:val="none"/>
            </w:rPr>
            <w:fldChar w:fldCharType="end"/>
          </w:r>
        </w:p>
        <w:p w14:paraId="69EDF434">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_Toc5809 </w:instrText>
          </w:r>
          <w:r>
            <w:rPr>
              <w:sz w:val="21"/>
              <w:szCs w:val="21"/>
              <w:highlight w:val="none"/>
            </w:rPr>
            <w:fldChar w:fldCharType="separate"/>
          </w:r>
          <w:r>
            <w:rPr>
              <w:rFonts w:hint="eastAsia" w:ascii="Times New Roman" w:hAnsi="Times New Roman" w:eastAsia="宋体" w:cs="Times New Roman"/>
              <w:bCs/>
              <w:sz w:val="21"/>
              <w:szCs w:val="21"/>
              <w:highlight w:val="none"/>
              <w:lang w:val="en-US" w:eastAsia="zh-CN"/>
            </w:rPr>
            <w:t>1.4.3选址合理性及厂区布局合理性分析</w:t>
          </w:r>
          <w:r>
            <w:rPr>
              <w:sz w:val="21"/>
              <w:szCs w:val="21"/>
              <w:highlight w:val="none"/>
            </w:rPr>
            <w:tab/>
          </w:r>
          <w:r>
            <w:rPr>
              <w:sz w:val="21"/>
              <w:szCs w:val="21"/>
              <w:highlight w:val="none"/>
            </w:rPr>
            <w:fldChar w:fldCharType="begin"/>
          </w:r>
          <w:r>
            <w:rPr>
              <w:sz w:val="21"/>
              <w:szCs w:val="21"/>
              <w:highlight w:val="none"/>
            </w:rPr>
            <w:instrText xml:space="preserve"> PAGEREF _Toc5809 \h </w:instrText>
          </w:r>
          <w:r>
            <w:rPr>
              <w:sz w:val="21"/>
              <w:szCs w:val="21"/>
              <w:highlight w:val="none"/>
            </w:rPr>
            <w:fldChar w:fldCharType="separate"/>
          </w:r>
          <w:r>
            <w:rPr>
              <w:sz w:val="21"/>
              <w:szCs w:val="21"/>
              <w:highlight w:val="none"/>
            </w:rPr>
            <w:t>14</w:t>
          </w:r>
          <w:r>
            <w:rPr>
              <w:sz w:val="21"/>
              <w:szCs w:val="21"/>
              <w:highlight w:val="none"/>
            </w:rPr>
            <w:fldChar w:fldCharType="end"/>
          </w:r>
          <w:r>
            <w:rPr>
              <w:sz w:val="21"/>
              <w:szCs w:val="21"/>
              <w:highlight w:val="none"/>
            </w:rPr>
            <w:fldChar w:fldCharType="end"/>
          </w:r>
        </w:p>
        <w:p w14:paraId="4387FDEA">
          <w:pPr>
            <w:pStyle w:val="9"/>
            <w:tabs>
              <w:tab w:val="right" w:leader="dot" w:pos="8306"/>
            </w:tabs>
            <w:spacing w:line="240" w:lineRule="auto"/>
            <w:ind w:left="835" w:leftChars="348" w:firstLine="0" w:firstLineChars="0"/>
            <w:rPr>
              <w:sz w:val="21"/>
              <w:szCs w:val="21"/>
              <w:highlight w:val="none"/>
            </w:rPr>
          </w:pPr>
          <w:r>
            <w:rPr>
              <w:sz w:val="21"/>
              <w:szCs w:val="21"/>
              <w:highlight w:val="none"/>
            </w:rPr>
            <w:fldChar w:fldCharType="begin"/>
          </w:r>
          <w:r>
            <w:rPr>
              <w:sz w:val="21"/>
              <w:szCs w:val="21"/>
              <w:highlight w:val="none"/>
            </w:rPr>
            <w:instrText xml:space="preserve"> HYPERLINK \l _Toc5546 </w:instrText>
          </w:r>
          <w:r>
            <w:rPr>
              <w:sz w:val="21"/>
              <w:szCs w:val="21"/>
              <w:highlight w:val="none"/>
            </w:rPr>
            <w:fldChar w:fldCharType="separate"/>
          </w:r>
          <w:r>
            <w:rPr>
              <w:rFonts w:hint="eastAsia" w:ascii="Times New Roman" w:hAnsi="Times New Roman" w:eastAsia="宋体" w:cs="Times New Roman"/>
              <w:bCs/>
              <w:sz w:val="21"/>
              <w:szCs w:val="21"/>
              <w:highlight w:val="none"/>
              <w:lang w:val="en-US" w:eastAsia="zh-CN"/>
            </w:rPr>
            <w:t>1.4.4</w:t>
          </w:r>
          <w:r>
            <w:rPr>
              <w:rFonts w:ascii="Times New Roman" w:hAnsi="Times New Roman" w:eastAsia="宋体" w:cs="Times New Roman"/>
              <w:bCs/>
              <w:sz w:val="21"/>
              <w:szCs w:val="21"/>
              <w:highlight w:val="none"/>
            </w:rPr>
            <w:t>与《关于做好环境影响评价制度与排污许可制衔接相关工作的通知》符合性分析</w:t>
          </w:r>
          <w:r>
            <w:rPr>
              <w:sz w:val="21"/>
              <w:szCs w:val="21"/>
              <w:highlight w:val="none"/>
            </w:rPr>
            <w:tab/>
          </w:r>
          <w:r>
            <w:rPr>
              <w:sz w:val="21"/>
              <w:szCs w:val="21"/>
              <w:highlight w:val="none"/>
            </w:rPr>
            <w:fldChar w:fldCharType="begin"/>
          </w:r>
          <w:r>
            <w:rPr>
              <w:sz w:val="21"/>
              <w:szCs w:val="21"/>
              <w:highlight w:val="none"/>
            </w:rPr>
            <w:instrText xml:space="preserve"> PAGEREF _Toc5546 \h </w:instrText>
          </w:r>
          <w:r>
            <w:rPr>
              <w:sz w:val="21"/>
              <w:szCs w:val="21"/>
              <w:highlight w:val="none"/>
            </w:rPr>
            <w:fldChar w:fldCharType="separate"/>
          </w:r>
          <w:r>
            <w:rPr>
              <w:sz w:val="21"/>
              <w:szCs w:val="21"/>
              <w:highlight w:val="none"/>
            </w:rPr>
            <w:t>14</w:t>
          </w:r>
          <w:r>
            <w:rPr>
              <w:sz w:val="21"/>
              <w:szCs w:val="21"/>
              <w:highlight w:val="none"/>
            </w:rPr>
            <w:fldChar w:fldCharType="end"/>
          </w:r>
          <w:r>
            <w:rPr>
              <w:sz w:val="21"/>
              <w:szCs w:val="21"/>
              <w:highlight w:val="none"/>
            </w:rPr>
            <w:fldChar w:fldCharType="end"/>
          </w:r>
        </w:p>
        <w:p w14:paraId="14AF42E1">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_Toc30549 </w:instrText>
          </w:r>
          <w:r>
            <w:rPr>
              <w:sz w:val="21"/>
              <w:szCs w:val="21"/>
              <w:highlight w:val="none"/>
            </w:rPr>
            <w:fldChar w:fldCharType="separate"/>
          </w:r>
          <w:r>
            <w:rPr>
              <w:rFonts w:hint="eastAsia" w:ascii="Times New Roman" w:hAnsi="Times New Roman" w:eastAsia="宋体" w:cs="Times New Roman"/>
              <w:bCs/>
              <w:sz w:val="21"/>
              <w:szCs w:val="21"/>
              <w:highlight w:val="none"/>
              <w:lang w:val="en-US" w:eastAsia="zh-CN"/>
            </w:rPr>
            <w:t>1.4.5与《黑龙江省大气污染防治行动计划实施细则》符合性分析</w:t>
          </w:r>
          <w:r>
            <w:rPr>
              <w:sz w:val="21"/>
              <w:szCs w:val="21"/>
              <w:highlight w:val="none"/>
            </w:rPr>
            <w:tab/>
          </w:r>
          <w:r>
            <w:rPr>
              <w:sz w:val="21"/>
              <w:szCs w:val="21"/>
              <w:highlight w:val="none"/>
            </w:rPr>
            <w:fldChar w:fldCharType="begin"/>
          </w:r>
          <w:r>
            <w:rPr>
              <w:sz w:val="21"/>
              <w:szCs w:val="21"/>
              <w:highlight w:val="none"/>
            </w:rPr>
            <w:instrText xml:space="preserve"> PAGEREF _Toc30549 \h </w:instrText>
          </w:r>
          <w:r>
            <w:rPr>
              <w:sz w:val="21"/>
              <w:szCs w:val="21"/>
              <w:highlight w:val="none"/>
            </w:rPr>
            <w:fldChar w:fldCharType="separate"/>
          </w:r>
          <w:r>
            <w:rPr>
              <w:sz w:val="21"/>
              <w:szCs w:val="21"/>
              <w:highlight w:val="none"/>
            </w:rPr>
            <w:t>15</w:t>
          </w:r>
          <w:r>
            <w:rPr>
              <w:sz w:val="21"/>
              <w:szCs w:val="21"/>
              <w:highlight w:val="none"/>
            </w:rPr>
            <w:fldChar w:fldCharType="end"/>
          </w:r>
          <w:r>
            <w:rPr>
              <w:sz w:val="21"/>
              <w:szCs w:val="21"/>
              <w:highlight w:val="none"/>
            </w:rPr>
            <w:fldChar w:fldCharType="end"/>
          </w:r>
        </w:p>
        <w:p w14:paraId="2E4E2969">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_Toc1730 </w:instrText>
          </w:r>
          <w:r>
            <w:rPr>
              <w:sz w:val="21"/>
              <w:szCs w:val="21"/>
              <w:highlight w:val="none"/>
            </w:rPr>
            <w:fldChar w:fldCharType="separate"/>
          </w:r>
          <w:r>
            <w:rPr>
              <w:rFonts w:hint="default" w:ascii="Times New Roman" w:hAnsi="Times New Roman" w:eastAsia="宋体" w:cs="Times New Roman"/>
              <w:bCs/>
              <w:sz w:val="21"/>
              <w:szCs w:val="21"/>
              <w:highlight w:val="none"/>
              <w:lang w:val="en-US" w:eastAsia="zh-CN"/>
            </w:rPr>
            <w:t>1.4.</w:t>
          </w:r>
          <w:r>
            <w:rPr>
              <w:rFonts w:hint="eastAsia" w:ascii="Times New Roman" w:hAnsi="Times New Roman" w:eastAsia="宋体" w:cs="Times New Roman"/>
              <w:bCs/>
              <w:sz w:val="21"/>
              <w:szCs w:val="21"/>
              <w:highlight w:val="none"/>
              <w:lang w:val="en-US" w:eastAsia="zh-CN"/>
            </w:rPr>
            <w:t>6与《黑龙江省大气污染防治条例》符合性分析</w:t>
          </w:r>
          <w:r>
            <w:rPr>
              <w:sz w:val="21"/>
              <w:szCs w:val="21"/>
              <w:highlight w:val="none"/>
            </w:rPr>
            <w:tab/>
          </w:r>
          <w:r>
            <w:rPr>
              <w:sz w:val="21"/>
              <w:szCs w:val="21"/>
              <w:highlight w:val="none"/>
            </w:rPr>
            <w:fldChar w:fldCharType="begin"/>
          </w:r>
          <w:r>
            <w:rPr>
              <w:sz w:val="21"/>
              <w:szCs w:val="21"/>
              <w:highlight w:val="none"/>
            </w:rPr>
            <w:instrText xml:space="preserve"> PAGEREF _Toc1730 \h </w:instrText>
          </w:r>
          <w:r>
            <w:rPr>
              <w:sz w:val="21"/>
              <w:szCs w:val="21"/>
              <w:highlight w:val="none"/>
            </w:rPr>
            <w:fldChar w:fldCharType="separate"/>
          </w:r>
          <w:r>
            <w:rPr>
              <w:sz w:val="21"/>
              <w:szCs w:val="21"/>
              <w:highlight w:val="none"/>
            </w:rPr>
            <w:t>16</w:t>
          </w:r>
          <w:r>
            <w:rPr>
              <w:sz w:val="21"/>
              <w:szCs w:val="21"/>
              <w:highlight w:val="none"/>
            </w:rPr>
            <w:fldChar w:fldCharType="end"/>
          </w:r>
          <w:r>
            <w:rPr>
              <w:sz w:val="21"/>
              <w:szCs w:val="21"/>
              <w:highlight w:val="none"/>
            </w:rPr>
            <w:fldChar w:fldCharType="end"/>
          </w:r>
        </w:p>
        <w:p w14:paraId="6F5C91A9">
          <w:pPr>
            <w:pStyle w:val="9"/>
            <w:tabs>
              <w:tab w:val="right" w:leader="dot" w:pos="8306"/>
            </w:tabs>
            <w:spacing w:line="240" w:lineRule="auto"/>
            <w:ind w:left="835" w:leftChars="348" w:firstLine="0" w:firstLineChars="0"/>
            <w:rPr>
              <w:sz w:val="21"/>
              <w:szCs w:val="21"/>
              <w:highlight w:val="none"/>
            </w:rPr>
          </w:pPr>
          <w:r>
            <w:rPr>
              <w:sz w:val="21"/>
              <w:szCs w:val="21"/>
              <w:highlight w:val="none"/>
            </w:rPr>
            <w:fldChar w:fldCharType="begin"/>
          </w:r>
          <w:r>
            <w:rPr>
              <w:sz w:val="21"/>
              <w:szCs w:val="21"/>
              <w:highlight w:val="none"/>
            </w:rPr>
            <w:instrText xml:space="preserve"> HYPERLINK \l _Toc2723 </w:instrText>
          </w:r>
          <w:r>
            <w:rPr>
              <w:sz w:val="21"/>
              <w:szCs w:val="21"/>
              <w:highlight w:val="none"/>
            </w:rPr>
            <w:fldChar w:fldCharType="separate"/>
          </w:r>
          <w:r>
            <w:rPr>
              <w:rFonts w:hint="eastAsia" w:ascii="Times New Roman" w:hAnsi="Times New Roman" w:eastAsia="宋体" w:cs="Times New Roman"/>
              <w:bCs/>
              <w:sz w:val="21"/>
              <w:szCs w:val="21"/>
              <w:highlight w:val="none"/>
              <w:lang w:val="en-US" w:eastAsia="zh-CN"/>
            </w:rPr>
            <w:t>1.4.7与《黑龙江省人民政府关于全面加强生态环境保护坚决打好污染防治攻坚战的实施意见》（2018年9月14日）符合性分析</w:t>
          </w:r>
          <w:r>
            <w:rPr>
              <w:sz w:val="21"/>
              <w:szCs w:val="21"/>
              <w:highlight w:val="none"/>
            </w:rPr>
            <w:tab/>
          </w:r>
          <w:r>
            <w:rPr>
              <w:sz w:val="21"/>
              <w:szCs w:val="21"/>
              <w:highlight w:val="none"/>
            </w:rPr>
            <w:fldChar w:fldCharType="begin"/>
          </w:r>
          <w:r>
            <w:rPr>
              <w:sz w:val="21"/>
              <w:szCs w:val="21"/>
              <w:highlight w:val="none"/>
            </w:rPr>
            <w:instrText xml:space="preserve"> PAGEREF _Toc2723 \h </w:instrText>
          </w:r>
          <w:r>
            <w:rPr>
              <w:sz w:val="21"/>
              <w:szCs w:val="21"/>
              <w:highlight w:val="none"/>
            </w:rPr>
            <w:fldChar w:fldCharType="separate"/>
          </w:r>
          <w:r>
            <w:rPr>
              <w:sz w:val="21"/>
              <w:szCs w:val="21"/>
              <w:highlight w:val="none"/>
            </w:rPr>
            <w:t>16</w:t>
          </w:r>
          <w:r>
            <w:rPr>
              <w:sz w:val="21"/>
              <w:szCs w:val="21"/>
              <w:highlight w:val="none"/>
            </w:rPr>
            <w:fldChar w:fldCharType="end"/>
          </w:r>
          <w:r>
            <w:rPr>
              <w:sz w:val="21"/>
              <w:szCs w:val="21"/>
              <w:highlight w:val="none"/>
            </w:rPr>
            <w:fldChar w:fldCharType="end"/>
          </w:r>
        </w:p>
        <w:p w14:paraId="4BA3FF8C">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_Toc14902 </w:instrText>
          </w:r>
          <w:r>
            <w:rPr>
              <w:sz w:val="21"/>
              <w:szCs w:val="21"/>
              <w:highlight w:val="none"/>
            </w:rPr>
            <w:fldChar w:fldCharType="separate"/>
          </w:r>
          <w:r>
            <w:rPr>
              <w:rFonts w:hint="eastAsia" w:ascii="Times New Roman" w:hAnsi="Times New Roman" w:eastAsia="宋体" w:cs="Times New Roman"/>
              <w:bCs/>
              <w:sz w:val="21"/>
              <w:szCs w:val="21"/>
              <w:highlight w:val="none"/>
              <w:lang w:val="en-US" w:eastAsia="zh-CN"/>
            </w:rPr>
            <w:t>1.4.8与《商品煤质量管理暂行办法》的符合性分析</w:t>
          </w:r>
          <w:r>
            <w:rPr>
              <w:sz w:val="21"/>
              <w:szCs w:val="21"/>
              <w:highlight w:val="none"/>
            </w:rPr>
            <w:tab/>
          </w:r>
          <w:r>
            <w:rPr>
              <w:sz w:val="21"/>
              <w:szCs w:val="21"/>
              <w:highlight w:val="none"/>
            </w:rPr>
            <w:fldChar w:fldCharType="begin"/>
          </w:r>
          <w:r>
            <w:rPr>
              <w:sz w:val="21"/>
              <w:szCs w:val="21"/>
              <w:highlight w:val="none"/>
            </w:rPr>
            <w:instrText xml:space="preserve"> PAGEREF _Toc14902 \h </w:instrText>
          </w:r>
          <w:r>
            <w:rPr>
              <w:sz w:val="21"/>
              <w:szCs w:val="21"/>
              <w:highlight w:val="none"/>
            </w:rPr>
            <w:fldChar w:fldCharType="separate"/>
          </w:r>
          <w:r>
            <w:rPr>
              <w:sz w:val="21"/>
              <w:szCs w:val="21"/>
              <w:highlight w:val="none"/>
            </w:rPr>
            <w:t>17</w:t>
          </w:r>
          <w:r>
            <w:rPr>
              <w:sz w:val="21"/>
              <w:szCs w:val="21"/>
              <w:highlight w:val="none"/>
            </w:rPr>
            <w:fldChar w:fldCharType="end"/>
          </w:r>
          <w:r>
            <w:rPr>
              <w:sz w:val="21"/>
              <w:szCs w:val="21"/>
              <w:highlight w:val="none"/>
            </w:rPr>
            <w:fldChar w:fldCharType="end"/>
          </w:r>
        </w:p>
        <w:p w14:paraId="64D60173">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_Toc17611 </w:instrText>
          </w:r>
          <w:r>
            <w:rPr>
              <w:sz w:val="21"/>
              <w:szCs w:val="21"/>
              <w:highlight w:val="none"/>
            </w:rPr>
            <w:fldChar w:fldCharType="separate"/>
          </w:r>
          <w:r>
            <w:rPr>
              <w:rFonts w:hint="eastAsia" w:ascii="Times New Roman" w:hAnsi="Times New Roman" w:eastAsia="宋体" w:cs="Times New Roman"/>
              <w:bCs/>
              <w:sz w:val="21"/>
              <w:szCs w:val="21"/>
              <w:highlight w:val="none"/>
              <w:lang w:val="en-US" w:eastAsia="zh-CN"/>
            </w:rPr>
            <w:t>1.4.9与《环境空气细颗粒物污染物污染综合防治技术政策》符合性分析</w:t>
          </w:r>
          <w:r>
            <w:rPr>
              <w:sz w:val="21"/>
              <w:szCs w:val="21"/>
              <w:highlight w:val="none"/>
            </w:rPr>
            <w:tab/>
          </w:r>
          <w:r>
            <w:rPr>
              <w:sz w:val="21"/>
              <w:szCs w:val="21"/>
              <w:highlight w:val="none"/>
            </w:rPr>
            <w:fldChar w:fldCharType="begin"/>
          </w:r>
          <w:r>
            <w:rPr>
              <w:sz w:val="21"/>
              <w:szCs w:val="21"/>
              <w:highlight w:val="none"/>
            </w:rPr>
            <w:instrText xml:space="preserve"> PAGEREF _Toc17611 \h </w:instrText>
          </w:r>
          <w:r>
            <w:rPr>
              <w:sz w:val="21"/>
              <w:szCs w:val="21"/>
              <w:highlight w:val="none"/>
            </w:rPr>
            <w:fldChar w:fldCharType="separate"/>
          </w:r>
          <w:r>
            <w:rPr>
              <w:sz w:val="21"/>
              <w:szCs w:val="21"/>
              <w:highlight w:val="none"/>
            </w:rPr>
            <w:t>18</w:t>
          </w:r>
          <w:r>
            <w:rPr>
              <w:sz w:val="21"/>
              <w:szCs w:val="21"/>
              <w:highlight w:val="none"/>
            </w:rPr>
            <w:fldChar w:fldCharType="end"/>
          </w:r>
          <w:r>
            <w:rPr>
              <w:sz w:val="21"/>
              <w:szCs w:val="21"/>
              <w:highlight w:val="none"/>
            </w:rPr>
            <w:fldChar w:fldCharType="end"/>
          </w:r>
        </w:p>
        <w:p w14:paraId="481337C9">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_Toc14418 </w:instrText>
          </w:r>
          <w:r>
            <w:rPr>
              <w:sz w:val="21"/>
              <w:szCs w:val="21"/>
              <w:highlight w:val="none"/>
            </w:rPr>
            <w:fldChar w:fldCharType="separate"/>
          </w:r>
          <w:r>
            <w:rPr>
              <w:rFonts w:hint="eastAsia" w:ascii="Times New Roman" w:hAnsi="Times New Roman" w:eastAsia="宋体" w:cs="Times New Roman"/>
              <w:bCs/>
              <w:sz w:val="21"/>
              <w:szCs w:val="21"/>
              <w:highlight w:val="none"/>
              <w:lang w:val="en-US" w:eastAsia="zh-CN"/>
            </w:rPr>
            <w:t>1.4.10与《黑龙江省“十四五”生态环境保护规划》符合性分析</w:t>
          </w:r>
          <w:r>
            <w:rPr>
              <w:sz w:val="21"/>
              <w:szCs w:val="21"/>
              <w:highlight w:val="none"/>
            </w:rPr>
            <w:tab/>
          </w:r>
          <w:r>
            <w:rPr>
              <w:sz w:val="21"/>
              <w:szCs w:val="21"/>
              <w:highlight w:val="none"/>
            </w:rPr>
            <w:fldChar w:fldCharType="begin"/>
          </w:r>
          <w:r>
            <w:rPr>
              <w:sz w:val="21"/>
              <w:szCs w:val="21"/>
              <w:highlight w:val="none"/>
            </w:rPr>
            <w:instrText xml:space="preserve"> PAGEREF _Toc14418 \h </w:instrText>
          </w:r>
          <w:r>
            <w:rPr>
              <w:sz w:val="21"/>
              <w:szCs w:val="21"/>
              <w:highlight w:val="none"/>
            </w:rPr>
            <w:fldChar w:fldCharType="separate"/>
          </w:r>
          <w:r>
            <w:rPr>
              <w:sz w:val="21"/>
              <w:szCs w:val="21"/>
              <w:highlight w:val="none"/>
            </w:rPr>
            <w:t>18</w:t>
          </w:r>
          <w:r>
            <w:rPr>
              <w:sz w:val="21"/>
              <w:szCs w:val="21"/>
              <w:highlight w:val="none"/>
            </w:rPr>
            <w:fldChar w:fldCharType="end"/>
          </w:r>
          <w:r>
            <w:rPr>
              <w:sz w:val="21"/>
              <w:szCs w:val="21"/>
              <w:highlight w:val="none"/>
            </w:rPr>
            <w:fldChar w:fldCharType="end"/>
          </w:r>
        </w:p>
        <w:p w14:paraId="382BFE65">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_Toc18012 </w:instrText>
          </w:r>
          <w:r>
            <w:rPr>
              <w:sz w:val="21"/>
              <w:szCs w:val="21"/>
              <w:highlight w:val="none"/>
            </w:rPr>
            <w:fldChar w:fldCharType="separate"/>
          </w:r>
          <w:r>
            <w:rPr>
              <w:rFonts w:hint="eastAsia" w:ascii="Times New Roman" w:hAnsi="Times New Roman" w:eastAsia="宋体" w:cs="Times New Roman"/>
              <w:bCs/>
              <w:sz w:val="21"/>
              <w:szCs w:val="21"/>
              <w:highlight w:val="none"/>
              <w:lang w:val="en-US" w:eastAsia="zh-CN"/>
            </w:rPr>
            <w:t>1.4.11与供热规划的符合性分析</w:t>
          </w:r>
          <w:r>
            <w:rPr>
              <w:sz w:val="21"/>
              <w:szCs w:val="21"/>
              <w:highlight w:val="none"/>
            </w:rPr>
            <w:tab/>
          </w:r>
          <w:r>
            <w:rPr>
              <w:sz w:val="21"/>
              <w:szCs w:val="21"/>
              <w:highlight w:val="none"/>
            </w:rPr>
            <w:fldChar w:fldCharType="begin"/>
          </w:r>
          <w:r>
            <w:rPr>
              <w:sz w:val="21"/>
              <w:szCs w:val="21"/>
              <w:highlight w:val="none"/>
            </w:rPr>
            <w:instrText xml:space="preserve"> PAGEREF _Toc18012 \h </w:instrText>
          </w:r>
          <w:r>
            <w:rPr>
              <w:sz w:val="21"/>
              <w:szCs w:val="21"/>
              <w:highlight w:val="none"/>
            </w:rPr>
            <w:fldChar w:fldCharType="separate"/>
          </w:r>
          <w:r>
            <w:rPr>
              <w:sz w:val="21"/>
              <w:szCs w:val="21"/>
              <w:highlight w:val="none"/>
            </w:rPr>
            <w:t>19</w:t>
          </w:r>
          <w:r>
            <w:rPr>
              <w:sz w:val="21"/>
              <w:szCs w:val="21"/>
              <w:highlight w:val="none"/>
            </w:rPr>
            <w:fldChar w:fldCharType="end"/>
          </w:r>
          <w:r>
            <w:rPr>
              <w:sz w:val="21"/>
              <w:szCs w:val="21"/>
              <w:highlight w:val="none"/>
            </w:rPr>
            <w:fldChar w:fldCharType="end"/>
          </w:r>
        </w:p>
        <w:p w14:paraId="563BAC48">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_Toc15123 </w:instrText>
          </w:r>
          <w:r>
            <w:rPr>
              <w:sz w:val="21"/>
              <w:szCs w:val="21"/>
              <w:highlight w:val="none"/>
            </w:rPr>
            <w:fldChar w:fldCharType="separate"/>
          </w:r>
          <w:r>
            <w:rPr>
              <w:rFonts w:hint="eastAsia" w:ascii="Times New Roman" w:hAnsi="Times New Roman" w:eastAsia="宋体" w:cs="Times New Roman"/>
              <w:bCs/>
              <w:sz w:val="21"/>
              <w:szCs w:val="21"/>
              <w:highlight w:val="none"/>
              <w:lang w:val="en-US" w:eastAsia="zh-CN"/>
            </w:rPr>
            <w:t>1.4.12与《牡丹江市“十四五”生态环境保护规划》符合性分析</w:t>
          </w:r>
          <w:r>
            <w:rPr>
              <w:sz w:val="21"/>
              <w:szCs w:val="21"/>
              <w:highlight w:val="none"/>
            </w:rPr>
            <w:tab/>
          </w:r>
          <w:r>
            <w:rPr>
              <w:sz w:val="21"/>
              <w:szCs w:val="21"/>
              <w:highlight w:val="none"/>
            </w:rPr>
            <w:fldChar w:fldCharType="begin"/>
          </w:r>
          <w:r>
            <w:rPr>
              <w:sz w:val="21"/>
              <w:szCs w:val="21"/>
              <w:highlight w:val="none"/>
            </w:rPr>
            <w:instrText xml:space="preserve"> PAGEREF _Toc15123 \h </w:instrText>
          </w:r>
          <w:r>
            <w:rPr>
              <w:sz w:val="21"/>
              <w:szCs w:val="21"/>
              <w:highlight w:val="none"/>
            </w:rPr>
            <w:fldChar w:fldCharType="separate"/>
          </w:r>
          <w:r>
            <w:rPr>
              <w:sz w:val="21"/>
              <w:szCs w:val="21"/>
              <w:highlight w:val="none"/>
            </w:rPr>
            <w:t>19</w:t>
          </w:r>
          <w:r>
            <w:rPr>
              <w:sz w:val="21"/>
              <w:szCs w:val="21"/>
              <w:highlight w:val="none"/>
            </w:rPr>
            <w:fldChar w:fldCharType="end"/>
          </w:r>
          <w:r>
            <w:rPr>
              <w:sz w:val="21"/>
              <w:szCs w:val="21"/>
              <w:highlight w:val="none"/>
            </w:rPr>
            <w:fldChar w:fldCharType="end"/>
          </w:r>
        </w:p>
        <w:p w14:paraId="47003956">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_Toc13919 </w:instrText>
          </w:r>
          <w:r>
            <w:rPr>
              <w:sz w:val="21"/>
              <w:szCs w:val="21"/>
              <w:highlight w:val="none"/>
            </w:rPr>
            <w:fldChar w:fldCharType="separate"/>
          </w:r>
          <w:r>
            <w:rPr>
              <w:rFonts w:hint="eastAsia" w:ascii="Times New Roman" w:hAnsi="Times New Roman" w:eastAsia="宋体" w:cs="Times New Roman"/>
              <w:bCs/>
              <w:sz w:val="21"/>
              <w:szCs w:val="21"/>
              <w:highlight w:val="none"/>
              <w:lang w:val="en-US" w:eastAsia="zh-CN"/>
            </w:rPr>
            <w:t>1.4.13</w:t>
          </w:r>
          <w:r>
            <w:rPr>
              <w:rFonts w:hint="eastAsia"/>
              <w:sz w:val="21"/>
              <w:szCs w:val="21"/>
              <w:highlight w:val="none"/>
              <w:lang w:val="en-US" w:eastAsia="zh-CN"/>
            </w:rPr>
            <w:t>与《关于印发改善牡丹江市区空气质量实施方案的通知》符合性分析</w:t>
          </w:r>
          <w:r>
            <w:rPr>
              <w:sz w:val="21"/>
              <w:szCs w:val="21"/>
              <w:highlight w:val="none"/>
            </w:rPr>
            <w:tab/>
          </w:r>
          <w:r>
            <w:rPr>
              <w:sz w:val="21"/>
              <w:szCs w:val="21"/>
              <w:highlight w:val="none"/>
            </w:rPr>
            <w:fldChar w:fldCharType="begin"/>
          </w:r>
          <w:r>
            <w:rPr>
              <w:sz w:val="21"/>
              <w:szCs w:val="21"/>
              <w:highlight w:val="none"/>
            </w:rPr>
            <w:instrText xml:space="preserve"> PAGEREF _Toc13919 \h </w:instrText>
          </w:r>
          <w:r>
            <w:rPr>
              <w:sz w:val="21"/>
              <w:szCs w:val="21"/>
              <w:highlight w:val="none"/>
            </w:rPr>
            <w:fldChar w:fldCharType="separate"/>
          </w:r>
          <w:r>
            <w:rPr>
              <w:sz w:val="21"/>
              <w:szCs w:val="21"/>
              <w:highlight w:val="none"/>
            </w:rPr>
            <w:t>20</w:t>
          </w:r>
          <w:r>
            <w:rPr>
              <w:sz w:val="21"/>
              <w:szCs w:val="21"/>
              <w:highlight w:val="none"/>
            </w:rPr>
            <w:fldChar w:fldCharType="end"/>
          </w:r>
          <w:r>
            <w:rPr>
              <w:sz w:val="21"/>
              <w:szCs w:val="21"/>
              <w:highlight w:val="none"/>
            </w:rPr>
            <w:fldChar w:fldCharType="end"/>
          </w:r>
        </w:p>
        <w:p w14:paraId="3150E5B9">
          <w:pPr>
            <w:pStyle w:val="9"/>
            <w:tabs>
              <w:tab w:val="right" w:leader="dot" w:pos="8306"/>
            </w:tabs>
            <w:spacing w:line="240" w:lineRule="auto"/>
            <w:ind w:left="835" w:leftChars="348" w:firstLine="0" w:firstLineChars="0"/>
            <w:rPr>
              <w:sz w:val="21"/>
              <w:szCs w:val="21"/>
              <w:highlight w:val="none"/>
            </w:rPr>
          </w:pPr>
          <w:r>
            <w:rPr>
              <w:sz w:val="21"/>
              <w:szCs w:val="21"/>
              <w:highlight w:val="none"/>
            </w:rPr>
            <w:fldChar w:fldCharType="begin"/>
          </w:r>
          <w:r>
            <w:rPr>
              <w:sz w:val="21"/>
              <w:szCs w:val="21"/>
              <w:highlight w:val="none"/>
            </w:rPr>
            <w:instrText xml:space="preserve"> HYPERLINK \l _Toc22101 </w:instrText>
          </w:r>
          <w:r>
            <w:rPr>
              <w:sz w:val="21"/>
              <w:szCs w:val="21"/>
              <w:highlight w:val="none"/>
            </w:rPr>
            <w:fldChar w:fldCharType="separate"/>
          </w:r>
          <w:r>
            <w:rPr>
              <w:rFonts w:hint="eastAsia" w:ascii="Times New Roman" w:hAnsi="Times New Roman" w:eastAsia="宋体" w:cs="Times New Roman"/>
              <w:bCs/>
              <w:sz w:val="21"/>
              <w:szCs w:val="21"/>
              <w:highlight w:val="none"/>
              <w:lang w:val="en-US" w:eastAsia="zh-CN"/>
            </w:rPr>
            <w:t>1.4.14</w:t>
          </w:r>
          <w:r>
            <w:rPr>
              <w:rFonts w:hint="eastAsia"/>
              <w:sz w:val="21"/>
              <w:szCs w:val="21"/>
              <w:highlight w:val="none"/>
              <w:lang w:val="en-US" w:eastAsia="zh-CN"/>
            </w:rPr>
            <w:t>与关于《绥芬河边境经济合作区（代管区）总体规划（2021-2035年）环境影响报告书》的审查意见</w:t>
          </w:r>
          <w:r>
            <w:rPr>
              <w:sz w:val="21"/>
              <w:szCs w:val="21"/>
              <w:highlight w:val="none"/>
            </w:rPr>
            <w:tab/>
          </w:r>
          <w:r>
            <w:rPr>
              <w:sz w:val="21"/>
              <w:szCs w:val="21"/>
              <w:highlight w:val="none"/>
            </w:rPr>
            <w:fldChar w:fldCharType="begin"/>
          </w:r>
          <w:r>
            <w:rPr>
              <w:sz w:val="21"/>
              <w:szCs w:val="21"/>
              <w:highlight w:val="none"/>
            </w:rPr>
            <w:instrText xml:space="preserve"> PAGEREF _Toc22101 \h </w:instrText>
          </w:r>
          <w:r>
            <w:rPr>
              <w:sz w:val="21"/>
              <w:szCs w:val="21"/>
              <w:highlight w:val="none"/>
            </w:rPr>
            <w:fldChar w:fldCharType="separate"/>
          </w:r>
          <w:r>
            <w:rPr>
              <w:sz w:val="21"/>
              <w:szCs w:val="21"/>
              <w:highlight w:val="none"/>
            </w:rPr>
            <w:t>21</w:t>
          </w:r>
          <w:r>
            <w:rPr>
              <w:sz w:val="21"/>
              <w:szCs w:val="21"/>
              <w:highlight w:val="none"/>
            </w:rPr>
            <w:fldChar w:fldCharType="end"/>
          </w:r>
          <w:r>
            <w:rPr>
              <w:sz w:val="21"/>
              <w:szCs w:val="21"/>
              <w:highlight w:val="none"/>
            </w:rPr>
            <w:fldChar w:fldCharType="end"/>
          </w:r>
        </w:p>
        <w:p w14:paraId="4027E310">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_Toc9811 </w:instrText>
          </w:r>
          <w:r>
            <w:rPr>
              <w:sz w:val="21"/>
              <w:szCs w:val="21"/>
              <w:highlight w:val="none"/>
            </w:rPr>
            <w:fldChar w:fldCharType="separate"/>
          </w:r>
          <w:r>
            <w:rPr>
              <w:rFonts w:hint="eastAsia" w:ascii="Times New Roman" w:hAnsi="Times New Roman" w:eastAsia="宋体" w:cs="Times New Roman"/>
              <w:bCs/>
              <w:kern w:val="2"/>
              <w:sz w:val="21"/>
              <w:szCs w:val="21"/>
              <w:highlight w:val="none"/>
              <w:lang w:val="en-US" w:eastAsia="zh-CN" w:bidi="ar-SA"/>
            </w:rPr>
            <w:t>1.5</w:t>
          </w:r>
          <w:r>
            <w:rPr>
              <w:rFonts w:ascii="Times New Roman" w:hAnsi="Times New Roman"/>
              <w:sz w:val="21"/>
              <w:szCs w:val="21"/>
              <w:highlight w:val="none"/>
            </w:rPr>
            <w:t>关注的主要环境问题及环境影响</w:t>
          </w:r>
          <w:r>
            <w:rPr>
              <w:sz w:val="21"/>
              <w:szCs w:val="21"/>
              <w:highlight w:val="none"/>
            </w:rPr>
            <w:tab/>
          </w:r>
          <w:r>
            <w:rPr>
              <w:sz w:val="21"/>
              <w:szCs w:val="21"/>
              <w:highlight w:val="none"/>
            </w:rPr>
            <w:fldChar w:fldCharType="begin"/>
          </w:r>
          <w:r>
            <w:rPr>
              <w:sz w:val="21"/>
              <w:szCs w:val="21"/>
              <w:highlight w:val="none"/>
            </w:rPr>
            <w:instrText xml:space="preserve"> PAGEREF _Toc9811 \h </w:instrText>
          </w:r>
          <w:r>
            <w:rPr>
              <w:sz w:val="21"/>
              <w:szCs w:val="21"/>
              <w:highlight w:val="none"/>
            </w:rPr>
            <w:fldChar w:fldCharType="separate"/>
          </w:r>
          <w:r>
            <w:rPr>
              <w:sz w:val="21"/>
              <w:szCs w:val="21"/>
              <w:highlight w:val="none"/>
            </w:rPr>
            <w:t>21</w:t>
          </w:r>
          <w:r>
            <w:rPr>
              <w:sz w:val="21"/>
              <w:szCs w:val="21"/>
              <w:highlight w:val="none"/>
            </w:rPr>
            <w:fldChar w:fldCharType="end"/>
          </w:r>
          <w:r>
            <w:rPr>
              <w:sz w:val="21"/>
              <w:szCs w:val="21"/>
              <w:highlight w:val="none"/>
            </w:rPr>
            <w:fldChar w:fldCharType="end"/>
          </w:r>
        </w:p>
        <w:p w14:paraId="2D15E38D">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_Toc13930 </w:instrText>
          </w:r>
          <w:r>
            <w:rPr>
              <w:sz w:val="21"/>
              <w:szCs w:val="21"/>
              <w:highlight w:val="none"/>
            </w:rPr>
            <w:fldChar w:fldCharType="separate"/>
          </w:r>
          <w:r>
            <w:rPr>
              <w:rFonts w:hint="eastAsia" w:ascii="Times New Roman" w:hAnsi="Times New Roman" w:eastAsia="宋体" w:cs="Times New Roman"/>
              <w:bCs/>
              <w:kern w:val="2"/>
              <w:sz w:val="21"/>
              <w:szCs w:val="21"/>
              <w:highlight w:val="none"/>
              <w:lang w:val="en-US" w:eastAsia="zh-CN" w:bidi="ar-SA"/>
            </w:rPr>
            <w:t>1.6</w:t>
          </w:r>
          <w:r>
            <w:rPr>
              <w:rFonts w:ascii="Times New Roman" w:hAnsi="Times New Roman"/>
              <w:sz w:val="21"/>
              <w:szCs w:val="21"/>
              <w:highlight w:val="none"/>
            </w:rPr>
            <w:t>环境影响评价工作主要结论</w:t>
          </w:r>
          <w:r>
            <w:rPr>
              <w:sz w:val="21"/>
              <w:szCs w:val="21"/>
              <w:highlight w:val="none"/>
            </w:rPr>
            <w:tab/>
          </w:r>
          <w:r>
            <w:rPr>
              <w:sz w:val="21"/>
              <w:szCs w:val="21"/>
              <w:highlight w:val="none"/>
            </w:rPr>
            <w:fldChar w:fldCharType="begin"/>
          </w:r>
          <w:r>
            <w:rPr>
              <w:sz w:val="21"/>
              <w:szCs w:val="21"/>
              <w:highlight w:val="none"/>
            </w:rPr>
            <w:instrText xml:space="preserve"> PAGEREF _Toc13930 \h </w:instrText>
          </w:r>
          <w:r>
            <w:rPr>
              <w:sz w:val="21"/>
              <w:szCs w:val="21"/>
              <w:highlight w:val="none"/>
            </w:rPr>
            <w:fldChar w:fldCharType="separate"/>
          </w:r>
          <w:r>
            <w:rPr>
              <w:sz w:val="21"/>
              <w:szCs w:val="21"/>
              <w:highlight w:val="none"/>
            </w:rPr>
            <w:t>23</w:t>
          </w:r>
          <w:r>
            <w:rPr>
              <w:sz w:val="21"/>
              <w:szCs w:val="21"/>
              <w:highlight w:val="none"/>
            </w:rPr>
            <w:fldChar w:fldCharType="end"/>
          </w:r>
          <w:r>
            <w:rPr>
              <w:sz w:val="21"/>
              <w:szCs w:val="21"/>
              <w:highlight w:val="none"/>
            </w:rPr>
            <w:fldChar w:fldCharType="end"/>
          </w:r>
        </w:p>
        <w:p w14:paraId="21EAE04D">
          <w:pPr>
            <w:pStyle w:val="14"/>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_Toc5861 </w:instrText>
          </w:r>
          <w:r>
            <w:rPr>
              <w:sz w:val="21"/>
              <w:szCs w:val="21"/>
              <w:highlight w:val="none"/>
            </w:rPr>
            <w:fldChar w:fldCharType="separate"/>
          </w:r>
          <w:r>
            <w:rPr>
              <w:rFonts w:hint="default" w:ascii="Times New Roman" w:hAnsi="Times New Roman" w:cs="Times New Roman"/>
              <w:sz w:val="21"/>
              <w:szCs w:val="21"/>
              <w:highlight w:val="none"/>
              <w:lang w:val="en-US" w:eastAsia="zh-CN"/>
            </w:rPr>
            <w:t>2</w:t>
          </w:r>
          <w:r>
            <w:rPr>
              <w:rFonts w:hint="eastAsia" w:ascii="Times New Roman" w:hAnsi="Times New Roman" w:cs="Times New Roman"/>
              <w:sz w:val="21"/>
              <w:szCs w:val="21"/>
              <w:highlight w:val="none"/>
              <w:lang w:val="en-US" w:eastAsia="zh-CN"/>
            </w:rPr>
            <w:t>总则</w:t>
          </w:r>
          <w:r>
            <w:rPr>
              <w:sz w:val="21"/>
              <w:szCs w:val="21"/>
              <w:highlight w:val="none"/>
            </w:rPr>
            <w:tab/>
          </w:r>
          <w:r>
            <w:rPr>
              <w:sz w:val="21"/>
              <w:szCs w:val="21"/>
              <w:highlight w:val="none"/>
            </w:rPr>
            <w:fldChar w:fldCharType="begin"/>
          </w:r>
          <w:r>
            <w:rPr>
              <w:sz w:val="21"/>
              <w:szCs w:val="21"/>
              <w:highlight w:val="none"/>
            </w:rPr>
            <w:instrText xml:space="preserve"> PAGEREF _Toc5861 \h </w:instrText>
          </w:r>
          <w:r>
            <w:rPr>
              <w:sz w:val="21"/>
              <w:szCs w:val="21"/>
              <w:highlight w:val="none"/>
            </w:rPr>
            <w:fldChar w:fldCharType="separate"/>
          </w:r>
          <w:r>
            <w:rPr>
              <w:sz w:val="21"/>
              <w:szCs w:val="21"/>
              <w:highlight w:val="none"/>
            </w:rPr>
            <w:t>24</w:t>
          </w:r>
          <w:r>
            <w:rPr>
              <w:sz w:val="21"/>
              <w:szCs w:val="21"/>
              <w:highlight w:val="none"/>
            </w:rPr>
            <w:fldChar w:fldCharType="end"/>
          </w:r>
          <w:r>
            <w:rPr>
              <w:sz w:val="21"/>
              <w:szCs w:val="21"/>
              <w:highlight w:val="none"/>
            </w:rPr>
            <w:fldChar w:fldCharType="end"/>
          </w:r>
        </w:p>
        <w:p w14:paraId="2A00C50C">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_Toc20574 </w:instrText>
          </w:r>
          <w:r>
            <w:rPr>
              <w:sz w:val="21"/>
              <w:szCs w:val="21"/>
              <w:highlight w:val="none"/>
            </w:rPr>
            <w:fldChar w:fldCharType="separate"/>
          </w:r>
          <w:r>
            <w:rPr>
              <w:rFonts w:hint="default" w:ascii="Times New Roman" w:hAnsi="Times New Roman" w:cs="Times New Roman"/>
              <w:sz w:val="21"/>
              <w:szCs w:val="21"/>
              <w:highlight w:val="none"/>
              <w:lang w:val="en-US" w:eastAsia="zh-CN"/>
            </w:rPr>
            <w:t>2.1</w:t>
          </w:r>
          <w:r>
            <w:rPr>
              <w:rFonts w:hint="eastAsia" w:ascii="宋体" w:hAnsi="宋体" w:eastAsia="宋体" w:cs="宋体"/>
              <w:sz w:val="21"/>
              <w:szCs w:val="21"/>
              <w:highlight w:val="none"/>
              <w:lang w:val="en-US" w:eastAsia="zh-CN"/>
            </w:rPr>
            <w:t>编制依据</w:t>
          </w:r>
          <w:r>
            <w:rPr>
              <w:sz w:val="21"/>
              <w:szCs w:val="21"/>
              <w:highlight w:val="none"/>
            </w:rPr>
            <w:tab/>
          </w:r>
          <w:r>
            <w:rPr>
              <w:sz w:val="21"/>
              <w:szCs w:val="21"/>
              <w:highlight w:val="none"/>
            </w:rPr>
            <w:fldChar w:fldCharType="begin"/>
          </w:r>
          <w:r>
            <w:rPr>
              <w:sz w:val="21"/>
              <w:szCs w:val="21"/>
              <w:highlight w:val="none"/>
            </w:rPr>
            <w:instrText xml:space="preserve"> PAGEREF _Toc20574 \h </w:instrText>
          </w:r>
          <w:r>
            <w:rPr>
              <w:sz w:val="21"/>
              <w:szCs w:val="21"/>
              <w:highlight w:val="none"/>
            </w:rPr>
            <w:fldChar w:fldCharType="separate"/>
          </w:r>
          <w:r>
            <w:rPr>
              <w:sz w:val="21"/>
              <w:szCs w:val="21"/>
              <w:highlight w:val="none"/>
            </w:rPr>
            <w:t>24</w:t>
          </w:r>
          <w:r>
            <w:rPr>
              <w:sz w:val="21"/>
              <w:szCs w:val="21"/>
              <w:highlight w:val="none"/>
            </w:rPr>
            <w:fldChar w:fldCharType="end"/>
          </w:r>
          <w:r>
            <w:rPr>
              <w:sz w:val="21"/>
              <w:szCs w:val="21"/>
              <w:highlight w:val="none"/>
            </w:rPr>
            <w:fldChar w:fldCharType="end"/>
          </w:r>
        </w:p>
        <w:p w14:paraId="3CED064D">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_Toc11171 </w:instrText>
          </w:r>
          <w:r>
            <w:rPr>
              <w:sz w:val="21"/>
              <w:szCs w:val="21"/>
              <w:highlight w:val="none"/>
            </w:rPr>
            <w:fldChar w:fldCharType="separate"/>
          </w:r>
          <w:r>
            <w:rPr>
              <w:rFonts w:hint="default" w:ascii="Times New Roman" w:hAnsi="Times New Roman" w:cs="Times New Roman"/>
              <w:sz w:val="21"/>
              <w:szCs w:val="21"/>
              <w:highlight w:val="none"/>
              <w:lang w:val="en-US" w:eastAsia="zh-CN"/>
            </w:rPr>
            <w:t>2.1.1</w:t>
          </w:r>
          <w:r>
            <w:rPr>
              <w:rFonts w:hint="eastAsia"/>
              <w:sz w:val="21"/>
              <w:szCs w:val="21"/>
              <w:highlight w:val="none"/>
              <w:lang w:val="en-US" w:eastAsia="zh-CN"/>
            </w:rPr>
            <w:t>相关法律、法规及文件</w:t>
          </w:r>
          <w:r>
            <w:rPr>
              <w:sz w:val="21"/>
              <w:szCs w:val="21"/>
              <w:highlight w:val="none"/>
            </w:rPr>
            <w:tab/>
          </w:r>
          <w:r>
            <w:rPr>
              <w:sz w:val="21"/>
              <w:szCs w:val="21"/>
              <w:highlight w:val="none"/>
            </w:rPr>
            <w:fldChar w:fldCharType="begin"/>
          </w:r>
          <w:r>
            <w:rPr>
              <w:sz w:val="21"/>
              <w:szCs w:val="21"/>
              <w:highlight w:val="none"/>
            </w:rPr>
            <w:instrText xml:space="preserve"> PAGEREF _Toc11171 \h </w:instrText>
          </w:r>
          <w:r>
            <w:rPr>
              <w:sz w:val="21"/>
              <w:szCs w:val="21"/>
              <w:highlight w:val="none"/>
            </w:rPr>
            <w:fldChar w:fldCharType="separate"/>
          </w:r>
          <w:r>
            <w:rPr>
              <w:sz w:val="21"/>
              <w:szCs w:val="21"/>
              <w:highlight w:val="none"/>
            </w:rPr>
            <w:t>24</w:t>
          </w:r>
          <w:r>
            <w:rPr>
              <w:sz w:val="21"/>
              <w:szCs w:val="21"/>
              <w:highlight w:val="none"/>
            </w:rPr>
            <w:fldChar w:fldCharType="end"/>
          </w:r>
          <w:r>
            <w:rPr>
              <w:sz w:val="21"/>
              <w:szCs w:val="21"/>
              <w:highlight w:val="none"/>
            </w:rPr>
            <w:fldChar w:fldCharType="end"/>
          </w:r>
        </w:p>
        <w:p w14:paraId="08ACEC42">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_Toc31098 </w:instrText>
          </w:r>
          <w:r>
            <w:rPr>
              <w:sz w:val="21"/>
              <w:szCs w:val="21"/>
              <w:highlight w:val="none"/>
            </w:rPr>
            <w:fldChar w:fldCharType="separate"/>
          </w:r>
          <w:r>
            <w:rPr>
              <w:rFonts w:hint="eastAsia" w:ascii="Times New Roman" w:hAnsi="Times New Roman" w:eastAsia="宋体" w:cs="Times New Roman"/>
              <w:sz w:val="21"/>
              <w:szCs w:val="21"/>
              <w:highlight w:val="none"/>
              <w:lang w:val="en-US" w:eastAsia="zh-CN"/>
            </w:rPr>
            <w:t>2.1.2有关技术导则规范</w:t>
          </w:r>
          <w:r>
            <w:rPr>
              <w:sz w:val="21"/>
              <w:szCs w:val="21"/>
              <w:highlight w:val="none"/>
            </w:rPr>
            <w:tab/>
          </w:r>
          <w:r>
            <w:rPr>
              <w:sz w:val="21"/>
              <w:szCs w:val="21"/>
              <w:highlight w:val="none"/>
            </w:rPr>
            <w:fldChar w:fldCharType="begin"/>
          </w:r>
          <w:r>
            <w:rPr>
              <w:sz w:val="21"/>
              <w:szCs w:val="21"/>
              <w:highlight w:val="none"/>
            </w:rPr>
            <w:instrText xml:space="preserve"> PAGEREF _Toc31098 \h </w:instrText>
          </w:r>
          <w:r>
            <w:rPr>
              <w:sz w:val="21"/>
              <w:szCs w:val="21"/>
              <w:highlight w:val="none"/>
            </w:rPr>
            <w:fldChar w:fldCharType="separate"/>
          </w:r>
          <w:r>
            <w:rPr>
              <w:sz w:val="21"/>
              <w:szCs w:val="21"/>
              <w:highlight w:val="none"/>
            </w:rPr>
            <w:t>25</w:t>
          </w:r>
          <w:r>
            <w:rPr>
              <w:sz w:val="21"/>
              <w:szCs w:val="21"/>
              <w:highlight w:val="none"/>
            </w:rPr>
            <w:fldChar w:fldCharType="end"/>
          </w:r>
          <w:r>
            <w:rPr>
              <w:sz w:val="21"/>
              <w:szCs w:val="21"/>
              <w:highlight w:val="none"/>
            </w:rPr>
            <w:fldChar w:fldCharType="end"/>
          </w:r>
        </w:p>
        <w:p w14:paraId="2D6D9731">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_Toc19697 </w:instrText>
          </w:r>
          <w:r>
            <w:rPr>
              <w:sz w:val="21"/>
              <w:szCs w:val="21"/>
              <w:highlight w:val="none"/>
            </w:rPr>
            <w:fldChar w:fldCharType="separate"/>
          </w:r>
          <w:r>
            <w:rPr>
              <w:rFonts w:hint="eastAsia" w:ascii="Times New Roman" w:hAnsi="Times New Roman" w:eastAsia="宋体" w:cs="Times New Roman"/>
              <w:sz w:val="21"/>
              <w:szCs w:val="21"/>
              <w:highlight w:val="none"/>
              <w:lang w:val="en-US" w:eastAsia="zh-CN"/>
            </w:rPr>
            <w:t>2.1.3其他技术资料</w:t>
          </w:r>
          <w:r>
            <w:rPr>
              <w:sz w:val="21"/>
              <w:szCs w:val="21"/>
              <w:highlight w:val="none"/>
            </w:rPr>
            <w:tab/>
          </w:r>
          <w:r>
            <w:rPr>
              <w:sz w:val="21"/>
              <w:szCs w:val="21"/>
              <w:highlight w:val="none"/>
            </w:rPr>
            <w:fldChar w:fldCharType="begin"/>
          </w:r>
          <w:r>
            <w:rPr>
              <w:sz w:val="21"/>
              <w:szCs w:val="21"/>
              <w:highlight w:val="none"/>
            </w:rPr>
            <w:instrText xml:space="preserve"> PAGEREF _Toc19697 \h </w:instrText>
          </w:r>
          <w:r>
            <w:rPr>
              <w:sz w:val="21"/>
              <w:szCs w:val="21"/>
              <w:highlight w:val="none"/>
            </w:rPr>
            <w:fldChar w:fldCharType="separate"/>
          </w:r>
          <w:r>
            <w:rPr>
              <w:sz w:val="21"/>
              <w:szCs w:val="21"/>
              <w:highlight w:val="none"/>
            </w:rPr>
            <w:t>26</w:t>
          </w:r>
          <w:r>
            <w:rPr>
              <w:sz w:val="21"/>
              <w:szCs w:val="21"/>
              <w:highlight w:val="none"/>
            </w:rPr>
            <w:fldChar w:fldCharType="end"/>
          </w:r>
          <w:r>
            <w:rPr>
              <w:sz w:val="21"/>
              <w:szCs w:val="21"/>
              <w:highlight w:val="none"/>
            </w:rPr>
            <w:fldChar w:fldCharType="end"/>
          </w:r>
        </w:p>
        <w:p w14:paraId="7AB565C0">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_Toc18374 </w:instrText>
          </w:r>
          <w:r>
            <w:rPr>
              <w:sz w:val="21"/>
              <w:szCs w:val="21"/>
              <w:highlight w:val="none"/>
            </w:rPr>
            <w:fldChar w:fldCharType="separate"/>
          </w:r>
          <w:r>
            <w:rPr>
              <w:rFonts w:hint="eastAsia" w:ascii="Times New Roman" w:hAnsi="Times New Roman" w:cs="Times New Roman"/>
              <w:sz w:val="21"/>
              <w:szCs w:val="21"/>
              <w:highlight w:val="none"/>
              <w:lang w:val="en-US" w:eastAsia="zh-CN"/>
            </w:rPr>
            <w:t>2.2评价目的与原则</w:t>
          </w:r>
          <w:r>
            <w:rPr>
              <w:sz w:val="21"/>
              <w:szCs w:val="21"/>
              <w:highlight w:val="none"/>
            </w:rPr>
            <w:tab/>
          </w:r>
          <w:r>
            <w:rPr>
              <w:sz w:val="21"/>
              <w:szCs w:val="21"/>
              <w:highlight w:val="none"/>
            </w:rPr>
            <w:fldChar w:fldCharType="begin"/>
          </w:r>
          <w:r>
            <w:rPr>
              <w:sz w:val="21"/>
              <w:szCs w:val="21"/>
              <w:highlight w:val="none"/>
            </w:rPr>
            <w:instrText xml:space="preserve"> PAGEREF _Toc18374 \h </w:instrText>
          </w:r>
          <w:r>
            <w:rPr>
              <w:sz w:val="21"/>
              <w:szCs w:val="21"/>
              <w:highlight w:val="none"/>
            </w:rPr>
            <w:fldChar w:fldCharType="separate"/>
          </w:r>
          <w:r>
            <w:rPr>
              <w:sz w:val="21"/>
              <w:szCs w:val="21"/>
              <w:highlight w:val="none"/>
            </w:rPr>
            <w:t>26</w:t>
          </w:r>
          <w:r>
            <w:rPr>
              <w:sz w:val="21"/>
              <w:szCs w:val="21"/>
              <w:highlight w:val="none"/>
            </w:rPr>
            <w:fldChar w:fldCharType="end"/>
          </w:r>
          <w:r>
            <w:rPr>
              <w:sz w:val="21"/>
              <w:szCs w:val="21"/>
              <w:highlight w:val="none"/>
            </w:rPr>
            <w:fldChar w:fldCharType="end"/>
          </w:r>
        </w:p>
        <w:p w14:paraId="5FFA0A23">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_Toc13070 </w:instrText>
          </w:r>
          <w:r>
            <w:rPr>
              <w:sz w:val="21"/>
              <w:szCs w:val="21"/>
              <w:highlight w:val="none"/>
            </w:rPr>
            <w:fldChar w:fldCharType="separate"/>
          </w:r>
          <w:r>
            <w:rPr>
              <w:rFonts w:hint="eastAsia" w:ascii="Times New Roman" w:hAnsi="Times New Roman" w:eastAsia="宋体" w:cs="Times New Roman"/>
              <w:sz w:val="21"/>
              <w:szCs w:val="21"/>
              <w:highlight w:val="none"/>
              <w:lang w:val="en-US" w:eastAsia="zh-CN"/>
            </w:rPr>
            <w:t>2.2.1评价目的</w:t>
          </w:r>
          <w:r>
            <w:rPr>
              <w:sz w:val="21"/>
              <w:szCs w:val="21"/>
              <w:highlight w:val="none"/>
            </w:rPr>
            <w:tab/>
          </w:r>
          <w:r>
            <w:rPr>
              <w:sz w:val="21"/>
              <w:szCs w:val="21"/>
              <w:highlight w:val="none"/>
            </w:rPr>
            <w:fldChar w:fldCharType="begin"/>
          </w:r>
          <w:r>
            <w:rPr>
              <w:sz w:val="21"/>
              <w:szCs w:val="21"/>
              <w:highlight w:val="none"/>
            </w:rPr>
            <w:instrText xml:space="preserve"> PAGEREF _Toc13070 \h </w:instrText>
          </w:r>
          <w:r>
            <w:rPr>
              <w:sz w:val="21"/>
              <w:szCs w:val="21"/>
              <w:highlight w:val="none"/>
            </w:rPr>
            <w:fldChar w:fldCharType="separate"/>
          </w:r>
          <w:r>
            <w:rPr>
              <w:sz w:val="21"/>
              <w:szCs w:val="21"/>
              <w:highlight w:val="none"/>
            </w:rPr>
            <w:t>26</w:t>
          </w:r>
          <w:r>
            <w:rPr>
              <w:sz w:val="21"/>
              <w:szCs w:val="21"/>
              <w:highlight w:val="none"/>
            </w:rPr>
            <w:fldChar w:fldCharType="end"/>
          </w:r>
          <w:r>
            <w:rPr>
              <w:sz w:val="21"/>
              <w:szCs w:val="21"/>
              <w:highlight w:val="none"/>
            </w:rPr>
            <w:fldChar w:fldCharType="end"/>
          </w:r>
        </w:p>
        <w:p w14:paraId="7F0E787F">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_Toc27534 </w:instrText>
          </w:r>
          <w:r>
            <w:rPr>
              <w:sz w:val="21"/>
              <w:szCs w:val="21"/>
              <w:highlight w:val="none"/>
            </w:rPr>
            <w:fldChar w:fldCharType="separate"/>
          </w:r>
          <w:r>
            <w:rPr>
              <w:rFonts w:hint="eastAsia" w:ascii="Times New Roman" w:hAnsi="Times New Roman" w:eastAsia="宋体" w:cs="Times New Roman"/>
              <w:sz w:val="21"/>
              <w:szCs w:val="21"/>
              <w:highlight w:val="none"/>
              <w:lang w:val="en-US" w:eastAsia="zh-CN"/>
            </w:rPr>
            <w:t>2.2.2评价原则</w:t>
          </w:r>
          <w:r>
            <w:rPr>
              <w:sz w:val="21"/>
              <w:szCs w:val="21"/>
              <w:highlight w:val="none"/>
            </w:rPr>
            <w:tab/>
          </w:r>
          <w:r>
            <w:rPr>
              <w:sz w:val="21"/>
              <w:szCs w:val="21"/>
              <w:highlight w:val="none"/>
            </w:rPr>
            <w:fldChar w:fldCharType="begin"/>
          </w:r>
          <w:r>
            <w:rPr>
              <w:sz w:val="21"/>
              <w:szCs w:val="21"/>
              <w:highlight w:val="none"/>
            </w:rPr>
            <w:instrText xml:space="preserve"> PAGEREF _Toc27534 \h </w:instrText>
          </w:r>
          <w:r>
            <w:rPr>
              <w:sz w:val="21"/>
              <w:szCs w:val="21"/>
              <w:highlight w:val="none"/>
            </w:rPr>
            <w:fldChar w:fldCharType="separate"/>
          </w:r>
          <w:r>
            <w:rPr>
              <w:sz w:val="21"/>
              <w:szCs w:val="21"/>
              <w:highlight w:val="none"/>
            </w:rPr>
            <w:t>27</w:t>
          </w:r>
          <w:r>
            <w:rPr>
              <w:sz w:val="21"/>
              <w:szCs w:val="21"/>
              <w:highlight w:val="none"/>
            </w:rPr>
            <w:fldChar w:fldCharType="end"/>
          </w:r>
          <w:r>
            <w:rPr>
              <w:sz w:val="21"/>
              <w:szCs w:val="21"/>
              <w:highlight w:val="none"/>
            </w:rPr>
            <w:fldChar w:fldCharType="end"/>
          </w:r>
        </w:p>
        <w:p w14:paraId="38C4A74B">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_Toc27124 </w:instrText>
          </w:r>
          <w:r>
            <w:rPr>
              <w:sz w:val="21"/>
              <w:szCs w:val="21"/>
              <w:highlight w:val="none"/>
            </w:rPr>
            <w:fldChar w:fldCharType="separate"/>
          </w:r>
          <w:r>
            <w:rPr>
              <w:rFonts w:hint="eastAsia" w:ascii="Times New Roman" w:hAnsi="Times New Roman" w:cs="Times New Roman"/>
              <w:sz w:val="21"/>
              <w:szCs w:val="21"/>
              <w:highlight w:val="none"/>
              <w:lang w:val="en-US" w:eastAsia="zh-CN"/>
            </w:rPr>
            <w:t>2.3评价因子与评价标准</w:t>
          </w:r>
          <w:r>
            <w:rPr>
              <w:sz w:val="21"/>
              <w:szCs w:val="21"/>
              <w:highlight w:val="none"/>
            </w:rPr>
            <w:tab/>
          </w:r>
          <w:r>
            <w:rPr>
              <w:sz w:val="21"/>
              <w:szCs w:val="21"/>
              <w:highlight w:val="none"/>
            </w:rPr>
            <w:fldChar w:fldCharType="begin"/>
          </w:r>
          <w:r>
            <w:rPr>
              <w:sz w:val="21"/>
              <w:szCs w:val="21"/>
              <w:highlight w:val="none"/>
            </w:rPr>
            <w:instrText xml:space="preserve"> PAGEREF _Toc27124 \h </w:instrText>
          </w:r>
          <w:r>
            <w:rPr>
              <w:sz w:val="21"/>
              <w:szCs w:val="21"/>
              <w:highlight w:val="none"/>
            </w:rPr>
            <w:fldChar w:fldCharType="separate"/>
          </w:r>
          <w:r>
            <w:rPr>
              <w:sz w:val="21"/>
              <w:szCs w:val="21"/>
              <w:highlight w:val="none"/>
            </w:rPr>
            <w:t>27</w:t>
          </w:r>
          <w:r>
            <w:rPr>
              <w:sz w:val="21"/>
              <w:szCs w:val="21"/>
              <w:highlight w:val="none"/>
            </w:rPr>
            <w:fldChar w:fldCharType="end"/>
          </w:r>
          <w:r>
            <w:rPr>
              <w:sz w:val="21"/>
              <w:szCs w:val="21"/>
              <w:highlight w:val="none"/>
            </w:rPr>
            <w:fldChar w:fldCharType="end"/>
          </w:r>
        </w:p>
        <w:p w14:paraId="157FEC79">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_Toc29251 </w:instrText>
          </w:r>
          <w:r>
            <w:rPr>
              <w:sz w:val="21"/>
              <w:szCs w:val="21"/>
              <w:highlight w:val="none"/>
            </w:rPr>
            <w:fldChar w:fldCharType="separate"/>
          </w:r>
          <w:r>
            <w:rPr>
              <w:rFonts w:hint="eastAsia" w:ascii="Times New Roman" w:hAnsi="Times New Roman" w:eastAsia="宋体" w:cs="Times New Roman"/>
              <w:sz w:val="21"/>
              <w:szCs w:val="21"/>
              <w:highlight w:val="none"/>
              <w:lang w:val="en-US" w:eastAsia="zh-CN"/>
            </w:rPr>
            <w:t>2.3.1环境影响因素识别</w:t>
          </w:r>
          <w:r>
            <w:rPr>
              <w:sz w:val="21"/>
              <w:szCs w:val="21"/>
              <w:highlight w:val="none"/>
            </w:rPr>
            <w:tab/>
          </w:r>
          <w:r>
            <w:rPr>
              <w:sz w:val="21"/>
              <w:szCs w:val="21"/>
              <w:highlight w:val="none"/>
            </w:rPr>
            <w:fldChar w:fldCharType="begin"/>
          </w:r>
          <w:r>
            <w:rPr>
              <w:sz w:val="21"/>
              <w:szCs w:val="21"/>
              <w:highlight w:val="none"/>
            </w:rPr>
            <w:instrText xml:space="preserve"> PAGEREF _Toc29251 \h </w:instrText>
          </w:r>
          <w:r>
            <w:rPr>
              <w:sz w:val="21"/>
              <w:szCs w:val="21"/>
              <w:highlight w:val="none"/>
            </w:rPr>
            <w:fldChar w:fldCharType="separate"/>
          </w:r>
          <w:r>
            <w:rPr>
              <w:sz w:val="21"/>
              <w:szCs w:val="21"/>
              <w:highlight w:val="none"/>
            </w:rPr>
            <w:t>27</w:t>
          </w:r>
          <w:r>
            <w:rPr>
              <w:sz w:val="21"/>
              <w:szCs w:val="21"/>
              <w:highlight w:val="none"/>
            </w:rPr>
            <w:fldChar w:fldCharType="end"/>
          </w:r>
          <w:r>
            <w:rPr>
              <w:sz w:val="21"/>
              <w:szCs w:val="21"/>
              <w:highlight w:val="none"/>
            </w:rPr>
            <w:fldChar w:fldCharType="end"/>
          </w:r>
        </w:p>
        <w:p w14:paraId="6FA241AA">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_Toc7490 </w:instrText>
          </w:r>
          <w:r>
            <w:rPr>
              <w:sz w:val="21"/>
              <w:szCs w:val="21"/>
              <w:highlight w:val="none"/>
            </w:rPr>
            <w:fldChar w:fldCharType="separate"/>
          </w:r>
          <w:r>
            <w:rPr>
              <w:rFonts w:hint="eastAsia" w:ascii="Times New Roman" w:hAnsi="Times New Roman" w:eastAsia="宋体" w:cs="Times New Roman"/>
              <w:sz w:val="21"/>
              <w:szCs w:val="21"/>
              <w:highlight w:val="none"/>
              <w:lang w:val="en-US" w:eastAsia="zh-CN"/>
            </w:rPr>
            <w:t>2.3.2评价因子筛选</w:t>
          </w:r>
          <w:r>
            <w:rPr>
              <w:sz w:val="21"/>
              <w:szCs w:val="21"/>
              <w:highlight w:val="none"/>
            </w:rPr>
            <w:tab/>
          </w:r>
          <w:r>
            <w:rPr>
              <w:sz w:val="21"/>
              <w:szCs w:val="21"/>
              <w:highlight w:val="none"/>
            </w:rPr>
            <w:fldChar w:fldCharType="begin"/>
          </w:r>
          <w:r>
            <w:rPr>
              <w:sz w:val="21"/>
              <w:szCs w:val="21"/>
              <w:highlight w:val="none"/>
            </w:rPr>
            <w:instrText xml:space="preserve"> PAGEREF _Toc7490 \h </w:instrText>
          </w:r>
          <w:r>
            <w:rPr>
              <w:sz w:val="21"/>
              <w:szCs w:val="21"/>
              <w:highlight w:val="none"/>
            </w:rPr>
            <w:fldChar w:fldCharType="separate"/>
          </w:r>
          <w:r>
            <w:rPr>
              <w:sz w:val="21"/>
              <w:szCs w:val="21"/>
              <w:highlight w:val="none"/>
            </w:rPr>
            <w:t>29</w:t>
          </w:r>
          <w:r>
            <w:rPr>
              <w:sz w:val="21"/>
              <w:szCs w:val="21"/>
              <w:highlight w:val="none"/>
            </w:rPr>
            <w:fldChar w:fldCharType="end"/>
          </w:r>
          <w:r>
            <w:rPr>
              <w:sz w:val="21"/>
              <w:szCs w:val="21"/>
              <w:highlight w:val="none"/>
            </w:rPr>
            <w:fldChar w:fldCharType="end"/>
          </w:r>
        </w:p>
        <w:p w14:paraId="6CB96362">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_Toc9516 </w:instrText>
          </w:r>
          <w:r>
            <w:rPr>
              <w:sz w:val="21"/>
              <w:szCs w:val="21"/>
              <w:highlight w:val="none"/>
            </w:rPr>
            <w:fldChar w:fldCharType="separate"/>
          </w:r>
          <w:r>
            <w:rPr>
              <w:rFonts w:hint="default" w:ascii="Times New Roman" w:hAnsi="Times New Roman" w:cs="Times New Roman"/>
              <w:sz w:val="21"/>
              <w:szCs w:val="21"/>
              <w:highlight w:val="none"/>
              <w:lang w:val="en-US" w:eastAsia="zh-CN"/>
            </w:rPr>
            <w:t>2.3.3</w:t>
          </w:r>
          <w:r>
            <w:rPr>
              <w:rFonts w:hint="eastAsia"/>
              <w:sz w:val="21"/>
              <w:szCs w:val="21"/>
              <w:highlight w:val="none"/>
              <w:lang w:val="en-US" w:eastAsia="zh-CN"/>
            </w:rPr>
            <w:t>环境功能划分</w:t>
          </w:r>
          <w:r>
            <w:rPr>
              <w:sz w:val="21"/>
              <w:szCs w:val="21"/>
              <w:highlight w:val="none"/>
            </w:rPr>
            <w:tab/>
          </w:r>
          <w:r>
            <w:rPr>
              <w:sz w:val="21"/>
              <w:szCs w:val="21"/>
              <w:highlight w:val="none"/>
            </w:rPr>
            <w:fldChar w:fldCharType="begin"/>
          </w:r>
          <w:r>
            <w:rPr>
              <w:sz w:val="21"/>
              <w:szCs w:val="21"/>
              <w:highlight w:val="none"/>
            </w:rPr>
            <w:instrText xml:space="preserve"> PAGEREF _Toc9516 \h </w:instrText>
          </w:r>
          <w:r>
            <w:rPr>
              <w:sz w:val="21"/>
              <w:szCs w:val="21"/>
              <w:highlight w:val="none"/>
            </w:rPr>
            <w:fldChar w:fldCharType="separate"/>
          </w:r>
          <w:r>
            <w:rPr>
              <w:sz w:val="21"/>
              <w:szCs w:val="21"/>
              <w:highlight w:val="none"/>
            </w:rPr>
            <w:t>31</w:t>
          </w:r>
          <w:r>
            <w:rPr>
              <w:sz w:val="21"/>
              <w:szCs w:val="21"/>
              <w:highlight w:val="none"/>
            </w:rPr>
            <w:fldChar w:fldCharType="end"/>
          </w:r>
          <w:r>
            <w:rPr>
              <w:sz w:val="21"/>
              <w:szCs w:val="21"/>
              <w:highlight w:val="none"/>
            </w:rPr>
            <w:fldChar w:fldCharType="end"/>
          </w:r>
        </w:p>
        <w:p w14:paraId="05DF446E">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_Toc13479 </w:instrText>
          </w:r>
          <w:r>
            <w:rPr>
              <w:sz w:val="21"/>
              <w:szCs w:val="21"/>
              <w:highlight w:val="none"/>
            </w:rPr>
            <w:fldChar w:fldCharType="separate"/>
          </w:r>
          <w:r>
            <w:rPr>
              <w:rFonts w:hint="default" w:ascii="Times New Roman" w:hAnsi="Times New Roman" w:cs="Times New Roman"/>
              <w:sz w:val="21"/>
              <w:szCs w:val="21"/>
              <w:highlight w:val="none"/>
              <w:lang w:val="en-US" w:eastAsia="zh-CN"/>
            </w:rPr>
            <w:t>2.3.4</w:t>
          </w:r>
          <w:r>
            <w:rPr>
              <w:rFonts w:hint="eastAsia"/>
              <w:sz w:val="21"/>
              <w:szCs w:val="21"/>
              <w:highlight w:val="none"/>
              <w:lang w:val="en-US" w:eastAsia="zh-CN"/>
            </w:rPr>
            <w:t>评价标准</w:t>
          </w:r>
          <w:r>
            <w:rPr>
              <w:sz w:val="21"/>
              <w:szCs w:val="21"/>
              <w:highlight w:val="none"/>
            </w:rPr>
            <w:tab/>
          </w:r>
          <w:r>
            <w:rPr>
              <w:sz w:val="21"/>
              <w:szCs w:val="21"/>
              <w:highlight w:val="none"/>
            </w:rPr>
            <w:fldChar w:fldCharType="begin"/>
          </w:r>
          <w:r>
            <w:rPr>
              <w:sz w:val="21"/>
              <w:szCs w:val="21"/>
              <w:highlight w:val="none"/>
            </w:rPr>
            <w:instrText xml:space="preserve"> PAGEREF _Toc13479 \h </w:instrText>
          </w:r>
          <w:r>
            <w:rPr>
              <w:sz w:val="21"/>
              <w:szCs w:val="21"/>
              <w:highlight w:val="none"/>
            </w:rPr>
            <w:fldChar w:fldCharType="separate"/>
          </w:r>
          <w:r>
            <w:rPr>
              <w:sz w:val="21"/>
              <w:szCs w:val="21"/>
              <w:highlight w:val="none"/>
            </w:rPr>
            <w:t>31</w:t>
          </w:r>
          <w:r>
            <w:rPr>
              <w:sz w:val="21"/>
              <w:szCs w:val="21"/>
              <w:highlight w:val="none"/>
            </w:rPr>
            <w:fldChar w:fldCharType="end"/>
          </w:r>
          <w:r>
            <w:rPr>
              <w:sz w:val="21"/>
              <w:szCs w:val="21"/>
              <w:highlight w:val="none"/>
            </w:rPr>
            <w:fldChar w:fldCharType="end"/>
          </w:r>
        </w:p>
        <w:p w14:paraId="51A78C37">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_Toc2748 </w:instrText>
          </w:r>
          <w:r>
            <w:rPr>
              <w:sz w:val="21"/>
              <w:szCs w:val="21"/>
              <w:highlight w:val="none"/>
            </w:rPr>
            <w:fldChar w:fldCharType="separate"/>
          </w:r>
          <w:r>
            <w:rPr>
              <w:rFonts w:hint="default" w:ascii="Times New Roman" w:hAnsi="Times New Roman" w:cs="Times New Roman"/>
              <w:sz w:val="21"/>
              <w:szCs w:val="21"/>
              <w:highlight w:val="none"/>
              <w:lang w:val="en-US" w:eastAsia="zh-CN"/>
            </w:rPr>
            <w:t>2.4</w:t>
          </w:r>
          <w:r>
            <w:rPr>
              <w:rFonts w:hint="eastAsia"/>
              <w:sz w:val="21"/>
              <w:szCs w:val="21"/>
              <w:highlight w:val="none"/>
              <w:lang w:val="en-US" w:eastAsia="zh-CN"/>
            </w:rPr>
            <w:t>评价工作等级和评价范围</w:t>
          </w:r>
          <w:r>
            <w:rPr>
              <w:sz w:val="21"/>
              <w:szCs w:val="21"/>
              <w:highlight w:val="none"/>
            </w:rPr>
            <w:tab/>
          </w:r>
          <w:r>
            <w:rPr>
              <w:sz w:val="21"/>
              <w:szCs w:val="21"/>
              <w:highlight w:val="none"/>
            </w:rPr>
            <w:fldChar w:fldCharType="begin"/>
          </w:r>
          <w:r>
            <w:rPr>
              <w:sz w:val="21"/>
              <w:szCs w:val="21"/>
              <w:highlight w:val="none"/>
            </w:rPr>
            <w:instrText xml:space="preserve"> PAGEREF _Toc2748 \h </w:instrText>
          </w:r>
          <w:r>
            <w:rPr>
              <w:sz w:val="21"/>
              <w:szCs w:val="21"/>
              <w:highlight w:val="none"/>
            </w:rPr>
            <w:fldChar w:fldCharType="separate"/>
          </w:r>
          <w:r>
            <w:rPr>
              <w:sz w:val="21"/>
              <w:szCs w:val="21"/>
              <w:highlight w:val="none"/>
            </w:rPr>
            <w:t>36</w:t>
          </w:r>
          <w:r>
            <w:rPr>
              <w:sz w:val="21"/>
              <w:szCs w:val="21"/>
              <w:highlight w:val="none"/>
            </w:rPr>
            <w:fldChar w:fldCharType="end"/>
          </w:r>
          <w:r>
            <w:rPr>
              <w:sz w:val="21"/>
              <w:szCs w:val="21"/>
              <w:highlight w:val="none"/>
            </w:rPr>
            <w:fldChar w:fldCharType="end"/>
          </w:r>
        </w:p>
        <w:p w14:paraId="30F03140">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_Toc19548 </w:instrText>
          </w:r>
          <w:r>
            <w:rPr>
              <w:sz w:val="21"/>
              <w:szCs w:val="21"/>
              <w:highlight w:val="none"/>
            </w:rPr>
            <w:fldChar w:fldCharType="separate"/>
          </w:r>
          <w:r>
            <w:rPr>
              <w:rFonts w:hint="default" w:ascii="Times New Roman" w:hAnsi="Times New Roman" w:cs="Times New Roman"/>
              <w:sz w:val="21"/>
              <w:szCs w:val="21"/>
              <w:highlight w:val="none"/>
              <w:lang w:val="en-US" w:eastAsia="zh-CN"/>
            </w:rPr>
            <w:t>2.4.1</w:t>
          </w:r>
          <w:r>
            <w:rPr>
              <w:rFonts w:hint="eastAsia"/>
              <w:sz w:val="21"/>
              <w:szCs w:val="21"/>
              <w:highlight w:val="none"/>
              <w:lang w:val="en-US" w:eastAsia="zh-CN"/>
            </w:rPr>
            <w:t>环境空气评价</w:t>
          </w:r>
          <w:r>
            <w:rPr>
              <w:sz w:val="21"/>
              <w:szCs w:val="21"/>
              <w:highlight w:val="none"/>
            </w:rPr>
            <w:tab/>
          </w:r>
          <w:r>
            <w:rPr>
              <w:sz w:val="21"/>
              <w:szCs w:val="21"/>
              <w:highlight w:val="none"/>
            </w:rPr>
            <w:fldChar w:fldCharType="begin"/>
          </w:r>
          <w:r>
            <w:rPr>
              <w:sz w:val="21"/>
              <w:szCs w:val="21"/>
              <w:highlight w:val="none"/>
            </w:rPr>
            <w:instrText xml:space="preserve"> PAGEREF _Toc19548 \h </w:instrText>
          </w:r>
          <w:r>
            <w:rPr>
              <w:sz w:val="21"/>
              <w:szCs w:val="21"/>
              <w:highlight w:val="none"/>
            </w:rPr>
            <w:fldChar w:fldCharType="separate"/>
          </w:r>
          <w:r>
            <w:rPr>
              <w:sz w:val="21"/>
              <w:szCs w:val="21"/>
              <w:highlight w:val="none"/>
            </w:rPr>
            <w:t>36</w:t>
          </w:r>
          <w:r>
            <w:rPr>
              <w:sz w:val="21"/>
              <w:szCs w:val="21"/>
              <w:highlight w:val="none"/>
            </w:rPr>
            <w:fldChar w:fldCharType="end"/>
          </w:r>
          <w:r>
            <w:rPr>
              <w:sz w:val="21"/>
              <w:szCs w:val="21"/>
              <w:highlight w:val="none"/>
            </w:rPr>
            <w:fldChar w:fldCharType="end"/>
          </w:r>
        </w:p>
        <w:p w14:paraId="6F58F4AD">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_Toc1936 </w:instrText>
          </w:r>
          <w:r>
            <w:rPr>
              <w:sz w:val="21"/>
              <w:szCs w:val="21"/>
              <w:highlight w:val="none"/>
            </w:rPr>
            <w:fldChar w:fldCharType="separate"/>
          </w:r>
          <w:r>
            <w:rPr>
              <w:rFonts w:hint="default" w:ascii="Times New Roman" w:hAnsi="Times New Roman" w:cs="Times New Roman"/>
              <w:sz w:val="21"/>
              <w:szCs w:val="21"/>
              <w:highlight w:val="none"/>
              <w:lang w:val="en-US" w:eastAsia="zh-CN"/>
            </w:rPr>
            <w:t>2.4.2</w:t>
          </w:r>
          <w:r>
            <w:rPr>
              <w:rFonts w:hint="eastAsia"/>
              <w:sz w:val="21"/>
              <w:szCs w:val="21"/>
              <w:highlight w:val="none"/>
              <w:lang w:val="en-US" w:eastAsia="zh-CN"/>
            </w:rPr>
            <w:t>地表水环境</w:t>
          </w:r>
          <w:r>
            <w:rPr>
              <w:sz w:val="21"/>
              <w:szCs w:val="21"/>
              <w:highlight w:val="none"/>
            </w:rPr>
            <w:tab/>
          </w:r>
          <w:r>
            <w:rPr>
              <w:sz w:val="21"/>
              <w:szCs w:val="21"/>
              <w:highlight w:val="none"/>
            </w:rPr>
            <w:fldChar w:fldCharType="begin"/>
          </w:r>
          <w:r>
            <w:rPr>
              <w:sz w:val="21"/>
              <w:szCs w:val="21"/>
              <w:highlight w:val="none"/>
            </w:rPr>
            <w:instrText xml:space="preserve"> PAGEREF _Toc1936 \h </w:instrText>
          </w:r>
          <w:r>
            <w:rPr>
              <w:sz w:val="21"/>
              <w:szCs w:val="21"/>
              <w:highlight w:val="none"/>
            </w:rPr>
            <w:fldChar w:fldCharType="separate"/>
          </w:r>
          <w:r>
            <w:rPr>
              <w:sz w:val="21"/>
              <w:szCs w:val="21"/>
              <w:highlight w:val="none"/>
            </w:rPr>
            <w:t>44</w:t>
          </w:r>
          <w:r>
            <w:rPr>
              <w:sz w:val="21"/>
              <w:szCs w:val="21"/>
              <w:highlight w:val="none"/>
            </w:rPr>
            <w:fldChar w:fldCharType="end"/>
          </w:r>
          <w:r>
            <w:rPr>
              <w:sz w:val="21"/>
              <w:szCs w:val="21"/>
              <w:highlight w:val="none"/>
            </w:rPr>
            <w:fldChar w:fldCharType="end"/>
          </w:r>
        </w:p>
        <w:p w14:paraId="0E4E582E">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_Toc12973 </w:instrText>
          </w:r>
          <w:r>
            <w:rPr>
              <w:sz w:val="21"/>
              <w:szCs w:val="21"/>
              <w:highlight w:val="none"/>
            </w:rPr>
            <w:fldChar w:fldCharType="separate"/>
          </w:r>
          <w:r>
            <w:rPr>
              <w:rFonts w:hint="default" w:ascii="Times New Roman" w:hAnsi="Times New Roman" w:eastAsia="黑体" w:cs="Times New Roman"/>
              <w:sz w:val="21"/>
              <w:szCs w:val="21"/>
              <w:highlight w:val="none"/>
              <w:lang w:val="en-US" w:eastAsia="zh-CN"/>
            </w:rPr>
            <w:t>2.4.3</w:t>
          </w:r>
          <w:r>
            <w:rPr>
              <w:rFonts w:hint="eastAsia"/>
              <w:sz w:val="21"/>
              <w:szCs w:val="21"/>
              <w:highlight w:val="none"/>
              <w:lang w:val="en-US" w:eastAsia="zh-CN"/>
            </w:rPr>
            <w:t>地下水环境</w:t>
          </w:r>
          <w:r>
            <w:rPr>
              <w:sz w:val="21"/>
              <w:szCs w:val="21"/>
              <w:highlight w:val="none"/>
            </w:rPr>
            <w:tab/>
          </w:r>
          <w:r>
            <w:rPr>
              <w:sz w:val="21"/>
              <w:szCs w:val="21"/>
              <w:highlight w:val="none"/>
            </w:rPr>
            <w:fldChar w:fldCharType="begin"/>
          </w:r>
          <w:r>
            <w:rPr>
              <w:sz w:val="21"/>
              <w:szCs w:val="21"/>
              <w:highlight w:val="none"/>
            </w:rPr>
            <w:instrText xml:space="preserve"> PAGEREF _Toc12973 \h </w:instrText>
          </w:r>
          <w:r>
            <w:rPr>
              <w:sz w:val="21"/>
              <w:szCs w:val="21"/>
              <w:highlight w:val="none"/>
            </w:rPr>
            <w:fldChar w:fldCharType="separate"/>
          </w:r>
          <w:r>
            <w:rPr>
              <w:sz w:val="21"/>
              <w:szCs w:val="21"/>
              <w:highlight w:val="none"/>
            </w:rPr>
            <w:t>45</w:t>
          </w:r>
          <w:r>
            <w:rPr>
              <w:sz w:val="21"/>
              <w:szCs w:val="21"/>
              <w:highlight w:val="none"/>
            </w:rPr>
            <w:fldChar w:fldCharType="end"/>
          </w:r>
          <w:r>
            <w:rPr>
              <w:sz w:val="21"/>
              <w:szCs w:val="21"/>
              <w:highlight w:val="none"/>
            </w:rPr>
            <w:fldChar w:fldCharType="end"/>
          </w:r>
        </w:p>
        <w:p w14:paraId="4E78EB8F">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_Toc17500 </w:instrText>
          </w:r>
          <w:r>
            <w:rPr>
              <w:sz w:val="21"/>
              <w:szCs w:val="21"/>
              <w:highlight w:val="none"/>
            </w:rPr>
            <w:fldChar w:fldCharType="separate"/>
          </w:r>
          <w:r>
            <w:rPr>
              <w:rFonts w:hint="default" w:ascii="Times New Roman" w:hAnsi="Times New Roman" w:cs="Times New Roman"/>
              <w:sz w:val="21"/>
              <w:szCs w:val="21"/>
              <w:highlight w:val="none"/>
              <w:lang w:val="en-US" w:eastAsia="zh-CN"/>
            </w:rPr>
            <w:t>2.4.4</w:t>
          </w:r>
          <w:r>
            <w:rPr>
              <w:rFonts w:hint="eastAsia"/>
              <w:sz w:val="21"/>
              <w:szCs w:val="21"/>
              <w:highlight w:val="none"/>
              <w:lang w:val="en-US" w:eastAsia="zh-CN"/>
            </w:rPr>
            <w:t>声环境</w:t>
          </w:r>
          <w:r>
            <w:rPr>
              <w:sz w:val="21"/>
              <w:szCs w:val="21"/>
              <w:highlight w:val="none"/>
            </w:rPr>
            <w:tab/>
          </w:r>
          <w:r>
            <w:rPr>
              <w:sz w:val="21"/>
              <w:szCs w:val="21"/>
              <w:highlight w:val="none"/>
            </w:rPr>
            <w:fldChar w:fldCharType="begin"/>
          </w:r>
          <w:r>
            <w:rPr>
              <w:sz w:val="21"/>
              <w:szCs w:val="21"/>
              <w:highlight w:val="none"/>
            </w:rPr>
            <w:instrText xml:space="preserve"> PAGEREF _Toc17500 \h </w:instrText>
          </w:r>
          <w:r>
            <w:rPr>
              <w:sz w:val="21"/>
              <w:szCs w:val="21"/>
              <w:highlight w:val="none"/>
            </w:rPr>
            <w:fldChar w:fldCharType="separate"/>
          </w:r>
          <w:r>
            <w:rPr>
              <w:sz w:val="21"/>
              <w:szCs w:val="21"/>
              <w:highlight w:val="none"/>
            </w:rPr>
            <w:t>45</w:t>
          </w:r>
          <w:r>
            <w:rPr>
              <w:sz w:val="21"/>
              <w:szCs w:val="21"/>
              <w:highlight w:val="none"/>
            </w:rPr>
            <w:fldChar w:fldCharType="end"/>
          </w:r>
          <w:r>
            <w:rPr>
              <w:sz w:val="21"/>
              <w:szCs w:val="21"/>
              <w:highlight w:val="none"/>
            </w:rPr>
            <w:fldChar w:fldCharType="end"/>
          </w:r>
        </w:p>
        <w:p w14:paraId="405A9D10">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_Toc6827 </w:instrText>
          </w:r>
          <w:r>
            <w:rPr>
              <w:sz w:val="21"/>
              <w:szCs w:val="21"/>
              <w:highlight w:val="none"/>
            </w:rPr>
            <w:fldChar w:fldCharType="separate"/>
          </w:r>
          <w:r>
            <w:rPr>
              <w:rFonts w:hint="default" w:ascii="Times New Roman" w:hAnsi="Times New Roman" w:cs="Times New Roman"/>
              <w:sz w:val="21"/>
              <w:szCs w:val="21"/>
              <w:highlight w:val="none"/>
              <w:lang w:val="en-US" w:eastAsia="zh-CN"/>
            </w:rPr>
            <w:t>2.4.5</w:t>
          </w:r>
          <w:r>
            <w:rPr>
              <w:rFonts w:hint="eastAsia"/>
              <w:sz w:val="21"/>
              <w:szCs w:val="21"/>
              <w:highlight w:val="none"/>
              <w:lang w:val="en-US" w:eastAsia="zh-CN"/>
            </w:rPr>
            <w:t>土壤环境</w:t>
          </w:r>
          <w:r>
            <w:rPr>
              <w:sz w:val="21"/>
              <w:szCs w:val="21"/>
              <w:highlight w:val="none"/>
            </w:rPr>
            <w:tab/>
          </w:r>
          <w:r>
            <w:rPr>
              <w:sz w:val="21"/>
              <w:szCs w:val="21"/>
              <w:highlight w:val="none"/>
            </w:rPr>
            <w:fldChar w:fldCharType="begin"/>
          </w:r>
          <w:r>
            <w:rPr>
              <w:sz w:val="21"/>
              <w:szCs w:val="21"/>
              <w:highlight w:val="none"/>
            </w:rPr>
            <w:instrText xml:space="preserve"> PAGEREF _Toc6827 \h </w:instrText>
          </w:r>
          <w:r>
            <w:rPr>
              <w:sz w:val="21"/>
              <w:szCs w:val="21"/>
              <w:highlight w:val="none"/>
            </w:rPr>
            <w:fldChar w:fldCharType="separate"/>
          </w:r>
          <w:r>
            <w:rPr>
              <w:sz w:val="21"/>
              <w:szCs w:val="21"/>
              <w:highlight w:val="none"/>
            </w:rPr>
            <w:t>47</w:t>
          </w:r>
          <w:r>
            <w:rPr>
              <w:sz w:val="21"/>
              <w:szCs w:val="21"/>
              <w:highlight w:val="none"/>
            </w:rPr>
            <w:fldChar w:fldCharType="end"/>
          </w:r>
          <w:r>
            <w:rPr>
              <w:sz w:val="21"/>
              <w:szCs w:val="21"/>
              <w:highlight w:val="none"/>
            </w:rPr>
            <w:fldChar w:fldCharType="end"/>
          </w:r>
        </w:p>
        <w:p w14:paraId="16925FFD">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_Toc26713 </w:instrText>
          </w:r>
          <w:r>
            <w:rPr>
              <w:sz w:val="21"/>
              <w:szCs w:val="21"/>
              <w:highlight w:val="none"/>
            </w:rPr>
            <w:fldChar w:fldCharType="separate"/>
          </w:r>
          <w:r>
            <w:rPr>
              <w:rFonts w:hint="default" w:ascii="Times New Roman" w:hAnsi="Times New Roman" w:cs="Times New Roman"/>
              <w:sz w:val="21"/>
              <w:szCs w:val="21"/>
              <w:highlight w:val="none"/>
              <w:lang w:val="en-US" w:eastAsia="zh-CN"/>
            </w:rPr>
            <w:t>2.4.6</w:t>
          </w:r>
          <w:r>
            <w:rPr>
              <w:rFonts w:hint="eastAsia"/>
              <w:sz w:val="21"/>
              <w:szCs w:val="21"/>
              <w:highlight w:val="none"/>
              <w:lang w:val="en-US" w:eastAsia="zh-CN"/>
            </w:rPr>
            <w:t>生态环境</w:t>
          </w:r>
          <w:r>
            <w:rPr>
              <w:sz w:val="21"/>
              <w:szCs w:val="21"/>
              <w:highlight w:val="none"/>
            </w:rPr>
            <w:tab/>
          </w:r>
          <w:r>
            <w:rPr>
              <w:sz w:val="21"/>
              <w:szCs w:val="21"/>
              <w:highlight w:val="none"/>
            </w:rPr>
            <w:fldChar w:fldCharType="begin"/>
          </w:r>
          <w:r>
            <w:rPr>
              <w:sz w:val="21"/>
              <w:szCs w:val="21"/>
              <w:highlight w:val="none"/>
            </w:rPr>
            <w:instrText xml:space="preserve"> PAGEREF _Toc26713 \h </w:instrText>
          </w:r>
          <w:r>
            <w:rPr>
              <w:sz w:val="21"/>
              <w:szCs w:val="21"/>
              <w:highlight w:val="none"/>
            </w:rPr>
            <w:fldChar w:fldCharType="separate"/>
          </w:r>
          <w:r>
            <w:rPr>
              <w:sz w:val="21"/>
              <w:szCs w:val="21"/>
              <w:highlight w:val="none"/>
            </w:rPr>
            <w:t>48</w:t>
          </w:r>
          <w:r>
            <w:rPr>
              <w:sz w:val="21"/>
              <w:szCs w:val="21"/>
              <w:highlight w:val="none"/>
            </w:rPr>
            <w:fldChar w:fldCharType="end"/>
          </w:r>
          <w:r>
            <w:rPr>
              <w:sz w:val="21"/>
              <w:szCs w:val="21"/>
              <w:highlight w:val="none"/>
            </w:rPr>
            <w:fldChar w:fldCharType="end"/>
          </w:r>
        </w:p>
        <w:p w14:paraId="1397FBFE">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_Toc30068 </w:instrText>
          </w:r>
          <w:r>
            <w:rPr>
              <w:sz w:val="21"/>
              <w:szCs w:val="21"/>
              <w:highlight w:val="none"/>
            </w:rPr>
            <w:fldChar w:fldCharType="separate"/>
          </w:r>
          <w:r>
            <w:rPr>
              <w:rFonts w:hint="default" w:ascii="Times New Roman" w:hAnsi="Times New Roman" w:cs="Times New Roman"/>
              <w:sz w:val="21"/>
              <w:szCs w:val="21"/>
              <w:highlight w:val="none"/>
              <w:lang w:val="en-US" w:eastAsia="zh-CN"/>
            </w:rPr>
            <w:t>2.4.7</w:t>
          </w:r>
          <w:r>
            <w:rPr>
              <w:rFonts w:hint="eastAsia"/>
              <w:sz w:val="21"/>
              <w:szCs w:val="21"/>
              <w:highlight w:val="none"/>
              <w:lang w:val="en-US" w:eastAsia="zh-CN"/>
            </w:rPr>
            <w:t>环境风险</w:t>
          </w:r>
          <w:r>
            <w:rPr>
              <w:sz w:val="21"/>
              <w:szCs w:val="21"/>
              <w:highlight w:val="none"/>
            </w:rPr>
            <w:tab/>
          </w:r>
          <w:r>
            <w:rPr>
              <w:sz w:val="21"/>
              <w:szCs w:val="21"/>
              <w:highlight w:val="none"/>
            </w:rPr>
            <w:fldChar w:fldCharType="begin"/>
          </w:r>
          <w:r>
            <w:rPr>
              <w:sz w:val="21"/>
              <w:szCs w:val="21"/>
              <w:highlight w:val="none"/>
            </w:rPr>
            <w:instrText xml:space="preserve"> PAGEREF _Toc30068 \h </w:instrText>
          </w:r>
          <w:r>
            <w:rPr>
              <w:sz w:val="21"/>
              <w:szCs w:val="21"/>
              <w:highlight w:val="none"/>
            </w:rPr>
            <w:fldChar w:fldCharType="separate"/>
          </w:r>
          <w:r>
            <w:rPr>
              <w:sz w:val="21"/>
              <w:szCs w:val="21"/>
              <w:highlight w:val="none"/>
            </w:rPr>
            <w:t>49</w:t>
          </w:r>
          <w:r>
            <w:rPr>
              <w:sz w:val="21"/>
              <w:szCs w:val="21"/>
              <w:highlight w:val="none"/>
            </w:rPr>
            <w:fldChar w:fldCharType="end"/>
          </w:r>
          <w:r>
            <w:rPr>
              <w:sz w:val="21"/>
              <w:szCs w:val="21"/>
              <w:highlight w:val="none"/>
            </w:rPr>
            <w:fldChar w:fldCharType="end"/>
          </w:r>
        </w:p>
        <w:p w14:paraId="43EFEA3F">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_Toc29670 </w:instrText>
          </w:r>
          <w:r>
            <w:rPr>
              <w:sz w:val="21"/>
              <w:szCs w:val="21"/>
              <w:highlight w:val="none"/>
            </w:rPr>
            <w:fldChar w:fldCharType="separate"/>
          </w:r>
          <w:r>
            <w:rPr>
              <w:rFonts w:hint="default" w:ascii="Times New Roman" w:hAnsi="Times New Roman" w:cs="Times New Roman"/>
              <w:sz w:val="21"/>
              <w:szCs w:val="21"/>
              <w:highlight w:val="none"/>
              <w:lang w:val="en-US" w:eastAsia="zh-CN"/>
            </w:rPr>
            <w:t>2.5</w:t>
          </w:r>
          <w:r>
            <w:rPr>
              <w:rFonts w:hint="eastAsia"/>
              <w:sz w:val="21"/>
              <w:szCs w:val="21"/>
              <w:highlight w:val="none"/>
              <w:lang w:val="en-US" w:eastAsia="zh-CN"/>
            </w:rPr>
            <w:t>环境保护目标</w:t>
          </w:r>
          <w:r>
            <w:rPr>
              <w:sz w:val="21"/>
              <w:szCs w:val="21"/>
              <w:highlight w:val="none"/>
            </w:rPr>
            <w:tab/>
          </w:r>
          <w:r>
            <w:rPr>
              <w:sz w:val="21"/>
              <w:szCs w:val="21"/>
              <w:highlight w:val="none"/>
            </w:rPr>
            <w:fldChar w:fldCharType="begin"/>
          </w:r>
          <w:r>
            <w:rPr>
              <w:sz w:val="21"/>
              <w:szCs w:val="21"/>
              <w:highlight w:val="none"/>
            </w:rPr>
            <w:instrText xml:space="preserve"> PAGEREF _Toc29670 \h </w:instrText>
          </w:r>
          <w:r>
            <w:rPr>
              <w:sz w:val="21"/>
              <w:szCs w:val="21"/>
              <w:highlight w:val="none"/>
            </w:rPr>
            <w:fldChar w:fldCharType="separate"/>
          </w:r>
          <w:r>
            <w:rPr>
              <w:sz w:val="21"/>
              <w:szCs w:val="21"/>
              <w:highlight w:val="none"/>
            </w:rPr>
            <w:t>50</w:t>
          </w:r>
          <w:r>
            <w:rPr>
              <w:sz w:val="21"/>
              <w:szCs w:val="21"/>
              <w:highlight w:val="none"/>
            </w:rPr>
            <w:fldChar w:fldCharType="end"/>
          </w:r>
          <w:r>
            <w:rPr>
              <w:sz w:val="21"/>
              <w:szCs w:val="21"/>
              <w:highlight w:val="none"/>
            </w:rPr>
            <w:fldChar w:fldCharType="end"/>
          </w:r>
        </w:p>
        <w:p w14:paraId="7C85A961">
          <w:pPr>
            <w:pStyle w:val="14"/>
            <w:tabs>
              <w:tab w:val="right" w:leader="dot" w:pos="8306"/>
            </w:tabs>
            <w:spacing w:line="240" w:lineRule="auto"/>
            <w:ind w:left="0" w:leftChars="0" w:firstLine="420" w:firstLineChars="200"/>
            <w:rPr>
              <w:sz w:val="21"/>
              <w:szCs w:val="21"/>
              <w:highlight w:val="none"/>
            </w:rPr>
          </w:pPr>
          <w:r>
            <w:rPr>
              <w:sz w:val="21"/>
              <w:szCs w:val="21"/>
              <w:highlight w:val="none"/>
            </w:rPr>
            <w:fldChar w:fldCharType="begin"/>
          </w:r>
          <w:r>
            <w:rPr>
              <w:sz w:val="21"/>
              <w:szCs w:val="21"/>
              <w:highlight w:val="none"/>
            </w:rPr>
            <w:instrText xml:space="preserve"> HYPERLINK \l _Toc11958 </w:instrText>
          </w:r>
          <w:r>
            <w:rPr>
              <w:sz w:val="21"/>
              <w:szCs w:val="21"/>
              <w:highlight w:val="none"/>
            </w:rPr>
            <w:fldChar w:fldCharType="separate"/>
          </w:r>
          <w:r>
            <w:rPr>
              <w:rFonts w:hint="eastAsia"/>
              <w:sz w:val="21"/>
              <w:szCs w:val="21"/>
              <w:highlight w:val="none"/>
              <w:lang w:val="en-US" w:eastAsia="zh-CN"/>
            </w:rPr>
            <w:t>3工程概况及工程分析</w:t>
          </w:r>
          <w:r>
            <w:rPr>
              <w:sz w:val="21"/>
              <w:szCs w:val="21"/>
              <w:highlight w:val="none"/>
            </w:rPr>
            <w:tab/>
          </w:r>
          <w:r>
            <w:rPr>
              <w:sz w:val="21"/>
              <w:szCs w:val="21"/>
              <w:highlight w:val="none"/>
            </w:rPr>
            <w:fldChar w:fldCharType="begin"/>
          </w:r>
          <w:r>
            <w:rPr>
              <w:sz w:val="21"/>
              <w:szCs w:val="21"/>
              <w:highlight w:val="none"/>
            </w:rPr>
            <w:instrText xml:space="preserve"> PAGEREF _Toc11958 \h </w:instrText>
          </w:r>
          <w:r>
            <w:rPr>
              <w:sz w:val="21"/>
              <w:szCs w:val="21"/>
              <w:highlight w:val="none"/>
            </w:rPr>
            <w:fldChar w:fldCharType="separate"/>
          </w:r>
          <w:r>
            <w:rPr>
              <w:sz w:val="21"/>
              <w:szCs w:val="21"/>
              <w:highlight w:val="none"/>
            </w:rPr>
            <w:t>58</w:t>
          </w:r>
          <w:r>
            <w:rPr>
              <w:sz w:val="21"/>
              <w:szCs w:val="21"/>
              <w:highlight w:val="none"/>
            </w:rPr>
            <w:fldChar w:fldCharType="end"/>
          </w:r>
          <w:r>
            <w:rPr>
              <w:sz w:val="21"/>
              <w:szCs w:val="21"/>
              <w:highlight w:val="none"/>
            </w:rPr>
            <w:fldChar w:fldCharType="end"/>
          </w:r>
        </w:p>
        <w:p w14:paraId="685A467B">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_Toc9601 </w:instrText>
          </w:r>
          <w:r>
            <w:rPr>
              <w:sz w:val="21"/>
              <w:szCs w:val="21"/>
              <w:highlight w:val="none"/>
            </w:rPr>
            <w:fldChar w:fldCharType="separate"/>
          </w:r>
          <w:r>
            <w:rPr>
              <w:rFonts w:hint="default" w:ascii="Times New Roman" w:hAnsi="Times New Roman" w:cs="Times New Roman"/>
              <w:sz w:val="21"/>
              <w:szCs w:val="21"/>
              <w:highlight w:val="none"/>
              <w:lang w:val="en-US" w:eastAsia="zh-CN"/>
            </w:rPr>
            <w:t>3.1</w:t>
          </w:r>
          <w:r>
            <w:rPr>
              <w:rFonts w:hint="eastAsia"/>
              <w:sz w:val="21"/>
              <w:szCs w:val="21"/>
              <w:highlight w:val="none"/>
              <w:lang w:val="en-US" w:eastAsia="zh-CN"/>
            </w:rPr>
            <w:t>建设项目概况</w:t>
          </w:r>
          <w:r>
            <w:rPr>
              <w:sz w:val="21"/>
              <w:szCs w:val="21"/>
              <w:highlight w:val="none"/>
            </w:rPr>
            <w:tab/>
          </w:r>
          <w:r>
            <w:rPr>
              <w:sz w:val="21"/>
              <w:szCs w:val="21"/>
              <w:highlight w:val="none"/>
            </w:rPr>
            <w:fldChar w:fldCharType="begin"/>
          </w:r>
          <w:r>
            <w:rPr>
              <w:sz w:val="21"/>
              <w:szCs w:val="21"/>
              <w:highlight w:val="none"/>
            </w:rPr>
            <w:instrText xml:space="preserve"> PAGEREF _Toc9601 \h </w:instrText>
          </w:r>
          <w:r>
            <w:rPr>
              <w:sz w:val="21"/>
              <w:szCs w:val="21"/>
              <w:highlight w:val="none"/>
            </w:rPr>
            <w:fldChar w:fldCharType="separate"/>
          </w:r>
          <w:r>
            <w:rPr>
              <w:sz w:val="21"/>
              <w:szCs w:val="21"/>
              <w:highlight w:val="none"/>
            </w:rPr>
            <w:t>58</w:t>
          </w:r>
          <w:r>
            <w:rPr>
              <w:sz w:val="21"/>
              <w:szCs w:val="21"/>
              <w:highlight w:val="none"/>
            </w:rPr>
            <w:fldChar w:fldCharType="end"/>
          </w:r>
          <w:r>
            <w:rPr>
              <w:sz w:val="21"/>
              <w:szCs w:val="21"/>
              <w:highlight w:val="none"/>
            </w:rPr>
            <w:fldChar w:fldCharType="end"/>
          </w:r>
        </w:p>
        <w:p w14:paraId="7D59C183">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_Toc11868 </w:instrText>
          </w:r>
          <w:r>
            <w:rPr>
              <w:sz w:val="21"/>
              <w:szCs w:val="21"/>
              <w:highlight w:val="none"/>
            </w:rPr>
            <w:fldChar w:fldCharType="separate"/>
          </w:r>
          <w:r>
            <w:rPr>
              <w:rFonts w:hint="default" w:ascii="Times New Roman" w:hAnsi="Times New Roman" w:cs="Times New Roman"/>
              <w:sz w:val="21"/>
              <w:szCs w:val="21"/>
              <w:highlight w:val="none"/>
              <w:lang w:val="en-US" w:eastAsia="zh-CN"/>
            </w:rPr>
            <w:t>3.1.1</w:t>
          </w:r>
          <w:r>
            <w:rPr>
              <w:rFonts w:hint="eastAsia"/>
              <w:sz w:val="21"/>
              <w:szCs w:val="21"/>
              <w:highlight w:val="none"/>
              <w:lang w:val="en-US" w:eastAsia="zh-CN"/>
            </w:rPr>
            <w:t>现有工程梳理</w:t>
          </w:r>
          <w:r>
            <w:rPr>
              <w:sz w:val="21"/>
              <w:szCs w:val="21"/>
              <w:highlight w:val="none"/>
            </w:rPr>
            <w:tab/>
          </w:r>
          <w:r>
            <w:rPr>
              <w:sz w:val="21"/>
              <w:szCs w:val="21"/>
              <w:highlight w:val="none"/>
            </w:rPr>
            <w:fldChar w:fldCharType="begin"/>
          </w:r>
          <w:r>
            <w:rPr>
              <w:sz w:val="21"/>
              <w:szCs w:val="21"/>
              <w:highlight w:val="none"/>
            </w:rPr>
            <w:instrText xml:space="preserve"> PAGEREF _Toc11868 \h </w:instrText>
          </w:r>
          <w:r>
            <w:rPr>
              <w:sz w:val="21"/>
              <w:szCs w:val="21"/>
              <w:highlight w:val="none"/>
            </w:rPr>
            <w:fldChar w:fldCharType="separate"/>
          </w:r>
          <w:r>
            <w:rPr>
              <w:sz w:val="21"/>
              <w:szCs w:val="21"/>
              <w:highlight w:val="none"/>
            </w:rPr>
            <w:t>58</w:t>
          </w:r>
          <w:r>
            <w:rPr>
              <w:sz w:val="21"/>
              <w:szCs w:val="21"/>
              <w:highlight w:val="none"/>
            </w:rPr>
            <w:fldChar w:fldCharType="end"/>
          </w:r>
          <w:r>
            <w:rPr>
              <w:sz w:val="21"/>
              <w:szCs w:val="21"/>
              <w:highlight w:val="none"/>
            </w:rPr>
            <w:fldChar w:fldCharType="end"/>
          </w:r>
        </w:p>
        <w:p w14:paraId="57FB827B">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_Toc25416 </w:instrText>
          </w:r>
          <w:r>
            <w:rPr>
              <w:sz w:val="21"/>
              <w:szCs w:val="21"/>
              <w:highlight w:val="none"/>
            </w:rPr>
            <w:fldChar w:fldCharType="separate"/>
          </w:r>
          <w:r>
            <w:rPr>
              <w:rFonts w:hint="default" w:ascii="Times New Roman" w:hAnsi="Times New Roman" w:cs="Times New Roman"/>
              <w:sz w:val="21"/>
              <w:szCs w:val="21"/>
              <w:highlight w:val="none"/>
              <w:lang w:val="en-US" w:eastAsia="zh-CN"/>
            </w:rPr>
            <w:t>3.1.</w:t>
          </w:r>
          <w:r>
            <w:rPr>
              <w:rFonts w:hint="eastAsia" w:ascii="Times New Roman" w:hAnsi="Times New Roman" w:cs="Times New Roman"/>
              <w:sz w:val="21"/>
              <w:szCs w:val="21"/>
              <w:highlight w:val="none"/>
              <w:lang w:val="en-US" w:eastAsia="zh-CN"/>
            </w:rPr>
            <w:t>2现有</w:t>
          </w:r>
          <w:r>
            <w:rPr>
              <w:rFonts w:hint="eastAsia"/>
              <w:sz w:val="21"/>
              <w:szCs w:val="21"/>
              <w:highlight w:val="none"/>
              <w:lang w:val="en-US" w:eastAsia="zh-CN"/>
            </w:rPr>
            <w:t>工程概况</w:t>
          </w:r>
          <w:r>
            <w:rPr>
              <w:sz w:val="21"/>
              <w:szCs w:val="21"/>
              <w:highlight w:val="none"/>
            </w:rPr>
            <w:tab/>
          </w:r>
          <w:r>
            <w:rPr>
              <w:sz w:val="21"/>
              <w:szCs w:val="21"/>
              <w:highlight w:val="none"/>
            </w:rPr>
            <w:fldChar w:fldCharType="begin"/>
          </w:r>
          <w:r>
            <w:rPr>
              <w:sz w:val="21"/>
              <w:szCs w:val="21"/>
              <w:highlight w:val="none"/>
            </w:rPr>
            <w:instrText xml:space="preserve"> PAGEREF _Toc25416 \h </w:instrText>
          </w:r>
          <w:r>
            <w:rPr>
              <w:sz w:val="21"/>
              <w:szCs w:val="21"/>
              <w:highlight w:val="none"/>
            </w:rPr>
            <w:fldChar w:fldCharType="separate"/>
          </w:r>
          <w:r>
            <w:rPr>
              <w:sz w:val="21"/>
              <w:szCs w:val="21"/>
              <w:highlight w:val="none"/>
            </w:rPr>
            <w:t>61</w:t>
          </w:r>
          <w:r>
            <w:rPr>
              <w:sz w:val="21"/>
              <w:szCs w:val="21"/>
              <w:highlight w:val="none"/>
            </w:rPr>
            <w:fldChar w:fldCharType="end"/>
          </w:r>
          <w:r>
            <w:rPr>
              <w:sz w:val="21"/>
              <w:szCs w:val="21"/>
              <w:highlight w:val="none"/>
            </w:rPr>
            <w:fldChar w:fldCharType="end"/>
          </w:r>
        </w:p>
        <w:p w14:paraId="26010C51">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_Toc20608 </w:instrText>
          </w:r>
          <w:r>
            <w:rPr>
              <w:sz w:val="21"/>
              <w:szCs w:val="21"/>
              <w:highlight w:val="none"/>
            </w:rPr>
            <w:fldChar w:fldCharType="separate"/>
          </w:r>
          <w:r>
            <w:rPr>
              <w:rFonts w:hint="default" w:ascii="Times New Roman" w:hAnsi="Times New Roman" w:cs="Times New Roman"/>
              <w:sz w:val="21"/>
              <w:szCs w:val="21"/>
              <w:highlight w:val="none"/>
              <w:lang w:val="en-US" w:eastAsia="zh-CN"/>
            </w:rPr>
            <w:t>3.1.</w:t>
          </w:r>
          <w:r>
            <w:rPr>
              <w:rFonts w:hint="eastAsia" w:ascii="Times New Roman" w:hAnsi="Times New Roman" w:cs="Times New Roman"/>
              <w:sz w:val="21"/>
              <w:szCs w:val="21"/>
              <w:highlight w:val="none"/>
              <w:lang w:val="en-US" w:eastAsia="zh-CN"/>
            </w:rPr>
            <w:t>3现有工程</w:t>
          </w:r>
          <w:r>
            <w:rPr>
              <w:rFonts w:hint="eastAsia"/>
              <w:sz w:val="21"/>
              <w:szCs w:val="21"/>
              <w:highlight w:val="none"/>
              <w:lang w:val="en-US" w:eastAsia="zh-CN"/>
            </w:rPr>
            <w:t>建设内容与规模</w:t>
          </w:r>
          <w:r>
            <w:rPr>
              <w:sz w:val="21"/>
              <w:szCs w:val="21"/>
              <w:highlight w:val="none"/>
            </w:rPr>
            <w:tab/>
          </w:r>
          <w:r>
            <w:rPr>
              <w:sz w:val="21"/>
              <w:szCs w:val="21"/>
              <w:highlight w:val="none"/>
            </w:rPr>
            <w:fldChar w:fldCharType="begin"/>
          </w:r>
          <w:r>
            <w:rPr>
              <w:sz w:val="21"/>
              <w:szCs w:val="21"/>
              <w:highlight w:val="none"/>
            </w:rPr>
            <w:instrText xml:space="preserve"> PAGEREF _Toc20608 \h </w:instrText>
          </w:r>
          <w:r>
            <w:rPr>
              <w:sz w:val="21"/>
              <w:szCs w:val="21"/>
              <w:highlight w:val="none"/>
            </w:rPr>
            <w:fldChar w:fldCharType="separate"/>
          </w:r>
          <w:r>
            <w:rPr>
              <w:sz w:val="21"/>
              <w:szCs w:val="21"/>
              <w:highlight w:val="none"/>
            </w:rPr>
            <w:t>61</w:t>
          </w:r>
          <w:r>
            <w:rPr>
              <w:sz w:val="21"/>
              <w:szCs w:val="21"/>
              <w:highlight w:val="none"/>
            </w:rPr>
            <w:fldChar w:fldCharType="end"/>
          </w:r>
          <w:r>
            <w:rPr>
              <w:sz w:val="21"/>
              <w:szCs w:val="21"/>
              <w:highlight w:val="none"/>
            </w:rPr>
            <w:fldChar w:fldCharType="end"/>
          </w:r>
        </w:p>
        <w:p w14:paraId="216B2BFA">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_Toc13714 </w:instrText>
          </w:r>
          <w:r>
            <w:rPr>
              <w:sz w:val="21"/>
              <w:szCs w:val="21"/>
              <w:highlight w:val="none"/>
            </w:rPr>
            <w:fldChar w:fldCharType="separate"/>
          </w:r>
          <w:r>
            <w:rPr>
              <w:rFonts w:hint="default" w:ascii="Times New Roman" w:hAnsi="Times New Roman" w:cs="Times New Roman"/>
              <w:sz w:val="21"/>
              <w:szCs w:val="21"/>
              <w:highlight w:val="none"/>
              <w:lang w:val="en-US" w:eastAsia="zh-CN"/>
            </w:rPr>
            <w:t>3.1.</w:t>
          </w:r>
          <w:r>
            <w:rPr>
              <w:rFonts w:hint="eastAsia" w:ascii="Times New Roman" w:hAnsi="Times New Roman" w:cs="Times New Roman"/>
              <w:sz w:val="21"/>
              <w:szCs w:val="21"/>
              <w:highlight w:val="none"/>
              <w:lang w:val="en-US" w:eastAsia="zh-CN"/>
            </w:rPr>
            <w:t>4</w:t>
          </w:r>
          <w:r>
            <w:rPr>
              <w:rFonts w:hint="eastAsia"/>
              <w:sz w:val="21"/>
              <w:szCs w:val="21"/>
              <w:highlight w:val="none"/>
              <w:lang w:val="en-US" w:eastAsia="zh-CN"/>
            </w:rPr>
            <w:t>设备方案</w:t>
          </w:r>
          <w:r>
            <w:rPr>
              <w:sz w:val="21"/>
              <w:szCs w:val="21"/>
              <w:highlight w:val="none"/>
            </w:rPr>
            <w:tab/>
          </w:r>
          <w:r>
            <w:rPr>
              <w:sz w:val="21"/>
              <w:szCs w:val="21"/>
              <w:highlight w:val="none"/>
            </w:rPr>
            <w:fldChar w:fldCharType="begin"/>
          </w:r>
          <w:r>
            <w:rPr>
              <w:sz w:val="21"/>
              <w:szCs w:val="21"/>
              <w:highlight w:val="none"/>
            </w:rPr>
            <w:instrText xml:space="preserve"> PAGEREF _Toc13714 \h </w:instrText>
          </w:r>
          <w:r>
            <w:rPr>
              <w:sz w:val="21"/>
              <w:szCs w:val="21"/>
              <w:highlight w:val="none"/>
            </w:rPr>
            <w:fldChar w:fldCharType="separate"/>
          </w:r>
          <w:r>
            <w:rPr>
              <w:sz w:val="21"/>
              <w:szCs w:val="21"/>
              <w:highlight w:val="none"/>
            </w:rPr>
            <w:t>64</w:t>
          </w:r>
          <w:r>
            <w:rPr>
              <w:sz w:val="21"/>
              <w:szCs w:val="21"/>
              <w:highlight w:val="none"/>
            </w:rPr>
            <w:fldChar w:fldCharType="end"/>
          </w:r>
          <w:r>
            <w:rPr>
              <w:sz w:val="21"/>
              <w:szCs w:val="21"/>
              <w:highlight w:val="none"/>
            </w:rPr>
            <w:fldChar w:fldCharType="end"/>
          </w:r>
        </w:p>
        <w:p w14:paraId="2FE3F91F">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_Toc19995 </w:instrText>
          </w:r>
          <w:r>
            <w:rPr>
              <w:sz w:val="21"/>
              <w:szCs w:val="21"/>
              <w:highlight w:val="none"/>
            </w:rPr>
            <w:fldChar w:fldCharType="separate"/>
          </w:r>
          <w:r>
            <w:rPr>
              <w:rFonts w:hint="default" w:ascii="Times New Roman" w:hAnsi="Times New Roman" w:eastAsia="宋体" w:cs="Times New Roman"/>
              <w:sz w:val="21"/>
              <w:szCs w:val="21"/>
              <w:highlight w:val="none"/>
              <w:lang w:val="en-US" w:eastAsia="zh-CN"/>
            </w:rPr>
            <w:t>3.1.</w:t>
          </w:r>
          <w:r>
            <w:rPr>
              <w:rFonts w:hint="eastAsia" w:ascii="Times New Roman" w:hAnsi="Times New Roman" w:cs="Times New Roman"/>
              <w:sz w:val="21"/>
              <w:szCs w:val="21"/>
              <w:highlight w:val="none"/>
              <w:lang w:val="en-US" w:eastAsia="zh-CN"/>
            </w:rPr>
            <w:t>5</w:t>
          </w:r>
          <w:r>
            <w:rPr>
              <w:rFonts w:hint="eastAsia"/>
              <w:sz w:val="21"/>
              <w:szCs w:val="21"/>
              <w:highlight w:val="none"/>
              <w:lang w:val="en-US" w:eastAsia="zh-CN"/>
            </w:rPr>
            <w:t>燃料消耗量及成分分析</w:t>
          </w:r>
          <w:r>
            <w:rPr>
              <w:sz w:val="21"/>
              <w:szCs w:val="21"/>
              <w:highlight w:val="none"/>
            </w:rPr>
            <w:tab/>
          </w:r>
          <w:r>
            <w:rPr>
              <w:sz w:val="21"/>
              <w:szCs w:val="21"/>
              <w:highlight w:val="none"/>
            </w:rPr>
            <w:fldChar w:fldCharType="begin"/>
          </w:r>
          <w:r>
            <w:rPr>
              <w:sz w:val="21"/>
              <w:szCs w:val="21"/>
              <w:highlight w:val="none"/>
            </w:rPr>
            <w:instrText xml:space="preserve"> PAGEREF _Toc19995 \h </w:instrText>
          </w:r>
          <w:r>
            <w:rPr>
              <w:sz w:val="21"/>
              <w:szCs w:val="21"/>
              <w:highlight w:val="none"/>
            </w:rPr>
            <w:fldChar w:fldCharType="separate"/>
          </w:r>
          <w:r>
            <w:rPr>
              <w:sz w:val="21"/>
              <w:szCs w:val="21"/>
              <w:highlight w:val="none"/>
            </w:rPr>
            <w:t>65</w:t>
          </w:r>
          <w:r>
            <w:rPr>
              <w:sz w:val="21"/>
              <w:szCs w:val="21"/>
              <w:highlight w:val="none"/>
            </w:rPr>
            <w:fldChar w:fldCharType="end"/>
          </w:r>
          <w:r>
            <w:rPr>
              <w:sz w:val="21"/>
              <w:szCs w:val="21"/>
              <w:highlight w:val="none"/>
            </w:rPr>
            <w:fldChar w:fldCharType="end"/>
          </w:r>
        </w:p>
        <w:p w14:paraId="467B514C">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_Toc882 </w:instrText>
          </w:r>
          <w:r>
            <w:rPr>
              <w:sz w:val="21"/>
              <w:szCs w:val="21"/>
              <w:highlight w:val="none"/>
            </w:rPr>
            <w:fldChar w:fldCharType="separate"/>
          </w:r>
          <w:r>
            <w:rPr>
              <w:rFonts w:hint="default" w:ascii="Times New Roman" w:hAnsi="Times New Roman" w:cs="Times New Roman"/>
              <w:sz w:val="21"/>
              <w:szCs w:val="21"/>
              <w:highlight w:val="none"/>
              <w:lang w:val="en-US" w:eastAsia="zh-CN"/>
            </w:rPr>
            <w:t>3.1.6</w:t>
          </w:r>
          <w:r>
            <w:rPr>
              <w:rFonts w:hint="eastAsia"/>
              <w:sz w:val="21"/>
              <w:szCs w:val="21"/>
              <w:highlight w:val="none"/>
              <w:lang w:val="en-US" w:eastAsia="zh-CN"/>
            </w:rPr>
            <w:t>燃料储存</w:t>
          </w:r>
          <w:r>
            <w:rPr>
              <w:sz w:val="21"/>
              <w:szCs w:val="21"/>
              <w:highlight w:val="none"/>
            </w:rPr>
            <w:tab/>
          </w:r>
          <w:r>
            <w:rPr>
              <w:sz w:val="21"/>
              <w:szCs w:val="21"/>
              <w:highlight w:val="none"/>
            </w:rPr>
            <w:fldChar w:fldCharType="begin"/>
          </w:r>
          <w:r>
            <w:rPr>
              <w:sz w:val="21"/>
              <w:szCs w:val="21"/>
              <w:highlight w:val="none"/>
            </w:rPr>
            <w:instrText xml:space="preserve"> PAGEREF _Toc882 \h </w:instrText>
          </w:r>
          <w:r>
            <w:rPr>
              <w:sz w:val="21"/>
              <w:szCs w:val="21"/>
              <w:highlight w:val="none"/>
            </w:rPr>
            <w:fldChar w:fldCharType="separate"/>
          </w:r>
          <w:r>
            <w:rPr>
              <w:sz w:val="21"/>
              <w:szCs w:val="21"/>
              <w:highlight w:val="none"/>
            </w:rPr>
            <w:t>66</w:t>
          </w:r>
          <w:r>
            <w:rPr>
              <w:sz w:val="21"/>
              <w:szCs w:val="21"/>
              <w:highlight w:val="none"/>
            </w:rPr>
            <w:fldChar w:fldCharType="end"/>
          </w:r>
          <w:r>
            <w:rPr>
              <w:sz w:val="21"/>
              <w:szCs w:val="21"/>
              <w:highlight w:val="none"/>
            </w:rPr>
            <w:fldChar w:fldCharType="end"/>
          </w:r>
        </w:p>
        <w:p w14:paraId="76373579">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_Toc9226 </w:instrText>
          </w:r>
          <w:r>
            <w:rPr>
              <w:sz w:val="21"/>
              <w:szCs w:val="21"/>
              <w:highlight w:val="none"/>
            </w:rPr>
            <w:fldChar w:fldCharType="separate"/>
          </w:r>
          <w:r>
            <w:rPr>
              <w:rFonts w:hint="default" w:ascii="Times New Roman" w:hAnsi="Times New Roman" w:cs="Times New Roman"/>
              <w:sz w:val="21"/>
              <w:szCs w:val="21"/>
              <w:highlight w:val="none"/>
              <w:lang w:val="en-US" w:eastAsia="zh-CN"/>
            </w:rPr>
            <w:t>3.1.7</w:t>
          </w:r>
          <w:r>
            <w:rPr>
              <w:rFonts w:hint="eastAsia"/>
              <w:sz w:val="21"/>
              <w:szCs w:val="21"/>
              <w:highlight w:val="none"/>
              <w:lang w:val="en-US" w:eastAsia="zh-CN"/>
            </w:rPr>
            <w:t>辅助材料</w:t>
          </w:r>
          <w:r>
            <w:rPr>
              <w:sz w:val="21"/>
              <w:szCs w:val="21"/>
              <w:highlight w:val="none"/>
            </w:rPr>
            <w:tab/>
          </w:r>
          <w:r>
            <w:rPr>
              <w:sz w:val="21"/>
              <w:szCs w:val="21"/>
              <w:highlight w:val="none"/>
            </w:rPr>
            <w:fldChar w:fldCharType="begin"/>
          </w:r>
          <w:r>
            <w:rPr>
              <w:sz w:val="21"/>
              <w:szCs w:val="21"/>
              <w:highlight w:val="none"/>
            </w:rPr>
            <w:instrText xml:space="preserve"> PAGEREF _Toc9226 \h </w:instrText>
          </w:r>
          <w:r>
            <w:rPr>
              <w:sz w:val="21"/>
              <w:szCs w:val="21"/>
              <w:highlight w:val="none"/>
            </w:rPr>
            <w:fldChar w:fldCharType="separate"/>
          </w:r>
          <w:r>
            <w:rPr>
              <w:sz w:val="21"/>
              <w:szCs w:val="21"/>
              <w:highlight w:val="none"/>
            </w:rPr>
            <w:t>66</w:t>
          </w:r>
          <w:r>
            <w:rPr>
              <w:sz w:val="21"/>
              <w:szCs w:val="21"/>
              <w:highlight w:val="none"/>
            </w:rPr>
            <w:fldChar w:fldCharType="end"/>
          </w:r>
          <w:r>
            <w:rPr>
              <w:sz w:val="21"/>
              <w:szCs w:val="21"/>
              <w:highlight w:val="none"/>
            </w:rPr>
            <w:fldChar w:fldCharType="end"/>
          </w:r>
        </w:p>
        <w:p w14:paraId="36980B90">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_Toc2071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3.1.8</w:t>
          </w:r>
          <w:r>
            <w:rPr>
              <w:rFonts w:hint="eastAsia"/>
              <w:sz w:val="21"/>
              <w:szCs w:val="21"/>
              <w:highlight w:val="none"/>
              <w:lang w:val="en-US" w:eastAsia="zh-CN"/>
            </w:rPr>
            <w:t>公用工程</w:t>
          </w:r>
          <w:r>
            <w:rPr>
              <w:sz w:val="21"/>
              <w:szCs w:val="21"/>
              <w:highlight w:val="none"/>
            </w:rPr>
            <w:tab/>
          </w:r>
          <w:r>
            <w:rPr>
              <w:sz w:val="21"/>
              <w:szCs w:val="21"/>
              <w:highlight w:val="none"/>
            </w:rPr>
            <w:fldChar w:fldCharType="begin"/>
          </w:r>
          <w:r>
            <w:rPr>
              <w:sz w:val="21"/>
              <w:szCs w:val="21"/>
              <w:highlight w:val="none"/>
            </w:rPr>
            <w:instrText xml:space="preserve"> PAGEREF _Toc2071 \h </w:instrText>
          </w:r>
          <w:r>
            <w:rPr>
              <w:sz w:val="21"/>
              <w:szCs w:val="21"/>
              <w:highlight w:val="none"/>
            </w:rPr>
            <w:fldChar w:fldCharType="separate"/>
          </w:r>
          <w:r>
            <w:rPr>
              <w:sz w:val="21"/>
              <w:szCs w:val="21"/>
              <w:highlight w:val="none"/>
            </w:rPr>
            <w:t>66</w:t>
          </w:r>
          <w:r>
            <w:rPr>
              <w:sz w:val="21"/>
              <w:szCs w:val="21"/>
              <w:highlight w:val="none"/>
            </w:rPr>
            <w:fldChar w:fldCharType="end"/>
          </w:r>
          <w:r>
            <w:rPr>
              <w:sz w:val="21"/>
              <w:szCs w:val="21"/>
              <w:highlight w:val="none"/>
            </w:rPr>
            <w:fldChar w:fldCharType="end"/>
          </w:r>
        </w:p>
        <w:p w14:paraId="77EC8FF8">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_Toc13152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3.1.9</w:t>
          </w:r>
          <w:r>
            <w:rPr>
              <w:rFonts w:hint="eastAsia"/>
              <w:sz w:val="21"/>
              <w:szCs w:val="21"/>
              <w:highlight w:val="none"/>
              <w:lang w:val="en-US" w:eastAsia="zh-CN"/>
            </w:rPr>
            <w:t>依托工程</w:t>
          </w:r>
          <w:r>
            <w:rPr>
              <w:sz w:val="21"/>
              <w:szCs w:val="21"/>
              <w:highlight w:val="none"/>
            </w:rPr>
            <w:tab/>
          </w:r>
          <w:r>
            <w:rPr>
              <w:sz w:val="21"/>
              <w:szCs w:val="21"/>
              <w:highlight w:val="none"/>
            </w:rPr>
            <w:fldChar w:fldCharType="begin"/>
          </w:r>
          <w:r>
            <w:rPr>
              <w:sz w:val="21"/>
              <w:szCs w:val="21"/>
              <w:highlight w:val="none"/>
            </w:rPr>
            <w:instrText xml:space="preserve"> PAGEREF _Toc13152 \h </w:instrText>
          </w:r>
          <w:r>
            <w:rPr>
              <w:sz w:val="21"/>
              <w:szCs w:val="21"/>
              <w:highlight w:val="none"/>
            </w:rPr>
            <w:fldChar w:fldCharType="separate"/>
          </w:r>
          <w:r>
            <w:rPr>
              <w:sz w:val="21"/>
              <w:szCs w:val="21"/>
              <w:highlight w:val="none"/>
            </w:rPr>
            <w:t>70</w:t>
          </w:r>
          <w:r>
            <w:rPr>
              <w:sz w:val="21"/>
              <w:szCs w:val="21"/>
              <w:highlight w:val="none"/>
            </w:rPr>
            <w:fldChar w:fldCharType="end"/>
          </w:r>
          <w:r>
            <w:rPr>
              <w:sz w:val="21"/>
              <w:szCs w:val="21"/>
              <w:highlight w:val="none"/>
            </w:rPr>
            <w:fldChar w:fldCharType="end"/>
          </w:r>
        </w:p>
        <w:p w14:paraId="1DFD9A5D">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_Toc28776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3.1.10</w:t>
          </w:r>
          <w:r>
            <w:rPr>
              <w:rFonts w:hint="eastAsia"/>
              <w:sz w:val="21"/>
              <w:szCs w:val="21"/>
              <w:highlight w:val="none"/>
              <w:lang w:val="en-US" w:eastAsia="zh-CN"/>
            </w:rPr>
            <w:t>总平面布置</w:t>
          </w:r>
          <w:r>
            <w:rPr>
              <w:sz w:val="21"/>
              <w:szCs w:val="21"/>
              <w:highlight w:val="none"/>
            </w:rPr>
            <w:tab/>
          </w:r>
          <w:r>
            <w:rPr>
              <w:sz w:val="21"/>
              <w:szCs w:val="21"/>
              <w:highlight w:val="none"/>
            </w:rPr>
            <w:fldChar w:fldCharType="begin"/>
          </w:r>
          <w:r>
            <w:rPr>
              <w:sz w:val="21"/>
              <w:szCs w:val="21"/>
              <w:highlight w:val="none"/>
            </w:rPr>
            <w:instrText xml:space="preserve"> PAGEREF _Toc28776 \h </w:instrText>
          </w:r>
          <w:r>
            <w:rPr>
              <w:sz w:val="21"/>
              <w:szCs w:val="21"/>
              <w:highlight w:val="none"/>
            </w:rPr>
            <w:fldChar w:fldCharType="separate"/>
          </w:r>
          <w:r>
            <w:rPr>
              <w:sz w:val="21"/>
              <w:szCs w:val="21"/>
              <w:highlight w:val="none"/>
            </w:rPr>
            <w:t>70</w:t>
          </w:r>
          <w:r>
            <w:rPr>
              <w:sz w:val="21"/>
              <w:szCs w:val="21"/>
              <w:highlight w:val="none"/>
            </w:rPr>
            <w:fldChar w:fldCharType="end"/>
          </w:r>
          <w:r>
            <w:rPr>
              <w:sz w:val="21"/>
              <w:szCs w:val="21"/>
              <w:highlight w:val="none"/>
            </w:rPr>
            <w:fldChar w:fldCharType="end"/>
          </w:r>
        </w:p>
        <w:p w14:paraId="3B876ABF">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_Toc27930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3.1.11</w:t>
          </w:r>
          <w:r>
            <w:rPr>
              <w:rFonts w:hint="eastAsia"/>
              <w:sz w:val="21"/>
              <w:szCs w:val="21"/>
              <w:highlight w:val="none"/>
              <w:lang w:val="en-US" w:eastAsia="zh-CN"/>
            </w:rPr>
            <w:t>劳动人员及工作制度</w:t>
          </w:r>
          <w:r>
            <w:rPr>
              <w:sz w:val="21"/>
              <w:szCs w:val="21"/>
              <w:highlight w:val="none"/>
            </w:rPr>
            <w:tab/>
          </w:r>
          <w:r>
            <w:rPr>
              <w:sz w:val="21"/>
              <w:szCs w:val="21"/>
              <w:highlight w:val="none"/>
            </w:rPr>
            <w:fldChar w:fldCharType="begin"/>
          </w:r>
          <w:r>
            <w:rPr>
              <w:sz w:val="21"/>
              <w:szCs w:val="21"/>
              <w:highlight w:val="none"/>
            </w:rPr>
            <w:instrText xml:space="preserve"> PAGEREF _Toc27930 \h </w:instrText>
          </w:r>
          <w:r>
            <w:rPr>
              <w:sz w:val="21"/>
              <w:szCs w:val="21"/>
              <w:highlight w:val="none"/>
            </w:rPr>
            <w:fldChar w:fldCharType="separate"/>
          </w:r>
          <w:r>
            <w:rPr>
              <w:sz w:val="21"/>
              <w:szCs w:val="21"/>
              <w:highlight w:val="none"/>
            </w:rPr>
            <w:t>70</w:t>
          </w:r>
          <w:r>
            <w:rPr>
              <w:sz w:val="21"/>
              <w:szCs w:val="21"/>
              <w:highlight w:val="none"/>
            </w:rPr>
            <w:fldChar w:fldCharType="end"/>
          </w:r>
          <w:r>
            <w:rPr>
              <w:sz w:val="21"/>
              <w:szCs w:val="21"/>
              <w:highlight w:val="none"/>
            </w:rPr>
            <w:fldChar w:fldCharType="end"/>
          </w:r>
        </w:p>
        <w:p w14:paraId="44D93116">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_Toc19025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3.1.12</w:t>
          </w:r>
          <w:r>
            <w:rPr>
              <w:rFonts w:hint="eastAsia"/>
              <w:sz w:val="21"/>
              <w:szCs w:val="21"/>
              <w:highlight w:val="none"/>
              <w:lang w:val="en-US" w:eastAsia="zh-CN"/>
            </w:rPr>
            <w:t>建设周期</w:t>
          </w:r>
          <w:r>
            <w:rPr>
              <w:sz w:val="21"/>
              <w:szCs w:val="21"/>
              <w:highlight w:val="none"/>
            </w:rPr>
            <w:tab/>
          </w:r>
          <w:r>
            <w:rPr>
              <w:sz w:val="21"/>
              <w:szCs w:val="21"/>
              <w:highlight w:val="none"/>
            </w:rPr>
            <w:fldChar w:fldCharType="begin"/>
          </w:r>
          <w:r>
            <w:rPr>
              <w:sz w:val="21"/>
              <w:szCs w:val="21"/>
              <w:highlight w:val="none"/>
            </w:rPr>
            <w:instrText xml:space="preserve"> PAGEREF _Toc19025 \h </w:instrText>
          </w:r>
          <w:r>
            <w:rPr>
              <w:sz w:val="21"/>
              <w:szCs w:val="21"/>
              <w:highlight w:val="none"/>
            </w:rPr>
            <w:fldChar w:fldCharType="separate"/>
          </w:r>
          <w:r>
            <w:rPr>
              <w:sz w:val="21"/>
              <w:szCs w:val="21"/>
              <w:highlight w:val="none"/>
            </w:rPr>
            <w:t>70</w:t>
          </w:r>
          <w:r>
            <w:rPr>
              <w:sz w:val="21"/>
              <w:szCs w:val="21"/>
              <w:highlight w:val="none"/>
            </w:rPr>
            <w:fldChar w:fldCharType="end"/>
          </w:r>
          <w:r>
            <w:rPr>
              <w:sz w:val="21"/>
              <w:szCs w:val="21"/>
              <w:highlight w:val="none"/>
            </w:rPr>
            <w:fldChar w:fldCharType="end"/>
          </w:r>
        </w:p>
        <w:p w14:paraId="49A796D8">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_Toc11446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3.1.13</w:t>
          </w:r>
          <w:r>
            <w:rPr>
              <w:rFonts w:hint="eastAsia"/>
              <w:sz w:val="21"/>
              <w:szCs w:val="21"/>
              <w:highlight w:val="none"/>
              <w:lang w:val="en-US" w:eastAsia="zh-CN"/>
            </w:rPr>
            <w:t>项目投资估算</w:t>
          </w:r>
          <w:r>
            <w:rPr>
              <w:sz w:val="21"/>
              <w:szCs w:val="21"/>
              <w:highlight w:val="none"/>
            </w:rPr>
            <w:tab/>
          </w:r>
          <w:r>
            <w:rPr>
              <w:sz w:val="21"/>
              <w:szCs w:val="21"/>
              <w:highlight w:val="none"/>
            </w:rPr>
            <w:fldChar w:fldCharType="begin"/>
          </w:r>
          <w:r>
            <w:rPr>
              <w:sz w:val="21"/>
              <w:szCs w:val="21"/>
              <w:highlight w:val="none"/>
            </w:rPr>
            <w:instrText xml:space="preserve"> PAGEREF _Toc11446 \h </w:instrText>
          </w:r>
          <w:r>
            <w:rPr>
              <w:sz w:val="21"/>
              <w:szCs w:val="21"/>
              <w:highlight w:val="none"/>
            </w:rPr>
            <w:fldChar w:fldCharType="separate"/>
          </w:r>
          <w:r>
            <w:rPr>
              <w:sz w:val="21"/>
              <w:szCs w:val="21"/>
              <w:highlight w:val="none"/>
            </w:rPr>
            <w:t>71</w:t>
          </w:r>
          <w:r>
            <w:rPr>
              <w:sz w:val="21"/>
              <w:szCs w:val="21"/>
              <w:highlight w:val="none"/>
            </w:rPr>
            <w:fldChar w:fldCharType="end"/>
          </w:r>
          <w:r>
            <w:rPr>
              <w:sz w:val="21"/>
              <w:szCs w:val="21"/>
              <w:highlight w:val="none"/>
            </w:rPr>
            <w:fldChar w:fldCharType="end"/>
          </w:r>
        </w:p>
        <w:p w14:paraId="7176A4E7">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_Toc31638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3.1.14</w:t>
          </w:r>
          <w:r>
            <w:rPr>
              <w:rFonts w:hint="eastAsia"/>
              <w:sz w:val="21"/>
              <w:szCs w:val="21"/>
              <w:highlight w:val="none"/>
              <w:lang w:val="en-US" w:eastAsia="zh-CN"/>
            </w:rPr>
            <w:t>供热范围</w:t>
          </w:r>
          <w:r>
            <w:rPr>
              <w:sz w:val="21"/>
              <w:szCs w:val="21"/>
              <w:highlight w:val="none"/>
            </w:rPr>
            <w:tab/>
          </w:r>
          <w:r>
            <w:rPr>
              <w:sz w:val="21"/>
              <w:szCs w:val="21"/>
              <w:highlight w:val="none"/>
            </w:rPr>
            <w:fldChar w:fldCharType="begin"/>
          </w:r>
          <w:r>
            <w:rPr>
              <w:sz w:val="21"/>
              <w:szCs w:val="21"/>
              <w:highlight w:val="none"/>
            </w:rPr>
            <w:instrText xml:space="preserve"> PAGEREF _Toc31638 \h </w:instrText>
          </w:r>
          <w:r>
            <w:rPr>
              <w:sz w:val="21"/>
              <w:szCs w:val="21"/>
              <w:highlight w:val="none"/>
            </w:rPr>
            <w:fldChar w:fldCharType="separate"/>
          </w:r>
          <w:r>
            <w:rPr>
              <w:sz w:val="21"/>
              <w:szCs w:val="21"/>
              <w:highlight w:val="none"/>
            </w:rPr>
            <w:t>71</w:t>
          </w:r>
          <w:r>
            <w:rPr>
              <w:sz w:val="21"/>
              <w:szCs w:val="21"/>
              <w:highlight w:val="none"/>
            </w:rPr>
            <w:fldChar w:fldCharType="end"/>
          </w:r>
          <w:r>
            <w:rPr>
              <w:sz w:val="21"/>
              <w:szCs w:val="21"/>
              <w:highlight w:val="none"/>
            </w:rPr>
            <w:fldChar w:fldCharType="end"/>
          </w:r>
        </w:p>
        <w:p w14:paraId="2DDDA7B0">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_Toc16443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3.2</w:t>
          </w:r>
          <w:r>
            <w:rPr>
              <w:rFonts w:hint="eastAsia"/>
              <w:sz w:val="21"/>
              <w:szCs w:val="21"/>
              <w:highlight w:val="none"/>
              <w:lang w:val="en-US" w:eastAsia="zh-CN"/>
            </w:rPr>
            <w:t>工程分析</w:t>
          </w:r>
          <w:r>
            <w:rPr>
              <w:sz w:val="21"/>
              <w:szCs w:val="21"/>
              <w:highlight w:val="none"/>
            </w:rPr>
            <w:tab/>
          </w:r>
          <w:r>
            <w:rPr>
              <w:sz w:val="21"/>
              <w:szCs w:val="21"/>
              <w:highlight w:val="none"/>
            </w:rPr>
            <w:fldChar w:fldCharType="begin"/>
          </w:r>
          <w:r>
            <w:rPr>
              <w:sz w:val="21"/>
              <w:szCs w:val="21"/>
              <w:highlight w:val="none"/>
            </w:rPr>
            <w:instrText xml:space="preserve"> PAGEREF _Toc16443 \h </w:instrText>
          </w:r>
          <w:r>
            <w:rPr>
              <w:sz w:val="21"/>
              <w:szCs w:val="21"/>
              <w:highlight w:val="none"/>
            </w:rPr>
            <w:fldChar w:fldCharType="separate"/>
          </w:r>
          <w:r>
            <w:rPr>
              <w:sz w:val="21"/>
              <w:szCs w:val="21"/>
              <w:highlight w:val="none"/>
            </w:rPr>
            <w:t>71</w:t>
          </w:r>
          <w:r>
            <w:rPr>
              <w:sz w:val="21"/>
              <w:szCs w:val="21"/>
              <w:highlight w:val="none"/>
            </w:rPr>
            <w:fldChar w:fldCharType="end"/>
          </w:r>
          <w:r>
            <w:rPr>
              <w:sz w:val="21"/>
              <w:szCs w:val="21"/>
              <w:highlight w:val="none"/>
            </w:rPr>
            <w:fldChar w:fldCharType="end"/>
          </w:r>
        </w:p>
        <w:p w14:paraId="0AB5EACF">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_Toc25644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3.2.1</w:t>
          </w:r>
          <w:r>
            <w:rPr>
              <w:rFonts w:hint="eastAsia"/>
              <w:sz w:val="21"/>
              <w:szCs w:val="21"/>
              <w:highlight w:val="none"/>
              <w:lang w:val="en-US" w:eastAsia="zh-CN"/>
            </w:rPr>
            <w:t>环境影响识别</w:t>
          </w:r>
          <w:r>
            <w:rPr>
              <w:sz w:val="21"/>
              <w:szCs w:val="21"/>
              <w:highlight w:val="none"/>
            </w:rPr>
            <w:tab/>
          </w:r>
          <w:r>
            <w:rPr>
              <w:sz w:val="21"/>
              <w:szCs w:val="21"/>
              <w:highlight w:val="none"/>
            </w:rPr>
            <w:fldChar w:fldCharType="begin"/>
          </w:r>
          <w:r>
            <w:rPr>
              <w:sz w:val="21"/>
              <w:szCs w:val="21"/>
              <w:highlight w:val="none"/>
            </w:rPr>
            <w:instrText xml:space="preserve"> PAGEREF _Toc25644 \h </w:instrText>
          </w:r>
          <w:r>
            <w:rPr>
              <w:sz w:val="21"/>
              <w:szCs w:val="21"/>
              <w:highlight w:val="none"/>
            </w:rPr>
            <w:fldChar w:fldCharType="separate"/>
          </w:r>
          <w:r>
            <w:rPr>
              <w:sz w:val="21"/>
              <w:szCs w:val="21"/>
              <w:highlight w:val="none"/>
            </w:rPr>
            <w:t>71</w:t>
          </w:r>
          <w:r>
            <w:rPr>
              <w:sz w:val="21"/>
              <w:szCs w:val="21"/>
              <w:highlight w:val="none"/>
            </w:rPr>
            <w:fldChar w:fldCharType="end"/>
          </w:r>
          <w:r>
            <w:rPr>
              <w:sz w:val="21"/>
              <w:szCs w:val="21"/>
              <w:highlight w:val="none"/>
            </w:rPr>
            <w:fldChar w:fldCharType="end"/>
          </w:r>
        </w:p>
        <w:p w14:paraId="690CCAA4">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_Toc20907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3.2.2</w:t>
          </w:r>
          <w:r>
            <w:rPr>
              <w:rFonts w:hint="eastAsia"/>
              <w:sz w:val="21"/>
              <w:szCs w:val="21"/>
              <w:highlight w:val="none"/>
              <w:lang w:val="en-US" w:eastAsia="zh-CN"/>
            </w:rPr>
            <w:t>施工期污染环节及污染因素分析</w:t>
          </w:r>
          <w:r>
            <w:rPr>
              <w:sz w:val="21"/>
              <w:szCs w:val="21"/>
              <w:highlight w:val="none"/>
            </w:rPr>
            <w:tab/>
          </w:r>
          <w:r>
            <w:rPr>
              <w:sz w:val="21"/>
              <w:szCs w:val="21"/>
              <w:highlight w:val="none"/>
            </w:rPr>
            <w:fldChar w:fldCharType="begin"/>
          </w:r>
          <w:r>
            <w:rPr>
              <w:sz w:val="21"/>
              <w:szCs w:val="21"/>
              <w:highlight w:val="none"/>
            </w:rPr>
            <w:instrText xml:space="preserve"> PAGEREF _Toc20907 \h </w:instrText>
          </w:r>
          <w:r>
            <w:rPr>
              <w:sz w:val="21"/>
              <w:szCs w:val="21"/>
              <w:highlight w:val="none"/>
            </w:rPr>
            <w:fldChar w:fldCharType="separate"/>
          </w:r>
          <w:r>
            <w:rPr>
              <w:sz w:val="21"/>
              <w:szCs w:val="21"/>
              <w:highlight w:val="none"/>
            </w:rPr>
            <w:t>71</w:t>
          </w:r>
          <w:r>
            <w:rPr>
              <w:sz w:val="21"/>
              <w:szCs w:val="21"/>
              <w:highlight w:val="none"/>
            </w:rPr>
            <w:fldChar w:fldCharType="end"/>
          </w:r>
          <w:r>
            <w:rPr>
              <w:sz w:val="21"/>
              <w:szCs w:val="21"/>
              <w:highlight w:val="none"/>
            </w:rPr>
            <w:fldChar w:fldCharType="end"/>
          </w:r>
        </w:p>
        <w:p w14:paraId="181562AF">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_Toc12389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3.2.3</w:t>
          </w:r>
          <w:r>
            <w:rPr>
              <w:rFonts w:hint="eastAsia"/>
              <w:sz w:val="21"/>
              <w:szCs w:val="21"/>
              <w:highlight w:val="none"/>
              <w:lang w:val="en-US" w:eastAsia="zh-CN"/>
            </w:rPr>
            <w:t>运营期污染环节及污染因素影响</w:t>
          </w:r>
          <w:r>
            <w:rPr>
              <w:sz w:val="21"/>
              <w:szCs w:val="21"/>
              <w:highlight w:val="none"/>
            </w:rPr>
            <w:tab/>
          </w:r>
          <w:r>
            <w:rPr>
              <w:sz w:val="21"/>
              <w:szCs w:val="21"/>
              <w:highlight w:val="none"/>
            </w:rPr>
            <w:fldChar w:fldCharType="begin"/>
          </w:r>
          <w:r>
            <w:rPr>
              <w:sz w:val="21"/>
              <w:szCs w:val="21"/>
              <w:highlight w:val="none"/>
            </w:rPr>
            <w:instrText xml:space="preserve"> PAGEREF _Toc12389 \h </w:instrText>
          </w:r>
          <w:r>
            <w:rPr>
              <w:sz w:val="21"/>
              <w:szCs w:val="21"/>
              <w:highlight w:val="none"/>
            </w:rPr>
            <w:fldChar w:fldCharType="separate"/>
          </w:r>
          <w:r>
            <w:rPr>
              <w:sz w:val="21"/>
              <w:szCs w:val="21"/>
              <w:highlight w:val="none"/>
            </w:rPr>
            <w:t>73</w:t>
          </w:r>
          <w:r>
            <w:rPr>
              <w:sz w:val="21"/>
              <w:szCs w:val="21"/>
              <w:highlight w:val="none"/>
            </w:rPr>
            <w:fldChar w:fldCharType="end"/>
          </w:r>
          <w:r>
            <w:rPr>
              <w:sz w:val="21"/>
              <w:szCs w:val="21"/>
              <w:highlight w:val="none"/>
            </w:rPr>
            <w:fldChar w:fldCharType="end"/>
          </w:r>
        </w:p>
        <w:p w14:paraId="2B7EBEEF">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_Toc17669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3.3</w:t>
          </w:r>
          <w:r>
            <w:rPr>
              <w:rFonts w:hint="eastAsia"/>
              <w:sz w:val="21"/>
              <w:szCs w:val="21"/>
              <w:highlight w:val="none"/>
              <w:lang w:val="en-US" w:eastAsia="zh-CN"/>
            </w:rPr>
            <w:t>运营期工程污染源强分析</w:t>
          </w:r>
          <w:r>
            <w:rPr>
              <w:sz w:val="21"/>
              <w:szCs w:val="21"/>
              <w:highlight w:val="none"/>
            </w:rPr>
            <w:tab/>
          </w:r>
          <w:r>
            <w:rPr>
              <w:sz w:val="21"/>
              <w:szCs w:val="21"/>
              <w:highlight w:val="none"/>
            </w:rPr>
            <w:fldChar w:fldCharType="begin"/>
          </w:r>
          <w:r>
            <w:rPr>
              <w:sz w:val="21"/>
              <w:szCs w:val="21"/>
              <w:highlight w:val="none"/>
            </w:rPr>
            <w:instrText xml:space="preserve"> PAGEREF _Toc17669 \h </w:instrText>
          </w:r>
          <w:r>
            <w:rPr>
              <w:sz w:val="21"/>
              <w:szCs w:val="21"/>
              <w:highlight w:val="none"/>
            </w:rPr>
            <w:fldChar w:fldCharType="separate"/>
          </w:r>
          <w:r>
            <w:rPr>
              <w:sz w:val="21"/>
              <w:szCs w:val="21"/>
              <w:highlight w:val="none"/>
            </w:rPr>
            <w:t>75</w:t>
          </w:r>
          <w:r>
            <w:rPr>
              <w:sz w:val="21"/>
              <w:szCs w:val="21"/>
              <w:highlight w:val="none"/>
            </w:rPr>
            <w:fldChar w:fldCharType="end"/>
          </w:r>
          <w:r>
            <w:rPr>
              <w:sz w:val="21"/>
              <w:szCs w:val="21"/>
              <w:highlight w:val="none"/>
            </w:rPr>
            <w:fldChar w:fldCharType="end"/>
          </w:r>
        </w:p>
        <w:p w14:paraId="0A483EE0">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_Toc16753 </w:instrText>
          </w:r>
          <w:r>
            <w:rPr>
              <w:sz w:val="21"/>
              <w:szCs w:val="21"/>
              <w:highlight w:val="none"/>
            </w:rPr>
            <w:fldChar w:fldCharType="separate"/>
          </w:r>
          <w:r>
            <w:rPr>
              <w:rFonts w:hint="eastAsia" w:ascii="Times New Roman" w:hAnsi="Times New Roman" w:cs="Times New Roman"/>
              <w:sz w:val="21"/>
              <w:szCs w:val="21"/>
              <w:highlight w:val="none"/>
              <w:lang w:val="en-US" w:eastAsia="zh-CN"/>
            </w:rPr>
            <w:t>3.3.1</w:t>
          </w:r>
          <w:r>
            <w:rPr>
              <w:rFonts w:hint="eastAsia"/>
              <w:sz w:val="21"/>
              <w:szCs w:val="21"/>
              <w:highlight w:val="none"/>
              <w:lang w:val="en-US" w:eastAsia="zh-CN"/>
            </w:rPr>
            <w:t>正常工况大气污染源强分析</w:t>
          </w:r>
          <w:r>
            <w:rPr>
              <w:sz w:val="21"/>
              <w:szCs w:val="21"/>
              <w:highlight w:val="none"/>
            </w:rPr>
            <w:tab/>
          </w:r>
          <w:r>
            <w:rPr>
              <w:sz w:val="21"/>
              <w:szCs w:val="21"/>
              <w:highlight w:val="none"/>
            </w:rPr>
            <w:fldChar w:fldCharType="begin"/>
          </w:r>
          <w:r>
            <w:rPr>
              <w:sz w:val="21"/>
              <w:szCs w:val="21"/>
              <w:highlight w:val="none"/>
            </w:rPr>
            <w:instrText xml:space="preserve"> PAGEREF _Toc16753 \h </w:instrText>
          </w:r>
          <w:r>
            <w:rPr>
              <w:sz w:val="21"/>
              <w:szCs w:val="21"/>
              <w:highlight w:val="none"/>
            </w:rPr>
            <w:fldChar w:fldCharType="separate"/>
          </w:r>
          <w:r>
            <w:rPr>
              <w:sz w:val="21"/>
              <w:szCs w:val="21"/>
              <w:highlight w:val="none"/>
            </w:rPr>
            <w:t>75</w:t>
          </w:r>
          <w:r>
            <w:rPr>
              <w:sz w:val="21"/>
              <w:szCs w:val="21"/>
              <w:highlight w:val="none"/>
            </w:rPr>
            <w:fldChar w:fldCharType="end"/>
          </w:r>
          <w:r>
            <w:rPr>
              <w:sz w:val="21"/>
              <w:szCs w:val="21"/>
              <w:highlight w:val="none"/>
            </w:rPr>
            <w:fldChar w:fldCharType="end"/>
          </w:r>
        </w:p>
        <w:p w14:paraId="465683FB">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_Toc30514 </w:instrText>
          </w:r>
          <w:r>
            <w:rPr>
              <w:sz w:val="21"/>
              <w:szCs w:val="21"/>
              <w:highlight w:val="none"/>
            </w:rPr>
            <w:fldChar w:fldCharType="separate"/>
          </w:r>
          <w:r>
            <w:rPr>
              <w:rFonts w:hint="eastAsia" w:ascii="Times New Roman" w:hAnsi="Times New Roman" w:cs="Times New Roman"/>
              <w:sz w:val="21"/>
              <w:szCs w:val="21"/>
              <w:highlight w:val="none"/>
              <w:lang w:val="en-US" w:eastAsia="zh-CN"/>
            </w:rPr>
            <w:t>3.3.2</w:t>
          </w:r>
          <w:r>
            <w:rPr>
              <w:rFonts w:hint="eastAsia"/>
              <w:sz w:val="21"/>
              <w:szCs w:val="21"/>
              <w:highlight w:val="none"/>
              <w:lang w:val="en-US" w:eastAsia="zh-CN"/>
            </w:rPr>
            <w:t>非正常工况大气污染源强分析</w:t>
          </w:r>
          <w:r>
            <w:rPr>
              <w:sz w:val="21"/>
              <w:szCs w:val="21"/>
              <w:highlight w:val="none"/>
            </w:rPr>
            <w:tab/>
          </w:r>
          <w:r>
            <w:rPr>
              <w:sz w:val="21"/>
              <w:szCs w:val="21"/>
              <w:highlight w:val="none"/>
            </w:rPr>
            <w:fldChar w:fldCharType="begin"/>
          </w:r>
          <w:r>
            <w:rPr>
              <w:sz w:val="21"/>
              <w:szCs w:val="21"/>
              <w:highlight w:val="none"/>
            </w:rPr>
            <w:instrText xml:space="preserve"> PAGEREF _Toc30514 \h </w:instrText>
          </w:r>
          <w:r>
            <w:rPr>
              <w:sz w:val="21"/>
              <w:szCs w:val="21"/>
              <w:highlight w:val="none"/>
            </w:rPr>
            <w:fldChar w:fldCharType="separate"/>
          </w:r>
          <w:r>
            <w:rPr>
              <w:sz w:val="21"/>
              <w:szCs w:val="21"/>
              <w:highlight w:val="none"/>
            </w:rPr>
            <w:t>87</w:t>
          </w:r>
          <w:r>
            <w:rPr>
              <w:sz w:val="21"/>
              <w:szCs w:val="21"/>
              <w:highlight w:val="none"/>
            </w:rPr>
            <w:fldChar w:fldCharType="end"/>
          </w:r>
          <w:r>
            <w:rPr>
              <w:sz w:val="21"/>
              <w:szCs w:val="21"/>
              <w:highlight w:val="none"/>
            </w:rPr>
            <w:fldChar w:fldCharType="end"/>
          </w:r>
        </w:p>
        <w:p w14:paraId="1C962FD9">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_Toc1803 </w:instrText>
          </w:r>
          <w:r>
            <w:rPr>
              <w:sz w:val="21"/>
              <w:szCs w:val="21"/>
              <w:highlight w:val="none"/>
            </w:rPr>
            <w:fldChar w:fldCharType="separate"/>
          </w:r>
          <w:r>
            <w:rPr>
              <w:rFonts w:hint="eastAsia" w:ascii="Times New Roman" w:hAnsi="Times New Roman" w:cs="Times New Roman"/>
              <w:sz w:val="21"/>
              <w:szCs w:val="21"/>
              <w:highlight w:val="none"/>
              <w:lang w:val="en-US" w:eastAsia="zh-CN"/>
            </w:rPr>
            <w:t>3.3.3</w:t>
          </w:r>
          <w:r>
            <w:rPr>
              <w:rFonts w:hint="eastAsia"/>
              <w:sz w:val="21"/>
              <w:szCs w:val="21"/>
              <w:highlight w:val="none"/>
              <w:lang w:val="en-US" w:eastAsia="zh-CN"/>
            </w:rPr>
            <w:t>水污染源强分析</w:t>
          </w:r>
          <w:r>
            <w:rPr>
              <w:sz w:val="21"/>
              <w:szCs w:val="21"/>
              <w:highlight w:val="none"/>
            </w:rPr>
            <w:tab/>
          </w:r>
          <w:r>
            <w:rPr>
              <w:sz w:val="21"/>
              <w:szCs w:val="21"/>
              <w:highlight w:val="none"/>
            </w:rPr>
            <w:fldChar w:fldCharType="begin"/>
          </w:r>
          <w:r>
            <w:rPr>
              <w:sz w:val="21"/>
              <w:szCs w:val="21"/>
              <w:highlight w:val="none"/>
            </w:rPr>
            <w:instrText xml:space="preserve"> PAGEREF _Toc1803 \h </w:instrText>
          </w:r>
          <w:r>
            <w:rPr>
              <w:sz w:val="21"/>
              <w:szCs w:val="21"/>
              <w:highlight w:val="none"/>
            </w:rPr>
            <w:fldChar w:fldCharType="separate"/>
          </w:r>
          <w:r>
            <w:rPr>
              <w:sz w:val="21"/>
              <w:szCs w:val="21"/>
              <w:highlight w:val="none"/>
            </w:rPr>
            <w:t>96</w:t>
          </w:r>
          <w:r>
            <w:rPr>
              <w:sz w:val="21"/>
              <w:szCs w:val="21"/>
              <w:highlight w:val="none"/>
            </w:rPr>
            <w:fldChar w:fldCharType="end"/>
          </w:r>
          <w:r>
            <w:rPr>
              <w:sz w:val="21"/>
              <w:szCs w:val="21"/>
              <w:highlight w:val="none"/>
            </w:rPr>
            <w:fldChar w:fldCharType="end"/>
          </w:r>
        </w:p>
        <w:p w14:paraId="3EF5AED3">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_Toc28062 </w:instrText>
          </w:r>
          <w:r>
            <w:rPr>
              <w:sz w:val="21"/>
              <w:szCs w:val="21"/>
              <w:highlight w:val="none"/>
            </w:rPr>
            <w:fldChar w:fldCharType="separate"/>
          </w:r>
          <w:r>
            <w:rPr>
              <w:rFonts w:hint="eastAsia" w:ascii="Times New Roman" w:hAnsi="Times New Roman" w:cs="Times New Roman"/>
              <w:sz w:val="21"/>
              <w:szCs w:val="21"/>
              <w:highlight w:val="none"/>
              <w:lang w:val="en-US" w:eastAsia="zh-CN"/>
            </w:rPr>
            <w:t>3.3.4</w:t>
          </w:r>
          <w:r>
            <w:rPr>
              <w:rFonts w:hint="eastAsia"/>
              <w:sz w:val="21"/>
              <w:szCs w:val="21"/>
              <w:highlight w:val="none"/>
              <w:lang w:val="en-US" w:eastAsia="zh-CN"/>
            </w:rPr>
            <w:t>固体废物源强分析</w:t>
          </w:r>
          <w:r>
            <w:rPr>
              <w:sz w:val="21"/>
              <w:szCs w:val="21"/>
              <w:highlight w:val="none"/>
            </w:rPr>
            <w:tab/>
          </w:r>
          <w:r>
            <w:rPr>
              <w:sz w:val="21"/>
              <w:szCs w:val="21"/>
              <w:highlight w:val="none"/>
            </w:rPr>
            <w:fldChar w:fldCharType="begin"/>
          </w:r>
          <w:r>
            <w:rPr>
              <w:sz w:val="21"/>
              <w:szCs w:val="21"/>
              <w:highlight w:val="none"/>
            </w:rPr>
            <w:instrText xml:space="preserve"> PAGEREF _Toc28062 \h </w:instrText>
          </w:r>
          <w:r>
            <w:rPr>
              <w:sz w:val="21"/>
              <w:szCs w:val="21"/>
              <w:highlight w:val="none"/>
            </w:rPr>
            <w:fldChar w:fldCharType="separate"/>
          </w:r>
          <w:r>
            <w:rPr>
              <w:sz w:val="21"/>
              <w:szCs w:val="21"/>
              <w:highlight w:val="none"/>
            </w:rPr>
            <w:t>96</w:t>
          </w:r>
          <w:r>
            <w:rPr>
              <w:sz w:val="21"/>
              <w:szCs w:val="21"/>
              <w:highlight w:val="none"/>
            </w:rPr>
            <w:fldChar w:fldCharType="end"/>
          </w:r>
          <w:r>
            <w:rPr>
              <w:sz w:val="21"/>
              <w:szCs w:val="21"/>
              <w:highlight w:val="none"/>
            </w:rPr>
            <w:fldChar w:fldCharType="end"/>
          </w:r>
        </w:p>
        <w:p w14:paraId="6CEE91F2">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_Toc15165 </w:instrText>
          </w:r>
          <w:r>
            <w:rPr>
              <w:sz w:val="21"/>
              <w:szCs w:val="21"/>
              <w:highlight w:val="none"/>
            </w:rPr>
            <w:fldChar w:fldCharType="separate"/>
          </w:r>
          <w:r>
            <w:rPr>
              <w:rFonts w:hint="eastAsia" w:ascii="Times New Roman" w:hAnsi="Times New Roman" w:cs="Times New Roman"/>
              <w:sz w:val="21"/>
              <w:szCs w:val="21"/>
              <w:highlight w:val="none"/>
              <w:lang w:val="en-US" w:eastAsia="zh-CN"/>
            </w:rPr>
            <w:t>3.3.6</w:t>
          </w:r>
          <w:r>
            <w:rPr>
              <w:rFonts w:hint="eastAsia"/>
              <w:sz w:val="21"/>
              <w:szCs w:val="21"/>
              <w:highlight w:val="none"/>
            </w:rPr>
            <w:t>燃料及灰渣运输环节移动源</w:t>
          </w:r>
          <w:r>
            <w:rPr>
              <w:sz w:val="21"/>
              <w:szCs w:val="21"/>
              <w:highlight w:val="none"/>
            </w:rPr>
            <w:tab/>
          </w:r>
          <w:r>
            <w:rPr>
              <w:sz w:val="21"/>
              <w:szCs w:val="21"/>
              <w:highlight w:val="none"/>
            </w:rPr>
            <w:fldChar w:fldCharType="begin"/>
          </w:r>
          <w:r>
            <w:rPr>
              <w:sz w:val="21"/>
              <w:szCs w:val="21"/>
              <w:highlight w:val="none"/>
            </w:rPr>
            <w:instrText xml:space="preserve"> PAGEREF _Toc15165 \h </w:instrText>
          </w:r>
          <w:r>
            <w:rPr>
              <w:sz w:val="21"/>
              <w:szCs w:val="21"/>
              <w:highlight w:val="none"/>
            </w:rPr>
            <w:fldChar w:fldCharType="separate"/>
          </w:r>
          <w:r>
            <w:rPr>
              <w:sz w:val="21"/>
              <w:szCs w:val="21"/>
              <w:highlight w:val="none"/>
            </w:rPr>
            <w:t>100</w:t>
          </w:r>
          <w:r>
            <w:rPr>
              <w:sz w:val="21"/>
              <w:szCs w:val="21"/>
              <w:highlight w:val="none"/>
            </w:rPr>
            <w:fldChar w:fldCharType="end"/>
          </w:r>
          <w:r>
            <w:rPr>
              <w:sz w:val="21"/>
              <w:szCs w:val="21"/>
              <w:highlight w:val="none"/>
            </w:rPr>
            <w:fldChar w:fldCharType="end"/>
          </w:r>
        </w:p>
        <w:p w14:paraId="64DA55E8">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_Toc17223 </w:instrText>
          </w:r>
          <w:r>
            <w:rPr>
              <w:sz w:val="21"/>
              <w:szCs w:val="21"/>
              <w:highlight w:val="none"/>
            </w:rPr>
            <w:fldChar w:fldCharType="separate"/>
          </w:r>
          <w:r>
            <w:rPr>
              <w:rFonts w:hint="default" w:ascii="Times New Roman" w:hAnsi="Times New Roman" w:cs="Times New Roman"/>
              <w:sz w:val="21"/>
              <w:szCs w:val="21"/>
              <w:highlight w:val="none"/>
              <w:lang w:val="en-US" w:eastAsia="zh-CN"/>
            </w:rPr>
            <w:t>3.3.</w:t>
          </w:r>
          <w:r>
            <w:rPr>
              <w:rFonts w:hint="eastAsia" w:ascii="Times New Roman" w:hAnsi="Times New Roman" w:cs="Times New Roman"/>
              <w:sz w:val="21"/>
              <w:szCs w:val="21"/>
              <w:highlight w:val="none"/>
              <w:lang w:val="en-US" w:eastAsia="zh-CN"/>
            </w:rPr>
            <w:t>7</w:t>
          </w:r>
          <w:r>
            <w:rPr>
              <w:rFonts w:hint="eastAsia"/>
              <w:sz w:val="21"/>
              <w:szCs w:val="21"/>
              <w:highlight w:val="none"/>
              <w:lang w:val="en-US" w:eastAsia="zh-CN"/>
            </w:rPr>
            <w:t>运营期风险识别</w:t>
          </w:r>
          <w:r>
            <w:rPr>
              <w:sz w:val="21"/>
              <w:szCs w:val="21"/>
              <w:highlight w:val="none"/>
            </w:rPr>
            <w:tab/>
          </w:r>
          <w:r>
            <w:rPr>
              <w:sz w:val="21"/>
              <w:szCs w:val="21"/>
              <w:highlight w:val="none"/>
            </w:rPr>
            <w:fldChar w:fldCharType="begin"/>
          </w:r>
          <w:r>
            <w:rPr>
              <w:sz w:val="21"/>
              <w:szCs w:val="21"/>
              <w:highlight w:val="none"/>
            </w:rPr>
            <w:instrText xml:space="preserve"> PAGEREF _Toc17223 \h </w:instrText>
          </w:r>
          <w:r>
            <w:rPr>
              <w:sz w:val="21"/>
              <w:szCs w:val="21"/>
              <w:highlight w:val="none"/>
            </w:rPr>
            <w:fldChar w:fldCharType="separate"/>
          </w:r>
          <w:r>
            <w:rPr>
              <w:sz w:val="21"/>
              <w:szCs w:val="21"/>
              <w:highlight w:val="none"/>
            </w:rPr>
            <w:t>101</w:t>
          </w:r>
          <w:r>
            <w:rPr>
              <w:sz w:val="21"/>
              <w:szCs w:val="21"/>
              <w:highlight w:val="none"/>
            </w:rPr>
            <w:fldChar w:fldCharType="end"/>
          </w:r>
          <w:r>
            <w:rPr>
              <w:sz w:val="21"/>
              <w:szCs w:val="21"/>
              <w:highlight w:val="none"/>
            </w:rPr>
            <w:fldChar w:fldCharType="end"/>
          </w:r>
        </w:p>
        <w:p w14:paraId="3BF2D2E7">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_Toc14759 </w:instrText>
          </w:r>
          <w:r>
            <w:rPr>
              <w:sz w:val="21"/>
              <w:szCs w:val="21"/>
              <w:highlight w:val="none"/>
            </w:rPr>
            <w:fldChar w:fldCharType="separate"/>
          </w:r>
          <w:r>
            <w:rPr>
              <w:rFonts w:hint="eastAsia" w:ascii="Times New Roman" w:hAnsi="Times New Roman" w:cs="Times New Roman"/>
              <w:sz w:val="21"/>
              <w:szCs w:val="21"/>
              <w:highlight w:val="none"/>
              <w:lang w:val="en-US" w:eastAsia="zh-CN"/>
            </w:rPr>
            <w:t>3.3.8</w:t>
          </w:r>
          <w:r>
            <w:rPr>
              <w:rFonts w:hint="eastAsia"/>
              <w:sz w:val="21"/>
              <w:szCs w:val="21"/>
              <w:highlight w:val="none"/>
              <w:lang w:val="en-US" w:eastAsia="zh-CN"/>
            </w:rPr>
            <w:t>本项目投产后总量排放分析</w:t>
          </w:r>
          <w:r>
            <w:rPr>
              <w:sz w:val="21"/>
              <w:szCs w:val="21"/>
              <w:highlight w:val="none"/>
            </w:rPr>
            <w:tab/>
          </w:r>
          <w:r>
            <w:rPr>
              <w:sz w:val="21"/>
              <w:szCs w:val="21"/>
              <w:highlight w:val="none"/>
            </w:rPr>
            <w:fldChar w:fldCharType="begin"/>
          </w:r>
          <w:r>
            <w:rPr>
              <w:sz w:val="21"/>
              <w:szCs w:val="21"/>
              <w:highlight w:val="none"/>
            </w:rPr>
            <w:instrText xml:space="preserve"> PAGEREF _Toc14759 \h </w:instrText>
          </w:r>
          <w:r>
            <w:rPr>
              <w:sz w:val="21"/>
              <w:szCs w:val="21"/>
              <w:highlight w:val="none"/>
            </w:rPr>
            <w:fldChar w:fldCharType="separate"/>
          </w:r>
          <w:r>
            <w:rPr>
              <w:sz w:val="21"/>
              <w:szCs w:val="21"/>
              <w:highlight w:val="none"/>
            </w:rPr>
            <w:t>102</w:t>
          </w:r>
          <w:r>
            <w:rPr>
              <w:sz w:val="21"/>
              <w:szCs w:val="21"/>
              <w:highlight w:val="none"/>
            </w:rPr>
            <w:fldChar w:fldCharType="end"/>
          </w:r>
          <w:r>
            <w:rPr>
              <w:sz w:val="21"/>
              <w:szCs w:val="21"/>
              <w:highlight w:val="none"/>
            </w:rPr>
            <w:fldChar w:fldCharType="end"/>
          </w:r>
        </w:p>
        <w:p w14:paraId="26AB7E67">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_Toc18305 </w:instrText>
          </w:r>
          <w:r>
            <w:rPr>
              <w:sz w:val="21"/>
              <w:szCs w:val="21"/>
              <w:highlight w:val="none"/>
            </w:rPr>
            <w:fldChar w:fldCharType="separate"/>
          </w:r>
          <w:r>
            <w:rPr>
              <w:rFonts w:hint="eastAsia" w:ascii="Times New Roman" w:hAnsi="Times New Roman" w:cs="Times New Roman"/>
              <w:sz w:val="21"/>
              <w:szCs w:val="21"/>
              <w:highlight w:val="none"/>
              <w:lang w:val="en-US" w:eastAsia="zh-CN"/>
            </w:rPr>
            <w:t>3.4</w:t>
          </w:r>
          <w:r>
            <w:rPr>
              <w:rFonts w:hint="eastAsia"/>
              <w:sz w:val="21"/>
              <w:szCs w:val="21"/>
              <w:highlight w:val="none"/>
              <w:lang w:val="en-US" w:eastAsia="zh-CN"/>
            </w:rPr>
            <w:t>排放总量控制</w:t>
          </w:r>
          <w:r>
            <w:rPr>
              <w:sz w:val="21"/>
              <w:szCs w:val="21"/>
              <w:highlight w:val="none"/>
            </w:rPr>
            <w:tab/>
          </w:r>
          <w:r>
            <w:rPr>
              <w:sz w:val="21"/>
              <w:szCs w:val="21"/>
              <w:highlight w:val="none"/>
            </w:rPr>
            <w:fldChar w:fldCharType="begin"/>
          </w:r>
          <w:r>
            <w:rPr>
              <w:sz w:val="21"/>
              <w:szCs w:val="21"/>
              <w:highlight w:val="none"/>
            </w:rPr>
            <w:instrText xml:space="preserve"> PAGEREF _Toc18305 \h </w:instrText>
          </w:r>
          <w:r>
            <w:rPr>
              <w:sz w:val="21"/>
              <w:szCs w:val="21"/>
              <w:highlight w:val="none"/>
            </w:rPr>
            <w:fldChar w:fldCharType="separate"/>
          </w:r>
          <w:r>
            <w:rPr>
              <w:sz w:val="21"/>
              <w:szCs w:val="21"/>
              <w:highlight w:val="none"/>
            </w:rPr>
            <w:t>103</w:t>
          </w:r>
          <w:r>
            <w:rPr>
              <w:sz w:val="21"/>
              <w:szCs w:val="21"/>
              <w:highlight w:val="none"/>
            </w:rPr>
            <w:fldChar w:fldCharType="end"/>
          </w:r>
          <w:r>
            <w:rPr>
              <w:sz w:val="21"/>
              <w:szCs w:val="21"/>
              <w:highlight w:val="none"/>
            </w:rPr>
            <w:fldChar w:fldCharType="end"/>
          </w:r>
        </w:p>
        <w:p w14:paraId="4B925F27">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_Toc13746 </w:instrText>
          </w:r>
          <w:r>
            <w:rPr>
              <w:sz w:val="21"/>
              <w:szCs w:val="21"/>
              <w:highlight w:val="none"/>
            </w:rPr>
            <w:fldChar w:fldCharType="separate"/>
          </w:r>
          <w:r>
            <w:rPr>
              <w:rFonts w:hint="eastAsia" w:ascii="Times New Roman" w:hAnsi="Times New Roman" w:cs="Times New Roman"/>
              <w:sz w:val="21"/>
              <w:szCs w:val="21"/>
              <w:highlight w:val="none"/>
              <w:lang w:val="en-US" w:eastAsia="zh-CN"/>
            </w:rPr>
            <w:t>3.5清洁生产分析</w:t>
          </w:r>
          <w:r>
            <w:rPr>
              <w:sz w:val="21"/>
              <w:szCs w:val="21"/>
              <w:highlight w:val="none"/>
            </w:rPr>
            <w:tab/>
          </w:r>
          <w:r>
            <w:rPr>
              <w:sz w:val="21"/>
              <w:szCs w:val="21"/>
              <w:highlight w:val="none"/>
            </w:rPr>
            <w:fldChar w:fldCharType="begin"/>
          </w:r>
          <w:r>
            <w:rPr>
              <w:sz w:val="21"/>
              <w:szCs w:val="21"/>
              <w:highlight w:val="none"/>
            </w:rPr>
            <w:instrText xml:space="preserve"> PAGEREF _Toc13746 \h </w:instrText>
          </w:r>
          <w:r>
            <w:rPr>
              <w:sz w:val="21"/>
              <w:szCs w:val="21"/>
              <w:highlight w:val="none"/>
            </w:rPr>
            <w:fldChar w:fldCharType="separate"/>
          </w:r>
          <w:r>
            <w:rPr>
              <w:sz w:val="21"/>
              <w:szCs w:val="21"/>
              <w:highlight w:val="none"/>
            </w:rPr>
            <w:t>104</w:t>
          </w:r>
          <w:r>
            <w:rPr>
              <w:sz w:val="21"/>
              <w:szCs w:val="21"/>
              <w:highlight w:val="none"/>
            </w:rPr>
            <w:fldChar w:fldCharType="end"/>
          </w:r>
          <w:r>
            <w:rPr>
              <w:sz w:val="21"/>
              <w:szCs w:val="21"/>
              <w:highlight w:val="none"/>
            </w:rPr>
            <w:fldChar w:fldCharType="end"/>
          </w:r>
        </w:p>
        <w:p w14:paraId="1B29D495">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_Toc9169 </w:instrText>
          </w:r>
          <w:r>
            <w:rPr>
              <w:sz w:val="21"/>
              <w:szCs w:val="21"/>
              <w:highlight w:val="none"/>
            </w:rPr>
            <w:fldChar w:fldCharType="separate"/>
          </w:r>
          <w:r>
            <w:rPr>
              <w:rFonts w:hint="eastAsia" w:ascii="Times New Roman" w:hAnsi="Times New Roman" w:cs="Times New Roman"/>
              <w:sz w:val="21"/>
              <w:szCs w:val="21"/>
              <w:highlight w:val="none"/>
              <w:lang w:val="en-US" w:eastAsia="zh-CN"/>
            </w:rPr>
            <w:t>3.5.1</w:t>
          </w:r>
          <w:r>
            <w:rPr>
              <w:rFonts w:hint="eastAsia"/>
              <w:sz w:val="21"/>
              <w:szCs w:val="21"/>
              <w:highlight w:val="none"/>
              <w:lang w:val="en-US" w:eastAsia="zh-CN"/>
            </w:rPr>
            <w:t>国家相关产业政策分析</w:t>
          </w:r>
          <w:r>
            <w:rPr>
              <w:sz w:val="21"/>
              <w:szCs w:val="21"/>
              <w:highlight w:val="none"/>
            </w:rPr>
            <w:tab/>
          </w:r>
          <w:r>
            <w:rPr>
              <w:sz w:val="21"/>
              <w:szCs w:val="21"/>
              <w:highlight w:val="none"/>
            </w:rPr>
            <w:fldChar w:fldCharType="begin"/>
          </w:r>
          <w:r>
            <w:rPr>
              <w:sz w:val="21"/>
              <w:szCs w:val="21"/>
              <w:highlight w:val="none"/>
            </w:rPr>
            <w:instrText xml:space="preserve"> PAGEREF _Toc9169 \h </w:instrText>
          </w:r>
          <w:r>
            <w:rPr>
              <w:sz w:val="21"/>
              <w:szCs w:val="21"/>
              <w:highlight w:val="none"/>
            </w:rPr>
            <w:fldChar w:fldCharType="separate"/>
          </w:r>
          <w:r>
            <w:rPr>
              <w:sz w:val="21"/>
              <w:szCs w:val="21"/>
              <w:highlight w:val="none"/>
            </w:rPr>
            <w:t>104</w:t>
          </w:r>
          <w:r>
            <w:rPr>
              <w:sz w:val="21"/>
              <w:szCs w:val="21"/>
              <w:highlight w:val="none"/>
            </w:rPr>
            <w:fldChar w:fldCharType="end"/>
          </w:r>
          <w:r>
            <w:rPr>
              <w:sz w:val="21"/>
              <w:szCs w:val="21"/>
              <w:highlight w:val="none"/>
            </w:rPr>
            <w:fldChar w:fldCharType="end"/>
          </w:r>
        </w:p>
        <w:p w14:paraId="1267BD58">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_Toc28557 </w:instrText>
          </w:r>
          <w:r>
            <w:rPr>
              <w:sz w:val="21"/>
              <w:szCs w:val="21"/>
              <w:highlight w:val="none"/>
            </w:rPr>
            <w:fldChar w:fldCharType="separate"/>
          </w:r>
          <w:r>
            <w:rPr>
              <w:rFonts w:hint="eastAsia" w:ascii="Times New Roman" w:hAnsi="Times New Roman" w:cs="Times New Roman"/>
              <w:sz w:val="21"/>
              <w:szCs w:val="21"/>
              <w:highlight w:val="none"/>
              <w:lang w:val="en-US" w:eastAsia="zh-CN"/>
            </w:rPr>
            <w:t>3.5.2生产工艺先进性分析</w:t>
          </w:r>
          <w:r>
            <w:rPr>
              <w:sz w:val="21"/>
              <w:szCs w:val="21"/>
              <w:highlight w:val="none"/>
            </w:rPr>
            <w:tab/>
          </w:r>
          <w:r>
            <w:rPr>
              <w:sz w:val="21"/>
              <w:szCs w:val="21"/>
              <w:highlight w:val="none"/>
            </w:rPr>
            <w:fldChar w:fldCharType="begin"/>
          </w:r>
          <w:r>
            <w:rPr>
              <w:sz w:val="21"/>
              <w:szCs w:val="21"/>
              <w:highlight w:val="none"/>
            </w:rPr>
            <w:instrText xml:space="preserve"> PAGEREF _Toc28557 \h </w:instrText>
          </w:r>
          <w:r>
            <w:rPr>
              <w:sz w:val="21"/>
              <w:szCs w:val="21"/>
              <w:highlight w:val="none"/>
            </w:rPr>
            <w:fldChar w:fldCharType="separate"/>
          </w:r>
          <w:r>
            <w:rPr>
              <w:sz w:val="21"/>
              <w:szCs w:val="21"/>
              <w:highlight w:val="none"/>
            </w:rPr>
            <w:t>104</w:t>
          </w:r>
          <w:r>
            <w:rPr>
              <w:sz w:val="21"/>
              <w:szCs w:val="21"/>
              <w:highlight w:val="none"/>
            </w:rPr>
            <w:fldChar w:fldCharType="end"/>
          </w:r>
          <w:r>
            <w:rPr>
              <w:sz w:val="21"/>
              <w:szCs w:val="21"/>
              <w:highlight w:val="none"/>
            </w:rPr>
            <w:fldChar w:fldCharType="end"/>
          </w:r>
        </w:p>
        <w:p w14:paraId="7AF95642">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_Toc18814 </w:instrText>
          </w:r>
          <w:r>
            <w:rPr>
              <w:sz w:val="21"/>
              <w:szCs w:val="21"/>
              <w:highlight w:val="none"/>
            </w:rPr>
            <w:fldChar w:fldCharType="separate"/>
          </w:r>
          <w:r>
            <w:rPr>
              <w:rFonts w:hint="eastAsia" w:ascii="Times New Roman" w:hAnsi="Times New Roman" w:cs="Times New Roman"/>
              <w:sz w:val="21"/>
              <w:szCs w:val="21"/>
              <w:highlight w:val="none"/>
              <w:lang w:val="en-US" w:eastAsia="zh-CN"/>
            </w:rPr>
            <w:t>3.5.3</w:t>
          </w:r>
          <w:r>
            <w:rPr>
              <w:rFonts w:hint="eastAsia"/>
              <w:sz w:val="21"/>
              <w:szCs w:val="21"/>
              <w:highlight w:val="none"/>
              <w:lang w:val="en-US" w:eastAsia="zh-CN"/>
            </w:rPr>
            <w:t>强化污染物的末端治理</w:t>
          </w:r>
          <w:r>
            <w:rPr>
              <w:sz w:val="21"/>
              <w:szCs w:val="21"/>
              <w:highlight w:val="none"/>
            </w:rPr>
            <w:tab/>
          </w:r>
          <w:r>
            <w:rPr>
              <w:sz w:val="21"/>
              <w:szCs w:val="21"/>
              <w:highlight w:val="none"/>
            </w:rPr>
            <w:fldChar w:fldCharType="begin"/>
          </w:r>
          <w:r>
            <w:rPr>
              <w:sz w:val="21"/>
              <w:szCs w:val="21"/>
              <w:highlight w:val="none"/>
            </w:rPr>
            <w:instrText xml:space="preserve"> PAGEREF _Toc18814 \h </w:instrText>
          </w:r>
          <w:r>
            <w:rPr>
              <w:sz w:val="21"/>
              <w:szCs w:val="21"/>
              <w:highlight w:val="none"/>
            </w:rPr>
            <w:fldChar w:fldCharType="separate"/>
          </w:r>
          <w:r>
            <w:rPr>
              <w:sz w:val="21"/>
              <w:szCs w:val="21"/>
              <w:highlight w:val="none"/>
            </w:rPr>
            <w:t>106</w:t>
          </w:r>
          <w:r>
            <w:rPr>
              <w:sz w:val="21"/>
              <w:szCs w:val="21"/>
              <w:highlight w:val="none"/>
            </w:rPr>
            <w:fldChar w:fldCharType="end"/>
          </w:r>
          <w:r>
            <w:rPr>
              <w:sz w:val="21"/>
              <w:szCs w:val="21"/>
              <w:highlight w:val="none"/>
            </w:rPr>
            <w:fldChar w:fldCharType="end"/>
          </w:r>
        </w:p>
        <w:p w14:paraId="00D3FFDA">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_Toc17900 </w:instrText>
          </w:r>
          <w:r>
            <w:rPr>
              <w:sz w:val="21"/>
              <w:szCs w:val="21"/>
              <w:highlight w:val="none"/>
            </w:rPr>
            <w:fldChar w:fldCharType="separate"/>
          </w:r>
          <w:r>
            <w:rPr>
              <w:rFonts w:hint="default" w:ascii="Times New Roman" w:hAnsi="Times New Roman" w:cs="Times New Roman"/>
              <w:sz w:val="21"/>
              <w:szCs w:val="21"/>
              <w:highlight w:val="none"/>
              <w:lang w:val="en-US" w:eastAsia="zh-CN"/>
            </w:rPr>
            <w:t>3.5.4</w:t>
          </w:r>
          <w:r>
            <w:rPr>
              <w:rFonts w:hint="eastAsia"/>
              <w:sz w:val="21"/>
              <w:szCs w:val="21"/>
              <w:highlight w:val="none"/>
              <w:lang w:val="en-US" w:eastAsia="zh-CN"/>
            </w:rPr>
            <w:t>产品指标</w:t>
          </w:r>
          <w:r>
            <w:rPr>
              <w:sz w:val="21"/>
              <w:szCs w:val="21"/>
              <w:highlight w:val="none"/>
            </w:rPr>
            <w:tab/>
          </w:r>
          <w:r>
            <w:rPr>
              <w:sz w:val="21"/>
              <w:szCs w:val="21"/>
              <w:highlight w:val="none"/>
            </w:rPr>
            <w:fldChar w:fldCharType="begin"/>
          </w:r>
          <w:r>
            <w:rPr>
              <w:sz w:val="21"/>
              <w:szCs w:val="21"/>
              <w:highlight w:val="none"/>
            </w:rPr>
            <w:instrText xml:space="preserve"> PAGEREF _Toc17900 \h </w:instrText>
          </w:r>
          <w:r>
            <w:rPr>
              <w:sz w:val="21"/>
              <w:szCs w:val="21"/>
              <w:highlight w:val="none"/>
            </w:rPr>
            <w:fldChar w:fldCharType="separate"/>
          </w:r>
          <w:r>
            <w:rPr>
              <w:sz w:val="21"/>
              <w:szCs w:val="21"/>
              <w:highlight w:val="none"/>
            </w:rPr>
            <w:t>106</w:t>
          </w:r>
          <w:r>
            <w:rPr>
              <w:sz w:val="21"/>
              <w:szCs w:val="21"/>
              <w:highlight w:val="none"/>
            </w:rPr>
            <w:fldChar w:fldCharType="end"/>
          </w:r>
          <w:r>
            <w:rPr>
              <w:sz w:val="21"/>
              <w:szCs w:val="21"/>
              <w:highlight w:val="none"/>
            </w:rPr>
            <w:fldChar w:fldCharType="end"/>
          </w:r>
        </w:p>
        <w:p w14:paraId="1EBEA371">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_Toc11468 </w:instrText>
          </w:r>
          <w:r>
            <w:rPr>
              <w:sz w:val="21"/>
              <w:szCs w:val="21"/>
              <w:highlight w:val="none"/>
            </w:rPr>
            <w:fldChar w:fldCharType="separate"/>
          </w:r>
          <w:r>
            <w:rPr>
              <w:rFonts w:hint="default" w:ascii="Times New Roman" w:hAnsi="Times New Roman" w:cs="Times New Roman"/>
              <w:sz w:val="21"/>
              <w:szCs w:val="21"/>
              <w:highlight w:val="none"/>
              <w:lang w:val="en-US" w:eastAsia="zh-CN"/>
            </w:rPr>
            <w:t>3.5.5</w:t>
          </w:r>
          <w:r>
            <w:rPr>
              <w:rFonts w:hint="eastAsia"/>
              <w:sz w:val="21"/>
              <w:szCs w:val="21"/>
              <w:highlight w:val="none"/>
              <w:lang w:val="en-US" w:eastAsia="zh-CN"/>
            </w:rPr>
            <w:t>废物回收利用指标</w:t>
          </w:r>
          <w:r>
            <w:rPr>
              <w:sz w:val="21"/>
              <w:szCs w:val="21"/>
              <w:highlight w:val="none"/>
            </w:rPr>
            <w:tab/>
          </w:r>
          <w:r>
            <w:rPr>
              <w:sz w:val="21"/>
              <w:szCs w:val="21"/>
              <w:highlight w:val="none"/>
            </w:rPr>
            <w:fldChar w:fldCharType="begin"/>
          </w:r>
          <w:r>
            <w:rPr>
              <w:sz w:val="21"/>
              <w:szCs w:val="21"/>
              <w:highlight w:val="none"/>
            </w:rPr>
            <w:instrText xml:space="preserve"> PAGEREF _Toc11468 \h </w:instrText>
          </w:r>
          <w:r>
            <w:rPr>
              <w:sz w:val="21"/>
              <w:szCs w:val="21"/>
              <w:highlight w:val="none"/>
            </w:rPr>
            <w:fldChar w:fldCharType="separate"/>
          </w:r>
          <w:r>
            <w:rPr>
              <w:sz w:val="21"/>
              <w:szCs w:val="21"/>
              <w:highlight w:val="none"/>
            </w:rPr>
            <w:t>107</w:t>
          </w:r>
          <w:r>
            <w:rPr>
              <w:sz w:val="21"/>
              <w:szCs w:val="21"/>
              <w:highlight w:val="none"/>
            </w:rPr>
            <w:fldChar w:fldCharType="end"/>
          </w:r>
          <w:r>
            <w:rPr>
              <w:sz w:val="21"/>
              <w:szCs w:val="21"/>
              <w:highlight w:val="none"/>
            </w:rPr>
            <w:fldChar w:fldCharType="end"/>
          </w:r>
        </w:p>
        <w:p w14:paraId="59549B59">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_Toc13022 </w:instrText>
          </w:r>
          <w:r>
            <w:rPr>
              <w:sz w:val="21"/>
              <w:szCs w:val="21"/>
              <w:highlight w:val="none"/>
            </w:rPr>
            <w:fldChar w:fldCharType="separate"/>
          </w:r>
          <w:r>
            <w:rPr>
              <w:rFonts w:hint="eastAsia" w:ascii="Times New Roman" w:hAnsi="Times New Roman" w:cs="Times New Roman"/>
              <w:sz w:val="21"/>
              <w:szCs w:val="21"/>
              <w:highlight w:val="none"/>
              <w:lang w:val="en-US" w:eastAsia="zh-CN"/>
            </w:rPr>
            <w:t>3.5.6环境管理要求</w:t>
          </w:r>
          <w:r>
            <w:rPr>
              <w:sz w:val="21"/>
              <w:szCs w:val="21"/>
              <w:highlight w:val="none"/>
            </w:rPr>
            <w:tab/>
          </w:r>
          <w:r>
            <w:rPr>
              <w:sz w:val="21"/>
              <w:szCs w:val="21"/>
              <w:highlight w:val="none"/>
            </w:rPr>
            <w:fldChar w:fldCharType="begin"/>
          </w:r>
          <w:r>
            <w:rPr>
              <w:sz w:val="21"/>
              <w:szCs w:val="21"/>
              <w:highlight w:val="none"/>
            </w:rPr>
            <w:instrText xml:space="preserve"> PAGEREF _Toc13022 \h </w:instrText>
          </w:r>
          <w:r>
            <w:rPr>
              <w:sz w:val="21"/>
              <w:szCs w:val="21"/>
              <w:highlight w:val="none"/>
            </w:rPr>
            <w:fldChar w:fldCharType="separate"/>
          </w:r>
          <w:r>
            <w:rPr>
              <w:sz w:val="21"/>
              <w:szCs w:val="21"/>
              <w:highlight w:val="none"/>
            </w:rPr>
            <w:t>107</w:t>
          </w:r>
          <w:r>
            <w:rPr>
              <w:sz w:val="21"/>
              <w:szCs w:val="21"/>
              <w:highlight w:val="none"/>
            </w:rPr>
            <w:fldChar w:fldCharType="end"/>
          </w:r>
          <w:r>
            <w:rPr>
              <w:sz w:val="21"/>
              <w:szCs w:val="21"/>
              <w:highlight w:val="none"/>
            </w:rPr>
            <w:fldChar w:fldCharType="end"/>
          </w:r>
        </w:p>
        <w:p w14:paraId="214646B3">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_Toc17154 </w:instrText>
          </w:r>
          <w:r>
            <w:rPr>
              <w:sz w:val="21"/>
              <w:szCs w:val="21"/>
              <w:highlight w:val="none"/>
            </w:rPr>
            <w:fldChar w:fldCharType="separate"/>
          </w:r>
          <w:r>
            <w:rPr>
              <w:rFonts w:hint="eastAsia" w:ascii="Times New Roman" w:hAnsi="Times New Roman" w:cs="Times New Roman"/>
              <w:sz w:val="21"/>
              <w:szCs w:val="21"/>
              <w:highlight w:val="none"/>
              <w:lang w:val="en-US" w:eastAsia="zh-CN"/>
            </w:rPr>
            <w:t>3.5.7结论</w:t>
          </w:r>
          <w:r>
            <w:rPr>
              <w:sz w:val="21"/>
              <w:szCs w:val="21"/>
              <w:highlight w:val="none"/>
            </w:rPr>
            <w:tab/>
          </w:r>
          <w:r>
            <w:rPr>
              <w:sz w:val="21"/>
              <w:szCs w:val="21"/>
              <w:highlight w:val="none"/>
            </w:rPr>
            <w:fldChar w:fldCharType="begin"/>
          </w:r>
          <w:r>
            <w:rPr>
              <w:sz w:val="21"/>
              <w:szCs w:val="21"/>
              <w:highlight w:val="none"/>
            </w:rPr>
            <w:instrText xml:space="preserve"> PAGEREF _Toc17154 \h </w:instrText>
          </w:r>
          <w:r>
            <w:rPr>
              <w:sz w:val="21"/>
              <w:szCs w:val="21"/>
              <w:highlight w:val="none"/>
            </w:rPr>
            <w:fldChar w:fldCharType="separate"/>
          </w:r>
          <w:r>
            <w:rPr>
              <w:sz w:val="21"/>
              <w:szCs w:val="21"/>
              <w:highlight w:val="none"/>
            </w:rPr>
            <w:t>107</w:t>
          </w:r>
          <w:r>
            <w:rPr>
              <w:sz w:val="21"/>
              <w:szCs w:val="21"/>
              <w:highlight w:val="none"/>
            </w:rPr>
            <w:fldChar w:fldCharType="end"/>
          </w:r>
          <w:r>
            <w:rPr>
              <w:sz w:val="21"/>
              <w:szCs w:val="21"/>
              <w:highlight w:val="none"/>
            </w:rPr>
            <w:fldChar w:fldCharType="end"/>
          </w:r>
        </w:p>
        <w:p w14:paraId="62093B97">
          <w:pPr>
            <w:pStyle w:val="14"/>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_Toc29751 </w:instrText>
          </w:r>
          <w:r>
            <w:rPr>
              <w:sz w:val="21"/>
              <w:szCs w:val="21"/>
              <w:highlight w:val="none"/>
            </w:rPr>
            <w:fldChar w:fldCharType="separate"/>
          </w:r>
          <w:r>
            <w:rPr>
              <w:rFonts w:hint="eastAsia"/>
              <w:sz w:val="21"/>
              <w:szCs w:val="21"/>
              <w:highlight w:val="none"/>
              <w:lang w:val="en-US" w:eastAsia="zh-CN"/>
            </w:rPr>
            <w:t>4环境现状调查与评价</w:t>
          </w:r>
          <w:r>
            <w:rPr>
              <w:sz w:val="21"/>
              <w:szCs w:val="21"/>
              <w:highlight w:val="none"/>
            </w:rPr>
            <w:tab/>
          </w:r>
          <w:r>
            <w:rPr>
              <w:sz w:val="21"/>
              <w:szCs w:val="21"/>
              <w:highlight w:val="none"/>
            </w:rPr>
            <w:fldChar w:fldCharType="begin"/>
          </w:r>
          <w:r>
            <w:rPr>
              <w:sz w:val="21"/>
              <w:szCs w:val="21"/>
              <w:highlight w:val="none"/>
            </w:rPr>
            <w:instrText xml:space="preserve"> PAGEREF _Toc29751 \h </w:instrText>
          </w:r>
          <w:r>
            <w:rPr>
              <w:sz w:val="21"/>
              <w:szCs w:val="21"/>
              <w:highlight w:val="none"/>
            </w:rPr>
            <w:fldChar w:fldCharType="separate"/>
          </w:r>
          <w:r>
            <w:rPr>
              <w:sz w:val="21"/>
              <w:szCs w:val="21"/>
              <w:highlight w:val="none"/>
            </w:rPr>
            <w:t>108</w:t>
          </w:r>
          <w:r>
            <w:rPr>
              <w:sz w:val="21"/>
              <w:szCs w:val="21"/>
              <w:highlight w:val="none"/>
            </w:rPr>
            <w:fldChar w:fldCharType="end"/>
          </w:r>
          <w:r>
            <w:rPr>
              <w:sz w:val="21"/>
              <w:szCs w:val="21"/>
              <w:highlight w:val="none"/>
            </w:rPr>
            <w:fldChar w:fldCharType="end"/>
          </w:r>
        </w:p>
        <w:p w14:paraId="21C63811">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_Toc8615 </w:instrText>
          </w:r>
          <w:r>
            <w:rPr>
              <w:sz w:val="21"/>
              <w:szCs w:val="21"/>
              <w:highlight w:val="none"/>
            </w:rPr>
            <w:fldChar w:fldCharType="separate"/>
          </w:r>
          <w:r>
            <w:rPr>
              <w:rFonts w:hint="default" w:ascii="Times New Roman" w:hAnsi="Times New Roman" w:cs="Times New Roman"/>
              <w:sz w:val="21"/>
              <w:szCs w:val="21"/>
              <w:highlight w:val="none"/>
              <w:lang w:val="en-US" w:eastAsia="zh-CN"/>
            </w:rPr>
            <w:t>4.1</w:t>
          </w:r>
          <w:r>
            <w:rPr>
              <w:rFonts w:hint="eastAsia"/>
              <w:sz w:val="21"/>
              <w:szCs w:val="21"/>
              <w:highlight w:val="none"/>
              <w:lang w:val="en-US" w:eastAsia="zh-CN"/>
            </w:rPr>
            <w:t>自然环境概括</w:t>
          </w:r>
          <w:r>
            <w:rPr>
              <w:sz w:val="21"/>
              <w:szCs w:val="21"/>
              <w:highlight w:val="none"/>
            </w:rPr>
            <w:tab/>
          </w:r>
          <w:r>
            <w:rPr>
              <w:sz w:val="21"/>
              <w:szCs w:val="21"/>
              <w:highlight w:val="none"/>
            </w:rPr>
            <w:fldChar w:fldCharType="begin"/>
          </w:r>
          <w:r>
            <w:rPr>
              <w:sz w:val="21"/>
              <w:szCs w:val="21"/>
              <w:highlight w:val="none"/>
            </w:rPr>
            <w:instrText xml:space="preserve"> PAGEREF _Toc8615 \h </w:instrText>
          </w:r>
          <w:r>
            <w:rPr>
              <w:sz w:val="21"/>
              <w:szCs w:val="21"/>
              <w:highlight w:val="none"/>
            </w:rPr>
            <w:fldChar w:fldCharType="separate"/>
          </w:r>
          <w:r>
            <w:rPr>
              <w:sz w:val="21"/>
              <w:szCs w:val="21"/>
              <w:highlight w:val="none"/>
            </w:rPr>
            <w:t>108</w:t>
          </w:r>
          <w:r>
            <w:rPr>
              <w:sz w:val="21"/>
              <w:szCs w:val="21"/>
              <w:highlight w:val="none"/>
            </w:rPr>
            <w:fldChar w:fldCharType="end"/>
          </w:r>
          <w:r>
            <w:rPr>
              <w:sz w:val="21"/>
              <w:szCs w:val="21"/>
              <w:highlight w:val="none"/>
            </w:rPr>
            <w:fldChar w:fldCharType="end"/>
          </w:r>
        </w:p>
        <w:p w14:paraId="39EBB271">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_Toc25693 </w:instrText>
          </w:r>
          <w:r>
            <w:rPr>
              <w:sz w:val="21"/>
              <w:szCs w:val="21"/>
              <w:highlight w:val="none"/>
            </w:rPr>
            <w:fldChar w:fldCharType="separate"/>
          </w:r>
          <w:r>
            <w:rPr>
              <w:rFonts w:hint="default" w:ascii="Times New Roman" w:hAnsi="Times New Roman" w:cs="Times New Roman"/>
              <w:sz w:val="21"/>
              <w:szCs w:val="21"/>
              <w:highlight w:val="none"/>
              <w:lang w:val="en-US" w:eastAsia="zh-CN"/>
            </w:rPr>
            <w:t>4.1.1</w:t>
          </w:r>
          <w:r>
            <w:rPr>
              <w:rFonts w:hint="eastAsia"/>
              <w:sz w:val="21"/>
              <w:szCs w:val="21"/>
              <w:highlight w:val="none"/>
              <w:lang w:val="en-US" w:eastAsia="zh-CN"/>
            </w:rPr>
            <w:t>地理位置</w:t>
          </w:r>
          <w:r>
            <w:rPr>
              <w:sz w:val="21"/>
              <w:szCs w:val="21"/>
              <w:highlight w:val="none"/>
            </w:rPr>
            <w:tab/>
          </w:r>
          <w:r>
            <w:rPr>
              <w:sz w:val="21"/>
              <w:szCs w:val="21"/>
              <w:highlight w:val="none"/>
            </w:rPr>
            <w:fldChar w:fldCharType="begin"/>
          </w:r>
          <w:r>
            <w:rPr>
              <w:sz w:val="21"/>
              <w:szCs w:val="21"/>
              <w:highlight w:val="none"/>
            </w:rPr>
            <w:instrText xml:space="preserve"> PAGEREF _Toc25693 \h </w:instrText>
          </w:r>
          <w:r>
            <w:rPr>
              <w:sz w:val="21"/>
              <w:szCs w:val="21"/>
              <w:highlight w:val="none"/>
            </w:rPr>
            <w:fldChar w:fldCharType="separate"/>
          </w:r>
          <w:r>
            <w:rPr>
              <w:sz w:val="21"/>
              <w:szCs w:val="21"/>
              <w:highlight w:val="none"/>
            </w:rPr>
            <w:t>108</w:t>
          </w:r>
          <w:r>
            <w:rPr>
              <w:sz w:val="21"/>
              <w:szCs w:val="21"/>
              <w:highlight w:val="none"/>
            </w:rPr>
            <w:fldChar w:fldCharType="end"/>
          </w:r>
          <w:r>
            <w:rPr>
              <w:sz w:val="21"/>
              <w:szCs w:val="21"/>
              <w:highlight w:val="none"/>
            </w:rPr>
            <w:fldChar w:fldCharType="end"/>
          </w:r>
        </w:p>
        <w:p w14:paraId="7D301B69">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_Toc20633 </w:instrText>
          </w:r>
          <w:r>
            <w:rPr>
              <w:sz w:val="21"/>
              <w:szCs w:val="21"/>
              <w:highlight w:val="none"/>
            </w:rPr>
            <w:fldChar w:fldCharType="separate"/>
          </w:r>
          <w:r>
            <w:rPr>
              <w:rFonts w:hint="default" w:ascii="Times New Roman" w:hAnsi="Times New Roman" w:cs="Times New Roman"/>
              <w:sz w:val="21"/>
              <w:szCs w:val="21"/>
              <w:highlight w:val="none"/>
              <w:lang w:val="en-US" w:eastAsia="zh-CN"/>
            </w:rPr>
            <w:t>4.1.2</w:t>
          </w:r>
          <w:r>
            <w:rPr>
              <w:rFonts w:hint="eastAsia"/>
              <w:sz w:val="21"/>
              <w:szCs w:val="21"/>
              <w:highlight w:val="none"/>
              <w:lang w:val="en-US" w:eastAsia="zh-CN"/>
            </w:rPr>
            <w:t>地形地貌</w:t>
          </w:r>
          <w:r>
            <w:rPr>
              <w:sz w:val="21"/>
              <w:szCs w:val="21"/>
              <w:highlight w:val="none"/>
            </w:rPr>
            <w:tab/>
          </w:r>
          <w:r>
            <w:rPr>
              <w:sz w:val="21"/>
              <w:szCs w:val="21"/>
              <w:highlight w:val="none"/>
            </w:rPr>
            <w:fldChar w:fldCharType="begin"/>
          </w:r>
          <w:r>
            <w:rPr>
              <w:sz w:val="21"/>
              <w:szCs w:val="21"/>
              <w:highlight w:val="none"/>
            </w:rPr>
            <w:instrText xml:space="preserve"> PAGEREF _Toc20633 \h </w:instrText>
          </w:r>
          <w:r>
            <w:rPr>
              <w:sz w:val="21"/>
              <w:szCs w:val="21"/>
              <w:highlight w:val="none"/>
            </w:rPr>
            <w:fldChar w:fldCharType="separate"/>
          </w:r>
          <w:r>
            <w:rPr>
              <w:sz w:val="21"/>
              <w:szCs w:val="21"/>
              <w:highlight w:val="none"/>
            </w:rPr>
            <w:t>109</w:t>
          </w:r>
          <w:r>
            <w:rPr>
              <w:sz w:val="21"/>
              <w:szCs w:val="21"/>
              <w:highlight w:val="none"/>
            </w:rPr>
            <w:fldChar w:fldCharType="end"/>
          </w:r>
          <w:r>
            <w:rPr>
              <w:sz w:val="21"/>
              <w:szCs w:val="21"/>
              <w:highlight w:val="none"/>
            </w:rPr>
            <w:fldChar w:fldCharType="end"/>
          </w:r>
        </w:p>
        <w:p w14:paraId="24CC7EE8">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_Toc28287 </w:instrText>
          </w:r>
          <w:r>
            <w:rPr>
              <w:sz w:val="21"/>
              <w:szCs w:val="21"/>
              <w:highlight w:val="none"/>
            </w:rPr>
            <w:fldChar w:fldCharType="separate"/>
          </w:r>
          <w:r>
            <w:rPr>
              <w:rFonts w:hint="default" w:ascii="Times New Roman" w:hAnsi="Times New Roman" w:cs="Times New Roman"/>
              <w:sz w:val="21"/>
              <w:szCs w:val="21"/>
              <w:highlight w:val="none"/>
              <w:lang w:val="en-US" w:eastAsia="zh-CN"/>
            </w:rPr>
            <w:t>4.1.3</w:t>
          </w:r>
          <w:r>
            <w:rPr>
              <w:rFonts w:hint="eastAsia"/>
              <w:sz w:val="21"/>
              <w:szCs w:val="21"/>
              <w:highlight w:val="none"/>
              <w:lang w:val="en-US" w:eastAsia="zh-CN"/>
            </w:rPr>
            <w:t>气候、气象</w:t>
          </w:r>
          <w:r>
            <w:rPr>
              <w:sz w:val="21"/>
              <w:szCs w:val="21"/>
              <w:highlight w:val="none"/>
            </w:rPr>
            <w:tab/>
          </w:r>
          <w:r>
            <w:rPr>
              <w:sz w:val="21"/>
              <w:szCs w:val="21"/>
              <w:highlight w:val="none"/>
            </w:rPr>
            <w:fldChar w:fldCharType="begin"/>
          </w:r>
          <w:r>
            <w:rPr>
              <w:sz w:val="21"/>
              <w:szCs w:val="21"/>
              <w:highlight w:val="none"/>
            </w:rPr>
            <w:instrText xml:space="preserve"> PAGEREF _Toc28287 \h </w:instrText>
          </w:r>
          <w:r>
            <w:rPr>
              <w:sz w:val="21"/>
              <w:szCs w:val="21"/>
              <w:highlight w:val="none"/>
            </w:rPr>
            <w:fldChar w:fldCharType="separate"/>
          </w:r>
          <w:r>
            <w:rPr>
              <w:sz w:val="21"/>
              <w:szCs w:val="21"/>
              <w:highlight w:val="none"/>
            </w:rPr>
            <w:t>110</w:t>
          </w:r>
          <w:r>
            <w:rPr>
              <w:sz w:val="21"/>
              <w:szCs w:val="21"/>
              <w:highlight w:val="none"/>
            </w:rPr>
            <w:fldChar w:fldCharType="end"/>
          </w:r>
          <w:r>
            <w:rPr>
              <w:sz w:val="21"/>
              <w:szCs w:val="21"/>
              <w:highlight w:val="none"/>
            </w:rPr>
            <w:fldChar w:fldCharType="end"/>
          </w:r>
        </w:p>
        <w:p w14:paraId="4CB7952C">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_Toc11755 </w:instrText>
          </w:r>
          <w:r>
            <w:rPr>
              <w:sz w:val="21"/>
              <w:szCs w:val="21"/>
              <w:highlight w:val="none"/>
            </w:rPr>
            <w:fldChar w:fldCharType="separate"/>
          </w:r>
          <w:r>
            <w:rPr>
              <w:rFonts w:hint="eastAsia" w:ascii="Times New Roman" w:hAnsi="Times New Roman" w:eastAsia="宋体" w:cs="Times New Roman"/>
              <w:sz w:val="21"/>
              <w:szCs w:val="21"/>
              <w:highlight w:val="none"/>
              <w:lang w:val="en-US" w:eastAsia="zh-CN"/>
            </w:rPr>
            <w:t>4.1.4水文地质情况</w:t>
          </w:r>
          <w:r>
            <w:rPr>
              <w:sz w:val="21"/>
              <w:szCs w:val="21"/>
              <w:highlight w:val="none"/>
            </w:rPr>
            <w:tab/>
          </w:r>
          <w:r>
            <w:rPr>
              <w:sz w:val="21"/>
              <w:szCs w:val="21"/>
              <w:highlight w:val="none"/>
            </w:rPr>
            <w:fldChar w:fldCharType="begin"/>
          </w:r>
          <w:r>
            <w:rPr>
              <w:sz w:val="21"/>
              <w:szCs w:val="21"/>
              <w:highlight w:val="none"/>
            </w:rPr>
            <w:instrText xml:space="preserve"> PAGEREF _Toc11755 \h </w:instrText>
          </w:r>
          <w:r>
            <w:rPr>
              <w:sz w:val="21"/>
              <w:szCs w:val="21"/>
              <w:highlight w:val="none"/>
            </w:rPr>
            <w:fldChar w:fldCharType="separate"/>
          </w:r>
          <w:r>
            <w:rPr>
              <w:sz w:val="21"/>
              <w:szCs w:val="21"/>
              <w:highlight w:val="none"/>
            </w:rPr>
            <w:t>110</w:t>
          </w:r>
          <w:r>
            <w:rPr>
              <w:sz w:val="21"/>
              <w:szCs w:val="21"/>
              <w:highlight w:val="none"/>
            </w:rPr>
            <w:fldChar w:fldCharType="end"/>
          </w:r>
          <w:r>
            <w:rPr>
              <w:sz w:val="21"/>
              <w:szCs w:val="21"/>
              <w:highlight w:val="none"/>
            </w:rPr>
            <w:fldChar w:fldCharType="end"/>
          </w:r>
        </w:p>
        <w:p w14:paraId="54AD7955">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_Toc8573 </w:instrText>
          </w:r>
          <w:r>
            <w:rPr>
              <w:sz w:val="21"/>
              <w:szCs w:val="21"/>
              <w:highlight w:val="none"/>
            </w:rPr>
            <w:fldChar w:fldCharType="separate"/>
          </w:r>
          <w:r>
            <w:rPr>
              <w:rFonts w:hint="default" w:ascii="Times New Roman" w:hAnsi="Times New Roman" w:cs="Times New Roman"/>
              <w:sz w:val="21"/>
              <w:szCs w:val="21"/>
              <w:highlight w:val="none"/>
              <w:lang w:val="en-US" w:eastAsia="zh-CN"/>
            </w:rPr>
            <w:t>4.1.</w:t>
          </w:r>
          <w:r>
            <w:rPr>
              <w:rFonts w:hint="eastAsia" w:ascii="Times New Roman" w:hAnsi="Times New Roman" w:cs="Times New Roman"/>
              <w:sz w:val="21"/>
              <w:szCs w:val="21"/>
              <w:highlight w:val="none"/>
              <w:lang w:val="en-US" w:eastAsia="zh-CN"/>
            </w:rPr>
            <w:t>5</w:t>
          </w:r>
          <w:r>
            <w:rPr>
              <w:rFonts w:hint="eastAsia"/>
              <w:sz w:val="21"/>
              <w:szCs w:val="21"/>
              <w:highlight w:val="none"/>
              <w:lang w:val="en-US" w:eastAsia="zh-CN"/>
            </w:rPr>
            <w:t>土壤</w:t>
          </w:r>
          <w:r>
            <w:rPr>
              <w:sz w:val="21"/>
              <w:szCs w:val="21"/>
              <w:highlight w:val="none"/>
            </w:rPr>
            <w:tab/>
          </w:r>
          <w:r>
            <w:rPr>
              <w:sz w:val="21"/>
              <w:szCs w:val="21"/>
              <w:highlight w:val="none"/>
            </w:rPr>
            <w:fldChar w:fldCharType="begin"/>
          </w:r>
          <w:r>
            <w:rPr>
              <w:sz w:val="21"/>
              <w:szCs w:val="21"/>
              <w:highlight w:val="none"/>
            </w:rPr>
            <w:instrText xml:space="preserve"> PAGEREF _Toc8573 \h </w:instrText>
          </w:r>
          <w:r>
            <w:rPr>
              <w:sz w:val="21"/>
              <w:szCs w:val="21"/>
              <w:highlight w:val="none"/>
            </w:rPr>
            <w:fldChar w:fldCharType="separate"/>
          </w:r>
          <w:r>
            <w:rPr>
              <w:sz w:val="21"/>
              <w:szCs w:val="21"/>
              <w:highlight w:val="none"/>
            </w:rPr>
            <w:t>113</w:t>
          </w:r>
          <w:r>
            <w:rPr>
              <w:sz w:val="21"/>
              <w:szCs w:val="21"/>
              <w:highlight w:val="none"/>
            </w:rPr>
            <w:fldChar w:fldCharType="end"/>
          </w:r>
          <w:r>
            <w:rPr>
              <w:sz w:val="21"/>
              <w:szCs w:val="21"/>
              <w:highlight w:val="none"/>
            </w:rPr>
            <w:fldChar w:fldCharType="end"/>
          </w:r>
        </w:p>
        <w:p w14:paraId="1327DC19">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_Toc31153 </w:instrText>
          </w:r>
          <w:r>
            <w:rPr>
              <w:sz w:val="21"/>
              <w:szCs w:val="21"/>
              <w:highlight w:val="none"/>
            </w:rPr>
            <w:fldChar w:fldCharType="separate"/>
          </w:r>
          <w:r>
            <w:rPr>
              <w:rFonts w:hint="eastAsia" w:ascii="Times New Roman" w:hAnsi="Times New Roman" w:cs="Times New Roman"/>
              <w:sz w:val="21"/>
              <w:szCs w:val="21"/>
              <w:highlight w:val="none"/>
              <w:lang w:val="en-US" w:eastAsia="zh-CN"/>
            </w:rPr>
            <w:t>4.1.6</w:t>
          </w:r>
          <w:r>
            <w:rPr>
              <w:rFonts w:hint="eastAsia"/>
              <w:sz w:val="21"/>
              <w:szCs w:val="21"/>
              <w:highlight w:val="none"/>
              <w:lang w:val="en-US" w:eastAsia="zh-CN"/>
            </w:rPr>
            <w:t>自然资源</w:t>
          </w:r>
          <w:r>
            <w:rPr>
              <w:sz w:val="21"/>
              <w:szCs w:val="21"/>
              <w:highlight w:val="none"/>
            </w:rPr>
            <w:tab/>
          </w:r>
          <w:r>
            <w:rPr>
              <w:sz w:val="21"/>
              <w:szCs w:val="21"/>
              <w:highlight w:val="none"/>
            </w:rPr>
            <w:fldChar w:fldCharType="begin"/>
          </w:r>
          <w:r>
            <w:rPr>
              <w:sz w:val="21"/>
              <w:szCs w:val="21"/>
              <w:highlight w:val="none"/>
            </w:rPr>
            <w:instrText xml:space="preserve"> PAGEREF _Toc31153 \h </w:instrText>
          </w:r>
          <w:r>
            <w:rPr>
              <w:sz w:val="21"/>
              <w:szCs w:val="21"/>
              <w:highlight w:val="none"/>
            </w:rPr>
            <w:fldChar w:fldCharType="separate"/>
          </w:r>
          <w:r>
            <w:rPr>
              <w:sz w:val="21"/>
              <w:szCs w:val="21"/>
              <w:highlight w:val="none"/>
            </w:rPr>
            <w:t>114</w:t>
          </w:r>
          <w:r>
            <w:rPr>
              <w:sz w:val="21"/>
              <w:szCs w:val="21"/>
              <w:highlight w:val="none"/>
            </w:rPr>
            <w:fldChar w:fldCharType="end"/>
          </w:r>
          <w:r>
            <w:rPr>
              <w:sz w:val="21"/>
              <w:szCs w:val="21"/>
              <w:highlight w:val="none"/>
            </w:rPr>
            <w:fldChar w:fldCharType="end"/>
          </w:r>
        </w:p>
        <w:p w14:paraId="1C6328BE">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_Toc16136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4.2</w:t>
          </w:r>
          <w:r>
            <w:rPr>
              <w:rFonts w:hint="eastAsia"/>
              <w:sz w:val="21"/>
              <w:szCs w:val="21"/>
              <w:highlight w:val="none"/>
              <w:lang w:val="en-US" w:eastAsia="zh-CN"/>
            </w:rPr>
            <w:t>环境保护目标调查</w:t>
          </w:r>
          <w:r>
            <w:rPr>
              <w:sz w:val="21"/>
              <w:szCs w:val="21"/>
              <w:highlight w:val="none"/>
            </w:rPr>
            <w:tab/>
          </w:r>
          <w:r>
            <w:rPr>
              <w:sz w:val="21"/>
              <w:szCs w:val="21"/>
              <w:highlight w:val="none"/>
            </w:rPr>
            <w:fldChar w:fldCharType="begin"/>
          </w:r>
          <w:r>
            <w:rPr>
              <w:sz w:val="21"/>
              <w:szCs w:val="21"/>
              <w:highlight w:val="none"/>
            </w:rPr>
            <w:instrText xml:space="preserve"> PAGEREF _Toc16136 \h </w:instrText>
          </w:r>
          <w:r>
            <w:rPr>
              <w:sz w:val="21"/>
              <w:szCs w:val="21"/>
              <w:highlight w:val="none"/>
            </w:rPr>
            <w:fldChar w:fldCharType="separate"/>
          </w:r>
          <w:r>
            <w:rPr>
              <w:sz w:val="21"/>
              <w:szCs w:val="21"/>
              <w:highlight w:val="none"/>
            </w:rPr>
            <w:t>115</w:t>
          </w:r>
          <w:r>
            <w:rPr>
              <w:sz w:val="21"/>
              <w:szCs w:val="21"/>
              <w:highlight w:val="none"/>
            </w:rPr>
            <w:fldChar w:fldCharType="end"/>
          </w:r>
          <w:r>
            <w:rPr>
              <w:sz w:val="21"/>
              <w:szCs w:val="21"/>
              <w:highlight w:val="none"/>
            </w:rPr>
            <w:fldChar w:fldCharType="end"/>
          </w:r>
        </w:p>
        <w:p w14:paraId="5DA6239B">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_Toc4382 </w:instrText>
          </w:r>
          <w:r>
            <w:rPr>
              <w:sz w:val="21"/>
              <w:szCs w:val="21"/>
              <w:highlight w:val="none"/>
            </w:rPr>
            <w:fldChar w:fldCharType="separate"/>
          </w:r>
          <w:r>
            <w:rPr>
              <w:rFonts w:hint="default" w:ascii="Times New Roman" w:hAnsi="Times New Roman" w:cs="Times New Roman"/>
              <w:sz w:val="21"/>
              <w:szCs w:val="21"/>
              <w:highlight w:val="none"/>
              <w:lang w:val="en-US" w:eastAsia="zh-CN"/>
            </w:rPr>
            <w:t>4.2.1</w:t>
          </w:r>
          <w:r>
            <w:rPr>
              <w:rFonts w:hint="eastAsia"/>
              <w:sz w:val="21"/>
              <w:szCs w:val="21"/>
              <w:highlight w:val="none"/>
              <w:lang w:val="en-US" w:eastAsia="zh-CN"/>
            </w:rPr>
            <w:t>环境功能区划</w:t>
          </w:r>
          <w:r>
            <w:rPr>
              <w:sz w:val="21"/>
              <w:szCs w:val="21"/>
              <w:highlight w:val="none"/>
            </w:rPr>
            <w:tab/>
          </w:r>
          <w:r>
            <w:rPr>
              <w:sz w:val="21"/>
              <w:szCs w:val="21"/>
              <w:highlight w:val="none"/>
            </w:rPr>
            <w:fldChar w:fldCharType="begin"/>
          </w:r>
          <w:r>
            <w:rPr>
              <w:sz w:val="21"/>
              <w:szCs w:val="21"/>
              <w:highlight w:val="none"/>
            </w:rPr>
            <w:instrText xml:space="preserve"> PAGEREF _Toc4382 \h </w:instrText>
          </w:r>
          <w:r>
            <w:rPr>
              <w:sz w:val="21"/>
              <w:szCs w:val="21"/>
              <w:highlight w:val="none"/>
            </w:rPr>
            <w:fldChar w:fldCharType="separate"/>
          </w:r>
          <w:r>
            <w:rPr>
              <w:sz w:val="21"/>
              <w:szCs w:val="21"/>
              <w:highlight w:val="none"/>
            </w:rPr>
            <w:t>115</w:t>
          </w:r>
          <w:r>
            <w:rPr>
              <w:sz w:val="21"/>
              <w:szCs w:val="21"/>
              <w:highlight w:val="none"/>
            </w:rPr>
            <w:fldChar w:fldCharType="end"/>
          </w:r>
          <w:r>
            <w:rPr>
              <w:sz w:val="21"/>
              <w:szCs w:val="21"/>
              <w:highlight w:val="none"/>
            </w:rPr>
            <w:fldChar w:fldCharType="end"/>
          </w:r>
        </w:p>
        <w:p w14:paraId="173E2C6F">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_Toc20671 </w:instrText>
          </w:r>
          <w:r>
            <w:rPr>
              <w:sz w:val="21"/>
              <w:szCs w:val="21"/>
              <w:highlight w:val="none"/>
            </w:rPr>
            <w:fldChar w:fldCharType="separate"/>
          </w:r>
          <w:r>
            <w:rPr>
              <w:rFonts w:hint="eastAsia" w:ascii="Times New Roman" w:hAnsi="Times New Roman" w:cs="Times New Roman"/>
              <w:sz w:val="21"/>
              <w:szCs w:val="21"/>
              <w:highlight w:val="none"/>
              <w:lang w:val="en-US" w:eastAsia="zh-CN"/>
            </w:rPr>
            <w:t>4.2.2</w:t>
          </w:r>
          <w:r>
            <w:rPr>
              <w:rFonts w:hint="eastAsia"/>
              <w:sz w:val="21"/>
              <w:szCs w:val="21"/>
              <w:highlight w:val="none"/>
              <w:lang w:val="en-US" w:eastAsia="zh-CN"/>
            </w:rPr>
            <w:t>主要环境敏感区</w:t>
          </w:r>
          <w:r>
            <w:rPr>
              <w:sz w:val="21"/>
              <w:szCs w:val="21"/>
              <w:highlight w:val="none"/>
            </w:rPr>
            <w:tab/>
          </w:r>
          <w:r>
            <w:rPr>
              <w:sz w:val="21"/>
              <w:szCs w:val="21"/>
              <w:highlight w:val="none"/>
            </w:rPr>
            <w:fldChar w:fldCharType="begin"/>
          </w:r>
          <w:r>
            <w:rPr>
              <w:sz w:val="21"/>
              <w:szCs w:val="21"/>
              <w:highlight w:val="none"/>
            </w:rPr>
            <w:instrText xml:space="preserve"> PAGEREF _Toc20671 \h </w:instrText>
          </w:r>
          <w:r>
            <w:rPr>
              <w:sz w:val="21"/>
              <w:szCs w:val="21"/>
              <w:highlight w:val="none"/>
            </w:rPr>
            <w:fldChar w:fldCharType="separate"/>
          </w:r>
          <w:r>
            <w:rPr>
              <w:sz w:val="21"/>
              <w:szCs w:val="21"/>
              <w:highlight w:val="none"/>
            </w:rPr>
            <w:t>116</w:t>
          </w:r>
          <w:r>
            <w:rPr>
              <w:sz w:val="21"/>
              <w:szCs w:val="21"/>
              <w:highlight w:val="none"/>
            </w:rPr>
            <w:fldChar w:fldCharType="end"/>
          </w:r>
          <w:r>
            <w:rPr>
              <w:sz w:val="21"/>
              <w:szCs w:val="21"/>
              <w:highlight w:val="none"/>
            </w:rPr>
            <w:fldChar w:fldCharType="end"/>
          </w:r>
        </w:p>
        <w:p w14:paraId="2D129051">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_Toc23457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4.3</w:t>
          </w:r>
          <w:r>
            <w:rPr>
              <w:rFonts w:hint="eastAsia"/>
              <w:sz w:val="21"/>
              <w:szCs w:val="21"/>
              <w:highlight w:val="none"/>
              <w:lang w:val="en-US" w:eastAsia="zh-CN"/>
            </w:rPr>
            <w:t>环境质量现状调查与评价</w:t>
          </w:r>
          <w:r>
            <w:rPr>
              <w:sz w:val="21"/>
              <w:szCs w:val="21"/>
              <w:highlight w:val="none"/>
            </w:rPr>
            <w:tab/>
          </w:r>
          <w:r>
            <w:rPr>
              <w:sz w:val="21"/>
              <w:szCs w:val="21"/>
              <w:highlight w:val="none"/>
            </w:rPr>
            <w:fldChar w:fldCharType="begin"/>
          </w:r>
          <w:r>
            <w:rPr>
              <w:sz w:val="21"/>
              <w:szCs w:val="21"/>
              <w:highlight w:val="none"/>
            </w:rPr>
            <w:instrText xml:space="preserve"> PAGEREF _Toc23457 \h </w:instrText>
          </w:r>
          <w:r>
            <w:rPr>
              <w:sz w:val="21"/>
              <w:szCs w:val="21"/>
              <w:highlight w:val="none"/>
            </w:rPr>
            <w:fldChar w:fldCharType="separate"/>
          </w:r>
          <w:r>
            <w:rPr>
              <w:sz w:val="21"/>
              <w:szCs w:val="21"/>
              <w:highlight w:val="none"/>
            </w:rPr>
            <w:t>116</w:t>
          </w:r>
          <w:r>
            <w:rPr>
              <w:sz w:val="21"/>
              <w:szCs w:val="21"/>
              <w:highlight w:val="none"/>
            </w:rPr>
            <w:fldChar w:fldCharType="end"/>
          </w:r>
          <w:r>
            <w:rPr>
              <w:sz w:val="21"/>
              <w:szCs w:val="21"/>
              <w:highlight w:val="none"/>
            </w:rPr>
            <w:fldChar w:fldCharType="end"/>
          </w:r>
        </w:p>
        <w:p w14:paraId="33E9B0EE">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_Toc23391 </w:instrText>
          </w:r>
          <w:r>
            <w:rPr>
              <w:sz w:val="21"/>
              <w:szCs w:val="21"/>
              <w:highlight w:val="none"/>
            </w:rPr>
            <w:fldChar w:fldCharType="separate"/>
          </w:r>
          <w:r>
            <w:rPr>
              <w:rFonts w:hint="default" w:ascii="Times New Roman" w:hAnsi="Times New Roman" w:cs="Times New Roman"/>
              <w:sz w:val="21"/>
              <w:szCs w:val="21"/>
              <w:highlight w:val="none"/>
              <w:lang w:val="en-US" w:eastAsia="zh-CN"/>
            </w:rPr>
            <w:t>4.3.1</w:t>
          </w:r>
          <w:r>
            <w:rPr>
              <w:rFonts w:hint="eastAsia"/>
              <w:sz w:val="21"/>
              <w:szCs w:val="21"/>
              <w:highlight w:val="none"/>
              <w:lang w:val="en-US" w:eastAsia="zh-CN"/>
            </w:rPr>
            <w:t>环境空气质量现状评价</w:t>
          </w:r>
          <w:r>
            <w:rPr>
              <w:sz w:val="21"/>
              <w:szCs w:val="21"/>
              <w:highlight w:val="none"/>
            </w:rPr>
            <w:tab/>
          </w:r>
          <w:r>
            <w:rPr>
              <w:sz w:val="21"/>
              <w:szCs w:val="21"/>
              <w:highlight w:val="none"/>
            </w:rPr>
            <w:fldChar w:fldCharType="begin"/>
          </w:r>
          <w:r>
            <w:rPr>
              <w:sz w:val="21"/>
              <w:szCs w:val="21"/>
              <w:highlight w:val="none"/>
            </w:rPr>
            <w:instrText xml:space="preserve"> PAGEREF _Toc23391 \h </w:instrText>
          </w:r>
          <w:r>
            <w:rPr>
              <w:sz w:val="21"/>
              <w:szCs w:val="21"/>
              <w:highlight w:val="none"/>
            </w:rPr>
            <w:fldChar w:fldCharType="separate"/>
          </w:r>
          <w:r>
            <w:rPr>
              <w:sz w:val="21"/>
              <w:szCs w:val="21"/>
              <w:highlight w:val="none"/>
            </w:rPr>
            <w:t>116</w:t>
          </w:r>
          <w:r>
            <w:rPr>
              <w:sz w:val="21"/>
              <w:szCs w:val="21"/>
              <w:highlight w:val="none"/>
            </w:rPr>
            <w:fldChar w:fldCharType="end"/>
          </w:r>
          <w:r>
            <w:rPr>
              <w:sz w:val="21"/>
              <w:szCs w:val="21"/>
              <w:highlight w:val="none"/>
            </w:rPr>
            <w:fldChar w:fldCharType="end"/>
          </w:r>
        </w:p>
        <w:p w14:paraId="7712CA4E">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_Toc16871 </w:instrText>
          </w:r>
          <w:r>
            <w:rPr>
              <w:sz w:val="21"/>
              <w:szCs w:val="21"/>
              <w:highlight w:val="none"/>
            </w:rPr>
            <w:fldChar w:fldCharType="separate"/>
          </w:r>
          <w:r>
            <w:rPr>
              <w:rFonts w:hint="default" w:ascii="Times New Roman" w:hAnsi="Times New Roman" w:cs="Times New Roman"/>
              <w:sz w:val="21"/>
              <w:szCs w:val="21"/>
              <w:highlight w:val="none"/>
              <w:lang w:val="en-US" w:eastAsia="zh-CN"/>
            </w:rPr>
            <w:t>4.3.2</w:t>
          </w:r>
          <w:r>
            <w:rPr>
              <w:rFonts w:hint="eastAsia"/>
              <w:sz w:val="21"/>
              <w:szCs w:val="21"/>
              <w:highlight w:val="none"/>
              <w:lang w:val="en-US" w:eastAsia="zh-CN"/>
            </w:rPr>
            <w:t>地表水环境质量现状评价</w:t>
          </w:r>
          <w:r>
            <w:rPr>
              <w:sz w:val="21"/>
              <w:szCs w:val="21"/>
              <w:highlight w:val="none"/>
            </w:rPr>
            <w:tab/>
          </w:r>
          <w:r>
            <w:rPr>
              <w:sz w:val="21"/>
              <w:szCs w:val="21"/>
              <w:highlight w:val="none"/>
            </w:rPr>
            <w:fldChar w:fldCharType="begin"/>
          </w:r>
          <w:r>
            <w:rPr>
              <w:sz w:val="21"/>
              <w:szCs w:val="21"/>
              <w:highlight w:val="none"/>
            </w:rPr>
            <w:instrText xml:space="preserve"> PAGEREF _Toc16871 \h </w:instrText>
          </w:r>
          <w:r>
            <w:rPr>
              <w:sz w:val="21"/>
              <w:szCs w:val="21"/>
              <w:highlight w:val="none"/>
            </w:rPr>
            <w:fldChar w:fldCharType="separate"/>
          </w:r>
          <w:r>
            <w:rPr>
              <w:sz w:val="21"/>
              <w:szCs w:val="21"/>
              <w:highlight w:val="none"/>
            </w:rPr>
            <w:t>120</w:t>
          </w:r>
          <w:r>
            <w:rPr>
              <w:sz w:val="21"/>
              <w:szCs w:val="21"/>
              <w:highlight w:val="none"/>
            </w:rPr>
            <w:fldChar w:fldCharType="end"/>
          </w:r>
          <w:r>
            <w:rPr>
              <w:sz w:val="21"/>
              <w:szCs w:val="21"/>
              <w:highlight w:val="none"/>
            </w:rPr>
            <w:fldChar w:fldCharType="end"/>
          </w:r>
        </w:p>
        <w:p w14:paraId="5FFF9DC6">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_Toc18490 </w:instrText>
          </w:r>
          <w:r>
            <w:rPr>
              <w:sz w:val="21"/>
              <w:szCs w:val="21"/>
              <w:highlight w:val="none"/>
            </w:rPr>
            <w:fldChar w:fldCharType="separate"/>
          </w:r>
          <w:r>
            <w:rPr>
              <w:rFonts w:hint="eastAsia" w:ascii="Times New Roman" w:hAnsi="Times New Roman" w:cs="Times New Roman"/>
              <w:sz w:val="21"/>
              <w:szCs w:val="21"/>
              <w:highlight w:val="none"/>
              <w:lang w:val="en-US" w:eastAsia="zh-CN"/>
            </w:rPr>
            <w:t>4.3.3</w:t>
          </w:r>
          <w:r>
            <w:rPr>
              <w:rFonts w:hint="eastAsia"/>
              <w:sz w:val="21"/>
              <w:szCs w:val="21"/>
              <w:highlight w:val="none"/>
              <w:lang w:val="en-US" w:eastAsia="zh-CN"/>
            </w:rPr>
            <w:t>声环境质量现状评价</w:t>
          </w:r>
          <w:r>
            <w:rPr>
              <w:sz w:val="21"/>
              <w:szCs w:val="21"/>
              <w:highlight w:val="none"/>
            </w:rPr>
            <w:tab/>
          </w:r>
          <w:r>
            <w:rPr>
              <w:sz w:val="21"/>
              <w:szCs w:val="21"/>
              <w:highlight w:val="none"/>
            </w:rPr>
            <w:fldChar w:fldCharType="begin"/>
          </w:r>
          <w:r>
            <w:rPr>
              <w:sz w:val="21"/>
              <w:szCs w:val="21"/>
              <w:highlight w:val="none"/>
            </w:rPr>
            <w:instrText xml:space="preserve"> PAGEREF _Toc18490 \h </w:instrText>
          </w:r>
          <w:r>
            <w:rPr>
              <w:sz w:val="21"/>
              <w:szCs w:val="21"/>
              <w:highlight w:val="none"/>
            </w:rPr>
            <w:fldChar w:fldCharType="separate"/>
          </w:r>
          <w:r>
            <w:rPr>
              <w:sz w:val="21"/>
              <w:szCs w:val="21"/>
              <w:highlight w:val="none"/>
            </w:rPr>
            <w:t>121</w:t>
          </w:r>
          <w:r>
            <w:rPr>
              <w:sz w:val="21"/>
              <w:szCs w:val="21"/>
              <w:highlight w:val="none"/>
            </w:rPr>
            <w:fldChar w:fldCharType="end"/>
          </w:r>
          <w:r>
            <w:rPr>
              <w:sz w:val="21"/>
              <w:szCs w:val="21"/>
              <w:highlight w:val="none"/>
            </w:rPr>
            <w:fldChar w:fldCharType="end"/>
          </w:r>
        </w:p>
        <w:p w14:paraId="5AE9C888">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_Toc1514 </w:instrText>
          </w:r>
          <w:r>
            <w:rPr>
              <w:sz w:val="21"/>
              <w:szCs w:val="21"/>
              <w:highlight w:val="none"/>
            </w:rPr>
            <w:fldChar w:fldCharType="separate"/>
          </w:r>
          <w:r>
            <w:rPr>
              <w:rFonts w:hint="default" w:ascii="Times New Roman" w:hAnsi="Times New Roman" w:cs="Times New Roman"/>
              <w:sz w:val="21"/>
              <w:szCs w:val="21"/>
              <w:highlight w:val="none"/>
              <w:lang w:val="en-US" w:eastAsia="zh-CN"/>
            </w:rPr>
            <w:t>4.3.4</w:t>
          </w:r>
          <w:r>
            <w:rPr>
              <w:rFonts w:hint="eastAsia"/>
              <w:sz w:val="21"/>
              <w:szCs w:val="21"/>
              <w:highlight w:val="none"/>
              <w:lang w:val="en-US" w:eastAsia="zh-CN"/>
            </w:rPr>
            <w:t>土壤环境质量现状评价</w:t>
          </w:r>
          <w:r>
            <w:rPr>
              <w:sz w:val="21"/>
              <w:szCs w:val="21"/>
              <w:highlight w:val="none"/>
            </w:rPr>
            <w:tab/>
          </w:r>
          <w:r>
            <w:rPr>
              <w:sz w:val="21"/>
              <w:szCs w:val="21"/>
              <w:highlight w:val="none"/>
            </w:rPr>
            <w:fldChar w:fldCharType="begin"/>
          </w:r>
          <w:r>
            <w:rPr>
              <w:sz w:val="21"/>
              <w:szCs w:val="21"/>
              <w:highlight w:val="none"/>
            </w:rPr>
            <w:instrText xml:space="preserve"> PAGEREF _Toc1514 \h </w:instrText>
          </w:r>
          <w:r>
            <w:rPr>
              <w:sz w:val="21"/>
              <w:szCs w:val="21"/>
              <w:highlight w:val="none"/>
            </w:rPr>
            <w:fldChar w:fldCharType="separate"/>
          </w:r>
          <w:r>
            <w:rPr>
              <w:sz w:val="21"/>
              <w:szCs w:val="21"/>
              <w:highlight w:val="none"/>
            </w:rPr>
            <w:t>124</w:t>
          </w:r>
          <w:r>
            <w:rPr>
              <w:sz w:val="21"/>
              <w:szCs w:val="21"/>
              <w:highlight w:val="none"/>
            </w:rPr>
            <w:fldChar w:fldCharType="end"/>
          </w:r>
          <w:r>
            <w:rPr>
              <w:sz w:val="21"/>
              <w:szCs w:val="21"/>
              <w:highlight w:val="none"/>
            </w:rPr>
            <w:fldChar w:fldCharType="end"/>
          </w:r>
        </w:p>
        <w:p w14:paraId="0FE31AFB">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_Toc8080 </w:instrText>
          </w:r>
          <w:r>
            <w:rPr>
              <w:sz w:val="21"/>
              <w:szCs w:val="21"/>
              <w:highlight w:val="none"/>
            </w:rPr>
            <w:fldChar w:fldCharType="separate"/>
          </w:r>
          <w:r>
            <w:rPr>
              <w:rFonts w:hint="eastAsia" w:ascii="Times New Roman" w:hAnsi="Times New Roman" w:cs="Times New Roman"/>
              <w:sz w:val="21"/>
              <w:szCs w:val="21"/>
              <w:highlight w:val="none"/>
              <w:lang w:val="en-US" w:eastAsia="zh-CN"/>
            </w:rPr>
            <w:t>4.3.5</w:t>
          </w:r>
          <w:r>
            <w:rPr>
              <w:rFonts w:hint="eastAsia"/>
              <w:sz w:val="21"/>
              <w:szCs w:val="21"/>
              <w:highlight w:val="none"/>
              <w:lang w:val="en-US" w:eastAsia="zh-CN"/>
            </w:rPr>
            <w:t>生态环境</w:t>
          </w:r>
          <w:r>
            <w:rPr>
              <w:sz w:val="21"/>
              <w:szCs w:val="21"/>
              <w:highlight w:val="none"/>
            </w:rPr>
            <w:tab/>
          </w:r>
          <w:r>
            <w:rPr>
              <w:sz w:val="21"/>
              <w:szCs w:val="21"/>
              <w:highlight w:val="none"/>
            </w:rPr>
            <w:fldChar w:fldCharType="begin"/>
          </w:r>
          <w:r>
            <w:rPr>
              <w:sz w:val="21"/>
              <w:szCs w:val="21"/>
              <w:highlight w:val="none"/>
            </w:rPr>
            <w:instrText xml:space="preserve"> PAGEREF _Toc8080 \h </w:instrText>
          </w:r>
          <w:r>
            <w:rPr>
              <w:sz w:val="21"/>
              <w:szCs w:val="21"/>
              <w:highlight w:val="none"/>
            </w:rPr>
            <w:fldChar w:fldCharType="separate"/>
          </w:r>
          <w:r>
            <w:rPr>
              <w:sz w:val="21"/>
              <w:szCs w:val="21"/>
              <w:highlight w:val="none"/>
            </w:rPr>
            <w:t>129</w:t>
          </w:r>
          <w:r>
            <w:rPr>
              <w:sz w:val="21"/>
              <w:szCs w:val="21"/>
              <w:highlight w:val="none"/>
            </w:rPr>
            <w:fldChar w:fldCharType="end"/>
          </w:r>
          <w:r>
            <w:rPr>
              <w:sz w:val="21"/>
              <w:szCs w:val="21"/>
              <w:highlight w:val="none"/>
            </w:rPr>
            <w:fldChar w:fldCharType="end"/>
          </w:r>
        </w:p>
        <w:p w14:paraId="640E8954">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_Toc19571 </w:instrText>
          </w:r>
          <w:r>
            <w:rPr>
              <w:sz w:val="21"/>
              <w:szCs w:val="21"/>
              <w:highlight w:val="none"/>
            </w:rPr>
            <w:fldChar w:fldCharType="separate"/>
          </w:r>
          <w:r>
            <w:rPr>
              <w:rFonts w:hint="default" w:ascii="Times New Roman" w:hAnsi="Times New Roman" w:cs="Times New Roman"/>
              <w:sz w:val="21"/>
              <w:szCs w:val="21"/>
              <w:highlight w:val="none"/>
              <w:lang w:val="en-US" w:eastAsia="zh-CN"/>
            </w:rPr>
            <w:t>4.4</w:t>
          </w:r>
          <w:r>
            <w:rPr>
              <w:rFonts w:hint="eastAsia"/>
              <w:sz w:val="21"/>
              <w:szCs w:val="21"/>
              <w:highlight w:val="none"/>
              <w:lang w:val="en-US" w:eastAsia="zh-CN"/>
            </w:rPr>
            <w:t>区域污染源调查</w:t>
          </w:r>
          <w:r>
            <w:rPr>
              <w:sz w:val="21"/>
              <w:szCs w:val="21"/>
              <w:highlight w:val="none"/>
            </w:rPr>
            <w:tab/>
          </w:r>
          <w:r>
            <w:rPr>
              <w:sz w:val="21"/>
              <w:szCs w:val="21"/>
              <w:highlight w:val="none"/>
            </w:rPr>
            <w:fldChar w:fldCharType="begin"/>
          </w:r>
          <w:r>
            <w:rPr>
              <w:sz w:val="21"/>
              <w:szCs w:val="21"/>
              <w:highlight w:val="none"/>
            </w:rPr>
            <w:instrText xml:space="preserve"> PAGEREF _Toc19571 \h </w:instrText>
          </w:r>
          <w:r>
            <w:rPr>
              <w:sz w:val="21"/>
              <w:szCs w:val="21"/>
              <w:highlight w:val="none"/>
            </w:rPr>
            <w:fldChar w:fldCharType="separate"/>
          </w:r>
          <w:r>
            <w:rPr>
              <w:sz w:val="21"/>
              <w:szCs w:val="21"/>
              <w:highlight w:val="none"/>
            </w:rPr>
            <w:t>129</w:t>
          </w:r>
          <w:r>
            <w:rPr>
              <w:sz w:val="21"/>
              <w:szCs w:val="21"/>
              <w:highlight w:val="none"/>
            </w:rPr>
            <w:fldChar w:fldCharType="end"/>
          </w:r>
          <w:r>
            <w:rPr>
              <w:sz w:val="21"/>
              <w:szCs w:val="21"/>
              <w:highlight w:val="none"/>
            </w:rPr>
            <w:fldChar w:fldCharType="end"/>
          </w:r>
        </w:p>
        <w:p w14:paraId="75486292">
          <w:pPr>
            <w:pStyle w:val="14"/>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_Toc17019 </w:instrText>
          </w:r>
          <w:r>
            <w:rPr>
              <w:sz w:val="21"/>
              <w:szCs w:val="21"/>
              <w:highlight w:val="none"/>
            </w:rPr>
            <w:fldChar w:fldCharType="separate"/>
          </w:r>
          <w:r>
            <w:rPr>
              <w:rFonts w:hint="default" w:ascii="Times New Roman" w:hAnsi="Times New Roman" w:cs="Times New Roman"/>
              <w:sz w:val="21"/>
              <w:szCs w:val="21"/>
              <w:highlight w:val="none"/>
              <w:lang w:val="en-US" w:eastAsia="zh-CN"/>
            </w:rPr>
            <w:t>5</w:t>
          </w:r>
          <w:r>
            <w:rPr>
              <w:rFonts w:hint="eastAsia"/>
              <w:sz w:val="21"/>
              <w:szCs w:val="21"/>
              <w:highlight w:val="none"/>
              <w:lang w:val="en-US" w:eastAsia="zh-CN"/>
            </w:rPr>
            <w:t>环境影响预测与评价</w:t>
          </w:r>
          <w:r>
            <w:rPr>
              <w:sz w:val="21"/>
              <w:szCs w:val="21"/>
              <w:highlight w:val="none"/>
            </w:rPr>
            <w:tab/>
          </w:r>
          <w:r>
            <w:rPr>
              <w:sz w:val="21"/>
              <w:szCs w:val="21"/>
              <w:highlight w:val="none"/>
            </w:rPr>
            <w:fldChar w:fldCharType="begin"/>
          </w:r>
          <w:r>
            <w:rPr>
              <w:sz w:val="21"/>
              <w:szCs w:val="21"/>
              <w:highlight w:val="none"/>
            </w:rPr>
            <w:instrText xml:space="preserve"> PAGEREF _Toc17019 \h </w:instrText>
          </w:r>
          <w:r>
            <w:rPr>
              <w:sz w:val="21"/>
              <w:szCs w:val="21"/>
              <w:highlight w:val="none"/>
            </w:rPr>
            <w:fldChar w:fldCharType="separate"/>
          </w:r>
          <w:r>
            <w:rPr>
              <w:sz w:val="21"/>
              <w:szCs w:val="21"/>
              <w:highlight w:val="none"/>
            </w:rPr>
            <w:t>131</w:t>
          </w:r>
          <w:r>
            <w:rPr>
              <w:sz w:val="21"/>
              <w:szCs w:val="21"/>
              <w:highlight w:val="none"/>
            </w:rPr>
            <w:fldChar w:fldCharType="end"/>
          </w:r>
          <w:r>
            <w:rPr>
              <w:sz w:val="21"/>
              <w:szCs w:val="21"/>
              <w:highlight w:val="none"/>
            </w:rPr>
            <w:fldChar w:fldCharType="end"/>
          </w:r>
        </w:p>
        <w:p w14:paraId="3A69BC24">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_Toc27580 </w:instrText>
          </w:r>
          <w:r>
            <w:rPr>
              <w:sz w:val="21"/>
              <w:szCs w:val="21"/>
              <w:highlight w:val="none"/>
            </w:rPr>
            <w:fldChar w:fldCharType="separate"/>
          </w:r>
          <w:r>
            <w:rPr>
              <w:rFonts w:hint="default" w:ascii="Times New Roman" w:hAnsi="Times New Roman" w:cs="Times New Roman"/>
              <w:sz w:val="21"/>
              <w:szCs w:val="21"/>
              <w:highlight w:val="none"/>
              <w:lang w:val="en-US" w:eastAsia="zh-CN"/>
            </w:rPr>
            <w:t>5.1</w:t>
          </w:r>
          <w:r>
            <w:rPr>
              <w:rFonts w:hint="eastAsia"/>
              <w:sz w:val="21"/>
              <w:szCs w:val="21"/>
              <w:highlight w:val="none"/>
              <w:lang w:val="en-US" w:eastAsia="zh-CN"/>
            </w:rPr>
            <w:t>施工期环境影响分析</w:t>
          </w:r>
          <w:r>
            <w:rPr>
              <w:sz w:val="21"/>
              <w:szCs w:val="21"/>
              <w:highlight w:val="none"/>
            </w:rPr>
            <w:tab/>
          </w:r>
          <w:r>
            <w:rPr>
              <w:sz w:val="21"/>
              <w:szCs w:val="21"/>
              <w:highlight w:val="none"/>
            </w:rPr>
            <w:fldChar w:fldCharType="begin"/>
          </w:r>
          <w:r>
            <w:rPr>
              <w:sz w:val="21"/>
              <w:szCs w:val="21"/>
              <w:highlight w:val="none"/>
            </w:rPr>
            <w:instrText xml:space="preserve"> PAGEREF _Toc27580 \h </w:instrText>
          </w:r>
          <w:r>
            <w:rPr>
              <w:sz w:val="21"/>
              <w:szCs w:val="21"/>
              <w:highlight w:val="none"/>
            </w:rPr>
            <w:fldChar w:fldCharType="separate"/>
          </w:r>
          <w:r>
            <w:rPr>
              <w:sz w:val="21"/>
              <w:szCs w:val="21"/>
              <w:highlight w:val="none"/>
            </w:rPr>
            <w:t>131</w:t>
          </w:r>
          <w:r>
            <w:rPr>
              <w:sz w:val="21"/>
              <w:szCs w:val="21"/>
              <w:highlight w:val="none"/>
            </w:rPr>
            <w:fldChar w:fldCharType="end"/>
          </w:r>
          <w:r>
            <w:rPr>
              <w:sz w:val="21"/>
              <w:szCs w:val="21"/>
              <w:highlight w:val="none"/>
            </w:rPr>
            <w:fldChar w:fldCharType="end"/>
          </w:r>
        </w:p>
        <w:p w14:paraId="04AA1D1E">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_Toc2457 </w:instrText>
          </w:r>
          <w:r>
            <w:rPr>
              <w:sz w:val="21"/>
              <w:szCs w:val="21"/>
              <w:highlight w:val="none"/>
            </w:rPr>
            <w:fldChar w:fldCharType="separate"/>
          </w:r>
          <w:r>
            <w:rPr>
              <w:rFonts w:hint="default" w:ascii="Times New Roman" w:hAnsi="Times New Roman" w:cs="Times New Roman"/>
              <w:sz w:val="21"/>
              <w:szCs w:val="21"/>
              <w:highlight w:val="none"/>
              <w:lang w:val="en-US" w:eastAsia="zh-CN"/>
            </w:rPr>
            <w:t>5.1.1</w:t>
          </w:r>
          <w:r>
            <w:rPr>
              <w:rFonts w:hint="eastAsia" w:ascii="Times New Roman" w:hAnsi="Times New Roman" w:cs="Times New Roman"/>
              <w:sz w:val="21"/>
              <w:szCs w:val="21"/>
              <w:highlight w:val="none"/>
              <w:lang w:val="en-US" w:eastAsia="zh-CN"/>
            </w:rPr>
            <w:t>水环境影响分析</w:t>
          </w:r>
          <w:r>
            <w:rPr>
              <w:sz w:val="21"/>
              <w:szCs w:val="21"/>
              <w:highlight w:val="none"/>
            </w:rPr>
            <w:tab/>
          </w:r>
          <w:r>
            <w:rPr>
              <w:sz w:val="21"/>
              <w:szCs w:val="21"/>
              <w:highlight w:val="none"/>
            </w:rPr>
            <w:fldChar w:fldCharType="begin"/>
          </w:r>
          <w:r>
            <w:rPr>
              <w:sz w:val="21"/>
              <w:szCs w:val="21"/>
              <w:highlight w:val="none"/>
            </w:rPr>
            <w:instrText xml:space="preserve"> PAGEREF _Toc2457 \h </w:instrText>
          </w:r>
          <w:r>
            <w:rPr>
              <w:sz w:val="21"/>
              <w:szCs w:val="21"/>
              <w:highlight w:val="none"/>
            </w:rPr>
            <w:fldChar w:fldCharType="separate"/>
          </w:r>
          <w:r>
            <w:rPr>
              <w:sz w:val="21"/>
              <w:szCs w:val="21"/>
              <w:highlight w:val="none"/>
            </w:rPr>
            <w:t>131</w:t>
          </w:r>
          <w:r>
            <w:rPr>
              <w:sz w:val="21"/>
              <w:szCs w:val="21"/>
              <w:highlight w:val="none"/>
            </w:rPr>
            <w:fldChar w:fldCharType="end"/>
          </w:r>
          <w:r>
            <w:rPr>
              <w:sz w:val="21"/>
              <w:szCs w:val="21"/>
              <w:highlight w:val="none"/>
            </w:rPr>
            <w:fldChar w:fldCharType="end"/>
          </w:r>
        </w:p>
        <w:p w14:paraId="1D06AD8E">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_Toc28694 </w:instrText>
          </w:r>
          <w:r>
            <w:rPr>
              <w:sz w:val="21"/>
              <w:szCs w:val="21"/>
              <w:highlight w:val="none"/>
            </w:rPr>
            <w:fldChar w:fldCharType="separate"/>
          </w:r>
          <w:r>
            <w:rPr>
              <w:rFonts w:hint="default" w:ascii="Times New Roman" w:hAnsi="Times New Roman" w:cs="Times New Roman"/>
              <w:sz w:val="21"/>
              <w:szCs w:val="21"/>
              <w:highlight w:val="none"/>
              <w:lang w:val="en-US" w:eastAsia="zh-CN"/>
            </w:rPr>
            <w:t>5.1.2</w:t>
          </w:r>
          <w:r>
            <w:rPr>
              <w:rFonts w:hint="eastAsia"/>
              <w:sz w:val="21"/>
              <w:szCs w:val="21"/>
              <w:highlight w:val="none"/>
              <w:lang w:val="en-US" w:eastAsia="zh-CN"/>
            </w:rPr>
            <w:t>环境空气影响分析</w:t>
          </w:r>
          <w:r>
            <w:rPr>
              <w:sz w:val="21"/>
              <w:szCs w:val="21"/>
              <w:highlight w:val="none"/>
            </w:rPr>
            <w:tab/>
          </w:r>
          <w:r>
            <w:rPr>
              <w:sz w:val="21"/>
              <w:szCs w:val="21"/>
              <w:highlight w:val="none"/>
            </w:rPr>
            <w:fldChar w:fldCharType="begin"/>
          </w:r>
          <w:r>
            <w:rPr>
              <w:sz w:val="21"/>
              <w:szCs w:val="21"/>
              <w:highlight w:val="none"/>
            </w:rPr>
            <w:instrText xml:space="preserve"> PAGEREF _Toc28694 \h </w:instrText>
          </w:r>
          <w:r>
            <w:rPr>
              <w:sz w:val="21"/>
              <w:szCs w:val="21"/>
              <w:highlight w:val="none"/>
            </w:rPr>
            <w:fldChar w:fldCharType="separate"/>
          </w:r>
          <w:r>
            <w:rPr>
              <w:sz w:val="21"/>
              <w:szCs w:val="21"/>
              <w:highlight w:val="none"/>
            </w:rPr>
            <w:t>131</w:t>
          </w:r>
          <w:r>
            <w:rPr>
              <w:sz w:val="21"/>
              <w:szCs w:val="21"/>
              <w:highlight w:val="none"/>
            </w:rPr>
            <w:fldChar w:fldCharType="end"/>
          </w:r>
          <w:r>
            <w:rPr>
              <w:sz w:val="21"/>
              <w:szCs w:val="21"/>
              <w:highlight w:val="none"/>
            </w:rPr>
            <w:fldChar w:fldCharType="end"/>
          </w:r>
        </w:p>
        <w:p w14:paraId="6AB452A4">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_Toc5520 </w:instrText>
          </w:r>
          <w:r>
            <w:rPr>
              <w:sz w:val="21"/>
              <w:szCs w:val="21"/>
              <w:highlight w:val="none"/>
            </w:rPr>
            <w:fldChar w:fldCharType="separate"/>
          </w:r>
          <w:r>
            <w:rPr>
              <w:rFonts w:hint="default" w:ascii="Times New Roman" w:hAnsi="Times New Roman" w:cs="Times New Roman"/>
              <w:sz w:val="21"/>
              <w:szCs w:val="21"/>
              <w:highlight w:val="none"/>
              <w:lang w:val="en-US" w:eastAsia="zh-CN"/>
            </w:rPr>
            <w:t>5.1.3</w:t>
          </w:r>
          <w:r>
            <w:rPr>
              <w:rFonts w:hint="eastAsia"/>
              <w:sz w:val="21"/>
              <w:szCs w:val="21"/>
              <w:highlight w:val="none"/>
              <w:lang w:val="en-US" w:eastAsia="zh-CN"/>
            </w:rPr>
            <w:t>噪声影响分析</w:t>
          </w:r>
          <w:r>
            <w:rPr>
              <w:sz w:val="21"/>
              <w:szCs w:val="21"/>
              <w:highlight w:val="none"/>
            </w:rPr>
            <w:tab/>
          </w:r>
          <w:r>
            <w:rPr>
              <w:sz w:val="21"/>
              <w:szCs w:val="21"/>
              <w:highlight w:val="none"/>
            </w:rPr>
            <w:fldChar w:fldCharType="begin"/>
          </w:r>
          <w:r>
            <w:rPr>
              <w:sz w:val="21"/>
              <w:szCs w:val="21"/>
              <w:highlight w:val="none"/>
            </w:rPr>
            <w:instrText xml:space="preserve"> PAGEREF _Toc5520 \h </w:instrText>
          </w:r>
          <w:r>
            <w:rPr>
              <w:sz w:val="21"/>
              <w:szCs w:val="21"/>
              <w:highlight w:val="none"/>
            </w:rPr>
            <w:fldChar w:fldCharType="separate"/>
          </w:r>
          <w:r>
            <w:rPr>
              <w:sz w:val="21"/>
              <w:szCs w:val="21"/>
              <w:highlight w:val="none"/>
            </w:rPr>
            <w:t>132</w:t>
          </w:r>
          <w:r>
            <w:rPr>
              <w:sz w:val="21"/>
              <w:szCs w:val="21"/>
              <w:highlight w:val="none"/>
            </w:rPr>
            <w:fldChar w:fldCharType="end"/>
          </w:r>
          <w:r>
            <w:rPr>
              <w:sz w:val="21"/>
              <w:szCs w:val="21"/>
              <w:highlight w:val="none"/>
            </w:rPr>
            <w:fldChar w:fldCharType="end"/>
          </w:r>
        </w:p>
        <w:p w14:paraId="0914755A">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_Toc3772 </w:instrText>
          </w:r>
          <w:r>
            <w:rPr>
              <w:sz w:val="21"/>
              <w:szCs w:val="21"/>
              <w:highlight w:val="none"/>
            </w:rPr>
            <w:fldChar w:fldCharType="separate"/>
          </w:r>
          <w:r>
            <w:rPr>
              <w:rFonts w:hint="default" w:ascii="Times New Roman" w:hAnsi="Times New Roman" w:cs="Times New Roman"/>
              <w:sz w:val="21"/>
              <w:szCs w:val="21"/>
              <w:highlight w:val="none"/>
              <w:lang w:val="en-US" w:eastAsia="zh-CN"/>
            </w:rPr>
            <w:t>5.1.4</w:t>
          </w:r>
          <w:r>
            <w:rPr>
              <w:rFonts w:hint="eastAsia"/>
              <w:sz w:val="21"/>
              <w:szCs w:val="21"/>
              <w:highlight w:val="none"/>
              <w:lang w:val="en-US" w:eastAsia="zh-CN"/>
            </w:rPr>
            <w:t>固体废物影响分析</w:t>
          </w:r>
          <w:r>
            <w:rPr>
              <w:sz w:val="21"/>
              <w:szCs w:val="21"/>
              <w:highlight w:val="none"/>
            </w:rPr>
            <w:tab/>
          </w:r>
          <w:r>
            <w:rPr>
              <w:sz w:val="21"/>
              <w:szCs w:val="21"/>
              <w:highlight w:val="none"/>
            </w:rPr>
            <w:fldChar w:fldCharType="begin"/>
          </w:r>
          <w:r>
            <w:rPr>
              <w:sz w:val="21"/>
              <w:szCs w:val="21"/>
              <w:highlight w:val="none"/>
            </w:rPr>
            <w:instrText xml:space="preserve"> PAGEREF _Toc3772 \h </w:instrText>
          </w:r>
          <w:r>
            <w:rPr>
              <w:sz w:val="21"/>
              <w:szCs w:val="21"/>
              <w:highlight w:val="none"/>
            </w:rPr>
            <w:fldChar w:fldCharType="separate"/>
          </w:r>
          <w:r>
            <w:rPr>
              <w:sz w:val="21"/>
              <w:szCs w:val="21"/>
              <w:highlight w:val="none"/>
            </w:rPr>
            <w:t>133</w:t>
          </w:r>
          <w:r>
            <w:rPr>
              <w:sz w:val="21"/>
              <w:szCs w:val="21"/>
              <w:highlight w:val="none"/>
            </w:rPr>
            <w:fldChar w:fldCharType="end"/>
          </w:r>
          <w:r>
            <w:rPr>
              <w:sz w:val="21"/>
              <w:szCs w:val="21"/>
              <w:highlight w:val="none"/>
            </w:rPr>
            <w:fldChar w:fldCharType="end"/>
          </w:r>
        </w:p>
        <w:p w14:paraId="562AD6FA">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_Toc18719 </w:instrText>
          </w:r>
          <w:r>
            <w:rPr>
              <w:sz w:val="21"/>
              <w:szCs w:val="21"/>
              <w:highlight w:val="none"/>
            </w:rPr>
            <w:fldChar w:fldCharType="separate"/>
          </w:r>
          <w:r>
            <w:rPr>
              <w:rFonts w:hint="default" w:ascii="Times New Roman" w:hAnsi="Times New Roman" w:cs="Times New Roman"/>
              <w:sz w:val="21"/>
              <w:szCs w:val="21"/>
              <w:highlight w:val="none"/>
              <w:lang w:val="en-US" w:eastAsia="zh-CN"/>
            </w:rPr>
            <w:t>5.1.5</w:t>
          </w:r>
          <w:r>
            <w:rPr>
              <w:rFonts w:hint="eastAsia"/>
              <w:sz w:val="21"/>
              <w:szCs w:val="21"/>
              <w:highlight w:val="none"/>
              <w:lang w:val="en-US" w:eastAsia="zh-CN"/>
            </w:rPr>
            <w:t>生态环境影响分析</w:t>
          </w:r>
          <w:r>
            <w:rPr>
              <w:sz w:val="21"/>
              <w:szCs w:val="21"/>
              <w:highlight w:val="none"/>
            </w:rPr>
            <w:tab/>
          </w:r>
          <w:r>
            <w:rPr>
              <w:sz w:val="21"/>
              <w:szCs w:val="21"/>
              <w:highlight w:val="none"/>
            </w:rPr>
            <w:fldChar w:fldCharType="begin"/>
          </w:r>
          <w:r>
            <w:rPr>
              <w:sz w:val="21"/>
              <w:szCs w:val="21"/>
              <w:highlight w:val="none"/>
            </w:rPr>
            <w:instrText xml:space="preserve"> PAGEREF _Toc18719 \h </w:instrText>
          </w:r>
          <w:r>
            <w:rPr>
              <w:sz w:val="21"/>
              <w:szCs w:val="21"/>
              <w:highlight w:val="none"/>
            </w:rPr>
            <w:fldChar w:fldCharType="separate"/>
          </w:r>
          <w:r>
            <w:rPr>
              <w:sz w:val="21"/>
              <w:szCs w:val="21"/>
              <w:highlight w:val="none"/>
            </w:rPr>
            <w:t>133</w:t>
          </w:r>
          <w:r>
            <w:rPr>
              <w:sz w:val="21"/>
              <w:szCs w:val="21"/>
              <w:highlight w:val="none"/>
            </w:rPr>
            <w:fldChar w:fldCharType="end"/>
          </w:r>
          <w:r>
            <w:rPr>
              <w:sz w:val="21"/>
              <w:szCs w:val="21"/>
              <w:highlight w:val="none"/>
            </w:rPr>
            <w:fldChar w:fldCharType="end"/>
          </w:r>
        </w:p>
        <w:p w14:paraId="1E3DA2C2">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_Toc16438 </w:instrText>
          </w:r>
          <w:r>
            <w:rPr>
              <w:sz w:val="21"/>
              <w:szCs w:val="21"/>
              <w:highlight w:val="none"/>
            </w:rPr>
            <w:fldChar w:fldCharType="separate"/>
          </w:r>
          <w:r>
            <w:rPr>
              <w:rFonts w:hint="default" w:ascii="Times New Roman" w:hAnsi="Times New Roman" w:cs="Times New Roman"/>
              <w:sz w:val="21"/>
              <w:szCs w:val="21"/>
              <w:highlight w:val="none"/>
              <w:lang w:val="en-US" w:eastAsia="zh-CN"/>
            </w:rPr>
            <w:t>5.2</w:t>
          </w:r>
          <w:r>
            <w:rPr>
              <w:rFonts w:hint="eastAsia"/>
              <w:sz w:val="21"/>
              <w:szCs w:val="21"/>
              <w:highlight w:val="none"/>
              <w:lang w:val="en-US" w:eastAsia="zh-CN"/>
            </w:rPr>
            <w:t>运营期环境空气影响预测与评价</w:t>
          </w:r>
          <w:r>
            <w:rPr>
              <w:sz w:val="21"/>
              <w:szCs w:val="21"/>
              <w:highlight w:val="none"/>
            </w:rPr>
            <w:tab/>
          </w:r>
          <w:r>
            <w:rPr>
              <w:sz w:val="21"/>
              <w:szCs w:val="21"/>
              <w:highlight w:val="none"/>
            </w:rPr>
            <w:fldChar w:fldCharType="begin"/>
          </w:r>
          <w:r>
            <w:rPr>
              <w:sz w:val="21"/>
              <w:szCs w:val="21"/>
              <w:highlight w:val="none"/>
            </w:rPr>
            <w:instrText xml:space="preserve"> PAGEREF _Toc16438 \h </w:instrText>
          </w:r>
          <w:r>
            <w:rPr>
              <w:sz w:val="21"/>
              <w:szCs w:val="21"/>
              <w:highlight w:val="none"/>
            </w:rPr>
            <w:fldChar w:fldCharType="separate"/>
          </w:r>
          <w:r>
            <w:rPr>
              <w:sz w:val="21"/>
              <w:szCs w:val="21"/>
              <w:highlight w:val="none"/>
            </w:rPr>
            <w:t>134</w:t>
          </w:r>
          <w:r>
            <w:rPr>
              <w:sz w:val="21"/>
              <w:szCs w:val="21"/>
              <w:highlight w:val="none"/>
            </w:rPr>
            <w:fldChar w:fldCharType="end"/>
          </w:r>
          <w:r>
            <w:rPr>
              <w:sz w:val="21"/>
              <w:szCs w:val="21"/>
              <w:highlight w:val="none"/>
            </w:rPr>
            <w:fldChar w:fldCharType="end"/>
          </w:r>
        </w:p>
        <w:p w14:paraId="29AE10DB">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_Toc24672 </w:instrText>
          </w:r>
          <w:r>
            <w:rPr>
              <w:sz w:val="21"/>
              <w:szCs w:val="21"/>
              <w:highlight w:val="none"/>
            </w:rPr>
            <w:fldChar w:fldCharType="separate"/>
          </w:r>
          <w:r>
            <w:rPr>
              <w:rFonts w:hint="default" w:ascii="Times New Roman" w:hAnsi="Times New Roman" w:eastAsia="宋体" w:cs="Times New Roman"/>
              <w:sz w:val="21"/>
              <w:szCs w:val="21"/>
              <w:highlight w:val="none"/>
              <w:lang w:val="en-US" w:eastAsia="zh-CN"/>
            </w:rPr>
            <w:t>5.2.1</w:t>
          </w:r>
          <w:r>
            <w:rPr>
              <w:rFonts w:hint="eastAsia"/>
              <w:sz w:val="21"/>
              <w:szCs w:val="21"/>
              <w:highlight w:val="none"/>
              <w:lang w:val="en-US" w:eastAsia="zh-CN"/>
            </w:rPr>
            <w:t>预测气象</w:t>
          </w:r>
          <w:r>
            <w:rPr>
              <w:sz w:val="21"/>
              <w:szCs w:val="21"/>
              <w:highlight w:val="none"/>
            </w:rPr>
            <w:tab/>
          </w:r>
          <w:r>
            <w:rPr>
              <w:sz w:val="21"/>
              <w:szCs w:val="21"/>
              <w:highlight w:val="none"/>
            </w:rPr>
            <w:fldChar w:fldCharType="begin"/>
          </w:r>
          <w:r>
            <w:rPr>
              <w:sz w:val="21"/>
              <w:szCs w:val="21"/>
              <w:highlight w:val="none"/>
            </w:rPr>
            <w:instrText xml:space="preserve"> PAGEREF _Toc24672 \h </w:instrText>
          </w:r>
          <w:r>
            <w:rPr>
              <w:sz w:val="21"/>
              <w:szCs w:val="21"/>
              <w:highlight w:val="none"/>
            </w:rPr>
            <w:fldChar w:fldCharType="separate"/>
          </w:r>
          <w:r>
            <w:rPr>
              <w:sz w:val="21"/>
              <w:szCs w:val="21"/>
              <w:highlight w:val="none"/>
            </w:rPr>
            <w:t>134</w:t>
          </w:r>
          <w:r>
            <w:rPr>
              <w:sz w:val="21"/>
              <w:szCs w:val="21"/>
              <w:highlight w:val="none"/>
            </w:rPr>
            <w:fldChar w:fldCharType="end"/>
          </w:r>
          <w:r>
            <w:rPr>
              <w:sz w:val="21"/>
              <w:szCs w:val="21"/>
              <w:highlight w:val="none"/>
            </w:rPr>
            <w:fldChar w:fldCharType="end"/>
          </w:r>
        </w:p>
        <w:p w14:paraId="6EBD7A6A">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_Toc18180 </w:instrText>
          </w:r>
          <w:r>
            <w:rPr>
              <w:sz w:val="21"/>
              <w:szCs w:val="21"/>
              <w:highlight w:val="none"/>
            </w:rPr>
            <w:fldChar w:fldCharType="separate"/>
          </w:r>
          <w:r>
            <w:rPr>
              <w:rFonts w:hint="default" w:ascii="Times New Roman" w:hAnsi="Times New Roman" w:cs="Times New Roman"/>
              <w:sz w:val="21"/>
              <w:szCs w:val="21"/>
              <w:highlight w:val="none"/>
              <w:lang w:val="en-US" w:eastAsia="zh-CN"/>
            </w:rPr>
            <w:t>5.2.2</w:t>
          </w:r>
          <w:r>
            <w:rPr>
              <w:rFonts w:hint="eastAsia"/>
              <w:sz w:val="21"/>
              <w:szCs w:val="21"/>
              <w:highlight w:val="none"/>
              <w:lang w:val="en-US" w:eastAsia="zh-CN"/>
            </w:rPr>
            <w:t>大气环境影响预测和评价</w:t>
          </w:r>
          <w:r>
            <w:rPr>
              <w:sz w:val="21"/>
              <w:szCs w:val="21"/>
              <w:highlight w:val="none"/>
            </w:rPr>
            <w:tab/>
          </w:r>
          <w:r>
            <w:rPr>
              <w:sz w:val="21"/>
              <w:szCs w:val="21"/>
              <w:highlight w:val="none"/>
            </w:rPr>
            <w:fldChar w:fldCharType="begin"/>
          </w:r>
          <w:r>
            <w:rPr>
              <w:sz w:val="21"/>
              <w:szCs w:val="21"/>
              <w:highlight w:val="none"/>
            </w:rPr>
            <w:instrText xml:space="preserve"> PAGEREF _Toc18180 \h </w:instrText>
          </w:r>
          <w:r>
            <w:rPr>
              <w:sz w:val="21"/>
              <w:szCs w:val="21"/>
              <w:highlight w:val="none"/>
            </w:rPr>
            <w:fldChar w:fldCharType="separate"/>
          </w:r>
          <w:r>
            <w:rPr>
              <w:sz w:val="21"/>
              <w:szCs w:val="21"/>
              <w:highlight w:val="none"/>
            </w:rPr>
            <w:t>137</w:t>
          </w:r>
          <w:r>
            <w:rPr>
              <w:sz w:val="21"/>
              <w:szCs w:val="21"/>
              <w:highlight w:val="none"/>
            </w:rPr>
            <w:fldChar w:fldCharType="end"/>
          </w:r>
          <w:r>
            <w:rPr>
              <w:sz w:val="21"/>
              <w:szCs w:val="21"/>
              <w:highlight w:val="none"/>
            </w:rPr>
            <w:fldChar w:fldCharType="end"/>
          </w:r>
        </w:p>
        <w:p w14:paraId="6F21025F">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_Toc30560 </w:instrText>
          </w:r>
          <w:r>
            <w:rPr>
              <w:sz w:val="21"/>
              <w:szCs w:val="21"/>
              <w:highlight w:val="none"/>
            </w:rPr>
            <w:fldChar w:fldCharType="separate"/>
          </w:r>
          <w:r>
            <w:rPr>
              <w:rFonts w:hint="default" w:ascii="Times New Roman" w:hAnsi="Times New Roman" w:cs="Times New Roman"/>
              <w:sz w:val="21"/>
              <w:szCs w:val="21"/>
              <w:highlight w:val="none"/>
              <w:lang w:val="en-US" w:eastAsia="zh-CN"/>
            </w:rPr>
            <w:t>5.3</w:t>
          </w:r>
          <w:r>
            <w:rPr>
              <w:rFonts w:hint="eastAsia"/>
              <w:sz w:val="21"/>
              <w:szCs w:val="21"/>
              <w:highlight w:val="none"/>
              <w:lang w:val="en-US" w:eastAsia="zh-CN"/>
            </w:rPr>
            <w:t>地表水环境影响分析</w:t>
          </w:r>
          <w:r>
            <w:rPr>
              <w:sz w:val="21"/>
              <w:szCs w:val="21"/>
              <w:highlight w:val="none"/>
            </w:rPr>
            <w:tab/>
          </w:r>
          <w:r>
            <w:rPr>
              <w:sz w:val="21"/>
              <w:szCs w:val="21"/>
              <w:highlight w:val="none"/>
            </w:rPr>
            <w:fldChar w:fldCharType="begin"/>
          </w:r>
          <w:r>
            <w:rPr>
              <w:sz w:val="21"/>
              <w:szCs w:val="21"/>
              <w:highlight w:val="none"/>
            </w:rPr>
            <w:instrText xml:space="preserve"> PAGEREF _Toc30560 \h </w:instrText>
          </w:r>
          <w:r>
            <w:rPr>
              <w:sz w:val="21"/>
              <w:szCs w:val="21"/>
              <w:highlight w:val="none"/>
            </w:rPr>
            <w:fldChar w:fldCharType="separate"/>
          </w:r>
          <w:r>
            <w:rPr>
              <w:sz w:val="21"/>
              <w:szCs w:val="21"/>
              <w:highlight w:val="none"/>
            </w:rPr>
            <w:t>184</w:t>
          </w:r>
          <w:r>
            <w:rPr>
              <w:sz w:val="21"/>
              <w:szCs w:val="21"/>
              <w:highlight w:val="none"/>
            </w:rPr>
            <w:fldChar w:fldCharType="end"/>
          </w:r>
          <w:r>
            <w:rPr>
              <w:sz w:val="21"/>
              <w:szCs w:val="21"/>
              <w:highlight w:val="none"/>
            </w:rPr>
            <w:fldChar w:fldCharType="end"/>
          </w:r>
        </w:p>
        <w:p w14:paraId="19EFF3D0">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_Toc19557 </w:instrText>
          </w:r>
          <w:r>
            <w:rPr>
              <w:sz w:val="21"/>
              <w:szCs w:val="21"/>
              <w:highlight w:val="none"/>
            </w:rPr>
            <w:fldChar w:fldCharType="separate"/>
          </w:r>
          <w:r>
            <w:rPr>
              <w:rFonts w:hint="default" w:ascii="Times New Roman" w:hAnsi="Times New Roman" w:cs="Times New Roman"/>
              <w:sz w:val="21"/>
              <w:szCs w:val="21"/>
              <w:highlight w:val="none"/>
              <w:lang w:val="en-US" w:eastAsia="zh-CN"/>
            </w:rPr>
            <w:t>5.4</w:t>
          </w:r>
          <w:r>
            <w:rPr>
              <w:rFonts w:hint="eastAsia"/>
              <w:sz w:val="21"/>
              <w:szCs w:val="21"/>
              <w:highlight w:val="none"/>
              <w:lang w:val="en-US" w:eastAsia="zh-CN"/>
            </w:rPr>
            <w:t>声环境影响预测与评价</w:t>
          </w:r>
          <w:r>
            <w:rPr>
              <w:sz w:val="21"/>
              <w:szCs w:val="21"/>
              <w:highlight w:val="none"/>
            </w:rPr>
            <w:tab/>
          </w:r>
          <w:r>
            <w:rPr>
              <w:sz w:val="21"/>
              <w:szCs w:val="21"/>
              <w:highlight w:val="none"/>
            </w:rPr>
            <w:fldChar w:fldCharType="begin"/>
          </w:r>
          <w:r>
            <w:rPr>
              <w:sz w:val="21"/>
              <w:szCs w:val="21"/>
              <w:highlight w:val="none"/>
            </w:rPr>
            <w:instrText xml:space="preserve"> PAGEREF _Toc19557 \h </w:instrText>
          </w:r>
          <w:r>
            <w:rPr>
              <w:sz w:val="21"/>
              <w:szCs w:val="21"/>
              <w:highlight w:val="none"/>
            </w:rPr>
            <w:fldChar w:fldCharType="separate"/>
          </w:r>
          <w:r>
            <w:rPr>
              <w:sz w:val="21"/>
              <w:szCs w:val="21"/>
              <w:highlight w:val="none"/>
            </w:rPr>
            <w:t>185</w:t>
          </w:r>
          <w:r>
            <w:rPr>
              <w:sz w:val="21"/>
              <w:szCs w:val="21"/>
              <w:highlight w:val="none"/>
            </w:rPr>
            <w:fldChar w:fldCharType="end"/>
          </w:r>
          <w:r>
            <w:rPr>
              <w:sz w:val="21"/>
              <w:szCs w:val="21"/>
              <w:highlight w:val="none"/>
            </w:rPr>
            <w:fldChar w:fldCharType="end"/>
          </w:r>
        </w:p>
        <w:p w14:paraId="455B3BE4">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_Toc8766 </w:instrText>
          </w:r>
          <w:r>
            <w:rPr>
              <w:sz w:val="21"/>
              <w:szCs w:val="21"/>
              <w:highlight w:val="none"/>
            </w:rPr>
            <w:fldChar w:fldCharType="separate"/>
          </w:r>
          <w:r>
            <w:rPr>
              <w:rFonts w:hint="default" w:ascii="Times New Roman" w:hAnsi="Times New Roman" w:cs="Times New Roman"/>
              <w:sz w:val="21"/>
              <w:szCs w:val="21"/>
              <w:highlight w:val="none"/>
              <w:lang w:val="en-US" w:eastAsia="zh-CN"/>
            </w:rPr>
            <w:t>5.4.1</w:t>
          </w:r>
          <w:r>
            <w:rPr>
              <w:rFonts w:hint="eastAsia"/>
              <w:sz w:val="21"/>
              <w:szCs w:val="21"/>
              <w:highlight w:val="none"/>
              <w:lang w:val="en-US" w:eastAsia="zh-CN"/>
            </w:rPr>
            <w:t>预测因子</w:t>
          </w:r>
          <w:r>
            <w:rPr>
              <w:sz w:val="21"/>
              <w:szCs w:val="21"/>
              <w:highlight w:val="none"/>
            </w:rPr>
            <w:tab/>
          </w:r>
          <w:r>
            <w:rPr>
              <w:sz w:val="21"/>
              <w:szCs w:val="21"/>
              <w:highlight w:val="none"/>
            </w:rPr>
            <w:fldChar w:fldCharType="begin"/>
          </w:r>
          <w:r>
            <w:rPr>
              <w:sz w:val="21"/>
              <w:szCs w:val="21"/>
              <w:highlight w:val="none"/>
            </w:rPr>
            <w:instrText xml:space="preserve"> PAGEREF _Toc8766 \h </w:instrText>
          </w:r>
          <w:r>
            <w:rPr>
              <w:sz w:val="21"/>
              <w:szCs w:val="21"/>
              <w:highlight w:val="none"/>
            </w:rPr>
            <w:fldChar w:fldCharType="separate"/>
          </w:r>
          <w:r>
            <w:rPr>
              <w:sz w:val="21"/>
              <w:szCs w:val="21"/>
              <w:highlight w:val="none"/>
            </w:rPr>
            <w:t>185</w:t>
          </w:r>
          <w:r>
            <w:rPr>
              <w:sz w:val="21"/>
              <w:szCs w:val="21"/>
              <w:highlight w:val="none"/>
            </w:rPr>
            <w:fldChar w:fldCharType="end"/>
          </w:r>
          <w:r>
            <w:rPr>
              <w:sz w:val="21"/>
              <w:szCs w:val="21"/>
              <w:highlight w:val="none"/>
            </w:rPr>
            <w:fldChar w:fldCharType="end"/>
          </w:r>
        </w:p>
        <w:p w14:paraId="04C5FDE3">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_Toc19563 </w:instrText>
          </w:r>
          <w:r>
            <w:rPr>
              <w:sz w:val="21"/>
              <w:szCs w:val="21"/>
              <w:highlight w:val="none"/>
            </w:rPr>
            <w:fldChar w:fldCharType="separate"/>
          </w:r>
          <w:r>
            <w:rPr>
              <w:rFonts w:hint="eastAsia" w:ascii="Times New Roman" w:hAnsi="Times New Roman" w:eastAsia="宋体" w:cs="Times New Roman"/>
              <w:sz w:val="21"/>
              <w:szCs w:val="21"/>
              <w:highlight w:val="none"/>
              <w:lang w:val="en-US" w:eastAsia="zh-CN"/>
            </w:rPr>
            <w:t>5.4.2预测范围</w:t>
          </w:r>
          <w:r>
            <w:rPr>
              <w:sz w:val="21"/>
              <w:szCs w:val="21"/>
              <w:highlight w:val="none"/>
            </w:rPr>
            <w:tab/>
          </w:r>
          <w:r>
            <w:rPr>
              <w:sz w:val="21"/>
              <w:szCs w:val="21"/>
              <w:highlight w:val="none"/>
            </w:rPr>
            <w:fldChar w:fldCharType="begin"/>
          </w:r>
          <w:r>
            <w:rPr>
              <w:sz w:val="21"/>
              <w:szCs w:val="21"/>
              <w:highlight w:val="none"/>
            </w:rPr>
            <w:instrText xml:space="preserve"> PAGEREF _Toc19563 \h </w:instrText>
          </w:r>
          <w:r>
            <w:rPr>
              <w:sz w:val="21"/>
              <w:szCs w:val="21"/>
              <w:highlight w:val="none"/>
            </w:rPr>
            <w:fldChar w:fldCharType="separate"/>
          </w:r>
          <w:r>
            <w:rPr>
              <w:sz w:val="21"/>
              <w:szCs w:val="21"/>
              <w:highlight w:val="none"/>
            </w:rPr>
            <w:t>185</w:t>
          </w:r>
          <w:r>
            <w:rPr>
              <w:sz w:val="21"/>
              <w:szCs w:val="21"/>
              <w:highlight w:val="none"/>
            </w:rPr>
            <w:fldChar w:fldCharType="end"/>
          </w:r>
          <w:r>
            <w:rPr>
              <w:sz w:val="21"/>
              <w:szCs w:val="21"/>
              <w:highlight w:val="none"/>
            </w:rPr>
            <w:fldChar w:fldCharType="end"/>
          </w:r>
        </w:p>
        <w:p w14:paraId="00E03017">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_Toc2921 </w:instrText>
          </w:r>
          <w:r>
            <w:rPr>
              <w:sz w:val="21"/>
              <w:szCs w:val="21"/>
              <w:highlight w:val="none"/>
            </w:rPr>
            <w:fldChar w:fldCharType="separate"/>
          </w:r>
          <w:r>
            <w:rPr>
              <w:rFonts w:hint="eastAsia" w:ascii="Times New Roman" w:hAnsi="Times New Roman" w:eastAsia="宋体" w:cs="Times New Roman"/>
              <w:sz w:val="21"/>
              <w:szCs w:val="21"/>
              <w:highlight w:val="none"/>
              <w:lang w:val="en-US" w:eastAsia="zh-CN"/>
            </w:rPr>
            <w:t>5.4.3噪声源资料</w:t>
          </w:r>
          <w:r>
            <w:rPr>
              <w:sz w:val="21"/>
              <w:szCs w:val="21"/>
              <w:highlight w:val="none"/>
            </w:rPr>
            <w:tab/>
          </w:r>
          <w:r>
            <w:rPr>
              <w:sz w:val="21"/>
              <w:szCs w:val="21"/>
              <w:highlight w:val="none"/>
            </w:rPr>
            <w:fldChar w:fldCharType="begin"/>
          </w:r>
          <w:r>
            <w:rPr>
              <w:sz w:val="21"/>
              <w:szCs w:val="21"/>
              <w:highlight w:val="none"/>
            </w:rPr>
            <w:instrText xml:space="preserve"> PAGEREF _Toc2921 \h </w:instrText>
          </w:r>
          <w:r>
            <w:rPr>
              <w:sz w:val="21"/>
              <w:szCs w:val="21"/>
              <w:highlight w:val="none"/>
            </w:rPr>
            <w:fldChar w:fldCharType="separate"/>
          </w:r>
          <w:r>
            <w:rPr>
              <w:sz w:val="21"/>
              <w:szCs w:val="21"/>
              <w:highlight w:val="none"/>
            </w:rPr>
            <w:t>185</w:t>
          </w:r>
          <w:r>
            <w:rPr>
              <w:sz w:val="21"/>
              <w:szCs w:val="21"/>
              <w:highlight w:val="none"/>
            </w:rPr>
            <w:fldChar w:fldCharType="end"/>
          </w:r>
          <w:r>
            <w:rPr>
              <w:sz w:val="21"/>
              <w:szCs w:val="21"/>
              <w:highlight w:val="none"/>
            </w:rPr>
            <w:fldChar w:fldCharType="end"/>
          </w:r>
        </w:p>
        <w:p w14:paraId="1E56A5AB">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_Toc5069 </w:instrText>
          </w:r>
          <w:r>
            <w:rPr>
              <w:sz w:val="21"/>
              <w:szCs w:val="21"/>
              <w:highlight w:val="none"/>
            </w:rPr>
            <w:fldChar w:fldCharType="separate"/>
          </w:r>
          <w:r>
            <w:rPr>
              <w:rFonts w:hint="eastAsia" w:ascii="Times New Roman" w:hAnsi="Times New Roman" w:eastAsia="宋体" w:cs="Times New Roman"/>
              <w:sz w:val="21"/>
              <w:szCs w:val="21"/>
              <w:highlight w:val="none"/>
              <w:lang w:val="en-US" w:eastAsia="zh-CN"/>
            </w:rPr>
            <w:t>5.4.4预测模式</w:t>
          </w:r>
          <w:r>
            <w:rPr>
              <w:sz w:val="21"/>
              <w:szCs w:val="21"/>
              <w:highlight w:val="none"/>
            </w:rPr>
            <w:tab/>
          </w:r>
          <w:r>
            <w:rPr>
              <w:sz w:val="21"/>
              <w:szCs w:val="21"/>
              <w:highlight w:val="none"/>
            </w:rPr>
            <w:fldChar w:fldCharType="begin"/>
          </w:r>
          <w:r>
            <w:rPr>
              <w:sz w:val="21"/>
              <w:szCs w:val="21"/>
              <w:highlight w:val="none"/>
            </w:rPr>
            <w:instrText xml:space="preserve"> PAGEREF _Toc5069 \h </w:instrText>
          </w:r>
          <w:r>
            <w:rPr>
              <w:sz w:val="21"/>
              <w:szCs w:val="21"/>
              <w:highlight w:val="none"/>
            </w:rPr>
            <w:fldChar w:fldCharType="separate"/>
          </w:r>
          <w:r>
            <w:rPr>
              <w:sz w:val="21"/>
              <w:szCs w:val="21"/>
              <w:highlight w:val="none"/>
            </w:rPr>
            <w:t>188</w:t>
          </w:r>
          <w:r>
            <w:rPr>
              <w:sz w:val="21"/>
              <w:szCs w:val="21"/>
              <w:highlight w:val="none"/>
            </w:rPr>
            <w:fldChar w:fldCharType="end"/>
          </w:r>
          <w:r>
            <w:rPr>
              <w:sz w:val="21"/>
              <w:szCs w:val="21"/>
              <w:highlight w:val="none"/>
            </w:rPr>
            <w:fldChar w:fldCharType="end"/>
          </w:r>
        </w:p>
        <w:p w14:paraId="217370D7">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_Toc28861 </w:instrText>
          </w:r>
          <w:r>
            <w:rPr>
              <w:sz w:val="21"/>
              <w:szCs w:val="21"/>
              <w:highlight w:val="none"/>
            </w:rPr>
            <w:fldChar w:fldCharType="separate"/>
          </w:r>
          <w:r>
            <w:rPr>
              <w:rFonts w:hint="eastAsia" w:ascii="Times New Roman" w:hAnsi="Times New Roman" w:eastAsia="宋体" w:cs="Times New Roman"/>
              <w:sz w:val="21"/>
              <w:szCs w:val="21"/>
              <w:highlight w:val="none"/>
              <w:lang w:val="en-US" w:eastAsia="zh-CN"/>
            </w:rPr>
            <w:t>5.4.5预测</w:t>
          </w:r>
          <w:r>
            <w:rPr>
              <w:rFonts w:hint="eastAsia" w:ascii="Times New Roman" w:hAnsi="Times New Roman" w:cs="Times New Roman"/>
              <w:sz w:val="21"/>
              <w:szCs w:val="21"/>
              <w:highlight w:val="none"/>
              <w:lang w:val="en-US" w:eastAsia="zh-CN"/>
            </w:rPr>
            <w:t>结果及分析</w:t>
          </w:r>
          <w:r>
            <w:rPr>
              <w:sz w:val="21"/>
              <w:szCs w:val="21"/>
              <w:highlight w:val="none"/>
            </w:rPr>
            <w:tab/>
          </w:r>
          <w:r>
            <w:rPr>
              <w:sz w:val="21"/>
              <w:szCs w:val="21"/>
              <w:highlight w:val="none"/>
            </w:rPr>
            <w:fldChar w:fldCharType="begin"/>
          </w:r>
          <w:r>
            <w:rPr>
              <w:sz w:val="21"/>
              <w:szCs w:val="21"/>
              <w:highlight w:val="none"/>
            </w:rPr>
            <w:instrText xml:space="preserve"> PAGEREF _Toc28861 \h </w:instrText>
          </w:r>
          <w:r>
            <w:rPr>
              <w:sz w:val="21"/>
              <w:szCs w:val="21"/>
              <w:highlight w:val="none"/>
            </w:rPr>
            <w:fldChar w:fldCharType="separate"/>
          </w:r>
          <w:r>
            <w:rPr>
              <w:sz w:val="21"/>
              <w:szCs w:val="21"/>
              <w:highlight w:val="none"/>
            </w:rPr>
            <w:t>189</w:t>
          </w:r>
          <w:r>
            <w:rPr>
              <w:sz w:val="21"/>
              <w:szCs w:val="21"/>
              <w:highlight w:val="none"/>
            </w:rPr>
            <w:fldChar w:fldCharType="end"/>
          </w:r>
          <w:r>
            <w:rPr>
              <w:sz w:val="21"/>
              <w:szCs w:val="21"/>
              <w:highlight w:val="none"/>
            </w:rPr>
            <w:fldChar w:fldCharType="end"/>
          </w:r>
        </w:p>
        <w:p w14:paraId="34CB917B">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_Toc25863 </w:instrText>
          </w:r>
          <w:r>
            <w:rPr>
              <w:sz w:val="21"/>
              <w:szCs w:val="21"/>
              <w:highlight w:val="none"/>
            </w:rPr>
            <w:fldChar w:fldCharType="separate"/>
          </w:r>
          <w:r>
            <w:rPr>
              <w:rFonts w:hint="eastAsia" w:ascii="Times New Roman" w:hAnsi="Times New Roman" w:eastAsia="宋体" w:cs="Times New Roman"/>
              <w:sz w:val="21"/>
              <w:szCs w:val="21"/>
              <w:highlight w:val="none"/>
              <w:lang w:val="en-US" w:eastAsia="zh-CN"/>
            </w:rPr>
            <w:t>5.4.</w:t>
          </w:r>
          <w:r>
            <w:rPr>
              <w:rFonts w:hint="eastAsia" w:ascii="Times New Roman" w:hAnsi="Times New Roman" w:cs="Times New Roman"/>
              <w:sz w:val="21"/>
              <w:szCs w:val="21"/>
              <w:highlight w:val="none"/>
              <w:lang w:val="en-US" w:eastAsia="zh-CN"/>
            </w:rPr>
            <w:t>6</w:t>
          </w:r>
          <w:r>
            <w:rPr>
              <w:rFonts w:hint="eastAsia" w:ascii="Times New Roman" w:hAnsi="Times New Roman" w:eastAsia="宋体" w:cs="Times New Roman"/>
              <w:sz w:val="21"/>
              <w:szCs w:val="21"/>
              <w:highlight w:val="none"/>
              <w:lang w:val="en-US" w:eastAsia="zh-CN"/>
            </w:rPr>
            <w:t>声环境影响评价结论</w:t>
          </w:r>
          <w:r>
            <w:rPr>
              <w:sz w:val="21"/>
              <w:szCs w:val="21"/>
              <w:highlight w:val="none"/>
            </w:rPr>
            <w:tab/>
          </w:r>
          <w:r>
            <w:rPr>
              <w:sz w:val="21"/>
              <w:szCs w:val="21"/>
              <w:highlight w:val="none"/>
            </w:rPr>
            <w:fldChar w:fldCharType="begin"/>
          </w:r>
          <w:r>
            <w:rPr>
              <w:sz w:val="21"/>
              <w:szCs w:val="21"/>
              <w:highlight w:val="none"/>
            </w:rPr>
            <w:instrText xml:space="preserve"> PAGEREF _Toc25863 \h </w:instrText>
          </w:r>
          <w:r>
            <w:rPr>
              <w:sz w:val="21"/>
              <w:szCs w:val="21"/>
              <w:highlight w:val="none"/>
            </w:rPr>
            <w:fldChar w:fldCharType="separate"/>
          </w:r>
          <w:r>
            <w:rPr>
              <w:sz w:val="21"/>
              <w:szCs w:val="21"/>
              <w:highlight w:val="none"/>
            </w:rPr>
            <w:t>191</w:t>
          </w:r>
          <w:r>
            <w:rPr>
              <w:sz w:val="21"/>
              <w:szCs w:val="21"/>
              <w:highlight w:val="none"/>
            </w:rPr>
            <w:fldChar w:fldCharType="end"/>
          </w:r>
          <w:r>
            <w:rPr>
              <w:sz w:val="21"/>
              <w:szCs w:val="21"/>
              <w:highlight w:val="none"/>
            </w:rPr>
            <w:fldChar w:fldCharType="end"/>
          </w:r>
        </w:p>
        <w:p w14:paraId="435BA189">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_Toc24200 </w:instrText>
          </w:r>
          <w:r>
            <w:rPr>
              <w:sz w:val="21"/>
              <w:szCs w:val="21"/>
              <w:highlight w:val="none"/>
            </w:rPr>
            <w:fldChar w:fldCharType="separate"/>
          </w:r>
          <w:r>
            <w:rPr>
              <w:rFonts w:hint="eastAsia" w:ascii="Times New Roman" w:hAnsi="Times New Roman" w:cs="Times New Roman"/>
              <w:sz w:val="21"/>
              <w:szCs w:val="21"/>
              <w:highlight w:val="none"/>
              <w:lang w:val="en-US" w:eastAsia="zh-CN"/>
            </w:rPr>
            <w:t>5.5固废影响</w:t>
          </w:r>
          <w:r>
            <w:rPr>
              <w:sz w:val="21"/>
              <w:szCs w:val="21"/>
              <w:highlight w:val="none"/>
            </w:rPr>
            <w:tab/>
          </w:r>
          <w:r>
            <w:rPr>
              <w:sz w:val="21"/>
              <w:szCs w:val="21"/>
              <w:highlight w:val="none"/>
            </w:rPr>
            <w:fldChar w:fldCharType="begin"/>
          </w:r>
          <w:r>
            <w:rPr>
              <w:sz w:val="21"/>
              <w:szCs w:val="21"/>
              <w:highlight w:val="none"/>
            </w:rPr>
            <w:instrText xml:space="preserve"> PAGEREF _Toc24200 \h </w:instrText>
          </w:r>
          <w:r>
            <w:rPr>
              <w:sz w:val="21"/>
              <w:szCs w:val="21"/>
              <w:highlight w:val="none"/>
            </w:rPr>
            <w:fldChar w:fldCharType="separate"/>
          </w:r>
          <w:r>
            <w:rPr>
              <w:sz w:val="21"/>
              <w:szCs w:val="21"/>
              <w:highlight w:val="none"/>
            </w:rPr>
            <w:t>191</w:t>
          </w:r>
          <w:r>
            <w:rPr>
              <w:sz w:val="21"/>
              <w:szCs w:val="21"/>
              <w:highlight w:val="none"/>
            </w:rPr>
            <w:fldChar w:fldCharType="end"/>
          </w:r>
          <w:r>
            <w:rPr>
              <w:sz w:val="21"/>
              <w:szCs w:val="21"/>
              <w:highlight w:val="none"/>
            </w:rPr>
            <w:fldChar w:fldCharType="end"/>
          </w:r>
        </w:p>
        <w:p w14:paraId="100542A8">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_Toc18385 </w:instrText>
          </w:r>
          <w:r>
            <w:rPr>
              <w:sz w:val="21"/>
              <w:szCs w:val="21"/>
              <w:highlight w:val="none"/>
            </w:rPr>
            <w:fldChar w:fldCharType="separate"/>
          </w:r>
          <w:r>
            <w:rPr>
              <w:rFonts w:hint="eastAsia" w:ascii="Times New Roman" w:hAnsi="Times New Roman" w:cs="Times New Roman"/>
              <w:sz w:val="21"/>
              <w:szCs w:val="21"/>
              <w:highlight w:val="none"/>
              <w:lang w:val="en-US" w:eastAsia="zh-CN"/>
            </w:rPr>
            <w:t>5.6</w:t>
          </w:r>
          <w:r>
            <w:rPr>
              <w:rFonts w:hint="eastAsia"/>
              <w:sz w:val="21"/>
              <w:szCs w:val="21"/>
              <w:highlight w:val="none"/>
              <w:lang w:val="en-US" w:eastAsia="zh-CN"/>
            </w:rPr>
            <w:t>土壤环境影响分析</w:t>
          </w:r>
          <w:r>
            <w:rPr>
              <w:sz w:val="21"/>
              <w:szCs w:val="21"/>
              <w:highlight w:val="none"/>
            </w:rPr>
            <w:tab/>
          </w:r>
          <w:r>
            <w:rPr>
              <w:sz w:val="21"/>
              <w:szCs w:val="21"/>
              <w:highlight w:val="none"/>
            </w:rPr>
            <w:fldChar w:fldCharType="begin"/>
          </w:r>
          <w:r>
            <w:rPr>
              <w:sz w:val="21"/>
              <w:szCs w:val="21"/>
              <w:highlight w:val="none"/>
            </w:rPr>
            <w:instrText xml:space="preserve"> PAGEREF _Toc18385 \h </w:instrText>
          </w:r>
          <w:r>
            <w:rPr>
              <w:sz w:val="21"/>
              <w:szCs w:val="21"/>
              <w:highlight w:val="none"/>
            </w:rPr>
            <w:fldChar w:fldCharType="separate"/>
          </w:r>
          <w:r>
            <w:rPr>
              <w:sz w:val="21"/>
              <w:szCs w:val="21"/>
              <w:highlight w:val="none"/>
            </w:rPr>
            <w:t>193</w:t>
          </w:r>
          <w:r>
            <w:rPr>
              <w:sz w:val="21"/>
              <w:szCs w:val="21"/>
              <w:highlight w:val="none"/>
            </w:rPr>
            <w:fldChar w:fldCharType="end"/>
          </w:r>
          <w:r>
            <w:rPr>
              <w:sz w:val="21"/>
              <w:szCs w:val="21"/>
              <w:highlight w:val="none"/>
            </w:rPr>
            <w:fldChar w:fldCharType="end"/>
          </w:r>
        </w:p>
        <w:p w14:paraId="155056C7">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_Toc16325 </w:instrText>
          </w:r>
          <w:r>
            <w:rPr>
              <w:sz w:val="21"/>
              <w:szCs w:val="21"/>
              <w:highlight w:val="none"/>
            </w:rPr>
            <w:fldChar w:fldCharType="separate"/>
          </w:r>
          <w:r>
            <w:rPr>
              <w:rFonts w:hint="eastAsia" w:ascii="Times New Roman" w:hAnsi="Times New Roman" w:cs="Times New Roman"/>
              <w:sz w:val="21"/>
              <w:szCs w:val="21"/>
              <w:highlight w:val="none"/>
              <w:lang w:val="en-US" w:eastAsia="zh-CN"/>
            </w:rPr>
            <w:t>5.7</w:t>
          </w:r>
          <w:r>
            <w:rPr>
              <w:rFonts w:hint="eastAsia"/>
              <w:sz w:val="21"/>
              <w:szCs w:val="21"/>
              <w:highlight w:val="none"/>
              <w:lang w:val="en-US" w:eastAsia="zh-CN"/>
            </w:rPr>
            <w:t>环境风险评价</w:t>
          </w:r>
          <w:r>
            <w:rPr>
              <w:sz w:val="21"/>
              <w:szCs w:val="21"/>
              <w:highlight w:val="none"/>
            </w:rPr>
            <w:tab/>
          </w:r>
          <w:r>
            <w:rPr>
              <w:sz w:val="21"/>
              <w:szCs w:val="21"/>
              <w:highlight w:val="none"/>
            </w:rPr>
            <w:fldChar w:fldCharType="begin"/>
          </w:r>
          <w:r>
            <w:rPr>
              <w:sz w:val="21"/>
              <w:szCs w:val="21"/>
              <w:highlight w:val="none"/>
            </w:rPr>
            <w:instrText xml:space="preserve"> PAGEREF _Toc16325 \h </w:instrText>
          </w:r>
          <w:r>
            <w:rPr>
              <w:sz w:val="21"/>
              <w:szCs w:val="21"/>
              <w:highlight w:val="none"/>
            </w:rPr>
            <w:fldChar w:fldCharType="separate"/>
          </w:r>
          <w:r>
            <w:rPr>
              <w:sz w:val="21"/>
              <w:szCs w:val="21"/>
              <w:highlight w:val="none"/>
            </w:rPr>
            <w:t>194</w:t>
          </w:r>
          <w:r>
            <w:rPr>
              <w:sz w:val="21"/>
              <w:szCs w:val="21"/>
              <w:highlight w:val="none"/>
            </w:rPr>
            <w:fldChar w:fldCharType="end"/>
          </w:r>
          <w:r>
            <w:rPr>
              <w:sz w:val="21"/>
              <w:szCs w:val="21"/>
              <w:highlight w:val="none"/>
            </w:rPr>
            <w:fldChar w:fldCharType="end"/>
          </w:r>
        </w:p>
        <w:p w14:paraId="16DA026E">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_Toc23793 </w:instrText>
          </w:r>
          <w:r>
            <w:rPr>
              <w:sz w:val="21"/>
              <w:szCs w:val="21"/>
              <w:highlight w:val="none"/>
            </w:rPr>
            <w:fldChar w:fldCharType="separate"/>
          </w:r>
          <w:r>
            <w:rPr>
              <w:rFonts w:hint="eastAsia" w:ascii="Times New Roman" w:hAnsi="Times New Roman" w:cs="Times New Roman"/>
              <w:sz w:val="21"/>
              <w:szCs w:val="21"/>
              <w:highlight w:val="none"/>
              <w:lang w:val="en-US" w:eastAsia="zh-CN"/>
            </w:rPr>
            <w:t>5.8</w:t>
          </w:r>
          <w:r>
            <w:rPr>
              <w:rFonts w:hint="eastAsia"/>
              <w:sz w:val="21"/>
              <w:szCs w:val="21"/>
              <w:highlight w:val="none"/>
              <w:lang w:val="en-US" w:eastAsia="zh-CN"/>
            </w:rPr>
            <w:t>生态环境影响分析</w:t>
          </w:r>
          <w:r>
            <w:rPr>
              <w:sz w:val="21"/>
              <w:szCs w:val="21"/>
              <w:highlight w:val="none"/>
            </w:rPr>
            <w:tab/>
          </w:r>
          <w:r>
            <w:rPr>
              <w:sz w:val="21"/>
              <w:szCs w:val="21"/>
              <w:highlight w:val="none"/>
            </w:rPr>
            <w:fldChar w:fldCharType="begin"/>
          </w:r>
          <w:r>
            <w:rPr>
              <w:sz w:val="21"/>
              <w:szCs w:val="21"/>
              <w:highlight w:val="none"/>
            </w:rPr>
            <w:instrText xml:space="preserve"> PAGEREF _Toc23793 \h </w:instrText>
          </w:r>
          <w:r>
            <w:rPr>
              <w:sz w:val="21"/>
              <w:szCs w:val="21"/>
              <w:highlight w:val="none"/>
            </w:rPr>
            <w:fldChar w:fldCharType="separate"/>
          </w:r>
          <w:r>
            <w:rPr>
              <w:sz w:val="21"/>
              <w:szCs w:val="21"/>
              <w:highlight w:val="none"/>
            </w:rPr>
            <w:t>195</w:t>
          </w:r>
          <w:r>
            <w:rPr>
              <w:sz w:val="21"/>
              <w:szCs w:val="21"/>
              <w:highlight w:val="none"/>
            </w:rPr>
            <w:fldChar w:fldCharType="end"/>
          </w:r>
          <w:r>
            <w:rPr>
              <w:sz w:val="21"/>
              <w:szCs w:val="21"/>
              <w:highlight w:val="none"/>
            </w:rPr>
            <w:fldChar w:fldCharType="end"/>
          </w:r>
        </w:p>
        <w:p w14:paraId="38A3E733">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_Toc21765 </w:instrText>
          </w:r>
          <w:r>
            <w:rPr>
              <w:sz w:val="21"/>
              <w:szCs w:val="21"/>
              <w:highlight w:val="none"/>
            </w:rPr>
            <w:fldChar w:fldCharType="separate"/>
          </w:r>
          <w:r>
            <w:rPr>
              <w:rFonts w:hint="eastAsia" w:ascii="Times New Roman" w:hAnsi="Times New Roman" w:cs="Times New Roman"/>
              <w:sz w:val="21"/>
              <w:szCs w:val="21"/>
              <w:highlight w:val="none"/>
              <w:lang w:val="en-US" w:eastAsia="zh-CN"/>
            </w:rPr>
            <w:t>5.9</w:t>
          </w:r>
          <w:r>
            <w:rPr>
              <w:rFonts w:hint="eastAsia"/>
              <w:sz w:val="21"/>
              <w:szCs w:val="21"/>
              <w:highlight w:val="none"/>
              <w:lang w:val="en-US" w:eastAsia="zh-CN"/>
            </w:rPr>
            <w:t>燃煤、灰渣运输环节环境影响分析</w:t>
          </w:r>
          <w:r>
            <w:rPr>
              <w:sz w:val="21"/>
              <w:szCs w:val="21"/>
              <w:highlight w:val="none"/>
            </w:rPr>
            <w:tab/>
          </w:r>
          <w:r>
            <w:rPr>
              <w:sz w:val="21"/>
              <w:szCs w:val="21"/>
              <w:highlight w:val="none"/>
            </w:rPr>
            <w:fldChar w:fldCharType="begin"/>
          </w:r>
          <w:r>
            <w:rPr>
              <w:sz w:val="21"/>
              <w:szCs w:val="21"/>
              <w:highlight w:val="none"/>
            </w:rPr>
            <w:instrText xml:space="preserve"> PAGEREF _Toc21765 \h </w:instrText>
          </w:r>
          <w:r>
            <w:rPr>
              <w:sz w:val="21"/>
              <w:szCs w:val="21"/>
              <w:highlight w:val="none"/>
            </w:rPr>
            <w:fldChar w:fldCharType="separate"/>
          </w:r>
          <w:r>
            <w:rPr>
              <w:sz w:val="21"/>
              <w:szCs w:val="21"/>
              <w:highlight w:val="none"/>
            </w:rPr>
            <w:t>196</w:t>
          </w:r>
          <w:r>
            <w:rPr>
              <w:sz w:val="21"/>
              <w:szCs w:val="21"/>
              <w:highlight w:val="none"/>
            </w:rPr>
            <w:fldChar w:fldCharType="end"/>
          </w:r>
          <w:r>
            <w:rPr>
              <w:sz w:val="21"/>
              <w:szCs w:val="21"/>
              <w:highlight w:val="none"/>
            </w:rPr>
            <w:fldChar w:fldCharType="end"/>
          </w:r>
        </w:p>
        <w:p w14:paraId="22B85292">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_Toc8689 </w:instrText>
          </w:r>
          <w:r>
            <w:rPr>
              <w:sz w:val="21"/>
              <w:szCs w:val="21"/>
              <w:highlight w:val="none"/>
            </w:rPr>
            <w:fldChar w:fldCharType="separate"/>
          </w:r>
          <w:r>
            <w:rPr>
              <w:rFonts w:hint="eastAsia" w:ascii="Times New Roman" w:hAnsi="Times New Roman" w:cs="Times New Roman"/>
              <w:sz w:val="21"/>
              <w:szCs w:val="21"/>
              <w:highlight w:val="none"/>
              <w:lang w:val="en-US" w:eastAsia="zh-CN"/>
            </w:rPr>
            <w:t>5.10</w:t>
          </w:r>
          <w:r>
            <w:rPr>
              <w:rFonts w:hint="eastAsia"/>
              <w:sz w:val="21"/>
              <w:szCs w:val="21"/>
              <w:highlight w:val="none"/>
              <w:lang w:val="en-US" w:eastAsia="zh-CN"/>
            </w:rPr>
            <w:t>碳排放影响评价</w:t>
          </w:r>
          <w:r>
            <w:rPr>
              <w:sz w:val="21"/>
              <w:szCs w:val="21"/>
              <w:highlight w:val="none"/>
            </w:rPr>
            <w:tab/>
          </w:r>
          <w:r>
            <w:rPr>
              <w:sz w:val="21"/>
              <w:szCs w:val="21"/>
              <w:highlight w:val="none"/>
            </w:rPr>
            <w:fldChar w:fldCharType="begin"/>
          </w:r>
          <w:r>
            <w:rPr>
              <w:sz w:val="21"/>
              <w:szCs w:val="21"/>
              <w:highlight w:val="none"/>
            </w:rPr>
            <w:instrText xml:space="preserve"> PAGEREF _Toc8689 \h </w:instrText>
          </w:r>
          <w:r>
            <w:rPr>
              <w:sz w:val="21"/>
              <w:szCs w:val="21"/>
              <w:highlight w:val="none"/>
            </w:rPr>
            <w:fldChar w:fldCharType="separate"/>
          </w:r>
          <w:r>
            <w:rPr>
              <w:sz w:val="21"/>
              <w:szCs w:val="21"/>
              <w:highlight w:val="none"/>
            </w:rPr>
            <w:t>197</w:t>
          </w:r>
          <w:r>
            <w:rPr>
              <w:sz w:val="21"/>
              <w:szCs w:val="21"/>
              <w:highlight w:val="none"/>
            </w:rPr>
            <w:fldChar w:fldCharType="end"/>
          </w:r>
          <w:r>
            <w:rPr>
              <w:sz w:val="21"/>
              <w:szCs w:val="21"/>
              <w:highlight w:val="none"/>
            </w:rPr>
            <w:fldChar w:fldCharType="end"/>
          </w:r>
        </w:p>
        <w:p w14:paraId="3B557104">
          <w:pPr>
            <w:pStyle w:val="14"/>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_Toc28646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6</w:t>
          </w:r>
          <w:r>
            <w:rPr>
              <w:rFonts w:hint="eastAsia"/>
              <w:sz w:val="21"/>
              <w:szCs w:val="21"/>
              <w:highlight w:val="none"/>
              <w:lang w:val="en-US" w:eastAsia="zh-CN"/>
            </w:rPr>
            <w:t>环境保护措施及可行性论证</w:t>
          </w:r>
          <w:r>
            <w:rPr>
              <w:sz w:val="21"/>
              <w:szCs w:val="21"/>
              <w:highlight w:val="none"/>
            </w:rPr>
            <w:tab/>
          </w:r>
          <w:r>
            <w:rPr>
              <w:sz w:val="21"/>
              <w:szCs w:val="21"/>
              <w:highlight w:val="none"/>
            </w:rPr>
            <w:fldChar w:fldCharType="begin"/>
          </w:r>
          <w:r>
            <w:rPr>
              <w:sz w:val="21"/>
              <w:szCs w:val="21"/>
              <w:highlight w:val="none"/>
            </w:rPr>
            <w:instrText xml:space="preserve"> PAGEREF _Toc28646 \h </w:instrText>
          </w:r>
          <w:r>
            <w:rPr>
              <w:sz w:val="21"/>
              <w:szCs w:val="21"/>
              <w:highlight w:val="none"/>
            </w:rPr>
            <w:fldChar w:fldCharType="separate"/>
          </w:r>
          <w:r>
            <w:rPr>
              <w:sz w:val="21"/>
              <w:szCs w:val="21"/>
              <w:highlight w:val="none"/>
            </w:rPr>
            <w:t>201</w:t>
          </w:r>
          <w:r>
            <w:rPr>
              <w:sz w:val="21"/>
              <w:szCs w:val="21"/>
              <w:highlight w:val="none"/>
            </w:rPr>
            <w:fldChar w:fldCharType="end"/>
          </w:r>
          <w:r>
            <w:rPr>
              <w:sz w:val="21"/>
              <w:szCs w:val="21"/>
              <w:highlight w:val="none"/>
            </w:rPr>
            <w:fldChar w:fldCharType="end"/>
          </w:r>
        </w:p>
        <w:p w14:paraId="2CC13540">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_Toc11080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6.1</w:t>
          </w:r>
          <w:r>
            <w:rPr>
              <w:rFonts w:hint="eastAsia"/>
              <w:sz w:val="21"/>
              <w:szCs w:val="21"/>
              <w:highlight w:val="none"/>
              <w:lang w:val="en-US" w:eastAsia="zh-CN"/>
            </w:rPr>
            <w:t>施工期环境保护措施</w:t>
          </w:r>
          <w:r>
            <w:rPr>
              <w:sz w:val="21"/>
              <w:szCs w:val="21"/>
              <w:highlight w:val="none"/>
            </w:rPr>
            <w:tab/>
          </w:r>
          <w:r>
            <w:rPr>
              <w:sz w:val="21"/>
              <w:szCs w:val="21"/>
              <w:highlight w:val="none"/>
            </w:rPr>
            <w:fldChar w:fldCharType="begin"/>
          </w:r>
          <w:r>
            <w:rPr>
              <w:sz w:val="21"/>
              <w:szCs w:val="21"/>
              <w:highlight w:val="none"/>
            </w:rPr>
            <w:instrText xml:space="preserve"> PAGEREF _Toc11080 \h </w:instrText>
          </w:r>
          <w:r>
            <w:rPr>
              <w:sz w:val="21"/>
              <w:szCs w:val="21"/>
              <w:highlight w:val="none"/>
            </w:rPr>
            <w:fldChar w:fldCharType="separate"/>
          </w:r>
          <w:r>
            <w:rPr>
              <w:sz w:val="21"/>
              <w:szCs w:val="21"/>
              <w:highlight w:val="none"/>
            </w:rPr>
            <w:t>201</w:t>
          </w:r>
          <w:r>
            <w:rPr>
              <w:sz w:val="21"/>
              <w:szCs w:val="21"/>
              <w:highlight w:val="none"/>
            </w:rPr>
            <w:fldChar w:fldCharType="end"/>
          </w:r>
          <w:r>
            <w:rPr>
              <w:sz w:val="21"/>
              <w:szCs w:val="21"/>
              <w:highlight w:val="none"/>
            </w:rPr>
            <w:fldChar w:fldCharType="end"/>
          </w:r>
        </w:p>
        <w:p w14:paraId="087121E7">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_Toc32525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6.1.1</w:t>
          </w:r>
          <w:r>
            <w:rPr>
              <w:rFonts w:hint="eastAsia"/>
              <w:sz w:val="21"/>
              <w:szCs w:val="21"/>
              <w:highlight w:val="none"/>
              <w:lang w:val="en-US" w:eastAsia="zh-CN"/>
            </w:rPr>
            <w:t>地表水污染防治措施</w:t>
          </w:r>
          <w:r>
            <w:rPr>
              <w:sz w:val="21"/>
              <w:szCs w:val="21"/>
              <w:highlight w:val="none"/>
            </w:rPr>
            <w:tab/>
          </w:r>
          <w:r>
            <w:rPr>
              <w:sz w:val="21"/>
              <w:szCs w:val="21"/>
              <w:highlight w:val="none"/>
            </w:rPr>
            <w:fldChar w:fldCharType="begin"/>
          </w:r>
          <w:r>
            <w:rPr>
              <w:sz w:val="21"/>
              <w:szCs w:val="21"/>
              <w:highlight w:val="none"/>
            </w:rPr>
            <w:instrText xml:space="preserve"> PAGEREF _Toc32525 \h </w:instrText>
          </w:r>
          <w:r>
            <w:rPr>
              <w:sz w:val="21"/>
              <w:szCs w:val="21"/>
              <w:highlight w:val="none"/>
            </w:rPr>
            <w:fldChar w:fldCharType="separate"/>
          </w:r>
          <w:r>
            <w:rPr>
              <w:sz w:val="21"/>
              <w:szCs w:val="21"/>
              <w:highlight w:val="none"/>
            </w:rPr>
            <w:t>201</w:t>
          </w:r>
          <w:r>
            <w:rPr>
              <w:sz w:val="21"/>
              <w:szCs w:val="21"/>
              <w:highlight w:val="none"/>
            </w:rPr>
            <w:fldChar w:fldCharType="end"/>
          </w:r>
          <w:r>
            <w:rPr>
              <w:sz w:val="21"/>
              <w:szCs w:val="21"/>
              <w:highlight w:val="none"/>
            </w:rPr>
            <w:fldChar w:fldCharType="end"/>
          </w:r>
        </w:p>
        <w:p w14:paraId="0D5E88A6">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_Toc20718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6.1.2</w:t>
          </w:r>
          <w:r>
            <w:rPr>
              <w:rFonts w:hint="eastAsia"/>
              <w:sz w:val="21"/>
              <w:szCs w:val="21"/>
              <w:highlight w:val="none"/>
              <w:lang w:val="en-US" w:eastAsia="zh-CN"/>
            </w:rPr>
            <w:t>大气污染防治措施</w:t>
          </w:r>
          <w:r>
            <w:rPr>
              <w:sz w:val="21"/>
              <w:szCs w:val="21"/>
              <w:highlight w:val="none"/>
            </w:rPr>
            <w:tab/>
          </w:r>
          <w:r>
            <w:rPr>
              <w:sz w:val="21"/>
              <w:szCs w:val="21"/>
              <w:highlight w:val="none"/>
            </w:rPr>
            <w:fldChar w:fldCharType="begin"/>
          </w:r>
          <w:r>
            <w:rPr>
              <w:sz w:val="21"/>
              <w:szCs w:val="21"/>
              <w:highlight w:val="none"/>
            </w:rPr>
            <w:instrText xml:space="preserve"> PAGEREF _Toc20718 \h </w:instrText>
          </w:r>
          <w:r>
            <w:rPr>
              <w:sz w:val="21"/>
              <w:szCs w:val="21"/>
              <w:highlight w:val="none"/>
            </w:rPr>
            <w:fldChar w:fldCharType="separate"/>
          </w:r>
          <w:r>
            <w:rPr>
              <w:sz w:val="21"/>
              <w:szCs w:val="21"/>
              <w:highlight w:val="none"/>
            </w:rPr>
            <w:t>201</w:t>
          </w:r>
          <w:r>
            <w:rPr>
              <w:sz w:val="21"/>
              <w:szCs w:val="21"/>
              <w:highlight w:val="none"/>
            </w:rPr>
            <w:fldChar w:fldCharType="end"/>
          </w:r>
          <w:r>
            <w:rPr>
              <w:sz w:val="21"/>
              <w:szCs w:val="21"/>
              <w:highlight w:val="none"/>
            </w:rPr>
            <w:fldChar w:fldCharType="end"/>
          </w:r>
        </w:p>
        <w:p w14:paraId="46EC7E6A">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_Toc5869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6.1.3</w:t>
          </w:r>
          <w:r>
            <w:rPr>
              <w:rFonts w:hint="eastAsia"/>
              <w:sz w:val="21"/>
              <w:szCs w:val="21"/>
              <w:highlight w:val="none"/>
              <w:lang w:val="en-US" w:eastAsia="zh-CN"/>
            </w:rPr>
            <w:t>噪声污染防治措施</w:t>
          </w:r>
          <w:r>
            <w:rPr>
              <w:sz w:val="21"/>
              <w:szCs w:val="21"/>
              <w:highlight w:val="none"/>
            </w:rPr>
            <w:tab/>
          </w:r>
          <w:r>
            <w:rPr>
              <w:sz w:val="21"/>
              <w:szCs w:val="21"/>
              <w:highlight w:val="none"/>
            </w:rPr>
            <w:fldChar w:fldCharType="begin"/>
          </w:r>
          <w:r>
            <w:rPr>
              <w:sz w:val="21"/>
              <w:szCs w:val="21"/>
              <w:highlight w:val="none"/>
            </w:rPr>
            <w:instrText xml:space="preserve"> PAGEREF _Toc5869 \h </w:instrText>
          </w:r>
          <w:r>
            <w:rPr>
              <w:sz w:val="21"/>
              <w:szCs w:val="21"/>
              <w:highlight w:val="none"/>
            </w:rPr>
            <w:fldChar w:fldCharType="separate"/>
          </w:r>
          <w:r>
            <w:rPr>
              <w:sz w:val="21"/>
              <w:szCs w:val="21"/>
              <w:highlight w:val="none"/>
            </w:rPr>
            <w:t>202</w:t>
          </w:r>
          <w:r>
            <w:rPr>
              <w:sz w:val="21"/>
              <w:szCs w:val="21"/>
              <w:highlight w:val="none"/>
            </w:rPr>
            <w:fldChar w:fldCharType="end"/>
          </w:r>
          <w:r>
            <w:rPr>
              <w:sz w:val="21"/>
              <w:szCs w:val="21"/>
              <w:highlight w:val="none"/>
            </w:rPr>
            <w:fldChar w:fldCharType="end"/>
          </w:r>
        </w:p>
        <w:p w14:paraId="39E857C4">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_Toc26745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6.1.4</w:t>
          </w:r>
          <w:r>
            <w:rPr>
              <w:rFonts w:hint="eastAsia"/>
              <w:sz w:val="21"/>
              <w:szCs w:val="21"/>
              <w:highlight w:val="none"/>
              <w:lang w:val="en-US" w:eastAsia="zh-CN"/>
            </w:rPr>
            <w:t>固体废物处置措施</w:t>
          </w:r>
          <w:r>
            <w:rPr>
              <w:sz w:val="21"/>
              <w:szCs w:val="21"/>
              <w:highlight w:val="none"/>
            </w:rPr>
            <w:tab/>
          </w:r>
          <w:r>
            <w:rPr>
              <w:sz w:val="21"/>
              <w:szCs w:val="21"/>
              <w:highlight w:val="none"/>
            </w:rPr>
            <w:fldChar w:fldCharType="begin"/>
          </w:r>
          <w:r>
            <w:rPr>
              <w:sz w:val="21"/>
              <w:szCs w:val="21"/>
              <w:highlight w:val="none"/>
            </w:rPr>
            <w:instrText xml:space="preserve"> PAGEREF _Toc26745 \h </w:instrText>
          </w:r>
          <w:r>
            <w:rPr>
              <w:sz w:val="21"/>
              <w:szCs w:val="21"/>
              <w:highlight w:val="none"/>
            </w:rPr>
            <w:fldChar w:fldCharType="separate"/>
          </w:r>
          <w:r>
            <w:rPr>
              <w:sz w:val="21"/>
              <w:szCs w:val="21"/>
              <w:highlight w:val="none"/>
            </w:rPr>
            <w:t>204</w:t>
          </w:r>
          <w:r>
            <w:rPr>
              <w:sz w:val="21"/>
              <w:szCs w:val="21"/>
              <w:highlight w:val="none"/>
            </w:rPr>
            <w:fldChar w:fldCharType="end"/>
          </w:r>
          <w:r>
            <w:rPr>
              <w:sz w:val="21"/>
              <w:szCs w:val="21"/>
              <w:highlight w:val="none"/>
            </w:rPr>
            <w:fldChar w:fldCharType="end"/>
          </w:r>
        </w:p>
        <w:p w14:paraId="689F63D6">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_Toc17903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6.1.5</w:t>
          </w:r>
          <w:r>
            <w:rPr>
              <w:rFonts w:hint="eastAsia"/>
              <w:sz w:val="21"/>
              <w:szCs w:val="21"/>
              <w:highlight w:val="none"/>
              <w:lang w:val="en-US" w:eastAsia="zh-CN"/>
            </w:rPr>
            <w:t>施工生态保护措施</w:t>
          </w:r>
          <w:r>
            <w:rPr>
              <w:sz w:val="21"/>
              <w:szCs w:val="21"/>
              <w:highlight w:val="none"/>
            </w:rPr>
            <w:tab/>
          </w:r>
          <w:r>
            <w:rPr>
              <w:sz w:val="21"/>
              <w:szCs w:val="21"/>
              <w:highlight w:val="none"/>
            </w:rPr>
            <w:fldChar w:fldCharType="begin"/>
          </w:r>
          <w:r>
            <w:rPr>
              <w:sz w:val="21"/>
              <w:szCs w:val="21"/>
              <w:highlight w:val="none"/>
            </w:rPr>
            <w:instrText xml:space="preserve"> PAGEREF _Toc17903 \h </w:instrText>
          </w:r>
          <w:r>
            <w:rPr>
              <w:sz w:val="21"/>
              <w:szCs w:val="21"/>
              <w:highlight w:val="none"/>
            </w:rPr>
            <w:fldChar w:fldCharType="separate"/>
          </w:r>
          <w:r>
            <w:rPr>
              <w:sz w:val="21"/>
              <w:szCs w:val="21"/>
              <w:highlight w:val="none"/>
            </w:rPr>
            <w:t>204</w:t>
          </w:r>
          <w:r>
            <w:rPr>
              <w:sz w:val="21"/>
              <w:szCs w:val="21"/>
              <w:highlight w:val="none"/>
            </w:rPr>
            <w:fldChar w:fldCharType="end"/>
          </w:r>
          <w:r>
            <w:rPr>
              <w:sz w:val="21"/>
              <w:szCs w:val="21"/>
              <w:highlight w:val="none"/>
            </w:rPr>
            <w:fldChar w:fldCharType="end"/>
          </w:r>
        </w:p>
        <w:p w14:paraId="7D425AA0">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_Toc16687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6.2</w:t>
          </w:r>
          <w:r>
            <w:rPr>
              <w:rFonts w:hint="eastAsia"/>
              <w:sz w:val="21"/>
              <w:szCs w:val="21"/>
              <w:highlight w:val="none"/>
              <w:lang w:val="en-US" w:eastAsia="zh-CN"/>
            </w:rPr>
            <w:t>运营期环境保护措施</w:t>
          </w:r>
          <w:r>
            <w:rPr>
              <w:sz w:val="21"/>
              <w:szCs w:val="21"/>
              <w:highlight w:val="none"/>
            </w:rPr>
            <w:tab/>
          </w:r>
          <w:r>
            <w:rPr>
              <w:sz w:val="21"/>
              <w:szCs w:val="21"/>
              <w:highlight w:val="none"/>
            </w:rPr>
            <w:fldChar w:fldCharType="begin"/>
          </w:r>
          <w:r>
            <w:rPr>
              <w:sz w:val="21"/>
              <w:szCs w:val="21"/>
              <w:highlight w:val="none"/>
            </w:rPr>
            <w:instrText xml:space="preserve"> PAGEREF _Toc16687 \h </w:instrText>
          </w:r>
          <w:r>
            <w:rPr>
              <w:sz w:val="21"/>
              <w:szCs w:val="21"/>
              <w:highlight w:val="none"/>
            </w:rPr>
            <w:fldChar w:fldCharType="separate"/>
          </w:r>
          <w:r>
            <w:rPr>
              <w:sz w:val="21"/>
              <w:szCs w:val="21"/>
              <w:highlight w:val="none"/>
            </w:rPr>
            <w:t>204</w:t>
          </w:r>
          <w:r>
            <w:rPr>
              <w:sz w:val="21"/>
              <w:szCs w:val="21"/>
              <w:highlight w:val="none"/>
            </w:rPr>
            <w:fldChar w:fldCharType="end"/>
          </w:r>
          <w:r>
            <w:rPr>
              <w:sz w:val="21"/>
              <w:szCs w:val="21"/>
              <w:highlight w:val="none"/>
            </w:rPr>
            <w:fldChar w:fldCharType="end"/>
          </w:r>
        </w:p>
        <w:p w14:paraId="32B1706E">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_Toc14005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6.2.1</w:t>
          </w:r>
          <w:r>
            <w:rPr>
              <w:rFonts w:hint="eastAsia"/>
              <w:sz w:val="21"/>
              <w:szCs w:val="21"/>
              <w:highlight w:val="none"/>
              <w:lang w:val="en-US" w:eastAsia="zh-CN"/>
            </w:rPr>
            <w:t>运营期废气污染防治措施</w:t>
          </w:r>
          <w:r>
            <w:rPr>
              <w:sz w:val="21"/>
              <w:szCs w:val="21"/>
              <w:highlight w:val="none"/>
            </w:rPr>
            <w:tab/>
          </w:r>
          <w:r>
            <w:rPr>
              <w:sz w:val="21"/>
              <w:szCs w:val="21"/>
              <w:highlight w:val="none"/>
            </w:rPr>
            <w:fldChar w:fldCharType="begin"/>
          </w:r>
          <w:r>
            <w:rPr>
              <w:sz w:val="21"/>
              <w:szCs w:val="21"/>
              <w:highlight w:val="none"/>
            </w:rPr>
            <w:instrText xml:space="preserve"> PAGEREF _Toc14005 \h </w:instrText>
          </w:r>
          <w:r>
            <w:rPr>
              <w:sz w:val="21"/>
              <w:szCs w:val="21"/>
              <w:highlight w:val="none"/>
            </w:rPr>
            <w:fldChar w:fldCharType="separate"/>
          </w:r>
          <w:r>
            <w:rPr>
              <w:sz w:val="21"/>
              <w:szCs w:val="21"/>
              <w:highlight w:val="none"/>
            </w:rPr>
            <w:t>204</w:t>
          </w:r>
          <w:r>
            <w:rPr>
              <w:sz w:val="21"/>
              <w:szCs w:val="21"/>
              <w:highlight w:val="none"/>
            </w:rPr>
            <w:fldChar w:fldCharType="end"/>
          </w:r>
          <w:r>
            <w:rPr>
              <w:sz w:val="21"/>
              <w:szCs w:val="21"/>
              <w:highlight w:val="none"/>
            </w:rPr>
            <w:fldChar w:fldCharType="end"/>
          </w:r>
        </w:p>
        <w:p w14:paraId="5463CC1C">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_Toc31165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6.2.2</w:t>
          </w:r>
          <w:r>
            <w:rPr>
              <w:rFonts w:hint="eastAsia"/>
              <w:sz w:val="21"/>
              <w:szCs w:val="21"/>
              <w:highlight w:val="none"/>
              <w:lang w:val="en-US" w:eastAsia="zh-CN"/>
            </w:rPr>
            <w:t>运营期废水污染防治措施</w:t>
          </w:r>
          <w:r>
            <w:rPr>
              <w:sz w:val="21"/>
              <w:szCs w:val="21"/>
              <w:highlight w:val="none"/>
            </w:rPr>
            <w:tab/>
          </w:r>
          <w:r>
            <w:rPr>
              <w:sz w:val="21"/>
              <w:szCs w:val="21"/>
              <w:highlight w:val="none"/>
            </w:rPr>
            <w:fldChar w:fldCharType="begin"/>
          </w:r>
          <w:r>
            <w:rPr>
              <w:sz w:val="21"/>
              <w:szCs w:val="21"/>
              <w:highlight w:val="none"/>
            </w:rPr>
            <w:instrText xml:space="preserve"> PAGEREF _Toc31165 \h </w:instrText>
          </w:r>
          <w:r>
            <w:rPr>
              <w:sz w:val="21"/>
              <w:szCs w:val="21"/>
              <w:highlight w:val="none"/>
            </w:rPr>
            <w:fldChar w:fldCharType="separate"/>
          </w:r>
          <w:r>
            <w:rPr>
              <w:sz w:val="21"/>
              <w:szCs w:val="21"/>
              <w:highlight w:val="none"/>
            </w:rPr>
            <w:t>217</w:t>
          </w:r>
          <w:r>
            <w:rPr>
              <w:sz w:val="21"/>
              <w:szCs w:val="21"/>
              <w:highlight w:val="none"/>
            </w:rPr>
            <w:fldChar w:fldCharType="end"/>
          </w:r>
          <w:r>
            <w:rPr>
              <w:sz w:val="21"/>
              <w:szCs w:val="21"/>
              <w:highlight w:val="none"/>
            </w:rPr>
            <w:fldChar w:fldCharType="end"/>
          </w:r>
        </w:p>
        <w:p w14:paraId="6A0936FC">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_Toc31115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6.2.3</w:t>
          </w:r>
          <w:r>
            <w:rPr>
              <w:rFonts w:hint="eastAsia"/>
              <w:sz w:val="21"/>
              <w:szCs w:val="21"/>
              <w:highlight w:val="none"/>
              <w:lang w:val="en-US" w:eastAsia="zh-CN"/>
            </w:rPr>
            <w:t>运营期噪声污染防治措施</w:t>
          </w:r>
          <w:r>
            <w:rPr>
              <w:sz w:val="21"/>
              <w:szCs w:val="21"/>
              <w:highlight w:val="none"/>
            </w:rPr>
            <w:tab/>
          </w:r>
          <w:r>
            <w:rPr>
              <w:sz w:val="21"/>
              <w:szCs w:val="21"/>
              <w:highlight w:val="none"/>
            </w:rPr>
            <w:fldChar w:fldCharType="begin"/>
          </w:r>
          <w:r>
            <w:rPr>
              <w:sz w:val="21"/>
              <w:szCs w:val="21"/>
              <w:highlight w:val="none"/>
            </w:rPr>
            <w:instrText xml:space="preserve"> PAGEREF _Toc31115 \h </w:instrText>
          </w:r>
          <w:r>
            <w:rPr>
              <w:sz w:val="21"/>
              <w:szCs w:val="21"/>
              <w:highlight w:val="none"/>
            </w:rPr>
            <w:fldChar w:fldCharType="separate"/>
          </w:r>
          <w:r>
            <w:rPr>
              <w:sz w:val="21"/>
              <w:szCs w:val="21"/>
              <w:highlight w:val="none"/>
            </w:rPr>
            <w:t>218</w:t>
          </w:r>
          <w:r>
            <w:rPr>
              <w:sz w:val="21"/>
              <w:szCs w:val="21"/>
              <w:highlight w:val="none"/>
            </w:rPr>
            <w:fldChar w:fldCharType="end"/>
          </w:r>
          <w:r>
            <w:rPr>
              <w:sz w:val="21"/>
              <w:szCs w:val="21"/>
              <w:highlight w:val="none"/>
            </w:rPr>
            <w:fldChar w:fldCharType="end"/>
          </w:r>
        </w:p>
        <w:p w14:paraId="63DD3BE6">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_Toc17508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6.2.4</w:t>
          </w:r>
          <w:r>
            <w:rPr>
              <w:rFonts w:hint="eastAsia"/>
              <w:sz w:val="21"/>
              <w:szCs w:val="21"/>
              <w:highlight w:val="none"/>
              <w:lang w:val="en-US" w:eastAsia="zh-CN"/>
            </w:rPr>
            <w:t>运营期固体废物污染防治措施</w:t>
          </w:r>
          <w:r>
            <w:rPr>
              <w:sz w:val="21"/>
              <w:szCs w:val="21"/>
              <w:highlight w:val="none"/>
            </w:rPr>
            <w:tab/>
          </w:r>
          <w:r>
            <w:rPr>
              <w:sz w:val="21"/>
              <w:szCs w:val="21"/>
              <w:highlight w:val="none"/>
            </w:rPr>
            <w:fldChar w:fldCharType="begin"/>
          </w:r>
          <w:r>
            <w:rPr>
              <w:sz w:val="21"/>
              <w:szCs w:val="21"/>
              <w:highlight w:val="none"/>
            </w:rPr>
            <w:instrText xml:space="preserve"> PAGEREF _Toc17508 \h </w:instrText>
          </w:r>
          <w:r>
            <w:rPr>
              <w:sz w:val="21"/>
              <w:szCs w:val="21"/>
              <w:highlight w:val="none"/>
            </w:rPr>
            <w:fldChar w:fldCharType="separate"/>
          </w:r>
          <w:r>
            <w:rPr>
              <w:sz w:val="21"/>
              <w:szCs w:val="21"/>
              <w:highlight w:val="none"/>
            </w:rPr>
            <w:t>219</w:t>
          </w:r>
          <w:r>
            <w:rPr>
              <w:sz w:val="21"/>
              <w:szCs w:val="21"/>
              <w:highlight w:val="none"/>
            </w:rPr>
            <w:fldChar w:fldCharType="end"/>
          </w:r>
          <w:r>
            <w:rPr>
              <w:sz w:val="21"/>
              <w:szCs w:val="21"/>
              <w:highlight w:val="none"/>
            </w:rPr>
            <w:fldChar w:fldCharType="end"/>
          </w:r>
        </w:p>
        <w:p w14:paraId="6DE06716">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_Toc22080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6.2.5</w:t>
          </w:r>
          <w:r>
            <w:rPr>
              <w:rFonts w:hint="eastAsia"/>
              <w:sz w:val="21"/>
              <w:szCs w:val="21"/>
              <w:highlight w:val="none"/>
              <w:lang w:val="en-US" w:eastAsia="zh-CN"/>
            </w:rPr>
            <w:t>地下水污染防治措施</w:t>
          </w:r>
          <w:r>
            <w:rPr>
              <w:sz w:val="21"/>
              <w:szCs w:val="21"/>
              <w:highlight w:val="none"/>
            </w:rPr>
            <w:tab/>
          </w:r>
          <w:r>
            <w:rPr>
              <w:sz w:val="21"/>
              <w:szCs w:val="21"/>
              <w:highlight w:val="none"/>
            </w:rPr>
            <w:fldChar w:fldCharType="begin"/>
          </w:r>
          <w:r>
            <w:rPr>
              <w:sz w:val="21"/>
              <w:szCs w:val="21"/>
              <w:highlight w:val="none"/>
            </w:rPr>
            <w:instrText xml:space="preserve"> PAGEREF _Toc22080 \h </w:instrText>
          </w:r>
          <w:r>
            <w:rPr>
              <w:sz w:val="21"/>
              <w:szCs w:val="21"/>
              <w:highlight w:val="none"/>
            </w:rPr>
            <w:fldChar w:fldCharType="separate"/>
          </w:r>
          <w:r>
            <w:rPr>
              <w:sz w:val="21"/>
              <w:szCs w:val="21"/>
              <w:highlight w:val="none"/>
            </w:rPr>
            <w:t>221</w:t>
          </w:r>
          <w:r>
            <w:rPr>
              <w:sz w:val="21"/>
              <w:szCs w:val="21"/>
              <w:highlight w:val="none"/>
            </w:rPr>
            <w:fldChar w:fldCharType="end"/>
          </w:r>
          <w:r>
            <w:rPr>
              <w:sz w:val="21"/>
              <w:szCs w:val="21"/>
              <w:highlight w:val="none"/>
            </w:rPr>
            <w:fldChar w:fldCharType="end"/>
          </w:r>
        </w:p>
        <w:p w14:paraId="0D4E7285">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_Toc5603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6.2.6</w:t>
          </w:r>
          <w:r>
            <w:rPr>
              <w:rFonts w:hint="eastAsia" w:ascii="Times New Roman" w:hAnsi="Times New Roman"/>
              <w:sz w:val="21"/>
              <w:szCs w:val="21"/>
              <w:highlight w:val="none"/>
              <w:lang w:val="en-US" w:eastAsia="zh-CN"/>
            </w:rPr>
            <w:t>燃煤、</w:t>
          </w:r>
          <w:r>
            <w:rPr>
              <w:rFonts w:ascii="Times New Roman" w:hAnsi="Times New Roman"/>
              <w:sz w:val="21"/>
              <w:szCs w:val="21"/>
              <w:highlight w:val="none"/>
            </w:rPr>
            <w:t>灰渣运输环节污染防治措施</w:t>
          </w:r>
          <w:r>
            <w:rPr>
              <w:sz w:val="21"/>
              <w:szCs w:val="21"/>
              <w:highlight w:val="none"/>
            </w:rPr>
            <w:tab/>
          </w:r>
          <w:r>
            <w:rPr>
              <w:sz w:val="21"/>
              <w:szCs w:val="21"/>
              <w:highlight w:val="none"/>
            </w:rPr>
            <w:fldChar w:fldCharType="begin"/>
          </w:r>
          <w:r>
            <w:rPr>
              <w:sz w:val="21"/>
              <w:szCs w:val="21"/>
              <w:highlight w:val="none"/>
            </w:rPr>
            <w:instrText xml:space="preserve"> PAGEREF _Toc5603 \h </w:instrText>
          </w:r>
          <w:r>
            <w:rPr>
              <w:sz w:val="21"/>
              <w:szCs w:val="21"/>
              <w:highlight w:val="none"/>
            </w:rPr>
            <w:fldChar w:fldCharType="separate"/>
          </w:r>
          <w:r>
            <w:rPr>
              <w:sz w:val="21"/>
              <w:szCs w:val="21"/>
              <w:highlight w:val="none"/>
            </w:rPr>
            <w:t>225</w:t>
          </w:r>
          <w:r>
            <w:rPr>
              <w:sz w:val="21"/>
              <w:szCs w:val="21"/>
              <w:highlight w:val="none"/>
            </w:rPr>
            <w:fldChar w:fldCharType="end"/>
          </w:r>
          <w:r>
            <w:rPr>
              <w:sz w:val="21"/>
              <w:szCs w:val="21"/>
              <w:highlight w:val="none"/>
            </w:rPr>
            <w:fldChar w:fldCharType="end"/>
          </w:r>
        </w:p>
        <w:p w14:paraId="34B7F501">
          <w:pPr>
            <w:pStyle w:val="14"/>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_Toc20998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7</w:t>
          </w:r>
          <w:r>
            <w:rPr>
              <w:rFonts w:hint="eastAsia"/>
              <w:sz w:val="21"/>
              <w:szCs w:val="21"/>
              <w:highlight w:val="none"/>
              <w:lang w:val="en-US" w:eastAsia="zh-CN"/>
            </w:rPr>
            <w:t>环境影响经济损益分析</w:t>
          </w:r>
          <w:r>
            <w:rPr>
              <w:sz w:val="21"/>
              <w:szCs w:val="21"/>
              <w:highlight w:val="none"/>
            </w:rPr>
            <w:tab/>
          </w:r>
          <w:r>
            <w:rPr>
              <w:sz w:val="21"/>
              <w:szCs w:val="21"/>
              <w:highlight w:val="none"/>
            </w:rPr>
            <w:fldChar w:fldCharType="begin"/>
          </w:r>
          <w:r>
            <w:rPr>
              <w:sz w:val="21"/>
              <w:szCs w:val="21"/>
              <w:highlight w:val="none"/>
            </w:rPr>
            <w:instrText xml:space="preserve"> PAGEREF _Toc20998 \h </w:instrText>
          </w:r>
          <w:r>
            <w:rPr>
              <w:sz w:val="21"/>
              <w:szCs w:val="21"/>
              <w:highlight w:val="none"/>
            </w:rPr>
            <w:fldChar w:fldCharType="separate"/>
          </w:r>
          <w:r>
            <w:rPr>
              <w:sz w:val="21"/>
              <w:szCs w:val="21"/>
              <w:highlight w:val="none"/>
            </w:rPr>
            <w:t>225</w:t>
          </w:r>
          <w:r>
            <w:rPr>
              <w:sz w:val="21"/>
              <w:szCs w:val="21"/>
              <w:highlight w:val="none"/>
            </w:rPr>
            <w:fldChar w:fldCharType="end"/>
          </w:r>
          <w:r>
            <w:rPr>
              <w:sz w:val="21"/>
              <w:szCs w:val="21"/>
              <w:highlight w:val="none"/>
            </w:rPr>
            <w:fldChar w:fldCharType="end"/>
          </w:r>
        </w:p>
        <w:p w14:paraId="73791840">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_Toc23657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7.1</w:t>
          </w:r>
          <w:r>
            <w:rPr>
              <w:rFonts w:hint="eastAsia"/>
              <w:sz w:val="21"/>
              <w:szCs w:val="21"/>
              <w:highlight w:val="none"/>
              <w:lang w:val="en-US" w:eastAsia="zh-CN"/>
            </w:rPr>
            <w:t>经济效益分析</w:t>
          </w:r>
          <w:r>
            <w:rPr>
              <w:sz w:val="21"/>
              <w:szCs w:val="21"/>
              <w:highlight w:val="none"/>
            </w:rPr>
            <w:tab/>
          </w:r>
          <w:r>
            <w:rPr>
              <w:sz w:val="21"/>
              <w:szCs w:val="21"/>
              <w:highlight w:val="none"/>
            </w:rPr>
            <w:fldChar w:fldCharType="begin"/>
          </w:r>
          <w:r>
            <w:rPr>
              <w:sz w:val="21"/>
              <w:szCs w:val="21"/>
              <w:highlight w:val="none"/>
            </w:rPr>
            <w:instrText xml:space="preserve"> PAGEREF _Toc23657 \h </w:instrText>
          </w:r>
          <w:r>
            <w:rPr>
              <w:sz w:val="21"/>
              <w:szCs w:val="21"/>
              <w:highlight w:val="none"/>
            </w:rPr>
            <w:fldChar w:fldCharType="separate"/>
          </w:r>
          <w:r>
            <w:rPr>
              <w:sz w:val="21"/>
              <w:szCs w:val="21"/>
              <w:highlight w:val="none"/>
            </w:rPr>
            <w:t>226</w:t>
          </w:r>
          <w:r>
            <w:rPr>
              <w:sz w:val="21"/>
              <w:szCs w:val="21"/>
              <w:highlight w:val="none"/>
            </w:rPr>
            <w:fldChar w:fldCharType="end"/>
          </w:r>
          <w:r>
            <w:rPr>
              <w:sz w:val="21"/>
              <w:szCs w:val="21"/>
              <w:highlight w:val="none"/>
            </w:rPr>
            <w:fldChar w:fldCharType="end"/>
          </w:r>
        </w:p>
        <w:p w14:paraId="654756C5">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_Toc12550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7.1.1</w:t>
          </w:r>
          <w:r>
            <w:rPr>
              <w:rFonts w:hint="eastAsia"/>
              <w:sz w:val="21"/>
              <w:szCs w:val="21"/>
              <w:highlight w:val="none"/>
              <w:lang w:val="en-US" w:eastAsia="zh-CN"/>
            </w:rPr>
            <w:t>直接经济效益分析</w:t>
          </w:r>
          <w:r>
            <w:rPr>
              <w:sz w:val="21"/>
              <w:szCs w:val="21"/>
              <w:highlight w:val="none"/>
            </w:rPr>
            <w:tab/>
          </w:r>
          <w:r>
            <w:rPr>
              <w:sz w:val="21"/>
              <w:szCs w:val="21"/>
              <w:highlight w:val="none"/>
            </w:rPr>
            <w:fldChar w:fldCharType="begin"/>
          </w:r>
          <w:r>
            <w:rPr>
              <w:sz w:val="21"/>
              <w:szCs w:val="21"/>
              <w:highlight w:val="none"/>
            </w:rPr>
            <w:instrText xml:space="preserve"> PAGEREF _Toc12550 \h </w:instrText>
          </w:r>
          <w:r>
            <w:rPr>
              <w:sz w:val="21"/>
              <w:szCs w:val="21"/>
              <w:highlight w:val="none"/>
            </w:rPr>
            <w:fldChar w:fldCharType="separate"/>
          </w:r>
          <w:r>
            <w:rPr>
              <w:sz w:val="21"/>
              <w:szCs w:val="21"/>
              <w:highlight w:val="none"/>
            </w:rPr>
            <w:t>226</w:t>
          </w:r>
          <w:r>
            <w:rPr>
              <w:sz w:val="21"/>
              <w:szCs w:val="21"/>
              <w:highlight w:val="none"/>
            </w:rPr>
            <w:fldChar w:fldCharType="end"/>
          </w:r>
          <w:r>
            <w:rPr>
              <w:sz w:val="21"/>
              <w:szCs w:val="21"/>
              <w:highlight w:val="none"/>
            </w:rPr>
            <w:fldChar w:fldCharType="end"/>
          </w:r>
        </w:p>
        <w:p w14:paraId="40125EFF">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_Toc1871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7.1.2</w:t>
          </w:r>
          <w:r>
            <w:rPr>
              <w:rFonts w:hint="eastAsia"/>
              <w:sz w:val="21"/>
              <w:szCs w:val="21"/>
              <w:highlight w:val="none"/>
              <w:lang w:val="en-US" w:eastAsia="zh-CN"/>
            </w:rPr>
            <w:t>间接经济损益分析</w:t>
          </w:r>
          <w:r>
            <w:rPr>
              <w:sz w:val="21"/>
              <w:szCs w:val="21"/>
              <w:highlight w:val="none"/>
            </w:rPr>
            <w:tab/>
          </w:r>
          <w:r>
            <w:rPr>
              <w:sz w:val="21"/>
              <w:szCs w:val="21"/>
              <w:highlight w:val="none"/>
            </w:rPr>
            <w:fldChar w:fldCharType="begin"/>
          </w:r>
          <w:r>
            <w:rPr>
              <w:sz w:val="21"/>
              <w:szCs w:val="21"/>
              <w:highlight w:val="none"/>
            </w:rPr>
            <w:instrText xml:space="preserve"> PAGEREF _Toc1871 \h </w:instrText>
          </w:r>
          <w:r>
            <w:rPr>
              <w:sz w:val="21"/>
              <w:szCs w:val="21"/>
              <w:highlight w:val="none"/>
            </w:rPr>
            <w:fldChar w:fldCharType="separate"/>
          </w:r>
          <w:r>
            <w:rPr>
              <w:sz w:val="21"/>
              <w:szCs w:val="21"/>
              <w:highlight w:val="none"/>
            </w:rPr>
            <w:t>226</w:t>
          </w:r>
          <w:r>
            <w:rPr>
              <w:sz w:val="21"/>
              <w:szCs w:val="21"/>
              <w:highlight w:val="none"/>
            </w:rPr>
            <w:fldChar w:fldCharType="end"/>
          </w:r>
          <w:r>
            <w:rPr>
              <w:sz w:val="21"/>
              <w:szCs w:val="21"/>
              <w:highlight w:val="none"/>
            </w:rPr>
            <w:fldChar w:fldCharType="end"/>
          </w:r>
        </w:p>
        <w:p w14:paraId="61A01607">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_Toc14787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7.2</w:t>
          </w:r>
          <w:r>
            <w:rPr>
              <w:rFonts w:hint="eastAsia"/>
              <w:sz w:val="21"/>
              <w:szCs w:val="21"/>
              <w:highlight w:val="none"/>
              <w:lang w:val="en-US" w:eastAsia="zh-CN"/>
            </w:rPr>
            <w:t>社会效益分析</w:t>
          </w:r>
          <w:r>
            <w:rPr>
              <w:sz w:val="21"/>
              <w:szCs w:val="21"/>
              <w:highlight w:val="none"/>
            </w:rPr>
            <w:tab/>
          </w:r>
          <w:r>
            <w:rPr>
              <w:sz w:val="21"/>
              <w:szCs w:val="21"/>
              <w:highlight w:val="none"/>
            </w:rPr>
            <w:fldChar w:fldCharType="begin"/>
          </w:r>
          <w:r>
            <w:rPr>
              <w:sz w:val="21"/>
              <w:szCs w:val="21"/>
              <w:highlight w:val="none"/>
            </w:rPr>
            <w:instrText xml:space="preserve"> PAGEREF _Toc14787 \h </w:instrText>
          </w:r>
          <w:r>
            <w:rPr>
              <w:sz w:val="21"/>
              <w:szCs w:val="21"/>
              <w:highlight w:val="none"/>
            </w:rPr>
            <w:fldChar w:fldCharType="separate"/>
          </w:r>
          <w:r>
            <w:rPr>
              <w:sz w:val="21"/>
              <w:szCs w:val="21"/>
              <w:highlight w:val="none"/>
            </w:rPr>
            <w:t>226</w:t>
          </w:r>
          <w:r>
            <w:rPr>
              <w:sz w:val="21"/>
              <w:szCs w:val="21"/>
              <w:highlight w:val="none"/>
            </w:rPr>
            <w:fldChar w:fldCharType="end"/>
          </w:r>
          <w:r>
            <w:rPr>
              <w:sz w:val="21"/>
              <w:szCs w:val="21"/>
              <w:highlight w:val="none"/>
            </w:rPr>
            <w:fldChar w:fldCharType="end"/>
          </w:r>
        </w:p>
        <w:p w14:paraId="2C7448AF">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_Toc11629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7.3</w:t>
          </w:r>
          <w:r>
            <w:rPr>
              <w:rFonts w:hint="eastAsia"/>
              <w:sz w:val="21"/>
              <w:szCs w:val="21"/>
              <w:highlight w:val="none"/>
              <w:lang w:val="en-US" w:eastAsia="zh-CN"/>
            </w:rPr>
            <w:t>环境效益分析</w:t>
          </w:r>
          <w:r>
            <w:rPr>
              <w:sz w:val="21"/>
              <w:szCs w:val="21"/>
              <w:highlight w:val="none"/>
            </w:rPr>
            <w:tab/>
          </w:r>
          <w:r>
            <w:rPr>
              <w:sz w:val="21"/>
              <w:szCs w:val="21"/>
              <w:highlight w:val="none"/>
            </w:rPr>
            <w:fldChar w:fldCharType="begin"/>
          </w:r>
          <w:r>
            <w:rPr>
              <w:sz w:val="21"/>
              <w:szCs w:val="21"/>
              <w:highlight w:val="none"/>
            </w:rPr>
            <w:instrText xml:space="preserve"> PAGEREF _Toc11629 \h </w:instrText>
          </w:r>
          <w:r>
            <w:rPr>
              <w:sz w:val="21"/>
              <w:szCs w:val="21"/>
              <w:highlight w:val="none"/>
            </w:rPr>
            <w:fldChar w:fldCharType="separate"/>
          </w:r>
          <w:r>
            <w:rPr>
              <w:sz w:val="21"/>
              <w:szCs w:val="21"/>
              <w:highlight w:val="none"/>
            </w:rPr>
            <w:t>227</w:t>
          </w:r>
          <w:r>
            <w:rPr>
              <w:sz w:val="21"/>
              <w:szCs w:val="21"/>
              <w:highlight w:val="none"/>
            </w:rPr>
            <w:fldChar w:fldCharType="end"/>
          </w:r>
          <w:r>
            <w:rPr>
              <w:sz w:val="21"/>
              <w:szCs w:val="21"/>
              <w:highlight w:val="none"/>
            </w:rPr>
            <w:fldChar w:fldCharType="end"/>
          </w:r>
        </w:p>
        <w:p w14:paraId="2B49A68E">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_Toc28813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7.4</w:t>
          </w:r>
          <w:r>
            <w:rPr>
              <w:rFonts w:hint="eastAsia"/>
              <w:sz w:val="21"/>
              <w:szCs w:val="21"/>
              <w:highlight w:val="none"/>
              <w:lang w:val="en-US" w:eastAsia="zh-CN"/>
            </w:rPr>
            <w:t>小结</w:t>
          </w:r>
          <w:r>
            <w:rPr>
              <w:sz w:val="21"/>
              <w:szCs w:val="21"/>
              <w:highlight w:val="none"/>
            </w:rPr>
            <w:tab/>
          </w:r>
          <w:r>
            <w:rPr>
              <w:sz w:val="21"/>
              <w:szCs w:val="21"/>
              <w:highlight w:val="none"/>
            </w:rPr>
            <w:fldChar w:fldCharType="begin"/>
          </w:r>
          <w:r>
            <w:rPr>
              <w:sz w:val="21"/>
              <w:szCs w:val="21"/>
              <w:highlight w:val="none"/>
            </w:rPr>
            <w:instrText xml:space="preserve"> PAGEREF _Toc28813 \h </w:instrText>
          </w:r>
          <w:r>
            <w:rPr>
              <w:sz w:val="21"/>
              <w:szCs w:val="21"/>
              <w:highlight w:val="none"/>
            </w:rPr>
            <w:fldChar w:fldCharType="separate"/>
          </w:r>
          <w:r>
            <w:rPr>
              <w:sz w:val="21"/>
              <w:szCs w:val="21"/>
              <w:highlight w:val="none"/>
            </w:rPr>
            <w:t>228</w:t>
          </w:r>
          <w:r>
            <w:rPr>
              <w:sz w:val="21"/>
              <w:szCs w:val="21"/>
              <w:highlight w:val="none"/>
            </w:rPr>
            <w:fldChar w:fldCharType="end"/>
          </w:r>
          <w:r>
            <w:rPr>
              <w:sz w:val="21"/>
              <w:szCs w:val="21"/>
              <w:highlight w:val="none"/>
            </w:rPr>
            <w:fldChar w:fldCharType="end"/>
          </w:r>
        </w:p>
        <w:p w14:paraId="6501C7A5">
          <w:pPr>
            <w:pStyle w:val="14"/>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_Toc20291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8</w:t>
          </w:r>
          <w:r>
            <w:rPr>
              <w:rFonts w:hint="eastAsia"/>
              <w:sz w:val="21"/>
              <w:szCs w:val="21"/>
              <w:highlight w:val="none"/>
              <w:lang w:val="en-US" w:eastAsia="zh-CN"/>
            </w:rPr>
            <w:t>环境管理与监测计划</w:t>
          </w:r>
          <w:r>
            <w:rPr>
              <w:sz w:val="21"/>
              <w:szCs w:val="21"/>
              <w:highlight w:val="none"/>
            </w:rPr>
            <w:tab/>
          </w:r>
          <w:r>
            <w:rPr>
              <w:sz w:val="21"/>
              <w:szCs w:val="21"/>
              <w:highlight w:val="none"/>
            </w:rPr>
            <w:fldChar w:fldCharType="begin"/>
          </w:r>
          <w:r>
            <w:rPr>
              <w:sz w:val="21"/>
              <w:szCs w:val="21"/>
              <w:highlight w:val="none"/>
            </w:rPr>
            <w:instrText xml:space="preserve"> PAGEREF _Toc20291 \h </w:instrText>
          </w:r>
          <w:r>
            <w:rPr>
              <w:sz w:val="21"/>
              <w:szCs w:val="21"/>
              <w:highlight w:val="none"/>
            </w:rPr>
            <w:fldChar w:fldCharType="separate"/>
          </w:r>
          <w:r>
            <w:rPr>
              <w:sz w:val="21"/>
              <w:szCs w:val="21"/>
              <w:highlight w:val="none"/>
            </w:rPr>
            <w:t>229</w:t>
          </w:r>
          <w:r>
            <w:rPr>
              <w:sz w:val="21"/>
              <w:szCs w:val="21"/>
              <w:highlight w:val="none"/>
            </w:rPr>
            <w:fldChar w:fldCharType="end"/>
          </w:r>
          <w:r>
            <w:rPr>
              <w:sz w:val="21"/>
              <w:szCs w:val="21"/>
              <w:highlight w:val="none"/>
            </w:rPr>
            <w:fldChar w:fldCharType="end"/>
          </w:r>
        </w:p>
        <w:p w14:paraId="31A89E61">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_Toc29583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8.1</w:t>
          </w:r>
          <w:r>
            <w:rPr>
              <w:rFonts w:hint="eastAsia"/>
              <w:sz w:val="21"/>
              <w:szCs w:val="21"/>
              <w:highlight w:val="none"/>
              <w:lang w:val="en-US" w:eastAsia="zh-CN"/>
            </w:rPr>
            <w:t>环境管理计划</w:t>
          </w:r>
          <w:r>
            <w:rPr>
              <w:sz w:val="21"/>
              <w:szCs w:val="21"/>
              <w:highlight w:val="none"/>
            </w:rPr>
            <w:tab/>
          </w:r>
          <w:r>
            <w:rPr>
              <w:sz w:val="21"/>
              <w:szCs w:val="21"/>
              <w:highlight w:val="none"/>
            </w:rPr>
            <w:fldChar w:fldCharType="begin"/>
          </w:r>
          <w:r>
            <w:rPr>
              <w:sz w:val="21"/>
              <w:szCs w:val="21"/>
              <w:highlight w:val="none"/>
            </w:rPr>
            <w:instrText xml:space="preserve"> PAGEREF _Toc29583 \h </w:instrText>
          </w:r>
          <w:r>
            <w:rPr>
              <w:sz w:val="21"/>
              <w:szCs w:val="21"/>
              <w:highlight w:val="none"/>
            </w:rPr>
            <w:fldChar w:fldCharType="separate"/>
          </w:r>
          <w:r>
            <w:rPr>
              <w:sz w:val="21"/>
              <w:szCs w:val="21"/>
              <w:highlight w:val="none"/>
            </w:rPr>
            <w:t>229</w:t>
          </w:r>
          <w:r>
            <w:rPr>
              <w:sz w:val="21"/>
              <w:szCs w:val="21"/>
              <w:highlight w:val="none"/>
            </w:rPr>
            <w:fldChar w:fldCharType="end"/>
          </w:r>
          <w:r>
            <w:rPr>
              <w:sz w:val="21"/>
              <w:szCs w:val="21"/>
              <w:highlight w:val="none"/>
            </w:rPr>
            <w:fldChar w:fldCharType="end"/>
          </w:r>
        </w:p>
        <w:p w14:paraId="510151C2">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_Toc23379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8.1.1</w:t>
          </w:r>
          <w:r>
            <w:rPr>
              <w:rFonts w:hint="eastAsia"/>
              <w:sz w:val="21"/>
              <w:szCs w:val="21"/>
              <w:highlight w:val="none"/>
              <w:lang w:val="en-US" w:eastAsia="zh-CN"/>
            </w:rPr>
            <w:t>环境管理的意义</w:t>
          </w:r>
          <w:r>
            <w:rPr>
              <w:sz w:val="21"/>
              <w:szCs w:val="21"/>
              <w:highlight w:val="none"/>
            </w:rPr>
            <w:tab/>
          </w:r>
          <w:r>
            <w:rPr>
              <w:sz w:val="21"/>
              <w:szCs w:val="21"/>
              <w:highlight w:val="none"/>
            </w:rPr>
            <w:fldChar w:fldCharType="begin"/>
          </w:r>
          <w:r>
            <w:rPr>
              <w:sz w:val="21"/>
              <w:szCs w:val="21"/>
              <w:highlight w:val="none"/>
            </w:rPr>
            <w:instrText xml:space="preserve"> PAGEREF _Toc23379 \h </w:instrText>
          </w:r>
          <w:r>
            <w:rPr>
              <w:sz w:val="21"/>
              <w:szCs w:val="21"/>
              <w:highlight w:val="none"/>
            </w:rPr>
            <w:fldChar w:fldCharType="separate"/>
          </w:r>
          <w:r>
            <w:rPr>
              <w:sz w:val="21"/>
              <w:szCs w:val="21"/>
              <w:highlight w:val="none"/>
            </w:rPr>
            <w:t>229</w:t>
          </w:r>
          <w:r>
            <w:rPr>
              <w:sz w:val="21"/>
              <w:szCs w:val="21"/>
              <w:highlight w:val="none"/>
            </w:rPr>
            <w:fldChar w:fldCharType="end"/>
          </w:r>
          <w:r>
            <w:rPr>
              <w:sz w:val="21"/>
              <w:szCs w:val="21"/>
              <w:highlight w:val="none"/>
            </w:rPr>
            <w:fldChar w:fldCharType="end"/>
          </w:r>
        </w:p>
        <w:p w14:paraId="7271B9A2">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_Toc9274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8.1.2</w:t>
          </w:r>
          <w:r>
            <w:rPr>
              <w:rFonts w:ascii="Times New Roman" w:hAnsi="Times New Roman"/>
              <w:sz w:val="21"/>
              <w:szCs w:val="21"/>
              <w:highlight w:val="none"/>
            </w:rPr>
            <w:t>环境管理组织机构</w:t>
          </w:r>
          <w:r>
            <w:rPr>
              <w:sz w:val="21"/>
              <w:szCs w:val="21"/>
              <w:highlight w:val="none"/>
            </w:rPr>
            <w:tab/>
          </w:r>
          <w:r>
            <w:rPr>
              <w:sz w:val="21"/>
              <w:szCs w:val="21"/>
              <w:highlight w:val="none"/>
            </w:rPr>
            <w:fldChar w:fldCharType="begin"/>
          </w:r>
          <w:r>
            <w:rPr>
              <w:sz w:val="21"/>
              <w:szCs w:val="21"/>
              <w:highlight w:val="none"/>
            </w:rPr>
            <w:instrText xml:space="preserve"> PAGEREF _Toc9274 \h </w:instrText>
          </w:r>
          <w:r>
            <w:rPr>
              <w:sz w:val="21"/>
              <w:szCs w:val="21"/>
              <w:highlight w:val="none"/>
            </w:rPr>
            <w:fldChar w:fldCharType="separate"/>
          </w:r>
          <w:r>
            <w:rPr>
              <w:sz w:val="21"/>
              <w:szCs w:val="21"/>
              <w:highlight w:val="none"/>
            </w:rPr>
            <w:t>230</w:t>
          </w:r>
          <w:r>
            <w:rPr>
              <w:sz w:val="21"/>
              <w:szCs w:val="21"/>
              <w:highlight w:val="none"/>
            </w:rPr>
            <w:fldChar w:fldCharType="end"/>
          </w:r>
          <w:r>
            <w:rPr>
              <w:sz w:val="21"/>
              <w:szCs w:val="21"/>
              <w:highlight w:val="none"/>
            </w:rPr>
            <w:fldChar w:fldCharType="end"/>
          </w:r>
        </w:p>
        <w:p w14:paraId="4881F4CC">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_Toc3677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8.1.3</w:t>
          </w:r>
          <w:r>
            <w:rPr>
              <w:rFonts w:hint="eastAsia"/>
              <w:sz w:val="21"/>
              <w:szCs w:val="21"/>
              <w:highlight w:val="none"/>
              <w:lang w:val="en-US" w:eastAsia="zh-CN"/>
            </w:rPr>
            <w:t>环境管理职责</w:t>
          </w:r>
          <w:r>
            <w:rPr>
              <w:sz w:val="21"/>
              <w:szCs w:val="21"/>
              <w:highlight w:val="none"/>
            </w:rPr>
            <w:tab/>
          </w:r>
          <w:r>
            <w:rPr>
              <w:sz w:val="21"/>
              <w:szCs w:val="21"/>
              <w:highlight w:val="none"/>
            </w:rPr>
            <w:fldChar w:fldCharType="begin"/>
          </w:r>
          <w:r>
            <w:rPr>
              <w:sz w:val="21"/>
              <w:szCs w:val="21"/>
              <w:highlight w:val="none"/>
            </w:rPr>
            <w:instrText xml:space="preserve"> PAGEREF _Toc3677 \h </w:instrText>
          </w:r>
          <w:r>
            <w:rPr>
              <w:sz w:val="21"/>
              <w:szCs w:val="21"/>
              <w:highlight w:val="none"/>
            </w:rPr>
            <w:fldChar w:fldCharType="separate"/>
          </w:r>
          <w:r>
            <w:rPr>
              <w:sz w:val="21"/>
              <w:szCs w:val="21"/>
              <w:highlight w:val="none"/>
            </w:rPr>
            <w:t>230</w:t>
          </w:r>
          <w:r>
            <w:rPr>
              <w:sz w:val="21"/>
              <w:szCs w:val="21"/>
              <w:highlight w:val="none"/>
            </w:rPr>
            <w:fldChar w:fldCharType="end"/>
          </w:r>
          <w:r>
            <w:rPr>
              <w:sz w:val="21"/>
              <w:szCs w:val="21"/>
              <w:highlight w:val="none"/>
            </w:rPr>
            <w:fldChar w:fldCharType="end"/>
          </w:r>
        </w:p>
        <w:p w14:paraId="7FB75C04">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_Toc28956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8.1.4</w:t>
          </w:r>
          <w:r>
            <w:rPr>
              <w:rFonts w:hint="eastAsia"/>
              <w:sz w:val="21"/>
              <w:szCs w:val="21"/>
              <w:highlight w:val="none"/>
              <w:lang w:val="en-US" w:eastAsia="zh-CN"/>
            </w:rPr>
            <w:t>环境管理内容</w:t>
          </w:r>
          <w:r>
            <w:rPr>
              <w:sz w:val="21"/>
              <w:szCs w:val="21"/>
              <w:highlight w:val="none"/>
            </w:rPr>
            <w:tab/>
          </w:r>
          <w:r>
            <w:rPr>
              <w:sz w:val="21"/>
              <w:szCs w:val="21"/>
              <w:highlight w:val="none"/>
            </w:rPr>
            <w:fldChar w:fldCharType="begin"/>
          </w:r>
          <w:r>
            <w:rPr>
              <w:sz w:val="21"/>
              <w:szCs w:val="21"/>
              <w:highlight w:val="none"/>
            </w:rPr>
            <w:instrText xml:space="preserve"> PAGEREF _Toc28956 \h </w:instrText>
          </w:r>
          <w:r>
            <w:rPr>
              <w:sz w:val="21"/>
              <w:szCs w:val="21"/>
              <w:highlight w:val="none"/>
            </w:rPr>
            <w:fldChar w:fldCharType="separate"/>
          </w:r>
          <w:r>
            <w:rPr>
              <w:sz w:val="21"/>
              <w:szCs w:val="21"/>
              <w:highlight w:val="none"/>
            </w:rPr>
            <w:t>231</w:t>
          </w:r>
          <w:r>
            <w:rPr>
              <w:sz w:val="21"/>
              <w:szCs w:val="21"/>
              <w:highlight w:val="none"/>
            </w:rPr>
            <w:fldChar w:fldCharType="end"/>
          </w:r>
          <w:r>
            <w:rPr>
              <w:sz w:val="21"/>
              <w:szCs w:val="21"/>
              <w:highlight w:val="none"/>
            </w:rPr>
            <w:fldChar w:fldCharType="end"/>
          </w:r>
        </w:p>
        <w:p w14:paraId="298366B6">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_Toc22104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8.1.5</w:t>
          </w:r>
          <w:r>
            <w:rPr>
              <w:rFonts w:hint="eastAsia"/>
              <w:sz w:val="21"/>
              <w:szCs w:val="21"/>
              <w:highlight w:val="none"/>
              <w:lang w:val="en-US" w:eastAsia="zh-CN"/>
            </w:rPr>
            <w:t>污染物排放清单</w:t>
          </w:r>
          <w:r>
            <w:rPr>
              <w:sz w:val="21"/>
              <w:szCs w:val="21"/>
              <w:highlight w:val="none"/>
            </w:rPr>
            <w:tab/>
          </w:r>
          <w:r>
            <w:rPr>
              <w:sz w:val="21"/>
              <w:szCs w:val="21"/>
              <w:highlight w:val="none"/>
            </w:rPr>
            <w:fldChar w:fldCharType="begin"/>
          </w:r>
          <w:r>
            <w:rPr>
              <w:sz w:val="21"/>
              <w:szCs w:val="21"/>
              <w:highlight w:val="none"/>
            </w:rPr>
            <w:instrText xml:space="preserve"> PAGEREF _Toc22104 \h </w:instrText>
          </w:r>
          <w:r>
            <w:rPr>
              <w:sz w:val="21"/>
              <w:szCs w:val="21"/>
              <w:highlight w:val="none"/>
            </w:rPr>
            <w:fldChar w:fldCharType="separate"/>
          </w:r>
          <w:r>
            <w:rPr>
              <w:sz w:val="21"/>
              <w:szCs w:val="21"/>
              <w:highlight w:val="none"/>
            </w:rPr>
            <w:t>231</w:t>
          </w:r>
          <w:r>
            <w:rPr>
              <w:sz w:val="21"/>
              <w:szCs w:val="21"/>
              <w:highlight w:val="none"/>
            </w:rPr>
            <w:fldChar w:fldCharType="end"/>
          </w:r>
          <w:r>
            <w:rPr>
              <w:sz w:val="21"/>
              <w:szCs w:val="21"/>
              <w:highlight w:val="none"/>
            </w:rPr>
            <w:fldChar w:fldCharType="end"/>
          </w:r>
        </w:p>
        <w:p w14:paraId="1A1C3334">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_Toc27495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8.2</w:t>
          </w:r>
          <w:r>
            <w:rPr>
              <w:rFonts w:hint="eastAsia"/>
              <w:sz w:val="21"/>
              <w:szCs w:val="21"/>
              <w:highlight w:val="none"/>
              <w:lang w:val="en-US" w:eastAsia="zh-CN"/>
            </w:rPr>
            <w:t>污染物排放情况</w:t>
          </w:r>
          <w:r>
            <w:rPr>
              <w:sz w:val="21"/>
              <w:szCs w:val="21"/>
              <w:highlight w:val="none"/>
            </w:rPr>
            <w:tab/>
          </w:r>
          <w:r>
            <w:rPr>
              <w:sz w:val="21"/>
              <w:szCs w:val="21"/>
              <w:highlight w:val="none"/>
            </w:rPr>
            <w:fldChar w:fldCharType="begin"/>
          </w:r>
          <w:r>
            <w:rPr>
              <w:sz w:val="21"/>
              <w:szCs w:val="21"/>
              <w:highlight w:val="none"/>
            </w:rPr>
            <w:instrText xml:space="preserve"> PAGEREF _Toc27495 \h </w:instrText>
          </w:r>
          <w:r>
            <w:rPr>
              <w:sz w:val="21"/>
              <w:szCs w:val="21"/>
              <w:highlight w:val="none"/>
            </w:rPr>
            <w:fldChar w:fldCharType="separate"/>
          </w:r>
          <w:r>
            <w:rPr>
              <w:sz w:val="21"/>
              <w:szCs w:val="21"/>
              <w:highlight w:val="none"/>
            </w:rPr>
            <w:t>234</w:t>
          </w:r>
          <w:r>
            <w:rPr>
              <w:sz w:val="21"/>
              <w:szCs w:val="21"/>
              <w:highlight w:val="none"/>
            </w:rPr>
            <w:fldChar w:fldCharType="end"/>
          </w:r>
          <w:r>
            <w:rPr>
              <w:sz w:val="21"/>
              <w:szCs w:val="21"/>
              <w:highlight w:val="none"/>
            </w:rPr>
            <w:fldChar w:fldCharType="end"/>
          </w:r>
        </w:p>
        <w:p w14:paraId="207171B1">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_Toc22113 </w:instrText>
          </w:r>
          <w:r>
            <w:rPr>
              <w:sz w:val="21"/>
              <w:szCs w:val="21"/>
              <w:highlight w:val="none"/>
            </w:rPr>
            <w:fldChar w:fldCharType="separate"/>
          </w:r>
          <w:r>
            <w:rPr>
              <w:rFonts w:hint="default" w:ascii="Times New Roman" w:hAnsi="Times New Roman" w:cs="Times New Roman"/>
              <w:sz w:val="21"/>
              <w:szCs w:val="21"/>
              <w:highlight w:val="none"/>
              <w:lang w:val="en-US" w:eastAsia="zh-CN"/>
            </w:rPr>
            <w:t>8.2.1</w:t>
          </w:r>
          <w:r>
            <w:rPr>
              <w:rFonts w:hint="eastAsia"/>
              <w:sz w:val="21"/>
              <w:szCs w:val="21"/>
              <w:highlight w:val="none"/>
              <w:lang w:val="en-US" w:eastAsia="zh-CN"/>
            </w:rPr>
            <w:t>污染源排放管理要求</w:t>
          </w:r>
          <w:r>
            <w:rPr>
              <w:sz w:val="21"/>
              <w:szCs w:val="21"/>
              <w:highlight w:val="none"/>
            </w:rPr>
            <w:tab/>
          </w:r>
          <w:r>
            <w:rPr>
              <w:sz w:val="21"/>
              <w:szCs w:val="21"/>
              <w:highlight w:val="none"/>
            </w:rPr>
            <w:fldChar w:fldCharType="begin"/>
          </w:r>
          <w:r>
            <w:rPr>
              <w:sz w:val="21"/>
              <w:szCs w:val="21"/>
              <w:highlight w:val="none"/>
            </w:rPr>
            <w:instrText xml:space="preserve"> PAGEREF _Toc22113 \h </w:instrText>
          </w:r>
          <w:r>
            <w:rPr>
              <w:sz w:val="21"/>
              <w:szCs w:val="21"/>
              <w:highlight w:val="none"/>
            </w:rPr>
            <w:fldChar w:fldCharType="separate"/>
          </w:r>
          <w:r>
            <w:rPr>
              <w:sz w:val="21"/>
              <w:szCs w:val="21"/>
              <w:highlight w:val="none"/>
            </w:rPr>
            <w:t>234</w:t>
          </w:r>
          <w:r>
            <w:rPr>
              <w:sz w:val="21"/>
              <w:szCs w:val="21"/>
              <w:highlight w:val="none"/>
            </w:rPr>
            <w:fldChar w:fldCharType="end"/>
          </w:r>
          <w:r>
            <w:rPr>
              <w:sz w:val="21"/>
              <w:szCs w:val="21"/>
              <w:highlight w:val="none"/>
            </w:rPr>
            <w:fldChar w:fldCharType="end"/>
          </w:r>
        </w:p>
        <w:p w14:paraId="042FB042">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_Toc28081 </w:instrText>
          </w:r>
          <w:r>
            <w:rPr>
              <w:sz w:val="21"/>
              <w:szCs w:val="21"/>
              <w:highlight w:val="none"/>
            </w:rPr>
            <w:fldChar w:fldCharType="separate"/>
          </w:r>
          <w:r>
            <w:rPr>
              <w:rFonts w:hint="default" w:ascii="Times New Roman" w:hAnsi="Times New Roman" w:cs="Times New Roman"/>
              <w:sz w:val="21"/>
              <w:szCs w:val="21"/>
              <w:highlight w:val="none"/>
              <w:lang w:val="en-US" w:eastAsia="zh-CN"/>
            </w:rPr>
            <w:t>8.2.2</w:t>
          </w:r>
          <w:r>
            <w:rPr>
              <w:rFonts w:hint="eastAsia"/>
              <w:sz w:val="21"/>
              <w:szCs w:val="21"/>
              <w:highlight w:val="none"/>
              <w:lang w:val="en-US" w:eastAsia="zh-CN"/>
            </w:rPr>
            <w:t>污染物排放总量控制分析</w:t>
          </w:r>
          <w:r>
            <w:rPr>
              <w:sz w:val="21"/>
              <w:szCs w:val="21"/>
              <w:highlight w:val="none"/>
            </w:rPr>
            <w:tab/>
          </w:r>
          <w:r>
            <w:rPr>
              <w:sz w:val="21"/>
              <w:szCs w:val="21"/>
              <w:highlight w:val="none"/>
            </w:rPr>
            <w:fldChar w:fldCharType="begin"/>
          </w:r>
          <w:r>
            <w:rPr>
              <w:sz w:val="21"/>
              <w:szCs w:val="21"/>
              <w:highlight w:val="none"/>
            </w:rPr>
            <w:instrText xml:space="preserve"> PAGEREF _Toc28081 \h </w:instrText>
          </w:r>
          <w:r>
            <w:rPr>
              <w:sz w:val="21"/>
              <w:szCs w:val="21"/>
              <w:highlight w:val="none"/>
            </w:rPr>
            <w:fldChar w:fldCharType="separate"/>
          </w:r>
          <w:r>
            <w:rPr>
              <w:sz w:val="21"/>
              <w:szCs w:val="21"/>
              <w:highlight w:val="none"/>
            </w:rPr>
            <w:t>234</w:t>
          </w:r>
          <w:r>
            <w:rPr>
              <w:sz w:val="21"/>
              <w:szCs w:val="21"/>
              <w:highlight w:val="none"/>
            </w:rPr>
            <w:fldChar w:fldCharType="end"/>
          </w:r>
          <w:r>
            <w:rPr>
              <w:sz w:val="21"/>
              <w:szCs w:val="21"/>
              <w:highlight w:val="none"/>
            </w:rPr>
            <w:fldChar w:fldCharType="end"/>
          </w:r>
        </w:p>
        <w:p w14:paraId="520979CC">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_Toc23287 </w:instrText>
          </w:r>
          <w:r>
            <w:rPr>
              <w:sz w:val="21"/>
              <w:szCs w:val="21"/>
              <w:highlight w:val="none"/>
            </w:rPr>
            <w:fldChar w:fldCharType="separate"/>
          </w:r>
          <w:r>
            <w:rPr>
              <w:rFonts w:hint="default" w:ascii="Times New Roman" w:hAnsi="Times New Roman" w:cs="Times New Roman"/>
              <w:sz w:val="21"/>
              <w:szCs w:val="21"/>
              <w:highlight w:val="none"/>
              <w:lang w:val="en-US" w:eastAsia="zh-CN"/>
            </w:rPr>
            <w:t>8.2.3</w:t>
          </w:r>
          <w:r>
            <w:rPr>
              <w:rFonts w:hint="eastAsia"/>
              <w:sz w:val="21"/>
              <w:szCs w:val="21"/>
              <w:highlight w:val="none"/>
              <w:lang w:val="en-US" w:eastAsia="zh-CN"/>
            </w:rPr>
            <w:t>项目污染物排放“三本账”分析</w:t>
          </w:r>
          <w:r>
            <w:rPr>
              <w:sz w:val="21"/>
              <w:szCs w:val="21"/>
              <w:highlight w:val="none"/>
            </w:rPr>
            <w:tab/>
          </w:r>
          <w:r>
            <w:rPr>
              <w:sz w:val="21"/>
              <w:szCs w:val="21"/>
              <w:highlight w:val="none"/>
            </w:rPr>
            <w:fldChar w:fldCharType="begin"/>
          </w:r>
          <w:r>
            <w:rPr>
              <w:sz w:val="21"/>
              <w:szCs w:val="21"/>
              <w:highlight w:val="none"/>
            </w:rPr>
            <w:instrText xml:space="preserve"> PAGEREF _Toc23287 \h </w:instrText>
          </w:r>
          <w:r>
            <w:rPr>
              <w:sz w:val="21"/>
              <w:szCs w:val="21"/>
              <w:highlight w:val="none"/>
            </w:rPr>
            <w:fldChar w:fldCharType="separate"/>
          </w:r>
          <w:r>
            <w:rPr>
              <w:sz w:val="21"/>
              <w:szCs w:val="21"/>
              <w:highlight w:val="none"/>
            </w:rPr>
            <w:t>235</w:t>
          </w:r>
          <w:r>
            <w:rPr>
              <w:sz w:val="21"/>
              <w:szCs w:val="21"/>
              <w:highlight w:val="none"/>
            </w:rPr>
            <w:fldChar w:fldCharType="end"/>
          </w:r>
          <w:r>
            <w:rPr>
              <w:sz w:val="21"/>
              <w:szCs w:val="21"/>
              <w:highlight w:val="none"/>
            </w:rPr>
            <w:fldChar w:fldCharType="end"/>
          </w:r>
        </w:p>
        <w:p w14:paraId="198024D8">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_Toc1462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8.3</w:t>
          </w:r>
          <w:r>
            <w:rPr>
              <w:rFonts w:hint="eastAsia"/>
              <w:sz w:val="21"/>
              <w:szCs w:val="21"/>
              <w:highlight w:val="none"/>
              <w:lang w:val="en-US" w:eastAsia="zh-CN"/>
            </w:rPr>
            <w:t>环境监测计划</w:t>
          </w:r>
          <w:r>
            <w:rPr>
              <w:sz w:val="21"/>
              <w:szCs w:val="21"/>
              <w:highlight w:val="none"/>
            </w:rPr>
            <w:tab/>
          </w:r>
          <w:r>
            <w:rPr>
              <w:sz w:val="21"/>
              <w:szCs w:val="21"/>
              <w:highlight w:val="none"/>
            </w:rPr>
            <w:fldChar w:fldCharType="begin"/>
          </w:r>
          <w:r>
            <w:rPr>
              <w:sz w:val="21"/>
              <w:szCs w:val="21"/>
              <w:highlight w:val="none"/>
            </w:rPr>
            <w:instrText xml:space="preserve"> PAGEREF _Toc1462 \h </w:instrText>
          </w:r>
          <w:r>
            <w:rPr>
              <w:sz w:val="21"/>
              <w:szCs w:val="21"/>
              <w:highlight w:val="none"/>
            </w:rPr>
            <w:fldChar w:fldCharType="separate"/>
          </w:r>
          <w:r>
            <w:rPr>
              <w:sz w:val="21"/>
              <w:szCs w:val="21"/>
              <w:highlight w:val="none"/>
            </w:rPr>
            <w:t>235</w:t>
          </w:r>
          <w:r>
            <w:rPr>
              <w:sz w:val="21"/>
              <w:szCs w:val="21"/>
              <w:highlight w:val="none"/>
            </w:rPr>
            <w:fldChar w:fldCharType="end"/>
          </w:r>
          <w:r>
            <w:rPr>
              <w:sz w:val="21"/>
              <w:szCs w:val="21"/>
              <w:highlight w:val="none"/>
            </w:rPr>
            <w:fldChar w:fldCharType="end"/>
          </w:r>
        </w:p>
        <w:p w14:paraId="76A3A04B">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_Toc18745 </w:instrText>
          </w:r>
          <w:r>
            <w:rPr>
              <w:sz w:val="21"/>
              <w:szCs w:val="21"/>
              <w:highlight w:val="none"/>
            </w:rPr>
            <w:fldChar w:fldCharType="separate"/>
          </w:r>
          <w:r>
            <w:rPr>
              <w:rFonts w:hint="default" w:ascii="Times New Roman" w:hAnsi="Times New Roman" w:cs="Times New Roman"/>
              <w:sz w:val="21"/>
              <w:szCs w:val="21"/>
              <w:highlight w:val="none"/>
              <w:lang w:val="en-US" w:eastAsia="zh-CN"/>
            </w:rPr>
            <w:t>8.3.1</w:t>
          </w:r>
          <w:r>
            <w:rPr>
              <w:rFonts w:hint="eastAsia"/>
              <w:sz w:val="21"/>
              <w:szCs w:val="21"/>
              <w:highlight w:val="none"/>
              <w:lang w:val="en-US" w:eastAsia="zh-CN"/>
            </w:rPr>
            <w:t>环境监测意义</w:t>
          </w:r>
          <w:r>
            <w:rPr>
              <w:sz w:val="21"/>
              <w:szCs w:val="21"/>
              <w:highlight w:val="none"/>
            </w:rPr>
            <w:tab/>
          </w:r>
          <w:r>
            <w:rPr>
              <w:sz w:val="21"/>
              <w:szCs w:val="21"/>
              <w:highlight w:val="none"/>
            </w:rPr>
            <w:fldChar w:fldCharType="begin"/>
          </w:r>
          <w:r>
            <w:rPr>
              <w:sz w:val="21"/>
              <w:szCs w:val="21"/>
              <w:highlight w:val="none"/>
            </w:rPr>
            <w:instrText xml:space="preserve"> PAGEREF _Toc18745 \h </w:instrText>
          </w:r>
          <w:r>
            <w:rPr>
              <w:sz w:val="21"/>
              <w:szCs w:val="21"/>
              <w:highlight w:val="none"/>
            </w:rPr>
            <w:fldChar w:fldCharType="separate"/>
          </w:r>
          <w:r>
            <w:rPr>
              <w:sz w:val="21"/>
              <w:szCs w:val="21"/>
              <w:highlight w:val="none"/>
            </w:rPr>
            <w:t>235</w:t>
          </w:r>
          <w:r>
            <w:rPr>
              <w:sz w:val="21"/>
              <w:szCs w:val="21"/>
              <w:highlight w:val="none"/>
            </w:rPr>
            <w:fldChar w:fldCharType="end"/>
          </w:r>
          <w:r>
            <w:rPr>
              <w:sz w:val="21"/>
              <w:szCs w:val="21"/>
              <w:highlight w:val="none"/>
            </w:rPr>
            <w:fldChar w:fldCharType="end"/>
          </w:r>
        </w:p>
        <w:p w14:paraId="21943496">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_Toc8479 </w:instrText>
          </w:r>
          <w:r>
            <w:rPr>
              <w:sz w:val="21"/>
              <w:szCs w:val="21"/>
              <w:highlight w:val="none"/>
            </w:rPr>
            <w:fldChar w:fldCharType="separate"/>
          </w:r>
          <w:r>
            <w:rPr>
              <w:rFonts w:hint="default" w:ascii="Times New Roman" w:hAnsi="Times New Roman" w:cs="Times New Roman"/>
              <w:sz w:val="21"/>
              <w:szCs w:val="21"/>
              <w:highlight w:val="none"/>
              <w:lang w:val="en-US" w:eastAsia="zh-CN"/>
            </w:rPr>
            <w:t>8.3.2</w:t>
          </w:r>
          <w:r>
            <w:rPr>
              <w:rFonts w:hint="eastAsia"/>
              <w:sz w:val="21"/>
              <w:szCs w:val="21"/>
              <w:highlight w:val="none"/>
              <w:lang w:val="en-US" w:eastAsia="zh-CN"/>
            </w:rPr>
            <w:t>环境监测工作</w:t>
          </w:r>
          <w:r>
            <w:rPr>
              <w:sz w:val="21"/>
              <w:szCs w:val="21"/>
              <w:highlight w:val="none"/>
            </w:rPr>
            <w:tab/>
          </w:r>
          <w:r>
            <w:rPr>
              <w:sz w:val="21"/>
              <w:szCs w:val="21"/>
              <w:highlight w:val="none"/>
            </w:rPr>
            <w:fldChar w:fldCharType="begin"/>
          </w:r>
          <w:r>
            <w:rPr>
              <w:sz w:val="21"/>
              <w:szCs w:val="21"/>
              <w:highlight w:val="none"/>
            </w:rPr>
            <w:instrText xml:space="preserve"> PAGEREF _Toc8479 \h </w:instrText>
          </w:r>
          <w:r>
            <w:rPr>
              <w:sz w:val="21"/>
              <w:szCs w:val="21"/>
              <w:highlight w:val="none"/>
            </w:rPr>
            <w:fldChar w:fldCharType="separate"/>
          </w:r>
          <w:r>
            <w:rPr>
              <w:sz w:val="21"/>
              <w:szCs w:val="21"/>
              <w:highlight w:val="none"/>
            </w:rPr>
            <w:t>235</w:t>
          </w:r>
          <w:r>
            <w:rPr>
              <w:sz w:val="21"/>
              <w:szCs w:val="21"/>
              <w:highlight w:val="none"/>
            </w:rPr>
            <w:fldChar w:fldCharType="end"/>
          </w:r>
          <w:r>
            <w:rPr>
              <w:sz w:val="21"/>
              <w:szCs w:val="21"/>
              <w:highlight w:val="none"/>
            </w:rPr>
            <w:fldChar w:fldCharType="end"/>
          </w:r>
        </w:p>
        <w:p w14:paraId="5602C579">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_Toc10506 </w:instrText>
          </w:r>
          <w:r>
            <w:rPr>
              <w:sz w:val="21"/>
              <w:szCs w:val="21"/>
              <w:highlight w:val="none"/>
            </w:rPr>
            <w:fldChar w:fldCharType="separate"/>
          </w:r>
          <w:r>
            <w:rPr>
              <w:rFonts w:hint="default" w:ascii="Times New Roman" w:hAnsi="Times New Roman" w:cs="Times New Roman"/>
              <w:sz w:val="21"/>
              <w:szCs w:val="21"/>
              <w:highlight w:val="none"/>
              <w:lang w:val="en-US" w:eastAsia="zh-CN"/>
            </w:rPr>
            <w:t>8.3.3</w:t>
          </w:r>
          <w:r>
            <w:rPr>
              <w:rFonts w:hint="eastAsia"/>
              <w:sz w:val="21"/>
              <w:szCs w:val="21"/>
              <w:highlight w:val="none"/>
              <w:lang w:val="en-US" w:eastAsia="zh-CN"/>
            </w:rPr>
            <w:t>环境监测职责</w:t>
          </w:r>
          <w:r>
            <w:rPr>
              <w:sz w:val="21"/>
              <w:szCs w:val="21"/>
              <w:highlight w:val="none"/>
            </w:rPr>
            <w:tab/>
          </w:r>
          <w:r>
            <w:rPr>
              <w:sz w:val="21"/>
              <w:szCs w:val="21"/>
              <w:highlight w:val="none"/>
            </w:rPr>
            <w:fldChar w:fldCharType="begin"/>
          </w:r>
          <w:r>
            <w:rPr>
              <w:sz w:val="21"/>
              <w:szCs w:val="21"/>
              <w:highlight w:val="none"/>
            </w:rPr>
            <w:instrText xml:space="preserve"> PAGEREF _Toc10506 \h </w:instrText>
          </w:r>
          <w:r>
            <w:rPr>
              <w:sz w:val="21"/>
              <w:szCs w:val="21"/>
              <w:highlight w:val="none"/>
            </w:rPr>
            <w:fldChar w:fldCharType="separate"/>
          </w:r>
          <w:r>
            <w:rPr>
              <w:sz w:val="21"/>
              <w:szCs w:val="21"/>
              <w:highlight w:val="none"/>
            </w:rPr>
            <w:t>236</w:t>
          </w:r>
          <w:r>
            <w:rPr>
              <w:sz w:val="21"/>
              <w:szCs w:val="21"/>
              <w:highlight w:val="none"/>
            </w:rPr>
            <w:fldChar w:fldCharType="end"/>
          </w:r>
          <w:r>
            <w:rPr>
              <w:sz w:val="21"/>
              <w:szCs w:val="21"/>
              <w:highlight w:val="none"/>
            </w:rPr>
            <w:fldChar w:fldCharType="end"/>
          </w:r>
        </w:p>
        <w:p w14:paraId="3F4A2AAB">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_Toc15780 </w:instrText>
          </w:r>
          <w:r>
            <w:rPr>
              <w:sz w:val="21"/>
              <w:szCs w:val="21"/>
              <w:highlight w:val="none"/>
            </w:rPr>
            <w:fldChar w:fldCharType="separate"/>
          </w:r>
          <w:r>
            <w:rPr>
              <w:rFonts w:hint="default" w:ascii="Times New Roman" w:hAnsi="Times New Roman" w:cs="Times New Roman"/>
              <w:sz w:val="21"/>
              <w:szCs w:val="21"/>
              <w:highlight w:val="none"/>
              <w:lang w:val="en-US" w:eastAsia="zh-CN"/>
            </w:rPr>
            <w:t>8.3.4</w:t>
          </w:r>
          <w:r>
            <w:rPr>
              <w:rFonts w:hint="eastAsia"/>
              <w:sz w:val="21"/>
              <w:szCs w:val="21"/>
              <w:highlight w:val="none"/>
              <w:lang w:val="en-US" w:eastAsia="zh-CN"/>
            </w:rPr>
            <w:t>环境监理内容</w:t>
          </w:r>
          <w:r>
            <w:rPr>
              <w:sz w:val="21"/>
              <w:szCs w:val="21"/>
              <w:highlight w:val="none"/>
            </w:rPr>
            <w:tab/>
          </w:r>
          <w:r>
            <w:rPr>
              <w:sz w:val="21"/>
              <w:szCs w:val="21"/>
              <w:highlight w:val="none"/>
            </w:rPr>
            <w:fldChar w:fldCharType="begin"/>
          </w:r>
          <w:r>
            <w:rPr>
              <w:sz w:val="21"/>
              <w:szCs w:val="21"/>
              <w:highlight w:val="none"/>
            </w:rPr>
            <w:instrText xml:space="preserve"> PAGEREF _Toc15780 \h </w:instrText>
          </w:r>
          <w:r>
            <w:rPr>
              <w:sz w:val="21"/>
              <w:szCs w:val="21"/>
              <w:highlight w:val="none"/>
            </w:rPr>
            <w:fldChar w:fldCharType="separate"/>
          </w:r>
          <w:r>
            <w:rPr>
              <w:sz w:val="21"/>
              <w:szCs w:val="21"/>
              <w:highlight w:val="none"/>
            </w:rPr>
            <w:t>236</w:t>
          </w:r>
          <w:r>
            <w:rPr>
              <w:sz w:val="21"/>
              <w:szCs w:val="21"/>
              <w:highlight w:val="none"/>
            </w:rPr>
            <w:fldChar w:fldCharType="end"/>
          </w:r>
          <w:r>
            <w:rPr>
              <w:sz w:val="21"/>
              <w:szCs w:val="21"/>
              <w:highlight w:val="none"/>
            </w:rPr>
            <w:fldChar w:fldCharType="end"/>
          </w:r>
        </w:p>
        <w:p w14:paraId="1284F955">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_Toc10554 </w:instrText>
          </w:r>
          <w:r>
            <w:rPr>
              <w:sz w:val="21"/>
              <w:szCs w:val="21"/>
              <w:highlight w:val="none"/>
            </w:rPr>
            <w:fldChar w:fldCharType="separate"/>
          </w:r>
          <w:r>
            <w:rPr>
              <w:rFonts w:hint="eastAsia" w:ascii="Times New Roman" w:hAnsi="Times New Roman" w:cs="Times New Roman"/>
              <w:sz w:val="21"/>
              <w:szCs w:val="21"/>
              <w:highlight w:val="none"/>
              <w:lang w:val="en-US" w:eastAsia="zh-CN"/>
            </w:rPr>
            <w:t>8.3.5</w:t>
          </w:r>
          <w:r>
            <w:rPr>
              <w:rFonts w:hint="eastAsia"/>
              <w:sz w:val="21"/>
              <w:szCs w:val="21"/>
              <w:highlight w:val="none"/>
              <w:lang w:val="en-US" w:eastAsia="zh-CN"/>
            </w:rPr>
            <w:t>信息公开</w:t>
          </w:r>
          <w:r>
            <w:rPr>
              <w:sz w:val="21"/>
              <w:szCs w:val="21"/>
              <w:highlight w:val="none"/>
            </w:rPr>
            <w:tab/>
          </w:r>
          <w:r>
            <w:rPr>
              <w:sz w:val="21"/>
              <w:szCs w:val="21"/>
              <w:highlight w:val="none"/>
            </w:rPr>
            <w:fldChar w:fldCharType="begin"/>
          </w:r>
          <w:r>
            <w:rPr>
              <w:sz w:val="21"/>
              <w:szCs w:val="21"/>
              <w:highlight w:val="none"/>
            </w:rPr>
            <w:instrText xml:space="preserve"> PAGEREF _Toc10554 \h </w:instrText>
          </w:r>
          <w:r>
            <w:rPr>
              <w:sz w:val="21"/>
              <w:szCs w:val="21"/>
              <w:highlight w:val="none"/>
            </w:rPr>
            <w:fldChar w:fldCharType="separate"/>
          </w:r>
          <w:r>
            <w:rPr>
              <w:sz w:val="21"/>
              <w:szCs w:val="21"/>
              <w:highlight w:val="none"/>
            </w:rPr>
            <w:t>237</w:t>
          </w:r>
          <w:r>
            <w:rPr>
              <w:sz w:val="21"/>
              <w:szCs w:val="21"/>
              <w:highlight w:val="none"/>
            </w:rPr>
            <w:fldChar w:fldCharType="end"/>
          </w:r>
          <w:r>
            <w:rPr>
              <w:sz w:val="21"/>
              <w:szCs w:val="21"/>
              <w:highlight w:val="none"/>
            </w:rPr>
            <w:fldChar w:fldCharType="end"/>
          </w:r>
        </w:p>
        <w:p w14:paraId="32AF1E87">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_Toc7927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8.4</w:t>
          </w:r>
          <w:r>
            <w:rPr>
              <w:rFonts w:hint="eastAsia"/>
              <w:sz w:val="21"/>
              <w:szCs w:val="21"/>
              <w:highlight w:val="none"/>
              <w:lang w:val="en-US" w:eastAsia="zh-CN"/>
            </w:rPr>
            <w:t>排污口规范化管理</w:t>
          </w:r>
          <w:r>
            <w:rPr>
              <w:sz w:val="21"/>
              <w:szCs w:val="21"/>
              <w:highlight w:val="none"/>
            </w:rPr>
            <w:tab/>
          </w:r>
          <w:r>
            <w:rPr>
              <w:sz w:val="21"/>
              <w:szCs w:val="21"/>
              <w:highlight w:val="none"/>
            </w:rPr>
            <w:fldChar w:fldCharType="begin"/>
          </w:r>
          <w:r>
            <w:rPr>
              <w:sz w:val="21"/>
              <w:szCs w:val="21"/>
              <w:highlight w:val="none"/>
            </w:rPr>
            <w:instrText xml:space="preserve"> PAGEREF _Toc7927 \h </w:instrText>
          </w:r>
          <w:r>
            <w:rPr>
              <w:sz w:val="21"/>
              <w:szCs w:val="21"/>
              <w:highlight w:val="none"/>
            </w:rPr>
            <w:fldChar w:fldCharType="separate"/>
          </w:r>
          <w:r>
            <w:rPr>
              <w:sz w:val="21"/>
              <w:szCs w:val="21"/>
              <w:highlight w:val="none"/>
            </w:rPr>
            <w:t>238</w:t>
          </w:r>
          <w:r>
            <w:rPr>
              <w:sz w:val="21"/>
              <w:szCs w:val="21"/>
              <w:highlight w:val="none"/>
            </w:rPr>
            <w:fldChar w:fldCharType="end"/>
          </w:r>
          <w:r>
            <w:rPr>
              <w:sz w:val="21"/>
              <w:szCs w:val="21"/>
              <w:highlight w:val="none"/>
            </w:rPr>
            <w:fldChar w:fldCharType="end"/>
          </w:r>
        </w:p>
        <w:p w14:paraId="5D0332CC">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_Toc13873 </w:instrText>
          </w:r>
          <w:r>
            <w:rPr>
              <w:sz w:val="21"/>
              <w:szCs w:val="21"/>
              <w:highlight w:val="none"/>
            </w:rPr>
            <w:fldChar w:fldCharType="separate"/>
          </w:r>
          <w:r>
            <w:rPr>
              <w:rFonts w:hint="default" w:ascii="Times New Roman" w:hAnsi="Times New Roman" w:cs="Times New Roman"/>
              <w:sz w:val="21"/>
              <w:szCs w:val="21"/>
              <w:highlight w:val="none"/>
              <w:lang w:val="en-US" w:eastAsia="zh-CN"/>
            </w:rPr>
            <w:t>8.4.1</w:t>
          </w:r>
          <w:r>
            <w:rPr>
              <w:rFonts w:hint="eastAsia"/>
              <w:sz w:val="21"/>
              <w:szCs w:val="21"/>
              <w:highlight w:val="none"/>
              <w:lang w:val="en-US" w:eastAsia="zh-CN"/>
            </w:rPr>
            <w:t>排污口规范化管理的基本原则</w:t>
          </w:r>
          <w:r>
            <w:rPr>
              <w:sz w:val="21"/>
              <w:szCs w:val="21"/>
              <w:highlight w:val="none"/>
            </w:rPr>
            <w:tab/>
          </w:r>
          <w:r>
            <w:rPr>
              <w:sz w:val="21"/>
              <w:szCs w:val="21"/>
              <w:highlight w:val="none"/>
            </w:rPr>
            <w:fldChar w:fldCharType="begin"/>
          </w:r>
          <w:r>
            <w:rPr>
              <w:sz w:val="21"/>
              <w:szCs w:val="21"/>
              <w:highlight w:val="none"/>
            </w:rPr>
            <w:instrText xml:space="preserve"> PAGEREF _Toc13873 \h </w:instrText>
          </w:r>
          <w:r>
            <w:rPr>
              <w:sz w:val="21"/>
              <w:szCs w:val="21"/>
              <w:highlight w:val="none"/>
            </w:rPr>
            <w:fldChar w:fldCharType="separate"/>
          </w:r>
          <w:r>
            <w:rPr>
              <w:sz w:val="21"/>
              <w:szCs w:val="21"/>
              <w:highlight w:val="none"/>
            </w:rPr>
            <w:t>238</w:t>
          </w:r>
          <w:r>
            <w:rPr>
              <w:sz w:val="21"/>
              <w:szCs w:val="21"/>
              <w:highlight w:val="none"/>
            </w:rPr>
            <w:fldChar w:fldCharType="end"/>
          </w:r>
          <w:r>
            <w:rPr>
              <w:sz w:val="21"/>
              <w:szCs w:val="21"/>
              <w:highlight w:val="none"/>
            </w:rPr>
            <w:fldChar w:fldCharType="end"/>
          </w:r>
        </w:p>
        <w:p w14:paraId="4EEBD5FA">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_Toc24929 </w:instrText>
          </w:r>
          <w:r>
            <w:rPr>
              <w:sz w:val="21"/>
              <w:szCs w:val="21"/>
              <w:highlight w:val="none"/>
            </w:rPr>
            <w:fldChar w:fldCharType="separate"/>
          </w:r>
          <w:r>
            <w:rPr>
              <w:rFonts w:hint="default" w:ascii="Times New Roman" w:hAnsi="Times New Roman" w:cs="Times New Roman"/>
              <w:sz w:val="21"/>
              <w:szCs w:val="21"/>
              <w:highlight w:val="none"/>
              <w:lang w:val="en-US" w:eastAsia="zh-CN"/>
            </w:rPr>
            <w:t>8.4.2</w:t>
          </w:r>
          <w:r>
            <w:rPr>
              <w:rFonts w:hint="eastAsia"/>
              <w:sz w:val="21"/>
              <w:szCs w:val="21"/>
              <w:highlight w:val="none"/>
              <w:lang w:val="en-US" w:eastAsia="zh-CN"/>
            </w:rPr>
            <w:t>排污口的技术要求</w:t>
          </w:r>
          <w:r>
            <w:rPr>
              <w:sz w:val="21"/>
              <w:szCs w:val="21"/>
              <w:highlight w:val="none"/>
            </w:rPr>
            <w:tab/>
          </w:r>
          <w:r>
            <w:rPr>
              <w:sz w:val="21"/>
              <w:szCs w:val="21"/>
              <w:highlight w:val="none"/>
            </w:rPr>
            <w:fldChar w:fldCharType="begin"/>
          </w:r>
          <w:r>
            <w:rPr>
              <w:sz w:val="21"/>
              <w:szCs w:val="21"/>
              <w:highlight w:val="none"/>
            </w:rPr>
            <w:instrText xml:space="preserve"> PAGEREF _Toc24929 \h </w:instrText>
          </w:r>
          <w:r>
            <w:rPr>
              <w:sz w:val="21"/>
              <w:szCs w:val="21"/>
              <w:highlight w:val="none"/>
            </w:rPr>
            <w:fldChar w:fldCharType="separate"/>
          </w:r>
          <w:r>
            <w:rPr>
              <w:sz w:val="21"/>
              <w:szCs w:val="21"/>
              <w:highlight w:val="none"/>
            </w:rPr>
            <w:t>238</w:t>
          </w:r>
          <w:r>
            <w:rPr>
              <w:sz w:val="21"/>
              <w:szCs w:val="21"/>
              <w:highlight w:val="none"/>
            </w:rPr>
            <w:fldChar w:fldCharType="end"/>
          </w:r>
          <w:r>
            <w:rPr>
              <w:sz w:val="21"/>
              <w:szCs w:val="21"/>
              <w:highlight w:val="none"/>
            </w:rPr>
            <w:fldChar w:fldCharType="end"/>
          </w:r>
        </w:p>
        <w:p w14:paraId="0488D9D4">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_Toc16041 </w:instrText>
          </w:r>
          <w:r>
            <w:rPr>
              <w:sz w:val="21"/>
              <w:szCs w:val="21"/>
              <w:highlight w:val="none"/>
            </w:rPr>
            <w:fldChar w:fldCharType="separate"/>
          </w:r>
          <w:r>
            <w:rPr>
              <w:rFonts w:hint="default" w:ascii="Times New Roman" w:hAnsi="Times New Roman" w:cs="Times New Roman"/>
              <w:sz w:val="21"/>
              <w:szCs w:val="21"/>
              <w:highlight w:val="none"/>
              <w:lang w:val="en-US" w:eastAsia="zh-CN"/>
            </w:rPr>
            <w:t>8.4.3</w:t>
          </w:r>
          <w:r>
            <w:rPr>
              <w:rFonts w:hint="eastAsia"/>
              <w:sz w:val="21"/>
              <w:szCs w:val="21"/>
              <w:highlight w:val="none"/>
              <w:lang w:val="en-US" w:eastAsia="zh-CN"/>
            </w:rPr>
            <w:t>排污口立标管理</w:t>
          </w:r>
          <w:r>
            <w:rPr>
              <w:sz w:val="21"/>
              <w:szCs w:val="21"/>
              <w:highlight w:val="none"/>
            </w:rPr>
            <w:tab/>
          </w:r>
          <w:r>
            <w:rPr>
              <w:sz w:val="21"/>
              <w:szCs w:val="21"/>
              <w:highlight w:val="none"/>
            </w:rPr>
            <w:fldChar w:fldCharType="begin"/>
          </w:r>
          <w:r>
            <w:rPr>
              <w:sz w:val="21"/>
              <w:szCs w:val="21"/>
              <w:highlight w:val="none"/>
            </w:rPr>
            <w:instrText xml:space="preserve"> PAGEREF _Toc16041 \h </w:instrText>
          </w:r>
          <w:r>
            <w:rPr>
              <w:sz w:val="21"/>
              <w:szCs w:val="21"/>
              <w:highlight w:val="none"/>
            </w:rPr>
            <w:fldChar w:fldCharType="separate"/>
          </w:r>
          <w:r>
            <w:rPr>
              <w:sz w:val="21"/>
              <w:szCs w:val="21"/>
              <w:highlight w:val="none"/>
            </w:rPr>
            <w:t>238</w:t>
          </w:r>
          <w:r>
            <w:rPr>
              <w:sz w:val="21"/>
              <w:szCs w:val="21"/>
              <w:highlight w:val="none"/>
            </w:rPr>
            <w:fldChar w:fldCharType="end"/>
          </w:r>
          <w:r>
            <w:rPr>
              <w:sz w:val="21"/>
              <w:szCs w:val="21"/>
              <w:highlight w:val="none"/>
            </w:rPr>
            <w:fldChar w:fldCharType="end"/>
          </w:r>
        </w:p>
        <w:p w14:paraId="58620EEA">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_Toc13818 </w:instrText>
          </w:r>
          <w:r>
            <w:rPr>
              <w:sz w:val="21"/>
              <w:szCs w:val="21"/>
              <w:highlight w:val="none"/>
            </w:rPr>
            <w:fldChar w:fldCharType="separate"/>
          </w:r>
          <w:r>
            <w:rPr>
              <w:rFonts w:hint="default" w:ascii="Times New Roman" w:hAnsi="Times New Roman" w:cs="Times New Roman"/>
              <w:sz w:val="21"/>
              <w:szCs w:val="21"/>
              <w:highlight w:val="none"/>
              <w:lang w:val="en-US" w:eastAsia="zh-CN"/>
            </w:rPr>
            <w:t>8.4.4</w:t>
          </w:r>
          <w:r>
            <w:rPr>
              <w:rFonts w:hint="eastAsia"/>
              <w:sz w:val="21"/>
              <w:szCs w:val="21"/>
              <w:highlight w:val="none"/>
              <w:lang w:val="en-US" w:eastAsia="zh-CN"/>
            </w:rPr>
            <w:t>排污口建档管理</w:t>
          </w:r>
          <w:r>
            <w:rPr>
              <w:sz w:val="21"/>
              <w:szCs w:val="21"/>
              <w:highlight w:val="none"/>
            </w:rPr>
            <w:tab/>
          </w:r>
          <w:r>
            <w:rPr>
              <w:sz w:val="21"/>
              <w:szCs w:val="21"/>
              <w:highlight w:val="none"/>
            </w:rPr>
            <w:fldChar w:fldCharType="begin"/>
          </w:r>
          <w:r>
            <w:rPr>
              <w:sz w:val="21"/>
              <w:szCs w:val="21"/>
              <w:highlight w:val="none"/>
            </w:rPr>
            <w:instrText xml:space="preserve"> PAGEREF _Toc13818 \h </w:instrText>
          </w:r>
          <w:r>
            <w:rPr>
              <w:sz w:val="21"/>
              <w:szCs w:val="21"/>
              <w:highlight w:val="none"/>
            </w:rPr>
            <w:fldChar w:fldCharType="separate"/>
          </w:r>
          <w:r>
            <w:rPr>
              <w:sz w:val="21"/>
              <w:szCs w:val="21"/>
              <w:highlight w:val="none"/>
            </w:rPr>
            <w:t>239</w:t>
          </w:r>
          <w:r>
            <w:rPr>
              <w:sz w:val="21"/>
              <w:szCs w:val="21"/>
              <w:highlight w:val="none"/>
            </w:rPr>
            <w:fldChar w:fldCharType="end"/>
          </w:r>
          <w:r>
            <w:rPr>
              <w:sz w:val="21"/>
              <w:szCs w:val="21"/>
              <w:highlight w:val="none"/>
            </w:rPr>
            <w:fldChar w:fldCharType="end"/>
          </w:r>
        </w:p>
        <w:p w14:paraId="2A49779E">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_Toc24439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8.5</w:t>
          </w:r>
          <w:r>
            <w:rPr>
              <w:rFonts w:hint="eastAsia"/>
              <w:sz w:val="21"/>
              <w:szCs w:val="21"/>
              <w:highlight w:val="none"/>
              <w:lang w:val="en-US" w:eastAsia="zh-CN"/>
            </w:rPr>
            <w:t>竣工环境保护验收内容</w:t>
          </w:r>
          <w:r>
            <w:rPr>
              <w:sz w:val="21"/>
              <w:szCs w:val="21"/>
              <w:highlight w:val="none"/>
            </w:rPr>
            <w:tab/>
          </w:r>
          <w:r>
            <w:rPr>
              <w:sz w:val="21"/>
              <w:szCs w:val="21"/>
              <w:highlight w:val="none"/>
            </w:rPr>
            <w:fldChar w:fldCharType="begin"/>
          </w:r>
          <w:r>
            <w:rPr>
              <w:sz w:val="21"/>
              <w:szCs w:val="21"/>
              <w:highlight w:val="none"/>
            </w:rPr>
            <w:instrText xml:space="preserve"> PAGEREF _Toc24439 \h </w:instrText>
          </w:r>
          <w:r>
            <w:rPr>
              <w:sz w:val="21"/>
              <w:szCs w:val="21"/>
              <w:highlight w:val="none"/>
            </w:rPr>
            <w:fldChar w:fldCharType="separate"/>
          </w:r>
          <w:r>
            <w:rPr>
              <w:sz w:val="21"/>
              <w:szCs w:val="21"/>
              <w:highlight w:val="none"/>
            </w:rPr>
            <w:t>240</w:t>
          </w:r>
          <w:r>
            <w:rPr>
              <w:sz w:val="21"/>
              <w:szCs w:val="21"/>
              <w:highlight w:val="none"/>
            </w:rPr>
            <w:fldChar w:fldCharType="end"/>
          </w:r>
          <w:r>
            <w:rPr>
              <w:sz w:val="21"/>
              <w:szCs w:val="21"/>
              <w:highlight w:val="none"/>
            </w:rPr>
            <w:fldChar w:fldCharType="end"/>
          </w:r>
        </w:p>
        <w:p w14:paraId="1596CF94">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_Toc15839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8.6</w:t>
          </w:r>
          <w:r>
            <w:rPr>
              <w:rFonts w:hint="eastAsia"/>
              <w:sz w:val="21"/>
              <w:szCs w:val="21"/>
              <w:highlight w:val="none"/>
              <w:lang w:val="en-US" w:eastAsia="zh-CN"/>
            </w:rPr>
            <w:t>与排污许可证衔接</w:t>
          </w:r>
          <w:r>
            <w:rPr>
              <w:sz w:val="21"/>
              <w:szCs w:val="21"/>
              <w:highlight w:val="none"/>
            </w:rPr>
            <w:tab/>
          </w:r>
          <w:r>
            <w:rPr>
              <w:sz w:val="21"/>
              <w:szCs w:val="21"/>
              <w:highlight w:val="none"/>
            </w:rPr>
            <w:fldChar w:fldCharType="begin"/>
          </w:r>
          <w:r>
            <w:rPr>
              <w:sz w:val="21"/>
              <w:szCs w:val="21"/>
              <w:highlight w:val="none"/>
            </w:rPr>
            <w:instrText xml:space="preserve"> PAGEREF _Toc15839 \h </w:instrText>
          </w:r>
          <w:r>
            <w:rPr>
              <w:sz w:val="21"/>
              <w:szCs w:val="21"/>
              <w:highlight w:val="none"/>
            </w:rPr>
            <w:fldChar w:fldCharType="separate"/>
          </w:r>
          <w:r>
            <w:rPr>
              <w:sz w:val="21"/>
              <w:szCs w:val="21"/>
              <w:highlight w:val="none"/>
            </w:rPr>
            <w:t>242</w:t>
          </w:r>
          <w:r>
            <w:rPr>
              <w:sz w:val="21"/>
              <w:szCs w:val="21"/>
              <w:highlight w:val="none"/>
            </w:rPr>
            <w:fldChar w:fldCharType="end"/>
          </w:r>
          <w:r>
            <w:rPr>
              <w:sz w:val="21"/>
              <w:szCs w:val="21"/>
              <w:highlight w:val="none"/>
            </w:rPr>
            <w:fldChar w:fldCharType="end"/>
          </w:r>
        </w:p>
        <w:p w14:paraId="7010F396">
          <w:pPr>
            <w:pStyle w:val="14"/>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_Toc13950 </w:instrText>
          </w:r>
          <w:r>
            <w:rPr>
              <w:sz w:val="21"/>
              <w:szCs w:val="21"/>
              <w:highlight w:val="none"/>
            </w:rPr>
            <w:fldChar w:fldCharType="separate"/>
          </w:r>
          <w:r>
            <w:rPr>
              <w:rFonts w:hint="default" w:ascii="Times New Roman" w:hAnsi="Times New Roman" w:cs="Times New Roman"/>
              <w:sz w:val="21"/>
              <w:szCs w:val="21"/>
              <w:highlight w:val="none"/>
              <w:lang w:val="en-US" w:eastAsia="zh-CN"/>
            </w:rPr>
            <w:t>9</w:t>
          </w:r>
          <w:r>
            <w:rPr>
              <w:rFonts w:hint="eastAsia"/>
              <w:sz w:val="21"/>
              <w:szCs w:val="21"/>
              <w:highlight w:val="none"/>
              <w:lang w:val="en-US" w:eastAsia="zh-CN"/>
            </w:rPr>
            <w:t>环境影响评价结论</w:t>
          </w:r>
          <w:r>
            <w:rPr>
              <w:sz w:val="21"/>
              <w:szCs w:val="21"/>
              <w:highlight w:val="none"/>
            </w:rPr>
            <w:tab/>
          </w:r>
          <w:r>
            <w:rPr>
              <w:sz w:val="21"/>
              <w:szCs w:val="21"/>
              <w:highlight w:val="none"/>
            </w:rPr>
            <w:fldChar w:fldCharType="begin"/>
          </w:r>
          <w:r>
            <w:rPr>
              <w:sz w:val="21"/>
              <w:szCs w:val="21"/>
              <w:highlight w:val="none"/>
            </w:rPr>
            <w:instrText xml:space="preserve"> PAGEREF _Toc13950 \h </w:instrText>
          </w:r>
          <w:r>
            <w:rPr>
              <w:sz w:val="21"/>
              <w:szCs w:val="21"/>
              <w:highlight w:val="none"/>
            </w:rPr>
            <w:fldChar w:fldCharType="separate"/>
          </w:r>
          <w:r>
            <w:rPr>
              <w:sz w:val="21"/>
              <w:szCs w:val="21"/>
              <w:highlight w:val="none"/>
            </w:rPr>
            <w:t>243</w:t>
          </w:r>
          <w:r>
            <w:rPr>
              <w:sz w:val="21"/>
              <w:szCs w:val="21"/>
              <w:highlight w:val="none"/>
            </w:rPr>
            <w:fldChar w:fldCharType="end"/>
          </w:r>
          <w:r>
            <w:rPr>
              <w:sz w:val="21"/>
              <w:szCs w:val="21"/>
              <w:highlight w:val="none"/>
            </w:rPr>
            <w:fldChar w:fldCharType="end"/>
          </w:r>
        </w:p>
        <w:p w14:paraId="7EF4A206">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_Toc25553 </w:instrText>
          </w:r>
          <w:r>
            <w:rPr>
              <w:sz w:val="21"/>
              <w:szCs w:val="21"/>
              <w:highlight w:val="none"/>
            </w:rPr>
            <w:fldChar w:fldCharType="separate"/>
          </w:r>
          <w:r>
            <w:rPr>
              <w:rFonts w:hint="default" w:ascii="Times New Roman" w:hAnsi="Times New Roman" w:cs="Times New Roman"/>
              <w:sz w:val="21"/>
              <w:szCs w:val="21"/>
              <w:highlight w:val="none"/>
              <w:lang w:val="en-US" w:eastAsia="zh-CN"/>
            </w:rPr>
            <w:t>9.1</w:t>
          </w:r>
          <w:r>
            <w:rPr>
              <w:rFonts w:hint="eastAsia"/>
              <w:sz w:val="21"/>
              <w:szCs w:val="21"/>
              <w:highlight w:val="none"/>
              <w:lang w:val="en-US" w:eastAsia="zh-CN"/>
            </w:rPr>
            <w:t>项目概况</w:t>
          </w:r>
          <w:r>
            <w:rPr>
              <w:sz w:val="21"/>
              <w:szCs w:val="21"/>
              <w:highlight w:val="none"/>
            </w:rPr>
            <w:tab/>
          </w:r>
          <w:r>
            <w:rPr>
              <w:sz w:val="21"/>
              <w:szCs w:val="21"/>
              <w:highlight w:val="none"/>
            </w:rPr>
            <w:fldChar w:fldCharType="begin"/>
          </w:r>
          <w:r>
            <w:rPr>
              <w:sz w:val="21"/>
              <w:szCs w:val="21"/>
              <w:highlight w:val="none"/>
            </w:rPr>
            <w:instrText xml:space="preserve"> PAGEREF _Toc25553 \h </w:instrText>
          </w:r>
          <w:r>
            <w:rPr>
              <w:sz w:val="21"/>
              <w:szCs w:val="21"/>
              <w:highlight w:val="none"/>
            </w:rPr>
            <w:fldChar w:fldCharType="separate"/>
          </w:r>
          <w:r>
            <w:rPr>
              <w:sz w:val="21"/>
              <w:szCs w:val="21"/>
              <w:highlight w:val="none"/>
            </w:rPr>
            <w:t>243</w:t>
          </w:r>
          <w:r>
            <w:rPr>
              <w:sz w:val="21"/>
              <w:szCs w:val="21"/>
              <w:highlight w:val="none"/>
            </w:rPr>
            <w:fldChar w:fldCharType="end"/>
          </w:r>
          <w:r>
            <w:rPr>
              <w:sz w:val="21"/>
              <w:szCs w:val="21"/>
              <w:highlight w:val="none"/>
            </w:rPr>
            <w:fldChar w:fldCharType="end"/>
          </w:r>
        </w:p>
        <w:p w14:paraId="5533D5E4">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_Toc24115 </w:instrText>
          </w:r>
          <w:r>
            <w:rPr>
              <w:sz w:val="21"/>
              <w:szCs w:val="21"/>
              <w:highlight w:val="none"/>
            </w:rPr>
            <w:fldChar w:fldCharType="separate"/>
          </w:r>
          <w:r>
            <w:rPr>
              <w:rFonts w:hint="default" w:ascii="Times New Roman" w:hAnsi="Times New Roman" w:cs="Times New Roman"/>
              <w:sz w:val="21"/>
              <w:szCs w:val="21"/>
              <w:highlight w:val="none"/>
              <w:lang w:val="en-US" w:eastAsia="zh-CN"/>
            </w:rPr>
            <w:t>9.2</w:t>
          </w:r>
          <w:r>
            <w:rPr>
              <w:rFonts w:hint="eastAsia"/>
              <w:sz w:val="21"/>
              <w:szCs w:val="21"/>
              <w:highlight w:val="none"/>
              <w:lang w:val="en-US" w:eastAsia="zh-CN"/>
            </w:rPr>
            <w:t>产业政策符合性分析</w:t>
          </w:r>
          <w:r>
            <w:rPr>
              <w:sz w:val="21"/>
              <w:szCs w:val="21"/>
              <w:highlight w:val="none"/>
            </w:rPr>
            <w:tab/>
          </w:r>
          <w:r>
            <w:rPr>
              <w:sz w:val="21"/>
              <w:szCs w:val="21"/>
              <w:highlight w:val="none"/>
            </w:rPr>
            <w:fldChar w:fldCharType="begin"/>
          </w:r>
          <w:r>
            <w:rPr>
              <w:sz w:val="21"/>
              <w:szCs w:val="21"/>
              <w:highlight w:val="none"/>
            </w:rPr>
            <w:instrText xml:space="preserve"> PAGEREF _Toc24115 \h </w:instrText>
          </w:r>
          <w:r>
            <w:rPr>
              <w:sz w:val="21"/>
              <w:szCs w:val="21"/>
              <w:highlight w:val="none"/>
            </w:rPr>
            <w:fldChar w:fldCharType="separate"/>
          </w:r>
          <w:r>
            <w:rPr>
              <w:sz w:val="21"/>
              <w:szCs w:val="21"/>
              <w:highlight w:val="none"/>
            </w:rPr>
            <w:t>243</w:t>
          </w:r>
          <w:r>
            <w:rPr>
              <w:sz w:val="21"/>
              <w:szCs w:val="21"/>
              <w:highlight w:val="none"/>
            </w:rPr>
            <w:fldChar w:fldCharType="end"/>
          </w:r>
          <w:r>
            <w:rPr>
              <w:sz w:val="21"/>
              <w:szCs w:val="21"/>
              <w:highlight w:val="none"/>
            </w:rPr>
            <w:fldChar w:fldCharType="end"/>
          </w:r>
        </w:p>
        <w:p w14:paraId="4D9E0416">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_Toc20520 </w:instrText>
          </w:r>
          <w:r>
            <w:rPr>
              <w:sz w:val="21"/>
              <w:szCs w:val="21"/>
              <w:highlight w:val="none"/>
            </w:rPr>
            <w:fldChar w:fldCharType="separate"/>
          </w:r>
          <w:r>
            <w:rPr>
              <w:rFonts w:hint="eastAsia" w:ascii="Times New Roman" w:hAnsi="Times New Roman" w:cs="Times New Roman"/>
              <w:sz w:val="21"/>
              <w:szCs w:val="21"/>
              <w:highlight w:val="none"/>
              <w:lang w:val="en-US" w:eastAsia="zh-CN"/>
            </w:rPr>
            <w:t>9.3</w:t>
          </w:r>
          <w:r>
            <w:rPr>
              <w:rFonts w:hint="eastAsia"/>
              <w:sz w:val="21"/>
              <w:szCs w:val="21"/>
              <w:highlight w:val="none"/>
              <w:lang w:val="en-US" w:eastAsia="zh-CN"/>
            </w:rPr>
            <w:t>选址合理性分析</w:t>
          </w:r>
          <w:r>
            <w:rPr>
              <w:sz w:val="21"/>
              <w:szCs w:val="21"/>
              <w:highlight w:val="none"/>
            </w:rPr>
            <w:tab/>
          </w:r>
          <w:r>
            <w:rPr>
              <w:sz w:val="21"/>
              <w:szCs w:val="21"/>
              <w:highlight w:val="none"/>
            </w:rPr>
            <w:fldChar w:fldCharType="begin"/>
          </w:r>
          <w:r>
            <w:rPr>
              <w:sz w:val="21"/>
              <w:szCs w:val="21"/>
              <w:highlight w:val="none"/>
            </w:rPr>
            <w:instrText xml:space="preserve"> PAGEREF _Toc20520 \h </w:instrText>
          </w:r>
          <w:r>
            <w:rPr>
              <w:sz w:val="21"/>
              <w:szCs w:val="21"/>
              <w:highlight w:val="none"/>
            </w:rPr>
            <w:fldChar w:fldCharType="separate"/>
          </w:r>
          <w:r>
            <w:rPr>
              <w:sz w:val="21"/>
              <w:szCs w:val="21"/>
              <w:highlight w:val="none"/>
            </w:rPr>
            <w:t>243</w:t>
          </w:r>
          <w:r>
            <w:rPr>
              <w:sz w:val="21"/>
              <w:szCs w:val="21"/>
              <w:highlight w:val="none"/>
            </w:rPr>
            <w:fldChar w:fldCharType="end"/>
          </w:r>
          <w:r>
            <w:rPr>
              <w:sz w:val="21"/>
              <w:szCs w:val="21"/>
              <w:highlight w:val="none"/>
            </w:rPr>
            <w:fldChar w:fldCharType="end"/>
          </w:r>
        </w:p>
        <w:p w14:paraId="66952A34">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_Toc24167 </w:instrText>
          </w:r>
          <w:r>
            <w:rPr>
              <w:sz w:val="21"/>
              <w:szCs w:val="21"/>
              <w:highlight w:val="none"/>
            </w:rPr>
            <w:fldChar w:fldCharType="separate"/>
          </w:r>
          <w:r>
            <w:rPr>
              <w:rFonts w:hint="eastAsia" w:ascii="Times New Roman" w:hAnsi="Times New Roman" w:cs="Times New Roman"/>
              <w:sz w:val="21"/>
              <w:szCs w:val="21"/>
              <w:highlight w:val="none"/>
              <w:lang w:val="en-US" w:eastAsia="zh-CN"/>
            </w:rPr>
            <w:t>9.4</w:t>
          </w:r>
          <w:r>
            <w:rPr>
              <w:rFonts w:hint="eastAsia"/>
              <w:sz w:val="21"/>
              <w:szCs w:val="21"/>
              <w:highlight w:val="none"/>
              <w:lang w:val="en-US" w:eastAsia="zh-CN"/>
            </w:rPr>
            <w:t>环境质量现状评价结论</w:t>
          </w:r>
          <w:r>
            <w:rPr>
              <w:sz w:val="21"/>
              <w:szCs w:val="21"/>
              <w:highlight w:val="none"/>
            </w:rPr>
            <w:tab/>
          </w:r>
          <w:r>
            <w:rPr>
              <w:sz w:val="21"/>
              <w:szCs w:val="21"/>
              <w:highlight w:val="none"/>
            </w:rPr>
            <w:fldChar w:fldCharType="begin"/>
          </w:r>
          <w:r>
            <w:rPr>
              <w:sz w:val="21"/>
              <w:szCs w:val="21"/>
              <w:highlight w:val="none"/>
            </w:rPr>
            <w:instrText xml:space="preserve"> PAGEREF _Toc24167 \h </w:instrText>
          </w:r>
          <w:r>
            <w:rPr>
              <w:sz w:val="21"/>
              <w:szCs w:val="21"/>
              <w:highlight w:val="none"/>
            </w:rPr>
            <w:fldChar w:fldCharType="separate"/>
          </w:r>
          <w:r>
            <w:rPr>
              <w:sz w:val="21"/>
              <w:szCs w:val="21"/>
              <w:highlight w:val="none"/>
            </w:rPr>
            <w:t>244</w:t>
          </w:r>
          <w:r>
            <w:rPr>
              <w:sz w:val="21"/>
              <w:szCs w:val="21"/>
              <w:highlight w:val="none"/>
            </w:rPr>
            <w:fldChar w:fldCharType="end"/>
          </w:r>
          <w:r>
            <w:rPr>
              <w:sz w:val="21"/>
              <w:szCs w:val="21"/>
              <w:highlight w:val="none"/>
            </w:rPr>
            <w:fldChar w:fldCharType="end"/>
          </w:r>
        </w:p>
        <w:p w14:paraId="4E36CF10">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_Toc12543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9.4.1</w:t>
          </w:r>
          <w:r>
            <w:rPr>
              <w:rFonts w:hint="eastAsia"/>
              <w:sz w:val="21"/>
              <w:szCs w:val="21"/>
              <w:highlight w:val="none"/>
              <w:lang w:val="en-US" w:eastAsia="zh-CN"/>
            </w:rPr>
            <w:t>环境空气质量现状评价结论</w:t>
          </w:r>
          <w:r>
            <w:rPr>
              <w:sz w:val="21"/>
              <w:szCs w:val="21"/>
              <w:highlight w:val="none"/>
            </w:rPr>
            <w:tab/>
          </w:r>
          <w:r>
            <w:rPr>
              <w:sz w:val="21"/>
              <w:szCs w:val="21"/>
              <w:highlight w:val="none"/>
            </w:rPr>
            <w:fldChar w:fldCharType="begin"/>
          </w:r>
          <w:r>
            <w:rPr>
              <w:sz w:val="21"/>
              <w:szCs w:val="21"/>
              <w:highlight w:val="none"/>
            </w:rPr>
            <w:instrText xml:space="preserve"> PAGEREF _Toc12543 \h </w:instrText>
          </w:r>
          <w:r>
            <w:rPr>
              <w:sz w:val="21"/>
              <w:szCs w:val="21"/>
              <w:highlight w:val="none"/>
            </w:rPr>
            <w:fldChar w:fldCharType="separate"/>
          </w:r>
          <w:r>
            <w:rPr>
              <w:sz w:val="21"/>
              <w:szCs w:val="21"/>
              <w:highlight w:val="none"/>
            </w:rPr>
            <w:t>244</w:t>
          </w:r>
          <w:r>
            <w:rPr>
              <w:sz w:val="21"/>
              <w:szCs w:val="21"/>
              <w:highlight w:val="none"/>
            </w:rPr>
            <w:fldChar w:fldCharType="end"/>
          </w:r>
          <w:r>
            <w:rPr>
              <w:sz w:val="21"/>
              <w:szCs w:val="21"/>
              <w:highlight w:val="none"/>
            </w:rPr>
            <w:fldChar w:fldCharType="end"/>
          </w:r>
        </w:p>
        <w:p w14:paraId="5A16A6D6">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_Toc1069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9.4.2</w:t>
          </w:r>
          <w:r>
            <w:rPr>
              <w:rFonts w:hint="eastAsia"/>
              <w:sz w:val="21"/>
              <w:szCs w:val="21"/>
              <w:highlight w:val="none"/>
              <w:lang w:val="en-US" w:eastAsia="zh-CN"/>
            </w:rPr>
            <w:t>地表水环境质量现状评价结论</w:t>
          </w:r>
          <w:r>
            <w:rPr>
              <w:sz w:val="21"/>
              <w:szCs w:val="21"/>
              <w:highlight w:val="none"/>
            </w:rPr>
            <w:tab/>
          </w:r>
          <w:r>
            <w:rPr>
              <w:sz w:val="21"/>
              <w:szCs w:val="21"/>
              <w:highlight w:val="none"/>
            </w:rPr>
            <w:fldChar w:fldCharType="begin"/>
          </w:r>
          <w:r>
            <w:rPr>
              <w:sz w:val="21"/>
              <w:szCs w:val="21"/>
              <w:highlight w:val="none"/>
            </w:rPr>
            <w:instrText xml:space="preserve"> PAGEREF _Toc1069 \h </w:instrText>
          </w:r>
          <w:r>
            <w:rPr>
              <w:sz w:val="21"/>
              <w:szCs w:val="21"/>
              <w:highlight w:val="none"/>
            </w:rPr>
            <w:fldChar w:fldCharType="separate"/>
          </w:r>
          <w:r>
            <w:rPr>
              <w:sz w:val="21"/>
              <w:szCs w:val="21"/>
              <w:highlight w:val="none"/>
            </w:rPr>
            <w:t>245</w:t>
          </w:r>
          <w:r>
            <w:rPr>
              <w:sz w:val="21"/>
              <w:szCs w:val="21"/>
              <w:highlight w:val="none"/>
            </w:rPr>
            <w:fldChar w:fldCharType="end"/>
          </w:r>
          <w:r>
            <w:rPr>
              <w:sz w:val="21"/>
              <w:szCs w:val="21"/>
              <w:highlight w:val="none"/>
            </w:rPr>
            <w:fldChar w:fldCharType="end"/>
          </w:r>
        </w:p>
        <w:p w14:paraId="33BB9DDC">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_Toc8438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9.4.3</w:t>
          </w:r>
          <w:r>
            <w:rPr>
              <w:rFonts w:hint="eastAsia"/>
              <w:sz w:val="21"/>
              <w:szCs w:val="21"/>
              <w:highlight w:val="none"/>
              <w:lang w:val="en-US" w:eastAsia="zh-CN"/>
            </w:rPr>
            <w:t>声环境质量现状评价结论</w:t>
          </w:r>
          <w:r>
            <w:rPr>
              <w:sz w:val="21"/>
              <w:szCs w:val="21"/>
              <w:highlight w:val="none"/>
            </w:rPr>
            <w:tab/>
          </w:r>
          <w:r>
            <w:rPr>
              <w:sz w:val="21"/>
              <w:szCs w:val="21"/>
              <w:highlight w:val="none"/>
            </w:rPr>
            <w:fldChar w:fldCharType="begin"/>
          </w:r>
          <w:r>
            <w:rPr>
              <w:sz w:val="21"/>
              <w:szCs w:val="21"/>
              <w:highlight w:val="none"/>
            </w:rPr>
            <w:instrText xml:space="preserve"> PAGEREF _Toc8438 \h </w:instrText>
          </w:r>
          <w:r>
            <w:rPr>
              <w:sz w:val="21"/>
              <w:szCs w:val="21"/>
              <w:highlight w:val="none"/>
            </w:rPr>
            <w:fldChar w:fldCharType="separate"/>
          </w:r>
          <w:r>
            <w:rPr>
              <w:sz w:val="21"/>
              <w:szCs w:val="21"/>
              <w:highlight w:val="none"/>
            </w:rPr>
            <w:t>245</w:t>
          </w:r>
          <w:r>
            <w:rPr>
              <w:sz w:val="21"/>
              <w:szCs w:val="21"/>
              <w:highlight w:val="none"/>
            </w:rPr>
            <w:fldChar w:fldCharType="end"/>
          </w:r>
          <w:r>
            <w:rPr>
              <w:sz w:val="21"/>
              <w:szCs w:val="21"/>
              <w:highlight w:val="none"/>
            </w:rPr>
            <w:fldChar w:fldCharType="end"/>
          </w:r>
        </w:p>
        <w:p w14:paraId="012ED8DB">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_Toc25104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9.4.4</w:t>
          </w:r>
          <w:r>
            <w:rPr>
              <w:rFonts w:hint="eastAsia"/>
              <w:sz w:val="21"/>
              <w:szCs w:val="21"/>
              <w:highlight w:val="none"/>
              <w:lang w:val="en-US" w:eastAsia="zh-CN"/>
            </w:rPr>
            <w:t>土壤环境质量现状评价结论</w:t>
          </w:r>
          <w:r>
            <w:rPr>
              <w:sz w:val="21"/>
              <w:szCs w:val="21"/>
              <w:highlight w:val="none"/>
            </w:rPr>
            <w:tab/>
          </w:r>
          <w:r>
            <w:rPr>
              <w:sz w:val="21"/>
              <w:szCs w:val="21"/>
              <w:highlight w:val="none"/>
            </w:rPr>
            <w:fldChar w:fldCharType="begin"/>
          </w:r>
          <w:r>
            <w:rPr>
              <w:sz w:val="21"/>
              <w:szCs w:val="21"/>
              <w:highlight w:val="none"/>
            </w:rPr>
            <w:instrText xml:space="preserve"> PAGEREF _Toc25104 \h </w:instrText>
          </w:r>
          <w:r>
            <w:rPr>
              <w:sz w:val="21"/>
              <w:szCs w:val="21"/>
              <w:highlight w:val="none"/>
            </w:rPr>
            <w:fldChar w:fldCharType="separate"/>
          </w:r>
          <w:r>
            <w:rPr>
              <w:sz w:val="21"/>
              <w:szCs w:val="21"/>
              <w:highlight w:val="none"/>
            </w:rPr>
            <w:t>245</w:t>
          </w:r>
          <w:r>
            <w:rPr>
              <w:sz w:val="21"/>
              <w:szCs w:val="21"/>
              <w:highlight w:val="none"/>
            </w:rPr>
            <w:fldChar w:fldCharType="end"/>
          </w:r>
          <w:r>
            <w:rPr>
              <w:sz w:val="21"/>
              <w:szCs w:val="21"/>
              <w:highlight w:val="none"/>
            </w:rPr>
            <w:fldChar w:fldCharType="end"/>
          </w:r>
        </w:p>
        <w:p w14:paraId="08EB338A">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_Toc2323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9.5</w:t>
          </w:r>
          <w:r>
            <w:rPr>
              <w:rFonts w:hint="eastAsia"/>
              <w:sz w:val="21"/>
              <w:szCs w:val="21"/>
              <w:highlight w:val="none"/>
              <w:lang w:val="en-US" w:eastAsia="zh-CN"/>
            </w:rPr>
            <w:t>污染物排放、影响及采取的污染防治措施</w:t>
          </w:r>
          <w:r>
            <w:rPr>
              <w:sz w:val="21"/>
              <w:szCs w:val="21"/>
              <w:highlight w:val="none"/>
            </w:rPr>
            <w:tab/>
          </w:r>
          <w:r>
            <w:rPr>
              <w:sz w:val="21"/>
              <w:szCs w:val="21"/>
              <w:highlight w:val="none"/>
            </w:rPr>
            <w:fldChar w:fldCharType="begin"/>
          </w:r>
          <w:r>
            <w:rPr>
              <w:sz w:val="21"/>
              <w:szCs w:val="21"/>
              <w:highlight w:val="none"/>
            </w:rPr>
            <w:instrText xml:space="preserve"> PAGEREF _Toc2323 \h </w:instrText>
          </w:r>
          <w:r>
            <w:rPr>
              <w:sz w:val="21"/>
              <w:szCs w:val="21"/>
              <w:highlight w:val="none"/>
            </w:rPr>
            <w:fldChar w:fldCharType="separate"/>
          </w:r>
          <w:r>
            <w:rPr>
              <w:sz w:val="21"/>
              <w:szCs w:val="21"/>
              <w:highlight w:val="none"/>
            </w:rPr>
            <w:t>245</w:t>
          </w:r>
          <w:r>
            <w:rPr>
              <w:sz w:val="21"/>
              <w:szCs w:val="21"/>
              <w:highlight w:val="none"/>
            </w:rPr>
            <w:fldChar w:fldCharType="end"/>
          </w:r>
          <w:r>
            <w:rPr>
              <w:sz w:val="21"/>
              <w:szCs w:val="21"/>
              <w:highlight w:val="none"/>
            </w:rPr>
            <w:fldChar w:fldCharType="end"/>
          </w:r>
        </w:p>
        <w:p w14:paraId="67DB335F">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_Toc770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9.5.1</w:t>
          </w:r>
          <w:r>
            <w:rPr>
              <w:rFonts w:hint="eastAsia"/>
              <w:sz w:val="21"/>
              <w:szCs w:val="21"/>
              <w:highlight w:val="none"/>
              <w:lang w:val="en-US" w:eastAsia="zh-CN"/>
            </w:rPr>
            <w:t>废气</w:t>
          </w:r>
          <w:r>
            <w:rPr>
              <w:sz w:val="21"/>
              <w:szCs w:val="21"/>
              <w:highlight w:val="none"/>
            </w:rPr>
            <w:tab/>
          </w:r>
          <w:r>
            <w:rPr>
              <w:sz w:val="21"/>
              <w:szCs w:val="21"/>
              <w:highlight w:val="none"/>
            </w:rPr>
            <w:fldChar w:fldCharType="begin"/>
          </w:r>
          <w:r>
            <w:rPr>
              <w:sz w:val="21"/>
              <w:szCs w:val="21"/>
              <w:highlight w:val="none"/>
            </w:rPr>
            <w:instrText xml:space="preserve"> PAGEREF _Toc770 \h </w:instrText>
          </w:r>
          <w:r>
            <w:rPr>
              <w:sz w:val="21"/>
              <w:szCs w:val="21"/>
              <w:highlight w:val="none"/>
            </w:rPr>
            <w:fldChar w:fldCharType="separate"/>
          </w:r>
          <w:r>
            <w:rPr>
              <w:sz w:val="21"/>
              <w:szCs w:val="21"/>
              <w:highlight w:val="none"/>
            </w:rPr>
            <w:t>245</w:t>
          </w:r>
          <w:r>
            <w:rPr>
              <w:sz w:val="21"/>
              <w:szCs w:val="21"/>
              <w:highlight w:val="none"/>
            </w:rPr>
            <w:fldChar w:fldCharType="end"/>
          </w:r>
          <w:r>
            <w:rPr>
              <w:sz w:val="21"/>
              <w:szCs w:val="21"/>
              <w:highlight w:val="none"/>
            </w:rPr>
            <w:fldChar w:fldCharType="end"/>
          </w:r>
        </w:p>
        <w:p w14:paraId="348745A2">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_Toc32381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9.5.2</w:t>
          </w:r>
          <w:r>
            <w:rPr>
              <w:rFonts w:hint="eastAsia"/>
              <w:sz w:val="21"/>
              <w:szCs w:val="21"/>
              <w:highlight w:val="none"/>
              <w:lang w:val="en-US" w:eastAsia="zh-CN"/>
            </w:rPr>
            <w:t>废水</w:t>
          </w:r>
          <w:r>
            <w:rPr>
              <w:sz w:val="21"/>
              <w:szCs w:val="21"/>
              <w:highlight w:val="none"/>
            </w:rPr>
            <w:tab/>
          </w:r>
          <w:r>
            <w:rPr>
              <w:sz w:val="21"/>
              <w:szCs w:val="21"/>
              <w:highlight w:val="none"/>
            </w:rPr>
            <w:fldChar w:fldCharType="begin"/>
          </w:r>
          <w:r>
            <w:rPr>
              <w:sz w:val="21"/>
              <w:szCs w:val="21"/>
              <w:highlight w:val="none"/>
            </w:rPr>
            <w:instrText xml:space="preserve"> PAGEREF _Toc32381 \h </w:instrText>
          </w:r>
          <w:r>
            <w:rPr>
              <w:sz w:val="21"/>
              <w:szCs w:val="21"/>
              <w:highlight w:val="none"/>
            </w:rPr>
            <w:fldChar w:fldCharType="separate"/>
          </w:r>
          <w:r>
            <w:rPr>
              <w:sz w:val="21"/>
              <w:szCs w:val="21"/>
              <w:highlight w:val="none"/>
            </w:rPr>
            <w:t>247</w:t>
          </w:r>
          <w:r>
            <w:rPr>
              <w:sz w:val="21"/>
              <w:szCs w:val="21"/>
              <w:highlight w:val="none"/>
            </w:rPr>
            <w:fldChar w:fldCharType="end"/>
          </w:r>
          <w:r>
            <w:rPr>
              <w:sz w:val="21"/>
              <w:szCs w:val="21"/>
              <w:highlight w:val="none"/>
            </w:rPr>
            <w:fldChar w:fldCharType="end"/>
          </w:r>
        </w:p>
        <w:p w14:paraId="5EAEA37B">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_Toc28066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9.5.3</w:t>
          </w:r>
          <w:r>
            <w:rPr>
              <w:rFonts w:hint="eastAsia"/>
              <w:sz w:val="21"/>
              <w:szCs w:val="21"/>
              <w:highlight w:val="none"/>
              <w:lang w:val="en-US" w:eastAsia="zh-CN"/>
            </w:rPr>
            <w:t>噪声</w:t>
          </w:r>
          <w:r>
            <w:rPr>
              <w:sz w:val="21"/>
              <w:szCs w:val="21"/>
              <w:highlight w:val="none"/>
            </w:rPr>
            <w:tab/>
          </w:r>
          <w:r>
            <w:rPr>
              <w:sz w:val="21"/>
              <w:szCs w:val="21"/>
              <w:highlight w:val="none"/>
            </w:rPr>
            <w:fldChar w:fldCharType="begin"/>
          </w:r>
          <w:r>
            <w:rPr>
              <w:sz w:val="21"/>
              <w:szCs w:val="21"/>
              <w:highlight w:val="none"/>
            </w:rPr>
            <w:instrText xml:space="preserve"> PAGEREF _Toc28066 \h </w:instrText>
          </w:r>
          <w:r>
            <w:rPr>
              <w:sz w:val="21"/>
              <w:szCs w:val="21"/>
              <w:highlight w:val="none"/>
            </w:rPr>
            <w:fldChar w:fldCharType="separate"/>
          </w:r>
          <w:r>
            <w:rPr>
              <w:sz w:val="21"/>
              <w:szCs w:val="21"/>
              <w:highlight w:val="none"/>
            </w:rPr>
            <w:t>247</w:t>
          </w:r>
          <w:r>
            <w:rPr>
              <w:sz w:val="21"/>
              <w:szCs w:val="21"/>
              <w:highlight w:val="none"/>
            </w:rPr>
            <w:fldChar w:fldCharType="end"/>
          </w:r>
          <w:r>
            <w:rPr>
              <w:sz w:val="21"/>
              <w:szCs w:val="21"/>
              <w:highlight w:val="none"/>
            </w:rPr>
            <w:fldChar w:fldCharType="end"/>
          </w:r>
        </w:p>
        <w:p w14:paraId="1B9AB55D">
          <w:pPr>
            <w:pStyle w:val="9"/>
            <w:tabs>
              <w:tab w:val="right" w:leader="dot" w:pos="8306"/>
            </w:tabs>
            <w:spacing w:line="240" w:lineRule="auto"/>
            <w:ind w:left="0" w:leftChars="0" w:firstLine="840" w:firstLineChars="400"/>
            <w:rPr>
              <w:sz w:val="21"/>
              <w:szCs w:val="21"/>
              <w:highlight w:val="none"/>
            </w:rPr>
          </w:pPr>
          <w:r>
            <w:rPr>
              <w:sz w:val="21"/>
              <w:szCs w:val="21"/>
              <w:highlight w:val="none"/>
            </w:rPr>
            <w:fldChar w:fldCharType="begin"/>
          </w:r>
          <w:r>
            <w:rPr>
              <w:sz w:val="21"/>
              <w:szCs w:val="21"/>
              <w:highlight w:val="none"/>
            </w:rPr>
            <w:instrText xml:space="preserve"> HYPERLINK \l _Toc25378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9.5.4</w:t>
          </w:r>
          <w:r>
            <w:rPr>
              <w:rFonts w:hint="eastAsia"/>
              <w:sz w:val="21"/>
              <w:szCs w:val="21"/>
              <w:highlight w:val="none"/>
              <w:lang w:val="en-US" w:eastAsia="zh-CN"/>
            </w:rPr>
            <w:t>固体废物</w:t>
          </w:r>
          <w:r>
            <w:rPr>
              <w:sz w:val="21"/>
              <w:szCs w:val="21"/>
              <w:highlight w:val="none"/>
            </w:rPr>
            <w:tab/>
          </w:r>
          <w:r>
            <w:rPr>
              <w:sz w:val="21"/>
              <w:szCs w:val="21"/>
              <w:highlight w:val="none"/>
            </w:rPr>
            <w:fldChar w:fldCharType="begin"/>
          </w:r>
          <w:r>
            <w:rPr>
              <w:sz w:val="21"/>
              <w:szCs w:val="21"/>
              <w:highlight w:val="none"/>
            </w:rPr>
            <w:instrText xml:space="preserve"> PAGEREF _Toc25378 \h </w:instrText>
          </w:r>
          <w:r>
            <w:rPr>
              <w:sz w:val="21"/>
              <w:szCs w:val="21"/>
              <w:highlight w:val="none"/>
            </w:rPr>
            <w:fldChar w:fldCharType="separate"/>
          </w:r>
          <w:r>
            <w:rPr>
              <w:sz w:val="21"/>
              <w:szCs w:val="21"/>
              <w:highlight w:val="none"/>
            </w:rPr>
            <w:t>248</w:t>
          </w:r>
          <w:r>
            <w:rPr>
              <w:sz w:val="21"/>
              <w:szCs w:val="21"/>
              <w:highlight w:val="none"/>
            </w:rPr>
            <w:fldChar w:fldCharType="end"/>
          </w:r>
          <w:r>
            <w:rPr>
              <w:sz w:val="21"/>
              <w:szCs w:val="21"/>
              <w:highlight w:val="none"/>
            </w:rPr>
            <w:fldChar w:fldCharType="end"/>
          </w:r>
        </w:p>
        <w:p w14:paraId="67C7457F">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_Toc17098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9.6</w:t>
          </w:r>
          <w:r>
            <w:rPr>
              <w:rFonts w:hint="eastAsia"/>
              <w:sz w:val="21"/>
              <w:szCs w:val="21"/>
              <w:highlight w:val="none"/>
              <w:lang w:val="en-US" w:eastAsia="zh-CN"/>
            </w:rPr>
            <w:t>环境风险评价结论</w:t>
          </w:r>
          <w:r>
            <w:rPr>
              <w:sz w:val="21"/>
              <w:szCs w:val="21"/>
              <w:highlight w:val="none"/>
            </w:rPr>
            <w:tab/>
          </w:r>
          <w:r>
            <w:rPr>
              <w:sz w:val="21"/>
              <w:szCs w:val="21"/>
              <w:highlight w:val="none"/>
            </w:rPr>
            <w:fldChar w:fldCharType="begin"/>
          </w:r>
          <w:r>
            <w:rPr>
              <w:sz w:val="21"/>
              <w:szCs w:val="21"/>
              <w:highlight w:val="none"/>
            </w:rPr>
            <w:instrText xml:space="preserve"> PAGEREF _Toc17098 \h </w:instrText>
          </w:r>
          <w:r>
            <w:rPr>
              <w:sz w:val="21"/>
              <w:szCs w:val="21"/>
              <w:highlight w:val="none"/>
            </w:rPr>
            <w:fldChar w:fldCharType="separate"/>
          </w:r>
          <w:r>
            <w:rPr>
              <w:sz w:val="21"/>
              <w:szCs w:val="21"/>
              <w:highlight w:val="none"/>
            </w:rPr>
            <w:t>248</w:t>
          </w:r>
          <w:r>
            <w:rPr>
              <w:sz w:val="21"/>
              <w:szCs w:val="21"/>
              <w:highlight w:val="none"/>
            </w:rPr>
            <w:fldChar w:fldCharType="end"/>
          </w:r>
          <w:r>
            <w:rPr>
              <w:sz w:val="21"/>
              <w:szCs w:val="21"/>
              <w:highlight w:val="none"/>
            </w:rPr>
            <w:fldChar w:fldCharType="end"/>
          </w:r>
        </w:p>
        <w:p w14:paraId="6A096BB2">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_Toc2188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9.7</w:t>
          </w:r>
          <w:r>
            <w:rPr>
              <w:rFonts w:hint="eastAsia"/>
              <w:sz w:val="21"/>
              <w:szCs w:val="21"/>
              <w:highlight w:val="none"/>
              <w:lang w:val="en-US" w:eastAsia="zh-CN"/>
            </w:rPr>
            <w:t>总量控制</w:t>
          </w:r>
          <w:r>
            <w:rPr>
              <w:sz w:val="21"/>
              <w:szCs w:val="21"/>
              <w:highlight w:val="none"/>
            </w:rPr>
            <w:tab/>
          </w:r>
          <w:r>
            <w:rPr>
              <w:sz w:val="21"/>
              <w:szCs w:val="21"/>
              <w:highlight w:val="none"/>
            </w:rPr>
            <w:fldChar w:fldCharType="begin"/>
          </w:r>
          <w:r>
            <w:rPr>
              <w:sz w:val="21"/>
              <w:szCs w:val="21"/>
              <w:highlight w:val="none"/>
            </w:rPr>
            <w:instrText xml:space="preserve"> PAGEREF _Toc2188 \h </w:instrText>
          </w:r>
          <w:r>
            <w:rPr>
              <w:sz w:val="21"/>
              <w:szCs w:val="21"/>
              <w:highlight w:val="none"/>
            </w:rPr>
            <w:fldChar w:fldCharType="separate"/>
          </w:r>
          <w:r>
            <w:rPr>
              <w:sz w:val="21"/>
              <w:szCs w:val="21"/>
              <w:highlight w:val="none"/>
            </w:rPr>
            <w:t>249</w:t>
          </w:r>
          <w:r>
            <w:rPr>
              <w:sz w:val="21"/>
              <w:szCs w:val="21"/>
              <w:highlight w:val="none"/>
            </w:rPr>
            <w:fldChar w:fldCharType="end"/>
          </w:r>
          <w:r>
            <w:rPr>
              <w:sz w:val="21"/>
              <w:szCs w:val="21"/>
              <w:highlight w:val="none"/>
            </w:rPr>
            <w:fldChar w:fldCharType="end"/>
          </w:r>
        </w:p>
        <w:p w14:paraId="298A73A0">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_Toc22922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9.8</w:t>
          </w:r>
          <w:r>
            <w:rPr>
              <w:rFonts w:hint="eastAsia"/>
              <w:sz w:val="21"/>
              <w:szCs w:val="21"/>
              <w:highlight w:val="none"/>
              <w:lang w:val="en-US" w:eastAsia="zh-CN"/>
            </w:rPr>
            <w:t>公众参与意见采纳情况说明</w:t>
          </w:r>
          <w:r>
            <w:rPr>
              <w:sz w:val="21"/>
              <w:szCs w:val="21"/>
              <w:highlight w:val="none"/>
            </w:rPr>
            <w:tab/>
          </w:r>
          <w:r>
            <w:rPr>
              <w:sz w:val="21"/>
              <w:szCs w:val="21"/>
              <w:highlight w:val="none"/>
            </w:rPr>
            <w:fldChar w:fldCharType="begin"/>
          </w:r>
          <w:r>
            <w:rPr>
              <w:sz w:val="21"/>
              <w:szCs w:val="21"/>
              <w:highlight w:val="none"/>
            </w:rPr>
            <w:instrText xml:space="preserve"> PAGEREF _Toc22922 \h </w:instrText>
          </w:r>
          <w:r>
            <w:rPr>
              <w:sz w:val="21"/>
              <w:szCs w:val="21"/>
              <w:highlight w:val="none"/>
            </w:rPr>
            <w:fldChar w:fldCharType="separate"/>
          </w:r>
          <w:r>
            <w:rPr>
              <w:sz w:val="21"/>
              <w:szCs w:val="21"/>
              <w:highlight w:val="none"/>
            </w:rPr>
            <w:t>249</w:t>
          </w:r>
          <w:r>
            <w:rPr>
              <w:sz w:val="21"/>
              <w:szCs w:val="21"/>
              <w:highlight w:val="none"/>
            </w:rPr>
            <w:fldChar w:fldCharType="end"/>
          </w:r>
          <w:r>
            <w:rPr>
              <w:sz w:val="21"/>
              <w:szCs w:val="21"/>
              <w:highlight w:val="none"/>
            </w:rPr>
            <w:fldChar w:fldCharType="end"/>
          </w:r>
        </w:p>
        <w:p w14:paraId="75C98E48">
          <w:pPr>
            <w:pStyle w:val="15"/>
            <w:tabs>
              <w:tab w:val="right" w:leader="dot" w:pos="8306"/>
            </w:tabs>
            <w:spacing w:line="240" w:lineRule="auto"/>
            <w:ind w:left="0" w:leftChars="0" w:firstLine="630" w:firstLineChars="300"/>
            <w:rPr>
              <w:sz w:val="21"/>
              <w:szCs w:val="21"/>
              <w:highlight w:val="none"/>
            </w:rPr>
          </w:pPr>
          <w:r>
            <w:rPr>
              <w:sz w:val="21"/>
              <w:szCs w:val="21"/>
              <w:highlight w:val="none"/>
            </w:rPr>
            <w:fldChar w:fldCharType="begin"/>
          </w:r>
          <w:r>
            <w:rPr>
              <w:sz w:val="21"/>
              <w:szCs w:val="21"/>
              <w:highlight w:val="none"/>
            </w:rPr>
            <w:instrText xml:space="preserve"> HYPERLINK \l _Toc20084 </w:instrText>
          </w:r>
          <w:r>
            <w:rPr>
              <w:sz w:val="21"/>
              <w:szCs w:val="21"/>
              <w:highlight w:val="none"/>
            </w:rPr>
            <w:fldChar w:fldCharType="separate"/>
          </w:r>
          <w:r>
            <w:rPr>
              <w:rFonts w:hint="eastAsia" w:ascii="Times New Roman" w:hAnsi="Times New Roman" w:eastAsia="宋体" w:cs="Times New Roman"/>
              <w:kern w:val="2"/>
              <w:sz w:val="21"/>
              <w:szCs w:val="21"/>
              <w:highlight w:val="none"/>
              <w:lang w:val="en-US" w:eastAsia="zh-CN" w:bidi="ar-SA"/>
            </w:rPr>
            <w:t>9.9</w:t>
          </w:r>
          <w:r>
            <w:rPr>
              <w:rFonts w:hint="eastAsia"/>
              <w:sz w:val="21"/>
              <w:szCs w:val="21"/>
              <w:highlight w:val="none"/>
              <w:lang w:val="en-US" w:eastAsia="zh-CN"/>
            </w:rPr>
            <w:t>综合评价结论</w:t>
          </w:r>
          <w:r>
            <w:rPr>
              <w:sz w:val="21"/>
              <w:szCs w:val="21"/>
              <w:highlight w:val="none"/>
            </w:rPr>
            <w:tab/>
          </w:r>
          <w:r>
            <w:rPr>
              <w:sz w:val="21"/>
              <w:szCs w:val="21"/>
              <w:highlight w:val="none"/>
            </w:rPr>
            <w:fldChar w:fldCharType="begin"/>
          </w:r>
          <w:r>
            <w:rPr>
              <w:sz w:val="21"/>
              <w:szCs w:val="21"/>
              <w:highlight w:val="none"/>
            </w:rPr>
            <w:instrText xml:space="preserve"> PAGEREF _Toc20084 \h </w:instrText>
          </w:r>
          <w:r>
            <w:rPr>
              <w:sz w:val="21"/>
              <w:szCs w:val="21"/>
              <w:highlight w:val="none"/>
            </w:rPr>
            <w:fldChar w:fldCharType="separate"/>
          </w:r>
          <w:r>
            <w:rPr>
              <w:sz w:val="21"/>
              <w:szCs w:val="21"/>
              <w:highlight w:val="none"/>
            </w:rPr>
            <w:t>249</w:t>
          </w:r>
          <w:r>
            <w:rPr>
              <w:sz w:val="21"/>
              <w:szCs w:val="21"/>
              <w:highlight w:val="none"/>
            </w:rPr>
            <w:fldChar w:fldCharType="end"/>
          </w:r>
          <w:r>
            <w:rPr>
              <w:sz w:val="21"/>
              <w:szCs w:val="21"/>
              <w:highlight w:val="none"/>
            </w:rPr>
            <w:fldChar w:fldCharType="end"/>
          </w:r>
        </w:p>
        <w:p w14:paraId="34BEDC1F">
          <w:pPr>
            <w:pStyle w:val="15"/>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_Toc3063 </w:instrText>
          </w:r>
          <w:r>
            <w:rPr>
              <w:sz w:val="21"/>
              <w:szCs w:val="21"/>
              <w:highlight w:val="none"/>
            </w:rPr>
            <w:fldChar w:fldCharType="separate"/>
          </w:r>
          <w:r>
            <w:rPr>
              <w:sz w:val="21"/>
              <w:szCs w:val="21"/>
              <w:highlight w:val="none"/>
            </w:rPr>
            <w:t>大气环境影响评价自查表</w:t>
          </w:r>
          <w:r>
            <w:rPr>
              <w:sz w:val="21"/>
              <w:szCs w:val="21"/>
              <w:highlight w:val="none"/>
            </w:rPr>
            <w:tab/>
          </w:r>
          <w:r>
            <w:rPr>
              <w:sz w:val="21"/>
              <w:szCs w:val="21"/>
              <w:highlight w:val="none"/>
            </w:rPr>
            <w:fldChar w:fldCharType="begin"/>
          </w:r>
          <w:r>
            <w:rPr>
              <w:sz w:val="21"/>
              <w:szCs w:val="21"/>
              <w:highlight w:val="none"/>
            </w:rPr>
            <w:instrText xml:space="preserve"> PAGEREF _Toc3063 \h </w:instrText>
          </w:r>
          <w:r>
            <w:rPr>
              <w:sz w:val="21"/>
              <w:szCs w:val="21"/>
              <w:highlight w:val="none"/>
            </w:rPr>
            <w:fldChar w:fldCharType="separate"/>
          </w:r>
          <w:r>
            <w:rPr>
              <w:sz w:val="21"/>
              <w:szCs w:val="21"/>
              <w:highlight w:val="none"/>
            </w:rPr>
            <w:t>250</w:t>
          </w:r>
          <w:r>
            <w:rPr>
              <w:sz w:val="21"/>
              <w:szCs w:val="21"/>
              <w:highlight w:val="none"/>
            </w:rPr>
            <w:fldChar w:fldCharType="end"/>
          </w:r>
          <w:r>
            <w:rPr>
              <w:sz w:val="21"/>
              <w:szCs w:val="21"/>
              <w:highlight w:val="none"/>
            </w:rPr>
            <w:fldChar w:fldCharType="end"/>
          </w:r>
        </w:p>
        <w:p w14:paraId="65BE977B">
          <w:pPr>
            <w:pStyle w:val="15"/>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_Toc17108 </w:instrText>
          </w:r>
          <w:r>
            <w:rPr>
              <w:sz w:val="21"/>
              <w:szCs w:val="21"/>
              <w:highlight w:val="none"/>
            </w:rPr>
            <w:fldChar w:fldCharType="separate"/>
          </w:r>
          <w:r>
            <w:rPr>
              <w:sz w:val="21"/>
              <w:szCs w:val="21"/>
              <w:highlight w:val="none"/>
            </w:rPr>
            <w:t>声环境影响评价自查表</w:t>
          </w:r>
          <w:r>
            <w:rPr>
              <w:sz w:val="21"/>
              <w:szCs w:val="21"/>
              <w:highlight w:val="none"/>
            </w:rPr>
            <w:tab/>
          </w:r>
          <w:r>
            <w:rPr>
              <w:sz w:val="21"/>
              <w:szCs w:val="21"/>
              <w:highlight w:val="none"/>
            </w:rPr>
            <w:fldChar w:fldCharType="begin"/>
          </w:r>
          <w:r>
            <w:rPr>
              <w:sz w:val="21"/>
              <w:szCs w:val="21"/>
              <w:highlight w:val="none"/>
            </w:rPr>
            <w:instrText xml:space="preserve"> PAGEREF _Toc17108 \h </w:instrText>
          </w:r>
          <w:r>
            <w:rPr>
              <w:sz w:val="21"/>
              <w:szCs w:val="21"/>
              <w:highlight w:val="none"/>
            </w:rPr>
            <w:fldChar w:fldCharType="separate"/>
          </w:r>
          <w:r>
            <w:rPr>
              <w:sz w:val="21"/>
              <w:szCs w:val="21"/>
              <w:highlight w:val="none"/>
            </w:rPr>
            <w:t>251</w:t>
          </w:r>
          <w:r>
            <w:rPr>
              <w:sz w:val="21"/>
              <w:szCs w:val="21"/>
              <w:highlight w:val="none"/>
            </w:rPr>
            <w:fldChar w:fldCharType="end"/>
          </w:r>
          <w:r>
            <w:rPr>
              <w:sz w:val="21"/>
              <w:szCs w:val="21"/>
              <w:highlight w:val="none"/>
            </w:rPr>
            <w:fldChar w:fldCharType="end"/>
          </w:r>
        </w:p>
        <w:p w14:paraId="58A5D1F8">
          <w:pPr>
            <w:pStyle w:val="15"/>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_Toc17275 </w:instrText>
          </w:r>
          <w:r>
            <w:rPr>
              <w:sz w:val="21"/>
              <w:szCs w:val="21"/>
              <w:highlight w:val="none"/>
            </w:rPr>
            <w:fldChar w:fldCharType="separate"/>
          </w:r>
          <w:r>
            <w:rPr>
              <w:rFonts w:hint="eastAsia"/>
              <w:sz w:val="21"/>
              <w:szCs w:val="21"/>
              <w:highlight w:val="none"/>
            </w:rPr>
            <w:t>建设项目地表水环境自查表</w:t>
          </w:r>
          <w:r>
            <w:rPr>
              <w:sz w:val="21"/>
              <w:szCs w:val="21"/>
              <w:highlight w:val="none"/>
            </w:rPr>
            <w:tab/>
          </w:r>
          <w:r>
            <w:rPr>
              <w:sz w:val="21"/>
              <w:szCs w:val="21"/>
              <w:highlight w:val="none"/>
            </w:rPr>
            <w:fldChar w:fldCharType="begin"/>
          </w:r>
          <w:r>
            <w:rPr>
              <w:sz w:val="21"/>
              <w:szCs w:val="21"/>
              <w:highlight w:val="none"/>
            </w:rPr>
            <w:instrText xml:space="preserve"> PAGEREF _Toc17275 \h </w:instrText>
          </w:r>
          <w:r>
            <w:rPr>
              <w:sz w:val="21"/>
              <w:szCs w:val="21"/>
              <w:highlight w:val="none"/>
            </w:rPr>
            <w:fldChar w:fldCharType="separate"/>
          </w:r>
          <w:r>
            <w:rPr>
              <w:sz w:val="21"/>
              <w:szCs w:val="21"/>
              <w:highlight w:val="none"/>
            </w:rPr>
            <w:t>252</w:t>
          </w:r>
          <w:r>
            <w:rPr>
              <w:sz w:val="21"/>
              <w:szCs w:val="21"/>
              <w:highlight w:val="none"/>
            </w:rPr>
            <w:fldChar w:fldCharType="end"/>
          </w:r>
          <w:r>
            <w:rPr>
              <w:sz w:val="21"/>
              <w:szCs w:val="21"/>
              <w:highlight w:val="none"/>
            </w:rPr>
            <w:fldChar w:fldCharType="end"/>
          </w:r>
        </w:p>
        <w:p w14:paraId="60E4D729">
          <w:pPr>
            <w:pStyle w:val="15"/>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_Toc14206 </w:instrText>
          </w:r>
          <w:r>
            <w:rPr>
              <w:sz w:val="21"/>
              <w:szCs w:val="21"/>
              <w:highlight w:val="none"/>
            </w:rPr>
            <w:fldChar w:fldCharType="separate"/>
          </w:r>
          <w:r>
            <w:rPr>
              <w:rFonts w:hint="eastAsia"/>
              <w:sz w:val="21"/>
              <w:szCs w:val="21"/>
              <w:highlight w:val="none"/>
            </w:rPr>
            <w:t>土壤环境影响评价自查表</w:t>
          </w:r>
          <w:r>
            <w:rPr>
              <w:sz w:val="21"/>
              <w:szCs w:val="21"/>
              <w:highlight w:val="none"/>
            </w:rPr>
            <w:tab/>
          </w:r>
          <w:r>
            <w:rPr>
              <w:sz w:val="21"/>
              <w:szCs w:val="21"/>
              <w:highlight w:val="none"/>
            </w:rPr>
            <w:fldChar w:fldCharType="begin"/>
          </w:r>
          <w:r>
            <w:rPr>
              <w:sz w:val="21"/>
              <w:szCs w:val="21"/>
              <w:highlight w:val="none"/>
            </w:rPr>
            <w:instrText xml:space="preserve"> PAGEREF _Toc14206 \h </w:instrText>
          </w:r>
          <w:r>
            <w:rPr>
              <w:sz w:val="21"/>
              <w:szCs w:val="21"/>
              <w:highlight w:val="none"/>
            </w:rPr>
            <w:fldChar w:fldCharType="separate"/>
          </w:r>
          <w:r>
            <w:rPr>
              <w:sz w:val="21"/>
              <w:szCs w:val="21"/>
              <w:highlight w:val="none"/>
            </w:rPr>
            <w:t>255</w:t>
          </w:r>
          <w:r>
            <w:rPr>
              <w:sz w:val="21"/>
              <w:szCs w:val="21"/>
              <w:highlight w:val="none"/>
            </w:rPr>
            <w:fldChar w:fldCharType="end"/>
          </w:r>
          <w:r>
            <w:rPr>
              <w:sz w:val="21"/>
              <w:szCs w:val="21"/>
              <w:highlight w:val="none"/>
            </w:rPr>
            <w:fldChar w:fldCharType="end"/>
          </w:r>
        </w:p>
        <w:p w14:paraId="25E20788">
          <w:pPr>
            <w:pStyle w:val="15"/>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_Toc2176 </w:instrText>
          </w:r>
          <w:r>
            <w:rPr>
              <w:sz w:val="21"/>
              <w:szCs w:val="21"/>
              <w:highlight w:val="none"/>
            </w:rPr>
            <w:fldChar w:fldCharType="separate"/>
          </w:r>
          <w:r>
            <w:rPr>
              <w:rFonts w:hint="eastAsia"/>
              <w:sz w:val="21"/>
              <w:szCs w:val="21"/>
              <w:highlight w:val="none"/>
            </w:rPr>
            <w:t>建设项目风险自查表</w:t>
          </w:r>
          <w:r>
            <w:rPr>
              <w:sz w:val="21"/>
              <w:szCs w:val="21"/>
              <w:highlight w:val="none"/>
            </w:rPr>
            <w:tab/>
          </w:r>
          <w:r>
            <w:rPr>
              <w:sz w:val="21"/>
              <w:szCs w:val="21"/>
              <w:highlight w:val="none"/>
            </w:rPr>
            <w:fldChar w:fldCharType="begin"/>
          </w:r>
          <w:r>
            <w:rPr>
              <w:sz w:val="21"/>
              <w:szCs w:val="21"/>
              <w:highlight w:val="none"/>
            </w:rPr>
            <w:instrText xml:space="preserve"> PAGEREF _Toc2176 \h </w:instrText>
          </w:r>
          <w:r>
            <w:rPr>
              <w:sz w:val="21"/>
              <w:szCs w:val="21"/>
              <w:highlight w:val="none"/>
            </w:rPr>
            <w:fldChar w:fldCharType="separate"/>
          </w:r>
          <w:r>
            <w:rPr>
              <w:sz w:val="21"/>
              <w:szCs w:val="21"/>
              <w:highlight w:val="none"/>
            </w:rPr>
            <w:t>256</w:t>
          </w:r>
          <w:r>
            <w:rPr>
              <w:sz w:val="21"/>
              <w:szCs w:val="21"/>
              <w:highlight w:val="none"/>
            </w:rPr>
            <w:fldChar w:fldCharType="end"/>
          </w:r>
          <w:r>
            <w:rPr>
              <w:sz w:val="21"/>
              <w:szCs w:val="21"/>
              <w:highlight w:val="none"/>
            </w:rPr>
            <w:fldChar w:fldCharType="end"/>
          </w:r>
        </w:p>
        <w:p w14:paraId="7B6283BE">
          <w:pPr>
            <w:pStyle w:val="14"/>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_Toc8583 </w:instrText>
          </w:r>
          <w:r>
            <w:rPr>
              <w:sz w:val="21"/>
              <w:szCs w:val="21"/>
              <w:highlight w:val="none"/>
            </w:rPr>
            <w:fldChar w:fldCharType="separate"/>
          </w:r>
          <w:r>
            <w:rPr>
              <w:rFonts w:hint="eastAsia"/>
              <w:sz w:val="21"/>
              <w:szCs w:val="21"/>
              <w:highlight w:val="none"/>
              <w:lang w:val="en-US" w:eastAsia="zh-CN"/>
            </w:rPr>
            <w:t>附图</w:t>
          </w:r>
          <w:r>
            <w:rPr>
              <w:rFonts w:hint="eastAsia" w:ascii="Times New Roman" w:hAnsi="Times New Roman" w:eastAsia="宋体" w:cs="Times New Roman"/>
              <w:kern w:val="2"/>
              <w:sz w:val="21"/>
              <w:szCs w:val="21"/>
              <w:highlight w:val="none"/>
              <w:lang w:val="en-US" w:eastAsia="zh-CN" w:bidi="ar-SA"/>
            </w:rPr>
            <w:t>1</w:t>
          </w:r>
          <w:r>
            <w:rPr>
              <w:rFonts w:hint="eastAsia"/>
              <w:sz w:val="21"/>
              <w:szCs w:val="21"/>
              <w:highlight w:val="none"/>
              <w:lang w:val="en-US" w:eastAsia="zh-CN"/>
            </w:rPr>
            <w:t>厂区现有设施照片</w:t>
          </w:r>
          <w:r>
            <w:rPr>
              <w:sz w:val="21"/>
              <w:szCs w:val="21"/>
              <w:highlight w:val="none"/>
            </w:rPr>
            <w:tab/>
          </w:r>
          <w:r>
            <w:rPr>
              <w:sz w:val="21"/>
              <w:szCs w:val="21"/>
              <w:highlight w:val="none"/>
            </w:rPr>
            <w:fldChar w:fldCharType="begin"/>
          </w:r>
          <w:r>
            <w:rPr>
              <w:sz w:val="21"/>
              <w:szCs w:val="21"/>
              <w:highlight w:val="none"/>
            </w:rPr>
            <w:instrText xml:space="preserve"> PAGEREF _Toc8583 \h </w:instrText>
          </w:r>
          <w:r>
            <w:rPr>
              <w:sz w:val="21"/>
              <w:szCs w:val="21"/>
              <w:highlight w:val="none"/>
            </w:rPr>
            <w:fldChar w:fldCharType="separate"/>
          </w:r>
          <w:r>
            <w:rPr>
              <w:sz w:val="21"/>
              <w:szCs w:val="21"/>
              <w:highlight w:val="none"/>
            </w:rPr>
            <w:t>257</w:t>
          </w:r>
          <w:r>
            <w:rPr>
              <w:sz w:val="21"/>
              <w:szCs w:val="21"/>
              <w:highlight w:val="none"/>
            </w:rPr>
            <w:fldChar w:fldCharType="end"/>
          </w:r>
          <w:r>
            <w:rPr>
              <w:sz w:val="21"/>
              <w:szCs w:val="21"/>
              <w:highlight w:val="none"/>
            </w:rPr>
            <w:fldChar w:fldCharType="end"/>
          </w:r>
        </w:p>
        <w:p w14:paraId="268694BD">
          <w:pPr>
            <w:pStyle w:val="14"/>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_Toc14518 </w:instrText>
          </w:r>
          <w:r>
            <w:rPr>
              <w:sz w:val="21"/>
              <w:szCs w:val="21"/>
              <w:highlight w:val="none"/>
            </w:rPr>
            <w:fldChar w:fldCharType="separate"/>
          </w:r>
          <w:r>
            <w:rPr>
              <w:rFonts w:hint="eastAsia"/>
              <w:sz w:val="21"/>
              <w:szCs w:val="21"/>
              <w:highlight w:val="none"/>
              <w:lang w:val="en-US" w:eastAsia="zh-CN"/>
            </w:rPr>
            <w:t>附图</w:t>
          </w:r>
          <w:r>
            <w:rPr>
              <w:rFonts w:hint="eastAsia" w:ascii="Times New Roman" w:hAnsi="Times New Roman" w:eastAsia="宋体" w:cs="Times New Roman"/>
              <w:kern w:val="2"/>
              <w:sz w:val="21"/>
              <w:szCs w:val="21"/>
              <w:highlight w:val="none"/>
              <w:lang w:val="en-US" w:eastAsia="zh-CN" w:bidi="ar-SA"/>
            </w:rPr>
            <w:t>2</w:t>
          </w:r>
          <w:r>
            <w:rPr>
              <w:rFonts w:hint="eastAsia"/>
              <w:sz w:val="21"/>
              <w:szCs w:val="21"/>
              <w:highlight w:val="none"/>
              <w:lang w:val="en-US" w:eastAsia="zh-CN"/>
            </w:rPr>
            <w:t>厂区平面图及分区防渗图</w:t>
          </w:r>
          <w:r>
            <w:rPr>
              <w:sz w:val="21"/>
              <w:szCs w:val="21"/>
              <w:highlight w:val="none"/>
            </w:rPr>
            <w:tab/>
          </w:r>
          <w:r>
            <w:rPr>
              <w:sz w:val="21"/>
              <w:szCs w:val="21"/>
              <w:highlight w:val="none"/>
            </w:rPr>
            <w:fldChar w:fldCharType="begin"/>
          </w:r>
          <w:r>
            <w:rPr>
              <w:sz w:val="21"/>
              <w:szCs w:val="21"/>
              <w:highlight w:val="none"/>
            </w:rPr>
            <w:instrText xml:space="preserve"> PAGEREF _Toc14518 \h </w:instrText>
          </w:r>
          <w:r>
            <w:rPr>
              <w:sz w:val="21"/>
              <w:szCs w:val="21"/>
              <w:highlight w:val="none"/>
            </w:rPr>
            <w:fldChar w:fldCharType="separate"/>
          </w:r>
          <w:r>
            <w:rPr>
              <w:sz w:val="21"/>
              <w:szCs w:val="21"/>
              <w:highlight w:val="none"/>
            </w:rPr>
            <w:t>259</w:t>
          </w:r>
          <w:r>
            <w:rPr>
              <w:sz w:val="21"/>
              <w:szCs w:val="21"/>
              <w:highlight w:val="none"/>
            </w:rPr>
            <w:fldChar w:fldCharType="end"/>
          </w:r>
          <w:r>
            <w:rPr>
              <w:sz w:val="21"/>
              <w:szCs w:val="21"/>
              <w:highlight w:val="none"/>
            </w:rPr>
            <w:fldChar w:fldCharType="end"/>
          </w:r>
        </w:p>
        <w:p w14:paraId="2624A88E">
          <w:pPr>
            <w:pStyle w:val="14"/>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_Toc30992 </w:instrText>
          </w:r>
          <w:r>
            <w:rPr>
              <w:sz w:val="21"/>
              <w:szCs w:val="21"/>
              <w:highlight w:val="none"/>
            </w:rPr>
            <w:fldChar w:fldCharType="separate"/>
          </w:r>
          <w:r>
            <w:rPr>
              <w:rFonts w:hint="eastAsia"/>
              <w:sz w:val="21"/>
              <w:szCs w:val="21"/>
              <w:highlight w:val="none"/>
              <w:lang w:val="en-US" w:eastAsia="zh-CN"/>
            </w:rPr>
            <w:t>附件</w:t>
          </w:r>
          <w:r>
            <w:rPr>
              <w:rFonts w:hint="eastAsia" w:ascii="Times New Roman" w:hAnsi="Times New Roman" w:eastAsia="宋体" w:cs="Times New Roman"/>
              <w:kern w:val="2"/>
              <w:sz w:val="21"/>
              <w:szCs w:val="21"/>
              <w:highlight w:val="none"/>
              <w:lang w:val="en-US" w:eastAsia="zh-CN" w:bidi="ar-SA"/>
            </w:rPr>
            <w:t>1</w:t>
          </w:r>
          <w:r>
            <w:rPr>
              <w:rFonts w:hint="eastAsia"/>
              <w:sz w:val="21"/>
              <w:szCs w:val="21"/>
              <w:highlight w:val="none"/>
              <w:lang w:val="en-US" w:eastAsia="zh-CN"/>
            </w:rPr>
            <w:t>生态环境分区管控分析报告</w:t>
          </w:r>
          <w:r>
            <w:rPr>
              <w:sz w:val="21"/>
              <w:szCs w:val="21"/>
              <w:highlight w:val="none"/>
            </w:rPr>
            <w:tab/>
          </w:r>
          <w:r>
            <w:rPr>
              <w:sz w:val="21"/>
              <w:szCs w:val="21"/>
              <w:highlight w:val="none"/>
            </w:rPr>
            <w:fldChar w:fldCharType="begin"/>
          </w:r>
          <w:r>
            <w:rPr>
              <w:sz w:val="21"/>
              <w:szCs w:val="21"/>
              <w:highlight w:val="none"/>
            </w:rPr>
            <w:instrText xml:space="preserve"> PAGEREF _Toc30992 \h </w:instrText>
          </w:r>
          <w:r>
            <w:rPr>
              <w:sz w:val="21"/>
              <w:szCs w:val="21"/>
              <w:highlight w:val="none"/>
            </w:rPr>
            <w:fldChar w:fldCharType="separate"/>
          </w:r>
          <w:r>
            <w:rPr>
              <w:sz w:val="21"/>
              <w:szCs w:val="21"/>
              <w:highlight w:val="none"/>
            </w:rPr>
            <w:t>260</w:t>
          </w:r>
          <w:r>
            <w:rPr>
              <w:sz w:val="21"/>
              <w:szCs w:val="21"/>
              <w:highlight w:val="none"/>
            </w:rPr>
            <w:fldChar w:fldCharType="end"/>
          </w:r>
          <w:r>
            <w:rPr>
              <w:sz w:val="21"/>
              <w:szCs w:val="21"/>
              <w:highlight w:val="none"/>
            </w:rPr>
            <w:fldChar w:fldCharType="end"/>
          </w:r>
        </w:p>
        <w:p w14:paraId="4F7D498A">
          <w:pPr>
            <w:pStyle w:val="14"/>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_Toc24640 </w:instrText>
          </w:r>
          <w:r>
            <w:rPr>
              <w:sz w:val="21"/>
              <w:szCs w:val="21"/>
              <w:highlight w:val="none"/>
            </w:rPr>
            <w:fldChar w:fldCharType="separate"/>
          </w:r>
          <w:r>
            <w:rPr>
              <w:rFonts w:hint="eastAsia"/>
              <w:sz w:val="21"/>
              <w:szCs w:val="21"/>
              <w:highlight w:val="none"/>
              <w:lang w:val="en-US" w:eastAsia="zh-CN"/>
            </w:rPr>
            <w:t>附件</w:t>
          </w:r>
          <w:r>
            <w:rPr>
              <w:rFonts w:hint="eastAsia" w:ascii="Times New Roman" w:hAnsi="Times New Roman" w:eastAsia="宋体" w:cs="Times New Roman"/>
              <w:kern w:val="2"/>
              <w:sz w:val="21"/>
              <w:szCs w:val="21"/>
              <w:highlight w:val="none"/>
              <w:lang w:val="en-US" w:eastAsia="zh-CN" w:bidi="ar-SA"/>
            </w:rPr>
            <w:t>2</w:t>
          </w:r>
          <w:r>
            <w:rPr>
              <w:rFonts w:hint="eastAsia"/>
              <w:sz w:val="21"/>
              <w:szCs w:val="21"/>
              <w:highlight w:val="none"/>
              <w:lang w:val="en-US" w:eastAsia="zh-CN"/>
            </w:rPr>
            <w:t>营业执照</w:t>
          </w:r>
          <w:r>
            <w:rPr>
              <w:sz w:val="21"/>
              <w:szCs w:val="21"/>
              <w:highlight w:val="none"/>
            </w:rPr>
            <w:tab/>
          </w:r>
          <w:r>
            <w:rPr>
              <w:sz w:val="21"/>
              <w:szCs w:val="21"/>
              <w:highlight w:val="none"/>
            </w:rPr>
            <w:fldChar w:fldCharType="begin"/>
          </w:r>
          <w:r>
            <w:rPr>
              <w:sz w:val="21"/>
              <w:szCs w:val="21"/>
              <w:highlight w:val="none"/>
            </w:rPr>
            <w:instrText xml:space="preserve"> PAGEREF _Toc24640 \h </w:instrText>
          </w:r>
          <w:r>
            <w:rPr>
              <w:sz w:val="21"/>
              <w:szCs w:val="21"/>
              <w:highlight w:val="none"/>
            </w:rPr>
            <w:fldChar w:fldCharType="separate"/>
          </w:r>
          <w:r>
            <w:rPr>
              <w:sz w:val="21"/>
              <w:szCs w:val="21"/>
              <w:highlight w:val="none"/>
            </w:rPr>
            <w:t>272</w:t>
          </w:r>
          <w:r>
            <w:rPr>
              <w:sz w:val="21"/>
              <w:szCs w:val="21"/>
              <w:highlight w:val="none"/>
            </w:rPr>
            <w:fldChar w:fldCharType="end"/>
          </w:r>
          <w:r>
            <w:rPr>
              <w:sz w:val="21"/>
              <w:szCs w:val="21"/>
              <w:highlight w:val="none"/>
            </w:rPr>
            <w:fldChar w:fldCharType="end"/>
          </w:r>
        </w:p>
        <w:p w14:paraId="11BDFF6C">
          <w:pPr>
            <w:pStyle w:val="14"/>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_Toc17446 </w:instrText>
          </w:r>
          <w:r>
            <w:rPr>
              <w:sz w:val="21"/>
              <w:szCs w:val="21"/>
              <w:highlight w:val="none"/>
            </w:rPr>
            <w:fldChar w:fldCharType="separate"/>
          </w:r>
          <w:r>
            <w:rPr>
              <w:rFonts w:hint="eastAsia"/>
              <w:sz w:val="21"/>
              <w:szCs w:val="21"/>
              <w:highlight w:val="none"/>
              <w:lang w:val="en-US" w:eastAsia="zh-CN"/>
            </w:rPr>
            <w:t>附件</w:t>
          </w:r>
          <w:r>
            <w:rPr>
              <w:rFonts w:hint="eastAsia" w:ascii="Times New Roman" w:hAnsi="Times New Roman" w:eastAsia="宋体" w:cs="Times New Roman"/>
              <w:kern w:val="2"/>
              <w:sz w:val="21"/>
              <w:szCs w:val="21"/>
              <w:highlight w:val="none"/>
              <w:lang w:val="en-US" w:eastAsia="zh-CN" w:bidi="ar-SA"/>
            </w:rPr>
            <w:t>3</w:t>
          </w:r>
          <w:r>
            <w:rPr>
              <w:rFonts w:hint="eastAsia"/>
              <w:sz w:val="21"/>
              <w:szCs w:val="21"/>
              <w:highlight w:val="none"/>
              <w:lang w:val="en-US" w:eastAsia="zh-CN"/>
            </w:rPr>
            <w:t>煤质分析报告</w:t>
          </w:r>
          <w:r>
            <w:rPr>
              <w:sz w:val="21"/>
              <w:szCs w:val="21"/>
              <w:highlight w:val="none"/>
            </w:rPr>
            <w:tab/>
          </w:r>
          <w:r>
            <w:rPr>
              <w:sz w:val="21"/>
              <w:szCs w:val="21"/>
              <w:highlight w:val="none"/>
            </w:rPr>
            <w:fldChar w:fldCharType="begin"/>
          </w:r>
          <w:r>
            <w:rPr>
              <w:sz w:val="21"/>
              <w:szCs w:val="21"/>
              <w:highlight w:val="none"/>
            </w:rPr>
            <w:instrText xml:space="preserve"> PAGEREF _Toc17446 \h </w:instrText>
          </w:r>
          <w:r>
            <w:rPr>
              <w:sz w:val="21"/>
              <w:szCs w:val="21"/>
              <w:highlight w:val="none"/>
            </w:rPr>
            <w:fldChar w:fldCharType="separate"/>
          </w:r>
          <w:r>
            <w:rPr>
              <w:sz w:val="21"/>
              <w:szCs w:val="21"/>
              <w:highlight w:val="none"/>
            </w:rPr>
            <w:t>273</w:t>
          </w:r>
          <w:r>
            <w:rPr>
              <w:sz w:val="21"/>
              <w:szCs w:val="21"/>
              <w:highlight w:val="none"/>
            </w:rPr>
            <w:fldChar w:fldCharType="end"/>
          </w:r>
          <w:r>
            <w:rPr>
              <w:sz w:val="21"/>
              <w:szCs w:val="21"/>
              <w:highlight w:val="none"/>
            </w:rPr>
            <w:fldChar w:fldCharType="end"/>
          </w:r>
        </w:p>
        <w:p w14:paraId="78308F98">
          <w:pPr>
            <w:pStyle w:val="14"/>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_Toc21897 </w:instrText>
          </w:r>
          <w:r>
            <w:rPr>
              <w:sz w:val="21"/>
              <w:szCs w:val="21"/>
              <w:highlight w:val="none"/>
            </w:rPr>
            <w:fldChar w:fldCharType="separate"/>
          </w:r>
          <w:r>
            <w:rPr>
              <w:rFonts w:hint="eastAsia"/>
              <w:sz w:val="21"/>
              <w:szCs w:val="21"/>
              <w:highlight w:val="none"/>
              <w:lang w:val="en-US" w:eastAsia="zh-CN"/>
            </w:rPr>
            <w:t>附件</w:t>
          </w:r>
          <w:r>
            <w:rPr>
              <w:rFonts w:hint="eastAsia" w:ascii="Times New Roman" w:hAnsi="Times New Roman" w:eastAsia="宋体" w:cs="Times New Roman"/>
              <w:kern w:val="2"/>
              <w:sz w:val="21"/>
              <w:szCs w:val="21"/>
              <w:highlight w:val="none"/>
              <w:lang w:val="en-US" w:eastAsia="zh-CN" w:bidi="ar-SA"/>
            </w:rPr>
            <w:t>4</w:t>
          </w:r>
          <w:r>
            <w:rPr>
              <w:rFonts w:hint="eastAsia"/>
              <w:sz w:val="21"/>
              <w:szCs w:val="21"/>
              <w:highlight w:val="none"/>
              <w:lang w:val="en-US" w:eastAsia="zh-CN"/>
            </w:rPr>
            <w:t>土地证</w:t>
          </w:r>
          <w:r>
            <w:rPr>
              <w:sz w:val="21"/>
              <w:szCs w:val="21"/>
              <w:highlight w:val="none"/>
            </w:rPr>
            <w:tab/>
          </w:r>
          <w:r>
            <w:rPr>
              <w:sz w:val="21"/>
              <w:szCs w:val="21"/>
              <w:highlight w:val="none"/>
            </w:rPr>
            <w:fldChar w:fldCharType="begin"/>
          </w:r>
          <w:r>
            <w:rPr>
              <w:sz w:val="21"/>
              <w:szCs w:val="21"/>
              <w:highlight w:val="none"/>
            </w:rPr>
            <w:instrText xml:space="preserve"> PAGEREF _Toc21897 \h </w:instrText>
          </w:r>
          <w:r>
            <w:rPr>
              <w:sz w:val="21"/>
              <w:szCs w:val="21"/>
              <w:highlight w:val="none"/>
            </w:rPr>
            <w:fldChar w:fldCharType="separate"/>
          </w:r>
          <w:r>
            <w:rPr>
              <w:sz w:val="21"/>
              <w:szCs w:val="21"/>
              <w:highlight w:val="none"/>
            </w:rPr>
            <w:t>278</w:t>
          </w:r>
          <w:r>
            <w:rPr>
              <w:sz w:val="21"/>
              <w:szCs w:val="21"/>
              <w:highlight w:val="none"/>
            </w:rPr>
            <w:fldChar w:fldCharType="end"/>
          </w:r>
          <w:r>
            <w:rPr>
              <w:sz w:val="21"/>
              <w:szCs w:val="21"/>
              <w:highlight w:val="none"/>
            </w:rPr>
            <w:fldChar w:fldCharType="end"/>
          </w:r>
        </w:p>
        <w:p w14:paraId="6B4CDD04">
          <w:pPr>
            <w:pStyle w:val="14"/>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_Toc3536 </w:instrText>
          </w:r>
          <w:r>
            <w:rPr>
              <w:sz w:val="21"/>
              <w:szCs w:val="21"/>
              <w:highlight w:val="none"/>
            </w:rPr>
            <w:fldChar w:fldCharType="separate"/>
          </w:r>
          <w:r>
            <w:rPr>
              <w:rFonts w:hint="eastAsia"/>
              <w:sz w:val="21"/>
              <w:szCs w:val="21"/>
              <w:highlight w:val="none"/>
              <w:lang w:val="en-US" w:eastAsia="zh-CN"/>
            </w:rPr>
            <w:t>附件</w:t>
          </w:r>
          <w:r>
            <w:rPr>
              <w:rFonts w:hint="eastAsia" w:ascii="Times New Roman" w:hAnsi="Times New Roman" w:eastAsia="宋体" w:cs="Times New Roman"/>
              <w:kern w:val="2"/>
              <w:sz w:val="21"/>
              <w:szCs w:val="21"/>
              <w:highlight w:val="none"/>
              <w:lang w:val="en-US" w:eastAsia="zh-CN" w:bidi="ar-SA"/>
            </w:rPr>
            <w:t>5</w:t>
          </w:r>
          <w:r>
            <w:rPr>
              <w:rFonts w:hint="eastAsia"/>
              <w:sz w:val="21"/>
              <w:szCs w:val="21"/>
              <w:highlight w:val="none"/>
              <w:lang w:val="en-US" w:eastAsia="zh-CN"/>
            </w:rPr>
            <w:t>核定总量计算说明</w:t>
          </w:r>
          <w:r>
            <w:rPr>
              <w:sz w:val="21"/>
              <w:szCs w:val="21"/>
              <w:highlight w:val="none"/>
            </w:rPr>
            <w:tab/>
          </w:r>
          <w:r>
            <w:rPr>
              <w:sz w:val="21"/>
              <w:szCs w:val="21"/>
              <w:highlight w:val="none"/>
            </w:rPr>
            <w:fldChar w:fldCharType="begin"/>
          </w:r>
          <w:r>
            <w:rPr>
              <w:sz w:val="21"/>
              <w:szCs w:val="21"/>
              <w:highlight w:val="none"/>
            </w:rPr>
            <w:instrText xml:space="preserve"> PAGEREF _Toc3536 \h </w:instrText>
          </w:r>
          <w:r>
            <w:rPr>
              <w:sz w:val="21"/>
              <w:szCs w:val="21"/>
              <w:highlight w:val="none"/>
            </w:rPr>
            <w:fldChar w:fldCharType="separate"/>
          </w:r>
          <w:r>
            <w:rPr>
              <w:sz w:val="21"/>
              <w:szCs w:val="21"/>
              <w:highlight w:val="none"/>
            </w:rPr>
            <w:t>285</w:t>
          </w:r>
          <w:r>
            <w:rPr>
              <w:sz w:val="21"/>
              <w:szCs w:val="21"/>
              <w:highlight w:val="none"/>
            </w:rPr>
            <w:fldChar w:fldCharType="end"/>
          </w:r>
          <w:r>
            <w:rPr>
              <w:sz w:val="21"/>
              <w:szCs w:val="21"/>
              <w:highlight w:val="none"/>
            </w:rPr>
            <w:fldChar w:fldCharType="end"/>
          </w:r>
        </w:p>
        <w:p w14:paraId="222E0C3D">
          <w:pPr>
            <w:pStyle w:val="14"/>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_Toc29849 </w:instrText>
          </w:r>
          <w:r>
            <w:rPr>
              <w:sz w:val="21"/>
              <w:szCs w:val="21"/>
              <w:highlight w:val="none"/>
            </w:rPr>
            <w:fldChar w:fldCharType="separate"/>
          </w:r>
          <w:r>
            <w:rPr>
              <w:rFonts w:hint="eastAsia"/>
              <w:sz w:val="21"/>
              <w:szCs w:val="21"/>
              <w:highlight w:val="none"/>
              <w:lang w:val="en-US" w:eastAsia="zh-CN"/>
            </w:rPr>
            <w:t>附件</w:t>
          </w:r>
          <w:r>
            <w:rPr>
              <w:rFonts w:hint="eastAsia" w:ascii="Times New Roman" w:hAnsi="Times New Roman" w:eastAsia="宋体" w:cs="Times New Roman"/>
              <w:kern w:val="2"/>
              <w:sz w:val="21"/>
              <w:szCs w:val="21"/>
              <w:highlight w:val="none"/>
              <w:lang w:val="en-US" w:eastAsia="zh-CN" w:bidi="ar-SA"/>
            </w:rPr>
            <w:t>6</w:t>
          </w:r>
          <w:r>
            <w:rPr>
              <w:rFonts w:hint="eastAsia"/>
              <w:sz w:val="21"/>
              <w:szCs w:val="21"/>
              <w:highlight w:val="none"/>
              <w:lang w:val="en-US" w:eastAsia="zh-CN"/>
            </w:rPr>
            <w:t>排污许可证及企业规模信息</w:t>
          </w:r>
          <w:r>
            <w:rPr>
              <w:sz w:val="21"/>
              <w:szCs w:val="21"/>
              <w:highlight w:val="none"/>
            </w:rPr>
            <w:tab/>
          </w:r>
          <w:r>
            <w:rPr>
              <w:sz w:val="21"/>
              <w:szCs w:val="21"/>
              <w:highlight w:val="none"/>
            </w:rPr>
            <w:fldChar w:fldCharType="begin"/>
          </w:r>
          <w:r>
            <w:rPr>
              <w:sz w:val="21"/>
              <w:szCs w:val="21"/>
              <w:highlight w:val="none"/>
            </w:rPr>
            <w:instrText xml:space="preserve"> PAGEREF _Toc29849 \h </w:instrText>
          </w:r>
          <w:r>
            <w:rPr>
              <w:sz w:val="21"/>
              <w:szCs w:val="21"/>
              <w:highlight w:val="none"/>
            </w:rPr>
            <w:fldChar w:fldCharType="separate"/>
          </w:r>
          <w:r>
            <w:rPr>
              <w:sz w:val="21"/>
              <w:szCs w:val="21"/>
              <w:highlight w:val="none"/>
            </w:rPr>
            <w:t>288</w:t>
          </w:r>
          <w:r>
            <w:rPr>
              <w:sz w:val="21"/>
              <w:szCs w:val="21"/>
              <w:highlight w:val="none"/>
            </w:rPr>
            <w:fldChar w:fldCharType="end"/>
          </w:r>
          <w:r>
            <w:rPr>
              <w:sz w:val="21"/>
              <w:szCs w:val="21"/>
              <w:highlight w:val="none"/>
            </w:rPr>
            <w:fldChar w:fldCharType="end"/>
          </w:r>
        </w:p>
        <w:p w14:paraId="43F598E1">
          <w:pPr>
            <w:pStyle w:val="14"/>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_Toc21140 </w:instrText>
          </w:r>
          <w:r>
            <w:rPr>
              <w:sz w:val="21"/>
              <w:szCs w:val="21"/>
              <w:highlight w:val="none"/>
            </w:rPr>
            <w:fldChar w:fldCharType="separate"/>
          </w:r>
          <w:r>
            <w:rPr>
              <w:rFonts w:hint="eastAsia"/>
              <w:sz w:val="21"/>
              <w:szCs w:val="21"/>
              <w:highlight w:val="none"/>
              <w:lang w:val="en-US" w:eastAsia="zh-CN"/>
            </w:rPr>
            <w:t>附</w:t>
          </w:r>
          <w:r>
            <w:rPr>
              <w:rFonts w:hint="eastAsia" w:ascii="Times New Roman" w:hAnsi="Times New Roman" w:eastAsia="宋体" w:cs="Times New Roman"/>
              <w:kern w:val="2"/>
              <w:sz w:val="21"/>
              <w:szCs w:val="21"/>
              <w:highlight w:val="none"/>
              <w:lang w:val="en-US" w:eastAsia="zh-CN" w:bidi="ar-SA"/>
            </w:rPr>
            <w:t>件7</w:t>
          </w:r>
          <w:r>
            <w:rPr>
              <w:rFonts w:hint="eastAsia"/>
              <w:sz w:val="21"/>
              <w:szCs w:val="21"/>
              <w:highlight w:val="none"/>
              <w:lang w:val="en-US" w:eastAsia="zh-CN"/>
            </w:rPr>
            <w:t>现有环评批复及验收意见</w:t>
          </w:r>
          <w:r>
            <w:rPr>
              <w:sz w:val="21"/>
              <w:szCs w:val="21"/>
              <w:highlight w:val="none"/>
            </w:rPr>
            <w:tab/>
          </w:r>
          <w:r>
            <w:rPr>
              <w:sz w:val="21"/>
              <w:szCs w:val="21"/>
              <w:highlight w:val="none"/>
            </w:rPr>
            <w:fldChar w:fldCharType="begin"/>
          </w:r>
          <w:r>
            <w:rPr>
              <w:sz w:val="21"/>
              <w:szCs w:val="21"/>
              <w:highlight w:val="none"/>
            </w:rPr>
            <w:instrText xml:space="preserve"> PAGEREF _Toc21140 \h </w:instrText>
          </w:r>
          <w:r>
            <w:rPr>
              <w:sz w:val="21"/>
              <w:szCs w:val="21"/>
              <w:highlight w:val="none"/>
            </w:rPr>
            <w:fldChar w:fldCharType="separate"/>
          </w:r>
          <w:r>
            <w:rPr>
              <w:sz w:val="21"/>
              <w:szCs w:val="21"/>
              <w:highlight w:val="none"/>
            </w:rPr>
            <w:t>289</w:t>
          </w:r>
          <w:r>
            <w:rPr>
              <w:sz w:val="21"/>
              <w:szCs w:val="21"/>
              <w:highlight w:val="none"/>
            </w:rPr>
            <w:fldChar w:fldCharType="end"/>
          </w:r>
          <w:r>
            <w:rPr>
              <w:sz w:val="21"/>
              <w:szCs w:val="21"/>
              <w:highlight w:val="none"/>
            </w:rPr>
            <w:fldChar w:fldCharType="end"/>
          </w:r>
        </w:p>
        <w:p w14:paraId="2BDB460B">
          <w:pPr>
            <w:pStyle w:val="14"/>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_Toc32277 </w:instrText>
          </w:r>
          <w:r>
            <w:rPr>
              <w:sz w:val="21"/>
              <w:szCs w:val="21"/>
              <w:highlight w:val="none"/>
            </w:rPr>
            <w:fldChar w:fldCharType="separate"/>
          </w:r>
          <w:r>
            <w:rPr>
              <w:rFonts w:hint="eastAsia"/>
              <w:sz w:val="21"/>
              <w:szCs w:val="21"/>
              <w:highlight w:val="none"/>
              <w:lang w:val="en-US" w:eastAsia="zh-CN"/>
            </w:rPr>
            <w:t>附件</w:t>
          </w:r>
          <w:r>
            <w:rPr>
              <w:rFonts w:hint="eastAsia" w:ascii="Times New Roman" w:hAnsi="Times New Roman" w:eastAsia="宋体" w:cs="Times New Roman"/>
              <w:kern w:val="2"/>
              <w:sz w:val="21"/>
              <w:szCs w:val="21"/>
              <w:highlight w:val="none"/>
              <w:lang w:val="en-US" w:eastAsia="zh-CN" w:bidi="ar-SA"/>
            </w:rPr>
            <w:t>8</w:t>
          </w:r>
          <w:r>
            <w:rPr>
              <w:rFonts w:hint="eastAsia"/>
              <w:sz w:val="21"/>
              <w:szCs w:val="21"/>
              <w:highlight w:val="none"/>
              <w:lang w:val="en-US" w:eastAsia="zh-CN"/>
            </w:rPr>
            <w:t>关于《绥芬河边境经济合作区（代管区）总体规划（2021-2035年）环境影响报告书》的审查意见</w:t>
          </w:r>
          <w:r>
            <w:rPr>
              <w:sz w:val="21"/>
              <w:szCs w:val="21"/>
              <w:highlight w:val="none"/>
            </w:rPr>
            <w:tab/>
          </w:r>
          <w:r>
            <w:rPr>
              <w:sz w:val="21"/>
              <w:szCs w:val="21"/>
              <w:highlight w:val="none"/>
            </w:rPr>
            <w:fldChar w:fldCharType="begin"/>
          </w:r>
          <w:r>
            <w:rPr>
              <w:sz w:val="21"/>
              <w:szCs w:val="21"/>
              <w:highlight w:val="none"/>
            </w:rPr>
            <w:instrText xml:space="preserve"> PAGEREF _Toc32277 \h </w:instrText>
          </w:r>
          <w:r>
            <w:rPr>
              <w:sz w:val="21"/>
              <w:szCs w:val="21"/>
              <w:highlight w:val="none"/>
            </w:rPr>
            <w:fldChar w:fldCharType="separate"/>
          </w:r>
          <w:r>
            <w:rPr>
              <w:sz w:val="21"/>
              <w:szCs w:val="21"/>
              <w:highlight w:val="none"/>
            </w:rPr>
            <w:t>295</w:t>
          </w:r>
          <w:r>
            <w:rPr>
              <w:sz w:val="21"/>
              <w:szCs w:val="21"/>
              <w:highlight w:val="none"/>
            </w:rPr>
            <w:fldChar w:fldCharType="end"/>
          </w:r>
          <w:r>
            <w:rPr>
              <w:sz w:val="21"/>
              <w:szCs w:val="21"/>
              <w:highlight w:val="none"/>
            </w:rPr>
            <w:fldChar w:fldCharType="end"/>
          </w:r>
        </w:p>
        <w:p w14:paraId="43D24174">
          <w:pPr>
            <w:pStyle w:val="14"/>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_Toc30183 </w:instrText>
          </w:r>
          <w:r>
            <w:rPr>
              <w:sz w:val="21"/>
              <w:szCs w:val="21"/>
              <w:highlight w:val="none"/>
            </w:rPr>
            <w:fldChar w:fldCharType="separate"/>
          </w:r>
          <w:r>
            <w:rPr>
              <w:rFonts w:hint="eastAsia"/>
              <w:sz w:val="21"/>
              <w:szCs w:val="21"/>
              <w:highlight w:val="none"/>
              <w:lang w:val="en-US" w:eastAsia="zh-CN"/>
            </w:rPr>
            <w:t>附件</w:t>
          </w:r>
          <w:r>
            <w:rPr>
              <w:rFonts w:hint="eastAsia" w:ascii="Times New Roman" w:hAnsi="Times New Roman" w:eastAsia="宋体" w:cs="Times New Roman"/>
              <w:kern w:val="2"/>
              <w:sz w:val="21"/>
              <w:szCs w:val="21"/>
              <w:highlight w:val="none"/>
              <w:lang w:val="en-US" w:eastAsia="zh-CN" w:bidi="ar-SA"/>
            </w:rPr>
            <w:t>9</w:t>
          </w:r>
          <w:r>
            <w:rPr>
              <w:rFonts w:hint="eastAsia"/>
              <w:sz w:val="21"/>
              <w:szCs w:val="21"/>
              <w:highlight w:val="none"/>
              <w:lang w:val="en-US" w:eastAsia="zh-CN"/>
            </w:rPr>
            <w:t>现有工程定期检测报告</w:t>
          </w:r>
          <w:r>
            <w:rPr>
              <w:sz w:val="21"/>
              <w:szCs w:val="21"/>
              <w:highlight w:val="none"/>
            </w:rPr>
            <w:tab/>
          </w:r>
          <w:r>
            <w:rPr>
              <w:sz w:val="21"/>
              <w:szCs w:val="21"/>
              <w:highlight w:val="none"/>
            </w:rPr>
            <w:fldChar w:fldCharType="begin"/>
          </w:r>
          <w:r>
            <w:rPr>
              <w:sz w:val="21"/>
              <w:szCs w:val="21"/>
              <w:highlight w:val="none"/>
            </w:rPr>
            <w:instrText xml:space="preserve"> PAGEREF _Toc30183 \h </w:instrText>
          </w:r>
          <w:r>
            <w:rPr>
              <w:sz w:val="21"/>
              <w:szCs w:val="21"/>
              <w:highlight w:val="none"/>
            </w:rPr>
            <w:fldChar w:fldCharType="separate"/>
          </w:r>
          <w:r>
            <w:rPr>
              <w:sz w:val="21"/>
              <w:szCs w:val="21"/>
              <w:highlight w:val="none"/>
            </w:rPr>
            <w:t>301</w:t>
          </w:r>
          <w:r>
            <w:rPr>
              <w:sz w:val="21"/>
              <w:szCs w:val="21"/>
              <w:highlight w:val="none"/>
            </w:rPr>
            <w:fldChar w:fldCharType="end"/>
          </w:r>
          <w:r>
            <w:rPr>
              <w:sz w:val="21"/>
              <w:szCs w:val="21"/>
              <w:highlight w:val="none"/>
            </w:rPr>
            <w:fldChar w:fldCharType="end"/>
          </w:r>
        </w:p>
        <w:p w14:paraId="59B50B7E">
          <w:pPr>
            <w:pStyle w:val="14"/>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_Toc32604 </w:instrText>
          </w:r>
          <w:r>
            <w:rPr>
              <w:sz w:val="21"/>
              <w:szCs w:val="21"/>
              <w:highlight w:val="none"/>
            </w:rPr>
            <w:fldChar w:fldCharType="separate"/>
          </w:r>
          <w:r>
            <w:rPr>
              <w:rFonts w:hint="eastAsia"/>
              <w:sz w:val="21"/>
              <w:szCs w:val="21"/>
              <w:highlight w:val="none"/>
              <w:lang w:val="en-US" w:eastAsia="zh-CN"/>
            </w:rPr>
            <w:t>附件</w:t>
          </w:r>
          <w:r>
            <w:rPr>
              <w:rFonts w:hint="eastAsia" w:ascii="Times New Roman" w:hAnsi="Times New Roman" w:eastAsia="宋体" w:cs="Times New Roman"/>
              <w:kern w:val="2"/>
              <w:sz w:val="21"/>
              <w:szCs w:val="21"/>
              <w:highlight w:val="none"/>
              <w:lang w:val="en-US" w:eastAsia="zh-CN" w:bidi="ar-SA"/>
            </w:rPr>
            <w:t>10</w:t>
          </w:r>
          <w:r>
            <w:rPr>
              <w:rFonts w:hint="eastAsia"/>
              <w:sz w:val="21"/>
              <w:szCs w:val="21"/>
              <w:highlight w:val="none"/>
              <w:lang w:val="en-US" w:eastAsia="zh-CN"/>
            </w:rPr>
            <w:t>现状检测报告</w:t>
          </w:r>
          <w:r>
            <w:rPr>
              <w:sz w:val="21"/>
              <w:szCs w:val="21"/>
              <w:highlight w:val="none"/>
            </w:rPr>
            <w:tab/>
          </w:r>
          <w:r>
            <w:rPr>
              <w:sz w:val="21"/>
              <w:szCs w:val="21"/>
              <w:highlight w:val="none"/>
            </w:rPr>
            <w:fldChar w:fldCharType="begin"/>
          </w:r>
          <w:r>
            <w:rPr>
              <w:sz w:val="21"/>
              <w:szCs w:val="21"/>
              <w:highlight w:val="none"/>
            </w:rPr>
            <w:instrText xml:space="preserve"> PAGEREF _Toc32604 \h </w:instrText>
          </w:r>
          <w:r>
            <w:rPr>
              <w:sz w:val="21"/>
              <w:szCs w:val="21"/>
              <w:highlight w:val="none"/>
            </w:rPr>
            <w:fldChar w:fldCharType="separate"/>
          </w:r>
          <w:r>
            <w:rPr>
              <w:sz w:val="21"/>
              <w:szCs w:val="21"/>
              <w:highlight w:val="none"/>
            </w:rPr>
            <w:t>328</w:t>
          </w:r>
          <w:r>
            <w:rPr>
              <w:sz w:val="21"/>
              <w:szCs w:val="21"/>
              <w:highlight w:val="none"/>
            </w:rPr>
            <w:fldChar w:fldCharType="end"/>
          </w:r>
          <w:r>
            <w:rPr>
              <w:sz w:val="21"/>
              <w:szCs w:val="21"/>
              <w:highlight w:val="none"/>
            </w:rPr>
            <w:fldChar w:fldCharType="end"/>
          </w:r>
        </w:p>
        <w:p w14:paraId="012A0A90">
          <w:pPr>
            <w:pStyle w:val="14"/>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_Toc12398 </w:instrText>
          </w:r>
          <w:r>
            <w:rPr>
              <w:sz w:val="21"/>
              <w:szCs w:val="21"/>
              <w:highlight w:val="none"/>
            </w:rPr>
            <w:fldChar w:fldCharType="separate"/>
          </w:r>
          <w:r>
            <w:rPr>
              <w:rFonts w:hint="eastAsia"/>
              <w:sz w:val="21"/>
              <w:szCs w:val="21"/>
              <w:highlight w:val="none"/>
              <w:lang w:val="en-US" w:eastAsia="zh-CN"/>
            </w:rPr>
            <w:t>附件</w:t>
          </w:r>
          <w:r>
            <w:rPr>
              <w:rFonts w:hint="eastAsia" w:ascii="Times New Roman" w:hAnsi="Times New Roman" w:eastAsia="宋体" w:cs="Times New Roman"/>
              <w:kern w:val="2"/>
              <w:sz w:val="21"/>
              <w:szCs w:val="21"/>
              <w:highlight w:val="none"/>
              <w:lang w:val="en-US" w:eastAsia="zh-CN" w:bidi="ar-SA"/>
            </w:rPr>
            <w:t>11</w:t>
          </w:r>
          <w:r>
            <w:rPr>
              <w:rFonts w:hint="eastAsia"/>
              <w:sz w:val="21"/>
              <w:szCs w:val="21"/>
              <w:highlight w:val="none"/>
              <w:lang w:val="en-US" w:eastAsia="zh-CN"/>
            </w:rPr>
            <w:t>应急预案备案表</w:t>
          </w:r>
          <w:r>
            <w:rPr>
              <w:sz w:val="21"/>
              <w:szCs w:val="21"/>
              <w:highlight w:val="none"/>
            </w:rPr>
            <w:tab/>
          </w:r>
          <w:r>
            <w:rPr>
              <w:sz w:val="21"/>
              <w:szCs w:val="21"/>
              <w:highlight w:val="none"/>
            </w:rPr>
            <w:fldChar w:fldCharType="begin"/>
          </w:r>
          <w:r>
            <w:rPr>
              <w:sz w:val="21"/>
              <w:szCs w:val="21"/>
              <w:highlight w:val="none"/>
            </w:rPr>
            <w:instrText xml:space="preserve"> PAGEREF _Toc12398 \h </w:instrText>
          </w:r>
          <w:r>
            <w:rPr>
              <w:sz w:val="21"/>
              <w:szCs w:val="21"/>
              <w:highlight w:val="none"/>
            </w:rPr>
            <w:fldChar w:fldCharType="separate"/>
          </w:r>
          <w:r>
            <w:rPr>
              <w:sz w:val="21"/>
              <w:szCs w:val="21"/>
              <w:highlight w:val="none"/>
            </w:rPr>
            <w:t>341</w:t>
          </w:r>
          <w:r>
            <w:rPr>
              <w:sz w:val="21"/>
              <w:szCs w:val="21"/>
              <w:highlight w:val="none"/>
            </w:rPr>
            <w:fldChar w:fldCharType="end"/>
          </w:r>
          <w:r>
            <w:rPr>
              <w:sz w:val="21"/>
              <w:szCs w:val="21"/>
              <w:highlight w:val="none"/>
            </w:rPr>
            <w:fldChar w:fldCharType="end"/>
          </w:r>
        </w:p>
        <w:p w14:paraId="790B4319">
          <w:pPr>
            <w:pStyle w:val="14"/>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_Toc5205 </w:instrText>
          </w:r>
          <w:r>
            <w:rPr>
              <w:sz w:val="21"/>
              <w:szCs w:val="21"/>
              <w:highlight w:val="none"/>
            </w:rPr>
            <w:fldChar w:fldCharType="separate"/>
          </w:r>
          <w:r>
            <w:rPr>
              <w:rFonts w:hint="eastAsia"/>
              <w:sz w:val="21"/>
              <w:szCs w:val="21"/>
              <w:highlight w:val="none"/>
              <w:lang w:val="en-US" w:eastAsia="zh-CN"/>
            </w:rPr>
            <w:t>附件</w:t>
          </w:r>
          <w:r>
            <w:rPr>
              <w:rFonts w:hint="eastAsia" w:ascii="Times New Roman" w:hAnsi="Times New Roman" w:eastAsia="宋体" w:cs="Times New Roman"/>
              <w:kern w:val="2"/>
              <w:sz w:val="21"/>
              <w:szCs w:val="21"/>
              <w:highlight w:val="none"/>
              <w:lang w:val="en-US" w:eastAsia="zh-CN" w:bidi="ar-SA"/>
            </w:rPr>
            <w:t>12 116MW</w:t>
          </w:r>
          <w:r>
            <w:rPr>
              <w:rFonts w:hint="eastAsia"/>
              <w:sz w:val="21"/>
              <w:szCs w:val="21"/>
              <w:highlight w:val="none"/>
              <w:lang w:val="en-US" w:eastAsia="zh-CN"/>
            </w:rPr>
            <w:t>锅炉购销合同</w:t>
          </w:r>
          <w:r>
            <w:rPr>
              <w:sz w:val="21"/>
              <w:szCs w:val="21"/>
              <w:highlight w:val="none"/>
            </w:rPr>
            <w:tab/>
          </w:r>
          <w:r>
            <w:rPr>
              <w:sz w:val="21"/>
              <w:szCs w:val="21"/>
              <w:highlight w:val="none"/>
            </w:rPr>
            <w:fldChar w:fldCharType="begin"/>
          </w:r>
          <w:r>
            <w:rPr>
              <w:sz w:val="21"/>
              <w:szCs w:val="21"/>
              <w:highlight w:val="none"/>
            </w:rPr>
            <w:instrText xml:space="preserve"> PAGEREF _Toc5205 \h </w:instrText>
          </w:r>
          <w:r>
            <w:rPr>
              <w:sz w:val="21"/>
              <w:szCs w:val="21"/>
              <w:highlight w:val="none"/>
            </w:rPr>
            <w:fldChar w:fldCharType="separate"/>
          </w:r>
          <w:r>
            <w:rPr>
              <w:sz w:val="21"/>
              <w:szCs w:val="21"/>
              <w:highlight w:val="none"/>
            </w:rPr>
            <w:t>342</w:t>
          </w:r>
          <w:r>
            <w:rPr>
              <w:sz w:val="21"/>
              <w:szCs w:val="21"/>
              <w:highlight w:val="none"/>
            </w:rPr>
            <w:fldChar w:fldCharType="end"/>
          </w:r>
          <w:r>
            <w:rPr>
              <w:sz w:val="21"/>
              <w:szCs w:val="21"/>
              <w:highlight w:val="none"/>
            </w:rPr>
            <w:fldChar w:fldCharType="end"/>
          </w:r>
        </w:p>
        <w:p w14:paraId="7096C99C">
          <w:pPr>
            <w:pStyle w:val="14"/>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_Toc9466 </w:instrText>
          </w:r>
          <w:r>
            <w:rPr>
              <w:sz w:val="21"/>
              <w:szCs w:val="21"/>
              <w:highlight w:val="none"/>
            </w:rPr>
            <w:fldChar w:fldCharType="separate"/>
          </w:r>
          <w:r>
            <w:rPr>
              <w:rFonts w:hint="eastAsia"/>
              <w:sz w:val="21"/>
              <w:szCs w:val="21"/>
              <w:highlight w:val="none"/>
              <w:lang w:val="en-US" w:eastAsia="zh-CN"/>
            </w:rPr>
            <w:t>附件</w:t>
          </w:r>
          <w:r>
            <w:rPr>
              <w:rFonts w:hint="eastAsia" w:ascii="Times New Roman" w:hAnsi="Times New Roman" w:eastAsia="宋体" w:cs="Times New Roman"/>
              <w:kern w:val="2"/>
              <w:sz w:val="21"/>
              <w:szCs w:val="21"/>
              <w:highlight w:val="none"/>
              <w:lang w:val="en-US" w:eastAsia="zh-CN" w:bidi="ar-SA"/>
            </w:rPr>
            <w:t>13 35t/h</w:t>
          </w:r>
          <w:r>
            <w:rPr>
              <w:rFonts w:hint="eastAsia"/>
              <w:sz w:val="21"/>
              <w:szCs w:val="21"/>
              <w:highlight w:val="none"/>
              <w:lang w:val="en-US" w:eastAsia="zh-CN"/>
            </w:rPr>
            <w:t>蒸汽锅炉建设凭证</w:t>
          </w:r>
          <w:r>
            <w:rPr>
              <w:sz w:val="21"/>
              <w:szCs w:val="21"/>
              <w:highlight w:val="none"/>
            </w:rPr>
            <w:tab/>
          </w:r>
          <w:r>
            <w:rPr>
              <w:sz w:val="21"/>
              <w:szCs w:val="21"/>
              <w:highlight w:val="none"/>
            </w:rPr>
            <w:fldChar w:fldCharType="begin"/>
          </w:r>
          <w:r>
            <w:rPr>
              <w:sz w:val="21"/>
              <w:szCs w:val="21"/>
              <w:highlight w:val="none"/>
            </w:rPr>
            <w:instrText xml:space="preserve"> PAGEREF _Toc9466 \h </w:instrText>
          </w:r>
          <w:r>
            <w:rPr>
              <w:sz w:val="21"/>
              <w:szCs w:val="21"/>
              <w:highlight w:val="none"/>
            </w:rPr>
            <w:fldChar w:fldCharType="separate"/>
          </w:r>
          <w:r>
            <w:rPr>
              <w:sz w:val="21"/>
              <w:szCs w:val="21"/>
              <w:highlight w:val="none"/>
            </w:rPr>
            <w:t>343</w:t>
          </w:r>
          <w:r>
            <w:rPr>
              <w:sz w:val="21"/>
              <w:szCs w:val="21"/>
              <w:highlight w:val="none"/>
            </w:rPr>
            <w:fldChar w:fldCharType="end"/>
          </w:r>
          <w:r>
            <w:rPr>
              <w:sz w:val="21"/>
              <w:szCs w:val="21"/>
              <w:highlight w:val="none"/>
            </w:rPr>
            <w:fldChar w:fldCharType="end"/>
          </w:r>
        </w:p>
        <w:p w14:paraId="69E414CE">
          <w:pPr>
            <w:pStyle w:val="14"/>
            <w:tabs>
              <w:tab w:val="right" w:leader="dot" w:pos="8306"/>
            </w:tabs>
            <w:spacing w:line="240" w:lineRule="auto"/>
            <w:rPr>
              <w:sz w:val="21"/>
              <w:szCs w:val="21"/>
              <w:highlight w:val="none"/>
            </w:rPr>
          </w:pPr>
          <w:r>
            <w:rPr>
              <w:sz w:val="21"/>
              <w:szCs w:val="21"/>
              <w:highlight w:val="none"/>
            </w:rPr>
            <w:fldChar w:fldCharType="begin"/>
          </w:r>
          <w:r>
            <w:rPr>
              <w:sz w:val="21"/>
              <w:szCs w:val="21"/>
              <w:highlight w:val="none"/>
            </w:rPr>
            <w:instrText xml:space="preserve"> HYPERLINK \l _Toc6381 </w:instrText>
          </w:r>
          <w:r>
            <w:rPr>
              <w:sz w:val="21"/>
              <w:szCs w:val="21"/>
              <w:highlight w:val="none"/>
            </w:rPr>
            <w:fldChar w:fldCharType="separate"/>
          </w:r>
          <w:r>
            <w:rPr>
              <w:rFonts w:hint="eastAsia"/>
              <w:sz w:val="21"/>
              <w:szCs w:val="21"/>
              <w:highlight w:val="none"/>
              <w:lang w:val="en-US" w:eastAsia="zh-CN"/>
            </w:rPr>
            <w:t>附件</w:t>
          </w:r>
          <w:r>
            <w:rPr>
              <w:rFonts w:hint="eastAsia" w:ascii="Times New Roman" w:hAnsi="Times New Roman" w:eastAsia="宋体" w:cs="Times New Roman"/>
              <w:kern w:val="2"/>
              <w:sz w:val="21"/>
              <w:szCs w:val="21"/>
              <w:highlight w:val="none"/>
              <w:lang w:val="en-US" w:eastAsia="zh-CN" w:bidi="ar-SA"/>
            </w:rPr>
            <w:t>14</w:t>
          </w:r>
          <w:r>
            <w:rPr>
              <w:rFonts w:hint="eastAsia"/>
              <w:sz w:val="21"/>
              <w:szCs w:val="21"/>
              <w:highlight w:val="none"/>
              <w:lang w:val="en-US" w:eastAsia="zh-CN"/>
            </w:rPr>
            <w:t>锅炉超低改造申请报告</w:t>
          </w:r>
          <w:r>
            <w:rPr>
              <w:sz w:val="21"/>
              <w:szCs w:val="21"/>
              <w:highlight w:val="none"/>
            </w:rPr>
            <w:tab/>
          </w:r>
          <w:r>
            <w:rPr>
              <w:sz w:val="21"/>
              <w:szCs w:val="21"/>
              <w:highlight w:val="none"/>
            </w:rPr>
            <w:fldChar w:fldCharType="begin"/>
          </w:r>
          <w:r>
            <w:rPr>
              <w:sz w:val="21"/>
              <w:szCs w:val="21"/>
              <w:highlight w:val="none"/>
            </w:rPr>
            <w:instrText xml:space="preserve"> PAGEREF _Toc6381 \h </w:instrText>
          </w:r>
          <w:r>
            <w:rPr>
              <w:sz w:val="21"/>
              <w:szCs w:val="21"/>
              <w:highlight w:val="none"/>
            </w:rPr>
            <w:fldChar w:fldCharType="separate"/>
          </w:r>
          <w:r>
            <w:rPr>
              <w:sz w:val="21"/>
              <w:szCs w:val="21"/>
              <w:highlight w:val="none"/>
            </w:rPr>
            <w:t>344</w:t>
          </w:r>
          <w:r>
            <w:rPr>
              <w:sz w:val="21"/>
              <w:szCs w:val="21"/>
              <w:highlight w:val="none"/>
            </w:rPr>
            <w:fldChar w:fldCharType="end"/>
          </w:r>
          <w:r>
            <w:rPr>
              <w:sz w:val="21"/>
              <w:szCs w:val="21"/>
              <w:highlight w:val="none"/>
            </w:rPr>
            <w:fldChar w:fldCharType="end"/>
          </w:r>
        </w:p>
        <w:p w14:paraId="1A0D0CCF">
          <w:pPr>
            <w:pStyle w:val="14"/>
            <w:tabs>
              <w:tab w:val="right" w:leader="dot" w:pos="8306"/>
            </w:tabs>
            <w:spacing w:line="240" w:lineRule="auto"/>
            <w:rPr>
              <w:highlight w:val="none"/>
            </w:rPr>
          </w:pPr>
          <w:r>
            <w:rPr>
              <w:sz w:val="21"/>
              <w:szCs w:val="21"/>
              <w:highlight w:val="none"/>
            </w:rPr>
            <w:fldChar w:fldCharType="begin"/>
          </w:r>
          <w:r>
            <w:rPr>
              <w:sz w:val="21"/>
              <w:szCs w:val="21"/>
              <w:highlight w:val="none"/>
            </w:rPr>
            <w:instrText xml:space="preserve"> HYPERLINK \l _Toc31391 </w:instrText>
          </w:r>
          <w:r>
            <w:rPr>
              <w:sz w:val="21"/>
              <w:szCs w:val="21"/>
              <w:highlight w:val="none"/>
            </w:rPr>
            <w:fldChar w:fldCharType="separate"/>
          </w:r>
          <w:r>
            <w:rPr>
              <w:rFonts w:hint="eastAsia"/>
              <w:sz w:val="21"/>
              <w:szCs w:val="21"/>
              <w:highlight w:val="none"/>
              <w:lang w:val="en-US" w:eastAsia="zh-CN"/>
            </w:rPr>
            <w:t>附件</w:t>
          </w:r>
          <w:r>
            <w:rPr>
              <w:rFonts w:hint="eastAsia" w:ascii="Times New Roman" w:hAnsi="Times New Roman" w:eastAsia="宋体" w:cs="Times New Roman"/>
              <w:kern w:val="2"/>
              <w:sz w:val="21"/>
              <w:szCs w:val="21"/>
              <w:highlight w:val="none"/>
              <w:lang w:val="en-US" w:eastAsia="zh-CN" w:bidi="ar-SA"/>
            </w:rPr>
            <w:t>15</w:t>
          </w:r>
          <w:r>
            <w:rPr>
              <w:rFonts w:hint="eastAsia"/>
              <w:sz w:val="21"/>
              <w:szCs w:val="21"/>
              <w:highlight w:val="none"/>
              <w:lang w:val="en-US" w:eastAsia="zh-CN"/>
            </w:rPr>
            <w:t>企业近三年锅炉运行方案</w:t>
          </w:r>
          <w:r>
            <w:rPr>
              <w:sz w:val="21"/>
              <w:szCs w:val="21"/>
              <w:highlight w:val="none"/>
            </w:rPr>
            <w:tab/>
          </w:r>
          <w:r>
            <w:rPr>
              <w:sz w:val="21"/>
              <w:szCs w:val="21"/>
              <w:highlight w:val="none"/>
            </w:rPr>
            <w:fldChar w:fldCharType="begin"/>
          </w:r>
          <w:r>
            <w:rPr>
              <w:sz w:val="21"/>
              <w:szCs w:val="21"/>
              <w:highlight w:val="none"/>
            </w:rPr>
            <w:instrText xml:space="preserve"> PAGEREF _Toc31391 \h </w:instrText>
          </w:r>
          <w:r>
            <w:rPr>
              <w:sz w:val="21"/>
              <w:szCs w:val="21"/>
              <w:highlight w:val="none"/>
            </w:rPr>
            <w:fldChar w:fldCharType="separate"/>
          </w:r>
          <w:r>
            <w:rPr>
              <w:sz w:val="21"/>
              <w:szCs w:val="21"/>
              <w:highlight w:val="none"/>
            </w:rPr>
            <w:t>347</w:t>
          </w:r>
          <w:r>
            <w:rPr>
              <w:sz w:val="21"/>
              <w:szCs w:val="21"/>
              <w:highlight w:val="none"/>
            </w:rPr>
            <w:fldChar w:fldCharType="end"/>
          </w:r>
          <w:r>
            <w:rPr>
              <w:sz w:val="21"/>
              <w:szCs w:val="21"/>
              <w:highlight w:val="none"/>
            </w:rPr>
            <w:fldChar w:fldCharType="end"/>
          </w:r>
        </w:p>
        <w:p w14:paraId="323821C2">
          <w:pPr>
            <w:pStyle w:val="14"/>
            <w:keepNext w:val="0"/>
            <w:keepLines w:val="0"/>
            <w:pageBreakBefore w:val="0"/>
            <w:widowControl w:val="0"/>
            <w:tabs>
              <w:tab w:val="left" w:pos="928"/>
            </w:tabs>
            <w:kinsoku/>
            <w:wordWrap/>
            <w:overflowPunct/>
            <w:topLinePunct w:val="0"/>
            <w:autoSpaceDE/>
            <w:autoSpaceDN/>
            <w:bidi w:val="0"/>
            <w:adjustRightInd/>
            <w:snapToGrid/>
            <w:spacing w:line="240" w:lineRule="auto"/>
            <w:ind w:firstLine="0" w:firstLineChars="0"/>
            <w:textAlignment w:val="auto"/>
            <w:rPr>
              <w:rFonts w:ascii="Times New Roman" w:hAnsi="Times New Roman" w:eastAsia="宋体" w:cs="Times New Roman"/>
              <w:kern w:val="2"/>
              <w:sz w:val="21"/>
              <w:szCs w:val="24"/>
              <w:highlight w:val="none"/>
              <w:lang w:val="en-US" w:eastAsia="zh-CN" w:bidi="ar-SA"/>
            </w:rPr>
          </w:pPr>
          <w:r>
            <w:rPr>
              <w:sz w:val="21"/>
              <w:szCs w:val="21"/>
              <w:highlight w:val="none"/>
            </w:rPr>
            <w:fldChar w:fldCharType="end"/>
          </w:r>
        </w:p>
      </w:sdtContent>
    </w:sdt>
    <w:p w14:paraId="5ED6DDF4">
      <w:pPr>
        <w:pStyle w:val="11"/>
        <w:rPr>
          <w:rFonts w:ascii="Times New Roman" w:hAnsi="Times New Roman" w:eastAsia="宋体" w:cs="Times New Roman"/>
          <w:kern w:val="2"/>
          <w:sz w:val="21"/>
          <w:szCs w:val="24"/>
          <w:highlight w:val="none"/>
          <w:lang w:val="en-US" w:eastAsia="zh-CN" w:bidi="ar-SA"/>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25453C69">
      <w:pPr>
        <w:pStyle w:val="3"/>
        <w:bidi w:val="0"/>
        <w:rPr>
          <w:rFonts w:hint="eastAsia"/>
          <w:highlight w:val="none"/>
          <w:lang w:val="en-US" w:eastAsia="zh-CN"/>
        </w:rPr>
      </w:pPr>
      <w:bookmarkStart w:id="9" w:name="_Toc10328"/>
      <w:r>
        <w:rPr>
          <w:rFonts w:hint="eastAsia"/>
          <w:highlight w:val="none"/>
          <w:lang w:val="en-US" w:eastAsia="zh-CN"/>
        </w:rPr>
        <w:t>1概述</w:t>
      </w:r>
      <w:bookmarkEnd w:id="9"/>
    </w:p>
    <w:p w14:paraId="7FB7B65C">
      <w:pPr>
        <w:pStyle w:val="4"/>
        <w:bidi w:val="0"/>
        <w:ind w:left="0" w:leftChars="0" w:firstLine="0" w:firstLineChars="0"/>
        <w:rPr>
          <w:rFonts w:hint="eastAsia"/>
          <w:highlight w:val="none"/>
          <w:lang w:val="en-US" w:eastAsia="zh-CN"/>
        </w:rPr>
      </w:pPr>
      <w:bookmarkStart w:id="10" w:name="_Toc19465"/>
      <w:r>
        <w:rPr>
          <w:rFonts w:hint="eastAsia"/>
          <w:highlight w:val="none"/>
          <w:lang w:val="en-US" w:eastAsia="zh-CN"/>
        </w:rPr>
        <w:t>1.1建设项目由来</w:t>
      </w:r>
      <w:bookmarkEnd w:id="10"/>
    </w:p>
    <w:p w14:paraId="7EE8EFB2">
      <w:pPr>
        <w:bidi w:val="0"/>
        <w:rPr>
          <w:rFonts w:hint="eastAsia" w:asciiTheme="minorEastAsia" w:hAnsiTheme="minorEastAsia" w:eastAsiaTheme="minorEastAsia" w:cstheme="minorEastAsia"/>
          <w:i w:val="0"/>
          <w:iCs w:val="0"/>
          <w:caps w:val="0"/>
          <w:color w:val="333333"/>
          <w:spacing w:val="0"/>
          <w:szCs w:val="24"/>
          <w:highlight w:val="none"/>
          <w:shd w:val="clear" w:fill="FFFFFF"/>
          <w:lang w:eastAsia="zh-CN"/>
        </w:rPr>
      </w:pPr>
      <w:r>
        <w:rPr>
          <w:rFonts w:hint="eastAsia"/>
          <w:highlight w:val="none"/>
        </w:rPr>
        <w:t>绥芬河市新区供热有限责任公司成立于</w:t>
      </w:r>
      <w:r>
        <w:rPr>
          <w:rFonts w:hint="default"/>
          <w:highlight w:val="none"/>
        </w:rPr>
        <w:t>2003</w:t>
      </w:r>
      <w:r>
        <w:rPr>
          <w:rFonts w:hint="eastAsia"/>
          <w:highlight w:val="none"/>
        </w:rPr>
        <w:t>年</w:t>
      </w:r>
      <w:r>
        <w:rPr>
          <w:rFonts w:hint="default"/>
          <w:highlight w:val="none"/>
        </w:rPr>
        <w:t>7</w:t>
      </w:r>
      <w:r>
        <w:rPr>
          <w:rFonts w:hint="eastAsia"/>
          <w:highlight w:val="none"/>
        </w:rPr>
        <w:t>月</w:t>
      </w:r>
      <w:r>
        <w:rPr>
          <w:rFonts w:hint="default"/>
          <w:highlight w:val="none"/>
        </w:rPr>
        <w:t>16</w:t>
      </w:r>
      <w:r>
        <w:rPr>
          <w:rFonts w:hint="eastAsia"/>
          <w:highlight w:val="none"/>
        </w:rPr>
        <w:t>日,至今已有</w:t>
      </w:r>
      <w:r>
        <w:rPr>
          <w:rFonts w:hint="eastAsia"/>
          <w:highlight w:val="none"/>
          <w:lang w:val="en-US" w:eastAsia="zh-CN"/>
        </w:rPr>
        <w:t>22</w:t>
      </w:r>
      <w:r>
        <w:rPr>
          <w:rFonts w:hint="eastAsia"/>
          <w:highlight w:val="none"/>
        </w:rPr>
        <w:t>年，位于黑龙江省牡丹江市绥芬河市长山路幸福街</w:t>
      </w:r>
      <w:r>
        <w:rPr>
          <w:rFonts w:hint="eastAsia"/>
          <w:highlight w:val="none"/>
          <w:lang w:val="en-US" w:eastAsia="zh-CN"/>
        </w:rPr>
        <w:t>1</w:t>
      </w:r>
      <w:r>
        <w:rPr>
          <w:rFonts w:hint="eastAsia"/>
          <w:highlight w:val="none"/>
        </w:rPr>
        <w:t>号</w:t>
      </w:r>
      <w:r>
        <w:rPr>
          <w:rFonts w:hint="eastAsia"/>
          <w:highlight w:val="none"/>
          <w:lang w:eastAsia="zh-CN"/>
        </w:rPr>
        <w:t>。</w:t>
      </w:r>
    </w:p>
    <w:p w14:paraId="758A4BB6">
      <w:pPr>
        <w:bidi w:val="0"/>
        <w:rPr>
          <w:rFonts w:hint="eastAsia" w:asciiTheme="minorEastAsia" w:hAnsiTheme="minorEastAsia" w:eastAsiaTheme="minorEastAsia" w:cstheme="minorEastAsia"/>
          <w:i w:val="0"/>
          <w:iCs w:val="0"/>
          <w:caps w:val="0"/>
          <w:color w:val="333333"/>
          <w:spacing w:val="0"/>
          <w:szCs w:val="24"/>
          <w:highlight w:val="none"/>
          <w:shd w:val="clear" w:fill="FFFFFF"/>
          <w:lang w:val="en-US" w:eastAsia="zh-CN"/>
        </w:rPr>
      </w:pPr>
      <w:r>
        <w:rPr>
          <w:rFonts w:hint="eastAsia"/>
          <w:highlight w:val="none"/>
          <w:lang w:val="en-US" w:eastAsia="zh-CN"/>
        </w:rPr>
        <w:t>绥芬河市新区供热有限责任公司现有116MW+</w:t>
      </w:r>
      <w:r>
        <w:rPr>
          <w:rFonts w:hint="default"/>
          <w:highlight w:val="none"/>
          <w:lang w:val="en-US" w:eastAsia="zh-CN"/>
        </w:rPr>
        <w:t>58</w:t>
      </w:r>
      <w:r>
        <w:rPr>
          <w:rFonts w:hint="eastAsia"/>
          <w:highlight w:val="none"/>
          <w:lang w:val="en-US" w:eastAsia="zh-CN"/>
        </w:rPr>
        <w:t>MW热水锅炉和1台35t/h蒸汽锅炉共三台，三台锅炉在供暖期间交替使用，锅炉运行最大负荷为116MW热水锅炉+35t/h蒸汽锅炉，不存在三台锅炉同时运行的情况（具体供热使用计划见65页表3.1-4）。</w:t>
      </w:r>
      <w:r>
        <w:rPr>
          <w:rFonts w:hint="eastAsia"/>
          <w:highlight w:val="none"/>
        </w:rPr>
        <w:t>绥芬河市新区供热有限责任公司</w:t>
      </w:r>
      <w:r>
        <w:rPr>
          <w:rFonts w:hint="eastAsia"/>
          <w:highlight w:val="none"/>
          <w:lang w:val="en-US" w:eastAsia="zh-CN"/>
        </w:rPr>
        <w:t>现有集中供热区为北山新区和新老城区结合部区域，</w:t>
      </w:r>
      <w:r>
        <w:rPr>
          <w:rFonts w:hint="eastAsia" w:ascii="Times New Roman" w:hAnsi="Times New Roman" w:cs="Times New Roman"/>
          <w:highlight w:val="none"/>
          <w:lang w:val="en-US" w:eastAsia="zh-CN"/>
        </w:rPr>
        <w:t>目前集中供热面积约210万平方米</w:t>
      </w:r>
      <w:r>
        <w:rPr>
          <w:rFonts w:hint="eastAsia"/>
          <w:highlight w:val="none"/>
          <w:lang w:val="en-US" w:eastAsia="zh-CN"/>
        </w:rPr>
        <w:t>。</w:t>
      </w:r>
    </w:p>
    <w:p w14:paraId="338F7B4B">
      <w:pPr>
        <w:keepNext w:val="0"/>
        <w:keepLines w:val="0"/>
        <w:pageBreakBefore w:val="0"/>
        <w:widowControl w:val="0"/>
        <w:kinsoku/>
        <w:wordWrap/>
        <w:overflowPunct/>
        <w:topLinePunct w:val="0"/>
        <w:autoSpaceDE/>
        <w:autoSpaceDN/>
        <w:bidi w:val="0"/>
        <w:adjustRightInd/>
        <w:snapToGrid/>
        <w:textAlignment w:val="auto"/>
        <w:rPr>
          <w:rFonts w:hint="eastAsia"/>
          <w:highlight w:val="none"/>
          <w:lang w:val="en-US" w:eastAsia="zh-CN"/>
        </w:rPr>
      </w:pPr>
      <w:r>
        <w:rPr>
          <w:rFonts w:hint="eastAsia"/>
          <w:highlight w:val="none"/>
          <w:lang w:val="en-US" w:eastAsia="zh-CN"/>
        </w:rPr>
        <w:t>近期本公司工作人员在整理资料时发现，本单位于2013年6月25日在绥芬河市质量技术监督局备案的锅炉使用登记证（以下简称“锅炉使用登记证”）和绥苏河市住建局供热办《绥芬河市集中供热规划（2016年-2030）年》供热规划（2017年2月）（以下简称“供热规划”）编制的文本的燃煤锅炉功率均为116MW+58MW+29MW热水锅炉。经重新审慎核实，2008年1月11日绥芬河市发展和改革委员会《关于绥芬河市新区供热有限责任公司燃煤锅炉节能改造工理核准通知书》（绥发改委（2008）7号）、2010年4月24日牡丹江市环保局出具的《关于绥芬河市新区供热有限责任公司供热锅炉改造项目环境影响报告书的批复意见》（牡环建审（2010）42号）、2011年10月6日《绥芬河市新区供热有限责任公司供热锅户改造项目竣工环境保护验收意见》（牡环建审（2011）026号）燃煤锅炉功率均为91MW+58MW+29MW热水锅炉，排污许可（编号:91231081828141815B001C）燃煤锅炉功率为91MW+58MW+28MW热水锅炉，与锅炉使用登记证、供热规划及实际现状不符。</w:t>
      </w:r>
    </w:p>
    <w:p w14:paraId="0EF18B2B">
      <w:pPr>
        <w:keepNext w:val="0"/>
        <w:keepLines w:val="0"/>
        <w:pageBreakBefore w:val="0"/>
        <w:widowControl w:val="0"/>
        <w:kinsoku/>
        <w:wordWrap/>
        <w:overflowPunct/>
        <w:topLinePunct w:val="0"/>
        <w:autoSpaceDE/>
        <w:autoSpaceDN/>
        <w:bidi w:val="0"/>
        <w:adjustRightInd/>
        <w:snapToGrid/>
        <w:textAlignment w:val="auto"/>
        <w:rPr>
          <w:rFonts w:hint="default"/>
          <w:highlight w:val="none"/>
          <w:lang w:val="en-US" w:eastAsia="zh-CN"/>
        </w:rPr>
      </w:pPr>
      <w:r>
        <w:rPr>
          <w:rFonts w:hint="eastAsia"/>
          <w:highlight w:val="none"/>
          <w:lang w:val="en-US" w:eastAsia="zh-CN"/>
        </w:rPr>
        <w:t>企业116MW锅炉建设时间为2010年7月1日（具体佐证资料详见附件12：116MW锅炉购销合同），2011年9月投入使用，一直运行至今。由于企业58MW（2004年投产）和29MW（2002年投产）锅炉建设时间久远，无相关环评手续，企业于2017年8月29日将29MW热水锅炉改造为35t/h蒸汽锅炉（具体佐证资料详见附件13：35t/h锅炉建设凭证），无相关环评手续，企业于2025年6月对现有锅炉进行超低排放改造，于2025年9月30日完成改造（详见附件7：现有环评批复及验收意见和附件14锅炉超低改造申请报告）。</w:t>
      </w:r>
    </w:p>
    <w:p w14:paraId="66D7EC78">
      <w:pPr>
        <w:bidi w:val="0"/>
        <w:rPr>
          <w:rFonts w:hint="eastAsia"/>
          <w:highlight w:val="none"/>
          <w:lang w:val="en-US" w:eastAsia="zh-CN"/>
        </w:rPr>
      </w:pPr>
      <w:r>
        <w:rPr>
          <w:rFonts w:hint="eastAsia"/>
          <w:highlight w:val="none"/>
          <w:lang w:val="en-US" w:eastAsia="zh-CN"/>
        </w:rPr>
        <w:t>因当时工作人员工作不细致，同时公司管理层面疏于管理,造成企业锅炉实际建设情况与环保相关手续不符和后期更换锅炉未履行环保手续相关问题，锅炉建设时期较久，负责建设及报审的工作人员变动较大，问题未能及早发现，深感此问题严重，现积极主动委托我单位重新编制绥芬河市新区供热有限责任公司燃煤供热锅炉建设项目。</w:t>
      </w:r>
    </w:p>
    <w:p w14:paraId="6FC7DF79">
      <w:pPr>
        <w:pStyle w:val="23"/>
        <w:rPr>
          <w:rFonts w:ascii="Times New Roman" w:hAnsi="Times New Roman"/>
          <w:highlight w:val="none"/>
        </w:rPr>
      </w:pPr>
      <w:r>
        <w:rPr>
          <w:rFonts w:ascii="Times New Roman" w:hAnsi="Times New Roman"/>
          <w:highlight w:val="none"/>
        </w:rPr>
        <w:t>根据《中华人民共和国环境保护法》、《中华人民共和国环境影响评价法》和《建设项目环境保护管理条例》的有关规定，</w:t>
      </w:r>
      <w:r>
        <w:rPr>
          <w:rFonts w:hint="eastAsia"/>
          <w:highlight w:val="none"/>
        </w:rPr>
        <w:t>绥芬河市新区供热有限责任公司</w:t>
      </w:r>
      <w:r>
        <w:rPr>
          <w:rFonts w:ascii="Times New Roman" w:hAnsi="Times New Roman"/>
          <w:highlight w:val="none"/>
        </w:rPr>
        <w:t>委托我单位就“</w:t>
      </w:r>
      <w:r>
        <w:rPr>
          <w:rFonts w:hint="eastAsia" w:ascii="Times New Roman" w:hAnsi="Times New Roman"/>
          <w:highlight w:val="none"/>
          <w:lang w:val="en-US" w:eastAsia="zh-CN"/>
        </w:rPr>
        <w:t>绥芬河市新区供热有限责任公司燃煤供热锅炉建设项目</w:t>
      </w:r>
      <w:r>
        <w:rPr>
          <w:rFonts w:ascii="Times New Roman" w:hAnsi="Times New Roman"/>
          <w:highlight w:val="none"/>
        </w:rPr>
        <w:t>”开展环境影响评价工作。接受委托后我单位技术人员收集有关资料，了解厂区附近的环境概况，进一步对环境特征进行了分析，对环境影响评价因子进行了识别和筛选，根据国家有关规定，确定评价标准、评价等级和评价范围，编制完成了《</w:t>
      </w:r>
      <w:r>
        <w:rPr>
          <w:rFonts w:hint="eastAsia" w:ascii="Times New Roman" w:hAnsi="Times New Roman"/>
          <w:highlight w:val="none"/>
          <w:lang w:val="en-US" w:eastAsia="zh-CN"/>
        </w:rPr>
        <w:t>绥芬河市新区供热有限责任公司燃煤供热锅炉建设项目</w:t>
      </w:r>
      <w:r>
        <w:rPr>
          <w:rFonts w:hint="eastAsia"/>
          <w:highlight w:val="none"/>
          <w:lang w:val="en-US" w:eastAsia="zh-CN"/>
        </w:rPr>
        <w:t>建设项目</w:t>
      </w:r>
      <w:r>
        <w:rPr>
          <w:rFonts w:ascii="Times New Roman" w:hAnsi="Times New Roman"/>
          <w:highlight w:val="none"/>
        </w:rPr>
        <w:t>环境影响报告书》，供建设单位上报审批。</w:t>
      </w:r>
    </w:p>
    <w:p w14:paraId="5BE72902">
      <w:pPr>
        <w:pStyle w:val="4"/>
        <w:bidi w:val="0"/>
        <w:ind w:left="0" w:leftChars="0" w:firstLine="0" w:firstLineChars="0"/>
        <w:rPr>
          <w:rFonts w:ascii="Times New Roman" w:hAnsi="Times New Roman"/>
          <w:highlight w:val="none"/>
        </w:rPr>
      </w:pPr>
      <w:bookmarkStart w:id="11" w:name="_Toc22503"/>
      <w:r>
        <w:rPr>
          <w:rFonts w:hint="eastAsia"/>
          <w:highlight w:val="none"/>
          <w:lang w:val="en-US" w:eastAsia="zh-CN"/>
        </w:rPr>
        <w:t>1.2</w:t>
      </w:r>
      <w:r>
        <w:rPr>
          <w:rFonts w:ascii="Times New Roman" w:hAnsi="Times New Roman"/>
          <w:highlight w:val="none"/>
        </w:rPr>
        <w:t>建设项目的特点</w:t>
      </w:r>
      <w:bookmarkEnd w:id="11"/>
    </w:p>
    <w:p w14:paraId="72E46A75">
      <w:pPr>
        <w:ind w:firstLine="480"/>
        <w:rPr>
          <w:rFonts w:ascii="Times New Roman" w:hAnsi="Times New Roman"/>
          <w:highlight w:val="none"/>
        </w:rPr>
      </w:pPr>
      <w:r>
        <w:rPr>
          <w:rFonts w:hint="eastAsia" w:ascii="Times New Roman" w:hAnsi="Times New Roman"/>
          <w:highlight w:val="none"/>
          <w:lang w:val="en-US" w:eastAsia="zh-CN"/>
        </w:rPr>
        <w:t>本项目为新建项目（重新报批），位</w:t>
      </w:r>
      <w:r>
        <w:rPr>
          <w:rFonts w:hint="eastAsia" w:ascii="Times New Roman" w:hAnsi="Times New Roman"/>
          <w:highlight w:val="none"/>
          <w:lang w:val="en-US" w:eastAsia="zh-CN"/>
        </w:rPr>
        <w:t>于黑龙江省牡丹江市绥芬河市长山路幸福街1号，</w:t>
      </w:r>
      <w:r>
        <w:rPr>
          <w:rFonts w:ascii="Times New Roman" w:hAnsi="Times New Roman"/>
          <w:highlight w:val="none"/>
        </w:rPr>
        <w:t>本项目</w:t>
      </w:r>
      <w:r>
        <w:rPr>
          <w:rFonts w:ascii="Times New Roman" w:hAnsi="Times New Roman"/>
          <w:iCs/>
          <w:highlight w:val="none"/>
        </w:rPr>
        <w:t>建设</w:t>
      </w:r>
      <w:r>
        <w:rPr>
          <w:rFonts w:hint="eastAsia"/>
          <w:highlight w:val="none"/>
          <w:lang w:val="en-US" w:eastAsia="zh-CN"/>
        </w:rPr>
        <w:t>116MW+</w:t>
      </w:r>
      <w:r>
        <w:rPr>
          <w:rFonts w:hint="default"/>
          <w:highlight w:val="none"/>
          <w:lang w:val="en-US" w:eastAsia="zh-CN"/>
        </w:rPr>
        <w:t>58</w:t>
      </w:r>
      <w:r>
        <w:rPr>
          <w:rFonts w:hint="eastAsia"/>
          <w:highlight w:val="none"/>
          <w:lang w:val="en-US" w:eastAsia="zh-CN"/>
        </w:rPr>
        <w:t>MW热水锅炉和1台35t/h蒸汽锅炉共三台</w:t>
      </w:r>
      <w:r>
        <w:rPr>
          <w:rFonts w:ascii="Times New Roman" w:hAnsi="Times New Roman"/>
          <w:iCs/>
          <w:highlight w:val="none"/>
        </w:rPr>
        <w:t>，</w:t>
      </w:r>
      <w:r>
        <w:rPr>
          <w:rFonts w:ascii="Times New Roman" w:hAnsi="Times New Roman"/>
          <w:kern w:val="0"/>
          <w:szCs w:val="24"/>
          <w:highlight w:val="none"/>
        </w:rPr>
        <w:t>每台锅炉产生的锅炉烟气</w:t>
      </w:r>
      <w:r>
        <w:rPr>
          <w:rFonts w:hint="eastAsia" w:ascii="Times New Roman" w:hAnsi="Times New Roman"/>
          <w:kern w:val="0"/>
          <w:szCs w:val="24"/>
          <w:highlight w:val="none"/>
          <w:lang w:val="en-US" w:eastAsia="zh-CN"/>
        </w:rPr>
        <w:t>治理措施</w:t>
      </w:r>
      <w:r>
        <w:rPr>
          <w:rFonts w:ascii="Times New Roman" w:hAnsi="Times New Roman"/>
          <w:kern w:val="0"/>
          <w:szCs w:val="24"/>
          <w:highlight w:val="none"/>
        </w:rPr>
        <w:t>均采用</w:t>
      </w:r>
      <w:r>
        <w:rPr>
          <w:rFonts w:ascii="Times New Roman" w:hAnsi="Times New Roman"/>
          <w:szCs w:val="24"/>
          <w:highlight w:val="none"/>
        </w:rPr>
        <w:t>低氮燃烧+SNCR-SCR联合脱硝（尿素）+</w:t>
      </w:r>
      <w:r>
        <w:rPr>
          <w:rFonts w:ascii="Times New Roman" w:hAnsi="Times New Roman"/>
          <w:kern w:val="0"/>
          <w:szCs w:val="24"/>
          <w:highlight w:val="none"/>
          <w:lang w:val="de-DE"/>
        </w:rPr>
        <w:t>布袋除尘器</w:t>
      </w:r>
      <w:r>
        <w:rPr>
          <w:rFonts w:ascii="Times New Roman" w:hAnsi="Times New Roman"/>
          <w:kern w:val="0"/>
          <w:szCs w:val="24"/>
          <w:highlight w:val="none"/>
        </w:rPr>
        <w:t>+</w:t>
      </w:r>
      <w:r>
        <w:rPr>
          <w:rFonts w:ascii="Times New Roman" w:hAnsi="Times New Roman"/>
          <w:szCs w:val="24"/>
          <w:highlight w:val="none"/>
        </w:rPr>
        <w:t>石灰石–石膏湿法烟气脱硫（3炉</w:t>
      </w:r>
      <w:r>
        <w:rPr>
          <w:rFonts w:hint="eastAsia" w:ascii="Times New Roman" w:hAnsi="Times New Roman"/>
          <w:szCs w:val="24"/>
          <w:highlight w:val="none"/>
          <w:lang w:val="en-US" w:eastAsia="zh-CN"/>
        </w:rPr>
        <w:t>1</w:t>
      </w:r>
      <w:r>
        <w:rPr>
          <w:rFonts w:ascii="Times New Roman" w:hAnsi="Times New Roman"/>
          <w:szCs w:val="24"/>
          <w:highlight w:val="none"/>
        </w:rPr>
        <w:t>塔）</w:t>
      </w:r>
      <w:r>
        <w:rPr>
          <w:rFonts w:hint="eastAsia" w:ascii="Times New Roman" w:hAnsi="Times New Roman"/>
          <w:szCs w:val="24"/>
          <w:highlight w:val="none"/>
          <w:lang w:val="en-US" w:eastAsia="zh-CN"/>
        </w:rPr>
        <w:t>措施</w:t>
      </w:r>
      <w:r>
        <w:rPr>
          <w:rFonts w:ascii="Times New Roman" w:hAnsi="Times New Roman"/>
          <w:szCs w:val="24"/>
          <w:highlight w:val="none"/>
        </w:rPr>
        <w:t>，</w:t>
      </w:r>
      <w:r>
        <w:rPr>
          <w:rFonts w:ascii="Times New Roman" w:hAnsi="Times New Roman"/>
          <w:highlight w:val="none"/>
        </w:rPr>
        <w:t>3台锅炉共用1座</w:t>
      </w:r>
      <w:r>
        <w:rPr>
          <w:rFonts w:hint="eastAsia" w:ascii="Times New Roman" w:hAnsi="Times New Roman"/>
          <w:highlight w:val="none"/>
          <w:lang w:val="en-US" w:eastAsia="zh-CN"/>
        </w:rPr>
        <w:t>60</w:t>
      </w:r>
      <w:r>
        <w:rPr>
          <w:rFonts w:ascii="Times New Roman" w:hAnsi="Times New Roman"/>
          <w:highlight w:val="none"/>
        </w:rPr>
        <w:t>米高烟囱排放，建设烟气在线监测系统，有组织烟气中污染物排放浓度满足超低排放限值要求，即在基准含氧量6%条件下，烟尘、二氧化硫、氮氧化物排放浓度分别不高于10mg/m</w:t>
      </w:r>
      <w:r>
        <w:rPr>
          <w:rFonts w:ascii="Times New Roman" w:hAnsi="Times New Roman"/>
          <w:highlight w:val="none"/>
          <w:vertAlign w:val="superscript"/>
        </w:rPr>
        <w:t>3</w:t>
      </w:r>
      <w:r>
        <w:rPr>
          <w:rFonts w:ascii="Times New Roman" w:hAnsi="Times New Roman"/>
          <w:highlight w:val="none"/>
        </w:rPr>
        <w:t>，35mg/m</w:t>
      </w:r>
      <w:r>
        <w:rPr>
          <w:rFonts w:ascii="Times New Roman" w:hAnsi="Times New Roman"/>
          <w:highlight w:val="none"/>
          <w:vertAlign w:val="superscript"/>
        </w:rPr>
        <w:t>3</w:t>
      </w:r>
      <w:r>
        <w:rPr>
          <w:rFonts w:ascii="Times New Roman" w:hAnsi="Times New Roman"/>
          <w:highlight w:val="none"/>
        </w:rPr>
        <w:t>，50mg/m</w:t>
      </w:r>
      <w:r>
        <w:rPr>
          <w:rFonts w:ascii="Times New Roman" w:hAnsi="Times New Roman"/>
          <w:highlight w:val="none"/>
          <w:vertAlign w:val="superscript"/>
        </w:rPr>
        <w:t>3</w:t>
      </w:r>
      <w:r>
        <w:rPr>
          <w:rFonts w:ascii="Times New Roman" w:hAnsi="Times New Roman"/>
          <w:highlight w:val="none"/>
        </w:rPr>
        <w:t>；</w:t>
      </w:r>
      <w:r>
        <w:rPr>
          <w:rFonts w:hint="eastAsia" w:ascii="Times New Roman" w:hAnsi="Times New Roman"/>
          <w:color w:val="auto"/>
          <w:highlight w:val="none"/>
        </w:rPr>
        <w:t>汞及其化合物、烟气黑度（林格曼黑度）排放执行《火电厂大气污染物排放标准》(GB13223-2011)表1中燃煤锅炉大气污染物排放标准限值：0.03mg/m</w:t>
      </w:r>
      <w:r>
        <w:rPr>
          <w:rFonts w:hint="eastAsia" w:ascii="Times New Roman" w:hAnsi="Times New Roman"/>
          <w:color w:val="auto"/>
          <w:highlight w:val="none"/>
          <w:vertAlign w:val="superscript"/>
        </w:rPr>
        <w:t>3</w:t>
      </w:r>
      <w:r>
        <w:rPr>
          <w:rFonts w:hint="eastAsia" w:ascii="Times New Roman" w:hAnsi="Times New Roman"/>
          <w:color w:val="auto"/>
          <w:highlight w:val="none"/>
        </w:rPr>
        <w:t>、1级。</w:t>
      </w:r>
      <w:r>
        <w:rPr>
          <w:rFonts w:ascii="Times New Roman" w:hAnsi="Times New Roman"/>
          <w:highlight w:val="none"/>
        </w:rPr>
        <w:t>输煤系统采用全封闭结构，项目设置石灰石粉仓及中转的灰仓和渣仓，不设置永久灰渣场，灰仓</w:t>
      </w:r>
      <w:r>
        <w:rPr>
          <w:rFonts w:hint="eastAsia" w:ascii="Times New Roman" w:hAnsi="Times New Roman"/>
          <w:highlight w:val="none"/>
          <w:lang w:eastAsia="zh-CN"/>
        </w:rPr>
        <w:t>、</w:t>
      </w:r>
      <w:r>
        <w:rPr>
          <w:rFonts w:ascii="Times New Roman" w:hAnsi="Times New Roman"/>
          <w:highlight w:val="none"/>
        </w:rPr>
        <w:t>石灰石粉仓的仓顶分别设置脉冲除尘器回收粉尘</w:t>
      </w:r>
      <w:r>
        <w:rPr>
          <w:rFonts w:hint="eastAsia" w:ascii="Times New Roman" w:hAnsi="Times New Roman"/>
          <w:highlight w:val="none"/>
          <w:lang w:eastAsia="zh-CN"/>
        </w:rPr>
        <w:t>，</w:t>
      </w:r>
      <w:r>
        <w:rPr>
          <w:rFonts w:hint="eastAsia" w:ascii="Times New Roman" w:hAnsi="Times New Roman"/>
          <w:highlight w:val="none"/>
          <w:lang w:val="en-US" w:eastAsia="zh-CN"/>
        </w:rPr>
        <w:t>渣仓和碎煤机室仓顶分别设置布袋除尘器回收粉尘</w:t>
      </w:r>
      <w:r>
        <w:rPr>
          <w:rFonts w:ascii="Times New Roman" w:hAnsi="Times New Roman"/>
          <w:highlight w:val="none"/>
        </w:rPr>
        <w:t>，无组织排放</w:t>
      </w:r>
      <w:r>
        <w:rPr>
          <w:rFonts w:hint="eastAsia" w:ascii="Times New Roman" w:hAnsi="Times New Roman"/>
          <w:highlight w:val="none"/>
        </w:rPr>
        <w:t>颗粒物</w:t>
      </w:r>
      <w:r>
        <w:rPr>
          <w:rFonts w:ascii="Times New Roman" w:hAnsi="Times New Roman"/>
          <w:highlight w:val="none"/>
        </w:rPr>
        <w:t>厂界处满足《大气污染物综合排放标准》(GB16297-1996）表2中无组织排放监控浓度限值。</w:t>
      </w:r>
    </w:p>
    <w:p w14:paraId="32BCA3A4">
      <w:pPr>
        <w:bidi w:val="0"/>
        <w:rPr>
          <w:rFonts w:hint="default" w:eastAsia="宋体"/>
          <w:highlight w:val="none"/>
          <w:lang w:val="en-US" w:eastAsia="zh-CN"/>
        </w:rPr>
      </w:pPr>
      <w:r>
        <w:rPr>
          <w:rFonts w:hint="eastAsia"/>
          <w:highlight w:val="none"/>
          <w:lang w:val="en-US" w:eastAsia="zh-CN"/>
        </w:rPr>
        <w:t>本项目供热范围现有集中供热区为北山新区和新老城区结合部区域，</w:t>
      </w:r>
      <w:r>
        <w:rPr>
          <w:rFonts w:hint="eastAsia" w:ascii="Times New Roman" w:hAnsi="Times New Roman" w:cs="Times New Roman"/>
          <w:highlight w:val="none"/>
          <w:lang w:val="en-US" w:eastAsia="zh-CN"/>
        </w:rPr>
        <w:t>目前集中供热面积约210万平方米</w:t>
      </w:r>
      <w:r>
        <w:rPr>
          <w:rFonts w:hint="eastAsia"/>
          <w:highlight w:val="none"/>
          <w:lang w:val="en-US" w:eastAsia="zh-CN"/>
        </w:rPr>
        <w:t>。企业供热时间为当年10月10日~次年4月30日，现有锅炉运行最大负荷为116MW热水锅炉+35t/h蒸汽锅炉。</w:t>
      </w:r>
    </w:p>
    <w:p w14:paraId="71971E72">
      <w:pPr>
        <w:pStyle w:val="23"/>
        <w:ind w:firstLine="480"/>
        <w:rPr>
          <w:rFonts w:hint="eastAsia"/>
          <w:color w:val="auto"/>
          <w:highlight w:val="none"/>
        </w:rPr>
      </w:pPr>
      <w:r>
        <w:rPr>
          <w:rFonts w:hint="eastAsia"/>
          <w:color w:val="auto"/>
          <w:highlight w:val="none"/>
        </w:rPr>
        <w:t>本项目主厂房、烟气净化系统、在线监测系统、点火助燃油系统</w:t>
      </w:r>
      <w:r>
        <w:rPr>
          <w:rFonts w:hint="eastAsia"/>
          <w:color w:val="auto"/>
          <w:highlight w:val="none"/>
          <w:lang w:eastAsia="zh-CN"/>
        </w:rPr>
        <w:t>、</w:t>
      </w:r>
      <w:r>
        <w:rPr>
          <w:rFonts w:hint="eastAsia"/>
          <w:color w:val="auto"/>
          <w:highlight w:val="none"/>
        </w:rPr>
        <w:t>碎煤机室及输煤除渣系统、空压机室及石灰石粉尘、灰仓、渣仓、储煤</w:t>
      </w:r>
      <w:r>
        <w:rPr>
          <w:rFonts w:hint="eastAsia"/>
          <w:color w:val="auto"/>
          <w:highlight w:val="none"/>
          <w:lang w:val="en-US" w:eastAsia="zh-CN"/>
        </w:rPr>
        <w:t>厂</w:t>
      </w:r>
      <w:r>
        <w:rPr>
          <w:rFonts w:hint="eastAsia"/>
          <w:color w:val="auto"/>
          <w:highlight w:val="none"/>
        </w:rPr>
        <w:t>等设施</w:t>
      </w:r>
      <w:r>
        <w:rPr>
          <w:rFonts w:hint="eastAsia"/>
          <w:color w:val="auto"/>
          <w:highlight w:val="none"/>
          <w:lang w:val="en-US" w:eastAsia="zh-CN"/>
        </w:rPr>
        <w:t>均已建设完成</w:t>
      </w:r>
      <w:r>
        <w:rPr>
          <w:rFonts w:hint="eastAsia"/>
          <w:color w:val="auto"/>
          <w:highlight w:val="none"/>
        </w:rPr>
        <w:t>；依托现有</w:t>
      </w:r>
      <w:r>
        <w:rPr>
          <w:rFonts w:hint="eastAsia"/>
          <w:color w:val="auto"/>
          <w:highlight w:val="none"/>
          <w:lang w:val="en-US" w:eastAsia="zh-CN"/>
        </w:rPr>
        <w:t>公</w:t>
      </w:r>
      <w:r>
        <w:rPr>
          <w:rFonts w:hint="eastAsia"/>
          <w:color w:val="auto"/>
          <w:highlight w:val="none"/>
        </w:rPr>
        <w:t>路运输专用线、现有工程的给水管网供给、厂区内排水系统、点火助燃油系统等。</w:t>
      </w:r>
    </w:p>
    <w:p w14:paraId="2ECE4566">
      <w:pPr>
        <w:ind w:firstLine="480"/>
        <w:rPr>
          <w:rFonts w:hint="eastAsia" w:ascii="Times New Roman" w:hAnsi="Times New Roman" w:eastAsia="宋体"/>
          <w:highlight w:val="none"/>
          <w:lang w:eastAsia="zh-CN"/>
        </w:rPr>
      </w:pPr>
      <w:r>
        <w:rPr>
          <w:rFonts w:hint="eastAsia" w:ascii="Times New Roman" w:hAnsi="Times New Roman"/>
          <w:highlight w:val="none"/>
        </w:rPr>
        <w:t>本项目废气污染物二氧化硫、氮氧化物、细颗粒物等核定排放总量为：细颗粒物</w:t>
      </w:r>
      <w:r>
        <w:rPr>
          <w:rFonts w:hint="eastAsia" w:ascii="Times New Roman" w:hAnsi="Times New Roman"/>
          <w:highlight w:val="none"/>
          <w:lang w:val="en-US" w:eastAsia="zh-CN"/>
        </w:rPr>
        <w:t>7.902</w:t>
      </w:r>
      <w:r>
        <w:rPr>
          <w:rFonts w:hint="eastAsia" w:ascii="Times New Roman" w:hAnsi="Times New Roman"/>
          <w:highlight w:val="none"/>
        </w:rPr>
        <w:t>t/a、二氧化硫</w:t>
      </w:r>
      <w:r>
        <w:rPr>
          <w:rFonts w:hint="eastAsia" w:ascii="Times New Roman" w:hAnsi="Times New Roman"/>
          <w:highlight w:val="none"/>
          <w:lang w:val="en-US" w:eastAsia="zh-CN"/>
        </w:rPr>
        <w:t>27.658</w:t>
      </w:r>
      <w:r>
        <w:rPr>
          <w:rFonts w:hint="eastAsia" w:ascii="Times New Roman" w:hAnsi="Times New Roman"/>
          <w:highlight w:val="none"/>
        </w:rPr>
        <w:t>t/a、氮氧化物</w:t>
      </w:r>
      <w:r>
        <w:rPr>
          <w:rFonts w:hint="eastAsia" w:ascii="Times New Roman" w:hAnsi="Times New Roman"/>
          <w:highlight w:val="none"/>
          <w:lang w:val="en-US" w:eastAsia="zh-CN"/>
        </w:rPr>
        <w:t>39.5111</w:t>
      </w:r>
      <w:r>
        <w:rPr>
          <w:rFonts w:hint="eastAsia" w:ascii="Times New Roman" w:hAnsi="Times New Roman"/>
          <w:highlight w:val="none"/>
        </w:rPr>
        <w:t>t/a</w:t>
      </w:r>
      <w:r>
        <w:rPr>
          <w:rFonts w:hint="eastAsia" w:ascii="Times New Roman" w:hAnsi="Times New Roman"/>
          <w:highlight w:val="none"/>
          <w:lang w:eastAsia="zh-CN"/>
        </w:rPr>
        <w:t>。</w:t>
      </w:r>
    </w:p>
    <w:p w14:paraId="26F673C7">
      <w:pPr>
        <w:ind w:firstLine="480"/>
        <w:rPr>
          <w:rFonts w:ascii="Times New Roman" w:hAnsi="Times New Roman"/>
          <w:highlight w:val="none"/>
        </w:rPr>
      </w:pPr>
      <w:r>
        <w:rPr>
          <w:rFonts w:ascii="Times New Roman" w:hAnsi="Times New Roman"/>
          <w:highlight w:val="none"/>
        </w:rPr>
        <w:t>本项目生产废水回用不外排，</w:t>
      </w:r>
      <w:r>
        <w:rPr>
          <w:rFonts w:hint="eastAsia" w:ascii="Times New Roman" w:hAnsi="Times New Roman"/>
          <w:highlight w:val="none"/>
        </w:rPr>
        <w:t>生活污水排入市政管网，经污水管网排入绥芬河中环污水处理有限公司，处理达到《城镇污水处理厂污染物排放标准》(GB18918—2002)一级</w:t>
      </w:r>
      <w:r>
        <w:rPr>
          <w:rFonts w:hint="eastAsia" w:ascii="Times New Roman" w:hAnsi="Times New Roman"/>
          <w:highlight w:val="none"/>
          <w:lang w:val="en-US" w:eastAsia="zh-CN"/>
        </w:rPr>
        <w:t>B</w:t>
      </w:r>
      <w:r>
        <w:rPr>
          <w:rFonts w:hint="eastAsia" w:ascii="Times New Roman" w:hAnsi="Times New Roman"/>
          <w:highlight w:val="none"/>
        </w:rPr>
        <w:t>标准后</w:t>
      </w:r>
      <w:r>
        <w:rPr>
          <w:rFonts w:hint="eastAsia" w:ascii="Times New Roman" w:hAnsi="Times New Roman"/>
          <w:highlight w:val="none"/>
          <w:lang w:val="en-US" w:eastAsia="zh-CN"/>
        </w:rPr>
        <w:t>最终汇入小绥芬河</w:t>
      </w:r>
      <w:r>
        <w:rPr>
          <w:rFonts w:ascii="Times New Roman" w:hAnsi="Times New Roman"/>
          <w:highlight w:val="none"/>
        </w:rPr>
        <w:t>。</w:t>
      </w:r>
    </w:p>
    <w:p w14:paraId="2CD5C15D">
      <w:pPr>
        <w:ind w:firstLine="480"/>
        <w:rPr>
          <w:rFonts w:ascii="Times New Roman" w:hAnsi="Times New Roman"/>
          <w:highlight w:val="none"/>
        </w:rPr>
      </w:pPr>
      <w:r>
        <w:rPr>
          <w:rFonts w:ascii="Times New Roman" w:hAnsi="Times New Roman"/>
          <w:highlight w:val="none"/>
        </w:rPr>
        <w:t>本项目设备噪声通过减振、降噪措施后能满足《工业企业厂界环境噪声排放标准》（GB12348-2008）中的</w:t>
      </w:r>
      <w:r>
        <w:rPr>
          <w:rFonts w:hint="eastAsia" w:ascii="Times New Roman" w:hAnsi="Times New Roman"/>
          <w:highlight w:val="none"/>
          <w:lang w:val="en-US" w:eastAsia="zh-CN"/>
        </w:rPr>
        <w:t>2</w:t>
      </w:r>
      <w:r>
        <w:rPr>
          <w:rFonts w:ascii="Times New Roman" w:hAnsi="Times New Roman"/>
          <w:highlight w:val="none"/>
        </w:rPr>
        <w:t>类</w:t>
      </w:r>
      <w:r>
        <w:rPr>
          <w:rFonts w:hint="eastAsia" w:ascii="Times New Roman" w:hAnsi="Times New Roman"/>
          <w:highlight w:val="none"/>
          <w:lang w:val="en-US" w:eastAsia="zh-CN"/>
        </w:rPr>
        <w:t>和4类</w:t>
      </w:r>
      <w:r>
        <w:rPr>
          <w:rFonts w:ascii="Times New Roman" w:hAnsi="Times New Roman"/>
          <w:highlight w:val="none"/>
        </w:rPr>
        <w:t>标准。</w:t>
      </w:r>
    </w:p>
    <w:p w14:paraId="677F3BAC">
      <w:pPr>
        <w:pStyle w:val="21"/>
        <w:ind w:firstLine="480"/>
        <w:rPr>
          <w:rFonts w:ascii="Times New Roman" w:hAnsi="Times New Roman"/>
          <w:highlight w:val="none"/>
        </w:rPr>
      </w:pPr>
      <w:r>
        <w:rPr>
          <w:rFonts w:ascii="Times New Roman" w:hAnsi="Times New Roman"/>
          <w:highlight w:val="none"/>
        </w:rPr>
        <w:t>本项目运营期产生的炉渣、炉灰、</w:t>
      </w:r>
      <w:r>
        <w:rPr>
          <w:rFonts w:hint="eastAsia" w:ascii="Times New Roman" w:hAnsi="Times New Roman"/>
          <w:highlight w:val="none"/>
        </w:rPr>
        <w:t>脱硫石膏</w:t>
      </w:r>
      <w:r>
        <w:rPr>
          <w:rFonts w:ascii="Times New Roman" w:hAnsi="Times New Roman"/>
          <w:highlight w:val="none"/>
        </w:rPr>
        <w:t>全部</w:t>
      </w:r>
      <w:r>
        <w:rPr>
          <w:rFonts w:hint="eastAsia" w:ascii="Times New Roman" w:hAnsi="Times New Roman"/>
          <w:highlight w:val="none"/>
          <w:lang w:val="en-US" w:eastAsia="zh-CN"/>
        </w:rPr>
        <w:t>用于采矿区粉煤灰回填</w:t>
      </w:r>
      <w:r>
        <w:rPr>
          <w:rFonts w:ascii="Times New Roman" w:hAnsi="Times New Roman"/>
          <w:highlight w:val="none"/>
        </w:rPr>
        <w:t>；生活垃圾、废离子交换树脂</w:t>
      </w:r>
      <w:r>
        <w:rPr>
          <w:rFonts w:hint="eastAsia" w:ascii="Times New Roman" w:hAnsi="Times New Roman"/>
          <w:highlight w:val="none"/>
          <w:lang w:val="en-US" w:eastAsia="zh-CN"/>
        </w:rPr>
        <w:t>和反渗透膜由厂家回收处置</w:t>
      </w:r>
      <w:r>
        <w:rPr>
          <w:rFonts w:ascii="Times New Roman" w:hAnsi="Times New Roman"/>
          <w:highlight w:val="none"/>
        </w:rPr>
        <w:t>；废催化剂</w:t>
      </w:r>
      <w:r>
        <w:rPr>
          <w:rFonts w:hint="eastAsia" w:ascii="Times New Roman" w:hAnsi="Times New Roman"/>
          <w:highlight w:val="none"/>
          <w:lang w:eastAsia="zh-CN"/>
        </w:rPr>
        <w:t>、</w:t>
      </w:r>
      <w:r>
        <w:rPr>
          <w:rFonts w:hint="eastAsia" w:ascii="Times New Roman" w:hAnsi="Times New Roman"/>
          <w:highlight w:val="none"/>
          <w:lang w:val="en-US" w:eastAsia="zh-CN"/>
        </w:rPr>
        <w:t>废机油</w:t>
      </w:r>
      <w:r>
        <w:rPr>
          <w:rFonts w:ascii="Times New Roman" w:hAnsi="Times New Roman"/>
          <w:highlight w:val="none"/>
        </w:rPr>
        <w:t>交由有资质单位处置。</w:t>
      </w:r>
      <w:bookmarkStart w:id="239" w:name="_GoBack"/>
      <w:bookmarkEnd w:id="239"/>
    </w:p>
    <w:p w14:paraId="1B2E52EC">
      <w:pPr>
        <w:pStyle w:val="4"/>
        <w:bidi w:val="0"/>
        <w:ind w:left="0" w:leftChars="0" w:firstLine="0" w:firstLineChars="0"/>
        <w:rPr>
          <w:rFonts w:hint="eastAsia"/>
          <w:highlight w:val="none"/>
          <w:lang w:val="en-US" w:eastAsia="zh-CN"/>
        </w:rPr>
      </w:pPr>
      <w:bookmarkStart w:id="12" w:name="_Toc18669"/>
      <w:r>
        <w:rPr>
          <w:rFonts w:hint="eastAsia"/>
          <w:highlight w:val="none"/>
          <w:lang w:val="en-US" w:eastAsia="zh-CN"/>
        </w:rPr>
        <w:t>1.3环境影响评价工作过程</w:t>
      </w:r>
      <w:bookmarkEnd w:id="12"/>
    </w:p>
    <w:p w14:paraId="613D7ACA">
      <w:pPr>
        <w:ind w:firstLine="480"/>
        <w:rPr>
          <w:rFonts w:ascii="Times New Roman" w:hAnsi="Times New Roman"/>
          <w:highlight w:val="none"/>
        </w:rPr>
      </w:pPr>
      <w:r>
        <w:rPr>
          <w:rFonts w:ascii="Times New Roman" w:hAnsi="Times New Roman"/>
          <w:highlight w:val="none"/>
        </w:rPr>
        <w:t>根据《建设项目环境影响评价技术导则 总纲》(HJ 2.1-2016)等相关技术规范的要求，环境影响评价工作分为三个阶段进行，即调查分析和工作方案制定阶段、分析论证和预测评价阶段、环境影响报告书(表)编制阶段。具体工作程序见图1.3-1。</w:t>
      </w:r>
    </w:p>
    <w:p w14:paraId="458210BB">
      <w:pPr>
        <w:ind w:firstLine="0" w:firstLineChars="0"/>
        <w:rPr>
          <w:rFonts w:ascii="Times New Roman" w:hAnsi="Times New Roman"/>
          <w:highlight w:val="none"/>
        </w:rPr>
      </w:pPr>
      <w:r>
        <w:rPr>
          <w:rFonts w:ascii="Times New Roman" w:hAnsi="Times New Roman"/>
          <w:highlight w:val="none"/>
        </w:rPr>
        <w:drawing>
          <wp:inline distT="0" distB="0" distL="114300" distR="114300">
            <wp:extent cx="5274310" cy="5015230"/>
            <wp:effectExtent l="0" t="0" r="2540" b="13970"/>
            <wp:docPr id="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4"/>
                    <pic:cNvPicPr>
                      <a:picLocks noChangeAspect="1"/>
                    </pic:cNvPicPr>
                  </pic:nvPicPr>
                  <pic:blipFill>
                    <a:blip r:embed="rId7"/>
                    <a:stretch>
                      <a:fillRect/>
                    </a:stretch>
                  </pic:blipFill>
                  <pic:spPr>
                    <a:xfrm>
                      <a:off x="0" y="0"/>
                      <a:ext cx="5274310" cy="5015230"/>
                    </a:xfrm>
                    <a:prstGeom prst="rect">
                      <a:avLst/>
                    </a:prstGeom>
                    <a:noFill/>
                    <a:ln>
                      <a:noFill/>
                    </a:ln>
                  </pic:spPr>
                </pic:pic>
              </a:graphicData>
            </a:graphic>
          </wp:inline>
        </w:drawing>
      </w:r>
    </w:p>
    <w:p w14:paraId="140A8017">
      <w:pPr>
        <w:ind w:firstLine="0" w:firstLineChars="0"/>
        <w:jc w:val="center"/>
        <w:rPr>
          <w:rFonts w:hint="eastAsia" w:ascii="Times New Roman" w:hAnsi="Times New Roman"/>
          <w:highlight w:val="none"/>
        </w:rPr>
      </w:pPr>
      <w:r>
        <w:rPr>
          <w:rFonts w:ascii="Times New Roman" w:hAnsi="Times New Roman"/>
          <w:b/>
          <w:bCs/>
          <w:highlight w:val="none"/>
        </w:rPr>
        <w:t>图1.3-1建设项目环境影响评价工作程序图</w:t>
      </w:r>
    </w:p>
    <w:p w14:paraId="69124BA4">
      <w:pPr>
        <w:ind w:firstLine="480"/>
        <w:rPr>
          <w:rFonts w:hint="eastAsia"/>
          <w:highlight w:val="none"/>
        </w:rPr>
      </w:pPr>
      <w:r>
        <w:rPr>
          <w:rFonts w:hint="eastAsia"/>
          <w:highlight w:val="none"/>
        </w:rPr>
        <w:t>一、前期准备阶段：</w:t>
      </w:r>
    </w:p>
    <w:p w14:paraId="050F7BBE">
      <w:pPr>
        <w:ind w:firstLine="480"/>
        <w:rPr>
          <w:rFonts w:hint="eastAsia"/>
          <w:highlight w:val="none"/>
        </w:rPr>
      </w:pPr>
      <w:r>
        <w:rPr>
          <w:rFonts w:hint="eastAsia"/>
          <w:highlight w:val="none"/>
        </w:rPr>
        <w:t>依据《建设项目环境影响评价分类管理名录》（2021年版）的有关要求，本项目属于“四十一、电力、热力生产和供应业、91热力生产和供应工程（包括建设单位自建自用的供热工程）、燃煤、燃油锅炉总容量65吨/小时（45.5兆瓦）以上的” “中的燃煤锅炉总容量65吨/小时（45.5兆瓦）以上的”，本项目应编制环境影响报告书。工作人员在研究相关技术及其他有关文件的基础上进行了初步工程分析，开展了初步的环境现状调查，之后进行了环境影响识别、评价因子和评价标准的判定，明确了评价重点和环境保护目标，进一步确定评价工作等级和评价范围，最后制定出环评工作方案。</w:t>
      </w:r>
    </w:p>
    <w:p w14:paraId="361557A1">
      <w:pPr>
        <w:ind w:firstLine="480"/>
        <w:rPr>
          <w:rFonts w:hint="eastAsia"/>
          <w:highlight w:val="none"/>
        </w:rPr>
      </w:pPr>
      <w:r>
        <w:rPr>
          <w:rFonts w:hint="eastAsia"/>
          <w:highlight w:val="none"/>
        </w:rPr>
        <w:t>二、调查分析和工作方案制定阶段：</w:t>
      </w:r>
    </w:p>
    <w:p w14:paraId="0D742B33">
      <w:pPr>
        <w:ind w:firstLine="480"/>
        <w:rPr>
          <w:rFonts w:hint="eastAsia"/>
          <w:highlight w:val="none"/>
        </w:rPr>
      </w:pPr>
      <w:r>
        <w:rPr>
          <w:rFonts w:hint="eastAsia"/>
          <w:highlight w:val="none"/>
        </w:rPr>
        <w:t>根据第一阶段的工作成果，工作人员在对环境质量现状进行调查、监测与评价后，详细进行了工程分析，同时对各环境要素进行了环境影响预测与评价，对各专题进行了环境影响分析与评价。</w:t>
      </w:r>
    </w:p>
    <w:p w14:paraId="494EB33F">
      <w:pPr>
        <w:ind w:firstLine="480"/>
        <w:rPr>
          <w:rFonts w:hint="eastAsia"/>
          <w:highlight w:val="none"/>
        </w:rPr>
      </w:pPr>
      <w:r>
        <w:rPr>
          <w:rFonts w:hint="eastAsia"/>
          <w:highlight w:val="none"/>
        </w:rPr>
        <w:t>三、分析论证和预测评价阶段：</w:t>
      </w:r>
    </w:p>
    <w:p w14:paraId="141A2733">
      <w:pPr>
        <w:rPr>
          <w:rFonts w:hint="eastAsia"/>
          <w:highlight w:val="none"/>
        </w:rPr>
      </w:pPr>
      <w:r>
        <w:rPr>
          <w:rFonts w:hint="eastAsia"/>
          <w:highlight w:val="none"/>
        </w:rPr>
        <w:t>根据上一阶段的预测、分析与评价，给出建设项目可行性的评价结论，提出环境保护措施，进行其经济技术可行性论证，列出污染物排放清单并给出建设项目环境影响评价结论，完成环境影响报告书的编制工作。</w:t>
      </w:r>
    </w:p>
    <w:p w14:paraId="6215FB2A">
      <w:pPr>
        <w:pStyle w:val="4"/>
        <w:bidi w:val="0"/>
        <w:ind w:left="0" w:leftChars="0" w:firstLine="321" w:firstLineChars="100"/>
        <w:rPr>
          <w:rFonts w:hint="eastAsia"/>
          <w:highlight w:val="none"/>
          <w:lang w:val="en-US" w:eastAsia="zh-CN"/>
        </w:rPr>
      </w:pPr>
      <w:bookmarkStart w:id="13" w:name="_Toc2984"/>
      <w:r>
        <w:rPr>
          <w:rFonts w:hint="eastAsia"/>
          <w:highlight w:val="none"/>
          <w:lang w:val="en-US" w:eastAsia="zh-CN"/>
        </w:rPr>
        <w:t>1.4分析判定相关情况</w:t>
      </w:r>
      <w:bookmarkEnd w:id="13"/>
    </w:p>
    <w:p w14:paraId="06CD086D">
      <w:pPr>
        <w:pStyle w:val="5"/>
        <w:bidi w:val="0"/>
        <w:ind w:left="0" w:leftChars="0" w:firstLine="0" w:firstLineChars="0"/>
        <w:rPr>
          <w:rFonts w:hint="eastAsia" w:ascii="Times New Roman" w:hAnsi="Times New Roman"/>
          <w:sz w:val="30"/>
          <w:szCs w:val="30"/>
          <w:highlight w:val="none"/>
          <w:lang w:val="en-US" w:eastAsia="zh-CN"/>
        </w:rPr>
      </w:pPr>
      <w:bookmarkStart w:id="14" w:name="_Toc18177"/>
      <w:r>
        <w:rPr>
          <w:rFonts w:hint="default" w:ascii="Times New Roman" w:hAnsi="Times New Roman" w:cs="Times New Roman"/>
          <w:highlight w:val="none"/>
          <w:lang w:val="en-US" w:eastAsia="zh-CN"/>
        </w:rPr>
        <w:t>1.4.1</w:t>
      </w:r>
      <w:r>
        <w:rPr>
          <w:rFonts w:ascii="Times New Roman" w:hAnsi="Times New Roman"/>
          <w:sz w:val="30"/>
          <w:szCs w:val="30"/>
          <w:highlight w:val="none"/>
        </w:rPr>
        <w:t>与《产业结构调整指导目录（</w:t>
      </w:r>
      <w:r>
        <w:rPr>
          <w:rFonts w:hint="eastAsia" w:ascii="Times New Roman" w:hAnsi="Times New Roman"/>
          <w:sz w:val="30"/>
          <w:szCs w:val="30"/>
          <w:highlight w:val="none"/>
          <w:lang w:val="en-US" w:eastAsia="zh-CN"/>
        </w:rPr>
        <w:t>2024</w:t>
      </w:r>
      <w:r>
        <w:rPr>
          <w:rFonts w:ascii="Times New Roman" w:hAnsi="Times New Roman"/>
          <w:sz w:val="30"/>
          <w:szCs w:val="30"/>
          <w:highlight w:val="none"/>
        </w:rPr>
        <w:t>年本）》的符合性</w:t>
      </w:r>
      <w:r>
        <w:rPr>
          <w:rFonts w:hint="eastAsia" w:ascii="Times New Roman" w:hAnsi="Times New Roman"/>
          <w:sz w:val="30"/>
          <w:szCs w:val="30"/>
          <w:highlight w:val="none"/>
          <w:lang w:val="en-US" w:eastAsia="zh-CN"/>
        </w:rPr>
        <w:t>分析</w:t>
      </w:r>
      <w:bookmarkEnd w:id="14"/>
    </w:p>
    <w:p w14:paraId="0321737E">
      <w:pPr>
        <w:rPr>
          <w:rFonts w:ascii="Times New Roman" w:hAnsi="Times New Roman"/>
          <w:highlight w:val="none"/>
        </w:rPr>
      </w:pPr>
      <w:r>
        <w:rPr>
          <w:rFonts w:ascii="Times New Roman" w:hAnsi="Times New Roman"/>
          <w:highlight w:val="none"/>
        </w:rPr>
        <w:t>本项目属于《产业结构调整指导目录（20</w:t>
      </w:r>
      <w:r>
        <w:rPr>
          <w:rFonts w:hint="eastAsia" w:ascii="Times New Roman" w:hAnsi="Times New Roman"/>
          <w:highlight w:val="none"/>
          <w:lang w:val="en-US" w:eastAsia="zh-CN"/>
        </w:rPr>
        <w:t>24</w:t>
      </w:r>
      <w:r>
        <w:rPr>
          <w:rFonts w:ascii="Times New Roman" w:hAnsi="Times New Roman"/>
          <w:highlight w:val="none"/>
        </w:rPr>
        <w:t>年本）》中鼓励类第二十二部分“城镇基础设施”第</w:t>
      </w:r>
      <w:r>
        <w:rPr>
          <w:rFonts w:hint="eastAsia" w:ascii="Times New Roman" w:hAnsi="Times New Roman"/>
          <w:highlight w:val="none"/>
          <w:lang w:val="en-US" w:eastAsia="zh-CN"/>
        </w:rPr>
        <w:t>2</w:t>
      </w:r>
      <w:r>
        <w:rPr>
          <w:rFonts w:ascii="Times New Roman" w:hAnsi="Times New Roman"/>
          <w:highlight w:val="none"/>
        </w:rPr>
        <w:t>条为“城镇集中供热建设和改造工程</w:t>
      </w:r>
      <w:r>
        <w:rPr>
          <w:rFonts w:hint="eastAsia" w:ascii="Times New Roman" w:hAnsi="Times New Roman"/>
          <w:highlight w:val="none"/>
          <w:lang w:eastAsia="zh-CN"/>
        </w:rPr>
        <w:t>（</w:t>
      </w:r>
      <w:r>
        <w:rPr>
          <w:rFonts w:ascii="宋体" w:hAnsi="宋体" w:eastAsia="宋体" w:cs="宋体"/>
          <w:sz w:val="24"/>
          <w:szCs w:val="24"/>
          <w:highlight w:val="none"/>
        </w:rPr>
        <w:t>包括长距离集中供热管网应用工程</w:t>
      </w:r>
      <w:r>
        <w:rPr>
          <w:rFonts w:hint="eastAsia" w:ascii="Times New Roman" w:hAnsi="Times New Roman"/>
          <w:highlight w:val="none"/>
          <w:lang w:eastAsia="zh-CN"/>
        </w:rPr>
        <w:t>）</w:t>
      </w:r>
      <w:r>
        <w:rPr>
          <w:rFonts w:ascii="Times New Roman" w:hAnsi="Times New Roman"/>
          <w:highlight w:val="none"/>
        </w:rPr>
        <w:t>”中的“城镇集中供热建设工程”。因此，本项目属于鼓励类建设项目。</w:t>
      </w:r>
    </w:p>
    <w:p w14:paraId="6791CADE">
      <w:pPr>
        <w:pStyle w:val="5"/>
        <w:bidi w:val="0"/>
        <w:ind w:left="0" w:leftChars="0" w:firstLine="0" w:firstLineChars="0"/>
        <w:rPr>
          <w:rFonts w:hint="eastAsia" w:ascii="Times New Roman" w:hAnsi="Times New Roman" w:eastAsia="宋体" w:cs="Times New Roman"/>
          <w:highlight w:val="none"/>
          <w:lang w:val="en-US" w:eastAsia="zh-CN"/>
        </w:rPr>
      </w:pPr>
      <w:bookmarkStart w:id="15" w:name="_Toc31624"/>
      <w:r>
        <w:rPr>
          <w:rFonts w:hint="eastAsia" w:ascii="Times New Roman" w:hAnsi="Times New Roman" w:eastAsia="宋体" w:cs="Times New Roman"/>
          <w:highlight w:val="none"/>
          <w:lang w:val="en-US" w:eastAsia="zh-CN"/>
        </w:rPr>
        <w:t>1.4.2生态环境分区管控符合性分析</w:t>
      </w:r>
      <w:bookmarkEnd w:id="15"/>
    </w:p>
    <w:p w14:paraId="5D434DB9">
      <w:pPr>
        <w:ind w:firstLine="480"/>
        <w:rPr>
          <w:rFonts w:ascii="Times New Roman" w:hAnsi="Times New Roman"/>
          <w:highlight w:val="none"/>
        </w:rPr>
      </w:pPr>
      <w:r>
        <w:rPr>
          <w:rFonts w:ascii="Times New Roman" w:hAnsi="Times New Roman"/>
          <w:highlight w:val="none"/>
        </w:rPr>
        <w:t>根据《黑龙江省人民政府关于实施“三线一单”生态环境分区管控的意见》（黑政发[2020]14号）和</w:t>
      </w:r>
      <w:r>
        <w:rPr>
          <w:rFonts w:hint="default"/>
          <w:color w:val="auto"/>
          <w:sz w:val="24"/>
          <w:szCs w:val="24"/>
          <w:highlight w:val="none"/>
          <w:lang w:val="en-US" w:eastAsia="zh-CN"/>
        </w:rPr>
        <w:t>《牡丹江市人民政府关于实</w:t>
      </w:r>
      <w:r>
        <w:rPr>
          <w:rFonts w:hint="default" w:ascii="Times New Roman" w:hAnsi="Times New Roman" w:cs="Times New Roman"/>
          <w:color w:val="auto"/>
          <w:sz w:val="24"/>
          <w:szCs w:val="24"/>
          <w:highlight w:val="none"/>
          <w:lang w:val="en-US" w:eastAsia="zh-CN"/>
        </w:rPr>
        <w:t>施“三线一单”生</w:t>
      </w:r>
      <w:r>
        <w:rPr>
          <w:rFonts w:hint="default"/>
          <w:color w:val="auto"/>
          <w:sz w:val="24"/>
          <w:szCs w:val="24"/>
          <w:highlight w:val="none"/>
          <w:lang w:val="en-US" w:eastAsia="zh-CN"/>
        </w:rPr>
        <w:t>态环境分区管控的意见》（</w:t>
      </w:r>
      <w:r>
        <w:rPr>
          <w:rFonts w:hint="eastAsia"/>
          <w:color w:val="auto"/>
          <w:sz w:val="24"/>
          <w:szCs w:val="24"/>
          <w:highlight w:val="none"/>
          <w:lang w:val="en-US" w:eastAsia="zh-CN"/>
        </w:rPr>
        <w:t>牡</w:t>
      </w:r>
      <w:r>
        <w:rPr>
          <w:rFonts w:hint="default"/>
          <w:color w:val="auto"/>
          <w:sz w:val="24"/>
          <w:szCs w:val="24"/>
          <w:highlight w:val="none"/>
          <w:lang w:val="en-US" w:eastAsia="zh-CN"/>
        </w:rPr>
        <w:t>政发</w:t>
      </w:r>
      <w:r>
        <w:rPr>
          <w:rFonts w:hint="eastAsia"/>
          <w:color w:val="auto"/>
          <w:sz w:val="24"/>
          <w:szCs w:val="24"/>
          <w:highlight w:val="none"/>
          <w:lang w:val="en-US" w:eastAsia="zh-CN"/>
        </w:rPr>
        <w:t>[</w:t>
      </w:r>
      <w:r>
        <w:rPr>
          <w:rFonts w:hint="default" w:ascii="Times New Roman" w:hAnsi="Times New Roman" w:eastAsia="宋体" w:cs="Times New Roman"/>
          <w:highlight w:val="none"/>
          <w:lang w:val="en-US" w:eastAsia="zh-CN"/>
        </w:rPr>
        <w:t>2021</w:t>
      </w:r>
      <w:r>
        <w:rPr>
          <w:rFonts w:hint="eastAsia" w:ascii="Times New Roman" w:hAnsi="Times New Roman" w:eastAsia="宋体" w:cs="Times New Roman"/>
          <w:highlight w:val="none"/>
          <w:lang w:val="en-US" w:eastAsia="zh-CN"/>
        </w:rPr>
        <w:t>]</w:t>
      </w:r>
      <w:r>
        <w:rPr>
          <w:rFonts w:hint="default" w:ascii="Times New Roman" w:hAnsi="Times New Roman" w:eastAsia="宋体" w:cs="Times New Roman"/>
          <w:highlight w:val="none"/>
          <w:lang w:val="en-US" w:eastAsia="zh-CN"/>
        </w:rPr>
        <w:t>5</w:t>
      </w:r>
      <w:r>
        <w:rPr>
          <w:rFonts w:hint="default"/>
          <w:color w:val="auto"/>
          <w:sz w:val="24"/>
          <w:szCs w:val="24"/>
          <w:highlight w:val="none"/>
          <w:lang w:val="en-US" w:eastAsia="zh-CN"/>
        </w:rPr>
        <w:t>号）</w:t>
      </w:r>
      <w:r>
        <w:rPr>
          <w:rFonts w:ascii="Times New Roman" w:hAnsi="Times New Roman"/>
          <w:highlight w:val="none"/>
        </w:rPr>
        <w:t>，本项目位于重点管控单元。重点管控单元管控要求为：突出污染物排放控制和环境风险防控，按照差别化的生态环境准入要求，优化空间和产业布局，不断提升资源利用效率，强化环境质量改善目标约束，解决局部生态环境质量不达标、生态环境风险高的问题。</w:t>
      </w:r>
    </w:p>
    <w:p w14:paraId="7BEFD8A3">
      <w:pPr>
        <w:ind w:firstLine="480"/>
        <w:rPr>
          <w:rFonts w:ascii="Times New Roman" w:hAnsi="Times New Roman"/>
          <w:highlight w:val="none"/>
        </w:rPr>
      </w:pPr>
      <w:r>
        <w:rPr>
          <w:rFonts w:ascii="Times New Roman" w:hAnsi="Times New Roman"/>
          <w:highlight w:val="none"/>
        </w:rPr>
        <w:t>（1）生态保护红线符合性分析</w:t>
      </w:r>
    </w:p>
    <w:p w14:paraId="077919A8">
      <w:pPr>
        <w:ind w:firstLine="480"/>
        <w:rPr>
          <w:rFonts w:ascii="Times New Roman" w:hAnsi="Times New Roman"/>
          <w:highlight w:val="none"/>
        </w:rPr>
      </w:pPr>
      <w:r>
        <w:rPr>
          <w:rFonts w:ascii="Times New Roman" w:hAnsi="Times New Roman"/>
          <w:highlight w:val="none"/>
        </w:rPr>
        <w:t>本项目</w:t>
      </w:r>
      <w:r>
        <w:rPr>
          <w:rFonts w:hint="eastAsia" w:ascii="Times New Roman" w:hAnsi="Times New Roman"/>
          <w:highlight w:val="none"/>
          <w:lang w:val="en-US" w:eastAsia="zh-CN"/>
        </w:rPr>
        <w:t>不在</w:t>
      </w:r>
      <w:r>
        <w:rPr>
          <w:rFonts w:ascii="Times New Roman" w:hAnsi="Times New Roman"/>
          <w:highlight w:val="none"/>
        </w:rPr>
        <w:t>生态保护红线范围内。</w:t>
      </w:r>
    </w:p>
    <w:p w14:paraId="58A14E17">
      <w:pPr>
        <w:ind w:firstLine="480"/>
        <w:rPr>
          <w:rFonts w:ascii="Times New Roman" w:hAnsi="Times New Roman"/>
          <w:highlight w:val="none"/>
        </w:rPr>
      </w:pPr>
      <w:r>
        <w:rPr>
          <w:rFonts w:ascii="Times New Roman" w:hAnsi="Times New Roman"/>
          <w:highlight w:val="none"/>
        </w:rPr>
        <w:t>（2）环境质量底线符合性分析</w:t>
      </w:r>
    </w:p>
    <w:p w14:paraId="120707A2">
      <w:pPr>
        <w:ind w:firstLine="480"/>
        <w:rPr>
          <w:rFonts w:ascii="Times New Roman" w:hAnsi="Times New Roman"/>
          <w:highlight w:val="none"/>
        </w:rPr>
      </w:pPr>
      <w:r>
        <w:rPr>
          <w:rFonts w:ascii="Times New Roman" w:hAnsi="Times New Roman"/>
          <w:highlight w:val="none"/>
        </w:rPr>
        <w:t>本项目锅炉烟气污染物排放浓度达到超低排放标准要求，厂界颗粒物排放浓度满足《大气污染物综合排放标准》（GB16297-1996）表2中无组织排放监控浓度限值（1.0mg/m</w:t>
      </w:r>
      <w:r>
        <w:rPr>
          <w:rFonts w:ascii="Times New Roman" w:hAnsi="Times New Roman"/>
          <w:highlight w:val="none"/>
          <w:vertAlign w:val="superscript"/>
        </w:rPr>
        <w:t>3</w:t>
      </w:r>
      <w:r>
        <w:rPr>
          <w:rFonts w:ascii="Times New Roman" w:hAnsi="Times New Roman"/>
          <w:highlight w:val="none"/>
        </w:rPr>
        <w:t>）要求；本项目生产废水全部回用不外排。环境风险影响可控。项目建设对地表水环境影响较小本项目的建设不会降低项目所在地周边环境的环境功能质量，符合环境质量控制底线要求。</w:t>
      </w:r>
    </w:p>
    <w:p w14:paraId="151099AF">
      <w:pPr>
        <w:ind w:firstLine="480"/>
        <w:rPr>
          <w:rFonts w:ascii="Times New Roman" w:hAnsi="Times New Roman"/>
          <w:highlight w:val="none"/>
        </w:rPr>
      </w:pPr>
      <w:r>
        <w:rPr>
          <w:rFonts w:ascii="Times New Roman" w:hAnsi="Times New Roman"/>
          <w:highlight w:val="none"/>
        </w:rPr>
        <w:t>（3）资源利用上线符合性分析</w:t>
      </w:r>
    </w:p>
    <w:p w14:paraId="31487EFE">
      <w:pPr>
        <w:ind w:firstLine="480"/>
        <w:rPr>
          <w:rFonts w:ascii="Times New Roman" w:hAnsi="Times New Roman" w:eastAsia="宋体" w:cs="Times New Roman"/>
          <w:highlight w:val="none"/>
        </w:rPr>
      </w:pPr>
      <w:r>
        <w:rPr>
          <w:rFonts w:ascii="Times New Roman" w:hAnsi="Times New Roman" w:eastAsia="宋体" w:cs="Times New Roman"/>
          <w:highlight w:val="none"/>
        </w:rPr>
        <w:t>本项目</w:t>
      </w:r>
      <w:r>
        <w:rPr>
          <w:rFonts w:hint="eastAsia" w:ascii="Times New Roman" w:hAnsi="Times New Roman" w:eastAsia="宋体" w:cs="Times New Roman"/>
          <w:highlight w:val="none"/>
          <w:lang w:val="en-US" w:eastAsia="zh-CN"/>
        </w:rPr>
        <w:t>生产</w:t>
      </w:r>
      <w:r>
        <w:rPr>
          <w:rFonts w:ascii="Times New Roman" w:hAnsi="Times New Roman" w:eastAsia="宋体" w:cs="Times New Roman"/>
          <w:highlight w:val="none"/>
        </w:rPr>
        <w:t>废水经处理达标后回用，可大大减少新水用量，提高水利用率。灰渣全部外售，尽可能做到合理利用和节能降耗，最大限度地减少物耗、能耗。因此本项目符合“三线一单”中资源利用上线的要求。</w:t>
      </w:r>
    </w:p>
    <w:p w14:paraId="42998A2C">
      <w:pPr>
        <w:ind w:firstLine="480"/>
        <w:rPr>
          <w:rFonts w:ascii="Times New Roman" w:hAnsi="Times New Roman"/>
          <w:highlight w:val="none"/>
        </w:rPr>
      </w:pPr>
      <w:r>
        <w:rPr>
          <w:rFonts w:ascii="Times New Roman" w:hAnsi="Times New Roman"/>
          <w:highlight w:val="none"/>
        </w:rPr>
        <w:t>（4）环境准入负面清单符合性分析</w:t>
      </w:r>
    </w:p>
    <w:p w14:paraId="0EDB4F03">
      <w:pPr>
        <w:ind w:firstLine="480"/>
        <w:rPr>
          <w:rFonts w:ascii="Times New Roman" w:hAnsi="Times New Roman"/>
          <w:highlight w:val="none"/>
        </w:rPr>
      </w:pPr>
      <w:r>
        <w:rPr>
          <w:rFonts w:ascii="Times New Roman" w:hAnsi="Times New Roman"/>
          <w:highlight w:val="none"/>
        </w:rPr>
        <w:t>对照《</w:t>
      </w:r>
      <w:r>
        <w:rPr>
          <w:rFonts w:hint="eastAsia" w:ascii="Times New Roman" w:hAnsi="Times New Roman"/>
          <w:highlight w:val="none"/>
          <w:lang w:val="en-US" w:eastAsia="zh-CN"/>
        </w:rPr>
        <w:t>牡丹江</w:t>
      </w:r>
      <w:r>
        <w:rPr>
          <w:rFonts w:ascii="Times New Roman" w:hAnsi="Times New Roman"/>
          <w:highlight w:val="none"/>
        </w:rPr>
        <w:t>市生态环境准入清单》</w:t>
      </w:r>
      <w:r>
        <w:rPr>
          <w:rFonts w:hint="eastAsia" w:ascii="Times New Roman" w:hAnsi="Times New Roman"/>
          <w:highlight w:val="none"/>
          <w:lang w:eastAsia="zh-CN"/>
        </w:rPr>
        <w:t>（</w:t>
      </w:r>
      <w:r>
        <w:rPr>
          <w:rFonts w:hint="eastAsia" w:ascii="Times New Roman" w:hAnsi="Times New Roman"/>
          <w:highlight w:val="none"/>
          <w:lang w:val="en-US" w:eastAsia="zh-CN"/>
        </w:rPr>
        <w:t>2023年版</w:t>
      </w:r>
      <w:r>
        <w:rPr>
          <w:rFonts w:hint="eastAsia" w:ascii="Times New Roman" w:hAnsi="Times New Roman"/>
          <w:highlight w:val="none"/>
          <w:lang w:eastAsia="zh-CN"/>
        </w:rPr>
        <w:t>）</w:t>
      </w:r>
      <w:r>
        <w:rPr>
          <w:rFonts w:ascii="Times New Roman" w:hAnsi="Times New Roman"/>
          <w:highlight w:val="none"/>
        </w:rPr>
        <w:t>，</w:t>
      </w:r>
      <w:r>
        <w:rPr>
          <w:rFonts w:ascii="Times New Roman" w:hAnsi="Times New Roman"/>
          <w:highlight w:val="none"/>
        </w:rPr>
        <w:t>本项目与</w:t>
      </w:r>
      <w:r>
        <w:rPr>
          <w:rFonts w:hint="eastAsia" w:ascii="Times New Roman" w:hAnsi="Times New Roman"/>
          <w:highlight w:val="none"/>
          <w:lang w:val="en-US" w:eastAsia="zh-CN"/>
        </w:rPr>
        <w:t>牡丹江</w:t>
      </w:r>
      <w:r>
        <w:rPr>
          <w:rFonts w:ascii="Times New Roman" w:hAnsi="Times New Roman"/>
          <w:highlight w:val="none"/>
        </w:rPr>
        <w:t>市、</w:t>
      </w:r>
      <w:r>
        <w:rPr>
          <w:rFonts w:hint="eastAsia" w:ascii="Times New Roman" w:hAnsi="Times New Roman"/>
          <w:highlight w:val="none"/>
          <w:lang w:val="en-US" w:eastAsia="zh-CN"/>
        </w:rPr>
        <w:t>绥芬河市</w:t>
      </w:r>
      <w:r>
        <w:rPr>
          <w:rFonts w:ascii="Times New Roman" w:hAnsi="Times New Roman"/>
          <w:highlight w:val="none"/>
        </w:rPr>
        <w:t>生态环境管控要求符合性分析见表1.4-1。本项目按要求采取生态环境保护措施后，符合其管控单元准入要求。</w:t>
      </w:r>
    </w:p>
    <w:p w14:paraId="2D883722">
      <w:pPr>
        <w:rPr>
          <w:rFonts w:hint="default"/>
          <w:highlight w:val="none"/>
          <w:lang w:val="en-US" w:eastAsia="zh-CN"/>
        </w:rPr>
      </w:pPr>
      <w:r>
        <w:rPr>
          <w:rFonts w:ascii="Times New Roman" w:hAnsi="Times New Roman"/>
          <w:highlight w:val="none"/>
        </w:rPr>
        <w:t>综上，本项目建设符合“三线一单”要求。</w:t>
      </w:r>
    </w:p>
    <w:p w14:paraId="12AE1D99">
      <w:pPr>
        <w:pStyle w:val="23"/>
        <w:rPr>
          <w:highlight w:val="none"/>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14:paraId="4C4C6F0F">
      <w:pPr>
        <w:ind w:firstLine="0" w:firstLineChars="0"/>
        <w:jc w:val="center"/>
        <w:rPr>
          <w:rFonts w:hint="eastAsia" w:ascii="Times New Roman" w:hAnsi="Times New Roman"/>
          <w:highlight w:val="none"/>
        </w:rPr>
      </w:pPr>
      <w:r>
        <w:rPr>
          <w:rFonts w:ascii="Times New Roman" w:hAnsi="Times New Roman"/>
          <w:b/>
          <w:bCs/>
          <w:highlight w:val="none"/>
        </w:rPr>
        <w:t>表1.4-1  本项目生态环境管控要求的符合性分析</w:t>
      </w:r>
    </w:p>
    <w:tbl>
      <w:tblPr>
        <w:tblStyle w:val="17"/>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41"/>
        <w:gridCol w:w="426"/>
        <w:gridCol w:w="426"/>
        <w:gridCol w:w="537"/>
        <w:gridCol w:w="6672"/>
        <w:gridCol w:w="2781"/>
        <w:gridCol w:w="881"/>
      </w:tblGrid>
      <w:tr w14:paraId="17B5B1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2" w:type="pct"/>
            <w:noWrap w:val="0"/>
            <w:tcMar>
              <w:left w:w="57" w:type="dxa"/>
              <w:right w:w="57" w:type="dxa"/>
            </w:tcMar>
            <w:vAlign w:val="center"/>
          </w:tcPr>
          <w:p w14:paraId="3BC2D640">
            <w:pPr>
              <w:autoSpaceDE w:val="0"/>
              <w:autoSpaceDN w:val="0"/>
              <w:adjustRightInd w:val="0"/>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lang w:val="en-US" w:eastAsia="zh-CN"/>
              </w:rPr>
              <w:t>环境管控单元编码</w:t>
            </w:r>
          </w:p>
        </w:tc>
        <w:tc>
          <w:tcPr>
            <w:tcW w:w="151" w:type="pct"/>
            <w:noWrap w:val="0"/>
            <w:vAlign w:val="center"/>
          </w:tcPr>
          <w:p w14:paraId="2D96D23A">
            <w:pPr>
              <w:autoSpaceDE w:val="0"/>
              <w:autoSpaceDN w:val="0"/>
              <w:adjustRightInd w:val="0"/>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lang w:val="en-US" w:eastAsia="zh-CN"/>
              </w:rPr>
              <w:t>环境管控单元名称</w:t>
            </w:r>
          </w:p>
        </w:tc>
        <w:tc>
          <w:tcPr>
            <w:tcW w:w="151" w:type="pct"/>
            <w:noWrap w:val="0"/>
            <w:vAlign w:val="center"/>
          </w:tcPr>
          <w:p w14:paraId="63E6F7BB">
            <w:pPr>
              <w:autoSpaceDE w:val="0"/>
              <w:autoSpaceDN w:val="0"/>
              <w:adjustRightInd w:val="0"/>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lang w:val="en-US" w:eastAsia="zh-CN"/>
              </w:rPr>
              <w:t>管控单元分类</w:t>
            </w:r>
          </w:p>
        </w:tc>
        <w:tc>
          <w:tcPr>
            <w:tcW w:w="191" w:type="pct"/>
            <w:noWrap w:val="0"/>
            <w:vAlign w:val="center"/>
          </w:tcPr>
          <w:p w14:paraId="46D5AF82">
            <w:pPr>
              <w:autoSpaceDE w:val="0"/>
              <w:autoSpaceDN w:val="0"/>
              <w:adjustRightInd w:val="0"/>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管控维度</w:t>
            </w:r>
          </w:p>
        </w:tc>
        <w:tc>
          <w:tcPr>
            <w:tcW w:w="2370" w:type="pct"/>
            <w:noWrap w:val="0"/>
            <w:vAlign w:val="center"/>
          </w:tcPr>
          <w:p w14:paraId="5E908CA8">
            <w:pPr>
              <w:autoSpaceDE w:val="0"/>
              <w:autoSpaceDN w:val="0"/>
              <w:adjustRightInd w:val="0"/>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管控要求</w:t>
            </w:r>
          </w:p>
        </w:tc>
        <w:tc>
          <w:tcPr>
            <w:tcW w:w="988" w:type="pct"/>
            <w:noWrap w:val="0"/>
            <w:vAlign w:val="center"/>
          </w:tcPr>
          <w:p w14:paraId="6C8C8346">
            <w:pPr>
              <w:autoSpaceDE w:val="0"/>
              <w:autoSpaceDN w:val="0"/>
              <w:adjustRightInd w:val="0"/>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本项目情况</w:t>
            </w:r>
          </w:p>
        </w:tc>
        <w:tc>
          <w:tcPr>
            <w:tcW w:w="313" w:type="pct"/>
            <w:noWrap w:val="0"/>
            <w:tcMar>
              <w:left w:w="57" w:type="dxa"/>
              <w:right w:w="57" w:type="dxa"/>
            </w:tcMar>
            <w:vAlign w:val="center"/>
          </w:tcPr>
          <w:p w14:paraId="4AC37189">
            <w:pPr>
              <w:autoSpaceDE w:val="0"/>
              <w:autoSpaceDN w:val="0"/>
              <w:adjustRightInd w:val="0"/>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符合性分析</w:t>
            </w:r>
          </w:p>
        </w:tc>
      </w:tr>
      <w:tr w14:paraId="1CD9B2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2" w:type="pct"/>
            <w:vMerge w:val="restart"/>
            <w:noWrap w:val="0"/>
            <w:tcMar>
              <w:left w:w="57" w:type="dxa"/>
              <w:right w:w="57" w:type="dxa"/>
            </w:tcMar>
            <w:vAlign w:val="center"/>
          </w:tcPr>
          <w:p w14:paraId="6CA14B63">
            <w:pPr>
              <w:keepNext w:val="0"/>
              <w:keepLines w:val="0"/>
              <w:widowControl/>
              <w:suppressLineNumbers w:val="0"/>
              <w:ind w:left="0" w:leftChars="0" w:firstLine="0" w:firstLineChars="0"/>
              <w:jc w:val="center"/>
              <w:rPr>
                <w:rFonts w:ascii="Times New Roman" w:hAnsi="Times New Roman"/>
                <w:kern w:val="0"/>
                <w:sz w:val="21"/>
                <w:szCs w:val="21"/>
                <w:highlight w:val="none"/>
              </w:rPr>
            </w:pPr>
            <w:r>
              <w:rPr>
                <w:rFonts w:hint="eastAsia" w:ascii="宋体" w:hAnsi="宋体" w:eastAsia="宋体" w:cs="宋体"/>
                <w:color w:val="000000"/>
                <w:kern w:val="0"/>
                <w:sz w:val="21"/>
                <w:szCs w:val="21"/>
                <w:highlight w:val="none"/>
                <w:lang w:val="en-US" w:eastAsia="zh-CN" w:bidi="ar"/>
              </w:rPr>
              <w:t>ZH23108120002</w:t>
            </w:r>
          </w:p>
        </w:tc>
        <w:tc>
          <w:tcPr>
            <w:tcW w:w="151" w:type="pct"/>
            <w:vMerge w:val="restart"/>
            <w:noWrap w:val="0"/>
            <w:vAlign w:val="center"/>
          </w:tcPr>
          <w:p w14:paraId="609592D4">
            <w:pPr>
              <w:autoSpaceDE w:val="0"/>
              <w:autoSpaceDN w:val="0"/>
              <w:adjustRightInd w:val="0"/>
              <w:spacing w:line="240" w:lineRule="auto"/>
              <w:ind w:firstLine="0" w:firstLineChars="0"/>
              <w:jc w:val="center"/>
              <w:rPr>
                <w:rFonts w:hint="default" w:ascii="Times New Roman" w:hAnsi="Times New Roman"/>
                <w:kern w:val="0"/>
                <w:sz w:val="21"/>
                <w:szCs w:val="21"/>
                <w:highlight w:val="none"/>
                <w:lang w:val="en-US"/>
              </w:rPr>
            </w:pPr>
            <w:r>
              <w:rPr>
                <w:rFonts w:hint="eastAsia" w:ascii="Times New Roman" w:hAnsi="Times New Roman"/>
                <w:kern w:val="0"/>
                <w:sz w:val="21"/>
                <w:szCs w:val="21"/>
                <w:highlight w:val="none"/>
                <w:lang w:val="en-US" w:eastAsia="zh-CN"/>
              </w:rPr>
              <w:t>绥芬河市边境经济合作区</w:t>
            </w:r>
          </w:p>
          <w:p w14:paraId="7A75036B">
            <w:pPr>
              <w:autoSpaceDE w:val="0"/>
              <w:autoSpaceDN w:val="0"/>
              <w:adjustRightInd w:val="0"/>
              <w:spacing w:line="240" w:lineRule="auto"/>
              <w:ind w:firstLine="0" w:firstLineChars="0"/>
              <w:jc w:val="center"/>
              <w:rPr>
                <w:rFonts w:ascii="Times New Roman" w:hAnsi="Times New Roman"/>
                <w:kern w:val="0"/>
                <w:sz w:val="21"/>
                <w:szCs w:val="21"/>
                <w:highlight w:val="none"/>
              </w:rPr>
            </w:pPr>
          </w:p>
        </w:tc>
        <w:tc>
          <w:tcPr>
            <w:tcW w:w="151" w:type="pct"/>
            <w:vMerge w:val="restart"/>
            <w:noWrap w:val="0"/>
            <w:vAlign w:val="center"/>
          </w:tcPr>
          <w:p w14:paraId="743AC7E5">
            <w:pPr>
              <w:spacing w:line="240" w:lineRule="auto"/>
              <w:ind w:firstLine="0" w:firstLineChars="0"/>
              <w:jc w:val="center"/>
              <w:rPr>
                <w:rFonts w:ascii="Times New Roman" w:hAnsi="Times New Roman"/>
                <w:sz w:val="21"/>
                <w:szCs w:val="21"/>
                <w:highlight w:val="none"/>
              </w:rPr>
            </w:pPr>
            <w:r>
              <w:rPr>
                <w:rFonts w:hint="eastAsia" w:ascii="Times New Roman" w:hAnsi="Times New Roman"/>
                <w:sz w:val="21"/>
                <w:szCs w:val="21"/>
                <w:highlight w:val="none"/>
                <w:lang w:val="en-US" w:eastAsia="zh-CN"/>
              </w:rPr>
              <w:t>重点管控单元</w:t>
            </w:r>
          </w:p>
        </w:tc>
        <w:tc>
          <w:tcPr>
            <w:tcW w:w="191" w:type="pct"/>
            <w:noWrap w:val="0"/>
            <w:vAlign w:val="center"/>
          </w:tcPr>
          <w:p w14:paraId="61C08E94">
            <w:pPr>
              <w:spacing w:line="240" w:lineRule="auto"/>
              <w:ind w:firstLine="0" w:firstLineChars="0"/>
              <w:jc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空间布局约束</w:t>
            </w:r>
          </w:p>
        </w:tc>
        <w:tc>
          <w:tcPr>
            <w:tcW w:w="2370" w:type="pct"/>
            <w:noWrap w:val="0"/>
            <w:vAlign w:val="center"/>
          </w:tcPr>
          <w:p w14:paraId="5D0B221A">
            <w:pPr>
              <w:keepNext w:val="0"/>
              <w:keepLines w:val="0"/>
              <w:widowControl/>
              <w:numPr>
                <w:ilvl w:val="0"/>
                <w:numId w:val="0"/>
              </w:numPr>
              <w:suppressLineNumbers w:val="0"/>
              <w:jc w:val="center"/>
              <w:rPr>
                <w:rFonts w:hint="eastAsia" w:ascii="宋体" w:hAnsi="宋体" w:eastAsia="宋体" w:cs="宋体"/>
                <w:color w:val="000000"/>
                <w:kern w:val="0"/>
                <w:sz w:val="21"/>
                <w:szCs w:val="21"/>
                <w:highlight w:val="none"/>
                <w:lang w:val="en-US" w:eastAsia="zh-CN" w:bidi="ar"/>
              </w:rPr>
            </w:pPr>
            <w:r>
              <w:rPr>
                <w:rFonts w:hint="eastAsia" w:ascii="宋体" w:hAnsi="宋体" w:eastAsia="宋体" w:cs="宋体"/>
                <w:color w:val="000000"/>
                <w:kern w:val="0"/>
                <w:sz w:val="21"/>
                <w:szCs w:val="21"/>
                <w:highlight w:val="none"/>
                <w:lang w:val="en-US" w:eastAsia="zh-CN" w:bidi="ar"/>
              </w:rPr>
              <w:t>1.小绥芬河河道两侧、寒葱河河道西侧堤防迎水面不小于三十米,背水面不小于二十米范围内禁止建设任何除河道管理工程外的项目。</w:t>
            </w:r>
          </w:p>
          <w:p w14:paraId="6FABE0D0">
            <w:pPr>
              <w:keepNext w:val="0"/>
              <w:keepLines w:val="0"/>
              <w:widowControl/>
              <w:numPr>
                <w:ilvl w:val="0"/>
                <w:numId w:val="0"/>
              </w:numPr>
              <w:suppressLineNumbers w:val="0"/>
              <w:jc w:val="center"/>
              <w:rPr>
                <w:highlight w:val="none"/>
              </w:rPr>
            </w:pPr>
            <w:r>
              <w:rPr>
                <w:rFonts w:hint="eastAsia" w:ascii="宋体" w:hAnsi="宋体" w:eastAsia="宋体" w:cs="宋体"/>
                <w:color w:val="000000"/>
                <w:kern w:val="0"/>
                <w:sz w:val="21"/>
                <w:szCs w:val="21"/>
                <w:highlight w:val="none"/>
                <w:lang w:val="en-US" w:eastAsia="zh-CN" w:bidi="ar"/>
              </w:rPr>
              <w:t>2.不符合开发区产业定位的企业，限制其生产规模或搬迁。</w:t>
            </w:r>
          </w:p>
          <w:p w14:paraId="533A5F16">
            <w:pPr>
              <w:keepNext w:val="0"/>
              <w:keepLines w:val="0"/>
              <w:widowControl/>
              <w:numPr>
                <w:ilvl w:val="0"/>
                <w:numId w:val="0"/>
              </w:numPr>
              <w:suppressLineNumbers w:val="0"/>
              <w:jc w:val="center"/>
              <w:rPr>
                <w:rFonts w:hint="eastAsia" w:ascii="宋体" w:hAnsi="宋体" w:eastAsia="宋体" w:cs="宋体"/>
                <w:color w:val="000000"/>
                <w:kern w:val="0"/>
                <w:sz w:val="21"/>
                <w:szCs w:val="21"/>
                <w:highlight w:val="none"/>
                <w:lang w:val="en-US" w:eastAsia="zh-CN" w:bidi="ar"/>
              </w:rPr>
            </w:pPr>
            <w:r>
              <w:rPr>
                <w:rFonts w:hint="eastAsia" w:ascii="宋体" w:hAnsi="宋体" w:eastAsia="宋体" w:cs="宋体"/>
                <w:color w:val="000000"/>
                <w:kern w:val="0"/>
                <w:sz w:val="21"/>
                <w:szCs w:val="21"/>
                <w:highlight w:val="none"/>
                <w:lang w:val="en-US" w:eastAsia="zh-CN" w:bidi="ar"/>
              </w:rPr>
              <w:t>3.限制喷漆工艺污染严重的企业入区。家具的上漆、干燥和黏合工序要在车间内进行，严禁在露天使用涂料、干燥家具、黏合操作，严禁在露天堆放涂料和空的涂料桶。</w:t>
            </w:r>
          </w:p>
          <w:p w14:paraId="1EE6FB1D">
            <w:pPr>
              <w:keepNext w:val="0"/>
              <w:keepLines w:val="0"/>
              <w:widowControl/>
              <w:numPr>
                <w:ilvl w:val="0"/>
                <w:numId w:val="0"/>
              </w:numPr>
              <w:suppressLineNumbers w:val="0"/>
              <w:jc w:val="center"/>
              <w:rPr>
                <w:rFonts w:hint="eastAsia" w:ascii="宋体" w:hAnsi="宋体" w:eastAsia="宋体" w:cs="宋体"/>
                <w:color w:val="000000"/>
                <w:kern w:val="0"/>
                <w:sz w:val="21"/>
                <w:szCs w:val="21"/>
                <w:highlight w:val="none"/>
                <w:lang w:val="en-US" w:eastAsia="zh-CN" w:bidi="ar"/>
              </w:rPr>
            </w:pPr>
            <w:r>
              <w:rPr>
                <w:rFonts w:hint="eastAsia" w:ascii="宋体" w:hAnsi="宋体" w:eastAsia="宋体" w:cs="宋体"/>
                <w:color w:val="000000"/>
                <w:kern w:val="0"/>
                <w:sz w:val="21"/>
                <w:szCs w:val="21"/>
                <w:highlight w:val="none"/>
                <w:lang w:val="en-US" w:eastAsia="zh-CN" w:bidi="ar"/>
              </w:rPr>
              <w:t>4.严禁高能耗、低产出、高污染、土地集约利用程度低的企业进入。</w:t>
            </w:r>
          </w:p>
          <w:p w14:paraId="156A4F3B">
            <w:pPr>
              <w:keepNext w:val="0"/>
              <w:keepLines w:val="0"/>
              <w:widowControl/>
              <w:numPr>
                <w:ilvl w:val="0"/>
                <w:numId w:val="0"/>
              </w:numPr>
              <w:suppressLineNumbers w:val="0"/>
              <w:jc w:val="center"/>
              <w:rPr>
                <w:rFonts w:hint="eastAsia" w:ascii="宋体" w:hAnsi="宋体" w:eastAsia="宋体" w:cs="宋体"/>
                <w:color w:val="000000"/>
                <w:kern w:val="0"/>
                <w:sz w:val="21"/>
                <w:szCs w:val="21"/>
                <w:highlight w:val="none"/>
                <w:lang w:val="en-US" w:eastAsia="zh-CN" w:bidi="ar"/>
              </w:rPr>
            </w:pPr>
            <w:r>
              <w:rPr>
                <w:rFonts w:hint="eastAsia" w:ascii="宋体" w:hAnsi="宋体" w:eastAsia="宋体" w:cs="宋体"/>
                <w:color w:val="000000"/>
                <w:kern w:val="0"/>
                <w:sz w:val="21"/>
                <w:szCs w:val="21"/>
                <w:highlight w:val="none"/>
                <w:lang w:val="en-US" w:eastAsia="zh-CN" w:bidi="ar"/>
              </w:rPr>
              <w:t>5.入园建设项目开展环评工作时，应以产业园区规划环评为依据，重点分析项目环评与规划环评结论及审查意见的符合性；产业园区招商引资、入园建设项目环评审批等应将规划环评结论及审查意见作为重要依据。</w:t>
            </w:r>
          </w:p>
          <w:p w14:paraId="7FCCD3CC">
            <w:pPr>
              <w:keepNext w:val="0"/>
              <w:keepLines w:val="0"/>
              <w:widowControl/>
              <w:numPr>
                <w:ilvl w:val="0"/>
                <w:numId w:val="0"/>
              </w:numPr>
              <w:suppressLineNumbers w:val="0"/>
              <w:jc w:val="center"/>
              <w:rPr>
                <w:rFonts w:hint="eastAsia" w:ascii="宋体" w:hAnsi="宋体" w:eastAsia="宋体" w:cs="宋体"/>
                <w:color w:val="000000"/>
                <w:kern w:val="0"/>
                <w:sz w:val="21"/>
                <w:szCs w:val="21"/>
                <w:highlight w:val="none"/>
                <w:lang w:val="en-US" w:eastAsia="zh-CN" w:bidi="ar"/>
              </w:rPr>
            </w:pPr>
            <w:r>
              <w:rPr>
                <w:rFonts w:hint="eastAsia" w:ascii="宋体" w:hAnsi="宋体" w:eastAsia="宋体" w:cs="宋体"/>
                <w:color w:val="000000"/>
                <w:kern w:val="0"/>
                <w:sz w:val="21"/>
                <w:szCs w:val="21"/>
                <w:highlight w:val="none"/>
                <w:lang w:val="en-US" w:eastAsia="zh-CN" w:bidi="ar"/>
              </w:rPr>
              <w:t>6.新建、扩建石化、化工、焦化、有色金属冶炼、平板玻璃项目应布设在依法合规设立并经规划环评的产业园区。煤化工产业项目选址及污染控制措施等须满足安全、环境准入要求，新建项目需布局在一般或较低安全风险等级的化工园区。</w:t>
            </w:r>
          </w:p>
          <w:p w14:paraId="40697F12">
            <w:pPr>
              <w:keepNext w:val="0"/>
              <w:keepLines w:val="0"/>
              <w:widowControl/>
              <w:numPr>
                <w:ilvl w:val="0"/>
                <w:numId w:val="0"/>
              </w:numPr>
              <w:suppressLineNumbers w:val="0"/>
              <w:jc w:val="center"/>
              <w:rPr>
                <w:rFonts w:hint="eastAsia" w:ascii="宋体" w:hAnsi="宋体" w:eastAsia="宋体" w:cs="宋体"/>
                <w:color w:val="000000"/>
                <w:kern w:val="0"/>
                <w:sz w:val="21"/>
                <w:szCs w:val="21"/>
                <w:highlight w:val="none"/>
                <w:lang w:val="en-US" w:eastAsia="zh-CN" w:bidi="ar"/>
              </w:rPr>
            </w:pPr>
            <w:r>
              <w:rPr>
                <w:rFonts w:hint="eastAsia" w:ascii="宋体" w:hAnsi="宋体" w:eastAsia="宋体" w:cs="宋体"/>
                <w:color w:val="000000"/>
                <w:kern w:val="0"/>
                <w:sz w:val="21"/>
                <w:szCs w:val="21"/>
                <w:highlight w:val="none"/>
                <w:lang w:val="en-US" w:eastAsia="zh-CN" w:bidi="ar"/>
              </w:rPr>
              <w:t>7.重大制造 业项目、依托能源和矿产资源的资源加工业项目原则上布局在重点开发区。 8.未纳入国家有关领域产业规划的，一律不得新建改扩建炼油和新建乙烯、对二甲苯、煤制烯烃项目。</w:t>
            </w:r>
          </w:p>
          <w:p w14:paraId="4E5BEC7C">
            <w:pPr>
              <w:keepNext w:val="0"/>
              <w:keepLines w:val="0"/>
              <w:widowControl/>
              <w:numPr>
                <w:ilvl w:val="0"/>
                <w:numId w:val="0"/>
              </w:numPr>
              <w:suppressLineNumbers w:val="0"/>
              <w:jc w:val="center"/>
              <w:rPr>
                <w:rFonts w:hint="eastAsia" w:ascii="宋体" w:hAnsi="宋体" w:eastAsia="宋体" w:cs="宋体"/>
                <w:color w:val="000000"/>
                <w:kern w:val="0"/>
                <w:sz w:val="21"/>
                <w:szCs w:val="21"/>
                <w:highlight w:val="none"/>
                <w:lang w:val="en-US" w:eastAsia="zh-CN" w:bidi="ar"/>
              </w:rPr>
            </w:pPr>
            <w:r>
              <w:rPr>
                <w:rFonts w:hint="eastAsia" w:ascii="宋体" w:hAnsi="宋体" w:eastAsia="宋体" w:cs="宋体"/>
                <w:color w:val="000000"/>
                <w:kern w:val="0"/>
                <w:sz w:val="21"/>
                <w:szCs w:val="21"/>
                <w:highlight w:val="none"/>
                <w:lang w:val="en-US" w:eastAsia="zh-CN" w:bidi="ar"/>
              </w:rPr>
              <w:t>9.禁止引进国家产业政策明令淘汰和限制的产品、技术、工艺、设备及行为。</w:t>
            </w:r>
          </w:p>
          <w:p w14:paraId="09357C1C">
            <w:pPr>
              <w:keepNext w:val="0"/>
              <w:keepLines w:val="0"/>
              <w:widowControl/>
              <w:numPr>
                <w:ilvl w:val="0"/>
                <w:numId w:val="0"/>
              </w:numPr>
              <w:suppressLineNumbers w:val="0"/>
              <w:jc w:val="center"/>
              <w:rPr>
                <w:rFonts w:hint="eastAsia" w:ascii="宋体" w:hAnsi="宋体" w:eastAsia="宋体" w:cs="宋体"/>
                <w:color w:val="000000"/>
                <w:kern w:val="0"/>
                <w:sz w:val="21"/>
                <w:szCs w:val="21"/>
                <w:highlight w:val="none"/>
                <w:lang w:val="en-US" w:eastAsia="zh-CN" w:bidi="ar"/>
              </w:rPr>
            </w:pPr>
            <w:r>
              <w:rPr>
                <w:rFonts w:hint="eastAsia" w:ascii="宋体" w:hAnsi="宋体" w:eastAsia="宋体" w:cs="宋体"/>
                <w:color w:val="000000"/>
                <w:kern w:val="0"/>
                <w:sz w:val="21"/>
                <w:szCs w:val="21"/>
                <w:highlight w:val="none"/>
                <w:lang w:val="en-US" w:eastAsia="zh-CN" w:bidi="ar"/>
              </w:rPr>
              <w:t>10.编制产业园区开发建设规划时应依法开展规划环评。</w:t>
            </w:r>
          </w:p>
          <w:p w14:paraId="01A4EE46">
            <w:pPr>
              <w:keepNext w:val="0"/>
              <w:keepLines w:val="0"/>
              <w:widowControl/>
              <w:numPr>
                <w:ilvl w:val="0"/>
                <w:numId w:val="0"/>
              </w:numPr>
              <w:suppressLineNumbers w:val="0"/>
              <w:jc w:val="center"/>
              <w:rPr>
                <w:rFonts w:hint="eastAsia" w:ascii="宋体" w:hAnsi="宋体" w:eastAsia="宋体" w:cs="宋体"/>
                <w:color w:val="000000"/>
                <w:kern w:val="0"/>
                <w:sz w:val="21"/>
                <w:szCs w:val="21"/>
                <w:highlight w:val="none"/>
                <w:lang w:val="en-US" w:eastAsia="zh-CN" w:bidi="ar"/>
              </w:rPr>
            </w:pPr>
            <w:r>
              <w:rPr>
                <w:rFonts w:hint="eastAsia" w:ascii="宋体" w:hAnsi="宋体" w:eastAsia="宋体" w:cs="宋体"/>
                <w:color w:val="000000"/>
                <w:kern w:val="0"/>
                <w:sz w:val="21"/>
                <w:szCs w:val="21"/>
                <w:highlight w:val="none"/>
                <w:lang w:val="en-US" w:eastAsia="zh-CN" w:bidi="ar"/>
              </w:rPr>
              <w:t>11.规划审批机关在审批规划时，应将规划环评结论及审查意见作为决策的重要依据，在审批中未采纳环境影响报告书结论及审查意见的，应当作出说明并存档备查。</w:t>
            </w:r>
          </w:p>
          <w:p w14:paraId="5683EEBF">
            <w:pPr>
              <w:keepNext w:val="0"/>
              <w:keepLines w:val="0"/>
              <w:widowControl/>
              <w:numPr>
                <w:ilvl w:val="0"/>
                <w:numId w:val="0"/>
              </w:numPr>
              <w:suppressLineNumbers w:val="0"/>
              <w:jc w:val="center"/>
              <w:rPr>
                <w:rFonts w:hint="eastAsia" w:ascii="宋体" w:hAnsi="宋体" w:eastAsia="宋体" w:cs="宋体"/>
                <w:color w:val="000000"/>
                <w:kern w:val="0"/>
                <w:sz w:val="21"/>
                <w:szCs w:val="21"/>
                <w:highlight w:val="none"/>
                <w:lang w:val="en-US" w:eastAsia="zh-CN" w:bidi="ar"/>
              </w:rPr>
            </w:pPr>
            <w:r>
              <w:rPr>
                <w:rFonts w:hint="eastAsia" w:ascii="宋体" w:hAnsi="宋体" w:eastAsia="宋体" w:cs="宋体"/>
                <w:color w:val="000000"/>
                <w:kern w:val="0"/>
                <w:sz w:val="21"/>
                <w:szCs w:val="21"/>
                <w:highlight w:val="none"/>
                <w:lang w:val="en-US" w:eastAsia="zh-CN" w:bidi="ar"/>
              </w:rPr>
              <w:t>12.产业园区招商引资、入园建设项目环评审批等应将规划环评结论及审查意见作为重要依据。</w:t>
            </w:r>
          </w:p>
          <w:p w14:paraId="76E93236">
            <w:pPr>
              <w:keepNext w:val="0"/>
              <w:keepLines w:val="0"/>
              <w:widowControl/>
              <w:numPr>
                <w:ilvl w:val="0"/>
                <w:numId w:val="0"/>
              </w:numPr>
              <w:suppressLineNumbers w:val="0"/>
              <w:jc w:val="center"/>
              <w:rPr>
                <w:rFonts w:hint="eastAsia" w:ascii="宋体" w:hAnsi="宋体" w:eastAsia="宋体" w:cs="宋体"/>
                <w:color w:val="000000"/>
                <w:kern w:val="0"/>
                <w:sz w:val="21"/>
                <w:szCs w:val="21"/>
                <w:highlight w:val="none"/>
                <w:lang w:val="en-US" w:eastAsia="zh-CN" w:bidi="ar"/>
              </w:rPr>
            </w:pPr>
            <w:r>
              <w:rPr>
                <w:rFonts w:hint="eastAsia" w:ascii="宋体" w:hAnsi="宋体" w:eastAsia="宋体" w:cs="宋体"/>
                <w:color w:val="000000"/>
                <w:kern w:val="0"/>
                <w:sz w:val="21"/>
                <w:szCs w:val="21"/>
                <w:highlight w:val="none"/>
                <w:lang w:val="en-US" w:eastAsia="zh-CN" w:bidi="ar"/>
              </w:rPr>
              <w:t>13.产业园区开发建设规划应符合国家政策和相关法律法规要求，规划发生重大调整或修订的，应当依法重新或补充开展规划环评工作。</w:t>
            </w:r>
          </w:p>
          <w:p w14:paraId="398E79DC">
            <w:pPr>
              <w:keepNext w:val="0"/>
              <w:keepLines w:val="0"/>
              <w:widowControl/>
              <w:numPr>
                <w:ilvl w:val="0"/>
                <w:numId w:val="0"/>
              </w:numPr>
              <w:suppressLineNumbers w:val="0"/>
              <w:jc w:val="center"/>
              <w:rPr>
                <w:rFonts w:ascii="Times New Roman" w:hAnsi="Times New Roman"/>
                <w:sz w:val="21"/>
                <w:szCs w:val="21"/>
                <w:highlight w:val="none"/>
              </w:rPr>
            </w:pPr>
            <w:r>
              <w:rPr>
                <w:rFonts w:hint="eastAsia" w:ascii="宋体" w:hAnsi="宋体" w:eastAsia="宋体" w:cs="宋体"/>
                <w:color w:val="000000"/>
                <w:kern w:val="0"/>
                <w:sz w:val="21"/>
                <w:szCs w:val="21"/>
                <w:highlight w:val="none"/>
                <w:lang w:val="en-US" w:eastAsia="zh-CN" w:bidi="ar"/>
              </w:rPr>
              <w:t>14.水环境工业污染重点管控区同时执行以下要求：(1)区域内严格控制高耗水、高污染行业发展。(2)加快淘汰落后产能，大力推进产业结构调整和优化升级。(3)根据水资源和水环境承载能力，以水定城、以水定地、以水定人、以水定产。</w:t>
            </w:r>
          </w:p>
        </w:tc>
        <w:tc>
          <w:tcPr>
            <w:tcW w:w="988" w:type="pct"/>
            <w:noWrap w:val="0"/>
            <w:vAlign w:val="center"/>
          </w:tcPr>
          <w:p w14:paraId="6700BEAA">
            <w:pPr>
              <w:autoSpaceDE w:val="0"/>
              <w:autoSpaceDN w:val="0"/>
              <w:adjustRightInd w:val="0"/>
              <w:spacing w:line="240" w:lineRule="auto"/>
              <w:ind w:firstLine="0" w:firstLineChars="0"/>
              <w:jc w:val="center"/>
              <w:rPr>
                <w:rFonts w:ascii="Times New Roman" w:hAnsi="Times New Roman"/>
                <w:kern w:val="0"/>
                <w:sz w:val="21"/>
                <w:szCs w:val="21"/>
                <w:highlight w:val="none"/>
              </w:rPr>
            </w:pPr>
            <w:r>
              <w:rPr>
                <w:rFonts w:hint="default" w:ascii="Times New Roman" w:hAnsi="Times New Roman" w:eastAsia="宋体" w:cs="Times New Roman"/>
                <w:kern w:val="0"/>
                <w:sz w:val="21"/>
                <w:szCs w:val="21"/>
                <w:highlight w:val="none"/>
              </w:rPr>
              <w:t>本项目建</w:t>
            </w:r>
            <w:r>
              <w:rPr>
                <w:rFonts w:hint="default" w:ascii="Times New Roman" w:hAnsi="Times New Roman" w:eastAsia="宋体" w:cs="Times New Roman"/>
                <w:kern w:val="0"/>
                <w:sz w:val="21"/>
                <w:szCs w:val="21"/>
                <w:highlight w:val="none"/>
                <w:lang w:val="en-US" w:eastAsia="zh-CN"/>
              </w:rPr>
              <w:t>设</w:t>
            </w:r>
            <w:r>
              <w:rPr>
                <w:rFonts w:hint="eastAsia" w:ascii="Times New Roman" w:hAnsi="Times New Roman" w:cs="Times New Roman"/>
                <w:kern w:val="0"/>
                <w:sz w:val="21"/>
                <w:szCs w:val="21"/>
                <w:highlight w:val="none"/>
                <w:lang w:val="en-US" w:eastAsia="zh-CN"/>
              </w:rPr>
              <w:t>116</w:t>
            </w:r>
            <w:r>
              <w:rPr>
                <w:rFonts w:hint="default" w:ascii="Times New Roman" w:hAnsi="Times New Roman" w:eastAsia="宋体" w:cs="Times New Roman"/>
                <w:kern w:val="0"/>
                <w:sz w:val="21"/>
                <w:szCs w:val="21"/>
                <w:highlight w:val="none"/>
                <w:lang w:val="en-US" w:eastAsia="zh-CN"/>
              </w:rPr>
              <w:t>MW+58MW热水锅炉和1台35t/h蒸汽锅炉共三台，三台锅炉在供暖期间交替使用</w:t>
            </w:r>
            <w:r>
              <w:rPr>
                <w:rFonts w:hint="default" w:ascii="Times New Roman" w:hAnsi="Times New Roman" w:eastAsia="宋体" w:cs="Times New Roman"/>
                <w:kern w:val="0"/>
                <w:sz w:val="21"/>
                <w:szCs w:val="21"/>
                <w:highlight w:val="none"/>
              </w:rPr>
              <w:t>，</w:t>
            </w:r>
            <w:r>
              <w:rPr>
                <w:rFonts w:hint="default" w:ascii="Times New Roman" w:hAnsi="Times New Roman" w:eastAsia="宋体" w:cs="Times New Roman"/>
                <w:kern w:val="0"/>
                <w:sz w:val="21"/>
                <w:szCs w:val="21"/>
                <w:highlight w:val="none"/>
                <w:lang w:val="en-US" w:eastAsia="zh-CN"/>
              </w:rPr>
              <w:t>锅炉烟气</w:t>
            </w:r>
            <w:r>
              <w:rPr>
                <w:rFonts w:hint="default" w:ascii="Times New Roman" w:hAnsi="Times New Roman" w:eastAsia="宋体" w:cs="Times New Roman"/>
                <w:kern w:val="0"/>
                <w:sz w:val="21"/>
                <w:szCs w:val="21"/>
                <w:highlight w:val="none"/>
              </w:rPr>
              <w:t>采用低氮燃烧+SNCR-SCR脱硝+布袋除尘器+石灰石-石膏法脱硫的烟气净化技术，</w:t>
            </w:r>
            <w:r>
              <w:rPr>
                <w:rFonts w:ascii="Times New Roman" w:hAnsi="Times New Roman" w:eastAsia="宋体" w:cs="Times New Roman"/>
                <w:kern w:val="0"/>
                <w:sz w:val="21"/>
                <w:szCs w:val="21"/>
                <w:highlight w:val="none"/>
              </w:rPr>
              <w:t>烟气处理后颗粒</w:t>
            </w:r>
            <w:r>
              <w:rPr>
                <w:rFonts w:ascii="Times New Roman" w:hAnsi="Times New Roman"/>
                <w:kern w:val="0"/>
                <w:sz w:val="21"/>
                <w:szCs w:val="21"/>
                <w:highlight w:val="none"/>
              </w:rPr>
              <w:t>物、SO</w:t>
            </w:r>
            <w:r>
              <w:rPr>
                <w:rFonts w:ascii="Times New Roman" w:hAnsi="Times New Roman"/>
                <w:kern w:val="0"/>
                <w:sz w:val="21"/>
                <w:szCs w:val="21"/>
                <w:highlight w:val="none"/>
                <w:vertAlign w:val="subscript"/>
              </w:rPr>
              <w:t>2</w:t>
            </w:r>
            <w:r>
              <w:rPr>
                <w:rFonts w:ascii="Times New Roman" w:hAnsi="Times New Roman"/>
                <w:kern w:val="0"/>
                <w:sz w:val="21"/>
                <w:szCs w:val="21"/>
                <w:highlight w:val="none"/>
              </w:rPr>
              <w:t>和NOx等污染物均能达到超低排放要求。生产废水均回用，不外排。</w:t>
            </w:r>
          </w:p>
        </w:tc>
        <w:tc>
          <w:tcPr>
            <w:tcW w:w="313" w:type="pct"/>
            <w:noWrap w:val="0"/>
            <w:tcMar>
              <w:left w:w="57" w:type="dxa"/>
              <w:right w:w="57" w:type="dxa"/>
            </w:tcMar>
            <w:vAlign w:val="center"/>
          </w:tcPr>
          <w:p w14:paraId="5D3EB2AE">
            <w:pPr>
              <w:autoSpaceDE w:val="0"/>
              <w:autoSpaceDN w:val="0"/>
              <w:adjustRightInd w:val="0"/>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符合</w:t>
            </w:r>
          </w:p>
        </w:tc>
      </w:tr>
      <w:tr w14:paraId="7E65C3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2" w:type="pct"/>
            <w:vMerge w:val="continue"/>
            <w:noWrap w:val="0"/>
            <w:tcMar>
              <w:left w:w="57" w:type="dxa"/>
              <w:right w:w="57" w:type="dxa"/>
            </w:tcMar>
            <w:vAlign w:val="center"/>
          </w:tcPr>
          <w:p w14:paraId="4BFBA18A">
            <w:pPr>
              <w:autoSpaceDE w:val="0"/>
              <w:autoSpaceDN w:val="0"/>
              <w:adjustRightInd w:val="0"/>
              <w:spacing w:line="240" w:lineRule="auto"/>
              <w:ind w:firstLine="0" w:firstLineChars="0"/>
              <w:jc w:val="center"/>
              <w:rPr>
                <w:rFonts w:ascii="Times New Roman" w:hAnsi="Times New Roman"/>
                <w:kern w:val="0"/>
                <w:sz w:val="21"/>
                <w:szCs w:val="21"/>
                <w:highlight w:val="none"/>
              </w:rPr>
            </w:pPr>
          </w:p>
        </w:tc>
        <w:tc>
          <w:tcPr>
            <w:tcW w:w="151" w:type="pct"/>
            <w:vMerge w:val="continue"/>
            <w:noWrap w:val="0"/>
            <w:vAlign w:val="center"/>
          </w:tcPr>
          <w:p w14:paraId="546167D6">
            <w:pPr>
              <w:autoSpaceDE w:val="0"/>
              <w:autoSpaceDN w:val="0"/>
              <w:adjustRightInd w:val="0"/>
              <w:spacing w:line="240" w:lineRule="auto"/>
              <w:ind w:firstLine="0" w:firstLineChars="0"/>
              <w:jc w:val="center"/>
              <w:rPr>
                <w:rFonts w:ascii="Times New Roman" w:hAnsi="Times New Roman"/>
                <w:kern w:val="0"/>
                <w:sz w:val="21"/>
                <w:szCs w:val="21"/>
                <w:highlight w:val="none"/>
              </w:rPr>
            </w:pPr>
          </w:p>
        </w:tc>
        <w:tc>
          <w:tcPr>
            <w:tcW w:w="151" w:type="pct"/>
            <w:vMerge w:val="continue"/>
            <w:noWrap w:val="0"/>
            <w:vAlign w:val="center"/>
          </w:tcPr>
          <w:p w14:paraId="2A7D6078">
            <w:pPr>
              <w:spacing w:line="240" w:lineRule="auto"/>
              <w:ind w:firstLine="0" w:firstLineChars="0"/>
              <w:jc w:val="center"/>
              <w:rPr>
                <w:rFonts w:ascii="Times New Roman" w:hAnsi="Times New Roman"/>
                <w:sz w:val="21"/>
                <w:szCs w:val="21"/>
                <w:highlight w:val="none"/>
              </w:rPr>
            </w:pPr>
          </w:p>
        </w:tc>
        <w:tc>
          <w:tcPr>
            <w:tcW w:w="191" w:type="pct"/>
            <w:noWrap w:val="0"/>
            <w:vAlign w:val="center"/>
          </w:tcPr>
          <w:p w14:paraId="61FC5792">
            <w:pPr>
              <w:spacing w:line="240" w:lineRule="auto"/>
              <w:ind w:firstLine="0" w:firstLineChars="0"/>
              <w:jc w:val="center"/>
              <w:rPr>
                <w:rFonts w:ascii="Times New Roman" w:hAnsi="Times New Roman"/>
                <w:sz w:val="21"/>
                <w:szCs w:val="21"/>
                <w:highlight w:val="none"/>
              </w:rPr>
            </w:pPr>
            <w:r>
              <w:rPr>
                <w:rFonts w:ascii="Times New Roman" w:hAnsi="Times New Roman"/>
                <w:kern w:val="0"/>
                <w:sz w:val="21"/>
                <w:szCs w:val="21"/>
                <w:highlight w:val="none"/>
              </w:rPr>
              <w:t>污染物排放管控</w:t>
            </w:r>
          </w:p>
        </w:tc>
        <w:tc>
          <w:tcPr>
            <w:tcW w:w="2370" w:type="pct"/>
            <w:noWrap w:val="0"/>
            <w:vAlign w:val="center"/>
          </w:tcPr>
          <w:p w14:paraId="65787E9C">
            <w:pPr>
              <w:keepNext w:val="0"/>
              <w:keepLines w:val="0"/>
              <w:widowControl/>
              <w:numPr>
                <w:ilvl w:val="0"/>
                <w:numId w:val="1"/>
              </w:numPr>
              <w:suppressLineNumbers w:val="0"/>
              <w:ind w:left="0" w:leftChars="0" w:firstLine="0" w:firstLineChars="0"/>
              <w:jc w:val="center"/>
              <w:rPr>
                <w:rFonts w:hint="eastAsia" w:ascii="宋体" w:hAnsi="宋体" w:eastAsia="宋体" w:cs="宋体"/>
                <w:color w:val="000000"/>
                <w:kern w:val="0"/>
                <w:sz w:val="21"/>
                <w:szCs w:val="21"/>
                <w:highlight w:val="none"/>
                <w:lang w:val="en-US" w:eastAsia="zh-CN" w:bidi="ar"/>
              </w:rPr>
            </w:pPr>
            <w:r>
              <w:rPr>
                <w:rFonts w:hint="eastAsia" w:ascii="宋体" w:hAnsi="宋体" w:eastAsia="宋体" w:cs="宋体"/>
                <w:color w:val="000000"/>
                <w:kern w:val="0"/>
                <w:sz w:val="21"/>
                <w:szCs w:val="21"/>
                <w:highlight w:val="none"/>
                <w:lang w:val="en-US" w:eastAsia="zh-CN" w:bidi="ar"/>
              </w:rPr>
              <w:t>淘汰开发区内企业自有吨位＜10t/h 的小型燃煤、生物质锅炉，于 2025 年实现园区企业集中供热率达到 80%。</w:t>
            </w:r>
          </w:p>
          <w:p w14:paraId="6304C34F">
            <w:pPr>
              <w:keepNext w:val="0"/>
              <w:keepLines w:val="0"/>
              <w:widowControl/>
              <w:numPr>
                <w:ilvl w:val="0"/>
                <w:numId w:val="1"/>
              </w:numPr>
              <w:suppressLineNumbers w:val="0"/>
              <w:ind w:left="0" w:leftChars="0" w:firstLine="0" w:firstLineChars="0"/>
              <w:jc w:val="center"/>
              <w:rPr>
                <w:rFonts w:hint="eastAsia" w:ascii="宋体" w:hAnsi="宋体" w:eastAsia="宋体" w:cs="宋体"/>
                <w:color w:val="000000"/>
                <w:kern w:val="0"/>
                <w:sz w:val="21"/>
                <w:szCs w:val="21"/>
                <w:highlight w:val="none"/>
                <w:lang w:val="en-US" w:eastAsia="zh-CN" w:bidi="ar"/>
              </w:rPr>
            </w:pPr>
            <w:r>
              <w:rPr>
                <w:rFonts w:hint="eastAsia" w:ascii="宋体" w:hAnsi="宋体" w:eastAsia="宋体" w:cs="宋体"/>
                <w:color w:val="000000"/>
                <w:kern w:val="0"/>
                <w:sz w:val="21"/>
                <w:szCs w:val="21"/>
                <w:highlight w:val="none"/>
                <w:lang w:val="en-US" w:eastAsia="zh-CN" w:bidi="ar"/>
              </w:rPr>
              <w:t>喷漆车间及木加工车间排气筒高度建议不低于 15m。按环评要求设置卫生防护距离。重点提高涉 VOCs 排放主要工序密闭化水平，加强无组织排放收集，加大含 VOCs 物料储存和装卸治理力度。</w:t>
            </w:r>
          </w:p>
          <w:p w14:paraId="48E79B32">
            <w:pPr>
              <w:keepNext w:val="0"/>
              <w:keepLines w:val="0"/>
              <w:widowControl/>
              <w:suppressLineNumbers w:val="0"/>
              <w:jc w:val="center"/>
              <w:rPr>
                <w:rFonts w:ascii="Times New Roman" w:hAnsi="Times New Roman"/>
                <w:sz w:val="21"/>
                <w:szCs w:val="21"/>
                <w:highlight w:val="none"/>
              </w:rPr>
            </w:pPr>
            <w:r>
              <w:rPr>
                <w:rFonts w:hint="eastAsia" w:ascii="宋体" w:hAnsi="宋体" w:eastAsia="宋体" w:cs="宋体"/>
                <w:color w:val="000000"/>
                <w:kern w:val="0"/>
                <w:sz w:val="21"/>
                <w:szCs w:val="21"/>
                <w:highlight w:val="none"/>
                <w:lang w:val="en-US" w:eastAsia="zh-CN" w:bidi="ar"/>
              </w:rPr>
              <w:t>三、同时执行：1.应按规定建设污水集中处理设施，并安装自动在线监控装置。2.新建、扩建“两高”项目应采用先进适用的工艺技术和装备，单位产品物耗、能耗、水耗等达到清洁生产先进水平，依法制定并严格落实防治土壤与地下水污染的措施。严把新上项目碳排放关，新建、改建、扩建煤电、石化、化工、钢铁、有色冶炼、建材等高耗能、高排放项目，要充分论证，确保能耗、物耗、水耗达到清洁生产先进水平。 3.新、改、扩建涉重金属重点行业建设项目必须遵循重点重金属污染物排放“减量置换”或“等量替换”原则。4.对于含有毒有害水污染物的工业废水和生活污水混合处理的污水处理厂产生的污泥，不能采用土地利用方式。 5.加强消耗臭氧层物质和氢氟碳化物环境管理，加强泡沫、制冷、氟化工等行业治理，逐步淘汰氢氯氟烃使用。6.新建煤制烯烃、新建煤制对二甲苯 (PX) 项目纳入《现代煤化工产业创新发展布局方案》后，由省级政府核准。新建年产超过 100 万吨的煤制甲醇项目，由省级政府核准。 7.各地不得新建、扩建二氟甲烷、1,1,1,2-四氟乙烷、五氟乙烷、1,1,1-三氟乙烷、1.1.1.3.3-五氟丙烷用作制冷剂、发泡剂等受控用途的 HFCs 化工生产设施 （不含副立设施），环境影响报告书（表）已通过审批的除外。四、水环境工业污染重点管控区同时执行以下要求：1.新建、改建和扩建项目应当优先采用资源利用率高以及污染物产生量少的清洁生产技术、工艺和设备。2.集中治理工业集聚区内工业废水，区内工业废水必须经预处理达到集中处理要求后，方可进入污水集中处理设施。新建、升级工业集聚区应同步规划和建设污水、垃圾集中处理等污染治理设施。</w:t>
            </w:r>
          </w:p>
        </w:tc>
        <w:tc>
          <w:tcPr>
            <w:tcW w:w="988" w:type="pct"/>
            <w:noWrap w:val="0"/>
            <w:vAlign w:val="center"/>
          </w:tcPr>
          <w:p w14:paraId="103954D7">
            <w:pPr>
              <w:autoSpaceDE w:val="0"/>
              <w:autoSpaceDN w:val="0"/>
              <w:adjustRightInd w:val="0"/>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lang w:val="en-US" w:eastAsia="zh-CN"/>
              </w:rPr>
              <w:t>本项目建设</w:t>
            </w:r>
            <w:r>
              <w:rPr>
                <w:rFonts w:hint="eastAsia" w:ascii="Times New Roman" w:hAnsi="Times New Roman" w:cs="Times New Roman"/>
                <w:kern w:val="0"/>
                <w:sz w:val="21"/>
                <w:szCs w:val="21"/>
                <w:highlight w:val="none"/>
                <w:lang w:val="en-US" w:eastAsia="zh-CN"/>
              </w:rPr>
              <w:t>116</w:t>
            </w:r>
            <w:r>
              <w:rPr>
                <w:rFonts w:hint="default" w:ascii="Times New Roman" w:hAnsi="Times New Roman" w:eastAsia="宋体" w:cs="Times New Roman"/>
                <w:kern w:val="0"/>
                <w:sz w:val="21"/>
                <w:szCs w:val="21"/>
                <w:highlight w:val="none"/>
                <w:lang w:val="en-US" w:eastAsia="zh-CN"/>
              </w:rPr>
              <w:t>MW+58MW热水锅炉和1台35t/h蒸汽锅炉共三台</w:t>
            </w:r>
            <w:r>
              <w:rPr>
                <w:rFonts w:hint="eastAsia" w:ascii="Times New Roman" w:hAnsi="Times New Roman" w:eastAsia="宋体" w:cs="Times New Roman"/>
                <w:kern w:val="0"/>
                <w:sz w:val="21"/>
                <w:szCs w:val="21"/>
                <w:highlight w:val="none"/>
                <w:lang w:val="en-US" w:eastAsia="zh-CN"/>
              </w:rPr>
              <w:t>，</w:t>
            </w:r>
            <w:r>
              <w:rPr>
                <w:rFonts w:ascii="Times New Roman" w:hAnsi="Times New Roman" w:eastAsia="宋体" w:cs="Times New Roman"/>
                <w:kern w:val="0"/>
                <w:sz w:val="21"/>
                <w:szCs w:val="21"/>
                <w:highlight w:val="none"/>
              </w:rPr>
              <w:t>烟气</w:t>
            </w:r>
            <w:r>
              <w:rPr>
                <w:rFonts w:hint="eastAsia" w:ascii="Times New Roman" w:hAnsi="Times New Roman" w:eastAsia="宋体" w:cs="Times New Roman"/>
                <w:kern w:val="0"/>
                <w:sz w:val="21"/>
                <w:szCs w:val="21"/>
                <w:highlight w:val="none"/>
                <w:lang w:val="en-US" w:eastAsia="zh-CN"/>
              </w:rPr>
              <w:t>经</w:t>
            </w:r>
            <w:r>
              <w:rPr>
                <w:rFonts w:ascii="Times New Roman" w:hAnsi="Times New Roman" w:eastAsia="宋体" w:cs="Times New Roman"/>
                <w:kern w:val="0"/>
                <w:sz w:val="21"/>
                <w:szCs w:val="21"/>
                <w:highlight w:val="none"/>
              </w:rPr>
              <w:t>处理后颗粒</w:t>
            </w:r>
            <w:r>
              <w:rPr>
                <w:rFonts w:ascii="Times New Roman" w:hAnsi="Times New Roman"/>
                <w:kern w:val="0"/>
                <w:sz w:val="21"/>
                <w:szCs w:val="21"/>
                <w:highlight w:val="none"/>
              </w:rPr>
              <w:t>物、SO</w:t>
            </w:r>
            <w:r>
              <w:rPr>
                <w:rFonts w:ascii="Times New Roman" w:hAnsi="Times New Roman"/>
                <w:kern w:val="0"/>
                <w:sz w:val="21"/>
                <w:szCs w:val="21"/>
                <w:highlight w:val="none"/>
                <w:vertAlign w:val="subscript"/>
              </w:rPr>
              <w:t>2</w:t>
            </w:r>
            <w:r>
              <w:rPr>
                <w:rFonts w:ascii="Times New Roman" w:hAnsi="Times New Roman"/>
                <w:kern w:val="0"/>
                <w:sz w:val="21"/>
                <w:szCs w:val="21"/>
                <w:highlight w:val="none"/>
              </w:rPr>
              <w:t>和NOx等污染物均能达到超低排放要求。</w:t>
            </w:r>
            <w:r>
              <w:rPr>
                <w:rFonts w:hint="eastAsia" w:ascii="Times New Roman" w:hAnsi="Times New Roman" w:eastAsia="宋体" w:cs="Times New Roman"/>
                <w:kern w:val="0"/>
                <w:sz w:val="21"/>
                <w:szCs w:val="21"/>
                <w:highlight w:val="none"/>
                <w:lang w:val="en-US" w:eastAsia="zh-CN"/>
              </w:rPr>
              <w:t>项目类别“四十一、电力、热力生产和供应业，91热力生产和供应工程”</w:t>
            </w:r>
            <w:r>
              <w:rPr>
                <w:rFonts w:ascii="Times New Roman" w:hAnsi="Times New Roman"/>
                <w:kern w:val="0"/>
                <w:sz w:val="21"/>
                <w:szCs w:val="21"/>
                <w:highlight w:val="none"/>
              </w:rPr>
              <w:t>本项目</w:t>
            </w:r>
            <w:r>
              <w:rPr>
                <w:rFonts w:hint="eastAsia" w:ascii="Times New Roman" w:hAnsi="Times New Roman"/>
                <w:kern w:val="0"/>
                <w:sz w:val="21"/>
                <w:szCs w:val="21"/>
                <w:highlight w:val="none"/>
                <w:lang w:val="en-US" w:eastAsia="zh-CN"/>
              </w:rPr>
              <w:t>废气污染物</w:t>
            </w:r>
            <w:r>
              <w:rPr>
                <w:rFonts w:ascii="Times New Roman" w:hAnsi="Times New Roman"/>
                <w:kern w:val="0"/>
                <w:sz w:val="21"/>
                <w:szCs w:val="21"/>
                <w:highlight w:val="none"/>
              </w:rPr>
              <w:t>均能达标排放。废水回用不外排。</w:t>
            </w:r>
          </w:p>
        </w:tc>
        <w:tc>
          <w:tcPr>
            <w:tcW w:w="313" w:type="pct"/>
            <w:noWrap w:val="0"/>
            <w:tcMar>
              <w:left w:w="57" w:type="dxa"/>
              <w:right w:w="57" w:type="dxa"/>
            </w:tcMar>
            <w:vAlign w:val="center"/>
          </w:tcPr>
          <w:p w14:paraId="23818895">
            <w:pPr>
              <w:autoSpaceDE w:val="0"/>
              <w:autoSpaceDN w:val="0"/>
              <w:adjustRightInd w:val="0"/>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符合</w:t>
            </w:r>
          </w:p>
        </w:tc>
      </w:tr>
      <w:tr w14:paraId="06BB6E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2" w:type="pct"/>
            <w:vMerge w:val="continue"/>
            <w:noWrap w:val="0"/>
            <w:tcMar>
              <w:left w:w="57" w:type="dxa"/>
              <w:right w:w="57" w:type="dxa"/>
            </w:tcMar>
            <w:vAlign w:val="center"/>
          </w:tcPr>
          <w:p w14:paraId="3B8A445E">
            <w:pPr>
              <w:autoSpaceDE w:val="0"/>
              <w:autoSpaceDN w:val="0"/>
              <w:adjustRightInd w:val="0"/>
              <w:spacing w:line="240" w:lineRule="auto"/>
              <w:ind w:firstLine="0" w:firstLineChars="0"/>
              <w:jc w:val="center"/>
              <w:rPr>
                <w:rFonts w:ascii="Times New Roman" w:hAnsi="Times New Roman"/>
                <w:kern w:val="0"/>
                <w:sz w:val="21"/>
                <w:szCs w:val="21"/>
                <w:highlight w:val="none"/>
              </w:rPr>
            </w:pPr>
          </w:p>
        </w:tc>
        <w:tc>
          <w:tcPr>
            <w:tcW w:w="151" w:type="pct"/>
            <w:vMerge w:val="continue"/>
            <w:noWrap w:val="0"/>
            <w:vAlign w:val="center"/>
          </w:tcPr>
          <w:p w14:paraId="32CF8435">
            <w:pPr>
              <w:autoSpaceDE w:val="0"/>
              <w:autoSpaceDN w:val="0"/>
              <w:adjustRightInd w:val="0"/>
              <w:spacing w:line="240" w:lineRule="auto"/>
              <w:ind w:firstLine="0" w:firstLineChars="0"/>
              <w:jc w:val="center"/>
              <w:rPr>
                <w:rFonts w:ascii="Times New Roman" w:hAnsi="Times New Roman"/>
                <w:kern w:val="0"/>
                <w:sz w:val="21"/>
                <w:szCs w:val="21"/>
                <w:highlight w:val="none"/>
              </w:rPr>
            </w:pPr>
          </w:p>
        </w:tc>
        <w:tc>
          <w:tcPr>
            <w:tcW w:w="151" w:type="pct"/>
            <w:vMerge w:val="continue"/>
            <w:noWrap w:val="0"/>
            <w:vAlign w:val="center"/>
          </w:tcPr>
          <w:p w14:paraId="5D80256B">
            <w:pPr>
              <w:spacing w:line="240" w:lineRule="auto"/>
              <w:ind w:firstLine="0" w:firstLineChars="0"/>
              <w:jc w:val="center"/>
              <w:rPr>
                <w:rFonts w:ascii="Times New Roman" w:hAnsi="Times New Roman"/>
                <w:sz w:val="21"/>
                <w:szCs w:val="21"/>
                <w:highlight w:val="none"/>
              </w:rPr>
            </w:pPr>
          </w:p>
        </w:tc>
        <w:tc>
          <w:tcPr>
            <w:tcW w:w="191" w:type="pct"/>
            <w:noWrap w:val="0"/>
            <w:vAlign w:val="center"/>
          </w:tcPr>
          <w:p w14:paraId="261379D4">
            <w:pPr>
              <w:spacing w:line="240" w:lineRule="auto"/>
              <w:ind w:firstLine="0" w:firstLineChars="0"/>
              <w:jc w:val="center"/>
              <w:rPr>
                <w:rFonts w:ascii="Times New Roman" w:hAnsi="Times New Roman"/>
                <w:sz w:val="21"/>
                <w:szCs w:val="21"/>
                <w:highlight w:val="none"/>
              </w:rPr>
            </w:pPr>
            <w:r>
              <w:rPr>
                <w:rFonts w:ascii="Times New Roman" w:hAnsi="Times New Roman"/>
                <w:kern w:val="0"/>
                <w:sz w:val="21"/>
                <w:szCs w:val="21"/>
                <w:highlight w:val="none"/>
              </w:rPr>
              <w:t>环境风险防控</w:t>
            </w:r>
          </w:p>
        </w:tc>
        <w:tc>
          <w:tcPr>
            <w:tcW w:w="2370" w:type="pct"/>
            <w:noWrap w:val="0"/>
            <w:vAlign w:val="center"/>
          </w:tcPr>
          <w:p w14:paraId="7CD86BC6">
            <w:pPr>
              <w:keepNext w:val="0"/>
              <w:keepLines w:val="0"/>
              <w:widowControl/>
              <w:numPr>
                <w:ilvl w:val="0"/>
                <w:numId w:val="2"/>
              </w:numPr>
              <w:suppressLineNumbers w:val="0"/>
              <w:ind w:left="0" w:leftChars="0" w:firstLine="0" w:firstLineChars="0"/>
              <w:jc w:val="center"/>
              <w:rPr>
                <w:rFonts w:hint="eastAsia" w:ascii="宋体" w:hAnsi="宋体" w:eastAsia="宋体" w:cs="宋体"/>
                <w:color w:val="000000"/>
                <w:kern w:val="0"/>
                <w:sz w:val="21"/>
                <w:szCs w:val="21"/>
                <w:highlight w:val="none"/>
                <w:lang w:val="en-US" w:eastAsia="zh-CN" w:bidi="ar"/>
              </w:rPr>
            </w:pPr>
            <w:r>
              <w:rPr>
                <w:rFonts w:hint="eastAsia" w:ascii="宋体" w:hAnsi="宋体" w:eastAsia="宋体" w:cs="宋体"/>
                <w:color w:val="000000"/>
                <w:kern w:val="0"/>
                <w:sz w:val="21"/>
                <w:szCs w:val="21"/>
                <w:highlight w:val="none"/>
                <w:lang w:val="en-US" w:eastAsia="zh-CN" w:bidi="ar"/>
              </w:rPr>
              <w:t>仓储物流类企业：根据商品特性分类管理，对易燃易爆等商品重点监管；严格操作规范制定事故应急计划；合理有序规划出入场车辆。</w:t>
            </w:r>
          </w:p>
          <w:p w14:paraId="58675E02">
            <w:pPr>
              <w:keepNext w:val="0"/>
              <w:keepLines w:val="0"/>
              <w:widowControl/>
              <w:numPr>
                <w:ilvl w:val="0"/>
                <w:numId w:val="2"/>
              </w:numPr>
              <w:suppressLineNumbers w:val="0"/>
              <w:ind w:left="0" w:leftChars="0" w:firstLine="0" w:firstLineChars="0"/>
              <w:jc w:val="center"/>
              <w:rPr>
                <w:rFonts w:hint="eastAsia" w:ascii="宋体" w:hAnsi="宋体" w:eastAsia="宋体" w:cs="宋体"/>
                <w:color w:val="000000"/>
                <w:kern w:val="0"/>
                <w:sz w:val="21"/>
                <w:szCs w:val="21"/>
                <w:highlight w:val="none"/>
                <w:lang w:val="en-US" w:eastAsia="zh-CN" w:bidi="ar"/>
              </w:rPr>
            </w:pPr>
            <w:r>
              <w:rPr>
                <w:rFonts w:hint="eastAsia" w:ascii="宋体" w:hAnsi="宋体" w:eastAsia="宋体" w:cs="宋体"/>
                <w:color w:val="000000"/>
                <w:kern w:val="0"/>
                <w:sz w:val="21"/>
                <w:szCs w:val="21"/>
                <w:highlight w:val="none"/>
                <w:lang w:val="en-US" w:eastAsia="zh-CN" w:bidi="ar"/>
              </w:rPr>
              <w:t>建立园区总体应急救援预案及专项预案，并与当地政府应急救援预案相协调。保障公共应急物资储备，重点做好事故水池、事故废水收集及阻断设施的建立。建立专业应急救援队伍，定期开展应急演练。</w:t>
            </w:r>
          </w:p>
          <w:p w14:paraId="75288E7D">
            <w:pPr>
              <w:keepNext w:val="0"/>
              <w:keepLines w:val="0"/>
              <w:widowControl/>
              <w:numPr>
                <w:ilvl w:val="0"/>
                <w:numId w:val="2"/>
              </w:numPr>
              <w:suppressLineNumbers w:val="0"/>
              <w:ind w:left="0" w:leftChars="0" w:firstLine="0" w:firstLineChars="0"/>
              <w:jc w:val="center"/>
              <w:rPr>
                <w:rFonts w:hint="eastAsia" w:ascii="宋体" w:hAnsi="宋体" w:eastAsia="宋体" w:cs="宋体"/>
                <w:color w:val="000000"/>
                <w:kern w:val="0"/>
                <w:sz w:val="21"/>
                <w:szCs w:val="21"/>
                <w:highlight w:val="none"/>
                <w:lang w:val="en-US" w:eastAsia="zh-CN" w:bidi="ar"/>
              </w:rPr>
            </w:pPr>
            <w:r>
              <w:rPr>
                <w:rFonts w:hint="eastAsia" w:ascii="宋体" w:hAnsi="宋体" w:eastAsia="宋体" w:cs="宋体"/>
                <w:color w:val="000000"/>
                <w:kern w:val="0"/>
                <w:sz w:val="21"/>
                <w:szCs w:val="21"/>
                <w:highlight w:val="none"/>
                <w:lang w:val="en-US" w:eastAsia="zh-CN" w:bidi="ar"/>
              </w:rPr>
              <w:t>园区的不同区块间、园区与外围居民区等敏感区间应设置大气防护距离，建议设置不少于 10 米的绿化防护带。</w:t>
            </w:r>
          </w:p>
          <w:p w14:paraId="1EB81F84">
            <w:pPr>
              <w:keepNext w:val="0"/>
              <w:keepLines w:val="0"/>
              <w:widowControl/>
              <w:numPr>
                <w:ilvl w:val="0"/>
                <w:numId w:val="2"/>
              </w:numPr>
              <w:suppressLineNumbers w:val="0"/>
              <w:ind w:left="0" w:leftChars="0" w:firstLine="0" w:firstLineChars="0"/>
              <w:jc w:val="center"/>
              <w:rPr>
                <w:rFonts w:hint="eastAsia" w:ascii="宋体" w:hAnsi="宋体" w:eastAsia="宋体" w:cs="宋体"/>
                <w:color w:val="000000"/>
                <w:kern w:val="0"/>
                <w:sz w:val="21"/>
                <w:szCs w:val="21"/>
                <w:highlight w:val="none"/>
                <w:lang w:val="en-US" w:eastAsia="zh-CN" w:bidi="ar"/>
              </w:rPr>
            </w:pPr>
            <w:r>
              <w:rPr>
                <w:rFonts w:hint="eastAsia" w:ascii="宋体" w:hAnsi="宋体" w:eastAsia="宋体" w:cs="宋体"/>
                <w:color w:val="000000"/>
                <w:kern w:val="0"/>
                <w:sz w:val="21"/>
                <w:szCs w:val="21"/>
                <w:highlight w:val="none"/>
                <w:lang w:val="en-US" w:eastAsia="zh-CN" w:bidi="ar"/>
              </w:rPr>
              <w:t>在居住和工业企业混住区域，应加强环境风险防控。</w:t>
            </w:r>
          </w:p>
          <w:p w14:paraId="23A3939F">
            <w:pPr>
              <w:keepNext w:val="0"/>
              <w:keepLines w:val="0"/>
              <w:widowControl/>
              <w:numPr>
                <w:ilvl w:val="0"/>
                <w:numId w:val="2"/>
              </w:numPr>
              <w:suppressLineNumbers w:val="0"/>
              <w:ind w:left="0" w:leftChars="0" w:firstLine="0" w:firstLineChars="0"/>
              <w:jc w:val="center"/>
              <w:rPr>
                <w:rFonts w:hint="eastAsia" w:ascii="宋体" w:hAnsi="宋体" w:eastAsia="宋体" w:cs="宋体"/>
                <w:color w:val="000000"/>
                <w:kern w:val="0"/>
                <w:sz w:val="21"/>
                <w:szCs w:val="21"/>
                <w:highlight w:val="none"/>
                <w:lang w:val="en-US" w:eastAsia="zh-CN" w:bidi="ar"/>
              </w:rPr>
            </w:pPr>
            <w:r>
              <w:rPr>
                <w:rFonts w:hint="eastAsia" w:ascii="宋体" w:hAnsi="宋体" w:eastAsia="宋体" w:cs="宋体"/>
                <w:color w:val="000000"/>
                <w:kern w:val="0"/>
                <w:sz w:val="21"/>
                <w:szCs w:val="21"/>
                <w:highlight w:val="none"/>
                <w:lang w:val="en-US" w:eastAsia="zh-CN" w:bidi="ar"/>
              </w:rPr>
              <w:t>加强环境应急预案管理和风险预警。园区及园区内企业应当结合经营性质、规模、组织体系，建立健全环境应急预案体系，并强化企业、园区以及上级政府环境应急预案之间的衔接。加强环境应急预案演练、评估与修订。园区管理机构应当组织建设有毒有害气体环境风险预警体系，建设园区环境风险防范设施。</w:t>
            </w:r>
          </w:p>
          <w:p w14:paraId="4DA78265">
            <w:pPr>
              <w:keepNext w:val="0"/>
              <w:keepLines w:val="0"/>
              <w:widowControl/>
              <w:numPr>
                <w:ilvl w:val="0"/>
                <w:numId w:val="0"/>
              </w:numPr>
              <w:suppressLineNumbers w:val="0"/>
              <w:ind w:leftChars="0"/>
              <w:jc w:val="center"/>
              <w:rPr>
                <w:rFonts w:ascii="Times New Roman" w:hAnsi="Times New Roman"/>
                <w:sz w:val="21"/>
                <w:szCs w:val="21"/>
                <w:highlight w:val="none"/>
              </w:rPr>
            </w:pPr>
            <w:r>
              <w:rPr>
                <w:rFonts w:hint="eastAsia" w:ascii="宋体" w:hAnsi="宋体" w:eastAsia="宋体" w:cs="宋体"/>
                <w:color w:val="000000"/>
                <w:kern w:val="0"/>
                <w:sz w:val="21"/>
                <w:szCs w:val="21"/>
                <w:highlight w:val="none"/>
                <w:lang w:val="en-US" w:eastAsia="zh-CN" w:bidi="ar"/>
              </w:rPr>
              <w:t>6.水环境工业污染重点管控区同时执行：排放《有毒有害水污染物名录》所列有毒有害水污染物的企业事业单位和其他生产经营者，应当对排污口和周边环境进行监测，评估环境风险，排查环境安全隐患，并公开有毒有害水污染物信息，采取有效措施防范环境风险。</w:t>
            </w:r>
          </w:p>
        </w:tc>
        <w:tc>
          <w:tcPr>
            <w:tcW w:w="988" w:type="pct"/>
            <w:noWrap w:val="0"/>
            <w:vAlign w:val="center"/>
          </w:tcPr>
          <w:p w14:paraId="72E638AB">
            <w:pPr>
              <w:autoSpaceDE w:val="0"/>
              <w:autoSpaceDN w:val="0"/>
              <w:adjustRightInd w:val="0"/>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针对各类风险事故，企业制定了相应的风险防范措施和应急预案，可有效避免事故风险。</w:t>
            </w:r>
          </w:p>
        </w:tc>
        <w:tc>
          <w:tcPr>
            <w:tcW w:w="313" w:type="pct"/>
            <w:noWrap w:val="0"/>
            <w:tcMar>
              <w:left w:w="57" w:type="dxa"/>
              <w:right w:w="57" w:type="dxa"/>
            </w:tcMar>
            <w:vAlign w:val="center"/>
          </w:tcPr>
          <w:p w14:paraId="36FF9C5E">
            <w:pPr>
              <w:autoSpaceDE w:val="0"/>
              <w:autoSpaceDN w:val="0"/>
              <w:adjustRightInd w:val="0"/>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符合</w:t>
            </w:r>
          </w:p>
        </w:tc>
      </w:tr>
      <w:tr w14:paraId="09D78F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2" w:type="pct"/>
            <w:vMerge w:val="continue"/>
            <w:noWrap w:val="0"/>
            <w:tcMar>
              <w:left w:w="57" w:type="dxa"/>
              <w:right w:w="57" w:type="dxa"/>
            </w:tcMar>
            <w:vAlign w:val="center"/>
          </w:tcPr>
          <w:p w14:paraId="320B7A81">
            <w:pPr>
              <w:autoSpaceDE w:val="0"/>
              <w:autoSpaceDN w:val="0"/>
              <w:adjustRightInd w:val="0"/>
              <w:spacing w:line="240" w:lineRule="auto"/>
              <w:ind w:firstLine="0" w:firstLineChars="0"/>
              <w:jc w:val="center"/>
              <w:rPr>
                <w:rFonts w:ascii="Times New Roman" w:hAnsi="Times New Roman"/>
                <w:kern w:val="0"/>
                <w:sz w:val="21"/>
                <w:szCs w:val="21"/>
                <w:highlight w:val="none"/>
              </w:rPr>
            </w:pPr>
          </w:p>
        </w:tc>
        <w:tc>
          <w:tcPr>
            <w:tcW w:w="151" w:type="pct"/>
            <w:vMerge w:val="continue"/>
            <w:noWrap w:val="0"/>
            <w:vAlign w:val="center"/>
          </w:tcPr>
          <w:p w14:paraId="415316DC">
            <w:pPr>
              <w:autoSpaceDE w:val="0"/>
              <w:autoSpaceDN w:val="0"/>
              <w:adjustRightInd w:val="0"/>
              <w:spacing w:line="240" w:lineRule="auto"/>
              <w:ind w:firstLine="0" w:firstLineChars="0"/>
              <w:jc w:val="center"/>
              <w:rPr>
                <w:rFonts w:ascii="Times New Roman" w:hAnsi="Times New Roman"/>
                <w:kern w:val="0"/>
                <w:sz w:val="21"/>
                <w:szCs w:val="21"/>
                <w:highlight w:val="none"/>
              </w:rPr>
            </w:pPr>
          </w:p>
        </w:tc>
        <w:tc>
          <w:tcPr>
            <w:tcW w:w="151" w:type="pct"/>
            <w:vMerge w:val="continue"/>
            <w:noWrap w:val="0"/>
            <w:vAlign w:val="center"/>
          </w:tcPr>
          <w:p w14:paraId="036991B2">
            <w:pPr>
              <w:spacing w:line="240" w:lineRule="auto"/>
              <w:ind w:firstLine="0" w:firstLineChars="0"/>
              <w:jc w:val="center"/>
              <w:rPr>
                <w:rFonts w:ascii="Times New Roman" w:hAnsi="Times New Roman"/>
                <w:sz w:val="21"/>
                <w:szCs w:val="21"/>
                <w:highlight w:val="none"/>
              </w:rPr>
            </w:pPr>
          </w:p>
        </w:tc>
        <w:tc>
          <w:tcPr>
            <w:tcW w:w="191" w:type="pct"/>
            <w:noWrap w:val="0"/>
            <w:vAlign w:val="center"/>
          </w:tcPr>
          <w:p w14:paraId="13FD7335">
            <w:pPr>
              <w:spacing w:line="240" w:lineRule="auto"/>
              <w:ind w:firstLine="0" w:firstLineChars="0"/>
              <w:jc w:val="center"/>
              <w:rPr>
                <w:rFonts w:ascii="Times New Roman" w:hAnsi="Times New Roman"/>
                <w:sz w:val="21"/>
                <w:szCs w:val="21"/>
                <w:highlight w:val="none"/>
              </w:rPr>
            </w:pPr>
            <w:r>
              <w:rPr>
                <w:rFonts w:ascii="Times New Roman" w:hAnsi="Times New Roman"/>
                <w:kern w:val="0"/>
                <w:sz w:val="21"/>
                <w:szCs w:val="21"/>
                <w:highlight w:val="none"/>
              </w:rPr>
              <w:t>资源利用效率要求</w:t>
            </w:r>
          </w:p>
        </w:tc>
        <w:tc>
          <w:tcPr>
            <w:tcW w:w="2370" w:type="pct"/>
            <w:noWrap w:val="0"/>
            <w:vAlign w:val="center"/>
          </w:tcPr>
          <w:p w14:paraId="781C7CE3">
            <w:pPr>
              <w:keepNext w:val="0"/>
              <w:keepLines w:val="0"/>
              <w:widowControl/>
              <w:numPr>
                <w:ilvl w:val="0"/>
                <w:numId w:val="3"/>
              </w:numPr>
              <w:suppressLineNumbers w:val="0"/>
              <w:ind w:left="0" w:leftChars="0" w:firstLine="0" w:firstLineChars="0"/>
              <w:jc w:val="center"/>
              <w:rPr>
                <w:rFonts w:hint="eastAsia" w:ascii="宋体" w:hAnsi="宋体" w:eastAsia="宋体" w:cs="宋体"/>
                <w:color w:val="000000"/>
                <w:kern w:val="0"/>
                <w:sz w:val="21"/>
                <w:szCs w:val="21"/>
                <w:highlight w:val="none"/>
                <w:lang w:val="en-US" w:eastAsia="zh-CN" w:bidi="ar"/>
              </w:rPr>
            </w:pPr>
            <w:r>
              <w:rPr>
                <w:rFonts w:hint="eastAsia" w:ascii="宋体" w:hAnsi="宋体" w:eastAsia="宋体" w:cs="宋体"/>
                <w:color w:val="000000"/>
                <w:kern w:val="0"/>
                <w:sz w:val="21"/>
                <w:szCs w:val="21"/>
                <w:highlight w:val="none"/>
                <w:lang w:val="en-US" w:eastAsia="zh-CN" w:bidi="ar"/>
              </w:rPr>
              <w:t>实施清洁化改造，加强节水管理，提高中水回用率,延长产业链，优化布局,打造智能制造产业、生活配套服务设施完备园区。</w:t>
            </w:r>
          </w:p>
          <w:p w14:paraId="35046AB4">
            <w:pPr>
              <w:keepNext w:val="0"/>
              <w:keepLines w:val="0"/>
              <w:widowControl/>
              <w:numPr>
                <w:ilvl w:val="0"/>
                <w:numId w:val="3"/>
              </w:numPr>
              <w:suppressLineNumbers w:val="0"/>
              <w:ind w:left="0" w:leftChars="0" w:firstLine="0" w:firstLineChars="0"/>
              <w:jc w:val="center"/>
              <w:rPr>
                <w:rFonts w:hint="eastAsia" w:ascii="宋体" w:hAnsi="宋体" w:eastAsia="宋体" w:cs="宋体"/>
                <w:color w:val="000000"/>
                <w:kern w:val="0"/>
                <w:sz w:val="21"/>
                <w:szCs w:val="21"/>
                <w:highlight w:val="none"/>
                <w:lang w:val="en-US" w:eastAsia="zh-CN" w:bidi="ar"/>
              </w:rPr>
            </w:pPr>
            <w:r>
              <w:rPr>
                <w:rFonts w:hint="eastAsia" w:ascii="宋体" w:hAnsi="宋体" w:eastAsia="宋体" w:cs="宋体"/>
                <w:color w:val="000000"/>
                <w:kern w:val="0"/>
                <w:sz w:val="21"/>
                <w:szCs w:val="21"/>
                <w:highlight w:val="none"/>
                <w:lang w:val="en-US" w:eastAsia="zh-CN" w:bidi="ar"/>
              </w:rPr>
              <w:t>逐步取缔燃煤锅炉，持续加强燃气、生物质和油、电锅炉的废气治理监管，推广清洁替代能源。</w:t>
            </w:r>
          </w:p>
          <w:p w14:paraId="141DA8D9">
            <w:pPr>
              <w:keepNext w:val="0"/>
              <w:keepLines w:val="0"/>
              <w:widowControl/>
              <w:numPr>
                <w:ilvl w:val="0"/>
                <w:numId w:val="3"/>
              </w:numPr>
              <w:suppressLineNumbers w:val="0"/>
              <w:ind w:left="0" w:leftChars="0" w:firstLine="0" w:firstLineChars="0"/>
              <w:jc w:val="center"/>
              <w:rPr>
                <w:rFonts w:hint="eastAsia" w:ascii="宋体" w:hAnsi="宋体" w:eastAsia="宋体" w:cs="宋体"/>
                <w:color w:val="000000"/>
                <w:kern w:val="0"/>
                <w:sz w:val="21"/>
                <w:szCs w:val="21"/>
                <w:highlight w:val="none"/>
                <w:lang w:val="en-US" w:eastAsia="zh-CN" w:bidi="ar"/>
              </w:rPr>
            </w:pPr>
            <w:r>
              <w:rPr>
                <w:rFonts w:hint="eastAsia" w:ascii="宋体" w:hAnsi="宋体" w:eastAsia="宋体" w:cs="宋体"/>
                <w:color w:val="000000"/>
                <w:kern w:val="0"/>
                <w:sz w:val="21"/>
                <w:szCs w:val="21"/>
                <w:highlight w:val="none"/>
                <w:lang w:val="en-US" w:eastAsia="zh-CN" w:bidi="ar"/>
              </w:rPr>
              <w:t>落实最严格的水资源管理制度，实行水资源消耗总量和强度双控。</w:t>
            </w:r>
          </w:p>
          <w:p w14:paraId="4C357CF0">
            <w:pPr>
              <w:keepNext w:val="0"/>
              <w:keepLines w:val="0"/>
              <w:widowControl/>
              <w:numPr>
                <w:ilvl w:val="0"/>
                <w:numId w:val="0"/>
              </w:numPr>
              <w:suppressLineNumbers w:val="0"/>
              <w:ind w:leftChars="0"/>
              <w:jc w:val="center"/>
              <w:rPr>
                <w:rFonts w:ascii="Times New Roman" w:hAnsi="Times New Roman"/>
                <w:sz w:val="21"/>
                <w:szCs w:val="21"/>
                <w:highlight w:val="none"/>
              </w:rPr>
            </w:pPr>
            <w:r>
              <w:rPr>
                <w:rFonts w:hint="eastAsia" w:ascii="宋体" w:hAnsi="宋体" w:eastAsia="宋体" w:cs="宋体"/>
                <w:color w:val="000000"/>
                <w:kern w:val="0"/>
                <w:sz w:val="21"/>
                <w:szCs w:val="21"/>
                <w:highlight w:val="none"/>
                <w:lang w:val="en-US" w:eastAsia="zh-CN" w:bidi="ar"/>
              </w:rPr>
              <w:t>4.全面推行清洁生产，依法在“双超双有高耗能”行业实施强制性清洁生产审核。</w:t>
            </w:r>
          </w:p>
        </w:tc>
        <w:tc>
          <w:tcPr>
            <w:tcW w:w="988" w:type="pct"/>
            <w:noWrap w:val="0"/>
            <w:vAlign w:val="center"/>
          </w:tcPr>
          <w:p w14:paraId="2171BA9E">
            <w:pPr>
              <w:autoSpaceDE w:val="0"/>
              <w:autoSpaceDN w:val="0"/>
              <w:adjustRightInd w:val="0"/>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本项目建成后废水经处理达标后全部回用，</w:t>
            </w:r>
            <w:r>
              <w:rPr>
                <w:rFonts w:ascii="Times New Roman" w:hAnsi="Times New Roman"/>
                <w:bCs/>
                <w:kern w:val="0"/>
                <w:sz w:val="21"/>
                <w:szCs w:val="20"/>
                <w:highlight w:val="none"/>
              </w:rPr>
              <w:t>可大大</w:t>
            </w:r>
            <w:r>
              <w:rPr>
                <w:rFonts w:ascii="Times New Roman" w:hAnsi="Times New Roman"/>
                <w:kern w:val="0"/>
                <w:sz w:val="21"/>
                <w:szCs w:val="20"/>
                <w:highlight w:val="none"/>
              </w:rPr>
              <w:t>减少新水用量，提高水利用率。</w:t>
            </w:r>
          </w:p>
        </w:tc>
        <w:tc>
          <w:tcPr>
            <w:tcW w:w="313" w:type="pct"/>
            <w:noWrap w:val="0"/>
            <w:tcMar>
              <w:left w:w="57" w:type="dxa"/>
              <w:right w:w="57" w:type="dxa"/>
            </w:tcMar>
            <w:vAlign w:val="center"/>
          </w:tcPr>
          <w:p w14:paraId="628F1E96">
            <w:pPr>
              <w:autoSpaceDE w:val="0"/>
              <w:autoSpaceDN w:val="0"/>
              <w:adjustRightInd w:val="0"/>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符合</w:t>
            </w:r>
          </w:p>
        </w:tc>
      </w:tr>
      <w:tr w14:paraId="7F57BA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2" w:type="pct"/>
            <w:vMerge w:val="restart"/>
            <w:noWrap w:val="0"/>
            <w:tcMar>
              <w:left w:w="57" w:type="dxa"/>
              <w:right w:w="57" w:type="dxa"/>
            </w:tcMar>
            <w:vAlign w:val="center"/>
          </w:tcPr>
          <w:p w14:paraId="3DD281F2">
            <w:pPr>
              <w:keepNext w:val="0"/>
              <w:keepLines w:val="0"/>
              <w:widowControl/>
              <w:suppressLineNumbers w:val="0"/>
              <w:jc w:val="center"/>
              <w:rPr>
                <w:rFonts w:ascii="Times New Roman" w:hAnsi="Times New Roman"/>
                <w:kern w:val="0"/>
                <w:sz w:val="21"/>
                <w:szCs w:val="21"/>
                <w:highlight w:val="none"/>
              </w:rPr>
            </w:pPr>
            <w:r>
              <w:rPr>
                <w:rFonts w:hint="eastAsia" w:ascii="宋体" w:hAnsi="宋体" w:eastAsia="宋体" w:cs="宋体"/>
                <w:color w:val="000000"/>
                <w:kern w:val="0"/>
                <w:sz w:val="21"/>
                <w:szCs w:val="21"/>
                <w:highlight w:val="none"/>
                <w:lang w:val="en-US" w:eastAsia="zh-CN" w:bidi="ar"/>
              </w:rPr>
              <w:t>ZH23108120003</w:t>
            </w:r>
          </w:p>
        </w:tc>
        <w:tc>
          <w:tcPr>
            <w:tcW w:w="151" w:type="pct"/>
            <w:vMerge w:val="restart"/>
            <w:noWrap w:val="0"/>
            <w:vAlign w:val="center"/>
          </w:tcPr>
          <w:p w14:paraId="3411C3FF">
            <w:pPr>
              <w:keepNext w:val="0"/>
              <w:keepLines w:val="0"/>
              <w:widowControl/>
              <w:suppressLineNumbers w:val="0"/>
              <w:ind w:left="0" w:leftChars="0" w:firstLine="0" w:firstLineChars="0"/>
              <w:jc w:val="center"/>
              <w:rPr>
                <w:highlight w:val="none"/>
              </w:rPr>
            </w:pPr>
            <w:r>
              <w:rPr>
                <w:rFonts w:hint="eastAsia" w:ascii="宋体" w:hAnsi="宋体" w:eastAsia="宋体" w:cs="宋体"/>
                <w:color w:val="000000"/>
                <w:kern w:val="0"/>
                <w:sz w:val="21"/>
                <w:szCs w:val="21"/>
                <w:highlight w:val="none"/>
                <w:lang w:val="en-US" w:eastAsia="zh-CN" w:bidi="ar"/>
              </w:rPr>
              <w:t>绥芬河市城镇空间</w:t>
            </w:r>
          </w:p>
          <w:p w14:paraId="24D9DFA8">
            <w:pPr>
              <w:autoSpaceDE w:val="0"/>
              <w:autoSpaceDN w:val="0"/>
              <w:adjustRightInd w:val="0"/>
              <w:spacing w:line="240" w:lineRule="auto"/>
              <w:ind w:firstLine="0" w:firstLineChars="0"/>
              <w:jc w:val="center"/>
              <w:rPr>
                <w:rFonts w:ascii="Times New Roman" w:hAnsi="Times New Roman"/>
                <w:kern w:val="0"/>
                <w:sz w:val="21"/>
                <w:szCs w:val="21"/>
                <w:highlight w:val="none"/>
              </w:rPr>
            </w:pPr>
          </w:p>
        </w:tc>
        <w:tc>
          <w:tcPr>
            <w:tcW w:w="151" w:type="pct"/>
            <w:vMerge w:val="restart"/>
            <w:noWrap w:val="0"/>
            <w:vAlign w:val="center"/>
          </w:tcPr>
          <w:p w14:paraId="0F02113A">
            <w:pPr>
              <w:keepNext w:val="0"/>
              <w:keepLines w:val="0"/>
              <w:widowControl/>
              <w:suppressLineNumbers w:val="0"/>
              <w:ind w:left="0" w:leftChars="0" w:firstLine="0" w:firstLineChars="0"/>
              <w:jc w:val="center"/>
              <w:rPr>
                <w:rFonts w:ascii="Times New Roman" w:hAnsi="Times New Roman"/>
                <w:sz w:val="21"/>
                <w:szCs w:val="21"/>
                <w:highlight w:val="none"/>
              </w:rPr>
            </w:pPr>
            <w:r>
              <w:rPr>
                <w:rFonts w:hint="eastAsia" w:ascii="宋体" w:hAnsi="宋体" w:eastAsia="宋体" w:cs="宋体"/>
                <w:color w:val="000000"/>
                <w:kern w:val="0"/>
                <w:sz w:val="21"/>
                <w:szCs w:val="21"/>
                <w:highlight w:val="none"/>
                <w:lang w:val="en-US" w:eastAsia="zh-CN" w:bidi="ar"/>
              </w:rPr>
              <w:t>重点管控单元</w:t>
            </w:r>
          </w:p>
        </w:tc>
        <w:tc>
          <w:tcPr>
            <w:tcW w:w="191" w:type="pct"/>
            <w:noWrap w:val="0"/>
            <w:vAlign w:val="center"/>
          </w:tcPr>
          <w:p w14:paraId="31DA308B">
            <w:pPr>
              <w:spacing w:line="240" w:lineRule="auto"/>
              <w:ind w:firstLine="0" w:firstLineChars="0"/>
              <w:jc w:val="center"/>
              <w:rPr>
                <w:rFonts w:ascii="Times New Roman" w:hAnsi="Times New Roman"/>
                <w:sz w:val="21"/>
                <w:szCs w:val="21"/>
                <w:highlight w:val="none"/>
              </w:rPr>
            </w:pPr>
            <w:r>
              <w:rPr>
                <w:rFonts w:ascii="Times New Roman" w:hAnsi="Times New Roman"/>
                <w:kern w:val="0"/>
                <w:sz w:val="21"/>
                <w:szCs w:val="21"/>
                <w:highlight w:val="none"/>
              </w:rPr>
              <w:t>空间布局约束</w:t>
            </w:r>
          </w:p>
        </w:tc>
        <w:tc>
          <w:tcPr>
            <w:tcW w:w="2370" w:type="pct"/>
            <w:noWrap w:val="0"/>
            <w:vAlign w:val="center"/>
          </w:tcPr>
          <w:p w14:paraId="22A0EE2E">
            <w:pPr>
              <w:keepNext w:val="0"/>
              <w:keepLines w:val="0"/>
              <w:widowControl/>
              <w:numPr>
                <w:ilvl w:val="0"/>
                <w:numId w:val="4"/>
              </w:numPr>
              <w:suppressLineNumbers w:val="0"/>
              <w:ind w:left="0" w:leftChars="0" w:firstLine="0" w:firstLineChars="0"/>
              <w:jc w:val="center"/>
              <w:rPr>
                <w:rFonts w:hint="eastAsia" w:ascii="宋体" w:hAnsi="宋体" w:eastAsia="宋体" w:cs="宋体"/>
                <w:color w:val="000000"/>
                <w:kern w:val="0"/>
                <w:sz w:val="21"/>
                <w:szCs w:val="21"/>
                <w:highlight w:val="none"/>
                <w:lang w:val="en-US" w:eastAsia="zh-CN" w:bidi="ar"/>
              </w:rPr>
            </w:pPr>
            <w:r>
              <w:rPr>
                <w:rFonts w:hint="eastAsia" w:ascii="宋体" w:hAnsi="宋体" w:eastAsia="宋体" w:cs="宋体"/>
                <w:color w:val="000000"/>
                <w:kern w:val="0"/>
                <w:sz w:val="21"/>
                <w:szCs w:val="21"/>
                <w:highlight w:val="none"/>
                <w:lang w:val="en-US" w:eastAsia="zh-CN" w:bidi="ar"/>
              </w:rPr>
              <w:t>严禁在人口密集区新建危险化学品生产项目，城镇人口密集区危险化学品生产企业应搬迁改造。</w:t>
            </w:r>
          </w:p>
          <w:p w14:paraId="11D3A8AB">
            <w:pPr>
              <w:keepNext w:val="0"/>
              <w:keepLines w:val="0"/>
              <w:widowControl/>
              <w:numPr>
                <w:ilvl w:val="0"/>
                <w:numId w:val="0"/>
              </w:numPr>
              <w:suppressLineNumbers w:val="0"/>
              <w:ind w:leftChars="0"/>
              <w:jc w:val="center"/>
              <w:rPr>
                <w:rFonts w:ascii="Times New Roman" w:hAnsi="Times New Roman"/>
                <w:sz w:val="21"/>
                <w:szCs w:val="21"/>
                <w:highlight w:val="none"/>
              </w:rPr>
            </w:pPr>
            <w:r>
              <w:rPr>
                <w:rFonts w:hint="eastAsia" w:ascii="宋体" w:hAnsi="宋体" w:eastAsia="宋体" w:cs="宋体"/>
                <w:color w:val="000000"/>
                <w:kern w:val="0"/>
                <w:sz w:val="21"/>
                <w:szCs w:val="21"/>
                <w:highlight w:val="none"/>
                <w:lang w:val="en-US" w:eastAsia="zh-CN" w:bidi="ar"/>
              </w:rPr>
              <w:t>2.禁止在城镇居民区、文化教育科学研究区等人口集中区域建设畜禽养殖场、养殖小区。</w:t>
            </w:r>
          </w:p>
        </w:tc>
        <w:tc>
          <w:tcPr>
            <w:tcW w:w="988" w:type="pct"/>
            <w:noWrap w:val="0"/>
            <w:vAlign w:val="center"/>
          </w:tcPr>
          <w:p w14:paraId="3C9FE72B">
            <w:pPr>
              <w:autoSpaceDE w:val="0"/>
              <w:autoSpaceDN w:val="0"/>
              <w:adjustRightInd w:val="0"/>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本项目为热力生产与供应业，不属于畜禽养殖场、养殖小区。</w:t>
            </w:r>
          </w:p>
        </w:tc>
        <w:tc>
          <w:tcPr>
            <w:tcW w:w="313" w:type="pct"/>
            <w:noWrap w:val="0"/>
            <w:tcMar>
              <w:left w:w="57" w:type="dxa"/>
              <w:right w:w="57" w:type="dxa"/>
            </w:tcMar>
            <w:vAlign w:val="center"/>
          </w:tcPr>
          <w:p w14:paraId="4790FD65">
            <w:pPr>
              <w:autoSpaceDE w:val="0"/>
              <w:autoSpaceDN w:val="0"/>
              <w:adjustRightInd w:val="0"/>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符合</w:t>
            </w:r>
          </w:p>
        </w:tc>
      </w:tr>
      <w:tr w14:paraId="7D8A11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2" w:type="pct"/>
            <w:vMerge w:val="continue"/>
            <w:noWrap w:val="0"/>
            <w:tcMar>
              <w:left w:w="57" w:type="dxa"/>
              <w:right w:w="57" w:type="dxa"/>
            </w:tcMar>
            <w:vAlign w:val="center"/>
          </w:tcPr>
          <w:p w14:paraId="199104FD">
            <w:pPr>
              <w:autoSpaceDE w:val="0"/>
              <w:autoSpaceDN w:val="0"/>
              <w:adjustRightInd w:val="0"/>
              <w:spacing w:line="240" w:lineRule="auto"/>
              <w:ind w:firstLine="0" w:firstLineChars="0"/>
              <w:jc w:val="center"/>
              <w:rPr>
                <w:rFonts w:ascii="Times New Roman" w:hAnsi="Times New Roman"/>
                <w:kern w:val="0"/>
                <w:sz w:val="21"/>
                <w:szCs w:val="21"/>
                <w:highlight w:val="none"/>
              </w:rPr>
            </w:pPr>
          </w:p>
        </w:tc>
        <w:tc>
          <w:tcPr>
            <w:tcW w:w="151" w:type="pct"/>
            <w:vMerge w:val="continue"/>
            <w:noWrap w:val="0"/>
            <w:vAlign w:val="center"/>
          </w:tcPr>
          <w:p w14:paraId="641BE5CE">
            <w:pPr>
              <w:autoSpaceDE w:val="0"/>
              <w:autoSpaceDN w:val="0"/>
              <w:adjustRightInd w:val="0"/>
              <w:spacing w:line="240" w:lineRule="auto"/>
              <w:ind w:firstLine="0" w:firstLineChars="0"/>
              <w:jc w:val="center"/>
              <w:rPr>
                <w:rFonts w:ascii="Times New Roman" w:hAnsi="Times New Roman"/>
                <w:kern w:val="0"/>
                <w:sz w:val="21"/>
                <w:szCs w:val="21"/>
                <w:highlight w:val="none"/>
              </w:rPr>
            </w:pPr>
          </w:p>
        </w:tc>
        <w:tc>
          <w:tcPr>
            <w:tcW w:w="151" w:type="pct"/>
            <w:vMerge w:val="continue"/>
            <w:noWrap w:val="0"/>
            <w:vAlign w:val="center"/>
          </w:tcPr>
          <w:p w14:paraId="51F7133F">
            <w:pPr>
              <w:spacing w:line="240" w:lineRule="auto"/>
              <w:ind w:firstLine="0" w:firstLineChars="0"/>
              <w:jc w:val="center"/>
              <w:rPr>
                <w:rFonts w:ascii="Times New Roman" w:hAnsi="Times New Roman"/>
                <w:sz w:val="21"/>
                <w:szCs w:val="21"/>
                <w:highlight w:val="none"/>
              </w:rPr>
            </w:pPr>
          </w:p>
        </w:tc>
        <w:tc>
          <w:tcPr>
            <w:tcW w:w="191" w:type="pct"/>
            <w:noWrap w:val="0"/>
            <w:vAlign w:val="center"/>
          </w:tcPr>
          <w:p w14:paraId="26B7AE75">
            <w:pPr>
              <w:spacing w:line="240" w:lineRule="auto"/>
              <w:ind w:firstLine="0" w:firstLineChars="0"/>
              <w:jc w:val="center"/>
              <w:rPr>
                <w:rFonts w:ascii="Times New Roman" w:hAnsi="Times New Roman"/>
                <w:sz w:val="21"/>
                <w:szCs w:val="21"/>
                <w:highlight w:val="none"/>
              </w:rPr>
            </w:pPr>
            <w:r>
              <w:rPr>
                <w:rFonts w:ascii="Times New Roman" w:hAnsi="Times New Roman"/>
                <w:kern w:val="0"/>
                <w:sz w:val="21"/>
                <w:szCs w:val="21"/>
                <w:highlight w:val="none"/>
              </w:rPr>
              <w:t>污染物排放管控</w:t>
            </w:r>
          </w:p>
        </w:tc>
        <w:tc>
          <w:tcPr>
            <w:tcW w:w="2370" w:type="pct"/>
            <w:noWrap w:val="0"/>
            <w:vAlign w:val="center"/>
          </w:tcPr>
          <w:p w14:paraId="12A8D942">
            <w:pPr>
              <w:keepNext w:val="0"/>
              <w:keepLines w:val="0"/>
              <w:widowControl/>
              <w:suppressLineNumbers w:val="0"/>
              <w:ind w:left="0" w:leftChars="0" w:firstLine="0" w:firstLineChars="0"/>
              <w:jc w:val="center"/>
              <w:rPr>
                <w:rFonts w:ascii="Times New Roman" w:hAnsi="Times New Roman"/>
                <w:sz w:val="21"/>
                <w:szCs w:val="21"/>
                <w:highlight w:val="none"/>
              </w:rPr>
            </w:pPr>
            <w:r>
              <w:rPr>
                <w:rFonts w:hint="eastAsia" w:ascii="宋体" w:hAnsi="宋体" w:eastAsia="宋体" w:cs="宋体"/>
                <w:color w:val="000000"/>
                <w:kern w:val="0"/>
                <w:sz w:val="21"/>
                <w:szCs w:val="21"/>
                <w:highlight w:val="none"/>
                <w:lang w:val="en-US" w:eastAsia="zh-CN" w:bidi="ar"/>
              </w:rPr>
              <w:t>加快 65t／h 以上燃煤锅炉（含电力）超低排放改造。</w:t>
            </w:r>
          </w:p>
        </w:tc>
        <w:tc>
          <w:tcPr>
            <w:tcW w:w="988" w:type="pct"/>
            <w:noWrap w:val="0"/>
            <w:vAlign w:val="center"/>
          </w:tcPr>
          <w:p w14:paraId="7570D36F">
            <w:pPr>
              <w:autoSpaceDE w:val="0"/>
              <w:autoSpaceDN w:val="0"/>
              <w:adjustRightInd w:val="0"/>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本项目采取相应措施后，</w:t>
            </w:r>
            <w:r>
              <w:rPr>
                <w:rFonts w:ascii="Times New Roman" w:hAnsi="Times New Roman" w:eastAsia="宋体" w:cs="Times New Roman"/>
                <w:kern w:val="0"/>
                <w:sz w:val="21"/>
                <w:szCs w:val="21"/>
                <w:highlight w:val="none"/>
              </w:rPr>
              <w:t>烟气</w:t>
            </w:r>
            <w:r>
              <w:rPr>
                <w:rFonts w:hint="eastAsia" w:ascii="Times New Roman" w:hAnsi="Times New Roman" w:eastAsia="宋体" w:cs="Times New Roman"/>
                <w:kern w:val="0"/>
                <w:sz w:val="21"/>
                <w:szCs w:val="21"/>
                <w:highlight w:val="none"/>
                <w:lang w:val="en-US" w:eastAsia="zh-CN"/>
              </w:rPr>
              <w:t>经</w:t>
            </w:r>
            <w:r>
              <w:rPr>
                <w:rFonts w:ascii="Times New Roman" w:hAnsi="Times New Roman" w:eastAsia="宋体" w:cs="Times New Roman"/>
                <w:kern w:val="0"/>
                <w:sz w:val="21"/>
                <w:szCs w:val="21"/>
                <w:highlight w:val="none"/>
              </w:rPr>
              <w:t>处理后颗粒</w:t>
            </w:r>
            <w:r>
              <w:rPr>
                <w:rFonts w:ascii="Times New Roman" w:hAnsi="Times New Roman"/>
                <w:kern w:val="0"/>
                <w:sz w:val="21"/>
                <w:szCs w:val="21"/>
                <w:highlight w:val="none"/>
              </w:rPr>
              <w:t>物、SO</w:t>
            </w:r>
            <w:r>
              <w:rPr>
                <w:rFonts w:ascii="Times New Roman" w:hAnsi="Times New Roman"/>
                <w:kern w:val="0"/>
                <w:sz w:val="21"/>
                <w:szCs w:val="21"/>
                <w:highlight w:val="none"/>
                <w:vertAlign w:val="subscript"/>
              </w:rPr>
              <w:t>2</w:t>
            </w:r>
            <w:r>
              <w:rPr>
                <w:rFonts w:ascii="Times New Roman" w:hAnsi="Times New Roman"/>
                <w:kern w:val="0"/>
                <w:sz w:val="21"/>
                <w:szCs w:val="21"/>
                <w:highlight w:val="none"/>
              </w:rPr>
              <w:t>和NOx等污染物均能达到超低排放要求，</w:t>
            </w:r>
            <w:r>
              <w:rPr>
                <w:rFonts w:hint="eastAsia" w:ascii="Times New Roman" w:hAnsi="Times New Roman"/>
                <w:kern w:val="0"/>
                <w:sz w:val="21"/>
                <w:szCs w:val="21"/>
                <w:highlight w:val="none"/>
                <w:lang w:val="en-US" w:eastAsia="zh-CN"/>
              </w:rPr>
              <w:t>建设单位目前排污许可中与实际建设不符，</w:t>
            </w:r>
            <w:r>
              <w:rPr>
                <w:rFonts w:ascii="Times New Roman" w:hAnsi="Times New Roman"/>
                <w:kern w:val="0"/>
                <w:sz w:val="21"/>
                <w:szCs w:val="21"/>
                <w:highlight w:val="none"/>
              </w:rPr>
              <w:t>建设单位</w:t>
            </w:r>
            <w:r>
              <w:rPr>
                <w:rFonts w:hint="eastAsia" w:ascii="Times New Roman" w:hAnsi="Times New Roman"/>
                <w:kern w:val="0"/>
                <w:sz w:val="21"/>
                <w:szCs w:val="21"/>
                <w:highlight w:val="none"/>
                <w:lang w:val="en-US" w:eastAsia="zh-CN"/>
              </w:rPr>
              <w:t>后续</w:t>
            </w:r>
            <w:r>
              <w:rPr>
                <w:rFonts w:ascii="Times New Roman" w:hAnsi="Times New Roman"/>
                <w:kern w:val="0"/>
                <w:sz w:val="21"/>
                <w:szCs w:val="21"/>
                <w:highlight w:val="none"/>
              </w:rPr>
              <w:t>将按要求落实排污许可证制度。本项目无废水排放。</w:t>
            </w:r>
          </w:p>
        </w:tc>
        <w:tc>
          <w:tcPr>
            <w:tcW w:w="313" w:type="pct"/>
            <w:noWrap w:val="0"/>
            <w:tcMar>
              <w:left w:w="57" w:type="dxa"/>
              <w:right w:w="57" w:type="dxa"/>
            </w:tcMar>
            <w:vAlign w:val="center"/>
          </w:tcPr>
          <w:p w14:paraId="6935A6F5">
            <w:pPr>
              <w:autoSpaceDE w:val="0"/>
              <w:autoSpaceDN w:val="0"/>
              <w:adjustRightInd w:val="0"/>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符合</w:t>
            </w:r>
          </w:p>
        </w:tc>
      </w:tr>
      <w:tr w14:paraId="400733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2" w:type="pct"/>
            <w:vMerge w:val="continue"/>
            <w:noWrap w:val="0"/>
            <w:tcMar>
              <w:left w:w="57" w:type="dxa"/>
              <w:right w:w="57" w:type="dxa"/>
            </w:tcMar>
            <w:vAlign w:val="center"/>
          </w:tcPr>
          <w:p w14:paraId="3F13597C">
            <w:pPr>
              <w:autoSpaceDE w:val="0"/>
              <w:autoSpaceDN w:val="0"/>
              <w:adjustRightInd w:val="0"/>
              <w:spacing w:line="240" w:lineRule="auto"/>
              <w:ind w:firstLine="0" w:firstLineChars="0"/>
              <w:jc w:val="center"/>
              <w:rPr>
                <w:rFonts w:ascii="Times New Roman" w:hAnsi="Times New Roman"/>
                <w:kern w:val="0"/>
                <w:sz w:val="21"/>
                <w:szCs w:val="21"/>
                <w:highlight w:val="none"/>
              </w:rPr>
            </w:pPr>
          </w:p>
        </w:tc>
        <w:tc>
          <w:tcPr>
            <w:tcW w:w="151" w:type="pct"/>
            <w:vMerge w:val="continue"/>
            <w:noWrap w:val="0"/>
            <w:vAlign w:val="center"/>
          </w:tcPr>
          <w:p w14:paraId="5B2EF380">
            <w:pPr>
              <w:autoSpaceDE w:val="0"/>
              <w:autoSpaceDN w:val="0"/>
              <w:adjustRightInd w:val="0"/>
              <w:spacing w:line="240" w:lineRule="auto"/>
              <w:ind w:firstLine="0" w:firstLineChars="0"/>
              <w:jc w:val="center"/>
              <w:rPr>
                <w:rFonts w:ascii="Times New Roman" w:hAnsi="Times New Roman"/>
                <w:kern w:val="0"/>
                <w:sz w:val="21"/>
                <w:szCs w:val="21"/>
                <w:highlight w:val="none"/>
              </w:rPr>
            </w:pPr>
          </w:p>
        </w:tc>
        <w:tc>
          <w:tcPr>
            <w:tcW w:w="151" w:type="pct"/>
            <w:vMerge w:val="continue"/>
            <w:noWrap w:val="0"/>
            <w:vAlign w:val="center"/>
          </w:tcPr>
          <w:p w14:paraId="467F999F">
            <w:pPr>
              <w:spacing w:line="240" w:lineRule="auto"/>
              <w:ind w:firstLine="0" w:firstLineChars="0"/>
              <w:jc w:val="center"/>
              <w:rPr>
                <w:rFonts w:ascii="Times New Roman" w:hAnsi="Times New Roman"/>
                <w:sz w:val="21"/>
                <w:szCs w:val="21"/>
                <w:highlight w:val="none"/>
              </w:rPr>
            </w:pPr>
          </w:p>
        </w:tc>
        <w:tc>
          <w:tcPr>
            <w:tcW w:w="191" w:type="pct"/>
            <w:noWrap w:val="0"/>
            <w:vAlign w:val="center"/>
          </w:tcPr>
          <w:p w14:paraId="730696D1">
            <w:pPr>
              <w:spacing w:line="240" w:lineRule="auto"/>
              <w:ind w:firstLine="0" w:firstLineChars="0"/>
              <w:jc w:val="center"/>
              <w:rPr>
                <w:rFonts w:ascii="Times New Roman" w:hAnsi="Times New Roman"/>
                <w:sz w:val="21"/>
                <w:szCs w:val="21"/>
                <w:highlight w:val="none"/>
              </w:rPr>
            </w:pPr>
            <w:r>
              <w:rPr>
                <w:rFonts w:ascii="Times New Roman" w:hAnsi="Times New Roman"/>
                <w:kern w:val="0"/>
                <w:sz w:val="21"/>
                <w:szCs w:val="21"/>
                <w:highlight w:val="none"/>
              </w:rPr>
              <w:t>环境风险防控</w:t>
            </w:r>
          </w:p>
        </w:tc>
        <w:tc>
          <w:tcPr>
            <w:tcW w:w="2370" w:type="pct"/>
            <w:noWrap w:val="0"/>
            <w:vAlign w:val="center"/>
          </w:tcPr>
          <w:p w14:paraId="2AA6D537">
            <w:pPr>
              <w:keepNext w:val="0"/>
              <w:keepLines w:val="0"/>
              <w:widowControl/>
              <w:suppressLineNumbers w:val="0"/>
              <w:ind w:left="0" w:leftChars="0" w:firstLine="0" w:firstLineChars="0"/>
              <w:jc w:val="center"/>
              <w:rPr>
                <w:rFonts w:ascii="Times New Roman" w:hAnsi="Times New Roman"/>
                <w:sz w:val="21"/>
                <w:szCs w:val="21"/>
                <w:highlight w:val="none"/>
              </w:rPr>
            </w:pPr>
            <w:r>
              <w:rPr>
                <w:rFonts w:hint="eastAsia" w:ascii="宋体" w:hAnsi="宋体" w:eastAsia="宋体" w:cs="宋体"/>
                <w:color w:val="000000"/>
                <w:kern w:val="0"/>
                <w:sz w:val="21"/>
                <w:szCs w:val="21"/>
                <w:highlight w:val="none"/>
                <w:lang w:val="en-US" w:eastAsia="zh-CN" w:bidi="ar"/>
              </w:rPr>
              <w:t>化工园区与城市建成区、人员密集场所、重要设施、敏感目标等应当保持规定的安全距离，相对封闭，不应保留常住居民，非关联企业和产业要逐步搬迁或退出，妥善防范化解“邻避”问题。严禁在松花江干流及一级支流沿岸 1 公里范围内布局化工园区。</w:t>
            </w:r>
          </w:p>
        </w:tc>
        <w:tc>
          <w:tcPr>
            <w:tcW w:w="988" w:type="pct"/>
            <w:noWrap w:val="0"/>
            <w:vAlign w:val="center"/>
          </w:tcPr>
          <w:p w14:paraId="26F05BC1">
            <w:pPr>
              <w:autoSpaceDE w:val="0"/>
              <w:autoSpaceDN w:val="0"/>
              <w:adjustRightInd w:val="0"/>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本项目不在场内贮存有毒有害和易燃易爆物质。严格管控点火柴油的运输过程。企业制定了环境风险应急预案，成立应急组织机构，建设应急资源库，并与当地环境风险应急预案联动</w:t>
            </w:r>
          </w:p>
        </w:tc>
        <w:tc>
          <w:tcPr>
            <w:tcW w:w="313" w:type="pct"/>
            <w:noWrap w:val="0"/>
            <w:tcMar>
              <w:left w:w="57" w:type="dxa"/>
              <w:right w:w="57" w:type="dxa"/>
            </w:tcMar>
            <w:vAlign w:val="center"/>
          </w:tcPr>
          <w:p w14:paraId="19CE9940">
            <w:pPr>
              <w:autoSpaceDE w:val="0"/>
              <w:autoSpaceDN w:val="0"/>
              <w:adjustRightInd w:val="0"/>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符</w:t>
            </w:r>
          </w:p>
          <w:p w14:paraId="41AB3089">
            <w:pPr>
              <w:autoSpaceDE w:val="0"/>
              <w:autoSpaceDN w:val="0"/>
              <w:adjustRightInd w:val="0"/>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合</w:t>
            </w:r>
          </w:p>
        </w:tc>
      </w:tr>
      <w:tr w14:paraId="5A9FFF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2" w:type="pct"/>
            <w:vMerge w:val="continue"/>
            <w:noWrap w:val="0"/>
            <w:tcMar>
              <w:left w:w="57" w:type="dxa"/>
              <w:right w:w="57" w:type="dxa"/>
            </w:tcMar>
            <w:vAlign w:val="center"/>
          </w:tcPr>
          <w:p w14:paraId="2DF6E261">
            <w:pPr>
              <w:autoSpaceDE w:val="0"/>
              <w:autoSpaceDN w:val="0"/>
              <w:adjustRightInd w:val="0"/>
              <w:spacing w:line="240" w:lineRule="auto"/>
              <w:ind w:firstLine="0" w:firstLineChars="0"/>
              <w:jc w:val="center"/>
              <w:rPr>
                <w:rFonts w:ascii="Times New Roman" w:hAnsi="Times New Roman"/>
                <w:kern w:val="0"/>
                <w:sz w:val="21"/>
                <w:szCs w:val="21"/>
                <w:highlight w:val="none"/>
              </w:rPr>
            </w:pPr>
          </w:p>
        </w:tc>
        <w:tc>
          <w:tcPr>
            <w:tcW w:w="151" w:type="pct"/>
            <w:vMerge w:val="continue"/>
            <w:noWrap w:val="0"/>
            <w:vAlign w:val="center"/>
          </w:tcPr>
          <w:p w14:paraId="473585E0">
            <w:pPr>
              <w:autoSpaceDE w:val="0"/>
              <w:autoSpaceDN w:val="0"/>
              <w:adjustRightInd w:val="0"/>
              <w:spacing w:line="240" w:lineRule="auto"/>
              <w:ind w:firstLine="0" w:firstLineChars="0"/>
              <w:jc w:val="center"/>
              <w:rPr>
                <w:rFonts w:ascii="Times New Roman" w:hAnsi="Times New Roman"/>
                <w:kern w:val="0"/>
                <w:sz w:val="21"/>
                <w:szCs w:val="21"/>
                <w:highlight w:val="none"/>
              </w:rPr>
            </w:pPr>
          </w:p>
        </w:tc>
        <w:tc>
          <w:tcPr>
            <w:tcW w:w="151" w:type="pct"/>
            <w:vMerge w:val="continue"/>
            <w:noWrap w:val="0"/>
            <w:vAlign w:val="center"/>
          </w:tcPr>
          <w:p w14:paraId="21744900">
            <w:pPr>
              <w:spacing w:line="240" w:lineRule="auto"/>
              <w:ind w:firstLine="0" w:firstLineChars="0"/>
              <w:jc w:val="center"/>
              <w:rPr>
                <w:rFonts w:ascii="Times New Roman" w:hAnsi="Times New Roman"/>
                <w:sz w:val="21"/>
                <w:szCs w:val="21"/>
                <w:highlight w:val="none"/>
              </w:rPr>
            </w:pPr>
          </w:p>
        </w:tc>
        <w:tc>
          <w:tcPr>
            <w:tcW w:w="191" w:type="pct"/>
            <w:noWrap w:val="0"/>
            <w:vAlign w:val="center"/>
          </w:tcPr>
          <w:p w14:paraId="276E3404">
            <w:pPr>
              <w:spacing w:line="240" w:lineRule="auto"/>
              <w:ind w:firstLine="0" w:firstLineChars="0"/>
              <w:jc w:val="center"/>
              <w:rPr>
                <w:rFonts w:ascii="Times New Roman" w:hAnsi="Times New Roman"/>
                <w:sz w:val="21"/>
                <w:szCs w:val="21"/>
                <w:highlight w:val="none"/>
              </w:rPr>
            </w:pPr>
            <w:r>
              <w:rPr>
                <w:rFonts w:ascii="Times New Roman" w:hAnsi="Times New Roman"/>
                <w:kern w:val="0"/>
                <w:sz w:val="21"/>
                <w:szCs w:val="21"/>
                <w:highlight w:val="none"/>
              </w:rPr>
              <w:t>资源利用效率要求</w:t>
            </w:r>
          </w:p>
        </w:tc>
        <w:tc>
          <w:tcPr>
            <w:tcW w:w="2370" w:type="pct"/>
            <w:noWrap w:val="0"/>
            <w:vAlign w:val="center"/>
          </w:tcPr>
          <w:p w14:paraId="5622DA9C">
            <w:pPr>
              <w:keepNext w:val="0"/>
              <w:keepLines w:val="0"/>
              <w:widowControl/>
              <w:numPr>
                <w:ilvl w:val="0"/>
                <w:numId w:val="5"/>
              </w:numPr>
              <w:suppressLineNumbers w:val="0"/>
              <w:ind w:left="0" w:leftChars="0" w:firstLine="0" w:firstLineChars="0"/>
              <w:jc w:val="center"/>
              <w:rPr>
                <w:rFonts w:hint="eastAsia" w:ascii="宋体" w:hAnsi="宋体" w:eastAsia="宋体" w:cs="宋体"/>
                <w:color w:val="000000"/>
                <w:kern w:val="0"/>
                <w:sz w:val="21"/>
                <w:szCs w:val="21"/>
                <w:highlight w:val="none"/>
                <w:lang w:val="en-US" w:eastAsia="zh-CN" w:bidi="ar"/>
              </w:rPr>
            </w:pPr>
            <w:r>
              <w:rPr>
                <w:rFonts w:hint="eastAsia" w:ascii="宋体" w:hAnsi="宋体" w:eastAsia="宋体" w:cs="宋体"/>
                <w:color w:val="000000"/>
                <w:kern w:val="0"/>
                <w:sz w:val="21"/>
                <w:szCs w:val="21"/>
                <w:highlight w:val="none"/>
                <w:lang w:val="en-US" w:eastAsia="zh-CN" w:bidi="ar"/>
              </w:rPr>
              <w:t>推进污水再生利用设施建设。</w:t>
            </w:r>
          </w:p>
          <w:p w14:paraId="6C8D4AA5">
            <w:pPr>
              <w:keepNext w:val="0"/>
              <w:keepLines w:val="0"/>
              <w:widowControl/>
              <w:numPr>
                <w:ilvl w:val="0"/>
                <w:numId w:val="0"/>
              </w:numPr>
              <w:suppressLineNumbers w:val="0"/>
              <w:ind w:leftChars="0"/>
              <w:jc w:val="center"/>
              <w:rPr>
                <w:rFonts w:ascii="Times New Roman" w:hAnsi="Times New Roman"/>
                <w:sz w:val="21"/>
                <w:szCs w:val="21"/>
                <w:highlight w:val="none"/>
              </w:rPr>
            </w:pPr>
            <w:r>
              <w:rPr>
                <w:rFonts w:hint="eastAsia" w:ascii="宋体" w:hAnsi="宋体" w:eastAsia="宋体" w:cs="宋体"/>
                <w:color w:val="000000"/>
                <w:kern w:val="0"/>
                <w:sz w:val="21"/>
                <w:szCs w:val="21"/>
                <w:highlight w:val="none"/>
                <w:lang w:val="en-US" w:eastAsia="zh-CN" w:bidi="ar"/>
              </w:rPr>
              <w:t>2.公共建筑必须采用节水器具，限期淘汰公共建筑中不符合节水标准的水嘴、便器水箱等生活用水器具。</w:t>
            </w:r>
          </w:p>
        </w:tc>
        <w:tc>
          <w:tcPr>
            <w:tcW w:w="988" w:type="pct"/>
            <w:noWrap w:val="0"/>
            <w:vAlign w:val="center"/>
          </w:tcPr>
          <w:p w14:paraId="0D25F58C">
            <w:pPr>
              <w:autoSpaceDE w:val="0"/>
              <w:autoSpaceDN w:val="0"/>
              <w:adjustRightInd w:val="0"/>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本项目</w:t>
            </w:r>
            <w:r>
              <w:rPr>
                <w:rFonts w:hint="eastAsia" w:ascii="Times New Roman" w:hAnsi="Times New Roman"/>
                <w:kern w:val="0"/>
                <w:sz w:val="21"/>
                <w:szCs w:val="21"/>
                <w:highlight w:val="none"/>
                <w:lang w:val="en-US" w:eastAsia="zh-CN"/>
              </w:rPr>
              <w:t>生产</w:t>
            </w:r>
            <w:r>
              <w:rPr>
                <w:rFonts w:ascii="Times New Roman" w:hAnsi="Times New Roman"/>
                <w:kern w:val="0"/>
                <w:sz w:val="21"/>
                <w:szCs w:val="21"/>
                <w:highlight w:val="none"/>
              </w:rPr>
              <w:t>废水经处理达标后回用，</w:t>
            </w:r>
            <w:r>
              <w:rPr>
                <w:rFonts w:ascii="Times New Roman" w:hAnsi="Times New Roman"/>
                <w:bCs/>
                <w:kern w:val="0"/>
                <w:sz w:val="21"/>
                <w:szCs w:val="20"/>
                <w:highlight w:val="none"/>
              </w:rPr>
              <w:t>可大大</w:t>
            </w:r>
            <w:r>
              <w:rPr>
                <w:rFonts w:ascii="Times New Roman" w:hAnsi="Times New Roman"/>
                <w:kern w:val="0"/>
                <w:sz w:val="21"/>
                <w:szCs w:val="20"/>
                <w:highlight w:val="none"/>
              </w:rPr>
              <w:t>减少新水用量，提高水利用率。</w:t>
            </w:r>
          </w:p>
        </w:tc>
        <w:tc>
          <w:tcPr>
            <w:tcW w:w="313" w:type="pct"/>
            <w:noWrap w:val="0"/>
            <w:tcMar>
              <w:left w:w="57" w:type="dxa"/>
              <w:right w:w="57" w:type="dxa"/>
            </w:tcMar>
            <w:vAlign w:val="center"/>
          </w:tcPr>
          <w:p w14:paraId="21ABE94B">
            <w:pPr>
              <w:autoSpaceDE w:val="0"/>
              <w:autoSpaceDN w:val="0"/>
              <w:adjustRightInd w:val="0"/>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符合</w:t>
            </w:r>
          </w:p>
        </w:tc>
      </w:tr>
    </w:tbl>
    <w:p w14:paraId="43AC2F8D">
      <w:pPr>
        <w:rPr>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63BF4D29">
      <w:pPr>
        <w:pStyle w:val="5"/>
        <w:spacing w:beforeLines="-2147483648" w:beforeAutospacing="0" w:afterLines="-2147483648" w:afterAutospacing="0" w:line="415" w:lineRule="auto"/>
        <w:ind w:firstLine="0" w:firstLineChars="0"/>
        <w:rPr>
          <w:rFonts w:hint="eastAsia" w:ascii="Times New Roman" w:hAnsi="Times New Roman" w:eastAsia="宋体" w:cs="Times New Roman"/>
          <w:bCs/>
          <w:sz w:val="30"/>
          <w:szCs w:val="32"/>
          <w:highlight w:val="none"/>
          <w:lang w:val="en-US" w:eastAsia="zh-CN"/>
        </w:rPr>
      </w:pPr>
      <w:bookmarkStart w:id="16" w:name="_Toc5809"/>
      <w:r>
        <w:rPr>
          <w:rFonts w:hint="eastAsia" w:ascii="Times New Roman" w:hAnsi="Times New Roman" w:eastAsia="宋体" w:cs="Times New Roman"/>
          <w:bCs/>
          <w:sz w:val="30"/>
          <w:szCs w:val="32"/>
          <w:highlight w:val="none"/>
          <w:lang w:val="en-US" w:eastAsia="zh-CN"/>
        </w:rPr>
        <w:t>1.4.3选址合理性及厂区布局合理性分析</w:t>
      </w:r>
      <w:bookmarkEnd w:id="16"/>
    </w:p>
    <w:p w14:paraId="284EF6E0">
      <w:pPr>
        <w:ind w:firstLine="48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绥芬河市新区供热有限公司位于黑龙江省牡丹江市绥芬河市长山路幸福街1号，</w:t>
      </w:r>
      <w:r>
        <w:rPr>
          <w:rFonts w:hint="default" w:ascii="Times New Roman" w:hAnsi="Times New Roman" w:eastAsia="宋体" w:cs="Times New Roman"/>
          <w:highlight w:val="none"/>
        </w:rPr>
        <w:t>本项目总占地面积为</w:t>
      </w:r>
      <w:r>
        <w:rPr>
          <w:rFonts w:hint="default" w:ascii="Times New Roman" w:hAnsi="Times New Roman" w:eastAsia="宋体" w:cs="Times New Roman"/>
          <w:highlight w:val="none"/>
          <w:lang w:val="en-US" w:eastAsia="zh-CN"/>
        </w:rPr>
        <w:t>1.3万平方米</w:t>
      </w:r>
      <w:r>
        <w:rPr>
          <w:rFonts w:hint="eastAsia" w:ascii="Times New Roman" w:hAnsi="Times New Roman" w:eastAsia="宋体" w:cs="Times New Roman"/>
          <w:highlight w:val="none"/>
          <w:lang w:val="en-US" w:eastAsia="zh-CN"/>
        </w:rPr>
        <w:t>，用地性质为公用设施用地。</w:t>
      </w:r>
    </w:p>
    <w:p w14:paraId="4B6F2AA2">
      <w:pPr>
        <w:ind w:firstLine="480"/>
        <w:rPr>
          <w:rFonts w:ascii="Times New Roman" w:hAnsi="Times New Roman" w:eastAsia="宋体" w:cs="Times New Roman"/>
          <w:highlight w:val="none"/>
        </w:rPr>
      </w:pPr>
      <w:r>
        <w:rPr>
          <w:rFonts w:ascii="Times New Roman" w:hAnsi="Times New Roman" w:eastAsia="宋体" w:cs="Times New Roman"/>
          <w:highlight w:val="none"/>
        </w:rPr>
        <w:t>经调查，厂址区域内未发现有地下矿藏，也未发现有文物古迹，厂址附近没有影响建厂的军事设施以及通讯设备等，厂址不涉及自然保护区、水源地等环境敏感区。</w:t>
      </w:r>
    </w:p>
    <w:p w14:paraId="29C6D3D8">
      <w:pPr>
        <w:ind w:firstLine="480"/>
        <w:rPr>
          <w:rFonts w:ascii="Times New Roman" w:hAnsi="Times New Roman" w:eastAsia="宋体" w:cs="Times New Roman"/>
          <w:highlight w:val="none"/>
        </w:rPr>
      </w:pPr>
      <w:r>
        <w:rPr>
          <w:rFonts w:hint="eastAsia" w:ascii="Times New Roman" w:hAnsi="Times New Roman" w:eastAsia="宋体" w:cs="Times New Roman"/>
          <w:highlight w:val="none"/>
        </w:rPr>
        <w:t>本项目仅在供暖期运行，根据</w:t>
      </w:r>
      <w:r>
        <w:rPr>
          <w:rFonts w:hint="eastAsia" w:ascii="Times New Roman" w:hAnsi="Times New Roman" w:eastAsia="宋体" w:cs="Times New Roman"/>
          <w:highlight w:val="none"/>
          <w:lang w:val="en-US" w:eastAsia="zh-CN"/>
        </w:rPr>
        <w:t>绥芬河</w:t>
      </w:r>
      <w:r>
        <w:rPr>
          <w:rFonts w:ascii="Times New Roman" w:hAnsi="Times New Roman" w:eastAsia="宋体" w:cs="Times New Roman"/>
          <w:highlight w:val="none"/>
        </w:rPr>
        <w:t>市的风向频率变化情况可以看出，本项目选址位于</w:t>
      </w:r>
      <w:r>
        <w:rPr>
          <w:rFonts w:hint="eastAsia" w:ascii="Times New Roman" w:hAnsi="Times New Roman" w:eastAsia="宋体" w:cs="Times New Roman"/>
          <w:highlight w:val="none"/>
          <w:lang w:val="en-US" w:eastAsia="zh-CN"/>
        </w:rPr>
        <w:t>绥芬河市</w:t>
      </w:r>
      <w:r>
        <w:rPr>
          <w:rFonts w:hint="eastAsia" w:ascii="Times New Roman" w:hAnsi="Times New Roman" w:eastAsia="宋体" w:cs="Times New Roman"/>
          <w:highlight w:val="none"/>
        </w:rPr>
        <w:t>供暖期</w:t>
      </w:r>
      <w:r>
        <w:rPr>
          <w:rFonts w:ascii="Times New Roman" w:hAnsi="Times New Roman" w:eastAsia="宋体" w:cs="Times New Roman"/>
          <w:highlight w:val="none"/>
        </w:rPr>
        <w:t>主导风向的下风向。</w:t>
      </w:r>
    </w:p>
    <w:p w14:paraId="26D6C8A8">
      <w:pPr>
        <w:ind w:firstLine="480"/>
        <w:rPr>
          <w:rFonts w:ascii="Times New Roman" w:hAnsi="Times New Roman" w:eastAsia="宋体" w:cs="Times New Roman"/>
          <w:highlight w:val="none"/>
        </w:rPr>
      </w:pPr>
      <w:r>
        <w:rPr>
          <w:rFonts w:hint="eastAsia" w:ascii="Times New Roman" w:hAnsi="Times New Roman" w:eastAsia="宋体" w:cs="Times New Roman"/>
          <w:highlight w:val="none"/>
        </w:rPr>
        <w:t>根据《</w:t>
      </w:r>
      <w:r>
        <w:rPr>
          <w:rFonts w:hint="eastAsia" w:ascii="Times New Roman" w:hAnsi="Times New Roman" w:eastAsia="宋体" w:cs="Times New Roman"/>
          <w:highlight w:val="none"/>
          <w:lang w:val="en-US" w:eastAsia="zh-CN"/>
        </w:rPr>
        <w:t>黑龙江省生态环境质量状况</w:t>
      </w:r>
      <w:r>
        <w:rPr>
          <w:rFonts w:hint="eastAsia" w:ascii="Times New Roman" w:hAnsi="Times New Roman" w:eastAsia="宋体" w:cs="Times New Roman"/>
          <w:highlight w:val="none"/>
        </w:rPr>
        <w:t>》（</w:t>
      </w:r>
      <w:r>
        <w:rPr>
          <w:rFonts w:hint="eastAsia" w:ascii="Times New Roman" w:hAnsi="Times New Roman" w:eastAsia="宋体" w:cs="Times New Roman"/>
          <w:highlight w:val="none"/>
          <w:lang w:val="en-US" w:eastAsia="zh-CN"/>
        </w:rPr>
        <w:t>2024</w:t>
      </w:r>
      <w:r>
        <w:rPr>
          <w:rFonts w:hint="eastAsia" w:ascii="Times New Roman" w:hAnsi="Times New Roman" w:eastAsia="宋体" w:cs="Times New Roman"/>
          <w:highlight w:val="none"/>
        </w:rPr>
        <w:t>）可知</w:t>
      </w:r>
      <w:r>
        <w:rPr>
          <w:rFonts w:hint="eastAsia" w:ascii="Times New Roman" w:hAnsi="Times New Roman" w:cs="Times New Roman"/>
          <w:highlight w:val="none"/>
          <w:lang w:eastAsia="zh-CN"/>
        </w:rPr>
        <w:t>，</w:t>
      </w:r>
      <w:r>
        <w:rPr>
          <w:rFonts w:ascii="Times New Roman" w:hAnsi="Times New Roman" w:eastAsia="宋体" w:cs="Times New Roman"/>
          <w:highlight w:val="none"/>
        </w:rPr>
        <w:t>本项目所在区域属于城市环境空气质量达标区</w:t>
      </w:r>
      <w:r>
        <w:rPr>
          <w:rFonts w:hint="eastAsia" w:ascii="Times New Roman" w:hAnsi="Times New Roman" w:cs="Times New Roman"/>
          <w:highlight w:val="none"/>
          <w:lang w:eastAsia="zh-CN"/>
        </w:rPr>
        <w:t>。</w:t>
      </w:r>
      <w:r>
        <w:rPr>
          <w:rFonts w:ascii="Times New Roman" w:hAnsi="Times New Roman" w:eastAsia="宋体" w:cs="Times New Roman"/>
          <w:highlight w:val="none"/>
        </w:rPr>
        <w:t>本项目</w:t>
      </w:r>
      <w:r>
        <w:rPr>
          <w:rFonts w:hint="eastAsia" w:ascii="Times New Roman" w:hAnsi="Times New Roman" w:cs="Times New Roman"/>
          <w:highlight w:val="none"/>
          <w:lang w:val="en-US" w:eastAsia="zh-CN"/>
        </w:rPr>
        <w:t>运营期间</w:t>
      </w:r>
      <w:r>
        <w:rPr>
          <w:rFonts w:hint="default" w:ascii="Times New Roman" w:hAnsi="Times New Roman" w:eastAsia="宋体" w:cs="Times New Roman"/>
          <w:highlight w:val="none"/>
          <w:lang w:val="en-US" w:eastAsia="zh-CN"/>
        </w:rPr>
        <w:t>三台锅炉在供暖期间交替使用</w:t>
      </w:r>
      <w:r>
        <w:rPr>
          <w:rFonts w:hint="default" w:ascii="Times New Roman" w:hAnsi="Times New Roman" w:eastAsia="宋体" w:cs="Times New Roman"/>
          <w:highlight w:val="none"/>
        </w:rPr>
        <w:t>，</w:t>
      </w:r>
      <w:r>
        <w:rPr>
          <w:rFonts w:hint="default" w:ascii="Times New Roman" w:hAnsi="Times New Roman" w:eastAsia="宋体" w:cs="Times New Roman"/>
          <w:highlight w:val="none"/>
          <w:lang w:val="en-US" w:eastAsia="zh-CN"/>
        </w:rPr>
        <w:t>锅炉烟气</w:t>
      </w:r>
      <w:r>
        <w:rPr>
          <w:rFonts w:hint="eastAsia" w:ascii="Times New Roman" w:hAnsi="Times New Roman" w:cs="Times New Roman"/>
          <w:highlight w:val="none"/>
          <w:lang w:val="en-US" w:eastAsia="zh-CN"/>
        </w:rPr>
        <w:t>均</w:t>
      </w:r>
      <w:r>
        <w:rPr>
          <w:rFonts w:hint="default" w:ascii="Times New Roman" w:hAnsi="Times New Roman" w:eastAsia="宋体" w:cs="Times New Roman"/>
          <w:highlight w:val="none"/>
        </w:rPr>
        <w:t>采用低氮燃烧+SNCR-SCR脱硝+布袋除尘器+石灰石-石膏法脱硫的烟气净化技术，供热能力为</w:t>
      </w:r>
      <w:r>
        <w:rPr>
          <w:rFonts w:hint="default" w:ascii="Times New Roman" w:hAnsi="Times New Roman" w:eastAsia="宋体" w:cs="Times New Roman"/>
          <w:highlight w:val="none"/>
          <w:lang w:val="en-US" w:eastAsia="zh-CN"/>
        </w:rPr>
        <w:t>210</w:t>
      </w:r>
      <w:r>
        <w:rPr>
          <w:rFonts w:hint="default" w:ascii="Times New Roman" w:hAnsi="Times New Roman" w:eastAsia="宋体" w:cs="Times New Roman"/>
          <w:highlight w:val="none"/>
        </w:rPr>
        <w:t>万m</w:t>
      </w:r>
      <w:r>
        <w:rPr>
          <w:rFonts w:hint="default" w:ascii="Times New Roman" w:hAnsi="Times New Roman" w:eastAsia="宋体" w:cs="Times New Roman"/>
          <w:highlight w:val="none"/>
          <w:vertAlign w:val="superscript"/>
        </w:rPr>
        <w:t>2</w:t>
      </w:r>
      <w:r>
        <w:rPr>
          <w:rFonts w:ascii="Times New Roman" w:hAnsi="Times New Roman" w:eastAsia="宋体" w:cs="Times New Roman"/>
          <w:highlight w:val="none"/>
        </w:rPr>
        <w:t>。经过环境空气影响预测分析，本项目建成投产后正常排放下各污染物短期浓度贡献值的最大浓度占标率均小于100%，污染物年均浓度贡献值的最大浓度占标率≤30%，污染物PM</w:t>
      </w:r>
      <w:r>
        <w:rPr>
          <w:rFonts w:ascii="Times New Roman" w:hAnsi="Times New Roman" w:eastAsia="宋体" w:cs="Times New Roman"/>
          <w:highlight w:val="none"/>
          <w:vertAlign w:val="subscript"/>
        </w:rPr>
        <w:t>10</w:t>
      </w:r>
      <w:r>
        <w:rPr>
          <w:rFonts w:ascii="Times New Roman" w:hAnsi="Times New Roman" w:eastAsia="宋体" w:cs="Times New Roman"/>
          <w:highlight w:val="none"/>
        </w:rPr>
        <w:t>、SO</w:t>
      </w:r>
      <w:r>
        <w:rPr>
          <w:rFonts w:ascii="Times New Roman" w:hAnsi="Times New Roman" w:eastAsia="宋体" w:cs="Times New Roman"/>
          <w:highlight w:val="none"/>
          <w:vertAlign w:val="subscript"/>
        </w:rPr>
        <w:t>2</w:t>
      </w:r>
      <w:r>
        <w:rPr>
          <w:rFonts w:ascii="Times New Roman" w:hAnsi="Times New Roman" w:eastAsia="宋体" w:cs="Times New Roman"/>
          <w:highlight w:val="none"/>
        </w:rPr>
        <w:t>和NO</w:t>
      </w:r>
      <w:r>
        <w:rPr>
          <w:rFonts w:ascii="Times New Roman" w:hAnsi="Times New Roman" w:eastAsia="宋体" w:cs="Times New Roman"/>
          <w:highlight w:val="none"/>
          <w:vertAlign w:val="subscript"/>
        </w:rPr>
        <w:t>2</w:t>
      </w:r>
      <w:r>
        <w:rPr>
          <w:rFonts w:ascii="Times New Roman" w:hAnsi="Times New Roman" w:eastAsia="宋体" w:cs="Times New Roman"/>
          <w:highlight w:val="none"/>
        </w:rPr>
        <w:t>经叠加后保证率日平均质量浓度和年平均质量浓度均符合《环境空气质量标准》(GB3095-2012)中二级标准；本项目运营后排放的大气污染物不会突破项目所在地区的环境空气质量底线。</w:t>
      </w:r>
    </w:p>
    <w:p w14:paraId="62A251A0">
      <w:pPr>
        <w:ind w:firstLine="480"/>
        <w:rPr>
          <w:rFonts w:ascii="Times New Roman" w:hAnsi="Times New Roman" w:eastAsia="宋体" w:cs="Times New Roman"/>
          <w:highlight w:val="none"/>
        </w:rPr>
      </w:pPr>
      <w:r>
        <w:rPr>
          <w:rFonts w:ascii="Times New Roman" w:hAnsi="Times New Roman" w:eastAsia="宋体" w:cs="Times New Roman"/>
          <w:highlight w:val="none"/>
        </w:rPr>
        <w:t>本项目在平面布置设计过程中，尽量将高噪声设备远离居民区，生产设备尽量布置在封闭厂房内，同时生产设备采取严格的隔声减振措施，本项目建成后对周围居民噪声影响较小。</w:t>
      </w:r>
    </w:p>
    <w:p w14:paraId="696B4ECF">
      <w:pPr>
        <w:ind w:firstLine="480"/>
        <w:rPr>
          <w:rFonts w:ascii="Times New Roman" w:hAnsi="Times New Roman" w:eastAsia="宋体" w:cs="Times New Roman"/>
          <w:highlight w:val="none"/>
        </w:rPr>
      </w:pPr>
      <w:r>
        <w:rPr>
          <w:rFonts w:hint="eastAsia" w:ascii="Times New Roman" w:hAnsi="Times New Roman" w:eastAsia="宋体" w:cs="Times New Roman"/>
          <w:highlight w:val="none"/>
        </w:rPr>
        <w:t>本项目建设地点及规模符合《</w:t>
      </w:r>
      <w:r>
        <w:rPr>
          <w:rFonts w:hint="eastAsia" w:ascii="Times New Roman" w:hAnsi="Times New Roman" w:eastAsia="宋体" w:cs="Times New Roman"/>
          <w:highlight w:val="none"/>
          <w:lang w:val="en-US" w:eastAsia="zh-CN"/>
        </w:rPr>
        <w:t>绥芬河市集中供热规划</w:t>
      </w:r>
      <w:r>
        <w:rPr>
          <w:rFonts w:hint="eastAsia" w:ascii="Times New Roman" w:hAnsi="Times New Roman" w:eastAsia="宋体" w:cs="Times New Roman"/>
          <w:highlight w:val="none"/>
          <w:lang w:eastAsia="zh-CN"/>
        </w:rPr>
        <w:t>》（</w:t>
      </w:r>
      <w:r>
        <w:rPr>
          <w:rFonts w:hint="eastAsia" w:ascii="Times New Roman" w:hAnsi="Times New Roman" w:eastAsia="宋体" w:cs="Times New Roman"/>
          <w:highlight w:val="none"/>
          <w:lang w:val="en-US" w:eastAsia="zh-CN"/>
        </w:rPr>
        <w:t>2016-2030</w:t>
      </w:r>
      <w:r>
        <w:rPr>
          <w:rFonts w:hint="eastAsia" w:ascii="Times New Roman" w:hAnsi="Times New Roman" w:eastAsia="宋体" w:cs="Times New Roman"/>
          <w:highlight w:val="none"/>
          <w:lang w:eastAsia="zh-CN"/>
        </w:rPr>
        <w:t>）</w:t>
      </w:r>
      <w:r>
        <w:rPr>
          <w:rFonts w:hint="eastAsia" w:ascii="Times New Roman" w:hAnsi="Times New Roman" w:eastAsia="宋体" w:cs="Times New Roman"/>
          <w:highlight w:val="none"/>
        </w:rPr>
        <w:t>以及《</w:t>
      </w:r>
      <w:r>
        <w:rPr>
          <w:rFonts w:hint="eastAsia" w:ascii="Times New Roman" w:hAnsi="Times New Roman" w:eastAsia="宋体" w:cs="Times New Roman"/>
          <w:highlight w:val="none"/>
          <w:lang w:val="en-US" w:eastAsia="zh-CN"/>
        </w:rPr>
        <w:t>牡丹江市“十四五”生态环境保护规划</w:t>
      </w:r>
      <w:r>
        <w:rPr>
          <w:rFonts w:hint="eastAsia" w:ascii="Times New Roman" w:hAnsi="Times New Roman" w:eastAsia="宋体" w:cs="Times New Roman"/>
          <w:highlight w:val="none"/>
        </w:rPr>
        <w:t>》（2021-</w:t>
      </w:r>
      <w:r>
        <w:rPr>
          <w:rFonts w:hint="eastAsia" w:ascii="Times New Roman" w:hAnsi="Times New Roman" w:eastAsia="宋体" w:cs="Times New Roman"/>
          <w:highlight w:val="none"/>
          <w:lang w:val="en-US" w:eastAsia="zh-CN"/>
        </w:rPr>
        <w:t>2025</w:t>
      </w:r>
      <w:r>
        <w:rPr>
          <w:rFonts w:hint="eastAsia" w:ascii="Times New Roman" w:hAnsi="Times New Roman" w:eastAsia="宋体" w:cs="Times New Roman"/>
          <w:highlight w:val="none"/>
        </w:rPr>
        <w:t>》的相关要求。</w:t>
      </w:r>
    </w:p>
    <w:p w14:paraId="1CAA7222">
      <w:pPr>
        <w:ind w:firstLine="480"/>
        <w:rPr>
          <w:rFonts w:hint="default" w:ascii="Times New Roman" w:hAnsi="Times New Roman" w:eastAsia="宋体" w:cs="Times New Roman"/>
          <w:highlight w:val="none"/>
          <w:lang w:val="en-US" w:eastAsia="zh-CN"/>
        </w:rPr>
      </w:pPr>
      <w:r>
        <w:rPr>
          <w:rFonts w:ascii="Times New Roman" w:hAnsi="Times New Roman" w:eastAsia="宋体" w:cs="Times New Roman"/>
          <w:highlight w:val="none"/>
        </w:rPr>
        <w:t>综合分析，本项目选址从环境角度分析时可接受的，选址是合理的。</w:t>
      </w:r>
    </w:p>
    <w:p w14:paraId="374D0144">
      <w:pPr>
        <w:pStyle w:val="5"/>
        <w:spacing w:beforeLines="-2147483648" w:beforeAutospacing="0" w:afterLines="-2147483648" w:afterAutospacing="0" w:line="415" w:lineRule="auto"/>
        <w:ind w:firstLine="0" w:firstLineChars="0"/>
        <w:rPr>
          <w:rFonts w:ascii="Times New Roman" w:hAnsi="Times New Roman" w:eastAsia="宋体" w:cs="Times New Roman"/>
          <w:bCs/>
          <w:sz w:val="30"/>
          <w:szCs w:val="32"/>
          <w:highlight w:val="none"/>
        </w:rPr>
      </w:pPr>
      <w:bookmarkStart w:id="17" w:name="_Toc5546"/>
      <w:r>
        <w:rPr>
          <w:rFonts w:hint="eastAsia" w:ascii="Times New Roman" w:hAnsi="Times New Roman" w:eastAsia="宋体" w:cs="Times New Roman"/>
          <w:bCs/>
          <w:sz w:val="30"/>
          <w:szCs w:val="32"/>
          <w:highlight w:val="none"/>
          <w:lang w:val="en-US" w:eastAsia="zh-CN"/>
        </w:rPr>
        <w:t>1.4.4</w:t>
      </w:r>
      <w:r>
        <w:rPr>
          <w:rFonts w:ascii="Times New Roman" w:hAnsi="Times New Roman" w:eastAsia="宋体" w:cs="Times New Roman"/>
          <w:bCs/>
          <w:sz w:val="30"/>
          <w:szCs w:val="32"/>
          <w:highlight w:val="none"/>
        </w:rPr>
        <w:t>与《关于做好环境影响评价制度与排污许可制衔接相关工作的通知》符合性分析</w:t>
      </w:r>
      <w:bookmarkEnd w:id="17"/>
    </w:p>
    <w:p w14:paraId="5D396E70">
      <w:pPr>
        <w:ind w:firstLine="480"/>
        <w:rPr>
          <w:rFonts w:ascii="Times New Roman" w:hAnsi="Times New Roman"/>
          <w:highlight w:val="none"/>
        </w:rPr>
      </w:pPr>
      <w:r>
        <w:rPr>
          <w:rFonts w:ascii="Times New Roman" w:hAnsi="Times New Roman"/>
          <w:highlight w:val="none"/>
        </w:rPr>
        <w:t>《关于做好环境影响评价制度与排污许可制衔接相关工作的通知》（环办环评[2017]84号）要求，六、建设项目发生实际排污行为之前，排污单位应当按照国家环境保护相关法律法规以及排污许可证申请与核发技术规范要求申请排污许可证，不得无证排污或不按证排污。环境影响报告书（表）2015年1月1日（含）后获得批准的建设项目，其环境影响报告书（表）以及审批文件中与污染物排放相关的主要内容应当纳入排污许可证。建设项目无证排污或不按证排污的，建设单位不得出具该项目验收合格的意见，验收报告中与污染物排放相关的主要内容应当纳入该项目验收完成当年排污许可证执行年报。排污许可证执行报告、台账记录以及自行监测执行情况等应作为开展建设项目环境影响后评价的重要依据。</w:t>
      </w:r>
    </w:p>
    <w:p w14:paraId="51925E94">
      <w:pPr>
        <w:rPr>
          <w:rFonts w:ascii="Times New Roman" w:hAnsi="Times New Roman"/>
          <w:highlight w:val="none"/>
        </w:rPr>
      </w:pPr>
      <w:r>
        <w:rPr>
          <w:rFonts w:hint="eastAsia" w:ascii="Times New Roman" w:hAnsi="Times New Roman"/>
          <w:highlight w:val="none"/>
          <w:lang w:val="en-US" w:eastAsia="zh-CN"/>
        </w:rPr>
        <w:t>本项目为现状回顾性环评，</w:t>
      </w:r>
      <w:r>
        <w:rPr>
          <w:rFonts w:ascii="Times New Roman" w:hAnsi="Times New Roman"/>
          <w:highlight w:val="none"/>
        </w:rPr>
        <w:t>本项目已经申请</w:t>
      </w:r>
      <w:r>
        <w:rPr>
          <w:rFonts w:hint="eastAsia" w:ascii="Times New Roman" w:hAnsi="Times New Roman"/>
          <w:highlight w:val="none"/>
          <w:lang w:val="en-US" w:eastAsia="zh-CN"/>
        </w:rPr>
        <w:t>并取得</w:t>
      </w:r>
      <w:r>
        <w:rPr>
          <w:rFonts w:ascii="Times New Roman" w:hAnsi="Times New Roman"/>
          <w:highlight w:val="none"/>
        </w:rPr>
        <w:t>排污许可证，</w:t>
      </w:r>
      <w:r>
        <w:rPr>
          <w:rFonts w:hint="eastAsia" w:ascii="Times New Roman" w:hAnsi="Times New Roman"/>
          <w:highlight w:val="none"/>
          <w:lang w:val="en-US" w:eastAsia="zh-CN"/>
        </w:rPr>
        <w:t>并取得污染物排放总量</w:t>
      </w:r>
      <w:r>
        <w:rPr>
          <w:rFonts w:ascii="Times New Roman" w:hAnsi="Times New Roman"/>
          <w:highlight w:val="none"/>
        </w:rPr>
        <w:t>，符合《关于做好环境影响评价制度与排污许可制衔接相关工作的通知》（环办环评[2017]84号）的要求。</w:t>
      </w:r>
    </w:p>
    <w:p w14:paraId="7C6F7CCA">
      <w:pPr>
        <w:pStyle w:val="5"/>
        <w:spacing w:beforeLines="-2147483648" w:beforeAutospacing="0" w:afterLines="-2147483648" w:afterAutospacing="0" w:line="415" w:lineRule="auto"/>
        <w:ind w:firstLine="0" w:firstLineChars="0"/>
        <w:rPr>
          <w:rFonts w:hint="default" w:ascii="Times New Roman" w:hAnsi="Times New Roman" w:eastAsia="宋体" w:cs="Times New Roman"/>
          <w:bCs/>
          <w:sz w:val="30"/>
          <w:szCs w:val="32"/>
          <w:highlight w:val="none"/>
          <w:lang w:val="en-US" w:eastAsia="zh-CN"/>
        </w:rPr>
      </w:pPr>
      <w:bookmarkStart w:id="18" w:name="_Toc30549"/>
      <w:r>
        <w:rPr>
          <w:rFonts w:hint="eastAsia" w:ascii="Times New Roman" w:hAnsi="Times New Roman" w:eastAsia="宋体" w:cs="Times New Roman"/>
          <w:bCs/>
          <w:sz w:val="30"/>
          <w:szCs w:val="32"/>
          <w:highlight w:val="none"/>
          <w:lang w:val="en-US" w:eastAsia="zh-CN"/>
        </w:rPr>
        <w:t>1.4.5与《黑龙江省大气污染防治行动计划实施细则》符合性分析</w:t>
      </w:r>
      <w:bookmarkEnd w:id="18"/>
    </w:p>
    <w:p w14:paraId="5A2C6BFB">
      <w:pPr>
        <w:ind w:firstLine="480"/>
        <w:rPr>
          <w:rFonts w:ascii="Times New Roman" w:hAnsi="Times New Roman"/>
          <w:highlight w:val="none"/>
        </w:rPr>
      </w:pPr>
      <w:r>
        <w:rPr>
          <w:rFonts w:ascii="Times New Roman" w:hAnsi="Times New Roman"/>
          <w:highlight w:val="none"/>
        </w:rPr>
        <w:t>为认真贯彻落实《国务院关于印发大气污染防治行动计划的通知》（国发〔2013〕37号）要求，严控可吸入颗粒物（PM</w:t>
      </w:r>
      <w:r>
        <w:rPr>
          <w:rFonts w:ascii="Times New Roman" w:hAnsi="Times New Roman"/>
          <w:highlight w:val="none"/>
          <w:vertAlign w:val="subscript"/>
        </w:rPr>
        <w:t>10</w:t>
      </w:r>
      <w:r>
        <w:rPr>
          <w:rFonts w:ascii="Times New Roman" w:hAnsi="Times New Roman"/>
          <w:highlight w:val="none"/>
        </w:rPr>
        <w:t>）、细颗粒物（PM</w:t>
      </w:r>
      <w:r>
        <w:rPr>
          <w:rFonts w:ascii="Times New Roman" w:hAnsi="Times New Roman"/>
          <w:highlight w:val="none"/>
          <w:vertAlign w:val="subscript"/>
        </w:rPr>
        <w:t>2.5</w:t>
      </w:r>
      <w:r>
        <w:rPr>
          <w:rFonts w:ascii="Times New Roman" w:hAnsi="Times New Roman"/>
          <w:highlight w:val="none"/>
        </w:rPr>
        <w:t>）等主要大气污染物，严防雾霾等大气环境污染问题发生，进一步提升我省大气环境质量，结合我省实际，黑龙江省人民政府于2014年1月26日发布《黑龙江省大气污染防治行动计划实施细则》。</w:t>
      </w:r>
    </w:p>
    <w:p w14:paraId="25B9A456">
      <w:pPr>
        <w:ind w:firstLine="480"/>
        <w:rPr>
          <w:rFonts w:ascii="Times New Roman" w:hAnsi="Times New Roman"/>
          <w:highlight w:val="none"/>
        </w:rPr>
      </w:pPr>
      <w:r>
        <w:rPr>
          <w:rFonts w:ascii="Times New Roman" w:hAnsi="Times New Roman"/>
          <w:highlight w:val="none"/>
        </w:rPr>
        <w:t>细则中指出：“加大集中供热工程建设，淘汰分散燃煤小锅炉”；“从2014年起，禁止新建20蒸吨以下燃煤锅炉”；“大型堆场应建立密闭料仓与传送装置”；“除循环流化床锅炉以外的燃煤机组均应安装脱硝设施”；“加强对燃煤锅炉及窑炉等治理，规模在20蒸吨及以上的燃煤锅炉要实施烟气脱硫，确保达标排放”。</w:t>
      </w:r>
    </w:p>
    <w:p w14:paraId="44A2A41C">
      <w:pPr>
        <w:ind w:firstLine="480"/>
        <w:rPr>
          <w:rFonts w:ascii="Times New Roman" w:hAnsi="Times New Roman"/>
          <w:highlight w:val="none"/>
        </w:rPr>
      </w:pPr>
      <w:r>
        <w:rPr>
          <w:rFonts w:ascii="Times New Roman" w:hAnsi="Times New Roman"/>
          <w:highlight w:val="none"/>
        </w:rPr>
        <w:t>本项目可以有效替代部分区域内的分散燃煤供暖锅炉；符合“加大集中供热工程建设，淘汰分散燃煤小锅炉”；本项目建</w:t>
      </w:r>
      <w:r>
        <w:rPr>
          <w:rFonts w:hint="eastAsia" w:ascii="Times New Roman" w:hAnsi="Times New Roman"/>
          <w:highlight w:val="none"/>
          <w:lang w:val="en-US" w:eastAsia="zh-CN"/>
        </w:rPr>
        <w:t>设116MW+58MW热水锅炉和1台35t/h蒸汽锅炉共三台</w:t>
      </w:r>
      <w:r>
        <w:rPr>
          <w:rFonts w:ascii="Times New Roman" w:hAnsi="Times New Roman"/>
          <w:highlight w:val="none"/>
        </w:rPr>
        <w:t>，符合“从2014年起，禁止新建20蒸吨以下燃煤锅炉”要求；本项目建设全封闭</w:t>
      </w:r>
      <w:r>
        <w:rPr>
          <w:rFonts w:hint="eastAsia" w:ascii="Times New Roman" w:hAnsi="Times New Roman"/>
          <w:highlight w:val="none"/>
        </w:rPr>
        <w:t>煤库</w:t>
      </w:r>
      <w:r>
        <w:rPr>
          <w:rFonts w:ascii="Times New Roman" w:hAnsi="Times New Roman"/>
          <w:highlight w:val="none"/>
        </w:rPr>
        <w:t>，输煤系统采用全封闭结构，符合“大型堆场应建立密闭料仓与传送装置”的要求；本项目采用</w:t>
      </w:r>
      <w:r>
        <w:rPr>
          <w:rFonts w:ascii="Times New Roman" w:hAnsi="Times New Roman"/>
          <w:szCs w:val="24"/>
          <w:highlight w:val="none"/>
        </w:rPr>
        <w:t>低氮燃烧+SNCR-SCR联合脱硝（尿素）+</w:t>
      </w:r>
      <w:r>
        <w:rPr>
          <w:rFonts w:ascii="Times New Roman" w:hAnsi="Times New Roman"/>
          <w:kern w:val="0"/>
          <w:szCs w:val="24"/>
          <w:highlight w:val="none"/>
          <w:lang w:val="de-DE"/>
        </w:rPr>
        <w:t>布袋除尘器</w:t>
      </w:r>
      <w:r>
        <w:rPr>
          <w:rFonts w:ascii="Times New Roman" w:hAnsi="Times New Roman"/>
          <w:kern w:val="0"/>
          <w:szCs w:val="24"/>
          <w:highlight w:val="none"/>
        </w:rPr>
        <w:t>+</w:t>
      </w:r>
      <w:r>
        <w:rPr>
          <w:rFonts w:ascii="Times New Roman" w:hAnsi="Times New Roman"/>
          <w:szCs w:val="24"/>
          <w:highlight w:val="none"/>
        </w:rPr>
        <w:t>石灰石–石膏湿法</w:t>
      </w:r>
      <w:r>
        <w:rPr>
          <w:rFonts w:ascii="Times New Roman" w:hAnsi="Times New Roman"/>
          <w:highlight w:val="none"/>
        </w:rPr>
        <w:t>对锅炉烟气进行净化处理，符合“加强对燃煤锅炉及窑炉等治理，规模在20蒸吨及以上的燃煤锅炉要实施烟气脱硫，确保达标排放”的要求。</w:t>
      </w:r>
    </w:p>
    <w:p w14:paraId="4E9998C5">
      <w:pPr>
        <w:ind w:firstLine="480"/>
        <w:rPr>
          <w:rFonts w:ascii="Times New Roman" w:hAnsi="Times New Roman"/>
          <w:highlight w:val="none"/>
        </w:rPr>
      </w:pPr>
      <w:r>
        <w:rPr>
          <w:rFonts w:ascii="Times New Roman" w:hAnsi="Times New Roman"/>
          <w:highlight w:val="none"/>
        </w:rPr>
        <w:t>因此，本项目的建立符合《黑龙江省大气污染防治行动计划实施细则》的相关要求。</w:t>
      </w:r>
    </w:p>
    <w:p w14:paraId="705E53EA">
      <w:pPr>
        <w:pStyle w:val="5"/>
        <w:spacing w:beforeLines="-2147483648" w:beforeAutospacing="0" w:afterLines="-2147483648" w:afterAutospacing="0" w:line="415" w:lineRule="auto"/>
        <w:ind w:firstLine="0" w:firstLineChars="0"/>
        <w:rPr>
          <w:rFonts w:hint="eastAsia" w:ascii="Times New Roman" w:hAnsi="Times New Roman" w:eastAsia="宋体"/>
          <w:highlight w:val="none"/>
          <w:lang w:val="en-US" w:eastAsia="zh-CN"/>
        </w:rPr>
      </w:pPr>
      <w:bookmarkStart w:id="19" w:name="_Toc1730"/>
      <w:r>
        <w:rPr>
          <w:rFonts w:hint="default" w:ascii="Times New Roman" w:hAnsi="Times New Roman" w:eastAsia="宋体" w:cs="Times New Roman"/>
          <w:bCs/>
          <w:sz w:val="30"/>
          <w:szCs w:val="32"/>
          <w:highlight w:val="none"/>
          <w:lang w:val="en-US" w:eastAsia="zh-CN"/>
        </w:rPr>
        <w:t>1.4.</w:t>
      </w:r>
      <w:r>
        <w:rPr>
          <w:rFonts w:hint="eastAsia" w:ascii="Times New Roman" w:hAnsi="Times New Roman" w:eastAsia="宋体" w:cs="Times New Roman"/>
          <w:bCs/>
          <w:sz w:val="30"/>
          <w:szCs w:val="32"/>
          <w:highlight w:val="none"/>
          <w:lang w:val="en-US" w:eastAsia="zh-CN"/>
        </w:rPr>
        <w:t>6与《黑龙江省大气污染防治条例》符合性分析</w:t>
      </w:r>
      <w:bookmarkEnd w:id="19"/>
    </w:p>
    <w:p w14:paraId="5CDF6BF2">
      <w:pPr>
        <w:ind w:firstLine="480"/>
        <w:rPr>
          <w:rFonts w:ascii="Times New Roman" w:hAnsi="Times New Roman"/>
          <w:highlight w:val="none"/>
        </w:rPr>
      </w:pPr>
      <w:r>
        <w:rPr>
          <w:rFonts w:ascii="Times New Roman" w:hAnsi="Times New Roman"/>
          <w:highlight w:val="none"/>
        </w:rPr>
        <w:t>《黑龙江省大气污染防治条例》中规定：“第六条，企业事业单位和其他生产经营者应当采取有效措施，防止和减少大气污染，对所造成的损害依法承担责任。第十一条，向大气排放污染物的企业事业单位和其他生产经营者，应当配套建设大气污染防治设施，配套建设的大气污染防治设施，应当与主体工程同时设计、同时施工、同时投产使用，不得擅自拆除或者闲置。第三十二条，燃煤电厂、燃煤供热锅炉以及其他燃煤单位，应当采用清洁生产工艺，配套建设除尘、脱硫、脱硝等装置或者采用技术改造等措施，减少大气污染物的产生和排放，排放的大气污染物应当达到规定标准。第三十三条，设区的市级城市建成区内，禁止新建额定蒸发量低于每小时二十吨或者额定功率低于十四兆瓦的燃煤锅炉，已经建成的额定蒸发量每小时十吨以下或者额定功率七兆瓦以下的燃煤锅炉，应当在国家规定的期限内淘汰。国家对新建和淘汰燃煤锅炉另有规定的，从其规定”。</w:t>
      </w:r>
    </w:p>
    <w:p w14:paraId="5E4FD907">
      <w:pPr>
        <w:rPr>
          <w:rFonts w:ascii="Times New Roman" w:hAnsi="Times New Roman"/>
          <w:highlight w:val="none"/>
        </w:rPr>
      </w:pPr>
      <w:r>
        <w:rPr>
          <w:rFonts w:ascii="Times New Roman" w:hAnsi="Times New Roman"/>
          <w:highlight w:val="none"/>
        </w:rPr>
        <w:t>本项目建</w:t>
      </w:r>
      <w:r>
        <w:rPr>
          <w:rFonts w:hint="eastAsia" w:ascii="Times New Roman" w:hAnsi="Times New Roman"/>
          <w:highlight w:val="none"/>
          <w:lang w:val="en-US" w:eastAsia="zh-CN"/>
        </w:rPr>
        <w:t>设116MW+58MW热水锅炉和1台35t/h蒸汽锅炉共三台</w:t>
      </w:r>
      <w:r>
        <w:rPr>
          <w:rFonts w:ascii="Times New Roman" w:hAnsi="Times New Roman"/>
          <w:highlight w:val="none"/>
        </w:rPr>
        <w:t>，采用</w:t>
      </w:r>
      <w:r>
        <w:rPr>
          <w:rFonts w:ascii="Times New Roman" w:hAnsi="Times New Roman"/>
          <w:szCs w:val="24"/>
          <w:highlight w:val="none"/>
        </w:rPr>
        <w:t>低氮燃烧+SNCR-SCR联合脱硝（尿素）+</w:t>
      </w:r>
      <w:r>
        <w:rPr>
          <w:rFonts w:ascii="Times New Roman" w:hAnsi="Times New Roman"/>
          <w:kern w:val="0"/>
          <w:szCs w:val="24"/>
          <w:highlight w:val="none"/>
          <w:lang w:val="de-DE"/>
        </w:rPr>
        <w:t>布袋除尘器</w:t>
      </w:r>
      <w:r>
        <w:rPr>
          <w:rFonts w:ascii="Times New Roman" w:hAnsi="Times New Roman"/>
          <w:kern w:val="0"/>
          <w:szCs w:val="24"/>
          <w:highlight w:val="none"/>
        </w:rPr>
        <w:t>+</w:t>
      </w:r>
      <w:r>
        <w:rPr>
          <w:rFonts w:ascii="Times New Roman" w:hAnsi="Times New Roman"/>
          <w:szCs w:val="24"/>
          <w:highlight w:val="none"/>
        </w:rPr>
        <w:t>石灰石–石膏湿法</w:t>
      </w:r>
      <w:r>
        <w:rPr>
          <w:rFonts w:ascii="Times New Roman" w:hAnsi="Times New Roman"/>
          <w:highlight w:val="none"/>
        </w:rPr>
        <w:t>对锅炉烟气进行净化处理，符合《黑龙江省大气污染防治条例》的相关要求。</w:t>
      </w:r>
    </w:p>
    <w:p w14:paraId="3B1E780B">
      <w:pPr>
        <w:pStyle w:val="5"/>
        <w:spacing w:beforeLines="-2147483648" w:beforeAutospacing="0" w:afterLines="-2147483648" w:afterAutospacing="0" w:line="415" w:lineRule="auto"/>
        <w:ind w:firstLine="0" w:firstLineChars="0"/>
        <w:rPr>
          <w:rFonts w:hint="default"/>
          <w:highlight w:val="none"/>
          <w:lang w:val="en-US" w:eastAsia="zh-CN"/>
        </w:rPr>
      </w:pPr>
      <w:bookmarkStart w:id="20" w:name="_Toc2723"/>
      <w:r>
        <w:rPr>
          <w:rFonts w:hint="eastAsia" w:ascii="Times New Roman" w:hAnsi="Times New Roman" w:eastAsia="宋体" w:cs="Times New Roman"/>
          <w:bCs/>
          <w:sz w:val="30"/>
          <w:szCs w:val="32"/>
          <w:highlight w:val="none"/>
          <w:lang w:val="en-US" w:eastAsia="zh-CN"/>
        </w:rPr>
        <w:t>1.4.7与《黑龙江省人民政府关于全面加强生态环境保护坚决打好污染防治攻坚战的实施意见》（2018年9月14日）符合性分析</w:t>
      </w:r>
      <w:bookmarkEnd w:id="20"/>
    </w:p>
    <w:p w14:paraId="1D3FE9B7">
      <w:pPr>
        <w:ind w:firstLine="480"/>
        <w:rPr>
          <w:rFonts w:ascii="Times New Roman" w:hAnsi="Times New Roman"/>
          <w:highlight w:val="none"/>
        </w:rPr>
      </w:pPr>
      <w:r>
        <w:rPr>
          <w:rFonts w:ascii="Times New Roman" w:hAnsi="Times New Roman"/>
          <w:highlight w:val="none"/>
        </w:rPr>
        <w:t>根据《实施意见》：三、坚决打好蓝天保卫战（八）实施工业企业大气污染综合治理。强化工业企业无组织排放管理，推进挥发性有机物排放综合整治，到2020年，挥发性有机物排放总量累计削减960吨以上。加快钢铁、石化、建材等行业无组织排放治理，扩大燃煤电厂(含自备电站)超低排放改造范围。2018年年底前，完成单机容量30万千瓦燃煤电厂改造；2019年年底前，齐齐哈尔、牡丹江等市完成13台单机容量20万千瓦燃煤电厂改造；到2020年，具备改造条件的燃煤电厂全部完成超低排放改造。推动钢铁行业超低排放改造。哈尔滨市加大高污染、高耗能产业产能压减力度，2019年1月1日起实施火电厂和锅炉大气污染物特别排放限值。实施工业污染源全面达标排放计划，2018年年底前，完成纳入排污许可证管理固定工业污染源污染物排放情况评估，重点排污单位全部安装自动监控设备并同生态环境主管部门联网，依法公开排污信息。具备安装条件的其他工业污染源企业要依法、依规安装和运行污染源自动监控设备。到2020年，各类工业污染源持续保持污染物达标排放，全省污染物排放总量持续下降。</w:t>
      </w:r>
    </w:p>
    <w:p w14:paraId="567346AF">
      <w:pPr>
        <w:ind w:firstLine="480"/>
        <w:rPr>
          <w:rFonts w:ascii="Times New Roman" w:hAnsi="Times New Roman"/>
          <w:highlight w:val="none"/>
        </w:rPr>
      </w:pPr>
      <w:r>
        <w:rPr>
          <w:rFonts w:ascii="Times New Roman" w:hAnsi="Times New Roman"/>
          <w:highlight w:val="none"/>
        </w:rPr>
        <w:t>符合性分析：本项目建</w:t>
      </w:r>
      <w:r>
        <w:rPr>
          <w:rFonts w:hint="eastAsia" w:ascii="Times New Roman" w:hAnsi="Times New Roman"/>
          <w:highlight w:val="none"/>
          <w:lang w:val="en-US" w:eastAsia="zh-CN"/>
        </w:rPr>
        <w:t>设116MW+58MW热水锅炉和1台35t/h蒸汽锅炉共三台</w:t>
      </w:r>
      <w:r>
        <w:rPr>
          <w:rFonts w:ascii="Times New Roman" w:hAnsi="Times New Roman"/>
          <w:iCs/>
          <w:highlight w:val="none"/>
        </w:rPr>
        <w:t>，</w:t>
      </w:r>
      <w:r>
        <w:rPr>
          <w:rFonts w:ascii="Times New Roman" w:hAnsi="Times New Roman"/>
          <w:kern w:val="0"/>
          <w:szCs w:val="24"/>
          <w:highlight w:val="none"/>
        </w:rPr>
        <w:t>锅炉产生的锅炉烟气均采用</w:t>
      </w:r>
      <w:r>
        <w:rPr>
          <w:rFonts w:ascii="Times New Roman" w:hAnsi="Times New Roman"/>
          <w:szCs w:val="24"/>
          <w:highlight w:val="none"/>
        </w:rPr>
        <w:t>低氮燃烧+SNCR-SCR联合脱硝（尿素）+</w:t>
      </w:r>
      <w:r>
        <w:rPr>
          <w:rFonts w:ascii="Times New Roman" w:hAnsi="Times New Roman"/>
          <w:kern w:val="0"/>
          <w:szCs w:val="24"/>
          <w:highlight w:val="none"/>
          <w:lang w:val="de-DE"/>
        </w:rPr>
        <w:t>布袋除尘器</w:t>
      </w:r>
      <w:r>
        <w:rPr>
          <w:rFonts w:ascii="Times New Roman" w:hAnsi="Times New Roman"/>
          <w:kern w:val="0"/>
          <w:szCs w:val="24"/>
          <w:highlight w:val="none"/>
        </w:rPr>
        <w:t>后进行</w:t>
      </w:r>
      <w:r>
        <w:rPr>
          <w:rFonts w:ascii="Times New Roman" w:hAnsi="Times New Roman"/>
          <w:szCs w:val="24"/>
          <w:highlight w:val="none"/>
        </w:rPr>
        <w:t>石灰石–石膏湿法烟气脱硫</w:t>
      </w:r>
      <w:r>
        <w:rPr>
          <w:rFonts w:ascii="Times New Roman" w:hAnsi="Times New Roman"/>
          <w:szCs w:val="24"/>
          <w:highlight w:val="none"/>
        </w:rPr>
        <w:t>（3炉</w:t>
      </w:r>
      <w:r>
        <w:rPr>
          <w:rFonts w:hint="eastAsia" w:ascii="Times New Roman" w:hAnsi="Times New Roman"/>
          <w:szCs w:val="24"/>
          <w:highlight w:val="none"/>
          <w:lang w:val="en-US" w:eastAsia="zh-CN"/>
        </w:rPr>
        <w:t>1</w:t>
      </w:r>
      <w:r>
        <w:rPr>
          <w:rFonts w:ascii="Times New Roman" w:hAnsi="Times New Roman"/>
          <w:szCs w:val="24"/>
          <w:highlight w:val="none"/>
        </w:rPr>
        <w:t>塔），</w:t>
      </w:r>
      <w:r>
        <w:rPr>
          <w:rFonts w:ascii="Times New Roman" w:hAnsi="Times New Roman"/>
          <w:highlight w:val="none"/>
        </w:rPr>
        <w:t>3</w:t>
      </w:r>
      <w:r>
        <w:rPr>
          <w:rFonts w:ascii="Times New Roman" w:hAnsi="Times New Roman"/>
          <w:highlight w:val="none"/>
        </w:rPr>
        <w:t>台锅炉烟气共用1座</w:t>
      </w:r>
      <w:r>
        <w:rPr>
          <w:rFonts w:hint="eastAsia" w:ascii="Times New Roman" w:hAnsi="Times New Roman"/>
          <w:highlight w:val="none"/>
          <w:lang w:val="en-US" w:eastAsia="zh-CN"/>
        </w:rPr>
        <w:t>60</w:t>
      </w:r>
      <w:r>
        <w:rPr>
          <w:rFonts w:ascii="Times New Roman" w:hAnsi="Times New Roman"/>
          <w:highlight w:val="none"/>
        </w:rPr>
        <w:t>米高烟囱排放，建设烟气在线监测系统，有组织烟气中污染物排放浓度满足超低排放限值要求。项目设置石灰石粉仓及中转的灰仓和渣仓，不设置永久灰渣场，灰仓、</w:t>
      </w:r>
      <w:r>
        <w:rPr>
          <w:rFonts w:hint="eastAsia" w:ascii="Times New Roman" w:hAnsi="Times New Roman"/>
          <w:highlight w:val="none"/>
          <w:lang w:val="en-US" w:eastAsia="zh-CN"/>
        </w:rPr>
        <w:t>渣仓、</w:t>
      </w:r>
      <w:r>
        <w:rPr>
          <w:rFonts w:ascii="Times New Roman" w:hAnsi="Times New Roman"/>
          <w:highlight w:val="none"/>
        </w:rPr>
        <w:t>石灰石粉仓的仓顶分别设置脉冲除尘器回收粉尘</w:t>
      </w:r>
      <w:r>
        <w:rPr>
          <w:rFonts w:hint="eastAsia" w:ascii="Times New Roman" w:hAnsi="Times New Roman"/>
          <w:highlight w:val="none"/>
          <w:lang w:eastAsia="zh-CN"/>
        </w:rPr>
        <w:t>，</w:t>
      </w:r>
      <w:r>
        <w:rPr>
          <w:rFonts w:hint="eastAsia" w:ascii="Times New Roman" w:hAnsi="Times New Roman"/>
          <w:highlight w:val="none"/>
          <w:lang w:val="en-US" w:eastAsia="zh-CN"/>
        </w:rPr>
        <w:t>碎煤机室分别设置布袋除尘器回收粉尘后经15m高排气筒排放，本项目储煤场周围设有防风抑尘网并加盖苫布，</w:t>
      </w:r>
      <w:r>
        <w:rPr>
          <w:rFonts w:ascii="Times New Roman" w:hAnsi="Times New Roman"/>
          <w:highlight w:val="none"/>
        </w:rPr>
        <w:t>无组织排放</w:t>
      </w:r>
      <w:r>
        <w:rPr>
          <w:rFonts w:hint="eastAsia" w:ascii="Times New Roman" w:hAnsi="Times New Roman"/>
          <w:highlight w:val="none"/>
        </w:rPr>
        <w:t>颗粒物</w:t>
      </w:r>
      <w:r>
        <w:rPr>
          <w:rFonts w:ascii="Times New Roman" w:hAnsi="Times New Roman"/>
          <w:highlight w:val="none"/>
        </w:rPr>
        <w:t>厂界</w:t>
      </w:r>
      <w:r>
        <w:rPr>
          <w:rFonts w:hint="eastAsia" w:ascii="Times New Roman" w:hAnsi="Times New Roman"/>
          <w:highlight w:val="none"/>
          <w:lang w:val="en-US" w:eastAsia="zh-CN"/>
        </w:rPr>
        <w:t>处</w:t>
      </w:r>
      <w:r>
        <w:rPr>
          <w:rFonts w:ascii="Times New Roman" w:hAnsi="Times New Roman"/>
          <w:highlight w:val="none"/>
        </w:rPr>
        <w:t>满足《大气污染物综合排放标准》(GB16297-1996）表2中无组织排放监控浓度限值。</w:t>
      </w:r>
    </w:p>
    <w:p w14:paraId="00D7CBFF">
      <w:pPr>
        <w:ind w:firstLine="480"/>
        <w:rPr>
          <w:rFonts w:ascii="Times New Roman" w:hAnsi="Times New Roman"/>
          <w:highlight w:val="none"/>
        </w:rPr>
      </w:pPr>
      <w:r>
        <w:rPr>
          <w:rFonts w:ascii="Times New Roman" w:hAnsi="Times New Roman"/>
          <w:highlight w:val="none"/>
        </w:rPr>
        <w:t>因此，本项目的建立符合《黑龙江省人民政府关于全面加强生态环境保护坚决打好污染防治攻坚战的实施意见》（2018年9月14日）</w:t>
      </w:r>
      <w:r>
        <w:rPr>
          <w:rFonts w:hint="eastAsia" w:ascii="Times New Roman" w:hAnsi="Times New Roman"/>
          <w:highlight w:val="none"/>
        </w:rPr>
        <w:t>。</w:t>
      </w:r>
    </w:p>
    <w:p w14:paraId="236BBFA6">
      <w:pPr>
        <w:pStyle w:val="5"/>
        <w:spacing w:beforeLines="-2147483648" w:beforeAutospacing="0" w:afterLines="-2147483648" w:afterAutospacing="0" w:line="415" w:lineRule="auto"/>
        <w:ind w:firstLine="0" w:firstLineChars="0"/>
        <w:rPr>
          <w:rFonts w:hint="eastAsia" w:ascii="Times New Roman" w:hAnsi="Times New Roman" w:eastAsia="宋体" w:cs="Times New Roman"/>
          <w:bCs/>
          <w:sz w:val="30"/>
          <w:szCs w:val="32"/>
          <w:highlight w:val="none"/>
          <w:lang w:val="en-US" w:eastAsia="zh-CN"/>
        </w:rPr>
      </w:pPr>
      <w:bookmarkStart w:id="21" w:name="_Toc14902"/>
      <w:r>
        <w:rPr>
          <w:rFonts w:hint="eastAsia" w:ascii="Times New Roman" w:hAnsi="Times New Roman" w:eastAsia="宋体" w:cs="Times New Roman"/>
          <w:bCs/>
          <w:sz w:val="30"/>
          <w:szCs w:val="32"/>
          <w:highlight w:val="none"/>
          <w:lang w:val="en-US" w:eastAsia="zh-CN"/>
        </w:rPr>
        <w:t>1.4.8与《商品煤质量管理暂行办法》的符合性分析</w:t>
      </w:r>
      <w:bookmarkEnd w:id="21"/>
    </w:p>
    <w:p w14:paraId="4853675F">
      <w:pPr>
        <w:ind w:firstLine="480"/>
        <w:rPr>
          <w:rFonts w:ascii="Times New Roman" w:hAnsi="Times New Roman"/>
          <w:highlight w:val="none"/>
        </w:rPr>
      </w:pPr>
      <w:r>
        <w:rPr>
          <w:rFonts w:ascii="Times New Roman" w:hAnsi="Times New Roman"/>
          <w:highlight w:val="none"/>
        </w:rPr>
        <w:t>根据《商品煤质量管理暂行办法》（2015年9月3日发布，2015年1月1日起施行）中：“第六条 商品煤应当满足下列基本要求：（一）灰分（Ad）褐煤≤30%，其它煤种≤40%；（二）硫分（St,d）褐煤≤1.5%，其它煤种≤3%；（三）其它指标汞（Hgd）≤0.6µg/g。第七条 在中国境内远距离运输（运距超过 600 公里）的商品煤除在满足第六条要求外，还应当同时满足下列要求：（一）褐煤 发热量（Qnet,ar）≥16.5MJ/kg，灰分（Ad）≤20%，硫分（St,d）≤1%。（二）其它煤种发热量（Qnet,ar）≥18MJ/kg，灰分（Ad）≤30%，硫分（St,d）≤2%。”</w:t>
      </w:r>
    </w:p>
    <w:p w14:paraId="78B1A7B4">
      <w:pPr>
        <w:rPr>
          <w:rFonts w:ascii="Times New Roman" w:hAnsi="Times New Roman"/>
          <w:highlight w:val="none"/>
        </w:rPr>
      </w:pPr>
      <w:r>
        <w:rPr>
          <w:rFonts w:ascii="Times New Roman" w:hAnsi="Times New Roman"/>
          <w:highlight w:val="none"/>
        </w:rPr>
        <w:t>办法符合性分析：</w:t>
      </w:r>
      <w:r>
        <w:rPr>
          <w:rFonts w:hint="eastAsia" w:ascii="Times New Roman" w:hAnsi="Times New Roman"/>
          <w:highlight w:val="none"/>
          <w:lang w:val="en-US" w:eastAsia="zh-CN"/>
        </w:rPr>
        <w:t>本项目褐煤来源于鸡西市，距离本项目约100公里，因此</w:t>
      </w:r>
      <w:r>
        <w:rPr>
          <w:rFonts w:ascii="Times New Roman" w:hAnsi="Times New Roman"/>
          <w:highlight w:val="none"/>
        </w:rPr>
        <w:t>本项目</w:t>
      </w:r>
      <w:r>
        <w:rPr>
          <w:rFonts w:hint="eastAsia" w:ascii="Times New Roman" w:hAnsi="Times New Roman"/>
          <w:highlight w:val="none"/>
        </w:rPr>
        <w:t>在中国境内远距离运输运距不超过 600 公里</w:t>
      </w:r>
      <w:r>
        <w:rPr>
          <w:rFonts w:hint="eastAsia" w:ascii="Times New Roman" w:hAnsi="Times New Roman"/>
          <w:highlight w:val="none"/>
          <w:lang w:eastAsia="zh-CN"/>
        </w:rPr>
        <w:t>。</w:t>
      </w:r>
      <w:r>
        <w:rPr>
          <w:rFonts w:ascii="Times New Roman" w:hAnsi="Times New Roman"/>
          <w:highlight w:val="none"/>
        </w:rPr>
        <w:t>根据煤质</w:t>
      </w:r>
      <w:r>
        <w:rPr>
          <w:rFonts w:ascii="Times New Roman" w:hAnsi="Times New Roman"/>
          <w:highlight w:val="none"/>
        </w:rPr>
        <w:t>分析报告可知，本</w:t>
      </w:r>
      <w:r>
        <w:rPr>
          <w:rFonts w:hint="eastAsia" w:ascii="Times New Roman" w:hAnsi="Times New Roman"/>
          <w:highlight w:val="none"/>
        </w:rPr>
        <w:t>项目采用</w:t>
      </w:r>
      <w:r>
        <w:rPr>
          <w:rFonts w:hint="eastAsia" w:ascii="Times New Roman" w:hAnsi="Times New Roman"/>
          <w:highlight w:val="none"/>
          <w:lang w:val="en-US" w:eastAsia="zh-CN"/>
        </w:rPr>
        <w:t>烟</w:t>
      </w:r>
      <w:r>
        <w:rPr>
          <w:rFonts w:hint="eastAsia" w:ascii="Times New Roman" w:hAnsi="Times New Roman"/>
          <w:iCs/>
          <w:highlight w:val="none"/>
        </w:rPr>
        <w:t>煤</w:t>
      </w:r>
      <w:r>
        <w:rPr>
          <w:rFonts w:hint="eastAsia" w:ascii="Times New Roman" w:hAnsi="Times New Roman"/>
          <w:iCs/>
          <w:highlight w:val="none"/>
          <w:lang w:eastAsia="zh-CN"/>
        </w:rPr>
        <w:t>，</w:t>
      </w:r>
      <w:r>
        <w:rPr>
          <w:rFonts w:hint="eastAsia" w:ascii="Times New Roman" w:hAnsi="Times New Roman"/>
          <w:iCs/>
          <w:highlight w:val="none"/>
          <w:lang w:val="en-US" w:eastAsia="zh-CN"/>
        </w:rPr>
        <w:t>发热量</w:t>
      </w:r>
      <w:r>
        <w:rPr>
          <w:rFonts w:ascii="Times New Roman" w:hAnsi="Times New Roman"/>
          <w:highlight w:val="none"/>
        </w:rPr>
        <w:t>（Qnet,ar）</w:t>
      </w:r>
      <w:r>
        <w:rPr>
          <w:rFonts w:hint="eastAsia" w:ascii="Times New Roman" w:hAnsi="Times New Roman"/>
          <w:highlight w:val="none"/>
          <w:lang w:val="en-US" w:eastAsia="zh-CN"/>
        </w:rPr>
        <w:t>=19.44</w:t>
      </w:r>
      <w:r>
        <w:rPr>
          <w:rFonts w:ascii="Times New Roman" w:hAnsi="Times New Roman"/>
          <w:highlight w:val="none"/>
        </w:rPr>
        <w:t>MJ/kg</w:t>
      </w:r>
      <w:r>
        <w:rPr>
          <w:rFonts w:hint="eastAsia" w:ascii="Times New Roman" w:hAnsi="Times New Roman"/>
          <w:highlight w:val="none"/>
          <w:lang w:eastAsia="zh-CN"/>
        </w:rPr>
        <w:t>，</w:t>
      </w:r>
      <w:r>
        <w:rPr>
          <w:rFonts w:ascii="Times New Roman" w:hAnsi="Times New Roman"/>
          <w:highlight w:val="none"/>
        </w:rPr>
        <w:t>灰分（Ad）</w:t>
      </w:r>
      <w:r>
        <w:rPr>
          <w:rFonts w:hint="eastAsia" w:ascii="Times New Roman" w:hAnsi="Times New Roman"/>
          <w:highlight w:val="none"/>
          <w:lang w:val="en-US" w:eastAsia="zh-CN"/>
        </w:rPr>
        <w:t>=33.71%，</w:t>
      </w:r>
      <w:r>
        <w:rPr>
          <w:rFonts w:ascii="Times New Roman" w:hAnsi="Times New Roman"/>
          <w:highlight w:val="none"/>
        </w:rPr>
        <w:t>硫分（St,d）</w:t>
      </w:r>
      <w:r>
        <w:rPr>
          <w:rFonts w:hint="eastAsia" w:ascii="Times New Roman" w:hAnsi="Times New Roman"/>
          <w:highlight w:val="none"/>
          <w:lang w:val="en-US" w:eastAsia="zh-CN"/>
        </w:rPr>
        <w:t>=0.21%，</w:t>
      </w:r>
      <w:r>
        <w:rPr>
          <w:rFonts w:ascii="Times New Roman" w:hAnsi="Times New Roman"/>
          <w:highlight w:val="none"/>
        </w:rPr>
        <w:t>其它指标汞（Hgd</w:t>
      </w:r>
      <w:r>
        <w:rPr>
          <w:rFonts w:hint="eastAsia" w:ascii="Times New Roman" w:hAnsi="Times New Roman"/>
          <w:highlight w:val="none"/>
          <w:lang w:eastAsia="zh-CN"/>
        </w:rPr>
        <w:t>）</w:t>
      </w:r>
      <w:r>
        <w:rPr>
          <w:rFonts w:hint="eastAsia" w:ascii="Times New Roman" w:hAnsi="Times New Roman"/>
          <w:highlight w:val="none"/>
          <w:lang w:val="en-US" w:eastAsia="zh-CN"/>
        </w:rPr>
        <w:t>=0.238</w:t>
      </w:r>
      <w:r>
        <w:rPr>
          <w:rFonts w:ascii="Times New Roman" w:hAnsi="Times New Roman"/>
          <w:highlight w:val="none"/>
        </w:rPr>
        <w:t>µg/g，</w:t>
      </w:r>
      <w:r>
        <w:rPr>
          <w:rFonts w:hint="eastAsia" w:ascii="Times New Roman" w:hAnsi="Times New Roman"/>
          <w:highlight w:val="none"/>
          <w:lang w:val="en-US" w:eastAsia="zh-CN"/>
        </w:rPr>
        <w:t>因此</w:t>
      </w:r>
      <w:r>
        <w:rPr>
          <w:rFonts w:ascii="Times New Roman" w:hAnsi="Times New Roman"/>
          <w:highlight w:val="none"/>
        </w:rPr>
        <w:t>本项目燃用煤质成分符合《商品煤质量管理暂行办法》要求。</w:t>
      </w:r>
    </w:p>
    <w:p w14:paraId="468E5A9C">
      <w:pPr>
        <w:pStyle w:val="5"/>
        <w:spacing w:beforeLines="-2147483648" w:beforeAutospacing="0" w:afterLines="-2147483648" w:afterAutospacing="0" w:line="415" w:lineRule="auto"/>
        <w:ind w:firstLine="0" w:firstLineChars="0"/>
        <w:rPr>
          <w:rFonts w:hint="eastAsia" w:ascii="Times New Roman" w:hAnsi="Times New Roman" w:eastAsia="宋体" w:cs="Times New Roman"/>
          <w:bCs/>
          <w:sz w:val="30"/>
          <w:szCs w:val="32"/>
          <w:highlight w:val="none"/>
          <w:lang w:val="en-US" w:eastAsia="zh-CN"/>
        </w:rPr>
      </w:pPr>
      <w:bookmarkStart w:id="22" w:name="_Toc17611"/>
      <w:r>
        <w:rPr>
          <w:rFonts w:hint="eastAsia" w:ascii="Times New Roman" w:hAnsi="Times New Roman" w:eastAsia="宋体" w:cs="Times New Roman"/>
          <w:bCs/>
          <w:sz w:val="30"/>
          <w:szCs w:val="32"/>
          <w:highlight w:val="none"/>
          <w:lang w:val="en-US" w:eastAsia="zh-CN"/>
        </w:rPr>
        <w:t>1.4.9与《环境空气细颗粒物污染物污染综合防治技术政策》符合性分析</w:t>
      </w:r>
      <w:bookmarkEnd w:id="22"/>
    </w:p>
    <w:p w14:paraId="55EFBCD8">
      <w:pPr>
        <w:ind w:firstLine="480"/>
        <w:rPr>
          <w:rFonts w:ascii="Times New Roman" w:hAnsi="Times New Roman"/>
          <w:highlight w:val="none"/>
        </w:rPr>
      </w:pPr>
      <w:r>
        <w:rPr>
          <w:rFonts w:ascii="Times New Roman" w:hAnsi="Times New Roman"/>
          <w:highlight w:val="none"/>
        </w:rPr>
        <w:t>根据《环境空气细颗粒物污染物污染综合防治技术政策》中“三、防治工业污染 （十三）对于排放细颗粒物的工业污染源，应按照生产工艺、排放方式和烟（废）气组成的特点，选取适用的污染防治技术。工业污染源有组织排放的颗粒物，宜采取袋除尘、电除尘、电袋除尘等高效除尘技术，鼓励火电机组和大型燃煤锅炉采用湿式电除尘等新技术”及“六、防治生活污染 （二十八）在城市郊区和农村地区，推广使用清洁能源和高效节能锅炉，有条件的地区宜发展集中供暖或地热等采暖方式，以替代小型燃煤、燃油取暖炉，减轻面源污染。”要求。</w:t>
      </w:r>
    </w:p>
    <w:p w14:paraId="5D65B925">
      <w:pPr>
        <w:rPr>
          <w:rFonts w:ascii="Times New Roman" w:hAnsi="Times New Roman"/>
          <w:highlight w:val="none"/>
        </w:rPr>
      </w:pPr>
      <w:r>
        <w:rPr>
          <w:rFonts w:ascii="Times New Roman" w:hAnsi="Times New Roman"/>
          <w:highlight w:val="none"/>
        </w:rPr>
        <w:t>符合性分析：本项目建</w:t>
      </w:r>
      <w:r>
        <w:rPr>
          <w:rFonts w:hint="eastAsia" w:ascii="Times New Roman" w:hAnsi="Times New Roman"/>
          <w:highlight w:val="none"/>
          <w:lang w:val="en-US" w:eastAsia="zh-CN"/>
        </w:rPr>
        <w:t>设116MW+58MW热水锅炉和1台35t/h蒸汽锅炉共三台</w:t>
      </w:r>
      <w:r>
        <w:rPr>
          <w:rFonts w:ascii="Times New Roman" w:hAnsi="Times New Roman"/>
          <w:highlight w:val="none"/>
        </w:rPr>
        <w:t>，采用</w:t>
      </w:r>
      <w:r>
        <w:rPr>
          <w:rFonts w:ascii="Times New Roman" w:hAnsi="Times New Roman"/>
          <w:szCs w:val="24"/>
          <w:highlight w:val="none"/>
        </w:rPr>
        <w:t>低氮燃烧+SNCR-SCR联合脱硝（尿素）+</w:t>
      </w:r>
      <w:r>
        <w:rPr>
          <w:rFonts w:ascii="Times New Roman" w:hAnsi="Times New Roman"/>
          <w:kern w:val="0"/>
          <w:szCs w:val="24"/>
          <w:highlight w:val="none"/>
          <w:lang w:val="de-DE"/>
        </w:rPr>
        <w:t>布袋除尘器</w:t>
      </w:r>
      <w:r>
        <w:rPr>
          <w:rFonts w:ascii="Times New Roman" w:hAnsi="Times New Roman"/>
          <w:kern w:val="0"/>
          <w:szCs w:val="24"/>
          <w:highlight w:val="none"/>
        </w:rPr>
        <w:t>+</w:t>
      </w:r>
      <w:r>
        <w:rPr>
          <w:rFonts w:ascii="Times New Roman" w:hAnsi="Times New Roman"/>
          <w:szCs w:val="24"/>
          <w:highlight w:val="none"/>
        </w:rPr>
        <w:t>石灰石–石膏湿法烟气脱硫</w:t>
      </w:r>
      <w:r>
        <w:rPr>
          <w:rFonts w:ascii="Times New Roman" w:hAnsi="Times New Roman"/>
          <w:highlight w:val="none"/>
        </w:rPr>
        <w:t>锅炉烟气净化处理系统，烟气处理后颗粒物、SO</w:t>
      </w:r>
      <w:r>
        <w:rPr>
          <w:rFonts w:ascii="Times New Roman" w:hAnsi="Times New Roman"/>
          <w:highlight w:val="none"/>
          <w:vertAlign w:val="subscript"/>
        </w:rPr>
        <w:t>2</w:t>
      </w:r>
      <w:r>
        <w:rPr>
          <w:rFonts w:ascii="Times New Roman" w:hAnsi="Times New Roman"/>
          <w:highlight w:val="none"/>
        </w:rPr>
        <w:t>和NOx等污染物均能达到超低排放要求。</w:t>
      </w:r>
    </w:p>
    <w:p w14:paraId="70ED98D6">
      <w:pPr>
        <w:pStyle w:val="5"/>
        <w:spacing w:beforeLines="-2147483648" w:beforeAutospacing="0" w:afterLines="-2147483648" w:afterAutospacing="0" w:line="415" w:lineRule="auto"/>
        <w:ind w:firstLine="0" w:firstLineChars="0"/>
        <w:rPr>
          <w:rFonts w:hint="eastAsia"/>
          <w:highlight w:val="none"/>
          <w:lang w:val="en-US" w:eastAsia="zh-CN"/>
        </w:rPr>
      </w:pPr>
      <w:bookmarkStart w:id="23" w:name="_Toc14418"/>
      <w:r>
        <w:rPr>
          <w:rFonts w:hint="eastAsia" w:ascii="Times New Roman" w:hAnsi="Times New Roman" w:eastAsia="宋体" w:cs="Times New Roman"/>
          <w:bCs/>
          <w:sz w:val="30"/>
          <w:szCs w:val="32"/>
          <w:highlight w:val="none"/>
          <w:lang w:val="en-US" w:eastAsia="zh-CN"/>
        </w:rPr>
        <w:t>1.4.10与《黑龙江省“十四五”生态环境保护规划》符合性分析</w:t>
      </w:r>
      <w:bookmarkEnd w:id="23"/>
    </w:p>
    <w:p w14:paraId="08C15B75">
      <w:pPr>
        <w:ind w:firstLine="480"/>
        <w:rPr>
          <w:rFonts w:ascii="Times New Roman" w:hAnsi="Times New Roman"/>
          <w:highlight w:val="none"/>
        </w:rPr>
      </w:pPr>
      <w:r>
        <w:rPr>
          <w:rFonts w:ascii="Times New Roman" w:hAnsi="Times New Roman"/>
          <w:highlight w:val="none"/>
        </w:rPr>
        <w:t>加大燃煤污染治理力度。深入实施散煤污染治理“三重一改”攻坚行动，统筹城市棚户区、城中村、城乡结合部、商户和农村地区散煤污染治理，到2022年，“两市两县两景区”等重点地区散煤用量大幅下降。各地持续推进散煤污染治理，到2025年，哈尔滨市、齐齐哈尔市、大庆市、绥化市散煤用量分别减少50%，哈尔滨市主城区建成区基本实现散煤清零。加快淘汰地级城市建成区10-35蒸吨/小时燃煤锅炉，推进65蒸吨/小时及以上燃煤锅炉（含电力）超低排放改造。实现20蒸吨/小时及以上锅炉稳定达标排放全覆盖。</w:t>
      </w:r>
    </w:p>
    <w:p w14:paraId="1AE9148E">
      <w:pPr>
        <w:rPr>
          <w:rFonts w:ascii="Times New Roman" w:hAnsi="Times New Roman"/>
          <w:highlight w:val="none"/>
        </w:rPr>
      </w:pPr>
      <w:r>
        <w:rPr>
          <w:rFonts w:ascii="Times New Roman" w:hAnsi="Times New Roman"/>
          <w:highlight w:val="none"/>
        </w:rPr>
        <w:t>本项目建</w:t>
      </w:r>
      <w:r>
        <w:rPr>
          <w:rFonts w:hint="eastAsia" w:ascii="Times New Roman" w:hAnsi="Times New Roman"/>
          <w:highlight w:val="none"/>
          <w:lang w:val="en-US" w:eastAsia="zh-CN"/>
        </w:rPr>
        <w:t>设116MW+58MW热水锅炉和1台35t/h蒸汽锅炉共三台</w:t>
      </w:r>
      <w:r>
        <w:rPr>
          <w:rFonts w:ascii="Times New Roman" w:hAnsi="Times New Roman"/>
          <w:highlight w:val="none"/>
        </w:rPr>
        <w:t>，采用</w:t>
      </w:r>
      <w:r>
        <w:rPr>
          <w:rFonts w:ascii="Times New Roman" w:hAnsi="Times New Roman"/>
          <w:szCs w:val="24"/>
          <w:highlight w:val="none"/>
        </w:rPr>
        <w:t>低氮燃烧+SNCR-SCR联合脱硝（尿素）+</w:t>
      </w:r>
      <w:r>
        <w:rPr>
          <w:rFonts w:ascii="Times New Roman" w:hAnsi="Times New Roman"/>
          <w:kern w:val="0"/>
          <w:szCs w:val="24"/>
          <w:highlight w:val="none"/>
          <w:lang w:val="de-DE"/>
        </w:rPr>
        <w:t>布袋除尘器</w:t>
      </w:r>
      <w:r>
        <w:rPr>
          <w:rFonts w:ascii="Times New Roman" w:hAnsi="Times New Roman"/>
          <w:kern w:val="0"/>
          <w:szCs w:val="24"/>
          <w:highlight w:val="none"/>
        </w:rPr>
        <w:t>+</w:t>
      </w:r>
      <w:r>
        <w:rPr>
          <w:rFonts w:ascii="Times New Roman" w:hAnsi="Times New Roman"/>
          <w:szCs w:val="24"/>
          <w:highlight w:val="none"/>
        </w:rPr>
        <w:t>石灰石–石膏湿法烟气脱硫</w:t>
      </w:r>
      <w:r>
        <w:rPr>
          <w:rFonts w:hint="eastAsia" w:ascii="Times New Roman" w:hAnsi="Times New Roman"/>
          <w:szCs w:val="24"/>
          <w:highlight w:val="none"/>
          <w:lang w:eastAsia="zh-CN"/>
        </w:rPr>
        <w:t>（</w:t>
      </w:r>
      <w:r>
        <w:rPr>
          <w:rFonts w:hint="eastAsia" w:ascii="Times New Roman" w:hAnsi="Times New Roman"/>
          <w:szCs w:val="24"/>
          <w:highlight w:val="none"/>
          <w:lang w:val="en-US" w:eastAsia="zh-CN"/>
        </w:rPr>
        <w:t>3炉1塔</w:t>
      </w:r>
      <w:r>
        <w:rPr>
          <w:rFonts w:hint="eastAsia" w:ascii="Times New Roman" w:hAnsi="Times New Roman"/>
          <w:szCs w:val="24"/>
          <w:highlight w:val="none"/>
          <w:lang w:eastAsia="zh-CN"/>
        </w:rPr>
        <w:t>）</w:t>
      </w:r>
      <w:r>
        <w:rPr>
          <w:rFonts w:ascii="Times New Roman" w:hAnsi="Times New Roman"/>
          <w:highlight w:val="none"/>
        </w:rPr>
        <w:t>锅炉烟气净化处理系统，烟气通过</w:t>
      </w:r>
      <w:r>
        <w:rPr>
          <w:rFonts w:hint="eastAsia" w:ascii="Times New Roman" w:hAnsi="Times New Roman"/>
          <w:highlight w:val="none"/>
          <w:lang w:val="en-US" w:eastAsia="zh-CN"/>
        </w:rPr>
        <w:t>60</w:t>
      </w:r>
      <w:r>
        <w:rPr>
          <w:rFonts w:ascii="Times New Roman" w:hAnsi="Times New Roman"/>
          <w:highlight w:val="none"/>
        </w:rPr>
        <w:t>m高烟囱排放</w:t>
      </w:r>
      <w:r>
        <w:rPr>
          <w:rFonts w:hint="eastAsia" w:ascii="Times New Roman" w:hAnsi="Times New Roman"/>
          <w:highlight w:val="none"/>
          <w:lang w:eastAsia="zh-CN"/>
        </w:rPr>
        <w:t>。</w:t>
      </w:r>
      <w:r>
        <w:rPr>
          <w:rFonts w:ascii="Times New Roman" w:hAnsi="Times New Roman"/>
          <w:highlight w:val="none"/>
        </w:rPr>
        <w:t>本工程SO</w:t>
      </w:r>
      <w:r>
        <w:rPr>
          <w:rFonts w:ascii="Times New Roman" w:hAnsi="Times New Roman"/>
          <w:highlight w:val="none"/>
          <w:vertAlign w:val="subscript"/>
        </w:rPr>
        <w:t>2</w:t>
      </w:r>
      <w:r>
        <w:rPr>
          <w:rFonts w:ascii="Times New Roman" w:hAnsi="Times New Roman"/>
          <w:highlight w:val="none"/>
        </w:rPr>
        <w:t>、NOx和颗粒物排放浓度均达到超低排放限值要求。</w:t>
      </w:r>
    </w:p>
    <w:p w14:paraId="6B6632F9">
      <w:pPr>
        <w:pStyle w:val="5"/>
        <w:spacing w:beforeLines="-2147483648" w:beforeAutospacing="0" w:afterLines="-2147483648" w:afterAutospacing="0" w:line="415" w:lineRule="auto"/>
        <w:ind w:firstLine="0" w:firstLineChars="0"/>
        <w:rPr>
          <w:rFonts w:hint="eastAsia" w:ascii="Times New Roman" w:hAnsi="Times New Roman" w:eastAsia="宋体" w:cs="Times New Roman"/>
          <w:bCs/>
          <w:sz w:val="30"/>
          <w:szCs w:val="32"/>
          <w:highlight w:val="none"/>
          <w:lang w:val="en-US" w:eastAsia="zh-CN"/>
        </w:rPr>
      </w:pPr>
      <w:bookmarkStart w:id="24" w:name="_Toc18012"/>
      <w:r>
        <w:rPr>
          <w:rFonts w:hint="eastAsia" w:ascii="Times New Roman" w:hAnsi="Times New Roman" w:eastAsia="宋体" w:cs="Times New Roman"/>
          <w:bCs/>
          <w:sz w:val="30"/>
          <w:szCs w:val="32"/>
          <w:highlight w:val="none"/>
          <w:lang w:val="en-US" w:eastAsia="zh-CN"/>
        </w:rPr>
        <w:t>1.4.11与供热规划的符合性分析</w:t>
      </w:r>
      <w:bookmarkEnd w:id="24"/>
    </w:p>
    <w:p w14:paraId="4B8D3F61">
      <w:pPr>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本项目</w:t>
      </w:r>
      <w:r>
        <w:rPr>
          <w:rFonts w:hint="eastAsia" w:ascii="Times New Roman" w:hAnsi="Times New Roman" w:eastAsia="宋体" w:cs="Times New Roman"/>
          <w:highlight w:val="none"/>
          <w:lang w:val="en-US" w:eastAsia="zh-CN"/>
        </w:rPr>
        <w:t>位于黑龙江省牡丹江市绥芬河市长山路幸福街1号</w:t>
      </w:r>
      <w:r>
        <w:rPr>
          <w:rFonts w:hint="eastAsia" w:ascii="Times New Roman" w:hAnsi="Times New Roman" w:cs="Times New Roman"/>
          <w:highlight w:val="none"/>
          <w:lang w:val="en-US" w:eastAsia="zh-CN"/>
        </w:rPr>
        <w:t>，根据《绥芬河市集中供热规划》（2016-2030）文中绥芬河市新区供热有限责任公司所建设的热源规模为1×29MW+1×58MW+1×116MW热水锅炉，主要承担绥芬河的北山新区和新老城区结合部区域供热，现状集中供热面积210.22万平方米。</w:t>
      </w:r>
    </w:p>
    <w:p w14:paraId="4B5208FD">
      <w:pPr>
        <w:pStyle w:val="23"/>
        <w:rPr>
          <w:rFonts w:hint="eastAsia" w:ascii="Times New Roman" w:hAnsi="Times New Roman" w:cs="Times New Roman"/>
          <w:highlight w:val="none"/>
          <w:lang w:val="en-US" w:eastAsia="zh-CN"/>
        </w:rPr>
      </w:pPr>
      <w:r>
        <w:rPr>
          <w:rFonts w:hint="eastAsia" w:ascii="Times New Roman" w:hAnsi="Times New Roman" w:eastAsia="宋体" w:cs="Times New Roman"/>
          <w:color w:val="auto"/>
          <w:kern w:val="2"/>
          <w:sz w:val="24"/>
          <w:szCs w:val="22"/>
          <w:highlight w:val="none"/>
          <w:lang w:val="en-US" w:eastAsia="zh-CN" w:bidi="ar-SA"/>
        </w:rPr>
        <w:t>企业于2017年8月29日将29MW热水锅炉改造为35t/h蒸汽锅炉（具体佐证资料详见附件13：35t/h锅炉建设凭证），无相关环评手续。</w:t>
      </w:r>
      <w:r>
        <w:rPr>
          <w:rFonts w:hint="eastAsia" w:ascii="Times New Roman" w:hAnsi="Times New Roman" w:cs="Times New Roman"/>
          <w:highlight w:val="none"/>
          <w:lang w:val="en-US" w:eastAsia="zh-CN"/>
        </w:rPr>
        <w:t>本项目实际建设</w:t>
      </w:r>
      <w:r>
        <w:rPr>
          <w:rFonts w:hint="eastAsia" w:ascii="Times New Roman" w:hAnsi="Times New Roman"/>
          <w:highlight w:val="none"/>
          <w:lang w:val="en-US" w:eastAsia="zh-CN"/>
        </w:rPr>
        <w:t>116MW+58MW热水锅炉和1台35t/h蒸汽锅炉共三台，</w:t>
      </w:r>
      <w:r>
        <w:rPr>
          <w:rFonts w:hint="eastAsia" w:ascii="Times New Roman" w:hAnsi="Times New Roman" w:cs="Times New Roman"/>
          <w:highlight w:val="none"/>
          <w:lang w:val="en-US" w:eastAsia="zh-CN"/>
        </w:rPr>
        <w:t>主要承担绥芬河的北山新区和新老城区结合部区域供热，现状集中供热面积约210万平方米。35t/h蒸汽锅炉和29MW热水锅炉热效率是等效的，因此本项目实际情况符合《绥芬河市集中供热规划》（2016-2030）。</w:t>
      </w:r>
    </w:p>
    <w:p w14:paraId="26E7FFC9">
      <w:pPr>
        <w:pStyle w:val="5"/>
        <w:spacing w:beforeLines="-2147483648" w:beforeAutospacing="0" w:afterLines="-2147483648" w:afterAutospacing="0" w:line="415" w:lineRule="auto"/>
        <w:ind w:firstLine="0" w:firstLineChars="0"/>
        <w:rPr>
          <w:rFonts w:hint="eastAsia" w:ascii="Times New Roman" w:hAnsi="Times New Roman" w:eastAsia="宋体" w:cs="Times New Roman"/>
          <w:bCs/>
          <w:sz w:val="30"/>
          <w:szCs w:val="32"/>
          <w:highlight w:val="none"/>
          <w:lang w:val="en-US" w:eastAsia="zh-CN"/>
        </w:rPr>
      </w:pPr>
      <w:bookmarkStart w:id="25" w:name="_Toc15123"/>
      <w:r>
        <w:rPr>
          <w:rFonts w:hint="eastAsia" w:ascii="Times New Roman" w:hAnsi="Times New Roman" w:eastAsia="宋体" w:cs="Times New Roman"/>
          <w:bCs/>
          <w:sz w:val="30"/>
          <w:szCs w:val="32"/>
          <w:highlight w:val="none"/>
          <w:lang w:val="en-US" w:eastAsia="zh-CN"/>
        </w:rPr>
        <w:t>1.4.12与《牡丹江市“十四五”生态环境保护规划》符合性分析</w:t>
      </w:r>
      <w:bookmarkEnd w:id="25"/>
    </w:p>
    <w:p w14:paraId="0ED19BF8">
      <w:pPr>
        <w:pStyle w:val="33"/>
        <w:ind w:left="0" w:leftChars="0" w:firstLine="480" w:firstLineChars="20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其中规定</w:t>
      </w:r>
      <w:r>
        <w:rPr>
          <w:rFonts w:hint="eastAsia" w:hAnsi="Times New Roman"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建设清洁低碳、安全高效的能源体系，科学规划区域能源供应,优化能源分配和供应</w:t>
      </w:r>
      <w:r>
        <w:rPr>
          <w:rFonts w:hint="eastAsia" w:hAnsi="Times New Roman"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加快绿色建筑推广及清洁能源改造，完善天然气管网建设，推广应用高效节能环保型锅炉，实施可再生能源替代行动，大力发展水电、生物质、光伏等项目建设，促进非化石能源成为能源消费增量主体.定期开展淘汰锅炉“回头看”工作，严防淘汰锅炉再次出现</w:t>
      </w:r>
      <w:r>
        <w:rPr>
          <w:rFonts w:hint="eastAsia" w:hAnsi="Times New Roman"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严格控制煤炭用量</w:t>
      </w:r>
      <w:r>
        <w:rPr>
          <w:rFonts w:hint="eastAsia" w:hAnsi="Times New Roman"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对于以煤、石焦油、渣油、重油等为燃料的锅炉和工业炉窑</w:t>
      </w:r>
      <w:r>
        <w:rPr>
          <w:rFonts w:hint="eastAsia" w:hAnsi="Times New Roman"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加快使用清洁低碳能源以及工厂余热、电力热力等进行替代。</w:t>
      </w:r>
    </w:p>
    <w:p w14:paraId="3C110223">
      <w:pPr>
        <w:pStyle w:val="33"/>
        <w:ind w:left="0" w:leftChars="0" w:firstLine="480" w:firstLineChars="20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加大燃煤污染治理力度</w:t>
      </w:r>
      <w:r>
        <w:rPr>
          <w:rFonts w:hint="eastAsia" w:hAnsi="Times New Roman"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深入实施散煤污染治理“三重一改”攻坚行动</w:t>
      </w:r>
      <w:r>
        <w:rPr>
          <w:rFonts w:hint="eastAsia" w:hAnsi="Times New Roman"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统筹城市棚户区、城中村、城乡接合部、商户和农村地区散煤污染治理</w:t>
      </w:r>
      <w:r>
        <w:rPr>
          <w:rFonts w:hint="eastAsia" w:hAnsi="Times New Roman"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散煤用量持续下降，持续推进散煤污染治理，确保散煤用量降低</w:t>
      </w:r>
      <w:r>
        <w:rPr>
          <w:rFonts w:hint="eastAsia" w:hAnsi="Times New Roman"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加快淘汰建成区10-35蒸吨/小时燃煤锅炉，推进65蒸吨/小时及以上燃煤锅炉(含电力)超低排放改造</w:t>
      </w:r>
      <w:r>
        <w:rPr>
          <w:rFonts w:hint="eastAsia" w:hAnsi="Times New Roman"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实现20蒸吨/小时及以上锅炉稳定达标排放全覆盖.已有行业排放标准的工业炉窑，严格执行行业排放标准相关规定</w:t>
      </w:r>
      <w:r>
        <w:rPr>
          <w:rFonts w:hint="eastAsia" w:hAnsi="Times New Roman"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确保稳定达标排放</w:t>
      </w:r>
      <w:r>
        <w:rPr>
          <w:rFonts w:hint="eastAsia" w:hAnsi="Times New Roman"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燃煤电厂、燃煤供热锅炉以及其他燃煤单位，应当采用清洁生产工艺，配套建设除尘、脱硫、脱硝等装置或者采用技术改造等措施，确保工业废气达标排放。</w:t>
      </w:r>
    </w:p>
    <w:p w14:paraId="60610E7F">
      <w:pPr>
        <w:pStyle w:val="33"/>
        <w:ind w:left="0" w:leftChars="0" w:firstLine="480" w:firstLineChars="20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强化秸秆综合利用和禁烧</w:t>
      </w:r>
      <w:r>
        <w:rPr>
          <w:rFonts w:hint="eastAsia" w:hAnsi="Times New Roman"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编制秸秆综合利用实施方案</w:t>
      </w:r>
      <w:r>
        <w:rPr>
          <w:rFonts w:hint="eastAsia" w:hAnsi="Times New Roman"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合理安排肥料化、饲料化、基料化、能源化、原料化利用，完善秸秆收储运体系</w:t>
      </w:r>
      <w:r>
        <w:rPr>
          <w:rFonts w:hint="eastAsia" w:hAnsi="Times New Roman"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研发推广综合利用先进技术和设备，拓宽利用路径，完善扶持政策，实现秸秆综合利用水平全面提升</w:t>
      </w:r>
      <w:r>
        <w:rPr>
          <w:rFonts w:hint="eastAsia" w:hAnsi="Times New Roman"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到2025年，全市秸秆综合利用率达到90%左右。</w:t>
      </w:r>
    </w:p>
    <w:p w14:paraId="47B180DE">
      <w:pPr>
        <w:rPr>
          <w:rFonts w:ascii="Times New Roman" w:hAnsi="Times New Roman"/>
          <w:highlight w:val="none"/>
        </w:rPr>
      </w:pPr>
      <w:r>
        <w:rPr>
          <w:rFonts w:ascii="Times New Roman" w:hAnsi="Times New Roman"/>
          <w:highlight w:val="none"/>
        </w:rPr>
        <w:t>本项目建</w:t>
      </w:r>
      <w:r>
        <w:rPr>
          <w:rFonts w:hint="eastAsia" w:ascii="Times New Roman" w:hAnsi="Times New Roman"/>
          <w:highlight w:val="none"/>
          <w:lang w:val="en-US" w:eastAsia="zh-CN"/>
        </w:rPr>
        <w:t>设116MW+58MW热水锅炉和1台35t/h蒸汽锅炉共三台</w:t>
      </w:r>
      <w:r>
        <w:rPr>
          <w:rFonts w:ascii="Times New Roman" w:hAnsi="Times New Roman"/>
          <w:highlight w:val="none"/>
        </w:rPr>
        <w:t>，采用</w:t>
      </w:r>
      <w:r>
        <w:rPr>
          <w:rFonts w:ascii="Times New Roman" w:hAnsi="Times New Roman"/>
          <w:szCs w:val="24"/>
          <w:highlight w:val="none"/>
        </w:rPr>
        <w:t>低氮燃烧+SNCR-SCR联合脱硝（尿素）+</w:t>
      </w:r>
      <w:r>
        <w:rPr>
          <w:rFonts w:ascii="Times New Roman" w:hAnsi="Times New Roman"/>
          <w:kern w:val="0"/>
          <w:szCs w:val="24"/>
          <w:highlight w:val="none"/>
          <w:lang w:val="de-DE"/>
        </w:rPr>
        <w:t>布袋除尘器</w:t>
      </w:r>
      <w:r>
        <w:rPr>
          <w:rFonts w:ascii="Times New Roman" w:hAnsi="Times New Roman"/>
          <w:kern w:val="0"/>
          <w:szCs w:val="24"/>
          <w:highlight w:val="none"/>
        </w:rPr>
        <w:t>+</w:t>
      </w:r>
      <w:r>
        <w:rPr>
          <w:rFonts w:ascii="Times New Roman" w:hAnsi="Times New Roman"/>
          <w:szCs w:val="24"/>
          <w:highlight w:val="none"/>
        </w:rPr>
        <w:t>石灰石–石膏湿法烟气脱硫</w:t>
      </w:r>
      <w:r>
        <w:rPr>
          <w:rFonts w:hint="eastAsia" w:ascii="Times New Roman" w:hAnsi="Times New Roman"/>
          <w:szCs w:val="24"/>
          <w:highlight w:val="none"/>
          <w:lang w:eastAsia="zh-CN"/>
        </w:rPr>
        <w:t>（</w:t>
      </w:r>
      <w:r>
        <w:rPr>
          <w:rFonts w:hint="eastAsia" w:ascii="Times New Roman" w:hAnsi="Times New Roman"/>
          <w:szCs w:val="24"/>
          <w:highlight w:val="none"/>
          <w:lang w:val="en-US" w:eastAsia="zh-CN"/>
        </w:rPr>
        <w:t>3炉1塔</w:t>
      </w:r>
      <w:r>
        <w:rPr>
          <w:rFonts w:hint="eastAsia" w:ascii="Times New Roman" w:hAnsi="Times New Roman"/>
          <w:szCs w:val="24"/>
          <w:highlight w:val="none"/>
          <w:lang w:eastAsia="zh-CN"/>
        </w:rPr>
        <w:t>）</w:t>
      </w:r>
      <w:r>
        <w:rPr>
          <w:rFonts w:ascii="Times New Roman" w:hAnsi="Times New Roman"/>
          <w:highlight w:val="none"/>
        </w:rPr>
        <w:t>锅炉烟气净化处理系统，烟气通过</w:t>
      </w:r>
      <w:r>
        <w:rPr>
          <w:rFonts w:hint="eastAsia" w:ascii="Times New Roman" w:hAnsi="Times New Roman"/>
          <w:highlight w:val="none"/>
          <w:lang w:val="en-US" w:eastAsia="zh-CN"/>
        </w:rPr>
        <w:t>60</w:t>
      </w:r>
      <w:r>
        <w:rPr>
          <w:rFonts w:ascii="Times New Roman" w:hAnsi="Times New Roman"/>
          <w:highlight w:val="none"/>
        </w:rPr>
        <w:t>m高烟囱排放</w:t>
      </w:r>
      <w:r>
        <w:rPr>
          <w:rFonts w:hint="eastAsia" w:ascii="Times New Roman" w:hAnsi="Times New Roman"/>
          <w:highlight w:val="none"/>
          <w:lang w:eastAsia="zh-CN"/>
        </w:rPr>
        <w:t>。</w:t>
      </w:r>
      <w:r>
        <w:rPr>
          <w:rFonts w:ascii="Times New Roman" w:hAnsi="Times New Roman"/>
          <w:highlight w:val="none"/>
        </w:rPr>
        <w:t>本工程SO</w:t>
      </w:r>
      <w:r>
        <w:rPr>
          <w:rFonts w:ascii="Times New Roman" w:hAnsi="Times New Roman"/>
          <w:highlight w:val="none"/>
          <w:vertAlign w:val="subscript"/>
        </w:rPr>
        <w:t>2</w:t>
      </w:r>
      <w:r>
        <w:rPr>
          <w:rFonts w:ascii="Times New Roman" w:hAnsi="Times New Roman"/>
          <w:highlight w:val="none"/>
        </w:rPr>
        <w:t>、NOx和颗粒物排放浓度均达到超低排放限值要求。</w:t>
      </w:r>
    </w:p>
    <w:p w14:paraId="1F9F9C48">
      <w:pPr>
        <w:pStyle w:val="5"/>
        <w:bidi w:val="0"/>
        <w:ind w:left="0" w:leftChars="0" w:firstLine="0" w:firstLineChars="0"/>
        <w:rPr>
          <w:rFonts w:hint="eastAsia"/>
          <w:highlight w:val="none"/>
          <w:lang w:val="en-US" w:eastAsia="zh-CN"/>
        </w:rPr>
      </w:pPr>
      <w:bookmarkStart w:id="26" w:name="_Toc13919"/>
      <w:r>
        <w:rPr>
          <w:rFonts w:hint="eastAsia"/>
          <w:highlight w:val="none"/>
          <w:lang w:val="en-US" w:eastAsia="zh-CN"/>
        </w:rPr>
        <w:t>1.4.13与《关于印发改善牡丹江市区空气质量实施方案的通知》符合性分析</w:t>
      </w:r>
      <w:bookmarkEnd w:id="26"/>
    </w:p>
    <w:p w14:paraId="2B25CDF6">
      <w:pPr>
        <w:rPr>
          <w:rFonts w:hint="default"/>
          <w:highlight w:val="none"/>
          <w:lang w:val="en-US" w:eastAsia="zh-CN"/>
        </w:rPr>
      </w:pPr>
      <w:r>
        <w:rPr>
          <w:rFonts w:hint="default"/>
          <w:highlight w:val="none"/>
          <w:lang w:val="en-US" w:eastAsia="zh-CN"/>
        </w:rPr>
        <w:t>《关于印发改善牡丹江市区空气质量实施方案的通知》中指出：（五）整治燃煤锅炉。在调查分析和现场检查基础上，对市区冒黑烟和冒黑烟隐患锅炉分别采取不同整治对策。1.整治冒黑烟锅炉。（1）经现场执法检查，对烟尘超标的锅炉，依法给予处罚，并责令违规操作的立即整改。2.限期治理。经现场执法检查，对市区锅炉、除尘器落后，烟尘超标的单位（其中工业企业13户，锻(铸)造业11户，木业企业82户）限期治理(第-批)。2.整治冒黑烟隐患锅炉。（1）热网辐射内的用热用汽锅炉并入大网，并网41台。（2）换吨位大、性能好符合环保标准要求的锅炉170台。（3）鼓励和约束使用除煤炭外的清洁燃料，240台。（4）配备高效除尘器，9台。（5）2014年计划淘汰燃煤小锅炉89台(占现有的30%)，其中生产41台，供热48台。计划实施集中供热35个，清洁能源替代54个子以淘汰取缔。详细名单由主管部门提供。</w:t>
      </w:r>
    </w:p>
    <w:p w14:paraId="116FBA81">
      <w:pPr>
        <w:bidi w:val="0"/>
        <w:rPr>
          <w:rFonts w:hint="default"/>
          <w:highlight w:val="none"/>
          <w:lang w:val="en-US" w:eastAsia="zh-CN"/>
        </w:rPr>
      </w:pPr>
      <w:r>
        <w:rPr>
          <w:rFonts w:hint="default"/>
          <w:highlight w:val="none"/>
          <w:lang w:val="en-US" w:eastAsia="zh-CN"/>
        </w:rPr>
        <w:t>本项目建设116MW+58MW热水锅炉和1台35t/h蒸汽锅炉共三台，采用低氮燃烧+SNCR-SCR联合脱硝（尿素）+布袋除尘器+石灰石–石膏湿法烟气脱硫（3炉1塔）锅炉烟气净化处理系统，烟气通过60m高烟囱排放。本工程SO2、NOx和颗粒物排放浓度均达到超低排放限值要求。</w:t>
      </w:r>
    </w:p>
    <w:p w14:paraId="658C85F4">
      <w:pPr>
        <w:pStyle w:val="5"/>
        <w:bidi w:val="0"/>
        <w:ind w:left="0" w:leftChars="0" w:firstLine="0" w:firstLineChars="0"/>
        <w:rPr>
          <w:rFonts w:hint="eastAsia"/>
          <w:sz w:val="30"/>
          <w:szCs w:val="30"/>
          <w:highlight w:val="none"/>
          <w:lang w:val="en-US" w:eastAsia="zh-CN"/>
        </w:rPr>
      </w:pPr>
      <w:bookmarkStart w:id="27" w:name="_Toc22101"/>
      <w:r>
        <w:rPr>
          <w:rFonts w:hint="eastAsia"/>
          <w:highlight w:val="none"/>
          <w:lang w:val="en-US" w:eastAsia="zh-CN"/>
        </w:rPr>
        <w:t>1.4.14</w:t>
      </w:r>
      <w:r>
        <w:rPr>
          <w:rFonts w:hint="eastAsia"/>
          <w:sz w:val="30"/>
          <w:szCs w:val="30"/>
          <w:highlight w:val="none"/>
          <w:lang w:val="en-US" w:eastAsia="zh-CN"/>
        </w:rPr>
        <w:t>与关于《绥芬河边境经济合作区（代管区）总体规划（2021-2035年）环境影响报告书》的审查意见</w:t>
      </w:r>
      <w:bookmarkEnd w:id="27"/>
    </w:p>
    <w:p w14:paraId="294B35E1">
      <w:pPr>
        <w:ind w:firstLine="480"/>
        <w:rPr>
          <w:rFonts w:hint="eastAsia" w:ascii="Times New Roman" w:hAnsi="Times New Roman"/>
          <w:color w:val="auto"/>
          <w:highlight w:val="none"/>
          <w:lang w:val="en-US" w:eastAsia="zh-CN"/>
        </w:rPr>
      </w:pPr>
      <w:r>
        <w:rPr>
          <w:rFonts w:hint="eastAsia" w:ascii="Times New Roman" w:hAnsi="Times New Roman"/>
          <w:color w:val="auto"/>
          <w:highlight w:val="none"/>
          <w:lang w:val="en-US" w:eastAsia="zh-CN"/>
        </w:rPr>
        <w:t>关于《绥芬河边境经济合作区（代管区）总体规划（2021-2035年）环境影响报告书》的审查意见中指出：(四)属守环境质量底线，强化污染物排放总量管控。根据国家和黑龙江省大气、水、土壤污染防治及黑龙江省、牡丹江市生态环境分区管控方案和《报告书》相关要求，采取有效措施最大限度减少污染物的排放量，确保区域生态环境质量持续改善。</w:t>
      </w:r>
    </w:p>
    <w:p w14:paraId="58DF2EE8">
      <w:pPr>
        <w:pStyle w:val="7"/>
        <w:rPr>
          <w:rFonts w:hint="default"/>
          <w:highlight w:val="none"/>
          <w:lang w:val="en-US" w:eastAsia="zh-CN"/>
        </w:rPr>
      </w:pPr>
      <w:r>
        <w:rPr>
          <w:rFonts w:hint="eastAsia" w:ascii="Times New Roman" w:hAnsi="Times New Roman"/>
          <w:color w:val="auto"/>
          <w:highlight w:val="none"/>
          <w:lang w:val="en-US" w:eastAsia="zh-CN"/>
        </w:rPr>
        <w:t>本项目位于绥芬河边境经济合作区内，</w:t>
      </w:r>
      <w:r>
        <w:rPr>
          <w:rFonts w:hint="default"/>
          <w:highlight w:val="none"/>
          <w:lang w:val="en-US" w:eastAsia="zh-CN"/>
        </w:rPr>
        <w:t>本项目建设116MW+58MW热水锅炉和1台35t/h蒸汽锅炉共三台，采用低氮燃烧+SNCR-SCR联合脱硝（尿素）+布袋除尘器+石灰石–石膏湿法烟气脱硫（3炉1塔）锅炉烟气净化处理系统，烟气通过60m高烟囱排放。本工程SO2、NOx和颗粒物排放浓度均达到超低排放限值要求。</w:t>
      </w:r>
    </w:p>
    <w:p w14:paraId="699C4577">
      <w:pPr>
        <w:pStyle w:val="4"/>
        <w:ind w:left="0" w:leftChars="0" w:firstLine="0" w:firstLineChars="0"/>
        <w:rPr>
          <w:rFonts w:ascii="Times New Roman" w:hAnsi="Times New Roman"/>
          <w:color w:val="auto"/>
          <w:highlight w:val="none"/>
        </w:rPr>
      </w:pPr>
      <w:bookmarkStart w:id="28" w:name="_Toc9811"/>
      <w:r>
        <w:rPr>
          <w:rFonts w:hint="eastAsia"/>
          <w:highlight w:val="none"/>
          <w:lang w:val="en-US" w:eastAsia="zh-CN"/>
        </w:rPr>
        <w:t>1.5</w:t>
      </w:r>
      <w:r>
        <w:rPr>
          <w:rFonts w:ascii="Times New Roman" w:hAnsi="Times New Roman"/>
          <w:color w:val="auto"/>
          <w:highlight w:val="none"/>
        </w:rPr>
        <w:t>关注的主要环境问题及环境影响</w:t>
      </w:r>
      <w:bookmarkEnd w:id="28"/>
    </w:p>
    <w:p w14:paraId="3E335FDD">
      <w:pPr>
        <w:ind w:firstLine="480"/>
        <w:rPr>
          <w:rFonts w:ascii="Times New Roman" w:hAnsi="Times New Roman"/>
          <w:color w:val="auto"/>
          <w:highlight w:val="none"/>
        </w:rPr>
      </w:pPr>
      <w:r>
        <w:rPr>
          <w:rFonts w:ascii="Times New Roman" w:hAnsi="Times New Roman"/>
          <w:color w:val="auto"/>
          <w:highlight w:val="none"/>
        </w:rPr>
        <w:t>1、对大气环境的影响</w:t>
      </w:r>
    </w:p>
    <w:p w14:paraId="18983675">
      <w:pPr>
        <w:ind w:firstLine="480"/>
        <w:rPr>
          <w:rFonts w:ascii="Times New Roman" w:hAnsi="Times New Roman"/>
          <w:color w:val="auto"/>
          <w:highlight w:val="none"/>
        </w:rPr>
      </w:pPr>
      <w:r>
        <w:rPr>
          <w:rFonts w:ascii="Times New Roman" w:hAnsi="Times New Roman"/>
          <w:color w:val="auto"/>
          <w:highlight w:val="none"/>
        </w:rPr>
        <w:t>本项目产生的废气主要是锅炉烟气，主要污染因子有锅炉排放的常规污染物烟尘、SO</w:t>
      </w:r>
      <w:r>
        <w:rPr>
          <w:rFonts w:ascii="Times New Roman" w:hAnsi="Times New Roman"/>
          <w:color w:val="auto"/>
          <w:highlight w:val="none"/>
          <w:vertAlign w:val="subscript"/>
        </w:rPr>
        <w:t>2</w:t>
      </w:r>
      <w:r>
        <w:rPr>
          <w:rFonts w:ascii="Times New Roman" w:hAnsi="Times New Roman"/>
          <w:color w:val="auto"/>
          <w:highlight w:val="none"/>
        </w:rPr>
        <w:t>、NOx、汞及其化合物；储煤、输煤、碎煤、灰仓、渣仓、</w:t>
      </w:r>
      <w:r>
        <w:rPr>
          <w:rFonts w:hint="eastAsia" w:ascii="Times New Roman" w:hAnsi="Times New Roman"/>
          <w:color w:val="auto"/>
          <w:highlight w:val="none"/>
          <w:lang w:eastAsia="zh-CN"/>
        </w:rPr>
        <w:t>石灰石粉仓</w:t>
      </w:r>
      <w:r>
        <w:rPr>
          <w:rFonts w:ascii="Times New Roman" w:hAnsi="Times New Roman"/>
          <w:color w:val="auto"/>
          <w:highlight w:val="none"/>
        </w:rPr>
        <w:t>产生的粉尘；脱硝产生的逃逸氨。</w:t>
      </w:r>
    </w:p>
    <w:p w14:paraId="37FB10D9">
      <w:pPr>
        <w:ind w:firstLine="480"/>
        <w:rPr>
          <w:rFonts w:ascii="Times New Roman" w:hAnsi="Times New Roman"/>
          <w:color w:val="auto"/>
          <w:highlight w:val="none"/>
        </w:rPr>
      </w:pPr>
      <w:r>
        <w:rPr>
          <w:rFonts w:hint="eastAsia" w:ascii="宋体" w:hAnsi="宋体" w:cs="宋体"/>
          <w:color w:val="auto"/>
          <w:highlight w:val="none"/>
        </w:rPr>
        <w:t>①</w:t>
      </w:r>
      <w:r>
        <w:rPr>
          <w:rFonts w:ascii="Times New Roman" w:hAnsi="Times New Roman"/>
          <w:color w:val="auto"/>
          <w:highlight w:val="none"/>
        </w:rPr>
        <w:t>本项目锅炉烟气采用低氮燃烧+SNCR-SCR脱硝（脱硝效率75%）+</w:t>
      </w:r>
      <w:r>
        <w:rPr>
          <w:rFonts w:hint="eastAsia" w:ascii="Times New Roman" w:hAnsi="Times New Roman"/>
          <w:color w:val="auto"/>
          <w:highlight w:val="none"/>
        </w:rPr>
        <w:t>炉内喷钙+半干法脱硫</w:t>
      </w:r>
      <w:r>
        <w:rPr>
          <w:rFonts w:ascii="Times New Roman" w:hAnsi="Times New Roman"/>
          <w:color w:val="auto"/>
          <w:highlight w:val="none"/>
        </w:rPr>
        <w:t>（脱硫效率9</w:t>
      </w:r>
      <w:r>
        <w:rPr>
          <w:rFonts w:hint="eastAsia" w:ascii="Times New Roman" w:hAnsi="Times New Roman"/>
          <w:color w:val="auto"/>
          <w:highlight w:val="none"/>
          <w:lang w:val="en-US" w:eastAsia="zh-CN"/>
        </w:rPr>
        <w:t>5</w:t>
      </w:r>
      <w:r>
        <w:rPr>
          <w:rFonts w:ascii="Times New Roman" w:hAnsi="Times New Roman"/>
          <w:color w:val="auto"/>
          <w:highlight w:val="none"/>
        </w:rPr>
        <w:t>%）+布袋除尘器（除尘效率99.96%）的烟气净化技术，经一座高度</w:t>
      </w:r>
      <w:r>
        <w:rPr>
          <w:rFonts w:hint="eastAsia" w:ascii="Times New Roman" w:hAnsi="Times New Roman"/>
          <w:color w:val="auto"/>
          <w:highlight w:val="none"/>
        </w:rPr>
        <w:t>为</w:t>
      </w:r>
      <w:r>
        <w:rPr>
          <w:rFonts w:hint="eastAsia" w:ascii="Times New Roman" w:hAnsi="Times New Roman"/>
          <w:color w:val="auto"/>
          <w:highlight w:val="none"/>
          <w:lang w:val="en-US" w:eastAsia="zh-CN"/>
        </w:rPr>
        <w:t>60</w:t>
      </w:r>
      <w:r>
        <w:rPr>
          <w:rFonts w:ascii="Times New Roman" w:hAnsi="Times New Roman"/>
          <w:color w:val="auto"/>
          <w:highlight w:val="none"/>
        </w:rPr>
        <w:t>m、出口内径</w:t>
      </w:r>
      <w:r>
        <w:rPr>
          <w:rFonts w:hint="eastAsia" w:ascii="Times New Roman" w:hAnsi="Times New Roman"/>
          <w:color w:val="auto"/>
          <w:highlight w:val="none"/>
          <w:lang w:val="en-US" w:eastAsia="zh-CN"/>
        </w:rPr>
        <w:t>4</w:t>
      </w:r>
      <w:r>
        <w:rPr>
          <w:rFonts w:ascii="Times New Roman" w:hAnsi="Times New Roman"/>
          <w:color w:val="auto"/>
          <w:highlight w:val="none"/>
        </w:rPr>
        <w:t>m的烟囱排放。采取上述废气污染防治措施后，锅炉烟气污染物排放浓度满足超低排放限值要求（在基准氧含量6%条件下，烟尘、SO</w:t>
      </w:r>
      <w:r>
        <w:rPr>
          <w:rFonts w:ascii="Times New Roman" w:hAnsi="Times New Roman"/>
          <w:color w:val="auto"/>
          <w:highlight w:val="none"/>
          <w:vertAlign w:val="subscript"/>
        </w:rPr>
        <w:t>2</w:t>
      </w:r>
      <w:r>
        <w:rPr>
          <w:rFonts w:ascii="Times New Roman" w:hAnsi="Times New Roman"/>
          <w:color w:val="auto"/>
          <w:highlight w:val="none"/>
        </w:rPr>
        <w:t>、NO</w:t>
      </w:r>
      <w:r>
        <w:rPr>
          <w:rFonts w:ascii="Times New Roman" w:hAnsi="Times New Roman"/>
          <w:color w:val="auto"/>
          <w:highlight w:val="none"/>
          <w:vertAlign w:val="subscript"/>
        </w:rPr>
        <w:t>X</w:t>
      </w:r>
      <w:r>
        <w:rPr>
          <w:rFonts w:ascii="Times New Roman" w:hAnsi="Times New Roman"/>
          <w:color w:val="auto"/>
          <w:highlight w:val="none"/>
        </w:rPr>
        <w:t>排放浓度分别不高于10mg/m</w:t>
      </w:r>
      <w:r>
        <w:rPr>
          <w:rFonts w:ascii="Times New Roman" w:hAnsi="Times New Roman"/>
          <w:color w:val="auto"/>
          <w:highlight w:val="none"/>
          <w:vertAlign w:val="superscript"/>
        </w:rPr>
        <w:t>3</w:t>
      </w:r>
      <w:r>
        <w:rPr>
          <w:rFonts w:ascii="Times New Roman" w:hAnsi="Times New Roman"/>
          <w:color w:val="auto"/>
          <w:highlight w:val="none"/>
        </w:rPr>
        <w:t>、35mg/m</w:t>
      </w:r>
      <w:r>
        <w:rPr>
          <w:rFonts w:ascii="Times New Roman" w:hAnsi="Times New Roman"/>
          <w:color w:val="auto"/>
          <w:highlight w:val="none"/>
          <w:vertAlign w:val="superscript"/>
        </w:rPr>
        <w:t>3</w:t>
      </w:r>
      <w:r>
        <w:rPr>
          <w:rFonts w:ascii="Times New Roman" w:hAnsi="Times New Roman"/>
          <w:color w:val="auto"/>
          <w:highlight w:val="none"/>
        </w:rPr>
        <w:t>、50mg/m</w:t>
      </w:r>
      <w:r>
        <w:rPr>
          <w:rFonts w:ascii="Times New Roman" w:hAnsi="Times New Roman"/>
          <w:color w:val="auto"/>
          <w:highlight w:val="none"/>
          <w:vertAlign w:val="superscript"/>
        </w:rPr>
        <w:t>3</w:t>
      </w:r>
      <w:r>
        <w:rPr>
          <w:rFonts w:ascii="Times New Roman" w:hAnsi="Times New Roman"/>
          <w:color w:val="auto"/>
          <w:highlight w:val="none"/>
        </w:rPr>
        <w:t>）；</w:t>
      </w:r>
      <w:r>
        <w:rPr>
          <w:rFonts w:hint="eastAsia" w:ascii="Times New Roman" w:hAnsi="Times New Roman"/>
          <w:color w:val="auto"/>
          <w:highlight w:val="none"/>
        </w:rPr>
        <w:t>汞及其化合物、烟气黑度（林格曼黑度）排放满足《火电厂大气污染物排放标准》(GB13223-2011)表1中燃煤锅炉大气污染物排放标准限值：0.03mg/m</w:t>
      </w:r>
      <w:r>
        <w:rPr>
          <w:rFonts w:hint="eastAsia" w:ascii="Times New Roman" w:hAnsi="Times New Roman"/>
          <w:color w:val="auto"/>
          <w:highlight w:val="none"/>
          <w:vertAlign w:val="superscript"/>
        </w:rPr>
        <w:t>3</w:t>
      </w:r>
      <w:r>
        <w:rPr>
          <w:rFonts w:hint="eastAsia" w:ascii="Times New Roman" w:hAnsi="Times New Roman"/>
          <w:color w:val="auto"/>
          <w:highlight w:val="none"/>
        </w:rPr>
        <w:t>、1级（与现有工程经一根烟囱排放，从严执行排放标准）</w:t>
      </w:r>
    </w:p>
    <w:p w14:paraId="34F5A05F">
      <w:pPr>
        <w:ind w:firstLine="480"/>
        <w:rPr>
          <w:rFonts w:ascii="Times New Roman" w:hAnsi="Times New Roman"/>
          <w:color w:val="auto"/>
          <w:highlight w:val="none"/>
        </w:rPr>
      </w:pPr>
      <w:r>
        <w:rPr>
          <w:rFonts w:hint="eastAsia" w:ascii="宋体" w:hAnsi="宋体" w:cs="宋体"/>
          <w:color w:val="auto"/>
          <w:highlight w:val="none"/>
        </w:rPr>
        <w:t>②</w:t>
      </w:r>
      <w:r>
        <w:rPr>
          <w:rFonts w:hint="eastAsia" w:ascii="Times New Roman" w:hAnsi="Times New Roman"/>
          <w:color w:val="auto"/>
          <w:highlight w:val="none"/>
          <w:lang w:val="en-US" w:eastAsia="zh-CN"/>
        </w:rPr>
        <w:t>储煤厂四周设防风抑尘网，加盖苫布</w:t>
      </w:r>
      <w:r>
        <w:rPr>
          <w:rFonts w:hint="eastAsia" w:ascii="Times New Roman" w:hAnsi="Times New Roman"/>
          <w:color w:val="auto"/>
          <w:highlight w:val="none"/>
        </w:rPr>
        <w:t>，</w:t>
      </w:r>
      <w:r>
        <w:rPr>
          <w:rFonts w:ascii="Times New Roman" w:hAnsi="Times New Roman"/>
          <w:color w:val="auto"/>
          <w:highlight w:val="none"/>
        </w:rPr>
        <w:t>输煤系统采用全封闭结构，项目设置</w:t>
      </w:r>
      <w:r>
        <w:rPr>
          <w:rFonts w:hint="eastAsia" w:ascii="Times New Roman" w:hAnsi="Times New Roman"/>
          <w:color w:val="auto"/>
          <w:highlight w:val="none"/>
          <w:lang w:eastAsia="zh-CN"/>
        </w:rPr>
        <w:t>石灰石粉仓</w:t>
      </w:r>
      <w:r>
        <w:rPr>
          <w:rFonts w:ascii="Times New Roman" w:hAnsi="Times New Roman"/>
          <w:color w:val="auto"/>
          <w:highlight w:val="none"/>
        </w:rPr>
        <w:t>及中转的灰仓和渣仓，不设置永久灰渣场，灰仓、渣仓、</w:t>
      </w:r>
      <w:r>
        <w:rPr>
          <w:rFonts w:hint="eastAsia" w:ascii="Times New Roman" w:hAnsi="Times New Roman"/>
          <w:color w:val="auto"/>
          <w:highlight w:val="none"/>
          <w:lang w:eastAsia="zh-CN"/>
        </w:rPr>
        <w:t>石灰石粉仓</w:t>
      </w:r>
      <w:r>
        <w:rPr>
          <w:rFonts w:ascii="Times New Roman" w:hAnsi="Times New Roman"/>
          <w:color w:val="auto"/>
          <w:highlight w:val="none"/>
        </w:rPr>
        <w:t>的仓顶分别设置脉冲除尘器回收粉尘，</w:t>
      </w:r>
      <w:r>
        <w:rPr>
          <w:rFonts w:hint="eastAsia" w:ascii="Times New Roman" w:hAnsi="Times New Roman"/>
          <w:color w:val="auto"/>
          <w:highlight w:val="none"/>
        </w:rPr>
        <w:t>碎煤机室全封闭设置，设置布袋除尘器回收粉尘</w:t>
      </w:r>
      <w:r>
        <w:rPr>
          <w:rFonts w:hint="eastAsia" w:ascii="Times New Roman" w:hAnsi="Times New Roman"/>
          <w:color w:val="auto"/>
          <w:highlight w:val="none"/>
          <w:lang w:val="en-US" w:eastAsia="zh-CN"/>
        </w:rPr>
        <w:t>后经15m高排气筒排放</w:t>
      </w:r>
      <w:r>
        <w:rPr>
          <w:rFonts w:hint="eastAsia" w:ascii="Times New Roman" w:hAnsi="Times New Roman"/>
          <w:color w:val="auto"/>
          <w:highlight w:val="none"/>
        </w:rPr>
        <w:t>，</w:t>
      </w:r>
      <w:r>
        <w:rPr>
          <w:rFonts w:hint="eastAsia" w:ascii="Times New Roman" w:hAnsi="Times New Roman"/>
          <w:color w:val="auto"/>
          <w:highlight w:val="none"/>
          <w:lang w:val="en-US" w:eastAsia="zh-CN"/>
        </w:rPr>
        <w:t>有组织排放颗粒物</w:t>
      </w:r>
      <w:r>
        <w:rPr>
          <w:rFonts w:hint="eastAsia" w:ascii="Times New Roman" w:hAnsi="Times New Roman"/>
          <w:highlight w:val="none"/>
        </w:rPr>
        <w:t>《大气污染物综合排放标准》(GB16297-1996）表2中二级标准限值，本项目排气筒按高度对应的表列排放速率标准值严格50%执行</w:t>
      </w:r>
      <w:r>
        <w:rPr>
          <w:rFonts w:hint="eastAsia" w:ascii="Times New Roman" w:hAnsi="Times New Roman"/>
          <w:highlight w:val="none"/>
          <w:lang w:eastAsia="zh-CN"/>
        </w:rPr>
        <w:t>；</w:t>
      </w:r>
      <w:r>
        <w:rPr>
          <w:rFonts w:ascii="Times New Roman" w:hAnsi="Times New Roman"/>
          <w:color w:val="auto"/>
          <w:highlight w:val="none"/>
        </w:rPr>
        <w:t>无组织排放颗粒物厂界处满足《大气污染物综合排放标准》(GB16297-1996）表2中无组织排放监控浓度限值。</w:t>
      </w:r>
    </w:p>
    <w:p w14:paraId="6311A79B">
      <w:pPr>
        <w:ind w:firstLine="480"/>
        <w:rPr>
          <w:rFonts w:hint="eastAsia" w:ascii="Times New Roman" w:hAnsi="Times New Roman" w:eastAsia="宋体"/>
          <w:color w:val="auto"/>
          <w:highlight w:val="none"/>
          <w:lang w:eastAsia="zh-CN"/>
        </w:rPr>
      </w:pPr>
      <w:r>
        <w:rPr>
          <w:rFonts w:hint="eastAsia" w:ascii="宋体" w:hAnsi="宋体" w:cs="宋体"/>
          <w:color w:val="auto"/>
          <w:highlight w:val="none"/>
        </w:rPr>
        <w:t>③</w:t>
      </w:r>
      <w:r>
        <w:rPr>
          <w:rFonts w:ascii="Times New Roman" w:hAnsi="Times New Roman"/>
          <w:color w:val="auto"/>
          <w:kern w:val="0"/>
          <w:szCs w:val="24"/>
          <w:highlight w:val="none"/>
        </w:rPr>
        <w:t>锅炉烟气处理过程逃逸氨满足《火电厂氮氧化物防治技术政策》（环发〔2010〕10号）中规定：SNCR-SCR氨逃逸控制在2.5mg/m</w:t>
      </w:r>
      <w:r>
        <w:rPr>
          <w:rFonts w:ascii="Times New Roman" w:hAnsi="Times New Roman"/>
          <w:color w:val="auto"/>
          <w:kern w:val="0"/>
          <w:szCs w:val="24"/>
          <w:highlight w:val="none"/>
          <w:vertAlign w:val="superscript"/>
        </w:rPr>
        <w:t>3</w:t>
      </w:r>
      <w:r>
        <w:rPr>
          <w:rFonts w:ascii="Times New Roman" w:hAnsi="Times New Roman"/>
          <w:color w:val="auto"/>
          <w:kern w:val="0"/>
          <w:szCs w:val="24"/>
          <w:highlight w:val="none"/>
        </w:rPr>
        <w:t>（干基，标准状态）以下</w:t>
      </w:r>
      <w:r>
        <w:rPr>
          <w:rFonts w:hint="eastAsia" w:ascii="Times New Roman" w:hAnsi="Times New Roman"/>
          <w:color w:val="auto"/>
          <w:highlight w:val="none"/>
        </w:rPr>
        <w:t>，</w:t>
      </w:r>
      <w:r>
        <w:rPr>
          <w:rFonts w:ascii="Times New Roman" w:hAnsi="Times New Roman"/>
          <w:color w:val="auto"/>
          <w:highlight w:val="none"/>
        </w:rPr>
        <w:t>厂界氨的浓度满足《恶臭污染物排放标准》（GB14554-93）中表1二级标准值要求。</w:t>
      </w:r>
    </w:p>
    <w:p w14:paraId="4D21FC30">
      <w:pPr>
        <w:ind w:firstLine="480"/>
        <w:rPr>
          <w:rFonts w:ascii="Times New Roman" w:hAnsi="Times New Roman"/>
          <w:color w:val="auto"/>
          <w:highlight w:val="none"/>
        </w:rPr>
      </w:pPr>
      <w:r>
        <w:rPr>
          <w:rFonts w:ascii="Times New Roman" w:hAnsi="Times New Roman"/>
          <w:color w:val="auto"/>
          <w:highlight w:val="none"/>
        </w:rPr>
        <w:t>2、对水环境的影响</w:t>
      </w:r>
    </w:p>
    <w:p w14:paraId="0EE49348">
      <w:pPr>
        <w:ind w:firstLine="480"/>
        <w:rPr>
          <w:rFonts w:ascii="Times New Roman" w:hAnsi="Times New Roman"/>
          <w:color w:val="auto"/>
          <w:highlight w:val="none"/>
        </w:rPr>
      </w:pPr>
      <w:r>
        <w:rPr>
          <w:rFonts w:ascii="Times New Roman" w:hAnsi="Times New Roman"/>
          <w:color w:val="auto"/>
          <w:highlight w:val="none"/>
        </w:rPr>
        <w:t>（1）对地表水环境的影响</w:t>
      </w:r>
    </w:p>
    <w:p w14:paraId="6C5CB676">
      <w:pPr>
        <w:ind w:firstLine="480"/>
        <w:rPr>
          <w:rFonts w:ascii="Times New Roman" w:hAnsi="Times New Roman"/>
          <w:color w:val="auto"/>
          <w:highlight w:val="none"/>
        </w:rPr>
      </w:pPr>
      <w:r>
        <w:rPr>
          <w:rFonts w:ascii="Times New Roman" w:hAnsi="Times New Roman"/>
          <w:highlight w:val="none"/>
        </w:rPr>
        <w:t>本项目生产废水回用不外排，</w:t>
      </w:r>
      <w:r>
        <w:rPr>
          <w:rFonts w:hint="eastAsia" w:ascii="Times New Roman" w:hAnsi="Times New Roman"/>
          <w:highlight w:val="none"/>
        </w:rPr>
        <w:t>生活污水排入市政管网，经污水管网排入绥芬河中环污水处理有限公司，处理达到《城镇污水处理厂污染物排放标准》(GB18918—2002)一级</w:t>
      </w:r>
      <w:r>
        <w:rPr>
          <w:rFonts w:hint="eastAsia" w:ascii="Times New Roman" w:hAnsi="Times New Roman"/>
          <w:highlight w:val="none"/>
          <w:lang w:val="en-US" w:eastAsia="zh-CN"/>
        </w:rPr>
        <w:t>B</w:t>
      </w:r>
      <w:r>
        <w:rPr>
          <w:rFonts w:hint="eastAsia" w:ascii="Times New Roman" w:hAnsi="Times New Roman"/>
          <w:highlight w:val="none"/>
        </w:rPr>
        <w:t>标准后</w:t>
      </w:r>
      <w:r>
        <w:rPr>
          <w:rFonts w:hint="eastAsia" w:ascii="Times New Roman" w:hAnsi="Times New Roman"/>
          <w:highlight w:val="none"/>
          <w:lang w:val="en-US" w:eastAsia="zh-CN"/>
        </w:rPr>
        <w:t>最终汇入小绥芬河</w:t>
      </w:r>
      <w:r>
        <w:rPr>
          <w:rFonts w:ascii="Times New Roman" w:hAnsi="Times New Roman"/>
          <w:highlight w:val="none"/>
        </w:rPr>
        <w:t>。</w:t>
      </w:r>
    </w:p>
    <w:p w14:paraId="3A9BE60E">
      <w:pPr>
        <w:ind w:firstLine="480"/>
        <w:rPr>
          <w:rFonts w:ascii="Times New Roman" w:hAnsi="Times New Roman"/>
          <w:color w:val="auto"/>
          <w:highlight w:val="none"/>
        </w:rPr>
      </w:pPr>
      <w:r>
        <w:rPr>
          <w:rFonts w:ascii="Times New Roman" w:hAnsi="Times New Roman"/>
          <w:color w:val="auto"/>
          <w:highlight w:val="none"/>
        </w:rPr>
        <w:t>（2）对地下水环境的影响</w:t>
      </w:r>
    </w:p>
    <w:p w14:paraId="228682D3">
      <w:pPr>
        <w:ind w:firstLine="480"/>
        <w:rPr>
          <w:rFonts w:ascii="Times New Roman" w:hAnsi="Times New Roman"/>
          <w:color w:val="auto"/>
          <w:highlight w:val="none"/>
        </w:rPr>
      </w:pPr>
      <w:r>
        <w:rPr>
          <w:rFonts w:ascii="Times New Roman" w:hAnsi="Times New Roman"/>
          <w:color w:val="auto"/>
          <w:highlight w:val="none"/>
        </w:rPr>
        <w:t>本项目对地下水污染提出了严格的防渗措施及监控体系，在有效落实这些措施后，项目正常运行对地下水影响很小。</w:t>
      </w:r>
    </w:p>
    <w:p w14:paraId="07CA188C">
      <w:pPr>
        <w:ind w:firstLine="480"/>
        <w:rPr>
          <w:rFonts w:ascii="Times New Roman" w:hAnsi="Times New Roman"/>
          <w:color w:val="auto"/>
          <w:highlight w:val="none"/>
        </w:rPr>
      </w:pPr>
      <w:r>
        <w:rPr>
          <w:rFonts w:ascii="Times New Roman" w:hAnsi="Times New Roman"/>
          <w:color w:val="auto"/>
          <w:highlight w:val="none"/>
        </w:rPr>
        <w:t>3、噪声</w:t>
      </w:r>
    </w:p>
    <w:p w14:paraId="446EB288">
      <w:pPr>
        <w:ind w:firstLine="480"/>
        <w:rPr>
          <w:rFonts w:hint="eastAsia" w:ascii="Times New Roman" w:hAnsi="Times New Roman"/>
          <w:color w:val="auto"/>
          <w:highlight w:val="none"/>
        </w:rPr>
      </w:pPr>
      <w:r>
        <w:rPr>
          <w:rFonts w:ascii="Times New Roman" w:hAnsi="Times New Roman"/>
          <w:color w:val="auto"/>
          <w:highlight w:val="none"/>
        </w:rPr>
        <w:t>锅炉风机应修建密闭隔声风机房，将引风机和鼓风机都安装在机房内，风机安装时采取减振基础、软管连接，鼓风机的进气口及引风机的出风口安装消声器；设独立的碎煤机室，并对机房采用隔声门窗，吸声材料吊顶及敷设内墙；选择低噪声水泵，安装时保证设备平衡并采取减振基础，水泵房采用吸声墙体及顶棚。同时，通过厂房隔声和距离衰减，厂界噪声可满足《工业企业厂界环境噪声排放标准》表1中的3类标准</w:t>
      </w:r>
      <w:r>
        <w:rPr>
          <w:rFonts w:hint="eastAsia" w:ascii="Times New Roman" w:hAnsi="Times New Roman"/>
          <w:color w:val="auto"/>
          <w:highlight w:val="none"/>
          <w:lang w:eastAsia="zh-CN"/>
        </w:rPr>
        <w:t>（</w:t>
      </w:r>
      <w:r>
        <w:rPr>
          <w:rFonts w:hint="eastAsia" w:ascii="Times New Roman" w:hAnsi="Times New Roman"/>
          <w:color w:val="auto"/>
          <w:highlight w:val="none"/>
          <w:lang w:val="en-US" w:eastAsia="zh-CN"/>
        </w:rPr>
        <w:t>北侧为4类标准</w:t>
      </w:r>
      <w:r>
        <w:rPr>
          <w:rFonts w:hint="eastAsia" w:ascii="Times New Roman" w:hAnsi="Times New Roman"/>
          <w:color w:val="auto"/>
          <w:highlight w:val="none"/>
          <w:lang w:eastAsia="zh-CN"/>
        </w:rPr>
        <w:t>）；北侧散户居民声环境质量能够满足《声环境质量标准》（GB3096-2008）2类标准限值。东侧城镇居民声环境质量能够满足《声环境质量标准》（GB3096-2008）1类标准限值。</w:t>
      </w:r>
      <w:r>
        <w:rPr>
          <w:rFonts w:ascii="Times New Roman" w:hAnsi="Times New Roman"/>
          <w:color w:val="auto"/>
          <w:highlight w:val="none"/>
        </w:rPr>
        <w:t>。对声环境的不利影响较小。</w:t>
      </w:r>
      <w:r>
        <w:rPr>
          <w:rFonts w:ascii="Times New Roman" w:hAnsi="Times New Roman"/>
          <w:highlight w:val="none"/>
        </w:rPr>
        <w:t>本项目对高噪声设备，采用隔音、消声、隔振等降噪措施，使各种噪声源得到有效的控制。本项目锅炉烟筒等高噪声设备在远离敏感点的一侧布置，以降低噪声对敏感目标的影响，通过采取上述噪声防控措施，厂界噪声可满足《工业企业厂界环境噪声排放标准》（GB12348-2008）</w:t>
      </w:r>
      <w:r>
        <w:rPr>
          <w:rFonts w:hint="eastAsia" w:ascii="Times New Roman" w:hAnsi="Times New Roman"/>
          <w:highlight w:val="none"/>
          <w:lang w:val="en-US" w:eastAsia="zh-CN"/>
        </w:rPr>
        <w:t>2</w:t>
      </w:r>
      <w:r>
        <w:rPr>
          <w:rFonts w:ascii="Times New Roman" w:hAnsi="Times New Roman"/>
          <w:highlight w:val="none"/>
        </w:rPr>
        <w:t>类</w:t>
      </w:r>
      <w:r>
        <w:rPr>
          <w:rFonts w:hint="eastAsia" w:ascii="Times New Roman" w:hAnsi="Times New Roman"/>
          <w:highlight w:val="none"/>
          <w:lang w:val="en-US" w:eastAsia="zh-CN"/>
        </w:rPr>
        <w:t>和4类</w:t>
      </w:r>
      <w:r>
        <w:rPr>
          <w:rFonts w:ascii="Times New Roman" w:hAnsi="Times New Roman"/>
          <w:highlight w:val="none"/>
        </w:rPr>
        <w:t>标准。</w:t>
      </w:r>
      <w:r>
        <w:rPr>
          <w:rFonts w:hint="eastAsia" w:ascii="Times New Roman" w:hAnsi="Times New Roman"/>
          <w:highlight w:val="none"/>
        </w:rPr>
        <w:t>声环境敏感目标处噪声预测值均符合《声环境质量标准》（GB3096-2008）2类标准。</w:t>
      </w:r>
    </w:p>
    <w:p w14:paraId="56156B1C">
      <w:pPr>
        <w:pStyle w:val="23"/>
        <w:ind w:firstLine="480"/>
        <w:rPr>
          <w:rFonts w:hint="eastAsia"/>
          <w:color w:val="auto"/>
          <w:highlight w:val="none"/>
        </w:rPr>
      </w:pPr>
      <w:r>
        <w:rPr>
          <w:rFonts w:hint="eastAsia"/>
          <w:color w:val="auto"/>
          <w:highlight w:val="none"/>
        </w:rPr>
        <w:t>4、固废</w:t>
      </w:r>
    </w:p>
    <w:p w14:paraId="251DAFBF">
      <w:pPr>
        <w:pStyle w:val="23"/>
        <w:ind w:firstLine="480"/>
        <w:rPr>
          <w:rFonts w:hint="eastAsia"/>
          <w:color w:val="auto"/>
          <w:highlight w:val="none"/>
        </w:rPr>
      </w:pPr>
      <w:r>
        <w:rPr>
          <w:rFonts w:hint="eastAsia"/>
          <w:color w:val="auto"/>
          <w:highlight w:val="none"/>
        </w:rPr>
        <w:t>本项目锅炉灰渣</w:t>
      </w:r>
      <w:r>
        <w:rPr>
          <w:rFonts w:hint="eastAsia"/>
          <w:color w:val="auto"/>
          <w:highlight w:val="none"/>
          <w:lang w:val="en-US" w:eastAsia="zh-CN"/>
        </w:rPr>
        <w:t>回用于采矿区粉煤灰回填</w:t>
      </w:r>
      <w:r>
        <w:rPr>
          <w:rFonts w:hint="eastAsia"/>
          <w:color w:val="auto"/>
          <w:highlight w:val="none"/>
        </w:rPr>
        <w:t>；本项目灰渣在冬季利用不畅（运输或利用途径不畅）情况下，为防止灰渣无序堆放，项目产生的锅炉灰渣</w:t>
      </w:r>
      <w:r>
        <w:rPr>
          <w:rFonts w:hint="eastAsia"/>
          <w:color w:val="auto"/>
          <w:highlight w:val="none"/>
          <w:lang w:val="en-US" w:eastAsia="zh-CN"/>
        </w:rPr>
        <w:t>在本企业</w:t>
      </w:r>
      <w:r>
        <w:rPr>
          <w:rFonts w:hint="eastAsia"/>
          <w:color w:val="auto"/>
          <w:highlight w:val="none"/>
        </w:rPr>
        <w:t>临时贮存，</w:t>
      </w:r>
      <w:r>
        <w:rPr>
          <w:rFonts w:hint="eastAsia"/>
          <w:color w:val="auto"/>
          <w:highlight w:val="none"/>
          <w:lang w:val="en-US" w:eastAsia="zh-CN"/>
        </w:rPr>
        <w:t>企业现有灰渣贮存能力</w:t>
      </w:r>
      <w:r>
        <w:rPr>
          <w:rFonts w:hint="eastAsia"/>
          <w:color w:val="auto"/>
          <w:highlight w:val="none"/>
        </w:rPr>
        <w:t>能够满足本项目事故情况下的临时灰渣贮存需求；运行期间产生的</w:t>
      </w:r>
      <w:r>
        <w:rPr>
          <w:rFonts w:hint="eastAsia"/>
          <w:color w:val="auto"/>
          <w:highlight w:val="none"/>
          <w:lang w:val="en-US" w:eastAsia="zh-CN"/>
        </w:rPr>
        <w:t>废布袋、</w:t>
      </w:r>
      <w:r>
        <w:rPr>
          <w:rFonts w:hint="eastAsia"/>
          <w:color w:val="auto"/>
          <w:highlight w:val="none"/>
        </w:rPr>
        <w:t>废离子交换树脂</w:t>
      </w:r>
      <w:r>
        <w:rPr>
          <w:rFonts w:hint="eastAsia"/>
          <w:color w:val="auto"/>
          <w:highlight w:val="none"/>
          <w:lang w:val="en-US" w:eastAsia="zh-CN"/>
        </w:rPr>
        <w:t>和反渗透膜</w:t>
      </w:r>
      <w:r>
        <w:rPr>
          <w:rFonts w:hint="eastAsia"/>
          <w:color w:val="auto"/>
          <w:highlight w:val="none"/>
        </w:rPr>
        <w:t>交由生产厂家再生利用；废催化剂</w:t>
      </w:r>
      <w:r>
        <w:rPr>
          <w:rFonts w:hint="eastAsia"/>
          <w:color w:val="auto"/>
          <w:highlight w:val="none"/>
          <w:lang w:eastAsia="zh-CN"/>
        </w:rPr>
        <w:t>、</w:t>
      </w:r>
      <w:r>
        <w:rPr>
          <w:rFonts w:hint="eastAsia"/>
          <w:color w:val="auto"/>
          <w:highlight w:val="none"/>
          <w:lang w:val="en-US" w:eastAsia="zh-CN"/>
        </w:rPr>
        <w:t>废机油</w:t>
      </w:r>
      <w:r>
        <w:rPr>
          <w:rFonts w:hint="eastAsia"/>
          <w:color w:val="auto"/>
          <w:highlight w:val="none"/>
        </w:rPr>
        <w:t>交有资质单位处置。</w:t>
      </w:r>
    </w:p>
    <w:p w14:paraId="155C00FA">
      <w:pPr>
        <w:pStyle w:val="4"/>
        <w:bidi w:val="0"/>
        <w:ind w:left="0" w:leftChars="0" w:firstLine="0" w:firstLineChars="0"/>
        <w:rPr>
          <w:rFonts w:hint="eastAsia"/>
          <w:highlight w:val="none"/>
          <w:lang w:val="en-US" w:eastAsia="zh-CN"/>
        </w:rPr>
      </w:pPr>
      <w:bookmarkStart w:id="29" w:name="_Toc13930"/>
      <w:r>
        <w:rPr>
          <w:rFonts w:hint="eastAsia"/>
          <w:highlight w:val="none"/>
          <w:lang w:val="en-US" w:eastAsia="zh-CN"/>
        </w:rPr>
        <w:t>1.6</w:t>
      </w:r>
      <w:r>
        <w:rPr>
          <w:rFonts w:ascii="Times New Roman" w:hAnsi="Times New Roman"/>
          <w:color w:val="auto"/>
          <w:highlight w:val="none"/>
        </w:rPr>
        <w:t>环境影响评价工作主要结论</w:t>
      </w:r>
      <w:bookmarkEnd w:id="29"/>
    </w:p>
    <w:p w14:paraId="47234284">
      <w:pPr>
        <w:autoSpaceDE w:val="0"/>
        <w:autoSpaceDN w:val="0"/>
        <w:adjustRightInd w:val="0"/>
        <w:spacing w:line="360" w:lineRule="auto"/>
        <w:ind w:firstLine="480" w:firstLineChars="200"/>
        <w:jc w:val="left"/>
        <w:rPr>
          <w:rFonts w:ascii="Times New Roman" w:hAnsi="Times New Roman"/>
          <w:color w:val="auto"/>
          <w:highlight w:val="none"/>
        </w:rPr>
      </w:pPr>
      <w:r>
        <w:rPr>
          <w:rFonts w:cs="宋体"/>
          <w:sz w:val="24"/>
          <w:highlight w:val="none"/>
        </w:rPr>
        <w:t>建设项目符合国家和地方的产业政策，符合清洁生产要求，所排放的污染物采取了污染控制措施，污染物排放达标；预测表明对评价区的气、水、声环境影响较小，不会降低项目所在地的环境质量；符合总量控制；环境风险在可接受范围内。因此本报告书认为，在污染防治措施和环境风险防范措施到位的情况下，从环保角度来讲，本项目在评价区域内建设是可行的。</w:t>
      </w:r>
    </w:p>
    <w:p w14:paraId="7E43D7E0">
      <w:pPr>
        <w:rPr>
          <w:rFonts w:hint="default"/>
          <w:highlight w:val="none"/>
          <w:lang w:val="en-US" w:eastAsia="zh-CN"/>
        </w:rPr>
      </w:pPr>
      <w:r>
        <w:rPr>
          <w:rFonts w:ascii="Times New Roman" w:hAnsi="Times New Roman"/>
          <w:color w:val="auto"/>
          <w:highlight w:val="none"/>
        </w:rPr>
        <w:t>综上，该项目的建设从环境保护的角度分析是可行的。</w:t>
      </w:r>
    </w:p>
    <w:p w14:paraId="5DF2288B">
      <w:pPr>
        <w:bidi w:val="0"/>
        <w:rPr>
          <w:rFonts w:hint="default"/>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1926799F">
      <w:pPr>
        <w:pStyle w:val="3"/>
        <w:bidi w:val="0"/>
        <w:rPr>
          <w:rFonts w:hint="eastAsia" w:ascii="Times New Roman" w:hAnsi="Times New Roman" w:cs="Times New Roman"/>
          <w:highlight w:val="none"/>
          <w:lang w:val="en-US" w:eastAsia="zh-CN"/>
        </w:rPr>
      </w:pPr>
      <w:bookmarkStart w:id="30" w:name="_Toc5861"/>
      <w:r>
        <w:rPr>
          <w:rFonts w:hint="default" w:ascii="Times New Roman" w:hAnsi="Times New Roman" w:cs="Times New Roman"/>
          <w:highlight w:val="none"/>
          <w:lang w:val="en-US" w:eastAsia="zh-CN"/>
        </w:rPr>
        <w:t>2</w:t>
      </w:r>
      <w:r>
        <w:rPr>
          <w:rFonts w:hint="eastAsia" w:ascii="Times New Roman" w:hAnsi="Times New Roman" w:cs="Times New Roman"/>
          <w:highlight w:val="none"/>
          <w:lang w:val="en-US" w:eastAsia="zh-CN"/>
        </w:rPr>
        <w:t>总则</w:t>
      </w:r>
      <w:bookmarkEnd w:id="30"/>
    </w:p>
    <w:p w14:paraId="1F4593F3">
      <w:pPr>
        <w:pStyle w:val="4"/>
        <w:bidi w:val="0"/>
        <w:ind w:left="0" w:leftChars="0" w:firstLine="0" w:firstLineChars="0"/>
        <w:rPr>
          <w:rFonts w:hint="eastAsia" w:ascii="宋体" w:hAnsi="宋体" w:eastAsia="宋体" w:cs="宋体"/>
          <w:highlight w:val="none"/>
          <w:lang w:val="en-US" w:eastAsia="zh-CN"/>
        </w:rPr>
      </w:pPr>
      <w:bookmarkStart w:id="31" w:name="_Toc20574"/>
      <w:r>
        <w:rPr>
          <w:rFonts w:hint="default" w:ascii="Times New Roman" w:hAnsi="Times New Roman" w:cs="Times New Roman"/>
          <w:highlight w:val="none"/>
          <w:lang w:val="en-US" w:eastAsia="zh-CN"/>
        </w:rPr>
        <w:t>2.1</w:t>
      </w:r>
      <w:r>
        <w:rPr>
          <w:rFonts w:hint="eastAsia" w:ascii="宋体" w:hAnsi="宋体" w:eastAsia="宋体" w:cs="宋体"/>
          <w:highlight w:val="none"/>
          <w:lang w:val="en-US" w:eastAsia="zh-CN"/>
        </w:rPr>
        <w:t>编制依据</w:t>
      </w:r>
      <w:bookmarkEnd w:id="31"/>
    </w:p>
    <w:p w14:paraId="581A0E48">
      <w:pPr>
        <w:pStyle w:val="5"/>
        <w:bidi w:val="0"/>
        <w:ind w:left="0" w:leftChars="0" w:firstLine="0" w:firstLineChars="0"/>
        <w:rPr>
          <w:rFonts w:hint="eastAsia"/>
          <w:sz w:val="30"/>
          <w:szCs w:val="30"/>
          <w:highlight w:val="none"/>
          <w:lang w:val="en-US" w:eastAsia="zh-CN"/>
        </w:rPr>
      </w:pPr>
      <w:bookmarkStart w:id="32" w:name="_Toc11171"/>
      <w:r>
        <w:rPr>
          <w:rFonts w:hint="default" w:ascii="Times New Roman" w:hAnsi="Times New Roman" w:cs="Times New Roman"/>
          <w:sz w:val="30"/>
          <w:szCs w:val="30"/>
          <w:highlight w:val="none"/>
          <w:lang w:val="en-US" w:eastAsia="zh-CN"/>
        </w:rPr>
        <w:t>2.1.1</w:t>
      </w:r>
      <w:r>
        <w:rPr>
          <w:rFonts w:hint="eastAsia"/>
          <w:sz w:val="30"/>
          <w:szCs w:val="30"/>
          <w:highlight w:val="none"/>
          <w:lang w:val="en-US" w:eastAsia="zh-CN"/>
        </w:rPr>
        <w:t>相关法律、法规及文件</w:t>
      </w:r>
      <w:bookmarkEnd w:id="32"/>
    </w:p>
    <w:p w14:paraId="18C44A4E">
      <w:pPr>
        <w:ind w:firstLine="480"/>
        <w:rPr>
          <w:rFonts w:ascii="Times New Roman" w:hAnsi="Times New Roman"/>
          <w:color w:val="auto"/>
          <w:highlight w:val="none"/>
        </w:rPr>
      </w:pPr>
      <w:r>
        <w:rPr>
          <w:rFonts w:ascii="Times New Roman" w:hAnsi="Times New Roman"/>
          <w:color w:val="auto"/>
          <w:highlight w:val="none"/>
        </w:rPr>
        <w:t>（1）《中华人民共和国环境保护法》（2015年1月1日）；</w:t>
      </w:r>
    </w:p>
    <w:p w14:paraId="36E7E5B6">
      <w:pPr>
        <w:ind w:firstLine="480"/>
        <w:rPr>
          <w:rFonts w:ascii="Times New Roman" w:hAnsi="Times New Roman"/>
          <w:color w:val="auto"/>
          <w:highlight w:val="none"/>
        </w:rPr>
      </w:pPr>
      <w:r>
        <w:rPr>
          <w:rFonts w:ascii="Times New Roman" w:hAnsi="Times New Roman"/>
          <w:color w:val="auto"/>
          <w:highlight w:val="none"/>
        </w:rPr>
        <w:t>（2）《中华人民共和国大气污染防治法》（2018年10月26日）；</w:t>
      </w:r>
    </w:p>
    <w:p w14:paraId="2D37E960">
      <w:pPr>
        <w:ind w:firstLine="480"/>
        <w:rPr>
          <w:rFonts w:ascii="Times New Roman" w:hAnsi="Times New Roman"/>
          <w:color w:val="auto"/>
          <w:highlight w:val="none"/>
        </w:rPr>
      </w:pPr>
      <w:r>
        <w:rPr>
          <w:rFonts w:ascii="Times New Roman" w:hAnsi="Times New Roman"/>
          <w:color w:val="auto"/>
          <w:highlight w:val="none"/>
        </w:rPr>
        <w:t>（3）《中华人民共和国水污染防治法》（2018年1月1日）；</w:t>
      </w:r>
    </w:p>
    <w:p w14:paraId="2AAD13D6">
      <w:pPr>
        <w:ind w:firstLine="480"/>
        <w:rPr>
          <w:rFonts w:ascii="Times New Roman" w:hAnsi="Times New Roman"/>
          <w:color w:val="auto"/>
          <w:highlight w:val="none"/>
        </w:rPr>
      </w:pPr>
      <w:r>
        <w:rPr>
          <w:rFonts w:ascii="Times New Roman" w:hAnsi="Times New Roman"/>
          <w:color w:val="auto"/>
          <w:highlight w:val="none"/>
        </w:rPr>
        <w:t>（4）《中华人民共和国噪声污染防治法》（2021年12月24日）；</w:t>
      </w:r>
    </w:p>
    <w:p w14:paraId="2236CB28">
      <w:pPr>
        <w:ind w:firstLine="480"/>
        <w:rPr>
          <w:rFonts w:ascii="Times New Roman" w:hAnsi="Times New Roman"/>
          <w:color w:val="auto"/>
          <w:highlight w:val="none"/>
        </w:rPr>
      </w:pPr>
      <w:r>
        <w:rPr>
          <w:rFonts w:ascii="Times New Roman" w:hAnsi="Times New Roman"/>
          <w:color w:val="auto"/>
          <w:highlight w:val="none"/>
        </w:rPr>
        <w:t>（5）《中华人民共和国固体废物污染环境防治法》（2020年4月9日修订）；</w:t>
      </w:r>
    </w:p>
    <w:p w14:paraId="2ED64353">
      <w:pPr>
        <w:ind w:firstLine="480"/>
        <w:rPr>
          <w:rFonts w:ascii="Times New Roman" w:hAnsi="Times New Roman"/>
          <w:color w:val="auto"/>
          <w:highlight w:val="none"/>
        </w:rPr>
      </w:pPr>
      <w:r>
        <w:rPr>
          <w:rFonts w:ascii="Times New Roman" w:hAnsi="Times New Roman"/>
          <w:color w:val="auto"/>
          <w:highlight w:val="none"/>
        </w:rPr>
        <w:t>（6）《中华人民共和国环境影响评价法》（2018年12月29日）；</w:t>
      </w:r>
    </w:p>
    <w:p w14:paraId="32EFAD18">
      <w:pPr>
        <w:ind w:firstLine="480"/>
        <w:rPr>
          <w:rFonts w:ascii="Times New Roman" w:hAnsi="Times New Roman"/>
          <w:color w:val="auto"/>
          <w:highlight w:val="none"/>
        </w:rPr>
      </w:pPr>
      <w:r>
        <w:rPr>
          <w:rFonts w:ascii="Times New Roman" w:hAnsi="Times New Roman"/>
          <w:color w:val="auto"/>
          <w:highlight w:val="none"/>
        </w:rPr>
        <w:t>（7）《中华人民共和国土壤污染防治法》（2019年1月1日）</w:t>
      </w:r>
    </w:p>
    <w:p w14:paraId="21A18414">
      <w:pPr>
        <w:ind w:firstLine="480"/>
        <w:rPr>
          <w:rFonts w:ascii="Times New Roman" w:hAnsi="Times New Roman"/>
          <w:color w:val="auto"/>
          <w:highlight w:val="none"/>
        </w:rPr>
      </w:pPr>
      <w:r>
        <w:rPr>
          <w:rFonts w:ascii="Times New Roman" w:hAnsi="Times New Roman"/>
          <w:color w:val="auto"/>
          <w:highlight w:val="none"/>
        </w:rPr>
        <w:t>（8）《建设项目环境保护管理条例》（2017年10月1日）中华人民共和国国务院令第682号；</w:t>
      </w:r>
    </w:p>
    <w:p w14:paraId="763E6373">
      <w:pPr>
        <w:ind w:firstLine="480"/>
        <w:rPr>
          <w:rFonts w:ascii="Times New Roman" w:hAnsi="Times New Roman"/>
          <w:color w:val="auto"/>
          <w:highlight w:val="none"/>
        </w:rPr>
      </w:pPr>
      <w:r>
        <w:rPr>
          <w:rFonts w:ascii="Times New Roman" w:hAnsi="Times New Roman"/>
          <w:color w:val="auto"/>
          <w:highlight w:val="none"/>
        </w:rPr>
        <w:t>（9）《建设项目环境影响评价分类管理名录》（2021年版）；</w:t>
      </w:r>
    </w:p>
    <w:p w14:paraId="43C64926">
      <w:pPr>
        <w:ind w:firstLine="480"/>
        <w:rPr>
          <w:rFonts w:ascii="Times New Roman" w:hAnsi="Times New Roman"/>
          <w:color w:val="auto"/>
          <w:highlight w:val="none"/>
        </w:rPr>
      </w:pPr>
      <w:r>
        <w:rPr>
          <w:rFonts w:ascii="Times New Roman" w:hAnsi="Times New Roman"/>
          <w:color w:val="auto"/>
          <w:highlight w:val="none"/>
        </w:rPr>
        <w:t>（10）《产业结构调整指导目录（20</w:t>
      </w:r>
      <w:r>
        <w:rPr>
          <w:rFonts w:hint="eastAsia" w:ascii="Times New Roman" w:hAnsi="Times New Roman"/>
          <w:color w:val="auto"/>
          <w:highlight w:val="none"/>
          <w:lang w:val="en-US" w:eastAsia="zh-CN"/>
        </w:rPr>
        <w:t>24</w:t>
      </w:r>
      <w:r>
        <w:rPr>
          <w:rFonts w:ascii="Times New Roman" w:hAnsi="Times New Roman"/>
          <w:color w:val="auto"/>
          <w:highlight w:val="none"/>
        </w:rPr>
        <w:t>年本）》（</w:t>
      </w:r>
      <w:r>
        <w:rPr>
          <w:rFonts w:hint="eastAsia" w:ascii="Times New Roman" w:hAnsi="Times New Roman"/>
          <w:color w:val="auto"/>
          <w:highlight w:val="none"/>
        </w:rPr>
        <w:t>2024年2月1日</w:t>
      </w:r>
      <w:r>
        <w:rPr>
          <w:rFonts w:ascii="Times New Roman" w:hAnsi="Times New Roman"/>
          <w:color w:val="auto"/>
          <w:highlight w:val="none"/>
        </w:rPr>
        <w:t>）；</w:t>
      </w:r>
    </w:p>
    <w:p w14:paraId="2496AC3E">
      <w:pPr>
        <w:ind w:firstLine="480"/>
        <w:rPr>
          <w:rFonts w:ascii="Times New Roman" w:hAnsi="Times New Roman"/>
          <w:color w:val="auto"/>
          <w:highlight w:val="none"/>
        </w:rPr>
      </w:pPr>
      <w:r>
        <w:rPr>
          <w:rFonts w:ascii="Times New Roman" w:hAnsi="Times New Roman"/>
          <w:color w:val="auto"/>
          <w:highlight w:val="none"/>
        </w:rPr>
        <w:t>（11）《落实科学发展观加强环境保护的决定》（国发[2005]39号）（2005年12月15日）；</w:t>
      </w:r>
    </w:p>
    <w:p w14:paraId="55AF5BA7">
      <w:pPr>
        <w:ind w:firstLine="480"/>
        <w:rPr>
          <w:rFonts w:ascii="Times New Roman" w:hAnsi="Times New Roman"/>
          <w:color w:val="auto"/>
          <w:highlight w:val="none"/>
        </w:rPr>
      </w:pPr>
      <w:r>
        <w:rPr>
          <w:rFonts w:ascii="Times New Roman" w:hAnsi="Times New Roman"/>
          <w:color w:val="auto"/>
          <w:highlight w:val="none"/>
        </w:rPr>
        <w:t>（12）《燃煤二氧化硫排放污染防治技术政策》国家环境保护总局环发[2002]26号；</w:t>
      </w:r>
    </w:p>
    <w:p w14:paraId="17BE273E">
      <w:pPr>
        <w:ind w:firstLine="480"/>
        <w:rPr>
          <w:rFonts w:ascii="Times New Roman" w:hAnsi="Times New Roman"/>
          <w:color w:val="auto"/>
          <w:highlight w:val="none"/>
        </w:rPr>
      </w:pPr>
      <w:r>
        <w:rPr>
          <w:rFonts w:ascii="Times New Roman" w:hAnsi="Times New Roman"/>
          <w:color w:val="auto"/>
          <w:highlight w:val="none"/>
        </w:rPr>
        <w:t>（13）《</w:t>
      </w:r>
      <w:r>
        <w:rPr>
          <w:rFonts w:hint="eastAsia" w:ascii="Times New Roman" w:hAnsi="Times New Roman"/>
          <w:color w:val="auto"/>
          <w:highlight w:val="none"/>
        </w:rPr>
        <w:t>粉煤灰综合利用管理办法</w:t>
      </w:r>
      <w:r>
        <w:rPr>
          <w:rFonts w:ascii="Times New Roman" w:hAnsi="Times New Roman"/>
          <w:color w:val="auto"/>
          <w:highlight w:val="none"/>
        </w:rPr>
        <w:t>》</w:t>
      </w:r>
      <w:r>
        <w:rPr>
          <w:rFonts w:hint="eastAsia" w:ascii="Times New Roman" w:hAnsi="Times New Roman"/>
          <w:color w:val="auto"/>
          <w:highlight w:val="none"/>
        </w:rPr>
        <w:t>（2013年3月1日起施行）</w:t>
      </w:r>
      <w:r>
        <w:rPr>
          <w:rFonts w:ascii="Times New Roman" w:hAnsi="Times New Roman"/>
          <w:color w:val="auto"/>
          <w:highlight w:val="none"/>
        </w:rPr>
        <w:t>；</w:t>
      </w:r>
    </w:p>
    <w:p w14:paraId="12A8D66A">
      <w:pPr>
        <w:ind w:firstLine="480"/>
        <w:rPr>
          <w:rFonts w:ascii="Times New Roman" w:hAnsi="Times New Roman"/>
          <w:color w:val="auto"/>
          <w:highlight w:val="none"/>
        </w:rPr>
      </w:pPr>
      <w:r>
        <w:rPr>
          <w:rFonts w:ascii="Times New Roman" w:hAnsi="Times New Roman"/>
          <w:color w:val="auto"/>
          <w:highlight w:val="none"/>
        </w:rPr>
        <w:t>（14）《关于进一步加强环境影响评价管理防范环境风险的通知》（2012年7月3日）国家生态环境部环发［2012］77号；</w:t>
      </w:r>
    </w:p>
    <w:p w14:paraId="27FB332F">
      <w:pPr>
        <w:ind w:firstLine="480"/>
        <w:rPr>
          <w:rFonts w:ascii="Times New Roman" w:hAnsi="Times New Roman"/>
          <w:color w:val="auto"/>
          <w:highlight w:val="none"/>
        </w:rPr>
      </w:pPr>
      <w:r>
        <w:rPr>
          <w:rFonts w:ascii="Times New Roman" w:hAnsi="Times New Roman"/>
          <w:color w:val="auto"/>
          <w:highlight w:val="none"/>
        </w:rPr>
        <w:t>（15）《商品煤质量管理暂行办法》</w:t>
      </w:r>
      <w:r>
        <w:rPr>
          <w:rFonts w:hint="eastAsia" w:ascii="Times New Roman" w:hAnsi="Times New Roman"/>
          <w:color w:val="auto"/>
          <w:highlight w:val="none"/>
        </w:rPr>
        <w:t>（2015年1月1日起施）</w:t>
      </w:r>
      <w:r>
        <w:rPr>
          <w:rFonts w:ascii="Times New Roman" w:hAnsi="Times New Roman"/>
          <w:color w:val="auto"/>
          <w:highlight w:val="none"/>
        </w:rPr>
        <w:t>；</w:t>
      </w:r>
    </w:p>
    <w:p w14:paraId="406ED9F5">
      <w:pPr>
        <w:ind w:firstLine="480"/>
        <w:rPr>
          <w:rFonts w:ascii="Times New Roman" w:hAnsi="Times New Roman"/>
          <w:color w:val="auto"/>
          <w:highlight w:val="none"/>
        </w:rPr>
      </w:pPr>
      <w:r>
        <w:rPr>
          <w:rFonts w:ascii="Times New Roman" w:hAnsi="Times New Roman"/>
          <w:color w:val="auto"/>
          <w:highlight w:val="none"/>
        </w:rPr>
        <w:t>（16）《黑龙江省建设项目环境保护管理办法》</w:t>
      </w:r>
      <w:r>
        <w:rPr>
          <w:rFonts w:hint="eastAsia" w:ascii="Times New Roman" w:hAnsi="Times New Roman"/>
          <w:color w:val="auto"/>
          <w:highlight w:val="none"/>
        </w:rPr>
        <w:t>（</w:t>
      </w:r>
      <w:r>
        <w:rPr>
          <w:rFonts w:ascii="Times New Roman" w:hAnsi="Times New Roman"/>
          <w:color w:val="auto"/>
          <w:highlight w:val="none"/>
        </w:rPr>
        <w:t>黑龙江省人民政府令第23号</w:t>
      </w:r>
      <w:r>
        <w:rPr>
          <w:rFonts w:hint="eastAsia" w:ascii="Times New Roman" w:hAnsi="Times New Roman"/>
          <w:color w:val="auto"/>
          <w:highlight w:val="none"/>
        </w:rPr>
        <w:t>）</w:t>
      </w:r>
      <w:r>
        <w:rPr>
          <w:rFonts w:ascii="Times New Roman" w:hAnsi="Times New Roman"/>
          <w:color w:val="auto"/>
          <w:highlight w:val="none"/>
        </w:rPr>
        <w:t>；</w:t>
      </w:r>
    </w:p>
    <w:p w14:paraId="4C818882">
      <w:pPr>
        <w:ind w:firstLine="480"/>
        <w:rPr>
          <w:rFonts w:ascii="Times New Roman" w:hAnsi="Times New Roman"/>
          <w:color w:val="auto"/>
          <w:highlight w:val="none"/>
        </w:rPr>
      </w:pPr>
      <w:r>
        <w:rPr>
          <w:rFonts w:ascii="Times New Roman" w:hAnsi="Times New Roman"/>
          <w:color w:val="auto"/>
          <w:highlight w:val="none"/>
        </w:rPr>
        <w:t>（17）《黑龙江省大气污染防治行动计划实施细则》（黑政发[2014]1号）；</w:t>
      </w:r>
    </w:p>
    <w:p w14:paraId="64B6FDE9">
      <w:pPr>
        <w:ind w:firstLine="480"/>
        <w:rPr>
          <w:rFonts w:ascii="Times New Roman" w:hAnsi="Times New Roman"/>
          <w:color w:val="auto"/>
          <w:highlight w:val="none"/>
        </w:rPr>
      </w:pPr>
      <w:r>
        <w:rPr>
          <w:rFonts w:ascii="Times New Roman" w:hAnsi="Times New Roman"/>
          <w:color w:val="auto"/>
          <w:highlight w:val="none"/>
        </w:rPr>
        <w:t>（1</w:t>
      </w:r>
      <w:r>
        <w:rPr>
          <w:rFonts w:hint="eastAsia" w:ascii="Times New Roman" w:hAnsi="Times New Roman"/>
          <w:color w:val="auto"/>
          <w:highlight w:val="none"/>
        </w:rPr>
        <w:t>8</w:t>
      </w:r>
      <w:r>
        <w:rPr>
          <w:rFonts w:ascii="Times New Roman" w:hAnsi="Times New Roman"/>
          <w:color w:val="auto"/>
          <w:highlight w:val="none"/>
        </w:rPr>
        <w:t>）《黑龙江省大气污染防治条例》（</w:t>
      </w:r>
      <w:r>
        <w:rPr>
          <w:rFonts w:hint="eastAsia" w:ascii="Times New Roman" w:hAnsi="Times New Roman"/>
          <w:color w:val="auto"/>
          <w:highlight w:val="none"/>
          <w:lang w:val="en-US" w:eastAsia="zh-CN"/>
        </w:rPr>
        <w:t>2018年修订</w:t>
      </w:r>
      <w:r>
        <w:rPr>
          <w:rFonts w:ascii="Times New Roman" w:hAnsi="Times New Roman"/>
          <w:color w:val="auto"/>
          <w:highlight w:val="none"/>
        </w:rPr>
        <w:t>）；</w:t>
      </w:r>
    </w:p>
    <w:p w14:paraId="2CBF833B">
      <w:pPr>
        <w:ind w:firstLine="480"/>
        <w:rPr>
          <w:rFonts w:ascii="Times New Roman" w:hAnsi="Times New Roman"/>
          <w:color w:val="auto"/>
          <w:highlight w:val="none"/>
        </w:rPr>
      </w:pPr>
      <w:r>
        <w:rPr>
          <w:rFonts w:ascii="Times New Roman" w:hAnsi="Times New Roman"/>
          <w:color w:val="auto"/>
          <w:highlight w:val="none"/>
        </w:rPr>
        <w:t>（</w:t>
      </w:r>
      <w:r>
        <w:rPr>
          <w:rFonts w:hint="eastAsia" w:ascii="Times New Roman" w:hAnsi="Times New Roman"/>
          <w:color w:val="auto"/>
          <w:highlight w:val="none"/>
        </w:rPr>
        <w:t>19</w:t>
      </w:r>
      <w:r>
        <w:rPr>
          <w:rFonts w:ascii="Times New Roman" w:hAnsi="Times New Roman"/>
          <w:color w:val="auto"/>
          <w:highlight w:val="none"/>
        </w:rPr>
        <w:t>）《国务院关于印发土壤污染防治行动计划的通知》（国发[2016]31号，2016.5.28）；</w:t>
      </w:r>
    </w:p>
    <w:p w14:paraId="51FFF93D">
      <w:pPr>
        <w:ind w:firstLine="480"/>
        <w:rPr>
          <w:rFonts w:ascii="Times New Roman" w:hAnsi="Times New Roman"/>
          <w:color w:val="auto"/>
          <w:highlight w:val="none"/>
        </w:rPr>
      </w:pPr>
      <w:r>
        <w:rPr>
          <w:rFonts w:ascii="Times New Roman" w:hAnsi="Times New Roman"/>
          <w:color w:val="auto"/>
          <w:highlight w:val="none"/>
        </w:rPr>
        <w:t>（</w:t>
      </w:r>
      <w:r>
        <w:rPr>
          <w:rFonts w:hint="eastAsia" w:ascii="Times New Roman" w:hAnsi="Times New Roman"/>
          <w:color w:val="auto"/>
          <w:highlight w:val="none"/>
        </w:rPr>
        <w:t>20</w:t>
      </w:r>
      <w:r>
        <w:rPr>
          <w:rFonts w:ascii="Times New Roman" w:hAnsi="Times New Roman"/>
          <w:color w:val="auto"/>
          <w:highlight w:val="none"/>
        </w:rPr>
        <w:t>）《黑龙江省人民政府关于印发黑龙江省土壤污染防治实施方案的通知》（黑政发[2016]46号，2016.12.30）；</w:t>
      </w:r>
    </w:p>
    <w:p w14:paraId="622A7E08">
      <w:pPr>
        <w:ind w:firstLine="480"/>
        <w:rPr>
          <w:rFonts w:hint="eastAsia" w:eastAsia="宋体"/>
          <w:highlight w:val="none"/>
          <w:lang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21</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《黑龙江省城乡建设领域碳达峰实施方案》</w:t>
      </w:r>
      <w:r>
        <w:rPr>
          <w:rFonts w:hint="eastAsia" w:ascii="Times New Roman" w:hAnsi="Times New Roman" w:eastAsia="宋体" w:cs="Times New Roman"/>
          <w:color w:val="auto"/>
          <w:highlight w:val="none"/>
          <w:lang w:eastAsia="zh-CN"/>
        </w:rPr>
        <w:t>；</w:t>
      </w:r>
    </w:p>
    <w:p w14:paraId="4BE1A815">
      <w:pPr>
        <w:ind w:firstLine="480"/>
        <w:rPr>
          <w:rFonts w:ascii="Times New Roman" w:hAnsi="Times New Roman"/>
          <w:color w:val="auto"/>
          <w:highlight w:val="none"/>
        </w:rPr>
      </w:pPr>
      <w:r>
        <w:rPr>
          <w:rFonts w:ascii="Times New Roman" w:hAnsi="Times New Roman"/>
          <w:color w:val="auto"/>
          <w:highlight w:val="none"/>
        </w:rPr>
        <w:t>（2</w:t>
      </w:r>
      <w:r>
        <w:rPr>
          <w:rFonts w:hint="eastAsia" w:ascii="Times New Roman" w:hAnsi="Times New Roman"/>
          <w:color w:val="auto"/>
          <w:highlight w:val="none"/>
        </w:rPr>
        <w:t>2</w:t>
      </w:r>
      <w:r>
        <w:rPr>
          <w:rFonts w:ascii="Times New Roman" w:hAnsi="Times New Roman"/>
          <w:color w:val="auto"/>
          <w:highlight w:val="none"/>
        </w:rPr>
        <w:t>）《中华人民共和国清洁生产促进法》（2012年7月1日）；</w:t>
      </w:r>
    </w:p>
    <w:p w14:paraId="2A8C5B9E">
      <w:pPr>
        <w:ind w:firstLine="480"/>
        <w:rPr>
          <w:rFonts w:ascii="Times New Roman" w:hAnsi="Times New Roman"/>
          <w:color w:val="auto"/>
          <w:highlight w:val="none"/>
        </w:rPr>
      </w:pPr>
      <w:r>
        <w:rPr>
          <w:rFonts w:ascii="Times New Roman" w:hAnsi="Times New Roman"/>
          <w:color w:val="auto"/>
          <w:highlight w:val="none"/>
        </w:rPr>
        <w:t>（2</w:t>
      </w:r>
      <w:r>
        <w:rPr>
          <w:rFonts w:hint="eastAsia" w:ascii="Times New Roman" w:hAnsi="Times New Roman"/>
          <w:color w:val="auto"/>
          <w:highlight w:val="none"/>
        </w:rPr>
        <w:t>3</w:t>
      </w:r>
      <w:r>
        <w:rPr>
          <w:rFonts w:ascii="Times New Roman" w:hAnsi="Times New Roman"/>
          <w:color w:val="auto"/>
          <w:highlight w:val="none"/>
        </w:rPr>
        <w:t>）《中华人民共和国节约能源法》（2018年10月26日）；</w:t>
      </w:r>
    </w:p>
    <w:p w14:paraId="05EC225F">
      <w:pPr>
        <w:ind w:firstLine="480"/>
        <w:rPr>
          <w:rFonts w:ascii="Times New Roman" w:hAnsi="Times New Roman"/>
          <w:color w:val="auto"/>
          <w:highlight w:val="none"/>
        </w:rPr>
      </w:pPr>
      <w:r>
        <w:rPr>
          <w:rFonts w:ascii="Times New Roman" w:hAnsi="Times New Roman"/>
          <w:color w:val="auto"/>
          <w:highlight w:val="none"/>
        </w:rPr>
        <w:t>（2</w:t>
      </w:r>
      <w:r>
        <w:rPr>
          <w:rFonts w:hint="eastAsia" w:ascii="Times New Roman" w:hAnsi="Times New Roman"/>
          <w:color w:val="auto"/>
          <w:highlight w:val="none"/>
        </w:rPr>
        <w:t>4</w:t>
      </w:r>
      <w:r>
        <w:rPr>
          <w:rFonts w:ascii="Times New Roman" w:hAnsi="Times New Roman"/>
          <w:color w:val="auto"/>
          <w:highlight w:val="none"/>
        </w:rPr>
        <w:t>）《排污许可管理条例》（2021年3月1日）；</w:t>
      </w:r>
    </w:p>
    <w:p w14:paraId="3E4EF070">
      <w:pPr>
        <w:ind w:firstLine="480"/>
        <w:rPr>
          <w:rFonts w:ascii="Times New Roman" w:hAnsi="Times New Roman"/>
          <w:color w:val="auto"/>
          <w:highlight w:val="none"/>
        </w:rPr>
      </w:pPr>
      <w:r>
        <w:rPr>
          <w:rFonts w:ascii="Times New Roman" w:hAnsi="Times New Roman"/>
          <w:color w:val="auto"/>
          <w:highlight w:val="none"/>
        </w:rPr>
        <w:t>（25）《地下水管理条例》（2021年12月1日起施行）；</w:t>
      </w:r>
    </w:p>
    <w:p w14:paraId="0EDD830B">
      <w:pPr>
        <w:pStyle w:val="23"/>
        <w:ind w:firstLine="480"/>
        <w:rPr>
          <w:rFonts w:ascii="Times New Roman" w:hAnsi="Times New Roman"/>
          <w:color w:val="auto"/>
          <w:highlight w:val="none"/>
        </w:rPr>
      </w:pPr>
      <w:r>
        <w:rPr>
          <w:rFonts w:ascii="Times New Roman" w:hAnsi="Times New Roman"/>
          <w:color w:val="auto"/>
          <w:highlight w:val="none"/>
        </w:rPr>
        <w:t>（26）《关于印发&lt;全面实施燃煤电厂超低排放和节能改造工作方案&gt;的通知》（环发[2015]164号，2015年12月11日）；</w:t>
      </w:r>
    </w:p>
    <w:p w14:paraId="65B5967E">
      <w:pPr>
        <w:pStyle w:val="23"/>
        <w:ind w:firstLine="480"/>
        <w:rPr>
          <w:rFonts w:ascii="Times New Roman" w:hAnsi="Times New Roman"/>
          <w:color w:val="auto"/>
          <w:highlight w:val="none"/>
        </w:rPr>
      </w:pPr>
      <w:r>
        <w:rPr>
          <w:rFonts w:ascii="Times New Roman" w:hAnsi="Times New Roman"/>
          <w:color w:val="auto"/>
          <w:highlight w:val="none"/>
        </w:rPr>
        <w:t>（27）《黑龙江省城市供热条例》（</w:t>
      </w:r>
      <w:r>
        <w:rPr>
          <w:rFonts w:hint="eastAsia" w:ascii="Times New Roman" w:hAnsi="Times New Roman"/>
          <w:color w:val="auto"/>
          <w:highlight w:val="none"/>
          <w:lang w:val="en-US" w:eastAsia="zh-CN"/>
        </w:rPr>
        <w:t>2021年修正</w:t>
      </w:r>
      <w:r>
        <w:rPr>
          <w:rFonts w:ascii="Times New Roman" w:hAnsi="Times New Roman"/>
          <w:color w:val="auto"/>
          <w:highlight w:val="none"/>
        </w:rPr>
        <w:t>）；</w:t>
      </w:r>
    </w:p>
    <w:p w14:paraId="05AAE616">
      <w:pPr>
        <w:pStyle w:val="23"/>
        <w:ind w:firstLine="480"/>
        <w:rPr>
          <w:rFonts w:ascii="Times New Roman" w:hAnsi="Times New Roman"/>
          <w:color w:val="auto"/>
          <w:highlight w:val="none"/>
        </w:rPr>
      </w:pPr>
      <w:r>
        <w:rPr>
          <w:rFonts w:ascii="Times New Roman" w:hAnsi="Times New Roman"/>
          <w:color w:val="auto"/>
          <w:highlight w:val="none"/>
        </w:rPr>
        <w:t>（28）《北方地区清洁采暖规划》（2017-2030）；</w:t>
      </w:r>
    </w:p>
    <w:p w14:paraId="59CBBD42">
      <w:pPr>
        <w:pStyle w:val="23"/>
        <w:ind w:firstLine="480"/>
        <w:rPr>
          <w:rFonts w:ascii="Times New Roman" w:hAnsi="Times New Roman"/>
          <w:color w:val="auto"/>
          <w:highlight w:val="none"/>
        </w:rPr>
      </w:pPr>
      <w:r>
        <w:rPr>
          <w:rFonts w:ascii="Times New Roman" w:hAnsi="Times New Roman"/>
          <w:color w:val="auto"/>
          <w:highlight w:val="none"/>
        </w:rPr>
        <w:t>（29）《关于做好环境影响评价制度与排污许可制衔接相关工作的通知》；</w:t>
      </w:r>
    </w:p>
    <w:p w14:paraId="7A748A4F">
      <w:pPr>
        <w:pStyle w:val="23"/>
        <w:ind w:firstLine="480"/>
        <w:rPr>
          <w:rFonts w:ascii="Times New Roman" w:hAnsi="Times New Roman"/>
          <w:color w:val="auto"/>
          <w:highlight w:val="none"/>
        </w:rPr>
      </w:pPr>
      <w:r>
        <w:rPr>
          <w:rFonts w:ascii="Times New Roman" w:hAnsi="Times New Roman"/>
          <w:color w:val="auto"/>
          <w:highlight w:val="none"/>
        </w:rPr>
        <w:t>（30）《黑龙江省人民政府关于全面加强生态环境保护坚决打好污染防治攻坚战的实施意见》；</w:t>
      </w:r>
    </w:p>
    <w:p w14:paraId="02C2CF0D">
      <w:pPr>
        <w:ind w:firstLine="480"/>
        <w:rPr>
          <w:rFonts w:ascii="Times New Roman" w:hAnsi="Times New Roman"/>
          <w:color w:val="auto"/>
          <w:highlight w:val="none"/>
        </w:rPr>
      </w:pPr>
      <w:r>
        <w:rPr>
          <w:rFonts w:ascii="Times New Roman" w:hAnsi="Times New Roman"/>
          <w:color w:val="auto"/>
          <w:highlight w:val="none"/>
        </w:rPr>
        <w:t>（31）《环境空气细颗粒物污染物污染综合防治技术政策》；</w:t>
      </w:r>
    </w:p>
    <w:p w14:paraId="4E2C7C5F">
      <w:pPr>
        <w:ind w:firstLine="480"/>
        <w:rPr>
          <w:rFonts w:ascii="Times New Roman" w:hAnsi="Times New Roman"/>
          <w:color w:val="auto"/>
          <w:highlight w:val="none"/>
        </w:rPr>
      </w:pPr>
      <w:r>
        <w:rPr>
          <w:rFonts w:ascii="Times New Roman" w:hAnsi="Times New Roman"/>
          <w:color w:val="auto"/>
          <w:highlight w:val="none"/>
        </w:rPr>
        <w:t>（32）《黑龙江省人民政府关于实施“三线一单”生态环境分区管控的意见》（黑政发[2020]14号）；</w:t>
      </w:r>
    </w:p>
    <w:p w14:paraId="44ECC7E6">
      <w:pPr>
        <w:ind w:firstLine="480"/>
        <w:rPr>
          <w:rFonts w:ascii="Times New Roman" w:hAnsi="Times New Roman"/>
          <w:color w:val="auto"/>
          <w:highlight w:val="none"/>
        </w:rPr>
      </w:pPr>
      <w:r>
        <w:rPr>
          <w:rFonts w:ascii="Times New Roman" w:hAnsi="Times New Roman"/>
          <w:color w:val="auto"/>
          <w:highlight w:val="none"/>
        </w:rPr>
        <w:t>（33）</w:t>
      </w:r>
      <w:r>
        <w:rPr>
          <w:rFonts w:hint="eastAsia"/>
          <w:color w:val="auto"/>
          <w:sz w:val="24"/>
          <w:szCs w:val="24"/>
          <w:highlight w:val="none"/>
        </w:rPr>
        <w:t>《</w:t>
      </w:r>
      <w:r>
        <w:rPr>
          <w:rFonts w:hint="eastAsia"/>
          <w:color w:val="auto"/>
          <w:sz w:val="24"/>
          <w:szCs w:val="24"/>
          <w:highlight w:val="none"/>
          <w:lang w:eastAsia="zh-CN"/>
        </w:rPr>
        <w:t>牡丹江市</w:t>
      </w:r>
      <w:r>
        <w:rPr>
          <w:rFonts w:hint="eastAsia"/>
          <w:color w:val="auto"/>
          <w:sz w:val="24"/>
          <w:szCs w:val="24"/>
          <w:highlight w:val="none"/>
        </w:rPr>
        <w:t>人民政府关于实施“三线一单”生态环境分区管控的意见》（</w:t>
      </w:r>
      <w:r>
        <w:rPr>
          <w:rFonts w:hint="eastAsia"/>
          <w:color w:val="auto"/>
          <w:sz w:val="24"/>
          <w:szCs w:val="24"/>
          <w:highlight w:val="none"/>
          <w:lang w:val="en-US" w:eastAsia="zh-CN"/>
        </w:rPr>
        <w:t>牡</w:t>
      </w:r>
      <w:r>
        <w:rPr>
          <w:rFonts w:hint="eastAsia"/>
          <w:color w:val="auto"/>
          <w:sz w:val="24"/>
          <w:szCs w:val="24"/>
          <w:highlight w:val="none"/>
        </w:rPr>
        <w:t>政</w:t>
      </w:r>
      <w:r>
        <w:rPr>
          <w:rFonts w:hint="eastAsia"/>
          <w:color w:val="auto"/>
          <w:sz w:val="24"/>
          <w:szCs w:val="24"/>
          <w:highlight w:val="none"/>
          <w:lang w:val="en-US" w:eastAsia="zh-CN"/>
        </w:rPr>
        <w:t>发</w:t>
      </w:r>
      <w:r>
        <w:rPr>
          <w:rFonts w:hint="eastAsia"/>
          <w:color w:val="auto"/>
          <w:sz w:val="24"/>
          <w:szCs w:val="24"/>
          <w:highlight w:val="none"/>
        </w:rPr>
        <w:t>〔2021〕</w:t>
      </w:r>
      <w:r>
        <w:rPr>
          <w:rFonts w:hint="eastAsia"/>
          <w:color w:val="auto"/>
          <w:sz w:val="24"/>
          <w:szCs w:val="24"/>
          <w:highlight w:val="none"/>
          <w:lang w:val="en-US" w:eastAsia="zh-CN"/>
        </w:rPr>
        <w:t>5</w:t>
      </w:r>
      <w:r>
        <w:rPr>
          <w:rFonts w:hint="eastAsia"/>
          <w:color w:val="auto"/>
          <w:sz w:val="24"/>
          <w:szCs w:val="24"/>
          <w:highlight w:val="none"/>
        </w:rPr>
        <w:t>号）</w:t>
      </w:r>
      <w:r>
        <w:rPr>
          <w:rFonts w:ascii="Times New Roman" w:hAnsi="Times New Roman"/>
          <w:color w:val="auto"/>
          <w:highlight w:val="none"/>
        </w:rPr>
        <w:t>；</w:t>
      </w:r>
    </w:p>
    <w:p w14:paraId="7597E3DC">
      <w:pPr>
        <w:ind w:firstLine="480"/>
        <w:rPr>
          <w:rFonts w:ascii="Times New Roman" w:hAnsi="Times New Roman"/>
          <w:color w:val="auto"/>
          <w:highlight w:val="none"/>
        </w:rPr>
      </w:pPr>
      <w:r>
        <w:rPr>
          <w:rFonts w:ascii="Times New Roman" w:hAnsi="Times New Roman"/>
          <w:color w:val="auto"/>
          <w:highlight w:val="none"/>
        </w:rPr>
        <w:t>（3</w:t>
      </w:r>
      <w:r>
        <w:rPr>
          <w:rFonts w:hint="eastAsia" w:ascii="Times New Roman" w:hAnsi="Times New Roman"/>
          <w:color w:val="auto"/>
          <w:highlight w:val="none"/>
        </w:rPr>
        <w:t>4</w:t>
      </w:r>
      <w:r>
        <w:rPr>
          <w:rFonts w:ascii="Times New Roman" w:hAnsi="Times New Roman"/>
          <w:color w:val="auto"/>
          <w:highlight w:val="none"/>
        </w:rPr>
        <w:t>）《黑龙江省“十四五”生态环境保护规划》；</w:t>
      </w:r>
    </w:p>
    <w:p w14:paraId="7136ECC6">
      <w:pPr>
        <w:bidi w:val="0"/>
        <w:rPr>
          <w:rFonts w:hint="eastAsia"/>
          <w:highlight w:val="none"/>
          <w:lang w:eastAsia="zh-CN"/>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35</w:t>
      </w:r>
      <w:r>
        <w:rPr>
          <w:rFonts w:hint="eastAsia" w:ascii="Times New Roman" w:hAnsi="Times New Roman" w:cs="Times New Roman"/>
          <w:color w:val="auto"/>
          <w:highlight w:val="none"/>
          <w:lang w:eastAsia="zh-CN"/>
        </w:rPr>
        <w:t>）</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牡丹江“十四五”生态环境保护规划</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2022年10月12日</w:t>
      </w:r>
      <w:r>
        <w:rPr>
          <w:rFonts w:hint="eastAsia" w:ascii="Times New Roman" w:hAnsi="Times New Roman" w:eastAsia="宋体" w:cs="Times New Roman"/>
          <w:color w:val="auto"/>
          <w:highlight w:val="none"/>
          <w:lang w:eastAsia="zh-CN"/>
        </w:rPr>
        <w:t>）</w:t>
      </w:r>
    </w:p>
    <w:p w14:paraId="6D54A060">
      <w:pPr>
        <w:ind w:firstLine="480"/>
        <w:rPr>
          <w:rFonts w:hint="eastAsia" w:ascii="Times New Roman" w:hAnsi="Times New Roman"/>
          <w:color w:val="auto"/>
          <w:highlight w:val="none"/>
          <w:lang w:eastAsia="zh-CN"/>
        </w:rPr>
      </w:pPr>
      <w:r>
        <w:rPr>
          <w:rFonts w:hint="eastAsia" w:ascii="Times New Roman" w:hAnsi="Times New Roman"/>
          <w:color w:val="auto"/>
          <w:highlight w:val="none"/>
          <w:lang w:eastAsia="zh-CN"/>
        </w:rPr>
        <w:t>（</w:t>
      </w:r>
      <w:r>
        <w:rPr>
          <w:rFonts w:hint="eastAsia" w:ascii="Times New Roman" w:hAnsi="Times New Roman"/>
          <w:color w:val="auto"/>
          <w:highlight w:val="none"/>
          <w:lang w:val="en-US" w:eastAsia="zh-CN"/>
        </w:rPr>
        <w:t>35</w:t>
      </w:r>
      <w:r>
        <w:rPr>
          <w:rFonts w:hint="eastAsia" w:ascii="Times New Roman" w:hAnsi="Times New Roman"/>
          <w:color w:val="auto"/>
          <w:highlight w:val="none"/>
          <w:lang w:eastAsia="zh-CN"/>
        </w:rPr>
        <w:t>）《</w:t>
      </w:r>
      <w:r>
        <w:rPr>
          <w:rFonts w:hint="eastAsia" w:ascii="Times New Roman" w:hAnsi="Times New Roman"/>
          <w:color w:val="auto"/>
          <w:highlight w:val="none"/>
          <w:lang w:val="en-US" w:eastAsia="zh-CN"/>
        </w:rPr>
        <w:t>绥芬河市</w:t>
      </w:r>
      <w:r>
        <w:rPr>
          <w:rFonts w:hint="eastAsia" w:ascii="Times New Roman" w:hAnsi="Times New Roman"/>
          <w:color w:val="auto"/>
          <w:highlight w:val="none"/>
          <w:lang w:eastAsia="zh-CN"/>
        </w:rPr>
        <w:t>集中供热规划》（20</w:t>
      </w:r>
      <w:r>
        <w:rPr>
          <w:rFonts w:hint="eastAsia" w:ascii="Times New Roman" w:hAnsi="Times New Roman"/>
          <w:color w:val="auto"/>
          <w:highlight w:val="none"/>
          <w:lang w:val="en-US" w:eastAsia="zh-CN"/>
        </w:rPr>
        <w:t>16</w:t>
      </w:r>
      <w:r>
        <w:rPr>
          <w:rFonts w:hint="eastAsia" w:ascii="Times New Roman" w:hAnsi="Times New Roman"/>
          <w:color w:val="auto"/>
          <w:highlight w:val="none"/>
          <w:lang w:eastAsia="zh-CN"/>
        </w:rPr>
        <w:t>-2030年）；</w:t>
      </w:r>
    </w:p>
    <w:p w14:paraId="30BBBFCC">
      <w:pPr>
        <w:ind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（36）《关于印发改善牡丹江市区空气质量实施方案的通知》。</w:t>
      </w:r>
    </w:p>
    <w:p w14:paraId="47352808">
      <w:pPr>
        <w:pStyle w:val="5"/>
        <w:bidi w:val="0"/>
        <w:ind w:left="0" w:leftChars="0" w:firstLine="0" w:firstLineChars="0"/>
        <w:rPr>
          <w:rFonts w:hint="eastAsia" w:ascii="Times New Roman" w:hAnsi="Times New Roman" w:eastAsia="宋体" w:cs="Times New Roman"/>
          <w:sz w:val="30"/>
          <w:szCs w:val="30"/>
          <w:highlight w:val="none"/>
          <w:lang w:val="en-US" w:eastAsia="zh-CN"/>
        </w:rPr>
      </w:pPr>
      <w:bookmarkStart w:id="33" w:name="_Toc31098"/>
      <w:r>
        <w:rPr>
          <w:rFonts w:hint="eastAsia" w:ascii="Times New Roman" w:hAnsi="Times New Roman" w:eastAsia="宋体" w:cs="Times New Roman"/>
          <w:sz w:val="30"/>
          <w:szCs w:val="30"/>
          <w:highlight w:val="none"/>
          <w:lang w:val="en-US" w:eastAsia="zh-CN"/>
        </w:rPr>
        <w:t>2.1.2有关技术导则规范</w:t>
      </w:r>
      <w:bookmarkEnd w:id="33"/>
    </w:p>
    <w:p w14:paraId="18D9E58A">
      <w:pPr>
        <w:ind w:firstLine="480"/>
        <w:rPr>
          <w:rFonts w:ascii="Times New Roman" w:hAnsi="Times New Roman"/>
          <w:color w:val="auto"/>
          <w:highlight w:val="none"/>
        </w:rPr>
      </w:pPr>
      <w:r>
        <w:rPr>
          <w:rFonts w:ascii="Times New Roman" w:hAnsi="Times New Roman"/>
          <w:color w:val="auto"/>
          <w:highlight w:val="none"/>
        </w:rPr>
        <w:t>（1）《建设项目环境影响评价技术导则 总纲》（HJ 2.1-2016）；</w:t>
      </w:r>
    </w:p>
    <w:p w14:paraId="04A0BF33">
      <w:pPr>
        <w:ind w:firstLine="480"/>
        <w:rPr>
          <w:rFonts w:ascii="Times New Roman" w:hAnsi="Times New Roman"/>
          <w:color w:val="auto"/>
          <w:highlight w:val="none"/>
        </w:rPr>
      </w:pPr>
      <w:r>
        <w:rPr>
          <w:rFonts w:ascii="Times New Roman" w:hAnsi="Times New Roman"/>
          <w:color w:val="auto"/>
          <w:highlight w:val="none"/>
        </w:rPr>
        <w:t>（2）《环境影响评价技术导则 大气环境》（HJ 2.2-2018）；</w:t>
      </w:r>
    </w:p>
    <w:p w14:paraId="62A72F54">
      <w:pPr>
        <w:ind w:firstLine="480"/>
        <w:rPr>
          <w:rFonts w:ascii="Times New Roman" w:hAnsi="Times New Roman"/>
          <w:color w:val="auto"/>
          <w:highlight w:val="none"/>
        </w:rPr>
      </w:pPr>
      <w:r>
        <w:rPr>
          <w:rFonts w:ascii="Times New Roman" w:hAnsi="Times New Roman"/>
          <w:color w:val="auto"/>
          <w:highlight w:val="none"/>
        </w:rPr>
        <w:t>（3）《环境影响评价技术导则 地表水环境》（HJ 2.3-2018）；</w:t>
      </w:r>
    </w:p>
    <w:p w14:paraId="2A1BE106">
      <w:pPr>
        <w:ind w:firstLine="480"/>
        <w:rPr>
          <w:rFonts w:ascii="Times New Roman" w:hAnsi="Times New Roman"/>
          <w:color w:val="auto"/>
          <w:highlight w:val="none"/>
        </w:rPr>
      </w:pPr>
      <w:r>
        <w:rPr>
          <w:rFonts w:ascii="Times New Roman" w:hAnsi="Times New Roman"/>
          <w:color w:val="auto"/>
          <w:highlight w:val="none"/>
        </w:rPr>
        <w:t>（4）《环境影响评价技术导则 声环境》（HJ 2.4—2021）；</w:t>
      </w:r>
    </w:p>
    <w:p w14:paraId="671D6633">
      <w:pPr>
        <w:ind w:firstLine="480"/>
        <w:rPr>
          <w:rFonts w:ascii="Times New Roman" w:hAnsi="Times New Roman"/>
          <w:color w:val="auto"/>
          <w:highlight w:val="none"/>
        </w:rPr>
      </w:pPr>
      <w:r>
        <w:rPr>
          <w:rFonts w:ascii="Times New Roman" w:hAnsi="Times New Roman"/>
          <w:color w:val="auto"/>
          <w:highlight w:val="none"/>
        </w:rPr>
        <w:t>（5）《环境影响评价技术导则 地下水环境》(HJ 610-2016)；</w:t>
      </w:r>
    </w:p>
    <w:p w14:paraId="125A1B54">
      <w:pPr>
        <w:ind w:firstLine="480"/>
        <w:rPr>
          <w:rFonts w:ascii="Times New Roman" w:hAnsi="Times New Roman"/>
          <w:color w:val="auto"/>
          <w:highlight w:val="none"/>
        </w:rPr>
      </w:pPr>
      <w:r>
        <w:rPr>
          <w:rFonts w:ascii="Times New Roman" w:hAnsi="Times New Roman"/>
          <w:color w:val="auto"/>
          <w:highlight w:val="none"/>
        </w:rPr>
        <w:t>（6）《建设项目环境风险评价技术导则》（HJ 169-2018）；</w:t>
      </w:r>
    </w:p>
    <w:p w14:paraId="25FB2105">
      <w:pPr>
        <w:ind w:firstLine="480"/>
        <w:rPr>
          <w:rFonts w:ascii="Times New Roman" w:hAnsi="Times New Roman"/>
          <w:color w:val="auto"/>
          <w:highlight w:val="none"/>
        </w:rPr>
      </w:pPr>
      <w:r>
        <w:rPr>
          <w:rFonts w:ascii="Times New Roman" w:hAnsi="Times New Roman"/>
          <w:color w:val="auto"/>
          <w:highlight w:val="none"/>
        </w:rPr>
        <w:t>（7）《环境影响评价技术导则 土壤环境（试行）》（HJ 964-2018）；</w:t>
      </w:r>
    </w:p>
    <w:p w14:paraId="4B6EA353">
      <w:pPr>
        <w:ind w:firstLine="480"/>
        <w:rPr>
          <w:rFonts w:ascii="Times New Roman" w:hAnsi="Times New Roman"/>
          <w:color w:val="auto"/>
          <w:highlight w:val="none"/>
        </w:rPr>
      </w:pPr>
      <w:r>
        <w:rPr>
          <w:rFonts w:ascii="Times New Roman" w:hAnsi="Times New Roman"/>
          <w:color w:val="auto"/>
          <w:highlight w:val="none"/>
        </w:rPr>
        <w:t>（8）《污染源源强核算技术指南 锅炉》（HJ</w:t>
      </w:r>
      <w:r>
        <w:rPr>
          <w:rFonts w:hint="eastAsia" w:ascii="Times New Roman" w:hAnsi="Times New Roman"/>
          <w:color w:val="auto"/>
          <w:highlight w:val="none"/>
        </w:rPr>
        <w:t xml:space="preserve"> </w:t>
      </w:r>
      <w:r>
        <w:rPr>
          <w:rFonts w:ascii="Times New Roman" w:hAnsi="Times New Roman"/>
          <w:color w:val="auto"/>
          <w:highlight w:val="none"/>
        </w:rPr>
        <w:t>991-2018）；</w:t>
      </w:r>
    </w:p>
    <w:p w14:paraId="0F241D6F">
      <w:pPr>
        <w:ind w:firstLine="480"/>
        <w:rPr>
          <w:rFonts w:ascii="Times New Roman" w:hAnsi="Times New Roman"/>
          <w:color w:val="auto"/>
          <w:highlight w:val="none"/>
        </w:rPr>
      </w:pPr>
      <w:r>
        <w:rPr>
          <w:rFonts w:ascii="Times New Roman" w:hAnsi="Times New Roman"/>
          <w:color w:val="auto"/>
          <w:highlight w:val="none"/>
        </w:rPr>
        <w:t>（9）《排污许可证申请与核发技术规范 锅炉》（HJ</w:t>
      </w:r>
      <w:r>
        <w:rPr>
          <w:rFonts w:hint="eastAsia" w:ascii="Times New Roman" w:hAnsi="Times New Roman"/>
          <w:color w:val="auto"/>
          <w:highlight w:val="none"/>
        </w:rPr>
        <w:t xml:space="preserve"> </w:t>
      </w:r>
      <w:r>
        <w:rPr>
          <w:rFonts w:ascii="Times New Roman" w:hAnsi="Times New Roman"/>
          <w:color w:val="auto"/>
          <w:highlight w:val="none"/>
        </w:rPr>
        <w:t>953 -2018）</w:t>
      </w:r>
    </w:p>
    <w:p w14:paraId="6C241183">
      <w:pPr>
        <w:ind w:firstLine="480"/>
        <w:rPr>
          <w:rFonts w:ascii="Times New Roman" w:hAnsi="Times New Roman"/>
          <w:color w:val="auto"/>
          <w:highlight w:val="none"/>
        </w:rPr>
      </w:pPr>
      <w:r>
        <w:rPr>
          <w:rFonts w:ascii="Times New Roman" w:hAnsi="Times New Roman"/>
          <w:color w:val="auto"/>
          <w:highlight w:val="none"/>
        </w:rPr>
        <w:t>（10）《排污单位自行监测技术指南 火力发电及锅炉》（HJ</w:t>
      </w:r>
      <w:r>
        <w:rPr>
          <w:rFonts w:hint="eastAsia" w:ascii="Times New Roman" w:hAnsi="Times New Roman"/>
          <w:color w:val="auto"/>
          <w:highlight w:val="none"/>
        </w:rPr>
        <w:t xml:space="preserve"> </w:t>
      </w:r>
      <w:r>
        <w:rPr>
          <w:rFonts w:ascii="Times New Roman" w:hAnsi="Times New Roman"/>
          <w:color w:val="auto"/>
          <w:highlight w:val="none"/>
        </w:rPr>
        <w:t>820-2017）</w:t>
      </w:r>
    </w:p>
    <w:p w14:paraId="59E77BD5">
      <w:pPr>
        <w:ind w:firstLine="480"/>
        <w:rPr>
          <w:rFonts w:ascii="Times New Roman" w:hAnsi="Times New Roman"/>
          <w:color w:val="auto"/>
          <w:highlight w:val="none"/>
        </w:rPr>
      </w:pPr>
      <w:r>
        <w:rPr>
          <w:rFonts w:ascii="Times New Roman" w:hAnsi="Times New Roman"/>
          <w:color w:val="auto"/>
          <w:highlight w:val="none"/>
        </w:rPr>
        <w:t>（11）《危险废物收集贮存运输技术规范》(HJ</w:t>
      </w:r>
      <w:r>
        <w:rPr>
          <w:rFonts w:hint="eastAsia" w:ascii="Times New Roman" w:hAnsi="Times New Roman"/>
          <w:color w:val="auto"/>
          <w:highlight w:val="none"/>
        </w:rPr>
        <w:t xml:space="preserve"> </w:t>
      </w:r>
      <w:r>
        <w:rPr>
          <w:rFonts w:ascii="Times New Roman" w:hAnsi="Times New Roman"/>
          <w:color w:val="auto"/>
          <w:highlight w:val="none"/>
        </w:rPr>
        <w:t>2025-2012)；</w:t>
      </w:r>
    </w:p>
    <w:p w14:paraId="69D2E7B8">
      <w:pPr>
        <w:ind w:firstLine="480"/>
        <w:rPr>
          <w:rFonts w:ascii="Times New Roman" w:hAnsi="Times New Roman"/>
          <w:color w:val="auto"/>
          <w:highlight w:val="none"/>
        </w:rPr>
      </w:pPr>
      <w:r>
        <w:rPr>
          <w:rFonts w:ascii="Times New Roman" w:hAnsi="Times New Roman"/>
          <w:color w:val="auto"/>
          <w:highlight w:val="none"/>
        </w:rPr>
        <w:t>（12）《环境影响评价技术导则 生态影响》（HJ 19-2022）；</w:t>
      </w:r>
    </w:p>
    <w:p w14:paraId="481A338D">
      <w:pPr>
        <w:ind w:firstLine="480"/>
        <w:rPr>
          <w:rFonts w:hint="eastAsia" w:ascii="Times New Roman" w:hAnsi="Times New Roman"/>
          <w:color w:val="auto"/>
          <w:highlight w:val="none"/>
        </w:rPr>
      </w:pPr>
      <w:r>
        <w:rPr>
          <w:rFonts w:ascii="Times New Roman" w:hAnsi="Times New Roman"/>
          <w:color w:val="auto"/>
          <w:highlight w:val="none"/>
        </w:rPr>
        <w:t>（13）《火电厂烟气脱硝工程技术规范 选择性非催化还原法》</w:t>
      </w:r>
      <w:r>
        <w:rPr>
          <w:rFonts w:hint="eastAsia" w:ascii="Times New Roman" w:hAnsi="Times New Roman"/>
          <w:color w:val="auto"/>
          <w:highlight w:val="none"/>
        </w:rPr>
        <w:t>（</w:t>
      </w:r>
      <w:r>
        <w:rPr>
          <w:rFonts w:ascii="Times New Roman" w:hAnsi="Times New Roman"/>
          <w:color w:val="auto"/>
          <w:highlight w:val="none"/>
        </w:rPr>
        <w:t>HJ 563－2010</w:t>
      </w:r>
      <w:r>
        <w:rPr>
          <w:rFonts w:hint="eastAsia" w:ascii="Times New Roman" w:hAnsi="Times New Roman"/>
          <w:color w:val="auto"/>
          <w:highlight w:val="none"/>
        </w:rPr>
        <w:t>）</w:t>
      </w:r>
      <w:r>
        <w:rPr>
          <w:rFonts w:ascii="Times New Roman" w:hAnsi="Times New Roman"/>
          <w:color w:val="auto"/>
          <w:highlight w:val="none"/>
        </w:rPr>
        <w:t>；</w:t>
      </w:r>
    </w:p>
    <w:p w14:paraId="473C5E69">
      <w:pPr>
        <w:pStyle w:val="23"/>
        <w:ind w:firstLine="480"/>
        <w:rPr>
          <w:rFonts w:ascii="Times New Roman" w:hAnsi="Times New Roman"/>
          <w:color w:val="auto"/>
          <w:highlight w:val="none"/>
        </w:rPr>
      </w:pPr>
      <w:r>
        <w:rPr>
          <w:rFonts w:ascii="Times New Roman" w:hAnsi="Times New Roman"/>
          <w:color w:val="auto"/>
          <w:highlight w:val="none"/>
        </w:rPr>
        <w:t>（14）</w:t>
      </w:r>
      <w:r>
        <w:rPr>
          <w:rFonts w:hint="eastAsia" w:ascii="Times New Roman" w:hAnsi="Times New Roman"/>
          <w:color w:val="auto"/>
          <w:highlight w:val="none"/>
          <w:lang w:val="en-US" w:eastAsia="zh-CN"/>
        </w:rPr>
        <w:t xml:space="preserve"> </w:t>
      </w:r>
      <w:r>
        <w:rPr>
          <w:rFonts w:ascii="Times New Roman" w:hAnsi="Times New Roman"/>
          <w:color w:val="auto"/>
          <w:highlight w:val="none"/>
        </w:rPr>
        <w:t>《火电厂烟气脱硝工程技术规范选择性催化还原法》（HJ</w:t>
      </w:r>
      <w:r>
        <w:rPr>
          <w:rFonts w:hint="eastAsia" w:ascii="Times New Roman" w:hAnsi="Times New Roman"/>
          <w:color w:val="auto"/>
          <w:highlight w:val="none"/>
        </w:rPr>
        <w:t xml:space="preserve"> </w:t>
      </w:r>
      <w:r>
        <w:rPr>
          <w:rFonts w:ascii="Times New Roman" w:hAnsi="Times New Roman"/>
          <w:color w:val="auto"/>
          <w:highlight w:val="none"/>
        </w:rPr>
        <w:t>562－2010）</w:t>
      </w:r>
    </w:p>
    <w:p w14:paraId="623C1058">
      <w:pPr>
        <w:pStyle w:val="21"/>
        <w:ind w:firstLine="480"/>
        <w:rPr>
          <w:rFonts w:ascii="Times New Roman" w:hAnsi="Times New Roman"/>
          <w:color w:val="auto"/>
          <w:kern w:val="2"/>
          <w:szCs w:val="22"/>
          <w:highlight w:val="none"/>
        </w:rPr>
      </w:pPr>
      <w:r>
        <w:rPr>
          <w:rFonts w:ascii="Times New Roman" w:hAnsi="Times New Roman"/>
          <w:color w:val="auto"/>
          <w:highlight w:val="none"/>
        </w:rPr>
        <w:t>（1</w:t>
      </w:r>
      <w:r>
        <w:rPr>
          <w:rFonts w:hint="eastAsia" w:ascii="Times New Roman" w:hAnsi="Times New Roman"/>
          <w:color w:val="auto"/>
          <w:highlight w:val="none"/>
        </w:rPr>
        <w:t>5</w:t>
      </w:r>
      <w:r>
        <w:rPr>
          <w:rFonts w:ascii="Times New Roman" w:hAnsi="Times New Roman"/>
          <w:color w:val="auto"/>
          <w:highlight w:val="none"/>
        </w:rPr>
        <w:t>）《工业锅炉烟气治理工程技术</w:t>
      </w:r>
      <w:r>
        <w:rPr>
          <w:rFonts w:ascii="Times New Roman" w:hAnsi="Times New Roman"/>
          <w:color w:val="auto"/>
          <w:kern w:val="2"/>
          <w:szCs w:val="22"/>
          <w:highlight w:val="none"/>
        </w:rPr>
        <w:t>规范》（HJ 462—2021）；</w:t>
      </w:r>
    </w:p>
    <w:p w14:paraId="300D3C60">
      <w:pPr>
        <w:rPr>
          <w:rFonts w:hint="eastAsia" w:ascii="Times New Roman" w:hAnsi="Times New Roman" w:eastAsia="宋体"/>
          <w:color w:val="auto"/>
          <w:kern w:val="2"/>
          <w:szCs w:val="22"/>
          <w:highlight w:val="none"/>
          <w:lang w:eastAsia="zh-CN"/>
        </w:rPr>
      </w:pPr>
      <w:r>
        <w:rPr>
          <w:rFonts w:ascii="Times New Roman" w:hAnsi="Times New Roman"/>
          <w:color w:val="auto"/>
          <w:kern w:val="2"/>
          <w:szCs w:val="22"/>
          <w:highlight w:val="none"/>
        </w:rPr>
        <w:t>（1</w:t>
      </w:r>
      <w:r>
        <w:rPr>
          <w:rFonts w:hint="eastAsia" w:ascii="Times New Roman" w:hAnsi="Times New Roman"/>
          <w:color w:val="auto"/>
          <w:kern w:val="2"/>
          <w:szCs w:val="22"/>
          <w:highlight w:val="none"/>
        </w:rPr>
        <w:t>6</w:t>
      </w:r>
      <w:r>
        <w:rPr>
          <w:rFonts w:ascii="Times New Roman" w:hAnsi="Times New Roman"/>
          <w:color w:val="auto"/>
          <w:kern w:val="2"/>
          <w:szCs w:val="22"/>
          <w:highlight w:val="none"/>
        </w:rPr>
        <w:t>）《烟气循环流化床法烟气脱硫工程通用技术规范》 (HJ 178—2018)</w:t>
      </w:r>
      <w:r>
        <w:rPr>
          <w:rFonts w:hint="eastAsia" w:ascii="Times New Roman" w:hAnsi="Times New Roman"/>
          <w:color w:val="auto"/>
          <w:kern w:val="2"/>
          <w:szCs w:val="22"/>
          <w:highlight w:val="none"/>
          <w:lang w:eastAsia="zh-CN"/>
        </w:rPr>
        <w:t>；</w:t>
      </w:r>
    </w:p>
    <w:p w14:paraId="6CEFF0F5">
      <w:pPr>
        <w:bidi w:val="0"/>
        <w:rPr>
          <w:rFonts w:hint="eastAsia" w:ascii="Times New Roman" w:hAnsi="Times New Roman"/>
          <w:color w:val="auto"/>
          <w:kern w:val="2"/>
          <w:szCs w:val="22"/>
          <w:highlight w:val="none"/>
          <w:lang w:eastAsia="zh-CN"/>
        </w:rPr>
      </w:pPr>
      <w:r>
        <w:rPr>
          <w:rFonts w:hint="eastAsia"/>
          <w:highlight w:val="none"/>
          <w:lang w:eastAsia="zh-CN"/>
        </w:rPr>
        <w:t>（</w:t>
      </w:r>
      <w:r>
        <w:rPr>
          <w:rFonts w:hint="eastAsia"/>
          <w:highlight w:val="none"/>
          <w:lang w:val="en-US" w:eastAsia="zh-CN"/>
        </w:rPr>
        <w:t>17</w:t>
      </w:r>
      <w:r>
        <w:rPr>
          <w:rFonts w:hint="eastAsia"/>
          <w:highlight w:val="none"/>
          <w:lang w:eastAsia="zh-CN"/>
        </w:rPr>
        <w:t>）《</w:t>
      </w:r>
      <w:r>
        <w:rPr>
          <w:rFonts w:hint="eastAsia"/>
          <w:highlight w:val="none"/>
          <w:lang w:val="en-US" w:eastAsia="zh-CN"/>
        </w:rPr>
        <w:t>工业锅炉污染防治可行技术指南</w:t>
      </w:r>
      <w:r>
        <w:rPr>
          <w:rFonts w:hint="eastAsia"/>
          <w:highlight w:val="none"/>
          <w:lang w:eastAsia="zh-CN"/>
        </w:rPr>
        <w:t>》</w:t>
      </w:r>
      <w:r>
        <w:rPr>
          <w:rFonts w:hint="eastAsia" w:ascii="Times New Roman" w:hAnsi="Times New Roman"/>
          <w:color w:val="auto"/>
          <w:kern w:val="2"/>
          <w:szCs w:val="22"/>
          <w:highlight w:val="none"/>
          <w:lang w:eastAsia="zh-CN"/>
        </w:rPr>
        <w:t>（</w:t>
      </w:r>
      <w:r>
        <w:rPr>
          <w:rFonts w:hint="eastAsia" w:ascii="Times New Roman" w:hAnsi="Times New Roman"/>
          <w:color w:val="auto"/>
          <w:kern w:val="2"/>
          <w:szCs w:val="22"/>
          <w:highlight w:val="none"/>
          <w:lang w:val="en-US" w:eastAsia="zh-CN"/>
        </w:rPr>
        <w:t>HJ 1178-2021</w:t>
      </w:r>
      <w:r>
        <w:rPr>
          <w:rFonts w:hint="eastAsia" w:ascii="Times New Roman" w:hAnsi="Times New Roman"/>
          <w:color w:val="auto"/>
          <w:kern w:val="2"/>
          <w:szCs w:val="22"/>
          <w:highlight w:val="none"/>
          <w:lang w:eastAsia="zh-CN"/>
        </w:rPr>
        <w:t>）。</w:t>
      </w:r>
    </w:p>
    <w:p w14:paraId="14338396">
      <w:pPr>
        <w:pStyle w:val="5"/>
        <w:bidi w:val="0"/>
        <w:ind w:left="0" w:leftChars="0" w:firstLine="0" w:firstLineChars="0"/>
        <w:rPr>
          <w:rFonts w:hint="eastAsia" w:ascii="Times New Roman" w:hAnsi="Times New Roman" w:eastAsia="宋体" w:cs="Times New Roman"/>
          <w:sz w:val="30"/>
          <w:szCs w:val="30"/>
          <w:highlight w:val="none"/>
          <w:lang w:val="en-US" w:eastAsia="zh-CN"/>
        </w:rPr>
      </w:pPr>
      <w:bookmarkStart w:id="34" w:name="_Toc19697"/>
      <w:r>
        <w:rPr>
          <w:rFonts w:hint="eastAsia" w:ascii="Times New Roman" w:hAnsi="Times New Roman" w:eastAsia="宋体" w:cs="Times New Roman"/>
          <w:sz w:val="30"/>
          <w:szCs w:val="30"/>
          <w:highlight w:val="none"/>
          <w:lang w:val="en-US" w:eastAsia="zh-CN"/>
        </w:rPr>
        <w:t>2.1.3其他技术资料</w:t>
      </w:r>
      <w:bookmarkEnd w:id="34"/>
    </w:p>
    <w:p w14:paraId="6BAE0F3D">
      <w:pPr>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1、建设单位提供其他材料</w:t>
      </w:r>
    </w:p>
    <w:p w14:paraId="4585AD7A">
      <w:pPr>
        <w:pStyle w:val="4"/>
        <w:bidi w:val="0"/>
        <w:ind w:left="0" w:leftChars="0" w:firstLine="0" w:firstLineChars="0"/>
        <w:rPr>
          <w:rFonts w:hint="eastAsia" w:ascii="Times New Roman" w:hAnsi="Times New Roman" w:cs="Times New Roman"/>
          <w:highlight w:val="none"/>
          <w:lang w:val="en-US" w:eastAsia="zh-CN"/>
        </w:rPr>
      </w:pPr>
      <w:bookmarkStart w:id="35" w:name="_Toc18374"/>
      <w:r>
        <w:rPr>
          <w:rFonts w:hint="eastAsia" w:ascii="Times New Roman" w:hAnsi="Times New Roman" w:cs="Times New Roman"/>
          <w:highlight w:val="none"/>
          <w:lang w:val="en-US" w:eastAsia="zh-CN"/>
        </w:rPr>
        <w:t>2.2评价目的与原则</w:t>
      </w:r>
      <w:bookmarkEnd w:id="35"/>
    </w:p>
    <w:p w14:paraId="54357085">
      <w:pPr>
        <w:pStyle w:val="5"/>
        <w:bidi w:val="0"/>
        <w:ind w:left="0" w:leftChars="0" w:firstLine="0" w:firstLineChars="0"/>
        <w:rPr>
          <w:rFonts w:hint="eastAsia" w:ascii="Times New Roman" w:hAnsi="Times New Roman" w:eastAsia="宋体" w:cs="Times New Roman"/>
          <w:sz w:val="30"/>
          <w:szCs w:val="30"/>
          <w:highlight w:val="none"/>
          <w:lang w:val="en-US" w:eastAsia="zh-CN"/>
        </w:rPr>
      </w:pPr>
      <w:bookmarkStart w:id="36" w:name="_Toc13070"/>
      <w:r>
        <w:rPr>
          <w:rFonts w:hint="eastAsia" w:ascii="Times New Roman" w:hAnsi="Times New Roman" w:eastAsia="宋体" w:cs="Times New Roman"/>
          <w:sz w:val="30"/>
          <w:szCs w:val="30"/>
          <w:highlight w:val="none"/>
          <w:lang w:val="en-US" w:eastAsia="zh-CN"/>
        </w:rPr>
        <w:t>2.2.1评价目的</w:t>
      </w:r>
      <w:bookmarkEnd w:id="36"/>
    </w:p>
    <w:p w14:paraId="2BC7CFCB">
      <w:pPr>
        <w:rPr>
          <w:rFonts w:ascii="Times New Roman" w:hAnsi="Times New Roman"/>
          <w:color w:val="auto"/>
          <w:highlight w:val="none"/>
        </w:rPr>
      </w:pPr>
      <w:r>
        <w:rPr>
          <w:rFonts w:ascii="Times New Roman" w:hAnsi="Times New Roman"/>
          <w:color w:val="auto"/>
          <w:highlight w:val="none"/>
        </w:rPr>
        <w:t>按照国家环境影响评价工作程序的要求，针对本工程排污的特点，在充分了解工程建设基本情况及所在区域环境功能要求和环境质量现状的基础上，通过对工程建设可能引起的环境问题进行分析，识别出本工程建设各阶段的环境影响因子，按照“达标排放”、“总量控制”的指导思想，依据国家和地方的有关法律、法规、标准的要求，提出技术可行、经济合理的污染防治措施及生态保护措施，预测本工程投产后所排污染物对周围环境产生影响的范围和程度，结合公众参与环境影响评价结果，从环境角度论证该工程建设的可行性，为项目环境管理和决策提供科学依据。</w:t>
      </w:r>
    </w:p>
    <w:p w14:paraId="25933F48">
      <w:pPr>
        <w:pStyle w:val="5"/>
        <w:bidi w:val="0"/>
        <w:ind w:left="0" w:leftChars="0" w:firstLine="0" w:firstLineChars="0"/>
        <w:rPr>
          <w:rFonts w:hint="eastAsia" w:ascii="Times New Roman" w:hAnsi="Times New Roman" w:eastAsia="宋体" w:cs="Times New Roman"/>
          <w:sz w:val="30"/>
          <w:szCs w:val="30"/>
          <w:highlight w:val="none"/>
          <w:lang w:val="en-US" w:eastAsia="zh-CN"/>
        </w:rPr>
      </w:pPr>
      <w:bookmarkStart w:id="37" w:name="_Toc27534"/>
      <w:r>
        <w:rPr>
          <w:rFonts w:hint="eastAsia" w:ascii="Times New Roman" w:hAnsi="Times New Roman" w:eastAsia="宋体" w:cs="Times New Roman"/>
          <w:sz w:val="30"/>
          <w:szCs w:val="30"/>
          <w:highlight w:val="none"/>
          <w:lang w:val="en-US" w:eastAsia="zh-CN"/>
        </w:rPr>
        <w:t>2.2.2评价原则</w:t>
      </w:r>
      <w:bookmarkEnd w:id="37"/>
    </w:p>
    <w:p w14:paraId="12F937BA">
      <w:pPr>
        <w:ind w:firstLine="480"/>
        <w:rPr>
          <w:rFonts w:ascii="Times New Roman" w:hAnsi="Times New Roman"/>
          <w:color w:val="auto"/>
          <w:highlight w:val="none"/>
        </w:rPr>
      </w:pPr>
      <w:r>
        <w:rPr>
          <w:rFonts w:ascii="Times New Roman" w:hAnsi="Times New Roman"/>
          <w:color w:val="auto"/>
          <w:highlight w:val="none"/>
        </w:rPr>
        <w:t>本项目的环境影响评价原则根据评价工作的流程和项目特性，分为以下三个原则，具体情况如下所述。</w:t>
      </w:r>
    </w:p>
    <w:p w14:paraId="58733F7A">
      <w:pPr>
        <w:ind w:firstLine="480"/>
        <w:rPr>
          <w:rFonts w:ascii="Times New Roman" w:hAnsi="Times New Roman"/>
          <w:color w:val="auto"/>
          <w:highlight w:val="none"/>
        </w:rPr>
      </w:pPr>
      <w:r>
        <w:rPr>
          <w:rFonts w:ascii="Times New Roman" w:hAnsi="Times New Roman"/>
          <w:color w:val="auto"/>
          <w:highlight w:val="none"/>
        </w:rPr>
        <w:t>（1）依法评价。本次环境影响评价贯彻执行了我国环境保护相关法律法规、标准、政策和规划等，优化了项目建设和环境管理。</w:t>
      </w:r>
    </w:p>
    <w:p w14:paraId="364A37C0">
      <w:pPr>
        <w:ind w:firstLine="480"/>
        <w:rPr>
          <w:rFonts w:ascii="Times New Roman" w:hAnsi="Times New Roman"/>
          <w:color w:val="auto"/>
          <w:highlight w:val="none"/>
        </w:rPr>
      </w:pPr>
      <w:r>
        <w:rPr>
          <w:rFonts w:ascii="Times New Roman" w:hAnsi="Times New Roman"/>
          <w:color w:val="auto"/>
          <w:highlight w:val="none"/>
        </w:rPr>
        <w:t>（2）科学评价。本次环境影响评价规范了环境影响评价方法，科学分析了项目建设对环境质量的影响。</w:t>
      </w:r>
    </w:p>
    <w:p w14:paraId="6F54F744">
      <w:pPr>
        <w:rPr>
          <w:rFonts w:ascii="Times New Roman" w:hAnsi="Times New Roman"/>
          <w:color w:val="auto"/>
          <w:highlight w:val="none"/>
        </w:rPr>
      </w:pPr>
      <w:r>
        <w:rPr>
          <w:rFonts w:ascii="Times New Roman" w:hAnsi="Times New Roman"/>
          <w:color w:val="auto"/>
          <w:highlight w:val="none"/>
        </w:rPr>
        <w:t>（3）突出重点。本次环境影响评价根据建设项目的工程内容及其特点，明确与环境要素间的作用效应关系，根据规划环境影响评价结论和审查意见，充分利用符合时效的数据资料及成果，对建设项目主要环境影响予以重点分析和评价。</w:t>
      </w:r>
    </w:p>
    <w:p w14:paraId="08C76A42">
      <w:pPr>
        <w:pStyle w:val="4"/>
        <w:bidi w:val="0"/>
        <w:ind w:left="0" w:leftChars="0" w:firstLine="0" w:firstLineChars="0"/>
        <w:rPr>
          <w:rFonts w:hint="eastAsia" w:ascii="Times New Roman" w:hAnsi="Times New Roman" w:cs="Times New Roman"/>
          <w:highlight w:val="none"/>
          <w:lang w:val="en-US" w:eastAsia="zh-CN"/>
        </w:rPr>
      </w:pPr>
      <w:bookmarkStart w:id="38" w:name="_Toc27124"/>
      <w:r>
        <w:rPr>
          <w:rFonts w:hint="eastAsia" w:ascii="Times New Roman" w:hAnsi="Times New Roman" w:cs="Times New Roman"/>
          <w:highlight w:val="none"/>
          <w:lang w:val="en-US" w:eastAsia="zh-CN"/>
        </w:rPr>
        <w:t>2.3评价因子与评价标准</w:t>
      </w:r>
      <w:bookmarkEnd w:id="38"/>
    </w:p>
    <w:p w14:paraId="1611964E">
      <w:pPr>
        <w:pStyle w:val="5"/>
        <w:bidi w:val="0"/>
        <w:ind w:left="0" w:leftChars="0" w:firstLine="0" w:firstLineChars="0"/>
        <w:rPr>
          <w:rFonts w:hint="eastAsia" w:ascii="Times New Roman" w:hAnsi="Times New Roman" w:eastAsia="宋体" w:cs="Times New Roman"/>
          <w:highlight w:val="none"/>
          <w:lang w:val="en-US" w:eastAsia="zh-CN"/>
        </w:rPr>
      </w:pPr>
      <w:bookmarkStart w:id="39" w:name="_Toc29251"/>
      <w:r>
        <w:rPr>
          <w:rFonts w:hint="eastAsia" w:ascii="Times New Roman" w:hAnsi="Times New Roman" w:eastAsia="宋体" w:cs="Times New Roman"/>
          <w:highlight w:val="none"/>
          <w:lang w:val="en-US" w:eastAsia="zh-CN"/>
        </w:rPr>
        <w:t>2.3.1环境影响因素识别</w:t>
      </w:r>
      <w:bookmarkEnd w:id="39"/>
    </w:p>
    <w:p w14:paraId="7672459D">
      <w:pPr>
        <w:ind w:firstLine="480"/>
        <w:rPr>
          <w:rFonts w:ascii="Times New Roman" w:hAnsi="Times New Roman"/>
          <w:color w:val="auto"/>
          <w:highlight w:val="none"/>
        </w:rPr>
      </w:pPr>
      <w:r>
        <w:rPr>
          <w:rFonts w:ascii="Times New Roman" w:hAnsi="Times New Roman"/>
          <w:color w:val="auto"/>
          <w:highlight w:val="none"/>
        </w:rPr>
        <w:t>在工程分析的基础上，通过工程污染源和环境影响分析，按施工期和运营期进行环境影响识别。根据建设项目对环境的影响程度，以及与国家和地方环境法律法规、环境标准的符合程度，确定重要环境因素。</w:t>
      </w:r>
    </w:p>
    <w:p w14:paraId="2483FFD0">
      <w:pPr>
        <w:ind w:firstLine="480"/>
        <w:rPr>
          <w:rFonts w:ascii="Times New Roman" w:hAnsi="Times New Roman"/>
          <w:color w:val="auto"/>
          <w:highlight w:val="none"/>
        </w:rPr>
      </w:pPr>
      <w:r>
        <w:rPr>
          <w:rFonts w:ascii="Times New Roman" w:hAnsi="Times New Roman"/>
          <w:color w:val="auto"/>
          <w:highlight w:val="none"/>
        </w:rPr>
        <w:t>1、施工期环境影响识别</w:t>
      </w:r>
    </w:p>
    <w:p w14:paraId="6C8F0F2E">
      <w:pPr>
        <w:ind w:firstLine="480"/>
        <w:rPr>
          <w:rFonts w:ascii="Times New Roman" w:hAnsi="Times New Roman"/>
          <w:color w:val="auto"/>
          <w:highlight w:val="none"/>
        </w:rPr>
      </w:pPr>
      <w:r>
        <w:rPr>
          <w:rFonts w:hint="eastAsia" w:ascii="Times New Roman" w:hAnsi="Times New Roman"/>
          <w:color w:val="auto"/>
          <w:highlight w:val="none"/>
        </w:rPr>
        <w:t>项目施工废水主要为施工废水及施工人员生活污水，会对周围区域水环境造成影响。施工废气主要来源于施工场地平整、机械车辆运输过程产生的扬尘，以及施工机械排放的烟气，主要污染物为颗粒物、CO、NOx、烟尘等。施工废气主要呈无组织排放。施工期主要噪声源为安装设备、建筑机械和车辆运输产生噪声，噪声源为80~ 90dB(A)。该些施工机械一般为间歇性工作，持续时间较短，影响具有明显的时限性。施工期固废主要为施工人员生活垃圾、建筑弃渣，</w:t>
      </w:r>
      <w:r>
        <w:rPr>
          <w:rFonts w:ascii="Times New Roman" w:hAnsi="Times New Roman"/>
          <w:color w:val="auto"/>
          <w:highlight w:val="none"/>
        </w:rPr>
        <w:t>若处理不当，将对周围环境产生一定的不利影响。</w:t>
      </w:r>
    </w:p>
    <w:p w14:paraId="00368EB9">
      <w:pPr>
        <w:ind w:firstLine="480"/>
        <w:rPr>
          <w:rFonts w:ascii="Times New Roman" w:hAnsi="Times New Roman"/>
          <w:color w:val="auto"/>
          <w:highlight w:val="none"/>
        </w:rPr>
      </w:pPr>
      <w:r>
        <w:rPr>
          <w:rFonts w:ascii="Times New Roman" w:hAnsi="Times New Roman"/>
          <w:color w:val="auto"/>
          <w:highlight w:val="none"/>
        </w:rPr>
        <w:t>2、运行期环境影响识别</w:t>
      </w:r>
    </w:p>
    <w:p w14:paraId="566855A4">
      <w:pPr>
        <w:ind w:firstLine="480"/>
        <w:rPr>
          <w:rFonts w:ascii="Times New Roman" w:hAnsi="Times New Roman"/>
          <w:color w:val="auto"/>
          <w:highlight w:val="none"/>
        </w:rPr>
      </w:pPr>
      <w:r>
        <w:rPr>
          <w:rFonts w:ascii="Times New Roman" w:hAnsi="Times New Roman"/>
          <w:color w:val="auto"/>
          <w:highlight w:val="none"/>
        </w:rPr>
        <w:t>（1）生态环境影响：</w:t>
      </w:r>
      <w:r>
        <w:rPr>
          <w:rFonts w:hint="eastAsia" w:ascii="Times New Roman" w:hAnsi="Times New Roman"/>
          <w:color w:val="auto"/>
          <w:highlight w:val="none"/>
          <w:lang w:val="en-US" w:eastAsia="zh-CN"/>
        </w:rPr>
        <w:t>项目</w:t>
      </w:r>
      <w:r>
        <w:rPr>
          <w:rFonts w:ascii="Times New Roman" w:hAnsi="Times New Roman"/>
          <w:color w:val="auto"/>
          <w:highlight w:val="none"/>
        </w:rPr>
        <w:t>占地面积</w:t>
      </w:r>
      <w:r>
        <w:rPr>
          <w:rFonts w:hint="eastAsia" w:ascii="Times New Roman" w:hAnsi="Times New Roman"/>
          <w:color w:val="auto"/>
          <w:highlight w:val="none"/>
          <w:lang w:val="en-US" w:eastAsia="zh-CN"/>
        </w:rPr>
        <w:t>1.3万</w:t>
      </w:r>
      <w:r>
        <w:rPr>
          <w:rFonts w:hint="eastAsia" w:ascii="Times New Roman" w:hAnsi="Times New Roman"/>
          <w:iCs/>
          <w:color w:val="auto"/>
          <w:highlight w:val="none"/>
        </w:rPr>
        <w:t>平方米</w:t>
      </w:r>
      <w:r>
        <w:rPr>
          <w:rFonts w:hint="eastAsia" w:ascii="Times New Roman" w:hAnsi="Times New Roman"/>
          <w:color w:val="auto"/>
          <w:highlight w:val="none"/>
        </w:rPr>
        <w:t>。</w:t>
      </w:r>
      <w:r>
        <w:rPr>
          <w:rFonts w:ascii="Times New Roman" w:hAnsi="Times New Roman"/>
          <w:color w:val="auto"/>
          <w:highlight w:val="none"/>
        </w:rPr>
        <w:t>无需动迁民宅及新征土地，影响范围内无自然保护区、世界文化和自然遗产地等特殊敏感区，也无风景名胜区、森林公园、地质公园、重要湿地、原始天然林、珍稀濒危野生动植物天然集中分布区等重要生态敏感区，属一般区域。对生态环境影响轻微。</w:t>
      </w:r>
    </w:p>
    <w:p w14:paraId="1AC3996B">
      <w:pPr>
        <w:ind w:firstLine="480"/>
        <w:rPr>
          <w:rFonts w:ascii="Times New Roman" w:hAnsi="Times New Roman"/>
          <w:color w:val="auto"/>
          <w:highlight w:val="none"/>
        </w:rPr>
      </w:pPr>
      <w:r>
        <w:rPr>
          <w:rFonts w:ascii="Times New Roman" w:hAnsi="Times New Roman"/>
          <w:color w:val="auto"/>
          <w:highlight w:val="none"/>
        </w:rPr>
        <w:t>（2）声环境影响：营运期噪声污染主要来源于厂区内各种泵类以及锅炉风机等设备噪声，声环境影响即上述污染源对厂区周围声环境的影响。</w:t>
      </w:r>
    </w:p>
    <w:p w14:paraId="2E6DAE2C">
      <w:pPr>
        <w:ind w:firstLine="480"/>
        <w:rPr>
          <w:rFonts w:ascii="Times New Roman" w:hAnsi="Times New Roman"/>
          <w:color w:val="auto"/>
          <w:highlight w:val="none"/>
        </w:rPr>
      </w:pPr>
      <w:r>
        <w:rPr>
          <w:rFonts w:ascii="Times New Roman" w:hAnsi="Times New Roman"/>
          <w:color w:val="auto"/>
          <w:highlight w:val="none"/>
        </w:rPr>
        <w:t>（3）环境空气影响：废气污染物主要存在于锅炉燃烧产生的烟气中，另外还有燃煤贮存、输送过程</w:t>
      </w:r>
      <w:r>
        <w:rPr>
          <w:rFonts w:hint="eastAsia" w:ascii="Times New Roman" w:hAnsi="Times New Roman"/>
          <w:color w:val="auto"/>
          <w:highlight w:val="none"/>
        </w:rPr>
        <w:t>、碎煤机室、各粉料仓等</w:t>
      </w:r>
      <w:r>
        <w:rPr>
          <w:rFonts w:ascii="Times New Roman" w:hAnsi="Times New Roman"/>
          <w:color w:val="auto"/>
          <w:highlight w:val="none"/>
        </w:rPr>
        <w:t>，主要的废气污染物为</w:t>
      </w:r>
      <w:r>
        <w:rPr>
          <w:rFonts w:hint="eastAsia" w:ascii="Times New Roman" w:hAnsi="Times New Roman"/>
          <w:color w:val="auto"/>
          <w:highlight w:val="none"/>
        </w:rPr>
        <w:t>烟尘</w:t>
      </w:r>
      <w:r>
        <w:rPr>
          <w:rFonts w:ascii="Times New Roman" w:hAnsi="Times New Roman"/>
          <w:color w:val="auto"/>
          <w:highlight w:val="none"/>
        </w:rPr>
        <w:t>、SO</w:t>
      </w:r>
      <w:r>
        <w:rPr>
          <w:rFonts w:ascii="Times New Roman" w:hAnsi="Times New Roman"/>
          <w:color w:val="auto"/>
          <w:highlight w:val="none"/>
          <w:vertAlign w:val="subscript"/>
        </w:rPr>
        <w:t>2</w:t>
      </w:r>
      <w:r>
        <w:rPr>
          <w:rFonts w:ascii="Times New Roman" w:hAnsi="Times New Roman"/>
          <w:color w:val="auto"/>
          <w:highlight w:val="none"/>
        </w:rPr>
        <w:t>、NOx、汞及其化合物、</w:t>
      </w:r>
      <w:r>
        <w:rPr>
          <w:rFonts w:hint="eastAsia" w:ascii="Times New Roman" w:hAnsi="Times New Roman"/>
          <w:color w:val="auto"/>
          <w:highlight w:val="none"/>
        </w:rPr>
        <w:t>林格曼黑度、</w:t>
      </w:r>
      <w:r>
        <w:rPr>
          <w:rFonts w:ascii="Times New Roman" w:hAnsi="Times New Roman"/>
          <w:color w:val="auto"/>
          <w:highlight w:val="none"/>
        </w:rPr>
        <w:t>NH</w:t>
      </w:r>
      <w:r>
        <w:rPr>
          <w:rFonts w:ascii="Times New Roman" w:hAnsi="Times New Roman"/>
          <w:color w:val="auto"/>
          <w:highlight w:val="none"/>
          <w:vertAlign w:val="subscript"/>
        </w:rPr>
        <w:t>3</w:t>
      </w:r>
      <w:r>
        <w:rPr>
          <w:rFonts w:hint="eastAsia" w:ascii="Times New Roman" w:hAnsi="Times New Roman"/>
          <w:color w:val="auto"/>
          <w:highlight w:val="none"/>
          <w:vertAlign w:val="baseline"/>
          <w:lang w:eastAsia="zh-CN"/>
        </w:rPr>
        <w:t>、</w:t>
      </w:r>
      <w:r>
        <w:rPr>
          <w:rFonts w:hint="eastAsia" w:ascii="Times New Roman" w:hAnsi="Times New Roman"/>
          <w:color w:val="auto"/>
          <w:highlight w:val="none"/>
          <w:vertAlign w:val="baseline"/>
          <w:lang w:val="en-US" w:eastAsia="zh-CN"/>
        </w:rPr>
        <w:t>颗粒物</w:t>
      </w:r>
      <w:r>
        <w:rPr>
          <w:rFonts w:ascii="Times New Roman" w:hAnsi="Times New Roman"/>
          <w:color w:val="auto"/>
          <w:highlight w:val="none"/>
        </w:rPr>
        <w:t>。环境空气影响即上述污染源对厂区周围居民的影响。</w:t>
      </w:r>
    </w:p>
    <w:p w14:paraId="47CFEB3B">
      <w:pPr>
        <w:ind w:firstLine="480"/>
        <w:rPr>
          <w:rFonts w:ascii="Times New Roman" w:hAnsi="Times New Roman"/>
          <w:color w:val="auto"/>
          <w:highlight w:val="none"/>
        </w:rPr>
      </w:pPr>
      <w:r>
        <w:rPr>
          <w:rFonts w:ascii="Times New Roman" w:hAnsi="Times New Roman"/>
          <w:color w:val="auto"/>
          <w:highlight w:val="none"/>
        </w:rPr>
        <w:t>（4）水环境影响：废水主要有</w:t>
      </w:r>
      <w:r>
        <w:rPr>
          <w:rFonts w:hint="eastAsia" w:ascii="Times New Roman" w:hAnsi="Times New Roman"/>
          <w:color w:val="auto"/>
          <w:highlight w:val="none"/>
          <w:lang w:val="en-US" w:eastAsia="zh-CN"/>
        </w:rPr>
        <w:t>生活污水、脱硫废水、</w:t>
      </w:r>
      <w:r>
        <w:rPr>
          <w:rFonts w:ascii="Times New Roman" w:hAnsi="Times New Roman"/>
          <w:color w:val="auto"/>
          <w:highlight w:val="none"/>
        </w:rPr>
        <w:t>锅炉排污水</w:t>
      </w:r>
      <w:r>
        <w:rPr>
          <w:rFonts w:hint="eastAsia" w:ascii="Times New Roman" w:hAnsi="Times New Roman"/>
          <w:color w:val="auto"/>
          <w:highlight w:val="none"/>
          <w:lang w:eastAsia="zh-CN"/>
        </w:rPr>
        <w:t>及软化水废水</w:t>
      </w:r>
      <w:r>
        <w:rPr>
          <w:rFonts w:ascii="Times New Roman" w:hAnsi="Times New Roman"/>
          <w:color w:val="auto"/>
          <w:highlight w:val="none"/>
        </w:rPr>
        <w:t>。</w:t>
      </w:r>
      <w:r>
        <w:rPr>
          <w:rFonts w:ascii="Times New Roman" w:hAnsi="Times New Roman"/>
          <w:highlight w:val="none"/>
        </w:rPr>
        <w:t>其中：</w:t>
      </w:r>
      <w:r>
        <w:rPr>
          <w:rFonts w:hint="eastAsia" w:ascii="Times New Roman" w:hAnsi="Times New Roman"/>
          <w:highlight w:val="none"/>
          <w:lang w:val="en-US" w:eastAsia="zh-CN"/>
        </w:rPr>
        <w:t>生活污水排入市政管网；</w:t>
      </w:r>
      <w:r>
        <w:rPr>
          <w:rFonts w:ascii="Times New Roman" w:hAnsi="Times New Roman"/>
          <w:highlight w:val="none"/>
        </w:rPr>
        <w:t>脱硫废水的主要污染因子为</w:t>
      </w:r>
      <w:r>
        <w:rPr>
          <w:rFonts w:hint="eastAsia" w:ascii="Times New Roman" w:hAnsi="Times New Roman"/>
          <w:highlight w:val="none"/>
        </w:rPr>
        <w:t>pH值、悬浮物、化学需氧量、氟化物、硫化物、总砷、总铅、总汞、总镉</w:t>
      </w:r>
      <w:r>
        <w:rPr>
          <w:rFonts w:ascii="Times New Roman" w:hAnsi="Times New Roman"/>
          <w:highlight w:val="none"/>
        </w:rPr>
        <w:t>；锅炉排污水的主要污染因子为少量盐类、SS。水环境影响即上述污染源对周围地表水环境的影响。本项目生产废水全部回收利用，不外排。</w:t>
      </w:r>
    </w:p>
    <w:p w14:paraId="0618ACB5">
      <w:pPr>
        <w:ind w:firstLine="480"/>
        <w:rPr>
          <w:rFonts w:hint="default" w:ascii="Times New Roman" w:hAnsi="Times New Roman" w:eastAsia="宋体"/>
          <w:color w:val="auto"/>
          <w:highlight w:val="none"/>
          <w:lang w:val="en-US" w:eastAsia="zh-CN"/>
        </w:rPr>
      </w:pPr>
      <w:r>
        <w:rPr>
          <w:rFonts w:hint="eastAsia" w:ascii="Times New Roman" w:hAnsi="Times New Roman"/>
          <w:color w:val="auto"/>
          <w:highlight w:val="none"/>
          <w:lang w:eastAsia="zh-CN"/>
        </w:rPr>
        <w:t>（</w:t>
      </w:r>
      <w:r>
        <w:rPr>
          <w:rFonts w:hint="eastAsia" w:ascii="Times New Roman" w:hAnsi="Times New Roman"/>
          <w:color w:val="auto"/>
          <w:highlight w:val="none"/>
          <w:lang w:val="en-US" w:eastAsia="zh-CN"/>
        </w:rPr>
        <w:t>5</w:t>
      </w:r>
      <w:r>
        <w:rPr>
          <w:rFonts w:hint="eastAsia" w:ascii="Times New Roman" w:hAnsi="Times New Roman"/>
          <w:color w:val="auto"/>
          <w:highlight w:val="none"/>
          <w:lang w:eastAsia="zh-CN"/>
        </w:rPr>
        <w:t>）</w:t>
      </w:r>
      <w:r>
        <w:rPr>
          <w:rFonts w:hint="eastAsia" w:ascii="Times New Roman" w:hAnsi="Times New Roman"/>
          <w:color w:val="auto"/>
          <w:highlight w:val="none"/>
          <w:lang w:val="en-US" w:eastAsia="zh-CN"/>
        </w:rPr>
        <w:t>固废影响分析：本项目产生的炉灰、炉渣、脱硫石膏外售进行综合利用；废布袋、废离子交换树脂和反渗透膜由厂家回收处置；废机油、废催化剂暂存于危废贮存点，委托有资质单位处置。</w:t>
      </w:r>
    </w:p>
    <w:p w14:paraId="23739F69">
      <w:pPr>
        <w:ind w:firstLine="480"/>
        <w:rPr>
          <w:rFonts w:ascii="Times New Roman" w:hAnsi="Times New Roman"/>
          <w:color w:val="auto"/>
          <w:highlight w:val="none"/>
        </w:rPr>
      </w:pPr>
      <w:r>
        <w:rPr>
          <w:rFonts w:ascii="Times New Roman" w:hAnsi="Times New Roman"/>
          <w:color w:val="auto"/>
          <w:highlight w:val="none"/>
        </w:rPr>
        <w:t>（</w:t>
      </w:r>
      <w:r>
        <w:rPr>
          <w:rFonts w:hint="eastAsia" w:ascii="Times New Roman" w:hAnsi="Times New Roman"/>
          <w:color w:val="auto"/>
          <w:highlight w:val="none"/>
          <w:lang w:val="en-US" w:eastAsia="zh-CN"/>
        </w:rPr>
        <w:t>6</w:t>
      </w:r>
      <w:r>
        <w:rPr>
          <w:rFonts w:ascii="Times New Roman" w:hAnsi="Times New Roman"/>
          <w:color w:val="auto"/>
          <w:highlight w:val="none"/>
        </w:rPr>
        <w:t>）风险识别：本项目存在的主要环境风险物质为锅炉点火过程使用的柴油。</w:t>
      </w:r>
      <w:r>
        <w:rPr>
          <w:rFonts w:hint="eastAsia" w:ascii="Times New Roman" w:hAnsi="Times New Roman"/>
          <w:color w:val="auto"/>
          <w:highlight w:val="none"/>
        </w:rPr>
        <w:t>主要危险物质为轻柴油，厂区不设油区及油罐，采用油罐车运油到厂给锅炉点火，点火后油罐车离开厂区。</w:t>
      </w:r>
      <w:r>
        <w:rPr>
          <w:rFonts w:hint="eastAsia" w:ascii="Times New Roman" w:hAnsi="Times New Roman"/>
          <w:color w:val="auto"/>
          <w:highlight w:val="none"/>
          <w:lang w:val="en-US" w:eastAsia="zh-CN"/>
        </w:rPr>
        <w:t>本项目产生的废柴油及时委托有资质单位处置。</w:t>
      </w:r>
    </w:p>
    <w:p w14:paraId="508496D7">
      <w:pPr>
        <w:pStyle w:val="26"/>
        <w:rPr>
          <w:rFonts w:ascii="Times New Roman" w:hAnsi="Times New Roman"/>
          <w:color w:val="auto"/>
          <w:highlight w:val="none"/>
        </w:rPr>
      </w:pPr>
      <w:r>
        <w:rPr>
          <w:rFonts w:ascii="Times New Roman" w:hAnsi="Times New Roman"/>
          <w:color w:val="auto"/>
          <w:highlight w:val="none"/>
        </w:rPr>
        <w:t>（</w:t>
      </w:r>
      <w:r>
        <w:rPr>
          <w:rFonts w:hint="eastAsia" w:ascii="Times New Roman" w:hAnsi="Times New Roman"/>
          <w:color w:val="auto"/>
          <w:highlight w:val="none"/>
          <w:lang w:val="en-US" w:eastAsia="zh-CN"/>
        </w:rPr>
        <w:t>7</w:t>
      </w:r>
      <w:r>
        <w:rPr>
          <w:rFonts w:ascii="Times New Roman" w:hAnsi="Times New Roman"/>
          <w:color w:val="auto"/>
          <w:highlight w:val="none"/>
        </w:rPr>
        <w:t>）土壤环境影响</w:t>
      </w:r>
    </w:p>
    <w:p w14:paraId="60541402">
      <w:pPr>
        <w:pStyle w:val="26"/>
        <w:rPr>
          <w:rFonts w:ascii="Times New Roman" w:hAnsi="Times New Roman"/>
          <w:color w:val="auto"/>
          <w:highlight w:val="none"/>
        </w:rPr>
      </w:pPr>
      <w:r>
        <w:rPr>
          <w:rFonts w:ascii="Times New Roman" w:hAnsi="Times New Roman"/>
          <w:color w:val="auto"/>
          <w:highlight w:val="none"/>
        </w:rPr>
        <w:t>本项目运营期对土壤的影响主要是大气沉降落入土壤中，大气沉降量很少，对土壤环境影响较小。</w:t>
      </w:r>
    </w:p>
    <w:p w14:paraId="55F8E282">
      <w:pPr>
        <w:pStyle w:val="26"/>
        <w:rPr>
          <w:rFonts w:ascii="Times New Roman" w:hAnsi="Times New Roman"/>
          <w:color w:val="auto"/>
          <w:highlight w:val="none"/>
        </w:rPr>
      </w:pPr>
      <w:r>
        <w:rPr>
          <w:rFonts w:ascii="Times New Roman" w:hAnsi="Times New Roman"/>
          <w:color w:val="auto"/>
          <w:highlight w:val="none"/>
        </w:rPr>
        <w:t>环境因素识别通常采用矩阵法进行，根据该工程在施工期和运营期产生的环境影响的性质、工程周围环境特征及环境敏感程度，将本工程行为对各类环境要素产生的影响，按施工期和运营期制成环境影响识别与筛选矩阵表，见表2.3-1。</w:t>
      </w:r>
    </w:p>
    <w:p w14:paraId="6A03F574">
      <w:pPr>
        <w:pStyle w:val="29"/>
        <w:spacing w:line="240" w:lineRule="auto"/>
        <w:ind w:firstLine="480"/>
        <w:rPr>
          <w:rFonts w:hint="eastAsia" w:ascii="Times New Roman" w:hAnsi="Times New Roman" w:eastAsia="黑体" w:cs="Times New Roman"/>
          <w:color w:val="auto"/>
          <w:spacing w:val="0"/>
          <w:kern w:val="2"/>
          <w:sz w:val="24"/>
          <w:szCs w:val="24"/>
          <w:highlight w:val="none"/>
          <w:lang w:val="en-US" w:eastAsia="zh-CN" w:bidi="ar-SA"/>
        </w:rPr>
      </w:pPr>
      <w:r>
        <w:rPr>
          <w:rFonts w:hint="eastAsia" w:ascii="Times New Roman" w:hAnsi="Times New Roman" w:eastAsia="黑体" w:cs="Times New Roman"/>
          <w:color w:val="auto"/>
          <w:spacing w:val="0"/>
          <w:kern w:val="2"/>
          <w:sz w:val="24"/>
          <w:szCs w:val="24"/>
          <w:highlight w:val="none"/>
          <w:lang w:val="en-US" w:eastAsia="zh-CN" w:bidi="ar-SA"/>
        </w:rPr>
        <w:t>表2.3-1 环境影响因素识别矩阵</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31"/>
        <w:gridCol w:w="1632"/>
        <w:gridCol w:w="586"/>
        <w:gridCol w:w="547"/>
        <w:gridCol w:w="814"/>
        <w:gridCol w:w="652"/>
        <w:gridCol w:w="598"/>
        <w:gridCol w:w="652"/>
        <w:gridCol w:w="598"/>
        <w:gridCol w:w="580"/>
        <w:gridCol w:w="598"/>
        <w:gridCol w:w="634"/>
      </w:tblGrid>
      <w:tr w14:paraId="0E4FC2C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31" w:type="dxa"/>
            <w:vMerge w:val="restart"/>
            <w:noWrap w:val="0"/>
            <w:vAlign w:val="center"/>
          </w:tcPr>
          <w:p w14:paraId="42269282">
            <w:pPr>
              <w:pStyle w:val="27"/>
              <w:rPr>
                <w:rFonts w:ascii="Times New Roman" w:hAnsi="Times New Roman"/>
                <w:color w:val="auto"/>
                <w:highlight w:val="none"/>
              </w:rPr>
            </w:pPr>
            <w:r>
              <w:rPr>
                <w:rFonts w:ascii="Times New Roman" w:hAnsi="Times New Roman"/>
                <w:color w:val="auto"/>
                <w:highlight w:val="none"/>
              </w:rPr>
              <w:t>工程</w:t>
            </w:r>
          </w:p>
          <w:p w14:paraId="39FFF116">
            <w:pPr>
              <w:pStyle w:val="27"/>
              <w:rPr>
                <w:rFonts w:ascii="Times New Roman" w:hAnsi="Times New Roman"/>
                <w:color w:val="auto"/>
                <w:highlight w:val="none"/>
              </w:rPr>
            </w:pPr>
            <w:r>
              <w:rPr>
                <w:rFonts w:ascii="Times New Roman" w:hAnsi="Times New Roman"/>
                <w:color w:val="auto"/>
                <w:highlight w:val="none"/>
              </w:rPr>
              <w:t>阶段</w:t>
            </w:r>
          </w:p>
        </w:tc>
        <w:tc>
          <w:tcPr>
            <w:tcW w:w="1632" w:type="dxa"/>
            <w:vMerge w:val="restart"/>
            <w:noWrap w:val="0"/>
            <w:vAlign w:val="center"/>
          </w:tcPr>
          <w:p w14:paraId="6A7E3FA3">
            <w:pPr>
              <w:pStyle w:val="27"/>
              <w:rPr>
                <w:rFonts w:ascii="Times New Roman" w:hAnsi="Times New Roman"/>
                <w:color w:val="auto"/>
                <w:highlight w:val="none"/>
              </w:rPr>
            </w:pPr>
            <w:r>
              <w:rPr>
                <w:rFonts w:ascii="Times New Roman" w:hAnsi="Times New Roman"/>
                <w:color w:val="auto"/>
                <w:highlight w:val="none"/>
              </w:rPr>
              <w:t>工程作用因素</w:t>
            </w:r>
          </w:p>
        </w:tc>
        <w:tc>
          <w:tcPr>
            <w:tcW w:w="6259" w:type="dxa"/>
            <w:gridSpan w:val="10"/>
            <w:noWrap w:val="0"/>
            <w:vAlign w:val="center"/>
          </w:tcPr>
          <w:p w14:paraId="16E08C9D">
            <w:pPr>
              <w:pStyle w:val="27"/>
              <w:rPr>
                <w:rFonts w:ascii="Times New Roman" w:hAnsi="Times New Roman"/>
                <w:color w:val="auto"/>
                <w:highlight w:val="none"/>
              </w:rPr>
            </w:pPr>
            <w:r>
              <w:rPr>
                <w:rFonts w:ascii="Times New Roman" w:hAnsi="Times New Roman"/>
                <w:color w:val="auto"/>
                <w:highlight w:val="none"/>
              </w:rPr>
              <w:t>工程引起的环境影响及影响程度</w:t>
            </w:r>
          </w:p>
        </w:tc>
      </w:tr>
      <w:tr w14:paraId="73FC99B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56" w:hRule="atLeast"/>
          <w:jc w:val="center"/>
        </w:trPr>
        <w:tc>
          <w:tcPr>
            <w:tcW w:w="631" w:type="dxa"/>
            <w:vMerge w:val="continue"/>
            <w:noWrap w:val="0"/>
            <w:vAlign w:val="center"/>
          </w:tcPr>
          <w:p w14:paraId="5DC6D47E">
            <w:pPr>
              <w:pStyle w:val="27"/>
              <w:rPr>
                <w:rFonts w:ascii="Times New Roman" w:hAnsi="Times New Roman"/>
                <w:color w:val="auto"/>
                <w:highlight w:val="none"/>
              </w:rPr>
            </w:pPr>
          </w:p>
        </w:tc>
        <w:tc>
          <w:tcPr>
            <w:tcW w:w="1632" w:type="dxa"/>
            <w:vMerge w:val="continue"/>
            <w:noWrap w:val="0"/>
            <w:vAlign w:val="center"/>
          </w:tcPr>
          <w:p w14:paraId="73614197">
            <w:pPr>
              <w:pStyle w:val="27"/>
              <w:rPr>
                <w:rFonts w:ascii="Times New Roman" w:hAnsi="Times New Roman"/>
                <w:color w:val="auto"/>
                <w:highlight w:val="none"/>
              </w:rPr>
            </w:pPr>
          </w:p>
        </w:tc>
        <w:tc>
          <w:tcPr>
            <w:tcW w:w="586" w:type="dxa"/>
            <w:noWrap w:val="0"/>
            <w:vAlign w:val="center"/>
          </w:tcPr>
          <w:p w14:paraId="00E7CC1C">
            <w:pPr>
              <w:pStyle w:val="27"/>
              <w:rPr>
                <w:rFonts w:ascii="Times New Roman" w:hAnsi="Times New Roman"/>
                <w:color w:val="auto"/>
                <w:highlight w:val="none"/>
              </w:rPr>
            </w:pPr>
            <w:r>
              <w:rPr>
                <w:rFonts w:ascii="Times New Roman" w:hAnsi="Times New Roman"/>
                <w:color w:val="auto"/>
                <w:highlight w:val="none"/>
              </w:rPr>
              <w:t>水文</w:t>
            </w:r>
          </w:p>
        </w:tc>
        <w:tc>
          <w:tcPr>
            <w:tcW w:w="547" w:type="dxa"/>
            <w:noWrap w:val="0"/>
            <w:vAlign w:val="center"/>
          </w:tcPr>
          <w:p w14:paraId="0BB68740">
            <w:pPr>
              <w:pStyle w:val="27"/>
              <w:rPr>
                <w:rFonts w:ascii="Times New Roman" w:hAnsi="Times New Roman"/>
                <w:color w:val="auto"/>
                <w:highlight w:val="none"/>
              </w:rPr>
            </w:pPr>
            <w:r>
              <w:rPr>
                <w:rFonts w:ascii="Times New Roman" w:hAnsi="Times New Roman"/>
                <w:color w:val="auto"/>
                <w:highlight w:val="none"/>
              </w:rPr>
              <w:t>水质</w:t>
            </w:r>
          </w:p>
        </w:tc>
        <w:tc>
          <w:tcPr>
            <w:tcW w:w="814" w:type="dxa"/>
            <w:noWrap w:val="0"/>
            <w:vAlign w:val="center"/>
          </w:tcPr>
          <w:p w14:paraId="258BCB9C">
            <w:pPr>
              <w:pStyle w:val="27"/>
              <w:rPr>
                <w:rFonts w:ascii="Times New Roman" w:hAnsi="Times New Roman"/>
                <w:color w:val="auto"/>
                <w:highlight w:val="none"/>
              </w:rPr>
            </w:pPr>
            <w:r>
              <w:rPr>
                <w:rFonts w:ascii="Times New Roman" w:hAnsi="Times New Roman"/>
                <w:color w:val="auto"/>
                <w:highlight w:val="none"/>
              </w:rPr>
              <w:t>土壤</w:t>
            </w:r>
          </w:p>
          <w:p w14:paraId="4DB8F390">
            <w:pPr>
              <w:pStyle w:val="27"/>
              <w:rPr>
                <w:rFonts w:ascii="Times New Roman" w:hAnsi="Times New Roman"/>
                <w:color w:val="auto"/>
                <w:highlight w:val="none"/>
              </w:rPr>
            </w:pPr>
            <w:r>
              <w:rPr>
                <w:rFonts w:ascii="Times New Roman" w:hAnsi="Times New Roman"/>
                <w:color w:val="auto"/>
                <w:highlight w:val="none"/>
              </w:rPr>
              <w:t>污染</w:t>
            </w:r>
          </w:p>
        </w:tc>
        <w:tc>
          <w:tcPr>
            <w:tcW w:w="652" w:type="dxa"/>
            <w:noWrap w:val="0"/>
            <w:vAlign w:val="center"/>
          </w:tcPr>
          <w:p w14:paraId="13979A4C">
            <w:pPr>
              <w:pStyle w:val="27"/>
              <w:rPr>
                <w:rFonts w:ascii="Times New Roman" w:hAnsi="Times New Roman"/>
                <w:color w:val="auto"/>
                <w:highlight w:val="none"/>
              </w:rPr>
            </w:pPr>
            <w:r>
              <w:rPr>
                <w:rFonts w:ascii="Times New Roman" w:hAnsi="Times New Roman"/>
                <w:color w:val="auto"/>
                <w:highlight w:val="none"/>
              </w:rPr>
              <w:t>声环境</w:t>
            </w:r>
          </w:p>
        </w:tc>
        <w:tc>
          <w:tcPr>
            <w:tcW w:w="598" w:type="dxa"/>
            <w:noWrap w:val="0"/>
            <w:vAlign w:val="center"/>
          </w:tcPr>
          <w:p w14:paraId="6232C0FE">
            <w:pPr>
              <w:pStyle w:val="27"/>
              <w:rPr>
                <w:rFonts w:ascii="Times New Roman" w:hAnsi="Times New Roman"/>
                <w:color w:val="auto"/>
                <w:highlight w:val="none"/>
              </w:rPr>
            </w:pPr>
            <w:r>
              <w:rPr>
                <w:rFonts w:ascii="Times New Roman" w:hAnsi="Times New Roman"/>
                <w:color w:val="auto"/>
                <w:highlight w:val="none"/>
              </w:rPr>
              <w:t>空气环境</w:t>
            </w:r>
          </w:p>
        </w:tc>
        <w:tc>
          <w:tcPr>
            <w:tcW w:w="652" w:type="dxa"/>
            <w:noWrap w:val="0"/>
            <w:vAlign w:val="center"/>
          </w:tcPr>
          <w:p w14:paraId="7516CF88">
            <w:pPr>
              <w:pStyle w:val="27"/>
              <w:rPr>
                <w:rFonts w:ascii="Times New Roman" w:hAnsi="Times New Roman"/>
                <w:color w:val="auto"/>
                <w:highlight w:val="none"/>
              </w:rPr>
            </w:pPr>
            <w:r>
              <w:rPr>
                <w:rFonts w:ascii="Times New Roman" w:hAnsi="Times New Roman"/>
                <w:color w:val="auto"/>
                <w:highlight w:val="none"/>
              </w:rPr>
              <w:t>生态</w:t>
            </w:r>
          </w:p>
          <w:p w14:paraId="62F18775">
            <w:pPr>
              <w:pStyle w:val="27"/>
              <w:rPr>
                <w:rFonts w:ascii="Times New Roman" w:hAnsi="Times New Roman"/>
                <w:color w:val="auto"/>
                <w:highlight w:val="none"/>
              </w:rPr>
            </w:pPr>
            <w:r>
              <w:rPr>
                <w:rFonts w:ascii="Times New Roman" w:hAnsi="Times New Roman"/>
                <w:color w:val="auto"/>
                <w:highlight w:val="none"/>
              </w:rPr>
              <w:t>环境</w:t>
            </w:r>
          </w:p>
        </w:tc>
        <w:tc>
          <w:tcPr>
            <w:tcW w:w="598" w:type="dxa"/>
            <w:noWrap w:val="0"/>
            <w:vAlign w:val="center"/>
          </w:tcPr>
          <w:p w14:paraId="02032CF6">
            <w:pPr>
              <w:pStyle w:val="27"/>
              <w:rPr>
                <w:rFonts w:ascii="Times New Roman" w:hAnsi="Times New Roman"/>
                <w:color w:val="auto"/>
                <w:highlight w:val="none"/>
              </w:rPr>
            </w:pPr>
            <w:r>
              <w:rPr>
                <w:rFonts w:ascii="Times New Roman" w:hAnsi="Times New Roman"/>
                <w:color w:val="auto"/>
                <w:highlight w:val="none"/>
              </w:rPr>
              <w:t>景观</w:t>
            </w:r>
          </w:p>
        </w:tc>
        <w:tc>
          <w:tcPr>
            <w:tcW w:w="580" w:type="dxa"/>
            <w:noWrap w:val="0"/>
            <w:vAlign w:val="center"/>
          </w:tcPr>
          <w:p w14:paraId="3FA68915">
            <w:pPr>
              <w:pStyle w:val="27"/>
              <w:rPr>
                <w:rFonts w:ascii="Times New Roman" w:hAnsi="Times New Roman"/>
                <w:color w:val="auto"/>
                <w:highlight w:val="none"/>
              </w:rPr>
            </w:pPr>
            <w:r>
              <w:rPr>
                <w:rFonts w:ascii="Times New Roman" w:hAnsi="Times New Roman"/>
                <w:color w:val="auto"/>
                <w:highlight w:val="none"/>
              </w:rPr>
              <w:t>文物</w:t>
            </w:r>
          </w:p>
        </w:tc>
        <w:tc>
          <w:tcPr>
            <w:tcW w:w="598" w:type="dxa"/>
            <w:noWrap w:val="0"/>
            <w:vAlign w:val="center"/>
          </w:tcPr>
          <w:p w14:paraId="516F6210">
            <w:pPr>
              <w:pStyle w:val="27"/>
              <w:rPr>
                <w:rFonts w:ascii="Times New Roman" w:hAnsi="Times New Roman"/>
                <w:color w:val="auto"/>
                <w:highlight w:val="none"/>
              </w:rPr>
            </w:pPr>
            <w:r>
              <w:rPr>
                <w:rFonts w:ascii="Times New Roman" w:hAnsi="Times New Roman"/>
                <w:color w:val="auto"/>
                <w:highlight w:val="none"/>
              </w:rPr>
              <w:t>环境</w:t>
            </w:r>
          </w:p>
          <w:p w14:paraId="4A6EB6D7">
            <w:pPr>
              <w:pStyle w:val="27"/>
              <w:rPr>
                <w:rFonts w:ascii="Times New Roman" w:hAnsi="Times New Roman"/>
                <w:color w:val="auto"/>
                <w:highlight w:val="none"/>
              </w:rPr>
            </w:pPr>
            <w:r>
              <w:rPr>
                <w:rFonts w:ascii="Times New Roman" w:hAnsi="Times New Roman"/>
                <w:color w:val="auto"/>
                <w:highlight w:val="none"/>
              </w:rPr>
              <w:t>卫生</w:t>
            </w:r>
          </w:p>
        </w:tc>
        <w:tc>
          <w:tcPr>
            <w:tcW w:w="634" w:type="dxa"/>
            <w:noWrap w:val="0"/>
            <w:vAlign w:val="center"/>
          </w:tcPr>
          <w:p w14:paraId="51304376">
            <w:pPr>
              <w:pStyle w:val="27"/>
              <w:rPr>
                <w:rFonts w:ascii="Times New Roman" w:hAnsi="Times New Roman"/>
                <w:color w:val="auto"/>
                <w:highlight w:val="none"/>
              </w:rPr>
            </w:pPr>
            <w:r>
              <w:rPr>
                <w:rFonts w:ascii="Times New Roman" w:hAnsi="Times New Roman"/>
                <w:color w:val="auto"/>
                <w:highlight w:val="none"/>
              </w:rPr>
              <w:t>人群健康</w:t>
            </w:r>
          </w:p>
        </w:tc>
      </w:tr>
      <w:tr w14:paraId="331B13D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31" w:type="dxa"/>
            <w:vMerge w:val="restart"/>
            <w:noWrap w:val="0"/>
            <w:vAlign w:val="center"/>
          </w:tcPr>
          <w:p w14:paraId="6E79FA20">
            <w:pPr>
              <w:pStyle w:val="27"/>
              <w:rPr>
                <w:rFonts w:ascii="Times New Roman" w:hAnsi="Times New Roman"/>
                <w:color w:val="auto"/>
                <w:highlight w:val="none"/>
              </w:rPr>
            </w:pPr>
            <w:r>
              <w:rPr>
                <w:rFonts w:ascii="Times New Roman" w:hAnsi="Times New Roman"/>
                <w:color w:val="auto"/>
                <w:highlight w:val="none"/>
              </w:rPr>
              <w:t>施工期</w:t>
            </w:r>
          </w:p>
        </w:tc>
        <w:tc>
          <w:tcPr>
            <w:tcW w:w="1632" w:type="dxa"/>
            <w:noWrap w:val="0"/>
            <w:vAlign w:val="center"/>
          </w:tcPr>
          <w:p w14:paraId="45034EFD">
            <w:pPr>
              <w:pStyle w:val="27"/>
              <w:rPr>
                <w:rFonts w:ascii="Times New Roman" w:hAnsi="Times New Roman"/>
                <w:color w:val="auto"/>
                <w:highlight w:val="none"/>
              </w:rPr>
            </w:pPr>
            <w:r>
              <w:rPr>
                <w:rFonts w:ascii="Times New Roman" w:hAnsi="Times New Roman"/>
                <w:color w:val="auto"/>
                <w:highlight w:val="none"/>
              </w:rPr>
              <w:t>土石方工程</w:t>
            </w:r>
          </w:p>
        </w:tc>
        <w:tc>
          <w:tcPr>
            <w:tcW w:w="586" w:type="dxa"/>
            <w:noWrap w:val="0"/>
            <w:vAlign w:val="center"/>
          </w:tcPr>
          <w:p w14:paraId="2CE7AACD">
            <w:pPr>
              <w:pStyle w:val="27"/>
              <w:rPr>
                <w:rFonts w:ascii="Times New Roman" w:hAnsi="Times New Roman"/>
                <w:color w:val="auto"/>
                <w:highlight w:val="none"/>
              </w:rPr>
            </w:pPr>
            <w:r>
              <w:rPr>
                <w:rFonts w:ascii="Times New Roman" w:hAnsi="Times New Roman"/>
                <w:color w:val="auto"/>
                <w:highlight w:val="none"/>
              </w:rPr>
              <w:t>×</w:t>
            </w:r>
          </w:p>
        </w:tc>
        <w:tc>
          <w:tcPr>
            <w:tcW w:w="547" w:type="dxa"/>
            <w:noWrap w:val="0"/>
            <w:vAlign w:val="center"/>
          </w:tcPr>
          <w:p w14:paraId="2766AEEB">
            <w:pPr>
              <w:pStyle w:val="27"/>
              <w:rPr>
                <w:rFonts w:ascii="Times New Roman" w:hAnsi="Times New Roman"/>
                <w:color w:val="auto"/>
                <w:highlight w:val="none"/>
              </w:rPr>
            </w:pPr>
            <w:r>
              <w:rPr>
                <w:rFonts w:ascii="Times New Roman" w:hAnsi="Times New Roman"/>
                <w:color w:val="auto"/>
                <w:highlight w:val="none"/>
              </w:rPr>
              <w:t>×</w:t>
            </w:r>
          </w:p>
        </w:tc>
        <w:tc>
          <w:tcPr>
            <w:tcW w:w="814" w:type="dxa"/>
            <w:noWrap w:val="0"/>
            <w:vAlign w:val="center"/>
          </w:tcPr>
          <w:p w14:paraId="5798B559">
            <w:pPr>
              <w:pStyle w:val="27"/>
              <w:rPr>
                <w:rFonts w:ascii="Times New Roman" w:hAnsi="Times New Roman"/>
                <w:color w:val="auto"/>
                <w:highlight w:val="none"/>
              </w:rPr>
            </w:pPr>
            <w:r>
              <w:rPr>
                <w:rFonts w:ascii="Times New Roman" w:hAnsi="Times New Roman"/>
                <w:color w:val="auto"/>
                <w:highlight w:val="none"/>
              </w:rPr>
              <w:t>×</w:t>
            </w:r>
          </w:p>
        </w:tc>
        <w:tc>
          <w:tcPr>
            <w:tcW w:w="652" w:type="dxa"/>
            <w:noWrap w:val="0"/>
            <w:vAlign w:val="center"/>
          </w:tcPr>
          <w:p w14:paraId="1F2BBE2F">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0FBCA2F0">
            <w:pPr>
              <w:pStyle w:val="27"/>
              <w:rPr>
                <w:rFonts w:ascii="Times New Roman" w:hAnsi="Times New Roman"/>
                <w:color w:val="auto"/>
                <w:highlight w:val="none"/>
              </w:rPr>
            </w:pPr>
            <w:r>
              <w:rPr>
                <w:rFonts w:ascii="Times New Roman" w:hAnsi="Times New Roman"/>
                <w:color w:val="auto"/>
                <w:highlight w:val="none"/>
              </w:rPr>
              <w:t>○</w:t>
            </w:r>
          </w:p>
        </w:tc>
        <w:tc>
          <w:tcPr>
            <w:tcW w:w="652" w:type="dxa"/>
            <w:noWrap w:val="0"/>
            <w:vAlign w:val="center"/>
          </w:tcPr>
          <w:p w14:paraId="112D67BE">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47426DD0">
            <w:pPr>
              <w:pStyle w:val="27"/>
              <w:rPr>
                <w:rFonts w:ascii="Times New Roman" w:hAnsi="Times New Roman"/>
                <w:color w:val="auto"/>
                <w:highlight w:val="none"/>
              </w:rPr>
            </w:pPr>
            <w:r>
              <w:rPr>
                <w:rFonts w:ascii="Times New Roman" w:hAnsi="Times New Roman"/>
                <w:color w:val="auto"/>
                <w:highlight w:val="none"/>
              </w:rPr>
              <w:t>○</w:t>
            </w:r>
          </w:p>
        </w:tc>
        <w:tc>
          <w:tcPr>
            <w:tcW w:w="580" w:type="dxa"/>
            <w:noWrap w:val="0"/>
            <w:vAlign w:val="center"/>
          </w:tcPr>
          <w:p w14:paraId="603FD457">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11B038AC">
            <w:pPr>
              <w:pStyle w:val="27"/>
              <w:rPr>
                <w:rFonts w:ascii="Times New Roman" w:hAnsi="Times New Roman"/>
                <w:color w:val="auto"/>
                <w:highlight w:val="none"/>
              </w:rPr>
            </w:pPr>
            <w:r>
              <w:rPr>
                <w:rFonts w:ascii="Times New Roman" w:hAnsi="Times New Roman"/>
                <w:color w:val="auto"/>
                <w:highlight w:val="none"/>
              </w:rPr>
              <w:t>Δ</w:t>
            </w:r>
          </w:p>
        </w:tc>
        <w:tc>
          <w:tcPr>
            <w:tcW w:w="634" w:type="dxa"/>
            <w:noWrap w:val="0"/>
            <w:vAlign w:val="center"/>
          </w:tcPr>
          <w:p w14:paraId="48989F72">
            <w:pPr>
              <w:pStyle w:val="27"/>
              <w:rPr>
                <w:rFonts w:ascii="Times New Roman" w:hAnsi="Times New Roman"/>
                <w:color w:val="auto"/>
                <w:highlight w:val="none"/>
              </w:rPr>
            </w:pPr>
            <w:r>
              <w:rPr>
                <w:rFonts w:ascii="Times New Roman" w:hAnsi="Times New Roman"/>
                <w:color w:val="auto"/>
                <w:highlight w:val="none"/>
              </w:rPr>
              <w:t>Δ</w:t>
            </w:r>
          </w:p>
        </w:tc>
      </w:tr>
      <w:tr w14:paraId="174118B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31" w:type="dxa"/>
            <w:vMerge w:val="continue"/>
            <w:noWrap w:val="0"/>
            <w:vAlign w:val="center"/>
          </w:tcPr>
          <w:p w14:paraId="474D006C">
            <w:pPr>
              <w:pStyle w:val="27"/>
              <w:rPr>
                <w:rFonts w:ascii="Times New Roman" w:hAnsi="Times New Roman"/>
                <w:color w:val="auto"/>
                <w:highlight w:val="none"/>
              </w:rPr>
            </w:pPr>
          </w:p>
        </w:tc>
        <w:tc>
          <w:tcPr>
            <w:tcW w:w="1632" w:type="dxa"/>
            <w:noWrap w:val="0"/>
            <w:vAlign w:val="center"/>
          </w:tcPr>
          <w:p w14:paraId="542617C8">
            <w:pPr>
              <w:pStyle w:val="27"/>
              <w:rPr>
                <w:rFonts w:ascii="Times New Roman" w:hAnsi="Times New Roman"/>
                <w:color w:val="auto"/>
                <w:highlight w:val="none"/>
              </w:rPr>
            </w:pPr>
            <w:r>
              <w:rPr>
                <w:rFonts w:ascii="Times New Roman" w:hAnsi="Times New Roman"/>
                <w:color w:val="auto"/>
                <w:highlight w:val="none"/>
              </w:rPr>
              <w:t>物料运输</w:t>
            </w:r>
          </w:p>
        </w:tc>
        <w:tc>
          <w:tcPr>
            <w:tcW w:w="586" w:type="dxa"/>
            <w:noWrap w:val="0"/>
            <w:vAlign w:val="center"/>
          </w:tcPr>
          <w:p w14:paraId="1C852153">
            <w:pPr>
              <w:pStyle w:val="27"/>
              <w:rPr>
                <w:rFonts w:ascii="Times New Roman" w:hAnsi="Times New Roman"/>
                <w:color w:val="auto"/>
                <w:highlight w:val="none"/>
              </w:rPr>
            </w:pPr>
            <w:r>
              <w:rPr>
                <w:rFonts w:ascii="Times New Roman" w:hAnsi="Times New Roman"/>
                <w:color w:val="auto"/>
                <w:highlight w:val="none"/>
              </w:rPr>
              <w:t>×</w:t>
            </w:r>
          </w:p>
        </w:tc>
        <w:tc>
          <w:tcPr>
            <w:tcW w:w="547" w:type="dxa"/>
            <w:noWrap w:val="0"/>
            <w:vAlign w:val="center"/>
          </w:tcPr>
          <w:p w14:paraId="5D76F2CE">
            <w:pPr>
              <w:pStyle w:val="27"/>
              <w:rPr>
                <w:rFonts w:ascii="Times New Roman" w:hAnsi="Times New Roman"/>
                <w:color w:val="auto"/>
                <w:highlight w:val="none"/>
              </w:rPr>
            </w:pPr>
            <w:r>
              <w:rPr>
                <w:rFonts w:ascii="Times New Roman" w:hAnsi="Times New Roman"/>
                <w:color w:val="auto"/>
                <w:highlight w:val="none"/>
              </w:rPr>
              <w:t>×</w:t>
            </w:r>
          </w:p>
        </w:tc>
        <w:tc>
          <w:tcPr>
            <w:tcW w:w="814" w:type="dxa"/>
            <w:noWrap w:val="0"/>
            <w:vAlign w:val="center"/>
          </w:tcPr>
          <w:p w14:paraId="2F0E06E1">
            <w:pPr>
              <w:pStyle w:val="27"/>
              <w:rPr>
                <w:rFonts w:ascii="Times New Roman" w:hAnsi="Times New Roman"/>
                <w:color w:val="auto"/>
                <w:highlight w:val="none"/>
              </w:rPr>
            </w:pPr>
            <w:r>
              <w:rPr>
                <w:rFonts w:ascii="Times New Roman" w:hAnsi="Times New Roman"/>
                <w:color w:val="auto"/>
                <w:highlight w:val="none"/>
              </w:rPr>
              <w:t>×</w:t>
            </w:r>
          </w:p>
        </w:tc>
        <w:tc>
          <w:tcPr>
            <w:tcW w:w="652" w:type="dxa"/>
            <w:noWrap w:val="0"/>
            <w:vAlign w:val="center"/>
          </w:tcPr>
          <w:p w14:paraId="516A8817">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6E93CE7E">
            <w:pPr>
              <w:pStyle w:val="27"/>
              <w:rPr>
                <w:rFonts w:ascii="Times New Roman" w:hAnsi="Times New Roman"/>
                <w:color w:val="auto"/>
                <w:highlight w:val="none"/>
              </w:rPr>
            </w:pPr>
            <w:r>
              <w:rPr>
                <w:rFonts w:ascii="Times New Roman" w:hAnsi="Times New Roman"/>
                <w:color w:val="auto"/>
                <w:highlight w:val="none"/>
              </w:rPr>
              <w:t>Δ</w:t>
            </w:r>
          </w:p>
        </w:tc>
        <w:tc>
          <w:tcPr>
            <w:tcW w:w="652" w:type="dxa"/>
            <w:noWrap w:val="0"/>
            <w:vAlign w:val="center"/>
          </w:tcPr>
          <w:p w14:paraId="25A8C68B">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5B491659">
            <w:pPr>
              <w:pStyle w:val="27"/>
              <w:rPr>
                <w:rFonts w:ascii="Times New Roman" w:hAnsi="Times New Roman"/>
                <w:color w:val="auto"/>
                <w:highlight w:val="none"/>
              </w:rPr>
            </w:pPr>
            <w:r>
              <w:rPr>
                <w:rFonts w:ascii="Times New Roman" w:hAnsi="Times New Roman"/>
                <w:color w:val="auto"/>
                <w:highlight w:val="none"/>
              </w:rPr>
              <w:t>×</w:t>
            </w:r>
          </w:p>
        </w:tc>
        <w:tc>
          <w:tcPr>
            <w:tcW w:w="580" w:type="dxa"/>
            <w:noWrap w:val="0"/>
            <w:vAlign w:val="center"/>
          </w:tcPr>
          <w:p w14:paraId="0ED92886">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51C67A28">
            <w:pPr>
              <w:pStyle w:val="27"/>
              <w:rPr>
                <w:rFonts w:ascii="Times New Roman" w:hAnsi="Times New Roman"/>
                <w:color w:val="auto"/>
                <w:highlight w:val="none"/>
              </w:rPr>
            </w:pPr>
            <w:r>
              <w:rPr>
                <w:rFonts w:ascii="Times New Roman" w:hAnsi="Times New Roman"/>
                <w:color w:val="auto"/>
                <w:highlight w:val="none"/>
              </w:rPr>
              <w:t>Δ</w:t>
            </w:r>
          </w:p>
        </w:tc>
        <w:tc>
          <w:tcPr>
            <w:tcW w:w="634" w:type="dxa"/>
            <w:noWrap w:val="0"/>
            <w:vAlign w:val="center"/>
          </w:tcPr>
          <w:p w14:paraId="1F698F43">
            <w:pPr>
              <w:pStyle w:val="27"/>
              <w:rPr>
                <w:rFonts w:ascii="Times New Roman" w:hAnsi="Times New Roman"/>
                <w:color w:val="auto"/>
                <w:highlight w:val="none"/>
              </w:rPr>
            </w:pPr>
            <w:r>
              <w:rPr>
                <w:rFonts w:ascii="Times New Roman" w:hAnsi="Times New Roman"/>
                <w:color w:val="auto"/>
                <w:highlight w:val="none"/>
              </w:rPr>
              <w:t>Δ</w:t>
            </w:r>
          </w:p>
        </w:tc>
      </w:tr>
      <w:tr w14:paraId="21B31F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31" w:type="dxa"/>
            <w:vMerge w:val="continue"/>
            <w:noWrap w:val="0"/>
            <w:vAlign w:val="center"/>
          </w:tcPr>
          <w:p w14:paraId="70803AA9">
            <w:pPr>
              <w:pStyle w:val="27"/>
              <w:rPr>
                <w:rFonts w:ascii="Times New Roman" w:hAnsi="Times New Roman"/>
                <w:color w:val="auto"/>
                <w:highlight w:val="none"/>
              </w:rPr>
            </w:pPr>
          </w:p>
        </w:tc>
        <w:tc>
          <w:tcPr>
            <w:tcW w:w="1632" w:type="dxa"/>
            <w:noWrap w:val="0"/>
            <w:vAlign w:val="center"/>
          </w:tcPr>
          <w:p w14:paraId="63A56848">
            <w:pPr>
              <w:pStyle w:val="27"/>
              <w:rPr>
                <w:rFonts w:ascii="Times New Roman" w:hAnsi="Times New Roman"/>
                <w:color w:val="auto"/>
                <w:highlight w:val="none"/>
              </w:rPr>
            </w:pPr>
            <w:r>
              <w:rPr>
                <w:rFonts w:ascii="Times New Roman" w:hAnsi="Times New Roman"/>
                <w:color w:val="auto"/>
                <w:highlight w:val="none"/>
              </w:rPr>
              <w:t>施工噪声</w:t>
            </w:r>
          </w:p>
        </w:tc>
        <w:tc>
          <w:tcPr>
            <w:tcW w:w="586" w:type="dxa"/>
            <w:noWrap w:val="0"/>
            <w:vAlign w:val="center"/>
          </w:tcPr>
          <w:p w14:paraId="0D4ACDC9">
            <w:pPr>
              <w:pStyle w:val="27"/>
              <w:rPr>
                <w:rFonts w:ascii="Times New Roman" w:hAnsi="Times New Roman"/>
                <w:color w:val="auto"/>
                <w:highlight w:val="none"/>
              </w:rPr>
            </w:pPr>
            <w:r>
              <w:rPr>
                <w:rFonts w:ascii="Times New Roman" w:hAnsi="Times New Roman"/>
                <w:color w:val="auto"/>
                <w:highlight w:val="none"/>
              </w:rPr>
              <w:t>×</w:t>
            </w:r>
          </w:p>
        </w:tc>
        <w:tc>
          <w:tcPr>
            <w:tcW w:w="547" w:type="dxa"/>
            <w:noWrap w:val="0"/>
            <w:vAlign w:val="center"/>
          </w:tcPr>
          <w:p w14:paraId="4E7F62B7">
            <w:pPr>
              <w:pStyle w:val="27"/>
              <w:rPr>
                <w:rFonts w:ascii="Times New Roman" w:hAnsi="Times New Roman"/>
                <w:color w:val="auto"/>
                <w:highlight w:val="none"/>
              </w:rPr>
            </w:pPr>
            <w:r>
              <w:rPr>
                <w:rFonts w:ascii="Times New Roman" w:hAnsi="Times New Roman"/>
                <w:color w:val="auto"/>
                <w:highlight w:val="none"/>
              </w:rPr>
              <w:t>×</w:t>
            </w:r>
          </w:p>
        </w:tc>
        <w:tc>
          <w:tcPr>
            <w:tcW w:w="814" w:type="dxa"/>
            <w:noWrap w:val="0"/>
            <w:vAlign w:val="center"/>
          </w:tcPr>
          <w:p w14:paraId="19F7C86A">
            <w:pPr>
              <w:pStyle w:val="27"/>
              <w:rPr>
                <w:rFonts w:ascii="Times New Roman" w:hAnsi="Times New Roman"/>
                <w:color w:val="auto"/>
                <w:highlight w:val="none"/>
              </w:rPr>
            </w:pPr>
            <w:r>
              <w:rPr>
                <w:rFonts w:ascii="Times New Roman" w:hAnsi="Times New Roman"/>
                <w:color w:val="auto"/>
                <w:highlight w:val="none"/>
              </w:rPr>
              <w:t>×</w:t>
            </w:r>
          </w:p>
        </w:tc>
        <w:tc>
          <w:tcPr>
            <w:tcW w:w="652" w:type="dxa"/>
            <w:noWrap w:val="0"/>
            <w:vAlign w:val="center"/>
          </w:tcPr>
          <w:p w14:paraId="6ED99BAE">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361BDDA4">
            <w:pPr>
              <w:pStyle w:val="27"/>
              <w:rPr>
                <w:rFonts w:ascii="Times New Roman" w:hAnsi="Times New Roman"/>
                <w:color w:val="auto"/>
                <w:highlight w:val="none"/>
              </w:rPr>
            </w:pPr>
            <w:r>
              <w:rPr>
                <w:rFonts w:ascii="Times New Roman" w:hAnsi="Times New Roman"/>
                <w:color w:val="auto"/>
                <w:highlight w:val="none"/>
              </w:rPr>
              <w:t>×</w:t>
            </w:r>
          </w:p>
        </w:tc>
        <w:tc>
          <w:tcPr>
            <w:tcW w:w="652" w:type="dxa"/>
            <w:noWrap w:val="0"/>
            <w:vAlign w:val="center"/>
          </w:tcPr>
          <w:p w14:paraId="73068577">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01EA08C4">
            <w:pPr>
              <w:pStyle w:val="27"/>
              <w:rPr>
                <w:rFonts w:ascii="Times New Roman" w:hAnsi="Times New Roman"/>
                <w:color w:val="auto"/>
                <w:highlight w:val="none"/>
              </w:rPr>
            </w:pPr>
            <w:r>
              <w:rPr>
                <w:rFonts w:ascii="Times New Roman" w:hAnsi="Times New Roman"/>
                <w:color w:val="auto"/>
                <w:highlight w:val="none"/>
              </w:rPr>
              <w:t>×</w:t>
            </w:r>
          </w:p>
        </w:tc>
        <w:tc>
          <w:tcPr>
            <w:tcW w:w="580" w:type="dxa"/>
            <w:noWrap w:val="0"/>
            <w:vAlign w:val="center"/>
          </w:tcPr>
          <w:p w14:paraId="0253EB25">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5E260875">
            <w:pPr>
              <w:pStyle w:val="27"/>
              <w:rPr>
                <w:rFonts w:ascii="Times New Roman" w:hAnsi="Times New Roman"/>
                <w:color w:val="auto"/>
                <w:highlight w:val="none"/>
              </w:rPr>
            </w:pPr>
            <w:r>
              <w:rPr>
                <w:rFonts w:ascii="Times New Roman" w:hAnsi="Times New Roman"/>
                <w:color w:val="auto"/>
                <w:highlight w:val="none"/>
              </w:rPr>
              <w:t>Δ</w:t>
            </w:r>
          </w:p>
        </w:tc>
        <w:tc>
          <w:tcPr>
            <w:tcW w:w="634" w:type="dxa"/>
            <w:noWrap w:val="0"/>
            <w:vAlign w:val="center"/>
          </w:tcPr>
          <w:p w14:paraId="22F10C02">
            <w:pPr>
              <w:pStyle w:val="27"/>
              <w:rPr>
                <w:rFonts w:ascii="Times New Roman" w:hAnsi="Times New Roman"/>
                <w:color w:val="auto"/>
                <w:highlight w:val="none"/>
              </w:rPr>
            </w:pPr>
            <w:r>
              <w:rPr>
                <w:rFonts w:ascii="Times New Roman" w:hAnsi="Times New Roman"/>
                <w:color w:val="auto"/>
                <w:highlight w:val="none"/>
              </w:rPr>
              <w:t>Δ</w:t>
            </w:r>
          </w:p>
        </w:tc>
      </w:tr>
      <w:tr w14:paraId="05CEFD2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31" w:type="dxa"/>
            <w:vMerge w:val="continue"/>
            <w:noWrap w:val="0"/>
            <w:vAlign w:val="center"/>
          </w:tcPr>
          <w:p w14:paraId="64B6FA11">
            <w:pPr>
              <w:pStyle w:val="27"/>
              <w:rPr>
                <w:rFonts w:ascii="Times New Roman" w:hAnsi="Times New Roman"/>
                <w:color w:val="auto"/>
                <w:highlight w:val="none"/>
              </w:rPr>
            </w:pPr>
          </w:p>
        </w:tc>
        <w:tc>
          <w:tcPr>
            <w:tcW w:w="1632" w:type="dxa"/>
            <w:noWrap w:val="0"/>
            <w:vAlign w:val="center"/>
          </w:tcPr>
          <w:p w14:paraId="6775347A">
            <w:pPr>
              <w:pStyle w:val="27"/>
              <w:rPr>
                <w:rFonts w:ascii="Times New Roman" w:hAnsi="Times New Roman"/>
                <w:color w:val="auto"/>
                <w:highlight w:val="none"/>
              </w:rPr>
            </w:pPr>
            <w:r>
              <w:rPr>
                <w:rFonts w:ascii="Times New Roman" w:hAnsi="Times New Roman"/>
                <w:color w:val="auto"/>
                <w:highlight w:val="none"/>
              </w:rPr>
              <w:t>建筑垃圾</w:t>
            </w:r>
          </w:p>
        </w:tc>
        <w:tc>
          <w:tcPr>
            <w:tcW w:w="586" w:type="dxa"/>
            <w:noWrap w:val="0"/>
            <w:vAlign w:val="center"/>
          </w:tcPr>
          <w:p w14:paraId="6EA07DEE">
            <w:pPr>
              <w:pStyle w:val="27"/>
              <w:rPr>
                <w:rFonts w:ascii="Times New Roman" w:hAnsi="Times New Roman"/>
                <w:color w:val="auto"/>
                <w:highlight w:val="none"/>
              </w:rPr>
            </w:pPr>
            <w:r>
              <w:rPr>
                <w:rFonts w:ascii="Times New Roman" w:hAnsi="Times New Roman"/>
                <w:color w:val="auto"/>
                <w:highlight w:val="none"/>
              </w:rPr>
              <w:t>×</w:t>
            </w:r>
          </w:p>
        </w:tc>
        <w:tc>
          <w:tcPr>
            <w:tcW w:w="547" w:type="dxa"/>
            <w:noWrap w:val="0"/>
            <w:vAlign w:val="center"/>
          </w:tcPr>
          <w:p w14:paraId="3167F33F">
            <w:pPr>
              <w:pStyle w:val="27"/>
              <w:rPr>
                <w:rFonts w:ascii="Times New Roman" w:hAnsi="Times New Roman"/>
                <w:color w:val="auto"/>
                <w:highlight w:val="none"/>
              </w:rPr>
            </w:pPr>
            <w:r>
              <w:rPr>
                <w:rFonts w:ascii="Times New Roman" w:hAnsi="Times New Roman"/>
                <w:color w:val="auto"/>
                <w:highlight w:val="none"/>
              </w:rPr>
              <w:t>×</w:t>
            </w:r>
          </w:p>
        </w:tc>
        <w:tc>
          <w:tcPr>
            <w:tcW w:w="814" w:type="dxa"/>
            <w:noWrap w:val="0"/>
            <w:vAlign w:val="center"/>
          </w:tcPr>
          <w:p w14:paraId="5BCFB197">
            <w:pPr>
              <w:pStyle w:val="27"/>
              <w:rPr>
                <w:rFonts w:ascii="Times New Roman" w:hAnsi="Times New Roman"/>
                <w:color w:val="auto"/>
                <w:highlight w:val="none"/>
              </w:rPr>
            </w:pPr>
            <w:r>
              <w:rPr>
                <w:rFonts w:ascii="Times New Roman" w:hAnsi="Times New Roman"/>
                <w:color w:val="auto"/>
                <w:highlight w:val="none"/>
              </w:rPr>
              <w:t>×</w:t>
            </w:r>
          </w:p>
        </w:tc>
        <w:tc>
          <w:tcPr>
            <w:tcW w:w="652" w:type="dxa"/>
            <w:noWrap w:val="0"/>
            <w:vAlign w:val="center"/>
          </w:tcPr>
          <w:p w14:paraId="3D9C34A1">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0CDAFF46">
            <w:pPr>
              <w:pStyle w:val="27"/>
              <w:rPr>
                <w:rFonts w:ascii="Times New Roman" w:hAnsi="Times New Roman"/>
                <w:color w:val="auto"/>
                <w:highlight w:val="none"/>
              </w:rPr>
            </w:pPr>
            <w:r>
              <w:rPr>
                <w:rFonts w:ascii="Times New Roman" w:hAnsi="Times New Roman"/>
                <w:color w:val="auto"/>
                <w:highlight w:val="none"/>
              </w:rPr>
              <w:t>Δ</w:t>
            </w:r>
          </w:p>
        </w:tc>
        <w:tc>
          <w:tcPr>
            <w:tcW w:w="652" w:type="dxa"/>
            <w:noWrap w:val="0"/>
            <w:vAlign w:val="center"/>
          </w:tcPr>
          <w:p w14:paraId="0F73AF88">
            <w:pPr>
              <w:pStyle w:val="27"/>
              <w:rPr>
                <w:rFonts w:ascii="Times New Roman" w:hAnsi="Times New Roman"/>
                <w:color w:val="auto"/>
                <w:highlight w:val="none"/>
              </w:rPr>
            </w:pPr>
            <w:r>
              <w:rPr>
                <w:rFonts w:ascii="Times New Roman" w:hAnsi="Times New Roman"/>
                <w:color w:val="auto"/>
                <w:highlight w:val="none"/>
              </w:rPr>
              <w:t>Δ</w:t>
            </w:r>
          </w:p>
        </w:tc>
        <w:tc>
          <w:tcPr>
            <w:tcW w:w="598" w:type="dxa"/>
            <w:noWrap w:val="0"/>
            <w:vAlign w:val="center"/>
          </w:tcPr>
          <w:p w14:paraId="4DAAF3C9">
            <w:pPr>
              <w:pStyle w:val="27"/>
              <w:rPr>
                <w:rFonts w:ascii="Times New Roman" w:hAnsi="Times New Roman"/>
                <w:color w:val="auto"/>
                <w:highlight w:val="none"/>
              </w:rPr>
            </w:pPr>
            <w:r>
              <w:rPr>
                <w:rFonts w:ascii="Times New Roman" w:hAnsi="Times New Roman"/>
                <w:color w:val="auto"/>
                <w:highlight w:val="none"/>
              </w:rPr>
              <w:t>Δ</w:t>
            </w:r>
          </w:p>
        </w:tc>
        <w:tc>
          <w:tcPr>
            <w:tcW w:w="580" w:type="dxa"/>
            <w:noWrap w:val="0"/>
            <w:vAlign w:val="center"/>
          </w:tcPr>
          <w:p w14:paraId="1F38D381">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4DBA083D">
            <w:pPr>
              <w:pStyle w:val="27"/>
              <w:rPr>
                <w:rFonts w:ascii="Times New Roman" w:hAnsi="Times New Roman"/>
                <w:color w:val="auto"/>
                <w:highlight w:val="none"/>
              </w:rPr>
            </w:pPr>
            <w:r>
              <w:rPr>
                <w:rFonts w:ascii="Times New Roman" w:hAnsi="Times New Roman"/>
                <w:color w:val="auto"/>
                <w:highlight w:val="none"/>
              </w:rPr>
              <w:t>Δ</w:t>
            </w:r>
          </w:p>
        </w:tc>
        <w:tc>
          <w:tcPr>
            <w:tcW w:w="634" w:type="dxa"/>
            <w:noWrap w:val="0"/>
            <w:vAlign w:val="center"/>
          </w:tcPr>
          <w:p w14:paraId="22AE820C">
            <w:pPr>
              <w:pStyle w:val="27"/>
              <w:rPr>
                <w:rFonts w:ascii="Times New Roman" w:hAnsi="Times New Roman"/>
                <w:color w:val="auto"/>
                <w:highlight w:val="none"/>
              </w:rPr>
            </w:pPr>
            <w:r>
              <w:rPr>
                <w:rFonts w:ascii="Times New Roman" w:hAnsi="Times New Roman"/>
                <w:color w:val="auto"/>
                <w:highlight w:val="none"/>
              </w:rPr>
              <w:t>Δ</w:t>
            </w:r>
          </w:p>
        </w:tc>
      </w:tr>
      <w:tr w14:paraId="4CBAA5A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31" w:type="dxa"/>
            <w:vMerge w:val="continue"/>
            <w:noWrap w:val="0"/>
            <w:vAlign w:val="center"/>
          </w:tcPr>
          <w:p w14:paraId="44516814">
            <w:pPr>
              <w:pStyle w:val="27"/>
              <w:rPr>
                <w:rFonts w:ascii="Times New Roman" w:hAnsi="Times New Roman"/>
                <w:color w:val="auto"/>
                <w:highlight w:val="none"/>
              </w:rPr>
            </w:pPr>
          </w:p>
        </w:tc>
        <w:tc>
          <w:tcPr>
            <w:tcW w:w="1632" w:type="dxa"/>
            <w:noWrap w:val="0"/>
            <w:vAlign w:val="center"/>
          </w:tcPr>
          <w:p w14:paraId="1CAE3CC9">
            <w:pPr>
              <w:pStyle w:val="27"/>
              <w:rPr>
                <w:rFonts w:ascii="Times New Roman" w:hAnsi="Times New Roman"/>
                <w:color w:val="auto"/>
                <w:highlight w:val="none"/>
              </w:rPr>
            </w:pPr>
            <w:r>
              <w:rPr>
                <w:rFonts w:ascii="Times New Roman" w:hAnsi="Times New Roman"/>
                <w:color w:val="auto"/>
                <w:highlight w:val="none"/>
              </w:rPr>
              <w:t>生活垃圾</w:t>
            </w:r>
          </w:p>
        </w:tc>
        <w:tc>
          <w:tcPr>
            <w:tcW w:w="586" w:type="dxa"/>
            <w:noWrap w:val="0"/>
            <w:vAlign w:val="center"/>
          </w:tcPr>
          <w:p w14:paraId="6540E730">
            <w:pPr>
              <w:pStyle w:val="27"/>
              <w:rPr>
                <w:rFonts w:ascii="Times New Roman" w:hAnsi="Times New Roman"/>
                <w:color w:val="auto"/>
                <w:highlight w:val="none"/>
              </w:rPr>
            </w:pPr>
            <w:r>
              <w:rPr>
                <w:rFonts w:ascii="Times New Roman" w:hAnsi="Times New Roman"/>
                <w:color w:val="auto"/>
                <w:highlight w:val="none"/>
              </w:rPr>
              <w:t>×</w:t>
            </w:r>
          </w:p>
        </w:tc>
        <w:tc>
          <w:tcPr>
            <w:tcW w:w="547" w:type="dxa"/>
            <w:noWrap w:val="0"/>
            <w:vAlign w:val="center"/>
          </w:tcPr>
          <w:p w14:paraId="73380052">
            <w:pPr>
              <w:pStyle w:val="27"/>
              <w:rPr>
                <w:rFonts w:ascii="Times New Roman" w:hAnsi="Times New Roman"/>
                <w:color w:val="auto"/>
                <w:highlight w:val="none"/>
              </w:rPr>
            </w:pPr>
            <w:r>
              <w:rPr>
                <w:rFonts w:ascii="Times New Roman" w:hAnsi="Times New Roman"/>
                <w:color w:val="auto"/>
                <w:highlight w:val="none"/>
              </w:rPr>
              <w:t>×</w:t>
            </w:r>
          </w:p>
        </w:tc>
        <w:tc>
          <w:tcPr>
            <w:tcW w:w="814" w:type="dxa"/>
            <w:noWrap w:val="0"/>
            <w:vAlign w:val="center"/>
          </w:tcPr>
          <w:p w14:paraId="0167BBE6">
            <w:pPr>
              <w:pStyle w:val="27"/>
              <w:rPr>
                <w:rFonts w:ascii="Times New Roman" w:hAnsi="Times New Roman"/>
                <w:color w:val="auto"/>
                <w:highlight w:val="none"/>
              </w:rPr>
            </w:pPr>
            <w:r>
              <w:rPr>
                <w:rFonts w:ascii="Times New Roman" w:hAnsi="Times New Roman"/>
                <w:color w:val="auto"/>
                <w:highlight w:val="none"/>
              </w:rPr>
              <w:t>×</w:t>
            </w:r>
          </w:p>
        </w:tc>
        <w:tc>
          <w:tcPr>
            <w:tcW w:w="652" w:type="dxa"/>
            <w:noWrap w:val="0"/>
            <w:vAlign w:val="center"/>
          </w:tcPr>
          <w:p w14:paraId="10F0EA93">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28EECA0E">
            <w:pPr>
              <w:pStyle w:val="27"/>
              <w:rPr>
                <w:rFonts w:ascii="Times New Roman" w:hAnsi="Times New Roman"/>
                <w:color w:val="auto"/>
                <w:highlight w:val="none"/>
              </w:rPr>
            </w:pPr>
            <w:r>
              <w:rPr>
                <w:rFonts w:ascii="Times New Roman" w:hAnsi="Times New Roman"/>
                <w:color w:val="auto"/>
                <w:highlight w:val="none"/>
              </w:rPr>
              <w:t>Δ</w:t>
            </w:r>
          </w:p>
        </w:tc>
        <w:tc>
          <w:tcPr>
            <w:tcW w:w="652" w:type="dxa"/>
            <w:noWrap w:val="0"/>
            <w:vAlign w:val="center"/>
          </w:tcPr>
          <w:p w14:paraId="3AA5C70F">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2013E2F2">
            <w:pPr>
              <w:pStyle w:val="27"/>
              <w:rPr>
                <w:rFonts w:ascii="Times New Roman" w:hAnsi="Times New Roman"/>
                <w:color w:val="auto"/>
                <w:highlight w:val="none"/>
              </w:rPr>
            </w:pPr>
            <w:r>
              <w:rPr>
                <w:rFonts w:ascii="Times New Roman" w:hAnsi="Times New Roman"/>
                <w:color w:val="auto"/>
                <w:highlight w:val="none"/>
              </w:rPr>
              <w:t>Δ</w:t>
            </w:r>
          </w:p>
        </w:tc>
        <w:tc>
          <w:tcPr>
            <w:tcW w:w="580" w:type="dxa"/>
            <w:noWrap w:val="0"/>
            <w:vAlign w:val="center"/>
          </w:tcPr>
          <w:p w14:paraId="76853A35">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1B926FC9">
            <w:pPr>
              <w:pStyle w:val="27"/>
              <w:rPr>
                <w:rFonts w:ascii="Times New Roman" w:hAnsi="Times New Roman"/>
                <w:color w:val="auto"/>
                <w:highlight w:val="none"/>
              </w:rPr>
            </w:pPr>
            <w:r>
              <w:rPr>
                <w:rFonts w:ascii="Times New Roman" w:hAnsi="Times New Roman"/>
                <w:color w:val="auto"/>
                <w:highlight w:val="none"/>
              </w:rPr>
              <w:t>Δ</w:t>
            </w:r>
          </w:p>
        </w:tc>
        <w:tc>
          <w:tcPr>
            <w:tcW w:w="634" w:type="dxa"/>
            <w:noWrap w:val="0"/>
            <w:vAlign w:val="center"/>
          </w:tcPr>
          <w:p w14:paraId="226F02F9">
            <w:pPr>
              <w:pStyle w:val="27"/>
              <w:rPr>
                <w:rFonts w:ascii="Times New Roman" w:hAnsi="Times New Roman"/>
                <w:color w:val="auto"/>
                <w:highlight w:val="none"/>
              </w:rPr>
            </w:pPr>
            <w:r>
              <w:rPr>
                <w:rFonts w:ascii="Times New Roman" w:hAnsi="Times New Roman"/>
                <w:color w:val="auto"/>
                <w:highlight w:val="none"/>
              </w:rPr>
              <w:t>Δ</w:t>
            </w:r>
          </w:p>
        </w:tc>
      </w:tr>
      <w:tr w14:paraId="5B0DCE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31" w:type="dxa"/>
            <w:vMerge w:val="continue"/>
            <w:noWrap w:val="0"/>
            <w:vAlign w:val="center"/>
          </w:tcPr>
          <w:p w14:paraId="108814CC">
            <w:pPr>
              <w:pStyle w:val="27"/>
              <w:rPr>
                <w:rFonts w:ascii="Times New Roman" w:hAnsi="Times New Roman"/>
                <w:color w:val="auto"/>
                <w:highlight w:val="none"/>
              </w:rPr>
            </w:pPr>
          </w:p>
        </w:tc>
        <w:tc>
          <w:tcPr>
            <w:tcW w:w="1632" w:type="dxa"/>
            <w:noWrap w:val="0"/>
            <w:vAlign w:val="center"/>
          </w:tcPr>
          <w:p w14:paraId="2F23C12F">
            <w:pPr>
              <w:pStyle w:val="27"/>
              <w:rPr>
                <w:rFonts w:ascii="Times New Roman" w:hAnsi="Times New Roman"/>
                <w:color w:val="auto"/>
                <w:highlight w:val="none"/>
              </w:rPr>
            </w:pPr>
            <w:r>
              <w:rPr>
                <w:rFonts w:ascii="Times New Roman" w:hAnsi="Times New Roman"/>
                <w:color w:val="auto"/>
                <w:highlight w:val="none"/>
              </w:rPr>
              <w:t>生活污水</w:t>
            </w:r>
          </w:p>
        </w:tc>
        <w:tc>
          <w:tcPr>
            <w:tcW w:w="586" w:type="dxa"/>
            <w:noWrap w:val="0"/>
            <w:vAlign w:val="center"/>
          </w:tcPr>
          <w:p w14:paraId="527CF1F5">
            <w:pPr>
              <w:pStyle w:val="27"/>
              <w:rPr>
                <w:rFonts w:ascii="Times New Roman" w:hAnsi="Times New Roman"/>
                <w:color w:val="auto"/>
                <w:highlight w:val="none"/>
              </w:rPr>
            </w:pPr>
            <w:r>
              <w:rPr>
                <w:rFonts w:ascii="Times New Roman" w:hAnsi="Times New Roman"/>
                <w:color w:val="auto"/>
                <w:highlight w:val="none"/>
              </w:rPr>
              <w:t>×</w:t>
            </w:r>
          </w:p>
        </w:tc>
        <w:tc>
          <w:tcPr>
            <w:tcW w:w="547" w:type="dxa"/>
            <w:noWrap w:val="0"/>
            <w:vAlign w:val="center"/>
          </w:tcPr>
          <w:p w14:paraId="2F2D6EB3">
            <w:pPr>
              <w:pStyle w:val="27"/>
              <w:rPr>
                <w:rFonts w:ascii="Times New Roman" w:hAnsi="Times New Roman"/>
                <w:color w:val="auto"/>
                <w:highlight w:val="none"/>
              </w:rPr>
            </w:pPr>
            <w:r>
              <w:rPr>
                <w:rFonts w:ascii="Times New Roman" w:hAnsi="Times New Roman"/>
                <w:color w:val="auto"/>
                <w:highlight w:val="none"/>
              </w:rPr>
              <w:t>×</w:t>
            </w:r>
          </w:p>
        </w:tc>
        <w:tc>
          <w:tcPr>
            <w:tcW w:w="814" w:type="dxa"/>
            <w:noWrap w:val="0"/>
            <w:vAlign w:val="center"/>
          </w:tcPr>
          <w:p w14:paraId="25E610FA">
            <w:pPr>
              <w:pStyle w:val="27"/>
              <w:rPr>
                <w:rFonts w:ascii="Times New Roman" w:hAnsi="Times New Roman"/>
                <w:color w:val="auto"/>
                <w:highlight w:val="none"/>
              </w:rPr>
            </w:pPr>
            <w:r>
              <w:rPr>
                <w:rFonts w:ascii="Times New Roman" w:hAnsi="Times New Roman"/>
                <w:color w:val="auto"/>
                <w:highlight w:val="none"/>
              </w:rPr>
              <w:t>×</w:t>
            </w:r>
          </w:p>
        </w:tc>
        <w:tc>
          <w:tcPr>
            <w:tcW w:w="652" w:type="dxa"/>
            <w:noWrap w:val="0"/>
            <w:vAlign w:val="center"/>
          </w:tcPr>
          <w:p w14:paraId="7829577A">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56172BC1">
            <w:pPr>
              <w:pStyle w:val="27"/>
              <w:rPr>
                <w:rFonts w:ascii="Times New Roman" w:hAnsi="Times New Roman"/>
                <w:color w:val="auto"/>
                <w:highlight w:val="none"/>
              </w:rPr>
            </w:pPr>
            <w:r>
              <w:rPr>
                <w:rFonts w:ascii="Times New Roman" w:hAnsi="Times New Roman"/>
                <w:color w:val="auto"/>
                <w:highlight w:val="none"/>
              </w:rPr>
              <w:t>Δ</w:t>
            </w:r>
          </w:p>
        </w:tc>
        <w:tc>
          <w:tcPr>
            <w:tcW w:w="652" w:type="dxa"/>
            <w:noWrap w:val="0"/>
            <w:vAlign w:val="center"/>
          </w:tcPr>
          <w:p w14:paraId="3BDF36C7">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199E8FA2">
            <w:pPr>
              <w:pStyle w:val="27"/>
              <w:rPr>
                <w:rFonts w:ascii="Times New Roman" w:hAnsi="Times New Roman"/>
                <w:color w:val="auto"/>
                <w:highlight w:val="none"/>
              </w:rPr>
            </w:pPr>
            <w:r>
              <w:rPr>
                <w:rFonts w:ascii="Times New Roman" w:hAnsi="Times New Roman"/>
                <w:color w:val="auto"/>
                <w:highlight w:val="none"/>
              </w:rPr>
              <w:t>×</w:t>
            </w:r>
          </w:p>
        </w:tc>
        <w:tc>
          <w:tcPr>
            <w:tcW w:w="580" w:type="dxa"/>
            <w:noWrap w:val="0"/>
            <w:vAlign w:val="center"/>
          </w:tcPr>
          <w:p w14:paraId="55C0DCB1">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29BFB0A2">
            <w:pPr>
              <w:pStyle w:val="27"/>
              <w:rPr>
                <w:rFonts w:ascii="Times New Roman" w:hAnsi="Times New Roman"/>
                <w:color w:val="auto"/>
                <w:highlight w:val="none"/>
              </w:rPr>
            </w:pPr>
            <w:r>
              <w:rPr>
                <w:rFonts w:ascii="Times New Roman" w:hAnsi="Times New Roman"/>
                <w:color w:val="auto"/>
                <w:highlight w:val="none"/>
              </w:rPr>
              <w:t>Δ</w:t>
            </w:r>
          </w:p>
        </w:tc>
        <w:tc>
          <w:tcPr>
            <w:tcW w:w="634" w:type="dxa"/>
            <w:noWrap w:val="0"/>
            <w:vAlign w:val="center"/>
          </w:tcPr>
          <w:p w14:paraId="765C12A1">
            <w:pPr>
              <w:pStyle w:val="27"/>
              <w:rPr>
                <w:rFonts w:ascii="Times New Roman" w:hAnsi="Times New Roman"/>
                <w:color w:val="auto"/>
                <w:highlight w:val="none"/>
              </w:rPr>
            </w:pPr>
            <w:r>
              <w:rPr>
                <w:rFonts w:ascii="Times New Roman" w:hAnsi="Times New Roman"/>
                <w:color w:val="auto"/>
                <w:highlight w:val="none"/>
              </w:rPr>
              <w:t>Δ</w:t>
            </w:r>
          </w:p>
        </w:tc>
      </w:tr>
      <w:tr w14:paraId="6F74482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31" w:type="dxa"/>
            <w:vMerge w:val="continue"/>
            <w:noWrap w:val="0"/>
            <w:vAlign w:val="center"/>
          </w:tcPr>
          <w:p w14:paraId="43B75E7F">
            <w:pPr>
              <w:pStyle w:val="27"/>
              <w:rPr>
                <w:rFonts w:ascii="Times New Roman" w:hAnsi="Times New Roman"/>
                <w:color w:val="auto"/>
                <w:highlight w:val="none"/>
              </w:rPr>
            </w:pPr>
          </w:p>
        </w:tc>
        <w:tc>
          <w:tcPr>
            <w:tcW w:w="1632" w:type="dxa"/>
            <w:noWrap w:val="0"/>
            <w:vAlign w:val="center"/>
          </w:tcPr>
          <w:p w14:paraId="46FD48E8">
            <w:pPr>
              <w:pStyle w:val="27"/>
              <w:rPr>
                <w:rFonts w:ascii="Times New Roman" w:hAnsi="Times New Roman"/>
                <w:color w:val="auto"/>
                <w:highlight w:val="none"/>
              </w:rPr>
            </w:pPr>
            <w:r>
              <w:rPr>
                <w:rFonts w:ascii="Times New Roman" w:hAnsi="Times New Roman"/>
                <w:color w:val="auto"/>
                <w:highlight w:val="none"/>
              </w:rPr>
              <w:t>地下水水质</w:t>
            </w:r>
          </w:p>
        </w:tc>
        <w:tc>
          <w:tcPr>
            <w:tcW w:w="586" w:type="dxa"/>
            <w:noWrap w:val="0"/>
            <w:vAlign w:val="center"/>
          </w:tcPr>
          <w:p w14:paraId="6D785C41">
            <w:pPr>
              <w:pStyle w:val="27"/>
              <w:rPr>
                <w:rFonts w:ascii="Times New Roman" w:hAnsi="Times New Roman"/>
                <w:color w:val="auto"/>
                <w:highlight w:val="none"/>
              </w:rPr>
            </w:pPr>
            <w:r>
              <w:rPr>
                <w:rFonts w:ascii="Times New Roman" w:hAnsi="Times New Roman"/>
                <w:color w:val="auto"/>
                <w:highlight w:val="none"/>
              </w:rPr>
              <w:t>×</w:t>
            </w:r>
          </w:p>
        </w:tc>
        <w:tc>
          <w:tcPr>
            <w:tcW w:w="547" w:type="dxa"/>
            <w:noWrap w:val="0"/>
            <w:vAlign w:val="center"/>
          </w:tcPr>
          <w:p w14:paraId="64A26EFB">
            <w:pPr>
              <w:pStyle w:val="27"/>
              <w:rPr>
                <w:rFonts w:ascii="Times New Roman" w:hAnsi="Times New Roman"/>
                <w:color w:val="auto"/>
                <w:highlight w:val="none"/>
              </w:rPr>
            </w:pPr>
            <w:r>
              <w:rPr>
                <w:rFonts w:ascii="Times New Roman" w:hAnsi="Times New Roman"/>
                <w:color w:val="auto"/>
                <w:highlight w:val="none"/>
              </w:rPr>
              <w:t>×</w:t>
            </w:r>
          </w:p>
        </w:tc>
        <w:tc>
          <w:tcPr>
            <w:tcW w:w="814" w:type="dxa"/>
            <w:noWrap w:val="0"/>
            <w:vAlign w:val="center"/>
          </w:tcPr>
          <w:p w14:paraId="6B446C3C">
            <w:pPr>
              <w:pStyle w:val="27"/>
              <w:rPr>
                <w:rFonts w:ascii="Times New Roman" w:hAnsi="Times New Roman"/>
                <w:color w:val="auto"/>
                <w:highlight w:val="none"/>
              </w:rPr>
            </w:pPr>
            <w:r>
              <w:rPr>
                <w:rFonts w:ascii="Times New Roman" w:hAnsi="Times New Roman"/>
                <w:color w:val="auto"/>
                <w:highlight w:val="none"/>
              </w:rPr>
              <w:t>×</w:t>
            </w:r>
          </w:p>
        </w:tc>
        <w:tc>
          <w:tcPr>
            <w:tcW w:w="652" w:type="dxa"/>
            <w:noWrap w:val="0"/>
            <w:vAlign w:val="center"/>
          </w:tcPr>
          <w:p w14:paraId="2B0472DC">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616A03FA">
            <w:pPr>
              <w:pStyle w:val="27"/>
              <w:rPr>
                <w:rFonts w:ascii="Times New Roman" w:hAnsi="Times New Roman"/>
                <w:color w:val="auto"/>
                <w:highlight w:val="none"/>
              </w:rPr>
            </w:pPr>
            <w:r>
              <w:rPr>
                <w:rFonts w:ascii="Times New Roman" w:hAnsi="Times New Roman"/>
                <w:color w:val="auto"/>
                <w:highlight w:val="none"/>
              </w:rPr>
              <w:t>×</w:t>
            </w:r>
          </w:p>
        </w:tc>
        <w:tc>
          <w:tcPr>
            <w:tcW w:w="652" w:type="dxa"/>
            <w:noWrap w:val="0"/>
            <w:vAlign w:val="center"/>
          </w:tcPr>
          <w:p w14:paraId="23E816E4">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53ECD6BD">
            <w:pPr>
              <w:pStyle w:val="27"/>
              <w:rPr>
                <w:rFonts w:ascii="Times New Roman" w:hAnsi="Times New Roman"/>
                <w:color w:val="auto"/>
                <w:highlight w:val="none"/>
              </w:rPr>
            </w:pPr>
            <w:r>
              <w:rPr>
                <w:rFonts w:ascii="Times New Roman" w:hAnsi="Times New Roman"/>
                <w:color w:val="auto"/>
                <w:highlight w:val="none"/>
              </w:rPr>
              <w:t>×</w:t>
            </w:r>
          </w:p>
        </w:tc>
        <w:tc>
          <w:tcPr>
            <w:tcW w:w="580" w:type="dxa"/>
            <w:noWrap w:val="0"/>
            <w:vAlign w:val="center"/>
          </w:tcPr>
          <w:p w14:paraId="44934BB2">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439E7007">
            <w:pPr>
              <w:pStyle w:val="27"/>
              <w:rPr>
                <w:rFonts w:ascii="Times New Roman" w:hAnsi="Times New Roman"/>
                <w:color w:val="auto"/>
                <w:highlight w:val="none"/>
              </w:rPr>
            </w:pPr>
            <w:r>
              <w:rPr>
                <w:rFonts w:ascii="Times New Roman" w:hAnsi="Times New Roman"/>
                <w:color w:val="auto"/>
                <w:highlight w:val="none"/>
              </w:rPr>
              <w:t>×</w:t>
            </w:r>
          </w:p>
        </w:tc>
        <w:tc>
          <w:tcPr>
            <w:tcW w:w="634" w:type="dxa"/>
            <w:noWrap w:val="0"/>
            <w:vAlign w:val="center"/>
          </w:tcPr>
          <w:p w14:paraId="2FDEE5B3">
            <w:pPr>
              <w:pStyle w:val="27"/>
              <w:rPr>
                <w:rFonts w:ascii="Times New Roman" w:hAnsi="Times New Roman"/>
                <w:color w:val="auto"/>
                <w:highlight w:val="none"/>
              </w:rPr>
            </w:pPr>
            <w:r>
              <w:rPr>
                <w:rFonts w:ascii="Times New Roman" w:hAnsi="Times New Roman"/>
                <w:color w:val="auto"/>
                <w:highlight w:val="none"/>
              </w:rPr>
              <w:t>×</w:t>
            </w:r>
          </w:p>
        </w:tc>
      </w:tr>
      <w:tr w14:paraId="45506E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31" w:type="dxa"/>
            <w:vMerge w:val="restart"/>
            <w:noWrap w:val="0"/>
            <w:vAlign w:val="center"/>
          </w:tcPr>
          <w:p w14:paraId="17ACA6E1">
            <w:pPr>
              <w:pStyle w:val="27"/>
              <w:rPr>
                <w:rFonts w:ascii="Times New Roman" w:hAnsi="Times New Roman"/>
                <w:color w:val="auto"/>
                <w:highlight w:val="none"/>
              </w:rPr>
            </w:pPr>
            <w:r>
              <w:rPr>
                <w:rFonts w:ascii="Times New Roman" w:hAnsi="Times New Roman"/>
                <w:color w:val="auto"/>
                <w:highlight w:val="none"/>
              </w:rPr>
              <w:t>运营期</w:t>
            </w:r>
          </w:p>
        </w:tc>
        <w:tc>
          <w:tcPr>
            <w:tcW w:w="1632" w:type="dxa"/>
            <w:noWrap w:val="0"/>
            <w:vAlign w:val="center"/>
          </w:tcPr>
          <w:p w14:paraId="487C8A29">
            <w:pPr>
              <w:pStyle w:val="27"/>
              <w:rPr>
                <w:rFonts w:ascii="Times New Roman" w:hAnsi="Times New Roman"/>
                <w:color w:val="auto"/>
                <w:highlight w:val="none"/>
              </w:rPr>
            </w:pPr>
            <w:r>
              <w:rPr>
                <w:rFonts w:ascii="Times New Roman" w:hAnsi="Times New Roman"/>
                <w:color w:val="auto"/>
                <w:highlight w:val="none"/>
              </w:rPr>
              <w:t>锅炉废气</w:t>
            </w:r>
          </w:p>
        </w:tc>
        <w:tc>
          <w:tcPr>
            <w:tcW w:w="586" w:type="dxa"/>
            <w:noWrap w:val="0"/>
            <w:vAlign w:val="center"/>
          </w:tcPr>
          <w:p w14:paraId="35E391CB">
            <w:pPr>
              <w:pStyle w:val="27"/>
              <w:rPr>
                <w:rFonts w:ascii="Times New Roman" w:hAnsi="Times New Roman"/>
                <w:color w:val="auto"/>
                <w:highlight w:val="none"/>
              </w:rPr>
            </w:pPr>
            <w:r>
              <w:rPr>
                <w:rFonts w:ascii="Times New Roman" w:hAnsi="Times New Roman"/>
                <w:color w:val="auto"/>
                <w:highlight w:val="none"/>
              </w:rPr>
              <w:t>×</w:t>
            </w:r>
          </w:p>
        </w:tc>
        <w:tc>
          <w:tcPr>
            <w:tcW w:w="547" w:type="dxa"/>
            <w:noWrap w:val="0"/>
            <w:vAlign w:val="center"/>
          </w:tcPr>
          <w:p w14:paraId="1059C030">
            <w:pPr>
              <w:pStyle w:val="27"/>
              <w:rPr>
                <w:rFonts w:ascii="Times New Roman" w:hAnsi="Times New Roman"/>
                <w:color w:val="auto"/>
                <w:highlight w:val="none"/>
              </w:rPr>
            </w:pPr>
            <w:r>
              <w:rPr>
                <w:rFonts w:ascii="Times New Roman" w:hAnsi="Times New Roman"/>
                <w:color w:val="auto"/>
                <w:highlight w:val="none"/>
              </w:rPr>
              <w:t>×</w:t>
            </w:r>
          </w:p>
        </w:tc>
        <w:tc>
          <w:tcPr>
            <w:tcW w:w="814" w:type="dxa"/>
            <w:noWrap w:val="0"/>
            <w:vAlign w:val="center"/>
          </w:tcPr>
          <w:p w14:paraId="0B26F5B6">
            <w:pPr>
              <w:pStyle w:val="27"/>
              <w:rPr>
                <w:rFonts w:ascii="Times New Roman" w:hAnsi="Times New Roman"/>
                <w:color w:val="auto"/>
                <w:highlight w:val="none"/>
              </w:rPr>
            </w:pPr>
            <w:r>
              <w:rPr>
                <w:rFonts w:ascii="Times New Roman" w:hAnsi="Times New Roman"/>
                <w:color w:val="auto"/>
                <w:highlight w:val="none"/>
              </w:rPr>
              <w:t>×</w:t>
            </w:r>
          </w:p>
        </w:tc>
        <w:tc>
          <w:tcPr>
            <w:tcW w:w="652" w:type="dxa"/>
            <w:noWrap w:val="0"/>
            <w:vAlign w:val="center"/>
          </w:tcPr>
          <w:p w14:paraId="0A6920E5">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101E442F">
            <w:pPr>
              <w:pStyle w:val="27"/>
              <w:rPr>
                <w:rFonts w:ascii="Times New Roman" w:hAnsi="Times New Roman"/>
                <w:color w:val="auto"/>
                <w:highlight w:val="none"/>
              </w:rPr>
            </w:pPr>
            <w:r>
              <w:rPr>
                <w:rFonts w:ascii="Times New Roman" w:hAnsi="Times New Roman"/>
                <w:color w:val="auto"/>
                <w:highlight w:val="none"/>
              </w:rPr>
              <w:t>○</w:t>
            </w:r>
          </w:p>
        </w:tc>
        <w:tc>
          <w:tcPr>
            <w:tcW w:w="652" w:type="dxa"/>
            <w:noWrap w:val="0"/>
            <w:vAlign w:val="center"/>
          </w:tcPr>
          <w:p w14:paraId="364B7AB4">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2DC45045">
            <w:pPr>
              <w:pStyle w:val="27"/>
              <w:rPr>
                <w:rFonts w:ascii="Times New Roman" w:hAnsi="Times New Roman"/>
                <w:color w:val="auto"/>
                <w:highlight w:val="none"/>
              </w:rPr>
            </w:pPr>
            <w:r>
              <w:rPr>
                <w:rFonts w:ascii="Times New Roman" w:hAnsi="Times New Roman"/>
                <w:color w:val="auto"/>
                <w:highlight w:val="none"/>
              </w:rPr>
              <w:t>×</w:t>
            </w:r>
          </w:p>
        </w:tc>
        <w:tc>
          <w:tcPr>
            <w:tcW w:w="580" w:type="dxa"/>
            <w:noWrap w:val="0"/>
            <w:vAlign w:val="center"/>
          </w:tcPr>
          <w:p w14:paraId="1913261A">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1E1DF7FA">
            <w:pPr>
              <w:pStyle w:val="27"/>
              <w:rPr>
                <w:rFonts w:ascii="Times New Roman" w:hAnsi="Times New Roman"/>
                <w:color w:val="auto"/>
                <w:highlight w:val="none"/>
              </w:rPr>
            </w:pPr>
            <w:r>
              <w:rPr>
                <w:rFonts w:ascii="Times New Roman" w:hAnsi="Times New Roman"/>
                <w:color w:val="auto"/>
                <w:highlight w:val="none"/>
              </w:rPr>
              <w:t>Δ</w:t>
            </w:r>
          </w:p>
        </w:tc>
        <w:tc>
          <w:tcPr>
            <w:tcW w:w="634" w:type="dxa"/>
            <w:noWrap w:val="0"/>
            <w:vAlign w:val="center"/>
          </w:tcPr>
          <w:p w14:paraId="304A4768">
            <w:pPr>
              <w:pStyle w:val="27"/>
              <w:rPr>
                <w:rFonts w:ascii="Times New Roman" w:hAnsi="Times New Roman"/>
                <w:color w:val="auto"/>
                <w:highlight w:val="none"/>
              </w:rPr>
            </w:pPr>
            <w:r>
              <w:rPr>
                <w:rFonts w:ascii="Times New Roman" w:hAnsi="Times New Roman"/>
                <w:color w:val="auto"/>
                <w:highlight w:val="none"/>
              </w:rPr>
              <w:t>Δ</w:t>
            </w:r>
          </w:p>
        </w:tc>
      </w:tr>
      <w:tr w14:paraId="26B9EB4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31" w:type="dxa"/>
            <w:vMerge w:val="continue"/>
            <w:noWrap w:val="0"/>
            <w:vAlign w:val="center"/>
          </w:tcPr>
          <w:p w14:paraId="2F13A526">
            <w:pPr>
              <w:pStyle w:val="27"/>
              <w:rPr>
                <w:rFonts w:ascii="Times New Roman" w:hAnsi="Times New Roman"/>
                <w:color w:val="auto"/>
                <w:highlight w:val="none"/>
              </w:rPr>
            </w:pPr>
          </w:p>
        </w:tc>
        <w:tc>
          <w:tcPr>
            <w:tcW w:w="1632" w:type="dxa"/>
            <w:noWrap w:val="0"/>
            <w:vAlign w:val="center"/>
          </w:tcPr>
          <w:p w14:paraId="5C447103">
            <w:pPr>
              <w:pStyle w:val="27"/>
              <w:rPr>
                <w:rFonts w:ascii="Times New Roman" w:hAnsi="Times New Roman"/>
                <w:color w:val="auto"/>
                <w:highlight w:val="none"/>
              </w:rPr>
            </w:pPr>
            <w:r>
              <w:rPr>
                <w:rFonts w:ascii="Times New Roman" w:hAnsi="Times New Roman"/>
                <w:color w:val="auto"/>
                <w:highlight w:val="none"/>
              </w:rPr>
              <w:t>设备噪声</w:t>
            </w:r>
          </w:p>
        </w:tc>
        <w:tc>
          <w:tcPr>
            <w:tcW w:w="586" w:type="dxa"/>
            <w:noWrap w:val="0"/>
            <w:vAlign w:val="center"/>
          </w:tcPr>
          <w:p w14:paraId="12A0E7BB">
            <w:pPr>
              <w:pStyle w:val="27"/>
              <w:rPr>
                <w:rFonts w:ascii="Times New Roman" w:hAnsi="Times New Roman"/>
                <w:color w:val="auto"/>
                <w:highlight w:val="none"/>
              </w:rPr>
            </w:pPr>
            <w:r>
              <w:rPr>
                <w:rFonts w:ascii="Times New Roman" w:hAnsi="Times New Roman"/>
                <w:color w:val="auto"/>
                <w:highlight w:val="none"/>
              </w:rPr>
              <w:t>×</w:t>
            </w:r>
          </w:p>
        </w:tc>
        <w:tc>
          <w:tcPr>
            <w:tcW w:w="547" w:type="dxa"/>
            <w:noWrap w:val="0"/>
            <w:vAlign w:val="center"/>
          </w:tcPr>
          <w:p w14:paraId="1F4665D2">
            <w:pPr>
              <w:pStyle w:val="27"/>
              <w:rPr>
                <w:rFonts w:ascii="Times New Roman" w:hAnsi="Times New Roman"/>
                <w:color w:val="auto"/>
                <w:highlight w:val="none"/>
              </w:rPr>
            </w:pPr>
            <w:r>
              <w:rPr>
                <w:rFonts w:ascii="Times New Roman" w:hAnsi="Times New Roman"/>
                <w:color w:val="auto"/>
                <w:highlight w:val="none"/>
              </w:rPr>
              <w:t>×</w:t>
            </w:r>
          </w:p>
        </w:tc>
        <w:tc>
          <w:tcPr>
            <w:tcW w:w="814" w:type="dxa"/>
            <w:noWrap w:val="0"/>
            <w:vAlign w:val="center"/>
          </w:tcPr>
          <w:p w14:paraId="3D092150">
            <w:pPr>
              <w:pStyle w:val="27"/>
              <w:rPr>
                <w:rFonts w:ascii="Times New Roman" w:hAnsi="Times New Roman"/>
                <w:color w:val="auto"/>
                <w:highlight w:val="none"/>
              </w:rPr>
            </w:pPr>
            <w:r>
              <w:rPr>
                <w:rFonts w:ascii="Times New Roman" w:hAnsi="Times New Roman"/>
                <w:color w:val="auto"/>
                <w:highlight w:val="none"/>
              </w:rPr>
              <w:t>×</w:t>
            </w:r>
          </w:p>
        </w:tc>
        <w:tc>
          <w:tcPr>
            <w:tcW w:w="652" w:type="dxa"/>
            <w:noWrap w:val="0"/>
            <w:vAlign w:val="center"/>
          </w:tcPr>
          <w:p w14:paraId="5C69E898">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4C800958">
            <w:pPr>
              <w:pStyle w:val="27"/>
              <w:rPr>
                <w:rFonts w:ascii="Times New Roman" w:hAnsi="Times New Roman"/>
                <w:color w:val="auto"/>
                <w:highlight w:val="none"/>
              </w:rPr>
            </w:pPr>
            <w:r>
              <w:rPr>
                <w:rFonts w:ascii="Times New Roman" w:hAnsi="Times New Roman"/>
                <w:color w:val="auto"/>
                <w:highlight w:val="none"/>
              </w:rPr>
              <w:t>×</w:t>
            </w:r>
          </w:p>
        </w:tc>
        <w:tc>
          <w:tcPr>
            <w:tcW w:w="652" w:type="dxa"/>
            <w:noWrap w:val="0"/>
            <w:vAlign w:val="center"/>
          </w:tcPr>
          <w:p w14:paraId="41819142">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22DFEABB">
            <w:pPr>
              <w:pStyle w:val="27"/>
              <w:rPr>
                <w:rFonts w:ascii="Times New Roman" w:hAnsi="Times New Roman"/>
                <w:color w:val="auto"/>
                <w:highlight w:val="none"/>
              </w:rPr>
            </w:pPr>
            <w:r>
              <w:rPr>
                <w:rFonts w:ascii="Times New Roman" w:hAnsi="Times New Roman"/>
                <w:color w:val="auto"/>
                <w:highlight w:val="none"/>
              </w:rPr>
              <w:t>×</w:t>
            </w:r>
          </w:p>
        </w:tc>
        <w:tc>
          <w:tcPr>
            <w:tcW w:w="580" w:type="dxa"/>
            <w:noWrap w:val="0"/>
            <w:vAlign w:val="center"/>
          </w:tcPr>
          <w:p w14:paraId="7D0E9B68">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795946EE">
            <w:pPr>
              <w:pStyle w:val="27"/>
              <w:rPr>
                <w:rFonts w:ascii="Times New Roman" w:hAnsi="Times New Roman"/>
                <w:color w:val="auto"/>
                <w:highlight w:val="none"/>
              </w:rPr>
            </w:pPr>
            <w:r>
              <w:rPr>
                <w:rFonts w:ascii="Times New Roman" w:hAnsi="Times New Roman"/>
                <w:color w:val="auto"/>
                <w:highlight w:val="none"/>
              </w:rPr>
              <w:t>Δ</w:t>
            </w:r>
          </w:p>
        </w:tc>
        <w:tc>
          <w:tcPr>
            <w:tcW w:w="634" w:type="dxa"/>
            <w:noWrap w:val="0"/>
            <w:vAlign w:val="center"/>
          </w:tcPr>
          <w:p w14:paraId="00114119">
            <w:pPr>
              <w:pStyle w:val="27"/>
              <w:rPr>
                <w:rFonts w:ascii="Times New Roman" w:hAnsi="Times New Roman"/>
                <w:color w:val="auto"/>
                <w:highlight w:val="none"/>
              </w:rPr>
            </w:pPr>
            <w:r>
              <w:rPr>
                <w:rFonts w:ascii="Times New Roman" w:hAnsi="Times New Roman"/>
                <w:color w:val="auto"/>
                <w:highlight w:val="none"/>
              </w:rPr>
              <w:t>Δ</w:t>
            </w:r>
          </w:p>
        </w:tc>
      </w:tr>
      <w:tr w14:paraId="4A270F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31" w:type="dxa"/>
            <w:vMerge w:val="continue"/>
            <w:noWrap w:val="0"/>
            <w:vAlign w:val="center"/>
          </w:tcPr>
          <w:p w14:paraId="7DA46CB3">
            <w:pPr>
              <w:pStyle w:val="27"/>
              <w:rPr>
                <w:rFonts w:ascii="Times New Roman" w:hAnsi="Times New Roman"/>
                <w:color w:val="auto"/>
                <w:highlight w:val="none"/>
              </w:rPr>
            </w:pPr>
          </w:p>
        </w:tc>
        <w:tc>
          <w:tcPr>
            <w:tcW w:w="1632" w:type="dxa"/>
            <w:noWrap w:val="0"/>
            <w:vAlign w:val="center"/>
          </w:tcPr>
          <w:p w14:paraId="4679FC01">
            <w:pPr>
              <w:pStyle w:val="27"/>
              <w:rPr>
                <w:rFonts w:ascii="Times New Roman" w:hAnsi="Times New Roman"/>
                <w:color w:val="auto"/>
                <w:highlight w:val="none"/>
              </w:rPr>
            </w:pPr>
            <w:r>
              <w:rPr>
                <w:rFonts w:ascii="Times New Roman" w:hAnsi="Times New Roman"/>
                <w:color w:val="auto"/>
                <w:highlight w:val="none"/>
              </w:rPr>
              <w:t>地表径流</w:t>
            </w:r>
          </w:p>
        </w:tc>
        <w:tc>
          <w:tcPr>
            <w:tcW w:w="586" w:type="dxa"/>
            <w:noWrap w:val="0"/>
            <w:vAlign w:val="center"/>
          </w:tcPr>
          <w:p w14:paraId="373B16FD">
            <w:pPr>
              <w:pStyle w:val="27"/>
              <w:rPr>
                <w:rFonts w:ascii="Times New Roman" w:hAnsi="Times New Roman"/>
                <w:color w:val="auto"/>
                <w:highlight w:val="none"/>
              </w:rPr>
            </w:pPr>
            <w:r>
              <w:rPr>
                <w:rFonts w:ascii="Times New Roman" w:hAnsi="Times New Roman"/>
                <w:color w:val="auto"/>
                <w:highlight w:val="none"/>
              </w:rPr>
              <w:t>×</w:t>
            </w:r>
          </w:p>
        </w:tc>
        <w:tc>
          <w:tcPr>
            <w:tcW w:w="547" w:type="dxa"/>
            <w:noWrap w:val="0"/>
            <w:vAlign w:val="center"/>
          </w:tcPr>
          <w:p w14:paraId="7C0DEC03">
            <w:pPr>
              <w:pStyle w:val="27"/>
              <w:rPr>
                <w:rFonts w:ascii="Times New Roman" w:hAnsi="Times New Roman"/>
                <w:color w:val="auto"/>
                <w:highlight w:val="none"/>
              </w:rPr>
            </w:pPr>
            <w:r>
              <w:rPr>
                <w:rFonts w:ascii="Times New Roman" w:hAnsi="Times New Roman"/>
                <w:color w:val="auto"/>
                <w:highlight w:val="none"/>
              </w:rPr>
              <w:t>Δ</w:t>
            </w:r>
          </w:p>
        </w:tc>
        <w:tc>
          <w:tcPr>
            <w:tcW w:w="814" w:type="dxa"/>
            <w:noWrap w:val="0"/>
            <w:vAlign w:val="center"/>
          </w:tcPr>
          <w:p w14:paraId="5DD74D64">
            <w:pPr>
              <w:pStyle w:val="27"/>
              <w:rPr>
                <w:rFonts w:ascii="Times New Roman" w:hAnsi="Times New Roman"/>
                <w:color w:val="auto"/>
                <w:highlight w:val="none"/>
              </w:rPr>
            </w:pPr>
            <w:r>
              <w:rPr>
                <w:rFonts w:ascii="Times New Roman" w:hAnsi="Times New Roman"/>
                <w:color w:val="auto"/>
                <w:highlight w:val="none"/>
              </w:rPr>
              <w:t>×</w:t>
            </w:r>
          </w:p>
        </w:tc>
        <w:tc>
          <w:tcPr>
            <w:tcW w:w="652" w:type="dxa"/>
            <w:noWrap w:val="0"/>
            <w:vAlign w:val="center"/>
          </w:tcPr>
          <w:p w14:paraId="676C2967">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5A0BB153">
            <w:pPr>
              <w:pStyle w:val="27"/>
              <w:rPr>
                <w:rFonts w:ascii="Times New Roman" w:hAnsi="Times New Roman"/>
                <w:color w:val="auto"/>
                <w:highlight w:val="none"/>
              </w:rPr>
            </w:pPr>
            <w:r>
              <w:rPr>
                <w:rFonts w:ascii="Times New Roman" w:hAnsi="Times New Roman"/>
                <w:color w:val="auto"/>
                <w:highlight w:val="none"/>
              </w:rPr>
              <w:t>×</w:t>
            </w:r>
          </w:p>
        </w:tc>
        <w:tc>
          <w:tcPr>
            <w:tcW w:w="652" w:type="dxa"/>
            <w:noWrap w:val="0"/>
            <w:vAlign w:val="center"/>
          </w:tcPr>
          <w:p w14:paraId="73CF420B">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39013A06">
            <w:pPr>
              <w:pStyle w:val="27"/>
              <w:rPr>
                <w:rFonts w:ascii="Times New Roman" w:hAnsi="Times New Roman"/>
                <w:color w:val="auto"/>
                <w:highlight w:val="none"/>
              </w:rPr>
            </w:pPr>
            <w:r>
              <w:rPr>
                <w:rFonts w:ascii="Times New Roman" w:hAnsi="Times New Roman"/>
                <w:color w:val="auto"/>
                <w:highlight w:val="none"/>
              </w:rPr>
              <w:t>×</w:t>
            </w:r>
          </w:p>
        </w:tc>
        <w:tc>
          <w:tcPr>
            <w:tcW w:w="580" w:type="dxa"/>
            <w:noWrap w:val="0"/>
            <w:vAlign w:val="center"/>
          </w:tcPr>
          <w:p w14:paraId="5A62E096">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5FB071C6">
            <w:pPr>
              <w:pStyle w:val="27"/>
              <w:rPr>
                <w:rFonts w:ascii="Times New Roman" w:hAnsi="Times New Roman"/>
                <w:color w:val="auto"/>
                <w:highlight w:val="none"/>
              </w:rPr>
            </w:pPr>
            <w:r>
              <w:rPr>
                <w:rFonts w:ascii="Times New Roman" w:hAnsi="Times New Roman"/>
                <w:color w:val="auto"/>
                <w:highlight w:val="none"/>
              </w:rPr>
              <w:t>Δ</w:t>
            </w:r>
          </w:p>
        </w:tc>
        <w:tc>
          <w:tcPr>
            <w:tcW w:w="634" w:type="dxa"/>
            <w:noWrap w:val="0"/>
            <w:vAlign w:val="center"/>
          </w:tcPr>
          <w:p w14:paraId="3D9400D7">
            <w:pPr>
              <w:pStyle w:val="27"/>
              <w:rPr>
                <w:rFonts w:ascii="Times New Roman" w:hAnsi="Times New Roman"/>
                <w:color w:val="auto"/>
                <w:highlight w:val="none"/>
              </w:rPr>
            </w:pPr>
            <w:r>
              <w:rPr>
                <w:rFonts w:ascii="Times New Roman" w:hAnsi="Times New Roman"/>
                <w:color w:val="auto"/>
                <w:highlight w:val="none"/>
              </w:rPr>
              <w:t>Δ</w:t>
            </w:r>
          </w:p>
        </w:tc>
      </w:tr>
      <w:tr w14:paraId="52219DC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31" w:type="dxa"/>
            <w:vMerge w:val="continue"/>
            <w:noWrap w:val="0"/>
            <w:vAlign w:val="center"/>
          </w:tcPr>
          <w:p w14:paraId="37BCD02A">
            <w:pPr>
              <w:pStyle w:val="27"/>
              <w:rPr>
                <w:rFonts w:ascii="Times New Roman" w:hAnsi="Times New Roman"/>
                <w:color w:val="auto"/>
                <w:highlight w:val="none"/>
              </w:rPr>
            </w:pPr>
          </w:p>
        </w:tc>
        <w:tc>
          <w:tcPr>
            <w:tcW w:w="1632" w:type="dxa"/>
            <w:noWrap w:val="0"/>
            <w:vAlign w:val="center"/>
          </w:tcPr>
          <w:p w14:paraId="6C3048A4">
            <w:pPr>
              <w:pStyle w:val="27"/>
              <w:rPr>
                <w:rFonts w:ascii="Times New Roman" w:hAnsi="Times New Roman"/>
                <w:color w:val="auto"/>
                <w:highlight w:val="none"/>
              </w:rPr>
            </w:pPr>
            <w:r>
              <w:rPr>
                <w:rFonts w:ascii="Times New Roman" w:hAnsi="Times New Roman"/>
                <w:color w:val="auto"/>
                <w:highlight w:val="none"/>
              </w:rPr>
              <w:t>地下水水质</w:t>
            </w:r>
          </w:p>
        </w:tc>
        <w:tc>
          <w:tcPr>
            <w:tcW w:w="586" w:type="dxa"/>
            <w:noWrap w:val="0"/>
            <w:vAlign w:val="center"/>
          </w:tcPr>
          <w:p w14:paraId="52EB1DDD">
            <w:pPr>
              <w:pStyle w:val="27"/>
              <w:rPr>
                <w:rFonts w:ascii="Times New Roman" w:hAnsi="Times New Roman"/>
                <w:color w:val="auto"/>
                <w:highlight w:val="none"/>
              </w:rPr>
            </w:pPr>
            <w:r>
              <w:rPr>
                <w:rFonts w:ascii="Times New Roman" w:hAnsi="Times New Roman"/>
                <w:color w:val="auto"/>
                <w:highlight w:val="none"/>
              </w:rPr>
              <w:t>×</w:t>
            </w:r>
          </w:p>
        </w:tc>
        <w:tc>
          <w:tcPr>
            <w:tcW w:w="547" w:type="dxa"/>
            <w:noWrap w:val="0"/>
            <w:vAlign w:val="center"/>
          </w:tcPr>
          <w:p w14:paraId="5060283C">
            <w:pPr>
              <w:pStyle w:val="27"/>
              <w:rPr>
                <w:rFonts w:ascii="Times New Roman" w:hAnsi="Times New Roman"/>
                <w:color w:val="auto"/>
                <w:highlight w:val="none"/>
              </w:rPr>
            </w:pPr>
            <w:r>
              <w:rPr>
                <w:rFonts w:ascii="Times New Roman" w:hAnsi="Times New Roman"/>
                <w:color w:val="auto"/>
                <w:highlight w:val="none"/>
              </w:rPr>
              <w:t>×</w:t>
            </w:r>
          </w:p>
        </w:tc>
        <w:tc>
          <w:tcPr>
            <w:tcW w:w="814" w:type="dxa"/>
            <w:noWrap w:val="0"/>
            <w:vAlign w:val="center"/>
          </w:tcPr>
          <w:p w14:paraId="4739F1CC">
            <w:pPr>
              <w:pStyle w:val="27"/>
              <w:rPr>
                <w:rFonts w:ascii="Times New Roman" w:hAnsi="Times New Roman"/>
                <w:color w:val="auto"/>
                <w:highlight w:val="none"/>
              </w:rPr>
            </w:pPr>
            <w:r>
              <w:rPr>
                <w:rFonts w:ascii="Times New Roman" w:hAnsi="Times New Roman"/>
                <w:color w:val="auto"/>
                <w:highlight w:val="none"/>
              </w:rPr>
              <w:t>×</w:t>
            </w:r>
          </w:p>
        </w:tc>
        <w:tc>
          <w:tcPr>
            <w:tcW w:w="652" w:type="dxa"/>
            <w:noWrap w:val="0"/>
            <w:vAlign w:val="center"/>
          </w:tcPr>
          <w:p w14:paraId="0B5576A4">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2AF0CEF5">
            <w:pPr>
              <w:pStyle w:val="27"/>
              <w:rPr>
                <w:rFonts w:ascii="Times New Roman" w:hAnsi="Times New Roman"/>
                <w:color w:val="auto"/>
                <w:highlight w:val="none"/>
              </w:rPr>
            </w:pPr>
            <w:r>
              <w:rPr>
                <w:rFonts w:ascii="Times New Roman" w:hAnsi="Times New Roman"/>
                <w:color w:val="auto"/>
                <w:highlight w:val="none"/>
              </w:rPr>
              <w:t>×</w:t>
            </w:r>
          </w:p>
        </w:tc>
        <w:tc>
          <w:tcPr>
            <w:tcW w:w="652" w:type="dxa"/>
            <w:noWrap w:val="0"/>
            <w:vAlign w:val="center"/>
          </w:tcPr>
          <w:p w14:paraId="3C87EDB3">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5AC20553">
            <w:pPr>
              <w:pStyle w:val="27"/>
              <w:rPr>
                <w:rFonts w:ascii="Times New Roman" w:hAnsi="Times New Roman"/>
                <w:color w:val="auto"/>
                <w:highlight w:val="none"/>
              </w:rPr>
            </w:pPr>
            <w:r>
              <w:rPr>
                <w:rFonts w:ascii="Times New Roman" w:hAnsi="Times New Roman"/>
                <w:color w:val="auto"/>
                <w:highlight w:val="none"/>
              </w:rPr>
              <w:t>×</w:t>
            </w:r>
          </w:p>
        </w:tc>
        <w:tc>
          <w:tcPr>
            <w:tcW w:w="580" w:type="dxa"/>
            <w:noWrap w:val="0"/>
            <w:vAlign w:val="center"/>
          </w:tcPr>
          <w:p w14:paraId="431FAB12">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545C693D">
            <w:pPr>
              <w:pStyle w:val="27"/>
              <w:rPr>
                <w:rFonts w:ascii="Times New Roman" w:hAnsi="Times New Roman"/>
                <w:color w:val="auto"/>
                <w:highlight w:val="none"/>
              </w:rPr>
            </w:pPr>
            <w:r>
              <w:rPr>
                <w:rFonts w:ascii="Times New Roman" w:hAnsi="Times New Roman"/>
                <w:color w:val="auto"/>
                <w:highlight w:val="none"/>
              </w:rPr>
              <w:t>×</w:t>
            </w:r>
          </w:p>
        </w:tc>
        <w:tc>
          <w:tcPr>
            <w:tcW w:w="634" w:type="dxa"/>
            <w:noWrap w:val="0"/>
            <w:vAlign w:val="center"/>
          </w:tcPr>
          <w:p w14:paraId="77388C7C">
            <w:pPr>
              <w:pStyle w:val="27"/>
              <w:rPr>
                <w:rFonts w:ascii="Times New Roman" w:hAnsi="Times New Roman"/>
                <w:color w:val="auto"/>
                <w:highlight w:val="none"/>
              </w:rPr>
            </w:pPr>
            <w:r>
              <w:rPr>
                <w:rFonts w:ascii="Times New Roman" w:hAnsi="Times New Roman"/>
                <w:color w:val="auto"/>
                <w:highlight w:val="none"/>
              </w:rPr>
              <w:t>×</w:t>
            </w:r>
          </w:p>
        </w:tc>
      </w:tr>
      <w:tr w14:paraId="69E918E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6" w:hRule="atLeast"/>
          <w:jc w:val="center"/>
        </w:trPr>
        <w:tc>
          <w:tcPr>
            <w:tcW w:w="631" w:type="dxa"/>
            <w:vMerge w:val="continue"/>
            <w:noWrap w:val="0"/>
            <w:vAlign w:val="center"/>
          </w:tcPr>
          <w:p w14:paraId="7993D67C">
            <w:pPr>
              <w:pStyle w:val="27"/>
              <w:rPr>
                <w:rFonts w:ascii="Times New Roman" w:hAnsi="Times New Roman"/>
                <w:color w:val="auto"/>
                <w:highlight w:val="none"/>
              </w:rPr>
            </w:pPr>
          </w:p>
        </w:tc>
        <w:tc>
          <w:tcPr>
            <w:tcW w:w="1632" w:type="dxa"/>
            <w:noWrap w:val="0"/>
            <w:vAlign w:val="center"/>
          </w:tcPr>
          <w:p w14:paraId="58B6945E">
            <w:pPr>
              <w:pStyle w:val="27"/>
              <w:rPr>
                <w:rFonts w:ascii="Times New Roman" w:hAnsi="Times New Roman"/>
                <w:color w:val="auto"/>
                <w:highlight w:val="none"/>
              </w:rPr>
            </w:pPr>
            <w:r>
              <w:rPr>
                <w:rFonts w:ascii="Times New Roman" w:hAnsi="Times New Roman"/>
                <w:color w:val="auto"/>
                <w:highlight w:val="none"/>
              </w:rPr>
              <w:t>土壤影响</w:t>
            </w:r>
          </w:p>
        </w:tc>
        <w:tc>
          <w:tcPr>
            <w:tcW w:w="586" w:type="dxa"/>
            <w:noWrap w:val="0"/>
            <w:vAlign w:val="center"/>
          </w:tcPr>
          <w:p w14:paraId="41933D3C">
            <w:pPr>
              <w:pStyle w:val="27"/>
              <w:rPr>
                <w:rFonts w:ascii="Times New Roman" w:hAnsi="Times New Roman"/>
                <w:color w:val="auto"/>
                <w:highlight w:val="none"/>
              </w:rPr>
            </w:pPr>
            <w:r>
              <w:rPr>
                <w:rFonts w:ascii="Times New Roman" w:hAnsi="Times New Roman"/>
                <w:color w:val="auto"/>
                <w:highlight w:val="none"/>
              </w:rPr>
              <w:t>×</w:t>
            </w:r>
          </w:p>
        </w:tc>
        <w:tc>
          <w:tcPr>
            <w:tcW w:w="547" w:type="dxa"/>
            <w:noWrap w:val="0"/>
            <w:vAlign w:val="center"/>
          </w:tcPr>
          <w:p w14:paraId="3B2116CF">
            <w:pPr>
              <w:pStyle w:val="27"/>
              <w:rPr>
                <w:rFonts w:ascii="Times New Roman" w:hAnsi="Times New Roman"/>
                <w:color w:val="auto"/>
                <w:highlight w:val="none"/>
              </w:rPr>
            </w:pPr>
            <w:r>
              <w:rPr>
                <w:rFonts w:ascii="Times New Roman" w:hAnsi="Times New Roman"/>
                <w:color w:val="auto"/>
                <w:highlight w:val="none"/>
              </w:rPr>
              <w:t>×</w:t>
            </w:r>
          </w:p>
        </w:tc>
        <w:tc>
          <w:tcPr>
            <w:tcW w:w="814" w:type="dxa"/>
            <w:noWrap w:val="0"/>
            <w:vAlign w:val="center"/>
          </w:tcPr>
          <w:p w14:paraId="4FA599FF">
            <w:pPr>
              <w:pStyle w:val="27"/>
              <w:rPr>
                <w:rFonts w:ascii="Times New Roman" w:hAnsi="Times New Roman"/>
                <w:color w:val="auto"/>
                <w:highlight w:val="none"/>
              </w:rPr>
            </w:pPr>
            <w:r>
              <w:rPr>
                <w:rFonts w:ascii="Times New Roman" w:hAnsi="Times New Roman"/>
                <w:color w:val="auto"/>
                <w:highlight w:val="none"/>
              </w:rPr>
              <w:t>Δ</w:t>
            </w:r>
          </w:p>
        </w:tc>
        <w:tc>
          <w:tcPr>
            <w:tcW w:w="652" w:type="dxa"/>
            <w:noWrap w:val="0"/>
            <w:vAlign w:val="center"/>
          </w:tcPr>
          <w:p w14:paraId="0D830F15">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50AAED6D">
            <w:pPr>
              <w:pStyle w:val="27"/>
              <w:rPr>
                <w:rFonts w:ascii="Times New Roman" w:hAnsi="Times New Roman"/>
                <w:color w:val="auto"/>
                <w:highlight w:val="none"/>
              </w:rPr>
            </w:pPr>
            <w:r>
              <w:rPr>
                <w:rFonts w:ascii="Times New Roman" w:hAnsi="Times New Roman"/>
                <w:color w:val="auto"/>
                <w:highlight w:val="none"/>
              </w:rPr>
              <w:t>×</w:t>
            </w:r>
          </w:p>
        </w:tc>
        <w:tc>
          <w:tcPr>
            <w:tcW w:w="652" w:type="dxa"/>
            <w:noWrap w:val="0"/>
            <w:vAlign w:val="center"/>
          </w:tcPr>
          <w:p w14:paraId="207A463E">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75A7B233">
            <w:pPr>
              <w:pStyle w:val="27"/>
              <w:rPr>
                <w:rFonts w:ascii="Times New Roman" w:hAnsi="Times New Roman"/>
                <w:color w:val="auto"/>
                <w:highlight w:val="none"/>
              </w:rPr>
            </w:pPr>
            <w:r>
              <w:rPr>
                <w:rFonts w:ascii="Times New Roman" w:hAnsi="Times New Roman"/>
                <w:color w:val="auto"/>
                <w:highlight w:val="none"/>
              </w:rPr>
              <w:t>×</w:t>
            </w:r>
          </w:p>
        </w:tc>
        <w:tc>
          <w:tcPr>
            <w:tcW w:w="580" w:type="dxa"/>
            <w:noWrap w:val="0"/>
            <w:vAlign w:val="center"/>
          </w:tcPr>
          <w:p w14:paraId="00DD42FB">
            <w:pPr>
              <w:pStyle w:val="27"/>
              <w:rPr>
                <w:rFonts w:ascii="Times New Roman" w:hAnsi="Times New Roman"/>
                <w:color w:val="auto"/>
                <w:highlight w:val="none"/>
              </w:rPr>
            </w:pPr>
            <w:r>
              <w:rPr>
                <w:rFonts w:ascii="Times New Roman" w:hAnsi="Times New Roman"/>
                <w:color w:val="auto"/>
                <w:highlight w:val="none"/>
              </w:rPr>
              <w:t>×</w:t>
            </w:r>
          </w:p>
        </w:tc>
        <w:tc>
          <w:tcPr>
            <w:tcW w:w="598" w:type="dxa"/>
            <w:noWrap w:val="0"/>
            <w:vAlign w:val="center"/>
          </w:tcPr>
          <w:p w14:paraId="49865BEA">
            <w:pPr>
              <w:pStyle w:val="27"/>
              <w:rPr>
                <w:rFonts w:ascii="Times New Roman" w:hAnsi="Times New Roman"/>
                <w:color w:val="auto"/>
                <w:highlight w:val="none"/>
              </w:rPr>
            </w:pPr>
            <w:r>
              <w:rPr>
                <w:rFonts w:ascii="Times New Roman" w:hAnsi="Times New Roman"/>
                <w:color w:val="auto"/>
                <w:highlight w:val="none"/>
              </w:rPr>
              <w:t>Δ</w:t>
            </w:r>
          </w:p>
        </w:tc>
        <w:tc>
          <w:tcPr>
            <w:tcW w:w="634" w:type="dxa"/>
            <w:noWrap w:val="0"/>
            <w:vAlign w:val="center"/>
          </w:tcPr>
          <w:p w14:paraId="25B8F118">
            <w:pPr>
              <w:pStyle w:val="27"/>
              <w:rPr>
                <w:rFonts w:ascii="Times New Roman" w:hAnsi="Times New Roman"/>
                <w:color w:val="auto"/>
                <w:highlight w:val="none"/>
              </w:rPr>
            </w:pPr>
            <w:r>
              <w:rPr>
                <w:rFonts w:ascii="Times New Roman" w:hAnsi="Times New Roman"/>
                <w:color w:val="auto"/>
                <w:highlight w:val="none"/>
              </w:rPr>
              <w:t>Δ</w:t>
            </w:r>
          </w:p>
        </w:tc>
      </w:tr>
    </w:tbl>
    <w:p w14:paraId="76F6FDB2">
      <w:pPr>
        <w:rPr>
          <w:rFonts w:ascii="Times New Roman" w:hAnsi="Times New Roman"/>
          <w:color w:val="auto"/>
          <w:sz w:val="21"/>
          <w:highlight w:val="none"/>
        </w:rPr>
      </w:pPr>
      <w:r>
        <w:rPr>
          <w:rFonts w:ascii="Times New Roman" w:hAnsi="Times New Roman"/>
          <w:color w:val="auto"/>
          <w:sz w:val="21"/>
          <w:highlight w:val="none"/>
        </w:rPr>
        <w:t>注：×无影响、—负面影响、Δ轻微影响、○较大影响、●有重大影响、</w:t>
      </w:r>
      <w:r>
        <w:rPr>
          <w:rFonts w:hint="eastAsia" w:ascii="宋体" w:hAnsi="宋体" w:cs="宋体"/>
          <w:color w:val="auto"/>
          <w:sz w:val="21"/>
          <w:highlight w:val="none"/>
        </w:rPr>
        <w:t>◎</w:t>
      </w:r>
      <w:r>
        <w:rPr>
          <w:rFonts w:ascii="Times New Roman" w:hAnsi="Times New Roman"/>
          <w:color w:val="auto"/>
          <w:sz w:val="21"/>
          <w:highlight w:val="none"/>
        </w:rPr>
        <w:t>可能有影响、</w:t>
      </w:r>
      <w:r>
        <w:rPr>
          <w:rFonts w:hint="eastAsia" w:ascii="宋体" w:hAnsi="宋体" w:cs="宋体"/>
          <w:color w:val="auto"/>
          <w:sz w:val="21"/>
          <w:highlight w:val="none"/>
        </w:rPr>
        <w:t>★</w:t>
      </w:r>
      <w:r>
        <w:rPr>
          <w:rFonts w:ascii="Times New Roman" w:hAnsi="Times New Roman"/>
          <w:color w:val="auto"/>
          <w:sz w:val="21"/>
          <w:highlight w:val="none"/>
        </w:rPr>
        <w:t>正面影响。</w:t>
      </w:r>
    </w:p>
    <w:p w14:paraId="6B718D35">
      <w:pPr>
        <w:pStyle w:val="5"/>
        <w:bidi w:val="0"/>
        <w:ind w:left="0" w:leftChars="0" w:firstLine="0" w:firstLineChars="0"/>
        <w:rPr>
          <w:rFonts w:hint="eastAsia" w:ascii="Times New Roman" w:hAnsi="Times New Roman" w:eastAsia="宋体" w:cs="Times New Roman"/>
          <w:sz w:val="30"/>
          <w:szCs w:val="30"/>
          <w:highlight w:val="none"/>
          <w:lang w:val="en-US" w:eastAsia="zh-CN"/>
        </w:rPr>
      </w:pPr>
      <w:bookmarkStart w:id="40" w:name="_Toc7490"/>
      <w:r>
        <w:rPr>
          <w:rFonts w:hint="eastAsia" w:ascii="Times New Roman" w:hAnsi="Times New Roman" w:eastAsia="宋体" w:cs="Times New Roman"/>
          <w:sz w:val="30"/>
          <w:szCs w:val="30"/>
          <w:highlight w:val="none"/>
          <w:lang w:val="en-US" w:eastAsia="zh-CN"/>
        </w:rPr>
        <w:t>2.3.2评价因子筛选</w:t>
      </w:r>
      <w:bookmarkEnd w:id="40"/>
    </w:p>
    <w:p w14:paraId="27894DD1">
      <w:pPr>
        <w:ind w:firstLine="480"/>
        <w:rPr>
          <w:rFonts w:ascii="Times New Roman" w:hAnsi="Times New Roman"/>
          <w:color w:val="auto"/>
          <w:highlight w:val="none"/>
        </w:rPr>
      </w:pPr>
      <w:r>
        <w:rPr>
          <w:rFonts w:ascii="Times New Roman" w:hAnsi="Times New Roman"/>
          <w:color w:val="auto"/>
          <w:highlight w:val="none"/>
        </w:rPr>
        <w:t>根据前述对本项目的特点、工程施工期及运营期产生的环境影响要素分析和识别，筛选出主要的环境影响评价因子，详见表2.3-2。</w:t>
      </w:r>
    </w:p>
    <w:p w14:paraId="5B2D5AD1">
      <w:pPr>
        <w:pStyle w:val="29"/>
        <w:spacing w:line="240" w:lineRule="auto"/>
        <w:ind w:firstLine="480"/>
        <w:rPr>
          <w:rFonts w:hint="eastAsia" w:ascii="Times New Roman" w:hAnsi="Times New Roman" w:eastAsia="黑体" w:cs="Times New Roman"/>
          <w:color w:val="auto"/>
          <w:spacing w:val="0"/>
          <w:kern w:val="2"/>
          <w:sz w:val="24"/>
          <w:szCs w:val="24"/>
          <w:highlight w:val="none"/>
          <w:lang w:val="en-US" w:eastAsia="zh-CN" w:bidi="ar-SA"/>
        </w:rPr>
      </w:pPr>
      <w:r>
        <w:rPr>
          <w:rFonts w:hint="eastAsia" w:ascii="Times New Roman" w:hAnsi="Times New Roman" w:eastAsia="黑体" w:cs="Times New Roman"/>
          <w:color w:val="auto"/>
          <w:spacing w:val="0"/>
          <w:kern w:val="2"/>
          <w:sz w:val="24"/>
          <w:szCs w:val="24"/>
          <w:highlight w:val="none"/>
          <w:lang w:val="en-US" w:eastAsia="zh-CN" w:bidi="ar-SA"/>
        </w:rPr>
        <w:t>表2.3-2 评价因子一览表</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16"/>
        <w:gridCol w:w="1875"/>
        <w:gridCol w:w="5131"/>
      </w:tblGrid>
      <w:tr w14:paraId="1CB444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0" w:hRule="atLeast"/>
          <w:jc w:val="center"/>
        </w:trPr>
        <w:tc>
          <w:tcPr>
            <w:tcW w:w="1989" w:type="pct"/>
            <w:gridSpan w:val="2"/>
            <w:noWrap w:val="0"/>
            <w:vAlign w:val="center"/>
          </w:tcPr>
          <w:p w14:paraId="1D81F7A1">
            <w:pPr>
              <w:pStyle w:val="27"/>
              <w:rPr>
                <w:rFonts w:ascii="Times New Roman" w:hAnsi="Times New Roman"/>
                <w:color w:val="auto"/>
                <w:highlight w:val="none"/>
              </w:rPr>
            </w:pPr>
            <w:r>
              <w:rPr>
                <w:rFonts w:ascii="Times New Roman" w:hAnsi="Times New Roman"/>
                <w:color w:val="auto"/>
                <w:highlight w:val="none"/>
              </w:rPr>
              <w:t>项   目</w:t>
            </w:r>
          </w:p>
        </w:tc>
        <w:tc>
          <w:tcPr>
            <w:tcW w:w="3010" w:type="pct"/>
            <w:noWrap w:val="0"/>
            <w:vAlign w:val="center"/>
          </w:tcPr>
          <w:p w14:paraId="4D66703D">
            <w:pPr>
              <w:pStyle w:val="27"/>
              <w:rPr>
                <w:rFonts w:ascii="Times New Roman" w:hAnsi="Times New Roman"/>
                <w:color w:val="auto"/>
                <w:highlight w:val="none"/>
              </w:rPr>
            </w:pPr>
            <w:r>
              <w:rPr>
                <w:rFonts w:ascii="Times New Roman" w:hAnsi="Times New Roman"/>
                <w:color w:val="auto"/>
                <w:highlight w:val="none"/>
              </w:rPr>
              <w:t>评价因子</w:t>
            </w:r>
          </w:p>
        </w:tc>
      </w:tr>
      <w:tr w14:paraId="2B27ACF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0" w:hRule="atLeast"/>
          <w:jc w:val="center"/>
        </w:trPr>
        <w:tc>
          <w:tcPr>
            <w:tcW w:w="889" w:type="pct"/>
            <w:vMerge w:val="restart"/>
            <w:noWrap w:val="0"/>
            <w:vAlign w:val="center"/>
          </w:tcPr>
          <w:p w14:paraId="1546C659">
            <w:pPr>
              <w:pStyle w:val="27"/>
              <w:rPr>
                <w:rFonts w:ascii="Times New Roman" w:hAnsi="Times New Roman"/>
                <w:color w:val="auto"/>
                <w:highlight w:val="none"/>
              </w:rPr>
            </w:pPr>
            <w:r>
              <w:rPr>
                <w:rFonts w:ascii="Times New Roman" w:hAnsi="Times New Roman"/>
                <w:color w:val="auto"/>
                <w:highlight w:val="none"/>
              </w:rPr>
              <w:t>环境空气</w:t>
            </w:r>
          </w:p>
        </w:tc>
        <w:tc>
          <w:tcPr>
            <w:tcW w:w="1100" w:type="pct"/>
            <w:noWrap w:val="0"/>
            <w:vAlign w:val="center"/>
          </w:tcPr>
          <w:p w14:paraId="722007EA">
            <w:pPr>
              <w:pStyle w:val="27"/>
              <w:rPr>
                <w:rFonts w:ascii="Times New Roman" w:hAnsi="Times New Roman"/>
                <w:color w:val="auto"/>
                <w:highlight w:val="none"/>
              </w:rPr>
            </w:pPr>
            <w:r>
              <w:rPr>
                <w:rFonts w:ascii="Times New Roman" w:hAnsi="Times New Roman"/>
                <w:color w:val="auto"/>
                <w:highlight w:val="none"/>
              </w:rPr>
              <w:t>现状评价</w:t>
            </w:r>
          </w:p>
        </w:tc>
        <w:tc>
          <w:tcPr>
            <w:tcW w:w="3010" w:type="pct"/>
            <w:noWrap w:val="0"/>
            <w:vAlign w:val="center"/>
          </w:tcPr>
          <w:p w14:paraId="0E7BB5FA">
            <w:pPr>
              <w:pStyle w:val="27"/>
              <w:rPr>
                <w:rFonts w:ascii="Times New Roman" w:hAnsi="Times New Roman"/>
                <w:color w:val="auto"/>
                <w:highlight w:val="none"/>
              </w:rPr>
            </w:pPr>
            <w:r>
              <w:rPr>
                <w:rFonts w:ascii="Times New Roman" w:hAnsi="Times New Roman"/>
                <w:color w:val="auto"/>
                <w:highlight w:val="none"/>
              </w:rPr>
              <w:t>PM</w:t>
            </w:r>
            <w:r>
              <w:rPr>
                <w:rFonts w:ascii="Times New Roman" w:hAnsi="Times New Roman"/>
                <w:color w:val="auto"/>
                <w:highlight w:val="none"/>
                <w:vertAlign w:val="subscript"/>
              </w:rPr>
              <w:t>10</w:t>
            </w:r>
            <w:r>
              <w:rPr>
                <w:rFonts w:ascii="Times New Roman" w:hAnsi="Times New Roman"/>
                <w:color w:val="auto"/>
                <w:highlight w:val="none"/>
              </w:rPr>
              <w:t>、PM</w:t>
            </w:r>
            <w:r>
              <w:rPr>
                <w:rFonts w:ascii="Times New Roman" w:hAnsi="Times New Roman"/>
                <w:color w:val="auto"/>
                <w:highlight w:val="none"/>
                <w:vertAlign w:val="subscript"/>
              </w:rPr>
              <w:t>2.5</w:t>
            </w:r>
            <w:r>
              <w:rPr>
                <w:rFonts w:ascii="Times New Roman" w:hAnsi="Times New Roman"/>
                <w:color w:val="auto"/>
                <w:highlight w:val="none"/>
              </w:rPr>
              <w:t>、SO</w:t>
            </w:r>
            <w:r>
              <w:rPr>
                <w:rFonts w:ascii="Times New Roman" w:hAnsi="Times New Roman"/>
                <w:color w:val="auto"/>
                <w:highlight w:val="none"/>
                <w:vertAlign w:val="subscript"/>
              </w:rPr>
              <w:t>2</w:t>
            </w:r>
            <w:r>
              <w:rPr>
                <w:rFonts w:ascii="Times New Roman" w:hAnsi="Times New Roman"/>
                <w:color w:val="auto"/>
                <w:highlight w:val="none"/>
              </w:rPr>
              <w:t>、NO</w:t>
            </w:r>
            <w:r>
              <w:rPr>
                <w:rFonts w:ascii="Times New Roman" w:hAnsi="Times New Roman"/>
                <w:color w:val="auto"/>
                <w:highlight w:val="none"/>
                <w:vertAlign w:val="subscript"/>
              </w:rPr>
              <w:t>2</w:t>
            </w:r>
            <w:r>
              <w:rPr>
                <w:rFonts w:ascii="Times New Roman" w:hAnsi="Times New Roman"/>
                <w:color w:val="auto"/>
                <w:highlight w:val="none"/>
              </w:rPr>
              <w:t>、CO、O</w:t>
            </w:r>
            <w:r>
              <w:rPr>
                <w:rFonts w:ascii="Times New Roman" w:hAnsi="Times New Roman"/>
                <w:color w:val="auto"/>
                <w:highlight w:val="none"/>
                <w:vertAlign w:val="subscript"/>
              </w:rPr>
              <w:t>3</w:t>
            </w:r>
            <w:r>
              <w:rPr>
                <w:rFonts w:ascii="Times New Roman" w:hAnsi="Times New Roman"/>
                <w:color w:val="auto"/>
                <w:highlight w:val="none"/>
              </w:rPr>
              <w:t>、</w:t>
            </w:r>
            <w:r>
              <w:rPr>
                <w:rFonts w:hint="eastAsia" w:ascii="Times New Roman" w:hAnsi="Times New Roman"/>
                <w:color w:val="auto"/>
                <w:highlight w:val="none"/>
                <w:lang w:val="en-US" w:eastAsia="zh-CN"/>
              </w:rPr>
              <w:t>汞及其化合物</w:t>
            </w:r>
            <w:r>
              <w:rPr>
                <w:rFonts w:ascii="Times New Roman" w:hAnsi="Times New Roman"/>
                <w:color w:val="auto"/>
                <w:highlight w:val="none"/>
              </w:rPr>
              <w:t>、TSP、NH</w:t>
            </w:r>
            <w:r>
              <w:rPr>
                <w:rFonts w:ascii="Times New Roman" w:hAnsi="Times New Roman"/>
                <w:color w:val="auto"/>
                <w:highlight w:val="none"/>
                <w:vertAlign w:val="subscript"/>
              </w:rPr>
              <w:t>3、</w:t>
            </w:r>
            <w:r>
              <w:rPr>
                <w:rFonts w:ascii="Times New Roman" w:hAnsi="Times New Roman"/>
                <w:color w:val="auto"/>
                <w:highlight w:val="none"/>
              </w:rPr>
              <w:t>NO</w:t>
            </w:r>
            <w:r>
              <w:rPr>
                <w:rFonts w:ascii="Times New Roman" w:hAnsi="Times New Roman"/>
                <w:color w:val="auto"/>
                <w:highlight w:val="none"/>
                <w:vertAlign w:val="subscript"/>
              </w:rPr>
              <w:t>x</w:t>
            </w:r>
          </w:p>
        </w:tc>
      </w:tr>
      <w:tr w14:paraId="4202FB2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0" w:hRule="atLeast"/>
          <w:jc w:val="center"/>
        </w:trPr>
        <w:tc>
          <w:tcPr>
            <w:tcW w:w="889" w:type="pct"/>
            <w:vMerge w:val="continue"/>
            <w:noWrap w:val="0"/>
            <w:vAlign w:val="center"/>
          </w:tcPr>
          <w:p w14:paraId="63B4D2D3">
            <w:pPr>
              <w:pStyle w:val="27"/>
              <w:rPr>
                <w:rFonts w:ascii="Times New Roman" w:hAnsi="Times New Roman"/>
                <w:color w:val="auto"/>
                <w:highlight w:val="none"/>
              </w:rPr>
            </w:pPr>
          </w:p>
        </w:tc>
        <w:tc>
          <w:tcPr>
            <w:tcW w:w="1100" w:type="pct"/>
            <w:noWrap w:val="0"/>
            <w:vAlign w:val="center"/>
          </w:tcPr>
          <w:p w14:paraId="07D1DB1A">
            <w:pPr>
              <w:pStyle w:val="27"/>
              <w:rPr>
                <w:rFonts w:ascii="Times New Roman" w:hAnsi="Times New Roman"/>
                <w:color w:val="auto"/>
                <w:highlight w:val="none"/>
              </w:rPr>
            </w:pPr>
            <w:r>
              <w:rPr>
                <w:rFonts w:ascii="Times New Roman" w:hAnsi="Times New Roman"/>
                <w:color w:val="auto"/>
                <w:highlight w:val="none"/>
              </w:rPr>
              <w:t>预测评价</w:t>
            </w:r>
          </w:p>
        </w:tc>
        <w:tc>
          <w:tcPr>
            <w:tcW w:w="3010" w:type="pct"/>
            <w:noWrap w:val="0"/>
            <w:vAlign w:val="center"/>
          </w:tcPr>
          <w:p w14:paraId="5253C1AC">
            <w:pPr>
              <w:pStyle w:val="27"/>
              <w:rPr>
                <w:rFonts w:hint="default" w:ascii="Times New Roman" w:hAnsi="Times New Roman" w:eastAsia="新宋体"/>
                <w:color w:val="auto"/>
                <w:highlight w:val="none"/>
                <w:vertAlign w:val="baseline"/>
                <w:lang w:val="en-US" w:eastAsia="zh-CN"/>
              </w:rPr>
            </w:pPr>
            <w:r>
              <w:rPr>
                <w:rFonts w:ascii="Times New Roman" w:hAnsi="Times New Roman"/>
                <w:color w:val="auto"/>
                <w:highlight w:val="none"/>
              </w:rPr>
              <w:t>PM</w:t>
            </w:r>
            <w:r>
              <w:rPr>
                <w:rFonts w:ascii="Times New Roman" w:hAnsi="Times New Roman"/>
                <w:color w:val="auto"/>
                <w:highlight w:val="none"/>
                <w:vertAlign w:val="subscript"/>
              </w:rPr>
              <w:t>10</w:t>
            </w:r>
            <w:r>
              <w:rPr>
                <w:rFonts w:ascii="Times New Roman" w:hAnsi="Times New Roman"/>
                <w:color w:val="auto"/>
                <w:highlight w:val="none"/>
              </w:rPr>
              <w:t>、PM</w:t>
            </w:r>
            <w:r>
              <w:rPr>
                <w:rFonts w:ascii="Times New Roman" w:hAnsi="Times New Roman"/>
                <w:color w:val="auto"/>
                <w:highlight w:val="none"/>
                <w:vertAlign w:val="subscript"/>
              </w:rPr>
              <w:t>2.5</w:t>
            </w:r>
            <w:r>
              <w:rPr>
                <w:rFonts w:ascii="Times New Roman" w:hAnsi="Times New Roman"/>
                <w:color w:val="auto"/>
                <w:highlight w:val="none"/>
              </w:rPr>
              <w:t>、TSP、SO</w:t>
            </w:r>
            <w:r>
              <w:rPr>
                <w:rFonts w:ascii="Times New Roman" w:hAnsi="Times New Roman"/>
                <w:color w:val="auto"/>
                <w:highlight w:val="none"/>
                <w:vertAlign w:val="subscript"/>
              </w:rPr>
              <w:t>2</w:t>
            </w:r>
            <w:r>
              <w:rPr>
                <w:rFonts w:hint="eastAsia" w:ascii="Times New Roman" w:hAnsi="Times New Roman"/>
                <w:color w:val="auto"/>
                <w:highlight w:val="none"/>
              </w:rPr>
              <w:t>、</w:t>
            </w:r>
            <w:r>
              <w:rPr>
                <w:rFonts w:hint="eastAsia" w:ascii="Times New Roman" w:hAnsi="Times New Roman"/>
                <w:color w:val="auto"/>
                <w:highlight w:val="none"/>
                <w:lang w:val="en-US" w:eastAsia="zh-CN"/>
              </w:rPr>
              <w:t>汞及其化合物</w:t>
            </w:r>
            <w:r>
              <w:rPr>
                <w:rFonts w:ascii="Times New Roman" w:hAnsi="Times New Roman"/>
                <w:color w:val="auto"/>
                <w:highlight w:val="none"/>
              </w:rPr>
              <w:t>、NH</w:t>
            </w:r>
            <w:r>
              <w:rPr>
                <w:rFonts w:ascii="Times New Roman" w:hAnsi="Times New Roman"/>
                <w:color w:val="auto"/>
                <w:highlight w:val="none"/>
                <w:vertAlign w:val="subscript"/>
              </w:rPr>
              <w:t>3、</w:t>
            </w:r>
            <w:r>
              <w:rPr>
                <w:rFonts w:ascii="Times New Roman" w:hAnsi="Times New Roman"/>
                <w:color w:val="auto"/>
                <w:highlight w:val="none"/>
              </w:rPr>
              <w:t>NO</w:t>
            </w:r>
            <w:r>
              <w:rPr>
                <w:rFonts w:ascii="Times New Roman" w:hAnsi="Times New Roman"/>
                <w:color w:val="auto"/>
                <w:highlight w:val="none"/>
                <w:vertAlign w:val="subscript"/>
              </w:rPr>
              <w:t>2</w:t>
            </w:r>
            <w:r>
              <w:rPr>
                <w:rFonts w:hint="eastAsia" w:ascii="Times New Roman" w:hAnsi="Times New Roman"/>
                <w:color w:val="auto"/>
                <w:highlight w:val="none"/>
                <w:vertAlign w:val="subscript"/>
                <w:lang w:eastAsia="zh-CN"/>
              </w:rPr>
              <w:t>、</w:t>
            </w:r>
            <w:r>
              <w:rPr>
                <w:rFonts w:hint="eastAsia" w:ascii="Times New Roman" w:hAnsi="Times New Roman"/>
                <w:color w:val="auto"/>
                <w:highlight w:val="none"/>
                <w:vertAlign w:val="baseline"/>
                <w:lang w:val="en-US" w:eastAsia="zh-CN"/>
              </w:rPr>
              <w:t>林格曼黑度</w:t>
            </w:r>
          </w:p>
        </w:tc>
      </w:tr>
      <w:tr w14:paraId="0EA6839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0" w:hRule="atLeast"/>
          <w:jc w:val="center"/>
        </w:trPr>
        <w:tc>
          <w:tcPr>
            <w:tcW w:w="889" w:type="pct"/>
            <w:vMerge w:val="restart"/>
            <w:noWrap w:val="0"/>
            <w:vAlign w:val="center"/>
          </w:tcPr>
          <w:p w14:paraId="4B3A5923">
            <w:pPr>
              <w:pStyle w:val="27"/>
              <w:rPr>
                <w:rFonts w:ascii="Times New Roman" w:hAnsi="Times New Roman"/>
                <w:color w:val="auto"/>
                <w:highlight w:val="none"/>
              </w:rPr>
            </w:pPr>
            <w:r>
              <w:rPr>
                <w:rFonts w:ascii="Times New Roman" w:hAnsi="Times New Roman"/>
                <w:color w:val="auto"/>
                <w:highlight w:val="none"/>
              </w:rPr>
              <w:t>地表水环境</w:t>
            </w:r>
          </w:p>
        </w:tc>
        <w:tc>
          <w:tcPr>
            <w:tcW w:w="1100" w:type="pct"/>
            <w:noWrap w:val="0"/>
            <w:vAlign w:val="center"/>
          </w:tcPr>
          <w:p w14:paraId="4903CECF">
            <w:pPr>
              <w:pStyle w:val="27"/>
              <w:rPr>
                <w:rFonts w:ascii="Times New Roman" w:hAnsi="Times New Roman"/>
                <w:color w:val="auto"/>
                <w:highlight w:val="none"/>
              </w:rPr>
            </w:pPr>
            <w:r>
              <w:rPr>
                <w:rFonts w:ascii="Times New Roman" w:hAnsi="Times New Roman"/>
                <w:color w:val="auto"/>
                <w:highlight w:val="none"/>
              </w:rPr>
              <w:t>现状评价</w:t>
            </w:r>
          </w:p>
        </w:tc>
        <w:tc>
          <w:tcPr>
            <w:tcW w:w="3010" w:type="pct"/>
            <w:noWrap w:val="0"/>
            <w:vAlign w:val="center"/>
          </w:tcPr>
          <w:p w14:paraId="0E7BE4E2">
            <w:pPr>
              <w:pStyle w:val="27"/>
              <w:rPr>
                <w:rFonts w:ascii="Times New Roman" w:hAnsi="Times New Roman"/>
                <w:color w:val="auto"/>
                <w:highlight w:val="none"/>
              </w:rPr>
            </w:pPr>
            <w:r>
              <w:rPr>
                <w:rFonts w:ascii="Times New Roman" w:hAnsi="Times New Roman"/>
                <w:color w:val="auto"/>
                <w:highlight w:val="none"/>
              </w:rPr>
              <w:t>pH</w:t>
            </w:r>
            <w:r>
              <w:rPr>
                <w:rFonts w:hint="eastAsia" w:ascii="Times New Roman" w:hAnsi="Times New Roman"/>
                <w:color w:val="auto"/>
                <w:highlight w:val="none"/>
              </w:rPr>
              <w:t>、高锰酸盐指数、化学耗氧量（COD</w:t>
            </w:r>
            <w:r>
              <w:rPr>
                <w:rFonts w:hint="eastAsia" w:ascii="Times New Roman" w:hAnsi="Times New Roman"/>
                <w:color w:val="auto"/>
                <w:highlight w:val="none"/>
                <w:vertAlign w:val="subscript"/>
              </w:rPr>
              <w:t>Cr</w:t>
            </w:r>
            <w:r>
              <w:rPr>
                <w:rFonts w:hint="eastAsia" w:ascii="Times New Roman" w:hAnsi="Times New Roman"/>
                <w:color w:val="auto"/>
                <w:highlight w:val="none"/>
              </w:rPr>
              <w:t>）、生化需氧量（BOD</w:t>
            </w:r>
            <w:r>
              <w:rPr>
                <w:rFonts w:hint="eastAsia" w:ascii="Times New Roman" w:hAnsi="Times New Roman"/>
                <w:color w:val="auto"/>
                <w:highlight w:val="none"/>
                <w:vertAlign w:val="subscript"/>
              </w:rPr>
              <w:t>5</w:t>
            </w:r>
            <w:r>
              <w:rPr>
                <w:rFonts w:hint="eastAsia" w:ascii="Times New Roman" w:hAnsi="Times New Roman"/>
                <w:color w:val="auto"/>
                <w:highlight w:val="none"/>
              </w:rPr>
              <w:t>）、氨氮（NH</w:t>
            </w:r>
            <w:r>
              <w:rPr>
                <w:rFonts w:hint="eastAsia" w:ascii="Times New Roman" w:hAnsi="Times New Roman"/>
                <w:color w:val="auto"/>
                <w:highlight w:val="none"/>
                <w:vertAlign w:val="subscript"/>
              </w:rPr>
              <w:t>3</w:t>
            </w:r>
            <w:r>
              <w:rPr>
                <w:rFonts w:hint="eastAsia" w:ascii="Times New Roman" w:hAnsi="Times New Roman"/>
                <w:color w:val="auto"/>
                <w:highlight w:val="none"/>
              </w:rPr>
              <w:t>-N）、石油类、总磷、总氮、溶解氧</w:t>
            </w:r>
          </w:p>
        </w:tc>
      </w:tr>
      <w:tr w14:paraId="5FA5E4B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0" w:hRule="atLeast"/>
          <w:jc w:val="center"/>
        </w:trPr>
        <w:tc>
          <w:tcPr>
            <w:tcW w:w="889" w:type="pct"/>
            <w:vMerge w:val="continue"/>
            <w:noWrap w:val="0"/>
            <w:vAlign w:val="center"/>
          </w:tcPr>
          <w:p w14:paraId="7B038CFA">
            <w:pPr>
              <w:pStyle w:val="27"/>
              <w:rPr>
                <w:rFonts w:ascii="Times New Roman" w:hAnsi="Times New Roman"/>
                <w:color w:val="auto"/>
                <w:highlight w:val="none"/>
              </w:rPr>
            </w:pPr>
          </w:p>
        </w:tc>
        <w:tc>
          <w:tcPr>
            <w:tcW w:w="1100" w:type="pct"/>
            <w:noWrap w:val="0"/>
            <w:vAlign w:val="center"/>
          </w:tcPr>
          <w:p w14:paraId="2614AE98">
            <w:pPr>
              <w:pStyle w:val="27"/>
              <w:rPr>
                <w:rFonts w:ascii="Times New Roman" w:hAnsi="Times New Roman"/>
                <w:color w:val="auto"/>
                <w:highlight w:val="none"/>
              </w:rPr>
            </w:pPr>
            <w:r>
              <w:rPr>
                <w:rFonts w:ascii="Times New Roman" w:hAnsi="Times New Roman"/>
                <w:color w:val="auto"/>
                <w:highlight w:val="none"/>
              </w:rPr>
              <w:t>预测分析</w:t>
            </w:r>
          </w:p>
        </w:tc>
        <w:tc>
          <w:tcPr>
            <w:tcW w:w="3010" w:type="pct"/>
            <w:noWrap w:val="0"/>
            <w:vAlign w:val="center"/>
          </w:tcPr>
          <w:p w14:paraId="188DBADD">
            <w:pPr>
              <w:pStyle w:val="27"/>
              <w:rPr>
                <w:rFonts w:ascii="Times New Roman" w:hAnsi="Times New Roman"/>
                <w:color w:val="auto"/>
                <w:highlight w:val="none"/>
              </w:rPr>
            </w:pPr>
            <w:r>
              <w:rPr>
                <w:rFonts w:ascii="Times New Roman" w:hAnsi="Times New Roman"/>
                <w:color w:val="auto"/>
                <w:highlight w:val="none"/>
              </w:rPr>
              <w:t>/</w:t>
            </w:r>
          </w:p>
        </w:tc>
      </w:tr>
      <w:tr w14:paraId="2CB906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0" w:hRule="atLeast"/>
          <w:jc w:val="center"/>
        </w:trPr>
        <w:tc>
          <w:tcPr>
            <w:tcW w:w="889" w:type="pct"/>
            <w:vMerge w:val="restart"/>
            <w:noWrap w:val="0"/>
            <w:vAlign w:val="center"/>
          </w:tcPr>
          <w:p w14:paraId="17C4C93D">
            <w:pPr>
              <w:pStyle w:val="27"/>
              <w:rPr>
                <w:rFonts w:ascii="Times New Roman" w:hAnsi="Times New Roman"/>
                <w:color w:val="auto"/>
                <w:highlight w:val="none"/>
              </w:rPr>
            </w:pPr>
            <w:r>
              <w:rPr>
                <w:rFonts w:ascii="Times New Roman" w:hAnsi="Times New Roman"/>
                <w:color w:val="auto"/>
                <w:highlight w:val="none"/>
              </w:rPr>
              <w:t>声环境</w:t>
            </w:r>
          </w:p>
        </w:tc>
        <w:tc>
          <w:tcPr>
            <w:tcW w:w="1100" w:type="pct"/>
            <w:noWrap w:val="0"/>
            <w:vAlign w:val="center"/>
          </w:tcPr>
          <w:p w14:paraId="36302E90">
            <w:pPr>
              <w:pStyle w:val="27"/>
              <w:rPr>
                <w:rFonts w:ascii="Times New Roman" w:hAnsi="Times New Roman"/>
                <w:color w:val="auto"/>
                <w:highlight w:val="none"/>
              </w:rPr>
            </w:pPr>
            <w:r>
              <w:rPr>
                <w:rFonts w:ascii="Times New Roman" w:hAnsi="Times New Roman"/>
                <w:color w:val="auto"/>
                <w:highlight w:val="none"/>
              </w:rPr>
              <w:t>现状评价</w:t>
            </w:r>
          </w:p>
        </w:tc>
        <w:tc>
          <w:tcPr>
            <w:tcW w:w="3010" w:type="pct"/>
            <w:vMerge w:val="restart"/>
            <w:noWrap w:val="0"/>
            <w:vAlign w:val="center"/>
          </w:tcPr>
          <w:p w14:paraId="4D886EB9">
            <w:pPr>
              <w:pStyle w:val="27"/>
              <w:rPr>
                <w:rFonts w:ascii="Times New Roman" w:hAnsi="Times New Roman"/>
                <w:color w:val="auto"/>
                <w:highlight w:val="none"/>
              </w:rPr>
            </w:pPr>
            <w:r>
              <w:rPr>
                <w:rFonts w:hint="default" w:ascii="Times New Roman" w:hAnsi="Times New Roman"/>
                <w:color w:val="auto"/>
                <w:highlight w:val="none"/>
              </w:rPr>
              <w:t>等效连续A声级</w:t>
            </w:r>
          </w:p>
        </w:tc>
      </w:tr>
      <w:tr w14:paraId="31D76C5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0" w:hRule="atLeast"/>
          <w:jc w:val="center"/>
        </w:trPr>
        <w:tc>
          <w:tcPr>
            <w:tcW w:w="889" w:type="pct"/>
            <w:vMerge w:val="continue"/>
            <w:noWrap w:val="0"/>
            <w:vAlign w:val="center"/>
          </w:tcPr>
          <w:p w14:paraId="0D08B751">
            <w:pPr>
              <w:pStyle w:val="27"/>
              <w:rPr>
                <w:rFonts w:ascii="Times New Roman" w:hAnsi="Times New Roman"/>
                <w:color w:val="auto"/>
                <w:highlight w:val="none"/>
              </w:rPr>
            </w:pPr>
          </w:p>
        </w:tc>
        <w:tc>
          <w:tcPr>
            <w:tcW w:w="1100" w:type="pct"/>
            <w:noWrap w:val="0"/>
            <w:vAlign w:val="center"/>
          </w:tcPr>
          <w:p w14:paraId="29DDD65B">
            <w:pPr>
              <w:pStyle w:val="27"/>
              <w:rPr>
                <w:rFonts w:ascii="Times New Roman" w:hAnsi="Times New Roman"/>
                <w:color w:val="auto"/>
                <w:highlight w:val="none"/>
              </w:rPr>
            </w:pPr>
            <w:r>
              <w:rPr>
                <w:rFonts w:ascii="Times New Roman" w:hAnsi="Times New Roman"/>
                <w:color w:val="auto"/>
                <w:highlight w:val="none"/>
              </w:rPr>
              <w:t>预测评价</w:t>
            </w:r>
          </w:p>
        </w:tc>
        <w:tc>
          <w:tcPr>
            <w:tcW w:w="3010" w:type="pct"/>
            <w:vMerge w:val="continue"/>
            <w:noWrap w:val="0"/>
            <w:vAlign w:val="center"/>
          </w:tcPr>
          <w:p w14:paraId="11999FA6">
            <w:pPr>
              <w:pStyle w:val="27"/>
              <w:rPr>
                <w:rFonts w:ascii="Times New Roman" w:hAnsi="Times New Roman"/>
                <w:color w:val="auto"/>
                <w:highlight w:val="none"/>
              </w:rPr>
            </w:pPr>
          </w:p>
        </w:tc>
      </w:tr>
      <w:tr w14:paraId="36F0B17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172" w:hRule="atLeast"/>
          <w:jc w:val="center"/>
        </w:trPr>
        <w:tc>
          <w:tcPr>
            <w:tcW w:w="889" w:type="pct"/>
            <w:vMerge w:val="restart"/>
            <w:noWrap w:val="0"/>
            <w:vAlign w:val="center"/>
          </w:tcPr>
          <w:p w14:paraId="46EA1086">
            <w:pPr>
              <w:spacing w:line="240" w:lineRule="auto"/>
              <w:ind w:firstLine="0" w:firstLineChars="0"/>
              <w:jc w:val="center"/>
              <w:rPr>
                <w:rFonts w:hint="eastAsia" w:ascii="Times New Roman" w:hAnsi="Times New Roman" w:eastAsia="宋体"/>
                <w:color w:val="auto"/>
                <w:highlight w:val="none"/>
                <w:lang w:eastAsia="zh-CN"/>
              </w:rPr>
            </w:pPr>
            <w:r>
              <w:rPr>
                <w:color w:val="auto"/>
                <w:sz w:val="21"/>
                <w:szCs w:val="21"/>
                <w:highlight w:val="none"/>
              </w:rPr>
              <w:t>土壤</w:t>
            </w:r>
          </w:p>
        </w:tc>
        <w:tc>
          <w:tcPr>
            <w:tcW w:w="1100" w:type="pct"/>
            <w:noWrap w:val="0"/>
            <w:vAlign w:val="center"/>
          </w:tcPr>
          <w:p w14:paraId="181FD939">
            <w:pPr>
              <w:spacing w:line="240" w:lineRule="auto"/>
              <w:ind w:firstLine="0" w:firstLineChars="0"/>
              <w:jc w:val="center"/>
              <w:rPr>
                <w:rFonts w:ascii="Times New Roman" w:hAnsi="Times New Roman"/>
                <w:color w:val="auto"/>
                <w:kern w:val="2"/>
                <w:sz w:val="24"/>
                <w:szCs w:val="22"/>
                <w:highlight w:val="none"/>
                <w:lang w:val="en-US" w:eastAsia="zh-CN" w:bidi="ar-SA"/>
              </w:rPr>
            </w:pPr>
            <w:r>
              <w:rPr>
                <w:color w:val="auto"/>
                <w:sz w:val="21"/>
                <w:szCs w:val="21"/>
                <w:highlight w:val="none"/>
              </w:rPr>
              <w:t>现状评价</w:t>
            </w:r>
          </w:p>
        </w:tc>
        <w:tc>
          <w:tcPr>
            <w:tcW w:w="3010" w:type="pct"/>
            <w:noWrap w:val="0"/>
            <w:vAlign w:val="center"/>
          </w:tcPr>
          <w:p w14:paraId="36090E95">
            <w:pPr>
              <w:spacing w:line="240" w:lineRule="auto"/>
              <w:ind w:firstLine="0" w:firstLineChars="0"/>
              <w:jc w:val="center"/>
              <w:rPr>
                <w:rFonts w:ascii="Times New Roman" w:hAnsi="Times New Roman"/>
                <w:color w:val="auto"/>
                <w:highlight w:val="none"/>
              </w:rPr>
            </w:pPr>
            <w:r>
              <w:rPr>
                <w:color w:val="auto"/>
                <w:sz w:val="21"/>
                <w:szCs w:val="21"/>
                <w:highlight w:val="none"/>
              </w:rPr>
              <w:t>砷、镉、铬（六价）、铜 、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 h]蒽、茚并[1,2,3-cd]芘、萘共45项</w:t>
            </w:r>
          </w:p>
        </w:tc>
      </w:tr>
      <w:tr w14:paraId="1C6199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0" w:hRule="atLeast"/>
          <w:jc w:val="center"/>
        </w:trPr>
        <w:tc>
          <w:tcPr>
            <w:tcW w:w="889" w:type="pct"/>
            <w:vMerge w:val="continue"/>
            <w:noWrap w:val="0"/>
            <w:vAlign w:val="center"/>
          </w:tcPr>
          <w:p w14:paraId="1BD45358">
            <w:pPr>
              <w:spacing w:line="240" w:lineRule="auto"/>
              <w:ind w:firstLine="0" w:firstLineChars="0"/>
              <w:jc w:val="center"/>
              <w:rPr>
                <w:rFonts w:ascii="Times New Roman" w:hAnsi="Times New Roman"/>
                <w:color w:val="auto"/>
                <w:highlight w:val="none"/>
              </w:rPr>
            </w:pPr>
          </w:p>
        </w:tc>
        <w:tc>
          <w:tcPr>
            <w:tcW w:w="1100" w:type="pct"/>
            <w:noWrap w:val="0"/>
            <w:vAlign w:val="center"/>
          </w:tcPr>
          <w:p w14:paraId="38ED13D3">
            <w:pPr>
              <w:spacing w:line="240" w:lineRule="auto"/>
              <w:ind w:firstLine="0" w:firstLineChars="0"/>
              <w:jc w:val="center"/>
              <w:rPr>
                <w:rFonts w:ascii="Times New Roman" w:hAnsi="Times New Roman"/>
                <w:color w:val="auto"/>
                <w:kern w:val="2"/>
                <w:sz w:val="24"/>
                <w:szCs w:val="22"/>
                <w:highlight w:val="none"/>
                <w:lang w:val="en-US" w:eastAsia="zh-CN" w:bidi="ar-SA"/>
              </w:rPr>
            </w:pPr>
            <w:r>
              <w:rPr>
                <w:color w:val="auto"/>
                <w:sz w:val="21"/>
                <w:szCs w:val="21"/>
                <w:highlight w:val="none"/>
              </w:rPr>
              <w:t>预测评价</w:t>
            </w:r>
          </w:p>
        </w:tc>
        <w:tc>
          <w:tcPr>
            <w:tcW w:w="3010" w:type="pct"/>
            <w:noWrap w:val="0"/>
            <w:vAlign w:val="center"/>
          </w:tcPr>
          <w:p w14:paraId="034CE95D">
            <w:pPr>
              <w:spacing w:line="240" w:lineRule="auto"/>
              <w:ind w:firstLine="0" w:firstLineChars="0"/>
              <w:jc w:val="center"/>
              <w:rPr>
                <w:rFonts w:ascii="Times New Roman" w:hAnsi="Times New Roman"/>
                <w:color w:val="auto"/>
                <w:highlight w:val="none"/>
              </w:rPr>
            </w:pPr>
            <w:r>
              <w:rPr>
                <w:color w:val="auto"/>
                <w:sz w:val="21"/>
                <w:szCs w:val="21"/>
                <w:highlight w:val="none"/>
              </w:rPr>
              <w:t>汞</w:t>
            </w:r>
          </w:p>
        </w:tc>
      </w:tr>
      <w:tr w14:paraId="27E2F7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0" w:hRule="atLeast"/>
          <w:jc w:val="center"/>
        </w:trPr>
        <w:tc>
          <w:tcPr>
            <w:tcW w:w="889" w:type="pct"/>
            <w:vMerge w:val="restart"/>
            <w:noWrap w:val="0"/>
            <w:vAlign w:val="center"/>
          </w:tcPr>
          <w:p w14:paraId="14673930">
            <w:pPr>
              <w:pStyle w:val="27"/>
              <w:rPr>
                <w:rFonts w:ascii="Times New Roman" w:hAnsi="Times New Roman"/>
                <w:color w:val="auto"/>
                <w:highlight w:val="none"/>
              </w:rPr>
            </w:pPr>
            <w:r>
              <w:rPr>
                <w:rFonts w:ascii="Times New Roman" w:hAnsi="Times New Roman"/>
                <w:color w:val="auto"/>
                <w:highlight w:val="none"/>
              </w:rPr>
              <w:t>固体废物</w:t>
            </w:r>
          </w:p>
        </w:tc>
        <w:tc>
          <w:tcPr>
            <w:tcW w:w="1100" w:type="pct"/>
            <w:noWrap w:val="0"/>
            <w:vAlign w:val="center"/>
          </w:tcPr>
          <w:p w14:paraId="40432F7F">
            <w:pPr>
              <w:pStyle w:val="27"/>
              <w:rPr>
                <w:rFonts w:ascii="Times New Roman" w:hAnsi="Times New Roman"/>
                <w:color w:val="auto"/>
                <w:highlight w:val="none"/>
              </w:rPr>
            </w:pPr>
            <w:r>
              <w:rPr>
                <w:rFonts w:ascii="Times New Roman" w:hAnsi="Times New Roman"/>
                <w:color w:val="auto"/>
                <w:highlight w:val="none"/>
              </w:rPr>
              <w:t>现状评价</w:t>
            </w:r>
          </w:p>
        </w:tc>
        <w:tc>
          <w:tcPr>
            <w:tcW w:w="3010" w:type="pct"/>
            <w:noWrap w:val="0"/>
            <w:vAlign w:val="center"/>
          </w:tcPr>
          <w:p w14:paraId="4E861A0B">
            <w:pPr>
              <w:pStyle w:val="27"/>
              <w:rPr>
                <w:rFonts w:ascii="Times New Roman" w:hAnsi="Times New Roman"/>
                <w:color w:val="auto"/>
                <w:highlight w:val="none"/>
              </w:rPr>
            </w:pPr>
            <w:r>
              <w:rPr>
                <w:rFonts w:ascii="Times New Roman" w:hAnsi="Times New Roman"/>
                <w:color w:val="auto"/>
                <w:highlight w:val="none"/>
              </w:rPr>
              <w:t>—</w:t>
            </w:r>
          </w:p>
        </w:tc>
      </w:tr>
      <w:tr w14:paraId="70B907E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0" w:hRule="atLeast"/>
          <w:jc w:val="center"/>
        </w:trPr>
        <w:tc>
          <w:tcPr>
            <w:tcW w:w="889" w:type="pct"/>
            <w:vMerge w:val="continue"/>
            <w:noWrap w:val="0"/>
            <w:vAlign w:val="center"/>
          </w:tcPr>
          <w:p w14:paraId="7C57EBB7">
            <w:pPr>
              <w:pStyle w:val="27"/>
              <w:rPr>
                <w:rFonts w:ascii="Times New Roman" w:hAnsi="Times New Roman"/>
                <w:color w:val="auto"/>
                <w:highlight w:val="none"/>
              </w:rPr>
            </w:pPr>
          </w:p>
        </w:tc>
        <w:tc>
          <w:tcPr>
            <w:tcW w:w="1100" w:type="pct"/>
            <w:noWrap w:val="0"/>
            <w:vAlign w:val="center"/>
          </w:tcPr>
          <w:p w14:paraId="03A5BFE7">
            <w:pPr>
              <w:pStyle w:val="27"/>
              <w:rPr>
                <w:rFonts w:ascii="Times New Roman" w:hAnsi="Times New Roman"/>
                <w:color w:val="auto"/>
                <w:highlight w:val="none"/>
              </w:rPr>
            </w:pPr>
            <w:r>
              <w:rPr>
                <w:rFonts w:ascii="Times New Roman" w:hAnsi="Times New Roman"/>
                <w:color w:val="auto"/>
                <w:highlight w:val="none"/>
              </w:rPr>
              <w:t>预测分析</w:t>
            </w:r>
          </w:p>
        </w:tc>
        <w:tc>
          <w:tcPr>
            <w:tcW w:w="3010" w:type="pct"/>
            <w:noWrap w:val="0"/>
            <w:vAlign w:val="center"/>
          </w:tcPr>
          <w:p w14:paraId="7ED0C1DE">
            <w:pPr>
              <w:pStyle w:val="27"/>
              <w:rPr>
                <w:rFonts w:ascii="Times New Roman" w:hAnsi="Times New Roman"/>
                <w:color w:val="auto"/>
                <w:highlight w:val="none"/>
              </w:rPr>
            </w:pPr>
            <w:r>
              <w:rPr>
                <w:rFonts w:ascii="Times New Roman" w:hAnsi="Times New Roman"/>
                <w:color w:val="auto"/>
                <w:highlight w:val="none"/>
              </w:rPr>
              <w:t>固体废物处理或处置率、处理或处置方式</w:t>
            </w:r>
          </w:p>
        </w:tc>
      </w:tr>
    </w:tbl>
    <w:p w14:paraId="74C1771A">
      <w:pPr>
        <w:pStyle w:val="29"/>
        <w:spacing w:line="240" w:lineRule="auto"/>
        <w:ind w:firstLine="480"/>
        <w:rPr>
          <w:rFonts w:hint="default" w:ascii="Times New Roman" w:hAnsi="Times New Roman" w:eastAsia="黑体" w:cs="Times New Roman"/>
          <w:color w:val="auto"/>
          <w:spacing w:val="0"/>
          <w:kern w:val="2"/>
          <w:sz w:val="24"/>
          <w:szCs w:val="24"/>
          <w:highlight w:val="none"/>
          <w:lang w:val="en-US" w:eastAsia="zh-CN" w:bidi="ar-SA"/>
        </w:rPr>
      </w:pPr>
      <w:r>
        <w:rPr>
          <w:rFonts w:hint="eastAsia" w:ascii="Times New Roman" w:hAnsi="Times New Roman" w:eastAsia="黑体" w:cs="Times New Roman"/>
          <w:color w:val="auto"/>
          <w:spacing w:val="0"/>
          <w:kern w:val="2"/>
          <w:sz w:val="24"/>
          <w:szCs w:val="24"/>
          <w:highlight w:val="none"/>
          <w:lang w:val="en-US" w:eastAsia="zh-CN" w:bidi="ar-SA"/>
        </w:rPr>
        <w:t>表2.3-3本项目生态评价因子的识别</w:t>
      </w:r>
    </w:p>
    <w:tbl>
      <w:tblPr>
        <w:tblStyle w:val="1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9"/>
        <w:gridCol w:w="1187"/>
        <w:gridCol w:w="2100"/>
        <w:gridCol w:w="2126"/>
        <w:gridCol w:w="1276"/>
        <w:gridCol w:w="1184"/>
      </w:tblGrid>
      <w:tr w14:paraId="256188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49" w:type="dxa"/>
            <w:noWrap w:val="0"/>
            <w:vAlign w:val="center"/>
          </w:tcPr>
          <w:p w14:paraId="1375BBCD">
            <w:pPr>
              <w:pStyle w:val="28"/>
              <w:spacing w:line="240" w:lineRule="auto"/>
              <w:ind w:firstLine="0" w:firstLineChars="0"/>
              <w:jc w:val="center"/>
              <w:rPr>
                <w:color w:val="auto"/>
                <w:sz w:val="21"/>
                <w:szCs w:val="21"/>
                <w:highlight w:val="none"/>
              </w:rPr>
            </w:pPr>
            <w:r>
              <w:rPr>
                <w:rFonts w:hint="eastAsia"/>
                <w:color w:val="auto"/>
                <w:sz w:val="21"/>
                <w:szCs w:val="21"/>
                <w:highlight w:val="none"/>
              </w:rPr>
              <w:t>时期</w:t>
            </w:r>
          </w:p>
        </w:tc>
        <w:tc>
          <w:tcPr>
            <w:tcW w:w="1187" w:type="dxa"/>
            <w:noWrap w:val="0"/>
            <w:vAlign w:val="center"/>
          </w:tcPr>
          <w:p w14:paraId="41BA3FD8">
            <w:pPr>
              <w:pStyle w:val="28"/>
              <w:spacing w:line="240" w:lineRule="auto"/>
              <w:ind w:firstLine="0" w:firstLineChars="0"/>
              <w:jc w:val="center"/>
              <w:rPr>
                <w:rFonts w:hint="eastAsia"/>
                <w:color w:val="auto"/>
                <w:sz w:val="21"/>
                <w:szCs w:val="21"/>
                <w:highlight w:val="none"/>
              </w:rPr>
            </w:pPr>
            <w:r>
              <w:rPr>
                <w:rFonts w:hint="eastAsia"/>
                <w:color w:val="auto"/>
                <w:sz w:val="21"/>
                <w:szCs w:val="21"/>
                <w:highlight w:val="none"/>
              </w:rPr>
              <w:t>受影响</w:t>
            </w:r>
          </w:p>
          <w:p w14:paraId="438CB549">
            <w:pPr>
              <w:pStyle w:val="28"/>
              <w:spacing w:line="240" w:lineRule="auto"/>
              <w:ind w:firstLine="0" w:firstLineChars="0"/>
              <w:jc w:val="center"/>
              <w:rPr>
                <w:color w:val="auto"/>
                <w:sz w:val="21"/>
                <w:szCs w:val="21"/>
                <w:highlight w:val="none"/>
              </w:rPr>
            </w:pPr>
            <w:r>
              <w:rPr>
                <w:rFonts w:hint="eastAsia"/>
                <w:color w:val="auto"/>
                <w:sz w:val="21"/>
                <w:szCs w:val="21"/>
                <w:highlight w:val="none"/>
              </w:rPr>
              <w:t>对象</w:t>
            </w:r>
          </w:p>
        </w:tc>
        <w:tc>
          <w:tcPr>
            <w:tcW w:w="2100" w:type="dxa"/>
            <w:noWrap w:val="0"/>
            <w:vAlign w:val="center"/>
          </w:tcPr>
          <w:p w14:paraId="7399617D">
            <w:pPr>
              <w:pStyle w:val="28"/>
              <w:spacing w:line="240" w:lineRule="auto"/>
              <w:ind w:firstLine="0" w:firstLineChars="0"/>
              <w:jc w:val="center"/>
              <w:rPr>
                <w:color w:val="auto"/>
                <w:sz w:val="21"/>
                <w:szCs w:val="21"/>
                <w:highlight w:val="none"/>
              </w:rPr>
            </w:pPr>
            <w:r>
              <w:rPr>
                <w:rFonts w:hint="eastAsia"/>
                <w:color w:val="auto"/>
                <w:sz w:val="21"/>
                <w:szCs w:val="21"/>
                <w:highlight w:val="none"/>
              </w:rPr>
              <w:t>评价因子</w:t>
            </w:r>
          </w:p>
        </w:tc>
        <w:tc>
          <w:tcPr>
            <w:tcW w:w="2126" w:type="dxa"/>
            <w:noWrap w:val="0"/>
            <w:vAlign w:val="center"/>
          </w:tcPr>
          <w:p w14:paraId="25A60B53">
            <w:pPr>
              <w:pStyle w:val="28"/>
              <w:spacing w:line="240" w:lineRule="auto"/>
              <w:ind w:firstLine="0" w:firstLineChars="0"/>
              <w:jc w:val="center"/>
              <w:rPr>
                <w:color w:val="auto"/>
                <w:sz w:val="21"/>
                <w:szCs w:val="21"/>
                <w:highlight w:val="none"/>
              </w:rPr>
            </w:pPr>
            <w:r>
              <w:rPr>
                <w:rFonts w:hint="eastAsia"/>
                <w:color w:val="auto"/>
                <w:sz w:val="21"/>
                <w:szCs w:val="21"/>
                <w:highlight w:val="none"/>
              </w:rPr>
              <w:t>工程内容及影响方式</w:t>
            </w:r>
          </w:p>
        </w:tc>
        <w:tc>
          <w:tcPr>
            <w:tcW w:w="1276" w:type="dxa"/>
            <w:noWrap w:val="0"/>
            <w:vAlign w:val="center"/>
          </w:tcPr>
          <w:p w14:paraId="7C75BEF1">
            <w:pPr>
              <w:pStyle w:val="28"/>
              <w:spacing w:line="240" w:lineRule="auto"/>
              <w:ind w:firstLine="0" w:firstLineChars="0"/>
              <w:jc w:val="center"/>
              <w:rPr>
                <w:color w:val="auto"/>
                <w:sz w:val="21"/>
                <w:szCs w:val="21"/>
                <w:highlight w:val="none"/>
              </w:rPr>
            </w:pPr>
            <w:r>
              <w:rPr>
                <w:rFonts w:hint="eastAsia"/>
                <w:color w:val="auto"/>
                <w:sz w:val="21"/>
                <w:szCs w:val="21"/>
                <w:highlight w:val="none"/>
              </w:rPr>
              <w:t>影响性质</w:t>
            </w:r>
          </w:p>
        </w:tc>
        <w:tc>
          <w:tcPr>
            <w:tcW w:w="1184" w:type="dxa"/>
            <w:noWrap w:val="0"/>
            <w:vAlign w:val="center"/>
          </w:tcPr>
          <w:p w14:paraId="215BC44A">
            <w:pPr>
              <w:pStyle w:val="28"/>
              <w:spacing w:line="240" w:lineRule="auto"/>
              <w:ind w:firstLine="0" w:firstLineChars="0"/>
              <w:jc w:val="center"/>
              <w:rPr>
                <w:color w:val="auto"/>
                <w:sz w:val="21"/>
                <w:szCs w:val="21"/>
                <w:highlight w:val="none"/>
              </w:rPr>
            </w:pPr>
            <w:r>
              <w:rPr>
                <w:rFonts w:hint="eastAsia"/>
                <w:color w:val="auto"/>
                <w:sz w:val="21"/>
                <w:szCs w:val="21"/>
                <w:highlight w:val="none"/>
              </w:rPr>
              <w:t>影响程度</w:t>
            </w:r>
          </w:p>
        </w:tc>
      </w:tr>
      <w:tr w14:paraId="18E270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49" w:type="dxa"/>
            <w:vMerge w:val="restart"/>
            <w:noWrap w:val="0"/>
            <w:vAlign w:val="center"/>
          </w:tcPr>
          <w:p w14:paraId="7EC6ECAE">
            <w:pPr>
              <w:pStyle w:val="28"/>
              <w:spacing w:line="240" w:lineRule="auto"/>
              <w:ind w:firstLine="0" w:firstLineChars="0"/>
              <w:jc w:val="center"/>
              <w:rPr>
                <w:color w:val="auto"/>
                <w:sz w:val="21"/>
                <w:szCs w:val="21"/>
                <w:highlight w:val="none"/>
              </w:rPr>
            </w:pPr>
            <w:r>
              <w:rPr>
                <w:rFonts w:hint="eastAsia"/>
                <w:color w:val="auto"/>
                <w:sz w:val="21"/>
                <w:szCs w:val="21"/>
                <w:highlight w:val="none"/>
              </w:rPr>
              <w:t>施工期</w:t>
            </w:r>
          </w:p>
        </w:tc>
        <w:tc>
          <w:tcPr>
            <w:tcW w:w="1187" w:type="dxa"/>
            <w:noWrap w:val="0"/>
            <w:vAlign w:val="center"/>
          </w:tcPr>
          <w:p w14:paraId="256AFA8B">
            <w:pPr>
              <w:pStyle w:val="28"/>
              <w:spacing w:line="240" w:lineRule="auto"/>
              <w:ind w:firstLine="0" w:firstLineChars="0"/>
              <w:jc w:val="center"/>
              <w:rPr>
                <w:color w:val="auto"/>
                <w:sz w:val="21"/>
                <w:szCs w:val="21"/>
                <w:highlight w:val="none"/>
              </w:rPr>
            </w:pPr>
            <w:r>
              <w:rPr>
                <w:rFonts w:hint="eastAsia"/>
                <w:color w:val="auto"/>
                <w:sz w:val="21"/>
                <w:szCs w:val="21"/>
                <w:highlight w:val="none"/>
              </w:rPr>
              <w:t>物种</w:t>
            </w:r>
          </w:p>
        </w:tc>
        <w:tc>
          <w:tcPr>
            <w:tcW w:w="2100" w:type="dxa"/>
            <w:noWrap w:val="0"/>
            <w:vAlign w:val="center"/>
          </w:tcPr>
          <w:p w14:paraId="2BE0FD86">
            <w:pPr>
              <w:pStyle w:val="28"/>
              <w:spacing w:line="240" w:lineRule="auto"/>
              <w:ind w:firstLine="0" w:firstLineChars="0"/>
              <w:jc w:val="center"/>
              <w:rPr>
                <w:color w:val="auto"/>
                <w:sz w:val="21"/>
                <w:szCs w:val="21"/>
                <w:highlight w:val="none"/>
              </w:rPr>
            </w:pPr>
            <w:r>
              <w:rPr>
                <w:rFonts w:hint="eastAsia"/>
                <w:color w:val="auto"/>
                <w:sz w:val="21"/>
                <w:szCs w:val="21"/>
                <w:highlight w:val="none"/>
              </w:rPr>
              <w:t>分布范围、种群数量、种群结构、行为</w:t>
            </w:r>
          </w:p>
        </w:tc>
        <w:tc>
          <w:tcPr>
            <w:tcW w:w="2126" w:type="dxa"/>
            <w:noWrap w:val="0"/>
            <w:vAlign w:val="center"/>
          </w:tcPr>
          <w:p w14:paraId="59BF84A2">
            <w:pPr>
              <w:pStyle w:val="28"/>
              <w:spacing w:line="240" w:lineRule="auto"/>
              <w:ind w:firstLine="0" w:firstLineChars="0"/>
              <w:jc w:val="center"/>
              <w:rPr>
                <w:color w:val="auto"/>
                <w:sz w:val="21"/>
                <w:szCs w:val="21"/>
                <w:highlight w:val="none"/>
              </w:rPr>
            </w:pPr>
            <w:r>
              <w:rPr>
                <w:rFonts w:hint="eastAsia"/>
                <w:color w:val="auto"/>
                <w:sz w:val="21"/>
                <w:szCs w:val="21"/>
                <w:highlight w:val="none"/>
              </w:rPr>
              <w:t>土石方施工等施工建设内容/间接</w:t>
            </w:r>
          </w:p>
        </w:tc>
        <w:tc>
          <w:tcPr>
            <w:tcW w:w="1276" w:type="dxa"/>
            <w:noWrap w:val="0"/>
            <w:vAlign w:val="center"/>
          </w:tcPr>
          <w:p w14:paraId="488FC603">
            <w:pPr>
              <w:pStyle w:val="28"/>
              <w:spacing w:line="240" w:lineRule="auto"/>
              <w:ind w:firstLine="0" w:firstLineChars="0"/>
              <w:jc w:val="center"/>
              <w:rPr>
                <w:color w:val="auto"/>
                <w:sz w:val="21"/>
                <w:szCs w:val="21"/>
                <w:highlight w:val="none"/>
              </w:rPr>
            </w:pPr>
            <w:r>
              <w:rPr>
                <w:rFonts w:hint="eastAsia"/>
                <w:color w:val="auto"/>
                <w:sz w:val="21"/>
                <w:szCs w:val="21"/>
                <w:highlight w:val="none"/>
              </w:rPr>
              <w:t>短期可逆</w:t>
            </w:r>
          </w:p>
        </w:tc>
        <w:tc>
          <w:tcPr>
            <w:tcW w:w="1184" w:type="dxa"/>
            <w:noWrap w:val="0"/>
            <w:vAlign w:val="center"/>
          </w:tcPr>
          <w:p w14:paraId="24FAD04C">
            <w:pPr>
              <w:pStyle w:val="28"/>
              <w:spacing w:line="240" w:lineRule="auto"/>
              <w:ind w:firstLine="0" w:firstLineChars="0"/>
              <w:jc w:val="center"/>
              <w:rPr>
                <w:color w:val="auto"/>
                <w:sz w:val="21"/>
                <w:szCs w:val="21"/>
                <w:highlight w:val="none"/>
              </w:rPr>
            </w:pPr>
            <w:r>
              <w:rPr>
                <w:rFonts w:hint="eastAsia"/>
                <w:color w:val="auto"/>
                <w:sz w:val="21"/>
                <w:szCs w:val="21"/>
                <w:highlight w:val="none"/>
              </w:rPr>
              <w:t>弱</w:t>
            </w:r>
          </w:p>
        </w:tc>
      </w:tr>
      <w:tr w14:paraId="08B69A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49" w:type="dxa"/>
            <w:vMerge w:val="continue"/>
            <w:noWrap w:val="0"/>
            <w:vAlign w:val="center"/>
          </w:tcPr>
          <w:p w14:paraId="609B4233">
            <w:pPr>
              <w:pStyle w:val="28"/>
              <w:spacing w:line="240" w:lineRule="auto"/>
              <w:ind w:firstLine="0" w:firstLineChars="0"/>
              <w:jc w:val="center"/>
              <w:rPr>
                <w:color w:val="auto"/>
                <w:sz w:val="21"/>
                <w:szCs w:val="21"/>
                <w:highlight w:val="none"/>
              </w:rPr>
            </w:pPr>
          </w:p>
        </w:tc>
        <w:tc>
          <w:tcPr>
            <w:tcW w:w="1187" w:type="dxa"/>
            <w:noWrap w:val="0"/>
            <w:vAlign w:val="center"/>
          </w:tcPr>
          <w:p w14:paraId="65A1A30D">
            <w:pPr>
              <w:pStyle w:val="28"/>
              <w:spacing w:line="240" w:lineRule="auto"/>
              <w:ind w:firstLine="0" w:firstLineChars="0"/>
              <w:jc w:val="center"/>
              <w:rPr>
                <w:color w:val="auto"/>
                <w:sz w:val="21"/>
                <w:szCs w:val="21"/>
                <w:highlight w:val="none"/>
              </w:rPr>
            </w:pPr>
            <w:r>
              <w:rPr>
                <w:rFonts w:hint="eastAsia"/>
                <w:color w:val="auto"/>
                <w:sz w:val="21"/>
                <w:szCs w:val="21"/>
                <w:highlight w:val="none"/>
              </w:rPr>
              <w:t>生境</w:t>
            </w:r>
          </w:p>
        </w:tc>
        <w:tc>
          <w:tcPr>
            <w:tcW w:w="2100" w:type="dxa"/>
            <w:noWrap w:val="0"/>
            <w:vAlign w:val="center"/>
          </w:tcPr>
          <w:p w14:paraId="40F465DE">
            <w:pPr>
              <w:pStyle w:val="28"/>
              <w:spacing w:line="240" w:lineRule="auto"/>
              <w:ind w:firstLine="0" w:firstLineChars="0"/>
              <w:jc w:val="center"/>
              <w:rPr>
                <w:color w:val="auto"/>
                <w:sz w:val="21"/>
                <w:szCs w:val="21"/>
                <w:highlight w:val="none"/>
              </w:rPr>
            </w:pPr>
            <w:r>
              <w:rPr>
                <w:rFonts w:hint="eastAsia"/>
                <w:color w:val="auto"/>
                <w:sz w:val="21"/>
                <w:szCs w:val="21"/>
                <w:highlight w:val="none"/>
              </w:rPr>
              <w:t>生境面积、质量、连通性等</w:t>
            </w:r>
          </w:p>
        </w:tc>
        <w:tc>
          <w:tcPr>
            <w:tcW w:w="2126" w:type="dxa"/>
            <w:noWrap w:val="0"/>
            <w:vAlign w:val="center"/>
          </w:tcPr>
          <w:p w14:paraId="03E4DF92">
            <w:pPr>
              <w:pStyle w:val="28"/>
              <w:spacing w:line="240" w:lineRule="auto"/>
              <w:ind w:firstLine="0" w:firstLineChars="0"/>
              <w:jc w:val="center"/>
              <w:rPr>
                <w:color w:val="auto"/>
                <w:sz w:val="21"/>
                <w:szCs w:val="21"/>
                <w:highlight w:val="none"/>
              </w:rPr>
            </w:pPr>
            <w:r>
              <w:rPr>
                <w:rFonts w:hint="eastAsia"/>
                <w:color w:val="auto"/>
                <w:sz w:val="21"/>
                <w:szCs w:val="21"/>
                <w:highlight w:val="none"/>
              </w:rPr>
              <w:t>土石方施工等施工建设内容/间接</w:t>
            </w:r>
          </w:p>
        </w:tc>
        <w:tc>
          <w:tcPr>
            <w:tcW w:w="1276" w:type="dxa"/>
            <w:noWrap w:val="0"/>
            <w:vAlign w:val="center"/>
          </w:tcPr>
          <w:p w14:paraId="732EBF84">
            <w:pPr>
              <w:pStyle w:val="28"/>
              <w:spacing w:line="240" w:lineRule="auto"/>
              <w:ind w:firstLine="0" w:firstLineChars="0"/>
              <w:jc w:val="center"/>
              <w:rPr>
                <w:color w:val="auto"/>
                <w:sz w:val="21"/>
                <w:szCs w:val="21"/>
                <w:highlight w:val="none"/>
              </w:rPr>
            </w:pPr>
            <w:r>
              <w:rPr>
                <w:rFonts w:hint="eastAsia"/>
                <w:color w:val="auto"/>
                <w:sz w:val="21"/>
                <w:szCs w:val="21"/>
                <w:highlight w:val="none"/>
              </w:rPr>
              <w:t>短期可逆</w:t>
            </w:r>
          </w:p>
        </w:tc>
        <w:tc>
          <w:tcPr>
            <w:tcW w:w="1184" w:type="dxa"/>
            <w:noWrap w:val="0"/>
            <w:vAlign w:val="center"/>
          </w:tcPr>
          <w:p w14:paraId="537D657A">
            <w:pPr>
              <w:pStyle w:val="28"/>
              <w:spacing w:line="240" w:lineRule="auto"/>
              <w:ind w:firstLine="0" w:firstLineChars="0"/>
              <w:jc w:val="center"/>
              <w:rPr>
                <w:color w:val="auto"/>
                <w:sz w:val="21"/>
                <w:szCs w:val="21"/>
                <w:highlight w:val="none"/>
              </w:rPr>
            </w:pPr>
            <w:r>
              <w:rPr>
                <w:rFonts w:hint="eastAsia"/>
                <w:color w:val="auto"/>
                <w:sz w:val="21"/>
                <w:szCs w:val="21"/>
                <w:highlight w:val="none"/>
              </w:rPr>
              <w:t>无</w:t>
            </w:r>
          </w:p>
        </w:tc>
      </w:tr>
      <w:tr w14:paraId="5EC4E0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49" w:type="dxa"/>
            <w:vMerge w:val="continue"/>
            <w:noWrap w:val="0"/>
            <w:vAlign w:val="center"/>
          </w:tcPr>
          <w:p w14:paraId="2B20E44A">
            <w:pPr>
              <w:pStyle w:val="28"/>
              <w:spacing w:line="240" w:lineRule="auto"/>
              <w:ind w:firstLine="0" w:firstLineChars="0"/>
              <w:jc w:val="center"/>
              <w:rPr>
                <w:color w:val="auto"/>
                <w:sz w:val="21"/>
                <w:szCs w:val="21"/>
                <w:highlight w:val="none"/>
              </w:rPr>
            </w:pPr>
          </w:p>
        </w:tc>
        <w:tc>
          <w:tcPr>
            <w:tcW w:w="1187" w:type="dxa"/>
            <w:noWrap w:val="0"/>
            <w:vAlign w:val="center"/>
          </w:tcPr>
          <w:p w14:paraId="571FCA40">
            <w:pPr>
              <w:pStyle w:val="28"/>
              <w:spacing w:line="240" w:lineRule="auto"/>
              <w:ind w:firstLine="0" w:firstLineChars="0"/>
              <w:jc w:val="center"/>
              <w:rPr>
                <w:color w:val="auto"/>
                <w:sz w:val="21"/>
                <w:szCs w:val="21"/>
                <w:highlight w:val="none"/>
              </w:rPr>
            </w:pPr>
            <w:r>
              <w:rPr>
                <w:rFonts w:hint="eastAsia"/>
                <w:color w:val="auto"/>
                <w:sz w:val="21"/>
                <w:szCs w:val="21"/>
                <w:highlight w:val="none"/>
              </w:rPr>
              <w:t>生物群落</w:t>
            </w:r>
          </w:p>
        </w:tc>
        <w:tc>
          <w:tcPr>
            <w:tcW w:w="2100" w:type="dxa"/>
            <w:noWrap w:val="0"/>
            <w:vAlign w:val="center"/>
          </w:tcPr>
          <w:p w14:paraId="34C00160">
            <w:pPr>
              <w:pStyle w:val="28"/>
              <w:spacing w:line="240" w:lineRule="auto"/>
              <w:ind w:firstLine="0" w:firstLineChars="0"/>
              <w:jc w:val="center"/>
              <w:rPr>
                <w:color w:val="auto"/>
                <w:sz w:val="21"/>
                <w:szCs w:val="21"/>
                <w:highlight w:val="none"/>
              </w:rPr>
            </w:pPr>
            <w:r>
              <w:rPr>
                <w:rFonts w:hint="eastAsia"/>
                <w:color w:val="auto"/>
                <w:sz w:val="21"/>
                <w:szCs w:val="21"/>
                <w:highlight w:val="none"/>
              </w:rPr>
              <w:t>物种组成、群落结构</w:t>
            </w:r>
          </w:p>
        </w:tc>
        <w:tc>
          <w:tcPr>
            <w:tcW w:w="2126" w:type="dxa"/>
            <w:noWrap w:val="0"/>
            <w:vAlign w:val="center"/>
          </w:tcPr>
          <w:p w14:paraId="722D03E7">
            <w:pPr>
              <w:pStyle w:val="28"/>
              <w:spacing w:line="240" w:lineRule="auto"/>
              <w:ind w:firstLine="0" w:firstLineChars="0"/>
              <w:jc w:val="center"/>
              <w:rPr>
                <w:color w:val="auto"/>
                <w:sz w:val="21"/>
                <w:szCs w:val="21"/>
                <w:highlight w:val="none"/>
              </w:rPr>
            </w:pPr>
            <w:r>
              <w:rPr>
                <w:rFonts w:hint="eastAsia"/>
                <w:color w:val="auto"/>
                <w:sz w:val="21"/>
                <w:szCs w:val="21"/>
                <w:highlight w:val="none"/>
              </w:rPr>
              <w:t>土石方施工等施工建设内容/间接</w:t>
            </w:r>
          </w:p>
        </w:tc>
        <w:tc>
          <w:tcPr>
            <w:tcW w:w="1276" w:type="dxa"/>
            <w:noWrap w:val="0"/>
            <w:vAlign w:val="center"/>
          </w:tcPr>
          <w:p w14:paraId="65263716">
            <w:pPr>
              <w:pStyle w:val="28"/>
              <w:spacing w:line="240" w:lineRule="auto"/>
              <w:ind w:firstLine="0" w:firstLineChars="0"/>
              <w:jc w:val="center"/>
              <w:rPr>
                <w:color w:val="auto"/>
                <w:sz w:val="21"/>
                <w:szCs w:val="21"/>
                <w:highlight w:val="none"/>
              </w:rPr>
            </w:pPr>
            <w:r>
              <w:rPr>
                <w:rFonts w:hint="eastAsia"/>
                <w:color w:val="auto"/>
                <w:sz w:val="21"/>
                <w:szCs w:val="21"/>
                <w:highlight w:val="none"/>
              </w:rPr>
              <w:t>短期可逆</w:t>
            </w:r>
          </w:p>
        </w:tc>
        <w:tc>
          <w:tcPr>
            <w:tcW w:w="1184" w:type="dxa"/>
            <w:noWrap w:val="0"/>
            <w:vAlign w:val="center"/>
          </w:tcPr>
          <w:p w14:paraId="699F5A74">
            <w:pPr>
              <w:pStyle w:val="28"/>
              <w:spacing w:line="240" w:lineRule="auto"/>
              <w:ind w:firstLine="0" w:firstLineChars="0"/>
              <w:jc w:val="center"/>
              <w:rPr>
                <w:color w:val="auto"/>
                <w:sz w:val="21"/>
                <w:szCs w:val="21"/>
                <w:highlight w:val="none"/>
              </w:rPr>
            </w:pPr>
            <w:r>
              <w:rPr>
                <w:rFonts w:hint="eastAsia"/>
                <w:color w:val="auto"/>
                <w:sz w:val="21"/>
                <w:szCs w:val="21"/>
                <w:highlight w:val="none"/>
              </w:rPr>
              <w:t>无</w:t>
            </w:r>
          </w:p>
        </w:tc>
      </w:tr>
      <w:tr w14:paraId="486D5E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49" w:type="dxa"/>
            <w:vMerge w:val="continue"/>
            <w:noWrap w:val="0"/>
            <w:vAlign w:val="center"/>
          </w:tcPr>
          <w:p w14:paraId="204B2DBA">
            <w:pPr>
              <w:pStyle w:val="28"/>
              <w:spacing w:line="240" w:lineRule="auto"/>
              <w:ind w:firstLine="0" w:firstLineChars="0"/>
              <w:jc w:val="center"/>
              <w:rPr>
                <w:color w:val="auto"/>
                <w:sz w:val="21"/>
                <w:szCs w:val="21"/>
                <w:highlight w:val="none"/>
              </w:rPr>
            </w:pPr>
          </w:p>
        </w:tc>
        <w:tc>
          <w:tcPr>
            <w:tcW w:w="1187" w:type="dxa"/>
            <w:noWrap w:val="0"/>
            <w:vAlign w:val="center"/>
          </w:tcPr>
          <w:p w14:paraId="363849E6">
            <w:pPr>
              <w:pStyle w:val="28"/>
              <w:spacing w:line="240" w:lineRule="auto"/>
              <w:ind w:firstLine="0" w:firstLineChars="0"/>
              <w:jc w:val="center"/>
              <w:rPr>
                <w:color w:val="auto"/>
                <w:sz w:val="21"/>
                <w:szCs w:val="21"/>
                <w:highlight w:val="none"/>
              </w:rPr>
            </w:pPr>
            <w:r>
              <w:rPr>
                <w:rFonts w:hint="eastAsia"/>
                <w:color w:val="auto"/>
                <w:sz w:val="21"/>
                <w:szCs w:val="21"/>
                <w:highlight w:val="none"/>
              </w:rPr>
              <w:t>生态系统</w:t>
            </w:r>
          </w:p>
        </w:tc>
        <w:tc>
          <w:tcPr>
            <w:tcW w:w="2100" w:type="dxa"/>
            <w:noWrap w:val="0"/>
            <w:vAlign w:val="center"/>
          </w:tcPr>
          <w:p w14:paraId="5BA88120">
            <w:pPr>
              <w:pStyle w:val="28"/>
              <w:spacing w:line="240" w:lineRule="auto"/>
              <w:ind w:firstLine="0" w:firstLineChars="0"/>
              <w:jc w:val="center"/>
              <w:rPr>
                <w:color w:val="auto"/>
                <w:sz w:val="21"/>
                <w:szCs w:val="21"/>
                <w:highlight w:val="none"/>
              </w:rPr>
            </w:pPr>
            <w:r>
              <w:rPr>
                <w:rFonts w:hint="eastAsia"/>
                <w:color w:val="auto"/>
                <w:sz w:val="21"/>
                <w:szCs w:val="21"/>
                <w:highlight w:val="none"/>
              </w:rPr>
              <w:t>植被覆盖度、生产力、生物量、生态系统功能</w:t>
            </w:r>
          </w:p>
        </w:tc>
        <w:tc>
          <w:tcPr>
            <w:tcW w:w="2126" w:type="dxa"/>
            <w:noWrap w:val="0"/>
            <w:vAlign w:val="center"/>
          </w:tcPr>
          <w:p w14:paraId="2864DD7D">
            <w:pPr>
              <w:pStyle w:val="28"/>
              <w:spacing w:line="240" w:lineRule="auto"/>
              <w:ind w:firstLine="0" w:firstLineChars="0"/>
              <w:jc w:val="center"/>
              <w:rPr>
                <w:color w:val="auto"/>
                <w:sz w:val="21"/>
                <w:szCs w:val="21"/>
                <w:highlight w:val="none"/>
              </w:rPr>
            </w:pPr>
            <w:r>
              <w:rPr>
                <w:rFonts w:hint="eastAsia"/>
                <w:color w:val="auto"/>
                <w:sz w:val="21"/>
                <w:szCs w:val="21"/>
                <w:highlight w:val="none"/>
              </w:rPr>
              <w:t>土石方施工等施工建设内容/间接</w:t>
            </w:r>
          </w:p>
        </w:tc>
        <w:tc>
          <w:tcPr>
            <w:tcW w:w="1276" w:type="dxa"/>
            <w:noWrap w:val="0"/>
            <w:vAlign w:val="center"/>
          </w:tcPr>
          <w:p w14:paraId="3E1A1385">
            <w:pPr>
              <w:pStyle w:val="28"/>
              <w:spacing w:line="240" w:lineRule="auto"/>
              <w:ind w:firstLine="0" w:firstLineChars="0"/>
              <w:jc w:val="center"/>
              <w:rPr>
                <w:color w:val="auto"/>
                <w:sz w:val="21"/>
                <w:szCs w:val="21"/>
                <w:highlight w:val="none"/>
              </w:rPr>
            </w:pPr>
            <w:r>
              <w:rPr>
                <w:rFonts w:hint="eastAsia"/>
                <w:color w:val="auto"/>
                <w:sz w:val="21"/>
                <w:szCs w:val="21"/>
                <w:highlight w:val="none"/>
              </w:rPr>
              <w:t>短期可逆</w:t>
            </w:r>
          </w:p>
        </w:tc>
        <w:tc>
          <w:tcPr>
            <w:tcW w:w="1184" w:type="dxa"/>
            <w:noWrap w:val="0"/>
            <w:vAlign w:val="center"/>
          </w:tcPr>
          <w:p w14:paraId="6B783153">
            <w:pPr>
              <w:pStyle w:val="28"/>
              <w:spacing w:line="240" w:lineRule="auto"/>
              <w:ind w:firstLine="0" w:firstLineChars="0"/>
              <w:jc w:val="center"/>
              <w:rPr>
                <w:color w:val="auto"/>
                <w:sz w:val="21"/>
                <w:szCs w:val="21"/>
                <w:highlight w:val="none"/>
              </w:rPr>
            </w:pPr>
            <w:r>
              <w:rPr>
                <w:rFonts w:hint="eastAsia"/>
                <w:color w:val="auto"/>
                <w:sz w:val="21"/>
                <w:szCs w:val="21"/>
                <w:highlight w:val="none"/>
              </w:rPr>
              <w:t>无</w:t>
            </w:r>
          </w:p>
        </w:tc>
      </w:tr>
      <w:tr w14:paraId="6A5C09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49" w:type="dxa"/>
            <w:vMerge w:val="continue"/>
            <w:noWrap w:val="0"/>
            <w:vAlign w:val="center"/>
          </w:tcPr>
          <w:p w14:paraId="4B4FC955">
            <w:pPr>
              <w:pStyle w:val="28"/>
              <w:spacing w:line="240" w:lineRule="auto"/>
              <w:ind w:firstLine="0" w:firstLineChars="0"/>
              <w:jc w:val="center"/>
              <w:rPr>
                <w:color w:val="auto"/>
                <w:sz w:val="21"/>
                <w:szCs w:val="21"/>
                <w:highlight w:val="none"/>
              </w:rPr>
            </w:pPr>
          </w:p>
        </w:tc>
        <w:tc>
          <w:tcPr>
            <w:tcW w:w="1187" w:type="dxa"/>
            <w:noWrap w:val="0"/>
            <w:vAlign w:val="center"/>
          </w:tcPr>
          <w:p w14:paraId="2B76B650">
            <w:pPr>
              <w:pStyle w:val="28"/>
              <w:spacing w:line="240" w:lineRule="auto"/>
              <w:ind w:firstLine="0" w:firstLineChars="0"/>
              <w:jc w:val="center"/>
              <w:rPr>
                <w:color w:val="auto"/>
                <w:sz w:val="21"/>
                <w:szCs w:val="21"/>
                <w:highlight w:val="none"/>
              </w:rPr>
            </w:pPr>
            <w:r>
              <w:rPr>
                <w:rFonts w:hint="eastAsia"/>
                <w:color w:val="auto"/>
                <w:sz w:val="21"/>
                <w:szCs w:val="21"/>
                <w:highlight w:val="none"/>
              </w:rPr>
              <w:t>生物多样性</w:t>
            </w:r>
          </w:p>
        </w:tc>
        <w:tc>
          <w:tcPr>
            <w:tcW w:w="2100" w:type="dxa"/>
            <w:noWrap w:val="0"/>
            <w:vAlign w:val="center"/>
          </w:tcPr>
          <w:p w14:paraId="624BBE2B">
            <w:pPr>
              <w:pStyle w:val="28"/>
              <w:spacing w:line="240" w:lineRule="auto"/>
              <w:ind w:firstLine="0" w:firstLineChars="0"/>
              <w:jc w:val="center"/>
              <w:rPr>
                <w:color w:val="auto"/>
                <w:sz w:val="21"/>
                <w:szCs w:val="21"/>
                <w:highlight w:val="none"/>
              </w:rPr>
            </w:pPr>
            <w:r>
              <w:rPr>
                <w:rFonts w:hint="eastAsia"/>
                <w:color w:val="auto"/>
                <w:sz w:val="21"/>
                <w:szCs w:val="21"/>
                <w:highlight w:val="none"/>
              </w:rPr>
              <w:t>物种丰富度、均匀度、优势度</w:t>
            </w:r>
          </w:p>
        </w:tc>
        <w:tc>
          <w:tcPr>
            <w:tcW w:w="2126" w:type="dxa"/>
            <w:noWrap w:val="0"/>
            <w:vAlign w:val="center"/>
          </w:tcPr>
          <w:p w14:paraId="7219C491">
            <w:pPr>
              <w:pStyle w:val="28"/>
              <w:spacing w:line="240" w:lineRule="auto"/>
              <w:ind w:firstLine="0" w:firstLineChars="0"/>
              <w:jc w:val="center"/>
              <w:rPr>
                <w:color w:val="auto"/>
                <w:sz w:val="21"/>
                <w:szCs w:val="21"/>
                <w:highlight w:val="none"/>
              </w:rPr>
            </w:pPr>
            <w:r>
              <w:rPr>
                <w:rFonts w:hint="eastAsia"/>
                <w:color w:val="auto"/>
                <w:sz w:val="21"/>
                <w:szCs w:val="21"/>
                <w:highlight w:val="none"/>
              </w:rPr>
              <w:t>土石方施工等施工建设内容/间接</w:t>
            </w:r>
          </w:p>
        </w:tc>
        <w:tc>
          <w:tcPr>
            <w:tcW w:w="1276" w:type="dxa"/>
            <w:noWrap w:val="0"/>
            <w:vAlign w:val="center"/>
          </w:tcPr>
          <w:p w14:paraId="6106D8CD">
            <w:pPr>
              <w:pStyle w:val="28"/>
              <w:spacing w:line="240" w:lineRule="auto"/>
              <w:ind w:firstLine="0" w:firstLineChars="0"/>
              <w:jc w:val="center"/>
              <w:rPr>
                <w:color w:val="auto"/>
                <w:sz w:val="21"/>
                <w:szCs w:val="21"/>
                <w:highlight w:val="none"/>
              </w:rPr>
            </w:pPr>
            <w:r>
              <w:rPr>
                <w:rFonts w:hint="eastAsia"/>
                <w:color w:val="auto"/>
                <w:sz w:val="21"/>
                <w:szCs w:val="21"/>
                <w:highlight w:val="none"/>
              </w:rPr>
              <w:t>短期可逆</w:t>
            </w:r>
          </w:p>
        </w:tc>
        <w:tc>
          <w:tcPr>
            <w:tcW w:w="1184" w:type="dxa"/>
            <w:noWrap w:val="0"/>
            <w:vAlign w:val="center"/>
          </w:tcPr>
          <w:p w14:paraId="56C3A8DE">
            <w:pPr>
              <w:pStyle w:val="28"/>
              <w:spacing w:line="240" w:lineRule="auto"/>
              <w:ind w:firstLine="0" w:firstLineChars="0"/>
              <w:jc w:val="center"/>
              <w:rPr>
                <w:color w:val="auto"/>
                <w:sz w:val="21"/>
                <w:szCs w:val="21"/>
                <w:highlight w:val="none"/>
              </w:rPr>
            </w:pPr>
            <w:r>
              <w:rPr>
                <w:rFonts w:hint="eastAsia"/>
                <w:color w:val="auto"/>
                <w:sz w:val="21"/>
                <w:szCs w:val="21"/>
                <w:highlight w:val="none"/>
              </w:rPr>
              <w:t>无</w:t>
            </w:r>
          </w:p>
        </w:tc>
      </w:tr>
      <w:tr w14:paraId="29482B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49" w:type="dxa"/>
            <w:vMerge w:val="restart"/>
            <w:noWrap w:val="0"/>
            <w:vAlign w:val="center"/>
          </w:tcPr>
          <w:p w14:paraId="140174C2">
            <w:pPr>
              <w:pStyle w:val="28"/>
              <w:spacing w:line="240" w:lineRule="auto"/>
              <w:ind w:firstLine="0" w:firstLineChars="0"/>
              <w:jc w:val="center"/>
              <w:rPr>
                <w:color w:val="auto"/>
                <w:sz w:val="21"/>
                <w:szCs w:val="21"/>
                <w:highlight w:val="none"/>
              </w:rPr>
            </w:pPr>
            <w:r>
              <w:rPr>
                <w:rFonts w:hint="eastAsia"/>
                <w:color w:val="auto"/>
                <w:sz w:val="21"/>
                <w:szCs w:val="21"/>
                <w:highlight w:val="none"/>
              </w:rPr>
              <w:t>运营期</w:t>
            </w:r>
          </w:p>
        </w:tc>
        <w:tc>
          <w:tcPr>
            <w:tcW w:w="1187" w:type="dxa"/>
            <w:noWrap w:val="0"/>
            <w:vAlign w:val="center"/>
          </w:tcPr>
          <w:p w14:paraId="59AD994C">
            <w:pPr>
              <w:pStyle w:val="28"/>
              <w:spacing w:line="240" w:lineRule="auto"/>
              <w:ind w:firstLine="0" w:firstLineChars="0"/>
              <w:jc w:val="center"/>
              <w:rPr>
                <w:color w:val="auto"/>
                <w:sz w:val="21"/>
                <w:szCs w:val="21"/>
                <w:highlight w:val="none"/>
              </w:rPr>
            </w:pPr>
            <w:r>
              <w:rPr>
                <w:rFonts w:hint="eastAsia"/>
                <w:color w:val="auto"/>
                <w:sz w:val="21"/>
                <w:szCs w:val="21"/>
                <w:highlight w:val="none"/>
              </w:rPr>
              <w:t>物种</w:t>
            </w:r>
          </w:p>
        </w:tc>
        <w:tc>
          <w:tcPr>
            <w:tcW w:w="2100" w:type="dxa"/>
            <w:noWrap w:val="0"/>
            <w:vAlign w:val="center"/>
          </w:tcPr>
          <w:p w14:paraId="5DB62AF0">
            <w:pPr>
              <w:pStyle w:val="28"/>
              <w:spacing w:line="240" w:lineRule="auto"/>
              <w:ind w:firstLine="0" w:firstLineChars="0"/>
              <w:jc w:val="center"/>
              <w:rPr>
                <w:color w:val="auto"/>
                <w:sz w:val="21"/>
                <w:szCs w:val="21"/>
                <w:highlight w:val="none"/>
              </w:rPr>
            </w:pPr>
            <w:r>
              <w:rPr>
                <w:rFonts w:hint="eastAsia"/>
                <w:color w:val="auto"/>
                <w:sz w:val="21"/>
                <w:szCs w:val="21"/>
                <w:highlight w:val="none"/>
              </w:rPr>
              <w:t>分布范围、种群数量、种群结构、行为</w:t>
            </w:r>
          </w:p>
        </w:tc>
        <w:tc>
          <w:tcPr>
            <w:tcW w:w="2126" w:type="dxa"/>
            <w:noWrap w:val="0"/>
            <w:vAlign w:val="center"/>
          </w:tcPr>
          <w:p w14:paraId="0BBE5987">
            <w:pPr>
              <w:pStyle w:val="28"/>
              <w:spacing w:line="240" w:lineRule="auto"/>
              <w:ind w:firstLine="0" w:firstLineChars="0"/>
              <w:jc w:val="center"/>
              <w:rPr>
                <w:color w:val="auto"/>
                <w:sz w:val="21"/>
                <w:szCs w:val="21"/>
                <w:highlight w:val="none"/>
              </w:rPr>
            </w:pPr>
            <w:r>
              <w:rPr>
                <w:rFonts w:hint="eastAsia"/>
                <w:color w:val="auto"/>
                <w:sz w:val="21"/>
                <w:szCs w:val="21"/>
                <w:highlight w:val="none"/>
              </w:rPr>
              <w:t>锅炉废气、噪声/间接</w:t>
            </w:r>
          </w:p>
        </w:tc>
        <w:tc>
          <w:tcPr>
            <w:tcW w:w="1276" w:type="dxa"/>
            <w:noWrap w:val="0"/>
            <w:vAlign w:val="center"/>
          </w:tcPr>
          <w:p w14:paraId="098E03A0">
            <w:pPr>
              <w:pStyle w:val="28"/>
              <w:spacing w:line="240" w:lineRule="auto"/>
              <w:ind w:firstLine="0" w:firstLineChars="0"/>
              <w:jc w:val="center"/>
              <w:rPr>
                <w:color w:val="auto"/>
                <w:sz w:val="21"/>
                <w:szCs w:val="21"/>
                <w:highlight w:val="none"/>
              </w:rPr>
            </w:pPr>
            <w:r>
              <w:rPr>
                <w:rFonts w:hint="eastAsia"/>
                <w:color w:val="auto"/>
                <w:sz w:val="21"/>
                <w:szCs w:val="21"/>
                <w:highlight w:val="none"/>
              </w:rPr>
              <w:t>长期可逆</w:t>
            </w:r>
          </w:p>
        </w:tc>
        <w:tc>
          <w:tcPr>
            <w:tcW w:w="1184" w:type="dxa"/>
            <w:noWrap w:val="0"/>
            <w:vAlign w:val="center"/>
          </w:tcPr>
          <w:p w14:paraId="29BD08FF">
            <w:pPr>
              <w:pStyle w:val="28"/>
              <w:spacing w:line="240" w:lineRule="auto"/>
              <w:ind w:firstLine="0" w:firstLineChars="0"/>
              <w:jc w:val="center"/>
              <w:rPr>
                <w:color w:val="auto"/>
                <w:sz w:val="21"/>
                <w:szCs w:val="21"/>
                <w:highlight w:val="none"/>
              </w:rPr>
            </w:pPr>
            <w:r>
              <w:rPr>
                <w:rFonts w:hint="eastAsia"/>
                <w:color w:val="auto"/>
                <w:sz w:val="21"/>
                <w:szCs w:val="21"/>
                <w:highlight w:val="none"/>
              </w:rPr>
              <w:t>弱</w:t>
            </w:r>
          </w:p>
        </w:tc>
      </w:tr>
      <w:tr w14:paraId="4EDD0B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49" w:type="dxa"/>
            <w:vMerge w:val="continue"/>
            <w:noWrap w:val="0"/>
            <w:vAlign w:val="center"/>
          </w:tcPr>
          <w:p w14:paraId="1F0526B8">
            <w:pPr>
              <w:pStyle w:val="28"/>
              <w:spacing w:line="240" w:lineRule="auto"/>
              <w:ind w:firstLine="0" w:firstLineChars="0"/>
              <w:jc w:val="center"/>
              <w:rPr>
                <w:color w:val="auto"/>
                <w:sz w:val="21"/>
                <w:szCs w:val="21"/>
                <w:highlight w:val="none"/>
              </w:rPr>
            </w:pPr>
          </w:p>
        </w:tc>
        <w:tc>
          <w:tcPr>
            <w:tcW w:w="1187" w:type="dxa"/>
            <w:noWrap w:val="0"/>
            <w:vAlign w:val="center"/>
          </w:tcPr>
          <w:p w14:paraId="0A879CF2">
            <w:pPr>
              <w:pStyle w:val="28"/>
              <w:spacing w:line="240" w:lineRule="auto"/>
              <w:ind w:firstLine="0" w:firstLineChars="0"/>
              <w:jc w:val="center"/>
              <w:rPr>
                <w:color w:val="auto"/>
                <w:sz w:val="21"/>
                <w:szCs w:val="21"/>
                <w:highlight w:val="none"/>
              </w:rPr>
            </w:pPr>
            <w:r>
              <w:rPr>
                <w:rFonts w:hint="eastAsia"/>
                <w:color w:val="auto"/>
                <w:sz w:val="21"/>
                <w:szCs w:val="21"/>
                <w:highlight w:val="none"/>
              </w:rPr>
              <w:t>生境</w:t>
            </w:r>
          </w:p>
        </w:tc>
        <w:tc>
          <w:tcPr>
            <w:tcW w:w="2100" w:type="dxa"/>
            <w:noWrap w:val="0"/>
            <w:vAlign w:val="center"/>
          </w:tcPr>
          <w:p w14:paraId="47A5EF32">
            <w:pPr>
              <w:pStyle w:val="28"/>
              <w:spacing w:line="240" w:lineRule="auto"/>
              <w:ind w:firstLine="0" w:firstLineChars="0"/>
              <w:jc w:val="center"/>
              <w:rPr>
                <w:color w:val="auto"/>
                <w:sz w:val="21"/>
                <w:szCs w:val="21"/>
                <w:highlight w:val="none"/>
              </w:rPr>
            </w:pPr>
            <w:r>
              <w:rPr>
                <w:rFonts w:hint="eastAsia"/>
                <w:color w:val="auto"/>
                <w:sz w:val="21"/>
                <w:szCs w:val="21"/>
                <w:highlight w:val="none"/>
              </w:rPr>
              <w:t>生境面积、质量、连通性等</w:t>
            </w:r>
          </w:p>
        </w:tc>
        <w:tc>
          <w:tcPr>
            <w:tcW w:w="2126" w:type="dxa"/>
            <w:noWrap w:val="0"/>
            <w:vAlign w:val="center"/>
          </w:tcPr>
          <w:p w14:paraId="6E0C4E9B">
            <w:pPr>
              <w:pStyle w:val="28"/>
              <w:spacing w:line="240" w:lineRule="auto"/>
              <w:ind w:firstLine="0" w:firstLineChars="0"/>
              <w:jc w:val="center"/>
              <w:rPr>
                <w:color w:val="auto"/>
                <w:sz w:val="21"/>
                <w:szCs w:val="21"/>
                <w:highlight w:val="none"/>
              </w:rPr>
            </w:pPr>
            <w:r>
              <w:rPr>
                <w:rFonts w:hint="eastAsia"/>
                <w:color w:val="auto"/>
                <w:sz w:val="21"/>
                <w:szCs w:val="21"/>
                <w:highlight w:val="none"/>
              </w:rPr>
              <w:t>锅炉废气、噪声/间接</w:t>
            </w:r>
          </w:p>
        </w:tc>
        <w:tc>
          <w:tcPr>
            <w:tcW w:w="1276" w:type="dxa"/>
            <w:noWrap w:val="0"/>
            <w:vAlign w:val="center"/>
          </w:tcPr>
          <w:p w14:paraId="6CF1017C">
            <w:pPr>
              <w:pStyle w:val="28"/>
              <w:spacing w:line="240" w:lineRule="auto"/>
              <w:ind w:firstLine="0" w:firstLineChars="0"/>
              <w:jc w:val="center"/>
              <w:rPr>
                <w:color w:val="auto"/>
                <w:sz w:val="21"/>
                <w:szCs w:val="21"/>
                <w:highlight w:val="none"/>
              </w:rPr>
            </w:pPr>
            <w:r>
              <w:rPr>
                <w:rFonts w:hint="eastAsia"/>
                <w:color w:val="auto"/>
                <w:sz w:val="21"/>
                <w:szCs w:val="21"/>
                <w:highlight w:val="none"/>
              </w:rPr>
              <w:t>长期可逆</w:t>
            </w:r>
          </w:p>
        </w:tc>
        <w:tc>
          <w:tcPr>
            <w:tcW w:w="1184" w:type="dxa"/>
            <w:noWrap w:val="0"/>
            <w:vAlign w:val="center"/>
          </w:tcPr>
          <w:p w14:paraId="0DDAEA80">
            <w:pPr>
              <w:pStyle w:val="28"/>
              <w:spacing w:line="240" w:lineRule="auto"/>
              <w:ind w:firstLine="0" w:firstLineChars="0"/>
              <w:jc w:val="center"/>
              <w:rPr>
                <w:color w:val="auto"/>
                <w:sz w:val="21"/>
                <w:szCs w:val="21"/>
                <w:highlight w:val="none"/>
              </w:rPr>
            </w:pPr>
            <w:r>
              <w:rPr>
                <w:rFonts w:hint="eastAsia"/>
                <w:color w:val="auto"/>
                <w:sz w:val="21"/>
                <w:szCs w:val="21"/>
                <w:highlight w:val="none"/>
              </w:rPr>
              <w:t>无</w:t>
            </w:r>
          </w:p>
        </w:tc>
      </w:tr>
      <w:tr w14:paraId="64F2C4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49" w:type="dxa"/>
            <w:vMerge w:val="continue"/>
            <w:noWrap w:val="0"/>
            <w:vAlign w:val="center"/>
          </w:tcPr>
          <w:p w14:paraId="361F4C4F">
            <w:pPr>
              <w:pStyle w:val="28"/>
              <w:spacing w:line="240" w:lineRule="auto"/>
              <w:ind w:firstLine="0" w:firstLineChars="0"/>
              <w:jc w:val="center"/>
              <w:rPr>
                <w:color w:val="auto"/>
                <w:sz w:val="21"/>
                <w:szCs w:val="21"/>
                <w:highlight w:val="none"/>
              </w:rPr>
            </w:pPr>
          </w:p>
        </w:tc>
        <w:tc>
          <w:tcPr>
            <w:tcW w:w="1187" w:type="dxa"/>
            <w:noWrap w:val="0"/>
            <w:vAlign w:val="center"/>
          </w:tcPr>
          <w:p w14:paraId="5AFC3323">
            <w:pPr>
              <w:pStyle w:val="28"/>
              <w:spacing w:line="240" w:lineRule="auto"/>
              <w:ind w:firstLine="0" w:firstLineChars="0"/>
              <w:jc w:val="center"/>
              <w:rPr>
                <w:color w:val="auto"/>
                <w:sz w:val="21"/>
                <w:szCs w:val="21"/>
                <w:highlight w:val="none"/>
              </w:rPr>
            </w:pPr>
            <w:r>
              <w:rPr>
                <w:rFonts w:hint="eastAsia"/>
                <w:color w:val="auto"/>
                <w:sz w:val="21"/>
                <w:szCs w:val="21"/>
                <w:highlight w:val="none"/>
              </w:rPr>
              <w:t>生物群落</w:t>
            </w:r>
          </w:p>
        </w:tc>
        <w:tc>
          <w:tcPr>
            <w:tcW w:w="2100" w:type="dxa"/>
            <w:noWrap w:val="0"/>
            <w:vAlign w:val="center"/>
          </w:tcPr>
          <w:p w14:paraId="73EC700F">
            <w:pPr>
              <w:pStyle w:val="28"/>
              <w:spacing w:line="240" w:lineRule="auto"/>
              <w:ind w:firstLine="0" w:firstLineChars="0"/>
              <w:jc w:val="center"/>
              <w:rPr>
                <w:color w:val="auto"/>
                <w:sz w:val="21"/>
                <w:szCs w:val="21"/>
                <w:highlight w:val="none"/>
              </w:rPr>
            </w:pPr>
            <w:r>
              <w:rPr>
                <w:rFonts w:hint="eastAsia"/>
                <w:color w:val="auto"/>
                <w:sz w:val="21"/>
                <w:szCs w:val="21"/>
                <w:highlight w:val="none"/>
              </w:rPr>
              <w:t>物种组成、群落结构</w:t>
            </w:r>
          </w:p>
        </w:tc>
        <w:tc>
          <w:tcPr>
            <w:tcW w:w="2126" w:type="dxa"/>
            <w:noWrap w:val="0"/>
            <w:vAlign w:val="center"/>
          </w:tcPr>
          <w:p w14:paraId="55F2D4CD">
            <w:pPr>
              <w:pStyle w:val="28"/>
              <w:spacing w:line="240" w:lineRule="auto"/>
              <w:ind w:firstLine="0" w:firstLineChars="0"/>
              <w:jc w:val="center"/>
              <w:rPr>
                <w:color w:val="auto"/>
                <w:sz w:val="21"/>
                <w:szCs w:val="21"/>
                <w:highlight w:val="none"/>
              </w:rPr>
            </w:pPr>
            <w:r>
              <w:rPr>
                <w:rFonts w:hint="eastAsia"/>
                <w:color w:val="auto"/>
                <w:sz w:val="21"/>
                <w:szCs w:val="21"/>
                <w:highlight w:val="none"/>
              </w:rPr>
              <w:t>锅炉废气、噪声/间接</w:t>
            </w:r>
          </w:p>
        </w:tc>
        <w:tc>
          <w:tcPr>
            <w:tcW w:w="1276" w:type="dxa"/>
            <w:noWrap w:val="0"/>
            <w:vAlign w:val="center"/>
          </w:tcPr>
          <w:p w14:paraId="788519DA">
            <w:pPr>
              <w:pStyle w:val="28"/>
              <w:spacing w:line="240" w:lineRule="auto"/>
              <w:ind w:firstLine="0" w:firstLineChars="0"/>
              <w:jc w:val="center"/>
              <w:rPr>
                <w:color w:val="auto"/>
                <w:sz w:val="21"/>
                <w:szCs w:val="21"/>
                <w:highlight w:val="none"/>
              </w:rPr>
            </w:pPr>
            <w:r>
              <w:rPr>
                <w:rFonts w:hint="eastAsia"/>
                <w:color w:val="auto"/>
                <w:sz w:val="21"/>
                <w:szCs w:val="21"/>
                <w:highlight w:val="none"/>
              </w:rPr>
              <w:t>长期可逆</w:t>
            </w:r>
          </w:p>
        </w:tc>
        <w:tc>
          <w:tcPr>
            <w:tcW w:w="1184" w:type="dxa"/>
            <w:noWrap w:val="0"/>
            <w:vAlign w:val="center"/>
          </w:tcPr>
          <w:p w14:paraId="2F34A193">
            <w:pPr>
              <w:pStyle w:val="28"/>
              <w:spacing w:line="240" w:lineRule="auto"/>
              <w:ind w:firstLine="0" w:firstLineChars="0"/>
              <w:jc w:val="center"/>
              <w:rPr>
                <w:color w:val="auto"/>
                <w:sz w:val="21"/>
                <w:szCs w:val="21"/>
                <w:highlight w:val="none"/>
              </w:rPr>
            </w:pPr>
            <w:r>
              <w:rPr>
                <w:rFonts w:hint="eastAsia"/>
                <w:color w:val="auto"/>
                <w:sz w:val="21"/>
                <w:szCs w:val="21"/>
                <w:highlight w:val="none"/>
              </w:rPr>
              <w:t>无</w:t>
            </w:r>
          </w:p>
        </w:tc>
      </w:tr>
      <w:tr w14:paraId="2BDE26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49" w:type="dxa"/>
            <w:vMerge w:val="continue"/>
            <w:noWrap w:val="0"/>
            <w:vAlign w:val="center"/>
          </w:tcPr>
          <w:p w14:paraId="1A5B1CB4">
            <w:pPr>
              <w:pStyle w:val="28"/>
              <w:spacing w:line="240" w:lineRule="auto"/>
              <w:ind w:firstLine="0" w:firstLineChars="0"/>
              <w:jc w:val="center"/>
              <w:rPr>
                <w:color w:val="auto"/>
                <w:sz w:val="21"/>
                <w:szCs w:val="21"/>
                <w:highlight w:val="none"/>
              </w:rPr>
            </w:pPr>
          </w:p>
        </w:tc>
        <w:tc>
          <w:tcPr>
            <w:tcW w:w="1187" w:type="dxa"/>
            <w:noWrap w:val="0"/>
            <w:vAlign w:val="center"/>
          </w:tcPr>
          <w:p w14:paraId="0DBCBB29">
            <w:pPr>
              <w:pStyle w:val="28"/>
              <w:spacing w:line="240" w:lineRule="auto"/>
              <w:ind w:firstLine="0" w:firstLineChars="0"/>
              <w:jc w:val="center"/>
              <w:rPr>
                <w:color w:val="auto"/>
                <w:sz w:val="21"/>
                <w:szCs w:val="21"/>
                <w:highlight w:val="none"/>
              </w:rPr>
            </w:pPr>
            <w:r>
              <w:rPr>
                <w:rFonts w:hint="eastAsia"/>
                <w:color w:val="auto"/>
                <w:sz w:val="21"/>
                <w:szCs w:val="21"/>
                <w:highlight w:val="none"/>
              </w:rPr>
              <w:t>生态系统</w:t>
            </w:r>
          </w:p>
        </w:tc>
        <w:tc>
          <w:tcPr>
            <w:tcW w:w="2100" w:type="dxa"/>
            <w:noWrap w:val="0"/>
            <w:vAlign w:val="center"/>
          </w:tcPr>
          <w:p w14:paraId="27398F14">
            <w:pPr>
              <w:pStyle w:val="28"/>
              <w:spacing w:line="240" w:lineRule="auto"/>
              <w:ind w:firstLine="0" w:firstLineChars="0"/>
              <w:jc w:val="center"/>
              <w:rPr>
                <w:color w:val="auto"/>
                <w:sz w:val="21"/>
                <w:szCs w:val="21"/>
                <w:highlight w:val="none"/>
              </w:rPr>
            </w:pPr>
            <w:r>
              <w:rPr>
                <w:rFonts w:hint="eastAsia"/>
                <w:color w:val="auto"/>
                <w:sz w:val="21"/>
                <w:szCs w:val="21"/>
                <w:highlight w:val="none"/>
              </w:rPr>
              <w:t>植被覆盖度、生产力、生物量、生态系统功能</w:t>
            </w:r>
          </w:p>
        </w:tc>
        <w:tc>
          <w:tcPr>
            <w:tcW w:w="2126" w:type="dxa"/>
            <w:noWrap w:val="0"/>
            <w:vAlign w:val="center"/>
          </w:tcPr>
          <w:p w14:paraId="15CC4C70">
            <w:pPr>
              <w:pStyle w:val="28"/>
              <w:spacing w:line="240" w:lineRule="auto"/>
              <w:ind w:firstLine="0" w:firstLineChars="0"/>
              <w:jc w:val="center"/>
              <w:rPr>
                <w:color w:val="auto"/>
                <w:sz w:val="21"/>
                <w:szCs w:val="21"/>
                <w:highlight w:val="none"/>
              </w:rPr>
            </w:pPr>
            <w:r>
              <w:rPr>
                <w:rFonts w:hint="eastAsia"/>
                <w:color w:val="auto"/>
                <w:sz w:val="21"/>
                <w:szCs w:val="21"/>
                <w:highlight w:val="none"/>
              </w:rPr>
              <w:t>锅炉废气、噪声/间接</w:t>
            </w:r>
          </w:p>
        </w:tc>
        <w:tc>
          <w:tcPr>
            <w:tcW w:w="1276" w:type="dxa"/>
            <w:noWrap w:val="0"/>
            <w:vAlign w:val="center"/>
          </w:tcPr>
          <w:p w14:paraId="1F79A8B9">
            <w:pPr>
              <w:pStyle w:val="28"/>
              <w:spacing w:line="240" w:lineRule="auto"/>
              <w:ind w:firstLine="0" w:firstLineChars="0"/>
              <w:jc w:val="center"/>
              <w:rPr>
                <w:color w:val="auto"/>
                <w:sz w:val="21"/>
                <w:szCs w:val="21"/>
                <w:highlight w:val="none"/>
              </w:rPr>
            </w:pPr>
            <w:r>
              <w:rPr>
                <w:rFonts w:hint="eastAsia"/>
                <w:color w:val="auto"/>
                <w:sz w:val="21"/>
                <w:szCs w:val="21"/>
                <w:highlight w:val="none"/>
              </w:rPr>
              <w:t>长期可逆</w:t>
            </w:r>
          </w:p>
        </w:tc>
        <w:tc>
          <w:tcPr>
            <w:tcW w:w="1184" w:type="dxa"/>
            <w:noWrap w:val="0"/>
            <w:vAlign w:val="center"/>
          </w:tcPr>
          <w:p w14:paraId="1502F4C8">
            <w:pPr>
              <w:pStyle w:val="28"/>
              <w:spacing w:line="240" w:lineRule="auto"/>
              <w:ind w:firstLine="0" w:firstLineChars="0"/>
              <w:jc w:val="center"/>
              <w:rPr>
                <w:color w:val="auto"/>
                <w:sz w:val="21"/>
                <w:szCs w:val="21"/>
                <w:highlight w:val="none"/>
              </w:rPr>
            </w:pPr>
            <w:r>
              <w:rPr>
                <w:rFonts w:hint="eastAsia"/>
                <w:color w:val="auto"/>
                <w:sz w:val="21"/>
                <w:szCs w:val="21"/>
                <w:highlight w:val="none"/>
              </w:rPr>
              <w:t>无</w:t>
            </w:r>
          </w:p>
        </w:tc>
      </w:tr>
      <w:tr w14:paraId="6611BE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49" w:type="dxa"/>
            <w:vMerge w:val="continue"/>
            <w:noWrap w:val="0"/>
            <w:vAlign w:val="center"/>
          </w:tcPr>
          <w:p w14:paraId="14A2267C">
            <w:pPr>
              <w:pStyle w:val="28"/>
              <w:spacing w:line="240" w:lineRule="auto"/>
              <w:ind w:firstLine="0" w:firstLineChars="0"/>
              <w:jc w:val="center"/>
              <w:rPr>
                <w:color w:val="auto"/>
                <w:sz w:val="21"/>
                <w:szCs w:val="21"/>
                <w:highlight w:val="none"/>
              </w:rPr>
            </w:pPr>
          </w:p>
        </w:tc>
        <w:tc>
          <w:tcPr>
            <w:tcW w:w="1187" w:type="dxa"/>
            <w:noWrap w:val="0"/>
            <w:vAlign w:val="center"/>
          </w:tcPr>
          <w:p w14:paraId="1AED44FF">
            <w:pPr>
              <w:pStyle w:val="28"/>
              <w:spacing w:line="240" w:lineRule="auto"/>
              <w:ind w:firstLine="0" w:firstLineChars="0"/>
              <w:jc w:val="center"/>
              <w:rPr>
                <w:color w:val="auto"/>
                <w:sz w:val="21"/>
                <w:szCs w:val="21"/>
                <w:highlight w:val="none"/>
              </w:rPr>
            </w:pPr>
            <w:r>
              <w:rPr>
                <w:rFonts w:hint="eastAsia"/>
                <w:color w:val="auto"/>
                <w:sz w:val="21"/>
                <w:szCs w:val="21"/>
                <w:highlight w:val="none"/>
              </w:rPr>
              <w:t>生物多样性</w:t>
            </w:r>
          </w:p>
        </w:tc>
        <w:tc>
          <w:tcPr>
            <w:tcW w:w="2100" w:type="dxa"/>
            <w:noWrap w:val="0"/>
            <w:vAlign w:val="center"/>
          </w:tcPr>
          <w:p w14:paraId="6CB0EEB3">
            <w:pPr>
              <w:pStyle w:val="28"/>
              <w:spacing w:line="240" w:lineRule="auto"/>
              <w:ind w:firstLine="0" w:firstLineChars="0"/>
              <w:jc w:val="center"/>
              <w:rPr>
                <w:color w:val="auto"/>
                <w:sz w:val="21"/>
                <w:szCs w:val="21"/>
                <w:highlight w:val="none"/>
              </w:rPr>
            </w:pPr>
            <w:r>
              <w:rPr>
                <w:rFonts w:hint="eastAsia"/>
                <w:color w:val="auto"/>
                <w:sz w:val="21"/>
                <w:szCs w:val="21"/>
                <w:highlight w:val="none"/>
              </w:rPr>
              <w:t>物种丰富度、均匀度、优势度</w:t>
            </w:r>
          </w:p>
        </w:tc>
        <w:tc>
          <w:tcPr>
            <w:tcW w:w="2126" w:type="dxa"/>
            <w:noWrap w:val="0"/>
            <w:vAlign w:val="center"/>
          </w:tcPr>
          <w:p w14:paraId="0444CFCE">
            <w:pPr>
              <w:pStyle w:val="28"/>
              <w:spacing w:line="240" w:lineRule="auto"/>
              <w:ind w:firstLine="0" w:firstLineChars="0"/>
              <w:jc w:val="center"/>
              <w:rPr>
                <w:color w:val="auto"/>
                <w:sz w:val="21"/>
                <w:szCs w:val="21"/>
                <w:highlight w:val="none"/>
              </w:rPr>
            </w:pPr>
            <w:r>
              <w:rPr>
                <w:rFonts w:hint="eastAsia"/>
                <w:color w:val="auto"/>
                <w:sz w:val="21"/>
                <w:szCs w:val="21"/>
                <w:highlight w:val="none"/>
              </w:rPr>
              <w:t>锅炉废气、噪声/间接</w:t>
            </w:r>
          </w:p>
        </w:tc>
        <w:tc>
          <w:tcPr>
            <w:tcW w:w="1276" w:type="dxa"/>
            <w:noWrap w:val="0"/>
            <w:vAlign w:val="center"/>
          </w:tcPr>
          <w:p w14:paraId="1B4031B8">
            <w:pPr>
              <w:pStyle w:val="28"/>
              <w:spacing w:line="240" w:lineRule="auto"/>
              <w:ind w:firstLine="0" w:firstLineChars="0"/>
              <w:jc w:val="center"/>
              <w:rPr>
                <w:color w:val="auto"/>
                <w:sz w:val="21"/>
                <w:szCs w:val="21"/>
                <w:highlight w:val="none"/>
              </w:rPr>
            </w:pPr>
            <w:r>
              <w:rPr>
                <w:rFonts w:hint="eastAsia"/>
                <w:color w:val="auto"/>
                <w:sz w:val="21"/>
                <w:szCs w:val="21"/>
                <w:highlight w:val="none"/>
              </w:rPr>
              <w:t>长期可逆</w:t>
            </w:r>
          </w:p>
        </w:tc>
        <w:tc>
          <w:tcPr>
            <w:tcW w:w="1184" w:type="dxa"/>
            <w:noWrap w:val="0"/>
            <w:vAlign w:val="center"/>
          </w:tcPr>
          <w:p w14:paraId="2A987EED">
            <w:pPr>
              <w:pStyle w:val="28"/>
              <w:spacing w:line="240" w:lineRule="auto"/>
              <w:ind w:firstLine="0" w:firstLineChars="0"/>
              <w:jc w:val="center"/>
              <w:rPr>
                <w:color w:val="auto"/>
                <w:sz w:val="21"/>
                <w:szCs w:val="21"/>
                <w:highlight w:val="none"/>
              </w:rPr>
            </w:pPr>
            <w:r>
              <w:rPr>
                <w:rFonts w:hint="eastAsia"/>
                <w:color w:val="auto"/>
                <w:sz w:val="21"/>
                <w:szCs w:val="21"/>
                <w:highlight w:val="none"/>
              </w:rPr>
              <w:t>无</w:t>
            </w:r>
          </w:p>
        </w:tc>
      </w:tr>
    </w:tbl>
    <w:p w14:paraId="7D06B7C6">
      <w:pPr>
        <w:pStyle w:val="5"/>
        <w:bidi w:val="0"/>
        <w:ind w:left="0" w:leftChars="0" w:firstLine="0" w:firstLineChars="0"/>
        <w:rPr>
          <w:rFonts w:hint="eastAsia"/>
          <w:sz w:val="30"/>
          <w:szCs w:val="30"/>
          <w:highlight w:val="none"/>
          <w:lang w:val="en-US" w:eastAsia="zh-CN"/>
        </w:rPr>
      </w:pPr>
      <w:bookmarkStart w:id="41" w:name="_Toc9516"/>
      <w:r>
        <w:rPr>
          <w:rFonts w:hint="default" w:ascii="Times New Roman" w:hAnsi="Times New Roman" w:cs="Times New Roman"/>
          <w:sz w:val="30"/>
          <w:szCs w:val="30"/>
          <w:highlight w:val="none"/>
          <w:lang w:val="en-US" w:eastAsia="zh-CN"/>
        </w:rPr>
        <w:t>2.3.3</w:t>
      </w:r>
      <w:r>
        <w:rPr>
          <w:rFonts w:hint="eastAsia"/>
          <w:sz w:val="30"/>
          <w:szCs w:val="30"/>
          <w:highlight w:val="none"/>
          <w:lang w:val="en-US" w:eastAsia="zh-CN"/>
        </w:rPr>
        <w:t>环境功能划分</w:t>
      </w:r>
      <w:bookmarkEnd w:id="41"/>
    </w:p>
    <w:p w14:paraId="1A969E03">
      <w:pPr>
        <w:pStyle w:val="26"/>
        <w:rPr>
          <w:rFonts w:ascii="Times New Roman" w:hAnsi="Times New Roman"/>
          <w:color w:val="auto"/>
          <w:highlight w:val="none"/>
        </w:rPr>
      </w:pPr>
      <w:r>
        <w:rPr>
          <w:rFonts w:ascii="Times New Roman" w:hAnsi="Times New Roman"/>
          <w:color w:val="auto"/>
          <w:highlight w:val="none"/>
        </w:rPr>
        <w:t>本项目环境功能区划见表2.3-</w:t>
      </w:r>
      <w:r>
        <w:rPr>
          <w:rFonts w:hint="eastAsia" w:ascii="Times New Roman" w:hAnsi="Times New Roman"/>
          <w:color w:val="auto"/>
          <w:highlight w:val="none"/>
        </w:rPr>
        <w:t>4</w:t>
      </w:r>
      <w:r>
        <w:rPr>
          <w:rFonts w:ascii="Times New Roman" w:hAnsi="Times New Roman"/>
          <w:color w:val="auto"/>
          <w:highlight w:val="none"/>
        </w:rPr>
        <w:t>。</w:t>
      </w:r>
    </w:p>
    <w:p w14:paraId="21054BA4">
      <w:pPr>
        <w:pStyle w:val="29"/>
        <w:spacing w:line="240" w:lineRule="auto"/>
        <w:ind w:firstLine="480"/>
        <w:rPr>
          <w:rFonts w:hint="default" w:ascii="Times New Roman" w:hAnsi="Times New Roman" w:eastAsia="黑体" w:cs="Times New Roman"/>
          <w:color w:val="auto"/>
          <w:spacing w:val="0"/>
          <w:kern w:val="2"/>
          <w:sz w:val="24"/>
          <w:szCs w:val="24"/>
          <w:highlight w:val="none"/>
          <w:lang w:val="en-US" w:eastAsia="zh-CN" w:bidi="ar-SA"/>
        </w:rPr>
      </w:pPr>
      <w:r>
        <w:rPr>
          <w:rFonts w:hint="default" w:ascii="Times New Roman" w:hAnsi="Times New Roman" w:eastAsia="黑体" w:cs="Times New Roman"/>
          <w:color w:val="auto"/>
          <w:spacing w:val="0"/>
          <w:kern w:val="2"/>
          <w:sz w:val="24"/>
          <w:szCs w:val="24"/>
          <w:highlight w:val="none"/>
          <w:lang w:val="en-US" w:eastAsia="zh-CN" w:bidi="ar-SA"/>
        </w:rPr>
        <w:t>表 2.3-</w:t>
      </w:r>
      <w:r>
        <w:rPr>
          <w:rFonts w:hint="eastAsia" w:ascii="Times New Roman" w:hAnsi="Times New Roman" w:eastAsia="黑体" w:cs="Times New Roman"/>
          <w:color w:val="auto"/>
          <w:spacing w:val="0"/>
          <w:kern w:val="2"/>
          <w:sz w:val="24"/>
          <w:szCs w:val="24"/>
          <w:highlight w:val="none"/>
          <w:lang w:val="en-US" w:eastAsia="zh-CN" w:bidi="ar-SA"/>
        </w:rPr>
        <w:t>4</w:t>
      </w:r>
      <w:r>
        <w:rPr>
          <w:rFonts w:hint="default" w:ascii="Times New Roman" w:hAnsi="Times New Roman" w:eastAsia="黑体" w:cs="Times New Roman"/>
          <w:color w:val="auto"/>
          <w:spacing w:val="0"/>
          <w:kern w:val="2"/>
          <w:sz w:val="24"/>
          <w:szCs w:val="24"/>
          <w:highlight w:val="none"/>
          <w:lang w:val="en-US" w:eastAsia="zh-CN" w:bidi="ar-SA"/>
        </w:rPr>
        <w:t>环境功能区划一览表</w:t>
      </w:r>
    </w:p>
    <w:tbl>
      <w:tblPr>
        <w:tblStyle w:val="1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5"/>
        <w:gridCol w:w="989"/>
        <w:gridCol w:w="1613"/>
        <w:gridCol w:w="1200"/>
        <w:gridCol w:w="3995"/>
      </w:tblGrid>
      <w:tr w14:paraId="5DC4FF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3" w:hRule="atLeast"/>
        </w:trPr>
        <w:tc>
          <w:tcPr>
            <w:tcW w:w="425" w:type="pct"/>
            <w:noWrap w:val="0"/>
            <w:vAlign w:val="center"/>
          </w:tcPr>
          <w:p w14:paraId="7C49878A">
            <w:pPr>
              <w:pStyle w:val="27"/>
              <w:rPr>
                <w:rFonts w:ascii="Times New Roman" w:hAnsi="Times New Roman"/>
                <w:color w:val="auto"/>
                <w:highlight w:val="none"/>
              </w:rPr>
            </w:pPr>
            <w:r>
              <w:rPr>
                <w:rFonts w:ascii="Times New Roman" w:hAnsi="Times New Roman"/>
                <w:color w:val="auto"/>
                <w:highlight w:val="none"/>
              </w:rPr>
              <w:t>序号</w:t>
            </w:r>
          </w:p>
        </w:tc>
        <w:tc>
          <w:tcPr>
            <w:tcW w:w="580" w:type="pct"/>
            <w:noWrap w:val="0"/>
            <w:vAlign w:val="center"/>
          </w:tcPr>
          <w:p w14:paraId="67AA65E6">
            <w:pPr>
              <w:pStyle w:val="27"/>
              <w:rPr>
                <w:rFonts w:ascii="Times New Roman" w:hAnsi="Times New Roman"/>
                <w:color w:val="auto"/>
                <w:highlight w:val="none"/>
              </w:rPr>
            </w:pPr>
            <w:r>
              <w:rPr>
                <w:rFonts w:ascii="Times New Roman" w:hAnsi="Times New Roman"/>
                <w:color w:val="auto"/>
                <w:highlight w:val="none"/>
              </w:rPr>
              <w:t>环境要素</w:t>
            </w:r>
          </w:p>
        </w:tc>
        <w:tc>
          <w:tcPr>
            <w:tcW w:w="946" w:type="pct"/>
            <w:noWrap w:val="0"/>
            <w:vAlign w:val="center"/>
          </w:tcPr>
          <w:p w14:paraId="6526C2C8">
            <w:pPr>
              <w:pStyle w:val="27"/>
              <w:rPr>
                <w:rFonts w:ascii="Times New Roman" w:hAnsi="Times New Roman"/>
                <w:color w:val="auto"/>
                <w:highlight w:val="none"/>
              </w:rPr>
            </w:pPr>
            <w:r>
              <w:rPr>
                <w:rFonts w:ascii="Times New Roman" w:hAnsi="Times New Roman"/>
                <w:color w:val="auto"/>
                <w:highlight w:val="none"/>
              </w:rPr>
              <w:t>所属区域</w:t>
            </w:r>
          </w:p>
        </w:tc>
        <w:tc>
          <w:tcPr>
            <w:tcW w:w="704" w:type="pct"/>
            <w:noWrap w:val="0"/>
            <w:vAlign w:val="center"/>
          </w:tcPr>
          <w:p w14:paraId="0C800E64">
            <w:pPr>
              <w:pStyle w:val="27"/>
              <w:rPr>
                <w:rFonts w:ascii="Times New Roman" w:hAnsi="Times New Roman"/>
                <w:color w:val="auto"/>
                <w:highlight w:val="none"/>
              </w:rPr>
            </w:pPr>
            <w:r>
              <w:rPr>
                <w:rFonts w:ascii="Times New Roman" w:hAnsi="Times New Roman"/>
                <w:color w:val="auto"/>
                <w:highlight w:val="none"/>
              </w:rPr>
              <w:t>功能区划</w:t>
            </w:r>
          </w:p>
        </w:tc>
        <w:tc>
          <w:tcPr>
            <w:tcW w:w="2343" w:type="pct"/>
            <w:noWrap w:val="0"/>
            <w:vAlign w:val="center"/>
          </w:tcPr>
          <w:p w14:paraId="482E9F21">
            <w:pPr>
              <w:pStyle w:val="27"/>
              <w:rPr>
                <w:rFonts w:ascii="Times New Roman" w:hAnsi="Times New Roman"/>
                <w:color w:val="auto"/>
                <w:highlight w:val="none"/>
              </w:rPr>
            </w:pPr>
            <w:r>
              <w:rPr>
                <w:rFonts w:ascii="Times New Roman" w:hAnsi="Times New Roman"/>
                <w:color w:val="auto"/>
                <w:highlight w:val="none"/>
              </w:rPr>
              <w:t>划分依据</w:t>
            </w:r>
          </w:p>
        </w:tc>
      </w:tr>
      <w:tr w14:paraId="068AC5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425" w:type="pct"/>
            <w:noWrap w:val="0"/>
            <w:vAlign w:val="center"/>
          </w:tcPr>
          <w:p w14:paraId="6D20C7F6">
            <w:pPr>
              <w:pStyle w:val="27"/>
              <w:rPr>
                <w:rFonts w:ascii="Times New Roman" w:hAnsi="Times New Roman"/>
                <w:color w:val="auto"/>
                <w:highlight w:val="none"/>
              </w:rPr>
            </w:pPr>
            <w:r>
              <w:rPr>
                <w:rFonts w:ascii="Times New Roman" w:hAnsi="Times New Roman"/>
                <w:color w:val="auto"/>
                <w:highlight w:val="none"/>
              </w:rPr>
              <w:t>1</w:t>
            </w:r>
          </w:p>
        </w:tc>
        <w:tc>
          <w:tcPr>
            <w:tcW w:w="580" w:type="pct"/>
            <w:noWrap w:val="0"/>
            <w:vAlign w:val="center"/>
          </w:tcPr>
          <w:p w14:paraId="384C3595">
            <w:pPr>
              <w:pStyle w:val="27"/>
              <w:rPr>
                <w:rFonts w:ascii="Times New Roman" w:hAnsi="Times New Roman"/>
                <w:color w:val="auto"/>
                <w:highlight w:val="none"/>
              </w:rPr>
            </w:pPr>
            <w:r>
              <w:rPr>
                <w:rFonts w:ascii="Times New Roman" w:hAnsi="Times New Roman"/>
                <w:color w:val="auto"/>
                <w:highlight w:val="none"/>
              </w:rPr>
              <w:t>环境空气</w:t>
            </w:r>
          </w:p>
        </w:tc>
        <w:tc>
          <w:tcPr>
            <w:tcW w:w="946" w:type="pct"/>
            <w:noWrap w:val="0"/>
            <w:vAlign w:val="center"/>
          </w:tcPr>
          <w:p w14:paraId="31CB6C05">
            <w:pPr>
              <w:pStyle w:val="27"/>
              <w:rPr>
                <w:rFonts w:ascii="Times New Roman" w:hAnsi="Times New Roman"/>
                <w:color w:val="auto"/>
                <w:highlight w:val="none"/>
              </w:rPr>
            </w:pPr>
            <w:r>
              <w:rPr>
                <w:rFonts w:hint="eastAsia" w:ascii="Times New Roman" w:hAnsi="Times New Roman"/>
                <w:color w:val="auto"/>
                <w:highlight w:val="none"/>
                <w:lang w:val="en-US" w:eastAsia="zh-CN"/>
              </w:rPr>
              <w:t>牡丹江市绥芬河市</w:t>
            </w:r>
          </w:p>
        </w:tc>
        <w:tc>
          <w:tcPr>
            <w:tcW w:w="704" w:type="pct"/>
            <w:noWrap w:val="0"/>
            <w:vAlign w:val="center"/>
          </w:tcPr>
          <w:p w14:paraId="68D1794A">
            <w:pPr>
              <w:pStyle w:val="27"/>
              <w:rPr>
                <w:rFonts w:ascii="Times New Roman" w:hAnsi="Times New Roman"/>
                <w:color w:val="auto"/>
                <w:highlight w:val="none"/>
              </w:rPr>
            </w:pPr>
            <w:r>
              <w:rPr>
                <w:rFonts w:ascii="Times New Roman" w:hAnsi="Times New Roman"/>
                <w:color w:val="auto"/>
                <w:highlight w:val="none"/>
              </w:rPr>
              <w:t>二类区</w:t>
            </w:r>
          </w:p>
        </w:tc>
        <w:tc>
          <w:tcPr>
            <w:tcW w:w="2343" w:type="pct"/>
            <w:noWrap w:val="0"/>
            <w:vAlign w:val="center"/>
          </w:tcPr>
          <w:p w14:paraId="1381866B">
            <w:pPr>
              <w:pStyle w:val="27"/>
              <w:rPr>
                <w:rFonts w:ascii="Times New Roman" w:hAnsi="Times New Roman"/>
                <w:color w:val="auto"/>
                <w:highlight w:val="none"/>
              </w:rPr>
            </w:pPr>
            <w:r>
              <w:rPr>
                <w:rFonts w:ascii="Times New Roman" w:hAnsi="Times New Roman"/>
                <w:color w:val="auto"/>
                <w:highlight w:val="none"/>
              </w:rPr>
              <w:t>《环境空气质量标准》（GB3095-2012）</w:t>
            </w:r>
          </w:p>
        </w:tc>
      </w:tr>
      <w:tr w14:paraId="56DDC2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425" w:type="pct"/>
            <w:noWrap w:val="0"/>
            <w:vAlign w:val="center"/>
          </w:tcPr>
          <w:p w14:paraId="66FD93AA">
            <w:pPr>
              <w:pStyle w:val="27"/>
              <w:rPr>
                <w:rFonts w:ascii="Times New Roman" w:hAnsi="Times New Roman"/>
                <w:color w:val="auto"/>
                <w:highlight w:val="none"/>
              </w:rPr>
            </w:pPr>
            <w:r>
              <w:rPr>
                <w:rFonts w:ascii="Times New Roman" w:hAnsi="Times New Roman"/>
                <w:color w:val="auto"/>
                <w:highlight w:val="none"/>
              </w:rPr>
              <w:t>2</w:t>
            </w:r>
          </w:p>
        </w:tc>
        <w:tc>
          <w:tcPr>
            <w:tcW w:w="580" w:type="pct"/>
            <w:noWrap w:val="0"/>
            <w:vAlign w:val="center"/>
          </w:tcPr>
          <w:p w14:paraId="118D93BD">
            <w:pPr>
              <w:pStyle w:val="27"/>
              <w:rPr>
                <w:rFonts w:ascii="Times New Roman" w:hAnsi="Times New Roman"/>
                <w:color w:val="auto"/>
                <w:highlight w:val="none"/>
              </w:rPr>
            </w:pPr>
            <w:r>
              <w:rPr>
                <w:rFonts w:ascii="Times New Roman" w:hAnsi="Times New Roman"/>
                <w:color w:val="auto"/>
                <w:highlight w:val="none"/>
              </w:rPr>
              <w:t>地表水</w:t>
            </w:r>
          </w:p>
        </w:tc>
        <w:tc>
          <w:tcPr>
            <w:tcW w:w="946" w:type="pct"/>
            <w:noWrap w:val="0"/>
            <w:vAlign w:val="center"/>
          </w:tcPr>
          <w:p w14:paraId="05EDE5B8">
            <w:pPr>
              <w:pStyle w:val="27"/>
              <w:rPr>
                <w:rFonts w:hint="eastAsia" w:ascii="Times New Roman" w:hAnsi="Times New Roman" w:eastAsia="新宋体"/>
                <w:color w:val="auto"/>
                <w:highlight w:val="none"/>
                <w:lang w:eastAsia="zh-CN"/>
              </w:rPr>
            </w:pPr>
            <w:r>
              <w:rPr>
                <w:rFonts w:hint="eastAsia" w:ascii="Times New Roman" w:hAnsi="Times New Roman"/>
                <w:color w:val="auto"/>
                <w:highlight w:val="none"/>
                <w:lang w:val="en-US" w:eastAsia="zh-CN"/>
              </w:rPr>
              <w:t>绥芬河</w:t>
            </w:r>
          </w:p>
        </w:tc>
        <w:tc>
          <w:tcPr>
            <w:tcW w:w="704" w:type="pct"/>
            <w:noWrap w:val="0"/>
            <w:vAlign w:val="center"/>
          </w:tcPr>
          <w:p w14:paraId="20DE0E22">
            <w:pPr>
              <w:pStyle w:val="27"/>
              <w:rPr>
                <w:rFonts w:ascii="Times New Roman" w:hAnsi="Times New Roman"/>
                <w:color w:val="auto"/>
                <w:highlight w:val="none"/>
              </w:rPr>
            </w:pPr>
            <w:r>
              <w:rPr>
                <w:rFonts w:hint="eastAsia" w:ascii="宋体" w:hAnsi="宋体" w:eastAsia="宋体" w:cs="宋体"/>
                <w:color w:val="auto"/>
                <w:highlight w:val="none"/>
              </w:rPr>
              <w:t>Ⅲ</w:t>
            </w:r>
            <w:r>
              <w:rPr>
                <w:rFonts w:ascii="Times New Roman" w:hAnsi="Times New Roman"/>
                <w:color w:val="auto"/>
                <w:highlight w:val="none"/>
              </w:rPr>
              <w:t>类</w:t>
            </w:r>
          </w:p>
        </w:tc>
        <w:tc>
          <w:tcPr>
            <w:tcW w:w="2343" w:type="pct"/>
            <w:noWrap w:val="0"/>
            <w:vAlign w:val="center"/>
          </w:tcPr>
          <w:p w14:paraId="1CEFDF49">
            <w:pPr>
              <w:pStyle w:val="27"/>
              <w:rPr>
                <w:rFonts w:hint="eastAsia" w:ascii="Times New Roman" w:hAnsi="Times New Roman" w:eastAsia="新宋体"/>
                <w:color w:val="auto"/>
                <w:highlight w:val="none"/>
                <w:lang w:eastAsia="zh-CN"/>
              </w:rPr>
            </w:pPr>
            <w:r>
              <w:rPr>
                <w:rFonts w:hint="eastAsia" w:ascii="Times New Roman" w:hAnsi="Times New Roman"/>
                <w:color w:val="auto"/>
                <w:highlight w:val="none"/>
                <w:lang w:eastAsia="zh-CN"/>
              </w:rPr>
              <w:t>《全国重要江河湖泊水功能区划》（2011-2030</w:t>
            </w:r>
            <w:r>
              <w:rPr>
                <w:rFonts w:hint="eastAsia" w:ascii="Times New Roman" w:hAnsi="Times New Roman"/>
                <w:color w:val="auto"/>
                <w:highlight w:val="none"/>
                <w:lang w:val="en-US" w:eastAsia="zh-CN"/>
              </w:rPr>
              <w:t>年</w:t>
            </w:r>
            <w:r>
              <w:rPr>
                <w:rFonts w:hint="eastAsia" w:ascii="Times New Roman" w:hAnsi="Times New Roman"/>
                <w:color w:val="auto"/>
                <w:highlight w:val="none"/>
                <w:lang w:eastAsia="zh-CN"/>
              </w:rPr>
              <w:t>）</w:t>
            </w:r>
          </w:p>
        </w:tc>
      </w:tr>
      <w:tr w14:paraId="5E465D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425" w:type="pct"/>
            <w:noWrap w:val="0"/>
            <w:vAlign w:val="center"/>
          </w:tcPr>
          <w:p w14:paraId="2C297C88">
            <w:pPr>
              <w:pStyle w:val="27"/>
              <w:rPr>
                <w:rFonts w:ascii="Times New Roman" w:hAnsi="Times New Roman"/>
                <w:color w:val="auto"/>
                <w:highlight w:val="none"/>
              </w:rPr>
            </w:pPr>
            <w:r>
              <w:rPr>
                <w:rFonts w:ascii="Times New Roman" w:hAnsi="Times New Roman"/>
                <w:color w:val="auto"/>
                <w:highlight w:val="none"/>
              </w:rPr>
              <w:t>3</w:t>
            </w:r>
          </w:p>
        </w:tc>
        <w:tc>
          <w:tcPr>
            <w:tcW w:w="580" w:type="pct"/>
            <w:noWrap w:val="0"/>
            <w:vAlign w:val="center"/>
          </w:tcPr>
          <w:p w14:paraId="22A71798">
            <w:pPr>
              <w:pStyle w:val="27"/>
              <w:rPr>
                <w:rFonts w:ascii="Times New Roman" w:hAnsi="Times New Roman"/>
                <w:color w:val="auto"/>
                <w:highlight w:val="none"/>
              </w:rPr>
            </w:pPr>
            <w:r>
              <w:rPr>
                <w:rFonts w:ascii="Times New Roman" w:hAnsi="Times New Roman"/>
                <w:color w:val="auto"/>
                <w:highlight w:val="none"/>
              </w:rPr>
              <w:t>地下水</w:t>
            </w:r>
          </w:p>
        </w:tc>
        <w:tc>
          <w:tcPr>
            <w:tcW w:w="946" w:type="pct"/>
            <w:noWrap w:val="0"/>
            <w:vAlign w:val="center"/>
          </w:tcPr>
          <w:p w14:paraId="19D2DC94">
            <w:pPr>
              <w:pStyle w:val="27"/>
              <w:rPr>
                <w:rFonts w:ascii="Times New Roman" w:hAnsi="Times New Roman"/>
                <w:color w:val="auto"/>
                <w:highlight w:val="none"/>
              </w:rPr>
            </w:pPr>
            <w:r>
              <w:rPr>
                <w:rFonts w:hint="eastAsia" w:ascii="Times New Roman" w:hAnsi="Times New Roman"/>
                <w:color w:val="auto"/>
                <w:highlight w:val="none"/>
                <w:lang w:val="en-US" w:eastAsia="zh-CN"/>
              </w:rPr>
              <w:t>牡丹江市绥芬河市</w:t>
            </w:r>
          </w:p>
        </w:tc>
        <w:tc>
          <w:tcPr>
            <w:tcW w:w="704" w:type="pct"/>
            <w:noWrap w:val="0"/>
            <w:vAlign w:val="center"/>
          </w:tcPr>
          <w:p w14:paraId="701DE06B">
            <w:pPr>
              <w:pStyle w:val="27"/>
              <w:rPr>
                <w:rFonts w:ascii="Times New Roman" w:hAnsi="Times New Roman"/>
                <w:color w:val="auto"/>
                <w:highlight w:val="none"/>
              </w:rPr>
            </w:pPr>
            <w:r>
              <w:rPr>
                <w:rFonts w:hint="eastAsia" w:ascii="宋体" w:hAnsi="宋体" w:eastAsia="宋体" w:cs="宋体"/>
                <w:color w:val="auto"/>
                <w:highlight w:val="none"/>
              </w:rPr>
              <w:t>Ⅲ</w:t>
            </w:r>
            <w:r>
              <w:rPr>
                <w:rFonts w:ascii="Times New Roman" w:hAnsi="Times New Roman"/>
                <w:color w:val="auto"/>
                <w:highlight w:val="none"/>
              </w:rPr>
              <w:t>类</w:t>
            </w:r>
          </w:p>
        </w:tc>
        <w:tc>
          <w:tcPr>
            <w:tcW w:w="2343" w:type="pct"/>
            <w:noWrap w:val="0"/>
            <w:vAlign w:val="center"/>
          </w:tcPr>
          <w:p w14:paraId="53C09A52">
            <w:pPr>
              <w:pStyle w:val="27"/>
              <w:jc w:val="center"/>
              <w:rPr>
                <w:rFonts w:ascii="Times New Roman" w:hAnsi="Times New Roman"/>
                <w:color w:val="auto"/>
                <w:highlight w:val="none"/>
              </w:rPr>
            </w:pPr>
            <w:r>
              <w:rPr>
                <w:rFonts w:ascii="Times New Roman" w:hAnsi="Times New Roman"/>
                <w:color w:val="auto"/>
                <w:highlight w:val="none"/>
              </w:rPr>
              <w:t>《地下水质量标准》（GB/T14848-2017）</w:t>
            </w:r>
          </w:p>
        </w:tc>
      </w:tr>
      <w:tr w14:paraId="44C24B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425" w:type="pct"/>
            <w:vMerge w:val="restart"/>
            <w:noWrap w:val="0"/>
            <w:vAlign w:val="center"/>
          </w:tcPr>
          <w:p w14:paraId="77DC438E">
            <w:pPr>
              <w:pStyle w:val="27"/>
              <w:rPr>
                <w:rFonts w:ascii="Times New Roman" w:hAnsi="Times New Roman"/>
                <w:color w:val="auto"/>
                <w:highlight w:val="none"/>
              </w:rPr>
            </w:pPr>
            <w:r>
              <w:rPr>
                <w:rFonts w:ascii="Times New Roman" w:hAnsi="Times New Roman"/>
                <w:color w:val="auto"/>
                <w:highlight w:val="none"/>
              </w:rPr>
              <w:t>4</w:t>
            </w:r>
          </w:p>
        </w:tc>
        <w:tc>
          <w:tcPr>
            <w:tcW w:w="580" w:type="pct"/>
            <w:vMerge w:val="restart"/>
            <w:noWrap w:val="0"/>
            <w:vAlign w:val="center"/>
          </w:tcPr>
          <w:p w14:paraId="7CC57DE1">
            <w:pPr>
              <w:pStyle w:val="27"/>
              <w:rPr>
                <w:rFonts w:ascii="Times New Roman" w:hAnsi="Times New Roman"/>
                <w:color w:val="auto"/>
                <w:highlight w:val="none"/>
              </w:rPr>
            </w:pPr>
            <w:r>
              <w:rPr>
                <w:rFonts w:ascii="Times New Roman" w:hAnsi="Times New Roman"/>
                <w:color w:val="auto"/>
                <w:highlight w:val="none"/>
              </w:rPr>
              <w:t>噪声</w:t>
            </w:r>
          </w:p>
        </w:tc>
        <w:tc>
          <w:tcPr>
            <w:tcW w:w="946" w:type="pct"/>
            <w:vMerge w:val="restart"/>
            <w:noWrap w:val="0"/>
            <w:vAlign w:val="center"/>
          </w:tcPr>
          <w:p w14:paraId="5EBAC600">
            <w:pPr>
              <w:pStyle w:val="27"/>
              <w:rPr>
                <w:rFonts w:ascii="Times New Roman" w:hAnsi="Times New Roman"/>
                <w:color w:val="auto"/>
                <w:highlight w:val="none"/>
              </w:rPr>
            </w:pPr>
            <w:r>
              <w:rPr>
                <w:rFonts w:hint="eastAsia" w:ascii="Times New Roman" w:hAnsi="Times New Roman"/>
                <w:color w:val="auto"/>
                <w:highlight w:val="none"/>
                <w:lang w:val="en-US" w:eastAsia="zh-CN"/>
              </w:rPr>
              <w:t>牡丹江市绥芬河市</w:t>
            </w:r>
          </w:p>
        </w:tc>
        <w:tc>
          <w:tcPr>
            <w:tcW w:w="704" w:type="pct"/>
            <w:vMerge w:val="restart"/>
            <w:noWrap w:val="0"/>
            <w:vAlign w:val="center"/>
          </w:tcPr>
          <w:p w14:paraId="13D2FDFD">
            <w:pPr>
              <w:pStyle w:val="27"/>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2类</w:t>
            </w:r>
          </w:p>
        </w:tc>
        <w:tc>
          <w:tcPr>
            <w:tcW w:w="2343" w:type="pct"/>
            <w:noWrap w:val="0"/>
            <w:vAlign w:val="center"/>
          </w:tcPr>
          <w:p w14:paraId="51745A1F">
            <w:pPr>
              <w:pStyle w:val="27"/>
              <w:rPr>
                <w:rFonts w:hint="eastAsia" w:ascii="Times New Roman" w:hAnsi="Times New Roman" w:eastAsia="新宋体"/>
                <w:color w:val="auto"/>
                <w:highlight w:val="none"/>
                <w:lang w:eastAsia="zh-CN"/>
              </w:rPr>
            </w:pPr>
            <w:r>
              <w:rPr>
                <w:rFonts w:hint="eastAsia" w:ascii="Times New Roman" w:hAnsi="Times New Roman"/>
                <w:color w:val="auto"/>
                <w:highlight w:val="none"/>
                <w:lang w:val="en-US" w:eastAsia="zh-CN"/>
              </w:rPr>
              <w:t>《2024年黑龙江省生态环境质量状况》</w:t>
            </w:r>
          </w:p>
        </w:tc>
      </w:tr>
      <w:tr w14:paraId="5E18A4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425" w:type="pct"/>
            <w:vMerge w:val="continue"/>
            <w:noWrap w:val="0"/>
            <w:vAlign w:val="center"/>
          </w:tcPr>
          <w:p w14:paraId="59D12A10">
            <w:pPr>
              <w:pStyle w:val="27"/>
              <w:rPr>
                <w:rFonts w:ascii="Times New Roman" w:hAnsi="Times New Roman"/>
                <w:color w:val="auto"/>
                <w:highlight w:val="none"/>
              </w:rPr>
            </w:pPr>
          </w:p>
        </w:tc>
        <w:tc>
          <w:tcPr>
            <w:tcW w:w="580" w:type="pct"/>
            <w:vMerge w:val="continue"/>
            <w:noWrap w:val="0"/>
            <w:vAlign w:val="center"/>
          </w:tcPr>
          <w:p w14:paraId="73A97E62">
            <w:pPr>
              <w:pStyle w:val="27"/>
              <w:rPr>
                <w:rFonts w:ascii="Times New Roman" w:hAnsi="Times New Roman"/>
                <w:color w:val="auto"/>
                <w:highlight w:val="none"/>
              </w:rPr>
            </w:pPr>
          </w:p>
        </w:tc>
        <w:tc>
          <w:tcPr>
            <w:tcW w:w="946" w:type="pct"/>
            <w:vMerge w:val="continue"/>
            <w:noWrap w:val="0"/>
            <w:vAlign w:val="center"/>
          </w:tcPr>
          <w:p w14:paraId="472725EE">
            <w:pPr>
              <w:pStyle w:val="27"/>
              <w:rPr>
                <w:rFonts w:ascii="Times New Roman" w:hAnsi="Times New Roman"/>
                <w:color w:val="auto"/>
                <w:highlight w:val="none"/>
              </w:rPr>
            </w:pPr>
          </w:p>
        </w:tc>
        <w:tc>
          <w:tcPr>
            <w:tcW w:w="704" w:type="pct"/>
            <w:vMerge w:val="continue"/>
            <w:noWrap w:val="0"/>
            <w:vAlign w:val="center"/>
          </w:tcPr>
          <w:p w14:paraId="1042313A">
            <w:pPr>
              <w:pStyle w:val="27"/>
              <w:rPr>
                <w:rFonts w:hint="default" w:ascii="Times New Roman" w:hAnsi="Times New Roman"/>
                <w:color w:val="auto"/>
                <w:highlight w:val="none"/>
                <w:lang w:val="en-US" w:eastAsia="zh-CN"/>
              </w:rPr>
            </w:pPr>
          </w:p>
        </w:tc>
        <w:tc>
          <w:tcPr>
            <w:tcW w:w="2343" w:type="pct"/>
            <w:noWrap w:val="0"/>
            <w:vAlign w:val="center"/>
          </w:tcPr>
          <w:p w14:paraId="3A54FB69">
            <w:pPr>
              <w:pStyle w:val="27"/>
              <w:rPr>
                <w:rFonts w:hint="eastAsia" w:ascii="Times New Roman" w:hAnsi="Times New Roman"/>
                <w:color w:val="auto"/>
                <w:highlight w:val="none"/>
                <w:lang w:val="en-US" w:eastAsia="zh-CN"/>
              </w:rPr>
            </w:pPr>
            <w:r>
              <w:rPr>
                <w:rFonts w:hint="eastAsia" w:ascii="Times New Roman" w:hAnsi="Times New Roman"/>
                <w:color w:val="auto"/>
                <w:highlight w:val="none"/>
                <w:lang w:val="en-US" w:eastAsia="zh-CN"/>
              </w:rPr>
              <w:t>《声环境质量标准》（GB3096-2008）</w:t>
            </w:r>
          </w:p>
        </w:tc>
      </w:tr>
      <w:tr w14:paraId="4FFE76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425" w:type="pct"/>
            <w:noWrap w:val="0"/>
            <w:vAlign w:val="center"/>
          </w:tcPr>
          <w:p w14:paraId="088F5EB7">
            <w:pPr>
              <w:pStyle w:val="27"/>
              <w:rPr>
                <w:rFonts w:hint="eastAsia" w:ascii="Times New Roman" w:hAnsi="Times New Roman" w:eastAsia="新宋体"/>
                <w:color w:val="auto"/>
                <w:highlight w:val="none"/>
                <w:lang w:val="en-US" w:eastAsia="zh-CN"/>
              </w:rPr>
            </w:pPr>
            <w:r>
              <w:rPr>
                <w:rFonts w:hint="eastAsia" w:ascii="Times New Roman" w:hAnsi="Times New Roman"/>
                <w:color w:val="auto"/>
                <w:highlight w:val="none"/>
                <w:lang w:val="en-US" w:eastAsia="zh-CN"/>
              </w:rPr>
              <w:t>5</w:t>
            </w:r>
          </w:p>
        </w:tc>
        <w:tc>
          <w:tcPr>
            <w:tcW w:w="580" w:type="pct"/>
            <w:noWrap w:val="0"/>
            <w:vAlign w:val="center"/>
          </w:tcPr>
          <w:p w14:paraId="61B59871">
            <w:pPr>
              <w:pStyle w:val="27"/>
              <w:rPr>
                <w:rFonts w:hint="eastAsia" w:ascii="Times New Roman" w:hAnsi="Times New Roman" w:eastAsia="新宋体"/>
                <w:color w:val="auto"/>
                <w:highlight w:val="none"/>
                <w:lang w:val="en-US" w:eastAsia="zh-CN"/>
              </w:rPr>
            </w:pPr>
            <w:r>
              <w:rPr>
                <w:rFonts w:hint="eastAsia" w:ascii="Times New Roman" w:hAnsi="Times New Roman"/>
                <w:color w:val="auto"/>
                <w:highlight w:val="none"/>
                <w:lang w:val="en-US" w:eastAsia="zh-CN"/>
              </w:rPr>
              <w:t>土壤</w:t>
            </w:r>
          </w:p>
        </w:tc>
        <w:tc>
          <w:tcPr>
            <w:tcW w:w="946" w:type="pct"/>
            <w:noWrap w:val="0"/>
            <w:vAlign w:val="center"/>
          </w:tcPr>
          <w:p w14:paraId="4EC53AF0">
            <w:pPr>
              <w:pStyle w:val="27"/>
              <w:rPr>
                <w:rFonts w:hint="default" w:ascii="Times New Roman" w:hAnsi="Times New Roman" w:eastAsia="新宋体"/>
                <w:color w:val="auto"/>
                <w:highlight w:val="none"/>
                <w:lang w:val="en-US" w:eastAsia="zh-CN"/>
              </w:rPr>
            </w:pPr>
            <w:r>
              <w:rPr>
                <w:rFonts w:hint="eastAsia" w:ascii="Times New Roman" w:hAnsi="Times New Roman"/>
                <w:color w:val="auto"/>
                <w:highlight w:val="none"/>
                <w:lang w:val="en-US" w:eastAsia="zh-CN"/>
              </w:rPr>
              <w:t>牡丹江市绥芬河市</w:t>
            </w:r>
          </w:p>
        </w:tc>
        <w:tc>
          <w:tcPr>
            <w:tcW w:w="704" w:type="pct"/>
            <w:noWrap w:val="0"/>
            <w:vAlign w:val="center"/>
          </w:tcPr>
          <w:p w14:paraId="4E4A899C">
            <w:pPr>
              <w:pStyle w:val="27"/>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w:t>
            </w:r>
          </w:p>
        </w:tc>
        <w:tc>
          <w:tcPr>
            <w:tcW w:w="2343" w:type="pct"/>
            <w:noWrap w:val="0"/>
            <w:vAlign w:val="center"/>
          </w:tcPr>
          <w:p w14:paraId="5984F14E">
            <w:pPr>
              <w:pStyle w:val="27"/>
              <w:rPr>
                <w:rFonts w:hint="eastAsia" w:ascii="Times New Roman" w:hAnsi="Times New Roman"/>
                <w:color w:val="auto"/>
                <w:highlight w:val="none"/>
                <w:lang w:val="en-US" w:eastAsia="zh-CN"/>
              </w:rPr>
            </w:pPr>
            <w:r>
              <w:rPr>
                <w:rFonts w:hint="eastAsia" w:ascii="Times New Roman" w:hAnsi="Times New Roman"/>
                <w:color w:val="auto"/>
                <w:highlight w:val="none"/>
              </w:rPr>
              <w:t>居住区土壤环境执行《土壤环境质量 建设用地土壤污染风险管控标准（试行）》（GB36600-2018）中第一类建设用地风险筛选值；项目厂址土壤环境执行《土壤环境质量 建设用地土壤污染风险管控标准（试行）》（GB36600-2018）中第二类建设用地风险筛选值；农田土壤环境执行《土壤环境质量 农用地土壤污染风险管控标准（试行）》（GB15618-2018）风险筛选值</w:t>
            </w:r>
          </w:p>
        </w:tc>
      </w:tr>
    </w:tbl>
    <w:p w14:paraId="0036D252">
      <w:pPr>
        <w:pStyle w:val="5"/>
        <w:bidi w:val="0"/>
        <w:ind w:left="0" w:leftChars="0" w:firstLine="0" w:firstLineChars="0"/>
        <w:rPr>
          <w:rFonts w:hint="eastAsia"/>
          <w:sz w:val="30"/>
          <w:szCs w:val="30"/>
          <w:highlight w:val="none"/>
          <w:lang w:val="en-US" w:eastAsia="zh-CN"/>
        </w:rPr>
      </w:pPr>
      <w:bookmarkStart w:id="42" w:name="_Toc13479"/>
      <w:r>
        <w:rPr>
          <w:rFonts w:hint="default" w:ascii="Times New Roman" w:hAnsi="Times New Roman" w:cs="Times New Roman"/>
          <w:sz w:val="30"/>
          <w:szCs w:val="30"/>
          <w:highlight w:val="none"/>
          <w:lang w:val="en-US" w:eastAsia="zh-CN"/>
        </w:rPr>
        <w:t>2.3.4</w:t>
      </w:r>
      <w:r>
        <w:rPr>
          <w:rFonts w:hint="eastAsia"/>
          <w:sz w:val="30"/>
          <w:szCs w:val="30"/>
          <w:highlight w:val="none"/>
          <w:lang w:val="en-US" w:eastAsia="zh-CN"/>
        </w:rPr>
        <w:t>评价标准</w:t>
      </w:r>
      <w:bookmarkEnd w:id="42"/>
    </w:p>
    <w:p w14:paraId="23C3D632">
      <w:pPr>
        <w:rPr>
          <w:rFonts w:ascii="Times New Roman" w:hAnsi="Times New Roman"/>
          <w:highlight w:val="none"/>
        </w:rPr>
      </w:pPr>
      <w:r>
        <w:rPr>
          <w:rFonts w:ascii="Times New Roman" w:hAnsi="Times New Roman"/>
          <w:highlight w:val="none"/>
        </w:rPr>
        <w:t>（1）环境质量标准</w:t>
      </w:r>
    </w:p>
    <w:p w14:paraId="66E8BF97">
      <w:pPr>
        <w:ind w:firstLine="480"/>
        <w:rPr>
          <w:rFonts w:ascii="Times New Roman" w:hAnsi="Times New Roman"/>
          <w:highlight w:val="none"/>
        </w:rPr>
      </w:pPr>
      <w:r>
        <w:rPr>
          <w:rFonts w:ascii="Times New Roman" w:hAnsi="Times New Roman"/>
          <w:highlight w:val="none"/>
        </w:rPr>
        <w:t>1、环境空气质量标准</w:t>
      </w:r>
    </w:p>
    <w:p w14:paraId="1C857C61">
      <w:pPr>
        <w:keepNext w:val="0"/>
        <w:keepLines w:val="0"/>
        <w:pageBreakBefore w:val="0"/>
        <w:widowControl w:val="0"/>
        <w:kinsoku/>
        <w:wordWrap/>
        <w:overflowPunct/>
        <w:topLinePunct w:val="0"/>
        <w:bidi w:val="0"/>
        <w:snapToGrid/>
        <w:spacing w:line="480" w:lineRule="exact"/>
        <w:jc w:val="center"/>
        <w:textAlignment w:val="auto"/>
        <w:rPr>
          <w:rFonts w:hint="default" w:ascii="Times New Roman" w:hAnsi="Times New Roman" w:eastAsia="黑体" w:cs="Times New Roman"/>
          <w:color w:val="auto"/>
          <w:spacing w:val="0"/>
          <w:sz w:val="24"/>
          <w:szCs w:val="24"/>
          <w:highlight w:val="none"/>
        </w:rPr>
      </w:pPr>
      <w:r>
        <w:rPr>
          <w:rFonts w:hint="default" w:ascii="Times New Roman" w:hAnsi="Times New Roman" w:eastAsia="黑体" w:cs="Times New Roman"/>
          <w:color w:val="auto"/>
          <w:spacing w:val="0"/>
          <w:sz w:val="24"/>
          <w:szCs w:val="24"/>
          <w:highlight w:val="none"/>
        </w:rPr>
        <w:t>表2.3-</w:t>
      </w:r>
      <w:r>
        <w:rPr>
          <w:rFonts w:hint="eastAsia" w:ascii="Times New Roman" w:hAnsi="Times New Roman" w:eastAsia="黑体" w:cs="Times New Roman"/>
          <w:color w:val="auto"/>
          <w:spacing w:val="0"/>
          <w:sz w:val="24"/>
          <w:szCs w:val="24"/>
          <w:highlight w:val="none"/>
        </w:rPr>
        <w:t>5</w:t>
      </w:r>
      <w:r>
        <w:rPr>
          <w:rFonts w:hint="default" w:ascii="Times New Roman" w:hAnsi="Times New Roman" w:eastAsia="黑体" w:cs="Times New Roman"/>
          <w:color w:val="auto"/>
          <w:spacing w:val="0"/>
          <w:sz w:val="24"/>
          <w:szCs w:val="24"/>
          <w:highlight w:val="none"/>
        </w:rPr>
        <w:t>环境空气质量标准  单位：μg/m</w:t>
      </w:r>
      <w:r>
        <w:rPr>
          <w:rFonts w:hint="default" w:ascii="Times New Roman" w:hAnsi="Times New Roman" w:eastAsia="黑体" w:cs="Times New Roman"/>
          <w:color w:val="auto"/>
          <w:spacing w:val="0"/>
          <w:sz w:val="24"/>
          <w:szCs w:val="24"/>
          <w:highlight w:val="none"/>
          <w:vertAlign w:val="superscript"/>
        </w:rPr>
        <w:t>3</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42"/>
        <w:gridCol w:w="1396"/>
        <w:gridCol w:w="2037"/>
        <w:gridCol w:w="1599"/>
        <w:gridCol w:w="2448"/>
      </w:tblGrid>
      <w:tr w14:paraId="0CEE2CA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jc w:val="center"/>
        </w:trPr>
        <w:tc>
          <w:tcPr>
            <w:tcW w:w="611" w:type="pct"/>
            <w:noWrap w:val="0"/>
            <w:vAlign w:val="center"/>
          </w:tcPr>
          <w:p w14:paraId="255526AA">
            <w:pPr>
              <w:pStyle w:val="27"/>
              <w:rPr>
                <w:rFonts w:ascii="Times New Roman" w:hAnsi="Times New Roman"/>
                <w:highlight w:val="none"/>
              </w:rPr>
            </w:pPr>
            <w:r>
              <w:rPr>
                <w:rFonts w:ascii="Times New Roman" w:hAnsi="Times New Roman"/>
                <w:highlight w:val="none"/>
              </w:rPr>
              <w:t>序号</w:t>
            </w:r>
          </w:p>
        </w:tc>
        <w:tc>
          <w:tcPr>
            <w:tcW w:w="819" w:type="pct"/>
            <w:noWrap w:val="0"/>
            <w:vAlign w:val="center"/>
          </w:tcPr>
          <w:p w14:paraId="18650433">
            <w:pPr>
              <w:pStyle w:val="27"/>
              <w:rPr>
                <w:rFonts w:ascii="Times New Roman" w:hAnsi="Times New Roman"/>
                <w:highlight w:val="none"/>
              </w:rPr>
            </w:pPr>
            <w:r>
              <w:rPr>
                <w:rFonts w:ascii="Times New Roman" w:hAnsi="Times New Roman"/>
                <w:highlight w:val="none"/>
              </w:rPr>
              <w:t>污染物</w:t>
            </w:r>
          </w:p>
        </w:tc>
        <w:tc>
          <w:tcPr>
            <w:tcW w:w="1195" w:type="pct"/>
            <w:noWrap w:val="0"/>
            <w:vAlign w:val="center"/>
          </w:tcPr>
          <w:p w14:paraId="2D664237">
            <w:pPr>
              <w:pStyle w:val="27"/>
              <w:rPr>
                <w:rFonts w:ascii="Times New Roman" w:hAnsi="Times New Roman"/>
                <w:highlight w:val="none"/>
              </w:rPr>
            </w:pPr>
            <w:r>
              <w:rPr>
                <w:rFonts w:ascii="Times New Roman" w:hAnsi="Times New Roman"/>
                <w:highlight w:val="none"/>
              </w:rPr>
              <w:t>取值时间</w:t>
            </w:r>
          </w:p>
        </w:tc>
        <w:tc>
          <w:tcPr>
            <w:tcW w:w="938" w:type="pct"/>
            <w:noWrap w:val="0"/>
            <w:vAlign w:val="center"/>
          </w:tcPr>
          <w:p w14:paraId="0723EA8E">
            <w:pPr>
              <w:pStyle w:val="27"/>
              <w:rPr>
                <w:rFonts w:ascii="Times New Roman" w:hAnsi="Times New Roman"/>
                <w:highlight w:val="none"/>
              </w:rPr>
            </w:pPr>
            <w:r>
              <w:rPr>
                <w:rFonts w:ascii="Times New Roman" w:hAnsi="Times New Roman"/>
                <w:highlight w:val="none"/>
              </w:rPr>
              <w:t>浓度限值</w:t>
            </w:r>
          </w:p>
        </w:tc>
        <w:tc>
          <w:tcPr>
            <w:tcW w:w="1436" w:type="pct"/>
            <w:noWrap w:val="0"/>
            <w:vAlign w:val="center"/>
          </w:tcPr>
          <w:p w14:paraId="35E73206">
            <w:pPr>
              <w:pStyle w:val="27"/>
              <w:rPr>
                <w:rFonts w:ascii="Times New Roman" w:hAnsi="Times New Roman"/>
                <w:highlight w:val="none"/>
              </w:rPr>
            </w:pPr>
            <w:r>
              <w:rPr>
                <w:rFonts w:ascii="Times New Roman" w:hAnsi="Times New Roman"/>
                <w:highlight w:val="none"/>
              </w:rPr>
              <w:t>标准来源</w:t>
            </w:r>
          </w:p>
        </w:tc>
      </w:tr>
      <w:tr w14:paraId="436CDB2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11" w:type="pct"/>
            <w:vMerge w:val="restart"/>
            <w:noWrap w:val="0"/>
            <w:vAlign w:val="center"/>
          </w:tcPr>
          <w:p w14:paraId="72C90799">
            <w:pPr>
              <w:pStyle w:val="27"/>
              <w:rPr>
                <w:rFonts w:ascii="Times New Roman" w:hAnsi="Times New Roman"/>
                <w:highlight w:val="none"/>
              </w:rPr>
            </w:pPr>
            <w:r>
              <w:rPr>
                <w:rFonts w:ascii="Times New Roman" w:hAnsi="Times New Roman"/>
                <w:highlight w:val="none"/>
              </w:rPr>
              <w:t>1</w:t>
            </w:r>
          </w:p>
        </w:tc>
        <w:tc>
          <w:tcPr>
            <w:tcW w:w="819" w:type="pct"/>
            <w:vMerge w:val="restart"/>
            <w:noWrap w:val="0"/>
            <w:vAlign w:val="center"/>
          </w:tcPr>
          <w:p w14:paraId="0621C8B4">
            <w:pPr>
              <w:pStyle w:val="27"/>
              <w:rPr>
                <w:rFonts w:ascii="Times New Roman" w:hAnsi="Times New Roman"/>
                <w:highlight w:val="none"/>
              </w:rPr>
            </w:pPr>
            <w:r>
              <w:rPr>
                <w:rFonts w:ascii="Times New Roman" w:hAnsi="Times New Roman"/>
                <w:highlight w:val="none"/>
              </w:rPr>
              <w:t>SO</w:t>
            </w:r>
            <w:r>
              <w:rPr>
                <w:rFonts w:ascii="Times New Roman" w:hAnsi="Times New Roman"/>
                <w:highlight w:val="none"/>
                <w:vertAlign w:val="subscript"/>
              </w:rPr>
              <w:t>2</w:t>
            </w:r>
          </w:p>
        </w:tc>
        <w:tc>
          <w:tcPr>
            <w:tcW w:w="1195" w:type="pct"/>
            <w:noWrap w:val="0"/>
            <w:vAlign w:val="center"/>
          </w:tcPr>
          <w:p w14:paraId="40D74581">
            <w:pPr>
              <w:pStyle w:val="27"/>
              <w:rPr>
                <w:rFonts w:ascii="Times New Roman" w:hAnsi="Times New Roman"/>
                <w:highlight w:val="none"/>
              </w:rPr>
            </w:pPr>
            <w:r>
              <w:rPr>
                <w:rFonts w:ascii="Times New Roman" w:hAnsi="Times New Roman"/>
                <w:highlight w:val="none"/>
              </w:rPr>
              <w:t>年平均</w:t>
            </w:r>
          </w:p>
        </w:tc>
        <w:tc>
          <w:tcPr>
            <w:tcW w:w="938" w:type="pct"/>
            <w:noWrap w:val="0"/>
            <w:vAlign w:val="center"/>
          </w:tcPr>
          <w:p w14:paraId="6F7CD635">
            <w:pPr>
              <w:pStyle w:val="27"/>
              <w:rPr>
                <w:rFonts w:ascii="Times New Roman" w:hAnsi="Times New Roman"/>
                <w:highlight w:val="none"/>
              </w:rPr>
            </w:pPr>
            <w:r>
              <w:rPr>
                <w:rFonts w:ascii="Times New Roman" w:hAnsi="Times New Roman"/>
                <w:highlight w:val="none"/>
              </w:rPr>
              <w:t>60</w:t>
            </w:r>
          </w:p>
        </w:tc>
        <w:tc>
          <w:tcPr>
            <w:tcW w:w="1436" w:type="pct"/>
            <w:vMerge w:val="restart"/>
            <w:noWrap w:val="0"/>
            <w:vAlign w:val="center"/>
          </w:tcPr>
          <w:p w14:paraId="0544454F">
            <w:pPr>
              <w:pStyle w:val="27"/>
              <w:rPr>
                <w:rFonts w:ascii="Times New Roman" w:hAnsi="Times New Roman"/>
                <w:highlight w:val="none"/>
              </w:rPr>
            </w:pPr>
            <w:r>
              <w:rPr>
                <w:rFonts w:ascii="Times New Roman" w:hAnsi="Times New Roman"/>
                <w:highlight w:val="none"/>
              </w:rPr>
              <w:t>《环境空气质量标准》</w:t>
            </w:r>
          </w:p>
          <w:p w14:paraId="08D5F8B9">
            <w:pPr>
              <w:pStyle w:val="27"/>
              <w:rPr>
                <w:rFonts w:ascii="Times New Roman" w:hAnsi="Times New Roman"/>
                <w:highlight w:val="none"/>
              </w:rPr>
            </w:pPr>
            <w:r>
              <w:rPr>
                <w:rFonts w:ascii="Times New Roman" w:hAnsi="Times New Roman"/>
                <w:highlight w:val="none"/>
              </w:rPr>
              <w:t>（GB3095-2012）二级标准</w:t>
            </w:r>
          </w:p>
        </w:tc>
      </w:tr>
      <w:tr w14:paraId="713A019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11" w:type="pct"/>
            <w:vMerge w:val="continue"/>
            <w:noWrap w:val="0"/>
            <w:vAlign w:val="center"/>
          </w:tcPr>
          <w:p w14:paraId="6904A023">
            <w:pPr>
              <w:pStyle w:val="27"/>
              <w:rPr>
                <w:rFonts w:ascii="Times New Roman" w:hAnsi="Times New Roman"/>
                <w:highlight w:val="none"/>
              </w:rPr>
            </w:pPr>
          </w:p>
        </w:tc>
        <w:tc>
          <w:tcPr>
            <w:tcW w:w="819" w:type="pct"/>
            <w:vMerge w:val="continue"/>
            <w:noWrap w:val="0"/>
            <w:vAlign w:val="center"/>
          </w:tcPr>
          <w:p w14:paraId="727977C5">
            <w:pPr>
              <w:pStyle w:val="27"/>
              <w:rPr>
                <w:rFonts w:ascii="Times New Roman" w:hAnsi="Times New Roman"/>
                <w:highlight w:val="none"/>
              </w:rPr>
            </w:pPr>
          </w:p>
        </w:tc>
        <w:tc>
          <w:tcPr>
            <w:tcW w:w="1195" w:type="pct"/>
            <w:noWrap w:val="0"/>
            <w:vAlign w:val="center"/>
          </w:tcPr>
          <w:p w14:paraId="3B0F2DC0">
            <w:pPr>
              <w:pStyle w:val="27"/>
              <w:rPr>
                <w:rFonts w:ascii="Times New Roman" w:hAnsi="Times New Roman"/>
                <w:highlight w:val="none"/>
              </w:rPr>
            </w:pPr>
            <w:r>
              <w:rPr>
                <w:rFonts w:ascii="Times New Roman" w:hAnsi="Times New Roman"/>
                <w:highlight w:val="none"/>
              </w:rPr>
              <w:t>24小时平均</w:t>
            </w:r>
          </w:p>
        </w:tc>
        <w:tc>
          <w:tcPr>
            <w:tcW w:w="938" w:type="pct"/>
            <w:noWrap w:val="0"/>
            <w:vAlign w:val="center"/>
          </w:tcPr>
          <w:p w14:paraId="108B84E5">
            <w:pPr>
              <w:pStyle w:val="27"/>
              <w:rPr>
                <w:rFonts w:ascii="Times New Roman" w:hAnsi="Times New Roman"/>
                <w:highlight w:val="none"/>
              </w:rPr>
            </w:pPr>
            <w:r>
              <w:rPr>
                <w:rFonts w:ascii="Times New Roman" w:hAnsi="Times New Roman"/>
                <w:highlight w:val="none"/>
              </w:rPr>
              <w:t>150</w:t>
            </w:r>
          </w:p>
        </w:tc>
        <w:tc>
          <w:tcPr>
            <w:tcW w:w="1436" w:type="pct"/>
            <w:vMerge w:val="continue"/>
            <w:noWrap w:val="0"/>
            <w:vAlign w:val="center"/>
          </w:tcPr>
          <w:p w14:paraId="3650B8EE">
            <w:pPr>
              <w:pStyle w:val="27"/>
              <w:rPr>
                <w:rFonts w:ascii="Times New Roman" w:hAnsi="Times New Roman"/>
                <w:highlight w:val="none"/>
              </w:rPr>
            </w:pPr>
          </w:p>
        </w:tc>
      </w:tr>
      <w:tr w14:paraId="5548F5F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11" w:type="pct"/>
            <w:vMerge w:val="continue"/>
            <w:noWrap w:val="0"/>
            <w:vAlign w:val="center"/>
          </w:tcPr>
          <w:p w14:paraId="3E2D0B5D">
            <w:pPr>
              <w:pStyle w:val="27"/>
              <w:rPr>
                <w:rFonts w:ascii="Times New Roman" w:hAnsi="Times New Roman"/>
                <w:highlight w:val="none"/>
              </w:rPr>
            </w:pPr>
          </w:p>
        </w:tc>
        <w:tc>
          <w:tcPr>
            <w:tcW w:w="819" w:type="pct"/>
            <w:vMerge w:val="continue"/>
            <w:noWrap w:val="0"/>
            <w:vAlign w:val="center"/>
          </w:tcPr>
          <w:p w14:paraId="3C1FF6AE">
            <w:pPr>
              <w:pStyle w:val="27"/>
              <w:rPr>
                <w:rFonts w:ascii="Times New Roman" w:hAnsi="Times New Roman"/>
                <w:highlight w:val="none"/>
              </w:rPr>
            </w:pPr>
          </w:p>
        </w:tc>
        <w:tc>
          <w:tcPr>
            <w:tcW w:w="1195" w:type="pct"/>
            <w:noWrap w:val="0"/>
            <w:vAlign w:val="center"/>
          </w:tcPr>
          <w:p w14:paraId="53028E07">
            <w:pPr>
              <w:pStyle w:val="27"/>
              <w:rPr>
                <w:rFonts w:ascii="Times New Roman" w:hAnsi="Times New Roman"/>
                <w:highlight w:val="none"/>
              </w:rPr>
            </w:pPr>
            <w:r>
              <w:rPr>
                <w:rFonts w:ascii="Times New Roman" w:hAnsi="Times New Roman"/>
                <w:highlight w:val="none"/>
              </w:rPr>
              <w:t>1小时平均</w:t>
            </w:r>
          </w:p>
        </w:tc>
        <w:tc>
          <w:tcPr>
            <w:tcW w:w="938" w:type="pct"/>
            <w:noWrap w:val="0"/>
            <w:vAlign w:val="center"/>
          </w:tcPr>
          <w:p w14:paraId="188902D7">
            <w:pPr>
              <w:pStyle w:val="27"/>
              <w:rPr>
                <w:rFonts w:ascii="Times New Roman" w:hAnsi="Times New Roman"/>
                <w:highlight w:val="none"/>
              </w:rPr>
            </w:pPr>
            <w:r>
              <w:rPr>
                <w:rFonts w:ascii="Times New Roman" w:hAnsi="Times New Roman"/>
                <w:highlight w:val="none"/>
              </w:rPr>
              <w:t>500</w:t>
            </w:r>
          </w:p>
        </w:tc>
        <w:tc>
          <w:tcPr>
            <w:tcW w:w="1436" w:type="pct"/>
            <w:vMerge w:val="continue"/>
            <w:noWrap w:val="0"/>
            <w:vAlign w:val="center"/>
          </w:tcPr>
          <w:p w14:paraId="43E02AD0">
            <w:pPr>
              <w:pStyle w:val="27"/>
              <w:rPr>
                <w:rFonts w:ascii="Times New Roman" w:hAnsi="Times New Roman"/>
                <w:highlight w:val="none"/>
              </w:rPr>
            </w:pPr>
          </w:p>
        </w:tc>
      </w:tr>
      <w:tr w14:paraId="3A7360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11" w:type="pct"/>
            <w:vMerge w:val="restart"/>
            <w:noWrap w:val="0"/>
            <w:vAlign w:val="center"/>
          </w:tcPr>
          <w:p w14:paraId="2D8614CE">
            <w:pPr>
              <w:pStyle w:val="27"/>
              <w:rPr>
                <w:rFonts w:ascii="Times New Roman" w:hAnsi="Times New Roman"/>
                <w:highlight w:val="none"/>
              </w:rPr>
            </w:pPr>
            <w:r>
              <w:rPr>
                <w:rFonts w:ascii="Times New Roman" w:hAnsi="Times New Roman"/>
                <w:highlight w:val="none"/>
              </w:rPr>
              <w:t>2</w:t>
            </w:r>
          </w:p>
        </w:tc>
        <w:tc>
          <w:tcPr>
            <w:tcW w:w="819" w:type="pct"/>
            <w:vMerge w:val="restart"/>
            <w:noWrap w:val="0"/>
            <w:vAlign w:val="center"/>
          </w:tcPr>
          <w:p w14:paraId="41B7C857">
            <w:pPr>
              <w:pStyle w:val="27"/>
              <w:rPr>
                <w:rFonts w:ascii="Times New Roman" w:hAnsi="Times New Roman"/>
                <w:highlight w:val="none"/>
              </w:rPr>
            </w:pPr>
            <w:r>
              <w:rPr>
                <w:rFonts w:ascii="Times New Roman" w:hAnsi="Times New Roman"/>
                <w:highlight w:val="none"/>
              </w:rPr>
              <w:t>PM</w:t>
            </w:r>
            <w:r>
              <w:rPr>
                <w:rFonts w:ascii="Times New Roman" w:hAnsi="Times New Roman"/>
                <w:highlight w:val="none"/>
                <w:vertAlign w:val="subscript"/>
              </w:rPr>
              <w:t>10</w:t>
            </w:r>
          </w:p>
        </w:tc>
        <w:tc>
          <w:tcPr>
            <w:tcW w:w="1195" w:type="pct"/>
            <w:noWrap w:val="0"/>
            <w:vAlign w:val="center"/>
          </w:tcPr>
          <w:p w14:paraId="58A3F092">
            <w:pPr>
              <w:pStyle w:val="27"/>
              <w:rPr>
                <w:rFonts w:ascii="Times New Roman" w:hAnsi="Times New Roman"/>
                <w:highlight w:val="none"/>
              </w:rPr>
            </w:pPr>
            <w:r>
              <w:rPr>
                <w:rFonts w:ascii="Times New Roman" w:hAnsi="Times New Roman"/>
                <w:highlight w:val="none"/>
              </w:rPr>
              <w:t>年平均</w:t>
            </w:r>
          </w:p>
        </w:tc>
        <w:tc>
          <w:tcPr>
            <w:tcW w:w="938" w:type="pct"/>
            <w:noWrap w:val="0"/>
            <w:vAlign w:val="center"/>
          </w:tcPr>
          <w:p w14:paraId="6E0AF4A7">
            <w:pPr>
              <w:pStyle w:val="27"/>
              <w:rPr>
                <w:rFonts w:ascii="Times New Roman" w:hAnsi="Times New Roman"/>
                <w:highlight w:val="none"/>
              </w:rPr>
            </w:pPr>
            <w:r>
              <w:rPr>
                <w:rFonts w:ascii="Times New Roman" w:hAnsi="Times New Roman"/>
                <w:highlight w:val="none"/>
              </w:rPr>
              <w:t>70</w:t>
            </w:r>
          </w:p>
        </w:tc>
        <w:tc>
          <w:tcPr>
            <w:tcW w:w="1436" w:type="pct"/>
            <w:vMerge w:val="continue"/>
            <w:noWrap w:val="0"/>
            <w:vAlign w:val="center"/>
          </w:tcPr>
          <w:p w14:paraId="55C3FC5C">
            <w:pPr>
              <w:pStyle w:val="27"/>
              <w:rPr>
                <w:rFonts w:ascii="Times New Roman" w:hAnsi="Times New Roman"/>
                <w:highlight w:val="none"/>
              </w:rPr>
            </w:pPr>
          </w:p>
        </w:tc>
      </w:tr>
      <w:tr w14:paraId="2D86033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11" w:type="pct"/>
            <w:vMerge w:val="continue"/>
            <w:noWrap w:val="0"/>
            <w:vAlign w:val="center"/>
          </w:tcPr>
          <w:p w14:paraId="43E79BFA">
            <w:pPr>
              <w:pStyle w:val="27"/>
              <w:rPr>
                <w:rFonts w:ascii="Times New Roman" w:hAnsi="Times New Roman"/>
                <w:highlight w:val="none"/>
              </w:rPr>
            </w:pPr>
          </w:p>
        </w:tc>
        <w:tc>
          <w:tcPr>
            <w:tcW w:w="819" w:type="pct"/>
            <w:vMerge w:val="continue"/>
            <w:noWrap w:val="0"/>
            <w:vAlign w:val="center"/>
          </w:tcPr>
          <w:p w14:paraId="748D9A32">
            <w:pPr>
              <w:pStyle w:val="27"/>
              <w:rPr>
                <w:rFonts w:ascii="Times New Roman" w:hAnsi="Times New Roman"/>
                <w:highlight w:val="none"/>
              </w:rPr>
            </w:pPr>
          </w:p>
        </w:tc>
        <w:tc>
          <w:tcPr>
            <w:tcW w:w="1195" w:type="pct"/>
            <w:noWrap w:val="0"/>
            <w:vAlign w:val="center"/>
          </w:tcPr>
          <w:p w14:paraId="762FE449">
            <w:pPr>
              <w:pStyle w:val="27"/>
              <w:rPr>
                <w:rFonts w:ascii="Times New Roman" w:hAnsi="Times New Roman"/>
                <w:highlight w:val="none"/>
              </w:rPr>
            </w:pPr>
            <w:r>
              <w:rPr>
                <w:rFonts w:ascii="Times New Roman" w:hAnsi="Times New Roman"/>
                <w:highlight w:val="none"/>
              </w:rPr>
              <w:t>24小时平均</w:t>
            </w:r>
          </w:p>
        </w:tc>
        <w:tc>
          <w:tcPr>
            <w:tcW w:w="938" w:type="pct"/>
            <w:noWrap w:val="0"/>
            <w:vAlign w:val="center"/>
          </w:tcPr>
          <w:p w14:paraId="66401045">
            <w:pPr>
              <w:pStyle w:val="27"/>
              <w:rPr>
                <w:rFonts w:ascii="Times New Roman" w:hAnsi="Times New Roman"/>
                <w:highlight w:val="none"/>
              </w:rPr>
            </w:pPr>
            <w:r>
              <w:rPr>
                <w:rFonts w:ascii="Times New Roman" w:hAnsi="Times New Roman"/>
                <w:highlight w:val="none"/>
              </w:rPr>
              <w:t>150</w:t>
            </w:r>
          </w:p>
        </w:tc>
        <w:tc>
          <w:tcPr>
            <w:tcW w:w="1436" w:type="pct"/>
            <w:vMerge w:val="continue"/>
            <w:noWrap w:val="0"/>
            <w:vAlign w:val="center"/>
          </w:tcPr>
          <w:p w14:paraId="1460BF27">
            <w:pPr>
              <w:pStyle w:val="27"/>
              <w:rPr>
                <w:rFonts w:ascii="Times New Roman" w:hAnsi="Times New Roman"/>
                <w:highlight w:val="none"/>
              </w:rPr>
            </w:pPr>
          </w:p>
        </w:tc>
      </w:tr>
      <w:tr w14:paraId="09DA0B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11" w:type="pct"/>
            <w:vMerge w:val="restart"/>
            <w:noWrap w:val="0"/>
            <w:vAlign w:val="center"/>
          </w:tcPr>
          <w:p w14:paraId="1F79D090">
            <w:pPr>
              <w:pStyle w:val="27"/>
              <w:rPr>
                <w:rFonts w:ascii="Times New Roman" w:hAnsi="Times New Roman"/>
                <w:highlight w:val="none"/>
              </w:rPr>
            </w:pPr>
            <w:r>
              <w:rPr>
                <w:rFonts w:ascii="Times New Roman" w:hAnsi="Times New Roman"/>
                <w:highlight w:val="none"/>
              </w:rPr>
              <w:t>3</w:t>
            </w:r>
          </w:p>
        </w:tc>
        <w:tc>
          <w:tcPr>
            <w:tcW w:w="819" w:type="pct"/>
            <w:vMerge w:val="restart"/>
            <w:noWrap w:val="0"/>
            <w:vAlign w:val="center"/>
          </w:tcPr>
          <w:p w14:paraId="12CBE7EA">
            <w:pPr>
              <w:pStyle w:val="27"/>
              <w:rPr>
                <w:rFonts w:ascii="Times New Roman" w:hAnsi="Times New Roman"/>
                <w:highlight w:val="none"/>
              </w:rPr>
            </w:pPr>
            <w:r>
              <w:rPr>
                <w:rFonts w:ascii="Times New Roman" w:hAnsi="Times New Roman"/>
                <w:highlight w:val="none"/>
              </w:rPr>
              <w:t>NO</w:t>
            </w:r>
            <w:r>
              <w:rPr>
                <w:rFonts w:ascii="Times New Roman" w:hAnsi="Times New Roman"/>
                <w:highlight w:val="none"/>
                <w:vertAlign w:val="subscript"/>
              </w:rPr>
              <w:t>2</w:t>
            </w:r>
          </w:p>
        </w:tc>
        <w:tc>
          <w:tcPr>
            <w:tcW w:w="1195" w:type="pct"/>
            <w:noWrap w:val="0"/>
            <w:vAlign w:val="center"/>
          </w:tcPr>
          <w:p w14:paraId="01D34F42">
            <w:pPr>
              <w:pStyle w:val="27"/>
              <w:rPr>
                <w:rFonts w:ascii="Times New Roman" w:hAnsi="Times New Roman"/>
                <w:highlight w:val="none"/>
              </w:rPr>
            </w:pPr>
            <w:r>
              <w:rPr>
                <w:rFonts w:ascii="Times New Roman" w:hAnsi="Times New Roman"/>
                <w:highlight w:val="none"/>
              </w:rPr>
              <w:t>年平均</w:t>
            </w:r>
          </w:p>
        </w:tc>
        <w:tc>
          <w:tcPr>
            <w:tcW w:w="938" w:type="pct"/>
            <w:noWrap w:val="0"/>
            <w:vAlign w:val="center"/>
          </w:tcPr>
          <w:p w14:paraId="7A4B3CDA">
            <w:pPr>
              <w:pStyle w:val="27"/>
              <w:rPr>
                <w:rFonts w:ascii="Times New Roman" w:hAnsi="Times New Roman"/>
                <w:highlight w:val="none"/>
              </w:rPr>
            </w:pPr>
            <w:r>
              <w:rPr>
                <w:rFonts w:ascii="Times New Roman" w:hAnsi="Times New Roman"/>
                <w:highlight w:val="none"/>
              </w:rPr>
              <w:t>40</w:t>
            </w:r>
          </w:p>
        </w:tc>
        <w:tc>
          <w:tcPr>
            <w:tcW w:w="1436" w:type="pct"/>
            <w:vMerge w:val="continue"/>
            <w:noWrap w:val="0"/>
            <w:vAlign w:val="center"/>
          </w:tcPr>
          <w:p w14:paraId="4EB02A55">
            <w:pPr>
              <w:pStyle w:val="27"/>
              <w:rPr>
                <w:rFonts w:ascii="Times New Roman" w:hAnsi="Times New Roman"/>
                <w:highlight w:val="none"/>
              </w:rPr>
            </w:pPr>
          </w:p>
        </w:tc>
      </w:tr>
      <w:tr w14:paraId="4C12F4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11" w:type="pct"/>
            <w:vMerge w:val="continue"/>
            <w:noWrap w:val="0"/>
            <w:vAlign w:val="center"/>
          </w:tcPr>
          <w:p w14:paraId="67DB5F13">
            <w:pPr>
              <w:pStyle w:val="27"/>
              <w:rPr>
                <w:rFonts w:ascii="Times New Roman" w:hAnsi="Times New Roman"/>
                <w:highlight w:val="none"/>
              </w:rPr>
            </w:pPr>
          </w:p>
        </w:tc>
        <w:tc>
          <w:tcPr>
            <w:tcW w:w="819" w:type="pct"/>
            <w:vMerge w:val="continue"/>
            <w:noWrap w:val="0"/>
            <w:vAlign w:val="center"/>
          </w:tcPr>
          <w:p w14:paraId="4A7419E2">
            <w:pPr>
              <w:pStyle w:val="27"/>
              <w:rPr>
                <w:rFonts w:ascii="Times New Roman" w:hAnsi="Times New Roman"/>
                <w:highlight w:val="none"/>
              </w:rPr>
            </w:pPr>
          </w:p>
        </w:tc>
        <w:tc>
          <w:tcPr>
            <w:tcW w:w="1195" w:type="pct"/>
            <w:noWrap w:val="0"/>
            <w:vAlign w:val="center"/>
          </w:tcPr>
          <w:p w14:paraId="7980851E">
            <w:pPr>
              <w:pStyle w:val="27"/>
              <w:rPr>
                <w:rFonts w:ascii="Times New Roman" w:hAnsi="Times New Roman"/>
                <w:highlight w:val="none"/>
              </w:rPr>
            </w:pPr>
            <w:r>
              <w:rPr>
                <w:rFonts w:ascii="Times New Roman" w:hAnsi="Times New Roman"/>
                <w:highlight w:val="none"/>
              </w:rPr>
              <w:t>24小时平均</w:t>
            </w:r>
          </w:p>
        </w:tc>
        <w:tc>
          <w:tcPr>
            <w:tcW w:w="938" w:type="pct"/>
            <w:noWrap w:val="0"/>
            <w:vAlign w:val="center"/>
          </w:tcPr>
          <w:p w14:paraId="397FE66D">
            <w:pPr>
              <w:pStyle w:val="27"/>
              <w:rPr>
                <w:rFonts w:ascii="Times New Roman" w:hAnsi="Times New Roman"/>
                <w:highlight w:val="none"/>
              </w:rPr>
            </w:pPr>
            <w:r>
              <w:rPr>
                <w:rFonts w:ascii="Times New Roman" w:hAnsi="Times New Roman"/>
                <w:highlight w:val="none"/>
              </w:rPr>
              <w:t>80</w:t>
            </w:r>
          </w:p>
        </w:tc>
        <w:tc>
          <w:tcPr>
            <w:tcW w:w="1436" w:type="pct"/>
            <w:vMerge w:val="continue"/>
            <w:noWrap w:val="0"/>
            <w:vAlign w:val="center"/>
          </w:tcPr>
          <w:p w14:paraId="000B0056">
            <w:pPr>
              <w:pStyle w:val="27"/>
              <w:rPr>
                <w:rFonts w:ascii="Times New Roman" w:hAnsi="Times New Roman"/>
                <w:highlight w:val="none"/>
              </w:rPr>
            </w:pPr>
          </w:p>
        </w:tc>
      </w:tr>
      <w:tr w14:paraId="34876DE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11" w:type="pct"/>
            <w:vMerge w:val="continue"/>
            <w:noWrap w:val="0"/>
            <w:vAlign w:val="center"/>
          </w:tcPr>
          <w:p w14:paraId="21C90EAC">
            <w:pPr>
              <w:pStyle w:val="27"/>
              <w:rPr>
                <w:rFonts w:ascii="Times New Roman" w:hAnsi="Times New Roman"/>
                <w:highlight w:val="none"/>
              </w:rPr>
            </w:pPr>
          </w:p>
        </w:tc>
        <w:tc>
          <w:tcPr>
            <w:tcW w:w="819" w:type="pct"/>
            <w:vMerge w:val="continue"/>
            <w:noWrap w:val="0"/>
            <w:vAlign w:val="center"/>
          </w:tcPr>
          <w:p w14:paraId="29F9F04A">
            <w:pPr>
              <w:pStyle w:val="27"/>
              <w:rPr>
                <w:rFonts w:ascii="Times New Roman" w:hAnsi="Times New Roman"/>
                <w:highlight w:val="none"/>
              </w:rPr>
            </w:pPr>
          </w:p>
        </w:tc>
        <w:tc>
          <w:tcPr>
            <w:tcW w:w="1195" w:type="pct"/>
            <w:noWrap w:val="0"/>
            <w:vAlign w:val="center"/>
          </w:tcPr>
          <w:p w14:paraId="2388E2FF">
            <w:pPr>
              <w:pStyle w:val="27"/>
              <w:rPr>
                <w:rFonts w:ascii="Times New Roman" w:hAnsi="Times New Roman"/>
                <w:highlight w:val="none"/>
              </w:rPr>
            </w:pPr>
            <w:r>
              <w:rPr>
                <w:rFonts w:ascii="Times New Roman" w:hAnsi="Times New Roman"/>
                <w:highlight w:val="none"/>
              </w:rPr>
              <w:t>1小时平均</w:t>
            </w:r>
          </w:p>
        </w:tc>
        <w:tc>
          <w:tcPr>
            <w:tcW w:w="938" w:type="pct"/>
            <w:noWrap w:val="0"/>
            <w:vAlign w:val="center"/>
          </w:tcPr>
          <w:p w14:paraId="38ADA0E8">
            <w:pPr>
              <w:pStyle w:val="27"/>
              <w:rPr>
                <w:rFonts w:ascii="Times New Roman" w:hAnsi="Times New Roman"/>
                <w:highlight w:val="none"/>
              </w:rPr>
            </w:pPr>
            <w:r>
              <w:rPr>
                <w:rFonts w:ascii="Times New Roman" w:hAnsi="Times New Roman"/>
                <w:highlight w:val="none"/>
              </w:rPr>
              <w:t>200</w:t>
            </w:r>
          </w:p>
        </w:tc>
        <w:tc>
          <w:tcPr>
            <w:tcW w:w="1436" w:type="pct"/>
            <w:vMerge w:val="continue"/>
            <w:noWrap w:val="0"/>
            <w:vAlign w:val="center"/>
          </w:tcPr>
          <w:p w14:paraId="31D3EEF3">
            <w:pPr>
              <w:pStyle w:val="27"/>
              <w:rPr>
                <w:rFonts w:ascii="Times New Roman" w:hAnsi="Times New Roman"/>
                <w:highlight w:val="none"/>
              </w:rPr>
            </w:pPr>
          </w:p>
        </w:tc>
      </w:tr>
      <w:tr w14:paraId="79412F7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11" w:type="pct"/>
            <w:vMerge w:val="restart"/>
            <w:noWrap w:val="0"/>
            <w:vAlign w:val="center"/>
          </w:tcPr>
          <w:p w14:paraId="7E0DECDB">
            <w:pPr>
              <w:pStyle w:val="27"/>
              <w:rPr>
                <w:rFonts w:ascii="Times New Roman" w:hAnsi="Times New Roman"/>
                <w:highlight w:val="none"/>
              </w:rPr>
            </w:pPr>
            <w:r>
              <w:rPr>
                <w:rFonts w:ascii="Times New Roman" w:hAnsi="Times New Roman"/>
                <w:highlight w:val="none"/>
              </w:rPr>
              <w:t>4</w:t>
            </w:r>
          </w:p>
        </w:tc>
        <w:tc>
          <w:tcPr>
            <w:tcW w:w="819" w:type="pct"/>
            <w:vMerge w:val="restart"/>
            <w:noWrap w:val="0"/>
            <w:vAlign w:val="center"/>
          </w:tcPr>
          <w:p w14:paraId="3D880160">
            <w:pPr>
              <w:pStyle w:val="27"/>
              <w:rPr>
                <w:rFonts w:ascii="Times New Roman" w:hAnsi="Times New Roman"/>
                <w:highlight w:val="none"/>
              </w:rPr>
            </w:pPr>
            <w:r>
              <w:rPr>
                <w:rFonts w:ascii="Times New Roman" w:hAnsi="Times New Roman"/>
                <w:highlight w:val="none"/>
              </w:rPr>
              <w:t>PM</w:t>
            </w:r>
            <w:r>
              <w:rPr>
                <w:rFonts w:ascii="Times New Roman" w:hAnsi="Times New Roman"/>
                <w:highlight w:val="none"/>
                <w:vertAlign w:val="subscript"/>
              </w:rPr>
              <w:t>2.5</w:t>
            </w:r>
          </w:p>
        </w:tc>
        <w:tc>
          <w:tcPr>
            <w:tcW w:w="1195" w:type="pct"/>
            <w:noWrap w:val="0"/>
            <w:vAlign w:val="center"/>
          </w:tcPr>
          <w:p w14:paraId="01A62112">
            <w:pPr>
              <w:pStyle w:val="27"/>
              <w:rPr>
                <w:rFonts w:ascii="Times New Roman" w:hAnsi="Times New Roman"/>
                <w:highlight w:val="none"/>
              </w:rPr>
            </w:pPr>
            <w:r>
              <w:rPr>
                <w:rFonts w:ascii="Times New Roman" w:hAnsi="Times New Roman"/>
                <w:highlight w:val="none"/>
              </w:rPr>
              <w:t>年平均</w:t>
            </w:r>
          </w:p>
        </w:tc>
        <w:tc>
          <w:tcPr>
            <w:tcW w:w="938" w:type="pct"/>
            <w:noWrap w:val="0"/>
            <w:vAlign w:val="center"/>
          </w:tcPr>
          <w:p w14:paraId="06E4ED98">
            <w:pPr>
              <w:pStyle w:val="27"/>
              <w:rPr>
                <w:rFonts w:ascii="Times New Roman" w:hAnsi="Times New Roman"/>
                <w:highlight w:val="none"/>
              </w:rPr>
            </w:pPr>
            <w:r>
              <w:rPr>
                <w:rFonts w:ascii="Times New Roman" w:hAnsi="Times New Roman"/>
                <w:highlight w:val="none"/>
              </w:rPr>
              <w:t>35</w:t>
            </w:r>
          </w:p>
        </w:tc>
        <w:tc>
          <w:tcPr>
            <w:tcW w:w="1436" w:type="pct"/>
            <w:vMerge w:val="continue"/>
            <w:noWrap w:val="0"/>
            <w:vAlign w:val="center"/>
          </w:tcPr>
          <w:p w14:paraId="0B9B0D64">
            <w:pPr>
              <w:pStyle w:val="27"/>
              <w:rPr>
                <w:rFonts w:ascii="Times New Roman" w:hAnsi="Times New Roman"/>
                <w:highlight w:val="none"/>
              </w:rPr>
            </w:pPr>
          </w:p>
        </w:tc>
      </w:tr>
      <w:tr w14:paraId="0FA2078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11" w:type="pct"/>
            <w:vMerge w:val="continue"/>
            <w:noWrap w:val="0"/>
            <w:vAlign w:val="center"/>
          </w:tcPr>
          <w:p w14:paraId="406C8E66">
            <w:pPr>
              <w:pStyle w:val="27"/>
              <w:rPr>
                <w:rFonts w:ascii="Times New Roman" w:hAnsi="Times New Roman"/>
                <w:highlight w:val="none"/>
              </w:rPr>
            </w:pPr>
          </w:p>
        </w:tc>
        <w:tc>
          <w:tcPr>
            <w:tcW w:w="819" w:type="pct"/>
            <w:vMerge w:val="continue"/>
            <w:noWrap w:val="0"/>
            <w:vAlign w:val="center"/>
          </w:tcPr>
          <w:p w14:paraId="0F182C9D">
            <w:pPr>
              <w:pStyle w:val="27"/>
              <w:rPr>
                <w:rFonts w:ascii="Times New Roman" w:hAnsi="Times New Roman"/>
                <w:highlight w:val="none"/>
              </w:rPr>
            </w:pPr>
          </w:p>
        </w:tc>
        <w:tc>
          <w:tcPr>
            <w:tcW w:w="1195" w:type="pct"/>
            <w:noWrap w:val="0"/>
            <w:vAlign w:val="center"/>
          </w:tcPr>
          <w:p w14:paraId="4B217855">
            <w:pPr>
              <w:pStyle w:val="27"/>
              <w:rPr>
                <w:rFonts w:ascii="Times New Roman" w:hAnsi="Times New Roman"/>
                <w:highlight w:val="none"/>
              </w:rPr>
            </w:pPr>
            <w:r>
              <w:rPr>
                <w:rFonts w:ascii="Times New Roman" w:hAnsi="Times New Roman"/>
                <w:highlight w:val="none"/>
              </w:rPr>
              <w:t>24小时平均</w:t>
            </w:r>
          </w:p>
        </w:tc>
        <w:tc>
          <w:tcPr>
            <w:tcW w:w="938" w:type="pct"/>
            <w:noWrap w:val="0"/>
            <w:vAlign w:val="center"/>
          </w:tcPr>
          <w:p w14:paraId="35F22E87">
            <w:pPr>
              <w:pStyle w:val="27"/>
              <w:rPr>
                <w:rFonts w:ascii="Times New Roman" w:hAnsi="Times New Roman"/>
                <w:highlight w:val="none"/>
              </w:rPr>
            </w:pPr>
            <w:r>
              <w:rPr>
                <w:rFonts w:ascii="Times New Roman" w:hAnsi="Times New Roman"/>
                <w:highlight w:val="none"/>
              </w:rPr>
              <w:t>75</w:t>
            </w:r>
          </w:p>
        </w:tc>
        <w:tc>
          <w:tcPr>
            <w:tcW w:w="1436" w:type="pct"/>
            <w:vMerge w:val="continue"/>
            <w:noWrap w:val="0"/>
            <w:vAlign w:val="center"/>
          </w:tcPr>
          <w:p w14:paraId="2FB1FD49">
            <w:pPr>
              <w:pStyle w:val="27"/>
              <w:rPr>
                <w:rFonts w:ascii="Times New Roman" w:hAnsi="Times New Roman"/>
                <w:highlight w:val="none"/>
              </w:rPr>
            </w:pPr>
          </w:p>
        </w:tc>
      </w:tr>
      <w:tr w14:paraId="464E917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11" w:type="pct"/>
            <w:vMerge w:val="restart"/>
            <w:noWrap w:val="0"/>
            <w:vAlign w:val="center"/>
          </w:tcPr>
          <w:p w14:paraId="5E1A24D3">
            <w:pPr>
              <w:pStyle w:val="27"/>
              <w:rPr>
                <w:rFonts w:ascii="Times New Roman" w:hAnsi="Times New Roman"/>
                <w:highlight w:val="none"/>
              </w:rPr>
            </w:pPr>
            <w:r>
              <w:rPr>
                <w:rFonts w:ascii="Times New Roman" w:hAnsi="Times New Roman"/>
                <w:highlight w:val="none"/>
              </w:rPr>
              <w:t>5</w:t>
            </w:r>
          </w:p>
        </w:tc>
        <w:tc>
          <w:tcPr>
            <w:tcW w:w="819" w:type="pct"/>
            <w:vMerge w:val="restart"/>
            <w:noWrap w:val="0"/>
            <w:vAlign w:val="center"/>
          </w:tcPr>
          <w:p w14:paraId="31814F09">
            <w:pPr>
              <w:pStyle w:val="27"/>
              <w:rPr>
                <w:rFonts w:ascii="Times New Roman" w:hAnsi="Times New Roman"/>
                <w:highlight w:val="none"/>
              </w:rPr>
            </w:pPr>
            <w:r>
              <w:rPr>
                <w:rFonts w:ascii="Times New Roman" w:hAnsi="Times New Roman"/>
                <w:highlight w:val="none"/>
              </w:rPr>
              <w:t>CO</w:t>
            </w:r>
          </w:p>
        </w:tc>
        <w:tc>
          <w:tcPr>
            <w:tcW w:w="1195" w:type="pct"/>
            <w:noWrap w:val="0"/>
            <w:vAlign w:val="center"/>
          </w:tcPr>
          <w:p w14:paraId="3348C923">
            <w:pPr>
              <w:pStyle w:val="27"/>
              <w:rPr>
                <w:rFonts w:ascii="Times New Roman" w:hAnsi="Times New Roman"/>
                <w:highlight w:val="none"/>
              </w:rPr>
            </w:pPr>
            <w:r>
              <w:rPr>
                <w:rFonts w:ascii="Times New Roman" w:hAnsi="Times New Roman"/>
                <w:highlight w:val="none"/>
              </w:rPr>
              <w:t>24小时平均</w:t>
            </w:r>
          </w:p>
        </w:tc>
        <w:tc>
          <w:tcPr>
            <w:tcW w:w="938" w:type="pct"/>
            <w:noWrap w:val="0"/>
            <w:vAlign w:val="center"/>
          </w:tcPr>
          <w:p w14:paraId="0066B0C5">
            <w:pPr>
              <w:pStyle w:val="27"/>
              <w:rPr>
                <w:rFonts w:ascii="Times New Roman" w:hAnsi="Times New Roman"/>
                <w:highlight w:val="none"/>
              </w:rPr>
            </w:pPr>
            <w:r>
              <w:rPr>
                <w:rFonts w:ascii="Times New Roman" w:hAnsi="Times New Roman"/>
                <w:highlight w:val="none"/>
              </w:rPr>
              <w:t>4mg/m</w:t>
            </w:r>
            <w:r>
              <w:rPr>
                <w:rFonts w:ascii="Times New Roman" w:hAnsi="Times New Roman"/>
                <w:highlight w:val="none"/>
                <w:vertAlign w:val="superscript"/>
              </w:rPr>
              <w:t>3</w:t>
            </w:r>
          </w:p>
        </w:tc>
        <w:tc>
          <w:tcPr>
            <w:tcW w:w="1436" w:type="pct"/>
            <w:vMerge w:val="continue"/>
            <w:noWrap w:val="0"/>
            <w:vAlign w:val="center"/>
          </w:tcPr>
          <w:p w14:paraId="67A1AEE1">
            <w:pPr>
              <w:pStyle w:val="27"/>
              <w:rPr>
                <w:rFonts w:ascii="Times New Roman" w:hAnsi="Times New Roman"/>
                <w:highlight w:val="none"/>
              </w:rPr>
            </w:pPr>
          </w:p>
        </w:tc>
      </w:tr>
      <w:tr w14:paraId="0AB9883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11" w:type="pct"/>
            <w:vMerge w:val="continue"/>
            <w:tcBorders>
              <w:bottom w:val="single" w:color="auto" w:sz="2" w:space="0"/>
            </w:tcBorders>
            <w:noWrap w:val="0"/>
            <w:vAlign w:val="center"/>
          </w:tcPr>
          <w:p w14:paraId="03A73904">
            <w:pPr>
              <w:pStyle w:val="27"/>
              <w:rPr>
                <w:rFonts w:ascii="Times New Roman" w:hAnsi="Times New Roman"/>
                <w:highlight w:val="none"/>
              </w:rPr>
            </w:pPr>
          </w:p>
        </w:tc>
        <w:tc>
          <w:tcPr>
            <w:tcW w:w="819" w:type="pct"/>
            <w:vMerge w:val="continue"/>
            <w:noWrap w:val="0"/>
            <w:vAlign w:val="center"/>
          </w:tcPr>
          <w:p w14:paraId="1FF44A85">
            <w:pPr>
              <w:pStyle w:val="27"/>
              <w:rPr>
                <w:rFonts w:ascii="Times New Roman" w:hAnsi="Times New Roman"/>
                <w:highlight w:val="none"/>
              </w:rPr>
            </w:pPr>
          </w:p>
        </w:tc>
        <w:tc>
          <w:tcPr>
            <w:tcW w:w="1195" w:type="pct"/>
            <w:noWrap w:val="0"/>
            <w:vAlign w:val="center"/>
          </w:tcPr>
          <w:p w14:paraId="5B3F6BBE">
            <w:pPr>
              <w:pStyle w:val="27"/>
              <w:rPr>
                <w:rFonts w:ascii="Times New Roman" w:hAnsi="Times New Roman"/>
                <w:highlight w:val="none"/>
              </w:rPr>
            </w:pPr>
            <w:r>
              <w:rPr>
                <w:rFonts w:ascii="Times New Roman" w:hAnsi="Times New Roman"/>
                <w:highlight w:val="none"/>
              </w:rPr>
              <w:t>1小时平均</w:t>
            </w:r>
          </w:p>
        </w:tc>
        <w:tc>
          <w:tcPr>
            <w:tcW w:w="938" w:type="pct"/>
            <w:noWrap w:val="0"/>
            <w:vAlign w:val="center"/>
          </w:tcPr>
          <w:p w14:paraId="287B6255">
            <w:pPr>
              <w:pStyle w:val="27"/>
              <w:rPr>
                <w:rFonts w:ascii="Times New Roman" w:hAnsi="Times New Roman"/>
                <w:highlight w:val="none"/>
              </w:rPr>
            </w:pPr>
            <w:r>
              <w:rPr>
                <w:rFonts w:ascii="Times New Roman" w:hAnsi="Times New Roman"/>
                <w:highlight w:val="none"/>
              </w:rPr>
              <w:t>10mg/m</w:t>
            </w:r>
            <w:r>
              <w:rPr>
                <w:rFonts w:ascii="Times New Roman" w:hAnsi="Times New Roman"/>
                <w:highlight w:val="none"/>
                <w:vertAlign w:val="superscript"/>
              </w:rPr>
              <w:t>3</w:t>
            </w:r>
          </w:p>
        </w:tc>
        <w:tc>
          <w:tcPr>
            <w:tcW w:w="1436" w:type="pct"/>
            <w:vMerge w:val="continue"/>
            <w:noWrap w:val="0"/>
            <w:vAlign w:val="center"/>
          </w:tcPr>
          <w:p w14:paraId="4006C352">
            <w:pPr>
              <w:pStyle w:val="27"/>
              <w:rPr>
                <w:rFonts w:ascii="Times New Roman" w:hAnsi="Times New Roman"/>
                <w:highlight w:val="none"/>
              </w:rPr>
            </w:pPr>
          </w:p>
        </w:tc>
      </w:tr>
      <w:tr w14:paraId="6DCF33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11" w:type="pct"/>
            <w:vMerge w:val="restart"/>
            <w:tcBorders>
              <w:top w:val="single" w:color="auto" w:sz="2" w:space="0"/>
            </w:tcBorders>
            <w:noWrap w:val="0"/>
            <w:vAlign w:val="center"/>
          </w:tcPr>
          <w:p w14:paraId="6BE2C556">
            <w:pPr>
              <w:pStyle w:val="27"/>
              <w:rPr>
                <w:rFonts w:ascii="Times New Roman" w:hAnsi="Times New Roman"/>
                <w:highlight w:val="none"/>
              </w:rPr>
            </w:pPr>
            <w:r>
              <w:rPr>
                <w:rFonts w:ascii="Times New Roman" w:hAnsi="Times New Roman"/>
                <w:highlight w:val="none"/>
              </w:rPr>
              <w:t>6</w:t>
            </w:r>
          </w:p>
        </w:tc>
        <w:tc>
          <w:tcPr>
            <w:tcW w:w="819" w:type="pct"/>
            <w:vMerge w:val="restart"/>
            <w:noWrap w:val="0"/>
            <w:vAlign w:val="center"/>
          </w:tcPr>
          <w:p w14:paraId="71AC2EA1">
            <w:pPr>
              <w:pStyle w:val="27"/>
              <w:rPr>
                <w:rFonts w:ascii="Times New Roman" w:hAnsi="Times New Roman"/>
                <w:highlight w:val="none"/>
              </w:rPr>
            </w:pPr>
            <w:r>
              <w:rPr>
                <w:rFonts w:ascii="Times New Roman" w:hAnsi="Times New Roman"/>
                <w:highlight w:val="none"/>
              </w:rPr>
              <w:t>O</w:t>
            </w:r>
            <w:r>
              <w:rPr>
                <w:rFonts w:ascii="Times New Roman" w:hAnsi="Times New Roman"/>
                <w:highlight w:val="none"/>
                <w:vertAlign w:val="subscript"/>
              </w:rPr>
              <w:t>3</w:t>
            </w:r>
          </w:p>
        </w:tc>
        <w:tc>
          <w:tcPr>
            <w:tcW w:w="1195" w:type="pct"/>
            <w:noWrap w:val="0"/>
            <w:vAlign w:val="center"/>
          </w:tcPr>
          <w:p w14:paraId="71A11C99">
            <w:pPr>
              <w:pStyle w:val="27"/>
              <w:rPr>
                <w:rFonts w:ascii="Times New Roman" w:hAnsi="Times New Roman"/>
                <w:highlight w:val="none"/>
              </w:rPr>
            </w:pPr>
            <w:r>
              <w:rPr>
                <w:rFonts w:ascii="Times New Roman" w:hAnsi="Times New Roman"/>
                <w:highlight w:val="none"/>
              </w:rPr>
              <w:t>日最大8小时平均</w:t>
            </w:r>
          </w:p>
        </w:tc>
        <w:tc>
          <w:tcPr>
            <w:tcW w:w="938" w:type="pct"/>
            <w:noWrap w:val="0"/>
            <w:vAlign w:val="center"/>
          </w:tcPr>
          <w:p w14:paraId="18612756">
            <w:pPr>
              <w:pStyle w:val="27"/>
              <w:rPr>
                <w:rFonts w:ascii="Times New Roman" w:hAnsi="Times New Roman"/>
                <w:highlight w:val="none"/>
              </w:rPr>
            </w:pPr>
            <w:r>
              <w:rPr>
                <w:rFonts w:ascii="Times New Roman" w:hAnsi="Times New Roman"/>
                <w:highlight w:val="none"/>
              </w:rPr>
              <w:t>160</w:t>
            </w:r>
          </w:p>
        </w:tc>
        <w:tc>
          <w:tcPr>
            <w:tcW w:w="1436" w:type="pct"/>
            <w:vMerge w:val="continue"/>
            <w:noWrap w:val="0"/>
            <w:vAlign w:val="center"/>
          </w:tcPr>
          <w:p w14:paraId="1A2CD437">
            <w:pPr>
              <w:pStyle w:val="27"/>
              <w:rPr>
                <w:rFonts w:ascii="Times New Roman" w:hAnsi="Times New Roman"/>
                <w:highlight w:val="none"/>
              </w:rPr>
            </w:pPr>
          </w:p>
        </w:tc>
      </w:tr>
      <w:tr w14:paraId="71CDA3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11" w:type="pct"/>
            <w:vMerge w:val="continue"/>
            <w:noWrap w:val="0"/>
            <w:vAlign w:val="center"/>
          </w:tcPr>
          <w:p w14:paraId="731A2E69">
            <w:pPr>
              <w:pStyle w:val="27"/>
              <w:rPr>
                <w:rFonts w:ascii="Times New Roman" w:hAnsi="Times New Roman"/>
                <w:highlight w:val="none"/>
              </w:rPr>
            </w:pPr>
          </w:p>
        </w:tc>
        <w:tc>
          <w:tcPr>
            <w:tcW w:w="819" w:type="pct"/>
            <w:vMerge w:val="continue"/>
            <w:noWrap w:val="0"/>
            <w:vAlign w:val="center"/>
          </w:tcPr>
          <w:p w14:paraId="56CC63E3">
            <w:pPr>
              <w:pStyle w:val="27"/>
              <w:rPr>
                <w:rFonts w:ascii="Times New Roman" w:hAnsi="Times New Roman"/>
                <w:highlight w:val="none"/>
              </w:rPr>
            </w:pPr>
          </w:p>
        </w:tc>
        <w:tc>
          <w:tcPr>
            <w:tcW w:w="1195" w:type="pct"/>
            <w:noWrap w:val="0"/>
            <w:vAlign w:val="center"/>
          </w:tcPr>
          <w:p w14:paraId="7F878839">
            <w:pPr>
              <w:pStyle w:val="27"/>
              <w:rPr>
                <w:rFonts w:ascii="Times New Roman" w:hAnsi="Times New Roman"/>
                <w:highlight w:val="none"/>
              </w:rPr>
            </w:pPr>
            <w:r>
              <w:rPr>
                <w:rFonts w:ascii="Times New Roman" w:hAnsi="Times New Roman"/>
                <w:highlight w:val="none"/>
              </w:rPr>
              <w:t>1小时平均</w:t>
            </w:r>
          </w:p>
        </w:tc>
        <w:tc>
          <w:tcPr>
            <w:tcW w:w="938" w:type="pct"/>
            <w:noWrap w:val="0"/>
            <w:vAlign w:val="center"/>
          </w:tcPr>
          <w:p w14:paraId="5609D699">
            <w:pPr>
              <w:pStyle w:val="27"/>
              <w:rPr>
                <w:rFonts w:ascii="Times New Roman" w:hAnsi="Times New Roman"/>
                <w:highlight w:val="none"/>
              </w:rPr>
            </w:pPr>
            <w:r>
              <w:rPr>
                <w:rFonts w:ascii="Times New Roman" w:hAnsi="Times New Roman"/>
                <w:highlight w:val="none"/>
              </w:rPr>
              <w:t>200</w:t>
            </w:r>
          </w:p>
        </w:tc>
        <w:tc>
          <w:tcPr>
            <w:tcW w:w="1436" w:type="pct"/>
            <w:vMerge w:val="continue"/>
            <w:noWrap w:val="0"/>
            <w:vAlign w:val="center"/>
          </w:tcPr>
          <w:p w14:paraId="767721BB">
            <w:pPr>
              <w:pStyle w:val="27"/>
              <w:rPr>
                <w:rFonts w:ascii="Times New Roman" w:hAnsi="Times New Roman"/>
                <w:highlight w:val="none"/>
              </w:rPr>
            </w:pPr>
          </w:p>
        </w:tc>
      </w:tr>
      <w:tr w14:paraId="78F4FD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5" w:hRule="atLeast"/>
          <w:jc w:val="center"/>
        </w:trPr>
        <w:tc>
          <w:tcPr>
            <w:tcW w:w="611" w:type="pct"/>
            <w:vMerge w:val="restart"/>
            <w:noWrap w:val="0"/>
            <w:vAlign w:val="center"/>
          </w:tcPr>
          <w:p w14:paraId="19603B5D">
            <w:pPr>
              <w:pStyle w:val="27"/>
              <w:rPr>
                <w:rFonts w:ascii="Times New Roman" w:hAnsi="Times New Roman"/>
                <w:highlight w:val="none"/>
              </w:rPr>
            </w:pPr>
            <w:r>
              <w:rPr>
                <w:rFonts w:ascii="Times New Roman" w:hAnsi="Times New Roman"/>
                <w:highlight w:val="none"/>
              </w:rPr>
              <w:t>7</w:t>
            </w:r>
          </w:p>
        </w:tc>
        <w:tc>
          <w:tcPr>
            <w:tcW w:w="819" w:type="pct"/>
            <w:vMerge w:val="restart"/>
            <w:noWrap w:val="0"/>
            <w:vAlign w:val="center"/>
          </w:tcPr>
          <w:p w14:paraId="20C2615C">
            <w:pPr>
              <w:pStyle w:val="27"/>
              <w:rPr>
                <w:rFonts w:ascii="Times New Roman" w:hAnsi="Times New Roman"/>
                <w:highlight w:val="none"/>
              </w:rPr>
            </w:pPr>
            <w:r>
              <w:rPr>
                <w:rFonts w:ascii="Times New Roman" w:hAnsi="Times New Roman"/>
                <w:highlight w:val="none"/>
              </w:rPr>
              <w:t>TSP</w:t>
            </w:r>
          </w:p>
        </w:tc>
        <w:tc>
          <w:tcPr>
            <w:tcW w:w="1195" w:type="pct"/>
            <w:tcBorders>
              <w:bottom w:val="single" w:color="auto" w:sz="2" w:space="0"/>
            </w:tcBorders>
            <w:noWrap w:val="0"/>
            <w:vAlign w:val="center"/>
          </w:tcPr>
          <w:p w14:paraId="588E0229">
            <w:pPr>
              <w:pStyle w:val="27"/>
              <w:rPr>
                <w:rFonts w:ascii="Times New Roman" w:hAnsi="Times New Roman"/>
                <w:highlight w:val="none"/>
              </w:rPr>
            </w:pPr>
            <w:r>
              <w:rPr>
                <w:rFonts w:ascii="Times New Roman" w:hAnsi="Times New Roman"/>
                <w:highlight w:val="none"/>
              </w:rPr>
              <w:t>年平均</w:t>
            </w:r>
          </w:p>
        </w:tc>
        <w:tc>
          <w:tcPr>
            <w:tcW w:w="938" w:type="pct"/>
            <w:tcBorders>
              <w:bottom w:val="single" w:color="auto" w:sz="2" w:space="0"/>
            </w:tcBorders>
            <w:noWrap w:val="0"/>
            <w:vAlign w:val="center"/>
          </w:tcPr>
          <w:p w14:paraId="7FC41295">
            <w:pPr>
              <w:pStyle w:val="27"/>
              <w:rPr>
                <w:rFonts w:ascii="Times New Roman" w:hAnsi="Times New Roman"/>
                <w:highlight w:val="none"/>
              </w:rPr>
            </w:pPr>
            <w:r>
              <w:rPr>
                <w:rFonts w:ascii="Times New Roman" w:hAnsi="Times New Roman"/>
                <w:highlight w:val="none"/>
              </w:rPr>
              <w:t>200</w:t>
            </w:r>
          </w:p>
        </w:tc>
        <w:tc>
          <w:tcPr>
            <w:tcW w:w="1436" w:type="pct"/>
            <w:vMerge w:val="continue"/>
            <w:noWrap w:val="0"/>
            <w:vAlign w:val="center"/>
          </w:tcPr>
          <w:p w14:paraId="1CF4A0B1">
            <w:pPr>
              <w:pStyle w:val="27"/>
              <w:rPr>
                <w:rFonts w:ascii="Times New Roman" w:hAnsi="Times New Roman"/>
                <w:highlight w:val="none"/>
              </w:rPr>
            </w:pPr>
          </w:p>
        </w:tc>
      </w:tr>
      <w:tr w14:paraId="0FB614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0" w:hRule="atLeast"/>
          <w:jc w:val="center"/>
        </w:trPr>
        <w:tc>
          <w:tcPr>
            <w:tcW w:w="611" w:type="pct"/>
            <w:vMerge w:val="continue"/>
            <w:noWrap w:val="0"/>
            <w:vAlign w:val="center"/>
          </w:tcPr>
          <w:p w14:paraId="5621A1E2">
            <w:pPr>
              <w:pStyle w:val="27"/>
              <w:rPr>
                <w:rFonts w:ascii="Times New Roman" w:hAnsi="Times New Roman"/>
                <w:highlight w:val="none"/>
              </w:rPr>
            </w:pPr>
          </w:p>
        </w:tc>
        <w:tc>
          <w:tcPr>
            <w:tcW w:w="819" w:type="pct"/>
            <w:vMerge w:val="continue"/>
            <w:noWrap w:val="0"/>
            <w:vAlign w:val="center"/>
          </w:tcPr>
          <w:p w14:paraId="07215AFB">
            <w:pPr>
              <w:pStyle w:val="27"/>
              <w:rPr>
                <w:rFonts w:ascii="Times New Roman" w:hAnsi="Times New Roman"/>
                <w:highlight w:val="none"/>
              </w:rPr>
            </w:pPr>
          </w:p>
        </w:tc>
        <w:tc>
          <w:tcPr>
            <w:tcW w:w="1195" w:type="pct"/>
            <w:tcBorders>
              <w:top w:val="single" w:color="auto" w:sz="2" w:space="0"/>
              <w:bottom w:val="single" w:color="auto" w:sz="2" w:space="0"/>
            </w:tcBorders>
            <w:noWrap w:val="0"/>
            <w:vAlign w:val="center"/>
          </w:tcPr>
          <w:p w14:paraId="23D770A8">
            <w:pPr>
              <w:pStyle w:val="27"/>
              <w:rPr>
                <w:rFonts w:ascii="Times New Roman" w:hAnsi="Times New Roman"/>
                <w:highlight w:val="none"/>
              </w:rPr>
            </w:pPr>
            <w:r>
              <w:rPr>
                <w:rFonts w:ascii="Times New Roman" w:hAnsi="Times New Roman"/>
                <w:highlight w:val="none"/>
              </w:rPr>
              <w:t>24小时平均</w:t>
            </w:r>
          </w:p>
        </w:tc>
        <w:tc>
          <w:tcPr>
            <w:tcW w:w="938" w:type="pct"/>
            <w:tcBorders>
              <w:top w:val="single" w:color="auto" w:sz="2" w:space="0"/>
              <w:bottom w:val="single" w:color="auto" w:sz="2" w:space="0"/>
            </w:tcBorders>
            <w:noWrap w:val="0"/>
            <w:vAlign w:val="center"/>
          </w:tcPr>
          <w:p w14:paraId="5309D663">
            <w:pPr>
              <w:pStyle w:val="27"/>
              <w:rPr>
                <w:rFonts w:ascii="Times New Roman" w:hAnsi="Times New Roman"/>
                <w:highlight w:val="none"/>
              </w:rPr>
            </w:pPr>
            <w:r>
              <w:rPr>
                <w:rFonts w:ascii="Times New Roman" w:hAnsi="Times New Roman"/>
                <w:highlight w:val="none"/>
              </w:rPr>
              <w:t>300</w:t>
            </w:r>
          </w:p>
        </w:tc>
        <w:tc>
          <w:tcPr>
            <w:tcW w:w="1436" w:type="pct"/>
            <w:vMerge w:val="continue"/>
            <w:noWrap w:val="0"/>
            <w:vAlign w:val="center"/>
          </w:tcPr>
          <w:p w14:paraId="43AB6583">
            <w:pPr>
              <w:pStyle w:val="27"/>
              <w:rPr>
                <w:rFonts w:ascii="Times New Roman" w:hAnsi="Times New Roman"/>
                <w:highlight w:val="none"/>
              </w:rPr>
            </w:pPr>
          </w:p>
        </w:tc>
      </w:tr>
      <w:tr w14:paraId="6E324DA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0" w:hRule="atLeast"/>
          <w:jc w:val="center"/>
        </w:trPr>
        <w:tc>
          <w:tcPr>
            <w:tcW w:w="611" w:type="pct"/>
            <w:vMerge w:val="restart"/>
            <w:noWrap w:val="0"/>
            <w:vAlign w:val="center"/>
          </w:tcPr>
          <w:p w14:paraId="5B7B4B26">
            <w:pPr>
              <w:pStyle w:val="27"/>
              <w:rPr>
                <w:rFonts w:ascii="Times New Roman" w:hAnsi="Times New Roman"/>
                <w:highlight w:val="none"/>
              </w:rPr>
            </w:pPr>
            <w:r>
              <w:rPr>
                <w:rFonts w:ascii="Times New Roman" w:hAnsi="Times New Roman"/>
                <w:highlight w:val="none"/>
              </w:rPr>
              <w:t>8</w:t>
            </w:r>
          </w:p>
        </w:tc>
        <w:tc>
          <w:tcPr>
            <w:tcW w:w="819" w:type="pct"/>
            <w:vMerge w:val="restart"/>
            <w:noWrap w:val="0"/>
            <w:vAlign w:val="center"/>
          </w:tcPr>
          <w:p w14:paraId="56C19970">
            <w:pPr>
              <w:pStyle w:val="27"/>
              <w:rPr>
                <w:rFonts w:ascii="Times New Roman" w:hAnsi="Times New Roman"/>
                <w:highlight w:val="none"/>
              </w:rPr>
            </w:pPr>
            <w:r>
              <w:rPr>
                <w:rFonts w:ascii="Times New Roman" w:hAnsi="Times New Roman"/>
                <w:highlight w:val="none"/>
              </w:rPr>
              <w:t>NOx</w:t>
            </w:r>
          </w:p>
        </w:tc>
        <w:tc>
          <w:tcPr>
            <w:tcW w:w="1195" w:type="pct"/>
            <w:tcBorders>
              <w:top w:val="single" w:color="auto" w:sz="2" w:space="0"/>
              <w:bottom w:val="single" w:color="auto" w:sz="2" w:space="0"/>
            </w:tcBorders>
            <w:noWrap w:val="0"/>
            <w:vAlign w:val="center"/>
          </w:tcPr>
          <w:p w14:paraId="4B3EB7AB">
            <w:pPr>
              <w:pStyle w:val="27"/>
              <w:rPr>
                <w:rFonts w:ascii="Times New Roman" w:hAnsi="Times New Roman"/>
                <w:highlight w:val="none"/>
              </w:rPr>
            </w:pPr>
            <w:r>
              <w:rPr>
                <w:rFonts w:ascii="Times New Roman" w:hAnsi="Times New Roman"/>
                <w:highlight w:val="none"/>
              </w:rPr>
              <w:t>年平均</w:t>
            </w:r>
          </w:p>
        </w:tc>
        <w:tc>
          <w:tcPr>
            <w:tcW w:w="938" w:type="pct"/>
            <w:tcBorders>
              <w:top w:val="single" w:color="auto" w:sz="2" w:space="0"/>
              <w:bottom w:val="single" w:color="auto" w:sz="2" w:space="0"/>
            </w:tcBorders>
            <w:noWrap w:val="0"/>
            <w:vAlign w:val="center"/>
          </w:tcPr>
          <w:p w14:paraId="0E0FB464">
            <w:pPr>
              <w:pStyle w:val="27"/>
              <w:rPr>
                <w:rFonts w:ascii="Times New Roman" w:hAnsi="Times New Roman"/>
                <w:highlight w:val="none"/>
              </w:rPr>
            </w:pPr>
            <w:r>
              <w:rPr>
                <w:rFonts w:ascii="Times New Roman" w:hAnsi="Times New Roman"/>
                <w:highlight w:val="none"/>
              </w:rPr>
              <w:t>50</w:t>
            </w:r>
          </w:p>
        </w:tc>
        <w:tc>
          <w:tcPr>
            <w:tcW w:w="1436" w:type="pct"/>
            <w:vMerge w:val="continue"/>
            <w:noWrap w:val="0"/>
            <w:vAlign w:val="center"/>
          </w:tcPr>
          <w:p w14:paraId="5B3759AA">
            <w:pPr>
              <w:pStyle w:val="27"/>
              <w:rPr>
                <w:rFonts w:ascii="Times New Roman" w:hAnsi="Times New Roman"/>
                <w:highlight w:val="none"/>
              </w:rPr>
            </w:pPr>
          </w:p>
        </w:tc>
      </w:tr>
      <w:tr w14:paraId="66B42F0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0" w:hRule="atLeast"/>
          <w:jc w:val="center"/>
        </w:trPr>
        <w:tc>
          <w:tcPr>
            <w:tcW w:w="611" w:type="pct"/>
            <w:vMerge w:val="continue"/>
            <w:noWrap w:val="0"/>
            <w:vAlign w:val="center"/>
          </w:tcPr>
          <w:p w14:paraId="5A7309A4">
            <w:pPr>
              <w:pStyle w:val="27"/>
              <w:rPr>
                <w:rFonts w:ascii="Times New Roman" w:hAnsi="Times New Roman"/>
                <w:highlight w:val="none"/>
              </w:rPr>
            </w:pPr>
          </w:p>
        </w:tc>
        <w:tc>
          <w:tcPr>
            <w:tcW w:w="819" w:type="pct"/>
            <w:vMerge w:val="continue"/>
            <w:noWrap w:val="0"/>
            <w:vAlign w:val="center"/>
          </w:tcPr>
          <w:p w14:paraId="32E7BD23">
            <w:pPr>
              <w:pStyle w:val="27"/>
              <w:rPr>
                <w:rFonts w:ascii="Times New Roman" w:hAnsi="Times New Roman"/>
                <w:highlight w:val="none"/>
              </w:rPr>
            </w:pPr>
          </w:p>
        </w:tc>
        <w:tc>
          <w:tcPr>
            <w:tcW w:w="1195" w:type="pct"/>
            <w:tcBorders>
              <w:top w:val="single" w:color="auto" w:sz="2" w:space="0"/>
              <w:bottom w:val="single" w:color="auto" w:sz="2" w:space="0"/>
            </w:tcBorders>
            <w:noWrap w:val="0"/>
            <w:vAlign w:val="center"/>
          </w:tcPr>
          <w:p w14:paraId="5DF81B4C">
            <w:pPr>
              <w:pStyle w:val="27"/>
              <w:rPr>
                <w:rFonts w:ascii="Times New Roman" w:hAnsi="Times New Roman"/>
                <w:highlight w:val="none"/>
              </w:rPr>
            </w:pPr>
            <w:r>
              <w:rPr>
                <w:rFonts w:ascii="Times New Roman" w:hAnsi="Times New Roman"/>
                <w:highlight w:val="none"/>
              </w:rPr>
              <w:t>24小时平均</w:t>
            </w:r>
          </w:p>
        </w:tc>
        <w:tc>
          <w:tcPr>
            <w:tcW w:w="938" w:type="pct"/>
            <w:tcBorders>
              <w:top w:val="single" w:color="auto" w:sz="2" w:space="0"/>
              <w:bottom w:val="single" w:color="auto" w:sz="2" w:space="0"/>
            </w:tcBorders>
            <w:noWrap w:val="0"/>
            <w:vAlign w:val="center"/>
          </w:tcPr>
          <w:p w14:paraId="33E2B631">
            <w:pPr>
              <w:pStyle w:val="27"/>
              <w:rPr>
                <w:rFonts w:ascii="Times New Roman" w:hAnsi="Times New Roman"/>
                <w:highlight w:val="none"/>
              </w:rPr>
            </w:pPr>
            <w:r>
              <w:rPr>
                <w:rFonts w:ascii="Times New Roman" w:hAnsi="Times New Roman"/>
                <w:highlight w:val="none"/>
              </w:rPr>
              <w:t>100</w:t>
            </w:r>
          </w:p>
        </w:tc>
        <w:tc>
          <w:tcPr>
            <w:tcW w:w="1436" w:type="pct"/>
            <w:vMerge w:val="continue"/>
            <w:noWrap w:val="0"/>
            <w:vAlign w:val="center"/>
          </w:tcPr>
          <w:p w14:paraId="1480B0C4">
            <w:pPr>
              <w:pStyle w:val="27"/>
              <w:rPr>
                <w:rFonts w:ascii="Times New Roman" w:hAnsi="Times New Roman"/>
                <w:highlight w:val="none"/>
              </w:rPr>
            </w:pPr>
          </w:p>
        </w:tc>
      </w:tr>
      <w:tr w14:paraId="5E94AA2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0" w:hRule="atLeast"/>
          <w:jc w:val="center"/>
        </w:trPr>
        <w:tc>
          <w:tcPr>
            <w:tcW w:w="611" w:type="pct"/>
            <w:vMerge w:val="continue"/>
            <w:noWrap w:val="0"/>
            <w:vAlign w:val="center"/>
          </w:tcPr>
          <w:p w14:paraId="20B243C1">
            <w:pPr>
              <w:pStyle w:val="27"/>
              <w:rPr>
                <w:rFonts w:ascii="Times New Roman" w:hAnsi="Times New Roman"/>
                <w:highlight w:val="none"/>
              </w:rPr>
            </w:pPr>
          </w:p>
        </w:tc>
        <w:tc>
          <w:tcPr>
            <w:tcW w:w="819" w:type="pct"/>
            <w:vMerge w:val="continue"/>
            <w:noWrap w:val="0"/>
            <w:vAlign w:val="center"/>
          </w:tcPr>
          <w:p w14:paraId="1BF76BA4">
            <w:pPr>
              <w:pStyle w:val="27"/>
              <w:rPr>
                <w:rFonts w:ascii="Times New Roman" w:hAnsi="Times New Roman"/>
                <w:highlight w:val="none"/>
              </w:rPr>
            </w:pPr>
          </w:p>
        </w:tc>
        <w:tc>
          <w:tcPr>
            <w:tcW w:w="1195" w:type="pct"/>
            <w:tcBorders>
              <w:top w:val="single" w:color="auto" w:sz="2" w:space="0"/>
              <w:bottom w:val="single" w:color="auto" w:sz="2" w:space="0"/>
            </w:tcBorders>
            <w:noWrap w:val="0"/>
            <w:vAlign w:val="center"/>
          </w:tcPr>
          <w:p w14:paraId="427CABE9">
            <w:pPr>
              <w:pStyle w:val="27"/>
              <w:rPr>
                <w:rFonts w:ascii="Times New Roman" w:hAnsi="Times New Roman"/>
                <w:highlight w:val="none"/>
              </w:rPr>
            </w:pPr>
            <w:r>
              <w:rPr>
                <w:rFonts w:ascii="Times New Roman" w:hAnsi="Times New Roman"/>
                <w:highlight w:val="none"/>
              </w:rPr>
              <w:t>1小时平均</w:t>
            </w:r>
          </w:p>
        </w:tc>
        <w:tc>
          <w:tcPr>
            <w:tcW w:w="938" w:type="pct"/>
            <w:tcBorders>
              <w:top w:val="single" w:color="auto" w:sz="2" w:space="0"/>
              <w:bottom w:val="single" w:color="auto" w:sz="2" w:space="0"/>
            </w:tcBorders>
            <w:noWrap w:val="0"/>
            <w:vAlign w:val="center"/>
          </w:tcPr>
          <w:p w14:paraId="33D8B8E1">
            <w:pPr>
              <w:pStyle w:val="27"/>
              <w:rPr>
                <w:rFonts w:ascii="Times New Roman" w:hAnsi="Times New Roman"/>
                <w:highlight w:val="none"/>
              </w:rPr>
            </w:pPr>
            <w:r>
              <w:rPr>
                <w:rFonts w:ascii="Times New Roman" w:hAnsi="Times New Roman"/>
                <w:highlight w:val="none"/>
              </w:rPr>
              <w:t>250</w:t>
            </w:r>
          </w:p>
        </w:tc>
        <w:tc>
          <w:tcPr>
            <w:tcW w:w="1436" w:type="pct"/>
            <w:vMerge w:val="continue"/>
            <w:noWrap w:val="0"/>
            <w:vAlign w:val="center"/>
          </w:tcPr>
          <w:p w14:paraId="286850C7">
            <w:pPr>
              <w:pStyle w:val="27"/>
              <w:rPr>
                <w:rFonts w:ascii="Times New Roman" w:hAnsi="Times New Roman"/>
                <w:highlight w:val="none"/>
              </w:rPr>
            </w:pPr>
          </w:p>
        </w:tc>
      </w:tr>
      <w:tr w14:paraId="630DA92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0" w:hRule="atLeast"/>
          <w:jc w:val="center"/>
        </w:trPr>
        <w:tc>
          <w:tcPr>
            <w:tcW w:w="611" w:type="pct"/>
            <w:noWrap w:val="0"/>
            <w:vAlign w:val="center"/>
          </w:tcPr>
          <w:p w14:paraId="4BC23973">
            <w:pPr>
              <w:pStyle w:val="27"/>
              <w:rPr>
                <w:rFonts w:ascii="Times New Roman" w:hAnsi="Times New Roman"/>
                <w:highlight w:val="none"/>
              </w:rPr>
            </w:pPr>
            <w:r>
              <w:rPr>
                <w:rFonts w:ascii="Times New Roman" w:hAnsi="Times New Roman"/>
                <w:highlight w:val="none"/>
              </w:rPr>
              <w:t>9</w:t>
            </w:r>
          </w:p>
        </w:tc>
        <w:tc>
          <w:tcPr>
            <w:tcW w:w="819" w:type="pct"/>
            <w:noWrap w:val="0"/>
            <w:vAlign w:val="center"/>
          </w:tcPr>
          <w:p w14:paraId="525DECBF">
            <w:pPr>
              <w:pStyle w:val="27"/>
              <w:rPr>
                <w:rFonts w:ascii="Times New Roman" w:hAnsi="Times New Roman"/>
                <w:highlight w:val="none"/>
              </w:rPr>
            </w:pPr>
            <w:r>
              <w:rPr>
                <w:rFonts w:ascii="Times New Roman" w:hAnsi="Times New Roman"/>
                <w:highlight w:val="none"/>
              </w:rPr>
              <w:t>Hg</w:t>
            </w:r>
          </w:p>
        </w:tc>
        <w:tc>
          <w:tcPr>
            <w:tcW w:w="1195" w:type="pct"/>
            <w:tcBorders>
              <w:top w:val="single" w:color="auto" w:sz="2" w:space="0"/>
              <w:bottom w:val="single" w:color="auto" w:sz="2" w:space="0"/>
            </w:tcBorders>
            <w:noWrap w:val="0"/>
            <w:vAlign w:val="center"/>
          </w:tcPr>
          <w:p w14:paraId="7ADB54C8">
            <w:pPr>
              <w:pStyle w:val="27"/>
              <w:rPr>
                <w:rFonts w:ascii="Times New Roman" w:hAnsi="Times New Roman"/>
                <w:highlight w:val="none"/>
              </w:rPr>
            </w:pPr>
            <w:r>
              <w:rPr>
                <w:rFonts w:ascii="Times New Roman" w:hAnsi="Times New Roman"/>
                <w:highlight w:val="none"/>
              </w:rPr>
              <w:t>年平均</w:t>
            </w:r>
          </w:p>
        </w:tc>
        <w:tc>
          <w:tcPr>
            <w:tcW w:w="938" w:type="pct"/>
            <w:tcBorders>
              <w:top w:val="single" w:color="auto" w:sz="2" w:space="0"/>
              <w:bottom w:val="single" w:color="auto" w:sz="2" w:space="0"/>
            </w:tcBorders>
            <w:noWrap w:val="0"/>
            <w:vAlign w:val="center"/>
          </w:tcPr>
          <w:p w14:paraId="5D41BC93">
            <w:pPr>
              <w:pStyle w:val="27"/>
              <w:rPr>
                <w:rFonts w:ascii="Times New Roman" w:hAnsi="Times New Roman"/>
                <w:highlight w:val="none"/>
              </w:rPr>
            </w:pPr>
            <w:r>
              <w:rPr>
                <w:rFonts w:ascii="Times New Roman" w:hAnsi="Times New Roman"/>
                <w:highlight w:val="none"/>
              </w:rPr>
              <w:t>0.05</w:t>
            </w:r>
          </w:p>
        </w:tc>
        <w:tc>
          <w:tcPr>
            <w:tcW w:w="1436" w:type="pct"/>
            <w:noWrap w:val="0"/>
            <w:vAlign w:val="center"/>
          </w:tcPr>
          <w:p w14:paraId="0353C6B7">
            <w:pPr>
              <w:pStyle w:val="27"/>
              <w:rPr>
                <w:rFonts w:ascii="Times New Roman" w:hAnsi="Times New Roman"/>
                <w:highlight w:val="none"/>
              </w:rPr>
            </w:pPr>
            <w:r>
              <w:rPr>
                <w:rFonts w:ascii="Times New Roman" w:hAnsi="Times New Roman"/>
                <w:highlight w:val="none"/>
              </w:rPr>
              <w:t xml:space="preserve">《环境空气质量标准》（GB3095-2012）附录A </w:t>
            </w:r>
          </w:p>
        </w:tc>
      </w:tr>
      <w:tr w14:paraId="09E581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0" w:hRule="atLeast"/>
          <w:jc w:val="center"/>
        </w:trPr>
        <w:tc>
          <w:tcPr>
            <w:tcW w:w="611" w:type="pct"/>
            <w:noWrap w:val="0"/>
            <w:vAlign w:val="center"/>
          </w:tcPr>
          <w:p w14:paraId="7FC4C91D">
            <w:pPr>
              <w:pStyle w:val="27"/>
              <w:rPr>
                <w:rFonts w:ascii="Times New Roman" w:hAnsi="Times New Roman"/>
                <w:highlight w:val="none"/>
              </w:rPr>
            </w:pPr>
            <w:r>
              <w:rPr>
                <w:rFonts w:ascii="Times New Roman" w:hAnsi="Times New Roman"/>
                <w:highlight w:val="none"/>
              </w:rPr>
              <w:t>10</w:t>
            </w:r>
          </w:p>
        </w:tc>
        <w:tc>
          <w:tcPr>
            <w:tcW w:w="819" w:type="pct"/>
            <w:noWrap w:val="0"/>
            <w:vAlign w:val="center"/>
          </w:tcPr>
          <w:p w14:paraId="7EC017A4">
            <w:pPr>
              <w:pStyle w:val="27"/>
              <w:rPr>
                <w:rFonts w:ascii="Times New Roman" w:hAnsi="Times New Roman"/>
                <w:highlight w:val="none"/>
              </w:rPr>
            </w:pPr>
            <w:r>
              <w:rPr>
                <w:rFonts w:ascii="Times New Roman" w:hAnsi="Times New Roman"/>
                <w:highlight w:val="none"/>
              </w:rPr>
              <w:t>NH</w:t>
            </w:r>
            <w:r>
              <w:rPr>
                <w:rFonts w:ascii="Times New Roman" w:hAnsi="Times New Roman"/>
                <w:highlight w:val="none"/>
                <w:vertAlign w:val="subscript"/>
              </w:rPr>
              <w:t>3</w:t>
            </w:r>
          </w:p>
        </w:tc>
        <w:tc>
          <w:tcPr>
            <w:tcW w:w="1195" w:type="pct"/>
            <w:tcBorders>
              <w:top w:val="single" w:color="auto" w:sz="2" w:space="0"/>
              <w:bottom w:val="single" w:color="auto" w:sz="12" w:space="0"/>
            </w:tcBorders>
            <w:noWrap w:val="0"/>
            <w:vAlign w:val="center"/>
          </w:tcPr>
          <w:p w14:paraId="2E497CA6">
            <w:pPr>
              <w:pStyle w:val="27"/>
              <w:rPr>
                <w:rFonts w:ascii="Times New Roman" w:hAnsi="Times New Roman"/>
                <w:highlight w:val="none"/>
              </w:rPr>
            </w:pPr>
            <w:r>
              <w:rPr>
                <w:rFonts w:ascii="Times New Roman" w:hAnsi="Times New Roman"/>
                <w:highlight w:val="none"/>
              </w:rPr>
              <w:t>1小时平均</w:t>
            </w:r>
          </w:p>
        </w:tc>
        <w:tc>
          <w:tcPr>
            <w:tcW w:w="938" w:type="pct"/>
            <w:tcBorders>
              <w:top w:val="single" w:color="auto" w:sz="2" w:space="0"/>
              <w:bottom w:val="single" w:color="auto" w:sz="12" w:space="0"/>
            </w:tcBorders>
            <w:noWrap w:val="0"/>
            <w:vAlign w:val="center"/>
          </w:tcPr>
          <w:p w14:paraId="71326591">
            <w:pPr>
              <w:pStyle w:val="27"/>
              <w:rPr>
                <w:rFonts w:ascii="Times New Roman" w:hAnsi="Times New Roman"/>
                <w:highlight w:val="none"/>
              </w:rPr>
            </w:pPr>
            <w:r>
              <w:rPr>
                <w:rFonts w:ascii="Times New Roman" w:hAnsi="Times New Roman"/>
                <w:highlight w:val="none"/>
              </w:rPr>
              <w:t>200</w:t>
            </w:r>
          </w:p>
        </w:tc>
        <w:tc>
          <w:tcPr>
            <w:tcW w:w="1436" w:type="pct"/>
            <w:noWrap w:val="0"/>
            <w:vAlign w:val="center"/>
          </w:tcPr>
          <w:p w14:paraId="5DBD01B2">
            <w:pPr>
              <w:pStyle w:val="27"/>
              <w:rPr>
                <w:rFonts w:ascii="Times New Roman" w:hAnsi="Times New Roman"/>
                <w:highlight w:val="none"/>
              </w:rPr>
            </w:pPr>
            <w:r>
              <w:rPr>
                <w:rFonts w:ascii="Times New Roman" w:hAnsi="Times New Roman"/>
                <w:highlight w:val="none"/>
              </w:rPr>
              <w:t>《环境影响评价技术导则—大气环境》（HJ2.2-2018）附录D</w:t>
            </w:r>
          </w:p>
        </w:tc>
      </w:tr>
    </w:tbl>
    <w:p w14:paraId="4004F464">
      <w:pPr>
        <w:rPr>
          <w:rFonts w:hint="eastAsia"/>
          <w:highlight w:val="none"/>
          <w:lang w:val="en-US" w:eastAsia="zh-CN"/>
        </w:rPr>
      </w:pPr>
      <w:r>
        <w:rPr>
          <w:rFonts w:hint="eastAsia"/>
          <w:highlight w:val="none"/>
          <w:lang w:val="en-US" w:eastAsia="zh-CN"/>
        </w:rPr>
        <w:t>2、地表水环境质量标准</w:t>
      </w:r>
    </w:p>
    <w:p w14:paraId="356D2FFB">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eastAsia="黑体" w:cs="Times New Roman"/>
          <w:color w:val="auto"/>
          <w:spacing w:val="20"/>
          <w:sz w:val="24"/>
          <w:szCs w:val="24"/>
          <w:highlight w:val="none"/>
        </w:rPr>
      </w:pPr>
      <w:r>
        <w:rPr>
          <w:rFonts w:hint="default" w:ascii="Times New Roman" w:hAnsi="Times New Roman" w:eastAsia="宋体" w:cs="Times New Roman"/>
          <w:color w:val="auto"/>
          <w:spacing w:val="0"/>
          <w:sz w:val="24"/>
          <w:highlight w:val="none"/>
          <w:lang w:val="en-US" w:eastAsia="zh-CN"/>
        </w:rPr>
        <w:t>本项目所在区域</w:t>
      </w:r>
      <w:r>
        <w:rPr>
          <w:rFonts w:hint="default" w:ascii="Times New Roman" w:hAnsi="Times New Roman" w:cs="Times New Roman"/>
          <w:color w:val="auto"/>
          <w:spacing w:val="0"/>
          <w:sz w:val="24"/>
          <w:highlight w:val="none"/>
          <w:lang w:val="en-US" w:eastAsia="zh-CN"/>
        </w:rPr>
        <w:t>水系为绥芬河，所在河流</w:t>
      </w:r>
      <w:r>
        <w:rPr>
          <w:rFonts w:hint="default" w:ascii="Times New Roman" w:hAnsi="Times New Roman" w:eastAsia="宋体" w:cs="Times New Roman"/>
          <w:color w:val="auto"/>
          <w:spacing w:val="0"/>
          <w:sz w:val="24"/>
          <w:highlight w:val="none"/>
          <w:lang w:val="en-US" w:eastAsia="zh-CN"/>
        </w:rPr>
        <w:t>为</w:t>
      </w:r>
      <w:r>
        <w:rPr>
          <w:rFonts w:hint="eastAsia" w:cs="Times New Roman"/>
          <w:color w:val="auto"/>
          <w:spacing w:val="0"/>
          <w:sz w:val="24"/>
          <w:highlight w:val="none"/>
          <w:lang w:val="en-US" w:eastAsia="zh-CN"/>
        </w:rPr>
        <w:t>北大河</w:t>
      </w:r>
      <w:r>
        <w:rPr>
          <w:rFonts w:hint="default" w:ascii="Times New Roman" w:hAnsi="Times New Roman" w:eastAsia="宋体" w:cs="Times New Roman"/>
          <w:color w:val="auto"/>
          <w:spacing w:val="0"/>
          <w:sz w:val="24"/>
          <w:highlight w:val="none"/>
          <w:lang w:val="en-US" w:eastAsia="zh-CN"/>
        </w:rPr>
        <w:t>，</w:t>
      </w:r>
      <w:r>
        <w:rPr>
          <w:rFonts w:hint="eastAsia" w:cs="Times New Roman"/>
          <w:color w:val="auto"/>
          <w:spacing w:val="0"/>
          <w:sz w:val="24"/>
          <w:highlight w:val="none"/>
          <w:lang w:val="en-US" w:eastAsia="zh-CN"/>
        </w:rPr>
        <w:t>北大河</w:t>
      </w:r>
      <w:r>
        <w:rPr>
          <w:rFonts w:hint="default" w:ascii="Times New Roman" w:hAnsi="Times New Roman" w:cs="Times New Roman"/>
          <w:color w:val="auto"/>
          <w:spacing w:val="0"/>
          <w:sz w:val="24"/>
          <w:highlight w:val="none"/>
          <w:lang w:val="en-US" w:eastAsia="zh-CN"/>
        </w:rPr>
        <w:t>为小绥芬河支流，因</w:t>
      </w:r>
      <w:r>
        <w:rPr>
          <w:rFonts w:hint="eastAsia" w:cs="Times New Roman"/>
          <w:color w:val="auto"/>
          <w:spacing w:val="0"/>
          <w:sz w:val="24"/>
          <w:highlight w:val="none"/>
          <w:lang w:val="en-US" w:eastAsia="zh-CN"/>
        </w:rPr>
        <w:t>北大河</w:t>
      </w:r>
      <w:r>
        <w:rPr>
          <w:rFonts w:hint="default" w:ascii="Times New Roman" w:hAnsi="Times New Roman" w:cs="Times New Roman"/>
          <w:color w:val="auto"/>
          <w:spacing w:val="0"/>
          <w:sz w:val="24"/>
          <w:highlight w:val="none"/>
          <w:lang w:val="en-US" w:eastAsia="zh-CN"/>
        </w:rPr>
        <w:t>无水体功能，本项目参照小绥芬河水体功能类别，</w:t>
      </w:r>
      <w:r>
        <w:rPr>
          <w:rFonts w:hint="eastAsia" w:cs="Times New Roman"/>
          <w:color w:val="auto"/>
          <w:spacing w:val="0"/>
          <w:sz w:val="24"/>
          <w:highlight w:val="none"/>
          <w:lang w:val="en-US" w:eastAsia="zh-CN"/>
        </w:rPr>
        <w:t>本</w:t>
      </w:r>
      <w:r>
        <w:rPr>
          <w:rFonts w:hint="default" w:ascii="Times New Roman" w:hAnsi="Times New Roman" w:cs="Times New Roman"/>
          <w:color w:val="auto"/>
          <w:spacing w:val="0"/>
          <w:sz w:val="24"/>
          <w:highlight w:val="none"/>
          <w:lang w:val="en-US" w:eastAsia="zh-CN"/>
        </w:rPr>
        <w:t>项目</w:t>
      </w:r>
      <w:r>
        <w:rPr>
          <w:rFonts w:hint="default" w:ascii="Times New Roman" w:hAnsi="Times New Roman" w:eastAsia="宋体" w:cs="Times New Roman"/>
          <w:color w:val="auto"/>
          <w:sz w:val="24"/>
          <w:highlight w:val="none"/>
          <w:lang w:val="en-US" w:eastAsia="zh-CN"/>
        </w:rPr>
        <w:t>位于</w:t>
      </w:r>
      <w:r>
        <w:rPr>
          <w:rFonts w:hint="default" w:ascii="Times New Roman" w:hAnsi="Times New Roman" w:cs="Times New Roman"/>
          <w:color w:val="auto"/>
          <w:sz w:val="24"/>
          <w:highlight w:val="none"/>
          <w:lang w:val="en-US" w:eastAsia="zh-CN"/>
        </w:rPr>
        <w:t>小绥芬河（老莱营村-大、小绥芬河汇合口</w:t>
      </w:r>
      <w:r>
        <w:rPr>
          <w:rFonts w:hint="default" w:ascii="Times New Roman" w:hAnsi="Times New Roman" w:eastAsia="宋体" w:cs="Times New Roman"/>
          <w:color w:val="auto"/>
          <w:sz w:val="24"/>
          <w:highlight w:val="none"/>
          <w:lang w:val="en-US" w:eastAsia="zh-CN"/>
        </w:rPr>
        <w:t>断面</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bidi="ar"/>
        </w:rPr>
        <w:t>根据《全国重要江河湖泊水功能区划（2011～2030年）》</w:t>
      </w:r>
      <w:r>
        <w:rPr>
          <w:rFonts w:hint="default" w:ascii="Times New Roman" w:hAnsi="Times New Roman" w:cs="Times New Roman"/>
          <w:color w:val="auto"/>
          <w:kern w:val="0"/>
          <w:sz w:val="24"/>
          <w:szCs w:val="24"/>
          <w:highlight w:val="none"/>
          <w:lang w:val="en-US" w:eastAsia="zh-CN" w:bidi="ar"/>
        </w:rPr>
        <w:t>，水质类别为</w:t>
      </w:r>
      <w:r>
        <w:rPr>
          <w:rFonts w:hint="default" w:ascii="Times New Roman" w:hAnsi="Times New Roman" w:eastAsia="宋体" w:cs="Times New Roman"/>
          <w:color w:val="auto"/>
          <w:sz w:val="24"/>
          <w:highlight w:val="none"/>
        </w:rPr>
        <w:t>Ⅲ</w:t>
      </w:r>
      <w:r>
        <w:rPr>
          <w:rFonts w:hint="default" w:ascii="Times New Roman" w:hAnsi="Times New Roman" w:cs="Times New Roman"/>
          <w:color w:val="auto"/>
          <w:kern w:val="0"/>
          <w:sz w:val="24"/>
          <w:szCs w:val="24"/>
          <w:highlight w:val="none"/>
          <w:lang w:val="en-US" w:eastAsia="zh-CN" w:bidi="ar"/>
        </w:rPr>
        <w:t>类，</w:t>
      </w:r>
      <w:r>
        <w:rPr>
          <w:rFonts w:hint="default" w:ascii="Times New Roman" w:hAnsi="Times New Roman" w:eastAsia="宋体" w:cs="Times New Roman"/>
          <w:color w:val="auto"/>
          <w:sz w:val="24"/>
          <w:highlight w:val="none"/>
          <w:lang w:val="en-US" w:eastAsia="zh-CN"/>
        </w:rPr>
        <w:t>执行</w:t>
      </w:r>
      <w:r>
        <w:rPr>
          <w:rFonts w:hint="default" w:ascii="Times New Roman" w:hAnsi="Times New Roman" w:eastAsia="宋体" w:cs="Times New Roman"/>
          <w:color w:val="auto"/>
          <w:sz w:val="24"/>
          <w:highlight w:val="none"/>
        </w:rPr>
        <w:t>《地表水环境质量标准》（GB3838-2002）中Ⅲ类水体标准</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val="en-US" w:eastAsia="zh-CN"/>
        </w:rPr>
        <w:t>本项目</w:t>
      </w:r>
      <w:r>
        <w:rPr>
          <w:rFonts w:hint="default" w:ascii="Times New Roman" w:hAnsi="Times New Roman" w:eastAsia="宋体" w:cs="Times New Roman"/>
          <w:color w:val="auto"/>
          <w:spacing w:val="0"/>
          <w:sz w:val="24"/>
          <w:highlight w:val="none"/>
          <w:lang w:val="en-US" w:eastAsia="zh-CN"/>
        </w:rPr>
        <w:t>地表水环境质量执行标准见表2</w:t>
      </w:r>
      <w:r>
        <w:rPr>
          <w:rFonts w:hint="eastAsia" w:ascii="Times New Roman" w:hAnsi="Times New Roman" w:eastAsia="宋体" w:cs="Times New Roman"/>
          <w:color w:val="auto"/>
          <w:spacing w:val="0"/>
          <w:sz w:val="24"/>
          <w:highlight w:val="none"/>
          <w:lang w:val="en-US" w:eastAsia="zh-CN"/>
        </w:rPr>
        <w:t>.</w:t>
      </w:r>
      <w:r>
        <w:rPr>
          <w:rFonts w:hint="default" w:ascii="Times New Roman" w:hAnsi="Times New Roman" w:eastAsia="宋体" w:cs="Times New Roman"/>
          <w:color w:val="auto"/>
          <w:spacing w:val="0"/>
          <w:sz w:val="24"/>
          <w:highlight w:val="none"/>
          <w:lang w:val="en-US" w:eastAsia="zh-CN"/>
        </w:rPr>
        <w:t>3-</w:t>
      </w:r>
      <w:r>
        <w:rPr>
          <w:rFonts w:hint="eastAsia" w:ascii="Times New Roman" w:hAnsi="Times New Roman" w:eastAsia="宋体" w:cs="Times New Roman"/>
          <w:color w:val="auto"/>
          <w:spacing w:val="0"/>
          <w:sz w:val="24"/>
          <w:highlight w:val="none"/>
          <w:lang w:val="en-US" w:eastAsia="zh-CN"/>
        </w:rPr>
        <w:t>6</w:t>
      </w:r>
      <w:r>
        <w:rPr>
          <w:rFonts w:hint="default" w:ascii="Times New Roman" w:hAnsi="Times New Roman" w:eastAsia="宋体" w:cs="Times New Roman"/>
          <w:color w:val="auto"/>
          <w:spacing w:val="0"/>
          <w:sz w:val="24"/>
          <w:highlight w:val="none"/>
          <w:lang w:val="en-US" w:eastAsia="zh-CN"/>
        </w:rPr>
        <w:t>。</w:t>
      </w:r>
    </w:p>
    <w:p w14:paraId="5688C07A">
      <w:pPr>
        <w:keepNext w:val="0"/>
        <w:keepLines w:val="0"/>
        <w:pageBreakBefore w:val="0"/>
        <w:widowControl w:val="0"/>
        <w:kinsoku/>
        <w:wordWrap/>
        <w:overflowPunct/>
        <w:topLinePunct w:val="0"/>
        <w:bidi w:val="0"/>
        <w:snapToGrid/>
        <w:spacing w:line="480" w:lineRule="exact"/>
        <w:jc w:val="center"/>
        <w:textAlignment w:val="auto"/>
        <w:rPr>
          <w:rFonts w:hint="default" w:ascii="Times New Roman" w:hAnsi="Times New Roman" w:eastAsia="黑体" w:cs="Times New Roman"/>
          <w:color w:val="auto"/>
          <w:spacing w:val="0"/>
          <w:sz w:val="24"/>
          <w:szCs w:val="24"/>
          <w:highlight w:val="none"/>
        </w:rPr>
      </w:pPr>
      <w:r>
        <w:rPr>
          <w:rFonts w:hint="default" w:ascii="Times New Roman" w:hAnsi="Times New Roman" w:eastAsia="黑体" w:cs="Times New Roman"/>
          <w:color w:val="auto"/>
          <w:spacing w:val="0"/>
          <w:sz w:val="24"/>
          <w:szCs w:val="24"/>
          <w:highlight w:val="none"/>
        </w:rPr>
        <w:t>表2</w:t>
      </w:r>
      <w:r>
        <w:rPr>
          <w:rFonts w:hint="eastAsia" w:ascii="Times New Roman" w:hAnsi="Times New Roman" w:eastAsia="黑体" w:cs="Times New Roman"/>
          <w:color w:val="auto"/>
          <w:spacing w:val="0"/>
          <w:sz w:val="24"/>
          <w:szCs w:val="24"/>
          <w:highlight w:val="none"/>
          <w:lang w:val="en-US" w:eastAsia="zh-CN"/>
        </w:rPr>
        <w:t>.</w:t>
      </w:r>
      <w:r>
        <w:rPr>
          <w:rFonts w:hint="default" w:ascii="Times New Roman" w:hAnsi="Times New Roman" w:eastAsia="黑体" w:cs="Times New Roman"/>
          <w:color w:val="auto"/>
          <w:spacing w:val="0"/>
          <w:sz w:val="24"/>
          <w:szCs w:val="24"/>
          <w:highlight w:val="none"/>
        </w:rPr>
        <w:t>3-</w:t>
      </w:r>
      <w:r>
        <w:rPr>
          <w:rFonts w:hint="eastAsia" w:ascii="Times New Roman" w:hAnsi="Times New Roman" w:eastAsia="黑体" w:cs="Times New Roman"/>
          <w:color w:val="auto"/>
          <w:spacing w:val="0"/>
          <w:sz w:val="24"/>
          <w:szCs w:val="24"/>
          <w:highlight w:val="none"/>
          <w:lang w:val="en-US" w:eastAsia="zh-CN"/>
        </w:rPr>
        <w:t>6</w:t>
      </w:r>
      <w:r>
        <w:rPr>
          <w:rFonts w:hint="default" w:ascii="Times New Roman" w:hAnsi="Times New Roman" w:eastAsia="黑体" w:cs="Times New Roman"/>
          <w:color w:val="auto"/>
          <w:spacing w:val="0"/>
          <w:sz w:val="24"/>
          <w:szCs w:val="24"/>
          <w:highlight w:val="none"/>
        </w:rPr>
        <w:t>本项目</w:t>
      </w:r>
      <w:r>
        <w:rPr>
          <w:rFonts w:hint="default" w:ascii="Times New Roman" w:hAnsi="Times New Roman" w:eastAsia="黑体" w:cs="Times New Roman"/>
          <w:color w:val="auto"/>
          <w:spacing w:val="0"/>
          <w:sz w:val="24"/>
          <w:szCs w:val="24"/>
          <w:highlight w:val="none"/>
          <w:lang w:eastAsia="zh-CN"/>
        </w:rPr>
        <w:t>地表水环境</w:t>
      </w:r>
      <w:r>
        <w:rPr>
          <w:rFonts w:hint="default" w:ascii="Times New Roman" w:hAnsi="Times New Roman" w:eastAsia="黑体" w:cs="Times New Roman"/>
          <w:color w:val="auto"/>
          <w:spacing w:val="0"/>
          <w:sz w:val="24"/>
          <w:szCs w:val="24"/>
          <w:highlight w:val="none"/>
        </w:rPr>
        <w:t>质量标准</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108" w:type="dxa"/>
          <w:bottom w:w="0" w:type="dxa"/>
          <w:right w:w="108" w:type="dxa"/>
        </w:tblCellMar>
      </w:tblPr>
      <w:tblGrid>
        <w:gridCol w:w="1291"/>
        <w:gridCol w:w="3062"/>
        <w:gridCol w:w="1952"/>
        <w:gridCol w:w="1057"/>
        <w:gridCol w:w="1160"/>
      </w:tblGrid>
      <w:tr w14:paraId="06A06450">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jc w:val="center"/>
        </w:trPr>
        <w:tc>
          <w:tcPr>
            <w:tcW w:w="757" w:type="pct"/>
            <w:vMerge w:val="restart"/>
            <w:tcBorders>
              <w:tl2br w:val="nil"/>
              <w:tr2bl w:val="nil"/>
            </w:tcBorders>
            <w:noWrap w:val="0"/>
            <w:vAlign w:val="center"/>
          </w:tcPr>
          <w:p w14:paraId="305194D3">
            <w:pPr>
              <w:pStyle w:val="26"/>
              <w:keepNext w:val="0"/>
              <w:keepLines w:val="0"/>
              <w:pageBreakBefore w:val="0"/>
              <w:widowControl w:val="0"/>
              <w:kinsoku/>
              <w:wordWrap/>
              <w:overflowPunct/>
              <w:topLinePunct w:val="0"/>
              <w:autoSpaceDE w:val="0"/>
              <w:autoSpaceDN w:val="0"/>
              <w:bidi w:val="0"/>
              <w:snapToGrid/>
              <w:spacing w:line="240" w:lineRule="auto"/>
              <w:ind w:left="0" w:leftChars="0" w:firstLine="0" w:firstLineChars="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类别</w:t>
            </w:r>
          </w:p>
        </w:tc>
        <w:tc>
          <w:tcPr>
            <w:tcW w:w="1796" w:type="pct"/>
            <w:vMerge w:val="restart"/>
            <w:tcBorders>
              <w:tl2br w:val="nil"/>
              <w:tr2bl w:val="nil"/>
            </w:tcBorders>
            <w:noWrap w:val="0"/>
            <w:vAlign w:val="center"/>
          </w:tcPr>
          <w:p w14:paraId="357DB794">
            <w:pPr>
              <w:pStyle w:val="26"/>
              <w:keepNext w:val="0"/>
              <w:keepLines w:val="0"/>
              <w:pageBreakBefore w:val="0"/>
              <w:widowControl w:val="0"/>
              <w:kinsoku/>
              <w:wordWrap/>
              <w:overflowPunct/>
              <w:topLinePunct w:val="0"/>
              <w:autoSpaceDE w:val="0"/>
              <w:autoSpaceDN w:val="0"/>
              <w:bidi w:val="0"/>
              <w:snapToGrid/>
              <w:spacing w:line="240" w:lineRule="auto"/>
              <w:ind w:left="0" w:leftChars="0" w:firstLine="0" w:firstLineChars="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标准名称及级（类）别</w:t>
            </w:r>
          </w:p>
        </w:tc>
        <w:tc>
          <w:tcPr>
            <w:tcW w:w="1145" w:type="pct"/>
            <w:vMerge w:val="restart"/>
            <w:tcBorders>
              <w:tl2br w:val="nil"/>
              <w:tr2bl w:val="nil"/>
            </w:tcBorders>
            <w:noWrap w:val="0"/>
            <w:vAlign w:val="center"/>
          </w:tcPr>
          <w:p w14:paraId="117BD8F5">
            <w:pPr>
              <w:pStyle w:val="26"/>
              <w:keepNext w:val="0"/>
              <w:keepLines w:val="0"/>
              <w:pageBreakBefore w:val="0"/>
              <w:widowControl w:val="0"/>
              <w:kinsoku/>
              <w:wordWrap/>
              <w:overflowPunct/>
              <w:topLinePunct w:val="0"/>
              <w:autoSpaceDE w:val="0"/>
              <w:autoSpaceDN w:val="0"/>
              <w:bidi w:val="0"/>
              <w:snapToGrid/>
              <w:spacing w:line="240" w:lineRule="auto"/>
              <w:ind w:left="0" w:leftChars="0" w:firstLine="0" w:firstLineChars="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污染因子</w:t>
            </w:r>
          </w:p>
        </w:tc>
        <w:tc>
          <w:tcPr>
            <w:tcW w:w="1300" w:type="pct"/>
            <w:gridSpan w:val="2"/>
            <w:tcBorders>
              <w:tl2br w:val="nil"/>
              <w:tr2bl w:val="nil"/>
            </w:tcBorders>
            <w:noWrap w:val="0"/>
            <w:vAlign w:val="center"/>
          </w:tcPr>
          <w:p w14:paraId="01552BF3">
            <w:pPr>
              <w:pStyle w:val="26"/>
              <w:keepNext w:val="0"/>
              <w:keepLines w:val="0"/>
              <w:pageBreakBefore w:val="0"/>
              <w:widowControl w:val="0"/>
              <w:kinsoku/>
              <w:wordWrap/>
              <w:overflowPunct/>
              <w:topLinePunct w:val="0"/>
              <w:autoSpaceDE w:val="0"/>
              <w:autoSpaceDN w:val="0"/>
              <w:bidi w:val="0"/>
              <w:snapToGrid/>
              <w:spacing w:line="240" w:lineRule="auto"/>
              <w:ind w:left="0" w:leftChars="0" w:firstLine="0" w:firstLineChars="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标准值</w:t>
            </w:r>
          </w:p>
        </w:tc>
      </w:tr>
      <w:tr w14:paraId="085BF837">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tblHeader/>
          <w:jc w:val="center"/>
        </w:trPr>
        <w:tc>
          <w:tcPr>
            <w:tcW w:w="757" w:type="pct"/>
            <w:vMerge w:val="continue"/>
            <w:tcBorders>
              <w:tl2br w:val="nil"/>
              <w:tr2bl w:val="nil"/>
            </w:tcBorders>
            <w:noWrap w:val="0"/>
            <w:vAlign w:val="center"/>
          </w:tcPr>
          <w:p w14:paraId="630BFE19">
            <w:pPr>
              <w:pStyle w:val="26"/>
              <w:keepNext w:val="0"/>
              <w:keepLines w:val="0"/>
              <w:pageBreakBefore w:val="0"/>
              <w:widowControl w:val="0"/>
              <w:kinsoku/>
              <w:wordWrap/>
              <w:overflowPunct/>
              <w:topLinePunct w:val="0"/>
              <w:autoSpaceDE w:val="0"/>
              <w:autoSpaceDN w:val="0"/>
              <w:bidi w:val="0"/>
              <w:snapToGrid/>
              <w:spacing w:line="240" w:lineRule="auto"/>
              <w:jc w:val="center"/>
              <w:textAlignment w:val="bottom"/>
              <w:rPr>
                <w:rFonts w:hint="default" w:ascii="Times New Roman" w:hAnsi="Times New Roman" w:eastAsia="宋体" w:cs="Times New Roman"/>
                <w:color w:val="auto"/>
                <w:sz w:val="21"/>
                <w:szCs w:val="21"/>
                <w:highlight w:val="none"/>
              </w:rPr>
            </w:pPr>
          </w:p>
        </w:tc>
        <w:tc>
          <w:tcPr>
            <w:tcW w:w="1796" w:type="pct"/>
            <w:vMerge w:val="continue"/>
            <w:tcBorders>
              <w:tl2br w:val="nil"/>
              <w:tr2bl w:val="nil"/>
            </w:tcBorders>
            <w:noWrap w:val="0"/>
            <w:vAlign w:val="center"/>
          </w:tcPr>
          <w:p w14:paraId="4A3FC7AF">
            <w:pPr>
              <w:pStyle w:val="26"/>
              <w:keepNext w:val="0"/>
              <w:keepLines w:val="0"/>
              <w:pageBreakBefore w:val="0"/>
              <w:widowControl w:val="0"/>
              <w:kinsoku/>
              <w:wordWrap/>
              <w:overflowPunct/>
              <w:topLinePunct w:val="0"/>
              <w:autoSpaceDE w:val="0"/>
              <w:autoSpaceDN w:val="0"/>
              <w:bidi w:val="0"/>
              <w:snapToGrid/>
              <w:spacing w:line="240" w:lineRule="auto"/>
              <w:jc w:val="center"/>
              <w:textAlignment w:val="bottom"/>
              <w:rPr>
                <w:rFonts w:hint="default" w:ascii="Times New Roman" w:hAnsi="Times New Roman" w:eastAsia="宋体" w:cs="Times New Roman"/>
                <w:color w:val="auto"/>
                <w:sz w:val="21"/>
                <w:szCs w:val="21"/>
                <w:highlight w:val="none"/>
              </w:rPr>
            </w:pPr>
          </w:p>
        </w:tc>
        <w:tc>
          <w:tcPr>
            <w:tcW w:w="1145" w:type="pct"/>
            <w:vMerge w:val="continue"/>
            <w:tcBorders>
              <w:tl2br w:val="nil"/>
              <w:tr2bl w:val="nil"/>
            </w:tcBorders>
            <w:noWrap w:val="0"/>
            <w:vAlign w:val="center"/>
          </w:tcPr>
          <w:p w14:paraId="2F762F12">
            <w:pPr>
              <w:pStyle w:val="26"/>
              <w:keepNext w:val="0"/>
              <w:keepLines w:val="0"/>
              <w:pageBreakBefore w:val="0"/>
              <w:widowControl w:val="0"/>
              <w:kinsoku/>
              <w:wordWrap/>
              <w:overflowPunct/>
              <w:topLinePunct w:val="0"/>
              <w:autoSpaceDE w:val="0"/>
              <w:autoSpaceDN w:val="0"/>
              <w:bidi w:val="0"/>
              <w:snapToGrid/>
              <w:spacing w:line="240" w:lineRule="auto"/>
              <w:jc w:val="center"/>
              <w:textAlignment w:val="bottom"/>
              <w:rPr>
                <w:rFonts w:hint="default" w:ascii="Times New Roman" w:hAnsi="Times New Roman" w:eastAsia="宋体" w:cs="Times New Roman"/>
                <w:color w:val="auto"/>
                <w:sz w:val="21"/>
                <w:szCs w:val="21"/>
                <w:highlight w:val="none"/>
              </w:rPr>
            </w:pPr>
          </w:p>
        </w:tc>
        <w:tc>
          <w:tcPr>
            <w:tcW w:w="620" w:type="pct"/>
            <w:tcBorders>
              <w:tl2br w:val="nil"/>
              <w:tr2bl w:val="nil"/>
            </w:tcBorders>
            <w:noWrap w:val="0"/>
            <w:vAlign w:val="center"/>
          </w:tcPr>
          <w:p w14:paraId="537D05BE">
            <w:pPr>
              <w:pStyle w:val="26"/>
              <w:keepNext w:val="0"/>
              <w:keepLines w:val="0"/>
              <w:pageBreakBefore w:val="0"/>
              <w:widowControl w:val="0"/>
              <w:kinsoku/>
              <w:wordWrap/>
              <w:overflowPunct/>
              <w:topLinePunct w:val="0"/>
              <w:autoSpaceDE w:val="0"/>
              <w:autoSpaceDN w:val="0"/>
              <w:bidi w:val="0"/>
              <w:snapToGrid/>
              <w:spacing w:line="240" w:lineRule="auto"/>
              <w:ind w:left="0" w:leftChars="0" w:firstLine="0" w:firstLineChars="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680" w:type="pct"/>
            <w:tcBorders>
              <w:tl2br w:val="nil"/>
              <w:tr2bl w:val="nil"/>
            </w:tcBorders>
            <w:noWrap w:val="0"/>
            <w:vAlign w:val="center"/>
          </w:tcPr>
          <w:p w14:paraId="45DCDF0F">
            <w:pPr>
              <w:pStyle w:val="26"/>
              <w:keepNext w:val="0"/>
              <w:keepLines w:val="0"/>
              <w:pageBreakBefore w:val="0"/>
              <w:widowControl w:val="0"/>
              <w:kinsoku/>
              <w:wordWrap/>
              <w:overflowPunct/>
              <w:topLinePunct w:val="0"/>
              <w:autoSpaceDE w:val="0"/>
              <w:autoSpaceDN w:val="0"/>
              <w:bidi w:val="0"/>
              <w:snapToGrid/>
              <w:spacing w:line="240" w:lineRule="auto"/>
              <w:ind w:left="0" w:leftChars="0" w:firstLine="0" w:firstLineChars="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数值</w:t>
            </w:r>
          </w:p>
        </w:tc>
      </w:tr>
      <w:tr w14:paraId="2D39ECFD">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tblHeader/>
          <w:jc w:val="center"/>
        </w:trPr>
        <w:tc>
          <w:tcPr>
            <w:tcW w:w="757" w:type="pct"/>
            <w:vMerge w:val="restart"/>
            <w:tcBorders>
              <w:tl2br w:val="nil"/>
              <w:tr2bl w:val="nil"/>
            </w:tcBorders>
            <w:noWrap w:val="0"/>
            <w:vAlign w:val="center"/>
          </w:tcPr>
          <w:p w14:paraId="4DC794F1">
            <w:pPr>
              <w:pStyle w:val="26"/>
              <w:keepNext w:val="0"/>
              <w:keepLines w:val="0"/>
              <w:pageBreakBefore w:val="0"/>
              <w:widowControl w:val="0"/>
              <w:kinsoku/>
              <w:wordWrap/>
              <w:overflowPunct/>
              <w:topLinePunct w:val="0"/>
              <w:autoSpaceDE w:val="0"/>
              <w:autoSpaceDN w:val="0"/>
              <w:bidi w:val="0"/>
              <w:snapToGrid/>
              <w:spacing w:line="240" w:lineRule="auto"/>
              <w:ind w:left="0" w:leftChars="0" w:firstLine="0" w:firstLineChars="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地表水环境</w:t>
            </w:r>
          </w:p>
        </w:tc>
        <w:tc>
          <w:tcPr>
            <w:tcW w:w="1796" w:type="pct"/>
            <w:vMerge w:val="restart"/>
            <w:tcBorders>
              <w:tl2br w:val="nil"/>
              <w:tr2bl w:val="nil"/>
            </w:tcBorders>
            <w:noWrap w:val="0"/>
            <w:vAlign w:val="center"/>
          </w:tcPr>
          <w:p w14:paraId="6D04A045">
            <w:pPr>
              <w:pStyle w:val="26"/>
              <w:keepNext w:val="0"/>
              <w:keepLines w:val="0"/>
              <w:pageBreakBefore w:val="0"/>
              <w:widowControl w:val="0"/>
              <w:kinsoku/>
              <w:wordWrap/>
              <w:overflowPunct/>
              <w:topLinePunct w:val="0"/>
              <w:autoSpaceDE w:val="0"/>
              <w:autoSpaceDN w:val="0"/>
              <w:bidi w:val="0"/>
              <w:snapToGrid/>
              <w:spacing w:line="240" w:lineRule="auto"/>
              <w:ind w:left="0" w:leftChars="0" w:firstLine="0" w:firstLineChars="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《地表水环境质量标准》（GB3838-2002）</w:t>
            </w:r>
            <w:r>
              <w:rPr>
                <w:rFonts w:hint="default" w:ascii="Times New Roman" w:hAnsi="Times New Roman" w:eastAsia="宋体" w:cs="Times New Roman"/>
                <w:color w:val="auto"/>
                <w:sz w:val="24"/>
                <w:highlight w:val="none"/>
              </w:rPr>
              <w:t>Ⅲ</w:t>
            </w:r>
            <w:r>
              <w:rPr>
                <w:rFonts w:hint="default" w:ascii="Times New Roman" w:hAnsi="Times New Roman" w:eastAsia="宋体" w:cs="Times New Roman"/>
                <w:color w:val="auto"/>
                <w:spacing w:val="16"/>
                <w:sz w:val="21"/>
                <w:szCs w:val="21"/>
                <w:highlight w:val="none"/>
              </w:rPr>
              <w:t>类</w:t>
            </w:r>
            <w:r>
              <w:rPr>
                <w:rFonts w:hint="default" w:ascii="Times New Roman" w:hAnsi="Times New Roman" w:eastAsia="宋体" w:cs="Times New Roman"/>
                <w:color w:val="auto"/>
                <w:sz w:val="21"/>
                <w:szCs w:val="21"/>
                <w:highlight w:val="none"/>
              </w:rPr>
              <w:t>标准</w:t>
            </w:r>
          </w:p>
        </w:tc>
        <w:tc>
          <w:tcPr>
            <w:tcW w:w="1145" w:type="pct"/>
            <w:tcBorders>
              <w:tl2br w:val="nil"/>
              <w:tr2bl w:val="nil"/>
            </w:tcBorders>
            <w:noWrap w:val="0"/>
            <w:vAlign w:val="center"/>
          </w:tcPr>
          <w:p w14:paraId="582308FB">
            <w:pPr>
              <w:pStyle w:val="26"/>
              <w:keepNext w:val="0"/>
              <w:keepLines w:val="0"/>
              <w:pageBreakBefore w:val="0"/>
              <w:widowControl w:val="0"/>
              <w:kinsoku/>
              <w:wordWrap/>
              <w:overflowPunct/>
              <w:topLinePunct w:val="0"/>
              <w:autoSpaceDE w:val="0"/>
              <w:autoSpaceDN w:val="0"/>
              <w:bidi w:val="0"/>
              <w:snapToGrid/>
              <w:spacing w:line="240" w:lineRule="auto"/>
              <w:ind w:left="0" w:leftChars="0" w:firstLine="0" w:firstLineChars="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w:t>
            </w:r>
          </w:p>
        </w:tc>
        <w:tc>
          <w:tcPr>
            <w:tcW w:w="620" w:type="pct"/>
            <w:tcBorders>
              <w:tl2br w:val="nil"/>
              <w:tr2bl w:val="nil"/>
            </w:tcBorders>
            <w:noWrap w:val="0"/>
            <w:vAlign w:val="center"/>
          </w:tcPr>
          <w:p w14:paraId="3546E812">
            <w:pPr>
              <w:pStyle w:val="26"/>
              <w:keepNext w:val="0"/>
              <w:keepLines w:val="0"/>
              <w:pageBreakBefore w:val="0"/>
              <w:widowControl w:val="0"/>
              <w:kinsoku/>
              <w:wordWrap/>
              <w:overflowPunct/>
              <w:topLinePunct w:val="0"/>
              <w:autoSpaceDE w:val="0"/>
              <w:autoSpaceDN w:val="0"/>
              <w:bidi w:val="0"/>
              <w:snapToGrid/>
              <w:spacing w:line="240" w:lineRule="auto"/>
              <w:ind w:left="0" w:leftChars="0" w:firstLine="0" w:firstLineChars="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无量纲</w:t>
            </w:r>
          </w:p>
        </w:tc>
        <w:tc>
          <w:tcPr>
            <w:tcW w:w="680" w:type="pct"/>
            <w:tcBorders>
              <w:tl2br w:val="nil"/>
              <w:tr2bl w:val="nil"/>
            </w:tcBorders>
            <w:noWrap w:val="0"/>
            <w:vAlign w:val="center"/>
          </w:tcPr>
          <w:p w14:paraId="515DF475">
            <w:pPr>
              <w:pStyle w:val="26"/>
              <w:keepNext w:val="0"/>
              <w:keepLines w:val="0"/>
              <w:pageBreakBefore w:val="0"/>
              <w:widowControl w:val="0"/>
              <w:kinsoku/>
              <w:wordWrap/>
              <w:overflowPunct/>
              <w:topLinePunct w:val="0"/>
              <w:autoSpaceDE w:val="0"/>
              <w:autoSpaceDN w:val="0"/>
              <w:bidi w:val="0"/>
              <w:snapToGrid/>
              <w:spacing w:line="240" w:lineRule="auto"/>
              <w:ind w:left="0" w:leftChars="0" w:firstLine="0" w:firstLineChars="0"/>
              <w:jc w:val="center"/>
              <w:textAlignment w:val="bottom"/>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6~9</w:t>
            </w:r>
          </w:p>
        </w:tc>
      </w:tr>
      <w:tr w14:paraId="675F86B2">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tblHeader/>
          <w:jc w:val="center"/>
        </w:trPr>
        <w:tc>
          <w:tcPr>
            <w:tcW w:w="757" w:type="pct"/>
            <w:vMerge w:val="continue"/>
            <w:tcBorders>
              <w:tl2br w:val="nil"/>
              <w:tr2bl w:val="nil"/>
            </w:tcBorders>
            <w:noWrap w:val="0"/>
            <w:vAlign w:val="center"/>
          </w:tcPr>
          <w:p w14:paraId="7EFCA87E">
            <w:pPr>
              <w:pStyle w:val="26"/>
              <w:keepNext w:val="0"/>
              <w:keepLines w:val="0"/>
              <w:pageBreakBefore w:val="0"/>
              <w:widowControl w:val="0"/>
              <w:kinsoku/>
              <w:wordWrap/>
              <w:overflowPunct/>
              <w:topLinePunct w:val="0"/>
              <w:autoSpaceDE w:val="0"/>
              <w:autoSpaceDN w:val="0"/>
              <w:bidi w:val="0"/>
              <w:snapToGrid/>
              <w:spacing w:line="240" w:lineRule="auto"/>
              <w:jc w:val="center"/>
              <w:textAlignment w:val="bottom"/>
              <w:rPr>
                <w:rFonts w:hint="default" w:ascii="Times New Roman" w:hAnsi="Times New Roman" w:eastAsia="宋体" w:cs="Times New Roman"/>
                <w:color w:val="auto"/>
                <w:sz w:val="21"/>
                <w:szCs w:val="21"/>
                <w:highlight w:val="none"/>
              </w:rPr>
            </w:pPr>
          </w:p>
        </w:tc>
        <w:tc>
          <w:tcPr>
            <w:tcW w:w="1796" w:type="pct"/>
            <w:vMerge w:val="continue"/>
            <w:tcBorders>
              <w:tl2br w:val="nil"/>
              <w:tr2bl w:val="nil"/>
            </w:tcBorders>
            <w:noWrap w:val="0"/>
            <w:vAlign w:val="center"/>
          </w:tcPr>
          <w:p w14:paraId="52DCAA1C">
            <w:pPr>
              <w:pStyle w:val="26"/>
              <w:keepNext w:val="0"/>
              <w:keepLines w:val="0"/>
              <w:pageBreakBefore w:val="0"/>
              <w:widowControl w:val="0"/>
              <w:kinsoku/>
              <w:wordWrap/>
              <w:overflowPunct/>
              <w:topLinePunct w:val="0"/>
              <w:autoSpaceDE w:val="0"/>
              <w:autoSpaceDN w:val="0"/>
              <w:bidi w:val="0"/>
              <w:snapToGrid/>
              <w:spacing w:line="240" w:lineRule="auto"/>
              <w:jc w:val="center"/>
              <w:textAlignment w:val="bottom"/>
              <w:rPr>
                <w:rFonts w:hint="default" w:ascii="Times New Roman" w:hAnsi="Times New Roman" w:eastAsia="宋体" w:cs="Times New Roman"/>
                <w:color w:val="auto"/>
                <w:sz w:val="21"/>
                <w:szCs w:val="21"/>
                <w:highlight w:val="none"/>
              </w:rPr>
            </w:pPr>
          </w:p>
        </w:tc>
        <w:tc>
          <w:tcPr>
            <w:tcW w:w="1145" w:type="pct"/>
            <w:tcBorders>
              <w:tl2br w:val="nil"/>
              <w:tr2bl w:val="nil"/>
            </w:tcBorders>
            <w:noWrap w:val="0"/>
            <w:vAlign w:val="center"/>
          </w:tcPr>
          <w:p w14:paraId="6CCE15C8">
            <w:pPr>
              <w:pStyle w:val="26"/>
              <w:autoSpaceDE w:val="0"/>
              <w:autoSpaceDN w:val="0"/>
              <w:spacing w:line="240" w:lineRule="auto"/>
              <w:ind w:left="0" w:leftChars="0" w:firstLine="0" w:firstLineChars="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p>
        </w:tc>
        <w:tc>
          <w:tcPr>
            <w:tcW w:w="620" w:type="pct"/>
            <w:vMerge w:val="restart"/>
            <w:tcBorders>
              <w:tl2br w:val="nil"/>
              <w:tr2bl w:val="nil"/>
            </w:tcBorders>
            <w:noWrap w:val="0"/>
            <w:vAlign w:val="center"/>
          </w:tcPr>
          <w:p w14:paraId="30EB054F">
            <w:pPr>
              <w:pStyle w:val="26"/>
              <w:autoSpaceDE w:val="0"/>
              <w:autoSpaceDN w:val="0"/>
              <w:spacing w:line="240" w:lineRule="auto"/>
              <w:ind w:left="0" w:leftChars="0" w:firstLine="0" w:firstLineChars="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680" w:type="pct"/>
            <w:tcBorders>
              <w:tl2br w:val="nil"/>
              <w:tr2bl w:val="nil"/>
            </w:tcBorders>
            <w:noWrap w:val="0"/>
            <w:vAlign w:val="center"/>
          </w:tcPr>
          <w:p w14:paraId="3C85E566">
            <w:pPr>
              <w:pStyle w:val="26"/>
              <w:autoSpaceDE w:val="0"/>
              <w:autoSpaceDN w:val="0"/>
              <w:spacing w:line="240" w:lineRule="auto"/>
              <w:ind w:left="0" w:leftChars="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20</w:t>
            </w:r>
          </w:p>
        </w:tc>
      </w:tr>
      <w:tr w14:paraId="4F17B70C">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tblHeader/>
          <w:jc w:val="center"/>
        </w:trPr>
        <w:tc>
          <w:tcPr>
            <w:tcW w:w="757" w:type="pct"/>
            <w:vMerge w:val="continue"/>
            <w:tcBorders>
              <w:tl2br w:val="nil"/>
              <w:tr2bl w:val="nil"/>
            </w:tcBorders>
            <w:noWrap w:val="0"/>
            <w:vAlign w:val="center"/>
          </w:tcPr>
          <w:p w14:paraId="1C0A2435">
            <w:pPr>
              <w:pStyle w:val="26"/>
              <w:keepNext w:val="0"/>
              <w:keepLines w:val="0"/>
              <w:pageBreakBefore w:val="0"/>
              <w:widowControl w:val="0"/>
              <w:kinsoku/>
              <w:wordWrap/>
              <w:overflowPunct/>
              <w:topLinePunct w:val="0"/>
              <w:autoSpaceDE w:val="0"/>
              <w:autoSpaceDN w:val="0"/>
              <w:bidi w:val="0"/>
              <w:snapToGrid/>
              <w:spacing w:line="240" w:lineRule="auto"/>
              <w:jc w:val="center"/>
              <w:textAlignment w:val="bottom"/>
              <w:rPr>
                <w:rFonts w:hint="default" w:ascii="Times New Roman" w:hAnsi="Times New Roman" w:eastAsia="宋体" w:cs="Times New Roman"/>
                <w:color w:val="auto"/>
                <w:sz w:val="21"/>
                <w:szCs w:val="21"/>
                <w:highlight w:val="none"/>
              </w:rPr>
            </w:pPr>
          </w:p>
        </w:tc>
        <w:tc>
          <w:tcPr>
            <w:tcW w:w="1796" w:type="pct"/>
            <w:vMerge w:val="continue"/>
            <w:tcBorders>
              <w:tl2br w:val="nil"/>
              <w:tr2bl w:val="nil"/>
            </w:tcBorders>
            <w:noWrap w:val="0"/>
            <w:vAlign w:val="center"/>
          </w:tcPr>
          <w:p w14:paraId="2DE83E06">
            <w:pPr>
              <w:pStyle w:val="26"/>
              <w:keepNext w:val="0"/>
              <w:keepLines w:val="0"/>
              <w:pageBreakBefore w:val="0"/>
              <w:widowControl w:val="0"/>
              <w:kinsoku/>
              <w:wordWrap/>
              <w:overflowPunct/>
              <w:topLinePunct w:val="0"/>
              <w:autoSpaceDE w:val="0"/>
              <w:autoSpaceDN w:val="0"/>
              <w:bidi w:val="0"/>
              <w:snapToGrid/>
              <w:spacing w:line="240" w:lineRule="auto"/>
              <w:jc w:val="center"/>
              <w:textAlignment w:val="bottom"/>
              <w:rPr>
                <w:rFonts w:hint="default" w:ascii="Times New Roman" w:hAnsi="Times New Roman" w:eastAsia="宋体" w:cs="Times New Roman"/>
                <w:color w:val="auto"/>
                <w:sz w:val="21"/>
                <w:szCs w:val="21"/>
                <w:highlight w:val="none"/>
              </w:rPr>
            </w:pPr>
          </w:p>
        </w:tc>
        <w:tc>
          <w:tcPr>
            <w:tcW w:w="1145" w:type="pct"/>
            <w:tcBorders>
              <w:tl2br w:val="nil"/>
              <w:tr2bl w:val="nil"/>
            </w:tcBorders>
            <w:noWrap w:val="0"/>
            <w:vAlign w:val="center"/>
          </w:tcPr>
          <w:p w14:paraId="119A8768">
            <w:pPr>
              <w:pStyle w:val="26"/>
              <w:autoSpaceDE w:val="0"/>
              <w:autoSpaceDN w:val="0"/>
              <w:spacing w:line="240" w:lineRule="auto"/>
              <w:ind w:left="0" w:leftChars="0" w:firstLine="0" w:firstLineChars="0"/>
              <w:jc w:val="center"/>
              <w:textAlignment w:val="bottom"/>
              <w:rPr>
                <w:rFonts w:hint="default" w:ascii="Times New Roman" w:hAnsi="Times New Roman" w:eastAsia="宋体" w:cs="Times New Roman"/>
                <w:color w:val="auto"/>
                <w:spacing w:val="-20"/>
                <w:sz w:val="21"/>
                <w:szCs w:val="21"/>
                <w:highlight w:val="none"/>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620" w:type="pct"/>
            <w:vMerge w:val="continue"/>
            <w:tcBorders>
              <w:tl2br w:val="nil"/>
              <w:tr2bl w:val="nil"/>
            </w:tcBorders>
            <w:noWrap w:val="0"/>
            <w:vAlign w:val="center"/>
          </w:tcPr>
          <w:p w14:paraId="4BD546C9">
            <w:pPr>
              <w:pStyle w:val="26"/>
              <w:autoSpaceDE w:val="0"/>
              <w:autoSpaceDN w:val="0"/>
              <w:spacing w:line="240" w:lineRule="auto"/>
              <w:jc w:val="center"/>
              <w:textAlignment w:val="bottom"/>
              <w:rPr>
                <w:rFonts w:hint="default" w:ascii="Times New Roman" w:hAnsi="Times New Roman" w:eastAsia="宋体" w:cs="Times New Roman"/>
                <w:color w:val="auto"/>
                <w:sz w:val="21"/>
                <w:szCs w:val="21"/>
                <w:highlight w:val="none"/>
              </w:rPr>
            </w:pPr>
          </w:p>
        </w:tc>
        <w:tc>
          <w:tcPr>
            <w:tcW w:w="680" w:type="pct"/>
            <w:tcBorders>
              <w:tl2br w:val="nil"/>
              <w:tr2bl w:val="nil"/>
            </w:tcBorders>
            <w:noWrap w:val="0"/>
            <w:vAlign w:val="center"/>
          </w:tcPr>
          <w:p w14:paraId="74B596E1">
            <w:pPr>
              <w:pStyle w:val="26"/>
              <w:autoSpaceDE w:val="0"/>
              <w:autoSpaceDN w:val="0"/>
              <w:spacing w:line="240" w:lineRule="auto"/>
              <w:ind w:left="0" w:leftChars="0" w:firstLine="0" w:firstLineChars="0"/>
              <w:jc w:val="center"/>
              <w:textAlignment w:val="bottom"/>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4</w:t>
            </w:r>
          </w:p>
        </w:tc>
      </w:tr>
      <w:tr w14:paraId="5792023A">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tblHeader/>
          <w:jc w:val="center"/>
        </w:trPr>
        <w:tc>
          <w:tcPr>
            <w:tcW w:w="757" w:type="pct"/>
            <w:vMerge w:val="continue"/>
            <w:tcBorders>
              <w:tl2br w:val="nil"/>
              <w:tr2bl w:val="nil"/>
            </w:tcBorders>
            <w:noWrap w:val="0"/>
            <w:vAlign w:val="center"/>
          </w:tcPr>
          <w:p w14:paraId="2B27ADAA">
            <w:pPr>
              <w:pStyle w:val="26"/>
              <w:keepNext w:val="0"/>
              <w:keepLines w:val="0"/>
              <w:pageBreakBefore w:val="0"/>
              <w:widowControl w:val="0"/>
              <w:kinsoku/>
              <w:wordWrap/>
              <w:overflowPunct/>
              <w:topLinePunct w:val="0"/>
              <w:autoSpaceDE w:val="0"/>
              <w:autoSpaceDN w:val="0"/>
              <w:bidi w:val="0"/>
              <w:snapToGrid/>
              <w:spacing w:line="240" w:lineRule="auto"/>
              <w:jc w:val="center"/>
              <w:textAlignment w:val="bottom"/>
              <w:rPr>
                <w:rFonts w:hint="default" w:ascii="Times New Roman" w:hAnsi="Times New Roman" w:eastAsia="宋体" w:cs="Times New Roman"/>
                <w:color w:val="auto"/>
                <w:sz w:val="21"/>
                <w:szCs w:val="21"/>
                <w:highlight w:val="none"/>
              </w:rPr>
            </w:pPr>
          </w:p>
        </w:tc>
        <w:tc>
          <w:tcPr>
            <w:tcW w:w="1796" w:type="pct"/>
            <w:vMerge w:val="continue"/>
            <w:tcBorders>
              <w:tl2br w:val="nil"/>
              <w:tr2bl w:val="nil"/>
            </w:tcBorders>
            <w:noWrap w:val="0"/>
            <w:vAlign w:val="center"/>
          </w:tcPr>
          <w:p w14:paraId="700CD213">
            <w:pPr>
              <w:pStyle w:val="26"/>
              <w:keepNext w:val="0"/>
              <w:keepLines w:val="0"/>
              <w:pageBreakBefore w:val="0"/>
              <w:widowControl w:val="0"/>
              <w:kinsoku/>
              <w:wordWrap/>
              <w:overflowPunct/>
              <w:topLinePunct w:val="0"/>
              <w:autoSpaceDE w:val="0"/>
              <w:autoSpaceDN w:val="0"/>
              <w:bidi w:val="0"/>
              <w:snapToGrid/>
              <w:spacing w:line="240" w:lineRule="auto"/>
              <w:jc w:val="center"/>
              <w:textAlignment w:val="bottom"/>
              <w:rPr>
                <w:rFonts w:hint="default" w:ascii="Times New Roman" w:hAnsi="Times New Roman" w:eastAsia="宋体" w:cs="Times New Roman"/>
                <w:color w:val="auto"/>
                <w:sz w:val="21"/>
                <w:szCs w:val="21"/>
                <w:highlight w:val="none"/>
              </w:rPr>
            </w:pPr>
          </w:p>
        </w:tc>
        <w:tc>
          <w:tcPr>
            <w:tcW w:w="1145" w:type="pct"/>
            <w:tcBorders>
              <w:tl2br w:val="nil"/>
              <w:tr2bl w:val="nil"/>
            </w:tcBorders>
            <w:noWrap w:val="0"/>
            <w:vAlign w:val="center"/>
          </w:tcPr>
          <w:p w14:paraId="4B89A54A">
            <w:pPr>
              <w:pStyle w:val="26"/>
              <w:autoSpaceDE w:val="0"/>
              <w:autoSpaceDN w:val="0"/>
              <w:spacing w:line="240" w:lineRule="auto"/>
              <w:ind w:left="0" w:leftChars="0" w:firstLine="0" w:firstLineChars="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-N</w:t>
            </w:r>
          </w:p>
        </w:tc>
        <w:tc>
          <w:tcPr>
            <w:tcW w:w="620" w:type="pct"/>
            <w:vMerge w:val="continue"/>
            <w:tcBorders>
              <w:tl2br w:val="nil"/>
              <w:tr2bl w:val="nil"/>
            </w:tcBorders>
            <w:noWrap w:val="0"/>
            <w:vAlign w:val="center"/>
          </w:tcPr>
          <w:p w14:paraId="2324A9DE">
            <w:pPr>
              <w:pStyle w:val="26"/>
              <w:autoSpaceDE w:val="0"/>
              <w:autoSpaceDN w:val="0"/>
              <w:spacing w:line="240" w:lineRule="auto"/>
              <w:jc w:val="center"/>
              <w:textAlignment w:val="bottom"/>
              <w:rPr>
                <w:rFonts w:hint="default" w:ascii="Times New Roman" w:hAnsi="Times New Roman" w:eastAsia="宋体" w:cs="Times New Roman"/>
                <w:color w:val="auto"/>
                <w:sz w:val="21"/>
                <w:szCs w:val="21"/>
                <w:highlight w:val="none"/>
              </w:rPr>
            </w:pPr>
          </w:p>
        </w:tc>
        <w:tc>
          <w:tcPr>
            <w:tcW w:w="680" w:type="pct"/>
            <w:tcBorders>
              <w:tl2br w:val="nil"/>
              <w:tr2bl w:val="nil"/>
            </w:tcBorders>
            <w:noWrap w:val="0"/>
            <w:vAlign w:val="center"/>
          </w:tcPr>
          <w:p w14:paraId="2E94A0EE">
            <w:pPr>
              <w:pStyle w:val="26"/>
              <w:autoSpaceDE w:val="0"/>
              <w:autoSpaceDN w:val="0"/>
              <w:spacing w:line="240" w:lineRule="auto"/>
              <w:ind w:left="0" w:leftChars="0" w:firstLine="0" w:firstLineChars="0"/>
              <w:jc w:val="center"/>
              <w:textAlignment w:val="bottom"/>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0</w:t>
            </w:r>
          </w:p>
        </w:tc>
      </w:tr>
      <w:tr w14:paraId="6607D721">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tblHeader/>
          <w:jc w:val="center"/>
        </w:trPr>
        <w:tc>
          <w:tcPr>
            <w:tcW w:w="757" w:type="pct"/>
            <w:vMerge w:val="continue"/>
            <w:tcBorders>
              <w:tl2br w:val="nil"/>
              <w:tr2bl w:val="nil"/>
            </w:tcBorders>
            <w:noWrap w:val="0"/>
            <w:vAlign w:val="center"/>
          </w:tcPr>
          <w:p w14:paraId="1663BA35">
            <w:pPr>
              <w:pStyle w:val="26"/>
              <w:keepNext w:val="0"/>
              <w:keepLines w:val="0"/>
              <w:pageBreakBefore w:val="0"/>
              <w:widowControl w:val="0"/>
              <w:kinsoku/>
              <w:wordWrap/>
              <w:overflowPunct/>
              <w:topLinePunct w:val="0"/>
              <w:autoSpaceDE w:val="0"/>
              <w:autoSpaceDN w:val="0"/>
              <w:bidi w:val="0"/>
              <w:snapToGrid/>
              <w:spacing w:line="240" w:lineRule="auto"/>
              <w:jc w:val="center"/>
              <w:textAlignment w:val="bottom"/>
              <w:rPr>
                <w:rFonts w:hint="default" w:ascii="Times New Roman" w:hAnsi="Times New Roman" w:eastAsia="宋体" w:cs="Times New Roman"/>
                <w:color w:val="auto"/>
                <w:sz w:val="21"/>
                <w:szCs w:val="21"/>
                <w:highlight w:val="none"/>
              </w:rPr>
            </w:pPr>
          </w:p>
        </w:tc>
        <w:tc>
          <w:tcPr>
            <w:tcW w:w="1796" w:type="pct"/>
            <w:vMerge w:val="continue"/>
            <w:tcBorders>
              <w:tl2br w:val="nil"/>
              <w:tr2bl w:val="nil"/>
            </w:tcBorders>
            <w:noWrap w:val="0"/>
            <w:vAlign w:val="center"/>
          </w:tcPr>
          <w:p w14:paraId="7FD2203B">
            <w:pPr>
              <w:pStyle w:val="26"/>
              <w:keepNext w:val="0"/>
              <w:keepLines w:val="0"/>
              <w:pageBreakBefore w:val="0"/>
              <w:widowControl w:val="0"/>
              <w:kinsoku/>
              <w:wordWrap/>
              <w:overflowPunct/>
              <w:topLinePunct w:val="0"/>
              <w:autoSpaceDE w:val="0"/>
              <w:autoSpaceDN w:val="0"/>
              <w:bidi w:val="0"/>
              <w:snapToGrid/>
              <w:spacing w:line="240" w:lineRule="auto"/>
              <w:jc w:val="center"/>
              <w:textAlignment w:val="bottom"/>
              <w:rPr>
                <w:rFonts w:hint="default" w:ascii="Times New Roman" w:hAnsi="Times New Roman" w:eastAsia="宋体" w:cs="Times New Roman"/>
                <w:color w:val="auto"/>
                <w:sz w:val="21"/>
                <w:szCs w:val="21"/>
                <w:highlight w:val="none"/>
              </w:rPr>
            </w:pPr>
          </w:p>
        </w:tc>
        <w:tc>
          <w:tcPr>
            <w:tcW w:w="1145" w:type="pct"/>
            <w:tcBorders>
              <w:tl2br w:val="nil"/>
              <w:tr2bl w:val="nil"/>
            </w:tcBorders>
            <w:noWrap w:val="0"/>
            <w:vAlign w:val="center"/>
          </w:tcPr>
          <w:p w14:paraId="287F0FF6">
            <w:pPr>
              <w:pStyle w:val="30"/>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T-P</w:t>
            </w:r>
          </w:p>
        </w:tc>
        <w:tc>
          <w:tcPr>
            <w:tcW w:w="620" w:type="pct"/>
            <w:vMerge w:val="continue"/>
            <w:tcBorders>
              <w:tl2br w:val="nil"/>
              <w:tr2bl w:val="nil"/>
            </w:tcBorders>
            <w:noWrap w:val="0"/>
            <w:vAlign w:val="center"/>
          </w:tcPr>
          <w:p w14:paraId="1969A8EC">
            <w:pPr>
              <w:pStyle w:val="26"/>
              <w:autoSpaceDE w:val="0"/>
              <w:autoSpaceDN w:val="0"/>
              <w:spacing w:line="240" w:lineRule="auto"/>
              <w:jc w:val="center"/>
              <w:textAlignment w:val="bottom"/>
              <w:rPr>
                <w:rFonts w:hint="default" w:ascii="Times New Roman" w:hAnsi="Times New Roman" w:eastAsia="宋体" w:cs="Times New Roman"/>
                <w:color w:val="auto"/>
                <w:sz w:val="21"/>
                <w:szCs w:val="21"/>
                <w:highlight w:val="none"/>
              </w:rPr>
            </w:pPr>
          </w:p>
        </w:tc>
        <w:tc>
          <w:tcPr>
            <w:tcW w:w="680" w:type="pct"/>
            <w:tcBorders>
              <w:tl2br w:val="nil"/>
              <w:tr2bl w:val="nil"/>
            </w:tcBorders>
            <w:noWrap w:val="0"/>
            <w:vAlign w:val="center"/>
          </w:tcPr>
          <w:p w14:paraId="601212E4">
            <w:pPr>
              <w:spacing w:line="240" w:lineRule="auto"/>
              <w:ind w:left="0" w:leftChars="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2</w:t>
            </w:r>
          </w:p>
        </w:tc>
      </w:tr>
      <w:tr w14:paraId="530D5CA7">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tblHeader/>
          <w:jc w:val="center"/>
        </w:trPr>
        <w:tc>
          <w:tcPr>
            <w:tcW w:w="757" w:type="pct"/>
            <w:vMerge w:val="continue"/>
            <w:tcBorders>
              <w:tl2br w:val="nil"/>
              <w:tr2bl w:val="nil"/>
            </w:tcBorders>
            <w:noWrap w:val="0"/>
            <w:vAlign w:val="center"/>
          </w:tcPr>
          <w:p w14:paraId="66652926">
            <w:pPr>
              <w:pStyle w:val="26"/>
              <w:keepNext w:val="0"/>
              <w:keepLines w:val="0"/>
              <w:pageBreakBefore w:val="0"/>
              <w:widowControl w:val="0"/>
              <w:kinsoku/>
              <w:wordWrap/>
              <w:overflowPunct/>
              <w:topLinePunct w:val="0"/>
              <w:autoSpaceDE w:val="0"/>
              <w:autoSpaceDN w:val="0"/>
              <w:bidi w:val="0"/>
              <w:snapToGrid/>
              <w:spacing w:line="240" w:lineRule="auto"/>
              <w:jc w:val="center"/>
              <w:textAlignment w:val="bottom"/>
              <w:rPr>
                <w:rFonts w:hint="default" w:ascii="Times New Roman" w:hAnsi="Times New Roman" w:eastAsia="宋体" w:cs="Times New Roman"/>
                <w:color w:val="auto"/>
                <w:sz w:val="21"/>
                <w:szCs w:val="21"/>
                <w:highlight w:val="none"/>
              </w:rPr>
            </w:pPr>
          </w:p>
        </w:tc>
        <w:tc>
          <w:tcPr>
            <w:tcW w:w="1796" w:type="pct"/>
            <w:vMerge w:val="continue"/>
            <w:tcBorders>
              <w:tl2br w:val="nil"/>
              <w:tr2bl w:val="nil"/>
            </w:tcBorders>
            <w:noWrap w:val="0"/>
            <w:vAlign w:val="center"/>
          </w:tcPr>
          <w:p w14:paraId="7A7EAE6C">
            <w:pPr>
              <w:pStyle w:val="26"/>
              <w:keepNext w:val="0"/>
              <w:keepLines w:val="0"/>
              <w:pageBreakBefore w:val="0"/>
              <w:widowControl w:val="0"/>
              <w:kinsoku/>
              <w:wordWrap/>
              <w:overflowPunct/>
              <w:topLinePunct w:val="0"/>
              <w:autoSpaceDE w:val="0"/>
              <w:autoSpaceDN w:val="0"/>
              <w:bidi w:val="0"/>
              <w:snapToGrid/>
              <w:spacing w:line="240" w:lineRule="auto"/>
              <w:jc w:val="center"/>
              <w:textAlignment w:val="bottom"/>
              <w:rPr>
                <w:rFonts w:hint="default" w:ascii="Times New Roman" w:hAnsi="Times New Roman" w:eastAsia="宋体" w:cs="Times New Roman"/>
                <w:color w:val="auto"/>
                <w:sz w:val="21"/>
                <w:szCs w:val="21"/>
                <w:highlight w:val="none"/>
              </w:rPr>
            </w:pPr>
          </w:p>
        </w:tc>
        <w:tc>
          <w:tcPr>
            <w:tcW w:w="1145" w:type="pct"/>
            <w:tcBorders>
              <w:tl2br w:val="nil"/>
              <w:tr2bl w:val="nil"/>
            </w:tcBorders>
            <w:noWrap w:val="0"/>
            <w:vAlign w:val="center"/>
          </w:tcPr>
          <w:p w14:paraId="0BDDD000">
            <w:pPr>
              <w:pStyle w:val="30"/>
              <w:spacing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T-N</w:t>
            </w:r>
          </w:p>
        </w:tc>
        <w:tc>
          <w:tcPr>
            <w:tcW w:w="620" w:type="pct"/>
            <w:vMerge w:val="continue"/>
            <w:tcBorders>
              <w:tl2br w:val="nil"/>
              <w:tr2bl w:val="nil"/>
            </w:tcBorders>
            <w:noWrap w:val="0"/>
            <w:vAlign w:val="center"/>
          </w:tcPr>
          <w:p w14:paraId="4B63ADF1">
            <w:pPr>
              <w:pStyle w:val="26"/>
              <w:autoSpaceDE w:val="0"/>
              <w:autoSpaceDN w:val="0"/>
              <w:spacing w:line="240" w:lineRule="auto"/>
              <w:jc w:val="center"/>
              <w:textAlignment w:val="bottom"/>
              <w:rPr>
                <w:rFonts w:hint="default" w:ascii="Times New Roman" w:hAnsi="Times New Roman" w:eastAsia="宋体" w:cs="Times New Roman"/>
                <w:color w:val="auto"/>
                <w:sz w:val="21"/>
                <w:szCs w:val="21"/>
                <w:highlight w:val="none"/>
              </w:rPr>
            </w:pPr>
          </w:p>
        </w:tc>
        <w:tc>
          <w:tcPr>
            <w:tcW w:w="680" w:type="pct"/>
            <w:tcBorders>
              <w:tl2br w:val="nil"/>
              <w:tr2bl w:val="nil"/>
            </w:tcBorders>
            <w:noWrap w:val="0"/>
            <w:vAlign w:val="center"/>
          </w:tcPr>
          <w:p w14:paraId="4CC38C0A">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1.0</w:t>
            </w:r>
          </w:p>
        </w:tc>
      </w:tr>
      <w:tr w14:paraId="503A78FC">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tblHeader/>
          <w:jc w:val="center"/>
        </w:trPr>
        <w:tc>
          <w:tcPr>
            <w:tcW w:w="757" w:type="pct"/>
            <w:vMerge w:val="continue"/>
            <w:tcBorders>
              <w:tl2br w:val="nil"/>
              <w:tr2bl w:val="nil"/>
            </w:tcBorders>
            <w:noWrap w:val="0"/>
            <w:vAlign w:val="center"/>
          </w:tcPr>
          <w:p w14:paraId="522A1336">
            <w:pPr>
              <w:pStyle w:val="26"/>
              <w:keepNext w:val="0"/>
              <w:keepLines w:val="0"/>
              <w:pageBreakBefore w:val="0"/>
              <w:widowControl w:val="0"/>
              <w:kinsoku/>
              <w:wordWrap/>
              <w:overflowPunct/>
              <w:topLinePunct w:val="0"/>
              <w:autoSpaceDE w:val="0"/>
              <w:autoSpaceDN w:val="0"/>
              <w:bidi w:val="0"/>
              <w:snapToGrid/>
              <w:spacing w:line="240" w:lineRule="auto"/>
              <w:jc w:val="center"/>
              <w:textAlignment w:val="bottom"/>
              <w:rPr>
                <w:rFonts w:hint="default" w:ascii="Times New Roman" w:hAnsi="Times New Roman" w:eastAsia="宋体" w:cs="Times New Roman"/>
                <w:color w:val="auto"/>
                <w:sz w:val="21"/>
                <w:szCs w:val="21"/>
                <w:highlight w:val="none"/>
              </w:rPr>
            </w:pPr>
          </w:p>
        </w:tc>
        <w:tc>
          <w:tcPr>
            <w:tcW w:w="1796" w:type="pct"/>
            <w:vMerge w:val="continue"/>
            <w:tcBorders>
              <w:tl2br w:val="nil"/>
              <w:tr2bl w:val="nil"/>
            </w:tcBorders>
            <w:noWrap w:val="0"/>
            <w:vAlign w:val="center"/>
          </w:tcPr>
          <w:p w14:paraId="13357DF4">
            <w:pPr>
              <w:pStyle w:val="26"/>
              <w:keepNext w:val="0"/>
              <w:keepLines w:val="0"/>
              <w:pageBreakBefore w:val="0"/>
              <w:widowControl w:val="0"/>
              <w:kinsoku/>
              <w:wordWrap/>
              <w:overflowPunct/>
              <w:topLinePunct w:val="0"/>
              <w:autoSpaceDE w:val="0"/>
              <w:autoSpaceDN w:val="0"/>
              <w:bidi w:val="0"/>
              <w:snapToGrid/>
              <w:spacing w:line="240" w:lineRule="auto"/>
              <w:jc w:val="center"/>
              <w:textAlignment w:val="bottom"/>
              <w:rPr>
                <w:rFonts w:hint="default" w:ascii="Times New Roman" w:hAnsi="Times New Roman" w:eastAsia="宋体" w:cs="Times New Roman"/>
                <w:color w:val="auto"/>
                <w:sz w:val="21"/>
                <w:szCs w:val="21"/>
                <w:highlight w:val="none"/>
              </w:rPr>
            </w:pPr>
          </w:p>
        </w:tc>
        <w:tc>
          <w:tcPr>
            <w:tcW w:w="1145" w:type="pct"/>
            <w:tcBorders>
              <w:tl2br w:val="nil"/>
              <w:tr2bl w:val="nil"/>
            </w:tcBorders>
            <w:noWrap w:val="0"/>
            <w:vAlign w:val="center"/>
          </w:tcPr>
          <w:p w14:paraId="5606BDD0">
            <w:pPr>
              <w:pStyle w:val="30"/>
              <w:spacing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粪大肠菌群</w:t>
            </w:r>
          </w:p>
        </w:tc>
        <w:tc>
          <w:tcPr>
            <w:tcW w:w="620" w:type="pct"/>
            <w:tcBorders>
              <w:tl2br w:val="nil"/>
              <w:tr2bl w:val="nil"/>
            </w:tcBorders>
            <w:noWrap w:val="0"/>
            <w:vAlign w:val="center"/>
          </w:tcPr>
          <w:p w14:paraId="32DFD773">
            <w:pPr>
              <w:pStyle w:val="26"/>
              <w:autoSpaceDE w:val="0"/>
              <w:autoSpaceDN w:val="0"/>
              <w:spacing w:line="240" w:lineRule="auto"/>
              <w:ind w:left="0" w:leftChars="0" w:firstLine="0" w:firstLineChars="0"/>
              <w:jc w:val="center"/>
              <w:textAlignment w:val="bottom"/>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个/L</w:t>
            </w:r>
            <w:r>
              <w:rPr>
                <w:rFonts w:hint="default" w:ascii="Times New Roman" w:hAnsi="Times New Roman" w:cs="Times New Roman"/>
                <w:color w:val="auto"/>
                <w:sz w:val="21"/>
                <w:szCs w:val="21"/>
                <w:highlight w:val="none"/>
                <w:lang w:eastAsia="zh-CN"/>
              </w:rPr>
              <w:t>）</w:t>
            </w:r>
          </w:p>
        </w:tc>
        <w:tc>
          <w:tcPr>
            <w:tcW w:w="680" w:type="pct"/>
            <w:tcBorders>
              <w:tl2br w:val="nil"/>
              <w:tr2bl w:val="nil"/>
            </w:tcBorders>
            <w:noWrap w:val="0"/>
            <w:vAlign w:val="center"/>
          </w:tcPr>
          <w:p w14:paraId="304BE3E8">
            <w:pPr>
              <w:spacing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10000</w:t>
            </w:r>
          </w:p>
        </w:tc>
      </w:tr>
    </w:tbl>
    <w:p w14:paraId="7DB350B9">
      <w:pPr>
        <w:pStyle w:val="23"/>
        <w:rPr>
          <w:rFonts w:hint="eastAsia"/>
          <w:highlight w:val="none"/>
          <w:lang w:val="en-US" w:eastAsia="zh-CN"/>
        </w:rPr>
      </w:pPr>
    </w:p>
    <w:p w14:paraId="1F4FA495">
      <w:pPr>
        <w:pStyle w:val="23"/>
        <w:rPr>
          <w:rFonts w:hint="eastAsia"/>
          <w:highlight w:val="none"/>
          <w:lang w:val="en-US" w:eastAsia="zh-CN"/>
        </w:rPr>
      </w:pPr>
      <w:r>
        <w:rPr>
          <w:rFonts w:hint="eastAsia"/>
          <w:highlight w:val="none"/>
          <w:lang w:val="en-US" w:eastAsia="zh-CN"/>
        </w:rPr>
        <w:t>3、声环境质量标准</w:t>
      </w:r>
    </w:p>
    <w:p w14:paraId="16A5160E">
      <w:pPr>
        <w:pStyle w:val="23"/>
        <w:keepNext w:val="0"/>
        <w:keepLines w:val="0"/>
        <w:pageBreakBefore w:val="0"/>
        <w:widowControl w:val="0"/>
        <w:kinsoku/>
        <w:wordWrap/>
        <w:overflowPunct/>
        <w:topLinePunct w:val="0"/>
        <w:autoSpaceDE w:val="0"/>
        <w:autoSpaceDN w:val="0"/>
        <w:bidi w:val="0"/>
        <w:adjustRightInd w:val="0"/>
        <w:snapToGrid/>
        <w:spacing w:line="480" w:lineRule="exact"/>
        <w:ind w:firstLine="480" w:firstLineChars="200"/>
        <w:jc w:val="both"/>
        <w:textAlignment w:val="auto"/>
        <w:rPr>
          <w:rFonts w:hint="default" w:ascii="Times New Roman" w:hAnsi="Times New Roman" w:cs="Times New Roman"/>
          <w:color w:val="auto"/>
          <w:spacing w:val="0"/>
          <w:highlight w:val="none"/>
        </w:rPr>
      </w:pPr>
      <w:r>
        <w:rPr>
          <w:rFonts w:hint="default" w:ascii="Times New Roman" w:hAnsi="Times New Roman" w:eastAsia="宋体" w:cs="Times New Roman"/>
          <w:color w:val="auto"/>
          <w:szCs w:val="24"/>
          <w:highlight w:val="none"/>
          <w:lang w:val="en-US" w:eastAsia="zh-CN"/>
        </w:rPr>
        <w:t>本项目所在区域为</w:t>
      </w:r>
      <w:r>
        <w:rPr>
          <w:rFonts w:hint="eastAsia" w:ascii="Times New Roman" w:hAnsi="Times New Roman" w:eastAsia="宋体" w:cs="Times New Roman"/>
          <w:color w:val="auto"/>
          <w:szCs w:val="24"/>
          <w:highlight w:val="none"/>
          <w:lang w:val="en-US" w:eastAsia="zh-CN"/>
        </w:rPr>
        <w:t>2</w:t>
      </w:r>
      <w:r>
        <w:rPr>
          <w:rFonts w:hint="default" w:ascii="Times New Roman" w:hAnsi="Times New Roman" w:eastAsia="宋体" w:cs="Times New Roman"/>
          <w:color w:val="auto"/>
          <w:szCs w:val="24"/>
          <w:highlight w:val="none"/>
          <w:lang w:val="en-US" w:eastAsia="zh-CN"/>
        </w:rPr>
        <w:t>类声环境功能区，执行《声环境质量标准》（GB3096-2008）</w:t>
      </w:r>
      <w:r>
        <w:rPr>
          <w:rFonts w:hint="eastAsia" w:ascii="Times New Roman" w:eastAsia="宋体" w:cs="Times New Roman"/>
          <w:color w:val="auto"/>
          <w:szCs w:val="24"/>
          <w:highlight w:val="none"/>
          <w:lang w:val="en-US" w:eastAsia="zh-CN"/>
        </w:rPr>
        <w:t>表1环境噪声限值</w:t>
      </w:r>
      <w:r>
        <w:rPr>
          <w:rFonts w:hint="default" w:ascii="Times New Roman" w:hAnsi="Times New Roman" w:eastAsia="宋体" w:cs="Times New Roman"/>
          <w:color w:val="auto"/>
          <w:szCs w:val="24"/>
          <w:highlight w:val="none"/>
          <w:lang w:val="en-US" w:eastAsia="zh-CN"/>
        </w:rPr>
        <w:t>中</w:t>
      </w:r>
      <w:r>
        <w:rPr>
          <w:rFonts w:hint="eastAsia" w:ascii="Times New Roman" w:hAnsi="Times New Roman" w:eastAsia="宋体" w:cs="Times New Roman"/>
          <w:color w:val="auto"/>
          <w:szCs w:val="24"/>
          <w:highlight w:val="none"/>
          <w:lang w:val="en-US" w:eastAsia="zh-CN"/>
        </w:rPr>
        <w:t>2</w:t>
      </w:r>
      <w:r>
        <w:rPr>
          <w:rFonts w:hint="default" w:ascii="Times New Roman" w:hAnsi="Times New Roman" w:eastAsia="宋体" w:cs="Times New Roman"/>
          <w:color w:val="auto"/>
          <w:szCs w:val="24"/>
          <w:highlight w:val="none"/>
          <w:lang w:val="en-US" w:eastAsia="zh-CN"/>
        </w:rPr>
        <w:t>类标准，声环境质量标准执行情况见表2</w:t>
      </w:r>
      <w:r>
        <w:rPr>
          <w:rFonts w:hint="eastAsia" w:ascii="Times New Roman" w:hAnsi="Times New Roman" w:eastAsia="宋体" w:cs="Times New Roman"/>
          <w:color w:val="auto"/>
          <w:szCs w:val="24"/>
          <w:highlight w:val="none"/>
          <w:lang w:val="en-US" w:eastAsia="zh-CN"/>
        </w:rPr>
        <w:t>.</w:t>
      </w:r>
      <w:r>
        <w:rPr>
          <w:rFonts w:hint="default" w:ascii="Times New Roman" w:hAnsi="Times New Roman" w:eastAsia="宋体" w:cs="Times New Roman"/>
          <w:color w:val="auto"/>
          <w:szCs w:val="24"/>
          <w:highlight w:val="none"/>
          <w:lang w:val="en-US" w:eastAsia="zh-CN"/>
        </w:rPr>
        <w:t>3-</w:t>
      </w:r>
      <w:r>
        <w:rPr>
          <w:rFonts w:hint="eastAsia" w:ascii="Times New Roman" w:hAnsi="Times New Roman" w:eastAsia="宋体" w:cs="Times New Roman"/>
          <w:color w:val="auto"/>
          <w:szCs w:val="24"/>
          <w:highlight w:val="none"/>
          <w:lang w:val="en-US" w:eastAsia="zh-CN"/>
        </w:rPr>
        <w:t>7</w:t>
      </w:r>
      <w:r>
        <w:rPr>
          <w:rFonts w:hint="default" w:ascii="Times New Roman" w:hAnsi="Times New Roman" w:eastAsia="宋体" w:cs="Times New Roman"/>
          <w:color w:val="auto"/>
          <w:szCs w:val="24"/>
          <w:highlight w:val="none"/>
          <w:lang w:val="en-US" w:eastAsia="zh-CN"/>
        </w:rPr>
        <w:t>。</w:t>
      </w:r>
    </w:p>
    <w:p w14:paraId="6F0C871D">
      <w:pPr>
        <w:keepNext w:val="0"/>
        <w:keepLines w:val="0"/>
        <w:pageBreakBefore w:val="0"/>
        <w:widowControl w:val="0"/>
        <w:kinsoku/>
        <w:wordWrap/>
        <w:overflowPunct/>
        <w:topLinePunct w:val="0"/>
        <w:bidi w:val="0"/>
        <w:snapToGrid/>
        <w:spacing w:line="480" w:lineRule="exact"/>
        <w:jc w:val="center"/>
        <w:textAlignment w:val="auto"/>
        <w:rPr>
          <w:rFonts w:hint="default" w:ascii="Times New Roman" w:hAnsi="Times New Roman" w:cs="Times New Roman"/>
          <w:color w:val="auto"/>
          <w:sz w:val="24"/>
          <w:szCs w:val="24"/>
          <w:highlight w:val="none"/>
        </w:rPr>
      </w:pPr>
      <w:r>
        <w:rPr>
          <w:rFonts w:hint="default" w:ascii="Times New Roman" w:hAnsi="Times New Roman" w:eastAsia="黑体" w:cs="Times New Roman"/>
          <w:color w:val="auto"/>
          <w:spacing w:val="0"/>
          <w:sz w:val="24"/>
          <w:szCs w:val="24"/>
          <w:highlight w:val="none"/>
        </w:rPr>
        <w:t>表2</w:t>
      </w:r>
      <w:r>
        <w:rPr>
          <w:rFonts w:hint="eastAsia" w:ascii="Times New Roman" w:hAnsi="Times New Roman" w:eastAsia="黑体" w:cs="Times New Roman"/>
          <w:color w:val="auto"/>
          <w:spacing w:val="0"/>
          <w:sz w:val="24"/>
          <w:szCs w:val="24"/>
          <w:highlight w:val="none"/>
          <w:lang w:val="en-US" w:eastAsia="zh-CN"/>
        </w:rPr>
        <w:t>.</w:t>
      </w:r>
      <w:r>
        <w:rPr>
          <w:rFonts w:hint="default" w:ascii="Times New Roman" w:hAnsi="Times New Roman" w:eastAsia="黑体" w:cs="Times New Roman"/>
          <w:color w:val="auto"/>
          <w:spacing w:val="0"/>
          <w:sz w:val="24"/>
          <w:szCs w:val="24"/>
          <w:highlight w:val="none"/>
        </w:rPr>
        <w:t>3-</w:t>
      </w:r>
      <w:r>
        <w:rPr>
          <w:rFonts w:hint="eastAsia" w:ascii="Times New Roman" w:hAnsi="Times New Roman" w:eastAsia="黑体" w:cs="Times New Roman"/>
          <w:color w:val="auto"/>
          <w:spacing w:val="0"/>
          <w:sz w:val="24"/>
          <w:szCs w:val="24"/>
          <w:highlight w:val="none"/>
          <w:lang w:val="en-US" w:eastAsia="zh-CN"/>
        </w:rPr>
        <w:t>7</w:t>
      </w:r>
      <w:r>
        <w:rPr>
          <w:rFonts w:hint="default" w:ascii="Times New Roman" w:hAnsi="Times New Roman" w:eastAsia="黑体" w:cs="Times New Roman"/>
          <w:color w:val="auto"/>
          <w:spacing w:val="0"/>
          <w:sz w:val="24"/>
          <w:szCs w:val="24"/>
          <w:highlight w:val="none"/>
        </w:rPr>
        <w:t>本项目</w:t>
      </w:r>
      <w:r>
        <w:rPr>
          <w:rFonts w:hint="default" w:ascii="Times New Roman" w:hAnsi="Times New Roman" w:eastAsia="黑体" w:cs="Times New Roman"/>
          <w:color w:val="auto"/>
          <w:spacing w:val="0"/>
          <w:sz w:val="24"/>
          <w:szCs w:val="24"/>
          <w:highlight w:val="none"/>
          <w:lang w:eastAsia="zh-CN"/>
        </w:rPr>
        <w:t>声环境</w:t>
      </w:r>
      <w:r>
        <w:rPr>
          <w:rFonts w:hint="default" w:ascii="Times New Roman" w:hAnsi="Times New Roman" w:eastAsia="黑体" w:cs="Times New Roman"/>
          <w:color w:val="auto"/>
          <w:spacing w:val="0"/>
          <w:sz w:val="24"/>
          <w:szCs w:val="24"/>
          <w:highlight w:val="none"/>
        </w:rPr>
        <w:t>质量标准</w:t>
      </w:r>
    </w:p>
    <w:tbl>
      <w:tblPr>
        <w:tblStyle w:val="17"/>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fixed"/>
        <w:tblCellMar>
          <w:top w:w="0" w:type="dxa"/>
          <w:left w:w="108" w:type="dxa"/>
          <w:bottom w:w="0" w:type="dxa"/>
          <w:right w:w="108" w:type="dxa"/>
        </w:tblCellMar>
      </w:tblPr>
      <w:tblGrid>
        <w:gridCol w:w="975"/>
        <w:gridCol w:w="4720"/>
        <w:gridCol w:w="1138"/>
        <w:gridCol w:w="825"/>
        <w:gridCol w:w="700"/>
        <w:gridCol w:w="702"/>
      </w:tblGrid>
      <w:tr w14:paraId="234683A1">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397" w:hRule="atLeast"/>
          <w:jc w:val="center"/>
        </w:trPr>
        <w:tc>
          <w:tcPr>
            <w:tcW w:w="975" w:type="dxa"/>
            <w:vMerge w:val="restart"/>
            <w:tcBorders>
              <w:tl2br w:val="nil"/>
              <w:tr2bl w:val="nil"/>
            </w:tcBorders>
            <w:noWrap w:val="0"/>
            <w:vAlign w:val="center"/>
          </w:tcPr>
          <w:p w14:paraId="090CFBCB">
            <w:pPr>
              <w:pStyle w:val="26"/>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类别</w:t>
            </w:r>
          </w:p>
        </w:tc>
        <w:tc>
          <w:tcPr>
            <w:tcW w:w="4720" w:type="dxa"/>
            <w:vMerge w:val="restart"/>
            <w:tcBorders>
              <w:tl2br w:val="nil"/>
              <w:tr2bl w:val="nil"/>
            </w:tcBorders>
            <w:noWrap w:val="0"/>
            <w:vAlign w:val="center"/>
          </w:tcPr>
          <w:p w14:paraId="43445A01">
            <w:pPr>
              <w:pStyle w:val="26"/>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标准名称及级（类）别</w:t>
            </w:r>
          </w:p>
        </w:tc>
        <w:tc>
          <w:tcPr>
            <w:tcW w:w="1138" w:type="dxa"/>
            <w:vMerge w:val="restart"/>
            <w:tcBorders>
              <w:tl2br w:val="nil"/>
              <w:tr2bl w:val="nil"/>
            </w:tcBorders>
            <w:noWrap w:val="0"/>
            <w:vAlign w:val="center"/>
          </w:tcPr>
          <w:p w14:paraId="4918B4DB">
            <w:pPr>
              <w:pStyle w:val="26"/>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污染因子</w:t>
            </w:r>
          </w:p>
        </w:tc>
        <w:tc>
          <w:tcPr>
            <w:tcW w:w="2227" w:type="dxa"/>
            <w:gridSpan w:val="3"/>
            <w:tcBorders>
              <w:tl2br w:val="nil"/>
              <w:tr2bl w:val="nil"/>
            </w:tcBorders>
            <w:noWrap w:val="0"/>
            <w:vAlign w:val="center"/>
          </w:tcPr>
          <w:p w14:paraId="51309048">
            <w:pPr>
              <w:pStyle w:val="26"/>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标准值</w:t>
            </w:r>
          </w:p>
        </w:tc>
      </w:tr>
      <w:tr w14:paraId="68B96DE2">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397" w:hRule="atLeast"/>
          <w:tblHeader/>
          <w:jc w:val="center"/>
        </w:trPr>
        <w:tc>
          <w:tcPr>
            <w:tcW w:w="975" w:type="dxa"/>
            <w:vMerge w:val="continue"/>
            <w:tcBorders>
              <w:tl2br w:val="nil"/>
              <w:tr2bl w:val="nil"/>
            </w:tcBorders>
            <w:noWrap w:val="0"/>
            <w:vAlign w:val="center"/>
          </w:tcPr>
          <w:p w14:paraId="1723C874">
            <w:pPr>
              <w:pStyle w:val="26"/>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bottom"/>
              <w:outlineLvl w:val="9"/>
              <w:rPr>
                <w:rFonts w:hint="default" w:ascii="Times New Roman" w:hAnsi="Times New Roman" w:eastAsia="宋体" w:cs="Times New Roman"/>
                <w:color w:val="auto"/>
                <w:sz w:val="21"/>
                <w:szCs w:val="21"/>
                <w:highlight w:val="none"/>
              </w:rPr>
            </w:pPr>
          </w:p>
        </w:tc>
        <w:tc>
          <w:tcPr>
            <w:tcW w:w="4720" w:type="dxa"/>
            <w:vMerge w:val="continue"/>
            <w:tcBorders>
              <w:tl2br w:val="nil"/>
              <w:tr2bl w:val="nil"/>
            </w:tcBorders>
            <w:noWrap w:val="0"/>
            <w:vAlign w:val="center"/>
          </w:tcPr>
          <w:p w14:paraId="084BC913">
            <w:pPr>
              <w:pStyle w:val="26"/>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bottom"/>
              <w:outlineLvl w:val="9"/>
              <w:rPr>
                <w:rFonts w:hint="default" w:ascii="Times New Roman" w:hAnsi="Times New Roman" w:eastAsia="宋体" w:cs="Times New Roman"/>
                <w:color w:val="auto"/>
                <w:sz w:val="21"/>
                <w:szCs w:val="21"/>
                <w:highlight w:val="none"/>
              </w:rPr>
            </w:pPr>
          </w:p>
        </w:tc>
        <w:tc>
          <w:tcPr>
            <w:tcW w:w="1138" w:type="dxa"/>
            <w:vMerge w:val="continue"/>
            <w:tcBorders>
              <w:tl2br w:val="nil"/>
              <w:tr2bl w:val="nil"/>
            </w:tcBorders>
            <w:noWrap w:val="0"/>
            <w:vAlign w:val="center"/>
          </w:tcPr>
          <w:p w14:paraId="75CCD3EC">
            <w:pPr>
              <w:pStyle w:val="26"/>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bottom"/>
              <w:outlineLvl w:val="9"/>
              <w:rPr>
                <w:rFonts w:hint="default" w:ascii="Times New Roman" w:hAnsi="Times New Roman" w:eastAsia="宋体" w:cs="Times New Roman"/>
                <w:color w:val="auto"/>
                <w:sz w:val="21"/>
                <w:szCs w:val="21"/>
                <w:highlight w:val="none"/>
              </w:rPr>
            </w:pPr>
          </w:p>
        </w:tc>
        <w:tc>
          <w:tcPr>
            <w:tcW w:w="1525" w:type="dxa"/>
            <w:gridSpan w:val="2"/>
            <w:tcBorders>
              <w:tl2br w:val="nil"/>
              <w:tr2bl w:val="nil"/>
            </w:tcBorders>
            <w:noWrap w:val="0"/>
            <w:vAlign w:val="center"/>
          </w:tcPr>
          <w:p w14:paraId="0C604E59">
            <w:pPr>
              <w:pStyle w:val="26"/>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702" w:type="dxa"/>
            <w:tcBorders>
              <w:tl2br w:val="nil"/>
              <w:tr2bl w:val="nil"/>
            </w:tcBorders>
            <w:noWrap w:val="0"/>
            <w:vAlign w:val="center"/>
          </w:tcPr>
          <w:p w14:paraId="0E66E502">
            <w:pPr>
              <w:pStyle w:val="26"/>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数值</w:t>
            </w:r>
          </w:p>
        </w:tc>
      </w:tr>
      <w:tr w14:paraId="59131F7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397" w:hRule="atLeast"/>
          <w:tblHeader/>
          <w:jc w:val="center"/>
        </w:trPr>
        <w:tc>
          <w:tcPr>
            <w:tcW w:w="975" w:type="dxa"/>
            <w:vMerge w:val="restart"/>
            <w:tcBorders>
              <w:tl2br w:val="nil"/>
              <w:tr2bl w:val="nil"/>
            </w:tcBorders>
            <w:noWrap w:val="0"/>
            <w:vAlign w:val="center"/>
          </w:tcPr>
          <w:p w14:paraId="2BC245B0">
            <w:pPr>
              <w:pStyle w:val="26"/>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w:t>
            </w:r>
          </w:p>
        </w:tc>
        <w:tc>
          <w:tcPr>
            <w:tcW w:w="4720" w:type="dxa"/>
            <w:vMerge w:val="restart"/>
            <w:tcBorders>
              <w:tl2br w:val="nil"/>
              <w:tr2bl w:val="nil"/>
            </w:tcBorders>
            <w:noWrap w:val="0"/>
            <w:vAlign w:val="center"/>
          </w:tcPr>
          <w:p w14:paraId="6B8368F4">
            <w:pPr>
              <w:pStyle w:val="26"/>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《声环境质量标准》（GB3096-2008）</w:t>
            </w:r>
            <w:r>
              <w:rPr>
                <w:rFonts w:hint="eastAsia" w:ascii="Times New Roman" w:eastAsia="宋体" w:cs="Times New Roman"/>
                <w:color w:val="auto"/>
                <w:sz w:val="21"/>
                <w:szCs w:val="21"/>
                <w:highlight w:val="none"/>
                <w:lang w:val="en-US" w:eastAsia="zh-CN"/>
              </w:rPr>
              <w:t>表1环境噪声限值</w:t>
            </w:r>
            <w:r>
              <w:rPr>
                <w:rFonts w:hint="default" w:ascii="Times New Roman" w:hAnsi="Times New Roman" w:eastAsia="宋体" w:cs="Times New Roman"/>
                <w:color w:val="auto"/>
                <w:sz w:val="21"/>
                <w:szCs w:val="21"/>
                <w:highlight w:val="none"/>
                <w:lang w:val="en-US" w:eastAsia="zh-CN"/>
              </w:rPr>
              <w:t>中</w:t>
            </w:r>
            <w:r>
              <w:rPr>
                <w:rFonts w:hint="eastAsia" w:ascii="Times New Roman" w:hAnsi="Times New Roman"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类标准</w:t>
            </w:r>
          </w:p>
        </w:tc>
        <w:tc>
          <w:tcPr>
            <w:tcW w:w="1138" w:type="dxa"/>
            <w:vMerge w:val="restart"/>
            <w:tcBorders>
              <w:tl2br w:val="nil"/>
              <w:tr2bl w:val="nil"/>
            </w:tcBorders>
            <w:noWrap w:val="0"/>
            <w:vAlign w:val="center"/>
          </w:tcPr>
          <w:p w14:paraId="2727E09B">
            <w:pPr>
              <w:pStyle w:val="26"/>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825" w:type="dxa"/>
            <w:vMerge w:val="restart"/>
            <w:tcBorders>
              <w:tl2br w:val="nil"/>
              <w:tr2bl w:val="nil"/>
            </w:tcBorders>
            <w:noWrap w:val="0"/>
            <w:vAlign w:val="center"/>
          </w:tcPr>
          <w:p w14:paraId="2CEB3C5E">
            <w:pPr>
              <w:pStyle w:val="26"/>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dB(A)</w:t>
            </w:r>
          </w:p>
        </w:tc>
        <w:tc>
          <w:tcPr>
            <w:tcW w:w="700" w:type="dxa"/>
            <w:tcBorders>
              <w:tl2br w:val="nil"/>
              <w:tr2bl w:val="nil"/>
            </w:tcBorders>
            <w:noWrap w:val="0"/>
            <w:vAlign w:val="center"/>
          </w:tcPr>
          <w:p w14:paraId="74A763EB">
            <w:pPr>
              <w:pStyle w:val="26"/>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昼间</w:t>
            </w:r>
          </w:p>
        </w:tc>
        <w:tc>
          <w:tcPr>
            <w:tcW w:w="702" w:type="dxa"/>
            <w:tcBorders>
              <w:tl2br w:val="nil"/>
              <w:tr2bl w:val="nil"/>
            </w:tcBorders>
            <w:noWrap w:val="0"/>
            <w:vAlign w:val="center"/>
          </w:tcPr>
          <w:p w14:paraId="1308F7C8">
            <w:pPr>
              <w:pStyle w:val="26"/>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jc w:val="center"/>
              <w:textAlignment w:val="bottom"/>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60</w:t>
            </w:r>
          </w:p>
        </w:tc>
      </w:tr>
      <w:tr w14:paraId="70556D9F">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397" w:hRule="atLeast"/>
          <w:tblHeader/>
          <w:jc w:val="center"/>
        </w:trPr>
        <w:tc>
          <w:tcPr>
            <w:tcW w:w="975" w:type="dxa"/>
            <w:vMerge w:val="continue"/>
            <w:tcBorders>
              <w:tl2br w:val="nil"/>
              <w:tr2bl w:val="nil"/>
            </w:tcBorders>
            <w:noWrap w:val="0"/>
            <w:vAlign w:val="center"/>
          </w:tcPr>
          <w:p w14:paraId="5C83D669">
            <w:pPr>
              <w:pStyle w:val="26"/>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bottom"/>
              <w:outlineLvl w:val="9"/>
              <w:rPr>
                <w:rFonts w:hint="default" w:ascii="Times New Roman" w:hAnsi="Times New Roman" w:eastAsia="宋体" w:cs="Times New Roman"/>
                <w:color w:val="auto"/>
                <w:sz w:val="21"/>
                <w:szCs w:val="21"/>
                <w:highlight w:val="none"/>
              </w:rPr>
            </w:pPr>
          </w:p>
        </w:tc>
        <w:tc>
          <w:tcPr>
            <w:tcW w:w="4720" w:type="dxa"/>
            <w:vMerge w:val="continue"/>
            <w:tcBorders>
              <w:tl2br w:val="nil"/>
              <w:tr2bl w:val="nil"/>
            </w:tcBorders>
            <w:noWrap w:val="0"/>
            <w:vAlign w:val="center"/>
          </w:tcPr>
          <w:p w14:paraId="36186FAE">
            <w:pPr>
              <w:pStyle w:val="26"/>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bottom"/>
              <w:outlineLvl w:val="9"/>
              <w:rPr>
                <w:rFonts w:hint="default" w:ascii="Times New Roman" w:hAnsi="Times New Roman" w:eastAsia="宋体" w:cs="Times New Roman"/>
                <w:color w:val="auto"/>
                <w:sz w:val="21"/>
                <w:szCs w:val="21"/>
                <w:highlight w:val="none"/>
              </w:rPr>
            </w:pPr>
          </w:p>
        </w:tc>
        <w:tc>
          <w:tcPr>
            <w:tcW w:w="1138" w:type="dxa"/>
            <w:vMerge w:val="continue"/>
            <w:tcBorders>
              <w:tl2br w:val="nil"/>
              <w:tr2bl w:val="nil"/>
            </w:tcBorders>
            <w:noWrap w:val="0"/>
            <w:vAlign w:val="center"/>
          </w:tcPr>
          <w:p w14:paraId="5F38AFA1">
            <w:pPr>
              <w:pStyle w:val="26"/>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bottom"/>
              <w:outlineLvl w:val="9"/>
              <w:rPr>
                <w:rFonts w:hint="default" w:ascii="Times New Roman" w:hAnsi="Times New Roman" w:eastAsia="宋体" w:cs="Times New Roman"/>
                <w:color w:val="auto"/>
                <w:sz w:val="21"/>
                <w:szCs w:val="21"/>
                <w:highlight w:val="none"/>
              </w:rPr>
            </w:pPr>
          </w:p>
        </w:tc>
        <w:tc>
          <w:tcPr>
            <w:tcW w:w="825" w:type="dxa"/>
            <w:vMerge w:val="continue"/>
            <w:tcBorders>
              <w:tl2br w:val="nil"/>
              <w:tr2bl w:val="nil"/>
            </w:tcBorders>
            <w:noWrap w:val="0"/>
            <w:vAlign w:val="center"/>
          </w:tcPr>
          <w:p w14:paraId="4AC89635">
            <w:pPr>
              <w:pStyle w:val="26"/>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bottom"/>
              <w:outlineLvl w:val="9"/>
              <w:rPr>
                <w:rFonts w:hint="default" w:ascii="Times New Roman" w:hAnsi="Times New Roman" w:eastAsia="宋体" w:cs="Times New Roman"/>
                <w:color w:val="auto"/>
                <w:sz w:val="21"/>
                <w:szCs w:val="21"/>
                <w:highlight w:val="none"/>
              </w:rPr>
            </w:pPr>
          </w:p>
        </w:tc>
        <w:tc>
          <w:tcPr>
            <w:tcW w:w="700" w:type="dxa"/>
            <w:tcBorders>
              <w:tl2br w:val="nil"/>
              <w:tr2bl w:val="nil"/>
            </w:tcBorders>
            <w:noWrap w:val="0"/>
            <w:vAlign w:val="center"/>
          </w:tcPr>
          <w:p w14:paraId="1B775015">
            <w:pPr>
              <w:pStyle w:val="26"/>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夜间</w:t>
            </w:r>
          </w:p>
        </w:tc>
        <w:tc>
          <w:tcPr>
            <w:tcW w:w="702" w:type="dxa"/>
            <w:tcBorders>
              <w:tl2br w:val="nil"/>
              <w:tr2bl w:val="nil"/>
            </w:tcBorders>
            <w:noWrap w:val="0"/>
            <w:vAlign w:val="center"/>
          </w:tcPr>
          <w:p w14:paraId="14A4B290">
            <w:pPr>
              <w:pStyle w:val="26"/>
              <w:keepNext w:val="0"/>
              <w:keepLines w:val="0"/>
              <w:pageBreakBefore w:val="0"/>
              <w:widowControl w:val="0"/>
              <w:kinsoku/>
              <w:wordWrap/>
              <w:overflowPunct/>
              <w:topLinePunct w:val="0"/>
              <w:autoSpaceDE w:val="0"/>
              <w:autoSpaceDN w:val="0"/>
              <w:bidi w:val="0"/>
              <w:adjustRightInd w:val="0"/>
              <w:snapToGrid/>
              <w:spacing w:line="240" w:lineRule="auto"/>
              <w:ind w:left="0" w:leftChars="0" w:firstLine="0" w:firstLineChars="0"/>
              <w:jc w:val="center"/>
              <w:textAlignment w:val="bottom"/>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50</w:t>
            </w:r>
          </w:p>
        </w:tc>
      </w:tr>
    </w:tbl>
    <w:p w14:paraId="6351CEF0">
      <w:pPr>
        <w:ind w:firstLine="480"/>
        <w:rPr>
          <w:rFonts w:ascii="Times New Roman" w:hAnsi="Times New Roman"/>
          <w:highlight w:val="none"/>
        </w:rPr>
      </w:pPr>
      <w:r>
        <w:rPr>
          <w:rFonts w:ascii="Times New Roman" w:hAnsi="Times New Roman"/>
          <w:highlight w:val="none"/>
        </w:rPr>
        <w:t>4、土壤污染风险管控标准</w:t>
      </w:r>
    </w:p>
    <w:p w14:paraId="7770A8A0">
      <w:pPr>
        <w:ind w:firstLine="480"/>
        <w:rPr>
          <w:rFonts w:ascii="Times New Roman" w:hAnsi="Times New Roman"/>
          <w:highlight w:val="none"/>
        </w:rPr>
      </w:pPr>
      <w:r>
        <w:rPr>
          <w:rFonts w:ascii="Times New Roman" w:hAnsi="Times New Roman"/>
          <w:highlight w:val="none"/>
        </w:rPr>
        <w:t>建设用地土壤执行《土壤环境质量 建设用地土壤污染风险管控标准（试行）》（GB36600-2018）第二类用地筛选值。</w:t>
      </w:r>
    </w:p>
    <w:p w14:paraId="020BC098">
      <w:pPr>
        <w:keepNext w:val="0"/>
        <w:keepLines w:val="0"/>
        <w:pageBreakBefore w:val="0"/>
        <w:widowControl w:val="0"/>
        <w:kinsoku/>
        <w:wordWrap/>
        <w:overflowPunct/>
        <w:topLinePunct w:val="0"/>
        <w:bidi w:val="0"/>
        <w:snapToGrid/>
        <w:spacing w:line="480" w:lineRule="exact"/>
        <w:jc w:val="center"/>
        <w:textAlignment w:val="auto"/>
        <w:rPr>
          <w:rFonts w:hint="default" w:ascii="Times New Roman" w:hAnsi="Times New Roman" w:eastAsia="黑体" w:cs="Times New Roman"/>
          <w:color w:val="auto"/>
          <w:spacing w:val="0"/>
          <w:sz w:val="24"/>
          <w:szCs w:val="24"/>
          <w:highlight w:val="none"/>
        </w:rPr>
      </w:pPr>
      <w:r>
        <w:rPr>
          <w:rFonts w:hint="default" w:ascii="Times New Roman" w:hAnsi="Times New Roman" w:eastAsia="黑体" w:cs="Times New Roman"/>
          <w:color w:val="auto"/>
          <w:spacing w:val="0"/>
          <w:sz w:val="24"/>
          <w:szCs w:val="24"/>
          <w:highlight w:val="none"/>
        </w:rPr>
        <w:t>表2.3-</w:t>
      </w:r>
      <w:r>
        <w:rPr>
          <w:rFonts w:hint="eastAsia" w:ascii="Times New Roman" w:hAnsi="Times New Roman" w:eastAsia="黑体" w:cs="Times New Roman"/>
          <w:color w:val="auto"/>
          <w:spacing w:val="0"/>
          <w:sz w:val="24"/>
          <w:szCs w:val="24"/>
          <w:highlight w:val="none"/>
        </w:rPr>
        <w:t>8</w:t>
      </w:r>
      <w:r>
        <w:rPr>
          <w:rFonts w:hint="default" w:ascii="Times New Roman" w:hAnsi="Times New Roman" w:eastAsia="黑体" w:cs="Times New Roman"/>
          <w:color w:val="auto"/>
          <w:spacing w:val="0"/>
          <w:sz w:val="24"/>
          <w:szCs w:val="24"/>
          <w:highlight w:val="none"/>
        </w:rPr>
        <w:t>《土壤环境质量 建设用地土壤污染风险管控标准（试行）》</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65"/>
        <w:gridCol w:w="2001"/>
        <w:gridCol w:w="1694"/>
        <w:gridCol w:w="2180"/>
        <w:gridCol w:w="1982"/>
      </w:tblGrid>
      <w:tr w14:paraId="4A2237F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tblHeader/>
          <w:jc w:val="center"/>
        </w:trPr>
        <w:tc>
          <w:tcPr>
            <w:tcW w:w="390" w:type="pct"/>
            <w:noWrap w:val="0"/>
            <w:vAlign w:val="center"/>
          </w:tcPr>
          <w:p w14:paraId="25B08E3A">
            <w:pPr>
              <w:pStyle w:val="27"/>
              <w:contextualSpacing/>
              <w:rPr>
                <w:rFonts w:ascii="Times New Roman" w:hAnsi="Times New Roman"/>
                <w:highlight w:val="none"/>
              </w:rPr>
            </w:pPr>
            <w:r>
              <w:rPr>
                <w:rFonts w:ascii="Times New Roman" w:hAnsi="Times New Roman"/>
                <w:highlight w:val="none"/>
              </w:rPr>
              <w:t>序号</w:t>
            </w:r>
          </w:p>
        </w:tc>
        <w:tc>
          <w:tcPr>
            <w:tcW w:w="1174" w:type="pct"/>
            <w:noWrap w:val="0"/>
            <w:vAlign w:val="center"/>
          </w:tcPr>
          <w:p w14:paraId="4EF03DA2">
            <w:pPr>
              <w:pStyle w:val="27"/>
              <w:contextualSpacing/>
              <w:rPr>
                <w:rFonts w:ascii="Times New Roman" w:hAnsi="Times New Roman"/>
                <w:highlight w:val="none"/>
              </w:rPr>
            </w:pPr>
            <w:r>
              <w:rPr>
                <w:rFonts w:ascii="Times New Roman" w:hAnsi="Times New Roman"/>
                <w:highlight w:val="none"/>
              </w:rPr>
              <w:t>检测项目</w:t>
            </w:r>
          </w:p>
        </w:tc>
        <w:tc>
          <w:tcPr>
            <w:tcW w:w="994" w:type="pct"/>
            <w:noWrap w:val="0"/>
            <w:vAlign w:val="center"/>
          </w:tcPr>
          <w:p w14:paraId="6D649AEB">
            <w:pPr>
              <w:pStyle w:val="27"/>
              <w:contextualSpacing/>
              <w:rPr>
                <w:rFonts w:ascii="Times New Roman" w:hAnsi="Times New Roman"/>
                <w:highlight w:val="none"/>
              </w:rPr>
            </w:pPr>
            <w:r>
              <w:rPr>
                <w:rFonts w:ascii="Times New Roman" w:hAnsi="Times New Roman"/>
                <w:highlight w:val="none"/>
              </w:rPr>
              <w:t>CAS 编号</w:t>
            </w:r>
          </w:p>
        </w:tc>
        <w:tc>
          <w:tcPr>
            <w:tcW w:w="1279" w:type="pct"/>
            <w:noWrap w:val="0"/>
            <w:vAlign w:val="center"/>
          </w:tcPr>
          <w:p w14:paraId="6AFD0FC5">
            <w:pPr>
              <w:pStyle w:val="27"/>
              <w:contextualSpacing/>
              <w:rPr>
                <w:rFonts w:ascii="Times New Roman" w:hAnsi="Times New Roman"/>
                <w:highlight w:val="none"/>
              </w:rPr>
            </w:pPr>
            <w:r>
              <w:rPr>
                <w:rFonts w:ascii="Times New Roman" w:hAnsi="Times New Roman"/>
                <w:highlight w:val="none"/>
              </w:rPr>
              <w:t>筛选值第一类用地</w:t>
            </w:r>
          </w:p>
        </w:tc>
        <w:tc>
          <w:tcPr>
            <w:tcW w:w="1163" w:type="pct"/>
            <w:noWrap w:val="0"/>
            <w:vAlign w:val="center"/>
          </w:tcPr>
          <w:p w14:paraId="545446D7">
            <w:pPr>
              <w:pStyle w:val="27"/>
              <w:contextualSpacing/>
              <w:rPr>
                <w:rFonts w:ascii="Times New Roman" w:hAnsi="Times New Roman"/>
                <w:highlight w:val="none"/>
              </w:rPr>
            </w:pPr>
            <w:r>
              <w:rPr>
                <w:rFonts w:ascii="Times New Roman" w:hAnsi="Times New Roman"/>
                <w:highlight w:val="none"/>
              </w:rPr>
              <w:t>筛选值第二类用地</w:t>
            </w:r>
          </w:p>
        </w:tc>
      </w:tr>
      <w:tr w14:paraId="44BBDDB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0BCEF318">
            <w:pPr>
              <w:pStyle w:val="27"/>
              <w:contextualSpacing/>
              <w:rPr>
                <w:rFonts w:ascii="Times New Roman" w:hAnsi="Times New Roman"/>
                <w:highlight w:val="none"/>
              </w:rPr>
            </w:pPr>
            <w:r>
              <w:rPr>
                <w:rFonts w:ascii="Times New Roman" w:hAnsi="Times New Roman"/>
                <w:highlight w:val="none"/>
              </w:rPr>
              <w:t>1</w:t>
            </w:r>
          </w:p>
        </w:tc>
        <w:tc>
          <w:tcPr>
            <w:tcW w:w="1174" w:type="pct"/>
            <w:noWrap w:val="0"/>
            <w:vAlign w:val="center"/>
          </w:tcPr>
          <w:p w14:paraId="12386E18">
            <w:pPr>
              <w:pStyle w:val="27"/>
              <w:contextualSpacing/>
              <w:rPr>
                <w:rFonts w:ascii="Times New Roman" w:hAnsi="Times New Roman"/>
                <w:highlight w:val="none"/>
              </w:rPr>
            </w:pPr>
            <w:r>
              <w:rPr>
                <w:rFonts w:ascii="Times New Roman" w:hAnsi="Times New Roman"/>
                <w:highlight w:val="none"/>
              </w:rPr>
              <w:t>砷</w:t>
            </w:r>
          </w:p>
        </w:tc>
        <w:tc>
          <w:tcPr>
            <w:tcW w:w="994" w:type="pct"/>
            <w:noWrap w:val="0"/>
            <w:vAlign w:val="center"/>
          </w:tcPr>
          <w:p w14:paraId="14914F47">
            <w:pPr>
              <w:pStyle w:val="27"/>
              <w:contextualSpacing/>
              <w:rPr>
                <w:rFonts w:ascii="Times New Roman" w:hAnsi="Times New Roman"/>
                <w:highlight w:val="none"/>
              </w:rPr>
            </w:pPr>
            <w:r>
              <w:rPr>
                <w:rFonts w:ascii="Times New Roman" w:hAnsi="Times New Roman"/>
                <w:highlight w:val="none"/>
              </w:rPr>
              <w:t>7440-38-2</w:t>
            </w:r>
          </w:p>
        </w:tc>
        <w:tc>
          <w:tcPr>
            <w:tcW w:w="1279" w:type="pct"/>
            <w:noWrap w:val="0"/>
            <w:vAlign w:val="center"/>
          </w:tcPr>
          <w:p w14:paraId="75EBD284">
            <w:pPr>
              <w:pStyle w:val="27"/>
              <w:contextualSpacing/>
              <w:rPr>
                <w:rFonts w:ascii="Times New Roman" w:hAnsi="Times New Roman"/>
                <w:highlight w:val="none"/>
              </w:rPr>
            </w:pPr>
            <w:r>
              <w:rPr>
                <w:rFonts w:ascii="Times New Roman" w:hAnsi="Times New Roman"/>
                <w:highlight w:val="none"/>
              </w:rPr>
              <w:t>20</w:t>
            </w:r>
            <w:r>
              <w:rPr>
                <w:rFonts w:hint="eastAsia" w:ascii="宋体" w:hAnsi="宋体" w:eastAsia="宋体" w:cs="宋体"/>
                <w:highlight w:val="none"/>
              </w:rPr>
              <w:t>①</w:t>
            </w:r>
          </w:p>
        </w:tc>
        <w:tc>
          <w:tcPr>
            <w:tcW w:w="1163" w:type="pct"/>
            <w:noWrap w:val="0"/>
            <w:vAlign w:val="center"/>
          </w:tcPr>
          <w:p w14:paraId="71136BF3">
            <w:pPr>
              <w:pStyle w:val="27"/>
              <w:contextualSpacing/>
              <w:rPr>
                <w:rFonts w:ascii="Times New Roman" w:hAnsi="Times New Roman"/>
                <w:highlight w:val="none"/>
              </w:rPr>
            </w:pPr>
            <w:r>
              <w:rPr>
                <w:rFonts w:ascii="Times New Roman" w:hAnsi="Times New Roman"/>
                <w:highlight w:val="none"/>
              </w:rPr>
              <w:t>60</w:t>
            </w:r>
            <w:r>
              <w:rPr>
                <w:rFonts w:hint="eastAsia" w:ascii="宋体" w:hAnsi="宋体" w:eastAsia="宋体" w:cs="宋体"/>
                <w:highlight w:val="none"/>
              </w:rPr>
              <w:t>①</w:t>
            </w:r>
          </w:p>
        </w:tc>
      </w:tr>
      <w:tr w14:paraId="224D8CF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28A1CD63">
            <w:pPr>
              <w:pStyle w:val="27"/>
              <w:contextualSpacing/>
              <w:rPr>
                <w:rFonts w:ascii="Times New Roman" w:hAnsi="Times New Roman"/>
                <w:highlight w:val="none"/>
              </w:rPr>
            </w:pPr>
            <w:r>
              <w:rPr>
                <w:rFonts w:ascii="Times New Roman" w:hAnsi="Times New Roman"/>
                <w:highlight w:val="none"/>
              </w:rPr>
              <w:t>2</w:t>
            </w:r>
          </w:p>
        </w:tc>
        <w:tc>
          <w:tcPr>
            <w:tcW w:w="1174" w:type="pct"/>
            <w:noWrap w:val="0"/>
            <w:vAlign w:val="center"/>
          </w:tcPr>
          <w:p w14:paraId="5141DD16">
            <w:pPr>
              <w:pStyle w:val="27"/>
              <w:contextualSpacing/>
              <w:rPr>
                <w:rFonts w:ascii="Times New Roman" w:hAnsi="Times New Roman"/>
                <w:highlight w:val="none"/>
              </w:rPr>
            </w:pPr>
            <w:r>
              <w:rPr>
                <w:rFonts w:ascii="Times New Roman" w:hAnsi="Times New Roman"/>
                <w:highlight w:val="none"/>
              </w:rPr>
              <w:t>镉</w:t>
            </w:r>
          </w:p>
        </w:tc>
        <w:tc>
          <w:tcPr>
            <w:tcW w:w="994" w:type="pct"/>
            <w:noWrap w:val="0"/>
            <w:vAlign w:val="center"/>
          </w:tcPr>
          <w:p w14:paraId="73BED56C">
            <w:pPr>
              <w:pStyle w:val="27"/>
              <w:contextualSpacing/>
              <w:rPr>
                <w:rFonts w:ascii="Times New Roman" w:hAnsi="Times New Roman"/>
                <w:highlight w:val="none"/>
              </w:rPr>
            </w:pPr>
            <w:r>
              <w:rPr>
                <w:rFonts w:ascii="Times New Roman" w:hAnsi="Times New Roman"/>
                <w:highlight w:val="none"/>
              </w:rPr>
              <w:t>7440-43-9</w:t>
            </w:r>
          </w:p>
        </w:tc>
        <w:tc>
          <w:tcPr>
            <w:tcW w:w="1279" w:type="pct"/>
            <w:noWrap w:val="0"/>
            <w:vAlign w:val="center"/>
          </w:tcPr>
          <w:p w14:paraId="59586878">
            <w:pPr>
              <w:pStyle w:val="27"/>
              <w:contextualSpacing/>
              <w:rPr>
                <w:rFonts w:ascii="Times New Roman" w:hAnsi="Times New Roman"/>
                <w:highlight w:val="none"/>
              </w:rPr>
            </w:pPr>
            <w:r>
              <w:rPr>
                <w:rFonts w:ascii="Times New Roman" w:hAnsi="Times New Roman"/>
                <w:highlight w:val="none"/>
              </w:rPr>
              <w:t>20</w:t>
            </w:r>
          </w:p>
        </w:tc>
        <w:tc>
          <w:tcPr>
            <w:tcW w:w="1163" w:type="pct"/>
            <w:noWrap w:val="0"/>
            <w:vAlign w:val="center"/>
          </w:tcPr>
          <w:p w14:paraId="01B2E338">
            <w:pPr>
              <w:pStyle w:val="27"/>
              <w:contextualSpacing/>
              <w:rPr>
                <w:rFonts w:ascii="Times New Roman" w:hAnsi="Times New Roman"/>
                <w:highlight w:val="none"/>
              </w:rPr>
            </w:pPr>
            <w:r>
              <w:rPr>
                <w:rFonts w:ascii="Times New Roman" w:hAnsi="Times New Roman"/>
                <w:highlight w:val="none"/>
              </w:rPr>
              <w:t>65</w:t>
            </w:r>
          </w:p>
        </w:tc>
      </w:tr>
      <w:tr w14:paraId="2E0E612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1DA58CD6">
            <w:pPr>
              <w:pStyle w:val="27"/>
              <w:contextualSpacing/>
              <w:rPr>
                <w:rFonts w:ascii="Times New Roman" w:hAnsi="Times New Roman"/>
                <w:highlight w:val="none"/>
              </w:rPr>
            </w:pPr>
            <w:r>
              <w:rPr>
                <w:rFonts w:ascii="Times New Roman" w:hAnsi="Times New Roman"/>
                <w:highlight w:val="none"/>
              </w:rPr>
              <w:t>3</w:t>
            </w:r>
          </w:p>
        </w:tc>
        <w:tc>
          <w:tcPr>
            <w:tcW w:w="1174" w:type="pct"/>
            <w:noWrap w:val="0"/>
            <w:vAlign w:val="center"/>
          </w:tcPr>
          <w:p w14:paraId="48AAC0B7">
            <w:pPr>
              <w:pStyle w:val="27"/>
              <w:contextualSpacing/>
              <w:rPr>
                <w:rFonts w:ascii="Times New Roman" w:hAnsi="Times New Roman"/>
                <w:highlight w:val="none"/>
              </w:rPr>
            </w:pPr>
            <w:r>
              <w:rPr>
                <w:rFonts w:ascii="Times New Roman" w:hAnsi="Times New Roman"/>
                <w:highlight w:val="none"/>
              </w:rPr>
              <w:t>铬（六价）</w:t>
            </w:r>
          </w:p>
        </w:tc>
        <w:tc>
          <w:tcPr>
            <w:tcW w:w="994" w:type="pct"/>
            <w:noWrap w:val="0"/>
            <w:vAlign w:val="center"/>
          </w:tcPr>
          <w:p w14:paraId="52D0B453">
            <w:pPr>
              <w:pStyle w:val="27"/>
              <w:contextualSpacing/>
              <w:rPr>
                <w:rFonts w:ascii="Times New Roman" w:hAnsi="Times New Roman"/>
                <w:highlight w:val="none"/>
              </w:rPr>
            </w:pPr>
            <w:r>
              <w:rPr>
                <w:rFonts w:ascii="Times New Roman" w:hAnsi="Times New Roman"/>
                <w:highlight w:val="none"/>
              </w:rPr>
              <w:t>18540-29-9</w:t>
            </w:r>
          </w:p>
        </w:tc>
        <w:tc>
          <w:tcPr>
            <w:tcW w:w="1279" w:type="pct"/>
            <w:noWrap w:val="0"/>
            <w:vAlign w:val="center"/>
          </w:tcPr>
          <w:p w14:paraId="004AA73A">
            <w:pPr>
              <w:pStyle w:val="27"/>
              <w:contextualSpacing/>
              <w:rPr>
                <w:rFonts w:ascii="Times New Roman" w:hAnsi="Times New Roman"/>
                <w:highlight w:val="none"/>
              </w:rPr>
            </w:pPr>
            <w:r>
              <w:rPr>
                <w:rFonts w:ascii="Times New Roman" w:hAnsi="Times New Roman"/>
                <w:highlight w:val="none"/>
              </w:rPr>
              <w:t>3.0</w:t>
            </w:r>
          </w:p>
        </w:tc>
        <w:tc>
          <w:tcPr>
            <w:tcW w:w="1163" w:type="pct"/>
            <w:noWrap w:val="0"/>
            <w:vAlign w:val="center"/>
          </w:tcPr>
          <w:p w14:paraId="6B3C7B35">
            <w:pPr>
              <w:pStyle w:val="27"/>
              <w:contextualSpacing/>
              <w:rPr>
                <w:rFonts w:ascii="Times New Roman" w:hAnsi="Times New Roman"/>
                <w:highlight w:val="none"/>
              </w:rPr>
            </w:pPr>
            <w:r>
              <w:rPr>
                <w:rFonts w:ascii="Times New Roman" w:hAnsi="Times New Roman"/>
                <w:highlight w:val="none"/>
              </w:rPr>
              <w:t>5.7</w:t>
            </w:r>
          </w:p>
        </w:tc>
      </w:tr>
      <w:tr w14:paraId="4ECC531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07EB3269">
            <w:pPr>
              <w:pStyle w:val="27"/>
              <w:contextualSpacing/>
              <w:rPr>
                <w:rFonts w:ascii="Times New Roman" w:hAnsi="Times New Roman"/>
                <w:highlight w:val="none"/>
              </w:rPr>
            </w:pPr>
            <w:r>
              <w:rPr>
                <w:rFonts w:ascii="Times New Roman" w:hAnsi="Times New Roman"/>
                <w:highlight w:val="none"/>
              </w:rPr>
              <w:t>4</w:t>
            </w:r>
          </w:p>
        </w:tc>
        <w:tc>
          <w:tcPr>
            <w:tcW w:w="1174" w:type="pct"/>
            <w:noWrap w:val="0"/>
            <w:vAlign w:val="center"/>
          </w:tcPr>
          <w:p w14:paraId="25193252">
            <w:pPr>
              <w:pStyle w:val="27"/>
              <w:contextualSpacing/>
              <w:rPr>
                <w:rFonts w:ascii="Times New Roman" w:hAnsi="Times New Roman"/>
                <w:highlight w:val="none"/>
              </w:rPr>
            </w:pPr>
            <w:r>
              <w:rPr>
                <w:rFonts w:ascii="Times New Roman" w:hAnsi="Times New Roman"/>
                <w:highlight w:val="none"/>
              </w:rPr>
              <w:t>铜</w:t>
            </w:r>
          </w:p>
        </w:tc>
        <w:tc>
          <w:tcPr>
            <w:tcW w:w="994" w:type="pct"/>
            <w:noWrap w:val="0"/>
            <w:vAlign w:val="center"/>
          </w:tcPr>
          <w:p w14:paraId="6DAC993E">
            <w:pPr>
              <w:pStyle w:val="27"/>
              <w:contextualSpacing/>
              <w:rPr>
                <w:rFonts w:ascii="Times New Roman" w:hAnsi="Times New Roman"/>
                <w:highlight w:val="none"/>
              </w:rPr>
            </w:pPr>
            <w:r>
              <w:rPr>
                <w:rFonts w:ascii="Times New Roman" w:hAnsi="Times New Roman"/>
                <w:highlight w:val="none"/>
              </w:rPr>
              <w:t>7440-50-8</w:t>
            </w:r>
          </w:p>
        </w:tc>
        <w:tc>
          <w:tcPr>
            <w:tcW w:w="1279" w:type="pct"/>
            <w:noWrap w:val="0"/>
            <w:vAlign w:val="center"/>
          </w:tcPr>
          <w:p w14:paraId="22372726">
            <w:pPr>
              <w:pStyle w:val="27"/>
              <w:contextualSpacing/>
              <w:rPr>
                <w:rFonts w:ascii="Times New Roman" w:hAnsi="Times New Roman"/>
                <w:highlight w:val="none"/>
              </w:rPr>
            </w:pPr>
            <w:r>
              <w:rPr>
                <w:rFonts w:ascii="Times New Roman" w:hAnsi="Times New Roman"/>
                <w:highlight w:val="none"/>
              </w:rPr>
              <w:t>2000</w:t>
            </w:r>
          </w:p>
        </w:tc>
        <w:tc>
          <w:tcPr>
            <w:tcW w:w="1163" w:type="pct"/>
            <w:noWrap w:val="0"/>
            <w:vAlign w:val="center"/>
          </w:tcPr>
          <w:p w14:paraId="4BF5239C">
            <w:pPr>
              <w:pStyle w:val="27"/>
              <w:contextualSpacing/>
              <w:rPr>
                <w:rFonts w:ascii="Times New Roman" w:hAnsi="Times New Roman"/>
                <w:highlight w:val="none"/>
              </w:rPr>
            </w:pPr>
            <w:r>
              <w:rPr>
                <w:rFonts w:ascii="Times New Roman" w:hAnsi="Times New Roman"/>
                <w:highlight w:val="none"/>
              </w:rPr>
              <w:t>18000</w:t>
            </w:r>
          </w:p>
        </w:tc>
      </w:tr>
      <w:tr w14:paraId="76CC385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0A6F06E7">
            <w:pPr>
              <w:pStyle w:val="27"/>
              <w:contextualSpacing/>
              <w:rPr>
                <w:rFonts w:ascii="Times New Roman" w:hAnsi="Times New Roman"/>
                <w:highlight w:val="none"/>
              </w:rPr>
            </w:pPr>
            <w:r>
              <w:rPr>
                <w:rFonts w:ascii="Times New Roman" w:hAnsi="Times New Roman"/>
                <w:highlight w:val="none"/>
              </w:rPr>
              <w:t>5</w:t>
            </w:r>
          </w:p>
        </w:tc>
        <w:tc>
          <w:tcPr>
            <w:tcW w:w="1174" w:type="pct"/>
            <w:noWrap w:val="0"/>
            <w:vAlign w:val="center"/>
          </w:tcPr>
          <w:p w14:paraId="5D260212">
            <w:pPr>
              <w:pStyle w:val="27"/>
              <w:contextualSpacing/>
              <w:rPr>
                <w:rFonts w:ascii="Times New Roman" w:hAnsi="Times New Roman"/>
                <w:highlight w:val="none"/>
              </w:rPr>
            </w:pPr>
            <w:r>
              <w:rPr>
                <w:rFonts w:ascii="Times New Roman" w:hAnsi="Times New Roman"/>
                <w:highlight w:val="none"/>
              </w:rPr>
              <w:t>铅</w:t>
            </w:r>
          </w:p>
        </w:tc>
        <w:tc>
          <w:tcPr>
            <w:tcW w:w="994" w:type="pct"/>
            <w:noWrap w:val="0"/>
            <w:vAlign w:val="center"/>
          </w:tcPr>
          <w:p w14:paraId="30539934">
            <w:pPr>
              <w:pStyle w:val="27"/>
              <w:contextualSpacing/>
              <w:rPr>
                <w:rFonts w:ascii="Times New Roman" w:hAnsi="Times New Roman"/>
                <w:highlight w:val="none"/>
              </w:rPr>
            </w:pPr>
            <w:r>
              <w:rPr>
                <w:rFonts w:ascii="Times New Roman" w:hAnsi="Times New Roman"/>
                <w:highlight w:val="none"/>
              </w:rPr>
              <w:t>7439-92-1</w:t>
            </w:r>
          </w:p>
        </w:tc>
        <w:tc>
          <w:tcPr>
            <w:tcW w:w="1279" w:type="pct"/>
            <w:noWrap w:val="0"/>
            <w:vAlign w:val="center"/>
          </w:tcPr>
          <w:p w14:paraId="1C439A1C">
            <w:pPr>
              <w:pStyle w:val="27"/>
              <w:contextualSpacing/>
              <w:rPr>
                <w:rFonts w:ascii="Times New Roman" w:hAnsi="Times New Roman"/>
                <w:highlight w:val="none"/>
              </w:rPr>
            </w:pPr>
            <w:r>
              <w:rPr>
                <w:rFonts w:ascii="Times New Roman" w:hAnsi="Times New Roman"/>
                <w:highlight w:val="none"/>
              </w:rPr>
              <w:t>400</w:t>
            </w:r>
          </w:p>
        </w:tc>
        <w:tc>
          <w:tcPr>
            <w:tcW w:w="1163" w:type="pct"/>
            <w:noWrap w:val="0"/>
            <w:vAlign w:val="center"/>
          </w:tcPr>
          <w:p w14:paraId="1F45F1BC">
            <w:pPr>
              <w:pStyle w:val="27"/>
              <w:contextualSpacing/>
              <w:rPr>
                <w:rFonts w:ascii="Times New Roman" w:hAnsi="Times New Roman"/>
                <w:highlight w:val="none"/>
              </w:rPr>
            </w:pPr>
            <w:r>
              <w:rPr>
                <w:rFonts w:ascii="Times New Roman" w:hAnsi="Times New Roman"/>
                <w:highlight w:val="none"/>
              </w:rPr>
              <w:t>800</w:t>
            </w:r>
          </w:p>
        </w:tc>
      </w:tr>
      <w:tr w14:paraId="2369C61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44AD4452">
            <w:pPr>
              <w:pStyle w:val="27"/>
              <w:contextualSpacing/>
              <w:rPr>
                <w:rFonts w:ascii="Times New Roman" w:hAnsi="Times New Roman"/>
                <w:highlight w:val="none"/>
              </w:rPr>
            </w:pPr>
            <w:r>
              <w:rPr>
                <w:rFonts w:ascii="Times New Roman" w:hAnsi="Times New Roman"/>
                <w:highlight w:val="none"/>
              </w:rPr>
              <w:t>6</w:t>
            </w:r>
          </w:p>
        </w:tc>
        <w:tc>
          <w:tcPr>
            <w:tcW w:w="1174" w:type="pct"/>
            <w:noWrap w:val="0"/>
            <w:vAlign w:val="center"/>
          </w:tcPr>
          <w:p w14:paraId="65D2C233">
            <w:pPr>
              <w:pStyle w:val="27"/>
              <w:contextualSpacing/>
              <w:rPr>
                <w:rFonts w:ascii="Times New Roman" w:hAnsi="Times New Roman"/>
                <w:highlight w:val="none"/>
              </w:rPr>
            </w:pPr>
            <w:r>
              <w:rPr>
                <w:rFonts w:ascii="Times New Roman" w:hAnsi="Times New Roman"/>
                <w:highlight w:val="none"/>
              </w:rPr>
              <w:t>汞</w:t>
            </w:r>
          </w:p>
        </w:tc>
        <w:tc>
          <w:tcPr>
            <w:tcW w:w="994" w:type="pct"/>
            <w:noWrap w:val="0"/>
            <w:vAlign w:val="center"/>
          </w:tcPr>
          <w:p w14:paraId="5366256E">
            <w:pPr>
              <w:pStyle w:val="27"/>
              <w:contextualSpacing/>
              <w:rPr>
                <w:rFonts w:ascii="Times New Roman" w:hAnsi="Times New Roman"/>
                <w:highlight w:val="none"/>
              </w:rPr>
            </w:pPr>
            <w:r>
              <w:rPr>
                <w:rFonts w:ascii="Times New Roman" w:hAnsi="Times New Roman"/>
                <w:highlight w:val="none"/>
              </w:rPr>
              <w:t>7439-97-6</w:t>
            </w:r>
          </w:p>
        </w:tc>
        <w:tc>
          <w:tcPr>
            <w:tcW w:w="1279" w:type="pct"/>
            <w:noWrap w:val="0"/>
            <w:vAlign w:val="center"/>
          </w:tcPr>
          <w:p w14:paraId="090D35CA">
            <w:pPr>
              <w:pStyle w:val="27"/>
              <w:contextualSpacing/>
              <w:rPr>
                <w:rFonts w:ascii="Times New Roman" w:hAnsi="Times New Roman"/>
                <w:highlight w:val="none"/>
              </w:rPr>
            </w:pPr>
            <w:r>
              <w:rPr>
                <w:rFonts w:ascii="Times New Roman" w:hAnsi="Times New Roman"/>
                <w:highlight w:val="none"/>
              </w:rPr>
              <w:t>8</w:t>
            </w:r>
          </w:p>
        </w:tc>
        <w:tc>
          <w:tcPr>
            <w:tcW w:w="1163" w:type="pct"/>
            <w:noWrap w:val="0"/>
            <w:vAlign w:val="center"/>
          </w:tcPr>
          <w:p w14:paraId="69855591">
            <w:pPr>
              <w:pStyle w:val="27"/>
              <w:contextualSpacing/>
              <w:rPr>
                <w:rFonts w:ascii="Times New Roman" w:hAnsi="Times New Roman"/>
                <w:highlight w:val="none"/>
              </w:rPr>
            </w:pPr>
            <w:r>
              <w:rPr>
                <w:rFonts w:ascii="Times New Roman" w:hAnsi="Times New Roman"/>
                <w:highlight w:val="none"/>
              </w:rPr>
              <w:t>38</w:t>
            </w:r>
          </w:p>
        </w:tc>
      </w:tr>
      <w:tr w14:paraId="3319F21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292E0FEF">
            <w:pPr>
              <w:pStyle w:val="27"/>
              <w:contextualSpacing/>
              <w:rPr>
                <w:rFonts w:ascii="Times New Roman" w:hAnsi="Times New Roman"/>
                <w:highlight w:val="none"/>
              </w:rPr>
            </w:pPr>
            <w:r>
              <w:rPr>
                <w:rFonts w:ascii="Times New Roman" w:hAnsi="Times New Roman"/>
                <w:highlight w:val="none"/>
              </w:rPr>
              <w:t>7</w:t>
            </w:r>
          </w:p>
        </w:tc>
        <w:tc>
          <w:tcPr>
            <w:tcW w:w="1174" w:type="pct"/>
            <w:noWrap w:val="0"/>
            <w:vAlign w:val="center"/>
          </w:tcPr>
          <w:p w14:paraId="51E6DE8B">
            <w:pPr>
              <w:pStyle w:val="27"/>
              <w:contextualSpacing/>
              <w:rPr>
                <w:rFonts w:ascii="Times New Roman" w:hAnsi="Times New Roman"/>
                <w:highlight w:val="none"/>
              </w:rPr>
            </w:pPr>
            <w:r>
              <w:rPr>
                <w:rFonts w:ascii="Times New Roman" w:hAnsi="Times New Roman"/>
                <w:highlight w:val="none"/>
              </w:rPr>
              <w:t>镍</w:t>
            </w:r>
          </w:p>
        </w:tc>
        <w:tc>
          <w:tcPr>
            <w:tcW w:w="994" w:type="pct"/>
            <w:noWrap w:val="0"/>
            <w:vAlign w:val="center"/>
          </w:tcPr>
          <w:p w14:paraId="117AC830">
            <w:pPr>
              <w:pStyle w:val="27"/>
              <w:contextualSpacing/>
              <w:rPr>
                <w:rFonts w:ascii="Times New Roman" w:hAnsi="Times New Roman"/>
                <w:highlight w:val="none"/>
              </w:rPr>
            </w:pPr>
            <w:r>
              <w:rPr>
                <w:rFonts w:ascii="Times New Roman" w:hAnsi="Times New Roman"/>
                <w:highlight w:val="none"/>
              </w:rPr>
              <w:t>7440-02-0</w:t>
            </w:r>
          </w:p>
        </w:tc>
        <w:tc>
          <w:tcPr>
            <w:tcW w:w="1279" w:type="pct"/>
            <w:noWrap w:val="0"/>
            <w:vAlign w:val="center"/>
          </w:tcPr>
          <w:p w14:paraId="59AA6F31">
            <w:pPr>
              <w:pStyle w:val="27"/>
              <w:contextualSpacing/>
              <w:rPr>
                <w:rFonts w:ascii="Times New Roman" w:hAnsi="Times New Roman"/>
                <w:highlight w:val="none"/>
              </w:rPr>
            </w:pPr>
            <w:r>
              <w:rPr>
                <w:rFonts w:ascii="Times New Roman" w:hAnsi="Times New Roman"/>
                <w:highlight w:val="none"/>
              </w:rPr>
              <w:t>150</w:t>
            </w:r>
          </w:p>
        </w:tc>
        <w:tc>
          <w:tcPr>
            <w:tcW w:w="1163" w:type="pct"/>
            <w:noWrap w:val="0"/>
            <w:vAlign w:val="center"/>
          </w:tcPr>
          <w:p w14:paraId="23A14ED7">
            <w:pPr>
              <w:pStyle w:val="27"/>
              <w:contextualSpacing/>
              <w:rPr>
                <w:rFonts w:ascii="Times New Roman" w:hAnsi="Times New Roman"/>
                <w:highlight w:val="none"/>
              </w:rPr>
            </w:pPr>
            <w:r>
              <w:rPr>
                <w:rFonts w:ascii="Times New Roman" w:hAnsi="Times New Roman"/>
                <w:highlight w:val="none"/>
              </w:rPr>
              <w:t>900</w:t>
            </w:r>
          </w:p>
        </w:tc>
      </w:tr>
      <w:tr w14:paraId="5A6279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7B9BBD64">
            <w:pPr>
              <w:pStyle w:val="27"/>
              <w:contextualSpacing/>
              <w:rPr>
                <w:rFonts w:ascii="Times New Roman" w:hAnsi="Times New Roman"/>
                <w:highlight w:val="none"/>
              </w:rPr>
            </w:pPr>
            <w:r>
              <w:rPr>
                <w:rFonts w:ascii="Times New Roman" w:hAnsi="Times New Roman"/>
                <w:highlight w:val="none"/>
              </w:rPr>
              <w:t>8</w:t>
            </w:r>
          </w:p>
        </w:tc>
        <w:tc>
          <w:tcPr>
            <w:tcW w:w="1174" w:type="pct"/>
            <w:noWrap w:val="0"/>
            <w:vAlign w:val="center"/>
          </w:tcPr>
          <w:p w14:paraId="6D3CEBB1">
            <w:pPr>
              <w:pStyle w:val="27"/>
              <w:contextualSpacing/>
              <w:rPr>
                <w:rFonts w:ascii="Times New Roman" w:hAnsi="Times New Roman"/>
                <w:highlight w:val="none"/>
              </w:rPr>
            </w:pPr>
            <w:r>
              <w:rPr>
                <w:rFonts w:ascii="Times New Roman" w:hAnsi="Times New Roman"/>
                <w:highlight w:val="none"/>
              </w:rPr>
              <w:t>四氯化碳</w:t>
            </w:r>
          </w:p>
        </w:tc>
        <w:tc>
          <w:tcPr>
            <w:tcW w:w="994" w:type="pct"/>
            <w:noWrap w:val="0"/>
            <w:vAlign w:val="center"/>
          </w:tcPr>
          <w:p w14:paraId="26CC2B17">
            <w:pPr>
              <w:pStyle w:val="27"/>
              <w:contextualSpacing/>
              <w:rPr>
                <w:rFonts w:ascii="Times New Roman" w:hAnsi="Times New Roman"/>
                <w:highlight w:val="none"/>
              </w:rPr>
            </w:pPr>
            <w:r>
              <w:rPr>
                <w:rFonts w:ascii="Times New Roman" w:hAnsi="Times New Roman"/>
                <w:highlight w:val="none"/>
              </w:rPr>
              <w:t>56-23-5</w:t>
            </w:r>
          </w:p>
        </w:tc>
        <w:tc>
          <w:tcPr>
            <w:tcW w:w="1279" w:type="pct"/>
            <w:noWrap w:val="0"/>
            <w:vAlign w:val="center"/>
          </w:tcPr>
          <w:p w14:paraId="29FE7190">
            <w:pPr>
              <w:pStyle w:val="27"/>
              <w:contextualSpacing/>
              <w:rPr>
                <w:rFonts w:ascii="Times New Roman" w:hAnsi="Times New Roman"/>
                <w:highlight w:val="none"/>
              </w:rPr>
            </w:pPr>
            <w:r>
              <w:rPr>
                <w:rFonts w:ascii="Times New Roman" w:hAnsi="Times New Roman"/>
                <w:highlight w:val="none"/>
              </w:rPr>
              <w:t>0.9</w:t>
            </w:r>
          </w:p>
        </w:tc>
        <w:tc>
          <w:tcPr>
            <w:tcW w:w="1163" w:type="pct"/>
            <w:noWrap w:val="0"/>
            <w:vAlign w:val="center"/>
          </w:tcPr>
          <w:p w14:paraId="307E738D">
            <w:pPr>
              <w:pStyle w:val="27"/>
              <w:contextualSpacing/>
              <w:rPr>
                <w:rFonts w:ascii="Times New Roman" w:hAnsi="Times New Roman"/>
                <w:highlight w:val="none"/>
              </w:rPr>
            </w:pPr>
            <w:r>
              <w:rPr>
                <w:rFonts w:ascii="Times New Roman" w:hAnsi="Times New Roman"/>
                <w:highlight w:val="none"/>
              </w:rPr>
              <w:t>2.8</w:t>
            </w:r>
          </w:p>
        </w:tc>
      </w:tr>
      <w:tr w14:paraId="7885B8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1E77883F">
            <w:pPr>
              <w:pStyle w:val="27"/>
              <w:contextualSpacing/>
              <w:rPr>
                <w:rFonts w:ascii="Times New Roman" w:hAnsi="Times New Roman"/>
                <w:highlight w:val="none"/>
              </w:rPr>
            </w:pPr>
            <w:r>
              <w:rPr>
                <w:rFonts w:ascii="Times New Roman" w:hAnsi="Times New Roman"/>
                <w:highlight w:val="none"/>
              </w:rPr>
              <w:t>9</w:t>
            </w:r>
          </w:p>
        </w:tc>
        <w:tc>
          <w:tcPr>
            <w:tcW w:w="1174" w:type="pct"/>
            <w:noWrap w:val="0"/>
            <w:vAlign w:val="center"/>
          </w:tcPr>
          <w:p w14:paraId="08626B89">
            <w:pPr>
              <w:pStyle w:val="27"/>
              <w:contextualSpacing/>
              <w:rPr>
                <w:rFonts w:ascii="Times New Roman" w:hAnsi="Times New Roman"/>
                <w:highlight w:val="none"/>
              </w:rPr>
            </w:pPr>
            <w:r>
              <w:rPr>
                <w:rFonts w:ascii="Times New Roman" w:hAnsi="Times New Roman"/>
                <w:highlight w:val="none"/>
              </w:rPr>
              <w:t>氯仿</w:t>
            </w:r>
          </w:p>
        </w:tc>
        <w:tc>
          <w:tcPr>
            <w:tcW w:w="994" w:type="pct"/>
            <w:noWrap w:val="0"/>
            <w:vAlign w:val="center"/>
          </w:tcPr>
          <w:p w14:paraId="30571DB0">
            <w:pPr>
              <w:pStyle w:val="27"/>
              <w:contextualSpacing/>
              <w:rPr>
                <w:rFonts w:ascii="Times New Roman" w:hAnsi="Times New Roman"/>
                <w:highlight w:val="none"/>
              </w:rPr>
            </w:pPr>
            <w:r>
              <w:rPr>
                <w:rFonts w:ascii="Times New Roman" w:hAnsi="Times New Roman"/>
                <w:highlight w:val="none"/>
              </w:rPr>
              <w:t>67-66-3</w:t>
            </w:r>
          </w:p>
        </w:tc>
        <w:tc>
          <w:tcPr>
            <w:tcW w:w="1279" w:type="pct"/>
            <w:noWrap w:val="0"/>
            <w:vAlign w:val="center"/>
          </w:tcPr>
          <w:p w14:paraId="6071B2D6">
            <w:pPr>
              <w:pStyle w:val="27"/>
              <w:contextualSpacing/>
              <w:rPr>
                <w:rFonts w:ascii="Times New Roman" w:hAnsi="Times New Roman"/>
                <w:highlight w:val="none"/>
              </w:rPr>
            </w:pPr>
            <w:r>
              <w:rPr>
                <w:rFonts w:ascii="Times New Roman" w:hAnsi="Times New Roman"/>
                <w:highlight w:val="none"/>
              </w:rPr>
              <w:t>0.3</w:t>
            </w:r>
          </w:p>
        </w:tc>
        <w:tc>
          <w:tcPr>
            <w:tcW w:w="1163" w:type="pct"/>
            <w:noWrap w:val="0"/>
            <w:vAlign w:val="center"/>
          </w:tcPr>
          <w:p w14:paraId="54C77CD9">
            <w:pPr>
              <w:pStyle w:val="27"/>
              <w:contextualSpacing/>
              <w:rPr>
                <w:rFonts w:ascii="Times New Roman" w:hAnsi="Times New Roman"/>
                <w:highlight w:val="none"/>
              </w:rPr>
            </w:pPr>
            <w:r>
              <w:rPr>
                <w:rFonts w:ascii="Times New Roman" w:hAnsi="Times New Roman"/>
                <w:highlight w:val="none"/>
              </w:rPr>
              <w:t>0.9</w:t>
            </w:r>
          </w:p>
        </w:tc>
      </w:tr>
      <w:tr w14:paraId="66AC477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5A9BC1D8">
            <w:pPr>
              <w:pStyle w:val="27"/>
              <w:contextualSpacing/>
              <w:rPr>
                <w:rFonts w:ascii="Times New Roman" w:hAnsi="Times New Roman"/>
                <w:highlight w:val="none"/>
              </w:rPr>
            </w:pPr>
            <w:r>
              <w:rPr>
                <w:rFonts w:ascii="Times New Roman" w:hAnsi="Times New Roman"/>
                <w:highlight w:val="none"/>
              </w:rPr>
              <w:t>10</w:t>
            </w:r>
          </w:p>
        </w:tc>
        <w:tc>
          <w:tcPr>
            <w:tcW w:w="1174" w:type="pct"/>
            <w:noWrap w:val="0"/>
            <w:vAlign w:val="center"/>
          </w:tcPr>
          <w:p w14:paraId="6B432942">
            <w:pPr>
              <w:pStyle w:val="27"/>
              <w:contextualSpacing/>
              <w:rPr>
                <w:rFonts w:ascii="Times New Roman" w:hAnsi="Times New Roman"/>
                <w:highlight w:val="none"/>
              </w:rPr>
            </w:pPr>
            <w:r>
              <w:rPr>
                <w:rFonts w:ascii="Times New Roman" w:hAnsi="Times New Roman"/>
                <w:highlight w:val="none"/>
              </w:rPr>
              <w:t>氯甲烷</w:t>
            </w:r>
          </w:p>
        </w:tc>
        <w:tc>
          <w:tcPr>
            <w:tcW w:w="994" w:type="pct"/>
            <w:noWrap w:val="0"/>
            <w:vAlign w:val="center"/>
          </w:tcPr>
          <w:p w14:paraId="1A6F4967">
            <w:pPr>
              <w:pStyle w:val="27"/>
              <w:contextualSpacing/>
              <w:rPr>
                <w:rFonts w:ascii="Times New Roman" w:hAnsi="Times New Roman"/>
                <w:highlight w:val="none"/>
              </w:rPr>
            </w:pPr>
            <w:r>
              <w:rPr>
                <w:rFonts w:ascii="Times New Roman" w:hAnsi="Times New Roman"/>
                <w:highlight w:val="none"/>
              </w:rPr>
              <w:t>74-87-3</w:t>
            </w:r>
          </w:p>
        </w:tc>
        <w:tc>
          <w:tcPr>
            <w:tcW w:w="1279" w:type="pct"/>
            <w:noWrap w:val="0"/>
            <w:vAlign w:val="center"/>
          </w:tcPr>
          <w:p w14:paraId="4890E1A2">
            <w:pPr>
              <w:pStyle w:val="27"/>
              <w:contextualSpacing/>
              <w:rPr>
                <w:rFonts w:ascii="Times New Roman" w:hAnsi="Times New Roman"/>
                <w:highlight w:val="none"/>
              </w:rPr>
            </w:pPr>
            <w:r>
              <w:rPr>
                <w:rFonts w:ascii="Times New Roman" w:hAnsi="Times New Roman"/>
                <w:highlight w:val="none"/>
              </w:rPr>
              <w:t>12</w:t>
            </w:r>
          </w:p>
        </w:tc>
        <w:tc>
          <w:tcPr>
            <w:tcW w:w="1163" w:type="pct"/>
            <w:noWrap w:val="0"/>
            <w:vAlign w:val="center"/>
          </w:tcPr>
          <w:p w14:paraId="5330319B">
            <w:pPr>
              <w:pStyle w:val="27"/>
              <w:contextualSpacing/>
              <w:rPr>
                <w:rFonts w:ascii="Times New Roman" w:hAnsi="Times New Roman"/>
                <w:highlight w:val="none"/>
              </w:rPr>
            </w:pPr>
            <w:r>
              <w:rPr>
                <w:rFonts w:ascii="Times New Roman" w:hAnsi="Times New Roman"/>
                <w:highlight w:val="none"/>
              </w:rPr>
              <w:t>37</w:t>
            </w:r>
          </w:p>
        </w:tc>
      </w:tr>
      <w:tr w14:paraId="5C8B6B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61CEBA69">
            <w:pPr>
              <w:pStyle w:val="27"/>
              <w:contextualSpacing/>
              <w:rPr>
                <w:rFonts w:ascii="Times New Roman" w:hAnsi="Times New Roman"/>
                <w:highlight w:val="none"/>
              </w:rPr>
            </w:pPr>
            <w:r>
              <w:rPr>
                <w:rFonts w:ascii="Times New Roman" w:hAnsi="Times New Roman"/>
                <w:highlight w:val="none"/>
              </w:rPr>
              <w:t>11</w:t>
            </w:r>
          </w:p>
        </w:tc>
        <w:tc>
          <w:tcPr>
            <w:tcW w:w="1174" w:type="pct"/>
            <w:noWrap w:val="0"/>
            <w:vAlign w:val="center"/>
          </w:tcPr>
          <w:p w14:paraId="26109402">
            <w:pPr>
              <w:pStyle w:val="27"/>
              <w:contextualSpacing/>
              <w:rPr>
                <w:rFonts w:ascii="Times New Roman" w:hAnsi="Times New Roman"/>
                <w:highlight w:val="none"/>
              </w:rPr>
            </w:pPr>
            <w:r>
              <w:rPr>
                <w:rFonts w:ascii="Times New Roman" w:hAnsi="Times New Roman"/>
                <w:highlight w:val="none"/>
              </w:rPr>
              <w:t>1,1-二氯乙烷</w:t>
            </w:r>
          </w:p>
        </w:tc>
        <w:tc>
          <w:tcPr>
            <w:tcW w:w="994" w:type="pct"/>
            <w:noWrap w:val="0"/>
            <w:vAlign w:val="center"/>
          </w:tcPr>
          <w:p w14:paraId="14DBCAE0">
            <w:pPr>
              <w:pStyle w:val="27"/>
              <w:contextualSpacing/>
              <w:rPr>
                <w:rFonts w:ascii="Times New Roman" w:hAnsi="Times New Roman"/>
                <w:highlight w:val="none"/>
              </w:rPr>
            </w:pPr>
            <w:r>
              <w:rPr>
                <w:rFonts w:ascii="Times New Roman" w:hAnsi="Times New Roman"/>
                <w:highlight w:val="none"/>
              </w:rPr>
              <w:t>75-34-3</w:t>
            </w:r>
          </w:p>
        </w:tc>
        <w:tc>
          <w:tcPr>
            <w:tcW w:w="1279" w:type="pct"/>
            <w:noWrap w:val="0"/>
            <w:vAlign w:val="center"/>
          </w:tcPr>
          <w:p w14:paraId="266FCE11">
            <w:pPr>
              <w:pStyle w:val="27"/>
              <w:contextualSpacing/>
              <w:rPr>
                <w:rFonts w:ascii="Times New Roman" w:hAnsi="Times New Roman"/>
                <w:highlight w:val="none"/>
              </w:rPr>
            </w:pPr>
            <w:r>
              <w:rPr>
                <w:rFonts w:ascii="Times New Roman" w:hAnsi="Times New Roman"/>
                <w:highlight w:val="none"/>
              </w:rPr>
              <w:t>3</w:t>
            </w:r>
          </w:p>
        </w:tc>
        <w:tc>
          <w:tcPr>
            <w:tcW w:w="1163" w:type="pct"/>
            <w:noWrap w:val="0"/>
            <w:vAlign w:val="center"/>
          </w:tcPr>
          <w:p w14:paraId="1B304741">
            <w:pPr>
              <w:pStyle w:val="27"/>
              <w:contextualSpacing/>
              <w:rPr>
                <w:rFonts w:ascii="Times New Roman" w:hAnsi="Times New Roman"/>
                <w:highlight w:val="none"/>
              </w:rPr>
            </w:pPr>
            <w:r>
              <w:rPr>
                <w:rFonts w:ascii="Times New Roman" w:hAnsi="Times New Roman"/>
                <w:highlight w:val="none"/>
              </w:rPr>
              <w:t>9</w:t>
            </w:r>
          </w:p>
        </w:tc>
      </w:tr>
      <w:tr w14:paraId="3BBB6D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393986EE">
            <w:pPr>
              <w:pStyle w:val="27"/>
              <w:contextualSpacing/>
              <w:rPr>
                <w:rFonts w:ascii="Times New Roman" w:hAnsi="Times New Roman"/>
                <w:highlight w:val="none"/>
              </w:rPr>
            </w:pPr>
            <w:r>
              <w:rPr>
                <w:rFonts w:ascii="Times New Roman" w:hAnsi="Times New Roman"/>
                <w:highlight w:val="none"/>
              </w:rPr>
              <w:t>12</w:t>
            </w:r>
          </w:p>
        </w:tc>
        <w:tc>
          <w:tcPr>
            <w:tcW w:w="1174" w:type="pct"/>
            <w:noWrap w:val="0"/>
            <w:vAlign w:val="center"/>
          </w:tcPr>
          <w:p w14:paraId="318DDF32">
            <w:pPr>
              <w:pStyle w:val="27"/>
              <w:contextualSpacing/>
              <w:rPr>
                <w:rFonts w:ascii="Times New Roman" w:hAnsi="Times New Roman"/>
                <w:highlight w:val="none"/>
              </w:rPr>
            </w:pPr>
            <w:r>
              <w:rPr>
                <w:rFonts w:ascii="Times New Roman" w:hAnsi="Times New Roman"/>
                <w:highlight w:val="none"/>
              </w:rPr>
              <w:t>1,2-二氯乙烷</w:t>
            </w:r>
          </w:p>
        </w:tc>
        <w:tc>
          <w:tcPr>
            <w:tcW w:w="994" w:type="pct"/>
            <w:noWrap w:val="0"/>
            <w:vAlign w:val="center"/>
          </w:tcPr>
          <w:p w14:paraId="040A885A">
            <w:pPr>
              <w:pStyle w:val="27"/>
              <w:contextualSpacing/>
              <w:rPr>
                <w:rFonts w:ascii="Times New Roman" w:hAnsi="Times New Roman"/>
                <w:highlight w:val="none"/>
              </w:rPr>
            </w:pPr>
            <w:r>
              <w:rPr>
                <w:rFonts w:ascii="Times New Roman" w:hAnsi="Times New Roman"/>
                <w:highlight w:val="none"/>
              </w:rPr>
              <w:t>107-06-2</w:t>
            </w:r>
          </w:p>
        </w:tc>
        <w:tc>
          <w:tcPr>
            <w:tcW w:w="1279" w:type="pct"/>
            <w:noWrap w:val="0"/>
            <w:vAlign w:val="center"/>
          </w:tcPr>
          <w:p w14:paraId="035C7FF5">
            <w:pPr>
              <w:pStyle w:val="27"/>
              <w:contextualSpacing/>
              <w:rPr>
                <w:rFonts w:ascii="Times New Roman" w:hAnsi="Times New Roman"/>
                <w:highlight w:val="none"/>
              </w:rPr>
            </w:pPr>
            <w:r>
              <w:rPr>
                <w:rFonts w:ascii="Times New Roman" w:hAnsi="Times New Roman"/>
                <w:highlight w:val="none"/>
              </w:rPr>
              <w:t>0.52</w:t>
            </w:r>
          </w:p>
        </w:tc>
        <w:tc>
          <w:tcPr>
            <w:tcW w:w="1163" w:type="pct"/>
            <w:noWrap w:val="0"/>
            <w:vAlign w:val="center"/>
          </w:tcPr>
          <w:p w14:paraId="2FFEE72D">
            <w:pPr>
              <w:pStyle w:val="27"/>
              <w:contextualSpacing/>
              <w:rPr>
                <w:rFonts w:ascii="Times New Roman" w:hAnsi="Times New Roman"/>
                <w:highlight w:val="none"/>
              </w:rPr>
            </w:pPr>
            <w:r>
              <w:rPr>
                <w:rFonts w:ascii="Times New Roman" w:hAnsi="Times New Roman"/>
                <w:highlight w:val="none"/>
              </w:rPr>
              <w:t>5</w:t>
            </w:r>
          </w:p>
        </w:tc>
      </w:tr>
      <w:tr w14:paraId="558F80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31F61ACC">
            <w:pPr>
              <w:pStyle w:val="27"/>
              <w:contextualSpacing/>
              <w:rPr>
                <w:rFonts w:ascii="Times New Roman" w:hAnsi="Times New Roman"/>
                <w:highlight w:val="none"/>
              </w:rPr>
            </w:pPr>
            <w:r>
              <w:rPr>
                <w:rFonts w:ascii="Times New Roman" w:hAnsi="Times New Roman"/>
                <w:highlight w:val="none"/>
              </w:rPr>
              <w:t>13</w:t>
            </w:r>
          </w:p>
        </w:tc>
        <w:tc>
          <w:tcPr>
            <w:tcW w:w="1174" w:type="pct"/>
            <w:noWrap w:val="0"/>
            <w:vAlign w:val="center"/>
          </w:tcPr>
          <w:p w14:paraId="0AAB3239">
            <w:pPr>
              <w:pStyle w:val="27"/>
              <w:contextualSpacing/>
              <w:rPr>
                <w:rFonts w:ascii="Times New Roman" w:hAnsi="Times New Roman"/>
                <w:highlight w:val="none"/>
              </w:rPr>
            </w:pPr>
            <w:r>
              <w:rPr>
                <w:rFonts w:ascii="Times New Roman" w:hAnsi="Times New Roman"/>
                <w:highlight w:val="none"/>
              </w:rPr>
              <w:t>1,1-二氯乙烯</w:t>
            </w:r>
          </w:p>
        </w:tc>
        <w:tc>
          <w:tcPr>
            <w:tcW w:w="994" w:type="pct"/>
            <w:noWrap w:val="0"/>
            <w:vAlign w:val="center"/>
          </w:tcPr>
          <w:p w14:paraId="3E222CF4">
            <w:pPr>
              <w:pStyle w:val="27"/>
              <w:contextualSpacing/>
              <w:rPr>
                <w:rFonts w:ascii="Times New Roman" w:hAnsi="Times New Roman"/>
                <w:highlight w:val="none"/>
              </w:rPr>
            </w:pPr>
            <w:r>
              <w:rPr>
                <w:rFonts w:ascii="Times New Roman" w:hAnsi="Times New Roman"/>
                <w:highlight w:val="none"/>
              </w:rPr>
              <w:t>75-35-4</w:t>
            </w:r>
          </w:p>
        </w:tc>
        <w:tc>
          <w:tcPr>
            <w:tcW w:w="1279" w:type="pct"/>
            <w:noWrap w:val="0"/>
            <w:vAlign w:val="center"/>
          </w:tcPr>
          <w:p w14:paraId="0DBD955C">
            <w:pPr>
              <w:pStyle w:val="27"/>
              <w:contextualSpacing/>
              <w:rPr>
                <w:rFonts w:ascii="Times New Roman" w:hAnsi="Times New Roman"/>
                <w:highlight w:val="none"/>
              </w:rPr>
            </w:pPr>
            <w:r>
              <w:rPr>
                <w:rFonts w:ascii="Times New Roman" w:hAnsi="Times New Roman"/>
                <w:highlight w:val="none"/>
              </w:rPr>
              <w:t>12</w:t>
            </w:r>
          </w:p>
        </w:tc>
        <w:tc>
          <w:tcPr>
            <w:tcW w:w="1163" w:type="pct"/>
            <w:noWrap w:val="0"/>
            <w:vAlign w:val="center"/>
          </w:tcPr>
          <w:p w14:paraId="4008F071">
            <w:pPr>
              <w:pStyle w:val="27"/>
              <w:contextualSpacing/>
              <w:rPr>
                <w:rFonts w:ascii="Times New Roman" w:hAnsi="Times New Roman"/>
                <w:highlight w:val="none"/>
              </w:rPr>
            </w:pPr>
            <w:r>
              <w:rPr>
                <w:rFonts w:ascii="Times New Roman" w:hAnsi="Times New Roman"/>
                <w:highlight w:val="none"/>
              </w:rPr>
              <w:t>66</w:t>
            </w:r>
          </w:p>
        </w:tc>
      </w:tr>
      <w:tr w14:paraId="60C28EA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38D5CF36">
            <w:pPr>
              <w:pStyle w:val="27"/>
              <w:contextualSpacing/>
              <w:rPr>
                <w:rFonts w:ascii="Times New Roman" w:hAnsi="Times New Roman"/>
                <w:highlight w:val="none"/>
              </w:rPr>
            </w:pPr>
            <w:r>
              <w:rPr>
                <w:rFonts w:ascii="Times New Roman" w:hAnsi="Times New Roman"/>
                <w:highlight w:val="none"/>
              </w:rPr>
              <w:t>14</w:t>
            </w:r>
          </w:p>
        </w:tc>
        <w:tc>
          <w:tcPr>
            <w:tcW w:w="1174" w:type="pct"/>
            <w:noWrap w:val="0"/>
            <w:vAlign w:val="center"/>
          </w:tcPr>
          <w:p w14:paraId="765AF24F">
            <w:pPr>
              <w:pStyle w:val="27"/>
              <w:contextualSpacing/>
              <w:rPr>
                <w:rFonts w:ascii="Times New Roman" w:hAnsi="Times New Roman"/>
                <w:highlight w:val="none"/>
              </w:rPr>
            </w:pPr>
            <w:r>
              <w:rPr>
                <w:rFonts w:ascii="Times New Roman" w:hAnsi="Times New Roman"/>
                <w:highlight w:val="none"/>
              </w:rPr>
              <w:t>顺-1,2-二氯乙烯</w:t>
            </w:r>
          </w:p>
        </w:tc>
        <w:tc>
          <w:tcPr>
            <w:tcW w:w="994" w:type="pct"/>
            <w:noWrap w:val="0"/>
            <w:vAlign w:val="center"/>
          </w:tcPr>
          <w:p w14:paraId="255535B3">
            <w:pPr>
              <w:pStyle w:val="27"/>
              <w:contextualSpacing/>
              <w:rPr>
                <w:rFonts w:ascii="Times New Roman" w:hAnsi="Times New Roman"/>
                <w:highlight w:val="none"/>
              </w:rPr>
            </w:pPr>
            <w:r>
              <w:rPr>
                <w:rFonts w:ascii="Times New Roman" w:hAnsi="Times New Roman"/>
                <w:highlight w:val="none"/>
              </w:rPr>
              <w:t>156-59-2</w:t>
            </w:r>
          </w:p>
        </w:tc>
        <w:tc>
          <w:tcPr>
            <w:tcW w:w="1279" w:type="pct"/>
            <w:noWrap w:val="0"/>
            <w:vAlign w:val="center"/>
          </w:tcPr>
          <w:p w14:paraId="6530B501">
            <w:pPr>
              <w:pStyle w:val="27"/>
              <w:contextualSpacing/>
              <w:rPr>
                <w:rFonts w:ascii="Times New Roman" w:hAnsi="Times New Roman"/>
                <w:highlight w:val="none"/>
              </w:rPr>
            </w:pPr>
            <w:r>
              <w:rPr>
                <w:rFonts w:ascii="Times New Roman" w:hAnsi="Times New Roman"/>
                <w:highlight w:val="none"/>
              </w:rPr>
              <w:t>66</w:t>
            </w:r>
          </w:p>
        </w:tc>
        <w:tc>
          <w:tcPr>
            <w:tcW w:w="1163" w:type="pct"/>
            <w:noWrap w:val="0"/>
            <w:vAlign w:val="center"/>
          </w:tcPr>
          <w:p w14:paraId="7F320466">
            <w:pPr>
              <w:pStyle w:val="27"/>
              <w:contextualSpacing/>
              <w:rPr>
                <w:rFonts w:ascii="Times New Roman" w:hAnsi="Times New Roman"/>
                <w:highlight w:val="none"/>
              </w:rPr>
            </w:pPr>
            <w:r>
              <w:rPr>
                <w:rFonts w:ascii="Times New Roman" w:hAnsi="Times New Roman"/>
                <w:highlight w:val="none"/>
              </w:rPr>
              <w:t>596</w:t>
            </w:r>
          </w:p>
        </w:tc>
      </w:tr>
      <w:tr w14:paraId="54FC25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1DD5FC84">
            <w:pPr>
              <w:pStyle w:val="27"/>
              <w:contextualSpacing/>
              <w:rPr>
                <w:rFonts w:ascii="Times New Roman" w:hAnsi="Times New Roman"/>
                <w:highlight w:val="none"/>
              </w:rPr>
            </w:pPr>
            <w:r>
              <w:rPr>
                <w:rFonts w:ascii="Times New Roman" w:hAnsi="Times New Roman"/>
                <w:highlight w:val="none"/>
              </w:rPr>
              <w:t>15</w:t>
            </w:r>
          </w:p>
        </w:tc>
        <w:tc>
          <w:tcPr>
            <w:tcW w:w="1174" w:type="pct"/>
            <w:noWrap w:val="0"/>
            <w:vAlign w:val="center"/>
          </w:tcPr>
          <w:p w14:paraId="04B93100">
            <w:pPr>
              <w:pStyle w:val="27"/>
              <w:contextualSpacing/>
              <w:rPr>
                <w:rFonts w:ascii="Times New Roman" w:hAnsi="Times New Roman"/>
                <w:highlight w:val="none"/>
              </w:rPr>
            </w:pPr>
            <w:r>
              <w:rPr>
                <w:rFonts w:ascii="Times New Roman" w:hAnsi="Times New Roman"/>
                <w:highlight w:val="none"/>
              </w:rPr>
              <w:t>反-1,2-二氯乙烯</w:t>
            </w:r>
          </w:p>
        </w:tc>
        <w:tc>
          <w:tcPr>
            <w:tcW w:w="994" w:type="pct"/>
            <w:noWrap w:val="0"/>
            <w:vAlign w:val="center"/>
          </w:tcPr>
          <w:p w14:paraId="777B99A6">
            <w:pPr>
              <w:pStyle w:val="27"/>
              <w:contextualSpacing/>
              <w:rPr>
                <w:rFonts w:ascii="Times New Roman" w:hAnsi="Times New Roman"/>
                <w:highlight w:val="none"/>
              </w:rPr>
            </w:pPr>
            <w:r>
              <w:rPr>
                <w:rFonts w:ascii="Times New Roman" w:hAnsi="Times New Roman"/>
                <w:highlight w:val="none"/>
              </w:rPr>
              <w:t>156-60-5</w:t>
            </w:r>
          </w:p>
        </w:tc>
        <w:tc>
          <w:tcPr>
            <w:tcW w:w="1279" w:type="pct"/>
            <w:noWrap w:val="0"/>
            <w:vAlign w:val="center"/>
          </w:tcPr>
          <w:p w14:paraId="1E6D4147">
            <w:pPr>
              <w:pStyle w:val="27"/>
              <w:contextualSpacing/>
              <w:rPr>
                <w:rFonts w:ascii="Times New Roman" w:hAnsi="Times New Roman"/>
                <w:highlight w:val="none"/>
              </w:rPr>
            </w:pPr>
            <w:r>
              <w:rPr>
                <w:rFonts w:ascii="Times New Roman" w:hAnsi="Times New Roman"/>
                <w:highlight w:val="none"/>
              </w:rPr>
              <w:t>10</w:t>
            </w:r>
          </w:p>
        </w:tc>
        <w:tc>
          <w:tcPr>
            <w:tcW w:w="1163" w:type="pct"/>
            <w:noWrap w:val="0"/>
            <w:vAlign w:val="center"/>
          </w:tcPr>
          <w:p w14:paraId="336AE8EE">
            <w:pPr>
              <w:pStyle w:val="27"/>
              <w:contextualSpacing/>
              <w:rPr>
                <w:rFonts w:ascii="Times New Roman" w:hAnsi="Times New Roman"/>
                <w:highlight w:val="none"/>
              </w:rPr>
            </w:pPr>
            <w:r>
              <w:rPr>
                <w:rFonts w:ascii="Times New Roman" w:hAnsi="Times New Roman"/>
                <w:highlight w:val="none"/>
              </w:rPr>
              <w:t>51</w:t>
            </w:r>
          </w:p>
        </w:tc>
      </w:tr>
      <w:tr w14:paraId="368253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7BFCF7CB">
            <w:pPr>
              <w:pStyle w:val="27"/>
              <w:contextualSpacing/>
              <w:rPr>
                <w:rFonts w:ascii="Times New Roman" w:hAnsi="Times New Roman"/>
                <w:highlight w:val="none"/>
              </w:rPr>
            </w:pPr>
            <w:r>
              <w:rPr>
                <w:rFonts w:ascii="Times New Roman" w:hAnsi="Times New Roman"/>
                <w:highlight w:val="none"/>
              </w:rPr>
              <w:t>16</w:t>
            </w:r>
          </w:p>
        </w:tc>
        <w:tc>
          <w:tcPr>
            <w:tcW w:w="1174" w:type="pct"/>
            <w:noWrap w:val="0"/>
            <w:vAlign w:val="center"/>
          </w:tcPr>
          <w:p w14:paraId="2E9BA285">
            <w:pPr>
              <w:pStyle w:val="27"/>
              <w:contextualSpacing/>
              <w:rPr>
                <w:rFonts w:ascii="Times New Roman" w:hAnsi="Times New Roman"/>
                <w:highlight w:val="none"/>
              </w:rPr>
            </w:pPr>
            <w:r>
              <w:rPr>
                <w:rFonts w:ascii="Times New Roman" w:hAnsi="Times New Roman"/>
                <w:highlight w:val="none"/>
              </w:rPr>
              <w:t>二氯甲烷</w:t>
            </w:r>
          </w:p>
        </w:tc>
        <w:tc>
          <w:tcPr>
            <w:tcW w:w="994" w:type="pct"/>
            <w:noWrap w:val="0"/>
            <w:vAlign w:val="center"/>
          </w:tcPr>
          <w:p w14:paraId="3DE58EFA">
            <w:pPr>
              <w:pStyle w:val="27"/>
              <w:contextualSpacing/>
              <w:rPr>
                <w:rFonts w:ascii="Times New Roman" w:hAnsi="Times New Roman"/>
                <w:highlight w:val="none"/>
              </w:rPr>
            </w:pPr>
            <w:r>
              <w:rPr>
                <w:rFonts w:ascii="Times New Roman" w:hAnsi="Times New Roman"/>
                <w:highlight w:val="none"/>
              </w:rPr>
              <w:t>75-09-2</w:t>
            </w:r>
          </w:p>
        </w:tc>
        <w:tc>
          <w:tcPr>
            <w:tcW w:w="1279" w:type="pct"/>
            <w:noWrap w:val="0"/>
            <w:vAlign w:val="center"/>
          </w:tcPr>
          <w:p w14:paraId="4DE3CEDC">
            <w:pPr>
              <w:pStyle w:val="27"/>
              <w:contextualSpacing/>
              <w:rPr>
                <w:rFonts w:ascii="Times New Roman" w:hAnsi="Times New Roman"/>
                <w:highlight w:val="none"/>
              </w:rPr>
            </w:pPr>
            <w:r>
              <w:rPr>
                <w:rFonts w:ascii="Times New Roman" w:hAnsi="Times New Roman"/>
                <w:highlight w:val="none"/>
              </w:rPr>
              <w:t>94</w:t>
            </w:r>
          </w:p>
        </w:tc>
        <w:tc>
          <w:tcPr>
            <w:tcW w:w="1163" w:type="pct"/>
            <w:noWrap w:val="0"/>
            <w:vAlign w:val="center"/>
          </w:tcPr>
          <w:p w14:paraId="0E77E30C">
            <w:pPr>
              <w:pStyle w:val="27"/>
              <w:contextualSpacing/>
              <w:rPr>
                <w:rFonts w:ascii="Times New Roman" w:hAnsi="Times New Roman"/>
                <w:highlight w:val="none"/>
              </w:rPr>
            </w:pPr>
            <w:r>
              <w:rPr>
                <w:rFonts w:ascii="Times New Roman" w:hAnsi="Times New Roman"/>
                <w:highlight w:val="none"/>
              </w:rPr>
              <w:t>616</w:t>
            </w:r>
          </w:p>
        </w:tc>
      </w:tr>
      <w:tr w14:paraId="0C11A7F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694D2E96">
            <w:pPr>
              <w:pStyle w:val="27"/>
              <w:contextualSpacing/>
              <w:rPr>
                <w:rFonts w:ascii="Times New Roman" w:hAnsi="Times New Roman"/>
                <w:highlight w:val="none"/>
              </w:rPr>
            </w:pPr>
            <w:r>
              <w:rPr>
                <w:rFonts w:ascii="Times New Roman" w:hAnsi="Times New Roman"/>
                <w:highlight w:val="none"/>
              </w:rPr>
              <w:t>17</w:t>
            </w:r>
          </w:p>
        </w:tc>
        <w:tc>
          <w:tcPr>
            <w:tcW w:w="1174" w:type="pct"/>
            <w:noWrap w:val="0"/>
            <w:vAlign w:val="center"/>
          </w:tcPr>
          <w:p w14:paraId="7C3618DF">
            <w:pPr>
              <w:pStyle w:val="27"/>
              <w:contextualSpacing/>
              <w:rPr>
                <w:rFonts w:ascii="Times New Roman" w:hAnsi="Times New Roman"/>
                <w:highlight w:val="none"/>
              </w:rPr>
            </w:pPr>
            <w:r>
              <w:rPr>
                <w:rFonts w:ascii="Times New Roman" w:hAnsi="Times New Roman"/>
                <w:highlight w:val="none"/>
              </w:rPr>
              <w:t>1,2-二氯丙烷</w:t>
            </w:r>
          </w:p>
        </w:tc>
        <w:tc>
          <w:tcPr>
            <w:tcW w:w="994" w:type="pct"/>
            <w:noWrap w:val="0"/>
            <w:vAlign w:val="center"/>
          </w:tcPr>
          <w:p w14:paraId="39E2A2C7">
            <w:pPr>
              <w:pStyle w:val="27"/>
              <w:contextualSpacing/>
              <w:rPr>
                <w:rFonts w:ascii="Times New Roman" w:hAnsi="Times New Roman"/>
                <w:highlight w:val="none"/>
              </w:rPr>
            </w:pPr>
            <w:r>
              <w:rPr>
                <w:rFonts w:ascii="Times New Roman" w:hAnsi="Times New Roman"/>
                <w:highlight w:val="none"/>
              </w:rPr>
              <w:t>78-87-5</w:t>
            </w:r>
          </w:p>
        </w:tc>
        <w:tc>
          <w:tcPr>
            <w:tcW w:w="1279" w:type="pct"/>
            <w:noWrap w:val="0"/>
            <w:vAlign w:val="center"/>
          </w:tcPr>
          <w:p w14:paraId="0130D4DC">
            <w:pPr>
              <w:pStyle w:val="27"/>
              <w:contextualSpacing/>
              <w:rPr>
                <w:rFonts w:ascii="Times New Roman" w:hAnsi="Times New Roman"/>
                <w:highlight w:val="none"/>
              </w:rPr>
            </w:pPr>
            <w:r>
              <w:rPr>
                <w:rFonts w:ascii="Times New Roman" w:hAnsi="Times New Roman"/>
                <w:highlight w:val="none"/>
              </w:rPr>
              <w:t>1</w:t>
            </w:r>
          </w:p>
        </w:tc>
        <w:tc>
          <w:tcPr>
            <w:tcW w:w="1163" w:type="pct"/>
            <w:noWrap w:val="0"/>
            <w:vAlign w:val="center"/>
          </w:tcPr>
          <w:p w14:paraId="1CC155F8">
            <w:pPr>
              <w:pStyle w:val="27"/>
              <w:contextualSpacing/>
              <w:rPr>
                <w:rFonts w:ascii="Times New Roman" w:hAnsi="Times New Roman"/>
                <w:highlight w:val="none"/>
              </w:rPr>
            </w:pPr>
            <w:r>
              <w:rPr>
                <w:rFonts w:ascii="Times New Roman" w:hAnsi="Times New Roman"/>
                <w:highlight w:val="none"/>
              </w:rPr>
              <w:t>5</w:t>
            </w:r>
          </w:p>
        </w:tc>
      </w:tr>
      <w:tr w14:paraId="4D9B5E9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7817222C">
            <w:pPr>
              <w:pStyle w:val="27"/>
              <w:contextualSpacing/>
              <w:rPr>
                <w:rFonts w:ascii="Times New Roman" w:hAnsi="Times New Roman"/>
                <w:highlight w:val="none"/>
              </w:rPr>
            </w:pPr>
            <w:r>
              <w:rPr>
                <w:rFonts w:ascii="Times New Roman" w:hAnsi="Times New Roman"/>
                <w:highlight w:val="none"/>
              </w:rPr>
              <w:t>18</w:t>
            </w:r>
          </w:p>
        </w:tc>
        <w:tc>
          <w:tcPr>
            <w:tcW w:w="1174" w:type="pct"/>
            <w:noWrap w:val="0"/>
            <w:vAlign w:val="center"/>
          </w:tcPr>
          <w:p w14:paraId="49D32F86">
            <w:pPr>
              <w:pStyle w:val="27"/>
              <w:contextualSpacing/>
              <w:rPr>
                <w:rFonts w:ascii="Times New Roman" w:hAnsi="Times New Roman"/>
                <w:highlight w:val="none"/>
              </w:rPr>
            </w:pPr>
            <w:r>
              <w:rPr>
                <w:rFonts w:ascii="Times New Roman" w:hAnsi="Times New Roman"/>
                <w:highlight w:val="none"/>
              </w:rPr>
              <w:t>1,1,1,2-四氯乙烷</w:t>
            </w:r>
          </w:p>
        </w:tc>
        <w:tc>
          <w:tcPr>
            <w:tcW w:w="994" w:type="pct"/>
            <w:noWrap w:val="0"/>
            <w:vAlign w:val="center"/>
          </w:tcPr>
          <w:p w14:paraId="4E4221DF">
            <w:pPr>
              <w:pStyle w:val="27"/>
              <w:contextualSpacing/>
              <w:rPr>
                <w:rFonts w:ascii="Times New Roman" w:hAnsi="Times New Roman"/>
                <w:highlight w:val="none"/>
              </w:rPr>
            </w:pPr>
            <w:r>
              <w:rPr>
                <w:rFonts w:ascii="Times New Roman" w:hAnsi="Times New Roman"/>
                <w:highlight w:val="none"/>
              </w:rPr>
              <w:t>630-20-6</w:t>
            </w:r>
          </w:p>
        </w:tc>
        <w:tc>
          <w:tcPr>
            <w:tcW w:w="1279" w:type="pct"/>
            <w:noWrap w:val="0"/>
            <w:vAlign w:val="center"/>
          </w:tcPr>
          <w:p w14:paraId="40741C96">
            <w:pPr>
              <w:pStyle w:val="27"/>
              <w:contextualSpacing/>
              <w:rPr>
                <w:rFonts w:ascii="Times New Roman" w:hAnsi="Times New Roman"/>
                <w:highlight w:val="none"/>
              </w:rPr>
            </w:pPr>
            <w:r>
              <w:rPr>
                <w:rFonts w:ascii="Times New Roman" w:hAnsi="Times New Roman"/>
                <w:highlight w:val="none"/>
              </w:rPr>
              <w:t>2.6</w:t>
            </w:r>
          </w:p>
        </w:tc>
        <w:tc>
          <w:tcPr>
            <w:tcW w:w="1163" w:type="pct"/>
            <w:noWrap w:val="0"/>
            <w:vAlign w:val="center"/>
          </w:tcPr>
          <w:p w14:paraId="059CD66F">
            <w:pPr>
              <w:pStyle w:val="27"/>
              <w:contextualSpacing/>
              <w:rPr>
                <w:rFonts w:ascii="Times New Roman" w:hAnsi="Times New Roman"/>
                <w:highlight w:val="none"/>
              </w:rPr>
            </w:pPr>
            <w:r>
              <w:rPr>
                <w:rFonts w:ascii="Times New Roman" w:hAnsi="Times New Roman"/>
                <w:highlight w:val="none"/>
              </w:rPr>
              <w:t>10</w:t>
            </w:r>
          </w:p>
        </w:tc>
      </w:tr>
      <w:tr w14:paraId="3DD296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1EA736C0">
            <w:pPr>
              <w:pStyle w:val="27"/>
              <w:contextualSpacing/>
              <w:rPr>
                <w:rFonts w:ascii="Times New Roman" w:hAnsi="Times New Roman"/>
                <w:highlight w:val="none"/>
              </w:rPr>
            </w:pPr>
            <w:r>
              <w:rPr>
                <w:rFonts w:ascii="Times New Roman" w:hAnsi="Times New Roman"/>
                <w:highlight w:val="none"/>
              </w:rPr>
              <w:t>19</w:t>
            </w:r>
          </w:p>
        </w:tc>
        <w:tc>
          <w:tcPr>
            <w:tcW w:w="1174" w:type="pct"/>
            <w:noWrap w:val="0"/>
            <w:vAlign w:val="center"/>
          </w:tcPr>
          <w:p w14:paraId="42694A88">
            <w:pPr>
              <w:pStyle w:val="27"/>
              <w:contextualSpacing/>
              <w:rPr>
                <w:rFonts w:ascii="Times New Roman" w:hAnsi="Times New Roman"/>
                <w:highlight w:val="none"/>
              </w:rPr>
            </w:pPr>
            <w:r>
              <w:rPr>
                <w:rFonts w:ascii="Times New Roman" w:hAnsi="Times New Roman"/>
                <w:highlight w:val="none"/>
              </w:rPr>
              <w:t>1,1,2,2-四氯乙烷</w:t>
            </w:r>
          </w:p>
        </w:tc>
        <w:tc>
          <w:tcPr>
            <w:tcW w:w="994" w:type="pct"/>
            <w:noWrap w:val="0"/>
            <w:vAlign w:val="center"/>
          </w:tcPr>
          <w:p w14:paraId="548628D1">
            <w:pPr>
              <w:pStyle w:val="27"/>
              <w:contextualSpacing/>
              <w:rPr>
                <w:rFonts w:ascii="Times New Roman" w:hAnsi="Times New Roman"/>
                <w:highlight w:val="none"/>
              </w:rPr>
            </w:pPr>
            <w:r>
              <w:rPr>
                <w:rFonts w:ascii="Times New Roman" w:hAnsi="Times New Roman"/>
                <w:highlight w:val="none"/>
              </w:rPr>
              <w:t>79-34-5</w:t>
            </w:r>
          </w:p>
        </w:tc>
        <w:tc>
          <w:tcPr>
            <w:tcW w:w="1279" w:type="pct"/>
            <w:noWrap w:val="0"/>
            <w:vAlign w:val="center"/>
          </w:tcPr>
          <w:p w14:paraId="2519D908">
            <w:pPr>
              <w:pStyle w:val="27"/>
              <w:contextualSpacing/>
              <w:rPr>
                <w:rFonts w:ascii="Times New Roman" w:hAnsi="Times New Roman"/>
                <w:highlight w:val="none"/>
              </w:rPr>
            </w:pPr>
            <w:r>
              <w:rPr>
                <w:rFonts w:ascii="Times New Roman" w:hAnsi="Times New Roman"/>
                <w:highlight w:val="none"/>
              </w:rPr>
              <w:t>1.6</w:t>
            </w:r>
          </w:p>
        </w:tc>
        <w:tc>
          <w:tcPr>
            <w:tcW w:w="1163" w:type="pct"/>
            <w:noWrap w:val="0"/>
            <w:vAlign w:val="center"/>
          </w:tcPr>
          <w:p w14:paraId="4769591C">
            <w:pPr>
              <w:pStyle w:val="27"/>
              <w:contextualSpacing/>
              <w:rPr>
                <w:rFonts w:ascii="Times New Roman" w:hAnsi="Times New Roman"/>
                <w:highlight w:val="none"/>
              </w:rPr>
            </w:pPr>
            <w:r>
              <w:rPr>
                <w:rFonts w:ascii="Times New Roman" w:hAnsi="Times New Roman"/>
                <w:highlight w:val="none"/>
              </w:rPr>
              <w:t>6.8</w:t>
            </w:r>
          </w:p>
        </w:tc>
      </w:tr>
      <w:tr w14:paraId="33F65D4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54ACFCEC">
            <w:pPr>
              <w:pStyle w:val="27"/>
              <w:contextualSpacing/>
              <w:rPr>
                <w:rFonts w:ascii="Times New Roman" w:hAnsi="Times New Roman"/>
                <w:highlight w:val="none"/>
              </w:rPr>
            </w:pPr>
            <w:r>
              <w:rPr>
                <w:rFonts w:ascii="Times New Roman" w:hAnsi="Times New Roman"/>
                <w:highlight w:val="none"/>
              </w:rPr>
              <w:t>20</w:t>
            </w:r>
          </w:p>
        </w:tc>
        <w:tc>
          <w:tcPr>
            <w:tcW w:w="1174" w:type="pct"/>
            <w:noWrap w:val="0"/>
            <w:vAlign w:val="center"/>
          </w:tcPr>
          <w:p w14:paraId="1C6D74E7">
            <w:pPr>
              <w:pStyle w:val="27"/>
              <w:contextualSpacing/>
              <w:rPr>
                <w:rFonts w:ascii="Times New Roman" w:hAnsi="Times New Roman"/>
                <w:highlight w:val="none"/>
              </w:rPr>
            </w:pPr>
            <w:r>
              <w:rPr>
                <w:rFonts w:ascii="Times New Roman" w:hAnsi="Times New Roman"/>
                <w:highlight w:val="none"/>
              </w:rPr>
              <w:t>四氯乙烯</w:t>
            </w:r>
          </w:p>
        </w:tc>
        <w:tc>
          <w:tcPr>
            <w:tcW w:w="994" w:type="pct"/>
            <w:noWrap w:val="0"/>
            <w:vAlign w:val="center"/>
          </w:tcPr>
          <w:p w14:paraId="565B89F0">
            <w:pPr>
              <w:pStyle w:val="27"/>
              <w:contextualSpacing/>
              <w:rPr>
                <w:rFonts w:ascii="Times New Roman" w:hAnsi="Times New Roman"/>
                <w:highlight w:val="none"/>
              </w:rPr>
            </w:pPr>
            <w:r>
              <w:rPr>
                <w:rFonts w:ascii="Times New Roman" w:hAnsi="Times New Roman"/>
                <w:highlight w:val="none"/>
              </w:rPr>
              <w:t>127-18-4</w:t>
            </w:r>
          </w:p>
        </w:tc>
        <w:tc>
          <w:tcPr>
            <w:tcW w:w="1279" w:type="pct"/>
            <w:noWrap w:val="0"/>
            <w:vAlign w:val="center"/>
          </w:tcPr>
          <w:p w14:paraId="3F07BD0D">
            <w:pPr>
              <w:pStyle w:val="27"/>
              <w:contextualSpacing/>
              <w:rPr>
                <w:rFonts w:ascii="Times New Roman" w:hAnsi="Times New Roman"/>
                <w:highlight w:val="none"/>
              </w:rPr>
            </w:pPr>
            <w:r>
              <w:rPr>
                <w:rFonts w:ascii="Times New Roman" w:hAnsi="Times New Roman"/>
                <w:highlight w:val="none"/>
              </w:rPr>
              <w:t>11</w:t>
            </w:r>
          </w:p>
        </w:tc>
        <w:tc>
          <w:tcPr>
            <w:tcW w:w="1163" w:type="pct"/>
            <w:noWrap w:val="0"/>
            <w:vAlign w:val="center"/>
          </w:tcPr>
          <w:p w14:paraId="144E21F1">
            <w:pPr>
              <w:pStyle w:val="27"/>
              <w:contextualSpacing/>
              <w:rPr>
                <w:rFonts w:ascii="Times New Roman" w:hAnsi="Times New Roman"/>
                <w:highlight w:val="none"/>
              </w:rPr>
            </w:pPr>
            <w:r>
              <w:rPr>
                <w:rFonts w:ascii="Times New Roman" w:hAnsi="Times New Roman"/>
                <w:highlight w:val="none"/>
              </w:rPr>
              <w:t>53</w:t>
            </w:r>
          </w:p>
        </w:tc>
      </w:tr>
      <w:tr w14:paraId="46EAE58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11E964F3">
            <w:pPr>
              <w:pStyle w:val="27"/>
              <w:contextualSpacing/>
              <w:rPr>
                <w:rFonts w:ascii="Times New Roman" w:hAnsi="Times New Roman"/>
                <w:highlight w:val="none"/>
              </w:rPr>
            </w:pPr>
            <w:r>
              <w:rPr>
                <w:rFonts w:ascii="Times New Roman" w:hAnsi="Times New Roman"/>
                <w:highlight w:val="none"/>
              </w:rPr>
              <w:t>21</w:t>
            </w:r>
          </w:p>
        </w:tc>
        <w:tc>
          <w:tcPr>
            <w:tcW w:w="1174" w:type="pct"/>
            <w:noWrap w:val="0"/>
            <w:vAlign w:val="center"/>
          </w:tcPr>
          <w:p w14:paraId="5A52ED37">
            <w:pPr>
              <w:pStyle w:val="27"/>
              <w:contextualSpacing/>
              <w:rPr>
                <w:rFonts w:ascii="Times New Roman" w:hAnsi="Times New Roman"/>
                <w:highlight w:val="none"/>
              </w:rPr>
            </w:pPr>
            <w:r>
              <w:rPr>
                <w:rFonts w:ascii="Times New Roman" w:hAnsi="Times New Roman"/>
                <w:highlight w:val="none"/>
              </w:rPr>
              <w:t>1,1,1-三氯乙烷</w:t>
            </w:r>
          </w:p>
        </w:tc>
        <w:tc>
          <w:tcPr>
            <w:tcW w:w="994" w:type="pct"/>
            <w:noWrap w:val="0"/>
            <w:vAlign w:val="center"/>
          </w:tcPr>
          <w:p w14:paraId="3A2BEE1B">
            <w:pPr>
              <w:pStyle w:val="27"/>
              <w:contextualSpacing/>
              <w:rPr>
                <w:rFonts w:ascii="Times New Roman" w:hAnsi="Times New Roman"/>
                <w:highlight w:val="none"/>
              </w:rPr>
            </w:pPr>
            <w:r>
              <w:rPr>
                <w:rFonts w:ascii="Times New Roman" w:hAnsi="Times New Roman"/>
                <w:highlight w:val="none"/>
              </w:rPr>
              <w:t>71-55-6</w:t>
            </w:r>
          </w:p>
        </w:tc>
        <w:tc>
          <w:tcPr>
            <w:tcW w:w="1279" w:type="pct"/>
            <w:noWrap w:val="0"/>
            <w:vAlign w:val="center"/>
          </w:tcPr>
          <w:p w14:paraId="56C20057">
            <w:pPr>
              <w:pStyle w:val="27"/>
              <w:contextualSpacing/>
              <w:rPr>
                <w:rFonts w:ascii="Times New Roman" w:hAnsi="Times New Roman"/>
                <w:highlight w:val="none"/>
              </w:rPr>
            </w:pPr>
            <w:r>
              <w:rPr>
                <w:rFonts w:ascii="Times New Roman" w:hAnsi="Times New Roman"/>
                <w:highlight w:val="none"/>
              </w:rPr>
              <w:t>701</w:t>
            </w:r>
          </w:p>
        </w:tc>
        <w:tc>
          <w:tcPr>
            <w:tcW w:w="1163" w:type="pct"/>
            <w:noWrap w:val="0"/>
            <w:vAlign w:val="center"/>
          </w:tcPr>
          <w:p w14:paraId="6339C4E8">
            <w:pPr>
              <w:pStyle w:val="27"/>
              <w:contextualSpacing/>
              <w:rPr>
                <w:rFonts w:ascii="Times New Roman" w:hAnsi="Times New Roman"/>
                <w:highlight w:val="none"/>
              </w:rPr>
            </w:pPr>
            <w:r>
              <w:rPr>
                <w:rFonts w:ascii="Times New Roman" w:hAnsi="Times New Roman"/>
                <w:highlight w:val="none"/>
              </w:rPr>
              <w:t>840</w:t>
            </w:r>
          </w:p>
        </w:tc>
      </w:tr>
      <w:tr w14:paraId="5DBB551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2DCC5027">
            <w:pPr>
              <w:pStyle w:val="27"/>
              <w:contextualSpacing/>
              <w:rPr>
                <w:rFonts w:ascii="Times New Roman" w:hAnsi="Times New Roman"/>
                <w:highlight w:val="none"/>
              </w:rPr>
            </w:pPr>
            <w:r>
              <w:rPr>
                <w:rFonts w:ascii="Times New Roman" w:hAnsi="Times New Roman"/>
                <w:highlight w:val="none"/>
              </w:rPr>
              <w:t>22</w:t>
            </w:r>
          </w:p>
        </w:tc>
        <w:tc>
          <w:tcPr>
            <w:tcW w:w="1174" w:type="pct"/>
            <w:noWrap w:val="0"/>
            <w:vAlign w:val="center"/>
          </w:tcPr>
          <w:p w14:paraId="1BB4B02D">
            <w:pPr>
              <w:pStyle w:val="27"/>
              <w:contextualSpacing/>
              <w:rPr>
                <w:rFonts w:ascii="Times New Roman" w:hAnsi="Times New Roman"/>
                <w:highlight w:val="none"/>
              </w:rPr>
            </w:pPr>
            <w:r>
              <w:rPr>
                <w:rFonts w:ascii="Times New Roman" w:hAnsi="Times New Roman"/>
                <w:highlight w:val="none"/>
              </w:rPr>
              <w:t>1,1,2-三氯乙烷</w:t>
            </w:r>
          </w:p>
        </w:tc>
        <w:tc>
          <w:tcPr>
            <w:tcW w:w="994" w:type="pct"/>
            <w:noWrap w:val="0"/>
            <w:vAlign w:val="center"/>
          </w:tcPr>
          <w:p w14:paraId="436D7258">
            <w:pPr>
              <w:pStyle w:val="27"/>
              <w:contextualSpacing/>
              <w:rPr>
                <w:rFonts w:ascii="Times New Roman" w:hAnsi="Times New Roman"/>
                <w:highlight w:val="none"/>
              </w:rPr>
            </w:pPr>
            <w:r>
              <w:rPr>
                <w:rFonts w:ascii="Times New Roman" w:hAnsi="Times New Roman"/>
                <w:highlight w:val="none"/>
              </w:rPr>
              <w:t>79-00-5</w:t>
            </w:r>
          </w:p>
        </w:tc>
        <w:tc>
          <w:tcPr>
            <w:tcW w:w="1279" w:type="pct"/>
            <w:noWrap w:val="0"/>
            <w:vAlign w:val="center"/>
          </w:tcPr>
          <w:p w14:paraId="284D9FEB">
            <w:pPr>
              <w:pStyle w:val="27"/>
              <w:contextualSpacing/>
              <w:rPr>
                <w:rFonts w:ascii="Times New Roman" w:hAnsi="Times New Roman"/>
                <w:highlight w:val="none"/>
              </w:rPr>
            </w:pPr>
            <w:r>
              <w:rPr>
                <w:rFonts w:ascii="Times New Roman" w:hAnsi="Times New Roman"/>
                <w:highlight w:val="none"/>
              </w:rPr>
              <w:t>0.6</w:t>
            </w:r>
          </w:p>
        </w:tc>
        <w:tc>
          <w:tcPr>
            <w:tcW w:w="1163" w:type="pct"/>
            <w:noWrap w:val="0"/>
            <w:vAlign w:val="center"/>
          </w:tcPr>
          <w:p w14:paraId="14085932">
            <w:pPr>
              <w:pStyle w:val="27"/>
              <w:contextualSpacing/>
              <w:rPr>
                <w:rFonts w:ascii="Times New Roman" w:hAnsi="Times New Roman"/>
                <w:highlight w:val="none"/>
              </w:rPr>
            </w:pPr>
            <w:r>
              <w:rPr>
                <w:rFonts w:ascii="Times New Roman" w:hAnsi="Times New Roman"/>
                <w:highlight w:val="none"/>
              </w:rPr>
              <w:t>2.8</w:t>
            </w:r>
          </w:p>
        </w:tc>
      </w:tr>
      <w:tr w14:paraId="47DED08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7194FF2E">
            <w:pPr>
              <w:pStyle w:val="27"/>
              <w:contextualSpacing/>
              <w:rPr>
                <w:rFonts w:ascii="Times New Roman" w:hAnsi="Times New Roman"/>
                <w:highlight w:val="none"/>
              </w:rPr>
            </w:pPr>
            <w:r>
              <w:rPr>
                <w:rFonts w:ascii="Times New Roman" w:hAnsi="Times New Roman"/>
                <w:highlight w:val="none"/>
              </w:rPr>
              <w:t>23</w:t>
            </w:r>
          </w:p>
        </w:tc>
        <w:tc>
          <w:tcPr>
            <w:tcW w:w="1174" w:type="pct"/>
            <w:noWrap w:val="0"/>
            <w:vAlign w:val="center"/>
          </w:tcPr>
          <w:p w14:paraId="3AEA4C99">
            <w:pPr>
              <w:pStyle w:val="27"/>
              <w:contextualSpacing/>
              <w:rPr>
                <w:rFonts w:ascii="Times New Roman" w:hAnsi="Times New Roman"/>
                <w:highlight w:val="none"/>
              </w:rPr>
            </w:pPr>
            <w:r>
              <w:rPr>
                <w:rFonts w:ascii="Times New Roman" w:hAnsi="Times New Roman"/>
                <w:highlight w:val="none"/>
              </w:rPr>
              <w:t>三氯乙烯</w:t>
            </w:r>
          </w:p>
        </w:tc>
        <w:tc>
          <w:tcPr>
            <w:tcW w:w="994" w:type="pct"/>
            <w:noWrap w:val="0"/>
            <w:vAlign w:val="center"/>
          </w:tcPr>
          <w:p w14:paraId="7B1C0601">
            <w:pPr>
              <w:pStyle w:val="27"/>
              <w:contextualSpacing/>
              <w:rPr>
                <w:rFonts w:ascii="Times New Roman" w:hAnsi="Times New Roman"/>
                <w:highlight w:val="none"/>
              </w:rPr>
            </w:pPr>
            <w:r>
              <w:rPr>
                <w:rFonts w:ascii="Times New Roman" w:hAnsi="Times New Roman"/>
                <w:highlight w:val="none"/>
              </w:rPr>
              <w:t>79-01-6</w:t>
            </w:r>
          </w:p>
        </w:tc>
        <w:tc>
          <w:tcPr>
            <w:tcW w:w="1279" w:type="pct"/>
            <w:noWrap w:val="0"/>
            <w:vAlign w:val="center"/>
          </w:tcPr>
          <w:p w14:paraId="2F48CFFB">
            <w:pPr>
              <w:pStyle w:val="27"/>
              <w:contextualSpacing/>
              <w:rPr>
                <w:rFonts w:ascii="Times New Roman" w:hAnsi="Times New Roman"/>
                <w:highlight w:val="none"/>
              </w:rPr>
            </w:pPr>
            <w:r>
              <w:rPr>
                <w:rFonts w:ascii="Times New Roman" w:hAnsi="Times New Roman"/>
                <w:highlight w:val="none"/>
              </w:rPr>
              <w:t>0.7</w:t>
            </w:r>
          </w:p>
        </w:tc>
        <w:tc>
          <w:tcPr>
            <w:tcW w:w="1163" w:type="pct"/>
            <w:noWrap w:val="0"/>
            <w:vAlign w:val="center"/>
          </w:tcPr>
          <w:p w14:paraId="57686F63">
            <w:pPr>
              <w:pStyle w:val="27"/>
              <w:contextualSpacing/>
              <w:rPr>
                <w:rFonts w:ascii="Times New Roman" w:hAnsi="Times New Roman"/>
                <w:highlight w:val="none"/>
              </w:rPr>
            </w:pPr>
            <w:r>
              <w:rPr>
                <w:rFonts w:ascii="Times New Roman" w:hAnsi="Times New Roman"/>
                <w:highlight w:val="none"/>
              </w:rPr>
              <w:t>2.8</w:t>
            </w:r>
          </w:p>
        </w:tc>
      </w:tr>
      <w:tr w14:paraId="5001604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65E33B29">
            <w:pPr>
              <w:pStyle w:val="27"/>
              <w:contextualSpacing/>
              <w:rPr>
                <w:rFonts w:ascii="Times New Roman" w:hAnsi="Times New Roman"/>
                <w:highlight w:val="none"/>
              </w:rPr>
            </w:pPr>
            <w:r>
              <w:rPr>
                <w:rFonts w:ascii="Times New Roman" w:hAnsi="Times New Roman"/>
                <w:highlight w:val="none"/>
              </w:rPr>
              <w:t>24</w:t>
            </w:r>
          </w:p>
        </w:tc>
        <w:tc>
          <w:tcPr>
            <w:tcW w:w="1174" w:type="pct"/>
            <w:noWrap w:val="0"/>
            <w:vAlign w:val="center"/>
          </w:tcPr>
          <w:p w14:paraId="2E93CDA3">
            <w:pPr>
              <w:pStyle w:val="27"/>
              <w:contextualSpacing/>
              <w:rPr>
                <w:rFonts w:ascii="Times New Roman" w:hAnsi="Times New Roman"/>
                <w:highlight w:val="none"/>
              </w:rPr>
            </w:pPr>
            <w:r>
              <w:rPr>
                <w:rFonts w:ascii="Times New Roman" w:hAnsi="Times New Roman"/>
                <w:highlight w:val="none"/>
              </w:rPr>
              <w:t>1,2,3-三氯丙烷</w:t>
            </w:r>
          </w:p>
        </w:tc>
        <w:tc>
          <w:tcPr>
            <w:tcW w:w="994" w:type="pct"/>
            <w:noWrap w:val="0"/>
            <w:vAlign w:val="center"/>
          </w:tcPr>
          <w:p w14:paraId="1226F701">
            <w:pPr>
              <w:pStyle w:val="27"/>
              <w:contextualSpacing/>
              <w:rPr>
                <w:rFonts w:ascii="Times New Roman" w:hAnsi="Times New Roman"/>
                <w:highlight w:val="none"/>
              </w:rPr>
            </w:pPr>
            <w:r>
              <w:rPr>
                <w:rFonts w:ascii="Times New Roman" w:hAnsi="Times New Roman"/>
                <w:highlight w:val="none"/>
              </w:rPr>
              <w:t>96-18-4</w:t>
            </w:r>
          </w:p>
        </w:tc>
        <w:tc>
          <w:tcPr>
            <w:tcW w:w="1279" w:type="pct"/>
            <w:noWrap w:val="0"/>
            <w:vAlign w:val="center"/>
          </w:tcPr>
          <w:p w14:paraId="745E35BF">
            <w:pPr>
              <w:pStyle w:val="27"/>
              <w:contextualSpacing/>
              <w:rPr>
                <w:rFonts w:ascii="Times New Roman" w:hAnsi="Times New Roman"/>
                <w:highlight w:val="none"/>
              </w:rPr>
            </w:pPr>
            <w:r>
              <w:rPr>
                <w:rFonts w:ascii="Times New Roman" w:hAnsi="Times New Roman"/>
                <w:highlight w:val="none"/>
              </w:rPr>
              <w:t>0.05</w:t>
            </w:r>
          </w:p>
        </w:tc>
        <w:tc>
          <w:tcPr>
            <w:tcW w:w="1163" w:type="pct"/>
            <w:noWrap w:val="0"/>
            <w:vAlign w:val="center"/>
          </w:tcPr>
          <w:p w14:paraId="3F69A72F">
            <w:pPr>
              <w:pStyle w:val="27"/>
              <w:contextualSpacing/>
              <w:rPr>
                <w:rFonts w:ascii="Times New Roman" w:hAnsi="Times New Roman"/>
                <w:highlight w:val="none"/>
              </w:rPr>
            </w:pPr>
            <w:r>
              <w:rPr>
                <w:rFonts w:ascii="Times New Roman" w:hAnsi="Times New Roman"/>
                <w:highlight w:val="none"/>
              </w:rPr>
              <w:t>0.5</w:t>
            </w:r>
          </w:p>
        </w:tc>
      </w:tr>
      <w:tr w14:paraId="4318CD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622962BA">
            <w:pPr>
              <w:pStyle w:val="27"/>
              <w:contextualSpacing/>
              <w:rPr>
                <w:rFonts w:ascii="Times New Roman" w:hAnsi="Times New Roman"/>
                <w:highlight w:val="none"/>
              </w:rPr>
            </w:pPr>
            <w:r>
              <w:rPr>
                <w:rFonts w:ascii="Times New Roman" w:hAnsi="Times New Roman"/>
                <w:highlight w:val="none"/>
              </w:rPr>
              <w:t>25</w:t>
            </w:r>
          </w:p>
        </w:tc>
        <w:tc>
          <w:tcPr>
            <w:tcW w:w="1174" w:type="pct"/>
            <w:noWrap w:val="0"/>
            <w:vAlign w:val="center"/>
          </w:tcPr>
          <w:p w14:paraId="500D4675">
            <w:pPr>
              <w:pStyle w:val="27"/>
              <w:contextualSpacing/>
              <w:rPr>
                <w:rFonts w:ascii="Times New Roman" w:hAnsi="Times New Roman"/>
                <w:highlight w:val="none"/>
              </w:rPr>
            </w:pPr>
            <w:r>
              <w:rPr>
                <w:rFonts w:ascii="Times New Roman" w:hAnsi="Times New Roman"/>
                <w:highlight w:val="none"/>
              </w:rPr>
              <w:t>氯乙烯</w:t>
            </w:r>
          </w:p>
        </w:tc>
        <w:tc>
          <w:tcPr>
            <w:tcW w:w="994" w:type="pct"/>
            <w:noWrap w:val="0"/>
            <w:vAlign w:val="center"/>
          </w:tcPr>
          <w:p w14:paraId="1BAFC01E">
            <w:pPr>
              <w:pStyle w:val="27"/>
              <w:contextualSpacing/>
              <w:rPr>
                <w:rFonts w:ascii="Times New Roman" w:hAnsi="Times New Roman"/>
                <w:highlight w:val="none"/>
              </w:rPr>
            </w:pPr>
            <w:r>
              <w:rPr>
                <w:rFonts w:ascii="Times New Roman" w:hAnsi="Times New Roman"/>
                <w:highlight w:val="none"/>
              </w:rPr>
              <w:t>75-01-4</w:t>
            </w:r>
          </w:p>
        </w:tc>
        <w:tc>
          <w:tcPr>
            <w:tcW w:w="1279" w:type="pct"/>
            <w:noWrap w:val="0"/>
            <w:vAlign w:val="center"/>
          </w:tcPr>
          <w:p w14:paraId="340F07E5">
            <w:pPr>
              <w:pStyle w:val="27"/>
              <w:contextualSpacing/>
              <w:rPr>
                <w:rFonts w:ascii="Times New Roman" w:hAnsi="Times New Roman"/>
                <w:highlight w:val="none"/>
              </w:rPr>
            </w:pPr>
            <w:r>
              <w:rPr>
                <w:rFonts w:ascii="Times New Roman" w:hAnsi="Times New Roman"/>
                <w:highlight w:val="none"/>
              </w:rPr>
              <w:t>0.12</w:t>
            </w:r>
          </w:p>
        </w:tc>
        <w:tc>
          <w:tcPr>
            <w:tcW w:w="1163" w:type="pct"/>
            <w:noWrap w:val="0"/>
            <w:vAlign w:val="center"/>
          </w:tcPr>
          <w:p w14:paraId="59B44067">
            <w:pPr>
              <w:pStyle w:val="27"/>
              <w:contextualSpacing/>
              <w:rPr>
                <w:rFonts w:ascii="Times New Roman" w:hAnsi="Times New Roman"/>
                <w:highlight w:val="none"/>
              </w:rPr>
            </w:pPr>
            <w:r>
              <w:rPr>
                <w:rFonts w:ascii="Times New Roman" w:hAnsi="Times New Roman"/>
                <w:highlight w:val="none"/>
              </w:rPr>
              <w:t>0.43</w:t>
            </w:r>
          </w:p>
        </w:tc>
      </w:tr>
      <w:tr w14:paraId="4D6BA8D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6D9A0CF4">
            <w:pPr>
              <w:pStyle w:val="27"/>
              <w:contextualSpacing/>
              <w:rPr>
                <w:rFonts w:ascii="Times New Roman" w:hAnsi="Times New Roman"/>
                <w:highlight w:val="none"/>
              </w:rPr>
            </w:pPr>
            <w:r>
              <w:rPr>
                <w:rFonts w:ascii="Times New Roman" w:hAnsi="Times New Roman"/>
                <w:highlight w:val="none"/>
              </w:rPr>
              <w:t>26</w:t>
            </w:r>
          </w:p>
        </w:tc>
        <w:tc>
          <w:tcPr>
            <w:tcW w:w="1174" w:type="pct"/>
            <w:noWrap w:val="0"/>
            <w:vAlign w:val="center"/>
          </w:tcPr>
          <w:p w14:paraId="7DAB3BC8">
            <w:pPr>
              <w:pStyle w:val="27"/>
              <w:contextualSpacing/>
              <w:rPr>
                <w:rFonts w:ascii="Times New Roman" w:hAnsi="Times New Roman"/>
                <w:highlight w:val="none"/>
              </w:rPr>
            </w:pPr>
            <w:r>
              <w:rPr>
                <w:rFonts w:ascii="Times New Roman" w:hAnsi="Times New Roman"/>
                <w:highlight w:val="none"/>
              </w:rPr>
              <w:t>苯</w:t>
            </w:r>
          </w:p>
        </w:tc>
        <w:tc>
          <w:tcPr>
            <w:tcW w:w="994" w:type="pct"/>
            <w:noWrap w:val="0"/>
            <w:vAlign w:val="center"/>
          </w:tcPr>
          <w:p w14:paraId="7DB65F04">
            <w:pPr>
              <w:pStyle w:val="27"/>
              <w:contextualSpacing/>
              <w:rPr>
                <w:rFonts w:ascii="Times New Roman" w:hAnsi="Times New Roman"/>
                <w:highlight w:val="none"/>
              </w:rPr>
            </w:pPr>
            <w:r>
              <w:rPr>
                <w:rFonts w:ascii="Times New Roman" w:hAnsi="Times New Roman"/>
                <w:highlight w:val="none"/>
              </w:rPr>
              <w:t>71-43-2</w:t>
            </w:r>
          </w:p>
        </w:tc>
        <w:tc>
          <w:tcPr>
            <w:tcW w:w="1279" w:type="pct"/>
            <w:noWrap w:val="0"/>
            <w:vAlign w:val="center"/>
          </w:tcPr>
          <w:p w14:paraId="25D33EE4">
            <w:pPr>
              <w:pStyle w:val="27"/>
              <w:contextualSpacing/>
              <w:rPr>
                <w:rFonts w:ascii="Times New Roman" w:hAnsi="Times New Roman"/>
                <w:highlight w:val="none"/>
              </w:rPr>
            </w:pPr>
            <w:r>
              <w:rPr>
                <w:rFonts w:ascii="Times New Roman" w:hAnsi="Times New Roman"/>
                <w:highlight w:val="none"/>
              </w:rPr>
              <w:t>1</w:t>
            </w:r>
          </w:p>
        </w:tc>
        <w:tc>
          <w:tcPr>
            <w:tcW w:w="1163" w:type="pct"/>
            <w:noWrap w:val="0"/>
            <w:vAlign w:val="center"/>
          </w:tcPr>
          <w:p w14:paraId="6E6C8C14">
            <w:pPr>
              <w:pStyle w:val="27"/>
              <w:contextualSpacing/>
              <w:rPr>
                <w:rFonts w:ascii="Times New Roman" w:hAnsi="Times New Roman"/>
                <w:highlight w:val="none"/>
              </w:rPr>
            </w:pPr>
            <w:r>
              <w:rPr>
                <w:rFonts w:ascii="Times New Roman" w:hAnsi="Times New Roman"/>
                <w:highlight w:val="none"/>
              </w:rPr>
              <w:t>4</w:t>
            </w:r>
          </w:p>
        </w:tc>
      </w:tr>
      <w:tr w14:paraId="4477DF6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338499F9">
            <w:pPr>
              <w:pStyle w:val="27"/>
              <w:contextualSpacing/>
              <w:rPr>
                <w:rFonts w:ascii="Times New Roman" w:hAnsi="Times New Roman"/>
                <w:highlight w:val="none"/>
              </w:rPr>
            </w:pPr>
            <w:r>
              <w:rPr>
                <w:rFonts w:ascii="Times New Roman" w:hAnsi="Times New Roman"/>
                <w:highlight w:val="none"/>
              </w:rPr>
              <w:t>27</w:t>
            </w:r>
          </w:p>
        </w:tc>
        <w:tc>
          <w:tcPr>
            <w:tcW w:w="1174" w:type="pct"/>
            <w:noWrap w:val="0"/>
            <w:vAlign w:val="center"/>
          </w:tcPr>
          <w:p w14:paraId="590A8434">
            <w:pPr>
              <w:pStyle w:val="27"/>
              <w:contextualSpacing/>
              <w:rPr>
                <w:rFonts w:ascii="Times New Roman" w:hAnsi="Times New Roman"/>
                <w:highlight w:val="none"/>
              </w:rPr>
            </w:pPr>
            <w:r>
              <w:rPr>
                <w:rFonts w:ascii="Times New Roman" w:hAnsi="Times New Roman"/>
                <w:highlight w:val="none"/>
              </w:rPr>
              <w:t>氯苯</w:t>
            </w:r>
          </w:p>
        </w:tc>
        <w:tc>
          <w:tcPr>
            <w:tcW w:w="994" w:type="pct"/>
            <w:noWrap w:val="0"/>
            <w:vAlign w:val="center"/>
          </w:tcPr>
          <w:p w14:paraId="38F3761E">
            <w:pPr>
              <w:pStyle w:val="27"/>
              <w:contextualSpacing/>
              <w:rPr>
                <w:rFonts w:ascii="Times New Roman" w:hAnsi="Times New Roman"/>
                <w:highlight w:val="none"/>
              </w:rPr>
            </w:pPr>
            <w:r>
              <w:rPr>
                <w:rFonts w:ascii="Times New Roman" w:hAnsi="Times New Roman"/>
                <w:highlight w:val="none"/>
              </w:rPr>
              <w:t>180-90-7</w:t>
            </w:r>
          </w:p>
        </w:tc>
        <w:tc>
          <w:tcPr>
            <w:tcW w:w="1279" w:type="pct"/>
            <w:noWrap w:val="0"/>
            <w:vAlign w:val="center"/>
          </w:tcPr>
          <w:p w14:paraId="3048EFE7">
            <w:pPr>
              <w:pStyle w:val="27"/>
              <w:contextualSpacing/>
              <w:rPr>
                <w:rFonts w:ascii="Times New Roman" w:hAnsi="Times New Roman"/>
                <w:highlight w:val="none"/>
              </w:rPr>
            </w:pPr>
            <w:r>
              <w:rPr>
                <w:rFonts w:ascii="Times New Roman" w:hAnsi="Times New Roman"/>
                <w:highlight w:val="none"/>
              </w:rPr>
              <w:t>68</w:t>
            </w:r>
          </w:p>
        </w:tc>
        <w:tc>
          <w:tcPr>
            <w:tcW w:w="1163" w:type="pct"/>
            <w:noWrap w:val="0"/>
            <w:vAlign w:val="center"/>
          </w:tcPr>
          <w:p w14:paraId="78C7F0BE">
            <w:pPr>
              <w:pStyle w:val="27"/>
              <w:contextualSpacing/>
              <w:rPr>
                <w:rFonts w:ascii="Times New Roman" w:hAnsi="Times New Roman"/>
                <w:highlight w:val="none"/>
              </w:rPr>
            </w:pPr>
            <w:r>
              <w:rPr>
                <w:rFonts w:ascii="Times New Roman" w:hAnsi="Times New Roman"/>
                <w:highlight w:val="none"/>
              </w:rPr>
              <w:t>270</w:t>
            </w:r>
          </w:p>
        </w:tc>
      </w:tr>
      <w:tr w14:paraId="152C20C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1DC6DC5D">
            <w:pPr>
              <w:pStyle w:val="27"/>
              <w:contextualSpacing/>
              <w:rPr>
                <w:rFonts w:ascii="Times New Roman" w:hAnsi="Times New Roman"/>
                <w:highlight w:val="none"/>
              </w:rPr>
            </w:pPr>
            <w:r>
              <w:rPr>
                <w:rFonts w:ascii="Times New Roman" w:hAnsi="Times New Roman"/>
                <w:highlight w:val="none"/>
              </w:rPr>
              <w:t>28</w:t>
            </w:r>
          </w:p>
        </w:tc>
        <w:tc>
          <w:tcPr>
            <w:tcW w:w="1174" w:type="pct"/>
            <w:noWrap w:val="0"/>
            <w:vAlign w:val="center"/>
          </w:tcPr>
          <w:p w14:paraId="45FFA759">
            <w:pPr>
              <w:pStyle w:val="27"/>
              <w:contextualSpacing/>
              <w:rPr>
                <w:rFonts w:ascii="Times New Roman" w:hAnsi="Times New Roman"/>
                <w:highlight w:val="none"/>
              </w:rPr>
            </w:pPr>
            <w:r>
              <w:rPr>
                <w:rFonts w:ascii="Times New Roman" w:hAnsi="Times New Roman"/>
                <w:highlight w:val="none"/>
              </w:rPr>
              <w:t>1,2-二氯苯</w:t>
            </w:r>
          </w:p>
        </w:tc>
        <w:tc>
          <w:tcPr>
            <w:tcW w:w="994" w:type="pct"/>
            <w:noWrap w:val="0"/>
            <w:vAlign w:val="center"/>
          </w:tcPr>
          <w:p w14:paraId="5E07F3A3">
            <w:pPr>
              <w:pStyle w:val="27"/>
              <w:contextualSpacing/>
              <w:rPr>
                <w:rFonts w:ascii="Times New Roman" w:hAnsi="Times New Roman"/>
                <w:highlight w:val="none"/>
              </w:rPr>
            </w:pPr>
            <w:r>
              <w:rPr>
                <w:rFonts w:ascii="Times New Roman" w:hAnsi="Times New Roman"/>
                <w:highlight w:val="none"/>
              </w:rPr>
              <w:t>95-50-1</w:t>
            </w:r>
          </w:p>
        </w:tc>
        <w:tc>
          <w:tcPr>
            <w:tcW w:w="1279" w:type="pct"/>
            <w:noWrap w:val="0"/>
            <w:vAlign w:val="center"/>
          </w:tcPr>
          <w:p w14:paraId="5D739283">
            <w:pPr>
              <w:pStyle w:val="27"/>
              <w:contextualSpacing/>
              <w:rPr>
                <w:rFonts w:ascii="Times New Roman" w:hAnsi="Times New Roman"/>
                <w:highlight w:val="none"/>
              </w:rPr>
            </w:pPr>
            <w:r>
              <w:rPr>
                <w:rFonts w:ascii="Times New Roman" w:hAnsi="Times New Roman"/>
                <w:highlight w:val="none"/>
              </w:rPr>
              <w:t>560</w:t>
            </w:r>
          </w:p>
        </w:tc>
        <w:tc>
          <w:tcPr>
            <w:tcW w:w="1163" w:type="pct"/>
            <w:noWrap w:val="0"/>
            <w:vAlign w:val="center"/>
          </w:tcPr>
          <w:p w14:paraId="582CF8EE">
            <w:pPr>
              <w:pStyle w:val="27"/>
              <w:contextualSpacing/>
              <w:rPr>
                <w:rFonts w:ascii="Times New Roman" w:hAnsi="Times New Roman"/>
                <w:highlight w:val="none"/>
              </w:rPr>
            </w:pPr>
            <w:r>
              <w:rPr>
                <w:rFonts w:ascii="Times New Roman" w:hAnsi="Times New Roman"/>
                <w:highlight w:val="none"/>
              </w:rPr>
              <w:t>560</w:t>
            </w:r>
          </w:p>
        </w:tc>
      </w:tr>
      <w:tr w14:paraId="4DE2EAB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6E81D8EC">
            <w:pPr>
              <w:pStyle w:val="27"/>
              <w:contextualSpacing/>
              <w:rPr>
                <w:rFonts w:ascii="Times New Roman" w:hAnsi="Times New Roman"/>
                <w:highlight w:val="none"/>
              </w:rPr>
            </w:pPr>
            <w:r>
              <w:rPr>
                <w:rFonts w:ascii="Times New Roman" w:hAnsi="Times New Roman"/>
                <w:highlight w:val="none"/>
              </w:rPr>
              <w:t>29</w:t>
            </w:r>
          </w:p>
        </w:tc>
        <w:tc>
          <w:tcPr>
            <w:tcW w:w="1174" w:type="pct"/>
            <w:noWrap w:val="0"/>
            <w:vAlign w:val="center"/>
          </w:tcPr>
          <w:p w14:paraId="5290FF24">
            <w:pPr>
              <w:pStyle w:val="27"/>
              <w:contextualSpacing/>
              <w:rPr>
                <w:rFonts w:ascii="Times New Roman" w:hAnsi="Times New Roman"/>
                <w:highlight w:val="none"/>
              </w:rPr>
            </w:pPr>
            <w:r>
              <w:rPr>
                <w:rFonts w:ascii="Times New Roman" w:hAnsi="Times New Roman"/>
                <w:highlight w:val="none"/>
              </w:rPr>
              <w:t>1,4-二氯苯</w:t>
            </w:r>
          </w:p>
        </w:tc>
        <w:tc>
          <w:tcPr>
            <w:tcW w:w="994" w:type="pct"/>
            <w:noWrap w:val="0"/>
            <w:vAlign w:val="center"/>
          </w:tcPr>
          <w:p w14:paraId="6541F9E1">
            <w:pPr>
              <w:pStyle w:val="27"/>
              <w:contextualSpacing/>
              <w:rPr>
                <w:rFonts w:ascii="Times New Roman" w:hAnsi="Times New Roman"/>
                <w:highlight w:val="none"/>
              </w:rPr>
            </w:pPr>
            <w:r>
              <w:rPr>
                <w:rFonts w:ascii="Times New Roman" w:hAnsi="Times New Roman"/>
                <w:highlight w:val="none"/>
              </w:rPr>
              <w:t>106-46-7</w:t>
            </w:r>
          </w:p>
        </w:tc>
        <w:tc>
          <w:tcPr>
            <w:tcW w:w="1279" w:type="pct"/>
            <w:noWrap w:val="0"/>
            <w:vAlign w:val="center"/>
          </w:tcPr>
          <w:p w14:paraId="4BD80104">
            <w:pPr>
              <w:pStyle w:val="27"/>
              <w:contextualSpacing/>
              <w:rPr>
                <w:rFonts w:ascii="Times New Roman" w:hAnsi="Times New Roman"/>
                <w:highlight w:val="none"/>
              </w:rPr>
            </w:pPr>
            <w:r>
              <w:rPr>
                <w:rFonts w:ascii="Times New Roman" w:hAnsi="Times New Roman"/>
                <w:highlight w:val="none"/>
              </w:rPr>
              <w:t>5.6</w:t>
            </w:r>
          </w:p>
        </w:tc>
        <w:tc>
          <w:tcPr>
            <w:tcW w:w="1163" w:type="pct"/>
            <w:noWrap w:val="0"/>
            <w:vAlign w:val="center"/>
          </w:tcPr>
          <w:p w14:paraId="2D94ED5F">
            <w:pPr>
              <w:pStyle w:val="27"/>
              <w:contextualSpacing/>
              <w:rPr>
                <w:rFonts w:ascii="Times New Roman" w:hAnsi="Times New Roman"/>
                <w:highlight w:val="none"/>
              </w:rPr>
            </w:pPr>
            <w:r>
              <w:rPr>
                <w:rFonts w:ascii="Times New Roman" w:hAnsi="Times New Roman"/>
                <w:highlight w:val="none"/>
              </w:rPr>
              <w:t>20</w:t>
            </w:r>
          </w:p>
        </w:tc>
      </w:tr>
      <w:tr w14:paraId="2CC63AA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396E0D6A">
            <w:pPr>
              <w:pStyle w:val="27"/>
              <w:contextualSpacing/>
              <w:rPr>
                <w:rFonts w:ascii="Times New Roman" w:hAnsi="Times New Roman"/>
                <w:highlight w:val="none"/>
              </w:rPr>
            </w:pPr>
            <w:r>
              <w:rPr>
                <w:rFonts w:ascii="Times New Roman" w:hAnsi="Times New Roman"/>
                <w:highlight w:val="none"/>
              </w:rPr>
              <w:t>30</w:t>
            </w:r>
          </w:p>
        </w:tc>
        <w:tc>
          <w:tcPr>
            <w:tcW w:w="1174" w:type="pct"/>
            <w:noWrap w:val="0"/>
            <w:vAlign w:val="center"/>
          </w:tcPr>
          <w:p w14:paraId="0F7B9423">
            <w:pPr>
              <w:pStyle w:val="27"/>
              <w:contextualSpacing/>
              <w:rPr>
                <w:rFonts w:ascii="Times New Roman" w:hAnsi="Times New Roman"/>
                <w:highlight w:val="none"/>
              </w:rPr>
            </w:pPr>
            <w:r>
              <w:rPr>
                <w:rFonts w:ascii="Times New Roman" w:hAnsi="Times New Roman"/>
                <w:highlight w:val="none"/>
              </w:rPr>
              <w:t>乙苯</w:t>
            </w:r>
          </w:p>
        </w:tc>
        <w:tc>
          <w:tcPr>
            <w:tcW w:w="994" w:type="pct"/>
            <w:noWrap w:val="0"/>
            <w:vAlign w:val="center"/>
          </w:tcPr>
          <w:p w14:paraId="42B272C2">
            <w:pPr>
              <w:pStyle w:val="27"/>
              <w:contextualSpacing/>
              <w:rPr>
                <w:rFonts w:ascii="Times New Roman" w:hAnsi="Times New Roman"/>
                <w:highlight w:val="none"/>
              </w:rPr>
            </w:pPr>
            <w:r>
              <w:rPr>
                <w:rFonts w:ascii="Times New Roman" w:hAnsi="Times New Roman"/>
                <w:highlight w:val="none"/>
              </w:rPr>
              <w:t>100-41-4</w:t>
            </w:r>
          </w:p>
        </w:tc>
        <w:tc>
          <w:tcPr>
            <w:tcW w:w="1279" w:type="pct"/>
            <w:noWrap w:val="0"/>
            <w:vAlign w:val="center"/>
          </w:tcPr>
          <w:p w14:paraId="2177331B">
            <w:pPr>
              <w:pStyle w:val="27"/>
              <w:contextualSpacing/>
              <w:rPr>
                <w:rFonts w:ascii="Times New Roman" w:hAnsi="Times New Roman"/>
                <w:highlight w:val="none"/>
              </w:rPr>
            </w:pPr>
            <w:r>
              <w:rPr>
                <w:rFonts w:ascii="Times New Roman" w:hAnsi="Times New Roman"/>
                <w:highlight w:val="none"/>
              </w:rPr>
              <w:t>7.2</w:t>
            </w:r>
          </w:p>
        </w:tc>
        <w:tc>
          <w:tcPr>
            <w:tcW w:w="1163" w:type="pct"/>
            <w:noWrap w:val="0"/>
            <w:vAlign w:val="center"/>
          </w:tcPr>
          <w:p w14:paraId="6BA973E3">
            <w:pPr>
              <w:pStyle w:val="27"/>
              <w:contextualSpacing/>
              <w:rPr>
                <w:rFonts w:ascii="Times New Roman" w:hAnsi="Times New Roman"/>
                <w:highlight w:val="none"/>
              </w:rPr>
            </w:pPr>
            <w:r>
              <w:rPr>
                <w:rFonts w:ascii="Times New Roman" w:hAnsi="Times New Roman"/>
                <w:highlight w:val="none"/>
              </w:rPr>
              <w:t>28</w:t>
            </w:r>
          </w:p>
        </w:tc>
      </w:tr>
      <w:tr w14:paraId="7AF31D4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5F910986">
            <w:pPr>
              <w:pStyle w:val="27"/>
              <w:contextualSpacing/>
              <w:rPr>
                <w:rFonts w:ascii="Times New Roman" w:hAnsi="Times New Roman"/>
                <w:highlight w:val="none"/>
              </w:rPr>
            </w:pPr>
            <w:r>
              <w:rPr>
                <w:rFonts w:ascii="Times New Roman" w:hAnsi="Times New Roman"/>
                <w:highlight w:val="none"/>
              </w:rPr>
              <w:t>31</w:t>
            </w:r>
          </w:p>
        </w:tc>
        <w:tc>
          <w:tcPr>
            <w:tcW w:w="1174" w:type="pct"/>
            <w:noWrap w:val="0"/>
            <w:vAlign w:val="center"/>
          </w:tcPr>
          <w:p w14:paraId="225A6FD3">
            <w:pPr>
              <w:pStyle w:val="27"/>
              <w:contextualSpacing/>
              <w:rPr>
                <w:rFonts w:ascii="Times New Roman" w:hAnsi="Times New Roman"/>
                <w:highlight w:val="none"/>
              </w:rPr>
            </w:pPr>
            <w:r>
              <w:rPr>
                <w:rFonts w:ascii="Times New Roman" w:hAnsi="Times New Roman"/>
                <w:highlight w:val="none"/>
              </w:rPr>
              <w:t>苯乙烯</w:t>
            </w:r>
          </w:p>
        </w:tc>
        <w:tc>
          <w:tcPr>
            <w:tcW w:w="994" w:type="pct"/>
            <w:noWrap w:val="0"/>
            <w:vAlign w:val="center"/>
          </w:tcPr>
          <w:p w14:paraId="419154C3">
            <w:pPr>
              <w:pStyle w:val="27"/>
              <w:contextualSpacing/>
              <w:rPr>
                <w:rFonts w:ascii="Times New Roman" w:hAnsi="Times New Roman"/>
                <w:highlight w:val="none"/>
              </w:rPr>
            </w:pPr>
            <w:r>
              <w:rPr>
                <w:rFonts w:ascii="Times New Roman" w:hAnsi="Times New Roman"/>
                <w:highlight w:val="none"/>
              </w:rPr>
              <w:t>100-42-5</w:t>
            </w:r>
          </w:p>
        </w:tc>
        <w:tc>
          <w:tcPr>
            <w:tcW w:w="1279" w:type="pct"/>
            <w:noWrap w:val="0"/>
            <w:vAlign w:val="center"/>
          </w:tcPr>
          <w:p w14:paraId="7D6D998C">
            <w:pPr>
              <w:pStyle w:val="27"/>
              <w:contextualSpacing/>
              <w:rPr>
                <w:rFonts w:ascii="Times New Roman" w:hAnsi="Times New Roman"/>
                <w:highlight w:val="none"/>
              </w:rPr>
            </w:pPr>
            <w:r>
              <w:rPr>
                <w:rFonts w:ascii="Times New Roman" w:hAnsi="Times New Roman"/>
                <w:highlight w:val="none"/>
              </w:rPr>
              <w:t>1290</w:t>
            </w:r>
          </w:p>
        </w:tc>
        <w:tc>
          <w:tcPr>
            <w:tcW w:w="1163" w:type="pct"/>
            <w:noWrap w:val="0"/>
            <w:vAlign w:val="center"/>
          </w:tcPr>
          <w:p w14:paraId="2349F402">
            <w:pPr>
              <w:pStyle w:val="27"/>
              <w:contextualSpacing/>
              <w:rPr>
                <w:rFonts w:ascii="Times New Roman" w:hAnsi="Times New Roman"/>
                <w:highlight w:val="none"/>
              </w:rPr>
            </w:pPr>
            <w:r>
              <w:rPr>
                <w:rFonts w:ascii="Times New Roman" w:hAnsi="Times New Roman"/>
                <w:highlight w:val="none"/>
              </w:rPr>
              <w:t>1290</w:t>
            </w:r>
          </w:p>
        </w:tc>
      </w:tr>
      <w:tr w14:paraId="17D3AFE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74556F2A">
            <w:pPr>
              <w:pStyle w:val="27"/>
              <w:contextualSpacing/>
              <w:rPr>
                <w:rFonts w:ascii="Times New Roman" w:hAnsi="Times New Roman"/>
                <w:highlight w:val="none"/>
              </w:rPr>
            </w:pPr>
            <w:r>
              <w:rPr>
                <w:rFonts w:ascii="Times New Roman" w:hAnsi="Times New Roman"/>
                <w:highlight w:val="none"/>
              </w:rPr>
              <w:t>32</w:t>
            </w:r>
          </w:p>
        </w:tc>
        <w:tc>
          <w:tcPr>
            <w:tcW w:w="1174" w:type="pct"/>
            <w:noWrap w:val="0"/>
            <w:vAlign w:val="center"/>
          </w:tcPr>
          <w:p w14:paraId="7F60B295">
            <w:pPr>
              <w:pStyle w:val="27"/>
              <w:contextualSpacing/>
              <w:rPr>
                <w:rFonts w:ascii="Times New Roman" w:hAnsi="Times New Roman"/>
                <w:highlight w:val="none"/>
              </w:rPr>
            </w:pPr>
            <w:r>
              <w:rPr>
                <w:rFonts w:ascii="Times New Roman" w:hAnsi="Times New Roman"/>
                <w:highlight w:val="none"/>
              </w:rPr>
              <w:t>甲苯</w:t>
            </w:r>
          </w:p>
        </w:tc>
        <w:tc>
          <w:tcPr>
            <w:tcW w:w="994" w:type="pct"/>
            <w:noWrap w:val="0"/>
            <w:vAlign w:val="center"/>
          </w:tcPr>
          <w:p w14:paraId="418856A2">
            <w:pPr>
              <w:pStyle w:val="27"/>
              <w:contextualSpacing/>
              <w:rPr>
                <w:rFonts w:ascii="Times New Roman" w:hAnsi="Times New Roman"/>
                <w:highlight w:val="none"/>
              </w:rPr>
            </w:pPr>
            <w:r>
              <w:rPr>
                <w:rFonts w:ascii="Times New Roman" w:hAnsi="Times New Roman"/>
                <w:highlight w:val="none"/>
              </w:rPr>
              <w:t>108-88-3</w:t>
            </w:r>
          </w:p>
        </w:tc>
        <w:tc>
          <w:tcPr>
            <w:tcW w:w="1279" w:type="pct"/>
            <w:noWrap w:val="0"/>
            <w:vAlign w:val="center"/>
          </w:tcPr>
          <w:p w14:paraId="43B0593E">
            <w:pPr>
              <w:pStyle w:val="27"/>
              <w:contextualSpacing/>
              <w:rPr>
                <w:rFonts w:ascii="Times New Roman" w:hAnsi="Times New Roman"/>
                <w:highlight w:val="none"/>
              </w:rPr>
            </w:pPr>
            <w:r>
              <w:rPr>
                <w:rFonts w:ascii="Times New Roman" w:hAnsi="Times New Roman"/>
                <w:highlight w:val="none"/>
              </w:rPr>
              <w:t>1200</w:t>
            </w:r>
          </w:p>
        </w:tc>
        <w:tc>
          <w:tcPr>
            <w:tcW w:w="1163" w:type="pct"/>
            <w:noWrap w:val="0"/>
            <w:vAlign w:val="center"/>
          </w:tcPr>
          <w:p w14:paraId="5E3599B2">
            <w:pPr>
              <w:pStyle w:val="27"/>
              <w:contextualSpacing/>
              <w:rPr>
                <w:rFonts w:ascii="Times New Roman" w:hAnsi="Times New Roman"/>
                <w:highlight w:val="none"/>
              </w:rPr>
            </w:pPr>
            <w:r>
              <w:rPr>
                <w:rFonts w:ascii="Times New Roman" w:hAnsi="Times New Roman"/>
                <w:highlight w:val="none"/>
              </w:rPr>
              <w:t>1200</w:t>
            </w:r>
          </w:p>
        </w:tc>
      </w:tr>
      <w:tr w14:paraId="57848BC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178F90A1">
            <w:pPr>
              <w:pStyle w:val="27"/>
              <w:contextualSpacing/>
              <w:rPr>
                <w:rFonts w:ascii="Times New Roman" w:hAnsi="Times New Roman"/>
                <w:highlight w:val="none"/>
              </w:rPr>
            </w:pPr>
            <w:r>
              <w:rPr>
                <w:rFonts w:ascii="Times New Roman" w:hAnsi="Times New Roman"/>
                <w:highlight w:val="none"/>
              </w:rPr>
              <w:t>33</w:t>
            </w:r>
          </w:p>
        </w:tc>
        <w:tc>
          <w:tcPr>
            <w:tcW w:w="1174" w:type="pct"/>
            <w:noWrap w:val="0"/>
            <w:vAlign w:val="center"/>
          </w:tcPr>
          <w:p w14:paraId="2DC94751">
            <w:pPr>
              <w:pStyle w:val="27"/>
              <w:contextualSpacing/>
              <w:rPr>
                <w:rFonts w:ascii="Times New Roman" w:hAnsi="Times New Roman"/>
                <w:highlight w:val="none"/>
              </w:rPr>
            </w:pPr>
            <w:r>
              <w:rPr>
                <w:rFonts w:ascii="Times New Roman" w:hAnsi="Times New Roman"/>
                <w:highlight w:val="none"/>
              </w:rPr>
              <w:t>间-二甲苯+对-二甲苯</w:t>
            </w:r>
          </w:p>
        </w:tc>
        <w:tc>
          <w:tcPr>
            <w:tcW w:w="994" w:type="pct"/>
            <w:noWrap w:val="0"/>
            <w:vAlign w:val="center"/>
          </w:tcPr>
          <w:p w14:paraId="640FD838">
            <w:pPr>
              <w:pStyle w:val="27"/>
              <w:contextualSpacing/>
              <w:rPr>
                <w:rFonts w:ascii="Times New Roman" w:hAnsi="Times New Roman"/>
                <w:highlight w:val="none"/>
              </w:rPr>
            </w:pPr>
            <w:r>
              <w:rPr>
                <w:rFonts w:ascii="Times New Roman" w:hAnsi="Times New Roman"/>
                <w:highlight w:val="none"/>
              </w:rPr>
              <w:t>108-38-3，106-42-3</w:t>
            </w:r>
          </w:p>
        </w:tc>
        <w:tc>
          <w:tcPr>
            <w:tcW w:w="1279" w:type="pct"/>
            <w:noWrap w:val="0"/>
            <w:vAlign w:val="center"/>
          </w:tcPr>
          <w:p w14:paraId="35C70BFD">
            <w:pPr>
              <w:pStyle w:val="27"/>
              <w:contextualSpacing/>
              <w:rPr>
                <w:rFonts w:ascii="Times New Roman" w:hAnsi="Times New Roman"/>
                <w:highlight w:val="none"/>
              </w:rPr>
            </w:pPr>
            <w:r>
              <w:rPr>
                <w:rFonts w:ascii="Times New Roman" w:hAnsi="Times New Roman"/>
                <w:highlight w:val="none"/>
              </w:rPr>
              <w:t>163</w:t>
            </w:r>
          </w:p>
        </w:tc>
        <w:tc>
          <w:tcPr>
            <w:tcW w:w="1163" w:type="pct"/>
            <w:noWrap w:val="0"/>
            <w:vAlign w:val="center"/>
          </w:tcPr>
          <w:p w14:paraId="168EC236">
            <w:pPr>
              <w:pStyle w:val="27"/>
              <w:contextualSpacing/>
              <w:rPr>
                <w:rFonts w:ascii="Times New Roman" w:hAnsi="Times New Roman"/>
                <w:highlight w:val="none"/>
              </w:rPr>
            </w:pPr>
            <w:r>
              <w:rPr>
                <w:rFonts w:ascii="Times New Roman" w:hAnsi="Times New Roman"/>
                <w:highlight w:val="none"/>
              </w:rPr>
              <w:t>570</w:t>
            </w:r>
          </w:p>
        </w:tc>
      </w:tr>
      <w:tr w14:paraId="218079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20C452DB">
            <w:pPr>
              <w:pStyle w:val="27"/>
              <w:contextualSpacing/>
              <w:rPr>
                <w:rFonts w:ascii="Times New Roman" w:hAnsi="Times New Roman"/>
                <w:highlight w:val="none"/>
              </w:rPr>
            </w:pPr>
            <w:r>
              <w:rPr>
                <w:rFonts w:ascii="Times New Roman" w:hAnsi="Times New Roman"/>
                <w:highlight w:val="none"/>
              </w:rPr>
              <w:t>34</w:t>
            </w:r>
          </w:p>
        </w:tc>
        <w:tc>
          <w:tcPr>
            <w:tcW w:w="1174" w:type="pct"/>
            <w:noWrap w:val="0"/>
            <w:vAlign w:val="center"/>
          </w:tcPr>
          <w:p w14:paraId="687463A6">
            <w:pPr>
              <w:pStyle w:val="27"/>
              <w:contextualSpacing/>
              <w:rPr>
                <w:rFonts w:ascii="Times New Roman" w:hAnsi="Times New Roman"/>
                <w:highlight w:val="none"/>
              </w:rPr>
            </w:pPr>
            <w:r>
              <w:rPr>
                <w:rFonts w:ascii="Times New Roman" w:hAnsi="Times New Roman"/>
                <w:highlight w:val="none"/>
              </w:rPr>
              <w:t>邻-二甲苯</w:t>
            </w:r>
          </w:p>
        </w:tc>
        <w:tc>
          <w:tcPr>
            <w:tcW w:w="994" w:type="pct"/>
            <w:noWrap w:val="0"/>
            <w:vAlign w:val="center"/>
          </w:tcPr>
          <w:p w14:paraId="41C045FC">
            <w:pPr>
              <w:pStyle w:val="27"/>
              <w:contextualSpacing/>
              <w:rPr>
                <w:rFonts w:ascii="Times New Roman" w:hAnsi="Times New Roman"/>
                <w:highlight w:val="none"/>
              </w:rPr>
            </w:pPr>
            <w:r>
              <w:rPr>
                <w:rFonts w:ascii="Times New Roman" w:hAnsi="Times New Roman"/>
                <w:highlight w:val="none"/>
              </w:rPr>
              <w:t>95-47-6</w:t>
            </w:r>
          </w:p>
        </w:tc>
        <w:tc>
          <w:tcPr>
            <w:tcW w:w="1279" w:type="pct"/>
            <w:noWrap w:val="0"/>
            <w:vAlign w:val="center"/>
          </w:tcPr>
          <w:p w14:paraId="22FDD4BC">
            <w:pPr>
              <w:pStyle w:val="27"/>
              <w:contextualSpacing/>
              <w:rPr>
                <w:rFonts w:ascii="Times New Roman" w:hAnsi="Times New Roman"/>
                <w:highlight w:val="none"/>
              </w:rPr>
            </w:pPr>
            <w:r>
              <w:rPr>
                <w:rFonts w:ascii="Times New Roman" w:hAnsi="Times New Roman"/>
                <w:highlight w:val="none"/>
              </w:rPr>
              <w:t>222</w:t>
            </w:r>
          </w:p>
        </w:tc>
        <w:tc>
          <w:tcPr>
            <w:tcW w:w="1163" w:type="pct"/>
            <w:noWrap w:val="0"/>
            <w:vAlign w:val="center"/>
          </w:tcPr>
          <w:p w14:paraId="7C047BEF">
            <w:pPr>
              <w:pStyle w:val="27"/>
              <w:contextualSpacing/>
              <w:rPr>
                <w:rFonts w:ascii="Times New Roman" w:hAnsi="Times New Roman"/>
                <w:highlight w:val="none"/>
              </w:rPr>
            </w:pPr>
            <w:r>
              <w:rPr>
                <w:rFonts w:ascii="Times New Roman" w:hAnsi="Times New Roman"/>
                <w:highlight w:val="none"/>
              </w:rPr>
              <w:t>640</w:t>
            </w:r>
          </w:p>
        </w:tc>
      </w:tr>
      <w:tr w14:paraId="29FEB38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2FEFB9B5">
            <w:pPr>
              <w:pStyle w:val="27"/>
              <w:contextualSpacing/>
              <w:rPr>
                <w:rFonts w:ascii="Times New Roman" w:hAnsi="Times New Roman"/>
                <w:highlight w:val="none"/>
              </w:rPr>
            </w:pPr>
            <w:r>
              <w:rPr>
                <w:rFonts w:ascii="Times New Roman" w:hAnsi="Times New Roman"/>
                <w:highlight w:val="none"/>
              </w:rPr>
              <w:t>35</w:t>
            </w:r>
          </w:p>
        </w:tc>
        <w:tc>
          <w:tcPr>
            <w:tcW w:w="1174" w:type="pct"/>
            <w:noWrap w:val="0"/>
            <w:vAlign w:val="center"/>
          </w:tcPr>
          <w:p w14:paraId="41E46F74">
            <w:pPr>
              <w:pStyle w:val="27"/>
              <w:contextualSpacing/>
              <w:rPr>
                <w:rFonts w:ascii="Times New Roman" w:hAnsi="Times New Roman"/>
                <w:highlight w:val="none"/>
              </w:rPr>
            </w:pPr>
            <w:r>
              <w:rPr>
                <w:rFonts w:ascii="Times New Roman" w:hAnsi="Times New Roman"/>
                <w:highlight w:val="none"/>
              </w:rPr>
              <w:t>硝基苯</w:t>
            </w:r>
          </w:p>
        </w:tc>
        <w:tc>
          <w:tcPr>
            <w:tcW w:w="994" w:type="pct"/>
            <w:noWrap w:val="0"/>
            <w:vAlign w:val="center"/>
          </w:tcPr>
          <w:p w14:paraId="2FB961CA">
            <w:pPr>
              <w:pStyle w:val="27"/>
              <w:contextualSpacing/>
              <w:rPr>
                <w:rFonts w:ascii="Times New Roman" w:hAnsi="Times New Roman"/>
                <w:highlight w:val="none"/>
              </w:rPr>
            </w:pPr>
            <w:r>
              <w:rPr>
                <w:rFonts w:ascii="Times New Roman" w:hAnsi="Times New Roman"/>
                <w:highlight w:val="none"/>
              </w:rPr>
              <w:t>98-95-3</w:t>
            </w:r>
          </w:p>
        </w:tc>
        <w:tc>
          <w:tcPr>
            <w:tcW w:w="1279" w:type="pct"/>
            <w:noWrap w:val="0"/>
            <w:vAlign w:val="center"/>
          </w:tcPr>
          <w:p w14:paraId="42ADDD8B">
            <w:pPr>
              <w:pStyle w:val="27"/>
              <w:contextualSpacing/>
              <w:rPr>
                <w:rFonts w:ascii="Times New Roman" w:hAnsi="Times New Roman"/>
                <w:highlight w:val="none"/>
              </w:rPr>
            </w:pPr>
            <w:r>
              <w:rPr>
                <w:rFonts w:ascii="Times New Roman" w:hAnsi="Times New Roman"/>
                <w:highlight w:val="none"/>
              </w:rPr>
              <w:t>34</w:t>
            </w:r>
          </w:p>
        </w:tc>
        <w:tc>
          <w:tcPr>
            <w:tcW w:w="1163" w:type="pct"/>
            <w:noWrap w:val="0"/>
            <w:vAlign w:val="center"/>
          </w:tcPr>
          <w:p w14:paraId="6F0C0A5A">
            <w:pPr>
              <w:pStyle w:val="27"/>
              <w:contextualSpacing/>
              <w:rPr>
                <w:rFonts w:ascii="Times New Roman" w:hAnsi="Times New Roman"/>
                <w:highlight w:val="none"/>
              </w:rPr>
            </w:pPr>
            <w:r>
              <w:rPr>
                <w:rFonts w:ascii="Times New Roman" w:hAnsi="Times New Roman"/>
                <w:highlight w:val="none"/>
              </w:rPr>
              <w:t>76</w:t>
            </w:r>
          </w:p>
        </w:tc>
      </w:tr>
      <w:tr w14:paraId="59C6A0D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11DB3AC3">
            <w:pPr>
              <w:pStyle w:val="27"/>
              <w:contextualSpacing/>
              <w:rPr>
                <w:rFonts w:ascii="Times New Roman" w:hAnsi="Times New Roman"/>
                <w:highlight w:val="none"/>
              </w:rPr>
            </w:pPr>
            <w:r>
              <w:rPr>
                <w:rFonts w:ascii="Times New Roman" w:hAnsi="Times New Roman"/>
                <w:highlight w:val="none"/>
              </w:rPr>
              <w:t>36</w:t>
            </w:r>
          </w:p>
        </w:tc>
        <w:tc>
          <w:tcPr>
            <w:tcW w:w="1174" w:type="pct"/>
            <w:noWrap w:val="0"/>
            <w:vAlign w:val="center"/>
          </w:tcPr>
          <w:p w14:paraId="2AFCA10C">
            <w:pPr>
              <w:pStyle w:val="27"/>
              <w:contextualSpacing/>
              <w:rPr>
                <w:rFonts w:ascii="Times New Roman" w:hAnsi="Times New Roman"/>
                <w:highlight w:val="none"/>
              </w:rPr>
            </w:pPr>
            <w:r>
              <w:rPr>
                <w:rFonts w:ascii="Times New Roman" w:hAnsi="Times New Roman"/>
                <w:highlight w:val="none"/>
              </w:rPr>
              <w:t>苯胺</w:t>
            </w:r>
          </w:p>
        </w:tc>
        <w:tc>
          <w:tcPr>
            <w:tcW w:w="994" w:type="pct"/>
            <w:noWrap w:val="0"/>
            <w:vAlign w:val="center"/>
          </w:tcPr>
          <w:p w14:paraId="5027C6B1">
            <w:pPr>
              <w:pStyle w:val="27"/>
              <w:contextualSpacing/>
              <w:rPr>
                <w:rFonts w:ascii="Times New Roman" w:hAnsi="Times New Roman"/>
                <w:highlight w:val="none"/>
              </w:rPr>
            </w:pPr>
            <w:r>
              <w:rPr>
                <w:rFonts w:ascii="Times New Roman" w:hAnsi="Times New Roman"/>
                <w:highlight w:val="none"/>
              </w:rPr>
              <w:t>62-53-3</w:t>
            </w:r>
          </w:p>
        </w:tc>
        <w:tc>
          <w:tcPr>
            <w:tcW w:w="1279" w:type="pct"/>
            <w:noWrap w:val="0"/>
            <w:vAlign w:val="center"/>
          </w:tcPr>
          <w:p w14:paraId="6FD1869D">
            <w:pPr>
              <w:pStyle w:val="27"/>
              <w:contextualSpacing/>
              <w:rPr>
                <w:rFonts w:ascii="Times New Roman" w:hAnsi="Times New Roman"/>
                <w:highlight w:val="none"/>
              </w:rPr>
            </w:pPr>
            <w:r>
              <w:rPr>
                <w:rFonts w:ascii="Times New Roman" w:hAnsi="Times New Roman"/>
                <w:highlight w:val="none"/>
              </w:rPr>
              <w:t>92</w:t>
            </w:r>
          </w:p>
        </w:tc>
        <w:tc>
          <w:tcPr>
            <w:tcW w:w="1163" w:type="pct"/>
            <w:noWrap w:val="0"/>
            <w:vAlign w:val="center"/>
          </w:tcPr>
          <w:p w14:paraId="46621304">
            <w:pPr>
              <w:pStyle w:val="27"/>
              <w:contextualSpacing/>
              <w:rPr>
                <w:rFonts w:ascii="Times New Roman" w:hAnsi="Times New Roman"/>
                <w:highlight w:val="none"/>
              </w:rPr>
            </w:pPr>
            <w:r>
              <w:rPr>
                <w:rFonts w:ascii="Times New Roman" w:hAnsi="Times New Roman"/>
                <w:highlight w:val="none"/>
              </w:rPr>
              <w:t>260</w:t>
            </w:r>
          </w:p>
        </w:tc>
      </w:tr>
      <w:tr w14:paraId="49FCB3B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33DBD0C1">
            <w:pPr>
              <w:pStyle w:val="27"/>
              <w:contextualSpacing/>
              <w:rPr>
                <w:rFonts w:ascii="Times New Roman" w:hAnsi="Times New Roman"/>
                <w:highlight w:val="none"/>
              </w:rPr>
            </w:pPr>
            <w:r>
              <w:rPr>
                <w:rFonts w:ascii="Times New Roman" w:hAnsi="Times New Roman"/>
                <w:highlight w:val="none"/>
              </w:rPr>
              <w:t>37</w:t>
            </w:r>
          </w:p>
        </w:tc>
        <w:tc>
          <w:tcPr>
            <w:tcW w:w="1174" w:type="pct"/>
            <w:noWrap w:val="0"/>
            <w:vAlign w:val="center"/>
          </w:tcPr>
          <w:p w14:paraId="147635AC">
            <w:pPr>
              <w:pStyle w:val="27"/>
              <w:contextualSpacing/>
              <w:rPr>
                <w:rFonts w:ascii="Times New Roman" w:hAnsi="Times New Roman"/>
                <w:highlight w:val="none"/>
              </w:rPr>
            </w:pPr>
            <w:r>
              <w:rPr>
                <w:rFonts w:ascii="Times New Roman" w:hAnsi="Times New Roman"/>
                <w:highlight w:val="none"/>
              </w:rPr>
              <w:t>2-氯酚</w:t>
            </w:r>
          </w:p>
        </w:tc>
        <w:tc>
          <w:tcPr>
            <w:tcW w:w="994" w:type="pct"/>
            <w:noWrap w:val="0"/>
            <w:vAlign w:val="center"/>
          </w:tcPr>
          <w:p w14:paraId="22278091">
            <w:pPr>
              <w:pStyle w:val="27"/>
              <w:contextualSpacing/>
              <w:rPr>
                <w:rFonts w:ascii="Times New Roman" w:hAnsi="Times New Roman"/>
                <w:highlight w:val="none"/>
              </w:rPr>
            </w:pPr>
            <w:r>
              <w:rPr>
                <w:rFonts w:ascii="Times New Roman" w:hAnsi="Times New Roman"/>
                <w:highlight w:val="none"/>
              </w:rPr>
              <w:t>95-57-8</w:t>
            </w:r>
          </w:p>
        </w:tc>
        <w:tc>
          <w:tcPr>
            <w:tcW w:w="1279" w:type="pct"/>
            <w:noWrap w:val="0"/>
            <w:vAlign w:val="center"/>
          </w:tcPr>
          <w:p w14:paraId="21BDB13E">
            <w:pPr>
              <w:pStyle w:val="27"/>
              <w:contextualSpacing/>
              <w:rPr>
                <w:rFonts w:ascii="Times New Roman" w:hAnsi="Times New Roman"/>
                <w:highlight w:val="none"/>
              </w:rPr>
            </w:pPr>
            <w:r>
              <w:rPr>
                <w:rFonts w:ascii="Times New Roman" w:hAnsi="Times New Roman"/>
                <w:highlight w:val="none"/>
              </w:rPr>
              <w:t>250</w:t>
            </w:r>
          </w:p>
        </w:tc>
        <w:tc>
          <w:tcPr>
            <w:tcW w:w="1163" w:type="pct"/>
            <w:noWrap w:val="0"/>
            <w:vAlign w:val="center"/>
          </w:tcPr>
          <w:p w14:paraId="45DFB3B5">
            <w:pPr>
              <w:pStyle w:val="27"/>
              <w:contextualSpacing/>
              <w:rPr>
                <w:rFonts w:ascii="Times New Roman" w:hAnsi="Times New Roman"/>
                <w:highlight w:val="none"/>
              </w:rPr>
            </w:pPr>
            <w:r>
              <w:rPr>
                <w:rFonts w:ascii="Times New Roman" w:hAnsi="Times New Roman"/>
                <w:highlight w:val="none"/>
              </w:rPr>
              <w:t>2256</w:t>
            </w:r>
          </w:p>
        </w:tc>
      </w:tr>
      <w:tr w14:paraId="19B7F0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1374F488">
            <w:pPr>
              <w:pStyle w:val="27"/>
              <w:contextualSpacing/>
              <w:rPr>
                <w:rFonts w:ascii="Times New Roman" w:hAnsi="Times New Roman"/>
                <w:highlight w:val="none"/>
              </w:rPr>
            </w:pPr>
            <w:r>
              <w:rPr>
                <w:rFonts w:ascii="Times New Roman" w:hAnsi="Times New Roman"/>
                <w:highlight w:val="none"/>
              </w:rPr>
              <w:t>38</w:t>
            </w:r>
          </w:p>
        </w:tc>
        <w:tc>
          <w:tcPr>
            <w:tcW w:w="1174" w:type="pct"/>
            <w:noWrap w:val="0"/>
            <w:vAlign w:val="center"/>
          </w:tcPr>
          <w:p w14:paraId="38014156">
            <w:pPr>
              <w:pStyle w:val="27"/>
              <w:contextualSpacing/>
              <w:rPr>
                <w:rFonts w:ascii="Times New Roman" w:hAnsi="Times New Roman"/>
                <w:highlight w:val="none"/>
              </w:rPr>
            </w:pPr>
            <w:r>
              <w:rPr>
                <w:rFonts w:ascii="Times New Roman" w:hAnsi="Times New Roman"/>
                <w:highlight w:val="none"/>
              </w:rPr>
              <w:t>苯并[a]蒽</w:t>
            </w:r>
          </w:p>
        </w:tc>
        <w:tc>
          <w:tcPr>
            <w:tcW w:w="994" w:type="pct"/>
            <w:noWrap w:val="0"/>
            <w:vAlign w:val="center"/>
          </w:tcPr>
          <w:p w14:paraId="792137D4">
            <w:pPr>
              <w:pStyle w:val="27"/>
              <w:contextualSpacing/>
              <w:rPr>
                <w:rFonts w:ascii="Times New Roman" w:hAnsi="Times New Roman"/>
                <w:highlight w:val="none"/>
              </w:rPr>
            </w:pPr>
            <w:r>
              <w:rPr>
                <w:rFonts w:ascii="Times New Roman" w:hAnsi="Times New Roman"/>
                <w:highlight w:val="none"/>
              </w:rPr>
              <w:t>56-55-3</w:t>
            </w:r>
          </w:p>
        </w:tc>
        <w:tc>
          <w:tcPr>
            <w:tcW w:w="1279" w:type="pct"/>
            <w:noWrap w:val="0"/>
            <w:vAlign w:val="center"/>
          </w:tcPr>
          <w:p w14:paraId="7562B5D9">
            <w:pPr>
              <w:pStyle w:val="27"/>
              <w:contextualSpacing/>
              <w:rPr>
                <w:rFonts w:ascii="Times New Roman" w:hAnsi="Times New Roman"/>
                <w:highlight w:val="none"/>
              </w:rPr>
            </w:pPr>
            <w:r>
              <w:rPr>
                <w:rFonts w:ascii="Times New Roman" w:hAnsi="Times New Roman"/>
                <w:highlight w:val="none"/>
              </w:rPr>
              <w:t>5.5</w:t>
            </w:r>
          </w:p>
        </w:tc>
        <w:tc>
          <w:tcPr>
            <w:tcW w:w="1163" w:type="pct"/>
            <w:noWrap w:val="0"/>
            <w:vAlign w:val="center"/>
          </w:tcPr>
          <w:p w14:paraId="0F632F3A">
            <w:pPr>
              <w:pStyle w:val="27"/>
              <w:contextualSpacing/>
              <w:rPr>
                <w:rFonts w:ascii="Times New Roman" w:hAnsi="Times New Roman"/>
                <w:highlight w:val="none"/>
              </w:rPr>
            </w:pPr>
            <w:r>
              <w:rPr>
                <w:rFonts w:ascii="Times New Roman" w:hAnsi="Times New Roman"/>
                <w:highlight w:val="none"/>
              </w:rPr>
              <w:t>15</w:t>
            </w:r>
          </w:p>
        </w:tc>
      </w:tr>
      <w:tr w14:paraId="3AA6C19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59A88DAD">
            <w:pPr>
              <w:pStyle w:val="27"/>
              <w:contextualSpacing/>
              <w:rPr>
                <w:rFonts w:ascii="Times New Roman" w:hAnsi="Times New Roman"/>
                <w:highlight w:val="none"/>
              </w:rPr>
            </w:pPr>
            <w:r>
              <w:rPr>
                <w:rFonts w:ascii="Times New Roman" w:hAnsi="Times New Roman"/>
                <w:highlight w:val="none"/>
              </w:rPr>
              <w:t>39</w:t>
            </w:r>
          </w:p>
        </w:tc>
        <w:tc>
          <w:tcPr>
            <w:tcW w:w="1174" w:type="pct"/>
            <w:noWrap w:val="0"/>
            <w:vAlign w:val="center"/>
          </w:tcPr>
          <w:p w14:paraId="5CB3C86E">
            <w:pPr>
              <w:pStyle w:val="27"/>
              <w:contextualSpacing/>
              <w:rPr>
                <w:rFonts w:ascii="Times New Roman" w:hAnsi="Times New Roman"/>
                <w:highlight w:val="none"/>
              </w:rPr>
            </w:pPr>
            <w:r>
              <w:rPr>
                <w:rFonts w:ascii="Times New Roman" w:hAnsi="Times New Roman"/>
                <w:highlight w:val="none"/>
              </w:rPr>
              <w:t>苯并[a]芘</w:t>
            </w:r>
          </w:p>
        </w:tc>
        <w:tc>
          <w:tcPr>
            <w:tcW w:w="994" w:type="pct"/>
            <w:noWrap w:val="0"/>
            <w:vAlign w:val="center"/>
          </w:tcPr>
          <w:p w14:paraId="63EB8AB6">
            <w:pPr>
              <w:pStyle w:val="27"/>
              <w:contextualSpacing/>
              <w:rPr>
                <w:rFonts w:ascii="Times New Roman" w:hAnsi="Times New Roman"/>
                <w:highlight w:val="none"/>
              </w:rPr>
            </w:pPr>
            <w:r>
              <w:rPr>
                <w:rFonts w:ascii="Times New Roman" w:hAnsi="Times New Roman"/>
                <w:highlight w:val="none"/>
              </w:rPr>
              <w:t>50-32-8</w:t>
            </w:r>
          </w:p>
        </w:tc>
        <w:tc>
          <w:tcPr>
            <w:tcW w:w="1279" w:type="pct"/>
            <w:noWrap w:val="0"/>
            <w:vAlign w:val="center"/>
          </w:tcPr>
          <w:p w14:paraId="0C1179BF">
            <w:pPr>
              <w:pStyle w:val="27"/>
              <w:contextualSpacing/>
              <w:rPr>
                <w:rFonts w:ascii="Times New Roman" w:hAnsi="Times New Roman"/>
                <w:highlight w:val="none"/>
              </w:rPr>
            </w:pPr>
            <w:r>
              <w:rPr>
                <w:rFonts w:ascii="Times New Roman" w:hAnsi="Times New Roman"/>
                <w:highlight w:val="none"/>
              </w:rPr>
              <w:t>0.55</w:t>
            </w:r>
          </w:p>
        </w:tc>
        <w:tc>
          <w:tcPr>
            <w:tcW w:w="1163" w:type="pct"/>
            <w:noWrap w:val="0"/>
            <w:vAlign w:val="center"/>
          </w:tcPr>
          <w:p w14:paraId="76F72187">
            <w:pPr>
              <w:pStyle w:val="27"/>
              <w:contextualSpacing/>
              <w:rPr>
                <w:rFonts w:ascii="Times New Roman" w:hAnsi="Times New Roman"/>
                <w:highlight w:val="none"/>
              </w:rPr>
            </w:pPr>
            <w:r>
              <w:rPr>
                <w:rFonts w:ascii="Times New Roman" w:hAnsi="Times New Roman"/>
                <w:highlight w:val="none"/>
              </w:rPr>
              <w:t>1.5</w:t>
            </w:r>
          </w:p>
        </w:tc>
      </w:tr>
      <w:tr w14:paraId="54867F8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538EED27">
            <w:pPr>
              <w:pStyle w:val="27"/>
              <w:contextualSpacing/>
              <w:rPr>
                <w:rFonts w:ascii="Times New Roman" w:hAnsi="Times New Roman"/>
                <w:highlight w:val="none"/>
              </w:rPr>
            </w:pPr>
            <w:r>
              <w:rPr>
                <w:rFonts w:ascii="Times New Roman" w:hAnsi="Times New Roman"/>
                <w:highlight w:val="none"/>
              </w:rPr>
              <w:t>40</w:t>
            </w:r>
          </w:p>
        </w:tc>
        <w:tc>
          <w:tcPr>
            <w:tcW w:w="1174" w:type="pct"/>
            <w:noWrap w:val="0"/>
            <w:vAlign w:val="center"/>
          </w:tcPr>
          <w:p w14:paraId="5D23361F">
            <w:pPr>
              <w:pStyle w:val="27"/>
              <w:contextualSpacing/>
              <w:rPr>
                <w:rFonts w:ascii="Times New Roman" w:hAnsi="Times New Roman"/>
                <w:highlight w:val="none"/>
              </w:rPr>
            </w:pPr>
            <w:r>
              <w:rPr>
                <w:rFonts w:ascii="Times New Roman" w:hAnsi="Times New Roman"/>
                <w:highlight w:val="none"/>
              </w:rPr>
              <w:t>苯并[b]荧蒽</w:t>
            </w:r>
          </w:p>
        </w:tc>
        <w:tc>
          <w:tcPr>
            <w:tcW w:w="994" w:type="pct"/>
            <w:noWrap w:val="0"/>
            <w:vAlign w:val="center"/>
          </w:tcPr>
          <w:p w14:paraId="4A2BF3B1">
            <w:pPr>
              <w:pStyle w:val="27"/>
              <w:contextualSpacing/>
              <w:rPr>
                <w:rFonts w:ascii="Times New Roman" w:hAnsi="Times New Roman"/>
                <w:highlight w:val="none"/>
              </w:rPr>
            </w:pPr>
            <w:r>
              <w:rPr>
                <w:rFonts w:ascii="Times New Roman" w:hAnsi="Times New Roman"/>
                <w:highlight w:val="none"/>
              </w:rPr>
              <w:t>205-99-2</w:t>
            </w:r>
          </w:p>
        </w:tc>
        <w:tc>
          <w:tcPr>
            <w:tcW w:w="1279" w:type="pct"/>
            <w:noWrap w:val="0"/>
            <w:vAlign w:val="center"/>
          </w:tcPr>
          <w:p w14:paraId="36BFB39F">
            <w:pPr>
              <w:pStyle w:val="27"/>
              <w:contextualSpacing/>
              <w:rPr>
                <w:rFonts w:ascii="Times New Roman" w:hAnsi="Times New Roman"/>
                <w:highlight w:val="none"/>
              </w:rPr>
            </w:pPr>
            <w:r>
              <w:rPr>
                <w:rFonts w:ascii="Times New Roman" w:hAnsi="Times New Roman"/>
                <w:highlight w:val="none"/>
              </w:rPr>
              <w:t>5.5</w:t>
            </w:r>
          </w:p>
        </w:tc>
        <w:tc>
          <w:tcPr>
            <w:tcW w:w="1163" w:type="pct"/>
            <w:noWrap w:val="0"/>
            <w:vAlign w:val="center"/>
          </w:tcPr>
          <w:p w14:paraId="03C6605A">
            <w:pPr>
              <w:pStyle w:val="27"/>
              <w:contextualSpacing/>
              <w:rPr>
                <w:rFonts w:ascii="Times New Roman" w:hAnsi="Times New Roman"/>
                <w:highlight w:val="none"/>
              </w:rPr>
            </w:pPr>
            <w:r>
              <w:rPr>
                <w:rFonts w:ascii="Times New Roman" w:hAnsi="Times New Roman"/>
                <w:highlight w:val="none"/>
              </w:rPr>
              <w:t>15</w:t>
            </w:r>
          </w:p>
        </w:tc>
      </w:tr>
      <w:tr w14:paraId="7FBFEFE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4E4E6DAB">
            <w:pPr>
              <w:pStyle w:val="27"/>
              <w:contextualSpacing/>
              <w:rPr>
                <w:rFonts w:ascii="Times New Roman" w:hAnsi="Times New Roman"/>
                <w:highlight w:val="none"/>
              </w:rPr>
            </w:pPr>
            <w:r>
              <w:rPr>
                <w:rFonts w:ascii="Times New Roman" w:hAnsi="Times New Roman"/>
                <w:highlight w:val="none"/>
              </w:rPr>
              <w:t>41</w:t>
            </w:r>
          </w:p>
        </w:tc>
        <w:tc>
          <w:tcPr>
            <w:tcW w:w="1174" w:type="pct"/>
            <w:noWrap w:val="0"/>
            <w:vAlign w:val="center"/>
          </w:tcPr>
          <w:p w14:paraId="732B0100">
            <w:pPr>
              <w:pStyle w:val="27"/>
              <w:contextualSpacing/>
              <w:rPr>
                <w:rFonts w:ascii="Times New Roman" w:hAnsi="Times New Roman"/>
                <w:highlight w:val="none"/>
              </w:rPr>
            </w:pPr>
            <w:r>
              <w:rPr>
                <w:rFonts w:ascii="Times New Roman" w:hAnsi="Times New Roman"/>
                <w:highlight w:val="none"/>
              </w:rPr>
              <w:t>苯并[k]荧蒽</w:t>
            </w:r>
          </w:p>
        </w:tc>
        <w:tc>
          <w:tcPr>
            <w:tcW w:w="994" w:type="pct"/>
            <w:noWrap w:val="0"/>
            <w:vAlign w:val="center"/>
          </w:tcPr>
          <w:p w14:paraId="71C4424A">
            <w:pPr>
              <w:pStyle w:val="27"/>
              <w:contextualSpacing/>
              <w:rPr>
                <w:rFonts w:ascii="Times New Roman" w:hAnsi="Times New Roman"/>
                <w:highlight w:val="none"/>
              </w:rPr>
            </w:pPr>
            <w:r>
              <w:rPr>
                <w:rFonts w:ascii="Times New Roman" w:hAnsi="Times New Roman"/>
                <w:highlight w:val="none"/>
              </w:rPr>
              <w:t>207-08-9</w:t>
            </w:r>
          </w:p>
        </w:tc>
        <w:tc>
          <w:tcPr>
            <w:tcW w:w="1279" w:type="pct"/>
            <w:noWrap w:val="0"/>
            <w:vAlign w:val="center"/>
          </w:tcPr>
          <w:p w14:paraId="477DCB5E">
            <w:pPr>
              <w:pStyle w:val="27"/>
              <w:contextualSpacing/>
              <w:rPr>
                <w:rFonts w:ascii="Times New Roman" w:hAnsi="Times New Roman"/>
                <w:highlight w:val="none"/>
              </w:rPr>
            </w:pPr>
            <w:r>
              <w:rPr>
                <w:rFonts w:ascii="Times New Roman" w:hAnsi="Times New Roman"/>
                <w:highlight w:val="none"/>
              </w:rPr>
              <w:t>55</w:t>
            </w:r>
          </w:p>
        </w:tc>
        <w:tc>
          <w:tcPr>
            <w:tcW w:w="1163" w:type="pct"/>
            <w:noWrap w:val="0"/>
            <w:vAlign w:val="center"/>
          </w:tcPr>
          <w:p w14:paraId="0ADFE199">
            <w:pPr>
              <w:pStyle w:val="27"/>
              <w:contextualSpacing/>
              <w:rPr>
                <w:rFonts w:ascii="Times New Roman" w:hAnsi="Times New Roman"/>
                <w:highlight w:val="none"/>
              </w:rPr>
            </w:pPr>
            <w:r>
              <w:rPr>
                <w:rFonts w:ascii="Times New Roman" w:hAnsi="Times New Roman"/>
                <w:highlight w:val="none"/>
              </w:rPr>
              <w:t>151</w:t>
            </w:r>
          </w:p>
        </w:tc>
      </w:tr>
      <w:tr w14:paraId="0BB0D7C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6B77832D">
            <w:pPr>
              <w:pStyle w:val="27"/>
              <w:contextualSpacing/>
              <w:rPr>
                <w:rFonts w:ascii="Times New Roman" w:hAnsi="Times New Roman"/>
                <w:highlight w:val="none"/>
              </w:rPr>
            </w:pPr>
            <w:r>
              <w:rPr>
                <w:rFonts w:ascii="Times New Roman" w:hAnsi="Times New Roman"/>
                <w:highlight w:val="none"/>
              </w:rPr>
              <w:t>42</w:t>
            </w:r>
          </w:p>
        </w:tc>
        <w:tc>
          <w:tcPr>
            <w:tcW w:w="1174" w:type="pct"/>
            <w:noWrap w:val="0"/>
            <w:vAlign w:val="center"/>
          </w:tcPr>
          <w:p w14:paraId="6CF5A2A0">
            <w:pPr>
              <w:pStyle w:val="27"/>
              <w:contextualSpacing/>
              <w:rPr>
                <w:rFonts w:ascii="Times New Roman" w:hAnsi="Times New Roman"/>
                <w:highlight w:val="none"/>
              </w:rPr>
            </w:pPr>
            <w:r>
              <w:rPr>
                <w:rFonts w:ascii="Times New Roman" w:hAnsi="Times New Roman"/>
                <w:highlight w:val="none"/>
              </w:rPr>
              <w:t>䓛</w:t>
            </w:r>
          </w:p>
        </w:tc>
        <w:tc>
          <w:tcPr>
            <w:tcW w:w="994" w:type="pct"/>
            <w:noWrap w:val="0"/>
            <w:vAlign w:val="center"/>
          </w:tcPr>
          <w:p w14:paraId="7FFFE093">
            <w:pPr>
              <w:pStyle w:val="27"/>
              <w:contextualSpacing/>
              <w:rPr>
                <w:rFonts w:ascii="Times New Roman" w:hAnsi="Times New Roman"/>
                <w:highlight w:val="none"/>
              </w:rPr>
            </w:pPr>
            <w:r>
              <w:rPr>
                <w:rFonts w:ascii="Times New Roman" w:hAnsi="Times New Roman"/>
                <w:highlight w:val="none"/>
              </w:rPr>
              <w:t>218-01-9</w:t>
            </w:r>
          </w:p>
        </w:tc>
        <w:tc>
          <w:tcPr>
            <w:tcW w:w="1279" w:type="pct"/>
            <w:noWrap w:val="0"/>
            <w:vAlign w:val="center"/>
          </w:tcPr>
          <w:p w14:paraId="21896F2B">
            <w:pPr>
              <w:pStyle w:val="27"/>
              <w:contextualSpacing/>
              <w:rPr>
                <w:rFonts w:ascii="Times New Roman" w:hAnsi="Times New Roman"/>
                <w:highlight w:val="none"/>
              </w:rPr>
            </w:pPr>
            <w:r>
              <w:rPr>
                <w:rFonts w:ascii="Times New Roman" w:hAnsi="Times New Roman"/>
                <w:highlight w:val="none"/>
              </w:rPr>
              <w:t>490</w:t>
            </w:r>
          </w:p>
        </w:tc>
        <w:tc>
          <w:tcPr>
            <w:tcW w:w="1163" w:type="pct"/>
            <w:noWrap w:val="0"/>
            <w:vAlign w:val="center"/>
          </w:tcPr>
          <w:p w14:paraId="15E32F90">
            <w:pPr>
              <w:pStyle w:val="27"/>
              <w:contextualSpacing/>
              <w:rPr>
                <w:rFonts w:ascii="Times New Roman" w:hAnsi="Times New Roman"/>
                <w:highlight w:val="none"/>
              </w:rPr>
            </w:pPr>
            <w:r>
              <w:rPr>
                <w:rFonts w:ascii="Times New Roman" w:hAnsi="Times New Roman"/>
                <w:highlight w:val="none"/>
              </w:rPr>
              <w:t>1293</w:t>
            </w:r>
          </w:p>
        </w:tc>
      </w:tr>
      <w:tr w14:paraId="2B63C1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36EDC18D">
            <w:pPr>
              <w:pStyle w:val="27"/>
              <w:contextualSpacing/>
              <w:rPr>
                <w:rFonts w:ascii="Times New Roman" w:hAnsi="Times New Roman"/>
                <w:highlight w:val="none"/>
              </w:rPr>
            </w:pPr>
            <w:r>
              <w:rPr>
                <w:rFonts w:ascii="Times New Roman" w:hAnsi="Times New Roman"/>
                <w:highlight w:val="none"/>
              </w:rPr>
              <w:t>43</w:t>
            </w:r>
          </w:p>
        </w:tc>
        <w:tc>
          <w:tcPr>
            <w:tcW w:w="1174" w:type="pct"/>
            <w:noWrap w:val="0"/>
            <w:vAlign w:val="center"/>
          </w:tcPr>
          <w:p w14:paraId="321B6C2F">
            <w:pPr>
              <w:pStyle w:val="27"/>
              <w:contextualSpacing/>
              <w:rPr>
                <w:rFonts w:ascii="Times New Roman" w:hAnsi="Times New Roman"/>
                <w:highlight w:val="none"/>
              </w:rPr>
            </w:pPr>
            <w:r>
              <w:rPr>
                <w:rFonts w:ascii="Times New Roman" w:hAnsi="Times New Roman"/>
                <w:highlight w:val="none"/>
              </w:rPr>
              <w:t>二苯并[a, h]蒽</w:t>
            </w:r>
          </w:p>
        </w:tc>
        <w:tc>
          <w:tcPr>
            <w:tcW w:w="994" w:type="pct"/>
            <w:noWrap w:val="0"/>
            <w:vAlign w:val="center"/>
          </w:tcPr>
          <w:p w14:paraId="00709833">
            <w:pPr>
              <w:pStyle w:val="27"/>
              <w:contextualSpacing/>
              <w:rPr>
                <w:rFonts w:ascii="Times New Roman" w:hAnsi="Times New Roman"/>
                <w:highlight w:val="none"/>
              </w:rPr>
            </w:pPr>
            <w:r>
              <w:rPr>
                <w:rFonts w:ascii="Times New Roman" w:hAnsi="Times New Roman"/>
                <w:highlight w:val="none"/>
              </w:rPr>
              <w:t>53-70-3</w:t>
            </w:r>
          </w:p>
        </w:tc>
        <w:tc>
          <w:tcPr>
            <w:tcW w:w="1279" w:type="pct"/>
            <w:noWrap w:val="0"/>
            <w:vAlign w:val="center"/>
          </w:tcPr>
          <w:p w14:paraId="040D31E8">
            <w:pPr>
              <w:pStyle w:val="27"/>
              <w:contextualSpacing/>
              <w:rPr>
                <w:rFonts w:ascii="Times New Roman" w:hAnsi="Times New Roman"/>
                <w:highlight w:val="none"/>
              </w:rPr>
            </w:pPr>
            <w:r>
              <w:rPr>
                <w:rFonts w:ascii="Times New Roman" w:hAnsi="Times New Roman"/>
                <w:highlight w:val="none"/>
              </w:rPr>
              <w:t>0.55</w:t>
            </w:r>
          </w:p>
        </w:tc>
        <w:tc>
          <w:tcPr>
            <w:tcW w:w="1163" w:type="pct"/>
            <w:noWrap w:val="0"/>
            <w:vAlign w:val="center"/>
          </w:tcPr>
          <w:p w14:paraId="24AAC174">
            <w:pPr>
              <w:pStyle w:val="27"/>
              <w:contextualSpacing/>
              <w:rPr>
                <w:rFonts w:ascii="Times New Roman" w:hAnsi="Times New Roman"/>
                <w:highlight w:val="none"/>
              </w:rPr>
            </w:pPr>
            <w:r>
              <w:rPr>
                <w:rFonts w:ascii="Times New Roman" w:hAnsi="Times New Roman"/>
                <w:highlight w:val="none"/>
              </w:rPr>
              <w:t>1.5</w:t>
            </w:r>
          </w:p>
        </w:tc>
      </w:tr>
      <w:tr w14:paraId="6CE0A1C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65" w:hRule="atLeast"/>
          <w:jc w:val="center"/>
        </w:trPr>
        <w:tc>
          <w:tcPr>
            <w:tcW w:w="390" w:type="pct"/>
            <w:noWrap w:val="0"/>
            <w:vAlign w:val="center"/>
          </w:tcPr>
          <w:p w14:paraId="62E95008">
            <w:pPr>
              <w:pStyle w:val="27"/>
              <w:contextualSpacing/>
              <w:rPr>
                <w:rFonts w:ascii="Times New Roman" w:hAnsi="Times New Roman"/>
                <w:highlight w:val="none"/>
              </w:rPr>
            </w:pPr>
            <w:r>
              <w:rPr>
                <w:rFonts w:ascii="Times New Roman" w:hAnsi="Times New Roman"/>
                <w:highlight w:val="none"/>
              </w:rPr>
              <w:t>44</w:t>
            </w:r>
          </w:p>
        </w:tc>
        <w:tc>
          <w:tcPr>
            <w:tcW w:w="1174" w:type="pct"/>
            <w:noWrap w:val="0"/>
            <w:vAlign w:val="center"/>
          </w:tcPr>
          <w:p w14:paraId="24134A31">
            <w:pPr>
              <w:pStyle w:val="27"/>
              <w:contextualSpacing/>
              <w:rPr>
                <w:rFonts w:ascii="Times New Roman" w:hAnsi="Times New Roman"/>
                <w:highlight w:val="none"/>
              </w:rPr>
            </w:pPr>
            <w:r>
              <w:rPr>
                <w:rFonts w:ascii="Times New Roman" w:hAnsi="Times New Roman"/>
                <w:highlight w:val="none"/>
              </w:rPr>
              <w:t>茚并[1,2,3-cd]芘</w:t>
            </w:r>
          </w:p>
        </w:tc>
        <w:tc>
          <w:tcPr>
            <w:tcW w:w="994" w:type="pct"/>
            <w:noWrap w:val="0"/>
            <w:vAlign w:val="center"/>
          </w:tcPr>
          <w:p w14:paraId="2257A5DF">
            <w:pPr>
              <w:pStyle w:val="27"/>
              <w:contextualSpacing/>
              <w:rPr>
                <w:rFonts w:ascii="Times New Roman" w:hAnsi="Times New Roman"/>
                <w:highlight w:val="none"/>
              </w:rPr>
            </w:pPr>
            <w:r>
              <w:rPr>
                <w:rFonts w:ascii="Times New Roman" w:hAnsi="Times New Roman"/>
                <w:highlight w:val="none"/>
              </w:rPr>
              <w:t>193-39-5</w:t>
            </w:r>
          </w:p>
        </w:tc>
        <w:tc>
          <w:tcPr>
            <w:tcW w:w="1279" w:type="pct"/>
            <w:noWrap w:val="0"/>
            <w:vAlign w:val="center"/>
          </w:tcPr>
          <w:p w14:paraId="5D1DBAE3">
            <w:pPr>
              <w:pStyle w:val="27"/>
              <w:contextualSpacing/>
              <w:rPr>
                <w:rFonts w:ascii="Times New Roman" w:hAnsi="Times New Roman"/>
                <w:highlight w:val="none"/>
              </w:rPr>
            </w:pPr>
            <w:r>
              <w:rPr>
                <w:rFonts w:ascii="Times New Roman" w:hAnsi="Times New Roman"/>
                <w:highlight w:val="none"/>
              </w:rPr>
              <w:t>5.5</w:t>
            </w:r>
          </w:p>
        </w:tc>
        <w:tc>
          <w:tcPr>
            <w:tcW w:w="1163" w:type="pct"/>
            <w:noWrap w:val="0"/>
            <w:vAlign w:val="center"/>
          </w:tcPr>
          <w:p w14:paraId="1046B91A">
            <w:pPr>
              <w:pStyle w:val="27"/>
              <w:contextualSpacing/>
              <w:rPr>
                <w:rFonts w:ascii="Times New Roman" w:hAnsi="Times New Roman"/>
                <w:highlight w:val="none"/>
              </w:rPr>
            </w:pPr>
            <w:r>
              <w:rPr>
                <w:rFonts w:ascii="Times New Roman" w:hAnsi="Times New Roman"/>
                <w:highlight w:val="none"/>
              </w:rPr>
              <w:t>15</w:t>
            </w:r>
          </w:p>
        </w:tc>
      </w:tr>
      <w:tr w14:paraId="26340E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90" w:type="pct"/>
            <w:noWrap w:val="0"/>
            <w:vAlign w:val="center"/>
          </w:tcPr>
          <w:p w14:paraId="4B616BDB">
            <w:pPr>
              <w:pStyle w:val="27"/>
              <w:contextualSpacing/>
              <w:rPr>
                <w:rFonts w:ascii="Times New Roman" w:hAnsi="Times New Roman"/>
                <w:highlight w:val="none"/>
              </w:rPr>
            </w:pPr>
            <w:r>
              <w:rPr>
                <w:rFonts w:ascii="Times New Roman" w:hAnsi="Times New Roman"/>
                <w:highlight w:val="none"/>
              </w:rPr>
              <w:t>45</w:t>
            </w:r>
          </w:p>
        </w:tc>
        <w:tc>
          <w:tcPr>
            <w:tcW w:w="1174" w:type="pct"/>
            <w:noWrap w:val="0"/>
            <w:vAlign w:val="center"/>
          </w:tcPr>
          <w:p w14:paraId="1942D311">
            <w:pPr>
              <w:pStyle w:val="27"/>
              <w:contextualSpacing/>
              <w:rPr>
                <w:rFonts w:ascii="Times New Roman" w:hAnsi="Times New Roman"/>
                <w:highlight w:val="none"/>
              </w:rPr>
            </w:pPr>
            <w:r>
              <w:rPr>
                <w:rFonts w:ascii="Times New Roman" w:hAnsi="Times New Roman"/>
                <w:highlight w:val="none"/>
              </w:rPr>
              <w:t>萘</w:t>
            </w:r>
          </w:p>
        </w:tc>
        <w:tc>
          <w:tcPr>
            <w:tcW w:w="994" w:type="pct"/>
            <w:noWrap w:val="0"/>
            <w:vAlign w:val="center"/>
          </w:tcPr>
          <w:p w14:paraId="5609C482">
            <w:pPr>
              <w:pStyle w:val="27"/>
              <w:contextualSpacing/>
              <w:rPr>
                <w:rFonts w:ascii="Times New Roman" w:hAnsi="Times New Roman"/>
                <w:highlight w:val="none"/>
              </w:rPr>
            </w:pPr>
            <w:r>
              <w:rPr>
                <w:rFonts w:ascii="Times New Roman" w:hAnsi="Times New Roman"/>
                <w:highlight w:val="none"/>
              </w:rPr>
              <w:t>91-20-3</w:t>
            </w:r>
          </w:p>
        </w:tc>
        <w:tc>
          <w:tcPr>
            <w:tcW w:w="1279" w:type="pct"/>
            <w:noWrap w:val="0"/>
            <w:vAlign w:val="center"/>
          </w:tcPr>
          <w:p w14:paraId="3CC6A9BB">
            <w:pPr>
              <w:pStyle w:val="27"/>
              <w:contextualSpacing/>
              <w:rPr>
                <w:rFonts w:ascii="Times New Roman" w:hAnsi="Times New Roman"/>
                <w:highlight w:val="none"/>
              </w:rPr>
            </w:pPr>
            <w:r>
              <w:rPr>
                <w:rFonts w:ascii="Times New Roman" w:hAnsi="Times New Roman"/>
                <w:highlight w:val="none"/>
              </w:rPr>
              <w:t>25</w:t>
            </w:r>
          </w:p>
        </w:tc>
        <w:tc>
          <w:tcPr>
            <w:tcW w:w="1163" w:type="pct"/>
            <w:noWrap w:val="0"/>
            <w:vAlign w:val="center"/>
          </w:tcPr>
          <w:p w14:paraId="0F7D2DB1">
            <w:pPr>
              <w:pStyle w:val="27"/>
              <w:contextualSpacing/>
              <w:rPr>
                <w:rFonts w:ascii="Times New Roman" w:hAnsi="Times New Roman"/>
                <w:highlight w:val="none"/>
              </w:rPr>
            </w:pPr>
            <w:r>
              <w:rPr>
                <w:rFonts w:ascii="Times New Roman" w:hAnsi="Times New Roman"/>
                <w:highlight w:val="none"/>
              </w:rPr>
              <w:t>70</w:t>
            </w:r>
          </w:p>
        </w:tc>
      </w:tr>
    </w:tbl>
    <w:p w14:paraId="11F1C473">
      <w:pPr>
        <w:ind w:firstLine="480"/>
        <w:rPr>
          <w:rFonts w:ascii="Times New Roman" w:hAnsi="Times New Roman"/>
          <w:highlight w:val="none"/>
        </w:rPr>
      </w:pPr>
      <w:r>
        <w:rPr>
          <w:rFonts w:ascii="Times New Roman" w:hAnsi="Times New Roman"/>
          <w:highlight w:val="none"/>
        </w:rPr>
        <w:t>（2）污染物排放标准</w:t>
      </w:r>
    </w:p>
    <w:p w14:paraId="0074F2BD">
      <w:pPr>
        <w:ind w:firstLine="480"/>
        <w:rPr>
          <w:rFonts w:ascii="Times New Roman" w:hAnsi="Times New Roman"/>
          <w:highlight w:val="none"/>
        </w:rPr>
      </w:pPr>
      <w:r>
        <w:rPr>
          <w:rFonts w:ascii="Times New Roman" w:hAnsi="Times New Roman"/>
          <w:highlight w:val="none"/>
        </w:rPr>
        <w:t>1、大气污染物排放标准</w:t>
      </w:r>
    </w:p>
    <w:p w14:paraId="7A551F94">
      <w:pPr>
        <w:ind w:firstLine="480"/>
        <w:rPr>
          <w:rFonts w:ascii="Times New Roman" w:hAnsi="Times New Roman"/>
          <w:highlight w:val="none"/>
        </w:rPr>
      </w:pPr>
      <w:r>
        <w:rPr>
          <w:rFonts w:hint="eastAsia" w:ascii="Times New Roman" w:hAnsi="Times New Roman"/>
          <w:highlight w:val="none"/>
        </w:rPr>
        <w:t>根据《</w:t>
      </w:r>
      <w:r>
        <w:rPr>
          <w:rFonts w:hint="eastAsia" w:ascii="Times New Roman" w:hAnsi="Times New Roman"/>
          <w:highlight w:val="none"/>
          <w:lang w:val="en-US" w:eastAsia="zh-CN"/>
        </w:rPr>
        <w:t>黑龙江省空气质量持续改善行动计划实施方案</w:t>
      </w:r>
      <w:r>
        <w:rPr>
          <w:rFonts w:hint="eastAsia" w:ascii="Times New Roman" w:hAnsi="Times New Roman"/>
          <w:highlight w:val="none"/>
        </w:rPr>
        <w:t>》</w:t>
      </w:r>
      <w:r>
        <w:rPr>
          <w:rFonts w:hint="eastAsia" w:ascii="Times New Roman" w:hAnsi="Times New Roman"/>
          <w:highlight w:val="none"/>
          <w:lang w:val="en-US" w:eastAsia="zh-CN"/>
        </w:rPr>
        <w:t>中要求2025年底实现超低改造</w:t>
      </w:r>
      <w:r>
        <w:rPr>
          <w:rFonts w:hint="eastAsia" w:ascii="Times New Roman" w:hAnsi="Times New Roman"/>
          <w:highlight w:val="none"/>
        </w:rPr>
        <w:t>，</w:t>
      </w:r>
      <w:r>
        <w:rPr>
          <w:rFonts w:ascii="Times New Roman" w:hAnsi="Times New Roman"/>
          <w:highlight w:val="none"/>
        </w:rPr>
        <w:t>本项目锅炉烟气中排放的烟尘、SO</w:t>
      </w:r>
      <w:r>
        <w:rPr>
          <w:rFonts w:ascii="Times New Roman" w:hAnsi="Times New Roman"/>
          <w:highlight w:val="none"/>
          <w:vertAlign w:val="subscript"/>
        </w:rPr>
        <w:t>2</w:t>
      </w:r>
      <w:r>
        <w:rPr>
          <w:rFonts w:ascii="Times New Roman" w:hAnsi="Times New Roman"/>
          <w:highlight w:val="none"/>
        </w:rPr>
        <w:t>、NOx</w:t>
      </w:r>
      <w:r>
        <w:rPr>
          <w:rFonts w:hint="eastAsia" w:ascii="Times New Roman" w:hAnsi="Times New Roman"/>
          <w:sz w:val="24"/>
          <w:highlight w:val="none"/>
          <w:lang w:val="en-US" w:eastAsia="zh-CN"/>
        </w:rPr>
        <w:t>执行</w:t>
      </w:r>
      <w:r>
        <w:rPr>
          <w:rFonts w:ascii="Times New Roman" w:hAnsi="Times New Roman" w:cs="Times New Roman"/>
          <w:sz w:val="24"/>
          <w:highlight w:val="none"/>
          <w:lang w:val="en-US"/>
        </w:rPr>
        <w:t>超低排放标准</w:t>
      </w:r>
      <w:r>
        <w:rPr>
          <w:rFonts w:hint="eastAsia" w:ascii="Times New Roman" w:hAnsi="Times New Roman"/>
          <w:highlight w:val="none"/>
        </w:rPr>
        <w:t>；</w:t>
      </w:r>
      <w:r>
        <w:rPr>
          <w:rFonts w:ascii="Times New Roman" w:hAnsi="Times New Roman"/>
          <w:highlight w:val="none"/>
        </w:rPr>
        <w:t>烟气黑度、汞及其化合物执行</w:t>
      </w:r>
      <w:r>
        <w:rPr>
          <w:rFonts w:hint="eastAsia" w:ascii="Times New Roman" w:hAnsi="Times New Roman"/>
          <w:color w:val="auto"/>
          <w:highlight w:val="none"/>
        </w:rPr>
        <w:t>《火电厂大气污染物排放标准》(GB13223-2011)表1中燃煤锅炉大气污染物排放标准</w:t>
      </w:r>
      <w:r>
        <w:rPr>
          <w:rFonts w:hint="eastAsia" w:ascii="Times New Roman" w:hAnsi="Times New Roman"/>
          <w:color w:val="auto"/>
          <w:highlight w:val="none"/>
          <w:lang w:eastAsia="zh-CN"/>
        </w:rPr>
        <w:t>；</w:t>
      </w:r>
      <w:r>
        <w:rPr>
          <w:rFonts w:hint="eastAsia" w:ascii="Times New Roman" w:hAnsi="Times New Roman"/>
          <w:color w:val="auto"/>
          <w:highlight w:val="none"/>
          <w:lang w:val="en-US" w:eastAsia="zh-CN"/>
        </w:rPr>
        <w:t>碎煤机室排放的颗粒物执行《大气污染物综合排放标准》(GB16297-1996）表2中二级标准限值，本项目排气筒按高度对应的表列排放速率标准值严格50%执行；</w:t>
      </w:r>
      <w:r>
        <w:rPr>
          <w:rFonts w:ascii="Times New Roman" w:hAnsi="Times New Roman"/>
          <w:highlight w:val="none"/>
        </w:rPr>
        <w:t>厂界颗粒物执行《大气污染物综合排放标准》（GB16297-1996）表2无组织排放监控浓度限值；</w:t>
      </w:r>
      <w:r>
        <w:rPr>
          <w:rFonts w:hint="eastAsia" w:ascii="Times New Roman" w:hAnsi="Times New Roman"/>
          <w:highlight w:val="none"/>
          <w:lang w:val="en-US" w:eastAsia="zh-CN"/>
        </w:rPr>
        <w:t>氨</w:t>
      </w:r>
      <w:r>
        <w:rPr>
          <w:rFonts w:hint="eastAsia" w:ascii="Times New Roman" w:hAnsi="Times New Roman"/>
          <w:highlight w:val="none"/>
        </w:rPr>
        <w:t>厂界排放浓度满足《恶臭污染物排放标准》（GB14554-93）表1 恶臭污染物厂界二级标准值要求。锅炉烟气处理过程逃逸氨满足《火电厂氮氧化物防治技术政策》（环发〔2010〕10号）中规定：SNCR-SCR氨逃逸控制在2.5mg/m</w:t>
      </w:r>
      <w:r>
        <w:rPr>
          <w:rFonts w:hint="eastAsia" w:ascii="Times New Roman" w:hAnsi="Times New Roman"/>
          <w:highlight w:val="none"/>
          <w:vertAlign w:val="superscript"/>
        </w:rPr>
        <w:t>3</w:t>
      </w:r>
      <w:r>
        <w:rPr>
          <w:rFonts w:hint="eastAsia" w:ascii="Times New Roman" w:hAnsi="Times New Roman"/>
          <w:highlight w:val="none"/>
        </w:rPr>
        <w:t>（干基，标准状态）以下。</w:t>
      </w:r>
      <w:r>
        <w:rPr>
          <w:rFonts w:ascii="Times New Roman" w:hAnsi="Times New Roman"/>
          <w:highlight w:val="none"/>
        </w:rPr>
        <w:t>具体标准限值见表2.3-</w:t>
      </w:r>
      <w:r>
        <w:rPr>
          <w:rFonts w:hint="eastAsia" w:ascii="Times New Roman" w:hAnsi="Times New Roman"/>
          <w:highlight w:val="none"/>
        </w:rPr>
        <w:t>9</w:t>
      </w:r>
      <w:r>
        <w:rPr>
          <w:rFonts w:ascii="Times New Roman" w:hAnsi="Times New Roman"/>
          <w:highlight w:val="none"/>
        </w:rPr>
        <w:t>。</w:t>
      </w:r>
    </w:p>
    <w:p w14:paraId="36CB357A">
      <w:pPr>
        <w:ind w:firstLine="0" w:firstLineChars="0"/>
        <w:jc w:val="center"/>
        <w:rPr>
          <w:rFonts w:ascii="Times New Roman" w:hAnsi="Times New Roman"/>
          <w:highlight w:val="none"/>
        </w:rPr>
      </w:pPr>
    </w:p>
    <w:p w14:paraId="06F07851">
      <w:pPr>
        <w:keepNext w:val="0"/>
        <w:keepLines w:val="0"/>
        <w:pageBreakBefore w:val="0"/>
        <w:widowControl w:val="0"/>
        <w:kinsoku/>
        <w:wordWrap/>
        <w:overflowPunct/>
        <w:topLinePunct w:val="0"/>
        <w:bidi w:val="0"/>
        <w:snapToGrid/>
        <w:spacing w:line="480" w:lineRule="exact"/>
        <w:jc w:val="center"/>
        <w:textAlignment w:val="auto"/>
        <w:rPr>
          <w:rFonts w:hint="default" w:ascii="Times New Roman" w:hAnsi="Times New Roman" w:eastAsia="黑体" w:cs="Times New Roman"/>
          <w:color w:val="auto"/>
          <w:spacing w:val="0"/>
          <w:sz w:val="24"/>
          <w:szCs w:val="24"/>
          <w:highlight w:val="none"/>
        </w:rPr>
      </w:pPr>
      <w:r>
        <w:rPr>
          <w:rFonts w:hint="default" w:ascii="Times New Roman" w:hAnsi="Times New Roman" w:eastAsia="黑体" w:cs="Times New Roman"/>
          <w:color w:val="auto"/>
          <w:spacing w:val="0"/>
          <w:sz w:val="24"/>
          <w:szCs w:val="24"/>
          <w:highlight w:val="none"/>
        </w:rPr>
        <w:t>表2.3-</w:t>
      </w:r>
      <w:r>
        <w:rPr>
          <w:rFonts w:hint="eastAsia" w:ascii="Times New Roman" w:hAnsi="Times New Roman" w:eastAsia="黑体" w:cs="Times New Roman"/>
          <w:color w:val="auto"/>
          <w:spacing w:val="0"/>
          <w:sz w:val="24"/>
          <w:szCs w:val="24"/>
          <w:highlight w:val="none"/>
        </w:rPr>
        <w:t>9</w:t>
      </w:r>
      <w:r>
        <w:rPr>
          <w:rFonts w:hint="default" w:ascii="Times New Roman" w:hAnsi="Times New Roman" w:eastAsia="黑体" w:cs="Times New Roman"/>
          <w:color w:val="auto"/>
          <w:spacing w:val="0"/>
          <w:sz w:val="24"/>
          <w:szCs w:val="24"/>
          <w:highlight w:val="none"/>
        </w:rPr>
        <w:t>废气污染物排放标准值摘录</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58"/>
        <w:gridCol w:w="1703"/>
        <w:gridCol w:w="849"/>
        <w:gridCol w:w="1132"/>
        <w:gridCol w:w="3880"/>
      </w:tblGrid>
      <w:tr w14:paraId="1EB9339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62" w:type="pct"/>
            <w:noWrap w:val="0"/>
            <w:vAlign w:val="center"/>
          </w:tcPr>
          <w:p w14:paraId="4F1C4795">
            <w:pPr>
              <w:pStyle w:val="27"/>
              <w:rPr>
                <w:rFonts w:ascii="Times New Roman" w:hAnsi="Times New Roman"/>
                <w:highlight w:val="none"/>
              </w:rPr>
            </w:pPr>
            <w:r>
              <w:rPr>
                <w:rFonts w:ascii="Times New Roman" w:hAnsi="Times New Roman"/>
                <w:highlight w:val="none"/>
              </w:rPr>
              <w:t>污染源类型</w:t>
            </w:r>
          </w:p>
        </w:tc>
        <w:tc>
          <w:tcPr>
            <w:tcW w:w="999" w:type="pct"/>
            <w:noWrap w:val="0"/>
            <w:vAlign w:val="center"/>
          </w:tcPr>
          <w:p w14:paraId="1EEEFA31">
            <w:pPr>
              <w:pStyle w:val="27"/>
              <w:rPr>
                <w:rFonts w:ascii="Times New Roman" w:hAnsi="Times New Roman"/>
                <w:highlight w:val="none"/>
              </w:rPr>
            </w:pPr>
            <w:r>
              <w:rPr>
                <w:rFonts w:ascii="Times New Roman" w:hAnsi="Times New Roman"/>
                <w:highlight w:val="none"/>
              </w:rPr>
              <w:t>污染物</w:t>
            </w:r>
          </w:p>
        </w:tc>
        <w:tc>
          <w:tcPr>
            <w:tcW w:w="498" w:type="pct"/>
            <w:noWrap w:val="0"/>
            <w:vAlign w:val="center"/>
          </w:tcPr>
          <w:p w14:paraId="1606053E">
            <w:pPr>
              <w:pStyle w:val="27"/>
              <w:rPr>
                <w:rFonts w:ascii="Times New Roman" w:hAnsi="Times New Roman"/>
                <w:highlight w:val="none"/>
              </w:rPr>
            </w:pPr>
            <w:r>
              <w:rPr>
                <w:rFonts w:ascii="Times New Roman" w:hAnsi="Times New Roman"/>
                <w:highlight w:val="none"/>
              </w:rPr>
              <w:t>单位</w:t>
            </w:r>
          </w:p>
        </w:tc>
        <w:tc>
          <w:tcPr>
            <w:tcW w:w="664" w:type="pct"/>
            <w:noWrap w:val="0"/>
            <w:vAlign w:val="center"/>
          </w:tcPr>
          <w:p w14:paraId="4DDBC7FA">
            <w:pPr>
              <w:pStyle w:val="27"/>
              <w:rPr>
                <w:rFonts w:ascii="Times New Roman" w:hAnsi="Times New Roman"/>
                <w:highlight w:val="none"/>
              </w:rPr>
            </w:pPr>
            <w:r>
              <w:rPr>
                <w:rFonts w:ascii="Times New Roman" w:hAnsi="Times New Roman"/>
                <w:highlight w:val="none"/>
              </w:rPr>
              <w:t>标准限值</w:t>
            </w:r>
          </w:p>
        </w:tc>
        <w:tc>
          <w:tcPr>
            <w:tcW w:w="2276" w:type="pct"/>
            <w:tcBorders>
              <w:bottom w:val="single" w:color="auto" w:sz="2" w:space="0"/>
            </w:tcBorders>
            <w:noWrap w:val="0"/>
            <w:vAlign w:val="center"/>
          </w:tcPr>
          <w:p w14:paraId="6E31FCF1">
            <w:pPr>
              <w:pStyle w:val="27"/>
              <w:rPr>
                <w:rFonts w:ascii="Times New Roman" w:hAnsi="Times New Roman"/>
                <w:highlight w:val="none"/>
              </w:rPr>
            </w:pPr>
            <w:r>
              <w:rPr>
                <w:rFonts w:ascii="Times New Roman" w:hAnsi="Times New Roman"/>
                <w:highlight w:val="none"/>
              </w:rPr>
              <w:t>标准来源</w:t>
            </w:r>
          </w:p>
        </w:tc>
      </w:tr>
      <w:tr w14:paraId="4EBC8FB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62" w:type="pct"/>
            <w:vMerge w:val="restart"/>
            <w:noWrap w:val="0"/>
            <w:vAlign w:val="center"/>
          </w:tcPr>
          <w:p w14:paraId="0A6DD270">
            <w:pPr>
              <w:pStyle w:val="27"/>
              <w:rPr>
                <w:rFonts w:hint="eastAsia" w:ascii="Times New Roman" w:hAnsi="Times New Roman" w:eastAsia="新宋体"/>
                <w:highlight w:val="none"/>
                <w:lang w:eastAsia="zh-CN"/>
              </w:rPr>
            </w:pPr>
            <w:r>
              <w:rPr>
                <w:rFonts w:hint="eastAsia" w:ascii="Times New Roman" w:hAnsi="Times New Roman"/>
                <w:highlight w:val="none"/>
              </w:rPr>
              <w:t>有组织</w:t>
            </w:r>
            <w:r>
              <w:rPr>
                <w:rFonts w:hint="eastAsia" w:ascii="Times New Roman" w:hAnsi="Times New Roman"/>
                <w:highlight w:val="none"/>
                <w:lang w:eastAsia="zh-CN"/>
              </w:rPr>
              <w:t>（</w:t>
            </w:r>
            <w:r>
              <w:rPr>
                <w:rFonts w:hint="eastAsia" w:ascii="Times New Roman" w:hAnsi="Times New Roman"/>
                <w:highlight w:val="none"/>
                <w:lang w:val="en-US" w:eastAsia="zh-CN"/>
              </w:rPr>
              <w:t>锅炉</w:t>
            </w:r>
            <w:r>
              <w:rPr>
                <w:rFonts w:hint="eastAsia" w:ascii="Times New Roman" w:hAnsi="Times New Roman"/>
                <w:highlight w:val="none"/>
                <w:lang w:eastAsia="zh-CN"/>
              </w:rPr>
              <w:t>）</w:t>
            </w:r>
          </w:p>
        </w:tc>
        <w:tc>
          <w:tcPr>
            <w:tcW w:w="999" w:type="pct"/>
            <w:noWrap w:val="0"/>
            <w:vAlign w:val="center"/>
          </w:tcPr>
          <w:p w14:paraId="7E13CC31">
            <w:pPr>
              <w:pStyle w:val="27"/>
              <w:rPr>
                <w:rFonts w:ascii="Times New Roman" w:hAnsi="Times New Roman"/>
                <w:highlight w:val="none"/>
              </w:rPr>
            </w:pPr>
            <w:r>
              <w:rPr>
                <w:rFonts w:ascii="Times New Roman" w:hAnsi="Times New Roman"/>
                <w:highlight w:val="none"/>
              </w:rPr>
              <w:t>烟尘</w:t>
            </w:r>
          </w:p>
        </w:tc>
        <w:tc>
          <w:tcPr>
            <w:tcW w:w="498" w:type="pct"/>
            <w:noWrap w:val="0"/>
            <w:vAlign w:val="center"/>
          </w:tcPr>
          <w:p w14:paraId="22BF8341">
            <w:pPr>
              <w:pStyle w:val="27"/>
              <w:rPr>
                <w:rFonts w:ascii="Times New Roman" w:hAnsi="Times New Roman"/>
                <w:highlight w:val="none"/>
              </w:rPr>
            </w:pPr>
            <w:r>
              <w:rPr>
                <w:rFonts w:ascii="Times New Roman" w:hAnsi="Times New Roman"/>
                <w:highlight w:val="none"/>
              </w:rPr>
              <w:t>mg/m</w:t>
            </w:r>
            <w:r>
              <w:rPr>
                <w:rFonts w:ascii="Times New Roman" w:hAnsi="Times New Roman"/>
                <w:highlight w:val="none"/>
                <w:vertAlign w:val="superscript"/>
              </w:rPr>
              <w:t>3</w:t>
            </w:r>
          </w:p>
        </w:tc>
        <w:tc>
          <w:tcPr>
            <w:tcW w:w="664" w:type="pct"/>
            <w:noWrap w:val="0"/>
            <w:vAlign w:val="center"/>
          </w:tcPr>
          <w:p w14:paraId="0925FEA4">
            <w:pPr>
              <w:pStyle w:val="27"/>
              <w:rPr>
                <w:rFonts w:ascii="Times New Roman" w:hAnsi="Times New Roman"/>
                <w:highlight w:val="none"/>
              </w:rPr>
            </w:pPr>
            <w:r>
              <w:rPr>
                <w:rFonts w:ascii="Times New Roman" w:hAnsi="Times New Roman"/>
                <w:highlight w:val="none"/>
              </w:rPr>
              <w:t>10</w:t>
            </w:r>
          </w:p>
        </w:tc>
        <w:tc>
          <w:tcPr>
            <w:tcW w:w="2276" w:type="pct"/>
            <w:vMerge w:val="restart"/>
            <w:tcBorders>
              <w:top w:val="single" w:color="auto" w:sz="2" w:space="0"/>
            </w:tcBorders>
            <w:noWrap w:val="0"/>
            <w:vAlign w:val="center"/>
          </w:tcPr>
          <w:p w14:paraId="4D1C91E9">
            <w:pPr>
              <w:pStyle w:val="27"/>
              <w:rPr>
                <w:rFonts w:hint="eastAsia" w:ascii="Times New Roman" w:hAnsi="Times New Roman"/>
                <w:highlight w:val="none"/>
              </w:rPr>
            </w:pPr>
            <w:r>
              <w:rPr>
                <w:rFonts w:hint="eastAsia" w:ascii="Times New Roman" w:hAnsi="Times New Roman"/>
                <w:highlight w:val="none"/>
              </w:rPr>
              <w:t>《</w:t>
            </w:r>
            <w:r>
              <w:rPr>
                <w:rFonts w:hint="eastAsia" w:ascii="Times New Roman" w:hAnsi="Times New Roman"/>
                <w:highlight w:val="none"/>
                <w:lang w:val="en-US" w:eastAsia="zh-CN"/>
              </w:rPr>
              <w:t>黑龙江省空气质量持续改善行动计划实施方案</w:t>
            </w:r>
            <w:r>
              <w:rPr>
                <w:rFonts w:hint="eastAsia" w:ascii="Times New Roman" w:hAnsi="Times New Roman"/>
                <w:highlight w:val="none"/>
              </w:rPr>
              <w:t>》</w:t>
            </w:r>
            <w:r>
              <w:rPr>
                <w:rFonts w:hint="eastAsia" w:ascii="Times New Roman" w:hAnsi="Times New Roman"/>
                <w:highlight w:val="none"/>
                <w:lang w:val="en-US" w:eastAsia="zh-CN"/>
              </w:rPr>
              <w:t>中要求2025年底实现超低改造</w:t>
            </w:r>
          </w:p>
        </w:tc>
      </w:tr>
      <w:tr w14:paraId="1F1C0F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62" w:type="pct"/>
            <w:vMerge w:val="continue"/>
            <w:noWrap w:val="0"/>
            <w:vAlign w:val="center"/>
          </w:tcPr>
          <w:p w14:paraId="021DB886">
            <w:pPr>
              <w:pStyle w:val="27"/>
              <w:rPr>
                <w:rFonts w:ascii="Times New Roman" w:hAnsi="Times New Roman"/>
                <w:highlight w:val="none"/>
              </w:rPr>
            </w:pPr>
          </w:p>
        </w:tc>
        <w:tc>
          <w:tcPr>
            <w:tcW w:w="999" w:type="pct"/>
            <w:noWrap w:val="0"/>
            <w:vAlign w:val="center"/>
          </w:tcPr>
          <w:p w14:paraId="7C682F0E">
            <w:pPr>
              <w:pStyle w:val="27"/>
              <w:rPr>
                <w:rFonts w:ascii="Times New Roman" w:hAnsi="Times New Roman"/>
                <w:highlight w:val="none"/>
              </w:rPr>
            </w:pPr>
            <w:r>
              <w:rPr>
                <w:rFonts w:ascii="Times New Roman" w:hAnsi="Times New Roman"/>
                <w:highlight w:val="none"/>
              </w:rPr>
              <w:t>SO</w:t>
            </w:r>
            <w:r>
              <w:rPr>
                <w:rFonts w:ascii="Times New Roman" w:hAnsi="Times New Roman"/>
                <w:highlight w:val="none"/>
                <w:vertAlign w:val="subscript"/>
              </w:rPr>
              <w:t>2</w:t>
            </w:r>
          </w:p>
        </w:tc>
        <w:tc>
          <w:tcPr>
            <w:tcW w:w="498" w:type="pct"/>
            <w:noWrap w:val="0"/>
            <w:vAlign w:val="center"/>
          </w:tcPr>
          <w:p w14:paraId="3F92ECB6">
            <w:pPr>
              <w:pStyle w:val="27"/>
              <w:rPr>
                <w:rFonts w:ascii="Times New Roman" w:hAnsi="Times New Roman"/>
                <w:highlight w:val="none"/>
              </w:rPr>
            </w:pPr>
            <w:r>
              <w:rPr>
                <w:rFonts w:ascii="Times New Roman" w:hAnsi="Times New Roman"/>
                <w:highlight w:val="none"/>
              </w:rPr>
              <w:t>mg/m</w:t>
            </w:r>
            <w:r>
              <w:rPr>
                <w:rFonts w:ascii="Times New Roman" w:hAnsi="Times New Roman"/>
                <w:highlight w:val="none"/>
                <w:vertAlign w:val="superscript"/>
              </w:rPr>
              <w:t>3</w:t>
            </w:r>
          </w:p>
        </w:tc>
        <w:tc>
          <w:tcPr>
            <w:tcW w:w="664" w:type="pct"/>
            <w:noWrap w:val="0"/>
            <w:vAlign w:val="center"/>
          </w:tcPr>
          <w:p w14:paraId="21B08965">
            <w:pPr>
              <w:pStyle w:val="27"/>
              <w:rPr>
                <w:rFonts w:ascii="Times New Roman" w:hAnsi="Times New Roman"/>
                <w:highlight w:val="none"/>
              </w:rPr>
            </w:pPr>
            <w:r>
              <w:rPr>
                <w:rFonts w:ascii="Times New Roman" w:hAnsi="Times New Roman"/>
                <w:highlight w:val="none"/>
              </w:rPr>
              <w:t>35</w:t>
            </w:r>
          </w:p>
        </w:tc>
        <w:tc>
          <w:tcPr>
            <w:tcW w:w="2276" w:type="pct"/>
            <w:vMerge w:val="continue"/>
            <w:noWrap w:val="0"/>
            <w:vAlign w:val="center"/>
          </w:tcPr>
          <w:p w14:paraId="78BCF026">
            <w:pPr>
              <w:pStyle w:val="27"/>
              <w:rPr>
                <w:rFonts w:ascii="Times New Roman" w:hAnsi="Times New Roman"/>
                <w:highlight w:val="none"/>
              </w:rPr>
            </w:pPr>
          </w:p>
        </w:tc>
      </w:tr>
      <w:tr w14:paraId="3E203FD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62" w:type="pct"/>
            <w:vMerge w:val="continue"/>
            <w:noWrap w:val="0"/>
            <w:vAlign w:val="center"/>
          </w:tcPr>
          <w:p w14:paraId="5F77B04B">
            <w:pPr>
              <w:pStyle w:val="27"/>
              <w:rPr>
                <w:rFonts w:ascii="Times New Roman" w:hAnsi="Times New Roman"/>
                <w:highlight w:val="none"/>
              </w:rPr>
            </w:pPr>
          </w:p>
        </w:tc>
        <w:tc>
          <w:tcPr>
            <w:tcW w:w="999" w:type="pct"/>
            <w:noWrap w:val="0"/>
            <w:vAlign w:val="center"/>
          </w:tcPr>
          <w:p w14:paraId="1A260447">
            <w:pPr>
              <w:pStyle w:val="27"/>
              <w:rPr>
                <w:rFonts w:ascii="Times New Roman" w:hAnsi="Times New Roman"/>
                <w:highlight w:val="none"/>
              </w:rPr>
            </w:pPr>
            <w:r>
              <w:rPr>
                <w:rFonts w:ascii="Times New Roman" w:hAnsi="Times New Roman"/>
                <w:highlight w:val="none"/>
              </w:rPr>
              <w:t>NO</w:t>
            </w:r>
            <w:r>
              <w:rPr>
                <w:rFonts w:ascii="Times New Roman" w:hAnsi="Times New Roman"/>
                <w:highlight w:val="none"/>
                <w:vertAlign w:val="subscript"/>
              </w:rPr>
              <w:t>X</w:t>
            </w:r>
          </w:p>
        </w:tc>
        <w:tc>
          <w:tcPr>
            <w:tcW w:w="498" w:type="pct"/>
            <w:noWrap w:val="0"/>
            <w:vAlign w:val="center"/>
          </w:tcPr>
          <w:p w14:paraId="4A1B03A2">
            <w:pPr>
              <w:pStyle w:val="27"/>
              <w:rPr>
                <w:rFonts w:ascii="Times New Roman" w:hAnsi="Times New Roman"/>
                <w:highlight w:val="none"/>
              </w:rPr>
            </w:pPr>
            <w:r>
              <w:rPr>
                <w:rFonts w:ascii="Times New Roman" w:hAnsi="Times New Roman"/>
                <w:highlight w:val="none"/>
              </w:rPr>
              <w:t>mg/m</w:t>
            </w:r>
            <w:r>
              <w:rPr>
                <w:rFonts w:ascii="Times New Roman" w:hAnsi="Times New Roman"/>
                <w:highlight w:val="none"/>
                <w:vertAlign w:val="superscript"/>
              </w:rPr>
              <w:t>3</w:t>
            </w:r>
          </w:p>
        </w:tc>
        <w:tc>
          <w:tcPr>
            <w:tcW w:w="664" w:type="pct"/>
            <w:noWrap w:val="0"/>
            <w:vAlign w:val="center"/>
          </w:tcPr>
          <w:p w14:paraId="3761DA3A">
            <w:pPr>
              <w:pStyle w:val="27"/>
              <w:rPr>
                <w:rFonts w:ascii="Times New Roman" w:hAnsi="Times New Roman"/>
                <w:highlight w:val="none"/>
              </w:rPr>
            </w:pPr>
            <w:r>
              <w:rPr>
                <w:rFonts w:ascii="Times New Roman" w:hAnsi="Times New Roman"/>
                <w:highlight w:val="none"/>
              </w:rPr>
              <w:t>50</w:t>
            </w:r>
          </w:p>
        </w:tc>
        <w:tc>
          <w:tcPr>
            <w:tcW w:w="2276" w:type="pct"/>
            <w:vMerge w:val="continue"/>
            <w:tcBorders>
              <w:bottom w:val="single" w:color="auto" w:sz="2" w:space="0"/>
            </w:tcBorders>
            <w:noWrap w:val="0"/>
            <w:vAlign w:val="center"/>
          </w:tcPr>
          <w:p w14:paraId="5AB5E045">
            <w:pPr>
              <w:pStyle w:val="27"/>
              <w:rPr>
                <w:rFonts w:ascii="Times New Roman" w:hAnsi="Times New Roman"/>
                <w:highlight w:val="none"/>
              </w:rPr>
            </w:pPr>
          </w:p>
        </w:tc>
      </w:tr>
      <w:tr w14:paraId="1092B5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62" w:type="pct"/>
            <w:vMerge w:val="continue"/>
            <w:noWrap w:val="0"/>
            <w:vAlign w:val="center"/>
          </w:tcPr>
          <w:p w14:paraId="5EABEFDB">
            <w:pPr>
              <w:pStyle w:val="27"/>
              <w:rPr>
                <w:rFonts w:ascii="Times New Roman" w:hAnsi="Times New Roman"/>
                <w:highlight w:val="none"/>
              </w:rPr>
            </w:pPr>
          </w:p>
        </w:tc>
        <w:tc>
          <w:tcPr>
            <w:tcW w:w="999" w:type="pct"/>
            <w:noWrap w:val="0"/>
            <w:vAlign w:val="center"/>
          </w:tcPr>
          <w:p w14:paraId="06604A72">
            <w:pPr>
              <w:pStyle w:val="27"/>
              <w:rPr>
                <w:rFonts w:ascii="Times New Roman" w:hAnsi="Times New Roman"/>
                <w:highlight w:val="none"/>
              </w:rPr>
            </w:pPr>
            <w:r>
              <w:rPr>
                <w:rFonts w:ascii="Times New Roman" w:hAnsi="Times New Roman"/>
                <w:highlight w:val="none"/>
              </w:rPr>
              <w:t>烟气黑度</w:t>
            </w:r>
          </w:p>
        </w:tc>
        <w:tc>
          <w:tcPr>
            <w:tcW w:w="498" w:type="pct"/>
            <w:noWrap w:val="0"/>
            <w:vAlign w:val="center"/>
          </w:tcPr>
          <w:p w14:paraId="2CEA8187">
            <w:pPr>
              <w:pStyle w:val="27"/>
              <w:rPr>
                <w:rFonts w:ascii="Times New Roman" w:hAnsi="Times New Roman"/>
                <w:highlight w:val="none"/>
              </w:rPr>
            </w:pPr>
            <w:r>
              <w:rPr>
                <w:rFonts w:ascii="Times New Roman" w:hAnsi="Times New Roman"/>
                <w:highlight w:val="none"/>
              </w:rPr>
              <w:t>/</w:t>
            </w:r>
          </w:p>
        </w:tc>
        <w:tc>
          <w:tcPr>
            <w:tcW w:w="664" w:type="pct"/>
            <w:noWrap w:val="0"/>
            <w:vAlign w:val="center"/>
          </w:tcPr>
          <w:p w14:paraId="3244FAD8">
            <w:pPr>
              <w:pStyle w:val="27"/>
              <w:rPr>
                <w:rFonts w:ascii="Times New Roman" w:hAnsi="Times New Roman"/>
                <w:highlight w:val="none"/>
              </w:rPr>
            </w:pPr>
            <w:r>
              <w:rPr>
                <w:rFonts w:ascii="Times New Roman" w:hAnsi="Times New Roman"/>
                <w:highlight w:val="none"/>
              </w:rPr>
              <w:t>≤1</w:t>
            </w:r>
          </w:p>
        </w:tc>
        <w:tc>
          <w:tcPr>
            <w:tcW w:w="2276" w:type="pct"/>
            <w:vMerge w:val="restart"/>
            <w:tcBorders>
              <w:top w:val="single" w:color="auto" w:sz="2" w:space="0"/>
            </w:tcBorders>
            <w:noWrap w:val="0"/>
            <w:vAlign w:val="center"/>
          </w:tcPr>
          <w:p w14:paraId="64BEA2A2">
            <w:pPr>
              <w:pStyle w:val="27"/>
              <w:rPr>
                <w:rFonts w:ascii="Times New Roman" w:hAnsi="Times New Roman"/>
                <w:highlight w:val="none"/>
              </w:rPr>
            </w:pPr>
            <w:r>
              <w:rPr>
                <w:rFonts w:hint="eastAsia" w:ascii="Times New Roman" w:hAnsi="Times New Roman"/>
                <w:color w:val="auto"/>
                <w:highlight w:val="none"/>
              </w:rPr>
              <w:t>执行《火电厂大气污染物排放标准》(GB13223-2011)表1中燃煤锅炉大气污染物排放标准</w:t>
            </w:r>
          </w:p>
        </w:tc>
      </w:tr>
      <w:tr w14:paraId="02CC74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62" w:type="pct"/>
            <w:vMerge w:val="continue"/>
            <w:noWrap w:val="0"/>
            <w:vAlign w:val="center"/>
          </w:tcPr>
          <w:p w14:paraId="7B007E32">
            <w:pPr>
              <w:pStyle w:val="27"/>
              <w:rPr>
                <w:rFonts w:ascii="Times New Roman" w:hAnsi="Times New Roman"/>
                <w:highlight w:val="none"/>
              </w:rPr>
            </w:pPr>
          </w:p>
        </w:tc>
        <w:tc>
          <w:tcPr>
            <w:tcW w:w="999" w:type="pct"/>
            <w:tcBorders>
              <w:bottom w:val="single" w:color="auto" w:sz="4" w:space="0"/>
            </w:tcBorders>
            <w:noWrap w:val="0"/>
            <w:vAlign w:val="center"/>
          </w:tcPr>
          <w:p w14:paraId="6B441DCD">
            <w:pPr>
              <w:pStyle w:val="27"/>
              <w:rPr>
                <w:rFonts w:ascii="Times New Roman" w:hAnsi="Times New Roman"/>
                <w:highlight w:val="none"/>
              </w:rPr>
            </w:pPr>
            <w:r>
              <w:rPr>
                <w:rFonts w:ascii="Times New Roman" w:hAnsi="Times New Roman"/>
                <w:highlight w:val="none"/>
              </w:rPr>
              <w:t>汞及其化合物</w:t>
            </w:r>
          </w:p>
        </w:tc>
        <w:tc>
          <w:tcPr>
            <w:tcW w:w="498" w:type="pct"/>
            <w:noWrap w:val="0"/>
            <w:vAlign w:val="center"/>
          </w:tcPr>
          <w:p w14:paraId="0D5ADDB1">
            <w:pPr>
              <w:pStyle w:val="27"/>
              <w:rPr>
                <w:rFonts w:ascii="Times New Roman" w:hAnsi="Times New Roman"/>
                <w:highlight w:val="none"/>
              </w:rPr>
            </w:pPr>
            <w:r>
              <w:rPr>
                <w:rFonts w:ascii="Times New Roman" w:hAnsi="Times New Roman"/>
                <w:highlight w:val="none"/>
              </w:rPr>
              <w:t>mg/m</w:t>
            </w:r>
            <w:r>
              <w:rPr>
                <w:rFonts w:ascii="Times New Roman" w:hAnsi="Times New Roman"/>
                <w:highlight w:val="none"/>
                <w:vertAlign w:val="superscript"/>
              </w:rPr>
              <w:t>3</w:t>
            </w:r>
          </w:p>
        </w:tc>
        <w:tc>
          <w:tcPr>
            <w:tcW w:w="664" w:type="pct"/>
            <w:noWrap w:val="0"/>
            <w:vAlign w:val="center"/>
          </w:tcPr>
          <w:p w14:paraId="1A681D1C">
            <w:pPr>
              <w:pStyle w:val="27"/>
              <w:rPr>
                <w:rFonts w:hint="eastAsia" w:ascii="Times New Roman" w:hAnsi="Times New Roman" w:eastAsia="新宋体"/>
                <w:highlight w:val="none"/>
                <w:lang w:eastAsia="zh-CN"/>
              </w:rPr>
            </w:pPr>
            <w:r>
              <w:rPr>
                <w:rFonts w:ascii="Times New Roman" w:hAnsi="Times New Roman"/>
                <w:highlight w:val="none"/>
              </w:rPr>
              <w:t>0.0</w:t>
            </w:r>
            <w:r>
              <w:rPr>
                <w:rFonts w:hint="eastAsia" w:ascii="Times New Roman" w:hAnsi="Times New Roman"/>
                <w:highlight w:val="none"/>
                <w:lang w:val="en-US" w:eastAsia="zh-CN"/>
              </w:rPr>
              <w:t>3</w:t>
            </w:r>
          </w:p>
        </w:tc>
        <w:tc>
          <w:tcPr>
            <w:tcW w:w="2276" w:type="pct"/>
            <w:vMerge w:val="continue"/>
            <w:noWrap w:val="0"/>
            <w:vAlign w:val="center"/>
          </w:tcPr>
          <w:p w14:paraId="79ACA8BE">
            <w:pPr>
              <w:pStyle w:val="27"/>
              <w:rPr>
                <w:rFonts w:ascii="Times New Roman" w:hAnsi="Times New Roman"/>
                <w:highlight w:val="none"/>
              </w:rPr>
            </w:pPr>
          </w:p>
        </w:tc>
      </w:tr>
      <w:tr w14:paraId="60A9733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62" w:type="pct"/>
            <w:vMerge w:val="restart"/>
            <w:noWrap w:val="0"/>
            <w:vAlign w:val="center"/>
          </w:tcPr>
          <w:p w14:paraId="04CE105A">
            <w:pPr>
              <w:pStyle w:val="27"/>
              <w:rPr>
                <w:rFonts w:hint="eastAsia" w:ascii="Times New Roman" w:hAnsi="Times New Roman" w:eastAsia="新宋体"/>
                <w:highlight w:val="none"/>
                <w:lang w:val="en-US" w:eastAsia="zh-CN"/>
              </w:rPr>
            </w:pPr>
            <w:r>
              <w:rPr>
                <w:rFonts w:hint="eastAsia" w:ascii="Times New Roman" w:hAnsi="Times New Roman"/>
                <w:highlight w:val="none"/>
                <w:lang w:val="en-US" w:eastAsia="zh-CN"/>
              </w:rPr>
              <w:t>有组织（碎煤机室）</w:t>
            </w:r>
          </w:p>
        </w:tc>
        <w:tc>
          <w:tcPr>
            <w:tcW w:w="999" w:type="pct"/>
            <w:vMerge w:val="restart"/>
            <w:noWrap w:val="0"/>
            <w:vAlign w:val="center"/>
          </w:tcPr>
          <w:p w14:paraId="79559DDC">
            <w:pPr>
              <w:pStyle w:val="27"/>
              <w:rPr>
                <w:rFonts w:hint="eastAsia" w:ascii="Times New Roman" w:hAnsi="Times New Roman" w:eastAsia="新宋体"/>
                <w:highlight w:val="none"/>
                <w:lang w:val="en-US" w:eastAsia="zh-CN"/>
              </w:rPr>
            </w:pPr>
            <w:r>
              <w:rPr>
                <w:rFonts w:hint="eastAsia" w:ascii="Times New Roman" w:hAnsi="Times New Roman"/>
                <w:highlight w:val="none"/>
                <w:lang w:val="en-US" w:eastAsia="zh-CN"/>
              </w:rPr>
              <w:t>颗粒物</w:t>
            </w:r>
          </w:p>
        </w:tc>
        <w:tc>
          <w:tcPr>
            <w:tcW w:w="498" w:type="pct"/>
            <w:noWrap w:val="0"/>
            <w:vAlign w:val="center"/>
          </w:tcPr>
          <w:p w14:paraId="08FD3A72">
            <w:pPr>
              <w:pStyle w:val="27"/>
              <w:rPr>
                <w:rFonts w:ascii="Times New Roman" w:hAnsi="Times New Roman"/>
                <w:highlight w:val="none"/>
              </w:rPr>
            </w:pPr>
            <w:r>
              <w:rPr>
                <w:rFonts w:ascii="Times New Roman" w:hAnsi="Times New Roman"/>
                <w:highlight w:val="none"/>
              </w:rPr>
              <w:t>mg/m</w:t>
            </w:r>
            <w:r>
              <w:rPr>
                <w:rFonts w:ascii="Times New Roman" w:hAnsi="Times New Roman"/>
                <w:highlight w:val="none"/>
                <w:vertAlign w:val="superscript"/>
              </w:rPr>
              <w:t>3</w:t>
            </w:r>
          </w:p>
        </w:tc>
        <w:tc>
          <w:tcPr>
            <w:tcW w:w="664" w:type="pct"/>
            <w:noWrap w:val="0"/>
            <w:vAlign w:val="center"/>
          </w:tcPr>
          <w:p w14:paraId="5D6768C0">
            <w:pPr>
              <w:pStyle w:val="27"/>
              <w:rPr>
                <w:rFonts w:ascii="Times New Roman" w:hAnsi="Times New Roman"/>
                <w:highlight w:val="none"/>
              </w:rPr>
            </w:pPr>
            <w:r>
              <w:rPr>
                <w:rFonts w:hint="eastAsia" w:ascii="Times New Roman" w:hAnsi="Times New Roman"/>
                <w:highlight w:val="none"/>
              </w:rPr>
              <w:t>120</w:t>
            </w:r>
          </w:p>
        </w:tc>
        <w:tc>
          <w:tcPr>
            <w:tcW w:w="2276" w:type="pct"/>
            <w:vMerge w:val="restart"/>
            <w:noWrap w:val="0"/>
            <w:vAlign w:val="center"/>
          </w:tcPr>
          <w:p w14:paraId="776B65C4">
            <w:pPr>
              <w:pStyle w:val="27"/>
              <w:rPr>
                <w:rFonts w:ascii="Times New Roman" w:hAnsi="Times New Roman"/>
                <w:highlight w:val="none"/>
              </w:rPr>
            </w:pPr>
            <w:r>
              <w:rPr>
                <w:rFonts w:hint="eastAsia" w:ascii="Times New Roman" w:hAnsi="Times New Roman"/>
                <w:highlight w:val="none"/>
              </w:rPr>
              <w:t>《大气污染物综合排放标准》(GB16297-1996）表2中二级标准限值，本项目排气筒按高度对应的表列排放速率标准值严格50%执行</w:t>
            </w:r>
          </w:p>
        </w:tc>
      </w:tr>
      <w:tr w14:paraId="6A9EC88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62" w:type="pct"/>
            <w:vMerge w:val="continue"/>
            <w:noWrap w:val="0"/>
            <w:vAlign w:val="center"/>
          </w:tcPr>
          <w:p w14:paraId="5F50D52A">
            <w:pPr>
              <w:pStyle w:val="27"/>
              <w:rPr>
                <w:rFonts w:ascii="Times New Roman" w:hAnsi="Times New Roman"/>
                <w:highlight w:val="none"/>
              </w:rPr>
            </w:pPr>
          </w:p>
        </w:tc>
        <w:tc>
          <w:tcPr>
            <w:tcW w:w="999" w:type="pct"/>
            <w:vMerge w:val="continue"/>
            <w:tcBorders>
              <w:bottom w:val="single" w:color="auto" w:sz="4" w:space="0"/>
            </w:tcBorders>
            <w:noWrap w:val="0"/>
            <w:vAlign w:val="center"/>
          </w:tcPr>
          <w:p w14:paraId="75F86FE4">
            <w:pPr>
              <w:pStyle w:val="27"/>
              <w:rPr>
                <w:rFonts w:ascii="Times New Roman" w:hAnsi="Times New Roman"/>
                <w:highlight w:val="none"/>
              </w:rPr>
            </w:pPr>
          </w:p>
        </w:tc>
        <w:tc>
          <w:tcPr>
            <w:tcW w:w="498" w:type="pct"/>
            <w:noWrap w:val="0"/>
            <w:vAlign w:val="center"/>
          </w:tcPr>
          <w:p w14:paraId="2A54AA73">
            <w:pPr>
              <w:pStyle w:val="27"/>
              <w:rPr>
                <w:rFonts w:hint="default" w:ascii="Times New Roman" w:hAnsi="Times New Roman" w:eastAsia="新宋体"/>
                <w:highlight w:val="none"/>
                <w:lang w:val="en-US" w:eastAsia="zh-CN"/>
              </w:rPr>
            </w:pPr>
            <w:r>
              <w:rPr>
                <w:rFonts w:hint="eastAsia" w:ascii="Times New Roman" w:hAnsi="Times New Roman"/>
                <w:highlight w:val="none"/>
                <w:lang w:val="en-US" w:eastAsia="zh-CN"/>
              </w:rPr>
              <w:t>kg/h</w:t>
            </w:r>
          </w:p>
        </w:tc>
        <w:tc>
          <w:tcPr>
            <w:tcW w:w="664" w:type="pct"/>
            <w:noWrap w:val="0"/>
            <w:vAlign w:val="center"/>
          </w:tcPr>
          <w:p w14:paraId="5F63B514">
            <w:pPr>
              <w:pStyle w:val="27"/>
              <w:rPr>
                <w:rFonts w:ascii="Times New Roman" w:hAnsi="Times New Roman"/>
                <w:highlight w:val="none"/>
              </w:rPr>
            </w:pPr>
            <w:r>
              <w:rPr>
                <w:rFonts w:hint="eastAsia" w:ascii="Times New Roman" w:hAnsi="Times New Roman"/>
                <w:highlight w:val="none"/>
              </w:rPr>
              <w:t>1.75</w:t>
            </w:r>
          </w:p>
        </w:tc>
        <w:tc>
          <w:tcPr>
            <w:tcW w:w="2276" w:type="pct"/>
            <w:vMerge w:val="continue"/>
            <w:noWrap w:val="0"/>
            <w:vAlign w:val="center"/>
          </w:tcPr>
          <w:p w14:paraId="54572776">
            <w:pPr>
              <w:pStyle w:val="27"/>
              <w:rPr>
                <w:rFonts w:ascii="Times New Roman" w:hAnsi="Times New Roman"/>
                <w:highlight w:val="none"/>
              </w:rPr>
            </w:pPr>
          </w:p>
        </w:tc>
      </w:tr>
      <w:tr w14:paraId="2288BF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0" w:hRule="atLeast"/>
          <w:jc w:val="center"/>
        </w:trPr>
        <w:tc>
          <w:tcPr>
            <w:tcW w:w="562" w:type="pct"/>
            <w:vMerge w:val="restart"/>
            <w:tcBorders>
              <w:top w:val="single" w:color="auto" w:sz="4" w:space="0"/>
            </w:tcBorders>
            <w:noWrap w:val="0"/>
            <w:vAlign w:val="center"/>
          </w:tcPr>
          <w:p w14:paraId="5881B97C">
            <w:pPr>
              <w:pStyle w:val="27"/>
              <w:contextualSpacing/>
              <w:rPr>
                <w:rFonts w:ascii="Times New Roman" w:hAnsi="Times New Roman"/>
                <w:highlight w:val="none"/>
              </w:rPr>
            </w:pPr>
            <w:r>
              <w:rPr>
                <w:rFonts w:ascii="Times New Roman" w:hAnsi="Times New Roman"/>
                <w:highlight w:val="none"/>
              </w:rPr>
              <w:t>无组织排放</w:t>
            </w:r>
          </w:p>
        </w:tc>
        <w:tc>
          <w:tcPr>
            <w:tcW w:w="999" w:type="pct"/>
            <w:tcBorders>
              <w:top w:val="single" w:color="auto" w:sz="4" w:space="0"/>
            </w:tcBorders>
            <w:noWrap w:val="0"/>
            <w:vAlign w:val="center"/>
          </w:tcPr>
          <w:p w14:paraId="686A271D">
            <w:pPr>
              <w:pStyle w:val="27"/>
              <w:contextualSpacing/>
              <w:rPr>
                <w:rFonts w:ascii="Times New Roman" w:hAnsi="Times New Roman"/>
                <w:highlight w:val="none"/>
              </w:rPr>
            </w:pPr>
            <w:r>
              <w:rPr>
                <w:rFonts w:ascii="Times New Roman" w:hAnsi="Times New Roman"/>
                <w:highlight w:val="none"/>
              </w:rPr>
              <w:t>NH</w:t>
            </w:r>
            <w:r>
              <w:rPr>
                <w:rFonts w:ascii="Times New Roman" w:hAnsi="Times New Roman"/>
                <w:highlight w:val="none"/>
                <w:vertAlign w:val="subscript"/>
              </w:rPr>
              <w:t>3</w:t>
            </w:r>
          </w:p>
        </w:tc>
        <w:tc>
          <w:tcPr>
            <w:tcW w:w="498" w:type="pct"/>
            <w:noWrap w:val="0"/>
            <w:vAlign w:val="center"/>
          </w:tcPr>
          <w:p w14:paraId="1C5376ED">
            <w:pPr>
              <w:pStyle w:val="27"/>
              <w:contextualSpacing/>
              <w:rPr>
                <w:rFonts w:ascii="Times New Roman" w:hAnsi="Times New Roman"/>
                <w:highlight w:val="none"/>
              </w:rPr>
            </w:pPr>
            <w:r>
              <w:rPr>
                <w:rFonts w:ascii="Times New Roman" w:hAnsi="Times New Roman"/>
                <w:highlight w:val="none"/>
              </w:rPr>
              <w:t>mg/m</w:t>
            </w:r>
            <w:r>
              <w:rPr>
                <w:rFonts w:ascii="Times New Roman" w:hAnsi="Times New Roman"/>
                <w:highlight w:val="none"/>
                <w:vertAlign w:val="superscript"/>
              </w:rPr>
              <w:t>3</w:t>
            </w:r>
          </w:p>
        </w:tc>
        <w:tc>
          <w:tcPr>
            <w:tcW w:w="664" w:type="pct"/>
            <w:noWrap w:val="0"/>
            <w:vAlign w:val="center"/>
          </w:tcPr>
          <w:p w14:paraId="452C76BD">
            <w:pPr>
              <w:pStyle w:val="27"/>
              <w:contextualSpacing/>
              <w:rPr>
                <w:rFonts w:ascii="Times New Roman" w:hAnsi="Times New Roman"/>
                <w:highlight w:val="none"/>
              </w:rPr>
            </w:pPr>
            <w:r>
              <w:rPr>
                <w:rFonts w:ascii="Times New Roman" w:hAnsi="Times New Roman"/>
                <w:highlight w:val="none"/>
              </w:rPr>
              <w:t>1.5</w:t>
            </w:r>
          </w:p>
        </w:tc>
        <w:tc>
          <w:tcPr>
            <w:tcW w:w="2276" w:type="pct"/>
            <w:noWrap w:val="0"/>
            <w:vAlign w:val="center"/>
          </w:tcPr>
          <w:p w14:paraId="1963EFA6">
            <w:pPr>
              <w:pStyle w:val="27"/>
              <w:contextualSpacing/>
              <w:rPr>
                <w:rFonts w:ascii="Times New Roman" w:hAnsi="Times New Roman"/>
                <w:highlight w:val="none"/>
              </w:rPr>
            </w:pPr>
            <w:r>
              <w:rPr>
                <w:rFonts w:ascii="Times New Roman" w:hAnsi="Times New Roman"/>
                <w:highlight w:val="none"/>
              </w:rPr>
              <w:t>《恶臭污染物排放标准》（GB14554-93）表1恶臭污染物厂界二级标准值。</w:t>
            </w:r>
          </w:p>
        </w:tc>
      </w:tr>
      <w:tr w14:paraId="0EFF5C3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9" w:hRule="atLeast"/>
          <w:jc w:val="center"/>
        </w:trPr>
        <w:tc>
          <w:tcPr>
            <w:tcW w:w="562" w:type="pct"/>
            <w:vMerge w:val="continue"/>
            <w:noWrap w:val="0"/>
            <w:vAlign w:val="center"/>
          </w:tcPr>
          <w:p w14:paraId="457C3045">
            <w:pPr>
              <w:pStyle w:val="27"/>
              <w:contextualSpacing/>
              <w:rPr>
                <w:rFonts w:ascii="Times New Roman" w:hAnsi="Times New Roman"/>
                <w:highlight w:val="none"/>
              </w:rPr>
            </w:pPr>
          </w:p>
        </w:tc>
        <w:tc>
          <w:tcPr>
            <w:tcW w:w="999" w:type="pct"/>
            <w:noWrap w:val="0"/>
            <w:vAlign w:val="center"/>
          </w:tcPr>
          <w:p w14:paraId="401821D7">
            <w:pPr>
              <w:pStyle w:val="27"/>
              <w:contextualSpacing/>
              <w:rPr>
                <w:rFonts w:ascii="Times New Roman" w:hAnsi="Times New Roman"/>
                <w:highlight w:val="none"/>
              </w:rPr>
            </w:pPr>
            <w:r>
              <w:rPr>
                <w:rFonts w:ascii="Times New Roman" w:hAnsi="Times New Roman"/>
                <w:highlight w:val="none"/>
              </w:rPr>
              <w:t>颗粒物</w:t>
            </w:r>
          </w:p>
        </w:tc>
        <w:tc>
          <w:tcPr>
            <w:tcW w:w="498" w:type="pct"/>
            <w:noWrap w:val="0"/>
            <w:vAlign w:val="center"/>
          </w:tcPr>
          <w:p w14:paraId="49EA7F47">
            <w:pPr>
              <w:pStyle w:val="27"/>
              <w:contextualSpacing/>
              <w:rPr>
                <w:rFonts w:ascii="Times New Roman" w:hAnsi="Times New Roman"/>
                <w:highlight w:val="none"/>
              </w:rPr>
            </w:pPr>
            <w:r>
              <w:rPr>
                <w:rFonts w:ascii="Times New Roman" w:hAnsi="Times New Roman"/>
                <w:highlight w:val="none"/>
              </w:rPr>
              <w:t>mg/m</w:t>
            </w:r>
            <w:r>
              <w:rPr>
                <w:rFonts w:ascii="Times New Roman" w:hAnsi="Times New Roman"/>
                <w:highlight w:val="none"/>
                <w:vertAlign w:val="superscript"/>
              </w:rPr>
              <w:t>3</w:t>
            </w:r>
          </w:p>
        </w:tc>
        <w:tc>
          <w:tcPr>
            <w:tcW w:w="664" w:type="pct"/>
            <w:noWrap w:val="0"/>
            <w:vAlign w:val="center"/>
          </w:tcPr>
          <w:p w14:paraId="597CF6F7">
            <w:pPr>
              <w:pStyle w:val="27"/>
              <w:contextualSpacing/>
              <w:rPr>
                <w:rFonts w:ascii="Times New Roman" w:hAnsi="Times New Roman"/>
                <w:highlight w:val="none"/>
              </w:rPr>
            </w:pPr>
            <w:r>
              <w:rPr>
                <w:rFonts w:ascii="Times New Roman" w:hAnsi="Times New Roman"/>
                <w:highlight w:val="none"/>
              </w:rPr>
              <w:t>1.0</w:t>
            </w:r>
          </w:p>
        </w:tc>
        <w:tc>
          <w:tcPr>
            <w:tcW w:w="2276" w:type="pct"/>
            <w:noWrap w:val="0"/>
            <w:vAlign w:val="center"/>
          </w:tcPr>
          <w:p w14:paraId="57B37924">
            <w:pPr>
              <w:pStyle w:val="27"/>
              <w:contextualSpacing/>
              <w:rPr>
                <w:rFonts w:ascii="Times New Roman" w:hAnsi="Times New Roman"/>
                <w:highlight w:val="none"/>
              </w:rPr>
            </w:pPr>
            <w:r>
              <w:rPr>
                <w:rFonts w:ascii="Times New Roman" w:hAnsi="Times New Roman"/>
                <w:highlight w:val="none"/>
              </w:rPr>
              <w:t>《大气污染物综合排放标准》（GB16297-1996）表2无组织排放监控浓度限值。</w:t>
            </w:r>
          </w:p>
        </w:tc>
      </w:tr>
    </w:tbl>
    <w:p w14:paraId="04113880">
      <w:pPr>
        <w:ind w:firstLine="480"/>
        <w:rPr>
          <w:rFonts w:ascii="Times New Roman" w:hAnsi="Times New Roman"/>
          <w:highlight w:val="none"/>
        </w:rPr>
      </w:pPr>
      <w:r>
        <w:rPr>
          <w:rFonts w:ascii="Times New Roman" w:hAnsi="Times New Roman"/>
          <w:highlight w:val="none"/>
        </w:rPr>
        <w:t>2、废水排放标准</w:t>
      </w:r>
    </w:p>
    <w:p w14:paraId="31AD5A46">
      <w:pPr>
        <w:pStyle w:val="26"/>
        <w:spacing w:before="0" w:beforeLines="0" w:after="0" w:afterLines="0"/>
        <w:rPr>
          <w:rFonts w:ascii="Times New Roman" w:hAnsi="Times New Roman"/>
          <w:highlight w:val="none"/>
        </w:rPr>
      </w:pPr>
      <w:r>
        <w:rPr>
          <w:rFonts w:ascii="Times New Roman" w:hAnsi="Times New Roman"/>
          <w:highlight w:val="none"/>
        </w:rPr>
        <w:t>本工程生产废水处理后回用于</w:t>
      </w:r>
      <w:r>
        <w:rPr>
          <w:rFonts w:hint="eastAsia" w:ascii="Times New Roman" w:hAnsi="Times New Roman"/>
          <w:highlight w:val="none"/>
        </w:rPr>
        <w:t>煤场洒水降尘</w:t>
      </w:r>
      <w:r>
        <w:rPr>
          <w:rFonts w:hint="eastAsia" w:ascii="Times New Roman" w:hAnsi="Times New Roman"/>
          <w:highlight w:val="none"/>
          <w:lang w:val="en-US" w:eastAsia="zh-CN"/>
        </w:rPr>
        <w:t>和</w:t>
      </w:r>
      <w:r>
        <w:rPr>
          <w:rFonts w:ascii="Times New Roman" w:hAnsi="Times New Roman"/>
          <w:highlight w:val="none"/>
        </w:rPr>
        <w:t>灰渣加湿，不外排。</w:t>
      </w:r>
    </w:p>
    <w:p w14:paraId="1E98779D">
      <w:pPr>
        <w:pStyle w:val="26"/>
        <w:spacing w:before="0" w:beforeLines="0" w:after="0" w:afterLines="0"/>
        <w:rPr>
          <w:rFonts w:hint="eastAsia" w:ascii="Times New Roman" w:hAnsi="Times New Roman" w:eastAsia="宋体"/>
          <w:highlight w:val="none"/>
          <w:lang w:eastAsia="zh-CN"/>
        </w:rPr>
      </w:pPr>
      <w:r>
        <w:rPr>
          <w:rFonts w:hint="eastAsia" w:ascii="Times New Roman" w:hAnsi="Times New Roman"/>
          <w:highlight w:val="none"/>
        </w:rPr>
        <w:t>生活污水排入市政管网，经污水管网排入</w:t>
      </w:r>
      <w:r>
        <w:rPr>
          <w:rFonts w:hint="eastAsia" w:ascii="Times New Roman" w:hAnsi="Times New Roman"/>
          <w:highlight w:val="none"/>
          <w:lang w:val="en-US" w:eastAsia="zh-CN"/>
        </w:rPr>
        <w:t>绥芬河中环污水处理有限公司</w:t>
      </w:r>
      <w:r>
        <w:rPr>
          <w:rFonts w:hint="eastAsia" w:ascii="Times New Roman" w:hAnsi="Times New Roman"/>
          <w:highlight w:val="none"/>
        </w:rPr>
        <w:t>，处</w:t>
      </w:r>
      <w:r>
        <w:rPr>
          <w:rFonts w:hint="eastAsia" w:ascii="Times New Roman" w:hAnsi="Times New Roman"/>
          <w:highlight w:val="none"/>
        </w:rPr>
        <w:t>理达到《城镇污水处理厂污染物排放标准》(GB18918—2002)一级</w:t>
      </w:r>
      <w:r>
        <w:rPr>
          <w:rFonts w:hint="eastAsia" w:ascii="Times New Roman" w:hAnsi="Times New Roman"/>
          <w:highlight w:val="none"/>
          <w:lang w:val="en-US" w:eastAsia="zh-CN"/>
        </w:rPr>
        <w:t>B</w:t>
      </w:r>
      <w:r>
        <w:rPr>
          <w:rFonts w:hint="eastAsia" w:ascii="Times New Roman" w:hAnsi="Times New Roman"/>
          <w:highlight w:val="none"/>
        </w:rPr>
        <w:t>标准后排</w:t>
      </w:r>
      <w:r>
        <w:rPr>
          <w:rFonts w:hint="eastAsia" w:ascii="Times New Roman" w:hAnsi="Times New Roman"/>
          <w:highlight w:val="none"/>
          <w:lang w:val="en-US" w:eastAsia="zh-CN"/>
        </w:rPr>
        <w:t>放。本项目生活污水</w:t>
      </w:r>
      <w:r>
        <w:rPr>
          <w:rFonts w:ascii="Times New Roman" w:hAnsi="Times New Roman"/>
          <w:highlight w:val="none"/>
        </w:rPr>
        <w:t>排放执行《污水综合排放标准》（GB8978-1996）中三级标准。</w:t>
      </w:r>
      <w:r>
        <w:rPr>
          <w:rFonts w:hint="eastAsia" w:ascii="Times New Roman" w:hAnsi="Times New Roman"/>
          <w:highlight w:val="none"/>
          <w:lang w:val="en-US"/>
        </w:rPr>
        <w:t>脱硫废水经处理后的最终水质将满足《污水综合排放排放标准》中表1标准</w:t>
      </w:r>
      <w:r>
        <w:rPr>
          <w:rFonts w:hint="eastAsia" w:ascii="Times New Roman" w:hAnsi="Times New Roman"/>
          <w:highlight w:val="none"/>
          <w:lang w:val="en-US" w:eastAsia="zh-CN"/>
        </w:rPr>
        <w:t>。</w:t>
      </w:r>
    </w:p>
    <w:p w14:paraId="3512474C">
      <w:pPr>
        <w:keepNext w:val="0"/>
        <w:keepLines w:val="0"/>
        <w:pageBreakBefore w:val="0"/>
        <w:widowControl w:val="0"/>
        <w:kinsoku/>
        <w:wordWrap/>
        <w:overflowPunct/>
        <w:topLinePunct w:val="0"/>
        <w:bidi w:val="0"/>
        <w:snapToGrid/>
        <w:spacing w:line="480" w:lineRule="exact"/>
        <w:jc w:val="center"/>
        <w:textAlignment w:val="auto"/>
        <w:rPr>
          <w:rFonts w:hint="default" w:ascii="Times New Roman" w:hAnsi="Times New Roman" w:eastAsia="黑体" w:cs="Times New Roman"/>
          <w:color w:val="auto"/>
          <w:spacing w:val="0"/>
          <w:sz w:val="24"/>
          <w:szCs w:val="24"/>
          <w:highlight w:val="none"/>
        </w:rPr>
      </w:pPr>
      <w:r>
        <w:rPr>
          <w:rFonts w:hint="default" w:ascii="Times New Roman" w:hAnsi="Times New Roman" w:eastAsia="黑体" w:cs="Times New Roman"/>
          <w:color w:val="auto"/>
          <w:spacing w:val="0"/>
          <w:sz w:val="24"/>
          <w:szCs w:val="24"/>
          <w:highlight w:val="none"/>
        </w:rPr>
        <w:t>表 2.3-</w:t>
      </w:r>
      <w:r>
        <w:rPr>
          <w:rFonts w:hint="eastAsia" w:ascii="Times New Roman" w:hAnsi="Times New Roman" w:eastAsia="黑体" w:cs="Times New Roman"/>
          <w:color w:val="auto"/>
          <w:spacing w:val="0"/>
          <w:sz w:val="24"/>
          <w:szCs w:val="24"/>
          <w:highlight w:val="none"/>
        </w:rPr>
        <w:t>10</w:t>
      </w:r>
      <w:r>
        <w:rPr>
          <w:rFonts w:hint="default" w:ascii="Times New Roman" w:hAnsi="Times New Roman" w:eastAsia="黑体" w:cs="Times New Roman"/>
          <w:color w:val="auto"/>
          <w:spacing w:val="0"/>
          <w:sz w:val="24"/>
          <w:szCs w:val="24"/>
          <w:highlight w:val="none"/>
        </w:rPr>
        <w:t>废水污染物排放标准值</w:t>
      </w:r>
    </w:p>
    <w:tbl>
      <w:tblPr>
        <w:tblStyle w:val="1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70"/>
        <w:gridCol w:w="1493"/>
        <w:gridCol w:w="888"/>
        <w:gridCol w:w="1503"/>
        <w:gridCol w:w="3265"/>
      </w:tblGrid>
      <w:tr w14:paraId="003F1E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blHeader/>
          <w:jc w:val="center"/>
        </w:trPr>
        <w:tc>
          <w:tcPr>
            <w:tcW w:w="804" w:type="pct"/>
            <w:noWrap w:val="0"/>
            <w:vAlign w:val="center"/>
          </w:tcPr>
          <w:p w14:paraId="750374CD">
            <w:pPr>
              <w:pStyle w:val="27"/>
              <w:contextualSpacing/>
              <w:rPr>
                <w:rFonts w:ascii="Times New Roman" w:hAnsi="Times New Roman"/>
                <w:highlight w:val="none"/>
              </w:rPr>
            </w:pPr>
            <w:r>
              <w:rPr>
                <w:rFonts w:ascii="Times New Roman" w:hAnsi="Times New Roman"/>
                <w:highlight w:val="none"/>
              </w:rPr>
              <w:t>污染源类型</w:t>
            </w:r>
          </w:p>
        </w:tc>
        <w:tc>
          <w:tcPr>
            <w:tcW w:w="876" w:type="pct"/>
            <w:noWrap w:val="0"/>
            <w:vAlign w:val="center"/>
          </w:tcPr>
          <w:p w14:paraId="5B690A3F">
            <w:pPr>
              <w:pStyle w:val="27"/>
              <w:contextualSpacing/>
              <w:rPr>
                <w:rFonts w:ascii="Times New Roman" w:hAnsi="Times New Roman"/>
                <w:highlight w:val="none"/>
              </w:rPr>
            </w:pPr>
            <w:r>
              <w:rPr>
                <w:rFonts w:ascii="Times New Roman" w:hAnsi="Times New Roman"/>
                <w:highlight w:val="none"/>
              </w:rPr>
              <w:t>污染物</w:t>
            </w:r>
          </w:p>
        </w:tc>
        <w:tc>
          <w:tcPr>
            <w:tcW w:w="521" w:type="pct"/>
            <w:noWrap w:val="0"/>
            <w:vAlign w:val="center"/>
          </w:tcPr>
          <w:p w14:paraId="78719DA1">
            <w:pPr>
              <w:pStyle w:val="27"/>
              <w:contextualSpacing/>
              <w:rPr>
                <w:rFonts w:ascii="Times New Roman" w:hAnsi="Times New Roman"/>
                <w:highlight w:val="none"/>
              </w:rPr>
            </w:pPr>
            <w:r>
              <w:rPr>
                <w:rFonts w:ascii="Times New Roman" w:hAnsi="Times New Roman"/>
                <w:highlight w:val="none"/>
              </w:rPr>
              <w:t>单位</w:t>
            </w:r>
          </w:p>
        </w:tc>
        <w:tc>
          <w:tcPr>
            <w:tcW w:w="882" w:type="pct"/>
            <w:noWrap w:val="0"/>
            <w:vAlign w:val="center"/>
          </w:tcPr>
          <w:p w14:paraId="79CA5388">
            <w:pPr>
              <w:pStyle w:val="27"/>
              <w:contextualSpacing/>
              <w:rPr>
                <w:rFonts w:ascii="Times New Roman" w:hAnsi="Times New Roman"/>
                <w:highlight w:val="none"/>
              </w:rPr>
            </w:pPr>
            <w:r>
              <w:rPr>
                <w:rFonts w:ascii="Times New Roman" w:hAnsi="Times New Roman"/>
                <w:highlight w:val="none"/>
              </w:rPr>
              <w:t>标准限值</w:t>
            </w:r>
          </w:p>
        </w:tc>
        <w:tc>
          <w:tcPr>
            <w:tcW w:w="1916" w:type="pct"/>
            <w:noWrap w:val="0"/>
            <w:vAlign w:val="center"/>
          </w:tcPr>
          <w:p w14:paraId="6232659C">
            <w:pPr>
              <w:pStyle w:val="27"/>
              <w:textAlignment w:val="center"/>
              <w:rPr>
                <w:rFonts w:ascii="Times New Roman" w:hAnsi="Times New Roman"/>
                <w:b/>
                <w:bCs/>
                <w:highlight w:val="none"/>
              </w:rPr>
            </w:pPr>
            <w:r>
              <w:rPr>
                <w:rFonts w:ascii="Times New Roman" w:hAnsi="Times New Roman"/>
                <w:highlight w:val="none"/>
              </w:rPr>
              <w:t>标准来源</w:t>
            </w:r>
          </w:p>
        </w:tc>
      </w:tr>
      <w:tr w14:paraId="57E2F6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2" w:hRule="atLeast"/>
          <w:tblHeader/>
          <w:jc w:val="center"/>
        </w:trPr>
        <w:tc>
          <w:tcPr>
            <w:tcW w:w="804" w:type="pct"/>
            <w:vMerge w:val="restart"/>
            <w:noWrap w:val="0"/>
            <w:vAlign w:val="center"/>
          </w:tcPr>
          <w:p w14:paraId="0C1EC4AD">
            <w:pPr>
              <w:pStyle w:val="27"/>
              <w:contextualSpacing/>
              <w:rPr>
                <w:rFonts w:hint="default" w:ascii="Times New Roman" w:hAnsi="Times New Roman"/>
                <w:highlight w:val="none"/>
                <w:lang w:val="en-US"/>
              </w:rPr>
            </w:pPr>
            <w:r>
              <w:rPr>
                <w:rFonts w:hint="eastAsia" w:ascii="Times New Roman" w:hAnsi="Times New Roman"/>
                <w:highlight w:val="none"/>
                <w:lang w:val="en-US" w:eastAsia="zh-CN"/>
              </w:rPr>
              <w:t>生活污水</w:t>
            </w:r>
          </w:p>
        </w:tc>
        <w:tc>
          <w:tcPr>
            <w:tcW w:w="876" w:type="pct"/>
            <w:noWrap w:val="0"/>
            <w:vAlign w:val="center"/>
          </w:tcPr>
          <w:p w14:paraId="2699BBB8">
            <w:pPr>
              <w:pStyle w:val="27"/>
              <w:contextualSpacing/>
              <w:rPr>
                <w:rFonts w:ascii="Times New Roman" w:hAnsi="Times New Roman"/>
                <w:highlight w:val="none"/>
              </w:rPr>
            </w:pPr>
            <w:r>
              <w:rPr>
                <w:rFonts w:ascii="Times New Roman" w:hAnsi="Times New Roman"/>
                <w:highlight w:val="none"/>
              </w:rPr>
              <w:t>COD</w:t>
            </w:r>
          </w:p>
        </w:tc>
        <w:tc>
          <w:tcPr>
            <w:tcW w:w="521" w:type="pct"/>
            <w:noWrap w:val="0"/>
            <w:vAlign w:val="center"/>
          </w:tcPr>
          <w:p w14:paraId="492E3576">
            <w:pPr>
              <w:pStyle w:val="27"/>
              <w:contextualSpacing/>
              <w:rPr>
                <w:rFonts w:ascii="Times New Roman" w:hAnsi="Times New Roman"/>
                <w:highlight w:val="none"/>
              </w:rPr>
            </w:pPr>
            <w:r>
              <w:rPr>
                <w:rFonts w:ascii="Times New Roman" w:hAnsi="Times New Roman"/>
                <w:highlight w:val="none"/>
              </w:rPr>
              <w:t>mg/L</w:t>
            </w:r>
          </w:p>
        </w:tc>
        <w:tc>
          <w:tcPr>
            <w:tcW w:w="882" w:type="pct"/>
            <w:noWrap w:val="0"/>
            <w:vAlign w:val="center"/>
          </w:tcPr>
          <w:p w14:paraId="33FAACCC">
            <w:pPr>
              <w:pStyle w:val="27"/>
              <w:contextualSpacing/>
              <w:rPr>
                <w:rFonts w:ascii="Times New Roman" w:hAnsi="Times New Roman"/>
                <w:highlight w:val="none"/>
              </w:rPr>
            </w:pPr>
            <w:r>
              <w:rPr>
                <w:rFonts w:ascii="Times New Roman" w:hAnsi="Times New Roman"/>
                <w:highlight w:val="none"/>
              </w:rPr>
              <w:t>500</w:t>
            </w:r>
          </w:p>
        </w:tc>
        <w:tc>
          <w:tcPr>
            <w:tcW w:w="1916" w:type="pct"/>
            <w:vMerge w:val="restart"/>
            <w:noWrap w:val="0"/>
            <w:vAlign w:val="center"/>
          </w:tcPr>
          <w:p w14:paraId="2DFB8FC4">
            <w:pPr>
              <w:pStyle w:val="27"/>
              <w:textAlignment w:val="center"/>
              <w:rPr>
                <w:rFonts w:ascii="Times New Roman" w:hAnsi="Times New Roman"/>
                <w:highlight w:val="none"/>
              </w:rPr>
            </w:pPr>
            <w:r>
              <w:rPr>
                <w:rFonts w:ascii="Times New Roman" w:hAnsi="Times New Roman"/>
                <w:highlight w:val="none"/>
              </w:rPr>
              <w:t>《污水综合排放标准》（GB8978-1996）三级标准</w:t>
            </w:r>
          </w:p>
        </w:tc>
      </w:tr>
      <w:tr w14:paraId="196FD5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blHeader/>
          <w:jc w:val="center"/>
        </w:trPr>
        <w:tc>
          <w:tcPr>
            <w:tcW w:w="804" w:type="pct"/>
            <w:vMerge w:val="continue"/>
            <w:noWrap w:val="0"/>
            <w:vAlign w:val="center"/>
          </w:tcPr>
          <w:p w14:paraId="0E3CAC1C">
            <w:pPr>
              <w:pStyle w:val="27"/>
              <w:contextualSpacing/>
              <w:rPr>
                <w:rFonts w:ascii="Times New Roman" w:hAnsi="Times New Roman"/>
                <w:highlight w:val="none"/>
              </w:rPr>
            </w:pPr>
          </w:p>
        </w:tc>
        <w:tc>
          <w:tcPr>
            <w:tcW w:w="876" w:type="pct"/>
            <w:noWrap w:val="0"/>
            <w:vAlign w:val="center"/>
          </w:tcPr>
          <w:p w14:paraId="64AD07FC">
            <w:pPr>
              <w:pStyle w:val="27"/>
              <w:contextualSpacing/>
              <w:rPr>
                <w:rFonts w:ascii="Times New Roman" w:hAnsi="Times New Roman"/>
                <w:highlight w:val="none"/>
              </w:rPr>
            </w:pPr>
            <w:r>
              <w:rPr>
                <w:rFonts w:ascii="Times New Roman" w:hAnsi="Times New Roman"/>
                <w:highlight w:val="none"/>
              </w:rPr>
              <w:t>BOD</w:t>
            </w:r>
            <w:r>
              <w:rPr>
                <w:rFonts w:ascii="Times New Roman" w:hAnsi="Times New Roman"/>
                <w:highlight w:val="none"/>
                <w:vertAlign w:val="subscript"/>
              </w:rPr>
              <w:t>5</w:t>
            </w:r>
          </w:p>
        </w:tc>
        <w:tc>
          <w:tcPr>
            <w:tcW w:w="521" w:type="pct"/>
            <w:noWrap w:val="0"/>
            <w:vAlign w:val="top"/>
          </w:tcPr>
          <w:p w14:paraId="46A6D5DB">
            <w:pPr>
              <w:pStyle w:val="27"/>
              <w:contextualSpacing/>
              <w:rPr>
                <w:rFonts w:ascii="Times New Roman" w:hAnsi="Times New Roman"/>
                <w:highlight w:val="none"/>
              </w:rPr>
            </w:pPr>
            <w:r>
              <w:rPr>
                <w:rFonts w:ascii="Times New Roman" w:hAnsi="Times New Roman"/>
                <w:highlight w:val="none"/>
              </w:rPr>
              <w:t>mg/L</w:t>
            </w:r>
          </w:p>
        </w:tc>
        <w:tc>
          <w:tcPr>
            <w:tcW w:w="882" w:type="pct"/>
            <w:noWrap w:val="0"/>
            <w:vAlign w:val="center"/>
          </w:tcPr>
          <w:p w14:paraId="6BA50D69">
            <w:pPr>
              <w:pStyle w:val="27"/>
              <w:contextualSpacing/>
              <w:rPr>
                <w:rFonts w:ascii="Times New Roman" w:hAnsi="Times New Roman"/>
                <w:highlight w:val="none"/>
              </w:rPr>
            </w:pPr>
            <w:r>
              <w:rPr>
                <w:rFonts w:ascii="Times New Roman" w:hAnsi="Times New Roman"/>
                <w:highlight w:val="none"/>
              </w:rPr>
              <w:t>300</w:t>
            </w:r>
          </w:p>
        </w:tc>
        <w:tc>
          <w:tcPr>
            <w:tcW w:w="1916" w:type="pct"/>
            <w:vMerge w:val="continue"/>
            <w:noWrap w:val="0"/>
            <w:vAlign w:val="center"/>
          </w:tcPr>
          <w:p w14:paraId="5EDFCA43">
            <w:pPr>
              <w:pStyle w:val="27"/>
              <w:textAlignment w:val="center"/>
              <w:rPr>
                <w:rFonts w:ascii="Times New Roman" w:hAnsi="Times New Roman"/>
                <w:highlight w:val="none"/>
              </w:rPr>
            </w:pPr>
          </w:p>
        </w:tc>
      </w:tr>
      <w:tr w14:paraId="69BD58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804" w:type="pct"/>
            <w:vMerge w:val="continue"/>
            <w:noWrap w:val="0"/>
            <w:vAlign w:val="center"/>
          </w:tcPr>
          <w:p w14:paraId="67B05E3F">
            <w:pPr>
              <w:pStyle w:val="27"/>
              <w:contextualSpacing/>
              <w:rPr>
                <w:rFonts w:ascii="Times New Roman" w:hAnsi="Times New Roman"/>
                <w:highlight w:val="none"/>
              </w:rPr>
            </w:pPr>
          </w:p>
        </w:tc>
        <w:tc>
          <w:tcPr>
            <w:tcW w:w="876" w:type="pct"/>
            <w:noWrap w:val="0"/>
            <w:vAlign w:val="center"/>
          </w:tcPr>
          <w:p w14:paraId="2A6335AB">
            <w:pPr>
              <w:pStyle w:val="27"/>
              <w:contextualSpacing/>
              <w:rPr>
                <w:rFonts w:ascii="Times New Roman" w:hAnsi="Times New Roman"/>
                <w:highlight w:val="none"/>
              </w:rPr>
            </w:pPr>
            <w:r>
              <w:rPr>
                <w:rFonts w:ascii="Times New Roman" w:hAnsi="Times New Roman"/>
                <w:highlight w:val="none"/>
              </w:rPr>
              <w:t>NH</w:t>
            </w:r>
            <w:r>
              <w:rPr>
                <w:rFonts w:ascii="Times New Roman" w:hAnsi="Times New Roman"/>
                <w:highlight w:val="none"/>
                <w:vertAlign w:val="subscript"/>
              </w:rPr>
              <w:t>3</w:t>
            </w:r>
            <w:r>
              <w:rPr>
                <w:rFonts w:ascii="Times New Roman" w:hAnsi="Times New Roman"/>
                <w:highlight w:val="none"/>
              </w:rPr>
              <w:t>-N</w:t>
            </w:r>
          </w:p>
        </w:tc>
        <w:tc>
          <w:tcPr>
            <w:tcW w:w="521" w:type="pct"/>
            <w:noWrap w:val="0"/>
            <w:vAlign w:val="top"/>
          </w:tcPr>
          <w:p w14:paraId="17975F15">
            <w:pPr>
              <w:pStyle w:val="27"/>
              <w:contextualSpacing/>
              <w:rPr>
                <w:rFonts w:ascii="Times New Roman" w:hAnsi="Times New Roman"/>
                <w:highlight w:val="none"/>
              </w:rPr>
            </w:pPr>
            <w:r>
              <w:rPr>
                <w:rFonts w:ascii="Times New Roman" w:hAnsi="Times New Roman"/>
                <w:highlight w:val="none"/>
              </w:rPr>
              <w:t>mg/L</w:t>
            </w:r>
          </w:p>
        </w:tc>
        <w:tc>
          <w:tcPr>
            <w:tcW w:w="882" w:type="pct"/>
            <w:noWrap w:val="0"/>
            <w:vAlign w:val="center"/>
          </w:tcPr>
          <w:p w14:paraId="553BB2D6">
            <w:pPr>
              <w:pStyle w:val="27"/>
              <w:contextualSpacing/>
              <w:rPr>
                <w:rFonts w:ascii="Times New Roman" w:hAnsi="Times New Roman"/>
                <w:highlight w:val="none"/>
              </w:rPr>
            </w:pPr>
            <w:r>
              <w:rPr>
                <w:rFonts w:ascii="Times New Roman" w:hAnsi="Times New Roman"/>
                <w:highlight w:val="none"/>
              </w:rPr>
              <w:t>-</w:t>
            </w:r>
          </w:p>
        </w:tc>
        <w:tc>
          <w:tcPr>
            <w:tcW w:w="1916" w:type="pct"/>
            <w:vMerge w:val="continue"/>
            <w:noWrap w:val="0"/>
            <w:vAlign w:val="center"/>
          </w:tcPr>
          <w:p w14:paraId="76883678">
            <w:pPr>
              <w:pStyle w:val="27"/>
              <w:textAlignment w:val="center"/>
              <w:rPr>
                <w:rFonts w:ascii="Times New Roman" w:hAnsi="Times New Roman"/>
                <w:highlight w:val="none"/>
              </w:rPr>
            </w:pPr>
          </w:p>
        </w:tc>
      </w:tr>
      <w:tr w14:paraId="62AA25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804" w:type="pct"/>
            <w:vMerge w:val="continue"/>
            <w:noWrap w:val="0"/>
            <w:vAlign w:val="center"/>
          </w:tcPr>
          <w:p w14:paraId="6F9DDDFA">
            <w:pPr>
              <w:pStyle w:val="27"/>
              <w:contextualSpacing/>
              <w:rPr>
                <w:rFonts w:ascii="Times New Roman" w:hAnsi="Times New Roman"/>
                <w:highlight w:val="none"/>
              </w:rPr>
            </w:pPr>
          </w:p>
        </w:tc>
        <w:tc>
          <w:tcPr>
            <w:tcW w:w="876" w:type="pct"/>
            <w:noWrap w:val="0"/>
            <w:vAlign w:val="center"/>
          </w:tcPr>
          <w:p w14:paraId="3D445CBD">
            <w:pPr>
              <w:pStyle w:val="27"/>
              <w:contextualSpacing/>
              <w:rPr>
                <w:rFonts w:ascii="Times New Roman" w:hAnsi="Times New Roman"/>
                <w:highlight w:val="none"/>
              </w:rPr>
            </w:pPr>
            <w:r>
              <w:rPr>
                <w:rFonts w:ascii="Times New Roman" w:hAnsi="Times New Roman"/>
                <w:highlight w:val="none"/>
              </w:rPr>
              <w:t>SS</w:t>
            </w:r>
          </w:p>
        </w:tc>
        <w:tc>
          <w:tcPr>
            <w:tcW w:w="521" w:type="pct"/>
            <w:noWrap w:val="0"/>
            <w:vAlign w:val="top"/>
          </w:tcPr>
          <w:p w14:paraId="6D6700BC">
            <w:pPr>
              <w:pStyle w:val="27"/>
              <w:contextualSpacing/>
              <w:rPr>
                <w:rFonts w:ascii="Times New Roman" w:hAnsi="Times New Roman"/>
                <w:highlight w:val="none"/>
              </w:rPr>
            </w:pPr>
            <w:r>
              <w:rPr>
                <w:rFonts w:ascii="Times New Roman" w:hAnsi="Times New Roman"/>
                <w:highlight w:val="none"/>
              </w:rPr>
              <w:t>mg/L</w:t>
            </w:r>
          </w:p>
        </w:tc>
        <w:tc>
          <w:tcPr>
            <w:tcW w:w="882" w:type="pct"/>
            <w:noWrap w:val="0"/>
            <w:vAlign w:val="center"/>
          </w:tcPr>
          <w:p w14:paraId="72E66554">
            <w:pPr>
              <w:pStyle w:val="27"/>
              <w:contextualSpacing/>
              <w:rPr>
                <w:rFonts w:ascii="Times New Roman" w:hAnsi="Times New Roman"/>
                <w:highlight w:val="none"/>
              </w:rPr>
            </w:pPr>
            <w:r>
              <w:rPr>
                <w:rFonts w:ascii="Times New Roman" w:hAnsi="Times New Roman"/>
                <w:highlight w:val="none"/>
              </w:rPr>
              <w:t>400</w:t>
            </w:r>
          </w:p>
        </w:tc>
        <w:tc>
          <w:tcPr>
            <w:tcW w:w="1916" w:type="pct"/>
            <w:vMerge w:val="continue"/>
            <w:noWrap w:val="0"/>
            <w:vAlign w:val="center"/>
          </w:tcPr>
          <w:p w14:paraId="539028F2">
            <w:pPr>
              <w:pStyle w:val="27"/>
              <w:textAlignment w:val="center"/>
              <w:rPr>
                <w:rFonts w:ascii="Times New Roman" w:hAnsi="Times New Roman"/>
                <w:highlight w:val="none"/>
              </w:rPr>
            </w:pPr>
          </w:p>
        </w:tc>
      </w:tr>
      <w:tr w14:paraId="59D70D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804" w:type="pct"/>
            <w:vMerge w:val="restart"/>
            <w:noWrap w:val="0"/>
            <w:vAlign w:val="center"/>
          </w:tcPr>
          <w:p w14:paraId="1208443E">
            <w:pPr>
              <w:pStyle w:val="27"/>
              <w:contextualSpacing/>
              <w:rPr>
                <w:rFonts w:hint="eastAsia" w:ascii="Times New Roman" w:hAnsi="Times New Roman" w:eastAsia="新宋体"/>
                <w:highlight w:val="none"/>
                <w:lang w:val="en-US" w:eastAsia="zh-CN"/>
              </w:rPr>
            </w:pPr>
            <w:r>
              <w:rPr>
                <w:rFonts w:hint="eastAsia" w:ascii="Times New Roman" w:hAnsi="Times New Roman"/>
                <w:highlight w:val="none"/>
                <w:lang w:val="en-US" w:eastAsia="zh-CN"/>
              </w:rPr>
              <w:t>脱硫废水</w:t>
            </w:r>
          </w:p>
        </w:tc>
        <w:tc>
          <w:tcPr>
            <w:tcW w:w="876" w:type="pct"/>
            <w:noWrap w:val="0"/>
            <w:vAlign w:val="center"/>
          </w:tcPr>
          <w:p w14:paraId="5F74DA99">
            <w:pPr>
              <w:pStyle w:val="27"/>
              <w:contextualSpacing/>
              <w:rPr>
                <w:rFonts w:hint="default" w:ascii="Times New Roman" w:hAnsi="Times New Roman" w:eastAsia="新宋体"/>
                <w:highlight w:val="none"/>
                <w:lang w:val="en-US" w:eastAsia="zh-CN"/>
              </w:rPr>
            </w:pPr>
            <w:r>
              <w:rPr>
                <w:rFonts w:hint="eastAsia" w:ascii="Times New Roman" w:hAnsi="Times New Roman"/>
                <w:highlight w:val="none"/>
                <w:lang w:val="en-US" w:eastAsia="zh-CN"/>
              </w:rPr>
              <w:t>总镉</w:t>
            </w:r>
          </w:p>
        </w:tc>
        <w:tc>
          <w:tcPr>
            <w:tcW w:w="888" w:type="dxa"/>
            <w:noWrap w:val="0"/>
            <w:vAlign w:val="center"/>
          </w:tcPr>
          <w:p w14:paraId="751D89AA">
            <w:pPr>
              <w:pStyle w:val="27"/>
              <w:ind w:firstLine="0" w:firstLineChars="0"/>
              <w:contextualSpacing/>
              <w:rPr>
                <w:rFonts w:ascii="Times New Roman" w:hAnsi="Times New Roman"/>
                <w:highlight w:val="none"/>
              </w:rPr>
            </w:pPr>
            <w:r>
              <w:rPr>
                <w:rFonts w:ascii="Times New Roman" w:hAnsi="Times New Roman"/>
                <w:highlight w:val="none"/>
              </w:rPr>
              <w:t>mg/L</w:t>
            </w:r>
          </w:p>
        </w:tc>
        <w:tc>
          <w:tcPr>
            <w:tcW w:w="882" w:type="pct"/>
            <w:noWrap w:val="0"/>
            <w:vAlign w:val="center"/>
          </w:tcPr>
          <w:p w14:paraId="68C12087">
            <w:pPr>
              <w:pStyle w:val="27"/>
              <w:contextualSpacing/>
              <w:rPr>
                <w:rFonts w:hint="default" w:ascii="Times New Roman" w:hAnsi="Times New Roman" w:eastAsia="新宋体"/>
                <w:highlight w:val="none"/>
                <w:lang w:val="en-US" w:eastAsia="zh-CN"/>
              </w:rPr>
            </w:pPr>
            <w:r>
              <w:rPr>
                <w:rFonts w:hint="eastAsia" w:ascii="Times New Roman" w:hAnsi="Times New Roman"/>
                <w:highlight w:val="none"/>
                <w:lang w:val="en-US" w:eastAsia="zh-CN"/>
              </w:rPr>
              <w:t>0.1</w:t>
            </w:r>
          </w:p>
        </w:tc>
        <w:tc>
          <w:tcPr>
            <w:tcW w:w="1916" w:type="pct"/>
            <w:vMerge w:val="restart"/>
            <w:noWrap w:val="0"/>
            <w:vAlign w:val="center"/>
          </w:tcPr>
          <w:p w14:paraId="5D31BFB1">
            <w:pPr>
              <w:pStyle w:val="27"/>
              <w:textAlignment w:val="center"/>
              <w:rPr>
                <w:rFonts w:ascii="Times New Roman" w:hAnsi="Times New Roman"/>
                <w:highlight w:val="none"/>
              </w:rPr>
            </w:pPr>
            <w:r>
              <w:rPr>
                <w:rFonts w:hint="eastAsia" w:ascii="Times New Roman" w:hAnsi="Times New Roman"/>
                <w:highlight w:val="none"/>
                <w:lang w:val="en-US"/>
              </w:rPr>
              <w:t>《污水综合排放排放标准》中表1标准</w:t>
            </w:r>
          </w:p>
        </w:tc>
      </w:tr>
      <w:tr w14:paraId="0A8346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804" w:type="pct"/>
            <w:vMerge w:val="continue"/>
            <w:noWrap w:val="0"/>
            <w:vAlign w:val="center"/>
          </w:tcPr>
          <w:p w14:paraId="2584BF6A">
            <w:pPr>
              <w:pStyle w:val="27"/>
              <w:contextualSpacing/>
              <w:rPr>
                <w:rFonts w:ascii="Times New Roman" w:hAnsi="Times New Roman"/>
                <w:highlight w:val="none"/>
              </w:rPr>
            </w:pPr>
          </w:p>
        </w:tc>
        <w:tc>
          <w:tcPr>
            <w:tcW w:w="876" w:type="pct"/>
            <w:noWrap w:val="0"/>
            <w:vAlign w:val="center"/>
          </w:tcPr>
          <w:p w14:paraId="5515B44F">
            <w:pPr>
              <w:pStyle w:val="27"/>
              <w:contextualSpacing/>
              <w:rPr>
                <w:rFonts w:hint="default" w:ascii="Times New Roman" w:hAnsi="Times New Roman" w:eastAsia="新宋体"/>
                <w:highlight w:val="none"/>
                <w:lang w:val="en-US" w:eastAsia="zh-CN"/>
              </w:rPr>
            </w:pPr>
            <w:r>
              <w:rPr>
                <w:rFonts w:hint="eastAsia" w:ascii="Times New Roman" w:hAnsi="Times New Roman"/>
                <w:highlight w:val="none"/>
                <w:lang w:val="en-US" w:eastAsia="zh-CN"/>
              </w:rPr>
              <w:t>总铬</w:t>
            </w:r>
          </w:p>
        </w:tc>
        <w:tc>
          <w:tcPr>
            <w:tcW w:w="888" w:type="dxa"/>
            <w:noWrap w:val="0"/>
            <w:vAlign w:val="top"/>
          </w:tcPr>
          <w:p w14:paraId="742F037A">
            <w:pPr>
              <w:pStyle w:val="27"/>
              <w:ind w:firstLine="0" w:firstLineChars="0"/>
              <w:contextualSpacing/>
              <w:rPr>
                <w:rFonts w:ascii="Times New Roman" w:hAnsi="Times New Roman"/>
                <w:highlight w:val="none"/>
              </w:rPr>
            </w:pPr>
            <w:r>
              <w:rPr>
                <w:rFonts w:ascii="Times New Roman" w:hAnsi="Times New Roman"/>
                <w:highlight w:val="none"/>
              </w:rPr>
              <w:t>mg/L</w:t>
            </w:r>
          </w:p>
        </w:tc>
        <w:tc>
          <w:tcPr>
            <w:tcW w:w="882" w:type="pct"/>
            <w:noWrap w:val="0"/>
            <w:vAlign w:val="center"/>
          </w:tcPr>
          <w:p w14:paraId="5C5F6BD9">
            <w:pPr>
              <w:pStyle w:val="27"/>
              <w:contextualSpacing/>
              <w:rPr>
                <w:rFonts w:hint="default" w:ascii="Times New Roman" w:hAnsi="Times New Roman" w:eastAsia="新宋体"/>
                <w:highlight w:val="none"/>
                <w:lang w:val="en-US" w:eastAsia="zh-CN"/>
              </w:rPr>
            </w:pPr>
            <w:r>
              <w:rPr>
                <w:rFonts w:hint="eastAsia" w:ascii="Times New Roman" w:hAnsi="Times New Roman"/>
                <w:highlight w:val="none"/>
                <w:lang w:val="en-US" w:eastAsia="zh-CN"/>
              </w:rPr>
              <w:t>1.5</w:t>
            </w:r>
          </w:p>
        </w:tc>
        <w:tc>
          <w:tcPr>
            <w:tcW w:w="1916" w:type="pct"/>
            <w:vMerge w:val="continue"/>
            <w:noWrap w:val="0"/>
            <w:vAlign w:val="center"/>
          </w:tcPr>
          <w:p w14:paraId="7347A4EE">
            <w:pPr>
              <w:pStyle w:val="27"/>
              <w:textAlignment w:val="center"/>
              <w:rPr>
                <w:rFonts w:ascii="Times New Roman" w:hAnsi="Times New Roman"/>
                <w:highlight w:val="none"/>
              </w:rPr>
            </w:pPr>
          </w:p>
        </w:tc>
      </w:tr>
      <w:tr w14:paraId="4B8DF1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804" w:type="pct"/>
            <w:vMerge w:val="continue"/>
            <w:noWrap w:val="0"/>
            <w:vAlign w:val="center"/>
          </w:tcPr>
          <w:p w14:paraId="200C7000">
            <w:pPr>
              <w:pStyle w:val="27"/>
              <w:contextualSpacing/>
              <w:rPr>
                <w:rFonts w:ascii="Times New Roman" w:hAnsi="Times New Roman"/>
                <w:highlight w:val="none"/>
              </w:rPr>
            </w:pPr>
          </w:p>
        </w:tc>
        <w:tc>
          <w:tcPr>
            <w:tcW w:w="876" w:type="pct"/>
            <w:noWrap w:val="0"/>
            <w:vAlign w:val="center"/>
          </w:tcPr>
          <w:p w14:paraId="7215DB43">
            <w:pPr>
              <w:pStyle w:val="27"/>
              <w:contextualSpacing/>
              <w:rPr>
                <w:rFonts w:hint="default" w:ascii="Times New Roman" w:hAnsi="Times New Roman" w:eastAsia="新宋体"/>
                <w:highlight w:val="none"/>
                <w:lang w:val="en-US" w:eastAsia="zh-CN"/>
              </w:rPr>
            </w:pPr>
            <w:r>
              <w:rPr>
                <w:rFonts w:hint="eastAsia" w:ascii="Times New Roman" w:hAnsi="Times New Roman"/>
                <w:highlight w:val="none"/>
                <w:lang w:val="en-US" w:eastAsia="zh-CN"/>
              </w:rPr>
              <w:t>总汞</w:t>
            </w:r>
          </w:p>
        </w:tc>
        <w:tc>
          <w:tcPr>
            <w:tcW w:w="888" w:type="dxa"/>
            <w:noWrap w:val="0"/>
            <w:vAlign w:val="top"/>
          </w:tcPr>
          <w:p w14:paraId="1DD08643">
            <w:pPr>
              <w:pStyle w:val="27"/>
              <w:ind w:firstLine="0" w:firstLineChars="0"/>
              <w:contextualSpacing/>
              <w:rPr>
                <w:rFonts w:ascii="Times New Roman" w:hAnsi="Times New Roman"/>
                <w:highlight w:val="none"/>
              </w:rPr>
            </w:pPr>
            <w:r>
              <w:rPr>
                <w:rFonts w:ascii="Times New Roman" w:hAnsi="Times New Roman"/>
                <w:highlight w:val="none"/>
              </w:rPr>
              <w:t>mg/L</w:t>
            </w:r>
          </w:p>
        </w:tc>
        <w:tc>
          <w:tcPr>
            <w:tcW w:w="882" w:type="pct"/>
            <w:noWrap w:val="0"/>
            <w:vAlign w:val="center"/>
          </w:tcPr>
          <w:p w14:paraId="627639BF">
            <w:pPr>
              <w:pStyle w:val="27"/>
              <w:contextualSpacing/>
              <w:rPr>
                <w:rFonts w:hint="default" w:ascii="Times New Roman" w:hAnsi="Times New Roman" w:eastAsia="新宋体"/>
                <w:highlight w:val="none"/>
                <w:lang w:val="en-US" w:eastAsia="zh-CN"/>
              </w:rPr>
            </w:pPr>
            <w:r>
              <w:rPr>
                <w:rFonts w:hint="eastAsia" w:ascii="Times New Roman" w:hAnsi="Times New Roman"/>
                <w:highlight w:val="none"/>
                <w:lang w:val="en-US" w:eastAsia="zh-CN"/>
              </w:rPr>
              <w:t>0.05</w:t>
            </w:r>
          </w:p>
        </w:tc>
        <w:tc>
          <w:tcPr>
            <w:tcW w:w="1916" w:type="pct"/>
            <w:vMerge w:val="continue"/>
            <w:noWrap w:val="0"/>
            <w:vAlign w:val="center"/>
          </w:tcPr>
          <w:p w14:paraId="42A8B8A6">
            <w:pPr>
              <w:pStyle w:val="27"/>
              <w:textAlignment w:val="center"/>
              <w:rPr>
                <w:rFonts w:ascii="Times New Roman" w:hAnsi="Times New Roman"/>
                <w:highlight w:val="none"/>
              </w:rPr>
            </w:pPr>
          </w:p>
        </w:tc>
      </w:tr>
    </w:tbl>
    <w:p w14:paraId="428C862A">
      <w:pPr>
        <w:ind w:firstLine="480"/>
        <w:rPr>
          <w:rFonts w:ascii="Times New Roman" w:hAnsi="Times New Roman"/>
          <w:highlight w:val="none"/>
        </w:rPr>
      </w:pPr>
      <w:r>
        <w:rPr>
          <w:rFonts w:ascii="Times New Roman" w:hAnsi="Times New Roman"/>
          <w:highlight w:val="none"/>
        </w:rPr>
        <w:t>3、噪声排放标准</w:t>
      </w:r>
    </w:p>
    <w:p w14:paraId="309698C0">
      <w:pPr>
        <w:ind w:firstLine="480"/>
        <w:rPr>
          <w:rFonts w:ascii="Times New Roman" w:hAnsi="Times New Roman"/>
          <w:highlight w:val="none"/>
        </w:rPr>
      </w:pPr>
      <w:r>
        <w:rPr>
          <w:rFonts w:ascii="Times New Roman" w:hAnsi="Times New Roman"/>
          <w:highlight w:val="none"/>
        </w:rPr>
        <w:t>本次评价厂界噪声执行《工业企业厂界环境噪声排放标准》（GB12348-2008）表1中的</w:t>
      </w:r>
      <w:r>
        <w:rPr>
          <w:rFonts w:hint="eastAsia" w:ascii="Times New Roman" w:hAnsi="Times New Roman"/>
          <w:highlight w:val="none"/>
          <w:lang w:val="en-US" w:eastAsia="zh-CN"/>
        </w:rPr>
        <w:t>2</w:t>
      </w:r>
      <w:r>
        <w:rPr>
          <w:rFonts w:ascii="Times New Roman" w:hAnsi="Times New Roman"/>
          <w:highlight w:val="none"/>
        </w:rPr>
        <w:t>类</w:t>
      </w:r>
      <w:r>
        <w:rPr>
          <w:rFonts w:hint="eastAsia" w:ascii="Times New Roman" w:hAnsi="Times New Roman"/>
          <w:highlight w:val="none"/>
          <w:lang w:val="en-US" w:eastAsia="zh-CN"/>
        </w:rPr>
        <w:t>和4类</w:t>
      </w:r>
      <w:r>
        <w:rPr>
          <w:rFonts w:ascii="Times New Roman" w:hAnsi="Times New Roman"/>
          <w:highlight w:val="none"/>
        </w:rPr>
        <w:t>标准。施工期执行《建筑施工场界环境噪声排放标准》（GB12523-2011）。具体标准值见表2.3-1</w:t>
      </w:r>
      <w:r>
        <w:rPr>
          <w:rFonts w:hint="eastAsia" w:ascii="Times New Roman" w:hAnsi="Times New Roman"/>
          <w:highlight w:val="none"/>
        </w:rPr>
        <w:t>1</w:t>
      </w:r>
      <w:r>
        <w:rPr>
          <w:rFonts w:ascii="Times New Roman" w:hAnsi="Times New Roman"/>
          <w:highlight w:val="none"/>
        </w:rPr>
        <w:t>。</w:t>
      </w:r>
    </w:p>
    <w:p w14:paraId="7487CF76">
      <w:pPr>
        <w:keepNext w:val="0"/>
        <w:keepLines w:val="0"/>
        <w:pageBreakBefore w:val="0"/>
        <w:widowControl w:val="0"/>
        <w:kinsoku/>
        <w:wordWrap/>
        <w:overflowPunct/>
        <w:topLinePunct w:val="0"/>
        <w:bidi w:val="0"/>
        <w:snapToGrid/>
        <w:spacing w:line="480" w:lineRule="exact"/>
        <w:jc w:val="center"/>
        <w:textAlignment w:val="auto"/>
        <w:rPr>
          <w:rFonts w:ascii="Times New Roman" w:hAnsi="Times New Roman"/>
          <w:highlight w:val="none"/>
        </w:rPr>
      </w:pPr>
      <w:r>
        <w:rPr>
          <w:rFonts w:hint="default" w:ascii="Times New Roman" w:hAnsi="Times New Roman" w:eastAsia="黑体" w:cs="Times New Roman"/>
          <w:color w:val="auto"/>
          <w:spacing w:val="0"/>
          <w:sz w:val="24"/>
          <w:szCs w:val="24"/>
          <w:highlight w:val="none"/>
        </w:rPr>
        <w:t>表2.3-1</w:t>
      </w:r>
      <w:r>
        <w:rPr>
          <w:rFonts w:hint="eastAsia" w:ascii="Times New Roman" w:hAnsi="Times New Roman" w:eastAsia="黑体" w:cs="Times New Roman"/>
          <w:color w:val="auto"/>
          <w:spacing w:val="0"/>
          <w:sz w:val="24"/>
          <w:szCs w:val="24"/>
          <w:highlight w:val="none"/>
        </w:rPr>
        <w:t>1</w:t>
      </w:r>
      <w:r>
        <w:rPr>
          <w:rFonts w:hint="default" w:ascii="Times New Roman" w:hAnsi="Times New Roman" w:eastAsia="黑体" w:cs="Times New Roman"/>
          <w:color w:val="auto"/>
          <w:spacing w:val="0"/>
          <w:sz w:val="24"/>
          <w:szCs w:val="24"/>
          <w:highlight w:val="none"/>
        </w:rPr>
        <w:t>噪声排放标准值</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768"/>
        <w:gridCol w:w="1110"/>
        <w:gridCol w:w="914"/>
        <w:gridCol w:w="851"/>
        <w:gridCol w:w="3879"/>
      </w:tblGrid>
      <w:tr w14:paraId="60FB200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1" w:hRule="atLeast"/>
          <w:jc w:val="center"/>
        </w:trPr>
        <w:tc>
          <w:tcPr>
            <w:tcW w:w="1037" w:type="pct"/>
            <w:vMerge w:val="restart"/>
            <w:noWrap w:val="0"/>
            <w:vAlign w:val="center"/>
          </w:tcPr>
          <w:p w14:paraId="3CB2F21C">
            <w:pPr>
              <w:pStyle w:val="27"/>
              <w:rPr>
                <w:rFonts w:ascii="Times New Roman" w:hAnsi="Times New Roman"/>
                <w:highlight w:val="none"/>
              </w:rPr>
            </w:pPr>
            <w:r>
              <w:rPr>
                <w:rFonts w:ascii="Times New Roman" w:hAnsi="Times New Roman"/>
                <w:highlight w:val="none"/>
              </w:rPr>
              <w:t>对象</w:t>
            </w:r>
          </w:p>
        </w:tc>
        <w:tc>
          <w:tcPr>
            <w:tcW w:w="651" w:type="pct"/>
            <w:vMerge w:val="restart"/>
            <w:noWrap w:val="0"/>
            <w:vAlign w:val="center"/>
          </w:tcPr>
          <w:p w14:paraId="51D51432">
            <w:pPr>
              <w:pStyle w:val="27"/>
              <w:rPr>
                <w:rFonts w:ascii="Times New Roman" w:hAnsi="Times New Roman"/>
                <w:highlight w:val="none"/>
              </w:rPr>
            </w:pPr>
            <w:r>
              <w:rPr>
                <w:rFonts w:ascii="Times New Roman" w:hAnsi="Times New Roman"/>
                <w:highlight w:val="none"/>
              </w:rPr>
              <w:t>单位</w:t>
            </w:r>
          </w:p>
        </w:tc>
        <w:tc>
          <w:tcPr>
            <w:tcW w:w="1035" w:type="pct"/>
            <w:gridSpan w:val="2"/>
            <w:noWrap w:val="0"/>
            <w:vAlign w:val="center"/>
          </w:tcPr>
          <w:p w14:paraId="52B9EA36">
            <w:pPr>
              <w:pStyle w:val="27"/>
              <w:rPr>
                <w:rFonts w:ascii="Times New Roman" w:hAnsi="Times New Roman"/>
                <w:highlight w:val="none"/>
              </w:rPr>
            </w:pPr>
            <w:r>
              <w:rPr>
                <w:rFonts w:ascii="Times New Roman" w:hAnsi="Times New Roman"/>
                <w:highlight w:val="none"/>
              </w:rPr>
              <w:t>标准限值</w:t>
            </w:r>
          </w:p>
        </w:tc>
        <w:tc>
          <w:tcPr>
            <w:tcW w:w="2275" w:type="pct"/>
            <w:vMerge w:val="restart"/>
            <w:noWrap w:val="0"/>
            <w:vAlign w:val="center"/>
          </w:tcPr>
          <w:p w14:paraId="3433E2A7">
            <w:pPr>
              <w:pStyle w:val="27"/>
              <w:rPr>
                <w:rFonts w:ascii="Times New Roman" w:hAnsi="Times New Roman"/>
                <w:highlight w:val="none"/>
              </w:rPr>
            </w:pPr>
            <w:r>
              <w:rPr>
                <w:rFonts w:ascii="Times New Roman" w:hAnsi="Times New Roman"/>
                <w:highlight w:val="none"/>
              </w:rPr>
              <w:t>标准来源</w:t>
            </w:r>
          </w:p>
        </w:tc>
      </w:tr>
      <w:tr w14:paraId="40BB86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4" w:hRule="atLeast"/>
          <w:jc w:val="center"/>
        </w:trPr>
        <w:tc>
          <w:tcPr>
            <w:tcW w:w="1037" w:type="pct"/>
            <w:vMerge w:val="continue"/>
            <w:noWrap w:val="0"/>
            <w:vAlign w:val="center"/>
          </w:tcPr>
          <w:p w14:paraId="2537ABB8">
            <w:pPr>
              <w:pStyle w:val="27"/>
              <w:rPr>
                <w:rFonts w:ascii="Times New Roman" w:hAnsi="Times New Roman"/>
                <w:highlight w:val="none"/>
              </w:rPr>
            </w:pPr>
          </w:p>
        </w:tc>
        <w:tc>
          <w:tcPr>
            <w:tcW w:w="651" w:type="pct"/>
            <w:vMerge w:val="continue"/>
            <w:noWrap w:val="0"/>
            <w:vAlign w:val="center"/>
          </w:tcPr>
          <w:p w14:paraId="78D0D00D">
            <w:pPr>
              <w:pStyle w:val="27"/>
              <w:rPr>
                <w:rFonts w:ascii="Times New Roman" w:hAnsi="Times New Roman"/>
                <w:highlight w:val="none"/>
              </w:rPr>
            </w:pPr>
          </w:p>
        </w:tc>
        <w:tc>
          <w:tcPr>
            <w:tcW w:w="536" w:type="pct"/>
            <w:noWrap w:val="0"/>
            <w:vAlign w:val="center"/>
          </w:tcPr>
          <w:p w14:paraId="465144E6">
            <w:pPr>
              <w:pStyle w:val="27"/>
              <w:rPr>
                <w:rFonts w:ascii="Times New Roman" w:hAnsi="Times New Roman"/>
                <w:highlight w:val="none"/>
              </w:rPr>
            </w:pPr>
            <w:r>
              <w:rPr>
                <w:rFonts w:ascii="Times New Roman" w:hAnsi="Times New Roman"/>
                <w:highlight w:val="none"/>
              </w:rPr>
              <w:t>昼间</w:t>
            </w:r>
          </w:p>
        </w:tc>
        <w:tc>
          <w:tcPr>
            <w:tcW w:w="499" w:type="pct"/>
            <w:noWrap w:val="0"/>
            <w:vAlign w:val="center"/>
          </w:tcPr>
          <w:p w14:paraId="7A2CDFCC">
            <w:pPr>
              <w:pStyle w:val="27"/>
              <w:rPr>
                <w:rFonts w:ascii="Times New Roman" w:hAnsi="Times New Roman"/>
                <w:highlight w:val="none"/>
              </w:rPr>
            </w:pPr>
            <w:r>
              <w:rPr>
                <w:rFonts w:ascii="Times New Roman" w:hAnsi="Times New Roman"/>
                <w:highlight w:val="none"/>
              </w:rPr>
              <w:t>夜间</w:t>
            </w:r>
          </w:p>
        </w:tc>
        <w:tc>
          <w:tcPr>
            <w:tcW w:w="2275" w:type="pct"/>
            <w:vMerge w:val="continue"/>
            <w:noWrap w:val="0"/>
            <w:vAlign w:val="center"/>
          </w:tcPr>
          <w:p w14:paraId="3B4FC597">
            <w:pPr>
              <w:pStyle w:val="27"/>
              <w:rPr>
                <w:rFonts w:ascii="Times New Roman" w:hAnsi="Times New Roman"/>
                <w:highlight w:val="none"/>
              </w:rPr>
            </w:pPr>
          </w:p>
        </w:tc>
      </w:tr>
      <w:tr w14:paraId="18D4318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7" w:hRule="atLeast"/>
          <w:jc w:val="center"/>
        </w:trPr>
        <w:tc>
          <w:tcPr>
            <w:tcW w:w="1037" w:type="pct"/>
            <w:vMerge w:val="restart"/>
            <w:noWrap w:val="0"/>
            <w:vAlign w:val="center"/>
          </w:tcPr>
          <w:p w14:paraId="76A6ED3B">
            <w:pPr>
              <w:pStyle w:val="27"/>
              <w:rPr>
                <w:rFonts w:ascii="Times New Roman" w:hAnsi="Times New Roman"/>
                <w:highlight w:val="none"/>
              </w:rPr>
            </w:pPr>
            <w:r>
              <w:rPr>
                <w:rFonts w:ascii="Times New Roman" w:hAnsi="Times New Roman"/>
                <w:highlight w:val="none"/>
              </w:rPr>
              <w:t>厂界噪声</w:t>
            </w:r>
          </w:p>
        </w:tc>
        <w:tc>
          <w:tcPr>
            <w:tcW w:w="651" w:type="pct"/>
            <w:vMerge w:val="restart"/>
            <w:noWrap w:val="0"/>
            <w:vAlign w:val="center"/>
          </w:tcPr>
          <w:p w14:paraId="6C8BA720">
            <w:pPr>
              <w:pStyle w:val="27"/>
              <w:rPr>
                <w:rFonts w:ascii="Times New Roman" w:hAnsi="Times New Roman"/>
                <w:highlight w:val="none"/>
              </w:rPr>
            </w:pPr>
            <w:r>
              <w:rPr>
                <w:rFonts w:ascii="Times New Roman" w:hAnsi="Times New Roman"/>
                <w:highlight w:val="none"/>
              </w:rPr>
              <w:t>dB（A）</w:t>
            </w:r>
          </w:p>
        </w:tc>
        <w:tc>
          <w:tcPr>
            <w:tcW w:w="536" w:type="pct"/>
            <w:noWrap w:val="0"/>
            <w:vAlign w:val="center"/>
          </w:tcPr>
          <w:p w14:paraId="1015D9FF">
            <w:pPr>
              <w:pStyle w:val="27"/>
              <w:rPr>
                <w:rFonts w:hint="default" w:ascii="Times New Roman" w:hAnsi="Times New Roman" w:eastAsia="新宋体"/>
                <w:highlight w:val="none"/>
                <w:lang w:val="en-US" w:eastAsia="zh-CN"/>
              </w:rPr>
            </w:pPr>
            <w:r>
              <w:rPr>
                <w:rFonts w:hint="eastAsia" w:ascii="Times New Roman" w:hAnsi="Times New Roman"/>
                <w:highlight w:val="none"/>
                <w:lang w:val="en-US" w:eastAsia="zh-CN"/>
              </w:rPr>
              <w:t>60</w:t>
            </w:r>
          </w:p>
        </w:tc>
        <w:tc>
          <w:tcPr>
            <w:tcW w:w="499" w:type="pct"/>
            <w:noWrap w:val="0"/>
            <w:vAlign w:val="center"/>
          </w:tcPr>
          <w:p w14:paraId="7FC11D6E">
            <w:pPr>
              <w:pStyle w:val="27"/>
              <w:rPr>
                <w:rFonts w:hint="default" w:ascii="Times New Roman" w:hAnsi="Times New Roman" w:eastAsia="新宋体"/>
                <w:highlight w:val="none"/>
                <w:lang w:val="en-US" w:eastAsia="zh-CN"/>
              </w:rPr>
            </w:pPr>
            <w:r>
              <w:rPr>
                <w:rFonts w:hint="eastAsia" w:ascii="Times New Roman" w:hAnsi="Times New Roman"/>
                <w:highlight w:val="none"/>
                <w:lang w:val="en-US" w:eastAsia="zh-CN"/>
              </w:rPr>
              <w:t>50</w:t>
            </w:r>
          </w:p>
        </w:tc>
        <w:tc>
          <w:tcPr>
            <w:tcW w:w="2275" w:type="pct"/>
            <w:vMerge w:val="restart"/>
            <w:noWrap w:val="0"/>
            <w:vAlign w:val="center"/>
          </w:tcPr>
          <w:p w14:paraId="3BE925BC">
            <w:pPr>
              <w:pStyle w:val="27"/>
              <w:rPr>
                <w:rFonts w:ascii="Times New Roman" w:hAnsi="Times New Roman"/>
                <w:highlight w:val="none"/>
              </w:rPr>
            </w:pPr>
            <w:r>
              <w:rPr>
                <w:rFonts w:ascii="Times New Roman" w:hAnsi="Times New Roman"/>
                <w:highlight w:val="none"/>
              </w:rPr>
              <w:t>《工业企业厂界环境噪声排放标准》（GB12348-2008）表1中</w:t>
            </w:r>
            <w:r>
              <w:rPr>
                <w:rFonts w:hint="eastAsia" w:ascii="Times New Roman" w:hAnsi="Times New Roman"/>
                <w:highlight w:val="none"/>
                <w:lang w:val="en-US" w:eastAsia="zh-CN"/>
              </w:rPr>
              <w:t>2</w:t>
            </w:r>
            <w:r>
              <w:rPr>
                <w:rFonts w:ascii="Times New Roman" w:hAnsi="Times New Roman"/>
                <w:highlight w:val="none"/>
              </w:rPr>
              <w:t>类</w:t>
            </w:r>
            <w:r>
              <w:rPr>
                <w:rFonts w:hint="eastAsia" w:ascii="Times New Roman" w:hAnsi="Times New Roman"/>
                <w:highlight w:val="none"/>
                <w:lang w:val="en-US" w:eastAsia="zh-CN"/>
              </w:rPr>
              <w:t>和4类</w:t>
            </w:r>
            <w:r>
              <w:rPr>
                <w:rFonts w:ascii="Times New Roman" w:hAnsi="Times New Roman"/>
                <w:highlight w:val="none"/>
              </w:rPr>
              <w:t>标准</w:t>
            </w:r>
          </w:p>
        </w:tc>
      </w:tr>
      <w:tr w14:paraId="0B1FD29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7" w:hRule="atLeast"/>
          <w:jc w:val="center"/>
        </w:trPr>
        <w:tc>
          <w:tcPr>
            <w:tcW w:w="1037" w:type="pct"/>
            <w:vMerge w:val="continue"/>
            <w:noWrap w:val="0"/>
            <w:vAlign w:val="center"/>
          </w:tcPr>
          <w:p w14:paraId="40541B1B">
            <w:pPr>
              <w:pStyle w:val="27"/>
              <w:rPr>
                <w:rFonts w:ascii="Times New Roman" w:hAnsi="Times New Roman"/>
                <w:highlight w:val="none"/>
              </w:rPr>
            </w:pPr>
          </w:p>
        </w:tc>
        <w:tc>
          <w:tcPr>
            <w:tcW w:w="651" w:type="pct"/>
            <w:vMerge w:val="continue"/>
            <w:noWrap w:val="0"/>
            <w:vAlign w:val="center"/>
          </w:tcPr>
          <w:p w14:paraId="06021CA1">
            <w:pPr>
              <w:pStyle w:val="27"/>
              <w:rPr>
                <w:rFonts w:ascii="Times New Roman" w:hAnsi="Times New Roman"/>
                <w:highlight w:val="none"/>
              </w:rPr>
            </w:pPr>
          </w:p>
        </w:tc>
        <w:tc>
          <w:tcPr>
            <w:tcW w:w="536" w:type="pct"/>
            <w:noWrap w:val="0"/>
            <w:vAlign w:val="center"/>
          </w:tcPr>
          <w:p w14:paraId="0E414599">
            <w:pPr>
              <w:pStyle w:val="27"/>
              <w:rPr>
                <w:rFonts w:hint="default" w:ascii="Times New Roman" w:hAnsi="Times New Roman" w:eastAsia="新宋体"/>
                <w:highlight w:val="none"/>
                <w:lang w:val="en-US" w:eastAsia="zh-CN"/>
              </w:rPr>
            </w:pPr>
            <w:r>
              <w:rPr>
                <w:rFonts w:hint="eastAsia" w:ascii="Times New Roman" w:hAnsi="Times New Roman"/>
                <w:highlight w:val="none"/>
                <w:lang w:val="en-US" w:eastAsia="zh-CN"/>
              </w:rPr>
              <w:t>70</w:t>
            </w:r>
          </w:p>
        </w:tc>
        <w:tc>
          <w:tcPr>
            <w:tcW w:w="499" w:type="pct"/>
            <w:noWrap w:val="0"/>
            <w:vAlign w:val="center"/>
          </w:tcPr>
          <w:p w14:paraId="52A6130A">
            <w:pPr>
              <w:pStyle w:val="27"/>
              <w:rPr>
                <w:rFonts w:hint="default" w:ascii="Times New Roman" w:hAnsi="Times New Roman" w:eastAsia="新宋体"/>
                <w:highlight w:val="none"/>
                <w:lang w:val="en-US" w:eastAsia="zh-CN"/>
              </w:rPr>
            </w:pPr>
            <w:r>
              <w:rPr>
                <w:rFonts w:hint="eastAsia" w:ascii="Times New Roman" w:hAnsi="Times New Roman"/>
                <w:highlight w:val="none"/>
                <w:lang w:val="en-US" w:eastAsia="zh-CN"/>
              </w:rPr>
              <w:t>55</w:t>
            </w:r>
          </w:p>
        </w:tc>
        <w:tc>
          <w:tcPr>
            <w:tcW w:w="2275" w:type="pct"/>
            <w:vMerge w:val="continue"/>
            <w:noWrap w:val="0"/>
            <w:vAlign w:val="center"/>
          </w:tcPr>
          <w:p w14:paraId="7DA851AA">
            <w:pPr>
              <w:pStyle w:val="27"/>
              <w:rPr>
                <w:rFonts w:ascii="Times New Roman" w:hAnsi="Times New Roman"/>
                <w:highlight w:val="none"/>
              </w:rPr>
            </w:pPr>
          </w:p>
        </w:tc>
      </w:tr>
      <w:tr w14:paraId="14E14F2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 w:hRule="atLeast"/>
          <w:jc w:val="center"/>
        </w:trPr>
        <w:tc>
          <w:tcPr>
            <w:tcW w:w="1037" w:type="pct"/>
            <w:noWrap w:val="0"/>
            <w:vAlign w:val="center"/>
          </w:tcPr>
          <w:p w14:paraId="0968EC71">
            <w:pPr>
              <w:pStyle w:val="27"/>
              <w:textAlignment w:val="center"/>
              <w:rPr>
                <w:rFonts w:ascii="Times New Roman" w:hAnsi="Times New Roman"/>
                <w:highlight w:val="none"/>
              </w:rPr>
            </w:pPr>
            <w:r>
              <w:rPr>
                <w:rFonts w:ascii="Times New Roman" w:hAnsi="Times New Roman"/>
                <w:highlight w:val="none"/>
              </w:rPr>
              <w:t>施工期厂界噪声</w:t>
            </w:r>
          </w:p>
        </w:tc>
        <w:tc>
          <w:tcPr>
            <w:tcW w:w="651" w:type="pct"/>
            <w:noWrap w:val="0"/>
            <w:vAlign w:val="center"/>
          </w:tcPr>
          <w:p w14:paraId="4B1F7355">
            <w:pPr>
              <w:pStyle w:val="27"/>
              <w:textAlignment w:val="center"/>
              <w:rPr>
                <w:rFonts w:ascii="Times New Roman" w:hAnsi="Times New Roman"/>
                <w:highlight w:val="none"/>
              </w:rPr>
            </w:pPr>
            <w:r>
              <w:rPr>
                <w:rFonts w:ascii="Times New Roman" w:hAnsi="Times New Roman"/>
                <w:highlight w:val="none"/>
              </w:rPr>
              <w:t>dB（A）</w:t>
            </w:r>
          </w:p>
        </w:tc>
        <w:tc>
          <w:tcPr>
            <w:tcW w:w="536" w:type="pct"/>
            <w:noWrap w:val="0"/>
            <w:vAlign w:val="center"/>
          </w:tcPr>
          <w:p w14:paraId="0B8117B4">
            <w:pPr>
              <w:pStyle w:val="27"/>
              <w:textAlignment w:val="center"/>
              <w:rPr>
                <w:rFonts w:ascii="Times New Roman" w:hAnsi="Times New Roman"/>
                <w:highlight w:val="none"/>
              </w:rPr>
            </w:pPr>
            <w:r>
              <w:rPr>
                <w:rFonts w:ascii="Times New Roman" w:hAnsi="Times New Roman"/>
                <w:highlight w:val="none"/>
              </w:rPr>
              <w:t>70</w:t>
            </w:r>
          </w:p>
        </w:tc>
        <w:tc>
          <w:tcPr>
            <w:tcW w:w="499" w:type="pct"/>
            <w:noWrap w:val="0"/>
            <w:vAlign w:val="center"/>
          </w:tcPr>
          <w:p w14:paraId="03222980">
            <w:pPr>
              <w:pStyle w:val="27"/>
              <w:textAlignment w:val="center"/>
              <w:rPr>
                <w:rFonts w:ascii="Times New Roman" w:hAnsi="Times New Roman"/>
                <w:highlight w:val="none"/>
              </w:rPr>
            </w:pPr>
            <w:r>
              <w:rPr>
                <w:rFonts w:ascii="Times New Roman" w:hAnsi="Times New Roman"/>
                <w:highlight w:val="none"/>
              </w:rPr>
              <w:t>55</w:t>
            </w:r>
          </w:p>
        </w:tc>
        <w:tc>
          <w:tcPr>
            <w:tcW w:w="2275" w:type="pct"/>
            <w:noWrap w:val="0"/>
            <w:vAlign w:val="center"/>
          </w:tcPr>
          <w:p w14:paraId="19C594D2">
            <w:pPr>
              <w:pStyle w:val="27"/>
              <w:textAlignment w:val="center"/>
              <w:rPr>
                <w:rFonts w:ascii="Times New Roman" w:hAnsi="Times New Roman"/>
                <w:highlight w:val="none"/>
              </w:rPr>
            </w:pPr>
            <w:r>
              <w:rPr>
                <w:rFonts w:ascii="Times New Roman" w:hAnsi="Times New Roman"/>
                <w:highlight w:val="none"/>
              </w:rPr>
              <w:t>《建筑施工场界环境噪声排放标准》（GB12523-2011）</w:t>
            </w:r>
          </w:p>
        </w:tc>
      </w:tr>
    </w:tbl>
    <w:p w14:paraId="35A43727">
      <w:pPr>
        <w:ind w:firstLine="480"/>
        <w:rPr>
          <w:rFonts w:ascii="Times New Roman" w:hAnsi="Times New Roman"/>
          <w:highlight w:val="none"/>
        </w:rPr>
      </w:pPr>
      <w:r>
        <w:rPr>
          <w:rFonts w:ascii="Times New Roman" w:hAnsi="Times New Roman"/>
          <w:highlight w:val="none"/>
        </w:rPr>
        <w:t>4、固体废物排放标准</w:t>
      </w:r>
    </w:p>
    <w:p w14:paraId="48BE0C91">
      <w:pPr>
        <w:ind w:firstLine="480"/>
        <w:rPr>
          <w:rFonts w:ascii="Times New Roman" w:hAnsi="Times New Roman"/>
          <w:highlight w:val="none"/>
        </w:rPr>
      </w:pPr>
      <w:r>
        <w:rPr>
          <w:rFonts w:ascii="Times New Roman" w:hAnsi="Times New Roman"/>
          <w:highlight w:val="none"/>
        </w:rPr>
        <w:t>本项目所排放的固体废物应执行《一般工业固体废物贮存和填埋控制标准》（GB 18599-2020）</w:t>
      </w:r>
      <w:r>
        <w:rPr>
          <w:rFonts w:hint="eastAsia" w:ascii="Times New Roman" w:hAnsi="Times New Roman"/>
          <w:highlight w:val="none"/>
        </w:rPr>
        <w:t>、</w:t>
      </w:r>
      <w:r>
        <w:rPr>
          <w:rFonts w:hint="eastAsia" w:ascii="Times New Roman" w:hAnsi="Times New Roman"/>
          <w:highlight w:val="none"/>
          <w:lang w:eastAsia="zh-CN"/>
        </w:rPr>
        <w:t>《固体废物分类与代码目录》</w:t>
      </w:r>
      <w:r>
        <w:rPr>
          <w:rFonts w:hint="eastAsia" w:ascii="Times New Roman" w:hAnsi="Times New Roman"/>
          <w:highlight w:val="none"/>
        </w:rPr>
        <w:t>（2024年1月22日）</w:t>
      </w:r>
      <w:r>
        <w:rPr>
          <w:rFonts w:ascii="Times New Roman" w:hAnsi="Times New Roman"/>
          <w:highlight w:val="none"/>
        </w:rPr>
        <w:t>及《危险废物贮存污染控制标准》（</w:t>
      </w:r>
      <w:r>
        <w:rPr>
          <w:rFonts w:hint="eastAsia" w:ascii="Times New Roman" w:hAnsi="Times New Roman"/>
          <w:highlight w:val="none"/>
          <w:lang w:eastAsia="zh-CN"/>
        </w:rPr>
        <w:t>GB18597-2023</w:t>
      </w:r>
      <w:r>
        <w:rPr>
          <w:rFonts w:ascii="Times New Roman" w:hAnsi="Times New Roman"/>
          <w:highlight w:val="none"/>
        </w:rPr>
        <w:t>）。</w:t>
      </w:r>
    </w:p>
    <w:p w14:paraId="2C188330">
      <w:pPr>
        <w:pStyle w:val="4"/>
        <w:bidi w:val="0"/>
        <w:ind w:left="0" w:leftChars="0" w:firstLine="0" w:firstLineChars="0"/>
        <w:rPr>
          <w:rFonts w:hint="eastAsia"/>
          <w:highlight w:val="none"/>
          <w:lang w:val="en-US" w:eastAsia="zh-CN"/>
        </w:rPr>
      </w:pPr>
      <w:bookmarkStart w:id="43" w:name="_Toc2748"/>
      <w:r>
        <w:rPr>
          <w:rFonts w:hint="default" w:ascii="Times New Roman" w:hAnsi="Times New Roman" w:cs="Times New Roman"/>
          <w:highlight w:val="none"/>
          <w:lang w:val="en-US" w:eastAsia="zh-CN"/>
        </w:rPr>
        <w:t>2.4</w:t>
      </w:r>
      <w:r>
        <w:rPr>
          <w:rFonts w:hint="eastAsia"/>
          <w:highlight w:val="none"/>
          <w:lang w:val="en-US" w:eastAsia="zh-CN"/>
        </w:rPr>
        <w:t>评价工作等级和评价范围</w:t>
      </w:r>
      <w:bookmarkEnd w:id="43"/>
    </w:p>
    <w:p w14:paraId="76B61E57">
      <w:pPr>
        <w:pStyle w:val="5"/>
        <w:bidi w:val="0"/>
        <w:ind w:left="0" w:leftChars="0" w:firstLine="0" w:firstLineChars="0"/>
        <w:rPr>
          <w:rFonts w:hint="eastAsia"/>
          <w:sz w:val="30"/>
          <w:szCs w:val="30"/>
          <w:highlight w:val="none"/>
          <w:lang w:val="en-US" w:eastAsia="zh-CN"/>
        </w:rPr>
      </w:pPr>
      <w:bookmarkStart w:id="44" w:name="_Toc19548"/>
      <w:r>
        <w:rPr>
          <w:rFonts w:hint="default" w:ascii="Times New Roman" w:hAnsi="Times New Roman" w:cs="Times New Roman"/>
          <w:sz w:val="30"/>
          <w:szCs w:val="30"/>
          <w:highlight w:val="none"/>
          <w:lang w:val="en-US" w:eastAsia="zh-CN"/>
        </w:rPr>
        <w:t>2.4.1</w:t>
      </w:r>
      <w:r>
        <w:rPr>
          <w:rFonts w:hint="eastAsia"/>
          <w:sz w:val="30"/>
          <w:szCs w:val="30"/>
          <w:highlight w:val="none"/>
          <w:lang w:val="en-US" w:eastAsia="zh-CN"/>
        </w:rPr>
        <w:t>环境空气评价</w:t>
      </w:r>
      <w:bookmarkEnd w:id="44"/>
    </w:p>
    <w:p w14:paraId="03EE5492">
      <w:pPr>
        <w:ind w:firstLine="480"/>
        <w:rPr>
          <w:rFonts w:ascii="Times New Roman" w:hAnsi="Times New Roman"/>
          <w:highlight w:val="none"/>
        </w:rPr>
      </w:pPr>
      <w:r>
        <w:rPr>
          <w:rFonts w:ascii="Times New Roman" w:hAnsi="Times New Roman"/>
          <w:highlight w:val="none"/>
        </w:rPr>
        <w:t>（1）评价工作等级</w:t>
      </w:r>
    </w:p>
    <w:p w14:paraId="07B2A089">
      <w:pPr>
        <w:ind w:firstLine="480"/>
        <w:rPr>
          <w:rFonts w:ascii="Times New Roman" w:hAnsi="Times New Roman"/>
          <w:highlight w:val="none"/>
        </w:rPr>
      </w:pPr>
      <w:r>
        <w:rPr>
          <w:rFonts w:ascii="Times New Roman" w:hAnsi="Times New Roman"/>
          <w:highlight w:val="none"/>
        </w:rPr>
        <w:t>当建设项目排放的SO</w:t>
      </w:r>
      <w:r>
        <w:rPr>
          <w:rFonts w:ascii="Times New Roman" w:hAnsi="Times New Roman"/>
          <w:highlight w:val="none"/>
          <w:vertAlign w:val="subscript"/>
        </w:rPr>
        <w:t>2</w:t>
      </w:r>
      <w:r>
        <w:rPr>
          <w:rFonts w:ascii="Times New Roman" w:hAnsi="Times New Roman"/>
          <w:highlight w:val="none"/>
        </w:rPr>
        <w:t>和NOx年排放量大于或等于500t/a时，评价因子应增加二次PM</w:t>
      </w:r>
      <w:r>
        <w:rPr>
          <w:rFonts w:ascii="Times New Roman" w:hAnsi="Times New Roman"/>
          <w:highlight w:val="none"/>
          <w:vertAlign w:val="subscript"/>
        </w:rPr>
        <w:t>2.5</w:t>
      </w:r>
      <w:r>
        <w:rPr>
          <w:rFonts w:ascii="Times New Roman" w:hAnsi="Times New Roman"/>
          <w:highlight w:val="none"/>
        </w:rPr>
        <w:t>为评价因子，本项目SO</w:t>
      </w:r>
      <w:r>
        <w:rPr>
          <w:rFonts w:ascii="Times New Roman" w:hAnsi="Times New Roman"/>
          <w:highlight w:val="none"/>
          <w:vertAlign w:val="subscript"/>
        </w:rPr>
        <w:t>2</w:t>
      </w:r>
      <w:r>
        <w:rPr>
          <w:rFonts w:ascii="Times New Roman" w:hAnsi="Times New Roman"/>
          <w:highlight w:val="none"/>
        </w:rPr>
        <w:t>和NOx年</w:t>
      </w:r>
      <w:r>
        <w:rPr>
          <w:rFonts w:hint="eastAsia" w:ascii="Times New Roman" w:hAnsi="Times New Roman"/>
          <w:highlight w:val="none"/>
        </w:rPr>
        <w:t>预测</w:t>
      </w:r>
      <w:r>
        <w:rPr>
          <w:rFonts w:ascii="Times New Roman" w:hAnsi="Times New Roman"/>
          <w:highlight w:val="none"/>
        </w:rPr>
        <w:t>排放量为</w:t>
      </w:r>
      <w:r>
        <w:rPr>
          <w:rFonts w:hint="eastAsia" w:ascii="Times New Roman" w:hAnsi="Times New Roman"/>
          <w:highlight w:val="none"/>
          <w:lang w:val="en-US" w:eastAsia="zh-CN"/>
        </w:rPr>
        <w:t>7.352</w:t>
      </w:r>
      <w:r>
        <w:rPr>
          <w:rFonts w:hint="eastAsia" w:ascii="Times New Roman" w:hAnsi="Times New Roman"/>
          <w:highlight w:val="none"/>
        </w:rPr>
        <w:t>+</w:t>
      </w:r>
      <w:r>
        <w:rPr>
          <w:rFonts w:hint="eastAsia" w:ascii="Times New Roman" w:hAnsi="Times New Roman"/>
          <w:highlight w:val="none"/>
          <w:lang w:val="en-US" w:eastAsia="zh-CN"/>
        </w:rPr>
        <w:t>33.7968</w:t>
      </w:r>
      <w:r>
        <w:rPr>
          <w:rFonts w:hint="eastAsia" w:ascii="Times New Roman" w:hAnsi="Times New Roman"/>
          <w:highlight w:val="none"/>
        </w:rPr>
        <w:t>=</w:t>
      </w:r>
      <w:r>
        <w:rPr>
          <w:rFonts w:hint="eastAsia" w:ascii="Times New Roman" w:hAnsi="Times New Roman"/>
          <w:highlight w:val="none"/>
          <w:lang w:val="en-US" w:eastAsia="zh-CN"/>
        </w:rPr>
        <w:t>41.1488</w:t>
      </w:r>
      <w:r>
        <w:rPr>
          <w:rFonts w:ascii="Times New Roman" w:hAnsi="Times New Roman"/>
          <w:highlight w:val="none"/>
        </w:rPr>
        <w:t>t/a，本项目SO</w:t>
      </w:r>
      <w:r>
        <w:rPr>
          <w:rFonts w:ascii="Times New Roman" w:hAnsi="Times New Roman"/>
          <w:highlight w:val="none"/>
          <w:vertAlign w:val="subscript"/>
        </w:rPr>
        <w:t>2</w:t>
      </w:r>
      <w:r>
        <w:rPr>
          <w:rFonts w:ascii="Times New Roman" w:hAnsi="Times New Roman"/>
          <w:highlight w:val="none"/>
        </w:rPr>
        <w:t>和NOx年</w:t>
      </w:r>
      <w:r>
        <w:rPr>
          <w:rFonts w:hint="eastAsia" w:ascii="Times New Roman" w:hAnsi="Times New Roman"/>
          <w:highlight w:val="none"/>
        </w:rPr>
        <w:t>核定</w:t>
      </w:r>
      <w:r>
        <w:rPr>
          <w:rFonts w:ascii="Times New Roman" w:hAnsi="Times New Roman"/>
          <w:highlight w:val="none"/>
        </w:rPr>
        <w:t>排放量为</w:t>
      </w:r>
      <w:r>
        <w:rPr>
          <w:rFonts w:hint="eastAsia" w:ascii="Times New Roman" w:hAnsi="Times New Roman"/>
          <w:highlight w:val="none"/>
          <w:lang w:val="en-US" w:eastAsia="zh-CN"/>
        </w:rPr>
        <w:t>27.658</w:t>
      </w:r>
      <w:r>
        <w:rPr>
          <w:rFonts w:hint="eastAsia" w:ascii="Times New Roman" w:hAnsi="Times New Roman"/>
          <w:highlight w:val="none"/>
        </w:rPr>
        <w:t>+</w:t>
      </w:r>
      <w:r>
        <w:rPr>
          <w:rFonts w:hint="eastAsia" w:ascii="Times New Roman" w:hAnsi="Times New Roman"/>
          <w:highlight w:val="none"/>
          <w:lang w:val="en-US" w:eastAsia="zh-CN"/>
        </w:rPr>
        <w:t>39.511</w:t>
      </w:r>
      <w:r>
        <w:rPr>
          <w:rFonts w:hint="eastAsia" w:ascii="Times New Roman" w:hAnsi="Times New Roman"/>
          <w:highlight w:val="none"/>
        </w:rPr>
        <w:t>=</w:t>
      </w:r>
      <w:r>
        <w:rPr>
          <w:rFonts w:hint="eastAsia" w:ascii="Times New Roman" w:hAnsi="Times New Roman"/>
          <w:highlight w:val="none"/>
          <w:lang w:val="en-US" w:eastAsia="zh-CN"/>
        </w:rPr>
        <w:t>67.169</w:t>
      </w:r>
      <w:r>
        <w:rPr>
          <w:rFonts w:ascii="Times New Roman" w:hAnsi="Times New Roman"/>
          <w:highlight w:val="none"/>
        </w:rPr>
        <w:t>t/a</w:t>
      </w:r>
      <w:r>
        <w:rPr>
          <w:rFonts w:hint="eastAsia" w:ascii="Times New Roman" w:hAnsi="Times New Roman"/>
          <w:highlight w:val="none"/>
        </w:rPr>
        <w:t>，</w:t>
      </w:r>
      <w:r>
        <w:rPr>
          <w:rFonts w:ascii="Times New Roman" w:hAnsi="Times New Roman"/>
          <w:highlight w:val="none"/>
        </w:rPr>
        <w:t>因此无需增加二次PM</w:t>
      </w:r>
      <w:r>
        <w:rPr>
          <w:rFonts w:ascii="Times New Roman" w:hAnsi="Times New Roman"/>
          <w:highlight w:val="none"/>
          <w:vertAlign w:val="subscript"/>
        </w:rPr>
        <w:t>2.5</w:t>
      </w:r>
      <w:r>
        <w:rPr>
          <w:rFonts w:ascii="Times New Roman" w:hAnsi="Times New Roman"/>
          <w:highlight w:val="none"/>
        </w:rPr>
        <w:t>为评价因子。</w:t>
      </w:r>
    </w:p>
    <w:p w14:paraId="5F1551B3">
      <w:pPr>
        <w:ind w:firstLine="480"/>
        <w:rPr>
          <w:rFonts w:ascii="Times New Roman" w:hAnsi="Times New Roman"/>
          <w:highlight w:val="none"/>
        </w:rPr>
      </w:pPr>
      <w:r>
        <w:rPr>
          <w:rFonts w:ascii="Times New Roman" w:hAnsi="Times New Roman"/>
          <w:highlight w:val="none"/>
        </w:rPr>
        <w:t>根据《环境影响评价技术导则-大气环境》（HJ2.2-2018），将环境空气影响评价工作分为一、二、三级，划分依据见下表。</w:t>
      </w:r>
    </w:p>
    <w:p w14:paraId="76E34BA7">
      <w:pPr>
        <w:pStyle w:val="29"/>
        <w:spacing w:line="240" w:lineRule="auto"/>
        <w:ind w:firstLine="480"/>
        <w:rPr>
          <w:rFonts w:hint="default" w:ascii="Times New Roman" w:hAnsi="Times New Roman" w:eastAsia="黑体" w:cs="Times New Roman"/>
          <w:color w:val="auto"/>
          <w:spacing w:val="0"/>
          <w:kern w:val="2"/>
          <w:sz w:val="24"/>
          <w:szCs w:val="24"/>
          <w:highlight w:val="none"/>
          <w:lang w:val="en-US" w:eastAsia="zh-CN" w:bidi="ar-SA"/>
        </w:rPr>
      </w:pPr>
      <w:r>
        <w:rPr>
          <w:rFonts w:hint="default" w:ascii="Times New Roman" w:hAnsi="Times New Roman" w:eastAsia="黑体" w:cs="Times New Roman"/>
          <w:color w:val="auto"/>
          <w:spacing w:val="0"/>
          <w:kern w:val="2"/>
          <w:sz w:val="24"/>
          <w:szCs w:val="24"/>
          <w:highlight w:val="none"/>
          <w:lang w:val="en-US" w:eastAsia="zh-CN" w:bidi="ar-SA"/>
        </w:rPr>
        <w:t>表2.4-1 评价工作等级判据一览表</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770"/>
        <w:gridCol w:w="4752"/>
      </w:tblGrid>
      <w:tr w14:paraId="1A3611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12" w:type="pct"/>
            <w:noWrap w:val="0"/>
            <w:vAlign w:val="center"/>
          </w:tcPr>
          <w:p w14:paraId="7A641CC2">
            <w:pPr>
              <w:pStyle w:val="27"/>
              <w:ind w:firstLine="480"/>
              <w:rPr>
                <w:rFonts w:ascii="Times New Roman" w:hAnsi="Times New Roman"/>
                <w:highlight w:val="none"/>
              </w:rPr>
            </w:pPr>
            <w:r>
              <w:rPr>
                <w:rFonts w:ascii="Times New Roman" w:hAnsi="Times New Roman"/>
                <w:highlight w:val="none"/>
              </w:rPr>
              <w:t>评价工作等级</w:t>
            </w:r>
          </w:p>
        </w:tc>
        <w:tc>
          <w:tcPr>
            <w:tcW w:w="2788" w:type="pct"/>
            <w:noWrap w:val="0"/>
            <w:vAlign w:val="center"/>
          </w:tcPr>
          <w:p w14:paraId="6A3FB18E">
            <w:pPr>
              <w:pStyle w:val="27"/>
              <w:ind w:firstLine="480"/>
              <w:rPr>
                <w:rFonts w:ascii="Times New Roman" w:hAnsi="Times New Roman"/>
                <w:highlight w:val="none"/>
              </w:rPr>
            </w:pPr>
            <w:r>
              <w:rPr>
                <w:rFonts w:ascii="Times New Roman" w:hAnsi="Times New Roman"/>
                <w:highlight w:val="none"/>
              </w:rPr>
              <w:t>评价工作分级判据</w:t>
            </w:r>
          </w:p>
        </w:tc>
      </w:tr>
      <w:tr w14:paraId="6531CD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12" w:type="pct"/>
            <w:noWrap w:val="0"/>
            <w:vAlign w:val="center"/>
          </w:tcPr>
          <w:p w14:paraId="3123D8EA">
            <w:pPr>
              <w:pStyle w:val="27"/>
              <w:ind w:firstLine="480"/>
              <w:rPr>
                <w:rFonts w:ascii="Times New Roman" w:hAnsi="Times New Roman"/>
                <w:highlight w:val="none"/>
              </w:rPr>
            </w:pPr>
            <w:r>
              <w:rPr>
                <w:rFonts w:ascii="Times New Roman" w:hAnsi="Times New Roman"/>
                <w:highlight w:val="none"/>
              </w:rPr>
              <w:t>一级</w:t>
            </w:r>
          </w:p>
        </w:tc>
        <w:tc>
          <w:tcPr>
            <w:tcW w:w="2788" w:type="pct"/>
            <w:noWrap w:val="0"/>
            <w:vAlign w:val="center"/>
          </w:tcPr>
          <w:p w14:paraId="2270C601">
            <w:pPr>
              <w:pStyle w:val="27"/>
              <w:ind w:firstLine="480"/>
              <w:rPr>
                <w:rFonts w:ascii="Times New Roman" w:hAnsi="Times New Roman"/>
                <w:highlight w:val="none"/>
              </w:rPr>
            </w:pPr>
            <w:r>
              <w:rPr>
                <w:rFonts w:ascii="Times New Roman" w:hAnsi="Times New Roman"/>
                <w:highlight w:val="none"/>
              </w:rPr>
              <w:t>P</w:t>
            </w:r>
            <w:r>
              <w:rPr>
                <w:rFonts w:ascii="Times New Roman" w:hAnsi="Times New Roman"/>
                <w:highlight w:val="none"/>
                <w:vertAlign w:val="subscript"/>
              </w:rPr>
              <w:t>Max</w:t>
            </w:r>
            <w:r>
              <w:rPr>
                <w:rFonts w:ascii="Times New Roman" w:hAnsi="Times New Roman"/>
                <w:highlight w:val="none"/>
              </w:rPr>
              <w:t>≥10%</w:t>
            </w:r>
          </w:p>
        </w:tc>
      </w:tr>
      <w:tr w14:paraId="6C821A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12" w:type="pct"/>
            <w:noWrap w:val="0"/>
            <w:vAlign w:val="center"/>
          </w:tcPr>
          <w:p w14:paraId="11F66A85">
            <w:pPr>
              <w:pStyle w:val="27"/>
              <w:ind w:firstLine="480"/>
              <w:rPr>
                <w:rFonts w:ascii="Times New Roman" w:hAnsi="Times New Roman"/>
                <w:highlight w:val="none"/>
              </w:rPr>
            </w:pPr>
            <w:r>
              <w:rPr>
                <w:rFonts w:ascii="Times New Roman" w:hAnsi="Times New Roman"/>
                <w:highlight w:val="none"/>
              </w:rPr>
              <w:t>二级</w:t>
            </w:r>
          </w:p>
        </w:tc>
        <w:tc>
          <w:tcPr>
            <w:tcW w:w="2788" w:type="pct"/>
            <w:noWrap w:val="0"/>
            <w:vAlign w:val="center"/>
          </w:tcPr>
          <w:p w14:paraId="34E2A86F">
            <w:pPr>
              <w:pStyle w:val="27"/>
              <w:ind w:firstLine="480"/>
              <w:rPr>
                <w:rFonts w:ascii="Times New Roman" w:hAnsi="Times New Roman"/>
                <w:highlight w:val="none"/>
              </w:rPr>
            </w:pPr>
            <w:r>
              <w:rPr>
                <w:rFonts w:ascii="Times New Roman" w:hAnsi="Times New Roman"/>
                <w:highlight w:val="none"/>
              </w:rPr>
              <w:t>1%≤P</w:t>
            </w:r>
            <w:r>
              <w:rPr>
                <w:rFonts w:ascii="Times New Roman" w:hAnsi="Times New Roman"/>
                <w:highlight w:val="none"/>
                <w:vertAlign w:val="subscript"/>
              </w:rPr>
              <w:t>Max</w:t>
            </w:r>
            <w:r>
              <w:rPr>
                <w:rFonts w:ascii="Times New Roman" w:hAnsi="Times New Roman"/>
                <w:highlight w:val="none"/>
              </w:rPr>
              <w:t>＜10%</w:t>
            </w:r>
          </w:p>
        </w:tc>
      </w:tr>
      <w:tr w14:paraId="57A2F2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12" w:type="pct"/>
            <w:noWrap w:val="0"/>
            <w:vAlign w:val="center"/>
          </w:tcPr>
          <w:p w14:paraId="2757C943">
            <w:pPr>
              <w:pStyle w:val="27"/>
              <w:ind w:firstLine="480"/>
              <w:rPr>
                <w:rFonts w:ascii="Times New Roman" w:hAnsi="Times New Roman"/>
                <w:highlight w:val="none"/>
              </w:rPr>
            </w:pPr>
            <w:r>
              <w:rPr>
                <w:rFonts w:ascii="Times New Roman" w:hAnsi="Times New Roman"/>
                <w:highlight w:val="none"/>
              </w:rPr>
              <w:t>三级</w:t>
            </w:r>
          </w:p>
        </w:tc>
        <w:tc>
          <w:tcPr>
            <w:tcW w:w="2788" w:type="pct"/>
            <w:noWrap w:val="0"/>
            <w:vAlign w:val="center"/>
          </w:tcPr>
          <w:p w14:paraId="53660C8D">
            <w:pPr>
              <w:pStyle w:val="27"/>
              <w:ind w:firstLine="480"/>
              <w:rPr>
                <w:rFonts w:ascii="Times New Roman" w:hAnsi="Times New Roman"/>
                <w:highlight w:val="none"/>
              </w:rPr>
            </w:pPr>
            <w:r>
              <w:rPr>
                <w:rFonts w:ascii="Times New Roman" w:hAnsi="Times New Roman"/>
                <w:highlight w:val="none"/>
              </w:rPr>
              <w:t>P</w:t>
            </w:r>
            <w:r>
              <w:rPr>
                <w:rFonts w:ascii="Times New Roman" w:hAnsi="Times New Roman"/>
                <w:highlight w:val="none"/>
                <w:vertAlign w:val="subscript"/>
              </w:rPr>
              <w:t>Max</w:t>
            </w:r>
            <w:r>
              <w:rPr>
                <w:rFonts w:ascii="Times New Roman" w:hAnsi="Times New Roman"/>
                <w:highlight w:val="none"/>
              </w:rPr>
              <w:t>＜1%</w:t>
            </w:r>
          </w:p>
        </w:tc>
      </w:tr>
    </w:tbl>
    <w:p w14:paraId="4418644C">
      <w:pPr>
        <w:ind w:firstLine="480"/>
        <w:rPr>
          <w:rFonts w:ascii="Times New Roman" w:hAnsi="Times New Roman"/>
          <w:highlight w:val="none"/>
        </w:rPr>
      </w:pPr>
      <w:r>
        <w:rPr>
          <w:rFonts w:ascii="Times New Roman" w:hAnsi="Times New Roman"/>
          <w:highlight w:val="none"/>
        </w:rPr>
        <w:t>其中Pi为第i个污染物的最大地面空气质量浓度占标率，%；D</w:t>
      </w:r>
      <w:r>
        <w:rPr>
          <w:rFonts w:ascii="Times New Roman" w:hAnsi="Times New Roman"/>
          <w:highlight w:val="none"/>
          <w:vertAlign w:val="subscript"/>
        </w:rPr>
        <w:t>10%</w:t>
      </w:r>
      <w:r>
        <w:rPr>
          <w:rFonts w:ascii="Times New Roman" w:hAnsi="Times New Roman"/>
          <w:highlight w:val="none"/>
        </w:rPr>
        <w:t>为第i个污染物的地面空气质量浓度达到标准值的10%时所对应的最远距离D</w:t>
      </w:r>
      <w:r>
        <w:rPr>
          <w:rFonts w:ascii="Times New Roman" w:hAnsi="Times New Roman"/>
          <w:highlight w:val="none"/>
          <w:vertAlign w:val="subscript"/>
        </w:rPr>
        <w:t>10%</w:t>
      </w:r>
      <w:r>
        <w:rPr>
          <w:rFonts w:ascii="Times New Roman" w:hAnsi="Times New Roman"/>
          <w:highlight w:val="none"/>
        </w:rPr>
        <w:t>。</w:t>
      </w:r>
    </w:p>
    <w:p w14:paraId="7C12D788">
      <w:pPr>
        <w:ind w:firstLine="480"/>
        <w:rPr>
          <w:rFonts w:ascii="Times New Roman" w:hAnsi="Times New Roman"/>
          <w:highlight w:val="none"/>
        </w:rPr>
      </w:pPr>
      <w:r>
        <w:rPr>
          <w:rFonts w:ascii="Times New Roman" w:hAnsi="Times New Roman"/>
          <w:highlight w:val="none"/>
        </w:rPr>
        <w:t>Pi的计算式为：</w:t>
      </w:r>
    </w:p>
    <w:p w14:paraId="7170B7BF">
      <w:pPr>
        <w:ind w:firstLine="0" w:firstLineChars="0"/>
        <w:jc w:val="center"/>
        <w:rPr>
          <w:rFonts w:ascii="Times New Roman" w:hAnsi="Times New Roman"/>
          <w:szCs w:val="28"/>
          <w:highlight w:val="none"/>
        </w:rPr>
      </w:pPr>
      <w:r>
        <w:rPr>
          <w:rFonts w:ascii="Times New Roman" w:hAnsi="Times New Roman"/>
          <w:szCs w:val="28"/>
          <w:highlight w:val="none"/>
        </w:rPr>
        <w:object>
          <v:shape id="_x0000_i1025" o:spt="75" type="#_x0000_t75" style="height:33.75pt;width:77.25pt;" o:ole="t" filled="f" o:preferrelative="t" stroked="f" coordsize="21600,21600">
            <v:path/>
            <v:fill on="f" focussize="0,0"/>
            <v:stroke on="f"/>
            <v:imagedata r:id="rId9" o:title=""/>
            <o:lock v:ext="edit" aspectratio="t"/>
            <w10:wrap type="none"/>
            <w10:anchorlock/>
          </v:shape>
          <o:OLEObject Type="Embed" ProgID="Equation.DSMT4" ShapeID="_x0000_i1025" DrawAspect="Content" ObjectID="_1468075725" r:id="rId8">
            <o:LockedField>false</o:LockedField>
          </o:OLEObject>
        </w:object>
      </w:r>
    </w:p>
    <w:p w14:paraId="0C02368E">
      <w:pPr>
        <w:pStyle w:val="31"/>
        <w:ind w:firstLine="480"/>
        <w:rPr>
          <w:rFonts w:ascii="Times New Roman" w:hAnsi="Times New Roman"/>
          <w:highlight w:val="none"/>
        </w:rPr>
      </w:pPr>
      <w:r>
        <w:rPr>
          <w:rFonts w:ascii="Times New Roman" w:hAnsi="Times New Roman"/>
          <w:highlight w:val="none"/>
        </w:rPr>
        <w:t>式中：</w:t>
      </w:r>
    </w:p>
    <w:p w14:paraId="2ACFE7DA">
      <w:pPr>
        <w:pStyle w:val="31"/>
        <w:ind w:firstLine="480"/>
        <w:rPr>
          <w:rFonts w:ascii="Times New Roman" w:hAnsi="Times New Roman"/>
          <w:highlight w:val="none"/>
        </w:rPr>
      </w:pPr>
      <w:r>
        <w:rPr>
          <w:rFonts w:ascii="Times New Roman" w:hAnsi="Times New Roman"/>
          <w:highlight w:val="none"/>
        </w:rPr>
        <w:t>P</w:t>
      </w:r>
      <w:r>
        <w:rPr>
          <w:rFonts w:ascii="Times New Roman" w:hAnsi="Times New Roman"/>
          <w:highlight w:val="none"/>
          <w:vertAlign w:val="subscript"/>
        </w:rPr>
        <w:t>i</w:t>
      </w:r>
      <w:r>
        <w:rPr>
          <w:rFonts w:ascii="Times New Roman" w:hAnsi="Times New Roman"/>
          <w:highlight w:val="none"/>
        </w:rPr>
        <w:t>—第i个污染物的最大地面空气质量浓度占标率，%；</w:t>
      </w:r>
    </w:p>
    <w:p w14:paraId="43C7283F">
      <w:pPr>
        <w:pStyle w:val="31"/>
        <w:ind w:firstLine="480"/>
        <w:rPr>
          <w:rFonts w:ascii="Times New Roman" w:hAnsi="Times New Roman"/>
          <w:highlight w:val="none"/>
        </w:rPr>
      </w:pPr>
      <w:r>
        <w:rPr>
          <w:rFonts w:ascii="Times New Roman" w:hAnsi="Times New Roman"/>
          <w:highlight w:val="none"/>
        </w:rPr>
        <w:t>C</w:t>
      </w:r>
      <w:r>
        <w:rPr>
          <w:rFonts w:ascii="Times New Roman" w:hAnsi="Times New Roman"/>
          <w:highlight w:val="none"/>
          <w:vertAlign w:val="subscript"/>
        </w:rPr>
        <w:t>i</w:t>
      </w:r>
      <w:r>
        <w:rPr>
          <w:rFonts w:ascii="Times New Roman" w:hAnsi="Times New Roman"/>
          <w:highlight w:val="none"/>
        </w:rPr>
        <w:t>—采用估算模型计算出的第i个污染物的最大1h地面空气质量浓度，μg/m</w:t>
      </w:r>
      <w:r>
        <w:rPr>
          <w:rFonts w:ascii="Times New Roman" w:hAnsi="Times New Roman"/>
          <w:highlight w:val="none"/>
          <w:vertAlign w:val="superscript"/>
        </w:rPr>
        <w:t>3</w:t>
      </w:r>
      <w:r>
        <w:rPr>
          <w:rFonts w:ascii="Times New Roman" w:hAnsi="Times New Roman"/>
          <w:highlight w:val="none"/>
        </w:rPr>
        <w:t>；</w:t>
      </w:r>
    </w:p>
    <w:p w14:paraId="05D60D58">
      <w:pPr>
        <w:pStyle w:val="31"/>
        <w:ind w:firstLine="480"/>
        <w:rPr>
          <w:rFonts w:ascii="Times New Roman" w:hAnsi="Times New Roman"/>
          <w:highlight w:val="none"/>
        </w:rPr>
      </w:pPr>
      <w:r>
        <w:rPr>
          <w:rFonts w:ascii="Times New Roman" w:hAnsi="Times New Roman"/>
          <w:highlight w:val="none"/>
        </w:rPr>
        <w:t>Coi—第i个污染物的环境空气质量浓度标准，μg/m³。一般选用GB3095中1h平均质量浓度的二级浓度限值，如项目位于一类环境空气功能区，应选择相应的一级浓度限值；对该标准中未包含的污染物，使用导则（HJ2.2-2018）中5.2确定的各评价因子1h平均质量浓度限值。对仅有8h平均质量浓度限值、日平均质量浓度限值或年平均质量浓度限值的，可分别按2倍、3倍、6倍折算为1h平均质量浓度限值。</w:t>
      </w:r>
    </w:p>
    <w:p w14:paraId="60D69313">
      <w:pPr>
        <w:ind w:firstLine="480"/>
        <w:rPr>
          <w:rFonts w:ascii="Times New Roman" w:hAnsi="Times New Roman"/>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ascii="Times New Roman" w:hAnsi="Times New Roman"/>
          <w:highlight w:val="none"/>
        </w:rPr>
        <w:t>计算各污染因子最大地面浓度占标率见表2.4-2、2.4-3</w:t>
      </w:r>
    </w:p>
    <w:p w14:paraId="5DC8CE7D">
      <w:pPr>
        <w:pStyle w:val="29"/>
        <w:spacing w:line="240" w:lineRule="auto"/>
        <w:ind w:firstLine="480"/>
        <w:rPr>
          <w:rFonts w:hint="default" w:ascii="Times New Roman" w:hAnsi="Times New Roman" w:eastAsia="黑体" w:cs="Times New Roman"/>
          <w:color w:val="auto"/>
          <w:spacing w:val="0"/>
          <w:kern w:val="2"/>
          <w:sz w:val="24"/>
          <w:szCs w:val="24"/>
          <w:highlight w:val="none"/>
          <w:lang w:val="en-US" w:eastAsia="zh-CN" w:bidi="ar-SA"/>
        </w:rPr>
      </w:pPr>
      <w:r>
        <w:rPr>
          <w:rFonts w:hint="default" w:ascii="Times New Roman" w:hAnsi="Times New Roman" w:eastAsia="黑体" w:cs="Times New Roman"/>
          <w:color w:val="auto"/>
          <w:spacing w:val="0"/>
          <w:kern w:val="2"/>
          <w:sz w:val="24"/>
          <w:szCs w:val="24"/>
          <w:highlight w:val="none"/>
          <w:lang w:val="en-US" w:eastAsia="zh-CN" w:bidi="ar-SA"/>
        </w:rPr>
        <w:t>表2.4-2本项目污染源排放参数一览表(有组织)</w:t>
      </w:r>
    </w:p>
    <w:tbl>
      <w:tblPr>
        <w:tblStyle w:val="17"/>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5" w:type="dxa"/>
          <w:bottom w:w="15" w:type="dxa"/>
          <w:right w:w="15" w:type="dxa"/>
        </w:tblCellMar>
      </w:tblPr>
      <w:tblGrid>
        <w:gridCol w:w="649"/>
        <w:gridCol w:w="548"/>
        <w:gridCol w:w="1237"/>
        <w:gridCol w:w="1134"/>
        <w:gridCol w:w="1025"/>
        <w:gridCol w:w="647"/>
        <w:gridCol w:w="806"/>
        <w:gridCol w:w="1299"/>
        <w:gridCol w:w="644"/>
        <w:gridCol w:w="764"/>
        <w:gridCol w:w="476"/>
        <w:gridCol w:w="904"/>
        <w:gridCol w:w="764"/>
        <w:gridCol w:w="1098"/>
        <w:gridCol w:w="1033"/>
        <w:gridCol w:w="960"/>
      </w:tblGrid>
      <w:tr w14:paraId="4E02F0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668" w:hRule="atLeast"/>
        </w:trPr>
        <w:tc>
          <w:tcPr>
            <w:tcW w:w="231" w:type="pct"/>
            <w:vMerge w:val="restart"/>
            <w:tcBorders>
              <w:right w:val="single" w:color="000000" w:sz="4" w:space="0"/>
            </w:tcBorders>
            <w:shd w:val="clear" w:color="auto" w:fill="FFFFFF"/>
            <w:noWrap w:val="0"/>
            <w:vAlign w:val="center"/>
          </w:tcPr>
          <w:p w14:paraId="74F92D08">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编号</w:t>
            </w:r>
          </w:p>
        </w:tc>
        <w:tc>
          <w:tcPr>
            <w:tcW w:w="196" w:type="pct"/>
            <w:vMerge w:val="restart"/>
            <w:tcBorders>
              <w:left w:val="single" w:color="000000" w:sz="4" w:space="0"/>
              <w:right w:val="single" w:color="000000" w:sz="4" w:space="0"/>
            </w:tcBorders>
            <w:shd w:val="clear" w:color="auto" w:fill="FFFFFF"/>
            <w:noWrap w:val="0"/>
            <w:vAlign w:val="center"/>
          </w:tcPr>
          <w:p w14:paraId="55A1C2A0">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名称</w:t>
            </w:r>
          </w:p>
        </w:tc>
        <w:tc>
          <w:tcPr>
            <w:tcW w:w="847" w:type="pct"/>
            <w:gridSpan w:val="2"/>
            <w:tcBorders>
              <w:left w:val="single" w:color="000000" w:sz="4" w:space="0"/>
              <w:right w:val="single" w:color="000000" w:sz="4" w:space="0"/>
            </w:tcBorders>
            <w:shd w:val="clear" w:color="auto" w:fill="FFFFFF"/>
            <w:noWrap w:val="0"/>
            <w:vAlign w:val="center"/>
          </w:tcPr>
          <w:p w14:paraId="6F0FEA59">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排气筒底部中心坐标</w:t>
            </w:r>
            <w:r>
              <w:rPr>
                <w:rFonts w:hint="eastAsia" w:ascii="Times New Roman" w:hAnsi="Times New Roman"/>
                <w:kern w:val="0"/>
                <w:sz w:val="21"/>
                <w:highlight w:val="none"/>
                <w:lang w:bidi="ar"/>
              </w:rPr>
              <w:t>/m</w:t>
            </w:r>
          </w:p>
        </w:tc>
        <w:tc>
          <w:tcPr>
            <w:tcW w:w="366" w:type="pct"/>
            <w:vMerge w:val="restart"/>
            <w:tcBorders>
              <w:left w:val="single" w:color="000000" w:sz="4" w:space="0"/>
              <w:right w:val="single" w:color="000000" w:sz="4" w:space="0"/>
            </w:tcBorders>
            <w:shd w:val="clear" w:color="auto" w:fill="FFFFFF"/>
            <w:noWrap w:val="0"/>
            <w:vAlign w:val="center"/>
          </w:tcPr>
          <w:p w14:paraId="67CE2478">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排气筒底部海拔高度/m</w:t>
            </w:r>
          </w:p>
        </w:tc>
        <w:tc>
          <w:tcPr>
            <w:tcW w:w="231" w:type="pct"/>
            <w:vMerge w:val="restart"/>
            <w:tcBorders>
              <w:left w:val="single" w:color="000000" w:sz="4" w:space="0"/>
              <w:right w:val="single" w:color="000000" w:sz="4" w:space="0"/>
            </w:tcBorders>
            <w:shd w:val="clear" w:color="auto" w:fill="FFFFFF"/>
            <w:noWrap w:val="0"/>
            <w:vAlign w:val="center"/>
          </w:tcPr>
          <w:p w14:paraId="5A44303C">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排气筒高度/m</w:t>
            </w:r>
          </w:p>
        </w:tc>
        <w:tc>
          <w:tcPr>
            <w:tcW w:w="288" w:type="pct"/>
            <w:vMerge w:val="restart"/>
            <w:tcBorders>
              <w:left w:val="single" w:color="000000" w:sz="4" w:space="0"/>
              <w:right w:val="single" w:color="000000" w:sz="4" w:space="0"/>
            </w:tcBorders>
            <w:shd w:val="clear" w:color="auto" w:fill="FFFFFF"/>
            <w:noWrap w:val="0"/>
            <w:vAlign w:val="center"/>
          </w:tcPr>
          <w:p w14:paraId="6F698D73">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排气筒出口内径/m</w:t>
            </w:r>
          </w:p>
        </w:tc>
        <w:tc>
          <w:tcPr>
            <w:tcW w:w="464" w:type="pct"/>
            <w:vMerge w:val="restart"/>
            <w:tcBorders>
              <w:left w:val="single" w:color="000000" w:sz="4" w:space="0"/>
              <w:right w:val="single" w:color="000000" w:sz="4" w:space="0"/>
            </w:tcBorders>
            <w:shd w:val="clear" w:color="auto" w:fill="FFFFFF"/>
            <w:noWrap w:val="0"/>
            <w:vAlign w:val="center"/>
          </w:tcPr>
          <w:p w14:paraId="5AF56856">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烟气</w:t>
            </w:r>
            <w:r>
              <w:rPr>
                <w:rFonts w:hint="eastAsia" w:ascii="Times New Roman" w:hAnsi="Times New Roman"/>
                <w:kern w:val="0"/>
                <w:sz w:val="21"/>
                <w:highlight w:val="none"/>
                <w:lang w:bidi="ar"/>
              </w:rPr>
              <w:t>流量</w:t>
            </w:r>
            <w:r>
              <w:rPr>
                <w:rFonts w:ascii="Times New Roman" w:hAnsi="Times New Roman"/>
                <w:kern w:val="0"/>
                <w:sz w:val="21"/>
                <w:highlight w:val="none"/>
                <w:lang w:bidi="ar"/>
              </w:rPr>
              <w:t>/（m</w:t>
            </w:r>
            <w:r>
              <w:rPr>
                <w:rFonts w:ascii="Times New Roman" w:hAnsi="Times New Roman"/>
                <w:kern w:val="0"/>
                <w:sz w:val="21"/>
                <w:highlight w:val="none"/>
                <w:vertAlign w:val="superscript"/>
                <w:lang w:bidi="ar"/>
              </w:rPr>
              <w:t>3</w:t>
            </w:r>
            <w:r>
              <w:rPr>
                <w:rFonts w:ascii="Times New Roman" w:hAnsi="Times New Roman"/>
                <w:kern w:val="0"/>
                <w:sz w:val="21"/>
                <w:highlight w:val="none"/>
                <w:lang w:bidi="ar"/>
              </w:rPr>
              <w:t>/h）</w:t>
            </w:r>
          </w:p>
        </w:tc>
        <w:tc>
          <w:tcPr>
            <w:tcW w:w="230" w:type="pct"/>
            <w:vMerge w:val="restart"/>
            <w:tcBorders>
              <w:left w:val="single" w:color="000000" w:sz="4" w:space="0"/>
              <w:right w:val="single" w:color="000000" w:sz="4" w:space="0"/>
            </w:tcBorders>
            <w:shd w:val="clear" w:color="auto" w:fill="FFFFFF"/>
            <w:noWrap w:val="0"/>
            <w:vAlign w:val="center"/>
          </w:tcPr>
          <w:p w14:paraId="62443C79">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烟气温度/</w:t>
            </w:r>
            <w:r>
              <w:rPr>
                <w:rFonts w:hint="eastAsia" w:ascii="宋体" w:hAnsi="宋体" w:cs="宋体"/>
                <w:kern w:val="0"/>
                <w:sz w:val="21"/>
                <w:highlight w:val="none"/>
                <w:lang w:bidi="ar"/>
              </w:rPr>
              <w:t>℃</w:t>
            </w:r>
          </w:p>
        </w:tc>
        <w:tc>
          <w:tcPr>
            <w:tcW w:w="273" w:type="pct"/>
            <w:vMerge w:val="restart"/>
            <w:tcBorders>
              <w:left w:val="single" w:color="000000" w:sz="4" w:space="0"/>
              <w:right w:val="single" w:color="000000" w:sz="4" w:space="0"/>
            </w:tcBorders>
            <w:shd w:val="clear" w:color="auto" w:fill="FFFFFF"/>
            <w:noWrap w:val="0"/>
            <w:vAlign w:val="center"/>
          </w:tcPr>
          <w:p w14:paraId="61913F22">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年排放小时数/h</w:t>
            </w:r>
          </w:p>
        </w:tc>
        <w:tc>
          <w:tcPr>
            <w:tcW w:w="170" w:type="pct"/>
            <w:vMerge w:val="restart"/>
            <w:tcBorders>
              <w:left w:val="single" w:color="000000" w:sz="4" w:space="0"/>
              <w:right w:val="single" w:color="000000" w:sz="4" w:space="0"/>
            </w:tcBorders>
            <w:shd w:val="clear" w:color="auto" w:fill="FFFFFF"/>
            <w:noWrap w:val="0"/>
            <w:vAlign w:val="center"/>
          </w:tcPr>
          <w:p w14:paraId="0DB91E95">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排放工况</w:t>
            </w:r>
          </w:p>
        </w:tc>
        <w:tc>
          <w:tcPr>
            <w:tcW w:w="1700" w:type="pct"/>
            <w:gridSpan w:val="5"/>
            <w:tcBorders>
              <w:left w:val="single" w:color="000000" w:sz="4" w:space="0"/>
              <w:right w:val="nil"/>
            </w:tcBorders>
            <w:shd w:val="clear" w:color="auto" w:fill="FFFFFF"/>
            <w:noWrap w:val="0"/>
            <w:vAlign w:val="center"/>
          </w:tcPr>
          <w:p w14:paraId="7BC2920F">
            <w:pPr>
              <w:widowControl/>
              <w:spacing w:line="240" w:lineRule="auto"/>
              <w:ind w:firstLine="0" w:firstLineChars="0"/>
              <w:jc w:val="center"/>
              <w:textAlignment w:val="center"/>
              <w:rPr>
                <w:rFonts w:ascii="Times New Roman" w:hAnsi="Times New Roman"/>
                <w:kern w:val="0"/>
                <w:sz w:val="21"/>
                <w:highlight w:val="none"/>
                <w:lang w:bidi="ar"/>
              </w:rPr>
            </w:pPr>
            <w:r>
              <w:rPr>
                <w:rFonts w:ascii="Times New Roman" w:hAnsi="Times New Roman"/>
                <w:kern w:val="0"/>
                <w:sz w:val="21"/>
                <w:highlight w:val="none"/>
                <w:lang w:bidi="ar"/>
              </w:rPr>
              <w:t>污染物排放速率/kg/h</w:t>
            </w:r>
          </w:p>
        </w:tc>
      </w:tr>
      <w:tr w14:paraId="15A78A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16" w:hRule="atLeast"/>
        </w:trPr>
        <w:tc>
          <w:tcPr>
            <w:tcW w:w="231" w:type="pct"/>
            <w:vMerge w:val="continue"/>
            <w:tcBorders>
              <w:right w:val="single" w:color="000000" w:sz="4" w:space="0"/>
            </w:tcBorders>
            <w:shd w:val="clear" w:color="auto" w:fill="FFFFFF"/>
            <w:noWrap w:val="0"/>
            <w:vAlign w:val="center"/>
          </w:tcPr>
          <w:p w14:paraId="32FB25BF">
            <w:pPr>
              <w:spacing w:line="240" w:lineRule="auto"/>
              <w:ind w:firstLine="0" w:firstLineChars="0"/>
              <w:jc w:val="center"/>
              <w:rPr>
                <w:rFonts w:ascii="Times New Roman" w:hAnsi="Times New Roman"/>
                <w:kern w:val="0"/>
                <w:sz w:val="21"/>
                <w:highlight w:val="none"/>
              </w:rPr>
            </w:pPr>
          </w:p>
        </w:tc>
        <w:tc>
          <w:tcPr>
            <w:tcW w:w="196" w:type="pct"/>
            <w:vMerge w:val="continue"/>
            <w:tcBorders>
              <w:left w:val="single" w:color="000000" w:sz="4" w:space="0"/>
              <w:right w:val="single" w:color="000000" w:sz="4" w:space="0"/>
            </w:tcBorders>
            <w:shd w:val="clear" w:color="auto" w:fill="FFFFFF"/>
            <w:noWrap w:val="0"/>
            <w:vAlign w:val="center"/>
          </w:tcPr>
          <w:p w14:paraId="74BABDF1">
            <w:pPr>
              <w:spacing w:line="240" w:lineRule="auto"/>
              <w:ind w:firstLine="0" w:firstLineChars="0"/>
              <w:jc w:val="center"/>
              <w:rPr>
                <w:rFonts w:ascii="Times New Roman" w:hAnsi="Times New Roman"/>
                <w:kern w:val="0"/>
                <w:sz w:val="21"/>
                <w:highlight w:val="none"/>
              </w:rPr>
            </w:pPr>
          </w:p>
        </w:tc>
        <w:tc>
          <w:tcPr>
            <w:tcW w:w="442" w:type="pct"/>
            <w:tcBorders>
              <w:left w:val="single" w:color="000000" w:sz="4" w:space="0"/>
              <w:right w:val="single" w:color="000000" w:sz="4" w:space="0"/>
            </w:tcBorders>
            <w:shd w:val="clear" w:color="auto" w:fill="FFFFFF"/>
            <w:noWrap w:val="0"/>
            <w:vAlign w:val="center"/>
          </w:tcPr>
          <w:p w14:paraId="624B4F9B">
            <w:pPr>
              <w:tabs>
                <w:tab w:val="left" w:pos="1517"/>
              </w:tabs>
              <w:spacing w:line="240" w:lineRule="auto"/>
              <w:ind w:firstLine="0" w:firstLineChars="0"/>
              <w:jc w:val="center"/>
              <w:rPr>
                <w:rFonts w:ascii="Times New Roman" w:hAnsi="Times New Roman"/>
                <w:iCs/>
                <w:kern w:val="0"/>
                <w:sz w:val="21"/>
                <w:highlight w:val="none"/>
              </w:rPr>
            </w:pPr>
            <w:r>
              <w:rPr>
                <w:rFonts w:hint="eastAsia" w:ascii="Times New Roman" w:hAnsi="Times New Roman"/>
                <w:kern w:val="0"/>
                <w:sz w:val="21"/>
                <w:szCs w:val="21"/>
                <w:highlight w:val="none"/>
              </w:rPr>
              <w:t>X</w:t>
            </w:r>
          </w:p>
        </w:tc>
        <w:tc>
          <w:tcPr>
            <w:tcW w:w="404" w:type="pct"/>
            <w:tcBorders>
              <w:left w:val="single" w:color="000000" w:sz="4" w:space="0"/>
              <w:right w:val="single" w:color="000000" w:sz="4" w:space="0"/>
            </w:tcBorders>
            <w:shd w:val="clear" w:color="auto" w:fill="FFFFFF"/>
            <w:noWrap w:val="0"/>
            <w:vAlign w:val="center"/>
          </w:tcPr>
          <w:p w14:paraId="4DDD14D9">
            <w:pPr>
              <w:tabs>
                <w:tab w:val="left" w:pos="1517"/>
              </w:tabs>
              <w:spacing w:line="240" w:lineRule="auto"/>
              <w:ind w:firstLine="0" w:firstLineChars="0"/>
              <w:jc w:val="center"/>
              <w:rPr>
                <w:rFonts w:ascii="Times New Roman" w:hAnsi="Times New Roman"/>
                <w:iCs/>
                <w:kern w:val="0"/>
                <w:sz w:val="21"/>
                <w:highlight w:val="none"/>
              </w:rPr>
            </w:pPr>
            <w:r>
              <w:rPr>
                <w:rFonts w:hint="eastAsia" w:ascii="Times New Roman" w:hAnsi="Times New Roman"/>
                <w:kern w:val="0"/>
                <w:sz w:val="21"/>
                <w:szCs w:val="21"/>
                <w:highlight w:val="none"/>
              </w:rPr>
              <w:t>Y</w:t>
            </w:r>
          </w:p>
        </w:tc>
        <w:tc>
          <w:tcPr>
            <w:tcW w:w="366" w:type="pct"/>
            <w:vMerge w:val="continue"/>
            <w:tcBorders>
              <w:left w:val="single" w:color="000000" w:sz="4" w:space="0"/>
              <w:right w:val="single" w:color="000000" w:sz="4" w:space="0"/>
            </w:tcBorders>
            <w:shd w:val="clear" w:color="auto" w:fill="FFFFFF"/>
            <w:noWrap w:val="0"/>
            <w:vAlign w:val="center"/>
          </w:tcPr>
          <w:p w14:paraId="34C1AC21">
            <w:pPr>
              <w:spacing w:line="240" w:lineRule="auto"/>
              <w:ind w:firstLine="0" w:firstLineChars="0"/>
              <w:jc w:val="center"/>
              <w:rPr>
                <w:rFonts w:ascii="Times New Roman" w:hAnsi="Times New Roman"/>
                <w:kern w:val="0"/>
                <w:sz w:val="21"/>
                <w:highlight w:val="none"/>
              </w:rPr>
            </w:pPr>
          </w:p>
        </w:tc>
        <w:tc>
          <w:tcPr>
            <w:tcW w:w="231" w:type="pct"/>
            <w:vMerge w:val="continue"/>
            <w:tcBorders>
              <w:left w:val="single" w:color="000000" w:sz="4" w:space="0"/>
              <w:right w:val="single" w:color="000000" w:sz="4" w:space="0"/>
            </w:tcBorders>
            <w:shd w:val="clear" w:color="auto" w:fill="FFFFFF"/>
            <w:noWrap w:val="0"/>
            <w:vAlign w:val="center"/>
          </w:tcPr>
          <w:p w14:paraId="72B98F80">
            <w:pPr>
              <w:spacing w:line="240" w:lineRule="auto"/>
              <w:ind w:firstLine="0" w:firstLineChars="0"/>
              <w:jc w:val="center"/>
              <w:rPr>
                <w:rFonts w:ascii="Times New Roman" w:hAnsi="Times New Roman"/>
                <w:kern w:val="0"/>
                <w:sz w:val="21"/>
                <w:highlight w:val="none"/>
              </w:rPr>
            </w:pPr>
          </w:p>
        </w:tc>
        <w:tc>
          <w:tcPr>
            <w:tcW w:w="288" w:type="pct"/>
            <w:vMerge w:val="continue"/>
            <w:tcBorders>
              <w:left w:val="single" w:color="000000" w:sz="4" w:space="0"/>
              <w:right w:val="single" w:color="000000" w:sz="4" w:space="0"/>
            </w:tcBorders>
            <w:shd w:val="clear" w:color="auto" w:fill="FFFFFF"/>
            <w:noWrap w:val="0"/>
            <w:vAlign w:val="center"/>
          </w:tcPr>
          <w:p w14:paraId="583CA3FD">
            <w:pPr>
              <w:spacing w:line="240" w:lineRule="auto"/>
              <w:ind w:firstLine="0" w:firstLineChars="0"/>
              <w:jc w:val="center"/>
              <w:rPr>
                <w:rFonts w:ascii="Times New Roman" w:hAnsi="Times New Roman"/>
                <w:kern w:val="0"/>
                <w:sz w:val="21"/>
                <w:highlight w:val="none"/>
              </w:rPr>
            </w:pPr>
          </w:p>
        </w:tc>
        <w:tc>
          <w:tcPr>
            <w:tcW w:w="464" w:type="pct"/>
            <w:vMerge w:val="continue"/>
            <w:tcBorders>
              <w:left w:val="single" w:color="000000" w:sz="4" w:space="0"/>
              <w:right w:val="single" w:color="000000" w:sz="4" w:space="0"/>
            </w:tcBorders>
            <w:shd w:val="clear" w:color="auto" w:fill="FFFFFF"/>
            <w:noWrap w:val="0"/>
            <w:vAlign w:val="center"/>
          </w:tcPr>
          <w:p w14:paraId="3FB01D8C">
            <w:pPr>
              <w:spacing w:line="240" w:lineRule="auto"/>
              <w:ind w:firstLine="0" w:firstLineChars="0"/>
              <w:jc w:val="center"/>
              <w:rPr>
                <w:rFonts w:ascii="Times New Roman" w:hAnsi="Times New Roman"/>
                <w:kern w:val="0"/>
                <w:sz w:val="21"/>
                <w:highlight w:val="none"/>
              </w:rPr>
            </w:pPr>
          </w:p>
        </w:tc>
        <w:tc>
          <w:tcPr>
            <w:tcW w:w="230" w:type="pct"/>
            <w:vMerge w:val="continue"/>
            <w:tcBorders>
              <w:left w:val="single" w:color="000000" w:sz="4" w:space="0"/>
              <w:right w:val="single" w:color="000000" w:sz="4" w:space="0"/>
            </w:tcBorders>
            <w:shd w:val="clear" w:color="auto" w:fill="FFFFFF"/>
            <w:noWrap w:val="0"/>
            <w:vAlign w:val="center"/>
          </w:tcPr>
          <w:p w14:paraId="090A90A6">
            <w:pPr>
              <w:spacing w:line="240" w:lineRule="auto"/>
              <w:ind w:firstLine="0" w:firstLineChars="0"/>
              <w:jc w:val="center"/>
              <w:rPr>
                <w:rFonts w:ascii="Times New Roman" w:hAnsi="Times New Roman"/>
                <w:kern w:val="0"/>
                <w:sz w:val="21"/>
                <w:highlight w:val="none"/>
              </w:rPr>
            </w:pPr>
          </w:p>
        </w:tc>
        <w:tc>
          <w:tcPr>
            <w:tcW w:w="273" w:type="pct"/>
            <w:vMerge w:val="continue"/>
            <w:tcBorders>
              <w:left w:val="single" w:color="000000" w:sz="4" w:space="0"/>
              <w:right w:val="single" w:color="000000" w:sz="4" w:space="0"/>
            </w:tcBorders>
            <w:shd w:val="clear" w:color="auto" w:fill="FFFFFF"/>
            <w:noWrap w:val="0"/>
            <w:vAlign w:val="center"/>
          </w:tcPr>
          <w:p w14:paraId="3946F850">
            <w:pPr>
              <w:spacing w:line="240" w:lineRule="auto"/>
              <w:ind w:firstLine="0" w:firstLineChars="0"/>
              <w:jc w:val="center"/>
              <w:rPr>
                <w:rFonts w:ascii="Times New Roman" w:hAnsi="Times New Roman"/>
                <w:kern w:val="0"/>
                <w:sz w:val="21"/>
                <w:highlight w:val="none"/>
              </w:rPr>
            </w:pPr>
          </w:p>
        </w:tc>
        <w:tc>
          <w:tcPr>
            <w:tcW w:w="170" w:type="pct"/>
            <w:vMerge w:val="continue"/>
            <w:tcBorders>
              <w:left w:val="single" w:color="000000" w:sz="4" w:space="0"/>
              <w:right w:val="single" w:color="000000" w:sz="4" w:space="0"/>
            </w:tcBorders>
            <w:shd w:val="clear" w:color="auto" w:fill="FFFFFF"/>
            <w:noWrap w:val="0"/>
            <w:vAlign w:val="center"/>
          </w:tcPr>
          <w:p w14:paraId="3EF5AD49">
            <w:pPr>
              <w:spacing w:line="240" w:lineRule="auto"/>
              <w:ind w:firstLine="0" w:firstLineChars="0"/>
              <w:jc w:val="center"/>
              <w:rPr>
                <w:rFonts w:ascii="Times New Roman" w:hAnsi="Times New Roman"/>
                <w:kern w:val="0"/>
                <w:sz w:val="21"/>
                <w:highlight w:val="none"/>
              </w:rPr>
            </w:pPr>
          </w:p>
        </w:tc>
        <w:tc>
          <w:tcPr>
            <w:tcW w:w="323" w:type="pct"/>
            <w:tcBorders>
              <w:left w:val="single" w:color="000000" w:sz="4" w:space="0"/>
              <w:right w:val="single" w:color="000000" w:sz="4" w:space="0"/>
            </w:tcBorders>
            <w:shd w:val="clear" w:color="auto" w:fill="FFFFFF"/>
            <w:noWrap w:val="0"/>
            <w:vAlign w:val="center"/>
          </w:tcPr>
          <w:p w14:paraId="48FEF34C">
            <w:pPr>
              <w:widowControl/>
              <w:spacing w:line="240" w:lineRule="auto"/>
              <w:ind w:firstLine="0" w:firstLineChars="0"/>
              <w:jc w:val="center"/>
              <w:textAlignment w:val="center"/>
              <w:rPr>
                <w:rFonts w:ascii="Times New Roman" w:hAnsi="Times New Roman"/>
                <w:kern w:val="0"/>
                <w:sz w:val="21"/>
                <w:highlight w:val="none"/>
              </w:rPr>
            </w:pPr>
            <w:r>
              <w:rPr>
                <w:rFonts w:hint="eastAsia" w:ascii="Times New Roman" w:hAnsi="Times New Roman"/>
                <w:sz w:val="21"/>
                <w:highlight w:val="none"/>
              </w:rPr>
              <w:t>烟尘（PM</w:t>
            </w:r>
            <w:r>
              <w:rPr>
                <w:rFonts w:hint="eastAsia" w:ascii="Times New Roman" w:hAnsi="Times New Roman"/>
                <w:sz w:val="21"/>
                <w:highlight w:val="none"/>
                <w:vertAlign w:val="subscript"/>
              </w:rPr>
              <w:t>10</w:t>
            </w:r>
            <w:r>
              <w:rPr>
                <w:rFonts w:hint="eastAsia" w:ascii="Times New Roman" w:hAnsi="Times New Roman"/>
                <w:sz w:val="21"/>
                <w:highlight w:val="none"/>
              </w:rPr>
              <w:t>）</w:t>
            </w:r>
          </w:p>
        </w:tc>
        <w:tc>
          <w:tcPr>
            <w:tcW w:w="273" w:type="pct"/>
            <w:tcBorders>
              <w:left w:val="single" w:color="000000" w:sz="4" w:space="0"/>
              <w:right w:val="single" w:color="000000" w:sz="4" w:space="0"/>
            </w:tcBorders>
            <w:shd w:val="clear" w:color="auto" w:fill="FFFFFF"/>
            <w:noWrap w:val="0"/>
            <w:vAlign w:val="center"/>
          </w:tcPr>
          <w:p w14:paraId="4ADA6D61">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sz w:val="21"/>
                <w:highlight w:val="none"/>
              </w:rPr>
              <w:t>SO</w:t>
            </w:r>
            <w:r>
              <w:rPr>
                <w:rFonts w:ascii="Times New Roman" w:hAnsi="Times New Roman"/>
                <w:sz w:val="21"/>
                <w:highlight w:val="none"/>
                <w:vertAlign w:val="subscript"/>
              </w:rPr>
              <w:t>2</w:t>
            </w:r>
          </w:p>
        </w:tc>
        <w:tc>
          <w:tcPr>
            <w:tcW w:w="392" w:type="pct"/>
            <w:tcBorders>
              <w:left w:val="single" w:color="000000" w:sz="4" w:space="0"/>
              <w:right w:val="nil"/>
            </w:tcBorders>
            <w:noWrap w:val="0"/>
            <w:vAlign w:val="center"/>
          </w:tcPr>
          <w:p w14:paraId="446561E1">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sz w:val="21"/>
                <w:highlight w:val="none"/>
              </w:rPr>
              <w:t>NO</w:t>
            </w:r>
            <w:r>
              <w:rPr>
                <w:rFonts w:ascii="Times New Roman" w:hAnsi="Times New Roman"/>
                <w:sz w:val="21"/>
                <w:highlight w:val="none"/>
                <w:vertAlign w:val="subscript"/>
              </w:rPr>
              <w:t>x</w:t>
            </w:r>
          </w:p>
        </w:tc>
        <w:tc>
          <w:tcPr>
            <w:tcW w:w="369" w:type="pct"/>
            <w:tcBorders>
              <w:left w:val="single" w:color="000000" w:sz="4" w:space="0"/>
              <w:right w:val="nil"/>
            </w:tcBorders>
            <w:noWrap w:val="0"/>
            <w:vAlign w:val="center"/>
          </w:tcPr>
          <w:p w14:paraId="2E9BBAD9">
            <w:pPr>
              <w:widowControl/>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Hg</w:t>
            </w:r>
          </w:p>
        </w:tc>
        <w:tc>
          <w:tcPr>
            <w:tcW w:w="341" w:type="pct"/>
            <w:tcBorders>
              <w:left w:val="single" w:color="000000" w:sz="4" w:space="0"/>
              <w:right w:val="nil"/>
            </w:tcBorders>
            <w:noWrap w:val="0"/>
            <w:vAlign w:val="center"/>
          </w:tcPr>
          <w:p w14:paraId="2E43FF6C">
            <w:pPr>
              <w:widowControl/>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氨</w:t>
            </w:r>
          </w:p>
        </w:tc>
      </w:tr>
      <w:tr w14:paraId="50490B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16" w:hRule="atLeast"/>
        </w:trPr>
        <w:tc>
          <w:tcPr>
            <w:tcW w:w="231" w:type="pct"/>
            <w:tcBorders>
              <w:right w:val="single" w:color="000000" w:sz="4" w:space="0"/>
            </w:tcBorders>
            <w:noWrap w:val="0"/>
            <w:vAlign w:val="center"/>
          </w:tcPr>
          <w:p w14:paraId="3316FB2B">
            <w:pPr>
              <w:widowControl/>
              <w:spacing w:line="240" w:lineRule="auto"/>
              <w:ind w:firstLine="0" w:firstLineChars="0"/>
              <w:jc w:val="center"/>
              <w:textAlignment w:val="center"/>
              <w:rPr>
                <w:rFonts w:hint="eastAsia" w:ascii="Times New Roman" w:hAnsi="Times New Roman" w:eastAsia="宋体"/>
                <w:kern w:val="0"/>
                <w:sz w:val="21"/>
                <w:highlight w:val="none"/>
                <w:lang w:eastAsia="zh-CN"/>
              </w:rPr>
            </w:pPr>
            <w:r>
              <w:rPr>
                <w:rFonts w:ascii="Times New Roman" w:hAnsi="Times New Roman"/>
                <w:kern w:val="0"/>
                <w:sz w:val="21"/>
                <w:highlight w:val="none"/>
                <w:lang w:bidi="ar"/>
              </w:rPr>
              <w:t>DA00</w:t>
            </w:r>
            <w:r>
              <w:rPr>
                <w:rFonts w:hint="eastAsia" w:ascii="Times New Roman" w:hAnsi="Times New Roman"/>
                <w:kern w:val="0"/>
                <w:sz w:val="21"/>
                <w:highlight w:val="none"/>
                <w:lang w:val="en-US" w:eastAsia="zh-CN" w:bidi="ar"/>
              </w:rPr>
              <w:t>1</w:t>
            </w:r>
          </w:p>
        </w:tc>
        <w:tc>
          <w:tcPr>
            <w:tcW w:w="196" w:type="pct"/>
            <w:tcBorders>
              <w:left w:val="single" w:color="000000" w:sz="4" w:space="0"/>
              <w:right w:val="single" w:color="000000" w:sz="4" w:space="0"/>
            </w:tcBorders>
            <w:noWrap w:val="0"/>
            <w:vAlign w:val="center"/>
          </w:tcPr>
          <w:p w14:paraId="52C9EC74">
            <w:pPr>
              <w:widowControl/>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锅炉排气筒</w:t>
            </w:r>
          </w:p>
        </w:tc>
        <w:tc>
          <w:tcPr>
            <w:tcW w:w="442" w:type="pct"/>
            <w:tcBorders>
              <w:left w:val="single" w:color="000000" w:sz="4" w:space="0"/>
              <w:right w:val="single" w:color="000000" w:sz="4" w:space="0"/>
            </w:tcBorders>
            <w:noWrap w:val="0"/>
            <w:vAlign w:val="center"/>
          </w:tcPr>
          <w:p w14:paraId="5A40CB5C">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21</w:t>
            </w:r>
          </w:p>
        </w:tc>
        <w:tc>
          <w:tcPr>
            <w:tcW w:w="404" w:type="pct"/>
            <w:tcBorders>
              <w:left w:val="single" w:color="000000" w:sz="4" w:space="0"/>
              <w:right w:val="single" w:color="000000" w:sz="4" w:space="0"/>
            </w:tcBorders>
            <w:noWrap w:val="0"/>
            <w:vAlign w:val="center"/>
          </w:tcPr>
          <w:p w14:paraId="3B520178">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14</w:t>
            </w:r>
          </w:p>
        </w:tc>
        <w:tc>
          <w:tcPr>
            <w:tcW w:w="366" w:type="pct"/>
            <w:tcBorders>
              <w:left w:val="single" w:color="000000" w:sz="4" w:space="0"/>
              <w:right w:val="single" w:color="000000" w:sz="4" w:space="0"/>
            </w:tcBorders>
            <w:noWrap w:val="0"/>
            <w:vAlign w:val="center"/>
          </w:tcPr>
          <w:p w14:paraId="21472AE1">
            <w:pPr>
              <w:widowControl/>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458</w:t>
            </w:r>
          </w:p>
        </w:tc>
        <w:tc>
          <w:tcPr>
            <w:tcW w:w="231" w:type="pct"/>
            <w:tcBorders>
              <w:left w:val="single" w:color="000000" w:sz="4" w:space="0"/>
              <w:right w:val="single" w:color="000000" w:sz="4" w:space="0"/>
            </w:tcBorders>
            <w:noWrap w:val="0"/>
            <w:vAlign w:val="center"/>
          </w:tcPr>
          <w:p w14:paraId="67008B74">
            <w:pPr>
              <w:widowControl/>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60</w:t>
            </w:r>
          </w:p>
        </w:tc>
        <w:tc>
          <w:tcPr>
            <w:tcW w:w="288" w:type="pct"/>
            <w:tcBorders>
              <w:left w:val="single" w:color="000000" w:sz="4" w:space="0"/>
              <w:right w:val="single" w:color="000000" w:sz="4" w:space="0"/>
            </w:tcBorders>
            <w:noWrap w:val="0"/>
            <w:vAlign w:val="center"/>
          </w:tcPr>
          <w:p w14:paraId="5F4458F2">
            <w:pPr>
              <w:widowControl/>
              <w:spacing w:line="240" w:lineRule="auto"/>
              <w:ind w:firstLine="0" w:firstLineChars="0"/>
              <w:jc w:val="center"/>
              <w:textAlignment w:val="center"/>
              <w:rPr>
                <w:rFonts w:hint="eastAsia" w:ascii="Times New Roman" w:hAnsi="Times New Roman" w:eastAsia="宋体"/>
                <w:kern w:val="0"/>
                <w:sz w:val="21"/>
                <w:highlight w:val="none"/>
                <w:lang w:eastAsia="zh-CN"/>
              </w:rPr>
            </w:pPr>
            <w:r>
              <w:rPr>
                <w:rFonts w:hint="eastAsia" w:ascii="Times New Roman" w:hAnsi="Times New Roman"/>
                <w:kern w:val="0"/>
                <w:sz w:val="21"/>
                <w:highlight w:val="none"/>
                <w:lang w:val="en-US" w:eastAsia="zh-CN"/>
              </w:rPr>
              <w:t>4</w:t>
            </w:r>
          </w:p>
        </w:tc>
        <w:tc>
          <w:tcPr>
            <w:tcW w:w="464" w:type="pct"/>
            <w:tcBorders>
              <w:left w:val="single" w:color="000000" w:sz="4" w:space="0"/>
              <w:right w:val="single" w:color="000000" w:sz="4" w:space="0"/>
            </w:tcBorders>
            <w:noWrap w:val="0"/>
            <w:vAlign w:val="center"/>
          </w:tcPr>
          <w:p w14:paraId="1AA349E2">
            <w:pPr>
              <w:widowControl/>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298649</w:t>
            </w:r>
          </w:p>
        </w:tc>
        <w:tc>
          <w:tcPr>
            <w:tcW w:w="230" w:type="pct"/>
            <w:tcBorders>
              <w:left w:val="single" w:color="000000" w:sz="4" w:space="0"/>
              <w:right w:val="single" w:color="000000" w:sz="4" w:space="0"/>
            </w:tcBorders>
            <w:noWrap w:val="0"/>
            <w:vAlign w:val="center"/>
          </w:tcPr>
          <w:p w14:paraId="753C03A4">
            <w:pPr>
              <w:widowControl/>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100</w:t>
            </w:r>
          </w:p>
        </w:tc>
        <w:tc>
          <w:tcPr>
            <w:tcW w:w="273" w:type="pct"/>
            <w:tcBorders>
              <w:left w:val="single" w:color="000000" w:sz="4" w:space="0"/>
              <w:right w:val="single" w:color="000000" w:sz="4" w:space="0"/>
            </w:tcBorders>
            <w:noWrap w:val="0"/>
            <w:vAlign w:val="center"/>
          </w:tcPr>
          <w:p w14:paraId="033CE505">
            <w:pPr>
              <w:widowControl/>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bidi="ar"/>
              </w:rPr>
              <w:t>5040</w:t>
            </w:r>
          </w:p>
        </w:tc>
        <w:tc>
          <w:tcPr>
            <w:tcW w:w="170" w:type="pct"/>
            <w:tcBorders>
              <w:left w:val="single" w:color="000000" w:sz="4" w:space="0"/>
              <w:right w:val="single" w:color="000000" w:sz="4" w:space="0"/>
            </w:tcBorders>
            <w:noWrap w:val="0"/>
            <w:vAlign w:val="center"/>
          </w:tcPr>
          <w:p w14:paraId="5FFC3A99">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正常</w:t>
            </w:r>
          </w:p>
        </w:tc>
        <w:tc>
          <w:tcPr>
            <w:tcW w:w="323" w:type="pct"/>
            <w:tcBorders>
              <w:left w:val="single" w:color="000000" w:sz="4" w:space="0"/>
              <w:right w:val="single" w:color="000000" w:sz="4" w:space="0"/>
            </w:tcBorders>
            <w:noWrap w:val="0"/>
            <w:vAlign w:val="center"/>
          </w:tcPr>
          <w:p w14:paraId="66299513">
            <w:pPr>
              <w:widowControl/>
              <w:spacing w:line="240" w:lineRule="auto"/>
              <w:ind w:firstLine="0" w:firstLineChars="0"/>
              <w:jc w:val="center"/>
              <w:textAlignment w:val="center"/>
              <w:rPr>
                <w:rFonts w:hint="default" w:ascii="Times New Roman" w:hAnsi="Times New Roman" w:eastAsia="宋体"/>
                <w:kern w:val="0"/>
                <w:sz w:val="21"/>
                <w:szCs w:val="21"/>
                <w:highlight w:val="none"/>
                <w:lang w:val="en-US" w:eastAsia="zh-CN"/>
              </w:rPr>
            </w:pPr>
            <w:r>
              <w:rPr>
                <w:rFonts w:hint="eastAsia" w:ascii="Times New Roman" w:hAnsi="Times New Roman"/>
                <w:sz w:val="21"/>
                <w:szCs w:val="21"/>
                <w:highlight w:val="none"/>
                <w:lang w:val="en-US" w:eastAsia="zh-CN"/>
              </w:rPr>
              <w:t>0.95</w:t>
            </w:r>
          </w:p>
        </w:tc>
        <w:tc>
          <w:tcPr>
            <w:tcW w:w="273" w:type="pct"/>
            <w:tcBorders>
              <w:left w:val="single" w:color="000000" w:sz="4" w:space="0"/>
              <w:right w:val="single" w:color="000000" w:sz="4" w:space="0"/>
            </w:tcBorders>
            <w:noWrap w:val="0"/>
            <w:vAlign w:val="center"/>
          </w:tcPr>
          <w:p w14:paraId="3894E532">
            <w:pPr>
              <w:widowControl/>
              <w:spacing w:line="240" w:lineRule="auto"/>
              <w:ind w:firstLine="0" w:firstLineChars="0"/>
              <w:jc w:val="center"/>
              <w:textAlignment w:val="center"/>
              <w:rPr>
                <w:rFonts w:hint="default" w:ascii="Times New Roman" w:hAnsi="Times New Roman" w:eastAsia="宋体"/>
                <w:kern w:val="0"/>
                <w:sz w:val="21"/>
                <w:szCs w:val="21"/>
                <w:highlight w:val="none"/>
                <w:lang w:val="en-US" w:eastAsia="zh-CN"/>
              </w:rPr>
            </w:pPr>
            <w:r>
              <w:rPr>
                <w:rFonts w:hint="eastAsia" w:ascii="Times New Roman" w:hAnsi="Times New Roman"/>
                <w:sz w:val="21"/>
                <w:szCs w:val="21"/>
                <w:highlight w:val="none"/>
                <w:lang w:val="en-US" w:eastAsia="zh-CN"/>
              </w:rPr>
              <w:t>2.91</w:t>
            </w:r>
          </w:p>
        </w:tc>
        <w:tc>
          <w:tcPr>
            <w:tcW w:w="392" w:type="pct"/>
            <w:tcBorders>
              <w:left w:val="single" w:color="000000" w:sz="4" w:space="0"/>
              <w:right w:val="nil"/>
            </w:tcBorders>
            <w:noWrap w:val="0"/>
            <w:vAlign w:val="center"/>
          </w:tcPr>
          <w:p w14:paraId="1626B140">
            <w:pPr>
              <w:widowControl/>
              <w:spacing w:line="240" w:lineRule="auto"/>
              <w:ind w:firstLine="0" w:firstLineChars="0"/>
              <w:jc w:val="center"/>
              <w:textAlignment w:val="center"/>
              <w:rPr>
                <w:rFonts w:ascii="Times New Roman" w:hAnsi="Times New Roman"/>
                <w:kern w:val="0"/>
                <w:sz w:val="21"/>
                <w:szCs w:val="21"/>
                <w:highlight w:val="none"/>
              </w:rPr>
            </w:pPr>
            <w:r>
              <w:rPr>
                <w:rFonts w:hint="eastAsia" w:ascii="Times New Roman" w:hAnsi="Times New Roman"/>
                <w:sz w:val="21"/>
                <w:szCs w:val="21"/>
                <w:highlight w:val="none"/>
                <w:lang w:val="en-US" w:eastAsia="zh-CN"/>
              </w:rPr>
              <w:t>13.5</w:t>
            </w:r>
          </w:p>
        </w:tc>
        <w:tc>
          <w:tcPr>
            <w:tcW w:w="369" w:type="pct"/>
            <w:tcBorders>
              <w:left w:val="single" w:color="000000" w:sz="4" w:space="0"/>
              <w:right w:val="nil"/>
            </w:tcBorders>
            <w:noWrap w:val="0"/>
            <w:vAlign w:val="center"/>
          </w:tcPr>
          <w:p w14:paraId="2CBEAA96">
            <w:pPr>
              <w:widowControl/>
              <w:spacing w:line="240" w:lineRule="auto"/>
              <w:ind w:firstLine="0" w:firstLineChars="0"/>
              <w:jc w:val="center"/>
              <w:textAlignment w:val="center"/>
              <w:rPr>
                <w:rFonts w:hint="default" w:ascii="Times New Roman" w:hAnsi="Times New Roman" w:eastAsia="宋体"/>
                <w:kern w:val="0"/>
                <w:sz w:val="21"/>
                <w:szCs w:val="21"/>
                <w:highlight w:val="none"/>
                <w:lang w:val="en-US" w:eastAsia="zh-CN"/>
              </w:rPr>
            </w:pPr>
            <w:r>
              <w:rPr>
                <w:rFonts w:hint="eastAsia" w:ascii="Times New Roman" w:hAnsi="Times New Roman"/>
                <w:sz w:val="21"/>
                <w:szCs w:val="21"/>
                <w:highlight w:val="none"/>
                <w:lang w:val="en-US" w:eastAsia="zh-CN"/>
              </w:rPr>
              <w:t>0.00219</w:t>
            </w:r>
          </w:p>
        </w:tc>
        <w:tc>
          <w:tcPr>
            <w:tcW w:w="341" w:type="pct"/>
            <w:tcBorders>
              <w:left w:val="single" w:color="000000" w:sz="4" w:space="0"/>
              <w:right w:val="nil"/>
            </w:tcBorders>
            <w:noWrap w:val="0"/>
            <w:vAlign w:val="center"/>
          </w:tcPr>
          <w:p w14:paraId="01978BD5">
            <w:pPr>
              <w:widowControl/>
              <w:spacing w:line="240" w:lineRule="auto"/>
              <w:ind w:firstLine="0" w:firstLineChars="0"/>
              <w:jc w:val="center"/>
              <w:textAlignment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0.745</w:t>
            </w:r>
          </w:p>
        </w:tc>
      </w:tr>
      <w:tr w14:paraId="479375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16" w:hRule="atLeast"/>
        </w:trPr>
        <w:tc>
          <w:tcPr>
            <w:tcW w:w="231" w:type="pct"/>
            <w:tcBorders>
              <w:right w:val="single" w:color="000000" w:sz="4" w:space="0"/>
            </w:tcBorders>
            <w:noWrap w:val="0"/>
            <w:vAlign w:val="center"/>
          </w:tcPr>
          <w:p w14:paraId="7195AC8B">
            <w:pPr>
              <w:widowControl/>
              <w:spacing w:line="240" w:lineRule="auto"/>
              <w:ind w:firstLine="0" w:firstLineChars="0"/>
              <w:jc w:val="center"/>
              <w:textAlignment w:val="center"/>
              <w:rPr>
                <w:rFonts w:hint="default" w:ascii="Times New Roman" w:hAnsi="Times New Roman" w:eastAsia="宋体"/>
                <w:kern w:val="0"/>
                <w:sz w:val="21"/>
                <w:highlight w:val="none"/>
                <w:lang w:val="en-US" w:eastAsia="zh-CN" w:bidi="ar"/>
              </w:rPr>
            </w:pPr>
            <w:r>
              <w:rPr>
                <w:rFonts w:hint="eastAsia" w:ascii="Times New Roman" w:hAnsi="Times New Roman"/>
                <w:kern w:val="0"/>
                <w:sz w:val="21"/>
                <w:highlight w:val="none"/>
                <w:lang w:val="en-US" w:eastAsia="zh-CN" w:bidi="ar"/>
              </w:rPr>
              <w:t>DA002</w:t>
            </w:r>
          </w:p>
        </w:tc>
        <w:tc>
          <w:tcPr>
            <w:tcW w:w="196" w:type="pct"/>
            <w:tcBorders>
              <w:left w:val="single" w:color="000000" w:sz="4" w:space="0"/>
              <w:right w:val="single" w:color="000000" w:sz="4" w:space="0"/>
            </w:tcBorders>
            <w:noWrap w:val="0"/>
            <w:vAlign w:val="center"/>
          </w:tcPr>
          <w:p w14:paraId="16DD4375">
            <w:pPr>
              <w:widowControl/>
              <w:spacing w:line="240" w:lineRule="auto"/>
              <w:ind w:firstLine="0" w:firstLineChars="0"/>
              <w:jc w:val="center"/>
              <w:textAlignment w:val="center"/>
              <w:rPr>
                <w:rFonts w:hint="eastAsia" w:ascii="Times New Roman" w:hAnsi="Times New Roman" w:eastAsia="宋体"/>
                <w:kern w:val="0"/>
                <w:sz w:val="21"/>
                <w:highlight w:val="none"/>
                <w:lang w:val="en-US" w:eastAsia="zh-CN"/>
              </w:rPr>
            </w:pPr>
            <w:r>
              <w:rPr>
                <w:rFonts w:hint="eastAsia" w:ascii="Times New Roman" w:hAnsi="Times New Roman"/>
                <w:kern w:val="0"/>
                <w:sz w:val="21"/>
                <w:szCs w:val="21"/>
                <w:highlight w:val="none"/>
              </w:rPr>
              <w:t>碎煤机室</w:t>
            </w:r>
            <w:r>
              <w:rPr>
                <w:rFonts w:hint="eastAsia" w:ascii="Times New Roman" w:hAnsi="Times New Roman"/>
                <w:kern w:val="0"/>
                <w:sz w:val="21"/>
                <w:szCs w:val="21"/>
                <w:highlight w:val="none"/>
                <w:lang w:val="en-US" w:eastAsia="zh-CN"/>
              </w:rPr>
              <w:t>排气筒</w:t>
            </w:r>
          </w:p>
        </w:tc>
        <w:tc>
          <w:tcPr>
            <w:tcW w:w="442" w:type="pct"/>
            <w:tcBorders>
              <w:left w:val="single" w:color="000000" w:sz="4" w:space="0"/>
              <w:right w:val="single" w:color="000000" w:sz="4" w:space="0"/>
            </w:tcBorders>
            <w:noWrap w:val="0"/>
            <w:vAlign w:val="center"/>
          </w:tcPr>
          <w:p w14:paraId="04708C4A">
            <w:pPr>
              <w:tabs>
                <w:tab w:val="left" w:pos="1517"/>
              </w:tabs>
              <w:spacing w:line="240" w:lineRule="auto"/>
              <w:ind w:firstLine="0" w:firstLineChars="0"/>
              <w:jc w:val="center"/>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-36</w:t>
            </w:r>
          </w:p>
        </w:tc>
        <w:tc>
          <w:tcPr>
            <w:tcW w:w="404" w:type="pct"/>
            <w:tcBorders>
              <w:left w:val="single" w:color="000000" w:sz="4" w:space="0"/>
              <w:right w:val="single" w:color="000000" w:sz="4" w:space="0"/>
            </w:tcBorders>
            <w:noWrap w:val="0"/>
            <w:vAlign w:val="center"/>
          </w:tcPr>
          <w:p w14:paraId="757772DF">
            <w:pPr>
              <w:tabs>
                <w:tab w:val="left" w:pos="1517"/>
              </w:tabs>
              <w:spacing w:line="240" w:lineRule="auto"/>
              <w:ind w:firstLine="0" w:firstLineChars="0"/>
              <w:jc w:val="center"/>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46</w:t>
            </w:r>
          </w:p>
        </w:tc>
        <w:tc>
          <w:tcPr>
            <w:tcW w:w="366" w:type="pct"/>
            <w:tcBorders>
              <w:left w:val="single" w:color="000000" w:sz="4" w:space="0"/>
              <w:right w:val="single" w:color="000000" w:sz="4" w:space="0"/>
            </w:tcBorders>
            <w:noWrap w:val="0"/>
            <w:vAlign w:val="center"/>
          </w:tcPr>
          <w:p w14:paraId="2B110B0F">
            <w:pPr>
              <w:widowControl/>
              <w:spacing w:line="240" w:lineRule="auto"/>
              <w:ind w:firstLine="0" w:firstLineChars="0"/>
              <w:jc w:val="center"/>
              <w:textAlignment w:val="center"/>
              <w:rPr>
                <w:rFonts w:hint="default" w:ascii="Times New Roman" w:hAnsi="Times New Roman"/>
                <w:kern w:val="0"/>
                <w:sz w:val="21"/>
                <w:highlight w:val="none"/>
                <w:lang w:val="en-US" w:eastAsia="zh-CN"/>
              </w:rPr>
            </w:pPr>
            <w:r>
              <w:rPr>
                <w:rFonts w:hint="eastAsia" w:ascii="Times New Roman" w:hAnsi="Times New Roman"/>
                <w:kern w:val="0"/>
                <w:sz w:val="21"/>
                <w:highlight w:val="none"/>
                <w:lang w:val="en-US" w:eastAsia="zh-CN"/>
              </w:rPr>
              <w:t>458</w:t>
            </w:r>
          </w:p>
        </w:tc>
        <w:tc>
          <w:tcPr>
            <w:tcW w:w="231" w:type="pct"/>
            <w:tcBorders>
              <w:left w:val="single" w:color="000000" w:sz="4" w:space="0"/>
              <w:right w:val="single" w:color="000000" w:sz="4" w:space="0"/>
            </w:tcBorders>
            <w:noWrap w:val="0"/>
            <w:vAlign w:val="center"/>
          </w:tcPr>
          <w:p w14:paraId="6CB558C4">
            <w:pPr>
              <w:widowControl/>
              <w:spacing w:line="240" w:lineRule="auto"/>
              <w:ind w:firstLine="0" w:firstLineChars="0"/>
              <w:jc w:val="center"/>
              <w:textAlignment w:val="center"/>
              <w:rPr>
                <w:rFonts w:hint="default" w:ascii="Times New Roman" w:hAnsi="Times New Roman"/>
                <w:kern w:val="0"/>
                <w:sz w:val="21"/>
                <w:highlight w:val="none"/>
                <w:lang w:val="en-US" w:eastAsia="zh-CN"/>
              </w:rPr>
            </w:pPr>
            <w:r>
              <w:rPr>
                <w:rFonts w:hint="eastAsia" w:ascii="Times New Roman" w:hAnsi="Times New Roman"/>
                <w:kern w:val="0"/>
                <w:sz w:val="21"/>
                <w:highlight w:val="none"/>
                <w:lang w:val="en-US" w:eastAsia="zh-CN"/>
              </w:rPr>
              <w:t>15</w:t>
            </w:r>
          </w:p>
        </w:tc>
        <w:tc>
          <w:tcPr>
            <w:tcW w:w="288" w:type="pct"/>
            <w:tcBorders>
              <w:left w:val="single" w:color="000000" w:sz="4" w:space="0"/>
              <w:right w:val="single" w:color="000000" w:sz="4" w:space="0"/>
            </w:tcBorders>
            <w:noWrap w:val="0"/>
            <w:vAlign w:val="center"/>
          </w:tcPr>
          <w:p w14:paraId="621832DB">
            <w:pPr>
              <w:widowControl/>
              <w:spacing w:line="240" w:lineRule="auto"/>
              <w:ind w:firstLine="0" w:firstLineChars="0"/>
              <w:jc w:val="center"/>
              <w:textAlignment w:val="center"/>
              <w:rPr>
                <w:rFonts w:hint="default" w:ascii="Times New Roman" w:hAnsi="Times New Roman"/>
                <w:kern w:val="0"/>
                <w:sz w:val="21"/>
                <w:highlight w:val="none"/>
                <w:lang w:val="en-US" w:eastAsia="zh-CN"/>
              </w:rPr>
            </w:pPr>
            <w:r>
              <w:rPr>
                <w:rFonts w:hint="eastAsia" w:ascii="Times New Roman" w:hAnsi="Times New Roman"/>
                <w:kern w:val="0"/>
                <w:sz w:val="21"/>
                <w:highlight w:val="none"/>
                <w:lang w:val="en-US" w:eastAsia="zh-CN"/>
              </w:rPr>
              <w:t>0.2</w:t>
            </w:r>
          </w:p>
        </w:tc>
        <w:tc>
          <w:tcPr>
            <w:tcW w:w="464" w:type="pct"/>
            <w:tcBorders>
              <w:left w:val="single" w:color="000000" w:sz="4" w:space="0"/>
              <w:right w:val="single" w:color="000000" w:sz="4" w:space="0"/>
            </w:tcBorders>
            <w:noWrap w:val="0"/>
            <w:vAlign w:val="center"/>
          </w:tcPr>
          <w:p w14:paraId="03510736">
            <w:pPr>
              <w:widowControl/>
              <w:spacing w:line="240" w:lineRule="auto"/>
              <w:ind w:firstLine="0" w:firstLineChars="0"/>
              <w:jc w:val="center"/>
              <w:textAlignment w:val="center"/>
              <w:rPr>
                <w:rFonts w:hint="default" w:ascii="Times New Roman" w:hAnsi="Times New Roman"/>
                <w:kern w:val="0"/>
                <w:sz w:val="21"/>
                <w:highlight w:val="none"/>
                <w:lang w:val="en-US" w:eastAsia="zh-CN"/>
              </w:rPr>
            </w:pPr>
            <w:r>
              <w:rPr>
                <w:rFonts w:hint="eastAsia" w:ascii="Times New Roman" w:hAnsi="Times New Roman"/>
                <w:kern w:val="0"/>
                <w:sz w:val="21"/>
                <w:highlight w:val="none"/>
                <w:lang w:val="en-US" w:eastAsia="zh-CN"/>
              </w:rPr>
              <w:t>4000</w:t>
            </w:r>
          </w:p>
        </w:tc>
        <w:tc>
          <w:tcPr>
            <w:tcW w:w="230" w:type="pct"/>
            <w:tcBorders>
              <w:left w:val="single" w:color="000000" w:sz="4" w:space="0"/>
              <w:right w:val="single" w:color="000000" w:sz="4" w:space="0"/>
            </w:tcBorders>
            <w:noWrap w:val="0"/>
            <w:vAlign w:val="center"/>
          </w:tcPr>
          <w:p w14:paraId="42D6FE8D">
            <w:pPr>
              <w:widowControl/>
              <w:spacing w:line="240" w:lineRule="auto"/>
              <w:ind w:firstLine="0" w:firstLineChars="0"/>
              <w:jc w:val="center"/>
              <w:textAlignment w:val="center"/>
              <w:rPr>
                <w:rFonts w:hint="default" w:ascii="Times New Roman" w:hAnsi="Times New Roman"/>
                <w:kern w:val="0"/>
                <w:sz w:val="21"/>
                <w:highlight w:val="none"/>
                <w:lang w:val="en-US" w:eastAsia="zh-CN"/>
              </w:rPr>
            </w:pPr>
            <w:r>
              <w:rPr>
                <w:rFonts w:hint="eastAsia" w:ascii="Times New Roman" w:hAnsi="Times New Roman"/>
                <w:kern w:val="0"/>
                <w:sz w:val="21"/>
                <w:highlight w:val="none"/>
                <w:lang w:val="en-US" w:eastAsia="zh-CN"/>
              </w:rPr>
              <w:t>-20</w:t>
            </w:r>
          </w:p>
        </w:tc>
        <w:tc>
          <w:tcPr>
            <w:tcW w:w="273" w:type="pct"/>
            <w:tcBorders>
              <w:left w:val="single" w:color="000000" w:sz="4" w:space="0"/>
              <w:right w:val="single" w:color="000000" w:sz="4" w:space="0"/>
            </w:tcBorders>
            <w:noWrap w:val="0"/>
            <w:vAlign w:val="center"/>
          </w:tcPr>
          <w:p w14:paraId="32AA4069">
            <w:pPr>
              <w:widowControl/>
              <w:spacing w:line="240" w:lineRule="auto"/>
              <w:ind w:firstLine="0" w:firstLineChars="0"/>
              <w:jc w:val="center"/>
              <w:textAlignment w:val="center"/>
              <w:rPr>
                <w:rFonts w:hint="default" w:ascii="Times New Roman" w:hAnsi="Times New Roman"/>
                <w:kern w:val="0"/>
                <w:sz w:val="21"/>
                <w:highlight w:val="none"/>
                <w:lang w:val="en-US" w:eastAsia="zh-CN" w:bidi="ar"/>
              </w:rPr>
            </w:pPr>
            <w:r>
              <w:rPr>
                <w:rFonts w:hint="eastAsia" w:ascii="Times New Roman" w:hAnsi="Times New Roman"/>
                <w:kern w:val="0"/>
                <w:sz w:val="21"/>
                <w:highlight w:val="none"/>
                <w:lang w:val="en-US" w:eastAsia="zh-CN" w:bidi="ar"/>
              </w:rPr>
              <w:t>5040</w:t>
            </w:r>
          </w:p>
        </w:tc>
        <w:tc>
          <w:tcPr>
            <w:tcW w:w="170" w:type="pct"/>
            <w:tcBorders>
              <w:left w:val="single" w:color="000000" w:sz="4" w:space="0"/>
              <w:right w:val="single" w:color="000000" w:sz="4" w:space="0"/>
            </w:tcBorders>
            <w:noWrap w:val="0"/>
            <w:vAlign w:val="center"/>
          </w:tcPr>
          <w:p w14:paraId="1BF9E641">
            <w:pPr>
              <w:widowControl/>
              <w:spacing w:line="240" w:lineRule="auto"/>
              <w:ind w:firstLine="0" w:firstLineChars="0"/>
              <w:jc w:val="center"/>
              <w:textAlignment w:val="center"/>
              <w:rPr>
                <w:rFonts w:hint="default" w:ascii="Times New Roman" w:hAnsi="Times New Roman" w:eastAsia="宋体"/>
                <w:kern w:val="0"/>
                <w:sz w:val="21"/>
                <w:highlight w:val="none"/>
                <w:lang w:val="en-US" w:eastAsia="zh-CN" w:bidi="ar"/>
              </w:rPr>
            </w:pPr>
            <w:r>
              <w:rPr>
                <w:rFonts w:hint="eastAsia" w:ascii="Times New Roman" w:hAnsi="Times New Roman"/>
                <w:kern w:val="0"/>
                <w:sz w:val="21"/>
                <w:highlight w:val="none"/>
                <w:lang w:val="en-US" w:eastAsia="zh-CN" w:bidi="ar"/>
              </w:rPr>
              <w:t>正常</w:t>
            </w:r>
          </w:p>
        </w:tc>
        <w:tc>
          <w:tcPr>
            <w:tcW w:w="323" w:type="pct"/>
            <w:tcBorders>
              <w:left w:val="single" w:color="000000" w:sz="4" w:space="0"/>
              <w:right w:val="single" w:color="000000" w:sz="4" w:space="0"/>
            </w:tcBorders>
            <w:noWrap w:val="0"/>
            <w:vAlign w:val="center"/>
          </w:tcPr>
          <w:p w14:paraId="5BD14E9A">
            <w:pPr>
              <w:widowControl/>
              <w:spacing w:line="240" w:lineRule="auto"/>
              <w:ind w:firstLine="0" w:firstLineChars="0"/>
              <w:jc w:val="center"/>
              <w:textAlignment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0.0016</w:t>
            </w:r>
          </w:p>
        </w:tc>
        <w:tc>
          <w:tcPr>
            <w:tcW w:w="273" w:type="pct"/>
            <w:tcBorders>
              <w:left w:val="single" w:color="000000" w:sz="4" w:space="0"/>
              <w:right w:val="single" w:color="000000" w:sz="4" w:space="0"/>
            </w:tcBorders>
            <w:noWrap w:val="0"/>
            <w:vAlign w:val="center"/>
          </w:tcPr>
          <w:p w14:paraId="5ACF44C1">
            <w:pPr>
              <w:widowControl/>
              <w:spacing w:line="240" w:lineRule="auto"/>
              <w:ind w:firstLine="0" w:firstLineChars="0"/>
              <w:jc w:val="center"/>
              <w:textAlignment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w:t>
            </w:r>
          </w:p>
        </w:tc>
        <w:tc>
          <w:tcPr>
            <w:tcW w:w="392" w:type="pct"/>
            <w:tcBorders>
              <w:left w:val="single" w:color="000000" w:sz="4" w:space="0"/>
              <w:right w:val="nil"/>
            </w:tcBorders>
            <w:noWrap w:val="0"/>
            <w:vAlign w:val="center"/>
          </w:tcPr>
          <w:p w14:paraId="43810A90">
            <w:pPr>
              <w:widowControl/>
              <w:spacing w:line="240" w:lineRule="auto"/>
              <w:ind w:firstLine="0" w:firstLineChars="0"/>
              <w:jc w:val="center"/>
              <w:textAlignment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w:t>
            </w:r>
          </w:p>
        </w:tc>
        <w:tc>
          <w:tcPr>
            <w:tcW w:w="369" w:type="pct"/>
            <w:tcBorders>
              <w:left w:val="single" w:color="000000" w:sz="4" w:space="0"/>
              <w:right w:val="nil"/>
            </w:tcBorders>
            <w:noWrap w:val="0"/>
            <w:vAlign w:val="center"/>
          </w:tcPr>
          <w:p w14:paraId="1DBBC387">
            <w:pPr>
              <w:widowControl/>
              <w:spacing w:line="240" w:lineRule="auto"/>
              <w:ind w:firstLine="0" w:firstLineChars="0"/>
              <w:jc w:val="center"/>
              <w:textAlignment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w:t>
            </w:r>
          </w:p>
        </w:tc>
        <w:tc>
          <w:tcPr>
            <w:tcW w:w="341" w:type="pct"/>
            <w:tcBorders>
              <w:left w:val="single" w:color="000000" w:sz="4" w:space="0"/>
              <w:right w:val="nil"/>
            </w:tcBorders>
            <w:noWrap w:val="0"/>
            <w:vAlign w:val="center"/>
          </w:tcPr>
          <w:p w14:paraId="56EEEBEF">
            <w:pPr>
              <w:widowControl/>
              <w:spacing w:line="240" w:lineRule="auto"/>
              <w:ind w:firstLine="0" w:firstLineChars="0"/>
              <w:jc w:val="center"/>
              <w:textAlignment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w:t>
            </w:r>
          </w:p>
        </w:tc>
      </w:tr>
    </w:tbl>
    <w:p w14:paraId="6EB1B0BB">
      <w:pPr>
        <w:spacing w:line="240" w:lineRule="auto"/>
        <w:ind w:firstLine="0" w:firstLineChars="0"/>
        <w:jc w:val="left"/>
        <w:rPr>
          <w:rFonts w:hint="default" w:ascii="Times New Roman" w:hAnsi="Times New Roman" w:eastAsia="宋体"/>
          <w:b/>
          <w:sz w:val="21"/>
          <w:highlight w:val="none"/>
          <w:lang w:val="en-US" w:eastAsia="zh-CN"/>
        </w:rPr>
      </w:pPr>
      <w:r>
        <w:rPr>
          <w:rFonts w:hint="eastAsia" w:ascii="Times New Roman" w:hAnsi="Times New Roman"/>
          <w:b/>
          <w:sz w:val="21"/>
          <w:highlight w:val="none"/>
        </w:rPr>
        <w:t>注：本次评价烟气排放量</w:t>
      </w:r>
      <w:r>
        <w:rPr>
          <w:rFonts w:hint="eastAsia" w:ascii="Times New Roman" w:hAnsi="Times New Roman"/>
          <w:b/>
          <w:sz w:val="21"/>
          <w:highlight w:val="none"/>
          <w:lang w:val="en-US" w:eastAsia="zh-CN"/>
        </w:rPr>
        <w:t>选取使用锅炉最大组合吨位</w:t>
      </w:r>
      <w:r>
        <w:rPr>
          <w:rFonts w:hint="eastAsia" w:ascii="Times New Roman" w:hAnsi="Times New Roman"/>
          <w:b/>
          <w:sz w:val="21"/>
          <w:highlight w:val="none"/>
        </w:rPr>
        <w:t>进行环境空气评价等级的计算，年排放小时数为</w:t>
      </w:r>
      <w:r>
        <w:rPr>
          <w:rFonts w:hint="eastAsia" w:ascii="Times New Roman" w:hAnsi="Times New Roman"/>
          <w:b/>
          <w:sz w:val="21"/>
          <w:highlight w:val="none"/>
          <w:lang w:val="en-US" w:eastAsia="zh-CN"/>
        </w:rPr>
        <w:t>企业锅炉年运行</w:t>
      </w:r>
      <w:r>
        <w:rPr>
          <w:rFonts w:hint="eastAsia" w:ascii="Times New Roman" w:hAnsi="Times New Roman"/>
          <w:b/>
          <w:sz w:val="21"/>
          <w:highlight w:val="none"/>
        </w:rPr>
        <w:t>小时数。根据《燃煤锅炉烟气中细颗粒物的排放特征和控制现状》（环境工程技术学报2017.05），经过除尘效率相对较高的静电除尘器+湿法脱硫。本次采用布袋除尘器（超细纤维滤袋，表面进行覆膜处理）+湿法脱硫，为除尘效率相对较高的除尘方法。</w:t>
      </w:r>
    </w:p>
    <w:p w14:paraId="7A1033A3">
      <w:pPr>
        <w:pStyle w:val="29"/>
        <w:spacing w:line="240" w:lineRule="auto"/>
        <w:ind w:firstLine="480"/>
        <w:rPr>
          <w:rFonts w:hint="default" w:ascii="Times New Roman" w:hAnsi="Times New Roman" w:eastAsia="黑体" w:cs="Times New Roman"/>
          <w:color w:val="auto"/>
          <w:spacing w:val="0"/>
          <w:kern w:val="2"/>
          <w:sz w:val="24"/>
          <w:szCs w:val="24"/>
          <w:highlight w:val="none"/>
          <w:lang w:val="en-US" w:eastAsia="zh-CN" w:bidi="ar-SA"/>
        </w:rPr>
      </w:pPr>
      <w:r>
        <w:rPr>
          <w:rFonts w:hint="default" w:ascii="Times New Roman" w:hAnsi="Times New Roman" w:eastAsia="黑体" w:cs="Times New Roman"/>
          <w:color w:val="auto"/>
          <w:spacing w:val="0"/>
          <w:kern w:val="2"/>
          <w:sz w:val="24"/>
          <w:szCs w:val="24"/>
          <w:highlight w:val="none"/>
          <w:lang w:val="en-US" w:eastAsia="zh-CN" w:bidi="ar-SA"/>
        </w:rPr>
        <w:t>表2.4-3本项目污染源</w:t>
      </w:r>
      <w:r>
        <w:rPr>
          <w:rFonts w:hint="eastAsia" w:ascii="Times New Roman" w:hAnsi="Times New Roman" w:eastAsia="黑体" w:cs="Times New Roman"/>
          <w:color w:val="auto"/>
          <w:spacing w:val="0"/>
          <w:kern w:val="2"/>
          <w:sz w:val="24"/>
          <w:szCs w:val="24"/>
          <w:highlight w:val="none"/>
          <w:lang w:val="en-US" w:eastAsia="zh-CN" w:bidi="ar-SA"/>
        </w:rPr>
        <w:t>面源</w:t>
      </w:r>
      <w:r>
        <w:rPr>
          <w:rFonts w:hint="default" w:ascii="Times New Roman" w:hAnsi="Times New Roman" w:eastAsia="黑体" w:cs="Times New Roman"/>
          <w:color w:val="auto"/>
          <w:spacing w:val="0"/>
          <w:kern w:val="2"/>
          <w:sz w:val="24"/>
          <w:szCs w:val="24"/>
          <w:highlight w:val="none"/>
          <w:lang w:val="en-US" w:eastAsia="zh-CN" w:bidi="ar-SA"/>
        </w:rPr>
        <w:t>排放参数一览表</w:t>
      </w:r>
    </w:p>
    <w:tbl>
      <w:tblPr>
        <w:tblStyle w:val="1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2"/>
        <w:gridCol w:w="890"/>
        <w:gridCol w:w="1427"/>
        <w:gridCol w:w="1322"/>
        <w:gridCol w:w="1172"/>
        <w:gridCol w:w="911"/>
        <w:gridCol w:w="1061"/>
        <w:gridCol w:w="1035"/>
        <w:gridCol w:w="1248"/>
        <w:gridCol w:w="1257"/>
        <w:gridCol w:w="808"/>
        <w:gridCol w:w="2411"/>
      </w:tblGrid>
      <w:tr w14:paraId="0094B0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restart"/>
            <w:noWrap w:val="0"/>
            <w:vAlign w:val="center"/>
          </w:tcPr>
          <w:p w14:paraId="554967FC">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编号</w:t>
            </w:r>
          </w:p>
        </w:tc>
        <w:tc>
          <w:tcPr>
            <w:tcW w:w="314" w:type="pct"/>
            <w:vMerge w:val="restart"/>
            <w:noWrap w:val="0"/>
            <w:vAlign w:val="center"/>
          </w:tcPr>
          <w:p w14:paraId="60753711">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名称</w:t>
            </w:r>
          </w:p>
        </w:tc>
        <w:tc>
          <w:tcPr>
            <w:tcW w:w="969" w:type="pct"/>
            <w:gridSpan w:val="2"/>
            <w:noWrap w:val="0"/>
            <w:vAlign w:val="center"/>
          </w:tcPr>
          <w:p w14:paraId="6C6B49CE">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面源起始坐标</w:t>
            </w:r>
            <w:r>
              <w:rPr>
                <w:rFonts w:hint="eastAsia" w:ascii="Times New Roman" w:hAnsi="Times New Roman"/>
                <w:kern w:val="0"/>
                <w:sz w:val="21"/>
                <w:szCs w:val="21"/>
                <w:highlight w:val="none"/>
              </w:rPr>
              <w:t>/m</w:t>
            </w:r>
          </w:p>
        </w:tc>
        <w:tc>
          <w:tcPr>
            <w:tcW w:w="413" w:type="pct"/>
            <w:vMerge w:val="restart"/>
            <w:noWrap w:val="0"/>
            <w:vAlign w:val="center"/>
          </w:tcPr>
          <w:p w14:paraId="3ACC532F">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面源海拔高度/m</w:t>
            </w:r>
          </w:p>
        </w:tc>
        <w:tc>
          <w:tcPr>
            <w:tcW w:w="321" w:type="pct"/>
            <w:vMerge w:val="restart"/>
            <w:noWrap w:val="0"/>
            <w:vAlign w:val="center"/>
          </w:tcPr>
          <w:p w14:paraId="418E52F2">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面源长度/m</w:t>
            </w:r>
          </w:p>
        </w:tc>
        <w:tc>
          <w:tcPr>
            <w:tcW w:w="374" w:type="pct"/>
            <w:vMerge w:val="restart"/>
            <w:noWrap w:val="0"/>
            <w:vAlign w:val="center"/>
          </w:tcPr>
          <w:p w14:paraId="12961839">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面源宽度/m</w:t>
            </w:r>
          </w:p>
        </w:tc>
        <w:tc>
          <w:tcPr>
            <w:tcW w:w="365" w:type="pct"/>
            <w:vMerge w:val="restart"/>
            <w:noWrap w:val="0"/>
            <w:vAlign w:val="center"/>
          </w:tcPr>
          <w:p w14:paraId="06BEA59E">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与正北向夹角/°</w:t>
            </w:r>
          </w:p>
        </w:tc>
        <w:tc>
          <w:tcPr>
            <w:tcW w:w="440" w:type="pct"/>
            <w:vMerge w:val="restart"/>
            <w:noWrap w:val="0"/>
            <w:vAlign w:val="center"/>
          </w:tcPr>
          <w:p w14:paraId="6906FBE5">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面源有效排放高度/m</w:t>
            </w:r>
          </w:p>
        </w:tc>
        <w:tc>
          <w:tcPr>
            <w:tcW w:w="443" w:type="pct"/>
            <w:vMerge w:val="restart"/>
            <w:noWrap w:val="0"/>
            <w:vAlign w:val="center"/>
          </w:tcPr>
          <w:p w14:paraId="207C88FB">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年排放小时数/h</w:t>
            </w:r>
          </w:p>
        </w:tc>
        <w:tc>
          <w:tcPr>
            <w:tcW w:w="285" w:type="pct"/>
            <w:vMerge w:val="restart"/>
            <w:noWrap w:val="0"/>
            <w:vAlign w:val="center"/>
          </w:tcPr>
          <w:p w14:paraId="1E3ACCB1">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排放工况</w:t>
            </w:r>
          </w:p>
        </w:tc>
        <w:tc>
          <w:tcPr>
            <w:tcW w:w="850" w:type="pct"/>
            <w:noWrap w:val="0"/>
            <w:vAlign w:val="center"/>
          </w:tcPr>
          <w:p w14:paraId="5FF65023">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污染物排放速率/（kg/h）</w:t>
            </w:r>
          </w:p>
        </w:tc>
      </w:tr>
      <w:tr w14:paraId="58287A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noWrap w:val="0"/>
            <w:vAlign w:val="center"/>
          </w:tcPr>
          <w:p w14:paraId="66821CEF">
            <w:pPr>
              <w:widowControl/>
              <w:spacing w:line="240" w:lineRule="auto"/>
              <w:ind w:firstLine="0" w:firstLineChars="0"/>
              <w:jc w:val="center"/>
              <w:rPr>
                <w:rFonts w:ascii="Times New Roman" w:hAnsi="Times New Roman"/>
                <w:kern w:val="0"/>
                <w:sz w:val="21"/>
                <w:szCs w:val="21"/>
                <w:highlight w:val="none"/>
              </w:rPr>
            </w:pPr>
          </w:p>
        </w:tc>
        <w:tc>
          <w:tcPr>
            <w:tcW w:w="314" w:type="pct"/>
            <w:vMerge w:val="continue"/>
            <w:noWrap w:val="0"/>
            <w:vAlign w:val="center"/>
          </w:tcPr>
          <w:p w14:paraId="2895FC7A">
            <w:pPr>
              <w:widowControl/>
              <w:spacing w:line="240" w:lineRule="auto"/>
              <w:ind w:firstLine="0" w:firstLineChars="0"/>
              <w:jc w:val="center"/>
              <w:rPr>
                <w:rFonts w:ascii="Times New Roman" w:hAnsi="Times New Roman"/>
                <w:kern w:val="0"/>
                <w:sz w:val="21"/>
                <w:szCs w:val="21"/>
                <w:highlight w:val="none"/>
              </w:rPr>
            </w:pPr>
          </w:p>
        </w:tc>
        <w:tc>
          <w:tcPr>
            <w:tcW w:w="503" w:type="pct"/>
            <w:noWrap w:val="0"/>
            <w:vAlign w:val="center"/>
          </w:tcPr>
          <w:p w14:paraId="312E8F94">
            <w:pPr>
              <w:tabs>
                <w:tab w:val="left" w:pos="1517"/>
              </w:tabs>
              <w:spacing w:line="240" w:lineRule="auto"/>
              <w:ind w:firstLine="0" w:firstLineChars="0"/>
              <w:jc w:val="center"/>
              <w:rPr>
                <w:rFonts w:hint="eastAsia" w:ascii="Times New Roman" w:hAnsi="Times New Roman"/>
                <w:kern w:val="0"/>
                <w:sz w:val="21"/>
                <w:szCs w:val="21"/>
                <w:highlight w:val="none"/>
              </w:rPr>
            </w:pPr>
            <w:r>
              <w:rPr>
                <w:rFonts w:hint="eastAsia" w:ascii="Times New Roman" w:hAnsi="Times New Roman"/>
                <w:kern w:val="0"/>
                <w:sz w:val="21"/>
                <w:szCs w:val="21"/>
                <w:highlight w:val="none"/>
              </w:rPr>
              <w:t>X</w:t>
            </w:r>
          </w:p>
        </w:tc>
        <w:tc>
          <w:tcPr>
            <w:tcW w:w="466" w:type="pct"/>
            <w:noWrap w:val="0"/>
            <w:vAlign w:val="center"/>
          </w:tcPr>
          <w:p w14:paraId="4CBE1121">
            <w:pPr>
              <w:tabs>
                <w:tab w:val="left" w:pos="1517"/>
              </w:tabs>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rPr>
              <w:t>Y</w:t>
            </w:r>
          </w:p>
        </w:tc>
        <w:tc>
          <w:tcPr>
            <w:tcW w:w="413" w:type="pct"/>
            <w:vMerge w:val="continue"/>
            <w:noWrap w:val="0"/>
            <w:vAlign w:val="center"/>
          </w:tcPr>
          <w:p w14:paraId="354638F4">
            <w:pPr>
              <w:widowControl/>
              <w:spacing w:line="240" w:lineRule="auto"/>
              <w:ind w:firstLine="0" w:firstLineChars="0"/>
              <w:jc w:val="center"/>
              <w:rPr>
                <w:rFonts w:ascii="Times New Roman" w:hAnsi="Times New Roman"/>
                <w:kern w:val="0"/>
                <w:sz w:val="21"/>
                <w:szCs w:val="21"/>
                <w:highlight w:val="none"/>
              </w:rPr>
            </w:pPr>
          </w:p>
        </w:tc>
        <w:tc>
          <w:tcPr>
            <w:tcW w:w="321" w:type="pct"/>
            <w:vMerge w:val="continue"/>
            <w:noWrap w:val="0"/>
            <w:vAlign w:val="center"/>
          </w:tcPr>
          <w:p w14:paraId="543736BC">
            <w:pPr>
              <w:widowControl/>
              <w:spacing w:line="240" w:lineRule="auto"/>
              <w:ind w:firstLine="0" w:firstLineChars="0"/>
              <w:jc w:val="center"/>
              <w:rPr>
                <w:rFonts w:ascii="Times New Roman" w:hAnsi="Times New Roman"/>
                <w:kern w:val="0"/>
                <w:sz w:val="21"/>
                <w:szCs w:val="21"/>
                <w:highlight w:val="none"/>
              </w:rPr>
            </w:pPr>
          </w:p>
        </w:tc>
        <w:tc>
          <w:tcPr>
            <w:tcW w:w="374" w:type="pct"/>
            <w:vMerge w:val="continue"/>
            <w:noWrap w:val="0"/>
            <w:vAlign w:val="center"/>
          </w:tcPr>
          <w:p w14:paraId="5D8225F5">
            <w:pPr>
              <w:widowControl/>
              <w:spacing w:line="240" w:lineRule="auto"/>
              <w:ind w:firstLine="0" w:firstLineChars="0"/>
              <w:jc w:val="center"/>
              <w:rPr>
                <w:rFonts w:ascii="Times New Roman" w:hAnsi="Times New Roman"/>
                <w:kern w:val="0"/>
                <w:sz w:val="21"/>
                <w:szCs w:val="21"/>
                <w:highlight w:val="none"/>
              </w:rPr>
            </w:pPr>
          </w:p>
        </w:tc>
        <w:tc>
          <w:tcPr>
            <w:tcW w:w="365" w:type="pct"/>
            <w:vMerge w:val="continue"/>
            <w:noWrap w:val="0"/>
            <w:vAlign w:val="center"/>
          </w:tcPr>
          <w:p w14:paraId="6404285A">
            <w:pPr>
              <w:widowControl/>
              <w:spacing w:line="240" w:lineRule="auto"/>
              <w:ind w:firstLine="0" w:firstLineChars="0"/>
              <w:jc w:val="center"/>
              <w:rPr>
                <w:rFonts w:ascii="Times New Roman" w:hAnsi="Times New Roman"/>
                <w:kern w:val="0"/>
                <w:sz w:val="21"/>
                <w:szCs w:val="21"/>
                <w:highlight w:val="none"/>
              </w:rPr>
            </w:pPr>
          </w:p>
        </w:tc>
        <w:tc>
          <w:tcPr>
            <w:tcW w:w="440" w:type="pct"/>
            <w:vMerge w:val="continue"/>
            <w:noWrap w:val="0"/>
            <w:vAlign w:val="center"/>
          </w:tcPr>
          <w:p w14:paraId="397250FE">
            <w:pPr>
              <w:widowControl/>
              <w:spacing w:line="240" w:lineRule="auto"/>
              <w:ind w:firstLine="0" w:firstLineChars="0"/>
              <w:jc w:val="center"/>
              <w:rPr>
                <w:rFonts w:ascii="Times New Roman" w:hAnsi="Times New Roman"/>
                <w:kern w:val="0"/>
                <w:sz w:val="21"/>
                <w:szCs w:val="21"/>
                <w:highlight w:val="none"/>
              </w:rPr>
            </w:pPr>
          </w:p>
        </w:tc>
        <w:tc>
          <w:tcPr>
            <w:tcW w:w="443" w:type="pct"/>
            <w:vMerge w:val="continue"/>
            <w:noWrap w:val="0"/>
            <w:vAlign w:val="center"/>
          </w:tcPr>
          <w:p w14:paraId="07E55F32">
            <w:pPr>
              <w:widowControl/>
              <w:spacing w:line="240" w:lineRule="auto"/>
              <w:ind w:firstLine="0" w:firstLineChars="0"/>
              <w:jc w:val="center"/>
              <w:rPr>
                <w:rFonts w:ascii="Times New Roman" w:hAnsi="Times New Roman"/>
                <w:kern w:val="0"/>
                <w:sz w:val="21"/>
                <w:szCs w:val="21"/>
                <w:highlight w:val="none"/>
              </w:rPr>
            </w:pPr>
          </w:p>
        </w:tc>
        <w:tc>
          <w:tcPr>
            <w:tcW w:w="285" w:type="pct"/>
            <w:vMerge w:val="continue"/>
            <w:noWrap w:val="0"/>
            <w:vAlign w:val="center"/>
          </w:tcPr>
          <w:p w14:paraId="1E97ADA8">
            <w:pPr>
              <w:widowControl/>
              <w:spacing w:line="240" w:lineRule="auto"/>
              <w:ind w:firstLine="0" w:firstLineChars="0"/>
              <w:jc w:val="center"/>
              <w:rPr>
                <w:rFonts w:ascii="Times New Roman" w:hAnsi="Times New Roman"/>
                <w:kern w:val="0"/>
                <w:sz w:val="21"/>
                <w:szCs w:val="21"/>
                <w:highlight w:val="none"/>
              </w:rPr>
            </w:pPr>
          </w:p>
        </w:tc>
        <w:tc>
          <w:tcPr>
            <w:tcW w:w="850" w:type="pct"/>
            <w:noWrap w:val="0"/>
            <w:vAlign w:val="center"/>
          </w:tcPr>
          <w:p w14:paraId="4DE48615">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颗粒物</w:t>
            </w:r>
          </w:p>
        </w:tc>
      </w:tr>
      <w:tr w14:paraId="26A8FC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noWrap w:val="0"/>
            <w:vAlign w:val="center"/>
          </w:tcPr>
          <w:p w14:paraId="093E4614">
            <w:pPr>
              <w:tabs>
                <w:tab w:val="left" w:pos="1517"/>
              </w:tabs>
              <w:spacing w:line="240" w:lineRule="auto"/>
              <w:ind w:firstLine="0" w:firstLineChars="0"/>
              <w:jc w:val="center"/>
              <w:rPr>
                <w:rFonts w:hint="eastAsia" w:ascii="Times New Roman" w:hAnsi="Times New Roman"/>
                <w:kern w:val="0"/>
                <w:sz w:val="21"/>
                <w:szCs w:val="21"/>
                <w:highlight w:val="none"/>
              </w:rPr>
            </w:pPr>
            <w:r>
              <w:rPr>
                <w:rFonts w:hint="eastAsia" w:ascii="Times New Roman" w:hAnsi="Times New Roman"/>
                <w:kern w:val="0"/>
                <w:sz w:val="21"/>
                <w:szCs w:val="21"/>
                <w:highlight w:val="none"/>
              </w:rPr>
              <w:t>1</w:t>
            </w:r>
          </w:p>
        </w:tc>
        <w:tc>
          <w:tcPr>
            <w:tcW w:w="314" w:type="pct"/>
            <w:noWrap w:val="0"/>
            <w:vAlign w:val="center"/>
          </w:tcPr>
          <w:p w14:paraId="00F605B0">
            <w:pPr>
              <w:tabs>
                <w:tab w:val="left" w:pos="1517"/>
              </w:tabs>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rPr>
              <w:t>灰仓</w:t>
            </w:r>
          </w:p>
        </w:tc>
        <w:tc>
          <w:tcPr>
            <w:tcW w:w="503" w:type="pct"/>
            <w:noWrap w:val="0"/>
            <w:vAlign w:val="center"/>
          </w:tcPr>
          <w:p w14:paraId="10EE8356">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25</w:t>
            </w:r>
          </w:p>
        </w:tc>
        <w:tc>
          <w:tcPr>
            <w:tcW w:w="466" w:type="pct"/>
            <w:noWrap w:val="0"/>
            <w:vAlign w:val="center"/>
          </w:tcPr>
          <w:p w14:paraId="12383596">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11</w:t>
            </w:r>
          </w:p>
        </w:tc>
        <w:tc>
          <w:tcPr>
            <w:tcW w:w="413" w:type="pct"/>
            <w:noWrap w:val="0"/>
            <w:vAlign w:val="center"/>
          </w:tcPr>
          <w:p w14:paraId="5A4BB5C6">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458</w:t>
            </w:r>
          </w:p>
        </w:tc>
        <w:tc>
          <w:tcPr>
            <w:tcW w:w="321" w:type="pct"/>
            <w:noWrap w:val="0"/>
            <w:vAlign w:val="center"/>
          </w:tcPr>
          <w:p w14:paraId="0FB4B4B1">
            <w:pPr>
              <w:tabs>
                <w:tab w:val="left" w:pos="1517"/>
              </w:tabs>
              <w:spacing w:line="240" w:lineRule="auto"/>
              <w:ind w:firstLine="0" w:firstLineChars="0"/>
              <w:jc w:val="center"/>
              <w:rPr>
                <w:rFonts w:hint="eastAsia" w:ascii="Times New Roman" w:hAnsi="Times New Roman" w:eastAsia="宋体"/>
                <w:kern w:val="0"/>
                <w:sz w:val="21"/>
                <w:szCs w:val="21"/>
                <w:highlight w:val="none"/>
                <w:lang w:eastAsia="zh-CN"/>
              </w:rPr>
            </w:pPr>
            <w:r>
              <w:rPr>
                <w:rFonts w:hint="eastAsia" w:ascii="Times New Roman" w:hAnsi="Times New Roman"/>
                <w:kern w:val="0"/>
                <w:sz w:val="21"/>
                <w:szCs w:val="21"/>
                <w:highlight w:val="none"/>
                <w:lang w:val="en-US" w:eastAsia="zh-CN"/>
              </w:rPr>
              <w:t>6</w:t>
            </w:r>
          </w:p>
        </w:tc>
        <w:tc>
          <w:tcPr>
            <w:tcW w:w="374" w:type="pct"/>
            <w:noWrap w:val="0"/>
            <w:vAlign w:val="center"/>
          </w:tcPr>
          <w:p w14:paraId="41B813E1">
            <w:pPr>
              <w:tabs>
                <w:tab w:val="left" w:pos="1517"/>
              </w:tabs>
              <w:spacing w:line="240" w:lineRule="auto"/>
              <w:ind w:firstLine="0" w:firstLineChars="0"/>
              <w:jc w:val="center"/>
              <w:rPr>
                <w:rFonts w:hint="eastAsia" w:ascii="Times New Roman" w:hAnsi="Times New Roman" w:eastAsia="宋体"/>
                <w:kern w:val="0"/>
                <w:sz w:val="21"/>
                <w:szCs w:val="21"/>
                <w:highlight w:val="none"/>
                <w:lang w:eastAsia="zh-CN"/>
              </w:rPr>
            </w:pPr>
            <w:r>
              <w:rPr>
                <w:rFonts w:hint="eastAsia" w:ascii="Times New Roman" w:hAnsi="Times New Roman"/>
                <w:kern w:val="0"/>
                <w:sz w:val="21"/>
                <w:szCs w:val="21"/>
                <w:highlight w:val="none"/>
                <w:lang w:val="en-US" w:eastAsia="zh-CN"/>
              </w:rPr>
              <w:t>6</w:t>
            </w:r>
          </w:p>
        </w:tc>
        <w:tc>
          <w:tcPr>
            <w:tcW w:w="365" w:type="pct"/>
            <w:noWrap w:val="0"/>
            <w:vAlign w:val="center"/>
          </w:tcPr>
          <w:p w14:paraId="22301073">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0</w:t>
            </w:r>
          </w:p>
        </w:tc>
        <w:tc>
          <w:tcPr>
            <w:tcW w:w="440" w:type="pct"/>
            <w:noWrap w:val="0"/>
            <w:vAlign w:val="center"/>
          </w:tcPr>
          <w:p w14:paraId="2A96910D">
            <w:pPr>
              <w:tabs>
                <w:tab w:val="left" w:pos="1517"/>
              </w:tabs>
              <w:spacing w:line="240" w:lineRule="auto"/>
              <w:ind w:firstLine="0" w:firstLineChars="0"/>
              <w:jc w:val="center"/>
              <w:rPr>
                <w:rFonts w:hint="eastAsia" w:ascii="Times New Roman" w:hAnsi="Times New Roman"/>
                <w:kern w:val="0"/>
                <w:sz w:val="21"/>
                <w:szCs w:val="21"/>
                <w:highlight w:val="none"/>
              </w:rPr>
            </w:pPr>
            <w:r>
              <w:rPr>
                <w:rFonts w:hint="eastAsia" w:ascii="Times New Roman" w:hAnsi="Times New Roman"/>
                <w:kern w:val="0"/>
                <w:sz w:val="21"/>
                <w:szCs w:val="21"/>
                <w:highlight w:val="none"/>
              </w:rPr>
              <w:t>8</w:t>
            </w:r>
          </w:p>
        </w:tc>
        <w:tc>
          <w:tcPr>
            <w:tcW w:w="443" w:type="pct"/>
            <w:noWrap w:val="0"/>
            <w:vAlign w:val="center"/>
          </w:tcPr>
          <w:p w14:paraId="3857FB9D">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highlight w:val="none"/>
                <w:lang w:val="en-US" w:eastAsia="zh-CN" w:bidi="ar"/>
              </w:rPr>
              <w:t>5040</w:t>
            </w:r>
          </w:p>
        </w:tc>
        <w:tc>
          <w:tcPr>
            <w:tcW w:w="285" w:type="pct"/>
            <w:noWrap w:val="0"/>
            <w:vAlign w:val="center"/>
          </w:tcPr>
          <w:p w14:paraId="782CAF4E">
            <w:pPr>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正常</w:t>
            </w:r>
          </w:p>
        </w:tc>
        <w:tc>
          <w:tcPr>
            <w:tcW w:w="850" w:type="pct"/>
            <w:noWrap w:val="0"/>
            <w:vAlign w:val="center"/>
          </w:tcPr>
          <w:p w14:paraId="2D0A7615">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0.012</w:t>
            </w:r>
          </w:p>
        </w:tc>
      </w:tr>
      <w:tr w14:paraId="35DFB4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noWrap w:val="0"/>
            <w:vAlign w:val="center"/>
          </w:tcPr>
          <w:p w14:paraId="5CAB6C84">
            <w:pPr>
              <w:tabs>
                <w:tab w:val="left" w:pos="1517"/>
              </w:tabs>
              <w:spacing w:line="240" w:lineRule="auto"/>
              <w:ind w:firstLine="0" w:firstLineChars="0"/>
              <w:jc w:val="center"/>
              <w:rPr>
                <w:rFonts w:hint="eastAsia" w:ascii="Times New Roman" w:hAnsi="Times New Roman" w:eastAsia="宋体"/>
                <w:kern w:val="0"/>
                <w:sz w:val="21"/>
                <w:szCs w:val="21"/>
                <w:highlight w:val="none"/>
                <w:lang w:eastAsia="zh-CN"/>
              </w:rPr>
            </w:pPr>
            <w:r>
              <w:rPr>
                <w:rFonts w:hint="eastAsia" w:ascii="Times New Roman" w:hAnsi="Times New Roman"/>
                <w:kern w:val="0"/>
                <w:sz w:val="21"/>
                <w:szCs w:val="21"/>
                <w:highlight w:val="none"/>
                <w:lang w:val="en-US" w:eastAsia="zh-CN"/>
              </w:rPr>
              <w:t>3</w:t>
            </w:r>
          </w:p>
        </w:tc>
        <w:tc>
          <w:tcPr>
            <w:tcW w:w="314" w:type="pct"/>
            <w:noWrap w:val="0"/>
            <w:vAlign w:val="center"/>
          </w:tcPr>
          <w:p w14:paraId="0E03CF9B">
            <w:pPr>
              <w:tabs>
                <w:tab w:val="left" w:pos="1517"/>
              </w:tabs>
              <w:spacing w:line="240" w:lineRule="auto"/>
              <w:ind w:firstLine="0" w:firstLineChars="0"/>
              <w:jc w:val="center"/>
              <w:rPr>
                <w:rFonts w:hint="eastAsia" w:ascii="Times New Roman" w:hAnsi="Times New Roman"/>
                <w:kern w:val="0"/>
                <w:sz w:val="21"/>
                <w:szCs w:val="21"/>
                <w:highlight w:val="none"/>
              </w:rPr>
            </w:pPr>
            <w:r>
              <w:rPr>
                <w:rFonts w:hint="eastAsia" w:ascii="Times New Roman" w:hAnsi="Times New Roman"/>
                <w:kern w:val="0"/>
                <w:sz w:val="21"/>
                <w:szCs w:val="21"/>
                <w:highlight w:val="none"/>
              </w:rPr>
              <w:t>渣仓</w:t>
            </w:r>
          </w:p>
        </w:tc>
        <w:tc>
          <w:tcPr>
            <w:tcW w:w="503" w:type="pct"/>
            <w:noWrap w:val="0"/>
            <w:vAlign w:val="center"/>
          </w:tcPr>
          <w:p w14:paraId="18063685">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29</w:t>
            </w:r>
          </w:p>
        </w:tc>
        <w:tc>
          <w:tcPr>
            <w:tcW w:w="466" w:type="pct"/>
            <w:noWrap w:val="0"/>
            <w:vAlign w:val="center"/>
          </w:tcPr>
          <w:p w14:paraId="33B07606">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21</w:t>
            </w:r>
          </w:p>
        </w:tc>
        <w:tc>
          <w:tcPr>
            <w:tcW w:w="413" w:type="pct"/>
            <w:noWrap w:val="0"/>
            <w:vAlign w:val="center"/>
          </w:tcPr>
          <w:p w14:paraId="44335315">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458</w:t>
            </w:r>
          </w:p>
        </w:tc>
        <w:tc>
          <w:tcPr>
            <w:tcW w:w="321" w:type="pct"/>
            <w:noWrap w:val="0"/>
            <w:vAlign w:val="center"/>
          </w:tcPr>
          <w:p w14:paraId="1DC173A8">
            <w:pPr>
              <w:tabs>
                <w:tab w:val="left" w:pos="1517"/>
              </w:tabs>
              <w:spacing w:line="240" w:lineRule="auto"/>
              <w:ind w:firstLine="0" w:firstLineChars="0"/>
              <w:jc w:val="center"/>
              <w:rPr>
                <w:rFonts w:hint="eastAsia" w:ascii="Times New Roman" w:hAnsi="Times New Roman"/>
                <w:kern w:val="0"/>
                <w:sz w:val="21"/>
                <w:szCs w:val="21"/>
                <w:highlight w:val="none"/>
              </w:rPr>
            </w:pPr>
            <w:r>
              <w:rPr>
                <w:rFonts w:hint="eastAsia" w:ascii="Times New Roman" w:hAnsi="Times New Roman"/>
                <w:kern w:val="0"/>
                <w:sz w:val="21"/>
                <w:szCs w:val="21"/>
                <w:highlight w:val="none"/>
              </w:rPr>
              <w:t>6</w:t>
            </w:r>
          </w:p>
        </w:tc>
        <w:tc>
          <w:tcPr>
            <w:tcW w:w="374" w:type="pct"/>
            <w:noWrap w:val="0"/>
            <w:vAlign w:val="center"/>
          </w:tcPr>
          <w:p w14:paraId="2A751DDA">
            <w:pPr>
              <w:tabs>
                <w:tab w:val="left" w:pos="1517"/>
              </w:tabs>
              <w:spacing w:line="240" w:lineRule="auto"/>
              <w:ind w:firstLine="0" w:firstLineChars="0"/>
              <w:jc w:val="center"/>
              <w:rPr>
                <w:rFonts w:hint="eastAsia" w:ascii="Times New Roman" w:hAnsi="Times New Roman"/>
                <w:kern w:val="0"/>
                <w:sz w:val="21"/>
                <w:szCs w:val="21"/>
                <w:highlight w:val="none"/>
              </w:rPr>
            </w:pPr>
            <w:r>
              <w:rPr>
                <w:rFonts w:hint="eastAsia" w:ascii="Times New Roman" w:hAnsi="Times New Roman"/>
                <w:kern w:val="0"/>
                <w:sz w:val="21"/>
                <w:szCs w:val="21"/>
                <w:highlight w:val="none"/>
              </w:rPr>
              <w:t>6</w:t>
            </w:r>
          </w:p>
        </w:tc>
        <w:tc>
          <w:tcPr>
            <w:tcW w:w="365" w:type="pct"/>
            <w:noWrap w:val="0"/>
            <w:vAlign w:val="center"/>
          </w:tcPr>
          <w:p w14:paraId="3EBC9457">
            <w:pPr>
              <w:tabs>
                <w:tab w:val="left" w:pos="1517"/>
              </w:tabs>
              <w:spacing w:line="240" w:lineRule="auto"/>
              <w:ind w:firstLine="0" w:firstLineChars="0"/>
              <w:jc w:val="center"/>
              <w:rPr>
                <w:rFonts w:hint="eastAsia" w:ascii="Times New Roman" w:hAnsi="Times New Roman"/>
                <w:kern w:val="0"/>
                <w:sz w:val="21"/>
                <w:szCs w:val="21"/>
                <w:highlight w:val="none"/>
              </w:rPr>
            </w:pPr>
            <w:r>
              <w:rPr>
                <w:rFonts w:hint="eastAsia" w:ascii="Times New Roman" w:hAnsi="Times New Roman"/>
                <w:kern w:val="0"/>
                <w:sz w:val="21"/>
                <w:szCs w:val="21"/>
                <w:highlight w:val="none"/>
              </w:rPr>
              <w:t>0</w:t>
            </w:r>
          </w:p>
        </w:tc>
        <w:tc>
          <w:tcPr>
            <w:tcW w:w="440" w:type="pct"/>
            <w:noWrap w:val="0"/>
            <w:vAlign w:val="center"/>
          </w:tcPr>
          <w:p w14:paraId="2C46F4EC">
            <w:pPr>
              <w:tabs>
                <w:tab w:val="left" w:pos="1517"/>
              </w:tabs>
              <w:spacing w:line="240" w:lineRule="auto"/>
              <w:ind w:firstLine="0" w:firstLineChars="0"/>
              <w:jc w:val="center"/>
              <w:rPr>
                <w:rFonts w:hint="eastAsia" w:ascii="Times New Roman" w:hAnsi="Times New Roman"/>
                <w:kern w:val="0"/>
                <w:sz w:val="21"/>
                <w:szCs w:val="21"/>
                <w:highlight w:val="none"/>
              </w:rPr>
            </w:pPr>
            <w:r>
              <w:rPr>
                <w:rFonts w:hint="eastAsia" w:ascii="Times New Roman" w:hAnsi="Times New Roman"/>
                <w:kern w:val="0"/>
                <w:sz w:val="21"/>
                <w:szCs w:val="21"/>
                <w:highlight w:val="none"/>
              </w:rPr>
              <w:t>8</w:t>
            </w:r>
          </w:p>
        </w:tc>
        <w:tc>
          <w:tcPr>
            <w:tcW w:w="443" w:type="pct"/>
            <w:noWrap w:val="0"/>
            <w:vAlign w:val="center"/>
          </w:tcPr>
          <w:p w14:paraId="6233885B">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highlight w:val="none"/>
                <w:lang w:val="en-US" w:eastAsia="zh-CN" w:bidi="ar"/>
              </w:rPr>
              <w:t>5040</w:t>
            </w:r>
          </w:p>
        </w:tc>
        <w:tc>
          <w:tcPr>
            <w:tcW w:w="285" w:type="pct"/>
            <w:noWrap w:val="0"/>
            <w:vAlign w:val="center"/>
          </w:tcPr>
          <w:p w14:paraId="13BD2C1E">
            <w:pPr>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正常</w:t>
            </w:r>
          </w:p>
        </w:tc>
        <w:tc>
          <w:tcPr>
            <w:tcW w:w="850" w:type="pct"/>
            <w:noWrap w:val="0"/>
            <w:vAlign w:val="center"/>
          </w:tcPr>
          <w:p w14:paraId="007EBE9E">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0.005143</w:t>
            </w:r>
          </w:p>
        </w:tc>
      </w:tr>
      <w:tr w14:paraId="132450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noWrap w:val="0"/>
            <w:vAlign w:val="center"/>
          </w:tcPr>
          <w:p w14:paraId="3004FF31">
            <w:pPr>
              <w:tabs>
                <w:tab w:val="left" w:pos="1517"/>
              </w:tabs>
              <w:spacing w:line="240" w:lineRule="auto"/>
              <w:ind w:firstLine="0" w:firstLineChars="0"/>
              <w:jc w:val="center"/>
              <w:rPr>
                <w:rFonts w:hint="eastAsia"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4</w:t>
            </w:r>
          </w:p>
        </w:tc>
        <w:tc>
          <w:tcPr>
            <w:tcW w:w="314" w:type="pct"/>
            <w:noWrap w:val="0"/>
            <w:vAlign w:val="center"/>
          </w:tcPr>
          <w:p w14:paraId="5F82F120">
            <w:pPr>
              <w:tabs>
                <w:tab w:val="left" w:pos="1517"/>
              </w:tabs>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rPr>
              <w:t>石灰石粉仓</w:t>
            </w:r>
          </w:p>
        </w:tc>
        <w:tc>
          <w:tcPr>
            <w:tcW w:w="503" w:type="pct"/>
            <w:noWrap w:val="0"/>
            <w:vAlign w:val="center"/>
          </w:tcPr>
          <w:p w14:paraId="023E8A06">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36</w:t>
            </w:r>
          </w:p>
        </w:tc>
        <w:tc>
          <w:tcPr>
            <w:tcW w:w="466" w:type="pct"/>
            <w:noWrap w:val="0"/>
            <w:vAlign w:val="center"/>
          </w:tcPr>
          <w:p w14:paraId="45AE47F8">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43</w:t>
            </w:r>
          </w:p>
        </w:tc>
        <w:tc>
          <w:tcPr>
            <w:tcW w:w="413" w:type="pct"/>
            <w:noWrap w:val="0"/>
            <w:vAlign w:val="center"/>
          </w:tcPr>
          <w:p w14:paraId="1E4AD234">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458</w:t>
            </w:r>
          </w:p>
        </w:tc>
        <w:tc>
          <w:tcPr>
            <w:tcW w:w="321" w:type="pct"/>
            <w:noWrap w:val="0"/>
            <w:vAlign w:val="center"/>
          </w:tcPr>
          <w:p w14:paraId="33699E26">
            <w:pPr>
              <w:tabs>
                <w:tab w:val="left" w:pos="1517"/>
              </w:tabs>
              <w:spacing w:line="240" w:lineRule="auto"/>
              <w:ind w:firstLine="0" w:firstLineChars="0"/>
              <w:jc w:val="center"/>
              <w:rPr>
                <w:rFonts w:hint="eastAsia" w:ascii="Times New Roman" w:hAnsi="Times New Roman" w:eastAsia="宋体"/>
                <w:kern w:val="0"/>
                <w:sz w:val="21"/>
                <w:szCs w:val="21"/>
                <w:highlight w:val="none"/>
                <w:lang w:eastAsia="zh-CN"/>
              </w:rPr>
            </w:pPr>
            <w:r>
              <w:rPr>
                <w:rFonts w:hint="eastAsia" w:ascii="Times New Roman" w:hAnsi="Times New Roman"/>
                <w:kern w:val="0"/>
                <w:sz w:val="21"/>
                <w:szCs w:val="21"/>
                <w:highlight w:val="none"/>
                <w:lang w:val="en-US" w:eastAsia="zh-CN"/>
              </w:rPr>
              <w:t>5</w:t>
            </w:r>
          </w:p>
        </w:tc>
        <w:tc>
          <w:tcPr>
            <w:tcW w:w="374" w:type="pct"/>
            <w:noWrap w:val="0"/>
            <w:vAlign w:val="center"/>
          </w:tcPr>
          <w:p w14:paraId="13461A0A">
            <w:pPr>
              <w:tabs>
                <w:tab w:val="left" w:pos="1517"/>
              </w:tabs>
              <w:spacing w:line="240" w:lineRule="auto"/>
              <w:ind w:firstLine="0" w:firstLineChars="0"/>
              <w:jc w:val="center"/>
              <w:rPr>
                <w:rFonts w:hint="eastAsia"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5</w:t>
            </w:r>
          </w:p>
        </w:tc>
        <w:tc>
          <w:tcPr>
            <w:tcW w:w="365" w:type="pct"/>
            <w:noWrap w:val="0"/>
            <w:vAlign w:val="center"/>
          </w:tcPr>
          <w:p w14:paraId="505D4B15">
            <w:pPr>
              <w:tabs>
                <w:tab w:val="left" w:pos="1517"/>
              </w:tabs>
              <w:spacing w:line="240" w:lineRule="auto"/>
              <w:ind w:firstLine="0" w:firstLineChars="0"/>
              <w:jc w:val="center"/>
              <w:rPr>
                <w:rFonts w:hint="eastAsia" w:ascii="Times New Roman" w:hAnsi="Times New Roman"/>
                <w:kern w:val="0"/>
                <w:sz w:val="21"/>
                <w:szCs w:val="21"/>
                <w:highlight w:val="none"/>
              </w:rPr>
            </w:pPr>
            <w:r>
              <w:rPr>
                <w:rFonts w:hint="eastAsia" w:ascii="Times New Roman" w:hAnsi="Times New Roman"/>
                <w:kern w:val="0"/>
                <w:sz w:val="21"/>
                <w:szCs w:val="21"/>
                <w:highlight w:val="none"/>
              </w:rPr>
              <w:t>0</w:t>
            </w:r>
          </w:p>
        </w:tc>
        <w:tc>
          <w:tcPr>
            <w:tcW w:w="440" w:type="pct"/>
            <w:noWrap w:val="0"/>
            <w:vAlign w:val="center"/>
          </w:tcPr>
          <w:p w14:paraId="32C6ABD3">
            <w:pPr>
              <w:tabs>
                <w:tab w:val="left" w:pos="1517"/>
              </w:tabs>
              <w:spacing w:line="240" w:lineRule="auto"/>
              <w:ind w:firstLine="0" w:firstLineChars="0"/>
              <w:jc w:val="center"/>
              <w:rPr>
                <w:rFonts w:hint="eastAsia" w:ascii="Times New Roman" w:hAnsi="Times New Roman"/>
                <w:kern w:val="0"/>
                <w:sz w:val="21"/>
                <w:szCs w:val="21"/>
                <w:highlight w:val="none"/>
              </w:rPr>
            </w:pPr>
            <w:r>
              <w:rPr>
                <w:rFonts w:hint="eastAsia" w:ascii="Times New Roman" w:hAnsi="Times New Roman"/>
                <w:kern w:val="0"/>
                <w:sz w:val="21"/>
                <w:szCs w:val="21"/>
                <w:highlight w:val="none"/>
              </w:rPr>
              <w:t>6</w:t>
            </w:r>
          </w:p>
        </w:tc>
        <w:tc>
          <w:tcPr>
            <w:tcW w:w="443" w:type="pct"/>
            <w:noWrap w:val="0"/>
            <w:vAlign w:val="center"/>
          </w:tcPr>
          <w:p w14:paraId="28EE6BE5">
            <w:pPr>
              <w:tabs>
                <w:tab w:val="left" w:pos="1517"/>
              </w:tabs>
              <w:spacing w:line="240" w:lineRule="auto"/>
              <w:ind w:firstLine="0" w:firstLineChars="0"/>
              <w:jc w:val="center"/>
              <w:rPr>
                <w:rFonts w:hint="default" w:ascii="Times New Roman" w:hAnsi="Times New Roman" w:eastAsia="宋体"/>
                <w:kern w:val="0"/>
                <w:sz w:val="21"/>
                <w:highlight w:val="none"/>
                <w:lang w:val="en-US" w:eastAsia="zh-CN" w:bidi="ar"/>
              </w:rPr>
            </w:pPr>
            <w:r>
              <w:rPr>
                <w:rFonts w:hint="eastAsia" w:ascii="Times New Roman" w:hAnsi="Times New Roman"/>
                <w:kern w:val="0"/>
                <w:sz w:val="21"/>
                <w:highlight w:val="none"/>
                <w:lang w:val="en-US" w:eastAsia="zh-CN" w:bidi="ar"/>
              </w:rPr>
              <w:t>5040</w:t>
            </w:r>
          </w:p>
        </w:tc>
        <w:tc>
          <w:tcPr>
            <w:tcW w:w="285" w:type="pct"/>
            <w:noWrap w:val="0"/>
            <w:vAlign w:val="center"/>
          </w:tcPr>
          <w:p w14:paraId="23FDA61F">
            <w:pPr>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正常</w:t>
            </w:r>
          </w:p>
        </w:tc>
        <w:tc>
          <w:tcPr>
            <w:tcW w:w="850" w:type="pct"/>
            <w:noWrap w:val="0"/>
            <w:vAlign w:val="center"/>
          </w:tcPr>
          <w:p w14:paraId="0951F4D8">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0.00148</w:t>
            </w:r>
          </w:p>
        </w:tc>
      </w:tr>
      <w:tr w14:paraId="70951C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noWrap w:val="0"/>
            <w:vAlign w:val="center"/>
          </w:tcPr>
          <w:p w14:paraId="5CD9EE74">
            <w:pPr>
              <w:tabs>
                <w:tab w:val="left" w:pos="1517"/>
              </w:tabs>
              <w:spacing w:line="240" w:lineRule="auto"/>
              <w:ind w:firstLine="0" w:firstLineChars="0"/>
              <w:jc w:val="center"/>
              <w:rPr>
                <w:rFonts w:hint="eastAsia"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5</w:t>
            </w:r>
          </w:p>
        </w:tc>
        <w:tc>
          <w:tcPr>
            <w:tcW w:w="314" w:type="pct"/>
            <w:noWrap w:val="0"/>
            <w:vAlign w:val="center"/>
          </w:tcPr>
          <w:p w14:paraId="2DEE55DA">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储煤厂</w:t>
            </w:r>
          </w:p>
        </w:tc>
        <w:tc>
          <w:tcPr>
            <w:tcW w:w="503" w:type="pct"/>
            <w:noWrap w:val="0"/>
            <w:vAlign w:val="center"/>
          </w:tcPr>
          <w:p w14:paraId="6A21630A">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-36</w:t>
            </w:r>
          </w:p>
        </w:tc>
        <w:tc>
          <w:tcPr>
            <w:tcW w:w="466" w:type="pct"/>
            <w:noWrap w:val="0"/>
            <w:vAlign w:val="center"/>
          </w:tcPr>
          <w:p w14:paraId="3D5BD0D1">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46</w:t>
            </w:r>
          </w:p>
        </w:tc>
        <w:tc>
          <w:tcPr>
            <w:tcW w:w="413" w:type="pct"/>
            <w:noWrap w:val="0"/>
            <w:vAlign w:val="center"/>
          </w:tcPr>
          <w:p w14:paraId="2995BA3E">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458</w:t>
            </w:r>
          </w:p>
        </w:tc>
        <w:tc>
          <w:tcPr>
            <w:tcW w:w="321" w:type="pct"/>
            <w:noWrap w:val="0"/>
            <w:vAlign w:val="center"/>
          </w:tcPr>
          <w:p w14:paraId="0950F848">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65</w:t>
            </w:r>
          </w:p>
        </w:tc>
        <w:tc>
          <w:tcPr>
            <w:tcW w:w="374" w:type="pct"/>
            <w:noWrap w:val="0"/>
            <w:vAlign w:val="center"/>
          </w:tcPr>
          <w:p w14:paraId="79D2D271">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65</w:t>
            </w:r>
          </w:p>
        </w:tc>
        <w:tc>
          <w:tcPr>
            <w:tcW w:w="365" w:type="pct"/>
            <w:noWrap w:val="0"/>
            <w:vAlign w:val="center"/>
          </w:tcPr>
          <w:p w14:paraId="44F9BF01">
            <w:pPr>
              <w:tabs>
                <w:tab w:val="left" w:pos="1517"/>
              </w:tabs>
              <w:spacing w:line="240" w:lineRule="auto"/>
              <w:ind w:firstLine="0" w:firstLineChars="0"/>
              <w:jc w:val="center"/>
              <w:rPr>
                <w:rFonts w:hint="eastAsia" w:ascii="Times New Roman" w:hAnsi="Times New Roman"/>
                <w:kern w:val="0"/>
                <w:sz w:val="21"/>
                <w:szCs w:val="21"/>
                <w:highlight w:val="none"/>
              </w:rPr>
            </w:pPr>
            <w:r>
              <w:rPr>
                <w:rFonts w:hint="eastAsia" w:ascii="Times New Roman" w:hAnsi="Times New Roman"/>
                <w:kern w:val="0"/>
                <w:sz w:val="21"/>
                <w:szCs w:val="21"/>
                <w:highlight w:val="none"/>
              </w:rPr>
              <w:t>0</w:t>
            </w:r>
          </w:p>
        </w:tc>
        <w:tc>
          <w:tcPr>
            <w:tcW w:w="440" w:type="pct"/>
            <w:noWrap w:val="0"/>
            <w:vAlign w:val="center"/>
          </w:tcPr>
          <w:p w14:paraId="1C4A45F1">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6</w:t>
            </w:r>
          </w:p>
        </w:tc>
        <w:tc>
          <w:tcPr>
            <w:tcW w:w="443" w:type="pct"/>
            <w:noWrap w:val="0"/>
            <w:vAlign w:val="center"/>
          </w:tcPr>
          <w:p w14:paraId="05FDFDB8">
            <w:pPr>
              <w:tabs>
                <w:tab w:val="left" w:pos="1517"/>
              </w:tabs>
              <w:spacing w:line="240" w:lineRule="auto"/>
              <w:ind w:firstLine="0" w:firstLineChars="0"/>
              <w:jc w:val="center"/>
              <w:rPr>
                <w:rFonts w:hint="default" w:ascii="Times New Roman" w:hAnsi="Times New Roman" w:eastAsia="宋体"/>
                <w:kern w:val="0"/>
                <w:sz w:val="21"/>
                <w:highlight w:val="none"/>
                <w:lang w:val="en-US" w:eastAsia="zh-CN" w:bidi="ar"/>
              </w:rPr>
            </w:pPr>
            <w:r>
              <w:rPr>
                <w:rFonts w:hint="eastAsia" w:ascii="Times New Roman" w:hAnsi="Times New Roman"/>
                <w:kern w:val="0"/>
                <w:sz w:val="21"/>
                <w:highlight w:val="none"/>
                <w:lang w:val="en-US" w:eastAsia="zh-CN" w:bidi="ar"/>
              </w:rPr>
              <w:t>5040</w:t>
            </w:r>
          </w:p>
        </w:tc>
        <w:tc>
          <w:tcPr>
            <w:tcW w:w="285" w:type="pct"/>
            <w:noWrap w:val="0"/>
            <w:vAlign w:val="center"/>
          </w:tcPr>
          <w:p w14:paraId="526365B8">
            <w:pPr>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正常</w:t>
            </w:r>
          </w:p>
        </w:tc>
        <w:tc>
          <w:tcPr>
            <w:tcW w:w="850" w:type="pct"/>
            <w:noWrap w:val="0"/>
            <w:vAlign w:val="center"/>
          </w:tcPr>
          <w:p w14:paraId="51818F8E">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0.146</w:t>
            </w:r>
          </w:p>
        </w:tc>
      </w:tr>
    </w:tbl>
    <w:p w14:paraId="25C965F4">
      <w:pPr>
        <w:spacing w:line="240" w:lineRule="auto"/>
        <w:ind w:firstLine="0" w:firstLineChars="0"/>
        <w:jc w:val="left"/>
        <w:rPr>
          <w:rFonts w:hint="default" w:ascii="Times New Roman" w:hAnsi="Times New Roman" w:eastAsia="宋体"/>
          <w:highlight w:val="none"/>
          <w:lang w:val="en-US" w:eastAsia="zh-CN"/>
        </w:rPr>
      </w:pPr>
      <w:r>
        <w:rPr>
          <w:rFonts w:hint="eastAsia" w:ascii="Times New Roman" w:hAnsi="Times New Roman"/>
          <w:b/>
          <w:sz w:val="21"/>
          <w:highlight w:val="none"/>
          <w:lang w:val="en-US" w:eastAsia="zh-CN"/>
        </w:rPr>
        <w:t>注：《大气污染物综合排放标准》（GB 16297-1996）对无组织排放作出了明确解释：指大气污染物不经过排气筒的无规则排放。本项目灰仓、渣仓、石灰石粉仓均为排气口排放，储煤场四周设防风抑尘网，加苫布苫盖，定期洒水降尘。面源有效高度是指面源释放污染物的高度，相对于地面而言。</w:t>
      </w:r>
    </w:p>
    <w:p w14:paraId="187D6111">
      <w:pPr>
        <w:pStyle w:val="29"/>
        <w:spacing w:line="240" w:lineRule="auto"/>
        <w:ind w:firstLine="480"/>
        <w:rPr>
          <w:rFonts w:hint="default" w:ascii="Times New Roman" w:hAnsi="Times New Roman" w:eastAsia="黑体" w:cs="Times New Roman"/>
          <w:color w:val="auto"/>
          <w:spacing w:val="0"/>
          <w:kern w:val="2"/>
          <w:sz w:val="24"/>
          <w:szCs w:val="24"/>
          <w:highlight w:val="none"/>
          <w:lang w:val="en-US" w:eastAsia="zh-CN" w:bidi="ar-SA"/>
        </w:rPr>
      </w:pPr>
      <w:r>
        <w:rPr>
          <w:rFonts w:hint="default" w:ascii="Times New Roman" w:hAnsi="Times New Roman" w:eastAsia="黑体" w:cs="Times New Roman"/>
          <w:color w:val="auto"/>
          <w:spacing w:val="0"/>
          <w:kern w:val="2"/>
          <w:sz w:val="24"/>
          <w:szCs w:val="24"/>
          <w:highlight w:val="none"/>
          <w:lang w:val="en-US" w:eastAsia="zh-CN" w:bidi="ar-SA"/>
        </w:rPr>
        <w:t>表2.4-4估算模型参数表</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76"/>
        <w:gridCol w:w="3629"/>
        <w:gridCol w:w="1562"/>
        <w:gridCol w:w="7407"/>
      </w:tblGrid>
      <w:tr w14:paraId="7B2277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36" w:type="pct"/>
            <w:gridSpan w:val="2"/>
            <w:noWrap w:val="0"/>
            <w:vAlign w:val="center"/>
          </w:tcPr>
          <w:p w14:paraId="6D6DEA35">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lang w:bidi="ar"/>
              </w:rPr>
              <w:t>参数</w:t>
            </w:r>
          </w:p>
        </w:tc>
        <w:tc>
          <w:tcPr>
            <w:tcW w:w="551" w:type="pct"/>
            <w:noWrap w:val="0"/>
            <w:vAlign w:val="center"/>
          </w:tcPr>
          <w:p w14:paraId="702F1ED7">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lang w:bidi="ar"/>
              </w:rPr>
              <w:t>取值</w:t>
            </w:r>
          </w:p>
        </w:tc>
        <w:tc>
          <w:tcPr>
            <w:tcW w:w="2613" w:type="pct"/>
            <w:noWrap w:val="0"/>
            <w:vAlign w:val="center"/>
          </w:tcPr>
          <w:p w14:paraId="14332A0E">
            <w:pPr>
              <w:adjustRightInd w:val="0"/>
              <w:snapToGrid w:val="0"/>
              <w:spacing w:line="240" w:lineRule="auto"/>
              <w:ind w:firstLine="0" w:firstLineChars="0"/>
              <w:jc w:val="center"/>
              <w:rPr>
                <w:rFonts w:ascii="Times New Roman" w:hAnsi="Times New Roman"/>
                <w:kern w:val="21"/>
                <w:sz w:val="21"/>
                <w:highlight w:val="none"/>
                <w:lang w:bidi="ar"/>
              </w:rPr>
            </w:pPr>
            <w:r>
              <w:rPr>
                <w:rFonts w:ascii="Times New Roman" w:hAnsi="Times New Roman"/>
                <w:kern w:val="21"/>
                <w:sz w:val="21"/>
                <w:highlight w:val="none"/>
                <w:lang w:bidi="ar"/>
              </w:rPr>
              <w:t>参数选取依据</w:t>
            </w:r>
          </w:p>
        </w:tc>
      </w:tr>
      <w:tr w14:paraId="1F6D2D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restart"/>
            <w:noWrap w:val="0"/>
            <w:vAlign w:val="center"/>
          </w:tcPr>
          <w:p w14:paraId="1971B9BC">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lang w:bidi="ar"/>
              </w:rPr>
              <w:t>城市/农村选项</w:t>
            </w:r>
          </w:p>
        </w:tc>
        <w:tc>
          <w:tcPr>
            <w:tcW w:w="1280" w:type="pct"/>
            <w:noWrap w:val="0"/>
            <w:vAlign w:val="center"/>
          </w:tcPr>
          <w:p w14:paraId="2F52BAFB">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lang w:bidi="ar"/>
              </w:rPr>
              <w:t>城市/农村</w:t>
            </w:r>
          </w:p>
        </w:tc>
        <w:tc>
          <w:tcPr>
            <w:tcW w:w="551" w:type="pct"/>
            <w:noWrap w:val="0"/>
            <w:vAlign w:val="center"/>
          </w:tcPr>
          <w:p w14:paraId="622F14EE">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lang w:bidi="ar"/>
              </w:rPr>
              <w:t>城市</w:t>
            </w:r>
          </w:p>
        </w:tc>
        <w:tc>
          <w:tcPr>
            <w:tcW w:w="2613" w:type="pct"/>
            <w:noWrap w:val="0"/>
            <w:vAlign w:val="center"/>
          </w:tcPr>
          <w:p w14:paraId="10B47767">
            <w:pPr>
              <w:adjustRightInd w:val="0"/>
              <w:snapToGrid w:val="0"/>
              <w:spacing w:line="240" w:lineRule="auto"/>
              <w:ind w:firstLine="0" w:firstLineChars="0"/>
              <w:jc w:val="center"/>
              <w:rPr>
                <w:rFonts w:ascii="Times New Roman" w:hAnsi="Times New Roman"/>
                <w:kern w:val="21"/>
                <w:sz w:val="21"/>
                <w:highlight w:val="none"/>
                <w:lang w:bidi="ar"/>
              </w:rPr>
            </w:pPr>
            <w:r>
              <w:rPr>
                <w:rFonts w:ascii="Times New Roman" w:hAnsi="Times New Roman"/>
                <w:kern w:val="21"/>
                <w:sz w:val="21"/>
                <w:highlight w:val="none"/>
                <w:lang w:bidi="ar"/>
              </w:rPr>
              <w:t>根据《环境影响评价技术导则 大气环境》（HJ 2.2-2018）附录B中B.6.1 城市/农村选项：“当项目周边3km半径范围内一半以上面积属于城市建成区或者规划区时，选择城市，否则选择农村”。根据对本项目厂址周边3km半径范围内的用地性质调查结果，</w:t>
            </w:r>
            <w:r>
              <w:rPr>
                <w:rFonts w:ascii="Times New Roman" w:hAnsi="Times New Roman"/>
                <w:kern w:val="0"/>
                <w:sz w:val="21"/>
                <w:highlight w:val="none"/>
              </w:rPr>
              <w:t>项目周边3km范围内一半以上面积属于城市建成区</w:t>
            </w:r>
            <w:r>
              <w:rPr>
                <w:rFonts w:ascii="Times New Roman" w:hAnsi="Times New Roman"/>
                <w:kern w:val="21"/>
                <w:sz w:val="21"/>
                <w:highlight w:val="none"/>
                <w:lang w:bidi="ar"/>
              </w:rPr>
              <w:t>，故本次评价选取城市选项。</w:t>
            </w:r>
          </w:p>
        </w:tc>
      </w:tr>
      <w:tr w14:paraId="365B7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noWrap w:val="0"/>
            <w:vAlign w:val="center"/>
          </w:tcPr>
          <w:p w14:paraId="33E3248D">
            <w:pPr>
              <w:adjustRightInd w:val="0"/>
              <w:snapToGrid w:val="0"/>
              <w:spacing w:line="240" w:lineRule="auto"/>
              <w:ind w:firstLine="0" w:firstLineChars="0"/>
              <w:jc w:val="center"/>
              <w:rPr>
                <w:rFonts w:ascii="Times New Roman" w:hAnsi="Times New Roman"/>
                <w:kern w:val="21"/>
                <w:sz w:val="21"/>
                <w:highlight w:val="none"/>
              </w:rPr>
            </w:pPr>
          </w:p>
        </w:tc>
        <w:tc>
          <w:tcPr>
            <w:tcW w:w="1280" w:type="pct"/>
            <w:noWrap w:val="0"/>
            <w:vAlign w:val="center"/>
          </w:tcPr>
          <w:p w14:paraId="021CC7A2">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lang w:bidi="ar"/>
              </w:rPr>
              <w:t>人口数（城市选项时）</w:t>
            </w:r>
          </w:p>
        </w:tc>
        <w:tc>
          <w:tcPr>
            <w:tcW w:w="551" w:type="pct"/>
            <w:noWrap w:val="0"/>
            <w:vAlign w:val="center"/>
          </w:tcPr>
          <w:p w14:paraId="3F8CC676">
            <w:pPr>
              <w:adjustRightInd w:val="0"/>
              <w:snapToGrid w:val="0"/>
              <w:spacing w:line="240" w:lineRule="auto"/>
              <w:ind w:firstLine="0" w:firstLineChars="0"/>
              <w:jc w:val="center"/>
              <w:rPr>
                <w:rFonts w:hint="eastAsia" w:ascii="Times New Roman" w:hAnsi="Times New Roman"/>
                <w:kern w:val="21"/>
                <w:sz w:val="21"/>
                <w:highlight w:val="none"/>
              </w:rPr>
            </w:pPr>
            <w:r>
              <w:rPr>
                <w:rFonts w:hint="eastAsia" w:ascii="Arial" w:hAnsi="Arial" w:cs="Arial"/>
                <w:sz w:val="21"/>
                <w:szCs w:val="21"/>
                <w:highlight w:val="none"/>
                <w:shd w:val="clear" w:color="auto" w:fill="FFFFFF"/>
                <w:lang w:val="en-US" w:eastAsia="zh-CN"/>
              </w:rPr>
              <w:t>11.49</w:t>
            </w:r>
            <w:r>
              <w:rPr>
                <w:rFonts w:ascii="Arial" w:hAnsi="Arial" w:cs="Arial"/>
                <w:sz w:val="21"/>
                <w:szCs w:val="21"/>
                <w:highlight w:val="none"/>
                <w:shd w:val="clear" w:color="auto" w:fill="FFFFFF"/>
              </w:rPr>
              <w:t>万人</w:t>
            </w:r>
          </w:p>
        </w:tc>
        <w:tc>
          <w:tcPr>
            <w:tcW w:w="2613" w:type="pct"/>
            <w:noWrap w:val="0"/>
            <w:vAlign w:val="center"/>
          </w:tcPr>
          <w:p w14:paraId="2067D3A8">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rPr>
              <w:t>规划人口数</w:t>
            </w:r>
          </w:p>
        </w:tc>
      </w:tr>
      <w:tr w14:paraId="3FC8EC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36" w:type="pct"/>
            <w:gridSpan w:val="2"/>
            <w:noWrap w:val="0"/>
            <w:vAlign w:val="center"/>
          </w:tcPr>
          <w:p w14:paraId="0AFC935F">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lang w:bidi="ar"/>
              </w:rPr>
              <w:t>最高环境温度/</w:t>
            </w:r>
            <w:r>
              <w:rPr>
                <w:rFonts w:hint="eastAsia" w:ascii="宋体" w:hAnsi="宋体" w:cs="宋体"/>
                <w:kern w:val="21"/>
                <w:sz w:val="21"/>
                <w:highlight w:val="none"/>
                <w:lang w:bidi="ar"/>
              </w:rPr>
              <w:t>℃</w:t>
            </w:r>
          </w:p>
        </w:tc>
        <w:tc>
          <w:tcPr>
            <w:tcW w:w="551" w:type="pct"/>
            <w:noWrap w:val="0"/>
            <w:vAlign w:val="center"/>
          </w:tcPr>
          <w:p w14:paraId="5CC9882A">
            <w:pPr>
              <w:widowControl/>
              <w:spacing w:line="240" w:lineRule="auto"/>
              <w:ind w:firstLine="0" w:firstLineChars="0"/>
              <w:jc w:val="center"/>
              <w:rPr>
                <w:rFonts w:hint="default" w:ascii="Times New Roman" w:hAnsi="Times New Roman" w:eastAsia="宋体"/>
                <w:kern w:val="21"/>
                <w:sz w:val="21"/>
                <w:highlight w:val="none"/>
                <w:lang w:val="en-US" w:eastAsia="zh-CN"/>
              </w:rPr>
            </w:pPr>
            <w:r>
              <w:rPr>
                <w:rFonts w:hint="eastAsia" w:ascii="Times New Roman" w:hAnsi="Times New Roman"/>
                <w:kern w:val="0"/>
                <w:sz w:val="21"/>
                <w:highlight w:val="none"/>
                <w:lang w:val="en-US" w:eastAsia="zh-CN"/>
              </w:rPr>
              <w:t>31.8</w:t>
            </w:r>
          </w:p>
        </w:tc>
        <w:tc>
          <w:tcPr>
            <w:tcW w:w="2613" w:type="pct"/>
            <w:vMerge w:val="restart"/>
            <w:noWrap w:val="0"/>
            <w:vAlign w:val="center"/>
          </w:tcPr>
          <w:p w14:paraId="0009735D">
            <w:pPr>
              <w:adjustRightInd w:val="0"/>
              <w:snapToGrid w:val="0"/>
              <w:spacing w:line="240" w:lineRule="auto"/>
              <w:ind w:firstLine="0" w:firstLineChars="0"/>
              <w:jc w:val="center"/>
              <w:rPr>
                <w:rFonts w:ascii="Times New Roman" w:hAnsi="Times New Roman"/>
                <w:kern w:val="21"/>
                <w:sz w:val="21"/>
                <w:highlight w:val="none"/>
                <w:lang w:bidi="ar"/>
              </w:rPr>
            </w:pPr>
            <w:r>
              <w:rPr>
                <w:rFonts w:ascii="Times New Roman" w:hAnsi="Times New Roman"/>
                <w:kern w:val="21"/>
                <w:sz w:val="21"/>
                <w:highlight w:val="none"/>
                <w:lang w:bidi="ar"/>
              </w:rPr>
              <w:t>最高环境温度及最低环境温度取值来源于</w:t>
            </w:r>
            <w:r>
              <w:rPr>
                <w:rFonts w:hint="eastAsia" w:ascii="Times New Roman" w:hAnsi="Times New Roman"/>
                <w:kern w:val="21"/>
                <w:sz w:val="21"/>
                <w:highlight w:val="none"/>
                <w:lang w:val="en-US" w:eastAsia="zh-CN" w:bidi="ar"/>
              </w:rPr>
              <w:t>绥芬河</w:t>
            </w:r>
            <w:r>
              <w:rPr>
                <w:rFonts w:ascii="Times New Roman" w:hAnsi="Times New Roman"/>
                <w:kern w:val="21"/>
                <w:sz w:val="21"/>
                <w:highlight w:val="none"/>
                <w:lang w:bidi="ar"/>
              </w:rPr>
              <w:t>气象站（50958）二十年气象数据统计结果</w:t>
            </w:r>
          </w:p>
        </w:tc>
      </w:tr>
      <w:tr w14:paraId="1D9DE4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36" w:type="pct"/>
            <w:gridSpan w:val="2"/>
            <w:noWrap w:val="0"/>
            <w:vAlign w:val="center"/>
          </w:tcPr>
          <w:p w14:paraId="5EB28019">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lang w:bidi="ar"/>
              </w:rPr>
              <w:t>最低环境温度/</w:t>
            </w:r>
            <w:r>
              <w:rPr>
                <w:rFonts w:hint="eastAsia" w:ascii="宋体" w:hAnsi="宋体" w:cs="宋体"/>
                <w:kern w:val="21"/>
                <w:sz w:val="21"/>
                <w:highlight w:val="none"/>
                <w:lang w:bidi="ar"/>
              </w:rPr>
              <w:t>℃</w:t>
            </w:r>
          </w:p>
        </w:tc>
        <w:tc>
          <w:tcPr>
            <w:tcW w:w="551" w:type="pct"/>
            <w:noWrap w:val="0"/>
            <w:vAlign w:val="center"/>
          </w:tcPr>
          <w:p w14:paraId="254AE7A5">
            <w:pPr>
              <w:widowControl/>
              <w:spacing w:line="240" w:lineRule="auto"/>
              <w:ind w:firstLine="0" w:firstLineChars="0"/>
              <w:jc w:val="center"/>
              <w:rPr>
                <w:rFonts w:hint="default" w:ascii="Times New Roman" w:hAnsi="Times New Roman" w:eastAsia="宋体"/>
                <w:kern w:val="21"/>
                <w:sz w:val="21"/>
                <w:highlight w:val="none"/>
                <w:lang w:val="en-US" w:eastAsia="zh-CN"/>
              </w:rPr>
            </w:pPr>
            <w:r>
              <w:rPr>
                <w:rFonts w:hint="eastAsia" w:ascii="Times New Roman" w:hAnsi="Times New Roman"/>
                <w:kern w:val="0"/>
                <w:sz w:val="21"/>
                <w:highlight w:val="none"/>
                <w:lang w:val="en-US" w:eastAsia="zh-CN"/>
              </w:rPr>
              <w:t>-26.9</w:t>
            </w:r>
          </w:p>
        </w:tc>
        <w:tc>
          <w:tcPr>
            <w:tcW w:w="2613" w:type="pct"/>
            <w:vMerge w:val="continue"/>
            <w:noWrap w:val="0"/>
            <w:vAlign w:val="center"/>
          </w:tcPr>
          <w:p w14:paraId="43687853">
            <w:pPr>
              <w:adjustRightInd w:val="0"/>
              <w:snapToGrid w:val="0"/>
              <w:spacing w:line="240" w:lineRule="auto"/>
              <w:ind w:firstLine="0" w:firstLineChars="0"/>
              <w:jc w:val="center"/>
              <w:rPr>
                <w:rFonts w:ascii="Times New Roman" w:hAnsi="Times New Roman"/>
                <w:kern w:val="21"/>
                <w:sz w:val="21"/>
                <w:highlight w:val="none"/>
                <w:lang w:bidi="ar"/>
              </w:rPr>
            </w:pPr>
          </w:p>
        </w:tc>
      </w:tr>
      <w:tr w14:paraId="313AA4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36" w:type="pct"/>
            <w:gridSpan w:val="2"/>
            <w:noWrap w:val="0"/>
            <w:vAlign w:val="center"/>
          </w:tcPr>
          <w:p w14:paraId="5192A272">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lang w:bidi="ar"/>
              </w:rPr>
              <w:t>土地利用类型</w:t>
            </w:r>
          </w:p>
        </w:tc>
        <w:tc>
          <w:tcPr>
            <w:tcW w:w="551" w:type="pct"/>
            <w:noWrap w:val="0"/>
            <w:vAlign w:val="center"/>
          </w:tcPr>
          <w:p w14:paraId="69CA1AB3">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rPr>
              <w:t>城市</w:t>
            </w:r>
          </w:p>
        </w:tc>
        <w:tc>
          <w:tcPr>
            <w:tcW w:w="2613" w:type="pct"/>
            <w:noWrap w:val="0"/>
            <w:vAlign w:val="center"/>
          </w:tcPr>
          <w:p w14:paraId="340D2A81">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rPr>
              <w:t>本项目所在区域非</w:t>
            </w:r>
            <w:r>
              <w:rPr>
                <w:rFonts w:ascii="Times New Roman" w:hAnsi="Times New Roman"/>
                <w:kern w:val="21"/>
                <w:sz w:val="21"/>
                <w:highlight w:val="none"/>
                <w:lang w:bidi="ar"/>
              </w:rPr>
              <w:t>建成区及规划区的用地类型主要为建成区，故本次评价</w:t>
            </w:r>
            <w:r>
              <w:rPr>
                <w:rFonts w:ascii="Times New Roman" w:hAnsi="Times New Roman"/>
                <w:kern w:val="21"/>
                <w:sz w:val="21"/>
                <w:highlight w:val="none"/>
              </w:rPr>
              <w:t>选取城市</w:t>
            </w:r>
          </w:p>
        </w:tc>
      </w:tr>
      <w:tr w14:paraId="177B78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36" w:type="pct"/>
            <w:gridSpan w:val="2"/>
            <w:noWrap w:val="0"/>
            <w:vAlign w:val="center"/>
          </w:tcPr>
          <w:p w14:paraId="36E0F7B3">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lang w:bidi="ar"/>
              </w:rPr>
              <w:t>区域湿度条件</w:t>
            </w:r>
          </w:p>
        </w:tc>
        <w:tc>
          <w:tcPr>
            <w:tcW w:w="551" w:type="pct"/>
            <w:noWrap w:val="0"/>
            <w:vAlign w:val="center"/>
          </w:tcPr>
          <w:p w14:paraId="110994E1">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lang w:bidi="ar"/>
              </w:rPr>
              <w:t>中等湿度气候</w:t>
            </w:r>
          </w:p>
        </w:tc>
        <w:tc>
          <w:tcPr>
            <w:tcW w:w="2613" w:type="pct"/>
            <w:noWrap w:val="0"/>
            <w:vAlign w:val="center"/>
          </w:tcPr>
          <w:p w14:paraId="56F2166A">
            <w:pPr>
              <w:adjustRightInd w:val="0"/>
              <w:snapToGrid w:val="0"/>
              <w:spacing w:line="240" w:lineRule="auto"/>
              <w:ind w:firstLine="0" w:firstLineChars="0"/>
              <w:jc w:val="center"/>
              <w:rPr>
                <w:rFonts w:ascii="Times New Roman" w:hAnsi="Times New Roman"/>
                <w:kern w:val="21"/>
                <w:sz w:val="21"/>
                <w:highlight w:val="none"/>
                <w:lang w:bidi="ar"/>
              </w:rPr>
            </w:pPr>
            <w:r>
              <w:rPr>
                <w:rFonts w:ascii="Times New Roman" w:hAnsi="Times New Roman"/>
                <w:kern w:val="21"/>
                <w:sz w:val="21"/>
                <w:highlight w:val="none"/>
                <w:lang w:bidi="ar"/>
              </w:rPr>
              <w:t>根据中国干湿地区划分图判断，本项目属于中等湿润气候</w:t>
            </w:r>
          </w:p>
        </w:tc>
      </w:tr>
      <w:tr w14:paraId="0D8CB3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restart"/>
            <w:noWrap w:val="0"/>
            <w:vAlign w:val="center"/>
          </w:tcPr>
          <w:p w14:paraId="4C0BFD95">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lang w:bidi="ar"/>
              </w:rPr>
              <w:t>是否考虑地形</w:t>
            </w:r>
          </w:p>
        </w:tc>
        <w:tc>
          <w:tcPr>
            <w:tcW w:w="1280" w:type="pct"/>
            <w:noWrap w:val="0"/>
            <w:vAlign w:val="center"/>
          </w:tcPr>
          <w:p w14:paraId="31B9FD55">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lang w:bidi="ar"/>
              </w:rPr>
              <w:t>考虑地形</w:t>
            </w:r>
          </w:p>
        </w:tc>
        <w:tc>
          <w:tcPr>
            <w:tcW w:w="551" w:type="pct"/>
            <w:noWrap w:val="0"/>
            <w:vAlign w:val="center"/>
          </w:tcPr>
          <w:p w14:paraId="7024B62F">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lang w:bidi="ar"/>
              </w:rPr>
              <w:t>是</w:t>
            </w:r>
          </w:p>
        </w:tc>
        <w:tc>
          <w:tcPr>
            <w:tcW w:w="2613" w:type="pct"/>
            <w:noWrap w:val="0"/>
            <w:vAlign w:val="center"/>
          </w:tcPr>
          <w:p w14:paraId="22CBD7AF">
            <w:pPr>
              <w:adjustRightInd w:val="0"/>
              <w:snapToGrid w:val="0"/>
              <w:spacing w:line="240" w:lineRule="auto"/>
              <w:ind w:firstLine="0" w:firstLineChars="0"/>
              <w:jc w:val="center"/>
              <w:rPr>
                <w:rFonts w:ascii="Times New Roman" w:hAnsi="Times New Roman"/>
                <w:kern w:val="21"/>
                <w:sz w:val="21"/>
                <w:highlight w:val="none"/>
                <w:lang w:bidi="ar"/>
              </w:rPr>
            </w:pPr>
            <w:r>
              <w:rPr>
                <w:rFonts w:ascii="Times New Roman" w:hAnsi="Times New Roman"/>
                <w:kern w:val="21"/>
                <w:sz w:val="21"/>
                <w:highlight w:val="none"/>
                <w:lang w:bidi="ar"/>
              </w:rPr>
              <w:t>根据《环境影响评价技术导则 大气环境》（HJ 2.2-2018）中5.3.2.2：“编制环境影响报告书的项目在采用估算模型计算评价等级时，应输入地形参数”。故本次评价考虑地形。</w:t>
            </w:r>
          </w:p>
        </w:tc>
      </w:tr>
      <w:tr w14:paraId="7FE733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noWrap w:val="0"/>
            <w:vAlign w:val="center"/>
          </w:tcPr>
          <w:p w14:paraId="108722D4">
            <w:pPr>
              <w:adjustRightInd w:val="0"/>
              <w:snapToGrid w:val="0"/>
              <w:spacing w:line="240" w:lineRule="auto"/>
              <w:ind w:firstLine="0" w:firstLineChars="0"/>
              <w:jc w:val="center"/>
              <w:rPr>
                <w:rFonts w:ascii="Times New Roman" w:hAnsi="Times New Roman"/>
                <w:kern w:val="21"/>
                <w:sz w:val="21"/>
                <w:highlight w:val="none"/>
              </w:rPr>
            </w:pPr>
          </w:p>
        </w:tc>
        <w:tc>
          <w:tcPr>
            <w:tcW w:w="1280" w:type="pct"/>
            <w:noWrap w:val="0"/>
            <w:vAlign w:val="center"/>
          </w:tcPr>
          <w:p w14:paraId="17627047">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lang w:bidi="ar"/>
              </w:rPr>
              <w:t>地形数据分辨/m</w:t>
            </w:r>
          </w:p>
        </w:tc>
        <w:tc>
          <w:tcPr>
            <w:tcW w:w="551" w:type="pct"/>
            <w:noWrap w:val="0"/>
            <w:vAlign w:val="center"/>
          </w:tcPr>
          <w:p w14:paraId="05B1B6D8">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lang w:bidi="ar"/>
              </w:rPr>
              <w:t>90</w:t>
            </w:r>
          </w:p>
        </w:tc>
        <w:tc>
          <w:tcPr>
            <w:tcW w:w="2613" w:type="pct"/>
            <w:noWrap w:val="0"/>
            <w:vAlign w:val="center"/>
          </w:tcPr>
          <w:p w14:paraId="60D999D9">
            <w:pPr>
              <w:adjustRightInd w:val="0"/>
              <w:snapToGrid w:val="0"/>
              <w:spacing w:line="240" w:lineRule="auto"/>
              <w:ind w:firstLine="0" w:firstLineChars="0"/>
              <w:jc w:val="center"/>
              <w:rPr>
                <w:rFonts w:ascii="Times New Roman" w:hAnsi="Times New Roman"/>
                <w:kern w:val="21"/>
                <w:sz w:val="21"/>
                <w:highlight w:val="none"/>
                <w:lang w:bidi="ar"/>
              </w:rPr>
            </w:pPr>
            <w:r>
              <w:rPr>
                <w:rFonts w:ascii="Times New Roman" w:hAnsi="Times New Roman"/>
                <w:kern w:val="21"/>
                <w:sz w:val="21"/>
                <w:highlight w:val="none"/>
                <w:lang w:bidi="ar"/>
              </w:rPr>
              <w:t>根据EIA2018大气预测软件的DEM地形文件，地形数据分辨率90m</w:t>
            </w:r>
          </w:p>
        </w:tc>
      </w:tr>
      <w:tr w14:paraId="6D9498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restart"/>
            <w:noWrap w:val="0"/>
            <w:vAlign w:val="center"/>
          </w:tcPr>
          <w:p w14:paraId="716A3FE3">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lang w:bidi="ar"/>
              </w:rPr>
              <w:t>是否考虑岸线熏烟</w:t>
            </w:r>
          </w:p>
        </w:tc>
        <w:tc>
          <w:tcPr>
            <w:tcW w:w="1280" w:type="pct"/>
            <w:noWrap w:val="0"/>
            <w:vAlign w:val="center"/>
          </w:tcPr>
          <w:p w14:paraId="6B043609">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lang w:bidi="ar"/>
              </w:rPr>
              <w:t>考虑岸线熏烟</w:t>
            </w:r>
          </w:p>
        </w:tc>
        <w:tc>
          <w:tcPr>
            <w:tcW w:w="551" w:type="pct"/>
            <w:noWrap w:val="0"/>
            <w:vAlign w:val="center"/>
          </w:tcPr>
          <w:p w14:paraId="080FBA3B">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lang w:bidi="ar"/>
              </w:rPr>
              <w:t>否</w:t>
            </w:r>
          </w:p>
        </w:tc>
        <w:tc>
          <w:tcPr>
            <w:tcW w:w="2613" w:type="pct"/>
            <w:noWrap w:val="0"/>
            <w:vAlign w:val="center"/>
          </w:tcPr>
          <w:p w14:paraId="335D8FBA">
            <w:pPr>
              <w:adjustRightInd w:val="0"/>
              <w:snapToGrid w:val="0"/>
              <w:spacing w:line="240" w:lineRule="auto"/>
              <w:ind w:firstLine="0" w:firstLineChars="0"/>
              <w:jc w:val="center"/>
              <w:rPr>
                <w:rFonts w:ascii="Times New Roman" w:hAnsi="Times New Roman"/>
                <w:kern w:val="21"/>
                <w:sz w:val="21"/>
                <w:highlight w:val="none"/>
                <w:lang w:bidi="ar"/>
              </w:rPr>
            </w:pPr>
            <w:r>
              <w:rPr>
                <w:rFonts w:ascii="Times New Roman" w:hAnsi="Times New Roman"/>
                <w:kern w:val="21"/>
                <w:sz w:val="21"/>
                <w:highlight w:val="none"/>
                <w:lang w:bidi="ar"/>
              </w:rPr>
              <w:t>根据《环境影响评价技术导则 大气环境》（HJ 2.2-2018）附录B中B.6.2 岸边熏烟选项：“对估算模型AERSCREEN，当污染源附近3km范围内有大型水体时，需选择岸边熏烟选项”。本项目附近3km范围内无大型水体时，故不考虑岸边熏烟</w:t>
            </w:r>
          </w:p>
        </w:tc>
      </w:tr>
      <w:tr w14:paraId="580B3B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noWrap w:val="0"/>
            <w:vAlign w:val="center"/>
          </w:tcPr>
          <w:p w14:paraId="27B775F3">
            <w:pPr>
              <w:adjustRightInd w:val="0"/>
              <w:snapToGrid w:val="0"/>
              <w:spacing w:line="240" w:lineRule="auto"/>
              <w:ind w:firstLine="0" w:firstLineChars="0"/>
              <w:jc w:val="center"/>
              <w:rPr>
                <w:rFonts w:ascii="Times New Roman" w:hAnsi="Times New Roman"/>
                <w:kern w:val="21"/>
                <w:sz w:val="21"/>
                <w:highlight w:val="none"/>
              </w:rPr>
            </w:pPr>
          </w:p>
        </w:tc>
        <w:tc>
          <w:tcPr>
            <w:tcW w:w="1280" w:type="pct"/>
            <w:noWrap w:val="0"/>
            <w:vAlign w:val="center"/>
          </w:tcPr>
          <w:p w14:paraId="47CA1892">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lang w:bidi="ar"/>
              </w:rPr>
              <w:t>岸线距离/km</w:t>
            </w:r>
          </w:p>
        </w:tc>
        <w:tc>
          <w:tcPr>
            <w:tcW w:w="551" w:type="pct"/>
            <w:noWrap w:val="0"/>
            <w:vAlign w:val="center"/>
          </w:tcPr>
          <w:p w14:paraId="59156E59">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rPr>
              <w:t>--</w:t>
            </w:r>
          </w:p>
        </w:tc>
        <w:tc>
          <w:tcPr>
            <w:tcW w:w="2613" w:type="pct"/>
            <w:noWrap w:val="0"/>
            <w:vAlign w:val="center"/>
          </w:tcPr>
          <w:p w14:paraId="3927743A">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rPr>
              <w:t>--</w:t>
            </w:r>
          </w:p>
        </w:tc>
      </w:tr>
      <w:tr w14:paraId="2E0EB5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noWrap w:val="0"/>
            <w:vAlign w:val="center"/>
          </w:tcPr>
          <w:p w14:paraId="07C3ED59">
            <w:pPr>
              <w:adjustRightInd w:val="0"/>
              <w:snapToGrid w:val="0"/>
              <w:spacing w:line="240" w:lineRule="auto"/>
              <w:ind w:firstLine="0" w:firstLineChars="0"/>
              <w:jc w:val="center"/>
              <w:rPr>
                <w:rFonts w:ascii="Times New Roman" w:hAnsi="Times New Roman"/>
                <w:kern w:val="21"/>
                <w:sz w:val="21"/>
                <w:highlight w:val="none"/>
              </w:rPr>
            </w:pPr>
          </w:p>
        </w:tc>
        <w:tc>
          <w:tcPr>
            <w:tcW w:w="1280" w:type="pct"/>
            <w:noWrap w:val="0"/>
            <w:vAlign w:val="center"/>
          </w:tcPr>
          <w:p w14:paraId="1DDFC4DB">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lang w:bidi="ar"/>
              </w:rPr>
              <w:t>岸线方向/</w:t>
            </w:r>
            <w:r>
              <w:rPr>
                <w:rFonts w:ascii="Times New Roman" w:hAnsi="Times New Roman"/>
                <w:kern w:val="21"/>
                <w:sz w:val="21"/>
                <w:highlight w:val="none"/>
                <w:vertAlign w:val="superscript"/>
                <w:lang w:bidi="ar"/>
              </w:rPr>
              <w:t>o</w:t>
            </w:r>
          </w:p>
        </w:tc>
        <w:tc>
          <w:tcPr>
            <w:tcW w:w="551" w:type="pct"/>
            <w:noWrap w:val="0"/>
            <w:vAlign w:val="center"/>
          </w:tcPr>
          <w:p w14:paraId="2D6EEEBB">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rPr>
              <w:t>--</w:t>
            </w:r>
          </w:p>
        </w:tc>
        <w:tc>
          <w:tcPr>
            <w:tcW w:w="2613" w:type="pct"/>
            <w:noWrap w:val="0"/>
            <w:vAlign w:val="center"/>
          </w:tcPr>
          <w:p w14:paraId="39E73086">
            <w:pPr>
              <w:adjustRightInd w:val="0"/>
              <w:snapToGrid w:val="0"/>
              <w:spacing w:line="240" w:lineRule="auto"/>
              <w:ind w:firstLine="0" w:firstLineChars="0"/>
              <w:jc w:val="center"/>
              <w:rPr>
                <w:rFonts w:ascii="Times New Roman" w:hAnsi="Times New Roman"/>
                <w:kern w:val="21"/>
                <w:sz w:val="21"/>
                <w:highlight w:val="none"/>
              </w:rPr>
            </w:pPr>
            <w:r>
              <w:rPr>
                <w:rFonts w:ascii="Times New Roman" w:hAnsi="Times New Roman"/>
                <w:kern w:val="21"/>
                <w:sz w:val="21"/>
                <w:highlight w:val="none"/>
              </w:rPr>
              <w:t>--</w:t>
            </w:r>
          </w:p>
        </w:tc>
      </w:tr>
    </w:tbl>
    <w:p w14:paraId="0DB10560">
      <w:pPr>
        <w:ind w:firstLine="0" w:firstLineChars="0"/>
        <w:jc w:val="center"/>
        <w:rPr>
          <w:rFonts w:ascii="Times New Roman" w:hAnsi="Times New Roman"/>
          <w:highlight w:val="none"/>
        </w:rPr>
      </w:pPr>
      <w:r>
        <w:rPr>
          <w:highlight w:val="none"/>
        </w:rPr>
        <w:drawing>
          <wp:inline distT="0" distB="0" distL="114300" distR="114300">
            <wp:extent cx="7134225" cy="4732655"/>
            <wp:effectExtent l="0" t="0" r="9525" b="10795"/>
            <wp:docPr id="16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5"/>
                    <pic:cNvPicPr>
                      <a:picLocks noChangeAspect="1"/>
                    </pic:cNvPicPr>
                  </pic:nvPicPr>
                  <pic:blipFill>
                    <a:blip r:embed="rId10"/>
                    <a:stretch>
                      <a:fillRect/>
                    </a:stretch>
                  </pic:blipFill>
                  <pic:spPr>
                    <a:xfrm>
                      <a:off x="0" y="0"/>
                      <a:ext cx="7134225" cy="4732655"/>
                    </a:xfrm>
                    <a:prstGeom prst="rect">
                      <a:avLst/>
                    </a:prstGeom>
                    <a:noFill/>
                    <a:ln>
                      <a:noFill/>
                    </a:ln>
                  </pic:spPr>
                </pic:pic>
              </a:graphicData>
            </a:graphic>
          </wp:inline>
        </w:drawing>
      </w:r>
    </w:p>
    <w:p w14:paraId="4C67E57B">
      <w:pPr>
        <w:pStyle w:val="29"/>
        <w:spacing w:line="240" w:lineRule="auto"/>
        <w:ind w:firstLine="480"/>
        <w:rPr>
          <w:rFonts w:hint="default" w:ascii="Times New Roman" w:hAnsi="Times New Roman" w:eastAsia="黑体" w:cs="Times New Roman"/>
          <w:color w:val="auto"/>
          <w:spacing w:val="0"/>
          <w:kern w:val="2"/>
          <w:sz w:val="24"/>
          <w:szCs w:val="24"/>
          <w:highlight w:val="none"/>
          <w:lang w:val="en-US" w:eastAsia="zh-CN" w:bidi="ar-SA"/>
        </w:rPr>
      </w:pPr>
      <w:r>
        <w:rPr>
          <w:rFonts w:hint="default" w:ascii="Times New Roman" w:hAnsi="Times New Roman" w:eastAsia="黑体" w:cs="Times New Roman"/>
          <w:color w:val="auto"/>
          <w:spacing w:val="0"/>
          <w:kern w:val="2"/>
          <w:sz w:val="24"/>
          <w:szCs w:val="24"/>
          <w:highlight w:val="none"/>
          <w:lang w:val="en-US" w:eastAsia="zh-CN" w:bidi="ar-SA"/>
        </w:rPr>
        <w:t>图2.4-1 地面地形高程图</w:t>
      </w:r>
    </w:p>
    <w:p w14:paraId="35AD8A32">
      <w:pPr>
        <w:ind w:firstLine="480"/>
        <w:rPr>
          <w:rFonts w:ascii="Times New Roman" w:hAnsi="Times New Roman"/>
          <w:highlight w:val="none"/>
        </w:rPr>
      </w:pPr>
      <w:r>
        <w:rPr>
          <w:rFonts w:ascii="Times New Roman" w:hAnsi="Times New Roman"/>
          <w:highlight w:val="none"/>
        </w:rPr>
        <w:t>本项目主要污染源估算模型计算结果见表2.4-5。</w:t>
      </w:r>
    </w:p>
    <w:p w14:paraId="234F679F">
      <w:pPr>
        <w:pStyle w:val="29"/>
        <w:spacing w:line="240" w:lineRule="auto"/>
        <w:ind w:firstLine="480"/>
        <w:rPr>
          <w:rFonts w:hint="default" w:ascii="Times New Roman" w:hAnsi="Times New Roman" w:eastAsia="黑体" w:cs="Times New Roman"/>
          <w:color w:val="auto"/>
          <w:spacing w:val="0"/>
          <w:kern w:val="2"/>
          <w:sz w:val="24"/>
          <w:szCs w:val="24"/>
          <w:highlight w:val="none"/>
          <w:lang w:val="en-US" w:eastAsia="zh-CN" w:bidi="ar-SA"/>
        </w:rPr>
      </w:pPr>
      <w:r>
        <w:rPr>
          <w:rFonts w:hint="default" w:ascii="Times New Roman" w:hAnsi="Times New Roman" w:eastAsia="黑体" w:cs="Times New Roman"/>
          <w:color w:val="auto"/>
          <w:spacing w:val="0"/>
          <w:kern w:val="2"/>
          <w:sz w:val="24"/>
          <w:szCs w:val="24"/>
          <w:highlight w:val="none"/>
          <w:lang w:val="en-US" w:eastAsia="zh-CN" w:bidi="ar-SA"/>
        </w:rPr>
        <w:t>表2.4-5（1）主要污染源估算模型计算结果表</w:t>
      </w:r>
      <w:r>
        <w:rPr>
          <w:rFonts w:hint="eastAsia" w:ascii="Times New Roman" w:hAnsi="Times New Roman" w:eastAsia="黑体" w:cs="Times New Roman"/>
          <w:color w:val="auto"/>
          <w:spacing w:val="0"/>
          <w:kern w:val="2"/>
          <w:sz w:val="24"/>
          <w:szCs w:val="24"/>
          <w:highlight w:val="none"/>
          <w:lang w:val="en-US" w:eastAsia="zh-CN" w:bidi="ar-SA"/>
        </w:rPr>
        <w:t xml:space="preserve"> 单位mg/m</w:t>
      </w:r>
      <w:r>
        <w:rPr>
          <w:rFonts w:hint="eastAsia" w:ascii="Times New Roman" w:hAnsi="Times New Roman" w:eastAsia="黑体" w:cs="Times New Roman"/>
          <w:color w:val="auto"/>
          <w:spacing w:val="0"/>
          <w:kern w:val="2"/>
          <w:sz w:val="24"/>
          <w:szCs w:val="24"/>
          <w:highlight w:val="none"/>
          <w:vertAlign w:val="superscript"/>
          <w:lang w:val="en-US" w:eastAsia="zh-CN" w:bidi="ar-SA"/>
        </w:rPr>
        <w:t>3</w:t>
      </w:r>
    </w:p>
    <w:tbl>
      <w:tblPr>
        <w:tblStyle w:val="17"/>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9"/>
        <w:gridCol w:w="1172"/>
        <w:gridCol w:w="969"/>
        <w:gridCol w:w="1131"/>
        <w:gridCol w:w="996"/>
        <w:gridCol w:w="1186"/>
        <w:gridCol w:w="900"/>
        <w:gridCol w:w="1118"/>
        <w:gridCol w:w="928"/>
        <w:gridCol w:w="1077"/>
        <w:gridCol w:w="886"/>
        <w:gridCol w:w="887"/>
        <w:gridCol w:w="1104"/>
        <w:gridCol w:w="632"/>
      </w:tblGrid>
      <w:tr w14:paraId="3402A8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16" w:type="pct"/>
            <w:vMerge w:val="restart"/>
            <w:noWrap/>
            <w:vAlign w:val="center"/>
          </w:tcPr>
          <w:p w14:paraId="14C68A04">
            <w:pPr>
              <w:widowControl/>
              <w:spacing w:line="240" w:lineRule="auto"/>
              <w:ind w:firstLine="0" w:firstLineChars="0"/>
              <w:jc w:val="center"/>
              <w:textAlignment w:val="center"/>
              <w:rPr>
                <w:rFonts w:hint="eastAsia" w:ascii="Times New Roman" w:hAnsi="Times New Roman" w:eastAsia="宋体"/>
                <w:sz w:val="22"/>
                <w:highlight w:val="none"/>
                <w:lang w:val="en-US" w:eastAsia="zh-CN"/>
              </w:rPr>
            </w:pPr>
            <w:r>
              <w:rPr>
                <w:rFonts w:ascii="Times New Roman" w:hAnsi="Times New Roman"/>
                <w:kern w:val="0"/>
                <w:sz w:val="22"/>
                <w:highlight w:val="none"/>
                <w:lang w:bidi="ar"/>
              </w:rPr>
              <w:t>离源距离(m)</w:t>
            </w:r>
            <w:r>
              <w:rPr>
                <w:rFonts w:hint="eastAsia" w:ascii="Times New Roman" w:hAnsi="Times New Roman"/>
                <w:kern w:val="0"/>
                <w:sz w:val="22"/>
                <w:highlight w:val="none"/>
                <w:lang w:val="en-US" w:eastAsia="zh-CN" w:bidi="ar"/>
              </w:rPr>
              <w:t>锅炉</w:t>
            </w:r>
          </w:p>
        </w:tc>
        <w:tc>
          <w:tcPr>
            <w:tcW w:w="755" w:type="pct"/>
            <w:gridSpan w:val="2"/>
            <w:noWrap/>
            <w:vAlign w:val="center"/>
          </w:tcPr>
          <w:p w14:paraId="49737E8C">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kern w:val="0"/>
                <w:sz w:val="22"/>
                <w:highlight w:val="none"/>
                <w:lang w:bidi="ar"/>
              </w:rPr>
              <w:t>SO</w:t>
            </w:r>
            <w:r>
              <w:rPr>
                <w:rFonts w:ascii="Times New Roman" w:hAnsi="Times New Roman"/>
                <w:kern w:val="0"/>
                <w:sz w:val="22"/>
                <w:highlight w:val="none"/>
                <w:vertAlign w:val="subscript"/>
                <w:lang w:bidi="ar"/>
              </w:rPr>
              <w:t>2</w:t>
            </w:r>
          </w:p>
        </w:tc>
        <w:tc>
          <w:tcPr>
            <w:tcW w:w="750" w:type="pct"/>
            <w:gridSpan w:val="2"/>
            <w:noWrap/>
            <w:vAlign w:val="center"/>
          </w:tcPr>
          <w:p w14:paraId="2452BD74">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kern w:val="0"/>
                <w:sz w:val="22"/>
                <w:highlight w:val="none"/>
                <w:lang w:bidi="ar"/>
              </w:rPr>
              <w:t>PM</w:t>
            </w:r>
            <w:r>
              <w:rPr>
                <w:rFonts w:ascii="Times New Roman" w:hAnsi="Times New Roman"/>
                <w:kern w:val="0"/>
                <w:sz w:val="22"/>
                <w:highlight w:val="none"/>
                <w:vertAlign w:val="subscript"/>
                <w:lang w:bidi="ar"/>
              </w:rPr>
              <w:t>10</w:t>
            </w:r>
          </w:p>
        </w:tc>
        <w:tc>
          <w:tcPr>
            <w:tcW w:w="736" w:type="pct"/>
            <w:gridSpan w:val="2"/>
            <w:noWrap/>
            <w:vAlign w:val="center"/>
          </w:tcPr>
          <w:p w14:paraId="630510AF">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kern w:val="0"/>
                <w:sz w:val="22"/>
                <w:highlight w:val="none"/>
                <w:lang w:bidi="ar"/>
              </w:rPr>
              <w:t>氮氧化物NO</w:t>
            </w:r>
            <w:r>
              <w:rPr>
                <w:rFonts w:ascii="Times New Roman" w:hAnsi="Times New Roman"/>
                <w:kern w:val="0"/>
                <w:sz w:val="22"/>
                <w:highlight w:val="none"/>
                <w:vertAlign w:val="subscript"/>
                <w:lang w:bidi="ar"/>
              </w:rPr>
              <w:t>X</w:t>
            </w:r>
          </w:p>
        </w:tc>
        <w:tc>
          <w:tcPr>
            <w:tcW w:w="722" w:type="pct"/>
            <w:gridSpan w:val="2"/>
            <w:noWrap/>
            <w:vAlign w:val="center"/>
          </w:tcPr>
          <w:p w14:paraId="43B83815">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kern w:val="0"/>
                <w:sz w:val="22"/>
                <w:highlight w:val="none"/>
                <w:lang w:bidi="ar"/>
              </w:rPr>
              <w:t>汞</w:t>
            </w:r>
          </w:p>
        </w:tc>
        <w:tc>
          <w:tcPr>
            <w:tcW w:w="692" w:type="pct"/>
            <w:gridSpan w:val="2"/>
            <w:noWrap/>
            <w:vAlign w:val="center"/>
          </w:tcPr>
          <w:p w14:paraId="3A172F5D">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kern w:val="0"/>
                <w:sz w:val="22"/>
                <w:highlight w:val="none"/>
                <w:lang w:bidi="ar"/>
              </w:rPr>
              <w:t>氨</w:t>
            </w:r>
          </w:p>
        </w:tc>
        <w:tc>
          <w:tcPr>
            <w:tcW w:w="313" w:type="pct"/>
            <w:vMerge w:val="restart"/>
            <w:noWrap/>
            <w:vAlign w:val="center"/>
          </w:tcPr>
          <w:p w14:paraId="734EC71E">
            <w:pPr>
              <w:widowControl/>
              <w:spacing w:line="240" w:lineRule="auto"/>
              <w:ind w:firstLine="0" w:firstLineChars="0"/>
              <w:jc w:val="center"/>
              <w:textAlignment w:val="center"/>
              <w:rPr>
                <w:rFonts w:hint="default" w:ascii="Times New Roman" w:hAnsi="Times New Roman" w:eastAsia="宋体"/>
                <w:kern w:val="0"/>
                <w:sz w:val="22"/>
                <w:highlight w:val="none"/>
                <w:lang w:val="en-US" w:eastAsia="zh-CN" w:bidi="ar"/>
              </w:rPr>
            </w:pPr>
            <w:r>
              <w:rPr>
                <w:rFonts w:hint="eastAsia" w:ascii="Times New Roman" w:hAnsi="Times New Roman"/>
                <w:kern w:val="0"/>
                <w:sz w:val="22"/>
                <w:highlight w:val="none"/>
                <w:lang w:val="en-US" w:eastAsia="zh-CN" w:bidi="ar"/>
              </w:rPr>
              <w:t>离源距离（m）碎煤机室</w:t>
            </w:r>
          </w:p>
        </w:tc>
        <w:tc>
          <w:tcPr>
            <w:tcW w:w="612" w:type="pct"/>
            <w:gridSpan w:val="2"/>
            <w:noWrap/>
            <w:vAlign w:val="center"/>
          </w:tcPr>
          <w:p w14:paraId="23A32A11">
            <w:pPr>
              <w:widowControl/>
              <w:spacing w:line="240" w:lineRule="auto"/>
              <w:ind w:firstLine="0" w:firstLineChars="0"/>
              <w:jc w:val="center"/>
              <w:textAlignment w:val="center"/>
              <w:rPr>
                <w:rFonts w:ascii="Times New Roman" w:hAnsi="Times New Roman"/>
                <w:kern w:val="0"/>
                <w:sz w:val="22"/>
                <w:highlight w:val="none"/>
                <w:lang w:bidi="ar"/>
              </w:rPr>
            </w:pPr>
            <w:r>
              <w:rPr>
                <w:rFonts w:ascii="Times New Roman" w:hAnsi="Times New Roman"/>
                <w:kern w:val="0"/>
                <w:sz w:val="22"/>
                <w:highlight w:val="none"/>
                <w:lang w:bidi="ar"/>
              </w:rPr>
              <w:t>PM</w:t>
            </w:r>
            <w:r>
              <w:rPr>
                <w:rFonts w:ascii="Times New Roman" w:hAnsi="Times New Roman"/>
                <w:kern w:val="0"/>
                <w:sz w:val="22"/>
                <w:highlight w:val="none"/>
                <w:vertAlign w:val="subscript"/>
                <w:lang w:bidi="ar"/>
              </w:rPr>
              <w:t>10</w:t>
            </w:r>
          </w:p>
        </w:tc>
      </w:tr>
      <w:tr w14:paraId="2E7E55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6" w:type="pct"/>
            <w:vMerge w:val="continue"/>
            <w:noWrap/>
            <w:vAlign w:val="center"/>
          </w:tcPr>
          <w:p w14:paraId="2783CC4A">
            <w:pPr>
              <w:widowControl/>
              <w:spacing w:line="240" w:lineRule="auto"/>
              <w:ind w:firstLine="0" w:firstLineChars="0"/>
              <w:jc w:val="center"/>
              <w:textAlignment w:val="center"/>
              <w:rPr>
                <w:rFonts w:ascii="Times New Roman" w:hAnsi="Times New Roman"/>
                <w:sz w:val="22"/>
                <w:highlight w:val="none"/>
              </w:rPr>
            </w:pPr>
          </w:p>
        </w:tc>
        <w:tc>
          <w:tcPr>
            <w:tcW w:w="413" w:type="pct"/>
            <w:noWrap/>
            <w:vAlign w:val="center"/>
          </w:tcPr>
          <w:p w14:paraId="719CCAFD">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sz w:val="22"/>
                <w:highlight w:val="none"/>
              </w:rPr>
              <w:t>浓度</w:t>
            </w:r>
          </w:p>
        </w:tc>
        <w:tc>
          <w:tcPr>
            <w:tcW w:w="342" w:type="pct"/>
            <w:noWrap/>
            <w:vAlign w:val="center"/>
          </w:tcPr>
          <w:p w14:paraId="60C9D745">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sz w:val="22"/>
                <w:highlight w:val="none"/>
              </w:rPr>
              <w:t>占标率%</w:t>
            </w:r>
          </w:p>
        </w:tc>
        <w:tc>
          <w:tcPr>
            <w:tcW w:w="399" w:type="pct"/>
            <w:noWrap/>
            <w:vAlign w:val="center"/>
          </w:tcPr>
          <w:p w14:paraId="333C4A16">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sz w:val="22"/>
                <w:highlight w:val="none"/>
              </w:rPr>
              <w:t>浓度</w:t>
            </w:r>
          </w:p>
        </w:tc>
        <w:tc>
          <w:tcPr>
            <w:tcW w:w="351" w:type="pct"/>
            <w:noWrap/>
            <w:vAlign w:val="center"/>
          </w:tcPr>
          <w:p w14:paraId="1AEABDA6">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sz w:val="22"/>
                <w:highlight w:val="none"/>
              </w:rPr>
              <w:t>占标率%</w:t>
            </w:r>
          </w:p>
        </w:tc>
        <w:tc>
          <w:tcPr>
            <w:tcW w:w="418" w:type="pct"/>
            <w:noWrap/>
            <w:vAlign w:val="center"/>
          </w:tcPr>
          <w:p w14:paraId="5E629C88">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sz w:val="22"/>
                <w:highlight w:val="none"/>
              </w:rPr>
              <w:t>浓度</w:t>
            </w:r>
          </w:p>
        </w:tc>
        <w:tc>
          <w:tcPr>
            <w:tcW w:w="317" w:type="pct"/>
            <w:noWrap/>
            <w:vAlign w:val="center"/>
          </w:tcPr>
          <w:p w14:paraId="6CF968B4">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sz w:val="22"/>
                <w:highlight w:val="none"/>
              </w:rPr>
              <w:t>占标率%</w:t>
            </w:r>
          </w:p>
        </w:tc>
        <w:tc>
          <w:tcPr>
            <w:tcW w:w="394" w:type="pct"/>
            <w:noWrap/>
            <w:vAlign w:val="center"/>
          </w:tcPr>
          <w:p w14:paraId="6F5A6313">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sz w:val="22"/>
                <w:highlight w:val="none"/>
              </w:rPr>
              <w:t>浓度</w:t>
            </w:r>
          </w:p>
        </w:tc>
        <w:tc>
          <w:tcPr>
            <w:tcW w:w="327" w:type="pct"/>
            <w:noWrap/>
            <w:vAlign w:val="center"/>
          </w:tcPr>
          <w:p w14:paraId="52E69BE5">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sz w:val="22"/>
                <w:highlight w:val="none"/>
              </w:rPr>
              <w:t>占标率%</w:t>
            </w:r>
          </w:p>
        </w:tc>
        <w:tc>
          <w:tcPr>
            <w:tcW w:w="380" w:type="pct"/>
            <w:noWrap/>
            <w:vAlign w:val="center"/>
          </w:tcPr>
          <w:p w14:paraId="6927CAFA">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sz w:val="22"/>
                <w:highlight w:val="none"/>
              </w:rPr>
              <w:t>浓度</w:t>
            </w:r>
          </w:p>
        </w:tc>
        <w:tc>
          <w:tcPr>
            <w:tcW w:w="312" w:type="pct"/>
            <w:noWrap/>
            <w:vAlign w:val="center"/>
          </w:tcPr>
          <w:p w14:paraId="26AA7AB0">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sz w:val="22"/>
                <w:highlight w:val="none"/>
              </w:rPr>
              <w:t>占标率%</w:t>
            </w:r>
          </w:p>
        </w:tc>
        <w:tc>
          <w:tcPr>
            <w:tcW w:w="313" w:type="pct"/>
            <w:vMerge w:val="continue"/>
            <w:noWrap/>
            <w:vAlign w:val="center"/>
          </w:tcPr>
          <w:p w14:paraId="743D776B">
            <w:pPr>
              <w:widowControl/>
              <w:spacing w:line="240" w:lineRule="auto"/>
              <w:ind w:firstLine="0" w:firstLineChars="0"/>
              <w:jc w:val="center"/>
              <w:textAlignment w:val="center"/>
              <w:rPr>
                <w:rFonts w:ascii="Times New Roman" w:hAnsi="Times New Roman"/>
                <w:sz w:val="22"/>
                <w:highlight w:val="none"/>
              </w:rPr>
            </w:pPr>
          </w:p>
        </w:tc>
        <w:tc>
          <w:tcPr>
            <w:tcW w:w="389" w:type="pct"/>
            <w:noWrap/>
            <w:vAlign w:val="center"/>
          </w:tcPr>
          <w:p w14:paraId="76272FCA">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sz w:val="22"/>
                <w:highlight w:val="none"/>
              </w:rPr>
              <w:t>浓度</w:t>
            </w:r>
          </w:p>
        </w:tc>
        <w:tc>
          <w:tcPr>
            <w:tcW w:w="223" w:type="pct"/>
            <w:noWrap/>
            <w:vAlign w:val="center"/>
          </w:tcPr>
          <w:p w14:paraId="48C0EAC1">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sz w:val="22"/>
                <w:highlight w:val="none"/>
              </w:rPr>
              <w:t>占标率%</w:t>
            </w:r>
          </w:p>
        </w:tc>
      </w:tr>
      <w:tr w14:paraId="533762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16" w:type="pct"/>
            <w:noWrap/>
            <w:vAlign w:val="center"/>
          </w:tcPr>
          <w:p w14:paraId="3FDB23D4">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175</w:t>
            </w:r>
          </w:p>
        </w:tc>
        <w:tc>
          <w:tcPr>
            <w:tcW w:w="413" w:type="pct"/>
            <w:noWrap/>
            <w:vAlign w:val="center"/>
          </w:tcPr>
          <w:p w14:paraId="2108BF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9.44E-04</w:t>
            </w:r>
          </w:p>
        </w:tc>
        <w:tc>
          <w:tcPr>
            <w:tcW w:w="342" w:type="pct"/>
            <w:noWrap/>
            <w:vAlign w:val="center"/>
          </w:tcPr>
          <w:p w14:paraId="5AF764E2">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0.19</w:t>
            </w:r>
          </w:p>
        </w:tc>
        <w:tc>
          <w:tcPr>
            <w:tcW w:w="399" w:type="pct"/>
            <w:noWrap/>
            <w:vAlign w:val="center"/>
          </w:tcPr>
          <w:p w14:paraId="3846BB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3.89E-04</w:t>
            </w:r>
          </w:p>
        </w:tc>
        <w:tc>
          <w:tcPr>
            <w:tcW w:w="351" w:type="pct"/>
            <w:noWrap/>
            <w:vAlign w:val="center"/>
          </w:tcPr>
          <w:p w14:paraId="457380F8">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0.09</w:t>
            </w:r>
          </w:p>
        </w:tc>
        <w:tc>
          <w:tcPr>
            <w:tcW w:w="418" w:type="pct"/>
            <w:noWrap/>
            <w:vAlign w:val="center"/>
          </w:tcPr>
          <w:p w14:paraId="04D40F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5.52E-03</w:t>
            </w:r>
          </w:p>
        </w:tc>
        <w:tc>
          <w:tcPr>
            <w:tcW w:w="317" w:type="pct"/>
            <w:noWrap/>
            <w:vAlign w:val="center"/>
          </w:tcPr>
          <w:p w14:paraId="55050DDC">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2.21</w:t>
            </w:r>
          </w:p>
        </w:tc>
        <w:tc>
          <w:tcPr>
            <w:tcW w:w="394" w:type="pct"/>
            <w:noWrap/>
            <w:vAlign w:val="center"/>
          </w:tcPr>
          <w:p w14:paraId="2B247C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8.95E-07</w:t>
            </w:r>
          </w:p>
        </w:tc>
        <w:tc>
          <w:tcPr>
            <w:tcW w:w="327" w:type="pct"/>
            <w:noWrap/>
            <w:vAlign w:val="center"/>
          </w:tcPr>
          <w:p w14:paraId="51ABB376">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0.30</w:t>
            </w:r>
          </w:p>
        </w:tc>
        <w:tc>
          <w:tcPr>
            <w:tcW w:w="380" w:type="pct"/>
            <w:noWrap/>
            <w:vAlign w:val="center"/>
          </w:tcPr>
          <w:p w14:paraId="07EF09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3.05E-04</w:t>
            </w:r>
          </w:p>
        </w:tc>
        <w:tc>
          <w:tcPr>
            <w:tcW w:w="312" w:type="pct"/>
            <w:noWrap/>
            <w:vAlign w:val="center"/>
          </w:tcPr>
          <w:p w14:paraId="5A0EABEF">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0.15</w:t>
            </w:r>
          </w:p>
        </w:tc>
        <w:tc>
          <w:tcPr>
            <w:tcW w:w="313" w:type="pct"/>
            <w:shd w:val="clear" w:color="auto" w:fill="FFFF00"/>
            <w:noWrap/>
            <w:vAlign w:val="center"/>
          </w:tcPr>
          <w:p w14:paraId="2581FD3D">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25</w:t>
            </w:r>
          </w:p>
        </w:tc>
        <w:tc>
          <w:tcPr>
            <w:tcW w:w="389" w:type="pct"/>
            <w:shd w:val="clear" w:color="auto" w:fill="FFFF00"/>
            <w:noWrap/>
            <w:vAlign w:val="center"/>
          </w:tcPr>
          <w:p w14:paraId="6DAE8706">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4.92E-05</w:t>
            </w:r>
          </w:p>
        </w:tc>
        <w:tc>
          <w:tcPr>
            <w:tcW w:w="223" w:type="pct"/>
            <w:shd w:val="clear" w:color="auto" w:fill="FFFF00"/>
            <w:noWrap/>
            <w:vAlign w:val="center"/>
          </w:tcPr>
          <w:p w14:paraId="498685B2">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0.01</w:t>
            </w:r>
          </w:p>
        </w:tc>
      </w:tr>
      <w:tr w14:paraId="5C24DF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6" w:type="pct"/>
            <w:noWrap/>
            <w:vAlign w:val="center"/>
          </w:tcPr>
          <w:p w14:paraId="7BDE71DE">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200</w:t>
            </w:r>
          </w:p>
        </w:tc>
        <w:tc>
          <w:tcPr>
            <w:tcW w:w="413" w:type="pct"/>
            <w:noWrap/>
            <w:vAlign w:val="center"/>
          </w:tcPr>
          <w:p w14:paraId="21DE12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1.08E-03</w:t>
            </w:r>
          </w:p>
        </w:tc>
        <w:tc>
          <w:tcPr>
            <w:tcW w:w="342" w:type="pct"/>
            <w:noWrap/>
            <w:vAlign w:val="center"/>
          </w:tcPr>
          <w:p w14:paraId="6FB5124C">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0.22</w:t>
            </w:r>
          </w:p>
        </w:tc>
        <w:tc>
          <w:tcPr>
            <w:tcW w:w="399" w:type="pct"/>
            <w:noWrap/>
            <w:vAlign w:val="center"/>
          </w:tcPr>
          <w:p w14:paraId="6C65BD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4.45E-04</w:t>
            </w:r>
          </w:p>
        </w:tc>
        <w:tc>
          <w:tcPr>
            <w:tcW w:w="351" w:type="pct"/>
            <w:noWrap/>
            <w:vAlign w:val="center"/>
          </w:tcPr>
          <w:p w14:paraId="6819B680">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0.10</w:t>
            </w:r>
          </w:p>
        </w:tc>
        <w:tc>
          <w:tcPr>
            <w:tcW w:w="418" w:type="pct"/>
            <w:noWrap/>
            <w:vAlign w:val="center"/>
          </w:tcPr>
          <w:p w14:paraId="339581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6.32E-03</w:t>
            </w:r>
          </w:p>
        </w:tc>
        <w:tc>
          <w:tcPr>
            <w:tcW w:w="317" w:type="pct"/>
            <w:noWrap/>
            <w:vAlign w:val="center"/>
          </w:tcPr>
          <w:p w14:paraId="1DF63E4B">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2.51</w:t>
            </w:r>
          </w:p>
        </w:tc>
        <w:tc>
          <w:tcPr>
            <w:tcW w:w="394" w:type="pct"/>
            <w:noWrap/>
            <w:vAlign w:val="center"/>
          </w:tcPr>
          <w:p w14:paraId="521D06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1.03E-06</w:t>
            </w:r>
          </w:p>
        </w:tc>
        <w:tc>
          <w:tcPr>
            <w:tcW w:w="327" w:type="pct"/>
            <w:noWrap/>
            <w:vAlign w:val="center"/>
          </w:tcPr>
          <w:p w14:paraId="1BA7EDAC">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0.34</w:t>
            </w:r>
          </w:p>
        </w:tc>
        <w:tc>
          <w:tcPr>
            <w:tcW w:w="380" w:type="pct"/>
            <w:noWrap/>
            <w:vAlign w:val="center"/>
          </w:tcPr>
          <w:p w14:paraId="3600B9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3.49E-04</w:t>
            </w:r>
          </w:p>
        </w:tc>
        <w:tc>
          <w:tcPr>
            <w:tcW w:w="312" w:type="pct"/>
            <w:noWrap/>
            <w:vAlign w:val="center"/>
          </w:tcPr>
          <w:p w14:paraId="50A8BFBC">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0.17</w:t>
            </w:r>
          </w:p>
        </w:tc>
        <w:tc>
          <w:tcPr>
            <w:tcW w:w="313" w:type="pct"/>
            <w:noWrap/>
            <w:vAlign w:val="center"/>
          </w:tcPr>
          <w:p w14:paraId="1BB90286">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75</w:t>
            </w:r>
          </w:p>
        </w:tc>
        <w:tc>
          <w:tcPr>
            <w:tcW w:w="389" w:type="pct"/>
            <w:noWrap/>
            <w:vAlign w:val="center"/>
          </w:tcPr>
          <w:p w14:paraId="4DE062A9">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4.60E-05</w:t>
            </w:r>
          </w:p>
        </w:tc>
        <w:tc>
          <w:tcPr>
            <w:tcW w:w="223" w:type="pct"/>
            <w:noWrap/>
            <w:vAlign w:val="center"/>
          </w:tcPr>
          <w:p w14:paraId="6C4F69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0.01</w:t>
            </w:r>
          </w:p>
        </w:tc>
      </w:tr>
      <w:tr w14:paraId="4A812E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416" w:type="pct"/>
            <w:noWrap/>
            <w:vAlign w:val="center"/>
          </w:tcPr>
          <w:p w14:paraId="10EEBE03">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val="en-US" w:eastAsia="zh-CN" w:bidi="ar"/>
              </w:rPr>
              <w:t>3</w:t>
            </w:r>
            <w:r>
              <w:rPr>
                <w:rFonts w:ascii="Times New Roman" w:hAnsi="Times New Roman"/>
                <w:kern w:val="0"/>
                <w:sz w:val="22"/>
                <w:highlight w:val="none"/>
                <w:lang w:bidi="ar"/>
              </w:rPr>
              <w:t>00</w:t>
            </w:r>
          </w:p>
        </w:tc>
        <w:tc>
          <w:tcPr>
            <w:tcW w:w="413" w:type="pct"/>
            <w:noWrap/>
            <w:vAlign w:val="center"/>
          </w:tcPr>
          <w:p w14:paraId="4BE83C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1.38E-03</w:t>
            </w:r>
          </w:p>
        </w:tc>
        <w:tc>
          <w:tcPr>
            <w:tcW w:w="342" w:type="pct"/>
            <w:noWrap/>
            <w:vAlign w:val="center"/>
          </w:tcPr>
          <w:p w14:paraId="5E2107E0">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0.28</w:t>
            </w:r>
          </w:p>
        </w:tc>
        <w:tc>
          <w:tcPr>
            <w:tcW w:w="399" w:type="pct"/>
            <w:noWrap/>
            <w:vAlign w:val="center"/>
          </w:tcPr>
          <w:p w14:paraId="695D5030">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5.69E-04</w:t>
            </w:r>
          </w:p>
        </w:tc>
        <w:tc>
          <w:tcPr>
            <w:tcW w:w="351" w:type="pct"/>
            <w:noWrap/>
            <w:vAlign w:val="center"/>
          </w:tcPr>
          <w:p w14:paraId="73D80FB0">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0.13</w:t>
            </w:r>
          </w:p>
        </w:tc>
        <w:tc>
          <w:tcPr>
            <w:tcW w:w="418" w:type="pct"/>
            <w:noWrap/>
            <w:vAlign w:val="center"/>
          </w:tcPr>
          <w:p w14:paraId="799AC8D4">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8.08E-03</w:t>
            </w:r>
          </w:p>
        </w:tc>
        <w:tc>
          <w:tcPr>
            <w:tcW w:w="317" w:type="pct"/>
            <w:noWrap/>
            <w:vAlign w:val="center"/>
          </w:tcPr>
          <w:p w14:paraId="21DD35FD">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3.23</w:t>
            </w:r>
          </w:p>
        </w:tc>
        <w:tc>
          <w:tcPr>
            <w:tcW w:w="394" w:type="pct"/>
            <w:noWrap/>
            <w:vAlign w:val="center"/>
          </w:tcPr>
          <w:p w14:paraId="0641D361">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1.31E-06</w:t>
            </w:r>
          </w:p>
        </w:tc>
        <w:tc>
          <w:tcPr>
            <w:tcW w:w="327" w:type="pct"/>
            <w:noWrap/>
            <w:vAlign w:val="center"/>
          </w:tcPr>
          <w:p w14:paraId="01F496D3">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0.44</w:t>
            </w:r>
          </w:p>
        </w:tc>
        <w:tc>
          <w:tcPr>
            <w:tcW w:w="380" w:type="pct"/>
            <w:noWrap/>
            <w:vAlign w:val="center"/>
          </w:tcPr>
          <w:p w14:paraId="1701F0F6">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4.46E-04</w:t>
            </w:r>
          </w:p>
        </w:tc>
        <w:tc>
          <w:tcPr>
            <w:tcW w:w="312" w:type="pct"/>
            <w:noWrap/>
            <w:vAlign w:val="center"/>
          </w:tcPr>
          <w:p w14:paraId="0B5FB429">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0.22</w:t>
            </w:r>
          </w:p>
        </w:tc>
        <w:tc>
          <w:tcPr>
            <w:tcW w:w="313" w:type="pct"/>
            <w:noWrap/>
            <w:vAlign w:val="center"/>
          </w:tcPr>
          <w:p w14:paraId="77C70911">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100</w:t>
            </w:r>
          </w:p>
        </w:tc>
        <w:tc>
          <w:tcPr>
            <w:tcW w:w="389" w:type="pct"/>
            <w:noWrap/>
            <w:vAlign w:val="center"/>
          </w:tcPr>
          <w:p w14:paraId="4A4D65FA">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4.85E-05</w:t>
            </w:r>
          </w:p>
        </w:tc>
        <w:tc>
          <w:tcPr>
            <w:tcW w:w="223" w:type="pct"/>
            <w:noWrap/>
            <w:vAlign w:val="center"/>
          </w:tcPr>
          <w:p w14:paraId="146C15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0.01</w:t>
            </w:r>
          </w:p>
        </w:tc>
      </w:tr>
      <w:tr w14:paraId="081642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16" w:type="pct"/>
            <w:noWrap/>
            <w:vAlign w:val="center"/>
          </w:tcPr>
          <w:p w14:paraId="7C2FC402">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val="en-US" w:eastAsia="zh-CN" w:bidi="ar"/>
              </w:rPr>
              <w:t>4</w:t>
            </w:r>
            <w:r>
              <w:rPr>
                <w:rFonts w:ascii="Times New Roman" w:hAnsi="Times New Roman"/>
                <w:kern w:val="0"/>
                <w:sz w:val="22"/>
                <w:highlight w:val="none"/>
                <w:lang w:bidi="ar"/>
              </w:rPr>
              <w:t>00</w:t>
            </w:r>
          </w:p>
        </w:tc>
        <w:tc>
          <w:tcPr>
            <w:tcW w:w="413" w:type="pct"/>
            <w:noWrap/>
            <w:vAlign w:val="center"/>
          </w:tcPr>
          <w:p w14:paraId="1A4113C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1.35E-03</w:t>
            </w:r>
          </w:p>
        </w:tc>
        <w:tc>
          <w:tcPr>
            <w:tcW w:w="342" w:type="pct"/>
            <w:noWrap/>
            <w:vAlign w:val="center"/>
          </w:tcPr>
          <w:p w14:paraId="0CCC216D">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0.27</w:t>
            </w:r>
          </w:p>
        </w:tc>
        <w:tc>
          <w:tcPr>
            <w:tcW w:w="399" w:type="pct"/>
            <w:noWrap/>
            <w:vAlign w:val="center"/>
          </w:tcPr>
          <w:p w14:paraId="0C7C7092">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5.55E-04</w:t>
            </w:r>
          </w:p>
        </w:tc>
        <w:tc>
          <w:tcPr>
            <w:tcW w:w="351" w:type="pct"/>
            <w:noWrap/>
            <w:vAlign w:val="center"/>
          </w:tcPr>
          <w:p w14:paraId="1CC26C52">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0.10</w:t>
            </w:r>
          </w:p>
        </w:tc>
        <w:tc>
          <w:tcPr>
            <w:tcW w:w="418" w:type="pct"/>
            <w:noWrap/>
            <w:vAlign w:val="center"/>
          </w:tcPr>
          <w:p w14:paraId="0CA241DA">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7.88E-03</w:t>
            </w:r>
          </w:p>
        </w:tc>
        <w:tc>
          <w:tcPr>
            <w:tcW w:w="317" w:type="pct"/>
            <w:noWrap/>
            <w:vAlign w:val="center"/>
          </w:tcPr>
          <w:p w14:paraId="730A101E">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3.15</w:t>
            </w:r>
          </w:p>
        </w:tc>
        <w:tc>
          <w:tcPr>
            <w:tcW w:w="394" w:type="pct"/>
            <w:noWrap/>
            <w:vAlign w:val="center"/>
          </w:tcPr>
          <w:p w14:paraId="5738312A">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1.28E-06</w:t>
            </w:r>
          </w:p>
        </w:tc>
        <w:tc>
          <w:tcPr>
            <w:tcW w:w="327" w:type="pct"/>
            <w:noWrap/>
            <w:vAlign w:val="center"/>
          </w:tcPr>
          <w:p w14:paraId="59D1E2A2">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0.43</w:t>
            </w:r>
          </w:p>
        </w:tc>
        <w:tc>
          <w:tcPr>
            <w:tcW w:w="380" w:type="pct"/>
            <w:noWrap/>
            <w:vAlign w:val="center"/>
          </w:tcPr>
          <w:p w14:paraId="53765DDB">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4.35E-04</w:t>
            </w:r>
          </w:p>
        </w:tc>
        <w:tc>
          <w:tcPr>
            <w:tcW w:w="312" w:type="pct"/>
            <w:noWrap/>
            <w:vAlign w:val="center"/>
          </w:tcPr>
          <w:p w14:paraId="7457DAEA">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0.22</w:t>
            </w:r>
          </w:p>
        </w:tc>
        <w:tc>
          <w:tcPr>
            <w:tcW w:w="313" w:type="pct"/>
            <w:noWrap/>
            <w:vAlign w:val="center"/>
          </w:tcPr>
          <w:p w14:paraId="0FDB3C09">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150</w:t>
            </w:r>
          </w:p>
        </w:tc>
        <w:tc>
          <w:tcPr>
            <w:tcW w:w="389" w:type="pct"/>
            <w:noWrap/>
            <w:vAlign w:val="center"/>
          </w:tcPr>
          <w:p w14:paraId="217E6DCD">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4.24E-05</w:t>
            </w:r>
          </w:p>
        </w:tc>
        <w:tc>
          <w:tcPr>
            <w:tcW w:w="223" w:type="pct"/>
            <w:noWrap/>
            <w:vAlign w:val="center"/>
          </w:tcPr>
          <w:p w14:paraId="753828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0.01</w:t>
            </w:r>
          </w:p>
        </w:tc>
      </w:tr>
      <w:tr w14:paraId="3754A7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16" w:type="pct"/>
            <w:noWrap/>
            <w:vAlign w:val="center"/>
          </w:tcPr>
          <w:p w14:paraId="6E336DBD">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val="en-US" w:eastAsia="zh-CN" w:bidi="ar"/>
              </w:rPr>
              <w:t>5</w:t>
            </w:r>
            <w:r>
              <w:rPr>
                <w:rFonts w:ascii="Times New Roman" w:hAnsi="Times New Roman"/>
                <w:kern w:val="0"/>
                <w:sz w:val="22"/>
                <w:highlight w:val="none"/>
                <w:lang w:bidi="ar"/>
              </w:rPr>
              <w:t>00</w:t>
            </w:r>
          </w:p>
        </w:tc>
        <w:tc>
          <w:tcPr>
            <w:tcW w:w="413" w:type="pct"/>
            <w:noWrap/>
            <w:vAlign w:val="center"/>
          </w:tcPr>
          <w:p w14:paraId="414AF8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1.19E-03</w:t>
            </w:r>
          </w:p>
        </w:tc>
        <w:tc>
          <w:tcPr>
            <w:tcW w:w="342" w:type="pct"/>
            <w:noWrap/>
            <w:vAlign w:val="center"/>
          </w:tcPr>
          <w:p w14:paraId="52706F8B">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0.24</w:t>
            </w:r>
          </w:p>
        </w:tc>
        <w:tc>
          <w:tcPr>
            <w:tcW w:w="399" w:type="pct"/>
            <w:noWrap/>
            <w:vAlign w:val="center"/>
          </w:tcPr>
          <w:p w14:paraId="4E4077B2">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4.92E-04</w:t>
            </w:r>
          </w:p>
        </w:tc>
        <w:tc>
          <w:tcPr>
            <w:tcW w:w="351" w:type="pct"/>
            <w:noWrap/>
            <w:vAlign w:val="center"/>
          </w:tcPr>
          <w:p w14:paraId="08C4B3B4">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0.13</w:t>
            </w:r>
          </w:p>
        </w:tc>
        <w:tc>
          <w:tcPr>
            <w:tcW w:w="418" w:type="pct"/>
            <w:noWrap/>
            <w:vAlign w:val="center"/>
          </w:tcPr>
          <w:p w14:paraId="78E0613F">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6.99E-03</w:t>
            </w:r>
          </w:p>
        </w:tc>
        <w:tc>
          <w:tcPr>
            <w:tcW w:w="317" w:type="pct"/>
            <w:noWrap/>
            <w:vAlign w:val="center"/>
          </w:tcPr>
          <w:p w14:paraId="0586C94D">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2.80</w:t>
            </w:r>
          </w:p>
        </w:tc>
        <w:tc>
          <w:tcPr>
            <w:tcW w:w="394" w:type="pct"/>
            <w:noWrap/>
            <w:vAlign w:val="center"/>
          </w:tcPr>
          <w:p w14:paraId="3934B178">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1.13E-06</w:t>
            </w:r>
          </w:p>
        </w:tc>
        <w:tc>
          <w:tcPr>
            <w:tcW w:w="327" w:type="pct"/>
            <w:noWrap/>
            <w:vAlign w:val="center"/>
          </w:tcPr>
          <w:p w14:paraId="6FC300B0">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0.38</w:t>
            </w:r>
          </w:p>
        </w:tc>
        <w:tc>
          <w:tcPr>
            <w:tcW w:w="380" w:type="pct"/>
            <w:noWrap/>
            <w:vAlign w:val="center"/>
          </w:tcPr>
          <w:p w14:paraId="74ABB40D">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3.86E-04</w:t>
            </w:r>
          </w:p>
        </w:tc>
        <w:tc>
          <w:tcPr>
            <w:tcW w:w="312" w:type="pct"/>
            <w:noWrap/>
            <w:vAlign w:val="center"/>
          </w:tcPr>
          <w:p w14:paraId="7F88621E">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0.19</w:t>
            </w:r>
          </w:p>
        </w:tc>
        <w:tc>
          <w:tcPr>
            <w:tcW w:w="313" w:type="pct"/>
            <w:noWrap/>
            <w:vAlign w:val="center"/>
          </w:tcPr>
          <w:p w14:paraId="6556FAC8">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200</w:t>
            </w:r>
          </w:p>
        </w:tc>
        <w:tc>
          <w:tcPr>
            <w:tcW w:w="389" w:type="pct"/>
            <w:noWrap/>
            <w:vAlign w:val="center"/>
          </w:tcPr>
          <w:p w14:paraId="61360E19">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4.10E-05</w:t>
            </w:r>
          </w:p>
        </w:tc>
        <w:tc>
          <w:tcPr>
            <w:tcW w:w="223" w:type="pct"/>
            <w:noWrap/>
            <w:vAlign w:val="center"/>
          </w:tcPr>
          <w:p w14:paraId="22F65A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0.01</w:t>
            </w:r>
          </w:p>
        </w:tc>
      </w:tr>
      <w:tr w14:paraId="4C3B00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16" w:type="pct"/>
            <w:noWrap/>
            <w:vAlign w:val="center"/>
          </w:tcPr>
          <w:p w14:paraId="4353A4BD">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val="en-US" w:eastAsia="zh-CN" w:bidi="ar"/>
              </w:rPr>
              <w:t>6</w:t>
            </w:r>
            <w:r>
              <w:rPr>
                <w:rFonts w:ascii="Times New Roman" w:hAnsi="Times New Roman"/>
                <w:kern w:val="0"/>
                <w:sz w:val="22"/>
                <w:highlight w:val="none"/>
                <w:lang w:bidi="ar"/>
              </w:rPr>
              <w:t>00</w:t>
            </w:r>
          </w:p>
        </w:tc>
        <w:tc>
          <w:tcPr>
            <w:tcW w:w="413" w:type="pct"/>
            <w:noWrap/>
            <w:vAlign w:val="center"/>
          </w:tcPr>
          <w:p w14:paraId="7AC1C6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1.05E-03</w:t>
            </w:r>
          </w:p>
        </w:tc>
        <w:tc>
          <w:tcPr>
            <w:tcW w:w="342" w:type="pct"/>
            <w:noWrap/>
            <w:vAlign w:val="center"/>
          </w:tcPr>
          <w:p w14:paraId="6DD469C8">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0.21</w:t>
            </w:r>
          </w:p>
        </w:tc>
        <w:tc>
          <w:tcPr>
            <w:tcW w:w="399" w:type="pct"/>
            <w:noWrap/>
            <w:vAlign w:val="center"/>
          </w:tcPr>
          <w:p w14:paraId="46F3C327">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4.32E-04</w:t>
            </w:r>
          </w:p>
        </w:tc>
        <w:tc>
          <w:tcPr>
            <w:tcW w:w="351" w:type="pct"/>
            <w:noWrap/>
            <w:vAlign w:val="center"/>
          </w:tcPr>
          <w:p w14:paraId="67743CDD">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0.12</w:t>
            </w:r>
          </w:p>
        </w:tc>
        <w:tc>
          <w:tcPr>
            <w:tcW w:w="418" w:type="pct"/>
            <w:noWrap/>
            <w:vAlign w:val="center"/>
          </w:tcPr>
          <w:p w14:paraId="78280DB4">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6.14E-03</w:t>
            </w:r>
          </w:p>
        </w:tc>
        <w:tc>
          <w:tcPr>
            <w:tcW w:w="317" w:type="pct"/>
            <w:noWrap/>
            <w:vAlign w:val="center"/>
          </w:tcPr>
          <w:p w14:paraId="16C234F1">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2.46</w:t>
            </w:r>
          </w:p>
        </w:tc>
        <w:tc>
          <w:tcPr>
            <w:tcW w:w="394" w:type="pct"/>
            <w:noWrap/>
            <w:vAlign w:val="center"/>
          </w:tcPr>
          <w:p w14:paraId="72C7B542">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9.96E-07</w:t>
            </w:r>
          </w:p>
        </w:tc>
        <w:tc>
          <w:tcPr>
            <w:tcW w:w="327" w:type="pct"/>
            <w:noWrap/>
            <w:vAlign w:val="center"/>
          </w:tcPr>
          <w:p w14:paraId="755CD6EF">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0.33</w:t>
            </w:r>
          </w:p>
        </w:tc>
        <w:tc>
          <w:tcPr>
            <w:tcW w:w="380" w:type="pct"/>
            <w:noWrap/>
            <w:vAlign w:val="center"/>
          </w:tcPr>
          <w:p w14:paraId="144891E5">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3.39E-04</w:t>
            </w:r>
          </w:p>
        </w:tc>
        <w:tc>
          <w:tcPr>
            <w:tcW w:w="312" w:type="pct"/>
            <w:noWrap/>
            <w:vAlign w:val="center"/>
          </w:tcPr>
          <w:p w14:paraId="3AAAE948">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0.17</w:t>
            </w:r>
          </w:p>
        </w:tc>
        <w:tc>
          <w:tcPr>
            <w:tcW w:w="313" w:type="pct"/>
            <w:noWrap/>
            <w:vAlign w:val="center"/>
          </w:tcPr>
          <w:p w14:paraId="42824EF4">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300</w:t>
            </w:r>
          </w:p>
        </w:tc>
        <w:tc>
          <w:tcPr>
            <w:tcW w:w="389" w:type="pct"/>
            <w:noWrap/>
            <w:vAlign w:val="center"/>
          </w:tcPr>
          <w:p w14:paraId="3AD149FD">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3.48E-05</w:t>
            </w:r>
          </w:p>
        </w:tc>
        <w:tc>
          <w:tcPr>
            <w:tcW w:w="223" w:type="pct"/>
            <w:noWrap/>
            <w:vAlign w:val="center"/>
          </w:tcPr>
          <w:p w14:paraId="37B1BE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0.01</w:t>
            </w:r>
          </w:p>
        </w:tc>
      </w:tr>
      <w:tr w14:paraId="681186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16" w:type="pct"/>
            <w:shd w:val="clear" w:color="auto" w:fill="auto"/>
            <w:noWrap/>
            <w:vAlign w:val="center"/>
          </w:tcPr>
          <w:p w14:paraId="3ADB6A51">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700</w:t>
            </w:r>
          </w:p>
        </w:tc>
        <w:tc>
          <w:tcPr>
            <w:tcW w:w="413" w:type="pct"/>
            <w:shd w:val="clear" w:color="auto" w:fill="auto"/>
            <w:noWrap/>
            <w:vAlign w:val="center"/>
          </w:tcPr>
          <w:p w14:paraId="261A1E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1.03E-03</w:t>
            </w:r>
          </w:p>
        </w:tc>
        <w:tc>
          <w:tcPr>
            <w:tcW w:w="342" w:type="pct"/>
            <w:shd w:val="clear" w:color="auto" w:fill="auto"/>
            <w:noWrap/>
            <w:vAlign w:val="center"/>
          </w:tcPr>
          <w:p w14:paraId="3020D4F0">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0.21</w:t>
            </w:r>
          </w:p>
        </w:tc>
        <w:tc>
          <w:tcPr>
            <w:tcW w:w="399" w:type="pct"/>
            <w:shd w:val="clear" w:color="auto" w:fill="auto"/>
            <w:noWrap/>
            <w:vAlign w:val="center"/>
          </w:tcPr>
          <w:p w14:paraId="516249AE">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4.26E-04</w:t>
            </w:r>
          </w:p>
        </w:tc>
        <w:tc>
          <w:tcPr>
            <w:tcW w:w="351" w:type="pct"/>
            <w:shd w:val="clear" w:color="auto" w:fill="auto"/>
            <w:noWrap/>
            <w:vAlign w:val="center"/>
          </w:tcPr>
          <w:p w14:paraId="6442AC38">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0.11</w:t>
            </w:r>
          </w:p>
        </w:tc>
        <w:tc>
          <w:tcPr>
            <w:tcW w:w="418" w:type="pct"/>
            <w:shd w:val="clear" w:color="auto" w:fill="auto"/>
            <w:noWrap/>
            <w:vAlign w:val="center"/>
          </w:tcPr>
          <w:p w14:paraId="6071257C">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6.05E-03</w:t>
            </w:r>
          </w:p>
        </w:tc>
        <w:tc>
          <w:tcPr>
            <w:tcW w:w="317" w:type="pct"/>
            <w:shd w:val="clear" w:color="auto" w:fill="auto"/>
            <w:noWrap/>
            <w:vAlign w:val="center"/>
          </w:tcPr>
          <w:p w14:paraId="2FFE418E">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2.42</w:t>
            </w:r>
          </w:p>
        </w:tc>
        <w:tc>
          <w:tcPr>
            <w:tcW w:w="394" w:type="pct"/>
            <w:shd w:val="clear" w:color="auto" w:fill="auto"/>
            <w:noWrap/>
            <w:vAlign w:val="center"/>
          </w:tcPr>
          <w:p w14:paraId="12A1F2CF">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9.81E-07</w:t>
            </w:r>
          </w:p>
        </w:tc>
        <w:tc>
          <w:tcPr>
            <w:tcW w:w="327" w:type="pct"/>
            <w:shd w:val="clear" w:color="auto" w:fill="auto"/>
            <w:noWrap/>
            <w:vAlign w:val="center"/>
          </w:tcPr>
          <w:p w14:paraId="144198B2">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0.33</w:t>
            </w:r>
          </w:p>
        </w:tc>
        <w:tc>
          <w:tcPr>
            <w:tcW w:w="380" w:type="pct"/>
            <w:shd w:val="clear" w:color="auto" w:fill="auto"/>
            <w:noWrap/>
            <w:vAlign w:val="center"/>
          </w:tcPr>
          <w:p w14:paraId="1EEA5EF3">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3.34E-04</w:t>
            </w:r>
          </w:p>
        </w:tc>
        <w:tc>
          <w:tcPr>
            <w:tcW w:w="312" w:type="pct"/>
            <w:shd w:val="clear" w:color="auto" w:fill="auto"/>
            <w:noWrap/>
            <w:vAlign w:val="center"/>
          </w:tcPr>
          <w:p w14:paraId="7D9E5EFC">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0.17</w:t>
            </w:r>
          </w:p>
        </w:tc>
        <w:tc>
          <w:tcPr>
            <w:tcW w:w="313" w:type="pct"/>
            <w:shd w:val="clear" w:color="auto" w:fill="auto"/>
            <w:noWrap/>
            <w:vAlign w:val="center"/>
          </w:tcPr>
          <w:p w14:paraId="18EB092C">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400</w:t>
            </w:r>
          </w:p>
        </w:tc>
        <w:tc>
          <w:tcPr>
            <w:tcW w:w="389" w:type="pct"/>
            <w:shd w:val="clear" w:color="auto" w:fill="auto"/>
            <w:noWrap/>
            <w:vAlign w:val="center"/>
          </w:tcPr>
          <w:p w14:paraId="1A0D9027">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2.81E-05</w:t>
            </w:r>
          </w:p>
        </w:tc>
        <w:tc>
          <w:tcPr>
            <w:tcW w:w="223" w:type="pct"/>
            <w:shd w:val="clear" w:color="auto" w:fill="auto"/>
            <w:noWrap/>
            <w:vAlign w:val="center"/>
          </w:tcPr>
          <w:p w14:paraId="5DC65D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0.01</w:t>
            </w:r>
          </w:p>
        </w:tc>
      </w:tr>
      <w:tr w14:paraId="637828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6" w:type="pct"/>
            <w:noWrap/>
            <w:vAlign w:val="center"/>
          </w:tcPr>
          <w:p w14:paraId="614F11BE">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800</w:t>
            </w:r>
          </w:p>
        </w:tc>
        <w:tc>
          <w:tcPr>
            <w:tcW w:w="413" w:type="pct"/>
            <w:noWrap/>
            <w:vAlign w:val="center"/>
          </w:tcPr>
          <w:p w14:paraId="6DB9AD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1.08E-03</w:t>
            </w:r>
          </w:p>
        </w:tc>
        <w:tc>
          <w:tcPr>
            <w:tcW w:w="342" w:type="pct"/>
            <w:noWrap/>
            <w:vAlign w:val="center"/>
          </w:tcPr>
          <w:p w14:paraId="6490AE7F">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0.24</w:t>
            </w:r>
          </w:p>
        </w:tc>
        <w:tc>
          <w:tcPr>
            <w:tcW w:w="399" w:type="pct"/>
            <w:noWrap/>
            <w:vAlign w:val="center"/>
          </w:tcPr>
          <w:p w14:paraId="027A0285">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1.19E-03</w:t>
            </w:r>
          </w:p>
        </w:tc>
        <w:tc>
          <w:tcPr>
            <w:tcW w:w="351" w:type="pct"/>
            <w:noWrap/>
            <w:vAlign w:val="center"/>
          </w:tcPr>
          <w:p w14:paraId="5B7639EF">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0.11</w:t>
            </w:r>
          </w:p>
        </w:tc>
        <w:tc>
          <w:tcPr>
            <w:tcW w:w="418" w:type="pct"/>
            <w:noWrap/>
            <w:vAlign w:val="center"/>
          </w:tcPr>
          <w:p w14:paraId="660A40D5">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6.98E-03</w:t>
            </w:r>
          </w:p>
        </w:tc>
        <w:tc>
          <w:tcPr>
            <w:tcW w:w="317" w:type="pct"/>
            <w:noWrap/>
            <w:vAlign w:val="center"/>
          </w:tcPr>
          <w:p w14:paraId="25B7821E">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2.79</w:t>
            </w:r>
          </w:p>
        </w:tc>
        <w:tc>
          <w:tcPr>
            <w:tcW w:w="394" w:type="pct"/>
            <w:noWrap/>
            <w:vAlign w:val="center"/>
          </w:tcPr>
          <w:p w14:paraId="6E6AE236">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1.13E-06</w:t>
            </w:r>
          </w:p>
        </w:tc>
        <w:tc>
          <w:tcPr>
            <w:tcW w:w="327" w:type="pct"/>
            <w:noWrap/>
            <w:vAlign w:val="center"/>
          </w:tcPr>
          <w:p w14:paraId="7B1966C3">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0.38</w:t>
            </w:r>
          </w:p>
        </w:tc>
        <w:tc>
          <w:tcPr>
            <w:tcW w:w="380" w:type="pct"/>
            <w:noWrap/>
            <w:vAlign w:val="center"/>
          </w:tcPr>
          <w:p w14:paraId="551A3CB6">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3.85E-04</w:t>
            </w:r>
          </w:p>
        </w:tc>
        <w:tc>
          <w:tcPr>
            <w:tcW w:w="312" w:type="pct"/>
            <w:noWrap/>
            <w:vAlign w:val="center"/>
          </w:tcPr>
          <w:p w14:paraId="7AB8BCC7">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0.19</w:t>
            </w:r>
          </w:p>
        </w:tc>
        <w:tc>
          <w:tcPr>
            <w:tcW w:w="313" w:type="pct"/>
            <w:noWrap/>
            <w:vAlign w:val="center"/>
          </w:tcPr>
          <w:p w14:paraId="5ABAE93F">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500</w:t>
            </w:r>
          </w:p>
        </w:tc>
        <w:tc>
          <w:tcPr>
            <w:tcW w:w="389" w:type="pct"/>
            <w:noWrap/>
            <w:vAlign w:val="center"/>
          </w:tcPr>
          <w:p w14:paraId="2A1B9DD7">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2.50E-05</w:t>
            </w:r>
          </w:p>
        </w:tc>
        <w:tc>
          <w:tcPr>
            <w:tcW w:w="223" w:type="pct"/>
            <w:noWrap/>
            <w:vAlign w:val="center"/>
          </w:tcPr>
          <w:p w14:paraId="444D9A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0.01</w:t>
            </w:r>
          </w:p>
        </w:tc>
      </w:tr>
      <w:tr w14:paraId="699041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16" w:type="pct"/>
            <w:noWrap/>
            <w:vAlign w:val="center"/>
          </w:tcPr>
          <w:p w14:paraId="00A2AD70">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val="en-US" w:eastAsia="zh-CN" w:bidi="ar"/>
              </w:rPr>
              <w:t>900</w:t>
            </w:r>
          </w:p>
        </w:tc>
        <w:tc>
          <w:tcPr>
            <w:tcW w:w="413" w:type="pct"/>
            <w:noWrap/>
            <w:vAlign w:val="center"/>
          </w:tcPr>
          <w:p w14:paraId="744AC2BD">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1.30E-03</w:t>
            </w:r>
          </w:p>
        </w:tc>
        <w:tc>
          <w:tcPr>
            <w:tcW w:w="342" w:type="pct"/>
            <w:noWrap/>
            <w:vAlign w:val="center"/>
          </w:tcPr>
          <w:p w14:paraId="66A1ED40">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0.26</w:t>
            </w:r>
          </w:p>
        </w:tc>
        <w:tc>
          <w:tcPr>
            <w:tcW w:w="399" w:type="pct"/>
            <w:noWrap/>
            <w:vAlign w:val="center"/>
          </w:tcPr>
          <w:p w14:paraId="5001A3FD">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5.35E-04</w:t>
            </w:r>
          </w:p>
        </w:tc>
        <w:tc>
          <w:tcPr>
            <w:tcW w:w="351" w:type="pct"/>
            <w:noWrap/>
            <w:vAlign w:val="center"/>
          </w:tcPr>
          <w:p w14:paraId="2A402A4F">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0.12</w:t>
            </w:r>
          </w:p>
        </w:tc>
        <w:tc>
          <w:tcPr>
            <w:tcW w:w="418" w:type="pct"/>
            <w:noWrap/>
            <w:vAlign w:val="center"/>
          </w:tcPr>
          <w:p w14:paraId="3D3A95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7.60E-03</w:t>
            </w:r>
          </w:p>
        </w:tc>
        <w:tc>
          <w:tcPr>
            <w:tcW w:w="317" w:type="pct"/>
            <w:noWrap/>
            <w:vAlign w:val="center"/>
          </w:tcPr>
          <w:p w14:paraId="79465971">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3.04</w:t>
            </w:r>
          </w:p>
        </w:tc>
        <w:tc>
          <w:tcPr>
            <w:tcW w:w="394" w:type="pct"/>
            <w:noWrap/>
            <w:vAlign w:val="center"/>
          </w:tcPr>
          <w:p w14:paraId="00F95B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1.23E-06</w:t>
            </w:r>
          </w:p>
        </w:tc>
        <w:tc>
          <w:tcPr>
            <w:tcW w:w="327" w:type="pct"/>
            <w:noWrap/>
            <w:vAlign w:val="center"/>
          </w:tcPr>
          <w:p w14:paraId="3F15C04F">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0.41</w:t>
            </w:r>
          </w:p>
        </w:tc>
        <w:tc>
          <w:tcPr>
            <w:tcW w:w="380" w:type="pct"/>
            <w:noWrap/>
            <w:vAlign w:val="center"/>
          </w:tcPr>
          <w:p w14:paraId="2E81D0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4.19E-04</w:t>
            </w:r>
          </w:p>
        </w:tc>
        <w:tc>
          <w:tcPr>
            <w:tcW w:w="312" w:type="pct"/>
            <w:noWrap/>
            <w:vAlign w:val="center"/>
          </w:tcPr>
          <w:p w14:paraId="39E13A66">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0.21</w:t>
            </w:r>
          </w:p>
        </w:tc>
        <w:tc>
          <w:tcPr>
            <w:tcW w:w="313" w:type="pct"/>
            <w:noWrap/>
            <w:vAlign w:val="center"/>
          </w:tcPr>
          <w:p w14:paraId="2EF16A5B">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600</w:t>
            </w:r>
          </w:p>
        </w:tc>
        <w:tc>
          <w:tcPr>
            <w:tcW w:w="389" w:type="pct"/>
            <w:noWrap/>
            <w:vAlign w:val="center"/>
          </w:tcPr>
          <w:p w14:paraId="53E93117">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2.22E-05</w:t>
            </w:r>
          </w:p>
        </w:tc>
        <w:tc>
          <w:tcPr>
            <w:tcW w:w="223" w:type="pct"/>
            <w:noWrap/>
            <w:vAlign w:val="center"/>
          </w:tcPr>
          <w:p w14:paraId="1C8748D3">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0.00</w:t>
            </w:r>
          </w:p>
        </w:tc>
      </w:tr>
      <w:tr w14:paraId="0F5E3F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16" w:type="pct"/>
            <w:noWrap/>
            <w:vAlign w:val="center"/>
          </w:tcPr>
          <w:p w14:paraId="25308D56">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925</w:t>
            </w:r>
          </w:p>
        </w:tc>
        <w:tc>
          <w:tcPr>
            <w:tcW w:w="413" w:type="pct"/>
            <w:noWrap/>
            <w:vAlign w:val="center"/>
          </w:tcPr>
          <w:p w14:paraId="34297E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1.32E-03</w:t>
            </w:r>
          </w:p>
        </w:tc>
        <w:tc>
          <w:tcPr>
            <w:tcW w:w="342" w:type="pct"/>
            <w:noWrap/>
            <w:vAlign w:val="center"/>
          </w:tcPr>
          <w:p w14:paraId="5B1E57C4">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0.26</w:t>
            </w:r>
          </w:p>
        </w:tc>
        <w:tc>
          <w:tcPr>
            <w:tcW w:w="399" w:type="pct"/>
            <w:noWrap/>
            <w:vAlign w:val="center"/>
          </w:tcPr>
          <w:p w14:paraId="2B7D50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5.43E-04</w:t>
            </w:r>
          </w:p>
        </w:tc>
        <w:tc>
          <w:tcPr>
            <w:tcW w:w="351" w:type="pct"/>
            <w:noWrap/>
            <w:vAlign w:val="center"/>
          </w:tcPr>
          <w:p w14:paraId="1279941C">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0.12</w:t>
            </w:r>
          </w:p>
        </w:tc>
        <w:tc>
          <w:tcPr>
            <w:tcW w:w="418" w:type="pct"/>
            <w:noWrap/>
            <w:vAlign w:val="center"/>
          </w:tcPr>
          <w:p w14:paraId="232B54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7.71E-03</w:t>
            </w:r>
          </w:p>
        </w:tc>
        <w:tc>
          <w:tcPr>
            <w:tcW w:w="317" w:type="pct"/>
            <w:noWrap/>
            <w:vAlign w:val="center"/>
          </w:tcPr>
          <w:p w14:paraId="08475EC1">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3.08</w:t>
            </w:r>
          </w:p>
        </w:tc>
        <w:tc>
          <w:tcPr>
            <w:tcW w:w="394" w:type="pct"/>
            <w:noWrap/>
            <w:vAlign w:val="center"/>
          </w:tcPr>
          <w:p w14:paraId="7902BA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1.25E-06</w:t>
            </w:r>
          </w:p>
        </w:tc>
        <w:tc>
          <w:tcPr>
            <w:tcW w:w="327" w:type="pct"/>
            <w:noWrap/>
            <w:vAlign w:val="center"/>
          </w:tcPr>
          <w:p w14:paraId="3DD39E60">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0.42</w:t>
            </w:r>
          </w:p>
        </w:tc>
        <w:tc>
          <w:tcPr>
            <w:tcW w:w="380" w:type="pct"/>
            <w:noWrap/>
            <w:vAlign w:val="center"/>
          </w:tcPr>
          <w:p w14:paraId="1B4398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4.26E-04</w:t>
            </w:r>
          </w:p>
        </w:tc>
        <w:tc>
          <w:tcPr>
            <w:tcW w:w="312" w:type="pct"/>
            <w:noWrap/>
            <w:vAlign w:val="center"/>
          </w:tcPr>
          <w:p w14:paraId="4A44B406">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0.22</w:t>
            </w:r>
          </w:p>
        </w:tc>
        <w:tc>
          <w:tcPr>
            <w:tcW w:w="313" w:type="pct"/>
            <w:noWrap/>
            <w:vAlign w:val="center"/>
          </w:tcPr>
          <w:p w14:paraId="2C037279">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700</w:t>
            </w:r>
          </w:p>
        </w:tc>
        <w:tc>
          <w:tcPr>
            <w:tcW w:w="389" w:type="pct"/>
            <w:noWrap/>
            <w:vAlign w:val="center"/>
          </w:tcPr>
          <w:p w14:paraId="340860CD">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2.19E-05</w:t>
            </w:r>
          </w:p>
        </w:tc>
        <w:tc>
          <w:tcPr>
            <w:tcW w:w="223" w:type="pct"/>
            <w:noWrap/>
            <w:vAlign w:val="center"/>
          </w:tcPr>
          <w:p w14:paraId="30C01C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0.00</w:t>
            </w:r>
          </w:p>
        </w:tc>
      </w:tr>
      <w:tr w14:paraId="1E6862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16" w:type="pct"/>
            <w:noWrap/>
            <w:vAlign w:val="center"/>
          </w:tcPr>
          <w:p w14:paraId="09444436">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950</w:t>
            </w:r>
          </w:p>
        </w:tc>
        <w:tc>
          <w:tcPr>
            <w:tcW w:w="413" w:type="pct"/>
            <w:noWrap/>
            <w:vAlign w:val="center"/>
          </w:tcPr>
          <w:p w14:paraId="387E08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1.33E-03</w:t>
            </w:r>
          </w:p>
        </w:tc>
        <w:tc>
          <w:tcPr>
            <w:tcW w:w="342" w:type="pct"/>
            <w:noWrap/>
            <w:vAlign w:val="center"/>
          </w:tcPr>
          <w:p w14:paraId="285DC44A">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0.27</w:t>
            </w:r>
          </w:p>
        </w:tc>
        <w:tc>
          <w:tcPr>
            <w:tcW w:w="399" w:type="pct"/>
            <w:noWrap/>
            <w:vAlign w:val="center"/>
          </w:tcPr>
          <w:p w14:paraId="65CC21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5.50E-04</w:t>
            </w:r>
          </w:p>
        </w:tc>
        <w:tc>
          <w:tcPr>
            <w:tcW w:w="351" w:type="pct"/>
            <w:noWrap/>
            <w:vAlign w:val="center"/>
          </w:tcPr>
          <w:p w14:paraId="2A3B7EFD">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0.12</w:t>
            </w:r>
          </w:p>
        </w:tc>
        <w:tc>
          <w:tcPr>
            <w:tcW w:w="418" w:type="pct"/>
            <w:noWrap/>
            <w:vAlign w:val="center"/>
          </w:tcPr>
          <w:p w14:paraId="5782CF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7.81E-03</w:t>
            </w:r>
          </w:p>
        </w:tc>
        <w:tc>
          <w:tcPr>
            <w:tcW w:w="317" w:type="pct"/>
            <w:noWrap/>
            <w:vAlign w:val="center"/>
          </w:tcPr>
          <w:p w14:paraId="2843DA92">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3.12</w:t>
            </w:r>
          </w:p>
        </w:tc>
        <w:tc>
          <w:tcPr>
            <w:tcW w:w="394" w:type="pct"/>
            <w:noWrap/>
            <w:vAlign w:val="center"/>
          </w:tcPr>
          <w:p w14:paraId="5F5EE4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1.27E-06</w:t>
            </w:r>
          </w:p>
        </w:tc>
        <w:tc>
          <w:tcPr>
            <w:tcW w:w="327" w:type="pct"/>
            <w:noWrap/>
            <w:vAlign w:val="center"/>
          </w:tcPr>
          <w:p w14:paraId="3A7BD731">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0.42</w:t>
            </w:r>
          </w:p>
        </w:tc>
        <w:tc>
          <w:tcPr>
            <w:tcW w:w="380" w:type="pct"/>
            <w:noWrap/>
            <w:vAlign w:val="center"/>
          </w:tcPr>
          <w:p w14:paraId="6DD95D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4.31E-04</w:t>
            </w:r>
          </w:p>
        </w:tc>
        <w:tc>
          <w:tcPr>
            <w:tcW w:w="312" w:type="pct"/>
            <w:noWrap/>
            <w:vAlign w:val="center"/>
          </w:tcPr>
          <w:p w14:paraId="4F7ADA9A">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0.22</w:t>
            </w:r>
          </w:p>
        </w:tc>
        <w:tc>
          <w:tcPr>
            <w:tcW w:w="313" w:type="pct"/>
            <w:noWrap/>
            <w:vAlign w:val="center"/>
          </w:tcPr>
          <w:p w14:paraId="1E9CDE77">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800</w:t>
            </w:r>
          </w:p>
        </w:tc>
        <w:tc>
          <w:tcPr>
            <w:tcW w:w="389" w:type="pct"/>
            <w:noWrap/>
            <w:vAlign w:val="center"/>
          </w:tcPr>
          <w:p w14:paraId="6E9C690B">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2.19E-05</w:t>
            </w:r>
          </w:p>
        </w:tc>
        <w:tc>
          <w:tcPr>
            <w:tcW w:w="223" w:type="pct"/>
            <w:noWrap/>
            <w:vAlign w:val="center"/>
          </w:tcPr>
          <w:p w14:paraId="0B682C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0.00</w:t>
            </w:r>
          </w:p>
        </w:tc>
      </w:tr>
      <w:tr w14:paraId="7211DF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16" w:type="pct"/>
            <w:noWrap/>
            <w:vAlign w:val="center"/>
          </w:tcPr>
          <w:p w14:paraId="7BD1695A">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1000</w:t>
            </w:r>
          </w:p>
        </w:tc>
        <w:tc>
          <w:tcPr>
            <w:tcW w:w="413" w:type="pct"/>
            <w:noWrap/>
            <w:vAlign w:val="center"/>
          </w:tcPr>
          <w:p w14:paraId="56F5088F">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1.36E-03</w:t>
            </w:r>
          </w:p>
        </w:tc>
        <w:tc>
          <w:tcPr>
            <w:tcW w:w="342" w:type="pct"/>
            <w:noWrap/>
            <w:vAlign w:val="center"/>
          </w:tcPr>
          <w:p w14:paraId="78F82584">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0.27</w:t>
            </w:r>
          </w:p>
        </w:tc>
        <w:tc>
          <w:tcPr>
            <w:tcW w:w="399" w:type="pct"/>
            <w:noWrap/>
            <w:vAlign w:val="center"/>
          </w:tcPr>
          <w:p w14:paraId="70A01BB0">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5.61E-04</w:t>
            </w:r>
          </w:p>
        </w:tc>
        <w:tc>
          <w:tcPr>
            <w:tcW w:w="351" w:type="pct"/>
            <w:noWrap/>
            <w:vAlign w:val="center"/>
          </w:tcPr>
          <w:p w14:paraId="0CC661E8">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0.12</w:t>
            </w:r>
          </w:p>
        </w:tc>
        <w:tc>
          <w:tcPr>
            <w:tcW w:w="418" w:type="pct"/>
            <w:noWrap/>
            <w:vAlign w:val="center"/>
          </w:tcPr>
          <w:p w14:paraId="04EBC413">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7.97E-03</w:t>
            </w:r>
          </w:p>
        </w:tc>
        <w:tc>
          <w:tcPr>
            <w:tcW w:w="317" w:type="pct"/>
            <w:noWrap/>
            <w:vAlign w:val="center"/>
          </w:tcPr>
          <w:p w14:paraId="30D45FC0">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3.19</w:t>
            </w:r>
          </w:p>
        </w:tc>
        <w:tc>
          <w:tcPr>
            <w:tcW w:w="394" w:type="pct"/>
            <w:noWrap/>
            <w:vAlign w:val="center"/>
          </w:tcPr>
          <w:p w14:paraId="17D69A5B">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1.29E-06</w:t>
            </w:r>
          </w:p>
        </w:tc>
        <w:tc>
          <w:tcPr>
            <w:tcW w:w="327" w:type="pct"/>
            <w:noWrap/>
            <w:vAlign w:val="center"/>
          </w:tcPr>
          <w:p w14:paraId="568337FA">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0.43</w:t>
            </w:r>
          </w:p>
        </w:tc>
        <w:tc>
          <w:tcPr>
            <w:tcW w:w="380" w:type="pct"/>
            <w:noWrap/>
            <w:vAlign w:val="center"/>
          </w:tcPr>
          <w:p w14:paraId="5CB562F9">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4.40E-04</w:t>
            </w:r>
          </w:p>
        </w:tc>
        <w:tc>
          <w:tcPr>
            <w:tcW w:w="312" w:type="pct"/>
            <w:noWrap/>
            <w:vAlign w:val="center"/>
          </w:tcPr>
          <w:p w14:paraId="462A45DE">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0.22</w:t>
            </w:r>
          </w:p>
        </w:tc>
        <w:tc>
          <w:tcPr>
            <w:tcW w:w="313" w:type="pct"/>
            <w:noWrap/>
            <w:vAlign w:val="center"/>
          </w:tcPr>
          <w:p w14:paraId="08F3FB74">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900</w:t>
            </w:r>
          </w:p>
        </w:tc>
        <w:tc>
          <w:tcPr>
            <w:tcW w:w="389" w:type="pct"/>
            <w:noWrap/>
            <w:vAlign w:val="center"/>
          </w:tcPr>
          <w:p w14:paraId="350FE6CA">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2.12E-05</w:t>
            </w:r>
          </w:p>
        </w:tc>
        <w:tc>
          <w:tcPr>
            <w:tcW w:w="223" w:type="pct"/>
            <w:noWrap/>
            <w:vAlign w:val="center"/>
          </w:tcPr>
          <w:p w14:paraId="39C10B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0.00</w:t>
            </w:r>
          </w:p>
        </w:tc>
      </w:tr>
      <w:tr w14:paraId="0371DD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16" w:type="pct"/>
            <w:noWrap/>
            <w:vAlign w:val="center"/>
          </w:tcPr>
          <w:p w14:paraId="7639704C">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1125</w:t>
            </w:r>
          </w:p>
        </w:tc>
        <w:tc>
          <w:tcPr>
            <w:tcW w:w="413" w:type="pct"/>
            <w:noWrap/>
            <w:vAlign w:val="center"/>
          </w:tcPr>
          <w:p w14:paraId="06E0D1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1.40E-03</w:t>
            </w:r>
          </w:p>
        </w:tc>
        <w:tc>
          <w:tcPr>
            <w:tcW w:w="342" w:type="pct"/>
            <w:noWrap/>
            <w:vAlign w:val="center"/>
          </w:tcPr>
          <w:p w14:paraId="059C2F56">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0.28</w:t>
            </w:r>
          </w:p>
        </w:tc>
        <w:tc>
          <w:tcPr>
            <w:tcW w:w="399" w:type="pct"/>
            <w:noWrap/>
            <w:vAlign w:val="center"/>
          </w:tcPr>
          <w:p w14:paraId="5C6455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5.77E-04</w:t>
            </w:r>
          </w:p>
        </w:tc>
        <w:tc>
          <w:tcPr>
            <w:tcW w:w="351" w:type="pct"/>
            <w:noWrap/>
            <w:vAlign w:val="center"/>
          </w:tcPr>
          <w:p w14:paraId="32C04E4A">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0.13</w:t>
            </w:r>
          </w:p>
        </w:tc>
        <w:tc>
          <w:tcPr>
            <w:tcW w:w="418" w:type="pct"/>
            <w:noWrap/>
            <w:vAlign w:val="center"/>
          </w:tcPr>
          <w:p w14:paraId="034CCF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8.19E-03</w:t>
            </w:r>
          </w:p>
        </w:tc>
        <w:tc>
          <w:tcPr>
            <w:tcW w:w="317" w:type="pct"/>
            <w:noWrap/>
            <w:vAlign w:val="center"/>
          </w:tcPr>
          <w:p w14:paraId="2E47167C">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3.28</w:t>
            </w:r>
          </w:p>
        </w:tc>
        <w:tc>
          <w:tcPr>
            <w:tcW w:w="394" w:type="pct"/>
            <w:noWrap/>
            <w:vAlign w:val="center"/>
          </w:tcPr>
          <w:p w14:paraId="6A1671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1.33E-06</w:t>
            </w:r>
          </w:p>
        </w:tc>
        <w:tc>
          <w:tcPr>
            <w:tcW w:w="327" w:type="pct"/>
            <w:noWrap/>
            <w:vAlign w:val="center"/>
          </w:tcPr>
          <w:p w14:paraId="31BC9E10">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0.44</w:t>
            </w:r>
          </w:p>
        </w:tc>
        <w:tc>
          <w:tcPr>
            <w:tcW w:w="380" w:type="pct"/>
            <w:noWrap/>
            <w:vAlign w:val="center"/>
          </w:tcPr>
          <w:p w14:paraId="69D7E6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4.52E-04</w:t>
            </w:r>
          </w:p>
        </w:tc>
        <w:tc>
          <w:tcPr>
            <w:tcW w:w="312" w:type="pct"/>
            <w:noWrap/>
            <w:vAlign w:val="center"/>
          </w:tcPr>
          <w:p w14:paraId="36D462DB">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0.23</w:t>
            </w:r>
          </w:p>
        </w:tc>
        <w:tc>
          <w:tcPr>
            <w:tcW w:w="313" w:type="pct"/>
            <w:noWrap/>
            <w:vAlign w:val="center"/>
          </w:tcPr>
          <w:p w14:paraId="00D0A8CE">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1000</w:t>
            </w:r>
          </w:p>
        </w:tc>
        <w:tc>
          <w:tcPr>
            <w:tcW w:w="389" w:type="pct"/>
            <w:noWrap/>
            <w:vAlign w:val="center"/>
          </w:tcPr>
          <w:p w14:paraId="71AE2B6B">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2.02E-05</w:t>
            </w:r>
          </w:p>
        </w:tc>
        <w:tc>
          <w:tcPr>
            <w:tcW w:w="223" w:type="pct"/>
            <w:noWrap/>
            <w:vAlign w:val="center"/>
          </w:tcPr>
          <w:p w14:paraId="72C435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0.00</w:t>
            </w:r>
          </w:p>
        </w:tc>
      </w:tr>
      <w:tr w14:paraId="59FA18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16" w:type="pct"/>
            <w:noWrap/>
            <w:vAlign w:val="center"/>
          </w:tcPr>
          <w:p w14:paraId="6F03C73D">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1150</w:t>
            </w:r>
          </w:p>
        </w:tc>
        <w:tc>
          <w:tcPr>
            <w:tcW w:w="413" w:type="pct"/>
            <w:noWrap/>
            <w:vAlign w:val="center"/>
          </w:tcPr>
          <w:p w14:paraId="6092D9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1.40E-03</w:t>
            </w:r>
          </w:p>
        </w:tc>
        <w:tc>
          <w:tcPr>
            <w:tcW w:w="342" w:type="pct"/>
            <w:noWrap/>
            <w:vAlign w:val="center"/>
          </w:tcPr>
          <w:p w14:paraId="5ECA8E11">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0.28</w:t>
            </w:r>
          </w:p>
        </w:tc>
        <w:tc>
          <w:tcPr>
            <w:tcW w:w="399" w:type="pct"/>
            <w:noWrap/>
            <w:vAlign w:val="center"/>
          </w:tcPr>
          <w:p w14:paraId="54532C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5.78E-04</w:t>
            </w:r>
          </w:p>
        </w:tc>
        <w:tc>
          <w:tcPr>
            <w:tcW w:w="351" w:type="pct"/>
            <w:noWrap/>
            <w:vAlign w:val="center"/>
          </w:tcPr>
          <w:p w14:paraId="7128DA7E">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0.13</w:t>
            </w:r>
          </w:p>
        </w:tc>
        <w:tc>
          <w:tcPr>
            <w:tcW w:w="418" w:type="pct"/>
            <w:noWrap/>
            <w:vAlign w:val="center"/>
          </w:tcPr>
          <w:p w14:paraId="279BE5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8.21E-03</w:t>
            </w:r>
          </w:p>
        </w:tc>
        <w:tc>
          <w:tcPr>
            <w:tcW w:w="317" w:type="pct"/>
            <w:noWrap/>
            <w:vAlign w:val="center"/>
          </w:tcPr>
          <w:p w14:paraId="659EFCD4">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3.29</w:t>
            </w:r>
          </w:p>
        </w:tc>
        <w:tc>
          <w:tcPr>
            <w:tcW w:w="394" w:type="pct"/>
            <w:noWrap/>
            <w:vAlign w:val="center"/>
          </w:tcPr>
          <w:p w14:paraId="2A3D068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1.33E-06</w:t>
            </w:r>
          </w:p>
        </w:tc>
        <w:tc>
          <w:tcPr>
            <w:tcW w:w="327" w:type="pct"/>
            <w:noWrap/>
            <w:vAlign w:val="center"/>
          </w:tcPr>
          <w:p w14:paraId="17896B9F">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0.44</w:t>
            </w:r>
          </w:p>
        </w:tc>
        <w:tc>
          <w:tcPr>
            <w:tcW w:w="380" w:type="pct"/>
            <w:noWrap/>
            <w:vAlign w:val="center"/>
          </w:tcPr>
          <w:p w14:paraId="49A3AF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4.53E-04</w:t>
            </w:r>
          </w:p>
        </w:tc>
        <w:tc>
          <w:tcPr>
            <w:tcW w:w="312" w:type="pct"/>
            <w:noWrap/>
            <w:vAlign w:val="center"/>
          </w:tcPr>
          <w:p w14:paraId="5B5D44AE">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0.23</w:t>
            </w:r>
          </w:p>
        </w:tc>
        <w:tc>
          <w:tcPr>
            <w:tcW w:w="313" w:type="pct"/>
            <w:noWrap/>
            <w:vAlign w:val="center"/>
          </w:tcPr>
          <w:p w14:paraId="3577CF3A">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1125</w:t>
            </w:r>
          </w:p>
        </w:tc>
        <w:tc>
          <w:tcPr>
            <w:tcW w:w="389" w:type="pct"/>
            <w:noWrap/>
            <w:vAlign w:val="center"/>
          </w:tcPr>
          <w:p w14:paraId="75A51C57">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2.00E-05</w:t>
            </w:r>
          </w:p>
        </w:tc>
        <w:tc>
          <w:tcPr>
            <w:tcW w:w="223" w:type="pct"/>
            <w:noWrap/>
            <w:vAlign w:val="center"/>
          </w:tcPr>
          <w:p w14:paraId="38CDFD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0.00</w:t>
            </w:r>
          </w:p>
        </w:tc>
      </w:tr>
      <w:tr w14:paraId="5FDAFC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16" w:type="pct"/>
            <w:shd w:val="clear" w:color="auto" w:fill="FFFF00"/>
            <w:noWrap/>
            <w:vAlign w:val="center"/>
          </w:tcPr>
          <w:p w14:paraId="69AF88FA">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1200</w:t>
            </w:r>
          </w:p>
        </w:tc>
        <w:tc>
          <w:tcPr>
            <w:tcW w:w="413" w:type="pct"/>
            <w:shd w:val="clear" w:color="auto" w:fill="FFFF00"/>
            <w:noWrap/>
            <w:vAlign w:val="center"/>
          </w:tcPr>
          <w:p w14:paraId="58EDB6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1.41E-03</w:t>
            </w:r>
          </w:p>
        </w:tc>
        <w:tc>
          <w:tcPr>
            <w:tcW w:w="342" w:type="pct"/>
            <w:shd w:val="clear" w:color="auto" w:fill="FFFF00"/>
            <w:noWrap/>
            <w:vAlign w:val="center"/>
          </w:tcPr>
          <w:p w14:paraId="2D40BB93">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0.28</w:t>
            </w:r>
          </w:p>
        </w:tc>
        <w:tc>
          <w:tcPr>
            <w:tcW w:w="399" w:type="pct"/>
            <w:shd w:val="clear" w:color="auto" w:fill="FFFF00"/>
            <w:noWrap/>
            <w:vAlign w:val="center"/>
          </w:tcPr>
          <w:p w14:paraId="15CEE7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5.80E-04</w:t>
            </w:r>
          </w:p>
        </w:tc>
        <w:tc>
          <w:tcPr>
            <w:tcW w:w="351" w:type="pct"/>
            <w:shd w:val="clear" w:color="auto" w:fill="FFFF00"/>
            <w:noWrap/>
            <w:vAlign w:val="center"/>
          </w:tcPr>
          <w:p w14:paraId="41605029">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0.13</w:t>
            </w:r>
          </w:p>
        </w:tc>
        <w:tc>
          <w:tcPr>
            <w:tcW w:w="418" w:type="pct"/>
            <w:shd w:val="clear" w:color="auto" w:fill="FFFF00"/>
            <w:noWrap/>
            <w:vAlign w:val="center"/>
          </w:tcPr>
          <w:p w14:paraId="1D8274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8.24E-03</w:t>
            </w:r>
          </w:p>
        </w:tc>
        <w:tc>
          <w:tcPr>
            <w:tcW w:w="317" w:type="pct"/>
            <w:shd w:val="clear" w:color="auto" w:fill="FFFF00"/>
            <w:noWrap/>
            <w:vAlign w:val="center"/>
          </w:tcPr>
          <w:p w14:paraId="54249E9C">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3.30</w:t>
            </w:r>
          </w:p>
        </w:tc>
        <w:tc>
          <w:tcPr>
            <w:tcW w:w="394" w:type="pct"/>
            <w:shd w:val="clear" w:color="auto" w:fill="FFFF00"/>
            <w:noWrap/>
            <w:vAlign w:val="center"/>
          </w:tcPr>
          <w:p w14:paraId="264DC4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1.34E-06</w:t>
            </w:r>
          </w:p>
        </w:tc>
        <w:tc>
          <w:tcPr>
            <w:tcW w:w="327" w:type="pct"/>
            <w:shd w:val="clear" w:color="auto" w:fill="FFFF00"/>
            <w:noWrap/>
            <w:vAlign w:val="center"/>
          </w:tcPr>
          <w:p w14:paraId="1C31F15E">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0.45</w:t>
            </w:r>
          </w:p>
        </w:tc>
        <w:tc>
          <w:tcPr>
            <w:tcW w:w="380" w:type="pct"/>
            <w:shd w:val="clear" w:color="auto" w:fill="FFFF00"/>
            <w:noWrap/>
            <w:vAlign w:val="center"/>
          </w:tcPr>
          <w:p w14:paraId="6FEF48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4.55E-04</w:t>
            </w:r>
          </w:p>
        </w:tc>
        <w:tc>
          <w:tcPr>
            <w:tcW w:w="312" w:type="pct"/>
            <w:shd w:val="clear" w:color="auto" w:fill="FFFF00"/>
            <w:noWrap/>
            <w:vAlign w:val="center"/>
          </w:tcPr>
          <w:p w14:paraId="17233949">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0.23</w:t>
            </w:r>
          </w:p>
        </w:tc>
        <w:tc>
          <w:tcPr>
            <w:tcW w:w="313" w:type="pct"/>
            <w:noWrap/>
            <w:vAlign w:val="center"/>
          </w:tcPr>
          <w:p w14:paraId="14131C73">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1150</w:t>
            </w:r>
          </w:p>
        </w:tc>
        <w:tc>
          <w:tcPr>
            <w:tcW w:w="389" w:type="pct"/>
            <w:noWrap/>
            <w:vAlign w:val="center"/>
          </w:tcPr>
          <w:p w14:paraId="32394EEB">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2.01E-05</w:t>
            </w:r>
          </w:p>
        </w:tc>
        <w:tc>
          <w:tcPr>
            <w:tcW w:w="223" w:type="pct"/>
            <w:noWrap/>
            <w:vAlign w:val="center"/>
          </w:tcPr>
          <w:p w14:paraId="61A4CE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0.00</w:t>
            </w:r>
          </w:p>
        </w:tc>
      </w:tr>
      <w:tr w14:paraId="75A4E3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16" w:type="pct"/>
            <w:noWrap/>
            <w:vAlign w:val="center"/>
          </w:tcPr>
          <w:p w14:paraId="12EC4C84">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1225</w:t>
            </w:r>
          </w:p>
        </w:tc>
        <w:tc>
          <w:tcPr>
            <w:tcW w:w="413" w:type="pct"/>
            <w:noWrap/>
            <w:vAlign w:val="center"/>
          </w:tcPr>
          <w:p w14:paraId="2AC2D0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1.41E-03</w:t>
            </w:r>
          </w:p>
        </w:tc>
        <w:tc>
          <w:tcPr>
            <w:tcW w:w="342" w:type="pct"/>
            <w:noWrap/>
            <w:vAlign w:val="center"/>
          </w:tcPr>
          <w:p w14:paraId="186CCB7D">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0.28</w:t>
            </w:r>
          </w:p>
        </w:tc>
        <w:tc>
          <w:tcPr>
            <w:tcW w:w="399" w:type="pct"/>
            <w:noWrap/>
            <w:vAlign w:val="center"/>
          </w:tcPr>
          <w:p w14:paraId="510216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5.80E-04</w:t>
            </w:r>
          </w:p>
        </w:tc>
        <w:tc>
          <w:tcPr>
            <w:tcW w:w="351" w:type="pct"/>
            <w:noWrap/>
            <w:vAlign w:val="center"/>
          </w:tcPr>
          <w:p w14:paraId="7CE25797">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0.13</w:t>
            </w:r>
          </w:p>
        </w:tc>
        <w:tc>
          <w:tcPr>
            <w:tcW w:w="418" w:type="pct"/>
            <w:noWrap/>
            <w:vAlign w:val="center"/>
          </w:tcPr>
          <w:p w14:paraId="5CF03A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8.24E-03</w:t>
            </w:r>
          </w:p>
        </w:tc>
        <w:tc>
          <w:tcPr>
            <w:tcW w:w="317" w:type="pct"/>
            <w:noWrap/>
            <w:vAlign w:val="center"/>
          </w:tcPr>
          <w:p w14:paraId="745B2A63">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3.30</w:t>
            </w:r>
          </w:p>
        </w:tc>
        <w:tc>
          <w:tcPr>
            <w:tcW w:w="394" w:type="pct"/>
            <w:noWrap/>
            <w:vAlign w:val="center"/>
          </w:tcPr>
          <w:p w14:paraId="2B29DF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1.34E-06</w:t>
            </w:r>
          </w:p>
        </w:tc>
        <w:tc>
          <w:tcPr>
            <w:tcW w:w="327" w:type="pct"/>
            <w:noWrap/>
            <w:vAlign w:val="center"/>
          </w:tcPr>
          <w:p w14:paraId="5D62068C">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0.45</w:t>
            </w:r>
          </w:p>
        </w:tc>
        <w:tc>
          <w:tcPr>
            <w:tcW w:w="380" w:type="pct"/>
            <w:noWrap/>
            <w:vAlign w:val="center"/>
          </w:tcPr>
          <w:p w14:paraId="535AB7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4.55E-04</w:t>
            </w:r>
          </w:p>
        </w:tc>
        <w:tc>
          <w:tcPr>
            <w:tcW w:w="312" w:type="pct"/>
            <w:noWrap/>
            <w:vAlign w:val="center"/>
          </w:tcPr>
          <w:p w14:paraId="09F2E590">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0.23</w:t>
            </w:r>
          </w:p>
        </w:tc>
        <w:tc>
          <w:tcPr>
            <w:tcW w:w="313" w:type="pct"/>
            <w:noWrap/>
            <w:vAlign w:val="center"/>
          </w:tcPr>
          <w:p w14:paraId="70DA9ED6">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1200</w:t>
            </w:r>
          </w:p>
        </w:tc>
        <w:tc>
          <w:tcPr>
            <w:tcW w:w="389" w:type="pct"/>
            <w:noWrap/>
            <w:vAlign w:val="center"/>
          </w:tcPr>
          <w:p w14:paraId="35C25901">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2.01E-05</w:t>
            </w:r>
          </w:p>
        </w:tc>
        <w:tc>
          <w:tcPr>
            <w:tcW w:w="223" w:type="pct"/>
            <w:noWrap/>
            <w:vAlign w:val="center"/>
          </w:tcPr>
          <w:p w14:paraId="3BB0AB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0.00</w:t>
            </w:r>
          </w:p>
        </w:tc>
      </w:tr>
      <w:tr w14:paraId="1F294D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16" w:type="pct"/>
            <w:noWrap/>
            <w:vAlign w:val="center"/>
          </w:tcPr>
          <w:p w14:paraId="492328B2">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1250</w:t>
            </w:r>
          </w:p>
        </w:tc>
        <w:tc>
          <w:tcPr>
            <w:tcW w:w="413" w:type="pct"/>
            <w:noWrap/>
            <w:vAlign w:val="center"/>
          </w:tcPr>
          <w:p w14:paraId="572F16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1.41E-03</w:t>
            </w:r>
          </w:p>
        </w:tc>
        <w:tc>
          <w:tcPr>
            <w:tcW w:w="342" w:type="pct"/>
            <w:noWrap/>
            <w:vAlign w:val="center"/>
          </w:tcPr>
          <w:p w14:paraId="7073449E">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0.28</w:t>
            </w:r>
          </w:p>
        </w:tc>
        <w:tc>
          <w:tcPr>
            <w:tcW w:w="399" w:type="pct"/>
            <w:noWrap/>
            <w:vAlign w:val="center"/>
          </w:tcPr>
          <w:p w14:paraId="3D7BA5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5.80E-04</w:t>
            </w:r>
          </w:p>
        </w:tc>
        <w:tc>
          <w:tcPr>
            <w:tcW w:w="351" w:type="pct"/>
            <w:noWrap/>
            <w:vAlign w:val="center"/>
          </w:tcPr>
          <w:p w14:paraId="5DE5B9B1">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0.13</w:t>
            </w:r>
          </w:p>
        </w:tc>
        <w:tc>
          <w:tcPr>
            <w:tcW w:w="418" w:type="pct"/>
            <w:noWrap/>
            <w:vAlign w:val="center"/>
          </w:tcPr>
          <w:p w14:paraId="005081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8.24E-03</w:t>
            </w:r>
          </w:p>
        </w:tc>
        <w:tc>
          <w:tcPr>
            <w:tcW w:w="317" w:type="pct"/>
            <w:noWrap/>
            <w:vAlign w:val="center"/>
          </w:tcPr>
          <w:p w14:paraId="626168E2">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3.30</w:t>
            </w:r>
          </w:p>
        </w:tc>
        <w:tc>
          <w:tcPr>
            <w:tcW w:w="394" w:type="pct"/>
            <w:noWrap/>
            <w:vAlign w:val="center"/>
          </w:tcPr>
          <w:p w14:paraId="111D76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1.34E-06</w:t>
            </w:r>
          </w:p>
        </w:tc>
        <w:tc>
          <w:tcPr>
            <w:tcW w:w="327" w:type="pct"/>
            <w:noWrap/>
            <w:vAlign w:val="center"/>
          </w:tcPr>
          <w:p w14:paraId="026E1D5C">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0.45</w:t>
            </w:r>
          </w:p>
        </w:tc>
        <w:tc>
          <w:tcPr>
            <w:tcW w:w="380" w:type="pct"/>
            <w:noWrap/>
            <w:vAlign w:val="center"/>
          </w:tcPr>
          <w:p w14:paraId="3A98CF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4.55E-04</w:t>
            </w:r>
          </w:p>
        </w:tc>
        <w:tc>
          <w:tcPr>
            <w:tcW w:w="312" w:type="pct"/>
            <w:noWrap/>
            <w:vAlign w:val="center"/>
          </w:tcPr>
          <w:p w14:paraId="656E1F7A">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0.23</w:t>
            </w:r>
          </w:p>
        </w:tc>
        <w:tc>
          <w:tcPr>
            <w:tcW w:w="313" w:type="pct"/>
            <w:noWrap/>
            <w:vAlign w:val="center"/>
          </w:tcPr>
          <w:p w14:paraId="64DFA574">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1250</w:t>
            </w:r>
          </w:p>
        </w:tc>
        <w:tc>
          <w:tcPr>
            <w:tcW w:w="389" w:type="pct"/>
            <w:noWrap/>
            <w:vAlign w:val="center"/>
          </w:tcPr>
          <w:p w14:paraId="17DDBE9C">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1.99E-05</w:t>
            </w:r>
          </w:p>
        </w:tc>
        <w:tc>
          <w:tcPr>
            <w:tcW w:w="223" w:type="pct"/>
            <w:noWrap/>
            <w:vAlign w:val="center"/>
          </w:tcPr>
          <w:p w14:paraId="400115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0.00</w:t>
            </w:r>
          </w:p>
        </w:tc>
      </w:tr>
      <w:tr w14:paraId="65257C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16" w:type="pct"/>
            <w:noWrap/>
            <w:vAlign w:val="center"/>
          </w:tcPr>
          <w:p w14:paraId="41F58E55">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kern w:val="0"/>
                <w:sz w:val="22"/>
                <w:highlight w:val="none"/>
                <w:lang w:bidi="ar"/>
              </w:rPr>
              <w:t>1300</w:t>
            </w:r>
          </w:p>
        </w:tc>
        <w:tc>
          <w:tcPr>
            <w:tcW w:w="413" w:type="pct"/>
            <w:noWrap/>
            <w:vAlign w:val="center"/>
          </w:tcPr>
          <w:p w14:paraId="29D298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1.41E-03</w:t>
            </w:r>
          </w:p>
        </w:tc>
        <w:tc>
          <w:tcPr>
            <w:tcW w:w="342" w:type="pct"/>
            <w:noWrap/>
            <w:vAlign w:val="center"/>
          </w:tcPr>
          <w:p w14:paraId="3387ED05">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0.28</w:t>
            </w:r>
          </w:p>
        </w:tc>
        <w:tc>
          <w:tcPr>
            <w:tcW w:w="399" w:type="pct"/>
            <w:noWrap/>
            <w:vAlign w:val="center"/>
          </w:tcPr>
          <w:p w14:paraId="317967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5.80E-04</w:t>
            </w:r>
          </w:p>
        </w:tc>
        <w:tc>
          <w:tcPr>
            <w:tcW w:w="351" w:type="pct"/>
            <w:noWrap/>
            <w:vAlign w:val="center"/>
          </w:tcPr>
          <w:p w14:paraId="1ED17067">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0.13</w:t>
            </w:r>
          </w:p>
        </w:tc>
        <w:tc>
          <w:tcPr>
            <w:tcW w:w="418" w:type="pct"/>
            <w:noWrap/>
            <w:vAlign w:val="center"/>
          </w:tcPr>
          <w:p w14:paraId="4CF4F2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8.24E-03</w:t>
            </w:r>
          </w:p>
        </w:tc>
        <w:tc>
          <w:tcPr>
            <w:tcW w:w="317" w:type="pct"/>
            <w:noWrap/>
            <w:vAlign w:val="center"/>
          </w:tcPr>
          <w:p w14:paraId="3FE1E951">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3.30</w:t>
            </w:r>
          </w:p>
        </w:tc>
        <w:tc>
          <w:tcPr>
            <w:tcW w:w="394" w:type="pct"/>
            <w:noWrap/>
            <w:vAlign w:val="center"/>
          </w:tcPr>
          <w:p w14:paraId="0E04D0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1.34E-06</w:t>
            </w:r>
          </w:p>
        </w:tc>
        <w:tc>
          <w:tcPr>
            <w:tcW w:w="327" w:type="pct"/>
            <w:noWrap/>
            <w:vAlign w:val="center"/>
          </w:tcPr>
          <w:p w14:paraId="516A11E0">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0.45</w:t>
            </w:r>
          </w:p>
        </w:tc>
        <w:tc>
          <w:tcPr>
            <w:tcW w:w="380" w:type="pct"/>
            <w:noWrap/>
            <w:vAlign w:val="center"/>
          </w:tcPr>
          <w:p w14:paraId="597090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highlight w:val="none"/>
              </w:rPr>
              <w:t>4.55E-04</w:t>
            </w:r>
          </w:p>
        </w:tc>
        <w:tc>
          <w:tcPr>
            <w:tcW w:w="312" w:type="pct"/>
            <w:noWrap/>
            <w:vAlign w:val="center"/>
          </w:tcPr>
          <w:p w14:paraId="04B0DD97">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0.23</w:t>
            </w:r>
          </w:p>
        </w:tc>
        <w:tc>
          <w:tcPr>
            <w:tcW w:w="313" w:type="pct"/>
            <w:noWrap/>
            <w:vAlign w:val="center"/>
          </w:tcPr>
          <w:p w14:paraId="4B38D3EF">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1300</w:t>
            </w:r>
          </w:p>
        </w:tc>
        <w:tc>
          <w:tcPr>
            <w:tcW w:w="389" w:type="pct"/>
            <w:noWrap/>
            <w:vAlign w:val="center"/>
          </w:tcPr>
          <w:p w14:paraId="52321512">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1.95E-05</w:t>
            </w:r>
          </w:p>
        </w:tc>
        <w:tc>
          <w:tcPr>
            <w:tcW w:w="223" w:type="pct"/>
            <w:noWrap/>
            <w:vAlign w:val="center"/>
          </w:tcPr>
          <w:p w14:paraId="6C67FF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0.00</w:t>
            </w:r>
          </w:p>
        </w:tc>
      </w:tr>
      <w:tr w14:paraId="4B0295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16" w:type="pct"/>
            <w:shd w:val="clear" w:color="auto" w:fill="auto"/>
            <w:noWrap/>
            <w:vAlign w:val="center"/>
          </w:tcPr>
          <w:p w14:paraId="244BB1C4">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1325</w:t>
            </w:r>
          </w:p>
        </w:tc>
        <w:tc>
          <w:tcPr>
            <w:tcW w:w="413" w:type="pct"/>
            <w:shd w:val="clear" w:color="auto" w:fill="auto"/>
            <w:noWrap/>
            <w:vAlign w:val="center"/>
          </w:tcPr>
          <w:p w14:paraId="56A3B8C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sz w:val="22"/>
                <w:highlight w:val="none"/>
              </w:rPr>
            </w:pPr>
            <w:r>
              <w:rPr>
                <w:rFonts w:hint="eastAsia"/>
                <w:highlight w:val="none"/>
              </w:rPr>
              <w:t>1.41E-03</w:t>
            </w:r>
          </w:p>
        </w:tc>
        <w:tc>
          <w:tcPr>
            <w:tcW w:w="342" w:type="pct"/>
            <w:shd w:val="clear" w:color="auto" w:fill="auto"/>
            <w:noWrap/>
            <w:vAlign w:val="center"/>
          </w:tcPr>
          <w:p w14:paraId="532D2B31">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0.28</w:t>
            </w:r>
          </w:p>
        </w:tc>
        <w:tc>
          <w:tcPr>
            <w:tcW w:w="399" w:type="pct"/>
            <w:shd w:val="clear" w:color="auto" w:fill="auto"/>
            <w:noWrap/>
            <w:vAlign w:val="center"/>
          </w:tcPr>
          <w:p w14:paraId="35949D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sz w:val="22"/>
                <w:highlight w:val="none"/>
              </w:rPr>
            </w:pPr>
            <w:r>
              <w:rPr>
                <w:rFonts w:hint="eastAsia"/>
                <w:highlight w:val="none"/>
              </w:rPr>
              <w:t>5.80E-04</w:t>
            </w:r>
          </w:p>
        </w:tc>
        <w:tc>
          <w:tcPr>
            <w:tcW w:w="351" w:type="pct"/>
            <w:shd w:val="clear" w:color="auto" w:fill="auto"/>
            <w:noWrap/>
            <w:vAlign w:val="center"/>
          </w:tcPr>
          <w:p w14:paraId="2940B0BF">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0.13</w:t>
            </w:r>
          </w:p>
        </w:tc>
        <w:tc>
          <w:tcPr>
            <w:tcW w:w="418" w:type="pct"/>
            <w:shd w:val="clear" w:color="auto" w:fill="auto"/>
            <w:noWrap/>
            <w:vAlign w:val="center"/>
          </w:tcPr>
          <w:p w14:paraId="50D5D4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sz w:val="22"/>
                <w:highlight w:val="none"/>
              </w:rPr>
            </w:pPr>
            <w:r>
              <w:rPr>
                <w:rFonts w:hint="eastAsia"/>
                <w:highlight w:val="none"/>
              </w:rPr>
              <w:t>8.24E-03</w:t>
            </w:r>
          </w:p>
        </w:tc>
        <w:tc>
          <w:tcPr>
            <w:tcW w:w="317" w:type="pct"/>
            <w:shd w:val="clear" w:color="auto" w:fill="auto"/>
            <w:noWrap/>
            <w:vAlign w:val="center"/>
          </w:tcPr>
          <w:p w14:paraId="3189CCFE">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3.29</w:t>
            </w:r>
          </w:p>
        </w:tc>
        <w:tc>
          <w:tcPr>
            <w:tcW w:w="394" w:type="pct"/>
            <w:shd w:val="clear" w:color="auto" w:fill="auto"/>
            <w:noWrap/>
            <w:vAlign w:val="center"/>
          </w:tcPr>
          <w:p w14:paraId="73D08C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sz w:val="22"/>
                <w:highlight w:val="none"/>
              </w:rPr>
            </w:pPr>
            <w:r>
              <w:rPr>
                <w:rFonts w:hint="eastAsia"/>
                <w:highlight w:val="none"/>
              </w:rPr>
              <w:t>1.34E-06</w:t>
            </w:r>
          </w:p>
        </w:tc>
        <w:tc>
          <w:tcPr>
            <w:tcW w:w="327" w:type="pct"/>
            <w:shd w:val="clear" w:color="auto" w:fill="auto"/>
            <w:noWrap/>
            <w:vAlign w:val="center"/>
          </w:tcPr>
          <w:p w14:paraId="48D02590">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0.44</w:t>
            </w:r>
          </w:p>
        </w:tc>
        <w:tc>
          <w:tcPr>
            <w:tcW w:w="380" w:type="pct"/>
            <w:shd w:val="clear" w:color="auto" w:fill="auto"/>
            <w:noWrap/>
            <w:vAlign w:val="center"/>
          </w:tcPr>
          <w:p w14:paraId="21F2CB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sz w:val="22"/>
                <w:highlight w:val="none"/>
              </w:rPr>
            </w:pPr>
            <w:r>
              <w:rPr>
                <w:rFonts w:hint="eastAsia"/>
                <w:highlight w:val="none"/>
              </w:rPr>
              <w:t>4.55E-04</w:t>
            </w:r>
          </w:p>
        </w:tc>
        <w:tc>
          <w:tcPr>
            <w:tcW w:w="312" w:type="pct"/>
            <w:shd w:val="clear" w:color="auto" w:fill="auto"/>
            <w:noWrap/>
            <w:vAlign w:val="center"/>
          </w:tcPr>
          <w:p w14:paraId="029E66BE">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0.23</w:t>
            </w:r>
          </w:p>
        </w:tc>
        <w:tc>
          <w:tcPr>
            <w:tcW w:w="313" w:type="pct"/>
            <w:shd w:val="clear" w:color="auto" w:fill="auto"/>
            <w:noWrap/>
            <w:vAlign w:val="center"/>
          </w:tcPr>
          <w:p w14:paraId="5276D125">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1325</w:t>
            </w:r>
          </w:p>
        </w:tc>
        <w:tc>
          <w:tcPr>
            <w:tcW w:w="389" w:type="pct"/>
            <w:shd w:val="clear" w:color="auto" w:fill="auto"/>
            <w:noWrap/>
            <w:vAlign w:val="center"/>
          </w:tcPr>
          <w:p w14:paraId="3FB3002F">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1.97E-05</w:t>
            </w:r>
          </w:p>
        </w:tc>
        <w:tc>
          <w:tcPr>
            <w:tcW w:w="223" w:type="pct"/>
            <w:shd w:val="clear" w:color="auto" w:fill="auto"/>
            <w:noWrap/>
            <w:vAlign w:val="center"/>
          </w:tcPr>
          <w:p w14:paraId="0787B0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0.00</w:t>
            </w:r>
          </w:p>
        </w:tc>
      </w:tr>
      <w:tr w14:paraId="3101C9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16" w:type="pct"/>
            <w:noWrap/>
            <w:vAlign w:val="center"/>
          </w:tcPr>
          <w:p w14:paraId="224B7B05">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kern w:val="0"/>
                <w:sz w:val="22"/>
                <w:highlight w:val="none"/>
                <w:lang w:bidi="ar"/>
              </w:rPr>
              <w:t>1500</w:t>
            </w:r>
          </w:p>
        </w:tc>
        <w:tc>
          <w:tcPr>
            <w:tcW w:w="413" w:type="pct"/>
            <w:noWrap/>
            <w:vAlign w:val="center"/>
          </w:tcPr>
          <w:p w14:paraId="34F4F75E">
            <w:pPr>
              <w:widowControl/>
              <w:spacing w:line="240" w:lineRule="auto"/>
              <w:ind w:firstLine="0" w:firstLineChars="0"/>
              <w:jc w:val="center"/>
              <w:textAlignment w:val="center"/>
              <w:rPr>
                <w:rFonts w:ascii="Times New Roman" w:hAnsi="Times New Roman"/>
                <w:sz w:val="22"/>
                <w:highlight w:val="none"/>
              </w:rPr>
            </w:pPr>
            <w:r>
              <w:rPr>
                <w:rFonts w:hint="eastAsia"/>
                <w:highlight w:val="none"/>
              </w:rPr>
              <w:t>1.39E-03</w:t>
            </w:r>
          </w:p>
        </w:tc>
        <w:tc>
          <w:tcPr>
            <w:tcW w:w="342" w:type="pct"/>
            <w:noWrap/>
            <w:vAlign w:val="center"/>
          </w:tcPr>
          <w:p w14:paraId="2813004A">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0.28</w:t>
            </w:r>
          </w:p>
        </w:tc>
        <w:tc>
          <w:tcPr>
            <w:tcW w:w="399" w:type="pct"/>
            <w:noWrap/>
            <w:vAlign w:val="center"/>
          </w:tcPr>
          <w:p w14:paraId="1C60C91B">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5.74E-04</w:t>
            </w:r>
          </w:p>
        </w:tc>
        <w:tc>
          <w:tcPr>
            <w:tcW w:w="351" w:type="pct"/>
            <w:noWrap/>
            <w:vAlign w:val="center"/>
          </w:tcPr>
          <w:p w14:paraId="5C4AB3C7">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0.13</w:t>
            </w:r>
          </w:p>
        </w:tc>
        <w:tc>
          <w:tcPr>
            <w:tcW w:w="418" w:type="pct"/>
            <w:noWrap/>
            <w:vAlign w:val="center"/>
          </w:tcPr>
          <w:p w14:paraId="311F9E66">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8.16E-03</w:t>
            </w:r>
          </w:p>
        </w:tc>
        <w:tc>
          <w:tcPr>
            <w:tcW w:w="317" w:type="pct"/>
            <w:noWrap/>
            <w:vAlign w:val="center"/>
          </w:tcPr>
          <w:p w14:paraId="4FEDF1A8">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3.26</w:t>
            </w:r>
          </w:p>
        </w:tc>
        <w:tc>
          <w:tcPr>
            <w:tcW w:w="394" w:type="pct"/>
            <w:noWrap/>
            <w:vAlign w:val="center"/>
          </w:tcPr>
          <w:p w14:paraId="645F70D2">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1.32E-06</w:t>
            </w:r>
          </w:p>
        </w:tc>
        <w:tc>
          <w:tcPr>
            <w:tcW w:w="327" w:type="pct"/>
            <w:noWrap/>
            <w:vAlign w:val="center"/>
          </w:tcPr>
          <w:p w14:paraId="0C61183D">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0.44</w:t>
            </w:r>
          </w:p>
        </w:tc>
        <w:tc>
          <w:tcPr>
            <w:tcW w:w="380" w:type="pct"/>
            <w:noWrap/>
            <w:vAlign w:val="center"/>
          </w:tcPr>
          <w:p w14:paraId="2176FF22">
            <w:pPr>
              <w:widowControl/>
              <w:spacing w:line="240" w:lineRule="auto"/>
              <w:ind w:firstLine="0" w:firstLineChars="0"/>
              <w:jc w:val="center"/>
              <w:textAlignment w:val="center"/>
              <w:rPr>
                <w:rFonts w:ascii="Times New Roman" w:hAnsi="Times New Roman"/>
                <w:sz w:val="22"/>
                <w:highlight w:val="none"/>
              </w:rPr>
            </w:pPr>
            <w:r>
              <w:rPr>
                <w:rFonts w:hint="eastAsia"/>
                <w:highlight w:val="none"/>
              </w:rPr>
              <w:t>4.50E-04</w:t>
            </w:r>
          </w:p>
        </w:tc>
        <w:tc>
          <w:tcPr>
            <w:tcW w:w="312" w:type="pct"/>
            <w:noWrap/>
            <w:vAlign w:val="center"/>
          </w:tcPr>
          <w:p w14:paraId="31CA7265">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0.23</w:t>
            </w:r>
          </w:p>
        </w:tc>
        <w:tc>
          <w:tcPr>
            <w:tcW w:w="313" w:type="pct"/>
            <w:noWrap/>
            <w:vAlign w:val="center"/>
          </w:tcPr>
          <w:p w14:paraId="15DBB4F5">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1500</w:t>
            </w:r>
          </w:p>
        </w:tc>
        <w:tc>
          <w:tcPr>
            <w:tcW w:w="389" w:type="pct"/>
            <w:noWrap/>
            <w:vAlign w:val="center"/>
          </w:tcPr>
          <w:p w14:paraId="5172F9BA">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1.89E-05</w:t>
            </w:r>
          </w:p>
        </w:tc>
        <w:tc>
          <w:tcPr>
            <w:tcW w:w="223" w:type="pct"/>
            <w:noWrap/>
            <w:vAlign w:val="center"/>
          </w:tcPr>
          <w:p w14:paraId="1D4C6B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0.00</w:t>
            </w:r>
          </w:p>
        </w:tc>
      </w:tr>
      <w:tr w14:paraId="3577DB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16" w:type="pct"/>
            <w:noWrap/>
            <w:vAlign w:val="center"/>
          </w:tcPr>
          <w:p w14:paraId="259D8B7C">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kern w:val="0"/>
                <w:sz w:val="22"/>
                <w:highlight w:val="none"/>
                <w:lang w:bidi="ar"/>
              </w:rPr>
              <w:t>1600</w:t>
            </w:r>
          </w:p>
        </w:tc>
        <w:tc>
          <w:tcPr>
            <w:tcW w:w="413" w:type="pct"/>
            <w:noWrap/>
            <w:vAlign w:val="center"/>
          </w:tcPr>
          <w:p w14:paraId="46C568CA">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1.38E-03</w:t>
            </w:r>
          </w:p>
        </w:tc>
        <w:tc>
          <w:tcPr>
            <w:tcW w:w="342" w:type="pct"/>
            <w:noWrap/>
            <w:vAlign w:val="center"/>
          </w:tcPr>
          <w:p w14:paraId="7168BC4F">
            <w:pPr>
              <w:widowControl/>
              <w:spacing w:line="240" w:lineRule="auto"/>
              <w:ind w:firstLine="0" w:firstLineChars="0"/>
              <w:jc w:val="center"/>
              <w:textAlignment w:val="center"/>
              <w:rPr>
                <w:rFonts w:hint="default" w:ascii="Times New Roman" w:hAnsi="Times New Roman"/>
                <w:sz w:val="22"/>
                <w:highlight w:val="none"/>
                <w:lang w:val="en-US"/>
              </w:rPr>
            </w:pPr>
            <w:r>
              <w:rPr>
                <w:rFonts w:hint="eastAsia" w:ascii="Times New Roman" w:hAnsi="Times New Roman"/>
                <w:kern w:val="0"/>
                <w:sz w:val="22"/>
                <w:highlight w:val="none"/>
                <w:lang w:val="en-US" w:eastAsia="zh-CN" w:bidi="ar"/>
              </w:rPr>
              <w:t>0.28</w:t>
            </w:r>
          </w:p>
        </w:tc>
        <w:tc>
          <w:tcPr>
            <w:tcW w:w="399" w:type="pct"/>
            <w:noWrap/>
            <w:vAlign w:val="center"/>
          </w:tcPr>
          <w:p w14:paraId="118438CC">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5.68E-04</w:t>
            </w:r>
          </w:p>
        </w:tc>
        <w:tc>
          <w:tcPr>
            <w:tcW w:w="351" w:type="pct"/>
            <w:noWrap/>
            <w:vAlign w:val="center"/>
          </w:tcPr>
          <w:p w14:paraId="1DC2AD38">
            <w:pPr>
              <w:widowControl/>
              <w:spacing w:line="240" w:lineRule="auto"/>
              <w:ind w:firstLine="0" w:firstLineChars="0"/>
              <w:jc w:val="center"/>
              <w:textAlignment w:val="center"/>
              <w:rPr>
                <w:rFonts w:hint="default" w:ascii="Times New Roman" w:hAnsi="Times New Roman"/>
                <w:sz w:val="22"/>
                <w:highlight w:val="none"/>
                <w:lang w:val="en-US"/>
              </w:rPr>
            </w:pPr>
            <w:r>
              <w:rPr>
                <w:rFonts w:hint="eastAsia" w:ascii="Times New Roman" w:hAnsi="Times New Roman"/>
                <w:kern w:val="0"/>
                <w:sz w:val="22"/>
                <w:highlight w:val="none"/>
                <w:lang w:val="en-US" w:eastAsia="zh-CN" w:bidi="ar"/>
              </w:rPr>
              <w:t>0.13</w:t>
            </w:r>
          </w:p>
        </w:tc>
        <w:tc>
          <w:tcPr>
            <w:tcW w:w="418" w:type="pct"/>
            <w:noWrap/>
            <w:vAlign w:val="center"/>
          </w:tcPr>
          <w:p w14:paraId="5F7B2503">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8.07E-03</w:t>
            </w:r>
          </w:p>
        </w:tc>
        <w:tc>
          <w:tcPr>
            <w:tcW w:w="317" w:type="pct"/>
            <w:noWrap/>
            <w:vAlign w:val="center"/>
          </w:tcPr>
          <w:p w14:paraId="5E434E06">
            <w:pPr>
              <w:widowControl/>
              <w:spacing w:line="240" w:lineRule="auto"/>
              <w:ind w:firstLine="0" w:firstLineChars="0"/>
              <w:jc w:val="center"/>
              <w:textAlignment w:val="center"/>
              <w:rPr>
                <w:rFonts w:hint="default" w:ascii="Times New Roman" w:hAnsi="Times New Roman"/>
                <w:sz w:val="22"/>
                <w:highlight w:val="none"/>
                <w:lang w:val="en-US"/>
              </w:rPr>
            </w:pPr>
            <w:r>
              <w:rPr>
                <w:rFonts w:hint="eastAsia" w:ascii="Times New Roman" w:hAnsi="Times New Roman"/>
                <w:kern w:val="0"/>
                <w:sz w:val="22"/>
                <w:highlight w:val="none"/>
                <w:lang w:val="en-US" w:eastAsia="zh-CN" w:bidi="ar"/>
              </w:rPr>
              <w:t>3.23</w:t>
            </w:r>
          </w:p>
        </w:tc>
        <w:tc>
          <w:tcPr>
            <w:tcW w:w="394" w:type="pct"/>
            <w:noWrap/>
            <w:vAlign w:val="center"/>
          </w:tcPr>
          <w:p w14:paraId="1F22FE4C">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1.31E-06</w:t>
            </w:r>
          </w:p>
        </w:tc>
        <w:tc>
          <w:tcPr>
            <w:tcW w:w="327" w:type="pct"/>
            <w:noWrap/>
            <w:vAlign w:val="center"/>
          </w:tcPr>
          <w:p w14:paraId="38903DC3">
            <w:pPr>
              <w:widowControl/>
              <w:spacing w:line="240" w:lineRule="auto"/>
              <w:ind w:firstLine="0" w:firstLineChars="0"/>
              <w:jc w:val="center"/>
              <w:textAlignment w:val="center"/>
              <w:rPr>
                <w:rFonts w:hint="default" w:ascii="Times New Roman" w:hAnsi="Times New Roman"/>
                <w:sz w:val="22"/>
                <w:highlight w:val="none"/>
                <w:lang w:val="en-US"/>
              </w:rPr>
            </w:pPr>
            <w:r>
              <w:rPr>
                <w:rFonts w:hint="eastAsia" w:ascii="Times New Roman" w:hAnsi="Times New Roman"/>
                <w:kern w:val="0"/>
                <w:sz w:val="22"/>
                <w:highlight w:val="none"/>
                <w:lang w:val="en-US" w:eastAsia="zh-CN" w:bidi="ar"/>
              </w:rPr>
              <w:t>0.44</w:t>
            </w:r>
          </w:p>
        </w:tc>
        <w:tc>
          <w:tcPr>
            <w:tcW w:w="380" w:type="pct"/>
            <w:noWrap/>
            <w:vAlign w:val="center"/>
          </w:tcPr>
          <w:p w14:paraId="10A748CD">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4.46E-04</w:t>
            </w:r>
          </w:p>
        </w:tc>
        <w:tc>
          <w:tcPr>
            <w:tcW w:w="312" w:type="pct"/>
            <w:noWrap/>
            <w:vAlign w:val="center"/>
          </w:tcPr>
          <w:p w14:paraId="780651F2">
            <w:pPr>
              <w:widowControl/>
              <w:spacing w:line="240" w:lineRule="auto"/>
              <w:ind w:firstLine="0" w:firstLineChars="0"/>
              <w:jc w:val="center"/>
              <w:textAlignment w:val="center"/>
              <w:rPr>
                <w:rFonts w:hint="default" w:ascii="Times New Roman" w:hAnsi="Times New Roman"/>
                <w:sz w:val="22"/>
                <w:highlight w:val="none"/>
                <w:lang w:val="en-US"/>
              </w:rPr>
            </w:pPr>
            <w:r>
              <w:rPr>
                <w:rFonts w:hint="eastAsia" w:ascii="Times New Roman" w:hAnsi="Times New Roman"/>
                <w:kern w:val="0"/>
                <w:sz w:val="22"/>
                <w:highlight w:val="none"/>
                <w:lang w:val="en-US" w:eastAsia="zh-CN" w:bidi="ar"/>
              </w:rPr>
              <w:t>0.22</w:t>
            </w:r>
          </w:p>
        </w:tc>
        <w:tc>
          <w:tcPr>
            <w:tcW w:w="313" w:type="pct"/>
            <w:noWrap/>
            <w:vAlign w:val="center"/>
          </w:tcPr>
          <w:p w14:paraId="33F603F4">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1600</w:t>
            </w:r>
          </w:p>
        </w:tc>
        <w:tc>
          <w:tcPr>
            <w:tcW w:w="389" w:type="pct"/>
            <w:noWrap/>
            <w:vAlign w:val="center"/>
          </w:tcPr>
          <w:p w14:paraId="616F1DB5">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2.16E-05</w:t>
            </w:r>
          </w:p>
        </w:tc>
        <w:tc>
          <w:tcPr>
            <w:tcW w:w="223" w:type="pct"/>
            <w:noWrap/>
            <w:vAlign w:val="center"/>
          </w:tcPr>
          <w:p w14:paraId="45A0D5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0.00</w:t>
            </w:r>
          </w:p>
        </w:tc>
      </w:tr>
      <w:tr w14:paraId="6044B8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16" w:type="pct"/>
            <w:noWrap/>
            <w:vAlign w:val="center"/>
          </w:tcPr>
          <w:p w14:paraId="25992700">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kern w:val="0"/>
                <w:sz w:val="22"/>
                <w:highlight w:val="none"/>
                <w:lang w:bidi="ar"/>
              </w:rPr>
              <w:t>1700</w:t>
            </w:r>
          </w:p>
        </w:tc>
        <w:tc>
          <w:tcPr>
            <w:tcW w:w="413" w:type="pct"/>
            <w:noWrap/>
            <w:vAlign w:val="center"/>
          </w:tcPr>
          <w:p w14:paraId="7CD6BFA3">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1.36E-03</w:t>
            </w:r>
          </w:p>
        </w:tc>
        <w:tc>
          <w:tcPr>
            <w:tcW w:w="342" w:type="pct"/>
            <w:noWrap/>
            <w:vAlign w:val="center"/>
          </w:tcPr>
          <w:p w14:paraId="6A937754">
            <w:pPr>
              <w:widowControl/>
              <w:spacing w:line="240" w:lineRule="auto"/>
              <w:ind w:firstLine="0" w:firstLineChars="0"/>
              <w:jc w:val="center"/>
              <w:textAlignment w:val="center"/>
              <w:rPr>
                <w:rFonts w:hint="default" w:ascii="Times New Roman" w:hAnsi="Times New Roman"/>
                <w:sz w:val="22"/>
                <w:highlight w:val="none"/>
                <w:lang w:val="en-US"/>
              </w:rPr>
            </w:pPr>
            <w:r>
              <w:rPr>
                <w:rFonts w:hint="eastAsia" w:ascii="Times New Roman" w:hAnsi="Times New Roman"/>
                <w:kern w:val="0"/>
                <w:sz w:val="22"/>
                <w:highlight w:val="none"/>
                <w:lang w:val="en-US" w:eastAsia="zh-CN" w:bidi="ar"/>
              </w:rPr>
              <w:t>0.27</w:t>
            </w:r>
          </w:p>
        </w:tc>
        <w:tc>
          <w:tcPr>
            <w:tcW w:w="399" w:type="pct"/>
            <w:noWrap/>
            <w:vAlign w:val="center"/>
          </w:tcPr>
          <w:p w14:paraId="5A10BFBD">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5.51E-04</w:t>
            </w:r>
          </w:p>
        </w:tc>
        <w:tc>
          <w:tcPr>
            <w:tcW w:w="351" w:type="pct"/>
            <w:noWrap/>
            <w:vAlign w:val="center"/>
          </w:tcPr>
          <w:p w14:paraId="45EEB7BC">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0.12</w:t>
            </w:r>
          </w:p>
        </w:tc>
        <w:tc>
          <w:tcPr>
            <w:tcW w:w="418" w:type="pct"/>
            <w:noWrap/>
            <w:vAlign w:val="center"/>
          </w:tcPr>
          <w:p w14:paraId="6D0A9E34">
            <w:pPr>
              <w:widowControl/>
              <w:spacing w:line="240" w:lineRule="auto"/>
              <w:ind w:firstLine="0" w:firstLineChars="0"/>
              <w:jc w:val="center"/>
              <w:textAlignment w:val="center"/>
              <w:rPr>
                <w:rFonts w:ascii="Times New Roman" w:hAnsi="Times New Roman"/>
                <w:sz w:val="22"/>
                <w:highlight w:val="none"/>
              </w:rPr>
            </w:pPr>
            <w:r>
              <w:rPr>
                <w:rFonts w:hint="eastAsia"/>
                <w:highlight w:val="none"/>
              </w:rPr>
              <w:t>7.96E-03</w:t>
            </w:r>
          </w:p>
        </w:tc>
        <w:tc>
          <w:tcPr>
            <w:tcW w:w="317" w:type="pct"/>
            <w:noWrap/>
            <w:vAlign w:val="center"/>
          </w:tcPr>
          <w:p w14:paraId="0609CFA3">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3.18</w:t>
            </w:r>
          </w:p>
        </w:tc>
        <w:tc>
          <w:tcPr>
            <w:tcW w:w="394" w:type="pct"/>
            <w:noWrap/>
            <w:vAlign w:val="center"/>
          </w:tcPr>
          <w:p w14:paraId="583B7FC6">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1.29E-06</w:t>
            </w:r>
          </w:p>
        </w:tc>
        <w:tc>
          <w:tcPr>
            <w:tcW w:w="327" w:type="pct"/>
            <w:noWrap/>
            <w:vAlign w:val="center"/>
          </w:tcPr>
          <w:p w14:paraId="17B1BA75">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0.43</w:t>
            </w:r>
          </w:p>
        </w:tc>
        <w:tc>
          <w:tcPr>
            <w:tcW w:w="380" w:type="pct"/>
            <w:noWrap/>
            <w:vAlign w:val="center"/>
          </w:tcPr>
          <w:p w14:paraId="6073C6C5">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4.46E-04</w:t>
            </w:r>
          </w:p>
        </w:tc>
        <w:tc>
          <w:tcPr>
            <w:tcW w:w="312" w:type="pct"/>
            <w:noWrap/>
            <w:vAlign w:val="center"/>
          </w:tcPr>
          <w:p w14:paraId="28D5542A">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0.22</w:t>
            </w:r>
          </w:p>
        </w:tc>
        <w:tc>
          <w:tcPr>
            <w:tcW w:w="313" w:type="pct"/>
            <w:noWrap/>
            <w:vAlign w:val="center"/>
          </w:tcPr>
          <w:p w14:paraId="35FDDBB3">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1700</w:t>
            </w:r>
          </w:p>
        </w:tc>
        <w:tc>
          <w:tcPr>
            <w:tcW w:w="389" w:type="pct"/>
            <w:noWrap/>
            <w:vAlign w:val="center"/>
          </w:tcPr>
          <w:p w14:paraId="19043139">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3.05E-05</w:t>
            </w:r>
          </w:p>
        </w:tc>
        <w:tc>
          <w:tcPr>
            <w:tcW w:w="223" w:type="pct"/>
            <w:noWrap/>
            <w:vAlign w:val="center"/>
          </w:tcPr>
          <w:p w14:paraId="7AE354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0.00</w:t>
            </w:r>
          </w:p>
        </w:tc>
      </w:tr>
      <w:tr w14:paraId="4B3111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16" w:type="pct"/>
            <w:noWrap/>
            <w:vAlign w:val="center"/>
          </w:tcPr>
          <w:p w14:paraId="34988029">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kern w:val="0"/>
                <w:sz w:val="22"/>
                <w:highlight w:val="none"/>
                <w:lang w:bidi="ar"/>
              </w:rPr>
              <w:t>1800</w:t>
            </w:r>
          </w:p>
        </w:tc>
        <w:tc>
          <w:tcPr>
            <w:tcW w:w="413" w:type="pct"/>
            <w:noWrap/>
            <w:vAlign w:val="center"/>
          </w:tcPr>
          <w:p w14:paraId="35B8ADB1">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1.34E-03</w:t>
            </w:r>
          </w:p>
        </w:tc>
        <w:tc>
          <w:tcPr>
            <w:tcW w:w="342" w:type="pct"/>
            <w:noWrap/>
            <w:vAlign w:val="center"/>
          </w:tcPr>
          <w:p w14:paraId="2753770A">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0.27</w:t>
            </w:r>
          </w:p>
        </w:tc>
        <w:tc>
          <w:tcPr>
            <w:tcW w:w="399" w:type="pct"/>
            <w:noWrap/>
            <w:vAlign w:val="center"/>
          </w:tcPr>
          <w:p w14:paraId="04721093">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5.51E-04</w:t>
            </w:r>
          </w:p>
        </w:tc>
        <w:tc>
          <w:tcPr>
            <w:tcW w:w="351" w:type="pct"/>
            <w:noWrap/>
            <w:vAlign w:val="center"/>
          </w:tcPr>
          <w:p w14:paraId="01DF659B">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0.12</w:t>
            </w:r>
          </w:p>
        </w:tc>
        <w:tc>
          <w:tcPr>
            <w:tcW w:w="418" w:type="pct"/>
            <w:noWrap/>
            <w:vAlign w:val="center"/>
          </w:tcPr>
          <w:p w14:paraId="41310557">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7.83E-03</w:t>
            </w:r>
          </w:p>
        </w:tc>
        <w:tc>
          <w:tcPr>
            <w:tcW w:w="317" w:type="pct"/>
            <w:noWrap/>
            <w:vAlign w:val="center"/>
          </w:tcPr>
          <w:p w14:paraId="02E81A63">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3.13</w:t>
            </w:r>
          </w:p>
        </w:tc>
        <w:tc>
          <w:tcPr>
            <w:tcW w:w="394" w:type="pct"/>
            <w:noWrap/>
            <w:vAlign w:val="center"/>
          </w:tcPr>
          <w:p w14:paraId="60900486">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1.27E-06</w:t>
            </w:r>
          </w:p>
        </w:tc>
        <w:tc>
          <w:tcPr>
            <w:tcW w:w="327" w:type="pct"/>
            <w:noWrap/>
            <w:vAlign w:val="center"/>
          </w:tcPr>
          <w:p w14:paraId="4F40793A">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0.42</w:t>
            </w:r>
          </w:p>
        </w:tc>
        <w:tc>
          <w:tcPr>
            <w:tcW w:w="380" w:type="pct"/>
            <w:noWrap/>
            <w:vAlign w:val="center"/>
          </w:tcPr>
          <w:p w14:paraId="45CA9834">
            <w:pPr>
              <w:widowControl/>
              <w:spacing w:line="240" w:lineRule="auto"/>
              <w:ind w:firstLine="0" w:firstLineChars="0"/>
              <w:jc w:val="center"/>
              <w:textAlignment w:val="center"/>
              <w:rPr>
                <w:rFonts w:ascii="Times New Roman" w:hAnsi="Times New Roman"/>
                <w:sz w:val="22"/>
                <w:highlight w:val="none"/>
              </w:rPr>
            </w:pPr>
            <w:r>
              <w:rPr>
                <w:rFonts w:hint="eastAsia"/>
                <w:highlight w:val="none"/>
              </w:rPr>
              <w:t>4.32E-04</w:t>
            </w:r>
          </w:p>
        </w:tc>
        <w:tc>
          <w:tcPr>
            <w:tcW w:w="312" w:type="pct"/>
            <w:noWrap/>
            <w:vAlign w:val="center"/>
          </w:tcPr>
          <w:p w14:paraId="5C48B63A">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0.22</w:t>
            </w:r>
          </w:p>
        </w:tc>
        <w:tc>
          <w:tcPr>
            <w:tcW w:w="313" w:type="pct"/>
            <w:noWrap/>
            <w:vAlign w:val="center"/>
          </w:tcPr>
          <w:p w14:paraId="014D34DD">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1800</w:t>
            </w:r>
          </w:p>
        </w:tc>
        <w:tc>
          <w:tcPr>
            <w:tcW w:w="389" w:type="pct"/>
            <w:noWrap/>
            <w:vAlign w:val="center"/>
          </w:tcPr>
          <w:p w14:paraId="6A0D1EA6">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3.22E-05</w:t>
            </w:r>
          </w:p>
        </w:tc>
        <w:tc>
          <w:tcPr>
            <w:tcW w:w="223" w:type="pct"/>
            <w:noWrap/>
            <w:vAlign w:val="center"/>
          </w:tcPr>
          <w:p w14:paraId="6E6A01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0.00</w:t>
            </w:r>
          </w:p>
        </w:tc>
      </w:tr>
      <w:tr w14:paraId="15FB5A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6" w:type="pct"/>
            <w:noWrap/>
            <w:vAlign w:val="center"/>
          </w:tcPr>
          <w:p w14:paraId="6BFBF9FA">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kern w:val="0"/>
                <w:sz w:val="22"/>
                <w:highlight w:val="none"/>
                <w:lang w:bidi="ar"/>
              </w:rPr>
              <w:t>1900</w:t>
            </w:r>
          </w:p>
        </w:tc>
        <w:tc>
          <w:tcPr>
            <w:tcW w:w="413" w:type="pct"/>
            <w:noWrap/>
            <w:vAlign w:val="center"/>
          </w:tcPr>
          <w:p w14:paraId="4BDDE83B">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1.31E-03</w:t>
            </w:r>
          </w:p>
        </w:tc>
        <w:tc>
          <w:tcPr>
            <w:tcW w:w="342" w:type="pct"/>
            <w:noWrap/>
            <w:vAlign w:val="center"/>
          </w:tcPr>
          <w:p w14:paraId="4111113A">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0.26</w:t>
            </w:r>
          </w:p>
        </w:tc>
        <w:tc>
          <w:tcPr>
            <w:tcW w:w="399" w:type="pct"/>
            <w:noWrap/>
            <w:vAlign w:val="center"/>
          </w:tcPr>
          <w:p w14:paraId="767B36DB">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5.41E-04</w:t>
            </w:r>
          </w:p>
        </w:tc>
        <w:tc>
          <w:tcPr>
            <w:tcW w:w="351" w:type="pct"/>
            <w:noWrap/>
            <w:vAlign w:val="center"/>
          </w:tcPr>
          <w:p w14:paraId="07FE7EA4">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0.12</w:t>
            </w:r>
          </w:p>
        </w:tc>
        <w:tc>
          <w:tcPr>
            <w:tcW w:w="418" w:type="pct"/>
            <w:noWrap/>
            <w:vAlign w:val="center"/>
          </w:tcPr>
          <w:p w14:paraId="517DBC25">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7.68E-03</w:t>
            </w:r>
          </w:p>
        </w:tc>
        <w:tc>
          <w:tcPr>
            <w:tcW w:w="317" w:type="pct"/>
            <w:noWrap/>
            <w:vAlign w:val="center"/>
          </w:tcPr>
          <w:p w14:paraId="4EDF118F">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3.07</w:t>
            </w:r>
          </w:p>
        </w:tc>
        <w:tc>
          <w:tcPr>
            <w:tcW w:w="394" w:type="pct"/>
            <w:noWrap/>
            <w:vAlign w:val="center"/>
          </w:tcPr>
          <w:p w14:paraId="11522280">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1.24E-06</w:t>
            </w:r>
          </w:p>
        </w:tc>
        <w:tc>
          <w:tcPr>
            <w:tcW w:w="327" w:type="pct"/>
            <w:noWrap/>
            <w:vAlign w:val="center"/>
          </w:tcPr>
          <w:p w14:paraId="04620A69">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0.41</w:t>
            </w:r>
          </w:p>
        </w:tc>
        <w:tc>
          <w:tcPr>
            <w:tcW w:w="380" w:type="pct"/>
            <w:noWrap/>
            <w:vAlign w:val="center"/>
          </w:tcPr>
          <w:p w14:paraId="02C6F4C7">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4.24E-04</w:t>
            </w:r>
          </w:p>
        </w:tc>
        <w:tc>
          <w:tcPr>
            <w:tcW w:w="312" w:type="pct"/>
            <w:noWrap/>
            <w:vAlign w:val="center"/>
          </w:tcPr>
          <w:p w14:paraId="75202906">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0.21</w:t>
            </w:r>
          </w:p>
        </w:tc>
        <w:tc>
          <w:tcPr>
            <w:tcW w:w="313" w:type="pct"/>
            <w:noWrap/>
            <w:vAlign w:val="center"/>
          </w:tcPr>
          <w:p w14:paraId="6BAB4AC8">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1900</w:t>
            </w:r>
          </w:p>
        </w:tc>
        <w:tc>
          <w:tcPr>
            <w:tcW w:w="389" w:type="pct"/>
            <w:noWrap/>
            <w:vAlign w:val="center"/>
          </w:tcPr>
          <w:p w14:paraId="2556DA09">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3.67E-05</w:t>
            </w:r>
          </w:p>
        </w:tc>
        <w:tc>
          <w:tcPr>
            <w:tcW w:w="223" w:type="pct"/>
            <w:noWrap/>
            <w:vAlign w:val="center"/>
          </w:tcPr>
          <w:p w14:paraId="040E93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0.00</w:t>
            </w:r>
          </w:p>
        </w:tc>
      </w:tr>
      <w:tr w14:paraId="07B384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16" w:type="pct"/>
            <w:noWrap/>
            <w:vAlign w:val="center"/>
          </w:tcPr>
          <w:p w14:paraId="65142A85">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kern w:val="0"/>
                <w:sz w:val="22"/>
                <w:highlight w:val="none"/>
                <w:lang w:bidi="ar"/>
              </w:rPr>
              <w:t>2000</w:t>
            </w:r>
          </w:p>
        </w:tc>
        <w:tc>
          <w:tcPr>
            <w:tcW w:w="413" w:type="pct"/>
            <w:noWrap/>
            <w:vAlign w:val="center"/>
          </w:tcPr>
          <w:p w14:paraId="0923E551">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1.28E-03</w:t>
            </w:r>
          </w:p>
        </w:tc>
        <w:tc>
          <w:tcPr>
            <w:tcW w:w="342" w:type="pct"/>
            <w:noWrap/>
            <w:vAlign w:val="center"/>
          </w:tcPr>
          <w:p w14:paraId="20FDA08C">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0.26</w:t>
            </w:r>
          </w:p>
        </w:tc>
        <w:tc>
          <w:tcPr>
            <w:tcW w:w="399" w:type="pct"/>
            <w:noWrap/>
            <w:vAlign w:val="center"/>
          </w:tcPr>
          <w:p w14:paraId="487DAA30">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5.29E-04</w:t>
            </w:r>
          </w:p>
        </w:tc>
        <w:tc>
          <w:tcPr>
            <w:tcW w:w="351" w:type="pct"/>
            <w:noWrap/>
            <w:vAlign w:val="center"/>
          </w:tcPr>
          <w:p w14:paraId="146DC11F">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0.12</w:t>
            </w:r>
          </w:p>
        </w:tc>
        <w:tc>
          <w:tcPr>
            <w:tcW w:w="418" w:type="pct"/>
            <w:noWrap/>
            <w:vAlign w:val="center"/>
          </w:tcPr>
          <w:p w14:paraId="761D7B11">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7.51E-03</w:t>
            </w:r>
          </w:p>
        </w:tc>
        <w:tc>
          <w:tcPr>
            <w:tcW w:w="317" w:type="pct"/>
            <w:noWrap/>
            <w:vAlign w:val="center"/>
          </w:tcPr>
          <w:p w14:paraId="70AC53B3">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3.00</w:t>
            </w:r>
          </w:p>
        </w:tc>
        <w:tc>
          <w:tcPr>
            <w:tcW w:w="394" w:type="pct"/>
            <w:noWrap/>
            <w:vAlign w:val="center"/>
          </w:tcPr>
          <w:p w14:paraId="69054E06">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1.22E-06</w:t>
            </w:r>
          </w:p>
        </w:tc>
        <w:tc>
          <w:tcPr>
            <w:tcW w:w="327" w:type="pct"/>
            <w:noWrap/>
            <w:vAlign w:val="center"/>
          </w:tcPr>
          <w:p w14:paraId="389449E7">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0.41</w:t>
            </w:r>
          </w:p>
        </w:tc>
        <w:tc>
          <w:tcPr>
            <w:tcW w:w="380" w:type="pct"/>
            <w:noWrap/>
            <w:vAlign w:val="center"/>
          </w:tcPr>
          <w:p w14:paraId="7A9880D1">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4.15E-04</w:t>
            </w:r>
          </w:p>
        </w:tc>
        <w:tc>
          <w:tcPr>
            <w:tcW w:w="312" w:type="pct"/>
            <w:noWrap/>
            <w:vAlign w:val="center"/>
          </w:tcPr>
          <w:p w14:paraId="54AA8147">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0.21</w:t>
            </w:r>
          </w:p>
        </w:tc>
        <w:tc>
          <w:tcPr>
            <w:tcW w:w="313" w:type="pct"/>
            <w:noWrap/>
            <w:vAlign w:val="center"/>
          </w:tcPr>
          <w:p w14:paraId="231C0F65">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2000</w:t>
            </w:r>
          </w:p>
        </w:tc>
        <w:tc>
          <w:tcPr>
            <w:tcW w:w="389" w:type="pct"/>
            <w:noWrap/>
            <w:vAlign w:val="center"/>
          </w:tcPr>
          <w:p w14:paraId="135A1AB2">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3.86E-05</w:t>
            </w:r>
          </w:p>
        </w:tc>
        <w:tc>
          <w:tcPr>
            <w:tcW w:w="223" w:type="pct"/>
            <w:noWrap/>
            <w:vAlign w:val="center"/>
          </w:tcPr>
          <w:p w14:paraId="60F540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0.00</w:t>
            </w:r>
          </w:p>
        </w:tc>
      </w:tr>
      <w:tr w14:paraId="7AC482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16" w:type="pct"/>
            <w:noWrap/>
            <w:vAlign w:val="center"/>
          </w:tcPr>
          <w:p w14:paraId="0F508394">
            <w:pPr>
              <w:widowControl/>
              <w:spacing w:line="240" w:lineRule="auto"/>
              <w:ind w:firstLine="0" w:firstLineChars="0"/>
              <w:jc w:val="center"/>
              <w:textAlignment w:val="center"/>
              <w:rPr>
                <w:rFonts w:ascii="Times New Roman" w:hAnsi="Times New Roman"/>
                <w:sz w:val="22"/>
                <w:highlight w:val="none"/>
              </w:rPr>
            </w:pPr>
            <w:r>
              <w:rPr>
                <w:rFonts w:ascii="Times New Roman" w:hAnsi="Times New Roman"/>
                <w:kern w:val="0"/>
                <w:sz w:val="22"/>
                <w:highlight w:val="none"/>
                <w:lang w:bidi="ar"/>
              </w:rPr>
              <w:t>2500</w:t>
            </w:r>
          </w:p>
        </w:tc>
        <w:tc>
          <w:tcPr>
            <w:tcW w:w="413" w:type="pct"/>
            <w:noWrap/>
            <w:vAlign w:val="center"/>
          </w:tcPr>
          <w:p w14:paraId="5AC4E434">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1.14E-03</w:t>
            </w:r>
          </w:p>
        </w:tc>
        <w:tc>
          <w:tcPr>
            <w:tcW w:w="342" w:type="pct"/>
            <w:noWrap/>
            <w:vAlign w:val="center"/>
          </w:tcPr>
          <w:p w14:paraId="6CF4879D">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0.23</w:t>
            </w:r>
          </w:p>
        </w:tc>
        <w:tc>
          <w:tcPr>
            <w:tcW w:w="399" w:type="pct"/>
            <w:noWrap/>
            <w:vAlign w:val="center"/>
          </w:tcPr>
          <w:p w14:paraId="63A28916">
            <w:pPr>
              <w:widowControl/>
              <w:spacing w:line="240" w:lineRule="auto"/>
              <w:ind w:firstLine="0" w:firstLineChars="0"/>
              <w:jc w:val="center"/>
              <w:textAlignment w:val="center"/>
              <w:rPr>
                <w:rFonts w:ascii="Times New Roman" w:hAnsi="Times New Roman"/>
                <w:sz w:val="22"/>
                <w:highlight w:val="none"/>
              </w:rPr>
            </w:pPr>
            <w:r>
              <w:rPr>
                <w:rFonts w:hint="eastAsia"/>
                <w:highlight w:val="none"/>
              </w:rPr>
              <w:t>4.71E-04</w:t>
            </w:r>
          </w:p>
        </w:tc>
        <w:tc>
          <w:tcPr>
            <w:tcW w:w="351" w:type="pct"/>
            <w:noWrap/>
            <w:vAlign w:val="center"/>
          </w:tcPr>
          <w:p w14:paraId="1305D1EE">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0.10</w:t>
            </w:r>
          </w:p>
        </w:tc>
        <w:tc>
          <w:tcPr>
            <w:tcW w:w="418" w:type="pct"/>
            <w:noWrap/>
            <w:vAlign w:val="center"/>
          </w:tcPr>
          <w:p w14:paraId="37F7F1D3">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6.70E-03</w:t>
            </w:r>
          </w:p>
        </w:tc>
        <w:tc>
          <w:tcPr>
            <w:tcW w:w="317" w:type="pct"/>
            <w:noWrap/>
            <w:vAlign w:val="center"/>
          </w:tcPr>
          <w:p w14:paraId="780C97DF">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2.68</w:t>
            </w:r>
          </w:p>
        </w:tc>
        <w:tc>
          <w:tcPr>
            <w:tcW w:w="394" w:type="pct"/>
            <w:noWrap/>
            <w:vAlign w:val="center"/>
          </w:tcPr>
          <w:p w14:paraId="30D0D577">
            <w:pPr>
              <w:widowControl/>
              <w:spacing w:line="240" w:lineRule="auto"/>
              <w:ind w:firstLine="0" w:firstLineChars="0"/>
              <w:jc w:val="center"/>
              <w:textAlignment w:val="center"/>
              <w:rPr>
                <w:rFonts w:ascii="Times New Roman" w:hAnsi="Times New Roman"/>
                <w:sz w:val="22"/>
                <w:highlight w:val="none"/>
              </w:rPr>
            </w:pPr>
            <w:r>
              <w:rPr>
                <w:rFonts w:hint="eastAsia" w:ascii="Times New Roman" w:hAnsi="Times New Roman"/>
                <w:kern w:val="0"/>
                <w:sz w:val="22"/>
                <w:highlight w:val="none"/>
                <w:lang w:bidi="ar"/>
              </w:rPr>
              <w:t>1.09E-06</w:t>
            </w:r>
          </w:p>
        </w:tc>
        <w:tc>
          <w:tcPr>
            <w:tcW w:w="327" w:type="pct"/>
            <w:noWrap/>
            <w:vAlign w:val="center"/>
          </w:tcPr>
          <w:p w14:paraId="13179EB6">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0.36</w:t>
            </w:r>
          </w:p>
        </w:tc>
        <w:tc>
          <w:tcPr>
            <w:tcW w:w="380" w:type="pct"/>
            <w:noWrap/>
            <w:vAlign w:val="center"/>
          </w:tcPr>
          <w:p w14:paraId="3F85F047">
            <w:pPr>
              <w:widowControl/>
              <w:spacing w:line="240" w:lineRule="auto"/>
              <w:ind w:firstLine="0" w:firstLineChars="0"/>
              <w:jc w:val="center"/>
              <w:textAlignment w:val="center"/>
              <w:rPr>
                <w:rFonts w:ascii="Times New Roman" w:hAnsi="Times New Roman"/>
                <w:sz w:val="22"/>
                <w:highlight w:val="none"/>
              </w:rPr>
            </w:pPr>
            <w:r>
              <w:rPr>
                <w:rFonts w:hint="eastAsia"/>
                <w:highlight w:val="none"/>
              </w:rPr>
              <w:t>3.70E-04</w:t>
            </w:r>
          </w:p>
        </w:tc>
        <w:tc>
          <w:tcPr>
            <w:tcW w:w="312" w:type="pct"/>
            <w:noWrap/>
            <w:vAlign w:val="center"/>
          </w:tcPr>
          <w:p w14:paraId="32911DCE">
            <w:pPr>
              <w:widowControl/>
              <w:spacing w:line="240" w:lineRule="auto"/>
              <w:ind w:firstLine="0" w:firstLineChars="0"/>
              <w:jc w:val="center"/>
              <w:textAlignment w:val="center"/>
              <w:rPr>
                <w:rFonts w:hint="default" w:ascii="Times New Roman" w:hAnsi="Times New Roman" w:eastAsia="宋体"/>
                <w:sz w:val="22"/>
                <w:highlight w:val="none"/>
                <w:lang w:val="en-US" w:eastAsia="zh-CN"/>
              </w:rPr>
            </w:pPr>
            <w:r>
              <w:rPr>
                <w:rFonts w:hint="eastAsia" w:ascii="Times New Roman" w:hAnsi="Times New Roman"/>
                <w:kern w:val="0"/>
                <w:sz w:val="22"/>
                <w:highlight w:val="none"/>
                <w:lang w:val="en-US" w:eastAsia="zh-CN" w:bidi="ar"/>
              </w:rPr>
              <w:t>0.18</w:t>
            </w:r>
          </w:p>
        </w:tc>
        <w:tc>
          <w:tcPr>
            <w:tcW w:w="313" w:type="pct"/>
            <w:noWrap/>
            <w:vAlign w:val="center"/>
          </w:tcPr>
          <w:p w14:paraId="196002E7">
            <w:pPr>
              <w:widowControl/>
              <w:spacing w:line="240" w:lineRule="auto"/>
              <w:ind w:firstLine="0" w:firstLineChars="0"/>
              <w:jc w:val="center"/>
              <w:textAlignment w:val="center"/>
              <w:rPr>
                <w:rFonts w:hint="default"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2500</w:t>
            </w:r>
          </w:p>
        </w:tc>
        <w:tc>
          <w:tcPr>
            <w:tcW w:w="389" w:type="pct"/>
            <w:noWrap/>
            <w:vAlign w:val="center"/>
          </w:tcPr>
          <w:p w14:paraId="2E7B9685">
            <w:pPr>
              <w:widowControl/>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3.12E-05</w:t>
            </w:r>
          </w:p>
        </w:tc>
        <w:tc>
          <w:tcPr>
            <w:tcW w:w="223" w:type="pct"/>
            <w:noWrap/>
            <w:vAlign w:val="center"/>
          </w:tcPr>
          <w:p w14:paraId="0F61C2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kern w:val="0"/>
                <w:sz w:val="22"/>
                <w:highlight w:val="none"/>
                <w:lang w:val="en-US" w:eastAsia="zh-CN" w:bidi="ar"/>
              </w:rPr>
            </w:pPr>
            <w:r>
              <w:rPr>
                <w:rFonts w:hint="eastAsia" w:ascii="Times New Roman" w:hAnsi="Times New Roman"/>
                <w:kern w:val="0"/>
                <w:sz w:val="22"/>
                <w:highlight w:val="none"/>
                <w:lang w:val="en-US" w:eastAsia="zh-CN" w:bidi="ar"/>
              </w:rPr>
              <w:t>0.00</w:t>
            </w:r>
          </w:p>
        </w:tc>
      </w:tr>
      <w:tr w14:paraId="392B20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416" w:type="pct"/>
            <w:noWrap/>
            <w:vAlign w:val="center"/>
          </w:tcPr>
          <w:p w14:paraId="4F3B22BB">
            <w:pPr>
              <w:widowControl/>
              <w:spacing w:line="240" w:lineRule="auto"/>
              <w:ind w:firstLine="0" w:firstLineChars="0"/>
              <w:jc w:val="center"/>
              <w:textAlignment w:val="center"/>
              <w:rPr>
                <w:rFonts w:ascii="Times New Roman" w:hAnsi="Times New Roman"/>
                <w:kern w:val="0"/>
                <w:sz w:val="22"/>
                <w:highlight w:val="none"/>
                <w:lang w:bidi="ar"/>
              </w:rPr>
            </w:pPr>
            <w:r>
              <w:rPr>
                <w:rFonts w:hint="eastAsia" w:ascii="Times New Roman" w:hAnsi="Times New Roman"/>
                <w:kern w:val="0"/>
                <w:sz w:val="22"/>
                <w:highlight w:val="none"/>
                <w:lang w:bidi="ar"/>
              </w:rPr>
              <w:t>D</w:t>
            </w:r>
            <w:r>
              <w:rPr>
                <w:rFonts w:hint="eastAsia" w:ascii="Times New Roman" w:hAnsi="Times New Roman"/>
                <w:kern w:val="0"/>
                <w:sz w:val="22"/>
                <w:highlight w:val="none"/>
                <w:vertAlign w:val="subscript"/>
                <w:lang w:bidi="ar"/>
              </w:rPr>
              <w:t>10%</w:t>
            </w:r>
            <w:r>
              <w:rPr>
                <w:rFonts w:ascii="Times New Roman" w:hAnsi="Times New Roman"/>
                <w:kern w:val="0"/>
                <w:sz w:val="22"/>
                <w:highlight w:val="none"/>
                <w:lang w:bidi="ar"/>
              </w:rPr>
              <w:t>(m)</w:t>
            </w:r>
          </w:p>
        </w:tc>
        <w:tc>
          <w:tcPr>
            <w:tcW w:w="413" w:type="pct"/>
            <w:noWrap/>
            <w:vAlign w:val="center"/>
          </w:tcPr>
          <w:p w14:paraId="4AB7D115">
            <w:pPr>
              <w:widowControl/>
              <w:spacing w:line="240" w:lineRule="auto"/>
              <w:ind w:firstLine="0" w:firstLineChars="0"/>
              <w:jc w:val="center"/>
              <w:textAlignment w:val="center"/>
              <w:rPr>
                <w:rFonts w:ascii="Times New Roman" w:hAnsi="Times New Roman"/>
                <w:kern w:val="0"/>
                <w:sz w:val="22"/>
                <w:highlight w:val="none"/>
                <w:lang w:bidi="ar"/>
              </w:rPr>
            </w:pPr>
            <w:r>
              <w:rPr>
                <w:rFonts w:hint="eastAsia" w:ascii="Times New Roman" w:hAnsi="Times New Roman"/>
                <w:kern w:val="0"/>
                <w:sz w:val="22"/>
                <w:highlight w:val="none"/>
                <w:lang w:bidi="ar"/>
              </w:rPr>
              <w:t>/</w:t>
            </w:r>
          </w:p>
        </w:tc>
        <w:tc>
          <w:tcPr>
            <w:tcW w:w="342" w:type="pct"/>
            <w:noWrap/>
            <w:vAlign w:val="center"/>
          </w:tcPr>
          <w:p w14:paraId="08A89AC2">
            <w:pPr>
              <w:widowControl/>
              <w:spacing w:line="240" w:lineRule="auto"/>
              <w:ind w:firstLine="0" w:firstLineChars="0"/>
              <w:jc w:val="center"/>
              <w:textAlignment w:val="center"/>
              <w:rPr>
                <w:rFonts w:ascii="Times New Roman" w:hAnsi="Times New Roman"/>
                <w:kern w:val="0"/>
                <w:sz w:val="22"/>
                <w:highlight w:val="none"/>
                <w:lang w:bidi="ar"/>
              </w:rPr>
            </w:pPr>
            <w:r>
              <w:rPr>
                <w:rFonts w:hint="eastAsia" w:ascii="Times New Roman" w:hAnsi="Times New Roman"/>
                <w:kern w:val="0"/>
                <w:sz w:val="22"/>
                <w:highlight w:val="none"/>
                <w:lang w:bidi="ar"/>
              </w:rPr>
              <w:t>/</w:t>
            </w:r>
          </w:p>
        </w:tc>
        <w:tc>
          <w:tcPr>
            <w:tcW w:w="399" w:type="pct"/>
            <w:noWrap/>
            <w:vAlign w:val="center"/>
          </w:tcPr>
          <w:p w14:paraId="2EAB3AE3">
            <w:pPr>
              <w:widowControl/>
              <w:spacing w:line="240" w:lineRule="auto"/>
              <w:ind w:firstLine="0" w:firstLineChars="0"/>
              <w:jc w:val="center"/>
              <w:textAlignment w:val="center"/>
              <w:rPr>
                <w:rFonts w:ascii="Times New Roman" w:hAnsi="Times New Roman"/>
                <w:kern w:val="0"/>
                <w:sz w:val="22"/>
                <w:highlight w:val="none"/>
                <w:lang w:bidi="ar"/>
              </w:rPr>
            </w:pPr>
            <w:r>
              <w:rPr>
                <w:rFonts w:hint="eastAsia" w:ascii="Times New Roman" w:hAnsi="Times New Roman"/>
                <w:kern w:val="0"/>
                <w:sz w:val="22"/>
                <w:highlight w:val="none"/>
                <w:lang w:bidi="ar"/>
              </w:rPr>
              <w:t>/</w:t>
            </w:r>
          </w:p>
        </w:tc>
        <w:tc>
          <w:tcPr>
            <w:tcW w:w="351" w:type="pct"/>
            <w:noWrap/>
            <w:vAlign w:val="center"/>
          </w:tcPr>
          <w:p w14:paraId="4655B356">
            <w:pPr>
              <w:widowControl/>
              <w:spacing w:line="240" w:lineRule="auto"/>
              <w:ind w:firstLine="0" w:firstLineChars="0"/>
              <w:jc w:val="center"/>
              <w:textAlignment w:val="center"/>
              <w:rPr>
                <w:rFonts w:ascii="Times New Roman" w:hAnsi="Times New Roman"/>
                <w:kern w:val="0"/>
                <w:sz w:val="22"/>
                <w:highlight w:val="none"/>
                <w:lang w:bidi="ar"/>
              </w:rPr>
            </w:pPr>
            <w:r>
              <w:rPr>
                <w:rFonts w:hint="eastAsia" w:ascii="Times New Roman" w:hAnsi="Times New Roman"/>
                <w:kern w:val="0"/>
                <w:sz w:val="22"/>
                <w:highlight w:val="none"/>
                <w:lang w:bidi="ar"/>
              </w:rPr>
              <w:t>/</w:t>
            </w:r>
          </w:p>
        </w:tc>
        <w:tc>
          <w:tcPr>
            <w:tcW w:w="418" w:type="pct"/>
            <w:noWrap/>
            <w:vAlign w:val="center"/>
          </w:tcPr>
          <w:p w14:paraId="21126EDD">
            <w:pPr>
              <w:widowControl/>
              <w:spacing w:line="240" w:lineRule="auto"/>
              <w:ind w:firstLine="0" w:firstLineChars="0"/>
              <w:jc w:val="center"/>
              <w:textAlignment w:val="center"/>
              <w:rPr>
                <w:rFonts w:ascii="Times New Roman" w:hAnsi="Times New Roman"/>
                <w:kern w:val="0"/>
                <w:sz w:val="22"/>
                <w:highlight w:val="none"/>
                <w:lang w:bidi="ar"/>
              </w:rPr>
            </w:pPr>
            <w:r>
              <w:rPr>
                <w:rFonts w:hint="eastAsia" w:ascii="Times New Roman" w:hAnsi="Times New Roman"/>
                <w:kern w:val="0"/>
                <w:sz w:val="22"/>
                <w:highlight w:val="none"/>
                <w:lang w:bidi="ar"/>
              </w:rPr>
              <w:t>/</w:t>
            </w:r>
          </w:p>
        </w:tc>
        <w:tc>
          <w:tcPr>
            <w:tcW w:w="317" w:type="pct"/>
            <w:noWrap/>
            <w:vAlign w:val="center"/>
          </w:tcPr>
          <w:p w14:paraId="6CDBB235">
            <w:pPr>
              <w:widowControl/>
              <w:spacing w:line="240" w:lineRule="auto"/>
              <w:ind w:firstLine="0" w:firstLineChars="0"/>
              <w:jc w:val="center"/>
              <w:textAlignment w:val="center"/>
              <w:rPr>
                <w:rFonts w:ascii="Times New Roman" w:hAnsi="Times New Roman"/>
                <w:kern w:val="0"/>
                <w:sz w:val="22"/>
                <w:highlight w:val="none"/>
                <w:lang w:bidi="ar"/>
              </w:rPr>
            </w:pPr>
            <w:r>
              <w:rPr>
                <w:rFonts w:hint="eastAsia" w:ascii="Times New Roman" w:hAnsi="Times New Roman"/>
                <w:kern w:val="0"/>
                <w:sz w:val="22"/>
                <w:highlight w:val="none"/>
                <w:lang w:bidi="ar"/>
              </w:rPr>
              <w:t>/</w:t>
            </w:r>
          </w:p>
        </w:tc>
        <w:tc>
          <w:tcPr>
            <w:tcW w:w="394" w:type="pct"/>
            <w:noWrap/>
            <w:vAlign w:val="center"/>
          </w:tcPr>
          <w:p w14:paraId="5F64D87D">
            <w:pPr>
              <w:widowControl/>
              <w:spacing w:line="240" w:lineRule="auto"/>
              <w:ind w:firstLine="0" w:firstLineChars="0"/>
              <w:jc w:val="center"/>
              <w:textAlignment w:val="center"/>
              <w:rPr>
                <w:rFonts w:ascii="Times New Roman" w:hAnsi="Times New Roman"/>
                <w:kern w:val="0"/>
                <w:sz w:val="22"/>
                <w:highlight w:val="none"/>
                <w:lang w:bidi="ar"/>
              </w:rPr>
            </w:pPr>
            <w:r>
              <w:rPr>
                <w:rFonts w:hint="eastAsia" w:ascii="Times New Roman" w:hAnsi="Times New Roman"/>
                <w:kern w:val="0"/>
                <w:sz w:val="22"/>
                <w:highlight w:val="none"/>
                <w:lang w:bidi="ar"/>
              </w:rPr>
              <w:t>/</w:t>
            </w:r>
          </w:p>
        </w:tc>
        <w:tc>
          <w:tcPr>
            <w:tcW w:w="327" w:type="pct"/>
            <w:noWrap/>
            <w:vAlign w:val="center"/>
          </w:tcPr>
          <w:p w14:paraId="14DD3530">
            <w:pPr>
              <w:widowControl/>
              <w:spacing w:line="240" w:lineRule="auto"/>
              <w:ind w:firstLine="0" w:firstLineChars="0"/>
              <w:jc w:val="center"/>
              <w:textAlignment w:val="center"/>
              <w:rPr>
                <w:rFonts w:ascii="Times New Roman" w:hAnsi="Times New Roman"/>
                <w:kern w:val="0"/>
                <w:sz w:val="22"/>
                <w:highlight w:val="none"/>
                <w:lang w:bidi="ar"/>
              </w:rPr>
            </w:pPr>
            <w:r>
              <w:rPr>
                <w:rFonts w:hint="eastAsia" w:ascii="Times New Roman" w:hAnsi="Times New Roman"/>
                <w:kern w:val="0"/>
                <w:sz w:val="22"/>
                <w:highlight w:val="none"/>
                <w:lang w:bidi="ar"/>
              </w:rPr>
              <w:t>/</w:t>
            </w:r>
          </w:p>
        </w:tc>
        <w:tc>
          <w:tcPr>
            <w:tcW w:w="380" w:type="pct"/>
            <w:noWrap/>
            <w:vAlign w:val="center"/>
          </w:tcPr>
          <w:p w14:paraId="01406D18">
            <w:pPr>
              <w:widowControl/>
              <w:spacing w:line="240" w:lineRule="auto"/>
              <w:ind w:firstLine="0" w:firstLineChars="0"/>
              <w:jc w:val="center"/>
              <w:textAlignment w:val="center"/>
              <w:rPr>
                <w:rFonts w:ascii="Times New Roman" w:hAnsi="Times New Roman"/>
                <w:kern w:val="0"/>
                <w:sz w:val="22"/>
                <w:highlight w:val="none"/>
                <w:lang w:bidi="ar"/>
              </w:rPr>
            </w:pPr>
            <w:r>
              <w:rPr>
                <w:rFonts w:hint="eastAsia" w:ascii="Times New Roman" w:hAnsi="Times New Roman"/>
                <w:kern w:val="0"/>
                <w:sz w:val="22"/>
                <w:highlight w:val="none"/>
                <w:lang w:bidi="ar"/>
              </w:rPr>
              <w:t>/</w:t>
            </w:r>
          </w:p>
        </w:tc>
        <w:tc>
          <w:tcPr>
            <w:tcW w:w="312" w:type="pct"/>
            <w:noWrap/>
            <w:vAlign w:val="center"/>
          </w:tcPr>
          <w:p w14:paraId="7B1E232D">
            <w:pPr>
              <w:widowControl/>
              <w:spacing w:line="240" w:lineRule="auto"/>
              <w:ind w:firstLine="0" w:firstLineChars="0"/>
              <w:jc w:val="center"/>
              <w:textAlignment w:val="center"/>
              <w:rPr>
                <w:rFonts w:ascii="Times New Roman" w:hAnsi="Times New Roman"/>
                <w:kern w:val="0"/>
                <w:sz w:val="22"/>
                <w:highlight w:val="none"/>
                <w:lang w:bidi="ar"/>
              </w:rPr>
            </w:pPr>
            <w:r>
              <w:rPr>
                <w:rFonts w:hint="eastAsia" w:ascii="Times New Roman" w:hAnsi="Times New Roman"/>
                <w:kern w:val="0"/>
                <w:sz w:val="22"/>
                <w:highlight w:val="none"/>
                <w:lang w:bidi="ar"/>
              </w:rPr>
              <w:t>/</w:t>
            </w:r>
          </w:p>
        </w:tc>
        <w:tc>
          <w:tcPr>
            <w:tcW w:w="313" w:type="pct"/>
            <w:noWrap/>
            <w:vAlign w:val="center"/>
          </w:tcPr>
          <w:p w14:paraId="564C6C8A">
            <w:pPr>
              <w:widowControl/>
              <w:spacing w:line="240" w:lineRule="auto"/>
              <w:ind w:firstLine="0" w:firstLineChars="0"/>
              <w:jc w:val="center"/>
              <w:textAlignment w:val="center"/>
              <w:rPr>
                <w:rFonts w:hint="eastAsia" w:ascii="Times New Roman" w:hAnsi="Times New Roman" w:eastAsia="宋体"/>
                <w:kern w:val="0"/>
                <w:sz w:val="22"/>
                <w:highlight w:val="none"/>
                <w:lang w:val="en-US" w:eastAsia="zh-CN" w:bidi="ar"/>
              </w:rPr>
            </w:pPr>
            <w:r>
              <w:rPr>
                <w:rFonts w:hint="eastAsia" w:ascii="Times New Roman" w:hAnsi="Times New Roman"/>
                <w:kern w:val="0"/>
                <w:sz w:val="22"/>
                <w:highlight w:val="none"/>
                <w:lang w:val="en-US" w:eastAsia="zh-CN" w:bidi="ar"/>
              </w:rPr>
              <w:t>/</w:t>
            </w:r>
          </w:p>
        </w:tc>
        <w:tc>
          <w:tcPr>
            <w:tcW w:w="389" w:type="pct"/>
            <w:noWrap/>
            <w:vAlign w:val="center"/>
          </w:tcPr>
          <w:p w14:paraId="010A627E">
            <w:pPr>
              <w:widowControl/>
              <w:spacing w:line="240" w:lineRule="auto"/>
              <w:ind w:firstLine="0" w:firstLineChars="0"/>
              <w:jc w:val="center"/>
              <w:textAlignment w:val="center"/>
              <w:rPr>
                <w:rFonts w:hint="eastAsia" w:ascii="Times New Roman" w:hAnsi="Times New Roman" w:eastAsia="宋体"/>
                <w:kern w:val="0"/>
                <w:sz w:val="22"/>
                <w:highlight w:val="none"/>
                <w:lang w:val="en-US" w:eastAsia="zh-CN" w:bidi="ar"/>
              </w:rPr>
            </w:pPr>
            <w:r>
              <w:rPr>
                <w:rFonts w:hint="eastAsia" w:ascii="Times New Roman" w:hAnsi="Times New Roman"/>
                <w:kern w:val="0"/>
                <w:sz w:val="22"/>
                <w:highlight w:val="none"/>
                <w:lang w:val="en-US" w:eastAsia="zh-CN" w:bidi="ar"/>
              </w:rPr>
              <w:t>/</w:t>
            </w:r>
          </w:p>
        </w:tc>
        <w:tc>
          <w:tcPr>
            <w:tcW w:w="223" w:type="pct"/>
            <w:noWrap/>
            <w:vAlign w:val="center"/>
          </w:tcPr>
          <w:p w14:paraId="1B567AEB">
            <w:pPr>
              <w:widowControl/>
              <w:spacing w:line="240" w:lineRule="auto"/>
              <w:ind w:firstLine="0" w:firstLineChars="0"/>
              <w:jc w:val="center"/>
              <w:textAlignment w:val="center"/>
              <w:rPr>
                <w:rFonts w:hint="eastAsia" w:ascii="Times New Roman" w:hAnsi="Times New Roman" w:eastAsia="宋体"/>
                <w:kern w:val="0"/>
                <w:sz w:val="22"/>
                <w:highlight w:val="none"/>
                <w:lang w:val="en-US" w:eastAsia="zh-CN" w:bidi="ar"/>
              </w:rPr>
            </w:pPr>
            <w:r>
              <w:rPr>
                <w:rFonts w:hint="eastAsia" w:ascii="Times New Roman" w:hAnsi="Times New Roman"/>
                <w:kern w:val="0"/>
                <w:sz w:val="22"/>
                <w:highlight w:val="none"/>
                <w:lang w:val="en-US" w:eastAsia="zh-CN" w:bidi="ar"/>
              </w:rPr>
              <w:t>/</w:t>
            </w:r>
          </w:p>
        </w:tc>
      </w:tr>
    </w:tbl>
    <w:p w14:paraId="1C6E989C">
      <w:pPr>
        <w:pStyle w:val="29"/>
        <w:spacing w:line="240" w:lineRule="auto"/>
        <w:ind w:firstLine="480"/>
        <w:rPr>
          <w:highlight w:val="none"/>
        </w:rPr>
      </w:pPr>
    </w:p>
    <w:p w14:paraId="4154AC49">
      <w:pPr>
        <w:pStyle w:val="22"/>
        <w:rPr>
          <w:highlight w:val="none"/>
        </w:rPr>
      </w:pPr>
    </w:p>
    <w:p w14:paraId="5361E9B5">
      <w:pPr>
        <w:ind w:firstLine="0" w:firstLineChars="0"/>
        <w:rPr>
          <w:rFonts w:ascii="Times New Roman" w:hAnsi="Times New Roman"/>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26" w:charSpace="0"/>
        </w:sectPr>
      </w:pPr>
    </w:p>
    <w:p w14:paraId="5BD8B8C7">
      <w:pPr>
        <w:pStyle w:val="29"/>
        <w:spacing w:line="240" w:lineRule="auto"/>
        <w:ind w:firstLine="480"/>
        <w:rPr>
          <w:rFonts w:hint="default" w:ascii="Times New Roman" w:hAnsi="Times New Roman" w:eastAsia="黑体" w:cs="Times New Roman"/>
          <w:color w:val="auto"/>
          <w:spacing w:val="0"/>
          <w:kern w:val="2"/>
          <w:sz w:val="24"/>
          <w:szCs w:val="24"/>
          <w:highlight w:val="none"/>
          <w:lang w:val="en-US" w:eastAsia="zh-CN" w:bidi="ar-SA"/>
        </w:rPr>
      </w:pPr>
      <w:r>
        <w:rPr>
          <w:rFonts w:hint="default" w:ascii="Times New Roman" w:hAnsi="Times New Roman" w:eastAsia="黑体" w:cs="Times New Roman"/>
          <w:color w:val="auto"/>
          <w:spacing w:val="0"/>
          <w:kern w:val="2"/>
          <w:sz w:val="24"/>
          <w:szCs w:val="24"/>
          <w:highlight w:val="none"/>
          <w:lang w:val="en-US" w:eastAsia="zh-CN" w:bidi="ar-SA"/>
        </w:rPr>
        <w:t>表2.4-5（2）主要污染源估算模型计算结果表</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07"/>
        <w:gridCol w:w="1698"/>
        <w:gridCol w:w="3403"/>
        <w:gridCol w:w="1614"/>
      </w:tblGrid>
      <w:tr w14:paraId="5A85D8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0" w:type="pct"/>
            <w:vMerge w:val="restart"/>
            <w:noWrap w:val="0"/>
            <w:vAlign w:val="center"/>
          </w:tcPr>
          <w:p w14:paraId="30180BD8">
            <w:pPr>
              <w:tabs>
                <w:tab w:val="left" w:pos="567"/>
                <w:tab w:val="left" w:pos="4440"/>
              </w:tabs>
              <w:autoSpaceDE w:val="0"/>
              <w:autoSpaceDN w:val="0"/>
              <w:snapToGrid w:val="0"/>
              <w:spacing w:line="240" w:lineRule="auto"/>
              <w:ind w:firstLine="0" w:firstLineChars="0"/>
              <w:jc w:val="center"/>
              <w:textAlignment w:val="bottom"/>
              <w:rPr>
                <w:rFonts w:hint="eastAsia" w:ascii="Times New Roman" w:hAnsi="Times New Roman"/>
                <w:kern w:val="0"/>
                <w:highlight w:val="none"/>
              </w:rPr>
            </w:pPr>
            <w:r>
              <w:rPr>
                <w:rFonts w:hint="eastAsia" w:ascii="Times New Roman" w:hAnsi="Times New Roman"/>
                <w:kern w:val="0"/>
                <w:highlight w:val="none"/>
              </w:rPr>
              <w:t>污染源</w:t>
            </w:r>
          </w:p>
        </w:tc>
        <w:tc>
          <w:tcPr>
            <w:tcW w:w="3939" w:type="pct"/>
            <w:gridSpan w:val="3"/>
            <w:noWrap w:val="0"/>
            <w:vAlign w:val="center"/>
          </w:tcPr>
          <w:p w14:paraId="6DF72D85">
            <w:pPr>
              <w:tabs>
                <w:tab w:val="left" w:pos="567"/>
                <w:tab w:val="left" w:pos="4440"/>
              </w:tabs>
              <w:autoSpaceDE w:val="0"/>
              <w:autoSpaceDN w:val="0"/>
              <w:snapToGrid w:val="0"/>
              <w:spacing w:line="240" w:lineRule="auto"/>
              <w:ind w:firstLine="0" w:firstLineChars="0"/>
              <w:jc w:val="center"/>
              <w:textAlignment w:val="bottom"/>
              <w:rPr>
                <w:rFonts w:ascii="Times New Roman" w:hAnsi="Times New Roman"/>
                <w:kern w:val="0"/>
                <w:highlight w:val="none"/>
              </w:rPr>
            </w:pPr>
            <w:r>
              <w:rPr>
                <w:rFonts w:ascii="Times New Roman" w:hAnsi="Times New Roman"/>
                <w:kern w:val="0"/>
                <w:highlight w:val="none"/>
              </w:rPr>
              <w:t>无组织</w:t>
            </w:r>
          </w:p>
        </w:tc>
      </w:tr>
      <w:tr w14:paraId="4ED062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60" w:type="pct"/>
            <w:vMerge w:val="continue"/>
            <w:noWrap w:val="0"/>
            <w:vAlign w:val="center"/>
          </w:tcPr>
          <w:p w14:paraId="402BE696">
            <w:pPr>
              <w:tabs>
                <w:tab w:val="left" w:pos="567"/>
                <w:tab w:val="left" w:pos="4440"/>
              </w:tabs>
              <w:autoSpaceDE w:val="0"/>
              <w:autoSpaceDN w:val="0"/>
              <w:snapToGrid w:val="0"/>
              <w:spacing w:line="240" w:lineRule="auto"/>
              <w:ind w:firstLine="0" w:firstLineChars="0"/>
              <w:jc w:val="center"/>
              <w:textAlignment w:val="bottom"/>
              <w:rPr>
                <w:rFonts w:ascii="Times New Roman" w:hAnsi="Times New Roman"/>
                <w:kern w:val="0"/>
                <w:highlight w:val="none"/>
              </w:rPr>
            </w:pPr>
          </w:p>
        </w:tc>
        <w:tc>
          <w:tcPr>
            <w:tcW w:w="2992" w:type="pct"/>
            <w:gridSpan w:val="2"/>
            <w:noWrap w:val="0"/>
            <w:vAlign w:val="center"/>
          </w:tcPr>
          <w:p w14:paraId="0CB4D2BF">
            <w:pPr>
              <w:tabs>
                <w:tab w:val="left" w:pos="567"/>
                <w:tab w:val="left" w:pos="4440"/>
              </w:tabs>
              <w:autoSpaceDE w:val="0"/>
              <w:autoSpaceDN w:val="0"/>
              <w:snapToGrid w:val="0"/>
              <w:spacing w:line="240" w:lineRule="auto"/>
              <w:ind w:firstLine="0" w:firstLineChars="0"/>
              <w:jc w:val="center"/>
              <w:textAlignment w:val="bottom"/>
              <w:rPr>
                <w:rFonts w:ascii="Times New Roman" w:hAnsi="Times New Roman"/>
                <w:iCs/>
                <w:snapToGrid w:val="0"/>
                <w:kern w:val="0"/>
                <w:highlight w:val="none"/>
              </w:rPr>
            </w:pPr>
            <w:r>
              <w:rPr>
                <w:rFonts w:hint="eastAsia" w:ascii="Times New Roman" w:hAnsi="Times New Roman"/>
                <w:iCs/>
                <w:snapToGrid w:val="0"/>
                <w:kern w:val="0"/>
                <w:highlight w:val="none"/>
              </w:rPr>
              <w:t>颗粒物（PM</w:t>
            </w:r>
            <w:r>
              <w:rPr>
                <w:rFonts w:hint="eastAsia" w:ascii="Times New Roman" w:hAnsi="Times New Roman"/>
                <w:iCs/>
                <w:snapToGrid w:val="0"/>
                <w:kern w:val="0"/>
                <w:highlight w:val="none"/>
                <w:vertAlign w:val="subscript"/>
              </w:rPr>
              <w:t>10</w:t>
            </w:r>
            <w:r>
              <w:rPr>
                <w:rFonts w:hint="eastAsia" w:ascii="Times New Roman" w:hAnsi="Times New Roman"/>
                <w:iCs/>
                <w:snapToGrid w:val="0"/>
                <w:kern w:val="0"/>
                <w:highlight w:val="none"/>
              </w:rPr>
              <w:t>）</w:t>
            </w:r>
          </w:p>
        </w:tc>
        <w:tc>
          <w:tcPr>
            <w:tcW w:w="946" w:type="pct"/>
            <w:vMerge w:val="restart"/>
            <w:noWrap w:val="0"/>
            <w:vAlign w:val="center"/>
          </w:tcPr>
          <w:p w14:paraId="49DAC3D3">
            <w:pPr>
              <w:tabs>
                <w:tab w:val="left" w:pos="567"/>
                <w:tab w:val="left" w:pos="4440"/>
              </w:tabs>
              <w:autoSpaceDE w:val="0"/>
              <w:autoSpaceDN w:val="0"/>
              <w:snapToGrid w:val="0"/>
              <w:spacing w:line="240" w:lineRule="auto"/>
              <w:ind w:firstLine="0" w:firstLineChars="0"/>
              <w:jc w:val="center"/>
              <w:textAlignment w:val="bottom"/>
              <w:rPr>
                <w:rFonts w:hint="eastAsia" w:ascii="Times New Roman" w:hAnsi="Times New Roman"/>
                <w:kern w:val="0"/>
                <w:highlight w:val="none"/>
              </w:rPr>
            </w:pPr>
            <w:r>
              <w:rPr>
                <w:rFonts w:ascii="Times New Roman" w:hAnsi="Times New Roman"/>
                <w:kern w:val="0"/>
                <w:highlight w:val="none"/>
              </w:rPr>
              <w:t>D10%</w:t>
            </w:r>
            <w:r>
              <w:rPr>
                <w:rFonts w:hint="eastAsia" w:ascii="Times New Roman" w:hAnsi="Times New Roman"/>
                <w:kern w:val="0"/>
                <w:highlight w:val="none"/>
              </w:rPr>
              <w:t>（m）</w:t>
            </w:r>
          </w:p>
        </w:tc>
      </w:tr>
      <w:tr w14:paraId="295D42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0" w:type="pct"/>
            <w:vMerge w:val="continue"/>
            <w:noWrap w:val="0"/>
            <w:vAlign w:val="center"/>
          </w:tcPr>
          <w:p w14:paraId="1894C00C">
            <w:pPr>
              <w:tabs>
                <w:tab w:val="left" w:pos="567"/>
                <w:tab w:val="left" w:pos="4440"/>
              </w:tabs>
              <w:autoSpaceDE w:val="0"/>
              <w:autoSpaceDN w:val="0"/>
              <w:snapToGrid w:val="0"/>
              <w:spacing w:line="240" w:lineRule="auto"/>
              <w:ind w:firstLine="0" w:firstLineChars="0"/>
              <w:jc w:val="center"/>
              <w:textAlignment w:val="bottom"/>
              <w:rPr>
                <w:rFonts w:ascii="Times New Roman" w:hAnsi="Times New Roman"/>
                <w:kern w:val="0"/>
                <w:highlight w:val="none"/>
              </w:rPr>
            </w:pPr>
          </w:p>
        </w:tc>
        <w:tc>
          <w:tcPr>
            <w:tcW w:w="996" w:type="pct"/>
            <w:noWrap w:val="0"/>
            <w:vAlign w:val="center"/>
          </w:tcPr>
          <w:p w14:paraId="61979043">
            <w:pPr>
              <w:tabs>
                <w:tab w:val="left" w:pos="567"/>
                <w:tab w:val="left" w:pos="4440"/>
              </w:tabs>
              <w:autoSpaceDE w:val="0"/>
              <w:autoSpaceDN w:val="0"/>
              <w:snapToGrid w:val="0"/>
              <w:spacing w:line="240" w:lineRule="auto"/>
              <w:ind w:firstLine="0" w:firstLineChars="0"/>
              <w:jc w:val="center"/>
              <w:textAlignment w:val="bottom"/>
              <w:rPr>
                <w:rFonts w:ascii="Times New Roman" w:hAnsi="Times New Roman"/>
                <w:kern w:val="0"/>
                <w:highlight w:val="none"/>
              </w:rPr>
            </w:pPr>
            <w:r>
              <w:rPr>
                <w:rFonts w:hint="eastAsia" w:ascii="Times New Roman" w:hAnsi="Times New Roman"/>
                <w:kern w:val="0"/>
                <w:highlight w:val="none"/>
              </w:rPr>
              <w:t>最大</w:t>
            </w:r>
            <w:r>
              <w:rPr>
                <w:rFonts w:ascii="Times New Roman" w:hAnsi="Times New Roman"/>
                <w:kern w:val="0"/>
                <w:highlight w:val="none"/>
              </w:rPr>
              <w:t>占标率%</w:t>
            </w:r>
          </w:p>
        </w:tc>
        <w:tc>
          <w:tcPr>
            <w:tcW w:w="1996" w:type="pct"/>
            <w:noWrap w:val="0"/>
            <w:vAlign w:val="center"/>
          </w:tcPr>
          <w:p w14:paraId="314FE46F">
            <w:pPr>
              <w:tabs>
                <w:tab w:val="left" w:pos="567"/>
                <w:tab w:val="left" w:pos="4440"/>
              </w:tabs>
              <w:autoSpaceDE w:val="0"/>
              <w:autoSpaceDN w:val="0"/>
              <w:snapToGrid w:val="0"/>
              <w:spacing w:line="240" w:lineRule="auto"/>
              <w:ind w:firstLine="0" w:firstLineChars="0"/>
              <w:jc w:val="center"/>
              <w:textAlignment w:val="bottom"/>
              <w:rPr>
                <w:rFonts w:ascii="Times New Roman" w:hAnsi="Times New Roman"/>
                <w:kern w:val="0"/>
                <w:highlight w:val="none"/>
              </w:rPr>
            </w:pPr>
            <w:r>
              <w:rPr>
                <w:rFonts w:hint="eastAsia" w:ascii="Times New Roman" w:hAnsi="Times New Roman"/>
                <w:kern w:val="0"/>
                <w:highlight w:val="none"/>
              </w:rPr>
              <w:t>最大</w:t>
            </w:r>
            <w:r>
              <w:rPr>
                <w:rFonts w:ascii="Times New Roman" w:hAnsi="Times New Roman"/>
                <w:kern w:val="0"/>
                <w:highlight w:val="none"/>
              </w:rPr>
              <w:t>预测质量浓度/μ</w:t>
            </w:r>
            <w:r>
              <w:rPr>
                <w:rFonts w:ascii="Times New Roman" w:hAnsi="Times New Roman"/>
                <w:iCs/>
                <w:kern w:val="0"/>
                <w:highlight w:val="none"/>
              </w:rPr>
              <w:t>g/m</w:t>
            </w:r>
            <w:r>
              <w:rPr>
                <w:rFonts w:ascii="Times New Roman" w:hAnsi="Times New Roman"/>
                <w:iCs/>
                <w:kern w:val="0"/>
                <w:highlight w:val="none"/>
                <w:vertAlign w:val="superscript"/>
              </w:rPr>
              <w:t>3</w:t>
            </w:r>
          </w:p>
        </w:tc>
        <w:tc>
          <w:tcPr>
            <w:tcW w:w="946" w:type="pct"/>
            <w:vMerge w:val="continue"/>
            <w:noWrap w:val="0"/>
            <w:vAlign w:val="center"/>
          </w:tcPr>
          <w:p w14:paraId="5100F287">
            <w:pPr>
              <w:tabs>
                <w:tab w:val="left" w:pos="567"/>
                <w:tab w:val="left" w:pos="4440"/>
              </w:tabs>
              <w:autoSpaceDE w:val="0"/>
              <w:autoSpaceDN w:val="0"/>
              <w:snapToGrid w:val="0"/>
              <w:spacing w:line="240" w:lineRule="auto"/>
              <w:ind w:firstLine="0" w:firstLineChars="0"/>
              <w:jc w:val="center"/>
              <w:textAlignment w:val="bottom"/>
              <w:rPr>
                <w:rFonts w:hint="eastAsia" w:ascii="Times New Roman" w:hAnsi="Times New Roman"/>
                <w:kern w:val="0"/>
                <w:highlight w:val="none"/>
              </w:rPr>
            </w:pPr>
          </w:p>
        </w:tc>
      </w:tr>
      <w:tr w14:paraId="4ECB4B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0" w:type="pct"/>
            <w:noWrap w:val="0"/>
            <w:vAlign w:val="center"/>
          </w:tcPr>
          <w:p w14:paraId="3263A5D6">
            <w:pPr>
              <w:tabs>
                <w:tab w:val="left" w:pos="567"/>
                <w:tab w:val="left" w:pos="4440"/>
              </w:tabs>
              <w:autoSpaceDE w:val="0"/>
              <w:autoSpaceDN w:val="0"/>
              <w:snapToGrid w:val="0"/>
              <w:spacing w:line="240" w:lineRule="auto"/>
              <w:ind w:firstLine="0" w:firstLineChars="0"/>
              <w:jc w:val="center"/>
              <w:textAlignment w:val="bottom"/>
              <w:rPr>
                <w:rFonts w:ascii="Times New Roman" w:hAnsi="Times New Roman"/>
                <w:kern w:val="0"/>
                <w:highlight w:val="none"/>
              </w:rPr>
            </w:pPr>
            <w:r>
              <w:rPr>
                <w:rFonts w:hint="eastAsia" w:ascii="Times New Roman" w:hAnsi="Times New Roman"/>
                <w:kern w:val="0"/>
                <w:highlight w:val="none"/>
              </w:rPr>
              <w:t>灰仓</w:t>
            </w:r>
          </w:p>
        </w:tc>
        <w:tc>
          <w:tcPr>
            <w:tcW w:w="996" w:type="pct"/>
            <w:noWrap w:val="0"/>
            <w:vAlign w:val="center"/>
          </w:tcPr>
          <w:p w14:paraId="03A82CBD">
            <w:pPr>
              <w:tabs>
                <w:tab w:val="left" w:pos="567"/>
                <w:tab w:val="left" w:pos="4440"/>
              </w:tabs>
              <w:autoSpaceDE w:val="0"/>
              <w:autoSpaceDN w:val="0"/>
              <w:snapToGrid w:val="0"/>
              <w:spacing w:line="240" w:lineRule="auto"/>
              <w:ind w:firstLine="0" w:firstLineChars="0"/>
              <w:jc w:val="center"/>
              <w:textAlignment w:val="bottom"/>
              <w:rPr>
                <w:rFonts w:hint="default" w:ascii="Times New Roman" w:hAnsi="Times New Roman" w:eastAsia="宋体"/>
                <w:kern w:val="0"/>
                <w:highlight w:val="none"/>
                <w:lang w:val="en-US" w:eastAsia="zh-CN"/>
              </w:rPr>
            </w:pPr>
            <w:r>
              <w:rPr>
                <w:rFonts w:hint="eastAsia" w:ascii="Times New Roman" w:hAnsi="Times New Roman"/>
                <w:kern w:val="0"/>
                <w:highlight w:val="none"/>
                <w:lang w:val="en-US" w:eastAsia="zh-CN"/>
              </w:rPr>
              <w:t>7.58</w:t>
            </w:r>
          </w:p>
        </w:tc>
        <w:tc>
          <w:tcPr>
            <w:tcW w:w="1996" w:type="pct"/>
            <w:noWrap w:val="0"/>
            <w:vAlign w:val="center"/>
          </w:tcPr>
          <w:p w14:paraId="12297C40">
            <w:pPr>
              <w:tabs>
                <w:tab w:val="left" w:pos="567"/>
                <w:tab w:val="left" w:pos="4440"/>
              </w:tabs>
              <w:autoSpaceDE w:val="0"/>
              <w:autoSpaceDN w:val="0"/>
              <w:snapToGrid w:val="0"/>
              <w:spacing w:line="240" w:lineRule="auto"/>
              <w:ind w:firstLine="0" w:firstLineChars="0"/>
              <w:jc w:val="center"/>
              <w:textAlignment w:val="bottom"/>
              <w:rPr>
                <w:rFonts w:ascii="Times New Roman" w:hAnsi="Times New Roman"/>
                <w:kern w:val="0"/>
                <w:highlight w:val="none"/>
              </w:rPr>
            </w:pPr>
            <w:r>
              <w:rPr>
                <w:rFonts w:hint="eastAsia" w:ascii="Times New Roman" w:hAnsi="Times New Roman"/>
                <w:kern w:val="0"/>
                <w:highlight w:val="none"/>
              </w:rPr>
              <w:t>3.41E-02</w:t>
            </w:r>
          </w:p>
        </w:tc>
        <w:tc>
          <w:tcPr>
            <w:tcW w:w="946" w:type="pct"/>
            <w:noWrap w:val="0"/>
            <w:vAlign w:val="center"/>
          </w:tcPr>
          <w:p w14:paraId="7F412F9F">
            <w:pPr>
              <w:tabs>
                <w:tab w:val="left" w:pos="567"/>
                <w:tab w:val="left" w:pos="4440"/>
              </w:tabs>
              <w:autoSpaceDE w:val="0"/>
              <w:autoSpaceDN w:val="0"/>
              <w:snapToGrid w:val="0"/>
              <w:spacing w:line="240" w:lineRule="auto"/>
              <w:ind w:firstLine="0" w:firstLineChars="0"/>
              <w:jc w:val="center"/>
              <w:textAlignment w:val="bottom"/>
              <w:rPr>
                <w:rFonts w:hint="eastAsia" w:ascii="Times New Roman" w:hAnsi="Times New Roman"/>
                <w:kern w:val="0"/>
                <w:highlight w:val="none"/>
              </w:rPr>
            </w:pPr>
            <w:r>
              <w:rPr>
                <w:rFonts w:hint="eastAsia" w:ascii="Times New Roman" w:hAnsi="Times New Roman"/>
                <w:kern w:val="0"/>
                <w:highlight w:val="none"/>
              </w:rPr>
              <w:t>/</w:t>
            </w:r>
          </w:p>
        </w:tc>
      </w:tr>
      <w:tr w14:paraId="0A8720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0" w:type="pct"/>
            <w:noWrap w:val="0"/>
            <w:vAlign w:val="center"/>
          </w:tcPr>
          <w:p w14:paraId="494A3DD6">
            <w:pPr>
              <w:tabs>
                <w:tab w:val="left" w:pos="567"/>
                <w:tab w:val="left" w:pos="4440"/>
              </w:tabs>
              <w:autoSpaceDE w:val="0"/>
              <w:autoSpaceDN w:val="0"/>
              <w:snapToGrid w:val="0"/>
              <w:spacing w:line="240" w:lineRule="auto"/>
              <w:ind w:firstLine="0" w:firstLineChars="0"/>
              <w:jc w:val="center"/>
              <w:textAlignment w:val="bottom"/>
              <w:rPr>
                <w:rFonts w:ascii="Times New Roman" w:hAnsi="Times New Roman"/>
                <w:kern w:val="0"/>
                <w:highlight w:val="none"/>
              </w:rPr>
            </w:pPr>
            <w:r>
              <w:rPr>
                <w:rFonts w:hint="eastAsia" w:ascii="Times New Roman" w:hAnsi="Times New Roman"/>
                <w:kern w:val="0"/>
                <w:highlight w:val="none"/>
              </w:rPr>
              <w:t>渣仓</w:t>
            </w:r>
          </w:p>
        </w:tc>
        <w:tc>
          <w:tcPr>
            <w:tcW w:w="996" w:type="pct"/>
            <w:noWrap w:val="0"/>
            <w:vAlign w:val="center"/>
          </w:tcPr>
          <w:p w14:paraId="4F0CC476">
            <w:pPr>
              <w:tabs>
                <w:tab w:val="left" w:pos="567"/>
                <w:tab w:val="left" w:pos="4440"/>
              </w:tabs>
              <w:autoSpaceDE w:val="0"/>
              <w:autoSpaceDN w:val="0"/>
              <w:snapToGrid w:val="0"/>
              <w:spacing w:line="240" w:lineRule="auto"/>
              <w:ind w:firstLine="0" w:firstLineChars="0"/>
              <w:jc w:val="center"/>
              <w:textAlignment w:val="bottom"/>
              <w:rPr>
                <w:rFonts w:hint="default" w:ascii="Times New Roman" w:hAnsi="Times New Roman" w:eastAsia="宋体"/>
                <w:kern w:val="0"/>
                <w:highlight w:val="none"/>
                <w:lang w:val="en-US" w:eastAsia="zh-CN"/>
              </w:rPr>
            </w:pPr>
            <w:r>
              <w:rPr>
                <w:rFonts w:hint="eastAsia" w:ascii="Times New Roman" w:hAnsi="Times New Roman"/>
                <w:kern w:val="0"/>
                <w:highlight w:val="none"/>
                <w:lang w:val="en-US" w:eastAsia="zh-CN"/>
              </w:rPr>
              <w:t>3.25</w:t>
            </w:r>
          </w:p>
        </w:tc>
        <w:tc>
          <w:tcPr>
            <w:tcW w:w="1996" w:type="pct"/>
            <w:noWrap w:val="0"/>
            <w:vAlign w:val="center"/>
          </w:tcPr>
          <w:p w14:paraId="7E70A6C3">
            <w:pPr>
              <w:tabs>
                <w:tab w:val="left" w:pos="567"/>
                <w:tab w:val="left" w:pos="4440"/>
              </w:tabs>
              <w:autoSpaceDE w:val="0"/>
              <w:autoSpaceDN w:val="0"/>
              <w:snapToGrid w:val="0"/>
              <w:spacing w:line="240" w:lineRule="auto"/>
              <w:ind w:firstLine="0" w:firstLineChars="0"/>
              <w:jc w:val="center"/>
              <w:textAlignment w:val="bottom"/>
              <w:rPr>
                <w:rFonts w:ascii="Times New Roman" w:hAnsi="Times New Roman"/>
                <w:kern w:val="0"/>
                <w:highlight w:val="none"/>
              </w:rPr>
            </w:pPr>
            <w:r>
              <w:rPr>
                <w:rFonts w:hint="eastAsia" w:ascii="Times New Roman" w:hAnsi="Times New Roman"/>
                <w:kern w:val="0"/>
                <w:highlight w:val="none"/>
              </w:rPr>
              <w:t>1.46E+01</w:t>
            </w:r>
          </w:p>
        </w:tc>
        <w:tc>
          <w:tcPr>
            <w:tcW w:w="946" w:type="pct"/>
            <w:noWrap w:val="0"/>
            <w:vAlign w:val="center"/>
          </w:tcPr>
          <w:p w14:paraId="15B0E729">
            <w:pPr>
              <w:tabs>
                <w:tab w:val="left" w:pos="567"/>
                <w:tab w:val="left" w:pos="4440"/>
              </w:tabs>
              <w:autoSpaceDE w:val="0"/>
              <w:autoSpaceDN w:val="0"/>
              <w:snapToGrid w:val="0"/>
              <w:spacing w:line="240" w:lineRule="auto"/>
              <w:ind w:firstLine="0" w:firstLineChars="0"/>
              <w:jc w:val="center"/>
              <w:textAlignment w:val="bottom"/>
              <w:rPr>
                <w:rFonts w:hint="eastAsia" w:ascii="Times New Roman" w:hAnsi="Times New Roman"/>
                <w:kern w:val="0"/>
                <w:highlight w:val="none"/>
              </w:rPr>
            </w:pPr>
            <w:r>
              <w:rPr>
                <w:rFonts w:hint="eastAsia" w:ascii="Times New Roman" w:hAnsi="Times New Roman"/>
                <w:kern w:val="0"/>
                <w:highlight w:val="none"/>
              </w:rPr>
              <w:t>/</w:t>
            </w:r>
          </w:p>
        </w:tc>
      </w:tr>
      <w:tr w14:paraId="0B4147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0" w:type="pct"/>
            <w:noWrap w:val="0"/>
            <w:vAlign w:val="center"/>
          </w:tcPr>
          <w:p w14:paraId="3471FC7E">
            <w:pPr>
              <w:tabs>
                <w:tab w:val="left" w:pos="567"/>
                <w:tab w:val="left" w:pos="4440"/>
              </w:tabs>
              <w:autoSpaceDE w:val="0"/>
              <w:autoSpaceDN w:val="0"/>
              <w:snapToGrid w:val="0"/>
              <w:spacing w:line="240" w:lineRule="auto"/>
              <w:ind w:firstLine="0" w:firstLineChars="0"/>
              <w:jc w:val="center"/>
              <w:textAlignment w:val="bottom"/>
              <w:rPr>
                <w:rFonts w:ascii="Times New Roman" w:hAnsi="Times New Roman"/>
                <w:kern w:val="0"/>
                <w:highlight w:val="none"/>
              </w:rPr>
            </w:pPr>
            <w:r>
              <w:rPr>
                <w:rFonts w:hint="eastAsia" w:ascii="Times New Roman" w:hAnsi="Times New Roman"/>
                <w:kern w:val="0"/>
                <w:highlight w:val="none"/>
              </w:rPr>
              <w:t>石灰石粉仓</w:t>
            </w:r>
          </w:p>
        </w:tc>
        <w:tc>
          <w:tcPr>
            <w:tcW w:w="996" w:type="pct"/>
            <w:noWrap w:val="0"/>
            <w:vAlign w:val="center"/>
          </w:tcPr>
          <w:p w14:paraId="3ADFAA2F">
            <w:pPr>
              <w:tabs>
                <w:tab w:val="left" w:pos="567"/>
                <w:tab w:val="left" w:pos="4440"/>
              </w:tabs>
              <w:autoSpaceDE w:val="0"/>
              <w:autoSpaceDN w:val="0"/>
              <w:snapToGrid w:val="0"/>
              <w:spacing w:line="240" w:lineRule="auto"/>
              <w:ind w:firstLine="0" w:firstLineChars="0"/>
              <w:jc w:val="center"/>
              <w:textAlignment w:val="bottom"/>
              <w:rPr>
                <w:rFonts w:hint="default" w:ascii="Times New Roman" w:hAnsi="Times New Roman" w:eastAsia="宋体"/>
                <w:kern w:val="0"/>
                <w:highlight w:val="none"/>
                <w:lang w:val="en-US" w:eastAsia="zh-CN"/>
              </w:rPr>
            </w:pPr>
            <w:r>
              <w:rPr>
                <w:rFonts w:hint="eastAsia" w:ascii="Times New Roman" w:hAnsi="Times New Roman"/>
                <w:kern w:val="0"/>
                <w:highlight w:val="none"/>
                <w:lang w:val="en-US" w:eastAsia="zh-CN"/>
              </w:rPr>
              <w:t>1.91</w:t>
            </w:r>
          </w:p>
        </w:tc>
        <w:tc>
          <w:tcPr>
            <w:tcW w:w="1996" w:type="pct"/>
            <w:noWrap w:val="0"/>
            <w:vAlign w:val="center"/>
          </w:tcPr>
          <w:p w14:paraId="3EB289E1">
            <w:pPr>
              <w:tabs>
                <w:tab w:val="left" w:pos="567"/>
                <w:tab w:val="left" w:pos="4440"/>
              </w:tabs>
              <w:autoSpaceDE w:val="0"/>
              <w:autoSpaceDN w:val="0"/>
              <w:snapToGrid w:val="0"/>
              <w:spacing w:line="240" w:lineRule="auto"/>
              <w:ind w:firstLine="0" w:firstLineChars="0"/>
              <w:jc w:val="center"/>
              <w:textAlignment w:val="bottom"/>
              <w:rPr>
                <w:rFonts w:ascii="Times New Roman" w:hAnsi="Times New Roman"/>
                <w:kern w:val="0"/>
                <w:highlight w:val="none"/>
              </w:rPr>
            </w:pPr>
            <w:r>
              <w:rPr>
                <w:rFonts w:hint="eastAsia" w:ascii="Times New Roman" w:hAnsi="Times New Roman"/>
                <w:kern w:val="0"/>
                <w:highlight w:val="none"/>
              </w:rPr>
              <w:t>8.61E+00</w:t>
            </w:r>
          </w:p>
        </w:tc>
        <w:tc>
          <w:tcPr>
            <w:tcW w:w="946" w:type="pct"/>
            <w:noWrap w:val="0"/>
            <w:vAlign w:val="center"/>
          </w:tcPr>
          <w:p w14:paraId="2DB501B9">
            <w:pPr>
              <w:tabs>
                <w:tab w:val="left" w:pos="567"/>
                <w:tab w:val="left" w:pos="4440"/>
              </w:tabs>
              <w:autoSpaceDE w:val="0"/>
              <w:autoSpaceDN w:val="0"/>
              <w:snapToGrid w:val="0"/>
              <w:spacing w:line="240" w:lineRule="auto"/>
              <w:ind w:firstLine="0" w:firstLineChars="0"/>
              <w:jc w:val="center"/>
              <w:textAlignment w:val="bottom"/>
              <w:rPr>
                <w:rFonts w:hint="eastAsia" w:ascii="Times New Roman" w:hAnsi="Times New Roman"/>
                <w:kern w:val="0"/>
                <w:highlight w:val="none"/>
              </w:rPr>
            </w:pPr>
            <w:r>
              <w:rPr>
                <w:rFonts w:hint="eastAsia" w:ascii="Times New Roman" w:hAnsi="Times New Roman"/>
                <w:kern w:val="0"/>
                <w:highlight w:val="none"/>
              </w:rPr>
              <w:t>/</w:t>
            </w:r>
          </w:p>
        </w:tc>
      </w:tr>
      <w:tr w14:paraId="6405AA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0" w:type="pct"/>
            <w:noWrap w:val="0"/>
            <w:vAlign w:val="center"/>
          </w:tcPr>
          <w:p w14:paraId="604425D5">
            <w:pPr>
              <w:tabs>
                <w:tab w:val="left" w:pos="567"/>
                <w:tab w:val="left" w:pos="4440"/>
              </w:tabs>
              <w:autoSpaceDE w:val="0"/>
              <w:autoSpaceDN w:val="0"/>
              <w:snapToGrid w:val="0"/>
              <w:spacing w:line="240" w:lineRule="auto"/>
              <w:ind w:firstLine="0" w:firstLineChars="0"/>
              <w:jc w:val="center"/>
              <w:textAlignment w:val="bottom"/>
              <w:rPr>
                <w:rFonts w:hint="eastAsia" w:ascii="Times New Roman" w:hAnsi="Times New Roman" w:eastAsia="宋体"/>
                <w:kern w:val="0"/>
                <w:highlight w:val="none"/>
                <w:lang w:val="en-US" w:eastAsia="zh-CN"/>
              </w:rPr>
            </w:pPr>
            <w:r>
              <w:rPr>
                <w:rFonts w:hint="eastAsia" w:ascii="Times New Roman" w:hAnsi="Times New Roman"/>
                <w:kern w:val="0"/>
                <w:highlight w:val="none"/>
                <w:lang w:val="en-US" w:eastAsia="zh-CN"/>
              </w:rPr>
              <w:t>污染源</w:t>
            </w:r>
          </w:p>
        </w:tc>
        <w:tc>
          <w:tcPr>
            <w:tcW w:w="2992" w:type="pct"/>
            <w:gridSpan w:val="2"/>
            <w:noWrap w:val="0"/>
            <w:vAlign w:val="center"/>
          </w:tcPr>
          <w:p w14:paraId="6DC0DD90">
            <w:pPr>
              <w:tabs>
                <w:tab w:val="left" w:pos="567"/>
                <w:tab w:val="left" w:pos="4440"/>
              </w:tabs>
              <w:autoSpaceDE w:val="0"/>
              <w:autoSpaceDN w:val="0"/>
              <w:snapToGrid w:val="0"/>
              <w:spacing w:line="240" w:lineRule="auto"/>
              <w:ind w:firstLine="0" w:firstLineChars="0"/>
              <w:jc w:val="center"/>
              <w:textAlignment w:val="bottom"/>
              <w:rPr>
                <w:rFonts w:hint="default" w:ascii="Times New Roman" w:hAnsi="Times New Roman" w:eastAsia="宋体"/>
                <w:kern w:val="0"/>
                <w:highlight w:val="none"/>
                <w:lang w:val="en-US" w:eastAsia="zh-CN"/>
              </w:rPr>
            </w:pPr>
            <w:r>
              <w:rPr>
                <w:rFonts w:hint="eastAsia" w:ascii="Times New Roman" w:hAnsi="Times New Roman"/>
                <w:kern w:val="0"/>
                <w:highlight w:val="none"/>
                <w:lang w:val="en-US" w:eastAsia="zh-CN"/>
              </w:rPr>
              <w:t>TSP</w:t>
            </w:r>
          </w:p>
        </w:tc>
        <w:tc>
          <w:tcPr>
            <w:tcW w:w="946" w:type="pct"/>
            <w:noWrap w:val="0"/>
            <w:vAlign w:val="center"/>
          </w:tcPr>
          <w:p w14:paraId="6C938260">
            <w:pPr>
              <w:tabs>
                <w:tab w:val="left" w:pos="567"/>
                <w:tab w:val="left" w:pos="4440"/>
              </w:tabs>
              <w:autoSpaceDE w:val="0"/>
              <w:autoSpaceDN w:val="0"/>
              <w:snapToGrid w:val="0"/>
              <w:spacing w:line="240" w:lineRule="auto"/>
              <w:ind w:firstLine="0" w:firstLineChars="0"/>
              <w:jc w:val="center"/>
              <w:textAlignment w:val="bottom"/>
              <w:rPr>
                <w:rFonts w:hint="eastAsia" w:ascii="Times New Roman" w:hAnsi="Times New Roman"/>
                <w:kern w:val="0"/>
                <w:highlight w:val="none"/>
              </w:rPr>
            </w:pPr>
          </w:p>
        </w:tc>
      </w:tr>
      <w:tr w14:paraId="37860B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0" w:type="pct"/>
            <w:noWrap w:val="0"/>
            <w:vAlign w:val="center"/>
          </w:tcPr>
          <w:p w14:paraId="628B1653">
            <w:pPr>
              <w:tabs>
                <w:tab w:val="left" w:pos="567"/>
                <w:tab w:val="left" w:pos="4440"/>
              </w:tabs>
              <w:autoSpaceDE w:val="0"/>
              <w:autoSpaceDN w:val="0"/>
              <w:snapToGrid w:val="0"/>
              <w:spacing w:line="240" w:lineRule="auto"/>
              <w:ind w:firstLine="0" w:firstLineChars="0"/>
              <w:jc w:val="center"/>
              <w:textAlignment w:val="bottom"/>
              <w:rPr>
                <w:rFonts w:hint="default" w:ascii="Times New Roman" w:hAnsi="Times New Roman" w:eastAsia="宋体"/>
                <w:kern w:val="0"/>
                <w:highlight w:val="none"/>
                <w:lang w:val="en-US" w:eastAsia="zh-CN"/>
              </w:rPr>
            </w:pPr>
            <w:r>
              <w:rPr>
                <w:rFonts w:hint="eastAsia" w:ascii="Times New Roman" w:hAnsi="Times New Roman"/>
                <w:kern w:val="0"/>
                <w:highlight w:val="none"/>
                <w:lang w:val="en-US" w:eastAsia="zh-CN"/>
              </w:rPr>
              <w:t>储煤厂</w:t>
            </w:r>
          </w:p>
        </w:tc>
        <w:tc>
          <w:tcPr>
            <w:tcW w:w="996" w:type="pct"/>
            <w:noWrap w:val="0"/>
            <w:vAlign w:val="center"/>
          </w:tcPr>
          <w:p w14:paraId="7D3F239C">
            <w:pPr>
              <w:tabs>
                <w:tab w:val="left" w:pos="567"/>
                <w:tab w:val="left" w:pos="4440"/>
              </w:tabs>
              <w:autoSpaceDE w:val="0"/>
              <w:autoSpaceDN w:val="0"/>
              <w:snapToGrid w:val="0"/>
              <w:spacing w:line="240" w:lineRule="auto"/>
              <w:ind w:firstLine="0" w:firstLineChars="0"/>
              <w:jc w:val="center"/>
              <w:textAlignment w:val="bottom"/>
              <w:rPr>
                <w:rFonts w:hint="default" w:ascii="Times New Roman" w:hAnsi="Times New Roman" w:eastAsia="宋体"/>
                <w:kern w:val="0"/>
                <w:highlight w:val="none"/>
                <w:lang w:val="en-US" w:eastAsia="zh-CN"/>
              </w:rPr>
            </w:pPr>
            <w:r>
              <w:rPr>
                <w:rFonts w:hint="eastAsia" w:ascii="Times New Roman" w:hAnsi="Times New Roman"/>
                <w:kern w:val="0"/>
                <w:highlight w:val="none"/>
                <w:lang w:val="en-US" w:eastAsia="zh-CN"/>
              </w:rPr>
              <w:t>9.65</w:t>
            </w:r>
          </w:p>
        </w:tc>
        <w:tc>
          <w:tcPr>
            <w:tcW w:w="1996" w:type="pct"/>
            <w:noWrap w:val="0"/>
            <w:vAlign w:val="center"/>
          </w:tcPr>
          <w:p w14:paraId="5214202D">
            <w:pPr>
              <w:tabs>
                <w:tab w:val="left" w:pos="567"/>
                <w:tab w:val="left" w:pos="4440"/>
              </w:tabs>
              <w:autoSpaceDE w:val="0"/>
              <w:autoSpaceDN w:val="0"/>
              <w:snapToGrid w:val="0"/>
              <w:spacing w:line="240" w:lineRule="auto"/>
              <w:ind w:firstLine="0" w:firstLineChars="0"/>
              <w:jc w:val="center"/>
              <w:textAlignment w:val="bottom"/>
              <w:rPr>
                <w:rFonts w:ascii="Times New Roman" w:hAnsi="Times New Roman"/>
                <w:kern w:val="0"/>
                <w:highlight w:val="none"/>
              </w:rPr>
            </w:pPr>
            <w:r>
              <w:rPr>
                <w:rFonts w:hint="eastAsia" w:ascii="Times New Roman" w:hAnsi="Times New Roman"/>
                <w:kern w:val="0"/>
                <w:highlight w:val="none"/>
              </w:rPr>
              <w:t>8.</w:t>
            </w:r>
            <w:r>
              <w:rPr>
                <w:rFonts w:hint="eastAsia" w:ascii="Times New Roman" w:hAnsi="Times New Roman"/>
                <w:kern w:val="0"/>
                <w:highlight w:val="none"/>
                <w:lang w:val="en-US" w:eastAsia="zh-CN"/>
              </w:rPr>
              <w:t>69</w:t>
            </w:r>
            <w:r>
              <w:rPr>
                <w:rFonts w:hint="eastAsia" w:ascii="Times New Roman" w:hAnsi="Times New Roman"/>
                <w:kern w:val="0"/>
                <w:highlight w:val="none"/>
              </w:rPr>
              <w:t>E+01</w:t>
            </w:r>
          </w:p>
        </w:tc>
        <w:tc>
          <w:tcPr>
            <w:tcW w:w="946" w:type="pct"/>
            <w:noWrap w:val="0"/>
            <w:vAlign w:val="center"/>
          </w:tcPr>
          <w:p w14:paraId="4FC524CA">
            <w:pPr>
              <w:tabs>
                <w:tab w:val="left" w:pos="567"/>
                <w:tab w:val="left" w:pos="4440"/>
              </w:tabs>
              <w:autoSpaceDE w:val="0"/>
              <w:autoSpaceDN w:val="0"/>
              <w:snapToGrid w:val="0"/>
              <w:spacing w:line="240" w:lineRule="auto"/>
              <w:ind w:firstLine="0" w:firstLineChars="0"/>
              <w:jc w:val="center"/>
              <w:textAlignment w:val="bottom"/>
              <w:rPr>
                <w:rFonts w:hint="eastAsia" w:ascii="Times New Roman" w:hAnsi="Times New Roman"/>
                <w:kern w:val="0"/>
                <w:highlight w:val="none"/>
              </w:rPr>
            </w:pPr>
            <w:r>
              <w:rPr>
                <w:rFonts w:hint="eastAsia" w:ascii="Times New Roman" w:hAnsi="Times New Roman"/>
                <w:kern w:val="0"/>
                <w:highlight w:val="none"/>
              </w:rPr>
              <w:t>/</w:t>
            </w:r>
          </w:p>
        </w:tc>
      </w:tr>
    </w:tbl>
    <w:p w14:paraId="3224B6DF">
      <w:pPr>
        <w:ind w:firstLine="480"/>
        <w:rPr>
          <w:rFonts w:ascii="Times New Roman" w:hAnsi="Times New Roman"/>
          <w:highlight w:val="none"/>
        </w:rPr>
      </w:pPr>
      <w:r>
        <w:rPr>
          <w:rFonts w:ascii="Times New Roman" w:hAnsi="Times New Roman"/>
          <w:highlight w:val="none"/>
        </w:rPr>
        <w:t>由上表可知，本项目各污染物最大地面空气质量浓度占标率为</w:t>
      </w:r>
      <w:r>
        <w:rPr>
          <w:rFonts w:hint="eastAsia" w:ascii="Times New Roman" w:hAnsi="Times New Roman"/>
          <w:highlight w:val="none"/>
          <w:lang w:val="en-US" w:eastAsia="zh-CN"/>
        </w:rPr>
        <w:t>储煤厂无</w:t>
      </w:r>
      <w:r>
        <w:rPr>
          <w:rFonts w:ascii="Times New Roman" w:hAnsi="Times New Roman"/>
          <w:highlight w:val="none"/>
        </w:rPr>
        <w:t>组织排放的</w:t>
      </w:r>
      <w:r>
        <w:rPr>
          <w:rFonts w:hint="eastAsia" w:ascii="Times New Roman" w:hAnsi="Times New Roman"/>
          <w:highlight w:val="none"/>
          <w:lang w:val="en-US" w:eastAsia="zh-CN"/>
        </w:rPr>
        <w:t>颗粒物</w:t>
      </w:r>
      <w:r>
        <w:rPr>
          <w:rFonts w:ascii="Times New Roman" w:hAnsi="Times New Roman"/>
          <w:highlight w:val="none"/>
        </w:rPr>
        <w:t>：P</w:t>
      </w:r>
      <w:r>
        <w:rPr>
          <w:rFonts w:ascii="Times New Roman" w:hAnsi="Times New Roman"/>
          <w:highlight w:val="none"/>
          <w:vertAlign w:val="subscript"/>
        </w:rPr>
        <w:t>max</w:t>
      </w:r>
      <w:r>
        <w:rPr>
          <w:rFonts w:ascii="Times New Roman" w:hAnsi="Times New Roman"/>
          <w:highlight w:val="none"/>
        </w:rPr>
        <w:t>=</w:t>
      </w:r>
      <w:r>
        <w:rPr>
          <w:rFonts w:hint="eastAsia" w:ascii="Times New Roman" w:hAnsi="Times New Roman"/>
          <w:highlight w:val="none"/>
          <w:lang w:val="en-US" w:eastAsia="zh-CN"/>
        </w:rPr>
        <w:t>9.65</w:t>
      </w:r>
      <w:r>
        <w:rPr>
          <w:rFonts w:ascii="Times New Roman" w:hAnsi="Times New Roman"/>
          <w:highlight w:val="none"/>
        </w:rPr>
        <w:t>%。根据《环境影响评价技术导则 大气环境》（HJ2.2-2018）分判依据，使用高污染燃料为主的多源项目，并且编制环境影响报告书的项目评价等级提高一级，故环境空气评价工作等级为一级。</w:t>
      </w:r>
    </w:p>
    <w:p w14:paraId="71AC5068">
      <w:pPr>
        <w:ind w:firstLine="480"/>
        <w:rPr>
          <w:rFonts w:ascii="Times New Roman" w:hAnsi="Times New Roman"/>
          <w:highlight w:val="none"/>
        </w:rPr>
      </w:pPr>
      <w:r>
        <w:rPr>
          <w:rFonts w:ascii="Times New Roman" w:hAnsi="Times New Roman"/>
          <w:highlight w:val="none"/>
        </w:rPr>
        <w:t>（2）评价范围</w:t>
      </w:r>
    </w:p>
    <w:p w14:paraId="6B20FDEB">
      <w:pPr>
        <w:ind w:firstLine="480"/>
        <w:rPr>
          <w:rFonts w:ascii="Times New Roman" w:hAnsi="Times New Roman"/>
          <w:highlight w:val="none"/>
        </w:rPr>
      </w:pPr>
      <w:r>
        <w:rPr>
          <w:rFonts w:ascii="Times New Roman" w:hAnsi="Times New Roman"/>
          <w:highlight w:val="none"/>
        </w:rPr>
        <w:t>根据《环境影响评价技术导则 大气环境》(HJ2.2-2018)中“5.4.1 一级评价项目根据建设项目排放污染物的最远影响距离(D</w:t>
      </w:r>
      <w:r>
        <w:rPr>
          <w:rFonts w:ascii="Times New Roman" w:hAnsi="Times New Roman"/>
          <w:highlight w:val="none"/>
          <w:vertAlign w:val="subscript"/>
        </w:rPr>
        <w:t>10%</w:t>
      </w:r>
      <w:r>
        <w:rPr>
          <w:rFonts w:ascii="Times New Roman" w:hAnsi="Times New Roman"/>
          <w:highlight w:val="none"/>
        </w:rPr>
        <w:t>)确定大气环境影响评价范围。即以项目厂址为中心区域，自厂界外延D</w:t>
      </w:r>
      <w:r>
        <w:rPr>
          <w:rFonts w:ascii="Times New Roman" w:hAnsi="Times New Roman"/>
          <w:highlight w:val="none"/>
          <w:vertAlign w:val="subscript"/>
        </w:rPr>
        <w:t>10%</w:t>
      </w:r>
      <w:r>
        <w:rPr>
          <w:rFonts w:ascii="Times New Roman" w:hAnsi="Times New Roman"/>
          <w:highlight w:val="none"/>
        </w:rPr>
        <w:t>的矩形区域作为大气环境影响评价范围。当D</w:t>
      </w:r>
      <w:r>
        <w:rPr>
          <w:rFonts w:ascii="Times New Roman" w:hAnsi="Times New Roman"/>
          <w:highlight w:val="none"/>
          <w:vertAlign w:val="subscript"/>
        </w:rPr>
        <w:t>10%</w:t>
      </w:r>
      <w:r>
        <w:rPr>
          <w:rFonts w:ascii="Times New Roman" w:hAnsi="Times New Roman"/>
          <w:highlight w:val="none"/>
        </w:rPr>
        <w:t>超过25km时，确定评价范围为边长50km 的矩形区域；当D</w:t>
      </w:r>
      <w:r>
        <w:rPr>
          <w:rFonts w:ascii="Times New Roman" w:hAnsi="Times New Roman"/>
          <w:highlight w:val="none"/>
          <w:vertAlign w:val="subscript"/>
        </w:rPr>
        <w:t>10%</w:t>
      </w:r>
      <w:r>
        <w:rPr>
          <w:rFonts w:ascii="Times New Roman" w:hAnsi="Times New Roman"/>
          <w:highlight w:val="none"/>
        </w:rPr>
        <w:t>小于2.5km时，评价范围边长取5km”。结合预测结果</w:t>
      </w:r>
      <w:r>
        <w:rPr>
          <w:rFonts w:ascii="Times New Roman" w:hAnsi="Times New Roman"/>
          <w:highlight w:val="none"/>
        </w:rPr>
        <w:t>，本项目污染物排放无D</w:t>
      </w:r>
      <w:r>
        <w:rPr>
          <w:rFonts w:ascii="Times New Roman" w:hAnsi="Times New Roman"/>
          <w:highlight w:val="none"/>
          <w:vertAlign w:val="subscript"/>
        </w:rPr>
        <w:t>10%</w:t>
      </w:r>
      <w:r>
        <w:rPr>
          <w:rFonts w:ascii="Times New Roman" w:hAnsi="Times New Roman"/>
          <w:highlight w:val="none"/>
        </w:rPr>
        <w:t>，因此，</w:t>
      </w:r>
      <w:r>
        <w:rPr>
          <w:rFonts w:hint="eastAsia" w:ascii="Times New Roman" w:hAnsi="Times New Roman"/>
          <w:highlight w:val="none"/>
        </w:rPr>
        <w:t>当D10%小于2.5km，评价范围取边长5km</w:t>
      </w:r>
      <w:r>
        <w:rPr>
          <w:rFonts w:ascii="Times New Roman" w:hAnsi="Times New Roman"/>
          <w:highlight w:val="none"/>
        </w:rPr>
        <w:t>。</w:t>
      </w:r>
    </w:p>
    <w:p w14:paraId="730B7F9D">
      <w:pPr>
        <w:pStyle w:val="23"/>
        <w:ind w:firstLine="0" w:firstLineChars="0"/>
        <w:rPr>
          <w:rFonts w:ascii="Times New Roman" w:hAnsi="Times New Roman"/>
          <w:color w:val="auto"/>
          <w:highlight w:val="none"/>
        </w:rPr>
      </w:pPr>
      <w:r>
        <w:rPr>
          <w:rFonts w:ascii="Times New Roman" w:hAnsi="Times New Roman"/>
          <w:color w:val="auto"/>
          <w:highlight w:val="none"/>
        </w:rPr>
        <mc:AlternateContent>
          <mc:Choice Requires="wps">
            <w:drawing>
              <wp:anchor distT="0" distB="0" distL="114300" distR="114300" simplePos="0" relativeHeight="251662336" behindDoc="0" locked="0" layoutInCell="1" allowOverlap="1">
                <wp:simplePos x="0" y="0"/>
                <wp:positionH relativeFrom="column">
                  <wp:posOffset>3903980</wp:posOffset>
                </wp:positionH>
                <wp:positionV relativeFrom="paragraph">
                  <wp:posOffset>3368675</wp:posOffset>
                </wp:positionV>
                <wp:extent cx="266700" cy="200025"/>
                <wp:effectExtent l="12700" t="12700" r="25400" b="15875"/>
                <wp:wrapNone/>
                <wp:docPr id="316" name="矩形 316"/>
                <wp:cNvGraphicFramePr/>
                <a:graphic xmlns:a="http://schemas.openxmlformats.org/drawingml/2006/main">
                  <a:graphicData uri="http://schemas.microsoft.com/office/word/2010/wordprocessingShape">
                    <wps:wsp>
                      <wps:cNvSpPr/>
                      <wps:spPr>
                        <a:xfrm>
                          <a:off x="0" y="0"/>
                          <a:ext cx="266700" cy="200025"/>
                        </a:xfrm>
                        <a:prstGeom prst="rect">
                          <a:avLst/>
                        </a:prstGeom>
                        <a:solidFill>
                          <a:srgbClr val="FF0000">
                            <a:alpha val="50196"/>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7.4pt;margin-top:265.25pt;height:15.75pt;width:21pt;z-index:251662336;v-text-anchor:middle;mso-width-relative:page;mso-height-relative:page;" fillcolor="#FF0000" filled="t" stroked="t" coordsize="21600,21600" o:gfxdata="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OY/IvLWAAAACwEAAA8AAAAAAAAAAQAgAAAAIgAAAGRy&#10;cy9kb3ducmV2LnhtbFBLAQIUABQAAAAIAIdO4kBXo4n3eQIAAA8FAAAOAAAAAAAAAAEAIAAAACUB&#10;AABkcnMvZTJvRG9jLnhtbFBLBQYAAAAABgAGAFkBAAAQBgAAAAA=&#10;">
                <v:fill on="t" opacity="32896f" focussize="0,0"/>
                <v:stroke weight="2pt" color="#FF0000" joinstyle="round"/>
                <v:imagedata o:title=""/>
                <o:lock v:ext="edit" aspectratio="f"/>
              </v:rect>
            </w:pict>
          </mc:Fallback>
        </mc:AlternateContent>
      </w:r>
      <w:r>
        <w:rPr>
          <w:rFonts w:ascii="Times New Roman" w:hAnsi="Times New Roman"/>
          <w:color w:val="auto"/>
          <w:highlight w:val="none"/>
        </w:rPr>
        <mc:AlternateContent>
          <mc:Choice Requires="wps">
            <w:drawing>
              <wp:anchor distT="0" distB="0" distL="114300" distR="114300" simplePos="0" relativeHeight="251661312" behindDoc="0" locked="0" layoutInCell="1" allowOverlap="1">
                <wp:simplePos x="0" y="0"/>
                <wp:positionH relativeFrom="column">
                  <wp:posOffset>3933825</wp:posOffset>
                </wp:positionH>
                <wp:positionV relativeFrom="paragraph">
                  <wp:posOffset>3825240</wp:posOffset>
                </wp:positionV>
                <wp:extent cx="266700" cy="200025"/>
                <wp:effectExtent l="12700" t="12700" r="25400" b="15875"/>
                <wp:wrapNone/>
                <wp:docPr id="315" name="矩形 315"/>
                <wp:cNvGraphicFramePr/>
                <a:graphic xmlns:a="http://schemas.openxmlformats.org/drawingml/2006/main">
                  <a:graphicData uri="http://schemas.microsoft.com/office/word/2010/wordprocessingShape">
                    <wps:wsp>
                      <wps:cNvSpPr/>
                      <wps:spPr>
                        <a:xfrm>
                          <a:off x="0" y="0"/>
                          <a:ext cx="266700" cy="200025"/>
                        </a:xfrm>
                        <a:prstGeom prst="rect">
                          <a:avLst/>
                        </a:prstGeom>
                        <a:noFill/>
                        <a:ln w="2540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9.75pt;margin-top:301.2pt;height:15.75pt;width:21pt;z-index:251661312;v-text-anchor:middle;mso-width-relative:page;mso-height-relative:page;" filled="f" stroked="t" coordsize="21600,21600" o:gfxdata="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UvdfONUAAAALAQAADwAAAAAAAAABACAAAAAiAAAAZHJzL2Rvd25yZXYueG1sUEsBAhQAFAAA&#10;AAgAh07iQGhgyapkAgAAxQQAAA4AAAAAAAAAAQAgAAAAJAEAAGRycy9lMm9Eb2MueG1sUEsFBgAA&#10;AAAGAAYAWQEAAPoFAAAAAA==&#10;">
                <v:fill on="f" focussize="0,0"/>
                <v:stroke weight="2pt" color="#0070C0" joinstyle="round"/>
                <v:imagedata o:title=""/>
                <o:lock v:ext="edit" aspectratio="f"/>
              </v:rect>
            </w:pict>
          </mc:Fallback>
        </mc:AlternateContent>
      </w:r>
      <w:r>
        <w:rPr>
          <w:rFonts w:ascii="Times New Roman" w:hAnsi="Times New Roman"/>
          <w:color w:val="auto"/>
          <w:highlight w:val="none"/>
        </w:rPr>
        <mc:AlternateContent>
          <mc:Choice Requires="wps">
            <w:drawing>
              <wp:anchor distT="0" distB="0" distL="114300" distR="114300" simplePos="0" relativeHeight="251665408" behindDoc="0" locked="0" layoutInCell="1" allowOverlap="1">
                <wp:simplePos x="0" y="0"/>
                <wp:positionH relativeFrom="column">
                  <wp:posOffset>4111625</wp:posOffset>
                </wp:positionH>
                <wp:positionV relativeFrom="paragraph">
                  <wp:posOffset>3710940</wp:posOffset>
                </wp:positionV>
                <wp:extent cx="1190625" cy="1772285"/>
                <wp:effectExtent l="0" t="0" r="0" b="0"/>
                <wp:wrapNone/>
                <wp:docPr id="319" name="文本框 319"/>
                <wp:cNvGraphicFramePr/>
                <a:graphic xmlns:a="http://schemas.openxmlformats.org/drawingml/2006/main">
                  <a:graphicData uri="http://schemas.microsoft.com/office/word/2010/wordprocessingShape">
                    <wps:wsp>
                      <wps:cNvSpPr txBox="1">
                        <a:spLocks noChangeArrowheads="1"/>
                      </wps:cNvSpPr>
                      <wps:spPr bwMode="auto">
                        <a:xfrm>
                          <a:off x="0" y="0"/>
                          <a:ext cx="1190625" cy="1403985"/>
                        </a:xfrm>
                        <a:prstGeom prst="rect">
                          <a:avLst/>
                        </a:prstGeom>
                        <a:noFill/>
                        <a:ln w="9525">
                          <a:noFill/>
                          <a:miter lim="800000"/>
                        </a:ln>
                        <a:effectLst/>
                      </wps:spPr>
                      <wps:txbx>
                        <w:txbxContent>
                          <w:p w14:paraId="209BE774">
                            <w:pPr>
                              <w:ind w:firstLine="0" w:firstLineChars="0"/>
                            </w:pPr>
                            <w:r>
                              <w:rPr>
                                <w:rFonts w:hint="eastAsia"/>
                              </w:rPr>
                              <w:t>大气评价范围</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_x0000_s1026" o:spid="_x0000_s1026" o:spt="202" type="#_x0000_t202" style="position:absolute;left:0pt;margin-left:323.75pt;margin-top:292.2pt;height:139.55pt;width:93.75pt;z-index:251665408;mso-width-relative:page;mso-height-relative:margin;mso-height-percent:200;" filled="f" stroked="f" coordsize="21600,21600" o:gfxdata="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0hgooNoAAAALAQAADwAAAAAAAAABACAAAAAiAAAAZHJzL2Rvd25yZXYueG1sUEsB&#10;AhQAFAAAAAgAh07iQGg6i7gsAgAAPAQAAA4AAAAAAAAAAQAgAAAAKQEAAGRycy9lMm9Eb2MueG1s&#10;UEsFBgAAAAAGAAYAWQEAAMcFAAAAAA==&#10;">
                <v:fill on="f" focussize="0,0"/>
                <v:stroke on="f" miterlimit="8" joinstyle="miter"/>
                <v:imagedata o:title=""/>
                <o:lock v:ext="edit" aspectratio="f"/>
                <v:textbox style="mso-fit-shape-to-text:t;">
                  <w:txbxContent>
                    <w:p w14:paraId="209BE774">
                      <w:pPr>
                        <w:ind w:firstLine="0" w:firstLineChars="0"/>
                      </w:pPr>
                      <w:r>
                        <w:rPr>
                          <w:rFonts w:hint="eastAsia"/>
                        </w:rPr>
                        <w:t>大气评价范围</w:t>
                      </w:r>
                    </w:p>
                  </w:txbxContent>
                </v:textbox>
              </v:shape>
            </w:pict>
          </mc:Fallback>
        </mc:AlternateContent>
      </w:r>
      <w:r>
        <w:rPr>
          <w:rFonts w:ascii="Times New Roman" w:hAnsi="Times New Roman"/>
          <w:color w:val="auto"/>
          <w:highlight w:val="none"/>
        </w:rPr>
        <mc:AlternateContent>
          <mc:Choice Requires="wps">
            <w:drawing>
              <wp:anchor distT="0" distB="0" distL="114300" distR="114300" simplePos="0" relativeHeight="251664384" behindDoc="0" locked="0" layoutInCell="1" allowOverlap="1">
                <wp:simplePos x="0" y="0"/>
                <wp:positionH relativeFrom="column">
                  <wp:posOffset>4273550</wp:posOffset>
                </wp:positionH>
                <wp:positionV relativeFrom="paragraph">
                  <wp:posOffset>3286760</wp:posOffset>
                </wp:positionV>
                <wp:extent cx="1028700" cy="1772285"/>
                <wp:effectExtent l="0" t="0" r="0" b="0"/>
                <wp:wrapNone/>
                <wp:docPr id="318" name="文本框 318"/>
                <wp:cNvGraphicFramePr/>
                <a:graphic xmlns:a="http://schemas.openxmlformats.org/drawingml/2006/main">
                  <a:graphicData uri="http://schemas.microsoft.com/office/word/2010/wordprocessingShape">
                    <wps:wsp>
                      <wps:cNvSpPr txBox="1">
                        <a:spLocks noChangeArrowheads="1"/>
                      </wps:cNvSpPr>
                      <wps:spPr bwMode="auto">
                        <a:xfrm>
                          <a:off x="0" y="0"/>
                          <a:ext cx="1028700" cy="1403985"/>
                        </a:xfrm>
                        <a:prstGeom prst="rect">
                          <a:avLst/>
                        </a:prstGeom>
                        <a:noFill/>
                        <a:ln w="9525">
                          <a:noFill/>
                          <a:miter lim="800000"/>
                        </a:ln>
                        <a:effectLst/>
                      </wps:spPr>
                      <wps:txbx>
                        <w:txbxContent>
                          <w:p w14:paraId="76063312">
                            <w:pPr>
                              <w:ind w:firstLine="0" w:firstLineChars="0"/>
                            </w:pPr>
                            <w:r>
                              <w:rPr>
                                <w:rFonts w:hint="eastAsia"/>
                              </w:rPr>
                              <w:t>项目位置</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_x0000_s1026" o:spid="_x0000_s1026" o:spt="202" type="#_x0000_t202" style="position:absolute;left:0pt;margin-left:336.5pt;margin-top:258.8pt;height:139.55pt;width:81pt;z-index:251664384;mso-width-relative:page;mso-height-relative:margin;mso-height-percent:200;" filled="f" stroked="f" coordsize="21600,21600" o:gfxdata="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EfAa8zaAAAACwEAAA8AAAAAAAAAAQAgAAAAIgAAAGRycy9kb3ducmV2LnhtbFBL&#10;AQIUABQAAAAIAIdO4kDMrjV7LQIAADwEAAAOAAAAAAAAAAEAIAAAACkBAABkcnMvZTJvRG9jLnht&#10;bFBLBQYAAAAABgAGAFkBAADIBQAAAAA=&#10;">
                <v:fill on="f" focussize="0,0"/>
                <v:stroke on="f" miterlimit="8" joinstyle="miter"/>
                <v:imagedata o:title=""/>
                <o:lock v:ext="edit" aspectratio="f"/>
                <v:textbox style="mso-fit-shape-to-text:t;">
                  <w:txbxContent>
                    <w:p w14:paraId="76063312">
                      <w:pPr>
                        <w:ind w:firstLine="0" w:firstLineChars="0"/>
                      </w:pPr>
                      <w:r>
                        <w:rPr>
                          <w:rFonts w:hint="eastAsia"/>
                        </w:rPr>
                        <w:t>项目位置</w:t>
                      </w:r>
                    </w:p>
                  </w:txbxContent>
                </v:textbox>
              </v:shape>
            </w:pict>
          </mc:Fallback>
        </mc:AlternateContent>
      </w:r>
      <w:r>
        <w:rPr>
          <w:rFonts w:ascii="Times New Roman" w:hAnsi="Times New Roman"/>
          <w:color w:val="auto"/>
          <w:highlight w:val="none"/>
        </w:rPr>
        <mc:AlternateContent>
          <mc:Choice Requires="wps">
            <w:drawing>
              <wp:anchor distT="0" distB="0" distL="114300" distR="114300" simplePos="0" relativeHeight="251660288" behindDoc="0" locked="0" layoutInCell="1" allowOverlap="1">
                <wp:simplePos x="0" y="0"/>
                <wp:positionH relativeFrom="column">
                  <wp:posOffset>3868420</wp:posOffset>
                </wp:positionH>
                <wp:positionV relativeFrom="paragraph">
                  <wp:posOffset>2948940</wp:posOffset>
                </wp:positionV>
                <wp:extent cx="1370330" cy="1333500"/>
                <wp:effectExtent l="12700" t="12700" r="26670" b="25400"/>
                <wp:wrapNone/>
                <wp:docPr id="308" name="矩形 308"/>
                <wp:cNvGraphicFramePr/>
                <a:graphic xmlns:a="http://schemas.openxmlformats.org/drawingml/2006/main">
                  <a:graphicData uri="http://schemas.microsoft.com/office/word/2010/wordprocessingShape">
                    <wps:wsp>
                      <wps:cNvSpPr/>
                      <wps:spPr>
                        <a:xfrm>
                          <a:off x="0" y="0"/>
                          <a:ext cx="1370330" cy="1333500"/>
                        </a:xfrm>
                        <a:prstGeom prst="rect">
                          <a:avLst/>
                        </a:prstGeom>
                        <a:solidFill>
                          <a:srgbClr val="FFFFFF"/>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4.6pt;margin-top:232.2pt;height:105pt;width:107.9pt;z-index:251660288;v-text-anchor:middle;mso-width-relative:page;mso-height-relative:page;" fillcolor="#FFFFFF" filled="t" stroked="t" coordsize="21600,21600" o:gfxdata="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LVXVRjZAAAACwEAAA8AAAAAAAAAAQAgAAAAIgAAAGRycy9kb3ducmV2&#10;LnhtbFBLAQIUABQAAAAIAIdO4kB5k1fjbQIAAPAEAAAOAAAAAAAAAAEAIAAAACgBAABkcnMvZTJv&#10;RG9jLnhtbFBLBQYAAAAABgAGAFkBAAAHBgAAAAA=&#10;">
                <v:fill on="t" focussize="0,0"/>
                <v:stroke weight="2pt" color="#000000" joinstyle="round"/>
                <v:imagedata o:title=""/>
                <o:lock v:ext="edit" aspectratio="f"/>
              </v:rect>
            </w:pict>
          </mc:Fallback>
        </mc:AlternateContent>
      </w:r>
      <w:r>
        <w:rPr>
          <w:rFonts w:ascii="Times New Roman" w:hAnsi="Times New Roman"/>
          <w:color w:val="auto"/>
          <w:highlight w:val="none"/>
        </w:rPr>
        <mc:AlternateContent>
          <mc:Choice Requires="wps">
            <w:drawing>
              <wp:anchor distT="0" distB="0" distL="114300" distR="114300" simplePos="0" relativeHeight="251663360" behindDoc="0" locked="0" layoutInCell="1" allowOverlap="1">
                <wp:simplePos x="0" y="0"/>
                <wp:positionH relativeFrom="column">
                  <wp:posOffset>4485005</wp:posOffset>
                </wp:positionH>
                <wp:positionV relativeFrom="paragraph">
                  <wp:posOffset>2926715</wp:posOffset>
                </wp:positionV>
                <wp:extent cx="561975" cy="1772285"/>
                <wp:effectExtent l="0" t="0" r="0" b="0"/>
                <wp:wrapNone/>
                <wp:docPr id="317" name="文本框 317"/>
                <wp:cNvGraphicFramePr/>
                <a:graphic xmlns:a="http://schemas.openxmlformats.org/drawingml/2006/main">
                  <a:graphicData uri="http://schemas.microsoft.com/office/word/2010/wordprocessingShape">
                    <wps:wsp>
                      <wps:cNvSpPr txBox="1">
                        <a:spLocks noChangeArrowheads="1"/>
                      </wps:cNvSpPr>
                      <wps:spPr bwMode="auto">
                        <a:xfrm>
                          <a:off x="0" y="0"/>
                          <a:ext cx="561975" cy="1403985"/>
                        </a:xfrm>
                        <a:prstGeom prst="rect">
                          <a:avLst/>
                        </a:prstGeom>
                        <a:noFill/>
                        <a:ln w="9525">
                          <a:noFill/>
                          <a:miter lim="800000"/>
                        </a:ln>
                        <a:effectLst/>
                      </wps:spPr>
                      <wps:txbx>
                        <w:txbxContent>
                          <w:p w14:paraId="41CE7C06">
                            <w:pPr>
                              <w:ind w:firstLine="0" w:firstLineChars="0"/>
                            </w:pPr>
                            <w:r>
                              <w:rPr>
                                <w:rFonts w:hint="eastAsia"/>
                              </w:rPr>
                              <w:t>图例</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_x0000_s1026" o:spid="_x0000_s1026" o:spt="202" type="#_x0000_t202" style="position:absolute;left:0pt;margin-left:353.15pt;margin-top:230.45pt;height:139.55pt;width:44.25pt;z-index:251663360;mso-width-relative:page;mso-height-relative:margin;mso-height-percent:200;" filled="f" stroked="f" coordsize="21600,21600" o:gfxdata="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D7XjRDZAAAACwEAAA8AAAAAAAAAAQAgAAAAIgAAAGRycy9kb3ducmV2LnhtbFBL&#10;AQIUABQAAAAIAIdO4kCZn3CULgIAADsEAAAOAAAAAAAAAAEAIAAAACgBAABkcnMvZTJvRG9jLnht&#10;bFBLBQYAAAAABgAGAFkBAADIBQAAAAA=&#10;">
                <v:fill on="f" focussize="0,0"/>
                <v:stroke on="f" miterlimit="8" joinstyle="miter"/>
                <v:imagedata o:title=""/>
                <o:lock v:ext="edit" aspectratio="f"/>
                <v:textbox style="mso-fit-shape-to-text:t;">
                  <w:txbxContent>
                    <w:p w14:paraId="41CE7C06">
                      <w:pPr>
                        <w:ind w:firstLine="0" w:firstLineChars="0"/>
                      </w:pPr>
                      <w:r>
                        <w:rPr>
                          <w:rFonts w:hint="eastAsia"/>
                        </w:rPr>
                        <w:t>图例</w:t>
                      </w:r>
                    </w:p>
                  </w:txbxContent>
                </v:textbox>
              </v:shape>
            </w:pict>
          </mc:Fallback>
        </mc:AlternateContent>
      </w:r>
      <w:r>
        <w:rPr>
          <w:highlight w:val="none"/>
        </w:rPr>
        <w:drawing>
          <wp:inline distT="0" distB="0" distL="114300" distR="114300">
            <wp:extent cx="5265420" cy="4230370"/>
            <wp:effectExtent l="0" t="0" r="11430" b="17780"/>
            <wp:docPr id="16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7"/>
                    <pic:cNvPicPr>
                      <a:picLocks noChangeAspect="1"/>
                    </pic:cNvPicPr>
                  </pic:nvPicPr>
                  <pic:blipFill>
                    <a:blip r:embed="rId11"/>
                    <a:stretch>
                      <a:fillRect/>
                    </a:stretch>
                  </pic:blipFill>
                  <pic:spPr>
                    <a:xfrm>
                      <a:off x="0" y="0"/>
                      <a:ext cx="5265420" cy="4230370"/>
                    </a:xfrm>
                    <a:prstGeom prst="rect">
                      <a:avLst/>
                    </a:prstGeom>
                    <a:noFill/>
                    <a:ln>
                      <a:noFill/>
                    </a:ln>
                  </pic:spPr>
                </pic:pic>
              </a:graphicData>
            </a:graphic>
          </wp:inline>
        </w:drawing>
      </w:r>
    </w:p>
    <w:p w14:paraId="05E4D5CB">
      <w:pPr>
        <w:pStyle w:val="29"/>
        <w:spacing w:line="240" w:lineRule="auto"/>
        <w:ind w:firstLine="480"/>
        <w:rPr>
          <w:rFonts w:hint="default" w:ascii="Times New Roman" w:hAnsi="Times New Roman" w:eastAsia="黑体" w:cs="Times New Roman"/>
          <w:color w:val="auto"/>
          <w:spacing w:val="0"/>
          <w:kern w:val="2"/>
          <w:sz w:val="24"/>
          <w:szCs w:val="24"/>
          <w:highlight w:val="none"/>
          <w:lang w:val="en-US" w:eastAsia="zh-CN" w:bidi="ar-SA"/>
        </w:rPr>
      </w:pPr>
      <w:r>
        <w:rPr>
          <w:rFonts w:hint="default" w:ascii="Times New Roman" w:hAnsi="Times New Roman" w:eastAsia="黑体" w:cs="Times New Roman"/>
          <w:color w:val="auto"/>
          <w:spacing w:val="0"/>
          <w:kern w:val="2"/>
          <w:sz w:val="24"/>
          <w:szCs w:val="24"/>
          <w:highlight w:val="none"/>
          <w:lang w:val="en-US" w:eastAsia="zh-CN" w:bidi="ar-SA"/>
        </w:rPr>
        <w:t>图2.4-2大气评价范围</w:t>
      </w:r>
    </w:p>
    <w:p w14:paraId="7E827834">
      <w:pPr>
        <w:pStyle w:val="5"/>
        <w:bidi w:val="0"/>
        <w:ind w:left="0" w:leftChars="0" w:firstLine="0" w:firstLineChars="0"/>
        <w:rPr>
          <w:rFonts w:hint="eastAsia"/>
          <w:sz w:val="30"/>
          <w:szCs w:val="30"/>
          <w:highlight w:val="none"/>
          <w:lang w:val="en-US" w:eastAsia="zh-CN"/>
        </w:rPr>
      </w:pPr>
      <w:bookmarkStart w:id="45" w:name="_Toc1936"/>
      <w:r>
        <w:rPr>
          <w:rFonts w:hint="default" w:ascii="Times New Roman" w:hAnsi="Times New Roman" w:cs="Times New Roman"/>
          <w:sz w:val="30"/>
          <w:szCs w:val="30"/>
          <w:highlight w:val="none"/>
          <w:lang w:val="en-US" w:eastAsia="zh-CN"/>
        </w:rPr>
        <w:t>2.4.2</w:t>
      </w:r>
      <w:r>
        <w:rPr>
          <w:rFonts w:hint="eastAsia"/>
          <w:sz w:val="30"/>
          <w:szCs w:val="30"/>
          <w:highlight w:val="none"/>
          <w:lang w:val="en-US" w:eastAsia="zh-CN"/>
        </w:rPr>
        <w:t>地表水环境</w:t>
      </w:r>
      <w:bookmarkEnd w:id="45"/>
    </w:p>
    <w:p w14:paraId="6CA9C053">
      <w:pPr>
        <w:ind w:firstLine="480"/>
        <w:rPr>
          <w:rFonts w:ascii="Times New Roman" w:hAnsi="Times New Roman"/>
          <w:highlight w:val="none"/>
        </w:rPr>
      </w:pPr>
      <w:r>
        <w:rPr>
          <w:rFonts w:ascii="Times New Roman" w:hAnsi="Times New Roman"/>
          <w:highlight w:val="none"/>
        </w:rPr>
        <w:t>（1）评价工作等级</w:t>
      </w:r>
    </w:p>
    <w:p w14:paraId="2CEFA1B0">
      <w:pPr>
        <w:ind w:firstLine="480"/>
        <w:rPr>
          <w:rFonts w:ascii="Times New Roman" w:hAnsi="Times New Roman"/>
          <w:highlight w:val="none"/>
        </w:rPr>
      </w:pPr>
      <w:r>
        <w:rPr>
          <w:rFonts w:ascii="Times New Roman" w:hAnsi="Times New Roman"/>
          <w:highlight w:val="none"/>
        </w:rPr>
        <w:t>根据《环境影响评价技术导则 地表水环境》（HJ2.3-2018</w:t>
      </w:r>
      <w:r>
        <w:rPr>
          <w:rFonts w:hint="eastAsia" w:ascii="Times New Roman" w:hAnsi="Times New Roman"/>
          <w:highlight w:val="none"/>
        </w:rPr>
        <w:t>）</w:t>
      </w:r>
      <w:r>
        <w:rPr>
          <w:rFonts w:ascii="Times New Roman" w:hAnsi="Times New Roman"/>
          <w:highlight w:val="none"/>
        </w:rPr>
        <w:t>中规定的地表水环境影响评价级别的判定方法，水污染型建设项目评价等级划分见表2.4-6。</w:t>
      </w:r>
    </w:p>
    <w:p w14:paraId="2DFEEA1A">
      <w:pPr>
        <w:ind w:firstLine="0" w:firstLineChars="0"/>
        <w:jc w:val="center"/>
        <w:rPr>
          <w:rFonts w:ascii="Times New Roman" w:hAnsi="Times New Roman"/>
          <w:highlight w:val="none"/>
        </w:rPr>
      </w:pPr>
      <w:r>
        <w:rPr>
          <w:rFonts w:hint="eastAsia" w:ascii="黑体" w:hAnsi="黑体" w:eastAsia="黑体" w:cs="黑体"/>
          <w:highlight w:val="none"/>
        </w:rPr>
        <w:t>表</w:t>
      </w:r>
      <w:r>
        <w:rPr>
          <w:rFonts w:hint="default" w:ascii="Times New Roman" w:hAnsi="Times New Roman" w:eastAsia="黑体" w:cs="Times New Roman"/>
          <w:highlight w:val="none"/>
        </w:rPr>
        <w:t>2.4-6</w:t>
      </w:r>
      <w:r>
        <w:rPr>
          <w:rFonts w:hint="eastAsia" w:ascii="黑体" w:hAnsi="黑体" w:eastAsia="黑体" w:cs="黑体"/>
          <w:highlight w:val="none"/>
        </w:rPr>
        <w:t>地表水评价等级判定依据</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39"/>
        <w:gridCol w:w="2840"/>
        <w:gridCol w:w="2843"/>
      </w:tblGrid>
      <w:tr w14:paraId="5FF3DD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vMerge w:val="restart"/>
            <w:noWrap w:val="0"/>
            <w:vAlign w:val="center"/>
          </w:tcPr>
          <w:p w14:paraId="40F8D56C">
            <w:pPr>
              <w:pStyle w:val="27"/>
              <w:rPr>
                <w:rFonts w:ascii="Times New Roman" w:hAnsi="Times New Roman" w:eastAsia="宋体"/>
                <w:highlight w:val="none"/>
              </w:rPr>
            </w:pPr>
            <w:r>
              <w:rPr>
                <w:rFonts w:ascii="Times New Roman" w:hAnsi="Times New Roman" w:eastAsia="宋体"/>
                <w:highlight w:val="none"/>
              </w:rPr>
              <w:t>评价等级</w:t>
            </w:r>
          </w:p>
        </w:tc>
        <w:tc>
          <w:tcPr>
            <w:tcW w:w="3333" w:type="pct"/>
            <w:gridSpan w:val="2"/>
            <w:noWrap w:val="0"/>
            <w:vAlign w:val="center"/>
          </w:tcPr>
          <w:p w14:paraId="528230E1">
            <w:pPr>
              <w:pStyle w:val="27"/>
              <w:rPr>
                <w:rFonts w:ascii="Times New Roman" w:hAnsi="Times New Roman" w:eastAsia="宋体"/>
                <w:highlight w:val="none"/>
              </w:rPr>
            </w:pPr>
            <w:r>
              <w:rPr>
                <w:rFonts w:ascii="Times New Roman" w:hAnsi="Times New Roman" w:eastAsia="宋体"/>
                <w:highlight w:val="none"/>
              </w:rPr>
              <w:t>判定依据</w:t>
            </w:r>
          </w:p>
        </w:tc>
      </w:tr>
      <w:tr w14:paraId="42BF38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vMerge w:val="continue"/>
            <w:noWrap w:val="0"/>
            <w:vAlign w:val="center"/>
          </w:tcPr>
          <w:p w14:paraId="416AFB42">
            <w:pPr>
              <w:pStyle w:val="27"/>
              <w:rPr>
                <w:rFonts w:ascii="Times New Roman" w:hAnsi="Times New Roman" w:eastAsia="宋体"/>
                <w:highlight w:val="none"/>
              </w:rPr>
            </w:pPr>
          </w:p>
        </w:tc>
        <w:tc>
          <w:tcPr>
            <w:tcW w:w="1666" w:type="pct"/>
            <w:noWrap w:val="0"/>
            <w:vAlign w:val="center"/>
          </w:tcPr>
          <w:p w14:paraId="3771B22E">
            <w:pPr>
              <w:pStyle w:val="27"/>
              <w:rPr>
                <w:rFonts w:ascii="Times New Roman" w:hAnsi="Times New Roman" w:eastAsia="宋体"/>
                <w:highlight w:val="none"/>
              </w:rPr>
            </w:pPr>
            <w:r>
              <w:rPr>
                <w:rFonts w:ascii="Times New Roman" w:hAnsi="Times New Roman" w:eastAsia="宋体"/>
                <w:highlight w:val="none"/>
              </w:rPr>
              <w:t>排放方式</w:t>
            </w:r>
          </w:p>
        </w:tc>
        <w:tc>
          <w:tcPr>
            <w:tcW w:w="1666" w:type="pct"/>
            <w:noWrap w:val="0"/>
            <w:vAlign w:val="center"/>
          </w:tcPr>
          <w:p w14:paraId="5126706D">
            <w:pPr>
              <w:pStyle w:val="27"/>
              <w:rPr>
                <w:rFonts w:ascii="Times New Roman" w:hAnsi="Times New Roman" w:eastAsia="宋体"/>
                <w:highlight w:val="none"/>
              </w:rPr>
            </w:pPr>
            <w:r>
              <w:rPr>
                <w:rFonts w:ascii="Times New Roman" w:hAnsi="Times New Roman" w:eastAsia="宋体"/>
                <w:highlight w:val="none"/>
              </w:rPr>
              <w:t>废水排放量Q/（m</w:t>
            </w:r>
            <w:r>
              <w:rPr>
                <w:rFonts w:ascii="Times New Roman" w:hAnsi="Times New Roman" w:eastAsia="宋体"/>
                <w:highlight w:val="none"/>
                <w:vertAlign w:val="superscript"/>
              </w:rPr>
              <w:t>3</w:t>
            </w:r>
            <w:r>
              <w:rPr>
                <w:rFonts w:ascii="Times New Roman" w:hAnsi="Times New Roman" w:eastAsia="宋体"/>
                <w:highlight w:val="none"/>
              </w:rPr>
              <w:t>/d）</w:t>
            </w:r>
          </w:p>
          <w:p w14:paraId="12650280">
            <w:pPr>
              <w:pStyle w:val="27"/>
              <w:rPr>
                <w:rFonts w:ascii="Times New Roman" w:hAnsi="Times New Roman" w:eastAsia="宋体"/>
                <w:highlight w:val="none"/>
              </w:rPr>
            </w:pPr>
            <w:r>
              <w:rPr>
                <w:rFonts w:ascii="Times New Roman" w:hAnsi="Times New Roman" w:eastAsia="宋体"/>
                <w:highlight w:val="none"/>
              </w:rPr>
              <w:t>水污染物当量W/（无量纲）</w:t>
            </w:r>
          </w:p>
        </w:tc>
      </w:tr>
      <w:tr w14:paraId="2AF10D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noWrap w:val="0"/>
            <w:vAlign w:val="center"/>
          </w:tcPr>
          <w:p w14:paraId="09F0F035">
            <w:pPr>
              <w:pStyle w:val="27"/>
              <w:rPr>
                <w:rFonts w:ascii="Times New Roman" w:hAnsi="Times New Roman" w:eastAsia="宋体"/>
                <w:highlight w:val="none"/>
              </w:rPr>
            </w:pPr>
            <w:r>
              <w:rPr>
                <w:rFonts w:ascii="Times New Roman" w:hAnsi="Times New Roman" w:eastAsia="宋体"/>
                <w:highlight w:val="none"/>
              </w:rPr>
              <w:t>一级</w:t>
            </w:r>
          </w:p>
        </w:tc>
        <w:tc>
          <w:tcPr>
            <w:tcW w:w="1666" w:type="pct"/>
            <w:noWrap w:val="0"/>
            <w:vAlign w:val="center"/>
          </w:tcPr>
          <w:p w14:paraId="22DD2A38">
            <w:pPr>
              <w:pStyle w:val="27"/>
              <w:rPr>
                <w:rFonts w:ascii="Times New Roman" w:hAnsi="Times New Roman" w:eastAsia="宋体"/>
                <w:highlight w:val="none"/>
              </w:rPr>
            </w:pPr>
            <w:r>
              <w:rPr>
                <w:rFonts w:ascii="Times New Roman" w:hAnsi="Times New Roman" w:eastAsia="宋体"/>
                <w:highlight w:val="none"/>
              </w:rPr>
              <w:t>直接排放</w:t>
            </w:r>
          </w:p>
        </w:tc>
        <w:tc>
          <w:tcPr>
            <w:tcW w:w="1666" w:type="pct"/>
            <w:noWrap w:val="0"/>
            <w:vAlign w:val="center"/>
          </w:tcPr>
          <w:p w14:paraId="7A2082F4">
            <w:pPr>
              <w:pStyle w:val="27"/>
              <w:rPr>
                <w:rFonts w:ascii="Times New Roman" w:hAnsi="Times New Roman" w:eastAsia="宋体"/>
                <w:highlight w:val="none"/>
              </w:rPr>
            </w:pPr>
            <w:r>
              <w:rPr>
                <w:rFonts w:ascii="Times New Roman" w:hAnsi="Times New Roman" w:eastAsia="宋体"/>
                <w:highlight w:val="none"/>
              </w:rPr>
              <w:t>Q≥20000或W≥600000</w:t>
            </w:r>
          </w:p>
        </w:tc>
      </w:tr>
      <w:tr w14:paraId="0042DE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noWrap w:val="0"/>
            <w:vAlign w:val="center"/>
          </w:tcPr>
          <w:p w14:paraId="1F868444">
            <w:pPr>
              <w:pStyle w:val="27"/>
              <w:rPr>
                <w:rFonts w:ascii="Times New Roman" w:hAnsi="Times New Roman" w:eastAsia="宋体"/>
                <w:highlight w:val="none"/>
              </w:rPr>
            </w:pPr>
            <w:r>
              <w:rPr>
                <w:rFonts w:ascii="Times New Roman" w:hAnsi="Times New Roman" w:eastAsia="宋体"/>
                <w:highlight w:val="none"/>
              </w:rPr>
              <w:t>二级</w:t>
            </w:r>
          </w:p>
        </w:tc>
        <w:tc>
          <w:tcPr>
            <w:tcW w:w="1666" w:type="pct"/>
            <w:noWrap w:val="0"/>
            <w:vAlign w:val="center"/>
          </w:tcPr>
          <w:p w14:paraId="6E22A62B">
            <w:pPr>
              <w:pStyle w:val="27"/>
              <w:rPr>
                <w:rFonts w:ascii="Times New Roman" w:hAnsi="Times New Roman" w:eastAsia="宋体"/>
                <w:highlight w:val="none"/>
              </w:rPr>
            </w:pPr>
            <w:r>
              <w:rPr>
                <w:rFonts w:ascii="Times New Roman" w:hAnsi="Times New Roman" w:eastAsia="宋体"/>
                <w:highlight w:val="none"/>
              </w:rPr>
              <w:t>直接排放</w:t>
            </w:r>
          </w:p>
        </w:tc>
        <w:tc>
          <w:tcPr>
            <w:tcW w:w="1666" w:type="pct"/>
            <w:noWrap w:val="0"/>
            <w:vAlign w:val="center"/>
          </w:tcPr>
          <w:p w14:paraId="79B9E161">
            <w:pPr>
              <w:pStyle w:val="27"/>
              <w:rPr>
                <w:rFonts w:ascii="Times New Roman" w:hAnsi="Times New Roman" w:eastAsia="宋体"/>
                <w:highlight w:val="none"/>
              </w:rPr>
            </w:pPr>
            <w:r>
              <w:rPr>
                <w:rFonts w:ascii="Times New Roman" w:hAnsi="Times New Roman" w:eastAsia="宋体"/>
                <w:highlight w:val="none"/>
              </w:rPr>
              <w:t>其他</w:t>
            </w:r>
          </w:p>
        </w:tc>
      </w:tr>
      <w:tr w14:paraId="2983F2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noWrap w:val="0"/>
            <w:vAlign w:val="center"/>
          </w:tcPr>
          <w:p w14:paraId="7086824B">
            <w:pPr>
              <w:pStyle w:val="27"/>
              <w:rPr>
                <w:rFonts w:ascii="Times New Roman" w:hAnsi="Times New Roman" w:eastAsia="宋体"/>
                <w:highlight w:val="none"/>
              </w:rPr>
            </w:pPr>
            <w:r>
              <w:rPr>
                <w:rFonts w:ascii="Times New Roman" w:hAnsi="Times New Roman" w:eastAsia="宋体"/>
                <w:highlight w:val="none"/>
              </w:rPr>
              <w:t>三级A</w:t>
            </w:r>
          </w:p>
        </w:tc>
        <w:tc>
          <w:tcPr>
            <w:tcW w:w="1666" w:type="pct"/>
            <w:noWrap w:val="0"/>
            <w:vAlign w:val="center"/>
          </w:tcPr>
          <w:p w14:paraId="3E9FC784">
            <w:pPr>
              <w:pStyle w:val="27"/>
              <w:rPr>
                <w:rFonts w:ascii="Times New Roman" w:hAnsi="Times New Roman" w:eastAsia="宋体"/>
                <w:highlight w:val="none"/>
              </w:rPr>
            </w:pPr>
            <w:r>
              <w:rPr>
                <w:rFonts w:ascii="Times New Roman" w:hAnsi="Times New Roman" w:eastAsia="宋体"/>
                <w:highlight w:val="none"/>
              </w:rPr>
              <w:t>直接排放</w:t>
            </w:r>
          </w:p>
        </w:tc>
        <w:tc>
          <w:tcPr>
            <w:tcW w:w="1666" w:type="pct"/>
            <w:noWrap w:val="0"/>
            <w:vAlign w:val="center"/>
          </w:tcPr>
          <w:p w14:paraId="68814905">
            <w:pPr>
              <w:pStyle w:val="27"/>
              <w:rPr>
                <w:rFonts w:ascii="Times New Roman" w:hAnsi="Times New Roman" w:eastAsia="宋体"/>
                <w:highlight w:val="none"/>
              </w:rPr>
            </w:pPr>
            <w:r>
              <w:rPr>
                <w:rFonts w:ascii="Times New Roman" w:hAnsi="Times New Roman" w:eastAsia="宋体"/>
                <w:highlight w:val="none"/>
              </w:rPr>
              <w:t>Q＜200或W＜6000</w:t>
            </w:r>
          </w:p>
        </w:tc>
      </w:tr>
      <w:tr w14:paraId="18E678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noWrap w:val="0"/>
            <w:vAlign w:val="center"/>
          </w:tcPr>
          <w:p w14:paraId="4EE84B8D">
            <w:pPr>
              <w:pStyle w:val="27"/>
              <w:rPr>
                <w:rFonts w:ascii="Times New Roman" w:hAnsi="Times New Roman" w:eastAsia="宋体"/>
                <w:highlight w:val="none"/>
              </w:rPr>
            </w:pPr>
            <w:r>
              <w:rPr>
                <w:rFonts w:ascii="Times New Roman" w:hAnsi="Times New Roman" w:eastAsia="宋体"/>
                <w:highlight w:val="none"/>
              </w:rPr>
              <w:t>三级B</w:t>
            </w:r>
          </w:p>
        </w:tc>
        <w:tc>
          <w:tcPr>
            <w:tcW w:w="1666" w:type="pct"/>
            <w:noWrap w:val="0"/>
            <w:vAlign w:val="center"/>
          </w:tcPr>
          <w:p w14:paraId="4CFB0FCE">
            <w:pPr>
              <w:pStyle w:val="27"/>
              <w:rPr>
                <w:rFonts w:ascii="Times New Roman" w:hAnsi="Times New Roman" w:eastAsia="宋体"/>
                <w:highlight w:val="none"/>
              </w:rPr>
            </w:pPr>
            <w:r>
              <w:rPr>
                <w:rFonts w:ascii="Times New Roman" w:hAnsi="Times New Roman" w:eastAsia="宋体"/>
                <w:highlight w:val="none"/>
              </w:rPr>
              <w:t>间接排放</w:t>
            </w:r>
          </w:p>
        </w:tc>
        <w:tc>
          <w:tcPr>
            <w:tcW w:w="1666" w:type="pct"/>
            <w:noWrap w:val="0"/>
            <w:vAlign w:val="center"/>
          </w:tcPr>
          <w:p w14:paraId="55C97534">
            <w:pPr>
              <w:pStyle w:val="27"/>
              <w:rPr>
                <w:rFonts w:ascii="Times New Roman" w:hAnsi="Times New Roman" w:eastAsia="宋体"/>
                <w:highlight w:val="none"/>
              </w:rPr>
            </w:pPr>
            <w:r>
              <w:rPr>
                <w:rFonts w:ascii="Times New Roman" w:hAnsi="Times New Roman" w:eastAsia="宋体"/>
                <w:highlight w:val="none"/>
              </w:rPr>
              <w:t>——</w:t>
            </w:r>
          </w:p>
        </w:tc>
      </w:tr>
      <w:tr w14:paraId="1279EB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3"/>
            <w:noWrap w:val="0"/>
            <w:vAlign w:val="center"/>
          </w:tcPr>
          <w:p w14:paraId="7D19A6A7">
            <w:pPr>
              <w:pStyle w:val="27"/>
              <w:jc w:val="both"/>
              <w:rPr>
                <w:rFonts w:ascii="Times New Roman" w:hAnsi="Times New Roman" w:eastAsia="宋体"/>
                <w:highlight w:val="none"/>
              </w:rPr>
            </w:pPr>
            <w:r>
              <w:rPr>
                <w:rFonts w:ascii="Times New Roman" w:hAnsi="Times New Roman" w:eastAsia="宋体"/>
                <w:b/>
                <w:highlight w:val="none"/>
              </w:rPr>
              <w:t>注1</w:t>
            </w:r>
            <w:r>
              <w:rPr>
                <w:rFonts w:ascii="Times New Roman" w:hAnsi="Times New Roman" w:eastAsia="宋体"/>
                <w:highlight w:val="none"/>
              </w:rPr>
              <w:t>：水污染物当量数等于该污染物的年排放量除以该污染物的污染当量值(见附录A)，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14:paraId="340A2B7D">
            <w:pPr>
              <w:pStyle w:val="27"/>
              <w:jc w:val="both"/>
              <w:rPr>
                <w:rFonts w:ascii="Times New Roman" w:hAnsi="Times New Roman" w:eastAsia="宋体"/>
                <w:highlight w:val="none"/>
              </w:rPr>
            </w:pPr>
            <w:r>
              <w:rPr>
                <w:rFonts w:ascii="Times New Roman" w:hAnsi="Times New Roman" w:eastAsia="宋体"/>
                <w:b/>
                <w:highlight w:val="none"/>
              </w:rPr>
              <w:t>注2</w:t>
            </w:r>
            <w:r>
              <w:rPr>
                <w:rFonts w:ascii="Times New Roman" w:hAnsi="Times New Roman" w:eastAsia="宋体"/>
                <w:highlight w:val="none"/>
              </w:rPr>
              <w:t>：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14:paraId="4FB1A450">
            <w:pPr>
              <w:pStyle w:val="27"/>
              <w:jc w:val="both"/>
              <w:rPr>
                <w:rFonts w:ascii="Times New Roman" w:hAnsi="Times New Roman" w:eastAsia="宋体"/>
                <w:highlight w:val="none"/>
              </w:rPr>
            </w:pPr>
            <w:r>
              <w:rPr>
                <w:rFonts w:ascii="Times New Roman" w:hAnsi="Times New Roman" w:eastAsia="宋体"/>
                <w:b/>
                <w:highlight w:val="none"/>
              </w:rPr>
              <w:t>注3</w:t>
            </w:r>
            <w:r>
              <w:rPr>
                <w:rFonts w:ascii="Times New Roman" w:hAnsi="Times New Roman" w:eastAsia="宋体"/>
                <w:highlight w:val="none"/>
              </w:rPr>
              <w:t>：厂区存在堆积物(露天堆放的原料、燃料、废渣等以及垃圾堆放场)、降尘污染的，应将初期雨污水纳入废水排放量，相应的主要污染物纳入水污染当量计算。</w:t>
            </w:r>
          </w:p>
          <w:p w14:paraId="4F0C20D4">
            <w:pPr>
              <w:pStyle w:val="27"/>
              <w:jc w:val="both"/>
              <w:rPr>
                <w:rFonts w:ascii="Times New Roman" w:hAnsi="Times New Roman" w:eastAsia="宋体"/>
                <w:highlight w:val="none"/>
              </w:rPr>
            </w:pPr>
            <w:r>
              <w:rPr>
                <w:rFonts w:ascii="Times New Roman" w:hAnsi="Times New Roman" w:eastAsia="宋体"/>
                <w:b/>
                <w:highlight w:val="none"/>
              </w:rPr>
              <w:t>注4</w:t>
            </w:r>
            <w:r>
              <w:rPr>
                <w:rFonts w:ascii="Times New Roman" w:hAnsi="Times New Roman" w:eastAsia="宋体"/>
                <w:highlight w:val="none"/>
              </w:rPr>
              <w:t>：建设项目直接排放第一类污染物的，其评价等级为一级；建设项目直接排放的污染物为受纳水体超标因子的，评价等级不低于二级。</w:t>
            </w:r>
          </w:p>
          <w:p w14:paraId="58C74570">
            <w:pPr>
              <w:pStyle w:val="27"/>
              <w:jc w:val="both"/>
              <w:rPr>
                <w:rFonts w:ascii="Times New Roman" w:hAnsi="Times New Roman" w:eastAsia="宋体"/>
                <w:highlight w:val="none"/>
              </w:rPr>
            </w:pPr>
            <w:r>
              <w:rPr>
                <w:rFonts w:ascii="Times New Roman" w:hAnsi="Times New Roman" w:eastAsia="宋体"/>
                <w:b/>
                <w:highlight w:val="none"/>
              </w:rPr>
              <w:t>注5</w:t>
            </w:r>
            <w:r>
              <w:rPr>
                <w:rFonts w:ascii="Times New Roman" w:hAnsi="Times New Roman" w:eastAsia="宋体"/>
                <w:highlight w:val="none"/>
              </w:rPr>
              <w:t>：直接排放受纳水体影响范围涉及饮用水水源保护区、饮用水取水口、重点保护与珍稀水生生物的栖息地、重要水生生物的自然产卵场等保护目标时，评价等级不低于二级。</w:t>
            </w:r>
          </w:p>
          <w:p w14:paraId="7AACB528">
            <w:pPr>
              <w:pStyle w:val="27"/>
              <w:jc w:val="both"/>
              <w:rPr>
                <w:rFonts w:ascii="Times New Roman" w:hAnsi="Times New Roman" w:eastAsia="宋体"/>
                <w:highlight w:val="none"/>
              </w:rPr>
            </w:pPr>
            <w:r>
              <w:rPr>
                <w:rFonts w:ascii="Times New Roman" w:hAnsi="Times New Roman" w:eastAsia="宋体"/>
                <w:b/>
                <w:highlight w:val="none"/>
              </w:rPr>
              <w:t>注6</w:t>
            </w:r>
            <w:r>
              <w:rPr>
                <w:rFonts w:ascii="Times New Roman" w:hAnsi="Times New Roman" w:eastAsia="宋体"/>
                <w:highlight w:val="none"/>
              </w:rPr>
              <w:t>：建设项目向河流、湖库排放温排水引起受纳水体水温变化超过水环境质量标准要求，且评价范围有水温敏感目标时，评价等级为一级。</w:t>
            </w:r>
          </w:p>
          <w:p w14:paraId="49A8ABD6">
            <w:pPr>
              <w:pStyle w:val="27"/>
              <w:jc w:val="both"/>
              <w:rPr>
                <w:rFonts w:ascii="Times New Roman" w:hAnsi="Times New Roman" w:eastAsia="宋体"/>
                <w:highlight w:val="none"/>
              </w:rPr>
            </w:pPr>
            <w:r>
              <w:rPr>
                <w:rFonts w:ascii="Times New Roman" w:hAnsi="Times New Roman" w:eastAsia="宋体"/>
                <w:b/>
                <w:highlight w:val="none"/>
              </w:rPr>
              <w:t>注7</w:t>
            </w:r>
            <w:r>
              <w:rPr>
                <w:rFonts w:ascii="Times New Roman" w:hAnsi="Times New Roman" w:eastAsia="宋体"/>
                <w:highlight w:val="none"/>
              </w:rPr>
              <w:t>：建设项目利用海水作为调节温度介质，排水量≥500 万m</w:t>
            </w:r>
            <w:r>
              <w:rPr>
                <w:rFonts w:ascii="Times New Roman" w:hAnsi="Times New Roman" w:eastAsia="宋体"/>
                <w:highlight w:val="none"/>
                <w:vertAlign w:val="superscript"/>
              </w:rPr>
              <w:t>3</w:t>
            </w:r>
            <w:r>
              <w:rPr>
                <w:rFonts w:ascii="Times New Roman" w:hAnsi="Times New Roman" w:eastAsia="宋体"/>
                <w:highlight w:val="none"/>
              </w:rPr>
              <w:t>/d，评价等级为一级；排水量＜500万m</w:t>
            </w:r>
            <w:r>
              <w:rPr>
                <w:rFonts w:ascii="Times New Roman" w:hAnsi="Times New Roman" w:eastAsia="宋体"/>
                <w:highlight w:val="none"/>
                <w:vertAlign w:val="superscript"/>
              </w:rPr>
              <w:t>3</w:t>
            </w:r>
            <w:r>
              <w:rPr>
                <w:rFonts w:ascii="Times New Roman" w:hAnsi="Times New Roman" w:eastAsia="宋体"/>
                <w:highlight w:val="none"/>
              </w:rPr>
              <w:t>/d，评价等级为二级。</w:t>
            </w:r>
          </w:p>
          <w:p w14:paraId="510A823C">
            <w:pPr>
              <w:pStyle w:val="27"/>
              <w:jc w:val="both"/>
              <w:rPr>
                <w:rFonts w:ascii="Times New Roman" w:hAnsi="Times New Roman" w:eastAsia="宋体"/>
                <w:highlight w:val="none"/>
              </w:rPr>
            </w:pPr>
            <w:r>
              <w:rPr>
                <w:rFonts w:ascii="Times New Roman" w:hAnsi="Times New Roman" w:eastAsia="宋体"/>
                <w:b/>
                <w:highlight w:val="none"/>
              </w:rPr>
              <w:t>注8</w:t>
            </w:r>
            <w:r>
              <w:rPr>
                <w:rFonts w:ascii="Times New Roman" w:hAnsi="Times New Roman" w:eastAsia="宋体"/>
                <w:highlight w:val="none"/>
              </w:rPr>
              <w:t>：仅涉及清净下水排放的，如其排放水质满足受纳水体水环境质量标准要求的，评价等级为三级A。</w:t>
            </w:r>
          </w:p>
          <w:p w14:paraId="027E902B">
            <w:pPr>
              <w:pStyle w:val="27"/>
              <w:jc w:val="both"/>
              <w:rPr>
                <w:rFonts w:ascii="Times New Roman" w:hAnsi="Times New Roman" w:eastAsia="宋体"/>
                <w:highlight w:val="none"/>
              </w:rPr>
            </w:pPr>
            <w:r>
              <w:rPr>
                <w:rFonts w:ascii="Times New Roman" w:hAnsi="Times New Roman" w:eastAsia="宋体"/>
                <w:b/>
                <w:highlight w:val="none"/>
              </w:rPr>
              <w:t>注9</w:t>
            </w:r>
            <w:r>
              <w:rPr>
                <w:rFonts w:ascii="Times New Roman" w:hAnsi="Times New Roman" w:eastAsia="宋体"/>
                <w:highlight w:val="none"/>
              </w:rPr>
              <w:t>：依托现有排放口，且对外环境未新增排放污染物的直接排放建设项目，评价等级参照间接排放，定为三级B。</w:t>
            </w:r>
          </w:p>
          <w:p w14:paraId="6E1C80BD">
            <w:pPr>
              <w:pStyle w:val="27"/>
              <w:jc w:val="both"/>
              <w:rPr>
                <w:rFonts w:ascii="Times New Roman" w:hAnsi="Times New Roman" w:eastAsia="宋体"/>
                <w:highlight w:val="none"/>
              </w:rPr>
            </w:pPr>
            <w:r>
              <w:rPr>
                <w:rFonts w:ascii="Times New Roman" w:hAnsi="Times New Roman" w:eastAsia="宋体"/>
                <w:b/>
                <w:highlight w:val="none"/>
              </w:rPr>
              <w:t>注10</w:t>
            </w:r>
            <w:r>
              <w:rPr>
                <w:rFonts w:ascii="Times New Roman" w:hAnsi="Times New Roman" w:eastAsia="宋体"/>
                <w:highlight w:val="none"/>
              </w:rPr>
              <w:t>：建设项目生产工艺中有废水产生，但作为回水利用，不排放到外环境的，按三级B 评价。</w:t>
            </w:r>
          </w:p>
        </w:tc>
      </w:tr>
    </w:tbl>
    <w:p w14:paraId="3F83BA7D">
      <w:pPr>
        <w:ind w:firstLine="480"/>
        <w:rPr>
          <w:rFonts w:ascii="Times New Roman" w:hAnsi="Times New Roman"/>
          <w:highlight w:val="none"/>
        </w:rPr>
      </w:pPr>
      <w:r>
        <w:rPr>
          <w:rFonts w:ascii="Times New Roman" w:hAnsi="Times New Roman"/>
          <w:highlight w:val="none"/>
        </w:rPr>
        <w:t>建设项目的污水排放：项目生活污水</w:t>
      </w:r>
      <w:r>
        <w:rPr>
          <w:rFonts w:hint="eastAsia" w:ascii="Times New Roman" w:hAnsi="Times New Roman"/>
          <w:highlight w:val="none"/>
        </w:rPr>
        <w:t>排入排入市政管网，经污水管网排入</w:t>
      </w:r>
      <w:r>
        <w:rPr>
          <w:rFonts w:hint="eastAsia" w:ascii="Times New Roman" w:hAnsi="Times New Roman"/>
          <w:highlight w:val="none"/>
          <w:lang w:val="en-US" w:eastAsia="zh-CN"/>
        </w:rPr>
        <w:t>绥芬河中环污水处理有限公司</w:t>
      </w:r>
      <w:r>
        <w:rPr>
          <w:rFonts w:hint="eastAsia" w:ascii="Times New Roman" w:hAnsi="Times New Roman"/>
          <w:highlight w:val="none"/>
        </w:rPr>
        <w:t>，处理达到《城镇污水处理厂污染物排放标准》(GB18918—2002)一级</w:t>
      </w:r>
      <w:r>
        <w:rPr>
          <w:rFonts w:hint="eastAsia" w:ascii="Times New Roman" w:hAnsi="Times New Roman"/>
          <w:highlight w:val="none"/>
          <w:lang w:val="en-US" w:eastAsia="zh-CN"/>
        </w:rPr>
        <w:t>B</w:t>
      </w:r>
      <w:r>
        <w:rPr>
          <w:rFonts w:hint="eastAsia" w:ascii="Times New Roman" w:hAnsi="Times New Roman"/>
          <w:highlight w:val="none"/>
        </w:rPr>
        <w:t>标准后排</w:t>
      </w:r>
      <w:r>
        <w:rPr>
          <w:rFonts w:hint="eastAsia" w:ascii="Times New Roman" w:hAnsi="Times New Roman"/>
          <w:highlight w:val="none"/>
          <w:lang w:val="en-US" w:eastAsia="zh-CN"/>
        </w:rPr>
        <w:t>放</w:t>
      </w:r>
      <w:r>
        <w:rPr>
          <w:rFonts w:ascii="Times New Roman" w:hAnsi="Times New Roman"/>
          <w:highlight w:val="none"/>
        </w:rPr>
        <w:t>，生产废水全部回用，无排放。综上所述，本项目地表水评价等级为三级B。</w:t>
      </w:r>
    </w:p>
    <w:p w14:paraId="2E8D0BA7">
      <w:pPr>
        <w:pStyle w:val="5"/>
        <w:bidi w:val="0"/>
        <w:ind w:left="0" w:leftChars="0" w:firstLine="0" w:firstLineChars="0"/>
        <w:rPr>
          <w:rFonts w:hint="eastAsia"/>
          <w:sz w:val="30"/>
          <w:szCs w:val="30"/>
          <w:highlight w:val="none"/>
          <w:lang w:val="en-US" w:eastAsia="zh-CN"/>
        </w:rPr>
      </w:pPr>
      <w:bookmarkStart w:id="46" w:name="_Toc12973"/>
      <w:r>
        <w:rPr>
          <w:rFonts w:hint="default" w:ascii="Times New Roman" w:hAnsi="Times New Roman" w:eastAsia="黑体" w:cs="Times New Roman"/>
          <w:sz w:val="30"/>
          <w:szCs w:val="30"/>
          <w:highlight w:val="none"/>
          <w:lang w:val="en-US" w:eastAsia="zh-CN"/>
        </w:rPr>
        <w:t>2.4.3</w:t>
      </w:r>
      <w:r>
        <w:rPr>
          <w:rFonts w:hint="eastAsia"/>
          <w:sz w:val="30"/>
          <w:szCs w:val="30"/>
          <w:highlight w:val="none"/>
          <w:lang w:val="en-US" w:eastAsia="zh-CN"/>
        </w:rPr>
        <w:t>地下水环境</w:t>
      </w:r>
      <w:bookmarkEnd w:id="46"/>
    </w:p>
    <w:p w14:paraId="5F37097F">
      <w:pPr>
        <w:rPr>
          <w:rFonts w:ascii="Times New Roman" w:hAnsi="Times New Roman"/>
          <w:highlight w:val="none"/>
        </w:rPr>
      </w:pPr>
      <w:r>
        <w:rPr>
          <w:rFonts w:ascii="Times New Roman" w:hAnsi="Times New Roman"/>
          <w:highlight w:val="none"/>
        </w:rPr>
        <w:t>根据《环境影响评价技术导则 地下水环境》（HJ610-2016）附录A，本项目属于其中第142条“热力生产和供应工程”报告书类项目，属于地下水环境影响评价项目分类中的</w:t>
      </w:r>
      <w:r>
        <w:rPr>
          <w:rFonts w:hint="eastAsia" w:ascii="宋体" w:hAnsi="宋体" w:cs="宋体"/>
          <w:highlight w:val="none"/>
        </w:rPr>
        <w:t>Ⅳ</w:t>
      </w:r>
      <w:r>
        <w:rPr>
          <w:rFonts w:ascii="Times New Roman" w:hAnsi="Times New Roman"/>
          <w:highlight w:val="none"/>
        </w:rPr>
        <w:t>类项目，</w:t>
      </w:r>
      <w:r>
        <w:rPr>
          <w:rFonts w:hint="eastAsia" w:ascii="宋体" w:hAnsi="宋体" w:cs="宋体"/>
          <w:highlight w:val="none"/>
        </w:rPr>
        <w:t>Ⅳ</w:t>
      </w:r>
      <w:r>
        <w:rPr>
          <w:rFonts w:ascii="Times New Roman" w:hAnsi="Times New Roman"/>
          <w:highlight w:val="none"/>
        </w:rPr>
        <w:t>类建设项目不开展地下水环境影响评价。</w:t>
      </w:r>
    </w:p>
    <w:p w14:paraId="0F75669C">
      <w:pPr>
        <w:pStyle w:val="5"/>
        <w:bidi w:val="0"/>
        <w:ind w:left="0" w:leftChars="0" w:firstLine="0" w:firstLineChars="0"/>
        <w:rPr>
          <w:rFonts w:hint="eastAsia"/>
          <w:sz w:val="30"/>
          <w:szCs w:val="30"/>
          <w:highlight w:val="none"/>
          <w:lang w:val="en-US" w:eastAsia="zh-CN"/>
        </w:rPr>
      </w:pPr>
      <w:bookmarkStart w:id="47" w:name="_Toc17500"/>
      <w:r>
        <w:rPr>
          <w:rFonts w:hint="default" w:ascii="Times New Roman" w:hAnsi="Times New Roman" w:cs="Times New Roman"/>
          <w:sz w:val="30"/>
          <w:szCs w:val="30"/>
          <w:highlight w:val="none"/>
          <w:lang w:val="en-US" w:eastAsia="zh-CN"/>
        </w:rPr>
        <w:t>2.4.4</w:t>
      </w:r>
      <w:r>
        <w:rPr>
          <w:rFonts w:hint="eastAsia"/>
          <w:sz w:val="30"/>
          <w:szCs w:val="30"/>
          <w:highlight w:val="none"/>
          <w:lang w:val="en-US" w:eastAsia="zh-CN"/>
        </w:rPr>
        <w:t>声环境</w:t>
      </w:r>
      <w:bookmarkEnd w:id="47"/>
    </w:p>
    <w:p w14:paraId="7E6FE811">
      <w:pPr>
        <w:ind w:firstLine="480"/>
        <w:rPr>
          <w:rFonts w:ascii="Times New Roman" w:hAnsi="Times New Roman"/>
          <w:highlight w:val="none"/>
        </w:rPr>
      </w:pPr>
      <w:r>
        <w:rPr>
          <w:rFonts w:ascii="Times New Roman" w:hAnsi="Times New Roman"/>
          <w:highlight w:val="none"/>
        </w:rPr>
        <w:t>（1）评价工作等级</w:t>
      </w:r>
    </w:p>
    <w:p w14:paraId="30DD1FB7">
      <w:pPr>
        <w:ind w:firstLine="480"/>
        <w:rPr>
          <w:rFonts w:ascii="Times New Roman" w:hAnsi="Times New Roman"/>
          <w:highlight w:val="none"/>
        </w:rPr>
      </w:pPr>
      <w:r>
        <w:rPr>
          <w:rFonts w:ascii="Times New Roman" w:hAnsi="Times New Roman"/>
          <w:highlight w:val="none"/>
        </w:rPr>
        <w:t>根据《环境影响评价技术导则  声环境》（HJ 2.4—2021）将声环境影响评价工作等级分为三级，划分依据见表2.4-7。</w:t>
      </w:r>
    </w:p>
    <w:p w14:paraId="75FD7173">
      <w:pPr>
        <w:ind w:firstLine="0" w:firstLineChars="0"/>
        <w:jc w:val="center"/>
        <w:rPr>
          <w:rFonts w:hint="eastAsia" w:ascii="黑体" w:hAnsi="黑体" w:eastAsia="黑体" w:cs="黑体"/>
          <w:highlight w:val="none"/>
        </w:rPr>
      </w:pPr>
      <w:r>
        <w:rPr>
          <w:rFonts w:hint="eastAsia" w:ascii="黑体" w:hAnsi="黑体" w:eastAsia="黑体" w:cs="黑体"/>
          <w:highlight w:val="none"/>
        </w:rPr>
        <w:t>表2.4-7 声环境评价工作等级划分（相关部分）</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797"/>
        <w:gridCol w:w="1909"/>
        <w:gridCol w:w="1909"/>
        <w:gridCol w:w="1907"/>
      </w:tblGrid>
      <w:tr w14:paraId="756600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641" w:type="pct"/>
            <w:noWrap w:val="0"/>
            <w:vAlign w:val="center"/>
          </w:tcPr>
          <w:p w14:paraId="1EFA77F3">
            <w:pPr>
              <w:pStyle w:val="27"/>
              <w:rPr>
                <w:rFonts w:ascii="Times New Roman" w:hAnsi="Times New Roman"/>
                <w:highlight w:val="none"/>
              </w:rPr>
            </w:pPr>
            <w:r>
              <w:rPr>
                <w:rFonts w:ascii="Times New Roman" w:hAnsi="Times New Roman"/>
                <w:highlight w:val="none"/>
              </w:rPr>
              <w:t>声环境评价工作等级</w:t>
            </w:r>
          </w:p>
        </w:tc>
        <w:tc>
          <w:tcPr>
            <w:tcW w:w="1120" w:type="pct"/>
            <w:noWrap w:val="0"/>
            <w:vAlign w:val="center"/>
          </w:tcPr>
          <w:p w14:paraId="568DA56C">
            <w:pPr>
              <w:pStyle w:val="27"/>
              <w:rPr>
                <w:rFonts w:ascii="Times New Roman" w:hAnsi="Times New Roman"/>
                <w:highlight w:val="none"/>
              </w:rPr>
            </w:pPr>
            <w:r>
              <w:rPr>
                <w:rFonts w:ascii="Times New Roman" w:hAnsi="Times New Roman"/>
                <w:highlight w:val="none"/>
              </w:rPr>
              <w:t>一级</w:t>
            </w:r>
          </w:p>
        </w:tc>
        <w:tc>
          <w:tcPr>
            <w:tcW w:w="1120" w:type="pct"/>
            <w:noWrap w:val="0"/>
            <w:vAlign w:val="center"/>
          </w:tcPr>
          <w:p w14:paraId="201DE5DD">
            <w:pPr>
              <w:pStyle w:val="27"/>
              <w:rPr>
                <w:rFonts w:ascii="Times New Roman" w:hAnsi="Times New Roman"/>
                <w:highlight w:val="none"/>
              </w:rPr>
            </w:pPr>
            <w:r>
              <w:rPr>
                <w:rFonts w:ascii="Times New Roman" w:hAnsi="Times New Roman"/>
                <w:highlight w:val="none"/>
              </w:rPr>
              <w:t>二级</w:t>
            </w:r>
          </w:p>
        </w:tc>
        <w:tc>
          <w:tcPr>
            <w:tcW w:w="1119" w:type="pct"/>
            <w:noWrap w:val="0"/>
            <w:vAlign w:val="center"/>
          </w:tcPr>
          <w:p w14:paraId="002F0D05">
            <w:pPr>
              <w:pStyle w:val="27"/>
              <w:rPr>
                <w:rFonts w:ascii="Times New Roman" w:hAnsi="Times New Roman"/>
                <w:highlight w:val="none"/>
              </w:rPr>
            </w:pPr>
            <w:r>
              <w:rPr>
                <w:rFonts w:ascii="Times New Roman" w:hAnsi="Times New Roman"/>
                <w:highlight w:val="none"/>
              </w:rPr>
              <w:t>三级</w:t>
            </w:r>
          </w:p>
        </w:tc>
      </w:tr>
      <w:tr w14:paraId="0690B7B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641" w:type="pct"/>
            <w:noWrap w:val="0"/>
            <w:vAlign w:val="center"/>
          </w:tcPr>
          <w:p w14:paraId="1A398573">
            <w:pPr>
              <w:pStyle w:val="27"/>
              <w:rPr>
                <w:rFonts w:ascii="Times New Roman" w:hAnsi="Times New Roman"/>
                <w:highlight w:val="none"/>
              </w:rPr>
            </w:pPr>
            <w:r>
              <w:rPr>
                <w:rFonts w:ascii="Times New Roman" w:hAnsi="Times New Roman"/>
                <w:highlight w:val="none"/>
              </w:rPr>
              <w:t>建设项目所在区域的声环境功能区类别</w:t>
            </w:r>
          </w:p>
        </w:tc>
        <w:tc>
          <w:tcPr>
            <w:tcW w:w="1120" w:type="pct"/>
            <w:noWrap w:val="0"/>
            <w:vAlign w:val="center"/>
          </w:tcPr>
          <w:p w14:paraId="10DD5A2A">
            <w:pPr>
              <w:pStyle w:val="27"/>
              <w:rPr>
                <w:rFonts w:ascii="Times New Roman" w:hAnsi="Times New Roman"/>
                <w:highlight w:val="none"/>
              </w:rPr>
            </w:pPr>
            <w:r>
              <w:rPr>
                <w:rFonts w:ascii="Times New Roman" w:hAnsi="Times New Roman"/>
                <w:highlight w:val="none"/>
              </w:rPr>
              <w:t>GB3096规定的0类声环境功能区域</w:t>
            </w:r>
          </w:p>
        </w:tc>
        <w:tc>
          <w:tcPr>
            <w:tcW w:w="1120" w:type="pct"/>
            <w:noWrap w:val="0"/>
            <w:vAlign w:val="center"/>
          </w:tcPr>
          <w:p w14:paraId="529037D6">
            <w:pPr>
              <w:pStyle w:val="27"/>
              <w:rPr>
                <w:rFonts w:ascii="Times New Roman" w:hAnsi="Times New Roman"/>
                <w:highlight w:val="none"/>
              </w:rPr>
            </w:pPr>
            <w:r>
              <w:rPr>
                <w:rFonts w:ascii="Times New Roman" w:hAnsi="Times New Roman"/>
                <w:highlight w:val="none"/>
              </w:rPr>
              <w:t>GB3096规定的1类、2类地区</w:t>
            </w:r>
          </w:p>
        </w:tc>
        <w:tc>
          <w:tcPr>
            <w:tcW w:w="1119" w:type="pct"/>
            <w:noWrap w:val="0"/>
            <w:vAlign w:val="center"/>
          </w:tcPr>
          <w:p w14:paraId="4A5BD74A">
            <w:pPr>
              <w:pStyle w:val="27"/>
              <w:rPr>
                <w:rFonts w:ascii="Times New Roman" w:hAnsi="Times New Roman"/>
                <w:highlight w:val="none"/>
              </w:rPr>
            </w:pPr>
            <w:r>
              <w:rPr>
                <w:rFonts w:ascii="Times New Roman" w:hAnsi="Times New Roman"/>
                <w:highlight w:val="none"/>
              </w:rPr>
              <w:t>GB3096规定的3类、4类地区</w:t>
            </w:r>
          </w:p>
        </w:tc>
      </w:tr>
      <w:tr w14:paraId="14EA65D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2" w:hRule="atLeast"/>
          <w:jc w:val="center"/>
        </w:trPr>
        <w:tc>
          <w:tcPr>
            <w:tcW w:w="1641" w:type="pct"/>
            <w:noWrap w:val="0"/>
            <w:vAlign w:val="center"/>
          </w:tcPr>
          <w:p w14:paraId="41C49025">
            <w:pPr>
              <w:pStyle w:val="27"/>
              <w:rPr>
                <w:rFonts w:ascii="Times New Roman" w:hAnsi="Times New Roman"/>
                <w:highlight w:val="none"/>
              </w:rPr>
            </w:pPr>
            <w:r>
              <w:rPr>
                <w:rFonts w:ascii="Times New Roman" w:hAnsi="Times New Roman"/>
                <w:highlight w:val="none"/>
              </w:rPr>
              <w:t>建设项目建设前后所在区域的声环境质量变化程度</w:t>
            </w:r>
          </w:p>
        </w:tc>
        <w:tc>
          <w:tcPr>
            <w:tcW w:w="1120" w:type="pct"/>
            <w:noWrap w:val="0"/>
            <w:vAlign w:val="center"/>
          </w:tcPr>
          <w:p w14:paraId="5F0FFC3C">
            <w:pPr>
              <w:pStyle w:val="27"/>
              <w:rPr>
                <w:rFonts w:ascii="Times New Roman" w:hAnsi="Times New Roman"/>
                <w:highlight w:val="none"/>
              </w:rPr>
            </w:pPr>
            <w:r>
              <w:rPr>
                <w:rFonts w:ascii="Times New Roman" w:hAnsi="Times New Roman"/>
                <w:highlight w:val="none"/>
              </w:rPr>
              <w:t>敏感目标噪声级增高量＞5dB（A）</w:t>
            </w:r>
          </w:p>
        </w:tc>
        <w:tc>
          <w:tcPr>
            <w:tcW w:w="1120" w:type="pct"/>
            <w:noWrap w:val="0"/>
            <w:vAlign w:val="center"/>
          </w:tcPr>
          <w:p w14:paraId="3AF92E4C">
            <w:pPr>
              <w:pStyle w:val="27"/>
              <w:rPr>
                <w:rFonts w:ascii="Times New Roman" w:hAnsi="Times New Roman"/>
                <w:highlight w:val="none"/>
              </w:rPr>
            </w:pPr>
            <w:r>
              <w:rPr>
                <w:rFonts w:ascii="Times New Roman" w:hAnsi="Times New Roman"/>
                <w:highlight w:val="none"/>
              </w:rPr>
              <w:t>敏感目标噪声级增高量达3dB（A）～5dB（A）</w:t>
            </w:r>
          </w:p>
        </w:tc>
        <w:tc>
          <w:tcPr>
            <w:tcW w:w="1119" w:type="pct"/>
            <w:noWrap w:val="0"/>
            <w:vAlign w:val="center"/>
          </w:tcPr>
          <w:p w14:paraId="610D2668">
            <w:pPr>
              <w:pStyle w:val="27"/>
              <w:rPr>
                <w:rFonts w:ascii="Times New Roman" w:hAnsi="Times New Roman"/>
                <w:highlight w:val="none"/>
              </w:rPr>
            </w:pPr>
            <w:r>
              <w:rPr>
                <w:rFonts w:ascii="Times New Roman" w:hAnsi="Times New Roman"/>
                <w:highlight w:val="none"/>
              </w:rPr>
              <w:t>敏感目标噪声级增高量＜3dB（A）</w:t>
            </w:r>
          </w:p>
        </w:tc>
      </w:tr>
      <w:tr w14:paraId="276BE47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 w:hRule="atLeast"/>
          <w:jc w:val="center"/>
        </w:trPr>
        <w:tc>
          <w:tcPr>
            <w:tcW w:w="1641" w:type="pct"/>
            <w:noWrap w:val="0"/>
            <w:vAlign w:val="center"/>
          </w:tcPr>
          <w:p w14:paraId="5EE94EBC">
            <w:pPr>
              <w:pStyle w:val="27"/>
              <w:rPr>
                <w:rFonts w:ascii="Times New Roman" w:hAnsi="Times New Roman"/>
                <w:highlight w:val="none"/>
              </w:rPr>
            </w:pPr>
            <w:r>
              <w:rPr>
                <w:rFonts w:ascii="Times New Roman" w:hAnsi="Times New Roman"/>
                <w:highlight w:val="none"/>
              </w:rPr>
              <w:t>受建设项目影响人口的数量</w:t>
            </w:r>
          </w:p>
        </w:tc>
        <w:tc>
          <w:tcPr>
            <w:tcW w:w="1120" w:type="pct"/>
            <w:noWrap w:val="0"/>
            <w:vAlign w:val="center"/>
          </w:tcPr>
          <w:p w14:paraId="41FAD163">
            <w:pPr>
              <w:pStyle w:val="27"/>
              <w:rPr>
                <w:rFonts w:ascii="Times New Roman" w:hAnsi="Times New Roman"/>
                <w:highlight w:val="none"/>
              </w:rPr>
            </w:pPr>
            <w:r>
              <w:rPr>
                <w:rFonts w:ascii="Times New Roman" w:hAnsi="Times New Roman"/>
                <w:highlight w:val="none"/>
              </w:rPr>
              <w:t>显著增多</w:t>
            </w:r>
          </w:p>
        </w:tc>
        <w:tc>
          <w:tcPr>
            <w:tcW w:w="1120" w:type="pct"/>
            <w:noWrap w:val="0"/>
            <w:vAlign w:val="center"/>
          </w:tcPr>
          <w:p w14:paraId="7C8AA10B">
            <w:pPr>
              <w:pStyle w:val="27"/>
              <w:rPr>
                <w:rFonts w:ascii="Times New Roman" w:hAnsi="Times New Roman"/>
                <w:highlight w:val="none"/>
              </w:rPr>
            </w:pPr>
            <w:r>
              <w:rPr>
                <w:rFonts w:ascii="Times New Roman" w:hAnsi="Times New Roman"/>
                <w:highlight w:val="none"/>
              </w:rPr>
              <w:t>增加较多</w:t>
            </w:r>
          </w:p>
        </w:tc>
        <w:tc>
          <w:tcPr>
            <w:tcW w:w="1119" w:type="pct"/>
            <w:noWrap w:val="0"/>
            <w:vAlign w:val="center"/>
          </w:tcPr>
          <w:p w14:paraId="77DF8C82">
            <w:pPr>
              <w:pStyle w:val="27"/>
              <w:rPr>
                <w:rFonts w:ascii="Times New Roman" w:hAnsi="Times New Roman"/>
                <w:highlight w:val="none"/>
              </w:rPr>
            </w:pPr>
            <w:r>
              <w:rPr>
                <w:rFonts w:ascii="Times New Roman" w:hAnsi="Times New Roman"/>
                <w:highlight w:val="none"/>
              </w:rPr>
              <w:t>变化不大</w:t>
            </w:r>
          </w:p>
        </w:tc>
      </w:tr>
    </w:tbl>
    <w:p w14:paraId="08B53235">
      <w:pPr>
        <w:ind w:firstLine="480"/>
        <w:rPr>
          <w:rFonts w:ascii="Times New Roman" w:hAnsi="Times New Roman"/>
          <w:highlight w:val="none"/>
        </w:rPr>
      </w:pPr>
      <w:r>
        <w:rPr>
          <w:rFonts w:ascii="Times New Roman" w:hAnsi="Times New Roman"/>
          <w:highlight w:val="none"/>
        </w:rPr>
        <w:t>本工程具体情况为：本项目处于《声环境质量标准》(GB3096-2008)中</w:t>
      </w:r>
      <w:r>
        <w:rPr>
          <w:rFonts w:hint="eastAsia" w:ascii="Times New Roman" w:hAnsi="Times New Roman"/>
          <w:highlight w:val="none"/>
          <w:lang w:val="en-US" w:eastAsia="zh-CN"/>
        </w:rPr>
        <w:t>2</w:t>
      </w:r>
      <w:r>
        <w:rPr>
          <w:rFonts w:ascii="Times New Roman" w:hAnsi="Times New Roman"/>
          <w:highlight w:val="none"/>
        </w:rPr>
        <w:t>类区，敏感目标噪声级增高量达3dB（A）～5dB（A），</w:t>
      </w:r>
      <w:r>
        <w:rPr>
          <w:rFonts w:hint="eastAsia" w:ascii="Times New Roman" w:hAnsi="Times New Roman"/>
          <w:highlight w:val="none"/>
        </w:rPr>
        <w:t>本项目建</w:t>
      </w:r>
      <w:r>
        <w:rPr>
          <w:rFonts w:hint="eastAsia" w:ascii="Times New Roman" w:hAnsi="Times New Roman"/>
          <w:highlight w:val="none"/>
          <w:lang w:val="en-US" w:eastAsia="zh-CN"/>
        </w:rPr>
        <w:t>设</w:t>
      </w:r>
      <w:r>
        <w:rPr>
          <w:rFonts w:hint="eastAsia" w:ascii="Times New Roman" w:hAnsi="Times New Roman"/>
          <w:highlight w:val="none"/>
        </w:rPr>
        <w:t>后，距厂界距离200m范围内，受建设项目影响新增人口的数量变化不大。</w:t>
      </w:r>
      <w:r>
        <w:rPr>
          <w:rFonts w:ascii="Times New Roman" w:hAnsi="Times New Roman"/>
          <w:highlight w:val="none"/>
        </w:rPr>
        <w:t>对照上表，确定本次声环境评价等级为</w:t>
      </w:r>
      <w:r>
        <w:rPr>
          <w:rFonts w:hint="eastAsia" w:ascii="Times New Roman" w:hAnsi="Times New Roman"/>
          <w:highlight w:val="none"/>
          <w:lang w:val="en-US" w:eastAsia="zh-CN"/>
        </w:rPr>
        <w:t>二</w:t>
      </w:r>
      <w:r>
        <w:rPr>
          <w:rFonts w:ascii="Times New Roman" w:hAnsi="Times New Roman"/>
          <w:highlight w:val="none"/>
        </w:rPr>
        <w:t>级。</w:t>
      </w:r>
    </w:p>
    <w:p w14:paraId="6828664D">
      <w:pPr>
        <w:ind w:firstLine="480"/>
        <w:rPr>
          <w:rFonts w:ascii="Times New Roman" w:hAnsi="Times New Roman"/>
          <w:highlight w:val="none"/>
        </w:rPr>
      </w:pPr>
      <w:r>
        <w:rPr>
          <w:rFonts w:ascii="Times New Roman" w:hAnsi="Times New Roman"/>
          <w:highlight w:val="none"/>
        </w:rPr>
        <w:t>（2）评价范围</w:t>
      </w:r>
    </w:p>
    <w:p w14:paraId="59E2DF2D">
      <w:pPr>
        <w:ind w:firstLine="480"/>
        <w:rPr>
          <w:rFonts w:ascii="Times New Roman" w:hAnsi="Times New Roman"/>
          <w:highlight w:val="none"/>
        </w:rPr>
      </w:pPr>
      <w:r>
        <w:rPr>
          <w:rFonts w:ascii="Times New Roman" w:hAnsi="Times New Roman"/>
          <w:highlight w:val="none"/>
        </w:rPr>
        <w:t>根据《环境影响评价技术导则  声环境》（HJ 2.4—2021）中关于噪声环境影响评价范围的确定原则，本评价噪声评价范围厂界外200m。</w:t>
      </w:r>
    </w:p>
    <w:p w14:paraId="5D641AF7">
      <w:pPr>
        <w:pStyle w:val="23"/>
        <w:ind w:firstLine="0" w:firstLineChars="0"/>
        <w:jc w:val="right"/>
        <w:rPr>
          <w:rFonts w:hint="eastAsia" w:ascii="Times New Roman" w:hAnsi="Times New Roman" w:eastAsia="宋体"/>
          <w:color w:val="auto"/>
          <w:highlight w:val="none"/>
          <w:lang w:eastAsia="zh-CN"/>
        </w:rPr>
      </w:pPr>
      <w:r>
        <w:rPr>
          <w:sz w:val="24"/>
          <w:highlight w:val="none"/>
        </w:rPr>
        <mc:AlternateContent>
          <mc:Choice Requires="wps">
            <w:drawing>
              <wp:anchor distT="0" distB="0" distL="114300" distR="114300" simplePos="0" relativeHeight="251680768" behindDoc="0" locked="0" layoutInCell="1" allowOverlap="1">
                <wp:simplePos x="0" y="0"/>
                <wp:positionH relativeFrom="column">
                  <wp:posOffset>3970655</wp:posOffset>
                </wp:positionH>
                <wp:positionV relativeFrom="paragraph">
                  <wp:posOffset>4174490</wp:posOffset>
                </wp:positionV>
                <wp:extent cx="314325" cy="161925"/>
                <wp:effectExtent l="6350" t="6350" r="22225" b="22225"/>
                <wp:wrapNone/>
                <wp:docPr id="29" name="矩形 29"/>
                <wp:cNvGraphicFramePr/>
                <a:graphic xmlns:a="http://schemas.openxmlformats.org/drawingml/2006/main">
                  <a:graphicData uri="http://schemas.microsoft.com/office/word/2010/wordprocessingShape">
                    <wps:wsp>
                      <wps:cNvSpPr/>
                      <wps:spPr>
                        <a:xfrm>
                          <a:off x="5094605" y="8047355"/>
                          <a:ext cx="314325" cy="161925"/>
                        </a:xfrm>
                        <a:prstGeom prst="rect">
                          <a:avLst/>
                        </a:prstGeom>
                        <a:noFill/>
                        <a:ln>
                          <a:solidFill>
                            <a:schemeClr val="accent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2.65pt;margin-top:328.7pt;height:12.75pt;width:24.75pt;z-index:251680768;v-text-anchor:middle;mso-width-relative:page;mso-height-relative:page;" filled="f" stroked="t" coordsize="21600,21600" o:gfxdata="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FxDWSPZAAAACwEAAA8AAAAAAAAAAQAgAAAAIgAA&#10;AGRycy9kb3ducmV2LnhtbFBLAQIUABQAAAAIAIdO4kANr57PeQIAANgEAAAOAAAAAAAAAAEAIAAA&#10;ACgBAABkcnMvZTJvRG9jLnhtbFBLBQYAAAAABgAGAFkBAAATBgAAAAA=&#10;">
                <v:fill on="f" focussize="0,0"/>
                <v:stroke weight="1pt" color="#75BD42 [3207]" miterlimit="8" joinstyle="miter"/>
                <v:imagedata o:title=""/>
                <o:lock v:ext="edit" aspectratio="f"/>
              </v:rect>
            </w:pict>
          </mc:Fallback>
        </mc:AlternateContent>
      </w:r>
      <w:r>
        <w:rPr>
          <w:sz w:val="24"/>
          <w:highlight w:val="none"/>
        </w:rPr>
        <mc:AlternateContent>
          <mc:Choice Requires="wps">
            <w:drawing>
              <wp:anchor distT="0" distB="0" distL="114300" distR="114300" simplePos="0" relativeHeight="251679744" behindDoc="0" locked="0" layoutInCell="1" allowOverlap="1">
                <wp:simplePos x="0" y="0"/>
                <wp:positionH relativeFrom="column">
                  <wp:posOffset>3951605</wp:posOffset>
                </wp:positionH>
                <wp:positionV relativeFrom="paragraph">
                  <wp:posOffset>3869690</wp:posOffset>
                </wp:positionV>
                <wp:extent cx="323850" cy="161925"/>
                <wp:effectExtent l="6350" t="6350" r="12700" b="22225"/>
                <wp:wrapNone/>
                <wp:docPr id="28" name="矩形 28"/>
                <wp:cNvGraphicFramePr/>
                <a:graphic xmlns:a="http://schemas.openxmlformats.org/drawingml/2006/main">
                  <a:graphicData uri="http://schemas.microsoft.com/office/word/2010/wordprocessingShape">
                    <wps:wsp>
                      <wps:cNvSpPr/>
                      <wps:spPr>
                        <a:xfrm>
                          <a:off x="5123180" y="7733030"/>
                          <a:ext cx="323850" cy="161925"/>
                        </a:xfrm>
                        <a:prstGeom prst="rect">
                          <a:avLst/>
                        </a:prstGeom>
                        <a:noFill/>
                        <a:ln>
                          <a:solidFill>
                            <a:schemeClr val="accent3"/>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1.15pt;margin-top:304.7pt;height:12.75pt;width:25.5pt;z-index:251679744;v-text-anchor:middle;mso-width-relative:page;mso-height-relative:page;" filled="f" stroked="t" coordsize="21600,21600" o:gfxdata="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AVO+r2gAAAAsBAAAPAAAAAAAAAAEAIAAAACIA&#10;AABkcnMvZG93bnJldi54bWxQSwECFAAUAAAACACHTuJAIqP91HkCAADYBAAADgAAAAAAAAABACAA&#10;AAApAQAAZHJzL2Uyb0RvYy54bWxQSwUGAAAAAAYABgBZAQAAFAYAAAAA&#10;">
                <v:fill on="f" focussize="0,0"/>
                <v:stroke weight="1pt" color="#F2BA02 [3206]" miterlimit="8" joinstyle="miter"/>
                <v:imagedata o:title=""/>
                <o:lock v:ext="edit" aspectratio="f"/>
              </v:rect>
            </w:pict>
          </mc:Fallback>
        </mc:AlternateContent>
      </w:r>
      <w:r>
        <w:rPr>
          <w:sz w:val="24"/>
          <w:highlight w:val="none"/>
        </w:rPr>
        <mc:AlternateContent>
          <mc:Choice Requires="wps">
            <w:drawing>
              <wp:anchor distT="0" distB="0" distL="114300" distR="114300" simplePos="0" relativeHeight="251678720" behindDoc="0" locked="0" layoutInCell="1" allowOverlap="1">
                <wp:simplePos x="0" y="0"/>
                <wp:positionH relativeFrom="column">
                  <wp:posOffset>3942080</wp:posOffset>
                </wp:positionH>
                <wp:positionV relativeFrom="paragraph">
                  <wp:posOffset>3631565</wp:posOffset>
                </wp:positionV>
                <wp:extent cx="342900" cy="161925"/>
                <wp:effectExtent l="6350" t="6350" r="12700" b="22225"/>
                <wp:wrapNone/>
                <wp:docPr id="27" name="矩形 27"/>
                <wp:cNvGraphicFramePr/>
                <a:graphic xmlns:a="http://schemas.openxmlformats.org/drawingml/2006/main">
                  <a:graphicData uri="http://schemas.microsoft.com/office/word/2010/wordprocessingShape">
                    <wps:wsp>
                      <wps:cNvSpPr/>
                      <wps:spPr>
                        <a:xfrm>
                          <a:off x="5085080" y="7466330"/>
                          <a:ext cx="342900" cy="161925"/>
                        </a:xfrm>
                        <a:prstGeom prst="rect">
                          <a:avLst/>
                        </a:prstGeom>
                        <a:noFill/>
                        <a:ln>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0.4pt;margin-top:285.95pt;height:12.75pt;width:27pt;z-index:251678720;v-text-anchor:middle;mso-width-relative:page;mso-height-relative:page;" filled="f" stroked="t" coordsize="21600,21600" o:gfxdata="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vp+v9NkAAAALAQAADwAAAAAAAAABACAAAAAiAAAAZHJz&#10;L2Rvd25yZXYueG1sUEsBAhQAFAAAAAgAh07iQAkG2DB1AgAA2AQAAA4AAAAAAAAAAQAgAAAAKAEA&#10;AGRycy9lMm9Eb2MueG1sUEsFBgAAAAAGAAYAWQEAAA8GAAAAAA==&#10;">
                <v:fill on="f" focussize="0,0"/>
                <v:stroke weight="1pt" color="#C00000 [2404]" miterlimit="8" joinstyle="miter"/>
                <v:imagedata o:title=""/>
                <o:lock v:ext="edit" aspectratio="f"/>
              </v:rect>
            </w:pict>
          </mc:Fallback>
        </mc:AlternateContent>
      </w:r>
      <w:r>
        <w:rPr>
          <w:rFonts w:ascii="Times New Roman" w:hAnsi="Times New Roman"/>
          <w:color w:val="auto"/>
          <w:highlight w:val="none"/>
        </w:rPr>
        <mc:AlternateContent>
          <mc:Choice Requires="wps">
            <w:drawing>
              <wp:anchor distT="0" distB="0" distL="114300" distR="114300" simplePos="0" relativeHeight="251666432" behindDoc="0" locked="0" layoutInCell="1" allowOverlap="1">
                <wp:simplePos x="0" y="0"/>
                <wp:positionH relativeFrom="column">
                  <wp:posOffset>3800475</wp:posOffset>
                </wp:positionH>
                <wp:positionV relativeFrom="paragraph">
                  <wp:posOffset>3247390</wp:posOffset>
                </wp:positionV>
                <wp:extent cx="1457325" cy="1200785"/>
                <wp:effectExtent l="12700" t="12700" r="15875" b="24765"/>
                <wp:wrapNone/>
                <wp:docPr id="78" name="矩形 78"/>
                <wp:cNvGraphicFramePr/>
                <a:graphic xmlns:a="http://schemas.openxmlformats.org/drawingml/2006/main">
                  <a:graphicData uri="http://schemas.microsoft.com/office/word/2010/wordprocessingShape">
                    <wps:wsp>
                      <wps:cNvSpPr/>
                      <wps:spPr>
                        <a:xfrm>
                          <a:off x="0" y="0"/>
                          <a:ext cx="1457325" cy="1200785"/>
                        </a:xfrm>
                        <a:prstGeom prst="rect">
                          <a:avLst/>
                        </a:prstGeom>
                        <a:solidFill>
                          <a:srgbClr val="FFFFFF"/>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9.25pt;margin-top:255.7pt;height:94.55pt;width:114.75pt;z-index:251666432;v-text-anchor:middle;mso-width-relative:page;mso-height-relative:page;" fillcolor="#FFFFFF" filled="t" stroked="t" coordsize="21600,21600" o:gfxdata="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8yMKLZAAAACwEAAA8AAAAAAAAAAQAgAAAAIgAAAGRycy9kb3ducmV2Lnht&#10;bFBLAQIUABQAAAAIAIdO4kB+xcVkagIAAO4EAAAOAAAAAAAAAAEAIAAAACgBAABkcnMvZTJvRG9j&#10;LnhtbFBLBQYAAAAABgAGAFkBAAAEBgAAAAA=&#10;">
                <v:fill on="t" focussize="0,0"/>
                <v:stroke weight="2pt" color="#000000" joinstyle="round"/>
                <v:imagedata o:title=""/>
                <o:lock v:ext="edit" aspectratio="f"/>
              </v:rect>
            </w:pict>
          </mc:Fallback>
        </mc:AlternateContent>
      </w:r>
      <w:r>
        <w:rPr>
          <w:rFonts w:ascii="Times New Roman" w:hAnsi="Times New Roman"/>
          <w:color w:val="auto"/>
          <w:highlight w:val="none"/>
        </w:rPr>
        <mc:AlternateContent>
          <mc:Choice Requires="wps">
            <w:drawing>
              <wp:anchor distT="0" distB="0" distL="114300" distR="114300" simplePos="0" relativeHeight="251667456" behindDoc="0" locked="0" layoutInCell="1" allowOverlap="1">
                <wp:simplePos x="0" y="0"/>
                <wp:positionH relativeFrom="column">
                  <wp:posOffset>4619625</wp:posOffset>
                </wp:positionH>
                <wp:positionV relativeFrom="paragraph">
                  <wp:posOffset>3219450</wp:posOffset>
                </wp:positionV>
                <wp:extent cx="552450" cy="342900"/>
                <wp:effectExtent l="0" t="0" r="0" b="0"/>
                <wp:wrapNone/>
                <wp:docPr id="10" name="文本框 10"/>
                <wp:cNvGraphicFramePr/>
                <a:graphic xmlns:a="http://schemas.openxmlformats.org/drawingml/2006/main">
                  <a:graphicData uri="http://schemas.microsoft.com/office/word/2010/wordprocessingShape">
                    <wps:wsp>
                      <wps:cNvSpPr txBox="1">
                        <a:spLocks noChangeArrowheads="1"/>
                      </wps:cNvSpPr>
                      <wps:spPr bwMode="auto">
                        <a:xfrm>
                          <a:off x="0" y="0"/>
                          <a:ext cx="552450" cy="342900"/>
                        </a:xfrm>
                        <a:prstGeom prst="rect">
                          <a:avLst/>
                        </a:prstGeom>
                        <a:noFill/>
                        <a:ln w="9525">
                          <a:noFill/>
                          <a:miter lim="800000"/>
                        </a:ln>
                        <a:effectLst/>
                      </wps:spPr>
                      <wps:txbx>
                        <w:txbxContent>
                          <w:p w14:paraId="3F553716">
                            <w:pPr>
                              <w:ind w:firstLine="0" w:firstLineChars="0"/>
                            </w:pPr>
                            <w:r>
                              <w:rPr>
                                <w:rFonts w:hint="eastAsia"/>
                              </w:rPr>
                              <w:t>图例</w:t>
                            </w: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363.75pt;margin-top:253.5pt;height:27pt;width:43.5pt;z-index:251667456;mso-width-relative:page;mso-height-relative:page;" filled="f" stroked="f" coordsize="21600,21600" o:gfxdata="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HSozYtcAAAALAQAADwAAAAAAAAABACAAAAAiAAAAZHJzL2Rvd25yZXYueG1sUEsBAhQAFAAA&#10;AAgAh07iQF0+LI8pAgAAOAQAAA4AAAAAAAAAAQAgAAAAJgEAAGRycy9lMm9Eb2MueG1sUEsFBgAA&#10;AAAGAAYAWQEAAMEFAAAAAA==&#10;">
                <v:fill on="f" focussize="0,0"/>
                <v:stroke on="f" miterlimit="8" joinstyle="miter"/>
                <v:imagedata o:title=""/>
                <o:lock v:ext="edit" aspectratio="f"/>
                <v:textbox>
                  <w:txbxContent>
                    <w:p w14:paraId="3F553716">
                      <w:pPr>
                        <w:ind w:firstLine="0" w:firstLineChars="0"/>
                      </w:pPr>
                      <w:r>
                        <w:rPr>
                          <w:rFonts w:hint="eastAsia"/>
                        </w:rPr>
                        <w:t>图例</w:t>
                      </w:r>
                    </w:p>
                  </w:txbxContent>
                </v:textbox>
              </v:shape>
            </w:pict>
          </mc:Fallback>
        </mc:AlternateContent>
      </w:r>
      <w:r>
        <w:rPr>
          <w:rFonts w:ascii="Times New Roman" w:hAnsi="Times New Roman"/>
          <w:color w:val="auto"/>
          <w:highlight w:val="none"/>
        </w:rPr>
        <mc:AlternateContent>
          <mc:Choice Requires="wps">
            <w:drawing>
              <wp:anchor distT="0" distB="0" distL="114300" distR="114300" simplePos="0" relativeHeight="251668480" behindDoc="0" locked="0" layoutInCell="1" allowOverlap="1">
                <wp:simplePos x="0" y="0"/>
                <wp:positionH relativeFrom="column">
                  <wp:posOffset>4352925</wp:posOffset>
                </wp:positionH>
                <wp:positionV relativeFrom="paragraph">
                  <wp:posOffset>3524250</wp:posOffset>
                </wp:positionV>
                <wp:extent cx="1009650" cy="342900"/>
                <wp:effectExtent l="0" t="0" r="0" b="0"/>
                <wp:wrapNone/>
                <wp:docPr id="84" name="文本框 84"/>
                <wp:cNvGraphicFramePr/>
                <a:graphic xmlns:a="http://schemas.openxmlformats.org/drawingml/2006/main">
                  <a:graphicData uri="http://schemas.microsoft.com/office/word/2010/wordprocessingShape">
                    <wps:wsp>
                      <wps:cNvSpPr txBox="1">
                        <a:spLocks noChangeArrowheads="1"/>
                      </wps:cNvSpPr>
                      <wps:spPr bwMode="auto">
                        <a:xfrm>
                          <a:off x="0" y="0"/>
                          <a:ext cx="1009650" cy="342900"/>
                        </a:xfrm>
                        <a:prstGeom prst="rect">
                          <a:avLst/>
                        </a:prstGeom>
                        <a:noFill/>
                        <a:ln w="9525">
                          <a:noFill/>
                          <a:miter lim="800000"/>
                        </a:ln>
                        <a:effectLst/>
                      </wps:spPr>
                      <wps:txbx>
                        <w:txbxContent>
                          <w:p w14:paraId="00F87C73">
                            <w:pPr>
                              <w:ind w:firstLine="0" w:firstLineChars="0"/>
                            </w:pPr>
                            <w:r>
                              <w:rPr>
                                <w:rFonts w:hint="eastAsia"/>
                              </w:rPr>
                              <w:t>项目位置</w:t>
                            </w: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342.75pt;margin-top:277.5pt;height:27pt;width:79.5pt;z-index:251668480;mso-width-relative:page;mso-height-relative:page;" filled="f" stroked="f" coordsize="21600,21600" o:gfxdata="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AhlxYLXAAAACwEAAA8AAAAAAAAAAQAgAAAAIgAAAGRycy9kb3ducmV2LnhtbFBLAQIUABQA&#10;AAAIAIdO4kBtmqc2KgIAADkEAAAOAAAAAAAAAAEAIAAAACYBAABkcnMvZTJvRG9jLnhtbFBLBQYA&#10;AAAABgAGAFkBAADCBQAAAAA=&#10;">
                <v:fill on="f" focussize="0,0"/>
                <v:stroke on="f" miterlimit="8" joinstyle="miter"/>
                <v:imagedata o:title=""/>
                <o:lock v:ext="edit" aspectratio="f"/>
                <v:textbox>
                  <w:txbxContent>
                    <w:p w14:paraId="00F87C73">
                      <w:pPr>
                        <w:ind w:firstLine="0" w:firstLineChars="0"/>
                      </w:pPr>
                      <w:r>
                        <w:rPr>
                          <w:rFonts w:hint="eastAsia"/>
                        </w:rPr>
                        <w:t>项目位置</w:t>
                      </w:r>
                    </w:p>
                  </w:txbxContent>
                </v:textbox>
              </v:shape>
            </w:pict>
          </mc:Fallback>
        </mc:AlternateContent>
      </w:r>
      <w:r>
        <w:rPr>
          <w:rFonts w:ascii="Times New Roman" w:hAnsi="Times New Roman"/>
          <w:color w:val="auto"/>
          <w:highlight w:val="none"/>
        </w:rPr>
        <mc:AlternateContent>
          <mc:Choice Requires="wps">
            <w:drawing>
              <wp:anchor distT="0" distB="0" distL="114300" distR="114300" simplePos="0" relativeHeight="251677696" behindDoc="0" locked="0" layoutInCell="1" allowOverlap="1">
                <wp:simplePos x="0" y="0"/>
                <wp:positionH relativeFrom="column">
                  <wp:posOffset>4200525</wp:posOffset>
                </wp:positionH>
                <wp:positionV relativeFrom="paragraph">
                  <wp:posOffset>4095750</wp:posOffset>
                </wp:positionV>
                <wp:extent cx="1133475" cy="342900"/>
                <wp:effectExtent l="0" t="0" r="0" b="0"/>
                <wp:wrapNone/>
                <wp:docPr id="26" name="文本框 26"/>
                <wp:cNvGraphicFramePr/>
                <a:graphic xmlns:a="http://schemas.openxmlformats.org/drawingml/2006/main">
                  <a:graphicData uri="http://schemas.microsoft.com/office/word/2010/wordprocessingShape">
                    <wps:wsp>
                      <wps:cNvSpPr txBox="1">
                        <a:spLocks noChangeArrowheads="1"/>
                      </wps:cNvSpPr>
                      <wps:spPr bwMode="auto">
                        <a:xfrm>
                          <a:off x="0" y="0"/>
                          <a:ext cx="1133475" cy="342900"/>
                        </a:xfrm>
                        <a:prstGeom prst="rect">
                          <a:avLst/>
                        </a:prstGeom>
                        <a:noFill/>
                        <a:ln w="9525">
                          <a:noFill/>
                          <a:miter lim="800000"/>
                        </a:ln>
                        <a:effectLst/>
                      </wps:spPr>
                      <wps:txbx>
                        <w:txbxContent>
                          <w:p w14:paraId="768A120E">
                            <w:pPr>
                              <w:ind w:firstLine="0" w:firstLineChars="0"/>
                              <w:rPr>
                                <w:rFonts w:hint="default" w:eastAsia="宋体"/>
                                <w:lang w:val="en-US" w:eastAsia="zh-CN"/>
                              </w:rPr>
                            </w:pPr>
                            <w:r>
                              <w:rPr>
                                <w:rFonts w:hint="eastAsia"/>
                                <w:lang w:val="en-US" w:eastAsia="zh-CN"/>
                              </w:rPr>
                              <w:t>土壤评价范围</w:t>
                            </w: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330.75pt;margin-top:322.5pt;height:27pt;width:89.25pt;z-index:251677696;mso-width-relative:page;mso-height-relative:page;" filled="f" stroked="f" coordsize="21600,21600" o:gfxdata="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xR4bydcAAAALAQAADwAAAAAAAAABACAAAAAiAAAAZHJzL2Rvd25yZXYueG1sUEsBAhQA&#10;FAAAAAgAh07iQIeXHUksAgAAOQQAAA4AAAAAAAAAAQAgAAAAJgEAAGRycy9lMm9Eb2MueG1sUEsF&#10;BgAAAAAGAAYAWQEAAMQFAAAAAA==&#10;">
                <v:fill on="f" focussize="0,0"/>
                <v:stroke on="f" miterlimit="8" joinstyle="miter"/>
                <v:imagedata o:title=""/>
                <o:lock v:ext="edit" aspectratio="f"/>
                <v:textbox>
                  <w:txbxContent>
                    <w:p w14:paraId="768A120E">
                      <w:pPr>
                        <w:ind w:firstLine="0" w:firstLineChars="0"/>
                        <w:rPr>
                          <w:rFonts w:hint="default" w:eastAsia="宋体"/>
                          <w:lang w:val="en-US" w:eastAsia="zh-CN"/>
                        </w:rPr>
                      </w:pPr>
                      <w:r>
                        <w:rPr>
                          <w:rFonts w:hint="eastAsia"/>
                          <w:lang w:val="en-US" w:eastAsia="zh-CN"/>
                        </w:rPr>
                        <w:t>土壤评价范围</w:t>
                      </w:r>
                    </w:p>
                  </w:txbxContent>
                </v:textbox>
              </v:shape>
            </w:pict>
          </mc:Fallback>
        </mc:AlternateContent>
      </w:r>
      <w:r>
        <w:rPr>
          <w:rFonts w:ascii="Times New Roman" w:hAnsi="Times New Roman"/>
          <w:color w:val="auto"/>
          <w:highlight w:val="none"/>
        </w:rPr>
        <mc:AlternateContent>
          <mc:Choice Requires="wps">
            <w:drawing>
              <wp:anchor distT="0" distB="0" distL="114300" distR="114300" simplePos="0" relativeHeight="251669504" behindDoc="0" locked="0" layoutInCell="1" allowOverlap="1">
                <wp:simplePos x="0" y="0"/>
                <wp:positionH relativeFrom="column">
                  <wp:posOffset>4248150</wp:posOffset>
                </wp:positionH>
                <wp:positionV relativeFrom="paragraph">
                  <wp:posOffset>3771900</wp:posOffset>
                </wp:positionV>
                <wp:extent cx="1028700" cy="342900"/>
                <wp:effectExtent l="0" t="0" r="0" b="0"/>
                <wp:wrapNone/>
                <wp:docPr id="89" name="文本框 89"/>
                <wp:cNvGraphicFramePr/>
                <a:graphic xmlns:a="http://schemas.openxmlformats.org/drawingml/2006/main">
                  <a:graphicData uri="http://schemas.microsoft.com/office/word/2010/wordprocessingShape">
                    <wps:wsp>
                      <wps:cNvSpPr txBox="1">
                        <a:spLocks noChangeArrowheads="1"/>
                      </wps:cNvSpPr>
                      <wps:spPr bwMode="auto">
                        <a:xfrm>
                          <a:off x="0" y="0"/>
                          <a:ext cx="1028700" cy="342900"/>
                        </a:xfrm>
                        <a:prstGeom prst="rect">
                          <a:avLst/>
                        </a:prstGeom>
                        <a:noFill/>
                        <a:ln w="9525">
                          <a:noFill/>
                          <a:miter lim="800000"/>
                        </a:ln>
                        <a:effectLst/>
                      </wps:spPr>
                      <wps:txbx>
                        <w:txbxContent>
                          <w:p w14:paraId="14ABB134">
                            <w:pPr>
                              <w:ind w:firstLine="0" w:firstLineChars="0"/>
                            </w:pPr>
                            <w:r>
                              <w:rPr>
                                <w:rFonts w:hint="eastAsia"/>
                              </w:rPr>
                              <w:t>声评价范围</w:t>
                            </w: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334.5pt;margin-top:297pt;height:27pt;width:81pt;z-index:251669504;mso-width-relative:page;mso-height-relative:page;" filled="f" stroked="f" coordsize="21600,21600" o:gfxdata="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FVGD2XXAAAACwEAAA8AAAAAAAAAAQAgAAAAIgAAAGRycy9kb3ducmV2LnhtbFBLAQIUABQAAAAI&#10;AIdO4kAkvwJyJwIAADkEAAAOAAAAAAAAAAEAIAAAACYBAABkcnMvZTJvRG9jLnhtbFBLBQYAAAAA&#10;BgAGAFkBAAC/BQAAAAA=&#10;">
                <v:fill on="f" focussize="0,0"/>
                <v:stroke on="f" miterlimit="8" joinstyle="miter"/>
                <v:imagedata o:title=""/>
                <o:lock v:ext="edit" aspectratio="f"/>
                <v:textbox>
                  <w:txbxContent>
                    <w:p w14:paraId="14ABB134">
                      <w:pPr>
                        <w:ind w:firstLine="0" w:firstLineChars="0"/>
                      </w:pPr>
                      <w:r>
                        <w:rPr>
                          <w:rFonts w:hint="eastAsia"/>
                        </w:rPr>
                        <w:t>声评价范围</w:t>
                      </w:r>
                    </w:p>
                  </w:txbxContent>
                </v:textbox>
              </v:shape>
            </w:pict>
          </mc:Fallback>
        </mc:AlternateContent>
      </w:r>
      <w:r>
        <w:rPr>
          <w:rFonts w:ascii="Times New Roman" w:hAnsi="Times New Roman"/>
          <w:color w:val="auto"/>
          <w:highlight w:val="none"/>
        </w:rPr>
        <w:drawing>
          <wp:anchor distT="0" distB="0" distL="114300" distR="114300" simplePos="0" relativeHeight="251670528" behindDoc="0" locked="0" layoutInCell="1" allowOverlap="1">
            <wp:simplePos x="0" y="0"/>
            <wp:positionH relativeFrom="column">
              <wp:posOffset>4257675</wp:posOffset>
            </wp:positionH>
            <wp:positionV relativeFrom="paragraph">
              <wp:posOffset>85725</wp:posOffset>
            </wp:positionV>
            <wp:extent cx="1009650" cy="1228725"/>
            <wp:effectExtent l="0" t="0" r="0" b="9525"/>
            <wp:wrapNone/>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2"/>
                    <a:srcRect l="11627" r="6201"/>
                    <a:stretch>
                      <a:fillRect/>
                    </a:stretch>
                  </pic:blipFill>
                  <pic:spPr>
                    <a:xfrm>
                      <a:off x="0" y="0"/>
                      <a:ext cx="1009650" cy="1228725"/>
                    </a:xfrm>
                    <a:prstGeom prst="rect">
                      <a:avLst/>
                    </a:prstGeom>
                    <a:noFill/>
                    <a:ln>
                      <a:noFill/>
                    </a:ln>
                  </pic:spPr>
                </pic:pic>
              </a:graphicData>
            </a:graphic>
          </wp:anchor>
        </w:drawing>
      </w:r>
      <w:r>
        <w:rPr>
          <w:rFonts w:hint="eastAsia" w:ascii="Times New Roman" w:hAnsi="Times New Roman" w:eastAsia="宋体"/>
          <w:color w:val="auto"/>
          <w:highlight w:val="none"/>
          <w:lang w:eastAsia="zh-CN"/>
        </w:rPr>
        <w:drawing>
          <wp:inline distT="0" distB="0" distL="114300" distR="114300">
            <wp:extent cx="5264150" cy="4370070"/>
            <wp:effectExtent l="0" t="0" r="12700" b="11430"/>
            <wp:docPr id="25" name="图片 25" descr="0507cb9e4f06a254a3fe66ede4bd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0507cb9e4f06a254a3fe66ede4bd736"/>
                    <pic:cNvPicPr>
                      <a:picLocks noChangeAspect="1"/>
                    </pic:cNvPicPr>
                  </pic:nvPicPr>
                  <pic:blipFill>
                    <a:blip r:embed="rId13"/>
                    <a:stretch>
                      <a:fillRect/>
                    </a:stretch>
                  </pic:blipFill>
                  <pic:spPr>
                    <a:xfrm>
                      <a:off x="0" y="0"/>
                      <a:ext cx="5264150" cy="4370070"/>
                    </a:xfrm>
                    <a:prstGeom prst="rect">
                      <a:avLst/>
                    </a:prstGeom>
                  </pic:spPr>
                </pic:pic>
              </a:graphicData>
            </a:graphic>
          </wp:inline>
        </w:drawing>
      </w:r>
    </w:p>
    <w:p w14:paraId="7241FF51">
      <w:pPr>
        <w:ind w:firstLine="0" w:firstLineChars="0"/>
        <w:jc w:val="center"/>
        <w:rPr>
          <w:rFonts w:hint="eastAsia" w:ascii="Times New Roman" w:hAnsi="Times New Roman"/>
          <w:highlight w:val="none"/>
        </w:rPr>
      </w:pPr>
      <w:r>
        <w:rPr>
          <w:rFonts w:ascii="Times New Roman" w:hAnsi="Times New Roman"/>
          <w:b/>
          <w:bCs/>
          <w:highlight w:val="none"/>
        </w:rPr>
        <w:t>图2.4-</w:t>
      </w:r>
      <w:r>
        <w:rPr>
          <w:rFonts w:hint="eastAsia" w:ascii="Times New Roman" w:hAnsi="Times New Roman"/>
          <w:b/>
          <w:bCs/>
          <w:highlight w:val="none"/>
        </w:rPr>
        <w:t>3</w:t>
      </w:r>
      <w:r>
        <w:rPr>
          <w:rFonts w:ascii="Times New Roman" w:hAnsi="Times New Roman"/>
          <w:b/>
          <w:bCs/>
          <w:highlight w:val="none"/>
        </w:rPr>
        <w:t>声环境评价范围</w:t>
      </w:r>
    </w:p>
    <w:p w14:paraId="3E49BD21">
      <w:pPr>
        <w:pStyle w:val="23"/>
        <w:spacing w:line="240" w:lineRule="auto"/>
        <w:ind w:firstLine="0" w:firstLineChars="0"/>
        <w:rPr>
          <w:rFonts w:hint="eastAsia"/>
          <w:color w:val="auto"/>
          <w:highlight w:val="none"/>
        </w:rPr>
      </w:pPr>
      <w:r>
        <w:rPr>
          <w:color w:val="auto"/>
          <w:highlight w:val="none"/>
        </w:rPr>
        <w:drawing>
          <wp:anchor distT="0" distB="0" distL="114300" distR="114300" simplePos="0" relativeHeight="251671552" behindDoc="0" locked="0" layoutInCell="1" allowOverlap="1">
            <wp:simplePos x="0" y="0"/>
            <wp:positionH relativeFrom="column">
              <wp:posOffset>4257675</wp:posOffset>
            </wp:positionH>
            <wp:positionV relativeFrom="paragraph">
              <wp:posOffset>97155</wp:posOffset>
            </wp:positionV>
            <wp:extent cx="1009650" cy="1228725"/>
            <wp:effectExtent l="0" t="0" r="0" b="9525"/>
            <wp:wrapNone/>
            <wp:docPr id="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7"/>
                    <pic:cNvPicPr>
                      <a:picLocks noChangeAspect="1"/>
                    </pic:cNvPicPr>
                  </pic:nvPicPr>
                  <pic:blipFill>
                    <a:blip r:embed="rId12"/>
                    <a:srcRect l="11627" r="6201"/>
                    <a:stretch>
                      <a:fillRect/>
                    </a:stretch>
                  </pic:blipFill>
                  <pic:spPr>
                    <a:xfrm>
                      <a:off x="0" y="0"/>
                      <a:ext cx="1009650" cy="1228725"/>
                    </a:xfrm>
                    <a:prstGeom prst="rect">
                      <a:avLst/>
                    </a:prstGeom>
                    <a:noFill/>
                    <a:ln>
                      <a:noFill/>
                    </a:ln>
                  </pic:spPr>
                </pic:pic>
              </a:graphicData>
            </a:graphic>
          </wp:anchor>
        </w:drawing>
      </w:r>
      <w:r>
        <w:rPr>
          <w:highlight w:val="none"/>
        </w:rPr>
        <w:drawing>
          <wp:inline distT="0" distB="0" distL="114300" distR="114300">
            <wp:extent cx="5267325" cy="4825365"/>
            <wp:effectExtent l="0" t="0" r="9525" b="13335"/>
            <wp:docPr id="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5"/>
                    <pic:cNvPicPr>
                      <a:picLocks noChangeAspect="1"/>
                    </pic:cNvPicPr>
                  </pic:nvPicPr>
                  <pic:blipFill>
                    <a:blip r:embed="rId14"/>
                    <a:stretch>
                      <a:fillRect/>
                    </a:stretch>
                  </pic:blipFill>
                  <pic:spPr>
                    <a:xfrm>
                      <a:off x="0" y="0"/>
                      <a:ext cx="5267325" cy="4825365"/>
                    </a:xfrm>
                    <a:prstGeom prst="rect">
                      <a:avLst/>
                    </a:prstGeom>
                    <a:noFill/>
                    <a:ln>
                      <a:noFill/>
                    </a:ln>
                  </pic:spPr>
                </pic:pic>
              </a:graphicData>
            </a:graphic>
          </wp:inline>
        </w:drawing>
      </w:r>
    </w:p>
    <w:p w14:paraId="21D334FB">
      <w:pPr>
        <w:ind w:firstLine="0" w:firstLineChars="0"/>
        <w:jc w:val="center"/>
        <w:rPr>
          <w:rFonts w:hint="eastAsia" w:ascii="Times New Roman" w:hAnsi="Times New Roman"/>
          <w:b/>
          <w:bCs/>
          <w:highlight w:val="none"/>
        </w:rPr>
      </w:pPr>
      <w:r>
        <w:rPr>
          <w:rFonts w:ascii="Times New Roman" w:hAnsi="Times New Roman"/>
          <w:b/>
          <w:bCs/>
          <w:highlight w:val="none"/>
        </w:rPr>
        <w:t>图2.4-</w:t>
      </w:r>
      <w:r>
        <w:rPr>
          <w:rFonts w:hint="eastAsia" w:ascii="Times New Roman" w:hAnsi="Times New Roman"/>
          <w:b/>
          <w:bCs/>
          <w:highlight w:val="none"/>
        </w:rPr>
        <w:t>4</w:t>
      </w:r>
      <w:r>
        <w:rPr>
          <w:rFonts w:ascii="Times New Roman" w:hAnsi="Times New Roman"/>
          <w:b/>
          <w:bCs/>
          <w:highlight w:val="none"/>
        </w:rPr>
        <w:t>声环境评价范围</w:t>
      </w:r>
      <w:r>
        <w:rPr>
          <w:rFonts w:hint="eastAsia" w:ascii="Times New Roman" w:hAnsi="Times New Roman"/>
          <w:b/>
          <w:bCs/>
          <w:highlight w:val="none"/>
        </w:rPr>
        <w:t>（运输道路）</w:t>
      </w:r>
    </w:p>
    <w:p w14:paraId="516CC2DB">
      <w:pPr>
        <w:pStyle w:val="5"/>
        <w:bidi w:val="0"/>
        <w:ind w:left="0" w:leftChars="0" w:firstLine="0" w:firstLineChars="0"/>
        <w:rPr>
          <w:rFonts w:hint="eastAsia"/>
          <w:sz w:val="30"/>
          <w:szCs w:val="30"/>
          <w:highlight w:val="none"/>
          <w:lang w:val="en-US" w:eastAsia="zh-CN"/>
        </w:rPr>
      </w:pPr>
      <w:bookmarkStart w:id="48" w:name="_Toc6827"/>
      <w:r>
        <w:rPr>
          <w:rFonts w:hint="default" w:ascii="Times New Roman" w:hAnsi="Times New Roman" w:cs="Times New Roman"/>
          <w:sz w:val="30"/>
          <w:szCs w:val="30"/>
          <w:highlight w:val="none"/>
          <w:lang w:val="en-US" w:eastAsia="zh-CN"/>
        </w:rPr>
        <w:t>2.4.5</w:t>
      </w:r>
      <w:r>
        <w:rPr>
          <w:rFonts w:hint="eastAsia"/>
          <w:sz w:val="30"/>
          <w:szCs w:val="30"/>
          <w:highlight w:val="none"/>
          <w:lang w:val="en-US" w:eastAsia="zh-CN"/>
        </w:rPr>
        <w:t>土壤环境</w:t>
      </w:r>
      <w:bookmarkEnd w:id="48"/>
    </w:p>
    <w:p w14:paraId="5FFEDA27">
      <w:pPr>
        <w:ind w:firstLine="480"/>
        <w:rPr>
          <w:rFonts w:ascii="Times New Roman" w:hAnsi="Times New Roman"/>
          <w:highlight w:val="none"/>
        </w:rPr>
      </w:pPr>
      <w:r>
        <w:rPr>
          <w:rFonts w:ascii="Times New Roman" w:hAnsi="Times New Roman"/>
          <w:highlight w:val="none"/>
        </w:rPr>
        <w:t>（1）评价工作等级</w:t>
      </w:r>
    </w:p>
    <w:p w14:paraId="3131F2E0">
      <w:pPr>
        <w:ind w:firstLine="480"/>
        <w:rPr>
          <w:rFonts w:ascii="Times New Roman" w:hAnsi="Times New Roman"/>
          <w:highlight w:val="none"/>
        </w:rPr>
      </w:pPr>
      <w:r>
        <w:rPr>
          <w:rFonts w:ascii="Times New Roman" w:hAnsi="Times New Roman"/>
          <w:highlight w:val="none"/>
        </w:rPr>
        <w:t>根据《环境影响评价技术导则 土壤环境（试行）》（HJ964-2018）附录A确定本项目所属于“燃煤锅炉总容量65t/h以上的热力生产工程”，土壤环境影响评价项目类别为</w:t>
      </w:r>
      <w:r>
        <w:rPr>
          <w:rFonts w:hint="eastAsia" w:ascii="宋体" w:hAnsi="宋体" w:cs="宋体"/>
          <w:highlight w:val="none"/>
        </w:rPr>
        <w:t>Ⅲ</w:t>
      </w:r>
      <w:r>
        <w:rPr>
          <w:rFonts w:ascii="Times New Roman" w:hAnsi="Times New Roman"/>
          <w:highlight w:val="none"/>
        </w:rPr>
        <w:t>类。</w:t>
      </w:r>
    </w:p>
    <w:p w14:paraId="6756077A">
      <w:pPr>
        <w:ind w:firstLine="480"/>
        <w:rPr>
          <w:rFonts w:ascii="Times New Roman" w:hAnsi="Times New Roman"/>
          <w:highlight w:val="none"/>
        </w:rPr>
      </w:pPr>
      <w:r>
        <w:rPr>
          <w:rFonts w:ascii="Times New Roman" w:hAnsi="Times New Roman"/>
          <w:highlight w:val="none"/>
        </w:rPr>
        <w:t>通过土壤环境影响识别，本项目属于污染影响型项目，影响途径主要为大气沉降。</w:t>
      </w:r>
    </w:p>
    <w:p w14:paraId="4EF7106B">
      <w:pPr>
        <w:ind w:firstLine="482"/>
        <w:rPr>
          <w:rFonts w:ascii="Times New Roman" w:hAnsi="Times New Roman"/>
          <w:b/>
          <w:highlight w:val="none"/>
        </w:rPr>
      </w:pPr>
      <w:r>
        <w:rPr>
          <w:rFonts w:ascii="Times New Roman" w:hAnsi="Times New Roman"/>
          <w:b/>
          <w:highlight w:val="none"/>
        </w:rPr>
        <w:t>污染影响型：</w:t>
      </w:r>
    </w:p>
    <w:p w14:paraId="3B76E4B8">
      <w:pPr>
        <w:ind w:firstLine="480"/>
        <w:rPr>
          <w:rFonts w:ascii="Times New Roman" w:hAnsi="Times New Roman"/>
          <w:highlight w:val="none"/>
        </w:rPr>
      </w:pPr>
      <w:r>
        <w:rPr>
          <w:rFonts w:ascii="Times New Roman" w:hAnsi="Times New Roman"/>
          <w:highlight w:val="none"/>
        </w:rPr>
        <w:t>将建设项目占地规模分为大型（≥50hm</w:t>
      </w:r>
      <w:r>
        <w:rPr>
          <w:rFonts w:ascii="Times New Roman" w:hAnsi="Times New Roman"/>
          <w:highlight w:val="none"/>
          <w:vertAlign w:val="superscript"/>
        </w:rPr>
        <w:t>2</w:t>
      </w:r>
      <w:r>
        <w:rPr>
          <w:rFonts w:ascii="Times New Roman" w:hAnsi="Times New Roman"/>
          <w:highlight w:val="none"/>
        </w:rPr>
        <w:t>）、中型（5~50hm</w:t>
      </w:r>
      <w:r>
        <w:rPr>
          <w:rFonts w:ascii="Times New Roman" w:hAnsi="Times New Roman"/>
          <w:highlight w:val="none"/>
          <w:vertAlign w:val="superscript"/>
        </w:rPr>
        <w:t>2</w:t>
      </w:r>
      <w:r>
        <w:rPr>
          <w:rFonts w:ascii="Times New Roman" w:hAnsi="Times New Roman"/>
          <w:highlight w:val="none"/>
        </w:rPr>
        <w:t>）、小型（≤5hm</w:t>
      </w:r>
      <w:r>
        <w:rPr>
          <w:rFonts w:ascii="Times New Roman" w:hAnsi="Times New Roman"/>
          <w:highlight w:val="none"/>
          <w:vertAlign w:val="superscript"/>
        </w:rPr>
        <w:t>2</w:t>
      </w:r>
      <w:r>
        <w:rPr>
          <w:rFonts w:ascii="Times New Roman" w:hAnsi="Times New Roman"/>
          <w:highlight w:val="none"/>
        </w:rPr>
        <w:t>），本项目占地面积</w:t>
      </w:r>
      <w:r>
        <w:rPr>
          <w:rFonts w:hint="eastAsia" w:ascii="Times New Roman" w:hAnsi="Times New Roman"/>
          <w:iCs/>
          <w:highlight w:val="none"/>
          <w:lang w:val="en-US" w:eastAsia="zh-CN"/>
        </w:rPr>
        <w:t>13000</w:t>
      </w:r>
      <w:r>
        <w:rPr>
          <w:rFonts w:ascii="Times New Roman" w:hAnsi="Times New Roman"/>
          <w:highlight w:val="none"/>
        </w:rPr>
        <w:t>m</w:t>
      </w:r>
      <w:r>
        <w:rPr>
          <w:rFonts w:ascii="Times New Roman" w:hAnsi="Times New Roman"/>
          <w:highlight w:val="none"/>
          <w:vertAlign w:val="superscript"/>
        </w:rPr>
        <w:t>2</w:t>
      </w:r>
      <w:r>
        <w:rPr>
          <w:rFonts w:ascii="Times New Roman" w:hAnsi="Times New Roman"/>
          <w:highlight w:val="none"/>
        </w:rPr>
        <w:t>，占地规模为小型规模。建设项目占地主要为永久占地。</w:t>
      </w:r>
    </w:p>
    <w:p w14:paraId="3AA2A5F4">
      <w:pPr>
        <w:ind w:firstLine="480"/>
        <w:rPr>
          <w:rFonts w:ascii="Times New Roman" w:hAnsi="Times New Roman"/>
          <w:highlight w:val="none"/>
        </w:rPr>
      </w:pPr>
      <w:r>
        <w:rPr>
          <w:rFonts w:hint="eastAsia" w:ascii="Times New Roman" w:hAnsi="Times New Roman"/>
          <w:highlight w:val="none"/>
        </w:rPr>
        <w:t>结合大气污染物最大落地浓度出现距离及</w:t>
      </w:r>
      <w:r>
        <w:rPr>
          <w:rFonts w:ascii="Times New Roman" w:hAnsi="Times New Roman"/>
          <w:highlight w:val="none"/>
        </w:rPr>
        <w:t>建设项目所在地周边的土壤环境敏感程度分为敏感、较敏感、不敏感，判别依据见表2.4-8。</w:t>
      </w:r>
    </w:p>
    <w:p w14:paraId="3B592ED9">
      <w:pPr>
        <w:ind w:firstLine="0" w:firstLineChars="0"/>
        <w:jc w:val="center"/>
        <w:rPr>
          <w:rFonts w:ascii="Times New Roman" w:hAnsi="Times New Roman"/>
          <w:highlight w:val="none"/>
        </w:rPr>
      </w:pPr>
      <w:r>
        <w:rPr>
          <w:rFonts w:hint="eastAsia" w:ascii="黑体" w:hAnsi="黑体" w:eastAsia="黑体" w:cs="黑体"/>
          <w:highlight w:val="none"/>
        </w:rPr>
        <w:t>表</w:t>
      </w:r>
      <w:r>
        <w:rPr>
          <w:rFonts w:hint="eastAsia" w:ascii="Times New Roman" w:hAnsi="Times New Roman" w:eastAsia="黑体" w:cs="Times New Roman"/>
          <w:highlight w:val="none"/>
        </w:rPr>
        <w:t>2.4-8</w:t>
      </w:r>
      <w:r>
        <w:rPr>
          <w:rFonts w:hint="eastAsia" w:ascii="黑体" w:hAnsi="黑体" w:eastAsia="黑体" w:cs="黑体"/>
          <w:highlight w:val="none"/>
        </w:rPr>
        <w:t xml:space="preserve"> 污染影响型敏感程度分级表</w:t>
      </w:r>
    </w:p>
    <w:tbl>
      <w:tblPr>
        <w:tblStyle w:val="17"/>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243"/>
        <w:gridCol w:w="7279"/>
      </w:tblGrid>
      <w:tr w14:paraId="21DB49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729" w:type="pct"/>
            <w:noWrap/>
            <w:vAlign w:val="top"/>
          </w:tcPr>
          <w:p w14:paraId="68E6A649">
            <w:pPr>
              <w:tabs>
                <w:tab w:val="right" w:pos="8240"/>
              </w:tabs>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敏感程度</w:t>
            </w:r>
          </w:p>
        </w:tc>
        <w:tc>
          <w:tcPr>
            <w:tcW w:w="4271" w:type="pct"/>
            <w:noWrap/>
            <w:vAlign w:val="top"/>
          </w:tcPr>
          <w:p w14:paraId="4FC75CA5">
            <w:pPr>
              <w:tabs>
                <w:tab w:val="right" w:pos="8240"/>
              </w:tabs>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判别依据</w:t>
            </w:r>
          </w:p>
        </w:tc>
      </w:tr>
      <w:tr w14:paraId="44EF61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729" w:type="pct"/>
            <w:noWrap/>
            <w:vAlign w:val="center"/>
          </w:tcPr>
          <w:p w14:paraId="0DBCDEA7">
            <w:pPr>
              <w:tabs>
                <w:tab w:val="right" w:pos="8240"/>
              </w:tabs>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敏感</w:t>
            </w:r>
          </w:p>
        </w:tc>
        <w:tc>
          <w:tcPr>
            <w:tcW w:w="4271" w:type="pct"/>
            <w:noWrap/>
            <w:vAlign w:val="top"/>
          </w:tcPr>
          <w:p w14:paraId="5614B66F">
            <w:pPr>
              <w:tabs>
                <w:tab w:val="right" w:pos="8240"/>
              </w:tabs>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建设项目周边存在耕地、园地、牧草地、饮用水水源地或居民区、学校、医院、疗养院、养老院等土壤环境敏感目标的</w:t>
            </w:r>
          </w:p>
        </w:tc>
      </w:tr>
      <w:tr w14:paraId="4F7218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729" w:type="pct"/>
            <w:noWrap/>
            <w:vAlign w:val="top"/>
          </w:tcPr>
          <w:p w14:paraId="2D11C846">
            <w:pPr>
              <w:tabs>
                <w:tab w:val="right" w:pos="8240"/>
              </w:tabs>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较敏感</w:t>
            </w:r>
          </w:p>
        </w:tc>
        <w:tc>
          <w:tcPr>
            <w:tcW w:w="4271" w:type="pct"/>
            <w:noWrap/>
            <w:vAlign w:val="top"/>
          </w:tcPr>
          <w:p w14:paraId="3561C0FD">
            <w:pPr>
              <w:tabs>
                <w:tab w:val="right" w:pos="8240"/>
              </w:tabs>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建设项目周边存在其他土壤环境敏感目标的</w:t>
            </w:r>
          </w:p>
        </w:tc>
      </w:tr>
      <w:tr w14:paraId="27384B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729" w:type="pct"/>
            <w:noWrap/>
            <w:vAlign w:val="top"/>
          </w:tcPr>
          <w:p w14:paraId="17C2856A">
            <w:pPr>
              <w:tabs>
                <w:tab w:val="right" w:pos="8240"/>
              </w:tabs>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不敏感</w:t>
            </w:r>
          </w:p>
        </w:tc>
        <w:tc>
          <w:tcPr>
            <w:tcW w:w="4271" w:type="pct"/>
            <w:noWrap/>
            <w:vAlign w:val="top"/>
          </w:tcPr>
          <w:p w14:paraId="7049EC45">
            <w:pPr>
              <w:tabs>
                <w:tab w:val="right" w:pos="8240"/>
              </w:tabs>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其他情况</w:t>
            </w:r>
          </w:p>
        </w:tc>
      </w:tr>
    </w:tbl>
    <w:p w14:paraId="3E49E87C">
      <w:pPr>
        <w:ind w:firstLine="480"/>
        <w:rPr>
          <w:rFonts w:ascii="Times New Roman" w:hAnsi="Times New Roman"/>
          <w:highlight w:val="none"/>
        </w:rPr>
      </w:pPr>
      <w:r>
        <w:rPr>
          <w:rFonts w:ascii="Times New Roman" w:hAnsi="Times New Roman"/>
          <w:highlight w:val="none"/>
        </w:rPr>
        <w:t>根据土壤环境影响评价项目类别、占地规模与敏感程度划分评价工作等级，详见表2.4-9。</w:t>
      </w:r>
    </w:p>
    <w:p w14:paraId="581DD4C0">
      <w:pPr>
        <w:ind w:firstLine="0" w:firstLineChars="0"/>
        <w:jc w:val="center"/>
        <w:rPr>
          <w:rFonts w:hint="eastAsia" w:ascii="黑体" w:hAnsi="黑体" w:eastAsia="黑体" w:cs="黑体"/>
          <w:highlight w:val="none"/>
        </w:rPr>
      </w:pPr>
      <w:r>
        <w:rPr>
          <w:rFonts w:hint="eastAsia" w:ascii="黑体" w:hAnsi="黑体" w:eastAsia="黑体" w:cs="黑体"/>
          <w:highlight w:val="none"/>
        </w:rPr>
        <w:t>表</w:t>
      </w:r>
      <w:r>
        <w:rPr>
          <w:rFonts w:hint="default" w:ascii="Times New Roman" w:hAnsi="Times New Roman" w:eastAsia="黑体" w:cs="Times New Roman"/>
          <w:highlight w:val="none"/>
        </w:rPr>
        <w:t>2.4-9</w:t>
      </w:r>
      <w:r>
        <w:rPr>
          <w:rFonts w:hint="eastAsia" w:ascii="黑体" w:hAnsi="黑体" w:eastAsia="黑体" w:cs="黑体"/>
          <w:highlight w:val="none"/>
        </w:rPr>
        <w:t>污染影响型土壤环境工作等级划分表</w:t>
      </w:r>
    </w:p>
    <w:tbl>
      <w:tblPr>
        <w:tblStyle w:val="17"/>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607"/>
        <w:gridCol w:w="767"/>
        <w:gridCol w:w="767"/>
        <w:gridCol w:w="770"/>
        <w:gridCol w:w="767"/>
        <w:gridCol w:w="769"/>
        <w:gridCol w:w="769"/>
        <w:gridCol w:w="769"/>
        <w:gridCol w:w="767"/>
        <w:gridCol w:w="770"/>
      </w:tblGrid>
      <w:tr w14:paraId="30EBA9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943" w:type="pct"/>
            <w:vMerge w:val="restart"/>
            <w:noWrap/>
            <w:vAlign w:val="center"/>
          </w:tcPr>
          <w:p w14:paraId="0C44636E">
            <w:pPr>
              <w:tabs>
                <w:tab w:val="right" w:pos="8240"/>
              </w:tabs>
              <w:spacing w:line="240" w:lineRule="auto"/>
              <w:ind w:firstLine="0" w:firstLineChars="0"/>
              <w:jc w:val="right"/>
              <w:rPr>
                <w:rFonts w:ascii="Times New Roman" w:hAnsi="Times New Roman"/>
                <w:bCs/>
                <w:sz w:val="15"/>
                <w:szCs w:val="15"/>
                <w:highlight w:val="none"/>
              </w:rPr>
            </w:pPr>
            <w:r>
              <w:rPr>
                <w:rFonts w:ascii="Times New Roman" w:hAnsi="Times New Roman"/>
                <w:b/>
                <w:bCs/>
                <w:kern w:val="0"/>
                <w:szCs w:val="24"/>
                <w:highlight w:val="none"/>
              </w:rPr>
              <mc:AlternateContent>
                <mc:Choice Requires="wps">
                  <w:drawing>
                    <wp:anchor distT="0" distB="0" distL="114300" distR="114300" simplePos="0" relativeHeight="251672576" behindDoc="0" locked="0" layoutInCell="1" allowOverlap="1">
                      <wp:simplePos x="0" y="0"/>
                      <wp:positionH relativeFrom="column">
                        <wp:posOffset>312420</wp:posOffset>
                      </wp:positionH>
                      <wp:positionV relativeFrom="paragraph">
                        <wp:posOffset>-4445</wp:posOffset>
                      </wp:positionV>
                      <wp:extent cx="619125" cy="600075"/>
                      <wp:effectExtent l="3175" t="3175" r="6350" b="6350"/>
                      <wp:wrapNone/>
                      <wp:docPr id="61" name="直接箭头连接符 61"/>
                      <wp:cNvGraphicFramePr/>
                      <a:graphic xmlns:a="http://schemas.openxmlformats.org/drawingml/2006/main">
                        <a:graphicData uri="http://schemas.microsoft.com/office/word/2010/wordprocessingShape">
                          <wps:wsp>
                            <wps:cNvCnPr/>
                            <wps:spPr>
                              <a:xfrm>
                                <a:off x="0" y="0"/>
                                <a:ext cx="619125" cy="600075"/>
                              </a:xfrm>
                              <a:prstGeom prst="straightConnector1">
                                <a:avLst/>
                              </a:prstGeom>
                              <a:ln w="6350" cap="flat" cmpd="sng">
                                <a:solidFill>
                                  <a:srgbClr val="000000"/>
                                </a:solidFill>
                                <a:prstDash val="solid"/>
                                <a:headEnd type="none" w="med" len="med"/>
                                <a:tailEnd type="none" w="med" len="med"/>
                              </a:ln>
                              <a:effectLst/>
                            </wps:spPr>
                            <wps:bodyPr/>
                          </wps:wsp>
                        </a:graphicData>
                      </a:graphic>
                    </wp:anchor>
                  </w:drawing>
                </mc:Choice>
                <mc:Fallback>
                  <w:pict>
                    <v:shape id="_x0000_s1026" o:spid="_x0000_s1026" o:spt="32" type="#_x0000_t32" style="position:absolute;left:0pt;margin-left:24.6pt;margin-top:-0.35pt;height:47.25pt;width:48.75pt;z-index:251672576;mso-width-relative:page;mso-height-relative:page;" filled="f" stroked="t" coordsize="21600,21600" o:gfxdata="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B6Ws31gAAAAcBAAAPAAAAAAAAAAEAIAAAACIAAABkcnMv&#10;ZG93bnJldi54bWxQSwECFAAUAAAACACHTuJAdjavKgUCAAAABAAADgAAAAAAAAABACAAAAAlAQAA&#10;ZHJzL2Uyb0RvYy54bWxQSwUGAAAAAAYABgBZAQAAnAUAAAAA&#10;">
                      <v:fill on="f" focussize="0,0"/>
                      <v:stroke weight="0.5pt" color="#000000" joinstyle="round"/>
                      <v:imagedata o:title=""/>
                      <o:lock v:ext="edit" aspectratio="f"/>
                    </v:shape>
                  </w:pict>
                </mc:Fallback>
              </mc:AlternateContent>
            </w:r>
            <w:r>
              <w:rPr>
                <w:rFonts w:ascii="Times New Roman" w:hAnsi="Times New Roman"/>
                <w:bCs/>
                <w:sz w:val="15"/>
                <w:szCs w:val="15"/>
                <w:highlight w:val="none"/>
              </w:rPr>
              <w:t>占地规模</w:t>
            </w:r>
          </w:p>
          <w:p w14:paraId="558A5C2C">
            <w:pPr>
              <w:tabs>
                <w:tab w:val="right" w:pos="8240"/>
              </w:tabs>
              <w:spacing w:line="240" w:lineRule="auto"/>
              <w:ind w:right="300" w:firstLine="0" w:firstLineChars="0"/>
              <w:rPr>
                <w:rFonts w:ascii="Times New Roman" w:hAnsi="Times New Roman"/>
                <w:bCs/>
                <w:sz w:val="15"/>
                <w:szCs w:val="15"/>
                <w:highlight w:val="none"/>
              </w:rPr>
            </w:pPr>
            <w:r>
              <w:rPr>
                <w:rFonts w:ascii="Times New Roman" w:hAnsi="Times New Roman"/>
                <w:bCs/>
                <w:sz w:val="15"/>
                <w:szCs w:val="15"/>
                <w:highlight w:val="none"/>
              </w:rPr>
              <mc:AlternateContent>
                <mc:Choice Requires="wps">
                  <w:drawing>
                    <wp:anchor distT="0" distB="0" distL="114300" distR="114300" simplePos="0" relativeHeight="251673600" behindDoc="0" locked="0" layoutInCell="1" allowOverlap="1">
                      <wp:simplePos x="0" y="0"/>
                      <wp:positionH relativeFrom="column">
                        <wp:posOffset>-68580</wp:posOffset>
                      </wp:positionH>
                      <wp:positionV relativeFrom="paragraph">
                        <wp:posOffset>178435</wp:posOffset>
                      </wp:positionV>
                      <wp:extent cx="1000125" cy="219075"/>
                      <wp:effectExtent l="1270" t="4445" r="8255" b="5080"/>
                      <wp:wrapNone/>
                      <wp:docPr id="62" name="直接箭头连接符 62"/>
                      <wp:cNvGraphicFramePr/>
                      <a:graphic xmlns:a="http://schemas.openxmlformats.org/drawingml/2006/main">
                        <a:graphicData uri="http://schemas.microsoft.com/office/word/2010/wordprocessingShape">
                          <wps:wsp>
                            <wps:cNvCnPr/>
                            <wps:spPr>
                              <a:xfrm>
                                <a:off x="0" y="0"/>
                                <a:ext cx="1000125" cy="219075"/>
                              </a:xfrm>
                              <a:prstGeom prst="straightConnector1">
                                <a:avLst/>
                              </a:prstGeom>
                              <a:ln w="6350" cap="flat" cmpd="sng">
                                <a:solidFill>
                                  <a:srgbClr val="000000"/>
                                </a:solidFill>
                                <a:prstDash val="solid"/>
                                <a:headEnd type="none" w="med" len="med"/>
                                <a:tailEnd type="none" w="med" len="med"/>
                              </a:ln>
                              <a:effectLst/>
                            </wps:spPr>
                            <wps:bodyPr/>
                          </wps:wsp>
                        </a:graphicData>
                      </a:graphic>
                    </wp:anchor>
                  </w:drawing>
                </mc:Choice>
                <mc:Fallback>
                  <w:pict>
                    <v:shape id="_x0000_s1026" o:spid="_x0000_s1026" o:spt="32" type="#_x0000_t32" style="position:absolute;left:0pt;margin-left:-5.4pt;margin-top:14.05pt;height:17.25pt;width:78.75pt;z-index:251673600;mso-width-relative:page;mso-height-relative:page;" filled="f" stroked="t" coordsize="21600,21600" o:gfxdata="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tJhJS2AAAAAkBAAAPAAAAAAAAAAEAIAAAACIAAABk&#10;cnMvZG93bnJldi54bWxQSwECFAAUAAAACACHTuJA4v1wLwYCAAABBAAADgAAAAAAAAABACAAAAAn&#10;AQAAZHJzL2Uyb0RvYy54bWxQSwUGAAAAAAYABgBZAQAAnwUAAAAA&#10;">
                      <v:fill on="f" focussize="0,0"/>
                      <v:stroke weight="0.5pt" color="#000000" joinstyle="round"/>
                      <v:imagedata o:title=""/>
                      <o:lock v:ext="edit" aspectratio="f"/>
                    </v:shape>
                  </w:pict>
                </mc:Fallback>
              </mc:AlternateContent>
            </w:r>
            <w:r>
              <w:rPr>
                <w:rFonts w:ascii="Times New Roman" w:hAnsi="Times New Roman"/>
                <w:bCs/>
                <w:sz w:val="15"/>
                <w:szCs w:val="15"/>
                <w:highlight w:val="none"/>
              </w:rPr>
              <w:t xml:space="preserve">评价工作等级 </w:t>
            </w:r>
          </w:p>
          <w:p w14:paraId="1514312D">
            <w:pPr>
              <w:tabs>
                <w:tab w:val="right" w:pos="8240"/>
              </w:tabs>
              <w:spacing w:line="240" w:lineRule="auto"/>
              <w:ind w:firstLine="0" w:firstLineChars="0"/>
              <w:jc w:val="left"/>
              <w:rPr>
                <w:rFonts w:ascii="Times New Roman" w:hAnsi="Times New Roman"/>
                <w:bCs/>
                <w:sz w:val="15"/>
                <w:szCs w:val="15"/>
                <w:highlight w:val="none"/>
              </w:rPr>
            </w:pPr>
            <w:r>
              <w:rPr>
                <w:rFonts w:ascii="Times New Roman" w:hAnsi="Times New Roman"/>
                <w:bCs/>
                <w:sz w:val="15"/>
                <w:szCs w:val="15"/>
                <w:highlight w:val="none"/>
              </w:rPr>
              <w:t>敏感程度</w:t>
            </w:r>
          </w:p>
        </w:tc>
        <w:tc>
          <w:tcPr>
            <w:tcW w:w="1352" w:type="pct"/>
            <w:gridSpan w:val="3"/>
            <w:noWrap/>
            <w:vAlign w:val="center"/>
          </w:tcPr>
          <w:p w14:paraId="10AAEE79">
            <w:pPr>
              <w:tabs>
                <w:tab w:val="right" w:pos="8240"/>
              </w:tabs>
              <w:spacing w:line="240" w:lineRule="auto"/>
              <w:ind w:firstLine="0" w:firstLineChars="0"/>
              <w:jc w:val="center"/>
              <w:rPr>
                <w:rFonts w:ascii="Times New Roman" w:hAnsi="Times New Roman"/>
                <w:bCs/>
                <w:sz w:val="21"/>
                <w:szCs w:val="21"/>
                <w:highlight w:val="none"/>
              </w:rPr>
            </w:pPr>
            <w:r>
              <w:rPr>
                <w:rFonts w:hint="eastAsia" w:ascii="宋体" w:hAnsi="宋体" w:cs="宋体"/>
                <w:bCs/>
                <w:sz w:val="21"/>
                <w:szCs w:val="21"/>
                <w:highlight w:val="none"/>
              </w:rPr>
              <w:t>Ⅰ</w:t>
            </w:r>
            <w:r>
              <w:rPr>
                <w:rFonts w:ascii="Times New Roman" w:hAnsi="Times New Roman"/>
                <w:bCs/>
                <w:sz w:val="21"/>
                <w:szCs w:val="21"/>
                <w:highlight w:val="none"/>
              </w:rPr>
              <w:t>类</w:t>
            </w:r>
          </w:p>
        </w:tc>
        <w:tc>
          <w:tcPr>
            <w:tcW w:w="1352" w:type="pct"/>
            <w:gridSpan w:val="3"/>
            <w:noWrap/>
            <w:vAlign w:val="center"/>
          </w:tcPr>
          <w:p w14:paraId="7388BC22">
            <w:pPr>
              <w:tabs>
                <w:tab w:val="right" w:pos="8240"/>
              </w:tabs>
              <w:spacing w:line="240" w:lineRule="auto"/>
              <w:ind w:firstLine="0" w:firstLineChars="0"/>
              <w:jc w:val="center"/>
              <w:rPr>
                <w:rFonts w:ascii="Times New Roman" w:hAnsi="Times New Roman"/>
                <w:bCs/>
                <w:sz w:val="21"/>
                <w:szCs w:val="21"/>
                <w:highlight w:val="none"/>
              </w:rPr>
            </w:pPr>
            <w:r>
              <w:rPr>
                <w:rFonts w:hint="eastAsia" w:ascii="宋体" w:hAnsi="宋体" w:cs="宋体"/>
                <w:bCs/>
                <w:sz w:val="21"/>
                <w:szCs w:val="21"/>
                <w:highlight w:val="none"/>
              </w:rPr>
              <w:t>Ⅱ</w:t>
            </w:r>
            <w:r>
              <w:rPr>
                <w:rFonts w:ascii="Times New Roman" w:hAnsi="Times New Roman"/>
                <w:bCs/>
                <w:sz w:val="21"/>
                <w:szCs w:val="21"/>
                <w:highlight w:val="none"/>
              </w:rPr>
              <w:t>类</w:t>
            </w:r>
          </w:p>
        </w:tc>
        <w:tc>
          <w:tcPr>
            <w:tcW w:w="1353" w:type="pct"/>
            <w:gridSpan w:val="3"/>
            <w:noWrap/>
            <w:vAlign w:val="center"/>
          </w:tcPr>
          <w:p w14:paraId="3C7C292C">
            <w:pPr>
              <w:tabs>
                <w:tab w:val="right" w:pos="8240"/>
              </w:tabs>
              <w:spacing w:line="240" w:lineRule="auto"/>
              <w:ind w:firstLine="0" w:firstLineChars="0"/>
              <w:jc w:val="center"/>
              <w:rPr>
                <w:rFonts w:ascii="Times New Roman" w:hAnsi="Times New Roman"/>
                <w:bCs/>
                <w:sz w:val="21"/>
                <w:szCs w:val="21"/>
                <w:highlight w:val="none"/>
              </w:rPr>
            </w:pPr>
            <w:r>
              <w:rPr>
                <w:rFonts w:hint="eastAsia" w:ascii="宋体" w:hAnsi="宋体" w:cs="宋体"/>
                <w:bCs/>
                <w:sz w:val="21"/>
                <w:szCs w:val="21"/>
                <w:highlight w:val="none"/>
              </w:rPr>
              <w:t>Ⅲ</w:t>
            </w:r>
            <w:r>
              <w:rPr>
                <w:rFonts w:ascii="Times New Roman" w:hAnsi="Times New Roman"/>
                <w:bCs/>
                <w:sz w:val="21"/>
                <w:szCs w:val="21"/>
                <w:highlight w:val="none"/>
              </w:rPr>
              <w:t>类</w:t>
            </w:r>
          </w:p>
        </w:tc>
      </w:tr>
      <w:tr w14:paraId="7B946E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943" w:type="pct"/>
            <w:vMerge w:val="continue"/>
            <w:noWrap/>
            <w:vAlign w:val="top"/>
          </w:tcPr>
          <w:p w14:paraId="0173D907">
            <w:pPr>
              <w:tabs>
                <w:tab w:val="right" w:pos="8240"/>
              </w:tabs>
              <w:spacing w:line="240" w:lineRule="auto"/>
              <w:ind w:firstLine="0" w:firstLineChars="0"/>
              <w:jc w:val="center"/>
              <w:rPr>
                <w:rFonts w:ascii="Times New Roman" w:hAnsi="Times New Roman"/>
                <w:bCs/>
                <w:highlight w:val="none"/>
              </w:rPr>
            </w:pPr>
          </w:p>
        </w:tc>
        <w:tc>
          <w:tcPr>
            <w:tcW w:w="450" w:type="pct"/>
            <w:noWrap/>
            <w:vAlign w:val="center"/>
          </w:tcPr>
          <w:p w14:paraId="17F612B5">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大</w:t>
            </w:r>
          </w:p>
        </w:tc>
        <w:tc>
          <w:tcPr>
            <w:tcW w:w="450" w:type="pct"/>
            <w:noWrap/>
            <w:vAlign w:val="center"/>
          </w:tcPr>
          <w:p w14:paraId="46049A89">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中</w:t>
            </w:r>
          </w:p>
        </w:tc>
        <w:tc>
          <w:tcPr>
            <w:tcW w:w="452" w:type="pct"/>
            <w:noWrap/>
            <w:vAlign w:val="center"/>
          </w:tcPr>
          <w:p w14:paraId="7DA26C83">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小</w:t>
            </w:r>
          </w:p>
        </w:tc>
        <w:tc>
          <w:tcPr>
            <w:tcW w:w="450" w:type="pct"/>
            <w:noWrap/>
            <w:vAlign w:val="center"/>
          </w:tcPr>
          <w:p w14:paraId="60F8E71C">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大</w:t>
            </w:r>
          </w:p>
        </w:tc>
        <w:tc>
          <w:tcPr>
            <w:tcW w:w="451" w:type="pct"/>
            <w:noWrap/>
            <w:vAlign w:val="center"/>
          </w:tcPr>
          <w:p w14:paraId="79642977">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中</w:t>
            </w:r>
          </w:p>
        </w:tc>
        <w:tc>
          <w:tcPr>
            <w:tcW w:w="451" w:type="pct"/>
            <w:noWrap/>
            <w:vAlign w:val="center"/>
          </w:tcPr>
          <w:p w14:paraId="0B76ADB0">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小</w:t>
            </w:r>
          </w:p>
        </w:tc>
        <w:tc>
          <w:tcPr>
            <w:tcW w:w="451" w:type="pct"/>
            <w:noWrap/>
            <w:vAlign w:val="center"/>
          </w:tcPr>
          <w:p w14:paraId="3C84A636">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大</w:t>
            </w:r>
          </w:p>
        </w:tc>
        <w:tc>
          <w:tcPr>
            <w:tcW w:w="450" w:type="pct"/>
            <w:noWrap/>
            <w:vAlign w:val="center"/>
          </w:tcPr>
          <w:p w14:paraId="07576FC3">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中</w:t>
            </w:r>
          </w:p>
        </w:tc>
        <w:tc>
          <w:tcPr>
            <w:tcW w:w="452" w:type="pct"/>
            <w:noWrap/>
            <w:vAlign w:val="center"/>
          </w:tcPr>
          <w:p w14:paraId="08E3E7FC">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小</w:t>
            </w:r>
          </w:p>
        </w:tc>
      </w:tr>
      <w:tr w14:paraId="79F5FE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943" w:type="pct"/>
            <w:noWrap/>
            <w:vAlign w:val="center"/>
          </w:tcPr>
          <w:p w14:paraId="1685224F">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敏感</w:t>
            </w:r>
          </w:p>
        </w:tc>
        <w:tc>
          <w:tcPr>
            <w:tcW w:w="450" w:type="pct"/>
            <w:noWrap/>
            <w:vAlign w:val="center"/>
          </w:tcPr>
          <w:p w14:paraId="4B182E5B">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一级</w:t>
            </w:r>
          </w:p>
        </w:tc>
        <w:tc>
          <w:tcPr>
            <w:tcW w:w="450" w:type="pct"/>
            <w:noWrap/>
            <w:vAlign w:val="center"/>
          </w:tcPr>
          <w:p w14:paraId="7B8DF867">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一级</w:t>
            </w:r>
          </w:p>
        </w:tc>
        <w:tc>
          <w:tcPr>
            <w:tcW w:w="452" w:type="pct"/>
            <w:noWrap/>
            <w:vAlign w:val="center"/>
          </w:tcPr>
          <w:p w14:paraId="04130D7D">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一级</w:t>
            </w:r>
          </w:p>
        </w:tc>
        <w:tc>
          <w:tcPr>
            <w:tcW w:w="450" w:type="pct"/>
            <w:noWrap/>
            <w:vAlign w:val="center"/>
          </w:tcPr>
          <w:p w14:paraId="68BF4DAB">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二级</w:t>
            </w:r>
          </w:p>
        </w:tc>
        <w:tc>
          <w:tcPr>
            <w:tcW w:w="451" w:type="pct"/>
            <w:noWrap/>
            <w:vAlign w:val="center"/>
          </w:tcPr>
          <w:p w14:paraId="790CACB6">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二级</w:t>
            </w:r>
          </w:p>
        </w:tc>
        <w:tc>
          <w:tcPr>
            <w:tcW w:w="451" w:type="pct"/>
            <w:noWrap/>
            <w:vAlign w:val="center"/>
          </w:tcPr>
          <w:p w14:paraId="72513530">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二级</w:t>
            </w:r>
          </w:p>
        </w:tc>
        <w:tc>
          <w:tcPr>
            <w:tcW w:w="451" w:type="pct"/>
            <w:noWrap/>
            <w:vAlign w:val="center"/>
          </w:tcPr>
          <w:p w14:paraId="44C2A755">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三级</w:t>
            </w:r>
          </w:p>
        </w:tc>
        <w:tc>
          <w:tcPr>
            <w:tcW w:w="450" w:type="pct"/>
            <w:noWrap/>
            <w:vAlign w:val="center"/>
          </w:tcPr>
          <w:p w14:paraId="6FF65F04">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三级</w:t>
            </w:r>
          </w:p>
        </w:tc>
        <w:tc>
          <w:tcPr>
            <w:tcW w:w="452" w:type="pct"/>
            <w:noWrap/>
            <w:vAlign w:val="center"/>
          </w:tcPr>
          <w:p w14:paraId="19F0649A">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三级</w:t>
            </w:r>
          </w:p>
        </w:tc>
      </w:tr>
      <w:tr w14:paraId="71F96F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943" w:type="pct"/>
            <w:noWrap/>
            <w:vAlign w:val="center"/>
          </w:tcPr>
          <w:p w14:paraId="6BA35762">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较敏感</w:t>
            </w:r>
          </w:p>
        </w:tc>
        <w:tc>
          <w:tcPr>
            <w:tcW w:w="450" w:type="pct"/>
            <w:noWrap/>
            <w:vAlign w:val="center"/>
          </w:tcPr>
          <w:p w14:paraId="10AAEB3C">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一级</w:t>
            </w:r>
          </w:p>
        </w:tc>
        <w:tc>
          <w:tcPr>
            <w:tcW w:w="450" w:type="pct"/>
            <w:noWrap/>
            <w:vAlign w:val="center"/>
          </w:tcPr>
          <w:p w14:paraId="3F02728E">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一级</w:t>
            </w:r>
          </w:p>
        </w:tc>
        <w:tc>
          <w:tcPr>
            <w:tcW w:w="452" w:type="pct"/>
            <w:noWrap/>
            <w:vAlign w:val="center"/>
          </w:tcPr>
          <w:p w14:paraId="1B40354C">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二级</w:t>
            </w:r>
          </w:p>
        </w:tc>
        <w:tc>
          <w:tcPr>
            <w:tcW w:w="450" w:type="pct"/>
            <w:noWrap/>
            <w:vAlign w:val="center"/>
          </w:tcPr>
          <w:p w14:paraId="7300A6B2">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二级</w:t>
            </w:r>
          </w:p>
        </w:tc>
        <w:tc>
          <w:tcPr>
            <w:tcW w:w="451" w:type="pct"/>
            <w:noWrap/>
            <w:vAlign w:val="center"/>
          </w:tcPr>
          <w:p w14:paraId="48C0F934">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二级</w:t>
            </w:r>
          </w:p>
        </w:tc>
        <w:tc>
          <w:tcPr>
            <w:tcW w:w="451" w:type="pct"/>
            <w:noWrap/>
            <w:vAlign w:val="center"/>
          </w:tcPr>
          <w:p w14:paraId="1F1223B1">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三级</w:t>
            </w:r>
          </w:p>
        </w:tc>
        <w:tc>
          <w:tcPr>
            <w:tcW w:w="451" w:type="pct"/>
            <w:noWrap/>
            <w:vAlign w:val="center"/>
          </w:tcPr>
          <w:p w14:paraId="3FD17577">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三级</w:t>
            </w:r>
          </w:p>
        </w:tc>
        <w:tc>
          <w:tcPr>
            <w:tcW w:w="450" w:type="pct"/>
            <w:noWrap/>
            <w:vAlign w:val="center"/>
          </w:tcPr>
          <w:p w14:paraId="50CD3918">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三级</w:t>
            </w:r>
          </w:p>
        </w:tc>
        <w:tc>
          <w:tcPr>
            <w:tcW w:w="452" w:type="pct"/>
            <w:noWrap/>
            <w:vAlign w:val="center"/>
          </w:tcPr>
          <w:p w14:paraId="5CF1CC2C">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w:t>
            </w:r>
          </w:p>
        </w:tc>
      </w:tr>
      <w:tr w14:paraId="04EC17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943" w:type="pct"/>
            <w:noWrap/>
            <w:vAlign w:val="center"/>
          </w:tcPr>
          <w:p w14:paraId="02B18B50">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不敏感</w:t>
            </w:r>
          </w:p>
        </w:tc>
        <w:tc>
          <w:tcPr>
            <w:tcW w:w="450" w:type="pct"/>
            <w:noWrap/>
            <w:vAlign w:val="center"/>
          </w:tcPr>
          <w:p w14:paraId="29B6E092">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一级</w:t>
            </w:r>
          </w:p>
        </w:tc>
        <w:tc>
          <w:tcPr>
            <w:tcW w:w="450" w:type="pct"/>
            <w:noWrap/>
            <w:vAlign w:val="center"/>
          </w:tcPr>
          <w:p w14:paraId="0294E2FE">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二级</w:t>
            </w:r>
          </w:p>
        </w:tc>
        <w:tc>
          <w:tcPr>
            <w:tcW w:w="452" w:type="pct"/>
            <w:noWrap/>
            <w:vAlign w:val="center"/>
          </w:tcPr>
          <w:p w14:paraId="55C423CC">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二级</w:t>
            </w:r>
          </w:p>
        </w:tc>
        <w:tc>
          <w:tcPr>
            <w:tcW w:w="450" w:type="pct"/>
            <w:noWrap/>
            <w:vAlign w:val="center"/>
          </w:tcPr>
          <w:p w14:paraId="5EE0E8AF">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二级</w:t>
            </w:r>
          </w:p>
        </w:tc>
        <w:tc>
          <w:tcPr>
            <w:tcW w:w="451" w:type="pct"/>
            <w:noWrap/>
            <w:vAlign w:val="center"/>
          </w:tcPr>
          <w:p w14:paraId="672A50DE">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三级</w:t>
            </w:r>
          </w:p>
        </w:tc>
        <w:tc>
          <w:tcPr>
            <w:tcW w:w="451" w:type="pct"/>
            <w:noWrap/>
            <w:vAlign w:val="center"/>
          </w:tcPr>
          <w:p w14:paraId="46C05016">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三级</w:t>
            </w:r>
          </w:p>
        </w:tc>
        <w:tc>
          <w:tcPr>
            <w:tcW w:w="451" w:type="pct"/>
            <w:noWrap/>
            <w:vAlign w:val="center"/>
          </w:tcPr>
          <w:p w14:paraId="2464695A">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三级</w:t>
            </w:r>
          </w:p>
        </w:tc>
        <w:tc>
          <w:tcPr>
            <w:tcW w:w="450" w:type="pct"/>
            <w:noWrap/>
            <w:vAlign w:val="center"/>
          </w:tcPr>
          <w:p w14:paraId="6B6C4471">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w:t>
            </w:r>
          </w:p>
        </w:tc>
        <w:tc>
          <w:tcPr>
            <w:tcW w:w="452" w:type="pct"/>
            <w:noWrap/>
            <w:vAlign w:val="center"/>
          </w:tcPr>
          <w:p w14:paraId="4E2568DC">
            <w:pPr>
              <w:tabs>
                <w:tab w:val="right" w:pos="8240"/>
              </w:tabs>
              <w:spacing w:line="240" w:lineRule="auto"/>
              <w:ind w:firstLine="0" w:firstLineChars="0"/>
              <w:jc w:val="center"/>
              <w:rPr>
                <w:rFonts w:ascii="Times New Roman" w:hAnsi="Times New Roman"/>
                <w:bCs/>
                <w:sz w:val="21"/>
                <w:szCs w:val="21"/>
                <w:highlight w:val="none"/>
              </w:rPr>
            </w:pPr>
            <w:r>
              <w:rPr>
                <w:rFonts w:ascii="Times New Roman" w:hAnsi="Times New Roman"/>
                <w:bCs/>
                <w:sz w:val="21"/>
                <w:szCs w:val="21"/>
                <w:highlight w:val="none"/>
              </w:rPr>
              <w:t>-</w:t>
            </w:r>
          </w:p>
        </w:tc>
      </w:tr>
      <w:tr w14:paraId="355E9E4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000" w:type="pct"/>
            <w:gridSpan w:val="10"/>
            <w:noWrap/>
            <w:vAlign w:val="top"/>
          </w:tcPr>
          <w:p w14:paraId="2633D6EC">
            <w:pPr>
              <w:tabs>
                <w:tab w:val="right" w:pos="8240"/>
              </w:tabs>
              <w:spacing w:line="240" w:lineRule="auto"/>
              <w:ind w:firstLine="0" w:firstLineChars="0"/>
              <w:jc w:val="left"/>
              <w:rPr>
                <w:rFonts w:ascii="Times New Roman" w:hAnsi="Times New Roman"/>
                <w:bCs/>
                <w:highlight w:val="none"/>
              </w:rPr>
            </w:pPr>
            <w:r>
              <w:rPr>
                <w:rFonts w:ascii="Times New Roman" w:hAnsi="Times New Roman"/>
                <w:bCs/>
                <w:sz w:val="21"/>
                <w:szCs w:val="21"/>
                <w:highlight w:val="none"/>
              </w:rPr>
              <w:t>注：“-”表示可不开展土壤环境影响评价工作</w:t>
            </w:r>
          </w:p>
        </w:tc>
      </w:tr>
    </w:tbl>
    <w:p w14:paraId="5A333F27">
      <w:pPr>
        <w:ind w:firstLine="480"/>
        <w:rPr>
          <w:rFonts w:ascii="Times New Roman" w:hAnsi="Times New Roman"/>
          <w:highlight w:val="none"/>
        </w:rPr>
      </w:pPr>
      <w:r>
        <w:rPr>
          <w:rFonts w:ascii="Times New Roman" w:hAnsi="Times New Roman"/>
          <w:highlight w:val="none"/>
        </w:rPr>
        <w:t>本项目厂区周边存在</w:t>
      </w:r>
      <w:r>
        <w:rPr>
          <w:rFonts w:hint="eastAsia"/>
          <w:highlight w:val="none"/>
          <w:lang w:val="en-US" w:eastAsia="zh-CN"/>
        </w:rPr>
        <w:t>新安幸福嘉园</w:t>
      </w:r>
      <w:r>
        <w:rPr>
          <w:rFonts w:ascii="Times New Roman" w:hAnsi="Times New Roman"/>
          <w:highlight w:val="none"/>
        </w:rPr>
        <w:t>、</w:t>
      </w:r>
      <w:r>
        <w:rPr>
          <w:rFonts w:hint="eastAsia" w:ascii="Times New Roman" w:hAnsi="Times New Roman"/>
          <w:highlight w:val="none"/>
          <w:lang w:val="en-US" w:eastAsia="zh-CN"/>
        </w:rPr>
        <w:t>旅游局家属楼</w:t>
      </w:r>
      <w:r>
        <w:rPr>
          <w:rFonts w:ascii="Times New Roman" w:hAnsi="Times New Roman"/>
          <w:highlight w:val="none"/>
        </w:rPr>
        <w:t>及</w:t>
      </w:r>
      <w:r>
        <w:rPr>
          <w:rFonts w:hint="eastAsia" w:ascii="Times New Roman" w:hAnsi="Times New Roman"/>
          <w:highlight w:val="none"/>
          <w:lang w:val="en-US" w:eastAsia="zh-CN"/>
        </w:rPr>
        <w:t>附近林地</w:t>
      </w:r>
      <w:r>
        <w:rPr>
          <w:rFonts w:ascii="Times New Roman" w:hAnsi="Times New Roman"/>
          <w:highlight w:val="none"/>
        </w:rPr>
        <w:t>敏感目标，因此敏感程度属于敏感。确定本次土壤环境评价等级为三级。</w:t>
      </w:r>
    </w:p>
    <w:p w14:paraId="406EFBBD">
      <w:pPr>
        <w:ind w:firstLine="480"/>
        <w:rPr>
          <w:rFonts w:ascii="Times New Roman" w:hAnsi="Times New Roman"/>
          <w:highlight w:val="none"/>
        </w:rPr>
      </w:pPr>
      <w:r>
        <w:rPr>
          <w:rFonts w:ascii="Times New Roman" w:hAnsi="Times New Roman"/>
          <w:highlight w:val="none"/>
        </w:rPr>
        <w:t>（2）评价范围</w:t>
      </w:r>
    </w:p>
    <w:p w14:paraId="43BA5B06">
      <w:pPr>
        <w:ind w:firstLine="480"/>
        <w:rPr>
          <w:rFonts w:ascii="Times New Roman" w:hAnsi="Times New Roman"/>
          <w:highlight w:val="none"/>
        </w:rPr>
      </w:pPr>
      <w:r>
        <w:rPr>
          <w:sz w:val="24"/>
          <w:highlight w:val="none"/>
        </w:rPr>
        <w:t>参照土壤导则要求，本项目土壤评价</w:t>
      </w:r>
      <w:r>
        <w:rPr>
          <w:rFonts w:hint="eastAsia"/>
          <w:sz w:val="24"/>
          <w:highlight w:val="none"/>
        </w:rPr>
        <w:t>为三级评级，其评价范围为</w:t>
      </w:r>
      <w:r>
        <w:rPr>
          <w:sz w:val="24"/>
          <w:highlight w:val="none"/>
        </w:rPr>
        <w:t>：</w:t>
      </w:r>
      <w:r>
        <w:rPr>
          <w:rFonts w:hint="eastAsia"/>
          <w:sz w:val="24"/>
          <w:highlight w:val="none"/>
        </w:rPr>
        <w:t>场区</w:t>
      </w:r>
      <w:r>
        <w:rPr>
          <w:sz w:val="24"/>
          <w:highlight w:val="none"/>
        </w:rPr>
        <w:t>整体占地和</w:t>
      </w:r>
      <w:r>
        <w:rPr>
          <w:rFonts w:hint="eastAsia"/>
          <w:sz w:val="24"/>
          <w:highlight w:val="none"/>
        </w:rPr>
        <w:t>场</w:t>
      </w:r>
      <w:r>
        <w:rPr>
          <w:sz w:val="24"/>
          <w:highlight w:val="none"/>
        </w:rPr>
        <w:t>界外0.</w:t>
      </w:r>
      <w:r>
        <w:rPr>
          <w:rFonts w:hint="eastAsia"/>
          <w:sz w:val="24"/>
          <w:highlight w:val="none"/>
        </w:rPr>
        <w:t>05</w:t>
      </w:r>
      <w:r>
        <w:rPr>
          <w:sz w:val="24"/>
          <w:highlight w:val="none"/>
        </w:rPr>
        <w:t>km范围</w:t>
      </w:r>
      <w:r>
        <w:rPr>
          <w:rFonts w:hint="eastAsia"/>
          <w:sz w:val="24"/>
          <w:highlight w:val="none"/>
          <w:lang w:eastAsia="zh-CN"/>
        </w:rPr>
        <w:t>，</w:t>
      </w:r>
      <w:r>
        <w:rPr>
          <w:rFonts w:hint="eastAsia"/>
          <w:sz w:val="24"/>
          <w:highlight w:val="none"/>
          <w:lang w:val="en-US" w:eastAsia="zh-CN"/>
        </w:rPr>
        <w:t>详见图2.4-3</w:t>
      </w:r>
      <w:r>
        <w:rPr>
          <w:sz w:val="24"/>
          <w:highlight w:val="none"/>
        </w:rPr>
        <w:t>。</w:t>
      </w:r>
    </w:p>
    <w:p w14:paraId="478B21AC">
      <w:pPr>
        <w:pStyle w:val="5"/>
        <w:bidi w:val="0"/>
        <w:ind w:left="0" w:leftChars="0" w:firstLine="0" w:firstLineChars="0"/>
        <w:rPr>
          <w:rFonts w:hint="eastAsia"/>
          <w:sz w:val="30"/>
          <w:szCs w:val="30"/>
          <w:highlight w:val="none"/>
          <w:lang w:val="en-US" w:eastAsia="zh-CN"/>
        </w:rPr>
      </w:pPr>
      <w:bookmarkStart w:id="49" w:name="_Toc26713"/>
      <w:r>
        <w:rPr>
          <w:rFonts w:hint="default" w:ascii="Times New Roman" w:hAnsi="Times New Roman" w:cs="Times New Roman"/>
          <w:sz w:val="30"/>
          <w:szCs w:val="30"/>
          <w:highlight w:val="none"/>
          <w:lang w:val="en-US" w:eastAsia="zh-CN"/>
        </w:rPr>
        <w:t>2.4.6</w:t>
      </w:r>
      <w:r>
        <w:rPr>
          <w:rFonts w:hint="eastAsia"/>
          <w:sz w:val="30"/>
          <w:szCs w:val="30"/>
          <w:highlight w:val="none"/>
          <w:lang w:val="en-US" w:eastAsia="zh-CN"/>
        </w:rPr>
        <w:t>生态环境</w:t>
      </w:r>
      <w:bookmarkEnd w:id="49"/>
    </w:p>
    <w:p w14:paraId="24AF2975">
      <w:pPr>
        <w:ind w:firstLine="480"/>
        <w:rPr>
          <w:rFonts w:ascii="Times New Roman" w:hAnsi="Times New Roman"/>
          <w:highlight w:val="none"/>
        </w:rPr>
      </w:pPr>
      <w:r>
        <w:rPr>
          <w:rFonts w:ascii="Times New Roman" w:hAnsi="Times New Roman"/>
          <w:highlight w:val="none"/>
        </w:rPr>
        <w:t>（1）评价等级</w:t>
      </w:r>
    </w:p>
    <w:p w14:paraId="6D54A0C2">
      <w:pPr>
        <w:ind w:firstLine="480"/>
        <w:rPr>
          <w:rFonts w:ascii="Times New Roman" w:hAnsi="Times New Roman"/>
          <w:highlight w:val="none"/>
        </w:rPr>
      </w:pPr>
      <w:r>
        <w:rPr>
          <w:rFonts w:ascii="Times New Roman" w:hAnsi="Times New Roman"/>
          <w:highlight w:val="none"/>
        </w:rPr>
        <w:t>根据《环境影响评价技术导则  生态影响》（HJ19-2022）中规定的评价工作等级划分依据：</w:t>
      </w:r>
    </w:p>
    <w:p w14:paraId="44DD3167">
      <w:pPr>
        <w:ind w:firstLine="480"/>
        <w:rPr>
          <w:rFonts w:ascii="Times New Roman" w:hAnsi="Times New Roman"/>
          <w:highlight w:val="none"/>
        </w:rPr>
      </w:pPr>
      <w:r>
        <w:rPr>
          <w:rFonts w:ascii="Times New Roman" w:hAnsi="Times New Roman"/>
          <w:highlight w:val="none"/>
        </w:rPr>
        <w:t>a）涉及国家公园、自然保护区、世界自然遗产、重要生境时，评价等级为一级；</w:t>
      </w:r>
    </w:p>
    <w:p w14:paraId="5188B621">
      <w:pPr>
        <w:ind w:firstLine="480"/>
        <w:rPr>
          <w:rFonts w:ascii="Times New Roman" w:hAnsi="Times New Roman"/>
          <w:highlight w:val="none"/>
        </w:rPr>
      </w:pPr>
      <w:r>
        <w:rPr>
          <w:rFonts w:ascii="Times New Roman" w:hAnsi="Times New Roman"/>
          <w:highlight w:val="none"/>
        </w:rPr>
        <w:t>b）涉及自然公园时，评价等级为二级；</w:t>
      </w:r>
    </w:p>
    <w:p w14:paraId="30571D6A">
      <w:pPr>
        <w:ind w:firstLine="480"/>
        <w:rPr>
          <w:rFonts w:ascii="Times New Roman" w:hAnsi="Times New Roman"/>
          <w:highlight w:val="none"/>
        </w:rPr>
      </w:pPr>
      <w:r>
        <w:rPr>
          <w:rFonts w:ascii="Times New Roman" w:hAnsi="Times New Roman"/>
          <w:highlight w:val="none"/>
        </w:rPr>
        <w:t>c）涉及生态保护红线时，评价等级不低于二级；</w:t>
      </w:r>
    </w:p>
    <w:p w14:paraId="58F91E68">
      <w:pPr>
        <w:ind w:firstLine="480"/>
        <w:rPr>
          <w:rFonts w:ascii="Times New Roman" w:hAnsi="Times New Roman"/>
          <w:highlight w:val="none"/>
        </w:rPr>
      </w:pPr>
      <w:r>
        <w:rPr>
          <w:rFonts w:ascii="Times New Roman" w:hAnsi="Times New Roman"/>
          <w:highlight w:val="none"/>
        </w:rPr>
        <w:t>d）根据 HJ2.3判断属于水文要素影响型且地表水评价等级不低于二级的建设项目，生态影响评价等级不低于二级；</w:t>
      </w:r>
    </w:p>
    <w:p w14:paraId="4203A5A0">
      <w:pPr>
        <w:ind w:firstLine="480"/>
        <w:rPr>
          <w:rFonts w:ascii="Times New Roman" w:hAnsi="Times New Roman"/>
          <w:highlight w:val="none"/>
        </w:rPr>
      </w:pPr>
      <w:r>
        <w:rPr>
          <w:rFonts w:ascii="Times New Roman" w:hAnsi="Times New Roman"/>
          <w:highlight w:val="none"/>
        </w:rPr>
        <w:t>e）根据 HJ 610 、HJ 964 判断地下水水位或土壤影响范围内分布有天然林、公益林、湿地等生态保护目标的建设项目，生态影响评价等级不低于二级；</w:t>
      </w:r>
    </w:p>
    <w:p w14:paraId="3B80D135">
      <w:pPr>
        <w:ind w:firstLine="480"/>
        <w:rPr>
          <w:rFonts w:ascii="Times New Roman" w:hAnsi="Times New Roman"/>
          <w:highlight w:val="none"/>
        </w:rPr>
      </w:pPr>
      <w:r>
        <w:rPr>
          <w:rFonts w:ascii="Times New Roman" w:hAnsi="Times New Roman"/>
          <w:highlight w:val="none"/>
        </w:rPr>
        <w:t>f）当工程占地规模大于 20km</w:t>
      </w:r>
      <w:r>
        <w:rPr>
          <w:rFonts w:ascii="Times New Roman" w:hAnsi="Times New Roman"/>
          <w:highlight w:val="none"/>
          <w:vertAlign w:val="superscript"/>
        </w:rPr>
        <w:t>2</w:t>
      </w:r>
      <w:r>
        <w:rPr>
          <w:rFonts w:ascii="Times New Roman" w:hAnsi="Times New Roman"/>
          <w:highlight w:val="none"/>
        </w:rPr>
        <w:t>时（包括永久和临时占用陆域和水域），评价等级不低于二级；改扩建项目的占地范围以新增占地（包括陆域和水域）确定；</w:t>
      </w:r>
    </w:p>
    <w:p w14:paraId="658C4511">
      <w:pPr>
        <w:ind w:firstLine="480"/>
        <w:rPr>
          <w:rFonts w:ascii="Times New Roman" w:hAnsi="Times New Roman"/>
          <w:highlight w:val="none"/>
        </w:rPr>
      </w:pPr>
      <w:r>
        <w:rPr>
          <w:rFonts w:ascii="Times New Roman" w:hAnsi="Times New Roman"/>
          <w:highlight w:val="none"/>
        </w:rPr>
        <w:t>g）除本条a）、b）、c）、d）、e）、f）以外的情况，评价等级为三级；</w:t>
      </w:r>
    </w:p>
    <w:p w14:paraId="7C5523F3">
      <w:pPr>
        <w:ind w:firstLine="480"/>
        <w:rPr>
          <w:rFonts w:ascii="Times New Roman" w:hAnsi="Times New Roman"/>
          <w:highlight w:val="none"/>
        </w:rPr>
      </w:pPr>
      <w:r>
        <w:rPr>
          <w:rFonts w:ascii="Times New Roman" w:hAnsi="Times New Roman"/>
          <w:highlight w:val="none"/>
        </w:rPr>
        <w:t>h）当评价等级判定同时符合上述多种情况时，应采用其中最高的评价等级。</w:t>
      </w:r>
    </w:p>
    <w:p w14:paraId="33A0B089">
      <w:pPr>
        <w:ind w:firstLine="480"/>
        <w:rPr>
          <w:rFonts w:ascii="Times New Roman" w:hAnsi="Times New Roman"/>
          <w:highlight w:val="none"/>
        </w:rPr>
      </w:pPr>
      <w:r>
        <w:rPr>
          <w:rFonts w:ascii="Times New Roman" w:hAnsi="Times New Roman"/>
          <w:highlight w:val="none"/>
        </w:rPr>
        <w:t>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p>
    <w:p w14:paraId="5F609103">
      <w:pPr>
        <w:ind w:firstLine="480"/>
        <w:rPr>
          <w:rFonts w:ascii="Times New Roman" w:hAnsi="Times New Roman"/>
          <w:highlight w:val="none"/>
        </w:rPr>
      </w:pPr>
      <w:r>
        <w:rPr>
          <w:rFonts w:ascii="Times New Roman" w:hAnsi="Times New Roman"/>
          <w:highlight w:val="none"/>
        </w:rPr>
        <w:t>本项目拟选厂址位于</w:t>
      </w:r>
      <w:r>
        <w:rPr>
          <w:rFonts w:hint="eastAsia" w:ascii="Times New Roman" w:hAnsi="Times New Roman"/>
          <w:highlight w:val="none"/>
          <w:lang w:val="en-US" w:eastAsia="zh-CN"/>
        </w:rPr>
        <w:t>绥芬河市长山路幸福街1号</w:t>
      </w:r>
      <w:r>
        <w:rPr>
          <w:rFonts w:ascii="Times New Roman" w:hAnsi="Times New Roman"/>
          <w:highlight w:val="none"/>
        </w:rPr>
        <w:t>，</w:t>
      </w:r>
      <w:r>
        <w:rPr>
          <w:rFonts w:hint="eastAsia" w:ascii="Times New Roman" w:hAnsi="Times New Roman"/>
          <w:highlight w:val="none"/>
        </w:rPr>
        <w:t>用地性质为公共设施用地</w:t>
      </w:r>
      <w:r>
        <w:rPr>
          <w:rFonts w:ascii="Times New Roman" w:hAnsi="Times New Roman"/>
          <w:highlight w:val="none"/>
        </w:rPr>
        <w:t>，不属于生态敏感区，</w:t>
      </w:r>
      <w:r>
        <w:rPr>
          <w:rFonts w:hint="eastAsia" w:ascii="Times New Roman" w:hAnsi="Times New Roman"/>
          <w:highlight w:val="none"/>
        </w:rPr>
        <w:t>所在区域属于一般区域，</w:t>
      </w:r>
      <w:r>
        <w:rPr>
          <w:rFonts w:hint="eastAsia" w:cs="Times New Roman"/>
          <w:highlight w:val="none"/>
        </w:rPr>
        <w:t>根据《环境影响评价技术导则生态影响》（HJ19-2022）可知，</w:t>
      </w:r>
      <w:r>
        <w:rPr>
          <w:rFonts w:hint="eastAsia"/>
          <w:color w:val="auto"/>
          <w:sz w:val="24"/>
          <w:highlight w:val="none"/>
          <w:lang w:val="en-US" w:eastAsia="zh-CN"/>
        </w:rPr>
        <w:t>占</w:t>
      </w:r>
      <w:r>
        <w:rPr>
          <w:color w:val="auto"/>
          <w:sz w:val="24"/>
          <w:highlight w:val="none"/>
          <w:lang w:val="en-GB"/>
        </w:rPr>
        <w:t>地范围内不涉及</w:t>
      </w:r>
      <w:r>
        <w:rPr>
          <w:rFonts w:hint="eastAsia"/>
          <w:color w:val="auto"/>
          <w:sz w:val="24"/>
          <w:highlight w:val="none"/>
        </w:rPr>
        <w:t>国家公园、自然保护区、世界自然遗产、重要生境、自然公园、生态保护红线</w:t>
      </w:r>
      <w:r>
        <w:rPr>
          <w:color w:val="auto"/>
          <w:sz w:val="24"/>
          <w:highlight w:val="none"/>
          <w:lang w:val="en-GB"/>
        </w:rPr>
        <w:t>，</w:t>
      </w:r>
      <w:r>
        <w:rPr>
          <w:rFonts w:hint="eastAsia"/>
          <w:color w:val="auto"/>
          <w:sz w:val="24"/>
          <w:highlight w:val="none"/>
          <w:lang w:val="en-GB"/>
        </w:rPr>
        <w:t>不属于水文要素影响型且地表水评价等级不低于二级的建设项目，地下水水位或土壤影响范围内分布没有天然林、公益林、湿地等生态保护目标，</w:t>
      </w:r>
      <w:r>
        <w:rPr>
          <w:color w:val="auto"/>
          <w:sz w:val="24"/>
          <w:highlight w:val="none"/>
          <w:lang w:val="en-GB"/>
        </w:rPr>
        <w:t>根据《环境影响评价技术导则 生态影响》（HJ19-20</w:t>
      </w:r>
      <w:r>
        <w:rPr>
          <w:rFonts w:hint="eastAsia"/>
          <w:color w:val="auto"/>
          <w:sz w:val="24"/>
          <w:highlight w:val="none"/>
          <w:lang w:val="en-GB"/>
        </w:rPr>
        <w:t>22</w:t>
      </w:r>
      <w:r>
        <w:rPr>
          <w:color w:val="auto"/>
          <w:sz w:val="24"/>
          <w:highlight w:val="none"/>
          <w:lang w:val="en-GB"/>
        </w:rPr>
        <w:t>）规定，本项目生态影响评价等级为三级。</w:t>
      </w:r>
    </w:p>
    <w:p w14:paraId="5CC87EAA">
      <w:pPr>
        <w:pStyle w:val="7"/>
        <w:ind w:firstLine="480"/>
        <w:rPr>
          <w:rFonts w:ascii="Times New Roman" w:hAnsi="Times New Roman"/>
          <w:highlight w:val="none"/>
        </w:rPr>
      </w:pPr>
      <w:r>
        <w:rPr>
          <w:rFonts w:ascii="Times New Roman" w:hAnsi="Times New Roman"/>
          <w:highlight w:val="none"/>
        </w:rPr>
        <w:t>（2）评价范围</w:t>
      </w:r>
    </w:p>
    <w:p w14:paraId="271E337A">
      <w:pPr>
        <w:rPr>
          <w:rFonts w:hint="eastAsia"/>
          <w:highlight w:val="none"/>
        </w:rPr>
      </w:pPr>
      <w:r>
        <w:rPr>
          <w:rFonts w:hint="eastAsia"/>
          <w:highlight w:val="none"/>
        </w:rPr>
        <w:t>根据评价工作等级，并结合环境技术导则要求及建设项目在施工期、运行期对环境影响的特点，本次评价范围为项目区域范围。</w:t>
      </w:r>
    </w:p>
    <w:p w14:paraId="452F6FE8">
      <w:pPr>
        <w:pStyle w:val="5"/>
        <w:bidi w:val="0"/>
        <w:ind w:left="0" w:leftChars="0" w:firstLine="0" w:firstLineChars="0"/>
        <w:rPr>
          <w:rFonts w:hint="eastAsia"/>
          <w:sz w:val="30"/>
          <w:szCs w:val="30"/>
          <w:highlight w:val="none"/>
          <w:lang w:val="en-US" w:eastAsia="zh-CN"/>
        </w:rPr>
      </w:pPr>
      <w:bookmarkStart w:id="50" w:name="_Toc30068"/>
      <w:r>
        <w:rPr>
          <w:rFonts w:hint="default" w:ascii="Times New Roman" w:hAnsi="Times New Roman" w:cs="Times New Roman"/>
          <w:sz w:val="30"/>
          <w:szCs w:val="30"/>
          <w:highlight w:val="none"/>
          <w:lang w:val="en-US" w:eastAsia="zh-CN"/>
        </w:rPr>
        <w:t>2.4.7</w:t>
      </w:r>
      <w:r>
        <w:rPr>
          <w:rFonts w:hint="eastAsia"/>
          <w:sz w:val="30"/>
          <w:szCs w:val="30"/>
          <w:highlight w:val="none"/>
          <w:lang w:val="en-US" w:eastAsia="zh-CN"/>
        </w:rPr>
        <w:t>环境风险</w:t>
      </w:r>
      <w:bookmarkEnd w:id="50"/>
    </w:p>
    <w:p w14:paraId="743A05CF">
      <w:pPr>
        <w:ind w:firstLine="480"/>
        <w:rPr>
          <w:rFonts w:ascii="Times New Roman" w:hAnsi="Times New Roman"/>
          <w:highlight w:val="none"/>
        </w:rPr>
      </w:pPr>
      <w:r>
        <w:rPr>
          <w:rFonts w:ascii="Times New Roman" w:hAnsi="Times New Roman"/>
          <w:highlight w:val="none"/>
        </w:rPr>
        <w:t>根据《建设项目环境风险评价技术导则》（HJ169-2018）的规定，建设项目环境风险评价工作等级分为一级、二级和三级。根据建设项目涉及的物质及工艺系统危险性和所在地的环境敏感性确定环境风险潜势，按照下表确定评价工作等级。风险潜势为</w:t>
      </w:r>
      <w:r>
        <w:rPr>
          <w:rFonts w:hint="eastAsia" w:ascii="宋体" w:hAnsi="宋体" w:cs="宋体"/>
          <w:highlight w:val="none"/>
        </w:rPr>
        <w:t>Ⅳ</w:t>
      </w:r>
      <w:r>
        <w:rPr>
          <w:rFonts w:ascii="Times New Roman" w:hAnsi="Times New Roman"/>
          <w:highlight w:val="none"/>
        </w:rPr>
        <w:t>及以上，进行一级评价；风险潜势为</w:t>
      </w:r>
      <w:r>
        <w:rPr>
          <w:rFonts w:hint="eastAsia" w:ascii="宋体" w:hAnsi="宋体" w:cs="宋体"/>
          <w:highlight w:val="none"/>
        </w:rPr>
        <w:t>Ⅲ</w:t>
      </w:r>
      <w:r>
        <w:rPr>
          <w:rFonts w:ascii="Times New Roman" w:hAnsi="Times New Roman"/>
          <w:highlight w:val="none"/>
        </w:rPr>
        <w:t>，进行二级评价；风险潜势为</w:t>
      </w:r>
      <w:r>
        <w:rPr>
          <w:rFonts w:hint="eastAsia" w:ascii="宋体" w:hAnsi="宋体" w:cs="宋体"/>
          <w:highlight w:val="none"/>
        </w:rPr>
        <w:t>Ⅱ</w:t>
      </w:r>
      <w:r>
        <w:rPr>
          <w:rFonts w:ascii="Times New Roman" w:hAnsi="Times New Roman"/>
          <w:highlight w:val="none"/>
        </w:rPr>
        <w:t>，进行三级评价；风险潜势为</w:t>
      </w:r>
      <w:r>
        <w:rPr>
          <w:rFonts w:hint="eastAsia" w:ascii="宋体" w:hAnsi="宋体" w:cs="宋体"/>
          <w:highlight w:val="none"/>
        </w:rPr>
        <w:t>Ⅰ</w:t>
      </w:r>
      <w:r>
        <w:rPr>
          <w:rFonts w:ascii="Times New Roman" w:hAnsi="Times New Roman"/>
          <w:highlight w:val="none"/>
        </w:rPr>
        <w:t>，可开展简单分析。</w:t>
      </w:r>
    </w:p>
    <w:p w14:paraId="51C934BB">
      <w:pPr>
        <w:ind w:firstLine="0" w:firstLineChars="0"/>
        <w:jc w:val="center"/>
        <w:rPr>
          <w:rFonts w:hint="eastAsia" w:ascii="黑体" w:hAnsi="黑体" w:eastAsia="黑体" w:cs="黑体"/>
          <w:highlight w:val="none"/>
        </w:rPr>
      </w:pPr>
    </w:p>
    <w:p w14:paraId="27AF798A">
      <w:pPr>
        <w:ind w:firstLine="0" w:firstLineChars="0"/>
        <w:jc w:val="center"/>
        <w:rPr>
          <w:rFonts w:hint="default" w:ascii="Times New Roman" w:hAnsi="Times New Roman" w:cs="Times New Roman"/>
          <w:highlight w:val="none"/>
        </w:rPr>
      </w:pPr>
      <w:r>
        <w:rPr>
          <w:rFonts w:hint="eastAsia" w:ascii="黑体" w:hAnsi="黑体" w:eastAsia="黑体" w:cs="黑体"/>
          <w:highlight w:val="none"/>
        </w:rPr>
        <w:t>表</w:t>
      </w:r>
      <w:r>
        <w:rPr>
          <w:rFonts w:hint="default" w:ascii="Times New Roman" w:hAnsi="Times New Roman" w:eastAsia="黑体" w:cs="Times New Roman"/>
          <w:highlight w:val="none"/>
        </w:rPr>
        <w:t>2.4-10</w:t>
      </w:r>
      <w:r>
        <w:rPr>
          <w:rFonts w:hint="eastAsia" w:ascii="黑体" w:hAnsi="黑体" w:eastAsia="黑体" w:cs="黑体"/>
          <w:highlight w:val="none"/>
        </w:rPr>
        <w:t xml:space="preserve"> 建设项目环境风险评价工作等级划分一览表</w:t>
      </w:r>
      <w:r>
        <w:rPr>
          <w:rFonts w:hint="default" w:ascii="Times New Roman" w:hAnsi="Times New Roman" w:eastAsia="黑体" w:cs="Times New Roman"/>
          <w:highlight w:val="none"/>
        </w:rPr>
        <w:t>（HJ169-2018）</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25"/>
        <w:gridCol w:w="1449"/>
        <w:gridCol w:w="1785"/>
        <w:gridCol w:w="2178"/>
        <w:gridCol w:w="1585"/>
      </w:tblGrid>
      <w:tr w14:paraId="34FD5F4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95" w:type="pct"/>
            <w:noWrap w:val="0"/>
            <w:vAlign w:val="center"/>
          </w:tcPr>
          <w:p w14:paraId="3CA82F5C">
            <w:pPr>
              <w:pStyle w:val="27"/>
              <w:rPr>
                <w:rFonts w:ascii="Times New Roman" w:hAnsi="Times New Roman"/>
                <w:highlight w:val="none"/>
              </w:rPr>
            </w:pPr>
            <w:r>
              <w:rPr>
                <w:rFonts w:ascii="Times New Roman" w:hAnsi="Times New Roman"/>
                <w:highlight w:val="none"/>
              </w:rPr>
              <w:t>环境风险潜势</w:t>
            </w:r>
          </w:p>
        </w:tc>
        <w:tc>
          <w:tcPr>
            <w:tcW w:w="850" w:type="pct"/>
            <w:noWrap w:val="0"/>
            <w:vAlign w:val="center"/>
          </w:tcPr>
          <w:p w14:paraId="1EFAFEF1">
            <w:pPr>
              <w:pStyle w:val="27"/>
              <w:rPr>
                <w:rFonts w:ascii="Times New Roman" w:hAnsi="Times New Roman"/>
                <w:highlight w:val="none"/>
              </w:rPr>
            </w:pPr>
            <w:r>
              <w:rPr>
                <w:rFonts w:hint="eastAsia" w:ascii="宋体" w:hAnsi="宋体" w:eastAsia="宋体" w:cs="宋体"/>
                <w:highlight w:val="none"/>
              </w:rPr>
              <w:t>Ⅳ</w:t>
            </w:r>
            <w:r>
              <w:rPr>
                <w:rFonts w:ascii="Times New Roman" w:hAnsi="Times New Roman"/>
                <w:highlight w:val="none"/>
              </w:rPr>
              <w:t>、</w:t>
            </w:r>
            <w:r>
              <w:rPr>
                <w:rFonts w:hint="eastAsia" w:ascii="宋体" w:hAnsi="宋体" w:eastAsia="宋体" w:cs="宋体"/>
                <w:highlight w:val="none"/>
              </w:rPr>
              <w:t>Ⅳ</w:t>
            </w:r>
            <w:r>
              <w:rPr>
                <w:rFonts w:ascii="Times New Roman" w:hAnsi="Times New Roman"/>
                <w:highlight w:val="none"/>
                <w:vertAlign w:val="superscript"/>
              </w:rPr>
              <w:t>+</w:t>
            </w:r>
          </w:p>
        </w:tc>
        <w:tc>
          <w:tcPr>
            <w:tcW w:w="1047" w:type="pct"/>
            <w:noWrap w:val="0"/>
            <w:vAlign w:val="center"/>
          </w:tcPr>
          <w:p w14:paraId="24980EDF">
            <w:pPr>
              <w:pStyle w:val="27"/>
              <w:rPr>
                <w:rFonts w:ascii="Times New Roman" w:hAnsi="Times New Roman"/>
                <w:highlight w:val="none"/>
              </w:rPr>
            </w:pPr>
            <w:r>
              <w:rPr>
                <w:rFonts w:hint="eastAsia" w:ascii="宋体" w:hAnsi="宋体" w:eastAsia="宋体" w:cs="宋体"/>
                <w:highlight w:val="none"/>
              </w:rPr>
              <w:t>Ⅲ</w:t>
            </w:r>
          </w:p>
        </w:tc>
        <w:tc>
          <w:tcPr>
            <w:tcW w:w="1278" w:type="pct"/>
            <w:noWrap w:val="0"/>
            <w:vAlign w:val="center"/>
          </w:tcPr>
          <w:p w14:paraId="705BDBFF">
            <w:pPr>
              <w:pStyle w:val="27"/>
              <w:rPr>
                <w:rFonts w:ascii="Times New Roman" w:hAnsi="Times New Roman"/>
                <w:highlight w:val="none"/>
              </w:rPr>
            </w:pPr>
            <w:r>
              <w:rPr>
                <w:rFonts w:hint="eastAsia" w:ascii="宋体" w:hAnsi="宋体" w:eastAsia="宋体" w:cs="宋体"/>
                <w:highlight w:val="none"/>
              </w:rPr>
              <w:t>Ⅱ</w:t>
            </w:r>
          </w:p>
        </w:tc>
        <w:tc>
          <w:tcPr>
            <w:tcW w:w="930" w:type="pct"/>
            <w:noWrap w:val="0"/>
            <w:vAlign w:val="center"/>
          </w:tcPr>
          <w:p w14:paraId="28686907">
            <w:pPr>
              <w:pStyle w:val="27"/>
              <w:rPr>
                <w:rFonts w:ascii="Times New Roman" w:hAnsi="Times New Roman"/>
                <w:highlight w:val="none"/>
              </w:rPr>
            </w:pPr>
            <w:r>
              <w:rPr>
                <w:rFonts w:hint="eastAsia" w:ascii="宋体" w:hAnsi="宋体" w:eastAsia="宋体" w:cs="宋体"/>
                <w:highlight w:val="none"/>
              </w:rPr>
              <w:t>Ⅰ</w:t>
            </w:r>
          </w:p>
        </w:tc>
      </w:tr>
      <w:tr w14:paraId="0C93A48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95" w:type="pct"/>
            <w:noWrap w:val="0"/>
            <w:vAlign w:val="center"/>
          </w:tcPr>
          <w:p w14:paraId="5C3F7B73">
            <w:pPr>
              <w:pStyle w:val="27"/>
              <w:rPr>
                <w:rFonts w:ascii="Times New Roman" w:hAnsi="Times New Roman"/>
                <w:highlight w:val="none"/>
              </w:rPr>
            </w:pPr>
            <w:r>
              <w:rPr>
                <w:rFonts w:ascii="Times New Roman" w:hAnsi="Times New Roman"/>
                <w:highlight w:val="none"/>
              </w:rPr>
              <w:t>评价工作等级</w:t>
            </w:r>
          </w:p>
        </w:tc>
        <w:tc>
          <w:tcPr>
            <w:tcW w:w="850" w:type="pct"/>
            <w:noWrap w:val="0"/>
            <w:vAlign w:val="center"/>
          </w:tcPr>
          <w:p w14:paraId="0E4EEBC6">
            <w:pPr>
              <w:pStyle w:val="27"/>
              <w:rPr>
                <w:rFonts w:ascii="Times New Roman" w:hAnsi="Times New Roman"/>
                <w:highlight w:val="none"/>
              </w:rPr>
            </w:pPr>
            <w:r>
              <w:rPr>
                <w:rFonts w:ascii="Times New Roman" w:hAnsi="Times New Roman"/>
                <w:highlight w:val="none"/>
              </w:rPr>
              <w:t>一</w:t>
            </w:r>
          </w:p>
        </w:tc>
        <w:tc>
          <w:tcPr>
            <w:tcW w:w="1047" w:type="pct"/>
            <w:noWrap w:val="0"/>
            <w:vAlign w:val="center"/>
          </w:tcPr>
          <w:p w14:paraId="4680F622">
            <w:pPr>
              <w:pStyle w:val="27"/>
              <w:rPr>
                <w:rFonts w:ascii="Times New Roman" w:hAnsi="Times New Roman"/>
                <w:highlight w:val="none"/>
              </w:rPr>
            </w:pPr>
            <w:r>
              <w:rPr>
                <w:rFonts w:ascii="Times New Roman" w:hAnsi="Times New Roman"/>
                <w:highlight w:val="none"/>
              </w:rPr>
              <w:t>二</w:t>
            </w:r>
          </w:p>
        </w:tc>
        <w:tc>
          <w:tcPr>
            <w:tcW w:w="1278" w:type="pct"/>
            <w:noWrap w:val="0"/>
            <w:vAlign w:val="center"/>
          </w:tcPr>
          <w:p w14:paraId="062E1CFD">
            <w:pPr>
              <w:pStyle w:val="27"/>
              <w:rPr>
                <w:rFonts w:ascii="Times New Roman" w:hAnsi="Times New Roman"/>
                <w:highlight w:val="none"/>
              </w:rPr>
            </w:pPr>
            <w:r>
              <w:rPr>
                <w:rFonts w:ascii="Times New Roman" w:hAnsi="Times New Roman"/>
                <w:highlight w:val="none"/>
              </w:rPr>
              <w:t>三</w:t>
            </w:r>
          </w:p>
        </w:tc>
        <w:tc>
          <w:tcPr>
            <w:tcW w:w="930" w:type="pct"/>
            <w:noWrap w:val="0"/>
            <w:vAlign w:val="center"/>
          </w:tcPr>
          <w:p w14:paraId="3517BE11">
            <w:pPr>
              <w:pStyle w:val="27"/>
              <w:rPr>
                <w:rFonts w:ascii="Times New Roman" w:hAnsi="Times New Roman"/>
                <w:highlight w:val="none"/>
                <w:vertAlign w:val="superscript"/>
              </w:rPr>
            </w:pPr>
            <w:r>
              <w:rPr>
                <w:rFonts w:ascii="Times New Roman" w:hAnsi="Times New Roman"/>
                <w:highlight w:val="none"/>
              </w:rPr>
              <w:t>简单分析</w:t>
            </w:r>
            <w:r>
              <w:rPr>
                <w:rFonts w:ascii="Times New Roman" w:hAnsi="Times New Roman"/>
                <w:highlight w:val="none"/>
                <w:vertAlign w:val="superscript"/>
              </w:rPr>
              <w:t>a</w:t>
            </w:r>
          </w:p>
        </w:tc>
      </w:tr>
      <w:tr w14:paraId="0F82A90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48" w:hRule="atLeast"/>
          <w:jc w:val="center"/>
        </w:trPr>
        <w:tc>
          <w:tcPr>
            <w:tcW w:w="5000" w:type="pct"/>
            <w:gridSpan w:val="5"/>
            <w:noWrap w:val="0"/>
            <w:vAlign w:val="center"/>
          </w:tcPr>
          <w:p w14:paraId="04C9EF5C">
            <w:pPr>
              <w:pStyle w:val="27"/>
              <w:jc w:val="both"/>
              <w:rPr>
                <w:rFonts w:ascii="Times New Roman" w:hAnsi="Times New Roman"/>
                <w:highlight w:val="none"/>
              </w:rPr>
            </w:pPr>
            <w:r>
              <w:rPr>
                <w:rFonts w:ascii="Times New Roman" w:hAnsi="Times New Roman"/>
                <w:highlight w:val="none"/>
              </w:rPr>
              <w:t>a：是相对于详细评价工作内容而言，在描述危险物质、环境影响用途、环境危害后果、风险防范措施等方面给出定性的说明。</w:t>
            </w:r>
          </w:p>
        </w:tc>
      </w:tr>
    </w:tbl>
    <w:p w14:paraId="65945A37">
      <w:pPr>
        <w:ind w:firstLine="480"/>
        <w:rPr>
          <w:rFonts w:ascii="Times New Roman" w:hAnsi="Times New Roman"/>
          <w:highlight w:val="none"/>
        </w:rPr>
      </w:pPr>
      <w:r>
        <w:rPr>
          <w:rFonts w:hint="eastAsia" w:cs="Times New Roman"/>
          <w:highlight w:val="none"/>
        </w:rPr>
        <w:t>本项目厂区不设油区及油罐，拟采用油罐车运油，通过点火油泵给燃烧器供油，厂区内不贮存柴油。拟采用油罐车运油，通过点火油泵给燃烧器供油。</w:t>
      </w:r>
    </w:p>
    <w:p w14:paraId="272FE3BF">
      <w:pPr>
        <w:rPr>
          <w:rFonts w:ascii="Times New Roman" w:hAnsi="Times New Roman"/>
          <w:highlight w:val="none"/>
        </w:rPr>
      </w:pPr>
      <w:r>
        <w:rPr>
          <w:rFonts w:ascii="Times New Roman" w:hAnsi="Times New Roman"/>
          <w:highlight w:val="none"/>
        </w:rPr>
        <w:t>因此本项目不涉及危险物质储存，根据《建设项目环境风险评价技术导则》（HJ169-2018）中关于风险评价工作等级划分原则，因此可不开展环境风险评价。</w:t>
      </w:r>
    </w:p>
    <w:p w14:paraId="470AFBEA">
      <w:pPr>
        <w:pStyle w:val="4"/>
        <w:bidi w:val="0"/>
        <w:ind w:left="0" w:leftChars="0" w:firstLine="0" w:firstLineChars="0"/>
        <w:rPr>
          <w:rFonts w:hint="eastAsia"/>
          <w:highlight w:val="none"/>
          <w:lang w:val="en-US" w:eastAsia="zh-CN"/>
        </w:rPr>
      </w:pPr>
      <w:bookmarkStart w:id="51" w:name="_Toc29670"/>
      <w:r>
        <w:rPr>
          <w:rFonts w:hint="default" w:ascii="Times New Roman" w:hAnsi="Times New Roman" w:cs="Times New Roman"/>
          <w:highlight w:val="none"/>
          <w:lang w:val="en-US" w:eastAsia="zh-CN"/>
        </w:rPr>
        <w:t>2.5</w:t>
      </w:r>
      <w:r>
        <w:rPr>
          <w:rFonts w:hint="eastAsia"/>
          <w:highlight w:val="none"/>
          <w:lang w:val="en-US" w:eastAsia="zh-CN"/>
        </w:rPr>
        <w:t>环境保护目标</w:t>
      </w:r>
      <w:bookmarkEnd w:id="51"/>
    </w:p>
    <w:p w14:paraId="49153180">
      <w:pPr>
        <w:ind w:firstLine="480"/>
        <w:rPr>
          <w:rFonts w:hint="eastAsia" w:cs="Times New Roman"/>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cs="Times New Roman"/>
          <w:highlight w:val="none"/>
        </w:rPr>
        <w:t>本项目厂址不在国家公园、自然保护区、风景名胜区、世界文化和自然遗产地、海洋特别保护区、饮用水水源保护区；基本农田保护区、基本草原、森林公园、地质公园、重要湿地、天然林、野生动物重要栖息地、重点保护野生植物生长繁殖地、重要水生生物的自然产卵场、索饵场、越冬场和洄游通道、天然渔场、水土流失重点防治区、沙化土地封禁保护区、封闭及半封闭海域；以居住、医疗卫生、文化教育、科研、行政办公等为主要功能的区域，以及文物保护单位范围内。</w:t>
      </w:r>
    </w:p>
    <w:p w14:paraId="319C4785">
      <w:pPr>
        <w:ind w:firstLine="0" w:firstLineChars="0"/>
        <w:jc w:val="center"/>
        <w:rPr>
          <w:rFonts w:hint="eastAsia" w:ascii="黑体" w:hAnsi="黑体" w:eastAsia="黑体" w:cs="黑体"/>
          <w:highlight w:val="none"/>
        </w:rPr>
      </w:pPr>
      <w:r>
        <w:rPr>
          <w:rFonts w:hint="eastAsia" w:ascii="黑体" w:hAnsi="黑体" w:eastAsia="黑体" w:cs="黑体"/>
          <w:highlight w:val="none"/>
        </w:rPr>
        <w:t>表</w:t>
      </w:r>
      <w:r>
        <w:rPr>
          <w:rFonts w:hint="default" w:ascii="Times New Roman" w:hAnsi="Times New Roman" w:eastAsia="黑体" w:cs="Times New Roman"/>
          <w:highlight w:val="none"/>
        </w:rPr>
        <w:t>2.</w:t>
      </w:r>
      <w:r>
        <w:rPr>
          <w:rFonts w:hint="eastAsia" w:ascii="Times New Roman" w:hAnsi="Times New Roman" w:eastAsia="黑体" w:cs="Times New Roman"/>
          <w:highlight w:val="none"/>
          <w:lang w:val="en-US" w:eastAsia="zh-CN"/>
        </w:rPr>
        <w:t>5</w:t>
      </w:r>
      <w:r>
        <w:rPr>
          <w:rFonts w:hint="default" w:ascii="Times New Roman" w:hAnsi="Times New Roman" w:eastAsia="黑体" w:cs="Times New Roman"/>
          <w:highlight w:val="none"/>
        </w:rPr>
        <w:t>-1</w:t>
      </w:r>
      <w:r>
        <w:rPr>
          <w:rFonts w:hint="eastAsia" w:ascii="黑体" w:hAnsi="黑体" w:eastAsia="黑体" w:cs="黑体"/>
          <w:highlight w:val="none"/>
        </w:rPr>
        <w:t xml:space="preserve"> 环境保护目标</w:t>
      </w:r>
    </w:p>
    <w:tbl>
      <w:tblPr>
        <w:tblStyle w:val="18"/>
        <w:tblW w:w="4996" w:type="pct"/>
        <w:tblInd w:w="0" w:type="dxa"/>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105"/>
        <w:gridCol w:w="1105"/>
        <w:gridCol w:w="1772"/>
        <w:gridCol w:w="1695"/>
        <w:gridCol w:w="1275"/>
        <w:gridCol w:w="1350"/>
        <w:gridCol w:w="2977"/>
        <w:gridCol w:w="1259"/>
        <w:gridCol w:w="1627"/>
      </w:tblGrid>
      <w:tr w14:paraId="055BF8CC">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tcBorders>
              <w:tl2br w:val="nil"/>
              <w:tr2bl w:val="nil"/>
            </w:tcBorders>
            <w:vAlign w:val="center"/>
          </w:tcPr>
          <w:p w14:paraId="3A9CDEFE">
            <w:pPr>
              <w:ind w:left="0" w:leftChars="0" w:firstLine="0" w:firstLineChars="0"/>
              <w:jc w:val="center"/>
              <w:rPr>
                <w:sz w:val="21"/>
                <w:szCs w:val="21"/>
                <w:highlight w:val="none"/>
              </w:rPr>
            </w:pPr>
          </w:p>
        </w:tc>
        <w:tc>
          <w:tcPr>
            <w:tcW w:w="390" w:type="pct"/>
            <w:tcBorders>
              <w:tl2br w:val="nil"/>
              <w:tr2bl w:val="nil"/>
            </w:tcBorders>
            <w:vAlign w:val="center"/>
          </w:tcPr>
          <w:p w14:paraId="7EFAE3EF">
            <w:pPr>
              <w:ind w:left="0" w:leftChars="0" w:firstLine="0" w:firstLineChars="0"/>
              <w:jc w:val="center"/>
              <w:rPr>
                <w:sz w:val="21"/>
                <w:szCs w:val="21"/>
                <w:highlight w:val="none"/>
              </w:rPr>
            </w:pPr>
            <w:r>
              <w:rPr>
                <w:rFonts w:hint="eastAsia"/>
                <w:sz w:val="21"/>
                <w:szCs w:val="21"/>
                <w:highlight w:val="none"/>
              </w:rPr>
              <w:t>名称</w:t>
            </w:r>
          </w:p>
        </w:tc>
        <w:tc>
          <w:tcPr>
            <w:tcW w:w="625" w:type="pct"/>
            <w:tcBorders>
              <w:tl2br w:val="nil"/>
              <w:tr2bl w:val="nil"/>
            </w:tcBorders>
            <w:vAlign w:val="center"/>
          </w:tcPr>
          <w:p w14:paraId="4E565A49">
            <w:pPr>
              <w:ind w:left="0" w:leftChars="0" w:firstLine="0" w:firstLineChars="0"/>
              <w:jc w:val="center"/>
              <w:rPr>
                <w:sz w:val="21"/>
                <w:szCs w:val="21"/>
                <w:highlight w:val="none"/>
              </w:rPr>
            </w:pPr>
            <w:r>
              <w:rPr>
                <w:rFonts w:hint="eastAsia"/>
                <w:sz w:val="21"/>
                <w:szCs w:val="21"/>
                <w:highlight w:val="none"/>
              </w:rPr>
              <w:t>经度</w:t>
            </w:r>
          </w:p>
        </w:tc>
        <w:tc>
          <w:tcPr>
            <w:tcW w:w="598" w:type="pct"/>
            <w:tcBorders>
              <w:tl2br w:val="nil"/>
              <w:tr2bl w:val="nil"/>
            </w:tcBorders>
            <w:vAlign w:val="center"/>
          </w:tcPr>
          <w:p w14:paraId="0F097AEA">
            <w:pPr>
              <w:ind w:left="0" w:leftChars="0" w:firstLine="0" w:firstLineChars="0"/>
              <w:jc w:val="center"/>
              <w:rPr>
                <w:sz w:val="21"/>
                <w:szCs w:val="21"/>
                <w:highlight w:val="none"/>
              </w:rPr>
            </w:pPr>
            <w:r>
              <w:rPr>
                <w:rFonts w:hint="eastAsia"/>
                <w:sz w:val="21"/>
                <w:szCs w:val="21"/>
                <w:highlight w:val="none"/>
              </w:rPr>
              <w:t>纬度</w:t>
            </w:r>
          </w:p>
        </w:tc>
        <w:tc>
          <w:tcPr>
            <w:tcW w:w="450" w:type="pct"/>
            <w:tcBorders>
              <w:tl2br w:val="nil"/>
              <w:tr2bl w:val="nil"/>
            </w:tcBorders>
            <w:vAlign w:val="center"/>
          </w:tcPr>
          <w:p w14:paraId="656EABD9">
            <w:pPr>
              <w:ind w:left="0" w:leftChars="0" w:firstLine="0" w:firstLineChars="0"/>
              <w:jc w:val="center"/>
              <w:rPr>
                <w:rFonts w:hint="eastAsia" w:eastAsia="宋体"/>
                <w:sz w:val="21"/>
                <w:szCs w:val="21"/>
                <w:highlight w:val="none"/>
                <w:lang w:eastAsia="zh-CN"/>
              </w:rPr>
            </w:pPr>
            <w:r>
              <w:rPr>
                <w:rFonts w:hint="eastAsia"/>
                <w:sz w:val="21"/>
                <w:szCs w:val="21"/>
                <w:highlight w:val="none"/>
              </w:rPr>
              <w:t>保护</w:t>
            </w:r>
            <w:r>
              <w:rPr>
                <w:rFonts w:hint="eastAsia"/>
                <w:sz w:val="21"/>
                <w:szCs w:val="21"/>
                <w:highlight w:val="none"/>
                <w:lang w:val="en-US" w:eastAsia="zh-CN"/>
              </w:rPr>
              <w:t>对象</w:t>
            </w:r>
          </w:p>
        </w:tc>
        <w:tc>
          <w:tcPr>
            <w:tcW w:w="476" w:type="pct"/>
            <w:tcBorders>
              <w:tl2br w:val="nil"/>
              <w:tr2bl w:val="nil"/>
            </w:tcBorders>
            <w:vAlign w:val="center"/>
          </w:tcPr>
          <w:p w14:paraId="052DDB45">
            <w:pPr>
              <w:ind w:left="0" w:leftChars="0" w:firstLine="0" w:firstLineChars="0"/>
              <w:jc w:val="center"/>
              <w:rPr>
                <w:rFonts w:hint="eastAsia" w:eastAsia="宋体"/>
                <w:sz w:val="21"/>
                <w:szCs w:val="21"/>
                <w:highlight w:val="none"/>
                <w:lang w:val="en-US" w:eastAsia="zh-CN"/>
              </w:rPr>
            </w:pPr>
            <w:r>
              <w:rPr>
                <w:rFonts w:hint="eastAsia"/>
                <w:sz w:val="21"/>
                <w:szCs w:val="21"/>
                <w:highlight w:val="none"/>
                <w:lang w:val="en-US" w:eastAsia="zh-CN"/>
              </w:rPr>
              <w:t>保护内容</w:t>
            </w:r>
          </w:p>
        </w:tc>
        <w:tc>
          <w:tcPr>
            <w:tcW w:w="1050" w:type="pct"/>
            <w:tcBorders>
              <w:tl2br w:val="nil"/>
              <w:tr2bl w:val="nil"/>
            </w:tcBorders>
            <w:vAlign w:val="center"/>
          </w:tcPr>
          <w:p w14:paraId="55F8D3C3">
            <w:pPr>
              <w:ind w:left="0" w:leftChars="0" w:firstLine="0" w:firstLineChars="0"/>
              <w:jc w:val="center"/>
              <w:rPr>
                <w:sz w:val="21"/>
                <w:szCs w:val="21"/>
                <w:highlight w:val="none"/>
              </w:rPr>
            </w:pPr>
            <w:r>
              <w:rPr>
                <w:rFonts w:hint="eastAsia"/>
                <w:sz w:val="21"/>
                <w:szCs w:val="21"/>
                <w:highlight w:val="none"/>
              </w:rPr>
              <w:t>环境功能区</w:t>
            </w:r>
          </w:p>
        </w:tc>
        <w:tc>
          <w:tcPr>
            <w:tcW w:w="444" w:type="pct"/>
            <w:tcBorders>
              <w:tl2br w:val="nil"/>
              <w:tr2bl w:val="nil"/>
            </w:tcBorders>
            <w:vAlign w:val="center"/>
          </w:tcPr>
          <w:p w14:paraId="306838EA">
            <w:pPr>
              <w:ind w:left="0" w:leftChars="0" w:firstLine="0" w:firstLineChars="0"/>
              <w:jc w:val="center"/>
              <w:rPr>
                <w:sz w:val="21"/>
                <w:szCs w:val="21"/>
                <w:highlight w:val="none"/>
              </w:rPr>
            </w:pPr>
            <w:r>
              <w:rPr>
                <w:rFonts w:hint="eastAsia"/>
                <w:sz w:val="21"/>
                <w:szCs w:val="21"/>
                <w:highlight w:val="none"/>
              </w:rPr>
              <w:t>相对厂址方位</w:t>
            </w:r>
          </w:p>
        </w:tc>
        <w:tc>
          <w:tcPr>
            <w:tcW w:w="574" w:type="pct"/>
            <w:tcBorders>
              <w:tl2br w:val="nil"/>
              <w:tr2bl w:val="nil"/>
            </w:tcBorders>
            <w:vAlign w:val="center"/>
          </w:tcPr>
          <w:p w14:paraId="4F6D6396">
            <w:pPr>
              <w:ind w:left="0" w:leftChars="0" w:firstLine="0" w:firstLineChars="0"/>
              <w:jc w:val="center"/>
              <w:rPr>
                <w:sz w:val="21"/>
                <w:szCs w:val="21"/>
                <w:highlight w:val="none"/>
              </w:rPr>
            </w:pPr>
            <w:r>
              <w:rPr>
                <w:rFonts w:hint="eastAsia"/>
                <w:sz w:val="21"/>
                <w:szCs w:val="21"/>
                <w:highlight w:val="none"/>
              </w:rPr>
              <w:t>相对厂界距离</w:t>
            </w:r>
          </w:p>
        </w:tc>
      </w:tr>
      <w:tr w14:paraId="63A4C21A">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390" w:type="pct"/>
            <w:vMerge w:val="restart"/>
            <w:tcBorders>
              <w:tl2br w:val="nil"/>
              <w:tr2bl w:val="nil"/>
            </w:tcBorders>
            <w:vAlign w:val="center"/>
          </w:tcPr>
          <w:p w14:paraId="1B754E82">
            <w:pPr>
              <w:ind w:left="0" w:leftChars="0" w:firstLine="0" w:firstLineChars="0"/>
              <w:jc w:val="center"/>
              <w:rPr>
                <w:sz w:val="21"/>
                <w:szCs w:val="21"/>
                <w:highlight w:val="none"/>
              </w:rPr>
            </w:pPr>
            <w:r>
              <w:rPr>
                <w:rFonts w:hint="eastAsia"/>
                <w:sz w:val="21"/>
                <w:szCs w:val="21"/>
                <w:highlight w:val="none"/>
              </w:rPr>
              <w:t>环境空气</w:t>
            </w:r>
          </w:p>
        </w:tc>
        <w:tc>
          <w:tcPr>
            <w:tcW w:w="390" w:type="pct"/>
            <w:tcBorders>
              <w:tl2br w:val="nil"/>
              <w:tr2bl w:val="nil"/>
            </w:tcBorders>
            <w:vAlign w:val="center"/>
          </w:tcPr>
          <w:p w14:paraId="1BA1AF06">
            <w:pPr>
              <w:pStyle w:val="32"/>
              <w:widowControl w:val="0"/>
              <w:adjustRightInd w:val="0"/>
              <w:snapToGrid w:val="0"/>
              <w:jc w:val="center"/>
              <w:rPr>
                <w:rFonts w:hint="default" w:eastAsia="宋体"/>
                <w:sz w:val="21"/>
                <w:szCs w:val="21"/>
                <w:highlight w:val="none"/>
                <w:lang w:val="en-US" w:eastAsia="zh-CN"/>
              </w:rPr>
            </w:pPr>
            <w:r>
              <w:rPr>
                <w:rFonts w:hint="eastAsia" w:ascii="Times New Roman" w:hAnsi="Times New Roman"/>
                <w:sz w:val="21"/>
                <w:szCs w:val="21"/>
                <w:highlight w:val="none"/>
                <w:lang w:val="en-US" w:eastAsia="zh-CN"/>
              </w:rPr>
              <w:t>绥芬河市政府</w:t>
            </w:r>
          </w:p>
        </w:tc>
        <w:tc>
          <w:tcPr>
            <w:tcW w:w="625" w:type="pct"/>
            <w:tcBorders>
              <w:tl2br w:val="nil"/>
              <w:tr2bl w:val="nil"/>
            </w:tcBorders>
            <w:vAlign w:val="center"/>
          </w:tcPr>
          <w:p w14:paraId="73AE80E1">
            <w:pPr>
              <w:ind w:left="0" w:leftChars="0"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131.144357</w:t>
            </w:r>
          </w:p>
        </w:tc>
        <w:tc>
          <w:tcPr>
            <w:tcW w:w="598" w:type="pct"/>
            <w:tcBorders>
              <w:tl2br w:val="nil"/>
              <w:tr2bl w:val="nil"/>
            </w:tcBorders>
            <w:vAlign w:val="center"/>
          </w:tcPr>
          <w:p w14:paraId="018D8C24">
            <w:pPr>
              <w:ind w:left="0" w:leftChars="0"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44.410102</w:t>
            </w:r>
          </w:p>
        </w:tc>
        <w:tc>
          <w:tcPr>
            <w:tcW w:w="450" w:type="pct"/>
            <w:vMerge w:val="restart"/>
            <w:tcBorders>
              <w:tl2br w:val="nil"/>
              <w:tr2bl w:val="nil"/>
            </w:tcBorders>
            <w:vAlign w:val="center"/>
          </w:tcPr>
          <w:p w14:paraId="7FB89CD1">
            <w:pPr>
              <w:ind w:left="0" w:leftChars="0" w:firstLine="0" w:firstLineChars="0"/>
              <w:jc w:val="center"/>
              <w:rPr>
                <w:rFonts w:hint="eastAsia" w:eastAsia="宋体"/>
                <w:sz w:val="21"/>
                <w:szCs w:val="21"/>
                <w:highlight w:val="none"/>
                <w:lang w:eastAsia="zh-CN"/>
              </w:rPr>
            </w:pPr>
            <w:r>
              <w:rPr>
                <w:rFonts w:hint="eastAsia"/>
                <w:sz w:val="21"/>
                <w:szCs w:val="21"/>
                <w:highlight w:val="none"/>
                <w:lang w:val="en-US" w:eastAsia="zh-CN"/>
              </w:rPr>
              <w:t>行政区</w:t>
            </w:r>
          </w:p>
        </w:tc>
        <w:tc>
          <w:tcPr>
            <w:tcW w:w="476" w:type="pct"/>
            <w:vMerge w:val="restart"/>
            <w:tcBorders>
              <w:tl2br w:val="nil"/>
              <w:tr2bl w:val="nil"/>
            </w:tcBorders>
            <w:vAlign w:val="center"/>
          </w:tcPr>
          <w:p w14:paraId="3EE2BA3F">
            <w:pPr>
              <w:ind w:left="0" w:leftChars="0" w:firstLine="0" w:firstLineChars="0"/>
              <w:jc w:val="center"/>
              <w:rPr>
                <w:rFonts w:hint="eastAsia" w:eastAsia="宋体"/>
                <w:sz w:val="21"/>
                <w:szCs w:val="21"/>
                <w:highlight w:val="none"/>
                <w:lang w:val="en-US" w:eastAsia="zh-CN"/>
              </w:rPr>
            </w:pPr>
            <w:r>
              <w:rPr>
                <w:rFonts w:hint="eastAsia"/>
                <w:sz w:val="21"/>
                <w:szCs w:val="21"/>
                <w:highlight w:val="none"/>
                <w:lang w:val="en-US" w:eastAsia="zh-CN"/>
              </w:rPr>
              <w:t>人群</w:t>
            </w:r>
          </w:p>
        </w:tc>
        <w:tc>
          <w:tcPr>
            <w:tcW w:w="1050" w:type="pct"/>
            <w:vMerge w:val="restart"/>
            <w:tcBorders>
              <w:tl2br w:val="nil"/>
              <w:tr2bl w:val="nil"/>
            </w:tcBorders>
            <w:vAlign w:val="center"/>
          </w:tcPr>
          <w:p w14:paraId="524957B1">
            <w:pPr>
              <w:ind w:left="0" w:leftChars="0" w:firstLine="0" w:firstLineChars="0"/>
              <w:jc w:val="center"/>
              <w:rPr>
                <w:sz w:val="21"/>
                <w:szCs w:val="21"/>
                <w:highlight w:val="none"/>
              </w:rPr>
            </w:pPr>
            <w:r>
              <w:rPr>
                <w:rFonts w:hint="eastAsia"/>
                <w:sz w:val="21"/>
                <w:szCs w:val="21"/>
                <w:highlight w:val="none"/>
              </w:rPr>
              <w:t>二类区</w:t>
            </w:r>
          </w:p>
        </w:tc>
        <w:tc>
          <w:tcPr>
            <w:tcW w:w="444" w:type="pct"/>
            <w:tcBorders>
              <w:tl2br w:val="nil"/>
              <w:tr2bl w:val="nil"/>
            </w:tcBorders>
            <w:vAlign w:val="center"/>
          </w:tcPr>
          <w:p w14:paraId="17EAF4CE">
            <w:pPr>
              <w:ind w:left="0" w:leftChars="0" w:firstLine="0" w:firstLineChars="0"/>
              <w:jc w:val="center"/>
              <w:rPr>
                <w:rFonts w:hint="eastAsia" w:eastAsia="宋体"/>
                <w:sz w:val="21"/>
                <w:szCs w:val="21"/>
                <w:highlight w:val="none"/>
                <w:lang w:eastAsia="zh-CN"/>
              </w:rPr>
            </w:pPr>
            <w:r>
              <w:rPr>
                <w:rFonts w:hint="eastAsia"/>
                <w:sz w:val="21"/>
                <w:szCs w:val="21"/>
                <w:highlight w:val="none"/>
                <w:lang w:val="en-US" w:eastAsia="zh-CN"/>
              </w:rPr>
              <w:t>W</w:t>
            </w:r>
          </w:p>
        </w:tc>
        <w:tc>
          <w:tcPr>
            <w:tcW w:w="574" w:type="pct"/>
            <w:tcBorders>
              <w:tl2br w:val="nil"/>
              <w:tr2bl w:val="nil"/>
            </w:tcBorders>
            <w:vAlign w:val="center"/>
          </w:tcPr>
          <w:p w14:paraId="49127B59">
            <w:pPr>
              <w:ind w:left="0" w:leftChars="0" w:firstLine="0" w:firstLineChars="0"/>
              <w:jc w:val="center"/>
              <w:rPr>
                <w:sz w:val="21"/>
                <w:szCs w:val="21"/>
                <w:highlight w:val="none"/>
              </w:rPr>
            </w:pPr>
            <w:r>
              <w:rPr>
                <w:rFonts w:hint="eastAsia"/>
                <w:sz w:val="21"/>
                <w:szCs w:val="21"/>
                <w:highlight w:val="none"/>
                <w:lang w:val="en-US" w:eastAsia="zh-CN"/>
              </w:rPr>
              <w:t>210</w:t>
            </w:r>
            <w:r>
              <w:rPr>
                <w:rFonts w:hint="eastAsia"/>
                <w:sz w:val="21"/>
                <w:szCs w:val="21"/>
                <w:highlight w:val="none"/>
              </w:rPr>
              <w:t>m</w:t>
            </w:r>
          </w:p>
        </w:tc>
      </w:tr>
      <w:tr w14:paraId="487D04C4">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57F0DB39">
            <w:pPr>
              <w:jc w:val="center"/>
              <w:rPr>
                <w:sz w:val="21"/>
                <w:szCs w:val="21"/>
                <w:highlight w:val="none"/>
              </w:rPr>
            </w:pPr>
          </w:p>
        </w:tc>
        <w:tc>
          <w:tcPr>
            <w:tcW w:w="390" w:type="pct"/>
            <w:tcBorders>
              <w:tl2br w:val="nil"/>
              <w:tr2bl w:val="nil"/>
            </w:tcBorders>
            <w:vAlign w:val="center"/>
          </w:tcPr>
          <w:p w14:paraId="26A23CD0">
            <w:pPr>
              <w:pStyle w:val="32"/>
              <w:widowControl w:val="0"/>
              <w:adjustRightInd w:val="0"/>
              <w:snapToGrid w:val="0"/>
              <w:jc w:val="center"/>
              <w:rPr>
                <w:rFonts w:hint="default" w:eastAsia="宋体"/>
                <w:sz w:val="21"/>
                <w:szCs w:val="21"/>
                <w:highlight w:val="none"/>
                <w:lang w:val="en-US" w:eastAsia="zh-CN"/>
              </w:rPr>
            </w:pPr>
            <w:r>
              <w:rPr>
                <w:rFonts w:hint="eastAsia" w:ascii="Times New Roman" w:hAnsi="Times New Roman"/>
                <w:sz w:val="21"/>
                <w:szCs w:val="21"/>
                <w:highlight w:val="none"/>
                <w:lang w:val="en-US" w:eastAsia="zh-CN"/>
              </w:rPr>
              <w:t>绥芬河市人大</w:t>
            </w:r>
          </w:p>
        </w:tc>
        <w:tc>
          <w:tcPr>
            <w:tcW w:w="625" w:type="pct"/>
            <w:tcBorders>
              <w:tl2br w:val="nil"/>
              <w:tr2bl w:val="nil"/>
            </w:tcBorders>
            <w:vAlign w:val="center"/>
          </w:tcPr>
          <w:p w14:paraId="4EE7C0E1">
            <w:pPr>
              <w:ind w:left="0" w:leftChars="0"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131.145290</w:t>
            </w:r>
          </w:p>
        </w:tc>
        <w:tc>
          <w:tcPr>
            <w:tcW w:w="598" w:type="pct"/>
            <w:tcBorders>
              <w:tl2br w:val="nil"/>
              <w:tr2bl w:val="nil"/>
            </w:tcBorders>
            <w:vAlign w:val="center"/>
          </w:tcPr>
          <w:p w14:paraId="0FCE8682">
            <w:pPr>
              <w:ind w:left="0" w:leftChars="0"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44.409091</w:t>
            </w:r>
          </w:p>
        </w:tc>
        <w:tc>
          <w:tcPr>
            <w:tcW w:w="450" w:type="pct"/>
            <w:vMerge w:val="continue"/>
            <w:tcBorders>
              <w:tl2br w:val="nil"/>
              <w:tr2bl w:val="nil"/>
            </w:tcBorders>
            <w:vAlign w:val="center"/>
          </w:tcPr>
          <w:p w14:paraId="7CBD32DB">
            <w:pPr>
              <w:jc w:val="center"/>
              <w:rPr>
                <w:sz w:val="21"/>
                <w:szCs w:val="21"/>
                <w:highlight w:val="none"/>
              </w:rPr>
            </w:pPr>
          </w:p>
        </w:tc>
        <w:tc>
          <w:tcPr>
            <w:tcW w:w="476" w:type="pct"/>
            <w:vMerge w:val="continue"/>
            <w:tcBorders>
              <w:tl2br w:val="nil"/>
              <w:tr2bl w:val="nil"/>
            </w:tcBorders>
            <w:vAlign w:val="center"/>
          </w:tcPr>
          <w:p w14:paraId="08D9C3EF">
            <w:pPr>
              <w:jc w:val="center"/>
              <w:rPr>
                <w:sz w:val="21"/>
                <w:szCs w:val="21"/>
                <w:highlight w:val="none"/>
              </w:rPr>
            </w:pPr>
          </w:p>
        </w:tc>
        <w:tc>
          <w:tcPr>
            <w:tcW w:w="1050" w:type="pct"/>
            <w:vMerge w:val="continue"/>
            <w:tcBorders>
              <w:tl2br w:val="nil"/>
              <w:tr2bl w:val="nil"/>
            </w:tcBorders>
            <w:vAlign w:val="center"/>
          </w:tcPr>
          <w:p w14:paraId="67A4913C">
            <w:pPr>
              <w:jc w:val="center"/>
              <w:rPr>
                <w:sz w:val="21"/>
                <w:szCs w:val="21"/>
                <w:highlight w:val="none"/>
              </w:rPr>
            </w:pPr>
          </w:p>
        </w:tc>
        <w:tc>
          <w:tcPr>
            <w:tcW w:w="444" w:type="pct"/>
            <w:tcBorders>
              <w:tl2br w:val="nil"/>
              <w:tr2bl w:val="nil"/>
            </w:tcBorders>
            <w:vAlign w:val="center"/>
          </w:tcPr>
          <w:p w14:paraId="0B2C026C">
            <w:pPr>
              <w:ind w:left="0" w:leftChars="0" w:firstLine="0" w:firstLineChars="0"/>
              <w:jc w:val="center"/>
              <w:rPr>
                <w:sz w:val="21"/>
                <w:szCs w:val="21"/>
                <w:highlight w:val="none"/>
              </w:rPr>
            </w:pPr>
            <w:r>
              <w:rPr>
                <w:rFonts w:hint="eastAsia"/>
                <w:sz w:val="21"/>
                <w:szCs w:val="21"/>
                <w:highlight w:val="none"/>
              </w:rPr>
              <w:t>W</w:t>
            </w:r>
          </w:p>
        </w:tc>
        <w:tc>
          <w:tcPr>
            <w:tcW w:w="574" w:type="pct"/>
            <w:tcBorders>
              <w:tl2br w:val="nil"/>
              <w:tr2bl w:val="nil"/>
            </w:tcBorders>
            <w:vAlign w:val="center"/>
          </w:tcPr>
          <w:p w14:paraId="2B28121E">
            <w:pPr>
              <w:ind w:left="0" w:leftChars="0" w:firstLine="0" w:firstLineChars="0"/>
              <w:jc w:val="center"/>
              <w:rPr>
                <w:sz w:val="21"/>
                <w:szCs w:val="21"/>
                <w:highlight w:val="none"/>
              </w:rPr>
            </w:pPr>
            <w:r>
              <w:rPr>
                <w:rFonts w:hint="eastAsia"/>
                <w:sz w:val="21"/>
                <w:szCs w:val="21"/>
                <w:highlight w:val="none"/>
                <w:lang w:val="en-US" w:eastAsia="zh-CN"/>
              </w:rPr>
              <w:t>150</w:t>
            </w:r>
            <w:r>
              <w:rPr>
                <w:rFonts w:hint="eastAsia"/>
                <w:sz w:val="21"/>
                <w:szCs w:val="21"/>
                <w:highlight w:val="none"/>
              </w:rPr>
              <w:t>m</w:t>
            </w:r>
          </w:p>
        </w:tc>
      </w:tr>
      <w:tr w14:paraId="76A2344A">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1DA79DD8">
            <w:pPr>
              <w:jc w:val="center"/>
              <w:rPr>
                <w:sz w:val="21"/>
                <w:szCs w:val="21"/>
                <w:highlight w:val="none"/>
              </w:rPr>
            </w:pPr>
          </w:p>
        </w:tc>
        <w:tc>
          <w:tcPr>
            <w:tcW w:w="390" w:type="pct"/>
            <w:tcBorders>
              <w:tl2br w:val="nil"/>
              <w:tr2bl w:val="nil"/>
            </w:tcBorders>
            <w:vAlign w:val="center"/>
          </w:tcPr>
          <w:p w14:paraId="3794DD87">
            <w:pPr>
              <w:pStyle w:val="32"/>
              <w:widowControl w:val="0"/>
              <w:adjustRightInd w:val="0"/>
              <w:snapToGrid w:val="0"/>
              <w:jc w:val="center"/>
              <w:rPr>
                <w:rFonts w:hint="default" w:eastAsia="宋体"/>
                <w:sz w:val="21"/>
                <w:szCs w:val="21"/>
                <w:highlight w:val="none"/>
                <w:lang w:val="en-US" w:eastAsia="zh-CN"/>
              </w:rPr>
            </w:pPr>
            <w:r>
              <w:rPr>
                <w:rFonts w:hint="eastAsia" w:ascii="Times New Roman" w:hAnsi="Times New Roman"/>
                <w:sz w:val="21"/>
                <w:szCs w:val="21"/>
                <w:highlight w:val="none"/>
                <w:lang w:val="en-US" w:eastAsia="zh-CN"/>
              </w:rPr>
              <w:t>绥芬河市住房公积金中心</w:t>
            </w:r>
          </w:p>
        </w:tc>
        <w:tc>
          <w:tcPr>
            <w:tcW w:w="625" w:type="pct"/>
            <w:tcBorders>
              <w:tl2br w:val="nil"/>
              <w:tr2bl w:val="nil"/>
            </w:tcBorders>
            <w:vAlign w:val="center"/>
          </w:tcPr>
          <w:p w14:paraId="6E9422A4">
            <w:pPr>
              <w:ind w:left="0" w:leftChars="0"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131.142372</w:t>
            </w:r>
          </w:p>
        </w:tc>
        <w:tc>
          <w:tcPr>
            <w:tcW w:w="598" w:type="pct"/>
            <w:tcBorders>
              <w:tl2br w:val="nil"/>
              <w:tr2bl w:val="nil"/>
            </w:tcBorders>
            <w:vAlign w:val="center"/>
          </w:tcPr>
          <w:p w14:paraId="6D1F7B6F">
            <w:pPr>
              <w:ind w:left="0" w:leftChars="0"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44.409727</w:t>
            </w:r>
          </w:p>
        </w:tc>
        <w:tc>
          <w:tcPr>
            <w:tcW w:w="450" w:type="pct"/>
            <w:vMerge w:val="continue"/>
            <w:tcBorders>
              <w:tl2br w:val="nil"/>
              <w:tr2bl w:val="nil"/>
            </w:tcBorders>
            <w:vAlign w:val="center"/>
          </w:tcPr>
          <w:p w14:paraId="102DCFB4">
            <w:pPr>
              <w:jc w:val="center"/>
              <w:rPr>
                <w:sz w:val="21"/>
                <w:szCs w:val="21"/>
                <w:highlight w:val="none"/>
              </w:rPr>
            </w:pPr>
          </w:p>
        </w:tc>
        <w:tc>
          <w:tcPr>
            <w:tcW w:w="476" w:type="pct"/>
            <w:vMerge w:val="continue"/>
            <w:tcBorders>
              <w:tl2br w:val="nil"/>
              <w:tr2bl w:val="nil"/>
            </w:tcBorders>
            <w:vAlign w:val="center"/>
          </w:tcPr>
          <w:p w14:paraId="5FE2F023">
            <w:pPr>
              <w:jc w:val="center"/>
              <w:rPr>
                <w:sz w:val="21"/>
                <w:szCs w:val="21"/>
                <w:highlight w:val="none"/>
              </w:rPr>
            </w:pPr>
          </w:p>
        </w:tc>
        <w:tc>
          <w:tcPr>
            <w:tcW w:w="1050" w:type="pct"/>
            <w:vMerge w:val="continue"/>
            <w:tcBorders>
              <w:tl2br w:val="nil"/>
              <w:tr2bl w:val="nil"/>
            </w:tcBorders>
            <w:vAlign w:val="center"/>
          </w:tcPr>
          <w:p w14:paraId="27C43DA0">
            <w:pPr>
              <w:jc w:val="center"/>
              <w:rPr>
                <w:sz w:val="21"/>
                <w:szCs w:val="21"/>
                <w:highlight w:val="none"/>
              </w:rPr>
            </w:pPr>
          </w:p>
        </w:tc>
        <w:tc>
          <w:tcPr>
            <w:tcW w:w="444" w:type="pct"/>
            <w:tcBorders>
              <w:tl2br w:val="nil"/>
              <w:tr2bl w:val="nil"/>
            </w:tcBorders>
            <w:vAlign w:val="center"/>
          </w:tcPr>
          <w:p w14:paraId="1C7255BB">
            <w:pPr>
              <w:ind w:left="0" w:leftChars="0" w:firstLine="0" w:firstLineChars="0"/>
              <w:jc w:val="center"/>
              <w:rPr>
                <w:sz w:val="21"/>
                <w:szCs w:val="21"/>
                <w:highlight w:val="none"/>
              </w:rPr>
            </w:pPr>
            <w:r>
              <w:rPr>
                <w:rFonts w:hint="eastAsia"/>
                <w:sz w:val="21"/>
                <w:szCs w:val="21"/>
                <w:highlight w:val="none"/>
              </w:rPr>
              <w:t>W</w:t>
            </w:r>
          </w:p>
        </w:tc>
        <w:tc>
          <w:tcPr>
            <w:tcW w:w="574" w:type="pct"/>
            <w:tcBorders>
              <w:tl2br w:val="nil"/>
              <w:tr2bl w:val="nil"/>
            </w:tcBorders>
            <w:vAlign w:val="center"/>
          </w:tcPr>
          <w:p w14:paraId="278A9BD7">
            <w:pPr>
              <w:ind w:left="0" w:leftChars="0" w:firstLine="0" w:firstLineChars="0"/>
              <w:jc w:val="center"/>
              <w:rPr>
                <w:sz w:val="21"/>
                <w:szCs w:val="21"/>
                <w:highlight w:val="none"/>
              </w:rPr>
            </w:pPr>
            <w:r>
              <w:rPr>
                <w:rFonts w:hint="eastAsia"/>
                <w:sz w:val="21"/>
                <w:szCs w:val="21"/>
                <w:highlight w:val="none"/>
                <w:lang w:val="en-US" w:eastAsia="zh-CN"/>
              </w:rPr>
              <w:t>350</w:t>
            </w:r>
            <w:r>
              <w:rPr>
                <w:rFonts w:hint="eastAsia"/>
                <w:sz w:val="21"/>
                <w:szCs w:val="21"/>
                <w:highlight w:val="none"/>
              </w:rPr>
              <w:t>m</w:t>
            </w:r>
          </w:p>
        </w:tc>
      </w:tr>
      <w:tr w14:paraId="70534AF4">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1E88F76B">
            <w:pPr>
              <w:jc w:val="center"/>
              <w:rPr>
                <w:sz w:val="21"/>
                <w:szCs w:val="21"/>
                <w:highlight w:val="none"/>
              </w:rPr>
            </w:pPr>
          </w:p>
        </w:tc>
        <w:tc>
          <w:tcPr>
            <w:tcW w:w="390" w:type="pct"/>
            <w:tcBorders>
              <w:tl2br w:val="nil"/>
              <w:tr2bl w:val="nil"/>
            </w:tcBorders>
            <w:vAlign w:val="center"/>
          </w:tcPr>
          <w:p w14:paraId="437189EE">
            <w:pPr>
              <w:pStyle w:val="32"/>
              <w:widowControl w:val="0"/>
              <w:adjustRightInd w:val="0"/>
              <w:snapToGrid w:val="0"/>
              <w:jc w:val="center"/>
              <w:rPr>
                <w:rFonts w:hint="default" w:eastAsia="宋体"/>
                <w:sz w:val="21"/>
                <w:szCs w:val="21"/>
                <w:highlight w:val="none"/>
                <w:lang w:val="en-US" w:eastAsia="zh-CN"/>
              </w:rPr>
            </w:pPr>
            <w:r>
              <w:rPr>
                <w:rFonts w:hint="eastAsia" w:ascii="Times New Roman" w:hAnsi="Times New Roman"/>
                <w:sz w:val="21"/>
                <w:szCs w:val="21"/>
                <w:highlight w:val="none"/>
                <w:lang w:val="en-US" w:eastAsia="zh-CN"/>
              </w:rPr>
              <w:t>绥芬河市应急管理局</w:t>
            </w:r>
          </w:p>
        </w:tc>
        <w:tc>
          <w:tcPr>
            <w:tcW w:w="625" w:type="pct"/>
            <w:tcBorders>
              <w:tl2br w:val="nil"/>
              <w:tr2bl w:val="nil"/>
            </w:tcBorders>
            <w:vAlign w:val="center"/>
          </w:tcPr>
          <w:p w14:paraId="187588ED">
            <w:pPr>
              <w:ind w:left="0" w:leftChars="0"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131.141438</w:t>
            </w:r>
          </w:p>
        </w:tc>
        <w:tc>
          <w:tcPr>
            <w:tcW w:w="598" w:type="pct"/>
            <w:tcBorders>
              <w:tl2br w:val="nil"/>
              <w:tr2bl w:val="nil"/>
            </w:tcBorders>
            <w:vAlign w:val="center"/>
          </w:tcPr>
          <w:p w14:paraId="7921FEC1">
            <w:pPr>
              <w:ind w:left="0" w:leftChars="0"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44.410555</w:t>
            </w:r>
          </w:p>
        </w:tc>
        <w:tc>
          <w:tcPr>
            <w:tcW w:w="450" w:type="pct"/>
            <w:vMerge w:val="continue"/>
            <w:tcBorders>
              <w:tl2br w:val="nil"/>
              <w:tr2bl w:val="nil"/>
            </w:tcBorders>
            <w:vAlign w:val="center"/>
          </w:tcPr>
          <w:p w14:paraId="19EAD357">
            <w:pPr>
              <w:jc w:val="center"/>
              <w:rPr>
                <w:sz w:val="21"/>
                <w:szCs w:val="21"/>
                <w:highlight w:val="none"/>
              </w:rPr>
            </w:pPr>
          </w:p>
        </w:tc>
        <w:tc>
          <w:tcPr>
            <w:tcW w:w="476" w:type="pct"/>
            <w:vMerge w:val="continue"/>
            <w:tcBorders>
              <w:tl2br w:val="nil"/>
              <w:tr2bl w:val="nil"/>
            </w:tcBorders>
            <w:vAlign w:val="center"/>
          </w:tcPr>
          <w:p w14:paraId="13B786F7">
            <w:pPr>
              <w:jc w:val="center"/>
              <w:rPr>
                <w:sz w:val="21"/>
                <w:szCs w:val="21"/>
                <w:highlight w:val="none"/>
              </w:rPr>
            </w:pPr>
          </w:p>
        </w:tc>
        <w:tc>
          <w:tcPr>
            <w:tcW w:w="1050" w:type="pct"/>
            <w:vMerge w:val="continue"/>
            <w:tcBorders>
              <w:tl2br w:val="nil"/>
              <w:tr2bl w:val="nil"/>
            </w:tcBorders>
            <w:vAlign w:val="center"/>
          </w:tcPr>
          <w:p w14:paraId="36291053">
            <w:pPr>
              <w:jc w:val="center"/>
              <w:rPr>
                <w:sz w:val="21"/>
                <w:szCs w:val="21"/>
                <w:highlight w:val="none"/>
              </w:rPr>
            </w:pPr>
          </w:p>
        </w:tc>
        <w:tc>
          <w:tcPr>
            <w:tcW w:w="444" w:type="pct"/>
            <w:tcBorders>
              <w:tl2br w:val="nil"/>
              <w:tr2bl w:val="nil"/>
            </w:tcBorders>
            <w:vAlign w:val="center"/>
          </w:tcPr>
          <w:p w14:paraId="740E84E7">
            <w:pPr>
              <w:ind w:left="0" w:leftChars="0" w:firstLine="0" w:firstLineChars="0"/>
              <w:jc w:val="center"/>
              <w:rPr>
                <w:sz w:val="21"/>
                <w:szCs w:val="21"/>
                <w:highlight w:val="none"/>
              </w:rPr>
            </w:pPr>
            <w:r>
              <w:rPr>
                <w:rFonts w:hint="eastAsia"/>
                <w:sz w:val="21"/>
                <w:szCs w:val="21"/>
                <w:highlight w:val="none"/>
              </w:rPr>
              <w:t>NW</w:t>
            </w:r>
          </w:p>
        </w:tc>
        <w:tc>
          <w:tcPr>
            <w:tcW w:w="574" w:type="pct"/>
            <w:tcBorders>
              <w:tl2br w:val="nil"/>
              <w:tr2bl w:val="nil"/>
            </w:tcBorders>
            <w:vAlign w:val="center"/>
          </w:tcPr>
          <w:p w14:paraId="3A4DBD71">
            <w:pPr>
              <w:ind w:left="0" w:leftChars="0" w:firstLine="0" w:firstLineChars="0"/>
              <w:jc w:val="center"/>
              <w:rPr>
                <w:sz w:val="21"/>
                <w:szCs w:val="21"/>
                <w:highlight w:val="none"/>
              </w:rPr>
            </w:pPr>
            <w:r>
              <w:rPr>
                <w:rFonts w:hint="eastAsia"/>
                <w:sz w:val="21"/>
                <w:szCs w:val="21"/>
                <w:highlight w:val="none"/>
                <w:lang w:val="en-US" w:eastAsia="zh-CN"/>
              </w:rPr>
              <w:t>500</w:t>
            </w:r>
            <w:r>
              <w:rPr>
                <w:rFonts w:hint="eastAsia"/>
                <w:sz w:val="21"/>
                <w:szCs w:val="21"/>
                <w:highlight w:val="none"/>
              </w:rPr>
              <w:t>m</w:t>
            </w:r>
          </w:p>
        </w:tc>
      </w:tr>
      <w:tr w14:paraId="236128CD">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6A2AD3C9">
            <w:pPr>
              <w:jc w:val="center"/>
              <w:rPr>
                <w:sz w:val="21"/>
                <w:szCs w:val="21"/>
                <w:highlight w:val="none"/>
              </w:rPr>
            </w:pPr>
          </w:p>
        </w:tc>
        <w:tc>
          <w:tcPr>
            <w:tcW w:w="390" w:type="pct"/>
            <w:tcBorders>
              <w:tl2br w:val="nil"/>
              <w:tr2bl w:val="nil"/>
            </w:tcBorders>
            <w:vAlign w:val="center"/>
          </w:tcPr>
          <w:p w14:paraId="69DE1FD1">
            <w:pPr>
              <w:pStyle w:val="32"/>
              <w:widowControl w:val="0"/>
              <w:adjustRightInd w:val="0"/>
              <w:snapToGrid w:val="0"/>
              <w:jc w:val="center"/>
              <w:rPr>
                <w:rFonts w:hint="default" w:ascii="Times New Roman" w:hAnsi="Times New Roman"/>
                <w:sz w:val="21"/>
                <w:szCs w:val="21"/>
                <w:highlight w:val="none"/>
                <w:lang w:val="en-US"/>
              </w:rPr>
            </w:pPr>
            <w:r>
              <w:rPr>
                <w:rFonts w:hint="eastAsia" w:ascii="Times New Roman" w:hAnsi="Times New Roman"/>
                <w:sz w:val="21"/>
                <w:szCs w:val="21"/>
                <w:highlight w:val="none"/>
                <w:lang w:val="en-US" w:eastAsia="zh-CN"/>
              </w:rPr>
              <w:t>绥芬河市房屋征收办公室</w:t>
            </w:r>
          </w:p>
        </w:tc>
        <w:tc>
          <w:tcPr>
            <w:tcW w:w="625" w:type="pct"/>
            <w:tcBorders>
              <w:tl2br w:val="nil"/>
              <w:tr2bl w:val="nil"/>
            </w:tcBorders>
            <w:vAlign w:val="center"/>
          </w:tcPr>
          <w:p w14:paraId="624308EC">
            <w:pPr>
              <w:ind w:left="0" w:leftChars="0"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131.142522</w:t>
            </w:r>
          </w:p>
        </w:tc>
        <w:tc>
          <w:tcPr>
            <w:tcW w:w="598" w:type="pct"/>
            <w:tcBorders>
              <w:tl2br w:val="nil"/>
              <w:tr2bl w:val="nil"/>
            </w:tcBorders>
            <w:vAlign w:val="center"/>
          </w:tcPr>
          <w:p w14:paraId="172FA14F">
            <w:pPr>
              <w:ind w:left="0" w:leftChars="0"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44.407826</w:t>
            </w:r>
          </w:p>
        </w:tc>
        <w:tc>
          <w:tcPr>
            <w:tcW w:w="450" w:type="pct"/>
            <w:vMerge w:val="continue"/>
            <w:tcBorders>
              <w:tl2br w:val="nil"/>
              <w:tr2bl w:val="nil"/>
            </w:tcBorders>
            <w:vAlign w:val="center"/>
          </w:tcPr>
          <w:p w14:paraId="7C816A6B">
            <w:pPr>
              <w:jc w:val="center"/>
              <w:rPr>
                <w:sz w:val="21"/>
                <w:szCs w:val="21"/>
                <w:highlight w:val="none"/>
              </w:rPr>
            </w:pPr>
          </w:p>
        </w:tc>
        <w:tc>
          <w:tcPr>
            <w:tcW w:w="476" w:type="pct"/>
            <w:vMerge w:val="continue"/>
            <w:tcBorders>
              <w:tl2br w:val="nil"/>
              <w:tr2bl w:val="nil"/>
            </w:tcBorders>
            <w:vAlign w:val="center"/>
          </w:tcPr>
          <w:p w14:paraId="19A8620A">
            <w:pPr>
              <w:jc w:val="center"/>
              <w:rPr>
                <w:sz w:val="21"/>
                <w:szCs w:val="21"/>
                <w:highlight w:val="none"/>
              </w:rPr>
            </w:pPr>
          </w:p>
        </w:tc>
        <w:tc>
          <w:tcPr>
            <w:tcW w:w="1050" w:type="pct"/>
            <w:vMerge w:val="continue"/>
            <w:tcBorders>
              <w:tl2br w:val="nil"/>
              <w:tr2bl w:val="nil"/>
            </w:tcBorders>
            <w:vAlign w:val="center"/>
          </w:tcPr>
          <w:p w14:paraId="7636DDE9">
            <w:pPr>
              <w:jc w:val="center"/>
              <w:rPr>
                <w:sz w:val="21"/>
                <w:szCs w:val="21"/>
                <w:highlight w:val="none"/>
              </w:rPr>
            </w:pPr>
          </w:p>
        </w:tc>
        <w:tc>
          <w:tcPr>
            <w:tcW w:w="444" w:type="pct"/>
            <w:tcBorders>
              <w:tl2br w:val="nil"/>
              <w:tr2bl w:val="nil"/>
            </w:tcBorders>
            <w:vAlign w:val="center"/>
          </w:tcPr>
          <w:p w14:paraId="1113BAFD">
            <w:pPr>
              <w:ind w:left="0" w:leftChars="0"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SW</w:t>
            </w:r>
          </w:p>
        </w:tc>
        <w:tc>
          <w:tcPr>
            <w:tcW w:w="574" w:type="pct"/>
            <w:tcBorders>
              <w:tl2br w:val="nil"/>
              <w:tr2bl w:val="nil"/>
            </w:tcBorders>
            <w:vAlign w:val="center"/>
          </w:tcPr>
          <w:p w14:paraId="24F76995">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400m</w:t>
            </w:r>
          </w:p>
        </w:tc>
      </w:tr>
      <w:tr w14:paraId="44F8A3C9">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2E089B24">
            <w:pPr>
              <w:jc w:val="center"/>
              <w:rPr>
                <w:sz w:val="21"/>
                <w:szCs w:val="21"/>
                <w:highlight w:val="none"/>
              </w:rPr>
            </w:pPr>
          </w:p>
        </w:tc>
        <w:tc>
          <w:tcPr>
            <w:tcW w:w="390" w:type="pct"/>
            <w:tcBorders>
              <w:tl2br w:val="nil"/>
              <w:tr2bl w:val="nil"/>
            </w:tcBorders>
            <w:vAlign w:val="center"/>
          </w:tcPr>
          <w:p w14:paraId="1A234D99">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绥芬河镇人民政府</w:t>
            </w:r>
          </w:p>
        </w:tc>
        <w:tc>
          <w:tcPr>
            <w:tcW w:w="625" w:type="pct"/>
            <w:tcBorders>
              <w:tl2br w:val="nil"/>
              <w:tr2bl w:val="nil"/>
            </w:tcBorders>
            <w:vAlign w:val="center"/>
          </w:tcPr>
          <w:p w14:paraId="599B7F9A">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131.142780</w:t>
            </w:r>
          </w:p>
        </w:tc>
        <w:tc>
          <w:tcPr>
            <w:tcW w:w="598" w:type="pct"/>
            <w:tcBorders>
              <w:tl2br w:val="nil"/>
              <w:tr2bl w:val="nil"/>
            </w:tcBorders>
            <w:vAlign w:val="center"/>
          </w:tcPr>
          <w:p w14:paraId="0BAD3D6F">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44.403887</w:t>
            </w:r>
          </w:p>
        </w:tc>
        <w:tc>
          <w:tcPr>
            <w:tcW w:w="450" w:type="pct"/>
            <w:vMerge w:val="continue"/>
            <w:tcBorders>
              <w:tl2br w:val="nil"/>
              <w:tr2bl w:val="nil"/>
            </w:tcBorders>
            <w:vAlign w:val="center"/>
          </w:tcPr>
          <w:p w14:paraId="38300A2A">
            <w:pPr>
              <w:jc w:val="center"/>
              <w:rPr>
                <w:sz w:val="21"/>
                <w:szCs w:val="21"/>
                <w:highlight w:val="none"/>
              </w:rPr>
            </w:pPr>
          </w:p>
        </w:tc>
        <w:tc>
          <w:tcPr>
            <w:tcW w:w="476" w:type="pct"/>
            <w:vMerge w:val="continue"/>
            <w:tcBorders>
              <w:tl2br w:val="nil"/>
              <w:tr2bl w:val="nil"/>
            </w:tcBorders>
            <w:vAlign w:val="center"/>
          </w:tcPr>
          <w:p w14:paraId="32898F14">
            <w:pPr>
              <w:jc w:val="center"/>
              <w:rPr>
                <w:sz w:val="21"/>
                <w:szCs w:val="21"/>
                <w:highlight w:val="none"/>
              </w:rPr>
            </w:pPr>
          </w:p>
        </w:tc>
        <w:tc>
          <w:tcPr>
            <w:tcW w:w="1050" w:type="pct"/>
            <w:vMerge w:val="continue"/>
            <w:tcBorders>
              <w:tl2br w:val="nil"/>
              <w:tr2bl w:val="nil"/>
            </w:tcBorders>
            <w:vAlign w:val="center"/>
          </w:tcPr>
          <w:p w14:paraId="1D8701FC">
            <w:pPr>
              <w:jc w:val="center"/>
              <w:rPr>
                <w:sz w:val="21"/>
                <w:szCs w:val="21"/>
                <w:highlight w:val="none"/>
              </w:rPr>
            </w:pPr>
          </w:p>
        </w:tc>
        <w:tc>
          <w:tcPr>
            <w:tcW w:w="444" w:type="pct"/>
            <w:tcBorders>
              <w:tl2br w:val="nil"/>
              <w:tr2bl w:val="nil"/>
            </w:tcBorders>
            <w:vAlign w:val="center"/>
          </w:tcPr>
          <w:p w14:paraId="08CAB337">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w:t>
            </w:r>
          </w:p>
        </w:tc>
        <w:tc>
          <w:tcPr>
            <w:tcW w:w="574" w:type="pct"/>
            <w:tcBorders>
              <w:tl2br w:val="nil"/>
              <w:tr2bl w:val="nil"/>
            </w:tcBorders>
            <w:vAlign w:val="center"/>
          </w:tcPr>
          <w:p w14:paraId="73CA13F7">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650m</w:t>
            </w:r>
          </w:p>
        </w:tc>
      </w:tr>
      <w:tr w14:paraId="24708EA4">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790A833B">
            <w:pPr>
              <w:jc w:val="center"/>
              <w:rPr>
                <w:sz w:val="21"/>
                <w:szCs w:val="21"/>
                <w:highlight w:val="none"/>
              </w:rPr>
            </w:pPr>
          </w:p>
        </w:tc>
        <w:tc>
          <w:tcPr>
            <w:tcW w:w="390" w:type="pct"/>
            <w:tcBorders>
              <w:tl2br w:val="nil"/>
              <w:tr2bl w:val="nil"/>
            </w:tcBorders>
            <w:vAlign w:val="center"/>
          </w:tcPr>
          <w:p w14:paraId="4DE382A2">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绥芬河邮政管理局</w:t>
            </w:r>
          </w:p>
        </w:tc>
        <w:tc>
          <w:tcPr>
            <w:tcW w:w="625" w:type="pct"/>
            <w:tcBorders>
              <w:tl2br w:val="nil"/>
              <w:tr2bl w:val="nil"/>
            </w:tcBorders>
            <w:vAlign w:val="center"/>
          </w:tcPr>
          <w:p w14:paraId="41364F69">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131.144335</w:t>
            </w:r>
          </w:p>
        </w:tc>
        <w:tc>
          <w:tcPr>
            <w:tcW w:w="598" w:type="pct"/>
            <w:tcBorders>
              <w:tl2br w:val="nil"/>
              <w:tr2bl w:val="nil"/>
            </w:tcBorders>
            <w:vAlign w:val="center"/>
          </w:tcPr>
          <w:p w14:paraId="177B3799">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44.404668</w:t>
            </w:r>
          </w:p>
        </w:tc>
        <w:tc>
          <w:tcPr>
            <w:tcW w:w="450" w:type="pct"/>
            <w:vMerge w:val="continue"/>
            <w:tcBorders>
              <w:tl2br w:val="nil"/>
              <w:tr2bl w:val="nil"/>
            </w:tcBorders>
            <w:vAlign w:val="center"/>
          </w:tcPr>
          <w:p w14:paraId="6B536314">
            <w:pPr>
              <w:jc w:val="center"/>
              <w:rPr>
                <w:sz w:val="21"/>
                <w:szCs w:val="21"/>
                <w:highlight w:val="none"/>
              </w:rPr>
            </w:pPr>
          </w:p>
        </w:tc>
        <w:tc>
          <w:tcPr>
            <w:tcW w:w="476" w:type="pct"/>
            <w:vMerge w:val="continue"/>
            <w:tcBorders>
              <w:tl2br w:val="nil"/>
              <w:tr2bl w:val="nil"/>
            </w:tcBorders>
            <w:vAlign w:val="center"/>
          </w:tcPr>
          <w:p w14:paraId="4C4CC53C">
            <w:pPr>
              <w:jc w:val="center"/>
              <w:rPr>
                <w:sz w:val="21"/>
                <w:szCs w:val="21"/>
                <w:highlight w:val="none"/>
              </w:rPr>
            </w:pPr>
          </w:p>
        </w:tc>
        <w:tc>
          <w:tcPr>
            <w:tcW w:w="1050" w:type="pct"/>
            <w:vMerge w:val="continue"/>
            <w:tcBorders>
              <w:tl2br w:val="nil"/>
              <w:tr2bl w:val="nil"/>
            </w:tcBorders>
            <w:vAlign w:val="center"/>
          </w:tcPr>
          <w:p w14:paraId="32C587A1">
            <w:pPr>
              <w:jc w:val="center"/>
              <w:rPr>
                <w:sz w:val="21"/>
                <w:szCs w:val="21"/>
                <w:highlight w:val="none"/>
              </w:rPr>
            </w:pPr>
          </w:p>
        </w:tc>
        <w:tc>
          <w:tcPr>
            <w:tcW w:w="444" w:type="pct"/>
            <w:tcBorders>
              <w:tl2br w:val="nil"/>
              <w:tr2bl w:val="nil"/>
            </w:tcBorders>
            <w:vAlign w:val="center"/>
          </w:tcPr>
          <w:p w14:paraId="055F5DAF">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w:t>
            </w:r>
          </w:p>
        </w:tc>
        <w:tc>
          <w:tcPr>
            <w:tcW w:w="574" w:type="pct"/>
            <w:tcBorders>
              <w:tl2br w:val="nil"/>
              <w:tr2bl w:val="nil"/>
            </w:tcBorders>
            <w:vAlign w:val="center"/>
          </w:tcPr>
          <w:p w14:paraId="72C7A324">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520m</w:t>
            </w:r>
          </w:p>
        </w:tc>
      </w:tr>
      <w:tr w14:paraId="054CC1D4">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66018AD1">
            <w:pPr>
              <w:jc w:val="center"/>
              <w:rPr>
                <w:sz w:val="21"/>
                <w:szCs w:val="21"/>
                <w:highlight w:val="none"/>
              </w:rPr>
            </w:pPr>
          </w:p>
        </w:tc>
        <w:tc>
          <w:tcPr>
            <w:tcW w:w="390" w:type="pct"/>
            <w:tcBorders>
              <w:tl2br w:val="nil"/>
              <w:tr2bl w:val="nil"/>
            </w:tcBorders>
            <w:vAlign w:val="center"/>
          </w:tcPr>
          <w:p w14:paraId="2CF540C4">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绥芬河市教育局</w:t>
            </w:r>
          </w:p>
        </w:tc>
        <w:tc>
          <w:tcPr>
            <w:tcW w:w="625" w:type="pct"/>
            <w:tcBorders>
              <w:tl2br w:val="nil"/>
              <w:tr2bl w:val="nil"/>
            </w:tcBorders>
            <w:vAlign w:val="center"/>
          </w:tcPr>
          <w:p w14:paraId="770C2862">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131.144485</w:t>
            </w:r>
          </w:p>
        </w:tc>
        <w:tc>
          <w:tcPr>
            <w:tcW w:w="598" w:type="pct"/>
            <w:tcBorders>
              <w:tl2br w:val="nil"/>
              <w:tr2bl w:val="nil"/>
            </w:tcBorders>
            <w:vAlign w:val="center"/>
          </w:tcPr>
          <w:p w14:paraId="28EB2269">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44.404216</w:t>
            </w:r>
          </w:p>
        </w:tc>
        <w:tc>
          <w:tcPr>
            <w:tcW w:w="450" w:type="pct"/>
            <w:vMerge w:val="continue"/>
            <w:tcBorders>
              <w:tl2br w:val="nil"/>
              <w:tr2bl w:val="nil"/>
            </w:tcBorders>
            <w:vAlign w:val="center"/>
          </w:tcPr>
          <w:p w14:paraId="7139942B">
            <w:pPr>
              <w:jc w:val="center"/>
              <w:rPr>
                <w:sz w:val="21"/>
                <w:szCs w:val="21"/>
                <w:highlight w:val="none"/>
              </w:rPr>
            </w:pPr>
          </w:p>
        </w:tc>
        <w:tc>
          <w:tcPr>
            <w:tcW w:w="476" w:type="pct"/>
            <w:vMerge w:val="continue"/>
            <w:tcBorders>
              <w:tl2br w:val="nil"/>
              <w:tr2bl w:val="nil"/>
            </w:tcBorders>
            <w:vAlign w:val="center"/>
          </w:tcPr>
          <w:p w14:paraId="748F4FBC">
            <w:pPr>
              <w:jc w:val="center"/>
              <w:rPr>
                <w:sz w:val="21"/>
                <w:szCs w:val="21"/>
                <w:highlight w:val="none"/>
              </w:rPr>
            </w:pPr>
          </w:p>
        </w:tc>
        <w:tc>
          <w:tcPr>
            <w:tcW w:w="1050" w:type="pct"/>
            <w:vMerge w:val="continue"/>
            <w:tcBorders>
              <w:tl2br w:val="nil"/>
              <w:tr2bl w:val="nil"/>
            </w:tcBorders>
            <w:vAlign w:val="center"/>
          </w:tcPr>
          <w:p w14:paraId="41D0F875">
            <w:pPr>
              <w:jc w:val="center"/>
              <w:rPr>
                <w:sz w:val="21"/>
                <w:szCs w:val="21"/>
                <w:highlight w:val="none"/>
              </w:rPr>
            </w:pPr>
          </w:p>
        </w:tc>
        <w:tc>
          <w:tcPr>
            <w:tcW w:w="444" w:type="pct"/>
            <w:tcBorders>
              <w:tl2br w:val="nil"/>
              <w:tr2bl w:val="nil"/>
            </w:tcBorders>
            <w:vAlign w:val="center"/>
          </w:tcPr>
          <w:p w14:paraId="1880303E">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w:t>
            </w:r>
          </w:p>
        </w:tc>
        <w:tc>
          <w:tcPr>
            <w:tcW w:w="574" w:type="pct"/>
            <w:tcBorders>
              <w:tl2br w:val="nil"/>
              <w:tr2bl w:val="nil"/>
            </w:tcBorders>
            <w:vAlign w:val="center"/>
          </w:tcPr>
          <w:p w14:paraId="73BD1B98">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550m</w:t>
            </w:r>
          </w:p>
        </w:tc>
      </w:tr>
      <w:tr w14:paraId="1E22C538">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1CCD2077">
            <w:pPr>
              <w:jc w:val="center"/>
              <w:rPr>
                <w:sz w:val="21"/>
                <w:szCs w:val="21"/>
                <w:highlight w:val="none"/>
              </w:rPr>
            </w:pPr>
          </w:p>
        </w:tc>
        <w:tc>
          <w:tcPr>
            <w:tcW w:w="390" w:type="pct"/>
            <w:tcBorders>
              <w:tl2br w:val="nil"/>
              <w:tr2bl w:val="nil"/>
            </w:tcBorders>
            <w:vAlign w:val="center"/>
          </w:tcPr>
          <w:p w14:paraId="27E2B43A">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绥芬河市自然资源局</w:t>
            </w:r>
          </w:p>
        </w:tc>
        <w:tc>
          <w:tcPr>
            <w:tcW w:w="625" w:type="pct"/>
            <w:tcBorders>
              <w:tl2br w:val="nil"/>
              <w:tr2bl w:val="nil"/>
            </w:tcBorders>
            <w:vAlign w:val="center"/>
          </w:tcPr>
          <w:p w14:paraId="5F50B40F">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131.144968</w:t>
            </w:r>
          </w:p>
        </w:tc>
        <w:tc>
          <w:tcPr>
            <w:tcW w:w="598" w:type="pct"/>
            <w:tcBorders>
              <w:tl2br w:val="nil"/>
              <w:tr2bl w:val="nil"/>
            </w:tcBorders>
            <w:vAlign w:val="center"/>
          </w:tcPr>
          <w:p w14:paraId="123CE17E">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44.406240</w:t>
            </w:r>
          </w:p>
        </w:tc>
        <w:tc>
          <w:tcPr>
            <w:tcW w:w="450" w:type="pct"/>
            <w:vMerge w:val="continue"/>
            <w:tcBorders>
              <w:tl2br w:val="nil"/>
              <w:tr2bl w:val="nil"/>
            </w:tcBorders>
            <w:vAlign w:val="center"/>
          </w:tcPr>
          <w:p w14:paraId="627ED56A">
            <w:pPr>
              <w:jc w:val="center"/>
              <w:rPr>
                <w:sz w:val="21"/>
                <w:szCs w:val="21"/>
                <w:highlight w:val="none"/>
              </w:rPr>
            </w:pPr>
          </w:p>
        </w:tc>
        <w:tc>
          <w:tcPr>
            <w:tcW w:w="476" w:type="pct"/>
            <w:vMerge w:val="continue"/>
            <w:tcBorders>
              <w:tl2br w:val="nil"/>
              <w:tr2bl w:val="nil"/>
            </w:tcBorders>
            <w:vAlign w:val="center"/>
          </w:tcPr>
          <w:p w14:paraId="6C2B6537">
            <w:pPr>
              <w:jc w:val="center"/>
              <w:rPr>
                <w:sz w:val="21"/>
                <w:szCs w:val="21"/>
                <w:highlight w:val="none"/>
              </w:rPr>
            </w:pPr>
          </w:p>
        </w:tc>
        <w:tc>
          <w:tcPr>
            <w:tcW w:w="1050" w:type="pct"/>
            <w:vMerge w:val="continue"/>
            <w:tcBorders>
              <w:tl2br w:val="nil"/>
              <w:tr2bl w:val="nil"/>
            </w:tcBorders>
            <w:vAlign w:val="center"/>
          </w:tcPr>
          <w:p w14:paraId="43DF3338">
            <w:pPr>
              <w:jc w:val="center"/>
              <w:rPr>
                <w:sz w:val="21"/>
                <w:szCs w:val="21"/>
                <w:highlight w:val="none"/>
              </w:rPr>
            </w:pPr>
          </w:p>
        </w:tc>
        <w:tc>
          <w:tcPr>
            <w:tcW w:w="444" w:type="pct"/>
            <w:tcBorders>
              <w:tl2br w:val="nil"/>
              <w:tr2bl w:val="nil"/>
            </w:tcBorders>
            <w:vAlign w:val="center"/>
          </w:tcPr>
          <w:p w14:paraId="5FAEEED7">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t>
            </w:r>
          </w:p>
        </w:tc>
        <w:tc>
          <w:tcPr>
            <w:tcW w:w="574" w:type="pct"/>
            <w:tcBorders>
              <w:tl2br w:val="nil"/>
              <w:tr2bl w:val="nil"/>
            </w:tcBorders>
            <w:vAlign w:val="center"/>
          </w:tcPr>
          <w:p w14:paraId="471C729B">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350m</w:t>
            </w:r>
          </w:p>
        </w:tc>
      </w:tr>
      <w:tr w14:paraId="5C93D14C">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335DB2DD">
            <w:pPr>
              <w:jc w:val="center"/>
              <w:rPr>
                <w:sz w:val="21"/>
                <w:szCs w:val="21"/>
                <w:highlight w:val="none"/>
              </w:rPr>
            </w:pPr>
          </w:p>
        </w:tc>
        <w:tc>
          <w:tcPr>
            <w:tcW w:w="390" w:type="pct"/>
            <w:tcBorders>
              <w:tl2br w:val="nil"/>
              <w:tr2bl w:val="nil"/>
            </w:tcBorders>
            <w:vAlign w:val="center"/>
          </w:tcPr>
          <w:p w14:paraId="6DC4AE57">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绥芬河海关</w:t>
            </w:r>
          </w:p>
        </w:tc>
        <w:tc>
          <w:tcPr>
            <w:tcW w:w="625" w:type="pct"/>
            <w:tcBorders>
              <w:tl2br w:val="nil"/>
              <w:tr2bl w:val="nil"/>
            </w:tcBorders>
            <w:vAlign w:val="center"/>
          </w:tcPr>
          <w:p w14:paraId="1046A960">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131.147039</w:t>
            </w:r>
          </w:p>
        </w:tc>
        <w:tc>
          <w:tcPr>
            <w:tcW w:w="598" w:type="pct"/>
            <w:tcBorders>
              <w:tl2br w:val="nil"/>
              <w:tr2bl w:val="nil"/>
            </w:tcBorders>
            <w:vAlign w:val="center"/>
          </w:tcPr>
          <w:p w14:paraId="67D97508">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44.405642</w:t>
            </w:r>
          </w:p>
        </w:tc>
        <w:tc>
          <w:tcPr>
            <w:tcW w:w="450" w:type="pct"/>
            <w:vMerge w:val="continue"/>
            <w:tcBorders>
              <w:tl2br w:val="nil"/>
              <w:tr2bl w:val="nil"/>
            </w:tcBorders>
            <w:vAlign w:val="center"/>
          </w:tcPr>
          <w:p w14:paraId="087563A6">
            <w:pPr>
              <w:jc w:val="center"/>
              <w:rPr>
                <w:sz w:val="21"/>
                <w:szCs w:val="21"/>
                <w:highlight w:val="none"/>
              </w:rPr>
            </w:pPr>
          </w:p>
        </w:tc>
        <w:tc>
          <w:tcPr>
            <w:tcW w:w="476" w:type="pct"/>
            <w:vMerge w:val="continue"/>
            <w:tcBorders>
              <w:tl2br w:val="nil"/>
              <w:tr2bl w:val="nil"/>
            </w:tcBorders>
            <w:vAlign w:val="center"/>
          </w:tcPr>
          <w:p w14:paraId="7CDF1C8A">
            <w:pPr>
              <w:jc w:val="center"/>
              <w:rPr>
                <w:sz w:val="21"/>
                <w:szCs w:val="21"/>
                <w:highlight w:val="none"/>
              </w:rPr>
            </w:pPr>
          </w:p>
        </w:tc>
        <w:tc>
          <w:tcPr>
            <w:tcW w:w="1050" w:type="pct"/>
            <w:vMerge w:val="continue"/>
            <w:tcBorders>
              <w:tl2br w:val="nil"/>
              <w:tr2bl w:val="nil"/>
            </w:tcBorders>
            <w:vAlign w:val="center"/>
          </w:tcPr>
          <w:p w14:paraId="020D50E3">
            <w:pPr>
              <w:jc w:val="center"/>
              <w:rPr>
                <w:sz w:val="21"/>
                <w:szCs w:val="21"/>
                <w:highlight w:val="none"/>
              </w:rPr>
            </w:pPr>
          </w:p>
        </w:tc>
        <w:tc>
          <w:tcPr>
            <w:tcW w:w="444" w:type="pct"/>
            <w:tcBorders>
              <w:tl2br w:val="nil"/>
              <w:tr2bl w:val="nil"/>
            </w:tcBorders>
            <w:vAlign w:val="center"/>
          </w:tcPr>
          <w:p w14:paraId="2EFA0371">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t>
            </w:r>
          </w:p>
        </w:tc>
        <w:tc>
          <w:tcPr>
            <w:tcW w:w="574" w:type="pct"/>
            <w:tcBorders>
              <w:tl2br w:val="nil"/>
              <w:tr2bl w:val="nil"/>
            </w:tcBorders>
            <w:vAlign w:val="center"/>
          </w:tcPr>
          <w:p w14:paraId="6B43562C">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400m</w:t>
            </w:r>
          </w:p>
        </w:tc>
      </w:tr>
      <w:tr w14:paraId="72B6BBBE">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124A49BB">
            <w:pPr>
              <w:jc w:val="center"/>
              <w:rPr>
                <w:sz w:val="21"/>
                <w:szCs w:val="21"/>
                <w:highlight w:val="none"/>
              </w:rPr>
            </w:pPr>
          </w:p>
        </w:tc>
        <w:tc>
          <w:tcPr>
            <w:tcW w:w="390" w:type="pct"/>
            <w:tcBorders>
              <w:tl2br w:val="nil"/>
              <w:tr2bl w:val="nil"/>
            </w:tcBorders>
            <w:vAlign w:val="center"/>
          </w:tcPr>
          <w:p w14:paraId="7078A20D">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国家外汇管理局绥芬河分局</w:t>
            </w:r>
          </w:p>
        </w:tc>
        <w:tc>
          <w:tcPr>
            <w:tcW w:w="625" w:type="pct"/>
            <w:tcBorders>
              <w:tl2br w:val="nil"/>
              <w:tr2bl w:val="nil"/>
            </w:tcBorders>
            <w:vAlign w:val="center"/>
          </w:tcPr>
          <w:p w14:paraId="5D6443F7">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131.151588</w:t>
            </w:r>
          </w:p>
        </w:tc>
        <w:tc>
          <w:tcPr>
            <w:tcW w:w="598" w:type="pct"/>
            <w:tcBorders>
              <w:tl2br w:val="nil"/>
              <w:tr2bl w:val="nil"/>
            </w:tcBorders>
            <w:vAlign w:val="center"/>
          </w:tcPr>
          <w:p w14:paraId="2A8B0EEB">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44.406868</w:t>
            </w:r>
          </w:p>
        </w:tc>
        <w:tc>
          <w:tcPr>
            <w:tcW w:w="450" w:type="pct"/>
            <w:vMerge w:val="continue"/>
            <w:tcBorders>
              <w:tl2br w:val="nil"/>
              <w:tr2bl w:val="nil"/>
            </w:tcBorders>
            <w:vAlign w:val="center"/>
          </w:tcPr>
          <w:p w14:paraId="20A25DC1">
            <w:pPr>
              <w:jc w:val="center"/>
              <w:rPr>
                <w:sz w:val="21"/>
                <w:szCs w:val="21"/>
                <w:highlight w:val="none"/>
              </w:rPr>
            </w:pPr>
          </w:p>
        </w:tc>
        <w:tc>
          <w:tcPr>
            <w:tcW w:w="476" w:type="pct"/>
            <w:vMerge w:val="continue"/>
            <w:tcBorders>
              <w:tl2br w:val="nil"/>
              <w:tr2bl w:val="nil"/>
            </w:tcBorders>
            <w:vAlign w:val="center"/>
          </w:tcPr>
          <w:p w14:paraId="4FB63002">
            <w:pPr>
              <w:jc w:val="center"/>
              <w:rPr>
                <w:sz w:val="21"/>
                <w:szCs w:val="21"/>
                <w:highlight w:val="none"/>
              </w:rPr>
            </w:pPr>
          </w:p>
        </w:tc>
        <w:tc>
          <w:tcPr>
            <w:tcW w:w="1050" w:type="pct"/>
            <w:vMerge w:val="continue"/>
            <w:tcBorders>
              <w:tl2br w:val="nil"/>
              <w:tr2bl w:val="nil"/>
            </w:tcBorders>
            <w:vAlign w:val="center"/>
          </w:tcPr>
          <w:p w14:paraId="6C897DA1">
            <w:pPr>
              <w:jc w:val="center"/>
              <w:rPr>
                <w:sz w:val="21"/>
                <w:szCs w:val="21"/>
                <w:highlight w:val="none"/>
              </w:rPr>
            </w:pPr>
          </w:p>
        </w:tc>
        <w:tc>
          <w:tcPr>
            <w:tcW w:w="444" w:type="pct"/>
            <w:tcBorders>
              <w:tl2br w:val="nil"/>
              <w:tr2bl w:val="nil"/>
            </w:tcBorders>
            <w:vAlign w:val="center"/>
          </w:tcPr>
          <w:p w14:paraId="1E548BE5">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SE</w:t>
            </w:r>
          </w:p>
        </w:tc>
        <w:tc>
          <w:tcPr>
            <w:tcW w:w="574" w:type="pct"/>
            <w:tcBorders>
              <w:tl2br w:val="nil"/>
              <w:tr2bl w:val="nil"/>
            </w:tcBorders>
            <w:vAlign w:val="center"/>
          </w:tcPr>
          <w:p w14:paraId="3D524743">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330m</w:t>
            </w:r>
          </w:p>
        </w:tc>
      </w:tr>
      <w:tr w14:paraId="4E9E88DB">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6FF383D4">
            <w:pPr>
              <w:jc w:val="center"/>
              <w:rPr>
                <w:sz w:val="21"/>
                <w:szCs w:val="21"/>
                <w:highlight w:val="none"/>
              </w:rPr>
            </w:pPr>
          </w:p>
        </w:tc>
        <w:tc>
          <w:tcPr>
            <w:tcW w:w="390" w:type="pct"/>
            <w:tcBorders>
              <w:tl2br w:val="nil"/>
              <w:tr2bl w:val="nil"/>
            </w:tcBorders>
            <w:vAlign w:val="center"/>
          </w:tcPr>
          <w:p w14:paraId="5D926421">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绥芬河市生态环境局</w:t>
            </w:r>
          </w:p>
        </w:tc>
        <w:tc>
          <w:tcPr>
            <w:tcW w:w="625" w:type="pct"/>
            <w:tcBorders>
              <w:tl2br w:val="nil"/>
              <w:tr2bl w:val="nil"/>
            </w:tcBorders>
            <w:vAlign w:val="center"/>
          </w:tcPr>
          <w:p w14:paraId="52A72DB7">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131.150258</w:t>
            </w:r>
          </w:p>
        </w:tc>
        <w:tc>
          <w:tcPr>
            <w:tcW w:w="598" w:type="pct"/>
            <w:tcBorders>
              <w:tl2br w:val="nil"/>
              <w:tr2bl w:val="nil"/>
            </w:tcBorders>
            <w:vAlign w:val="center"/>
          </w:tcPr>
          <w:p w14:paraId="45AE0446">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44.401503</w:t>
            </w:r>
          </w:p>
        </w:tc>
        <w:tc>
          <w:tcPr>
            <w:tcW w:w="450" w:type="pct"/>
            <w:vMerge w:val="continue"/>
            <w:tcBorders>
              <w:tl2br w:val="nil"/>
              <w:tr2bl w:val="nil"/>
            </w:tcBorders>
            <w:vAlign w:val="center"/>
          </w:tcPr>
          <w:p w14:paraId="6A284465">
            <w:pPr>
              <w:jc w:val="center"/>
              <w:rPr>
                <w:sz w:val="21"/>
                <w:szCs w:val="21"/>
                <w:highlight w:val="none"/>
              </w:rPr>
            </w:pPr>
          </w:p>
        </w:tc>
        <w:tc>
          <w:tcPr>
            <w:tcW w:w="476" w:type="pct"/>
            <w:vMerge w:val="continue"/>
            <w:tcBorders>
              <w:tl2br w:val="nil"/>
              <w:tr2bl w:val="nil"/>
            </w:tcBorders>
            <w:vAlign w:val="center"/>
          </w:tcPr>
          <w:p w14:paraId="0D638AA5">
            <w:pPr>
              <w:jc w:val="center"/>
              <w:rPr>
                <w:sz w:val="21"/>
                <w:szCs w:val="21"/>
                <w:highlight w:val="none"/>
              </w:rPr>
            </w:pPr>
          </w:p>
        </w:tc>
        <w:tc>
          <w:tcPr>
            <w:tcW w:w="1050" w:type="pct"/>
            <w:vMerge w:val="continue"/>
            <w:tcBorders>
              <w:tl2br w:val="nil"/>
              <w:tr2bl w:val="nil"/>
            </w:tcBorders>
            <w:vAlign w:val="center"/>
          </w:tcPr>
          <w:p w14:paraId="3E3F1415">
            <w:pPr>
              <w:jc w:val="center"/>
              <w:rPr>
                <w:sz w:val="21"/>
                <w:szCs w:val="21"/>
                <w:highlight w:val="none"/>
              </w:rPr>
            </w:pPr>
          </w:p>
        </w:tc>
        <w:tc>
          <w:tcPr>
            <w:tcW w:w="444" w:type="pct"/>
            <w:tcBorders>
              <w:tl2br w:val="nil"/>
              <w:tr2bl w:val="nil"/>
            </w:tcBorders>
            <w:vAlign w:val="center"/>
          </w:tcPr>
          <w:p w14:paraId="14E21072">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SE</w:t>
            </w:r>
          </w:p>
        </w:tc>
        <w:tc>
          <w:tcPr>
            <w:tcW w:w="574" w:type="pct"/>
            <w:tcBorders>
              <w:tl2br w:val="nil"/>
              <w:tr2bl w:val="nil"/>
            </w:tcBorders>
            <w:vAlign w:val="center"/>
          </w:tcPr>
          <w:p w14:paraId="38F0AC2F">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850m</w:t>
            </w:r>
          </w:p>
        </w:tc>
      </w:tr>
      <w:tr w14:paraId="0D419581">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48FEAF45">
            <w:pPr>
              <w:jc w:val="center"/>
              <w:rPr>
                <w:sz w:val="21"/>
                <w:szCs w:val="21"/>
                <w:highlight w:val="none"/>
              </w:rPr>
            </w:pPr>
          </w:p>
        </w:tc>
        <w:tc>
          <w:tcPr>
            <w:tcW w:w="390" w:type="pct"/>
            <w:tcBorders>
              <w:tl2br w:val="nil"/>
              <w:tr2bl w:val="nil"/>
            </w:tcBorders>
            <w:vAlign w:val="center"/>
          </w:tcPr>
          <w:p w14:paraId="22A16A86">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绥芬河市民政局</w:t>
            </w:r>
          </w:p>
        </w:tc>
        <w:tc>
          <w:tcPr>
            <w:tcW w:w="625" w:type="pct"/>
            <w:tcBorders>
              <w:tl2br w:val="nil"/>
              <w:tr2bl w:val="nil"/>
            </w:tcBorders>
            <w:vAlign w:val="center"/>
          </w:tcPr>
          <w:p w14:paraId="32C989FD">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131.123114</w:t>
            </w:r>
          </w:p>
        </w:tc>
        <w:tc>
          <w:tcPr>
            <w:tcW w:w="598" w:type="pct"/>
            <w:tcBorders>
              <w:tl2br w:val="nil"/>
              <w:tr2bl w:val="nil"/>
            </w:tcBorders>
            <w:vAlign w:val="center"/>
          </w:tcPr>
          <w:p w14:paraId="7CE1E91D">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44.397087</w:t>
            </w:r>
          </w:p>
        </w:tc>
        <w:tc>
          <w:tcPr>
            <w:tcW w:w="450" w:type="pct"/>
            <w:vMerge w:val="continue"/>
            <w:tcBorders>
              <w:tl2br w:val="nil"/>
              <w:tr2bl w:val="nil"/>
            </w:tcBorders>
            <w:vAlign w:val="center"/>
          </w:tcPr>
          <w:p w14:paraId="34901287">
            <w:pPr>
              <w:jc w:val="center"/>
              <w:rPr>
                <w:sz w:val="21"/>
                <w:szCs w:val="21"/>
                <w:highlight w:val="none"/>
              </w:rPr>
            </w:pPr>
          </w:p>
        </w:tc>
        <w:tc>
          <w:tcPr>
            <w:tcW w:w="476" w:type="pct"/>
            <w:vMerge w:val="continue"/>
            <w:tcBorders>
              <w:tl2br w:val="nil"/>
              <w:tr2bl w:val="nil"/>
            </w:tcBorders>
            <w:vAlign w:val="center"/>
          </w:tcPr>
          <w:p w14:paraId="70381AE0">
            <w:pPr>
              <w:jc w:val="center"/>
              <w:rPr>
                <w:sz w:val="21"/>
                <w:szCs w:val="21"/>
                <w:highlight w:val="none"/>
              </w:rPr>
            </w:pPr>
          </w:p>
        </w:tc>
        <w:tc>
          <w:tcPr>
            <w:tcW w:w="1050" w:type="pct"/>
            <w:vMerge w:val="continue"/>
            <w:tcBorders>
              <w:tl2br w:val="nil"/>
              <w:tr2bl w:val="nil"/>
            </w:tcBorders>
            <w:vAlign w:val="center"/>
          </w:tcPr>
          <w:p w14:paraId="12E42409">
            <w:pPr>
              <w:jc w:val="center"/>
              <w:rPr>
                <w:sz w:val="21"/>
                <w:szCs w:val="21"/>
                <w:highlight w:val="none"/>
              </w:rPr>
            </w:pPr>
          </w:p>
        </w:tc>
        <w:tc>
          <w:tcPr>
            <w:tcW w:w="444" w:type="pct"/>
            <w:tcBorders>
              <w:tl2br w:val="nil"/>
              <w:tr2bl w:val="nil"/>
            </w:tcBorders>
            <w:vAlign w:val="center"/>
          </w:tcPr>
          <w:p w14:paraId="303D0E5E">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w:t>
            </w:r>
          </w:p>
        </w:tc>
        <w:tc>
          <w:tcPr>
            <w:tcW w:w="574" w:type="pct"/>
            <w:tcBorders>
              <w:tl2br w:val="nil"/>
              <w:tr2bl w:val="nil"/>
            </w:tcBorders>
            <w:vAlign w:val="center"/>
          </w:tcPr>
          <w:p w14:paraId="38854EE0">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2300m</w:t>
            </w:r>
          </w:p>
        </w:tc>
      </w:tr>
      <w:tr w14:paraId="0B093E04">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1E93FAF8">
            <w:pPr>
              <w:jc w:val="center"/>
              <w:rPr>
                <w:sz w:val="21"/>
                <w:szCs w:val="21"/>
                <w:highlight w:val="none"/>
              </w:rPr>
            </w:pPr>
          </w:p>
        </w:tc>
        <w:tc>
          <w:tcPr>
            <w:tcW w:w="390" w:type="pct"/>
            <w:tcBorders>
              <w:tl2br w:val="nil"/>
              <w:tr2bl w:val="nil"/>
            </w:tcBorders>
            <w:vAlign w:val="center"/>
          </w:tcPr>
          <w:p w14:paraId="3F6BD1BB">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绥芬河市公安局</w:t>
            </w:r>
          </w:p>
        </w:tc>
        <w:tc>
          <w:tcPr>
            <w:tcW w:w="625" w:type="pct"/>
            <w:tcBorders>
              <w:tl2br w:val="nil"/>
              <w:tr2bl w:val="nil"/>
            </w:tcBorders>
            <w:vAlign w:val="center"/>
          </w:tcPr>
          <w:p w14:paraId="73C06C64">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131.117020</w:t>
            </w:r>
          </w:p>
        </w:tc>
        <w:tc>
          <w:tcPr>
            <w:tcW w:w="598" w:type="pct"/>
            <w:tcBorders>
              <w:tl2br w:val="nil"/>
              <w:tr2bl w:val="nil"/>
            </w:tcBorders>
            <w:vAlign w:val="center"/>
          </w:tcPr>
          <w:p w14:paraId="1E934CD2">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44.396443</w:t>
            </w:r>
          </w:p>
        </w:tc>
        <w:tc>
          <w:tcPr>
            <w:tcW w:w="450" w:type="pct"/>
            <w:vMerge w:val="continue"/>
            <w:tcBorders>
              <w:tl2br w:val="nil"/>
              <w:tr2bl w:val="nil"/>
            </w:tcBorders>
            <w:vAlign w:val="center"/>
          </w:tcPr>
          <w:p w14:paraId="66D0D3D2">
            <w:pPr>
              <w:jc w:val="center"/>
              <w:rPr>
                <w:sz w:val="21"/>
                <w:szCs w:val="21"/>
                <w:highlight w:val="none"/>
              </w:rPr>
            </w:pPr>
          </w:p>
        </w:tc>
        <w:tc>
          <w:tcPr>
            <w:tcW w:w="476" w:type="pct"/>
            <w:vMerge w:val="continue"/>
            <w:tcBorders>
              <w:tl2br w:val="nil"/>
              <w:tr2bl w:val="nil"/>
            </w:tcBorders>
            <w:vAlign w:val="center"/>
          </w:tcPr>
          <w:p w14:paraId="5C9170B1">
            <w:pPr>
              <w:jc w:val="center"/>
              <w:rPr>
                <w:sz w:val="21"/>
                <w:szCs w:val="21"/>
                <w:highlight w:val="none"/>
              </w:rPr>
            </w:pPr>
          </w:p>
        </w:tc>
        <w:tc>
          <w:tcPr>
            <w:tcW w:w="1050" w:type="pct"/>
            <w:vMerge w:val="continue"/>
            <w:tcBorders>
              <w:tl2br w:val="nil"/>
              <w:tr2bl w:val="nil"/>
            </w:tcBorders>
            <w:vAlign w:val="center"/>
          </w:tcPr>
          <w:p w14:paraId="776580B2">
            <w:pPr>
              <w:jc w:val="center"/>
              <w:rPr>
                <w:sz w:val="21"/>
                <w:szCs w:val="21"/>
                <w:highlight w:val="none"/>
              </w:rPr>
            </w:pPr>
          </w:p>
        </w:tc>
        <w:tc>
          <w:tcPr>
            <w:tcW w:w="444" w:type="pct"/>
            <w:tcBorders>
              <w:tl2br w:val="nil"/>
              <w:tr2bl w:val="nil"/>
            </w:tcBorders>
            <w:vAlign w:val="center"/>
          </w:tcPr>
          <w:p w14:paraId="37DA2DDF">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w:t>
            </w:r>
          </w:p>
        </w:tc>
        <w:tc>
          <w:tcPr>
            <w:tcW w:w="574" w:type="pct"/>
            <w:tcBorders>
              <w:tl2br w:val="nil"/>
              <w:tr2bl w:val="nil"/>
            </w:tcBorders>
            <w:vAlign w:val="center"/>
          </w:tcPr>
          <w:p w14:paraId="2C67BB67">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2600m</w:t>
            </w:r>
          </w:p>
        </w:tc>
      </w:tr>
      <w:tr w14:paraId="1F36109B">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18723A5A">
            <w:pPr>
              <w:jc w:val="center"/>
              <w:rPr>
                <w:sz w:val="21"/>
                <w:szCs w:val="21"/>
                <w:highlight w:val="none"/>
              </w:rPr>
            </w:pPr>
          </w:p>
        </w:tc>
        <w:tc>
          <w:tcPr>
            <w:tcW w:w="390" w:type="pct"/>
            <w:tcBorders>
              <w:tl2br w:val="nil"/>
              <w:tr2bl w:val="nil"/>
            </w:tcBorders>
            <w:vAlign w:val="center"/>
          </w:tcPr>
          <w:p w14:paraId="343BCEB4">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阜宁镇人民政府</w:t>
            </w:r>
          </w:p>
        </w:tc>
        <w:tc>
          <w:tcPr>
            <w:tcW w:w="625" w:type="pct"/>
            <w:tcBorders>
              <w:tl2br w:val="nil"/>
              <w:tr2bl w:val="nil"/>
            </w:tcBorders>
            <w:vAlign w:val="center"/>
          </w:tcPr>
          <w:p w14:paraId="321F48AB">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131.125045</w:t>
            </w:r>
          </w:p>
        </w:tc>
        <w:tc>
          <w:tcPr>
            <w:tcW w:w="598" w:type="pct"/>
            <w:tcBorders>
              <w:tl2br w:val="nil"/>
              <w:tr2bl w:val="nil"/>
            </w:tcBorders>
            <w:vAlign w:val="center"/>
          </w:tcPr>
          <w:p w14:paraId="47D00929">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44.394144</w:t>
            </w:r>
          </w:p>
        </w:tc>
        <w:tc>
          <w:tcPr>
            <w:tcW w:w="450" w:type="pct"/>
            <w:vMerge w:val="continue"/>
            <w:tcBorders>
              <w:tl2br w:val="nil"/>
              <w:tr2bl w:val="nil"/>
            </w:tcBorders>
            <w:vAlign w:val="center"/>
          </w:tcPr>
          <w:p w14:paraId="5F7161AB">
            <w:pPr>
              <w:jc w:val="center"/>
              <w:rPr>
                <w:sz w:val="21"/>
                <w:szCs w:val="21"/>
                <w:highlight w:val="none"/>
              </w:rPr>
            </w:pPr>
          </w:p>
        </w:tc>
        <w:tc>
          <w:tcPr>
            <w:tcW w:w="476" w:type="pct"/>
            <w:vMerge w:val="continue"/>
            <w:tcBorders>
              <w:tl2br w:val="nil"/>
              <w:tr2bl w:val="nil"/>
            </w:tcBorders>
            <w:vAlign w:val="center"/>
          </w:tcPr>
          <w:p w14:paraId="55C10BD6">
            <w:pPr>
              <w:jc w:val="center"/>
              <w:rPr>
                <w:sz w:val="21"/>
                <w:szCs w:val="21"/>
                <w:highlight w:val="none"/>
              </w:rPr>
            </w:pPr>
          </w:p>
        </w:tc>
        <w:tc>
          <w:tcPr>
            <w:tcW w:w="1050" w:type="pct"/>
            <w:vMerge w:val="continue"/>
            <w:tcBorders>
              <w:tl2br w:val="nil"/>
              <w:tr2bl w:val="nil"/>
            </w:tcBorders>
            <w:vAlign w:val="center"/>
          </w:tcPr>
          <w:p w14:paraId="15936CFC">
            <w:pPr>
              <w:jc w:val="center"/>
              <w:rPr>
                <w:sz w:val="21"/>
                <w:szCs w:val="21"/>
                <w:highlight w:val="none"/>
              </w:rPr>
            </w:pPr>
          </w:p>
        </w:tc>
        <w:tc>
          <w:tcPr>
            <w:tcW w:w="444" w:type="pct"/>
            <w:tcBorders>
              <w:tl2br w:val="nil"/>
              <w:tr2bl w:val="nil"/>
            </w:tcBorders>
            <w:vAlign w:val="center"/>
          </w:tcPr>
          <w:p w14:paraId="1D6A6714">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w:t>
            </w:r>
          </w:p>
        </w:tc>
        <w:tc>
          <w:tcPr>
            <w:tcW w:w="574" w:type="pct"/>
            <w:tcBorders>
              <w:tl2br w:val="nil"/>
              <w:tr2bl w:val="nil"/>
            </w:tcBorders>
            <w:vAlign w:val="center"/>
          </w:tcPr>
          <w:p w14:paraId="771264B1">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2400m</w:t>
            </w:r>
          </w:p>
        </w:tc>
      </w:tr>
      <w:tr w14:paraId="0C1ECD6D">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73D8D14E">
            <w:pPr>
              <w:jc w:val="center"/>
              <w:rPr>
                <w:sz w:val="21"/>
                <w:szCs w:val="21"/>
                <w:highlight w:val="none"/>
              </w:rPr>
            </w:pPr>
          </w:p>
        </w:tc>
        <w:tc>
          <w:tcPr>
            <w:tcW w:w="390" w:type="pct"/>
            <w:tcBorders>
              <w:tl2br w:val="nil"/>
              <w:tr2bl w:val="nil"/>
            </w:tcBorders>
            <w:vAlign w:val="center"/>
          </w:tcPr>
          <w:p w14:paraId="5ABB53A4">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绥芬河市广播电视局</w:t>
            </w:r>
          </w:p>
        </w:tc>
        <w:tc>
          <w:tcPr>
            <w:tcW w:w="625" w:type="pct"/>
            <w:tcBorders>
              <w:tl2br w:val="nil"/>
              <w:tr2bl w:val="nil"/>
            </w:tcBorders>
            <w:vAlign w:val="center"/>
          </w:tcPr>
          <w:p w14:paraId="48A1A22D">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131.157918</w:t>
            </w:r>
          </w:p>
        </w:tc>
        <w:tc>
          <w:tcPr>
            <w:tcW w:w="598" w:type="pct"/>
            <w:tcBorders>
              <w:bottom w:val="single" w:color="auto" w:sz="4" w:space="0"/>
              <w:tl2br w:val="nil"/>
              <w:tr2bl w:val="nil"/>
            </w:tcBorders>
            <w:vAlign w:val="center"/>
          </w:tcPr>
          <w:p w14:paraId="7D7B3E3E">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44.389053</w:t>
            </w:r>
          </w:p>
        </w:tc>
        <w:tc>
          <w:tcPr>
            <w:tcW w:w="450" w:type="pct"/>
            <w:vMerge w:val="continue"/>
            <w:tcBorders>
              <w:bottom w:val="single" w:color="auto" w:sz="4" w:space="0"/>
              <w:tl2br w:val="nil"/>
              <w:tr2bl w:val="nil"/>
            </w:tcBorders>
            <w:vAlign w:val="center"/>
          </w:tcPr>
          <w:p w14:paraId="04172D03">
            <w:pPr>
              <w:jc w:val="center"/>
              <w:rPr>
                <w:sz w:val="21"/>
                <w:szCs w:val="21"/>
                <w:highlight w:val="none"/>
              </w:rPr>
            </w:pPr>
          </w:p>
        </w:tc>
        <w:tc>
          <w:tcPr>
            <w:tcW w:w="476" w:type="pct"/>
            <w:vMerge w:val="continue"/>
            <w:tcBorders>
              <w:tl2br w:val="nil"/>
              <w:tr2bl w:val="nil"/>
            </w:tcBorders>
            <w:vAlign w:val="center"/>
          </w:tcPr>
          <w:p w14:paraId="12E68A24">
            <w:pPr>
              <w:jc w:val="center"/>
              <w:rPr>
                <w:sz w:val="21"/>
                <w:szCs w:val="21"/>
                <w:highlight w:val="none"/>
              </w:rPr>
            </w:pPr>
          </w:p>
        </w:tc>
        <w:tc>
          <w:tcPr>
            <w:tcW w:w="1050" w:type="pct"/>
            <w:vMerge w:val="continue"/>
            <w:tcBorders>
              <w:tl2br w:val="nil"/>
              <w:tr2bl w:val="nil"/>
            </w:tcBorders>
            <w:vAlign w:val="center"/>
          </w:tcPr>
          <w:p w14:paraId="5C1F9DAF">
            <w:pPr>
              <w:jc w:val="center"/>
              <w:rPr>
                <w:sz w:val="21"/>
                <w:szCs w:val="21"/>
                <w:highlight w:val="none"/>
              </w:rPr>
            </w:pPr>
          </w:p>
        </w:tc>
        <w:tc>
          <w:tcPr>
            <w:tcW w:w="444" w:type="pct"/>
            <w:tcBorders>
              <w:tl2br w:val="nil"/>
              <w:tr2bl w:val="nil"/>
            </w:tcBorders>
            <w:vAlign w:val="center"/>
          </w:tcPr>
          <w:p w14:paraId="7ECA6E54">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SE</w:t>
            </w:r>
          </w:p>
        </w:tc>
        <w:tc>
          <w:tcPr>
            <w:tcW w:w="574" w:type="pct"/>
            <w:tcBorders>
              <w:tl2br w:val="nil"/>
              <w:tr2bl w:val="nil"/>
            </w:tcBorders>
            <w:vAlign w:val="center"/>
          </w:tcPr>
          <w:p w14:paraId="1FC7D011">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2300m</w:t>
            </w:r>
          </w:p>
        </w:tc>
      </w:tr>
      <w:tr w14:paraId="1CB8577D">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0AD63677">
            <w:pPr>
              <w:jc w:val="center"/>
              <w:rPr>
                <w:sz w:val="21"/>
                <w:szCs w:val="21"/>
                <w:highlight w:val="none"/>
              </w:rPr>
            </w:pPr>
          </w:p>
        </w:tc>
        <w:tc>
          <w:tcPr>
            <w:tcW w:w="390" w:type="pct"/>
            <w:tcBorders>
              <w:tl2br w:val="nil"/>
              <w:tr2bl w:val="nil"/>
            </w:tcBorders>
            <w:vAlign w:val="center"/>
          </w:tcPr>
          <w:p w14:paraId="4AB289F1">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红太阳未来星幼儿园</w:t>
            </w:r>
          </w:p>
        </w:tc>
        <w:tc>
          <w:tcPr>
            <w:tcW w:w="625" w:type="pct"/>
            <w:tcBorders>
              <w:tl2br w:val="nil"/>
              <w:tr2bl w:val="nil"/>
            </w:tcBorders>
            <w:vAlign w:val="center"/>
          </w:tcPr>
          <w:p w14:paraId="6DC8C55B">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131.139143</w:t>
            </w:r>
          </w:p>
        </w:tc>
        <w:tc>
          <w:tcPr>
            <w:tcW w:w="598" w:type="pct"/>
            <w:tcBorders>
              <w:bottom w:val="single" w:color="auto" w:sz="4" w:space="0"/>
              <w:tl2br w:val="nil"/>
              <w:tr2bl w:val="nil"/>
            </w:tcBorders>
            <w:vAlign w:val="center"/>
          </w:tcPr>
          <w:p w14:paraId="31C1BF60">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44.407190</w:t>
            </w:r>
          </w:p>
        </w:tc>
        <w:tc>
          <w:tcPr>
            <w:tcW w:w="450" w:type="pct"/>
            <w:vMerge w:val="restart"/>
            <w:tcBorders>
              <w:tl2br w:val="nil"/>
              <w:tr2bl w:val="nil"/>
            </w:tcBorders>
            <w:vAlign w:val="center"/>
          </w:tcPr>
          <w:p w14:paraId="68CE34DC">
            <w:pPr>
              <w:ind w:left="0" w:leftChars="0" w:firstLine="0" w:firstLineChars="0"/>
              <w:jc w:val="center"/>
              <w:rPr>
                <w:rFonts w:hint="eastAsia" w:eastAsia="宋体"/>
                <w:sz w:val="21"/>
                <w:szCs w:val="21"/>
                <w:highlight w:val="none"/>
                <w:lang w:val="en-US" w:eastAsia="zh-CN"/>
              </w:rPr>
            </w:pPr>
            <w:r>
              <w:rPr>
                <w:rFonts w:hint="eastAsia"/>
                <w:sz w:val="21"/>
                <w:szCs w:val="21"/>
                <w:highlight w:val="none"/>
                <w:lang w:val="en-US" w:eastAsia="zh-CN"/>
              </w:rPr>
              <w:t>文化区</w:t>
            </w:r>
          </w:p>
        </w:tc>
        <w:tc>
          <w:tcPr>
            <w:tcW w:w="476" w:type="pct"/>
            <w:vMerge w:val="continue"/>
            <w:tcBorders>
              <w:tl2br w:val="nil"/>
              <w:tr2bl w:val="nil"/>
            </w:tcBorders>
            <w:vAlign w:val="center"/>
          </w:tcPr>
          <w:p w14:paraId="37156668">
            <w:pPr>
              <w:jc w:val="center"/>
              <w:rPr>
                <w:sz w:val="21"/>
                <w:szCs w:val="21"/>
                <w:highlight w:val="none"/>
              </w:rPr>
            </w:pPr>
          </w:p>
        </w:tc>
        <w:tc>
          <w:tcPr>
            <w:tcW w:w="1050" w:type="pct"/>
            <w:vMerge w:val="continue"/>
            <w:tcBorders>
              <w:tl2br w:val="nil"/>
              <w:tr2bl w:val="nil"/>
            </w:tcBorders>
            <w:vAlign w:val="center"/>
          </w:tcPr>
          <w:p w14:paraId="580159EC">
            <w:pPr>
              <w:jc w:val="center"/>
              <w:rPr>
                <w:sz w:val="21"/>
                <w:szCs w:val="21"/>
                <w:highlight w:val="none"/>
              </w:rPr>
            </w:pPr>
          </w:p>
        </w:tc>
        <w:tc>
          <w:tcPr>
            <w:tcW w:w="444" w:type="pct"/>
            <w:tcBorders>
              <w:tl2br w:val="nil"/>
              <w:tr2bl w:val="nil"/>
            </w:tcBorders>
            <w:vAlign w:val="center"/>
          </w:tcPr>
          <w:p w14:paraId="4D5F122C">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w:t>
            </w:r>
          </w:p>
        </w:tc>
        <w:tc>
          <w:tcPr>
            <w:tcW w:w="574" w:type="pct"/>
            <w:tcBorders>
              <w:tl2br w:val="nil"/>
              <w:tr2bl w:val="nil"/>
            </w:tcBorders>
            <w:vAlign w:val="center"/>
          </w:tcPr>
          <w:p w14:paraId="1D63846A">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650m</w:t>
            </w:r>
          </w:p>
        </w:tc>
      </w:tr>
      <w:tr w14:paraId="7FC1AE3F">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2036E5A5">
            <w:pPr>
              <w:jc w:val="center"/>
              <w:rPr>
                <w:sz w:val="21"/>
                <w:szCs w:val="21"/>
                <w:highlight w:val="none"/>
              </w:rPr>
            </w:pPr>
          </w:p>
        </w:tc>
        <w:tc>
          <w:tcPr>
            <w:tcW w:w="390" w:type="pct"/>
            <w:tcBorders>
              <w:tl2br w:val="nil"/>
              <w:tr2bl w:val="nil"/>
            </w:tcBorders>
            <w:vAlign w:val="center"/>
          </w:tcPr>
          <w:p w14:paraId="3CD1800A">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金恒基小学</w:t>
            </w:r>
          </w:p>
        </w:tc>
        <w:tc>
          <w:tcPr>
            <w:tcW w:w="625" w:type="pct"/>
            <w:tcBorders>
              <w:tl2br w:val="nil"/>
              <w:tr2bl w:val="nil"/>
            </w:tcBorders>
            <w:vAlign w:val="center"/>
          </w:tcPr>
          <w:p w14:paraId="627DAE25">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131.142769</w:t>
            </w:r>
          </w:p>
        </w:tc>
        <w:tc>
          <w:tcPr>
            <w:tcW w:w="598" w:type="pct"/>
            <w:tcBorders>
              <w:bottom w:val="single" w:color="auto" w:sz="4" w:space="0"/>
              <w:tl2br w:val="nil"/>
              <w:tr2bl w:val="nil"/>
            </w:tcBorders>
            <w:vAlign w:val="center"/>
          </w:tcPr>
          <w:p w14:paraId="5CF553CA">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44.405703</w:t>
            </w:r>
          </w:p>
        </w:tc>
        <w:tc>
          <w:tcPr>
            <w:tcW w:w="450" w:type="pct"/>
            <w:vMerge w:val="continue"/>
            <w:tcBorders>
              <w:tl2br w:val="nil"/>
              <w:tr2bl w:val="nil"/>
            </w:tcBorders>
            <w:vAlign w:val="center"/>
          </w:tcPr>
          <w:p w14:paraId="3D9621E3">
            <w:pPr>
              <w:ind w:left="0" w:leftChars="0" w:firstLine="0" w:firstLineChars="0"/>
              <w:jc w:val="center"/>
              <w:rPr>
                <w:rFonts w:hint="eastAsia"/>
                <w:sz w:val="21"/>
                <w:szCs w:val="21"/>
                <w:highlight w:val="none"/>
                <w:lang w:val="en-US" w:eastAsia="zh-CN"/>
              </w:rPr>
            </w:pPr>
          </w:p>
        </w:tc>
        <w:tc>
          <w:tcPr>
            <w:tcW w:w="476" w:type="pct"/>
            <w:vMerge w:val="continue"/>
            <w:tcBorders>
              <w:tl2br w:val="nil"/>
              <w:tr2bl w:val="nil"/>
            </w:tcBorders>
            <w:vAlign w:val="center"/>
          </w:tcPr>
          <w:p w14:paraId="1C50A1C4">
            <w:pPr>
              <w:jc w:val="center"/>
              <w:rPr>
                <w:sz w:val="21"/>
                <w:szCs w:val="21"/>
                <w:highlight w:val="none"/>
              </w:rPr>
            </w:pPr>
          </w:p>
        </w:tc>
        <w:tc>
          <w:tcPr>
            <w:tcW w:w="1050" w:type="pct"/>
            <w:vMerge w:val="continue"/>
            <w:tcBorders>
              <w:tl2br w:val="nil"/>
              <w:tr2bl w:val="nil"/>
            </w:tcBorders>
            <w:vAlign w:val="center"/>
          </w:tcPr>
          <w:p w14:paraId="1318DDF5">
            <w:pPr>
              <w:jc w:val="center"/>
              <w:rPr>
                <w:sz w:val="21"/>
                <w:szCs w:val="21"/>
                <w:highlight w:val="none"/>
              </w:rPr>
            </w:pPr>
          </w:p>
        </w:tc>
        <w:tc>
          <w:tcPr>
            <w:tcW w:w="444" w:type="pct"/>
            <w:tcBorders>
              <w:tl2br w:val="nil"/>
              <w:tr2bl w:val="nil"/>
            </w:tcBorders>
            <w:vAlign w:val="center"/>
          </w:tcPr>
          <w:p w14:paraId="46977D85">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w:t>
            </w:r>
          </w:p>
        </w:tc>
        <w:tc>
          <w:tcPr>
            <w:tcW w:w="574" w:type="pct"/>
            <w:tcBorders>
              <w:tl2br w:val="nil"/>
              <w:tr2bl w:val="nil"/>
            </w:tcBorders>
            <w:vAlign w:val="center"/>
          </w:tcPr>
          <w:p w14:paraId="2B185D5D">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500m</w:t>
            </w:r>
          </w:p>
        </w:tc>
      </w:tr>
      <w:tr w14:paraId="6EAE630E">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2E5FCE5A">
            <w:pPr>
              <w:jc w:val="center"/>
              <w:rPr>
                <w:sz w:val="21"/>
                <w:szCs w:val="21"/>
                <w:highlight w:val="none"/>
              </w:rPr>
            </w:pPr>
          </w:p>
        </w:tc>
        <w:tc>
          <w:tcPr>
            <w:tcW w:w="390" w:type="pct"/>
            <w:tcBorders>
              <w:tl2br w:val="nil"/>
              <w:tr2bl w:val="nil"/>
            </w:tcBorders>
            <w:vAlign w:val="center"/>
          </w:tcPr>
          <w:p w14:paraId="6D2544F9">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弘孟幼儿园</w:t>
            </w:r>
          </w:p>
        </w:tc>
        <w:tc>
          <w:tcPr>
            <w:tcW w:w="625" w:type="pct"/>
            <w:tcBorders>
              <w:tl2br w:val="nil"/>
              <w:tr2bl w:val="nil"/>
            </w:tcBorders>
            <w:vAlign w:val="center"/>
          </w:tcPr>
          <w:p w14:paraId="38C173A9">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131.140280</w:t>
            </w:r>
          </w:p>
        </w:tc>
        <w:tc>
          <w:tcPr>
            <w:tcW w:w="598" w:type="pct"/>
            <w:tcBorders>
              <w:bottom w:val="single" w:color="auto" w:sz="4" w:space="0"/>
              <w:tl2br w:val="nil"/>
              <w:tr2bl w:val="nil"/>
            </w:tcBorders>
            <w:vAlign w:val="center"/>
          </w:tcPr>
          <w:p w14:paraId="7146C465">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44.405703</w:t>
            </w:r>
          </w:p>
        </w:tc>
        <w:tc>
          <w:tcPr>
            <w:tcW w:w="450" w:type="pct"/>
            <w:vMerge w:val="continue"/>
            <w:tcBorders>
              <w:tl2br w:val="nil"/>
              <w:tr2bl w:val="nil"/>
            </w:tcBorders>
            <w:vAlign w:val="center"/>
          </w:tcPr>
          <w:p w14:paraId="7FE9C8F0">
            <w:pPr>
              <w:ind w:left="0" w:leftChars="0" w:firstLine="0" w:firstLineChars="0"/>
              <w:jc w:val="center"/>
              <w:rPr>
                <w:rFonts w:hint="eastAsia"/>
                <w:sz w:val="21"/>
                <w:szCs w:val="21"/>
                <w:highlight w:val="none"/>
                <w:lang w:val="en-US" w:eastAsia="zh-CN"/>
              </w:rPr>
            </w:pPr>
          </w:p>
        </w:tc>
        <w:tc>
          <w:tcPr>
            <w:tcW w:w="476" w:type="pct"/>
            <w:vMerge w:val="continue"/>
            <w:tcBorders>
              <w:tl2br w:val="nil"/>
              <w:tr2bl w:val="nil"/>
            </w:tcBorders>
            <w:vAlign w:val="center"/>
          </w:tcPr>
          <w:p w14:paraId="77F44345">
            <w:pPr>
              <w:jc w:val="center"/>
              <w:rPr>
                <w:sz w:val="21"/>
                <w:szCs w:val="21"/>
                <w:highlight w:val="none"/>
              </w:rPr>
            </w:pPr>
          </w:p>
        </w:tc>
        <w:tc>
          <w:tcPr>
            <w:tcW w:w="1050" w:type="pct"/>
            <w:vMerge w:val="continue"/>
            <w:tcBorders>
              <w:tl2br w:val="nil"/>
              <w:tr2bl w:val="nil"/>
            </w:tcBorders>
            <w:vAlign w:val="center"/>
          </w:tcPr>
          <w:p w14:paraId="64444FE2">
            <w:pPr>
              <w:jc w:val="center"/>
              <w:rPr>
                <w:sz w:val="21"/>
                <w:szCs w:val="21"/>
                <w:highlight w:val="none"/>
              </w:rPr>
            </w:pPr>
          </w:p>
        </w:tc>
        <w:tc>
          <w:tcPr>
            <w:tcW w:w="444" w:type="pct"/>
            <w:tcBorders>
              <w:tl2br w:val="nil"/>
              <w:tr2bl w:val="nil"/>
            </w:tcBorders>
            <w:vAlign w:val="center"/>
          </w:tcPr>
          <w:p w14:paraId="54E8ACBF">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w:t>
            </w:r>
          </w:p>
        </w:tc>
        <w:tc>
          <w:tcPr>
            <w:tcW w:w="574" w:type="pct"/>
            <w:tcBorders>
              <w:tl2br w:val="nil"/>
              <w:tr2bl w:val="nil"/>
            </w:tcBorders>
            <w:vAlign w:val="center"/>
          </w:tcPr>
          <w:p w14:paraId="0CC94999">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650m</w:t>
            </w:r>
          </w:p>
        </w:tc>
      </w:tr>
      <w:tr w14:paraId="65DA527E">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29FBAC7C">
            <w:pPr>
              <w:jc w:val="center"/>
              <w:rPr>
                <w:sz w:val="21"/>
                <w:szCs w:val="21"/>
                <w:highlight w:val="none"/>
              </w:rPr>
            </w:pPr>
          </w:p>
        </w:tc>
        <w:tc>
          <w:tcPr>
            <w:tcW w:w="390" w:type="pct"/>
            <w:tcBorders>
              <w:tl2br w:val="nil"/>
              <w:tr2bl w:val="nil"/>
            </w:tcBorders>
            <w:vAlign w:val="center"/>
          </w:tcPr>
          <w:p w14:paraId="00B2F0D3">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红太阳幼儿园</w:t>
            </w:r>
          </w:p>
        </w:tc>
        <w:tc>
          <w:tcPr>
            <w:tcW w:w="625" w:type="pct"/>
            <w:tcBorders>
              <w:tl2br w:val="nil"/>
              <w:tr2bl w:val="nil"/>
            </w:tcBorders>
            <w:vAlign w:val="center"/>
          </w:tcPr>
          <w:p w14:paraId="4E8DB426">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131.152275</w:t>
            </w:r>
          </w:p>
        </w:tc>
        <w:tc>
          <w:tcPr>
            <w:tcW w:w="598" w:type="pct"/>
            <w:tcBorders>
              <w:bottom w:val="single" w:color="auto" w:sz="4" w:space="0"/>
              <w:tl2br w:val="nil"/>
              <w:tr2bl w:val="nil"/>
            </w:tcBorders>
            <w:vAlign w:val="center"/>
          </w:tcPr>
          <w:p w14:paraId="5A0342DE">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44.402085</w:t>
            </w:r>
          </w:p>
        </w:tc>
        <w:tc>
          <w:tcPr>
            <w:tcW w:w="450" w:type="pct"/>
            <w:vMerge w:val="continue"/>
            <w:tcBorders>
              <w:tl2br w:val="nil"/>
              <w:tr2bl w:val="nil"/>
            </w:tcBorders>
            <w:vAlign w:val="center"/>
          </w:tcPr>
          <w:p w14:paraId="7DB6E8BA">
            <w:pPr>
              <w:ind w:left="0" w:leftChars="0" w:firstLine="0" w:firstLineChars="0"/>
              <w:jc w:val="center"/>
              <w:rPr>
                <w:rFonts w:hint="eastAsia"/>
                <w:sz w:val="21"/>
                <w:szCs w:val="21"/>
                <w:highlight w:val="none"/>
                <w:lang w:val="en-US" w:eastAsia="zh-CN"/>
              </w:rPr>
            </w:pPr>
          </w:p>
        </w:tc>
        <w:tc>
          <w:tcPr>
            <w:tcW w:w="476" w:type="pct"/>
            <w:vMerge w:val="continue"/>
            <w:tcBorders>
              <w:tl2br w:val="nil"/>
              <w:tr2bl w:val="nil"/>
            </w:tcBorders>
            <w:vAlign w:val="center"/>
          </w:tcPr>
          <w:p w14:paraId="253B27CB">
            <w:pPr>
              <w:jc w:val="center"/>
              <w:rPr>
                <w:sz w:val="21"/>
                <w:szCs w:val="21"/>
                <w:highlight w:val="none"/>
              </w:rPr>
            </w:pPr>
          </w:p>
        </w:tc>
        <w:tc>
          <w:tcPr>
            <w:tcW w:w="1050" w:type="pct"/>
            <w:vMerge w:val="continue"/>
            <w:tcBorders>
              <w:tl2br w:val="nil"/>
              <w:tr2bl w:val="nil"/>
            </w:tcBorders>
            <w:vAlign w:val="center"/>
          </w:tcPr>
          <w:p w14:paraId="51CBA068">
            <w:pPr>
              <w:jc w:val="center"/>
              <w:rPr>
                <w:sz w:val="21"/>
                <w:szCs w:val="21"/>
                <w:highlight w:val="none"/>
              </w:rPr>
            </w:pPr>
          </w:p>
        </w:tc>
        <w:tc>
          <w:tcPr>
            <w:tcW w:w="444" w:type="pct"/>
            <w:tcBorders>
              <w:tl2br w:val="nil"/>
              <w:tr2bl w:val="nil"/>
            </w:tcBorders>
            <w:vAlign w:val="center"/>
          </w:tcPr>
          <w:p w14:paraId="32FD7E18">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SE</w:t>
            </w:r>
          </w:p>
        </w:tc>
        <w:tc>
          <w:tcPr>
            <w:tcW w:w="574" w:type="pct"/>
            <w:tcBorders>
              <w:tl2br w:val="nil"/>
              <w:tr2bl w:val="nil"/>
            </w:tcBorders>
            <w:vAlign w:val="center"/>
          </w:tcPr>
          <w:p w14:paraId="179E2873">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800m</w:t>
            </w:r>
          </w:p>
        </w:tc>
      </w:tr>
      <w:tr w14:paraId="776C342B">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12ADEDFA">
            <w:pPr>
              <w:jc w:val="center"/>
              <w:rPr>
                <w:sz w:val="21"/>
                <w:szCs w:val="21"/>
                <w:highlight w:val="none"/>
              </w:rPr>
            </w:pPr>
          </w:p>
        </w:tc>
        <w:tc>
          <w:tcPr>
            <w:tcW w:w="390" w:type="pct"/>
            <w:tcBorders>
              <w:tl2br w:val="nil"/>
              <w:tr2bl w:val="nil"/>
            </w:tcBorders>
            <w:vAlign w:val="center"/>
          </w:tcPr>
          <w:p w14:paraId="55B3FF9E">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千里幼稚园</w:t>
            </w:r>
          </w:p>
        </w:tc>
        <w:tc>
          <w:tcPr>
            <w:tcW w:w="625" w:type="pct"/>
            <w:tcBorders>
              <w:tl2br w:val="nil"/>
              <w:tr2bl w:val="nil"/>
            </w:tcBorders>
            <w:vAlign w:val="center"/>
          </w:tcPr>
          <w:p w14:paraId="6181B402">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131.156266</w:t>
            </w:r>
          </w:p>
        </w:tc>
        <w:tc>
          <w:tcPr>
            <w:tcW w:w="598" w:type="pct"/>
            <w:tcBorders>
              <w:bottom w:val="single" w:color="auto" w:sz="4" w:space="0"/>
              <w:tl2br w:val="nil"/>
              <w:tr2bl w:val="nil"/>
            </w:tcBorders>
            <w:vAlign w:val="center"/>
          </w:tcPr>
          <w:p w14:paraId="26117423">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44.400000</w:t>
            </w:r>
          </w:p>
        </w:tc>
        <w:tc>
          <w:tcPr>
            <w:tcW w:w="450" w:type="pct"/>
            <w:vMerge w:val="continue"/>
            <w:tcBorders>
              <w:tl2br w:val="nil"/>
              <w:tr2bl w:val="nil"/>
            </w:tcBorders>
            <w:vAlign w:val="center"/>
          </w:tcPr>
          <w:p w14:paraId="56951F0D">
            <w:pPr>
              <w:ind w:left="0" w:leftChars="0" w:firstLine="0" w:firstLineChars="0"/>
              <w:jc w:val="center"/>
              <w:rPr>
                <w:rFonts w:hint="eastAsia"/>
                <w:sz w:val="21"/>
                <w:szCs w:val="21"/>
                <w:highlight w:val="none"/>
                <w:lang w:val="en-US" w:eastAsia="zh-CN"/>
              </w:rPr>
            </w:pPr>
          </w:p>
        </w:tc>
        <w:tc>
          <w:tcPr>
            <w:tcW w:w="476" w:type="pct"/>
            <w:vMerge w:val="continue"/>
            <w:tcBorders>
              <w:tl2br w:val="nil"/>
              <w:tr2bl w:val="nil"/>
            </w:tcBorders>
            <w:vAlign w:val="center"/>
          </w:tcPr>
          <w:p w14:paraId="2D18535D">
            <w:pPr>
              <w:jc w:val="center"/>
              <w:rPr>
                <w:sz w:val="21"/>
                <w:szCs w:val="21"/>
                <w:highlight w:val="none"/>
              </w:rPr>
            </w:pPr>
          </w:p>
        </w:tc>
        <w:tc>
          <w:tcPr>
            <w:tcW w:w="1050" w:type="pct"/>
            <w:vMerge w:val="continue"/>
            <w:tcBorders>
              <w:tl2br w:val="nil"/>
              <w:tr2bl w:val="nil"/>
            </w:tcBorders>
            <w:vAlign w:val="center"/>
          </w:tcPr>
          <w:p w14:paraId="721BE85F">
            <w:pPr>
              <w:jc w:val="center"/>
              <w:rPr>
                <w:sz w:val="21"/>
                <w:szCs w:val="21"/>
                <w:highlight w:val="none"/>
              </w:rPr>
            </w:pPr>
          </w:p>
        </w:tc>
        <w:tc>
          <w:tcPr>
            <w:tcW w:w="444" w:type="pct"/>
            <w:tcBorders>
              <w:tl2br w:val="nil"/>
              <w:tr2bl w:val="nil"/>
            </w:tcBorders>
            <w:vAlign w:val="center"/>
          </w:tcPr>
          <w:p w14:paraId="51D1761A">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SE</w:t>
            </w:r>
          </w:p>
        </w:tc>
        <w:tc>
          <w:tcPr>
            <w:tcW w:w="574" w:type="pct"/>
            <w:tcBorders>
              <w:tl2br w:val="nil"/>
              <w:tr2bl w:val="nil"/>
            </w:tcBorders>
            <w:vAlign w:val="center"/>
          </w:tcPr>
          <w:p w14:paraId="2729FEA8">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1200m</w:t>
            </w:r>
          </w:p>
        </w:tc>
      </w:tr>
      <w:tr w14:paraId="6212231A">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5948272B">
            <w:pPr>
              <w:jc w:val="center"/>
              <w:rPr>
                <w:sz w:val="21"/>
                <w:szCs w:val="21"/>
                <w:highlight w:val="none"/>
              </w:rPr>
            </w:pPr>
          </w:p>
        </w:tc>
        <w:tc>
          <w:tcPr>
            <w:tcW w:w="390" w:type="pct"/>
            <w:tcBorders>
              <w:tl2br w:val="nil"/>
              <w:tr2bl w:val="nil"/>
            </w:tcBorders>
            <w:vAlign w:val="center"/>
          </w:tcPr>
          <w:p w14:paraId="319CA333">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绥芬河市第一中学</w:t>
            </w:r>
          </w:p>
        </w:tc>
        <w:tc>
          <w:tcPr>
            <w:tcW w:w="625" w:type="pct"/>
            <w:tcBorders>
              <w:tl2br w:val="nil"/>
              <w:tr2bl w:val="nil"/>
            </w:tcBorders>
            <w:vAlign w:val="center"/>
          </w:tcPr>
          <w:p w14:paraId="11BADAFF">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131.157618</w:t>
            </w:r>
          </w:p>
        </w:tc>
        <w:tc>
          <w:tcPr>
            <w:tcW w:w="598" w:type="pct"/>
            <w:tcBorders>
              <w:bottom w:val="single" w:color="auto" w:sz="4" w:space="0"/>
              <w:tl2br w:val="nil"/>
              <w:tr2bl w:val="nil"/>
            </w:tcBorders>
            <w:vAlign w:val="center"/>
          </w:tcPr>
          <w:p w14:paraId="3CCF3345">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44.400491</w:t>
            </w:r>
          </w:p>
        </w:tc>
        <w:tc>
          <w:tcPr>
            <w:tcW w:w="450" w:type="pct"/>
            <w:vMerge w:val="continue"/>
            <w:tcBorders>
              <w:tl2br w:val="nil"/>
              <w:tr2bl w:val="nil"/>
            </w:tcBorders>
            <w:vAlign w:val="center"/>
          </w:tcPr>
          <w:p w14:paraId="7B697F3E">
            <w:pPr>
              <w:ind w:left="0" w:leftChars="0" w:firstLine="0" w:firstLineChars="0"/>
              <w:jc w:val="center"/>
              <w:rPr>
                <w:rFonts w:hint="eastAsia"/>
                <w:sz w:val="21"/>
                <w:szCs w:val="21"/>
                <w:highlight w:val="none"/>
                <w:lang w:val="en-US" w:eastAsia="zh-CN"/>
              </w:rPr>
            </w:pPr>
          </w:p>
        </w:tc>
        <w:tc>
          <w:tcPr>
            <w:tcW w:w="476" w:type="pct"/>
            <w:vMerge w:val="continue"/>
            <w:tcBorders>
              <w:tl2br w:val="nil"/>
              <w:tr2bl w:val="nil"/>
            </w:tcBorders>
            <w:vAlign w:val="center"/>
          </w:tcPr>
          <w:p w14:paraId="6A5E634F">
            <w:pPr>
              <w:jc w:val="center"/>
              <w:rPr>
                <w:sz w:val="21"/>
                <w:szCs w:val="21"/>
                <w:highlight w:val="none"/>
              </w:rPr>
            </w:pPr>
          </w:p>
        </w:tc>
        <w:tc>
          <w:tcPr>
            <w:tcW w:w="1050" w:type="pct"/>
            <w:vMerge w:val="continue"/>
            <w:tcBorders>
              <w:tl2br w:val="nil"/>
              <w:tr2bl w:val="nil"/>
            </w:tcBorders>
            <w:vAlign w:val="center"/>
          </w:tcPr>
          <w:p w14:paraId="5E326BEA">
            <w:pPr>
              <w:jc w:val="center"/>
              <w:rPr>
                <w:sz w:val="21"/>
                <w:szCs w:val="21"/>
                <w:highlight w:val="none"/>
              </w:rPr>
            </w:pPr>
          </w:p>
        </w:tc>
        <w:tc>
          <w:tcPr>
            <w:tcW w:w="444" w:type="pct"/>
            <w:tcBorders>
              <w:tl2br w:val="nil"/>
              <w:tr2bl w:val="nil"/>
            </w:tcBorders>
            <w:vAlign w:val="center"/>
          </w:tcPr>
          <w:p w14:paraId="59EA60F3">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SE</w:t>
            </w:r>
          </w:p>
        </w:tc>
        <w:tc>
          <w:tcPr>
            <w:tcW w:w="574" w:type="pct"/>
            <w:tcBorders>
              <w:tl2br w:val="nil"/>
              <w:tr2bl w:val="nil"/>
            </w:tcBorders>
            <w:vAlign w:val="center"/>
          </w:tcPr>
          <w:p w14:paraId="0B1F7CB3">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1200m</w:t>
            </w:r>
          </w:p>
        </w:tc>
      </w:tr>
      <w:tr w14:paraId="1A15BEEB">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06400FE0">
            <w:pPr>
              <w:jc w:val="center"/>
              <w:rPr>
                <w:sz w:val="21"/>
                <w:szCs w:val="21"/>
                <w:highlight w:val="none"/>
              </w:rPr>
            </w:pPr>
          </w:p>
        </w:tc>
        <w:tc>
          <w:tcPr>
            <w:tcW w:w="390" w:type="pct"/>
            <w:tcBorders>
              <w:tl2br w:val="nil"/>
              <w:tr2bl w:val="nil"/>
            </w:tcBorders>
            <w:vAlign w:val="center"/>
          </w:tcPr>
          <w:p w14:paraId="4F098F91">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育都幼儿园</w:t>
            </w:r>
          </w:p>
        </w:tc>
        <w:tc>
          <w:tcPr>
            <w:tcW w:w="625" w:type="pct"/>
            <w:tcBorders>
              <w:tl2br w:val="nil"/>
              <w:tr2bl w:val="nil"/>
            </w:tcBorders>
            <w:vAlign w:val="center"/>
          </w:tcPr>
          <w:p w14:paraId="488B7BC5">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131.160536</w:t>
            </w:r>
          </w:p>
        </w:tc>
        <w:tc>
          <w:tcPr>
            <w:tcW w:w="598" w:type="pct"/>
            <w:tcBorders>
              <w:bottom w:val="single" w:color="auto" w:sz="4" w:space="0"/>
              <w:tl2br w:val="nil"/>
              <w:tr2bl w:val="nil"/>
            </w:tcBorders>
            <w:vAlign w:val="center"/>
          </w:tcPr>
          <w:p w14:paraId="51B4BF8F">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44.399694</w:t>
            </w:r>
          </w:p>
        </w:tc>
        <w:tc>
          <w:tcPr>
            <w:tcW w:w="450" w:type="pct"/>
            <w:vMerge w:val="continue"/>
            <w:tcBorders>
              <w:tl2br w:val="nil"/>
              <w:tr2bl w:val="nil"/>
            </w:tcBorders>
            <w:vAlign w:val="center"/>
          </w:tcPr>
          <w:p w14:paraId="5366E967">
            <w:pPr>
              <w:ind w:left="0" w:leftChars="0" w:firstLine="0" w:firstLineChars="0"/>
              <w:jc w:val="center"/>
              <w:rPr>
                <w:rFonts w:hint="eastAsia"/>
                <w:sz w:val="21"/>
                <w:szCs w:val="21"/>
                <w:highlight w:val="none"/>
                <w:lang w:val="en-US" w:eastAsia="zh-CN"/>
              </w:rPr>
            </w:pPr>
          </w:p>
        </w:tc>
        <w:tc>
          <w:tcPr>
            <w:tcW w:w="476" w:type="pct"/>
            <w:vMerge w:val="continue"/>
            <w:tcBorders>
              <w:tl2br w:val="nil"/>
              <w:tr2bl w:val="nil"/>
            </w:tcBorders>
            <w:vAlign w:val="center"/>
          </w:tcPr>
          <w:p w14:paraId="0BFFFB11">
            <w:pPr>
              <w:jc w:val="center"/>
              <w:rPr>
                <w:sz w:val="21"/>
                <w:szCs w:val="21"/>
                <w:highlight w:val="none"/>
              </w:rPr>
            </w:pPr>
          </w:p>
        </w:tc>
        <w:tc>
          <w:tcPr>
            <w:tcW w:w="1050" w:type="pct"/>
            <w:vMerge w:val="continue"/>
            <w:tcBorders>
              <w:tl2br w:val="nil"/>
              <w:tr2bl w:val="nil"/>
            </w:tcBorders>
            <w:vAlign w:val="center"/>
          </w:tcPr>
          <w:p w14:paraId="1D20C94E">
            <w:pPr>
              <w:jc w:val="center"/>
              <w:rPr>
                <w:sz w:val="21"/>
                <w:szCs w:val="21"/>
                <w:highlight w:val="none"/>
              </w:rPr>
            </w:pPr>
          </w:p>
        </w:tc>
        <w:tc>
          <w:tcPr>
            <w:tcW w:w="444" w:type="pct"/>
            <w:tcBorders>
              <w:tl2br w:val="nil"/>
              <w:tr2bl w:val="nil"/>
            </w:tcBorders>
            <w:vAlign w:val="center"/>
          </w:tcPr>
          <w:p w14:paraId="04A475CD">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SE</w:t>
            </w:r>
          </w:p>
        </w:tc>
        <w:tc>
          <w:tcPr>
            <w:tcW w:w="574" w:type="pct"/>
            <w:tcBorders>
              <w:tl2br w:val="nil"/>
              <w:tr2bl w:val="nil"/>
            </w:tcBorders>
            <w:vAlign w:val="center"/>
          </w:tcPr>
          <w:p w14:paraId="72663F19">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1250m</w:t>
            </w:r>
          </w:p>
        </w:tc>
      </w:tr>
      <w:tr w14:paraId="5E737058">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502C1B19">
            <w:pPr>
              <w:jc w:val="center"/>
              <w:rPr>
                <w:sz w:val="21"/>
                <w:szCs w:val="21"/>
                <w:highlight w:val="none"/>
              </w:rPr>
            </w:pPr>
          </w:p>
        </w:tc>
        <w:tc>
          <w:tcPr>
            <w:tcW w:w="390" w:type="pct"/>
            <w:tcBorders>
              <w:tl2br w:val="nil"/>
              <w:tr2bl w:val="nil"/>
            </w:tcBorders>
            <w:vAlign w:val="center"/>
          </w:tcPr>
          <w:p w14:paraId="295303CA">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绥芬河市少年儿童业余体校</w:t>
            </w:r>
          </w:p>
        </w:tc>
        <w:tc>
          <w:tcPr>
            <w:tcW w:w="625" w:type="pct"/>
            <w:tcBorders>
              <w:tl2br w:val="nil"/>
              <w:tr2bl w:val="nil"/>
            </w:tcBorders>
            <w:vAlign w:val="center"/>
          </w:tcPr>
          <w:p w14:paraId="14144A42">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131.133499</w:t>
            </w:r>
          </w:p>
        </w:tc>
        <w:tc>
          <w:tcPr>
            <w:tcW w:w="598" w:type="pct"/>
            <w:tcBorders>
              <w:bottom w:val="single" w:color="auto" w:sz="4" w:space="0"/>
              <w:tl2br w:val="nil"/>
              <w:tr2bl w:val="nil"/>
            </w:tcBorders>
            <w:vAlign w:val="center"/>
          </w:tcPr>
          <w:p w14:paraId="056DF6BA">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44.396597</w:t>
            </w:r>
          </w:p>
        </w:tc>
        <w:tc>
          <w:tcPr>
            <w:tcW w:w="450" w:type="pct"/>
            <w:vMerge w:val="continue"/>
            <w:tcBorders>
              <w:tl2br w:val="nil"/>
              <w:tr2bl w:val="nil"/>
            </w:tcBorders>
            <w:vAlign w:val="center"/>
          </w:tcPr>
          <w:p w14:paraId="7B2CE17B">
            <w:pPr>
              <w:ind w:left="0" w:leftChars="0" w:firstLine="0" w:firstLineChars="0"/>
              <w:jc w:val="center"/>
              <w:rPr>
                <w:rFonts w:hint="eastAsia"/>
                <w:sz w:val="21"/>
                <w:szCs w:val="21"/>
                <w:highlight w:val="none"/>
                <w:lang w:val="en-US" w:eastAsia="zh-CN"/>
              </w:rPr>
            </w:pPr>
          </w:p>
        </w:tc>
        <w:tc>
          <w:tcPr>
            <w:tcW w:w="476" w:type="pct"/>
            <w:vMerge w:val="continue"/>
            <w:tcBorders>
              <w:tl2br w:val="nil"/>
              <w:tr2bl w:val="nil"/>
            </w:tcBorders>
            <w:vAlign w:val="center"/>
          </w:tcPr>
          <w:p w14:paraId="09772547">
            <w:pPr>
              <w:jc w:val="center"/>
              <w:rPr>
                <w:sz w:val="21"/>
                <w:szCs w:val="21"/>
                <w:highlight w:val="none"/>
              </w:rPr>
            </w:pPr>
          </w:p>
        </w:tc>
        <w:tc>
          <w:tcPr>
            <w:tcW w:w="1050" w:type="pct"/>
            <w:vMerge w:val="continue"/>
            <w:tcBorders>
              <w:tl2br w:val="nil"/>
              <w:tr2bl w:val="nil"/>
            </w:tcBorders>
            <w:vAlign w:val="center"/>
          </w:tcPr>
          <w:p w14:paraId="2E8E3DFC">
            <w:pPr>
              <w:jc w:val="center"/>
              <w:rPr>
                <w:sz w:val="21"/>
                <w:szCs w:val="21"/>
                <w:highlight w:val="none"/>
              </w:rPr>
            </w:pPr>
          </w:p>
        </w:tc>
        <w:tc>
          <w:tcPr>
            <w:tcW w:w="444" w:type="pct"/>
            <w:tcBorders>
              <w:tl2br w:val="nil"/>
              <w:tr2bl w:val="nil"/>
            </w:tcBorders>
            <w:vAlign w:val="center"/>
          </w:tcPr>
          <w:p w14:paraId="582AF810">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w:t>
            </w:r>
          </w:p>
        </w:tc>
        <w:tc>
          <w:tcPr>
            <w:tcW w:w="574" w:type="pct"/>
            <w:tcBorders>
              <w:tl2br w:val="nil"/>
              <w:tr2bl w:val="nil"/>
            </w:tcBorders>
            <w:vAlign w:val="center"/>
          </w:tcPr>
          <w:p w14:paraId="0E77BD51">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1700m</w:t>
            </w:r>
          </w:p>
        </w:tc>
      </w:tr>
      <w:tr w14:paraId="22E501F7">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6609C2A8">
            <w:pPr>
              <w:jc w:val="center"/>
              <w:rPr>
                <w:sz w:val="21"/>
                <w:szCs w:val="21"/>
                <w:highlight w:val="none"/>
              </w:rPr>
            </w:pPr>
          </w:p>
        </w:tc>
        <w:tc>
          <w:tcPr>
            <w:tcW w:w="390" w:type="pct"/>
            <w:tcBorders>
              <w:tl2br w:val="nil"/>
              <w:tr2bl w:val="nil"/>
            </w:tcBorders>
            <w:vAlign w:val="center"/>
          </w:tcPr>
          <w:p w14:paraId="5B20BB38">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绥芬河市第三中学</w:t>
            </w:r>
          </w:p>
        </w:tc>
        <w:tc>
          <w:tcPr>
            <w:tcW w:w="625" w:type="pct"/>
            <w:tcBorders>
              <w:tl2br w:val="nil"/>
              <w:tr2bl w:val="nil"/>
            </w:tcBorders>
            <w:vAlign w:val="center"/>
          </w:tcPr>
          <w:p w14:paraId="4968228A">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131.160707</w:t>
            </w:r>
          </w:p>
        </w:tc>
        <w:tc>
          <w:tcPr>
            <w:tcW w:w="598" w:type="pct"/>
            <w:tcBorders>
              <w:bottom w:val="single" w:color="auto" w:sz="4" w:space="0"/>
              <w:tl2br w:val="nil"/>
              <w:tr2bl w:val="nil"/>
            </w:tcBorders>
            <w:vAlign w:val="center"/>
          </w:tcPr>
          <w:p w14:paraId="0D3C8671">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44.390004</w:t>
            </w:r>
          </w:p>
        </w:tc>
        <w:tc>
          <w:tcPr>
            <w:tcW w:w="450" w:type="pct"/>
            <w:vMerge w:val="continue"/>
            <w:tcBorders>
              <w:bottom w:val="single" w:color="auto" w:sz="4" w:space="0"/>
              <w:tl2br w:val="nil"/>
              <w:tr2bl w:val="nil"/>
            </w:tcBorders>
            <w:vAlign w:val="center"/>
          </w:tcPr>
          <w:p w14:paraId="10C5DB37">
            <w:pPr>
              <w:ind w:left="0" w:leftChars="0" w:firstLine="0" w:firstLineChars="0"/>
              <w:jc w:val="center"/>
              <w:rPr>
                <w:rFonts w:hint="eastAsia"/>
                <w:sz w:val="21"/>
                <w:szCs w:val="21"/>
                <w:highlight w:val="none"/>
                <w:lang w:val="en-US" w:eastAsia="zh-CN"/>
              </w:rPr>
            </w:pPr>
          </w:p>
        </w:tc>
        <w:tc>
          <w:tcPr>
            <w:tcW w:w="476" w:type="pct"/>
            <w:vMerge w:val="continue"/>
            <w:tcBorders>
              <w:tl2br w:val="nil"/>
              <w:tr2bl w:val="nil"/>
            </w:tcBorders>
            <w:vAlign w:val="center"/>
          </w:tcPr>
          <w:p w14:paraId="2DDED386">
            <w:pPr>
              <w:jc w:val="center"/>
              <w:rPr>
                <w:sz w:val="21"/>
                <w:szCs w:val="21"/>
                <w:highlight w:val="none"/>
              </w:rPr>
            </w:pPr>
          </w:p>
        </w:tc>
        <w:tc>
          <w:tcPr>
            <w:tcW w:w="1050" w:type="pct"/>
            <w:vMerge w:val="continue"/>
            <w:tcBorders>
              <w:tl2br w:val="nil"/>
              <w:tr2bl w:val="nil"/>
            </w:tcBorders>
            <w:vAlign w:val="center"/>
          </w:tcPr>
          <w:p w14:paraId="45CC6FCB">
            <w:pPr>
              <w:jc w:val="center"/>
              <w:rPr>
                <w:sz w:val="21"/>
                <w:szCs w:val="21"/>
                <w:highlight w:val="none"/>
              </w:rPr>
            </w:pPr>
          </w:p>
        </w:tc>
        <w:tc>
          <w:tcPr>
            <w:tcW w:w="444" w:type="pct"/>
            <w:tcBorders>
              <w:tl2br w:val="nil"/>
              <w:tr2bl w:val="nil"/>
            </w:tcBorders>
            <w:vAlign w:val="center"/>
          </w:tcPr>
          <w:p w14:paraId="134AFF0C">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SE</w:t>
            </w:r>
          </w:p>
        </w:tc>
        <w:tc>
          <w:tcPr>
            <w:tcW w:w="574" w:type="pct"/>
            <w:tcBorders>
              <w:tl2br w:val="nil"/>
              <w:tr2bl w:val="nil"/>
            </w:tcBorders>
            <w:vAlign w:val="center"/>
          </w:tcPr>
          <w:p w14:paraId="5C1DA43E">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2200m</w:t>
            </w:r>
          </w:p>
        </w:tc>
      </w:tr>
      <w:tr w14:paraId="6219300D">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02504B29">
            <w:pPr>
              <w:jc w:val="center"/>
              <w:rPr>
                <w:sz w:val="21"/>
                <w:szCs w:val="21"/>
                <w:highlight w:val="none"/>
              </w:rPr>
            </w:pPr>
          </w:p>
        </w:tc>
        <w:tc>
          <w:tcPr>
            <w:tcW w:w="390" w:type="pct"/>
            <w:tcBorders>
              <w:tl2br w:val="nil"/>
              <w:tr2bl w:val="nil"/>
            </w:tcBorders>
            <w:vAlign w:val="center"/>
          </w:tcPr>
          <w:p w14:paraId="6FAE964B">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旅游局家属楼（5层）</w:t>
            </w:r>
          </w:p>
        </w:tc>
        <w:tc>
          <w:tcPr>
            <w:tcW w:w="625" w:type="pct"/>
            <w:tcBorders>
              <w:tl2br w:val="nil"/>
              <w:tr2bl w:val="nil"/>
            </w:tcBorders>
            <w:vAlign w:val="center"/>
          </w:tcPr>
          <w:p w14:paraId="765BA301">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131.148648</w:t>
            </w:r>
          </w:p>
        </w:tc>
        <w:tc>
          <w:tcPr>
            <w:tcW w:w="598" w:type="pct"/>
            <w:tcBorders>
              <w:bottom w:val="single" w:color="auto" w:sz="4" w:space="0"/>
              <w:tl2br w:val="nil"/>
              <w:tr2bl w:val="nil"/>
            </w:tcBorders>
            <w:vAlign w:val="center"/>
          </w:tcPr>
          <w:p w14:paraId="19C8EDB1">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44.408892</w:t>
            </w:r>
          </w:p>
        </w:tc>
        <w:tc>
          <w:tcPr>
            <w:tcW w:w="450" w:type="pct"/>
            <w:vMerge w:val="restart"/>
            <w:tcBorders>
              <w:tl2br w:val="nil"/>
              <w:tr2bl w:val="nil"/>
            </w:tcBorders>
            <w:vAlign w:val="center"/>
          </w:tcPr>
          <w:p w14:paraId="48879E26">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居住区</w:t>
            </w:r>
          </w:p>
        </w:tc>
        <w:tc>
          <w:tcPr>
            <w:tcW w:w="476" w:type="pct"/>
            <w:vMerge w:val="continue"/>
            <w:tcBorders>
              <w:tl2br w:val="nil"/>
              <w:tr2bl w:val="nil"/>
            </w:tcBorders>
            <w:vAlign w:val="center"/>
          </w:tcPr>
          <w:p w14:paraId="4DCCBFDC">
            <w:pPr>
              <w:jc w:val="center"/>
              <w:rPr>
                <w:sz w:val="21"/>
                <w:szCs w:val="21"/>
                <w:highlight w:val="none"/>
              </w:rPr>
            </w:pPr>
          </w:p>
        </w:tc>
        <w:tc>
          <w:tcPr>
            <w:tcW w:w="1050" w:type="pct"/>
            <w:vMerge w:val="continue"/>
            <w:tcBorders>
              <w:tl2br w:val="nil"/>
              <w:tr2bl w:val="nil"/>
            </w:tcBorders>
            <w:vAlign w:val="center"/>
          </w:tcPr>
          <w:p w14:paraId="057C2146">
            <w:pPr>
              <w:jc w:val="center"/>
              <w:rPr>
                <w:sz w:val="21"/>
                <w:szCs w:val="21"/>
                <w:highlight w:val="none"/>
              </w:rPr>
            </w:pPr>
          </w:p>
        </w:tc>
        <w:tc>
          <w:tcPr>
            <w:tcW w:w="444" w:type="pct"/>
            <w:tcBorders>
              <w:tl2br w:val="nil"/>
              <w:tr2bl w:val="nil"/>
            </w:tcBorders>
            <w:vAlign w:val="center"/>
          </w:tcPr>
          <w:p w14:paraId="157C1BFF">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W</w:t>
            </w:r>
          </w:p>
        </w:tc>
        <w:tc>
          <w:tcPr>
            <w:tcW w:w="574" w:type="pct"/>
            <w:tcBorders>
              <w:tl2br w:val="nil"/>
              <w:tr2bl w:val="nil"/>
            </w:tcBorders>
            <w:vAlign w:val="center"/>
          </w:tcPr>
          <w:p w14:paraId="0400E29C">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20m</w:t>
            </w:r>
          </w:p>
        </w:tc>
      </w:tr>
      <w:tr w14:paraId="0F576437">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4C15F66E">
            <w:pPr>
              <w:jc w:val="center"/>
              <w:rPr>
                <w:sz w:val="21"/>
                <w:szCs w:val="21"/>
                <w:highlight w:val="none"/>
              </w:rPr>
            </w:pPr>
          </w:p>
        </w:tc>
        <w:tc>
          <w:tcPr>
            <w:tcW w:w="390" w:type="pct"/>
            <w:tcBorders>
              <w:tl2br w:val="nil"/>
              <w:tr2bl w:val="nil"/>
            </w:tcBorders>
            <w:vAlign w:val="center"/>
          </w:tcPr>
          <w:p w14:paraId="7AD97B5E">
            <w:pPr>
              <w:pStyle w:val="32"/>
              <w:widowControl w:val="0"/>
              <w:adjustRightInd w:val="0"/>
              <w:snapToGrid w:val="0"/>
              <w:jc w:val="center"/>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新安幸福嘉园（11层）</w:t>
            </w:r>
          </w:p>
        </w:tc>
        <w:tc>
          <w:tcPr>
            <w:tcW w:w="625" w:type="pct"/>
            <w:tcBorders>
              <w:tl2br w:val="nil"/>
              <w:tr2bl w:val="nil"/>
            </w:tcBorders>
            <w:vAlign w:val="center"/>
          </w:tcPr>
          <w:p w14:paraId="57E2F778">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131.146009</w:t>
            </w:r>
          </w:p>
        </w:tc>
        <w:tc>
          <w:tcPr>
            <w:tcW w:w="598" w:type="pct"/>
            <w:tcBorders>
              <w:bottom w:val="single" w:color="auto" w:sz="4" w:space="0"/>
              <w:tl2br w:val="nil"/>
              <w:tr2bl w:val="nil"/>
            </w:tcBorders>
            <w:vAlign w:val="center"/>
          </w:tcPr>
          <w:p w14:paraId="27AFB910">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44.409068</w:t>
            </w:r>
          </w:p>
        </w:tc>
        <w:tc>
          <w:tcPr>
            <w:tcW w:w="450" w:type="pct"/>
            <w:vMerge w:val="continue"/>
            <w:tcBorders>
              <w:tl2br w:val="nil"/>
              <w:tr2bl w:val="nil"/>
            </w:tcBorders>
            <w:vAlign w:val="center"/>
          </w:tcPr>
          <w:p w14:paraId="2A3ACE1B">
            <w:pPr>
              <w:ind w:left="0" w:leftChars="0" w:firstLine="0" w:firstLineChars="0"/>
              <w:jc w:val="center"/>
              <w:rPr>
                <w:rFonts w:hint="eastAsia"/>
                <w:sz w:val="21"/>
                <w:szCs w:val="21"/>
                <w:highlight w:val="none"/>
                <w:lang w:val="en-US" w:eastAsia="zh-CN"/>
              </w:rPr>
            </w:pPr>
          </w:p>
        </w:tc>
        <w:tc>
          <w:tcPr>
            <w:tcW w:w="476" w:type="pct"/>
            <w:vMerge w:val="continue"/>
            <w:tcBorders>
              <w:tl2br w:val="nil"/>
              <w:tr2bl w:val="nil"/>
            </w:tcBorders>
            <w:vAlign w:val="center"/>
          </w:tcPr>
          <w:p w14:paraId="3CA47A89">
            <w:pPr>
              <w:jc w:val="center"/>
              <w:rPr>
                <w:sz w:val="21"/>
                <w:szCs w:val="21"/>
                <w:highlight w:val="none"/>
              </w:rPr>
            </w:pPr>
          </w:p>
        </w:tc>
        <w:tc>
          <w:tcPr>
            <w:tcW w:w="1050" w:type="pct"/>
            <w:vMerge w:val="continue"/>
            <w:tcBorders>
              <w:tl2br w:val="nil"/>
              <w:tr2bl w:val="nil"/>
            </w:tcBorders>
            <w:vAlign w:val="center"/>
          </w:tcPr>
          <w:p w14:paraId="2A5DDF71">
            <w:pPr>
              <w:jc w:val="center"/>
              <w:rPr>
                <w:sz w:val="21"/>
                <w:szCs w:val="21"/>
                <w:highlight w:val="none"/>
              </w:rPr>
            </w:pPr>
          </w:p>
        </w:tc>
        <w:tc>
          <w:tcPr>
            <w:tcW w:w="444" w:type="pct"/>
            <w:tcBorders>
              <w:tl2br w:val="nil"/>
              <w:tr2bl w:val="nil"/>
            </w:tcBorders>
            <w:vAlign w:val="center"/>
          </w:tcPr>
          <w:p w14:paraId="20272981">
            <w:pPr>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W</w:t>
            </w:r>
          </w:p>
        </w:tc>
        <w:tc>
          <w:tcPr>
            <w:tcW w:w="574" w:type="pct"/>
            <w:tcBorders>
              <w:tl2br w:val="nil"/>
              <w:tr2bl w:val="nil"/>
            </w:tcBorders>
            <w:vAlign w:val="center"/>
          </w:tcPr>
          <w:p w14:paraId="7B048F35">
            <w:pPr>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20</w:t>
            </w:r>
            <w:r>
              <w:rPr>
                <w:rFonts w:hint="eastAsia"/>
                <w:sz w:val="21"/>
                <w:szCs w:val="21"/>
                <w:highlight w:val="none"/>
              </w:rPr>
              <w:t>m</w:t>
            </w:r>
          </w:p>
        </w:tc>
      </w:tr>
      <w:tr w14:paraId="6B7488F0">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7C7B79AE">
            <w:pPr>
              <w:jc w:val="center"/>
              <w:rPr>
                <w:sz w:val="21"/>
                <w:szCs w:val="21"/>
                <w:highlight w:val="none"/>
              </w:rPr>
            </w:pPr>
          </w:p>
        </w:tc>
        <w:tc>
          <w:tcPr>
            <w:tcW w:w="390" w:type="pct"/>
            <w:tcBorders>
              <w:tl2br w:val="nil"/>
              <w:tr2bl w:val="nil"/>
            </w:tcBorders>
            <w:vAlign w:val="center"/>
          </w:tcPr>
          <w:p w14:paraId="346A25DE">
            <w:pPr>
              <w:pStyle w:val="32"/>
              <w:widowControl w:val="0"/>
              <w:adjustRightInd w:val="0"/>
              <w:snapToGrid w:val="0"/>
              <w:jc w:val="center"/>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中兴小区</w:t>
            </w:r>
          </w:p>
        </w:tc>
        <w:tc>
          <w:tcPr>
            <w:tcW w:w="625" w:type="pct"/>
            <w:tcBorders>
              <w:tl2br w:val="nil"/>
              <w:tr2bl w:val="nil"/>
            </w:tcBorders>
            <w:vAlign w:val="center"/>
          </w:tcPr>
          <w:p w14:paraId="1AEC840D">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131.145344</w:t>
            </w:r>
          </w:p>
        </w:tc>
        <w:tc>
          <w:tcPr>
            <w:tcW w:w="598" w:type="pct"/>
            <w:tcBorders>
              <w:bottom w:val="single" w:color="auto" w:sz="4" w:space="0"/>
              <w:tl2br w:val="nil"/>
              <w:tr2bl w:val="nil"/>
            </w:tcBorders>
            <w:vAlign w:val="center"/>
          </w:tcPr>
          <w:p w14:paraId="699BFA6D">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44.407964</w:t>
            </w:r>
          </w:p>
        </w:tc>
        <w:tc>
          <w:tcPr>
            <w:tcW w:w="450" w:type="pct"/>
            <w:vMerge w:val="continue"/>
            <w:tcBorders>
              <w:tl2br w:val="nil"/>
              <w:tr2bl w:val="nil"/>
            </w:tcBorders>
            <w:vAlign w:val="center"/>
          </w:tcPr>
          <w:p w14:paraId="5A3AE32E">
            <w:pPr>
              <w:ind w:left="0" w:leftChars="0" w:firstLine="0" w:firstLineChars="0"/>
              <w:jc w:val="center"/>
              <w:rPr>
                <w:rFonts w:hint="eastAsia"/>
                <w:sz w:val="21"/>
                <w:szCs w:val="21"/>
                <w:highlight w:val="none"/>
                <w:lang w:val="en-US" w:eastAsia="zh-CN"/>
              </w:rPr>
            </w:pPr>
          </w:p>
        </w:tc>
        <w:tc>
          <w:tcPr>
            <w:tcW w:w="476" w:type="pct"/>
            <w:vMerge w:val="continue"/>
            <w:tcBorders>
              <w:tl2br w:val="nil"/>
              <w:tr2bl w:val="nil"/>
            </w:tcBorders>
            <w:vAlign w:val="center"/>
          </w:tcPr>
          <w:p w14:paraId="3754946F">
            <w:pPr>
              <w:jc w:val="center"/>
              <w:rPr>
                <w:sz w:val="21"/>
                <w:szCs w:val="21"/>
                <w:highlight w:val="none"/>
              </w:rPr>
            </w:pPr>
          </w:p>
        </w:tc>
        <w:tc>
          <w:tcPr>
            <w:tcW w:w="1050" w:type="pct"/>
            <w:vMerge w:val="continue"/>
            <w:tcBorders>
              <w:tl2br w:val="nil"/>
              <w:tr2bl w:val="nil"/>
            </w:tcBorders>
            <w:vAlign w:val="center"/>
          </w:tcPr>
          <w:p w14:paraId="194F013A">
            <w:pPr>
              <w:jc w:val="center"/>
              <w:rPr>
                <w:sz w:val="21"/>
                <w:szCs w:val="21"/>
                <w:highlight w:val="none"/>
              </w:rPr>
            </w:pPr>
          </w:p>
        </w:tc>
        <w:tc>
          <w:tcPr>
            <w:tcW w:w="444" w:type="pct"/>
            <w:tcBorders>
              <w:tl2br w:val="nil"/>
              <w:tr2bl w:val="nil"/>
            </w:tcBorders>
            <w:vAlign w:val="center"/>
          </w:tcPr>
          <w:p w14:paraId="39552409">
            <w:pPr>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SW</w:t>
            </w:r>
          </w:p>
        </w:tc>
        <w:tc>
          <w:tcPr>
            <w:tcW w:w="574" w:type="pct"/>
            <w:tcBorders>
              <w:tl2br w:val="nil"/>
              <w:tr2bl w:val="nil"/>
            </w:tcBorders>
            <w:vAlign w:val="center"/>
          </w:tcPr>
          <w:p w14:paraId="33176DC9">
            <w:pPr>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180m</w:t>
            </w:r>
          </w:p>
        </w:tc>
      </w:tr>
      <w:tr w14:paraId="699EE165">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14F495EF">
            <w:pPr>
              <w:jc w:val="center"/>
              <w:rPr>
                <w:sz w:val="21"/>
                <w:szCs w:val="21"/>
                <w:highlight w:val="none"/>
              </w:rPr>
            </w:pPr>
          </w:p>
        </w:tc>
        <w:tc>
          <w:tcPr>
            <w:tcW w:w="390" w:type="pct"/>
            <w:tcBorders>
              <w:tl2br w:val="nil"/>
              <w:tr2bl w:val="nil"/>
            </w:tcBorders>
            <w:vAlign w:val="center"/>
          </w:tcPr>
          <w:p w14:paraId="0BFE1EC9">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绥兴社区</w:t>
            </w:r>
          </w:p>
        </w:tc>
        <w:tc>
          <w:tcPr>
            <w:tcW w:w="625" w:type="pct"/>
            <w:tcBorders>
              <w:tl2br w:val="nil"/>
              <w:tr2bl w:val="nil"/>
            </w:tcBorders>
            <w:vAlign w:val="center"/>
          </w:tcPr>
          <w:p w14:paraId="5CF91D4F">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131.140505</w:t>
            </w:r>
          </w:p>
        </w:tc>
        <w:tc>
          <w:tcPr>
            <w:tcW w:w="598" w:type="pct"/>
            <w:tcBorders>
              <w:bottom w:val="single" w:color="auto" w:sz="4" w:space="0"/>
              <w:tl2br w:val="nil"/>
              <w:tr2bl w:val="nil"/>
            </w:tcBorders>
            <w:vAlign w:val="center"/>
          </w:tcPr>
          <w:p w14:paraId="68FDE8BD">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44.408079</w:t>
            </w:r>
          </w:p>
        </w:tc>
        <w:tc>
          <w:tcPr>
            <w:tcW w:w="450" w:type="pct"/>
            <w:vMerge w:val="continue"/>
            <w:tcBorders>
              <w:tl2br w:val="nil"/>
              <w:tr2bl w:val="nil"/>
            </w:tcBorders>
            <w:vAlign w:val="center"/>
          </w:tcPr>
          <w:p w14:paraId="577C4749">
            <w:pPr>
              <w:ind w:left="0" w:leftChars="0" w:firstLine="0" w:firstLineChars="0"/>
              <w:jc w:val="center"/>
              <w:rPr>
                <w:rFonts w:hint="default"/>
                <w:sz w:val="21"/>
                <w:szCs w:val="21"/>
                <w:highlight w:val="none"/>
                <w:lang w:val="en-US" w:eastAsia="zh-CN"/>
              </w:rPr>
            </w:pPr>
          </w:p>
        </w:tc>
        <w:tc>
          <w:tcPr>
            <w:tcW w:w="476" w:type="pct"/>
            <w:vMerge w:val="continue"/>
            <w:tcBorders>
              <w:tl2br w:val="nil"/>
              <w:tr2bl w:val="nil"/>
            </w:tcBorders>
            <w:vAlign w:val="center"/>
          </w:tcPr>
          <w:p w14:paraId="4B20361B">
            <w:pPr>
              <w:jc w:val="center"/>
              <w:rPr>
                <w:sz w:val="21"/>
                <w:szCs w:val="21"/>
                <w:highlight w:val="none"/>
              </w:rPr>
            </w:pPr>
          </w:p>
        </w:tc>
        <w:tc>
          <w:tcPr>
            <w:tcW w:w="1050" w:type="pct"/>
            <w:vMerge w:val="continue"/>
            <w:tcBorders>
              <w:tl2br w:val="nil"/>
              <w:tr2bl w:val="nil"/>
            </w:tcBorders>
            <w:vAlign w:val="center"/>
          </w:tcPr>
          <w:p w14:paraId="17D2CBB7">
            <w:pPr>
              <w:jc w:val="center"/>
              <w:rPr>
                <w:sz w:val="21"/>
                <w:szCs w:val="21"/>
                <w:highlight w:val="none"/>
              </w:rPr>
            </w:pPr>
          </w:p>
        </w:tc>
        <w:tc>
          <w:tcPr>
            <w:tcW w:w="444" w:type="pct"/>
            <w:tcBorders>
              <w:tl2br w:val="nil"/>
              <w:tr2bl w:val="nil"/>
            </w:tcBorders>
            <w:vAlign w:val="center"/>
          </w:tcPr>
          <w:p w14:paraId="7240BA10">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w:t>
            </w:r>
          </w:p>
        </w:tc>
        <w:tc>
          <w:tcPr>
            <w:tcW w:w="574" w:type="pct"/>
            <w:tcBorders>
              <w:tl2br w:val="nil"/>
              <w:tr2bl w:val="nil"/>
            </w:tcBorders>
            <w:vAlign w:val="center"/>
          </w:tcPr>
          <w:p w14:paraId="22081469">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550m</w:t>
            </w:r>
          </w:p>
        </w:tc>
      </w:tr>
      <w:tr w14:paraId="4258544D">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11340397">
            <w:pPr>
              <w:jc w:val="center"/>
              <w:rPr>
                <w:sz w:val="21"/>
                <w:szCs w:val="21"/>
                <w:highlight w:val="none"/>
              </w:rPr>
            </w:pPr>
          </w:p>
        </w:tc>
        <w:tc>
          <w:tcPr>
            <w:tcW w:w="390" w:type="pct"/>
            <w:tcBorders>
              <w:tl2br w:val="nil"/>
              <w:tr2bl w:val="nil"/>
            </w:tcBorders>
            <w:vAlign w:val="center"/>
          </w:tcPr>
          <w:p w14:paraId="48CD9A5C">
            <w:pPr>
              <w:pStyle w:val="32"/>
              <w:widowControl w:val="0"/>
              <w:adjustRightInd w:val="0"/>
              <w:snapToGrid w:val="0"/>
              <w:jc w:val="center"/>
              <w:rPr>
                <w:rFonts w:hint="default" w:ascii="Times New Roman" w:hAnsi="Times New Roman"/>
                <w:sz w:val="21"/>
                <w:szCs w:val="21"/>
                <w:highlight w:val="none"/>
                <w:lang w:val="en-US"/>
              </w:rPr>
            </w:pPr>
            <w:r>
              <w:rPr>
                <w:rFonts w:hint="eastAsia" w:ascii="Times New Roman" w:hAnsi="Times New Roman"/>
                <w:sz w:val="21"/>
                <w:szCs w:val="21"/>
                <w:highlight w:val="none"/>
                <w:lang w:val="en-US" w:eastAsia="zh-CN"/>
              </w:rPr>
              <w:t>凯丰小区</w:t>
            </w:r>
          </w:p>
        </w:tc>
        <w:tc>
          <w:tcPr>
            <w:tcW w:w="625" w:type="pct"/>
            <w:tcBorders>
              <w:tl2br w:val="nil"/>
              <w:tr2bl w:val="nil"/>
            </w:tcBorders>
            <w:vAlign w:val="center"/>
          </w:tcPr>
          <w:p w14:paraId="1B45478D">
            <w:pPr>
              <w:ind w:left="0" w:leftChars="0"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131.141943</w:t>
            </w:r>
          </w:p>
        </w:tc>
        <w:tc>
          <w:tcPr>
            <w:tcW w:w="598" w:type="pct"/>
            <w:tcBorders>
              <w:top w:val="single" w:color="auto" w:sz="4" w:space="0"/>
              <w:tl2br w:val="nil"/>
              <w:tr2bl w:val="nil"/>
            </w:tcBorders>
            <w:vAlign w:val="center"/>
          </w:tcPr>
          <w:p w14:paraId="4AB15C45">
            <w:pPr>
              <w:ind w:left="0" w:leftChars="0"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44.408562</w:t>
            </w:r>
          </w:p>
        </w:tc>
        <w:tc>
          <w:tcPr>
            <w:tcW w:w="450" w:type="pct"/>
            <w:vMerge w:val="continue"/>
            <w:tcBorders>
              <w:tl2br w:val="nil"/>
              <w:tr2bl w:val="nil"/>
            </w:tcBorders>
            <w:vAlign w:val="center"/>
          </w:tcPr>
          <w:p w14:paraId="5D6D59BB">
            <w:pPr>
              <w:jc w:val="center"/>
              <w:rPr>
                <w:sz w:val="21"/>
                <w:szCs w:val="21"/>
                <w:highlight w:val="none"/>
              </w:rPr>
            </w:pPr>
          </w:p>
        </w:tc>
        <w:tc>
          <w:tcPr>
            <w:tcW w:w="476" w:type="pct"/>
            <w:vMerge w:val="continue"/>
            <w:tcBorders>
              <w:tl2br w:val="nil"/>
              <w:tr2bl w:val="nil"/>
            </w:tcBorders>
            <w:vAlign w:val="center"/>
          </w:tcPr>
          <w:p w14:paraId="4FF60628">
            <w:pPr>
              <w:jc w:val="center"/>
              <w:rPr>
                <w:sz w:val="21"/>
                <w:szCs w:val="21"/>
                <w:highlight w:val="none"/>
              </w:rPr>
            </w:pPr>
          </w:p>
        </w:tc>
        <w:tc>
          <w:tcPr>
            <w:tcW w:w="1050" w:type="pct"/>
            <w:vMerge w:val="continue"/>
            <w:tcBorders>
              <w:tl2br w:val="nil"/>
              <w:tr2bl w:val="nil"/>
            </w:tcBorders>
            <w:vAlign w:val="center"/>
          </w:tcPr>
          <w:p w14:paraId="12575026">
            <w:pPr>
              <w:jc w:val="center"/>
              <w:rPr>
                <w:sz w:val="21"/>
                <w:szCs w:val="21"/>
                <w:highlight w:val="none"/>
              </w:rPr>
            </w:pPr>
          </w:p>
        </w:tc>
        <w:tc>
          <w:tcPr>
            <w:tcW w:w="444" w:type="pct"/>
            <w:tcBorders>
              <w:tl2br w:val="nil"/>
              <w:tr2bl w:val="nil"/>
            </w:tcBorders>
            <w:vAlign w:val="center"/>
          </w:tcPr>
          <w:p w14:paraId="65CDA2C4">
            <w:pPr>
              <w:ind w:left="0" w:leftChars="0" w:firstLine="0" w:firstLineChars="0"/>
              <w:jc w:val="center"/>
              <w:rPr>
                <w:sz w:val="21"/>
                <w:szCs w:val="21"/>
                <w:highlight w:val="none"/>
              </w:rPr>
            </w:pPr>
            <w:r>
              <w:rPr>
                <w:rFonts w:hint="eastAsia"/>
                <w:sz w:val="21"/>
                <w:szCs w:val="21"/>
                <w:highlight w:val="none"/>
                <w:lang w:val="en-US" w:eastAsia="zh-CN"/>
              </w:rPr>
              <w:t>SW</w:t>
            </w:r>
          </w:p>
        </w:tc>
        <w:tc>
          <w:tcPr>
            <w:tcW w:w="574" w:type="pct"/>
            <w:tcBorders>
              <w:tl2br w:val="nil"/>
              <w:tr2bl w:val="nil"/>
            </w:tcBorders>
            <w:vAlign w:val="center"/>
          </w:tcPr>
          <w:p w14:paraId="3E5AC46C">
            <w:pPr>
              <w:ind w:left="0" w:leftChars="0" w:firstLine="0" w:firstLineChars="0"/>
              <w:jc w:val="center"/>
              <w:rPr>
                <w:sz w:val="21"/>
                <w:szCs w:val="21"/>
                <w:highlight w:val="none"/>
              </w:rPr>
            </w:pPr>
            <w:r>
              <w:rPr>
                <w:rFonts w:hint="eastAsia"/>
                <w:sz w:val="21"/>
                <w:szCs w:val="21"/>
                <w:highlight w:val="none"/>
                <w:lang w:val="en-US" w:eastAsia="zh-CN"/>
              </w:rPr>
              <w:t>400</w:t>
            </w:r>
            <w:r>
              <w:rPr>
                <w:rFonts w:hint="eastAsia"/>
                <w:sz w:val="21"/>
                <w:szCs w:val="21"/>
                <w:highlight w:val="none"/>
              </w:rPr>
              <w:t>m</w:t>
            </w:r>
          </w:p>
        </w:tc>
      </w:tr>
      <w:tr w14:paraId="05715ED7">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2E560397">
            <w:pPr>
              <w:jc w:val="center"/>
              <w:rPr>
                <w:sz w:val="21"/>
                <w:szCs w:val="21"/>
                <w:highlight w:val="none"/>
              </w:rPr>
            </w:pPr>
          </w:p>
        </w:tc>
        <w:tc>
          <w:tcPr>
            <w:tcW w:w="390" w:type="pct"/>
            <w:tcBorders>
              <w:tl2br w:val="nil"/>
              <w:tr2bl w:val="nil"/>
            </w:tcBorders>
            <w:vAlign w:val="center"/>
          </w:tcPr>
          <w:p w14:paraId="3152D5EE">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澳运阳光花园</w:t>
            </w:r>
          </w:p>
        </w:tc>
        <w:tc>
          <w:tcPr>
            <w:tcW w:w="625" w:type="pct"/>
            <w:tcBorders>
              <w:tl2br w:val="nil"/>
              <w:tr2bl w:val="nil"/>
            </w:tcBorders>
            <w:vAlign w:val="center"/>
          </w:tcPr>
          <w:p w14:paraId="6A52E2B7">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131.133789</w:t>
            </w:r>
          </w:p>
        </w:tc>
        <w:tc>
          <w:tcPr>
            <w:tcW w:w="598" w:type="pct"/>
            <w:tcBorders>
              <w:top w:val="single" w:color="auto" w:sz="4" w:space="0"/>
              <w:tl2br w:val="nil"/>
              <w:tr2bl w:val="nil"/>
            </w:tcBorders>
            <w:vAlign w:val="center"/>
          </w:tcPr>
          <w:p w14:paraId="6319ABD8">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44.408754</w:t>
            </w:r>
          </w:p>
        </w:tc>
        <w:tc>
          <w:tcPr>
            <w:tcW w:w="450" w:type="pct"/>
            <w:vMerge w:val="continue"/>
            <w:tcBorders>
              <w:tl2br w:val="nil"/>
              <w:tr2bl w:val="nil"/>
            </w:tcBorders>
            <w:vAlign w:val="center"/>
          </w:tcPr>
          <w:p w14:paraId="16A0D3F5">
            <w:pPr>
              <w:jc w:val="center"/>
              <w:rPr>
                <w:sz w:val="21"/>
                <w:szCs w:val="21"/>
                <w:highlight w:val="none"/>
              </w:rPr>
            </w:pPr>
          </w:p>
        </w:tc>
        <w:tc>
          <w:tcPr>
            <w:tcW w:w="476" w:type="pct"/>
            <w:vMerge w:val="continue"/>
            <w:tcBorders>
              <w:tl2br w:val="nil"/>
              <w:tr2bl w:val="nil"/>
            </w:tcBorders>
            <w:vAlign w:val="center"/>
          </w:tcPr>
          <w:p w14:paraId="44BEC574">
            <w:pPr>
              <w:jc w:val="center"/>
              <w:rPr>
                <w:sz w:val="21"/>
                <w:szCs w:val="21"/>
                <w:highlight w:val="none"/>
              </w:rPr>
            </w:pPr>
          </w:p>
        </w:tc>
        <w:tc>
          <w:tcPr>
            <w:tcW w:w="1050" w:type="pct"/>
            <w:vMerge w:val="continue"/>
            <w:tcBorders>
              <w:tl2br w:val="nil"/>
              <w:tr2bl w:val="nil"/>
            </w:tcBorders>
            <w:vAlign w:val="center"/>
          </w:tcPr>
          <w:p w14:paraId="1D03E0DC">
            <w:pPr>
              <w:jc w:val="center"/>
              <w:rPr>
                <w:sz w:val="21"/>
                <w:szCs w:val="21"/>
                <w:highlight w:val="none"/>
              </w:rPr>
            </w:pPr>
          </w:p>
        </w:tc>
        <w:tc>
          <w:tcPr>
            <w:tcW w:w="444" w:type="pct"/>
            <w:tcBorders>
              <w:tl2br w:val="nil"/>
              <w:tr2bl w:val="nil"/>
            </w:tcBorders>
            <w:vAlign w:val="center"/>
          </w:tcPr>
          <w:p w14:paraId="075DAA8E">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W</w:t>
            </w:r>
          </w:p>
        </w:tc>
        <w:tc>
          <w:tcPr>
            <w:tcW w:w="574" w:type="pct"/>
            <w:tcBorders>
              <w:tl2br w:val="nil"/>
              <w:tr2bl w:val="nil"/>
            </w:tcBorders>
            <w:vAlign w:val="center"/>
          </w:tcPr>
          <w:p w14:paraId="1775D0EA">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1000m</w:t>
            </w:r>
          </w:p>
        </w:tc>
      </w:tr>
      <w:tr w14:paraId="62B55C84">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21CBE6B6">
            <w:pPr>
              <w:jc w:val="center"/>
              <w:rPr>
                <w:sz w:val="21"/>
                <w:szCs w:val="21"/>
                <w:highlight w:val="none"/>
              </w:rPr>
            </w:pPr>
          </w:p>
        </w:tc>
        <w:tc>
          <w:tcPr>
            <w:tcW w:w="390" w:type="pct"/>
            <w:tcBorders>
              <w:tl2br w:val="nil"/>
              <w:tr2bl w:val="nil"/>
            </w:tcBorders>
            <w:vAlign w:val="center"/>
          </w:tcPr>
          <w:p w14:paraId="70150C69">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朝阳村</w:t>
            </w:r>
          </w:p>
        </w:tc>
        <w:tc>
          <w:tcPr>
            <w:tcW w:w="625" w:type="pct"/>
            <w:tcBorders>
              <w:tl2br w:val="nil"/>
              <w:tr2bl w:val="nil"/>
            </w:tcBorders>
            <w:vAlign w:val="center"/>
          </w:tcPr>
          <w:p w14:paraId="5B6A13FE">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131.138649</w:t>
            </w:r>
          </w:p>
        </w:tc>
        <w:tc>
          <w:tcPr>
            <w:tcW w:w="598" w:type="pct"/>
            <w:tcBorders>
              <w:tl2br w:val="nil"/>
              <w:tr2bl w:val="nil"/>
            </w:tcBorders>
            <w:vAlign w:val="center"/>
          </w:tcPr>
          <w:p w14:paraId="19387BAE">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44.418609</w:t>
            </w:r>
          </w:p>
        </w:tc>
        <w:tc>
          <w:tcPr>
            <w:tcW w:w="450" w:type="pct"/>
            <w:vMerge w:val="continue"/>
            <w:tcBorders>
              <w:tl2br w:val="nil"/>
              <w:tr2bl w:val="nil"/>
            </w:tcBorders>
            <w:vAlign w:val="center"/>
          </w:tcPr>
          <w:p w14:paraId="6A01D15D">
            <w:pPr>
              <w:jc w:val="center"/>
              <w:rPr>
                <w:sz w:val="21"/>
                <w:szCs w:val="21"/>
                <w:highlight w:val="none"/>
              </w:rPr>
            </w:pPr>
          </w:p>
        </w:tc>
        <w:tc>
          <w:tcPr>
            <w:tcW w:w="476" w:type="pct"/>
            <w:vMerge w:val="continue"/>
            <w:tcBorders>
              <w:tl2br w:val="nil"/>
              <w:tr2bl w:val="nil"/>
            </w:tcBorders>
            <w:vAlign w:val="center"/>
          </w:tcPr>
          <w:p w14:paraId="622E156A">
            <w:pPr>
              <w:jc w:val="center"/>
              <w:rPr>
                <w:sz w:val="21"/>
                <w:szCs w:val="21"/>
                <w:highlight w:val="none"/>
              </w:rPr>
            </w:pPr>
          </w:p>
        </w:tc>
        <w:tc>
          <w:tcPr>
            <w:tcW w:w="1050" w:type="pct"/>
            <w:vMerge w:val="continue"/>
            <w:tcBorders>
              <w:tl2br w:val="nil"/>
              <w:tr2bl w:val="nil"/>
            </w:tcBorders>
            <w:vAlign w:val="center"/>
          </w:tcPr>
          <w:p w14:paraId="7BA4A5BB">
            <w:pPr>
              <w:jc w:val="center"/>
              <w:rPr>
                <w:sz w:val="21"/>
                <w:szCs w:val="21"/>
                <w:highlight w:val="none"/>
              </w:rPr>
            </w:pPr>
          </w:p>
        </w:tc>
        <w:tc>
          <w:tcPr>
            <w:tcW w:w="444" w:type="pct"/>
            <w:tcBorders>
              <w:tl2br w:val="nil"/>
              <w:tr2bl w:val="nil"/>
            </w:tcBorders>
            <w:vAlign w:val="center"/>
          </w:tcPr>
          <w:p w14:paraId="56274A24">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NW</w:t>
            </w:r>
          </w:p>
        </w:tc>
        <w:tc>
          <w:tcPr>
            <w:tcW w:w="574" w:type="pct"/>
            <w:tcBorders>
              <w:tl2br w:val="nil"/>
              <w:tr2bl w:val="nil"/>
            </w:tcBorders>
            <w:vAlign w:val="center"/>
          </w:tcPr>
          <w:p w14:paraId="72F75CC3">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1050m</w:t>
            </w:r>
          </w:p>
        </w:tc>
      </w:tr>
      <w:tr w14:paraId="5314983C">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029D311E">
            <w:pPr>
              <w:jc w:val="center"/>
              <w:rPr>
                <w:rFonts w:hint="eastAsia" w:eastAsia="宋体"/>
                <w:sz w:val="21"/>
                <w:szCs w:val="21"/>
                <w:highlight w:val="none"/>
                <w:lang w:val="en-US" w:eastAsia="zh-CN"/>
              </w:rPr>
            </w:pPr>
          </w:p>
        </w:tc>
        <w:tc>
          <w:tcPr>
            <w:tcW w:w="390" w:type="pct"/>
            <w:tcBorders>
              <w:tl2br w:val="nil"/>
              <w:tr2bl w:val="nil"/>
            </w:tcBorders>
            <w:vAlign w:val="center"/>
          </w:tcPr>
          <w:p w14:paraId="5D4F5D8E">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宏隆花园</w:t>
            </w:r>
          </w:p>
        </w:tc>
        <w:tc>
          <w:tcPr>
            <w:tcW w:w="625" w:type="pct"/>
            <w:tcBorders>
              <w:tl2br w:val="nil"/>
              <w:tr2bl w:val="nil"/>
            </w:tcBorders>
            <w:vAlign w:val="center"/>
          </w:tcPr>
          <w:p w14:paraId="4BCCD2A8">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131.140194</w:t>
            </w:r>
          </w:p>
        </w:tc>
        <w:tc>
          <w:tcPr>
            <w:tcW w:w="598" w:type="pct"/>
            <w:tcBorders>
              <w:tl2br w:val="nil"/>
              <w:tr2bl w:val="nil"/>
            </w:tcBorders>
            <w:vAlign w:val="center"/>
          </w:tcPr>
          <w:p w14:paraId="04D796A2">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44.406393</w:t>
            </w:r>
          </w:p>
        </w:tc>
        <w:tc>
          <w:tcPr>
            <w:tcW w:w="450" w:type="pct"/>
            <w:vMerge w:val="continue"/>
            <w:tcBorders>
              <w:tl2br w:val="nil"/>
              <w:tr2bl w:val="nil"/>
            </w:tcBorders>
            <w:vAlign w:val="center"/>
          </w:tcPr>
          <w:p w14:paraId="3FB31D07">
            <w:pPr>
              <w:jc w:val="center"/>
              <w:rPr>
                <w:sz w:val="21"/>
                <w:szCs w:val="21"/>
                <w:highlight w:val="none"/>
              </w:rPr>
            </w:pPr>
          </w:p>
        </w:tc>
        <w:tc>
          <w:tcPr>
            <w:tcW w:w="476" w:type="pct"/>
            <w:vMerge w:val="continue"/>
            <w:tcBorders>
              <w:tl2br w:val="nil"/>
              <w:tr2bl w:val="nil"/>
            </w:tcBorders>
            <w:vAlign w:val="center"/>
          </w:tcPr>
          <w:p w14:paraId="0695A36F">
            <w:pPr>
              <w:jc w:val="center"/>
              <w:rPr>
                <w:sz w:val="21"/>
                <w:szCs w:val="21"/>
                <w:highlight w:val="none"/>
              </w:rPr>
            </w:pPr>
          </w:p>
        </w:tc>
        <w:tc>
          <w:tcPr>
            <w:tcW w:w="1050" w:type="pct"/>
            <w:vMerge w:val="continue"/>
            <w:tcBorders>
              <w:tl2br w:val="nil"/>
              <w:tr2bl w:val="nil"/>
            </w:tcBorders>
            <w:vAlign w:val="center"/>
          </w:tcPr>
          <w:p w14:paraId="3E4FFE9A">
            <w:pPr>
              <w:jc w:val="center"/>
              <w:rPr>
                <w:sz w:val="21"/>
                <w:szCs w:val="21"/>
                <w:highlight w:val="none"/>
              </w:rPr>
            </w:pPr>
          </w:p>
        </w:tc>
        <w:tc>
          <w:tcPr>
            <w:tcW w:w="444" w:type="pct"/>
            <w:tcBorders>
              <w:tl2br w:val="nil"/>
              <w:tr2bl w:val="nil"/>
            </w:tcBorders>
            <w:vAlign w:val="center"/>
          </w:tcPr>
          <w:p w14:paraId="3AF70A1E">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w:t>
            </w:r>
          </w:p>
        </w:tc>
        <w:tc>
          <w:tcPr>
            <w:tcW w:w="574" w:type="pct"/>
            <w:tcBorders>
              <w:tl2br w:val="nil"/>
              <w:tr2bl w:val="nil"/>
            </w:tcBorders>
            <w:vAlign w:val="center"/>
          </w:tcPr>
          <w:p w14:paraId="15619C23">
            <w:pPr>
              <w:jc w:val="both"/>
              <w:rPr>
                <w:rFonts w:hint="default"/>
                <w:sz w:val="21"/>
                <w:szCs w:val="21"/>
                <w:highlight w:val="none"/>
                <w:lang w:val="en-US" w:eastAsia="zh-CN"/>
              </w:rPr>
            </w:pPr>
            <w:r>
              <w:rPr>
                <w:rFonts w:hint="eastAsia"/>
                <w:sz w:val="21"/>
                <w:szCs w:val="21"/>
                <w:highlight w:val="none"/>
                <w:lang w:val="en-US" w:eastAsia="zh-CN"/>
              </w:rPr>
              <w:t>600m</w:t>
            </w:r>
          </w:p>
        </w:tc>
      </w:tr>
      <w:tr w14:paraId="283E2F1C">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4080A52B">
            <w:pPr>
              <w:jc w:val="center"/>
              <w:rPr>
                <w:rFonts w:hint="eastAsia" w:eastAsia="宋体"/>
                <w:sz w:val="21"/>
                <w:szCs w:val="21"/>
                <w:highlight w:val="none"/>
                <w:lang w:val="en-US" w:eastAsia="zh-CN"/>
              </w:rPr>
            </w:pPr>
          </w:p>
        </w:tc>
        <w:tc>
          <w:tcPr>
            <w:tcW w:w="390" w:type="pct"/>
            <w:tcBorders>
              <w:tl2br w:val="nil"/>
              <w:tr2bl w:val="nil"/>
            </w:tcBorders>
            <w:vAlign w:val="center"/>
          </w:tcPr>
          <w:p w14:paraId="062AB263">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中福名都花园</w:t>
            </w:r>
          </w:p>
        </w:tc>
        <w:tc>
          <w:tcPr>
            <w:tcW w:w="625" w:type="pct"/>
            <w:tcBorders>
              <w:tl2br w:val="nil"/>
              <w:tr2bl w:val="nil"/>
            </w:tcBorders>
            <w:vAlign w:val="center"/>
          </w:tcPr>
          <w:p w14:paraId="3359BD39">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131.143262</w:t>
            </w:r>
          </w:p>
        </w:tc>
        <w:tc>
          <w:tcPr>
            <w:tcW w:w="598" w:type="pct"/>
            <w:tcBorders>
              <w:tl2br w:val="nil"/>
              <w:tr2bl w:val="nil"/>
            </w:tcBorders>
            <w:vAlign w:val="center"/>
          </w:tcPr>
          <w:p w14:paraId="5F373BCF">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44.406209</w:t>
            </w:r>
          </w:p>
        </w:tc>
        <w:tc>
          <w:tcPr>
            <w:tcW w:w="450" w:type="pct"/>
            <w:vMerge w:val="continue"/>
            <w:tcBorders>
              <w:tl2br w:val="nil"/>
              <w:tr2bl w:val="nil"/>
            </w:tcBorders>
            <w:vAlign w:val="center"/>
          </w:tcPr>
          <w:p w14:paraId="5F7BD8EA">
            <w:pPr>
              <w:jc w:val="center"/>
              <w:rPr>
                <w:sz w:val="21"/>
                <w:szCs w:val="21"/>
                <w:highlight w:val="none"/>
              </w:rPr>
            </w:pPr>
          </w:p>
        </w:tc>
        <w:tc>
          <w:tcPr>
            <w:tcW w:w="476" w:type="pct"/>
            <w:vMerge w:val="continue"/>
            <w:tcBorders>
              <w:tl2br w:val="nil"/>
              <w:tr2bl w:val="nil"/>
            </w:tcBorders>
            <w:vAlign w:val="center"/>
          </w:tcPr>
          <w:p w14:paraId="4A4CE2F7">
            <w:pPr>
              <w:jc w:val="center"/>
              <w:rPr>
                <w:sz w:val="21"/>
                <w:szCs w:val="21"/>
                <w:highlight w:val="none"/>
              </w:rPr>
            </w:pPr>
          </w:p>
        </w:tc>
        <w:tc>
          <w:tcPr>
            <w:tcW w:w="1050" w:type="pct"/>
            <w:vMerge w:val="continue"/>
            <w:tcBorders>
              <w:tl2br w:val="nil"/>
              <w:tr2bl w:val="nil"/>
            </w:tcBorders>
            <w:vAlign w:val="center"/>
          </w:tcPr>
          <w:p w14:paraId="730E2FBA">
            <w:pPr>
              <w:jc w:val="center"/>
              <w:rPr>
                <w:sz w:val="21"/>
                <w:szCs w:val="21"/>
                <w:highlight w:val="none"/>
              </w:rPr>
            </w:pPr>
          </w:p>
        </w:tc>
        <w:tc>
          <w:tcPr>
            <w:tcW w:w="444" w:type="pct"/>
            <w:tcBorders>
              <w:tl2br w:val="nil"/>
              <w:tr2bl w:val="nil"/>
            </w:tcBorders>
            <w:vAlign w:val="center"/>
          </w:tcPr>
          <w:p w14:paraId="7917263A">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w:t>
            </w:r>
          </w:p>
        </w:tc>
        <w:tc>
          <w:tcPr>
            <w:tcW w:w="574" w:type="pct"/>
            <w:tcBorders>
              <w:tl2br w:val="nil"/>
              <w:tr2bl w:val="nil"/>
            </w:tcBorders>
            <w:vAlign w:val="center"/>
          </w:tcPr>
          <w:p w14:paraId="0F6CBB03">
            <w:pPr>
              <w:jc w:val="both"/>
              <w:rPr>
                <w:rFonts w:hint="default"/>
                <w:sz w:val="21"/>
                <w:szCs w:val="21"/>
                <w:highlight w:val="none"/>
                <w:lang w:val="en-US" w:eastAsia="zh-CN"/>
              </w:rPr>
            </w:pPr>
            <w:r>
              <w:rPr>
                <w:rFonts w:hint="eastAsia"/>
                <w:sz w:val="21"/>
                <w:szCs w:val="21"/>
                <w:highlight w:val="none"/>
                <w:lang w:val="en-US" w:eastAsia="zh-CN"/>
              </w:rPr>
              <w:t>400m</w:t>
            </w:r>
          </w:p>
        </w:tc>
      </w:tr>
      <w:tr w14:paraId="52D3748C">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5A6AC4E1">
            <w:pPr>
              <w:jc w:val="center"/>
              <w:rPr>
                <w:rFonts w:hint="eastAsia" w:eastAsia="宋体"/>
                <w:sz w:val="21"/>
                <w:szCs w:val="21"/>
                <w:highlight w:val="none"/>
                <w:lang w:val="en-US" w:eastAsia="zh-CN"/>
              </w:rPr>
            </w:pPr>
          </w:p>
        </w:tc>
        <w:tc>
          <w:tcPr>
            <w:tcW w:w="390" w:type="pct"/>
            <w:tcBorders>
              <w:tl2br w:val="nil"/>
              <w:tr2bl w:val="nil"/>
            </w:tcBorders>
            <w:vAlign w:val="center"/>
          </w:tcPr>
          <w:p w14:paraId="6B28FBC8">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康健花园</w:t>
            </w:r>
          </w:p>
        </w:tc>
        <w:tc>
          <w:tcPr>
            <w:tcW w:w="625" w:type="pct"/>
            <w:tcBorders>
              <w:tl2br w:val="nil"/>
              <w:tr2bl w:val="nil"/>
            </w:tcBorders>
            <w:vAlign w:val="center"/>
          </w:tcPr>
          <w:p w14:paraId="61FAC43B">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131.161931</w:t>
            </w:r>
          </w:p>
        </w:tc>
        <w:tc>
          <w:tcPr>
            <w:tcW w:w="598" w:type="pct"/>
            <w:tcBorders>
              <w:tl2br w:val="nil"/>
              <w:tr2bl w:val="nil"/>
            </w:tcBorders>
            <w:vAlign w:val="center"/>
          </w:tcPr>
          <w:p w14:paraId="7A289EA0">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44.398912</w:t>
            </w:r>
          </w:p>
        </w:tc>
        <w:tc>
          <w:tcPr>
            <w:tcW w:w="450" w:type="pct"/>
            <w:vMerge w:val="continue"/>
            <w:tcBorders>
              <w:tl2br w:val="nil"/>
              <w:tr2bl w:val="nil"/>
            </w:tcBorders>
            <w:vAlign w:val="center"/>
          </w:tcPr>
          <w:p w14:paraId="1B6DE1E5">
            <w:pPr>
              <w:jc w:val="center"/>
              <w:rPr>
                <w:sz w:val="21"/>
                <w:szCs w:val="21"/>
                <w:highlight w:val="none"/>
              </w:rPr>
            </w:pPr>
          </w:p>
        </w:tc>
        <w:tc>
          <w:tcPr>
            <w:tcW w:w="476" w:type="pct"/>
            <w:vMerge w:val="continue"/>
            <w:tcBorders>
              <w:tl2br w:val="nil"/>
              <w:tr2bl w:val="nil"/>
            </w:tcBorders>
            <w:vAlign w:val="center"/>
          </w:tcPr>
          <w:p w14:paraId="46153A73">
            <w:pPr>
              <w:jc w:val="center"/>
              <w:rPr>
                <w:sz w:val="21"/>
                <w:szCs w:val="21"/>
                <w:highlight w:val="none"/>
              </w:rPr>
            </w:pPr>
          </w:p>
        </w:tc>
        <w:tc>
          <w:tcPr>
            <w:tcW w:w="1050" w:type="pct"/>
            <w:vMerge w:val="continue"/>
            <w:tcBorders>
              <w:tl2br w:val="nil"/>
              <w:tr2bl w:val="nil"/>
            </w:tcBorders>
            <w:vAlign w:val="center"/>
          </w:tcPr>
          <w:p w14:paraId="3CBC537F">
            <w:pPr>
              <w:jc w:val="center"/>
              <w:rPr>
                <w:sz w:val="21"/>
                <w:szCs w:val="21"/>
                <w:highlight w:val="none"/>
              </w:rPr>
            </w:pPr>
          </w:p>
        </w:tc>
        <w:tc>
          <w:tcPr>
            <w:tcW w:w="444" w:type="pct"/>
            <w:tcBorders>
              <w:tl2br w:val="nil"/>
              <w:tr2bl w:val="nil"/>
            </w:tcBorders>
            <w:vAlign w:val="center"/>
          </w:tcPr>
          <w:p w14:paraId="0E92B9D8">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SE</w:t>
            </w:r>
          </w:p>
        </w:tc>
        <w:tc>
          <w:tcPr>
            <w:tcW w:w="574" w:type="pct"/>
            <w:tcBorders>
              <w:tl2br w:val="nil"/>
              <w:tr2bl w:val="nil"/>
            </w:tcBorders>
            <w:vAlign w:val="center"/>
          </w:tcPr>
          <w:p w14:paraId="6C7B7465">
            <w:pPr>
              <w:jc w:val="both"/>
              <w:rPr>
                <w:rFonts w:hint="default"/>
                <w:sz w:val="21"/>
                <w:szCs w:val="21"/>
                <w:highlight w:val="none"/>
                <w:lang w:val="en-US" w:eastAsia="zh-CN"/>
              </w:rPr>
            </w:pPr>
            <w:r>
              <w:rPr>
                <w:rFonts w:hint="eastAsia"/>
                <w:sz w:val="21"/>
                <w:szCs w:val="21"/>
                <w:highlight w:val="none"/>
                <w:lang w:val="en-US" w:eastAsia="zh-CN"/>
              </w:rPr>
              <w:t>1500m</w:t>
            </w:r>
          </w:p>
        </w:tc>
      </w:tr>
      <w:tr w14:paraId="153DD906">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13694902">
            <w:pPr>
              <w:jc w:val="center"/>
              <w:rPr>
                <w:rFonts w:hint="eastAsia" w:eastAsia="宋体"/>
                <w:sz w:val="21"/>
                <w:szCs w:val="21"/>
                <w:highlight w:val="none"/>
                <w:lang w:val="en-US" w:eastAsia="zh-CN"/>
              </w:rPr>
            </w:pPr>
          </w:p>
        </w:tc>
        <w:tc>
          <w:tcPr>
            <w:tcW w:w="390" w:type="pct"/>
            <w:tcBorders>
              <w:tl2br w:val="nil"/>
              <w:tr2bl w:val="nil"/>
            </w:tcBorders>
            <w:vAlign w:val="center"/>
          </w:tcPr>
          <w:p w14:paraId="753F7F73">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海融安居里</w:t>
            </w:r>
          </w:p>
        </w:tc>
        <w:tc>
          <w:tcPr>
            <w:tcW w:w="625" w:type="pct"/>
            <w:tcBorders>
              <w:tl2br w:val="nil"/>
              <w:tr2bl w:val="nil"/>
            </w:tcBorders>
            <w:vAlign w:val="center"/>
          </w:tcPr>
          <w:p w14:paraId="1AA812E6">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131.164892</w:t>
            </w:r>
          </w:p>
        </w:tc>
        <w:tc>
          <w:tcPr>
            <w:tcW w:w="598" w:type="pct"/>
            <w:tcBorders>
              <w:tl2br w:val="nil"/>
              <w:tr2bl w:val="nil"/>
            </w:tcBorders>
            <w:vAlign w:val="center"/>
          </w:tcPr>
          <w:p w14:paraId="60701AA2">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44.399648</w:t>
            </w:r>
          </w:p>
        </w:tc>
        <w:tc>
          <w:tcPr>
            <w:tcW w:w="450" w:type="pct"/>
            <w:vMerge w:val="continue"/>
            <w:tcBorders>
              <w:tl2br w:val="nil"/>
              <w:tr2bl w:val="nil"/>
            </w:tcBorders>
            <w:vAlign w:val="center"/>
          </w:tcPr>
          <w:p w14:paraId="04F4981D">
            <w:pPr>
              <w:jc w:val="center"/>
              <w:rPr>
                <w:sz w:val="21"/>
                <w:szCs w:val="21"/>
                <w:highlight w:val="none"/>
              </w:rPr>
            </w:pPr>
          </w:p>
        </w:tc>
        <w:tc>
          <w:tcPr>
            <w:tcW w:w="476" w:type="pct"/>
            <w:vMerge w:val="continue"/>
            <w:tcBorders>
              <w:tl2br w:val="nil"/>
              <w:tr2bl w:val="nil"/>
            </w:tcBorders>
            <w:vAlign w:val="center"/>
          </w:tcPr>
          <w:p w14:paraId="235C3CB4">
            <w:pPr>
              <w:jc w:val="center"/>
              <w:rPr>
                <w:sz w:val="21"/>
                <w:szCs w:val="21"/>
                <w:highlight w:val="none"/>
              </w:rPr>
            </w:pPr>
          </w:p>
        </w:tc>
        <w:tc>
          <w:tcPr>
            <w:tcW w:w="1050" w:type="pct"/>
            <w:vMerge w:val="continue"/>
            <w:tcBorders>
              <w:tl2br w:val="nil"/>
              <w:tr2bl w:val="nil"/>
            </w:tcBorders>
            <w:vAlign w:val="center"/>
          </w:tcPr>
          <w:p w14:paraId="4FE1AF94">
            <w:pPr>
              <w:jc w:val="center"/>
              <w:rPr>
                <w:sz w:val="21"/>
                <w:szCs w:val="21"/>
                <w:highlight w:val="none"/>
              </w:rPr>
            </w:pPr>
          </w:p>
        </w:tc>
        <w:tc>
          <w:tcPr>
            <w:tcW w:w="444" w:type="pct"/>
            <w:tcBorders>
              <w:tl2br w:val="nil"/>
              <w:tr2bl w:val="nil"/>
            </w:tcBorders>
            <w:vAlign w:val="center"/>
          </w:tcPr>
          <w:p w14:paraId="5F80B85A">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SE</w:t>
            </w:r>
          </w:p>
        </w:tc>
        <w:tc>
          <w:tcPr>
            <w:tcW w:w="574" w:type="pct"/>
            <w:tcBorders>
              <w:tl2br w:val="nil"/>
              <w:tr2bl w:val="nil"/>
            </w:tcBorders>
            <w:vAlign w:val="center"/>
          </w:tcPr>
          <w:p w14:paraId="5FC5076F">
            <w:pPr>
              <w:jc w:val="both"/>
              <w:rPr>
                <w:rFonts w:hint="default"/>
                <w:sz w:val="21"/>
                <w:szCs w:val="21"/>
                <w:highlight w:val="none"/>
                <w:lang w:val="en-US" w:eastAsia="zh-CN"/>
              </w:rPr>
            </w:pPr>
            <w:r>
              <w:rPr>
                <w:rFonts w:hint="eastAsia"/>
                <w:sz w:val="21"/>
                <w:szCs w:val="21"/>
                <w:highlight w:val="none"/>
                <w:lang w:val="en-US" w:eastAsia="zh-CN"/>
              </w:rPr>
              <w:t>1600m</w:t>
            </w:r>
          </w:p>
        </w:tc>
      </w:tr>
      <w:tr w14:paraId="65F95A3F">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37CD2200">
            <w:pPr>
              <w:jc w:val="center"/>
              <w:rPr>
                <w:rFonts w:hint="eastAsia" w:eastAsia="宋体"/>
                <w:sz w:val="21"/>
                <w:szCs w:val="21"/>
                <w:highlight w:val="none"/>
                <w:lang w:val="en-US" w:eastAsia="zh-CN"/>
              </w:rPr>
            </w:pPr>
          </w:p>
        </w:tc>
        <w:tc>
          <w:tcPr>
            <w:tcW w:w="390" w:type="pct"/>
            <w:tcBorders>
              <w:tl2br w:val="nil"/>
              <w:tr2bl w:val="nil"/>
            </w:tcBorders>
            <w:vAlign w:val="center"/>
          </w:tcPr>
          <w:p w14:paraId="58AC6318">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海融富华苑</w:t>
            </w:r>
          </w:p>
        </w:tc>
        <w:tc>
          <w:tcPr>
            <w:tcW w:w="625" w:type="pct"/>
            <w:tcBorders>
              <w:tl2br w:val="nil"/>
              <w:tr2bl w:val="nil"/>
            </w:tcBorders>
            <w:vAlign w:val="center"/>
          </w:tcPr>
          <w:p w14:paraId="0544D9A8">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131.123457</w:t>
            </w:r>
          </w:p>
        </w:tc>
        <w:tc>
          <w:tcPr>
            <w:tcW w:w="598" w:type="pct"/>
            <w:tcBorders>
              <w:tl2br w:val="nil"/>
              <w:tr2bl w:val="nil"/>
            </w:tcBorders>
            <w:vAlign w:val="center"/>
          </w:tcPr>
          <w:p w14:paraId="190D47BD">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44.395554</w:t>
            </w:r>
          </w:p>
        </w:tc>
        <w:tc>
          <w:tcPr>
            <w:tcW w:w="450" w:type="pct"/>
            <w:vMerge w:val="continue"/>
            <w:tcBorders>
              <w:tl2br w:val="nil"/>
              <w:tr2bl w:val="nil"/>
            </w:tcBorders>
            <w:vAlign w:val="center"/>
          </w:tcPr>
          <w:p w14:paraId="1A3E05F5">
            <w:pPr>
              <w:jc w:val="center"/>
              <w:rPr>
                <w:sz w:val="21"/>
                <w:szCs w:val="21"/>
                <w:highlight w:val="none"/>
              </w:rPr>
            </w:pPr>
          </w:p>
        </w:tc>
        <w:tc>
          <w:tcPr>
            <w:tcW w:w="476" w:type="pct"/>
            <w:vMerge w:val="continue"/>
            <w:tcBorders>
              <w:tl2br w:val="nil"/>
              <w:tr2bl w:val="nil"/>
            </w:tcBorders>
            <w:vAlign w:val="center"/>
          </w:tcPr>
          <w:p w14:paraId="4A6A6D67">
            <w:pPr>
              <w:jc w:val="center"/>
              <w:rPr>
                <w:sz w:val="21"/>
                <w:szCs w:val="21"/>
                <w:highlight w:val="none"/>
              </w:rPr>
            </w:pPr>
          </w:p>
        </w:tc>
        <w:tc>
          <w:tcPr>
            <w:tcW w:w="1050" w:type="pct"/>
            <w:vMerge w:val="continue"/>
            <w:tcBorders>
              <w:tl2br w:val="nil"/>
              <w:tr2bl w:val="nil"/>
            </w:tcBorders>
            <w:vAlign w:val="center"/>
          </w:tcPr>
          <w:p w14:paraId="09C1DE8D">
            <w:pPr>
              <w:jc w:val="center"/>
              <w:rPr>
                <w:sz w:val="21"/>
                <w:szCs w:val="21"/>
                <w:highlight w:val="none"/>
              </w:rPr>
            </w:pPr>
          </w:p>
        </w:tc>
        <w:tc>
          <w:tcPr>
            <w:tcW w:w="444" w:type="pct"/>
            <w:tcBorders>
              <w:tl2br w:val="nil"/>
              <w:tr2bl w:val="nil"/>
            </w:tcBorders>
            <w:vAlign w:val="center"/>
          </w:tcPr>
          <w:p w14:paraId="70F23440">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w:t>
            </w:r>
          </w:p>
        </w:tc>
        <w:tc>
          <w:tcPr>
            <w:tcW w:w="574" w:type="pct"/>
            <w:tcBorders>
              <w:tl2br w:val="nil"/>
              <w:tr2bl w:val="nil"/>
            </w:tcBorders>
            <w:vAlign w:val="center"/>
          </w:tcPr>
          <w:p w14:paraId="1F5B01F3">
            <w:pPr>
              <w:jc w:val="both"/>
              <w:rPr>
                <w:rFonts w:hint="default"/>
                <w:sz w:val="21"/>
                <w:szCs w:val="21"/>
                <w:highlight w:val="none"/>
                <w:lang w:val="en-US" w:eastAsia="zh-CN"/>
              </w:rPr>
            </w:pPr>
            <w:r>
              <w:rPr>
                <w:rFonts w:hint="eastAsia"/>
                <w:sz w:val="21"/>
                <w:szCs w:val="21"/>
                <w:highlight w:val="none"/>
                <w:lang w:val="en-US" w:eastAsia="zh-CN"/>
              </w:rPr>
              <w:t>2100m</w:t>
            </w:r>
          </w:p>
        </w:tc>
      </w:tr>
      <w:tr w14:paraId="3A0579C7">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57C5AD98">
            <w:pPr>
              <w:jc w:val="center"/>
              <w:rPr>
                <w:rFonts w:hint="eastAsia" w:eastAsia="宋体"/>
                <w:sz w:val="21"/>
                <w:szCs w:val="21"/>
                <w:highlight w:val="none"/>
                <w:lang w:val="en-US" w:eastAsia="zh-CN"/>
              </w:rPr>
            </w:pPr>
          </w:p>
        </w:tc>
        <w:tc>
          <w:tcPr>
            <w:tcW w:w="390" w:type="pct"/>
            <w:tcBorders>
              <w:tl2br w:val="nil"/>
              <w:tr2bl w:val="nil"/>
            </w:tcBorders>
            <w:vAlign w:val="center"/>
          </w:tcPr>
          <w:p w14:paraId="3190B7D9">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好景园小区</w:t>
            </w:r>
          </w:p>
        </w:tc>
        <w:tc>
          <w:tcPr>
            <w:tcW w:w="625" w:type="pct"/>
            <w:tcBorders>
              <w:tl2br w:val="nil"/>
              <w:tr2bl w:val="nil"/>
            </w:tcBorders>
            <w:vAlign w:val="center"/>
          </w:tcPr>
          <w:p w14:paraId="3FF9A734">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131.131010</w:t>
            </w:r>
          </w:p>
        </w:tc>
        <w:tc>
          <w:tcPr>
            <w:tcW w:w="598" w:type="pct"/>
            <w:tcBorders>
              <w:tl2br w:val="nil"/>
              <w:tr2bl w:val="nil"/>
            </w:tcBorders>
            <w:vAlign w:val="center"/>
          </w:tcPr>
          <w:p w14:paraId="2496A382">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44.395339</w:t>
            </w:r>
          </w:p>
        </w:tc>
        <w:tc>
          <w:tcPr>
            <w:tcW w:w="450" w:type="pct"/>
            <w:vMerge w:val="continue"/>
            <w:tcBorders>
              <w:tl2br w:val="nil"/>
              <w:tr2bl w:val="nil"/>
            </w:tcBorders>
            <w:vAlign w:val="center"/>
          </w:tcPr>
          <w:p w14:paraId="2976FB55">
            <w:pPr>
              <w:jc w:val="center"/>
              <w:rPr>
                <w:sz w:val="21"/>
                <w:szCs w:val="21"/>
                <w:highlight w:val="none"/>
              </w:rPr>
            </w:pPr>
          </w:p>
        </w:tc>
        <w:tc>
          <w:tcPr>
            <w:tcW w:w="476" w:type="pct"/>
            <w:vMerge w:val="continue"/>
            <w:tcBorders>
              <w:tl2br w:val="nil"/>
              <w:tr2bl w:val="nil"/>
            </w:tcBorders>
            <w:vAlign w:val="center"/>
          </w:tcPr>
          <w:p w14:paraId="49945D10">
            <w:pPr>
              <w:jc w:val="center"/>
              <w:rPr>
                <w:sz w:val="21"/>
                <w:szCs w:val="21"/>
                <w:highlight w:val="none"/>
              </w:rPr>
            </w:pPr>
          </w:p>
        </w:tc>
        <w:tc>
          <w:tcPr>
            <w:tcW w:w="1050" w:type="pct"/>
            <w:vMerge w:val="continue"/>
            <w:tcBorders>
              <w:tl2br w:val="nil"/>
              <w:tr2bl w:val="nil"/>
            </w:tcBorders>
            <w:vAlign w:val="center"/>
          </w:tcPr>
          <w:p w14:paraId="132FFF50">
            <w:pPr>
              <w:jc w:val="center"/>
              <w:rPr>
                <w:sz w:val="21"/>
                <w:szCs w:val="21"/>
                <w:highlight w:val="none"/>
              </w:rPr>
            </w:pPr>
          </w:p>
        </w:tc>
        <w:tc>
          <w:tcPr>
            <w:tcW w:w="444" w:type="pct"/>
            <w:tcBorders>
              <w:tl2br w:val="nil"/>
              <w:tr2bl w:val="nil"/>
            </w:tcBorders>
            <w:vAlign w:val="center"/>
          </w:tcPr>
          <w:p w14:paraId="3733402D">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w:t>
            </w:r>
          </w:p>
        </w:tc>
        <w:tc>
          <w:tcPr>
            <w:tcW w:w="574" w:type="pct"/>
            <w:tcBorders>
              <w:tl2br w:val="nil"/>
              <w:tr2bl w:val="nil"/>
            </w:tcBorders>
            <w:vAlign w:val="center"/>
          </w:tcPr>
          <w:p w14:paraId="5ACFF3F0">
            <w:pPr>
              <w:jc w:val="both"/>
              <w:rPr>
                <w:rFonts w:hint="default"/>
                <w:sz w:val="21"/>
                <w:szCs w:val="21"/>
                <w:highlight w:val="none"/>
                <w:lang w:val="en-US" w:eastAsia="zh-CN"/>
              </w:rPr>
            </w:pPr>
            <w:r>
              <w:rPr>
                <w:rFonts w:hint="eastAsia"/>
                <w:sz w:val="21"/>
                <w:szCs w:val="21"/>
                <w:highlight w:val="none"/>
                <w:lang w:val="en-US" w:eastAsia="zh-CN"/>
              </w:rPr>
              <w:t>2000m</w:t>
            </w:r>
          </w:p>
        </w:tc>
      </w:tr>
      <w:tr w14:paraId="5CDF6051">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48C13AA1">
            <w:pPr>
              <w:jc w:val="center"/>
              <w:rPr>
                <w:rFonts w:hint="eastAsia" w:eastAsia="宋体"/>
                <w:sz w:val="21"/>
                <w:szCs w:val="21"/>
                <w:highlight w:val="none"/>
                <w:lang w:val="en-US" w:eastAsia="zh-CN"/>
              </w:rPr>
            </w:pPr>
          </w:p>
        </w:tc>
        <w:tc>
          <w:tcPr>
            <w:tcW w:w="390" w:type="pct"/>
            <w:tcBorders>
              <w:tl2br w:val="nil"/>
              <w:tr2bl w:val="nil"/>
            </w:tcBorders>
            <w:vAlign w:val="center"/>
          </w:tcPr>
          <w:p w14:paraId="63A6C743">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旗苑家园</w:t>
            </w:r>
          </w:p>
        </w:tc>
        <w:tc>
          <w:tcPr>
            <w:tcW w:w="625" w:type="pct"/>
            <w:tcBorders>
              <w:tl2br w:val="nil"/>
              <w:tr2bl w:val="nil"/>
            </w:tcBorders>
            <w:vAlign w:val="center"/>
          </w:tcPr>
          <w:p w14:paraId="1984B716">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131.136246</w:t>
            </w:r>
          </w:p>
        </w:tc>
        <w:tc>
          <w:tcPr>
            <w:tcW w:w="598" w:type="pct"/>
            <w:tcBorders>
              <w:tl2br w:val="nil"/>
              <w:tr2bl w:val="nil"/>
            </w:tcBorders>
            <w:vAlign w:val="center"/>
          </w:tcPr>
          <w:p w14:paraId="561741B0">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44.394297</w:t>
            </w:r>
          </w:p>
        </w:tc>
        <w:tc>
          <w:tcPr>
            <w:tcW w:w="450" w:type="pct"/>
            <w:vMerge w:val="continue"/>
            <w:tcBorders>
              <w:tl2br w:val="nil"/>
              <w:tr2bl w:val="nil"/>
            </w:tcBorders>
            <w:vAlign w:val="center"/>
          </w:tcPr>
          <w:p w14:paraId="7B596062">
            <w:pPr>
              <w:jc w:val="center"/>
              <w:rPr>
                <w:sz w:val="21"/>
                <w:szCs w:val="21"/>
                <w:highlight w:val="none"/>
              </w:rPr>
            </w:pPr>
          </w:p>
        </w:tc>
        <w:tc>
          <w:tcPr>
            <w:tcW w:w="476" w:type="pct"/>
            <w:vMerge w:val="continue"/>
            <w:tcBorders>
              <w:tl2br w:val="nil"/>
              <w:tr2bl w:val="nil"/>
            </w:tcBorders>
            <w:vAlign w:val="center"/>
          </w:tcPr>
          <w:p w14:paraId="3B25AD1E">
            <w:pPr>
              <w:jc w:val="center"/>
              <w:rPr>
                <w:sz w:val="21"/>
                <w:szCs w:val="21"/>
                <w:highlight w:val="none"/>
              </w:rPr>
            </w:pPr>
          </w:p>
        </w:tc>
        <w:tc>
          <w:tcPr>
            <w:tcW w:w="1050" w:type="pct"/>
            <w:vMerge w:val="continue"/>
            <w:tcBorders>
              <w:tl2br w:val="nil"/>
              <w:tr2bl w:val="nil"/>
            </w:tcBorders>
            <w:vAlign w:val="center"/>
          </w:tcPr>
          <w:p w14:paraId="4F88316B">
            <w:pPr>
              <w:jc w:val="center"/>
              <w:rPr>
                <w:sz w:val="21"/>
                <w:szCs w:val="21"/>
                <w:highlight w:val="none"/>
              </w:rPr>
            </w:pPr>
          </w:p>
        </w:tc>
        <w:tc>
          <w:tcPr>
            <w:tcW w:w="444" w:type="pct"/>
            <w:tcBorders>
              <w:tl2br w:val="nil"/>
              <w:tr2bl w:val="nil"/>
            </w:tcBorders>
            <w:vAlign w:val="center"/>
          </w:tcPr>
          <w:p w14:paraId="1C3BE2B5">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w:t>
            </w:r>
          </w:p>
        </w:tc>
        <w:tc>
          <w:tcPr>
            <w:tcW w:w="574" w:type="pct"/>
            <w:tcBorders>
              <w:tl2br w:val="nil"/>
              <w:tr2bl w:val="nil"/>
            </w:tcBorders>
            <w:vAlign w:val="center"/>
          </w:tcPr>
          <w:p w14:paraId="140B52E8">
            <w:pPr>
              <w:jc w:val="both"/>
              <w:rPr>
                <w:rFonts w:hint="default"/>
                <w:sz w:val="21"/>
                <w:szCs w:val="21"/>
                <w:highlight w:val="none"/>
                <w:lang w:val="en-US" w:eastAsia="zh-CN"/>
              </w:rPr>
            </w:pPr>
            <w:r>
              <w:rPr>
                <w:rFonts w:hint="eastAsia"/>
                <w:sz w:val="21"/>
                <w:szCs w:val="21"/>
                <w:highlight w:val="none"/>
                <w:lang w:val="en-US" w:eastAsia="zh-CN"/>
              </w:rPr>
              <w:t>1900m</w:t>
            </w:r>
          </w:p>
        </w:tc>
      </w:tr>
      <w:tr w14:paraId="3FBD310C">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5002B860">
            <w:pPr>
              <w:jc w:val="center"/>
              <w:rPr>
                <w:rFonts w:hint="eastAsia" w:eastAsia="宋体"/>
                <w:sz w:val="21"/>
                <w:szCs w:val="21"/>
                <w:highlight w:val="none"/>
                <w:lang w:val="en-US" w:eastAsia="zh-CN"/>
              </w:rPr>
            </w:pPr>
          </w:p>
        </w:tc>
        <w:tc>
          <w:tcPr>
            <w:tcW w:w="390" w:type="pct"/>
            <w:tcBorders>
              <w:tl2br w:val="nil"/>
              <w:tr2bl w:val="nil"/>
            </w:tcBorders>
            <w:vAlign w:val="center"/>
          </w:tcPr>
          <w:p w14:paraId="15D08C77">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兴达家园</w:t>
            </w:r>
          </w:p>
        </w:tc>
        <w:tc>
          <w:tcPr>
            <w:tcW w:w="625" w:type="pct"/>
            <w:tcBorders>
              <w:tl2br w:val="nil"/>
              <w:tr2bl w:val="nil"/>
            </w:tcBorders>
            <w:vAlign w:val="center"/>
          </w:tcPr>
          <w:p w14:paraId="540CCFFD">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131.145215</w:t>
            </w:r>
          </w:p>
        </w:tc>
        <w:tc>
          <w:tcPr>
            <w:tcW w:w="598" w:type="pct"/>
            <w:tcBorders>
              <w:tl2br w:val="nil"/>
              <w:tr2bl w:val="nil"/>
            </w:tcBorders>
            <w:vAlign w:val="center"/>
          </w:tcPr>
          <w:p w14:paraId="4F0D0CFE">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44.392089</w:t>
            </w:r>
          </w:p>
        </w:tc>
        <w:tc>
          <w:tcPr>
            <w:tcW w:w="450" w:type="pct"/>
            <w:vMerge w:val="continue"/>
            <w:tcBorders>
              <w:tl2br w:val="nil"/>
              <w:tr2bl w:val="nil"/>
            </w:tcBorders>
            <w:vAlign w:val="center"/>
          </w:tcPr>
          <w:p w14:paraId="4BC0E747">
            <w:pPr>
              <w:jc w:val="center"/>
              <w:rPr>
                <w:sz w:val="21"/>
                <w:szCs w:val="21"/>
                <w:highlight w:val="none"/>
              </w:rPr>
            </w:pPr>
          </w:p>
        </w:tc>
        <w:tc>
          <w:tcPr>
            <w:tcW w:w="476" w:type="pct"/>
            <w:vMerge w:val="continue"/>
            <w:tcBorders>
              <w:tl2br w:val="nil"/>
              <w:tr2bl w:val="nil"/>
            </w:tcBorders>
            <w:vAlign w:val="center"/>
          </w:tcPr>
          <w:p w14:paraId="21E13FDD">
            <w:pPr>
              <w:jc w:val="center"/>
              <w:rPr>
                <w:sz w:val="21"/>
                <w:szCs w:val="21"/>
                <w:highlight w:val="none"/>
              </w:rPr>
            </w:pPr>
          </w:p>
        </w:tc>
        <w:tc>
          <w:tcPr>
            <w:tcW w:w="1050" w:type="pct"/>
            <w:vMerge w:val="continue"/>
            <w:tcBorders>
              <w:tl2br w:val="nil"/>
              <w:tr2bl w:val="nil"/>
            </w:tcBorders>
            <w:vAlign w:val="center"/>
          </w:tcPr>
          <w:p w14:paraId="66DB26A6">
            <w:pPr>
              <w:jc w:val="center"/>
              <w:rPr>
                <w:sz w:val="21"/>
                <w:szCs w:val="21"/>
                <w:highlight w:val="none"/>
              </w:rPr>
            </w:pPr>
          </w:p>
        </w:tc>
        <w:tc>
          <w:tcPr>
            <w:tcW w:w="444" w:type="pct"/>
            <w:tcBorders>
              <w:tl2br w:val="nil"/>
              <w:tr2bl w:val="nil"/>
            </w:tcBorders>
            <w:vAlign w:val="center"/>
          </w:tcPr>
          <w:p w14:paraId="7F3A8CFF">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t>
            </w:r>
          </w:p>
        </w:tc>
        <w:tc>
          <w:tcPr>
            <w:tcW w:w="574" w:type="pct"/>
            <w:tcBorders>
              <w:tl2br w:val="nil"/>
              <w:tr2bl w:val="nil"/>
            </w:tcBorders>
            <w:vAlign w:val="center"/>
          </w:tcPr>
          <w:p w14:paraId="52292284">
            <w:pPr>
              <w:jc w:val="both"/>
              <w:rPr>
                <w:rFonts w:hint="default"/>
                <w:sz w:val="21"/>
                <w:szCs w:val="21"/>
                <w:highlight w:val="none"/>
                <w:lang w:val="en-US" w:eastAsia="zh-CN"/>
              </w:rPr>
            </w:pPr>
            <w:r>
              <w:rPr>
                <w:rFonts w:hint="eastAsia"/>
                <w:sz w:val="21"/>
                <w:szCs w:val="21"/>
                <w:highlight w:val="none"/>
                <w:lang w:val="en-US" w:eastAsia="zh-CN"/>
              </w:rPr>
              <w:t>1700m</w:t>
            </w:r>
          </w:p>
        </w:tc>
      </w:tr>
      <w:tr w14:paraId="66961759">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7C1A04ED">
            <w:pPr>
              <w:jc w:val="center"/>
              <w:rPr>
                <w:rFonts w:hint="eastAsia" w:eastAsia="宋体"/>
                <w:sz w:val="21"/>
                <w:szCs w:val="21"/>
                <w:highlight w:val="none"/>
                <w:lang w:val="en-US" w:eastAsia="zh-CN"/>
              </w:rPr>
            </w:pPr>
          </w:p>
        </w:tc>
        <w:tc>
          <w:tcPr>
            <w:tcW w:w="390" w:type="pct"/>
            <w:tcBorders>
              <w:tl2br w:val="nil"/>
              <w:tr2bl w:val="nil"/>
            </w:tcBorders>
            <w:vAlign w:val="center"/>
          </w:tcPr>
          <w:p w14:paraId="46FB33D2">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协会大厦</w:t>
            </w:r>
          </w:p>
        </w:tc>
        <w:tc>
          <w:tcPr>
            <w:tcW w:w="625" w:type="pct"/>
            <w:tcBorders>
              <w:tl2br w:val="nil"/>
              <w:tr2bl w:val="nil"/>
            </w:tcBorders>
            <w:vAlign w:val="center"/>
          </w:tcPr>
          <w:p w14:paraId="6AC39CD5">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131.147854</w:t>
            </w:r>
          </w:p>
        </w:tc>
        <w:tc>
          <w:tcPr>
            <w:tcW w:w="598" w:type="pct"/>
            <w:tcBorders>
              <w:tl2br w:val="nil"/>
              <w:tr2bl w:val="nil"/>
            </w:tcBorders>
            <w:vAlign w:val="center"/>
          </w:tcPr>
          <w:p w14:paraId="44A9BE08">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44.407642</w:t>
            </w:r>
          </w:p>
        </w:tc>
        <w:tc>
          <w:tcPr>
            <w:tcW w:w="450" w:type="pct"/>
            <w:vMerge w:val="continue"/>
            <w:tcBorders>
              <w:tl2br w:val="nil"/>
              <w:tr2bl w:val="nil"/>
            </w:tcBorders>
            <w:vAlign w:val="center"/>
          </w:tcPr>
          <w:p w14:paraId="6D8F22E4">
            <w:pPr>
              <w:jc w:val="center"/>
              <w:rPr>
                <w:sz w:val="21"/>
                <w:szCs w:val="21"/>
                <w:highlight w:val="none"/>
              </w:rPr>
            </w:pPr>
          </w:p>
        </w:tc>
        <w:tc>
          <w:tcPr>
            <w:tcW w:w="476" w:type="pct"/>
            <w:vMerge w:val="continue"/>
            <w:tcBorders>
              <w:tl2br w:val="nil"/>
              <w:tr2bl w:val="nil"/>
            </w:tcBorders>
            <w:vAlign w:val="center"/>
          </w:tcPr>
          <w:p w14:paraId="4B7DB021">
            <w:pPr>
              <w:jc w:val="center"/>
              <w:rPr>
                <w:sz w:val="21"/>
                <w:szCs w:val="21"/>
                <w:highlight w:val="none"/>
              </w:rPr>
            </w:pPr>
          </w:p>
        </w:tc>
        <w:tc>
          <w:tcPr>
            <w:tcW w:w="1050" w:type="pct"/>
            <w:vMerge w:val="continue"/>
            <w:tcBorders>
              <w:tl2br w:val="nil"/>
              <w:tr2bl w:val="nil"/>
            </w:tcBorders>
            <w:vAlign w:val="center"/>
          </w:tcPr>
          <w:p w14:paraId="63ECD7B4">
            <w:pPr>
              <w:jc w:val="center"/>
              <w:rPr>
                <w:sz w:val="21"/>
                <w:szCs w:val="21"/>
                <w:highlight w:val="none"/>
              </w:rPr>
            </w:pPr>
          </w:p>
        </w:tc>
        <w:tc>
          <w:tcPr>
            <w:tcW w:w="444" w:type="pct"/>
            <w:tcBorders>
              <w:tl2br w:val="nil"/>
              <w:tr2bl w:val="nil"/>
            </w:tcBorders>
            <w:vAlign w:val="center"/>
          </w:tcPr>
          <w:p w14:paraId="07973388">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t>
            </w:r>
          </w:p>
        </w:tc>
        <w:tc>
          <w:tcPr>
            <w:tcW w:w="574" w:type="pct"/>
            <w:tcBorders>
              <w:tl2br w:val="nil"/>
              <w:tr2bl w:val="nil"/>
            </w:tcBorders>
            <w:vAlign w:val="center"/>
          </w:tcPr>
          <w:p w14:paraId="21C67472">
            <w:pPr>
              <w:jc w:val="both"/>
              <w:rPr>
                <w:rFonts w:hint="default"/>
                <w:sz w:val="21"/>
                <w:szCs w:val="21"/>
                <w:highlight w:val="none"/>
                <w:lang w:val="en-US" w:eastAsia="zh-CN"/>
              </w:rPr>
            </w:pPr>
            <w:r>
              <w:rPr>
                <w:rFonts w:hint="eastAsia"/>
                <w:sz w:val="21"/>
                <w:szCs w:val="21"/>
                <w:highlight w:val="none"/>
                <w:lang w:val="en-US" w:eastAsia="zh-CN"/>
              </w:rPr>
              <w:t>120m</w:t>
            </w:r>
          </w:p>
        </w:tc>
      </w:tr>
      <w:tr w14:paraId="3FE9C8FF">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65AA4153">
            <w:pPr>
              <w:jc w:val="center"/>
              <w:rPr>
                <w:rFonts w:hint="eastAsia" w:eastAsia="宋体"/>
                <w:sz w:val="21"/>
                <w:szCs w:val="21"/>
                <w:highlight w:val="none"/>
                <w:lang w:val="en-US" w:eastAsia="zh-CN"/>
              </w:rPr>
            </w:pPr>
          </w:p>
        </w:tc>
        <w:tc>
          <w:tcPr>
            <w:tcW w:w="390" w:type="pct"/>
            <w:tcBorders>
              <w:tl2br w:val="nil"/>
              <w:tr2bl w:val="nil"/>
            </w:tcBorders>
            <w:vAlign w:val="center"/>
          </w:tcPr>
          <w:p w14:paraId="08FAC7D8">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数码港宾馆</w:t>
            </w:r>
          </w:p>
        </w:tc>
        <w:tc>
          <w:tcPr>
            <w:tcW w:w="625" w:type="pct"/>
            <w:tcBorders>
              <w:tl2br w:val="nil"/>
              <w:tr2bl w:val="nil"/>
            </w:tcBorders>
            <w:vAlign w:val="center"/>
          </w:tcPr>
          <w:p w14:paraId="44C24D40">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131.149635</w:t>
            </w:r>
          </w:p>
        </w:tc>
        <w:tc>
          <w:tcPr>
            <w:tcW w:w="598" w:type="pct"/>
            <w:tcBorders>
              <w:tl2br w:val="nil"/>
              <w:tr2bl w:val="nil"/>
            </w:tcBorders>
            <w:vAlign w:val="center"/>
          </w:tcPr>
          <w:p w14:paraId="1074E932">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44.407175</w:t>
            </w:r>
          </w:p>
        </w:tc>
        <w:tc>
          <w:tcPr>
            <w:tcW w:w="450" w:type="pct"/>
            <w:vMerge w:val="continue"/>
            <w:tcBorders>
              <w:tl2br w:val="nil"/>
              <w:tr2bl w:val="nil"/>
            </w:tcBorders>
            <w:vAlign w:val="center"/>
          </w:tcPr>
          <w:p w14:paraId="0B1DC032">
            <w:pPr>
              <w:jc w:val="center"/>
              <w:rPr>
                <w:sz w:val="21"/>
                <w:szCs w:val="21"/>
                <w:highlight w:val="none"/>
              </w:rPr>
            </w:pPr>
          </w:p>
        </w:tc>
        <w:tc>
          <w:tcPr>
            <w:tcW w:w="476" w:type="pct"/>
            <w:vMerge w:val="continue"/>
            <w:tcBorders>
              <w:tl2br w:val="nil"/>
              <w:tr2bl w:val="nil"/>
            </w:tcBorders>
            <w:vAlign w:val="center"/>
          </w:tcPr>
          <w:p w14:paraId="4DAAA551">
            <w:pPr>
              <w:jc w:val="center"/>
              <w:rPr>
                <w:sz w:val="21"/>
                <w:szCs w:val="21"/>
                <w:highlight w:val="none"/>
              </w:rPr>
            </w:pPr>
          </w:p>
        </w:tc>
        <w:tc>
          <w:tcPr>
            <w:tcW w:w="1050" w:type="pct"/>
            <w:vMerge w:val="continue"/>
            <w:tcBorders>
              <w:tl2br w:val="nil"/>
              <w:tr2bl w:val="nil"/>
            </w:tcBorders>
            <w:vAlign w:val="center"/>
          </w:tcPr>
          <w:p w14:paraId="477BA1FD">
            <w:pPr>
              <w:jc w:val="center"/>
              <w:rPr>
                <w:sz w:val="21"/>
                <w:szCs w:val="21"/>
                <w:highlight w:val="none"/>
              </w:rPr>
            </w:pPr>
          </w:p>
        </w:tc>
        <w:tc>
          <w:tcPr>
            <w:tcW w:w="444" w:type="pct"/>
            <w:tcBorders>
              <w:tl2br w:val="nil"/>
              <w:tr2bl w:val="nil"/>
            </w:tcBorders>
            <w:vAlign w:val="center"/>
          </w:tcPr>
          <w:p w14:paraId="3400E6B2">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SE</w:t>
            </w:r>
          </w:p>
        </w:tc>
        <w:tc>
          <w:tcPr>
            <w:tcW w:w="574" w:type="pct"/>
            <w:tcBorders>
              <w:tl2br w:val="nil"/>
              <w:tr2bl w:val="nil"/>
            </w:tcBorders>
            <w:vAlign w:val="center"/>
          </w:tcPr>
          <w:p w14:paraId="43EC9438">
            <w:pPr>
              <w:jc w:val="both"/>
              <w:rPr>
                <w:rFonts w:hint="default"/>
                <w:sz w:val="21"/>
                <w:szCs w:val="21"/>
                <w:highlight w:val="none"/>
                <w:lang w:val="en-US" w:eastAsia="zh-CN"/>
              </w:rPr>
            </w:pPr>
            <w:r>
              <w:rPr>
                <w:rFonts w:hint="eastAsia"/>
                <w:sz w:val="21"/>
                <w:szCs w:val="21"/>
                <w:highlight w:val="none"/>
                <w:lang w:val="en-US" w:eastAsia="zh-CN"/>
              </w:rPr>
              <w:t>190m</w:t>
            </w:r>
          </w:p>
        </w:tc>
      </w:tr>
      <w:tr w14:paraId="3E77D87A">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38DFC2D2">
            <w:pPr>
              <w:jc w:val="center"/>
              <w:rPr>
                <w:rFonts w:hint="eastAsia" w:eastAsia="宋体"/>
                <w:sz w:val="21"/>
                <w:szCs w:val="21"/>
                <w:highlight w:val="none"/>
                <w:lang w:val="en-US" w:eastAsia="zh-CN"/>
              </w:rPr>
            </w:pPr>
          </w:p>
        </w:tc>
        <w:tc>
          <w:tcPr>
            <w:tcW w:w="390" w:type="pct"/>
            <w:tcBorders>
              <w:tl2br w:val="nil"/>
              <w:tr2bl w:val="nil"/>
            </w:tcBorders>
            <w:vAlign w:val="center"/>
          </w:tcPr>
          <w:p w14:paraId="30BBE6B6">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山水国际</w:t>
            </w:r>
          </w:p>
        </w:tc>
        <w:tc>
          <w:tcPr>
            <w:tcW w:w="625" w:type="pct"/>
            <w:tcBorders>
              <w:tl2br w:val="nil"/>
              <w:tr2bl w:val="nil"/>
            </w:tcBorders>
            <w:vAlign w:val="center"/>
          </w:tcPr>
          <w:p w14:paraId="23380A09">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131.152377</w:t>
            </w:r>
          </w:p>
        </w:tc>
        <w:tc>
          <w:tcPr>
            <w:tcW w:w="598" w:type="pct"/>
            <w:tcBorders>
              <w:tl2br w:val="nil"/>
              <w:tr2bl w:val="nil"/>
            </w:tcBorders>
            <w:vAlign w:val="center"/>
          </w:tcPr>
          <w:p w14:paraId="4A6162B1">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44.407090</w:t>
            </w:r>
          </w:p>
        </w:tc>
        <w:tc>
          <w:tcPr>
            <w:tcW w:w="450" w:type="pct"/>
            <w:vMerge w:val="continue"/>
            <w:tcBorders>
              <w:tl2br w:val="nil"/>
              <w:tr2bl w:val="nil"/>
            </w:tcBorders>
            <w:vAlign w:val="center"/>
          </w:tcPr>
          <w:p w14:paraId="53288C47">
            <w:pPr>
              <w:jc w:val="center"/>
              <w:rPr>
                <w:sz w:val="21"/>
                <w:szCs w:val="21"/>
                <w:highlight w:val="none"/>
              </w:rPr>
            </w:pPr>
          </w:p>
        </w:tc>
        <w:tc>
          <w:tcPr>
            <w:tcW w:w="476" w:type="pct"/>
            <w:vMerge w:val="continue"/>
            <w:tcBorders>
              <w:tl2br w:val="nil"/>
              <w:tr2bl w:val="nil"/>
            </w:tcBorders>
            <w:vAlign w:val="center"/>
          </w:tcPr>
          <w:p w14:paraId="211261CD">
            <w:pPr>
              <w:jc w:val="center"/>
              <w:rPr>
                <w:sz w:val="21"/>
                <w:szCs w:val="21"/>
                <w:highlight w:val="none"/>
              </w:rPr>
            </w:pPr>
          </w:p>
        </w:tc>
        <w:tc>
          <w:tcPr>
            <w:tcW w:w="1050" w:type="pct"/>
            <w:vMerge w:val="continue"/>
            <w:tcBorders>
              <w:tl2br w:val="nil"/>
              <w:tr2bl w:val="nil"/>
            </w:tcBorders>
            <w:vAlign w:val="center"/>
          </w:tcPr>
          <w:p w14:paraId="65E8055D">
            <w:pPr>
              <w:jc w:val="center"/>
              <w:rPr>
                <w:sz w:val="21"/>
                <w:szCs w:val="21"/>
                <w:highlight w:val="none"/>
              </w:rPr>
            </w:pPr>
          </w:p>
        </w:tc>
        <w:tc>
          <w:tcPr>
            <w:tcW w:w="444" w:type="pct"/>
            <w:tcBorders>
              <w:tl2br w:val="nil"/>
              <w:tr2bl w:val="nil"/>
            </w:tcBorders>
            <w:vAlign w:val="center"/>
          </w:tcPr>
          <w:p w14:paraId="27182754">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SE</w:t>
            </w:r>
          </w:p>
        </w:tc>
        <w:tc>
          <w:tcPr>
            <w:tcW w:w="574" w:type="pct"/>
            <w:tcBorders>
              <w:tl2br w:val="nil"/>
              <w:tr2bl w:val="nil"/>
            </w:tcBorders>
            <w:vAlign w:val="center"/>
          </w:tcPr>
          <w:p w14:paraId="7148F0D6">
            <w:pPr>
              <w:jc w:val="both"/>
              <w:rPr>
                <w:rFonts w:hint="default"/>
                <w:sz w:val="21"/>
                <w:szCs w:val="21"/>
                <w:highlight w:val="none"/>
                <w:lang w:val="en-US" w:eastAsia="zh-CN"/>
              </w:rPr>
            </w:pPr>
            <w:r>
              <w:rPr>
                <w:rFonts w:hint="eastAsia"/>
                <w:sz w:val="21"/>
                <w:szCs w:val="21"/>
                <w:highlight w:val="none"/>
                <w:lang w:val="en-US" w:eastAsia="zh-CN"/>
              </w:rPr>
              <w:t>380m</w:t>
            </w:r>
          </w:p>
        </w:tc>
      </w:tr>
      <w:tr w14:paraId="75D85516">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06F5D01B">
            <w:pPr>
              <w:jc w:val="center"/>
              <w:rPr>
                <w:rFonts w:hint="eastAsia" w:eastAsia="宋体"/>
                <w:sz w:val="21"/>
                <w:szCs w:val="21"/>
                <w:highlight w:val="none"/>
                <w:lang w:val="en-US" w:eastAsia="zh-CN"/>
              </w:rPr>
            </w:pPr>
          </w:p>
        </w:tc>
        <w:tc>
          <w:tcPr>
            <w:tcW w:w="390" w:type="pct"/>
            <w:tcBorders>
              <w:tl2br w:val="nil"/>
              <w:tr2bl w:val="nil"/>
            </w:tcBorders>
            <w:vAlign w:val="center"/>
          </w:tcPr>
          <w:p w14:paraId="3A65FBD5">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湖畔花园小区</w:t>
            </w:r>
          </w:p>
        </w:tc>
        <w:tc>
          <w:tcPr>
            <w:tcW w:w="625" w:type="pct"/>
            <w:tcBorders>
              <w:tl2br w:val="nil"/>
              <w:tr2bl w:val="nil"/>
            </w:tcBorders>
            <w:vAlign w:val="center"/>
          </w:tcPr>
          <w:p w14:paraId="62ACDD6D">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131.152167</w:t>
            </w:r>
          </w:p>
        </w:tc>
        <w:tc>
          <w:tcPr>
            <w:tcW w:w="598" w:type="pct"/>
            <w:tcBorders>
              <w:tl2br w:val="nil"/>
              <w:tr2bl w:val="nil"/>
            </w:tcBorders>
            <w:vAlign w:val="center"/>
          </w:tcPr>
          <w:p w14:paraId="79F3DF07">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44.402790</w:t>
            </w:r>
          </w:p>
        </w:tc>
        <w:tc>
          <w:tcPr>
            <w:tcW w:w="450" w:type="pct"/>
            <w:vMerge w:val="continue"/>
            <w:tcBorders>
              <w:tl2br w:val="nil"/>
              <w:tr2bl w:val="nil"/>
            </w:tcBorders>
            <w:vAlign w:val="center"/>
          </w:tcPr>
          <w:p w14:paraId="78604CA1">
            <w:pPr>
              <w:jc w:val="center"/>
              <w:rPr>
                <w:sz w:val="21"/>
                <w:szCs w:val="21"/>
                <w:highlight w:val="none"/>
              </w:rPr>
            </w:pPr>
          </w:p>
        </w:tc>
        <w:tc>
          <w:tcPr>
            <w:tcW w:w="476" w:type="pct"/>
            <w:vMerge w:val="continue"/>
            <w:tcBorders>
              <w:tl2br w:val="nil"/>
              <w:tr2bl w:val="nil"/>
            </w:tcBorders>
            <w:vAlign w:val="center"/>
          </w:tcPr>
          <w:p w14:paraId="7D233A5B">
            <w:pPr>
              <w:jc w:val="center"/>
              <w:rPr>
                <w:sz w:val="21"/>
                <w:szCs w:val="21"/>
                <w:highlight w:val="none"/>
              </w:rPr>
            </w:pPr>
          </w:p>
        </w:tc>
        <w:tc>
          <w:tcPr>
            <w:tcW w:w="1050" w:type="pct"/>
            <w:vMerge w:val="continue"/>
            <w:tcBorders>
              <w:tl2br w:val="nil"/>
              <w:tr2bl w:val="nil"/>
            </w:tcBorders>
            <w:vAlign w:val="center"/>
          </w:tcPr>
          <w:p w14:paraId="5A00C2B9">
            <w:pPr>
              <w:jc w:val="center"/>
              <w:rPr>
                <w:sz w:val="21"/>
                <w:szCs w:val="21"/>
                <w:highlight w:val="none"/>
              </w:rPr>
            </w:pPr>
          </w:p>
        </w:tc>
        <w:tc>
          <w:tcPr>
            <w:tcW w:w="444" w:type="pct"/>
            <w:tcBorders>
              <w:tl2br w:val="nil"/>
              <w:tr2bl w:val="nil"/>
            </w:tcBorders>
            <w:vAlign w:val="center"/>
          </w:tcPr>
          <w:p w14:paraId="155DB509">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SE</w:t>
            </w:r>
          </w:p>
        </w:tc>
        <w:tc>
          <w:tcPr>
            <w:tcW w:w="574" w:type="pct"/>
            <w:tcBorders>
              <w:tl2br w:val="nil"/>
              <w:tr2bl w:val="nil"/>
            </w:tcBorders>
            <w:vAlign w:val="center"/>
          </w:tcPr>
          <w:p w14:paraId="22D81565">
            <w:pPr>
              <w:jc w:val="both"/>
              <w:rPr>
                <w:rFonts w:hint="default"/>
                <w:sz w:val="21"/>
                <w:szCs w:val="21"/>
                <w:highlight w:val="none"/>
                <w:lang w:val="en-US" w:eastAsia="zh-CN"/>
              </w:rPr>
            </w:pPr>
            <w:r>
              <w:rPr>
                <w:rFonts w:hint="eastAsia"/>
                <w:sz w:val="21"/>
                <w:szCs w:val="21"/>
                <w:highlight w:val="none"/>
                <w:lang w:val="en-US" w:eastAsia="zh-CN"/>
              </w:rPr>
              <w:t>720m</w:t>
            </w:r>
          </w:p>
        </w:tc>
      </w:tr>
      <w:tr w14:paraId="2D0193FE">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49430D40">
            <w:pPr>
              <w:jc w:val="center"/>
              <w:rPr>
                <w:rFonts w:hint="eastAsia" w:eastAsia="宋体"/>
                <w:sz w:val="21"/>
                <w:szCs w:val="21"/>
                <w:highlight w:val="none"/>
                <w:lang w:val="en-US" w:eastAsia="zh-CN"/>
              </w:rPr>
            </w:pPr>
          </w:p>
        </w:tc>
        <w:tc>
          <w:tcPr>
            <w:tcW w:w="390" w:type="pct"/>
            <w:tcBorders>
              <w:tl2br w:val="nil"/>
              <w:tr2bl w:val="nil"/>
            </w:tcBorders>
            <w:vAlign w:val="center"/>
          </w:tcPr>
          <w:p w14:paraId="4FC23612">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湖滨小区</w:t>
            </w:r>
          </w:p>
        </w:tc>
        <w:tc>
          <w:tcPr>
            <w:tcW w:w="625" w:type="pct"/>
            <w:tcBorders>
              <w:tl2br w:val="nil"/>
              <w:tr2bl w:val="nil"/>
            </w:tcBorders>
            <w:vAlign w:val="center"/>
          </w:tcPr>
          <w:p w14:paraId="51AB4E10">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131.151438</w:t>
            </w:r>
          </w:p>
        </w:tc>
        <w:tc>
          <w:tcPr>
            <w:tcW w:w="598" w:type="pct"/>
            <w:tcBorders>
              <w:tl2br w:val="nil"/>
              <w:tr2bl w:val="nil"/>
            </w:tcBorders>
            <w:vAlign w:val="center"/>
          </w:tcPr>
          <w:p w14:paraId="2B4E58EB">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44.401763</w:t>
            </w:r>
          </w:p>
        </w:tc>
        <w:tc>
          <w:tcPr>
            <w:tcW w:w="450" w:type="pct"/>
            <w:vMerge w:val="continue"/>
            <w:tcBorders>
              <w:tl2br w:val="nil"/>
              <w:tr2bl w:val="nil"/>
            </w:tcBorders>
            <w:vAlign w:val="center"/>
          </w:tcPr>
          <w:p w14:paraId="01A4B797">
            <w:pPr>
              <w:jc w:val="center"/>
              <w:rPr>
                <w:sz w:val="21"/>
                <w:szCs w:val="21"/>
                <w:highlight w:val="none"/>
              </w:rPr>
            </w:pPr>
          </w:p>
        </w:tc>
        <w:tc>
          <w:tcPr>
            <w:tcW w:w="476" w:type="pct"/>
            <w:vMerge w:val="continue"/>
            <w:tcBorders>
              <w:tl2br w:val="nil"/>
              <w:tr2bl w:val="nil"/>
            </w:tcBorders>
            <w:vAlign w:val="center"/>
          </w:tcPr>
          <w:p w14:paraId="0A314BF6">
            <w:pPr>
              <w:jc w:val="center"/>
              <w:rPr>
                <w:sz w:val="21"/>
                <w:szCs w:val="21"/>
                <w:highlight w:val="none"/>
              </w:rPr>
            </w:pPr>
          </w:p>
        </w:tc>
        <w:tc>
          <w:tcPr>
            <w:tcW w:w="1050" w:type="pct"/>
            <w:vMerge w:val="continue"/>
            <w:tcBorders>
              <w:tl2br w:val="nil"/>
              <w:tr2bl w:val="nil"/>
            </w:tcBorders>
            <w:vAlign w:val="center"/>
          </w:tcPr>
          <w:p w14:paraId="0D0488A8">
            <w:pPr>
              <w:jc w:val="center"/>
              <w:rPr>
                <w:sz w:val="21"/>
                <w:szCs w:val="21"/>
                <w:highlight w:val="none"/>
              </w:rPr>
            </w:pPr>
          </w:p>
        </w:tc>
        <w:tc>
          <w:tcPr>
            <w:tcW w:w="444" w:type="pct"/>
            <w:tcBorders>
              <w:tl2br w:val="nil"/>
              <w:tr2bl w:val="nil"/>
            </w:tcBorders>
            <w:vAlign w:val="center"/>
          </w:tcPr>
          <w:p w14:paraId="72FAC40C">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SE</w:t>
            </w:r>
          </w:p>
        </w:tc>
        <w:tc>
          <w:tcPr>
            <w:tcW w:w="574" w:type="pct"/>
            <w:tcBorders>
              <w:tl2br w:val="nil"/>
              <w:tr2bl w:val="nil"/>
            </w:tcBorders>
            <w:vAlign w:val="center"/>
          </w:tcPr>
          <w:p w14:paraId="2CA32BF5">
            <w:pPr>
              <w:jc w:val="both"/>
              <w:rPr>
                <w:rFonts w:hint="default"/>
                <w:sz w:val="21"/>
                <w:szCs w:val="21"/>
                <w:highlight w:val="none"/>
                <w:lang w:val="en-US" w:eastAsia="zh-CN"/>
              </w:rPr>
            </w:pPr>
            <w:r>
              <w:rPr>
                <w:rFonts w:hint="eastAsia"/>
                <w:sz w:val="21"/>
                <w:szCs w:val="21"/>
                <w:highlight w:val="none"/>
                <w:lang w:val="en-US" w:eastAsia="zh-CN"/>
              </w:rPr>
              <w:t>810m</w:t>
            </w:r>
          </w:p>
        </w:tc>
      </w:tr>
      <w:tr w14:paraId="68A58494">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01BAC9BD">
            <w:pPr>
              <w:jc w:val="center"/>
              <w:rPr>
                <w:rFonts w:hint="eastAsia" w:eastAsia="宋体"/>
                <w:sz w:val="21"/>
                <w:szCs w:val="21"/>
                <w:highlight w:val="none"/>
                <w:lang w:val="en-US" w:eastAsia="zh-CN"/>
              </w:rPr>
            </w:pPr>
          </w:p>
        </w:tc>
        <w:tc>
          <w:tcPr>
            <w:tcW w:w="390" w:type="pct"/>
            <w:tcBorders>
              <w:tl2br w:val="nil"/>
              <w:tr2bl w:val="nil"/>
            </w:tcBorders>
            <w:vAlign w:val="center"/>
          </w:tcPr>
          <w:p w14:paraId="3A600FE3">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吉祥小区</w:t>
            </w:r>
          </w:p>
        </w:tc>
        <w:tc>
          <w:tcPr>
            <w:tcW w:w="625" w:type="pct"/>
            <w:tcBorders>
              <w:tl2br w:val="nil"/>
              <w:tr2bl w:val="nil"/>
            </w:tcBorders>
            <w:vAlign w:val="center"/>
          </w:tcPr>
          <w:p w14:paraId="4CAE8E73">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131.153347</w:t>
            </w:r>
          </w:p>
        </w:tc>
        <w:tc>
          <w:tcPr>
            <w:tcW w:w="598" w:type="pct"/>
            <w:tcBorders>
              <w:tl2br w:val="nil"/>
              <w:tr2bl w:val="nil"/>
            </w:tcBorders>
            <w:vAlign w:val="center"/>
          </w:tcPr>
          <w:p w14:paraId="077D146A">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44.400046</w:t>
            </w:r>
          </w:p>
        </w:tc>
        <w:tc>
          <w:tcPr>
            <w:tcW w:w="450" w:type="pct"/>
            <w:vMerge w:val="continue"/>
            <w:tcBorders>
              <w:tl2br w:val="nil"/>
              <w:tr2bl w:val="nil"/>
            </w:tcBorders>
            <w:vAlign w:val="center"/>
          </w:tcPr>
          <w:p w14:paraId="49474241">
            <w:pPr>
              <w:jc w:val="center"/>
              <w:rPr>
                <w:sz w:val="21"/>
                <w:szCs w:val="21"/>
                <w:highlight w:val="none"/>
              </w:rPr>
            </w:pPr>
          </w:p>
        </w:tc>
        <w:tc>
          <w:tcPr>
            <w:tcW w:w="476" w:type="pct"/>
            <w:vMerge w:val="continue"/>
            <w:tcBorders>
              <w:tl2br w:val="nil"/>
              <w:tr2bl w:val="nil"/>
            </w:tcBorders>
            <w:vAlign w:val="center"/>
          </w:tcPr>
          <w:p w14:paraId="5CC55811">
            <w:pPr>
              <w:jc w:val="center"/>
              <w:rPr>
                <w:sz w:val="21"/>
                <w:szCs w:val="21"/>
                <w:highlight w:val="none"/>
              </w:rPr>
            </w:pPr>
          </w:p>
        </w:tc>
        <w:tc>
          <w:tcPr>
            <w:tcW w:w="1050" w:type="pct"/>
            <w:vMerge w:val="continue"/>
            <w:tcBorders>
              <w:tl2br w:val="nil"/>
              <w:tr2bl w:val="nil"/>
            </w:tcBorders>
            <w:vAlign w:val="center"/>
          </w:tcPr>
          <w:p w14:paraId="2B006763">
            <w:pPr>
              <w:jc w:val="center"/>
              <w:rPr>
                <w:sz w:val="21"/>
                <w:szCs w:val="21"/>
                <w:highlight w:val="none"/>
              </w:rPr>
            </w:pPr>
          </w:p>
        </w:tc>
        <w:tc>
          <w:tcPr>
            <w:tcW w:w="444" w:type="pct"/>
            <w:tcBorders>
              <w:tl2br w:val="nil"/>
              <w:tr2bl w:val="nil"/>
            </w:tcBorders>
            <w:vAlign w:val="center"/>
          </w:tcPr>
          <w:p w14:paraId="2B9CF408">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SE</w:t>
            </w:r>
          </w:p>
        </w:tc>
        <w:tc>
          <w:tcPr>
            <w:tcW w:w="574" w:type="pct"/>
            <w:tcBorders>
              <w:tl2br w:val="nil"/>
              <w:tr2bl w:val="nil"/>
            </w:tcBorders>
            <w:vAlign w:val="center"/>
          </w:tcPr>
          <w:p w14:paraId="4F613150">
            <w:pPr>
              <w:jc w:val="both"/>
              <w:rPr>
                <w:rFonts w:hint="default"/>
                <w:sz w:val="21"/>
                <w:szCs w:val="21"/>
                <w:highlight w:val="none"/>
                <w:lang w:val="en-US" w:eastAsia="zh-CN"/>
              </w:rPr>
            </w:pPr>
            <w:r>
              <w:rPr>
                <w:rFonts w:hint="eastAsia"/>
                <w:sz w:val="21"/>
                <w:szCs w:val="21"/>
                <w:highlight w:val="none"/>
                <w:lang w:val="en-US" w:eastAsia="zh-CN"/>
              </w:rPr>
              <w:t>950m</w:t>
            </w:r>
          </w:p>
        </w:tc>
      </w:tr>
      <w:tr w14:paraId="6B932F94">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4456863C">
            <w:pPr>
              <w:jc w:val="center"/>
              <w:rPr>
                <w:rFonts w:hint="eastAsia" w:eastAsia="宋体"/>
                <w:sz w:val="21"/>
                <w:szCs w:val="21"/>
                <w:highlight w:val="none"/>
                <w:lang w:val="en-US" w:eastAsia="zh-CN"/>
              </w:rPr>
            </w:pPr>
          </w:p>
        </w:tc>
        <w:tc>
          <w:tcPr>
            <w:tcW w:w="390" w:type="pct"/>
            <w:tcBorders>
              <w:tl2br w:val="nil"/>
              <w:tr2bl w:val="nil"/>
            </w:tcBorders>
            <w:vAlign w:val="center"/>
          </w:tcPr>
          <w:p w14:paraId="4CE1C97D">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天佑国际</w:t>
            </w:r>
          </w:p>
        </w:tc>
        <w:tc>
          <w:tcPr>
            <w:tcW w:w="625" w:type="pct"/>
            <w:tcBorders>
              <w:tl2br w:val="nil"/>
              <w:tr2bl w:val="nil"/>
            </w:tcBorders>
            <w:vAlign w:val="center"/>
          </w:tcPr>
          <w:p w14:paraId="6E7E3DE9">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131.156867</w:t>
            </w:r>
          </w:p>
        </w:tc>
        <w:tc>
          <w:tcPr>
            <w:tcW w:w="598" w:type="pct"/>
            <w:tcBorders>
              <w:tl2br w:val="nil"/>
              <w:tr2bl w:val="nil"/>
            </w:tcBorders>
            <w:vAlign w:val="center"/>
          </w:tcPr>
          <w:p w14:paraId="7822EA5A">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44.401533</w:t>
            </w:r>
          </w:p>
        </w:tc>
        <w:tc>
          <w:tcPr>
            <w:tcW w:w="450" w:type="pct"/>
            <w:vMerge w:val="continue"/>
            <w:tcBorders>
              <w:tl2br w:val="nil"/>
              <w:tr2bl w:val="nil"/>
            </w:tcBorders>
            <w:vAlign w:val="center"/>
          </w:tcPr>
          <w:p w14:paraId="545FDBA4">
            <w:pPr>
              <w:jc w:val="center"/>
              <w:rPr>
                <w:sz w:val="21"/>
                <w:szCs w:val="21"/>
                <w:highlight w:val="none"/>
              </w:rPr>
            </w:pPr>
          </w:p>
        </w:tc>
        <w:tc>
          <w:tcPr>
            <w:tcW w:w="476" w:type="pct"/>
            <w:vMerge w:val="continue"/>
            <w:tcBorders>
              <w:tl2br w:val="nil"/>
              <w:tr2bl w:val="nil"/>
            </w:tcBorders>
            <w:vAlign w:val="center"/>
          </w:tcPr>
          <w:p w14:paraId="0A4FB153">
            <w:pPr>
              <w:jc w:val="center"/>
              <w:rPr>
                <w:sz w:val="21"/>
                <w:szCs w:val="21"/>
                <w:highlight w:val="none"/>
              </w:rPr>
            </w:pPr>
          </w:p>
        </w:tc>
        <w:tc>
          <w:tcPr>
            <w:tcW w:w="1050" w:type="pct"/>
            <w:vMerge w:val="continue"/>
            <w:tcBorders>
              <w:tl2br w:val="nil"/>
              <w:tr2bl w:val="nil"/>
            </w:tcBorders>
            <w:vAlign w:val="center"/>
          </w:tcPr>
          <w:p w14:paraId="3A90FB23">
            <w:pPr>
              <w:jc w:val="center"/>
              <w:rPr>
                <w:sz w:val="21"/>
                <w:szCs w:val="21"/>
                <w:highlight w:val="none"/>
              </w:rPr>
            </w:pPr>
          </w:p>
        </w:tc>
        <w:tc>
          <w:tcPr>
            <w:tcW w:w="444" w:type="pct"/>
            <w:tcBorders>
              <w:tl2br w:val="nil"/>
              <w:tr2bl w:val="nil"/>
            </w:tcBorders>
            <w:vAlign w:val="center"/>
          </w:tcPr>
          <w:p w14:paraId="465525D5">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SE</w:t>
            </w:r>
          </w:p>
        </w:tc>
        <w:tc>
          <w:tcPr>
            <w:tcW w:w="574" w:type="pct"/>
            <w:tcBorders>
              <w:tl2br w:val="nil"/>
              <w:tr2bl w:val="nil"/>
            </w:tcBorders>
            <w:vAlign w:val="center"/>
          </w:tcPr>
          <w:p w14:paraId="464E1B8D">
            <w:pPr>
              <w:jc w:val="both"/>
              <w:rPr>
                <w:rFonts w:hint="default"/>
                <w:sz w:val="21"/>
                <w:szCs w:val="21"/>
                <w:highlight w:val="none"/>
                <w:lang w:val="en-US" w:eastAsia="zh-CN"/>
              </w:rPr>
            </w:pPr>
            <w:r>
              <w:rPr>
                <w:rFonts w:hint="eastAsia"/>
                <w:sz w:val="21"/>
                <w:szCs w:val="21"/>
                <w:highlight w:val="none"/>
                <w:lang w:val="en-US" w:eastAsia="zh-CN"/>
              </w:rPr>
              <w:t>1050m</w:t>
            </w:r>
          </w:p>
        </w:tc>
      </w:tr>
      <w:tr w14:paraId="4D7DA7A6">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19F9E770">
            <w:pPr>
              <w:jc w:val="center"/>
              <w:rPr>
                <w:rFonts w:hint="eastAsia" w:eastAsia="宋体"/>
                <w:sz w:val="21"/>
                <w:szCs w:val="21"/>
                <w:highlight w:val="none"/>
                <w:lang w:val="en-US" w:eastAsia="zh-CN"/>
              </w:rPr>
            </w:pPr>
          </w:p>
        </w:tc>
        <w:tc>
          <w:tcPr>
            <w:tcW w:w="390" w:type="pct"/>
            <w:tcBorders>
              <w:tl2br w:val="nil"/>
              <w:tr2bl w:val="nil"/>
            </w:tcBorders>
            <w:vAlign w:val="center"/>
          </w:tcPr>
          <w:p w14:paraId="04787E25">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前进社区</w:t>
            </w:r>
          </w:p>
        </w:tc>
        <w:tc>
          <w:tcPr>
            <w:tcW w:w="625" w:type="pct"/>
            <w:tcBorders>
              <w:tl2br w:val="nil"/>
              <w:tr2bl w:val="nil"/>
            </w:tcBorders>
            <w:vAlign w:val="center"/>
          </w:tcPr>
          <w:p w14:paraId="00E63781">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131.158025</w:t>
            </w:r>
          </w:p>
        </w:tc>
        <w:tc>
          <w:tcPr>
            <w:tcW w:w="598" w:type="pct"/>
            <w:tcBorders>
              <w:tl2br w:val="nil"/>
              <w:tr2bl w:val="nil"/>
            </w:tcBorders>
            <w:vAlign w:val="center"/>
          </w:tcPr>
          <w:p w14:paraId="520F6A50">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44.401886</w:t>
            </w:r>
          </w:p>
        </w:tc>
        <w:tc>
          <w:tcPr>
            <w:tcW w:w="450" w:type="pct"/>
            <w:vMerge w:val="continue"/>
            <w:tcBorders>
              <w:tl2br w:val="nil"/>
              <w:tr2bl w:val="nil"/>
            </w:tcBorders>
            <w:vAlign w:val="center"/>
          </w:tcPr>
          <w:p w14:paraId="40C30F67">
            <w:pPr>
              <w:jc w:val="center"/>
              <w:rPr>
                <w:sz w:val="21"/>
                <w:szCs w:val="21"/>
                <w:highlight w:val="none"/>
              </w:rPr>
            </w:pPr>
          </w:p>
        </w:tc>
        <w:tc>
          <w:tcPr>
            <w:tcW w:w="476" w:type="pct"/>
            <w:vMerge w:val="continue"/>
            <w:tcBorders>
              <w:tl2br w:val="nil"/>
              <w:tr2bl w:val="nil"/>
            </w:tcBorders>
            <w:vAlign w:val="center"/>
          </w:tcPr>
          <w:p w14:paraId="0A8BD82D">
            <w:pPr>
              <w:jc w:val="center"/>
              <w:rPr>
                <w:sz w:val="21"/>
                <w:szCs w:val="21"/>
                <w:highlight w:val="none"/>
              </w:rPr>
            </w:pPr>
          </w:p>
        </w:tc>
        <w:tc>
          <w:tcPr>
            <w:tcW w:w="1050" w:type="pct"/>
            <w:vMerge w:val="continue"/>
            <w:tcBorders>
              <w:tl2br w:val="nil"/>
              <w:tr2bl w:val="nil"/>
            </w:tcBorders>
            <w:vAlign w:val="center"/>
          </w:tcPr>
          <w:p w14:paraId="4D939D2C">
            <w:pPr>
              <w:jc w:val="center"/>
              <w:rPr>
                <w:sz w:val="21"/>
                <w:szCs w:val="21"/>
                <w:highlight w:val="none"/>
              </w:rPr>
            </w:pPr>
          </w:p>
        </w:tc>
        <w:tc>
          <w:tcPr>
            <w:tcW w:w="444" w:type="pct"/>
            <w:tcBorders>
              <w:tl2br w:val="nil"/>
              <w:tr2bl w:val="nil"/>
            </w:tcBorders>
            <w:vAlign w:val="center"/>
          </w:tcPr>
          <w:p w14:paraId="2D493E85">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SE</w:t>
            </w:r>
          </w:p>
        </w:tc>
        <w:tc>
          <w:tcPr>
            <w:tcW w:w="574" w:type="pct"/>
            <w:tcBorders>
              <w:tl2br w:val="nil"/>
              <w:tr2bl w:val="nil"/>
            </w:tcBorders>
            <w:vAlign w:val="center"/>
          </w:tcPr>
          <w:p w14:paraId="2731D409">
            <w:pPr>
              <w:jc w:val="both"/>
              <w:rPr>
                <w:rFonts w:hint="default"/>
                <w:sz w:val="21"/>
                <w:szCs w:val="21"/>
                <w:highlight w:val="none"/>
                <w:lang w:val="en-US" w:eastAsia="zh-CN"/>
              </w:rPr>
            </w:pPr>
            <w:r>
              <w:rPr>
                <w:rFonts w:hint="eastAsia"/>
                <w:sz w:val="21"/>
                <w:szCs w:val="21"/>
                <w:highlight w:val="none"/>
                <w:lang w:val="en-US" w:eastAsia="zh-CN"/>
              </w:rPr>
              <w:t>1020m</w:t>
            </w:r>
          </w:p>
        </w:tc>
      </w:tr>
      <w:tr w14:paraId="2DB9B9EE">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04BF833E">
            <w:pPr>
              <w:jc w:val="center"/>
              <w:rPr>
                <w:rFonts w:hint="eastAsia" w:eastAsia="宋体"/>
                <w:sz w:val="21"/>
                <w:szCs w:val="21"/>
                <w:highlight w:val="none"/>
                <w:lang w:val="en-US" w:eastAsia="zh-CN"/>
              </w:rPr>
            </w:pPr>
          </w:p>
        </w:tc>
        <w:tc>
          <w:tcPr>
            <w:tcW w:w="390" w:type="pct"/>
            <w:tcBorders>
              <w:tl2br w:val="nil"/>
              <w:tr2bl w:val="nil"/>
            </w:tcBorders>
            <w:vAlign w:val="center"/>
          </w:tcPr>
          <w:p w14:paraId="0F6B5898">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远东新天地</w:t>
            </w:r>
          </w:p>
        </w:tc>
        <w:tc>
          <w:tcPr>
            <w:tcW w:w="625" w:type="pct"/>
            <w:tcBorders>
              <w:tl2br w:val="nil"/>
              <w:tr2bl w:val="nil"/>
            </w:tcBorders>
            <w:vAlign w:val="center"/>
          </w:tcPr>
          <w:p w14:paraId="7F39417B">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131.162875</w:t>
            </w:r>
          </w:p>
        </w:tc>
        <w:tc>
          <w:tcPr>
            <w:tcW w:w="598" w:type="pct"/>
            <w:tcBorders>
              <w:tl2br w:val="nil"/>
              <w:tr2bl w:val="nil"/>
            </w:tcBorders>
            <w:vAlign w:val="center"/>
          </w:tcPr>
          <w:p w14:paraId="0EC35F8E">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44.407159</w:t>
            </w:r>
          </w:p>
        </w:tc>
        <w:tc>
          <w:tcPr>
            <w:tcW w:w="450" w:type="pct"/>
            <w:vMerge w:val="continue"/>
            <w:tcBorders>
              <w:tl2br w:val="nil"/>
              <w:tr2bl w:val="nil"/>
            </w:tcBorders>
            <w:vAlign w:val="center"/>
          </w:tcPr>
          <w:p w14:paraId="4703EFF5">
            <w:pPr>
              <w:jc w:val="center"/>
              <w:rPr>
                <w:sz w:val="21"/>
                <w:szCs w:val="21"/>
                <w:highlight w:val="none"/>
              </w:rPr>
            </w:pPr>
          </w:p>
        </w:tc>
        <w:tc>
          <w:tcPr>
            <w:tcW w:w="476" w:type="pct"/>
            <w:vMerge w:val="continue"/>
            <w:tcBorders>
              <w:tl2br w:val="nil"/>
              <w:tr2bl w:val="nil"/>
            </w:tcBorders>
            <w:vAlign w:val="center"/>
          </w:tcPr>
          <w:p w14:paraId="2325CBC9">
            <w:pPr>
              <w:jc w:val="center"/>
              <w:rPr>
                <w:sz w:val="21"/>
                <w:szCs w:val="21"/>
                <w:highlight w:val="none"/>
              </w:rPr>
            </w:pPr>
          </w:p>
        </w:tc>
        <w:tc>
          <w:tcPr>
            <w:tcW w:w="1050" w:type="pct"/>
            <w:vMerge w:val="continue"/>
            <w:tcBorders>
              <w:tl2br w:val="nil"/>
              <w:tr2bl w:val="nil"/>
            </w:tcBorders>
            <w:vAlign w:val="center"/>
          </w:tcPr>
          <w:p w14:paraId="37EC0F14">
            <w:pPr>
              <w:jc w:val="center"/>
              <w:rPr>
                <w:sz w:val="21"/>
                <w:szCs w:val="21"/>
                <w:highlight w:val="none"/>
              </w:rPr>
            </w:pPr>
          </w:p>
        </w:tc>
        <w:tc>
          <w:tcPr>
            <w:tcW w:w="444" w:type="pct"/>
            <w:tcBorders>
              <w:tl2br w:val="nil"/>
              <w:tr2bl w:val="nil"/>
            </w:tcBorders>
            <w:vAlign w:val="center"/>
          </w:tcPr>
          <w:p w14:paraId="33EE7005">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E</w:t>
            </w:r>
          </w:p>
        </w:tc>
        <w:tc>
          <w:tcPr>
            <w:tcW w:w="574" w:type="pct"/>
            <w:tcBorders>
              <w:tl2br w:val="nil"/>
              <w:tr2bl w:val="nil"/>
            </w:tcBorders>
            <w:vAlign w:val="center"/>
          </w:tcPr>
          <w:p w14:paraId="2F3F4E6A">
            <w:pPr>
              <w:jc w:val="both"/>
              <w:rPr>
                <w:rFonts w:hint="default"/>
                <w:sz w:val="21"/>
                <w:szCs w:val="21"/>
                <w:highlight w:val="none"/>
                <w:lang w:val="en-US" w:eastAsia="zh-CN"/>
              </w:rPr>
            </w:pPr>
            <w:r>
              <w:rPr>
                <w:rFonts w:hint="eastAsia"/>
                <w:sz w:val="21"/>
                <w:szCs w:val="21"/>
                <w:highlight w:val="none"/>
                <w:lang w:val="en-US" w:eastAsia="zh-CN"/>
              </w:rPr>
              <w:t>1100m</w:t>
            </w:r>
          </w:p>
        </w:tc>
      </w:tr>
      <w:tr w14:paraId="56FE13D2">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0F1D3A4B">
            <w:pPr>
              <w:jc w:val="center"/>
              <w:rPr>
                <w:rFonts w:hint="eastAsia" w:eastAsia="宋体"/>
                <w:sz w:val="21"/>
                <w:szCs w:val="21"/>
                <w:highlight w:val="none"/>
                <w:lang w:val="en-US" w:eastAsia="zh-CN"/>
              </w:rPr>
            </w:pPr>
          </w:p>
        </w:tc>
        <w:tc>
          <w:tcPr>
            <w:tcW w:w="390" w:type="pct"/>
            <w:tcBorders>
              <w:tl2br w:val="nil"/>
              <w:tr2bl w:val="nil"/>
            </w:tcBorders>
            <w:vAlign w:val="center"/>
          </w:tcPr>
          <w:p w14:paraId="3754B610">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幸福家园</w:t>
            </w:r>
          </w:p>
        </w:tc>
        <w:tc>
          <w:tcPr>
            <w:tcW w:w="625" w:type="pct"/>
            <w:tcBorders>
              <w:tl2br w:val="nil"/>
              <w:tr2bl w:val="nil"/>
            </w:tcBorders>
            <w:vAlign w:val="center"/>
          </w:tcPr>
          <w:p w14:paraId="417C9FE8">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131.162059</w:t>
            </w:r>
          </w:p>
        </w:tc>
        <w:tc>
          <w:tcPr>
            <w:tcW w:w="598" w:type="pct"/>
            <w:tcBorders>
              <w:tl2br w:val="nil"/>
              <w:tr2bl w:val="nil"/>
            </w:tcBorders>
            <w:vAlign w:val="center"/>
          </w:tcPr>
          <w:p w14:paraId="17712B9B">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44.401932</w:t>
            </w:r>
          </w:p>
        </w:tc>
        <w:tc>
          <w:tcPr>
            <w:tcW w:w="450" w:type="pct"/>
            <w:vMerge w:val="continue"/>
            <w:tcBorders>
              <w:tl2br w:val="nil"/>
              <w:tr2bl w:val="nil"/>
            </w:tcBorders>
            <w:vAlign w:val="center"/>
          </w:tcPr>
          <w:p w14:paraId="6BAC1F45">
            <w:pPr>
              <w:jc w:val="center"/>
              <w:rPr>
                <w:sz w:val="21"/>
                <w:szCs w:val="21"/>
                <w:highlight w:val="none"/>
              </w:rPr>
            </w:pPr>
          </w:p>
        </w:tc>
        <w:tc>
          <w:tcPr>
            <w:tcW w:w="476" w:type="pct"/>
            <w:vMerge w:val="continue"/>
            <w:tcBorders>
              <w:tl2br w:val="nil"/>
              <w:tr2bl w:val="nil"/>
            </w:tcBorders>
            <w:vAlign w:val="center"/>
          </w:tcPr>
          <w:p w14:paraId="655324E2">
            <w:pPr>
              <w:jc w:val="center"/>
              <w:rPr>
                <w:sz w:val="21"/>
                <w:szCs w:val="21"/>
                <w:highlight w:val="none"/>
              </w:rPr>
            </w:pPr>
          </w:p>
        </w:tc>
        <w:tc>
          <w:tcPr>
            <w:tcW w:w="1050" w:type="pct"/>
            <w:vMerge w:val="continue"/>
            <w:tcBorders>
              <w:tl2br w:val="nil"/>
              <w:tr2bl w:val="nil"/>
            </w:tcBorders>
            <w:vAlign w:val="center"/>
          </w:tcPr>
          <w:p w14:paraId="077E5748">
            <w:pPr>
              <w:jc w:val="center"/>
              <w:rPr>
                <w:sz w:val="21"/>
                <w:szCs w:val="21"/>
                <w:highlight w:val="none"/>
              </w:rPr>
            </w:pPr>
          </w:p>
        </w:tc>
        <w:tc>
          <w:tcPr>
            <w:tcW w:w="444" w:type="pct"/>
            <w:tcBorders>
              <w:tl2br w:val="nil"/>
              <w:tr2bl w:val="nil"/>
            </w:tcBorders>
            <w:vAlign w:val="center"/>
          </w:tcPr>
          <w:p w14:paraId="21FCD03F">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SE</w:t>
            </w:r>
          </w:p>
        </w:tc>
        <w:tc>
          <w:tcPr>
            <w:tcW w:w="574" w:type="pct"/>
            <w:tcBorders>
              <w:tl2br w:val="nil"/>
              <w:tr2bl w:val="nil"/>
            </w:tcBorders>
            <w:vAlign w:val="center"/>
          </w:tcPr>
          <w:p w14:paraId="31153759">
            <w:pPr>
              <w:jc w:val="both"/>
              <w:rPr>
                <w:rFonts w:hint="default"/>
                <w:sz w:val="21"/>
                <w:szCs w:val="21"/>
                <w:highlight w:val="none"/>
                <w:lang w:val="en-US" w:eastAsia="zh-CN"/>
              </w:rPr>
            </w:pPr>
            <w:r>
              <w:rPr>
                <w:rFonts w:hint="eastAsia"/>
                <w:sz w:val="21"/>
                <w:szCs w:val="21"/>
                <w:highlight w:val="none"/>
                <w:lang w:val="en-US" w:eastAsia="zh-CN"/>
              </w:rPr>
              <w:t>1200m</w:t>
            </w:r>
          </w:p>
        </w:tc>
      </w:tr>
      <w:tr w14:paraId="484E2C13">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3B8DF580">
            <w:pPr>
              <w:jc w:val="center"/>
              <w:rPr>
                <w:rFonts w:hint="eastAsia" w:eastAsia="宋体"/>
                <w:sz w:val="21"/>
                <w:szCs w:val="21"/>
                <w:highlight w:val="none"/>
                <w:lang w:val="en-US" w:eastAsia="zh-CN"/>
              </w:rPr>
            </w:pPr>
          </w:p>
        </w:tc>
        <w:tc>
          <w:tcPr>
            <w:tcW w:w="390" w:type="pct"/>
            <w:tcBorders>
              <w:tl2br w:val="nil"/>
              <w:tr2bl w:val="nil"/>
            </w:tcBorders>
            <w:vAlign w:val="center"/>
          </w:tcPr>
          <w:p w14:paraId="46EF49D6">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盛世嘉园</w:t>
            </w:r>
          </w:p>
        </w:tc>
        <w:tc>
          <w:tcPr>
            <w:tcW w:w="625" w:type="pct"/>
            <w:tcBorders>
              <w:tl2br w:val="nil"/>
              <w:tr2bl w:val="nil"/>
            </w:tcBorders>
            <w:vAlign w:val="center"/>
          </w:tcPr>
          <w:p w14:paraId="74024FFF">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131.139507</w:t>
            </w:r>
          </w:p>
        </w:tc>
        <w:tc>
          <w:tcPr>
            <w:tcW w:w="598" w:type="pct"/>
            <w:tcBorders>
              <w:tl2br w:val="nil"/>
              <w:tr2bl w:val="nil"/>
            </w:tcBorders>
            <w:vAlign w:val="center"/>
          </w:tcPr>
          <w:p w14:paraId="5BB9223D">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44.405764</w:t>
            </w:r>
          </w:p>
        </w:tc>
        <w:tc>
          <w:tcPr>
            <w:tcW w:w="450" w:type="pct"/>
            <w:vMerge w:val="continue"/>
            <w:tcBorders>
              <w:tl2br w:val="nil"/>
              <w:tr2bl w:val="nil"/>
            </w:tcBorders>
            <w:vAlign w:val="center"/>
          </w:tcPr>
          <w:p w14:paraId="6792E737">
            <w:pPr>
              <w:jc w:val="center"/>
              <w:rPr>
                <w:sz w:val="21"/>
                <w:szCs w:val="21"/>
                <w:highlight w:val="none"/>
              </w:rPr>
            </w:pPr>
          </w:p>
        </w:tc>
        <w:tc>
          <w:tcPr>
            <w:tcW w:w="476" w:type="pct"/>
            <w:vMerge w:val="continue"/>
            <w:tcBorders>
              <w:tl2br w:val="nil"/>
              <w:tr2bl w:val="nil"/>
            </w:tcBorders>
            <w:vAlign w:val="center"/>
          </w:tcPr>
          <w:p w14:paraId="5F7D017E">
            <w:pPr>
              <w:jc w:val="center"/>
              <w:rPr>
                <w:sz w:val="21"/>
                <w:szCs w:val="21"/>
                <w:highlight w:val="none"/>
              </w:rPr>
            </w:pPr>
          </w:p>
        </w:tc>
        <w:tc>
          <w:tcPr>
            <w:tcW w:w="1050" w:type="pct"/>
            <w:vMerge w:val="continue"/>
            <w:tcBorders>
              <w:tl2br w:val="nil"/>
              <w:tr2bl w:val="nil"/>
            </w:tcBorders>
            <w:vAlign w:val="center"/>
          </w:tcPr>
          <w:p w14:paraId="41100D88">
            <w:pPr>
              <w:jc w:val="center"/>
              <w:rPr>
                <w:sz w:val="21"/>
                <w:szCs w:val="21"/>
                <w:highlight w:val="none"/>
              </w:rPr>
            </w:pPr>
          </w:p>
        </w:tc>
        <w:tc>
          <w:tcPr>
            <w:tcW w:w="444" w:type="pct"/>
            <w:tcBorders>
              <w:tl2br w:val="nil"/>
              <w:tr2bl w:val="nil"/>
            </w:tcBorders>
            <w:vAlign w:val="center"/>
          </w:tcPr>
          <w:p w14:paraId="0501D9E1">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w:t>
            </w:r>
          </w:p>
        </w:tc>
        <w:tc>
          <w:tcPr>
            <w:tcW w:w="574" w:type="pct"/>
            <w:tcBorders>
              <w:tl2br w:val="nil"/>
              <w:tr2bl w:val="nil"/>
            </w:tcBorders>
            <w:vAlign w:val="center"/>
          </w:tcPr>
          <w:p w14:paraId="64DA777B">
            <w:pPr>
              <w:jc w:val="both"/>
              <w:rPr>
                <w:rFonts w:hint="default"/>
                <w:sz w:val="21"/>
                <w:szCs w:val="21"/>
                <w:highlight w:val="none"/>
                <w:lang w:val="en-US" w:eastAsia="zh-CN"/>
              </w:rPr>
            </w:pPr>
            <w:r>
              <w:rPr>
                <w:rFonts w:hint="eastAsia"/>
                <w:sz w:val="21"/>
                <w:szCs w:val="21"/>
                <w:highlight w:val="none"/>
                <w:lang w:val="en-US" w:eastAsia="zh-CN"/>
              </w:rPr>
              <w:t>700m</w:t>
            </w:r>
          </w:p>
        </w:tc>
      </w:tr>
      <w:tr w14:paraId="597FF093">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4295D10F">
            <w:pPr>
              <w:jc w:val="center"/>
              <w:rPr>
                <w:rFonts w:hint="eastAsia" w:eastAsia="宋体"/>
                <w:sz w:val="21"/>
                <w:szCs w:val="21"/>
                <w:highlight w:val="none"/>
                <w:lang w:val="en-US" w:eastAsia="zh-CN"/>
              </w:rPr>
            </w:pPr>
          </w:p>
        </w:tc>
        <w:tc>
          <w:tcPr>
            <w:tcW w:w="390" w:type="pct"/>
            <w:tcBorders>
              <w:tl2br w:val="nil"/>
              <w:tr2bl w:val="nil"/>
            </w:tcBorders>
            <w:vAlign w:val="center"/>
          </w:tcPr>
          <w:p w14:paraId="30BE6E40">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兄弟花园</w:t>
            </w:r>
          </w:p>
        </w:tc>
        <w:tc>
          <w:tcPr>
            <w:tcW w:w="625" w:type="pct"/>
            <w:tcBorders>
              <w:tl2br w:val="nil"/>
              <w:tr2bl w:val="nil"/>
            </w:tcBorders>
            <w:vAlign w:val="center"/>
          </w:tcPr>
          <w:p w14:paraId="583A26CF">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131.140387</w:t>
            </w:r>
          </w:p>
        </w:tc>
        <w:tc>
          <w:tcPr>
            <w:tcW w:w="598" w:type="pct"/>
            <w:tcBorders>
              <w:tl2br w:val="nil"/>
              <w:tr2bl w:val="nil"/>
            </w:tcBorders>
            <w:vAlign w:val="center"/>
          </w:tcPr>
          <w:p w14:paraId="0153FE15">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44.404584</w:t>
            </w:r>
          </w:p>
        </w:tc>
        <w:tc>
          <w:tcPr>
            <w:tcW w:w="450" w:type="pct"/>
            <w:vMerge w:val="continue"/>
            <w:tcBorders>
              <w:tl2br w:val="nil"/>
              <w:tr2bl w:val="nil"/>
            </w:tcBorders>
            <w:vAlign w:val="center"/>
          </w:tcPr>
          <w:p w14:paraId="00B35731">
            <w:pPr>
              <w:jc w:val="center"/>
              <w:rPr>
                <w:sz w:val="21"/>
                <w:szCs w:val="21"/>
                <w:highlight w:val="none"/>
              </w:rPr>
            </w:pPr>
          </w:p>
        </w:tc>
        <w:tc>
          <w:tcPr>
            <w:tcW w:w="476" w:type="pct"/>
            <w:vMerge w:val="continue"/>
            <w:tcBorders>
              <w:tl2br w:val="nil"/>
              <w:tr2bl w:val="nil"/>
            </w:tcBorders>
            <w:vAlign w:val="center"/>
          </w:tcPr>
          <w:p w14:paraId="50A7785B">
            <w:pPr>
              <w:jc w:val="center"/>
              <w:rPr>
                <w:sz w:val="21"/>
                <w:szCs w:val="21"/>
                <w:highlight w:val="none"/>
              </w:rPr>
            </w:pPr>
          </w:p>
        </w:tc>
        <w:tc>
          <w:tcPr>
            <w:tcW w:w="1050" w:type="pct"/>
            <w:vMerge w:val="continue"/>
            <w:tcBorders>
              <w:tl2br w:val="nil"/>
              <w:tr2bl w:val="nil"/>
            </w:tcBorders>
            <w:vAlign w:val="center"/>
          </w:tcPr>
          <w:p w14:paraId="32681CE4">
            <w:pPr>
              <w:jc w:val="center"/>
              <w:rPr>
                <w:sz w:val="21"/>
                <w:szCs w:val="21"/>
                <w:highlight w:val="none"/>
              </w:rPr>
            </w:pPr>
          </w:p>
        </w:tc>
        <w:tc>
          <w:tcPr>
            <w:tcW w:w="444" w:type="pct"/>
            <w:tcBorders>
              <w:tl2br w:val="nil"/>
              <w:tr2bl w:val="nil"/>
            </w:tcBorders>
            <w:vAlign w:val="center"/>
          </w:tcPr>
          <w:p w14:paraId="7687DD42">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w:t>
            </w:r>
          </w:p>
        </w:tc>
        <w:tc>
          <w:tcPr>
            <w:tcW w:w="574" w:type="pct"/>
            <w:tcBorders>
              <w:tl2br w:val="nil"/>
              <w:tr2bl w:val="nil"/>
            </w:tcBorders>
            <w:vAlign w:val="center"/>
          </w:tcPr>
          <w:p w14:paraId="1FA56CF8">
            <w:pPr>
              <w:jc w:val="both"/>
              <w:rPr>
                <w:rFonts w:hint="default"/>
                <w:sz w:val="21"/>
                <w:szCs w:val="21"/>
                <w:highlight w:val="none"/>
                <w:lang w:val="en-US" w:eastAsia="zh-CN"/>
              </w:rPr>
            </w:pPr>
            <w:r>
              <w:rPr>
                <w:rFonts w:hint="eastAsia"/>
                <w:sz w:val="21"/>
                <w:szCs w:val="21"/>
                <w:highlight w:val="none"/>
                <w:lang w:val="en-US" w:eastAsia="zh-CN"/>
              </w:rPr>
              <w:t>720m</w:t>
            </w:r>
          </w:p>
        </w:tc>
      </w:tr>
      <w:tr w14:paraId="4865D313">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4DB35D42">
            <w:pPr>
              <w:jc w:val="center"/>
              <w:rPr>
                <w:rFonts w:hint="eastAsia" w:eastAsia="宋体"/>
                <w:sz w:val="21"/>
                <w:szCs w:val="21"/>
                <w:highlight w:val="none"/>
                <w:lang w:val="en-US" w:eastAsia="zh-CN"/>
              </w:rPr>
            </w:pPr>
          </w:p>
        </w:tc>
        <w:tc>
          <w:tcPr>
            <w:tcW w:w="390" w:type="pct"/>
            <w:tcBorders>
              <w:tl2br w:val="nil"/>
              <w:tr2bl w:val="nil"/>
            </w:tcBorders>
            <w:vAlign w:val="center"/>
          </w:tcPr>
          <w:p w14:paraId="28BBD1AC">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同福嘉园</w:t>
            </w:r>
          </w:p>
        </w:tc>
        <w:tc>
          <w:tcPr>
            <w:tcW w:w="625" w:type="pct"/>
            <w:tcBorders>
              <w:tl2br w:val="nil"/>
              <w:tr2bl w:val="nil"/>
            </w:tcBorders>
            <w:vAlign w:val="center"/>
          </w:tcPr>
          <w:p w14:paraId="1F5F41CF">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131.141481</w:t>
            </w:r>
          </w:p>
        </w:tc>
        <w:tc>
          <w:tcPr>
            <w:tcW w:w="598" w:type="pct"/>
            <w:tcBorders>
              <w:tl2br w:val="nil"/>
              <w:tr2bl w:val="nil"/>
            </w:tcBorders>
            <w:vAlign w:val="center"/>
          </w:tcPr>
          <w:p w14:paraId="242B72EE">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44.404323</w:t>
            </w:r>
          </w:p>
        </w:tc>
        <w:tc>
          <w:tcPr>
            <w:tcW w:w="450" w:type="pct"/>
            <w:vMerge w:val="continue"/>
            <w:tcBorders>
              <w:tl2br w:val="nil"/>
              <w:tr2bl w:val="nil"/>
            </w:tcBorders>
            <w:vAlign w:val="center"/>
          </w:tcPr>
          <w:p w14:paraId="6E0A70AD">
            <w:pPr>
              <w:jc w:val="center"/>
              <w:rPr>
                <w:sz w:val="21"/>
                <w:szCs w:val="21"/>
                <w:highlight w:val="none"/>
              </w:rPr>
            </w:pPr>
          </w:p>
        </w:tc>
        <w:tc>
          <w:tcPr>
            <w:tcW w:w="476" w:type="pct"/>
            <w:vMerge w:val="continue"/>
            <w:tcBorders>
              <w:tl2br w:val="nil"/>
              <w:tr2bl w:val="nil"/>
            </w:tcBorders>
            <w:vAlign w:val="center"/>
          </w:tcPr>
          <w:p w14:paraId="0B4D6B5D">
            <w:pPr>
              <w:jc w:val="center"/>
              <w:rPr>
                <w:sz w:val="21"/>
                <w:szCs w:val="21"/>
                <w:highlight w:val="none"/>
              </w:rPr>
            </w:pPr>
          </w:p>
        </w:tc>
        <w:tc>
          <w:tcPr>
            <w:tcW w:w="1050" w:type="pct"/>
            <w:vMerge w:val="continue"/>
            <w:tcBorders>
              <w:tl2br w:val="nil"/>
              <w:tr2bl w:val="nil"/>
            </w:tcBorders>
            <w:vAlign w:val="center"/>
          </w:tcPr>
          <w:p w14:paraId="6A03140F">
            <w:pPr>
              <w:jc w:val="center"/>
              <w:rPr>
                <w:sz w:val="21"/>
                <w:szCs w:val="21"/>
                <w:highlight w:val="none"/>
              </w:rPr>
            </w:pPr>
          </w:p>
        </w:tc>
        <w:tc>
          <w:tcPr>
            <w:tcW w:w="444" w:type="pct"/>
            <w:tcBorders>
              <w:tl2br w:val="nil"/>
              <w:tr2bl w:val="nil"/>
            </w:tcBorders>
            <w:vAlign w:val="center"/>
          </w:tcPr>
          <w:p w14:paraId="50AC2DEA">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w:t>
            </w:r>
          </w:p>
        </w:tc>
        <w:tc>
          <w:tcPr>
            <w:tcW w:w="574" w:type="pct"/>
            <w:tcBorders>
              <w:tl2br w:val="nil"/>
              <w:tr2bl w:val="nil"/>
            </w:tcBorders>
            <w:vAlign w:val="center"/>
          </w:tcPr>
          <w:p w14:paraId="132158EE">
            <w:pPr>
              <w:jc w:val="both"/>
              <w:rPr>
                <w:rFonts w:hint="default"/>
                <w:sz w:val="21"/>
                <w:szCs w:val="21"/>
                <w:highlight w:val="none"/>
                <w:lang w:val="en-US" w:eastAsia="zh-CN"/>
              </w:rPr>
            </w:pPr>
            <w:r>
              <w:rPr>
                <w:rFonts w:hint="eastAsia"/>
                <w:sz w:val="21"/>
                <w:szCs w:val="21"/>
                <w:highlight w:val="none"/>
                <w:lang w:val="en-US" w:eastAsia="zh-CN"/>
              </w:rPr>
              <w:t>670m</w:t>
            </w:r>
          </w:p>
        </w:tc>
      </w:tr>
      <w:tr w14:paraId="31BC2805">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7F3D9093">
            <w:pPr>
              <w:jc w:val="center"/>
              <w:rPr>
                <w:rFonts w:hint="eastAsia" w:eastAsia="宋体"/>
                <w:sz w:val="21"/>
                <w:szCs w:val="21"/>
                <w:highlight w:val="none"/>
                <w:lang w:val="en-US" w:eastAsia="zh-CN"/>
              </w:rPr>
            </w:pPr>
          </w:p>
        </w:tc>
        <w:tc>
          <w:tcPr>
            <w:tcW w:w="390" w:type="pct"/>
            <w:tcBorders>
              <w:tl2br w:val="nil"/>
              <w:tr2bl w:val="nil"/>
            </w:tcBorders>
            <w:vAlign w:val="center"/>
          </w:tcPr>
          <w:p w14:paraId="65A23A30">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富邦名苑</w:t>
            </w:r>
          </w:p>
        </w:tc>
        <w:tc>
          <w:tcPr>
            <w:tcW w:w="625" w:type="pct"/>
            <w:tcBorders>
              <w:tl2br w:val="nil"/>
              <w:tr2bl w:val="nil"/>
            </w:tcBorders>
            <w:vAlign w:val="center"/>
          </w:tcPr>
          <w:p w14:paraId="5C90E732">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131.143563</w:t>
            </w:r>
          </w:p>
        </w:tc>
        <w:tc>
          <w:tcPr>
            <w:tcW w:w="598" w:type="pct"/>
            <w:tcBorders>
              <w:tl2br w:val="nil"/>
              <w:tr2bl w:val="nil"/>
            </w:tcBorders>
            <w:vAlign w:val="center"/>
          </w:tcPr>
          <w:p w14:paraId="79DCAE16">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44.403618</w:t>
            </w:r>
          </w:p>
        </w:tc>
        <w:tc>
          <w:tcPr>
            <w:tcW w:w="450" w:type="pct"/>
            <w:vMerge w:val="continue"/>
            <w:tcBorders>
              <w:tl2br w:val="nil"/>
              <w:tr2bl w:val="nil"/>
            </w:tcBorders>
            <w:vAlign w:val="center"/>
          </w:tcPr>
          <w:p w14:paraId="099DE8D0">
            <w:pPr>
              <w:jc w:val="center"/>
              <w:rPr>
                <w:sz w:val="21"/>
                <w:szCs w:val="21"/>
                <w:highlight w:val="none"/>
              </w:rPr>
            </w:pPr>
          </w:p>
        </w:tc>
        <w:tc>
          <w:tcPr>
            <w:tcW w:w="476" w:type="pct"/>
            <w:vMerge w:val="continue"/>
            <w:tcBorders>
              <w:tl2br w:val="nil"/>
              <w:tr2bl w:val="nil"/>
            </w:tcBorders>
            <w:vAlign w:val="center"/>
          </w:tcPr>
          <w:p w14:paraId="2746E265">
            <w:pPr>
              <w:jc w:val="center"/>
              <w:rPr>
                <w:sz w:val="21"/>
                <w:szCs w:val="21"/>
                <w:highlight w:val="none"/>
              </w:rPr>
            </w:pPr>
          </w:p>
        </w:tc>
        <w:tc>
          <w:tcPr>
            <w:tcW w:w="1050" w:type="pct"/>
            <w:vMerge w:val="continue"/>
            <w:tcBorders>
              <w:tl2br w:val="nil"/>
              <w:tr2bl w:val="nil"/>
            </w:tcBorders>
            <w:vAlign w:val="center"/>
          </w:tcPr>
          <w:p w14:paraId="1AA7AA87">
            <w:pPr>
              <w:jc w:val="center"/>
              <w:rPr>
                <w:sz w:val="21"/>
                <w:szCs w:val="21"/>
                <w:highlight w:val="none"/>
              </w:rPr>
            </w:pPr>
          </w:p>
        </w:tc>
        <w:tc>
          <w:tcPr>
            <w:tcW w:w="444" w:type="pct"/>
            <w:tcBorders>
              <w:tl2br w:val="nil"/>
              <w:tr2bl w:val="nil"/>
            </w:tcBorders>
            <w:vAlign w:val="center"/>
          </w:tcPr>
          <w:p w14:paraId="18D567D7">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w:t>
            </w:r>
          </w:p>
        </w:tc>
        <w:tc>
          <w:tcPr>
            <w:tcW w:w="574" w:type="pct"/>
            <w:tcBorders>
              <w:tl2br w:val="nil"/>
              <w:tr2bl w:val="nil"/>
            </w:tcBorders>
            <w:vAlign w:val="center"/>
          </w:tcPr>
          <w:p w14:paraId="469A52C3">
            <w:pPr>
              <w:jc w:val="both"/>
              <w:rPr>
                <w:rFonts w:hint="default"/>
                <w:sz w:val="21"/>
                <w:szCs w:val="21"/>
                <w:highlight w:val="none"/>
                <w:lang w:val="en-US" w:eastAsia="zh-CN"/>
              </w:rPr>
            </w:pPr>
            <w:r>
              <w:rPr>
                <w:rFonts w:hint="eastAsia"/>
                <w:sz w:val="21"/>
                <w:szCs w:val="21"/>
                <w:highlight w:val="none"/>
                <w:lang w:val="en-US" w:eastAsia="zh-CN"/>
              </w:rPr>
              <w:t>660m</w:t>
            </w:r>
          </w:p>
        </w:tc>
      </w:tr>
      <w:tr w14:paraId="5B66BBCF">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009DB593">
            <w:pPr>
              <w:jc w:val="center"/>
              <w:rPr>
                <w:rFonts w:hint="eastAsia" w:eastAsia="宋体"/>
                <w:sz w:val="21"/>
                <w:szCs w:val="21"/>
                <w:highlight w:val="none"/>
                <w:lang w:val="en-US" w:eastAsia="zh-CN"/>
              </w:rPr>
            </w:pPr>
          </w:p>
        </w:tc>
        <w:tc>
          <w:tcPr>
            <w:tcW w:w="390" w:type="pct"/>
            <w:tcBorders>
              <w:tl2br w:val="nil"/>
              <w:tr2bl w:val="nil"/>
            </w:tcBorders>
            <w:vAlign w:val="center"/>
          </w:tcPr>
          <w:p w14:paraId="62E051F4">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龙海世纪大酒店</w:t>
            </w:r>
          </w:p>
        </w:tc>
        <w:tc>
          <w:tcPr>
            <w:tcW w:w="625" w:type="pct"/>
            <w:tcBorders>
              <w:tl2br w:val="nil"/>
              <w:tr2bl w:val="nil"/>
            </w:tcBorders>
            <w:vAlign w:val="center"/>
          </w:tcPr>
          <w:p w14:paraId="470ECF6B">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131.146728</w:t>
            </w:r>
          </w:p>
        </w:tc>
        <w:tc>
          <w:tcPr>
            <w:tcW w:w="598" w:type="pct"/>
            <w:tcBorders>
              <w:tl2br w:val="nil"/>
              <w:tr2bl w:val="nil"/>
            </w:tcBorders>
            <w:vAlign w:val="center"/>
          </w:tcPr>
          <w:p w14:paraId="19220140">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44.40677</w:t>
            </w:r>
          </w:p>
        </w:tc>
        <w:tc>
          <w:tcPr>
            <w:tcW w:w="450" w:type="pct"/>
            <w:vMerge w:val="continue"/>
            <w:tcBorders>
              <w:tl2br w:val="nil"/>
              <w:tr2bl w:val="nil"/>
            </w:tcBorders>
            <w:vAlign w:val="center"/>
          </w:tcPr>
          <w:p w14:paraId="14E7093A">
            <w:pPr>
              <w:jc w:val="center"/>
              <w:rPr>
                <w:sz w:val="21"/>
                <w:szCs w:val="21"/>
                <w:highlight w:val="none"/>
              </w:rPr>
            </w:pPr>
          </w:p>
        </w:tc>
        <w:tc>
          <w:tcPr>
            <w:tcW w:w="476" w:type="pct"/>
            <w:vMerge w:val="continue"/>
            <w:tcBorders>
              <w:tl2br w:val="nil"/>
              <w:tr2bl w:val="nil"/>
            </w:tcBorders>
            <w:vAlign w:val="center"/>
          </w:tcPr>
          <w:p w14:paraId="35A77784">
            <w:pPr>
              <w:jc w:val="center"/>
              <w:rPr>
                <w:sz w:val="21"/>
                <w:szCs w:val="21"/>
                <w:highlight w:val="none"/>
              </w:rPr>
            </w:pPr>
          </w:p>
        </w:tc>
        <w:tc>
          <w:tcPr>
            <w:tcW w:w="1050" w:type="pct"/>
            <w:vMerge w:val="continue"/>
            <w:tcBorders>
              <w:tl2br w:val="nil"/>
              <w:tr2bl w:val="nil"/>
            </w:tcBorders>
            <w:vAlign w:val="center"/>
          </w:tcPr>
          <w:p w14:paraId="65CC806E">
            <w:pPr>
              <w:jc w:val="center"/>
              <w:rPr>
                <w:sz w:val="21"/>
                <w:szCs w:val="21"/>
                <w:highlight w:val="none"/>
              </w:rPr>
            </w:pPr>
          </w:p>
        </w:tc>
        <w:tc>
          <w:tcPr>
            <w:tcW w:w="444" w:type="pct"/>
            <w:tcBorders>
              <w:tl2br w:val="nil"/>
              <w:tr2bl w:val="nil"/>
            </w:tcBorders>
            <w:vAlign w:val="center"/>
          </w:tcPr>
          <w:p w14:paraId="12EBE45A">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t>
            </w:r>
          </w:p>
        </w:tc>
        <w:tc>
          <w:tcPr>
            <w:tcW w:w="574" w:type="pct"/>
            <w:tcBorders>
              <w:tl2br w:val="nil"/>
              <w:tr2bl w:val="nil"/>
            </w:tcBorders>
            <w:vAlign w:val="center"/>
          </w:tcPr>
          <w:p w14:paraId="1DAD2761">
            <w:pPr>
              <w:jc w:val="both"/>
              <w:rPr>
                <w:rFonts w:hint="default"/>
                <w:sz w:val="21"/>
                <w:szCs w:val="21"/>
                <w:highlight w:val="none"/>
                <w:lang w:val="en-US" w:eastAsia="zh-CN"/>
              </w:rPr>
            </w:pPr>
            <w:r>
              <w:rPr>
                <w:rFonts w:hint="eastAsia"/>
                <w:sz w:val="21"/>
                <w:szCs w:val="21"/>
                <w:highlight w:val="none"/>
                <w:lang w:val="en-US" w:eastAsia="zh-CN"/>
              </w:rPr>
              <w:t>250m</w:t>
            </w:r>
          </w:p>
        </w:tc>
      </w:tr>
      <w:tr w14:paraId="4EC4B3A6">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62E49D79">
            <w:pPr>
              <w:jc w:val="center"/>
              <w:rPr>
                <w:rFonts w:hint="eastAsia" w:eastAsia="宋体"/>
                <w:sz w:val="21"/>
                <w:szCs w:val="21"/>
                <w:highlight w:val="none"/>
                <w:lang w:val="en-US" w:eastAsia="zh-CN"/>
              </w:rPr>
            </w:pPr>
          </w:p>
        </w:tc>
        <w:tc>
          <w:tcPr>
            <w:tcW w:w="390" w:type="pct"/>
            <w:tcBorders>
              <w:tl2br w:val="nil"/>
              <w:tr2bl w:val="nil"/>
            </w:tcBorders>
            <w:vAlign w:val="center"/>
          </w:tcPr>
          <w:p w14:paraId="58483D91">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供电小区</w:t>
            </w:r>
          </w:p>
        </w:tc>
        <w:tc>
          <w:tcPr>
            <w:tcW w:w="625" w:type="pct"/>
            <w:tcBorders>
              <w:tl2br w:val="nil"/>
              <w:tr2bl w:val="nil"/>
            </w:tcBorders>
            <w:vAlign w:val="center"/>
          </w:tcPr>
          <w:p w14:paraId="12DF6C64">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131.162210</w:t>
            </w:r>
          </w:p>
        </w:tc>
        <w:tc>
          <w:tcPr>
            <w:tcW w:w="598" w:type="pct"/>
            <w:tcBorders>
              <w:tl2br w:val="nil"/>
              <w:tr2bl w:val="nil"/>
            </w:tcBorders>
            <w:vAlign w:val="center"/>
          </w:tcPr>
          <w:p w14:paraId="30F68030">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44.39936</w:t>
            </w:r>
          </w:p>
        </w:tc>
        <w:tc>
          <w:tcPr>
            <w:tcW w:w="450" w:type="pct"/>
            <w:vMerge w:val="continue"/>
            <w:tcBorders>
              <w:tl2br w:val="nil"/>
              <w:tr2bl w:val="nil"/>
            </w:tcBorders>
            <w:vAlign w:val="center"/>
          </w:tcPr>
          <w:p w14:paraId="5EF16136">
            <w:pPr>
              <w:jc w:val="center"/>
              <w:rPr>
                <w:sz w:val="21"/>
                <w:szCs w:val="21"/>
                <w:highlight w:val="none"/>
              </w:rPr>
            </w:pPr>
          </w:p>
        </w:tc>
        <w:tc>
          <w:tcPr>
            <w:tcW w:w="476" w:type="pct"/>
            <w:vMerge w:val="continue"/>
            <w:tcBorders>
              <w:tl2br w:val="nil"/>
              <w:tr2bl w:val="nil"/>
            </w:tcBorders>
            <w:vAlign w:val="center"/>
          </w:tcPr>
          <w:p w14:paraId="7E8C66D1">
            <w:pPr>
              <w:jc w:val="center"/>
              <w:rPr>
                <w:sz w:val="21"/>
                <w:szCs w:val="21"/>
                <w:highlight w:val="none"/>
              </w:rPr>
            </w:pPr>
          </w:p>
        </w:tc>
        <w:tc>
          <w:tcPr>
            <w:tcW w:w="1050" w:type="pct"/>
            <w:vMerge w:val="continue"/>
            <w:tcBorders>
              <w:tl2br w:val="nil"/>
              <w:tr2bl w:val="nil"/>
            </w:tcBorders>
            <w:vAlign w:val="center"/>
          </w:tcPr>
          <w:p w14:paraId="40C46655">
            <w:pPr>
              <w:jc w:val="center"/>
              <w:rPr>
                <w:sz w:val="21"/>
                <w:szCs w:val="21"/>
                <w:highlight w:val="none"/>
              </w:rPr>
            </w:pPr>
          </w:p>
        </w:tc>
        <w:tc>
          <w:tcPr>
            <w:tcW w:w="444" w:type="pct"/>
            <w:tcBorders>
              <w:tl2br w:val="nil"/>
              <w:tr2bl w:val="nil"/>
            </w:tcBorders>
            <w:vAlign w:val="center"/>
          </w:tcPr>
          <w:p w14:paraId="0A619572">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SE</w:t>
            </w:r>
          </w:p>
        </w:tc>
        <w:tc>
          <w:tcPr>
            <w:tcW w:w="574" w:type="pct"/>
            <w:tcBorders>
              <w:tl2br w:val="nil"/>
              <w:tr2bl w:val="nil"/>
            </w:tcBorders>
            <w:vAlign w:val="center"/>
          </w:tcPr>
          <w:p w14:paraId="21987E66">
            <w:pPr>
              <w:jc w:val="both"/>
              <w:rPr>
                <w:rFonts w:hint="default"/>
                <w:sz w:val="21"/>
                <w:szCs w:val="21"/>
                <w:highlight w:val="none"/>
                <w:lang w:val="en-US" w:eastAsia="zh-CN"/>
              </w:rPr>
            </w:pPr>
            <w:r>
              <w:rPr>
                <w:rFonts w:hint="eastAsia"/>
                <w:sz w:val="21"/>
                <w:szCs w:val="21"/>
                <w:highlight w:val="none"/>
                <w:lang w:val="en-US" w:eastAsia="zh-CN"/>
              </w:rPr>
              <w:t>2200m</w:t>
            </w:r>
          </w:p>
        </w:tc>
      </w:tr>
      <w:tr w14:paraId="1468D6AF">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5BE8A30A">
            <w:pPr>
              <w:jc w:val="center"/>
              <w:rPr>
                <w:rFonts w:hint="eastAsia" w:eastAsia="宋体"/>
                <w:sz w:val="21"/>
                <w:szCs w:val="21"/>
                <w:highlight w:val="none"/>
                <w:lang w:val="en-US" w:eastAsia="zh-CN"/>
              </w:rPr>
            </w:pPr>
          </w:p>
        </w:tc>
        <w:tc>
          <w:tcPr>
            <w:tcW w:w="390" w:type="pct"/>
            <w:tcBorders>
              <w:tl2br w:val="nil"/>
              <w:tr2bl w:val="nil"/>
            </w:tcBorders>
            <w:vAlign w:val="center"/>
          </w:tcPr>
          <w:p w14:paraId="782FB186">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九鹤堂医院</w:t>
            </w:r>
          </w:p>
        </w:tc>
        <w:tc>
          <w:tcPr>
            <w:tcW w:w="625" w:type="pct"/>
            <w:tcBorders>
              <w:tl2br w:val="nil"/>
              <w:tr2bl w:val="nil"/>
            </w:tcBorders>
            <w:vAlign w:val="center"/>
          </w:tcPr>
          <w:p w14:paraId="154DBE3B">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131.156266</w:t>
            </w:r>
          </w:p>
        </w:tc>
        <w:tc>
          <w:tcPr>
            <w:tcW w:w="598" w:type="pct"/>
            <w:tcBorders>
              <w:tl2br w:val="nil"/>
              <w:tr2bl w:val="nil"/>
            </w:tcBorders>
            <w:vAlign w:val="center"/>
          </w:tcPr>
          <w:p w14:paraId="21B69A68">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44.400000</w:t>
            </w:r>
          </w:p>
        </w:tc>
        <w:tc>
          <w:tcPr>
            <w:tcW w:w="450" w:type="pct"/>
            <w:vMerge w:val="restart"/>
            <w:tcBorders>
              <w:tl2br w:val="nil"/>
              <w:tr2bl w:val="nil"/>
            </w:tcBorders>
            <w:vAlign w:val="center"/>
          </w:tcPr>
          <w:p w14:paraId="6B15BA4D">
            <w:pPr>
              <w:ind w:left="0" w:leftChars="0" w:firstLine="0" w:firstLineChars="0"/>
              <w:jc w:val="center"/>
              <w:rPr>
                <w:rFonts w:hint="eastAsia" w:eastAsia="宋体"/>
                <w:sz w:val="21"/>
                <w:szCs w:val="21"/>
                <w:highlight w:val="none"/>
                <w:lang w:val="en-US" w:eastAsia="zh-CN"/>
              </w:rPr>
            </w:pPr>
            <w:r>
              <w:rPr>
                <w:rFonts w:hint="eastAsia"/>
                <w:sz w:val="21"/>
                <w:szCs w:val="21"/>
                <w:highlight w:val="none"/>
                <w:lang w:val="en-US" w:eastAsia="zh-CN"/>
              </w:rPr>
              <w:t>医疗区</w:t>
            </w:r>
          </w:p>
        </w:tc>
        <w:tc>
          <w:tcPr>
            <w:tcW w:w="476" w:type="pct"/>
            <w:vMerge w:val="continue"/>
            <w:tcBorders>
              <w:tl2br w:val="nil"/>
              <w:tr2bl w:val="nil"/>
            </w:tcBorders>
            <w:vAlign w:val="center"/>
          </w:tcPr>
          <w:p w14:paraId="71783DE5">
            <w:pPr>
              <w:ind w:firstLine="420" w:firstLineChars="200"/>
              <w:jc w:val="center"/>
              <w:rPr>
                <w:sz w:val="21"/>
                <w:szCs w:val="21"/>
                <w:highlight w:val="none"/>
              </w:rPr>
            </w:pPr>
          </w:p>
        </w:tc>
        <w:tc>
          <w:tcPr>
            <w:tcW w:w="1050" w:type="pct"/>
            <w:vMerge w:val="continue"/>
            <w:tcBorders>
              <w:tl2br w:val="nil"/>
              <w:tr2bl w:val="nil"/>
            </w:tcBorders>
            <w:vAlign w:val="center"/>
          </w:tcPr>
          <w:p w14:paraId="56E33516">
            <w:pPr>
              <w:ind w:firstLine="420" w:firstLineChars="200"/>
              <w:jc w:val="center"/>
              <w:rPr>
                <w:sz w:val="21"/>
                <w:szCs w:val="21"/>
                <w:highlight w:val="none"/>
              </w:rPr>
            </w:pPr>
          </w:p>
        </w:tc>
        <w:tc>
          <w:tcPr>
            <w:tcW w:w="444" w:type="pct"/>
            <w:tcBorders>
              <w:tl2br w:val="nil"/>
              <w:tr2bl w:val="nil"/>
            </w:tcBorders>
            <w:vAlign w:val="center"/>
          </w:tcPr>
          <w:p w14:paraId="26FD9072">
            <w:pPr>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SE</w:t>
            </w:r>
          </w:p>
        </w:tc>
        <w:tc>
          <w:tcPr>
            <w:tcW w:w="574" w:type="pct"/>
            <w:tcBorders>
              <w:tl2br w:val="nil"/>
              <w:tr2bl w:val="nil"/>
            </w:tcBorders>
            <w:vAlign w:val="center"/>
          </w:tcPr>
          <w:p w14:paraId="39874686">
            <w:pPr>
              <w:ind w:firstLine="420" w:firstLineChars="200"/>
              <w:jc w:val="both"/>
              <w:rPr>
                <w:rFonts w:hint="eastAsia"/>
                <w:sz w:val="21"/>
                <w:szCs w:val="21"/>
                <w:highlight w:val="none"/>
                <w:lang w:val="en-US" w:eastAsia="zh-CN"/>
              </w:rPr>
            </w:pPr>
            <w:r>
              <w:rPr>
                <w:rFonts w:hint="eastAsia"/>
                <w:sz w:val="21"/>
                <w:szCs w:val="21"/>
                <w:highlight w:val="none"/>
                <w:lang w:val="en-US" w:eastAsia="zh-CN"/>
              </w:rPr>
              <w:t>1150m</w:t>
            </w:r>
          </w:p>
        </w:tc>
      </w:tr>
      <w:tr w14:paraId="12680707">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1F737AD2">
            <w:pPr>
              <w:jc w:val="center"/>
              <w:rPr>
                <w:rFonts w:hint="eastAsia" w:eastAsia="宋体"/>
                <w:sz w:val="21"/>
                <w:szCs w:val="21"/>
                <w:highlight w:val="none"/>
                <w:lang w:val="en-US" w:eastAsia="zh-CN"/>
              </w:rPr>
            </w:pPr>
          </w:p>
        </w:tc>
        <w:tc>
          <w:tcPr>
            <w:tcW w:w="390" w:type="pct"/>
            <w:tcBorders>
              <w:tl2br w:val="nil"/>
              <w:tr2bl w:val="nil"/>
            </w:tcBorders>
            <w:vAlign w:val="center"/>
          </w:tcPr>
          <w:p w14:paraId="29A5AB67">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颐民敬老院卫生所</w:t>
            </w:r>
          </w:p>
        </w:tc>
        <w:tc>
          <w:tcPr>
            <w:tcW w:w="625" w:type="pct"/>
            <w:tcBorders>
              <w:tl2br w:val="nil"/>
              <w:tr2bl w:val="nil"/>
            </w:tcBorders>
            <w:vAlign w:val="center"/>
          </w:tcPr>
          <w:p w14:paraId="3F020763">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131.150258</w:t>
            </w:r>
          </w:p>
        </w:tc>
        <w:tc>
          <w:tcPr>
            <w:tcW w:w="598" w:type="pct"/>
            <w:tcBorders>
              <w:tl2br w:val="nil"/>
              <w:tr2bl w:val="nil"/>
            </w:tcBorders>
            <w:vAlign w:val="center"/>
          </w:tcPr>
          <w:p w14:paraId="790EBDD1">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44.408110</w:t>
            </w:r>
          </w:p>
        </w:tc>
        <w:tc>
          <w:tcPr>
            <w:tcW w:w="450" w:type="pct"/>
            <w:vMerge w:val="continue"/>
            <w:tcBorders>
              <w:tl2br w:val="nil"/>
              <w:tr2bl w:val="nil"/>
            </w:tcBorders>
            <w:vAlign w:val="center"/>
          </w:tcPr>
          <w:p w14:paraId="62E1A58B">
            <w:pPr>
              <w:ind w:left="0" w:leftChars="0" w:firstLine="0" w:firstLineChars="0"/>
              <w:jc w:val="center"/>
              <w:rPr>
                <w:rFonts w:hint="eastAsia"/>
                <w:sz w:val="21"/>
                <w:szCs w:val="21"/>
                <w:highlight w:val="none"/>
                <w:lang w:val="en-US" w:eastAsia="zh-CN"/>
              </w:rPr>
            </w:pPr>
          </w:p>
        </w:tc>
        <w:tc>
          <w:tcPr>
            <w:tcW w:w="476" w:type="pct"/>
            <w:vMerge w:val="continue"/>
            <w:tcBorders>
              <w:tl2br w:val="nil"/>
              <w:tr2bl w:val="nil"/>
            </w:tcBorders>
            <w:vAlign w:val="center"/>
          </w:tcPr>
          <w:p w14:paraId="4541591F">
            <w:pPr>
              <w:ind w:firstLine="420" w:firstLineChars="200"/>
              <w:jc w:val="center"/>
              <w:rPr>
                <w:sz w:val="21"/>
                <w:szCs w:val="21"/>
                <w:highlight w:val="none"/>
              </w:rPr>
            </w:pPr>
          </w:p>
        </w:tc>
        <w:tc>
          <w:tcPr>
            <w:tcW w:w="1050" w:type="pct"/>
            <w:vMerge w:val="continue"/>
            <w:tcBorders>
              <w:tl2br w:val="nil"/>
              <w:tr2bl w:val="nil"/>
            </w:tcBorders>
            <w:vAlign w:val="center"/>
          </w:tcPr>
          <w:p w14:paraId="046FFFFE">
            <w:pPr>
              <w:ind w:firstLine="420" w:firstLineChars="200"/>
              <w:jc w:val="center"/>
              <w:rPr>
                <w:sz w:val="21"/>
                <w:szCs w:val="21"/>
                <w:highlight w:val="none"/>
              </w:rPr>
            </w:pPr>
          </w:p>
        </w:tc>
        <w:tc>
          <w:tcPr>
            <w:tcW w:w="444" w:type="pct"/>
            <w:tcBorders>
              <w:tl2br w:val="nil"/>
              <w:tr2bl w:val="nil"/>
            </w:tcBorders>
            <w:vAlign w:val="center"/>
          </w:tcPr>
          <w:p w14:paraId="7E09AE2C">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SE</w:t>
            </w:r>
          </w:p>
        </w:tc>
        <w:tc>
          <w:tcPr>
            <w:tcW w:w="574" w:type="pct"/>
            <w:tcBorders>
              <w:tl2br w:val="nil"/>
              <w:tr2bl w:val="nil"/>
            </w:tcBorders>
            <w:vAlign w:val="center"/>
          </w:tcPr>
          <w:p w14:paraId="2952D283">
            <w:pPr>
              <w:ind w:firstLine="420" w:firstLineChars="200"/>
              <w:jc w:val="both"/>
              <w:rPr>
                <w:rFonts w:hint="default"/>
                <w:sz w:val="21"/>
                <w:szCs w:val="21"/>
                <w:highlight w:val="none"/>
                <w:lang w:val="en-US" w:eastAsia="zh-CN"/>
              </w:rPr>
            </w:pPr>
            <w:r>
              <w:rPr>
                <w:rFonts w:hint="eastAsia"/>
                <w:sz w:val="21"/>
                <w:szCs w:val="21"/>
                <w:highlight w:val="none"/>
                <w:lang w:val="en-US" w:eastAsia="zh-CN"/>
              </w:rPr>
              <w:t>180m</w:t>
            </w:r>
          </w:p>
        </w:tc>
      </w:tr>
      <w:tr w14:paraId="4FD479DE">
        <w:tblPrEx>
          <w:tblCellMar>
            <w:top w:w="0" w:type="dxa"/>
            <w:left w:w="108" w:type="dxa"/>
            <w:bottom w:w="0" w:type="dxa"/>
            <w:right w:w="108" w:type="dxa"/>
          </w:tblCellMar>
        </w:tblPrEx>
        <w:tc>
          <w:tcPr>
            <w:tcW w:w="390" w:type="pct"/>
            <w:vMerge w:val="continue"/>
            <w:tcBorders>
              <w:tl2br w:val="nil"/>
              <w:tr2bl w:val="nil"/>
            </w:tcBorders>
            <w:vAlign w:val="center"/>
          </w:tcPr>
          <w:p w14:paraId="0B15EA29">
            <w:pPr>
              <w:jc w:val="center"/>
              <w:rPr>
                <w:rFonts w:hint="eastAsia" w:eastAsia="宋体"/>
                <w:sz w:val="21"/>
                <w:szCs w:val="21"/>
                <w:highlight w:val="none"/>
                <w:lang w:val="en-US" w:eastAsia="zh-CN"/>
              </w:rPr>
            </w:pPr>
          </w:p>
        </w:tc>
        <w:tc>
          <w:tcPr>
            <w:tcW w:w="390" w:type="pct"/>
            <w:tcBorders>
              <w:tl2br w:val="nil"/>
              <w:tr2bl w:val="nil"/>
            </w:tcBorders>
            <w:vAlign w:val="center"/>
          </w:tcPr>
          <w:p w14:paraId="3CB97E41">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绥芬河市中医医院</w:t>
            </w:r>
          </w:p>
        </w:tc>
        <w:tc>
          <w:tcPr>
            <w:tcW w:w="625" w:type="pct"/>
            <w:tcBorders>
              <w:tl2br w:val="nil"/>
              <w:tr2bl w:val="nil"/>
            </w:tcBorders>
            <w:vAlign w:val="center"/>
          </w:tcPr>
          <w:p w14:paraId="2A356B74">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131.152768</w:t>
            </w:r>
          </w:p>
        </w:tc>
        <w:tc>
          <w:tcPr>
            <w:tcW w:w="598" w:type="pct"/>
            <w:tcBorders>
              <w:tl2br w:val="nil"/>
              <w:tr2bl w:val="nil"/>
            </w:tcBorders>
            <w:vAlign w:val="center"/>
          </w:tcPr>
          <w:p w14:paraId="28361130">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44.389421</w:t>
            </w:r>
          </w:p>
        </w:tc>
        <w:tc>
          <w:tcPr>
            <w:tcW w:w="450" w:type="pct"/>
            <w:vMerge w:val="continue"/>
            <w:tcBorders>
              <w:tl2br w:val="nil"/>
              <w:tr2bl w:val="nil"/>
            </w:tcBorders>
            <w:vAlign w:val="center"/>
          </w:tcPr>
          <w:p w14:paraId="5ABBE056">
            <w:pPr>
              <w:ind w:left="0" w:leftChars="0" w:firstLine="0" w:firstLineChars="0"/>
              <w:jc w:val="center"/>
              <w:rPr>
                <w:rFonts w:hint="eastAsia"/>
                <w:sz w:val="21"/>
                <w:szCs w:val="21"/>
                <w:highlight w:val="none"/>
                <w:lang w:val="en-US" w:eastAsia="zh-CN"/>
              </w:rPr>
            </w:pPr>
          </w:p>
        </w:tc>
        <w:tc>
          <w:tcPr>
            <w:tcW w:w="476" w:type="pct"/>
            <w:vMerge w:val="continue"/>
            <w:tcBorders>
              <w:tl2br w:val="nil"/>
              <w:tr2bl w:val="nil"/>
            </w:tcBorders>
            <w:vAlign w:val="center"/>
          </w:tcPr>
          <w:p w14:paraId="0074F73D">
            <w:pPr>
              <w:ind w:firstLine="420" w:firstLineChars="200"/>
              <w:jc w:val="center"/>
              <w:rPr>
                <w:sz w:val="21"/>
                <w:szCs w:val="21"/>
                <w:highlight w:val="none"/>
              </w:rPr>
            </w:pPr>
          </w:p>
        </w:tc>
        <w:tc>
          <w:tcPr>
            <w:tcW w:w="1050" w:type="pct"/>
            <w:vMerge w:val="continue"/>
            <w:tcBorders>
              <w:tl2br w:val="nil"/>
              <w:tr2bl w:val="nil"/>
            </w:tcBorders>
            <w:vAlign w:val="center"/>
          </w:tcPr>
          <w:p w14:paraId="538E34DA">
            <w:pPr>
              <w:ind w:firstLine="420" w:firstLineChars="200"/>
              <w:jc w:val="center"/>
              <w:rPr>
                <w:sz w:val="21"/>
                <w:szCs w:val="21"/>
                <w:highlight w:val="none"/>
              </w:rPr>
            </w:pPr>
          </w:p>
        </w:tc>
        <w:tc>
          <w:tcPr>
            <w:tcW w:w="444" w:type="pct"/>
            <w:tcBorders>
              <w:tl2br w:val="nil"/>
              <w:tr2bl w:val="nil"/>
            </w:tcBorders>
            <w:vAlign w:val="center"/>
          </w:tcPr>
          <w:p w14:paraId="081112E7">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t>
            </w:r>
          </w:p>
        </w:tc>
        <w:tc>
          <w:tcPr>
            <w:tcW w:w="574" w:type="pct"/>
            <w:tcBorders>
              <w:tl2br w:val="nil"/>
              <w:tr2bl w:val="nil"/>
            </w:tcBorders>
            <w:vAlign w:val="center"/>
          </w:tcPr>
          <w:p w14:paraId="31D47D0B">
            <w:pPr>
              <w:ind w:firstLine="420" w:firstLineChars="200"/>
              <w:jc w:val="both"/>
              <w:rPr>
                <w:rFonts w:hint="default"/>
                <w:sz w:val="21"/>
                <w:szCs w:val="21"/>
                <w:highlight w:val="none"/>
                <w:lang w:val="en-US" w:eastAsia="zh-CN"/>
              </w:rPr>
            </w:pPr>
            <w:r>
              <w:rPr>
                <w:rFonts w:hint="eastAsia"/>
                <w:sz w:val="21"/>
                <w:szCs w:val="21"/>
                <w:highlight w:val="none"/>
                <w:lang w:val="en-US" w:eastAsia="zh-CN"/>
              </w:rPr>
              <w:t>2200m</w:t>
            </w:r>
          </w:p>
        </w:tc>
      </w:tr>
      <w:tr w14:paraId="20C473FA">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5A591DA3">
            <w:pPr>
              <w:jc w:val="center"/>
              <w:rPr>
                <w:rFonts w:hint="eastAsia" w:eastAsia="宋体"/>
                <w:sz w:val="21"/>
                <w:szCs w:val="21"/>
                <w:highlight w:val="none"/>
                <w:lang w:val="en-US" w:eastAsia="zh-CN"/>
              </w:rPr>
            </w:pPr>
          </w:p>
        </w:tc>
        <w:tc>
          <w:tcPr>
            <w:tcW w:w="390" w:type="pct"/>
            <w:tcBorders>
              <w:tl2br w:val="nil"/>
              <w:tr2bl w:val="nil"/>
            </w:tcBorders>
            <w:vAlign w:val="center"/>
          </w:tcPr>
          <w:p w14:paraId="15E21CA6">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绥芬河市传染病医院</w:t>
            </w:r>
          </w:p>
        </w:tc>
        <w:tc>
          <w:tcPr>
            <w:tcW w:w="625" w:type="pct"/>
            <w:tcBorders>
              <w:tl2br w:val="nil"/>
              <w:tr2bl w:val="nil"/>
            </w:tcBorders>
            <w:vAlign w:val="center"/>
          </w:tcPr>
          <w:p w14:paraId="1D4A60E5">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131.172295</w:t>
            </w:r>
          </w:p>
        </w:tc>
        <w:tc>
          <w:tcPr>
            <w:tcW w:w="598" w:type="pct"/>
            <w:tcBorders>
              <w:tl2br w:val="nil"/>
              <w:tr2bl w:val="nil"/>
            </w:tcBorders>
            <w:vAlign w:val="center"/>
          </w:tcPr>
          <w:p w14:paraId="037345B8">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44.395861</w:t>
            </w:r>
          </w:p>
        </w:tc>
        <w:tc>
          <w:tcPr>
            <w:tcW w:w="450" w:type="pct"/>
            <w:vMerge w:val="continue"/>
            <w:tcBorders>
              <w:tl2br w:val="nil"/>
              <w:tr2bl w:val="nil"/>
            </w:tcBorders>
            <w:vAlign w:val="center"/>
          </w:tcPr>
          <w:p w14:paraId="33FDDA27">
            <w:pPr>
              <w:ind w:left="0" w:leftChars="0" w:firstLine="0" w:firstLineChars="0"/>
              <w:jc w:val="center"/>
              <w:rPr>
                <w:rFonts w:hint="eastAsia"/>
                <w:sz w:val="21"/>
                <w:szCs w:val="21"/>
                <w:highlight w:val="none"/>
                <w:lang w:val="en-US" w:eastAsia="zh-CN"/>
              </w:rPr>
            </w:pPr>
          </w:p>
        </w:tc>
        <w:tc>
          <w:tcPr>
            <w:tcW w:w="476" w:type="pct"/>
            <w:vMerge w:val="continue"/>
            <w:tcBorders>
              <w:tl2br w:val="nil"/>
              <w:tr2bl w:val="nil"/>
            </w:tcBorders>
            <w:vAlign w:val="center"/>
          </w:tcPr>
          <w:p w14:paraId="6FD9F87E">
            <w:pPr>
              <w:ind w:firstLine="420" w:firstLineChars="200"/>
              <w:jc w:val="center"/>
              <w:rPr>
                <w:sz w:val="21"/>
                <w:szCs w:val="21"/>
                <w:highlight w:val="none"/>
              </w:rPr>
            </w:pPr>
          </w:p>
        </w:tc>
        <w:tc>
          <w:tcPr>
            <w:tcW w:w="1050" w:type="pct"/>
            <w:vMerge w:val="continue"/>
            <w:tcBorders>
              <w:tl2br w:val="nil"/>
              <w:tr2bl w:val="nil"/>
            </w:tcBorders>
            <w:vAlign w:val="center"/>
          </w:tcPr>
          <w:p w14:paraId="3205C1B6">
            <w:pPr>
              <w:ind w:firstLine="420" w:firstLineChars="200"/>
              <w:jc w:val="center"/>
              <w:rPr>
                <w:sz w:val="21"/>
                <w:szCs w:val="21"/>
                <w:highlight w:val="none"/>
              </w:rPr>
            </w:pPr>
          </w:p>
        </w:tc>
        <w:tc>
          <w:tcPr>
            <w:tcW w:w="444" w:type="pct"/>
            <w:tcBorders>
              <w:tl2br w:val="nil"/>
              <w:tr2bl w:val="nil"/>
            </w:tcBorders>
            <w:vAlign w:val="center"/>
          </w:tcPr>
          <w:p w14:paraId="35F46C6F">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SE</w:t>
            </w:r>
          </w:p>
        </w:tc>
        <w:tc>
          <w:tcPr>
            <w:tcW w:w="574" w:type="pct"/>
            <w:tcBorders>
              <w:tl2br w:val="nil"/>
              <w:tr2bl w:val="nil"/>
            </w:tcBorders>
            <w:vAlign w:val="center"/>
          </w:tcPr>
          <w:p w14:paraId="3C539C2F">
            <w:pPr>
              <w:ind w:firstLine="420" w:firstLineChars="200"/>
              <w:jc w:val="both"/>
              <w:rPr>
                <w:rFonts w:hint="default"/>
                <w:sz w:val="21"/>
                <w:szCs w:val="21"/>
                <w:highlight w:val="none"/>
                <w:lang w:val="en-US" w:eastAsia="zh-CN"/>
              </w:rPr>
            </w:pPr>
            <w:r>
              <w:rPr>
                <w:rFonts w:hint="eastAsia"/>
                <w:sz w:val="21"/>
                <w:szCs w:val="21"/>
                <w:highlight w:val="none"/>
                <w:lang w:val="en-US" w:eastAsia="zh-CN"/>
              </w:rPr>
              <w:t>2400m</w:t>
            </w:r>
          </w:p>
        </w:tc>
      </w:tr>
      <w:tr w14:paraId="559FF421">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4CA8481E">
            <w:pPr>
              <w:jc w:val="center"/>
              <w:rPr>
                <w:rFonts w:hint="eastAsia" w:eastAsia="宋体"/>
                <w:sz w:val="21"/>
                <w:szCs w:val="21"/>
                <w:highlight w:val="none"/>
                <w:lang w:val="en-US" w:eastAsia="zh-CN"/>
              </w:rPr>
            </w:pPr>
          </w:p>
        </w:tc>
        <w:tc>
          <w:tcPr>
            <w:tcW w:w="390" w:type="pct"/>
            <w:tcBorders>
              <w:tl2br w:val="nil"/>
              <w:tr2bl w:val="nil"/>
            </w:tcBorders>
            <w:vAlign w:val="center"/>
          </w:tcPr>
          <w:p w14:paraId="69BF0C0D">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立银医院</w:t>
            </w:r>
          </w:p>
        </w:tc>
        <w:tc>
          <w:tcPr>
            <w:tcW w:w="625" w:type="pct"/>
            <w:tcBorders>
              <w:tl2br w:val="nil"/>
              <w:tr2bl w:val="nil"/>
            </w:tcBorders>
            <w:vAlign w:val="center"/>
          </w:tcPr>
          <w:p w14:paraId="13AA8DDD">
            <w:pPr>
              <w:pStyle w:val="32"/>
              <w:widowControl w:val="0"/>
              <w:adjustRightInd w:val="0"/>
              <w:snapToGrid w:val="0"/>
              <w:jc w:val="center"/>
              <w:rPr>
                <w:rFonts w:hint="default" w:ascii="Times New Roman" w:hAnsi="Times New Roman" w:cs="Times New Roman"/>
                <w:sz w:val="21"/>
                <w:szCs w:val="21"/>
                <w:highlight w:val="none"/>
                <w:lang w:val="en-US" w:eastAsia="zh-CN"/>
              </w:rPr>
            </w:pPr>
            <w:r>
              <w:rPr>
                <w:rFonts w:hint="default" w:ascii="Times New Roman" w:hAnsi="Times New Roman" w:eastAsia="宋体" w:cs="Times New Roman"/>
                <w:kern w:val="2"/>
                <w:sz w:val="21"/>
                <w:szCs w:val="21"/>
                <w:highlight w:val="none"/>
                <w:lang w:val="en-US" w:eastAsia="zh-CN" w:bidi="ar-SA"/>
              </w:rPr>
              <w:t>131.162896</w:t>
            </w:r>
          </w:p>
        </w:tc>
        <w:tc>
          <w:tcPr>
            <w:tcW w:w="598" w:type="pct"/>
            <w:tcBorders>
              <w:tl2br w:val="nil"/>
              <w:tr2bl w:val="nil"/>
            </w:tcBorders>
            <w:vAlign w:val="center"/>
          </w:tcPr>
          <w:p w14:paraId="68AB19F1">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44.395309</w:t>
            </w:r>
          </w:p>
        </w:tc>
        <w:tc>
          <w:tcPr>
            <w:tcW w:w="450" w:type="pct"/>
            <w:vMerge w:val="continue"/>
            <w:tcBorders>
              <w:tl2br w:val="nil"/>
              <w:tr2bl w:val="nil"/>
            </w:tcBorders>
            <w:vAlign w:val="center"/>
          </w:tcPr>
          <w:p w14:paraId="0F2C06A1">
            <w:pPr>
              <w:ind w:left="0" w:leftChars="0" w:firstLine="0" w:firstLineChars="0"/>
              <w:jc w:val="center"/>
              <w:rPr>
                <w:rFonts w:hint="eastAsia"/>
                <w:sz w:val="21"/>
                <w:szCs w:val="21"/>
                <w:highlight w:val="none"/>
                <w:lang w:val="en-US" w:eastAsia="zh-CN"/>
              </w:rPr>
            </w:pPr>
          </w:p>
        </w:tc>
        <w:tc>
          <w:tcPr>
            <w:tcW w:w="476" w:type="pct"/>
            <w:vMerge w:val="continue"/>
            <w:tcBorders>
              <w:tl2br w:val="nil"/>
              <w:tr2bl w:val="nil"/>
            </w:tcBorders>
            <w:vAlign w:val="center"/>
          </w:tcPr>
          <w:p w14:paraId="358C0B91">
            <w:pPr>
              <w:ind w:firstLine="420" w:firstLineChars="200"/>
              <w:jc w:val="center"/>
              <w:rPr>
                <w:sz w:val="21"/>
                <w:szCs w:val="21"/>
                <w:highlight w:val="none"/>
              </w:rPr>
            </w:pPr>
          </w:p>
        </w:tc>
        <w:tc>
          <w:tcPr>
            <w:tcW w:w="1050" w:type="pct"/>
            <w:vMerge w:val="continue"/>
            <w:tcBorders>
              <w:tl2br w:val="nil"/>
              <w:tr2bl w:val="nil"/>
            </w:tcBorders>
            <w:vAlign w:val="center"/>
          </w:tcPr>
          <w:p w14:paraId="68E8C635">
            <w:pPr>
              <w:ind w:firstLine="420" w:firstLineChars="200"/>
              <w:jc w:val="center"/>
              <w:rPr>
                <w:sz w:val="21"/>
                <w:szCs w:val="21"/>
                <w:highlight w:val="none"/>
              </w:rPr>
            </w:pPr>
          </w:p>
        </w:tc>
        <w:tc>
          <w:tcPr>
            <w:tcW w:w="444" w:type="pct"/>
            <w:tcBorders>
              <w:tl2br w:val="nil"/>
              <w:tr2bl w:val="nil"/>
            </w:tcBorders>
            <w:vAlign w:val="center"/>
          </w:tcPr>
          <w:p w14:paraId="70D452B8">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SE</w:t>
            </w:r>
          </w:p>
        </w:tc>
        <w:tc>
          <w:tcPr>
            <w:tcW w:w="574" w:type="pct"/>
            <w:tcBorders>
              <w:tl2br w:val="nil"/>
              <w:tr2bl w:val="nil"/>
            </w:tcBorders>
            <w:vAlign w:val="center"/>
          </w:tcPr>
          <w:p w14:paraId="5566CF6B">
            <w:pPr>
              <w:ind w:firstLine="420" w:firstLineChars="200"/>
              <w:jc w:val="both"/>
              <w:rPr>
                <w:rFonts w:hint="default"/>
                <w:sz w:val="21"/>
                <w:szCs w:val="21"/>
                <w:highlight w:val="none"/>
                <w:lang w:val="en-US" w:eastAsia="zh-CN"/>
              </w:rPr>
            </w:pPr>
            <w:r>
              <w:rPr>
                <w:rFonts w:hint="eastAsia"/>
                <w:sz w:val="21"/>
                <w:szCs w:val="21"/>
                <w:highlight w:val="none"/>
                <w:lang w:val="en-US" w:eastAsia="zh-CN"/>
              </w:rPr>
              <w:t>1900m</w:t>
            </w:r>
          </w:p>
        </w:tc>
      </w:tr>
      <w:tr w14:paraId="5F0717BA">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restart"/>
            <w:tcBorders>
              <w:tl2br w:val="nil"/>
              <w:tr2bl w:val="nil"/>
            </w:tcBorders>
            <w:vAlign w:val="center"/>
          </w:tcPr>
          <w:p w14:paraId="42AC247B">
            <w:pPr>
              <w:ind w:left="0" w:leftChars="0" w:firstLine="0" w:firstLineChars="0"/>
              <w:jc w:val="center"/>
              <w:rPr>
                <w:sz w:val="21"/>
                <w:szCs w:val="21"/>
                <w:highlight w:val="none"/>
              </w:rPr>
            </w:pPr>
            <w:r>
              <w:rPr>
                <w:rFonts w:hint="eastAsia"/>
                <w:sz w:val="21"/>
                <w:szCs w:val="21"/>
                <w:highlight w:val="none"/>
              </w:rPr>
              <w:t>噪声</w:t>
            </w:r>
          </w:p>
        </w:tc>
        <w:tc>
          <w:tcPr>
            <w:tcW w:w="390" w:type="pct"/>
            <w:tcBorders>
              <w:tl2br w:val="nil"/>
              <w:tr2bl w:val="nil"/>
            </w:tcBorders>
            <w:vAlign w:val="center"/>
          </w:tcPr>
          <w:p w14:paraId="3DDC7FB6">
            <w:pPr>
              <w:pStyle w:val="32"/>
              <w:widowControl w:val="0"/>
              <w:adjustRightInd w:val="0"/>
              <w:snapToGrid w:val="0"/>
              <w:jc w:val="center"/>
              <w:rPr>
                <w:rFonts w:ascii="Times New Roman" w:hAnsi="Times New Roman"/>
                <w:sz w:val="21"/>
                <w:szCs w:val="21"/>
                <w:highlight w:val="none"/>
              </w:rPr>
            </w:pPr>
            <w:r>
              <w:rPr>
                <w:rFonts w:hint="eastAsia" w:ascii="Times New Roman" w:hAnsi="Times New Roman"/>
                <w:sz w:val="21"/>
                <w:szCs w:val="21"/>
                <w:highlight w:val="none"/>
                <w:lang w:val="en-US" w:eastAsia="zh-CN"/>
              </w:rPr>
              <w:t>颐民敬老院卫生所</w:t>
            </w:r>
          </w:p>
        </w:tc>
        <w:tc>
          <w:tcPr>
            <w:tcW w:w="625" w:type="pct"/>
            <w:tcBorders>
              <w:tl2br w:val="nil"/>
              <w:tr2bl w:val="nil"/>
            </w:tcBorders>
            <w:vAlign w:val="center"/>
          </w:tcPr>
          <w:p w14:paraId="5858157A">
            <w:pPr>
              <w:ind w:left="0" w:lef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val="en-US" w:eastAsia="zh-CN"/>
              </w:rPr>
              <w:t>131.150258</w:t>
            </w:r>
          </w:p>
        </w:tc>
        <w:tc>
          <w:tcPr>
            <w:tcW w:w="598" w:type="pct"/>
            <w:tcBorders>
              <w:tl2br w:val="nil"/>
              <w:tr2bl w:val="nil"/>
            </w:tcBorders>
            <w:vAlign w:val="center"/>
          </w:tcPr>
          <w:p w14:paraId="604C435D">
            <w:pPr>
              <w:ind w:left="0" w:lef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val="en-US" w:eastAsia="zh-CN"/>
              </w:rPr>
              <w:t>44.408110</w:t>
            </w:r>
          </w:p>
        </w:tc>
        <w:tc>
          <w:tcPr>
            <w:tcW w:w="450" w:type="pct"/>
            <w:tcBorders>
              <w:tl2br w:val="nil"/>
              <w:tr2bl w:val="nil"/>
            </w:tcBorders>
            <w:vAlign w:val="center"/>
          </w:tcPr>
          <w:p w14:paraId="5FCC1CBF">
            <w:pPr>
              <w:ind w:left="0" w:leftChars="0" w:firstLine="0" w:firstLineChars="0"/>
              <w:jc w:val="center"/>
              <w:rPr>
                <w:rFonts w:hint="eastAsia" w:eastAsia="宋体"/>
                <w:sz w:val="21"/>
                <w:szCs w:val="21"/>
                <w:highlight w:val="none"/>
                <w:lang w:val="en-US" w:eastAsia="zh-CN"/>
              </w:rPr>
            </w:pPr>
            <w:r>
              <w:rPr>
                <w:rFonts w:hint="eastAsia"/>
                <w:sz w:val="21"/>
                <w:szCs w:val="21"/>
                <w:highlight w:val="none"/>
                <w:lang w:val="en-US" w:eastAsia="zh-CN"/>
              </w:rPr>
              <w:t>医疗区</w:t>
            </w:r>
          </w:p>
        </w:tc>
        <w:tc>
          <w:tcPr>
            <w:tcW w:w="476" w:type="pct"/>
            <w:vMerge w:val="restart"/>
            <w:tcBorders>
              <w:tl2br w:val="nil"/>
              <w:tr2bl w:val="nil"/>
            </w:tcBorders>
            <w:vAlign w:val="center"/>
          </w:tcPr>
          <w:p w14:paraId="0A43A89C">
            <w:pPr>
              <w:ind w:left="0" w:leftChars="0" w:firstLine="0" w:firstLineChars="0"/>
              <w:jc w:val="center"/>
              <w:rPr>
                <w:rFonts w:hint="eastAsia"/>
                <w:sz w:val="21"/>
                <w:szCs w:val="21"/>
                <w:highlight w:val="none"/>
              </w:rPr>
            </w:pPr>
            <w:r>
              <w:rPr>
                <w:rFonts w:hint="eastAsia"/>
                <w:sz w:val="21"/>
                <w:szCs w:val="21"/>
                <w:highlight w:val="none"/>
                <w:lang w:val="en-US" w:eastAsia="zh-CN"/>
              </w:rPr>
              <w:t>人群</w:t>
            </w:r>
          </w:p>
        </w:tc>
        <w:tc>
          <w:tcPr>
            <w:tcW w:w="1050" w:type="pct"/>
            <w:vMerge w:val="restart"/>
            <w:tcBorders>
              <w:tl2br w:val="nil"/>
              <w:tr2bl w:val="nil"/>
            </w:tcBorders>
            <w:vAlign w:val="center"/>
          </w:tcPr>
          <w:p w14:paraId="67CADF9D">
            <w:pPr>
              <w:ind w:left="0" w:leftChars="0" w:firstLine="0" w:firstLineChars="0"/>
              <w:jc w:val="center"/>
              <w:rPr>
                <w:sz w:val="21"/>
                <w:szCs w:val="21"/>
                <w:highlight w:val="none"/>
              </w:rPr>
            </w:pPr>
            <w:r>
              <w:rPr>
                <w:rFonts w:hint="eastAsia"/>
                <w:sz w:val="21"/>
                <w:szCs w:val="21"/>
                <w:highlight w:val="none"/>
                <w:lang w:val="en-US" w:eastAsia="zh-CN"/>
              </w:rPr>
              <w:t>《声环境质量标准》（GB3096-2008）2类</w:t>
            </w:r>
          </w:p>
        </w:tc>
        <w:tc>
          <w:tcPr>
            <w:tcW w:w="444" w:type="pct"/>
            <w:tcBorders>
              <w:tl2br w:val="nil"/>
              <w:tr2bl w:val="nil"/>
            </w:tcBorders>
            <w:vAlign w:val="center"/>
          </w:tcPr>
          <w:p w14:paraId="7E9A7695">
            <w:pPr>
              <w:ind w:left="0" w:leftChars="0" w:firstLine="0" w:firstLineChars="0"/>
              <w:jc w:val="center"/>
              <w:rPr>
                <w:sz w:val="21"/>
                <w:szCs w:val="21"/>
                <w:highlight w:val="none"/>
              </w:rPr>
            </w:pPr>
            <w:r>
              <w:rPr>
                <w:rFonts w:hint="eastAsia"/>
                <w:sz w:val="21"/>
                <w:szCs w:val="21"/>
                <w:highlight w:val="none"/>
                <w:lang w:val="en-US" w:eastAsia="zh-CN"/>
              </w:rPr>
              <w:t>SE</w:t>
            </w:r>
          </w:p>
        </w:tc>
        <w:tc>
          <w:tcPr>
            <w:tcW w:w="574" w:type="pct"/>
            <w:tcBorders>
              <w:tl2br w:val="nil"/>
              <w:tr2bl w:val="nil"/>
            </w:tcBorders>
            <w:vAlign w:val="center"/>
          </w:tcPr>
          <w:p w14:paraId="751CA427">
            <w:pPr>
              <w:ind w:firstLine="420" w:firstLineChars="200"/>
              <w:jc w:val="both"/>
              <w:rPr>
                <w:sz w:val="21"/>
                <w:szCs w:val="21"/>
                <w:highlight w:val="none"/>
              </w:rPr>
            </w:pPr>
            <w:r>
              <w:rPr>
                <w:rFonts w:hint="eastAsia"/>
                <w:sz w:val="21"/>
                <w:szCs w:val="21"/>
                <w:highlight w:val="none"/>
                <w:lang w:val="en-US" w:eastAsia="zh-CN"/>
              </w:rPr>
              <w:t>180m</w:t>
            </w:r>
          </w:p>
        </w:tc>
      </w:tr>
      <w:tr w14:paraId="30ECC186">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0E48BC3F">
            <w:pPr>
              <w:ind w:left="0" w:leftChars="0" w:firstLine="0" w:firstLineChars="0"/>
              <w:jc w:val="center"/>
              <w:rPr>
                <w:rFonts w:hint="eastAsia"/>
                <w:sz w:val="21"/>
                <w:szCs w:val="21"/>
                <w:highlight w:val="none"/>
              </w:rPr>
            </w:pPr>
          </w:p>
        </w:tc>
        <w:tc>
          <w:tcPr>
            <w:tcW w:w="390" w:type="pct"/>
            <w:tcBorders>
              <w:tl2br w:val="nil"/>
              <w:tr2bl w:val="nil"/>
            </w:tcBorders>
            <w:vAlign w:val="center"/>
          </w:tcPr>
          <w:p w14:paraId="6D8FEB35">
            <w:pPr>
              <w:pStyle w:val="32"/>
              <w:widowControl w:val="0"/>
              <w:adjustRightInd w:val="0"/>
              <w:snapToGrid w:val="0"/>
              <w:jc w:val="center"/>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新安幸福嘉园（5层）</w:t>
            </w:r>
          </w:p>
        </w:tc>
        <w:tc>
          <w:tcPr>
            <w:tcW w:w="625" w:type="pct"/>
            <w:tcBorders>
              <w:tl2br w:val="nil"/>
              <w:tr2bl w:val="nil"/>
            </w:tcBorders>
            <w:vAlign w:val="center"/>
          </w:tcPr>
          <w:p w14:paraId="73CFBCF8">
            <w:pPr>
              <w:pStyle w:val="32"/>
              <w:widowControl w:val="0"/>
              <w:adjustRightInd w:val="0"/>
              <w:snapToGrid w:val="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131.146009</w:t>
            </w:r>
          </w:p>
        </w:tc>
        <w:tc>
          <w:tcPr>
            <w:tcW w:w="598" w:type="pct"/>
            <w:tcBorders>
              <w:tl2br w:val="nil"/>
              <w:tr2bl w:val="nil"/>
            </w:tcBorders>
            <w:vAlign w:val="center"/>
          </w:tcPr>
          <w:p w14:paraId="6E784674">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44.409068</w:t>
            </w:r>
          </w:p>
        </w:tc>
        <w:tc>
          <w:tcPr>
            <w:tcW w:w="450" w:type="pct"/>
            <w:tcBorders>
              <w:bottom w:val="single" w:color="auto" w:sz="4" w:space="0"/>
              <w:tl2br w:val="nil"/>
              <w:tr2bl w:val="nil"/>
            </w:tcBorders>
            <w:vAlign w:val="center"/>
          </w:tcPr>
          <w:p w14:paraId="3239C476">
            <w:pPr>
              <w:ind w:left="0" w:leftChars="0" w:firstLine="0" w:firstLineChars="0"/>
              <w:jc w:val="center"/>
              <w:rPr>
                <w:sz w:val="21"/>
                <w:szCs w:val="21"/>
                <w:highlight w:val="none"/>
              </w:rPr>
            </w:pPr>
            <w:r>
              <w:rPr>
                <w:rFonts w:hint="eastAsia"/>
                <w:sz w:val="21"/>
                <w:szCs w:val="21"/>
                <w:highlight w:val="none"/>
                <w:lang w:val="en-US" w:eastAsia="zh-CN"/>
              </w:rPr>
              <w:t>居住区</w:t>
            </w:r>
          </w:p>
        </w:tc>
        <w:tc>
          <w:tcPr>
            <w:tcW w:w="476" w:type="pct"/>
            <w:vMerge w:val="continue"/>
            <w:tcBorders>
              <w:tl2br w:val="nil"/>
              <w:tr2bl w:val="nil"/>
            </w:tcBorders>
            <w:vAlign w:val="center"/>
          </w:tcPr>
          <w:p w14:paraId="54E66503">
            <w:pPr>
              <w:ind w:left="0" w:leftChars="0" w:firstLine="0" w:firstLineChars="0"/>
              <w:jc w:val="center"/>
              <w:rPr>
                <w:rFonts w:hint="eastAsia"/>
                <w:sz w:val="21"/>
                <w:szCs w:val="21"/>
                <w:highlight w:val="none"/>
              </w:rPr>
            </w:pPr>
          </w:p>
        </w:tc>
        <w:tc>
          <w:tcPr>
            <w:tcW w:w="1050" w:type="pct"/>
            <w:vMerge w:val="continue"/>
            <w:tcBorders>
              <w:tl2br w:val="nil"/>
              <w:tr2bl w:val="nil"/>
            </w:tcBorders>
            <w:vAlign w:val="center"/>
          </w:tcPr>
          <w:p w14:paraId="40BE55D2">
            <w:pPr>
              <w:ind w:left="0" w:leftChars="0" w:firstLine="0" w:firstLineChars="0"/>
              <w:jc w:val="center"/>
              <w:rPr>
                <w:sz w:val="21"/>
                <w:szCs w:val="21"/>
                <w:highlight w:val="none"/>
              </w:rPr>
            </w:pPr>
          </w:p>
        </w:tc>
        <w:tc>
          <w:tcPr>
            <w:tcW w:w="444" w:type="pct"/>
            <w:tcBorders>
              <w:tl2br w:val="nil"/>
              <w:tr2bl w:val="nil"/>
            </w:tcBorders>
            <w:vAlign w:val="center"/>
          </w:tcPr>
          <w:p w14:paraId="08FF05C0">
            <w:pPr>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W</w:t>
            </w:r>
          </w:p>
        </w:tc>
        <w:tc>
          <w:tcPr>
            <w:tcW w:w="574" w:type="pct"/>
            <w:tcBorders>
              <w:tl2br w:val="nil"/>
              <w:tr2bl w:val="nil"/>
            </w:tcBorders>
            <w:vAlign w:val="center"/>
          </w:tcPr>
          <w:p w14:paraId="679DA0F0">
            <w:pPr>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20</w:t>
            </w:r>
            <w:r>
              <w:rPr>
                <w:rFonts w:hint="eastAsia"/>
                <w:sz w:val="21"/>
                <w:szCs w:val="21"/>
                <w:highlight w:val="none"/>
              </w:rPr>
              <w:t>m</w:t>
            </w:r>
          </w:p>
        </w:tc>
      </w:tr>
      <w:tr w14:paraId="5EFE23B1">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20A381DE">
            <w:pPr>
              <w:ind w:left="0" w:leftChars="0" w:firstLine="0" w:firstLineChars="0"/>
              <w:jc w:val="center"/>
              <w:rPr>
                <w:rFonts w:hint="eastAsia"/>
                <w:sz w:val="21"/>
                <w:szCs w:val="21"/>
                <w:highlight w:val="none"/>
              </w:rPr>
            </w:pPr>
          </w:p>
        </w:tc>
        <w:tc>
          <w:tcPr>
            <w:tcW w:w="390" w:type="pct"/>
            <w:tcBorders>
              <w:tl2br w:val="nil"/>
              <w:tr2bl w:val="nil"/>
            </w:tcBorders>
            <w:vAlign w:val="center"/>
          </w:tcPr>
          <w:p w14:paraId="560613A5">
            <w:pPr>
              <w:pStyle w:val="32"/>
              <w:widowControl w:val="0"/>
              <w:adjustRightInd w:val="0"/>
              <w:snapToGrid w:val="0"/>
              <w:jc w:val="center"/>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旅游局家属楼（11层）</w:t>
            </w:r>
          </w:p>
        </w:tc>
        <w:tc>
          <w:tcPr>
            <w:tcW w:w="625" w:type="pct"/>
            <w:tcBorders>
              <w:tl2br w:val="nil"/>
              <w:tr2bl w:val="nil"/>
            </w:tcBorders>
            <w:vAlign w:val="center"/>
          </w:tcPr>
          <w:p w14:paraId="5BA084D6">
            <w:pPr>
              <w:pStyle w:val="32"/>
              <w:widowControl w:val="0"/>
              <w:adjustRightInd w:val="0"/>
              <w:snapToGrid w:val="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131.148648</w:t>
            </w:r>
          </w:p>
        </w:tc>
        <w:tc>
          <w:tcPr>
            <w:tcW w:w="598" w:type="pct"/>
            <w:tcBorders>
              <w:tl2br w:val="nil"/>
              <w:tr2bl w:val="nil"/>
            </w:tcBorders>
            <w:vAlign w:val="center"/>
          </w:tcPr>
          <w:p w14:paraId="1AF3992B">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44.408892</w:t>
            </w:r>
          </w:p>
        </w:tc>
        <w:tc>
          <w:tcPr>
            <w:tcW w:w="450" w:type="pct"/>
            <w:tcBorders>
              <w:bottom w:val="single" w:color="auto" w:sz="4" w:space="0"/>
              <w:tl2br w:val="nil"/>
              <w:tr2bl w:val="nil"/>
            </w:tcBorders>
            <w:vAlign w:val="center"/>
          </w:tcPr>
          <w:p w14:paraId="6D8BB8B1">
            <w:pPr>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居住区</w:t>
            </w:r>
          </w:p>
        </w:tc>
        <w:tc>
          <w:tcPr>
            <w:tcW w:w="476" w:type="pct"/>
            <w:vMerge w:val="continue"/>
            <w:tcBorders>
              <w:tl2br w:val="nil"/>
              <w:tr2bl w:val="nil"/>
            </w:tcBorders>
            <w:vAlign w:val="center"/>
          </w:tcPr>
          <w:p w14:paraId="6CF975B6">
            <w:pPr>
              <w:ind w:firstLine="420" w:firstLineChars="200"/>
              <w:jc w:val="center"/>
              <w:rPr>
                <w:rFonts w:hint="eastAsia"/>
                <w:sz w:val="21"/>
                <w:szCs w:val="21"/>
                <w:highlight w:val="none"/>
                <w:lang w:val="en-US" w:eastAsia="zh-CN"/>
              </w:rPr>
            </w:pPr>
          </w:p>
        </w:tc>
        <w:tc>
          <w:tcPr>
            <w:tcW w:w="1050" w:type="pct"/>
            <w:vMerge w:val="continue"/>
            <w:tcBorders>
              <w:tl2br w:val="nil"/>
              <w:tr2bl w:val="nil"/>
            </w:tcBorders>
            <w:vAlign w:val="center"/>
          </w:tcPr>
          <w:p w14:paraId="4B8127E1">
            <w:pPr>
              <w:ind w:firstLine="420" w:firstLineChars="200"/>
              <w:jc w:val="center"/>
              <w:rPr>
                <w:rFonts w:hint="eastAsia"/>
                <w:sz w:val="21"/>
                <w:szCs w:val="21"/>
                <w:highlight w:val="none"/>
                <w:lang w:val="en-US" w:eastAsia="zh-CN"/>
              </w:rPr>
            </w:pPr>
          </w:p>
        </w:tc>
        <w:tc>
          <w:tcPr>
            <w:tcW w:w="444" w:type="pct"/>
            <w:tcBorders>
              <w:tl2br w:val="nil"/>
              <w:tr2bl w:val="nil"/>
            </w:tcBorders>
            <w:vAlign w:val="center"/>
          </w:tcPr>
          <w:p w14:paraId="4DCAAC53">
            <w:pPr>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E</w:t>
            </w:r>
          </w:p>
        </w:tc>
        <w:tc>
          <w:tcPr>
            <w:tcW w:w="574" w:type="pct"/>
            <w:tcBorders>
              <w:tl2br w:val="nil"/>
              <w:tr2bl w:val="nil"/>
            </w:tcBorders>
            <w:vAlign w:val="center"/>
          </w:tcPr>
          <w:p w14:paraId="21FEB793">
            <w:pPr>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20m</w:t>
            </w:r>
          </w:p>
        </w:tc>
      </w:tr>
      <w:tr w14:paraId="785D9144">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6AC63BF4">
            <w:pPr>
              <w:ind w:left="0" w:leftChars="0" w:firstLine="0" w:firstLineChars="0"/>
              <w:jc w:val="center"/>
              <w:rPr>
                <w:rFonts w:hint="eastAsia"/>
                <w:sz w:val="21"/>
                <w:szCs w:val="21"/>
                <w:highlight w:val="none"/>
              </w:rPr>
            </w:pPr>
          </w:p>
        </w:tc>
        <w:tc>
          <w:tcPr>
            <w:tcW w:w="390" w:type="pct"/>
            <w:tcBorders>
              <w:tl2br w:val="nil"/>
              <w:tr2bl w:val="nil"/>
            </w:tcBorders>
            <w:vAlign w:val="center"/>
          </w:tcPr>
          <w:p w14:paraId="2DE7F074">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中兴小区</w:t>
            </w:r>
          </w:p>
        </w:tc>
        <w:tc>
          <w:tcPr>
            <w:tcW w:w="625" w:type="pct"/>
            <w:tcBorders>
              <w:tl2br w:val="nil"/>
              <w:tr2bl w:val="nil"/>
            </w:tcBorders>
            <w:vAlign w:val="center"/>
          </w:tcPr>
          <w:p w14:paraId="3BDE8CDD">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131.145344</w:t>
            </w:r>
          </w:p>
        </w:tc>
        <w:tc>
          <w:tcPr>
            <w:tcW w:w="598" w:type="pct"/>
            <w:tcBorders>
              <w:tl2br w:val="nil"/>
              <w:tr2bl w:val="nil"/>
            </w:tcBorders>
            <w:vAlign w:val="center"/>
          </w:tcPr>
          <w:p w14:paraId="325DDEC2">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44.407964</w:t>
            </w:r>
          </w:p>
        </w:tc>
        <w:tc>
          <w:tcPr>
            <w:tcW w:w="450" w:type="pct"/>
            <w:tcBorders>
              <w:bottom w:val="single" w:color="auto" w:sz="4" w:space="0"/>
              <w:tl2br w:val="nil"/>
              <w:tr2bl w:val="nil"/>
            </w:tcBorders>
            <w:vAlign w:val="center"/>
          </w:tcPr>
          <w:p w14:paraId="347978A7">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居住区</w:t>
            </w:r>
          </w:p>
        </w:tc>
        <w:tc>
          <w:tcPr>
            <w:tcW w:w="476" w:type="pct"/>
            <w:vMerge w:val="continue"/>
            <w:tcBorders>
              <w:tl2br w:val="nil"/>
              <w:tr2bl w:val="nil"/>
            </w:tcBorders>
            <w:vAlign w:val="center"/>
          </w:tcPr>
          <w:p w14:paraId="70262FC7">
            <w:pPr>
              <w:ind w:firstLine="420" w:firstLineChars="200"/>
              <w:jc w:val="center"/>
              <w:rPr>
                <w:rFonts w:hint="eastAsia"/>
                <w:sz w:val="21"/>
                <w:szCs w:val="21"/>
                <w:highlight w:val="none"/>
                <w:lang w:val="en-US" w:eastAsia="zh-CN"/>
              </w:rPr>
            </w:pPr>
          </w:p>
        </w:tc>
        <w:tc>
          <w:tcPr>
            <w:tcW w:w="1050" w:type="pct"/>
            <w:vMerge w:val="continue"/>
            <w:tcBorders>
              <w:tl2br w:val="nil"/>
              <w:tr2bl w:val="nil"/>
            </w:tcBorders>
            <w:vAlign w:val="center"/>
          </w:tcPr>
          <w:p w14:paraId="5D2ADE65">
            <w:pPr>
              <w:ind w:firstLine="420" w:firstLineChars="200"/>
              <w:jc w:val="center"/>
              <w:rPr>
                <w:rFonts w:hint="eastAsia"/>
                <w:sz w:val="21"/>
                <w:szCs w:val="21"/>
                <w:highlight w:val="none"/>
                <w:lang w:val="en-US" w:eastAsia="zh-CN"/>
              </w:rPr>
            </w:pPr>
          </w:p>
        </w:tc>
        <w:tc>
          <w:tcPr>
            <w:tcW w:w="444" w:type="pct"/>
            <w:tcBorders>
              <w:tl2br w:val="nil"/>
              <w:tr2bl w:val="nil"/>
            </w:tcBorders>
            <w:vAlign w:val="center"/>
          </w:tcPr>
          <w:p w14:paraId="5061CE37">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SW</w:t>
            </w:r>
          </w:p>
        </w:tc>
        <w:tc>
          <w:tcPr>
            <w:tcW w:w="574" w:type="pct"/>
            <w:tcBorders>
              <w:tl2br w:val="nil"/>
              <w:tr2bl w:val="nil"/>
            </w:tcBorders>
            <w:vAlign w:val="center"/>
          </w:tcPr>
          <w:p w14:paraId="48C0FB25">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180m</w:t>
            </w:r>
          </w:p>
        </w:tc>
      </w:tr>
      <w:tr w14:paraId="474313F0">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3E75A681">
            <w:pPr>
              <w:ind w:left="0" w:leftChars="0" w:firstLine="0" w:firstLineChars="0"/>
              <w:jc w:val="center"/>
              <w:rPr>
                <w:rFonts w:hint="eastAsia"/>
                <w:sz w:val="21"/>
                <w:szCs w:val="21"/>
                <w:highlight w:val="none"/>
              </w:rPr>
            </w:pPr>
          </w:p>
        </w:tc>
        <w:tc>
          <w:tcPr>
            <w:tcW w:w="390" w:type="pct"/>
            <w:tcBorders>
              <w:tl2br w:val="nil"/>
              <w:tr2bl w:val="nil"/>
            </w:tcBorders>
            <w:vAlign w:val="center"/>
          </w:tcPr>
          <w:p w14:paraId="589567D7">
            <w:pPr>
              <w:pStyle w:val="32"/>
              <w:widowControl w:val="0"/>
              <w:adjustRightInd w:val="0"/>
              <w:snapToGrid w:val="0"/>
              <w:jc w:val="center"/>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绥芬河市人大</w:t>
            </w:r>
          </w:p>
        </w:tc>
        <w:tc>
          <w:tcPr>
            <w:tcW w:w="625" w:type="pct"/>
            <w:tcBorders>
              <w:tl2br w:val="nil"/>
              <w:tr2bl w:val="nil"/>
            </w:tcBorders>
            <w:vAlign w:val="center"/>
          </w:tcPr>
          <w:p w14:paraId="2379AEF9">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131.145290</w:t>
            </w:r>
          </w:p>
        </w:tc>
        <w:tc>
          <w:tcPr>
            <w:tcW w:w="598" w:type="pct"/>
            <w:tcBorders>
              <w:tl2br w:val="nil"/>
              <w:tr2bl w:val="nil"/>
            </w:tcBorders>
            <w:vAlign w:val="center"/>
          </w:tcPr>
          <w:p w14:paraId="20FC4A5B">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44.409091</w:t>
            </w:r>
          </w:p>
        </w:tc>
        <w:tc>
          <w:tcPr>
            <w:tcW w:w="450" w:type="pct"/>
            <w:tcBorders>
              <w:top w:val="single" w:color="auto" w:sz="4" w:space="0"/>
              <w:tl2br w:val="nil"/>
              <w:tr2bl w:val="nil"/>
            </w:tcBorders>
            <w:vAlign w:val="center"/>
          </w:tcPr>
          <w:p w14:paraId="51229B3F">
            <w:pPr>
              <w:ind w:left="0" w:leftChars="0"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行政区</w:t>
            </w:r>
          </w:p>
        </w:tc>
        <w:tc>
          <w:tcPr>
            <w:tcW w:w="476" w:type="pct"/>
            <w:vMerge w:val="continue"/>
            <w:tcBorders>
              <w:tl2br w:val="nil"/>
              <w:tr2bl w:val="nil"/>
            </w:tcBorders>
            <w:vAlign w:val="center"/>
          </w:tcPr>
          <w:p w14:paraId="6EC20088">
            <w:pPr>
              <w:ind w:firstLine="420" w:firstLineChars="200"/>
              <w:jc w:val="center"/>
              <w:rPr>
                <w:rFonts w:hint="eastAsia"/>
                <w:sz w:val="21"/>
                <w:szCs w:val="21"/>
                <w:highlight w:val="none"/>
              </w:rPr>
            </w:pPr>
          </w:p>
        </w:tc>
        <w:tc>
          <w:tcPr>
            <w:tcW w:w="1050" w:type="pct"/>
            <w:vMerge w:val="continue"/>
            <w:tcBorders>
              <w:tl2br w:val="nil"/>
              <w:tr2bl w:val="nil"/>
            </w:tcBorders>
            <w:vAlign w:val="center"/>
          </w:tcPr>
          <w:p w14:paraId="4F758FA8">
            <w:pPr>
              <w:ind w:firstLine="420" w:firstLineChars="200"/>
              <w:jc w:val="center"/>
              <w:rPr>
                <w:sz w:val="21"/>
                <w:szCs w:val="21"/>
                <w:highlight w:val="none"/>
              </w:rPr>
            </w:pPr>
          </w:p>
        </w:tc>
        <w:tc>
          <w:tcPr>
            <w:tcW w:w="444" w:type="pct"/>
            <w:tcBorders>
              <w:tl2br w:val="nil"/>
              <w:tr2bl w:val="nil"/>
            </w:tcBorders>
            <w:vAlign w:val="center"/>
          </w:tcPr>
          <w:p w14:paraId="51A3E836">
            <w:pPr>
              <w:ind w:left="0" w:leftChars="0" w:firstLine="0" w:firstLineChars="0"/>
              <w:jc w:val="center"/>
              <w:rPr>
                <w:rFonts w:hint="eastAsia"/>
                <w:sz w:val="21"/>
                <w:szCs w:val="21"/>
                <w:highlight w:val="none"/>
                <w:lang w:val="en-US" w:eastAsia="zh-CN"/>
              </w:rPr>
            </w:pPr>
            <w:r>
              <w:rPr>
                <w:rFonts w:hint="eastAsia"/>
                <w:sz w:val="21"/>
                <w:szCs w:val="21"/>
                <w:highlight w:val="none"/>
              </w:rPr>
              <w:t>W</w:t>
            </w:r>
          </w:p>
        </w:tc>
        <w:tc>
          <w:tcPr>
            <w:tcW w:w="574" w:type="pct"/>
            <w:tcBorders>
              <w:tl2br w:val="nil"/>
              <w:tr2bl w:val="nil"/>
            </w:tcBorders>
            <w:vAlign w:val="center"/>
          </w:tcPr>
          <w:p w14:paraId="29DB95E6">
            <w:pPr>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150</w:t>
            </w:r>
            <w:r>
              <w:rPr>
                <w:rFonts w:hint="eastAsia"/>
                <w:sz w:val="21"/>
                <w:szCs w:val="21"/>
                <w:highlight w:val="none"/>
              </w:rPr>
              <w:t>m</w:t>
            </w:r>
          </w:p>
        </w:tc>
      </w:tr>
      <w:tr w14:paraId="553152D5">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508BEE27">
            <w:pPr>
              <w:ind w:left="0" w:leftChars="0" w:firstLine="0" w:firstLineChars="0"/>
              <w:jc w:val="center"/>
              <w:rPr>
                <w:rFonts w:hint="eastAsia"/>
                <w:sz w:val="21"/>
                <w:szCs w:val="21"/>
                <w:highlight w:val="none"/>
              </w:rPr>
            </w:pPr>
          </w:p>
        </w:tc>
        <w:tc>
          <w:tcPr>
            <w:tcW w:w="390" w:type="pct"/>
            <w:tcBorders>
              <w:tl2br w:val="nil"/>
              <w:tr2bl w:val="nil"/>
            </w:tcBorders>
            <w:vAlign w:val="center"/>
          </w:tcPr>
          <w:p w14:paraId="39FC2151">
            <w:pPr>
              <w:pStyle w:val="32"/>
              <w:widowControl w:val="0"/>
              <w:adjustRightInd w:val="0"/>
              <w:snapToGrid w:val="0"/>
              <w:jc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数码港宾馆</w:t>
            </w:r>
          </w:p>
        </w:tc>
        <w:tc>
          <w:tcPr>
            <w:tcW w:w="625" w:type="pct"/>
            <w:tcBorders>
              <w:tl2br w:val="nil"/>
              <w:tr2bl w:val="nil"/>
            </w:tcBorders>
            <w:vAlign w:val="center"/>
          </w:tcPr>
          <w:p w14:paraId="467A172C">
            <w:pPr>
              <w:ind w:left="0" w:leftChars="0" w:firstLine="0" w:firstLineChars="0"/>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131.149828</w:t>
            </w:r>
          </w:p>
        </w:tc>
        <w:tc>
          <w:tcPr>
            <w:tcW w:w="598" w:type="pct"/>
            <w:tcBorders>
              <w:tl2br w:val="nil"/>
              <w:tr2bl w:val="nil"/>
            </w:tcBorders>
            <w:vAlign w:val="center"/>
          </w:tcPr>
          <w:p w14:paraId="5F052D51">
            <w:pPr>
              <w:ind w:left="0" w:leftChars="0" w:firstLine="0" w:firstLineChars="0"/>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44.407221</w:t>
            </w:r>
          </w:p>
        </w:tc>
        <w:tc>
          <w:tcPr>
            <w:tcW w:w="450" w:type="pct"/>
            <w:tcBorders>
              <w:top w:val="single" w:color="auto" w:sz="4" w:space="0"/>
              <w:tl2br w:val="nil"/>
              <w:tr2bl w:val="nil"/>
            </w:tcBorders>
            <w:vAlign w:val="center"/>
          </w:tcPr>
          <w:p w14:paraId="415E866E">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居住区</w:t>
            </w:r>
          </w:p>
        </w:tc>
        <w:tc>
          <w:tcPr>
            <w:tcW w:w="476" w:type="pct"/>
            <w:vMerge w:val="continue"/>
            <w:tcBorders>
              <w:tl2br w:val="nil"/>
              <w:tr2bl w:val="nil"/>
            </w:tcBorders>
            <w:vAlign w:val="center"/>
          </w:tcPr>
          <w:p w14:paraId="7BF0DE1C">
            <w:pPr>
              <w:ind w:firstLine="420" w:firstLineChars="200"/>
              <w:jc w:val="center"/>
              <w:rPr>
                <w:rFonts w:hint="eastAsia"/>
                <w:sz w:val="21"/>
                <w:szCs w:val="21"/>
                <w:highlight w:val="none"/>
              </w:rPr>
            </w:pPr>
          </w:p>
        </w:tc>
        <w:tc>
          <w:tcPr>
            <w:tcW w:w="1050" w:type="pct"/>
            <w:vMerge w:val="continue"/>
            <w:tcBorders>
              <w:tl2br w:val="nil"/>
              <w:tr2bl w:val="nil"/>
            </w:tcBorders>
            <w:vAlign w:val="center"/>
          </w:tcPr>
          <w:p w14:paraId="61FD5F4C">
            <w:pPr>
              <w:ind w:firstLine="420" w:firstLineChars="200"/>
              <w:jc w:val="center"/>
              <w:rPr>
                <w:sz w:val="21"/>
                <w:szCs w:val="21"/>
                <w:highlight w:val="none"/>
              </w:rPr>
            </w:pPr>
          </w:p>
        </w:tc>
        <w:tc>
          <w:tcPr>
            <w:tcW w:w="444" w:type="pct"/>
            <w:tcBorders>
              <w:tl2br w:val="nil"/>
              <w:tr2bl w:val="nil"/>
            </w:tcBorders>
            <w:vAlign w:val="center"/>
          </w:tcPr>
          <w:p w14:paraId="790CDB3C">
            <w:pPr>
              <w:ind w:left="0" w:leftChars="0"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SE</w:t>
            </w:r>
          </w:p>
        </w:tc>
        <w:tc>
          <w:tcPr>
            <w:tcW w:w="574" w:type="pct"/>
            <w:tcBorders>
              <w:tl2br w:val="nil"/>
              <w:tr2bl w:val="nil"/>
            </w:tcBorders>
            <w:vAlign w:val="center"/>
          </w:tcPr>
          <w:p w14:paraId="5F7B2629">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190m</w:t>
            </w:r>
          </w:p>
        </w:tc>
      </w:tr>
      <w:tr w14:paraId="2C04412B">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80" w:hRule="atLeast"/>
        </w:trPr>
        <w:tc>
          <w:tcPr>
            <w:tcW w:w="390" w:type="pct"/>
            <w:vMerge w:val="restart"/>
            <w:tcBorders>
              <w:tl2br w:val="nil"/>
              <w:tr2bl w:val="nil"/>
            </w:tcBorders>
            <w:vAlign w:val="center"/>
          </w:tcPr>
          <w:p w14:paraId="783947C9">
            <w:pPr>
              <w:ind w:left="0" w:leftChars="0" w:firstLine="0" w:firstLineChars="0"/>
              <w:jc w:val="center"/>
              <w:rPr>
                <w:sz w:val="21"/>
                <w:szCs w:val="21"/>
                <w:highlight w:val="none"/>
              </w:rPr>
            </w:pPr>
            <w:r>
              <w:rPr>
                <w:rFonts w:hint="eastAsia"/>
                <w:sz w:val="21"/>
                <w:szCs w:val="21"/>
                <w:highlight w:val="none"/>
              </w:rPr>
              <w:t>土壤</w:t>
            </w:r>
          </w:p>
        </w:tc>
        <w:tc>
          <w:tcPr>
            <w:tcW w:w="390" w:type="pct"/>
            <w:tcBorders>
              <w:tl2br w:val="nil"/>
              <w:tr2bl w:val="nil"/>
            </w:tcBorders>
            <w:vAlign w:val="center"/>
          </w:tcPr>
          <w:p w14:paraId="4C890185">
            <w:pPr>
              <w:pStyle w:val="32"/>
              <w:widowControl w:val="0"/>
              <w:adjustRightInd w:val="0"/>
              <w:snapToGrid w:val="0"/>
              <w:jc w:val="center"/>
              <w:rPr>
                <w:rFonts w:ascii="Times New Roman" w:hAnsi="Times New Roman"/>
                <w:sz w:val="21"/>
                <w:szCs w:val="21"/>
                <w:highlight w:val="none"/>
              </w:rPr>
            </w:pPr>
            <w:r>
              <w:rPr>
                <w:rFonts w:hint="eastAsia" w:ascii="Times New Roman" w:hAnsi="Times New Roman"/>
                <w:sz w:val="21"/>
                <w:szCs w:val="21"/>
                <w:highlight w:val="none"/>
                <w:lang w:val="en-US" w:eastAsia="zh-CN"/>
              </w:rPr>
              <w:t>新安幸福嘉园（5层）</w:t>
            </w:r>
          </w:p>
        </w:tc>
        <w:tc>
          <w:tcPr>
            <w:tcW w:w="625" w:type="pct"/>
            <w:tcBorders>
              <w:right w:val="single" w:color="auto" w:sz="4" w:space="0"/>
              <w:tl2br w:val="nil"/>
              <w:tr2bl w:val="nil"/>
            </w:tcBorders>
            <w:vAlign w:val="center"/>
          </w:tcPr>
          <w:p w14:paraId="074E7CFB">
            <w:pPr>
              <w:ind w:left="0" w:lef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val="en-US" w:eastAsia="zh-CN"/>
              </w:rPr>
              <w:t>131.146009</w:t>
            </w:r>
          </w:p>
        </w:tc>
        <w:tc>
          <w:tcPr>
            <w:tcW w:w="598" w:type="pct"/>
            <w:tcBorders>
              <w:left w:val="single" w:color="auto" w:sz="4" w:space="0"/>
              <w:tl2br w:val="nil"/>
              <w:tr2bl w:val="nil"/>
            </w:tcBorders>
            <w:vAlign w:val="center"/>
          </w:tcPr>
          <w:p w14:paraId="5FAC1315">
            <w:pPr>
              <w:ind w:left="0" w:lef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val="en-US" w:eastAsia="zh-CN"/>
              </w:rPr>
              <w:t>44.409068</w:t>
            </w:r>
          </w:p>
        </w:tc>
        <w:tc>
          <w:tcPr>
            <w:tcW w:w="450" w:type="pct"/>
            <w:vMerge w:val="restart"/>
            <w:tcBorders>
              <w:tl2br w:val="nil"/>
              <w:tr2bl w:val="nil"/>
            </w:tcBorders>
            <w:vAlign w:val="center"/>
          </w:tcPr>
          <w:p w14:paraId="5631A2B5">
            <w:pPr>
              <w:ind w:left="0" w:leftChars="0"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居住区</w:t>
            </w:r>
          </w:p>
        </w:tc>
        <w:tc>
          <w:tcPr>
            <w:tcW w:w="476" w:type="pct"/>
            <w:vMerge w:val="restart"/>
            <w:tcBorders>
              <w:tl2br w:val="nil"/>
              <w:tr2bl w:val="nil"/>
            </w:tcBorders>
            <w:vAlign w:val="center"/>
          </w:tcPr>
          <w:p w14:paraId="36A64906">
            <w:pPr>
              <w:ind w:left="0" w:leftChars="0" w:firstLine="0" w:firstLineChars="0"/>
              <w:jc w:val="center"/>
              <w:rPr>
                <w:sz w:val="21"/>
                <w:szCs w:val="21"/>
                <w:highlight w:val="none"/>
              </w:rPr>
            </w:pPr>
            <w:r>
              <w:rPr>
                <w:rFonts w:hint="eastAsia"/>
                <w:sz w:val="21"/>
                <w:szCs w:val="21"/>
                <w:highlight w:val="none"/>
              </w:rPr>
              <w:t>土壤环境</w:t>
            </w:r>
          </w:p>
        </w:tc>
        <w:tc>
          <w:tcPr>
            <w:tcW w:w="1050" w:type="pct"/>
            <w:vMerge w:val="restart"/>
            <w:tcBorders>
              <w:tl2br w:val="nil"/>
              <w:tr2bl w:val="nil"/>
            </w:tcBorders>
            <w:vAlign w:val="center"/>
          </w:tcPr>
          <w:p w14:paraId="7A5D3BBA">
            <w:pPr>
              <w:ind w:left="0" w:leftChars="0" w:firstLine="0" w:firstLineChars="0"/>
              <w:jc w:val="both"/>
              <w:rPr>
                <w:sz w:val="21"/>
                <w:szCs w:val="21"/>
                <w:highlight w:val="none"/>
              </w:rPr>
            </w:pPr>
            <w:r>
              <w:rPr>
                <w:sz w:val="21"/>
                <w:szCs w:val="21"/>
                <w:highlight w:val="none"/>
              </w:rPr>
              <w:t>《土壤环境质量建设用地土壤污染风险管控标准（试行）》（GB36600-2018）中第</w:t>
            </w:r>
            <w:r>
              <w:rPr>
                <w:rFonts w:hint="eastAsia"/>
                <w:sz w:val="21"/>
                <w:szCs w:val="21"/>
                <w:highlight w:val="none"/>
                <w:lang w:val="en-US" w:eastAsia="zh-CN"/>
              </w:rPr>
              <w:t>一</w:t>
            </w:r>
            <w:r>
              <w:rPr>
                <w:sz w:val="21"/>
                <w:szCs w:val="21"/>
                <w:highlight w:val="none"/>
              </w:rPr>
              <w:t>类建设用地风险筛选值</w:t>
            </w:r>
          </w:p>
        </w:tc>
        <w:tc>
          <w:tcPr>
            <w:tcW w:w="444" w:type="pct"/>
            <w:tcBorders>
              <w:bottom w:val="single" w:color="auto" w:sz="4" w:space="0"/>
              <w:tl2br w:val="nil"/>
              <w:tr2bl w:val="nil"/>
            </w:tcBorders>
            <w:vAlign w:val="center"/>
          </w:tcPr>
          <w:p w14:paraId="0119316D">
            <w:pPr>
              <w:ind w:left="0" w:leftChars="0" w:firstLine="0" w:firstLineChars="0"/>
              <w:jc w:val="center"/>
              <w:rPr>
                <w:sz w:val="21"/>
                <w:szCs w:val="21"/>
                <w:highlight w:val="none"/>
              </w:rPr>
            </w:pPr>
            <w:r>
              <w:rPr>
                <w:rFonts w:hint="eastAsia"/>
                <w:sz w:val="21"/>
                <w:szCs w:val="21"/>
                <w:highlight w:val="none"/>
              </w:rPr>
              <w:t>W</w:t>
            </w:r>
          </w:p>
        </w:tc>
        <w:tc>
          <w:tcPr>
            <w:tcW w:w="574" w:type="pct"/>
            <w:tcBorders>
              <w:tl2br w:val="nil"/>
              <w:tr2bl w:val="nil"/>
            </w:tcBorders>
            <w:vAlign w:val="center"/>
          </w:tcPr>
          <w:p w14:paraId="122545CD">
            <w:pPr>
              <w:jc w:val="both"/>
              <w:rPr>
                <w:sz w:val="21"/>
                <w:szCs w:val="21"/>
                <w:highlight w:val="none"/>
              </w:rPr>
            </w:pPr>
            <w:r>
              <w:rPr>
                <w:rFonts w:hint="eastAsia"/>
                <w:sz w:val="21"/>
                <w:szCs w:val="21"/>
                <w:highlight w:val="none"/>
                <w:lang w:val="en-US" w:eastAsia="zh-CN"/>
              </w:rPr>
              <w:t>20</w:t>
            </w:r>
            <w:r>
              <w:rPr>
                <w:rFonts w:hint="eastAsia"/>
                <w:sz w:val="21"/>
                <w:szCs w:val="21"/>
                <w:highlight w:val="none"/>
              </w:rPr>
              <w:t>m</w:t>
            </w:r>
          </w:p>
        </w:tc>
      </w:tr>
      <w:tr w14:paraId="10C33E5B">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3F9843C1">
            <w:pPr>
              <w:ind w:left="0" w:leftChars="0" w:firstLine="0" w:firstLineChars="0"/>
              <w:jc w:val="center"/>
              <w:rPr>
                <w:rFonts w:hint="eastAsia"/>
                <w:sz w:val="21"/>
                <w:szCs w:val="21"/>
                <w:highlight w:val="none"/>
              </w:rPr>
            </w:pPr>
          </w:p>
        </w:tc>
        <w:tc>
          <w:tcPr>
            <w:tcW w:w="390" w:type="pct"/>
            <w:tcBorders>
              <w:tl2br w:val="nil"/>
              <w:tr2bl w:val="nil"/>
            </w:tcBorders>
            <w:vAlign w:val="center"/>
          </w:tcPr>
          <w:p w14:paraId="42A29C6C">
            <w:pPr>
              <w:pStyle w:val="32"/>
              <w:widowControl w:val="0"/>
              <w:adjustRightInd w:val="0"/>
              <w:snapToGrid w:val="0"/>
              <w:jc w:val="center"/>
              <w:rPr>
                <w:rFonts w:hint="eastAsia"/>
                <w:sz w:val="21"/>
                <w:szCs w:val="21"/>
                <w:highlight w:val="none"/>
                <w:lang w:val="en-US" w:eastAsia="zh-CN"/>
              </w:rPr>
            </w:pPr>
            <w:r>
              <w:rPr>
                <w:rFonts w:hint="eastAsia" w:ascii="Times New Roman" w:hAnsi="Times New Roman"/>
                <w:sz w:val="21"/>
                <w:szCs w:val="21"/>
                <w:highlight w:val="none"/>
                <w:lang w:val="en-US" w:eastAsia="zh-CN"/>
              </w:rPr>
              <w:t>旅游局家属楼（11层）</w:t>
            </w:r>
          </w:p>
        </w:tc>
        <w:tc>
          <w:tcPr>
            <w:tcW w:w="625" w:type="pct"/>
            <w:tcBorders>
              <w:right w:val="single" w:color="auto" w:sz="4" w:space="0"/>
              <w:tl2br w:val="nil"/>
              <w:tr2bl w:val="nil"/>
            </w:tcBorders>
            <w:vAlign w:val="center"/>
          </w:tcPr>
          <w:p w14:paraId="605E7BFE">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131.148648</w:t>
            </w:r>
          </w:p>
        </w:tc>
        <w:tc>
          <w:tcPr>
            <w:tcW w:w="598" w:type="pct"/>
            <w:tcBorders>
              <w:left w:val="single" w:color="auto" w:sz="4" w:space="0"/>
              <w:tl2br w:val="nil"/>
              <w:tr2bl w:val="nil"/>
            </w:tcBorders>
            <w:vAlign w:val="center"/>
          </w:tcPr>
          <w:p w14:paraId="565BFF84">
            <w:pPr>
              <w:ind w:left="0" w:lef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44.408892</w:t>
            </w:r>
          </w:p>
        </w:tc>
        <w:tc>
          <w:tcPr>
            <w:tcW w:w="450" w:type="pct"/>
            <w:vMerge w:val="continue"/>
            <w:tcBorders>
              <w:bottom w:val="single" w:color="auto" w:sz="4" w:space="0"/>
              <w:tl2br w:val="nil"/>
              <w:tr2bl w:val="nil"/>
            </w:tcBorders>
            <w:vAlign w:val="center"/>
          </w:tcPr>
          <w:p w14:paraId="7EDBFEE1">
            <w:pPr>
              <w:ind w:left="0" w:leftChars="0" w:firstLine="0" w:firstLineChars="0"/>
              <w:jc w:val="center"/>
              <w:rPr>
                <w:sz w:val="21"/>
                <w:szCs w:val="21"/>
                <w:highlight w:val="none"/>
              </w:rPr>
            </w:pPr>
          </w:p>
        </w:tc>
        <w:tc>
          <w:tcPr>
            <w:tcW w:w="476" w:type="pct"/>
            <w:vMerge w:val="continue"/>
            <w:tcBorders>
              <w:bottom w:val="single" w:color="auto" w:sz="4" w:space="0"/>
              <w:tl2br w:val="nil"/>
              <w:tr2bl w:val="nil"/>
            </w:tcBorders>
            <w:vAlign w:val="center"/>
          </w:tcPr>
          <w:p w14:paraId="673C47A3">
            <w:pPr>
              <w:ind w:left="0" w:leftChars="0" w:firstLine="0" w:firstLineChars="0"/>
              <w:jc w:val="center"/>
              <w:rPr>
                <w:rFonts w:hint="eastAsia"/>
                <w:sz w:val="21"/>
                <w:szCs w:val="21"/>
                <w:highlight w:val="none"/>
              </w:rPr>
            </w:pPr>
          </w:p>
        </w:tc>
        <w:tc>
          <w:tcPr>
            <w:tcW w:w="1050" w:type="pct"/>
            <w:vMerge w:val="continue"/>
            <w:tcBorders>
              <w:bottom w:val="single" w:color="auto" w:sz="4" w:space="0"/>
              <w:tl2br w:val="nil"/>
              <w:tr2bl w:val="nil"/>
            </w:tcBorders>
            <w:vAlign w:val="center"/>
          </w:tcPr>
          <w:p w14:paraId="241B5BD5">
            <w:pPr>
              <w:ind w:left="0" w:leftChars="0" w:firstLine="0" w:firstLineChars="0"/>
              <w:jc w:val="both"/>
              <w:rPr>
                <w:sz w:val="21"/>
                <w:szCs w:val="21"/>
                <w:highlight w:val="none"/>
              </w:rPr>
            </w:pPr>
          </w:p>
        </w:tc>
        <w:tc>
          <w:tcPr>
            <w:tcW w:w="444" w:type="pct"/>
            <w:tcBorders>
              <w:bottom w:val="single" w:color="auto" w:sz="4" w:space="0"/>
              <w:tl2br w:val="nil"/>
              <w:tr2bl w:val="nil"/>
            </w:tcBorders>
            <w:vAlign w:val="center"/>
          </w:tcPr>
          <w:p w14:paraId="06E58200">
            <w:pPr>
              <w:ind w:left="0" w:leftChars="0" w:firstLine="0" w:firstLineChars="0"/>
              <w:jc w:val="center"/>
              <w:rPr>
                <w:rFonts w:hint="eastAsia"/>
                <w:sz w:val="21"/>
                <w:szCs w:val="21"/>
                <w:highlight w:val="none"/>
              </w:rPr>
            </w:pPr>
            <w:r>
              <w:rPr>
                <w:rFonts w:hint="eastAsia"/>
                <w:sz w:val="21"/>
                <w:szCs w:val="21"/>
                <w:highlight w:val="none"/>
                <w:lang w:val="en-US" w:eastAsia="zh-CN"/>
              </w:rPr>
              <w:t>E</w:t>
            </w:r>
          </w:p>
        </w:tc>
        <w:tc>
          <w:tcPr>
            <w:tcW w:w="574" w:type="pct"/>
            <w:tcBorders>
              <w:tl2br w:val="nil"/>
              <w:tr2bl w:val="nil"/>
            </w:tcBorders>
            <w:vAlign w:val="center"/>
          </w:tcPr>
          <w:p w14:paraId="61CB43B0">
            <w:pPr>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20m</w:t>
            </w:r>
          </w:p>
        </w:tc>
      </w:tr>
      <w:tr w14:paraId="2EC890A1">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90" w:type="pct"/>
            <w:vMerge w:val="continue"/>
            <w:tcBorders>
              <w:tl2br w:val="nil"/>
              <w:tr2bl w:val="nil"/>
            </w:tcBorders>
            <w:vAlign w:val="center"/>
          </w:tcPr>
          <w:p w14:paraId="02CFDCDF">
            <w:pPr>
              <w:jc w:val="center"/>
              <w:rPr>
                <w:sz w:val="21"/>
                <w:szCs w:val="21"/>
                <w:highlight w:val="none"/>
              </w:rPr>
            </w:pPr>
          </w:p>
        </w:tc>
        <w:tc>
          <w:tcPr>
            <w:tcW w:w="390" w:type="pct"/>
            <w:tcBorders>
              <w:tl2br w:val="nil"/>
              <w:tr2bl w:val="nil"/>
            </w:tcBorders>
            <w:vAlign w:val="center"/>
          </w:tcPr>
          <w:p w14:paraId="72F1E3EE">
            <w:pPr>
              <w:pStyle w:val="32"/>
              <w:widowControl w:val="0"/>
              <w:adjustRightInd w:val="0"/>
              <w:snapToGrid w:val="0"/>
              <w:jc w:val="center"/>
              <w:rPr>
                <w:rFonts w:ascii="Times New Roman" w:hAnsi="Times New Roman"/>
                <w:sz w:val="21"/>
                <w:szCs w:val="21"/>
                <w:highlight w:val="none"/>
              </w:rPr>
            </w:pPr>
            <w:r>
              <w:rPr>
                <w:rFonts w:hint="eastAsia" w:ascii="Times New Roman" w:hAnsi="Times New Roman"/>
                <w:sz w:val="21"/>
                <w:szCs w:val="21"/>
                <w:highlight w:val="none"/>
              </w:rPr>
              <w:t>附近林地</w:t>
            </w:r>
          </w:p>
        </w:tc>
        <w:tc>
          <w:tcPr>
            <w:tcW w:w="625" w:type="pct"/>
            <w:tcBorders>
              <w:right w:val="single" w:color="auto" w:sz="4" w:space="0"/>
              <w:tl2br w:val="nil"/>
              <w:tr2bl w:val="nil"/>
            </w:tcBorders>
            <w:vAlign w:val="center"/>
          </w:tcPr>
          <w:p w14:paraId="7DD622FA">
            <w:pPr>
              <w:ind w:left="0" w:leftChars="0"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131.147254</w:t>
            </w:r>
          </w:p>
        </w:tc>
        <w:tc>
          <w:tcPr>
            <w:tcW w:w="598" w:type="pct"/>
            <w:tcBorders>
              <w:left w:val="single" w:color="auto" w:sz="4" w:space="0"/>
              <w:tl2br w:val="nil"/>
              <w:tr2bl w:val="nil"/>
            </w:tcBorders>
            <w:vAlign w:val="center"/>
          </w:tcPr>
          <w:p w14:paraId="6A45EDBB">
            <w:pPr>
              <w:ind w:left="0" w:leftChars="0"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44.409896</w:t>
            </w:r>
          </w:p>
        </w:tc>
        <w:tc>
          <w:tcPr>
            <w:tcW w:w="450" w:type="pct"/>
            <w:tcBorders>
              <w:top w:val="single" w:color="auto" w:sz="4" w:space="0"/>
              <w:tl2br w:val="nil"/>
              <w:tr2bl w:val="nil"/>
            </w:tcBorders>
            <w:vAlign w:val="center"/>
          </w:tcPr>
          <w:p w14:paraId="4BD88EEA">
            <w:pPr>
              <w:ind w:left="0" w:leftChars="0" w:firstLine="0" w:firstLineChars="0"/>
              <w:jc w:val="center"/>
              <w:rPr>
                <w:rFonts w:hint="eastAsia" w:eastAsia="宋体"/>
                <w:sz w:val="21"/>
                <w:szCs w:val="21"/>
                <w:highlight w:val="none"/>
                <w:lang w:val="en-US" w:eastAsia="zh-CN"/>
              </w:rPr>
            </w:pPr>
            <w:r>
              <w:rPr>
                <w:rFonts w:hint="eastAsia"/>
                <w:sz w:val="21"/>
                <w:szCs w:val="21"/>
                <w:highlight w:val="none"/>
                <w:lang w:val="en-US" w:eastAsia="zh-CN"/>
              </w:rPr>
              <w:t>林地</w:t>
            </w:r>
          </w:p>
        </w:tc>
        <w:tc>
          <w:tcPr>
            <w:tcW w:w="476" w:type="pct"/>
            <w:tcBorders>
              <w:top w:val="single" w:color="auto" w:sz="4" w:space="0"/>
              <w:tl2br w:val="nil"/>
              <w:tr2bl w:val="nil"/>
            </w:tcBorders>
            <w:vAlign w:val="center"/>
          </w:tcPr>
          <w:p w14:paraId="71ED0940">
            <w:pPr>
              <w:ind w:left="0" w:leftChars="0" w:firstLine="0" w:firstLineChars="0"/>
              <w:jc w:val="center"/>
              <w:rPr>
                <w:rFonts w:hint="eastAsia" w:eastAsia="宋体"/>
                <w:sz w:val="21"/>
                <w:szCs w:val="21"/>
                <w:highlight w:val="none"/>
                <w:lang w:val="en-US" w:eastAsia="zh-CN"/>
              </w:rPr>
            </w:pPr>
            <w:r>
              <w:rPr>
                <w:rFonts w:hint="eastAsia"/>
                <w:sz w:val="21"/>
                <w:szCs w:val="21"/>
                <w:highlight w:val="none"/>
                <w:lang w:val="en-US" w:eastAsia="zh-CN"/>
              </w:rPr>
              <w:t>土壤环境</w:t>
            </w:r>
          </w:p>
        </w:tc>
        <w:tc>
          <w:tcPr>
            <w:tcW w:w="1050" w:type="pct"/>
            <w:tcBorders>
              <w:top w:val="single" w:color="auto" w:sz="4" w:space="0"/>
              <w:tl2br w:val="nil"/>
              <w:tr2bl w:val="nil"/>
            </w:tcBorders>
            <w:vAlign w:val="center"/>
          </w:tcPr>
          <w:p w14:paraId="78C56D8F">
            <w:pPr>
              <w:ind w:left="0" w:leftChars="0" w:firstLine="0" w:firstLineChars="0"/>
              <w:jc w:val="both"/>
              <w:rPr>
                <w:sz w:val="21"/>
                <w:szCs w:val="21"/>
                <w:highlight w:val="none"/>
              </w:rPr>
            </w:pPr>
            <w:r>
              <w:rPr>
                <w:sz w:val="21"/>
                <w:szCs w:val="21"/>
                <w:highlight w:val="none"/>
              </w:rPr>
              <w:t>《土壤环境质量农用地土壤污染风险管控标准（试行）》（GB15618</w:t>
            </w:r>
            <w:r>
              <w:rPr>
                <w:rFonts w:hint="eastAsia"/>
                <w:sz w:val="21"/>
                <w:szCs w:val="21"/>
                <w:highlight w:val="none"/>
              </w:rPr>
              <w:t>-</w:t>
            </w:r>
            <w:r>
              <w:rPr>
                <w:sz w:val="21"/>
                <w:szCs w:val="21"/>
                <w:highlight w:val="none"/>
              </w:rPr>
              <w:t>2018）风险筛选值</w:t>
            </w:r>
          </w:p>
        </w:tc>
        <w:tc>
          <w:tcPr>
            <w:tcW w:w="444" w:type="pct"/>
            <w:tcBorders>
              <w:top w:val="single" w:color="auto" w:sz="4" w:space="0"/>
              <w:tl2br w:val="nil"/>
              <w:tr2bl w:val="nil"/>
            </w:tcBorders>
            <w:vAlign w:val="center"/>
          </w:tcPr>
          <w:p w14:paraId="6A413C8E">
            <w:pPr>
              <w:jc w:val="both"/>
              <w:rPr>
                <w:rFonts w:hint="default" w:eastAsia="宋体"/>
                <w:sz w:val="21"/>
                <w:szCs w:val="21"/>
                <w:highlight w:val="none"/>
                <w:lang w:val="en-US" w:eastAsia="zh-CN"/>
              </w:rPr>
            </w:pPr>
            <w:r>
              <w:rPr>
                <w:rFonts w:hint="eastAsia"/>
                <w:sz w:val="21"/>
                <w:szCs w:val="21"/>
                <w:highlight w:val="none"/>
                <w:lang w:val="en-US" w:eastAsia="zh-CN"/>
              </w:rPr>
              <w:t>W</w:t>
            </w:r>
          </w:p>
        </w:tc>
        <w:tc>
          <w:tcPr>
            <w:tcW w:w="574" w:type="pct"/>
            <w:tcBorders>
              <w:tl2br w:val="nil"/>
              <w:tr2bl w:val="nil"/>
            </w:tcBorders>
            <w:vAlign w:val="center"/>
          </w:tcPr>
          <w:p w14:paraId="48002CC3">
            <w:pPr>
              <w:jc w:val="both"/>
              <w:rPr>
                <w:sz w:val="21"/>
                <w:szCs w:val="21"/>
                <w:highlight w:val="none"/>
              </w:rPr>
            </w:pPr>
            <w:r>
              <w:rPr>
                <w:rFonts w:hint="eastAsia"/>
                <w:sz w:val="21"/>
                <w:szCs w:val="21"/>
                <w:highlight w:val="none"/>
                <w:lang w:val="en-US" w:eastAsia="zh-CN"/>
              </w:rPr>
              <w:t>10</w:t>
            </w:r>
            <w:r>
              <w:rPr>
                <w:rFonts w:hint="eastAsia"/>
                <w:sz w:val="21"/>
                <w:szCs w:val="21"/>
                <w:highlight w:val="none"/>
              </w:rPr>
              <w:t>m</w:t>
            </w:r>
          </w:p>
        </w:tc>
      </w:tr>
    </w:tbl>
    <w:p w14:paraId="03420705">
      <w:pPr>
        <w:autoSpaceDE w:val="0"/>
        <w:autoSpaceDN w:val="0"/>
        <w:adjustRightInd w:val="0"/>
        <w:spacing w:line="360" w:lineRule="auto"/>
        <w:jc w:val="center"/>
        <w:rPr>
          <w:b/>
          <w:bCs/>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37D06C4A">
      <w:pPr>
        <w:pStyle w:val="11"/>
        <w:rPr>
          <w:highlight w:val="none"/>
        </w:rPr>
      </w:pPr>
    </w:p>
    <w:p w14:paraId="76C51B79">
      <w:pPr>
        <w:autoSpaceDE w:val="0"/>
        <w:autoSpaceDN w:val="0"/>
        <w:adjustRightInd w:val="0"/>
        <w:spacing w:line="360" w:lineRule="auto"/>
        <w:ind w:left="0" w:leftChars="0" w:firstLine="0" w:firstLineChars="0"/>
        <w:jc w:val="both"/>
        <w:rPr>
          <w:rFonts w:hint="eastAsia" w:eastAsia="宋体"/>
          <w:b/>
          <w:bCs/>
          <w:highlight w:val="none"/>
          <w:lang w:eastAsia="zh-CN"/>
        </w:rPr>
      </w:pPr>
      <w:r>
        <w:rPr>
          <w:highlight w:val="none"/>
        </w:rPr>
        <mc:AlternateContent>
          <mc:Choice Requires="wps">
            <w:drawing>
              <wp:anchor distT="0" distB="0" distL="114300" distR="114300" simplePos="0" relativeHeight="251675648" behindDoc="0" locked="0" layoutInCell="1" allowOverlap="1">
                <wp:simplePos x="0" y="0"/>
                <wp:positionH relativeFrom="column">
                  <wp:posOffset>4132580</wp:posOffset>
                </wp:positionH>
                <wp:positionV relativeFrom="paragraph">
                  <wp:posOffset>6003290</wp:posOffset>
                </wp:positionV>
                <wp:extent cx="211455" cy="137160"/>
                <wp:effectExtent l="6350" t="6350" r="10795" b="8890"/>
                <wp:wrapNone/>
                <wp:docPr id="20" name="矩形 20"/>
                <wp:cNvGraphicFramePr/>
                <a:graphic xmlns:a="http://schemas.openxmlformats.org/drawingml/2006/main">
                  <a:graphicData uri="http://schemas.microsoft.com/office/word/2010/wordprocessingShape">
                    <wps:wsp>
                      <wps:cNvSpPr/>
                      <wps:spPr>
                        <a:xfrm>
                          <a:off x="5610860" y="5943600"/>
                          <a:ext cx="211455" cy="137160"/>
                        </a:xfrm>
                        <a:prstGeom prst="rect">
                          <a:avLst/>
                        </a:prstGeom>
                        <a:solidFill>
                          <a:schemeClr val="bg1"/>
                        </a:solidFill>
                        <a:ln>
                          <a:solidFill>
                            <a:schemeClr val="accent1">
                              <a:lumMod val="75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5.4pt;margin-top:472.7pt;height:10.8pt;width:16.65pt;z-index:251675648;v-text-anchor:middle;mso-width-relative:page;mso-height-relative:page;" fillcolor="#FFFFFF [3212]" filled="t" stroked="t" coordsize="21600,21600" o:gfxdata="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bD1cCtoA&#10;AAALAQAADwAAAAAAAAABACAAAAAiAAAAZHJzL2Rvd25yZXYueG1sUEsBAhQAFAAAAAgAh07iQLsn&#10;Qq6PAgAAIwUAAA4AAAAAAAAAAQAgAAAAKQEAAGRycy9lMm9Eb2MueG1sUEsFBgAAAAAGAAYAWQEA&#10;ACoGAAAAAA==&#10;">
                <v:fill on="t" focussize="0,0"/>
                <v:stroke weight="1pt" color="#2E54A1 [2404]" miterlimit="8" joinstyle="miter"/>
                <v:imagedata o:title=""/>
                <o:lock v:ext="edit" aspectratio="f"/>
              </v:rect>
            </w:pict>
          </mc:Fallback>
        </mc:AlternateContent>
      </w:r>
      <w:r>
        <w:rPr>
          <w:sz w:val="24"/>
          <w:highlight w:val="none"/>
        </w:rPr>
        <mc:AlternateContent>
          <mc:Choice Requires="wps">
            <w:drawing>
              <wp:anchor distT="0" distB="0" distL="114300" distR="114300" simplePos="0" relativeHeight="251676672" behindDoc="0" locked="0" layoutInCell="1" allowOverlap="1">
                <wp:simplePos x="0" y="0"/>
                <wp:positionH relativeFrom="column">
                  <wp:posOffset>4123055</wp:posOffset>
                </wp:positionH>
                <wp:positionV relativeFrom="paragraph">
                  <wp:posOffset>5678170</wp:posOffset>
                </wp:positionV>
                <wp:extent cx="219075" cy="153035"/>
                <wp:effectExtent l="6350" t="6350" r="22225" b="12065"/>
                <wp:wrapNone/>
                <wp:docPr id="24" name="矩形 24"/>
                <wp:cNvGraphicFramePr/>
                <a:graphic xmlns:a="http://schemas.openxmlformats.org/drawingml/2006/main">
                  <a:graphicData uri="http://schemas.microsoft.com/office/word/2010/wordprocessingShape">
                    <wps:wsp>
                      <wps:cNvSpPr/>
                      <wps:spPr>
                        <a:xfrm>
                          <a:off x="5418455" y="5982970"/>
                          <a:ext cx="219075" cy="153035"/>
                        </a:xfrm>
                        <a:prstGeom prst="rect">
                          <a:avLst/>
                        </a:prstGeom>
                        <a:noFill/>
                        <a:ln>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4.65pt;margin-top:447.1pt;height:12.05pt;width:17.25pt;z-index:251676672;v-text-anchor:middle;mso-width-relative:page;mso-height-relative:page;" filled="f" stroked="t" coordsize="21600,21600" o:gfxdata="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ihvqc2gAAAAsBAAAPAAAAAAAAAAEAIAAAACIAAABk&#10;cnMvZG93bnJldi54bWxQSwECFAAUAAAACACHTuJAtODXE3YCAADYBAAADgAAAAAAAAABACAAAAAp&#10;AQAAZHJzL2Uyb0RvYy54bWxQSwUGAAAAAAYABgBZAQAAEQYAAAAA&#10;">
                <v:fill on="f" focussize="0,0"/>
                <v:stroke weight="1pt" color="#C00000 [2404]" miterlimit="8" joinstyle="miter"/>
                <v:imagedata o:title=""/>
                <o:lock v:ext="edit" aspectratio="f"/>
              </v:rect>
            </w:pict>
          </mc:Fallback>
        </mc:AlternateContent>
      </w:r>
      <w:r>
        <w:rPr>
          <w:highlight w:val="none"/>
        </w:rPr>
        <mc:AlternateContent>
          <mc:Choice Requires="wps">
            <w:drawing>
              <wp:anchor distT="0" distB="0" distL="114300" distR="114300" simplePos="0" relativeHeight="251674624" behindDoc="0" locked="0" layoutInCell="1" allowOverlap="1">
                <wp:simplePos x="0" y="0"/>
                <wp:positionH relativeFrom="column">
                  <wp:posOffset>3959860</wp:posOffset>
                </wp:positionH>
                <wp:positionV relativeFrom="paragraph">
                  <wp:posOffset>5290185</wp:posOffset>
                </wp:positionV>
                <wp:extent cx="1317625" cy="1051560"/>
                <wp:effectExtent l="4445" t="4445" r="11430" b="10795"/>
                <wp:wrapNone/>
                <wp:docPr id="19" name="文本框 19"/>
                <wp:cNvGraphicFramePr/>
                <a:graphic xmlns:a="http://schemas.openxmlformats.org/drawingml/2006/main">
                  <a:graphicData uri="http://schemas.microsoft.com/office/word/2010/wordprocessingShape">
                    <wps:wsp>
                      <wps:cNvSpPr txBox="1"/>
                      <wps:spPr>
                        <a:xfrm>
                          <a:off x="5515610" y="5826760"/>
                          <a:ext cx="1317625" cy="10515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B6F1F3E">
                            <w:r>
                              <w:rPr>
                                <w:rFonts w:hint="eastAsia"/>
                              </w:rPr>
                              <w:t>图 例</w:t>
                            </w:r>
                          </w:p>
                          <w:p w14:paraId="4B83A26C">
                            <w:pPr>
                              <w:ind w:firstLine="480" w:firstLineChars="200"/>
                            </w:pPr>
                            <w:r>
                              <w:rPr>
                                <w:rFonts w:hint="eastAsia"/>
                              </w:rPr>
                              <w:t>项目位置</w:t>
                            </w:r>
                          </w:p>
                          <w:p w14:paraId="756E9FA1">
                            <w:pPr>
                              <w:ind w:firstLine="480" w:firstLineChars="200"/>
                            </w:pPr>
                            <w:r>
                              <w:rPr>
                                <w:rFonts w:hint="eastAsia"/>
                              </w:rPr>
                              <w:t>保护目标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1.8pt;margin-top:416.55pt;height:82.8pt;width:103.75pt;z-index:251674624;mso-width-relative:page;mso-height-relative:page;" fillcolor="#FFFFFF [3201]" filled="t" stroked="t" coordsize="21600,21600" o:gfxdata="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jmhwI1wAAAAsBAAAPAAAAAAAAAAEAIAAAACIAAABkcnMvZG93bnJldi54bWxQSwECFAAU&#10;AAAACACHTuJA6wX3iWQCAADGBAAADgAAAAAAAAABACAAAAAmAQAAZHJzL2Uyb0RvYy54bWxQSwUG&#10;AAAAAAYABgBZAQAA/AUAAAAA&#10;">
                <v:fill on="t" focussize="0,0"/>
                <v:stroke weight="0.5pt" color="#000000 [3204]" joinstyle="round"/>
                <v:imagedata o:title=""/>
                <o:lock v:ext="edit" aspectratio="f"/>
                <v:textbox>
                  <w:txbxContent>
                    <w:p w14:paraId="0B6F1F3E">
                      <w:r>
                        <w:rPr>
                          <w:rFonts w:hint="eastAsia"/>
                        </w:rPr>
                        <w:t>图 例</w:t>
                      </w:r>
                    </w:p>
                    <w:p w14:paraId="4B83A26C">
                      <w:pPr>
                        <w:ind w:firstLine="480" w:firstLineChars="200"/>
                      </w:pPr>
                      <w:r>
                        <w:rPr>
                          <w:rFonts w:hint="eastAsia"/>
                        </w:rPr>
                        <w:t>项目位置</w:t>
                      </w:r>
                    </w:p>
                    <w:p w14:paraId="756E9FA1">
                      <w:pPr>
                        <w:ind w:firstLine="480" w:firstLineChars="200"/>
                      </w:pPr>
                      <w:r>
                        <w:rPr>
                          <w:rFonts w:hint="eastAsia"/>
                        </w:rPr>
                        <w:t>保护目标</w:t>
                      </w:r>
                    </w:p>
                  </w:txbxContent>
                </v:textbox>
              </v:shape>
            </w:pict>
          </mc:Fallback>
        </mc:AlternateContent>
      </w:r>
      <w:r>
        <w:rPr>
          <w:highlight w:val="none"/>
        </w:rPr>
        <w:drawing>
          <wp:anchor distT="0" distB="0" distL="114300" distR="114300" simplePos="0" relativeHeight="251675648" behindDoc="0" locked="0" layoutInCell="1" allowOverlap="1">
            <wp:simplePos x="0" y="0"/>
            <wp:positionH relativeFrom="column">
              <wp:posOffset>4313555</wp:posOffset>
            </wp:positionH>
            <wp:positionV relativeFrom="paragraph">
              <wp:posOffset>7620</wp:posOffset>
            </wp:positionV>
            <wp:extent cx="952500" cy="1123950"/>
            <wp:effectExtent l="0" t="0" r="0" b="0"/>
            <wp:wrapNone/>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15"/>
                    <a:stretch>
                      <a:fillRect/>
                    </a:stretch>
                  </pic:blipFill>
                  <pic:spPr>
                    <a:xfrm>
                      <a:off x="0" y="0"/>
                      <a:ext cx="952500" cy="1123950"/>
                    </a:xfrm>
                    <a:prstGeom prst="rect">
                      <a:avLst/>
                    </a:prstGeom>
                    <a:noFill/>
                    <a:ln>
                      <a:noFill/>
                    </a:ln>
                  </pic:spPr>
                </pic:pic>
              </a:graphicData>
            </a:graphic>
          </wp:anchor>
        </w:drawing>
      </w:r>
      <w:r>
        <w:rPr>
          <w:rFonts w:hint="eastAsia" w:eastAsia="宋体"/>
          <w:b/>
          <w:bCs/>
          <w:highlight w:val="none"/>
          <w:lang w:eastAsia="zh-CN"/>
        </w:rPr>
        <w:drawing>
          <wp:inline distT="0" distB="0" distL="114300" distR="114300">
            <wp:extent cx="5261610" cy="6323965"/>
            <wp:effectExtent l="0" t="0" r="15240" b="635"/>
            <wp:docPr id="30" name="图片 30" descr="84ce9957ac850177b1746c1137d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84ce9957ac850177b1746c1137d0017"/>
                    <pic:cNvPicPr>
                      <a:picLocks noChangeAspect="1"/>
                    </pic:cNvPicPr>
                  </pic:nvPicPr>
                  <pic:blipFill>
                    <a:blip r:embed="rId16"/>
                    <a:stretch>
                      <a:fillRect/>
                    </a:stretch>
                  </pic:blipFill>
                  <pic:spPr>
                    <a:xfrm>
                      <a:off x="0" y="0"/>
                      <a:ext cx="5261610" cy="6323965"/>
                    </a:xfrm>
                    <a:prstGeom prst="rect">
                      <a:avLst/>
                    </a:prstGeom>
                  </pic:spPr>
                </pic:pic>
              </a:graphicData>
            </a:graphic>
          </wp:inline>
        </w:drawing>
      </w:r>
    </w:p>
    <w:p w14:paraId="082439FB">
      <w:pPr>
        <w:ind w:firstLine="0" w:firstLineChars="0"/>
        <w:jc w:val="center"/>
        <w:rPr>
          <w:rFonts w:hint="eastAsia" w:ascii="黑体" w:hAnsi="黑体" w:eastAsia="黑体" w:cs="黑体"/>
          <w:highlight w:val="none"/>
        </w:rPr>
      </w:pPr>
      <w:r>
        <w:rPr>
          <w:rFonts w:hint="eastAsia" w:ascii="黑体" w:hAnsi="黑体" w:eastAsia="黑体" w:cs="黑体"/>
          <w:highlight w:val="none"/>
        </w:rPr>
        <w:t>图</w:t>
      </w:r>
      <w:r>
        <w:rPr>
          <w:rFonts w:hint="default" w:ascii="Times New Roman" w:hAnsi="Times New Roman" w:eastAsia="黑体" w:cs="Times New Roman"/>
          <w:highlight w:val="none"/>
        </w:rPr>
        <w:t>2.6-1</w:t>
      </w:r>
      <w:r>
        <w:rPr>
          <w:rFonts w:hint="eastAsia" w:ascii="黑体" w:hAnsi="黑体" w:eastAsia="黑体" w:cs="黑体"/>
          <w:highlight w:val="none"/>
        </w:rPr>
        <w:t>大气评价范围图</w:t>
      </w:r>
    </w:p>
    <w:p w14:paraId="0C8D1E44">
      <w:pPr>
        <w:pStyle w:val="11"/>
        <w:rPr>
          <w:rFonts w:hint="eastAsia" w:ascii="黑体" w:hAnsi="黑体" w:eastAsia="黑体" w:cs="黑体"/>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7357EED1">
      <w:pPr>
        <w:pStyle w:val="3"/>
        <w:bidi w:val="0"/>
        <w:rPr>
          <w:rFonts w:hint="eastAsia"/>
          <w:highlight w:val="none"/>
          <w:lang w:val="en-US" w:eastAsia="zh-CN"/>
        </w:rPr>
      </w:pPr>
      <w:bookmarkStart w:id="52" w:name="_Toc11958"/>
      <w:r>
        <w:rPr>
          <w:rFonts w:hint="eastAsia"/>
          <w:highlight w:val="none"/>
          <w:lang w:val="en-US" w:eastAsia="zh-CN"/>
        </w:rPr>
        <w:t>3工程概况及工程分析</w:t>
      </w:r>
      <w:bookmarkEnd w:id="52"/>
    </w:p>
    <w:p w14:paraId="641FBF8D">
      <w:pPr>
        <w:pStyle w:val="4"/>
        <w:bidi w:val="0"/>
        <w:ind w:left="0" w:leftChars="0" w:firstLine="0" w:firstLineChars="0"/>
        <w:rPr>
          <w:rFonts w:hint="eastAsia"/>
          <w:highlight w:val="none"/>
          <w:lang w:val="en-US" w:eastAsia="zh-CN"/>
        </w:rPr>
      </w:pPr>
      <w:bookmarkStart w:id="53" w:name="_Toc9601"/>
      <w:r>
        <w:rPr>
          <w:rFonts w:hint="default" w:ascii="Times New Roman" w:hAnsi="Times New Roman" w:cs="Times New Roman"/>
          <w:highlight w:val="none"/>
          <w:lang w:val="en-US" w:eastAsia="zh-CN"/>
        </w:rPr>
        <w:t>3.1</w:t>
      </w:r>
      <w:r>
        <w:rPr>
          <w:rFonts w:hint="eastAsia"/>
          <w:highlight w:val="none"/>
          <w:lang w:val="en-US" w:eastAsia="zh-CN"/>
        </w:rPr>
        <w:t>建设项目概况</w:t>
      </w:r>
      <w:bookmarkEnd w:id="53"/>
    </w:p>
    <w:p w14:paraId="754D5060">
      <w:pPr>
        <w:pStyle w:val="5"/>
        <w:bidi w:val="0"/>
        <w:ind w:left="0" w:leftChars="0" w:firstLine="0" w:firstLineChars="0"/>
        <w:rPr>
          <w:rFonts w:hint="default"/>
          <w:highlight w:val="none"/>
          <w:lang w:val="en-US" w:eastAsia="zh-CN"/>
        </w:rPr>
      </w:pPr>
      <w:bookmarkStart w:id="54" w:name="_Toc11868"/>
      <w:r>
        <w:rPr>
          <w:rFonts w:hint="eastAsia"/>
          <w:highlight w:val="none"/>
          <w:lang w:val="en-US" w:eastAsia="zh-CN"/>
        </w:rPr>
        <w:t>3.1.1现有工程梳理</w:t>
      </w:r>
      <w:bookmarkEnd w:id="54"/>
    </w:p>
    <w:p w14:paraId="0DD9E022">
      <w:pPr>
        <w:rPr>
          <w:rFonts w:hint="eastAsia"/>
          <w:highlight w:val="none"/>
          <w:lang w:val="en-US" w:eastAsia="zh-CN"/>
        </w:rPr>
      </w:pPr>
      <w:r>
        <w:rPr>
          <w:rFonts w:hint="eastAsia"/>
          <w:highlight w:val="none"/>
          <w:lang w:val="en-US" w:eastAsia="zh-CN"/>
        </w:rPr>
        <w:t>绥芬河市新区供热有限责任公司116MW锅炉建设时间为2010年7月1日（具体佐证资料详见附件12：116MW锅炉购销合同），2011年9月投入使用，一直运行至今。由于企业58MW（2004年投产）和29MW（2002投产）锅炉建设时间久远，无相关环评手续，企业于2017年8月29日将29MW热水锅炉改造为35t/h蒸汽锅炉（具体佐证资料详见附件13：35t/h锅炉建设凭证），无相关环评手续，企业于2025年6月对现有锅炉进行超低排放改造，于2025年9月30日完成改造（详见附件7：现有环评批复及验收意见）。造成企业锅炉实际建设情况与环保相关手续不符和后期更换锅炉未履行环保手续相关问题，锅炉建设时期较久，负责建设及报审的工作人员变动较大，问题未能及早发现，现积极主动委托我单位重新编制绥芬河市新区供热有限责任公司燃煤供热锅炉建设项目。</w:t>
      </w:r>
    </w:p>
    <w:p w14:paraId="341D651C">
      <w:pPr>
        <w:bidi w:val="0"/>
        <w:rPr>
          <w:rFonts w:hint="eastAsia"/>
          <w:highlight w:val="none"/>
          <w:lang w:val="en-US" w:eastAsia="zh-CN"/>
        </w:rPr>
      </w:pPr>
      <w:r>
        <w:rPr>
          <w:rFonts w:hint="eastAsia"/>
          <w:highlight w:val="none"/>
          <w:lang w:val="en-US" w:eastAsia="zh-CN"/>
        </w:rPr>
        <w:t>（1）现有工程污染防治措施及达标情况</w:t>
      </w:r>
    </w:p>
    <w:p w14:paraId="0A73380F">
      <w:pPr>
        <w:ind w:firstLine="480"/>
        <w:rPr>
          <w:rFonts w:hint="default" w:ascii="Times New Roman" w:hAnsi="Times New Roman" w:eastAsia="宋体"/>
          <w:color w:val="auto"/>
          <w:highlight w:val="none"/>
          <w:lang w:val="en-US" w:eastAsia="zh-CN"/>
        </w:rPr>
      </w:pPr>
      <w:r>
        <w:rPr>
          <w:rFonts w:hint="eastAsia"/>
          <w:highlight w:val="none"/>
          <w:lang w:val="en-US" w:eastAsia="zh-CN"/>
        </w:rPr>
        <w:t>绥芬河市新区供热有限责任公司于</w:t>
      </w:r>
      <w:r>
        <w:rPr>
          <w:rFonts w:ascii="Times New Roman" w:hAnsi="Times New Roman"/>
          <w:color w:val="auto"/>
          <w:highlight w:val="none"/>
        </w:rPr>
        <w:t>202</w:t>
      </w:r>
      <w:r>
        <w:rPr>
          <w:rFonts w:hint="eastAsia" w:ascii="Times New Roman" w:hAnsi="Times New Roman"/>
          <w:color w:val="auto"/>
          <w:highlight w:val="none"/>
          <w:lang w:val="en-US" w:eastAsia="zh-CN"/>
        </w:rPr>
        <w:t>2</w:t>
      </w:r>
      <w:r>
        <w:rPr>
          <w:rFonts w:ascii="Times New Roman" w:hAnsi="Times New Roman"/>
          <w:color w:val="auto"/>
          <w:highlight w:val="none"/>
        </w:rPr>
        <w:t>年</w:t>
      </w:r>
      <w:r>
        <w:rPr>
          <w:rFonts w:hint="eastAsia" w:ascii="Times New Roman" w:hAnsi="Times New Roman"/>
          <w:color w:val="auto"/>
          <w:highlight w:val="none"/>
          <w:lang w:val="en-US" w:eastAsia="zh-CN"/>
        </w:rPr>
        <w:t>8</w:t>
      </w:r>
      <w:r>
        <w:rPr>
          <w:rFonts w:ascii="Times New Roman" w:hAnsi="Times New Roman"/>
          <w:color w:val="auto"/>
          <w:highlight w:val="none"/>
        </w:rPr>
        <w:t>月</w:t>
      </w:r>
      <w:r>
        <w:rPr>
          <w:rFonts w:hint="eastAsia" w:ascii="Times New Roman" w:hAnsi="Times New Roman"/>
          <w:color w:val="auto"/>
          <w:highlight w:val="none"/>
          <w:lang w:val="en-US" w:eastAsia="zh-CN"/>
        </w:rPr>
        <w:t>20</w:t>
      </w:r>
      <w:r>
        <w:rPr>
          <w:rFonts w:ascii="Times New Roman" w:hAnsi="Times New Roman"/>
          <w:color w:val="auto"/>
          <w:highlight w:val="none"/>
        </w:rPr>
        <w:t>日取得生态环境主管部门核发的排污许可证（证书编号91231081828141815B001C），</w:t>
      </w:r>
      <w:r>
        <w:rPr>
          <w:rFonts w:hint="eastAsia" w:ascii="Times New Roman" w:hAnsi="Times New Roman"/>
          <w:color w:val="auto"/>
          <w:highlight w:val="none"/>
          <w:lang w:val="en-US" w:eastAsia="zh-CN"/>
        </w:rPr>
        <w:t>核发排污许可证的锅炉规模为91MW、58MW、28MW热水锅炉，企业实际锅炉规模为116MW+58MW热水锅炉和35t/h蒸汽锅炉。</w:t>
      </w:r>
      <w:r>
        <w:rPr>
          <w:rFonts w:ascii="Times New Roman" w:hAnsi="Times New Roman"/>
          <w:color w:val="auto"/>
          <w:highlight w:val="none"/>
        </w:rPr>
        <w:t>根据</w:t>
      </w:r>
      <w:r>
        <w:rPr>
          <w:rFonts w:hint="eastAsia" w:ascii="Times New Roman" w:hAnsi="Times New Roman"/>
          <w:color w:val="auto"/>
          <w:highlight w:val="none"/>
          <w:lang w:val="en-US" w:eastAsia="zh-CN"/>
        </w:rPr>
        <w:t>黑龙江克巽检测技术有限公司</w:t>
      </w:r>
      <w:r>
        <w:rPr>
          <w:rFonts w:ascii="Times New Roman" w:hAnsi="Times New Roman"/>
          <w:color w:val="auto"/>
          <w:highlight w:val="none"/>
        </w:rPr>
        <w:t>的</w:t>
      </w:r>
      <w:r>
        <w:rPr>
          <w:rFonts w:hint="eastAsia" w:ascii="Times New Roman" w:hAnsi="Times New Roman"/>
          <w:color w:val="auto"/>
          <w:highlight w:val="none"/>
          <w:lang w:val="en-US" w:eastAsia="zh-CN"/>
        </w:rPr>
        <w:t>现状</w:t>
      </w:r>
      <w:r>
        <w:rPr>
          <w:rFonts w:ascii="Times New Roman" w:hAnsi="Times New Roman"/>
          <w:color w:val="auto"/>
          <w:highlight w:val="none"/>
        </w:rPr>
        <w:t>监测数据可知</w:t>
      </w:r>
      <w:r>
        <w:rPr>
          <w:rFonts w:hint="eastAsia" w:ascii="Times New Roman" w:hAnsi="Times New Roman"/>
          <w:color w:val="auto"/>
          <w:highlight w:val="none"/>
          <w:lang w:eastAsia="zh-CN"/>
        </w:rPr>
        <w:t>（</w:t>
      </w:r>
      <w:r>
        <w:rPr>
          <w:rFonts w:hint="eastAsia" w:ascii="Times New Roman" w:hAnsi="Times New Roman"/>
          <w:color w:val="auto"/>
          <w:highlight w:val="none"/>
          <w:lang w:val="en-US" w:eastAsia="zh-CN"/>
        </w:rPr>
        <w:t>检测时运行工况为116MW热水锅炉</w:t>
      </w:r>
      <w:r>
        <w:rPr>
          <w:rFonts w:hint="eastAsia" w:ascii="Times New Roman" w:hAnsi="Times New Roman"/>
          <w:color w:val="auto"/>
          <w:highlight w:val="none"/>
          <w:lang w:eastAsia="zh-CN"/>
        </w:rPr>
        <w:t>）</w:t>
      </w:r>
      <w:r>
        <w:rPr>
          <w:rFonts w:ascii="Times New Roman" w:hAnsi="Times New Roman"/>
          <w:color w:val="auto"/>
          <w:highlight w:val="none"/>
        </w:rPr>
        <w:t>，锅炉烟囱颗粒物</w:t>
      </w:r>
      <w:r>
        <w:rPr>
          <w:rFonts w:hint="eastAsia" w:ascii="Times New Roman" w:hAnsi="Times New Roman"/>
          <w:color w:val="auto"/>
          <w:highlight w:val="none"/>
          <w:lang w:val="en-US" w:eastAsia="zh-CN"/>
        </w:rPr>
        <w:t>基准氧含量</w:t>
      </w:r>
      <w:r>
        <w:rPr>
          <w:rFonts w:ascii="Times New Roman" w:hAnsi="Times New Roman"/>
          <w:color w:val="auto"/>
          <w:highlight w:val="none"/>
        </w:rPr>
        <w:t>排放浓度为</w:t>
      </w:r>
      <w:r>
        <w:rPr>
          <w:rFonts w:hint="eastAsia" w:ascii="Times New Roman" w:hAnsi="Times New Roman"/>
          <w:color w:val="auto"/>
          <w:highlight w:val="none"/>
          <w:lang w:val="en-US" w:eastAsia="zh-CN"/>
        </w:rPr>
        <w:t>7.8</w:t>
      </w:r>
      <w:r>
        <w:rPr>
          <w:rFonts w:ascii="Times New Roman" w:hAnsi="Times New Roman"/>
          <w:color w:val="auto"/>
          <w:highlight w:val="none"/>
        </w:rPr>
        <w:t>~</w:t>
      </w:r>
      <w:r>
        <w:rPr>
          <w:rFonts w:hint="eastAsia" w:ascii="Times New Roman" w:hAnsi="Times New Roman"/>
          <w:color w:val="auto"/>
          <w:highlight w:val="none"/>
          <w:lang w:val="en-US" w:eastAsia="zh-CN"/>
        </w:rPr>
        <w:t>9.4</w:t>
      </w:r>
      <w:r>
        <w:rPr>
          <w:rFonts w:ascii="Times New Roman" w:hAnsi="Times New Roman"/>
          <w:color w:val="auto"/>
          <w:highlight w:val="none"/>
        </w:rPr>
        <w:t>mg/m</w:t>
      </w:r>
      <w:r>
        <w:rPr>
          <w:rFonts w:ascii="Times New Roman" w:hAnsi="Times New Roman"/>
          <w:color w:val="auto"/>
          <w:highlight w:val="none"/>
          <w:vertAlign w:val="superscript"/>
        </w:rPr>
        <w:t>3</w:t>
      </w:r>
      <w:r>
        <w:rPr>
          <w:rFonts w:ascii="Times New Roman" w:hAnsi="Times New Roman"/>
          <w:color w:val="auto"/>
          <w:highlight w:val="none"/>
        </w:rPr>
        <w:t>，SO</w:t>
      </w:r>
      <w:r>
        <w:rPr>
          <w:rFonts w:ascii="Times New Roman" w:hAnsi="Times New Roman"/>
          <w:color w:val="auto"/>
          <w:highlight w:val="none"/>
          <w:vertAlign w:val="subscript"/>
        </w:rPr>
        <w:t>2</w:t>
      </w:r>
      <w:r>
        <w:rPr>
          <w:rFonts w:hint="eastAsia" w:ascii="Times New Roman" w:hAnsi="Times New Roman"/>
          <w:color w:val="auto"/>
          <w:highlight w:val="none"/>
          <w:vertAlign w:val="baseline"/>
          <w:lang w:val="en-US" w:eastAsia="zh-CN"/>
        </w:rPr>
        <w:t>基准氧含量</w:t>
      </w:r>
      <w:r>
        <w:rPr>
          <w:rFonts w:ascii="Times New Roman" w:hAnsi="Times New Roman"/>
          <w:color w:val="auto"/>
          <w:highlight w:val="none"/>
        </w:rPr>
        <w:t>排放浓度</w:t>
      </w:r>
      <w:r>
        <w:rPr>
          <w:rFonts w:hint="eastAsia" w:ascii="Times New Roman" w:hAnsi="Times New Roman"/>
          <w:color w:val="auto"/>
          <w:highlight w:val="none"/>
          <w:lang w:val="en-US" w:eastAsia="zh-CN"/>
        </w:rPr>
        <w:t>为24</w:t>
      </w:r>
      <w:r>
        <w:rPr>
          <w:rFonts w:ascii="Times New Roman" w:hAnsi="Times New Roman"/>
          <w:color w:val="auto"/>
          <w:highlight w:val="none"/>
        </w:rPr>
        <w:t>~</w:t>
      </w:r>
      <w:r>
        <w:rPr>
          <w:rFonts w:hint="eastAsia" w:ascii="Times New Roman" w:hAnsi="Times New Roman"/>
          <w:color w:val="auto"/>
          <w:highlight w:val="none"/>
          <w:lang w:val="en-US" w:eastAsia="zh-CN"/>
        </w:rPr>
        <w:t>33</w:t>
      </w:r>
      <w:r>
        <w:rPr>
          <w:rFonts w:ascii="Times New Roman" w:hAnsi="Times New Roman"/>
          <w:color w:val="auto"/>
          <w:highlight w:val="none"/>
        </w:rPr>
        <w:t>mg/m</w:t>
      </w:r>
      <w:r>
        <w:rPr>
          <w:rFonts w:ascii="Times New Roman" w:hAnsi="Times New Roman"/>
          <w:color w:val="auto"/>
          <w:highlight w:val="none"/>
          <w:vertAlign w:val="superscript"/>
        </w:rPr>
        <w:t>3</w:t>
      </w:r>
      <w:r>
        <w:rPr>
          <w:rFonts w:ascii="Times New Roman" w:hAnsi="Times New Roman"/>
          <w:color w:val="auto"/>
          <w:highlight w:val="none"/>
        </w:rPr>
        <w:t>，NOx</w:t>
      </w:r>
      <w:r>
        <w:rPr>
          <w:rFonts w:hint="eastAsia" w:ascii="Times New Roman" w:hAnsi="Times New Roman"/>
          <w:color w:val="auto"/>
          <w:highlight w:val="none"/>
          <w:lang w:val="en-US" w:eastAsia="zh-CN"/>
        </w:rPr>
        <w:t>基准氧含量</w:t>
      </w:r>
      <w:r>
        <w:rPr>
          <w:rFonts w:ascii="Times New Roman" w:hAnsi="Times New Roman"/>
          <w:color w:val="auto"/>
          <w:highlight w:val="none"/>
        </w:rPr>
        <w:t>排放浓度</w:t>
      </w:r>
      <w:r>
        <w:rPr>
          <w:rFonts w:hint="eastAsia" w:ascii="Times New Roman" w:hAnsi="Times New Roman"/>
          <w:color w:val="auto"/>
          <w:highlight w:val="none"/>
          <w:lang w:val="en-US" w:eastAsia="zh-CN"/>
        </w:rPr>
        <w:t>35</w:t>
      </w:r>
      <w:r>
        <w:rPr>
          <w:rFonts w:ascii="Times New Roman" w:hAnsi="Times New Roman"/>
          <w:color w:val="auto"/>
          <w:highlight w:val="none"/>
        </w:rPr>
        <w:t>~</w:t>
      </w:r>
      <w:r>
        <w:rPr>
          <w:rFonts w:hint="eastAsia" w:ascii="Times New Roman" w:hAnsi="Times New Roman"/>
          <w:color w:val="auto"/>
          <w:highlight w:val="none"/>
          <w:lang w:val="en-US" w:eastAsia="zh-CN"/>
        </w:rPr>
        <w:t>48</w:t>
      </w:r>
      <w:r>
        <w:rPr>
          <w:rFonts w:ascii="Times New Roman" w:hAnsi="Times New Roman"/>
          <w:color w:val="auto"/>
          <w:highlight w:val="none"/>
        </w:rPr>
        <w:t>mg/m</w:t>
      </w:r>
      <w:r>
        <w:rPr>
          <w:rFonts w:ascii="Times New Roman" w:hAnsi="Times New Roman"/>
          <w:color w:val="auto"/>
          <w:highlight w:val="none"/>
          <w:vertAlign w:val="superscript"/>
        </w:rPr>
        <w:t>3</w:t>
      </w:r>
      <w:r>
        <w:rPr>
          <w:rFonts w:ascii="Times New Roman" w:hAnsi="Times New Roman"/>
          <w:color w:val="auto"/>
          <w:highlight w:val="none"/>
        </w:rPr>
        <w:t>，</w:t>
      </w:r>
      <w:r>
        <w:rPr>
          <w:rFonts w:hint="eastAsia" w:ascii="Times New Roman" w:hAnsi="Times New Roman"/>
          <w:color w:val="auto"/>
          <w:highlight w:val="none"/>
          <w:lang w:val="en-US" w:eastAsia="zh-CN"/>
        </w:rPr>
        <w:t>汞及其化合物基准含氧量排放浓度为未检出，烟气黑度＜1级。有组织</w:t>
      </w:r>
      <w:r>
        <w:rPr>
          <w:rFonts w:ascii="Times New Roman" w:hAnsi="Times New Roman"/>
          <w:color w:val="auto"/>
          <w:highlight w:val="none"/>
        </w:rPr>
        <w:t>监测结果均符合</w:t>
      </w:r>
      <w:r>
        <w:rPr>
          <w:rFonts w:ascii="Times New Roman" w:hAnsi="Times New Roman"/>
          <w:highlight w:val="none"/>
        </w:rPr>
        <w:t>有组织烟气中污染物排放浓度满足超低排放限值要求，即在基准含氧量</w:t>
      </w:r>
      <w:r>
        <w:rPr>
          <w:rFonts w:hint="eastAsia" w:ascii="Times New Roman" w:hAnsi="Times New Roman"/>
          <w:highlight w:val="none"/>
          <w:lang w:val="en-US" w:eastAsia="zh-CN"/>
        </w:rPr>
        <w:t>6</w:t>
      </w:r>
      <w:r>
        <w:rPr>
          <w:rFonts w:ascii="Times New Roman" w:hAnsi="Times New Roman"/>
          <w:highlight w:val="none"/>
        </w:rPr>
        <w:t>%条件</w:t>
      </w:r>
      <w:r>
        <w:rPr>
          <w:rFonts w:ascii="Times New Roman" w:hAnsi="Times New Roman"/>
          <w:highlight w:val="none"/>
        </w:rPr>
        <w:t>下，烟尘、二氧化硫、氮氧化物排放浓度分别不高于10mg/m</w:t>
      </w:r>
      <w:r>
        <w:rPr>
          <w:rFonts w:ascii="Times New Roman" w:hAnsi="Times New Roman"/>
          <w:highlight w:val="none"/>
          <w:vertAlign w:val="superscript"/>
        </w:rPr>
        <w:t>3</w:t>
      </w:r>
      <w:r>
        <w:rPr>
          <w:rFonts w:ascii="Times New Roman" w:hAnsi="Times New Roman"/>
          <w:highlight w:val="none"/>
        </w:rPr>
        <w:t>，35mg/m</w:t>
      </w:r>
      <w:r>
        <w:rPr>
          <w:rFonts w:ascii="Times New Roman" w:hAnsi="Times New Roman"/>
          <w:highlight w:val="none"/>
          <w:vertAlign w:val="superscript"/>
        </w:rPr>
        <w:t>3</w:t>
      </w:r>
      <w:r>
        <w:rPr>
          <w:rFonts w:ascii="Times New Roman" w:hAnsi="Times New Roman"/>
          <w:highlight w:val="none"/>
        </w:rPr>
        <w:t>，50mg/m</w:t>
      </w:r>
      <w:r>
        <w:rPr>
          <w:rFonts w:ascii="Times New Roman" w:hAnsi="Times New Roman"/>
          <w:highlight w:val="none"/>
          <w:vertAlign w:val="superscript"/>
        </w:rPr>
        <w:t>3</w:t>
      </w:r>
      <w:r>
        <w:rPr>
          <w:rFonts w:ascii="Times New Roman" w:hAnsi="Times New Roman"/>
          <w:highlight w:val="none"/>
        </w:rPr>
        <w:t>；</w:t>
      </w:r>
      <w:r>
        <w:rPr>
          <w:rFonts w:hint="eastAsia" w:ascii="Times New Roman" w:hAnsi="Times New Roman"/>
          <w:color w:val="auto"/>
          <w:highlight w:val="none"/>
        </w:rPr>
        <w:t>汞及其化合物、烟气黑度（林格曼黑度）排放执行《火电厂大气污染物排放标准》(GB13223-2011)表1中燃煤锅炉大气污染物排放标准限值：0.03mg/m</w:t>
      </w:r>
      <w:r>
        <w:rPr>
          <w:rFonts w:hint="eastAsia" w:ascii="Times New Roman" w:hAnsi="Times New Roman"/>
          <w:color w:val="auto"/>
          <w:highlight w:val="none"/>
          <w:vertAlign w:val="superscript"/>
        </w:rPr>
        <w:t>3</w:t>
      </w:r>
      <w:r>
        <w:rPr>
          <w:rFonts w:hint="eastAsia" w:ascii="Times New Roman" w:hAnsi="Times New Roman"/>
          <w:color w:val="auto"/>
          <w:highlight w:val="none"/>
        </w:rPr>
        <w:t>、1级。</w:t>
      </w:r>
    </w:p>
    <w:p w14:paraId="42AB4DF1">
      <w:pPr>
        <w:ind w:firstLine="480"/>
        <w:rPr>
          <w:rFonts w:ascii="Times New Roman" w:hAnsi="Times New Roman"/>
          <w:color w:val="auto"/>
          <w:highlight w:val="none"/>
        </w:rPr>
      </w:pPr>
      <w:r>
        <w:rPr>
          <w:rFonts w:ascii="Times New Roman" w:hAnsi="Times New Roman"/>
          <w:color w:val="auto"/>
          <w:highlight w:val="none"/>
        </w:rPr>
        <w:t>根据</w:t>
      </w:r>
      <w:r>
        <w:rPr>
          <w:rFonts w:hint="eastAsia" w:ascii="Times New Roman" w:hAnsi="Times New Roman"/>
          <w:color w:val="auto"/>
          <w:highlight w:val="none"/>
          <w:lang w:val="en-US" w:eastAsia="zh-CN"/>
        </w:rPr>
        <w:t>现状</w:t>
      </w:r>
      <w:r>
        <w:rPr>
          <w:rFonts w:ascii="Times New Roman" w:hAnsi="Times New Roman"/>
          <w:color w:val="auto"/>
          <w:highlight w:val="none"/>
        </w:rPr>
        <w:t>监测数据可知，厂界无组织排放颗粒物监控点最高浓度分别为</w:t>
      </w:r>
      <w:r>
        <w:rPr>
          <w:rFonts w:hint="eastAsia" w:ascii="Times New Roman" w:hAnsi="Times New Roman"/>
          <w:color w:val="auto"/>
          <w:highlight w:val="none"/>
          <w:lang w:val="en-US" w:eastAsia="zh-CN"/>
        </w:rPr>
        <w:t>0.234</w:t>
      </w:r>
      <w:r>
        <w:rPr>
          <w:rFonts w:ascii="Times New Roman" w:hAnsi="Times New Roman"/>
          <w:color w:val="auto"/>
          <w:highlight w:val="none"/>
        </w:rPr>
        <w:t>mg/m</w:t>
      </w:r>
      <w:r>
        <w:rPr>
          <w:rFonts w:ascii="Times New Roman" w:hAnsi="Times New Roman"/>
          <w:color w:val="auto"/>
          <w:highlight w:val="none"/>
          <w:vertAlign w:val="superscript"/>
        </w:rPr>
        <w:t>3</w:t>
      </w:r>
      <w:r>
        <w:rPr>
          <w:rFonts w:hint="eastAsia" w:ascii="Times New Roman" w:hAnsi="Times New Roman"/>
          <w:color w:val="auto"/>
          <w:highlight w:val="none"/>
          <w:vertAlign w:val="baseline"/>
          <w:lang w:eastAsia="zh-CN"/>
        </w:rPr>
        <w:t>，</w:t>
      </w:r>
      <w:r>
        <w:rPr>
          <w:rFonts w:ascii="Times New Roman" w:hAnsi="Times New Roman"/>
          <w:color w:val="auto"/>
          <w:highlight w:val="none"/>
        </w:rPr>
        <w:t>监测结果均满足《大气污染物综合排放标准》（GB16297-1996）表2中的标准限值要求。</w:t>
      </w:r>
    </w:p>
    <w:p w14:paraId="43E5430B">
      <w:pPr>
        <w:wordWrap w:val="0"/>
        <w:ind w:firstLine="480"/>
        <w:rPr>
          <w:rFonts w:hint="eastAsia" w:ascii="Times New Roman" w:hAnsi="Times New Roman" w:eastAsia="宋体"/>
          <w:color w:val="auto"/>
          <w:highlight w:val="none"/>
          <w:lang w:eastAsia="zh-CN"/>
        </w:rPr>
      </w:pPr>
      <w:r>
        <w:rPr>
          <w:rFonts w:ascii="Times New Roman" w:hAnsi="Times New Roman"/>
          <w:highlight w:val="none"/>
        </w:rPr>
        <w:t>现有工程生产废水均回用于生产，</w:t>
      </w:r>
      <w:r>
        <w:rPr>
          <w:rFonts w:hint="eastAsia" w:ascii="Times New Roman" w:hAnsi="Times New Roman"/>
          <w:highlight w:val="none"/>
          <w:lang w:val="en-US" w:eastAsia="zh-CN"/>
        </w:rPr>
        <w:t>根据企业往年定期监测数据可知</w:t>
      </w:r>
      <w:r>
        <w:rPr>
          <w:rFonts w:ascii="Times New Roman" w:hAnsi="Times New Roman"/>
          <w:highlight w:val="none"/>
        </w:rPr>
        <w:t>脱硫废水车间排放口</w:t>
      </w:r>
      <w:r>
        <w:rPr>
          <w:rFonts w:hint="eastAsia" w:ascii="Times New Roman" w:hAnsi="Times New Roman"/>
          <w:highlight w:val="none"/>
        </w:rPr>
        <w:t>p</w:t>
      </w:r>
      <w:r>
        <w:rPr>
          <w:rFonts w:ascii="Times New Roman" w:hAnsi="Times New Roman"/>
          <w:highlight w:val="none"/>
        </w:rPr>
        <w:t>H最大值为</w:t>
      </w:r>
      <w:r>
        <w:rPr>
          <w:rFonts w:hint="eastAsia" w:ascii="Times New Roman" w:hAnsi="Times New Roman"/>
          <w:highlight w:val="none"/>
          <w:lang w:val="en-US" w:eastAsia="zh-CN"/>
        </w:rPr>
        <w:t>7.7</w:t>
      </w:r>
      <w:r>
        <w:rPr>
          <w:rFonts w:ascii="Times New Roman" w:hAnsi="Times New Roman"/>
          <w:highlight w:val="none"/>
        </w:rPr>
        <w:t>（无量纲），总汞最大值</w:t>
      </w:r>
      <w:r>
        <w:rPr>
          <w:rFonts w:ascii="Times New Roman" w:hAnsi="Times New Roman" w:eastAsia="宋体" w:cs="Times New Roman"/>
          <w:highlight w:val="none"/>
        </w:rPr>
        <w:t>0.00004ND</w:t>
      </w:r>
      <w:r>
        <w:rPr>
          <w:rFonts w:ascii="Times New Roman" w:hAnsi="Times New Roman"/>
          <w:highlight w:val="none"/>
        </w:rPr>
        <w:t>mg/L，总砷最大值为0.0003ND mg/L，总镉最大值为0.0</w:t>
      </w:r>
      <w:r>
        <w:rPr>
          <w:rFonts w:hint="eastAsia" w:ascii="Times New Roman" w:hAnsi="Times New Roman"/>
          <w:highlight w:val="none"/>
          <w:lang w:val="en-US" w:eastAsia="zh-CN"/>
        </w:rPr>
        <w:t>24</w:t>
      </w:r>
      <w:r>
        <w:rPr>
          <w:rFonts w:ascii="Times New Roman" w:hAnsi="Times New Roman"/>
          <w:highlight w:val="none"/>
        </w:rPr>
        <w:t>mg/L，总铅最大值为</w:t>
      </w:r>
      <w:r>
        <w:rPr>
          <w:rFonts w:hint="eastAsia" w:ascii="Times New Roman" w:hAnsi="Times New Roman"/>
          <w:highlight w:val="none"/>
          <w:lang w:val="en-US" w:eastAsia="zh-CN"/>
        </w:rPr>
        <w:t>0.245</w:t>
      </w:r>
      <w:r>
        <w:rPr>
          <w:rFonts w:ascii="Times New Roman" w:hAnsi="Times New Roman"/>
          <w:highlight w:val="none"/>
        </w:rPr>
        <w:t>mg/L，脱硫废水车间排放口污染物均满足</w:t>
      </w:r>
      <w:r>
        <w:rPr>
          <w:rFonts w:hint="eastAsia" w:ascii="Times New Roman" w:hAnsi="Times New Roman"/>
          <w:highlight w:val="none"/>
        </w:rPr>
        <w:t>《污水综合排放排放标准》中表1标准</w:t>
      </w:r>
      <w:r>
        <w:rPr>
          <w:rFonts w:hint="eastAsia" w:ascii="Times New Roman" w:hAnsi="Times New Roman"/>
          <w:highlight w:val="none"/>
          <w:lang w:eastAsia="zh-CN"/>
        </w:rPr>
        <w:t>。</w:t>
      </w:r>
    </w:p>
    <w:p w14:paraId="6C30552D">
      <w:pPr>
        <w:wordWrap w:val="0"/>
        <w:ind w:firstLine="480"/>
        <w:rPr>
          <w:rFonts w:ascii="Times New Roman" w:hAnsi="Times New Roman"/>
          <w:color w:val="auto"/>
          <w:highlight w:val="none"/>
        </w:rPr>
      </w:pPr>
      <w:r>
        <w:rPr>
          <w:rFonts w:ascii="Times New Roman" w:hAnsi="Times New Roman"/>
          <w:color w:val="auto"/>
          <w:highlight w:val="none"/>
        </w:rPr>
        <w:t>现有工程生产废水均回用于生产，</w:t>
      </w:r>
      <w:r>
        <w:rPr>
          <w:rFonts w:hint="eastAsia" w:ascii="Times New Roman" w:hAnsi="Times New Roman"/>
          <w:color w:val="auto"/>
          <w:highlight w:val="none"/>
        </w:rPr>
        <w:t>锅炉排污水及</w:t>
      </w:r>
      <w:r>
        <w:rPr>
          <w:rFonts w:hint="eastAsia" w:ascii="Times New Roman" w:hAnsi="Times New Roman"/>
          <w:color w:val="auto"/>
          <w:highlight w:val="none"/>
          <w:lang w:val="en-US" w:eastAsia="zh-CN"/>
        </w:rPr>
        <w:t>软化水</w:t>
      </w:r>
      <w:r>
        <w:rPr>
          <w:rFonts w:hint="eastAsia" w:ascii="Times New Roman" w:hAnsi="Times New Roman"/>
          <w:color w:val="auto"/>
          <w:highlight w:val="none"/>
        </w:rPr>
        <w:t>排入厂区污水池处理，内设沉淀池，过滤器，处理后用于输煤冲洗用水；生活污水排入化粪池处理后排入市政管网（食堂废水经隔油池处理后与生活污水一同排入化粪池），</w:t>
      </w:r>
      <w:r>
        <w:rPr>
          <w:rFonts w:hint="eastAsia" w:ascii="Times New Roman" w:hAnsi="Times New Roman"/>
          <w:color w:val="auto"/>
          <w:highlight w:val="none"/>
          <w:lang w:eastAsia="zh-CN"/>
        </w:rPr>
        <w:t>经污水管网排入</w:t>
      </w:r>
      <w:r>
        <w:rPr>
          <w:rFonts w:hint="eastAsia" w:ascii="Times New Roman" w:hAnsi="Times New Roman"/>
          <w:szCs w:val="24"/>
          <w:highlight w:val="none"/>
          <w:lang w:val="en-US" w:eastAsia="zh-CN"/>
        </w:rPr>
        <w:t>绥芬河中环污水处理有限公司</w:t>
      </w:r>
      <w:r>
        <w:rPr>
          <w:rFonts w:ascii="Times New Roman" w:hAnsi="Times New Roman"/>
          <w:color w:val="auto"/>
          <w:highlight w:val="none"/>
        </w:rPr>
        <w:t>。</w:t>
      </w:r>
    </w:p>
    <w:p w14:paraId="65304B52">
      <w:pPr>
        <w:pStyle w:val="11"/>
        <w:rPr>
          <w:rFonts w:hint="eastAsia" w:ascii="Times New Roman" w:hAnsi="Times New Roman" w:eastAsia="宋体" w:cs="Times New Roman"/>
          <w:color w:val="auto"/>
          <w:kern w:val="2"/>
          <w:sz w:val="24"/>
          <w:szCs w:val="22"/>
          <w:highlight w:val="none"/>
          <w:lang w:val="en-US" w:eastAsia="zh-CN" w:bidi="ar-SA"/>
        </w:rPr>
      </w:pPr>
      <w:r>
        <w:rPr>
          <w:rFonts w:hint="eastAsia" w:ascii="Times New Roman" w:hAnsi="Times New Roman" w:eastAsia="宋体" w:cs="Times New Roman"/>
          <w:color w:val="auto"/>
          <w:kern w:val="2"/>
          <w:sz w:val="24"/>
          <w:szCs w:val="22"/>
          <w:highlight w:val="none"/>
          <w:lang w:val="en-US" w:eastAsia="zh-CN" w:bidi="ar-SA"/>
        </w:rPr>
        <w:t>灰、渣</w:t>
      </w:r>
      <w:r>
        <w:rPr>
          <w:rFonts w:hint="eastAsia" w:cs="Times New Roman"/>
          <w:color w:val="auto"/>
          <w:kern w:val="2"/>
          <w:sz w:val="24"/>
          <w:szCs w:val="22"/>
          <w:highlight w:val="none"/>
          <w:lang w:val="en-US" w:eastAsia="zh-CN" w:bidi="ar-SA"/>
        </w:rPr>
        <w:t>回用于采矿区回填。</w:t>
      </w:r>
    </w:p>
    <w:p w14:paraId="08897B69">
      <w:pPr>
        <w:ind w:firstLine="480"/>
        <w:rPr>
          <w:rFonts w:ascii="Times New Roman" w:hAnsi="Times New Roman"/>
          <w:highlight w:val="none"/>
        </w:rPr>
      </w:pPr>
      <w:r>
        <w:rPr>
          <w:rFonts w:ascii="Times New Roman" w:hAnsi="Times New Roman"/>
          <w:highlight w:val="none"/>
        </w:rPr>
        <w:t>（3）现有工程风险源项及防范措施</w:t>
      </w:r>
    </w:p>
    <w:p w14:paraId="021E377A">
      <w:pPr>
        <w:ind w:firstLine="480"/>
        <w:rPr>
          <w:rFonts w:ascii="Times New Roman" w:hAnsi="Times New Roman"/>
          <w:highlight w:val="none"/>
        </w:rPr>
      </w:pPr>
      <w:r>
        <w:rPr>
          <w:rFonts w:ascii="Times New Roman" w:hAnsi="Times New Roman"/>
          <w:highlight w:val="none"/>
        </w:rPr>
        <w:t>建设单位已编制《</w:t>
      </w:r>
      <w:r>
        <w:rPr>
          <w:rFonts w:hint="eastAsia" w:ascii="Times New Roman" w:hAnsi="Times New Roman"/>
          <w:highlight w:val="none"/>
        </w:rPr>
        <w:t>绥芬河市新区供热有限责任公司</w:t>
      </w:r>
      <w:r>
        <w:rPr>
          <w:rFonts w:ascii="Times New Roman" w:hAnsi="Times New Roman"/>
          <w:highlight w:val="none"/>
        </w:rPr>
        <w:t>突发环境事件应急预案》（230110-2021-006-L），已于202</w:t>
      </w:r>
      <w:r>
        <w:rPr>
          <w:rFonts w:hint="eastAsia" w:ascii="Times New Roman" w:hAnsi="Times New Roman"/>
          <w:highlight w:val="none"/>
          <w:lang w:val="en-US" w:eastAsia="zh-CN"/>
        </w:rPr>
        <w:t>4</w:t>
      </w:r>
      <w:r>
        <w:rPr>
          <w:rFonts w:ascii="Times New Roman" w:hAnsi="Times New Roman"/>
          <w:highlight w:val="none"/>
        </w:rPr>
        <w:t>年3月</w:t>
      </w:r>
      <w:r>
        <w:rPr>
          <w:rFonts w:hint="eastAsia" w:ascii="Times New Roman" w:hAnsi="Times New Roman"/>
          <w:highlight w:val="none"/>
          <w:lang w:val="en-US" w:eastAsia="zh-CN"/>
        </w:rPr>
        <w:t>1</w:t>
      </w:r>
      <w:r>
        <w:rPr>
          <w:rFonts w:ascii="Times New Roman" w:hAnsi="Times New Roman"/>
          <w:highlight w:val="none"/>
        </w:rPr>
        <w:t>8号在</w:t>
      </w:r>
      <w:r>
        <w:rPr>
          <w:rFonts w:hint="eastAsia" w:ascii="Times New Roman" w:hAnsi="Times New Roman"/>
          <w:highlight w:val="none"/>
          <w:lang w:val="en-US" w:eastAsia="zh-CN"/>
        </w:rPr>
        <w:t>绥芬河市</w:t>
      </w:r>
      <w:r>
        <w:rPr>
          <w:rFonts w:ascii="Times New Roman" w:hAnsi="Times New Roman"/>
          <w:highlight w:val="none"/>
        </w:rPr>
        <w:t>生态环境局备案。</w:t>
      </w:r>
    </w:p>
    <w:p w14:paraId="114E7683">
      <w:pPr>
        <w:ind w:firstLine="480"/>
        <w:rPr>
          <w:rFonts w:ascii="Times New Roman" w:hAnsi="Times New Roman"/>
          <w:highlight w:val="none"/>
        </w:rPr>
      </w:pPr>
      <w:r>
        <w:rPr>
          <w:rFonts w:ascii="Times New Roman" w:hAnsi="Times New Roman"/>
          <w:highlight w:val="none"/>
        </w:rPr>
        <w:t>（4）现有工程排污许可执行情况</w:t>
      </w:r>
    </w:p>
    <w:p w14:paraId="56689FA2">
      <w:pPr>
        <w:ind w:firstLine="480"/>
        <w:rPr>
          <w:rFonts w:hint="eastAsia" w:ascii="Times New Roman" w:hAnsi="Times New Roman"/>
          <w:color w:val="auto"/>
          <w:highlight w:val="none"/>
        </w:rPr>
      </w:pPr>
      <w:r>
        <w:rPr>
          <w:rFonts w:ascii="Times New Roman" w:hAnsi="Times New Roman"/>
          <w:highlight w:val="none"/>
        </w:rPr>
        <w:t>建设单位按照《排污许可证申请与核发技术规范》（HJ942-2018），已经办理排污许可证（证书编号</w:t>
      </w:r>
      <w:r>
        <w:rPr>
          <w:rFonts w:ascii="Times New Roman" w:hAnsi="Times New Roman"/>
          <w:color w:val="auto"/>
          <w:highlight w:val="none"/>
        </w:rPr>
        <w:t>91231081828141815B001C</w:t>
      </w:r>
      <w:r>
        <w:rPr>
          <w:rFonts w:ascii="Times New Roman" w:hAnsi="Times New Roman"/>
          <w:highlight w:val="none"/>
        </w:rPr>
        <w:t>），行业类别为热力生产和供应，有效期限为2022年</w:t>
      </w:r>
      <w:r>
        <w:rPr>
          <w:rFonts w:hint="eastAsia" w:ascii="Times New Roman" w:hAnsi="Times New Roman"/>
          <w:highlight w:val="none"/>
          <w:lang w:val="en-US" w:eastAsia="zh-CN"/>
        </w:rPr>
        <w:t>8</w:t>
      </w:r>
      <w:r>
        <w:rPr>
          <w:rFonts w:ascii="Times New Roman" w:hAnsi="Times New Roman"/>
          <w:highlight w:val="none"/>
        </w:rPr>
        <w:t>月</w:t>
      </w:r>
      <w:r>
        <w:rPr>
          <w:rFonts w:hint="eastAsia" w:ascii="Times New Roman" w:hAnsi="Times New Roman"/>
          <w:highlight w:val="none"/>
          <w:lang w:val="en-US" w:eastAsia="zh-CN"/>
        </w:rPr>
        <w:t>20</w:t>
      </w:r>
      <w:r>
        <w:rPr>
          <w:rFonts w:ascii="Times New Roman" w:hAnsi="Times New Roman"/>
          <w:highlight w:val="none"/>
        </w:rPr>
        <w:t>日至2027年</w:t>
      </w:r>
      <w:r>
        <w:rPr>
          <w:rFonts w:hint="eastAsia" w:ascii="Times New Roman" w:hAnsi="Times New Roman"/>
          <w:highlight w:val="none"/>
          <w:lang w:val="en-US" w:eastAsia="zh-CN"/>
        </w:rPr>
        <w:t>8</w:t>
      </w:r>
      <w:r>
        <w:rPr>
          <w:rFonts w:ascii="Times New Roman" w:hAnsi="Times New Roman"/>
          <w:highlight w:val="none"/>
        </w:rPr>
        <w:t>月</w:t>
      </w:r>
      <w:r>
        <w:rPr>
          <w:rFonts w:hint="eastAsia" w:ascii="Times New Roman" w:hAnsi="Times New Roman"/>
          <w:highlight w:val="none"/>
          <w:lang w:val="en-US" w:eastAsia="zh-CN"/>
        </w:rPr>
        <w:t>19</w:t>
      </w:r>
      <w:r>
        <w:rPr>
          <w:rFonts w:ascii="Times New Roman" w:hAnsi="Times New Roman"/>
          <w:highlight w:val="none"/>
        </w:rPr>
        <w:t>日止。</w:t>
      </w:r>
      <w:r>
        <w:rPr>
          <w:rFonts w:hint="eastAsia" w:ascii="Times New Roman" w:hAnsi="Times New Roman"/>
          <w:highlight w:val="none"/>
        </w:rPr>
        <w:t>并</w:t>
      </w:r>
      <w:r>
        <w:rPr>
          <w:rFonts w:hint="eastAsia" w:ascii="Times New Roman" w:hAnsi="Times New Roman"/>
          <w:color w:val="auto"/>
          <w:highlight w:val="none"/>
        </w:rPr>
        <w:t>已按排污许可管理要求就行填报执行报告</w:t>
      </w:r>
      <w:r>
        <w:rPr>
          <w:rFonts w:hint="eastAsia" w:ascii="Times New Roman" w:hAnsi="Times New Roman"/>
          <w:color w:val="auto"/>
          <w:highlight w:val="none"/>
          <w:lang w:val="en-US" w:eastAsia="zh-CN"/>
        </w:rPr>
        <w:t>月报、季报以及年报</w:t>
      </w:r>
      <w:r>
        <w:rPr>
          <w:rFonts w:hint="eastAsia" w:ascii="Times New Roman" w:hAnsi="Times New Roman"/>
          <w:color w:val="auto"/>
          <w:highlight w:val="none"/>
        </w:rPr>
        <w:t>。</w:t>
      </w:r>
    </w:p>
    <w:p w14:paraId="6701EEF1">
      <w:pPr>
        <w:pStyle w:val="7"/>
        <w:rPr>
          <w:highlight w:val="none"/>
        </w:rPr>
      </w:pPr>
      <w:r>
        <w:rPr>
          <w:highlight w:val="none"/>
        </w:rPr>
        <w:drawing>
          <wp:inline distT="0" distB="0" distL="114300" distR="114300">
            <wp:extent cx="4591685" cy="4443730"/>
            <wp:effectExtent l="0" t="0" r="18415" b="13970"/>
            <wp:docPr id="7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5"/>
                    <pic:cNvPicPr>
                      <a:picLocks noChangeAspect="1"/>
                    </pic:cNvPicPr>
                  </pic:nvPicPr>
                  <pic:blipFill>
                    <a:blip r:embed="rId17"/>
                    <a:stretch>
                      <a:fillRect/>
                    </a:stretch>
                  </pic:blipFill>
                  <pic:spPr>
                    <a:xfrm>
                      <a:off x="0" y="0"/>
                      <a:ext cx="4591685" cy="4443730"/>
                    </a:xfrm>
                    <a:prstGeom prst="rect">
                      <a:avLst/>
                    </a:prstGeom>
                    <a:noFill/>
                    <a:ln>
                      <a:noFill/>
                    </a:ln>
                  </pic:spPr>
                </pic:pic>
              </a:graphicData>
            </a:graphic>
          </wp:inline>
        </w:drawing>
      </w:r>
    </w:p>
    <w:p w14:paraId="655B76C9">
      <w:pPr>
        <w:ind w:firstLine="0" w:firstLineChars="0"/>
        <w:jc w:val="center"/>
        <w:rPr>
          <w:rFonts w:hint="default" w:ascii="黑体" w:hAnsi="黑体" w:eastAsia="黑体" w:cs="黑体"/>
          <w:highlight w:val="none"/>
          <w:lang w:val="en-US" w:eastAsia="zh-CN"/>
        </w:rPr>
      </w:pPr>
      <w:r>
        <w:rPr>
          <w:rFonts w:hint="eastAsia" w:ascii="黑体" w:hAnsi="黑体" w:eastAsia="黑体" w:cs="黑体"/>
          <w:highlight w:val="none"/>
          <w:lang w:val="en-US" w:eastAsia="zh-CN"/>
        </w:rPr>
        <w:t>图</w:t>
      </w:r>
      <w:r>
        <w:rPr>
          <w:rFonts w:hint="default" w:ascii="Times New Roman" w:hAnsi="Times New Roman" w:eastAsia="黑体" w:cs="Times New Roman"/>
          <w:highlight w:val="none"/>
          <w:lang w:val="en-US" w:eastAsia="zh-CN"/>
        </w:rPr>
        <w:t>3.1-1</w:t>
      </w:r>
      <w:r>
        <w:rPr>
          <w:rFonts w:hint="eastAsia" w:ascii="黑体" w:hAnsi="黑体" w:eastAsia="黑体" w:cs="黑体"/>
          <w:highlight w:val="none"/>
          <w:lang w:val="en-US" w:eastAsia="zh-CN"/>
        </w:rPr>
        <w:t>执行报告填报情况</w:t>
      </w:r>
    </w:p>
    <w:p w14:paraId="6BA5B13A">
      <w:pPr>
        <w:ind w:firstLine="480"/>
        <w:rPr>
          <w:rFonts w:ascii="Times New Roman" w:hAnsi="Times New Roman"/>
          <w:highlight w:val="none"/>
        </w:rPr>
      </w:pPr>
      <w:r>
        <w:rPr>
          <w:rFonts w:ascii="Times New Roman" w:hAnsi="Times New Roman"/>
          <w:highlight w:val="none"/>
        </w:rPr>
        <w:t>（5）现有主要环境问题</w:t>
      </w:r>
    </w:p>
    <w:p w14:paraId="7FC4AB79">
      <w:pPr>
        <w:ind w:firstLine="480"/>
        <w:rPr>
          <w:rFonts w:hint="eastAsia" w:ascii="Times New Roman" w:hAnsi="Times New Roman"/>
          <w:highlight w:val="none"/>
        </w:rPr>
      </w:pPr>
      <w:r>
        <w:rPr>
          <w:rFonts w:ascii="Times New Roman" w:hAnsi="Times New Roman"/>
          <w:highlight w:val="none"/>
        </w:rPr>
        <w:t>现有工程已按要求完成环评手续，已办理排污许可证及按排污许可证要求进行定期监测。根据定期监测数现有工程废气、噪声、脱硫废水达标排放，生产废水均回用于生产，</w:t>
      </w:r>
      <w:r>
        <w:rPr>
          <w:rFonts w:hint="eastAsia" w:ascii="Times New Roman" w:hAnsi="Times New Roman"/>
          <w:highlight w:val="none"/>
        </w:rPr>
        <w:t>生活污水排入化粪池处理后排入市政管网（食堂废水经隔油池处理后与生活污水一同排入化粪池），经污水管网排入</w:t>
      </w:r>
      <w:r>
        <w:rPr>
          <w:rFonts w:hint="eastAsia" w:ascii="Times New Roman" w:hAnsi="Times New Roman"/>
          <w:szCs w:val="24"/>
          <w:highlight w:val="none"/>
          <w:lang w:val="en-US" w:eastAsia="zh-CN"/>
        </w:rPr>
        <w:t>绥芬河中环污水处理有限公司</w:t>
      </w:r>
      <w:r>
        <w:rPr>
          <w:rFonts w:hint="eastAsia" w:ascii="Times New Roman" w:hAnsi="Times New Roman"/>
          <w:highlight w:val="none"/>
        </w:rPr>
        <w:t>，处理达到《城镇污水处理厂污染物排放标准》(GB18918—2002)一级</w:t>
      </w:r>
      <w:r>
        <w:rPr>
          <w:rFonts w:hint="eastAsia" w:ascii="Times New Roman" w:hAnsi="Times New Roman"/>
          <w:highlight w:val="none"/>
          <w:lang w:val="en-US" w:eastAsia="zh-CN"/>
        </w:rPr>
        <w:t>B</w:t>
      </w:r>
      <w:r>
        <w:rPr>
          <w:rFonts w:hint="eastAsia" w:ascii="Times New Roman" w:hAnsi="Times New Roman"/>
          <w:highlight w:val="none"/>
        </w:rPr>
        <w:t>标准后排入</w:t>
      </w:r>
      <w:r>
        <w:rPr>
          <w:rFonts w:hint="eastAsia" w:ascii="Times New Roman" w:hAnsi="Times New Roman"/>
          <w:highlight w:val="none"/>
          <w:lang w:val="en-US" w:eastAsia="zh-CN"/>
        </w:rPr>
        <w:t>小绥芬河</w:t>
      </w:r>
      <w:r>
        <w:rPr>
          <w:rFonts w:ascii="Times New Roman" w:hAnsi="Times New Roman"/>
          <w:highlight w:val="none"/>
        </w:rPr>
        <w:t>，一般工业固体废物均外售综合利用，危险废物交有资质单位处置</w:t>
      </w:r>
      <w:r>
        <w:rPr>
          <w:rFonts w:hint="eastAsia" w:ascii="Times New Roman" w:hAnsi="Times New Roman"/>
          <w:highlight w:val="none"/>
        </w:rPr>
        <w:t>。现有工程不存在环保上访及环保督查等遗留问题等。</w:t>
      </w:r>
    </w:p>
    <w:p w14:paraId="06C737A2">
      <w:pPr>
        <w:ind w:firstLine="480"/>
        <w:rPr>
          <w:rFonts w:hint="eastAsia" w:ascii="Times New Roman" w:hAnsi="Times New Roman"/>
          <w:highlight w:val="none"/>
        </w:rPr>
      </w:pPr>
      <w:r>
        <w:rPr>
          <w:rFonts w:hint="eastAsia" w:ascii="Times New Roman" w:hAnsi="Times New Roman"/>
          <w:highlight w:val="none"/>
        </w:rPr>
        <w:t>（6）“以新带老”</w:t>
      </w:r>
    </w:p>
    <w:p w14:paraId="0403F39F">
      <w:pPr>
        <w:bidi w:val="0"/>
        <w:rPr>
          <w:rFonts w:hint="default"/>
          <w:highlight w:val="none"/>
          <w:lang w:val="en-US" w:eastAsia="zh-CN"/>
        </w:rPr>
      </w:pPr>
      <w:r>
        <w:rPr>
          <w:rFonts w:hint="eastAsia"/>
          <w:highlight w:val="none"/>
          <w:lang w:val="en-US" w:eastAsia="zh-CN"/>
        </w:rPr>
        <w:t>本项目于2025年9月30完成超低排放改造，本项目建成后，将有效降低锅炉烟气中污染物的排放。</w:t>
      </w:r>
    </w:p>
    <w:p w14:paraId="4BC9861B">
      <w:pPr>
        <w:pStyle w:val="5"/>
        <w:bidi w:val="0"/>
        <w:ind w:left="0" w:leftChars="0" w:firstLine="0" w:firstLineChars="0"/>
        <w:rPr>
          <w:rFonts w:hint="default"/>
          <w:sz w:val="30"/>
          <w:szCs w:val="30"/>
          <w:highlight w:val="none"/>
          <w:lang w:val="en-US" w:eastAsia="zh-CN"/>
        </w:rPr>
      </w:pPr>
      <w:bookmarkStart w:id="55" w:name="_Toc25416"/>
      <w:r>
        <w:rPr>
          <w:rFonts w:hint="default" w:ascii="Times New Roman" w:hAnsi="Times New Roman" w:cs="Times New Roman"/>
          <w:sz w:val="30"/>
          <w:szCs w:val="30"/>
          <w:highlight w:val="none"/>
          <w:lang w:val="en-US" w:eastAsia="zh-CN"/>
        </w:rPr>
        <w:t>3.1.</w:t>
      </w:r>
      <w:r>
        <w:rPr>
          <w:rFonts w:hint="eastAsia" w:ascii="Times New Roman" w:hAnsi="Times New Roman" w:cs="Times New Roman"/>
          <w:sz w:val="30"/>
          <w:szCs w:val="30"/>
          <w:highlight w:val="none"/>
          <w:lang w:val="en-US" w:eastAsia="zh-CN"/>
        </w:rPr>
        <w:t>2现有</w:t>
      </w:r>
      <w:r>
        <w:rPr>
          <w:rFonts w:hint="eastAsia"/>
          <w:sz w:val="30"/>
          <w:szCs w:val="30"/>
          <w:highlight w:val="none"/>
          <w:lang w:val="en-US" w:eastAsia="zh-CN"/>
        </w:rPr>
        <w:t>工程概况</w:t>
      </w:r>
      <w:bookmarkEnd w:id="55"/>
    </w:p>
    <w:p w14:paraId="3F027DDE">
      <w:pPr>
        <w:ind w:firstLine="480"/>
        <w:rPr>
          <w:rFonts w:hint="eastAsia" w:ascii="Times New Roman" w:hAnsi="Times New Roman" w:eastAsia="宋体"/>
          <w:highlight w:val="none"/>
          <w:lang w:val="en-US" w:eastAsia="zh-CN"/>
        </w:rPr>
      </w:pPr>
      <w:r>
        <w:rPr>
          <w:rFonts w:ascii="Times New Roman" w:hAnsi="Times New Roman"/>
          <w:highlight w:val="none"/>
        </w:rPr>
        <w:t>（1）项目名称：</w:t>
      </w:r>
      <w:r>
        <w:rPr>
          <w:rFonts w:hint="eastAsia" w:ascii="Times New Roman" w:hAnsi="Times New Roman"/>
          <w:highlight w:val="none"/>
          <w:lang w:val="en-US" w:eastAsia="zh-CN"/>
        </w:rPr>
        <w:t>绥芬河市新区供热有限责任公司燃煤供热锅炉建设项目</w:t>
      </w:r>
    </w:p>
    <w:p w14:paraId="62557153">
      <w:pPr>
        <w:ind w:firstLine="480"/>
        <w:rPr>
          <w:rFonts w:ascii="Times New Roman" w:hAnsi="Times New Roman"/>
          <w:highlight w:val="none"/>
        </w:rPr>
      </w:pPr>
      <w:r>
        <w:rPr>
          <w:rFonts w:ascii="Times New Roman" w:hAnsi="Times New Roman"/>
          <w:highlight w:val="none"/>
        </w:rPr>
        <w:t>（2）项目承办单位：</w:t>
      </w:r>
      <w:r>
        <w:rPr>
          <w:rFonts w:hint="eastAsia" w:ascii="Times New Roman" w:hAnsi="Times New Roman"/>
          <w:highlight w:val="none"/>
          <w:lang w:val="en-US" w:eastAsia="zh-CN"/>
        </w:rPr>
        <w:t>绥芬河市新区供热有限责任公司</w:t>
      </w:r>
    </w:p>
    <w:p w14:paraId="29A33B69">
      <w:pPr>
        <w:ind w:firstLine="480"/>
        <w:rPr>
          <w:rFonts w:hint="eastAsia" w:ascii="Times New Roman" w:hAnsi="Times New Roman"/>
          <w:highlight w:val="none"/>
        </w:rPr>
      </w:pPr>
      <w:r>
        <w:rPr>
          <w:rFonts w:ascii="Times New Roman" w:hAnsi="Times New Roman"/>
          <w:highlight w:val="none"/>
        </w:rPr>
        <w:t>（3）建设地点：</w:t>
      </w:r>
      <w:r>
        <w:rPr>
          <w:rFonts w:hint="eastAsia" w:ascii="Times New Roman" w:hAnsi="Times New Roman"/>
          <w:highlight w:val="none"/>
          <w:lang w:val="en-US" w:eastAsia="zh-CN"/>
        </w:rPr>
        <w:t>黑龙江省牡丹江市绥芬河市长山路幸福街1号</w:t>
      </w:r>
    </w:p>
    <w:p w14:paraId="50509B17">
      <w:pPr>
        <w:ind w:firstLine="480"/>
        <w:rPr>
          <w:rFonts w:hint="eastAsia" w:ascii="Times New Roman" w:hAnsi="Times New Roman" w:eastAsia="宋体"/>
          <w:highlight w:val="none"/>
          <w:lang w:val="en-US" w:eastAsia="zh-CN"/>
        </w:rPr>
      </w:pPr>
      <w:r>
        <w:rPr>
          <w:rFonts w:ascii="Times New Roman" w:hAnsi="Times New Roman"/>
          <w:highlight w:val="none"/>
        </w:rPr>
        <w:t>（4）建设性质：</w:t>
      </w:r>
      <w:r>
        <w:rPr>
          <w:rFonts w:hint="eastAsia" w:ascii="Times New Roman" w:hAnsi="Times New Roman"/>
          <w:highlight w:val="none"/>
          <w:lang w:val="en-US" w:eastAsia="zh-CN"/>
        </w:rPr>
        <w:t>新建（重新报批）</w:t>
      </w:r>
    </w:p>
    <w:p w14:paraId="062708B5">
      <w:pPr>
        <w:ind w:firstLine="480"/>
        <w:rPr>
          <w:rFonts w:ascii="Times New Roman" w:hAnsi="Times New Roman"/>
          <w:highlight w:val="none"/>
        </w:rPr>
      </w:pPr>
      <w:r>
        <w:rPr>
          <w:rFonts w:ascii="Times New Roman" w:hAnsi="Times New Roman"/>
          <w:highlight w:val="none"/>
        </w:rPr>
        <w:t>（5）建设规模：</w:t>
      </w:r>
      <w:r>
        <w:rPr>
          <w:rFonts w:ascii="Times New Roman" w:hAnsi="Times New Roman"/>
          <w:iCs/>
          <w:highlight w:val="none"/>
        </w:rPr>
        <w:t>建设</w:t>
      </w:r>
      <w:r>
        <w:rPr>
          <w:rFonts w:hint="eastAsia"/>
          <w:highlight w:val="none"/>
          <w:lang w:val="en-US" w:eastAsia="zh-CN"/>
        </w:rPr>
        <w:t>116MW+</w:t>
      </w:r>
      <w:r>
        <w:rPr>
          <w:rFonts w:hint="default"/>
          <w:highlight w:val="none"/>
          <w:lang w:val="en-US" w:eastAsia="zh-CN"/>
        </w:rPr>
        <w:t>58</w:t>
      </w:r>
      <w:r>
        <w:rPr>
          <w:rFonts w:hint="eastAsia"/>
          <w:highlight w:val="none"/>
          <w:lang w:val="en-US" w:eastAsia="zh-CN"/>
        </w:rPr>
        <w:t>MW热水锅炉和1台35t/h蒸汽锅炉共三台，</w:t>
      </w:r>
      <w:r>
        <w:rPr>
          <w:rFonts w:ascii="Times New Roman" w:hAnsi="Times New Roman"/>
          <w:highlight w:val="none"/>
        </w:rPr>
        <w:t>并配套建设相关措施。</w:t>
      </w:r>
    </w:p>
    <w:p w14:paraId="28446A51">
      <w:pPr>
        <w:ind w:firstLine="480"/>
        <w:rPr>
          <w:rFonts w:ascii="Times New Roman" w:hAnsi="Times New Roman"/>
          <w:highlight w:val="none"/>
        </w:rPr>
      </w:pPr>
      <w:r>
        <w:rPr>
          <w:rFonts w:ascii="Times New Roman" w:hAnsi="Times New Roman"/>
          <w:highlight w:val="none"/>
        </w:rPr>
        <w:t>（6）总投资：</w:t>
      </w:r>
      <w:r>
        <w:rPr>
          <w:rFonts w:hint="eastAsia" w:ascii="Times New Roman" w:hAnsi="Times New Roman"/>
          <w:highlight w:val="none"/>
          <w:lang w:val="en-US" w:eastAsia="zh-CN"/>
        </w:rPr>
        <w:t>3620</w:t>
      </w:r>
      <w:r>
        <w:rPr>
          <w:rFonts w:ascii="Times New Roman" w:hAnsi="Times New Roman"/>
          <w:highlight w:val="none"/>
        </w:rPr>
        <w:t>万元</w:t>
      </w:r>
    </w:p>
    <w:p w14:paraId="44C058FD">
      <w:pPr>
        <w:ind w:firstLine="480"/>
        <w:rPr>
          <w:rFonts w:ascii="Times New Roman" w:hAnsi="Times New Roman"/>
          <w:highlight w:val="none"/>
        </w:rPr>
      </w:pPr>
      <w:r>
        <w:rPr>
          <w:rFonts w:ascii="Times New Roman" w:hAnsi="Times New Roman"/>
          <w:highlight w:val="none"/>
        </w:rPr>
        <w:t>（7）劳动定员：本项目员工</w:t>
      </w:r>
      <w:r>
        <w:rPr>
          <w:rFonts w:hint="eastAsia" w:ascii="Times New Roman" w:hAnsi="Times New Roman"/>
          <w:highlight w:val="none"/>
          <w:lang w:val="en-US" w:eastAsia="zh-CN"/>
        </w:rPr>
        <w:t>175</w:t>
      </w:r>
      <w:r>
        <w:rPr>
          <w:rFonts w:ascii="Times New Roman" w:hAnsi="Times New Roman"/>
          <w:highlight w:val="none"/>
        </w:rPr>
        <w:t>人</w:t>
      </w:r>
    </w:p>
    <w:p w14:paraId="314C6E0A">
      <w:pPr>
        <w:ind w:firstLine="480"/>
        <w:rPr>
          <w:rFonts w:hint="default" w:cs="Times New Roman"/>
          <w:highlight w:val="none"/>
          <w:lang w:val="en-US" w:eastAsia="zh-CN"/>
        </w:rPr>
      </w:pPr>
      <w:r>
        <w:rPr>
          <w:rFonts w:ascii="Times New Roman" w:hAnsi="Times New Roman"/>
          <w:highlight w:val="none"/>
        </w:rPr>
        <w:t>（8）运行</w:t>
      </w:r>
      <w:r>
        <w:rPr>
          <w:rFonts w:hint="eastAsia" w:ascii="Times New Roman" w:hAnsi="Times New Roman"/>
          <w:highlight w:val="none"/>
        </w:rPr>
        <w:t>方案及</w:t>
      </w:r>
      <w:r>
        <w:rPr>
          <w:rFonts w:ascii="Times New Roman" w:hAnsi="Times New Roman"/>
          <w:highlight w:val="none"/>
        </w:rPr>
        <w:t>时数：本项目</w:t>
      </w:r>
      <w:r>
        <w:rPr>
          <w:rFonts w:hint="eastAsia" w:ascii="Times New Roman" w:hAnsi="Times New Roman"/>
          <w:highlight w:val="none"/>
        </w:rPr>
        <w:t>锅炉仅采暖期运行，非采暖期不运行，仅用于供热；年</w:t>
      </w:r>
      <w:r>
        <w:rPr>
          <w:rFonts w:ascii="Times New Roman" w:hAnsi="Times New Roman"/>
          <w:highlight w:val="none"/>
        </w:rPr>
        <w:t>运行时间为</w:t>
      </w:r>
      <w:r>
        <w:rPr>
          <w:rFonts w:hint="eastAsia" w:ascii="Times New Roman" w:hAnsi="Times New Roman"/>
          <w:highlight w:val="none"/>
          <w:lang w:val="en-US" w:eastAsia="zh-CN"/>
        </w:rPr>
        <w:t>210</w:t>
      </w:r>
      <w:r>
        <w:rPr>
          <w:rFonts w:ascii="Times New Roman" w:hAnsi="Times New Roman"/>
          <w:highlight w:val="none"/>
        </w:rPr>
        <w:t>天，按满负荷运行折算锅炉工况小时数为</w:t>
      </w:r>
      <w:r>
        <w:rPr>
          <w:rFonts w:hint="eastAsia" w:ascii="Times New Roman" w:hAnsi="Times New Roman"/>
          <w:highlight w:val="none"/>
          <w:lang w:val="en-US" w:eastAsia="zh-CN"/>
        </w:rPr>
        <w:t>5040</w:t>
      </w:r>
      <w:r>
        <w:rPr>
          <w:rFonts w:ascii="Times New Roman" w:hAnsi="Times New Roman"/>
          <w:highlight w:val="none"/>
        </w:rPr>
        <w:t>小时。</w:t>
      </w:r>
    </w:p>
    <w:p w14:paraId="723D5B98">
      <w:pPr>
        <w:pStyle w:val="5"/>
        <w:bidi w:val="0"/>
        <w:ind w:left="0" w:leftChars="0" w:firstLine="0" w:firstLineChars="0"/>
        <w:rPr>
          <w:rFonts w:hint="eastAsia"/>
          <w:sz w:val="30"/>
          <w:szCs w:val="30"/>
          <w:highlight w:val="none"/>
          <w:lang w:val="en-US" w:eastAsia="zh-CN"/>
        </w:rPr>
      </w:pPr>
      <w:bookmarkStart w:id="56" w:name="_Toc20608"/>
      <w:r>
        <w:rPr>
          <w:rFonts w:hint="default" w:ascii="Times New Roman" w:hAnsi="Times New Roman" w:cs="Times New Roman"/>
          <w:sz w:val="30"/>
          <w:szCs w:val="30"/>
          <w:highlight w:val="none"/>
          <w:lang w:val="en-US" w:eastAsia="zh-CN"/>
        </w:rPr>
        <w:t>3.1.</w:t>
      </w:r>
      <w:r>
        <w:rPr>
          <w:rFonts w:hint="eastAsia" w:ascii="Times New Roman" w:hAnsi="Times New Roman" w:cs="Times New Roman"/>
          <w:sz w:val="30"/>
          <w:szCs w:val="30"/>
          <w:highlight w:val="none"/>
          <w:lang w:val="en-US" w:eastAsia="zh-CN"/>
        </w:rPr>
        <w:t>3现有工程</w:t>
      </w:r>
      <w:r>
        <w:rPr>
          <w:rFonts w:hint="eastAsia"/>
          <w:sz w:val="30"/>
          <w:szCs w:val="30"/>
          <w:highlight w:val="none"/>
          <w:lang w:val="en-US" w:eastAsia="zh-CN"/>
        </w:rPr>
        <w:t>建设内容与规模</w:t>
      </w:r>
      <w:bookmarkEnd w:id="56"/>
    </w:p>
    <w:p w14:paraId="3DF52F01">
      <w:pPr>
        <w:rPr>
          <w:rFonts w:hint="eastAsia" w:ascii="Times New Roman" w:hAnsi="Times New Roman"/>
          <w:highlight w:val="none"/>
          <w:lang w:eastAsia="zh-CN"/>
        </w:rPr>
      </w:pPr>
      <w:r>
        <w:rPr>
          <w:rFonts w:ascii="Times New Roman" w:hAnsi="Times New Roman"/>
          <w:highlight w:val="none"/>
        </w:rPr>
        <w:t>本项目的建设内容是：本项目</w:t>
      </w:r>
      <w:r>
        <w:rPr>
          <w:rFonts w:hint="eastAsia" w:ascii="Times New Roman" w:hAnsi="Times New Roman"/>
          <w:highlight w:val="none"/>
          <w:lang w:val="en-US" w:eastAsia="zh-CN"/>
        </w:rPr>
        <w:t>建设</w:t>
      </w:r>
      <w:r>
        <w:rPr>
          <w:rFonts w:hint="eastAsia"/>
          <w:highlight w:val="none"/>
          <w:lang w:val="en-US" w:eastAsia="zh-CN"/>
        </w:rPr>
        <w:t>116MW+</w:t>
      </w:r>
      <w:r>
        <w:rPr>
          <w:rFonts w:hint="default"/>
          <w:highlight w:val="none"/>
          <w:lang w:val="en-US" w:eastAsia="zh-CN"/>
        </w:rPr>
        <w:t>58</w:t>
      </w:r>
      <w:r>
        <w:rPr>
          <w:rFonts w:hint="eastAsia"/>
          <w:highlight w:val="none"/>
          <w:lang w:val="en-US" w:eastAsia="zh-CN"/>
        </w:rPr>
        <w:t>MW热水锅炉和1台35t/h蒸汽锅炉共三台</w:t>
      </w:r>
      <w:r>
        <w:rPr>
          <w:rFonts w:ascii="Times New Roman" w:hAnsi="Times New Roman"/>
          <w:highlight w:val="none"/>
        </w:rPr>
        <w:t>，采用循环流化床低氮燃烧+SNCR-SCR脱硝+布袋除尘器+石灰石-石膏法脱硫的烟气净化技术，供热</w:t>
      </w:r>
      <w:r>
        <w:rPr>
          <w:rFonts w:hint="eastAsia" w:ascii="Times New Roman" w:hAnsi="Times New Roman"/>
          <w:highlight w:val="none"/>
        </w:rPr>
        <w:t>能力</w:t>
      </w:r>
      <w:r>
        <w:rPr>
          <w:rFonts w:ascii="Times New Roman" w:hAnsi="Times New Roman"/>
          <w:highlight w:val="none"/>
        </w:rPr>
        <w:t>为</w:t>
      </w:r>
      <w:r>
        <w:rPr>
          <w:rFonts w:hint="eastAsia" w:ascii="Times New Roman" w:hAnsi="Times New Roman"/>
          <w:highlight w:val="none"/>
          <w:lang w:val="en-US" w:eastAsia="zh-CN"/>
        </w:rPr>
        <w:t>210</w:t>
      </w:r>
      <w:r>
        <w:rPr>
          <w:rFonts w:ascii="Times New Roman" w:hAnsi="Times New Roman"/>
          <w:highlight w:val="none"/>
        </w:rPr>
        <w:t>万m</w:t>
      </w:r>
      <w:r>
        <w:rPr>
          <w:rFonts w:ascii="Times New Roman" w:hAnsi="Times New Roman"/>
          <w:highlight w:val="none"/>
          <w:vertAlign w:val="superscript"/>
        </w:rPr>
        <w:t>2</w:t>
      </w:r>
      <w:r>
        <w:rPr>
          <w:rFonts w:ascii="Times New Roman" w:hAnsi="Times New Roman"/>
          <w:highlight w:val="none"/>
        </w:rPr>
        <w:t>。</w:t>
      </w:r>
      <w:r>
        <w:rPr>
          <w:rFonts w:hint="eastAsia" w:ascii="Times New Roman" w:hAnsi="Times New Roman"/>
          <w:highlight w:val="none"/>
          <w:lang w:val="en-US" w:eastAsia="zh-CN"/>
        </w:rPr>
        <w:t>建设</w:t>
      </w:r>
      <w:r>
        <w:rPr>
          <w:rFonts w:ascii="Times New Roman" w:hAnsi="Times New Roman"/>
          <w:highlight w:val="none"/>
        </w:rPr>
        <w:t>主厂房、</w:t>
      </w:r>
      <w:r>
        <w:rPr>
          <w:rFonts w:hint="eastAsia" w:ascii="Times New Roman" w:hAnsi="Times New Roman"/>
          <w:highlight w:val="none"/>
        </w:rPr>
        <w:t>储煤库</w:t>
      </w:r>
      <w:r>
        <w:rPr>
          <w:rFonts w:ascii="Times New Roman" w:hAnsi="Times New Roman"/>
          <w:highlight w:val="none"/>
        </w:rPr>
        <w:t>、脱硫塔、</w:t>
      </w:r>
      <w:r>
        <w:rPr>
          <w:rFonts w:hint="eastAsia" w:ascii="Times New Roman" w:hAnsi="Times New Roman"/>
          <w:highlight w:val="none"/>
        </w:rPr>
        <w:t>输煤系统</w:t>
      </w:r>
      <w:r>
        <w:rPr>
          <w:rFonts w:ascii="Times New Roman" w:hAnsi="Times New Roman"/>
          <w:highlight w:val="none"/>
        </w:rPr>
        <w:t>、烟囱</w:t>
      </w:r>
      <w:r>
        <w:rPr>
          <w:rFonts w:hint="eastAsia" w:ascii="Times New Roman" w:hAnsi="Times New Roman"/>
          <w:highlight w:val="none"/>
          <w:lang w:eastAsia="zh-CN"/>
        </w:rPr>
        <w:t>、</w:t>
      </w:r>
      <w:r>
        <w:rPr>
          <w:rFonts w:ascii="Times New Roman" w:hAnsi="Times New Roman"/>
          <w:iCs/>
          <w:highlight w:val="none"/>
        </w:rPr>
        <w:t>点火助燃油系统</w:t>
      </w:r>
      <w:r>
        <w:rPr>
          <w:rFonts w:hint="eastAsia" w:ascii="Times New Roman" w:hAnsi="Times New Roman"/>
          <w:iCs/>
          <w:highlight w:val="none"/>
          <w:lang w:eastAsia="zh-CN"/>
        </w:rPr>
        <w:t>、</w:t>
      </w:r>
      <w:r>
        <w:rPr>
          <w:rFonts w:ascii="Times New Roman" w:hAnsi="Times New Roman"/>
          <w:highlight w:val="none"/>
        </w:rPr>
        <w:t>供热管网以及换热站。</w:t>
      </w:r>
    </w:p>
    <w:p w14:paraId="08B1351D">
      <w:pPr>
        <w:pStyle w:val="23"/>
        <w:rPr>
          <w:rFonts w:hint="eastAsia" w:ascii="Times New Roman" w:hAnsi="Times New Roman"/>
          <w:highlight w:val="none"/>
          <w:lang w:val="en-US" w:eastAsia="zh-CN"/>
        </w:rPr>
      </w:pPr>
      <w:r>
        <w:rPr>
          <w:rFonts w:hint="eastAsia" w:ascii="Times New Roman" w:hAnsi="Times New Roman"/>
          <w:highlight w:val="none"/>
          <w:lang w:val="en-US" w:eastAsia="zh-CN"/>
        </w:rPr>
        <w:t>本项目工程情况见表3.1-1。</w:t>
      </w:r>
    </w:p>
    <w:p w14:paraId="4C07EAE4">
      <w:pPr>
        <w:pStyle w:val="29"/>
        <w:spacing w:line="240" w:lineRule="auto"/>
        <w:ind w:firstLine="480"/>
        <w:rPr>
          <w:rFonts w:hint="eastAsia" w:ascii="宋体" w:hAnsi="宋体" w:eastAsia="宋体" w:cs="宋体"/>
          <w:color w:val="auto"/>
          <w:spacing w:val="0"/>
          <w:kern w:val="2"/>
          <w:sz w:val="24"/>
          <w:szCs w:val="24"/>
          <w:highlight w:val="none"/>
          <w:lang w:val="en-US" w:eastAsia="zh-CN" w:bidi="ar-SA"/>
        </w:rPr>
      </w:pPr>
      <w:r>
        <w:rPr>
          <w:rFonts w:hint="eastAsia" w:ascii="黑体" w:hAnsi="黑体" w:eastAsia="黑体" w:cs="黑体"/>
          <w:color w:val="auto"/>
          <w:spacing w:val="0"/>
          <w:kern w:val="2"/>
          <w:sz w:val="24"/>
          <w:szCs w:val="24"/>
          <w:highlight w:val="none"/>
          <w:lang w:val="en-US" w:eastAsia="zh-CN" w:bidi="ar-SA"/>
        </w:rPr>
        <w:t>表</w:t>
      </w:r>
      <w:r>
        <w:rPr>
          <w:rFonts w:hint="default" w:ascii="Times New Roman" w:hAnsi="Times New Roman" w:eastAsia="宋体" w:cs="Times New Roman"/>
          <w:color w:val="auto"/>
          <w:spacing w:val="0"/>
          <w:kern w:val="2"/>
          <w:sz w:val="24"/>
          <w:szCs w:val="24"/>
          <w:highlight w:val="none"/>
          <w:lang w:val="en-US" w:eastAsia="zh-CN" w:bidi="ar-SA"/>
        </w:rPr>
        <w:t>3.1-1</w:t>
      </w:r>
      <w:r>
        <w:rPr>
          <w:rFonts w:hint="eastAsia" w:ascii="黑体" w:hAnsi="黑体" w:eastAsia="黑体" w:cs="黑体"/>
          <w:color w:val="auto"/>
          <w:spacing w:val="0"/>
          <w:kern w:val="2"/>
          <w:sz w:val="24"/>
          <w:szCs w:val="24"/>
          <w:highlight w:val="none"/>
          <w:lang w:val="en-US" w:eastAsia="zh-CN" w:bidi="ar-SA"/>
        </w:rPr>
        <w:t>主要建设内容一览表</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 w:type="dxa"/>
          <w:bottom w:w="0" w:type="dxa"/>
          <w:right w:w="10" w:type="dxa"/>
        </w:tblCellMar>
      </w:tblPr>
      <w:tblGrid>
        <w:gridCol w:w="631"/>
        <w:gridCol w:w="505"/>
        <w:gridCol w:w="1234"/>
        <w:gridCol w:w="5301"/>
        <w:gridCol w:w="655"/>
      </w:tblGrid>
      <w:tr w14:paraId="38A691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shd w:val="clear" w:color="auto" w:fill="FFFFFF"/>
            <w:noWrap w:val="0"/>
            <w:vAlign w:val="center"/>
          </w:tcPr>
          <w:p w14:paraId="78B440FA">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工程类别</w:t>
            </w:r>
          </w:p>
        </w:tc>
        <w:tc>
          <w:tcPr>
            <w:tcW w:w="1044" w:type="pct"/>
            <w:gridSpan w:val="2"/>
            <w:shd w:val="clear" w:color="auto" w:fill="FFFFFF"/>
            <w:noWrap w:val="0"/>
            <w:vAlign w:val="center"/>
          </w:tcPr>
          <w:p w14:paraId="220AFDD8">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项目名称</w:t>
            </w:r>
          </w:p>
        </w:tc>
        <w:tc>
          <w:tcPr>
            <w:tcW w:w="3182" w:type="pct"/>
            <w:shd w:val="clear" w:color="auto" w:fill="FFFFFF"/>
            <w:noWrap w:val="0"/>
            <w:vAlign w:val="center"/>
          </w:tcPr>
          <w:p w14:paraId="6D6DF226">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建设内容</w:t>
            </w:r>
          </w:p>
        </w:tc>
        <w:tc>
          <w:tcPr>
            <w:tcW w:w="393" w:type="pct"/>
            <w:shd w:val="clear" w:color="auto" w:fill="FFFFFF"/>
            <w:noWrap w:val="0"/>
            <w:vAlign w:val="center"/>
          </w:tcPr>
          <w:p w14:paraId="1F25AFC4">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备注</w:t>
            </w:r>
          </w:p>
        </w:tc>
      </w:tr>
      <w:tr w14:paraId="546CD9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restart"/>
            <w:shd w:val="clear" w:color="auto" w:fill="FFFFFF"/>
            <w:noWrap w:val="0"/>
            <w:vAlign w:val="center"/>
          </w:tcPr>
          <w:p w14:paraId="56426BA2">
            <w:pPr>
              <w:pStyle w:val="25"/>
              <w:spacing w:after="0"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主体工程</w:t>
            </w:r>
          </w:p>
        </w:tc>
        <w:tc>
          <w:tcPr>
            <w:tcW w:w="1044" w:type="pct"/>
            <w:gridSpan w:val="2"/>
            <w:shd w:val="clear" w:color="auto" w:fill="FFFFFF"/>
            <w:noWrap w:val="0"/>
            <w:vAlign w:val="center"/>
          </w:tcPr>
          <w:p w14:paraId="1C754540">
            <w:pPr>
              <w:pStyle w:val="25"/>
              <w:spacing w:after="0"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锅炉房</w:t>
            </w:r>
          </w:p>
        </w:tc>
        <w:tc>
          <w:tcPr>
            <w:tcW w:w="3182" w:type="pct"/>
            <w:shd w:val="clear" w:color="auto" w:fill="FFFFFF"/>
            <w:noWrap w:val="0"/>
            <w:vAlign w:val="center"/>
          </w:tcPr>
          <w:p w14:paraId="77620A01">
            <w:pPr>
              <w:pStyle w:val="25"/>
              <w:spacing w:after="0" w:line="240" w:lineRule="auto"/>
              <w:ind w:firstLine="0"/>
              <w:jc w:val="center"/>
              <w:rPr>
                <w:rFonts w:hint="default"/>
                <w:highlight w:val="none"/>
                <w:lang w:val="en-US" w:eastAsia="zh-CN"/>
              </w:rPr>
            </w:pPr>
            <w:r>
              <w:rPr>
                <w:rFonts w:hint="eastAsia" w:ascii="Times New Roman" w:hAnsi="Times New Roman" w:cs="Times New Roman"/>
                <w:color w:val="auto"/>
                <w:sz w:val="21"/>
                <w:szCs w:val="21"/>
                <w:highlight w:val="none"/>
                <w:lang w:val="en-US" w:eastAsia="zh-CN"/>
              </w:rPr>
              <w:t>锅炉房占地面积为2000㎡，建设1台116MW燃煤链条热水锅炉，燃煤量为35474.4t/a；建设1台58MW燃煤链条热水锅炉，燃煤量为31693.824t/a；建设1台35t/h燃煤蒸汽锅炉，燃煤量为13879.4784t/a。</w:t>
            </w:r>
          </w:p>
        </w:tc>
        <w:tc>
          <w:tcPr>
            <w:tcW w:w="393" w:type="pct"/>
            <w:shd w:val="clear" w:color="auto" w:fill="FFFFFF"/>
            <w:noWrap w:val="0"/>
            <w:vAlign w:val="center"/>
          </w:tcPr>
          <w:p w14:paraId="6A80747E">
            <w:pPr>
              <w:pStyle w:val="25"/>
              <w:spacing w:after="0" w:line="240" w:lineRule="auto"/>
              <w:ind w:firstLine="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已建</w:t>
            </w:r>
          </w:p>
        </w:tc>
      </w:tr>
      <w:tr w14:paraId="26AB0A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2C93EF6C">
            <w:pPr>
              <w:pStyle w:val="25"/>
              <w:spacing w:after="0" w:line="240" w:lineRule="auto"/>
              <w:jc w:val="center"/>
              <w:rPr>
                <w:rFonts w:ascii="Times New Roman" w:hAnsi="Times New Roman" w:eastAsia="Times New Roman" w:cs="Times New Roman"/>
                <w:color w:val="auto"/>
                <w:sz w:val="21"/>
                <w:szCs w:val="21"/>
                <w:highlight w:val="none"/>
                <w:lang w:eastAsia="en-US" w:bidi="en-US"/>
              </w:rPr>
            </w:pPr>
          </w:p>
        </w:tc>
        <w:tc>
          <w:tcPr>
            <w:tcW w:w="1044" w:type="pct"/>
            <w:gridSpan w:val="2"/>
            <w:shd w:val="clear" w:color="auto" w:fill="FFFFFF"/>
            <w:noWrap w:val="0"/>
            <w:vAlign w:val="center"/>
          </w:tcPr>
          <w:p w14:paraId="16DB20D7">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燃料供应系统</w:t>
            </w:r>
          </w:p>
        </w:tc>
        <w:tc>
          <w:tcPr>
            <w:tcW w:w="3182" w:type="pct"/>
            <w:shd w:val="clear" w:color="auto" w:fill="FFFFFF"/>
            <w:noWrap w:val="0"/>
            <w:vAlign w:val="center"/>
          </w:tcPr>
          <w:p w14:paraId="0F8CD472">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本工程燃煤采用</w:t>
            </w:r>
            <w:r>
              <w:rPr>
                <w:rFonts w:hint="eastAsia" w:ascii="Times New Roman" w:hAnsi="Times New Roman" w:cs="Times New Roman"/>
                <w:color w:val="auto"/>
                <w:sz w:val="21"/>
                <w:szCs w:val="21"/>
                <w:highlight w:val="none"/>
                <w:lang w:val="en-US" w:eastAsia="zh-CN"/>
              </w:rPr>
              <w:t>公</w:t>
            </w:r>
            <w:r>
              <w:rPr>
                <w:rFonts w:ascii="Times New Roman" w:hAnsi="Times New Roman" w:cs="Times New Roman"/>
                <w:color w:val="auto"/>
                <w:sz w:val="21"/>
                <w:szCs w:val="21"/>
                <w:highlight w:val="none"/>
              </w:rPr>
              <w:t>路</w:t>
            </w:r>
            <w:r>
              <w:rPr>
                <w:rFonts w:hint="eastAsia" w:ascii="Times New Roman" w:hAnsi="Times New Roman" w:cs="Times New Roman"/>
                <w:color w:val="auto"/>
                <w:sz w:val="21"/>
                <w:szCs w:val="21"/>
                <w:highlight w:val="none"/>
                <w:lang w:val="en-US" w:eastAsia="zh-CN"/>
              </w:rPr>
              <w:t>运输到场</w:t>
            </w:r>
            <w:r>
              <w:rPr>
                <w:rFonts w:ascii="Times New Roman" w:hAnsi="Times New Roman" w:cs="Times New Roman"/>
                <w:color w:val="auto"/>
                <w:sz w:val="21"/>
                <w:szCs w:val="21"/>
                <w:highlight w:val="none"/>
              </w:rPr>
              <w:t>。</w:t>
            </w:r>
          </w:p>
        </w:tc>
        <w:tc>
          <w:tcPr>
            <w:tcW w:w="393" w:type="pct"/>
            <w:shd w:val="clear" w:color="auto" w:fill="FFFFFF"/>
            <w:noWrap w:val="0"/>
            <w:vAlign w:val="center"/>
          </w:tcPr>
          <w:p w14:paraId="38A322FA">
            <w:pPr>
              <w:pStyle w:val="25"/>
              <w:spacing w:after="0" w:line="240" w:lineRule="auto"/>
              <w:ind w:firstLine="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rPr>
              <w:t>依托</w:t>
            </w:r>
            <w:r>
              <w:rPr>
                <w:rFonts w:ascii="Times New Roman" w:hAnsi="Times New Roman" w:cs="Times New Roman"/>
                <w:color w:val="auto"/>
                <w:sz w:val="21"/>
                <w:szCs w:val="21"/>
                <w:highlight w:val="none"/>
                <w:lang w:eastAsia="zh-CN"/>
              </w:rPr>
              <w:t>原有</w:t>
            </w:r>
          </w:p>
        </w:tc>
      </w:tr>
      <w:tr w14:paraId="70C949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5280C1E8">
            <w:pPr>
              <w:pStyle w:val="25"/>
              <w:spacing w:after="0" w:line="240" w:lineRule="auto"/>
              <w:jc w:val="center"/>
              <w:rPr>
                <w:rFonts w:ascii="Times New Roman" w:hAnsi="Times New Roman" w:eastAsia="Times New Roman" w:cs="Times New Roman"/>
                <w:color w:val="auto"/>
                <w:sz w:val="21"/>
                <w:szCs w:val="21"/>
                <w:highlight w:val="none"/>
                <w:lang w:eastAsia="en-US" w:bidi="en-US"/>
              </w:rPr>
            </w:pPr>
          </w:p>
        </w:tc>
        <w:tc>
          <w:tcPr>
            <w:tcW w:w="1044" w:type="pct"/>
            <w:gridSpan w:val="2"/>
            <w:shd w:val="clear" w:color="auto" w:fill="FFFFFF"/>
            <w:noWrap w:val="0"/>
            <w:vAlign w:val="center"/>
          </w:tcPr>
          <w:p w14:paraId="57373B31">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燃烧系统</w:t>
            </w:r>
          </w:p>
        </w:tc>
        <w:tc>
          <w:tcPr>
            <w:tcW w:w="3182" w:type="pct"/>
            <w:shd w:val="clear" w:color="auto" w:fill="FFFFFF"/>
            <w:noWrap w:val="0"/>
            <w:vAlign w:val="center"/>
          </w:tcPr>
          <w:p w14:paraId="1139F354">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煤斗中的燃煤经称重皮带给煤机直接送至炉膛给煤口前落煤管进入炉膛燃烧，采用平衡通风，一次风与二次风从不同的部位以不同的风压鼓入燃烧室，空预器出口烟气经袋式除尘器，由引风机抽出，经烟囱排入大气。</w:t>
            </w:r>
          </w:p>
        </w:tc>
        <w:tc>
          <w:tcPr>
            <w:tcW w:w="393" w:type="pct"/>
            <w:shd w:val="clear" w:color="auto" w:fill="FFFFFF"/>
            <w:noWrap w:val="0"/>
            <w:vAlign w:val="center"/>
          </w:tcPr>
          <w:p w14:paraId="13DD4FD7">
            <w:pPr>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lang w:val="en-US" w:eastAsia="zh-CN"/>
              </w:rPr>
              <w:t>已</w:t>
            </w:r>
            <w:r>
              <w:rPr>
                <w:rFonts w:ascii="Times New Roman" w:hAnsi="Times New Roman"/>
                <w:kern w:val="0"/>
                <w:sz w:val="21"/>
                <w:szCs w:val="21"/>
                <w:highlight w:val="none"/>
              </w:rPr>
              <w:t>建</w:t>
            </w:r>
          </w:p>
        </w:tc>
      </w:tr>
      <w:tr w14:paraId="743AFD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3451822B">
            <w:pPr>
              <w:pStyle w:val="25"/>
              <w:spacing w:after="0" w:line="240" w:lineRule="auto"/>
              <w:jc w:val="center"/>
              <w:rPr>
                <w:rFonts w:ascii="Times New Roman" w:hAnsi="Times New Roman" w:eastAsia="Times New Roman" w:cs="Times New Roman"/>
                <w:color w:val="auto"/>
                <w:sz w:val="21"/>
                <w:szCs w:val="21"/>
                <w:highlight w:val="none"/>
                <w:lang w:eastAsia="en-US" w:bidi="en-US"/>
              </w:rPr>
            </w:pPr>
          </w:p>
        </w:tc>
        <w:tc>
          <w:tcPr>
            <w:tcW w:w="1044" w:type="pct"/>
            <w:gridSpan w:val="2"/>
            <w:shd w:val="clear" w:color="auto" w:fill="FFFFFF"/>
            <w:noWrap w:val="0"/>
            <w:vAlign w:val="center"/>
          </w:tcPr>
          <w:p w14:paraId="05B2088D">
            <w:pPr>
              <w:pStyle w:val="25"/>
              <w:spacing w:after="0"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点火系统</w:t>
            </w:r>
          </w:p>
        </w:tc>
        <w:tc>
          <w:tcPr>
            <w:tcW w:w="3182" w:type="pct"/>
            <w:shd w:val="clear" w:color="auto" w:fill="FFFFFF"/>
            <w:noWrap w:val="0"/>
            <w:vAlign w:val="center"/>
          </w:tcPr>
          <w:p w14:paraId="5A256559">
            <w:pPr>
              <w:pStyle w:val="25"/>
              <w:spacing w:after="0" w:line="240" w:lineRule="auto"/>
              <w:ind w:firstLine="0"/>
              <w:jc w:val="center"/>
              <w:rPr>
                <w:rFonts w:ascii="Times New Roman" w:hAnsi="Times New Roman" w:cs="Times New Roman"/>
                <w:color w:val="auto"/>
                <w:sz w:val="21"/>
                <w:szCs w:val="21"/>
                <w:highlight w:val="none"/>
              </w:rPr>
            </w:pPr>
            <w:r>
              <w:rPr>
                <w:rFonts w:hint="eastAsia" w:cs="Times New Roman"/>
                <w:sz w:val="21"/>
                <w:szCs w:val="21"/>
                <w:highlight w:val="none"/>
              </w:rPr>
              <w:t>本项目不设置启动锅炉；锅炉点火助燃油采用轻柴油，本期工程厂区内不设储油罐，由燃油公司的油罐车将柴油直接运至厂区内，柴油经燃油泵升压点火即可满足点火要求，轻柴油使用量为10吨</w:t>
            </w:r>
            <w:r>
              <w:rPr>
                <w:rFonts w:cs="Times New Roman"/>
                <w:sz w:val="21"/>
                <w:szCs w:val="21"/>
                <w:highlight w:val="none"/>
              </w:rPr>
              <w:t>/</w:t>
            </w:r>
            <w:r>
              <w:rPr>
                <w:rFonts w:hint="eastAsia" w:cs="Times New Roman"/>
                <w:sz w:val="21"/>
                <w:szCs w:val="21"/>
                <w:highlight w:val="none"/>
              </w:rPr>
              <w:t>次。</w:t>
            </w:r>
          </w:p>
        </w:tc>
        <w:tc>
          <w:tcPr>
            <w:tcW w:w="393" w:type="pct"/>
            <w:shd w:val="clear" w:color="auto" w:fill="FFFFFF"/>
            <w:noWrap w:val="0"/>
            <w:vAlign w:val="center"/>
          </w:tcPr>
          <w:p w14:paraId="3D299F5D">
            <w:pPr>
              <w:spacing w:line="240" w:lineRule="auto"/>
              <w:ind w:firstLine="0" w:firstLineChars="0"/>
              <w:jc w:val="center"/>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已建</w:t>
            </w:r>
          </w:p>
        </w:tc>
      </w:tr>
      <w:tr w14:paraId="564392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45EA96F8">
            <w:pPr>
              <w:pStyle w:val="25"/>
              <w:spacing w:after="0" w:line="240" w:lineRule="auto"/>
              <w:jc w:val="center"/>
              <w:rPr>
                <w:rFonts w:ascii="Times New Roman" w:hAnsi="Times New Roman" w:eastAsia="Times New Roman" w:cs="Times New Roman"/>
                <w:color w:val="auto"/>
                <w:sz w:val="21"/>
                <w:szCs w:val="21"/>
                <w:highlight w:val="none"/>
                <w:lang w:eastAsia="en-US" w:bidi="en-US"/>
              </w:rPr>
            </w:pPr>
          </w:p>
        </w:tc>
        <w:tc>
          <w:tcPr>
            <w:tcW w:w="1044" w:type="pct"/>
            <w:gridSpan w:val="2"/>
            <w:shd w:val="clear" w:color="auto" w:fill="FFFFFF"/>
            <w:noWrap w:val="0"/>
            <w:vAlign w:val="center"/>
          </w:tcPr>
          <w:p w14:paraId="2F29CAB4">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上煤系统</w:t>
            </w:r>
          </w:p>
        </w:tc>
        <w:tc>
          <w:tcPr>
            <w:tcW w:w="3182" w:type="pct"/>
            <w:shd w:val="clear" w:color="auto" w:fill="FFFFFF"/>
            <w:noWrap w:val="0"/>
            <w:vAlign w:val="center"/>
          </w:tcPr>
          <w:p w14:paraId="39020CA2">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lang w:eastAsia="zh-CN"/>
              </w:rPr>
              <w:t>三段皮带构成</w:t>
            </w:r>
            <w:r>
              <w:rPr>
                <w:rFonts w:ascii="Times New Roman" w:hAnsi="Times New Roman" w:cs="Times New Roman"/>
                <w:color w:val="auto"/>
                <w:szCs w:val="21"/>
                <w:highlight w:val="none"/>
                <w:lang w:eastAsia="zh-CN"/>
              </w:rPr>
              <w:t>，</w:t>
            </w:r>
            <w:r>
              <w:rPr>
                <w:rFonts w:ascii="Times New Roman" w:hAnsi="Times New Roman" w:cs="Times New Roman"/>
                <w:color w:val="auto"/>
                <w:sz w:val="21"/>
                <w:szCs w:val="21"/>
                <w:highlight w:val="none"/>
                <w:lang w:eastAsia="zh-CN"/>
              </w:rPr>
              <w:t>采用双路B=800mm的皮带运输系统由，运煤系统设计出力为</w:t>
            </w:r>
            <w:r>
              <w:rPr>
                <w:rFonts w:hint="eastAsia" w:ascii="Times New Roman" w:hAnsi="Times New Roman" w:cs="Times New Roman"/>
                <w:color w:val="auto"/>
                <w:sz w:val="21"/>
                <w:szCs w:val="21"/>
                <w:highlight w:val="none"/>
                <w:lang w:val="en-US" w:eastAsia="zh-CN"/>
              </w:rPr>
              <w:t>50</w:t>
            </w:r>
            <w:r>
              <w:rPr>
                <w:rFonts w:ascii="Times New Roman" w:hAnsi="Times New Roman" w:cs="Times New Roman"/>
                <w:color w:val="auto"/>
                <w:sz w:val="21"/>
                <w:szCs w:val="21"/>
                <w:highlight w:val="none"/>
                <w:lang w:eastAsia="zh-CN"/>
              </w:rPr>
              <w:t>t/h</w:t>
            </w:r>
          </w:p>
        </w:tc>
        <w:tc>
          <w:tcPr>
            <w:tcW w:w="393" w:type="pct"/>
            <w:shd w:val="clear" w:color="auto" w:fill="FFFFFF"/>
            <w:noWrap w:val="0"/>
            <w:vAlign w:val="center"/>
          </w:tcPr>
          <w:p w14:paraId="29CEE1CF">
            <w:pPr>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lang w:val="en-US" w:eastAsia="zh-CN"/>
              </w:rPr>
              <w:t>已</w:t>
            </w:r>
            <w:r>
              <w:rPr>
                <w:rFonts w:ascii="Times New Roman" w:hAnsi="Times New Roman"/>
                <w:kern w:val="0"/>
                <w:sz w:val="21"/>
                <w:szCs w:val="21"/>
                <w:highlight w:val="none"/>
              </w:rPr>
              <w:t>建</w:t>
            </w:r>
          </w:p>
        </w:tc>
      </w:tr>
      <w:tr w14:paraId="0E5331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1C0AB051">
            <w:pPr>
              <w:pStyle w:val="25"/>
              <w:spacing w:after="0" w:line="240" w:lineRule="auto"/>
              <w:jc w:val="center"/>
              <w:rPr>
                <w:rFonts w:ascii="Times New Roman" w:hAnsi="Times New Roman" w:eastAsia="Times New Roman" w:cs="Times New Roman"/>
                <w:color w:val="auto"/>
                <w:sz w:val="21"/>
                <w:szCs w:val="21"/>
                <w:highlight w:val="none"/>
                <w:lang w:eastAsia="en-US" w:bidi="en-US"/>
              </w:rPr>
            </w:pPr>
          </w:p>
        </w:tc>
        <w:tc>
          <w:tcPr>
            <w:tcW w:w="1044" w:type="pct"/>
            <w:gridSpan w:val="2"/>
            <w:shd w:val="clear" w:color="auto" w:fill="FFFFFF"/>
            <w:noWrap w:val="0"/>
            <w:vAlign w:val="center"/>
          </w:tcPr>
          <w:p w14:paraId="6B0CC334">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碎煤机室</w:t>
            </w:r>
          </w:p>
        </w:tc>
        <w:tc>
          <w:tcPr>
            <w:tcW w:w="3182" w:type="pct"/>
            <w:shd w:val="clear" w:color="auto" w:fill="FFFFFF"/>
            <w:noWrap w:val="0"/>
            <w:vAlign w:val="center"/>
          </w:tcPr>
          <w:p w14:paraId="0D7F6AC0">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碎煤机室</w:t>
            </w:r>
            <w:r>
              <w:rPr>
                <w:rFonts w:ascii="Times New Roman" w:hAnsi="Times New Roman" w:cs="Times New Roman"/>
                <w:color w:val="auto"/>
                <w:sz w:val="21"/>
                <w:szCs w:val="21"/>
                <w:highlight w:val="none"/>
                <w:lang w:eastAsia="zh-CN"/>
              </w:rPr>
              <w:t>，</w:t>
            </w:r>
            <w:r>
              <w:rPr>
                <w:rFonts w:ascii="Times New Roman" w:hAnsi="Times New Roman" w:cs="Times New Roman"/>
                <w:color w:val="auto"/>
                <w:sz w:val="21"/>
                <w:szCs w:val="21"/>
                <w:highlight w:val="none"/>
              </w:rPr>
              <w:t>碎煤机室为现浇钢筋混凝土框架结构，砖墙围护。碎煤机室</w:t>
            </w:r>
            <w:r>
              <w:rPr>
                <w:rFonts w:ascii="Times New Roman" w:hAnsi="Times New Roman" w:cs="Times New Roman"/>
                <w:color w:val="auto"/>
                <w:sz w:val="21"/>
                <w:szCs w:val="21"/>
                <w:highlight w:val="none"/>
                <w:lang w:val="en-US" w:eastAsia="zh-CN"/>
              </w:rPr>
              <w:t>密闭</w:t>
            </w:r>
            <w:r>
              <w:rPr>
                <w:rFonts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eastAsia="zh-CN"/>
              </w:rPr>
              <w:t>采用布袋除尘器降尘</w:t>
            </w:r>
            <w:r>
              <w:rPr>
                <w:rFonts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rPr>
              <w:t>运煤系统采用一级破碎系统。</w:t>
            </w:r>
          </w:p>
        </w:tc>
        <w:tc>
          <w:tcPr>
            <w:tcW w:w="393" w:type="pct"/>
            <w:shd w:val="clear" w:color="auto" w:fill="FFFFFF"/>
            <w:noWrap w:val="0"/>
            <w:vAlign w:val="center"/>
          </w:tcPr>
          <w:p w14:paraId="55C677E3">
            <w:pPr>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lang w:val="en-US" w:eastAsia="zh-CN"/>
              </w:rPr>
              <w:t>已</w:t>
            </w:r>
            <w:r>
              <w:rPr>
                <w:rFonts w:ascii="Times New Roman" w:hAnsi="Times New Roman"/>
                <w:kern w:val="0"/>
                <w:sz w:val="21"/>
                <w:szCs w:val="21"/>
                <w:highlight w:val="none"/>
              </w:rPr>
              <w:t>建</w:t>
            </w:r>
          </w:p>
        </w:tc>
      </w:tr>
      <w:tr w14:paraId="203BAC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66508C49">
            <w:pPr>
              <w:pStyle w:val="25"/>
              <w:spacing w:after="0" w:line="240" w:lineRule="auto"/>
              <w:jc w:val="center"/>
              <w:rPr>
                <w:rFonts w:ascii="Times New Roman" w:hAnsi="Times New Roman" w:eastAsia="Times New Roman" w:cs="Times New Roman"/>
                <w:color w:val="auto"/>
                <w:sz w:val="21"/>
                <w:szCs w:val="21"/>
                <w:highlight w:val="none"/>
                <w:lang w:eastAsia="en-US" w:bidi="en-US"/>
              </w:rPr>
            </w:pPr>
          </w:p>
        </w:tc>
        <w:tc>
          <w:tcPr>
            <w:tcW w:w="1044" w:type="pct"/>
            <w:gridSpan w:val="2"/>
            <w:shd w:val="clear" w:color="auto" w:fill="FFFFFF"/>
            <w:noWrap w:val="0"/>
            <w:vAlign w:val="center"/>
          </w:tcPr>
          <w:p w14:paraId="18E5BDE9">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输煤栈桥</w:t>
            </w:r>
          </w:p>
        </w:tc>
        <w:tc>
          <w:tcPr>
            <w:tcW w:w="3182" w:type="pct"/>
            <w:shd w:val="clear" w:color="auto" w:fill="FFFFFF"/>
            <w:noWrap w:val="0"/>
            <w:vAlign w:val="center"/>
          </w:tcPr>
          <w:p w14:paraId="7E1599E6">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输煤栈桥采用全封闭布置，岩棉夹心复合彩钢板围护，</w:t>
            </w:r>
          </w:p>
        </w:tc>
        <w:tc>
          <w:tcPr>
            <w:tcW w:w="393" w:type="pct"/>
            <w:shd w:val="clear" w:color="auto" w:fill="FFFFFF"/>
            <w:noWrap w:val="0"/>
            <w:vAlign w:val="center"/>
          </w:tcPr>
          <w:p w14:paraId="0658D54C">
            <w:pPr>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lang w:val="en-US" w:eastAsia="zh-CN"/>
              </w:rPr>
              <w:t>已</w:t>
            </w:r>
            <w:r>
              <w:rPr>
                <w:rFonts w:ascii="Times New Roman" w:hAnsi="Times New Roman"/>
                <w:kern w:val="0"/>
                <w:sz w:val="21"/>
                <w:szCs w:val="21"/>
                <w:highlight w:val="none"/>
              </w:rPr>
              <w:t>建</w:t>
            </w:r>
          </w:p>
        </w:tc>
      </w:tr>
      <w:tr w14:paraId="4B3D75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54EBFC1D">
            <w:pPr>
              <w:pStyle w:val="25"/>
              <w:spacing w:after="0" w:line="240" w:lineRule="auto"/>
              <w:jc w:val="center"/>
              <w:rPr>
                <w:rFonts w:ascii="Times New Roman" w:hAnsi="Times New Roman" w:eastAsia="Times New Roman" w:cs="Times New Roman"/>
                <w:color w:val="auto"/>
                <w:sz w:val="21"/>
                <w:szCs w:val="21"/>
                <w:highlight w:val="none"/>
                <w:lang w:eastAsia="en-US" w:bidi="en-US"/>
              </w:rPr>
            </w:pPr>
          </w:p>
        </w:tc>
        <w:tc>
          <w:tcPr>
            <w:tcW w:w="1044" w:type="pct"/>
            <w:gridSpan w:val="2"/>
            <w:shd w:val="clear" w:color="auto" w:fill="FFFFFF"/>
            <w:noWrap w:val="0"/>
            <w:vAlign w:val="center"/>
          </w:tcPr>
          <w:p w14:paraId="3DA38556">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热力系统</w:t>
            </w:r>
          </w:p>
        </w:tc>
        <w:tc>
          <w:tcPr>
            <w:tcW w:w="3182" w:type="pct"/>
            <w:shd w:val="clear" w:color="auto" w:fill="FFFFFF"/>
            <w:noWrap w:val="0"/>
            <w:vAlign w:val="center"/>
          </w:tcPr>
          <w:p w14:paraId="43BD83DF">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本期工程设置3台锅炉循环水泵，两运一备，热网回水经锅炉循环水泵进入热水炉，被加热后接至热网供水管道。</w:t>
            </w:r>
          </w:p>
        </w:tc>
        <w:tc>
          <w:tcPr>
            <w:tcW w:w="393" w:type="pct"/>
            <w:shd w:val="clear" w:color="auto" w:fill="FFFFFF"/>
            <w:noWrap w:val="0"/>
            <w:vAlign w:val="center"/>
          </w:tcPr>
          <w:p w14:paraId="225FAC34">
            <w:pPr>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lang w:val="en-US" w:eastAsia="zh-CN"/>
              </w:rPr>
              <w:t>已</w:t>
            </w:r>
            <w:r>
              <w:rPr>
                <w:rFonts w:ascii="Times New Roman" w:hAnsi="Times New Roman"/>
                <w:kern w:val="0"/>
                <w:sz w:val="21"/>
                <w:szCs w:val="21"/>
                <w:highlight w:val="none"/>
              </w:rPr>
              <w:t>建</w:t>
            </w:r>
          </w:p>
        </w:tc>
      </w:tr>
      <w:tr w14:paraId="5457C9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6F86ED86">
            <w:pPr>
              <w:pStyle w:val="25"/>
              <w:spacing w:after="0" w:line="240" w:lineRule="auto"/>
              <w:jc w:val="center"/>
              <w:rPr>
                <w:rFonts w:ascii="Times New Roman" w:hAnsi="Times New Roman" w:eastAsia="Times New Roman" w:cs="Times New Roman"/>
                <w:color w:val="auto"/>
                <w:sz w:val="21"/>
                <w:szCs w:val="21"/>
                <w:highlight w:val="none"/>
                <w:lang w:eastAsia="en-US" w:bidi="en-US"/>
              </w:rPr>
            </w:pPr>
          </w:p>
        </w:tc>
        <w:tc>
          <w:tcPr>
            <w:tcW w:w="1044" w:type="pct"/>
            <w:gridSpan w:val="2"/>
            <w:shd w:val="clear" w:color="auto" w:fill="FFFFFF"/>
            <w:noWrap w:val="0"/>
            <w:vAlign w:val="center"/>
          </w:tcPr>
          <w:p w14:paraId="196AAF47">
            <w:pPr>
              <w:pStyle w:val="25"/>
              <w:spacing w:after="0" w:line="240" w:lineRule="auto"/>
              <w:ind w:firstLine="0"/>
              <w:jc w:val="center"/>
              <w:rPr>
                <w:rFonts w:ascii="Times New Roman" w:hAnsi="Times New Roman" w:cs="Times New Roman"/>
                <w:color w:val="auto"/>
                <w:sz w:val="21"/>
                <w:szCs w:val="21"/>
                <w:highlight w:val="none"/>
                <w:lang w:val="en-US" w:eastAsia="zh-CN"/>
              </w:rPr>
            </w:pPr>
            <w:r>
              <w:rPr>
                <w:rFonts w:ascii="Times New Roman" w:hAnsi="Times New Roman" w:cs="Times New Roman"/>
                <w:color w:val="auto"/>
                <w:sz w:val="21"/>
                <w:szCs w:val="21"/>
                <w:highlight w:val="none"/>
                <w:lang w:val="en-US" w:eastAsia="zh-CN"/>
              </w:rPr>
              <w:t>尿素溶解设施</w:t>
            </w:r>
          </w:p>
        </w:tc>
        <w:tc>
          <w:tcPr>
            <w:tcW w:w="3182" w:type="pct"/>
            <w:shd w:val="clear" w:color="auto" w:fill="FFFFFF"/>
            <w:noWrap w:val="0"/>
            <w:vAlign w:val="center"/>
          </w:tcPr>
          <w:p w14:paraId="58F5FCF7">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lang w:val="en-US" w:eastAsia="zh-CN"/>
              </w:rPr>
              <w:t>设有1个容积为6m</w:t>
            </w:r>
            <w:r>
              <w:rPr>
                <w:rFonts w:ascii="Times New Roman" w:hAnsi="Times New Roman" w:cs="Times New Roman"/>
                <w:color w:val="auto"/>
                <w:sz w:val="21"/>
                <w:szCs w:val="21"/>
                <w:highlight w:val="none"/>
                <w:vertAlign w:val="superscript"/>
                <w:lang w:val="en-US" w:eastAsia="zh-CN"/>
              </w:rPr>
              <w:t>3</w:t>
            </w:r>
            <w:r>
              <w:rPr>
                <w:rFonts w:ascii="Times New Roman" w:hAnsi="Times New Roman" w:cs="Times New Roman"/>
                <w:color w:val="auto"/>
                <w:sz w:val="21"/>
                <w:szCs w:val="21"/>
                <w:highlight w:val="none"/>
                <w:lang w:val="en-US" w:eastAsia="zh-CN"/>
              </w:rPr>
              <w:t>的尿素溶解罐</w:t>
            </w:r>
          </w:p>
        </w:tc>
        <w:tc>
          <w:tcPr>
            <w:tcW w:w="393" w:type="pct"/>
            <w:shd w:val="clear" w:color="auto" w:fill="FFFFFF"/>
            <w:noWrap w:val="0"/>
            <w:vAlign w:val="center"/>
          </w:tcPr>
          <w:p w14:paraId="1A4D292C">
            <w:pPr>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lang w:val="en-US" w:eastAsia="zh-CN"/>
              </w:rPr>
              <w:t>已</w:t>
            </w:r>
            <w:r>
              <w:rPr>
                <w:rFonts w:ascii="Times New Roman" w:hAnsi="Times New Roman"/>
                <w:kern w:val="0"/>
                <w:sz w:val="21"/>
                <w:szCs w:val="21"/>
                <w:highlight w:val="none"/>
              </w:rPr>
              <w:t>建</w:t>
            </w:r>
          </w:p>
        </w:tc>
      </w:tr>
      <w:tr w14:paraId="5B14F2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1603FF82">
            <w:pPr>
              <w:pStyle w:val="25"/>
              <w:spacing w:after="0" w:line="240" w:lineRule="auto"/>
              <w:ind w:firstLine="0"/>
              <w:jc w:val="center"/>
              <w:rPr>
                <w:rFonts w:ascii="Times New Roman" w:hAnsi="Times New Roman" w:cs="Times New Roman"/>
                <w:color w:val="auto"/>
                <w:sz w:val="21"/>
                <w:szCs w:val="21"/>
                <w:highlight w:val="none"/>
              </w:rPr>
            </w:pPr>
          </w:p>
        </w:tc>
        <w:tc>
          <w:tcPr>
            <w:tcW w:w="1044" w:type="pct"/>
            <w:gridSpan w:val="2"/>
            <w:shd w:val="clear" w:color="auto" w:fill="FFFFFF"/>
            <w:noWrap w:val="0"/>
            <w:vAlign w:val="center"/>
          </w:tcPr>
          <w:p w14:paraId="1768081E">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补水系统</w:t>
            </w:r>
          </w:p>
        </w:tc>
        <w:tc>
          <w:tcPr>
            <w:tcW w:w="3182" w:type="pct"/>
            <w:shd w:val="clear" w:color="auto" w:fill="FFFFFF"/>
            <w:noWrap w:val="0"/>
            <w:vAlign w:val="center"/>
          </w:tcPr>
          <w:p w14:paraId="7455D36C">
            <w:pPr>
              <w:pStyle w:val="25"/>
              <w:spacing w:after="0" w:line="240" w:lineRule="auto"/>
              <w:ind w:firstLine="0"/>
              <w:jc w:val="center"/>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建</w:t>
            </w:r>
            <w:r>
              <w:rPr>
                <w:rFonts w:hint="eastAsia" w:ascii="Times New Roman" w:hAnsi="Times New Roman" w:cs="Times New Roman"/>
                <w:color w:val="auto"/>
                <w:sz w:val="21"/>
                <w:szCs w:val="21"/>
                <w:highlight w:val="none"/>
                <w:lang w:val="en-US" w:eastAsia="zh-CN"/>
              </w:rPr>
              <w:t>设</w:t>
            </w:r>
            <w:r>
              <w:rPr>
                <w:rFonts w:ascii="Times New Roman" w:hAnsi="Times New Roman" w:cs="Times New Roman"/>
                <w:color w:val="auto"/>
                <w:sz w:val="21"/>
                <w:szCs w:val="21"/>
                <w:highlight w:val="none"/>
              </w:rPr>
              <w:t>厂区软化水处理系统设备，软化水处理系统设计处理能力为</w:t>
            </w:r>
            <w:r>
              <w:rPr>
                <w:rFonts w:hint="eastAsia" w:ascii="Times New Roman" w:hAnsi="Times New Roman" w:cs="Times New Roman"/>
                <w:color w:val="auto"/>
                <w:sz w:val="21"/>
                <w:szCs w:val="21"/>
                <w:highlight w:val="none"/>
                <w:lang w:val="en-US" w:eastAsia="zh-CN"/>
              </w:rPr>
              <w:t>100</w:t>
            </w:r>
            <w:r>
              <w:rPr>
                <w:rFonts w:ascii="Times New Roman" w:hAnsi="Times New Roman" w:cs="Times New Roman"/>
                <w:color w:val="auto"/>
                <w:sz w:val="21"/>
                <w:szCs w:val="21"/>
                <w:highlight w:val="none"/>
              </w:rPr>
              <w:t>t/h。</w:t>
            </w:r>
            <w:r>
              <w:rPr>
                <w:rFonts w:hint="eastAsia" w:ascii="Times New Roman" w:hAnsi="Times New Roman" w:cs="Times New Roman"/>
                <w:color w:val="auto"/>
                <w:sz w:val="21"/>
                <w:szCs w:val="21"/>
                <w:highlight w:val="none"/>
                <w:lang w:eastAsia="zh-CN"/>
              </w:rPr>
              <w:t>采用离子交换树脂</w:t>
            </w:r>
            <w:r>
              <w:rPr>
                <w:rFonts w:hint="eastAsia" w:ascii="Times New Roman" w:hAnsi="Times New Roman" w:cs="Times New Roman"/>
                <w:color w:val="auto"/>
                <w:sz w:val="21"/>
                <w:szCs w:val="21"/>
                <w:highlight w:val="none"/>
                <w:lang w:val="en-US" w:eastAsia="zh-CN"/>
              </w:rPr>
              <w:t>及反渗透膜</w:t>
            </w:r>
            <w:r>
              <w:rPr>
                <w:rFonts w:hint="eastAsia" w:ascii="Times New Roman" w:hAnsi="Times New Roman" w:cs="Times New Roman"/>
                <w:color w:val="auto"/>
                <w:sz w:val="21"/>
                <w:szCs w:val="21"/>
                <w:highlight w:val="none"/>
                <w:lang w:eastAsia="zh-CN"/>
              </w:rPr>
              <w:t>处理软化水。</w:t>
            </w:r>
          </w:p>
        </w:tc>
        <w:tc>
          <w:tcPr>
            <w:tcW w:w="393" w:type="pct"/>
            <w:shd w:val="clear" w:color="auto" w:fill="FFFFFF"/>
            <w:noWrap w:val="0"/>
            <w:vAlign w:val="center"/>
          </w:tcPr>
          <w:p w14:paraId="326FEB9E">
            <w:pPr>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lang w:val="en-US" w:eastAsia="zh-CN"/>
              </w:rPr>
              <w:t>已</w:t>
            </w:r>
            <w:r>
              <w:rPr>
                <w:rFonts w:ascii="Times New Roman" w:hAnsi="Times New Roman"/>
                <w:kern w:val="0"/>
                <w:sz w:val="21"/>
                <w:szCs w:val="21"/>
                <w:highlight w:val="none"/>
              </w:rPr>
              <w:t>建</w:t>
            </w:r>
          </w:p>
        </w:tc>
      </w:tr>
      <w:tr w14:paraId="017DB5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90" w:hRule="atLeast"/>
          <w:jc w:val="center"/>
        </w:trPr>
        <w:tc>
          <w:tcPr>
            <w:tcW w:w="379" w:type="pct"/>
            <w:vMerge w:val="continue"/>
            <w:shd w:val="clear" w:color="auto" w:fill="FFFFFF"/>
            <w:noWrap w:val="0"/>
            <w:vAlign w:val="center"/>
          </w:tcPr>
          <w:p w14:paraId="4CA76518">
            <w:pPr>
              <w:spacing w:line="240" w:lineRule="auto"/>
              <w:ind w:firstLine="0" w:firstLineChars="0"/>
              <w:jc w:val="center"/>
              <w:rPr>
                <w:rFonts w:ascii="Times New Roman" w:hAnsi="Times New Roman" w:eastAsia="Times New Roman"/>
                <w:kern w:val="0"/>
                <w:sz w:val="21"/>
                <w:szCs w:val="21"/>
                <w:highlight w:val="none"/>
                <w:lang w:eastAsia="en-US" w:bidi="en-US"/>
              </w:rPr>
            </w:pPr>
          </w:p>
        </w:tc>
        <w:tc>
          <w:tcPr>
            <w:tcW w:w="1044" w:type="pct"/>
            <w:gridSpan w:val="2"/>
            <w:shd w:val="clear" w:color="auto" w:fill="FFFFFF"/>
            <w:noWrap w:val="0"/>
            <w:vAlign w:val="center"/>
          </w:tcPr>
          <w:p w14:paraId="61E0A40B">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除灰渣系统</w:t>
            </w:r>
          </w:p>
        </w:tc>
        <w:tc>
          <w:tcPr>
            <w:tcW w:w="3182" w:type="pct"/>
            <w:shd w:val="clear" w:color="auto" w:fill="FFFFFF"/>
            <w:noWrap w:val="0"/>
            <w:vAlign w:val="center"/>
          </w:tcPr>
          <w:p w14:paraId="4ADCD4FC">
            <w:pPr>
              <w:pStyle w:val="25"/>
              <w:spacing w:after="0" w:line="240" w:lineRule="auto"/>
              <w:ind w:firstLine="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rPr>
              <w:t>采用灰渣分除，即气力除灰和机械除渣方式</w:t>
            </w:r>
            <w:r>
              <w:rPr>
                <w:rFonts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eastAsia="zh-CN"/>
              </w:rPr>
              <w:t>配套建设空压站；</w:t>
            </w:r>
            <w:r>
              <w:rPr>
                <w:rFonts w:ascii="Times New Roman" w:hAnsi="Times New Roman" w:cs="Times New Roman"/>
                <w:color w:val="auto"/>
                <w:sz w:val="21"/>
                <w:szCs w:val="21"/>
                <w:highlight w:val="none"/>
                <w:lang w:eastAsia="zh-CN"/>
              </w:rPr>
              <w:t>锅炉设置3套除渣系统，每台锅炉对应1套除渣系统，系统连续运行，本工程气力除灰系统设计出力为15t/h。</w:t>
            </w:r>
          </w:p>
        </w:tc>
        <w:tc>
          <w:tcPr>
            <w:tcW w:w="393" w:type="pct"/>
            <w:shd w:val="clear" w:color="auto" w:fill="FFFFFF"/>
            <w:noWrap w:val="0"/>
            <w:vAlign w:val="center"/>
          </w:tcPr>
          <w:p w14:paraId="0E6726DD">
            <w:pPr>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lang w:val="en-US" w:eastAsia="zh-CN"/>
              </w:rPr>
              <w:t>已</w:t>
            </w:r>
            <w:r>
              <w:rPr>
                <w:rFonts w:ascii="Times New Roman" w:hAnsi="Times New Roman"/>
                <w:kern w:val="0"/>
                <w:sz w:val="21"/>
                <w:szCs w:val="21"/>
                <w:highlight w:val="none"/>
              </w:rPr>
              <w:t>建</w:t>
            </w:r>
          </w:p>
        </w:tc>
      </w:tr>
      <w:tr w14:paraId="634AE5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69DFB9E2">
            <w:pPr>
              <w:spacing w:line="240" w:lineRule="auto"/>
              <w:ind w:firstLine="0" w:firstLineChars="0"/>
              <w:jc w:val="center"/>
              <w:rPr>
                <w:rFonts w:ascii="Times New Roman" w:hAnsi="Times New Roman" w:eastAsia="Times New Roman"/>
                <w:kern w:val="0"/>
                <w:sz w:val="21"/>
                <w:szCs w:val="21"/>
                <w:highlight w:val="none"/>
                <w:lang w:eastAsia="en-US" w:bidi="en-US"/>
              </w:rPr>
            </w:pPr>
          </w:p>
        </w:tc>
        <w:tc>
          <w:tcPr>
            <w:tcW w:w="1044" w:type="pct"/>
            <w:gridSpan w:val="2"/>
            <w:shd w:val="clear" w:color="auto" w:fill="FFFFFF"/>
            <w:noWrap w:val="0"/>
            <w:vAlign w:val="center"/>
          </w:tcPr>
          <w:p w14:paraId="6A593809">
            <w:pPr>
              <w:pStyle w:val="25"/>
              <w:spacing w:after="0" w:line="240" w:lineRule="auto"/>
              <w:ind w:firstLine="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eastAsia="zh-CN"/>
              </w:rPr>
              <w:t>脱硫间</w:t>
            </w:r>
          </w:p>
        </w:tc>
        <w:tc>
          <w:tcPr>
            <w:tcW w:w="3182" w:type="pct"/>
            <w:shd w:val="clear" w:color="auto" w:fill="FFFFFF"/>
            <w:noWrap w:val="0"/>
            <w:vAlign w:val="center"/>
          </w:tcPr>
          <w:p w14:paraId="3DEEE02C">
            <w:pPr>
              <w:pStyle w:val="25"/>
              <w:spacing w:after="0" w:line="240" w:lineRule="auto"/>
              <w:ind w:firstLine="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eastAsia="zh-CN"/>
              </w:rPr>
              <w:t>脱硫设备间共</w:t>
            </w:r>
            <w:r>
              <w:rPr>
                <w:rFonts w:hint="eastAsia" w:ascii="Times New Roman" w:hAnsi="Times New Roman" w:cs="Times New Roman"/>
                <w:color w:val="auto"/>
                <w:sz w:val="21"/>
                <w:szCs w:val="21"/>
                <w:highlight w:val="none"/>
                <w:lang w:val="en-US" w:eastAsia="zh-CN"/>
              </w:rPr>
              <w:t>1</w:t>
            </w:r>
            <w:r>
              <w:rPr>
                <w:rFonts w:ascii="Times New Roman" w:hAnsi="Times New Roman" w:cs="Times New Roman"/>
                <w:color w:val="auto"/>
                <w:sz w:val="21"/>
                <w:szCs w:val="21"/>
                <w:highlight w:val="none"/>
                <w:lang w:eastAsia="zh-CN"/>
              </w:rPr>
              <w:t>座，每座跨度23.0m，长度30m，为二层布置，主要用于存放脱硫剂及设备等</w:t>
            </w:r>
            <w:r>
              <w:rPr>
                <w:rFonts w:hint="eastAsia" w:ascii="Times New Roman" w:hAnsi="Times New Roman" w:cs="Times New Roman"/>
                <w:color w:val="auto"/>
                <w:sz w:val="21"/>
                <w:szCs w:val="21"/>
                <w:highlight w:val="none"/>
                <w:lang w:eastAsia="zh-CN"/>
              </w:rPr>
              <w:t>。</w:t>
            </w:r>
          </w:p>
        </w:tc>
        <w:tc>
          <w:tcPr>
            <w:tcW w:w="393" w:type="pct"/>
            <w:shd w:val="clear" w:color="auto" w:fill="FFFFFF"/>
            <w:noWrap w:val="0"/>
            <w:vAlign w:val="center"/>
          </w:tcPr>
          <w:p w14:paraId="19A70C49">
            <w:pPr>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lang w:val="en-US" w:eastAsia="zh-CN"/>
              </w:rPr>
              <w:t>已</w:t>
            </w:r>
            <w:r>
              <w:rPr>
                <w:rFonts w:ascii="Times New Roman" w:hAnsi="Times New Roman"/>
                <w:kern w:val="0"/>
                <w:sz w:val="21"/>
                <w:szCs w:val="21"/>
                <w:highlight w:val="none"/>
              </w:rPr>
              <w:t>建</w:t>
            </w:r>
          </w:p>
        </w:tc>
      </w:tr>
      <w:tr w14:paraId="6DE0B7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7FDF3C87">
            <w:pPr>
              <w:spacing w:line="240" w:lineRule="auto"/>
              <w:ind w:firstLine="0" w:firstLineChars="0"/>
              <w:jc w:val="center"/>
              <w:rPr>
                <w:rFonts w:ascii="Times New Roman" w:hAnsi="Times New Roman" w:eastAsia="Times New Roman"/>
                <w:kern w:val="0"/>
                <w:sz w:val="21"/>
                <w:szCs w:val="21"/>
                <w:highlight w:val="none"/>
                <w:lang w:bidi="en-US"/>
              </w:rPr>
            </w:pPr>
          </w:p>
        </w:tc>
        <w:tc>
          <w:tcPr>
            <w:tcW w:w="1044" w:type="pct"/>
            <w:gridSpan w:val="2"/>
            <w:shd w:val="clear" w:color="auto" w:fill="FFFFFF"/>
            <w:noWrap w:val="0"/>
            <w:vAlign w:val="center"/>
          </w:tcPr>
          <w:p w14:paraId="636108DD">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烟囱</w:t>
            </w:r>
          </w:p>
        </w:tc>
        <w:tc>
          <w:tcPr>
            <w:tcW w:w="3182" w:type="pct"/>
            <w:shd w:val="clear" w:color="auto" w:fill="FFFFFF"/>
            <w:noWrap w:val="0"/>
            <w:vAlign w:val="center"/>
          </w:tcPr>
          <w:p w14:paraId="51F94609">
            <w:pPr>
              <w:pStyle w:val="25"/>
              <w:spacing w:after="0" w:line="240" w:lineRule="auto"/>
              <w:ind w:firstLine="0"/>
              <w:jc w:val="center"/>
              <w:rPr>
                <w:rFonts w:hint="eastAsia" w:ascii="Times New Roman" w:hAnsi="Times New Roman" w:eastAsia="宋体" w:cs="Times New Roman"/>
                <w:color w:val="auto"/>
                <w:sz w:val="21"/>
                <w:szCs w:val="21"/>
                <w:highlight w:val="none"/>
                <w:lang w:eastAsia="zh-CN"/>
              </w:rPr>
            </w:pPr>
            <w:r>
              <w:rPr>
                <w:rFonts w:ascii="Times New Roman" w:hAnsi="Times New Roman" w:cs="Times New Roman"/>
                <w:color w:val="auto"/>
                <w:sz w:val="21"/>
                <w:szCs w:val="21"/>
                <w:highlight w:val="none"/>
              </w:rPr>
              <w:t>高为</w:t>
            </w:r>
            <w:r>
              <w:rPr>
                <w:rFonts w:hint="eastAsia" w:ascii="Times New Roman" w:hAnsi="Times New Roman" w:cs="Times New Roman"/>
                <w:color w:val="auto"/>
                <w:sz w:val="21"/>
                <w:szCs w:val="21"/>
                <w:highlight w:val="none"/>
                <w:lang w:val="en-US" w:eastAsia="zh-CN" w:bidi="en-US"/>
              </w:rPr>
              <w:t>60</w:t>
            </w:r>
            <w:r>
              <w:rPr>
                <w:rFonts w:ascii="Times New Roman" w:hAnsi="Times New Roman" w:cs="Times New Roman"/>
                <w:color w:val="auto"/>
                <w:sz w:val="21"/>
                <w:szCs w:val="21"/>
                <w:highlight w:val="none"/>
                <w:lang w:val="en-US" w:eastAsia="zh-CN" w:bidi="en-US"/>
              </w:rPr>
              <w:t>m，</w:t>
            </w:r>
            <w:r>
              <w:rPr>
                <w:rFonts w:ascii="Times New Roman" w:hAnsi="Times New Roman" w:cs="Times New Roman"/>
                <w:color w:val="auto"/>
                <w:sz w:val="21"/>
                <w:szCs w:val="21"/>
                <w:highlight w:val="none"/>
              </w:rPr>
              <w:t>出口内径</w:t>
            </w:r>
            <w:r>
              <w:rPr>
                <w:rFonts w:ascii="Times New Roman" w:hAnsi="Times New Roman" w:cs="Times New Roman"/>
                <w:color w:val="auto"/>
                <w:sz w:val="21"/>
                <w:szCs w:val="21"/>
                <w:highlight w:val="none"/>
                <w:lang w:eastAsia="zh-CN"/>
              </w:rPr>
              <w:t>为</w:t>
            </w:r>
            <w:r>
              <w:rPr>
                <w:rFonts w:hint="eastAsia" w:ascii="Times New Roman" w:hAnsi="Times New Roman" w:cs="Times New Roman"/>
                <w:color w:val="auto"/>
                <w:sz w:val="21"/>
                <w:szCs w:val="21"/>
                <w:highlight w:val="none"/>
                <w:lang w:val="en-US" w:eastAsia="zh-CN"/>
              </w:rPr>
              <w:t>4</w:t>
            </w:r>
            <w:r>
              <w:rPr>
                <w:rFonts w:ascii="Times New Roman" w:hAnsi="Times New Roman" w:cs="Times New Roman"/>
                <w:color w:val="auto"/>
                <w:sz w:val="21"/>
                <w:szCs w:val="21"/>
                <w:highlight w:val="none"/>
                <w:lang w:val="en-US" w:eastAsia="zh-CN"/>
              </w:rPr>
              <w:t>m</w:t>
            </w:r>
            <w:r>
              <w:rPr>
                <w:rFonts w:ascii="Times New Roman" w:hAnsi="Times New Roman" w:cs="Times New Roman"/>
                <w:color w:val="auto"/>
                <w:sz w:val="21"/>
                <w:szCs w:val="21"/>
                <w:highlight w:val="none"/>
              </w:rPr>
              <w:t>烟囱</w:t>
            </w:r>
            <w:r>
              <w:rPr>
                <w:rFonts w:hint="eastAsia" w:ascii="Times New Roman" w:hAnsi="Times New Roman" w:cs="Times New Roman"/>
                <w:color w:val="auto"/>
                <w:sz w:val="21"/>
                <w:szCs w:val="21"/>
                <w:highlight w:val="none"/>
                <w:lang w:eastAsia="zh-CN"/>
              </w:rPr>
              <w:t>。</w:t>
            </w:r>
          </w:p>
        </w:tc>
        <w:tc>
          <w:tcPr>
            <w:tcW w:w="393" w:type="pct"/>
            <w:shd w:val="clear" w:color="auto" w:fill="FFFFFF"/>
            <w:noWrap w:val="0"/>
            <w:vAlign w:val="center"/>
          </w:tcPr>
          <w:p w14:paraId="06E6460B">
            <w:pPr>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lang w:val="en-US" w:eastAsia="zh-CN"/>
              </w:rPr>
              <w:t>已</w:t>
            </w:r>
            <w:r>
              <w:rPr>
                <w:rFonts w:ascii="Times New Roman" w:hAnsi="Times New Roman"/>
                <w:kern w:val="0"/>
                <w:sz w:val="21"/>
                <w:szCs w:val="21"/>
                <w:highlight w:val="none"/>
              </w:rPr>
              <w:t>建</w:t>
            </w:r>
          </w:p>
        </w:tc>
      </w:tr>
      <w:tr w14:paraId="092F9A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6A5C144F">
            <w:pPr>
              <w:spacing w:line="240" w:lineRule="auto"/>
              <w:ind w:firstLine="0" w:firstLineChars="0"/>
              <w:jc w:val="center"/>
              <w:rPr>
                <w:rFonts w:ascii="Times New Roman" w:hAnsi="Times New Roman" w:eastAsia="Times New Roman"/>
                <w:kern w:val="0"/>
                <w:sz w:val="21"/>
                <w:szCs w:val="21"/>
                <w:highlight w:val="none"/>
                <w:lang w:bidi="en-US"/>
              </w:rPr>
            </w:pPr>
          </w:p>
        </w:tc>
        <w:tc>
          <w:tcPr>
            <w:tcW w:w="1044" w:type="pct"/>
            <w:gridSpan w:val="2"/>
            <w:shd w:val="clear" w:color="auto" w:fill="FFFFFF"/>
            <w:noWrap w:val="0"/>
            <w:vAlign w:val="center"/>
          </w:tcPr>
          <w:p w14:paraId="09F33C22">
            <w:pPr>
              <w:pStyle w:val="25"/>
              <w:spacing w:after="0"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换热站和热网</w:t>
            </w:r>
          </w:p>
        </w:tc>
        <w:tc>
          <w:tcPr>
            <w:tcW w:w="3182" w:type="pct"/>
            <w:shd w:val="clear" w:color="auto" w:fill="FFFFFF"/>
            <w:noWrap w:val="0"/>
            <w:vAlign w:val="center"/>
          </w:tcPr>
          <w:p w14:paraId="42EA434D">
            <w:pPr>
              <w:pStyle w:val="25"/>
              <w:spacing w:after="0"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企业建设换热站34座，供热管网88.4公里，其中：一级网21.3公里，二级网67.1公里。</w:t>
            </w:r>
          </w:p>
        </w:tc>
        <w:tc>
          <w:tcPr>
            <w:tcW w:w="393" w:type="pct"/>
            <w:shd w:val="clear" w:color="auto" w:fill="FFFFFF"/>
            <w:noWrap w:val="0"/>
            <w:vAlign w:val="center"/>
          </w:tcPr>
          <w:p w14:paraId="5BE809DB">
            <w:pPr>
              <w:spacing w:line="240" w:lineRule="auto"/>
              <w:ind w:firstLine="0" w:firstLineChars="0"/>
              <w:jc w:val="center"/>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已建</w:t>
            </w:r>
          </w:p>
        </w:tc>
      </w:tr>
      <w:tr w14:paraId="5BD5BE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restart"/>
            <w:shd w:val="clear" w:color="auto" w:fill="FFFFFF"/>
            <w:noWrap w:val="0"/>
            <w:vAlign w:val="center"/>
          </w:tcPr>
          <w:p w14:paraId="62C0FBAE">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公用工程</w:t>
            </w:r>
          </w:p>
        </w:tc>
        <w:tc>
          <w:tcPr>
            <w:tcW w:w="1044" w:type="pct"/>
            <w:gridSpan w:val="2"/>
            <w:shd w:val="clear" w:color="auto" w:fill="FFFFFF"/>
            <w:noWrap w:val="0"/>
            <w:vAlign w:val="center"/>
          </w:tcPr>
          <w:p w14:paraId="02DDC93F">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给水系统</w:t>
            </w:r>
          </w:p>
        </w:tc>
        <w:tc>
          <w:tcPr>
            <w:tcW w:w="3182" w:type="pct"/>
            <w:shd w:val="clear" w:color="auto" w:fill="FFFFFF"/>
            <w:noWrap w:val="0"/>
            <w:vAlign w:val="center"/>
          </w:tcPr>
          <w:p w14:paraId="2F39147A">
            <w:pPr>
              <w:pStyle w:val="25"/>
              <w:spacing w:after="0" w:line="240" w:lineRule="auto"/>
              <w:ind w:firstLine="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eastAsia="zh-CN"/>
              </w:rPr>
              <w:t>本项目生产</w:t>
            </w:r>
            <w:r>
              <w:rPr>
                <w:rFonts w:ascii="Times New Roman" w:hAnsi="Times New Roman" w:cs="Times New Roman"/>
                <w:color w:val="auto"/>
                <w:sz w:val="21"/>
                <w:szCs w:val="21"/>
                <w:highlight w:val="none"/>
                <w:lang w:val="en-US" w:eastAsia="zh-CN"/>
              </w:rPr>
              <w:t>及生活</w:t>
            </w:r>
            <w:r>
              <w:rPr>
                <w:rFonts w:ascii="Times New Roman" w:hAnsi="Times New Roman" w:cs="Times New Roman"/>
                <w:color w:val="auto"/>
                <w:sz w:val="21"/>
                <w:szCs w:val="21"/>
                <w:highlight w:val="none"/>
                <w:lang w:eastAsia="zh-CN"/>
              </w:rPr>
              <w:t>用水依托市政管网供给，用水量约为</w:t>
            </w:r>
            <w:r>
              <w:rPr>
                <w:rFonts w:hint="eastAsia" w:ascii="Times New Roman" w:hAnsi="Times New Roman" w:cs="Times New Roman"/>
                <w:color w:val="auto"/>
                <w:sz w:val="21"/>
                <w:szCs w:val="21"/>
                <w:highlight w:val="none"/>
                <w:lang w:val="en-US" w:eastAsia="zh-CN"/>
              </w:rPr>
              <w:t>240228.21</w:t>
            </w:r>
            <w:r>
              <w:rPr>
                <w:rFonts w:ascii="Times New Roman" w:hAnsi="Times New Roman" w:cs="Times New Roman"/>
                <w:color w:val="auto"/>
                <w:sz w:val="21"/>
                <w:szCs w:val="21"/>
                <w:highlight w:val="none"/>
              </w:rPr>
              <w:t>m</w:t>
            </w:r>
            <w:r>
              <w:rPr>
                <w:rFonts w:ascii="Times New Roman" w:hAnsi="Times New Roman" w:cs="Times New Roman"/>
                <w:color w:val="auto"/>
                <w:sz w:val="21"/>
                <w:szCs w:val="21"/>
                <w:highlight w:val="none"/>
                <w:vertAlign w:val="superscript"/>
              </w:rPr>
              <w:t>3</w:t>
            </w:r>
            <w:r>
              <w:rPr>
                <w:rFonts w:ascii="Times New Roman" w:hAnsi="Times New Roman" w:cs="Times New Roman"/>
                <w:color w:val="auto"/>
                <w:sz w:val="21"/>
                <w:szCs w:val="21"/>
                <w:highlight w:val="none"/>
              </w:rPr>
              <w:t>/</w:t>
            </w:r>
            <w:r>
              <w:rPr>
                <w:rFonts w:ascii="Times New Roman" w:hAnsi="Times New Roman" w:cs="Times New Roman"/>
                <w:color w:val="auto"/>
                <w:sz w:val="21"/>
                <w:szCs w:val="21"/>
                <w:highlight w:val="none"/>
                <w:lang w:val="en-US" w:eastAsia="zh-CN"/>
              </w:rPr>
              <w:t>a</w:t>
            </w:r>
            <w:r>
              <w:rPr>
                <w:rFonts w:ascii="Times New Roman" w:hAnsi="Times New Roman" w:cs="Times New Roman"/>
                <w:color w:val="auto"/>
                <w:sz w:val="21"/>
                <w:szCs w:val="21"/>
                <w:highlight w:val="none"/>
                <w:lang w:eastAsia="zh-CN"/>
              </w:rPr>
              <w:t>。</w:t>
            </w:r>
          </w:p>
        </w:tc>
        <w:tc>
          <w:tcPr>
            <w:tcW w:w="393" w:type="pct"/>
            <w:shd w:val="clear" w:color="auto" w:fill="FFFFFF"/>
            <w:noWrap w:val="0"/>
            <w:vAlign w:val="center"/>
          </w:tcPr>
          <w:p w14:paraId="33C5B417">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依托</w:t>
            </w:r>
          </w:p>
        </w:tc>
      </w:tr>
      <w:tr w14:paraId="671893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7352423E">
            <w:pPr>
              <w:spacing w:line="240" w:lineRule="auto"/>
              <w:ind w:firstLine="0" w:firstLineChars="0"/>
              <w:jc w:val="center"/>
              <w:rPr>
                <w:rFonts w:ascii="Times New Roman" w:hAnsi="Times New Roman" w:eastAsia="Times New Roman"/>
                <w:kern w:val="0"/>
                <w:sz w:val="21"/>
                <w:szCs w:val="21"/>
                <w:highlight w:val="none"/>
                <w:lang w:eastAsia="en-US" w:bidi="en-US"/>
              </w:rPr>
            </w:pPr>
          </w:p>
        </w:tc>
        <w:tc>
          <w:tcPr>
            <w:tcW w:w="1044" w:type="pct"/>
            <w:gridSpan w:val="2"/>
            <w:shd w:val="clear" w:color="auto" w:fill="FFFFFF"/>
            <w:noWrap w:val="0"/>
            <w:vAlign w:val="center"/>
          </w:tcPr>
          <w:p w14:paraId="7DBFAD00">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排水系统</w:t>
            </w:r>
          </w:p>
        </w:tc>
        <w:tc>
          <w:tcPr>
            <w:tcW w:w="3182" w:type="pct"/>
            <w:shd w:val="clear" w:color="auto" w:fill="FFFFFF"/>
            <w:noWrap w:val="0"/>
            <w:vAlign w:val="center"/>
          </w:tcPr>
          <w:p w14:paraId="5F66BB6B">
            <w:pPr>
              <w:pStyle w:val="25"/>
              <w:spacing w:after="0" w:line="240" w:lineRule="auto"/>
              <w:ind w:firstLine="0"/>
              <w:jc w:val="center"/>
              <w:rPr>
                <w:rFonts w:ascii="Times New Roman" w:hAnsi="Times New Roman" w:cs="Times New Roman"/>
                <w:color w:val="auto"/>
                <w:sz w:val="21"/>
                <w:szCs w:val="21"/>
                <w:highlight w:val="none"/>
                <w:lang w:val="en-US" w:eastAsia="zh-CN"/>
              </w:rPr>
            </w:pPr>
            <w:r>
              <w:rPr>
                <w:rFonts w:ascii="Times New Roman" w:hAnsi="Times New Roman" w:cs="Times New Roman"/>
                <w:color w:val="auto"/>
                <w:sz w:val="21"/>
                <w:szCs w:val="21"/>
                <w:highlight w:val="none"/>
              </w:rPr>
              <w:t>厂区内排水系统采用分流制：雨水排水系统</w:t>
            </w:r>
            <w:r>
              <w:rPr>
                <w:rFonts w:ascii="Times New Roman" w:hAnsi="Times New Roman" w:cs="Times New Roman"/>
                <w:color w:val="auto"/>
                <w:sz w:val="21"/>
                <w:szCs w:val="21"/>
                <w:highlight w:val="none"/>
                <w:lang w:eastAsia="zh-CN"/>
              </w:rPr>
              <w:t>；</w:t>
            </w:r>
            <w:r>
              <w:rPr>
                <w:rFonts w:ascii="Times New Roman" w:hAnsi="Times New Roman" w:cs="Times New Roman"/>
                <w:color w:val="auto"/>
                <w:sz w:val="21"/>
                <w:szCs w:val="21"/>
                <w:highlight w:val="none"/>
                <w:lang w:val="en-US" w:eastAsia="zh-CN"/>
              </w:rPr>
              <w:t>生产废水回用，不外排。</w:t>
            </w:r>
            <w:r>
              <w:rPr>
                <w:rFonts w:hint="eastAsia" w:ascii="Times New Roman" w:hAnsi="Times New Roman" w:cs="Times New Roman"/>
                <w:color w:val="auto"/>
                <w:sz w:val="21"/>
                <w:szCs w:val="21"/>
                <w:highlight w:val="none"/>
                <w:lang w:val="en-US" w:eastAsia="zh-CN"/>
              </w:rPr>
              <w:t>生活污水排入市政管网，经污水管网排入绥芬河中环污水处理有限公司，处理达到《城镇污水处理厂污染物排放标准》(GB18918—2002)一级B标准后最终汇入小绥芬河。</w:t>
            </w:r>
          </w:p>
        </w:tc>
        <w:tc>
          <w:tcPr>
            <w:tcW w:w="393" w:type="pct"/>
            <w:shd w:val="clear" w:color="auto" w:fill="FFFFFF"/>
            <w:noWrap w:val="0"/>
            <w:vAlign w:val="center"/>
          </w:tcPr>
          <w:p w14:paraId="3E164065">
            <w:pPr>
              <w:pStyle w:val="25"/>
              <w:spacing w:after="0" w:line="240" w:lineRule="auto"/>
              <w:ind w:firstLine="0"/>
              <w:jc w:val="center"/>
              <w:rPr>
                <w:rFonts w:ascii="Times New Roman" w:hAnsi="Times New Roman" w:cs="Times New Roman"/>
                <w:color w:val="auto"/>
                <w:sz w:val="21"/>
                <w:szCs w:val="21"/>
                <w:highlight w:val="none"/>
                <w:lang w:val="en-US" w:eastAsia="zh-CN"/>
              </w:rPr>
            </w:pPr>
            <w:r>
              <w:rPr>
                <w:rFonts w:ascii="Times New Roman" w:hAnsi="Times New Roman" w:cs="Times New Roman"/>
                <w:color w:val="auto"/>
                <w:sz w:val="21"/>
                <w:szCs w:val="21"/>
                <w:highlight w:val="none"/>
                <w:lang w:val="en-US" w:eastAsia="zh-CN"/>
              </w:rPr>
              <w:t>依托</w:t>
            </w:r>
          </w:p>
        </w:tc>
      </w:tr>
      <w:tr w14:paraId="2CF6BC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2A785E88">
            <w:pPr>
              <w:spacing w:line="240" w:lineRule="auto"/>
              <w:ind w:firstLine="0" w:firstLineChars="0"/>
              <w:jc w:val="center"/>
              <w:rPr>
                <w:rFonts w:ascii="Times New Roman" w:hAnsi="Times New Roman" w:eastAsia="Times New Roman"/>
                <w:kern w:val="0"/>
                <w:sz w:val="21"/>
                <w:szCs w:val="21"/>
                <w:highlight w:val="none"/>
                <w:lang w:eastAsia="en-US" w:bidi="en-US"/>
              </w:rPr>
            </w:pPr>
          </w:p>
        </w:tc>
        <w:tc>
          <w:tcPr>
            <w:tcW w:w="1044" w:type="pct"/>
            <w:gridSpan w:val="2"/>
            <w:shd w:val="clear" w:color="auto" w:fill="FFFFFF"/>
            <w:noWrap w:val="0"/>
            <w:vAlign w:val="center"/>
          </w:tcPr>
          <w:p w14:paraId="27A8B6D1">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消防系统</w:t>
            </w:r>
          </w:p>
        </w:tc>
        <w:tc>
          <w:tcPr>
            <w:tcW w:w="3182" w:type="pct"/>
            <w:shd w:val="clear" w:color="auto" w:fill="FFFFFF"/>
            <w:noWrap w:val="0"/>
            <w:vAlign w:val="center"/>
          </w:tcPr>
          <w:p w14:paraId="4B97D3CA">
            <w:pPr>
              <w:pStyle w:val="25"/>
              <w:spacing w:after="0" w:line="240" w:lineRule="auto"/>
              <w:ind w:firstLine="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本工程生产、生活及消防用水都分别由现有工程的给水管网供给；</w:t>
            </w:r>
            <w:r>
              <w:rPr>
                <w:rFonts w:hint="eastAsia" w:ascii="Times New Roman" w:hAnsi="Times New Roman" w:cs="Times New Roman"/>
                <w:color w:val="auto"/>
                <w:sz w:val="21"/>
                <w:szCs w:val="21"/>
                <w:highlight w:val="none"/>
                <w:lang w:val="en-US" w:eastAsia="zh-CN"/>
              </w:rPr>
              <w:t>从</w:t>
            </w:r>
            <w:r>
              <w:rPr>
                <w:rFonts w:hint="eastAsia" w:ascii="Times New Roman" w:hAnsi="Times New Roman" w:cs="Times New Roman"/>
                <w:color w:val="auto"/>
                <w:sz w:val="21"/>
                <w:szCs w:val="21"/>
                <w:highlight w:val="none"/>
              </w:rPr>
              <w:t>市政给水管道</w:t>
            </w:r>
            <w:r>
              <w:rPr>
                <w:rFonts w:hint="eastAsia" w:ascii="Times New Roman" w:hAnsi="Times New Roman" w:cs="Times New Roman"/>
                <w:color w:val="auto"/>
                <w:sz w:val="21"/>
                <w:szCs w:val="21"/>
                <w:highlight w:val="none"/>
                <w:lang w:val="en-US" w:eastAsia="zh-CN"/>
              </w:rPr>
              <w:t>引入</w:t>
            </w:r>
            <w:r>
              <w:rPr>
                <w:rFonts w:hint="eastAsia" w:ascii="Times New Roman" w:hAnsi="Times New Roman" w:cs="Times New Roman"/>
                <w:color w:val="auto"/>
                <w:sz w:val="21"/>
                <w:szCs w:val="21"/>
                <w:highlight w:val="none"/>
              </w:rPr>
              <w:t>厂</w:t>
            </w:r>
            <w:r>
              <w:rPr>
                <w:rFonts w:hint="eastAsia" w:ascii="Times New Roman" w:hAnsi="Times New Roman" w:cs="Times New Roman"/>
                <w:color w:val="auto"/>
                <w:sz w:val="21"/>
                <w:szCs w:val="21"/>
                <w:highlight w:val="none"/>
                <w:lang w:val="en-US" w:eastAsia="zh-CN"/>
              </w:rPr>
              <w:t>区四楼200</w:t>
            </w:r>
            <w:r>
              <w:rPr>
                <w:rFonts w:hint="eastAsia"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vertAlign w:val="superscript"/>
              </w:rPr>
              <w:t>3</w:t>
            </w:r>
            <w:r>
              <w:rPr>
                <w:rFonts w:hint="eastAsia" w:ascii="Times New Roman" w:hAnsi="Times New Roman" w:cs="Times New Roman"/>
                <w:color w:val="auto"/>
                <w:sz w:val="21"/>
                <w:szCs w:val="21"/>
                <w:highlight w:val="none"/>
              </w:rPr>
              <w:t>储水池，经综合水泵房二次加压后供给全厂的生产，生活及消防用水</w:t>
            </w:r>
            <w:r>
              <w:rPr>
                <w:rFonts w:ascii="Times New Roman" w:hAnsi="Times New Roman" w:cs="Times New Roman"/>
                <w:color w:val="auto"/>
                <w:sz w:val="21"/>
                <w:szCs w:val="21"/>
                <w:highlight w:val="none"/>
              </w:rPr>
              <w:t>。</w:t>
            </w:r>
          </w:p>
        </w:tc>
        <w:tc>
          <w:tcPr>
            <w:tcW w:w="393" w:type="pct"/>
            <w:shd w:val="clear" w:color="auto" w:fill="FFFFFF"/>
            <w:noWrap w:val="0"/>
            <w:vAlign w:val="center"/>
          </w:tcPr>
          <w:p w14:paraId="501ED1E9">
            <w:pPr>
              <w:pStyle w:val="25"/>
              <w:spacing w:after="0" w:line="240" w:lineRule="auto"/>
              <w:ind w:firstLine="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已建</w:t>
            </w:r>
          </w:p>
        </w:tc>
      </w:tr>
      <w:tr w14:paraId="534036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4753F427">
            <w:pPr>
              <w:spacing w:line="240" w:lineRule="auto"/>
              <w:ind w:firstLine="0" w:firstLineChars="0"/>
              <w:jc w:val="center"/>
              <w:rPr>
                <w:rFonts w:ascii="Times New Roman" w:hAnsi="Times New Roman" w:eastAsia="Times New Roman"/>
                <w:kern w:val="0"/>
                <w:sz w:val="21"/>
                <w:szCs w:val="21"/>
                <w:highlight w:val="none"/>
                <w:lang w:eastAsia="en-US" w:bidi="en-US"/>
              </w:rPr>
            </w:pPr>
          </w:p>
        </w:tc>
        <w:tc>
          <w:tcPr>
            <w:tcW w:w="1044" w:type="pct"/>
            <w:gridSpan w:val="2"/>
            <w:shd w:val="clear" w:color="auto" w:fill="FFFFFF"/>
            <w:noWrap w:val="0"/>
            <w:vAlign w:val="center"/>
          </w:tcPr>
          <w:p w14:paraId="1378E09A">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供电系统</w:t>
            </w:r>
          </w:p>
        </w:tc>
        <w:tc>
          <w:tcPr>
            <w:tcW w:w="3182" w:type="pct"/>
            <w:shd w:val="clear" w:color="auto" w:fill="FFFFFF"/>
            <w:noWrap w:val="0"/>
            <w:vAlign w:val="center"/>
          </w:tcPr>
          <w:p w14:paraId="2B4F51CA">
            <w:pPr>
              <w:pStyle w:val="25"/>
              <w:spacing w:after="0"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市政供电</w:t>
            </w:r>
          </w:p>
        </w:tc>
        <w:tc>
          <w:tcPr>
            <w:tcW w:w="393" w:type="pct"/>
            <w:shd w:val="clear" w:color="auto" w:fill="FFFFFF"/>
            <w:noWrap w:val="0"/>
            <w:vAlign w:val="center"/>
          </w:tcPr>
          <w:p w14:paraId="3CB5B77E">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依托</w:t>
            </w:r>
          </w:p>
        </w:tc>
      </w:tr>
      <w:tr w14:paraId="2F954E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restart"/>
            <w:shd w:val="clear" w:color="auto" w:fill="FFFFFF"/>
            <w:noWrap w:val="0"/>
            <w:vAlign w:val="center"/>
          </w:tcPr>
          <w:p w14:paraId="446D6A83">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储运工程</w:t>
            </w:r>
          </w:p>
        </w:tc>
        <w:tc>
          <w:tcPr>
            <w:tcW w:w="1044" w:type="pct"/>
            <w:gridSpan w:val="2"/>
            <w:shd w:val="clear" w:color="auto" w:fill="FFFFFF"/>
            <w:noWrap w:val="0"/>
            <w:vAlign w:val="center"/>
          </w:tcPr>
          <w:p w14:paraId="65825FFB">
            <w:pPr>
              <w:pStyle w:val="25"/>
              <w:spacing w:after="0" w:line="240" w:lineRule="auto"/>
              <w:ind w:firstLine="0"/>
              <w:jc w:val="center"/>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储煤</w:t>
            </w:r>
            <w:r>
              <w:rPr>
                <w:rFonts w:hint="eastAsia" w:ascii="Times New Roman" w:hAnsi="Times New Roman" w:cs="Times New Roman"/>
                <w:color w:val="auto"/>
                <w:sz w:val="21"/>
                <w:szCs w:val="21"/>
                <w:highlight w:val="none"/>
                <w:lang w:val="en-US" w:eastAsia="zh-CN"/>
              </w:rPr>
              <w:t>厂</w:t>
            </w:r>
          </w:p>
        </w:tc>
        <w:tc>
          <w:tcPr>
            <w:tcW w:w="3182" w:type="pct"/>
            <w:shd w:val="clear" w:color="auto" w:fill="FFFFFF"/>
            <w:noWrap w:val="0"/>
            <w:vAlign w:val="center"/>
          </w:tcPr>
          <w:p w14:paraId="18E9D33A">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厂</w:t>
            </w:r>
            <w:r>
              <w:rPr>
                <w:rFonts w:hint="eastAsia" w:ascii="Times New Roman" w:hAnsi="Times New Roman" w:cs="Times New Roman"/>
                <w:color w:val="auto"/>
                <w:sz w:val="21"/>
                <w:szCs w:val="21"/>
                <w:highlight w:val="none"/>
                <w:lang w:eastAsia="zh-CN"/>
              </w:rPr>
              <w:t>界</w:t>
            </w:r>
            <w:r>
              <w:rPr>
                <w:rFonts w:ascii="Times New Roman" w:hAnsi="Times New Roman" w:cs="Times New Roman"/>
                <w:color w:val="auto"/>
                <w:sz w:val="21"/>
                <w:szCs w:val="21"/>
                <w:highlight w:val="none"/>
              </w:rPr>
              <w:t>北侧地块，建设储煤</w:t>
            </w:r>
            <w:r>
              <w:rPr>
                <w:rFonts w:hint="eastAsia" w:ascii="Times New Roman" w:hAnsi="Times New Roman" w:cs="Times New Roman"/>
                <w:color w:val="auto"/>
                <w:sz w:val="21"/>
                <w:szCs w:val="21"/>
                <w:highlight w:val="none"/>
                <w:lang w:val="en-US" w:eastAsia="zh-CN"/>
              </w:rPr>
              <w:t>厂</w:t>
            </w:r>
            <w:r>
              <w:rPr>
                <w:rFonts w:ascii="Times New Roman" w:hAnsi="Times New Roman" w:cs="Times New Roman"/>
                <w:color w:val="auto"/>
                <w:sz w:val="21"/>
                <w:szCs w:val="21"/>
                <w:highlight w:val="none"/>
              </w:rPr>
              <w:t>一座，</w:t>
            </w:r>
            <w:r>
              <w:rPr>
                <w:rFonts w:hint="eastAsia" w:ascii="Times New Roman" w:hAnsi="Times New Roman" w:cs="Times New Roman"/>
                <w:color w:val="auto"/>
                <w:sz w:val="21"/>
                <w:szCs w:val="21"/>
                <w:highlight w:val="none"/>
                <w:lang w:eastAsia="zh-CN"/>
              </w:rPr>
              <w:t>占地</w:t>
            </w:r>
            <w:r>
              <w:rPr>
                <w:rFonts w:ascii="Times New Roman" w:hAnsi="Times New Roman" w:cs="Times New Roman"/>
                <w:color w:val="auto"/>
                <w:sz w:val="21"/>
                <w:szCs w:val="21"/>
                <w:highlight w:val="none"/>
              </w:rPr>
              <w:t>面积</w:t>
            </w:r>
            <w:r>
              <w:rPr>
                <w:rFonts w:hint="eastAsia" w:ascii="Times New Roman" w:hAnsi="Times New Roman" w:cs="Times New Roman"/>
                <w:color w:val="auto"/>
                <w:sz w:val="21"/>
                <w:szCs w:val="21"/>
                <w:highlight w:val="none"/>
                <w:lang w:val="en-US" w:eastAsia="zh-CN"/>
              </w:rPr>
              <w:t>4250</w:t>
            </w:r>
            <w:r>
              <w:rPr>
                <w:rFonts w:ascii="Times New Roman" w:hAnsi="Times New Roman" w:cs="Times New Roman"/>
                <w:color w:val="auto"/>
                <w:sz w:val="21"/>
                <w:szCs w:val="21"/>
                <w:highlight w:val="none"/>
              </w:rPr>
              <w:t>平方米，可存煤</w:t>
            </w:r>
            <w:r>
              <w:rPr>
                <w:rFonts w:hint="eastAsia" w:ascii="Times New Roman" w:hAnsi="Times New Roman" w:cs="Times New Roman"/>
                <w:color w:val="auto"/>
                <w:sz w:val="21"/>
                <w:szCs w:val="21"/>
                <w:highlight w:val="none"/>
                <w:lang w:val="en-US" w:eastAsia="zh-CN"/>
              </w:rPr>
              <w:t>2.55</w:t>
            </w:r>
            <w:r>
              <w:rPr>
                <w:rFonts w:ascii="Times New Roman" w:hAnsi="Times New Roman" w:cs="Times New Roman"/>
                <w:color w:val="auto"/>
                <w:sz w:val="21"/>
                <w:szCs w:val="21"/>
                <w:highlight w:val="none"/>
              </w:rPr>
              <w:t>万吨，满足</w:t>
            </w:r>
            <w:r>
              <w:rPr>
                <w:rFonts w:ascii="Times New Roman" w:hAnsi="Times New Roman" w:cs="Times New Roman"/>
                <w:color w:val="auto"/>
                <w:sz w:val="21"/>
                <w:szCs w:val="21"/>
                <w:highlight w:val="none"/>
                <w:lang w:val="en-US" w:eastAsia="zh-CN"/>
              </w:rPr>
              <w:t>全</w:t>
            </w:r>
            <w:r>
              <w:rPr>
                <w:rFonts w:ascii="Times New Roman" w:hAnsi="Times New Roman" w:cs="Times New Roman"/>
                <w:color w:val="auto"/>
                <w:sz w:val="21"/>
                <w:szCs w:val="21"/>
                <w:highlight w:val="none"/>
              </w:rPr>
              <w:t>厂</w:t>
            </w:r>
            <w:r>
              <w:rPr>
                <w:rFonts w:hint="eastAsia" w:ascii="Times New Roman" w:hAnsi="Times New Roman" w:cs="Times New Roman"/>
                <w:color w:val="auto"/>
                <w:sz w:val="21"/>
                <w:szCs w:val="21"/>
                <w:highlight w:val="none"/>
                <w:lang w:val="en-US" w:eastAsia="zh-CN"/>
              </w:rPr>
              <w:t>最大</w:t>
            </w:r>
            <w:r>
              <w:rPr>
                <w:rFonts w:ascii="Times New Roman" w:hAnsi="Times New Roman" w:cs="Times New Roman"/>
                <w:color w:val="auto"/>
                <w:sz w:val="21"/>
                <w:szCs w:val="21"/>
                <w:highlight w:val="none"/>
              </w:rPr>
              <w:t>满负荷运行</w:t>
            </w:r>
            <w:r>
              <w:rPr>
                <w:rFonts w:hint="eastAsia" w:ascii="Times New Roman" w:hAnsi="Times New Roman" w:cs="Times New Roman"/>
                <w:color w:val="auto"/>
                <w:sz w:val="21"/>
                <w:szCs w:val="21"/>
                <w:highlight w:val="none"/>
                <w:lang w:val="en-US" w:eastAsia="zh-CN"/>
              </w:rPr>
              <w:t>33天</w:t>
            </w:r>
            <w:r>
              <w:rPr>
                <w:rFonts w:ascii="Times New Roman" w:hAnsi="Times New Roman" w:cs="Times New Roman"/>
                <w:color w:val="auto"/>
                <w:sz w:val="21"/>
                <w:szCs w:val="21"/>
                <w:highlight w:val="none"/>
              </w:rPr>
              <w:t>耗煤量</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770.0448</w:t>
            </w:r>
            <w:r>
              <w:rPr>
                <w:rFonts w:hint="eastAsia" w:ascii="Times New Roman" w:hAnsi="Times New Roman" w:cs="Times New Roman"/>
                <w:color w:val="auto"/>
                <w:sz w:val="21"/>
                <w:szCs w:val="21"/>
                <w:highlight w:val="none"/>
                <w:lang w:eastAsia="zh-CN"/>
              </w:rPr>
              <w:t>t）。</w:t>
            </w:r>
          </w:p>
        </w:tc>
        <w:tc>
          <w:tcPr>
            <w:tcW w:w="393" w:type="pct"/>
            <w:shd w:val="clear" w:color="auto" w:fill="FFFFFF"/>
            <w:noWrap w:val="0"/>
            <w:vAlign w:val="center"/>
          </w:tcPr>
          <w:p w14:paraId="1F4C6658">
            <w:pPr>
              <w:spacing w:line="240" w:lineRule="auto"/>
              <w:ind w:firstLine="0" w:firstLineChars="0"/>
              <w:jc w:val="center"/>
              <w:rPr>
                <w:rFonts w:hint="eastAsia" w:ascii="Times New Roman" w:hAnsi="Times New Roman" w:eastAsia="宋体"/>
                <w:kern w:val="0"/>
                <w:sz w:val="21"/>
                <w:szCs w:val="21"/>
                <w:highlight w:val="none"/>
                <w:lang w:eastAsia="zh-CN"/>
              </w:rPr>
            </w:pPr>
            <w:r>
              <w:rPr>
                <w:rFonts w:hint="eastAsia" w:ascii="Times New Roman" w:hAnsi="Times New Roman"/>
                <w:kern w:val="0"/>
                <w:sz w:val="21"/>
                <w:szCs w:val="21"/>
                <w:highlight w:val="none"/>
                <w:lang w:val="en-US" w:eastAsia="zh-CN"/>
              </w:rPr>
              <w:t>已建</w:t>
            </w:r>
          </w:p>
        </w:tc>
      </w:tr>
      <w:tr w14:paraId="2F39B7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2B9F92AE">
            <w:pPr>
              <w:spacing w:line="240" w:lineRule="auto"/>
              <w:ind w:firstLine="0" w:firstLineChars="0"/>
              <w:jc w:val="center"/>
              <w:rPr>
                <w:rFonts w:ascii="Times New Roman" w:hAnsi="Times New Roman" w:eastAsia="Times New Roman"/>
                <w:kern w:val="0"/>
                <w:sz w:val="21"/>
                <w:szCs w:val="21"/>
                <w:highlight w:val="none"/>
                <w:lang w:eastAsia="en-US" w:bidi="en-US"/>
              </w:rPr>
            </w:pPr>
          </w:p>
        </w:tc>
        <w:tc>
          <w:tcPr>
            <w:tcW w:w="1044" w:type="pct"/>
            <w:gridSpan w:val="2"/>
            <w:shd w:val="clear" w:color="auto" w:fill="FFFFFF"/>
            <w:noWrap w:val="0"/>
            <w:vAlign w:val="center"/>
          </w:tcPr>
          <w:p w14:paraId="32A6DA7E">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渣仓</w:t>
            </w:r>
          </w:p>
        </w:tc>
        <w:tc>
          <w:tcPr>
            <w:tcW w:w="3182" w:type="pct"/>
            <w:shd w:val="clear" w:color="auto" w:fill="FFFFFF"/>
            <w:noWrap w:val="0"/>
            <w:vAlign w:val="center"/>
          </w:tcPr>
          <w:p w14:paraId="11CECA0A">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lang w:val="en-US" w:eastAsia="zh-CN"/>
              </w:rPr>
              <w:t>建</w:t>
            </w:r>
            <w:r>
              <w:rPr>
                <w:rFonts w:hint="eastAsia" w:ascii="Times New Roman" w:hAnsi="Times New Roman" w:cs="Times New Roman"/>
                <w:color w:val="auto"/>
                <w:sz w:val="21"/>
                <w:szCs w:val="21"/>
                <w:highlight w:val="none"/>
                <w:lang w:val="en-US" w:eastAsia="zh-CN"/>
              </w:rPr>
              <w:t>1</w:t>
            </w:r>
            <w:r>
              <w:rPr>
                <w:rFonts w:ascii="Times New Roman" w:hAnsi="Times New Roman" w:cs="Times New Roman"/>
                <w:color w:val="auto"/>
                <w:sz w:val="21"/>
                <w:szCs w:val="21"/>
                <w:highlight w:val="none"/>
                <w:lang w:val="en-US" w:eastAsia="zh-CN"/>
              </w:rPr>
              <w:t>座</w:t>
            </w:r>
            <w:r>
              <w:rPr>
                <w:rFonts w:ascii="Times New Roman" w:hAnsi="Times New Roman" w:cs="Times New Roman"/>
                <w:color w:val="auto"/>
                <w:sz w:val="21"/>
                <w:szCs w:val="21"/>
                <w:highlight w:val="none"/>
              </w:rPr>
              <w:t>设计容积为</w:t>
            </w:r>
            <w:r>
              <w:rPr>
                <w:rFonts w:hint="eastAsia" w:ascii="Times New Roman" w:hAnsi="Times New Roman" w:cs="Times New Roman"/>
                <w:color w:val="auto"/>
                <w:sz w:val="21"/>
                <w:szCs w:val="21"/>
                <w:highlight w:val="none"/>
                <w:lang w:val="en-US" w:eastAsia="zh-CN"/>
              </w:rPr>
              <w:t>300</w:t>
            </w:r>
            <w:r>
              <w:rPr>
                <w:rFonts w:ascii="Times New Roman" w:hAnsi="Times New Roman" w:cs="Times New Roman"/>
                <w:color w:val="auto"/>
                <w:sz w:val="21"/>
                <w:szCs w:val="21"/>
                <w:highlight w:val="none"/>
              </w:rPr>
              <w:t>m</w:t>
            </w:r>
            <w:r>
              <w:rPr>
                <w:rFonts w:ascii="Times New Roman" w:hAnsi="Times New Roman" w:cs="Times New Roman"/>
                <w:color w:val="auto"/>
                <w:sz w:val="21"/>
                <w:szCs w:val="21"/>
                <w:highlight w:val="none"/>
                <w:vertAlign w:val="superscript"/>
              </w:rPr>
              <w:t>3</w:t>
            </w:r>
            <w:r>
              <w:rPr>
                <w:rFonts w:ascii="Times New Roman" w:hAnsi="Times New Roman" w:cs="Times New Roman"/>
                <w:color w:val="auto"/>
                <w:sz w:val="21"/>
                <w:szCs w:val="21"/>
                <w:highlight w:val="none"/>
                <w:lang w:val="en-US" w:eastAsia="zh-CN"/>
              </w:rPr>
              <w:t>渣</w:t>
            </w:r>
            <w:r>
              <w:rPr>
                <w:rFonts w:hint="eastAsia" w:ascii="Times New Roman" w:hAnsi="Times New Roman" w:cs="Times New Roman"/>
                <w:color w:val="auto"/>
                <w:sz w:val="21"/>
                <w:szCs w:val="21"/>
                <w:highlight w:val="none"/>
                <w:lang w:val="en-US" w:eastAsia="zh-CN"/>
              </w:rPr>
              <w:t>仓</w:t>
            </w:r>
            <w:r>
              <w:rPr>
                <w:rFonts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eastAsia="zh-CN"/>
              </w:rPr>
              <w:t>高度为8m</w:t>
            </w:r>
            <w:r>
              <w:rPr>
                <w:rFonts w:ascii="Times New Roman" w:hAnsi="Times New Roman" w:cs="Times New Roman"/>
                <w:color w:val="auto"/>
                <w:sz w:val="21"/>
                <w:szCs w:val="21"/>
                <w:highlight w:val="none"/>
                <w:lang w:val="en-US" w:eastAsia="zh-CN"/>
              </w:rPr>
              <w:t>。</w:t>
            </w:r>
            <w:r>
              <w:rPr>
                <w:rFonts w:ascii="Times New Roman" w:hAnsi="Times New Roman" w:cs="Times New Roman"/>
                <w:color w:val="auto"/>
                <w:sz w:val="21"/>
                <w:szCs w:val="21"/>
                <w:highlight w:val="none"/>
              </w:rPr>
              <w:t>钢渣仓设有检修设备、排尘设备和卸料装置。</w:t>
            </w:r>
          </w:p>
        </w:tc>
        <w:tc>
          <w:tcPr>
            <w:tcW w:w="393" w:type="pct"/>
            <w:shd w:val="clear" w:color="auto" w:fill="FFFFFF"/>
            <w:noWrap w:val="0"/>
            <w:vAlign w:val="center"/>
          </w:tcPr>
          <w:p w14:paraId="397629AF">
            <w:pPr>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lang w:val="en-US" w:eastAsia="zh-CN"/>
              </w:rPr>
              <w:t>已</w:t>
            </w:r>
            <w:r>
              <w:rPr>
                <w:rFonts w:ascii="Times New Roman" w:hAnsi="Times New Roman"/>
                <w:kern w:val="0"/>
                <w:sz w:val="21"/>
                <w:szCs w:val="21"/>
                <w:highlight w:val="none"/>
              </w:rPr>
              <w:t>建</w:t>
            </w:r>
          </w:p>
        </w:tc>
      </w:tr>
      <w:tr w14:paraId="43A900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1E63341A">
            <w:pPr>
              <w:spacing w:line="240" w:lineRule="auto"/>
              <w:ind w:firstLine="0" w:firstLineChars="0"/>
              <w:jc w:val="center"/>
              <w:rPr>
                <w:rFonts w:ascii="Times New Roman" w:hAnsi="Times New Roman" w:eastAsia="Times New Roman"/>
                <w:kern w:val="0"/>
                <w:sz w:val="21"/>
                <w:szCs w:val="21"/>
                <w:highlight w:val="none"/>
                <w:lang w:eastAsia="en-US" w:bidi="en-US"/>
              </w:rPr>
            </w:pPr>
          </w:p>
        </w:tc>
        <w:tc>
          <w:tcPr>
            <w:tcW w:w="1044" w:type="pct"/>
            <w:gridSpan w:val="2"/>
            <w:shd w:val="clear" w:color="auto" w:fill="FFFFFF"/>
            <w:noWrap w:val="0"/>
            <w:vAlign w:val="center"/>
          </w:tcPr>
          <w:p w14:paraId="63BF8C2D">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灰仓</w:t>
            </w:r>
          </w:p>
        </w:tc>
        <w:tc>
          <w:tcPr>
            <w:tcW w:w="3182" w:type="pct"/>
            <w:shd w:val="clear" w:color="auto" w:fill="FFFFFF"/>
            <w:noWrap w:val="0"/>
            <w:vAlign w:val="center"/>
          </w:tcPr>
          <w:p w14:paraId="5BFEDFA1">
            <w:pPr>
              <w:pStyle w:val="25"/>
              <w:spacing w:after="0" w:line="240" w:lineRule="auto"/>
              <w:ind w:firstLine="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val="en-US" w:eastAsia="zh-CN"/>
              </w:rPr>
              <w:t>建</w:t>
            </w:r>
            <w:r>
              <w:rPr>
                <w:rFonts w:hint="eastAsia" w:ascii="Times New Roman" w:hAnsi="Times New Roman" w:cs="Times New Roman"/>
                <w:color w:val="auto"/>
                <w:sz w:val="21"/>
                <w:szCs w:val="21"/>
                <w:highlight w:val="none"/>
                <w:lang w:val="en-US" w:eastAsia="zh-CN"/>
              </w:rPr>
              <w:t>1</w:t>
            </w:r>
            <w:r>
              <w:rPr>
                <w:rFonts w:ascii="Times New Roman" w:hAnsi="Times New Roman" w:cs="Times New Roman"/>
                <w:color w:val="auto"/>
                <w:sz w:val="21"/>
                <w:szCs w:val="21"/>
                <w:highlight w:val="none"/>
                <w:lang w:val="en-US" w:eastAsia="zh-CN"/>
              </w:rPr>
              <w:t>座</w:t>
            </w:r>
            <w:r>
              <w:rPr>
                <w:rFonts w:hint="eastAsia" w:ascii="Times New Roman" w:hAnsi="Times New Roman" w:cs="Times New Roman"/>
                <w:color w:val="auto"/>
                <w:sz w:val="21"/>
                <w:szCs w:val="21"/>
                <w:highlight w:val="none"/>
                <w:lang w:val="en-US" w:eastAsia="zh-CN"/>
              </w:rPr>
              <w:t>3</w:t>
            </w:r>
            <w:r>
              <w:rPr>
                <w:rFonts w:ascii="Times New Roman" w:hAnsi="Times New Roman" w:cs="Times New Roman"/>
                <w:color w:val="auto"/>
                <w:sz w:val="21"/>
                <w:szCs w:val="21"/>
                <w:highlight w:val="none"/>
                <w:lang w:val="en-US" w:eastAsia="zh-CN"/>
              </w:rPr>
              <w:t>00m</w:t>
            </w:r>
            <w:r>
              <w:rPr>
                <w:rFonts w:ascii="Times New Roman" w:hAnsi="Times New Roman" w:cs="Times New Roman"/>
                <w:color w:val="auto"/>
                <w:sz w:val="21"/>
                <w:szCs w:val="21"/>
                <w:highlight w:val="none"/>
                <w:vertAlign w:val="superscript"/>
                <w:lang w:val="en-US" w:eastAsia="zh-CN"/>
              </w:rPr>
              <w:t>3</w:t>
            </w:r>
            <w:r>
              <w:rPr>
                <w:rFonts w:ascii="Times New Roman" w:hAnsi="Times New Roman" w:cs="Times New Roman"/>
                <w:color w:val="auto"/>
                <w:sz w:val="21"/>
                <w:szCs w:val="21"/>
                <w:highlight w:val="none"/>
                <w:lang w:val="en-US" w:eastAsia="zh-CN"/>
              </w:rPr>
              <w:t>灰</w:t>
            </w:r>
            <w:r>
              <w:rPr>
                <w:rFonts w:ascii="Times New Roman" w:hAnsi="Times New Roman" w:cs="Times New Roman"/>
                <w:color w:val="auto"/>
                <w:sz w:val="21"/>
                <w:szCs w:val="21"/>
                <w:highlight w:val="none"/>
              </w:rPr>
              <w:t>仓</w:t>
            </w:r>
            <w:r>
              <w:rPr>
                <w:rFonts w:hint="eastAsia" w:ascii="Times New Roman" w:hAnsi="Times New Roman" w:cs="Times New Roman"/>
                <w:color w:val="auto"/>
                <w:sz w:val="21"/>
                <w:szCs w:val="21"/>
                <w:highlight w:val="none"/>
                <w:lang w:eastAsia="zh-CN"/>
              </w:rPr>
              <w:t>、高度为8m</w:t>
            </w:r>
            <w:r>
              <w:rPr>
                <w:rFonts w:ascii="Times New Roman" w:hAnsi="Times New Roman" w:cs="Times New Roman"/>
                <w:color w:val="auto"/>
                <w:sz w:val="21"/>
                <w:szCs w:val="21"/>
                <w:highlight w:val="none"/>
                <w:lang w:val="en-US" w:eastAsia="zh-CN"/>
              </w:rPr>
              <w:t>。灰</w:t>
            </w:r>
            <w:r>
              <w:rPr>
                <w:rFonts w:ascii="Times New Roman" w:hAnsi="Times New Roman" w:cs="Times New Roman"/>
                <w:color w:val="auto"/>
                <w:sz w:val="21"/>
                <w:szCs w:val="21"/>
                <w:highlight w:val="none"/>
              </w:rPr>
              <w:t>仓</w:t>
            </w:r>
            <w:r>
              <w:rPr>
                <w:rFonts w:ascii="Times New Roman" w:hAnsi="Times New Roman" w:cs="Times New Roman"/>
                <w:color w:val="auto"/>
                <w:sz w:val="21"/>
                <w:szCs w:val="21"/>
                <w:highlight w:val="none"/>
                <w:lang w:val="en-US" w:eastAsia="zh-CN"/>
              </w:rPr>
              <w:t>的</w:t>
            </w:r>
            <w:r>
              <w:rPr>
                <w:rFonts w:ascii="Times New Roman" w:hAnsi="Times New Roman" w:cs="Times New Roman"/>
                <w:color w:val="auto"/>
                <w:sz w:val="21"/>
                <w:szCs w:val="21"/>
                <w:highlight w:val="none"/>
              </w:rPr>
              <w:t>仓</w:t>
            </w:r>
            <w:r>
              <w:rPr>
                <w:rFonts w:ascii="Times New Roman" w:hAnsi="Times New Roman" w:cs="Times New Roman"/>
                <w:color w:val="auto"/>
                <w:sz w:val="21"/>
                <w:szCs w:val="21"/>
                <w:highlight w:val="none"/>
                <w:lang w:val="en-US" w:eastAsia="zh-CN"/>
              </w:rPr>
              <w:t>顶均设有脉冲布袋除尘器、压力真空释放阀。灰</w:t>
            </w:r>
            <w:r>
              <w:rPr>
                <w:rFonts w:ascii="Times New Roman" w:hAnsi="Times New Roman" w:cs="Times New Roman"/>
                <w:color w:val="auto"/>
                <w:sz w:val="21"/>
                <w:szCs w:val="21"/>
                <w:highlight w:val="none"/>
              </w:rPr>
              <w:t>仓</w:t>
            </w:r>
            <w:r>
              <w:rPr>
                <w:rFonts w:ascii="Times New Roman" w:hAnsi="Times New Roman" w:cs="Times New Roman"/>
                <w:color w:val="auto"/>
                <w:sz w:val="21"/>
                <w:szCs w:val="21"/>
                <w:highlight w:val="none"/>
                <w:lang w:val="en-US" w:eastAsia="zh-CN"/>
              </w:rPr>
              <w:t>下设2个排放口，1个排放口下设汽车散装机用于干灰装罐车，可供装车外运综合利用</w:t>
            </w:r>
          </w:p>
        </w:tc>
        <w:tc>
          <w:tcPr>
            <w:tcW w:w="393" w:type="pct"/>
            <w:shd w:val="clear" w:color="auto" w:fill="FFFFFF"/>
            <w:noWrap w:val="0"/>
            <w:vAlign w:val="center"/>
          </w:tcPr>
          <w:p w14:paraId="30F828C7">
            <w:pPr>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lang w:val="en-US" w:eastAsia="zh-CN"/>
              </w:rPr>
              <w:t>已</w:t>
            </w:r>
            <w:r>
              <w:rPr>
                <w:rFonts w:ascii="Times New Roman" w:hAnsi="Times New Roman"/>
                <w:kern w:val="0"/>
                <w:sz w:val="21"/>
                <w:szCs w:val="21"/>
                <w:highlight w:val="none"/>
              </w:rPr>
              <w:t>建</w:t>
            </w:r>
          </w:p>
        </w:tc>
      </w:tr>
      <w:tr w14:paraId="5D9A8A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29CE947F">
            <w:pPr>
              <w:spacing w:line="240" w:lineRule="auto"/>
              <w:ind w:firstLine="0" w:firstLineChars="0"/>
              <w:jc w:val="center"/>
              <w:rPr>
                <w:rFonts w:ascii="Times New Roman" w:hAnsi="Times New Roman" w:eastAsia="Times New Roman"/>
                <w:kern w:val="0"/>
                <w:sz w:val="21"/>
                <w:szCs w:val="21"/>
                <w:highlight w:val="none"/>
                <w:lang w:eastAsia="en-US" w:bidi="en-US"/>
              </w:rPr>
            </w:pPr>
          </w:p>
        </w:tc>
        <w:tc>
          <w:tcPr>
            <w:tcW w:w="1044" w:type="pct"/>
            <w:gridSpan w:val="2"/>
            <w:shd w:val="clear" w:color="auto" w:fill="FFFFFF"/>
            <w:noWrap w:val="0"/>
            <w:vAlign w:val="center"/>
          </w:tcPr>
          <w:p w14:paraId="0A013B87">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石灰石粉仓</w:t>
            </w:r>
          </w:p>
        </w:tc>
        <w:tc>
          <w:tcPr>
            <w:tcW w:w="3182" w:type="pct"/>
            <w:shd w:val="clear" w:color="auto" w:fill="FFFFFF"/>
            <w:noWrap w:val="0"/>
            <w:vAlign w:val="center"/>
          </w:tcPr>
          <w:p w14:paraId="5B269680">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lang w:eastAsia="zh-CN"/>
              </w:rPr>
              <w:t>位于</w:t>
            </w:r>
            <w:r>
              <w:rPr>
                <w:rFonts w:ascii="Times New Roman" w:hAnsi="Times New Roman" w:cs="Times New Roman"/>
                <w:color w:val="auto"/>
                <w:sz w:val="21"/>
                <w:szCs w:val="21"/>
                <w:highlight w:val="none"/>
                <w:lang w:val="en-US" w:eastAsia="zh-CN"/>
              </w:rPr>
              <w:t>脱硫间</w:t>
            </w:r>
            <w:r>
              <w:rPr>
                <w:rFonts w:ascii="Times New Roman" w:hAnsi="Times New Roman" w:cs="Times New Roman"/>
                <w:color w:val="auto"/>
                <w:sz w:val="21"/>
                <w:szCs w:val="21"/>
                <w:highlight w:val="none"/>
                <w:lang w:eastAsia="zh-CN"/>
              </w:rPr>
              <w:t>内，有效容积约1</w:t>
            </w:r>
            <w:r>
              <w:rPr>
                <w:rFonts w:ascii="Times New Roman" w:hAnsi="Times New Roman" w:cs="Times New Roman"/>
                <w:color w:val="auto"/>
                <w:sz w:val="21"/>
                <w:szCs w:val="21"/>
                <w:highlight w:val="none"/>
                <w:lang w:val="en-US" w:eastAsia="zh-CN"/>
              </w:rPr>
              <w:t>50</w:t>
            </w:r>
            <w:r>
              <w:rPr>
                <w:rFonts w:ascii="Times New Roman" w:hAnsi="Times New Roman" w:cs="Times New Roman"/>
                <w:color w:val="auto"/>
                <w:sz w:val="21"/>
                <w:szCs w:val="21"/>
                <w:highlight w:val="none"/>
                <w:lang w:eastAsia="zh-CN"/>
              </w:rPr>
              <w:t>m</w:t>
            </w:r>
            <w:r>
              <w:rPr>
                <w:rFonts w:ascii="Times New Roman" w:hAnsi="Times New Roman" w:cs="Times New Roman"/>
                <w:color w:val="auto"/>
                <w:sz w:val="21"/>
                <w:szCs w:val="21"/>
                <w:highlight w:val="none"/>
                <w:vertAlign w:val="superscript"/>
                <w:lang w:eastAsia="zh-CN"/>
              </w:rPr>
              <w:t>3</w:t>
            </w:r>
            <w:r>
              <w:rPr>
                <w:rFonts w:ascii="Times New Roman" w:hAnsi="Times New Roman" w:cs="Times New Roman"/>
                <w:color w:val="auto"/>
                <w:sz w:val="21"/>
                <w:szCs w:val="21"/>
                <w:highlight w:val="none"/>
                <w:lang w:eastAsia="zh-CN"/>
              </w:rPr>
              <w:t>的石灰石仓</w:t>
            </w:r>
            <w:r>
              <w:rPr>
                <w:rFonts w:hint="eastAsia" w:ascii="Times New Roman" w:hAnsi="Times New Roman" w:cs="Times New Roman"/>
                <w:color w:val="auto"/>
                <w:sz w:val="21"/>
                <w:szCs w:val="21"/>
                <w:highlight w:val="none"/>
                <w:lang w:eastAsia="zh-CN"/>
              </w:rPr>
              <w:t>，高度为8m，仓顶均设有脉冲布袋除尘器。</w:t>
            </w:r>
          </w:p>
        </w:tc>
        <w:tc>
          <w:tcPr>
            <w:tcW w:w="393" w:type="pct"/>
            <w:shd w:val="clear" w:color="auto" w:fill="FFFFFF"/>
            <w:noWrap w:val="0"/>
            <w:vAlign w:val="center"/>
          </w:tcPr>
          <w:p w14:paraId="63DEC694">
            <w:pPr>
              <w:pStyle w:val="25"/>
              <w:spacing w:after="0" w:line="240" w:lineRule="auto"/>
              <w:ind w:firstLine="0"/>
              <w:jc w:val="center"/>
              <w:rPr>
                <w:rFonts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已</w:t>
            </w:r>
            <w:r>
              <w:rPr>
                <w:rFonts w:ascii="Times New Roman" w:hAnsi="Times New Roman" w:cs="Times New Roman"/>
                <w:color w:val="auto"/>
                <w:sz w:val="21"/>
                <w:szCs w:val="21"/>
                <w:highlight w:val="none"/>
                <w:lang w:val="en-US" w:eastAsia="zh-CN"/>
              </w:rPr>
              <w:t>建</w:t>
            </w:r>
          </w:p>
        </w:tc>
      </w:tr>
      <w:tr w14:paraId="595A38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710" w:hRule="atLeast"/>
          <w:jc w:val="center"/>
        </w:trPr>
        <w:tc>
          <w:tcPr>
            <w:tcW w:w="379" w:type="pct"/>
            <w:vMerge w:val="continue"/>
            <w:shd w:val="clear" w:color="auto" w:fill="FFFFFF"/>
            <w:noWrap w:val="0"/>
            <w:vAlign w:val="center"/>
          </w:tcPr>
          <w:p w14:paraId="1F4B6626">
            <w:pPr>
              <w:spacing w:line="240" w:lineRule="auto"/>
              <w:ind w:firstLine="0" w:firstLineChars="0"/>
              <w:jc w:val="center"/>
              <w:rPr>
                <w:rFonts w:ascii="Times New Roman" w:hAnsi="Times New Roman" w:eastAsia="Times New Roman"/>
                <w:kern w:val="0"/>
                <w:sz w:val="21"/>
                <w:szCs w:val="21"/>
                <w:highlight w:val="none"/>
                <w:lang w:eastAsia="en-US" w:bidi="en-US"/>
              </w:rPr>
            </w:pPr>
          </w:p>
        </w:tc>
        <w:tc>
          <w:tcPr>
            <w:tcW w:w="1044" w:type="pct"/>
            <w:gridSpan w:val="2"/>
            <w:shd w:val="clear" w:color="auto" w:fill="FFFFFF"/>
            <w:noWrap w:val="0"/>
            <w:vAlign w:val="center"/>
          </w:tcPr>
          <w:p w14:paraId="34389535">
            <w:pPr>
              <w:pStyle w:val="25"/>
              <w:spacing w:after="0" w:line="240" w:lineRule="auto"/>
              <w:ind w:firstLine="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eastAsia="zh-CN"/>
              </w:rPr>
              <w:t>脱硫石膏库</w:t>
            </w:r>
          </w:p>
        </w:tc>
        <w:tc>
          <w:tcPr>
            <w:tcW w:w="3182" w:type="pct"/>
            <w:shd w:val="clear" w:color="auto" w:fill="FFFFFF"/>
            <w:noWrap w:val="0"/>
            <w:vAlign w:val="center"/>
          </w:tcPr>
          <w:p w14:paraId="5BC50111">
            <w:pPr>
              <w:pStyle w:val="25"/>
              <w:spacing w:after="0" w:line="240" w:lineRule="auto"/>
              <w:ind w:firstLine="0"/>
              <w:jc w:val="center"/>
              <w:rPr>
                <w:rFonts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建设1座50m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lang w:val="en-US" w:eastAsia="zh-CN"/>
              </w:rPr>
              <w:t>脱硫石膏库，</w:t>
            </w:r>
            <w:r>
              <w:rPr>
                <w:rFonts w:hint="eastAsia" w:ascii="Times New Roman" w:hAnsi="Times New Roman" w:cs="Times New Roman"/>
                <w:color w:val="auto"/>
                <w:sz w:val="21"/>
                <w:szCs w:val="21"/>
                <w:highlight w:val="none"/>
                <w:lang w:eastAsia="zh-CN"/>
              </w:rPr>
              <w:t>设置2台石膏浆液排出泵，将反应后的石膏送至石膏浆液脱水系统进行脱水处理，处理后送至</w:t>
            </w:r>
            <w:r>
              <w:rPr>
                <w:rFonts w:ascii="Times New Roman" w:hAnsi="Times New Roman" w:cs="Times New Roman"/>
                <w:color w:val="auto"/>
                <w:sz w:val="21"/>
                <w:szCs w:val="21"/>
                <w:highlight w:val="none"/>
                <w:lang w:eastAsia="zh-CN"/>
              </w:rPr>
              <w:t>脱硫石膏库</w:t>
            </w:r>
            <w:r>
              <w:rPr>
                <w:rFonts w:hint="eastAsia" w:ascii="Times New Roman" w:hAnsi="Times New Roman" w:cs="Times New Roman"/>
                <w:color w:val="auto"/>
                <w:sz w:val="21"/>
                <w:szCs w:val="21"/>
                <w:highlight w:val="none"/>
                <w:lang w:eastAsia="zh-CN"/>
              </w:rPr>
              <w:t>贮存。</w:t>
            </w:r>
          </w:p>
        </w:tc>
        <w:tc>
          <w:tcPr>
            <w:tcW w:w="393" w:type="pct"/>
            <w:shd w:val="clear" w:color="auto" w:fill="FFFFFF"/>
            <w:noWrap w:val="0"/>
            <w:vAlign w:val="center"/>
          </w:tcPr>
          <w:p w14:paraId="316A5E2E">
            <w:pPr>
              <w:pStyle w:val="25"/>
              <w:spacing w:after="0" w:line="240" w:lineRule="auto"/>
              <w:ind w:firstLine="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已</w:t>
            </w:r>
            <w:r>
              <w:rPr>
                <w:rFonts w:ascii="Times New Roman" w:hAnsi="Times New Roman" w:cs="Times New Roman"/>
                <w:color w:val="auto"/>
                <w:sz w:val="21"/>
                <w:szCs w:val="21"/>
                <w:highlight w:val="none"/>
              </w:rPr>
              <w:t>建</w:t>
            </w:r>
          </w:p>
        </w:tc>
      </w:tr>
      <w:tr w14:paraId="3EC867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277F8638">
            <w:pPr>
              <w:spacing w:line="240" w:lineRule="auto"/>
              <w:ind w:firstLine="0" w:firstLineChars="0"/>
              <w:jc w:val="center"/>
              <w:rPr>
                <w:rFonts w:ascii="Times New Roman" w:hAnsi="Times New Roman" w:eastAsia="Times New Roman"/>
                <w:kern w:val="0"/>
                <w:sz w:val="21"/>
                <w:szCs w:val="21"/>
                <w:highlight w:val="none"/>
                <w:lang w:eastAsia="en-US" w:bidi="en-US"/>
              </w:rPr>
            </w:pPr>
          </w:p>
        </w:tc>
        <w:tc>
          <w:tcPr>
            <w:tcW w:w="1044" w:type="pct"/>
            <w:gridSpan w:val="2"/>
            <w:shd w:val="clear" w:color="auto" w:fill="FFFFFF"/>
            <w:noWrap w:val="0"/>
            <w:vAlign w:val="center"/>
          </w:tcPr>
          <w:p w14:paraId="62655881">
            <w:pPr>
              <w:pStyle w:val="25"/>
              <w:spacing w:after="0" w:line="240" w:lineRule="auto"/>
              <w:ind w:firstLine="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eastAsia="zh-CN"/>
              </w:rPr>
              <w:t>尿素存储间</w:t>
            </w:r>
          </w:p>
        </w:tc>
        <w:tc>
          <w:tcPr>
            <w:tcW w:w="3182" w:type="pct"/>
            <w:shd w:val="clear" w:color="auto" w:fill="FFFFFF"/>
            <w:noWrap w:val="0"/>
            <w:vAlign w:val="center"/>
          </w:tcPr>
          <w:p w14:paraId="0CF8D956">
            <w:pPr>
              <w:pStyle w:val="25"/>
              <w:spacing w:after="0" w:line="240" w:lineRule="auto"/>
              <w:ind w:firstLine="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val="en-US" w:eastAsia="zh-CN"/>
              </w:rPr>
              <w:t>尿素间，用于堆放袋装尿素，脱硝剂采用尿素，采用汽车运输方式，由汽车运至厂内，尿素制备储罐10m</w:t>
            </w:r>
            <w:r>
              <w:rPr>
                <w:rFonts w:ascii="Times New Roman" w:hAnsi="Times New Roman" w:cs="Times New Roman"/>
                <w:color w:val="auto"/>
                <w:sz w:val="21"/>
                <w:szCs w:val="21"/>
                <w:highlight w:val="none"/>
                <w:vertAlign w:val="superscript"/>
                <w:lang w:val="en-US" w:eastAsia="zh-CN"/>
              </w:rPr>
              <w:t>3</w:t>
            </w:r>
            <w:r>
              <w:rPr>
                <w:rFonts w:ascii="Times New Roman" w:hAnsi="Times New Roman" w:cs="Times New Roman"/>
                <w:color w:val="auto"/>
                <w:sz w:val="21"/>
                <w:szCs w:val="21"/>
                <w:highlight w:val="none"/>
                <w:lang w:val="en-US" w:eastAsia="zh-CN"/>
              </w:rPr>
              <w:t>，尿素溶液储罐80m</w:t>
            </w:r>
            <w:r>
              <w:rPr>
                <w:rFonts w:ascii="Times New Roman" w:hAnsi="Times New Roman" w:cs="Times New Roman"/>
                <w:color w:val="auto"/>
                <w:sz w:val="21"/>
                <w:szCs w:val="21"/>
                <w:highlight w:val="none"/>
                <w:vertAlign w:val="superscript"/>
                <w:lang w:val="en-US" w:eastAsia="zh-CN"/>
              </w:rPr>
              <w:t>3</w:t>
            </w:r>
            <w:r>
              <w:rPr>
                <w:rFonts w:ascii="Times New Roman" w:hAnsi="Times New Roman" w:cs="Times New Roman"/>
                <w:color w:val="auto"/>
                <w:sz w:val="21"/>
                <w:szCs w:val="21"/>
                <w:highlight w:val="none"/>
                <w:lang w:val="en-US" w:eastAsia="zh-CN"/>
              </w:rPr>
              <w:t>，用于储存配制好的尿素溶剂。</w:t>
            </w:r>
          </w:p>
        </w:tc>
        <w:tc>
          <w:tcPr>
            <w:tcW w:w="393" w:type="pct"/>
            <w:shd w:val="clear" w:color="auto" w:fill="FFFFFF"/>
            <w:noWrap w:val="0"/>
            <w:vAlign w:val="center"/>
          </w:tcPr>
          <w:p w14:paraId="7B2F7B1D">
            <w:pPr>
              <w:pStyle w:val="25"/>
              <w:spacing w:after="0" w:line="240" w:lineRule="auto"/>
              <w:ind w:firstLine="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已</w:t>
            </w:r>
            <w:r>
              <w:rPr>
                <w:rFonts w:ascii="Times New Roman" w:hAnsi="Times New Roman" w:cs="Times New Roman"/>
                <w:color w:val="auto"/>
                <w:sz w:val="21"/>
                <w:szCs w:val="21"/>
                <w:highlight w:val="none"/>
              </w:rPr>
              <w:t>建</w:t>
            </w:r>
          </w:p>
        </w:tc>
      </w:tr>
      <w:tr w14:paraId="6B3EA0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restart"/>
            <w:shd w:val="clear" w:color="auto" w:fill="FFFFFF"/>
            <w:noWrap w:val="0"/>
            <w:vAlign w:val="center"/>
          </w:tcPr>
          <w:p w14:paraId="179E7E5F">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环保工程</w:t>
            </w:r>
          </w:p>
        </w:tc>
        <w:tc>
          <w:tcPr>
            <w:tcW w:w="1044" w:type="pct"/>
            <w:gridSpan w:val="2"/>
            <w:vMerge w:val="restart"/>
            <w:shd w:val="clear" w:color="auto" w:fill="FFFFFF"/>
            <w:noWrap w:val="0"/>
            <w:vAlign w:val="center"/>
          </w:tcPr>
          <w:p w14:paraId="587D1A19">
            <w:pPr>
              <w:pStyle w:val="25"/>
              <w:spacing w:after="0" w:line="240" w:lineRule="auto"/>
              <w:ind w:firstLine="0"/>
              <w:jc w:val="center"/>
              <w:rPr>
                <w:rFonts w:hint="eastAsia"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rPr>
              <w:t>烟气</w:t>
            </w:r>
            <w:r>
              <w:rPr>
                <w:rFonts w:hint="eastAsia" w:ascii="Times New Roman" w:hAnsi="Times New Roman" w:cs="Times New Roman"/>
                <w:color w:val="auto"/>
                <w:sz w:val="21"/>
                <w:szCs w:val="21"/>
                <w:highlight w:val="none"/>
              </w:rPr>
              <w:t>治理措施</w:t>
            </w:r>
          </w:p>
        </w:tc>
        <w:tc>
          <w:tcPr>
            <w:tcW w:w="3182" w:type="pct"/>
            <w:shd w:val="clear" w:color="auto" w:fill="FFFFFF"/>
            <w:noWrap w:val="0"/>
            <w:vAlign w:val="center"/>
          </w:tcPr>
          <w:p w14:paraId="054D4151">
            <w:pPr>
              <w:pStyle w:val="25"/>
              <w:spacing w:after="0" w:line="240" w:lineRule="auto"/>
              <w:ind w:firstLine="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eastAsia="zh-CN"/>
              </w:rPr>
              <w:t>每台锅炉配套建设</w:t>
            </w:r>
            <w:r>
              <w:rPr>
                <w:rFonts w:hint="eastAsia" w:ascii="Times New Roman" w:hAnsi="Times New Roman" w:cs="Times New Roman"/>
                <w:color w:val="auto"/>
                <w:sz w:val="21"/>
                <w:szCs w:val="21"/>
                <w:highlight w:val="none"/>
              </w:rPr>
              <w:t>袋除尘器除尘</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rPr>
              <w:t>除尘效率≥99.9</w:t>
            </w:r>
            <w:r>
              <w:rPr>
                <w:rFonts w:hint="eastAsia" w:ascii="Times New Roman" w:hAnsi="Times New Roman" w:cs="Times New Roman"/>
                <w:color w:val="auto"/>
                <w:sz w:val="21"/>
                <w:szCs w:val="21"/>
                <w:highlight w:val="none"/>
                <w:lang w:eastAsia="zh-CN"/>
              </w:rPr>
              <w:t>2</w:t>
            </w:r>
            <w:r>
              <w:rPr>
                <w:rFonts w:hint="eastAsia" w:ascii="Times New Roman" w:hAnsi="Times New Roman" w:cs="Times New Roman"/>
                <w:color w:val="auto"/>
                <w:sz w:val="21"/>
                <w:szCs w:val="21"/>
                <w:highlight w:val="none"/>
              </w:rPr>
              <w:t>%、石灰石-石膏湿法脱硫协同除尘效率50%</w:t>
            </w:r>
            <w:r>
              <w:rPr>
                <w:rFonts w:hint="eastAsia" w:ascii="Times New Roman" w:hAnsi="Times New Roman" w:cs="Times New Roman"/>
                <w:color w:val="auto"/>
                <w:sz w:val="21"/>
                <w:szCs w:val="21"/>
                <w:highlight w:val="none"/>
                <w:lang w:eastAsia="zh-CN"/>
              </w:rPr>
              <w:t>，综合除尘效率可达99.96%以上。</w:t>
            </w:r>
          </w:p>
        </w:tc>
        <w:tc>
          <w:tcPr>
            <w:tcW w:w="393" w:type="pct"/>
            <w:shd w:val="clear" w:color="auto" w:fill="FFFFFF"/>
            <w:noWrap w:val="0"/>
            <w:vAlign w:val="center"/>
          </w:tcPr>
          <w:p w14:paraId="56AB78C0">
            <w:pPr>
              <w:pStyle w:val="25"/>
              <w:spacing w:after="0" w:line="240" w:lineRule="auto"/>
              <w:ind w:firstLine="0"/>
              <w:jc w:val="center"/>
              <w:rPr>
                <w:rFonts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已</w:t>
            </w:r>
            <w:r>
              <w:rPr>
                <w:rFonts w:ascii="Times New Roman" w:hAnsi="Times New Roman" w:cs="Times New Roman"/>
                <w:color w:val="auto"/>
                <w:sz w:val="21"/>
                <w:szCs w:val="21"/>
                <w:highlight w:val="none"/>
                <w:lang w:val="en-US" w:eastAsia="zh-CN"/>
              </w:rPr>
              <w:t>建</w:t>
            </w:r>
          </w:p>
        </w:tc>
      </w:tr>
      <w:tr w14:paraId="49ECB7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54E8672B">
            <w:pPr>
              <w:spacing w:line="240" w:lineRule="auto"/>
              <w:ind w:firstLine="0" w:firstLineChars="0"/>
              <w:jc w:val="center"/>
              <w:rPr>
                <w:rFonts w:ascii="Times New Roman" w:hAnsi="Times New Roman" w:eastAsia="Times New Roman"/>
                <w:kern w:val="0"/>
                <w:sz w:val="21"/>
                <w:szCs w:val="21"/>
                <w:highlight w:val="none"/>
                <w:lang w:eastAsia="zh-TW" w:bidi="en-US"/>
              </w:rPr>
            </w:pPr>
          </w:p>
        </w:tc>
        <w:tc>
          <w:tcPr>
            <w:tcW w:w="1044" w:type="pct"/>
            <w:gridSpan w:val="2"/>
            <w:vMerge w:val="continue"/>
            <w:shd w:val="clear" w:color="auto" w:fill="FFFFFF"/>
            <w:noWrap w:val="0"/>
            <w:vAlign w:val="center"/>
          </w:tcPr>
          <w:p w14:paraId="7B903E4A">
            <w:pPr>
              <w:pStyle w:val="25"/>
              <w:spacing w:after="0" w:line="240" w:lineRule="auto"/>
              <w:ind w:firstLine="0"/>
              <w:jc w:val="center"/>
              <w:rPr>
                <w:rFonts w:ascii="Times New Roman" w:hAnsi="Times New Roman" w:cs="Times New Roman"/>
                <w:color w:val="auto"/>
                <w:sz w:val="21"/>
                <w:szCs w:val="21"/>
                <w:highlight w:val="none"/>
              </w:rPr>
            </w:pPr>
          </w:p>
        </w:tc>
        <w:tc>
          <w:tcPr>
            <w:tcW w:w="3182" w:type="pct"/>
            <w:shd w:val="clear" w:color="auto" w:fill="FFFFFF"/>
            <w:noWrap w:val="0"/>
            <w:vAlign w:val="center"/>
          </w:tcPr>
          <w:p w14:paraId="2580BDAF">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lang w:eastAsia="zh-CN"/>
              </w:rPr>
              <w:t>石灰石</w:t>
            </w:r>
            <w:r>
              <w:rPr>
                <w:rFonts w:ascii="Times New Roman" w:hAnsi="Times New Roman" w:cs="Times New Roman"/>
                <w:color w:val="auto"/>
                <w:sz w:val="21"/>
                <w:szCs w:val="21"/>
                <w:highlight w:val="none"/>
                <w:lang w:val="en-US" w:eastAsia="zh-CN"/>
              </w:rPr>
              <w:t>-石膏湿法脱硫</w:t>
            </w:r>
            <w:r>
              <w:rPr>
                <w:rFonts w:ascii="Times New Roman" w:hAnsi="Times New Roman" w:cs="Times New Roman"/>
                <w:color w:val="auto"/>
                <w:sz w:val="21"/>
                <w:szCs w:val="21"/>
                <w:highlight w:val="none"/>
              </w:rPr>
              <w:t>，</w:t>
            </w:r>
            <w:r>
              <w:rPr>
                <w:rFonts w:ascii="Times New Roman" w:hAnsi="Times New Roman" w:cs="Times New Roman"/>
                <w:color w:val="auto"/>
                <w:sz w:val="21"/>
                <w:szCs w:val="21"/>
                <w:highlight w:val="none"/>
                <w:lang w:eastAsia="zh-CN"/>
              </w:rPr>
              <w:t>共</w:t>
            </w:r>
            <w:r>
              <w:rPr>
                <w:rFonts w:hint="eastAsia" w:ascii="Times New Roman" w:hAnsi="Times New Roman" w:cs="Times New Roman"/>
                <w:color w:val="auto"/>
                <w:sz w:val="21"/>
                <w:szCs w:val="21"/>
                <w:highlight w:val="none"/>
                <w:lang w:val="en-US" w:eastAsia="zh-CN"/>
              </w:rPr>
              <w:t>1</w:t>
            </w:r>
            <w:r>
              <w:rPr>
                <w:rFonts w:ascii="Times New Roman" w:hAnsi="Times New Roman" w:cs="Times New Roman"/>
                <w:color w:val="auto"/>
                <w:sz w:val="21"/>
                <w:szCs w:val="21"/>
                <w:highlight w:val="none"/>
                <w:lang w:eastAsia="zh-CN"/>
              </w:rPr>
              <w:t>座脱硫塔，</w:t>
            </w:r>
            <w:r>
              <w:rPr>
                <w:rFonts w:hint="eastAsia" w:ascii="Times New Roman" w:hAnsi="Times New Roman" w:cs="Times New Roman"/>
                <w:color w:val="auto"/>
                <w:sz w:val="21"/>
                <w:szCs w:val="21"/>
                <w:highlight w:val="none"/>
              </w:rPr>
              <w:t>吸收塔采用托盘配四层喷淋层、三层除雾器的高效除尘脱硫一体化技术，脱硫效率不小于97%，除尘效率按50%考虑</w:t>
            </w:r>
            <w:r>
              <w:rPr>
                <w:rFonts w:ascii="Times New Roman" w:hAnsi="Times New Roman" w:cs="Times New Roman"/>
                <w:color w:val="auto"/>
                <w:sz w:val="21"/>
                <w:szCs w:val="21"/>
                <w:highlight w:val="none"/>
              </w:rPr>
              <w:t>。</w:t>
            </w:r>
          </w:p>
        </w:tc>
        <w:tc>
          <w:tcPr>
            <w:tcW w:w="393" w:type="pct"/>
            <w:shd w:val="clear" w:color="auto" w:fill="FFFFFF"/>
            <w:noWrap w:val="0"/>
            <w:vAlign w:val="center"/>
          </w:tcPr>
          <w:p w14:paraId="49E89652">
            <w:pPr>
              <w:pStyle w:val="25"/>
              <w:spacing w:after="0" w:line="240" w:lineRule="auto"/>
              <w:ind w:firstLine="0"/>
              <w:jc w:val="center"/>
              <w:rPr>
                <w:rFonts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已</w:t>
            </w:r>
            <w:r>
              <w:rPr>
                <w:rFonts w:ascii="Times New Roman" w:hAnsi="Times New Roman" w:cs="Times New Roman"/>
                <w:color w:val="auto"/>
                <w:sz w:val="21"/>
                <w:szCs w:val="21"/>
                <w:highlight w:val="none"/>
              </w:rPr>
              <w:t>建</w:t>
            </w:r>
          </w:p>
        </w:tc>
      </w:tr>
      <w:tr w14:paraId="5E6271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42056340">
            <w:pPr>
              <w:spacing w:line="240" w:lineRule="auto"/>
              <w:ind w:firstLine="0" w:firstLineChars="0"/>
              <w:jc w:val="center"/>
              <w:rPr>
                <w:rFonts w:ascii="Times New Roman" w:hAnsi="Times New Roman" w:eastAsia="Times New Roman"/>
                <w:kern w:val="0"/>
                <w:sz w:val="21"/>
                <w:szCs w:val="21"/>
                <w:highlight w:val="none"/>
                <w:lang w:eastAsia="en-US" w:bidi="en-US"/>
              </w:rPr>
            </w:pPr>
          </w:p>
        </w:tc>
        <w:tc>
          <w:tcPr>
            <w:tcW w:w="1044" w:type="pct"/>
            <w:gridSpan w:val="2"/>
            <w:vMerge w:val="continue"/>
            <w:shd w:val="clear" w:color="auto" w:fill="FFFFFF"/>
            <w:noWrap w:val="0"/>
            <w:vAlign w:val="center"/>
          </w:tcPr>
          <w:p w14:paraId="2D87453F">
            <w:pPr>
              <w:pStyle w:val="25"/>
              <w:spacing w:after="0" w:line="240" w:lineRule="auto"/>
              <w:ind w:firstLine="0"/>
              <w:jc w:val="center"/>
              <w:rPr>
                <w:rFonts w:ascii="Times New Roman" w:hAnsi="Times New Roman" w:cs="Times New Roman"/>
                <w:color w:val="auto"/>
                <w:sz w:val="21"/>
                <w:szCs w:val="21"/>
                <w:highlight w:val="none"/>
              </w:rPr>
            </w:pPr>
          </w:p>
        </w:tc>
        <w:tc>
          <w:tcPr>
            <w:tcW w:w="3182" w:type="pct"/>
            <w:shd w:val="clear" w:color="auto" w:fill="FFFFFF"/>
            <w:noWrap w:val="0"/>
            <w:vAlign w:val="center"/>
          </w:tcPr>
          <w:p w14:paraId="4D701EB5">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循环流化床低氮燃烧技术</w:t>
            </w:r>
            <w:r>
              <w:rPr>
                <w:rFonts w:hint="eastAsia" w:ascii="Times New Roman" w:hAnsi="Times New Roman" w:cs="Times New Roman"/>
                <w:color w:val="auto"/>
                <w:sz w:val="21"/>
                <w:szCs w:val="21"/>
                <w:highlight w:val="none"/>
                <w:lang w:val="en-US" w:eastAsia="zh-CN"/>
              </w:rPr>
              <w:t>+</w:t>
            </w:r>
            <w:r>
              <w:rPr>
                <w:rFonts w:ascii="Times New Roman" w:hAnsi="Times New Roman" w:eastAsia="Times New Roman" w:cs="Times New Roman"/>
                <w:color w:val="auto"/>
                <w:sz w:val="21"/>
                <w:szCs w:val="21"/>
                <w:highlight w:val="none"/>
                <w:lang w:val="en-US" w:eastAsia="zh-CN" w:bidi="en-US"/>
              </w:rPr>
              <w:t>SNCR-SCR</w:t>
            </w:r>
            <w:r>
              <w:rPr>
                <w:rFonts w:ascii="Times New Roman" w:hAnsi="Times New Roman" w:cs="Times New Roman"/>
                <w:color w:val="auto"/>
                <w:sz w:val="21"/>
                <w:szCs w:val="21"/>
                <w:highlight w:val="none"/>
              </w:rPr>
              <w:t>法脱硝</w:t>
            </w:r>
            <w:r>
              <w:rPr>
                <w:rFonts w:ascii="Times New Roman" w:hAnsi="Times New Roman" w:cs="Times New Roman"/>
                <w:color w:val="auto"/>
                <w:sz w:val="21"/>
                <w:szCs w:val="21"/>
                <w:highlight w:val="none"/>
                <w:lang w:eastAsia="zh-CN"/>
              </w:rPr>
              <w:t>，脱硝效率为</w:t>
            </w:r>
            <w:r>
              <w:rPr>
                <w:rFonts w:ascii="Times New Roman" w:hAnsi="Times New Roman" w:cs="Times New Roman"/>
                <w:color w:val="auto"/>
                <w:sz w:val="21"/>
                <w:szCs w:val="21"/>
                <w:highlight w:val="none"/>
                <w:lang w:val="en-US" w:eastAsia="zh-CN"/>
              </w:rPr>
              <w:t>75</w:t>
            </w:r>
            <w:r>
              <w:rPr>
                <w:rFonts w:ascii="Times New Roman" w:hAnsi="Times New Roman" w:cs="Times New Roman"/>
                <w:color w:val="auto"/>
                <w:sz w:val="21"/>
                <w:szCs w:val="21"/>
                <w:highlight w:val="none"/>
                <w:lang w:eastAsia="zh-CN"/>
              </w:rPr>
              <w:t>%</w:t>
            </w:r>
            <w:r>
              <w:rPr>
                <w:rFonts w:ascii="Times New Roman" w:hAnsi="Times New Roman" w:cs="Times New Roman"/>
                <w:color w:val="auto"/>
                <w:sz w:val="21"/>
                <w:szCs w:val="21"/>
                <w:highlight w:val="none"/>
              </w:rPr>
              <w:t>。</w:t>
            </w:r>
          </w:p>
        </w:tc>
        <w:tc>
          <w:tcPr>
            <w:tcW w:w="393" w:type="pct"/>
            <w:shd w:val="clear" w:color="auto" w:fill="FFFFFF"/>
            <w:noWrap w:val="0"/>
            <w:vAlign w:val="center"/>
          </w:tcPr>
          <w:p w14:paraId="423C1313">
            <w:pPr>
              <w:pStyle w:val="25"/>
              <w:spacing w:after="0" w:line="240" w:lineRule="auto"/>
              <w:ind w:firstLine="0"/>
              <w:jc w:val="center"/>
              <w:rPr>
                <w:rFonts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已</w:t>
            </w:r>
            <w:r>
              <w:rPr>
                <w:rFonts w:ascii="Times New Roman" w:hAnsi="Times New Roman" w:cs="Times New Roman"/>
                <w:color w:val="auto"/>
                <w:sz w:val="21"/>
                <w:szCs w:val="21"/>
                <w:highlight w:val="none"/>
              </w:rPr>
              <w:t>建</w:t>
            </w:r>
          </w:p>
        </w:tc>
      </w:tr>
      <w:tr w14:paraId="18331D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30791A14">
            <w:pPr>
              <w:spacing w:line="240" w:lineRule="auto"/>
              <w:ind w:firstLine="0" w:firstLineChars="0"/>
              <w:jc w:val="center"/>
              <w:rPr>
                <w:rFonts w:ascii="Times New Roman" w:hAnsi="Times New Roman" w:eastAsia="Times New Roman"/>
                <w:kern w:val="0"/>
                <w:sz w:val="21"/>
                <w:szCs w:val="21"/>
                <w:highlight w:val="none"/>
                <w:lang w:eastAsia="en-US" w:bidi="en-US"/>
              </w:rPr>
            </w:pPr>
          </w:p>
        </w:tc>
        <w:tc>
          <w:tcPr>
            <w:tcW w:w="1044" w:type="pct"/>
            <w:gridSpan w:val="2"/>
            <w:vMerge w:val="continue"/>
            <w:shd w:val="clear" w:color="auto" w:fill="FFFFFF"/>
            <w:noWrap w:val="0"/>
            <w:vAlign w:val="center"/>
          </w:tcPr>
          <w:p w14:paraId="562E69E0">
            <w:pPr>
              <w:pStyle w:val="25"/>
              <w:spacing w:after="0" w:line="240" w:lineRule="auto"/>
              <w:ind w:firstLine="0"/>
              <w:jc w:val="center"/>
              <w:rPr>
                <w:rFonts w:ascii="Times New Roman" w:hAnsi="Times New Roman" w:cs="Times New Roman"/>
                <w:color w:val="auto"/>
                <w:sz w:val="21"/>
                <w:szCs w:val="21"/>
                <w:highlight w:val="none"/>
              </w:rPr>
            </w:pPr>
          </w:p>
        </w:tc>
        <w:tc>
          <w:tcPr>
            <w:tcW w:w="3182" w:type="pct"/>
            <w:shd w:val="clear" w:color="auto" w:fill="FFFFFF"/>
            <w:noWrap w:val="0"/>
            <w:vAlign w:val="center"/>
          </w:tcPr>
          <w:p w14:paraId="2E18DD45">
            <w:pPr>
              <w:pStyle w:val="25"/>
              <w:spacing w:after="0" w:line="240" w:lineRule="auto"/>
              <w:ind w:firstLine="0"/>
              <w:jc w:val="center"/>
              <w:rPr>
                <w:rFonts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本项目锅炉烟气汞及其化合物采用协同去除，去除效率可达70%以上。</w:t>
            </w:r>
          </w:p>
        </w:tc>
        <w:tc>
          <w:tcPr>
            <w:tcW w:w="393" w:type="pct"/>
            <w:shd w:val="clear" w:color="auto" w:fill="FFFFFF"/>
            <w:noWrap w:val="0"/>
            <w:vAlign w:val="center"/>
          </w:tcPr>
          <w:p w14:paraId="44714DC1">
            <w:pPr>
              <w:pStyle w:val="25"/>
              <w:spacing w:after="0" w:line="240" w:lineRule="auto"/>
              <w:ind w:firstLine="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已</w:t>
            </w:r>
            <w:r>
              <w:rPr>
                <w:rFonts w:ascii="Times New Roman" w:hAnsi="Times New Roman" w:cs="Times New Roman"/>
                <w:color w:val="auto"/>
                <w:sz w:val="21"/>
                <w:szCs w:val="21"/>
                <w:highlight w:val="none"/>
              </w:rPr>
              <w:t>建</w:t>
            </w:r>
          </w:p>
        </w:tc>
      </w:tr>
      <w:tr w14:paraId="02BB96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2BCEE23C">
            <w:pPr>
              <w:spacing w:line="240" w:lineRule="auto"/>
              <w:ind w:firstLine="0" w:firstLineChars="0"/>
              <w:jc w:val="center"/>
              <w:rPr>
                <w:rFonts w:ascii="Times New Roman" w:hAnsi="Times New Roman" w:eastAsia="Times New Roman"/>
                <w:kern w:val="0"/>
                <w:sz w:val="21"/>
                <w:szCs w:val="21"/>
                <w:highlight w:val="none"/>
                <w:lang w:bidi="en-US"/>
              </w:rPr>
            </w:pPr>
          </w:p>
        </w:tc>
        <w:tc>
          <w:tcPr>
            <w:tcW w:w="1044" w:type="pct"/>
            <w:gridSpan w:val="2"/>
            <w:shd w:val="clear" w:color="auto" w:fill="FFFFFF"/>
            <w:noWrap w:val="0"/>
            <w:vAlign w:val="center"/>
          </w:tcPr>
          <w:p w14:paraId="4B1AA445">
            <w:pPr>
              <w:pStyle w:val="25"/>
              <w:spacing w:after="0" w:line="240" w:lineRule="auto"/>
              <w:ind w:firstLine="0"/>
              <w:jc w:val="center"/>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粉尘治理工程</w:t>
            </w:r>
          </w:p>
        </w:tc>
        <w:tc>
          <w:tcPr>
            <w:tcW w:w="3182" w:type="pct"/>
            <w:shd w:val="clear" w:color="auto" w:fill="FFFFFF"/>
            <w:noWrap w:val="0"/>
            <w:vAlign w:val="center"/>
          </w:tcPr>
          <w:p w14:paraId="0B72F1A2">
            <w:pPr>
              <w:pStyle w:val="25"/>
              <w:spacing w:after="0" w:line="240" w:lineRule="auto"/>
              <w:ind w:firstLine="0"/>
              <w:jc w:val="center"/>
              <w:rPr>
                <w:rFonts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rPr>
              <w:t>石灰石粉仓、灰仓</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渣仓</w:t>
            </w:r>
            <w:r>
              <w:rPr>
                <w:rFonts w:hint="eastAsia" w:ascii="Times New Roman" w:hAnsi="Times New Roman" w:cs="Times New Roman"/>
                <w:color w:val="auto"/>
                <w:sz w:val="21"/>
                <w:szCs w:val="21"/>
                <w:highlight w:val="none"/>
              </w:rPr>
              <w:t>仓顶设脉冲布袋除尘</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仓顶排放</w:t>
            </w:r>
            <w:r>
              <w:rPr>
                <w:rFonts w:hint="eastAsia"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eastAsia="zh-CN"/>
              </w:rPr>
              <w:t>碎煤机室设置布袋除尘器</w:t>
            </w:r>
            <w:r>
              <w:rPr>
                <w:rFonts w:hint="eastAsia" w:ascii="Times New Roman" w:hAnsi="Times New Roman" w:cs="Times New Roman"/>
                <w:color w:val="auto"/>
                <w:sz w:val="21"/>
                <w:szCs w:val="21"/>
                <w:highlight w:val="none"/>
                <w:lang w:val="en-US" w:eastAsia="zh-CN"/>
              </w:rPr>
              <w:t>除尘，经15m高排气筒排放</w:t>
            </w:r>
            <w:r>
              <w:rPr>
                <w:rFonts w:hint="eastAsia" w:ascii="Times New Roman" w:hAnsi="Times New Roman" w:cs="Times New Roman"/>
                <w:color w:val="auto"/>
                <w:sz w:val="21"/>
                <w:szCs w:val="21"/>
                <w:highlight w:val="none"/>
                <w:lang w:eastAsia="zh-CN"/>
              </w:rPr>
              <w:t>。</w:t>
            </w:r>
          </w:p>
        </w:tc>
        <w:tc>
          <w:tcPr>
            <w:tcW w:w="393" w:type="pct"/>
            <w:shd w:val="clear" w:color="auto" w:fill="FFFFFF"/>
            <w:noWrap w:val="0"/>
            <w:vAlign w:val="center"/>
          </w:tcPr>
          <w:p w14:paraId="47EFF87F">
            <w:pPr>
              <w:pStyle w:val="25"/>
              <w:spacing w:after="0" w:line="240" w:lineRule="auto"/>
              <w:ind w:firstLine="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已</w:t>
            </w:r>
            <w:r>
              <w:rPr>
                <w:rFonts w:ascii="Times New Roman" w:hAnsi="Times New Roman" w:cs="Times New Roman"/>
                <w:color w:val="auto"/>
                <w:sz w:val="21"/>
                <w:szCs w:val="21"/>
                <w:highlight w:val="none"/>
              </w:rPr>
              <w:t>建</w:t>
            </w:r>
          </w:p>
        </w:tc>
      </w:tr>
      <w:tr w14:paraId="7C487B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710" w:hRule="atLeast"/>
          <w:jc w:val="center"/>
        </w:trPr>
        <w:tc>
          <w:tcPr>
            <w:tcW w:w="379" w:type="pct"/>
            <w:vMerge w:val="continue"/>
            <w:shd w:val="clear" w:color="auto" w:fill="FFFFFF"/>
            <w:noWrap w:val="0"/>
            <w:vAlign w:val="center"/>
          </w:tcPr>
          <w:p w14:paraId="1A661A6A">
            <w:pPr>
              <w:spacing w:line="240" w:lineRule="auto"/>
              <w:ind w:firstLine="0" w:firstLineChars="0"/>
              <w:jc w:val="center"/>
              <w:rPr>
                <w:rFonts w:ascii="Times New Roman" w:hAnsi="Times New Roman" w:eastAsia="Times New Roman"/>
                <w:kern w:val="0"/>
                <w:sz w:val="21"/>
                <w:szCs w:val="21"/>
                <w:highlight w:val="none"/>
                <w:lang w:bidi="en-US"/>
              </w:rPr>
            </w:pPr>
          </w:p>
        </w:tc>
        <w:tc>
          <w:tcPr>
            <w:tcW w:w="303" w:type="pct"/>
            <w:vMerge w:val="restart"/>
            <w:shd w:val="clear" w:color="auto" w:fill="FFFFFF"/>
            <w:noWrap w:val="0"/>
            <w:vAlign w:val="center"/>
          </w:tcPr>
          <w:p w14:paraId="28F272CD">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废水 处理</w:t>
            </w:r>
          </w:p>
        </w:tc>
        <w:tc>
          <w:tcPr>
            <w:tcW w:w="741" w:type="pct"/>
            <w:shd w:val="clear" w:color="auto" w:fill="FFFFFF"/>
            <w:noWrap w:val="0"/>
            <w:vAlign w:val="center"/>
          </w:tcPr>
          <w:p w14:paraId="6DB0AA6C">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lang w:eastAsia="zh-CN"/>
              </w:rPr>
              <w:t>脱硫废水</w:t>
            </w:r>
          </w:p>
        </w:tc>
        <w:tc>
          <w:tcPr>
            <w:tcW w:w="3182" w:type="pct"/>
            <w:shd w:val="clear" w:color="auto" w:fill="FFFFFF"/>
            <w:noWrap w:val="0"/>
            <w:vAlign w:val="center"/>
          </w:tcPr>
          <w:p w14:paraId="0CD2E4AD">
            <w:pPr>
              <w:pStyle w:val="25"/>
              <w:spacing w:after="0" w:line="240" w:lineRule="auto"/>
              <w:ind w:firstLine="0"/>
              <w:jc w:val="center"/>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脱硫废水采用回流水池→一体化污水处理装置→高效旋流分离器→生物净化装置→多介质净化装置→多功能处理剂→净水箱处理工艺；</w:t>
            </w:r>
            <w:r>
              <w:rPr>
                <w:rFonts w:ascii="Times New Roman" w:hAnsi="Times New Roman" w:cs="Times New Roman"/>
                <w:color w:val="auto"/>
                <w:sz w:val="21"/>
                <w:szCs w:val="21"/>
                <w:highlight w:val="none"/>
                <w:lang w:eastAsia="zh-CN"/>
              </w:rPr>
              <w:t>脱硫废水</w:t>
            </w:r>
            <w:r>
              <w:rPr>
                <w:rFonts w:ascii="Times New Roman" w:hAnsi="Times New Roman" w:cs="Times New Roman"/>
                <w:color w:val="auto"/>
                <w:sz w:val="21"/>
                <w:szCs w:val="21"/>
                <w:highlight w:val="none"/>
                <w:lang w:val="en-US" w:eastAsia="zh-CN"/>
              </w:rPr>
              <w:t>经处理后用于灰渣加湿、煤场喷洒，不外排</w:t>
            </w:r>
          </w:p>
        </w:tc>
        <w:tc>
          <w:tcPr>
            <w:tcW w:w="393" w:type="pct"/>
            <w:shd w:val="clear" w:color="auto" w:fill="FFFFFF"/>
            <w:noWrap w:val="0"/>
            <w:vAlign w:val="center"/>
          </w:tcPr>
          <w:p w14:paraId="36432488">
            <w:pPr>
              <w:pStyle w:val="25"/>
              <w:spacing w:after="0" w:line="240" w:lineRule="auto"/>
              <w:ind w:firstLine="0"/>
              <w:jc w:val="center"/>
              <w:rPr>
                <w:rFonts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已</w:t>
            </w:r>
            <w:r>
              <w:rPr>
                <w:rFonts w:ascii="Times New Roman" w:hAnsi="Times New Roman" w:cs="Times New Roman"/>
                <w:color w:val="auto"/>
                <w:sz w:val="21"/>
                <w:szCs w:val="21"/>
                <w:highlight w:val="none"/>
                <w:lang w:eastAsia="zh-CN"/>
              </w:rPr>
              <w:t>建</w:t>
            </w:r>
          </w:p>
        </w:tc>
      </w:tr>
      <w:tr w14:paraId="71EA18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2F764B1F">
            <w:pPr>
              <w:spacing w:line="240" w:lineRule="auto"/>
              <w:ind w:firstLine="0" w:firstLineChars="0"/>
              <w:jc w:val="center"/>
              <w:rPr>
                <w:rFonts w:ascii="Times New Roman" w:hAnsi="Times New Roman" w:eastAsia="Times New Roman"/>
                <w:kern w:val="0"/>
                <w:sz w:val="21"/>
                <w:szCs w:val="21"/>
                <w:highlight w:val="none"/>
                <w:lang w:bidi="en-US"/>
              </w:rPr>
            </w:pPr>
          </w:p>
        </w:tc>
        <w:tc>
          <w:tcPr>
            <w:tcW w:w="303" w:type="pct"/>
            <w:vMerge w:val="continue"/>
            <w:shd w:val="clear" w:color="auto" w:fill="FFFFFF"/>
            <w:noWrap w:val="0"/>
            <w:vAlign w:val="center"/>
          </w:tcPr>
          <w:p w14:paraId="58C9664D">
            <w:pPr>
              <w:spacing w:line="240" w:lineRule="auto"/>
              <w:ind w:firstLine="0" w:firstLineChars="0"/>
              <w:jc w:val="center"/>
              <w:rPr>
                <w:rFonts w:ascii="Times New Roman" w:hAnsi="Times New Roman" w:eastAsia="Times New Roman"/>
                <w:kern w:val="0"/>
                <w:sz w:val="21"/>
                <w:szCs w:val="21"/>
                <w:highlight w:val="none"/>
                <w:lang w:bidi="en-US"/>
              </w:rPr>
            </w:pPr>
          </w:p>
        </w:tc>
        <w:tc>
          <w:tcPr>
            <w:tcW w:w="741" w:type="pct"/>
            <w:shd w:val="clear" w:color="auto" w:fill="FFFFFF"/>
            <w:noWrap w:val="0"/>
            <w:vAlign w:val="center"/>
          </w:tcPr>
          <w:p w14:paraId="0EACFE5F">
            <w:pPr>
              <w:pStyle w:val="25"/>
              <w:spacing w:after="0" w:line="240" w:lineRule="auto"/>
              <w:ind w:firstLine="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rPr>
              <w:t>锅炉排污水</w:t>
            </w:r>
          </w:p>
        </w:tc>
        <w:tc>
          <w:tcPr>
            <w:tcW w:w="3182" w:type="pct"/>
            <w:shd w:val="clear" w:color="auto" w:fill="FFFFFF"/>
            <w:noWrap w:val="0"/>
            <w:vAlign w:val="center"/>
          </w:tcPr>
          <w:p w14:paraId="0DEA0A88">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锅炉排污水回用于脱硫系统，不外排。</w:t>
            </w:r>
          </w:p>
        </w:tc>
        <w:tc>
          <w:tcPr>
            <w:tcW w:w="393" w:type="pct"/>
            <w:shd w:val="clear" w:color="auto" w:fill="FFFFFF"/>
            <w:noWrap w:val="0"/>
            <w:vAlign w:val="center"/>
          </w:tcPr>
          <w:p w14:paraId="777C8AFD">
            <w:pPr>
              <w:spacing w:line="240" w:lineRule="auto"/>
              <w:ind w:firstLine="0" w:firstLineChars="0"/>
              <w:jc w:val="center"/>
              <w:rPr>
                <w:rFonts w:ascii="Times New Roman" w:hAnsi="Times New Roman" w:eastAsia="Times New Roman"/>
                <w:kern w:val="0"/>
                <w:sz w:val="21"/>
                <w:szCs w:val="21"/>
                <w:highlight w:val="none"/>
                <w:lang w:bidi="en-US"/>
              </w:rPr>
            </w:pPr>
            <w:r>
              <w:rPr>
                <w:rFonts w:hint="eastAsia" w:ascii="Times New Roman" w:hAnsi="Times New Roman"/>
                <w:sz w:val="21"/>
                <w:szCs w:val="21"/>
                <w:highlight w:val="none"/>
                <w:lang w:val="en-US" w:eastAsia="zh-CN"/>
              </w:rPr>
              <w:t>已</w:t>
            </w:r>
            <w:r>
              <w:rPr>
                <w:rFonts w:ascii="Times New Roman" w:hAnsi="Times New Roman"/>
                <w:sz w:val="21"/>
                <w:szCs w:val="21"/>
                <w:highlight w:val="none"/>
              </w:rPr>
              <w:t>建</w:t>
            </w:r>
          </w:p>
        </w:tc>
      </w:tr>
      <w:tr w14:paraId="2DFE80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4A0CD002">
            <w:pPr>
              <w:spacing w:line="240" w:lineRule="auto"/>
              <w:ind w:firstLine="0" w:firstLineChars="0"/>
              <w:jc w:val="center"/>
              <w:rPr>
                <w:rFonts w:ascii="Times New Roman" w:hAnsi="Times New Roman" w:eastAsia="Times New Roman"/>
                <w:kern w:val="0"/>
                <w:sz w:val="21"/>
                <w:szCs w:val="21"/>
                <w:highlight w:val="none"/>
                <w:lang w:bidi="en-US"/>
              </w:rPr>
            </w:pPr>
          </w:p>
        </w:tc>
        <w:tc>
          <w:tcPr>
            <w:tcW w:w="1044" w:type="pct"/>
            <w:gridSpan w:val="2"/>
            <w:shd w:val="clear" w:color="auto" w:fill="FFFFFF"/>
            <w:noWrap w:val="0"/>
            <w:vAlign w:val="center"/>
          </w:tcPr>
          <w:p w14:paraId="7B5830F2">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噪声治理</w:t>
            </w:r>
          </w:p>
        </w:tc>
        <w:tc>
          <w:tcPr>
            <w:tcW w:w="3182" w:type="pct"/>
            <w:shd w:val="clear" w:color="auto" w:fill="FFFFFF"/>
            <w:noWrap w:val="0"/>
            <w:vAlign w:val="center"/>
          </w:tcPr>
          <w:p w14:paraId="5975E91C">
            <w:pPr>
              <w:pStyle w:val="25"/>
              <w:spacing w:after="0" w:line="240" w:lineRule="auto"/>
              <w:ind w:firstLine="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eastAsia="zh-CN"/>
              </w:rPr>
              <w:t>选用</w:t>
            </w:r>
            <w:r>
              <w:rPr>
                <w:rFonts w:hint="eastAsia" w:ascii="Times New Roman" w:hAnsi="Times New Roman" w:cs="Times New Roman"/>
                <w:color w:val="auto"/>
                <w:sz w:val="21"/>
                <w:szCs w:val="21"/>
                <w:highlight w:val="none"/>
              </w:rPr>
              <w:t>低噪声设备，</w:t>
            </w:r>
            <w:r>
              <w:rPr>
                <w:rFonts w:hint="eastAsia" w:ascii="Times New Roman" w:hAnsi="Times New Roman" w:cs="Times New Roman"/>
                <w:color w:val="auto"/>
                <w:sz w:val="21"/>
                <w:szCs w:val="21"/>
                <w:highlight w:val="none"/>
                <w:lang w:eastAsia="zh-CN"/>
              </w:rPr>
              <w:t>噪声较大设备增设</w:t>
            </w:r>
            <w:r>
              <w:rPr>
                <w:rFonts w:hint="eastAsia" w:ascii="Times New Roman" w:hAnsi="Times New Roman" w:cs="Times New Roman"/>
                <w:color w:val="auto"/>
                <w:sz w:val="21"/>
                <w:szCs w:val="21"/>
                <w:highlight w:val="none"/>
              </w:rPr>
              <w:t>隔声</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rPr>
              <w:t>减震措施。</w:t>
            </w:r>
          </w:p>
        </w:tc>
        <w:tc>
          <w:tcPr>
            <w:tcW w:w="393" w:type="pct"/>
            <w:shd w:val="clear" w:color="auto" w:fill="FFFFFF"/>
            <w:noWrap w:val="0"/>
            <w:vAlign w:val="center"/>
          </w:tcPr>
          <w:p w14:paraId="67148942">
            <w:pPr>
              <w:pStyle w:val="25"/>
              <w:spacing w:after="0" w:line="240" w:lineRule="auto"/>
              <w:ind w:firstLine="0"/>
              <w:jc w:val="center"/>
              <w:rPr>
                <w:rFonts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已</w:t>
            </w:r>
            <w:r>
              <w:rPr>
                <w:rFonts w:ascii="Times New Roman" w:hAnsi="Times New Roman" w:cs="Times New Roman"/>
                <w:color w:val="auto"/>
                <w:sz w:val="21"/>
                <w:szCs w:val="21"/>
                <w:highlight w:val="none"/>
              </w:rPr>
              <w:t>建</w:t>
            </w:r>
          </w:p>
        </w:tc>
      </w:tr>
      <w:tr w14:paraId="2B49B6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04592622">
            <w:pPr>
              <w:spacing w:line="240" w:lineRule="auto"/>
              <w:ind w:firstLine="0" w:firstLineChars="0"/>
              <w:jc w:val="center"/>
              <w:rPr>
                <w:rFonts w:ascii="Times New Roman" w:hAnsi="Times New Roman" w:eastAsia="Times New Roman"/>
                <w:kern w:val="0"/>
                <w:sz w:val="21"/>
                <w:szCs w:val="21"/>
                <w:highlight w:val="none"/>
                <w:lang w:eastAsia="en-US" w:bidi="en-US"/>
              </w:rPr>
            </w:pPr>
          </w:p>
        </w:tc>
        <w:tc>
          <w:tcPr>
            <w:tcW w:w="1044" w:type="pct"/>
            <w:gridSpan w:val="2"/>
            <w:shd w:val="clear" w:color="auto" w:fill="FFFFFF"/>
            <w:noWrap w:val="0"/>
            <w:vAlign w:val="center"/>
          </w:tcPr>
          <w:p w14:paraId="43AF8F76">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固体废物</w:t>
            </w:r>
          </w:p>
        </w:tc>
        <w:tc>
          <w:tcPr>
            <w:tcW w:w="3182" w:type="pct"/>
            <w:shd w:val="clear" w:color="auto" w:fill="FFFFFF"/>
            <w:noWrap w:val="0"/>
            <w:vAlign w:val="center"/>
          </w:tcPr>
          <w:p w14:paraId="1E4DCDD6">
            <w:pPr>
              <w:pStyle w:val="25"/>
              <w:spacing w:after="0" w:line="240" w:lineRule="auto"/>
              <w:ind w:firstLine="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val="en-US" w:eastAsia="zh-CN"/>
              </w:rPr>
              <w:t>炉渣</w:t>
            </w:r>
            <w:r>
              <w:rPr>
                <w:rFonts w:ascii="Times New Roman" w:hAnsi="Times New Roman" w:cs="Times New Roman"/>
                <w:color w:val="auto"/>
                <w:sz w:val="21"/>
                <w:szCs w:val="21"/>
                <w:highlight w:val="none"/>
                <w:lang w:eastAsia="zh-CN"/>
              </w:rPr>
              <w:t>、炉灰、</w:t>
            </w:r>
            <w:r>
              <w:rPr>
                <w:rFonts w:hint="eastAsia" w:ascii="Times New Roman" w:hAnsi="Times New Roman" w:cs="Times New Roman"/>
                <w:color w:val="auto"/>
                <w:sz w:val="21"/>
                <w:szCs w:val="21"/>
                <w:highlight w:val="none"/>
                <w:lang w:eastAsia="zh-CN"/>
              </w:rPr>
              <w:t>脱硫石膏</w:t>
            </w:r>
            <w:r>
              <w:rPr>
                <w:rFonts w:ascii="Times New Roman" w:hAnsi="Times New Roman" w:cs="Times New Roman"/>
                <w:color w:val="auto"/>
                <w:sz w:val="21"/>
                <w:szCs w:val="21"/>
                <w:highlight w:val="none"/>
                <w:lang w:eastAsia="zh-CN"/>
              </w:rPr>
              <w:t>全部外售综合利用；生活垃圾、废离子交换树脂</w:t>
            </w:r>
            <w:r>
              <w:rPr>
                <w:rFonts w:hint="eastAsia" w:ascii="Times New Roman" w:hAnsi="Times New Roman" w:cs="Times New Roman"/>
                <w:color w:val="auto"/>
                <w:sz w:val="21"/>
                <w:szCs w:val="21"/>
                <w:highlight w:val="none"/>
                <w:lang w:val="en-US" w:eastAsia="zh-CN"/>
              </w:rPr>
              <w:t>和反渗透膜</w:t>
            </w:r>
            <w:r>
              <w:rPr>
                <w:rFonts w:ascii="Times New Roman" w:hAnsi="Times New Roman" w:cs="Times New Roman"/>
                <w:color w:val="auto"/>
                <w:sz w:val="21"/>
                <w:szCs w:val="21"/>
                <w:highlight w:val="none"/>
                <w:lang w:eastAsia="zh-CN"/>
              </w:rPr>
              <w:t>交由环卫部门处理；废催化剂、</w:t>
            </w:r>
            <w:r>
              <w:rPr>
                <w:rFonts w:hint="eastAsia" w:ascii="Times New Roman" w:hAnsi="Times New Roman" w:cs="Times New Roman"/>
                <w:color w:val="auto"/>
                <w:sz w:val="21"/>
                <w:szCs w:val="21"/>
                <w:highlight w:val="none"/>
                <w:lang w:val="en-US" w:eastAsia="zh-CN"/>
              </w:rPr>
              <w:t>废机油、</w:t>
            </w:r>
            <w:r>
              <w:rPr>
                <w:rFonts w:ascii="Times New Roman" w:hAnsi="Times New Roman" w:cs="Times New Roman"/>
                <w:color w:val="auto"/>
                <w:sz w:val="21"/>
                <w:szCs w:val="21"/>
                <w:highlight w:val="none"/>
                <w:lang w:eastAsia="zh-CN"/>
              </w:rPr>
              <w:t>餐厨垃圾及废油脂</w:t>
            </w:r>
            <w:r>
              <w:rPr>
                <w:rFonts w:ascii="Times New Roman" w:hAnsi="Times New Roman" w:cs="Times New Roman"/>
                <w:color w:val="auto"/>
                <w:sz w:val="21"/>
                <w:szCs w:val="21"/>
                <w:highlight w:val="none"/>
                <w:lang w:val="en-US" w:eastAsia="zh-CN"/>
              </w:rPr>
              <w:t>交由有资质单位处置。</w:t>
            </w:r>
          </w:p>
        </w:tc>
        <w:tc>
          <w:tcPr>
            <w:tcW w:w="393" w:type="pct"/>
            <w:shd w:val="clear" w:color="auto" w:fill="FFFFFF"/>
            <w:noWrap w:val="0"/>
            <w:vAlign w:val="center"/>
          </w:tcPr>
          <w:p w14:paraId="2962B196">
            <w:pPr>
              <w:pStyle w:val="25"/>
              <w:spacing w:after="0" w:line="240" w:lineRule="auto"/>
              <w:ind w:firstLine="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eastAsia="zh-CN"/>
              </w:rPr>
              <w:t>/</w:t>
            </w:r>
          </w:p>
        </w:tc>
      </w:tr>
      <w:tr w14:paraId="1AAA30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1AC6484F">
            <w:pPr>
              <w:spacing w:line="240" w:lineRule="auto"/>
              <w:ind w:firstLine="0" w:firstLineChars="0"/>
              <w:jc w:val="center"/>
              <w:rPr>
                <w:rFonts w:ascii="Times New Roman" w:hAnsi="Times New Roman" w:eastAsia="Times New Roman"/>
                <w:kern w:val="0"/>
                <w:sz w:val="21"/>
                <w:szCs w:val="21"/>
                <w:highlight w:val="none"/>
                <w:lang w:eastAsia="en-US" w:bidi="en-US"/>
              </w:rPr>
            </w:pPr>
          </w:p>
        </w:tc>
        <w:tc>
          <w:tcPr>
            <w:tcW w:w="1044" w:type="pct"/>
            <w:gridSpan w:val="2"/>
            <w:shd w:val="clear" w:color="auto" w:fill="FFFFFF"/>
            <w:noWrap w:val="0"/>
            <w:vAlign w:val="center"/>
          </w:tcPr>
          <w:p w14:paraId="084C3EAC">
            <w:pPr>
              <w:pStyle w:val="25"/>
              <w:spacing w:after="0"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危险废物</w:t>
            </w:r>
          </w:p>
        </w:tc>
        <w:tc>
          <w:tcPr>
            <w:tcW w:w="3182" w:type="pct"/>
            <w:shd w:val="clear" w:color="auto" w:fill="FFFFFF"/>
            <w:noWrap w:val="0"/>
            <w:vAlign w:val="center"/>
          </w:tcPr>
          <w:p w14:paraId="6FD4B4A8">
            <w:pPr>
              <w:pStyle w:val="25"/>
              <w:spacing w:after="0" w:line="240" w:lineRule="auto"/>
              <w:ind w:firstLine="0"/>
              <w:jc w:val="center"/>
              <w:rPr>
                <w:rFonts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本项目产生的危险废物主要包括废机油、废脱硝催化剂</w:t>
            </w:r>
            <w:r>
              <w:rPr>
                <w:rFonts w:ascii="Times New Roman" w:hAnsi="Times New Roman" w:cs="Times New Roman"/>
                <w:color w:val="auto"/>
                <w:sz w:val="21"/>
                <w:szCs w:val="21"/>
                <w:highlight w:val="none"/>
                <w:lang w:val="en-US" w:eastAsia="zh-CN"/>
              </w:rPr>
              <w:t>，由具有相应处理处置资质的单位进行统一清运处置，做到安全处置。建</w:t>
            </w:r>
            <w:r>
              <w:rPr>
                <w:rFonts w:hint="eastAsia" w:ascii="Times New Roman" w:hAnsi="Times New Roman" w:cs="Times New Roman"/>
                <w:color w:val="auto"/>
                <w:sz w:val="21"/>
                <w:szCs w:val="21"/>
                <w:highlight w:val="none"/>
                <w:lang w:val="en-US" w:eastAsia="zh-CN"/>
              </w:rPr>
              <w:t>设</w:t>
            </w:r>
            <w:r>
              <w:rPr>
                <w:rFonts w:ascii="Times New Roman" w:hAnsi="Times New Roman" w:cs="Times New Roman"/>
                <w:color w:val="auto"/>
                <w:sz w:val="21"/>
                <w:szCs w:val="21"/>
                <w:highlight w:val="none"/>
                <w:lang w:val="en-US" w:eastAsia="zh-CN"/>
              </w:rPr>
              <w:t>1座10m</w:t>
            </w:r>
            <w:r>
              <w:rPr>
                <w:rFonts w:ascii="Times New Roman" w:hAnsi="Times New Roman" w:cs="Times New Roman"/>
                <w:color w:val="auto"/>
                <w:sz w:val="21"/>
                <w:szCs w:val="21"/>
                <w:highlight w:val="none"/>
                <w:vertAlign w:val="superscript"/>
                <w:lang w:val="en-US" w:eastAsia="zh-CN"/>
              </w:rPr>
              <w:t>2</w:t>
            </w:r>
            <w:r>
              <w:rPr>
                <w:rFonts w:ascii="Times New Roman" w:hAnsi="Times New Roman" w:cs="Times New Roman"/>
                <w:color w:val="auto"/>
                <w:sz w:val="21"/>
                <w:szCs w:val="21"/>
                <w:highlight w:val="none"/>
                <w:lang w:val="en-US" w:eastAsia="zh-CN"/>
              </w:rPr>
              <w:t>的危险废物贮存</w:t>
            </w:r>
            <w:r>
              <w:rPr>
                <w:rFonts w:hint="eastAsia" w:ascii="Times New Roman" w:hAnsi="Times New Roman" w:cs="Times New Roman"/>
                <w:color w:val="auto"/>
                <w:sz w:val="21"/>
                <w:szCs w:val="21"/>
                <w:highlight w:val="none"/>
                <w:lang w:val="en-US" w:eastAsia="zh-CN"/>
              </w:rPr>
              <w:t>点</w:t>
            </w:r>
            <w:r>
              <w:rPr>
                <w:rFonts w:ascii="Times New Roman" w:hAnsi="Times New Roman" w:cs="Times New Roman"/>
                <w:color w:val="auto"/>
                <w:sz w:val="21"/>
                <w:szCs w:val="21"/>
                <w:highlight w:val="none"/>
                <w:lang w:val="en-US" w:eastAsia="zh-CN"/>
              </w:rPr>
              <w:t>。危废</w:t>
            </w:r>
            <w:r>
              <w:rPr>
                <w:rFonts w:hint="eastAsia" w:ascii="Times New Roman" w:hAnsi="Times New Roman" w:cs="Times New Roman"/>
                <w:color w:val="auto"/>
                <w:sz w:val="21"/>
                <w:szCs w:val="21"/>
                <w:highlight w:val="none"/>
                <w:lang w:val="en-US" w:eastAsia="zh-CN"/>
              </w:rPr>
              <w:t>贮存点</w:t>
            </w:r>
            <w:r>
              <w:rPr>
                <w:rFonts w:ascii="Times New Roman" w:hAnsi="Times New Roman" w:cs="Times New Roman"/>
                <w:color w:val="auto"/>
                <w:sz w:val="21"/>
                <w:szCs w:val="21"/>
                <w:highlight w:val="none"/>
                <w:lang w:val="en-US" w:eastAsia="zh-CN"/>
              </w:rPr>
              <w:t>按照《危险废物贮存污染控制标准》（GB 18597—2023）要求，应符合以下要求：</w:t>
            </w:r>
            <w:r>
              <w:rPr>
                <w:rFonts w:hint="eastAsia" w:ascii="Times New Roman" w:hAnsi="Times New Roman" w:cs="Times New Roman"/>
                <w:color w:val="auto"/>
                <w:sz w:val="21"/>
                <w:szCs w:val="21"/>
                <w:highlight w:val="none"/>
                <w:lang w:val="en-US" w:eastAsia="zh-CN"/>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ascii="Times New Roman" w:hAnsi="Times New Roman" w:cs="Times New Roman"/>
                <w:color w:val="auto"/>
                <w:sz w:val="21"/>
                <w:szCs w:val="21"/>
                <w:highlight w:val="none"/>
                <w:vertAlign w:val="superscript"/>
                <w:lang w:val="en-US" w:eastAsia="zh-CN"/>
              </w:rPr>
              <w:t>-7</w:t>
            </w:r>
            <w:r>
              <w:rPr>
                <w:rFonts w:hint="eastAsia" w:ascii="Times New Roman" w:hAnsi="Times New Roman" w:cs="Times New Roman"/>
                <w:color w:val="auto"/>
                <w:sz w:val="21"/>
                <w:szCs w:val="21"/>
                <w:highlight w:val="none"/>
                <w:lang w:val="en-US" w:eastAsia="zh-CN"/>
              </w:rPr>
              <w:t>cm/s），或至少2mm厚高密度聚乙烯膜等人工防渗材料（渗透系数不大于10</w:t>
            </w:r>
            <w:r>
              <w:rPr>
                <w:rFonts w:hint="eastAsia" w:ascii="Times New Roman" w:hAnsi="Times New Roman" w:cs="Times New Roman"/>
                <w:color w:val="auto"/>
                <w:sz w:val="21"/>
                <w:szCs w:val="21"/>
                <w:highlight w:val="none"/>
                <w:vertAlign w:val="superscript"/>
                <w:lang w:val="en-US" w:eastAsia="zh-CN"/>
              </w:rPr>
              <w:t>-10</w:t>
            </w:r>
            <w:r>
              <w:rPr>
                <w:rFonts w:hint="eastAsia" w:ascii="Times New Roman" w:hAnsi="Times New Roman" w:cs="Times New Roman"/>
                <w:color w:val="auto"/>
                <w:sz w:val="21"/>
                <w:szCs w:val="21"/>
                <w:highlight w:val="none"/>
                <w:lang w:val="en-US" w:eastAsia="zh-CN"/>
              </w:rPr>
              <w:t xml:space="preserve"> cm/s），或其他防渗性能等效的材料。</w:t>
            </w:r>
          </w:p>
        </w:tc>
        <w:tc>
          <w:tcPr>
            <w:tcW w:w="393" w:type="pct"/>
            <w:shd w:val="clear" w:color="auto" w:fill="FFFFFF"/>
            <w:noWrap w:val="0"/>
            <w:vAlign w:val="center"/>
          </w:tcPr>
          <w:p w14:paraId="31AA4BDC">
            <w:pPr>
              <w:pStyle w:val="25"/>
              <w:spacing w:after="0" w:line="240" w:lineRule="auto"/>
              <w:ind w:firstLine="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已建</w:t>
            </w:r>
          </w:p>
        </w:tc>
      </w:tr>
      <w:tr w14:paraId="65323B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2DC5F6FA">
            <w:pPr>
              <w:spacing w:line="240" w:lineRule="auto"/>
              <w:ind w:firstLine="0" w:firstLineChars="0"/>
              <w:jc w:val="center"/>
              <w:rPr>
                <w:rFonts w:ascii="Times New Roman" w:hAnsi="Times New Roman" w:eastAsia="Times New Roman"/>
                <w:kern w:val="0"/>
                <w:sz w:val="21"/>
                <w:szCs w:val="21"/>
                <w:highlight w:val="none"/>
                <w:lang w:eastAsia="en-US" w:bidi="en-US"/>
              </w:rPr>
            </w:pPr>
          </w:p>
        </w:tc>
        <w:tc>
          <w:tcPr>
            <w:tcW w:w="1044" w:type="pct"/>
            <w:gridSpan w:val="2"/>
            <w:shd w:val="clear" w:color="auto" w:fill="FFFFFF"/>
            <w:noWrap w:val="0"/>
            <w:vAlign w:val="center"/>
          </w:tcPr>
          <w:p w14:paraId="637F5203">
            <w:pPr>
              <w:pStyle w:val="25"/>
              <w:spacing w:after="0" w:line="240" w:lineRule="auto"/>
              <w:ind w:firstLine="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eastAsia="zh-CN"/>
              </w:rPr>
              <w:t>风险防控</w:t>
            </w:r>
          </w:p>
        </w:tc>
        <w:tc>
          <w:tcPr>
            <w:tcW w:w="3182" w:type="pct"/>
            <w:shd w:val="clear" w:color="auto" w:fill="FFFFFF"/>
            <w:noWrap w:val="0"/>
            <w:vAlign w:val="center"/>
          </w:tcPr>
          <w:p w14:paraId="4D1A2774">
            <w:pPr>
              <w:pStyle w:val="25"/>
              <w:spacing w:after="0" w:line="240" w:lineRule="auto"/>
              <w:ind w:firstLine="0"/>
              <w:jc w:val="center"/>
              <w:rPr>
                <w:rFonts w:ascii="Times New Roman" w:hAnsi="Times New Roman" w:cs="Times New Roman"/>
                <w:color w:val="auto"/>
                <w:sz w:val="21"/>
                <w:szCs w:val="21"/>
                <w:highlight w:val="none"/>
                <w:lang w:eastAsia="zh-CN"/>
              </w:rPr>
            </w:pPr>
            <w:r>
              <w:rPr>
                <w:rFonts w:cs="Times New Roman"/>
                <w:sz w:val="21"/>
                <w:szCs w:val="21"/>
                <w:highlight w:val="none"/>
              </w:rPr>
              <w:t>本项目根据环境风险监控要求，设置应急疏散通道、安置场所；根据生产单元-厂区-园区的环境风险防控体系要求，设置</w:t>
            </w:r>
            <w:r>
              <w:rPr>
                <w:rFonts w:hint="eastAsia" w:cs="Times New Roman"/>
                <w:sz w:val="21"/>
                <w:szCs w:val="21"/>
                <w:highlight w:val="none"/>
              </w:rPr>
              <w:t>360m</w:t>
            </w:r>
            <w:r>
              <w:rPr>
                <w:rFonts w:hint="eastAsia" w:cs="Times New Roman"/>
                <w:sz w:val="21"/>
                <w:szCs w:val="21"/>
                <w:highlight w:val="none"/>
                <w:vertAlign w:val="superscript"/>
              </w:rPr>
              <w:t>3</w:t>
            </w:r>
            <w:r>
              <w:rPr>
                <w:rFonts w:hint="eastAsia" w:cs="Times New Roman"/>
                <w:sz w:val="21"/>
                <w:szCs w:val="21"/>
                <w:highlight w:val="none"/>
              </w:rPr>
              <w:t>脱硫废水事故池</w:t>
            </w:r>
            <w:r>
              <w:rPr>
                <w:rFonts w:cs="Times New Roman"/>
                <w:sz w:val="21"/>
                <w:szCs w:val="21"/>
                <w:highlight w:val="none"/>
              </w:rPr>
              <w:t>和应急储存设施，以及防止事故水进入外环境的控制和封堵系统。地下水环境风险防范采取源头控制和分区防渗措施，加强地下水环境的监控和预警。</w:t>
            </w:r>
          </w:p>
        </w:tc>
        <w:tc>
          <w:tcPr>
            <w:tcW w:w="393" w:type="pct"/>
            <w:shd w:val="clear" w:color="auto" w:fill="FFFFFF"/>
            <w:noWrap w:val="0"/>
            <w:vAlign w:val="center"/>
          </w:tcPr>
          <w:p w14:paraId="30B812A0">
            <w:pPr>
              <w:pStyle w:val="25"/>
              <w:spacing w:after="0" w:line="240" w:lineRule="auto"/>
              <w:ind w:firstLine="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eastAsia="zh-CN"/>
              </w:rPr>
              <w:t>/</w:t>
            </w:r>
          </w:p>
        </w:tc>
      </w:tr>
      <w:tr w14:paraId="2BF477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379" w:type="pct"/>
            <w:vMerge w:val="continue"/>
            <w:shd w:val="clear" w:color="auto" w:fill="FFFFFF"/>
            <w:noWrap w:val="0"/>
            <w:vAlign w:val="center"/>
          </w:tcPr>
          <w:p w14:paraId="60ED5237">
            <w:pPr>
              <w:spacing w:line="240" w:lineRule="auto"/>
              <w:ind w:firstLine="0" w:firstLineChars="0"/>
              <w:jc w:val="center"/>
              <w:rPr>
                <w:rFonts w:ascii="Times New Roman" w:hAnsi="Times New Roman" w:eastAsia="Times New Roman"/>
                <w:kern w:val="0"/>
                <w:sz w:val="21"/>
                <w:szCs w:val="21"/>
                <w:highlight w:val="none"/>
                <w:lang w:eastAsia="en-US" w:bidi="en-US"/>
              </w:rPr>
            </w:pPr>
          </w:p>
        </w:tc>
        <w:tc>
          <w:tcPr>
            <w:tcW w:w="1044" w:type="pct"/>
            <w:gridSpan w:val="2"/>
            <w:shd w:val="clear" w:color="auto" w:fill="FFFFFF"/>
            <w:noWrap w:val="0"/>
            <w:vAlign w:val="center"/>
          </w:tcPr>
          <w:p w14:paraId="070DDEF0">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连续监测装置</w:t>
            </w:r>
          </w:p>
        </w:tc>
        <w:tc>
          <w:tcPr>
            <w:tcW w:w="3182" w:type="pct"/>
            <w:shd w:val="clear" w:color="auto" w:fill="FFFFFF"/>
            <w:noWrap w:val="0"/>
            <w:vAlign w:val="center"/>
          </w:tcPr>
          <w:p w14:paraId="299737D0">
            <w:pPr>
              <w:pStyle w:val="25"/>
              <w:spacing w:after="0" w:line="240" w:lineRule="auto"/>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连续监测装置安装在烟囱上</w:t>
            </w:r>
            <w:r>
              <w:rPr>
                <w:rFonts w:hint="eastAsia" w:ascii="Times New Roman" w:hAnsi="Times New Roman" w:cs="Times New Roman"/>
                <w:color w:val="auto"/>
                <w:sz w:val="21"/>
                <w:szCs w:val="21"/>
                <w:highlight w:val="none"/>
                <w:lang w:eastAsia="zh-CN"/>
              </w:rPr>
              <w:t>，并与</w:t>
            </w:r>
            <w:r>
              <w:rPr>
                <w:rFonts w:hint="eastAsia" w:ascii="Times New Roman" w:hAnsi="Times New Roman" w:cs="Times New Roman"/>
                <w:color w:val="auto"/>
                <w:sz w:val="21"/>
                <w:szCs w:val="21"/>
                <w:highlight w:val="none"/>
                <w:lang w:val="en-US" w:eastAsia="zh-CN"/>
              </w:rPr>
              <w:t>绥芬河</w:t>
            </w:r>
            <w:r>
              <w:rPr>
                <w:rFonts w:hint="eastAsia" w:ascii="Times New Roman" w:hAnsi="Times New Roman" w:cs="Times New Roman"/>
                <w:color w:val="auto"/>
                <w:sz w:val="21"/>
                <w:szCs w:val="21"/>
                <w:highlight w:val="none"/>
                <w:lang w:eastAsia="zh-CN"/>
              </w:rPr>
              <w:t>市生态环境局联网</w:t>
            </w:r>
            <w:r>
              <w:rPr>
                <w:rFonts w:ascii="Times New Roman" w:hAnsi="Times New Roman" w:cs="Times New Roman"/>
                <w:color w:val="auto"/>
                <w:sz w:val="21"/>
                <w:szCs w:val="21"/>
                <w:highlight w:val="none"/>
              </w:rPr>
              <w:t>。</w:t>
            </w:r>
          </w:p>
        </w:tc>
        <w:tc>
          <w:tcPr>
            <w:tcW w:w="393" w:type="pct"/>
            <w:shd w:val="clear" w:color="auto" w:fill="FFFFFF"/>
            <w:noWrap w:val="0"/>
            <w:vAlign w:val="center"/>
          </w:tcPr>
          <w:p w14:paraId="39BEBB2F">
            <w:pPr>
              <w:pStyle w:val="25"/>
              <w:spacing w:after="0" w:line="240" w:lineRule="auto"/>
              <w:ind w:firstLine="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已</w:t>
            </w:r>
            <w:r>
              <w:rPr>
                <w:rFonts w:ascii="Times New Roman" w:hAnsi="Times New Roman" w:cs="Times New Roman"/>
                <w:color w:val="auto"/>
                <w:sz w:val="21"/>
                <w:szCs w:val="21"/>
                <w:highlight w:val="none"/>
              </w:rPr>
              <w:t>建</w:t>
            </w:r>
          </w:p>
        </w:tc>
      </w:tr>
    </w:tbl>
    <w:p w14:paraId="52B7B81B">
      <w:pPr>
        <w:pStyle w:val="5"/>
        <w:bidi w:val="0"/>
        <w:ind w:left="0" w:leftChars="0" w:firstLine="0" w:firstLineChars="0"/>
        <w:rPr>
          <w:rFonts w:hint="eastAsia"/>
          <w:sz w:val="30"/>
          <w:szCs w:val="30"/>
          <w:highlight w:val="none"/>
          <w:lang w:val="en-US" w:eastAsia="zh-CN"/>
        </w:rPr>
      </w:pPr>
      <w:bookmarkStart w:id="57" w:name="_Toc13714"/>
      <w:r>
        <w:rPr>
          <w:rFonts w:hint="default" w:ascii="Times New Roman" w:hAnsi="Times New Roman" w:cs="Times New Roman"/>
          <w:highlight w:val="none"/>
          <w:lang w:val="en-US" w:eastAsia="zh-CN"/>
        </w:rPr>
        <w:t>3.1.</w:t>
      </w:r>
      <w:r>
        <w:rPr>
          <w:rFonts w:hint="eastAsia" w:ascii="Times New Roman" w:hAnsi="Times New Roman" w:cs="Times New Roman"/>
          <w:highlight w:val="none"/>
          <w:lang w:val="en-US" w:eastAsia="zh-CN"/>
        </w:rPr>
        <w:t>4</w:t>
      </w:r>
      <w:r>
        <w:rPr>
          <w:rFonts w:hint="eastAsia"/>
          <w:sz w:val="30"/>
          <w:szCs w:val="30"/>
          <w:highlight w:val="none"/>
          <w:lang w:val="en-US" w:eastAsia="zh-CN"/>
        </w:rPr>
        <w:t>设备方案</w:t>
      </w:r>
      <w:bookmarkEnd w:id="57"/>
    </w:p>
    <w:p w14:paraId="501B8151">
      <w:pPr>
        <w:rPr>
          <w:rFonts w:hint="eastAsia"/>
          <w:sz w:val="24"/>
          <w:highlight w:val="none"/>
        </w:rPr>
      </w:pPr>
      <w:r>
        <w:rPr>
          <w:rFonts w:hint="eastAsia"/>
          <w:sz w:val="24"/>
          <w:highlight w:val="none"/>
        </w:rPr>
        <w:t>项目主要设备清单见表</w:t>
      </w:r>
      <w:r>
        <w:rPr>
          <w:rFonts w:hint="default" w:ascii="Times New Roman" w:hAnsi="Times New Roman" w:cs="Times New Roman"/>
          <w:sz w:val="24"/>
          <w:highlight w:val="none"/>
        </w:rPr>
        <w:t>3.1-</w:t>
      </w:r>
      <w:r>
        <w:rPr>
          <w:rFonts w:hint="default" w:ascii="Times New Roman" w:hAnsi="Times New Roman" w:cs="Times New Roman"/>
          <w:sz w:val="24"/>
          <w:highlight w:val="none"/>
          <w:lang w:val="en-US" w:eastAsia="zh-CN"/>
        </w:rPr>
        <w:t>2</w:t>
      </w:r>
      <w:r>
        <w:rPr>
          <w:rFonts w:hint="eastAsia"/>
          <w:sz w:val="24"/>
          <w:highlight w:val="none"/>
        </w:rPr>
        <w:t>。</w:t>
      </w:r>
    </w:p>
    <w:p w14:paraId="51C5A235">
      <w:pPr>
        <w:pStyle w:val="23"/>
        <w:jc w:val="center"/>
        <w:rPr>
          <w:rFonts w:hint="eastAsia"/>
          <w:highlight w:val="none"/>
        </w:rPr>
      </w:pPr>
      <w:r>
        <w:rPr>
          <w:rFonts w:ascii="Times New Roman" w:hAnsi="Times New Roman"/>
          <w:b/>
          <w:bCs/>
          <w:highlight w:val="none"/>
        </w:rPr>
        <w:t>表</w:t>
      </w:r>
      <w:r>
        <w:rPr>
          <w:rFonts w:hint="eastAsia" w:ascii="Times New Roman" w:hAnsi="Times New Roman"/>
          <w:b/>
          <w:bCs/>
          <w:highlight w:val="none"/>
          <w:lang w:val="en-US" w:eastAsia="zh-CN"/>
        </w:rPr>
        <w:t xml:space="preserve"> </w:t>
      </w:r>
      <w:r>
        <w:rPr>
          <w:rFonts w:ascii="Times New Roman" w:hAnsi="Times New Roman"/>
          <w:b/>
          <w:bCs/>
          <w:highlight w:val="none"/>
        </w:rPr>
        <w:t>3.1-</w:t>
      </w:r>
      <w:r>
        <w:rPr>
          <w:rFonts w:hint="eastAsia" w:ascii="Times New Roman" w:hAnsi="Times New Roman"/>
          <w:b/>
          <w:bCs/>
          <w:highlight w:val="none"/>
          <w:lang w:val="en-US" w:eastAsia="zh-CN"/>
        </w:rPr>
        <w:t xml:space="preserve">2 </w:t>
      </w:r>
      <w:r>
        <w:rPr>
          <w:rFonts w:ascii="Times New Roman" w:hAnsi="Times New Roman"/>
          <w:b/>
          <w:bCs/>
          <w:highlight w:val="none"/>
        </w:rPr>
        <w:t>本工程主要设备一览表</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431"/>
        <w:gridCol w:w="1754"/>
        <w:gridCol w:w="4337"/>
      </w:tblGrid>
      <w:tr w14:paraId="6581C13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1426" w:type="pct"/>
            <w:vMerge w:val="restart"/>
            <w:noWrap/>
            <w:vAlign w:val="center"/>
          </w:tcPr>
          <w:p w14:paraId="0FAAD896">
            <w:pPr>
              <w:pStyle w:val="27"/>
              <w:rPr>
                <w:rFonts w:ascii="Times New Roman" w:hAnsi="Times New Roman"/>
                <w:sz w:val="21"/>
                <w:szCs w:val="21"/>
                <w:highlight w:val="none"/>
              </w:rPr>
            </w:pPr>
            <w:r>
              <w:rPr>
                <w:rFonts w:hint="eastAsia" w:ascii="Times New Roman" w:hAnsi="Times New Roman"/>
                <w:sz w:val="21"/>
                <w:szCs w:val="21"/>
                <w:highlight w:val="none"/>
                <w:lang w:val="en-US" w:eastAsia="zh-CN"/>
              </w:rPr>
              <w:t>35t/h</w:t>
            </w:r>
            <w:r>
              <w:rPr>
                <w:rFonts w:hint="eastAsia" w:ascii="宋体" w:hAnsi="宋体" w:eastAsia="宋体" w:cs="宋体"/>
                <w:sz w:val="21"/>
                <w:szCs w:val="21"/>
                <w:highlight w:val="none"/>
                <w:lang w:val="en-US" w:eastAsia="zh-CN"/>
              </w:rPr>
              <w:t>蒸汽锅</w:t>
            </w:r>
            <w:r>
              <w:rPr>
                <w:rFonts w:hint="eastAsia" w:ascii="宋体" w:hAnsi="宋体" w:eastAsia="宋体" w:cs="宋体"/>
                <w:sz w:val="21"/>
                <w:szCs w:val="21"/>
                <w:highlight w:val="none"/>
              </w:rPr>
              <w:t>炉</w:t>
            </w:r>
          </w:p>
        </w:tc>
        <w:tc>
          <w:tcPr>
            <w:tcW w:w="1029" w:type="pct"/>
            <w:noWrap/>
            <w:vAlign w:val="center"/>
          </w:tcPr>
          <w:p w14:paraId="20FF8777">
            <w:pPr>
              <w:pStyle w:val="27"/>
              <w:rPr>
                <w:rFonts w:ascii="Times New Roman" w:hAnsi="Times New Roman"/>
                <w:sz w:val="21"/>
                <w:szCs w:val="21"/>
                <w:highlight w:val="none"/>
              </w:rPr>
            </w:pPr>
            <w:r>
              <w:rPr>
                <w:rFonts w:ascii="Times New Roman" w:hAnsi="Times New Roman"/>
                <w:sz w:val="21"/>
                <w:szCs w:val="21"/>
                <w:highlight w:val="none"/>
              </w:rPr>
              <w:t>型号</w:t>
            </w:r>
          </w:p>
        </w:tc>
        <w:tc>
          <w:tcPr>
            <w:tcW w:w="2544" w:type="pct"/>
            <w:noWrap/>
            <w:vAlign w:val="center"/>
          </w:tcPr>
          <w:p w14:paraId="1A47AB98">
            <w:pPr>
              <w:pStyle w:val="27"/>
              <w:rPr>
                <w:rFonts w:ascii="Times New Roman" w:hAnsi="Times New Roman"/>
                <w:sz w:val="21"/>
                <w:szCs w:val="21"/>
                <w:highlight w:val="none"/>
              </w:rPr>
            </w:pPr>
            <w:r>
              <w:rPr>
                <w:rFonts w:hint="eastAsia" w:ascii="Times New Roman" w:hAnsi="Times New Roman"/>
                <w:sz w:val="21"/>
                <w:szCs w:val="21"/>
                <w:highlight w:val="none"/>
                <w:lang w:val="en-US" w:eastAsia="zh-CN"/>
              </w:rPr>
              <w:t>SHL35</w:t>
            </w:r>
            <w:r>
              <w:rPr>
                <w:rFonts w:ascii="Times New Roman" w:hAnsi="Times New Roman"/>
                <w:sz w:val="21"/>
                <w:szCs w:val="21"/>
                <w:highlight w:val="none"/>
              </w:rPr>
              <w:t>-1.6/</w:t>
            </w:r>
            <w:r>
              <w:rPr>
                <w:rFonts w:hint="eastAsia" w:ascii="Times New Roman" w:hAnsi="Times New Roman"/>
                <w:sz w:val="21"/>
                <w:szCs w:val="21"/>
                <w:highlight w:val="none"/>
                <w:lang w:val="en-US" w:eastAsia="zh-CN"/>
              </w:rPr>
              <w:t>300</w:t>
            </w:r>
            <w:r>
              <w:rPr>
                <w:rFonts w:ascii="Times New Roman" w:hAnsi="Times New Roman"/>
                <w:sz w:val="21"/>
                <w:szCs w:val="21"/>
                <w:highlight w:val="none"/>
              </w:rPr>
              <w:t>-</w:t>
            </w:r>
            <w:r>
              <w:rPr>
                <w:rFonts w:hint="eastAsia" w:ascii="Times New Roman" w:hAnsi="Times New Roman"/>
                <w:sz w:val="21"/>
                <w:szCs w:val="21"/>
                <w:highlight w:val="none"/>
                <w:lang w:val="en-US" w:eastAsia="zh-CN"/>
              </w:rPr>
              <w:t>A</w:t>
            </w:r>
            <w:r>
              <w:rPr>
                <w:rFonts w:hint="default" w:ascii="Times New Roman" w:hAnsi="Times New Roman" w:eastAsia="宋体" w:cs="Times New Roman"/>
                <w:sz w:val="21"/>
                <w:szCs w:val="21"/>
                <w:highlight w:val="none"/>
              </w:rPr>
              <w:t>Ⅱ</w:t>
            </w:r>
            <w:r>
              <w:rPr>
                <w:rFonts w:ascii="Times New Roman" w:hAnsi="Times New Roman"/>
                <w:sz w:val="21"/>
                <w:szCs w:val="21"/>
                <w:highlight w:val="none"/>
              </w:rPr>
              <w:t xml:space="preserve">  </w:t>
            </w:r>
            <w:r>
              <w:rPr>
                <w:rFonts w:hint="eastAsia" w:ascii="Times New Roman" w:hAnsi="Times New Roman"/>
                <w:sz w:val="21"/>
                <w:szCs w:val="21"/>
                <w:highlight w:val="none"/>
                <w:lang w:val="en-US" w:eastAsia="zh-CN"/>
              </w:rPr>
              <w:t>35t/h</w:t>
            </w:r>
            <w:r>
              <w:rPr>
                <w:rFonts w:ascii="Times New Roman" w:hAnsi="Times New Roman"/>
                <w:sz w:val="21"/>
                <w:szCs w:val="21"/>
                <w:highlight w:val="none"/>
              </w:rPr>
              <w:t xml:space="preserve">  1.6MPa</w:t>
            </w:r>
          </w:p>
        </w:tc>
      </w:tr>
      <w:tr w14:paraId="2160C4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426" w:type="pct"/>
            <w:vMerge w:val="continue"/>
            <w:noWrap/>
            <w:vAlign w:val="center"/>
          </w:tcPr>
          <w:p w14:paraId="70FD66FC">
            <w:pPr>
              <w:pStyle w:val="27"/>
              <w:rPr>
                <w:rFonts w:ascii="Times New Roman" w:hAnsi="Times New Roman"/>
                <w:sz w:val="21"/>
                <w:szCs w:val="21"/>
                <w:highlight w:val="none"/>
              </w:rPr>
            </w:pPr>
          </w:p>
        </w:tc>
        <w:tc>
          <w:tcPr>
            <w:tcW w:w="1029" w:type="pct"/>
            <w:noWrap/>
            <w:vAlign w:val="center"/>
          </w:tcPr>
          <w:p w14:paraId="7B29EE6E">
            <w:pPr>
              <w:pStyle w:val="27"/>
              <w:rPr>
                <w:rFonts w:ascii="Times New Roman" w:hAnsi="Times New Roman"/>
                <w:sz w:val="21"/>
                <w:szCs w:val="21"/>
                <w:highlight w:val="none"/>
              </w:rPr>
            </w:pPr>
            <w:r>
              <w:rPr>
                <w:rFonts w:ascii="Times New Roman" w:hAnsi="Times New Roman"/>
                <w:sz w:val="21"/>
                <w:szCs w:val="21"/>
                <w:highlight w:val="none"/>
              </w:rPr>
              <w:t>热功率</w:t>
            </w:r>
          </w:p>
        </w:tc>
        <w:tc>
          <w:tcPr>
            <w:tcW w:w="2544" w:type="pct"/>
            <w:noWrap/>
            <w:vAlign w:val="center"/>
          </w:tcPr>
          <w:p w14:paraId="6C8426A8">
            <w:pPr>
              <w:pStyle w:val="27"/>
              <w:rPr>
                <w:rFonts w:ascii="Times New Roman" w:hAnsi="Times New Roman"/>
                <w:sz w:val="21"/>
                <w:szCs w:val="21"/>
                <w:highlight w:val="none"/>
              </w:rPr>
            </w:pPr>
            <w:r>
              <w:rPr>
                <w:rFonts w:hint="eastAsia" w:ascii="Times New Roman" w:hAnsi="Times New Roman"/>
                <w:sz w:val="21"/>
                <w:szCs w:val="21"/>
                <w:highlight w:val="none"/>
                <w:lang w:val="en-US" w:eastAsia="zh-CN"/>
              </w:rPr>
              <w:t>35t/h</w:t>
            </w:r>
          </w:p>
        </w:tc>
      </w:tr>
      <w:tr w14:paraId="61D344D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1426" w:type="pct"/>
            <w:vMerge w:val="continue"/>
            <w:noWrap/>
            <w:vAlign w:val="center"/>
          </w:tcPr>
          <w:p w14:paraId="4ABB104A">
            <w:pPr>
              <w:pStyle w:val="27"/>
              <w:rPr>
                <w:rFonts w:ascii="Times New Roman" w:hAnsi="Times New Roman"/>
                <w:sz w:val="21"/>
                <w:szCs w:val="21"/>
                <w:highlight w:val="none"/>
              </w:rPr>
            </w:pPr>
          </w:p>
        </w:tc>
        <w:tc>
          <w:tcPr>
            <w:tcW w:w="1029" w:type="pct"/>
            <w:noWrap/>
            <w:vAlign w:val="center"/>
          </w:tcPr>
          <w:p w14:paraId="354B7418">
            <w:pPr>
              <w:pStyle w:val="27"/>
              <w:rPr>
                <w:rFonts w:ascii="Times New Roman" w:hAnsi="Times New Roman"/>
                <w:sz w:val="21"/>
                <w:szCs w:val="21"/>
                <w:highlight w:val="none"/>
              </w:rPr>
            </w:pPr>
            <w:r>
              <w:rPr>
                <w:rFonts w:ascii="Times New Roman" w:hAnsi="Times New Roman"/>
                <w:sz w:val="21"/>
                <w:szCs w:val="21"/>
                <w:highlight w:val="none"/>
              </w:rPr>
              <w:t>锅炉</w:t>
            </w:r>
            <w:r>
              <w:rPr>
                <w:rFonts w:hint="eastAsia" w:ascii="Times New Roman" w:hAnsi="Times New Roman"/>
                <w:sz w:val="21"/>
                <w:szCs w:val="21"/>
                <w:highlight w:val="none"/>
                <w:lang w:val="en-US" w:eastAsia="zh-CN"/>
              </w:rPr>
              <w:t>蒸汽</w:t>
            </w:r>
            <w:r>
              <w:rPr>
                <w:rFonts w:ascii="Times New Roman" w:hAnsi="Times New Roman"/>
                <w:sz w:val="21"/>
                <w:szCs w:val="21"/>
                <w:highlight w:val="none"/>
              </w:rPr>
              <w:t>温度</w:t>
            </w:r>
          </w:p>
        </w:tc>
        <w:tc>
          <w:tcPr>
            <w:tcW w:w="2544" w:type="pct"/>
            <w:noWrap/>
            <w:vAlign w:val="center"/>
          </w:tcPr>
          <w:p w14:paraId="009B3810">
            <w:pPr>
              <w:pStyle w:val="27"/>
              <w:rPr>
                <w:rFonts w:ascii="Times New Roman" w:hAnsi="Times New Roman"/>
                <w:sz w:val="21"/>
                <w:szCs w:val="21"/>
                <w:highlight w:val="none"/>
              </w:rPr>
            </w:pPr>
            <w:r>
              <w:rPr>
                <w:rFonts w:hint="eastAsia" w:ascii="Times New Roman" w:hAnsi="Times New Roman" w:eastAsia="宋体"/>
                <w:sz w:val="21"/>
                <w:szCs w:val="21"/>
                <w:highlight w:val="none"/>
                <w:lang w:val="en-US" w:eastAsia="zh-CN"/>
              </w:rPr>
              <w:t>300</w:t>
            </w:r>
            <w:r>
              <w:rPr>
                <w:rFonts w:hint="eastAsia" w:ascii="宋体" w:hAnsi="宋体" w:eastAsia="宋体" w:cs="宋体"/>
                <w:sz w:val="21"/>
                <w:szCs w:val="21"/>
                <w:highlight w:val="none"/>
              </w:rPr>
              <w:t>℃</w:t>
            </w:r>
          </w:p>
        </w:tc>
      </w:tr>
      <w:tr w14:paraId="0CF6637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1426" w:type="pct"/>
            <w:vMerge w:val="continue"/>
            <w:noWrap/>
            <w:vAlign w:val="center"/>
          </w:tcPr>
          <w:p w14:paraId="53D7A81F">
            <w:pPr>
              <w:pStyle w:val="27"/>
              <w:rPr>
                <w:rFonts w:ascii="Times New Roman" w:hAnsi="Times New Roman"/>
                <w:sz w:val="21"/>
                <w:szCs w:val="21"/>
                <w:highlight w:val="none"/>
              </w:rPr>
            </w:pPr>
          </w:p>
        </w:tc>
        <w:tc>
          <w:tcPr>
            <w:tcW w:w="1029" w:type="pct"/>
            <w:noWrap/>
            <w:vAlign w:val="center"/>
          </w:tcPr>
          <w:p w14:paraId="0E8C5829">
            <w:pPr>
              <w:pStyle w:val="27"/>
              <w:rPr>
                <w:rFonts w:ascii="Times New Roman" w:hAnsi="Times New Roman"/>
                <w:sz w:val="21"/>
                <w:szCs w:val="21"/>
                <w:highlight w:val="none"/>
              </w:rPr>
            </w:pPr>
            <w:r>
              <w:rPr>
                <w:rFonts w:ascii="Times New Roman" w:hAnsi="Times New Roman"/>
                <w:sz w:val="21"/>
                <w:szCs w:val="21"/>
                <w:highlight w:val="none"/>
              </w:rPr>
              <w:t>设计压力</w:t>
            </w:r>
          </w:p>
        </w:tc>
        <w:tc>
          <w:tcPr>
            <w:tcW w:w="2544" w:type="pct"/>
            <w:noWrap/>
            <w:vAlign w:val="center"/>
          </w:tcPr>
          <w:p w14:paraId="67D46841">
            <w:pPr>
              <w:pStyle w:val="27"/>
              <w:rPr>
                <w:rFonts w:ascii="Times New Roman" w:hAnsi="Times New Roman"/>
                <w:sz w:val="21"/>
                <w:szCs w:val="21"/>
                <w:highlight w:val="none"/>
              </w:rPr>
            </w:pPr>
            <w:r>
              <w:rPr>
                <w:rFonts w:ascii="Times New Roman" w:hAnsi="Times New Roman"/>
                <w:sz w:val="21"/>
                <w:szCs w:val="21"/>
                <w:highlight w:val="none"/>
              </w:rPr>
              <w:t>1.6MPa</w:t>
            </w:r>
          </w:p>
        </w:tc>
      </w:tr>
      <w:tr w14:paraId="78AAB3C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1426" w:type="pct"/>
            <w:vMerge w:val="continue"/>
            <w:noWrap/>
            <w:vAlign w:val="center"/>
          </w:tcPr>
          <w:p w14:paraId="66769186">
            <w:pPr>
              <w:pStyle w:val="27"/>
              <w:rPr>
                <w:rFonts w:ascii="Times New Roman" w:hAnsi="Times New Roman"/>
                <w:sz w:val="21"/>
                <w:szCs w:val="21"/>
                <w:highlight w:val="none"/>
              </w:rPr>
            </w:pPr>
          </w:p>
        </w:tc>
        <w:tc>
          <w:tcPr>
            <w:tcW w:w="1029" w:type="pct"/>
            <w:noWrap/>
            <w:vAlign w:val="center"/>
          </w:tcPr>
          <w:p w14:paraId="72EDFF64">
            <w:pPr>
              <w:pStyle w:val="27"/>
              <w:rPr>
                <w:rFonts w:ascii="Times New Roman" w:hAnsi="Times New Roman"/>
                <w:sz w:val="21"/>
                <w:szCs w:val="21"/>
                <w:highlight w:val="none"/>
              </w:rPr>
            </w:pPr>
            <w:r>
              <w:rPr>
                <w:rFonts w:ascii="Times New Roman" w:hAnsi="Times New Roman"/>
                <w:sz w:val="21"/>
                <w:szCs w:val="21"/>
                <w:highlight w:val="none"/>
              </w:rPr>
              <w:t>排烟温度</w:t>
            </w:r>
          </w:p>
        </w:tc>
        <w:tc>
          <w:tcPr>
            <w:tcW w:w="2544" w:type="pct"/>
            <w:noWrap/>
            <w:vAlign w:val="center"/>
          </w:tcPr>
          <w:p w14:paraId="62797B6B">
            <w:pPr>
              <w:pStyle w:val="27"/>
              <w:rPr>
                <w:rFonts w:ascii="Times New Roman" w:hAnsi="Times New Roman"/>
                <w:sz w:val="21"/>
                <w:szCs w:val="21"/>
                <w:highlight w:val="none"/>
              </w:rPr>
            </w:pPr>
            <w:r>
              <w:rPr>
                <w:rFonts w:ascii="Times New Roman" w:hAnsi="Times New Roman"/>
                <w:sz w:val="21"/>
                <w:szCs w:val="21"/>
                <w:highlight w:val="none"/>
              </w:rPr>
              <w:t>130</w:t>
            </w:r>
            <w:r>
              <w:rPr>
                <w:rFonts w:hint="eastAsia" w:ascii="宋体" w:hAnsi="宋体" w:eastAsia="宋体" w:cs="宋体"/>
                <w:sz w:val="21"/>
                <w:szCs w:val="21"/>
                <w:highlight w:val="none"/>
              </w:rPr>
              <w:t>℃</w:t>
            </w:r>
          </w:p>
        </w:tc>
      </w:tr>
      <w:tr w14:paraId="744557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1426" w:type="pct"/>
            <w:vMerge w:val="continue"/>
            <w:noWrap/>
            <w:vAlign w:val="center"/>
          </w:tcPr>
          <w:p w14:paraId="6C7ED269">
            <w:pPr>
              <w:pStyle w:val="27"/>
              <w:rPr>
                <w:rFonts w:ascii="Times New Roman" w:hAnsi="Times New Roman"/>
                <w:sz w:val="21"/>
                <w:szCs w:val="21"/>
                <w:highlight w:val="none"/>
              </w:rPr>
            </w:pPr>
          </w:p>
        </w:tc>
        <w:tc>
          <w:tcPr>
            <w:tcW w:w="1029" w:type="pct"/>
            <w:noWrap/>
            <w:vAlign w:val="center"/>
          </w:tcPr>
          <w:p w14:paraId="1952A386">
            <w:pPr>
              <w:pStyle w:val="27"/>
              <w:rPr>
                <w:rFonts w:ascii="Times New Roman" w:hAnsi="Times New Roman"/>
                <w:sz w:val="21"/>
                <w:szCs w:val="21"/>
                <w:highlight w:val="none"/>
              </w:rPr>
            </w:pPr>
            <w:r>
              <w:rPr>
                <w:rFonts w:ascii="Times New Roman" w:hAnsi="Times New Roman"/>
                <w:sz w:val="21"/>
                <w:szCs w:val="21"/>
                <w:highlight w:val="none"/>
              </w:rPr>
              <w:t>锅炉效率</w:t>
            </w:r>
          </w:p>
        </w:tc>
        <w:tc>
          <w:tcPr>
            <w:tcW w:w="2544" w:type="pct"/>
            <w:noWrap/>
            <w:vAlign w:val="center"/>
          </w:tcPr>
          <w:p w14:paraId="328C1207">
            <w:pPr>
              <w:pStyle w:val="27"/>
              <w:rPr>
                <w:rFonts w:ascii="Times New Roman" w:hAnsi="Times New Roman"/>
                <w:sz w:val="21"/>
                <w:szCs w:val="21"/>
                <w:highlight w:val="none"/>
              </w:rPr>
            </w:pPr>
            <w:r>
              <w:rPr>
                <w:rFonts w:ascii="Times New Roman" w:hAnsi="Times New Roman"/>
                <w:sz w:val="21"/>
                <w:szCs w:val="21"/>
                <w:highlight w:val="none"/>
              </w:rPr>
              <w:t>90%</w:t>
            </w:r>
          </w:p>
        </w:tc>
      </w:tr>
      <w:tr w14:paraId="31F2BA4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1426" w:type="pct"/>
            <w:vMerge w:val="restart"/>
            <w:noWrap/>
            <w:vAlign w:val="center"/>
          </w:tcPr>
          <w:p w14:paraId="0ABEDF44">
            <w:pPr>
              <w:pStyle w:val="27"/>
              <w:rPr>
                <w:rFonts w:hint="default" w:ascii="Times New Roman" w:hAnsi="Times New Roman" w:eastAsia="新宋体"/>
                <w:sz w:val="21"/>
                <w:szCs w:val="21"/>
                <w:highlight w:val="none"/>
                <w:lang w:val="en-US" w:eastAsia="zh-CN"/>
              </w:rPr>
            </w:pPr>
            <w:r>
              <w:rPr>
                <w:rFonts w:hint="eastAsia" w:ascii="Times New Roman" w:hAnsi="Times New Roman"/>
                <w:sz w:val="21"/>
                <w:szCs w:val="21"/>
                <w:highlight w:val="none"/>
                <w:lang w:val="en-US" w:eastAsia="zh-CN"/>
              </w:rPr>
              <w:t>116MW</w:t>
            </w:r>
            <w:r>
              <w:rPr>
                <w:rFonts w:hint="eastAsia" w:ascii="宋体" w:hAnsi="宋体" w:eastAsia="宋体" w:cs="宋体"/>
                <w:sz w:val="21"/>
                <w:szCs w:val="21"/>
                <w:highlight w:val="none"/>
                <w:lang w:val="en-US" w:eastAsia="zh-CN"/>
              </w:rPr>
              <w:t>链条式热水锅炉</w:t>
            </w:r>
          </w:p>
        </w:tc>
        <w:tc>
          <w:tcPr>
            <w:tcW w:w="1029" w:type="pct"/>
            <w:noWrap/>
            <w:vAlign w:val="center"/>
          </w:tcPr>
          <w:p w14:paraId="28F63D69">
            <w:pPr>
              <w:pStyle w:val="27"/>
              <w:ind w:firstLine="0" w:firstLineChars="0"/>
              <w:rPr>
                <w:rFonts w:ascii="Times New Roman" w:hAnsi="Times New Roman"/>
                <w:sz w:val="21"/>
                <w:szCs w:val="21"/>
                <w:highlight w:val="none"/>
              </w:rPr>
            </w:pPr>
            <w:r>
              <w:rPr>
                <w:rFonts w:ascii="Times New Roman" w:hAnsi="Times New Roman"/>
                <w:sz w:val="21"/>
                <w:szCs w:val="21"/>
                <w:highlight w:val="none"/>
              </w:rPr>
              <w:t>型号</w:t>
            </w:r>
          </w:p>
        </w:tc>
        <w:tc>
          <w:tcPr>
            <w:tcW w:w="2544" w:type="pct"/>
            <w:noWrap/>
            <w:vAlign w:val="center"/>
          </w:tcPr>
          <w:p w14:paraId="0B2F8A1D">
            <w:pPr>
              <w:pStyle w:val="27"/>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DZL116-1.6/130/70-A</w:t>
            </w:r>
            <w:r>
              <w:rPr>
                <w:rFonts w:hint="default" w:ascii="Times New Roman" w:hAnsi="Times New Roman" w:eastAsia="宋体" w:cs="Times New Roman"/>
                <w:sz w:val="21"/>
                <w:szCs w:val="21"/>
                <w:highlight w:val="none"/>
              </w:rPr>
              <w:t>Ⅱ</w:t>
            </w:r>
            <w:r>
              <w:rPr>
                <w:rFonts w:hint="eastAsia" w:ascii="Times New Roman" w:hAnsi="Times New Roman" w:cs="Times New Roman"/>
                <w:sz w:val="21"/>
                <w:szCs w:val="21"/>
                <w:highlight w:val="none"/>
                <w:lang w:val="en-US" w:eastAsia="zh-CN"/>
              </w:rPr>
              <w:t>3   116MW  1.6</w:t>
            </w:r>
            <w:r>
              <w:rPr>
                <w:rFonts w:ascii="Times New Roman" w:hAnsi="Times New Roman" w:cs="Times New Roman"/>
                <w:sz w:val="21"/>
                <w:szCs w:val="21"/>
                <w:highlight w:val="none"/>
              </w:rPr>
              <w:t>MPa</w:t>
            </w:r>
          </w:p>
        </w:tc>
      </w:tr>
      <w:tr w14:paraId="14E8F1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1426" w:type="pct"/>
            <w:vMerge w:val="continue"/>
            <w:noWrap/>
            <w:vAlign w:val="center"/>
          </w:tcPr>
          <w:p w14:paraId="693A3D76">
            <w:pPr>
              <w:pStyle w:val="27"/>
              <w:rPr>
                <w:rFonts w:ascii="Times New Roman" w:hAnsi="Times New Roman"/>
                <w:sz w:val="21"/>
                <w:szCs w:val="21"/>
                <w:highlight w:val="none"/>
              </w:rPr>
            </w:pPr>
          </w:p>
        </w:tc>
        <w:tc>
          <w:tcPr>
            <w:tcW w:w="1029" w:type="pct"/>
            <w:noWrap/>
            <w:vAlign w:val="center"/>
          </w:tcPr>
          <w:p w14:paraId="746ABAC1">
            <w:pPr>
              <w:pStyle w:val="27"/>
              <w:ind w:firstLine="0" w:firstLineChars="0"/>
              <w:rPr>
                <w:rFonts w:ascii="Times New Roman" w:hAnsi="Times New Roman"/>
                <w:sz w:val="21"/>
                <w:szCs w:val="21"/>
                <w:highlight w:val="none"/>
              </w:rPr>
            </w:pPr>
            <w:r>
              <w:rPr>
                <w:rFonts w:ascii="Times New Roman" w:hAnsi="Times New Roman"/>
                <w:sz w:val="21"/>
                <w:szCs w:val="21"/>
                <w:highlight w:val="none"/>
              </w:rPr>
              <w:t>热功率</w:t>
            </w:r>
          </w:p>
        </w:tc>
        <w:tc>
          <w:tcPr>
            <w:tcW w:w="2544" w:type="pct"/>
            <w:noWrap/>
            <w:vAlign w:val="center"/>
          </w:tcPr>
          <w:p w14:paraId="6FF2E900">
            <w:pPr>
              <w:pStyle w:val="27"/>
              <w:rPr>
                <w:rFonts w:ascii="Times New Roman" w:hAnsi="Times New Roman" w:cs="Times New Roman"/>
                <w:sz w:val="21"/>
                <w:szCs w:val="21"/>
                <w:highlight w:val="none"/>
              </w:rPr>
            </w:pPr>
            <w:r>
              <w:rPr>
                <w:rFonts w:ascii="Times New Roman" w:hAnsi="Times New Roman" w:cs="Times New Roman"/>
                <w:sz w:val="21"/>
                <w:szCs w:val="21"/>
                <w:highlight w:val="none"/>
              </w:rPr>
              <w:t>168MW</w:t>
            </w:r>
          </w:p>
        </w:tc>
      </w:tr>
      <w:tr w14:paraId="55385B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1426" w:type="pct"/>
            <w:vMerge w:val="continue"/>
            <w:noWrap/>
            <w:vAlign w:val="center"/>
          </w:tcPr>
          <w:p w14:paraId="74C9E7FC">
            <w:pPr>
              <w:pStyle w:val="27"/>
              <w:rPr>
                <w:rFonts w:ascii="Times New Roman" w:hAnsi="Times New Roman"/>
                <w:sz w:val="21"/>
                <w:szCs w:val="21"/>
                <w:highlight w:val="none"/>
              </w:rPr>
            </w:pPr>
          </w:p>
        </w:tc>
        <w:tc>
          <w:tcPr>
            <w:tcW w:w="1029" w:type="pct"/>
            <w:noWrap/>
            <w:vAlign w:val="center"/>
          </w:tcPr>
          <w:p w14:paraId="2750F89A">
            <w:pPr>
              <w:pStyle w:val="27"/>
              <w:ind w:firstLine="0" w:firstLineChars="0"/>
              <w:rPr>
                <w:rFonts w:ascii="Times New Roman" w:hAnsi="Times New Roman"/>
                <w:sz w:val="21"/>
                <w:szCs w:val="21"/>
                <w:highlight w:val="none"/>
              </w:rPr>
            </w:pPr>
            <w:r>
              <w:rPr>
                <w:rFonts w:ascii="Times New Roman" w:hAnsi="Times New Roman"/>
                <w:sz w:val="21"/>
                <w:szCs w:val="21"/>
                <w:highlight w:val="none"/>
              </w:rPr>
              <w:t>锅炉供水温度</w:t>
            </w:r>
          </w:p>
        </w:tc>
        <w:tc>
          <w:tcPr>
            <w:tcW w:w="2544" w:type="pct"/>
            <w:noWrap/>
            <w:vAlign w:val="center"/>
          </w:tcPr>
          <w:p w14:paraId="3041C439">
            <w:pPr>
              <w:pStyle w:val="27"/>
              <w:rPr>
                <w:rFonts w:ascii="Times New Roman" w:hAnsi="Times New Roman" w:cs="Times New Roman"/>
                <w:sz w:val="21"/>
                <w:szCs w:val="21"/>
                <w:highlight w:val="none"/>
              </w:rPr>
            </w:pPr>
            <w:r>
              <w:rPr>
                <w:rFonts w:ascii="Times New Roman" w:hAnsi="Times New Roman" w:cs="Times New Roman"/>
                <w:sz w:val="21"/>
                <w:szCs w:val="21"/>
                <w:highlight w:val="none"/>
              </w:rPr>
              <w:t>130</w:t>
            </w:r>
            <w:r>
              <w:rPr>
                <w:rFonts w:hint="eastAsia" w:ascii="Times New Roman" w:hAnsi="Times New Roman" w:cs="Times New Roman"/>
                <w:sz w:val="21"/>
                <w:szCs w:val="21"/>
                <w:highlight w:val="none"/>
              </w:rPr>
              <w:t>℃</w:t>
            </w:r>
          </w:p>
        </w:tc>
      </w:tr>
      <w:tr w14:paraId="5CBD25B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1426" w:type="pct"/>
            <w:vMerge w:val="continue"/>
            <w:noWrap/>
            <w:vAlign w:val="center"/>
          </w:tcPr>
          <w:p w14:paraId="66441646">
            <w:pPr>
              <w:pStyle w:val="27"/>
              <w:rPr>
                <w:rFonts w:ascii="Times New Roman" w:hAnsi="Times New Roman"/>
                <w:sz w:val="21"/>
                <w:szCs w:val="21"/>
                <w:highlight w:val="none"/>
              </w:rPr>
            </w:pPr>
          </w:p>
        </w:tc>
        <w:tc>
          <w:tcPr>
            <w:tcW w:w="1029" w:type="pct"/>
            <w:noWrap/>
            <w:vAlign w:val="center"/>
          </w:tcPr>
          <w:p w14:paraId="62BC5ABD">
            <w:pPr>
              <w:pStyle w:val="27"/>
              <w:ind w:firstLine="0" w:firstLineChars="0"/>
              <w:rPr>
                <w:rFonts w:ascii="Times New Roman" w:hAnsi="Times New Roman"/>
                <w:sz w:val="21"/>
                <w:szCs w:val="21"/>
                <w:highlight w:val="none"/>
              </w:rPr>
            </w:pPr>
            <w:r>
              <w:rPr>
                <w:rFonts w:ascii="Times New Roman" w:hAnsi="Times New Roman"/>
                <w:sz w:val="21"/>
                <w:szCs w:val="21"/>
                <w:highlight w:val="none"/>
              </w:rPr>
              <w:t>锅炉回水温度</w:t>
            </w:r>
          </w:p>
        </w:tc>
        <w:tc>
          <w:tcPr>
            <w:tcW w:w="2544" w:type="pct"/>
            <w:noWrap/>
            <w:vAlign w:val="center"/>
          </w:tcPr>
          <w:p w14:paraId="10E2ED9C">
            <w:pPr>
              <w:pStyle w:val="27"/>
              <w:rPr>
                <w:rFonts w:ascii="Times New Roman" w:hAnsi="Times New Roman" w:cs="Times New Roman"/>
                <w:sz w:val="21"/>
                <w:szCs w:val="21"/>
                <w:highlight w:val="none"/>
              </w:rPr>
            </w:pPr>
            <w:r>
              <w:rPr>
                <w:rFonts w:ascii="Times New Roman" w:hAnsi="Times New Roman" w:cs="Times New Roman"/>
                <w:sz w:val="21"/>
                <w:szCs w:val="21"/>
                <w:highlight w:val="none"/>
              </w:rPr>
              <w:t>70</w:t>
            </w:r>
            <w:r>
              <w:rPr>
                <w:rFonts w:hint="eastAsia" w:ascii="Times New Roman" w:hAnsi="Times New Roman" w:cs="Times New Roman"/>
                <w:sz w:val="21"/>
                <w:szCs w:val="21"/>
                <w:highlight w:val="none"/>
              </w:rPr>
              <w:t>℃</w:t>
            </w:r>
          </w:p>
        </w:tc>
      </w:tr>
      <w:tr w14:paraId="6D801B2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1426" w:type="pct"/>
            <w:vMerge w:val="continue"/>
            <w:noWrap/>
            <w:vAlign w:val="center"/>
          </w:tcPr>
          <w:p w14:paraId="007D310A">
            <w:pPr>
              <w:pStyle w:val="27"/>
              <w:rPr>
                <w:rFonts w:ascii="Times New Roman" w:hAnsi="Times New Roman"/>
                <w:sz w:val="21"/>
                <w:szCs w:val="21"/>
                <w:highlight w:val="none"/>
              </w:rPr>
            </w:pPr>
          </w:p>
        </w:tc>
        <w:tc>
          <w:tcPr>
            <w:tcW w:w="1029" w:type="pct"/>
            <w:noWrap/>
            <w:vAlign w:val="center"/>
          </w:tcPr>
          <w:p w14:paraId="38B78654">
            <w:pPr>
              <w:pStyle w:val="27"/>
              <w:ind w:firstLine="0" w:firstLineChars="0"/>
              <w:rPr>
                <w:rFonts w:ascii="Times New Roman" w:hAnsi="Times New Roman"/>
                <w:sz w:val="21"/>
                <w:szCs w:val="21"/>
                <w:highlight w:val="none"/>
              </w:rPr>
            </w:pPr>
            <w:r>
              <w:rPr>
                <w:rFonts w:ascii="Times New Roman" w:hAnsi="Times New Roman"/>
                <w:sz w:val="21"/>
                <w:szCs w:val="21"/>
                <w:highlight w:val="none"/>
              </w:rPr>
              <w:t>设计压力</w:t>
            </w:r>
          </w:p>
        </w:tc>
        <w:tc>
          <w:tcPr>
            <w:tcW w:w="2544" w:type="pct"/>
            <w:noWrap/>
            <w:vAlign w:val="center"/>
          </w:tcPr>
          <w:p w14:paraId="0671675E">
            <w:pPr>
              <w:pStyle w:val="27"/>
              <w:rPr>
                <w:rFonts w:ascii="Times New Roman" w:hAnsi="Times New Roman" w:cs="Times New Roman"/>
                <w:sz w:val="21"/>
                <w:szCs w:val="21"/>
                <w:highlight w:val="none"/>
              </w:rPr>
            </w:pPr>
            <w:r>
              <w:rPr>
                <w:rFonts w:ascii="Times New Roman" w:hAnsi="Times New Roman" w:cs="Times New Roman"/>
                <w:sz w:val="21"/>
                <w:szCs w:val="21"/>
                <w:highlight w:val="none"/>
              </w:rPr>
              <w:t>1.6MPa</w:t>
            </w:r>
          </w:p>
        </w:tc>
      </w:tr>
      <w:tr w14:paraId="799C2C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1426" w:type="pct"/>
            <w:vMerge w:val="continue"/>
            <w:noWrap/>
            <w:vAlign w:val="center"/>
          </w:tcPr>
          <w:p w14:paraId="35FE2669">
            <w:pPr>
              <w:pStyle w:val="27"/>
              <w:rPr>
                <w:rFonts w:ascii="Times New Roman" w:hAnsi="Times New Roman"/>
                <w:sz w:val="21"/>
                <w:szCs w:val="21"/>
                <w:highlight w:val="none"/>
              </w:rPr>
            </w:pPr>
          </w:p>
        </w:tc>
        <w:tc>
          <w:tcPr>
            <w:tcW w:w="1029" w:type="pct"/>
            <w:noWrap/>
            <w:vAlign w:val="center"/>
          </w:tcPr>
          <w:p w14:paraId="4CA81B76">
            <w:pPr>
              <w:pStyle w:val="27"/>
              <w:ind w:firstLine="0" w:firstLineChars="0"/>
              <w:rPr>
                <w:rFonts w:ascii="Times New Roman" w:hAnsi="Times New Roman"/>
                <w:sz w:val="21"/>
                <w:szCs w:val="21"/>
                <w:highlight w:val="none"/>
              </w:rPr>
            </w:pPr>
            <w:r>
              <w:rPr>
                <w:rFonts w:ascii="Times New Roman" w:hAnsi="Times New Roman"/>
                <w:sz w:val="21"/>
                <w:szCs w:val="21"/>
                <w:highlight w:val="none"/>
              </w:rPr>
              <w:t>排烟温度</w:t>
            </w:r>
          </w:p>
        </w:tc>
        <w:tc>
          <w:tcPr>
            <w:tcW w:w="2544" w:type="pct"/>
            <w:noWrap/>
            <w:vAlign w:val="center"/>
          </w:tcPr>
          <w:p w14:paraId="4F88937D">
            <w:pPr>
              <w:pStyle w:val="27"/>
              <w:rPr>
                <w:rFonts w:ascii="Times New Roman" w:hAnsi="Times New Roman" w:cs="Times New Roman"/>
                <w:sz w:val="21"/>
                <w:szCs w:val="21"/>
                <w:highlight w:val="none"/>
              </w:rPr>
            </w:pPr>
            <w:r>
              <w:rPr>
                <w:rFonts w:ascii="Times New Roman" w:hAnsi="Times New Roman" w:cs="Times New Roman"/>
                <w:sz w:val="21"/>
                <w:szCs w:val="21"/>
                <w:highlight w:val="none"/>
              </w:rPr>
              <w:t>130</w:t>
            </w:r>
            <w:r>
              <w:rPr>
                <w:rFonts w:hint="eastAsia" w:ascii="Times New Roman" w:hAnsi="Times New Roman" w:cs="Times New Roman"/>
                <w:sz w:val="21"/>
                <w:szCs w:val="21"/>
                <w:highlight w:val="none"/>
              </w:rPr>
              <w:t>℃</w:t>
            </w:r>
          </w:p>
        </w:tc>
      </w:tr>
      <w:tr w14:paraId="46CBF3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1426" w:type="pct"/>
            <w:vMerge w:val="continue"/>
            <w:noWrap/>
            <w:vAlign w:val="center"/>
          </w:tcPr>
          <w:p w14:paraId="7C260BF4">
            <w:pPr>
              <w:pStyle w:val="27"/>
              <w:rPr>
                <w:rFonts w:ascii="Times New Roman" w:hAnsi="Times New Roman"/>
                <w:sz w:val="21"/>
                <w:szCs w:val="21"/>
                <w:highlight w:val="none"/>
              </w:rPr>
            </w:pPr>
          </w:p>
        </w:tc>
        <w:tc>
          <w:tcPr>
            <w:tcW w:w="1029" w:type="pct"/>
            <w:noWrap/>
            <w:vAlign w:val="center"/>
          </w:tcPr>
          <w:p w14:paraId="244B7076">
            <w:pPr>
              <w:pStyle w:val="27"/>
              <w:ind w:firstLine="0" w:firstLineChars="0"/>
              <w:rPr>
                <w:rFonts w:ascii="Times New Roman" w:hAnsi="Times New Roman"/>
                <w:sz w:val="21"/>
                <w:szCs w:val="21"/>
                <w:highlight w:val="none"/>
              </w:rPr>
            </w:pPr>
            <w:r>
              <w:rPr>
                <w:rFonts w:ascii="Times New Roman" w:hAnsi="Times New Roman"/>
                <w:sz w:val="21"/>
                <w:szCs w:val="21"/>
                <w:highlight w:val="none"/>
              </w:rPr>
              <w:t>锅炉效率</w:t>
            </w:r>
          </w:p>
        </w:tc>
        <w:tc>
          <w:tcPr>
            <w:tcW w:w="2544" w:type="pct"/>
            <w:noWrap/>
            <w:vAlign w:val="center"/>
          </w:tcPr>
          <w:p w14:paraId="2EA6E2B5">
            <w:pPr>
              <w:pStyle w:val="27"/>
              <w:rPr>
                <w:rFonts w:ascii="Times New Roman" w:hAnsi="Times New Roman" w:cs="Times New Roman"/>
                <w:sz w:val="21"/>
                <w:szCs w:val="21"/>
                <w:highlight w:val="none"/>
              </w:rPr>
            </w:pPr>
            <w:r>
              <w:rPr>
                <w:rFonts w:ascii="Times New Roman" w:hAnsi="Times New Roman" w:cs="Times New Roman"/>
                <w:sz w:val="21"/>
                <w:szCs w:val="21"/>
                <w:highlight w:val="none"/>
              </w:rPr>
              <w:t>90%</w:t>
            </w:r>
          </w:p>
        </w:tc>
      </w:tr>
      <w:tr w14:paraId="5F0A7C6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1426" w:type="pct"/>
            <w:vMerge w:val="restart"/>
            <w:shd w:val="clear" w:color="auto" w:fill="auto"/>
            <w:noWrap/>
            <w:vAlign w:val="center"/>
          </w:tcPr>
          <w:p w14:paraId="20C018EE">
            <w:pPr>
              <w:pStyle w:val="27"/>
              <w:ind w:firstLine="0" w:firstLineChars="0"/>
              <w:rPr>
                <w:rFonts w:hint="default" w:ascii="Times New Roman" w:hAnsi="Times New Roman" w:eastAsia="新宋体" w:cs="Times New Roman"/>
                <w:kern w:val="2"/>
                <w:sz w:val="21"/>
                <w:szCs w:val="21"/>
                <w:highlight w:val="none"/>
                <w:lang w:val="en-US" w:eastAsia="zh-CN" w:bidi="ar-SA"/>
              </w:rPr>
            </w:pPr>
            <w:r>
              <w:rPr>
                <w:rFonts w:hint="eastAsia" w:ascii="Times New Roman" w:hAnsi="Times New Roman"/>
                <w:sz w:val="21"/>
                <w:szCs w:val="21"/>
                <w:highlight w:val="none"/>
                <w:lang w:val="en-US" w:eastAsia="zh-CN"/>
              </w:rPr>
              <w:t>58MW</w:t>
            </w:r>
            <w:r>
              <w:rPr>
                <w:rFonts w:hint="eastAsia" w:ascii="宋体" w:hAnsi="宋体" w:eastAsia="宋体" w:cs="宋体"/>
                <w:sz w:val="21"/>
                <w:szCs w:val="21"/>
                <w:highlight w:val="none"/>
                <w:lang w:val="en-US" w:eastAsia="zh-CN"/>
              </w:rPr>
              <w:t>链条式热水锅炉</w:t>
            </w:r>
          </w:p>
        </w:tc>
        <w:tc>
          <w:tcPr>
            <w:tcW w:w="1754" w:type="dxa"/>
            <w:noWrap/>
            <w:vAlign w:val="center"/>
          </w:tcPr>
          <w:p w14:paraId="0D47372F">
            <w:pPr>
              <w:pStyle w:val="27"/>
              <w:ind w:firstLine="0" w:firstLineChars="0"/>
              <w:rPr>
                <w:rFonts w:ascii="Times New Roman" w:hAnsi="Times New Roman"/>
                <w:sz w:val="21"/>
                <w:szCs w:val="21"/>
                <w:highlight w:val="none"/>
              </w:rPr>
            </w:pPr>
            <w:r>
              <w:rPr>
                <w:rFonts w:ascii="Times New Roman" w:hAnsi="Times New Roman"/>
                <w:sz w:val="21"/>
                <w:szCs w:val="21"/>
                <w:highlight w:val="none"/>
              </w:rPr>
              <w:t>型号</w:t>
            </w:r>
          </w:p>
        </w:tc>
        <w:tc>
          <w:tcPr>
            <w:tcW w:w="4337" w:type="dxa"/>
            <w:noWrap/>
            <w:vAlign w:val="center"/>
          </w:tcPr>
          <w:p w14:paraId="42394D88">
            <w:pPr>
              <w:pStyle w:val="27"/>
              <w:rPr>
                <w:rFonts w:ascii="Times New Roman" w:hAnsi="Times New Roman" w:cs="Times New Roman"/>
                <w:sz w:val="21"/>
                <w:szCs w:val="21"/>
                <w:highlight w:val="none"/>
              </w:rPr>
            </w:pPr>
            <w:r>
              <w:rPr>
                <w:rFonts w:hint="eastAsia" w:ascii="Times New Roman" w:hAnsi="Times New Roman" w:cs="Times New Roman"/>
                <w:sz w:val="21"/>
                <w:szCs w:val="21"/>
                <w:highlight w:val="none"/>
                <w:lang w:val="en-US" w:eastAsia="zh-CN"/>
              </w:rPr>
              <w:t>DZL58-1.25/130/70-A</w:t>
            </w:r>
            <w:r>
              <w:rPr>
                <w:rFonts w:hint="default" w:ascii="Times New Roman" w:hAnsi="Times New Roman" w:cs="Times New Roman"/>
                <w:sz w:val="21"/>
                <w:szCs w:val="21"/>
                <w:highlight w:val="none"/>
              </w:rPr>
              <w:t>Ⅱ</w:t>
            </w:r>
            <w:r>
              <w:rPr>
                <w:rFonts w:hint="eastAsia" w:ascii="Times New Roman" w:hAnsi="Times New Roman" w:cs="Times New Roman"/>
                <w:sz w:val="21"/>
                <w:szCs w:val="21"/>
                <w:highlight w:val="none"/>
                <w:lang w:val="en-US" w:eastAsia="zh-CN"/>
              </w:rPr>
              <w:t>3   58MW  1.25</w:t>
            </w:r>
            <w:r>
              <w:rPr>
                <w:rFonts w:ascii="Times New Roman" w:hAnsi="Times New Roman" w:cs="Times New Roman"/>
                <w:sz w:val="21"/>
                <w:szCs w:val="21"/>
                <w:highlight w:val="none"/>
              </w:rPr>
              <w:t>MPa</w:t>
            </w:r>
          </w:p>
        </w:tc>
      </w:tr>
      <w:tr w14:paraId="0ED15A8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1426" w:type="pct"/>
            <w:vMerge w:val="continue"/>
            <w:noWrap/>
            <w:vAlign w:val="center"/>
          </w:tcPr>
          <w:p w14:paraId="700F9A5D">
            <w:pPr>
              <w:pStyle w:val="27"/>
              <w:rPr>
                <w:rFonts w:ascii="Times New Roman" w:hAnsi="Times New Roman"/>
                <w:sz w:val="21"/>
                <w:szCs w:val="21"/>
                <w:highlight w:val="none"/>
              </w:rPr>
            </w:pPr>
          </w:p>
        </w:tc>
        <w:tc>
          <w:tcPr>
            <w:tcW w:w="1754" w:type="dxa"/>
            <w:noWrap/>
            <w:vAlign w:val="center"/>
          </w:tcPr>
          <w:p w14:paraId="5D08C12A">
            <w:pPr>
              <w:pStyle w:val="27"/>
              <w:ind w:firstLine="0" w:firstLineChars="0"/>
              <w:rPr>
                <w:rFonts w:ascii="Times New Roman" w:hAnsi="Times New Roman"/>
                <w:sz w:val="21"/>
                <w:szCs w:val="21"/>
                <w:highlight w:val="none"/>
              </w:rPr>
            </w:pPr>
            <w:r>
              <w:rPr>
                <w:rFonts w:ascii="Times New Roman" w:hAnsi="Times New Roman"/>
                <w:sz w:val="21"/>
                <w:szCs w:val="21"/>
                <w:highlight w:val="none"/>
              </w:rPr>
              <w:t>热功率</w:t>
            </w:r>
          </w:p>
        </w:tc>
        <w:tc>
          <w:tcPr>
            <w:tcW w:w="4337" w:type="dxa"/>
            <w:noWrap/>
            <w:vAlign w:val="center"/>
          </w:tcPr>
          <w:p w14:paraId="24F7904C">
            <w:pPr>
              <w:pStyle w:val="27"/>
              <w:rPr>
                <w:rFonts w:ascii="Times New Roman" w:hAnsi="Times New Roman" w:cs="Times New Roman"/>
                <w:sz w:val="21"/>
                <w:szCs w:val="21"/>
                <w:highlight w:val="none"/>
              </w:rPr>
            </w:pPr>
            <w:r>
              <w:rPr>
                <w:rFonts w:hint="eastAsia" w:ascii="Times New Roman" w:hAnsi="Times New Roman" w:cs="Times New Roman"/>
                <w:sz w:val="21"/>
                <w:szCs w:val="21"/>
                <w:highlight w:val="none"/>
                <w:lang w:val="en-US" w:eastAsia="zh-CN"/>
              </w:rPr>
              <w:t>58</w:t>
            </w:r>
            <w:r>
              <w:rPr>
                <w:rFonts w:ascii="Times New Roman" w:hAnsi="Times New Roman" w:cs="Times New Roman"/>
                <w:sz w:val="21"/>
                <w:szCs w:val="21"/>
                <w:highlight w:val="none"/>
              </w:rPr>
              <w:t>MW</w:t>
            </w:r>
          </w:p>
        </w:tc>
      </w:tr>
      <w:tr w14:paraId="4AFC92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1426" w:type="pct"/>
            <w:vMerge w:val="continue"/>
            <w:noWrap/>
            <w:vAlign w:val="center"/>
          </w:tcPr>
          <w:p w14:paraId="3531E29D">
            <w:pPr>
              <w:pStyle w:val="27"/>
              <w:rPr>
                <w:rFonts w:ascii="Times New Roman" w:hAnsi="Times New Roman"/>
                <w:sz w:val="21"/>
                <w:szCs w:val="21"/>
                <w:highlight w:val="none"/>
              </w:rPr>
            </w:pPr>
          </w:p>
        </w:tc>
        <w:tc>
          <w:tcPr>
            <w:tcW w:w="1754" w:type="dxa"/>
            <w:noWrap/>
            <w:vAlign w:val="center"/>
          </w:tcPr>
          <w:p w14:paraId="67551499">
            <w:pPr>
              <w:pStyle w:val="27"/>
              <w:ind w:firstLine="0" w:firstLineChars="0"/>
              <w:rPr>
                <w:rFonts w:ascii="Times New Roman" w:hAnsi="Times New Roman"/>
                <w:sz w:val="21"/>
                <w:szCs w:val="21"/>
                <w:highlight w:val="none"/>
              </w:rPr>
            </w:pPr>
            <w:r>
              <w:rPr>
                <w:rFonts w:ascii="Times New Roman" w:hAnsi="Times New Roman"/>
                <w:sz w:val="21"/>
                <w:szCs w:val="21"/>
                <w:highlight w:val="none"/>
              </w:rPr>
              <w:t>锅炉供水温度</w:t>
            </w:r>
          </w:p>
        </w:tc>
        <w:tc>
          <w:tcPr>
            <w:tcW w:w="4337" w:type="dxa"/>
            <w:noWrap/>
            <w:vAlign w:val="center"/>
          </w:tcPr>
          <w:p w14:paraId="12A23CF0">
            <w:pPr>
              <w:pStyle w:val="27"/>
              <w:rPr>
                <w:rFonts w:ascii="Times New Roman" w:hAnsi="Times New Roman" w:cs="Times New Roman"/>
                <w:sz w:val="21"/>
                <w:szCs w:val="21"/>
                <w:highlight w:val="none"/>
              </w:rPr>
            </w:pPr>
            <w:r>
              <w:rPr>
                <w:rFonts w:ascii="Times New Roman" w:hAnsi="Times New Roman" w:cs="Times New Roman"/>
                <w:sz w:val="21"/>
                <w:szCs w:val="21"/>
                <w:highlight w:val="none"/>
              </w:rPr>
              <w:t>130</w:t>
            </w:r>
            <w:r>
              <w:rPr>
                <w:rFonts w:hint="eastAsia" w:ascii="Times New Roman" w:hAnsi="Times New Roman" w:cs="Times New Roman"/>
                <w:sz w:val="21"/>
                <w:szCs w:val="21"/>
                <w:highlight w:val="none"/>
              </w:rPr>
              <w:t>℃</w:t>
            </w:r>
          </w:p>
        </w:tc>
      </w:tr>
      <w:tr w14:paraId="0912AF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1426" w:type="pct"/>
            <w:vMerge w:val="continue"/>
            <w:noWrap/>
            <w:vAlign w:val="center"/>
          </w:tcPr>
          <w:p w14:paraId="25F0D759">
            <w:pPr>
              <w:pStyle w:val="27"/>
              <w:rPr>
                <w:rFonts w:ascii="Times New Roman" w:hAnsi="Times New Roman"/>
                <w:sz w:val="21"/>
                <w:szCs w:val="21"/>
                <w:highlight w:val="none"/>
              </w:rPr>
            </w:pPr>
          </w:p>
        </w:tc>
        <w:tc>
          <w:tcPr>
            <w:tcW w:w="1754" w:type="dxa"/>
            <w:noWrap/>
            <w:vAlign w:val="center"/>
          </w:tcPr>
          <w:p w14:paraId="7FA3F3B6">
            <w:pPr>
              <w:pStyle w:val="27"/>
              <w:ind w:firstLine="0" w:firstLineChars="0"/>
              <w:rPr>
                <w:rFonts w:ascii="Times New Roman" w:hAnsi="Times New Roman"/>
                <w:sz w:val="21"/>
                <w:szCs w:val="21"/>
                <w:highlight w:val="none"/>
              </w:rPr>
            </w:pPr>
            <w:r>
              <w:rPr>
                <w:rFonts w:ascii="Times New Roman" w:hAnsi="Times New Roman"/>
                <w:sz w:val="21"/>
                <w:szCs w:val="21"/>
                <w:highlight w:val="none"/>
              </w:rPr>
              <w:t>锅炉回水温度</w:t>
            </w:r>
          </w:p>
        </w:tc>
        <w:tc>
          <w:tcPr>
            <w:tcW w:w="4337" w:type="dxa"/>
            <w:noWrap/>
            <w:vAlign w:val="center"/>
          </w:tcPr>
          <w:p w14:paraId="5D7ED4D2">
            <w:pPr>
              <w:pStyle w:val="27"/>
              <w:rPr>
                <w:rFonts w:ascii="Times New Roman" w:hAnsi="Times New Roman" w:cs="Times New Roman"/>
                <w:sz w:val="21"/>
                <w:szCs w:val="21"/>
                <w:highlight w:val="none"/>
              </w:rPr>
            </w:pPr>
            <w:r>
              <w:rPr>
                <w:rFonts w:ascii="Times New Roman" w:hAnsi="Times New Roman" w:cs="Times New Roman"/>
                <w:sz w:val="21"/>
                <w:szCs w:val="21"/>
                <w:highlight w:val="none"/>
              </w:rPr>
              <w:t>70</w:t>
            </w:r>
            <w:r>
              <w:rPr>
                <w:rFonts w:hint="eastAsia" w:ascii="Times New Roman" w:hAnsi="Times New Roman" w:cs="Times New Roman"/>
                <w:sz w:val="21"/>
                <w:szCs w:val="21"/>
                <w:highlight w:val="none"/>
              </w:rPr>
              <w:t>℃</w:t>
            </w:r>
          </w:p>
        </w:tc>
      </w:tr>
      <w:tr w14:paraId="4C97CA0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1426" w:type="pct"/>
            <w:vMerge w:val="continue"/>
            <w:noWrap/>
            <w:vAlign w:val="center"/>
          </w:tcPr>
          <w:p w14:paraId="778A5693">
            <w:pPr>
              <w:pStyle w:val="27"/>
              <w:rPr>
                <w:rFonts w:ascii="Times New Roman" w:hAnsi="Times New Roman"/>
                <w:sz w:val="21"/>
                <w:szCs w:val="21"/>
                <w:highlight w:val="none"/>
              </w:rPr>
            </w:pPr>
          </w:p>
        </w:tc>
        <w:tc>
          <w:tcPr>
            <w:tcW w:w="1754" w:type="dxa"/>
            <w:noWrap/>
            <w:vAlign w:val="center"/>
          </w:tcPr>
          <w:p w14:paraId="1975A826">
            <w:pPr>
              <w:pStyle w:val="27"/>
              <w:ind w:firstLine="0" w:firstLineChars="0"/>
              <w:rPr>
                <w:rFonts w:ascii="Times New Roman" w:hAnsi="Times New Roman"/>
                <w:sz w:val="21"/>
                <w:szCs w:val="21"/>
                <w:highlight w:val="none"/>
              </w:rPr>
            </w:pPr>
            <w:r>
              <w:rPr>
                <w:rFonts w:ascii="Times New Roman" w:hAnsi="Times New Roman"/>
                <w:sz w:val="21"/>
                <w:szCs w:val="21"/>
                <w:highlight w:val="none"/>
              </w:rPr>
              <w:t>设计压力</w:t>
            </w:r>
          </w:p>
        </w:tc>
        <w:tc>
          <w:tcPr>
            <w:tcW w:w="4337" w:type="dxa"/>
            <w:noWrap/>
            <w:vAlign w:val="center"/>
          </w:tcPr>
          <w:p w14:paraId="374AE95E">
            <w:pPr>
              <w:pStyle w:val="27"/>
              <w:rPr>
                <w:rFonts w:ascii="Times New Roman" w:hAnsi="Times New Roman" w:cs="Times New Roman"/>
                <w:sz w:val="21"/>
                <w:szCs w:val="21"/>
                <w:highlight w:val="none"/>
              </w:rPr>
            </w:pPr>
            <w:r>
              <w:rPr>
                <w:rFonts w:hint="eastAsia" w:ascii="Times New Roman" w:hAnsi="Times New Roman" w:cs="Times New Roman"/>
                <w:sz w:val="21"/>
                <w:szCs w:val="21"/>
                <w:highlight w:val="none"/>
                <w:lang w:val="en-US" w:eastAsia="zh-CN"/>
              </w:rPr>
              <w:t>1.25</w:t>
            </w:r>
            <w:r>
              <w:rPr>
                <w:rFonts w:ascii="Times New Roman" w:hAnsi="Times New Roman" w:cs="Times New Roman"/>
                <w:sz w:val="21"/>
                <w:szCs w:val="21"/>
                <w:highlight w:val="none"/>
              </w:rPr>
              <w:t>MPa</w:t>
            </w:r>
          </w:p>
        </w:tc>
      </w:tr>
      <w:tr w14:paraId="627F646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1426" w:type="pct"/>
            <w:vMerge w:val="continue"/>
            <w:noWrap/>
            <w:vAlign w:val="center"/>
          </w:tcPr>
          <w:p w14:paraId="3EA26E4D">
            <w:pPr>
              <w:pStyle w:val="27"/>
              <w:rPr>
                <w:rFonts w:ascii="Times New Roman" w:hAnsi="Times New Roman"/>
                <w:sz w:val="21"/>
                <w:szCs w:val="21"/>
                <w:highlight w:val="none"/>
              </w:rPr>
            </w:pPr>
          </w:p>
        </w:tc>
        <w:tc>
          <w:tcPr>
            <w:tcW w:w="1754" w:type="dxa"/>
            <w:noWrap/>
            <w:vAlign w:val="center"/>
          </w:tcPr>
          <w:p w14:paraId="1CC166BF">
            <w:pPr>
              <w:pStyle w:val="27"/>
              <w:ind w:firstLine="0" w:firstLineChars="0"/>
              <w:rPr>
                <w:rFonts w:ascii="Times New Roman" w:hAnsi="Times New Roman"/>
                <w:sz w:val="21"/>
                <w:szCs w:val="21"/>
                <w:highlight w:val="none"/>
              </w:rPr>
            </w:pPr>
            <w:r>
              <w:rPr>
                <w:rFonts w:ascii="Times New Roman" w:hAnsi="Times New Roman"/>
                <w:sz w:val="21"/>
                <w:szCs w:val="21"/>
                <w:highlight w:val="none"/>
              </w:rPr>
              <w:t>排烟温度</w:t>
            </w:r>
          </w:p>
        </w:tc>
        <w:tc>
          <w:tcPr>
            <w:tcW w:w="4337" w:type="dxa"/>
            <w:noWrap/>
            <w:vAlign w:val="center"/>
          </w:tcPr>
          <w:p w14:paraId="3B654B87">
            <w:pPr>
              <w:pStyle w:val="27"/>
              <w:rPr>
                <w:rFonts w:ascii="Times New Roman" w:hAnsi="Times New Roman" w:cs="Times New Roman"/>
                <w:sz w:val="21"/>
                <w:szCs w:val="21"/>
                <w:highlight w:val="none"/>
              </w:rPr>
            </w:pPr>
            <w:r>
              <w:rPr>
                <w:rFonts w:ascii="Times New Roman" w:hAnsi="Times New Roman" w:cs="Times New Roman"/>
                <w:sz w:val="21"/>
                <w:szCs w:val="21"/>
                <w:highlight w:val="none"/>
              </w:rPr>
              <w:t>130</w:t>
            </w:r>
            <w:r>
              <w:rPr>
                <w:rFonts w:hint="eastAsia" w:ascii="Times New Roman" w:hAnsi="Times New Roman" w:cs="Times New Roman"/>
                <w:sz w:val="21"/>
                <w:szCs w:val="21"/>
                <w:highlight w:val="none"/>
              </w:rPr>
              <w:t>℃</w:t>
            </w:r>
          </w:p>
        </w:tc>
      </w:tr>
      <w:tr w14:paraId="24A2C3F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1426" w:type="pct"/>
            <w:vMerge w:val="continue"/>
            <w:noWrap/>
            <w:vAlign w:val="center"/>
          </w:tcPr>
          <w:p w14:paraId="04F458C4">
            <w:pPr>
              <w:pStyle w:val="27"/>
              <w:rPr>
                <w:rFonts w:ascii="Times New Roman" w:hAnsi="Times New Roman"/>
                <w:sz w:val="21"/>
                <w:szCs w:val="21"/>
                <w:highlight w:val="none"/>
              </w:rPr>
            </w:pPr>
          </w:p>
        </w:tc>
        <w:tc>
          <w:tcPr>
            <w:tcW w:w="1754" w:type="dxa"/>
            <w:noWrap/>
            <w:vAlign w:val="center"/>
          </w:tcPr>
          <w:p w14:paraId="77B2356B">
            <w:pPr>
              <w:pStyle w:val="27"/>
              <w:ind w:firstLine="0" w:firstLineChars="0"/>
              <w:rPr>
                <w:rFonts w:ascii="Times New Roman" w:hAnsi="Times New Roman"/>
                <w:sz w:val="21"/>
                <w:szCs w:val="21"/>
                <w:highlight w:val="none"/>
              </w:rPr>
            </w:pPr>
            <w:r>
              <w:rPr>
                <w:rFonts w:ascii="Times New Roman" w:hAnsi="Times New Roman"/>
                <w:sz w:val="21"/>
                <w:szCs w:val="21"/>
                <w:highlight w:val="none"/>
              </w:rPr>
              <w:t>锅炉效率</w:t>
            </w:r>
          </w:p>
        </w:tc>
        <w:tc>
          <w:tcPr>
            <w:tcW w:w="4337" w:type="dxa"/>
            <w:noWrap/>
            <w:vAlign w:val="center"/>
          </w:tcPr>
          <w:p w14:paraId="35AF46D7">
            <w:pPr>
              <w:pStyle w:val="27"/>
              <w:rPr>
                <w:rFonts w:ascii="Times New Roman" w:hAnsi="Times New Roman" w:cs="Times New Roman"/>
                <w:sz w:val="21"/>
                <w:szCs w:val="21"/>
                <w:highlight w:val="none"/>
              </w:rPr>
            </w:pPr>
            <w:r>
              <w:rPr>
                <w:rFonts w:ascii="Times New Roman" w:hAnsi="Times New Roman" w:cs="Times New Roman"/>
                <w:sz w:val="21"/>
                <w:szCs w:val="21"/>
                <w:highlight w:val="none"/>
              </w:rPr>
              <w:t>90%</w:t>
            </w:r>
          </w:p>
        </w:tc>
      </w:tr>
    </w:tbl>
    <w:p w14:paraId="42CDD444">
      <w:pPr>
        <w:pStyle w:val="5"/>
        <w:bidi w:val="0"/>
        <w:ind w:left="0" w:leftChars="0" w:firstLine="0" w:firstLineChars="0"/>
        <w:rPr>
          <w:rFonts w:hint="default"/>
          <w:sz w:val="30"/>
          <w:szCs w:val="30"/>
          <w:highlight w:val="none"/>
          <w:lang w:val="en-US" w:eastAsia="zh-CN"/>
        </w:rPr>
      </w:pPr>
      <w:bookmarkStart w:id="58" w:name="_Toc19995"/>
      <w:r>
        <w:rPr>
          <w:rFonts w:hint="default" w:ascii="Times New Roman" w:hAnsi="Times New Roman" w:eastAsia="宋体" w:cs="Times New Roman"/>
          <w:sz w:val="30"/>
          <w:szCs w:val="30"/>
          <w:highlight w:val="none"/>
          <w:lang w:val="en-US" w:eastAsia="zh-CN"/>
        </w:rPr>
        <w:t>3.1.</w:t>
      </w:r>
      <w:r>
        <w:rPr>
          <w:rFonts w:hint="eastAsia" w:ascii="Times New Roman" w:hAnsi="Times New Roman" w:cs="Times New Roman"/>
          <w:sz w:val="30"/>
          <w:szCs w:val="30"/>
          <w:highlight w:val="none"/>
          <w:lang w:val="en-US" w:eastAsia="zh-CN"/>
        </w:rPr>
        <w:t>5</w:t>
      </w:r>
      <w:r>
        <w:rPr>
          <w:rFonts w:hint="eastAsia"/>
          <w:sz w:val="30"/>
          <w:szCs w:val="30"/>
          <w:highlight w:val="none"/>
          <w:lang w:val="en-US" w:eastAsia="zh-CN"/>
        </w:rPr>
        <w:t>燃料消耗量及成分分析</w:t>
      </w:r>
      <w:bookmarkEnd w:id="58"/>
    </w:p>
    <w:p w14:paraId="196F8630">
      <w:pPr>
        <w:ind w:firstLine="480"/>
        <w:rPr>
          <w:rFonts w:ascii="Times New Roman" w:hAnsi="Times New Roman"/>
          <w:highlight w:val="none"/>
        </w:rPr>
      </w:pPr>
      <w:r>
        <w:rPr>
          <w:rFonts w:hint="eastAsia" w:ascii="Times New Roman" w:hAnsi="Times New Roman"/>
          <w:highlight w:val="none"/>
        </w:rPr>
        <w:t>1</w:t>
      </w:r>
      <w:r>
        <w:rPr>
          <w:rFonts w:ascii="Times New Roman" w:hAnsi="Times New Roman"/>
          <w:highlight w:val="none"/>
        </w:rPr>
        <w:t>）燃煤成分</w:t>
      </w:r>
    </w:p>
    <w:p w14:paraId="62E24AD9">
      <w:pPr>
        <w:ind w:firstLine="480"/>
        <w:rPr>
          <w:rFonts w:ascii="Times New Roman" w:hAnsi="Times New Roman"/>
          <w:highlight w:val="none"/>
        </w:rPr>
      </w:pPr>
      <w:r>
        <w:rPr>
          <w:rFonts w:ascii="Times New Roman" w:hAnsi="Times New Roman"/>
          <w:highlight w:val="none"/>
        </w:rPr>
        <w:t>本工程设计用燃料为燃煤，主要为</w:t>
      </w:r>
      <w:r>
        <w:rPr>
          <w:rFonts w:hint="eastAsia" w:ascii="Times New Roman" w:hAnsi="Times New Roman"/>
          <w:highlight w:val="none"/>
          <w:lang w:val="en-US" w:eastAsia="zh-CN"/>
        </w:rPr>
        <w:t>褐</w:t>
      </w:r>
      <w:r>
        <w:rPr>
          <w:rFonts w:hint="eastAsia" w:ascii="Times New Roman" w:hAnsi="Times New Roman"/>
          <w:highlight w:val="none"/>
        </w:rPr>
        <w:t>煤</w:t>
      </w:r>
      <w:r>
        <w:rPr>
          <w:rFonts w:ascii="Times New Roman" w:hAnsi="Times New Roman"/>
          <w:highlight w:val="none"/>
        </w:rPr>
        <w:t>，</w:t>
      </w:r>
      <w:r>
        <w:rPr>
          <w:rFonts w:hint="eastAsia" w:ascii="Times New Roman" w:hAnsi="Times New Roman"/>
          <w:highlight w:val="none"/>
          <w:lang w:val="en-US" w:eastAsia="zh-CN"/>
        </w:rPr>
        <w:t>主要来自鸡西煤矿</w:t>
      </w:r>
      <w:r>
        <w:rPr>
          <w:rFonts w:ascii="Times New Roman" w:hAnsi="Times New Roman"/>
          <w:highlight w:val="none"/>
        </w:rPr>
        <w:t>成分分析报告详见下表：</w:t>
      </w:r>
    </w:p>
    <w:p w14:paraId="31063007">
      <w:pPr>
        <w:ind w:firstLine="0" w:firstLineChars="0"/>
        <w:jc w:val="center"/>
        <w:rPr>
          <w:rFonts w:ascii="Times New Roman" w:hAnsi="Times New Roman"/>
          <w:highlight w:val="none"/>
        </w:rPr>
      </w:pPr>
    </w:p>
    <w:p w14:paraId="1D0A1E86">
      <w:pPr>
        <w:pStyle w:val="7"/>
        <w:rPr>
          <w:highlight w:val="none"/>
        </w:rPr>
      </w:pPr>
    </w:p>
    <w:p w14:paraId="6022E39A">
      <w:pPr>
        <w:ind w:firstLine="0" w:firstLineChars="0"/>
        <w:jc w:val="center"/>
        <w:rPr>
          <w:rFonts w:ascii="Times New Roman" w:hAnsi="Times New Roman"/>
          <w:highlight w:val="none"/>
        </w:rPr>
      </w:pPr>
      <w:r>
        <w:rPr>
          <w:rFonts w:ascii="Times New Roman" w:hAnsi="Times New Roman"/>
          <w:b/>
          <w:bCs/>
          <w:highlight w:val="none"/>
        </w:rPr>
        <w:t>表3.1-</w:t>
      </w:r>
      <w:r>
        <w:rPr>
          <w:rFonts w:hint="eastAsia" w:ascii="Times New Roman" w:hAnsi="Times New Roman"/>
          <w:b/>
          <w:bCs/>
          <w:highlight w:val="none"/>
          <w:lang w:val="en-US" w:eastAsia="zh-CN"/>
        </w:rPr>
        <w:t>3</w:t>
      </w:r>
      <w:r>
        <w:rPr>
          <w:rFonts w:ascii="Times New Roman" w:hAnsi="Times New Roman"/>
          <w:b/>
          <w:bCs/>
          <w:highlight w:val="none"/>
        </w:rPr>
        <w:t>燃煤成分分析报告</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377"/>
        <w:gridCol w:w="1456"/>
        <w:gridCol w:w="1456"/>
        <w:gridCol w:w="2233"/>
      </w:tblGrid>
      <w:tr w14:paraId="44C8FB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tblHeader/>
          <w:jc w:val="center"/>
        </w:trPr>
        <w:tc>
          <w:tcPr>
            <w:tcW w:w="1981" w:type="pct"/>
            <w:noWrap w:val="0"/>
            <w:vAlign w:val="center"/>
          </w:tcPr>
          <w:p w14:paraId="1353EF22">
            <w:pPr>
              <w:spacing w:line="240" w:lineRule="auto"/>
              <w:ind w:firstLine="0" w:firstLineChars="0"/>
              <w:jc w:val="center"/>
              <w:textAlignment w:val="center"/>
              <w:rPr>
                <w:rFonts w:ascii="Times New Roman" w:hAnsi="Times New Roman"/>
                <w:b/>
                <w:bCs/>
                <w:kern w:val="0"/>
                <w:sz w:val="21"/>
                <w:highlight w:val="none"/>
              </w:rPr>
            </w:pPr>
            <w:r>
              <w:rPr>
                <w:rFonts w:ascii="Times New Roman" w:hAnsi="Times New Roman"/>
                <w:b/>
                <w:bCs/>
                <w:kern w:val="0"/>
                <w:sz w:val="21"/>
                <w:highlight w:val="none"/>
              </w:rPr>
              <w:t>名称</w:t>
            </w:r>
          </w:p>
        </w:tc>
        <w:tc>
          <w:tcPr>
            <w:tcW w:w="854" w:type="pct"/>
            <w:noWrap w:val="0"/>
            <w:vAlign w:val="center"/>
          </w:tcPr>
          <w:p w14:paraId="1F1FE5C9">
            <w:pPr>
              <w:spacing w:line="240" w:lineRule="auto"/>
              <w:ind w:firstLine="0" w:firstLineChars="0"/>
              <w:jc w:val="center"/>
              <w:textAlignment w:val="center"/>
              <w:rPr>
                <w:rFonts w:ascii="Times New Roman" w:hAnsi="Times New Roman"/>
                <w:b/>
                <w:bCs/>
                <w:kern w:val="0"/>
                <w:sz w:val="21"/>
                <w:highlight w:val="none"/>
              </w:rPr>
            </w:pPr>
            <w:r>
              <w:rPr>
                <w:rFonts w:ascii="Times New Roman" w:hAnsi="Times New Roman"/>
                <w:b/>
                <w:bCs/>
                <w:kern w:val="0"/>
                <w:sz w:val="21"/>
                <w:highlight w:val="none"/>
              </w:rPr>
              <w:t>符  号</w:t>
            </w:r>
          </w:p>
        </w:tc>
        <w:tc>
          <w:tcPr>
            <w:tcW w:w="854" w:type="pct"/>
            <w:noWrap w:val="0"/>
            <w:vAlign w:val="center"/>
          </w:tcPr>
          <w:p w14:paraId="68CD04E7">
            <w:pPr>
              <w:spacing w:line="240" w:lineRule="auto"/>
              <w:ind w:firstLine="0" w:firstLineChars="0"/>
              <w:jc w:val="center"/>
              <w:textAlignment w:val="center"/>
              <w:rPr>
                <w:rFonts w:ascii="Times New Roman" w:hAnsi="Times New Roman"/>
                <w:bCs/>
                <w:kern w:val="0"/>
                <w:sz w:val="21"/>
                <w:highlight w:val="none"/>
              </w:rPr>
            </w:pPr>
            <w:r>
              <w:rPr>
                <w:rFonts w:ascii="Times New Roman" w:hAnsi="Times New Roman"/>
                <w:bCs/>
                <w:kern w:val="0"/>
                <w:sz w:val="21"/>
                <w:highlight w:val="none"/>
              </w:rPr>
              <w:t>单位</w:t>
            </w:r>
          </w:p>
        </w:tc>
        <w:tc>
          <w:tcPr>
            <w:tcW w:w="1310" w:type="pct"/>
            <w:noWrap w:val="0"/>
            <w:vAlign w:val="center"/>
          </w:tcPr>
          <w:p w14:paraId="159751C5">
            <w:pPr>
              <w:spacing w:line="240" w:lineRule="auto"/>
              <w:ind w:firstLine="0" w:firstLineChars="0"/>
              <w:jc w:val="center"/>
              <w:textAlignment w:val="center"/>
              <w:rPr>
                <w:rFonts w:ascii="Times New Roman" w:hAnsi="Times New Roman"/>
                <w:b/>
                <w:bCs/>
                <w:kern w:val="0"/>
                <w:sz w:val="21"/>
                <w:highlight w:val="none"/>
              </w:rPr>
            </w:pPr>
            <w:r>
              <w:rPr>
                <w:rFonts w:ascii="Times New Roman" w:hAnsi="Times New Roman"/>
                <w:b/>
                <w:bCs/>
                <w:kern w:val="0"/>
                <w:sz w:val="21"/>
                <w:highlight w:val="none"/>
              </w:rPr>
              <w:t>实际煤种</w:t>
            </w:r>
          </w:p>
        </w:tc>
      </w:tr>
      <w:tr w14:paraId="1420CA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981" w:type="pct"/>
            <w:noWrap w:val="0"/>
            <w:vAlign w:val="center"/>
          </w:tcPr>
          <w:p w14:paraId="3C6544EA">
            <w:pPr>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rPr>
              <w:t>收到基全水分</w:t>
            </w:r>
          </w:p>
        </w:tc>
        <w:tc>
          <w:tcPr>
            <w:tcW w:w="854" w:type="pct"/>
            <w:noWrap w:val="0"/>
            <w:vAlign w:val="center"/>
          </w:tcPr>
          <w:p w14:paraId="5D39CFE9">
            <w:pPr>
              <w:spacing w:line="240" w:lineRule="auto"/>
              <w:ind w:firstLine="0" w:firstLineChars="0"/>
              <w:jc w:val="center"/>
              <w:textAlignment w:val="center"/>
              <w:rPr>
                <w:rFonts w:ascii="Times New Roman" w:hAnsi="Times New Roman"/>
                <w:kern w:val="0"/>
                <w:sz w:val="21"/>
                <w:highlight w:val="none"/>
              </w:rPr>
            </w:pPr>
            <w:r>
              <w:rPr>
                <w:rFonts w:ascii="Times New Roman" w:hAnsi="Times New Roman"/>
                <w:bCs/>
                <w:kern w:val="0"/>
                <w:sz w:val="21"/>
                <w:highlight w:val="none"/>
              </w:rPr>
              <w:t>Mar</w:t>
            </w:r>
          </w:p>
        </w:tc>
        <w:tc>
          <w:tcPr>
            <w:tcW w:w="854" w:type="pct"/>
            <w:noWrap w:val="0"/>
            <w:vAlign w:val="center"/>
          </w:tcPr>
          <w:p w14:paraId="03610688">
            <w:pPr>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rPr>
              <w:t>%</w:t>
            </w:r>
          </w:p>
        </w:tc>
        <w:tc>
          <w:tcPr>
            <w:tcW w:w="1310" w:type="pct"/>
            <w:noWrap w:val="0"/>
            <w:vAlign w:val="center"/>
          </w:tcPr>
          <w:p w14:paraId="2C8C82BC">
            <w:pPr>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5.7</w:t>
            </w:r>
          </w:p>
        </w:tc>
      </w:tr>
      <w:tr w14:paraId="2D8BE5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981" w:type="pct"/>
            <w:noWrap w:val="0"/>
            <w:vAlign w:val="center"/>
          </w:tcPr>
          <w:p w14:paraId="160B6167">
            <w:pPr>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rPr>
              <w:t>收到基灰分</w:t>
            </w:r>
          </w:p>
        </w:tc>
        <w:tc>
          <w:tcPr>
            <w:tcW w:w="854" w:type="pct"/>
            <w:noWrap w:val="0"/>
            <w:vAlign w:val="center"/>
          </w:tcPr>
          <w:p w14:paraId="6D72D704">
            <w:pPr>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rPr>
              <w:t>Aar</w:t>
            </w:r>
          </w:p>
        </w:tc>
        <w:tc>
          <w:tcPr>
            <w:tcW w:w="854" w:type="pct"/>
            <w:noWrap w:val="0"/>
            <w:vAlign w:val="center"/>
          </w:tcPr>
          <w:p w14:paraId="2DE0470F">
            <w:pPr>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rPr>
              <w:t>%</w:t>
            </w:r>
          </w:p>
        </w:tc>
        <w:tc>
          <w:tcPr>
            <w:tcW w:w="1310" w:type="pct"/>
            <w:noWrap w:val="0"/>
            <w:vAlign w:val="center"/>
          </w:tcPr>
          <w:p w14:paraId="5AF81664">
            <w:pPr>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33.71</w:t>
            </w:r>
          </w:p>
        </w:tc>
      </w:tr>
      <w:tr w14:paraId="10A4D1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1981" w:type="pct"/>
            <w:noWrap w:val="0"/>
            <w:vAlign w:val="center"/>
          </w:tcPr>
          <w:p w14:paraId="17F04F48">
            <w:pPr>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rPr>
              <w:t>挥发分</w:t>
            </w:r>
          </w:p>
        </w:tc>
        <w:tc>
          <w:tcPr>
            <w:tcW w:w="854" w:type="pct"/>
            <w:noWrap w:val="0"/>
            <w:vAlign w:val="center"/>
          </w:tcPr>
          <w:p w14:paraId="663C3E0F">
            <w:pPr>
              <w:spacing w:line="240" w:lineRule="auto"/>
              <w:ind w:firstLine="0" w:firstLineChars="0"/>
              <w:jc w:val="center"/>
              <w:textAlignment w:val="center"/>
              <w:rPr>
                <w:rFonts w:ascii="Times New Roman" w:hAnsi="Times New Roman"/>
                <w:kern w:val="0"/>
                <w:sz w:val="21"/>
                <w:highlight w:val="none"/>
              </w:rPr>
            </w:pPr>
            <w:r>
              <w:rPr>
                <w:rFonts w:ascii="Times New Roman" w:hAnsi="Times New Roman"/>
                <w:bCs/>
                <w:kern w:val="0"/>
                <w:sz w:val="21"/>
                <w:highlight w:val="none"/>
              </w:rPr>
              <w:t>Vdaf</w:t>
            </w:r>
          </w:p>
        </w:tc>
        <w:tc>
          <w:tcPr>
            <w:tcW w:w="854" w:type="pct"/>
            <w:noWrap w:val="0"/>
            <w:vAlign w:val="center"/>
          </w:tcPr>
          <w:p w14:paraId="384289E6">
            <w:pPr>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rPr>
              <w:t>%</w:t>
            </w:r>
          </w:p>
        </w:tc>
        <w:tc>
          <w:tcPr>
            <w:tcW w:w="1310" w:type="pct"/>
            <w:noWrap w:val="0"/>
            <w:vAlign w:val="center"/>
          </w:tcPr>
          <w:p w14:paraId="5161F566">
            <w:pPr>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27.90</w:t>
            </w:r>
          </w:p>
        </w:tc>
      </w:tr>
      <w:tr w14:paraId="29A353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981" w:type="pct"/>
            <w:noWrap w:val="0"/>
            <w:vAlign w:val="center"/>
          </w:tcPr>
          <w:p w14:paraId="6C3816B0">
            <w:pPr>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rPr>
              <w:t>收到基低位发热量</w:t>
            </w:r>
          </w:p>
        </w:tc>
        <w:tc>
          <w:tcPr>
            <w:tcW w:w="854" w:type="pct"/>
            <w:noWrap w:val="0"/>
            <w:vAlign w:val="center"/>
          </w:tcPr>
          <w:p w14:paraId="0F1C7057">
            <w:pPr>
              <w:spacing w:line="240" w:lineRule="auto"/>
              <w:ind w:firstLine="0" w:firstLineChars="0"/>
              <w:jc w:val="center"/>
              <w:textAlignment w:val="center"/>
              <w:rPr>
                <w:rFonts w:ascii="Times New Roman" w:hAnsi="Times New Roman"/>
                <w:kern w:val="0"/>
                <w:sz w:val="21"/>
                <w:highlight w:val="none"/>
              </w:rPr>
            </w:pPr>
            <w:r>
              <w:rPr>
                <w:rFonts w:ascii="Times New Roman" w:hAnsi="Times New Roman"/>
                <w:bCs/>
                <w:kern w:val="0"/>
                <w:sz w:val="21"/>
                <w:highlight w:val="none"/>
              </w:rPr>
              <w:t>Qnet,ar</w:t>
            </w:r>
          </w:p>
        </w:tc>
        <w:tc>
          <w:tcPr>
            <w:tcW w:w="854" w:type="pct"/>
            <w:noWrap w:val="0"/>
            <w:vAlign w:val="center"/>
          </w:tcPr>
          <w:p w14:paraId="3A348AD4">
            <w:pPr>
              <w:spacing w:line="240" w:lineRule="auto"/>
              <w:ind w:firstLine="0" w:firstLineChars="0"/>
              <w:jc w:val="center"/>
              <w:textAlignment w:val="center"/>
              <w:rPr>
                <w:rFonts w:ascii="Times New Roman" w:hAnsi="Times New Roman"/>
                <w:kern w:val="0"/>
                <w:sz w:val="21"/>
                <w:highlight w:val="none"/>
              </w:rPr>
            </w:pPr>
            <w:r>
              <w:rPr>
                <w:rFonts w:hint="eastAsia" w:ascii="Times New Roman" w:hAnsi="Times New Roman"/>
                <w:kern w:val="0"/>
                <w:sz w:val="21"/>
                <w:highlight w:val="none"/>
                <w:lang w:val="en-US" w:eastAsia="zh-CN"/>
              </w:rPr>
              <w:t>M</w:t>
            </w:r>
            <w:r>
              <w:rPr>
                <w:rFonts w:ascii="Times New Roman" w:hAnsi="Times New Roman"/>
                <w:kern w:val="0"/>
                <w:sz w:val="21"/>
                <w:highlight w:val="none"/>
              </w:rPr>
              <w:t>J/</w:t>
            </w:r>
            <w:r>
              <w:rPr>
                <w:rFonts w:hint="eastAsia" w:ascii="Times New Roman" w:hAnsi="Times New Roman"/>
                <w:kern w:val="0"/>
                <w:sz w:val="21"/>
                <w:highlight w:val="none"/>
                <w:lang w:val="en-US" w:eastAsia="zh-CN"/>
              </w:rPr>
              <w:t>k</w:t>
            </w:r>
            <w:r>
              <w:rPr>
                <w:rFonts w:ascii="Times New Roman" w:hAnsi="Times New Roman"/>
                <w:kern w:val="0"/>
                <w:sz w:val="21"/>
                <w:highlight w:val="none"/>
              </w:rPr>
              <w:t>g</w:t>
            </w:r>
          </w:p>
        </w:tc>
        <w:tc>
          <w:tcPr>
            <w:tcW w:w="1310" w:type="pct"/>
            <w:noWrap w:val="0"/>
            <w:vAlign w:val="center"/>
          </w:tcPr>
          <w:p w14:paraId="6F298E27">
            <w:pPr>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19.44</w:t>
            </w:r>
          </w:p>
        </w:tc>
      </w:tr>
      <w:tr w14:paraId="2826C9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981" w:type="pct"/>
            <w:noWrap w:val="0"/>
            <w:vAlign w:val="center"/>
          </w:tcPr>
          <w:p w14:paraId="2F3EEF0B">
            <w:pPr>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rPr>
              <w:t>收到基全硫</w:t>
            </w:r>
          </w:p>
        </w:tc>
        <w:tc>
          <w:tcPr>
            <w:tcW w:w="854" w:type="pct"/>
            <w:noWrap w:val="0"/>
            <w:vAlign w:val="center"/>
          </w:tcPr>
          <w:p w14:paraId="4FFA39B1">
            <w:pPr>
              <w:spacing w:line="240" w:lineRule="auto"/>
              <w:ind w:firstLine="0" w:firstLineChars="0"/>
              <w:jc w:val="center"/>
              <w:textAlignment w:val="center"/>
              <w:rPr>
                <w:rFonts w:ascii="Times New Roman" w:hAnsi="Times New Roman"/>
                <w:bCs/>
                <w:kern w:val="0"/>
                <w:sz w:val="21"/>
                <w:highlight w:val="none"/>
              </w:rPr>
            </w:pPr>
            <w:r>
              <w:rPr>
                <w:rFonts w:ascii="Times New Roman" w:hAnsi="Times New Roman"/>
                <w:bCs/>
                <w:kern w:val="0"/>
                <w:sz w:val="21"/>
                <w:highlight w:val="none"/>
              </w:rPr>
              <w:t>Sar</w:t>
            </w:r>
          </w:p>
        </w:tc>
        <w:tc>
          <w:tcPr>
            <w:tcW w:w="854" w:type="pct"/>
            <w:noWrap w:val="0"/>
            <w:vAlign w:val="center"/>
          </w:tcPr>
          <w:p w14:paraId="111B3901">
            <w:pPr>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rPr>
              <w:t>%</w:t>
            </w:r>
          </w:p>
        </w:tc>
        <w:tc>
          <w:tcPr>
            <w:tcW w:w="1310" w:type="pct"/>
            <w:noWrap w:val="0"/>
            <w:vAlign w:val="center"/>
          </w:tcPr>
          <w:p w14:paraId="47678DBF">
            <w:pPr>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0.21</w:t>
            </w:r>
          </w:p>
        </w:tc>
      </w:tr>
      <w:tr w14:paraId="19E27C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981" w:type="pct"/>
            <w:noWrap w:val="0"/>
            <w:vAlign w:val="center"/>
          </w:tcPr>
          <w:p w14:paraId="265A152D">
            <w:pPr>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rPr>
              <w:t>收到基碳</w:t>
            </w:r>
          </w:p>
        </w:tc>
        <w:tc>
          <w:tcPr>
            <w:tcW w:w="854" w:type="pct"/>
            <w:noWrap w:val="0"/>
            <w:vAlign w:val="center"/>
          </w:tcPr>
          <w:p w14:paraId="11CC3A8B">
            <w:pPr>
              <w:spacing w:line="240" w:lineRule="auto"/>
              <w:ind w:firstLine="0" w:firstLineChars="0"/>
              <w:jc w:val="center"/>
              <w:textAlignment w:val="center"/>
              <w:rPr>
                <w:rFonts w:ascii="Times New Roman" w:hAnsi="Times New Roman"/>
                <w:bCs/>
                <w:kern w:val="0"/>
                <w:sz w:val="21"/>
                <w:highlight w:val="none"/>
              </w:rPr>
            </w:pPr>
            <w:r>
              <w:rPr>
                <w:rFonts w:ascii="Times New Roman" w:hAnsi="Times New Roman"/>
                <w:bCs/>
                <w:kern w:val="0"/>
                <w:sz w:val="21"/>
                <w:highlight w:val="none"/>
              </w:rPr>
              <w:t>Car</w:t>
            </w:r>
          </w:p>
        </w:tc>
        <w:tc>
          <w:tcPr>
            <w:tcW w:w="854" w:type="pct"/>
            <w:noWrap w:val="0"/>
            <w:vAlign w:val="center"/>
          </w:tcPr>
          <w:p w14:paraId="56B44FFC">
            <w:pPr>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rPr>
              <w:t>%</w:t>
            </w:r>
          </w:p>
        </w:tc>
        <w:tc>
          <w:tcPr>
            <w:tcW w:w="1310" w:type="pct"/>
            <w:noWrap w:val="0"/>
            <w:vAlign w:val="center"/>
          </w:tcPr>
          <w:p w14:paraId="119C2259">
            <w:pPr>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49.21</w:t>
            </w:r>
          </w:p>
        </w:tc>
      </w:tr>
      <w:tr w14:paraId="7E5648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981" w:type="pct"/>
            <w:noWrap w:val="0"/>
            <w:vAlign w:val="center"/>
          </w:tcPr>
          <w:p w14:paraId="3B642A43">
            <w:pPr>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rPr>
              <w:t>收到基氢</w:t>
            </w:r>
          </w:p>
        </w:tc>
        <w:tc>
          <w:tcPr>
            <w:tcW w:w="854" w:type="pct"/>
            <w:noWrap w:val="0"/>
            <w:vAlign w:val="center"/>
          </w:tcPr>
          <w:p w14:paraId="2AA8A665">
            <w:pPr>
              <w:spacing w:line="240" w:lineRule="auto"/>
              <w:ind w:firstLine="0" w:firstLineChars="0"/>
              <w:jc w:val="center"/>
              <w:textAlignment w:val="center"/>
              <w:rPr>
                <w:rFonts w:ascii="Times New Roman" w:hAnsi="Times New Roman"/>
                <w:bCs/>
                <w:kern w:val="0"/>
                <w:sz w:val="21"/>
                <w:highlight w:val="none"/>
              </w:rPr>
            </w:pPr>
            <w:r>
              <w:rPr>
                <w:rFonts w:ascii="Times New Roman" w:hAnsi="Times New Roman"/>
                <w:bCs/>
                <w:kern w:val="0"/>
                <w:sz w:val="21"/>
                <w:highlight w:val="none"/>
              </w:rPr>
              <w:t>Har</w:t>
            </w:r>
          </w:p>
        </w:tc>
        <w:tc>
          <w:tcPr>
            <w:tcW w:w="854" w:type="pct"/>
            <w:noWrap w:val="0"/>
            <w:vAlign w:val="center"/>
          </w:tcPr>
          <w:p w14:paraId="129A31AB">
            <w:pPr>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rPr>
              <w:t>%</w:t>
            </w:r>
          </w:p>
        </w:tc>
        <w:tc>
          <w:tcPr>
            <w:tcW w:w="1310" w:type="pct"/>
            <w:noWrap w:val="0"/>
            <w:vAlign w:val="center"/>
          </w:tcPr>
          <w:p w14:paraId="758DF919">
            <w:pPr>
              <w:spacing w:line="240" w:lineRule="auto"/>
              <w:ind w:firstLine="0" w:firstLineChars="0"/>
              <w:jc w:val="center"/>
              <w:textAlignment w:val="center"/>
              <w:rPr>
                <w:rFonts w:ascii="Times New Roman" w:hAnsi="Times New Roman"/>
                <w:kern w:val="0"/>
                <w:sz w:val="21"/>
                <w:highlight w:val="none"/>
              </w:rPr>
            </w:pPr>
            <w:r>
              <w:rPr>
                <w:rFonts w:hint="eastAsia" w:ascii="Times New Roman" w:hAnsi="Times New Roman"/>
                <w:kern w:val="0"/>
                <w:sz w:val="21"/>
                <w:highlight w:val="none"/>
              </w:rPr>
              <w:t>3.16</w:t>
            </w:r>
          </w:p>
        </w:tc>
      </w:tr>
      <w:tr w14:paraId="619F7A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981" w:type="pct"/>
            <w:noWrap w:val="0"/>
            <w:vAlign w:val="center"/>
          </w:tcPr>
          <w:p w14:paraId="46C879F6">
            <w:pPr>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rPr>
              <w:t>收到基氮</w:t>
            </w:r>
          </w:p>
        </w:tc>
        <w:tc>
          <w:tcPr>
            <w:tcW w:w="854" w:type="pct"/>
            <w:noWrap w:val="0"/>
            <w:vAlign w:val="center"/>
          </w:tcPr>
          <w:p w14:paraId="007AD6D3">
            <w:pPr>
              <w:spacing w:line="240" w:lineRule="auto"/>
              <w:ind w:firstLine="0" w:firstLineChars="0"/>
              <w:jc w:val="center"/>
              <w:textAlignment w:val="center"/>
              <w:rPr>
                <w:rFonts w:ascii="Times New Roman" w:hAnsi="Times New Roman"/>
                <w:bCs/>
                <w:kern w:val="0"/>
                <w:sz w:val="21"/>
                <w:highlight w:val="none"/>
              </w:rPr>
            </w:pPr>
            <w:r>
              <w:rPr>
                <w:rFonts w:ascii="Times New Roman" w:hAnsi="Times New Roman"/>
                <w:bCs/>
                <w:kern w:val="0"/>
                <w:sz w:val="21"/>
                <w:highlight w:val="none"/>
              </w:rPr>
              <w:t>Nar</w:t>
            </w:r>
          </w:p>
        </w:tc>
        <w:tc>
          <w:tcPr>
            <w:tcW w:w="854" w:type="pct"/>
            <w:noWrap w:val="0"/>
            <w:vAlign w:val="center"/>
          </w:tcPr>
          <w:p w14:paraId="53FC731C">
            <w:pPr>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rPr>
              <w:t>%</w:t>
            </w:r>
          </w:p>
        </w:tc>
        <w:tc>
          <w:tcPr>
            <w:tcW w:w="1310" w:type="pct"/>
            <w:noWrap w:val="0"/>
            <w:vAlign w:val="center"/>
          </w:tcPr>
          <w:p w14:paraId="5DE1A18A">
            <w:pPr>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0.71</w:t>
            </w:r>
          </w:p>
        </w:tc>
      </w:tr>
      <w:tr w14:paraId="020B80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981" w:type="pct"/>
            <w:noWrap w:val="0"/>
            <w:vAlign w:val="center"/>
          </w:tcPr>
          <w:p w14:paraId="5E64E497">
            <w:pPr>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rPr>
              <w:t>收到基氧</w:t>
            </w:r>
          </w:p>
        </w:tc>
        <w:tc>
          <w:tcPr>
            <w:tcW w:w="854" w:type="pct"/>
            <w:noWrap w:val="0"/>
            <w:vAlign w:val="center"/>
          </w:tcPr>
          <w:p w14:paraId="737E4B32">
            <w:pPr>
              <w:spacing w:line="240" w:lineRule="auto"/>
              <w:ind w:firstLine="0" w:firstLineChars="0"/>
              <w:jc w:val="center"/>
              <w:textAlignment w:val="center"/>
              <w:rPr>
                <w:rFonts w:ascii="Times New Roman" w:hAnsi="Times New Roman"/>
                <w:bCs/>
                <w:kern w:val="0"/>
                <w:sz w:val="21"/>
                <w:highlight w:val="none"/>
              </w:rPr>
            </w:pPr>
            <w:r>
              <w:rPr>
                <w:rFonts w:ascii="Times New Roman" w:hAnsi="Times New Roman"/>
                <w:bCs/>
                <w:kern w:val="0"/>
                <w:sz w:val="21"/>
                <w:highlight w:val="none"/>
              </w:rPr>
              <w:t>Oar</w:t>
            </w:r>
          </w:p>
        </w:tc>
        <w:tc>
          <w:tcPr>
            <w:tcW w:w="854" w:type="pct"/>
            <w:noWrap w:val="0"/>
            <w:vAlign w:val="center"/>
          </w:tcPr>
          <w:p w14:paraId="407EB340">
            <w:pPr>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rPr>
              <w:t>%</w:t>
            </w:r>
          </w:p>
        </w:tc>
        <w:tc>
          <w:tcPr>
            <w:tcW w:w="1310" w:type="pct"/>
            <w:noWrap w:val="0"/>
            <w:vAlign w:val="center"/>
          </w:tcPr>
          <w:p w14:paraId="6E95D92E">
            <w:pPr>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6.93</w:t>
            </w:r>
          </w:p>
        </w:tc>
      </w:tr>
      <w:tr w14:paraId="76563A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981" w:type="pct"/>
            <w:noWrap w:val="0"/>
            <w:vAlign w:val="center"/>
          </w:tcPr>
          <w:p w14:paraId="36FB02BD">
            <w:pPr>
              <w:spacing w:line="240" w:lineRule="auto"/>
              <w:ind w:firstLine="0" w:firstLineChars="0"/>
              <w:jc w:val="center"/>
              <w:textAlignment w:val="center"/>
              <w:rPr>
                <w:rFonts w:ascii="Times New Roman" w:hAnsi="Times New Roman"/>
                <w:kern w:val="0"/>
                <w:sz w:val="21"/>
                <w:highlight w:val="none"/>
              </w:rPr>
            </w:pPr>
            <w:r>
              <w:rPr>
                <w:rFonts w:hint="eastAsia" w:ascii="Times New Roman" w:hAnsi="Times New Roman"/>
                <w:kern w:val="0"/>
                <w:sz w:val="21"/>
                <w:highlight w:val="none"/>
                <w:lang w:val="en-US" w:eastAsia="zh-CN"/>
              </w:rPr>
              <w:t>干燥</w:t>
            </w:r>
            <w:r>
              <w:rPr>
                <w:rFonts w:hint="eastAsia" w:ascii="Times New Roman" w:hAnsi="Times New Roman"/>
                <w:kern w:val="0"/>
                <w:sz w:val="21"/>
                <w:highlight w:val="none"/>
              </w:rPr>
              <w:t>基汞</w:t>
            </w:r>
          </w:p>
        </w:tc>
        <w:tc>
          <w:tcPr>
            <w:tcW w:w="854" w:type="pct"/>
            <w:noWrap w:val="0"/>
            <w:vAlign w:val="center"/>
          </w:tcPr>
          <w:p w14:paraId="0DB0C62F">
            <w:pPr>
              <w:spacing w:line="240" w:lineRule="auto"/>
              <w:ind w:firstLine="0" w:firstLineChars="0"/>
              <w:jc w:val="center"/>
              <w:textAlignment w:val="center"/>
              <w:rPr>
                <w:rFonts w:ascii="Times New Roman" w:hAnsi="Times New Roman"/>
                <w:bCs/>
                <w:kern w:val="0"/>
                <w:sz w:val="21"/>
                <w:highlight w:val="none"/>
              </w:rPr>
            </w:pPr>
            <w:r>
              <w:rPr>
                <w:rFonts w:hint="eastAsia" w:ascii="Times New Roman" w:hAnsi="Times New Roman"/>
                <w:bCs/>
                <w:kern w:val="0"/>
                <w:sz w:val="21"/>
                <w:highlight w:val="none"/>
              </w:rPr>
              <w:t>Hgd</w:t>
            </w:r>
          </w:p>
        </w:tc>
        <w:tc>
          <w:tcPr>
            <w:tcW w:w="854" w:type="pct"/>
            <w:noWrap w:val="0"/>
            <w:vAlign w:val="center"/>
          </w:tcPr>
          <w:p w14:paraId="0F00F3F2">
            <w:pPr>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rPr>
              <w:t>μg/g</w:t>
            </w:r>
          </w:p>
        </w:tc>
        <w:tc>
          <w:tcPr>
            <w:tcW w:w="1310" w:type="pct"/>
            <w:noWrap w:val="0"/>
            <w:vAlign w:val="center"/>
          </w:tcPr>
          <w:p w14:paraId="4CD26A64">
            <w:pPr>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0.235</w:t>
            </w:r>
          </w:p>
        </w:tc>
      </w:tr>
    </w:tbl>
    <w:p w14:paraId="20171C1D">
      <w:pPr>
        <w:ind w:firstLine="480"/>
        <w:rPr>
          <w:rFonts w:ascii="Times New Roman" w:hAnsi="Times New Roman"/>
          <w:highlight w:val="none"/>
        </w:rPr>
      </w:pPr>
      <w:r>
        <w:rPr>
          <w:rFonts w:ascii="Times New Roman" w:hAnsi="Times New Roman"/>
          <w:highlight w:val="none"/>
        </w:rPr>
        <w:t>2）燃料消耗</w:t>
      </w:r>
    </w:p>
    <w:p w14:paraId="51C58C6A">
      <w:pPr>
        <w:ind w:firstLine="480"/>
        <w:rPr>
          <w:rFonts w:ascii="Times New Roman" w:hAnsi="Times New Roman"/>
          <w:highlight w:val="none"/>
        </w:rPr>
      </w:pPr>
      <w:r>
        <w:rPr>
          <w:rFonts w:ascii="Times New Roman" w:hAnsi="Times New Roman"/>
          <w:highlight w:val="none"/>
        </w:rPr>
        <w:t>本项目煤质收到基低位发热量为</w:t>
      </w:r>
      <w:r>
        <w:rPr>
          <w:rFonts w:hint="eastAsia" w:ascii="Times New Roman" w:hAnsi="Times New Roman"/>
          <w:highlight w:val="none"/>
          <w:lang w:val="en-US" w:eastAsia="zh-CN"/>
        </w:rPr>
        <w:t>19.44</w:t>
      </w:r>
      <w:r>
        <w:rPr>
          <w:rFonts w:ascii="Times New Roman" w:hAnsi="Times New Roman"/>
          <w:highlight w:val="none"/>
        </w:rPr>
        <w:t>MJ/kg，</w:t>
      </w:r>
      <w:r>
        <w:rPr>
          <w:rFonts w:hint="eastAsia" w:ascii="Times New Roman" w:hAnsi="Times New Roman"/>
          <w:highlight w:val="none"/>
        </w:rPr>
        <w:t>根据本项目</w:t>
      </w:r>
      <w:r>
        <w:rPr>
          <w:rFonts w:hint="eastAsia" w:ascii="Times New Roman" w:hAnsi="Times New Roman"/>
          <w:highlight w:val="none"/>
          <w:lang w:val="en-US" w:eastAsia="zh-CN"/>
        </w:rPr>
        <w:t>实际运行情况</w:t>
      </w:r>
      <w:r>
        <w:rPr>
          <w:rFonts w:hint="eastAsia" w:ascii="Times New Roman" w:hAnsi="Times New Roman"/>
          <w:highlight w:val="none"/>
        </w:rPr>
        <w:t>可知，</w:t>
      </w:r>
      <w:r>
        <w:rPr>
          <w:rFonts w:ascii="Times New Roman" w:hAnsi="Times New Roman"/>
          <w:highlight w:val="none"/>
        </w:rPr>
        <w:t>本项目</w:t>
      </w:r>
      <w:r>
        <w:rPr>
          <w:rFonts w:hint="eastAsia" w:ascii="Times New Roman" w:hAnsi="Times New Roman"/>
          <w:highlight w:val="none"/>
          <w:lang w:val="en-US" w:eastAsia="zh-CN"/>
        </w:rPr>
        <w:t>116MW+</w:t>
      </w:r>
      <w:r>
        <w:rPr>
          <w:rFonts w:hint="default" w:ascii="Times New Roman" w:hAnsi="Times New Roman"/>
          <w:highlight w:val="none"/>
          <w:lang w:val="en-US" w:eastAsia="zh-CN"/>
        </w:rPr>
        <w:t>58</w:t>
      </w:r>
      <w:r>
        <w:rPr>
          <w:rFonts w:hint="eastAsia" w:ascii="Times New Roman" w:hAnsi="Times New Roman"/>
          <w:highlight w:val="none"/>
          <w:lang w:val="en-US" w:eastAsia="zh-CN"/>
        </w:rPr>
        <w:t>MW</w:t>
      </w:r>
      <w:r>
        <w:rPr>
          <w:rFonts w:hint="eastAsia"/>
          <w:highlight w:val="none"/>
          <w:lang w:val="en-US" w:eastAsia="zh-CN"/>
        </w:rPr>
        <w:t>热水锅炉和</w:t>
      </w:r>
      <w:r>
        <w:rPr>
          <w:rFonts w:hint="eastAsia" w:ascii="Times New Roman" w:hAnsi="Times New Roman"/>
          <w:highlight w:val="none"/>
          <w:lang w:val="en-US" w:eastAsia="zh-CN"/>
        </w:rPr>
        <w:t>1</w:t>
      </w:r>
      <w:r>
        <w:rPr>
          <w:rFonts w:hint="eastAsia"/>
          <w:highlight w:val="none"/>
          <w:lang w:val="en-US" w:eastAsia="zh-CN"/>
        </w:rPr>
        <w:t>台</w:t>
      </w:r>
      <w:r>
        <w:rPr>
          <w:rFonts w:hint="eastAsia" w:ascii="Times New Roman" w:hAnsi="Times New Roman"/>
          <w:highlight w:val="none"/>
          <w:lang w:val="en-US" w:eastAsia="zh-CN"/>
        </w:rPr>
        <w:t>35t/h</w:t>
      </w:r>
      <w:r>
        <w:rPr>
          <w:rFonts w:hint="eastAsia"/>
          <w:highlight w:val="none"/>
          <w:lang w:val="en-US" w:eastAsia="zh-CN"/>
        </w:rPr>
        <w:t>蒸汽锅炉共三台</w:t>
      </w:r>
      <w:r>
        <w:rPr>
          <w:rFonts w:hint="eastAsia"/>
          <w:highlight w:val="none"/>
          <w:lang w:val="en-US" w:eastAsia="zh-CN"/>
        </w:rPr>
        <w:t>，</w:t>
      </w:r>
      <w:r>
        <w:rPr>
          <w:rFonts w:ascii="Times New Roman" w:hAnsi="Times New Roman"/>
          <w:highlight w:val="none"/>
        </w:rPr>
        <w:t>耗煤量合计为年耗量为</w:t>
      </w:r>
      <w:r>
        <w:rPr>
          <w:rFonts w:hint="eastAsia" w:ascii="Times New Roman" w:hAnsi="Times New Roman"/>
          <w:highlight w:val="none"/>
          <w:lang w:val="en-US" w:eastAsia="zh-CN"/>
        </w:rPr>
        <w:t>81047.7024</w:t>
      </w:r>
      <w:r>
        <w:rPr>
          <w:rFonts w:ascii="Times New Roman" w:hAnsi="Times New Roman"/>
          <w:highlight w:val="none"/>
        </w:rPr>
        <w:t>t/a。</w:t>
      </w:r>
    </w:p>
    <w:p w14:paraId="791FA9C3">
      <w:pPr>
        <w:ind w:firstLine="0" w:firstLineChars="0"/>
        <w:jc w:val="center"/>
        <w:rPr>
          <w:rFonts w:ascii="Times New Roman" w:hAnsi="Times New Roman"/>
          <w:highlight w:val="none"/>
        </w:rPr>
      </w:pPr>
      <w:r>
        <w:rPr>
          <w:rFonts w:ascii="Times New Roman" w:hAnsi="Times New Roman"/>
          <w:b/>
          <w:bCs/>
          <w:highlight w:val="none"/>
        </w:rPr>
        <w:t>表3.1-</w:t>
      </w:r>
      <w:r>
        <w:rPr>
          <w:rFonts w:hint="eastAsia" w:ascii="Times New Roman" w:hAnsi="Times New Roman"/>
          <w:b/>
          <w:bCs/>
          <w:highlight w:val="none"/>
          <w:lang w:val="en-US" w:eastAsia="zh-CN"/>
        </w:rPr>
        <w:t>4</w:t>
      </w:r>
      <w:r>
        <w:rPr>
          <w:rFonts w:ascii="Times New Roman" w:hAnsi="Times New Roman"/>
          <w:b/>
          <w:bCs/>
          <w:highlight w:val="none"/>
        </w:rPr>
        <w:t>燃料计算</w:t>
      </w:r>
    </w:p>
    <w:tbl>
      <w:tblPr>
        <w:tblStyle w:val="17"/>
        <w:tblpPr w:leftFromText="180" w:rightFromText="180" w:vertAnchor="text" w:horzAnchor="margin" w:tblpXSpec="center" w:tblpY="4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3"/>
        <w:gridCol w:w="2161"/>
        <w:gridCol w:w="1265"/>
        <w:gridCol w:w="2028"/>
        <w:gridCol w:w="2115"/>
      </w:tblGrid>
      <w:tr w14:paraId="158587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tcBorders>
              <w:tl2br w:val="nil"/>
              <w:tr2bl w:val="nil"/>
            </w:tcBorders>
            <w:noWrap w:val="0"/>
            <w:vAlign w:val="center"/>
          </w:tcPr>
          <w:p w14:paraId="2A7B36B2">
            <w:pPr>
              <w:pStyle w:val="27"/>
              <w:rPr>
                <w:rFonts w:ascii="Times New Roman" w:hAnsi="Times New Roman"/>
                <w:highlight w:val="none"/>
              </w:rPr>
            </w:pPr>
            <w:r>
              <w:rPr>
                <w:rFonts w:ascii="Times New Roman" w:hAnsi="Times New Roman"/>
                <w:highlight w:val="none"/>
              </w:rPr>
              <w:t>燃料</w:t>
            </w:r>
          </w:p>
        </w:tc>
        <w:tc>
          <w:tcPr>
            <w:tcW w:w="1267" w:type="pct"/>
            <w:tcBorders>
              <w:tl2br w:val="nil"/>
              <w:tr2bl w:val="nil"/>
            </w:tcBorders>
            <w:noWrap w:val="0"/>
            <w:vAlign w:val="center"/>
          </w:tcPr>
          <w:p w14:paraId="56164724">
            <w:pPr>
              <w:pStyle w:val="27"/>
              <w:rPr>
                <w:rFonts w:ascii="Times New Roman" w:hAnsi="Times New Roman"/>
                <w:highlight w:val="none"/>
              </w:rPr>
            </w:pPr>
            <w:r>
              <w:rPr>
                <w:rFonts w:ascii="Times New Roman" w:hAnsi="Times New Roman"/>
                <w:highlight w:val="none"/>
              </w:rPr>
              <w:t>锅炉规模</w:t>
            </w:r>
          </w:p>
        </w:tc>
        <w:tc>
          <w:tcPr>
            <w:tcW w:w="742" w:type="pct"/>
            <w:tcBorders>
              <w:tl2br w:val="nil"/>
              <w:tr2bl w:val="nil"/>
            </w:tcBorders>
            <w:noWrap w:val="0"/>
            <w:vAlign w:val="center"/>
          </w:tcPr>
          <w:p w14:paraId="2CF0730F">
            <w:pPr>
              <w:pStyle w:val="27"/>
              <w:rPr>
                <w:rFonts w:ascii="Times New Roman" w:hAnsi="Times New Roman"/>
                <w:highlight w:val="none"/>
              </w:rPr>
            </w:pPr>
            <w:r>
              <w:rPr>
                <w:rFonts w:ascii="Times New Roman" w:hAnsi="Times New Roman"/>
                <w:highlight w:val="none"/>
              </w:rPr>
              <w:t>小时耗量(t)</w:t>
            </w:r>
          </w:p>
        </w:tc>
        <w:tc>
          <w:tcPr>
            <w:tcW w:w="1189" w:type="pct"/>
            <w:tcBorders>
              <w:tl2br w:val="nil"/>
              <w:tr2bl w:val="nil"/>
            </w:tcBorders>
            <w:noWrap w:val="0"/>
            <w:vAlign w:val="center"/>
          </w:tcPr>
          <w:p w14:paraId="0ED7AC53">
            <w:pPr>
              <w:pStyle w:val="27"/>
              <w:rPr>
                <w:rFonts w:ascii="Times New Roman" w:hAnsi="Times New Roman"/>
                <w:highlight w:val="none"/>
              </w:rPr>
            </w:pPr>
            <w:r>
              <w:rPr>
                <w:rFonts w:ascii="Times New Roman" w:hAnsi="Times New Roman"/>
                <w:highlight w:val="none"/>
              </w:rPr>
              <w:t>日耗量(t)</w:t>
            </w:r>
          </w:p>
        </w:tc>
        <w:tc>
          <w:tcPr>
            <w:tcW w:w="1240" w:type="pct"/>
            <w:tcBorders>
              <w:tl2br w:val="nil"/>
              <w:tr2bl w:val="nil"/>
            </w:tcBorders>
            <w:noWrap w:val="0"/>
            <w:vAlign w:val="center"/>
          </w:tcPr>
          <w:p w14:paraId="5850EAE1">
            <w:pPr>
              <w:pStyle w:val="27"/>
              <w:rPr>
                <w:rFonts w:ascii="Times New Roman" w:hAnsi="Times New Roman"/>
                <w:highlight w:val="none"/>
              </w:rPr>
            </w:pPr>
            <w:r>
              <w:rPr>
                <w:rFonts w:ascii="Times New Roman" w:hAnsi="Times New Roman"/>
                <w:highlight w:val="none"/>
              </w:rPr>
              <w:t>年耗量(t)</w:t>
            </w:r>
          </w:p>
        </w:tc>
      </w:tr>
      <w:tr w14:paraId="747BCC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restart"/>
            <w:tcBorders>
              <w:tl2br w:val="nil"/>
              <w:tr2bl w:val="nil"/>
            </w:tcBorders>
            <w:noWrap w:val="0"/>
            <w:vAlign w:val="center"/>
          </w:tcPr>
          <w:p w14:paraId="2EBFC4E7">
            <w:pPr>
              <w:pStyle w:val="27"/>
              <w:rPr>
                <w:rFonts w:ascii="Times New Roman" w:hAnsi="Times New Roman"/>
                <w:highlight w:val="none"/>
              </w:rPr>
            </w:pPr>
            <w:r>
              <w:rPr>
                <w:rFonts w:ascii="Times New Roman" w:hAnsi="Times New Roman"/>
                <w:highlight w:val="none"/>
              </w:rPr>
              <w:t>燃煤</w:t>
            </w:r>
          </w:p>
        </w:tc>
        <w:tc>
          <w:tcPr>
            <w:tcW w:w="1267" w:type="pct"/>
            <w:tcBorders>
              <w:tl2br w:val="nil"/>
              <w:tr2bl w:val="nil"/>
            </w:tcBorders>
            <w:noWrap w:val="0"/>
            <w:vAlign w:val="center"/>
          </w:tcPr>
          <w:p w14:paraId="58939A4B">
            <w:pPr>
              <w:pStyle w:val="27"/>
              <w:rPr>
                <w:rFonts w:hint="default" w:ascii="Times New Roman" w:hAnsi="Times New Roman" w:eastAsia="新宋体"/>
                <w:highlight w:val="none"/>
                <w:lang w:val="en-US" w:eastAsia="zh-CN"/>
              </w:rPr>
            </w:pPr>
            <w:r>
              <w:rPr>
                <w:rFonts w:hint="eastAsia" w:ascii="Times New Roman" w:hAnsi="Times New Roman"/>
                <w:highlight w:val="none"/>
                <w:lang w:val="en-US" w:eastAsia="zh-CN"/>
              </w:rPr>
              <w:t>116MW</w:t>
            </w:r>
          </w:p>
        </w:tc>
        <w:tc>
          <w:tcPr>
            <w:tcW w:w="742" w:type="pct"/>
            <w:tcBorders>
              <w:tl2br w:val="nil"/>
              <w:tr2bl w:val="nil"/>
            </w:tcBorders>
            <w:noWrap w:val="0"/>
            <w:vAlign w:val="center"/>
          </w:tcPr>
          <w:p w14:paraId="020AB0C0">
            <w:pPr>
              <w:pStyle w:val="27"/>
              <w:rPr>
                <w:rFonts w:hint="default" w:ascii="Times New Roman" w:hAnsi="Times New Roman" w:eastAsia="新宋体"/>
                <w:highlight w:val="none"/>
                <w:lang w:val="en-US" w:eastAsia="zh-CN"/>
              </w:rPr>
            </w:pPr>
            <w:r>
              <w:rPr>
                <w:rFonts w:hint="eastAsia" w:ascii="Times New Roman" w:hAnsi="Times New Roman"/>
                <w:highlight w:val="none"/>
                <w:lang w:val="en-US" w:eastAsia="zh-CN"/>
              </w:rPr>
              <w:t>28.425</w:t>
            </w:r>
          </w:p>
        </w:tc>
        <w:tc>
          <w:tcPr>
            <w:tcW w:w="1189" w:type="pct"/>
            <w:tcBorders>
              <w:tl2br w:val="nil"/>
              <w:tr2bl w:val="nil"/>
            </w:tcBorders>
            <w:noWrap w:val="0"/>
            <w:vAlign w:val="center"/>
          </w:tcPr>
          <w:p w14:paraId="3A5A9905">
            <w:pPr>
              <w:pStyle w:val="27"/>
              <w:rPr>
                <w:rFonts w:hint="default" w:ascii="Times New Roman" w:hAnsi="Times New Roman" w:eastAsia="新宋体"/>
                <w:highlight w:val="none"/>
                <w:lang w:val="en-US" w:eastAsia="zh-CN"/>
              </w:rPr>
            </w:pPr>
            <w:r>
              <w:rPr>
                <w:rFonts w:hint="eastAsia" w:ascii="Times New Roman" w:hAnsi="Times New Roman"/>
                <w:highlight w:val="none"/>
                <w:lang w:val="en-US" w:eastAsia="zh-CN"/>
              </w:rPr>
              <w:t>682.2</w:t>
            </w:r>
          </w:p>
        </w:tc>
        <w:tc>
          <w:tcPr>
            <w:tcW w:w="1240" w:type="pct"/>
            <w:tcBorders>
              <w:tl2br w:val="nil"/>
              <w:tr2bl w:val="nil"/>
            </w:tcBorders>
            <w:noWrap w:val="0"/>
            <w:vAlign w:val="center"/>
          </w:tcPr>
          <w:p w14:paraId="1B5C0D65">
            <w:pPr>
              <w:pStyle w:val="27"/>
              <w:rPr>
                <w:rFonts w:hint="default" w:ascii="Times New Roman" w:hAnsi="Times New Roman" w:eastAsia="新宋体"/>
                <w:highlight w:val="none"/>
                <w:lang w:val="en-US" w:eastAsia="zh-CN"/>
              </w:rPr>
            </w:pPr>
            <w:r>
              <w:rPr>
                <w:rFonts w:hint="eastAsia" w:ascii="Times New Roman" w:hAnsi="Times New Roman"/>
                <w:highlight w:val="none"/>
                <w:lang w:val="en-US" w:eastAsia="zh-CN"/>
              </w:rPr>
              <w:t>34792.2</w:t>
            </w:r>
          </w:p>
        </w:tc>
      </w:tr>
      <w:tr w14:paraId="4619B8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tcBorders>
              <w:tl2br w:val="nil"/>
              <w:tr2bl w:val="nil"/>
            </w:tcBorders>
            <w:noWrap w:val="0"/>
            <w:vAlign w:val="center"/>
          </w:tcPr>
          <w:p w14:paraId="0B7710DA">
            <w:pPr>
              <w:pStyle w:val="27"/>
              <w:rPr>
                <w:rFonts w:ascii="Times New Roman" w:hAnsi="Times New Roman"/>
                <w:highlight w:val="none"/>
              </w:rPr>
            </w:pPr>
          </w:p>
        </w:tc>
        <w:tc>
          <w:tcPr>
            <w:tcW w:w="1267" w:type="pct"/>
            <w:tcBorders>
              <w:tl2br w:val="nil"/>
              <w:tr2bl w:val="nil"/>
            </w:tcBorders>
            <w:noWrap w:val="0"/>
            <w:vAlign w:val="center"/>
          </w:tcPr>
          <w:p w14:paraId="11FB6A14">
            <w:pPr>
              <w:pStyle w:val="27"/>
              <w:rPr>
                <w:rFonts w:hint="default" w:ascii="Times New Roman" w:hAnsi="Times New Roman" w:eastAsia="新宋体"/>
                <w:highlight w:val="none"/>
                <w:lang w:val="en-US" w:eastAsia="zh-CN"/>
              </w:rPr>
            </w:pPr>
            <w:r>
              <w:rPr>
                <w:rFonts w:hint="eastAsia" w:ascii="Times New Roman" w:hAnsi="Times New Roman"/>
                <w:highlight w:val="none"/>
                <w:lang w:val="en-US" w:eastAsia="zh-CN"/>
              </w:rPr>
              <w:t>58MW</w:t>
            </w:r>
          </w:p>
        </w:tc>
        <w:tc>
          <w:tcPr>
            <w:tcW w:w="742" w:type="pct"/>
            <w:tcBorders>
              <w:tl2br w:val="nil"/>
              <w:tr2bl w:val="nil"/>
            </w:tcBorders>
            <w:noWrap w:val="0"/>
            <w:vAlign w:val="center"/>
          </w:tcPr>
          <w:p w14:paraId="04DBB3ED">
            <w:pPr>
              <w:pStyle w:val="27"/>
              <w:rPr>
                <w:rFonts w:hint="default" w:ascii="Times New Roman" w:hAnsi="Times New Roman" w:eastAsia="新宋体"/>
                <w:highlight w:val="none"/>
                <w:lang w:val="en-US" w:eastAsia="zh-CN"/>
              </w:rPr>
            </w:pPr>
            <w:r>
              <w:rPr>
                <w:rFonts w:hint="eastAsia" w:ascii="Times New Roman" w:hAnsi="Times New Roman"/>
                <w:highlight w:val="none"/>
                <w:lang w:val="en-US" w:eastAsia="zh-CN"/>
              </w:rPr>
              <w:t>8.688</w:t>
            </w:r>
          </w:p>
        </w:tc>
        <w:tc>
          <w:tcPr>
            <w:tcW w:w="1189" w:type="pct"/>
            <w:tcBorders>
              <w:tl2br w:val="nil"/>
              <w:tr2bl w:val="nil"/>
            </w:tcBorders>
            <w:noWrap w:val="0"/>
            <w:vAlign w:val="center"/>
          </w:tcPr>
          <w:p w14:paraId="0DBE2389">
            <w:pPr>
              <w:pStyle w:val="27"/>
              <w:rPr>
                <w:rFonts w:hint="default" w:ascii="Times New Roman" w:hAnsi="Times New Roman" w:eastAsia="新宋体"/>
                <w:highlight w:val="none"/>
                <w:lang w:val="en-US" w:eastAsia="zh-CN"/>
              </w:rPr>
            </w:pPr>
            <w:r>
              <w:rPr>
                <w:rFonts w:hint="eastAsia" w:ascii="Times New Roman" w:hAnsi="Times New Roman"/>
                <w:highlight w:val="none"/>
                <w:lang w:val="en-US" w:eastAsia="zh-CN"/>
              </w:rPr>
              <w:t>208.512</w:t>
            </w:r>
          </w:p>
        </w:tc>
        <w:tc>
          <w:tcPr>
            <w:tcW w:w="1240" w:type="pct"/>
            <w:tcBorders>
              <w:tl2br w:val="nil"/>
              <w:tr2bl w:val="nil"/>
            </w:tcBorders>
            <w:noWrap w:val="0"/>
            <w:vAlign w:val="center"/>
          </w:tcPr>
          <w:p w14:paraId="085DCFAD">
            <w:pPr>
              <w:pStyle w:val="27"/>
              <w:rPr>
                <w:rFonts w:hint="default" w:ascii="Times New Roman" w:hAnsi="Times New Roman" w:eastAsia="新宋体"/>
                <w:highlight w:val="none"/>
                <w:lang w:val="en-US" w:eastAsia="zh-CN"/>
              </w:rPr>
            </w:pPr>
            <w:r>
              <w:rPr>
                <w:rFonts w:hint="eastAsia" w:ascii="Times New Roman" w:hAnsi="Times New Roman"/>
                <w:highlight w:val="none"/>
                <w:lang w:val="en-US" w:eastAsia="zh-CN"/>
              </w:rPr>
              <w:t>31693.824</w:t>
            </w:r>
          </w:p>
        </w:tc>
      </w:tr>
      <w:tr w14:paraId="183F56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tcBorders>
              <w:tl2br w:val="nil"/>
              <w:tr2bl w:val="nil"/>
            </w:tcBorders>
            <w:noWrap w:val="0"/>
            <w:vAlign w:val="center"/>
          </w:tcPr>
          <w:p w14:paraId="70F61941">
            <w:pPr>
              <w:pStyle w:val="27"/>
              <w:rPr>
                <w:rFonts w:ascii="Times New Roman" w:hAnsi="Times New Roman"/>
                <w:highlight w:val="none"/>
              </w:rPr>
            </w:pPr>
          </w:p>
        </w:tc>
        <w:tc>
          <w:tcPr>
            <w:tcW w:w="1267" w:type="pct"/>
            <w:tcBorders>
              <w:tl2br w:val="nil"/>
              <w:tr2bl w:val="nil"/>
            </w:tcBorders>
            <w:noWrap w:val="0"/>
            <w:vAlign w:val="center"/>
          </w:tcPr>
          <w:p w14:paraId="6A80D89C">
            <w:pPr>
              <w:pStyle w:val="27"/>
              <w:rPr>
                <w:rFonts w:hint="default" w:ascii="Times New Roman" w:hAnsi="Times New Roman" w:eastAsia="新宋体"/>
                <w:highlight w:val="none"/>
                <w:lang w:val="en-US" w:eastAsia="zh-CN"/>
              </w:rPr>
            </w:pPr>
            <w:r>
              <w:rPr>
                <w:rFonts w:hint="eastAsia" w:ascii="Times New Roman" w:hAnsi="Times New Roman"/>
                <w:highlight w:val="none"/>
                <w:lang w:val="en-US" w:eastAsia="zh-CN"/>
              </w:rPr>
              <w:t>35t/h</w:t>
            </w:r>
          </w:p>
        </w:tc>
        <w:tc>
          <w:tcPr>
            <w:tcW w:w="742" w:type="pct"/>
            <w:tcBorders>
              <w:tl2br w:val="nil"/>
              <w:tr2bl w:val="nil"/>
            </w:tcBorders>
            <w:noWrap w:val="0"/>
            <w:vAlign w:val="center"/>
          </w:tcPr>
          <w:p w14:paraId="05C83907">
            <w:pPr>
              <w:pStyle w:val="27"/>
              <w:rPr>
                <w:rFonts w:hint="default" w:ascii="Times New Roman" w:hAnsi="Times New Roman" w:eastAsia="新宋体"/>
                <w:highlight w:val="none"/>
                <w:lang w:val="en-US" w:eastAsia="zh-CN"/>
              </w:rPr>
            </w:pPr>
            <w:r>
              <w:rPr>
                <w:rFonts w:hint="eastAsia" w:ascii="Times New Roman" w:hAnsi="Times New Roman"/>
                <w:highlight w:val="none"/>
                <w:lang w:val="en-US" w:eastAsia="zh-CN"/>
              </w:rPr>
              <w:t>3.6602</w:t>
            </w:r>
          </w:p>
        </w:tc>
        <w:tc>
          <w:tcPr>
            <w:tcW w:w="1189" w:type="pct"/>
            <w:tcBorders>
              <w:tl2br w:val="nil"/>
              <w:tr2bl w:val="nil"/>
            </w:tcBorders>
            <w:noWrap w:val="0"/>
            <w:vAlign w:val="center"/>
          </w:tcPr>
          <w:p w14:paraId="15F77468">
            <w:pPr>
              <w:pStyle w:val="27"/>
              <w:rPr>
                <w:rFonts w:hint="default" w:ascii="Times New Roman" w:hAnsi="Times New Roman" w:eastAsia="新宋体"/>
                <w:highlight w:val="none"/>
                <w:lang w:val="en-US" w:eastAsia="zh-CN"/>
              </w:rPr>
            </w:pPr>
            <w:r>
              <w:rPr>
                <w:rFonts w:hint="eastAsia" w:ascii="Times New Roman" w:hAnsi="Times New Roman"/>
                <w:highlight w:val="none"/>
                <w:lang w:val="en-US" w:eastAsia="zh-CN"/>
              </w:rPr>
              <w:t>87.8448</w:t>
            </w:r>
          </w:p>
        </w:tc>
        <w:tc>
          <w:tcPr>
            <w:tcW w:w="1240" w:type="pct"/>
            <w:tcBorders>
              <w:tl2br w:val="nil"/>
              <w:tr2bl w:val="nil"/>
            </w:tcBorders>
            <w:noWrap w:val="0"/>
            <w:vAlign w:val="center"/>
          </w:tcPr>
          <w:p w14:paraId="55049734">
            <w:pPr>
              <w:pStyle w:val="27"/>
              <w:rPr>
                <w:rFonts w:hint="default" w:ascii="Times New Roman" w:hAnsi="Times New Roman" w:eastAsia="新宋体"/>
                <w:highlight w:val="none"/>
                <w:lang w:val="en-US" w:eastAsia="zh-CN"/>
              </w:rPr>
            </w:pPr>
            <w:r>
              <w:rPr>
                <w:rFonts w:hint="eastAsia" w:ascii="Times New Roman" w:hAnsi="Times New Roman"/>
                <w:highlight w:val="none"/>
                <w:lang w:val="en-US" w:eastAsia="zh-CN"/>
              </w:rPr>
              <w:t>16514.8224</w:t>
            </w:r>
          </w:p>
        </w:tc>
      </w:tr>
      <w:tr w14:paraId="34B461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tcBorders>
              <w:tl2br w:val="nil"/>
              <w:tr2bl w:val="nil"/>
            </w:tcBorders>
            <w:noWrap w:val="0"/>
            <w:vAlign w:val="center"/>
          </w:tcPr>
          <w:p w14:paraId="11768671">
            <w:pPr>
              <w:pStyle w:val="27"/>
              <w:rPr>
                <w:rFonts w:ascii="Times New Roman" w:hAnsi="Times New Roman"/>
                <w:highlight w:val="none"/>
              </w:rPr>
            </w:pPr>
          </w:p>
        </w:tc>
        <w:tc>
          <w:tcPr>
            <w:tcW w:w="1267" w:type="pct"/>
            <w:tcBorders>
              <w:tl2br w:val="nil"/>
              <w:tr2bl w:val="nil"/>
            </w:tcBorders>
            <w:noWrap w:val="0"/>
            <w:vAlign w:val="center"/>
          </w:tcPr>
          <w:p w14:paraId="3E8F574E">
            <w:pPr>
              <w:pStyle w:val="27"/>
              <w:rPr>
                <w:rFonts w:hint="default" w:ascii="Times New Roman" w:hAnsi="Times New Roman"/>
                <w:highlight w:val="none"/>
                <w:lang w:val="en-US" w:eastAsia="zh-CN"/>
              </w:rPr>
            </w:pPr>
            <w:r>
              <w:rPr>
                <w:rFonts w:hint="eastAsia" w:ascii="Times New Roman" w:hAnsi="Times New Roman"/>
                <w:highlight w:val="none"/>
                <w:lang w:val="en-US" w:eastAsia="zh-CN"/>
              </w:rPr>
              <w:t>企业锅炉实际运行</w:t>
            </w:r>
          </w:p>
        </w:tc>
        <w:tc>
          <w:tcPr>
            <w:tcW w:w="742" w:type="pct"/>
            <w:tcBorders>
              <w:tl2br w:val="nil"/>
              <w:tr2bl w:val="nil"/>
            </w:tcBorders>
            <w:noWrap w:val="0"/>
            <w:vAlign w:val="center"/>
          </w:tcPr>
          <w:p w14:paraId="18A2EECE">
            <w:pPr>
              <w:pStyle w:val="27"/>
              <w:ind w:firstLine="0" w:firstLineChars="0"/>
              <w:rPr>
                <w:rFonts w:hint="eastAsia" w:ascii="Times New Roman" w:hAnsi="Times New Roman"/>
                <w:highlight w:val="none"/>
                <w:lang w:val="en-US" w:eastAsia="zh-CN"/>
              </w:rPr>
            </w:pPr>
            <w:r>
              <w:rPr>
                <w:rFonts w:hint="eastAsia" w:ascii="Times New Roman" w:hAnsi="Times New Roman"/>
                <w:highlight w:val="none"/>
              </w:rPr>
              <w:t>最大</w:t>
            </w:r>
            <w:r>
              <w:rPr>
                <w:rFonts w:ascii="Times New Roman" w:hAnsi="Times New Roman"/>
                <w:highlight w:val="none"/>
              </w:rPr>
              <w:t>小时耗量(t)</w:t>
            </w:r>
          </w:p>
        </w:tc>
        <w:tc>
          <w:tcPr>
            <w:tcW w:w="1189" w:type="pct"/>
            <w:tcBorders>
              <w:tl2br w:val="nil"/>
              <w:tr2bl w:val="nil"/>
            </w:tcBorders>
            <w:noWrap w:val="0"/>
            <w:vAlign w:val="center"/>
          </w:tcPr>
          <w:p w14:paraId="4E206BDA">
            <w:pPr>
              <w:pStyle w:val="27"/>
              <w:ind w:firstLine="0" w:firstLineChars="0"/>
              <w:rPr>
                <w:rFonts w:hint="eastAsia" w:ascii="Times New Roman" w:hAnsi="Times New Roman"/>
                <w:highlight w:val="none"/>
                <w:lang w:val="en-US" w:eastAsia="zh-CN"/>
              </w:rPr>
            </w:pPr>
            <w:r>
              <w:rPr>
                <w:rFonts w:hint="eastAsia" w:ascii="Times New Roman" w:hAnsi="Times New Roman"/>
                <w:highlight w:val="none"/>
              </w:rPr>
              <w:t>最大</w:t>
            </w:r>
            <w:r>
              <w:rPr>
                <w:rFonts w:ascii="Times New Roman" w:hAnsi="Times New Roman"/>
                <w:highlight w:val="none"/>
              </w:rPr>
              <w:t>日耗量(t)</w:t>
            </w:r>
          </w:p>
        </w:tc>
        <w:tc>
          <w:tcPr>
            <w:tcW w:w="1240" w:type="pct"/>
            <w:tcBorders>
              <w:tl2br w:val="nil"/>
              <w:tr2bl w:val="nil"/>
            </w:tcBorders>
            <w:noWrap w:val="0"/>
            <w:vAlign w:val="center"/>
          </w:tcPr>
          <w:p w14:paraId="31827E99">
            <w:pPr>
              <w:pStyle w:val="27"/>
              <w:ind w:firstLine="0" w:firstLineChars="0"/>
              <w:rPr>
                <w:rFonts w:ascii="Times New Roman" w:hAnsi="Times New Roman"/>
                <w:highlight w:val="none"/>
              </w:rPr>
            </w:pPr>
            <w:r>
              <w:rPr>
                <w:rFonts w:ascii="Times New Roman" w:hAnsi="Times New Roman"/>
                <w:highlight w:val="none"/>
              </w:rPr>
              <w:t>年耗量(t)</w:t>
            </w:r>
          </w:p>
        </w:tc>
      </w:tr>
      <w:tr w14:paraId="1B0FB5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559" w:type="pct"/>
            <w:vMerge w:val="continue"/>
            <w:tcBorders>
              <w:tl2br w:val="nil"/>
              <w:tr2bl w:val="nil"/>
            </w:tcBorders>
            <w:noWrap w:val="0"/>
            <w:vAlign w:val="center"/>
          </w:tcPr>
          <w:p w14:paraId="25EAA11C">
            <w:pPr>
              <w:pStyle w:val="27"/>
              <w:rPr>
                <w:rFonts w:ascii="Times New Roman" w:hAnsi="Times New Roman"/>
                <w:highlight w:val="none"/>
              </w:rPr>
            </w:pPr>
          </w:p>
        </w:tc>
        <w:tc>
          <w:tcPr>
            <w:tcW w:w="1267" w:type="pct"/>
            <w:tcBorders>
              <w:tl2br w:val="nil"/>
              <w:tr2bl w:val="nil"/>
            </w:tcBorders>
            <w:noWrap w:val="0"/>
            <w:vAlign w:val="center"/>
          </w:tcPr>
          <w:p w14:paraId="67AB305D">
            <w:pPr>
              <w:pStyle w:val="27"/>
              <w:rPr>
                <w:rFonts w:hint="eastAsia" w:ascii="Times New Roman" w:hAnsi="Times New Roman" w:eastAsia="新宋体"/>
                <w:highlight w:val="none"/>
                <w:lang w:eastAsia="zh-CN"/>
              </w:rPr>
            </w:pPr>
            <w:r>
              <w:rPr>
                <w:rFonts w:hint="eastAsia" w:ascii="Times New Roman" w:hAnsi="Times New Roman"/>
                <w:highlight w:val="none"/>
                <w:lang w:val="en-US" w:eastAsia="zh-CN"/>
              </w:rPr>
              <w:t>116</w:t>
            </w:r>
            <w:r>
              <w:rPr>
                <w:rFonts w:ascii="Times New Roman" w:hAnsi="Times New Roman"/>
                <w:highlight w:val="none"/>
              </w:rPr>
              <w:t>MW</w:t>
            </w:r>
            <w:r>
              <w:rPr>
                <w:rFonts w:hint="eastAsia" w:ascii="Times New Roman" w:hAnsi="Times New Roman"/>
                <w:highlight w:val="none"/>
                <w:lang w:eastAsia="zh-CN"/>
              </w:rPr>
              <w:t>（</w:t>
            </w:r>
            <w:r>
              <w:rPr>
                <w:rFonts w:hint="eastAsia" w:ascii="Times New Roman" w:hAnsi="Times New Roman"/>
                <w:highlight w:val="none"/>
                <w:lang w:val="en-US" w:eastAsia="zh-CN"/>
              </w:rPr>
              <w:t>10.10-10.25</w:t>
            </w:r>
            <w:r>
              <w:rPr>
                <w:rFonts w:hint="eastAsia" w:ascii="Times New Roman" w:hAnsi="Times New Roman"/>
                <w:highlight w:val="none"/>
                <w:lang w:eastAsia="zh-CN"/>
              </w:rPr>
              <w:t>）</w:t>
            </w:r>
          </w:p>
        </w:tc>
        <w:tc>
          <w:tcPr>
            <w:tcW w:w="742" w:type="pct"/>
            <w:tcBorders>
              <w:tl2br w:val="nil"/>
              <w:tr2bl w:val="nil"/>
            </w:tcBorders>
            <w:noWrap w:val="0"/>
            <w:vAlign w:val="center"/>
          </w:tcPr>
          <w:p w14:paraId="4931DA08">
            <w:pPr>
              <w:pStyle w:val="27"/>
              <w:ind w:firstLine="0" w:firstLineChars="0"/>
              <w:rPr>
                <w:rFonts w:ascii="Times New Roman" w:hAnsi="Times New Roman"/>
                <w:highlight w:val="none"/>
              </w:rPr>
            </w:pPr>
            <w:r>
              <w:rPr>
                <w:rFonts w:hint="eastAsia" w:ascii="Times New Roman" w:hAnsi="Times New Roman"/>
                <w:highlight w:val="none"/>
                <w:lang w:val="en-US" w:eastAsia="zh-CN"/>
              </w:rPr>
              <w:t>28.425</w:t>
            </w:r>
          </w:p>
        </w:tc>
        <w:tc>
          <w:tcPr>
            <w:tcW w:w="1189" w:type="pct"/>
            <w:tcBorders>
              <w:tl2br w:val="nil"/>
              <w:tr2bl w:val="nil"/>
            </w:tcBorders>
            <w:noWrap w:val="0"/>
            <w:vAlign w:val="center"/>
          </w:tcPr>
          <w:p w14:paraId="77513F73">
            <w:pPr>
              <w:pStyle w:val="27"/>
              <w:ind w:firstLine="0" w:firstLineChars="0"/>
              <w:rPr>
                <w:rFonts w:ascii="Times New Roman" w:hAnsi="Times New Roman"/>
                <w:highlight w:val="none"/>
              </w:rPr>
            </w:pPr>
            <w:r>
              <w:rPr>
                <w:rFonts w:hint="eastAsia" w:ascii="Times New Roman" w:hAnsi="Times New Roman"/>
                <w:highlight w:val="none"/>
                <w:lang w:val="en-US" w:eastAsia="zh-CN"/>
              </w:rPr>
              <w:t>682.2</w:t>
            </w:r>
          </w:p>
        </w:tc>
        <w:tc>
          <w:tcPr>
            <w:tcW w:w="1240" w:type="pct"/>
            <w:tcBorders>
              <w:tl2br w:val="nil"/>
              <w:tr2bl w:val="nil"/>
            </w:tcBorders>
            <w:noWrap w:val="0"/>
            <w:vAlign w:val="center"/>
          </w:tcPr>
          <w:p w14:paraId="3C549E27">
            <w:pPr>
              <w:pStyle w:val="27"/>
              <w:rPr>
                <w:rFonts w:hint="default" w:ascii="Times New Roman" w:hAnsi="Times New Roman" w:eastAsia="新宋体"/>
                <w:highlight w:val="none"/>
                <w:lang w:val="en-US" w:eastAsia="zh-CN"/>
              </w:rPr>
            </w:pPr>
            <w:r>
              <w:rPr>
                <w:rFonts w:hint="eastAsia" w:ascii="Times New Roman" w:hAnsi="Times New Roman"/>
                <w:highlight w:val="none"/>
                <w:lang w:val="en-US" w:eastAsia="zh-CN"/>
              </w:rPr>
              <w:t>10915.2</w:t>
            </w:r>
          </w:p>
        </w:tc>
      </w:tr>
      <w:tr w14:paraId="5CA985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559" w:type="pct"/>
            <w:vMerge w:val="continue"/>
            <w:tcBorders>
              <w:tl2br w:val="nil"/>
              <w:tr2bl w:val="nil"/>
            </w:tcBorders>
            <w:noWrap w:val="0"/>
            <w:vAlign w:val="center"/>
          </w:tcPr>
          <w:p w14:paraId="2A4BAAAC">
            <w:pPr>
              <w:pStyle w:val="27"/>
              <w:rPr>
                <w:rFonts w:ascii="Times New Roman" w:hAnsi="Times New Roman"/>
                <w:highlight w:val="none"/>
              </w:rPr>
            </w:pPr>
          </w:p>
        </w:tc>
        <w:tc>
          <w:tcPr>
            <w:tcW w:w="1267" w:type="pct"/>
            <w:tcBorders>
              <w:tl2br w:val="nil"/>
              <w:tr2bl w:val="nil"/>
            </w:tcBorders>
            <w:noWrap w:val="0"/>
            <w:vAlign w:val="center"/>
          </w:tcPr>
          <w:p w14:paraId="6B28D3D5">
            <w:pPr>
              <w:pStyle w:val="27"/>
              <w:rPr>
                <w:rFonts w:hint="default" w:ascii="Times New Roman" w:hAnsi="Times New Roman"/>
                <w:highlight w:val="none"/>
                <w:lang w:val="en-US" w:eastAsia="zh-CN"/>
              </w:rPr>
            </w:pPr>
            <w:r>
              <w:rPr>
                <w:rFonts w:hint="eastAsia" w:ascii="Times New Roman" w:hAnsi="Times New Roman"/>
                <w:highlight w:val="none"/>
                <w:lang w:val="en-US" w:eastAsia="zh-CN"/>
              </w:rPr>
              <w:t>58MW+35t/h（10.25-12.15，次年1.20-4.1）</w:t>
            </w:r>
          </w:p>
        </w:tc>
        <w:tc>
          <w:tcPr>
            <w:tcW w:w="742" w:type="pct"/>
            <w:tcBorders>
              <w:tl2br w:val="nil"/>
              <w:tr2bl w:val="nil"/>
            </w:tcBorders>
            <w:noWrap w:val="0"/>
            <w:vAlign w:val="center"/>
          </w:tcPr>
          <w:p w14:paraId="1EF1F4FD">
            <w:pPr>
              <w:pStyle w:val="27"/>
              <w:ind w:firstLine="0" w:firstLineChars="0"/>
              <w:rPr>
                <w:rFonts w:hint="default" w:ascii="Times New Roman" w:hAnsi="Times New Roman"/>
                <w:highlight w:val="none"/>
                <w:lang w:val="en-US" w:eastAsia="zh-CN"/>
              </w:rPr>
            </w:pPr>
            <w:r>
              <w:rPr>
                <w:rFonts w:hint="eastAsia" w:ascii="Times New Roman" w:hAnsi="Times New Roman"/>
                <w:highlight w:val="none"/>
                <w:lang w:val="en-US" w:eastAsia="zh-CN"/>
              </w:rPr>
              <w:t>12.3482</w:t>
            </w:r>
          </w:p>
        </w:tc>
        <w:tc>
          <w:tcPr>
            <w:tcW w:w="1189" w:type="pct"/>
            <w:tcBorders>
              <w:tl2br w:val="nil"/>
              <w:tr2bl w:val="nil"/>
            </w:tcBorders>
            <w:noWrap w:val="0"/>
            <w:vAlign w:val="center"/>
          </w:tcPr>
          <w:p w14:paraId="1DBFA96E">
            <w:pPr>
              <w:pStyle w:val="27"/>
              <w:ind w:firstLine="0" w:firstLineChars="0"/>
              <w:rPr>
                <w:rFonts w:hint="default" w:ascii="Times New Roman" w:hAnsi="Times New Roman"/>
                <w:highlight w:val="none"/>
                <w:lang w:val="en-US" w:eastAsia="zh-CN"/>
              </w:rPr>
            </w:pPr>
            <w:r>
              <w:rPr>
                <w:rFonts w:hint="eastAsia" w:ascii="Times New Roman" w:hAnsi="Times New Roman"/>
                <w:highlight w:val="none"/>
                <w:lang w:val="en-US" w:eastAsia="zh-CN"/>
              </w:rPr>
              <w:t>296.3568</w:t>
            </w:r>
          </w:p>
        </w:tc>
        <w:tc>
          <w:tcPr>
            <w:tcW w:w="1240" w:type="pct"/>
            <w:tcBorders>
              <w:tl2br w:val="nil"/>
              <w:tr2bl w:val="nil"/>
            </w:tcBorders>
            <w:noWrap w:val="0"/>
            <w:vAlign w:val="center"/>
          </w:tcPr>
          <w:p w14:paraId="50D53983">
            <w:pPr>
              <w:pStyle w:val="27"/>
              <w:rPr>
                <w:rFonts w:hint="default" w:ascii="Times New Roman" w:hAnsi="Times New Roman"/>
                <w:highlight w:val="none"/>
                <w:lang w:val="en-US" w:eastAsia="zh-CN"/>
              </w:rPr>
            </w:pPr>
            <w:r>
              <w:rPr>
                <w:rFonts w:hint="eastAsia" w:ascii="Times New Roman" w:hAnsi="Times New Roman"/>
                <w:highlight w:val="none"/>
                <w:lang w:val="en-US" w:eastAsia="zh-CN"/>
              </w:rPr>
              <w:t>36155.5296</w:t>
            </w:r>
          </w:p>
        </w:tc>
      </w:tr>
      <w:tr w14:paraId="29356B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559" w:type="pct"/>
            <w:vMerge w:val="continue"/>
            <w:tcBorders>
              <w:tl2br w:val="nil"/>
              <w:tr2bl w:val="nil"/>
            </w:tcBorders>
            <w:noWrap w:val="0"/>
            <w:vAlign w:val="center"/>
          </w:tcPr>
          <w:p w14:paraId="54572591">
            <w:pPr>
              <w:pStyle w:val="27"/>
              <w:rPr>
                <w:rFonts w:ascii="Times New Roman" w:hAnsi="Times New Roman"/>
                <w:highlight w:val="none"/>
              </w:rPr>
            </w:pPr>
          </w:p>
        </w:tc>
        <w:tc>
          <w:tcPr>
            <w:tcW w:w="1267" w:type="pct"/>
            <w:tcBorders>
              <w:tl2br w:val="nil"/>
              <w:tr2bl w:val="nil"/>
            </w:tcBorders>
            <w:noWrap w:val="0"/>
            <w:vAlign w:val="center"/>
          </w:tcPr>
          <w:p w14:paraId="0068BC84">
            <w:pPr>
              <w:pStyle w:val="27"/>
              <w:rPr>
                <w:rFonts w:hint="eastAsia" w:ascii="Times New Roman" w:hAnsi="Times New Roman"/>
                <w:highlight w:val="none"/>
                <w:lang w:val="en-US" w:eastAsia="zh-CN"/>
              </w:rPr>
            </w:pPr>
            <w:r>
              <w:rPr>
                <w:rFonts w:hint="eastAsia" w:ascii="Times New Roman" w:hAnsi="Times New Roman"/>
                <w:highlight w:val="none"/>
                <w:lang w:val="en-US" w:eastAsia="zh-CN"/>
              </w:rPr>
              <w:t>116MW+35t/h</w:t>
            </w:r>
          </w:p>
          <w:p w14:paraId="2938D44D">
            <w:pPr>
              <w:pStyle w:val="27"/>
              <w:jc w:val="both"/>
              <w:rPr>
                <w:rFonts w:hint="eastAsia"/>
                <w:highlight w:val="none"/>
                <w:lang w:val="en-US" w:eastAsia="zh-CN"/>
              </w:rPr>
            </w:pPr>
            <w:r>
              <w:rPr>
                <w:rFonts w:hint="eastAsia" w:ascii="Times New Roman" w:hAnsi="Times New Roman"/>
                <w:highlight w:val="none"/>
                <w:lang w:val="en-US" w:eastAsia="zh-CN"/>
              </w:rPr>
              <w:t>（12.15-次年1.20）</w:t>
            </w:r>
          </w:p>
        </w:tc>
        <w:tc>
          <w:tcPr>
            <w:tcW w:w="742" w:type="pct"/>
            <w:tcBorders>
              <w:tl2br w:val="nil"/>
              <w:tr2bl w:val="nil"/>
            </w:tcBorders>
            <w:noWrap w:val="0"/>
            <w:vAlign w:val="center"/>
          </w:tcPr>
          <w:p w14:paraId="0B216499">
            <w:pPr>
              <w:pStyle w:val="27"/>
              <w:ind w:firstLine="0" w:firstLineChars="0"/>
              <w:rPr>
                <w:rFonts w:hint="default" w:ascii="Times New Roman" w:hAnsi="Times New Roman"/>
                <w:highlight w:val="none"/>
                <w:lang w:val="en-US" w:eastAsia="zh-CN"/>
              </w:rPr>
            </w:pPr>
            <w:r>
              <w:rPr>
                <w:rFonts w:hint="eastAsia" w:ascii="Times New Roman" w:hAnsi="Times New Roman"/>
                <w:highlight w:val="none"/>
                <w:lang w:val="en-US" w:eastAsia="zh-CN"/>
              </w:rPr>
              <w:t>32.0852</w:t>
            </w:r>
          </w:p>
        </w:tc>
        <w:tc>
          <w:tcPr>
            <w:tcW w:w="1189" w:type="pct"/>
            <w:tcBorders>
              <w:tl2br w:val="nil"/>
              <w:tr2bl w:val="nil"/>
            </w:tcBorders>
            <w:noWrap w:val="0"/>
            <w:vAlign w:val="center"/>
          </w:tcPr>
          <w:p w14:paraId="14D966F8">
            <w:pPr>
              <w:pStyle w:val="27"/>
              <w:ind w:firstLine="0" w:firstLineChars="0"/>
              <w:rPr>
                <w:rFonts w:hint="default" w:ascii="Times New Roman" w:hAnsi="Times New Roman"/>
                <w:highlight w:val="none"/>
                <w:lang w:val="en-US" w:eastAsia="zh-CN"/>
              </w:rPr>
            </w:pPr>
            <w:r>
              <w:rPr>
                <w:rFonts w:hint="eastAsia" w:ascii="Times New Roman" w:hAnsi="Times New Roman"/>
                <w:highlight w:val="none"/>
                <w:lang w:val="en-US" w:eastAsia="zh-CN"/>
              </w:rPr>
              <w:t>770.0448</w:t>
            </w:r>
          </w:p>
        </w:tc>
        <w:tc>
          <w:tcPr>
            <w:tcW w:w="1240" w:type="pct"/>
            <w:tcBorders>
              <w:tl2br w:val="nil"/>
              <w:tr2bl w:val="nil"/>
            </w:tcBorders>
            <w:noWrap w:val="0"/>
            <w:vAlign w:val="center"/>
          </w:tcPr>
          <w:p w14:paraId="13167F43">
            <w:pPr>
              <w:pStyle w:val="27"/>
              <w:rPr>
                <w:rFonts w:hint="default" w:ascii="Times New Roman" w:hAnsi="Times New Roman"/>
                <w:highlight w:val="none"/>
                <w:lang w:val="en-US" w:eastAsia="zh-CN"/>
              </w:rPr>
            </w:pPr>
            <w:r>
              <w:rPr>
                <w:rFonts w:hint="eastAsia" w:ascii="Times New Roman" w:hAnsi="Times New Roman"/>
                <w:highlight w:val="none"/>
                <w:lang w:val="en-US" w:eastAsia="zh-CN"/>
              </w:rPr>
              <w:t>27721.6128</w:t>
            </w:r>
          </w:p>
        </w:tc>
      </w:tr>
      <w:tr w14:paraId="5253D5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559" w:type="pct"/>
            <w:vMerge w:val="continue"/>
            <w:tcBorders>
              <w:tl2br w:val="nil"/>
              <w:tr2bl w:val="nil"/>
            </w:tcBorders>
            <w:noWrap w:val="0"/>
            <w:vAlign w:val="center"/>
          </w:tcPr>
          <w:p w14:paraId="5AEE58BC">
            <w:pPr>
              <w:pStyle w:val="27"/>
              <w:rPr>
                <w:rFonts w:ascii="Times New Roman" w:hAnsi="Times New Roman"/>
                <w:highlight w:val="none"/>
              </w:rPr>
            </w:pPr>
          </w:p>
        </w:tc>
        <w:tc>
          <w:tcPr>
            <w:tcW w:w="1267" w:type="pct"/>
            <w:tcBorders>
              <w:tl2br w:val="nil"/>
              <w:tr2bl w:val="nil"/>
            </w:tcBorders>
            <w:noWrap w:val="0"/>
            <w:vAlign w:val="center"/>
          </w:tcPr>
          <w:p w14:paraId="1BFFD70E">
            <w:pPr>
              <w:pStyle w:val="27"/>
              <w:rPr>
                <w:rFonts w:hint="default" w:ascii="Times New Roman" w:hAnsi="Times New Roman"/>
                <w:highlight w:val="none"/>
                <w:lang w:val="en-US" w:eastAsia="zh-CN"/>
              </w:rPr>
            </w:pPr>
            <w:r>
              <w:rPr>
                <w:rFonts w:hint="eastAsia" w:ascii="Times New Roman" w:hAnsi="Times New Roman"/>
                <w:highlight w:val="none"/>
                <w:lang w:val="en-US" w:eastAsia="zh-CN"/>
              </w:rPr>
              <w:t>58MW（次年4.1-4.30）</w:t>
            </w:r>
          </w:p>
        </w:tc>
        <w:tc>
          <w:tcPr>
            <w:tcW w:w="742" w:type="pct"/>
            <w:tcBorders>
              <w:tl2br w:val="nil"/>
              <w:tr2bl w:val="nil"/>
            </w:tcBorders>
            <w:noWrap w:val="0"/>
            <w:vAlign w:val="center"/>
          </w:tcPr>
          <w:p w14:paraId="12AF1C1A">
            <w:pPr>
              <w:pStyle w:val="27"/>
              <w:ind w:firstLine="0" w:firstLineChars="0"/>
              <w:rPr>
                <w:rFonts w:hint="eastAsia" w:ascii="Times New Roman" w:hAnsi="Times New Roman"/>
                <w:highlight w:val="none"/>
                <w:lang w:val="en-US" w:eastAsia="zh-CN"/>
              </w:rPr>
            </w:pPr>
            <w:r>
              <w:rPr>
                <w:rFonts w:hint="eastAsia" w:ascii="Times New Roman" w:hAnsi="Times New Roman"/>
                <w:highlight w:val="none"/>
                <w:lang w:val="en-US" w:eastAsia="zh-CN"/>
              </w:rPr>
              <w:t>8.688</w:t>
            </w:r>
          </w:p>
        </w:tc>
        <w:tc>
          <w:tcPr>
            <w:tcW w:w="1189" w:type="pct"/>
            <w:tcBorders>
              <w:tl2br w:val="nil"/>
              <w:tr2bl w:val="nil"/>
            </w:tcBorders>
            <w:noWrap w:val="0"/>
            <w:vAlign w:val="center"/>
          </w:tcPr>
          <w:p w14:paraId="6F4D9F66">
            <w:pPr>
              <w:pStyle w:val="27"/>
              <w:ind w:firstLine="0" w:firstLineChars="0"/>
              <w:rPr>
                <w:rFonts w:hint="eastAsia" w:ascii="Times New Roman" w:hAnsi="Times New Roman"/>
                <w:highlight w:val="none"/>
                <w:lang w:val="en-US" w:eastAsia="zh-CN"/>
              </w:rPr>
            </w:pPr>
            <w:r>
              <w:rPr>
                <w:rFonts w:hint="eastAsia" w:ascii="Times New Roman" w:hAnsi="Times New Roman"/>
                <w:highlight w:val="none"/>
                <w:lang w:val="en-US" w:eastAsia="zh-CN"/>
              </w:rPr>
              <w:t>208.512</w:t>
            </w:r>
          </w:p>
        </w:tc>
        <w:tc>
          <w:tcPr>
            <w:tcW w:w="1240" w:type="pct"/>
            <w:tcBorders>
              <w:tl2br w:val="nil"/>
              <w:tr2bl w:val="nil"/>
            </w:tcBorders>
            <w:noWrap w:val="0"/>
            <w:vAlign w:val="center"/>
          </w:tcPr>
          <w:p w14:paraId="449F7A20">
            <w:pPr>
              <w:pStyle w:val="27"/>
              <w:rPr>
                <w:rFonts w:hint="default" w:ascii="Times New Roman" w:hAnsi="Times New Roman"/>
                <w:highlight w:val="none"/>
                <w:lang w:val="en-US" w:eastAsia="zh-CN"/>
              </w:rPr>
            </w:pPr>
            <w:r>
              <w:rPr>
                <w:rFonts w:hint="eastAsia" w:ascii="Times New Roman" w:hAnsi="Times New Roman"/>
                <w:highlight w:val="none"/>
                <w:lang w:val="en-US" w:eastAsia="zh-CN"/>
              </w:rPr>
              <w:t>6255.36</w:t>
            </w:r>
          </w:p>
        </w:tc>
      </w:tr>
      <w:tr w14:paraId="69A826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559" w:type="pct"/>
            <w:vMerge w:val="continue"/>
            <w:tcBorders>
              <w:tl2br w:val="nil"/>
              <w:tr2bl w:val="nil"/>
            </w:tcBorders>
            <w:noWrap w:val="0"/>
            <w:vAlign w:val="center"/>
          </w:tcPr>
          <w:p w14:paraId="54A32EBD">
            <w:pPr>
              <w:pStyle w:val="27"/>
              <w:rPr>
                <w:rFonts w:ascii="Times New Roman" w:hAnsi="Times New Roman"/>
                <w:highlight w:val="none"/>
              </w:rPr>
            </w:pPr>
          </w:p>
        </w:tc>
        <w:tc>
          <w:tcPr>
            <w:tcW w:w="1267" w:type="pct"/>
            <w:tcBorders>
              <w:tl2br w:val="nil"/>
              <w:tr2bl w:val="nil"/>
            </w:tcBorders>
            <w:noWrap w:val="0"/>
            <w:vAlign w:val="center"/>
          </w:tcPr>
          <w:p w14:paraId="390B01FA">
            <w:pPr>
              <w:pStyle w:val="27"/>
              <w:rPr>
                <w:rFonts w:hint="default" w:ascii="Times New Roman" w:hAnsi="Times New Roman"/>
                <w:highlight w:val="none"/>
                <w:lang w:val="en-US" w:eastAsia="zh-CN"/>
              </w:rPr>
            </w:pPr>
            <w:r>
              <w:rPr>
                <w:rFonts w:hint="eastAsia" w:ascii="Times New Roman" w:hAnsi="Times New Roman"/>
                <w:highlight w:val="none"/>
                <w:lang w:val="en-US" w:eastAsia="zh-CN"/>
              </w:rPr>
              <w:t>合计</w:t>
            </w:r>
          </w:p>
        </w:tc>
        <w:tc>
          <w:tcPr>
            <w:tcW w:w="742" w:type="pct"/>
            <w:tcBorders>
              <w:tl2br w:val="nil"/>
              <w:tr2bl w:val="nil"/>
            </w:tcBorders>
            <w:noWrap w:val="0"/>
            <w:vAlign w:val="center"/>
          </w:tcPr>
          <w:p w14:paraId="29FBF469">
            <w:pPr>
              <w:pStyle w:val="27"/>
              <w:ind w:firstLine="0" w:firstLineChars="0"/>
              <w:rPr>
                <w:rFonts w:hint="default" w:ascii="Times New Roman" w:hAnsi="Times New Roman"/>
                <w:highlight w:val="none"/>
                <w:lang w:val="en-US" w:eastAsia="zh-CN"/>
              </w:rPr>
            </w:pPr>
            <w:r>
              <w:rPr>
                <w:rFonts w:hint="eastAsia" w:ascii="Times New Roman" w:hAnsi="Times New Roman"/>
                <w:highlight w:val="none"/>
                <w:lang w:val="en-US" w:eastAsia="zh-CN"/>
              </w:rPr>
              <w:t>/</w:t>
            </w:r>
          </w:p>
        </w:tc>
        <w:tc>
          <w:tcPr>
            <w:tcW w:w="1189" w:type="pct"/>
            <w:tcBorders>
              <w:tl2br w:val="nil"/>
              <w:tr2bl w:val="nil"/>
            </w:tcBorders>
            <w:noWrap w:val="0"/>
            <w:vAlign w:val="center"/>
          </w:tcPr>
          <w:p w14:paraId="2FE4BBF2">
            <w:pPr>
              <w:pStyle w:val="27"/>
              <w:ind w:firstLine="0" w:firstLineChars="0"/>
              <w:rPr>
                <w:rFonts w:hint="default" w:ascii="Times New Roman" w:hAnsi="Times New Roman"/>
                <w:highlight w:val="none"/>
                <w:lang w:val="en-US" w:eastAsia="zh-CN"/>
              </w:rPr>
            </w:pPr>
            <w:r>
              <w:rPr>
                <w:rFonts w:hint="eastAsia" w:ascii="Times New Roman" w:hAnsi="Times New Roman"/>
                <w:highlight w:val="none"/>
                <w:lang w:val="en-US" w:eastAsia="zh-CN"/>
              </w:rPr>
              <w:t>/</w:t>
            </w:r>
          </w:p>
        </w:tc>
        <w:tc>
          <w:tcPr>
            <w:tcW w:w="1240" w:type="pct"/>
            <w:tcBorders>
              <w:tl2br w:val="nil"/>
              <w:tr2bl w:val="nil"/>
            </w:tcBorders>
            <w:noWrap w:val="0"/>
            <w:vAlign w:val="center"/>
          </w:tcPr>
          <w:p w14:paraId="7CFAD4BD">
            <w:pPr>
              <w:pStyle w:val="27"/>
              <w:rPr>
                <w:rFonts w:hint="default" w:ascii="Times New Roman" w:hAnsi="Times New Roman"/>
                <w:highlight w:val="none"/>
                <w:lang w:val="en-US" w:eastAsia="zh-CN"/>
              </w:rPr>
            </w:pPr>
            <w:r>
              <w:rPr>
                <w:rFonts w:hint="eastAsia" w:ascii="Times New Roman" w:hAnsi="Times New Roman"/>
                <w:highlight w:val="none"/>
                <w:lang w:val="en-US" w:eastAsia="zh-CN"/>
              </w:rPr>
              <w:t>81047.7024</w:t>
            </w:r>
          </w:p>
        </w:tc>
      </w:tr>
    </w:tbl>
    <w:p w14:paraId="710B2AE4">
      <w:pPr>
        <w:pStyle w:val="11"/>
        <w:rPr>
          <w:rFonts w:ascii="Times New Roman" w:hAnsi="Times New Roman"/>
          <w:sz w:val="21"/>
          <w:highlight w:val="none"/>
        </w:rPr>
      </w:pPr>
      <w:r>
        <w:rPr>
          <w:rFonts w:ascii="Times New Roman" w:hAnsi="Times New Roman"/>
          <w:sz w:val="21"/>
          <w:highlight w:val="none"/>
        </w:rPr>
        <w:t>注：日耗燃料按</w:t>
      </w:r>
      <w:r>
        <w:rPr>
          <w:rFonts w:hint="eastAsia"/>
          <w:sz w:val="21"/>
          <w:highlight w:val="none"/>
          <w:lang w:val="en-US" w:eastAsia="zh-CN"/>
        </w:rPr>
        <w:t>24</w:t>
      </w:r>
      <w:r>
        <w:rPr>
          <w:rFonts w:ascii="Times New Roman" w:hAnsi="Times New Roman"/>
          <w:sz w:val="21"/>
          <w:highlight w:val="none"/>
        </w:rPr>
        <w:t>小时计</w:t>
      </w:r>
      <w:r>
        <w:rPr>
          <w:rFonts w:hint="eastAsia"/>
          <w:sz w:val="21"/>
          <w:highlight w:val="none"/>
          <w:lang w:eastAsia="zh-CN"/>
        </w:rPr>
        <w:t>，</w:t>
      </w:r>
      <w:r>
        <w:rPr>
          <w:rFonts w:hint="eastAsia"/>
          <w:sz w:val="21"/>
          <w:highlight w:val="none"/>
          <w:lang w:val="en-US" w:eastAsia="zh-CN"/>
        </w:rPr>
        <w:t>不存在三台锅炉同时运行的情况</w:t>
      </w:r>
      <w:r>
        <w:rPr>
          <w:rFonts w:ascii="Times New Roman" w:hAnsi="Times New Roman"/>
          <w:sz w:val="21"/>
          <w:highlight w:val="none"/>
        </w:rPr>
        <w:t>。</w:t>
      </w:r>
    </w:p>
    <w:p w14:paraId="41CA9A3D">
      <w:pPr>
        <w:pStyle w:val="5"/>
        <w:bidi w:val="0"/>
        <w:ind w:left="0" w:leftChars="0" w:firstLine="0" w:firstLineChars="0"/>
        <w:rPr>
          <w:rFonts w:hint="eastAsia"/>
          <w:highlight w:val="none"/>
          <w:lang w:val="en-US" w:eastAsia="zh-CN"/>
        </w:rPr>
      </w:pPr>
      <w:bookmarkStart w:id="59" w:name="_Toc882"/>
      <w:r>
        <w:rPr>
          <w:rFonts w:hint="eastAsia"/>
          <w:highlight w:val="none"/>
          <w:lang w:val="en-US" w:eastAsia="zh-CN"/>
        </w:rPr>
        <w:t>3.1.6燃料储存</w:t>
      </w:r>
      <w:bookmarkEnd w:id="59"/>
    </w:p>
    <w:p w14:paraId="732EF8A2">
      <w:pPr>
        <w:ind w:firstLine="480"/>
        <w:rPr>
          <w:rFonts w:ascii="Times New Roman" w:hAnsi="Times New Roman"/>
          <w:highlight w:val="none"/>
        </w:rPr>
      </w:pPr>
      <w:r>
        <w:rPr>
          <w:rFonts w:ascii="Times New Roman" w:hAnsi="Times New Roman"/>
          <w:highlight w:val="none"/>
        </w:rPr>
        <w:t>为保证燃煤供应安全性，</w:t>
      </w:r>
      <w:r>
        <w:rPr>
          <w:rFonts w:hint="eastAsia" w:ascii="Times New Roman" w:hAnsi="Times New Roman"/>
          <w:highlight w:val="none"/>
        </w:rPr>
        <w:t>本项目采用</w:t>
      </w:r>
      <w:r>
        <w:rPr>
          <w:rFonts w:hint="eastAsia" w:ascii="Times New Roman" w:hAnsi="Times New Roman"/>
          <w:highlight w:val="none"/>
          <w:lang w:val="en-US" w:eastAsia="zh-CN"/>
        </w:rPr>
        <w:t>公路</w:t>
      </w:r>
      <w:r>
        <w:rPr>
          <w:rFonts w:hint="eastAsia" w:ascii="Times New Roman" w:hAnsi="Times New Roman"/>
          <w:highlight w:val="none"/>
        </w:rPr>
        <w:t>运输到场，</w:t>
      </w:r>
      <w:r>
        <w:rPr>
          <w:rFonts w:ascii="Times New Roman" w:hAnsi="Times New Roman"/>
          <w:highlight w:val="none"/>
        </w:rPr>
        <w:t>拟利用厂区北侧地块，建设封闭式储煤库一座，煤场面积</w:t>
      </w:r>
      <w:r>
        <w:rPr>
          <w:rFonts w:hint="eastAsia" w:ascii="Times New Roman" w:hAnsi="Times New Roman"/>
          <w:iCs/>
          <w:highlight w:val="none"/>
          <w:lang w:val="en-US" w:eastAsia="zh-CN"/>
        </w:rPr>
        <w:t>4250</w:t>
      </w:r>
      <w:r>
        <w:rPr>
          <w:rFonts w:ascii="Times New Roman" w:hAnsi="Times New Roman"/>
          <w:highlight w:val="none"/>
        </w:rPr>
        <w:t>平方米，可存煤</w:t>
      </w:r>
      <w:r>
        <w:rPr>
          <w:rFonts w:hint="eastAsia" w:ascii="Times New Roman" w:hAnsi="Times New Roman"/>
          <w:highlight w:val="none"/>
          <w:lang w:val="en-US" w:eastAsia="zh-CN"/>
        </w:rPr>
        <w:t>2.55</w:t>
      </w:r>
      <w:r>
        <w:rPr>
          <w:rFonts w:ascii="Times New Roman" w:hAnsi="Times New Roman"/>
          <w:highlight w:val="none"/>
        </w:rPr>
        <w:t>万吨，满足</w:t>
      </w:r>
      <w:r>
        <w:rPr>
          <w:rFonts w:hint="eastAsia" w:ascii="Times New Roman" w:hAnsi="Times New Roman"/>
          <w:highlight w:val="none"/>
          <w:lang w:val="en-US" w:eastAsia="zh-CN"/>
        </w:rPr>
        <w:t>企业实际运行情况最大耗煤量33</w:t>
      </w:r>
      <w:r>
        <w:rPr>
          <w:rFonts w:ascii="Times New Roman" w:hAnsi="Times New Roman"/>
          <w:highlight w:val="none"/>
        </w:rPr>
        <w:t>天满负荷运行耗煤量。</w:t>
      </w:r>
    </w:p>
    <w:p w14:paraId="38F64AE7">
      <w:pPr>
        <w:pStyle w:val="5"/>
        <w:bidi w:val="0"/>
        <w:ind w:left="0" w:leftChars="0" w:firstLine="0" w:firstLineChars="0"/>
        <w:rPr>
          <w:rFonts w:hint="eastAsia"/>
          <w:highlight w:val="none"/>
          <w:lang w:val="en-US" w:eastAsia="zh-CN"/>
        </w:rPr>
      </w:pPr>
      <w:bookmarkStart w:id="60" w:name="_Toc9226"/>
      <w:r>
        <w:rPr>
          <w:rFonts w:hint="eastAsia"/>
          <w:highlight w:val="none"/>
          <w:lang w:val="en-US" w:eastAsia="zh-CN"/>
        </w:rPr>
        <w:t>3.1.7辅助材料</w:t>
      </w:r>
      <w:bookmarkEnd w:id="60"/>
    </w:p>
    <w:p w14:paraId="10732A28">
      <w:pPr>
        <w:ind w:firstLine="480"/>
        <w:rPr>
          <w:rFonts w:ascii="Times New Roman" w:hAnsi="Times New Roman"/>
          <w:highlight w:val="none"/>
        </w:rPr>
      </w:pPr>
      <w:r>
        <w:rPr>
          <w:rFonts w:ascii="Times New Roman" w:hAnsi="Times New Roman"/>
          <w:highlight w:val="none"/>
        </w:rPr>
        <w:t>本项目原辅材料消耗见表3.1-</w:t>
      </w:r>
      <w:r>
        <w:rPr>
          <w:rFonts w:hint="eastAsia" w:ascii="Times New Roman" w:hAnsi="Times New Roman"/>
          <w:highlight w:val="none"/>
          <w:lang w:val="en-US" w:eastAsia="zh-CN"/>
        </w:rPr>
        <w:t>5</w:t>
      </w:r>
      <w:r>
        <w:rPr>
          <w:rFonts w:ascii="Times New Roman" w:hAnsi="Times New Roman"/>
          <w:highlight w:val="none"/>
        </w:rPr>
        <w:t>。</w:t>
      </w:r>
    </w:p>
    <w:p w14:paraId="1A1A0C8C">
      <w:pPr>
        <w:ind w:firstLine="0" w:firstLineChars="0"/>
        <w:jc w:val="center"/>
        <w:rPr>
          <w:rFonts w:ascii="Times New Roman" w:hAnsi="Times New Roman"/>
          <w:b/>
          <w:bCs/>
          <w:highlight w:val="none"/>
        </w:rPr>
      </w:pPr>
      <w:r>
        <w:rPr>
          <w:rFonts w:ascii="Times New Roman" w:hAnsi="Times New Roman"/>
          <w:b/>
          <w:bCs/>
          <w:highlight w:val="none"/>
        </w:rPr>
        <w:t>表3.1-</w:t>
      </w:r>
      <w:r>
        <w:rPr>
          <w:rFonts w:hint="eastAsia" w:ascii="Times New Roman" w:hAnsi="Times New Roman"/>
          <w:b/>
          <w:bCs/>
          <w:highlight w:val="none"/>
          <w:lang w:val="en-US" w:eastAsia="zh-CN"/>
        </w:rPr>
        <w:t>5</w:t>
      </w:r>
      <w:r>
        <w:rPr>
          <w:rFonts w:ascii="Times New Roman" w:hAnsi="Times New Roman"/>
          <w:b/>
          <w:bCs/>
          <w:highlight w:val="none"/>
        </w:rPr>
        <w:t>原辅材料消耗一览表</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58"/>
        <w:gridCol w:w="1294"/>
        <w:gridCol w:w="706"/>
        <w:gridCol w:w="1316"/>
        <w:gridCol w:w="4548"/>
      </w:tblGrid>
      <w:tr w14:paraId="7335E4B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86" w:type="pct"/>
            <w:noWrap w:val="0"/>
            <w:vAlign w:val="center"/>
          </w:tcPr>
          <w:p w14:paraId="5134465D">
            <w:pPr>
              <w:pStyle w:val="27"/>
              <w:rPr>
                <w:rFonts w:ascii="Times New Roman" w:hAnsi="Times New Roman"/>
                <w:highlight w:val="none"/>
              </w:rPr>
            </w:pPr>
            <w:r>
              <w:rPr>
                <w:rFonts w:ascii="Times New Roman" w:hAnsi="Times New Roman"/>
                <w:highlight w:val="none"/>
              </w:rPr>
              <w:t>序号</w:t>
            </w:r>
          </w:p>
        </w:tc>
        <w:tc>
          <w:tcPr>
            <w:tcW w:w="759" w:type="pct"/>
            <w:noWrap w:val="0"/>
            <w:vAlign w:val="center"/>
          </w:tcPr>
          <w:p w14:paraId="7897A632">
            <w:pPr>
              <w:pStyle w:val="27"/>
              <w:rPr>
                <w:rFonts w:ascii="Times New Roman" w:hAnsi="Times New Roman"/>
                <w:highlight w:val="none"/>
              </w:rPr>
            </w:pPr>
            <w:r>
              <w:rPr>
                <w:rFonts w:ascii="Times New Roman" w:hAnsi="Times New Roman"/>
                <w:highlight w:val="none"/>
              </w:rPr>
              <w:t>名称</w:t>
            </w:r>
          </w:p>
        </w:tc>
        <w:tc>
          <w:tcPr>
            <w:tcW w:w="414" w:type="pct"/>
            <w:noWrap w:val="0"/>
            <w:vAlign w:val="center"/>
          </w:tcPr>
          <w:p w14:paraId="4085E630">
            <w:pPr>
              <w:pStyle w:val="27"/>
              <w:rPr>
                <w:rFonts w:ascii="Times New Roman" w:hAnsi="Times New Roman"/>
                <w:highlight w:val="none"/>
              </w:rPr>
            </w:pPr>
            <w:r>
              <w:rPr>
                <w:rFonts w:ascii="Times New Roman" w:hAnsi="Times New Roman"/>
                <w:highlight w:val="none"/>
              </w:rPr>
              <w:t>单位</w:t>
            </w:r>
          </w:p>
        </w:tc>
        <w:tc>
          <w:tcPr>
            <w:tcW w:w="772" w:type="pct"/>
            <w:noWrap w:val="0"/>
            <w:vAlign w:val="center"/>
          </w:tcPr>
          <w:p w14:paraId="7297D603">
            <w:pPr>
              <w:pStyle w:val="27"/>
              <w:rPr>
                <w:rFonts w:ascii="Times New Roman" w:hAnsi="Times New Roman"/>
                <w:highlight w:val="none"/>
              </w:rPr>
            </w:pPr>
            <w:r>
              <w:rPr>
                <w:rFonts w:ascii="Times New Roman" w:hAnsi="Times New Roman"/>
                <w:highlight w:val="none"/>
              </w:rPr>
              <w:t>用量</w:t>
            </w:r>
          </w:p>
        </w:tc>
        <w:tc>
          <w:tcPr>
            <w:tcW w:w="2667" w:type="pct"/>
            <w:noWrap w:val="0"/>
            <w:vAlign w:val="center"/>
          </w:tcPr>
          <w:p w14:paraId="3832F19D">
            <w:pPr>
              <w:pStyle w:val="27"/>
              <w:rPr>
                <w:rFonts w:ascii="Times New Roman" w:hAnsi="Times New Roman"/>
                <w:highlight w:val="none"/>
              </w:rPr>
            </w:pPr>
            <w:r>
              <w:rPr>
                <w:rFonts w:ascii="Times New Roman" w:hAnsi="Times New Roman"/>
                <w:highlight w:val="none"/>
              </w:rPr>
              <w:t>备注</w:t>
            </w:r>
          </w:p>
        </w:tc>
      </w:tr>
      <w:tr w14:paraId="7D93FF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86" w:type="pct"/>
            <w:vMerge w:val="restart"/>
            <w:noWrap w:val="0"/>
            <w:vAlign w:val="center"/>
          </w:tcPr>
          <w:p w14:paraId="05F52F54">
            <w:pPr>
              <w:pStyle w:val="27"/>
              <w:rPr>
                <w:rFonts w:hint="eastAsia" w:ascii="Times New Roman" w:hAnsi="Times New Roman" w:eastAsia="新宋体"/>
                <w:highlight w:val="none"/>
                <w:lang w:eastAsia="zh-CN"/>
              </w:rPr>
            </w:pPr>
            <w:r>
              <w:rPr>
                <w:rFonts w:hint="eastAsia" w:ascii="Times New Roman" w:hAnsi="Times New Roman"/>
                <w:highlight w:val="none"/>
                <w:lang w:val="en-US" w:eastAsia="zh-CN"/>
              </w:rPr>
              <w:t>1</w:t>
            </w:r>
          </w:p>
        </w:tc>
        <w:tc>
          <w:tcPr>
            <w:tcW w:w="759" w:type="pct"/>
            <w:vMerge w:val="restart"/>
            <w:noWrap w:val="0"/>
            <w:vAlign w:val="center"/>
          </w:tcPr>
          <w:p w14:paraId="1DC54120">
            <w:pPr>
              <w:pStyle w:val="27"/>
              <w:rPr>
                <w:rFonts w:ascii="Times New Roman" w:hAnsi="Times New Roman"/>
                <w:highlight w:val="none"/>
              </w:rPr>
            </w:pPr>
            <w:r>
              <w:rPr>
                <w:rFonts w:ascii="Times New Roman" w:hAnsi="Times New Roman"/>
                <w:highlight w:val="none"/>
              </w:rPr>
              <w:t>尿素</w:t>
            </w:r>
          </w:p>
        </w:tc>
        <w:tc>
          <w:tcPr>
            <w:tcW w:w="414" w:type="pct"/>
            <w:noWrap w:val="0"/>
            <w:vAlign w:val="center"/>
          </w:tcPr>
          <w:p w14:paraId="2EA90682">
            <w:pPr>
              <w:pStyle w:val="27"/>
              <w:rPr>
                <w:rFonts w:ascii="Times New Roman" w:hAnsi="Times New Roman"/>
                <w:highlight w:val="none"/>
              </w:rPr>
            </w:pPr>
            <w:r>
              <w:rPr>
                <w:rFonts w:ascii="Times New Roman" w:hAnsi="Times New Roman"/>
                <w:highlight w:val="none"/>
              </w:rPr>
              <w:t>t/a</w:t>
            </w:r>
          </w:p>
        </w:tc>
        <w:tc>
          <w:tcPr>
            <w:tcW w:w="772" w:type="pct"/>
            <w:noWrap w:val="0"/>
            <w:vAlign w:val="center"/>
          </w:tcPr>
          <w:p w14:paraId="5F10E95C">
            <w:pPr>
              <w:pStyle w:val="27"/>
              <w:rPr>
                <w:rFonts w:ascii="Times New Roman" w:hAnsi="Times New Roman"/>
                <w:highlight w:val="none"/>
              </w:rPr>
            </w:pPr>
            <w:r>
              <w:rPr>
                <w:rFonts w:hint="eastAsia" w:ascii="Times New Roman" w:hAnsi="Times New Roman"/>
                <w:highlight w:val="none"/>
              </w:rPr>
              <w:t>229.32</w:t>
            </w:r>
          </w:p>
        </w:tc>
        <w:tc>
          <w:tcPr>
            <w:tcW w:w="2667" w:type="pct"/>
            <w:vMerge w:val="restart"/>
            <w:noWrap w:val="0"/>
            <w:vAlign w:val="center"/>
          </w:tcPr>
          <w:p w14:paraId="1613826E">
            <w:pPr>
              <w:pStyle w:val="27"/>
              <w:rPr>
                <w:rFonts w:ascii="Times New Roman" w:hAnsi="Times New Roman"/>
                <w:highlight w:val="none"/>
              </w:rPr>
            </w:pPr>
            <w:r>
              <w:rPr>
                <w:rFonts w:ascii="Times New Roman" w:hAnsi="Times New Roman"/>
                <w:highlight w:val="none"/>
              </w:rPr>
              <w:t>尿素储存间，最大储存量为20t。</w:t>
            </w:r>
          </w:p>
        </w:tc>
      </w:tr>
      <w:tr w14:paraId="75A8CDD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86" w:type="pct"/>
            <w:vMerge w:val="continue"/>
            <w:noWrap w:val="0"/>
            <w:vAlign w:val="center"/>
          </w:tcPr>
          <w:p w14:paraId="4F257AAF">
            <w:pPr>
              <w:pStyle w:val="27"/>
              <w:rPr>
                <w:rFonts w:ascii="Times New Roman" w:hAnsi="Times New Roman"/>
                <w:highlight w:val="none"/>
              </w:rPr>
            </w:pPr>
          </w:p>
        </w:tc>
        <w:tc>
          <w:tcPr>
            <w:tcW w:w="759" w:type="pct"/>
            <w:vMerge w:val="continue"/>
            <w:noWrap w:val="0"/>
            <w:vAlign w:val="center"/>
          </w:tcPr>
          <w:p w14:paraId="21307514">
            <w:pPr>
              <w:pStyle w:val="27"/>
              <w:rPr>
                <w:rFonts w:ascii="Times New Roman" w:hAnsi="Times New Roman"/>
                <w:highlight w:val="none"/>
              </w:rPr>
            </w:pPr>
          </w:p>
        </w:tc>
        <w:tc>
          <w:tcPr>
            <w:tcW w:w="414" w:type="pct"/>
            <w:noWrap w:val="0"/>
            <w:vAlign w:val="center"/>
          </w:tcPr>
          <w:p w14:paraId="24A51D3F">
            <w:pPr>
              <w:pStyle w:val="27"/>
              <w:rPr>
                <w:rFonts w:ascii="Times New Roman" w:hAnsi="Times New Roman"/>
                <w:highlight w:val="none"/>
              </w:rPr>
            </w:pPr>
            <w:r>
              <w:rPr>
                <w:rFonts w:ascii="Times New Roman" w:hAnsi="Times New Roman"/>
                <w:highlight w:val="none"/>
              </w:rPr>
              <w:t>t/h</w:t>
            </w:r>
          </w:p>
        </w:tc>
        <w:tc>
          <w:tcPr>
            <w:tcW w:w="772" w:type="pct"/>
            <w:noWrap w:val="0"/>
            <w:vAlign w:val="center"/>
          </w:tcPr>
          <w:p w14:paraId="09B31823">
            <w:pPr>
              <w:pStyle w:val="27"/>
              <w:rPr>
                <w:rFonts w:hint="default" w:ascii="Times New Roman" w:hAnsi="Times New Roman" w:eastAsia="新宋体"/>
                <w:highlight w:val="none"/>
                <w:lang w:val="en-US" w:eastAsia="zh-CN"/>
              </w:rPr>
            </w:pPr>
            <w:r>
              <w:rPr>
                <w:rFonts w:hint="eastAsia" w:ascii="Times New Roman" w:hAnsi="Times New Roman"/>
                <w:highlight w:val="none"/>
                <w:lang w:val="en-US" w:eastAsia="zh-CN"/>
              </w:rPr>
              <w:t>0.0455</w:t>
            </w:r>
          </w:p>
        </w:tc>
        <w:tc>
          <w:tcPr>
            <w:tcW w:w="2667" w:type="pct"/>
            <w:vMerge w:val="continue"/>
            <w:noWrap w:val="0"/>
            <w:vAlign w:val="center"/>
          </w:tcPr>
          <w:p w14:paraId="12AE276B">
            <w:pPr>
              <w:pStyle w:val="27"/>
              <w:rPr>
                <w:rFonts w:ascii="Times New Roman" w:hAnsi="Times New Roman"/>
                <w:highlight w:val="none"/>
              </w:rPr>
            </w:pPr>
          </w:p>
        </w:tc>
      </w:tr>
      <w:tr w14:paraId="22837F3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86" w:type="pct"/>
            <w:noWrap w:val="0"/>
            <w:vAlign w:val="center"/>
          </w:tcPr>
          <w:p w14:paraId="6C228B4A">
            <w:pPr>
              <w:pStyle w:val="27"/>
              <w:rPr>
                <w:rFonts w:hint="eastAsia" w:ascii="Times New Roman" w:hAnsi="Times New Roman" w:eastAsia="新宋体"/>
                <w:highlight w:val="none"/>
                <w:lang w:eastAsia="zh-CN"/>
              </w:rPr>
            </w:pPr>
            <w:r>
              <w:rPr>
                <w:rFonts w:hint="eastAsia" w:ascii="Times New Roman" w:hAnsi="Times New Roman"/>
                <w:highlight w:val="none"/>
                <w:lang w:val="en-US" w:eastAsia="zh-CN"/>
              </w:rPr>
              <w:t>2</w:t>
            </w:r>
          </w:p>
        </w:tc>
        <w:tc>
          <w:tcPr>
            <w:tcW w:w="759" w:type="pct"/>
            <w:noWrap w:val="0"/>
            <w:vAlign w:val="center"/>
          </w:tcPr>
          <w:p w14:paraId="2F0E596A">
            <w:pPr>
              <w:pStyle w:val="27"/>
              <w:rPr>
                <w:rFonts w:ascii="Times New Roman" w:hAnsi="Times New Roman"/>
                <w:highlight w:val="none"/>
              </w:rPr>
            </w:pPr>
            <w:r>
              <w:rPr>
                <w:rFonts w:ascii="Times New Roman" w:hAnsi="Times New Roman"/>
                <w:highlight w:val="none"/>
              </w:rPr>
              <w:t>水</w:t>
            </w:r>
          </w:p>
        </w:tc>
        <w:tc>
          <w:tcPr>
            <w:tcW w:w="414" w:type="pct"/>
            <w:noWrap w:val="0"/>
            <w:vAlign w:val="center"/>
          </w:tcPr>
          <w:p w14:paraId="45B23539">
            <w:pPr>
              <w:pStyle w:val="27"/>
              <w:rPr>
                <w:rFonts w:hint="eastAsia" w:ascii="Times New Roman" w:hAnsi="Times New Roman" w:eastAsia="新宋体"/>
                <w:highlight w:val="none"/>
                <w:lang w:eastAsia="zh-CN"/>
              </w:rPr>
            </w:pPr>
            <w:r>
              <w:rPr>
                <w:rFonts w:ascii="Times New Roman" w:hAnsi="Times New Roman"/>
                <w:highlight w:val="none"/>
              </w:rPr>
              <w:t>t/</w:t>
            </w:r>
            <w:r>
              <w:rPr>
                <w:rFonts w:hint="eastAsia" w:ascii="Times New Roman" w:hAnsi="Times New Roman"/>
                <w:highlight w:val="none"/>
                <w:lang w:val="en-US" w:eastAsia="zh-CN"/>
              </w:rPr>
              <w:t>a</w:t>
            </w:r>
          </w:p>
        </w:tc>
        <w:tc>
          <w:tcPr>
            <w:tcW w:w="772" w:type="pct"/>
            <w:noWrap w:val="0"/>
            <w:vAlign w:val="center"/>
          </w:tcPr>
          <w:p w14:paraId="25191A15">
            <w:pPr>
              <w:pStyle w:val="27"/>
              <w:rPr>
                <w:rFonts w:hint="default" w:ascii="Times New Roman" w:hAnsi="Times New Roman" w:eastAsia="新宋体"/>
                <w:highlight w:val="none"/>
                <w:lang w:val="en-US" w:eastAsia="zh-CN"/>
              </w:rPr>
            </w:pPr>
            <w:r>
              <w:rPr>
                <w:rFonts w:hint="eastAsia" w:ascii="Times New Roman" w:hAnsi="Times New Roman" w:eastAsia="宋体"/>
                <w:highlight w:val="none"/>
                <w:lang w:val="en-US" w:eastAsia="zh-CN"/>
              </w:rPr>
              <w:t>240228.21</w:t>
            </w:r>
          </w:p>
        </w:tc>
        <w:tc>
          <w:tcPr>
            <w:tcW w:w="2667" w:type="pct"/>
            <w:noWrap w:val="0"/>
            <w:vAlign w:val="center"/>
          </w:tcPr>
          <w:p w14:paraId="21AD2586">
            <w:pPr>
              <w:pStyle w:val="27"/>
              <w:rPr>
                <w:rFonts w:ascii="Times New Roman" w:hAnsi="Times New Roman"/>
                <w:highlight w:val="none"/>
              </w:rPr>
            </w:pPr>
            <w:r>
              <w:rPr>
                <w:rFonts w:ascii="Times New Roman" w:hAnsi="Times New Roman"/>
                <w:highlight w:val="none"/>
              </w:rPr>
              <w:t>本项目生产用水依托市政管网</w:t>
            </w:r>
          </w:p>
        </w:tc>
      </w:tr>
      <w:tr w14:paraId="5F0769E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86" w:type="pct"/>
            <w:vMerge w:val="restart"/>
            <w:noWrap w:val="0"/>
            <w:vAlign w:val="center"/>
          </w:tcPr>
          <w:p w14:paraId="3FBD7076">
            <w:pPr>
              <w:pStyle w:val="27"/>
              <w:rPr>
                <w:rFonts w:hint="eastAsia" w:ascii="Times New Roman" w:hAnsi="Times New Roman" w:eastAsia="新宋体"/>
                <w:highlight w:val="none"/>
                <w:lang w:eastAsia="zh-CN"/>
              </w:rPr>
            </w:pPr>
            <w:r>
              <w:rPr>
                <w:rFonts w:hint="eastAsia" w:ascii="Times New Roman" w:hAnsi="Times New Roman"/>
                <w:highlight w:val="none"/>
                <w:lang w:val="en-US" w:eastAsia="zh-CN"/>
              </w:rPr>
              <w:t>3</w:t>
            </w:r>
          </w:p>
        </w:tc>
        <w:tc>
          <w:tcPr>
            <w:tcW w:w="759" w:type="pct"/>
            <w:vMerge w:val="restart"/>
            <w:noWrap w:val="0"/>
            <w:vAlign w:val="center"/>
          </w:tcPr>
          <w:p w14:paraId="13A3C519">
            <w:pPr>
              <w:pStyle w:val="27"/>
              <w:rPr>
                <w:rFonts w:hint="default" w:ascii="Times New Roman" w:hAnsi="Times New Roman" w:eastAsia="新宋体"/>
                <w:highlight w:val="none"/>
                <w:lang w:val="en-US" w:eastAsia="zh-CN"/>
              </w:rPr>
            </w:pPr>
            <w:r>
              <w:rPr>
                <w:rFonts w:ascii="Times New Roman" w:hAnsi="Times New Roman"/>
                <w:highlight w:val="none"/>
              </w:rPr>
              <w:t>石灰石</w:t>
            </w:r>
            <w:r>
              <w:rPr>
                <w:rFonts w:hint="eastAsia" w:ascii="Times New Roman" w:hAnsi="Times New Roman"/>
                <w:highlight w:val="none"/>
                <w:lang w:val="en-US" w:eastAsia="zh-CN"/>
              </w:rPr>
              <w:t xml:space="preserve">粉 </w:t>
            </w:r>
          </w:p>
        </w:tc>
        <w:tc>
          <w:tcPr>
            <w:tcW w:w="414" w:type="pct"/>
            <w:noWrap w:val="0"/>
            <w:vAlign w:val="center"/>
          </w:tcPr>
          <w:p w14:paraId="545CC1B6">
            <w:pPr>
              <w:pStyle w:val="27"/>
              <w:rPr>
                <w:rFonts w:ascii="Times New Roman" w:hAnsi="Times New Roman"/>
                <w:highlight w:val="none"/>
              </w:rPr>
            </w:pPr>
            <w:r>
              <w:rPr>
                <w:rFonts w:ascii="Times New Roman" w:hAnsi="Times New Roman"/>
                <w:highlight w:val="none"/>
              </w:rPr>
              <w:t>t/a</w:t>
            </w:r>
          </w:p>
        </w:tc>
        <w:tc>
          <w:tcPr>
            <w:tcW w:w="772" w:type="pct"/>
            <w:noWrap w:val="0"/>
            <w:vAlign w:val="center"/>
          </w:tcPr>
          <w:p w14:paraId="26EFF82A">
            <w:pPr>
              <w:pStyle w:val="27"/>
              <w:rPr>
                <w:rFonts w:hint="default" w:ascii="Times New Roman" w:hAnsi="Times New Roman" w:eastAsia="新宋体"/>
                <w:highlight w:val="none"/>
                <w:lang w:val="en-US" w:eastAsia="zh-CN"/>
              </w:rPr>
            </w:pPr>
            <w:r>
              <w:rPr>
                <w:rFonts w:hint="eastAsia" w:ascii="Times New Roman" w:hAnsi="Times New Roman"/>
                <w:highlight w:val="none"/>
                <w:lang w:val="en-US" w:eastAsia="zh-CN"/>
              </w:rPr>
              <w:t>750</w:t>
            </w:r>
          </w:p>
        </w:tc>
        <w:tc>
          <w:tcPr>
            <w:tcW w:w="2667" w:type="pct"/>
            <w:vMerge w:val="restart"/>
            <w:noWrap w:val="0"/>
            <w:vAlign w:val="center"/>
          </w:tcPr>
          <w:p w14:paraId="4128BBFD">
            <w:pPr>
              <w:pStyle w:val="27"/>
              <w:rPr>
                <w:rFonts w:ascii="Times New Roman" w:hAnsi="Times New Roman"/>
                <w:highlight w:val="none"/>
              </w:rPr>
            </w:pPr>
            <w:r>
              <w:rPr>
                <w:rFonts w:ascii="Times New Roman" w:hAnsi="Times New Roman"/>
                <w:highlight w:val="none"/>
              </w:rPr>
              <w:t>脱硫所用石灰石储存在脱硫设备间内，单独的隔断空间</w:t>
            </w:r>
            <w:r>
              <w:rPr>
                <w:rFonts w:hint="eastAsia" w:ascii="Times New Roman" w:hAnsi="Times New Roman"/>
                <w:highlight w:val="none"/>
              </w:rPr>
              <w:t>；主要成分为碳酸钙（含量在85%以上）。</w:t>
            </w:r>
          </w:p>
        </w:tc>
      </w:tr>
      <w:tr w14:paraId="2BCE95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86" w:type="pct"/>
            <w:vMerge w:val="continue"/>
            <w:noWrap w:val="0"/>
            <w:vAlign w:val="center"/>
          </w:tcPr>
          <w:p w14:paraId="2D4ED67D">
            <w:pPr>
              <w:pStyle w:val="27"/>
              <w:rPr>
                <w:rFonts w:ascii="Times New Roman" w:hAnsi="Times New Roman"/>
                <w:highlight w:val="none"/>
              </w:rPr>
            </w:pPr>
          </w:p>
        </w:tc>
        <w:tc>
          <w:tcPr>
            <w:tcW w:w="759" w:type="pct"/>
            <w:vMerge w:val="continue"/>
            <w:noWrap w:val="0"/>
            <w:vAlign w:val="center"/>
          </w:tcPr>
          <w:p w14:paraId="51BF2862">
            <w:pPr>
              <w:pStyle w:val="27"/>
              <w:rPr>
                <w:rFonts w:ascii="Times New Roman" w:hAnsi="Times New Roman"/>
                <w:highlight w:val="none"/>
              </w:rPr>
            </w:pPr>
          </w:p>
        </w:tc>
        <w:tc>
          <w:tcPr>
            <w:tcW w:w="414" w:type="pct"/>
            <w:noWrap w:val="0"/>
            <w:vAlign w:val="center"/>
          </w:tcPr>
          <w:p w14:paraId="176AFF3D">
            <w:pPr>
              <w:pStyle w:val="27"/>
              <w:rPr>
                <w:rFonts w:ascii="Times New Roman" w:hAnsi="Times New Roman"/>
                <w:highlight w:val="none"/>
              </w:rPr>
            </w:pPr>
            <w:r>
              <w:rPr>
                <w:rFonts w:ascii="Times New Roman" w:hAnsi="Times New Roman"/>
                <w:highlight w:val="none"/>
              </w:rPr>
              <w:t>t/h</w:t>
            </w:r>
          </w:p>
        </w:tc>
        <w:tc>
          <w:tcPr>
            <w:tcW w:w="772" w:type="pct"/>
            <w:noWrap w:val="0"/>
            <w:vAlign w:val="center"/>
          </w:tcPr>
          <w:p w14:paraId="299D1506">
            <w:pPr>
              <w:pStyle w:val="27"/>
              <w:rPr>
                <w:rFonts w:hint="default" w:ascii="Times New Roman" w:hAnsi="Times New Roman" w:eastAsia="新宋体"/>
                <w:highlight w:val="none"/>
                <w:lang w:val="en-US" w:eastAsia="zh-CN"/>
              </w:rPr>
            </w:pPr>
            <w:r>
              <w:rPr>
                <w:rFonts w:hint="eastAsia" w:ascii="Times New Roman" w:hAnsi="Times New Roman"/>
                <w:highlight w:val="none"/>
                <w:lang w:val="en-US" w:eastAsia="zh-CN"/>
              </w:rPr>
              <w:t>0.149</w:t>
            </w:r>
          </w:p>
        </w:tc>
        <w:tc>
          <w:tcPr>
            <w:tcW w:w="2667" w:type="pct"/>
            <w:vMerge w:val="continue"/>
            <w:noWrap w:val="0"/>
            <w:vAlign w:val="center"/>
          </w:tcPr>
          <w:p w14:paraId="49E22DB0">
            <w:pPr>
              <w:pStyle w:val="27"/>
              <w:rPr>
                <w:rFonts w:ascii="Times New Roman" w:hAnsi="Times New Roman"/>
                <w:highlight w:val="none"/>
              </w:rPr>
            </w:pPr>
          </w:p>
        </w:tc>
      </w:tr>
    </w:tbl>
    <w:p w14:paraId="6F2FB48D">
      <w:pPr>
        <w:pStyle w:val="5"/>
        <w:bidi w:val="0"/>
        <w:ind w:left="0" w:leftChars="0" w:firstLine="0" w:firstLineChars="0"/>
        <w:rPr>
          <w:rFonts w:hint="eastAsia"/>
          <w:highlight w:val="none"/>
          <w:lang w:val="en-US" w:eastAsia="zh-CN"/>
        </w:rPr>
      </w:pPr>
      <w:bookmarkStart w:id="61" w:name="_Toc2071"/>
      <w:r>
        <w:rPr>
          <w:rFonts w:hint="eastAsia"/>
          <w:highlight w:val="none"/>
          <w:lang w:val="en-US" w:eastAsia="zh-CN"/>
        </w:rPr>
        <w:t>3.1.8公用工程</w:t>
      </w:r>
      <w:bookmarkEnd w:id="61"/>
    </w:p>
    <w:p w14:paraId="741E9CFD">
      <w:pPr>
        <w:ind w:firstLine="480"/>
        <w:rPr>
          <w:rFonts w:ascii="Times New Roman" w:hAnsi="Times New Roman"/>
          <w:highlight w:val="none"/>
        </w:rPr>
      </w:pPr>
      <w:r>
        <w:rPr>
          <w:rFonts w:ascii="Times New Roman" w:hAnsi="Times New Roman"/>
          <w:highlight w:val="none"/>
        </w:rPr>
        <w:t>（1）供水</w:t>
      </w:r>
    </w:p>
    <w:p w14:paraId="51449F2D">
      <w:pPr>
        <w:ind w:firstLine="480"/>
        <w:rPr>
          <w:rFonts w:ascii="Times New Roman" w:hAnsi="Times New Roman"/>
          <w:highlight w:val="none"/>
        </w:rPr>
      </w:pPr>
      <w:r>
        <w:rPr>
          <w:rFonts w:ascii="Times New Roman" w:hAnsi="Times New Roman"/>
          <w:highlight w:val="none"/>
        </w:rPr>
        <w:t>1）水源</w:t>
      </w:r>
    </w:p>
    <w:p w14:paraId="3608A448">
      <w:pPr>
        <w:ind w:firstLine="480"/>
        <w:rPr>
          <w:rFonts w:ascii="Times New Roman" w:hAnsi="Times New Roman"/>
          <w:highlight w:val="none"/>
        </w:rPr>
      </w:pPr>
      <w:r>
        <w:rPr>
          <w:rFonts w:ascii="Times New Roman" w:hAnsi="Times New Roman"/>
          <w:highlight w:val="none"/>
        </w:rPr>
        <w:t>生活及生产用水依托市政管网。</w:t>
      </w:r>
    </w:p>
    <w:p w14:paraId="2BD10A56">
      <w:pPr>
        <w:ind w:firstLine="480"/>
        <w:rPr>
          <w:rFonts w:ascii="Times New Roman" w:hAnsi="Times New Roman"/>
          <w:highlight w:val="none"/>
        </w:rPr>
      </w:pPr>
      <w:r>
        <w:rPr>
          <w:rFonts w:ascii="Times New Roman" w:hAnsi="Times New Roman"/>
          <w:highlight w:val="none"/>
        </w:rPr>
        <w:t>2）给水</w:t>
      </w:r>
    </w:p>
    <w:p w14:paraId="66E1D6F4">
      <w:pPr>
        <w:ind w:firstLine="480"/>
        <w:rPr>
          <w:rFonts w:ascii="Times New Roman" w:hAnsi="Times New Roman"/>
          <w:highlight w:val="none"/>
        </w:rPr>
      </w:pPr>
      <w:r>
        <w:rPr>
          <w:rFonts w:ascii="Times New Roman" w:hAnsi="Times New Roman"/>
          <w:highlight w:val="none"/>
        </w:rPr>
        <w:t>供水系统包括：热网补充水、</w:t>
      </w:r>
      <w:r>
        <w:rPr>
          <w:rFonts w:hint="eastAsia" w:ascii="Times New Roman" w:hAnsi="Times New Roman"/>
          <w:highlight w:val="none"/>
        </w:rPr>
        <w:t>锅炉补水、</w:t>
      </w:r>
      <w:r>
        <w:rPr>
          <w:rFonts w:ascii="Times New Roman" w:hAnsi="Times New Roman"/>
          <w:highlight w:val="none"/>
        </w:rPr>
        <w:t>工业用水、生活用水、消防用水等部分组成。</w:t>
      </w:r>
    </w:p>
    <w:p w14:paraId="40B2BA77">
      <w:pPr>
        <w:ind w:firstLine="480"/>
        <w:rPr>
          <w:rFonts w:ascii="Times New Roman" w:hAnsi="Times New Roman"/>
          <w:highlight w:val="none"/>
        </w:rPr>
      </w:pPr>
      <w:r>
        <w:rPr>
          <w:rFonts w:hint="eastAsia" w:ascii="宋体" w:hAnsi="宋体" w:cs="宋体"/>
          <w:highlight w:val="none"/>
        </w:rPr>
        <w:t>①</w:t>
      </w:r>
      <w:r>
        <w:rPr>
          <w:rFonts w:ascii="Times New Roman" w:hAnsi="Times New Roman"/>
          <w:highlight w:val="none"/>
        </w:rPr>
        <w:t>热网补充水量(Q1)：</w:t>
      </w:r>
    </w:p>
    <w:p w14:paraId="5DE38D56">
      <w:pPr>
        <w:ind w:firstLine="480"/>
        <w:rPr>
          <w:rFonts w:hint="default" w:ascii="Times New Roman" w:hAnsi="Times New Roman" w:eastAsia="宋体"/>
          <w:highlight w:val="none"/>
          <w:lang w:val="en-US" w:eastAsia="zh-CN"/>
        </w:rPr>
      </w:pPr>
      <w:r>
        <w:rPr>
          <w:rFonts w:ascii="Times New Roman" w:hAnsi="Times New Roman"/>
          <w:highlight w:val="none"/>
        </w:rPr>
        <w:t>根据《锅炉房设计标准》GB50041-2020中“热水系统正常补水给水量宜为系统循环水量的1%”之规定，</w:t>
      </w:r>
      <w:r>
        <w:rPr>
          <w:rFonts w:hint="eastAsia" w:ascii="Times New Roman" w:hAnsi="Times New Roman"/>
          <w:highlight w:val="none"/>
          <w:lang w:val="en-US" w:eastAsia="zh-CN"/>
        </w:rPr>
        <w:t>本项目热网循环水量为3500t</w:t>
      </w:r>
      <w:r>
        <w:rPr>
          <w:rFonts w:ascii="Times New Roman" w:hAnsi="Times New Roman"/>
          <w:highlight w:val="none"/>
        </w:rPr>
        <w:t>/h</w:t>
      </w:r>
      <w:r>
        <w:rPr>
          <w:rFonts w:hint="eastAsia" w:ascii="Times New Roman" w:hAnsi="Times New Roman"/>
          <w:highlight w:val="none"/>
          <w:lang w:eastAsia="zh-CN"/>
        </w:rPr>
        <w:t>，</w:t>
      </w:r>
      <w:r>
        <w:rPr>
          <w:rFonts w:ascii="Times New Roman" w:hAnsi="Times New Roman"/>
          <w:highlight w:val="none"/>
        </w:rPr>
        <w:t>热网补充水为</w:t>
      </w:r>
      <w:r>
        <w:rPr>
          <w:rFonts w:hint="eastAsia" w:ascii="Times New Roman" w:hAnsi="Times New Roman"/>
          <w:highlight w:val="none"/>
          <w:lang w:val="en-US" w:eastAsia="zh-CN"/>
        </w:rPr>
        <w:t>35</w:t>
      </w:r>
      <w:r>
        <w:rPr>
          <w:rFonts w:ascii="Times New Roman" w:hAnsi="Times New Roman"/>
          <w:highlight w:val="none"/>
        </w:rPr>
        <w:t>m</w:t>
      </w:r>
      <w:r>
        <w:rPr>
          <w:rFonts w:ascii="Times New Roman" w:hAnsi="Times New Roman"/>
          <w:highlight w:val="none"/>
          <w:vertAlign w:val="superscript"/>
        </w:rPr>
        <w:t>3</w:t>
      </w:r>
      <w:r>
        <w:rPr>
          <w:rFonts w:ascii="Times New Roman" w:hAnsi="Times New Roman"/>
          <w:highlight w:val="none"/>
        </w:rPr>
        <w:t>/h</w:t>
      </w:r>
      <w:r>
        <w:rPr>
          <w:rFonts w:hint="eastAsia" w:ascii="Times New Roman" w:hAnsi="Times New Roman"/>
          <w:highlight w:val="none"/>
          <w:lang w:eastAsia="zh-CN"/>
        </w:rPr>
        <w:t>，</w:t>
      </w:r>
      <w:r>
        <w:rPr>
          <w:rFonts w:hint="eastAsia" w:ascii="Times New Roman" w:hAnsi="Times New Roman"/>
          <w:highlight w:val="none"/>
          <w:lang w:val="en-US" w:eastAsia="zh-CN"/>
        </w:rPr>
        <w:t>840t/d，176400t/a。</w:t>
      </w:r>
    </w:p>
    <w:p w14:paraId="1DC5D72B">
      <w:pPr>
        <w:ind w:firstLine="480"/>
        <w:rPr>
          <w:rFonts w:hint="eastAsia"/>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项目设有1套软水制备系统，制软水工艺为钠离子交换法+反渗透制备软化水，当含有硬度离子的自来水通过交换器树脂层时，水中的钙、镁离子与树脂内的钠离子发生置换，树脂吸附了钙、镁离子而钠离子进入水中，从交换器内流出进入反渗透膜，最后流出的水就是去掉了硬度离子的软化水。</w:t>
      </w:r>
    </w:p>
    <w:p w14:paraId="31C40E4E">
      <w:pPr>
        <w:ind w:firstLine="480"/>
        <w:rPr>
          <w:rFonts w:hint="eastAsia"/>
          <w:color w:val="auto"/>
          <w:sz w:val="24"/>
          <w:szCs w:val="24"/>
          <w:highlight w:val="none"/>
          <w:lang w:eastAsia="zh-CN"/>
        </w:rPr>
      </w:pPr>
      <w:r>
        <w:rPr>
          <w:rFonts w:hint="eastAsia"/>
          <w:color w:val="000000" w:themeColor="text1"/>
          <w:sz w:val="24"/>
          <w:szCs w:val="24"/>
          <w:highlight w:val="none"/>
          <w:lang w:eastAsia="zh-CN"/>
          <w14:textFill>
            <w14:solidFill>
              <w14:schemeClr w14:val="tx1"/>
            </w14:solidFill>
          </w14:textFill>
        </w:rPr>
        <w:t>根据《排放源统计调查产排污核算方法和系数手册》中“4430工业锅炉（热力生产和供应）行业系数手册”中产污系数，燃</w:t>
      </w:r>
      <w:r>
        <w:rPr>
          <w:rFonts w:hint="eastAsia"/>
          <w:color w:val="000000" w:themeColor="text1"/>
          <w:sz w:val="24"/>
          <w:szCs w:val="24"/>
          <w:highlight w:val="none"/>
          <w:lang w:val="en-US" w:eastAsia="zh-CN"/>
          <w14:textFill>
            <w14:solidFill>
              <w14:schemeClr w14:val="tx1"/>
            </w14:solidFill>
          </w14:textFill>
        </w:rPr>
        <w:t>煤</w:t>
      </w:r>
      <w:r>
        <w:rPr>
          <w:rFonts w:hint="eastAsia"/>
          <w:color w:val="000000" w:themeColor="text1"/>
          <w:sz w:val="24"/>
          <w:szCs w:val="24"/>
          <w:highlight w:val="none"/>
          <w:lang w:eastAsia="zh-CN"/>
          <w14:textFill>
            <w14:solidFill>
              <w14:schemeClr w14:val="tx1"/>
            </w14:solidFill>
          </w14:textFill>
        </w:rPr>
        <w:t>锅炉（锅外水处理）废水产生系数为</w:t>
      </w:r>
      <w:r>
        <w:rPr>
          <w:rFonts w:hint="eastAsia"/>
          <w:color w:val="000000" w:themeColor="text1"/>
          <w:sz w:val="24"/>
          <w:szCs w:val="24"/>
          <w:highlight w:val="none"/>
          <w:lang w:val="en-US" w:eastAsia="zh-CN"/>
          <w14:textFill>
            <w14:solidFill>
              <w14:schemeClr w14:val="tx1"/>
            </w14:solidFill>
          </w14:textFill>
        </w:rPr>
        <w:t>0.605</w:t>
      </w:r>
      <w:r>
        <w:rPr>
          <w:rFonts w:hint="eastAsia"/>
          <w:color w:val="000000" w:themeColor="text1"/>
          <w:sz w:val="24"/>
          <w:szCs w:val="24"/>
          <w:highlight w:val="none"/>
          <w:lang w:eastAsia="zh-CN"/>
          <w14:textFill>
            <w14:solidFill>
              <w14:schemeClr w14:val="tx1"/>
            </w14:solidFill>
          </w14:textFill>
        </w:rPr>
        <w:t>吨/吨-</w:t>
      </w:r>
      <w:r>
        <w:rPr>
          <w:rFonts w:hint="eastAsia"/>
          <w:color w:val="auto"/>
          <w:sz w:val="24"/>
          <w:szCs w:val="24"/>
          <w:highlight w:val="none"/>
          <w:lang w:eastAsia="zh-CN"/>
        </w:rPr>
        <w:t>原料，本项目</w:t>
      </w:r>
      <w:r>
        <w:rPr>
          <w:rFonts w:hint="eastAsia"/>
          <w:color w:val="auto"/>
          <w:sz w:val="24"/>
          <w:szCs w:val="24"/>
          <w:highlight w:val="none"/>
          <w:lang w:val="en-US" w:eastAsia="zh-CN"/>
        </w:rPr>
        <w:t>煤</w:t>
      </w:r>
      <w:r>
        <w:rPr>
          <w:rFonts w:hint="eastAsia"/>
          <w:color w:val="auto"/>
          <w:sz w:val="24"/>
          <w:szCs w:val="24"/>
          <w:highlight w:val="none"/>
          <w:lang w:eastAsia="zh-CN"/>
        </w:rPr>
        <w:t>使用量为</w:t>
      </w:r>
      <w:r>
        <w:rPr>
          <w:rFonts w:hint="eastAsia"/>
          <w:color w:val="auto"/>
          <w:sz w:val="24"/>
          <w:szCs w:val="24"/>
          <w:highlight w:val="none"/>
          <w:lang w:val="en-US" w:eastAsia="zh-CN"/>
        </w:rPr>
        <w:t>81047.7024</w:t>
      </w:r>
      <w:r>
        <w:rPr>
          <w:rFonts w:hint="eastAsia"/>
          <w:color w:val="auto"/>
          <w:sz w:val="24"/>
          <w:szCs w:val="24"/>
          <w:highlight w:val="none"/>
          <w:lang w:eastAsia="zh-CN"/>
        </w:rPr>
        <w:t>t/a，则锅炉排污水和软化处理废水产生量为</w:t>
      </w:r>
      <w:r>
        <w:rPr>
          <w:rFonts w:hint="eastAsia"/>
          <w:color w:val="auto"/>
          <w:sz w:val="24"/>
          <w:szCs w:val="24"/>
          <w:highlight w:val="none"/>
          <w:lang w:val="en-US" w:eastAsia="zh-CN"/>
        </w:rPr>
        <w:t>412.731</w:t>
      </w:r>
      <w:r>
        <w:rPr>
          <w:rFonts w:hint="eastAsia"/>
          <w:color w:val="auto"/>
          <w:sz w:val="24"/>
          <w:szCs w:val="24"/>
          <w:highlight w:val="none"/>
          <w:lang w:eastAsia="zh-CN"/>
        </w:rPr>
        <w:t>t/d（</w:t>
      </w:r>
      <w:r>
        <w:rPr>
          <w:rFonts w:hint="eastAsia"/>
          <w:color w:val="auto"/>
          <w:sz w:val="24"/>
          <w:szCs w:val="24"/>
          <w:highlight w:val="none"/>
          <w:lang w:val="en-US" w:eastAsia="zh-CN"/>
        </w:rPr>
        <w:t>使用116MW锅炉</w:t>
      </w:r>
      <w:r>
        <w:rPr>
          <w:rFonts w:hint="eastAsia"/>
          <w:color w:val="auto"/>
          <w:sz w:val="24"/>
          <w:szCs w:val="24"/>
          <w:highlight w:val="none"/>
          <w:lang w:eastAsia="zh-CN"/>
        </w:rPr>
        <w:t>）、</w:t>
      </w:r>
      <w:r>
        <w:rPr>
          <w:rFonts w:hint="eastAsia"/>
          <w:color w:val="auto"/>
          <w:sz w:val="24"/>
          <w:szCs w:val="24"/>
          <w:highlight w:val="none"/>
          <w:lang w:val="en-US" w:eastAsia="zh-CN"/>
        </w:rPr>
        <w:t>179.296t/d（使用58MW+35t/h锅炉）、465.877t/d（使用116MW+35t/h锅炉）、126.15t/d（使用58MW锅炉）</w:t>
      </w:r>
      <w:r>
        <w:rPr>
          <w:rFonts w:hint="eastAsia"/>
          <w:color w:val="auto"/>
          <w:sz w:val="24"/>
          <w:szCs w:val="24"/>
          <w:highlight w:val="none"/>
          <w:lang w:eastAsia="zh-CN"/>
        </w:rPr>
        <w:t>，</w:t>
      </w:r>
      <w:r>
        <w:rPr>
          <w:rFonts w:hint="eastAsia"/>
          <w:color w:val="auto"/>
          <w:sz w:val="24"/>
          <w:szCs w:val="24"/>
          <w:highlight w:val="none"/>
          <w:lang w:val="en-US" w:eastAsia="zh-CN"/>
        </w:rPr>
        <w:t>49033.86</w:t>
      </w:r>
      <w:r>
        <w:rPr>
          <w:rFonts w:hint="eastAsia"/>
          <w:color w:val="auto"/>
          <w:sz w:val="24"/>
          <w:szCs w:val="24"/>
          <w:highlight w:val="none"/>
          <w:lang w:eastAsia="zh-CN"/>
        </w:rPr>
        <w:t>t/a，排放量按用水量90%计，则锅炉用水量为</w:t>
      </w:r>
      <w:r>
        <w:rPr>
          <w:rFonts w:hint="eastAsia"/>
          <w:color w:val="auto"/>
          <w:sz w:val="24"/>
          <w:szCs w:val="24"/>
          <w:highlight w:val="none"/>
          <w:lang w:val="en-US" w:eastAsia="zh-CN"/>
        </w:rPr>
        <w:t>458.59</w:t>
      </w:r>
      <w:r>
        <w:rPr>
          <w:rFonts w:hint="eastAsia"/>
          <w:color w:val="auto"/>
          <w:sz w:val="24"/>
          <w:szCs w:val="24"/>
          <w:highlight w:val="none"/>
          <w:lang w:eastAsia="zh-CN"/>
        </w:rPr>
        <w:t>t/d（</w:t>
      </w:r>
      <w:r>
        <w:rPr>
          <w:rFonts w:hint="eastAsia"/>
          <w:color w:val="auto"/>
          <w:sz w:val="24"/>
          <w:szCs w:val="24"/>
          <w:highlight w:val="none"/>
          <w:lang w:val="en-US" w:eastAsia="zh-CN"/>
        </w:rPr>
        <w:t>使用116MW锅炉</w:t>
      </w:r>
      <w:r>
        <w:rPr>
          <w:rFonts w:hint="eastAsia"/>
          <w:color w:val="auto"/>
          <w:sz w:val="24"/>
          <w:szCs w:val="24"/>
          <w:highlight w:val="none"/>
          <w:lang w:eastAsia="zh-CN"/>
        </w:rPr>
        <w:t>）、</w:t>
      </w:r>
      <w:r>
        <w:rPr>
          <w:rFonts w:hint="eastAsia"/>
          <w:color w:val="auto"/>
          <w:sz w:val="24"/>
          <w:szCs w:val="24"/>
          <w:highlight w:val="none"/>
          <w:lang w:val="en-US" w:eastAsia="zh-CN"/>
        </w:rPr>
        <w:t>199.218t/d（使用58MW+35t/h锅炉）、517.641t/d（使用116MW+35t/h锅炉）、140.167t/d（使用58MW锅炉）</w:t>
      </w:r>
      <w:r>
        <w:rPr>
          <w:rFonts w:hint="eastAsia"/>
          <w:color w:val="auto"/>
          <w:sz w:val="24"/>
          <w:szCs w:val="24"/>
          <w:highlight w:val="none"/>
          <w:lang w:eastAsia="zh-CN"/>
        </w:rPr>
        <w:t>，</w:t>
      </w:r>
      <w:r>
        <w:rPr>
          <w:rFonts w:hint="eastAsia"/>
          <w:color w:val="auto"/>
          <w:sz w:val="24"/>
          <w:szCs w:val="24"/>
          <w:highlight w:val="none"/>
          <w:lang w:val="en-US" w:eastAsia="zh-CN"/>
        </w:rPr>
        <w:t>54482.07</w:t>
      </w:r>
      <w:r>
        <w:rPr>
          <w:rFonts w:hint="eastAsia"/>
          <w:color w:val="auto"/>
          <w:sz w:val="24"/>
          <w:szCs w:val="24"/>
          <w:highlight w:val="none"/>
          <w:lang w:eastAsia="zh-CN"/>
        </w:rPr>
        <w:t>t/a。</w:t>
      </w:r>
    </w:p>
    <w:p w14:paraId="4FA6A892">
      <w:pPr>
        <w:pStyle w:val="23"/>
        <w:rPr>
          <w:highlight w:val="none"/>
        </w:rPr>
      </w:pPr>
      <w:r>
        <w:rPr>
          <w:rFonts w:hint="eastAsia" w:ascii="Times New Roman" w:hAnsi="Times New Roman"/>
          <w:color w:val="auto"/>
          <w:highlight w:val="none"/>
          <w:lang w:eastAsia="zh-CN"/>
        </w:rPr>
        <w:t>根据上述计算，本项目需提供软化水量为</w:t>
      </w:r>
      <w:r>
        <w:rPr>
          <w:rFonts w:hint="eastAsia" w:ascii="Times New Roman" w:hAnsi="Times New Roman"/>
          <w:color w:val="auto"/>
          <w:highlight w:val="none"/>
          <w:lang w:val="en-US" w:eastAsia="zh-CN"/>
        </w:rPr>
        <w:t>1290.59</w:t>
      </w:r>
      <w:r>
        <w:rPr>
          <w:rFonts w:hint="eastAsia" w:ascii="Times New Roman" w:hAnsi="Times New Roman"/>
          <w:color w:val="auto"/>
          <w:highlight w:val="none"/>
          <w:lang w:eastAsia="zh-CN"/>
        </w:rPr>
        <w:t>t/d（</w:t>
      </w:r>
      <w:r>
        <w:rPr>
          <w:rFonts w:hint="eastAsia" w:ascii="Times New Roman" w:hAnsi="Times New Roman"/>
          <w:color w:val="auto"/>
          <w:highlight w:val="none"/>
          <w:lang w:val="en-US" w:eastAsia="zh-CN"/>
        </w:rPr>
        <w:t>使用116MW锅炉</w:t>
      </w:r>
      <w:r>
        <w:rPr>
          <w:rFonts w:hint="eastAsia" w:ascii="Times New Roman" w:hAnsi="Times New Roman"/>
          <w:color w:val="auto"/>
          <w:highlight w:val="none"/>
          <w:lang w:eastAsia="zh-CN"/>
        </w:rPr>
        <w:t>）、</w:t>
      </w:r>
      <w:r>
        <w:rPr>
          <w:rFonts w:hint="eastAsia" w:ascii="Times New Roman" w:hAnsi="Times New Roman"/>
          <w:color w:val="auto"/>
          <w:highlight w:val="none"/>
          <w:lang w:val="en-US" w:eastAsia="zh-CN"/>
        </w:rPr>
        <w:t>1039.218t/d（使用58MW+35t/h锅炉）、1357.641t/d（使用116MW+35t/h锅炉）、980.167t/d（使用58MW锅炉）</w:t>
      </w:r>
      <w:r>
        <w:rPr>
          <w:rFonts w:hint="eastAsia" w:ascii="Times New Roman" w:hAnsi="Times New Roman"/>
          <w:color w:val="auto"/>
          <w:highlight w:val="none"/>
          <w:lang w:eastAsia="zh-CN"/>
        </w:rPr>
        <w:t>，</w:t>
      </w:r>
      <w:r>
        <w:rPr>
          <w:rFonts w:hint="eastAsia" w:ascii="Times New Roman" w:hAnsi="Times New Roman"/>
          <w:color w:val="auto"/>
          <w:highlight w:val="none"/>
          <w:lang w:val="en-US" w:eastAsia="zh-CN"/>
        </w:rPr>
        <w:t>230882.07</w:t>
      </w:r>
      <w:r>
        <w:rPr>
          <w:rFonts w:hint="eastAsia" w:ascii="Times New Roman" w:hAnsi="Times New Roman"/>
          <w:color w:val="auto"/>
          <w:highlight w:val="none"/>
          <w:lang w:eastAsia="zh-CN"/>
        </w:rPr>
        <w:t>t/a（</w:t>
      </w:r>
      <w:r>
        <w:rPr>
          <w:rFonts w:hint="eastAsia" w:ascii="Times New Roman" w:hAnsi="Times New Roman"/>
          <w:color w:val="auto"/>
          <w:highlight w:val="none"/>
          <w:lang w:val="en-US" w:eastAsia="zh-CN"/>
        </w:rPr>
        <w:t>需新鲜水237288.21t/a</w:t>
      </w:r>
      <w:r>
        <w:rPr>
          <w:rFonts w:hint="eastAsia" w:ascii="Times New Roman" w:hAnsi="Times New Roman"/>
          <w:color w:val="auto"/>
          <w:highlight w:val="none"/>
          <w:lang w:eastAsia="zh-CN"/>
        </w:rPr>
        <w:t>）。</w:t>
      </w:r>
    </w:p>
    <w:p w14:paraId="6EDCCEF1">
      <w:pPr>
        <w:ind w:firstLine="480"/>
        <w:rPr>
          <w:rFonts w:ascii="Times New Roman" w:hAnsi="Times New Roman"/>
          <w:highlight w:val="none"/>
        </w:rPr>
      </w:pPr>
      <w:r>
        <w:rPr>
          <w:rFonts w:hint="eastAsia" w:ascii="宋体" w:hAnsi="宋体" w:cs="宋体"/>
          <w:highlight w:val="none"/>
        </w:rPr>
        <w:t>②</w:t>
      </w:r>
      <w:r>
        <w:rPr>
          <w:rFonts w:ascii="Times New Roman" w:hAnsi="Times New Roman"/>
          <w:highlight w:val="none"/>
        </w:rPr>
        <w:t>工业冷却用水量(Q2)：</w:t>
      </w:r>
    </w:p>
    <w:p w14:paraId="4BAA72E3">
      <w:pPr>
        <w:ind w:firstLine="480"/>
        <w:rPr>
          <w:rFonts w:ascii="Times New Roman" w:hAnsi="Times New Roman"/>
          <w:highlight w:val="none"/>
        </w:rPr>
      </w:pPr>
      <w:r>
        <w:rPr>
          <w:rFonts w:ascii="Times New Roman" w:hAnsi="Times New Roman"/>
          <w:highlight w:val="none"/>
        </w:rPr>
        <w:t>工艺流程为：蓄水池→工业冷却水泵→冷却水供水管道→冷却设备→冷却水回水管道→蓄水池。</w:t>
      </w:r>
    </w:p>
    <w:p w14:paraId="0F5BC602">
      <w:pPr>
        <w:ind w:firstLine="480"/>
        <w:rPr>
          <w:rFonts w:ascii="Times New Roman" w:hAnsi="Times New Roman"/>
          <w:highlight w:val="none"/>
        </w:rPr>
      </w:pPr>
      <w:r>
        <w:rPr>
          <w:rFonts w:ascii="Times New Roman" w:hAnsi="Times New Roman"/>
          <w:highlight w:val="none"/>
        </w:rPr>
        <w:t>根据</w:t>
      </w:r>
      <w:r>
        <w:rPr>
          <w:rFonts w:hint="eastAsia" w:ascii="Times New Roman" w:hAnsi="Times New Roman"/>
          <w:highlight w:val="none"/>
          <w:lang w:val="en-US" w:eastAsia="zh-CN"/>
        </w:rPr>
        <w:t>企业</w:t>
      </w:r>
      <w:r>
        <w:rPr>
          <w:rFonts w:ascii="Times New Roman" w:hAnsi="Times New Roman"/>
          <w:highlight w:val="none"/>
        </w:rPr>
        <w:t>提供，工业冷却</w:t>
      </w:r>
      <w:r>
        <w:rPr>
          <w:rFonts w:hint="eastAsia" w:ascii="Times New Roman" w:hAnsi="Times New Roman"/>
          <w:highlight w:val="none"/>
        </w:rPr>
        <w:t>循环</w:t>
      </w:r>
      <w:r>
        <w:rPr>
          <w:rFonts w:ascii="Times New Roman" w:hAnsi="Times New Roman"/>
          <w:highlight w:val="none"/>
        </w:rPr>
        <w:t>水量为30m</w:t>
      </w:r>
      <w:r>
        <w:rPr>
          <w:rFonts w:ascii="Times New Roman" w:hAnsi="Times New Roman"/>
          <w:highlight w:val="none"/>
          <w:vertAlign w:val="superscript"/>
        </w:rPr>
        <w:t>3</w:t>
      </w:r>
      <w:r>
        <w:rPr>
          <w:rFonts w:ascii="Times New Roman" w:hAnsi="Times New Roman"/>
          <w:highlight w:val="none"/>
        </w:rPr>
        <w:t>/h</w:t>
      </w:r>
      <w:r>
        <w:rPr>
          <w:rFonts w:hint="eastAsia" w:ascii="Times New Roman" w:hAnsi="Times New Roman"/>
          <w:highlight w:val="none"/>
        </w:rPr>
        <w:t>，采用闭式循环，补水量极少可忽略不计</w:t>
      </w:r>
      <w:r>
        <w:rPr>
          <w:rFonts w:ascii="Times New Roman" w:hAnsi="Times New Roman"/>
          <w:highlight w:val="none"/>
        </w:rPr>
        <w:t>。</w:t>
      </w:r>
    </w:p>
    <w:p w14:paraId="2A45618F">
      <w:pPr>
        <w:ind w:firstLine="480"/>
        <w:rPr>
          <w:rFonts w:ascii="Times New Roman" w:hAnsi="Times New Roman"/>
          <w:highlight w:val="none"/>
        </w:rPr>
      </w:pPr>
      <w:r>
        <w:rPr>
          <w:rFonts w:hint="eastAsia" w:ascii="宋体" w:hAnsi="宋体" w:cs="宋体"/>
          <w:highlight w:val="none"/>
        </w:rPr>
        <w:t>③</w:t>
      </w:r>
      <w:r>
        <w:rPr>
          <w:rFonts w:ascii="Times New Roman" w:hAnsi="Times New Roman"/>
          <w:highlight w:val="none"/>
        </w:rPr>
        <w:t>冷渣器冷却水系统（Q3）：</w:t>
      </w:r>
    </w:p>
    <w:p w14:paraId="1320886E">
      <w:pPr>
        <w:ind w:firstLine="480"/>
        <w:rPr>
          <w:rFonts w:ascii="Times New Roman" w:hAnsi="Times New Roman"/>
          <w:highlight w:val="none"/>
        </w:rPr>
      </w:pPr>
      <w:r>
        <w:rPr>
          <w:rFonts w:ascii="Times New Roman" w:hAnsi="Times New Roman"/>
          <w:highlight w:val="none"/>
        </w:rPr>
        <w:t>冷渣器冷却水系统采用闭式循环冷却水系统，</w:t>
      </w:r>
      <w:r>
        <w:rPr>
          <w:rFonts w:hint="eastAsia" w:ascii="Times New Roman" w:hAnsi="Times New Roman"/>
          <w:highlight w:val="none"/>
        </w:rPr>
        <w:t>补水量</w:t>
      </w:r>
      <w:r>
        <w:rPr>
          <w:rFonts w:hint="eastAsia" w:ascii="Times New Roman" w:hAnsi="Times New Roman"/>
          <w:highlight w:val="none"/>
          <w:lang w:val="en-US" w:eastAsia="zh-CN"/>
        </w:rPr>
        <w:t>6</w:t>
      </w:r>
      <w:r>
        <w:rPr>
          <w:rFonts w:hint="eastAsia" w:ascii="Times New Roman" w:hAnsi="Times New Roman"/>
          <w:highlight w:val="none"/>
        </w:rPr>
        <w:t>m</w:t>
      </w:r>
      <w:r>
        <w:rPr>
          <w:rFonts w:hint="eastAsia" w:ascii="Times New Roman" w:hAnsi="Times New Roman"/>
          <w:highlight w:val="none"/>
          <w:vertAlign w:val="superscript"/>
        </w:rPr>
        <w:t>3</w:t>
      </w:r>
      <w:r>
        <w:rPr>
          <w:rFonts w:hint="eastAsia" w:ascii="Times New Roman" w:hAnsi="Times New Roman"/>
          <w:highlight w:val="none"/>
        </w:rPr>
        <w:t>/h，</w:t>
      </w:r>
      <w:r>
        <w:rPr>
          <w:rFonts w:hint="eastAsia" w:ascii="Times New Roman" w:hAnsi="Times New Roman"/>
          <w:highlight w:val="none"/>
          <w:lang w:val="en-US" w:eastAsia="zh-CN"/>
        </w:rPr>
        <w:t>144t/d，30240t/a</w:t>
      </w:r>
      <w:r>
        <w:rPr>
          <w:rFonts w:hint="eastAsia" w:ascii="Times New Roman" w:hAnsi="Times New Roman"/>
          <w:highlight w:val="none"/>
        </w:rPr>
        <w:t>来源于锅炉排污水</w:t>
      </w:r>
      <w:r>
        <w:rPr>
          <w:rFonts w:ascii="Times New Roman" w:hAnsi="Times New Roman"/>
          <w:highlight w:val="none"/>
        </w:rPr>
        <w:t>。系统热网回水经冷却水泵加压，经冷渣器后，回至本工程热网循环水泵入口母管。冷渣器循环冷却水泵设2台，一用一备。</w:t>
      </w:r>
    </w:p>
    <w:p w14:paraId="44E88356">
      <w:pPr>
        <w:ind w:firstLine="480"/>
        <w:rPr>
          <w:rFonts w:ascii="Times New Roman" w:hAnsi="Times New Roman"/>
          <w:highlight w:val="none"/>
        </w:rPr>
      </w:pPr>
      <w:r>
        <w:rPr>
          <w:rFonts w:hint="eastAsia" w:ascii="宋体" w:hAnsi="宋体" w:cs="宋体"/>
          <w:highlight w:val="none"/>
        </w:rPr>
        <w:t>④</w:t>
      </w:r>
      <w:r>
        <w:rPr>
          <w:rFonts w:ascii="Times New Roman" w:hAnsi="Times New Roman"/>
          <w:highlight w:val="none"/>
        </w:rPr>
        <w:t>脱硫工业用水（Q4）：</w:t>
      </w:r>
    </w:p>
    <w:p w14:paraId="58F38E2D">
      <w:pPr>
        <w:ind w:firstLine="480"/>
        <w:rPr>
          <w:rFonts w:ascii="Times New Roman" w:hAnsi="Times New Roman"/>
          <w:highlight w:val="none"/>
        </w:rPr>
      </w:pPr>
      <w:r>
        <w:rPr>
          <w:rFonts w:hint="eastAsia" w:ascii="Times New Roman" w:hAnsi="Times New Roman"/>
          <w:highlight w:val="none"/>
          <w:lang w:val="en-US" w:eastAsia="zh-CN"/>
        </w:rPr>
        <w:t>本项目采用石灰石-石膏湿法脱硫，</w:t>
      </w:r>
      <w:r>
        <w:rPr>
          <w:rFonts w:ascii="Times New Roman" w:hAnsi="Times New Roman"/>
          <w:highlight w:val="none"/>
        </w:rPr>
        <w:t>根据</w:t>
      </w:r>
      <w:r>
        <w:rPr>
          <w:rFonts w:hint="eastAsia" w:ascii="Times New Roman" w:hAnsi="Times New Roman"/>
          <w:highlight w:val="none"/>
          <w:lang w:val="en-US" w:eastAsia="zh-CN"/>
        </w:rPr>
        <w:t>企业</w:t>
      </w:r>
      <w:r>
        <w:rPr>
          <w:rFonts w:ascii="Times New Roman" w:hAnsi="Times New Roman"/>
          <w:highlight w:val="none"/>
        </w:rPr>
        <w:t>提供，</w:t>
      </w:r>
      <w:r>
        <w:rPr>
          <w:rFonts w:hint="eastAsia" w:ascii="Times New Roman" w:hAnsi="Times New Roman"/>
          <w:highlight w:val="none"/>
          <w:lang w:val="en-US" w:eastAsia="zh-CN"/>
        </w:rPr>
        <w:t>脱硫用水来自锅炉排污水，</w:t>
      </w:r>
      <w:r>
        <w:rPr>
          <w:rFonts w:ascii="Times New Roman" w:hAnsi="Times New Roman"/>
          <w:highlight w:val="none"/>
        </w:rPr>
        <w:t>用水量为</w:t>
      </w:r>
      <w:r>
        <w:rPr>
          <w:rFonts w:hint="eastAsia" w:ascii="Times New Roman" w:hAnsi="Times New Roman"/>
          <w:highlight w:val="none"/>
        </w:rPr>
        <w:t>5m</w:t>
      </w:r>
      <w:r>
        <w:rPr>
          <w:rFonts w:hint="eastAsia" w:ascii="Times New Roman" w:hAnsi="Times New Roman"/>
          <w:highlight w:val="none"/>
          <w:vertAlign w:val="superscript"/>
        </w:rPr>
        <w:t>3</w:t>
      </w:r>
      <w:r>
        <w:rPr>
          <w:rFonts w:hint="eastAsia" w:ascii="Times New Roman" w:hAnsi="Times New Roman"/>
          <w:highlight w:val="none"/>
        </w:rPr>
        <w:t>/h，</w:t>
      </w:r>
      <w:r>
        <w:rPr>
          <w:rFonts w:hint="eastAsia" w:ascii="Times New Roman" w:hAnsi="Times New Roman"/>
          <w:highlight w:val="none"/>
          <w:lang w:val="en-US" w:eastAsia="zh-CN"/>
        </w:rPr>
        <w:t>120t/d，25200t/a</w:t>
      </w:r>
      <w:r>
        <w:rPr>
          <w:rFonts w:ascii="Times New Roman" w:hAnsi="Times New Roman"/>
          <w:highlight w:val="none"/>
        </w:rPr>
        <w:t>。</w:t>
      </w:r>
    </w:p>
    <w:p w14:paraId="1A6B436B">
      <w:pPr>
        <w:ind w:firstLine="480"/>
        <w:rPr>
          <w:rFonts w:ascii="Times New Roman" w:hAnsi="Times New Roman"/>
          <w:highlight w:val="none"/>
        </w:rPr>
      </w:pPr>
      <w:r>
        <w:rPr>
          <w:rFonts w:hint="eastAsia" w:ascii="宋体" w:hAnsi="宋体" w:cs="宋体"/>
          <w:highlight w:val="none"/>
        </w:rPr>
        <w:t>⑤</w:t>
      </w:r>
      <w:r>
        <w:rPr>
          <w:rFonts w:ascii="Times New Roman" w:hAnsi="Times New Roman"/>
          <w:highlight w:val="none"/>
        </w:rPr>
        <w:t>脱硝用水量（Q5）：</w:t>
      </w:r>
    </w:p>
    <w:p w14:paraId="1993A9CC">
      <w:pPr>
        <w:ind w:firstLine="480"/>
        <w:rPr>
          <w:rFonts w:ascii="Times New Roman" w:hAnsi="Times New Roman"/>
          <w:highlight w:val="none"/>
        </w:rPr>
      </w:pPr>
      <w:r>
        <w:rPr>
          <w:rFonts w:ascii="Times New Roman" w:hAnsi="Times New Roman"/>
          <w:highlight w:val="none"/>
        </w:rPr>
        <w:t>脱硝系统采用</w:t>
      </w:r>
      <w:r>
        <w:rPr>
          <w:rFonts w:hint="eastAsia" w:ascii="Times New Roman" w:hAnsi="Times New Roman"/>
          <w:highlight w:val="none"/>
          <w:lang w:val="en-US" w:eastAsia="zh-CN"/>
        </w:rPr>
        <w:t>新鲜水</w:t>
      </w:r>
      <w:r>
        <w:rPr>
          <w:rFonts w:ascii="Times New Roman" w:hAnsi="Times New Roman"/>
          <w:highlight w:val="none"/>
        </w:rPr>
        <w:t>，用水量为</w:t>
      </w:r>
      <w:r>
        <w:rPr>
          <w:rFonts w:hint="eastAsia" w:ascii="Times New Roman" w:hAnsi="Times New Roman"/>
          <w:highlight w:val="none"/>
          <w:lang w:val="en-US" w:eastAsia="zh-CN"/>
        </w:rPr>
        <w:t>1</w:t>
      </w:r>
      <w:r>
        <w:rPr>
          <w:rFonts w:ascii="Times New Roman" w:hAnsi="Times New Roman"/>
          <w:highlight w:val="none"/>
        </w:rPr>
        <w:t>m</w:t>
      </w:r>
      <w:r>
        <w:rPr>
          <w:rFonts w:ascii="Times New Roman" w:hAnsi="Times New Roman"/>
          <w:highlight w:val="none"/>
          <w:vertAlign w:val="superscript"/>
        </w:rPr>
        <w:t>3</w:t>
      </w:r>
      <w:r>
        <w:rPr>
          <w:rFonts w:ascii="Times New Roman" w:hAnsi="Times New Roman"/>
          <w:highlight w:val="none"/>
        </w:rPr>
        <w:t>/h</w:t>
      </w:r>
      <w:r>
        <w:rPr>
          <w:rFonts w:hint="eastAsia" w:ascii="Times New Roman" w:hAnsi="Times New Roman"/>
          <w:highlight w:val="none"/>
          <w:lang w:eastAsia="zh-CN"/>
        </w:rPr>
        <w:t>，</w:t>
      </w:r>
      <w:r>
        <w:rPr>
          <w:rFonts w:hint="eastAsia" w:ascii="Times New Roman" w:hAnsi="Times New Roman"/>
          <w:highlight w:val="none"/>
          <w:lang w:val="en-US" w:eastAsia="zh-CN"/>
        </w:rPr>
        <w:t>24t/d，5040t/a</w:t>
      </w:r>
      <w:r>
        <w:rPr>
          <w:rFonts w:ascii="Times New Roman" w:hAnsi="Times New Roman"/>
          <w:highlight w:val="none"/>
        </w:rPr>
        <w:t>。</w:t>
      </w:r>
    </w:p>
    <w:p w14:paraId="20BE5222">
      <w:pPr>
        <w:ind w:firstLine="480"/>
        <w:rPr>
          <w:rFonts w:ascii="Times New Roman" w:hAnsi="Times New Roman"/>
          <w:highlight w:val="none"/>
        </w:rPr>
      </w:pPr>
      <w:r>
        <w:rPr>
          <w:rFonts w:hint="eastAsia" w:ascii="宋体" w:hAnsi="宋体" w:cs="宋体"/>
          <w:highlight w:val="none"/>
        </w:rPr>
        <w:t>⑥</w:t>
      </w:r>
      <w:r>
        <w:rPr>
          <w:rFonts w:ascii="Times New Roman" w:hAnsi="Times New Roman"/>
          <w:highlight w:val="none"/>
        </w:rPr>
        <w:t>生活用水：</w:t>
      </w:r>
    </w:p>
    <w:p w14:paraId="20D7F91C">
      <w:pPr>
        <w:ind w:firstLine="480"/>
        <w:rPr>
          <w:rFonts w:ascii="Times New Roman" w:hAnsi="Times New Roman"/>
          <w:highlight w:val="none"/>
        </w:rPr>
      </w:pPr>
      <w:r>
        <w:rPr>
          <w:rFonts w:ascii="Times New Roman" w:hAnsi="Times New Roman"/>
          <w:highlight w:val="none"/>
        </w:rPr>
        <w:t>生活水系统及用水量(Q6)：生活用水按80 L/人</w:t>
      </w:r>
      <w:r>
        <w:rPr>
          <w:rFonts w:hint="eastAsia" w:ascii="Times New Roman" w:hAnsi="Times New Roman"/>
          <w:highlight w:val="none"/>
          <w:lang w:val="en-US" w:eastAsia="zh-CN"/>
        </w:rPr>
        <w:t>d</w:t>
      </w:r>
      <w:r>
        <w:rPr>
          <w:rFonts w:ascii="Times New Roman" w:hAnsi="Times New Roman"/>
          <w:highlight w:val="none"/>
        </w:rPr>
        <w:t>；生活用水量为Q6=</w:t>
      </w:r>
      <w:r>
        <w:rPr>
          <w:rFonts w:hint="eastAsia" w:ascii="Times New Roman" w:hAnsi="Times New Roman"/>
          <w:highlight w:val="none"/>
          <w:lang w:val="en-US" w:eastAsia="zh-CN"/>
        </w:rPr>
        <w:t>0.58</w:t>
      </w:r>
      <w:r>
        <w:rPr>
          <w:rFonts w:ascii="Times New Roman" w:hAnsi="Times New Roman"/>
          <w:highlight w:val="none"/>
        </w:rPr>
        <w:t>m</w:t>
      </w:r>
      <w:r>
        <w:rPr>
          <w:rFonts w:ascii="Times New Roman" w:hAnsi="Times New Roman"/>
          <w:highlight w:val="none"/>
          <w:vertAlign w:val="superscript"/>
        </w:rPr>
        <w:t>3</w:t>
      </w:r>
      <w:r>
        <w:rPr>
          <w:rFonts w:ascii="Times New Roman" w:hAnsi="Times New Roman"/>
          <w:highlight w:val="none"/>
        </w:rPr>
        <w:t>/h。</w:t>
      </w:r>
    </w:p>
    <w:p w14:paraId="6FD610FF">
      <w:pPr>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eastAsia" w:ascii="Times New Roman" w:hAnsi="Times New Roman" w:eastAsia="宋体"/>
          <w:highlight w:val="none"/>
          <w:lang w:eastAsia="zh-CN"/>
        </w:rPr>
      </w:pPr>
      <w:r>
        <w:rPr>
          <w:rFonts w:ascii="Times New Roman" w:hAnsi="Times New Roman"/>
          <w:highlight w:val="none"/>
        </w:rPr>
        <w:t>则本项目运行期间需新鲜水量约为</w:t>
      </w:r>
      <w:r>
        <w:rPr>
          <w:rFonts w:hint="eastAsia" w:ascii="Times New Roman" w:hAnsi="Times New Roman"/>
          <w:highlight w:val="none"/>
          <w:lang w:val="en-US" w:eastAsia="zh-CN"/>
        </w:rPr>
        <w:t>0.58</w:t>
      </w:r>
      <w:r>
        <w:rPr>
          <w:rFonts w:ascii="Times New Roman" w:hAnsi="Times New Roman"/>
          <w:highlight w:val="none"/>
        </w:rPr>
        <w:t>m</w:t>
      </w:r>
      <w:r>
        <w:rPr>
          <w:rFonts w:ascii="Times New Roman" w:hAnsi="Times New Roman"/>
          <w:highlight w:val="none"/>
          <w:vertAlign w:val="superscript"/>
        </w:rPr>
        <w:t>3</w:t>
      </w:r>
      <w:r>
        <w:rPr>
          <w:rFonts w:ascii="Times New Roman" w:hAnsi="Times New Roman"/>
          <w:highlight w:val="none"/>
        </w:rPr>
        <w:t>/h，</w:t>
      </w:r>
      <w:r>
        <w:rPr>
          <w:rFonts w:hint="eastAsia" w:ascii="Times New Roman" w:hAnsi="Times New Roman"/>
          <w:highlight w:val="none"/>
          <w:lang w:val="en-US" w:eastAsia="zh-CN"/>
        </w:rPr>
        <w:t>2940</w:t>
      </w:r>
      <w:r>
        <w:rPr>
          <w:rFonts w:ascii="Times New Roman" w:hAnsi="Times New Roman"/>
          <w:highlight w:val="none"/>
        </w:rPr>
        <w:t>m</w:t>
      </w:r>
      <w:r>
        <w:rPr>
          <w:rFonts w:ascii="Times New Roman" w:hAnsi="Times New Roman"/>
          <w:highlight w:val="none"/>
          <w:vertAlign w:val="superscript"/>
        </w:rPr>
        <w:t>3</w:t>
      </w:r>
      <w:r>
        <w:rPr>
          <w:rFonts w:ascii="Times New Roman" w:hAnsi="Times New Roman"/>
          <w:highlight w:val="none"/>
        </w:rPr>
        <w:t>/a</w:t>
      </w:r>
      <w:r>
        <w:rPr>
          <w:rFonts w:hint="eastAsia" w:ascii="Times New Roman" w:hAnsi="Times New Roman"/>
          <w:highlight w:val="none"/>
          <w:lang w:eastAsia="zh-CN"/>
        </w:rPr>
        <w:t>。</w:t>
      </w:r>
    </w:p>
    <w:p w14:paraId="276093E9">
      <w:pPr>
        <w:ind w:firstLine="480"/>
        <w:rPr>
          <w:rFonts w:ascii="Times New Roman" w:hAnsi="Times New Roman"/>
          <w:highlight w:val="none"/>
        </w:rPr>
      </w:pPr>
      <w:r>
        <w:rPr>
          <w:rFonts w:ascii="Times New Roman" w:hAnsi="Times New Roman"/>
          <w:highlight w:val="none"/>
        </w:rPr>
        <w:t>（2）排水</w:t>
      </w:r>
    </w:p>
    <w:p w14:paraId="70277035">
      <w:pPr>
        <w:rPr>
          <w:rFonts w:hint="eastAsia" w:ascii="Times New Roman" w:hAnsi="Times New Roman"/>
          <w:szCs w:val="24"/>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szCs w:val="24"/>
          <w:highlight w:val="none"/>
        </w:rPr>
        <w:t>锅炉排污水</w:t>
      </w:r>
      <w:r>
        <w:rPr>
          <w:rFonts w:hint="eastAsia" w:ascii="Times New Roman" w:hAnsi="Times New Roman"/>
          <w:szCs w:val="24"/>
          <w:highlight w:val="none"/>
          <w:lang w:eastAsia="zh-CN"/>
        </w:rPr>
        <w:t>（</w:t>
      </w:r>
      <w:r>
        <w:rPr>
          <w:rFonts w:hint="eastAsia" w:ascii="Times New Roman" w:hAnsi="Times New Roman"/>
          <w:szCs w:val="24"/>
          <w:highlight w:val="none"/>
          <w:lang w:val="en-US" w:eastAsia="zh-CN"/>
        </w:rPr>
        <w:t>49033.86t/a</w:t>
      </w:r>
      <w:r>
        <w:rPr>
          <w:rFonts w:hint="eastAsia" w:ascii="Times New Roman" w:hAnsi="Times New Roman"/>
          <w:szCs w:val="24"/>
          <w:highlight w:val="none"/>
          <w:lang w:eastAsia="zh-CN"/>
        </w:rPr>
        <w:t>）</w:t>
      </w:r>
      <w:r>
        <w:rPr>
          <w:rFonts w:ascii="Times New Roman" w:hAnsi="Times New Roman"/>
          <w:szCs w:val="24"/>
          <w:highlight w:val="none"/>
        </w:rPr>
        <w:t>回用于</w:t>
      </w:r>
      <w:r>
        <w:rPr>
          <w:rFonts w:hint="eastAsia" w:ascii="Times New Roman" w:hAnsi="Times New Roman"/>
          <w:szCs w:val="24"/>
          <w:highlight w:val="none"/>
        </w:rPr>
        <w:t>用于冷渣器冷却水系统补水（</w:t>
      </w:r>
      <w:r>
        <w:rPr>
          <w:rFonts w:hint="eastAsia" w:ascii="Times New Roman" w:hAnsi="Times New Roman"/>
          <w:szCs w:val="24"/>
          <w:highlight w:val="none"/>
          <w:lang w:val="en-US" w:eastAsia="zh-CN"/>
        </w:rPr>
        <w:t>30240</w:t>
      </w:r>
      <w:r>
        <w:rPr>
          <w:rFonts w:hint="eastAsia" w:ascii="Times New Roman" w:hAnsi="Times New Roman"/>
          <w:highlight w:val="none"/>
          <w:lang w:val="en-US" w:eastAsia="zh-CN"/>
        </w:rPr>
        <w:t>t/a</w:t>
      </w:r>
      <w:r>
        <w:rPr>
          <w:rFonts w:hint="eastAsia" w:ascii="Times New Roman" w:hAnsi="Times New Roman"/>
          <w:szCs w:val="24"/>
          <w:highlight w:val="none"/>
        </w:rPr>
        <w:t>）</w:t>
      </w:r>
      <w:r>
        <w:rPr>
          <w:rFonts w:hint="eastAsia" w:ascii="Times New Roman" w:hAnsi="Times New Roman"/>
          <w:szCs w:val="24"/>
          <w:highlight w:val="none"/>
          <w:lang w:val="en-US" w:eastAsia="zh-CN"/>
        </w:rPr>
        <w:t>和脱硫用水（25200t/a：锅炉排污水 18793.86t/a，软化水 6406.14t/a）</w:t>
      </w:r>
      <w:r>
        <w:rPr>
          <w:rFonts w:ascii="Times New Roman" w:hAnsi="Times New Roman"/>
          <w:szCs w:val="24"/>
          <w:highlight w:val="none"/>
        </w:rPr>
        <w:t>。脱硫废水</w:t>
      </w:r>
      <w:r>
        <w:rPr>
          <w:rFonts w:hint="eastAsia" w:ascii="Times New Roman" w:hAnsi="Times New Roman"/>
          <w:szCs w:val="24"/>
          <w:highlight w:val="none"/>
          <w:lang w:eastAsia="zh-CN"/>
        </w:rPr>
        <w:t>（</w:t>
      </w:r>
      <w:r>
        <w:rPr>
          <w:rFonts w:hint="eastAsia" w:ascii="Times New Roman" w:hAnsi="Times New Roman"/>
          <w:szCs w:val="24"/>
          <w:highlight w:val="none"/>
          <w:lang w:val="en-US" w:eastAsia="zh-CN"/>
        </w:rPr>
        <w:t>25149.75t/a</w:t>
      </w:r>
      <w:r>
        <w:rPr>
          <w:rFonts w:hint="eastAsia" w:ascii="Times New Roman" w:hAnsi="Times New Roman"/>
          <w:szCs w:val="24"/>
          <w:highlight w:val="none"/>
          <w:lang w:eastAsia="zh-CN"/>
        </w:rPr>
        <w:t>）</w:t>
      </w:r>
      <w:r>
        <w:rPr>
          <w:rFonts w:ascii="Times New Roman" w:hAnsi="Times New Roman"/>
          <w:szCs w:val="24"/>
          <w:highlight w:val="none"/>
        </w:rPr>
        <w:t>采用回流水池→一体化污水处理装置→高效旋流分离器→生物净化装置→多介质净化装置→多功能处理剂→净水箱处理工艺，回用于灰渣加湿</w:t>
      </w:r>
      <w:r>
        <w:rPr>
          <w:rFonts w:hint="eastAsia" w:ascii="Times New Roman" w:hAnsi="Times New Roman"/>
          <w:szCs w:val="24"/>
          <w:highlight w:val="none"/>
        </w:rPr>
        <w:t>（</w:t>
      </w:r>
      <w:r>
        <w:rPr>
          <w:rFonts w:hint="eastAsia" w:ascii="Times New Roman" w:hAnsi="Times New Roman"/>
          <w:szCs w:val="24"/>
          <w:highlight w:val="none"/>
          <w:lang w:val="en-US" w:eastAsia="zh-CN"/>
        </w:rPr>
        <w:t>2</w:t>
      </w:r>
      <w:r>
        <w:rPr>
          <w:rFonts w:hint="eastAsia" w:ascii="Times New Roman" w:hAnsi="Times New Roman"/>
          <w:szCs w:val="24"/>
          <w:highlight w:val="none"/>
        </w:rPr>
        <w:t>m</w:t>
      </w:r>
      <w:r>
        <w:rPr>
          <w:rFonts w:hint="eastAsia" w:ascii="Times New Roman" w:hAnsi="Times New Roman"/>
          <w:szCs w:val="24"/>
          <w:highlight w:val="none"/>
          <w:vertAlign w:val="superscript"/>
        </w:rPr>
        <w:t>3</w:t>
      </w:r>
      <w:r>
        <w:rPr>
          <w:rFonts w:hint="eastAsia" w:ascii="Times New Roman" w:hAnsi="Times New Roman"/>
          <w:szCs w:val="24"/>
          <w:highlight w:val="none"/>
        </w:rPr>
        <w:t>/h</w:t>
      </w:r>
      <w:r>
        <w:rPr>
          <w:rFonts w:hint="eastAsia" w:ascii="Times New Roman" w:hAnsi="Times New Roman"/>
          <w:szCs w:val="24"/>
          <w:highlight w:val="none"/>
          <w:lang w:eastAsia="zh-CN"/>
        </w:rPr>
        <w:t>，</w:t>
      </w:r>
      <w:r>
        <w:rPr>
          <w:rFonts w:hint="eastAsia" w:ascii="Times New Roman" w:hAnsi="Times New Roman"/>
          <w:szCs w:val="24"/>
          <w:highlight w:val="none"/>
          <w:lang w:val="en-US" w:eastAsia="zh-CN"/>
        </w:rPr>
        <w:t>10080t/a</w:t>
      </w:r>
      <w:r>
        <w:rPr>
          <w:rFonts w:hint="eastAsia" w:ascii="Times New Roman" w:hAnsi="Times New Roman"/>
          <w:szCs w:val="24"/>
          <w:highlight w:val="none"/>
        </w:rPr>
        <w:t>）、煤场洒水降尘（</w:t>
      </w:r>
      <w:r>
        <w:rPr>
          <w:rFonts w:hint="eastAsia" w:ascii="Times New Roman" w:hAnsi="Times New Roman"/>
          <w:szCs w:val="24"/>
          <w:highlight w:val="none"/>
          <w:lang w:val="en-US" w:eastAsia="zh-CN"/>
        </w:rPr>
        <w:t>3</w:t>
      </w:r>
      <w:r>
        <w:rPr>
          <w:rFonts w:hint="eastAsia" w:ascii="Times New Roman" w:hAnsi="Times New Roman"/>
          <w:szCs w:val="24"/>
          <w:highlight w:val="none"/>
        </w:rPr>
        <w:t>m</w:t>
      </w:r>
      <w:r>
        <w:rPr>
          <w:rFonts w:hint="eastAsia" w:ascii="Times New Roman" w:hAnsi="Times New Roman"/>
          <w:szCs w:val="24"/>
          <w:highlight w:val="none"/>
          <w:vertAlign w:val="superscript"/>
        </w:rPr>
        <w:t>3</w:t>
      </w:r>
      <w:r>
        <w:rPr>
          <w:rFonts w:hint="eastAsia" w:ascii="Times New Roman" w:hAnsi="Times New Roman"/>
          <w:szCs w:val="24"/>
          <w:highlight w:val="none"/>
        </w:rPr>
        <w:t>/h</w:t>
      </w:r>
      <w:r>
        <w:rPr>
          <w:rFonts w:hint="eastAsia" w:ascii="Times New Roman" w:hAnsi="Times New Roman"/>
          <w:szCs w:val="24"/>
          <w:highlight w:val="none"/>
          <w:lang w:eastAsia="zh-CN"/>
        </w:rPr>
        <w:t>，</w:t>
      </w:r>
      <w:r>
        <w:rPr>
          <w:rFonts w:hint="eastAsia" w:ascii="Times New Roman" w:hAnsi="Times New Roman"/>
          <w:szCs w:val="24"/>
          <w:highlight w:val="none"/>
          <w:lang w:val="en-US" w:eastAsia="zh-CN"/>
        </w:rPr>
        <w:t>15069.75t/a</w:t>
      </w:r>
      <w:r>
        <w:rPr>
          <w:rFonts w:hint="eastAsia" w:ascii="Times New Roman" w:hAnsi="Times New Roman"/>
          <w:szCs w:val="24"/>
          <w:highlight w:val="none"/>
        </w:rPr>
        <w:t>）。生活污水（</w:t>
      </w:r>
      <w:r>
        <w:rPr>
          <w:rFonts w:hint="eastAsia" w:ascii="Times New Roman" w:hAnsi="Times New Roman"/>
          <w:szCs w:val="24"/>
          <w:highlight w:val="none"/>
          <w:lang w:val="en-US" w:eastAsia="zh-CN"/>
        </w:rPr>
        <w:t>0.464</w:t>
      </w:r>
      <w:r>
        <w:rPr>
          <w:rFonts w:hint="eastAsia" w:ascii="Times New Roman" w:hAnsi="Times New Roman"/>
          <w:szCs w:val="24"/>
          <w:highlight w:val="none"/>
        </w:rPr>
        <w:t>m</w:t>
      </w:r>
      <w:r>
        <w:rPr>
          <w:rFonts w:hint="eastAsia" w:ascii="Times New Roman" w:hAnsi="Times New Roman"/>
          <w:szCs w:val="24"/>
          <w:highlight w:val="none"/>
          <w:vertAlign w:val="superscript"/>
        </w:rPr>
        <w:t>3</w:t>
      </w:r>
      <w:r>
        <w:rPr>
          <w:rFonts w:hint="eastAsia" w:ascii="Times New Roman" w:hAnsi="Times New Roman"/>
          <w:szCs w:val="24"/>
          <w:highlight w:val="none"/>
        </w:rPr>
        <w:t>/h</w:t>
      </w:r>
      <w:r>
        <w:rPr>
          <w:rFonts w:hint="eastAsia" w:ascii="Times New Roman" w:hAnsi="Times New Roman"/>
          <w:szCs w:val="24"/>
          <w:highlight w:val="none"/>
          <w:lang w:eastAsia="zh-CN"/>
        </w:rPr>
        <w:t>，</w:t>
      </w:r>
      <w:r>
        <w:rPr>
          <w:rFonts w:hint="eastAsia" w:ascii="Times New Roman" w:hAnsi="Times New Roman"/>
          <w:szCs w:val="24"/>
          <w:highlight w:val="none"/>
          <w:lang w:val="en-US" w:eastAsia="zh-CN"/>
        </w:rPr>
        <w:t>2352t/a</w:t>
      </w:r>
      <w:r>
        <w:rPr>
          <w:rFonts w:hint="eastAsia" w:ascii="Times New Roman" w:hAnsi="Times New Roman"/>
          <w:szCs w:val="24"/>
          <w:highlight w:val="none"/>
        </w:rPr>
        <w:t>）排入化粪池处理后排入市政管网（食堂废水经隔油池处理后与生活污水一同排入化粪池），</w:t>
      </w:r>
      <w:r>
        <w:rPr>
          <w:rFonts w:hint="eastAsia" w:ascii="Times New Roman" w:hAnsi="Times New Roman"/>
          <w:szCs w:val="24"/>
          <w:highlight w:val="none"/>
          <w:lang w:val="en-US" w:eastAsia="zh-CN"/>
        </w:rPr>
        <w:t>经污水管网排入绥芬河中环污水处理有限公司，处理达到《城镇污水处理厂污染物排放标准》(GB18918—2002)一级B标准后最终汇入小绥芬河。</w:t>
      </w:r>
    </w:p>
    <w:p w14:paraId="006E10C3">
      <w:pPr>
        <w:pStyle w:val="23"/>
        <w:jc w:val="center"/>
        <w:rPr>
          <w:rFonts w:hint="eastAsia" w:eastAsia="宋体"/>
          <w:highlight w:val="none"/>
          <w:lang w:eastAsia="zh-CN"/>
        </w:rPr>
      </w:pPr>
      <w:r>
        <w:rPr>
          <w:rFonts w:hint="eastAsia" w:eastAsia="宋体"/>
          <w:highlight w:val="none"/>
          <w:lang w:eastAsia="zh-CN"/>
        </w:rPr>
        <w:drawing>
          <wp:inline distT="0" distB="0" distL="114300" distR="114300">
            <wp:extent cx="6142990" cy="3778250"/>
            <wp:effectExtent l="0" t="0" r="0" b="0"/>
            <wp:docPr id="158" name="ECB019B1-382A-4266-B25C-5B523AA43C14-1" descr="C:/Users/Administrator/AppData/Local/Temp/wps.WfwBtp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ECB019B1-382A-4266-B25C-5B523AA43C14-1" descr="C:/Users/Administrator/AppData/Local/Temp/wps.WfwBtpwps"/>
                    <pic:cNvPicPr>
                      <a:picLocks noChangeAspect="1"/>
                    </pic:cNvPicPr>
                  </pic:nvPicPr>
                  <pic:blipFill>
                    <a:blip r:embed="rId18"/>
                    <a:stretch>
                      <a:fillRect/>
                    </a:stretch>
                  </pic:blipFill>
                  <pic:spPr>
                    <a:xfrm>
                      <a:off x="0" y="0"/>
                      <a:ext cx="6142990" cy="3778250"/>
                    </a:xfrm>
                    <a:prstGeom prst="rect">
                      <a:avLst/>
                    </a:prstGeom>
                  </pic:spPr>
                </pic:pic>
              </a:graphicData>
            </a:graphic>
          </wp:inline>
        </w:drawing>
      </w:r>
    </w:p>
    <w:p w14:paraId="61E7B1E6">
      <w:pPr>
        <w:jc w:val="center"/>
        <w:rPr>
          <w:rFonts w:hint="eastAsia"/>
          <w:b/>
          <w:bCs/>
          <w:highlight w:val="none"/>
          <w:lang w:eastAsia="zh-CN"/>
        </w:rPr>
      </w:pPr>
      <w:r>
        <w:rPr>
          <w:rFonts w:hint="eastAsia"/>
          <w:b/>
          <w:bCs/>
          <w:highlight w:val="none"/>
        </w:rPr>
        <w:t>图3.1-1水量平衡图</w:t>
      </w:r>
    </w:p>
    <w:p w14:paraId="6928CD45">
      <w:pPr>
        <w:rPr>
          <w:rFonts w:hint="eastAsia"/>
          <w:highlight w:val="none"/>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ED963EF">
      <w:pPr>
        <w:pStyle w:val="5"/>
        <w:bidi w:val="0"/>
        <w:ind w:left="0" w:leftChars="0" w:firstLine="0" w:firstLineChars="0"/>
        <w:rPr>
          <w:rFonts w:hint="eastAsia"/>
          <w:highlight w:val="none"/>
          <w:lang w:val="en-US" w:eastAsia="zh-CN"/>
        </w:rPr>
      </w:pPr>
      <w:bookmarkStart w:id="62" w:name="_Toc13152"/>
      <w:r>
        <w:rPr>
          <w:rFonts w:hint="eastAsia"/>
          <w:highlight w:val="none"/>
          <w:lang w:val="en-US" w:eastAsia="zh-CN"/>
        </w:rPr>
        <w:t>3.1.9依托工程</w:t>
      </w:r>
      <w:bookmarkEnd w:id="62"/>
    </w:p>
    <w:p w14:paraId="2C1CEDC0">
      <w:pPr>
        <w:ind w:firstLine="480"/>
        <w:rPr>
          <w:rFonts w:hint="eastAsia"/>
          <w:highlight w:val="none"/>
          <w:lang w:val="en-US" w:eastAsia="zh-CN"/>
        </w:rPr>
      </w:pPr>
      <w:r>
        <w:rPr>
          <w:rFonts w:hint="eastAsia"/>
          <w:highlight w:val="none"/>
          <w:lang w:val="en-US" w:eastAsia="zh-CN"/>
        </w:rPr>
        <w:t>一、供水</w:t>
      </w:r>
    </w:p>
    <w:p w14:paraId="6C4CED9A">
      <w:pPr>
        <w:pStyle w:val="23"/>
        <w:rPr>
          <w:rFonts w:hint="default"/>
          <w:highlight w:val="none"/>
          <w:lang w:val="en-US" w:eastAsia="zh-CN"/>
        </w:rPr>
      </w:pPr>
      <w:r>
        <w:rPr>
          <w:rFonts w:hint="default"/>
          <w:highlight w:val="none"/>
          <w:lang w:val="en-US" w:eastAsia="zh-CN"/>
        </w:rPr>
        <w:t>本项目生产及生活用水依托市政管网供给</w:t>
      </w:r>
      <w:r>
        <w:rPr>
          <w:rFonts w:hint="eastAsia"/>
          <w:highlight w:val="none"/>
          <w:lang w:val="en-US" w:eastAsia="zh-CN"/>
        </w:rPr>
        <w:t>。</w:t>
      </w:r>
    </w:p>
    <w:p w14:paraId="691AE6D1">
      <w:pPr>
        <w:pStyle w:val="23"/>
        <w:ind w:firstLine="480"/>
        <w:rPr>
          <w:rFonts w:hint="eastAsia" w:eastAsia="宋体"/>
          <w:color w:val="auto"/>
          <w:highlight w:val="none"/>
          <w:lang w:eastAsia="zh-CN"/>
        </w:rPr>
      </w:pPr>
      <w:r>
        <w:rPr>
          <w:rFonts w:hint="eastAsia"/>
          <w:color w:val="auto"/>
          <w:highlight w:val="none"/>
        </w:rPr>
        <w:t>二、</w:t>
      </w:r>
      <w:r>
        <w:rPr>
          <w:rFonts w:hint="eastAsia"/>
          <w:color w:val="auto"/>
          <w:highlight w:val="none"/>
          <w:lang w:val="en-US" w:eastAsia="zh-CN"/>
        </w:rPr>
        <w:t>排水</w:t>
      </w:r>
    </w:p>
    <w:p w14:paraId="4A7435CD">
      <w:pPr>
        <w:ind w:firstLine="480"/>
        <w:rPr>
          <w:rFonts w:hint="eastAsia"/>
          <w:highlight w:val="none"/>
        </w:rPr>
      </w:pPr>
      <w:r>
        <w:rPr>
          <w:rFonts w:hint="eastAsia"/>
          <w:highlight w:val="none"/>
        </w:rPr>
        <w:t>厂区内排水系统采用分流制：雨水排水系统</w:t>
      </w:r>
      <w:r>
        <w:rPr>
          <w:rFonts w:hint="eastAsia"/>
          <w:highlight w:val="none"/>
          <w:lang w:eastAsia="zh-CN"/>
        </w:rPr>
        <w:t>；</w:t>
      </w:r>
      <w:r>
        <w:rPr>
          <w:rFonts w:hint="eastAsia"/>
          <w:highlight w:val="none"/>
          <w:lang w:val="en-US" w:eastAsia="zh-CN"/>
        </w:rPr>
        <w:t>生产废水回用，不外排。生活污水排入市政管网，经污水管网排入绥芬河中环污水处理有限公司（排污许可证 编号：91231081692616585X001Z），处理达到《城镇污水处理厂污染物排放标准》(GB18918—2002)一级B标准后最终汇入小绥芬河。</w:t>
      </w:r>
    </w:p>
    <w:p w14:paraId="7A2D554F">
      <w:pPr>
        <w:pStyle w:val="5"/>
        <w:bidi w:val="0"/>
        <w:ind w:left="0" w:leftChars="0" w:firstLine="0" w:firstLineChars="0"/>
        <w:rPr>
          <w:rFonts w:hint="eastAsia"/>
          <w:highlight w:val="none"/>
          <w:lang w:val="en-US" w:eastAsia="zh-CN"/>
        </w:rPr>
      </w:pPr>
      <w:bookmarkStart w:id="63" w:name="_Toc28776"/>
      <w:r>
        <w:rPr>
          <w:rFonts w:hint="eastAsia"/>
          <w:highlight w:val="none"/>
          <w:lang w:val="en-US" w:eastAsia="zh-CN"/>
        </w:rPr>
        <w:t>3.1.10总平面布置</w:t>
      </w:r>
      <w:bookmarkEnd w:id="63"/>
    </w:p>
    <w:p w14:paraId="0E436462">
      <w:pPr>
        <w:rPr>
          <w:rFonts w:hint="eastAsia" w:ascii="Times New Roman" w:hAnsi="Times New Roman"/>
          <w:highlight w:val="none"/>
          <w:lang w:val="en-US" w:eastAsia="zh-CN"/>
        </w:rPr>
      </w:pPr>
      <w:r>
        <w:rPr>
          <w:rFonts w:hint="eastAsia" w:ascii="Times New Roman" w:hAnsi="Times New Roman"/>
          <w:highlight w:val="none"/>
          <w:lang w:val="en-US" w:eastAsia="zh-CN"/>
        </w:rPr>
        <w:t>本项目占地面积为1.3万平方米，位于黑龙江省牡丹江市绥芬河市长山路幸福街1号。</w:t>
      </w:r>
    </w:p>
    <w:p w14:paraId="2628D308">
      <w:pPr>
        <w:pStyle w:val="23"/>
        <w:rPr>
          <w:rFonts w:cs="Times New Roman"/>
          <w:highlight w:val="none"/>
        </w:rPr>
      </w:pPr>
      <w:r>
        <w:rPr>
          <w:rFonts w:hint="eastAsia" w:ascii="Times New Roman" w:hAnsi="Times New Roman"/>
          <w:highlight w:val="none"/>
          <w:lang w:val="en-US" w:eastAsia="zh-CN"/>
        </w:rPr>
        <w:t>本项目储煤厂位于厂区北侧，厂区南侧包括锅炉房、办公区、变压器、灰仓、渣仓、碎煤机室、除尘器、脱硫间。</w:t>
      </w:r>
      <w:r>
        <w:rPr>
          <w:rFonts w:cs="Times New Roman"/>
          <w:highlight w:val="none"/>
        </w:rPr>
        <w:t>本项目厂区总平面布置采用人、物分流，人流入口布置在厂区南侧，与开发区道路直接连接，物流入口布置在厂区南侧，与</w:t>
      </w:r>
      <w:r>
        <w:rPr>
          <w:rFonts w:hint="eastAsia" w:cs="Times New Roman"/>
          <w:highlight w:val="none"/>
          <w:lang w:val="en-US" w:eastAsia="zh-CN"/>
        </w:rPr>
        <w:t>新</w:t>
      </w:r>
      <w:r>
        <w:rPr>
          <w:rFonts w:cs="Times New Roman"/>
          <w:highlight w:val="none"/>
        </w:rPr>
        <w:t>区道路连接。</w:t>
      </w:r>
    </w:p>
    <w:p w14:paraId="6D9A3FDD">
      <w:pPr>
        <w:rPr>
          <w:rFonts w:cs="Times New Roman"/>
          <w:highlight w:val="none"/>
        </w:rPr>
      </w:pPr>
      <w:r>
        <w:rPr>
          <w:rFonts w:cs="Times New Roman"/>
          <w:highlight w:val="none"/>
        </w:rPr>
        <w:t>本项目厂区总平面布置图见附图。</w:t>
      </w:r>
    </w:p>
    <w:p w14:paraId="20CF0063">
      <w:pPr>
        <w:pStyle w:val="5"/>
        <w:bidi w:val="0"/>
        <w:ind w:left="0" w:leftChars="0" w:firstLine="0" w:firstLineChars="0"/>
        <w:rPr>
          <w:rFonts w:hint="eastAsia"/>
          <w:highlight w:val="none"/>
          <w:lang w:val="en-US" w:eastAsia="zh-CN"/>
        </w:rPr>
      </w:pPr>
      <w:bookmarkStart w:id="64" w:name="_Toc27930"/>
      <w:r>
        <w:rPr>
          <w:rFonts w:hint="eastAsia"/>
          <w:highlight w:val="none"/>
          <w:lang w:val="en-US" w:eastAsia="zh-CN"/>
        </w:rPr>
        <w:t>3.1.11劳动人员及工作制度</w:t>
      </w:r>
      <w:bookmarkEnd w:id="64"/>
    </w:p>
    <w:p w14:paraId="2586A408">
      <w:pPr>
        <w:ind w:firstLine="480"/>
        <w:rPr>
          <w:rFonts w:ascii="Times New Roman" w:hAnsi="Times New Roman"/>
          <w:highlight w:val="none"/>
        </w:rPr>
      </w:pPr>
      <w:r>
        <w:rPr>
          <w:rFonts w:ascii="Times New Roman" w:hAnsi="Times New Roman"/>
          <w:highlight w:val="none"/>
        </w:rPr>
        <w:t>（</w:t>
      </w:r>
      <w:r>
        <w:rPr>
          <w:rFonts w:hint="eastAsia" w:ascii="Times New Roman" w:hAnsi="Times New Roman"/>
          <w:highlight w:val="none"/>
          <w:lang w:val="en-US" w:eastAsia="zh-CN"/>
        </w:rPr>
        <w:t>1</w:t>
      </w:r>
      <w:r>
        <w:rPr>
          <w:rFonts w:ascii="Times New Roman" w:hAnsi="Times New Roman"/>
          <w:highlight w:val="none"/>
        </w:rPr>
        <w:t>）劳动定员：本项目员工</w:t>
      </w:r>
      <w:r>
        <w:rPr>
          <w:rFonts w:hint="eastAsia" w:ascii="Times New Roman" w:hAnsi="Times New Roman"/>
          <w:highlight w:val="none"/>
          <w:lang w:val="en-US" w:eastAsia="zh-CN"/>
        </w:rPr>
        <w:t>175</w:t>
      </w:r>
      <w:r>
        <w:rPr>
          <w:rFonts w:ascii="Times New Roman" w:hAnsi="Times New Roman"/>
          <w:highlight w:val="none"/>
        </w:rPr>
        <w:t>人</w:t>
      </w:r>
    </w:p>
    <w:p w14:paraId="403240DD">
      <w:pPr>
        <w:rPr>
          <w:rFonts w:hint="default"/>
          <w:highlight w:val="none"/>
          <w:lang w:val="en-US" w:eastAsia="zh-CN"/>
        </w:rPr>
      </w:pPr>
      <w:r>
        <w:rPr>
          <w:rFonts w:ascii="Times New Roman" w:hAnsi="Times New Roman"/>
          <w:highlight w:val="none"/>
        </w:rPr>
        <w:t>（</w:t>
      </w:r>
      <w:r>
        <w:rPr>
          <w:rFonts w:hint="eastAsia" w:ascii="Times New Roman" w:hAnsi="Times New Roman"/>
          <w:highlight w:val="none"/>
          <w:lang w:val="en-US" w:eastAsia="zh-CN"/>
        </w:rPr>
        <w:t>2</w:t>
      </w:r>
      <w:r>
        <w:rPr>
          <w:rFonts w:ascii="Times New Roman" w:hAnsi="Times New Roman"/>
          <w:highlight w:val="none"/>
        </w:rPr>
        <w:t>）运行</w:t>
      </w:r>
      <w:r>
        <w:rPr>
          <w:rFonts w:hint="eastAsia" w:ascii="Times New Roman" w:hAnsi="Times New Roman"/>
          <w:highlight w:val="none"/>
        </w:rPr>
        <w:t>方案及</w:t>
      </w:r>
      <w:r>
        <w:rPr>
          <w:rFonts w:ascii="Times New Roman" w:hAnsi="Times New Roman"/>
          <w:highlight w:val="none"/>
        </w:rPr>
        <w:t>时数：本项目</w:t>
      </w:r>
      <w:r>
        <w:rPr>
          <w:rFonts w:hint="eastAsia" w:ascii="Times New Roman" w:hAnsi="Times New Roman"/>
          <w:highlight w:val="none"/>
        </w:rPr>
        <w:t>锅炉仅采暖期运行，非采暖期不运行，仅用于供热；年</w:t>
      </w:r>
      <w:r>
        <w:rPr>
          <w:rFonts w:ascii="Times New Roman" w:hAnsi="Times New Roman"/>
          <w:highlight w:val="none"/>
        </w:rPr>
        <w:t>运行时间为</w:t>
      </w:r>
      <w:r>
        <w:rPr>
          <w:rFonts w:hint="eastAsia" w:ascii="Times New Roman" w:hAnsi="Times New Roman"/>
          <w:highlight w:val="none"/>
          <w:lang w:val="en-US" w:eastAsia="zh-CN"/>
        </w:rPr>
        <w:t>210</w:t>
      </w:r>
      <w:r>
        <w:rPr>
          <w:rFonts w:ascii="Times New Roman" w:hAnsi="Times New Roman"/>
          <w:highlight w:val="none"/>
        </w:rPr>
        <w:t>天，按满负荷运行折算锅炉工况小时数为</w:t>
      </w:r>
      <w:r>
        <w:rPr>
          <w:rFonts w:hint="eastAsia" w:ascii="Times New Roman" w:hAnsi="Times New Roman"/>
          <w:highlight w:val="none"/>
          <w:lang w:val="en-US" w:eastAsia="zh-CN"/>
        </w:rPr>
        <w:t>5040</w:t>
      </w:r>
      <w:r>
        <w:rPr>
          <w:rFonts w:ascii="Times New Roman" w:hAnsi="Times New Roman"/>
          <w:highlight w:val="none"/>
        </w:rPr>
        <w:t>小时。</w:t>
      </w:r>
    </w:p>
    <w:p w14:paraId="4BD6D270">
      <w:pPr>
        <w:pStyle w:val="5"/>
        <w:bidi w:val="0"/>
        <w:ind w:left="0" w:leftChars="0" w:firstLine="0" w:firstLineChars="0"/>
        <w:rPr>
          <w:rFonts w:hint="eastAsia"/>
          <w:highlight w:val="none"/>
          <w:lang w:val="en-US" w:eastAsia="zh-CN"/>
        </w:rPr>
      </w:pPr>
      <w:bookmarkStart w:id="65" w:name="_Toc19025"/>
      <w:r>
        <w:rPr>
          <w:rFonts w:hint="eastAsia"/>
          <w:highlight w:val="none"/>
          <w:lang w:val="en-US" w:eastAsia="zh-CN"/>
        </w:rPr>
        <w:t>3.1.12建设周期</w:t>
      </w:r>
      <w:bookmarkEnd w:id="65"/>
    </w:p>
    <w:p w14:paraId="7D6AE698">
      <w:pPr>
        <w:rPr>
          <w:rFonts w:hint="default"/>
          <w:highlight w:val="none"/>
          <w:lang w:val="en-US" w:eastAsia="zh-CN"/>
        </w:rPr>
      </w:pPr>
      <w:r>
        <w:rPr>
          <w:rFonts w:hint="eastAsia"/>
          <w:highlight w:val="none"/>
          <w:lang w:val="en-US" w:eastAsia="zh-CN"/>
        </w:rPr>
        <w:t>本工程目前均已建设完成。</w:t>
      </w:r>
    </w:p>
    <w:p w14:paraId="57CB15EE">
      <w:pPr>
        <w:pStyle w:val="5"/>
        <w:bidi w:val="0"/>
        <w:ind w:left="0" w:leftChars="0" w:firstLine="0" w:firstLineChars="0"/>
        <w:rPr>
          <w:rFonts w:hint="eastAsia"/>
          <w:highlight w:val="none"/>
          <w:lang w:val="en-US" w:eastAsia="zh-CN"/>
        </w:rPr>
      </w:pPr>
      <w:bookmarkStart w:id="66" w:name="_Toc11446"/>
      <w:r>
        <w:rPr>
          <w:rFonts w:hint="eastAsia"/>
          <w:highlight w:val="none"/>
          <w:lang w:val="en-US" w:eastAsia="zh-CN"/>
        </w:rPr>
        <w:t>3.1.13项目投资估算</w:t>
      </w:r>
      <w:bookmarkEnd w:id="66"/>
    </w:p>
    <w:p w14:paraId="6D8A1710">
      <w:pPr>
        <w:rPr>
          <w:rFonts w:hint="default"/>
          <w:highlight w:val="none"/>
          <w:lang w:val="en-US" w:eastAsia="zh-CN"/>
        </w:rPr>
      </w:pPr>
      <w:r>
        <w:rPr>
          <w:rFonts w:hint="eastAsia"/>
          <w:highlight w:val="none"/>
          <w:lang w:val="en-US" w:eastAsia="zh-CN"/>
        </w:rPr>
        <w:t>本项目总投资3620万元，其中：其中设备购置费2410万元，安装费1106万元，其他费104万元。</w:t>
      </w:r>
    </w:p>
    <w:p w14:paraId="5853CEDE">
      <w:pPr>
        <w:pStyle w:val="5"/>
        <w:bidi w:val="0"/>
        <w:ind w:left="0" w:leftChars="0" w:firstLine="0" w:firstLineChars="0"/>
        <w:rPr>
          <w:rFonts w:hint="eastAsia"/>
          <w:highlight w:val="none"/>
          <w:lang w:val="en-US" w:eastAsia="zh-CN"/>
        </w:rPr>
      </w:pPr>
      <w:bookmarkStart w:id="67" w:name="_Toc31638"/>
      <w:r>
        <w:rPr>
          <w:rFonts w:hint="eastAsia"/>
          <w:highlight w:val="none"/>
          <w:lang w:val="en-US" w:eastAsia="zh-CN"/>
        </w:rPr>
        <w:t>3.1.14供热范围</w:t>
      </w:r>
      <w:bookmarkEnd w:id="67"/>
    </w:p>
    <w:p w14:paraId="72D10915">
      <w:pPr>
        <w:rPr>
          <w:rFonts w:hint="eastAsia"/>
          <w:highlight w:val="none"/>
          <w:lang w:val="en-US" w:eastAsia="zh-CN"/>
        </w:rPr>
      </w:pPr>
      <w:r>
        <w:rPr>
          <w:rFonts w:hint="eastAsia"/>
          <w:highlight w:val="none"/>
          <w:lang w:val="en-US" w:eastAsia="zh-CN"/>
        </w:rPr>
        <w:t>本项目主要承担绥芬河市北山新区和新老城区结合部区域供热，现状集中供热面积为210万平方米。</w:t>
      </w:r>
    </w:p>
    <w:p w14:paraId="1844EBEA">
      <w:pPr>
        <w:pStyle w:val="4"/>
        <w:bidi w:val="0"/>
        <w:ind w:left="0" w:leftChars="0" w:firstLine="0" w:firstLineChars="0"/>
        <w:rPr>
          <w:rFonts w:hint="default"/>
          <w:highlight w:val="none"/>
          <w:lang w:val="en-US" w:eastAsia="zh-CN"/>
        </w:rPr>
      </w:pPr>
      <w:bookmarkStart w:id="68" w:name="_Toc16443"/>
      <w:r>
        <w:rPr>
          <w:rFonts w:hint="eastAsia"/>
          <w:highlight w:val="none"/>
          <w:lang w:val="en-US" w:eastAsia="zh-CN"/>
        </w:rPr>
        <w:t>3.2工程分析</w:t>
      </w:r>
      <w:bookmarkEnd w:id="68"/>
    </w:p>
    <w:p w14:paraId="3CF0932B">
      <w:pPr>
        <w:pStyle w:val="5"/>
        <w:bidi w:val="0"/>
        <w:ind w:left="0" w:leftChars="0" w:firstLine="0" w:firstLineChars="0"/>
        <w:rPr>
          <w:rFonts w:hint="eastAsia"/>
          <w:highlight w:val="none"/>
          <w:lang w:val="en-US" w:eastAsia="zh-CN"/>
        </w:rPr>
      </w:pPr>
      <w:bookmarkStart w:id="69" w:name="_Toc25644"/>
      <w:r>
        <w:rPr>
          <w:rFonts w:hint="eastAsia"/>
          <w:highlight w:val="none"/>
          <w:lang w:val="en-US" w:eastAsia="zh-CN"/>
        </w:rPr>
        <w:t>3.2.1环境影响识别</w:t>
      </w:r>
      <w:bookmarkEnd w:id="69"/>
    </w:p>
    <w:p w14:paraId="06561087">
      <w:pPr>
        <w:ind w:firstLine="480"/>
        <w:rPr>
          <w:rFonts w:ascii="Times New Roman" w:hAnsi="Times New Roman"/>
          <w:highlight w:val="none"/>
        </w:rPr>
      </w:pPr>
      <w:r>
        <w:rPr>
          <w:rFonts w:ascii="Times New Roman" w:hAnsi="Times New Roman"/>
          <w:highlight w:val="none"/>
        </w:rPr>
        <w:t>本项目主要环境影响为项目施工期和营运期全过程，其主要污染源分布详见表3.2-1。</w:t>
      </w:r>
    </w:p>
    <w:p w14:paraId="55A6B7B3">
      <w:pPr>
        <w:ind w:firstLine="0" w:firstLineChars="0"/>
        <w:jc w:val="center"/>
        <w:rPr>
          <w:rFonts w:ascii="Times New Roman" w:hAnsi="Times New Roman"/>
          <w:highlight w:val="none"/>
        </w:rPr>
      </w:pPr>
      <w:r>
        <w:rPr>
          <w:rFonts w:ascii="Times New Roman" w:hAnsi="Times New Roman"/>
          <w:b/>
          <w:bCs/>
          <w:highlight w:val="none"/>
        </w:rPr>
        <w:t>表3.2-1项目主要污染源一览表</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73"/>
        <w:gridCol w:w="1277"/>
        <w:gridCol w:w="2301"/>
        <w:gridCol w:w="2177"/>
        <w:gridCol w:w="2094"/>
      </w:tblGrid>
      <w:tr w14:paraId="030CF33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95" w:type="pct"/>
            <w:noWrap w:val="0"/>
            <w:vAlign w:val="center"/>
          </w:tcPr>
          <w:p w14:paraId="2111D0E7">
            <w:pPr>
              <w:pStyle w:val="27"/>
              <w:rPr>
                <w:rFonts w:ascii="Times New Roman" w:hAnsi="Times New Roman"/>
                <w:highlight w:val="none"/>
              </w:rPr>
            </w:pPr>
            <w:bookmarkStart w:id="70" w:name="_Toc398537133"/>
            <w:bookmarkStart w:id="71" w:name="_Toc307229511"/>
            <w:bookmarkStart w:id="72" w:name="_Toc307947608"/>
            <w:r>
              <w:rPr>
                <w:rFonts w:ascii="Times New Roman" w:hAnsi="Times New Roman"/>
                <w:highlight w:val="none"/>
              </w:rPr>
              <w:t>时段</w:t>
            </w:r>
          </w:p>
        </w:tc>
        <w:tc>
          <w:tcPr>
            <w:tcW w:w="749" w:type="pct"/>
            <w:noWrap w:val="0"/>
            <w:vAlign w:val="center"/>
          </w:tcPr>
          <w:p w14:paraId="103ED5C0">
            <w:pPr>
              <w:pStyle w:val="27"/>
              <w:rPr>
                <w:rFonts w:ascii="Times New Roman" w:hAnsi="Times New Roman"/>
                <w:highlight w:val="none"/>
              </w:rPr>
            </w:pPr>
            <w:r>
              <w:rPr>
                <w:rFonts w:ascii="Times New Roman" w:hAnsi="Times New Roman"/>
                <w:highlight w:val="none"/>
              </w:rPr>
              <w:t>污染源</w:t>
            </w:r>
          </w:p>
        </w:tc>
        <w:tc>
          <w:tcPr>
            <w:tcW w:w="1350" w:type="pct"/>
            <w:noWrap w:val="0"/>
            <w:vAlign w:val="center"/>
          </w:tcPr>
          <w:p w14:paraId="30583363">
            <w:pPr>
              <w:pStyle w:val="27"/>
              <w:rPr>
                <w:rFonts w:ascii="Times New Roman" w:hAnsi="Times New Roman"/>
                <w:highlight w:val="none"/>
              </w:rPr>
            </w:pPr>
            <w:r>
              <w:rPr>
                <w:rFonts w:ascii="Times New Roman" w:hAnsi="Times New Roman"/>
                <w:highlight w:val="none"/>
              </w:rPr>
              <w:t>产生部位</w:t>
            </w:r>
          </w:p>
        </w:tc>
        <w:tc>
          <w:tcPr>
            <w:tcW w:w="1277" w:type="pct"/>
            <w:noWrap w:val="0"/>
            <w:vAlign w:val="center"/>
          </w:tcPr>
          <w:p w14:paraId="55A1A208">
            <w:pPr>
              <w:pStyle w:val="27"/>
              <w:rPr>
                <w:rFonts w:ascii="Times New Roman" w:hAnsi="Times New Roman"/>
                <w:highlight w:val="none"/>
              </w:rPr>
            </w:pPr>
            <w:r>
              <w:rPr>
                <w:rFonts w:ascii="Times New Roman" w:hAnsi="Times New Roman"/>
                <w:highlight w:val="none"/>
              </w:rPr>
              <w:t>主要影响因素</w:t>
            </w:r>
          </w:p>
        </w:tc>
        <w:tc>
          <w:tcPr>
            <w:tcW w:w="1228" w:type="pct"/>
            <w:noWrap w:val="0"/>
            <w:vAlign w:val="center"/>
          </w:tcPr>
          <w:p w14:paraId="2F3CDB04">
            <w:pPr>
              <w:pStyle w:val="27"/>
              <w:rPr>
                <w:rFonts w:ascii="Times New Roman" w:hAnsi="Times New Roman"/>
                <w:highlight w:val="none"/>
              </w:rPr>
            </w:pPr>
            <w:r>
              <w:rPr>
                <w:rFonts w:ascii="Times New Roman" w:hAnsi="Times New Roman"/>
                <w:highlight w:val="none"/>
              </w:rPr>
              <w:t>影响对象</w:t>
            </w:r>
          </w:p>
        </w:tc>
      </w:tr>
      <w:tr w14:paraId="6F5454B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95" w:type="pct"/>
            <w:vMerge w:val="restart"/>
            <w:noWrap w:val="0"/>
            <w:vAlign w:val="center"/>
          </w:tcPr>
          <w:p w14:paraId="200C3D77">
            <w:pPr>
              <w:pStyle w:val="27"/>
              <w:rPr>
                <w:rFonts w:ascii="Times New Roman" w:hAnsi="Times New Roman"/>
                <w:highlight w:val="none"/>
              </w:rPr>
            </w:pPr>
            <w:r>
              <w:rPr>
                <w:rFonts w:ascii="Times New Roman" w:hAnsi="Times New Roman"/>
                <w:highlight w:val="none"/>
              </w:rPr>
              <w:t>施工期</w:t>
            </w:r>
          </w:p>
        </w:tc>
        <w:tc>
          <w:tcPr>
            <w:tcW w:w="749" w:type="pct"/>
            <w:noWrap w:val="0"/>
            <w:vAlign w:val="center"/>
          </w:tcPr>
          <w:p w14:paraId="594F066B">
            <w:pPr>
              <w:pStyle w:val="27"/>
              <w:textAlignment w:val="center"/>
              <w:rPr>
                <w:rFonts w:ascii="Times New Roman" w:hAnsi="Times New Roman"/>
                <w:highlight w:val="none"/>
              </w:rPr>
            </w:pPr>
            <w:r>
              <w:rPr>
                <w:rFonts w:ascii="Times New Roman" w:hAnsi="Times New Roman"/>
                <w:highlight w:val="none"/>
              </w:rPr>
              <w:t>噪声</w:t>
            </w:r>
          </w:p>
        </w:tc>
        <w:tc>
          <w:tcPr>
            <w:tcW w:w="1350" w:type="pct"/>
            <w:noWrap w:val="0"/>
            <w:vAlign w:val="center"/>
          </w:tcPr>
          <w:p w14:paraId="20D31B81">
            <w:pPr>
              <w:pStyle w:val="27"/>
              <w:textAlignment w:val="center"/>
              <w:rPr>
                <w:rFonts w:ascii="Times New Roman" w:hAnsi="Times New Roman"/>
                <w:highlight w:val="none"/>
              </w:rPr>
            </w:pPr>
            <w:r>
              <w:rPr>
                <w:rFonts w:ascii="Times New Roman" w:hAnsi="Times New Roman"/>
                <w:highlight w:val="none"/>
              </w:rPr>
              <w:t>施工机械、运输车辆等</w:t>
            </w:r>
          </w:p>
        </w:tc>
        <w:tc>
          <w:tcPr>
            <w:tcW w:w="1277" w:type="pct"/>
            <w:noWrap w:val="0"/>
            <w:vAlign w:val="center"/>
          </w:tcPr>
          <w:p w14:paraId="2C12BD43">
            <w:pPr>
              <w:pStyle w:val="27"/>
              <w:textAlignment w:val="center"/>
              <w:rPr>
                <w:rFonts w:ascii="Times New Roman" w:hAnsi="Times New Roman"/>
                <w:highlight w:val="none"/>
              </w:rPr>
            </w:pPr>
            <w:r>
              <w:rPr>
                <w:rFonts w:ascii="Times New Roman" w:hAnsi="Times New Roman"/>
                <w:highlight w:val="none"/>
              </w:rPr>
              <w:t>机械噪声、车辆噪声</w:t>
            </w:r>
          </w:p>
        </w:tc>
        <w:tc>
          <w:tcPr>
            <w:tcW w:w="1228" w:type="pct"/>
            <w:noWrap w:val="0"/>
            <w:vAlign w:val="center"/>
          </w:tcPr>
          <w:p w14:paraId="4884132C">
            <w:pPr>
              <w:pStyle w:val="27"/>
              <w:textAlignment w:val="center"/>
              <w:rPr>
                <w:rFonts w:ascii="Times New Roman" w:hAnsi="Times New Roman"/>
                <w:highlight w:val="none"/>
              </w:rPr>
            </w:pPr>
            <w:r>
              <w:rPr>
                <w:rFonts w:ascii="Times New Roman" w:hAnsi="Times New Roman"/>
                <w:highlight w:val="none"/>
              </w:rPr>
              <w:t>周围环境敏感点</w:t>
            </w:r>
          </w:p>
        </w:tc>
      </w:tr>
      <w:tr w14:paraId="3DB029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95" w:type="pct"/>
            <w:vMerge w:val="continue"/>
            <w:noWrap w:val="0"/>
            <w:vAlign w:val="center"/>
          </w:tcPr>
          <w:p w14:paraId="676C2D94">
            <w:pPr>
              <w:pStyle w:val="27"/>
              <w:rPr>
                <w:rFonts w:ascii="Times New Roman" w:hAnsi="Times New Roman"/>
                <w:highlight w:val="none"/>
              </w:rPr>
            </w:pPr>
          </w:p>
        </w:tc>
        <w:tc>
          <w:tcPr>
            <w:tcW w:w="749" w:type="pct"/>
            <w:noWrap w:val="0"/>
            <w:vAlign w:val="center"/>
          </w:tcPr>
          <w:p w14:paraId="7D0A2378">
            <w:pPr>
              <w:pStyle w:val="27"/>
              <w:textAlignment w:val="center"/>
              <w:rPr>
                <w:rFonts w:ascii="Times New Roman" w:hAnsi="Times New Roman"/>
                <w:highlight w:val="none"/>
              </w:rPr>
            </w:pPr>
            <w:r>
              <w:rPr>
                <w:rFonts w:ascii="Times New Roman" w:hAnsi="Times New Roman"/>
                <w:highlight w:val="none"/>
              </w:rPr>
              <w:t>废气</w:t>
            </w:r>
          </w:p>
        </w:tc>
        <w:tc>
          <w:tcPr>
            <w:tcW w:w="1350" w:type="pct"/>
            <w:noWrap w:val="0"/>
            <w:vAlign w:val="center"/>
          </w:tcPr>
          <w:p w14:paraId="151310EF">
            <w:pPr>
              <w:pStyle w:val="27"/>
              <w:textAlignment w:val="center"/>
              <w:rPr>
                <w:rFonts w:ascii="Times New Roman" w:hAnsi="Times New Roman"/>
                <w:highlight w:val="none"/>
              </w:rPr>
            </w:pPr>
            <w:r>
              <w:rPr>
                <w:rFonts w:ascii="Times New Roman" w:hAnsi="Times New Roman"/>
                <w:highlight w:val="none"/>
              </w:rPr>
              <w:t>地面扬尘、建材扬尘等</w:t>
            </w:r>
          </w:p>
        </w:tc>
        <w:tc>
          <w:tcPr>
            <w:tcW w:w="1277" w:type="pct"/>
            <w:noWrap w:val="0"/>
            <w:vAlign w:val="center"/>
          </w:tcPr>
          <w:p w14:paraId="32C05169">
            <w:pPr>
              <w:pStyle w:val="27"/>
              <w:textAlignment w:val="center"/>
              <w:rPr>
                <w:rFonts w:ascii="Times New Roman" w:hAnsi="Times New Roman"/>
                <w:highlight w:val="none"/>
              </w:rPr>
            </w:pPr>
            <w:r>
              <w:rPr>
                <w:rFonts w:ascii="Times New Roman" w:hAnsi="Times New Roman"/>
                <w:highlight w:val="none"/>
              </w:rPr>
              <w:t>颗粒物</w:t>
            </w:r>
          </w:p>
        </w:tc>
        <w:tc>
          <w:tcPr>
            <w:tcW w:w="1228" w:type="pct"/>
            <w:noWrap w:val="0"/>
            <w:vAlign w:val="center"/>
          </w:tcPr>
          <w:p w14:paraId="75320CB4">
            <w:pPr>
              <w:pStyle w:val="27"/>
              <w:textAlignment w:val="center"/>
              <w:rPr>
                <w:rFonts w:ascii="Times New Roman" w:hAnsi="Times New Roman"/>
                <w:highlight w:val="none"/>
              </w:rPr>
            </w:pPr>
            <w:r>
              <w:rPr>
                <w:rFonts w:ascii="Times New Roman" w:hAnsi="Times New Roman"/>
                <w:highlight w:val="none"/>
              </w:rPr>
              <w:t>区域大气环境</w:t>
            </w:r>
          </w:p>
        </w:tc>
      </w:tr>
      <w:tr w14:paraId="18F0C69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95" w:type="pct"/>
            <w:vMerge w:val="continue"/>
            <w:noWrap w:val="0"/>
            <w:vAlign w:val="center"/>
          </w:tcPr>
          <w:p w14:paraId="1F8D91EC">
            <w:pPr>
              <w:pStyle w:val="27"/>
              <w:rPr>
                <w:rFonts w:ascii="Times New Roman" w:hAnsi="Times New Roman"/>
                <w:highlight w:val="none"/>
              </w:rPr>
            </w:pPr>
          </w:p>
        </w:tc>
        <w:tc>
          <w:tcPr>
            <w:tcW w:w="749" w:type="pct"/>
            <w:noWrap w:val="0"/>
            <w:vAlign w:val="center"/>
          </w:tcPr>
          <w:p w14:paraId="29CE1AC3">
            <w:pPr>
              <w:pStyle w:val="27"/>
              <w:rPr>
                <w:rFonts w:ascii="Times New Roman" w:hAnsi="Times New Roman"/>
                <w:highlight w:val="none"/>
              </w:rPr>
            </w:pPr>
            <w:r>
              <w:rPr>
                <w:rFonts w:ascii="Times New Roman" w:hAnsi="Times New Roman"/>
                <w:highlight w:val="none"/>
              </w:rPr>
              <w:t>固体废物</w:t>
            </w:r>
          </w:p>
        </w:tc>
        <w:tc>
          <w:tcPr>
            <w:tcW w:w="1350" w:type="pct"/>
            <w:noWrap w:val="0"/>
            <w:vAlign w:val="center"/>
          </w:tcPr>
          <w:p w14:paraId="19F4A4CD">
            <w:pPr>
              <w:pStyle w:val="27"/>
              <w:textAlignment w:val="center"/>
              <w:rPr>
                <w:rFonts w:ascii="Times New Roman" w:hAnsi="Times New Roman"/>
                <w:highlight w:val="none"/>
              </w:rPr>
            </w:pPr>
            <w:r>
              <w:rPr>
                <w:rFonts w:hint="eastAsia" w:ascii="Times New Roman" w:hAnsi="Times New Roman"/>
                <w:highlight w:val="none"/>
              </w:rPr>
              <w:t>建筑垃圾、</w:t>
            </w:r>
            <w:r>
              <w:rPr>
                <w:rFonts w:ascii="Times New Roman" w:hAnsi="Times New Roman"/>
                <w:highlight w:val="none"/>
              </w:rPr>
              <w:t>生活垃圾</w:t>
            </w:r>
          </w:p>
        </w:tc>
        <w:tc>
          <w:tcPr>
            <w:tcW w:w="1277" w:type="pct"/>
            <w:noWrap w:val="0"/>
            <w:vAlign w:val="center"/>
          </w:tcPr>
          <w:p w14:paraId="33E4EB93">
            <w:pPr>
              <w:pStyle w:val="27"/>
              <w:textAlignment w:val="center"/>
              <w:rPr>
                <w:rFonts w:ascii="Times New Roman" w:hAnsi="Times New Roman"/>
                <w:highlight w:val="none"/>
              </w:rPr>
            </w:pPr>
            <w:r>
              <w:rPr>
                <w:rFonts w:hint="eastAsia" w:ascii="Times New Roman" w:hAnsi="Times New Roman"/>
                <w:highlight w:val="none"/>
              </w:rPr>
              <w:t>建筑垃圾、</w:t>
            </w:r>
            <w:r>
              <w:rPr>
                <w:rFonts w:ascii="Times New Roman" w:hAnsi="Times New Roman"/>
                <w:highlight w:val="none"/>
              </w:rPr>
              <w:t>生活垃圾</w:t>
            </w:r>
          </w:p>
        </w:tc>
        <w:tc>
          <w:tcPr>
            <w:tcW w:w="1228" w:type="pct"/>
            <w:noWrap w:val="0"/>
            <w:vAlign w:val="center"/>
          </w:tcPr>
          <w:p w14:paraId="3D3B4A6A">
            <w:pPr>
              <w:pStyle w:val="27"/>
              <w:rPr>
                <w:rFonts w:ascii="Times New Roman" w:hAnsi="Times New Roman"/>
                <w:highlight w:val="none"/>
              </w:rPr>
            </w:pPr>
            <w:r>
              <w:rPr>
                <w:rFonts w:ascii="Times New Roman" w:hAnsi="Times New Roman"/>
                <w:highlight w:val="none"/>
              </w:rPr>
              <w:t>区内环境</w:t>
            </w:r>
          </w:p>
        </w:tc>
      </w:tr>
      <w:tr w14:paraId="5E9189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62" w:hRule="atLeast"/>
          <w:jc w:val="center"/>
        </w:trPr>
        <w:tc>
          <w:tcPr>
            <w:tcW w:w="395" w:type="pct"/>
            <w:vMerge w:val="restart"/>
            <w:noWrap w:val="0"/>
            <w:vAlign w:val="center"/>
          </w:tcPr>
          <w:p w14:paraId="495E714F">
            <w:pPr>
              <w:pStyle w:val="27"/>
              <w:rPr>
                <w:rFonts w:ascii="Times New Roman" w:hAnsi="Times New Roman"/>
                <w:highlight w:val="none"/>
              </w:rPr>
            </w:pPr>
            <w:r>
              <w:rPr>
                <w:rFonts w:ascii="Times New Roman" w:hAnsi="Times New Roman"/>
                <w:highlight w:val="none"/>
              </w:rPr>
              <w:t>营运期</w:t>
            </w:r>
          </w:p>
        </w:tc>
        <w:tc>
          <w:tcPr>
            <w:tcW w:w="749" w:type="pct"/>
            <w:noWrap w:val="0"/>
            <w:vAlign w:val="center"/>
          </w:tcPr>
          <w:p w14:paraId="7B3E63D4">
            <w:pPr>
              <w:pStyle w:val="27"/>
              <w:rPr>
                <w:rFonts w:ascii="Times New Roman" w:hAnsi="Times New Roman"/>
                <w:highlight w:val="none"/>
              </w:rPr>
            </w:pPr>
            <w:r>
              <w:rPr>
                <w:rFonts w:ascii="Times New Roman" w:hAnsi="Times New Roman"/>
                <w:highlight w:val="none"/>
              </w:rPr>
              <w:t>大气污染源</w:t>
            </w:r>
          </w:p>
        </w:tc>
        <w:tc>
          <w:tcPr>
            <w:tcW w:w="1350" w:type="pct"/>
            <w:noWrap w:val="0"/>
            <w:vAlign w:val="center"/>
          </w:tcPr>
          <w:p w14:paraId="43A536C0">
            <w:pPr>
              <w:pStyle w:val="27"/>
              <w:rPr>
                <w:rFonts w:ascii="Times New Roman" w:hAnsi="Times New Roman"/>
                <w:highlight w:val="none"/>
              </w:rPr>
            </w:pPr>
            <w:r>
              <w:rPr>
                <w:rFonts w:ascii="Times New Roman" w:hAnsi="Times New Roman"/>
                <w:highlight w:val="none"/>
              </w:rPr>
              <w:t>锅炉烟气</w:t>
            </w:r>
          </w:p>
        </w:tc>
        <w:tc>
          <w:tcPr>
            <w:tcW w:w="1277" w:type="pct"/>
            <w:noWrap w:val="0"/>
            <w:vAlign w:val="center"/>
          </w:tcPr>
          <w:p w14:paraId="3C83AD92">
            <w:pPr>
              <w:pStyle w:val="27"/>
              <w:rPr>
                <w:rFonts w:ascii="Times New Roman" w:hAnsi="Times New Roman"/>
                <w:highlight w:val="none"/>
              </w:rPr>
            </w:pPr>
            <w:r>
              <w:rPr>
                <w:rFonts w:hint="eastAsia" w:ascii="Times New Roman" w:hAnsi="Times New Roman"/>
                <w:highlight w:val="none"/>
              </w:rPr>
              <w:t>烟尘</w:t>
            </w:r>
            <w:r>
              <w:rPr>
                <w:rFonts w:ascii="Times New Roman" w:hAnsi="Times New Roman"/>
                <w:highlight w:val="none"/>
              </w:rPr>
              <w:t>、SO</w:t>
            </w:r>
            <w:r>
              <w:rPr>
                <w:rFonts w:ascii="Times New Roman" w:hAnsi="Times New Roman"/>
                <w:highlight w:val="none"/>
                <w:vertAlign w:val="subscript"/>
              </w:rPr>
              <w:t>2</w:t>
            </w:r>
            <w:r>
              <w:rPr>
                <w:rFonts w:ascii="Times New Roman" w:hAnsi="Times New Roman"/>
                <w:highlight w:val="none"/>
              </w:rPr>
              <w:t>、NO</w:t>
            </w:r>
            <w:r>
              <w:rPr>
                <w:rFonts w:ascii="Times New Roman" w:hAnsi="Times New Roman"/>
                <w:highlight w:val="none"/>
                <w:vertAlign w:val="subscript"/>
              </w:rPr>
              <w:t>x</w:t>
            </w:r>
            <w:r>
              <w:rPr>
                <w:rFonts w:ascii="Times New Roman" w:hAnsi="Times New Roman"/>
                <w:highlight w:val="none"/>
              </w:rPr>
              <w:t>、汞及其化合物</w:t>
            </w:r>
            <w:r>
              <w:rPr>
                <w:rFonts w:hint="eastAsia" w:ascii="Times New Roman" w:hAnsi="Times New Roman"/>
                <w:highlight w:val="none"/>
              </w:rPr>
              <w:t>、烟气黑度、</w:t>
            </w:r>
            <w:r>
              <w:rPr>
                <w:rFonts w:ascii="Times New Roman" w:hAnsi="Times New Roman"/>
                <w:highlight w:val="none"/>
              </w:rPr>
              <w:t>NH</w:t>
            </w:r>
            <w:r>
              <w:rPr>
                <w:rFonts w:ascii="Times New Roman" w:hAnsi="Times New Roman"/>
                <w:highlight w:val="none"/>
                <w:vertAlign w:val="subscript"/>
              </w:rPr>
              <w:t>3</w:t>
            </w:r>
          </w:p>
        </w:tc>
        <w:tc>
          <w:tcPr>
            <w:tcW w:w="1228" w:type="pct"/>
            <w:noWrap w:val="0"/>
            <w:vAlign w:val="center"/>
          </w:tcPr>
          <w:p w14:paraId="6C491882">
            <w:pPr>
              <w:pStyle w:val="27"/>
              <w:rPr>
                <w:rFonts w:ascii="Times New Roman" w:hAnsi="Times New Roman"/>
                <w:highlight w:val="none"/>
              </w:rPr>
            </w:pPr>
            <w:r>
              <w:rPr>
                <w:rFonts w:ascii="Times New Roman" w:hAnsi="Times New Roman"/>
                <w:highlight w:val="none"/>
              </w:rPr>
              <w:t>区域大气环境</w:t>
            </w:r>
          </w:p>
        </w:tc>
      </w:tr>
      <w:tr w14:paraId="5C1453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95" w:type="pct"/>
            <w:vMerge w:val="continue"/>
            <w:noWrap w:val="0"/>
            <w:vAlign w:val="center"/>
          </w:tcPr>
          <w:p w14:paraId="22E92A0B">
            <w:pPr>
              <w:pStyle w:val="27"/>
              <w:rPr>
                <w:rFonts w:ascii="Times New Roman" w:hAnsi="Times New Roman"/>
                <w:highlight w:val="none"/>
              </w:rPr>
            </w:pPr>
          </w:p>
        </w:tc>
        <w:tc>
          <w:tcPr>
            <w:tcW w:w="749" w:type="pct"/>
            <w:noWrap w:val="0"/>
            <w:vAlign w:val="center"/>
          </w:tcPr>
          <w:p w14:paraId="58A77C56">
            <w:pPr>
              <w:pStyle w:val="27"/>
              <w:rPr>
                <w:rFonts w:ascii="Times New Roman" w:hAnsi="Times New Roman"/>
                <w:highlight w:val="none"/>
              </w:rPr>
            </w:pPr>
            <w:r>
              <w:rPr>
                <w:rFonts w:ascii="Times New Roman" w:hAnsi="Times New Roman"/>
                <w:highlight w:val="none"/>
              </w:rPr>
              <w:t>噪声污染源</w:t>
            </w:r>
          </w:p>
        </w:tc>
        <w:tc>
          <w:tcPr>
            <w:tcW w:w="1350" w:type="pct"/>
            <w:noWrap w:val="0"/>
            <w:vAlign w:val="center"/>
          </w:tcPr>
          <w:p w14:paraId="5BE24E09">
            <w:pPr>
              <w:pStyle w:val="27"/>
              <w:rPr>
                <w:rFonts w:ascii="Times New Roman" w:hAnsi="Times New Roman"/>
                <w:highlight w:val="none"/>
              </w:rPr>
            </w:pPr>
            <w:r>
              <w:rPr>
                <w:rFonts w:ascii="Times New Roman" w:hAnsi="Times New Roman"/>
                <w:highlight w:val="none"/>
              </w:rPr>
              <w:t>各类风机、泵噪声等</w:t>
            </w:r>
          </w:p>
        </w:tc>
        <w:tc>
          <w:tcPr>
            <w:tcW w:w="1277" w:type="pct"/>
            <w:noWrap w:val="0"/>
            <w:vAlign w:val="center"/>
          </w:tcPr>
          <w:p w14:paraId="5E67AC10">
            <w:pPr>
              <w:pStyle w:val="27"/>
              <w:rPr>
                <w:rFonts w:ascii="Times New Roman" w:hAnsi="Times New Roman"/>
                <w:highlight w:val="none"/>
              </w:rPr>
            </w:pPr>
            <w:r>
              <w:rPr>
                <w:rFonts w:ascii="Times New Roman" w:hAnsi="Times New Roman"/>
                <w:highlight w:val="none"/>
              </w:rPr>
              <w:t>各类风机、泵噪声等</w:t>
            </w:r>
          </w:p>
        </w:tc>
        <w:tc>
          <w:tcPr>
            <w:tcW w:w="1228" w:type="pct"/>
            <w:noWrap w:val="0"/>
            <w:vAlign w:val="center"/>
          </w:tcPr>
          <w:p w14:paraId="162EBDE7">
            <w:pPr>
              <w:pStyle w:val="27"/>
              <w:rPr>
                <w:rFonts w:ascii="Times New Roman" w:hAnsi="Times New Roman"/>
                <w:highlight w:val="none"/>
              </w:rPr>
            </w:pPr>
            <w:r>
              <w:rPr>
                <w:rFonts w:ascii="Times New Roman" w:hAnsi="Times New Roman"/>
                <w:highlight w:val="none"/>
              </w:rPr>
              <w:t>周围环境敏感点</w:t>
            </w:r>
          </w:p>
        </w:tc>
      </w:tr>
      <w:tr w14:paraId="7AA0A17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95" w:type="pct"/>
            <w:vMerge w:val="continue"/>
            <w:noWrap w:val="0"/>
            <w:vAlign w:val="center"/>
          </w:tcPr>
          <w:p w14:paraId="0EF8F65D">
            <w:pPr>
              <w:pStyle w:val="27"/>
              <w:rPr>
                <w:rFonts w:ascii="Times New Roman" w:hAnsi="Times New Roman"/>
                <w:highlight w:val="none"/>
              </w:rPr>
            </w:pPr>
          </w:p>
        </w:tc>
        <w:tc>
          <w:tcPr>
            <w:tcW w:w="749" w:type="pct"/>
            <w:vMerge w:val="restart"/>
            <w:noWrap w:val="0"/>
            <w:vAlign w:val="center"/>
          </w:tcPr>
          <w:p w14:paraId="3392AD24">
            <w:pPr>
              <w:pStyle w:val="27"/>
              <w:rPr>
                <w:rFonts w:ascii="Times New Roman" w:hAnsi="Times New Roman"/>
                <w:highlight w:val="none"/>
              </w:rPr>
            </w:pPr>
            <w:r>
              <w:rPr>
                <w:rFonts w:ascii="Times New Roman" w:hAnsi="Times New Roman"/>
                <w:highlight w:val="none"/>
              </w:rPr>
              <w:t>固体废物</w:t>
            </w:r>
          </w:p>
        </w:tc>
        <w:tc>
          <w:tcPr>
            <w:tcW w:w="1350" w:type="pct"/>
            <w:noWrap w:val="0"/>
            <w:vAlign w:val="center"/>
          </w:tcPr>
          <w:p w14:paraId="43EF79FD">
            <w:pPr>
              <w:pStyle w:val="27"/>
              <w:rPr>
                <w:rFonts w:ascii="Times New Roman" w:hAnsi="Times New Roman"/>
                <w:highlight w:val="none"/>
              </w:rPr>
            </w:pPr>
            <w:r>
              <w:rPr>
                <w:rFonts w:ascii="Times New Roman" w:hAnsi="Times New Roman"/>
                <w:highlight w:val="none"/>
              </w:rPr>
              <w:t>生产过程</w:t>
            </w:r>
          </w:p>
        </w:tc>
        <w:tc>
          <w:tcPr>
            <w:tcW w:w="1277" w:type="pct"/>
            <w:noWrap w:val="0"/>
            <w:vAlign w:val="center"/>
          </w:tcPr>
          <w:p w14:paraId="4A57C51A">
            <w:pPr>
              <w:pStyle w:val="27"/>
              <w:rPr>
                <w:rFonts w:ascii="Times New Roman" w:hAnsi="Times New Roman"/>
                <w:highlight w:val="none"/>
              </w:rPr>
            </w:pPr>
            <w:r>
              <w:rPr>
                <w:rFonts w:ascii="Times New Roman" w:hAnsi="Times New Roman"/>
                <w:highlight w:val="none"/>
              </w:rPr>
              <w:t>灰渣（炉灰、炉渣）</w:t>
            </w:r>
            <w:r>
              <w:rPr>
                <w:rFonts w:hint="eastAsia" w:ascii="Times New Roman" w:hAnsi="Times New Roman"/>
                <w:highlight w:val="none"/>
              </w:rPr>
              <w:t>、脱硫石膏</w:t>
            </w:r>
          </w:p>
        </w:tc>
        <w:tc>
          <w:tcPr>
            <w:tcW w:w="1228" w:type="pct"/>
            <w:vMerge w:val="restart"/>
            <w:noWrap w:val="0"/>
            <w:vAlign w:val="center"/>
          </w:tcPr>
          <w:p w14:paraId="5FF0B113">
            <w:pPr>
              <w:pStyle w:val="27"/>
              <w:rPr>
                <w:rFonts w:ascii="Times New Roman" w:hAnsi="Times New Roman"/>
                <w:highlight w:val="none"/>
              </w:rPr>
            </w:pPr>
            <w:r>
              <w:rPr>
                <w:rFonts w:ascii="Times New Roman" w:hAnsi="Times New Roman"/>
                <w:highlight w:val="none"/>
              </w:rPr>
              <w:t>区内环境</w:t>
            </w:r>
          </w:p>
        </w:tc>
      </w:tr>
      <w:tr w14:paraId="6DC2E88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95" w:type="pct"/>
            <w:vMerge w:val="continue"/>
            <w:noWrap w:val="0"/>
            <w:vAlign w:val="center"/>
          </w:tcPr>
          <w:p w14:paraId="5364BF9A">
            <w:pPr>
              <w:pStyle w:val="27"/>
              <w:rPr>
                <w:rFonts w:ascii="Times New Roman" w:hAnsi="Times New Roman"/>
                <w:highlight w:val="none"/>
              </w:rPr>
            </w:pPr>
          </w:p>
        </w:tc>
        <w:tc>
          <w:tcPr>
            <w:tcW w:w="749" w:type="pct"/>
            <w:vMerge w:val="continue"/>
            <w:noWrap w:val="0"/>
            <w:vAlign w:val="center"/>
          </w:tcPr>
          <w:p w14:paraId="13A20457">
            <w:pPr>
              <w:pStyle w:val="27"/>
              <w:rPr>
                <w:rFonts w:ascii="Times New Roman" w:hAnsi="Times New Roman"/>
                <w:highlight w:val="none"/>
              </w:rPr>
            </w:pPr>
          </w:p>
        </w:tc>
        <w:tc>
          <w:tcPr>
            <w:tcW w:w="1350" w:type="pct"/>
            <w:noWrap w:val="0"/>
            <w:vAlign w:val="center"/>
          </w:tcPr>
          <w:p w14:paraId="602A8782">
            <w:pPr>
              <w:pStyle w:val="27"/>
              <w:rPr>
                <w:rFonts w:ascii="Times New Roman" w:hAnsi="Times New Roman"/>
                <w:highlight w:val="none"/>
              </w:rPr>
            </w:pPr>
            <w:r>
              <w:rPr>
                <w:rFonts w:ascii="Times New Roman" w:hAnsi="Times New Roman"/>
                <w:highlight w:val="none"/>
              </w:rPr>
              <w:t>布袋除尘器</w:t>
            </w:r>
          </w:p>
        </w:tc>
        <w:tc>
          <w:tcPr>
            <w:tcW w:w="1277" w:type="pct"/>
            <w:noWrap w:val="0"/>
            <w:vAlign w:val="center"/>
          </w:tcPr>
          <w:p w14:paraId="6871FAC8">
            <w:pPr>
              <w:pStyle w:val="27"/>
              <w:rPr>
                <w:rFonts w:ascii="Times New Roman" w:hAnsi="Times New Roman"/>
                <w:highlight w:val="none"/>
              </w:rPr>
            </w:pPr>
            <w:r>
              <w:rPr>
                <w:rFonts w:ascii="Times New Roman" w:hAnsi="Times New Roman"/>
                <w:highlight w:val="none"/>
              </w:rPr>
              <w:t>布袋收集粉尘</w:t>
            </w:r>
          </w:p>
        </w:tc>
        <w:tc>
          <w:tcPr>
            <w:tcW w:w="1228" w:type="pct"/>
            <w:vMerge w:val="continue"/>
            <w:noWrap w:val="0"/>
            <w:vAlign w:val="center"/>
          </w:tcPr>
          <w:p w14:paraId="211CA80B">
            <w:pPr>
              <w:pStyle w:val="27"/>
              <w:rPr>
                <w:rFonts w:ascii="Times New Roman" w:hAnsi="Times New Roman"/>
                <w:highlight w:val="none"/>
              </w:rPr>
            </w:pPr>
          </w:p>
        </w:tc>
      </w:tr>
      <w:bookmarkEnd w:id="70"/>
      <w:bookmarkEnd w:id="71"/>
      <w:bookmarkEnd w:id="72"/>
    </w:tbl>
    <w:p w14:paraId="1AD1C529">
      <w:pPr>
        <w:pStyle w:val="5"/>
        <w:bidi w:val="0"/>
        <w:ind w:left="0" w:leftChars="0" w:firstLine="0" w:firstLineChars="0"/>
        <w:rPr>
          <w:rFonts w:hint="eastAsia"/>
          <w:highlight w:val="none"/>
          <w:lang w:val="en-US" w:eastAsia="zh-CN"/>
        </w:rPr>
      </w:pPr>
      <w:bookmarkStart w:id="73" w:name="_Toc20907"/>
      <w:r>
        <w:rPr>
          <w:rFonts w:hint="eastAsia"/>
          <w:highlight w:val="none"/>
          <w:lang w:val="en-US" w:eastAsia="zh-CN"/>
        </w:rPr>
        <w:t>3.2.2施工期污染环节及污染因素分析</w:t>
      </w:r>
      <w:bookmarkEnd w:id="73"/>
    </w:p>
    <w:p w14:paraId="67F2C2C4">
      <w:pPr>
        <w:ind w:firstLine="480"/>
        <w:rPr>
          <w:rFonts w:ascii="Times New Roman" w:hAnsi="Times New Roman"/>
          <w:highlight w:val="none"/>
        </w:rPr>
      </w:pPr>
      <w:r>
        <w:rPr>
          <w:rFonts w:ascii="Times New Roman" w:hAnsi="Times New Roman"/>
          <w:highlight w:val="none"/>
        </w:rPr>
        <w:t>施工期主要建设内容为</w:t>
      </w:r>
      <w:r>
        <w:rPr>
          <w:rFonts w:hint="eastAsia" w:ascii="Times New Roman" w:hAnsi="Times New Roman"/>
          <w:highlight w:val="none"/>
          <w:lang w:val="en-US" w:eastAsia="zh-CN"/>
        </w:rPr>
        <w:t>建设</w:t>
      </w:r>
      <w:r>
        <w:rPr>
          <w:rFonts w:ascii="Times New Roman" w:hAnsi="Times New Roman"/>
          <w:highlight w:val="none"/>
        </w:rPr>
        <w:t>锅炉房、安装锅炉</w:t>
      </w:r>
      <w:r>
        <w:rPr>
          <w:rFonts w:hint="eastAsia" w:ascii="Times New Roman" w:hAnsi="Times New Roman"/>
          <w:highlight w:val="none"/>
        </w:rPr>
        <w:t>、</w:t>
      </w:r>
      <w:r>
        <w:rPr>
          <w:rFonts w:hint="eastAsia" w:ascii="Times New Roman" w:hAnsi="Times New Roman"/>
          <w:highlight w:val="none"/>
          <w:lang w:val="en-US" w:eastAsia="zh-CN"/>
        </w:rPr>
        <w:t>储煤场</w:t>
      </w:r>
      <w:r>
        <w:rPr>
          <w:rFonts w:ascii="Times New Roman" w:hAnsi="Times New Roman"/>
          <w:highlight w:val="none"/>
        </w:rPr>
        <w:t>及其配套设施、安装脱硫脱硝除尘设备及其配套设</w:t>
      </w:r>
      <w:r>
        <w:rPr>
          <w:rFonts w:hint="eastAsia" w:ascii="Times New Roman" w:hAnsi="Times New Roman"/>
          <w:highlight w:val="none"/>
          <w:lang w:val="en-US" w:eastAsia="zh-CN"/>
        </w:rPr>
        <w:t>备</w:t>
      </w:r>
      <w:r>
        <w:rPr>
          <w:rFonts w:ascii="Times New Roman" w:hAnsi="Times New Roman"/>
          <w:highlight w:val="none"/>
        </w:rPr>
        <w:t>。施工步骤大致为基础施工、结构施工、设备安装等，直至建成后投入使用。</w:t>
      </w:r>
      <w:r>
        <w:rPr>
          <w:rFonts w:hint="eastAsia" w:ascii="Times New Roman" w:hAnsi="Times New Roman"/>
          <w:highlight w:val="none"/>
          <w:lang w:val="en-US" w:eastAsia="zh-CN"/>
        </w:rPr>
        <w:t>本项目目前均已建设完成。</w:t>
      </w:r>
      <w:r>
        <w:rPr>
          <w:rFonts w:ascii="Times New Roman" w:hAnsi="Times New Roman"/>
          <w:highlight w:val="none"/>
        </w:rPr>
        <w:t>具体施工工艺及产污环节见图3.2-1。</w:t>
      </w:r>
    </w:p>
    <w:p w14:paraId="6C67CC4E">
      <w:pPr>
        <w:ind w:firstLine="0" w:firstLineChars="0"/>
        <w:jc w:val="center"/>
        <w:rPr>
          <w:rFonts w:ascii="Times New Roman" w:hAnsi="Times New Roman"/>
          <w:highlight w:val="none"/>
        </w:rPr>
      </w:pPr>
      <w:r>
        <w:rPr>
          <w:rFonts w:ascii="Times New Roman" w:hAnsi="Times New Roman"/>
          <w:highlight w:val="none"/>
        </w:rPr>
        <w:drawing>
          <wp:inline distT="0" distB="0" distL="114300" distR="114300">
            <wp:extent cx="5270500" cy="1561465"/>
            <wp:effectExtent l="0" t="0" r="6350" b="635"/>
            <wp:docPr id="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
                    <pic:cNvPicPr>
                      <a:picLocks noChangeAspect="1"/>
                    </pic:cNvPicPr>
                  </pic:nvPicPr>
                  <pic:blipFill>
                    <a:blip r:embed="rId19"/>
                    <a:stretch>
                      <a:fillRect/>
                    </a:stretch>
                  </pic:blipFill>
                  <pic:spPr>
                    <a:xfrm>
                      <a:off x="0" y="0"/>
                      <a:ext cx="5270500" cy="1561465"/>
                    </a:xfrm>
                    <a:prstGeom prst="rect">
                      <a:avLst/>
                    </a:prstGeom>
                    <a:noFill/>
                    <a:ln>
                      <a:noFill/>
                    </a:ln>
                  </pic:spPr>
                </pic:pic>
              </a:graphicData>
            </a:graphic>
          </wp:inline>
        </w:drawing>
      </w:r>
    </w:p>
    <w:p w14:paraId="34E73AC0">
      <w:pPr>
        <w:jc w:val="center"/>
        <w:rPr>
          <w:highlight w:val="none"/>
        </w:rPr>
      </w:pPr>
      <w:r>
        <w:rPr>
          <w:rFonts w:ascii="Times New Roman" w:hAnsi="Times New Roman"/>
          <w:b/>
          <w:bCs/>
          <w:highlight w:val="none"/>
        </w:rPr>
        <w:t>图3.2-1施工工艺流程及产污环节图</w:t>
      </w:r>
    </w:p>
    <w:p w14:paraId="52879275">
      <w:pPr>
        <w:pStyle w:val="6"/>
        <w:bidi w:val="0"/>
        <w:ind w:left="0" w:leftChars="0" w:firstLine="0" w:firstLineChars="0"/>
        <w:rPr>
          <w:rFonts w:hint="eastAsia"/>
          <w:highlight w:val="none"/>
          <w:lang w:val="en-US" w:eastAsia="zh-CN"/>
        </w:rPr>
      </w:pPr>
      <w:r>
        <w:rPr>
          <w:rFonts w:hint="eastAsia"/>
          <w:highlight w:val="none"/>
          <w:lang w:val="en-US" w:eastAsia="zh-CN"/>
        </w:rPr>
        <w:t>3.2.2.1废水</w:t>
      </w:r>
    </w:p>
    <w:p w14:paraId="3FA2487A">
      <w:pPr>
        <w:rPr>
          <w:rFonts w:hint="default" w:ascii="Times New Roman" w:hAnsi="Times New Roman" w:eastAsia="宋体"/>
          <w:highlight w:val="none"/>
          <w:lang w:val="en-US" w:eastAsia="zh-CN"/>
        </w:rPr>
      </w:pPr>
      <w:r>
        <w:rPr>
          <w:rFonts w:ascii="Times New Roman" w:hAnsi="Times New Roman"/>
          <w:highlight w:val="none"/>
        </w:rPr>
        <w:t>项目施工废水主要为施工人员生活污水。施工高峰期施工人员约</w:t>
      </w:r>
      <w:r>
        <w:rPr>
          <w:rFonts w:hint="eastAsia" w:ascii="Times New Roman" w:hAnsi="Times New Roman"/>
          <w:highlight w:val="none"/>
          <w:lang w:val="en-US" w:eastAsia="zh-CN"/>
        </w:rPr>
        <w:t>2</w:t>
      </w:r>
      <w:r>
        <w:rPr>
          <w:rFonts w:ascii="Times New Roman" w:hAnsi="Times New Roman"/>
          <w:highlight w:val="none"/>
        </w:rPr>
        <w:t>0人，生活用水标准为50L/人·d，则施工人员用水量约</w:t>
      </w:r>
      <w:r>
        <w:rPr>
          <w:rFonts w:hint="eastAsia" w:ascii="Times New Roman" w:hAnsi="Times New Roman"/>
          <w:highlight w:val="none"/>
          <w:lang w:val="en-US" w:eastAsia="zh-CN"/>
        </w:rPr>
        <w:t>1</w:t>
      </w:r>
      <w:r>
        <w:rPr>
          <w:rFonts w:ascii="Times New Roman" w:hAnsi="Times New Roman"/>
          <w:highlight w:val="none"/>
        </w:rPr>
        <w:t>m</w:t>
      </w:r>
      <w:r>
        <w:rPr>
          <w:rFonts w:ascii="Times New Roman" w:hAnsi="Times New Roman"/>
          <w:highlight w:val="none"/>
          <w:vertAlign w:val="superscript"/>
        </w:rPr>
        <w:t>3</w:t>
      </w:r>
      <w:r>
        <w:rPr>
          <w:rFonts w:ascii="Times New Roman" w:hAnsi="Times New Roman"/>
          <w:highlight w:val="none"/>
        </w:rPr>
        <w:t>/d，排水量约</w:t>
      </w:r>
      <w:r>
        <w:rPr>
          <w:rFonts w:hint="eastAsia" w:ascii="Times New Roman" w:hAnsi="Times New Roman"/>
          <w:highlight w:val="none"/>
          <w:lang w:val="en-US" w:eastAsia="zh-CN"/>
        </w:rPr>
        <w:t>0.8</w:t>
      </w:r>
      <w:r>
        <w:rPr>
          <w:rFonts w:ascii="Times New Roman" w:hAnsi="Times New Roman"/>
          <w:highlight w:val="none"/>
        </w:rPr>
        <w:t>m</w:t>
      </w:r>
      <w:r>
        <w:rPr>
          <w:rFonts w:ascii="Times New Roman" w:hAnsi="Times New Roman"/>
          <w:highlight w:val="none"/>
          <w:vertAlign w:val="superscript"/>
        </w:rPr>
        <w:t>3</w:t>
      </w:r>
      <w:r>
        <w:rPr>
          <w:rFonts w:ascii="Times New Roman" w:hAnsi="Times New Roman"/>
          <w:highlight w:val="none"/>
        </w:rPr>
        <w:t>/d（</w:t>
      </w:r>
      <w:r>
        <w:rPr>
          <w:rFonts w:hint="eastAsia" w:ascii="Times New Roman" w:hAnsi="Times New Roman"/>
          <w:highlight w:val="none"/>
          <w:lang w:val="en-US" w:eastAsia="zh-CN"/>
        </w:rPr>
        <w:t>24</w:t>
      </w:r>
      <w:r>
        <w:rPr>
          <w:rFonts w:ascii="Times New Roman" w:hAnsi="Times New Roman"/>
          <w:highlight w:val="none"/>
        </w:rPr>
        <w:t>m</w:t>
      </w:r>
      <w:r>
        <w:rPr>
          <w:rFonts w:ascii="Times New Roman" w:hAnsi="Times New Roman"/>
          <w:highlight w:val="none"/>
          <w:vertAlign w:val="superscript"/>
        </w:rPr>
        <w:t>3</w:t>
      </w:r>
      <w:r>
        <w:rPr>
          <w:rFonts w:ascii="Times New Roman" w:hAnsi="Times New Roman"/>
          <w:highlight w:val="none"/>
        </w:rPr>
        <w:t>/施工期）。施工生活污水中主要污染物为COD、BOD</w:t>
      </w:r>
      <w:r>
        <w:rPr>
          <w:rFonts w:ascii="Times New Roman" w:hAnsi="Times New Roman"/>
          <w:highlight w:val="none"/>
          <w:vertAlign w:val="subscript"/>
        </w:rPr>
        <w:t>5</w:t>
      </w:r>
      <w:r>
        <w:rPr>
          <w:rFonts w:ascii="Times New Roman" w:hAnsi="Times New Roman"/>
          <w:highlight w:val="none"/>
        </w:rPr>
        <w:t>、SS、NH</w:t>
      </w:r>
      <w:r>
        <w:rPr>
          <w:rFonts w:ascii="Times New Roman" w:hAnsi="Times New Roman"/>
          <w:highlight w:val="none"/>
          <w:vertAlign w:val="subscript"/>
        </w:rPr>
        <w:t>3</w:t>
      </w:r>
      <w:r>
        <w:rPr>
          <w:rFonts w:ascii="Times New Roman" w:hAnsi="Times New Roman"/>
          <w:highlight w:val="none"/>
        </w:rPr>
        <w:t>-N，其浓度分别为400mg/L、300mg/L、80mg/L、30mg/L，对应污染物产生量为</w:t>
      </w:r>
      <w:r>
        <w:rPr>
          <w:rFonts w:hint="eastAsia" w:ascii="Times New Roman" w:hAnsi="Times New Roman"/>
          <w:highlight w:val="none"/>
          <w:lang w:val="en-US" w:eastAsia="zh-CN"/>
        </w:rPr>
        <w:t>0.0096</w:t>
      </w:r>
      <w:r>
        <w:rPr>
          <w:rFonts w:ascii="Times New Roman" w:hAnsi="Times New Roman"/>
          <w:highlight w:val="none"/>
        </w:rPr>
        <w:t>t/施工期、</w:t>
      </w:r>
      <w:r>
        <w:rPr>
          <w:rFonts w:hint="eastAsia" w:ascii="Times New Roman" w:hAnsi="Times New Roman"/>
          <w:highlight w:val="none"/>
          <w:lang w:val="en-US" w:eastAsia="zh-CN"/>
        </w:rPr>
        <w:t>0.0072</w:t>
      </w:r>
      <w:r>
        <w:rPr>
          <w:rFonts w:ascii="Times New Roman" w:hAnsi="Times New Roman"/>
          <w:highlight w:val="none"/>
        </w:rPr>
        <w:t>t/施工期、</w:t>
      </w:r>
      <w:r>
        <w:rPr>
          <w:rFonts w:hint="eastAsia" w:ascii="Times New Roman" w:hAnsi="Times New Roman"/>
          <w:highlight w:val="none"/>
          <w:lang w:val="en-US" w:eastAsia="zh-CN"/>
        </w:rPr>
        <w:t>0.0019</w:t>
      </w:r>
      <w:r>
        <w:rPr>
          <w:rFonts w:ascii="Times New Roman" w:hAnsi="Times New Roman"/>
          <w:highlight w:val="none"/>
        </w:rPr>
        <w:t>t/施工期、</w:t>
      </w:r>
      <w:r>
        <w:rPr>
          <w:rFonts w:hint="eastAsia" w:ascii="Times New Roman" w:hAnsi="Times New Roman"/>
          <w:highlight w:val="none"/>
          <w:lang w:val="en-US" w:eastAsia="zh-CN"/>
        </w:rPr>
        <w:t>0.00072</w:t>
      </w:r>
      <w:r>
        <w:rPr>
          <w:rFonts w:ascii="Times New Roman" w:hAnsi="Times New Roman"/>
          <w:highlight w:val="none"/>
        </w:rPr>
        <w:t>t/施工期。</w:t>
      </w:r>
      <w:r>
        <w:rPr>
          <w:rFonts w:ascii="Times New Roman" w:hAnsi="Times New Roman"/>
          <w:highlight w:val="none"/>
        </w:rPr>
        <w:t>施工人员的生活污水排入厂区现有</w:t>
      </w:r>
      <w:r>
        <w:rPr>
          <w:rFonts w:hint="eastAsia" w:ascii="Times New Roman" w:hAnsi="Times New Roman"/>
          <w:highlight w:val="none"/>
        </w:rPr>
        <w:t>排水管网</w:t>
      </w:r>
      <w:r>
        <w:rPr>
          <w:rFonts w:ascii="Times New Roman" w:hAnsi="Times New Roman"/>
          <w:highlight w:val="none"/>
        </w:rPr>
        <w:t>，</w:t>
      </w:r>
      <w:r>
        <w:rPr>
          <w:rFonts w:hint="eastAsia"/>
          <w:highlight w:val="none"/>
          <w:lang w:val="en-US" w:eastAsia="zh-CN"/>
        </w:rPr>
        <w:t>排入市政管网，经污水管网排入绥芬河中环污水处理有限公司（排污许可证 编号：91231081692616585X001Z），处理达到《城镇污水处理厂污染物排放标准》(GB18918—2002)一级B标准后最终汇入小绥芬河。</w:t>
      </w:r>
      <w:r>
        <w:rPr>
          <w:rFonts w:ascii="Times New Roman" w:hAnsi="Times New Roman"/>
          <w:highlight w:val="none"/>
        </w:rPr>
        <w:t>施工场地设置临时沉淀池处理施工废水，经处理后回用于道路降尘洒水。</w:t>
      </w:r>
      <w:r>
        <w:rPr>
          <w:rFonts w:hint="eastAsia" w:ascii="Times New Roman" w:hAnsi="Times New Roman"/>
          <w:highlight w:val="none"/>
          <w:lang w:val="en-US" w:eastAsia="zh-CN"/>
        </w:rPr>
        <w:t>本项目目前以建设完成。</w:t>
      </w:r>
    </w:p>
    <w:p w14:paraId="1902A597">
      <w:pPr>
        <w:pStyle w:val="6"/>
        <w:bidi w:val="0"/>
        <w:ind w:left="0" w:leftChars="0" w:firstLine="0" w:firstLineChars="0"/>
        <w:rPr>
          <w:rFonts w:hint="eastAsia"/>
          <w:highlight w:val="none"/>
          <w:lang w:val="en-US" w:eastAsia="zh-CN"/>
        </w:rPr>
      </w:pPr>
      <w:r>
        <w:rPr>
          <w:rFonts w:hint="eastAsia"/>
          <w:highlight w:val="none"/>
          <w:lang w:val="en-US" w:eastAsia="zh-CN"/>
        </w:rPr>
        <w:t>3.2.2.2废气</w:t>
      </w:r>
    </w:p>
    <w:p w14:paraId="61BBFC4E">
      <w:pPr>
        <w:rPr>
          <w:rFonts w:ascii="Times New Roman" w:hAnsi="Times New Roman"/>
          <w:highlight w:val="none"/>
        </w:rPr>
      </w:pPr>
      <w:r>
        <w:rPr>
          <w:rFonts w:ascii="Times New Roman" w:hAnsi="Times New Roman"/>
          <w:highlight w:val="none"/>
        </w:rPr>
        <w:t>施工废气主要来源于施工场地平整、机械车辆运输过程产生的扬尘，以及施工机械排放的烟气，主要污染物为颗粒物、CO、NOx、烟尘等。施工废气主要呈无组织排放。由于施工期较短，废气污染源具有间歇性和流动性。施工废气影响较小，随施工期结束而终止。</w:t>
      </w:r>
    </w:p>
    <w:p w14:paraId="4DAAB403">
      <w:pPr>
        <w:pStyle w:val="6"/>
        <w:bidi w:val="0"/>
        <w:ind w:left="0" w:leftChars="0" w:firstLine="0" w:firstLineChars="0"/>
        <w:rPr>
          <w:rFonts w:hint="eastAsia"/>
          <w:highlight w:val="none"/>
          <w:lang w:val="en-US" w:eastAsia="zh-CN"/>
        </w:rPr>
      </w:pPr>
      <w:r>
        <w:rPr>
          <w:rFonts w:hint="eastAsia"/>
          <w:highlight w:val="none"/>
          <w:lang w:val="en-US" w:eastAsia="zh-CN"/>
        </w:rPr>
        <w:t>3.2.2.3噪声</w:t>
      </w:r>
    </w:p>
    <w:p w14:paraId="3AD717A7">
      <w:pPr>
        <w:pStyle w:val="7"/>
        <w:ind w:firstLine="480"/>
        <w:rPr>
          <w:rFonts w:ascii="Times New Roman" w:hAnsi="Times New Roman"/>
          <w:highlight w:val="none"/>
        </w:rPr>
      </w:pPr>
      <w:r>
        <w:rPr>
          <w:rFonts w:ascii="Times New Roman" w:hAnsi="Times New Roman"/>
          <w:highlight w:val="none"/>
        </w:rPr>
        <w:t>施工期主要噪声源为安装设备、建筑机械和车辆运输产生噪声，噪声源为80~ 90dB(A)。该些施工机械一般为间歇性工作，持续时间较短，影响具有明显的时限性。施工期结束后，工程噪声的影响也随即终止。</w:t>
      </w:r>
    </w:p>
    <w:p w14:paraId="6F31C956">
      <w:pPr>
        <w:pStyle w:val="6"/>
        <w:bidi w:val="0"/>
        <w:ind w:left="0" w:leftChars="0" w:firstLine="0" w:firstLineChars="0"/>
        <w:rPr>
          <w:rFonts w:hint="eastAsia"/>
          <w:highlight w:val="none"/>
          <w:lang w:val="en-US" w:eastAsia="zh-CN"/>
        </w:rPr>
      </w:pPr>
      <w:r>
        <w:rPr>
          <w:rFonts w:hint="eastAsia"/>
          <w:highlight w:val="none"/>
          <w:lang w:val="en-US" w:eastAsia="zh-CN"/>
        </w:rPr>
        <w:t>3.2.2.4固废</w:t>
      </w:r>
    </w:p>
    <w:p w14:paraId="1B0CC22B">
      <w:pPr>
        <w:rPr>
          <w:rFonts w:hint="eastAsia" w:ascii="Times New Roman" w:hAnsi="Times New Roman"/>
          <w:highlight w:val="none"/>
        </w:rPr>
      </w:pPr>
      <w:r>
        <w:rPr>
          <w:rFonts w:ascii="Times New Roman" w:hAnsi="Times New Roman"/>
          <w:highlight w:val="none"/>
        </w:rPr>
        <w:t>施工期固废主要为施工人员生活垃圾、建筑弃渣。项目场地实现场内土石方平衡，无弃方量。施工人员生活垃圾按0.5kg/人.d算，工人约</w:t>
      </w:r>
      <w:r>
        <w:rPr>
          <w:rFonts w:hint="eastAsia" w:ascii="Times New Roman" w:hAnsi="Times New Roman"/>
          <w:highlight w:val="none"/>
          <w:lang w:val="en-US" w:eastAsia="zh-CN"/>
        </w:rPr>
        <w:t>2</w:t>
      </w:r>
      <w:r>
        <w:rPr>
          <w:rFonts w:ascii="Times New Roman" w:hAnsi="Times New Roman"/>
          <w:highlight w:val="none"/>
        </w:rPr>
        <w:t>0人，则施工人员生活垃圾产生量</w:t>
      </w:r>
      <w:r>
        <w:rPr>
          <w:rFonts w:hint="eastAsia" w:ascii="Times New Roman" w:hAnsi="Times New Roman"/>
          <w:highlight w:val="none"/>
          <w:lang w:val="en-US" w:eastAsia="zh-CN"/>
        </w:rPr>
        <w:t>10</w:t>
      </w:r>
      <w:r>
        <w:rPr>
          <w:rFonts w:ascii="Times New Roman" w:hAnsi="Times New Roman"/>
          <w:highlight w:val="none"/>
        </w:rPr>
        <w:t>kg/d（总计</w:t>
      </w:r>
      <w:r>
        <w:rPr>
          <w:rFonts w:hint="eastAsia" w:ascii="Times New Roman" w:hAnsi="Times New Roman"/>
          <w:highlight w:val="none"/>
        </w:rPr>
        <w:t>2</w:t>
      </w:r>
      <w:r>
        <w:rPr>
          <w:rFonts w:hint="eastAsia" w:ascii="Times New Roman" w:hAnsi="Times New Roman"/>
          <w:highlight w:val="none"/>
          <w:lang w:val="en-US" w:eastAsia="zh-CN"/>
        </w:rPr>
        <w:t>0.3</w:t>
      </w:r>
      <w:r>
        <w:rPr>
          <w:rFonts w:ascii="Times New Roman" w:hAnsi="Times New Roman"/>
          <w:highlight w:val="none"/>
        </w:rPr>
        <w:t>t，施工期按</w:t>
      </w:r>
      <w:r>
        <w:rPr>
          <w:rFonts w:hint="eastAsia" w:ascii="Times New Roman" w:hAnsi="Times New Roman"/>
          <w:highlight w:val="none"/>
          <w:lang w:val="en-US" w:eastAsia="zh-CN"/>
        </w:rPr>
        <w:t>30</w:t>
      </w:r>
      <w:r>
        <w:rPr>
          <w:rFonts w:ascii="Times New Roman" w:hAnsi="Times New Roman"/>
          <w:highlight w:val="none"/>
        </w:rPr>
        <w:t>d计算）。施工人员生</w:t>
      </w:r>
      <w:r>
        <w:rPr>
          <w:rFonts w:ascii="Times New Roman" w:hAnsi="Times New Roman"/>
          <w:highlight w:val="none"/>
        </w:rPr>
        <w:t>活垃圾依托厂区内生活垃圾暂存点收集后由市政环卫部门外运处置。</w:t>
      </w:r>
      <w:r>
        <w:rPr>
          <w:rFonts w:hint="eastAsia" w:ascii="Times New Roman" w:hAnsi="Times New Roman"/>
          <w:highlight w:val="none"/>
        </w:rPr>
        <w:t>施工产生的弃土和建筑垃圾应及时清运，并按照市政部门批准的地点倾倒。</w:t>
      </w:r>
    </w:p>
    <w:p w14:paraId="466E0896">
      <w:pPr>
        <w:pStyle w:val="6"/>
        <w:bidi w:val="0"/>
        <w:ind w:left="0" w:leftChars="0" w:firstLine="0" w:firstLineChars="0"/>
        <w:rPr>
          <w:rFonts w:hint="eastAsia"/>
          <w:highlight w:val="none"/>
          <w:lang w:val="en-US" w:eastAsia="zh-CN"/>
        </w:rPr>
      </w:pPr>
      <w:r>
        <w:rPr>
          <w:rFonts w:hint="eastAsia"/>
          <w:highlight w:val="none"/>
          <w:lang w:val="en-US" w:eastAsia="zh-CN"/>
        </w:rPr>
        <w:t>3.2.2.5生态影响分析</w:t>
      </w:r>
    </w:p>
    <w:p w14:paraId="068D3ADD">
      <w:pPr>
        <w:rPr>
          <w:rFonts w:hint="eastAsia" w:ascii="Times New Roman" w:hAnsi="Times New Roman" w:eastAsia="宋体" w:cs="Times New Roman"/>
          <w:highlight w:val="none"/>
          <w:lang w:val="en-US" w:eastAsia="zh-CN"/>
        </w:rPr>
      </w:pPr>
      <w:r>
        <w:rPr>
          <w:rFonts w:hint="default" w:ascii="Times New Roman" w:hAnsi="Times New Roman" w:eastAsia="宋体" w:cs="Times New Roman"/>
          <w:highlight w:val="none"/>
        </w:rPr>
        <w:t>本项目总占地面积为</w:t>
      </w:r>
      <w:r>
        <w:rPr>
          <w:rFonts w:hint="default" w:ascii="Times New Roman" w:hAnsi="Times New Roman" w:eastAsia="宋体" w:cs="Times New Roman"/>
          <w:highlight w:val="none"/>
          <w:lang w:val="en-US" w:eastAsia="zh-CN"/>
        </w:rPr>
        <w:t>1.3万平方米</w:t>
      </w:r>
      <w:r>
        <w:rPr>
          <w:rFonts w:hint="eastAsia" w:ascii="Times New Roman" w:hAnsi="Times New Roman" w:eastAsia="宋体" w:cs="Times New Roman"/>
          <w:highlight w:val="none"/>
          <w:lang w:val="en-US" w:eastAsia="zh-CN"/>
        </w:rPr>
        <w:t>，用地性质为公用设施用地，目前该地块为政府划拨的净地，地块内无植被及耕地，无珍惜野生动植物，本项目</w:t>
      </w:r>
      <w:r>
        <w:rPr>
          <w:rFonts w:hint="eastAsia" w:ascii="Times New Roman" w:hAnsi="Times New Roman" w:cs="Times New Roman"/>
          <w:highlight w:val="none"/>
          <w:lang w:val="en-US" w:eastAsia="zh-CN"/>
        </w:rPr>
        <w:t>目前已完成建设施工</w:t>
      </w:r>
      <w:r>
        <w:rPr>
          <w:rFonts w:hint="eastAsia" w:ascii="Times New Roman" w:hAnsi="Times New Roman" w:eastAsia="宋体" w:cs="Times New Roman"/>
          <w:highlight w:val="none"/>
          <w:lang w:val="en-US" w:eastAsia="zh-CN"/>
        </w:rPr>
        <w:t>，因此对生态影响较小。</w:t>
      </w:r>
    </w:p>
    <w:p w14:paraId="5DD5ED8B">
      <w:pPr>
        <w:pStyle w:val="5"/>
        <w:bidi w:val="0"/>
        <w:ind w:left="0" w:leftChars="0" w:firstLine="0" w:firstLineChars="0"/>
        <w:rPr>
          <w:rFonts w:hint="eastAsia"/>
          <w:highlight w:val="none"/>
          <w:lang w:val="en-US" w:eastAsia="zh-CN"/>
        </w:rPr>
      </w:pPr>
      <w:bookmarkStart w:id="74" w:name="_Toc12389"/>
      <w:r>
        <w:rPr>
          <w:rFonts w:hint="eastAsia"/>
          <w:highlight w:val="none"/>
          <w:lang w:val="en-US" w:eastAsia="zh-CN"/>
        </w:rPr>
        <w:t>3.2.3运营期污染环节及污染因素影响</w:t>
      </w:r>
      <w:bookmarkEnd w:id="74"/>
    </w:p>
    <w:p w14:paraId="656DC038">
      <w:pPr>
        <w:pStyle w:val="6"/>
        <w:bidi w:val="0"/>
        <w:ind w:left="0" w:leftChars="0" w:firstLine="0" w:firstLineChars="0"/>
        <w:rPr>
          <w:rFonts w:hint="eastAsia"/>
          <w:highlight w:val="none"/>
          <w:lang w:val="en-US" w:eastAsia="zh-CN"/>
        </w:rPr>
      </w:pPr>
      <w:r>
        <w:rPr>
          <w:rFonts w:hint="eastAsia"/>
          <w:highlight w:val="none"/>
          <w:lang w:val="en-US" w:eastAsia="zh-CN"/>
        </w:rPr>
        <w:t>3.2.3.1生产工艺流程</w:t>
      </w:r>
    </w:p>
    <w:p w14:paraId="3BD57BEF">
      <w:pPr>
        <w:rPr>
          <w:rFonts w:ascii="Times New Roman" w:hAnsi="Times New Roman"/>
          <w:highlight w:val="none"/>
        </w:rPr>
      </w:pPr>
      <w:r>
        <w:rPr>
          <w:rFonts w:ascii="Times New Roman" w:hAnsi="Times New Roman"/>
          <w:highlight w:val="none"/>
        </w:rPr>
        <w:t>锅炉房运行的主要生产工艺流程是将原煤送入锅炉中燃烧，转换为热能，把水加热直接用于供热。锅炉产生的烟气经除尘器除尘系统净化后，采用高烟囱排放；除尘器除下来的灰和炉底渣经除灰渣系统直接送入综合利用厂家；生产过程中产生的废水分别采取相应的措施处理。锅炉烟气采用低氮燃烧技术+SNCR-SCR脱硝+布袋除尘器+石灰石/石膏法脱硫烟气净化系统，净化后由一座</w:t>
      </w:r>
      <w:r>
        <w:rPr>
          <w:rFonts w:hint="eastAsia" w:ascii="Times New Roman" w:hAnsi="Times New Roman"/>
          <w:highlight w:val="none"/>
          <w:lang w:val="en-US" w:eastAsia="zh-CN"/>
        </w:rPr>
        <w:t>60</w:t>
      </w:r>
      <w:r>
        <w:rPr>
          <w:rFonts w:ascii="Times New Roman" w:hAnsi="Times New Roman"/>
          <w:highlight w:val="none"/>
        </w:rPr>
        <w:t>m高烟囱排放。</w:t>
      </w:r>
    </w:p>
    <w:p w14:paraId="58C7C5CE">
      <w:pPr>
        <w:bidi w:val="0"/>
        <w:ind w:left="0" w:leftChars="0" w:firstLine="0" w:firstLineChars="0"/>
        <w:rPr>
          <w:rFonts w:hint="default"/>
          <w:highlight w:val="none"/>
          <w:lang w:val="en-US" w:eastAsia="zh-CN"/>
        </w:rPr>
      </w:pPr>
      <w:r>
        <w:rPr>
          <w:highlight w:val="none"/>
        </w:rPr>
        <mc:AlternateContent>
          <mc:Choice Requires="wps">
            <w:drawing>
              <wp:anchor distT="0" distB="0" distL="114300" distR="114300" simplePos="0" relativeHeight="251687936" behindDoc="0" locked="0" layoutInCell="1" allowOverlap="1">
                <wp:simplePos x="0" y="0"/>
                <wp:positionH relativeFrom="column">
                  <wp:posOffset>3486785</wp:posOffset>
                </wp:positionH>
                <wp:positionV relativeFrom="paragraph">
                  <wp:posOffset>107315</wp:posOffset>
                </wp:positionV>
                <wp:extent cx="1769745" cy="1419860"/>
                <wp:effectExtent l="12700" t="12700" r="27305" b="15240"/>
                <wp:wrapNone/>
                <wp:docPr id="306" name="圆角矩形 306"/>
                <wp:cNvGraphicFramePr/>
                <a:graphic xmlns:a="http://schemas.openxmlformats.org/drawingml/2006/main">
                  <a:graphicData uri="http://schemas.microsoft.com/office/word/2010/wordprocessingShape">
                    <wps:wsp>
                      <wps:cNvSpPr/>
                      <wps:spPr>
                        <a:xfrm>
                          <a:off x="0" y="0"/>
                          <a:ext cx="1769847" cy="1419860"/>
                        </a:xfrm>
                        <a:prstGeom prst="roundRect">
                          <a:avLst>
                            <a:gd name="adj" fmla="val 6589"/>
                          </a:avLst>
                        </a:prstGeom>
                        <a:solidFill>
                          <a:srgbClr val="FFFFFF"/>
                        </a:solidFill>
                        <a:ln w="25400" cap="flat" cmpd="sng" algn="ctr">
                          <a:solidFill>
                            <a:srgbClr val="FFFFFF"/>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74.55pt;margin-top:8.45pt;height:111.8pt;width:139.35pt;z-index:251687936;v-text-anchor:middle;mso-width-relative:page;mso-height-relative:page;" fillcolor="#FFFFFF" filled="t" stroked="t" coordsize="21600,21600" arcsize="0.0658796296296296" o:gfxdata="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DYBI1DZ&#10;AAAACgEAAA8AAAAAAAAAAQAgAAAAIgAAAGRycy9kb3ducmV2LnhtbFBLAQIUABQAAAAIAIdO4kC7&#10;m5KIkQIAACYFAAAOAAAAAAAAAAEAIAAAACgBAABkcnMvZTJvRG9jLnhtbFBLBQYAAAAABgAGAFkB&#10;AAArBgAAAAA=&#10;">
                <v:fill on="t" focussize="0,0"/>
                <v:stroke weight="2pt" color="#FFFFFF" joinstyle="round"/>
                <v:imagedata o:title=""/>
                <o:lock v:ext="edit" aspectratio="f"/>
              </v:roundrect>
            </w:pict>
          </mc:Fallback>
        </mc:AlternateContent>
      </w:r>
      <w:r>
        <w:rPr>
          <w:highlight w:val="none"/>
        </w:rPr>
        <w:drawing>
          <wp:inline distT="0" distB="0" distL="114300" distR="114300">
            <wp:extent cx="5274310" cy="3357880"/>
            <wp:effectExtent l="0" t="0" r="2540" b="13970"/>
            <wp:docPr id="96" name="图片 3" descr="16508846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 descr="1650884635(1)"/>
                    <pic:cNvPicPr>
                      <a:picLocks noChangeAspect="1"/>
                    </pic:cNvPicPr>
                  </pic:nvPicPr>
                  <pic:blipFill>
                    <a:blip r:embed="rId20"/>
                    <a:stretch>
                      <a:fillRect/>
                    </a:stretch>
                  </pic:blipFill>
                  <pic:spPr>
                    <a:xfrm>
                      <a:off x="0" y="0"/>
                      <a:ext cx="5274310" cy="3357880"/>
                    </a:xfrm>
                    <a:prstGeom prst="rect">
                      <a:avLst/>
                    </a:prstGeom>
                    <a:noFill/>
                    <a:ln>
                      <a:noFill/>
                    </a:ln>
                  </pic:spPr>
                </pic:pic>
              </a:graphicData>
            </a:graphic>
          </wp:inline>
        </w:drawing>
      </w:r>
      <w:r>
        <w:rPr>
          <w:highlight w:val="none"/>
        </w:rPr>
        <mc:AlternateContent>
          <mc:Choice Requires="wps">
            <w:drawing>
              <wp:anchor distT="0" distB="0" distL="114300" distR="114300" simplePos="0" relativeHeight="251689984" behindDoc="0" locked="0" layoutInCell="1" allowOverlap="1">
                <wp:simplePos x="0" y="0"/>
                <wp:positionH relativeFrom="column">
                  <wp:posOffset>24130</wp:posOffset>
                </wp:positionH>
                <wp:positionV relativeFrom="paragraph">
                  <wp:posOffset>930275</wp:posOffset>
                </wp:positionV>
                <wp:extent cx="1280160" cy="502920"/>
                <wp:effectExtent l="0" t="0" r="15240" b="11430"/>
                <wp:wrapNone/>
                <wp:docPr id="99" name="文本框 99"/>
                <wp:cNvGraphicFramePr/>
                <a:graphic xmlns:a="http://schemas.openxmlformats.org/drawingml/2006/main">
                  <a:graphicData uri="http://schemas.microsoft.com/office/word/2010/wordprocessingShape">
                    <wps:wsp>
                      <wps:cNvSpPr txBox="1"/>
                      <wps:spPr>
                        <a:xfrm>
                          <a:off x="0" y="0"/>
                          <a:ext cx="1280160" cy="502920"/>
                        </a:xfrm>
                        <a:prstGeom prst="rect">
                          <a:avLst/>
                        </a:prstGeom>
                        <a:solidFill>
                          <a:srgbClr val="FFFFFF"/>
                        </a:solidFill>
                        <a:ln>
                          <a:noFill/>
                        </a:ln>
                      </wps:spPr>
                      <wps:txbx>
                        <w:txbxContent>
                          <w:p w14:paraId="6A7F32D7">
                            <w:pPr>
                              <w:spacing w:line="240" w:lineRule="auto"/>
                              <w:ind w:firstLine="0" w:firstLineChars="0"/>
                              <w:rPr>
                                <w:sz w:val="16"/>
                              </w:rPr>
                            </w:pPr>
                            <w:r>
                              <w:rPr>
                                <w:rFonts w:hint="eastAsia"/>
                                <w:sz w:val="16"/>
                              </w:rPr>
                              <w:t>烟尘、二氧化硫、氮氧化物、林格曼黑度、汞</w:t>
                            </w:r>
                          </w:p>
                        </w:txbxContent>
                      </wps:txbx>
                      <wps:bodyPr upright="1"/>
                    </wps:wsp>
                  </a:graphicData>
                </a:graphic>
              </wp:anchor>
            </w:drawing>
          </mc:Choice>
          <mc:Fallback>
            <w:pict>
              <v:shape id="_x0000_s1026" o:spid="_x0000_s1026" o:spt="202" type="#_x0000_t202" style="position:absolute;left:0pt;margin-left:1.9pt;margin-top:73.25pt;height:39.6pt;width:100.8pt;z-index:251689984;mso-width-relative:page;mso-height-relative:page;" fillcolor="#FFFFFF" filled="t" stroked="f" coordsize="21600,21600" o:gfxdata="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8gflu1wAAAAkBAAAPAAAAAAAAAAEAIAAAACIAAABkcnMvZG93bnJldi54&#10;bWxQSwECFAAUAAAACACHTuJAxD+ugcIBAAB5AwAADgAAAAAAAAABACAAAAAmAQAAZHJzL2Uyb0Rv&#10;Yy54bWxQSwUGAAAAAAYABgBZAQAAWgUAAAAA&#10;">
                <v:fill on="t" focussize="0,0"/>
                <v:stroke on="f"/>
                <v:imagedata o:title=""/>
                <o:lock v:ext="edit" aspectratio="f"/>
                <v:textbox>
                  <w:txbxContent>
                    <w:p w14:paraId="6A7F32D7">
                      <w:pPr>
                        <w:spacing w:line="240" w:lineRule="auto"/>
                        <w:ind w:firstLine="0" w:firstLineChars="0"/>
                        <w:rPr>
                          <w:sz w:val="16"/>
                        </w:rPr>
                      </w:pPr>
                      <w:r>
                        <w:rPr>
                          <w:rFonts w:hint="eastAsia"/>
                          <w:sz w:val="16"/>
                        </w:rPr>
                        <w:t>烟尘、二氧化硫、氮氧化物、林格曼黑度、汞</w:t>
                      </w:r>
                    </w:p>
                  </w:txbxContent>
                </v:textbox>
              </v:shape>
            </w:pict>
          </mc:Fallback>
        </mc:AlternateContent>
      </w:r>
      <w:r>
        <w:rPr>
          <w:highlight w:val="none"/>
        </w:rPr>
        <mc:AlternateContent>
          <mc:Choice Requires="wps">
            <w:drawing>
              <wp:anchor distT="0" distB="0" distL="114300" distR="114300" simplePos="0" relativeHeight="251688960" behindDoc="0" locked="0" layoutInCell="1" allowOverlap="1">
                <wp:simplePos x="0" y="0"/>
                <wp:positionH relativeFrom="column">
                  <wp:posOffset>4535805</wp:posOffset>
                </wp:positionH>
                <wp:positionV relativeFrom="paragraph">
                  <wp:posOffset>2014220</wp:posOffset>
                </wp:positionV>
                <wp:extent cx="695325" cy="1762760"/>
                <wp:effectExtent l="4445" t="4445" r="5080" b="23495"/>
                <wp:wrapNone/>
                <wp:docPr id="98" name="文本框 98"/>
                <wp:cNvGraphicFramePr/>
                <a:graphic xmlns:a="http://schemas.openxmlformats.org/drawingml/2006/main">
                  <a:graphicData uri="http://schemas.microsoft.com/office/word/2010/wordprocessingShape">
                    <wps:wsp>
                      <wps:cNvSpPr txBox="1"/>
                      <wps:spPr>
                        <a:xfrm>
                          <a:off x="0" y="0"/>
                          <a:ext cx="695325" cy="1762760"/>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27496886">
                            <w:pPr>
                              <w:ind w:firstLine="0" w:firstLineChars="0"/>
                              <w:rPr>
                                <w:sz w:val="18"/>
                              </w:rPr>
                            </w:pPr>
                            <w:r>
                              <w:rPr>
                                <w:rFonts w:hint="eastAsia"/>
                                <w:sz w:val="18"/>
                              </w:rPr>
                              <w:t>新鲜水</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_x0000_s1026" o:spid="_x0000_s1026" o:spt="202" type="#_x0000_t202" style="position:absolute;left:0pt;margin-left:357.15pt;margin-top:158.6pt;height:138.8pt;width:54.75pt;z-index:251688960;mso-width-relative:page;mso-height-relative:margin;mso-height-percent:200;" fillcolor="#FFFFFF" filled="t" stroked="t" coordsize="21600,21600" o:gfxdata="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qXcYZ3QAAAAsBAAAP&#10;AAAAAAAAAAEAIAAAACIAAABkcnMvZG93bnJldi54bWxQSwECFAAUAAAACACHTuJALczonBMCAABS&#10;BAAADgAAAAAAAAABACAAAAAsAQAAZHJzL2Uyb0RvYy54bWxQSwUGAAAAAAYABgBZAQAAsQUAAAAA&#10;">
                <v:fill on="t" focussize="0,0"/>
                <v:stroke color="#FFFFFF" joinstyle="miter"/>
                <v:imagedata o:title=""/>
                <o:lock v:ext="edit" aspectratio="f"/>
                <v:textbox style="mso-fit-shape-to-text:t;">
                  <w:txbxContent>
                    <w:p w14:paraId="27496886">
                      <w:pPr>
                        <w:ind w:firstLine="0" w:firstLineChars="0"/>
                        <w:rPr>
                          <w:sz w:val="18"/>
                        </w:rPr>
                      </w:pPr>
                      <w:r>
                        <w:rPr>
                          <w:rFonts w:hint="eastAsia"/>
                          <w:sz w:val="18"/>
                        </w:rPr>
                        <w:t>新鲜水</w:t>
                      </w:r>
                    </w:p>
                  </w:txbxContent>
                </v:textbox>
              </v:shape>
            </w:pict>
          </mc:Fallback>
        </mc:AlternateContent>
      </w:r>
      <w:r>
        <w:rPr>
          <w:highlight w:val="none"/>
        </w:rPr>
        <mc:AlternateContent>
          <mc:Choice Requires="wps">
            <w:drawing>
              <wp:anchor distT="0" distB="0" distL="114300" distR="114300" simplePos="0" relativeHeight="251686912" behindDoc="0" locked="0" layoutInCell="1" allowOverlap="1">
                <wp:simplePos x="0" y="0"/>
                <wp:positionH relativeFrom="column">
                  <wp:posOffset>4048760</wp:posOffset>
                </wp:positionH>
                <wp:positionV relativeFrom="paragraph">
                  <wp:posOffset>1451610</wp:posOffset>
                </wp:positionV>
                <wp:extent cx="990600" cy="375285"/>
                <wp:effectExtent l="4445" t="4445" r="14605" b="20320"/>
                <wp:wrapNone/>
                <wp:docPr id="97" name="文本框 97"/>
                <wp:cNvGraphicFramePr/>
                <a:graphic xmlns:a="http://schemas.openxmlformats.org/drawingml/2006/main">
                  <a:graphicData uri="http://schemas.microsoft.com/office/word/2010/wordprocessingShape">
                    <wps:wsp>
                      <wps:cNvSpPr txBox="1"/>
                      <wps:spPr>
                        <a:xfrm>
                          <a:off x="0" y="0"/>
                          <a:ext cx="990600" cy="375285"/>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3E414F8C">
                            <w:pPr>
                              <w:ind w:firstLine="0" w:firstLineChars="0"/>
                              <w:rPr>
                                <w:sz w:val="18"/>
                              </w:rPr>
                            </w:pPr>
                            <w:r>
                              <w:rPr>
                                <w:rFonts w:hint="eastAsia"/>
                                <w:sz w:val="18"/>
                              </w:rPr>
                              <w:t>W1锅炉排污水</w:t>
                            </w:r>
                          </w:p>
                          <w:p w14:paraId="0D242637">
                            <w:pPr>
                              <w:ind w:firstLine="480"/>
                            </w:pPr>
                          </w:p>
                        </w:txbxContent>
                      </wps:txbx>
                      <wps:bodyPr upright="1"/>
                    </wps:wsp>
                  </a:graphicData>
                </a:graphic>
              </wp:anchor>
            </w:drawing>
          </mc:Choice>
          <mc:Fallback>
            <w:pict>
              <v:shape id="_x0000_s1026" o:spid="_x0000_s1026" o:spt="202" type="#_x0000_t202" style="position:absolute;left:0pt;margin-left:318.8pt;margin-top:114.3pt;height:29.55pt;width:78pt;z-index:251686912;mso-width-relative:page;mso-height-relative:page;" fillcolor="#FFFFFF" filled="t" stroked="t" coordsize="21600,21600" o:gfxdata="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yB8YrZAAAACwEAAA8AAAAAAAAAAQAgAAAAIgAA&#10;AGRycy9kb3ducmV2LnhtbFBLAQIUABQAAAAIAIdO4kAKLu/FBwIAADcEAAAOAAAAAAAAAAEAIAAA&#10;ACgBAABkcnMvZTJvRG9jLnhtbFBLBQYAAAAABgAGAFkBAAChBQAAAAA=&#10;">
                <v:fill on="t" focussize="0,0"/>
                <v:stroke color="#FFFFFF" joinstyle="miter"/>
                <v:imagedata o:title=""/>
                <o:lock v:ext="edit" aspectratio="f"/>
                <v:textbox>
                  <w:txbxContent>
                    <w:p w14:paraId="3E414F8C">
                      <w:pPr>
                        <w:ind w:firstLine="0" w:firstLineChars="0"/>
                        <w:rPr>
                          <w:sz w:val="18"/>
                        </w:rPr>
                      </w:pPr>
                      <w:r>
                        <w:rPr>
                          <w:rFonts w:hint="eastAsia"/>
                          <w:sz w:val="18"/>
                        </w:rPr>
                        <w:t>W1锅炉排污水</w:t>
                      </w:r>
                    </w:p>
                    <w:p w14:paraId="0D242637">
                      <w:pPr>
                        <w:ind w:firstLine="480"/>
                      </w:pPr>
                    </w:p>
                  </w:txbxContent>
                </v:textbox>
              </v:shape>
            </w:pict>
          </mc:Fallback>
        </mc:AlternateContent>
      </w:r>
    </w:p>
    <w:p w14:paraId="5306CCAB">
      <w:pPr>
        <w:pStyle w:val="23"/>
        <w:jc w:val="center"/>
        <w:rPr>
          <w:rFonts w:ascii="Times New Roman" w:hAnsi="Times New Roman"/>
          <w:highlight w:val="none"/>
        </w:rPr>
      </w:pPr>
      <w:r>
        <w:rPr>
          <w:rFonts w:ascii="Times New Roman" w:hAnsi="Times New Roman"/>
          <w:b/>
          <w:bCs/>
          <w:highlight w:val="none"/>
        </w:rPr>
        <w:t>图3.2-2燃煤锅炉生产工艺过程及主要污染环节示意见图</w:t>
      </w:r>
    </w:p>
    <w:p w14:paraId="621423C3">
      <w:pPr>
        <w:pStyle w:val="6"/>
        <w:bidi w:val="0"/>
        <w:ind w:left="0" w:leftChars="0" w:firstLine="0" w:firstLineChars="0"/>
        <w:rPr>
          <w:rFonts w:hint="default"/>
          <w:highlight w:val="none"/>
          <w:lang w:val="en-US" w:eastAsia="zh-CN"/>
        </w:rPr>
      </w:pPr>
      <w:r>
        <w:rPr>
          <w:rFonts w:hint="eastAsia"/>
          <w:highlight w:val="none"/>
          <w:lang w:val="en-US" w:eastAsia="zh-CN"/>
        </w:rPr>
        <w:t>3.2.3.2工艺和排污分析过程</w:t>
      </w:r>
    </w:p>
    <w:p w14:paraId="0C4FE807">
      <w:pPr>
        <w:ind w:firstLine="480"/>
        <w:rPr>
          <w:rFonts w:ascii="Times New Roman" w:hAnsi="Times New Roman"/>
          <w:highlight w:val="none"/>
        </w:rPr>
      </w:pPr>
      <w:r>
        <w:rPr>
          <w:rFonts w:ascii="Times New Roman" w:hAnsi="Times New Roman"/>
          <w:highlight w:val="none"/>
        </w:rPr>
        <w:t>根据对本工程生产工艺过程的分析，可以看出本项目运行时可能产生污染物的生产环节如下：</w:t>
      </w:r>
    </w:p>
    <w:p w14:paraId="2F25B748">
      <w:pPr>
        <w:rPr>
          <w:rFonts w:hint="default"/>
          <w:highlight w:val="none"/>
          <w:lang w:val="en-US" w:eastAsia="zh-CN"/>
        </w:rPr>
      </w:pPr>
      <w:r>
        <w:rPr>
          <w:rFonts w:ascii="Times New Roman" w:hAnsi="Times New Roman"/>
          <w:highlight w:val="none"/>
        </w:rPr>
        <w:t>燃煤锅炉正常运行时的燃烧过程主要包括燃煤的破碎，燃煤在锅炉内的燃烧，以及燃烧后产生的烟气经脱硝、除尘、脱硫系统后进入烟囱排入环境空气。在该过程中，可能产生锅炉烟气污染物、生产废水及灰渣，一些机械转动设备，如碎煤机、风机等可能产生噪声。</w:t>
      </w:r>
    </w:p>
    <w:p w14:paraId="69B149B0">
      <w:pPr>
        <w:pStyle w:val="6"/>
        <w:bidi w:val="0"/>
        <w:ind w:left="0" w:leftChars="0" w:firstLine="0" w:firstLineChars="0"/>
        <w:rPr>
          <w:rFonts w:hint="eastAsia"/>
          <w:highlight w:val="none"/>
          <w:lang w:val="en-US" w:eastAsia="zh-CN"/>
        </w:rPr>
      </w:pPr>
      <w:r>
        <w:rPr>
          <w:rFonts w:hint="eastAsia"/>
          <w:highlight w:val="none"/>
          <w:lang w:val="en-US" w:eastAsia="zh-CN"/>
        </w:rPr>
        <w:t>3.2.3.3污染因素分析</w:t>
      </w:r>
    </w:p>
    <w:p w14:paraId="54AEEB2D">
      <w:pPr>
        <w:ind w:firstLine="480"/>
        <w:rPr>
          <w:rFonts w:ascii="Times New Roman" w:hAnsi="Times New Roman"/>
          <w:highlight w:val="none"/>
        </w:rPr>
      </w:pPr>
      <w:r>
        <w:rPr>
          <w:rFonts w:ascii="Times New Roman" w:hAnsi="Times New Roman"/>
          <w:highlight w:val="none"/>
        </w:rPr>
        <w:t>正常运行过程中，将产生各种废气，废水、灰渣及噪声。</w:t>
      </w:r>
    </w:p>
    <w:p w14:paraId="01C2C2D5">
      <w:pPr>
        <w:ind w:firstLine="480"/>
        <w:rPr>
          <w:rFonts w:ascii="Times New Roman" w:hAnsi="Times New Roman"/>
          <w:highlight w:val="none"/>
        </w:rPr>
      </w:pPr>
      <w:r>
        <w:rPr>
          <w:rFonts w:ascii="Times New Roman" w:hAnsi="Times New Roman"/>
          <w:highlight w:val="none"/>
        </w:rPr>
        <w:t>（1）废气污染物</w:t>
      </w:r>
    </w:p>
    <w:p w14:paraId="53EBB957">
      <w:pPr>
        <w:ind w:firstLine="480"/>
        <w:rPr>
          <w:rFonts w:ascii="Times New Roman" w:hAnsi="Times New Roman"/>
          <w:highlight w:val="none"/>
        </w:rPr>
      </w:pPr>
      <w:r>
        <w:rPr>
          <w:rFonts w:ascii="Times New Roman" w:hAnsi="Times New Roman"/>
          <w:highlight w:val="none"/>
        </w:rPr>
        <w:t>废气污染物主要存在于锅炉燃烧产生的烟气中</w:t>
      </w:r>
      <w:r>
        <w:rPr>
          <w:rFonts w:hint="eastAsia" w:ascii="Times New Roman" w:hAnsi="Times New Roman"/>
          <w:highlight w:val="none"/>
        </w:rPr>
        <w:t>，</w:t>
      </w:r>
      <w:r>
        <w:rPr>
          <w:rFonts w:ascii="Times New Roman" w:hAnsi="Times New Roman"/>
          <w:highlight w:val="none"/>
        </w:rPr>
        <w:t>主要污染物为烟尘、SO</w:t>
      </w:r>
      <w:r>
        <w:rPr>
          <w:rFonts w:ascii="Times New Roman" w:hAnsi="Times New Roman"/>
          <w:highlight w:val="none"/>
          <w:vertAlign w:val="subscript"/>
        </w:rPr>
        <w:t>2</w:t>
      </w:r>
      <w:r>
        <w:rPr>
          <w:rFonts w:ascii="Times New Roman" w:hAnsi="Times New Roman"/>
          <w:highlight w:val="none"/>
        </w:rPr>
        <w:t>、NO</w:t>
      </w:r>
      <w:r>
        <w:rPr>
          <w:rFonts w:ascii="Times New Roman" w:hAnsi="Times New Roman"/>
          <w:highlight w:val="none"/>
          <w:vertAlign w:val="subscript"/>
        </w:rPr>
        <w:t>X</w:t>
      </w:r>
      <w:r>
        <w:rPr>
          <w:rFonts w:ascii="Times New Roman" w:hAnsi="Times New Roman"/>
          <w:highlight w:val="none"/>
        </w:rPr>
        <w:t>、汞及其化合物，逃逸的氨，贮存、装卸、运输粉尘。</w:t>
      </w:r>
    </w:p>
    <w:p w14:paraId="42DD4B75">
      <w:pPr>
        <w:ind w:firstLine="480"/>
        <w:rPr>
          <w:rFonts w:ascii="Times New Roman" w:hAnsi="Times New Roman"/>
          <w:highlight w:val="none"/>
        </w:rPr>
      </w:pPr>
      <w:r>
        <w:rPr>
          <w:rFonts w:ascii="Times New Roman" w:hAnsi="Times New Roman"/>
          <w:highlight w:val="none"/>
        </w:rPr>
        <w:t>（2）废水污染物</w:t>
      </w:r>
    </w:p>
    <w:p w14:paraId="3E914BC7">
      <w:pPr>
        <w:ind w:firstLine="480"/>
        <w:rPr>
          <w:rFonts w:ascii="Times New Roman" w:hAnsi="Times New Roman"/>
          <w:highlight w:val="none"/>
        </w:rPr>
      </w:pPr>
      <w:r>
        <w:rPr>
          <w:rFonts w:ascii="Times New Roman" w:hAnsi="Times New Roman"/>
          <w:highlight w:val="none"/>
        </w:rPr>
        <w:t>本项目产生的生产废水为脱硫废水、锅炉排污水。</w:t>
      </w:r>
    </w:p>
    <w:p w14:paraId="51D9FC7C">
      <w:pPr>
        <w:ind w:firstLine="480"/>
        <w:rPr>
          <w:rFonts w:ascii="Times New Roman" w:hAnsi="Times New Roman"/>
          <w:highlight w:val="none"/>
        </w:rPr>
      </w:pPr>
      <w:r>
        <w:rPr>
          <w:rFonts w:hint="eastAsia" w:ascii="Times New Roman" w:hAnsi="Times New Roman"/>
          <w:highlight w:val="none"/>
        </w:rPr>
        <w:t>脱硫废水的主要污染因子为pH值、悬浮物、化学需氧量、氟化物、硫化物、总砷、总铅、总汞、总镉；</w:t>
      </w:r>
      <w:r>
        <w:rPr>
          <w:rFonts w:ascii="Times New Roman" w:hAnsi="Times New Roman"/>
          <w:highlight w:val="none"/>
        </w:rPr>
        <w:t>锅炉排污水的主要污染因子为少量盐类、SS、COD。</w:t>
      </w:r>
    </w:p>
    <w:p w14:paraId="07BE2B48">
      <w:pPr>
        <w:ind w:firstLine="480"/>
        <w:rPr>
          <w:rFonts w:ascii="Times New Roman" w:hAnsi="Times New Roman"/>
          <w:highlight w:val="none"/>
        </w:rPr>
      </w:pPr>
      <w:r>
        <w:rPr>
          <w:rFonts w:ascii="Times New Roman" w:hAnsi="Times New Roman"/>
          <w:highlight w:val="none"/>
        </w:rPr>
        <w:t>（3）固体废物</w:t>
      </w:r>
    </w:p>
    <w:p w14:paraId="189B872E">
      <w:pPr>
        <w:ind w:firstLine="480"/>
        <w:rPr>
          <w:rFonts w:ascii="Times New Roman" w:hAnsi="Times New Roman"/>
          <w:highlight w:val="none"/>
        </w:rPr>
      </w:pPr>
      <w:r>
        <w:rPr>
          <w:rFonts w:ascii="Times New Roman" w:hAnsi="Times New Roman"/>
          <w:highlight w:val="none"/>
        </w:rPr>
        <w:t>本项目固体废物主要包括炉渣、炉灰、</w:t>
      </w:r>
      <w:r>
        <w:rPr>
          <w:rFonts w:hint="eastAsia" w:ascii="Times New Roman" w:hAnsi="Times New Roman"/>
          <w:highlight w:val="none"/>
        </w:rPr>
        <w:t>脱硫石膏</w:t>
      </w:r>
      <w:r>
        <w:rPr>
          <w:rFonts w:ascii="Times New Roman" w:hAnsi="Times New Roman"/>
          <w:highlight w:val="none"/>
        </w:rPr>
        <w:t>、生活垃圾、废离子交换树脂</w:t>
      </w:r>
      <w:r>
        <w:rPr>
          <w:rFonts w:hint="eastAsia" w:ascii="Times New Roman" w:hAnsi="Times New Roman"/>
          <w:highlight w:val="none"/>
          <w:lang w:val="en-US" w:eastAsia="zh-CN"/>
        </w:rPr>
        <w:t>和反渗透膜</w:t>
      </w:r>
      <w:r>
        <w:rPr>
          <w:rFonts w:ascii="Times New Roman" w:hAnsi="Times New Roman"/>
          <w:highlight w:val="none"/>
        </w:rPr>
        <w:t>、废催化剂</w:t>
      </w:r>
      <w:r>
        <w:rPr>
          <w:rFonts w:hint="eastAsia" w:ascii="Times New Roman" w:hAnsi="Times New Roman"/>
          <w:highlight w:val="none"/>
          <w:lang w:eastAsia="zh-CN"/>
        </w:rPr>
        <w:t>、</w:t>
      </w:r>
      <w:r>
        <w:rPr>
          <w:rFonts w:hint="eastAsia" w:ascii="Times New Roman" w:hAnsi="Times New Roman"/>
          <w:highlight w:val="none"/>
          <w:lang w:val="en-US" w:eastAsia="zh-CN"/>
        </w:rPr>
        <w:t>废机油</w:t>
      </w:r>
      <w:r>
        <w:rPr>
          <w:rFonts w:ascii="Times New Roman" w:hAnsi="Times New Roman"/>
          <w:highlight w:val="none"/>
        </w:rPr>
        <w:t>。</w:t>
      </w:r>
    </w:p>
    <w:p w14:paraId="64E662D6">
      <w:pPr>
        <w:ind w:firstLine="480"/>
        <w:rPr>
          <w:rFonts w:ascii="Times New Roman" w:hAnsi="Times New Roman"/>
          <w:highlight w:val="none"/>
        </w:rPr>
      </w:pPr>
      <w:r>
        <w:rPr>
          <w:rFonts w:ascii="Times New Roman" w:hAnsi="Times New Roman"/>
          <w:highlight w:val="none"/>
        </w:rPr>
        <w:t>（4）噪声</w:t>
      </w:r>
    </w:p>
    <w:p w14:paraId="43F4C9B9">
      <w:pPr>
        <w:ind w:firstLine="480"/>
        <w:rPr>
          <w:rFonts w:ascii="Times New Roman" w:hAnsi="Times New Roman"/>
          <w:highlight w:val="none"/>
        </w:rPr>
      </w:pPr>
      <w:r>
        <w:rPr>
          <w:rFonts w:ascii="Times New Roman" w:hAnsi="Times New Roman"/>
          <w:highlight w:val="none"/>
        </w:rPr>
        <w:t>本项目各种机械设备的噪声范围约为</w:t>
      </w:r>
      <w:r>
        <w:rPr>
          <w:rFonts w:hint="eastAsia" w:ascii="Times New Roman" w:hAnsi="Times New Roman"/>
          <w:highlight w:val="none"/>
        </w:rPr>
        <w:t>90</w:t>
      </w:r>
      <w:r>
        <w:rPr>
          <w:rFonts w:ascii="Times New Roman" w:hAnsi="Times New Roman"/>
          <w:highlight w:val="none"/>
        </w:rPr>
        <w:t>～95dB（A）。主要为厂区内各种泵类以及锅炉风机等设备噪声。</w:t>
      </w:r>
    </w:p>
    <w:p w14:paraId="373D12EA">
      <w:pPr>
        <w:ind w:firstLine="480"/>
        <w:rPr>
          <w:rFonts w:ascii="Times New Roman" w:hAnsi="Times New Roman"/>
          <w:highlight w:val="none"/>
        </w:rPr>
      </w:pPr>
      <w:r>
        <w:rPr>
          <w:rFonts w:ascii="Times New Roman" w:hAnsi="Times New Roman"/>
          <w:highlight w:val="none"/>
        </w:rPr>
        <w:t>本项目运行过程中的污染环节及因素见表3.2-2。</w:t>
      </w:r>
    </w:p>
    <w:p w14:paraId="2A674FB3">
      <w:pPr>
        <w:ind w:firstLine="0" w:firstLineChars="0"/>
        <w:jc w:val="center"/>
        <w:rPr>
          <w:rFonts w:ascii="Times New Roman" w:hAnsi="Times New Roman"/>
          <w:highlight w:val="none"/>
        </w:rPr>
      </w:pPr>
      <w:r>
        <w:rPr>
          <w:rFonts w:hint="eastAsia" w:ascii="黑体" w:hAnsi="黑体" w:eastAsia="黑体" w:cs="黑体"/>
          <w:highlight w:val="none"/>
        </w:rPr>
        <w:t>表</w:t>
      </w:r>
      <w:r>
        <w:rPr>
          <w:rFonts w:ascii="Times New Roman" w:hAnsi="Times New Roman"/>
          <w:highlight w:val="none"/>
        </w:rPr>
        <w:t>3.2-2</w:t>
      </w:r>
      <w:r>
        <w:rPr>
          <w:rFonts w:hint="eastAsia" w:ascii="黑体" w:hAnsi="黑体" w:eastAsia="黑体" w:cs="黑体"/>
          <w:highlight w:val="none"/>
        </w:rPr>
        <w:t>本项目运行中污染环节及因素一览表</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8"/>
        <w:gridCol w:w="1507"/>
        <w:gridCol w:w="1698"/>
        <w:gridCol w:w="1703"/>
        <w:gridCol w:w="2886"/>
      </w:tblGrid>
      <w:tr w14:paraId="1CF467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427" w:type="pct"/>
            <w:noWrap w:val="0"/>
            <w:vAlign w:val="center"/>
          </w:tcPr>
          <w:p w14:paraId="67060681">
            <w:pPr>
              <w:pStyle w:val="27"/>
              <w:rPr>
                <w:rFonts w:ascii="Times New Roman" w:hAnsi="Times New Roman"/>
                <w:highlight w:val="none"/>
              </w:rPr>
            </w:pPr>
            <w:r>
              <w:rPr>
                <w:rFonts w:ascii="Times New Roman" w:hAnsi="Times New Roman"/>
                <w:highlight w:val="none"/>
              </w:rPr>
              <w:t>序号</w:t>
            </w:r>
          </w:p>
        </w:tc>
        <w:tc>
          <w:tcPr>
            <w:tcW w:w="884" w:type="pct"/>
            <w:noWrap w:val="0"/>
            <w:vAlign w:val="center"/>
          </w:tcPr>
          <w:p w14:paraId="75A064F2">
            <w:pPr>
              <w:pStyle w:val="27"/>
              <w:rPr>
                <w:rFonts w:ascii="Times New Roman" w:hAnsi="Times New Roman"/>
                <w:highlight w:val="none"/>
              </w:rPr>
            </w:pPr>
            <w:r>
              <w:rPr>
                <w:rFonts w:ascii="Times New Roman" w:hAnsi="Times New Roman"/>
                <w:highlight w:val="none"/>
              </w:rPr>
              <w:t>生产过程</w:t>
            </w:r>
          </w:p>
        </w:tc>
        <w:tc>
          <w:tcPr>
            <w:tcW w:w="996" w:type="pct"/>
            <w:noWrap w:val="0"/>
            <w:vAlign w:val="center"/>
          </w:tcPr>
          <w:p w14:paraId="11FED4CB">
            <w:pPr>
              <w:pStyle w:val="27"/>
              <w:rPr>
                <w:rFonts w:ascii="Times New Roman" w:hAnsi="Times New Roman"/>
                <w:highlight w:val="none"/>
              </w:rPr>
            </w:pPr>
            <w:r>
              <w:rPr>
                <w:rFonts w:ascii="Times New Roman" w:hAnsi="Times New Roman"/>
                <w:highlight w:val="none"/>
              </w:rPr>
              <w:t>污染环节</w:t>
            </w:r>
          </w:p>
        </w:tc>
        <w:tc>
          <w:tcPr>
            <w:tcW w:w="999" w:type="pct"/>
            <w:noWrap w:val="0"/>
            <w:vAlign w:val="center"/>
          </w:tcPr>
          <w:p w14:paraId="695AD94A">
            <w:pPr>
              <w:pStyle w:val="27"/>
              <w:rPr>
                <w:rFonts w:ascii="Times New Roman" w:hAnsi="Times New Roman"/>
                <w:highlight w:val="none"/>
              </w:rPr>
            </w:pPr>
            <w:r>
              <w:rPr>
                <w:rFonts w:ascii="Times New Roman" w:hAnsi="Times New Roman"/>
                <w:highlight w:val="none"/>
              </w:rPr>
              <w:t>污染因素</w:t>
            </w:r>
          </w:p>
        </w:tc>
        <w:tc>
          <w:tcPr>
            <w:tcW w:w="1693" w:type="pct"/>
            <w:noWrap w:val="0"/>
            <w:vAlign w:val="center"/>
          </w:tcPr>
          <w:p w14:paraId="3E1E4672">
            <w:pPr>
              <w:pStyle w:val="27"/>
              <w:rPr>
                <w:rFonts w:ascii="Times New Roman" w:hAnsi="Times New Roman"/>
                <w:highlight w:val="none"/>
              </w:rPr>
            </w:pPr>
            <w:r>
              <w:rPr>
                <w:rFonts w:ascii="Times New Roman" w:hAnsi="Times New Roman"/>
                <w:highlight w:val="none"/>
              </w:rPr>
              <w:t>主要污染物</w:t>
            </w:r>
          </w:p>
        </w:tc>
      </w:tr>
      <w:tr w14:paraId="208215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427" w:type="pct"/>
            <w:noWrap w:val="0"/>
            <w:vAlign w:val="center"/>
          </w:tcPr>
          <w:p w14:paraId="1948D503">
            <w:pPr>
              <w:pStyle w:val="27"/>
              <w:rPr>
                <w:rFonts w:ascii="Times New Roman" w:hAnsi="Times New Roman"/>
                <w:highlight w:val="none"/>
              </w:rPr>
            </w:pPr>
            <w:r>
              <w:rPr>
                <w:rFonts w:ascii="Times New Roman" w:hAnsi="Times New Roman"/>
                <w:highlight w:val="none"/>
              </w:rPr>
              <w:t>1</w:t>
            </w:r>
          </w:p>
        </w:tc>
        <w:tc>
          <w:tcPr>
            <w:tcW w:w="884" w:type="pct"/>
            <w:noWrap w:val="0"/>
            <w:vAlign w:val="center"/>
          </w:tcPr>
          <w:p w14:paraId="79E81BDB">
            <w:pPr>
              <w:pStyle w:val="27"/>
              <w:rPr>
                <w:rFonts w:ascii="Times New Roman" w:hAnsi="Times New Roman"/>
                <w:highlight w:val="none"/>
              </w:rPr>
            </w:pPr>
            <w:r>
              <w:rPr>
                <w:highlight w:val="none"/>
              </w:rPr>
              <w:t>燃煤</w:t>
            </w:r>
            <w:r>
              <w:rPr>
                <w:rFonts w:ascii="Times New Roman" w:hAnsi="Times New Roman"/>
                <w:highlight w:val="none"/>
              </w:rPr>
              <w:t>贮存、装卸及输送过程</w:t>
            </w:r>
          </w:p>
        </w:tc>
        <w:tc>
          <w:tcPr>
            <w:tcW w:w="996" w:type="pct"/>
            <w:noWrap w:val="0"/>
            <w:vAlign w:val="center"/>
          </w:tcPr>
          <w:p w14:paraId="7474E54A">
            <w:pPr>
              <w:pStyle w:val="27"/>
              <w:rPr>
                <w:rFonts w:ascii="Times New Roman" w:hAnsi="Times New Roman"/>
                <w:highlight w:val="none"/>
              </w:rPr>
            </w:pPr>
            <w:r>
              <w:rPr>
                <w:rFonts w:ascii="Times New Roman" w:hAnsi="Times New Roman"/>
                <w:highlight w:val="none"/>
              </w:rPr>
              <w:t>贮存、装卸、输送系统</w:t>
            </w:r>
          </w:p>
        </w:tc>
        <w:tc>
          <w:tcPr>
            <w:tcW w:w="999" w:type="pct"/>
            <w:noWrap w:val="0"/>
            <w:vAlign w:val="center"/>
          </w:tcPr>
          <w:p w14:paraId="08F558B5">
            <w:pPr>
              <w:pStyle w:val="27"/>
              <w:rPr>
                <w:rFonts w:ascii="Times New Roman" w:hAnsi="Times New Roman"/>
                <w:highlight w:val="none"/>
              </w:rPr>
            </w:pPr>
            <w:r>
              <w:rPr>
                <w:rFonts w:ascii="Times New Roman" w:hAnsi="Times New Roman"/>
                <w:highlight w:val="none"/>
              </w:rPr>
              <w:t>废气、设备噪声</w:t>
            </w:r>
          </w:p>
        </w:tc>
        <w:tc>
          <w:tcPr>
            <w:tcW w:w="1693" w:type="pct"/>
            <w:noWrap w:val="0"/>
            <w:vAlign w:val="center"/>
          </w:tcPr>
          <w:p w14:paraId="797A5B6D">
            <w:pPr>
              <w:pStyle w:val="27"/>
              <w:rPr>
                <w:rFonts w:ascii="Times New Roman" w:hAnsi="Times New Roman"/>
                <w:highlight w:val="none"/>
              </w:rPr>
            </w:pPr>
            <w:r>
              <w:rPr>
                <w:rFonts w:ascii="Times New Roman" w:hAnsi="Times New Roman"/>
                <w:highlight w:val="none"/>
              </w:rPr>
              <w:t>粉尘、噪声</w:t>
            </w:r>
          </w:p>
        </w:tc>
      </w:tr>
      <w:tr w14:paraId="0E0F64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427" w:type="pct"/>
            <w:vMerge w:val="restart"/>
            <w:noWrap w:val="0"/>
            <w:vAlign w:val="center"/>
          </w:tcPr>
          <w:p w14:paraId="5146A7B4">
            <w:pPr>
              <w:pStyle w:val="27"/>
              <w:rPr>
                <w:rFonts w:ascii="Times New Roman" w:hAnsi="Times New Roman"/>
                <w:highlight w:val="none"/>
              </w:rPr>
            </w:pPr>
            <w:r>
              <w:rPr>
                <w:rFonts w:ascii="Times New Roman" w:hAnsi="Times New Roman"/>
                <w:highlight w:val="none"/>
              </w:rPr>
              <w:t>2</w:t>
            </w:r>
          </w:p>
        </w:tc>
        <w:tc>
          <w:tcPr>
            <w:tcW w:w="884" w:type="pct"/>
            <w:vMerge w:val="restart"/>
            <w:noWrap w:val="0"/>
            <w:vAlign w:val="center"/>
          </w:tcPr>
          <w:p w14:paraId="679E1B92">
            <w:pPr>
              <w:pStyle w:val="27"/>
              <w:rPr>
                <w:rFonts w:ascii="Times New Roman" w:hAnsi="Times New Roman"/>
                <w:highlight w:val="none"/>
              </w:rPr>
            </w:pPr>
            <w:r>
              <w:rPr>
                <w:rFonts w:ascii="Times New Roman" w:hAnsi="Times New Roman"/>
                <w:highlight w:val="none"/>
              </w:rPr>
              <w:t>燃烧过程</w:t>
            </w:r>
          </w:p>
        </w:tc>
        <w:tc>
          <w:tcPr>
            <w:tcW w:w="996" w:type="pct"/>
            <w:noWrap w:val="0"/>
            <w:vAlign w:val="center"/>
          </w:tcPr>
          <w:p w14:paraId="40FF0396">
            <w:pPr>
              <w:pStyle w:val="27"/>
              <w:rPr>
                <w:rFonts w:ascii="Times New Roman" w:hAnsi="Times New Roman"/>
                <w:highlight w:val="none"/>
              </w:rPr>
            </w:pPr>
            <w:r>
              <w:rPr>
                <w:rFonts w:ascii="Times New Roman" w:hAnsi="Times New Roman"/>
                <w:highlight w:val="none"/>
              </w:rPr>
              <w:t>燃煤粉碎及风机</w:t>
            </w:r>
          </w:p>
        </w:tc>
        <w:tc>
          <w:tcPr>
            <w:tcW w:w="999" w:type="pct"/>
            <w:noWrap w:val="0"/>
            <w:vAlign w:val="center"/>
          </w:tcPr>
          <w:p w14:paraId="4706B6B8">
            <w:pPr>
              <w:pStyle w:val="27"/>
              <w:rPr>
                <w:rFonts w:ascii="Times New Roman" w:hAnsi="Times New Roman"/>
                <w:highlight w:val="none"/>
              </w:rPr>
            </w:pPr>
            <w:r>
              <w:rPr>
                <w:rFonts w:ascii="Times New Roman" w:hAnsi="Times New Roman"/>
                <w:highlight w:val="none"/>
              </w:rPr>
              <w:t>废气、设备噪声</w:t>
            </w:r>
          </w:p>
        </w:tc>
        <w:tc>
          <w:tcPr>
            <w:tcW w:w="1693" w:type="pct"/>
            <w:noWrap w:val="0"/>
            <w:vAlign w:val="center"/>
          </w:tcPr>
          <w:p w14:paraId="50DB1826">
            <w:pPr>
              <w:pStyle w:val="27"/>
              <w:rPr>
                <w:rFonts w:ascii="Times New Roman" w:hAnsi="Times New Roman"/>
                <w:highlight w:val="none"/>
              </w:rPr>
            </w:pPr>
            <w:r>
              <w:rPr>
                <w:rFonts w:ascii="Times New Roman" w:hAnsi="Times New Roman"/>
                <w:highlight w:val="none"/>
              </w:rPr>
              <w:t>粉尘、噪声</w:t>
            </w:r>
          </w:p>
        </w:tc>
      </w:tr>
      <w:tr w14:paraId="742405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427" w:type="pct"/>
            <w:vMerge w:val="continue"/>
            <w:noWrap w:val="0"/>
            <w:vAlign w:val="center"/>
          </w:tcPr>
          <w:p w14:paraId="13FB41B4">
            <w:pPr>
              <w:pStyle w:val="27"/>
              <w:rPr>
                <w:rFonts w:ascii="Times New Roman" w:hAnsi="Times New Roman"/>
                <w:highlight w:val="none"/>
              </w:rPr>
            </w:pPr>
          </w:p>
        </w:tc>
        <w:tc>
          <w:tcPr>
            <w:tcW w:w="884" w:type="pct"/>
            <w:vMerge w:val="continue"/>
            <w:noWrap w:val="0"/>
            <w:vAlign w:val="center"/>
          </w:tcPr>
          <w:p w14:paraId="0C8A91F7">
            <w:pPr>
              <w:pStyle w:val="27"/>
              <w:rPr>
                <w:rFonts w:ascii="Times New Roman" w:hAnsi="Times New Roman"/>
                <w:highlight w:val="none"/>
              </w:rPr>
            </w:pPr>
          </w:p>
        </w:tc>
        <w:tc>
          <w:tcPr>
            <w:tcW w:w="996" w:type="pct"/>
            <w:vMerge w:val="restart"/>
            <w:noWrap w:val="0"/>
            <w:vAlign w:val="center"/>
          </w:tcPr>
          <w:p w14:paraId="224B1B4B">
            <w:pPr>
              <w:pStyle w:val="27"/>
              <w:rPr>
                <w:rFonts w:ascii="Times New Roman" w:hAnsi="Times New Roman"/>
                <w:highlight w:val="none"/>
              </w:rPr>
            </w:pPr>
            <w:r>
              <w:rPr>
                <w:rFonts w:ascii="Times New Roman" w:hAnsi="Times New Roman"/>
                <w:highlight w:val="none"/>
              </w:rPr>
              <w:t>锅炉燃烧</w:t>
            </w:r>
          </w:p>
        </w:tc>
        <w:tc>
          <w:tcPr>
            <w:tcW w:w="999" w:type="pct"/>
            <w:noWrap w:val="0"/>
            <w:vAlign w:val="center"/>
          </w:tcPr>
          <w:p w14:paraId="48020531">
            <w:pPr>
              <w:pStyle w:val="27"/>
              <w:rPr>
                <w:rFonts w:ascii="Times New Roman" w:hAnsi="Times New Roman"/>
                <w:highlight w:val="none"/>
              </w:rPr>
            </w:pPr>
            <w:r>
              <w:rPr>
                <w:rFonts w:ascii="Times New Roman" w:hAnsi="Times New Roman"/>
                <w:highlight w:val="none"/>
              </w:rPr>
              <w:t>烟气</w:t>
            </w:r>
          </w:p>
        </w:tc>
        <w:tc>
          <w:tcPr>
            <w:tcW w:w="1693" w:type="pct"/>
            <w:noWrap w:val="0"/>
            <w:vAlign w:val="center"/>
          </w:tcPr>
          <w:p w14:paraId="684C84E0">
            <w:pPr>
              <w:pStyle w:val="27"/>
              <w:rPr>
                <w:rFonts w:ascii="Times New Roman" w:hAnsi="Times New Roman"/>
                <w:highlight w:val="none"/>
              </w:rPr>
            </w:pPr>
            <w:r>
              <w:rPr>
                <w:rFonts w:ascii="Times New Roman" w:hAnsi="Times New Roman"/>
                <w:highlight w:val="none"/>
              </w:rPr>
              <w:t>烟尘、SO</w:t>
            </w:r>
            <w:r>
              <w:rPr>
                <w:rFonts w:ascii="Times New Roman" w:hAnsi="Times New Roman"/>
                <w:highlight w:val="none"/>
                <w:vertAlign w:val="subscript"/>
              </w:rPr>
              <w:t>2</w:t>
            </w:r>
            <w:r>
              <w:rPr>
                <w:rFonts w:ascii="Times New Roman" w:hAnsi="Times New Roman"/>
                <w:highlight w:val="none"/>
              </w:rPr>
              <w:t>、NO</w:t>
            </w:r>
            <w:r>
              <w:rPr>
                <w:rFonts w:ascii="Times New Roman" w:hAnsi="Times New Roman"/>
                <w:highlight w:val="none"/>
                <w:vertAlign w:val="subscript"/>
              </w:rPr>
              <w:t>x</w:t>
            </w:r>
            <w:r>
              <w:rPr>
                <w:rFonts w:ascii="Times New Roman" w:hAnsi="Times New Roman"/>
                <w:highlight w:val="none"/>
              </w:rPr>
              <w:t>、</w:t>
            </w:r>
            <w:r>
              <w:rPr>
                <w:rFonts w:hint="eastAsia" w:ascii="Times New Roman" w:hAnsi="Times New Roman"/>
                <w:highlight w:val="none"/>
              </w:rPr>
              <w:t>林格曼黑度、</w:t>
            </w:r>
            <w:r>
              <w:rPr>
                <w:rFonts w:ascii="Times New Roman" w:hAnsi="Times New Roman"/>
                <w:highlight w:val="none"/>
              </w:rPr>
              <w:t>汞及其化合物</w:t>
            </w:r>
            <w:r>
              <w:rPr>
                <w:rFonts w:hint="eastAsia" w:ascii="Times New Roman" w:hAnsi="Times New Roman"/>
                <w:highlight w:val="none"/>
              </w:rPr>
              <w:t>、氨</w:t>
            </w:r>
          </w:p>
        </w:tc>
      </w:tr>
      <w:tr w14:paraId="585D5A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427" w:type="pct"/>
            <w:vMerge w:val="continue"/>
            <w:noWrap w:val="0"/>
            <w:vAlign w:val="center"/>
          </w:tcPr>
          <w:p w14:paraId="7C9120FA">
            <w:pPr>
              <w:pStyle w:val="27"/>
              <w:rPr>
                <w:rFonts w:ascii="Times New Roman" w:hAnsi="Times New Roman"/>
                <w:highlight w:val="none"/>
              </w:rPr>
            </w:pPr>
          </w:p>
        </w:tc>
        <w:tc>
          <w:tcPr>
            <w:tcW w:w="884" w:type="pct"/>
            <w:vMerge w:val="continue"/>
            <w:noWrap w:val="0"/>
            <w:vAlign w:val="center"/>
          </w:tcPr>
          <w:p w14:paraId="54D402C7">
            <w:pPr>
              <w:pStyle w:val="27"/>
              <w:rPr>
                <w:rFonts w:ascii="Times New Roman" w:hAnsi="Times New Roman"/>
                <w:highlight w:val="none"/>
              </w:rPr>
            </w:pPr>
          </w:p>
        </w:tc>
        <w:tc>
          <w:tcPr>
            <w:tcW w:w="996" w:type="pct"/>
            <w:vMerge w:val="continue"/>
            <w:noWrap w:val="0"/>
            <w:vAlign w:val="center"/>
          </w:tcPr>
          <w:p w14:paraId="5F11C6D6">
            <w:pPr>
              <w:pStyle w:val="27"/>
              <w:rPr>
                <w:rFonts w:ascii="Times New Roman" w:hAnsi="Times New Roman"/>
                <w:highlight w:val="none"/>
              </w:rPr>
            </w:pPr>
          </w:p>
        </w:tc>
        <w:tc>
          <w:tcPr>
            <w:tcW w:w="999" w:type="pct"/>
            <w:noWrap w:val="0"/>
            <w:vAlign w:val="center"/>
          </w:tcPr>
          <w:p w14:paraId="10B3802E">
            <w:pPr>
              <w:pStyle w:val="27"/>
              <w:rPr>
                <w:rFonts w:ascii="Times New Roman" w:hAnsi="Times New Roman"/>
                <w:highlight w:val="none"/>
              </w:rPr>
            </w:pPr>
            <w:r>
              <w:rPr>
                <w:rFonts w:ascii="Times New Roman" w:hAnsi="Times New Roman"/>
                <w:highlight w:val="none"/>
              </w:rPr>
              <w:t>固体废物</w:t>
            </w:r>
          </w:p>
        </w:tc>
        <w:tc>
          <w:tcPr>
            <w:tcW w:w="1693" w:type="pct"/>
            <w:noWrap w:val="0"/>
            <w:vAlign w:val="center"/>
          </w:tcPr>
          <w:p w14:paraId="11946F0B">
            <w:pPr>
              <w:pStyle w:val="27"/>
              <w:rPr>
                <w:rFonts w:ascii="Times New Roman" w:hAnsi="Times New Roman"/>
                <w:highlight w:val="none"/>
              </w:rPr>
            </w:pPr>
            <w:r>
              <w:rPr>
                <w:rFonts w:ascii="Times New Roman" w:hAnsi="Times New Roman"/>
                <w:highlight w:val="none"/>
              </w:rPr>
              <w:t>炉灰、炉渣</w:t>
            </w:r>
          </w:p>
        </w:tc>
      </w:tr>
      <w:tr w14:paraId="045FAE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427" w:type="pct"/>
            <w:vMerge w:val="continue"/>
            <w:noWrap w:val="0"/>
            <w:vAlign w:val="center"/>
          </w:tcPr>
          <w:p w14:paraId="662E32CD">
            <w:pPr>
              <w:pStyle w:val="27"/>
              <w:rPr>
                <w:rFonts w:ascii="Times New Roman" w:hAnsi="Times New Roman"/>
                <w:highlight w:val="none"/>
              </w:rPr>
            </w:pPr>
          </w:p>
        </w:tc>
        <w:tc>
          <w:tcPr>
            <w:tcW w:w="884" w:type="pct"/>
            <w:vMerge w:val="continue"/>
            <w:noWrap w:val="0"/>
            <w:vAlign w:val="center"/>
          </w:tcPr>
          <w:p w14:paraId="398B43D4">
            <w:pPr>
              <w:pStyle w:val="27"/>
              <w:rPr>
                <w:rFonts w:ascii="Times New Roman" w:hAnsi="Times New Roman"/>
                <w:highlight w:val="none"/>
              </w:rPr>
            </w:pPr>
          </w:p>
        </w:tc>
        <w:tc>
          <w:tcPr>
            <w:tcW w:w="996" w:type="pct"/>
            <w:noWrap w:val="0"/>
            <w:vAlign w:val="center"/>
          </w:tcPr>
          <w:p w14:paraId="265030E1">
            <w:pPr>
              <w:pStyle w:val="27"/>
              <w:rPr>
                <w:rFonts w:ascii="Times New Roman" w:hAnsi="Times New Roman"/>
                <w:highlight w:val="none"/>
              </w:rPr>
            </w:pPr>
            <w:r>
              <w:rPr>
                <w:rFonts w:hint="eastAsia" w:ascii="Times New Roman" w:hAnsi="Times New Roman"/>
                <w:highlight w:val="none"/>
              </w:rPr>
              <w:t>鼓风机、引风机</w:t>
            </w:r>
          </w:p>
        </w:tc>
        <w:tc>
          <w:tcPr>
            <w:tcW w:w="999" w:type="pct"/>
            <w:noWrap w:val="0"/>
            <w:vAlign w:val="center"/>
          </w:tcPr>
          <w:p w14:paraId="68218238">
            <w:pPr>
              <w:pStyle w:val="27"/>
              <w:rPr>
                <w:rFonts w:ascii="Times New Roman" w:hAnsi="Times New Roman"/>
                <w:highlight w:val="none"/>
              </w:rPr>
            </w:pPr>
            <w:bookmarkStart w:id="75" w:name="_Toc229811363"/>
            <w:bookmarkStart w:id="76" w:name="_Toc229384228"/>
            <w:bookmarkStart w:id="77" w:name="_Toc298927085"/>
            <w:bookmarkStart w:id="78" w:name="_Toc302376203"/>
            <w:bookmarkStart w:id="79" w:name="_Toc299033287"/>
            <w:r>
              <w:rPr>
                <w:rFonts w:ascii="Times New Roman" w:hAnsi="Times New Roman"/>
                <w:highlight w:val="none"/>
              </w:rPr>
              <w:t>设备噪声</w:t>
            </w:r>
            <w:bookmarkEnd w:id="75"/>
            <w:bookmarkEnd w:id="76"/>
            <w:bookmarkEnd w:id="77"/>
            <w:bookmarkEnd w:id="78"/>
            <w:bookmarkEnd w:id="79"/>
          </w:p>
        </w:tc>
        <w:tc>
          <w:tcPr>
            <w:tcW w:w="1693" w:type="pct"/>
            <w:noWrap w:val="0"/>
            <w:vAlign w:val="center"/>
          </w:tcPr>
          <w:p w14:paraId="0C9E0C13">
            <w:pPr>
              <w:pStyle w:val="27"/>
              <w:rPr>
                <w:rFonts w:ascii="Times New Roman" w:hAnsi="Times New Roman"/>
                <w:highlight w:val="none"/>
              </w:rPr>
            </w:pPr>
            <w:bookmarkStart w:id="80" w:name="_Toc298927086"/>
            <w:bookmarkStart w:id="81" w:name="_Toc302376204"/>
            <w:bookmarkStart w:id="82" w:name="_Toc299033288"/>
            <w:r>
              <w:rPr>
                <w:rFonts w:ascii="Times New Roman" w:hAnsi="Times New Roman"/>
                <w:highlight w:val="none"/>
              </w:rPr>
              <w:t>噪声</w:t>
            </w:r>
            <w:bookmarkEnd w:id="80"/>
            <w:bookmarkEnd w:id="81"/>
            <w:bookmarkEnd w:id="82"/>
          </w:p>
        </w:tc>
      </w:tr>
      <w:tr w14:paraId="542D09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427" w:type="pct"/>
            <w:vMerge w:val="continue"/>
            <w:noWrap w:val="0"/>
            <w:vAlign w:val="center"/>
          </w:tcPr>
          <w:p w14:paraId="26209BF1">
            <w:pPr>
              <w:pStyle w:val="27"/>
              <w:rPr>
                <w:rFonts w:ascii="Times New Roman" w:hAnsi="Times New Roman"/>
                <w:highlight w:val="none"/>
              </w:rPr>
            </w:pPr>
          </w:p>
        </w:tc>
        <w:tc>
          <w:tcPr>
            <w:tcW w:w="884" w:type="pct"/>
            <w:vMerge w:val="continue"/>
            <w:noWrap w:val="0"/>
            <w:vAlign w:val="center"/>
          </w:tcPr>
          <w:p w14:paraId="2FCE67A4">
            <w:pPr>
              <w:pStyle w:val="27"/>
              <w:rPr>
                <w:rFonts w:ascii="Times New Roman" w:hAnsi="Times New Roman"/>
                <w:highlight w:val="none"/>
              </w:rPr>
            </w:pPr>
          </w:p>
        </w:tc>
        <w:tc>
          <w:tcPr>
            <w:tcW w:w="996" w:type="pct"/>
            <w:noWrap w:val="0"/>
            <w:vAlign w:val="center"/>
          </w:tcPr>
          <w:p w14:paraId="1964D48B">
            <w:pPr>
              <w:pStyle w:val="27"/>
              <w:rPr>
                <w:rFonts w:ascii="Times New Roman" w:hAnsi="Times New Roman"/>
                <w:highlight w:val="none"/>
              </w:rPr>
            </w:pPr>
            <w:r>
              <w:rPr>
                <w:rFonts w:ascii="Times New Roman" w:hAnsi="Times New Roman"/>
                <w:highlight w:val="none"/>
              </w:rPr>
              <w:t>锅炉废水</w:t>
            </w:r>
          </w:p>
        </w:tc>
        <w:tc>
          <w:tcPr>
            <w:tcW w:w="999" w:type="pct"/>
            <w:noWrap w:val="0"/>
            <w:vAlign w:val="center"/>
          </w:tcPr>
          <w:p w14:paraId="688B48E3">
            <w:pPr>
              <w:pStyle w:val="27"/>
              <w:rPr>
                <w:rFonts w:ascii="Times New Roman" w:hAnsi="Times New Roman"/>
                <w:highlight w:val="none"/>
              </w:rPr>
            </w:pPr>
            <w:r>
              <w:rPr>
                <w:rFonts w:ascii="Times New Roman" w:hAnsi="Times New Roman"/>
                <w:highlight w:val="none"/>
              </w:rPr>
              <w:t>废水</w:t>
            </w:r>
          </w:p>
        </w:tc>
        <w:tc>
          <w:tcPr>
            <w:tcW w:w="1693" w:type="pct"/>
            <w:noWrap w:val="0"/>
            <w:vAlign w:val="center"/>
          </w:tcPr>
          <w:p w14:paraId="309731C5">
            <w:pPr>
              <w:pStyle w:val="27"/>
              <w:rPr>
                <w:rFonts w:ascii="Times New Roman" w:hAnsi="Times New Roman"/>
                <w:highlight w:val="none"/>
              </w:rPr>
            </w:pPr>
            <w:r>
              <w:rPr>
                <w:rFonts w:ascii="Times New Roman" w:hAnsi="Times New Roman"/>
                <w:highlight w:val="none"/>
              </w:rPr>
              <w:t>盐类、SS</w:t>
            </w:r>
          </w:p>
        </w:tc>
      </w:tr>
      <w:tr w14:paraId="176448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427" w:type="pct"/>
            <w:noWrap w:val="0"/>
            <w:vAlign w:val="center"/>
          </w:tcPr>
          <w:p w14:paraId="1A871008">
            <w:pPr>
              <w:pStyle w:val="27"/>
              <w:rPr>
                <w:rFonts w:ascii="Times New Roman" w:hAnsi="Times New Roman"/>
                <w:highlight w:val="none"/>
              </w:rPr>
            </w:pPr>
            <w:r>
              <w:rPr>
                <w:rFonts w:ascii="Times New Roman" w:hAnsi="Times New Roman"/>
                <w:highlight w:val="none"/>
              </w:rPr>
              <w:t>3</w:t>
            </w:r>
          </w:p>
        </w:tc>
        <w:tc>
          <w:tcPr>
            <w:tcW w:w="884" w:type="pct"/>
            <w:noWrap w:val="0"/>
            <w:vAlign w:val="center"/>
          </w:tcPr>
          <w:p w14:paraId="417063E2">
            <w:pPr>
              <w:pStyle w:val="27"/>
              <w:rPr>
                <w:rFonts w:ascii="Times New Roman" w:hAnsi="Times New Roman"/>
                <w:highlight w:val="none"/>
              </w:rPr>
            </w:pPr>
            <w:r>
              <w:rPr>
                <w:rFonts w:ascii="Times New Roman" w:hAnsi="Times New Roman"/>
                <w:highlight w:val="none"/>
              </w:rPr>
              <w:t>脱硫过程</w:t>
            </w:r>
          </w:p>
        </w:tc>
        <w:tc>
          <w:tcPr>
            <w:tcW w:w="996" w:type="pct"/>
            <w:noWrap w:val="0"/>
            <w:vAlign w:val="center"/>
          </w:tcPr>
          <w:p w14:paraId="7866D683">
            <w:pPr>
              <w:pStyle w:val="27"/>
              <w:rPr>
                <w:rFonts w:ascii="Times New Roman" w:hAnsi="Times New Roman"/>
                <w:highlight w:val="none"/>
              </w:rPr>
            </w:pPr>
            <w:r>
              <w:rPr>
                <w:rFonts w:ascii="Times New Roman" w:hAnsi="Times New Roman"/>
                <w:highlight w:val="none"/>
              </w:rPr>
              <w:t>脱硫系统</w:t>
            </w:r>
          </w:p>
        </w:tc>
        <w:tc>
          <w:tcPr>
            <w:tcW w:w="999" w:type="pct"/>
            <w:noWrap w:val="0"/>
            <w:vAlign w:val="center"/>
          </w:tcPr>
          <w:p w14:paraId="51DB4442">
            <w:pPr>
              <w:pStyle w:val="27"/>
              <w:rPr>
                <w:rFonts w:ascii="Times New Roman" w:hAnsi="Times New Roman"/>
                <w:highlight w:val="none"/>
              </w:rPr>
            </w:pPr>
            <w:r>
              <w:rPr>
                <w:rFonts w:ascii="Times New Roman" w:hAnsi="Times New Roman"/>
                <w:highlight w:val="none"/>
              </w:rPr>
              <w:t>设备噪声、废水</w:t>
            </w:r>
            <w:r>
              <w:rPr>
                <w:rFonts w:hint="eastAsia" w:ascii="Times New Roman" w:hAnsi="Times New Roman"/>
                <w:highlight w:val="none"/>
              </w:rPr>
              <w:t>、固废</w:t>
            </w:r>
          </w:p>
        </w:tc>
        <w:tc>
          <w:tcPr>
            <w:tcW w:w="1693" w:type="pct"/>
            <w:noWrap w:val="0"/>
            <w:vAlign w:val="center"/>
          </w:tcPr>
          <w:p w14:paraId="657EA463">
            <w:pPr>
              <w:pStyle w:val="27"/>
              <w:rPr>
                <w:rFonts w:ascii="Times New Roman" w:hAnsi="Times New Roman"/>
                <w:highlight w:val="none"/>
              </w:rPr>
            </w:pPr>
            <w:r>
              <w:rPr>
                <w:rFonts w:ascii="Times New Roman" w:hAnsi="Times New Roman"/>
                <w:highlight w:val="none"/>
              </w:rPr>
              <w:t>噪声、脱硫废水、脱硫</w:t>
            </w:r>
            <w:r>
              <w:rPr>
                <w:rFonts w:hint="eastAsia" w:ascii="Times New Roman" w:hAnsi="Times New Roman"/>
                <w:highlight w:val="none"/>
              </w:rPr>
              <w:t>石膏</w:t>
            </w:r>
          </w:p>
        </w:tc>
      </w:tr>
      <w:tr w14:paraId="1F8F23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 w:hRule="atLeast"/>
          <w:jc w:val="center"/>
        </w:trPr>
        <w:tc>
          <w:tcPr>
            <w:tcW w:w="427" w:type="pct"/>
            <w:vMerge w:val="restart"/>
            <w:noWrap w:val="0"/>
            <w:vAlign w:val="center"/>
          </w:tcPr>
          <w:p w14:paraId="76497CDF">
            <w:pPr>
              <w:pStyle w:val="27"/>
              <w:rPr>
                <w:rFonts w:ascii="Times New Roman" w:hAnsi="Times New Roman"/>
                <w:highlight w:val="none"/>
              </w:rPr>
            </w:pPr>
            <w:r>
              <w:rPr>
                <w:rFonts w:ascii="Times New Roman" w:hAnsi="Times New Roman"/>
                <w:highlight w:val="none"/>
              </w:rPr>
              <w:t>4</w:t>
            </w:r>
          </w:p>
        </w:tc>
        <w:tc>
          <w:tcPr>
            <w:tcW w:w="884" w:type="pct"/>
            <w:vMerge w:val="restart"/>
            <w:noWrap w:val="0"/>
            <w:vAlign w:val="center"/>
          </w:tcPr>
          <w:p w14:paraId="23CB558B">
            <w:pPr>
              <w:pStyle w:val="27"/>
              <w:rPr>
                <w:rFonts w:ascii="Times New Roman" w:hAnsi="Times New Roman"/>
                <w:highlight w:val="none"/>
              </w:rPr>
            </w:pPr>
            <w:r>
              <w:rPr>
                <w:rFonts w:ascii="Times New Roman" w:hAnsi="Times New Roman"/>
                <w:highlight w:val="none"/>
              </w:rPr>
              <w:t>脱硝过程</w:t>
            </w:r>
          </w:p>
        </w:tc>
        <w:tc>
          <w:tcPr>
            <w:tcW w:w="996" w:type="pct"/>
            <w:noWrap w:val="0"/>
            <w:vAlign w:val="center"/>
          </w:tcPr>
          <w:p w14:paraId="1DF9F43F">
            <w:pPr>
              <w:pStyle w:val="27"/>
              <w:rPr>
                <w:rFonts w:ascii="Times New Roman" w:hAnsi="Times New Roman"/>
                <w:highlight w:val="none"/>
              </w:rPr>
            </w:pPr>
            <w:r>
              <w:rPr>
                <w:rFonts w:ascii="Times New Roman" w:hAnsi="Times New Roman"/>
                <w:highlight w:val="none"/>
              </w:rPr>
              <w:t>脱硝系统</w:t>
            </w:r>
          </w:p>
        </w:tc>
        <w:tc>
          <w:tcPr>
            <w:tcW w:w="999" w:type="pct"/>
            <w:noWrap w:val="0"/>
            <w:vAlign w:val="center"/>
          </w:tcPr>
          <w:p w14:paraId="65A73A3A">
            <w:pPr>
              <w:pStyle w:val="27"/>
              <w:rPr>
                <w:rFonts w:ascii="Times New Roman" w:hAnsi="Times New Roman"/>
                <w:highlight w:val="none"/>
              </w:rPr>
            </w:pPr>
            <w:r>
              <w:rPr>
                <w:rFonts w:ascii="Times New Roman" w:hAnsi="Times New Roman"/>
                <w:highlight w:val="none"/>
              </w:rPr>
              <w:t>废气</w:t>
            </w:r>
          </w:p>
        </w:tc>
        <w:tc>
          <w:tcPr>
            <w:tcW w:w="1693" w:type="pct"/>
            <w:noWrap w:val="0"/>
            <w:vAlign w:val="center"/>
          </w:tcPr>
          <w:p w14:paraId="40A8208A">
            <w:pPr>
              <w:pStyle w:val="27"/>
              <w:rPr>
                <w:rFonts w:ascii="Times New Roman" w:hAnsi="Times New Roman"/>
                <w:highlight w:val="none"/>
              </w:rPr>
            </w:pPr>
            <w:r>
              <w:rPr>
                <w:rFonts w:ascii="Times New Roman" w:hAnsi="Times New Roman"/>
                <w:highlight w:val="none"/>
              </w:rPr>
              <w:t>NH</w:t>
            </w:r>
            <w:r>
              <w:rPr>
                <w:rFonts w:ascii="Times New Roman" w:hAnsi="Times New Roman"/>
                <w:highlight w:val="none"/>
                <w:vertAlign w:val="subscript"/>
              </w:rPr>
              <w:t>3</w:t>
            </w:r>
          </w:p>
        </w:tc>
      </w:tr>
      <w:tr w14:paraId="604948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 w:hRule="atLeast"/>
          <w:jc w:val="center"/>
        </w:trPr>
        <w:tc>
          <w:tcPr>
            <w:tcW w:w="427" w:type="pct"/>
            <w:vMerge w:val="continue"/>
            <w:noWrap w:val="0"/>
            <w:vAlign w:val="center"/>
          </w:tcPr>
          <w:p w14:paraId="62AA1EFD">
            <w:pPr>
              <w:pStyle w:val="27"/>
              <w:rPr>
                <w:rFonts w:ascii="Times New Roman" w:hAnsi="Times New Roman"/>
                <w:highlight w:val="none"/>
              </w:rPr>
            </w:pPr>
          </w:p>
        </w:tc>
        <w:tc>
          <w:tcPr>
            <w:tcW w:w="884" w:type="pct"/>
            <w:vMerge w:val="continue"/>
            <w:noWrap w:val="0"/>
            <w:vAlign w:val="center"/>
          </w:tcPr>
          <w:p w14:paraId="134CFDF9">
            <w:pPr>
              <w:pStyle w:val="27"/>
              <w:rPr>
                <w:rFonts w:ascii="Times New Roman" w:hAnsi="Times New Roman"/>
                <w:highlight w:val="none"/>
              </w:rPr>
            </w:pPr>
          </w:p>
        </w:tc>
        <w:tc>
          <w:tcPr>
            <w:tcW w:w="996" w:type="pct"/>
            <w:noWrap w:val="0"/>
            <w:vAlign w:val="center"/>
          </w:tcPr>
          <w:p w14:paraId="64F549FA">
            <w:pPr>
              <w:pStyle w:val="27"/>
              <w:rPr>
                <w:rFonts w:ascii="Times New Roman" w:hAnsi="Times New Roman"/>
                <w:highlight w:val="none"/>
              </w:rPr>
            </w:pPr>
            <w:r>
              <w:rPr>
                <w:rFonts w:ascii="Times New Roman" w:hAnsi="Times New Roman"/>
                <w:highlight w:val="none"/>
              </w:rPr>
              <w:t>脱硝系统</w:t>
            </w:r>
          </w:p>
        </w:tc>
        <w:tc>
          <w:tcPr>
            <w:tcW w:w="999" w:type="pct"/>
            <w:noWrap w:val="0"/>
            <w:vAlign w:val="center"/>
          </w:tcPr>
          <w:p w14:paraId="6DB557D1">
            <w:pPr>
              <w:pStyle w:val="27"/>
              <w:rPr>
                <w:rFonts w:ascii="Times New Roman" w:hAnsi="Times New Roman"/>
                <w:highlight w:val="none"/>
              </w:rPr>
            </w:pPr>
            <w:r>
              <w:rPr>
                <w:rFonts w:ascii="Times New Roman" w:hAnsi="Times New Roman"/>
                <w:highlight w:val="none"/>
              </w:rPr>
              <w:t>固体废物</w:t>
            </w:r>
          </w:p>
        </w:tc>
        <w:tc>
          <w:tcPr>
            <w:tcW w:w="1693" w:type="pct"/>
            <w:noWrap w:val="0"/>
            <w:vAlign w:val="center"/>
          </w:tcPr>
          <w:p w14:paraId="65C28BC6">
            <w:pPr>
              <w:pStyle w:val="27"/>
              <w:rPr>
                <w:rFonts w:ascii="Times New Roman" w:hAnsi="Times New Roman"/>
                <w:highlight w:val="none"/>
              </w:rPr>
            </w:pPr>
            <w:r>
              <w:rPr>
                <w:rFonts w:ascii="Times New Roman" w:hAnsi="Times New Roman"/>
                <w:highlight w:val="none"/>
              </w:rPr>
              <w:t>废催化剂</w:t>
            </w:r>
          </w:p>
        </w:tc>
      </w:tr>
      <w:tr w14:paraId="1A8B7A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427" w:type="pct"/>
            <w:vMerge w:val="restart"/>
            <w:noWrap w:val="0"/>
            <w:vAlign w:val="center"/>
          </w:tcPr>
          <w:p w14:paraId="1C3ECF24">
            <w:pPr>
              <w:pStyle w:val="27"/>
              <w:rPr>
                <w:rFonts w:ascii="Times New Roman" w:hAnsi="Times New Roman"/>
                <w:highlight w:val="none"/>
              </w:rPr>
            </w:pPr>
            <w:r>
              <w:rPr>
                <w:rFonts w:ascii="Times New Roman" w:hAnsi="Times New Roman"/>
                <w:highlight w:val="none"/>
              </w:rPr>
              <w:t>5</w:t>
            </w:r>
          </w:p>
        </w:tc>
        <w:tc>
          <w:tcPr>
            <w:tcW w:w="884" w:type="pct"/>
            <w:vMerge w:val="restart"/>
            <w:noWrap w:val="0"/>
            <w:vAlign w:val="center"/>
          </w:tcPr>
          <w:p w14:paraId="5537BF61">
            <w:pPr>
              <w:pStyle w:val="27"/>
              <w:rPr>
                <w:rFonts w:ascii="Times New Roman" w:hAnsi="Times New Roman"/>
                <w:highlight w:val="none"/>
              </w:rPr>
            </w:pPr>
            <w:r>
              <w:rPr>
                <w:rFonts w:ascii="Times New Roman" w:hAnsi="Times New Roman"/>
                <w:highlight w:val="none"/>
              </w:rPr>
              <w:t>锅炉排污水</w:t>
            </w:r>
          </w:p>
        </w:tc>
        <w:tc>
          <w:tcPr>
            <w:tcW w:w="996" w:type="pct"/>
            <w:vMerge w:val="restart"/>
            <w:noWrap w:val="0"/>
            <w:vAlign w:val="center"/>
          </w:tcPr>
          <w:p w14:paraId="505C855B">
            <w:pPr>
              <w:pStyle w:val="27"/>
              <w:rPr>
                <w:rFonts w:ascii="Times New Roman" w:hAnsi="Times New Roman"/>
                <w:highlight w:val="none"/>
              </w:rPr>
            </w:pPr>
            <w:r>
              <w:rPr>
                <w:rFonts w:ascii="Times New Roman" w:hAnsi="Times New Roman"/>
                <w:highlight w:val="none"/>
              </w:rPr>
              <w:t>原水处理</w:t>
            </w:r>
          </w:p>
        </w:tc>
        <w:tc>
          <w:tcPr>
            <w:tcW w:w="999" w:type="pct"/>
            <w:noWrap w:val="0"/>
            <w:vAlign w:val="center"/>
          </w:tcPr>
          <w:p w14:paraId="5B87002A">
            <w:pPr>
              <w:pStyle w:val="27"/>
              <w:rPr>
                <w:rFonts w:ascii="Times New Roman" w:hAnsi="Times New Roman"/>
                <w:highlight w:val="none"/>
              </w:rPr>
            </w:pPr>
            <w:r>
              <w:rPr>
                <w:rFonts w:ascii="Times New Roman" w:hAnsi="Times New Roman"/>
                <w:highlight w:val="none"/>
              </w:rPr>
              <w:t>废水</w:t>
            </w:r>
          </w:p>
        </w:tc>
        <w:tc>
          <w:tcPr>
            <w:tcW w:w="1693" w:type="pct"/>
            <w:noWrap w:val="0"/>
            <w:vAlign w:val="center"/>
          </w:tcPr>
          <w:p w14:paraId="7ACCFA69">
            <w:pPr>
              <w:pStyle w:val="27"/>
              <w:rPr>
                <w:rFonts w:ascii="Times New Roman" w:hAnsi="Times New Roman"/>
                <w:highlight w:val="none"/>
              </w:rPr>
            </w:pPr>
            <w:r>
              <w:rPr>
                <w:rFonts w:ascii="Times New Roman" w:hAnsi="Times New Roman"/>
                <w:highlight w:val="none"/>
              </w:rPr>
              <w:t>pH、SS、盐类、COD</w:t>
            </w:r>
          </w:p>
        </w:tc>
      </w:tr>
      <w:tr w14:paraId="079598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7" w:type="pct"/>
            <w:vMerge w:val="continue"/>
            <w:noWrap w:val="0"/>
            <w:vAlign w:val="center"/>
          </w:tcPr>
          <w:p w14:paraId="54029CB1">
            <w:pPr>
              <w:pStyle w:val="27"/>
              <w:rPr>
                <w:rFonts w:ascii="Times New Roman" w:hAnsi="Times New Roman"/>
                <w:highlight w:val="none"/>
              </w:rPr>
            </w:pPr>
          </w:p>
        </w:tc>
        <w:tc>
          <w:tcPr>
            <w:tcW w:w="884" w:type="pct"/>
            <w:vMerge w:val="continue"/>
            <w:noWrap w:val="0"/>
            <w:vAlign w:val="center"/>
          </w:tcPr>
          <w:p w14:paraId="6D17D116">
            <w:pPr>
              <w:pStyle w:val="27"/>
              <w:rPr>
                <w:rFonts w:ascii="Times New Roman" w:hAnsi="Times New Roman"/>
                <w:highlight w:val="none"/>
              </w:rPr>
            </w:pPr>
          </w:p>
        </w:tc>
        <w:tc>
          <w:tcPr>
            <w:tcW w:w="996" w:type="pct"/>
            <w:vMerge w:val="continue"/>
            <w:noWrap w:val="0"/>
            <w:vAlign w:val="center"/>
          </w:tcPr>
          <w:p w14:paraId="1BDD3300">
            <w:pPr>
              <w:pStyle w:val="27"/>
              <w:rPr>
                <w:rFonts w:ascii="Times New Roman" w:hAnsi="Times New Roman"/>
                <w:highlight w:val="none"/>
              </w:rPr>
            </w:pPr>
          </w:p>
        </w:tc>
        <w:tc>
          <w:tcPr>
            <w:tcW w:w="999" w:type="pct"/>
            <w:noWrap w:val="0"/>
            <w:vAlign w:val="center"/>
          </w:tcPr>
          <w:p w14:paraId="67624CEC">
            <w:pPr>
              <w:pStyle w:val="27"/>
              <w:rPr>
                <w:rFonts w:ascii="Times New Roman" w:hAnsi="Times New Roman"/>
                <w:highlight w:val="none"/>
              </w:rPr>
            </w:pPr>
            <w:r>
              <w:rPr>
                <w:rFonts w:ascii="Times New Roman" w:hAnsi="Times New Roman"/>
                <w:highlight w:val="none"/>
              </w:rPr>
              <w:t>噪声</w:t>
            </w:r>
          </w:p>
        </w:tc>
        <w:tc>
          <w:tcPr>
            <w:tcW w:w="1693" w:type="pct"/>
            <w:noWrap w:val="0"/>
            <w:vAlign w:val="center"/>
          </w:tcPr>
          <w:p w14:paraId="674A428E">
            <w:pPr>
              <w:pStyle w:val="27"/>
              <w:rPr>
                <w:rFonts w:ascii="Times New Roman" w:hAnsi="Times New Roman"/>
                <w:highlight w:val="none"/>
              </w:rPr>
            </w:pPr>
            <w:r>
              <w:rPr>
                <w:rFonts w:ascii="Times New Roman" w:hAnsi="Times New Roman"/>
                <w:highlight w:val="none"/>
              </w:rPr>
              <w:t>噪声</w:t>
            </w:r>
          </w:p>
        </w:tc>
      </w:tr>
      <w:tr w14:paraId="041C26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427" w:type="pct"/>
            <w:vMerge w:val="continue"/>
            <w:noWrap w:val="0"/>
            <w:vAlign w:val="center"/>
          </w:tcPr>
          <w:p w14:paraId="35B68160">
            <w:pPr>
              <w:pStyle w:val="27"/>
              <w:rPr>
                <w:rFonts w:ascii="Times New Roman" w:hAnsi="Times New Roman"/>
                <w:highlight w:val="none"/>
              </w:rPr>
            </w:pPr>
          </w:p>
        </w:tc>
        <w:tc>
          <w:tcPr>
            <w:tcW w:w="884" w:type="pct"/>
            <w:vMerge w:val="continue"/>
            <w:noWrap w:val="0"/>
            <w:vAlign w:val="center"/>
          </w:tcPr>
          <w:p w14:paraId="3A2B9AA6">
            <w:pPr>
              <w:pStyle w:val="27"/>
              <w:rPr>
                <w:rFonts w:ascii="Times New Roman" w:hAnsi="Times New Roman"/>
                <w:highlight w:val="none"/>
              </w:rPr>
            </w:pPr>
          </w:p>
        </w:tc>
        <w:tc>
          <w:tcPr>
            <w:tcW w:w="996" w:type="pct"/>
            <w:vMerge w:val="continue"/>
            <w:noWrap w:val="0"/>
            <w:vAlign w:val="center"/>
          </w:tcPr>
          <w:p w14:paraId="35B63D3B">
            <w:pPr>
              <w:pStyle w:val="27"/>
              <w:rPr>
                <w:rFonts w:ascii="Times New Roman" w:hAnsi="Times New Roman"/>
                <w:highlight w:val="none"/>
              </w:rPr>
            </w:pPr>
          </w:p>
        </w:tc>
        <w:tc>
          <w:tcPr>
            <w:tcW w:w="999" w:type="pct"/>
            <w:noWrap w:val="0"/>
            <w:vAlign w:val="center"/>
          </w:tcPr>
          <w:p w14:paraId="39803295">
            <w:pPr>
              <w:pStyle w:val="27"/>
              <w:rPr>
                <w:rFonts w:ascii="Times New Roman" w:hAnsi="Times New Roman"/>
                <w:highlight w:val="none"/>
              </w:rPr>
            </w:pPr>
            <w:r>
              <w:rPr>
                <w:rFonts w:ascii="Times New Roman" w:hAnsi="Times New Roman"/>
                <w:highlight w:val="none"/>
              </w:rPr>
              <w:t>固体废物</w:t>
            </w:r>
          </w:p>
        </w:tc>
        <w:tc>
          <w:tcPr>
            <w:tcW w:w="1693" w:type="pct"/>
            <w:noWrap w:val="0"/>
            <w:vAlign w:val="center"/>
          </w:tcPr>
          <w:p w14:paraId="4B39975C">
            <w:pPr>
              <w:pStyle w:val="27"/>
              <w:rPr>
                <w:rFonts w:hint="default" w:ascii="Times New Roman" w:hAnsi="Times New Roman" w:eastAsia="新宋体"/>
                <w:highlight w:val="none"/>
                <w:lang w:val="en-US" w:eastAsia="zh-CN"/>
              </w:rPr>
            </w:pPr>
            <w:r>
              <w:rPr>
                <w:rFonts w:ascii="Times New Roman" w:hAnsi="Times New Roman"/>
                <w:highlight w:val="none"/>
              </w:rPr>
              <w:t>废离子交换树脂</w:t>
            </w:r>
            <w:r>
              <w:rPr>
                <w:rFonts w:hint="eastAsia" w:ascii="Times New Roman" w:hAnsi="Times New Roman"/>
                <w:highlight w:val="none"/>
                <w:lang w:val="en-US" w:eastAsia="zh-CN"/>
              </w:rPr>
              <w:t>和反渗透膜</w:t>
            </w:r>
          </w:p>
        </w:tc>
      </w:tr>
      <w:tr w14:paraId="3B3880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427" w:type="pct"/>
            <w:noWrap w:val="0"/>
            <w:vAlign w:val="center"/>
          </w:tcPr>
          <w:p w14:paraId="4959634E">
            <w:pPr>
              <w:spacing w:line="240" w:lineRule="auto"/>
              <w:ind w:firstLine="0" w:firstLineChars="0"/>
              <w:jc w:val="center"/>
              <w:rPr>
                <w:rFonts w:hint="eastAsia" w:ascii="Times New Roman" w:hAnsi="Times New Roman"/>
                <w:highlight w:val="none"/>
              </w:rPr>
            </w:pPr>
            <w:r>
              <w:rPr>
                <w:rFonts w:hint="eastAsia"/>
                <w:sz w:val="21"/>
                <w:szCs w:val="21"/>
                <w:highlight w:val="none"/>
              </w:rPr>
              <w:t>6</w:t>
            </w:r>
          </w:p>
        </w:tc>
        <w:tc>
          <w:tcPr>
            <w:tcW w:w="884" w:type="pct"/>
            <w:noWrap w:val="0"/>
            <w:vAlign w:val="center"/>
          </w:tcPr>
          <w:p w14:paraId="077E61F9">
            <w:pPr>
              <w:spacing w:line="240" w:lineRule="auto"/>
              <w:ind w:firstLine="0" w:firstLineChars="0"/>
              <w:jc w:val="center"/>
              <w:rPr>
                <w:rFonts w:ascii="Times New Roman" w:hAnsi="Times New Roman"/>
                <w:highlight w:val="none"/>
              </w:rPr>
            </w:pPr>
            <w:r>
              <w:rPr>
                <w:sz w:val="21"/>
                <w:szCs w:val="21"/>
                <w:highlight w:val="none"/>
              </w:rPr>
              <w:t>除灰渣及贮灰过程</w:t>
            </w:r>
          </w:p>
        </w:tc>
        <w:tc>
          <w:tcPr>
            <w:tcW w:w="996" w:type="pct"/>
            <w:noWrap w:val="0"/>
            <w:vAlign w:val="center"/>
          </w:tcPr>
          <w:p w14:paraId="532CA306">
            <w:pPr>
              <w:spacing w:line="240" w:lineRule="auto"/>
              <w:ind w:firstLine="0" w:firstLineChars="0"/>
              <w:jc w:val="center"/>
              <w:rPr>
                <w:rFonts w:ascii="Times New Roman" w:hAnsi="Times New Roman"/>
                <w:highlight w:val="none"/>
              </w:rPr>
            </w:pPr>
            <w:r>
              <w:rPr>
                <w:sz w:val="21"/>
                <w:szCs w:val="21"/>
                <w:highlight w:val="none"/>
              </w:rPr>
              <w:t>灰渣</w:t>
            </w:r>
            <w:r>
              <w:rPr>
                <w:rFonts w:hint="eastAsia"/>
                <w:sz w:val="21"/>
                <w:szCs w:val="21"/>
                <w:highlight w:val="none"/>
              </w:rPr>
              <w:t>贮存、</w:t>
            </w:r>
            <w:r>
              <w:rPr>
                <w:sz w:val="21"/>
                <w:szCs w:val="21"/>
                <w:highlight w:val="none"/>
              </w:rPr>
              <w:t>装车运输</w:t>
            </w:r>
          </w:p>
        </w:tc>
        <w:tc>
          <w:tcPr>
            <w:tcW w:w="999" w:type="pct"/>
            <w:noWrap w:val="0"/>
            <w:vAlign w:val="center"/>
          </w:tcPr>
          <w:p w14:paraId="504EEE15">
            <w:pPr>
              <w:spacing w:line="240" w:lineRule="auto"/>
              <w:ind w:firstLine="0" w:firstLineChars="0"/>
              <w:jc w:val="center"/>
              <w:rPr>
                <w:rFonts w:ascii="Times New Roman" w:hAnsi="Times New Roman"/>
                <w:highlight w:val="none"/>
              </w:rPr>
            </w:pPr>
            <w:r>
              <w:rPr>
                <w:sz w:val="21"/>
                <w:szCs w:val="21"/>
                <w:highlight w:val="none"/>
              </w:rPr>
              <w:t>废气</w:t>
            </w:r>
          </w:p>
        </w:tc>
        <w:tc>
          <w:tcPr>
            <w:tcW w:w="1693" w:type="pct"/>
            <w:noWrap w:val="0"/>
            <w:vAlign w:val="center"/>
          </w:tcPr>
          <w:p w14:paraId="28E8FDEC">
            <w:pPr>
              <w:pStyle w:val="27"/>
              <w:rPr>
                <w:rFonts w:ascii="Times New Roman" w:hAnsi="Times New Roman"/>
                <w:highlight w:val="none"/>
              </w:rPr>
            </w:pPr>
            <w:r>
              <w:rPr>
                <w:rFonts w:ascii="Times New Roman" w:hAnsi="Times New Roman"/>
                <w:highlight w:val="none"/>
              </w:rPr>
              <w:t>粉尘</w:t>
            </w:r>
          </w:p>
        </w:tc>
      </w:tr>
    </w:tbl>
    <w:p w14:paraId="0165EC87">
      <w:pPr>
        <w:pStyle w:val="4"/>
        <w:bidi w:val="0"/>
        <w:ind w:left="0" w:leftChars="0" w:firstLine="0" w:firstLineChars="0"/>
        <w:rPr>
          <w:rFonts w:hint="eastAsia"/>
          <w:highlight w:val="none"/>
          <w:lang w:val="en-US" w:eastAsia="zh-CN"/>
        </w:rPr>
      </w:pPr>
      <w:bookmarkStart w:id="83" w:name="_Toc17669"/>
      <w:r>
        <w:rPr>
          <w:rFonts w:hint="eastAsia"/>
          <w:highlight w:val="none"/>
          <w:lang w:val="en-US" w:eastAsia="zh-CN"/>
        </w:rPr>
        <w:t>3.3运营期工程污染源强分析</w:t>
      </w:r>
      <w:bookmarkEnd w:id="83"/>
    </w:p>
    <w:p w14:paraId="5EBA55F3">
      <w:pPr>
        <w:pStyle w:val="5"/>
        <w:ind w:left="0" w:leftChars="0" w:firstLine="0" w:firstLineChars="0"/>
        <w:rPr>
          <w:rFonts w:hint="eastAsia"/>
          <w:highlight w:val="none"/>
          <w:lang w:val="en-US" w:eastAsia="zh-CN"/>
        </w:rPr>
      </w:pPr>
      <w:bookmarkStart w:id="84" w:name="_Toc16753"/>
      <w:r>
        <w:rPr>
          <w:rFonts w:hint="eastAsia"/>
          <w:highlight w:val="none"/>
          <w:lang w:val="en-US" w:eastAsia="zh-CN"/>
        </w:rPr>
        <w:t>3.3.1正常工况大气污染源强分析</w:t>
      </w:r>
      <w:bookmarkEnd w:id="84"/>
    </w:p>
    <w:p w14:paraId="56F67F28">
      <w:pPr>
        <w:ind w:firstLine="480"/>
        <w:rPr>
          <w:rFonts w:ascii="Times New Roman" w:hAnsi="Times New Roman"/>
          <w:highlight w:val="none"/>
        </w:rPr>
      </w:pPr>
      <w:r>
        <w:rPr>
          <w:rFonts w:ascii="Times New Roman" w:hAnsi="Times New Roman"/>
          <w:highlight w:val="none"/>
        </w:rPr>
        <w:t>项目运行期产生的废气主要包括工艺粉尘、氨以及锅炉烟气。</w:t>
      </w:r>
    </w:p>
    <w:p w14:paraId="53DBBEFF">
      <w:pPr>
        <w:ind w:firstLine="482"/>
        <w:rPr>
          <w:rFonts w:ascii="Times New Roman" w:hAnsi="Times New Roman"/>
          <w:b/>
          <w:highlight w:val="none"/>
        </w:rPr>
      </w:pPr>
      <w:r>
        <w:rPr>
          <w:rFonts w:ascii="Times New Roman" w:hAnsi="Times New Roman"/>
          <w:b/>
          <w:highlight w:val="none"/>
        </w:rPr>
        <w:t>有组织：</w:t>
      </w:r>
    </w:p>
    <w:p w14:paraId="0E6AD64B">
      <w:pPr>
        <w:ind w:firstLine="480"/>
        <w:rPr>
          <w:rFonts w:ascii="Times New Roman" w:hAnsi="Times New Roman"/>
          <w:highlight w:val="none"/>
        </w:rPr>
      </w:pPr>
      <w:r>
        <w:rPr>
          <w:rFonts w:ascii="Times New Roman" w:hAnsi="Times New Roman"/>
          <w:highlight w:val="none"/>
        </w:rPr>
        <w:t>1、燃煤量核算</w:t>
      </w:r>
    </w:p>
    <w:p w14:paraId="10760FB7">
      <w:pPr>
        <w:ind w:firstLine="480"/>
        <w:rPr>
          <w:rFonts w:hint="default" w:ascii="Times New Roman" w:hAnsi="Times New Roman" w:eastAsia="宋体"/>
          <w:highlight w:val="none"/>
          <w:lang w:val="en-US" w:eastAsia="zh-CN"/>
        </w:rPr>
      </w:pPr>
      <w:r>
        <w:rPr>
          <w:rFonts w:ascii="Times New Roman" w:hAnsi="Times New Roman"/>
          <w:highlight w:val="none"/>
        </w:rPr>
        <w:t>本项目建</w:t>
      </w:r>
      <w:r>
        <w:rPr>
          <w:rFonts w:hint="eastAsia" w:ascii="Times New Roman" w:hAnsi="Times New Roman"/>
          <w:highlight w:val="none"/>
          <w:lang w:val="en-US" w:eastAsia="zh-CN"/>
        </w:rPr>
        <w:t>设</w:t>
      </w:r>
      <w:r>
        <w:rPr>
          <w:rFonts w:hint="eastAsia"/>
          <w:highlight w:val="none"/>
          <w:lang w:val="en-US" w:eastAsia="zh-CN"/>
        </w:rPr>
        <w:t>116MW+</w:t>
      </w:r>
      <w:r>
        <w:rPr>
          <w:rFonts w:hint="default"/>
          <w:highlight w:val="none"/>
          <w:lang w:val="en-US" w:eastAsia="zh-CN"/>
        </w:rPr>
        <w:t>58</w:t>
      </w:r>
      <w:r>
        <w:rPr>
          <w:rFonts w:hint="eastAsia"/>
          <w:highlight w:val="none"/>
          <w:lang w:val="en-US" w:eastAsia="zh-CN"/>
        </w:rPr>
        <w:t>MW热水锅炉和1台35t/h蒸汽锅炉共三台</w:t>
      </w:r>
      <w:r>
        <w:rPr>
          <w:rFonts w:ascii="Times New Roman" w:hAnsi="Times New Roman"/>
          <w:highlight w:val="none"/>
        </w:rPr>
        <w:t>，按满负荷折算，年运行</w:t>
      </w:r>
      <w:r>
        <w:rPr>
          <w:rFonts w:hint="eastAsia" w:ascii="Times New Roman" w:hAnsi="Times New Roman"/>
          <w:highlight w:val="none"/>
          <w:lang w:val="en-US" w:eastAsia="zh-CN"/>
        </w:rPr>
        <w:t>5040</w:t>
      </w:r>
      <w:r>
        <w:rPr>
          <w:rFonts w:ascii="Times New Roman" w:hAnsi="Times New Roman"/>
          <w:highlight w:val="none"/>
        </w:rPr>
        <w:t>小时。</w:t>
      </w:r>
      <w:r>
        <w:rPr>
          <w:rFonts w:hint="eastAsia" w:ascii="Times New Roman" w:hAnsi="Times New Roman"/>
          <w:highlight w:val="none"/>
        </w:rPr>
        <w:t>最大</w:t>
      </w:r>
      <w:r>
        <w:rPr>
          <w:rFonts w:ascii="Times New Roman" w:hAnsi="Times New Roman"/>
          <w:highlight w:val="none"/>
        </w:rPr>
        <w:t>供热</w:t>
      </w:r>
      <w:r>
        <w:rPr>
          <w:rFonts w:hint="eastAsia" w:ascii="Times New Roman" w:hAnsi="Times New Roman"/>
          <w:highlight w:val="none"/>
        </w:rPr>
        <w:t>能力</w:t>
      </w:r>
      <w:r>
        <w:rPr>
          <w:rFonts w:ascii="Times New Roman" w:hAnsi="Times New Roman"/>
          <w:highlight w:val="none"/>
        </w:rPr>
        <w:t>为</w:t>
      </w:r>
      <w:r>
        <w:rPr>
          <w:rFonts w:hint="eastAsia" w:ascii="Times New Roman" w:hAnsi="Times New Roman"/>
          <w:highlight w:val="none"/>
          <w:lang w:val="en-US" w:eastAsia="zh-CN"/>
        </w:rPr>
        <w:t>210</w:t>
      </w:r>
      <w:r>
        <w:rPr>
          <w:rFonts w:ascii="Times New Roman" w:hAnsi="Times New Roman"/>
          <w:highlight w:val="none"/>
        </w:rPr>
        <w:t>万平方米，采用煤为燃料。本项目</w:t>
      </w:r>
      <w:r>
        <w:rPr>
          <w:rFonts w:hint="eastAsia" w:ascii="Times New Roman" w:hAnsi="Times New Roman"/>
          <w:highlight w:val="none"/>
          <w:lang w:val="en-US" w:eastAsia="zh-CN"/>
        </w:rPr>
        <w:t>116</w:t>
      </w:r>
      <w:r>
        <w:rPr>
          <w:rFonts w:ascii="Times New Roman" w:hAnsi="Times New Roman"/>
          <w:highlight w:val="none"/>
        </w:rPr>
        <w:t>MW</w:t>
      </w:r>
      <w:r>
        <w:rPr>
          <w:rFonts w:hint="eastAsia" w:ascii="Times New Roman" w:hAnsi="Times New Roman"/>
          <w:highlight w:val="none"/>
          <w:lang w:val="en-US" w:eastAsia="zh-CN"/>
        </w:rPr>
        <w:t>热水</w:t>
      </w:r>
      <w:r>
        <w:rPr>
          <w:rFonts w:ascii="Times New Roman" w:hAnsi="Times New Roman"/>
          <w:highlight w:val="none"/>
        </w:rPr>
        <w:t>锅炉</w:t>
      </w:r>
      <w:r>
        <w:rPr>
          <w:rFonts w:hint="eastAsia" w:ascii="Times New Roman" w:hAnsi="Times New Roman"/>
          <w:highlight w:val="none"/>
        </w:rPr>
        <w:t>最大</w:t>
      </w:r>
      <w:r>
        <w:rPr>
          <w:rFonts w:ascii="Times New Roman" w:hAnsi="Times New Roman"/>
          <w:highlight w:val="none"/>
        </w:rPr>
        <w:t>小时燃煤量为</w:t>
      </w:r>
      <w:r>
        <w:rPr>
          <w:rFonts w:hint="eastAsia" w:ascii="Times New Roman" w:hAnsi="Times New Roman"/>
          <w:highlight w:val="none"/>
          <w:lang w:val="en-US" w:eastAsia="zh-CN"/>
        </w:rPr>
        <w:t>28.425</w:t>
      </w:r>
      <w:r>
        <w:rPr>
          <w:rFonts w:ascii="Times New Roman" w:hAnsi="Times New Roman"/>
          <w:highlight w:val="none"/>
        </w:rPr>
        <w:t>t/h</w:t>
      </w:r>
      <w:r>
        <w:rPr>
          <w:rFonts w:hint="eastAsia" w:ascii="Times New Roman" w:hAnsi="Times New Roman"/>
          <w:highlight w:val="none"/>
          <w:lang w:eastAsia="zh-CN"/>
        </w:rPr>
        <w:t>、</w:t>
      </w:r>
      <w:r>
        <w:rPr>
          <w:rFonts w:hint="eastAsia" w:ascii="Times New Roman" w:hAnsi="Times New Roman"/>
          <w:highlight w:val="none"/>
          <w:lang w:val="en-US" w:eastAsia="zh-CN"/>
        </w:rPr>
        <w:t>58MW热水锅炉最大小时燃煤量为8.688t/h、35t/h蒸汽锅炉最大小时燃煤量为3.6602t/h。根据企业实际运行情况</w:t>
      </w:r>
      <w:r>
        <w:rPr>
          <w:rFonts w:hint="eastAsia" w:ascii="Times New Roman" w:hAnsi="Times New Roman"/>
          <w:highlight w:val="none"/>
        </w:rPr>
        <w:t>满负荷运行小时数为</w:t>
      </w:r>
      <w:r>
        <w:rPr>
          <w:rFonts w:hint="eastAsia" w:ascii="Times New Roman" w:hAnsi="Times New Roman"/>
          <w:highlight w:val="none"/>
          <w:lang w:val="en-US" w:eastAsia="zh-CN"/>
        </w:rPr>
        <w:t>5040</w:t>
      </w:r>
      <w:r>
        <w:rPr>
          <w:rFonts w:hint="eastAsia" w:ascii="Times New Roman" w:hAnsi="Times New Roman"/>
          <w:highlight w:val="none"/>
        </w:rPr>
        <w:t>小时，</w:t>
      </w:r>
      <w:r>
        <w:rPr>
          <w:rFonts w:ascii="Times New Roman" w:hAnsi="Times New Roman"/>
          <w:highlight w:val="none"/>
        </w:rPr>
        <w:t>则年燃煤量为</w:t>
      </w:r>
      <w:r>
        <w:rPr>
          <w:rFonts w:hint="eastAsia" w:ascii="Times New Roman" w:hAnsi="Times New Roman"/>
          <w:highlight w:val="none"/>
          <w:lang w:val="en-US" w:eastAsia="zh-CN"/>
        </w:rPr>
        <w:t>81047.7024</w:t>
      </w:r>
      <w:r>
        <w:rPr>
          <w:rFonts w:ascii="Times New Roman" w:hAnsi="Times New Roman"/>
          <w:highlight w:val="none"/>
        </w:rPr>
        <w:t>t/a。</w:t>
      </w:r>
      <w:r>
        <w:rPr>
          <w:rFonts w:hint="eastAsia" w:ascii="Times New Roman" w:hAnsi="Times New Roman"/>
          <w:highlight w:val="none"/>
          <w:lang w:val="en-US" w:eastAsia="zh-CN"/>
        </w:rPr>
        <w:t>不存在三台锅炉同时运行的情况。</w:t>
      </w:r>
    </w:p>
    <w:p w14:paraId="179B585C">
      <w:pPr>
        <w:ind w:firstLine="480"/>
        <w:rPr>
          <w:rFonts w:ascii="Times New Roman" w:hAnsi="Times New Roman"/>
          <w:highlight w:val="none"/>
        </w:rPr>
      </w:pPr>
      <w:r>
        <w:rPr>
          <w:rFonts w:ascii="Times New Roman" w:hAnsi="Times New Roman"/>
          <w:highlight w:val="none"/>
        </w:rPr>
        <w:t>本项目拟采取的锅炉烟气防治措施如下：</w:t>
      </w:r>
    </w:p>
    <w:p w14:paraId="58DF9E79">
      <w:pPr>
        <w:ind w:firstLine="480"/>
        <w:rPr>
          <w:rFonts w:ascii="Times New Roman" w:hAnsi="Times New Roman"/>
          <w:highlight w:val="none"/>
        </w:rPr>
      </w:pPr>
      <w:r>
        <w:rPr>
          <w:rFonts w:ascii="Times New Roman" w:hAnsi="Times New Roman"/>
          <w:highlight w:val="none"/>
        </w:rPr>
        <w:t>除尘：</w:t>
      </w:r>
      <w:r>
        <w:rPr>
          <w:rFonts w:hint="eastAsia" w:ascii="Times New Roman" w:hAnsi="Times New Roman"/>
          <w:highlight w:val="none"/>
          <w:lang w:val="en-US" w:eastAsia="zh-CN"/>
        </w:rPr>
        <w:t>链条</w:t>
      </w:r>
      <w:r>
        <w:rPr>
          <w:rFonts w:ascii="Times New Roman" w:hAnsi="Times New Roman"/>
          <w:highlight w:val="none"/>
        </w:rPr>
        <w:t>锅炉采用布袋除尘器+湿法脱硫除尘，综合除尘效率为99.96%。</w:t>
      </w:r>
    </w:p>
    <w:p w14:paraId="3B81C978">
      <w:pPr>
        <w:ind w:firstLine="480"/>
        <w:rPr>
          <w:rFonts w:ascii="Times New Roman" w:hAnsi="Times New Roman"/>
          <w:highlight w:val="none"/>
        </w:rPr>
      </w:pPr>
      <w:r>
        <w:rPr>
          <w:rFonts w:ascii="Times New Roman" w:hAnsi="Times New Roman"/>
          <w:highlight w:val="none"/>
        </w:rPr>
        <w:t>脱硫：采用石灰石-石膏法脱硫系统，脱硫效率为97%。</w:t>
      </w:r>
    </w:p>
    <w:p w14:paraId="2733B4F7">
      <w:pPr>
        <w:ind w:firstLine="480"/>
        <w:rPr>
          <w:rFonts w:ascii="Times New Roman" w:hAnsi="Times New Roman"/>
          <w:highlight w:val="none"/>
        </w:rPr>
      </w:pPr>
      <w:r>
        <w:rPr>
          <w:rFonts w:ascii="Times New Roman" w:hAnsi="Times New Roman"/>
          <w:highlight w:val="none"/>
        </w:rPr>
        <w:t>脱硝：</w:t>
      </w:r>
      <w:r>
        <w:rPr>
          <w:rFonts w:hint="eastAsia" w:ascii="Times New Roman" w:hAnsi="Times New Roman"/>
          <w:highlight w:val="none"/>
          <w:lang w:val="en-US" w:eastAsia="zh-CN"/>
        </w:rPr>
        <w:t>链条</w:t>
      </w:r>
      <w:r>
        <w:rPr>
          <w:rFonts w:ascii="Times New Roman" w:hAnsi="Times New Roman"/>
          <w:highlight w:val="none"/>
        </w:rPr>
        <w:t>锅炉选用低氮燃烧+SNCR-SCR脱硝，</w:t>
      </w:r>
      <w:r>
        <w:rPr>
          <w:rFonts w:hint="eastAsia" w:ascii="Times New Roman" w:hAnsi="Times New Roman"/>
          <w:highlight w:val="none"/>
        </w:rPr>
        <w:t>根据</w:t>
      </w:r>
      <w:r>
        <w:rPr>
          <w:rFonts w:hint="eastAsia" w:ascii="Times New Roman" w:hAnsi="Times New Roman"/>
          <w:highlight w:val="none"/>
          <w:lang w:val="en-US" w:eastAsia="zh-CN"/>
        </w:rPr>
        <w:t>现状实测</w:t>
      </w:r>
      <w:r>
        <w:rPr>
          <w:rFonts w:hint="eastAsia" w:ascii="Times New Roman" w:hAnsi="Times New Roman"/>
          <w:highlight w:val="none"/>
        </w:rPr>
        <w:t>可知，</w:t>
      </w:r>
      <w:r>
        <w:rPr>
          <w:rFonts w:ascii="Times New Roman" w:hAnsi="Times New Roman"/>
          <w:highlight w:val="none"/>
        </w:rPr>
        <w:t>通过锅炉NOx初始排放</w:t>
      </w:r>
      <w:r>
        <w:rPr>
          <w:rFonts w:hint="eastAsia" w:ascii="Times New Roman" w:hAnsi="Times New Roman"/>
          <w:highlight w:val="none"/>
          <w:lang w:val="en-US" w:eastAsia="zh-CN"/>
        </w:rPr>
        <w:t>平均</w:t>
      </w:r>
      <w:r>
        <w:rPr>
          <w:rFonts w:ascii="Times New Roman" w:hAnsi="Times New Roman"/>
          <w:highlight w:val="none"/>
        </w:rPr>
        <w:t>浓度</w:t>
      </w:r>
      <w:r>
        <w:rPr>
          <w:rFonts w:hint="eastAsia" w:ascii="Times New Roman" w:hAnsi="Times New Roman"/>
          <w:highlight w:val="none"/>
          <w:lang w:val="en-US" w:eastAsia="zh-CN"/>
        </w:rPr>
        <w:t>为916</w:t>
      </w:r>
      <w:r>
        <w:rPr>
          <w:rFonts w:ascii="Times New Roman" w:hAnsi="Times New Roman"/>
          <w:highlight w:val="none"/>
        </w:rPr>
        <w:t>mg/Nm</w:t>
      </w:r>
      <w:r>
        <w:rPr>
          <w:rFonts w:ascii="Times New Roman" w:hAnsi="Times New Roman"/>
          <w:highlight w:val="none"/>
          <w:vertAlign w:val="superscript"/>
        </w:rPr>
        <w:t>3</w:t>
      </w:r>
      <w:r>
        <w:rPr>
          <w:rFonts w:ascii="Times New Roman" w:hAnsi="Times New Roman"/>
          <w:highlight w:val="none"/>
        </w:rPr>
        <w:t>，SNCR-SCR脱硝效率为</w:t>
      </w:r>
      <w:r>
        <w:rPr>
          <w:rFonts w:hint="eastAsia" w:ascii="Times New Roman" w:hAnsi="Times New Roman"/>
          <w:highlight w:val="none"/>
          <w:lang w:val="en-US" w:eastAsia="zh-CN"/>
        </w:rPr>
        <w:t>99.13</w:t>
      </w:r>
      <w:r>
        <w:rPr>
          <w:rFonts w:ascii="Times New Roman" w:hAnsi="Times New Roman"/>
          <w:highlight w:val="none"/>
        </w:rPr>
        <w:t>%。</w:t>
      </w:r>
    </w:p>
    <w:p w14:paraId="5F28DF65">
      <w:pPr>
        <w:ind w:firstLine="480"/>
        <w:rPr>
          <w:rFonts w:ascii="Times New Roman" w:hAnsi="Times New Roman"/>
          <w:highlight w:val="none"/>
        </w:rPr>
      </w:pPr>
      <w:r>
        <w:rPr>
          <w:rFonts w:ascii="Times New Roman" w:hAnsi="Times New Roman"/>
          <w:highlight w:val="none"/>
        </w:rPr>
        <w:t>汞及其化合物：协同去除效率</w:t>
      </w:r>
      <w:r>
        <w:rPr>
          <w:rFonts w:hint="eastAsia" w:ascii="Times New Roman" w:hAnsi="Times New Roman"/>
          <w:highlight w:val="none"/>
        </w:rPr>
        <w:t>7</w:t>
      </w:r>
      <w:r>
        <w:rPr>
          <w:rFonts w:ascii="Times New Roman" w:hAnsi="Times New Roman"/>
          <w:highlight w:val="none"/>
        </w:rPr>
        <w:t>0%。</w:t>
      </w:r>
    </w:p>
    <w:p w14:paraId="7B2036D7">
      <w:pPr>
        <w:ind w:firstLine="480"/>
        <w:rPr>
          <w:rFonts w:ascii="Times New Roman" w:hAnsi="Times New Roman"/>
          <w:highlight w:val="none"/>
        </w:rPr>
      </w:pPr>
      <w:r>
        <w:rPr>
          <w:rFonts w:ascii="Times New Roman" w:hAnsi="Times New Roman"/>
          <w:highlight w:val="none"/>
        </w:rPr>
        <w:t>本评价源强核算采用《污染源源强核算技术指南 锅炉》（HJ 991-2018），锅炉废气污染源源强核算参数值见表3.3-1。</w:t>
      </w:r>
    </w:p>
    <w:p w14:paraId="460E6817">
      <w:pPr>
        <w:ind w:firstLine="0" w:firstLineChars="0"/>
        <w:jc w:val="center"/>
        <w:rPr>
          <w:rFonts w:ascii="Times New Roman" w:hAnsi="Times New Roman"/>
          <w:highlight w:val="none"/>
        </w:rPr>
      </w:pPr>
      <w:r>
        <w:rPr>
          <w:rFonts w:ascii="Times New Roman" w:hAnsi="Times New Roman"/>
          <w:b/>
          <w:bCs/>
          <w:highlight w:val="none"/>
        </w:rPr>
        <w:t>表3.3-1锅炉废气污染源源强核算参数值</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72"/>
        <w:gridCol w:w="1214"/>
        <w:gridCol w:w="1650"/>
        <w:gridCol w:w="1079"/>
        <w:gridCol w:w="2407"/>
      </w:tblGrid>
      <w:tr w14:paraId="4795BE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74" w:hRule="atLeast"/>
          <w:jc w:val="center"/>
        </w:trPr>
        <w:tc>
          <w:tcPr>
            <w:tcW w:w="1274" w:type="pct"/>
            <w:noWrap w:val="0"/>
            <w:vAlign w:val="center"/>
          </w:tcPr>
          <w:p w14:paraId="22CFBE0E">
            <w:pPr>
              <w:pStyle w:val="2"/>
              <w:rPr>
                <w:kern w:val="0"/>
                <w:highlight w:val="none"/>
              </w:rPr>
            </w:pPr>
            <w:r>
              <w:rPr>
                <w:kern w:val="0"/>
                <w:highlight w:val="none"/>
              </w:rPr>
              <w:t>锅炉型号参数值</w:t>
            </w:r>
          </w:p>
        </w:tc>
        <w:tc>
          <w:tcPr>
            <w:tcW w:w="712" w:type="pct"/>
            <w:noWrap w:val="0"/>
            <w:vAlign w:val="center"/>
          </w:tcPr>
          <w:p w14:paraId="3B0E7F9F">
            <w:pPr>
              <w:pStyle w:val="2"/>
              <w:rPr>
                <w:kern w:val="0"/>
                <w:highlight w:val="none"/>
              </w:rPr>
            </w:pPr>
            <w:r>
              <w:rPr>
                <w:kern w:val="0"/>
                <w:highlight w:val="none"/>
              </w:rPr>
              <w:t>飞灰份额（dfh%）</w:t>
            </w:r>
          </w:p>
        </w:tc>
        <w:tc>
          <w:tcPr>
            <w:tcW w:w="968" w:type="pct"/>
            <w:noWrap w:val="0"/>
            <w:vAlign w:val="center"/>
          </w:tcPr>
          <w:p w14:paraId="76EDC7F9">
            <w:pPr>
              <w:pStyle w:val="2"/>
              <w:rPr>
                <w:kern w:val="0"/>
                <w:highlight w:val="none"/>
              </w:rPr>
            </w:pPr>
            <w:r>
              <w:rPr>
                <w:kern w:val="0"/>
                <w:highlight w:val="none"/>
              </w:rPr>
              <w:t>锅炉机械不完全燃烧热损失（q</w:t>
            </w:r>
            <w:r>
              <w:rPr>
                <w:kern w:val="0"/>
                <w:highlight w:val="none"/>
                <w:vertAlign w:val="subscript"/>
              </w:rPr>
              <w:t>4</w:t>
            </w:r>
            <w:r>
              <w:rPr>
                <w:kern w:val="0"/>
                <w:highlight w:val="none"/>
              </w:rPr>
              <w:t>%）</w:t>
            </w:r>
          </w:p>
        </w:tc>
        <w:tc>
          <w:tcPr>
            <w:tcW w:w="633" w:type="pct"/>
            <w:noWrap w:val="0"/>
            <w:vAlign w:val="center"/>
          </w:tcPr>
          <w:p w14:paraId="0677AF2E">
            <w:pPr>
              <w:pStyle w:val="2"/>
              <w:rPr>
                <w:kern w:val="0"/>
                <w:highlight w:val="none"/>
              </w:rPr>
            </w:pPr>
            <w:r>
              <w:rPr>
                <w:kern w:val="0"/>
                <w:highlight w:val="none"/>
              </w:rPr>
              <w:t>燃料中硫转化率（k）</w:t>
            </w:r>
          </w:p>
        </w:tc>
        <w:tc>
          <w:tcPr>
            <w:tcW w:w="1412" w:type="pct"/>
            <w:noWrap w:val="0"/>
            <w:vAlign w:val="center"/>
          </w:tcPr>
          <w:p w14:paraId="69C61090">
            <w:pPr>
              <w:pStyle w:val="2"/>
              <w:rPr>
                <w:kern w:val="0"/>
                <w:highlight w:val="none"/>
              </w:rPr>
            </w:pPr>
            <w:r>
              <w:rPr>
                <w:kern w:val="0"/>
                <w:highlight w:val="none"/>
              </w:rPr>
              <w:t>锅炉炉膛出口</w:t>
            </w:r>
            <w:r>
              <w:rPr>
                <w:rFonts w:hint="eastAsia"/>
                <w:kern w:val="0"/>
                <w:highlight w:val="none"/>
                <w:lang w:val="en-US" w:eastAsia="zh-CN"/>
              </w:rPr>
              <w:t>实测</w:t>
            </w:r>
            <w:r>
              <w:rPr>
                <w:kern w:val="0"/>
                <w:highlight w:val="none"/>
              </w:rPr>
              <w:t xml:space="preserve">NOx </w:t>
            </w:r>
            <w:r>
              <w:rPr>
                <w:rFonts w:hint="eastAsia"/>
                <w:kern w:val="0"/>
                <w:highlight w:val="none"/>
                <w:lang w:val="en-US" w:eastAsia="zh-CN"/>
              </w:rPr>
              <w:t>平均</w:t>
            </w:r>
            <w:r>
              <w:rPr>
                <w:kern w:val="0"/>
                <w:highlight w:val="none"/>
              </w:rPr>
              <w:t>浓度（mg/m</w:t>
            </w:r>
            <w:r>
              <w:rPr>
                <w:kern w:val="0"/>
                <w:highlight w:val="none"/>
                <w:vertAlign w:val="superscript"/>
              </w:rPr>
              <w:t>3</w:t>
            </w:r>
            <w:r>
              <w:rPr>
                <w:kern w:val="0"/>
                <w:highlight w:val="none"/>
              </w:rPr>
              <w:t>）</w:t>
            </w:r>
          </w:p>
        </w:tc>
      </w:tr>
      <w:tr w14:paraId="136818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4" w:type="pct"/>
            <w:noWrap w:val="0"/>
            <w:vAlign w:val="center"/>
          </w:tcPr>
          <w:p w14:paraId="18C338E7">
            <w:pPr>
              <w:pStyle w:val="2"/>
              <w:rPr>
                <w:kern w:val="0"/>
                <w:highlight w:val="none"/>
              </w:rPr>
            </w:pPr>
            <w:r>
              <w:rPr>
                <w:rFonts w:hint="eastAsia"/>
                <w:highlight w:val="none"/>
                <w:lang w:val="en-US" w:eastAsia="zh-CN"/>
              </w:rPr>
              <w:t>116MW+</w:t>
            </w:r>
            <w:r>
              <w:rPr>
                <w:rFonts w:hint="default"/>
                <w:highlight w:val="none"/>
                <w:lang w:val="en-US" w:eastAsia="zh-CN"/>
              </w:rPr>
              <w:t>58</w:t>
            </w:r>
            <w:r>
              <w:rPr>
                <w:rFonts w:hint="eastAsia"/>
                <w:highlight w:val="none"/>
                <w:lang w:val="en-US" w:eastAsia="zh-CN"/>
              </w:rPr>
              <w:t>MW+35t/h</w:t>
            </w:r>
            <w:r>
              <w:rPr>
                <w:rFonts w:hint="eastAsia"/>
                <w:kern w:val="0"/>
                <w:highlight w:val="none"/>
                <w:lang w:val="en-US" w:eastAsia="zh-CN"/>
              </w:rPr>
              <w:t>链条</w:t>
            </w:r>
            <w:r>
              <w:rPr>
                <w:kern w:val="0"/>
                <w:highlight w:val="none"/>
              </w:rPr>
              <w:t>锅炉</w:t>
            </w:r>
          </w:p>
        </w:tc>
        <w:tc>
          <w:tcPr>
            <w:tcW w:w="712" w:type="pct"/>
            <w:noWrap w:val="0"/>
            <w:vAlign w:val="center"/>
          </w:tcPr>
          <w:p w14:paraId="67977840">
            <w:pPr>
              <w:pStyle w:val="2"/>
              <w:rPr>
                <w:kern w:val="0"/>
                <w:highlight w:val="none"/>
              </w:rPr>
            </w:pPr>
            <w:r>
              <w:rPr>
                <w:rFonts w:hint="eastAsia"/>
                <w:kern w:val="0"/>
                <w:highlight w:val="none"/>
                <w:lang w:val="en-US" w:eastAsia="zh-CN"/>
              </w:rPr>
              <w:t>10</w:t>
            </w:r>
            <w:r>
              <w:rPr>
                <w:rFonts w:hint="eastAsia"/>
                <w:kern w:val="0"/>
                <w:highlight w:val="none"/>
              </w:rPr>
              <w:t>~</w:t>
            </w:r>
            <w:r>
              <w:rPr>
                <w:rFonts w:hint="eastAsia"/>
                <w:kern w:val="0"/>
                <w:highlight w:val="none"/>
                <w:lang w:val="en-US" w:eastAsia="zh-CN"/>
              </w:rPr>
              <w:t>20</w:t>
            </w:r>
            <w:r>
              <w:rPr>
                <w:rFonts w:hint="eastAsia"/>
                <w:kern w:val="0"/>
                <w:highlight w:val="none"/>
              </w:rPr>
              <w:t>（本项目值</w:t>
            </w:r>
            <w:r>
              <w:rPr>
                <w:rFonts w:hint="eastAsia"/>
                <w:kern w:val="0"/>
                <w:highlight w:val="none"/>
                <w:lang w:val="en-US" w:eastAsia="zh-CN"/>
              </w:rPr>
              <w:t>2</w:t>
            </w:r>
            <w:r>
              <w:rPr>
                <w:rFonts w:hint="eastAsia"/>
                <w:kern w:val="0"/>
                <w:highlight w:val="none"/>
              </w:rPr>
              <w:t>0）</w:t>
            </w:r>
          </w:p>
        </w:tc>
        <w:tc>
          <w:tcPr>
            <w:tcW w:w="968" w:type="pct"/>
            <w:noWrap w:val="0"/>
            <w:vAlign w:val="center"/>
          </w:tcPr>
          <w:p w14:paraId="3143462F">
            <w:pPr>
              <w:pStyle w:val="2"/>
              <w:rPr>
                <w:rFonts w:hint="default" w:eastAsia="宋体"/>
                <w:kern w:val="0"/>
                <w:highlight w:val="none"/>
                <w:lang w:val="en-US" w:eastAsia="zh-CN"/>
              </w:rPr>
            </w:pPr>
            <w:r>
              <w:rPr>
                <w:kern w:val="0"/>
                <w:highlight w:val="none"/>
              </w:rPr>
              <w:t>5</w:t>
            </w:r>
            <w:r>
              <w:rPr>
                <w:rFonts w:hint="eastAsia"/>
                <w:kern w:val="0"/>
                <w:highlight w:val="none"/>
                <w:lang w:val="en-US" w:eastAsia="zh-CN"/>
              </w:rPr>
              <w:t>~15（本项目取10%）</w:t>
            </w:r>
          </w:p>
        </w:tc>
        <w:tc>
          <w:tcPr>
            <w:tcW w:w="633" w:type="pct"/>
            <w:noWrap w:val="0"/>
            <w:vAlign w:val="center"/>
          </w:tcPr>
          <w:p w14:paraId="269BDB35">
            <w:pPr>
              <w:pStyle w:val="2"/>
              <w:rPr>
                <w:rFonts w:hint="default" w:eastAsia="宋体"/>
                <w:kern w:val="0"/>
                <w:highlight w:val="none"/>
                <w:lang w:val="en-US" w:eastAsia="zh-CN"/>
              </w:rPr>
            </w:pPr>
            <w:r>
              <w:rPr>
                <w:rFonts w:hint="eastAsia"/>
                <w:kern w:val="0"/>
                <w:highlight w:val="none"/>
                <w:lang w:val="en-US" w:eastAsia="zh-CN"/>
              </w:rPr>
              <w:t>0.80~0.85（本项目取0.80）</w:t>
            </w:r>
          </w:p>
        </w:tc>
        <w:tc>
          <w:tcPr>
            <w:tcW w:w="1412" w:type="pct"/>
            <w:noWrap w:val="0"/>
            <w:vAlign w:val="center"/>
          </w:tcPr>
          <w:p w14:paraId="4BF6DE85">
            <w:pPr>
              <w:pStyle w:val="2"/>
              <w:rPr>
                <w:rFonts w:hint="default" w:eastAsia="宋体"/>
                <w:kern w:val="0"/>
                <w:highlight w:val="none"/>
                <w:lang w:val="en-US" w:eastAsia="zh-CN"/>
              </w:rPr>
            </w:pPr>
            <w:r>
              <w:rPr>
                <w:rFonts w:hint="eastAsia"/>
                <w:kern w:val="0"/>
                <w:highlight w:val="none"/>
                <w:lang w:val="en-US" w:eastAsia="zh-CN"/>
              </w:rPr>
              <w:t>916</w:t>
            </w:r>
          </w:p>
        </w:tc>
      </w:tr>
    </w:tbl>
    <w:p w14:paraId="007B9BEF">
      <w:pPr>
        <w:ind w:firstLine="480"/>
        <w:rPr>
          <w:rFonts w:ascii="Times New Roman" w:hAnsi="Times New Roman"/>
          <w:highlight w:val="none"/>
        </w:rPr>
      </w:pPr>
      <w:r>
        <w:rPr>
          <w:rFonts w:ascii="Times New Roman" w:hAnsi="Times New Roman"/>
          <w:highlight w:val="none"/>
        </w:rPr>
        <w:t>计算过程如下：</w:t>
      </w:r>
    </w:p>
    <w:p w14:paraId="6E1DA47C">
      <w:pPr>
        <w:ind w:firstLine="480"/>
        <w:rPr>
          <w:rFonts w:ascii="Times New Roman" w:hAnsi="Times New Roman"/>
          <w:highlight w:val="none"/>
        </w:rPr>
      </w:pPr>
      <w:r>
        <w:rPr>
          <w:rFonts w:ascii="Times New Roman" w:hAnsi="Times New Roman"/>
          <w:highlight w:val="none"/>
        </w:rPr>
        <w:t>（1）烟气量</w:t>
      </w:r>
    </w:p>
    <w:p w14:paraId="4EC22B6C">
      <w:pPr>
        <w:ind w:firstLine="480"/>
        <w:rPr>
          <w:rFonts w:ascii="Times New Roman" w:hAnsi="Times New Roman"/>
          <w:highlight w:val="none"/>
        </w:rPr>
      </w:pPr>
      <w:r>
        <w:rPr>
          <w:rFonts w:ascii="Times New Roman" w:hAnsi="Times New Roman"/>
          <w:highlight w:val="none"/>
        </w:rPr>
        <w:t>1kg收到基固体或液体燃料完全燃烧所需理论空气量V</w:t>
      </w:r>
      <w:r>
        <w:rPr>
          <w:rFonts w:ascii="Times New Roman" w:hAnsi="Times New Roman"/>
          <w:highlight w:val="none"/>
          <w:vertAlign w:val="subscript"/>
        </w:rPr>
        <w:t>0</w:t>
      </w:r>
      <w:r>
        <w:rPr>
          <w:rFonts w:ascii="Times New Roman" w:hAnsi="Times New Roman"/>
          <w:highlight w:val="none"/>
        </w:rPr>
        <w:t>为：</w:t>
      </w:r>
    </w:p>
    <w:p w14:paraId="28C216CE">
      <w:pPr>
        <w:ind w:firstLine="0" w:firstLineChars="0"/>
        <w:jc w:val="center"/>
        <w:rPr>
          <w:rFonts w:ascii="Times New Roman" w:hAnsi="Times New Roman"/>
          <w:highlight w:val="none"/>
        </w:rPr>
      </w:pPr>
      <w:r>
        <w:rPr>
          <w:rFonts w:ascii="Times New Roman" w:hAnsi="Times New Roman"/>
          <w:highlight w:val="none"/>
        </w:rPr>
        <w:drawing>
          <wp:inline distT="0" distB="0" distL="114300" distR="114300">
            <wp:extent cx="4914900" cy="400050"/>
            <wp:effectExtent l="0" t="0" r="0" b="0"/>
            <wp:docPr id="10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
                    <pic:cNvPicPr>
                      <a:picLocks noChangeAspect="1"/>
                    </pic:cNvPicPr>
                  </pic:nvPicPr>
                  <pic:blipFill>
                    <a:blip r:embed="rId21"/>
                    <a:stretch>
                      <a:fillRect/>
                    </a:stretch>
                  </pic:blipFill>
                  <pic:spPr>
                    <a:xfrm>
                      <a:off x="0" y="0"/>
                      <a:ext cx="4914900" cy="400050"/>
                    </a:xfrm>
                    <a:prstGeom prst="rect">
                      <a:avLst/>
                    </a:prstGeom>
                    <a:noFill/>
                    <a:ln>
                      <a:noFill/>
                    </a:ln>
                  </pic:spPr>
                </pic:pic>
              </a:graphicData>
            </a:graphic>
          </wp:inline>
        </w:drawing>
      </w:r>
    </w:p>
    <w:p w14:paraId="5097A999">
      <w:pPr>
        <w:ind w:firstLine="480"/>
        <w:rPr>
          <w:rFonts w:ascii="Times New Roman" w:hAnsi="Times New Roman"/>
          <w:highlight w:val="none"/>
        </w:rPr>
      </w:pPr>
      <w:r>
        <w:rPr>
          <w:rFonts w:ascii="Times New Roman" w:hAnsi="Times New Roman"/>
          <w:highlight w:val="none"/>
        </w:rPr>
        <w:t>式中：</w:t>
      </w:r>
    </w:p>
    <w:p w14:paraId="63C1934E">
      <w:pPr>
        <w:ind w:firstLine="480"/>
        <w:rPr>
          <w:rFonts w:ascii="Times New Roman" w:hAnsi="Times New Roman"/>
          <w:highlight w:val="none"/>
        </w:rPr>
      </w:pPr>
      <w:r>
        <w:rPr>
          <w:rFonts w:ascii="Times New Roman" w:hAnsi="Times New Roman"/>
          <w:highlight w:val="none"/>
        </w:rPr>
        <w:t>V</w:t>
      </w:r>
      <w:r>
        <w:rPr>
          <w:rFonts w:ascii="Times New Roman" w:hAnsi="Times New Roman"/>
          <w:highlight w:val="none"/>
          <w:vertAlign w:val="subscript"/>
        </w:rPr>
        <w:t>0</w:t>
      </w:r>
      <w:r>
        <w:rPr>
          <w:rFonts w:ascii="Times New Roman" w:hAnsi="Times New Roman"/>
          <w:highlight w:val="none"/>
        </w:rPr>
        <w:t>—理论空气量，m</w:t>
      </w:r>
      <w:r>
        <w:rPr>
          <w:rFonts w:ascii="Times New Roman" w:hAnsi="Times New Roman"/>
          <w:highlight w:val="none"/>
          <w:vertAlign w:val="superscript"/>
        </w:rPr>
        <w:t>3</w:t>
      </w:r>
      <w:r>
        <w:rPr>
          <w:rFonts w:ascii="Times New Roman" w:hAnsi="Times New Roman"/>
          <w:highlight w:val="none"/>
        </w:rPr>
        <w:t>/kg；</w:t>
      </w:r>
    </w:p>
    <w:p w14:paraId="04EF489D">
      <w:pPr>
        <w:ind w:firstLine="480"/>
        <w:rPr>
          <w:rFonts w:ascii="Times New Roman" w:hAnsi="Times New Roman"/>
          <w:highlight w:val="none"/>
        </w:rPr>
      </w:pPr>
      <w:r>
        <w:rPr>
          <w:rFonts w:ascii="Times New Roman" w:hAnsi="Times New Roman"/>
          <w:highlight w:val="none"/>
        </w:rPr>
        <w:t>C</w:t>
      </w:r>
      <w:r>
        <w:rPr>
          <w:rFonts w:ascii="Times New Roman" w:hAnsi="Times New Roman"/>
          <w:highlight w:val="none"/>
          <w:vertAlign w:val="subscript"/>
        </w:rPr>
        <w:t>ar</w:t>
      </w:r>
      <w:r>
        <w:rPr>
          <w:rFonts w:ascii="Times New Roman" w:hAnsi="Times New Roman"/>
          <w:highlight w:val="none"/>
        </w:rPr>
        <w:t>—收到基碳的质量分数，%；取</w:t>
      </w:r>
      <w:r>
        <w:rPr>
          <w:rFonts w:hint="eastAsia" w:ascii="Times New Roman" w:hAnsi="Times New Roman"/>
          <w:highlight w:val="none"/>
          <w:lang w:val="en-US" w:eastAsia="zh-CN"/>
        </w:rPr>
        <w:t>49.21</w:t>
      </w:r>
      <w:r>
        <w:rPr>
          <w:rFonts w:ascii="Times New Roman" w:hAnsi="Times New Roman"/>
          <w:highlight w:val="none"/>
        </w:rPr>
        <w:t>；</w:t>
      </w:r>
    </w:p>
    <w:p w14:paraId="6BACA946">
      <w:pPr>
        <w:ind w:firstLine="480"/>
        <w:rPr>
          <w:rFonts w:ascii="Times New Roman" w:hAnsi="Times New Roman"/>
          <w:highlight w:val="none"/>
        </w:rPr>
      </w:pPr>
      <w:r>
        <w:rPr>
          <w:rFonts w:ascii="Times New Roman" w:hAnsi="Times New Roman"/>
          <w:highlight w:val="none"/>
        </w:rPr>
        <w:t>S</w:t>
      </w:r>
      <w:r>
        <w:rPr>
          <w:rFonts w:ascii="Times New Roman" w:hAnsi="Times New Roman"/>
          <w:highlight w:val="none"/>
          <w:vertAlign w:val="subscript"/>
        </w:rPr>
        <w:t>ar</w:t>
      </w:r>
      <w:r>
        <w:rPr>
          <w:rFonts w:ascii="Times New Roman" w:hAnsi="Times New Roman"/>
          <w:highlight w:val="none"/>
        </w:rPr>
        <w:t>—收到基硫的质量分数，%；取</w:t>
      </w:r>
      <w:r>
        <w:rPr>
          <w:rFonts w:hint="eastAsia" w:ascii="Times New Roman" w:hAnsi="Times New Roman"/>
          <w:highlight w:val="none"/>
          <w:lang w:val="en-US" w:eastAsia="zh-CN"/>
        </w:rPr>
        <w:t>0.21</w:t>
      </w:r>
      <w:r>
        <w:rPr>
          <w:rFonts w:ascii="Times New Roman" w:hAnsi="Times New Roman"/>
          <w:highlight w:val="none"/>
        </w:rPr>
        <w:t>；</w:t>
      </w:r>
    </w:p>
    <w:p w14:paraId="16A404D8">
      <w:pPr>
        <w:ind w:firstLine="480"/>
        <w:rPr>
          <w:rFonts w:ascii="Times New Roman" w:hAnsi="Times New Roman"/>
          <w:highlight w:val="none"/>
        </w:rPr>
      </w:pPr>
      <w:r>
        <w:rPr>
          <w:rFonts w:ascii="Times New Roman" w:hAnsi="Times New Roman"/>
          <w:highlight w:val="none"/>
        </w:rPr>
        <w:t>H</w:t>
      </w:r>
      <w:r>
        <w:rPr>
          <w:rFonts w:ascii="Times New Roman" w:hAnsi="Times New Roman"/>
          <w:highlight w:val="none"/>
          <w:vertAlign w:val="subscript"/>
        </w:rPr>
        <w:t>ar</w:t>
      </w:r>
      <w:r>
        <w:rPr>
          <w:rFonts w:ascii="Times New Roman" w:hAnsi="Times New Roman"/>
          <w:highlight w:val="none"/>
        </w:rPr>
        <w:t>—收到基氢的质量分数，%；取</w:t>
      </w:r>
      <w:r>
        <w:rPr>
          <w:rFonts w:hint="eastAsia" w:ascii="Times New Roman" w:hAnsi="Times New Roman"/>
          <w:highlight w:val="none"/>
        </w:rPr>
        <w:t>3.16</w:t>
      </w:r>
      <w:r>
        <w:rPr>
          <w:rFonts w:ascii="Times New Roman" w:hAnsi="Times New Roman"/>
          <w:highlight w:val="none"/>
        </w:rPr>
        <w:t>；</w:t>
      </w:r>
    </w:p>
    <w:p w14:paraId="5AE2E980">
      <w:pPr>
        <w:ind w:firstLine="480"/>
        <w:rPr>
          <w:rFonts w:ascii="Times New Roman" w:hAnsi="Times New Roman"/>
          <w:highlight w:val="none"/>
        </w:rPr>
      </w:pPr>
      <w:r>
        <w:rPr>
          <w:rFonts w:ascii="Times New Roman" w:hAnsi="Times New Roman"/>
          <w:highlight w:val="none"/>
        </w:rPr>
        <w:t>O</w:t>
      </w:r>
      <w:r>
        <w:rPr>
          <w:rFonts w:ascii="Times New Roman" w:hAnsi="Times New Roman"/>
          <w:highlight w:val="none"/>
          <w:vertAlign w:val="subscript"/>
        </w:rPr>
        <w:t>ar</w:t>
      </w:r>
      <w:r>
        <w:rPr>
          <w:rFonts w:ascii="Times New Roman" w:hAnsi="Times New Roman"/>
          <w:highlight w:val="none"/>
        </w:rPr>
        <w:t>—收到基氧的质量分数，%；取</w:t>
      </w:r>
      <w:r>
        <w:rPr>
          <w:rFonts w:hint="eastAsia" w:ascii="Times New Roman" w:hAnsi="Times New Roman"/>
          <w:highlight w:val="none"/>
          <w:lang w:val="en-US" w:eastAsia="zh-CN"/>
        </w:rPr>
        <w:t>6.93</w:t>
      </w:r>
      <w:r>
        <w:rPr>
          <w:rFonts w:ascii="Times New Roman" w:hAnsi="Times New Roman"/>
          <w:highlight w:val="none"/>
        </w:rPr>
        <w:t>；</w:t>
      </w:r>
    </w:p>
    <w:p w14:paraId="1A60AFB8">
      <w:pPr>
        <w:ind w:firstLine="480"/>
        <w:rPr>
          <w:rFonts w:ascii="Times New Roman" w:hAnsi="Times New Roman"/>
          <w:highlight w:val="none"/>
        </w:rPr>
      </w:pPr>
      <w:r>
        <w:rPr>
          <w:rFonts w:ascii="Times New Roman" w:hAnsi="Times New Roman"/>
          <w:highlight w:val="none"/>
        </w:rPr>
        <w:t>经计算，本项目理论空气量V</w:t>
      </w:r>
      <w:r>
        <w:rPr>
          <w:rFonts w:ascii="Times New Roman" w:hAnsi="Times New Roman"/>
          <w:highlight w:val="none"/>
          <w:vertAlign w:val="subscript"/>
        </w:rPr>
        <w:t>0</w:t>
      </w:r>
      <w:r>
        <w:rPr>
          <w:rFonts w:ascii="Times New Roman" w:hAnsi="Times New Roman"/>
          <w:highlight w:val="none"/>
        </w:rPr>
        <w:t>为</w:t>
      </w:r>
      <w:r>
        <w:rPr>
          <w:rFonts w:hint="eastAsia" w:ascii="Times New Roman" w:hAnsi="Times New Roman"/>
          <w:highlight w:val="none"/>
          <w:lang w:val="en-US" w:eastAsia="zh-CN"/>
        </w:rPr>
        <w:t>4.99</w:t>
      </w:r>
      <w:r>
        <w:rPr>
          <w:rFonts w:ascii="Times New Roman" w:hAnsi="Times New Roman"/>
          <w:highlight w:val="none"/>
        </w:rPr>
        <w:t>m</w:t>
      </w:r>
      <w:r>
        <w:rPr>
          <w:rFonts w:ascii="Times New Roman" w:hAnsi="Times New Roman"/>
          <w:highlight w:val="none"/>
          <w:vertAlign w:val="superscript"/>
        </w:rPr>
        <w:t>3</w:t>
      </w:r>
      <w:r>
        <w:rPr>
          <w:rFonts w:ascii="Times New Roman" w:hAnsi="Times New Roman"/>
          <w:highlight w:val="none"/>
        </w:rPr>
        <w:t>/kg。</w:t>
      </w:r>
    </w:p>
    <w:p w14:paraId="347A0068">
      <w:pPr>
        <w:ind w:firstLine="0" w:firstLineChars="0"/>
        <w:jc w:val="center"/>
        <w:rPr>
          <w:rFonts w:ascii="Times New Roman" w:hAnsi="Times New Roman"/>
          <w:highlight w:val="none"/>
        </w:rPr>
      </w:pPr>
      <w:r>
        <w:rPr>
          <w:rFonts w:ascii="Times New Roman" w:hAnsi="Times New Roman"/>
          <w:kern w:val="0"/>
          <w:szCs w:val="24"/>
          <w:highlight w:val="none"/>
        </w:rPr>
        <w:drawing>
          <wp:inline distT="0" distB="0" distL="114300" distR="114300">
            <wp:extent cx="3898900" cy="695325"/>
            <wp:effectExtent l="0" t="0" r="6350" b="9525"/>
            <wp:docPr id="102" name="图片 3"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 descr="图片6"/>
                    <pic:cNvPicPr>
                      <a:picLocks noChangeAspect="1"/>
                    </pic:cNvPicPr>
                  </pic:nvPicPr>
                  <pic:blipFill>
                    <a:blip r:embed="rId22"/>
                    <a:stretch>
                      <a:fillRect/>
                    </a:stretch>
                  </pic:blipFill>
                  <pic:spPr>
                    <a:xfrm>
                      <a:off x="0" y="0"/>
                      <a:ext cx="3898900" cy="695325"/>
                    </a:xfrm>
                    <a:prstGeom prst="rect">
                      <a:avLst/>
                    </a:prstGeom>
                    <a:noFill/>
                    <a:ln>
                      <a:noFill/>
                    </a:ln>
                  </pic:spPr>
                </pic:pic>
              </a:graphicData>
            </a:graphic>
          </wp:inline>
        </w:drawing>
      </w:r>
    </w:p>
    <w:p w14:paraId="4DC8C127">
      <w:pPr>
        <w:ind w:firstLine="0" w:firstLineChars="0"/>
        <w:jc w:val="center"/>
        <w:rPr>
          <w:rFonts w:ascii="Times New Roman" w:hAnsi="Times New Roman"/>
          <w:highlight w:val="none"/>
        </w:rPr>
      </w:pPr>
      <w:r>
        <w:rPr>
          <w:rFonts w:ascii="Times New Roman" w:hAnsi="Times New Roman"/>
          <w:sz w:val="21"/>
          <w:szCs w:val="24"/>
          <w:highlight w:val="none"/>
        </w:rPr>
        <w:drawing>
          <wp:inline distT="0" distB="0" distL="114300" distR="114300">
            <wp:extent cx="4248150" cy="1965960"/>
            <wp:effectExtent l="0" t="0" r="0" b="15240"/>
            <wp:docPr id="103" name="图片 4"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 descr="图片7"/>
                    <pic:cNvPicPr>
                      <a:picLocks noChangeAspect="1"/>
                    </pic:cNvPicPr>
                  </pic:nvPicPr>
                  <pic:blipFill>
                    <a:blip r:embed="rId23"/>
                    <a:stretch>
                      <a:fillRect/>
                    </a:stretch>
                  </pic:blipFill>
                  <pic:spPr>
                    <a:xfrm>
                      <a:off x="0" y="0"/>
                      <a:ext cx="4248150" cy="1965960"/>
                    </a:xfrm>
                    <a:prstGeom prst="rect">
                      <a:avLst/>
                    </a:prstGeom>
                    <a:noFill/>
                    <a:ln>
                      <a:noFill/>
                    </a:ln>
                  </pic:spPr>
                </pic:pic>
              </a:graphicData>
            </a:graphic>
          </wp:inline>
        </w:drawing>
      </w:r>
    </w:p>
    <w:p w14:paraId="0C333A1D">
      <w:pPr>
        <w:ind w:firstLine="480"/>
        <w:rPr>
          <w:rFonts w:ascii="Times New Roman" w:hAnsi="Times New Roman"/>
          <w:highlight w:val="none"/>
        </w:rPr>
      </w:pPr>
      <w:r>
        <w:rPr>
          <w:rFonts w:ascii="Times New Roman" w:hAnsi="Times New Roman"/>
          <w:highlight w:val="none"/>
        </w:rPr>
        <w:t>式中：</w:t>
      </w:r>
    </w:p>
    <w:p w14:paraId="222C40AF">
      <w:pPr>
        <w:ind w:firstLine="480"/>
        <w:rPr>
          <w:rFonts w:ascii="Times New Roman" w:hAnsi="Times New Roman"/>
          <w:highlight w:val="none"/>
        </w:rPr>
      </w:pPr>
      <w:r>
        <w:rPr>
          <w:rFonts w:ascii="Times New Roman" w:hAnsi="Times New Roman"/>
          <w:highlight w:val="none"/>
        </w:rPr>
        <w:t>V</w:t>
      </w:r>
      <w:r>
        <w:rPr>
          <w:rFonts w:ascii="Times New Roman" w:hAnsi="Times New Roman"/>
          <w:highlight w:val="none"/>
          <w:vertAlign w:val="subscript"/>
        </w:rPr>
        <w:t>RO2</w:t>
      </w:r>
      <w:r>
        <w:rPr>
          <w:rFonts w:ascii="Times New Roman" w:hAnsi="Times New Roman"/>
          <w:highlight w:val="none"/>
        </w:rPr>
        <w:t>—烟气中二氧化碳(V</w:t>
      </w:r>
      <w:r>
        <w:rPr>
          <w:rFonts w:ascii="Times New Roman" w:hAnsi="Times New Roman"/>
          <w:highlight w:val="none"/>
          <w:vertAlign w:val="subscript"/>
        </w:rPr>
        <w:t>CO2</w:t>
      </w:r>
      <w:r>
        <w:rPr>
          <w:rFonts w:ascii="Times New Roman" w:hAnsi="Times New Roman"/>
          <w:highlight w:val="none"/>
        </w:rPr>
        <w:t>)和二氧化硫(V</w:t>
      </w:r>
      <w:r>
        <w:rPr>
          <w:rFonts w:ascii="Times New Roman" w:hAnsi="Times New Roman"/>
          <w:highlight w:val="none"/>
          <w:vertAlign w:val="subscript"/>
        </w:rPr>
        <w:t>SO2</w:t>
      </w:r>
      <w:r>
        <w:rPr>
          <w:rFonts w:ascii="Times New Roman" w:hAnsi="Times New Roman"/>
          <w:highlight w:val="none"/>
        </w:rPr>
        <w:t>)容积之和，m</w:t>
      </w:r>
      <w:r>
        <w:rPr>
          <w:rFonts w:ascii="Times New Roman" w:hAnsi="Times New Roman"/>
          <w:highlight w:val="none"/>
          <w:vertAlign w:val="superscript"/>
        </w:rPr>
        <w:t>3</w:t>
      </w:r>
      <w:r>
        <w:rPr>
          <w:rFonts w:ascii="Times New Roman" w:hAnsi="Times New Roman"/>
          <w:highlight w:val="none"/>
        </w:rPr>
        <w:t>/kg：取</w:t>
      </w:r>
      <w:r>
        <w:rPr>
          <w:rFonts w:hint="eastAsia" w:ascii="Times New Roman" w:hAnsi="Times New Roman"/>
          <w:highlight w:val="none"/>
          <w:lang w:val="en-US" w:eastAsia="zh-CN"/>
        </w:rPr>
        <w:t>0.92</w:t>
      </w:r>
      <w:r>
        <w:rPr>
          <w:rFonts w:ascii="Times New Roman" w:hAnsi="Times New Roman"/>
          <w:highlight w:val="none"/>
        </w:rPr>
        <w:t>；</w:t>
      </w:r>
    </w:p>
    <w:p w14:paraId="1CF15889">
      <w:pPr>
        <w:ind w:firstLine="480"/>
        <w:rPr>
          <w:rFonts w:ascii="Times New Roman" w:hAnsi="Times New Roman"/>
          <w:highlight w:val="none"/>
        </w:rPr>
      </w:pPr>
      <w:r>
        <w:rPr>
          <w:rFonts w:ascii="Times New Roman" w:hAnsi="Times New Roman"/>
          <w:highlight w:val="none"/>
        </w:rPr>
        <w:t>C</w:t>
      </w:r>
      <w:r>
        <w:rPr>
          <w:rFonts w:ascii="Times New Roman" w:hAnsi="Times New Roman"/>
          <w:highlight w:val="none"/>
          <w:vertAlign w:val="subscript"/>
        </w:rPr>
        <w:t>ar</w:t>
      </w:r>
      <w:r>
        <w:rPr>
          <w:rFonts w:ascii="Times New Roman" w:hAnsi="Times New Roman"/>
          <w:highlight w:val="none"/>
        </w:rPr>
        <w:t>—收到基碳的质量分数，%；取</w:t>
      </w:r>
      <w:r>
        <w:rPr>
          <w:rFonts w:hint="eastAsia" w:ascii="Times New Roman" w:hAnsi="Times New Roman"/>
          <w:highlight w:val="none"/>
          <w:lang w:val="en-US" w:eastAsia="zh-CN"/>
        </w:rPr>
        <w:t>49.21</w:t>
      </w:r>
      <w:r>
        <w:rPr>
          <w:rFonts w:ascii="Times New Roman" w:hAnsi="Times New Roman"/>
          <w:highlight w:val="none"/>
        </w:rPr>
        <w:t>；</w:t>
      </w:r>
    </w:p>
    <w:p w14:paraId="15EB96D6">
      <w:pPr>
        <w:ind w:firstLine="480"/>
        <w:rPr>
          <w:rFonts w:ascii="Times New Roman" w:hAnsi="Times New Roman"/>
          <w:highlight w:val="none"/>
        </w:rPr>
      </w:pPr>
      <w:r>
        <w:rPr>
          <w:rFonts w:ascii="Times New Roman" w:hAnsi="Times New Roman"/>
          <w:highlight w:val="none"/>
        </w:rPr>
        <w:t>S</w:t>
      </w:r>
      <w:r>
        <w:rPr>
          <w:rFonts w:ascii="Times New Roman" w:hAnsi="Times New Roman"/>
          <w:highlight w:val="none"/>
          <w:vertAlign w:val="subscript"/>
        </w:rPr>
        <w:t>ar</w:t>
      </w:r>
      <w:r>
        <w:rPr>
          <w:rFonts w:ascii="Times New Roman" w:hAnsi="Times New Roman"/>
          <w:highlight w:val="none"/>
        </w:rPr>
        <w:t>—收到基硫的质量分数，%；取</w:t>
      </w:r>
      <w:r>
        <w:rPr>
          <w:rFonts w:hint="eastAsia" w:ascii="Times New Roman" w:hAnsi="Times New Roman"/>
          <w:highlight w:val="none"/>
          <w:lang w:val="en-US" w:eastAsia="zh-CN"/>
        </w:rPr>
        <w:t>0.21</w:t>
      </w:r>
      <w:r>
        <w:rPr>
          <w:rFonts w:ascii="Times New Roman" w:hAnsi="Times New Roman"/>
          <w:highlight w:val="none"/>
        </w:rPr>
        <w:t>；</w:t>
      </w:r>
    </w:p>
    <w:p w14:paraId="1A1D5096">
      <w:pPr>
        <w:ind w:firstLine="480"/>
        <w:rPr>
          <w:rFonts w:ascii="Times New Roman" w:hAnsi="Times New Roman"/>
          <w:highlight w:val="none"/>
        </w:rPr>
      </w:pPr>
      <w:r>
        <w:rPr>
          <w:rFonts w:ascii="Times New Roman" w:hAnsi="Times New Roman"/>
          <w:highlight w:val="none"/>
        </w:rPr>
        <w:t>V</w:t>
      </w:r>
      <w:r>
        <w:rPr>
          <w:rFonts w:ascii="Times New Roman" w:hAnsi="Times New Roman"/>
          <w:highlight w:val="none"/>
          <w:vertAlign w:val="subscript"/>
        </w:rPr>
        <w:t>N2</w:t>
      </w:r>
      <w:r>
        <w:rPr>
          <w:rFonts w:ascii="Times New Roman" w:hAnsi="Times New Roman"/>
          <w:highlight w:val="none"/>
        </w:rPr>
        <w:t>—烟气中氮气量，m</w:t>
      </w:r>
      <w:r>
        <w:rPr>
          <w:rFonts w:ascii="Times New Roman" w:hAnsi="Times New Roman"/>
          <w:highlight w:val="none"/>
          <w:vertAlign w:val="superscript"/>
        </w:rPr>
        <w:t>3</w:t>
      </w:r>
      <w:r>
        <w:rPr>
          <w:rFonts w:ascii="Times New Roman" w:hAnsi="Times New Roman"/>
          <w:highlight w:val="none"/>
        </w:rPr>
        <w:t>/kg；取</w:t>
      </w:r>
      <w:r>
        <w:rPr>
          <w:rFonts w:hint="eastAsia" w:ascii="Times New Roman" w:hAnsi="Times New Roman"/>
          <w:highlight w:val="none"/>
          <w:lang w:val="en-US" w:eastAsia="zh-CN"/>
        </w:rPr>
        <w:t>3.95</w:t>
      </w:r>
      <w:r>
        <w:rPr>
          <w:rFonts w:ascii="Times New Roman" w:hAnsi="Times New Roman"/>
          <w:highlight w:val="none"/>
        </w:rPr>
        <w:t>；</w:t>
      </w:r>
    </w:p>
    <w:p w14:paraId="1A7787AB">
      <w:pPr>
        <w:ind w:firstLine="480"/>
        <w:rPr>
          <w:rFonts w:ascii="Times New Roman" w:hAnsi="Times New Roman"/>
          <w:highlight w:val="none"/>
        </w:rPr>
      </w:pPr>
      <w:r>
        <w:rPr>
          <w:rFonts w:ascii="Times New Roman" w:hAnsi="Times New Roman"/>
          <w:highlight w:val="none"/>
        </w:rPr>
        <w:t>N</w:t>
      </w:r>
      <w:r>
        <w:rPr>
          <w:rFonts w:ascii="Times New Roman" w:hAnsi="Times New Roman"/>
          <w:highlight w:val="none"/>
          <w:vertAlign w:val="subscript"/>
        </w:rPr>
        <w:t>ar</w:t>
      </w:r>
      <w:r>
        <w:rPr>
          <w:rFonts w:ascii="Times New Roman" w:hAnsi="Times New Roman"/>
          <w:highlight w:val="none"/>
        </w:rPr>
        <w:t>—收到基氮的质量分数，%；取</w:t>
      </w:r>
      <w:r>
        <w:rPr>
          <w:rFonts w:hint="eastAsia" w:ascii="Times New Roman" w:hAnsi="Times New Roman"/>
          <w:highlight w:val="none"/>
          <w:lang w:val="en-US" w:eastAsia="zh-CN"/>
        </w:rPr>
        <w:t>0.71</w:t>
      </w:r>
      <w:r>
        <w:rPr>
          <w:rFonts w:ascii="Times New Roman" w:hAnsi="Times New Roman"/>
          <w:highlight w:val="none"/>
        </w:rPr>
        <w:t>；</w:t>
      </w:r>
    </w:p>
    <w:p w14:paraId="69D357AC">
      <w:pPr>
        <w:ind w:firstLine="480"/>
        <w:rPr>
          <w:rFonts w:ascii="Times New Roman" w:hAnsi="Times New Roman"/>
          <w:highlight w:val="none"/>
        </w:rPr>
      </w:pPr>
      <w:r>
        <w:rPr>
          <w:rFonts w:ascii="Times New Roman" w:hAnsi="Times New Roman"/>
          <w:highlight w:val="none"/>
        </w:rPr>
        <w:t>V</w:t>
      </w:r>
      <w:r>
        <w:rPr>
          <w:rFonts w:ascii="Times New Roman" w:hAnsi="Times New Roman"/>
          <w:highlight w:val="none"/>
          <w:vertAlign w:val="subscript"/>
        </w:rPr>
        <w:t>0</w:t>
      </w:r>
      <w:r>
        <w:rPr>
          <w:rFonts w:ascii="Times New Roman" w:hAnsi="Times New Roman"/>
          <w:highlight w:val="none"/>
        </w:rPr>
        <w:t>—理论空气量，m</w:t>
      </w:r>
      <w:r>
        <w:rPr>
          <w:rFonts w:ascii="Times New Roman" w:hAnsi="Times New Roman"/>
          <w:highlight w:val="none"/>
          <w:vertAlign w:val="superscript"/>
        </w:rPr>
        <w:t>3</w:t>
      </w:r>
      <w:r>
        <w:rPr>
          <w:rFonts w:ascii="Times New Roman" w:hAnsi="Times New Roman"/>
          <w:highlight w:val="none"/>
        </w:rPr>
        <w:t>/kg；取</w:t>
      </w:r>
      <w:r>
        <w:rPr>
          <w:rFonts w:hint="eastAsia" w:ascii="Times New Roman" w:hAnsi="Times New Roman"/>
          <w:highlight w:val="none"/>
          <w:lang w:val="en-US" w:eastAsia="zh-CN"/>
        </w:rPr>
        <w:t>0.92</w:t>
      </w:r>
      <w:r>
        <w:rPr>
          <w:rFonts w:ascii="Times New Roman" w:hAnsi="Times New Roman"/>
          <w:highlight w:val="none"/>
        </w:rPr>
        <w:t>；</w:t>
      </w:r>
    </w:p>
    <w:p w14:paraId="6B4A6726">
      <w:pPr>
        <w:ind w:firstLine="480"/>
        <w:rPr>
          <w:rFonts w:ascii="Times New Roman" w:hAnsi="Times New Roman"/>
          <w:highlight w:val="none"/>
        </w:rPr>
      </w:pPr>
      <w:r>
        <w:rPr>
          <w:rFonts w:ascii="Times New Roman" w:hAnsi="Times New Roman"/>
          <w:highlight w:val="none"/>
        </w:rPr>
        <w:t>V</w:t>
      </w:r>
      <w:r>
        <w:rPr>
          <w:rFonts w:ascii="Times New Roman" w:hAnsi="Times New Roman"/>
          <w:highlight w:val="none"/>
          <w:vertAlign w:val="subscript"/>
        </w:rPr>
        <w:t>g</w:t>
      </w:r>
      <w:r>
        <w:rPr>
          <w:rFonts w:ascii="Times New Roman" w:hAnsi="Times New Roman"/>
          <w:highlight w:val="none"/>
        </w:rPr>
        <w:t>—干烟气排放量，m</w:t>
      </w:r>
      <w:r>
        <w:rPr>
          <w:rFonts w:ascii="Times New Roman" w:hAnsi="Times New Roman"/>
          <w:highlight w:val="none"/>
          <w:vertAlign w:val="superscript"/>
        </w:rPr>
        <w:t>3</w:t>
      </w:r>
      <w:r>
        <w:rPr>
          <w:rFonts w:ascii="Times New Roman" w:hAnsi="Times New Roman"/>
          <w:highlight w:val="none"/>
        </w:rPr>
        <w:t>/kg；</w:t>
      </w:r>
      <w:r>
        <w:rPr>
          <w:rFonts w:hint="eastAsia" w:ascii="Times New Roman" w:hAnsi="Times New Roman"/>
          <w:highlight w:val="none"/>
          <w:lang w:val="en-US" w:eastAsia="zh-CN"/>
        </w:rPr>
        <w:t>9.308</w:t>
      </w:r>
      <w:r>
        <w:rPr>
          <w:rFonts w:ascii="Times New Roman" w:hAnsi="Times New Roman"/>
          <w:highlight w:val="none"/>
        </w:rPr>
        <w:t>。</w:t>
      </w:r>
    </w:p>
    <w:p w14:paraId="05DD3133">
      <w:pPr>
        <w:ind w:firstLine="480"/>
        <w:rPr>
          <w:rFonts w:ascii="Times New Roman" w:hAnsi="Times New Roman"/>
          <w:highlight w:val="none"/>
        </w:rPr>
      </w:pPr>
      <w:r>
        <w:rPr>
          <w:rFonts w:ascii="Times New Roman" w:hAnsi="Times New Roman"/>
          <w:highlight w:val="none"/>
        </w:rPr>
        <w:t>α—过量空气系数，1.</w:t>
      </w:r>
      <w:r>
        <w:rPr>
          <w:rFonts w:hint="eastAsia" w:ascii="Times New Roman" w:hAnsi="Times New Roman"/>
          <w:highlight w:val="none"/>
        </w:rPr>
        <w:t>40</w:t>
      </w:r>
      <w:r>
        <w:rPr>
          <w:rFonts w:ascii="Times New Roman" w:hAnsi="Times New Roman"/>
          <w:highlight w:val="none"/>
        </w:rPr>
        <w:t>；</w:t>
      </w:r>
    </w:p>
    <w:p w14:paraId="7407AE01">
      <w:pPr>
        <w:ind w:firstLine="480"/>
        <w:rPr>
          <w:rFonts w:ascii="Times New Roman" w:hAnsi="Times New Roman"/>
          <w:highlight w:val="none"/>
        </w:rPr>
      </w:pPr>
      <w:r>
        <w:rPr>
          <w:rFonts w:ascii="Times New Roman" w:hAnsi="Times New Roman"/>
          <w:highlight w:val="none"/>
        </w:rPr>
        <w:t>V</w:t>
      </w:r>
      <w:r>
        <w:rPr>
          <w:rFonts w:ascii="Times New Roman" w:hAnsi="Times New Roman"/>
          <w:highlight w:val="none"/>
          <w:vertAlign w:val="subscript"/>
        </w:rPr>
        <w:t>H2O</w:t>
      </w:r>
      <w:r>
        <w:rPr>
          <w:rFonts w:ascii="Times New Roman" w:hAnsi="Times New Roman"/>
          <w:highlight w:val="none"/>
        </w:rPr>
        <w:t>—烟气中水蒸气量，m</w:t>
      </w:r>
      <w:r>
        <w:rPr>
          <w:rFonts w:ascii="Times New Roman" w:hAnsi="Times New Roman"/>
          <w:highlight w:val="none"/>
          <w:vertAlign w:val="superscript"/>
        </w:rPr>
        <w:t>3</w:t>
      </w:r>
      <w:r>
        <w:rPr>
          <w:rFonts w:ascii="Times New Roman" w:hAnsi="Times New Roman"/>
          <w:highlight w:val="none"/>
        </w:rPr>
        <w:t>/kg；取</w:t>
      </w:r>
      <w:r>
        <w:rPr>
          <w:rFonts w:hint="eastAsia" w:ascii="Times New Roman" w:hAnsi="Times New Roman"/>
          <w:highlight w:val="none"/>
          <w:lang w:val="en-US" w:eastAsia="zh-CN"/>
        </w:rPr>
        <w:t>0.502</w:t>
      </w:r>
      <w:r>
        <w:rPr>
          <w:rFonts w:ascii="Times New Roman" w:hAnsi="Times New Roman"/>
          <w:highlight w:val="none"/>
        </w:rPr>
        <w:t>；</w:t>
      </w:r>
    </w:p>
    <w:p w14:paraId="33196565">
      <w:pPr>
        <w:ind w:firstLine="480"/>
        <w:rPr>
          <w:rFonts w:ascii="Times New Roman" w:hAnsi="Times New Roman"/>
          <w:highlight w:val="none"/>
        </w:rPr>
      </w:pPr>
      <w:r>
        <w:rPr>
          <w:rFonts w:ascii="Times New Roman" w:hAnsi="Times New Roman"/>
          <w:highlight w:val="none"/>
        </w:rPr>
        <w:t>H</w:t>
      </w:r>
      <w:r>
        <w:rPr>
          <w:rFonts w:ascii="Times New Roman" w:hAnsi="Times New Roman"/>
          <w:highlight w:val="none"/>
          <w:vertAlign w:val="subscript"/>
        </w:rPr>
        <w:t>ar</w:t>
      </w:r>
      <w:r>
        <w:rPr>
          <w:rFonts w:ascii="Times New Roman" w:hAnsi="Times New Roman"/>
          <w:highlight w:val="none"/>
        </w:rPr>
        <w:t>—收到基氢的质量分数，%；取</w:t>
      </w:r>
      <w:r>
        <w:rPr>
          <w:rFonts w:hint="eastAsia" w:ascii="Times New Roman" w:hAnsi="Times New Roman"/>
          <w:highlight w:val="none"/>
        </w:rPr>
        <w:t>3.16</w:t>
      </w:r>
      <w:r>
        <w:rPr>
          <w:rFonts w:ascii="Times New Roman" w:hAnsi="Times New Roman"/>
          <w:highlight w:val="none"/>
        </w:rPr>
        <w:t>；</w:t>
      </w:r>
    </w:p>
    <w:p w14:paraId="2A56A8E0">
      <w:pPr>
        <w:ind w:firstLine="480"/>
        <w:rPr>
          <w:rFonts w:ascii="Times New Roman" w:hAnsi="Times New Roman"/>
          <w:highlight w:val="none"/>
        </w:rPr>
      </w:pPr>
      <w:r>
        <w:rPr>
          <w:rFonts w:ascii="Times New Roman" w:hAnsi="Times New Roman"/>
          <w:highlight w:val="none"/>
        </w:rPr>
        <w:t>M</w:t>
      </w:r>
      <w:r>
        <w:rPr>
          <w:rFonts w:ascii="Times New Roman" w:hAnsi="Times New Roman"/>
          <w:highlight w:val="none"/>
          <w:vertAlign w:val="subscript"/>
        </w:rPr>
        <w:t>ar</w:t>
      </w:r>
      <w:r>
        <w:rPr>
          <w:rFonts w:ascii="Times New Roman" w:hAnsi="Times New Roman"/>
          <w:highlight w:val="none"/>
        </w:rPr>
        <w:t>—收到基水分的质量分数，%；取</w:t>
      </w:r>
      <w:r>
        <w:rPr>
          <w:rFonts w:hint="eastAsia" w:ascii="Times New Roman" w:hAnsi="Times New Roman"/>
          <w:highlight w:val="none"/>
          <w:lang w:val="en-US" w:eastAsia="zh-CN"/>
        </w:rPr>
        <w:t>5.7</w:t>
      </w:r>
      <w:r>
        <w:rPr>
          <w:rFonts w:ascii="Times New Roman" w:hAnsi="Times New Roman"/>
          <w:highlight w:val="none"/>
        </w:rPr>
        <w:t>；</w:t>
      </w:r>
    </w:p>
    <w:p w14:paraId="6CA35998">
      <w:pPr>
        <w:ind w:firstLine="480"/>
        <w:rPr>
          <w:rFonts w:ascii="Times New Roman" w:hAnsi="Times New Roman"/>
          <w:highlight w:val="none"/>
        </w:rPr>
      </w:pPr>
      <w:r>
        <w:rPr>
          <w:rFonts w:ascii="Times New Roman" w:hAnsi="Times New Roman"/>
          <w:highlight w:val="none"/>
        </w:rPr>
        <w:t>G</w:t>
      </w:r>
      <w:r>
        <w:rPr>
          <w:rFonts w:ascii="Times New Roman" w:hAnsi="Times New Roman"/>
          <w:highlight w:val="none"/>
          <w:vertAlign w:val="subscript"/>
        </w:rPr>
        <w:t>wh</w:t>
      </w:r>
      <w:r>
        <w:rPr>
          <w:rFonts w:ascii="Times New Roman" w:hAnsi="Times New Roman"/>
          <w:highlight w:val="none"/>
        </w:rPr>
        <w:t>—雾化燃油时消耗的蒸汽量，kg/kg；取0；</w:t>
      </w:r>
    </w:p>
    <w:p w14:paraId="20C9DDDF">
      <w:pPr>
        <w:ind w:firstLine="480"/>
        <w:rPr>
          <w:rFonts w:ascii="Times New Roman" w:hAnsi="Times New Roman"/>
          <w:highlight w:val="none"/>
        </w:rPr>
      </w:pPr>
      <w:r>
        <w:rPr>
          <w:rFonts w:ascii="Times New Roman" w:hAnsi="Times New Roman"/>
          <w:highlight w:val="none"/>
        </w:rPr>
        <w:t>V</w:t>
      </w:r>
      <w:r>
        <w:rPr>
          <w:rFonts w:ascii="Times New Roman" w:hAnsi="Times New Roman"/>
          <w:highlight w:val="none"/>
          <w:vertAlign w:val="subscript"/>
        </w:rPr>
        <w:t>s</w:t>
      </w:r>
      <w:r>
        <w:rPr>
          <w:rFonts w:ascii="Times New Roman" w:hAnsi="Times New Roman"/>
          <w:highlight w:val="none"/>
        </w:rPr>
        <w:t>—湿烟气排放量，m</w:t>
      </w:r>
      <w:r>
        <w:rPr>
          <w:rFonts w:ascii="Times New Roman" w:hAnsi="Times New Roman"/>
          <w:highlight w:val="none"/>
          <w:vertAlign w:val="superscript"/>
        </w:rPr>
        <w:t>3</w:t>
      </w:r>
      <w:r>
        <w:rPr>
          <w:rFonts w:ascii="Times New Roman" w:hAnsi="Times New Roman"/>
          <w:highlight w:val="none"/>
        </w:rPr>
        <w:t>/kg，</w:t>
      </w:r>
      <w:r>
        <w:rPr>
          <w:rFonts w:hint="eastAsia" w:ascii="Times New Roman" w:hAnsi="Times New Roman"/>
          <w:highlight w:val="none"/>
          <w:lang w:val="en-US" w:eastAsia="zh-CN"/>
        </w:rPr>
        <w:t>9.75</w:t>
      </w:r>
      <w:r>
        <w:rPr>
          <w:rFonts w:ascii="Times New Roman" w:hAnsi="Times New Roman"/>
          <w:highlight w:val="none"/>
        </w:rPr>
        <w:t>。</w:t>
      </w:r>
    </w:p>
    <w:p w14:paraId="2A31CB0F">
      <w:pPr>
        <w:ind w:firstLine="480"/>
        <w:rPr>
          <w:rFonts w:ascii="Times New Roman" w:hAnsi="Times New Roman"/>
          <w:highlight w:val="none"/>
        </w:rPr>
      </w:pPr>
      <w:r>
        <w:rPr>
          <w:rFonts w:ascii="Times New Roman" w:hAnsi="Times New Roman"/>
          <w:highlight w:val="none"/>
        </w:rPr>
        <w:t>（2）二氧化硫排放量计算</w:t>
      </w:r>
    </w:p>
    <w:p w14:paraId="110EE57D">
      <w:pPr>
        <w:ind w:firstLine="0" w:firstLineChars="0"/>
        <w:jc w:val="center"/>
        <w:rPr>
          <w:rFonts w:ascii="Times New Roman" w:hAnsi="Times New Roman"/>
          <w:highlight w:val="none"/>
        </w:rPr>
      </w:pPr>
      <w:r>
        <w:rPr>
          <w:rFonts w:ascii="Times New Roman" w:hAnsi="Times New Roman"/>
          <w:highlight w:val="none"/>
        </w:rPr>
        <w:drawing>
          <wp:inline distT="0" distB="0" distL="114300" distR="114300">
            <wp:extent cx="3067050" cy="584835"/>
            <wp:effectExtent l="0" t="0" r="0" b="5715"/>
            <wp:docPr id="105" name="图片 5" descr="S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5" descr="SO2"/>
                    <pic:cNvPicPr>
                      <a:picLocks noChangeAspect="1"/>
                    </pic:cNvPicPr>
                  </pic:nvPicPr>
                  <pic:blipFill>
                    <a:blip r:embed="rId24"/>
                    <a:stretch>
                      <a:fillRect/>
                    </a:stretch>
                  </pic:blipFill>
                  <pic:spPr>
                    <a:xfrm>
                      <a:off x="0" y="0"/>
                      <a:ext cx="3067050" cy="584835"/>
                    </a:xfrm>
                    <a:prstGeom prst="rect">
                      <a:avLst/>
                    </a:prstGeom>
                    <a:noFill/>
                    <a:ln>
                      <a:noFill/>
                    </a:ln>
                  </pic:spPr>
                </pic:pic>
              </a:graphicData>
            </a:graphic>
          </wp:inline>
        </w:drawing>
      </w:r>
    </w:p>
    <w:p w14:paraId="40938CD6">
      <w:pPr>
        <w:ind w:firstLine="480"/>
        <w:rPr>
          <w:rFonts w:ascii="Times New Roman" w:hAnsi="Times New Roman"/>
          <w:highlight w:val="none"/>
        </w:rPr>
      </w:pPr>
      <w:r>
        <w:rPr>
          <w:rFonts w:ascii="Times New Roman" w:hAnsi="Times New Roman"/>
          <w:highlight w:val="none"/>
        </w:rPr>
        <w:t>式中：</w:t>
      </w:r>
    </w:p>
    <w:p w14:paraId="36135FF4">
      <w:pPr>
        <w:ind w:firstLine="480"/>
        <w:rPr>
          <w:rFonts w:ascii="Times New Roman" w:hAnsi="Times New Roman"/>
          <w:highlight w:val="none"/>
        </w:rPr>
      </w:pPr>
      <w:r>
        <w:rPr>
          <w:rFonts w:ascii="Times New Roman" w:hAnsi="Times New Roman"/>
          <w:highlight w:val="none"/>
        </w:rPr>
        <w:t>E</w:t>
      </w:r>
      <w:r>
        <w:rPr>
          <w:rFonts w:ascii="Times New Roman" w:hAnsi="Times New Roman"/>
          <w:highlight w:val="none"/>
          <w:vertAlign w:val="subscript"/>
        </w:rPr>
        <w:t>SO2</w:t>
      </w:r>
      <w:r>
        <w:rPr>
          <w:rFonts w:ascii="Times New Roman" w:hAnsi="Times New Roman"/>
          <w:highlight w:val="none"/>
        </w:rPr>
        <w:t>——核算时段内二氧化硫排放量，t；</w:t>
      </w:r>
    </w:p>
    <w:p w14:paraId="08EAE354">
      <w:pPr>
        <w:ind w:firstLine="480"/>
        <w:rPr>
          <w:rFonts w:ascii="Times New Roman" w:hAnsi="Times New Roman"/>
          <w:highlight w:val="none"/>
        </w:rPr>
      </w:pPr>
      <w:r>
        <w:rPr>
          <w:rFonts w:ascii="Times New Roman" w:hAnsi="Times New Roman"/>
          <w:highlight w:val="none"/>
        </w:rPr>
        <w:t>R——核算时段内锅炉燃料耗量，t，取</w:t>
      </w:r>
      <w:r>
        <w:rPr>
          <w:rFonts w:hint="eastAsia" w:ascii="Times New Roman" w:hAnsi="Times New Roman"/>
          <w:highlight w:val="none"/>
          <w:lang w:val="en-US" w:eastAsia="zh-CN"/>
        </w:rPr>
        <w:t>28.425（116MW锅炉最大小时燃煤量）、8.688（58MW锅炉最大小时燃煤量）、3.6602（35t/h锅炉最大小时燃煤量）</w:t>
      </w:r>
      <w:r>
        <w:rPr>
          <w:rFonts w:ascii="Times New Roman" w:hAnsi="Times New Roman"/>
          <w:highlight w:val="none"/>
        </w:rPr>
        <w:t>；</w:t>
      </w:r>
    </w:p>
    <w:p w14:paraId="3B7C72DA">
      <w:pPr>
        <w:ind w:firstLine="480"/>
        <w:rPr>
          <w:rFonts w:ascii="Times New Roman" w:hAnsi="Times New Roman"/>
          <w:highlight w:val="none"/>
        </w:rPr>
      </w:pPr>
      <w:r>
        <w:rPr>
          <w:rFonts w:ascii="Times New Roman" w:hAnsi="Times New Roman"/>
          <w:highlight w:val="none"/>
        </w:rPr>
        <w:t>q</w:t>
      </w:r>
      <w:r>
        <w:rPr>
          <w:rFonts w:ascii="Times New Roman" w:hAnsi="Times New Roman"/>
          <w:highlight w:val="none"/>
          <w:vertAlign w:val="subscript"/>
        </w:rPr>
        <w:t>4</w:t>
      </w:r>
      <w:r>
        <w:rPr>
          <w:rFonts w:ascii="Times New Roman" w:hAnsi="Times New Roman"/>
          <w:highlight w:val="none"/>
        </w:rPr>
        <w:t>——锅炉机械不完全燃烧热损失，%，取</w:t>
      </w:r>
      <w:r>
        <w:rPr>
          <w:rFonts w:hint="eastAsia" w:ascii="Times New Roman" w:hAnsi="Times New Roman"/>
          <w:highlight w:val="none"/>
          <w:lang w:val="en-US" w:eastAsia="zh-CN"/>
        </w:rPr>
        <w:t>10</w:t>
      </w:r>
      <w:r>
        <w:rPr>
          <w:rFonts w:ascii="Times New Roman" w:hAnsi="Times New Roman"/>
          <w:highlight w:val="none"/>
        </w:rPr>
        <w:t>；</w:t>
      </w:r>
    </w:p>
    <w:p w14:paraId="71B90366">
      <w:pPr>
        <w:ind w:firstLine="480"/>
        <w:rPr>
          <w:rFonts w:ascii="Times New Roman" w:hAnsi="Times New Roman"/>
          <w:highlight w:val="none"/>
        </w:rPr>
      </w:pPr>
      <w:r>
        <w:rPr>
          <w:rFonts w:ascii="Times New Roman" w:hAnsi="Times New Roman"/>
          <w:highlight w:val="none"/>
        </w:rPr>
        <w:t>Sar——煤中的收到基全硫份，%，取</w:t>
      </w:r>
      <w:r>
        <w:rPr>
          <w:rFonts w:hint="eastAsia" w:ascii="Times New Roman" w:hAnsi="Times New Roman"/>
          <w:highlight w:val="none"/>
          <w:lang w:val="en-US" w:eastAsia="zh-CN"/>
        </w:rPr>
        <w:t>0.21</w:t>
      </w:r>
      <w:r>
        <w:rPr>
          <w:rFonts w:ascii="Times New Roman" w:hAnsi="Times New Roman"/>
          <w:highlight w:val="none"/>
        </w:rPr>
        <w:t>；</w:t>
      </w:r>
    </w:p>
    <w:p w14:paraId="40EE974A">
      <w:pPr>
        <w:ind w:firstLine="480"/>
        <w:rPr>
          <w:rFonts w:ascii="Times New Roman" w:hAnsi="Times New Roman"/>
          <w:highlight w:val="none"/>
        </w:rPr>
      </w:pPr>
      <w:r>
        <w:rPr>
          <w:rFonts w:ascii="Times New Roman" w:hAnsi="Times New Roman"/>
          <w:highlight w:val="none"/>
        </w:rPr>
        <w:t>ɳs——脱硫效率，%，取97；</w:t>
      </w:r>
    </w:p>
    <w:p w14:paraId="75C477EF">
      <w:pPr>
        <w:ind w:firstLine="480"/>
        <w:rPr>
          <w:rFonts w:ascii="Times New Roman" w:hAnsi="Times New Roman"/>
          <w:highlight w:val="none"/>
        </w:rPr>
      </w:pPr>
      <w:r>
        <w:rPr>
          <w:rFonts w:ascii="Times New Roman" w:hAnsi="Times New Roman"/>
          <w:highlight w:val="none"/>
        </w:rPr>
        <w:t>K——燃料中硫燃烧后氧化成二氧化硫的份额，本项目为</w:t>
      </w:r>
      <w:r>
        <w:rPr>
          <w:rFonts w:hint="eastAsia" w:ascii="Times New Roman" w:hAnsi="Times New Roman"/>
          <w:highlight w:val="none"/>
          <w:lang w:val="en-US" w:eastAsia="zh-CN"/>
        </w:rPr>
        <w:t>链条</w:t>
      </w:r>
      <w:r>
        <w:rPr>
          <w:rFonts w:ascii="Times New Roman" w:hAnsi="Times New Roman"/>
          <w:highlight w:val="none"/>
        </w:rPr>
        <w:t>锅炉，取0.8。</w:t>
      </w:r>
    </w:p>
    <w:p w14:paraId="2D73F6F5">
      <w:pPr>
        <w:ind w:firstLine="480"/>
        <w:rPr>
          <w:rFonts w:hint="eastAsia" w:ascii="Times New Roman" w:hAnsi="Times New Roman" w:eastAsia="宋体"/>
          <w:highlight w:val="none"/>
          <w:lang w:eastAsia="zh-CN"/>
        </w:rPr>
      </w:pPr>
      <w:r>
        <w:rPr>
          <w:rFonts w:ascii="Times New Roman" w:hAnsi="Times New Roman"/>
          <w:highlight w:val="none"/>
        </w:rPr>
        <w:t>计算得出</w:t>
      </w:r>
      <w:r>
        <w:rPr>
          <w:rFonts w:hint="eastAsia" w:ascii="Times New Roman" w:hAnsi="Times New Roman"/>
          <w:highlight w:val="none"/>
          <w:lang w:val="en-US" w:eastAsia="zh-CN"/>
        </w:rPr>
        <w:t>116MW锅炉</w:t>
      </w:r>
      <w:r>
        <w:rPr>
          <w:rFonts w:ascii="Times New Roman" w:hAnsi="Times New Roman"/>
          <w:highlight w:val="none"/>
        </w:rPr>
        <w:t>二氧化硫排放量为</w:t>
      </w:r>
      <w:r>
        <w:rPr>
          <w:rFonts w:hint="eastAsia" w:ascii="Times New Roman" w:hAnsi="Times New Roman"/>
          <w:highlight w:val="none"/>
          <w:lang w:val="en-US" w:eastAsia="zh-CN"/>
        </w:rPr>
        <w:t>0.00258</w:t>
      </w:r>
      <w:r>
        <w:rPr>
          <w:rFonts w:ascii="Times New Roman" w:hAnsi="Times New Roman"/>
          <w:highlight w:val="none"/>
        </w:rPr>
        <w:t>t/</w:t>
      </w:r>
      <w:r>
        <w:rPr>
          <w:rFonts w:hint="eastAsia" w:ascii="Times New Roman" w:hAnsi="Times New Roman"/>
          <w:highlight w:val="none"/>
          <w:lang w:val="en-US" w:eastAsia="zh-CN"/>
        </w:rPr>
        <w:t>h</w:t>
      </w:r>
      <w:r>
        <w:rPr>
          <w:rFonts w:ascii="Times New Roman" w:hAnsi="Times New Roman"/>
          <w:highlight w:val="none"/>
        </w:rPr>
        <w:t>，排放浓度为</w:t>
      </w:r>
      <w:r>
        <w:rPr>
          <w:rFonts w:hint="eastAsia" w:ascii="Times New Roman" w:hAnsi="Times New Roman"/>
          <w:highlight w:val="none"/>
          <w:lang w:val="en-US" w:eastAsia="zh-CN"/>
        </w:rPr>
        <w:t>9.746</w:t>
      </w:r>
      <w:r>
        <w:rPr>
          <w:rFonts w:ascii="Times New Roman" w:hAnsi="Times New Roman"/>
          <w:highlight w:val="none"/>
        </w:rPr>
        <w:t>mg/m</w:t>
      </w:r>
      <w:r>
        <w:rPr>
          <w:rFonts w:ascii="Times New Roman" w:hAnsi="Times New Roman"/>
          <w:highlight w:val="none"/>
          <w:vertAlign w:val="superscript"/>
        </w:rPr>
        <w:t>3</w:t>
      </w:r>
      <w:r>
        <w:rPr>
          <w:rFonts w:ascii="Times New Roman" w:hAnsi="Times New Roman"/>
          <w:highlight w:val="none"/>
        </w:rPr>
        <w:t>，二氧化硫产生量为</w:t>
      </w:r>
      <w:r>
        <w:rPr>
          <w:rFonts w:hint="eastAsia" w:ascii="Times New Roman" w:hAnsi="Times New Roman"/>
          <w:highlight w:val="none"/>
          <w:lang w:val="en-US" w:eastAsia="zh-CN"/>
        </w:rPr>
        <w:t>0.086</w:t>
      </w:r>
      <w:r>
        <w:rPr>
          <w:rFonts w:ascii="Times New Roman" w:hAnsi="Times New Roman"/>
          <w:highlight w:val="none"/>
        </w:rPr>
        <w:t>t/</w:t>
      </w:r>
      <w:r>
        <w:rPr>
          <w:rFonts w:hint="eastAsia" w:ascii="Times New Roman" w:hAnsi="Times New Roman"/>
          <w:highlight w:val="none"/>
          <w:lang w:val="en-US" w:eastAsia="zh-CN"/>
        </w:rPr>
        <w:t>h</w:t>
      </w:r>
      <w:r>
        <w:rPr>
          <w:rFonts w:ascii="Times New Roman" w:hAnsi="Times New Roman"/>
          <w:highlight w:val="none"/>
        </w:rPr>
        <w:t>，产生浓度为</w:t>
      </w:r>
      <w:r>
        <w:rPr>
          <w:rFonts w:hint="eastAsia" w:ascii="Times New Roman" w:hAnsi="Times New Roman"/>
          <w:highlight w:val="none"/>
          <w:lang w:val="en-US" w:eastAsia="zh-CN"/>
        </w:rPr>
        <w:t>324.882</w:t>
      </w:r>
      <w:r>
        <w:rPr>
          <w:rFonts w:ascii="Times New Roman" w:hAnsi="Times New Roman"/>
          <w:highlight w:val="none"/>
        </w:rPr>
        <w:t>mg/m</w:t>
      </w:r>
      <w:r>
        <w:rPr>
          <w:rFonts w:ascii="Times New Roman" w:hAnsi="Times New Roman"/>
          <w:highlight w:val="none"/>
          <w:vertAlign w:val="superscript"/>
        </w:rPr>
        <w:t>3</w:t>
      </w:r>
      <w:r>
        <w:rPr>
          <w:rFonts w:hint="eastAsia" w:ascii="Times New Roman" w:hAnsi="Times New Roman"/>
          <w:highlight w:val="none"/>
          <w:vertAlign w:val="baseline"/>
          <w:lang w:eastAsia="zh-CN"/>
        </w:rPr>
        <w:t>；</w:t>
      </w:r>
      <w:r>
        <w:rPr>
          <w:rFonts w:hint="eastAsia" w:ascii="Times New Roman" w:hAnsi="Times New Roman"/>
          <w:highlight w:val="none"/>
          <w:lang w:val="en-US" w:eastAsia="zh-CN"/>
        </w:rPr>
        <w:t>58MW锅炉</w:t>
      </w:r>
      <w:r>
        <w:rPr>
          <w:rFonts w:ascii="Times New Roman" w:hAnsi="Times New Roman"/>
          <w:highlight w:val="none"/>
        </w:rPr>
        <w:t>二氧化硫排放量为</w:t>
      </w:r>
      <w:r>
        <w:rPr>
          <w:rFonts w:hint="eastAsia" w:ascii="Times New Roman" w:hAnsi="Times New Roman"/>
          <w:highlight w:val="none"/>
          <w:lang w:val="en-US" w:eastAsia="zh-CN"/>
        </w:rPr>
        <w:t>0.000788</w:t>
      </w:r>
      <w:r>
        <w:rPr>
          <w:rFonts w:ascii="Times New Roman" w:hAnsi="Times New Roman"/>
          <w:highlight w:val="none"/>
        </w:rPr>
        <w:t>t/</w:t>
      </w:r>
      <w:r>
        <w:rPr>
          <w:rFonts w:hint="eastAsia" w:ascii="Times New Roman" w:hAnsi="Times New Roman"/>
          <w:highlight w:val="none"/>
          <w:lang w:val="en-US" w:eastAsia="zh-CN"/>
        </w:rPr>
        <w:t>h</w:t>
      </w:r>
      <w:r>
        <w:rPr>
          <w:rFonts w:ascii="Times New Roman" w:hAnsi="Times New Roman"/>
          <w:highlight w:val="none"/>
        </w:rPr>
        <w:t>，排放浓度为</w:t>
      </w:r>
      <w:r>
        <w:rPr>
          <w:rFonts w:hint="eastAsia" w:ascii="Times New Roman" w:hAnsi="Times New Roman"/>
          <w:highlight w:val="none"/>
          <w:lang w:val="en-US" w:eastAsia="zh-CN"/>
        </w:rPr>
        <w:t>9.746</w:t>
      </w:r>
      <w:r>
        <w:rPr>
          <w:rFonts w:ascii="Times New Roman" w:hAnsi="Times New Roman"/>
          <w:highlight w:val="none"/>
        </w:rPr>
        <w:t>mg/m</w:t>
      </w:r>
      <w:r>
        <w:rPr>
          <w:rFonts w:ascii="Times New Roman" w:hAnsi="Times New Roman"/>
          <w:highlight w:val="none"/>
          <w:vertAlign w:val="superscript"/>
        </w:rPr>
        <w:t>3</w:t>
      </w:r>
      <w:r>
        <w:rPr>
          <w:rFonts w:ascii="Times New Roman" w:hAnsi="Times New Roman"/>
          <w:highlight w:val="none"/>
        </w:rPr>
        <w:t>，二氧化硫产生量为</w:t>
      </w:r>
      <w:r>
        <w:rPr>
          <w:rFonts w:hint="eastAsia" w:ascii="Times New Roman" w:hAnsi="Times New Roman"/>
          <w:highlight w:val="none"/>
          <w:lang w:val="en-US" w:eastAsia="zh-CN"/>
        </w:rPr>
        <w:t>0.026</w:t>
      </w:r>
      <w:r>
        <w:rPr>
          <w:rFonts w:ascii="Times New Roman" w:hAnsi="Times New Roman"/>
          <w:highlight w:val="none"/>
        </w:rPr>
        <w:t>t/</w:t>
      </w:r>
      <w:r>
        <w:rPr>
          <w:rFonts w:hint="eastAsia" w:ascii="Times New Roman" w:hAnsi="Times New Roman"/>
          <w:highlight w:val="none"/>
          <w:lang w:val="en-US" w:eastAsia="zh-CN"/>
        </w:rPr>
        <w:t>h</w:t>
      </w:r>
      <w:r>
        <w:rPr>
          <w:rFonts w:ascii="Times New Roman" w:hAnsi="Times New Roman"/>
          <w:highlight w:val="none"/>
        </w:rPr>
        <w:t>，产生浓度为</w:t>
      </w:r>
      <w:r>
        <w:rPr>
          <w:rFonts w:hint="eastAsia" w:ascii="Times New Roman" w:hAnsi="Times New Roman"/>
          <w:highlight w:val="none"/>
          <w:lang w:val="en-US" w:eastAsia="zh-CN"/>
        </w:rPr>
        <w:t>324.882</w:t>
      </w:r>
      <w:r>
        <w:rPr>
          <w:rFonts w:ascii="Times New Roman" w:hAnsi="Times New Roman"/>
          <w:highlight w:val="none"/>
        </w:rPr>
        <w:t>mg/m</w:t>
      </w:r>
      <w:r>
        <w:rPr>
          <w:rFonts w:ascii="Times New Roman" w:hAnsi="Times New Roman"/>
          <w:highlight w:val="none"/>
          <w:vertAlign w:val="superscript"/>
        </w:rPr>
        <w:t>3</w:t>
      </w:r>
      <w:r>
        <w:rPr>
          <w:rFonts w:hint="eastAsia" w:ascii="Times New Roman" w:hAnsi="Times New Roman"/>
          <w:highlight w:val="none"/>
          <w:vertAlign w:val="baseline"/>
          <w:lang w:eastAsia="zh-CN"/>
        </w:rPr>
        <w:t>；</w:t>
      </w:r>
      <w:r>
        <w:rPr>
          <w:rFonts w:hint="eastAsia" w:ascii="Times New Roman" w:hAnsi="Times New Roman"/>
          <w:highlight w:val="none"/>
          <w:lang w:val="en-US" w:eastAsia="zh-CN"/>
        </w:rPr>
        <w:t>35t/h锅炉</w:t>
      </w:r>
      <w:r>
        <w:rPr>
          <w:rFonts w:ascii="Times New Roman" w:hAnsi="Times New Roman"/>
          <w:highlight w:val="none"/>
        </w:rPr>
        <w:t>二氧化硫排放量为</w:t>
      </w:r>
      <w:r>
        <w:rPr>
          <w:rFonts w:hint="eastAsia" w:ascii="Times New Roman" w:hAnsi="Times New Roman"/>
          <w:highlight w:val="none"/>
          <w:lang w:val="en-US" w:eastAsia="zh-CN"/>
        </w:rPr>
        <w:t>0.000332</w:t>
      </w:r>
      <w:r>
        <w:rPr>
          <w:rFonts w:ascii="Times New Roman" w:hAnsi="Times New Roman"/>
          <w:highlight w:val="none"/>
        </w:rPr>
        <w:t>t/</w:t>
      </w:r>
      <w:r>
        <w:rPr>
          <w:rFonts w:hint="eastAsia" w:ascii="Times New Roman" w:hAnsi="Times New Roman"/>
          <w:highlight w:val="none"/>
          <w:lang w:val="en-US" w:eastAsia="zh-CN"/>
        </w:rPr>
        <w:t>h</w:t>
      </w:r>
      <w:r>
        <w:rPr>
          <w:rFonts w:ascii="Times New Roman" w:hAnsi="Times New Roman"/>
          <w:highlight w:val="none"/>
        </w:rPr>
        <w:t>，排放浓度为</w:t>
      </w:r>
      <w:r>
        <w:rPr>
          <w:rFonts w:hint="eastAsia" w:ascii="Times New Roman" w:hAnsi="Times New Roman"/>
          <w:highlight w:val="none"/>
          <w:lang w:val="en-US" w:eastAsia="zh-CN"/>
        </w:rPr>
        <w:t>9.746</w:t>
      </w:r>
      <w:r>
        <w:rPr>
          <w:rFonts w:ascii="Times New Roman" w:hAnsi="Times New Roman"/>
          <w:highlight w:val="none"/>
        </w:rPr>
        <w:t>mg/m</w:t>
      </w:r>
      <w:r>
        <w:rPr>
          <w:rFonts w:ascii="Times New Roman" w:hAnsi="Times New Roman"/>
          <w:highlight w:val="none"/>
          <w:vertAlign w:val="superscript"/>
        </w:rPr>
        <w:t>3</w:t>
      </w:r>
      <w:r>
        <w:rPr>
          <w:rFonts w:ascii="Times New Roman" w:hAnsi="Times New Roman"/>
          <w:highlight w:val="none"/>
        </w:rPr>
        <w:t>，二氧化硫产生量为</w:t>
      </w:r>
      <w:r>
        <w:rPr>
          <w:rFonts w:hint="eastAsia" w:ascii="Times New Roman" w:hAnsi="Times New Roman"/>
          <w:highlight w:val="none"/>
          <w:lang w:val="en-US" w:eastAsia="zh-CN"/>
        </w:rPr>
        <w:t>0.011</w:t>
      </w:r>
      <w:r>
        <w:rPr>
          <w:rFonts w:ascii="Times New Roman" w:hAnsi="Times New Roman"/>
          <w:highlight w:val="none"/>
        </w:rPr>
        <w:t>t/</w:t>
      </w:r>
      <w:r>
        <w:rPr>
          <w:rFonts w:hint="eastAsia" w:ascii="Times New Roman" w:hAnsi="Times New Roman"/>
          <w:highlight w:val="none"/>
          <w:lang w:val="en-US" w:eastAsia="zh-CN"/>
        </w:rPr>
        <w:t>h</w:t>
      </w:r>
      <w:r>
        <w:rPr>
          <w:rFonts w:ascii="Times New Roman" w:hAnsi="Times New Roman"/>
          <w:highlight w:val="none"/>
        </w:rPr>
        <w:t>，产生浓度为</w:t>
      </w:r>
      <w:r>
        <w:rPr>
          <w:rFonts w:hint="eastAsia" w:ascii="Times New Roman" w:hAnsi="Times New Roman"/>
          <w:highlight w:val="none"/>
          <w:lang w:val="en-US" w:eastAsia="zh-CN"/>
        </w:rPr>
        <w:t>324.882</w:t>
      </w:r>
      <w:r>
        <w:rPr>
          <w:rFonts w:ascii="Times New Roman" w:hAnsi="Times New Roman"/>
          <w:highlight w:val="none"/>
        </w:rPr>
        <w:t>mg/m</w:t>
      </w:r>
      <w:r>
        <w:rPr>
          <w:rFonts w:ascii="Times New Roman" w:hAnsi="Times New Roman"/>
          <w:highlight w:val="none"/>
          <w:vertAlign w:val="superscript"/>
        </w:rPr>
        <w:t>3</w:t>
      </w:r>
    </w:p>
    <w:p w14:paraId="03E9DC81">
      <w:pPr>
        <w:ind w:firstLine="480"/>
        <w:rPr>
          <w:rFonts w:hint="default" w:ascii="Times New Roman" w:hAnsi="Times New Roman" w:eastAsia="宋体"/>
          <w:highlight w:val="none"/>
          <w:lang w:val="en-US" w:eastAsia="zh-CN"/>
        </w:rPr>
      </w:pPr>
      <w:r>
        <w:rPr>
          <w:rFonts w:ascii="Times New Roman" w:hAnsi="Times New Roman"/>
          <w:highlight w:val="none"/>
        </w:rPr>
        <w:t>（3）氮氧化物的排放量计算</w:t>
      </w:r>
    </w:p>
    <w:p w14:paraId="08A54385">
      <w:pPr>
        <w:ind w:firstLine="0" w:firstLineChars="0"/>
        <w:jc w:val="center"/>
        <w:rPr>
          <w:rFonts w:ascii="Times New Roman" w:hAnsi="Times New Roman"/>
          <w:highlight w:val="none"/>
        </w:rPr>
      </w:pPr>
      <w:r>
        <w:rPr>
          <w:rFonts w:ascii="Times New Roman" w:hAnsi="Times New Roman"/>
          <w:highlight w:val="none"/>
        </w:rPr>
        <w:drawing>
          <wp:inline distT="0" distB="0" distL="114300" distR="114300">
            <wp:extent cx="3429000" cy="1021080"/>
            <wp:effectExtent l="0" t="0" r="0" b="7620"/>
            <wp:docPr id="106" name="图片 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 descr="图片1"/>
                    <pic:cNvPicPr>
                      <a:picLocks noChangeAspect="1"/>
                    </pic:cNvPicPr>
                  </pic:nvPicPr>
                  <pic:blipFill>
                    <a:blip r:embed="rId25"/>
                    <a:stretch>
                      <a:fillRect/>
                    </a:stretch>
                  </pic:blipFill>
                  <pic:spPr>
                    <a:xfrm>
                      <a:off x="0" y="0"/>
                      <a:ext cx="3429000" cy="1021080"/>
                    </a:xfrm>
                    <a:prstGeom prst="rect">
                      <a:avLst/>
                    </a:prstGeom>
                    <a:noFill/>
                    <a:ln>
                      <a:noFill/>
                    </a:ln>
                  </pic:spPr>
                </pic:pic>
              </a:graphicData>
            </a:graphic>
          </wp:inline>
        </w:drawing>
      </w:r>
    </w:p>
    <w:p w14:paraId="4E740BC3">
      <w:pPr>
        <w:ind w:firstLine="480"/>
        <w:rPr>
          <w:rFonts w:ascii="Times New Roman" w:hAnsi="Times New Roman"/>
          <w:highlight w:val="none"/>
        </w:rPr>
      </w:pPr>
      <w:r>
        <w:rPr>
          <w:rFonts w:ascii="Times New Roman" w:hAnsi="Times New Roman"/>
          <w:highlight w:val="none"/>
        </w:rPr>
        <w:t>式中：</w:t>
      </w:r>
    </w:p>
    <w:p w14:paraId="3AC530FA">
      <w:pPr>
        <w:ind w:firstLine="480"/>
        <w:rPr>
          <w:rFonts w:ascii="Times New Roman" w:hAnsi="Times New Roman"/>
          <w:highlight w:val="none"/>
        </w:rPr>
      </w:pPr>
      <w:r>
        <w:rPr>
          <w:rFonts w:ascii="Times New Roman" w:hAnsi="Times New Roman"/>
          <w:highlight w:val="none"/>
        </w:rPr>
        <w:t>E</w:t>
      </w:r>
      <w:r>
        <w:rPr>
          <w:rFonts w:ascii="Times New Roman" w:hAnsi="Times New Roman"/>
          <w:highlight w:val="none"/>
          <w:vertAlign w:val="subscript"/>
        </w:rPr>
        <w:t>NOx</w:t>
      </w:r>
      <w:r>
        <w:rPr>
          <w:rFonts w:ascii="Times New Roman" w:hAnsi="Times New Roman"/>
          <w:highlight w:val="none"/>
        </w:rPr>
        <w:t>—核算时段内氮氧化物排放量，t；</w:t>
      </w:r>
    </w:p>
    <w:p w14:paraId="3AC20C02">
      <w:pPr>
        <w:ind w:firstLine="480"/>
        <w:rPr>
          <w:rFonts w:ascii="Times New Roman" w:hAnsi="Times New Roman"/>
          <w:highlight w:val="none"/>
        </w:rPr>
      </w:pPr>
      <w:r>
        <w:rPr>
          <w:rFonts w:ascii="Times New Roman" w:hAnsi="Times New Roman"/>
          <w:highlight w:val="none"/>
        </w:rPr>
        <w:t>ρ</w:t>
      </w:r>
      <w:r>
        <w:rPr>
          <w:rFonts w:ascii="Times New Roman" w:hAnsi="Times New Roman"/>
          <w:highlight w:val="none"/>
          <w:vertAlign w:val="subscript"/>
        </w:rPr>
        <w:t>NOx</w:t>
      </w:r>
      <w:r>
        <w:rPr>
          <w:rFonts w:ascii="Times New Roman" w:hAnsi="Times New Roman"/>
          <w:highlight w:val="none"/>
        </w:rPr>
        <w:t>—锅炉炉膛出口NOx质量浓度，mg/m</w:t>
      </w:r>
      <w:r>
        <w:rPr>
          <w:rFonts w:ascii="Times New Roman" w:hAnsi="Times New Roman"/>
          <w:highlight w:val="none"/>
          <w:vertAlign w:val="superscript"/>
        </w:rPr>
        <w:t>3</w:t>
      </w:r>
      <w:r>
        <w:rPr>
          <w:rFonts w:ascii="Times New Roman" w:hAnsi="Times New Roman"/>
          <w:highlight w:val="none"/>
        </w:rPr>
        <w:t>，</w:t>
      </w:r>
      <w:r>
        <w:rPr>
          <w:rFonts w:hint="eastAsia" w:ascii="Times New Roman" w:hAnsi="Times New Roman"/>
          <w:highlight w:val="none"/>
        </w:rPr>
        <w:t>通过</w:t>
      </w:r>
      <w:r>
        <w:rPr>
          <w:rFonts w:hint="eastAsia" w:ascii="Times New Roman" w:hAnsi="Times New Roman"/>
          <w:highlight w:val="none"/>
          <w:lang w:val="en-US" w:eastAsia="zh-CN"/>
        </w:rPr>
        <w:t>实测</w:t>
      </w:r>
      <w:r>
        <w:rPr>
          <w:rFonts w:hint="eastAsia" w:ascii="Times New Roman" w:hAnsi="Times New Roman"/>
          <w:highlight w:val="none"/>
        </w:rPr>
        <w:t>可知，</w:t>
      </w:r>
      <w:r>
        <w:rPr>
          <w:rFonts w:ascii="Times New Roman" w:hAnsi="Times New Roman"/>
          <w:highlight w:val="none"/>
        </w:rPr>
        <w:t>本项目氮氧化物初始浓度</w:t>
      </w:r>
      <w:r>
        <w:rPr>
          <w:rFonts w:hint="eastAsia" w:ascii="Times New Roman" w:hAnsi="Times New Roman"/>
          <w:highlight w:val="none"/>
          <w:lang w:val="en-US" w:eastAsia="zh-CN"/>
        </w:rPr>
        <w:t>约为916</w:t>
      </w:r>
      <w:r>
        <w:rPr>
          <w:rFonts w:ascii="Times New Roman" w:hAnsi="Times New Roman"/>
          <w:highlight w:val="none"/>
        </w:rPr>
        <w:t xml:space="preserve"> mg/m</w:t>
      </w:r>
      <w:r>
        <w:rPr>
          <w:rFonts w:ascii="Times New Roman" w:hAnsi="Times New Roman"/>
          <w:highlight w:val="none"/>
          <w:vertAlign w:val="superscript"/>
        </w:rPr>
        <w:t>3</w:t>
      </w:r>
      <w:r>
        <w:rPr>
          <w:rFonts w:ascii="Times New Roman" w:hAnsi="Times New Roman"/>
          <w:highlight w:val="none"/>
        </w:rPr>
        <w:t>；</w:t>
      </w:r>
    </w:p>
    <w:p w14:paraId="6E358B01">
      <w:pPr>
        <w:ind w:firstLine="480"/>
        <w:rPr>
          <w:rFonts w:ascii="Times New Roman" w:hAnsi="Times New Roman"/>
          <w:highlight w:val="none"/>
        </w:rPr>
      </w:pPr>
      <w:r>
        <w:rPr>
          <w:rFonts w:ascii="Times New Roman" w:hAnsi="Times New Roman"/>
          <w:highlight w:val="none"/>
        </w:rPr>
        <w:t>Q—核算时段内标态干烟气排放量，m</w:t>
      </w:r>
      <w:r>
        <w:rPr>
          <w:rFonts w:ascii="Times New Roman" w:hAnsi="Times New Roman"/>
          <w:highlight w:val="none"/>
          <w:vertAlign w:val="superscript"/>
        </w:rPr>
        <w:t>3</w:t>
      </w:r>
      <w:r>
        <w:rPr>
          <w:rFonts w:ascii="Times New Roman" w:hAnsi="Times New Roman"/>
          <w:highlight w:val="none"/>
        </w:rPr>
        <w:t>/h，取</w:t>
      </w:r>
      <w:r>
        <w:rPr>
          <w:rFonts w:hint="eastAsia" w:ascii="Times New Roman" w:hAnsi="Times New Roman"/>
          <w:highlight w:val="none"/>
          <w:lang w:val="en-US" w:eastAsia="zh-CN"/>
        </w:rPr>
        <w:t>264580（116MW）、80868（58MW）、34069（35t/h）</w:t>
      </w:r>
      <w:r>
        <w:rPr>
          <w:rFonts w:ascii="Times New Roman" w:hAnsi="Times New Roman"/>
          <w:highlight w:val="none"/>
        </w:rPr>
        <w:t>；</w:t>
      </w:r>
    </w:p>
    <w:p w14:paraId="6BBAE8BB">
      <w:pPr>
        <w:ind w:firstLine="480"/>
        <w:rPr>
          <w:rFonts w:ascii="Times New Roman" w:hAnsi="Times New Roman"/>
          <w:highlight w:val="none"/>
        </w:rPr>
      </w:pPr>
      <w:r>
        <w:rPr>
          <w:rFonts w:ascii="Times New Roman" w:hAnsi="Times New Roman"/>
          <w:highlight w:val="none"/>
        </w:rPr>
        <w:t>η</w:t>
      </w:r>
      <w:r>
        <w:rPr>
          <w:rFonts w:ascii="Times New Roman" w:hAnsi="Times New Roman"/>
          <w:highlight w:val="none"/>
          <w:vertAlign w:val="subscript"/>
        </w:rPr>
        <w:t>NOx</w:t>
      </w:r>
      <w:r>
        <w:rPr>
          <w:rFonts w:ascii="Times New Roman" w:hAnsi="Times New Roman"/>
          <w:highlight w:val="none"/>
        </w:rPr>
        <w:t>—脱硝效率，</w:t>
      </w:r>
      <w:r>
        <w:rPr>
          <w:rFonts w:hint="eastAsia" w:ascii="Times New Roman" w:hAnsi="Times New Roman"/>
          <w:highlight w:val="none"/>
          <w:lang w:val="en-US" w:eastAsia="zh-CN"/>
        </w:rPr>
        <w:t>链条</w:t>
      </w:r>
      <w:r>
        <w:rPr>
          <w:rFonts w:ascii="Times New Roman" w:hAnsi="Times New Roman"/>
          <w:highlight w:val="none"/>
        </w:rPr>
        <w:t>炉，SNCR-SCR，%，</w:t>
      </w:r>
      <w:r>
        <w:rPr>
          <w:rFonts w:hint="eastAsia" w:ascii="Times New Roman" w:hAnsi="Times New Roman"/>
          <w:highlight w:val="none"/>
          <w:lang w:val="en-US" w:eastAsia="zh-CN"/>
        </w:rPr>
        <w:t>根据实测可知效率为99.13%，本次</w:t>
      </w:r>
      <w:r>
        <w:rPr>
          <w:rFonts w:ascii="Times New Roman" w:hAnsi="Times New Roman"/>
          <w:highlight w:val="none"/>
        </w:rPr>
        <w:t>取</w:t>
      </w:r>
      <w:r>
        <w:rPr>
          <w:rFonts w:hint="eastAsia" w:ascii="Times New Roman" w:hAnsi="Times New Roman"/>
          <w:highlight w:val="none"/>
          <w:lang w:val="en-US" w:eastAsia="zh-CN"/>
        </w:rPr>
        <w:t>99%</w:t>
      </w:r>
      <w:r>
        <w:rPr>
          <w:rFonts w:ascii="Times New Roman" w:hAnsi="Times New Roman"/>
          <w:highlight w:val="none"/>
        </w:rPr>
        <w:t>。</w:t>
      </w:r>
    </w:p>
    <w:p w14:paraId="002B5BDE">
      <w:pPr>
        <w:ind w:firstLine="480"/>
        <w:rPr>
          <w:rFonts w:hint="eastAsia" w:ascii="Times New Roman" w:hAnsi="Times New Roman" w:eastAsia="宋体"/>
          <w:highlight w:val="none"/>
          <w:lang w:eastAsia="zh-CN"/>
        </w:rPr>
      </w:pPr>
      <w:r>
        <w:rPr>
          <w:rFonts w:ascii="Times New Roman" w:hAnsi="Times New Roman"/>
          <w:highlight w:val="none"/>
        </w:rPr>
        <w:t>计算得出</w:t>
      </w:r>
      <w:r>
        <w:rPr>
          <w:rFonts w:hint="eastAsia" w:ascii="Times New Roman" w:hAnsi="Times New Roman"/>
          <w:highlight w:val="none"/>
          <w:lang w:val="en-US" w:eastAsia="zh-CN"/>
        </w:rPr>
        <w:t>116MW</w:t>
      </w:r>
      <w:r>
        <w:rPr>
          <w:rFonts w:ascii="Times New Roman" w:hAnsi="Times New Roman"/>
          <w:highlight w:val="none"/>
        </w:rPr>
        <w:t>氮氧化物排放量为</w:t>
      </w:r>
      <w:r>
        <w:rPr>
          <w:rFonts w:hint="eastAsia" w:ascii="Times New Roman" w:hAnsi="Times New Roman"/>
          <w:highlight w:val="none"/>
          <w:lang w:val="en-US" w:eastAsia="zh-CN"/>
        </w:rPr>
        <w:t>0.0024</w:t>
      </w:r>
      <w:r>
        <w:rPr>
          <w:rFonts w:hint="eastAsia" w:ascii="Times New Roman" w:hAnsi="Times New Roman"/>
          <w:highlight w:val="none"/>
        </w:rPr>
        <w:t>t</w:t>
      </w:r>
      <w:r>
        <w:rPr>
          <w:rFonts w:ascii="Times New Roman" w:hAnsi="Times New Roman"/>
          <w:highlight w:val="none"/>
        </w:rPr>
        <w:t>/</w:t>
      </w:r>
      <w:r>
        <w:rPr>
          <w:rFonts w:hint="eastAsia" w:ascii="Times New Roman" w:hAnsi="Times New Roman"/>
          <w:highlight w:val="none"/>
          <w:lang w:val="en-US" w:eastAsia="zh-CN"/>
        </w:rPr>
        <w:t>h</w:t>
      </w:r>
      <w:r>
        <w:rPr>
          <w:rFonts w:ascii="Times New Roman" w:hAnsi="Times New Roman"/>
          <w:highlight w:val="none"/>
        </w:rPr>
        <w:t>，排放浓度为</w:t>
      </w:r>
      <w:r>
        <w:rPr>
          <w:rFonts w:hint="eastAsia" w:ascii="Times New Roman" w:hAnsi="Times New Roman"/>
          <w:highlight w:val="none"/>
          <w:lang w:val="en-US" w:eastAsia="zh-CN"/>
        </w:rPr>
        <w:t>9.07</w:t>
      </w:r>
      <w:r>
        <w:rPr>
          <w:rFonts w:ascii="Times New Roman" w:hAnsi="Times New Roman"/>
          <w:highlight w:val="none"/>
        </w:rPr>
        <w:t>mg/m</w:t>
      </w:r>
      <w:r>
        <w:rPr>
          <w:rFonts w:ascii="Times New Roman" w:hAnsi="Times New Roman"/>
          <w:highlight w:val="none"/>
          <w:vertAlign w:val="superscript"/>
        </w:rPr>
        <w:t>3</w:t>
      </w:r>
      <w:r>
        <w:rPr>
          <w:rFonts w:ascii="Times New Roman" w:hAnsi="Times New Roman"/>
          <w:highlight w:val="none"/>
        </w:rPr>
        <w:t>，氮氧化物产生量为</w:t>
      </w:r>
      <w:r>
        <w:rPr>
          <w:rFonts w:hint="eastAsia" w:ascii="Times New Roman" w:hAnsi="Times New Roman"/>
          <w:highlight w:val="none"/>
          <w:lang w:val="en-US" w:eastAsia="zh-CN"/>
        </w:rPr>
        <w:t>0.24</w:t>
      </w:r>
      <w:r>
        <w:rPr>
          <w:rFonts w:ascii="Times New Roman" w:hAnsi="Times New Roman"/>
          <w:highlight w:val="none"/>
        </w:rPr>
        <w:t>t/</w:t>
      </w:r>
      <w:r>
        <w:rPr>
          <w:rFonts w:hint="eastAsia" w:ascii="Times New Roman" w:hAnsi="Times New Roman"/>
          <w:highlight w:val="none"/>
          <w:lang w:val="en-US" w:eastAsia="zh-CN"/>
        </w:rPr>
        <w:t>h</w:t>
      </w:r>
      <w:r>
        <w:rPr>
          <w:rFonts w:ascii="Times New Roman" w:hAnsi="Times New Roman"/>
          <w:highlight w:val="none"/>
        </w:rPr>
        <w:t>，产生浓度为</w:t>
      </w:r>
      <w:r>
        <w:rPr>
          <w:rFonts w:hint="eastAsia" w:ascii="Times New Roman" w:hAnsi="Times New Roman"/>
          <w:highlight w:val="none"/>
          <w:lang w:val="en-US" w:eastAsia="zh-CN"/>
        </w:rPr>
        <w:t>916</w:t>
      </w:r>
      <w:r>
        <w:rPr>
          <w:rFonts w:ascii="Times New Roman" w:hAnsi="Times New Roman"/>
          <w:highlight w:val="none"/>
        </w:rPr>
        <w:t>mg/m</w:t>
      </w:r>
      <w:r>
        <w:rPr>
          <w:rFonts w:ascii="Times New Roman" w:hAnsi="Times New Roman"/>
          <w:highlight w:val="none"/>
          <w:vertAlign w:val="superscript"/>
        </w:rPr>
        <w:t>3</w:t>
      </w:r>
      <w:r>
        <w:rPr>
          <w:rFonts w:hint="eastAsia" w:ascii="Times New Roman" w:hAnsi="Times New Roman"/>
          <w:highlight w:val="none"/>
          <w:lang w:eastAsia="zh-CN"/>
        </w:rPr>
        <w:t>；</w:t>
      </w:r>
      <w:r>
        <w:rPr>
          <w:rFonts w:hint="eastAsia" w:ascii="Times New Roman" w:hAnsi="Times New Roman"/>
          <w:highlight w:val="none"/>
          <w:lang w:val="en-US" w:eastAsia="zh-CN"/>
        </w:rPr>
        <w:t>58MW</w:t>
      </w:r>
      <w:r>
        <w:rPr>
          <w:rFonts w:ascii="Times New Roman" w:hAnsi="Times New Roman"/>
          <w:highlight w:val="none"/>
        </w:rPr>
        <w:t>氮氧化物排放量为</w:t>
      </w:r>
      <w:r>
        <w:rPr>
          <w:rFonts w:hint="eastAsia" w:ascii="Times New Roman" w:hAnsi="Times New Roman"/>
          <w:highlight w:val="none"/>
          <w:lang w:val="en-US" w:eastAsia="zh-CN"/>
        </w:rPr>
        <w:t>0.00074</w:t>
      </w:r>
      <w:r>
        <w:rPr>
          <w:rFonts w:hint="eastAsia" w:ascii="Times New Roman" w:hAnsi="Times New Roman"/>
          <w:highlight w:val="none"/>
        </w:rPr>
        <w:t>t</w:t>
      </w:r>
      <w:r>
        <w:rPr>
          <w:rFonts w:ascii="Times New Roman" w:hAnsi="Times New Roman"/>
          <w:highlight w:val="none"/>
        </w:rPr>
        <w:t>/</w:t>
      </w:r>
      <w:r>
        <w:rPr>
          <w:rFonts w:hint="eastAsia" w:ascii="Times New Roman" w:hAnsi="Times New Roman"/>
          <w:highlight w:val="none"/>
          <w:lang w:val="en-US" w:eastAsia="zh-CN"/>
        </w:rPr>
        <w:t>h</w:t>
      </w:r>
      <w:r>
        <w:rPr>
          <w:rFonts w:ascii="Times New Roman" w:hAnsi="Times New Roman"/>
          <w:highlight w:val="none"/>
        </w:rPr>
        <w:t>，排放浓度为</w:t>
      </w:r>
      <w:r>
        <w:rPr>
          <w:rFonts w:hint="eastAsia" w:ascii="Times New Roman" w:hAnsi="Times New Roman"/>
          <w:highlight w:val="none"/>
          <w:lang w:val="en-US" w:eastAsia="zh-CN"/>
        </w:rPr>
        <w:t>9.07</w:t>
      </w:r>
      <w:r>
        <w:rPr>
          <w:rFonts w:ascii="Times New Roman" w:hAnsi="Times New Roman"/>
          <w:highlight w:val="none"/>
        </w:rPr>
        <w:t>mg/m</w:t>
      </w:r>
      <w:r>
        <w:rPr>
          <w:rFonts w:ascii="Times New Roman" w:hAnsi="Times New Roman"/>
          <w:highlight w:val="none"/>
          <w:vertAlign w:val="superscript"/>
        </w:rPr>
        <w:t>3</w:t>
      </w:r>
      <w:r>
        <w:rPr>
          <w:rFonts w:ascii="Times New Roman" w:hAnsi="Times New Roman"/>
          <w:highlight w:val="none"/>
        </w:rPr>
        <w:t>，氮氧化物产生量为</w:t>
      </w:r>
      <w:r>
        <w:rPr>
          <w:rFonts w:hint="eastAsia" w:ascii="Times New Roman" w:hAnsi="Times New Roman"/>
          <w:highlight w:val="none"/>
          <w:lang w:val="en-US" w:eastAsia="zh-CN"/>
        </w:rPr>
        <w:t>0.074</w:t>
      </w:r>
      <w:r>
        <w:rPr>
          <w:rFonts w:ascii="Times New Roman" w:hAnsi="Times New Roman"/>
          <w:highlight w:val="none"/>
        </w:rPr>
        <w:t>t/</w:t>
      </w:r>
      <w:r>
        <w:rPr>
          <w:rFonts w:hint="eastAsia" w:ascii="Times New Roman" w:hAnsi="Times New Roman"/>
          <w:highlight w:val="none"/>
          <w:lang w:val="en-US" w:eastAsia="zh-CN"/>
        </w:rPr>
        <w:t>h</w:t>
      </w:r>
      <w:r>
        <w:rPr>
          <w:rFonts w:ascii="Times New Roman" w:hAnsi="Times New Roman"/>
          <w:highlight w:val="none"/>
        </w:rPr>
        <w:t>，产生浓度为</w:t>
      </w:r>
      <w:r>
        <w:rPr>
          <w:rFonts w:hint="eastAsia" w:ascii="Times New Roman" w:hAnsi="Times New Roman"/>
          <w:highlight w:val="none"/>
          <w:lang w:val="en-US" w:eastAsia="zh-CN"/>
        </w:rPr>
        <w:t>916</w:t>
      </w:r>
      <w:r>
        <w:rPr>
          <w:rFonts w:ascii="Times New Roman" w:hAnsi="Times New Roman"/>
          <w:highlight w:val="none"/>
        </w:rPr>
        <w:t>mg/m</w:t>
      </w:r>
      <w:r>
        <w:rPr>
          <w:rFonts w:ascii="Times New Roman" w:hAnsi="Times New Roman"/>
          <w:highlight w:val="none"/>
          <w:vertAlign w:val="superscript"/>
        </w:rPr>
        <w:t>3</w:t>
      </w:r>
      <w:r>
        <w:rPr>
          <w:rFonts w:hint="eastAsia" w:ascii="Times New Roman" w:hAnsi="Times New Roman"/>
          <w:highlight w:val="none"/>
          <w:vertAlign w:val="baseline"/>
          <w:lang w:eastAsia="zh-CN"/>
        </w:rPr>
        <w:t>；</w:t>
      </w:r>
      <w:r>
        <w:rPr>
          <w:rFonts w:hint="eastAsia" w:ascii="Times New Roman" w:hAnsi="Times New Roman"/>
          <w:highlight w:val="none"/>
          <w:lang w:val="en-US" w:eastAsia="zh-CN"/>
        </w:rPr>
        <w:t>35t/h</w:t>
      </w:r>
      <w:r>
        <w:rPr>
          <w:rFonts w:ascii="Times New Roman" w:hAnsi="Times New Roman"/>
          <w:highlight w:val="none"/>
        </w:rPr>
        <w:t>氮氧化物排放量为</w:t>
      </w:r>
      <w:r>
        <w:rPr>
          <w:rFonts w:hint="eastAsia" w:ascii="Times New Roman" w:hAnsi="Times New Roman"/>
          <w:highlight w:val="none"/>
          <w:lang w:val="en-US" w:eastAsia="zh-CN"/>
        </w:rPr>
        <w:t>0.00031</w:t>
      </w:r>
      <w:r>
        <w:rPr>
          <w:rFonts w:hint="eastAsia" w:ascii="Times New Roman" w:hAnsi="Times New Roman"/>
          <w:highlight w:val="none"/>
        </w:rPr>
        <w:t>t</w:t>
      </w:r>
      <w:r>
        <w:rPr>
          <w:rFonts w:ascii="Times New Roman" w:hAnsi="Times New Roman"/>
          <w:highlight w:val="none"/>
        </w:rPr>
        <w:t>/</w:t>
      </w:r>
      <w:r>
        <w:rPr>
          <w:rFonts w:hint="eastAsia" w:ascii="Times New Roman" w:hAnsi="Times New Roman"/>
          <w:highlight w:val="none"/>
          <w:lang w:val="en-US" w:eastAsia="zh-CN"/>
        </w:rPr>
        <w:t>h</w:t>
      </w:r>
      <w:r>
        <w:rPr>
          <w:rFonts w:ascii="Times New Roman" w:hAnsi="Times New Roman"/>
          <w:highlight w:val="none"/>
        </w:rPr>
        <w:t>，排放浓度为</w:t>
      </w:r>
      <w:r>
        <w:rPr>
          <w:rFonts w:hint="eastAsia" w:ascii="Times New Roman" w:hAnsi="Times New Roman"/>
          <w:highlight w:val="none"/>
          <w:lang w:val="en-US" w:eastAsia="zh-CN"/>
        </w:rPr>
        <w:t>9.07</w:t>
      </w:r>
      <w:r>
        <w:rPr>
          <w:rFonts w:ascii="Times New Roman" w:hAnsi="Times New Roman"/>
          <w:highlight w:val="none"/>
        </w:rPr>
        <w:t>mg/m</w:t>
      </w:r>
      <w:r>
        <w:rPr>
          <w:rFonts w:ascii="Times New Roman" w:hAnsi="Times New Roman"/>
          <w:highlight w:val="none"/>
          <w:vertAlign w:val="superscript"/>
        </w:rPr>
        <w:t>3</w:t>
      </w:r>
      <w:r>
        <w:rPr>
          <w:rFonts w:ascii="Times New Roman" w:hAnsi="Times New Roman"/>
          <w:highlight w:val="none"/>
        </w:rPr>
        <w:t>，氮氧化物产生量为</w:t>
      </w:r>
      <w:r>
        <w:rPr>
          <w:rFonts w:hint="eastAsia" w:ascii="Times New Roman" w:hAnsi="Times New Roman"/>
          <w:highlight w:val="none"/>
          <w:lang w:val="en-US" w:eastAsia="zh-CN"/>
        </w:rPr>
        <w:t>0.031</w:t>
      </w:r>
      <w:r>
        <w:rPr>
          <w:rFonts w:ascii="Times New Roman" w:hAnsi="Times New Roman"/>
          <w:highlight w:val="none"/>
        </w:rPr>
        <w:t>t/</w:t>
      </w:r>
      <w:r>
        <w:rPr>
          <w:rFonts w:hint="eastAsia" w:ascii="Times New Roman" w:hAnsi="Times New Roman"/>
          <w:highlight w:val="none"/>
          <w:lang w:val="en-US" w:eastAsia="zh-CN"/>
        </w:rPr>
        <w:t>h</w:t>
      </w:r>
      <w:r>
        <w:rPr>
          <w:rFonts w:ascii="Times New Roman" w:hAnsi="Times New Roman"/>
          <w:highlight w:val="none"/>
        </w:rPr>
        <w:t>，产生浓度为</w:t>
      </w:r>
      <w:r>
        <w:rPr>
          <w:rFonts w:hint="eastAsia" w:ascii="Times New Roman" w:hAnsi="Times New Roman"/>
          <w:highlight w:val="none"/>
          <w:lang w:val="en-US" w:eastAsia="zh-CN"/>
        </w:rPr>
        <w:t>916</w:t>
      </w:r>
      <w:r>
        <w:rPr>
          <w:rFonts w:ascii="Times New Roman" w:hAnsi="Times New Roman"/>
          <w:highlight w:val="none"/>
        </w:rPr>
        <w:t>mg/m</w:t>
      </w:r>
      <w:r>
        <w:rPr>
          <w:rFonts w:ascii="Times New Roman" w:hAnsi="Times New Roman"/>
          <w:highlight w:val="none"/>
          <w:vertAlign w:val="superscript"/>
        </w:rPr>
        <w:t>3</w:t>
      </w:r>
    </w:p>
    <w:p w14:paraId="638EF716">
      <w:pPr>
        <w:ind w:firstLine="480"/>
        <w:rPr>
          <w:rFonts w:ascii="Times New Roman" w:hAnsi="Times New Roman"/>
          <w:highlight w:val="none"/>
        </w:rPr>
      </w:pPr>
      <w:r>
        <w:rPr>
          <w:rFonts w:ascii="Times New Roman" w:hAnsi="Times New Roman"/>
          <w:highlight w:val="none"/>
        </w:rPr>
        <w:t>（4）烟尘排放量按下式计算</w:t>
      </w:r>
    </w:p>
    <w:p w14:paraId="1B5DDAEA">
      <w:pPr>
        <w:ind w:firstLine="0" w:firstLineChars="0"/>
        <w:jc w:val="center"/>
        <w:rPr>
          <w:rFonts w:ascii="Times New Roman" w:hAnsi="Times New Roman"/>
          <w:highlight w:val="none"/>
        </w:rPr>
      </w:pPr>
      <w:r>
        <w:rPr>
          <w:rFonts w:ascii="Times New Roman" w:hAnsi="Times New Roman"/>
          <w:highlight w:val="none"/>
        </w:rPr>
        <w:drawing>
          <wp:inline distT="0" distB="0" distL="114300" distR="114300">
            <wp:extent cx="2847975" cy="937260"/>
            <wp:effectExtent l="0" t="0" r="9525" b="15240"/>
            <wp:docPr id="104" name="图片 7" descr="烟尘计算公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7" descr="烟尘计算公式"/>
                    <pic:cNvPicPr>
                      <a:picLocks noChangeAspect="1"/>
                    </pic:cNvPicPr>
                  </pic:nvPicPr>
                  <pic:blipFill>
                    <a:blip r:embed="rId26"/>
                    <a:stretch>
                      <a:fillRect/>
                    </a:stretch>
                  </pic:blipFill>
                  <pic:spPr>
                    <a:xfrm>
                      <a:off x="0" y="0"/>
                      <a:ext cx="2847975" cy="937260"/>
                    </a:xfrm>
                    <a:prstGeom prst="rect">
                      <a:avLst/>
                    </a:prstGeom>
                    <a:noFill/>
                    <a:ln>
                      <a:noFill/>
                    </a:ln>
                  </pic:spPr>
                </pic:pic>
              </a:graphicData>
            </a:graphic>
          </wp:inline>
        </w:drawing>
      </w:r>
    </w:p>
    <w:p w14:paraId="53AE8742">
      <w:pPr>
        <w:ind w:firstLine="480"/>
        <w:rPr>
          <w:rFonts w:ascii="Times New Roman" w:hAnsi="Times New Roman"/>
          <w:highlight w:val="none"/>
        </w:rPr>
      </w:pPr>
      <w:r>
        <w:rPr>
          <w:rFonts w:ascii="Times New Roman" w:hAnsi="Times New Roman"/>
          <w:highlight w:val="none"/>
        </w:rPr>
        <w:t>式中：</w:t>
      </w:r>
    </w:p>
    <w:p w14:paraId="048055FE">
      <w:pPr>
        <w:ind w:firstLine="480"/>
        <w:rPr>
          <w:rFonts w:ascii="Times New Roman" w:hAnsi="Times New Roman"/>
          <w:highlight w:val="none"/>
        </w:rPr>
      </w:pPr>
      <w:r>
        <w:rPr>
          <w:rFonts w:ascii="Times New Roman" w:hAnsi="Times New Roman"/>
          <w:highlight w:val="none"/>
        </w:rPr>
        <w:t>E</w:t>
      </w:r>
      <w:r>
        <w:rPr>
          <w:rFonts w:ascii="Times New Roman" w:hAnsi="Times New Roman"/>
          <w:highlight w:val="none"/>
          <w:vertAlign w:val="subscript"/>
        </w:rPr>
        <w:t>A</w:t>
      </w:r>
      <w:r>
        <w:rPr>
          <w:rFonts w:ascii="Times New Roman" w:hAnsi="Times New Roman"/>
          <w:highlight w:val="none"/>
        </w:rPr>
        <w:t>—核算时段内颗粒物（烟尘）排放量，t；</w:t>
      </w:r>
    </w:p>
    <w:p w14:paraId="7D92A545">
      <w:pPr>
        <w:ind w:firstLine="480"/>
        <w:rPr>
          <w:rFonts w:ascii="Times New Roman" w:hAnsi="Times New Roman"/>
          <w:highlight w:val="none"/>
        </w:rPr>
      </w:pPr>
      <w:r>
        <w:rPr>
          <w:rFonts w:ascii="Times New Roman" w:hAnsi="Times New Roman"/>
          <w:highlight w:val="none"/>
        </w:rPr>
        <w:t>R—核算时段内锅炉燃料耗量，t，取</w:t>
      </w:r>
      <w:r>
        <w:rPr>
          <w:rFonts w:hint="eastAsia" w:ascii="Times New Roman" w:hAnsi="Times New Roman"/>
          <w:highlight w:val="none"/>
          <w:lang w:val="en-US" w:eastAsia="zh-CN"/>
        </w:rPr>
        <w:t>28.425（116MW锅炉最大小时燃煤量）、8.688（58MW锅炉最大小时燃煤量）、3.6602（35t/h锅炉最大小时燃煤量）</w:t>
      </w:r>
      <w:r>
        <w:rPr>
          <w:rFonts w:ascii="Times New Roman" w:hAnsi="Times New Roman"/>
          <w:highlight w:val="none"/>
        </w:rPr>
        <w:t>；</w:t>
      </w:r>
    </w:p>
    <w:p w14:paraId="3B2EDF88">
      <w:pPr>
        <w:ind w:firstLine="480"/>
        <w:rPr>
          <w:rFonts w:ascii="Times New Roman" w:hAnsi="Times New Roman"/>
          <w:highlight w:val="none"/>
        </w:rPr>
      </w:pPr>
      <w:r>
        <w:rPr>
          <w:rFonts w:ascii="Times New Roman" w:hAnsi="Times New Roman"/>
          <w:highlight w:val="none"/>
        </w:rPr>
        <w:t>A</w:t>
      </w:r>
      <w:r>
        <w:rPr>
          <w:rFonts w:ascii="Times New Roman" w:hAnsi="Times New Roman"/>
          <w:highlight w:val="none"/>
          <w:vertAlign w:val="subscript"/>
        </w:rPr>
        <w:t>ar</w:t>
      </w:r>
      <w:r>
        <w:rPr>
          <w:rFonts w:ascii="Times New Roman" w:hAnsi="Times New Roman"/>
          <w:highlight w:val="none"/>
        </w:rPr>
        <w:t>—收到基灰分的质量分数，%，取</w:t>
      </w:r>
      <w:r>
        <w:rPr>
          <w:rFonts w:hint="eastAsia" w:ascii="Times New Roman" w:hAnsi="Times New Roman"/>
          <w:highlight w:val="none"/>
          <w:lang w:val="en-US" w:eastAsia="zh-CN"/>
        </w:rPr>
        <w:t>33.71</w:t>
      </w:r>
      <w:r>
        <w:rPr>
          <w:rFonts w:ascii="Times New Roman" w:hAnsi="Times New Roman"/>
          <w:highlight w:val="none"/>
        </w:rPr>
        <w:t>；</w:t>
      </w:r>
    </w:p>
    <w:p w14:paraId="1906C6A3">
      <w:pPr>
        <w:ind w:firstLine="480"/>
        <w:rPr>
          <w:rFonts w:ascii="Times New Roman" w:hAnsi="Times New Roman"/>
          <w:highlight w:val="none"/>
        </w:rPr>
      </w:pPr>
      <w:r>
        <w:rPr>
          <w:rFonts w:ascii="Times New Roman" w:hAnsi="Times New Roman"/>
          <w:highlight w:val="none"/>
        </w:rPr>
        <w:t>d</w:t>
      </w:r>
      <w:r>
        <w:rPr>
          <w:rFonts w:ascii="Times New Roman" w:hAnsi="Times New Roman"/>
          <w:highlight w:val="none"/>
          <w:vertAlign w:val="subscript"/>
        </w:rPr>
        <w:t>fh</w:t>
      </w:r>
      <w:r>
        <w:rPr>
          <w:rFonts w:ascii="Times New Roman" w:hAnsi="Times New Roman"/>
          <w:highlight w:val="none"/>
        </w:rPr>
        <w:t>—锅炉烟气带出的飞灰份额，%，取</w:t>
      </w:r>
      <w:r>
        <w:rPr>
          <w:rFonts w:hint="eastAsia" w:ascii="Times New Roman" w:hAnsi="Times New Roman"/>
          <w:highlight w:val="none"/>
          <w:lang w:val="en-US" w:eastAsia="zh-CN"/>
        </w:rPr>
        <w:t>20</w:t>
      </w:r>
      <w:r>
        <w:rPr>
          <w:rFonts w:ascii="Times New Roman" w:hAnsi="Times New Roman"/>
          <w:highlight w:val="none"/>
        </w:rPr>
        <w:t>；</w:t>
      </w:r>
    </w:p>
    <w:p w14:paraId="166DE2F1">
      <w:pPr>
        <w:ind w:firstLine="480"/>
        <w:rPr>
          <w:rFonts w:ascii="Times New Roman" w:hAnsi="Times New Roman"/>
          <w:highlight w:val="none"/>
        </w:rPr>
      </w:pPr>
      <w:r>
        <w:rPr>
          <w:rFonts w:ascii="Times New Roman" w:hAnsi="Times New Roman"/>
          <w:highlight w:val="none"/>
        </w:rPr>
        <w:t>ɳ</w:t>
      </w:r>
      <w:r>
        <w:rPr>
          <w:rFonts w:ascii="Times New Roman" w:hAnsi="Times New Roman"/>
          <w:highlight w:val="none"/>
          <w:vertAlign w:val="subscript"/>
        </w:rPr>
        <w:t>c</w:t>
      </w:r>
      <w:r>
        <w:rPr>
          <w:rFonts w:ascii="Times New Roman" w:hAnsi="Times New Roman"/>
          <w:highlight w:val="none"/>
        </w:rPr>
        <w:t>—除尘效率，%，取99.96；</w:t>
      </w:r>
    </w:p>
    <w:p w14:paraId="7EA38991">
      <w:pPr>
        <w:ind w:firstLine="480"/>
        <w:rPr>
          <w:rFonts w:ascii="Times New Roman" w:hAnsi="Times New Roman"/>
          <w:highlight w:val="none"/>
        </w:rPr>
      </w:pPr>
      <w:r>
        <w:rPr>
          <w:rFonts w:ascii="Times New Roman" w:hAnsi="Times New Roman"/>
          <w:highlight w:val="none"/>
        </w:rPr>
        <w:t>C</w:t>
      </w:r>
      <w:r>
        <w:rPr>
          <w:rFonts w:ascii="Times New Roman" w:hAnsi="Times New Roman"/>
          <w:highlight w:val="none"/>
          <w:vertAlign w:val="subscript"/>
        </w:rPr>
        <w:t>fh</w:t>
      </w:r>
      <w:r>
        <w:rPr>
          <w:rFonts w:ascii="Times New Roman" w:hAnsi="Times New Roman"/>
          <w:highlight w:val="none"/>
        </w:rPr>
        <w:t>—飞灰中的可燃物含量，%，取1</w:t>
      </w:r>
      <w:r>
        <w:rPr>
          <w:rFonts w:hint="eastAsia" w:ascii="Times New Roman" w:hAnsi="Times New Roman"/>
          <w:highlight w:val="none"/>
        </w:rPr>
        <w:t>0</w:t>
      </w:r>
      <w:r>
        <w:rPr>
          <w:rFonts w:ascii="Times New Roman" w:hAnsi="Times New Roman"/>
          <w:highlight w:val="none"/>
        </w:rPr>
        <w:t>。</w:t>
      </w:r>
    </w:p>
    <w:p w14:paraId="44420AAE">
      <w:pPr>
        <w:ind w:firstLine="480"/>
        <w:rPr>
          <w:rFonts w:hint="eastAsia" w:ascii="Times New Roman" w:hAnsi="Times New Roman" w:eastAsia="宋体"/>
          <w:highlight w:val="none"/>
          <w:lang w:val="en-US" w:eastAsia="zh-CN"/>
        </w:rPr>
      </w:pPr>
      <w:r>
        <w:rPr>
          <w:rFonts w:ascii="Times New Roman" w:hAnsi="Times New Roman"/>
          <w:highlight w:val="none"/>
        </w:rPr>
        <w:t>计算得出</w:t>
      </w:r>
      <w:r>
        <w:rPr>
          <w:rFonts w:hint="eastAsia" w:ascii="Times New Roman" w:hAnsi="Times New Roman"/>
          <w:highlight w:val="none"/>
          <w:lang w:val="en-US" w:eastAsia="zh-CN"/>
        </w:rPr>
        <w:t>116MW</w:t>
      </w:r>
      <w:r>
        <w:rPr>
          <w:rFonts w:ascii="Times New Roman" w:hAnsi="Times New Roman"/>
          <w:highlight w:val="none"/>
        </w:rPr>
        <w:t>烟尘排放量为</w:t>
      </w:r>
      <w:r>
        <w:rPr>
          <w:rFonts w:hint="eastAsia" w:ascii="Times New Roman" w:hAnsi="Times New Roman"/>
          <w:highlight w:val="none"/>
          <w:lang w:val="en-US" w:eastAsia="zh-CN"/>
        </w:rPr>
        <w:t>0.00085</w:t>
      </w:r>
      <w:r>
        <w:rPr>
          <w:rFonts w:ascii="Times New Roman" w:hAnsi="Times New Roman"/>
          <w:highlight w:val="none"/>
        </w:rPr>
        <w:t>t/</w:t>
      </w:r>
      <w:r>
        <w:rPr>
          <w:rFonts w:hint="eastAsia" w:ascii="Times New Roman" w:hAnsi="Times New Roman"/>
          <w:highlight w:val="none"/>
          <w:lang w:val="en-US" w:eastAsia="zh-CN"/>
        </w:rPr>
        <w:t>h</w:t>
      </w:r>
      <w:r>
        <w:rPr>
          <w:rFonts w:ascii="Times New Roman" w:hAnsi="Times New Roman"/>
          <w:highlight w:val="none"/>
        </w:rPr>
        <w:t>，排放浓度为</w:t>
      </w:r>
      <w:r>
        <w:rPr>
          <w:rFonts w:hint="eastAsia" w:ascii="Times New Roman" w:hAnsi="Times New Roman"/>
          <w:highlight w:val="none"/>
          <w:lang w:val="en-US" w:eastAsia="zh-CN"/>
        </w:rPr>
        <w:t>3.23</w:t>
      </w:r>
      <w:r>
        <w:rPr>
          <w:rFonts w:ascii="Times New Roman" w:hAnsi="Times New Roman"/>
          <w:highlight w:val="none"/>
        </w:rPr>
        <w:t>mg/m</w:t>
      </w:r>
      <w:r>
        <w:rPr>
          <w:rFonts w:ascii="Times New Roman" w:hAnsi="Times New Roman"/>
          <w:highlight w:val="none"/>
          <w:vertAlign w:val="superscript"/>
        </w:rPr>
        <w:t>3</w:t>
      </w:r>
      <w:r>
        <w:rPr>
          <w:rFonts w:hint="eastAsia" w:ascii="Times New Roman" w:hAnsi="Times New Roman"/>
          <w:highlight w:val="none"/>
          <w:lang w:eastAsia="zh-CN"/>
        </w:rPr>
        <w:t>，</w:t>
      </w:r>
      <w:r>
        <w:rPr>
          <w:rFonts w:ascii="Times New Roman" w:hAnsi="Times New Roman"/>
          <w:highlight w:val="none"/>
        </w:rPr>
        <w:t>烟尘产生量为</w:t>
      </w:r>
      <w:r>
        <w:rPr>
          <w:rFonts w:hint="eastAsia" w:ascii="Times New Roman" w:hAnsi="Times New Roman"/>
          <w:highlight w:val="none"/>
          <w:lang w:val="en-US" w:eastAsia="zh-CN"/>
        </w:rPr>
        <w:t>2.13</w:t>
      </w:r>
      <w:r>
        <w:rPr>
          <w:rFonts w:ascii="Times New Roman" w:hAnsi="Times New Roman"/>
          <w:highlight w:val="none"/>
        </w:rPr>
        <w:t>t/</w:t>
      </w:r>
      <w:r>
        <w:rPr>
          <w:rFonts w:hint="eastAsia" w:ascii="Times New Roman" w:hAnsi="Times New Roman"/>
          <w:highlight w:val="none"/>
          <w:lang w:val="en-US" w:eastAsia="zh-CN"/>
        </w:rPr>
        <w:t>h</w:t>
      </w:r>
      <w:r>
        <w:rPr>
          <w:rFonts w:ascii="Times New Roman" w:hAnsi="Times New Roman"/>
          <w:highlight w:val="none"/>
        </w:rPr>
        <w:t>，产生浓度为</w:t>
      </w:r>
      <w:r>
        <w:rPr>
          <w:rFonts w:hint="eastAsia" w:ascii="Times New Roman" w:hAnsi="Times New Roman"/>
          <w:highlight w:val="none"/>
          <w:lang w:val="en-US" w:eastAsia="zh-CN"/>
        </w:rPr>
        <w:t>8048.04</w:t>
      </w:r>
      <w:r>
        <w:rPr>
          <w:rFonts w:ascii="Times New Roman" w:hAnsi="Times New Roman"/>
          <w:highlight w:val="none"/>
        </w:rPr>
        <w:t>mg/m</w:t>
      </w:r>
      <w:r>
        <w:rPr>
          <w:rFonts w:ascii="Times New Roman" w:hAnsi="Times New Roman"/>
          <w:highlight w:val="none"/>
          <w:vertAlign w:val="superscript"/>
        </w:rPr>
        <w:t>3</w:t>
      </w:r>
      <w:r>
        <w:rPr>
          <w:rFonts w:hint="eastAsia" w:ascii="Times New Roman" w:hAnsi="Times New Roman"/>
          <w:highlight w:val="none"/>
          <w:lang w:eastAsia="zh-CN"/>
        </w:rPr>
        <w:t>；</w:t>
      </w:r>
      <w:r>
        <w:rPr>
          <w:rFonts w:hint="eastAsia" w:ascii="Times New Roman" w:hAnsi="Times New Roman"/>
          <w:highlight w:val="none"/>
          <w:lang w:val="en-US" w:eastAsia="zh-CN"/>
        </w:rPr>
        <w:t>58MW</w:t>
      </w:r>
      <w:r>
        <w:rPr>
          <w:rFonts w:ascii="Times New Roman" w:hAnsi="Times New Roman"/>
          <w:highlight w:val="none"/>
        </w:rPr>
        <w:t>烟尘排放量为</w:t>
      </w:r>
      <w:r>
        <w:rPr>
          <w:rFonts w:hint="eastAsia" w:ascii="Times New Roman" w:hAnsi="Times New Roman"/>
          <w:highlight w:val="none"/>
          <w:lang w:val="en-US" w:eastAsia="zh-CN"/>
        </w:rPr>
        <w:t>0.00026</w:t>
      </w:r>
      <w:r>
        <w:rPr>
          <w:rFonts w:ascii="Times New Roman" w:hAnsi="Times New Roman"/>
          <w:highlight w:val="none"/>
        </w:rPr>
        <w:t>t/</w:t>
      </w:r>
      <w:r>
        <w:rPr>
          <w:rFonts w:hint="eastAsia" w:ascii="Times New Roman" w:hAnsi="Times New Roman"/>
          <w:highlight w:val="none"/>
          <w:lang w:val="en-US" w:eastAsia="zh-CN"/>
        </w:rPr>
        <w:t>h</w:t>
      </w:r>
      <w:r>
        <w:rPr>
          <w:rFonts w:ascii="Times New Roman" w:hAnsi="Times New Roman"/>
          <w:highlight w:val="none"/>
        </w:rPr>
        <w:t>，排放浓度为</w:t>
      </w:r>
      <w:r>
        <w:rPr>
          <w:rFonts w:hint="eastAsia" w:ascii="Times New Roman" w:hAnsi="Times New Roman"/>
          <w:highlight w:val="none"/>
          <w:lang w:val="en-US" w:eastAsia="zh-CN"/>
        </w:rPr>
        <w:t>3.23</w:t>
      </w:r>
      <w:r>
        <w:rPr>
          <w:rFonts w:ascii="Times New Roman" w:hAnsi="Times New Roman"/>
          <w:highlight w:val="none"/>
        </w:rPr>
        <w:t>mg/m</w:t>
      </w:r>
      <w:r>
        <w:rPr>
          <w:rFonts w:ascii="Times New Roman" w:hAnsi="Times New Roman"/>
          <w:highlight w:val="none"/>
          <w:vertAlign w:val="superscript"/>
        </w:rPr>
        <w:t>3</w:t>
      </w:r>
      <w:r>
        <w:rPr>
          <w:rFonts w:hint="eastAsia" w:ascii="Times New Roman" w:hAnsi="Times New Roman"/>
          <w:highlight w:val="none"/>
          <w:lang w:eastAsia="zh-CN"/>
        </w:rPr>
        <w:t>，</w:t>
      </w:r>
      <w:r>
        <w:rPr>
          <w:rFonts w:ascii="Times New Roman" w:hAnsi="Times New Roman"/>
          <w:highlight w:val="none"/>
        </w:rPr>
        <w:t>烟尘产生量为</w:t>
      </w:r>
      <w:r>
        <w:rPr>
          <w:rFonts w:hint="eastAsia" w:ascii="Times New Roman" w:hAnsi="Times New Roman"/>
          <w:highlight w:val="none"/>
          <w:lang w:val="en-US" w:eastAsia="zh-CN"/>
        </w:rPr>
        <w:t>0.65</w:t>
      </w:r>
      <w:r>
        <w:rPr>
          <w:rFonts w:ascii="Times New Roman" w:hAnsi="Times New Roman"/>
          <w:highlight w:val="none"/>
        </w:rPr>
        <w:t>t/</w:t>
      </w:r>
      <w:r>
        <w:rPr>
          <w:rFonts w:hint="eastAsia" w:ascii="Times New Roman" w:hAnsi="Times New Roman"/>
          <w:highlight w:val="none"/>
          <w:lang w:val="en-US" w:eastAsia="zh-CN"/>
        </w:rPr>
        <w:t>h</w:t>
      </w:r>
      <w:r>
        <w:rPr>
          <w:rFonts w:ascii="Times New Roman" w:hAnsi="Times New Roman"/>
          <w:highlight w:val="none"/>
        </w:rPr>
        <w:t>，产生浓度为</w:t>
      </w:r>
      <w:r>
        <w:rPr>
          <w:rFonts w:hint="eastAsia" w:ascii="Times New Roman" w:hAnsi="Times New Roman"/>
          <w:highlight w:val="none"/>
          <w:lang w:val="en-US" w:eastAsia="zh-CN"/>
        </w:rPr>
        <w:t>8048.04</w:t>
      </w:r>
      <w:r>
        <w:rPr>
          <w:rFonts w:ascii="Times New Roman" w:hAnsi="Times New Roman"/>
          <w:highlight w:val="none"/>
        </w:rPr>
        <w:t>mg/m</w:t>
      </w:r>
      <w:r>
        <w:rPr>
          <w:rFonts w:ascii="Times New Roman" w:hAnsi="Times New Roman"/>
          <w:highlight w:val="none"/>
          <w:vertAlign w:val="superscript"/>
        </w:rPr>
        <w:t>3</w:t>
      </w:r>
      <w:r>
        <w:rPr>
          <w:rFonts w:hint="eastAsia" w:ascii="Times New Roman" w:hAnsi="Times New Roman"/>
          <w:highlight w:val="none"/>
          <w:vertAlign w:val="baseline"/>
          <w:lang w:eastAsia="zh-CN"/>
        </w:rPr>
        <w:t>；</w:t>
      </w:r>
      <w:r>
        <w:rPr>
          <w:rFonts w:hint="eastAsia" w:ascii="Times New Roman" w:hAnsi="Times New Roman"/>
          <w:highlight w:val="none"/>
          <w:lang w:val="en-US" w:eastAsia="zh-CN"/>
        </w:rPr>
        <w:t>35t/h</w:t>
      </w:r>
      <w:r>
        <w:rPr>
          <w:rFonts w:ascii="Times New Roman" w:hAnsi="Times New Roman"/>
          <w:highlight w:val="none"/>
        </w:rPr>
        <w:t>烟尘排放量为</w:t>
      </w:r>
      <w:r>
        <w:rPr>
          <w:rFonts w:hint="eastAsia" w:ascii="Times New Roman" w:hAnsi="Times New Roman"/>
          <w:highlight w:val="none"/>
          <w:lang w:val="en-US" w:eastAsia="zh-CN"/>
        </w:rPr>
        <w:t>0.0001</w:t>
      </w:r>
      <w:r>
        <w:rPr>
          <w:rFonts w:ascii="Times New Roman" w:hAnsi="Times New Roman"/>
          <w:highlight w:val="none"/>
        </w:rPr>
        <w:t>t/</w:t>
      </w:r>
      <w:r>
        <w:rPr>
          <w:rFonts w:hint="eastAsia" w:ascii="Times New Roman" w:hAnsi="Times New Roman"/>
          <w:highlight w:val="none"/>
          <w:lang w:val="en-US" w:eastAsia="zh-CN"/>
        </w:rPr>
        <w:t>h</w:t>
      </w:r>
      <w:r>
        <w:rPr>
          <w:rFonts w:ascii="Times New Roman" w:hAnsi="Times New Roman"/>
          <w:highlight w:val="none"/>
        </w:rPr>
        <w:t>，排放浓度为</w:t>
      </w:r>
      <w:r>
        <w:rPr>
          <w:rFonts w:hint="eastAsia" w:ascii="Times New Roman" w:hAnsi="Times New Roman"/>
          <w:highlight w:val="none"/>
          <w:lang w:val="en-US" w:eastAsia="zh-CN"/>
        </w:rPr>
        <w:t>3.23</w:t>
      </w:r>
      <w:r>
        <w:rPr>
          <w:rFonts w:ascii="Times New Roman" w:hAnsi="Times New Roman"/>
          <w:highlight w:val="none"/>
        </w:rPr>
        <w:t>mg/m</w:t>
      </w:r>
      <w:r>
        <w:rPr>
          <w:rFonts w:ascii="Times New Roman" w:hAnsi="Times New Roman"/>
          <w:highlight w:val="none"/>
          <w:vertAlign w:val="superscript"/>
        </w:rPr>
        <w:t>3</w:t>
      </w:r>
      <w:r>
        <w:rPr>
          <w:rFonts w:hint="eastAsia" w:ascii="Times New Roman" w:hAnsi="Times New Roman"/>
          <w:highlight w:val="none"/>
          <w:lang w:eastAsia="zh-CN"/>
        </w:rPr>
        <w:t>，</w:t>
      </w:r>
      <w:r>
        <w:rPr>
          <w:rFonts w:ascii="Times New Roman" w:hAnsi="Times New Roman"/>
          <w:highlight w:val="none"/>
        </w:rPr>
        <w:t>烟尘产生量为</w:t>
      </w:r>
      <w:r>
        <w:rPr>
          <w:rFonts w:hint="eastAsia" w:ascii="Times New Roman" w:hAnsi="Times New Roman"/>
          <w:highlight w:val="none"/>
          <w:lang w:val="en-US" w:eastAsia="zh-CN"/>
        </w:rPr>
        <w:t>0.27</w:t>
      </w:r>
      <w:r>
        <w:rPr>
          <w:rFonts w:ascii="Times New Roman" w:hAnsi="Times New Roman"/>
          <w:highlight w:val="none"/>
        </w:rPr>
        <w:t>t/</w:t>
      </w:r>
      <w:r>
        <w:rPr>
          <w:rFonts w:hint="eastAsia" w:ascii="Times New Roman" w:hAnsi="Times New Roman"/>
          <w:highlight w:val="none"/>
          <w:lang w:val="en-US" w:eastAsia="zh-CN"/>
        </w:rPr>
        <w:t>h</w:t>
      </w:r>
      <w:r>
        <w:rPr>
          <w:rFonts w:ascii="Times New Roman" w:hAnsi="Times New Roman"/>
          <w:highlight w:val="none"/>
        </w:rPr>
        <w:t>，产生浓度为</w:t>
      </w:r>
      <w:r>
        <w:rPr>
          <w:rFonts w:hint="eastAsia" w:ascii="Times New Roman" w:hAnsi="Times New Roman"/>
          <w:highlight w:val="none"/>
          <w:lang w:val="en-US" w:eastAsia="zh-CN"/>
        </w:rPr>
        <w:t>8048.04</w:t>
      </w:r>
      <w:r>
        <w:rPr>
          <w:rFonts w:ascii="Times New Roman" w:hAnsi="Times New Roman"/>
          <w:highlight w:val="none"/>
        </w:rPr>
        <w:t>mg/m</w:t>
      </w:r>
      <w:r>
        <w:rPr>
          <w:rFonts w:ascii="Times New Roman" w:hAnsi="Times New Roman"/>
          <w:highlight w:val="none"/>
          <w:vertAlign w:val="superscript"/>
        </w:rPr>
        <w:t>3</w:t>
      </w:r>
      <w:r>
        <w:rPr>
          <w:rFonts w:hint="eastAsia" w:ascii="Times New Roman" w:hAnsi="Times New Roman"/>
          <w:highlight w:val="none"/>
          <w:vertAlign w:val="baseline"/>
          <w:lang w:val="en-US" w:eastAsia="zh-CN"/>
        </w:rPr>
        <w:t>。</w:t>
      </w:r>
    </w:p>
    <w:p w14:paraId="3D86BEA8">
      <w:pPr>
        <w:ind w:firstLine="480"/>
        <w:rPr>
          <w:rFonts w:ascii="Times New Roman" w:hAnsi="Times New Roman"/>
          <w:highlight w:val="none"/>
        </w:rPr>
      </w:pPr>
      <w:r>
        <w:rPr>
          <w:rFonts w:ascii="Times New Roman" w:hAnsi="Times New Roman"/>
          <w:highlight w:val="none"/>
        </w:rPr>
        <w:t>（5）汞及其化合物排放量计算：</w:t>
      </w:r>
    </w:p>
    <w:p w14:paraId="31E188FE">
      <w:pPr>
        <w:ind w:firstLine="0" w:firstLineChars="0"/>
        <w:jc w:val="center"/>
        <w:rPr>
          <w:rFonts w:ascii="Times New Roman" w:hAnsi="Times New Roman"/>
          <w:highlight w:val="none"/>
        </w:rPr>
      </w:pPr>
      <w:r>
        <w:rPr>
          <w:rFonts w:ascii="Times New Roman" w:hAnsi="Times New Roman"/>
          <w:highlight w:val="none"/>
        </w:rPr>
        <w:drawing>
          <wp:inline distT="0" distB="0" distL="114300" distR="114300">
            <wp:extent cx="3019425" cy="533400"/>
            <wp:effectExtent l="0" t="0" r="9525" b="0"/>
            <wp:docPr id="10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8"/>
                    <pic:cNvPicPr>
                      <a:picLocks noChangeAspect="1"/>
                    </pic:cNvPicPr>
                  </pic:nvPicPr>
                  <pic:blipFill>
                    <a:blip r:embed="rId27"/>
                    <a:stretch>
                      <a:fillRect/>
                    </a:stretch>
                  </pic:blipFill>
                  <pic:spPr>
                    <a:xfrm>
                      <a:off x="0" y="0"/>
                      <a:ext cx="3019425" cy="533400"/>
                    </a:xfrm>
                    <a:prstGeom prst="rect">
                      <a:avLst/>
                    </a:prstGeom>
                    <a:noFill/>
                    <a:ln>
                      <a:noFill/>
                    </a:ln>
                  </pic:spPr>
                </pic:pic>
              </a:graphicData>
            </a:graphic>
          </wp:inline>
        </w:drawing>
      </w:r>
    </w:p>
    <w:p w14:paraId="59BDB7A4">
      <w:pPr>
        <w:ind w:firstLine="480"/>
        <w:rPr>
          <w:rFonts w:ascii="Times New Roman" w:hAnsi="Times New Roman"/>
          <w:highlight w:val="none"/>
        </w:rPr>
      </w:pPr>
      <w:r>
        <w:rPr>
          <w:rFonts w:ascii="Times New Roman" w:hAnsi="Times New Roman"/>
          <w:highlight w:val="none"/>
        </w:rPr>
        <w:t>式中：</w:t>
      </w:r>
    </w:p>
    <w:p w14:paraId="301F4F57">
      <w:pPr>
        <w:ind w:firstLine="480"/>
        <w:rPr>
          <w:rFonts w:ascii="Times New Roman" w:hAnsi="Times New Roman"/>
          <w:highlight w:val="none"/>
        </w:rPr>
      </w:pPr>
      <w:r>
        <w:rPr>
          <w:rFonts w:ascii="Times New Roman" w:hAnsi="Times New Roman"/>
          <w:highlight w:val="none"/>
        </w:rPr>
        <w:t>M</w:t>
      </w:r>
      <w:r>
        <w:rPr>
          <w:rFonts w:ascii="Times New Roman" w:hAnsi="Times New Roman"/>
          <w:highlight w:val="none"/>
          <w:vertAlign w:val="subscript"/>
        </w:rPr>
        <w:t>Hg</w:t>
      </w:r>
      <w:r>
        <w:rPr>
          <w:rFonts w:ascii="Times New Roman" w:hAnsi="Times New Roman"/>
          <w:highlight w:val="none"/>
        </w:rPr>
        <w:t>—核算时段内汞及其化合物排放量（以汞计），t；</w:t>
      </w:r>
    </w:p>
    <w:p w14:paraId="1C2A3114">
      <w:pPr>
        <w:ind w:firstLine="480"/>
        <w:rPr>
          <w:rFonts w:ascii="Times New Roman" w:hAnsi="Times New Roman"/>
          <w:highlight w:val="none"/>
        </w:rPr>
      </w:pPr>
      <w:r>
        <w:rPr>
          <w:rFonts w:ascii="Times New Roman" w:hAnsi="Times New Roman"/>
          <w:highlight w:val="none"/>
        </w:rPr>
        <w:t>B</w:t>
      </w:r>
      <w:r>
        <w:rPr>
          <w:rFonts w:ascii="Times New Roman" w:hAnsi="Times New Roman"/>
          <w:highlight w:val="none"/>
          <w:vertAlign w:val="subscript"/>
        </w:rPr>
        <w:t>g</w:t>
      </w:r>
      <w:r>
        <w:rPr>
          <w:rFonts w:ascii="Times New Roman" w:hAnsi="Times New Roman"/>
          <w:highlight w:val="none"/>
        </w:rPr>
        <w:t>—核算时段内锅炉燃料耗量，t；取</w:t>
      </w:r>
      <w:r>
        <w:rPr>
          <w:rFonts w:hint="eastAsia" w:ascii="Times New Roman" w:hAnsi="Times New Roman"/>
          <w:highlight w:val="none"/>
          <w:lang w:val="en-US" w:eastAsia="zh-CN"/>
        </w:rPr>
        <w:t>28.425（116MW锅炉最大小时燃煤量）、8.688（58MW锅炉最大小时燃煤量）、3.6602（35t/h锅炉最大小时燃煤量）</w:t>
      </w:r>
    </w:p>
    <w:p w14:paraId="5260BBB3">
      <w:pPr>
        <w:ind w:firstLine="480"/>
        <w:rPr>
          <w:rFonts w:ascii="Times New Roman" w:hAnsi="Times New Roman"/>
          <w:highlight w:val="none"/>
        </w:rPr>
      </w:pPr>
      <w:r>
        <w:rPr>
          <w:rFonts w:ascii="Times New Roman" w:hAnsi="Times New Roman"/>
          <w:highlight w:val="none"/>
        </w:rPr>
        <w:t>m</w:t>
      </w:r>
      <w:r>
        <w:rPr>
          <w:rFonts w:ascii="Times New Roman" w:hAnsi="Times New Roman"/>
          <w:highlight w:val="none"/>
          <w:vertAlign w:val="subscript"/>
        </w:rPr>
        <w:t>Hgar</w:t>
      </w:r>
      <w:r>
        <w:rPr>
          <w:rFonts w:ascii="Times New Roman" w:hAnsi="Times New Roman"/>
          <w:highlight w:val="none"/>
        </w:rPr>
        <w:t>—收到基汞的含量，μg/g，取</w:t>
      </w:r>
      <w:r>
        <w:rPr>
          <w:rFonts w:hint="eastAsia" w:ascii="Times New Roman" w:hAnsi="Times New Roman"/>
          <w:highlight w:val="none"/>
          <w:lang w:val="en-US" w:eastAsia="zh-CN"/>
        </w:rPr>
        <w:t>0.228</w:t>
      </w:r>
      <w:r>
        <w:rPr>
          <w:rFonts w:ascii="Times New Roman" w:hAnsi="Times New Roman"/>
          <w:highlight w:val="none"/>
        </w:rPr>
        <w:t>；</w:t>
      </w:r>
    </w:p>
    <w:p w14:paraId="741E9363">
      <w:pPr>
        <w:ind w:firstLine="480"/>
        <w:rPr>
          <w:rFonts w:ascii="Times New Roman" w:hAnsi="Times New Roman"/>
          <w:highlight w:val="none"/>
        </w:rPr>
      </w:pPr>
      <w:r>
        <w:rPr>
          <w:rFonts w:ascii="Times New Roman" w:hAnsi="Times New Roman"/>
          <w:highlight w:val="none"/>
        </w:rPr>
        <w:t>η</w:t>
      </w:r>
      <w:r>
        <w:rPr>
          <w:rFonts w:ascii="Times New Roman" w:hAnsi="Times New Roman"/>
          <w:highlight w:val="none"/>
          <w:vertAlign w:val="subscript"/>
        </w:rPr>
        <w:t>Hg</w:t>
      </w:r>
      <w:r>
        <w:rPr>
          <w:rFonts w:ascii="Times New Roman" w:hAnsi="Times New Roman"/>
          <w:highlight w:val="none"/>
        </w:rPr>
        <w:t>—汞的协同脱除效率，%。70</w:t>
      </w:r>
    </w:p>
    <w:p w14:paraId="07CFB9CD">
      <w:pPr>
        <w:ind w:firstLine="480"/>
        <w:rPr>
          <w:rFonts w:hint="eastAsia" w:ascii="Times New Roman" w:hAnsi="Times New Roman" w:eastAsia="宋体"/>
          <w:highlight w:val="none"/>
          <w:lang w:val="en-US" w:eastAsia="zh-CN"/>
        </w:rPr>
      </w:pPr>
      <w:r>
        <w:rPr>
          <w:rFonts w:ascii="Times New Roman" w:hAnsi="Times New Roman"/>
          <w:highlight w:val="none"/>
        </w:rPr>
        <w:t>计算得出</w:t>
      </w:r>
      <w:r>
        <w:rPr>
          <w:rFonts w:hint="eastAsia" w:ascii="Times New Roman" w:hAnsi="Times New Roman"/>
          <w:highlight w:val="none"/>
          <w:lang w:val="en-US" w:eastAsia="zh-CN"/>
        </w:rPr>
        <w:t>35t/h锅炉</w:t>
      </w:r>
      <w:r>
        <w:rPr>
          <w:rFonts w:ascii="Times New Roman" w:hAnsi="Times New Roman"/>
          <w:highlight w:val="none"/>
        </w:rPr>
        <w:t>汞的排放量为</w:t>
      </w:r>
      <w:r>
        <w:rPr>
          <w:rFonts w:hint="eastAsia" w:ascii="Times New Roman" w:hAnsi="Times New Roman"/>
          <w:highlight w:val="none"/>
          <w:lang w:val="en-US" w:eastAsia="zh-CN"/>
        </w:rPr>
        <w:t>2.5×10</w:t>
      </w:r>
      <w:r>
        <w:rPr>
          <w:rFonts w:hint="eastAsia" w:ascii="Times New Roman" w:hAnsi="Times New Roman"/>
          <w:highlight w:val="none"/>
          <w:vertAlign w:val="superscript"/>
          <w:lang w:val="en-US" w:eastAsia="zh-CN"/>
        </w:rPr>
        <w:t>-7</w:t>
      </w:r>
      <w:r>
        <w:rPr>
          <w:rFonts w:ascii="Times New Roman" w:hAnsi="Times New Roman"/>
          <w:highlight w:val="none"/>
        </w:rPr>
        <w:t>t/</w:t>
      </w:r>
      <w:r>
        <w:rPr>
          <w:rFonts w:hint="eastAsia" w:ascii="Times New Roman" w:hAnsi="Times New Roman"/>
          <w:highlight w:val="none"/>
          <w:lang w:val="en-US" w:eastAsia="zh-CN"/>
        </w:rPr>
        <w:t>h</w:t>
      </w:r>
      <w:r>
        <w:rPr>
          <w:rFonts w:ascii="Times New Roman" w:hAnsi="Times New Roman"/>
          <w:highlight w:val="none"/>
        </w:rPr>
        <w:t>，排放浓度为0.00</w:t>
      </w:r>
      <w:r>
        <w:rPr>
          <w:rFonts w:hint="eastAsia" w:ascii="Times New Roman" w:hAnsi="Times New Roman"/>
          <w:highlight w:val="none"/>
          <w:lang w:val="en-US" w:eastAsia="zh-CN"/>
        </w:rPr>
        <w:t>73</w:t>
      </w:r>
      <w:r>
        <w:rPr>
          <w:rFonts w:ascii="Times New Roman" w:hAnsi="Times New Roman"/>
          <w:highlight w:val="none"/>
        </w:rPr>
        <w:t>mg/m</w:t>
      </w:r>
      <w:r>
        <w:rPr>
          <w:rFonts w:ascii="Times New Roman" w:hAnsi="Times New Roman"/>
          <w:highlight w:val="none"/>
          <w:vertAlign w:val="superscript"/>
        </w:rPr>
        <w:t>3</w:t>
      </w:r>
      <w:r>
        <w:rPr>
          <w:rFonts w:ascii="Times New Roman" w:hAnsi="Times New Roman"/>
          <w:highlight w:val="none"/>
        </w:rPr>
        <w:t>，汞的产生量为</w:t>
      </w:r>
      <w:r>
        <w:rPr>
          <w:rFonts w:hint="eastAsia" w:ascii="Times New Roman" w:hAnsi="Times New Roman"/>
          <w:highlight w:val="none"/>
          <w:lang w:val="en-US" w:eastAsia="zh-CN"/>
        </w:rPr>
        <w:t>8.3×10</w:t>
      </w:r>
      <w:r>
        <w:rPr>
          <w:rFonts w:hint="eastAsia" w:ascii="Times New Roman" w:hAnsi="Times New Roman"/>
          <w:highlight w:val="none"/>
          <w:vertAlign w:val="superscript"/>
          <w:lang w:val="en-US" w:eastAsia="zh-CN"/>
        </w:rPr>
        <w:t>-7</w:t>
      </w:r>
      <w:r>
        <w:rPr>
          <w:rFonts w:ascii="Times New Roman" w:hAnsi="Times New Roman"/>
          <w:highlight w:val="none"/>
        </w:rPr>
        <w:t>t/</w:t>
      </w:r>
      <w:r>
        <w:rPr>
          <w:rFonts w:hint="eastAsia" w:ascii="Times New Roman" w:hAnsi="Times New Roman"/>
          <w:highlight w:val="none"/>
          <w:lang w:val="en-US" w:eastAsia="zh-CN"/>
        </w:rPr>
        <w:t>h</w:t>
      </w:r>
      <w:r>
        <w:rPr>
          <w:rFonts w:ascii="Times New Roman" w:hAnsi="Times New Roman"/>
          <w:highlight w:val="none"/>
        </w:rPr>
        <w:t>，产生浓度为</w:t>
      </w:r>
      <w:r>
        <w:rPr>
          <w:rFonts w:hint="eastAsia" w:ascii="Times New Roman" w:hAnsi="Times New Roman"/>
          <w:highlight w:val="none"/>
          <w:lang w:val="en-US" w:eastAsia="zh-CN"/>
        </w:rPr>
        <w:t>0.024</w:t>
      </w:r>
      <w:r>
        <w:rPr>
          <w:rFonts w:ascii="Times New Roman" w:hAnsi="Times New Roman"/>
          <w:highlight w:val="none"/>
        </w:rPr>
        <w:t>mg/m</w:t>
      </w:r>
      <w:r>
        <w:rPr>
          <w:rFonts w:ascii="Times New Roman" w:hAnsi="Times New Roman"/>
          <w:highlight w:val="none"/>
          <w:vertAlign w:val="superscript"/>
        </w:rPr>
        <w:t>3</w:t>
      </w:r>
      <w:r>
        <w:rPr>
          <w:rFonts w:hint="eastAsia" w:ascii="Times New Roman" w:hAnsi="Times New Roman"/>
          <w:highlight w:val="none"/>
          <w:vertAlign w:val="baseline"/>
          <w:lang w:eastAsia="zh-CN"/>
        </w:rPr>
        <w:t>；</w:t>
      </w:r>
      <w:r>
        <w:rPr>
          <w:rFonts w:hint="eastAsia" w:ascii="Times New Roman" w:hAnsi="Times New Roman"/>
          <w:highlight w:val="none"/>
          <w:lang w:val="en-US" w:eastAsia="zh-CN"/>
        </w:rPr>
        <w:t>116MW锅炉</w:t>
      </w:r>
      <w:r>
        <w:rPr>
          <w:rFonts w:ascii="Times New Roman" w:hAnsi="Times New Roman"/>
          <w:highlight w:val="none"/>
        </w:rPr>
        <w:t>汞的排放量为</w:t>
      </w:r>
      <w:r>
        <w:rPr>
          <w:rFonts w:hint="eastAsia" w:ascii="Times New Roman" w:hAnsi="Times New Roman"/>
          <w:highlight w:val="none"/>
          <w:lang w:val="en-US" w:eastAsia="zh-CN"/>
        </w:rPr>
        <w:t>1.94×10</w:t>
      </w:r>
      <w:r>
        <w:rPr>
          <w:rFonts w:hint="eastAsia" w:ascii="Times New Roman" w:hAnsi="Times New Roman"/>
          <w:highlight w:val="none"/>
          <w:vertAlign w:val="superscript"/>
          <w:lang w:val="en-US" w:eastAsia="zh-CN"/>
        </w:rPr>
        <w:t>-6</w:t>
      </w:r>
      <w:r>
        <w:rPr>
          <w:rFonts w:ascii="Times New Roman" w:hAnsi="Times New Roman"/>
          <w:highlight w:val="none"/>
        </w:rPr>
        <w:t>t/</w:t>
      </w:r>
      <w:r>
        <w:rPr>
          <w:rFonts w:hint="eastAsia" w:ascii="Times New Roman" w:hAnsi="Times New Roman"/>
          <w:highlight w:val="none"/>
          <w:lang w:val="en-US" w:eastAsia="zh-CN"/>
        </w:rPr>
        <w:t>h</w:t>
      </w:r>
      <w:r>
        <w:rPr>
          <w:rFonts w:ascii="Times New Roman" w:hAnsi="Times New Roman"/>
          <w:highlight w:val="none"/>
        </w:rPr>
        <w:t>，排放浓度为0.00</w:t>
      </w:r>
      <w:r>
        <w:rPr>
          <w:rFonts w:hint="eastAsia" w:ascii="Times New Roman" w:hAnsi="Times New Roman"/>
          <w:highlight w:val="none"/>
          <w:lang w:val="en-US" w:eastAsia="zh-CN"/>
        </w:rPr>
        <w:t>73</w:t>
      </w:r>
      <w:r>
        <w:rPr>
          <w:rFonts w:ascii="Times New Roman" w:hAnsi="Times New Roman"/>
          <w:highlight w:val="none"/>
        </w:rPr>
        <w:t>mg/m</w:t>
      </w:r>
      <w:r>
        <w:rPr>
          <w:rFonts w:ascii="Times New Roman" w:hAnsi="Times New Roman"/>
          <w:highlight w:val="none"/>
          <w:vertAlign w:val="superscript"/>
        </w:rPr>
        <w:t>3</w:t>
      </w:r>
      <w:r>
        <w:rPr>
          <w:rFonts w:ascii="Times New Roman" w:hAnsi="Times New Roman"/>
          <w:highlight w:val="none"/>
        </w:rPr>
        <w:t>，汞的产生量为</w:t>
      </w:r>
      <w:r>
        <w:rPr>
          <w:rFonts w:hint="eastAsia" w:ascii="Times New Roman" w:hAnsi="Times New Roman"/>
          <w:highlight w:val="none"/>
          <w:lang w:val="en-US" w:eastAsia="zh-CN"/>
        </w:rPr>
        <w:t>6.47×10</w:t>
      </w:r>
      <w:r>
        <w:rPr>
          <w:rFonts w:hint="eastAsia" w:ascii="Times New Roman" w:hAnsi="Times New Roman"/>
          <w:highlight w:val="none"/>
          <w:vertAlign w:val="superscript"/>
          <w:lang w:val="en-US" w:eastAsia="zh-CN"/>
        </w:rPr>
        <w:t>-6</w:t>
      </w:r>
      <w:r>
        <w:rPr>
          <w:rFonts w:ascii="Times New Roman" w:hAnsi="Times New Roman"/>
          <w:highlight w:val="none"/>
        </w:rPr>
        <w:t>t/</w:t>
      </w:r>
      <w:r>
        <w:rPr>
          <w:rFonts w:hint="eastAsia" w:ascii="Times New Roman" w:hAnsi="Times New Roman"/>
          <w:highlight w:val="none"/>
          <w:lang w:val="en-US" w:eastAsia="zh-CN"/>
        </w:rPr>
        <w:t>h</w:t>
      </w:r>
      <w:r>
        <w:rPr>
          <w:rFonts w:ascii="Times New Roman" w:hAnsi="Times New Roman"/>
          <w:highlight w:val="none"/>
        </w:rPr>
        <w:t>，产生浓度为</w:t>
      </w:r>
      <w:r>
        <w:rPr>
          <w:rFonts w:hint="eastAsia" w:ascii="Times New Roman" w:hAnsi="Times New Roman"/>
          <w:highlight w:val="none"/>
          <w:lang w:val="en-US" w:eastAsia="zh-CN"/>
        </w:rPr>
        <w:t>0.024</w:t>
      </w:r>
      <w:r>
        <w:rPr>
          <w:rFonts w:ascii="Times New Roman" w:hAnsi="Times New Roman"/>
          <w:highlight w:val="none"/>
        </w:rPr>
        <w:t>mg/m</w:t>
      </w:r>
      <w:r>
        <w:rPr>
          <w:rFonts w:ascii="Times New Roman" w:hAnsi="Times New Roman"/>
          <w:highlight w:val="none"/>
          <w:vertAlign w:val="superscript"/>
        </w:rPr>
        <w:t>3</w:t>
      </w:r>
      <w:r>
        <w:rPr>
          <w:rFonts w:hint="eastAsia" w:ascii="Times New Roman" w:hAnsi="Times New Roman"/>
          <w:highlight w:val="none"/>
          <w:vertAlign w:val="baseline"/>
          <w:lang w:eastAsia="zh-CN"/>
        </w:rPr>
        <w:t>；</w:t>
      </w:r>
      <w:r>
        <w:rPr>
          <w:rFonts w:hint="eastAsia" w:ascii="Times New Roman" w:hAnsi="Times New Roman"/>
          <w:highlight w:val="none"/>
          <w:lang w:val="en-US" w:eastAsia="zh-CN"/>
        </w:rPr>
        <w:t>58MW锅炉</w:t>
      </w:r>
      <w:r>
        <w:rPr>
          <w:rFonts w:ascii="Times New Roman" w:hAnsi="Times New Roman"/>
          <w:highlight w:val="none"/>
        </w:rPr>
        <w:t>汞的排放量为</w:t>
      </w:r>
      <w:r>
        <w:rPr>
          <w:rFonts w:hint="eastAsia" w:ascii="Times New Roman" w:hAnsi="Times New Roman"/>
          <w:highlight w:val="none"/>
          <w:lang w:val="en-US" w:eastAsia="zh-CN"/>
        </w:rPr>
        <w:t>5.94×10</w:t>
      </w:r>
      <w:r>
        <w:rPr>
          <w:rFonts w:hint="eastAsia" w:ascii="Times New Roman" w:hAnsi="Times New Roman"/>
          <w:highlight w:val="none"/>
          <w:vertAlign w:val="superscript"/>
          <w:lang w:val="en-US" w:eastAsia="zh-CN"/>
        </w:rPr>
        <w:t>-7</w:t>
      </w:r>
      <w:r>
        <w:rPr>
          <w:rFonts w:ascii="Times New Roman" w:hAnsi="Times New Roman"/>
          <w:highlight w:val="none"/>
        </w:rPr>
        <w:t>t/</w:t>
      </w:r>
      <w:r>
        <w:rPr>
          <w:rFonts w:hint="eastAsia" w:ascii="Times New Roman" w:hAnsi="Times New Roman"/>
          <w:highlight w:val="none"/>
          <w:lang w:val="en-US" w:eastAsia="zh-CN"/>
        </w:rPr>
        <w:t>h</w:t>
      </w:r>
      <w:r>
        <w:rPr>
          <w:rFonts w:ascii="Times New Roman" w:hAnsi="Times New Roman"/>
          <w:highlight w:val="none"/>
        </w:rPr>
        <w:t>，排放浓度为0.00</w:t>
      </w:r>
      <w:r>
        <w:rPr>
          <w:rFonts w:hint="eastAsia" w:ascii="Times New Roman" w:hAnsi="Times New Roman"/>
          <w:highlight w:val="none"/>
          <w:lang w:val="en-US" w:eastAsia="zh-CN"/>
        </w:rPr>
        <w:t>73</w:t>
      </w:r>
      <w:r>
        <w:rPr>
          <w:rFonts w:ascii="Times New Roman" w:hAnsi="Times New Roman"/>
          <w:highlight w:val="none"/>
        </w:rPr>
        <w:t>mg/m</w:t>
      </w:r>
      <w:r>
        <w:rPr>
          <w:rFonts w:ascii="Times New Roman" w:hAnsi="Times New Roman"/>
          <w:highlight w:val="none"/>
          <w:vertAlign w:val="superscript"/>
        </w:rPr>
        <w:t>3</w:t>
      </w:r>
      <w:r>
        <w:rPr>
          <w:rFonts w:ascii="Times New Roman" w:hAnsi="Times New Roman"/>
          <w:highlight w:val="none"/>
        </w:rPr>
        <w:t>，汞的产生量为</w:t>
      </w:r>
      <w:r>
        <w:rPr>
          <w:rFonts w:hint="eastAsia" w:ascii="Times New Roman" w:hAnsi="Times New Roman"/>
          <w:highlight w:val="none"/>
          <w:lang w:val="en-US" w:eastAsia="zh-CN"/>
        </w:rPr>
        <w:t>1.98×10</w:t>
      </w:r>
      <w:r>
        <w:rPr>
          <w:rFonts w:hint="eastAsia" w:ascii="Times New Roman" w:hAnsi="Times New Roman"/>
          <w:highlight w:val="none"/>
          <w:vertAlign w:val="superscript"/>
          <w:lang w:val="en-US" w:eastAsia="zh-CN"/>
        </w:rPr>
        <w:t>-6</w:t>
      </w:r>
      <w:r>
        <w:rPr>
          <w:rFonts w:ascii="Times New Roman" w:hAnsi="Times New Roman"/>
          <w:highlight w:val="none"/>
        </w:rPr>
        <w:t>t/</w:t>
      </w:r>
      <w:r>
        <w:rPr>
          <w:rFonts w:hint="eastAsia" w:ascii="Times New Roman" w:hAnsi="Times New Roman"/>
          <w:highlight w:val="none"/>
          <w:lang w:val="en-US" w:eastAsia="zh-CN"/>
        </w:rPr>
        <w:t>h</w:t>
      </w:r>
      <w:r>
        <w:rPr>
          <w:rFonts w:ascii="Times New Roman" w:hAnsi="Times New Roman"/>
          <w:highlight w:val="none"/>
        </w:rPr>
        <w:t>，产生浓度为</w:t>
      </w:r>
      <w:r>
        <w:rPr>
          <w:rFonts w:hint="eastAsia" w:ascii="Times New Roman" w:hAnsi="Times New Roman"/>
          <w:highlight w:val="none"/>
          <w:lang w:val="en-US" w:eastAsia="zh-CN"/>
        </w:rPr>
        <w:t>0.024</w:t>
      </w:r>
      <w:r>
        <w:rPr>
          <w:rFonts w:ascii="Times New Roman" w:hAnsi="Times New Roman"/>
          <w:highlight w:val="none"/>
        </w:rPr>
        <w:t>mg/m</w:t>
      </w:r>
      <w:r>
        <w:rPr>
          <w:rFonts w:ascii="Times New Roman" w:hAnsi="Times New Roman"/>
          <w:highlight w:val="none"/>
          <w:vertAlign w:val="superscript"/>
        </w:rPr>
        <w:t>3</w:t>
      </w:r>
      <w:r>
        <w:rPr>
          <w:rFonts w:hint="eastAsia" w:ascii="Times New Roman" w:hAnsi="Times New Roman"/>
          <w:highlight w:val="none"/>
          <w:vertAlign w:val="baseline"/>
          <w:lang w:eastAsia="zh-CN"/>
        </w:rPr>
        <w:t>。</w:t>
      </w:r>
    </w:p>
    <w:p w14:paraId="798EC047">
      <w:pPr>
        <w:pStyle w:val="7"/>
        <w:ind w:firstLine="480"/>
        <w:rPr>
          <w:rFonts w:ascii="Times New Roman" w:hAnsi="Times New Roman"/>
          <w:highlight w:val="none"/>
        </w:rPr>
      </w:pPr>
      <w:r>
        <w:rPr>
          <w:rFonts w:ascii="Times New Roman" w:hAnsi="Times New Roman"/>
          <w:highlight w:val="none"/>
        </w:rPr>
        <w:t>（</w:t>
      </w:r>
      <w:r>
        <w:rPr>
          <w:rFonts w:hint="eastAsia" w:ascii="Times New Roman" w:hAnsi="Times New Roman"/>
          <w:highlight w:val="none"/>
        </w:rPr>
        <w:t>6</w:t>
      </w:r>
      <w:r>
        <w:rPr>
          <w:rFonts w:ascii="Times New Roman" w:hAnsi="Times New Roman"/>
          <w:highlight w:val="none"/>
        </w:rPr>
        <w:t>）氨逃逸</w:t>
      </w:r>
    </w:p>
    <w:p w14:paraId="19FBD747">
      <w:pPr>
        <w:pStyle w:val="7"/>
        <w:ind w:firstLine="480"/>
        <w:rPr>
          <w:rFonts w:ascii="Times New Roman" w:hAnsi="Times New Roman"/>
          <w:highlight w:val="none"/>
        </w:rPr>
      </w:pPr>
      <w:r>
        <w:rPr>
          <w:rFonts w:ascii="Times New Roman" w:hAnsi="Times New Roman"/>
          <w:highlight w:val="none"/>
        </w:rPr>
        <w:t>参照《火电厂烟气脱硝工程技术规范选择性催化还原法》要求脱硝系统氨逃逸质量浓度应控制在2.5mg/m</w:t>
      </w:r>
      <w:r>
        <w:rPr>
          <w:rFonts w:ascii="Times New Roman" w:hAnsi="Times New Roman"/>
          <w:highlight w:val="none"/>
          <w:vertAlign w:val="superscript"/>
        </w:rPr>
        <w:t>3</w:t>
      </w:r>
      <w:r>
        <w:rPr>
          <w:rFonts w:ascii="Times New Roman" w:hAnsi="Times New Roman"/>
          <w:highlight w:val="none"/>
        </w:rPr>
        <w:t>以下，产生强度小于</w:t>
      </w:r>
      <w:r>
        <w:rPr>
          <w:rFonts w:hint="eastAsia" w:ascii="Times New Roman" w:hAnsi="Times New Roman"/>
          <w:highlight w:val="none"/>
          <w:lang w:val="en-US" w:eastAsia="zh-CN"/>
        </w:rPr>
        <w:t>0.66</w:t>
      </w:r>
      <w:r>
        <w:rPr>
          <w:rFonts w:ascii="Times New Roman" w:hAnsi="Times New Roman"/>
          <w:highlight w:val="none"/>
        </w:rPr>
        <w:t>kg/h</w:t>
      </w:r>
      <w:r>
        <w:rPr>
          <w:rFonts w:hint="eastAsia" w:ascii="Times New Roman" w:hAnsi="Times New Roman"/>
          <w:highlight w:val="none"/>
          <w:lang w:eastAsia="zh-CN"/>
        </w:rPr>
        <w:t>（</w:t>
      </w:r>
      <w:r>
        <w:rPr>
          <w:rFonts w:hint="eastAsia" w:ascii="Times New Roman" w:hAnsi="Times New Roman"/>
          <w:highlight w:val="none"/>
          <w:lang w:val="en-US" w:eastAsia="zh-CN"/>
        </w:rPr>
        <w:t>116MW锅炉</w:t>
      </w:r>
      <w:r>
        <w:rPr>
          <w:rFonts w:hint="eastAsia" w:ascii="Times New Roman" w:hAnsi="Times New Roman"/>
          <w:highlight w:val="none"/>
          <w:lang w:eastAsia="zh-CN"/>
        </w:rPr>
        <w:t>）、</w:t>
      </w:r>
      <w:r>
        <w:rPr>
          <w:rFonts w:hint="eastAsia" w:ascii="Times New Roman" w:hAnsi="Times New Roman"/>
          <w:highlight w:val="none"/>
          <w:lang w:val="en-US" w:eastAsia="zh-CN"/>
        </w:rPr>
        <w:t>0.202</w:t>
      </w:r>
      <w:r>
        <w:rPr>
          <w:rFonts w:ascii="Times New Roman" w:hAnsi="Times New Roman"/>
          <w:highlight w:val="none"/>
        </w:rPr>
        <w:t>kg/h</w:t>
      </w:r>
      <w:r>
        <w:rPr>
          <w:rFonts w:hint="eastAsia" w:ascii="Times New Roman" w:hAnsi="Times New Roman"/>
          <w:highlight w:val="none"/>
          <w:lang w:eastAsia="zh-CN"/>
        </w:rPr>
        <w:t>（</w:t>
      </w:r>
      <w:r>
        <w:rPr>
          <w:rFonts w:hint="eastAsia" w:ascii="Times New Roman" w:hAnsi="Times New Roman"/>
          <w:highlight w:val="none"/>
          <w:lang w:val="en-US" w:eastAsia="zh-CN"/>
        </w:rPr>
        <w:t>58MW锅炉</w:t>
      </w:r>
      <w:r>
        <w:rPr>
          <w:rFonts w:hint="eastAsia" w:ascii="Times New Roman" w:hAnsi="Times New Roman"/>
          <w:highlight w:val="none"/>
          <w:lang w:eastAsia="zh-CN"/>
        </w:rPr>
        <w:t>）、</w:t>
      </w:r>
      <w:r>
        <w:rPr>
          <w:rFonts w:hint="eastAsia" w:ascii="Times New Roman" w:hAnsi="Times New Roman"/>
          <w:highlight w:val="none"/>
          <w:lang w:val="en-US" w:eastAsia="zh-CN"/>
        </w:rPr>
        <w:t>0.085</w:t>
      </w:r>
      <w:r>
        <w:rPr>
          <w:rFonts w:ascii="Times New Roman" w:hAnsi="Times New Roman"/>
          <w:highlight w:val="none"/>
        </w:rPr>
        <w:t>kg/h</w:t>
      </w:r>
      <w:r>
        <w:rPr>
          <w:rFonts w:hint="eastAsia" w:ascii="Times New Roman" w:hAnsi="Times New Roman"/>
          <w:highlight w:val="none"/>
          <w:lang w:eastAsia="zh-CN"/>
        </w:rPr>
        <w:t>（</w:t>
      </w:r>
      <w:r>
        <w:rPr>
          <w:rFonts w:hint="eastAsia" w:ascii="Times New Roman" w:hAnsi="Times New Roman"/>
          <w:highlight w:val="none"/>
          <w:lang w:val="en-US" w:eastAsia="zh-CN"/>
        </w:rPr>
        <w:t>35t/h锅炉</w:t>
      </w:r>
      <w:r>
        <w:rPr>
          <w:rFonts w:hint="eastAsia" w:ascii="Times New Roman" w:hAnsi="Times New Roman"/>
          <w:highlight w:val="none"/>
          <w:lang w:eastAsia="zh-CN"/>
        </w:rPr>
        <w:t>）</w:t>
      </w:r>
      <w:r>
        <w:rPr>
          <w:rFonts w:ascii="Times New Roman" w:hAnsi="Times New Roman"/>
          <w:highlight w:val="none"/>
        </w:rPr>
        <w:t>。</w:t>
      </w:r>
    </w:p>
    <w:p w14:paraId="019CF463">
      <w:pPr>
        <w:pStyle w:val="7"/>
        <w:ind w:firstLine="480"/>
        <w:rPr>
          <w:rFonts w:ascii="Times New Roman" w:hAnsi="Times New Roman"/>
          <w:highlight w:val="none"/>
        </w:rPr>
      </w:pPr>
      <w:r>
        <w:rPr>
          <w:rFonts w:ascii="Times New Roman" w:hAnsi="Times New Roman"/>
          <w:highlight w:val="none"/>
        </w:rPr>
        <w:t>（</w:t>
      </w:r>
      <w:r>
        <w:rPr>
          <w:rFonts w:hint="eastAsia" w:ascii="Times New Roman" w:hAnsi="Times New Roman"/>
          <w:highlight w:val="none"/>
        </w:rPr>
        <w:t>7</w:t>
      </w:r>
      <w:r>
        <w:rPr>
          <w:rFonts w:ascii="Times New Roman" w:hAnsi="Times New Roman"/>
          <w:highlight w:val="none"/>
        </w:rPr>
        <w:t>）食堂油烟</w:t>
      </w:r>
    </w:p>
    <w:p w14:paraId="1C7761DB">
      <w:pPr>
        <w:pStyle w:val="7"/>
        <w:ind w:firstLine="480"/>
        <w:rPr>
          <w:rFonts w:ascii="Times New Roman" w:hAnsi="Times New Roman"/>
          <w:highlight w:val="none"/>
        </w:rPr>
      </w:pPr>
      <w:r>
        <w:rPr>
          <w:rFonts w:ascii="Times New Roman" w:hAnsi="Times New Roman"/>
          <w:highlight w:val="none"/>
        </w:rPr>
        <w:t>本项目</w:t>
      </w:r>
      <w:r>
        <w:rPr>
          <w:rFonts w:hint="eastAsia" w:ascii="Times New Roman" w:hAnsi="Times New Roman"/>
          <w:highlight w:val="none"/>
        </w:rPr>
        <w:t>依托并改造</w:t>
      </w:r>
      <w:r>
        <w:rPr>
          <w:rFonts w:ascii="Times New Roman" w:hAnsi="Times New Roman"/>
          <w:highlight w:val="none"/>
        </w:rPr>
        <w:t>现有食堂</w:t>
      </w:r>
      <w:r>
        <w:rPr>
          <w:rFonts w:hint="eastAsia" w:ascii="Times New Roman" w:hAnsi="Times New Roman"/>
          <w:highlight w:val="none"/>
        </w:rPr>
        <w:t>，</w:t>
      </w:r>
      <w:r>
        <w:rPr>
          <w:rFonts w:ascii="Times New Roman" w:hAnsi="Times New Roman"/>
          <w:highlight w:val="none"/>
        </w:rPr>
        <w:t>基础灶头数为3个灶头，为职工提供餐饮（以</w:t>
      </w:r>
      <w:r>
        <w:rPr>
          <w:rFonts w:hint="eastAsia" w:ascii="Times New Roman" w:hAnsi="Times New Roman"/>
          <w:highlight w:val="none"/>
        </w:rPr>
        <w:t>全场</w:t>
      </w:r>
      <w:r>
        <w:rPr>
          <w:rFonts w:hint="eastAsia" w:ascii="Times New Roman" w:hAnsi="Times New Roman"/>
          <w:highlight w:val="none"/>
          <w:lang w:val="en-US" w:eastAsia="zh-CN"/>
        </w:rPr>
        <w:t>175</w:t>
      </w:r>
      <w:r>
        <w:rPr>
          <w:rFonts w:ascii="Times New Roman" w:hAnsi="Times New Roman"/>
          <w:highlight w:val="none"/>
        </w:rPr>
        <w:t>人计）。在食物烹任、加工过程中挥发的油脂、有机质及热分解或裂解，从而产生油烟废气。根据《排放源统计调查产排污核算方法和系数手册》可知，本项目为</w:t>
      </w:r>
      <w:r>
        <w:rPr>
          <w:rFonts w:hint="eastAsia" w:ascii="Times New Roman" w:hAnsi="Times New Roman"/>
          <w:highlight w:val="none"/>
          <w:lang w:val="en-US" w:eastAsia="zh-CN"/>
        </w:rPr>
        <w:t>二</w:t>
      </w:r>
      <w:r>
        <w:rPr>
          <w:rFonts w:ascii="Times New Roman" w:hAnsi="Times New Roman"/>
          <w:highlight w:val="none"/>
        </w:rPr>
        <w:t>类区，食堂油烟系数为301g/（人•年），灶头运行时间按</w:t>
      </w:r>
      <w:r>
        <w:rPr>
          <w:rFonts w:hint="eastAsia" w:ascii="Times New Roman" w:hAnsi="Times New Roman"/>
          <w:highlight w:val="none"/>
        </w:rPr>
        <w:t>3</w:t>
      </w:r>
      <w:r>
        <w:rPr>
          <w:rFonts w:ascii="Times New Roman" w:hAnsi="Times New Roman"/>
          <w:highlight w:val="none"/>
        </w:rPr>
        <w:t>h/d计，处理风量为</w:t>
      </w:r>
      <w:r>
        <w:rPr>
          <w:rFonts w:hint="eastAsia" w:ascii="Times New Roman" w:hAnsi="Times New Roman"/>
          <w:highlight w:val="none"/>
          <w:lang w:val="en-US" w:eastAsia="zh-CN"/>
        </w:rPr>
        <w:t>8</w:t>
      </w:r>
      <w:r>
        <w:rPr>
          <w:rFonts w:ascii="Times New Roman" w:hAnsi="Times New Roman"/>
          <w:highlight w:val="none"/>
        </w:rPr>
        <w:t>000m</w:t>
      </w:r>
      <w:r>
        <w:rPr>
          <w:rFonts w:ascii="Times New Roman" w:hAnsi="Times New Roman"/>
          <w:highlight w:val="none"/>
          <w:vertAlign w:val="superscript"/>
        </w:rPr>
        <w:t>3</w:t>
      </w:r>
      <w:r>
        <w:rPr>
          <w:rFonts w:ascii="Times New Roman" w:hAnsi="Times New Roman"/>
          <w:highlight w:val="none"/>
        </w:rPr>
        <w:t>/h，则本项目产生的食堂油烟为</w:t>
      </w:r>
      <w:r>
        <w:rPr>
          <w:rFonts w:hint="eastAsia" w:ascii="Times New Roman" w:hAnsi="Times New Roman"/>
          <w:highlight w:val="none"/>
          <w:lang w:val="en-US" w:eastAsia="zh-CN"/>
        </w:rPr>
        <w:t>1.31</w:t>
      </w:r>
      <w:r>
        <w:rPr>
          <w:rFonts w:ascii="Times New Roman" w:hAnsi="Times New Roman"/>
          <w:highlight w:val="none"/>
        </w:rPr>
        <w:t>mg/m</w:t>
      </w:r>
      <w:r>
        <w:rPr>
          <w:rFonts w:ascii="Times New Roman" w:hAnsi="Times New Roman"/>
          <w:highlight w:val="none"/>
          <w:vertAlign w:val="superscript"/>
        </w:rPr>
        <w:t>3</w:t>
      </w:r>
      <w:r>
        <w:rPr>
          <w:rFonts w:ascii="Times New Roman" w:hAnsi="Times New Roman"/>
          <w:highlight w:val="none"/>
        </w:rPr>
        <w:t>，0.0</w:t>
      </w:r>
      <w:r>
        <w:rPr>
          <w:rFonts w:hint="eastAsia" w:ascii="Times New Roman" w:hAnsi="Times New Roman"/>
          <w:highlight w:val="none"/>
          <w:lang w:val="en-US" w:eastAsia="zh-CN"/>
        </w:rPr>
        <w:t>53</w:t>
      </w:r>
      <w:r>
        <w:rPr>
          <w:rFonts w:ascii="Times New Roman" w:hAnsi="Times New Roman"/>
          <w:highlight w:val="none"/>
        </w:rPr>
        <w:t>t/a。食堂安装油烟净化器，净化措施最低去除效率为75%，则本项目油烟排放浓度为0.</w:t>
      </w:r>
      <w:r>
        <w:rPr>
          <w:rFonts w:hint="eastAsia" w:ascii="Times New Roman" w:hAnsi="Times New Roman"/>
          <w:highlight w:val="none"/>
        </w:rPr>
        <w:t>824</w:t>
      </w:r>
      <w:r>
        <w:rPr>
          <w:rFonts w:ascii="Times New Roman" w:hAnsi="Times New Roman"/>
          <w:highlight w:val="none"/>
        </w:rPr>
        <w:t>mg/m</w:t>
      </w:r>
      <w:r>
        <w:rPr>
          <w:rFonts w:ascii="Times New Roman" w:hAnsi="Times New Roman"/>
          <w:highlight w:val="none"/>
          <w:vertAlign w:val="superscript"/>
        </w:rPr>
        <w:t>3</w:t>
      </w:r>
      <w:r>
        <w:rPr>
          <w:rFonts w:ascii="Times New Roman" w:hAnsi="Times New Roman"/>
          <w:highlight w:val="none"/>
        </w:rPr>
        <w:t>，0.004t/a。可满足《饮食业油烟排放标准（试行）》（GB18483-2001）（中型）油烟最高允许排放浓度为2.0mg/m</w:t>
      </w:r>
      <w:r>
        <w:rPr>
          <w:rFonts w:ascii="Times New Roman" w:hAnsi="Times New Roman"/>
          <w:highlight w:val="none"/>
          <w:vertAlign w:val="superscript"/>
        </w:rPr>
        <w:t>3</w:t>
      </w:r>
      <w:r>
        <w:rPr>
          <w:rFonts w:ascii="Times New Roman" w:hAnsi="Times New Roman"/>
          <w:highlight w:val="none"/>
        </w:rPr>
        <w:t>的要求，净化后的油烟经专用烟道引至楼顶排放。</w:t>
      </w:r>
    </w:p>
    <w:p w14:paraId="76314034">
      <w:pPr>
        <w:bidi w:val="0"/>
        <w:rPr>
          <w:rFonts w:hint="eastAsia"/>
          <w:highlight w:val="none"/>
          <w:lang w:val="en-US" w:eastAsia="zh-CN"/>
        </w:rPr>
      </w:pPr>
      <w:r>
        <w:rPr>
          <w:rFonts w:hint="eastAsia"/>
          <w:highlight w:val="none"/>
          <w:lang w:eastAsia="zh-CN"/>
        </w:rPr>
        <w:t>（</w:t>
      </w:r>
      <w:r>
        <w:rPr>
          <w:rFonts w:hint="eastAsia"/>
          <w:highlight w:val="none"/>
          <w:lang w:val="en-US" w:eastAsia="zh-CN"/>
        </w:rPr>
        <w:t>8</w:t>
      </w:r>
      <w:r>
        <w:rPr>
          <w:rFonts w:hint="eastAsia"/>
          <w:highlight w:val="none"/>
          <w:lang w:eastAsia="zh-CN"/>
        </w:rPr>
        <w:t>）</w:t>
      </w:r>
      <w:r>
        <w:rPr>
          <w:rFonts w:hint="eastAsia"/>
          <w:highlight w:val="none"/>
          <w:lang w:val="en-US" w:eastAsia="zh-CN"/>
        </w:rPr>
        <w:t>原煤破碎粉尘</w:t>
      </w:r>
    </w:p>
    <w:p w14:paraId="040B5115">
      <w:pPr>
        <w:bidi w:val="0"/>
        <w:rPr>
          <w:rFonts w:hint="default"/>
          <w:highlight w:val="none"/>
          <w:lang w:val="en-US" w:eastAsia="zh-CN"/>
        </w:rPr>
      </w:pPr>
      <w:r>
        <w:rPr>
          <w:rFonts w:hint="eastAsia" w:ascii="Times New Roman" w:hAnsi="Times New Roman"/>
          <w:highlight w:val="none"/>
        </w:rPr>
        <w:t>先由给煤机将煤推入地下受煤坑，由给料机加入带式输送机，将原煤送至破碎机进行破碎，粉尘产生量参考《逸散性工业粉尘控制技术》、《工业污染核算》等书，确定粉尘产生系数为1kg/t。</w:t>
      </w:r>
      <w:r>
        <w:rPr>
          <w:rFonts w:hint="eastAsia" w:ascii="Times New Roman" w:hAnsi="Times New Roman"/>
          <w:highlight w:val="none"/>
          <w:lang w:val="en-US" w:eastAsia="zh-CN"/>
        </w:rPr>
        <w:t>本项目年燃煤量为81047.7024t。</w:t>
      </w:r>
      <w:r>
        <w:rPr>
          <w:rFonts w:hint="eastAsia" w:ascii="Times New Roman" w:hAnsi="Times New Roman"/>
          <w:highlight w:val="none"/>
        </w:rPr>
        <w:t>在破碎机上方、三段转运层负压收集系统。该系统采用布袋除尘器，</w:t>
      </w:r>
      <w:r>
        <w:rPr>
          <w:rFonts w:hint="eastAsia"/>
          <w:highlight w:val="none"/>
        </w:rPr>
        <w:t>除尘器风机设计风量为4000m</w:t>
      </w:r>
      <w:r>
        <w:rPr>
          <w:rFonts w:hint="eastAsia"/>
          <w:highlight w:val="none"/>
          <w:vertAlign w:val="superscript"/>
        </w:rPr>
        <w:t>3</w:t>
      </w:r>
      <w:r>
        <w:rPr>
          <w:rFonts w:hint="eastAsia"/>
          <w:highlight w:val="none"/>
        </w:rPr>
        <w:t>/h</w:t>
      </w:r>
      <w:r>
        <w:rPr>
          <w:rFonts w:hint="eastAsia"/>
          <w:highlight w:val="none"/>
          <w:lang w:eastAsia="zh-CN"/>
        </w:rPr>
        <w:t>，</w:t>
      </w:r>
      <w:r>
        <w:rPr>
          <w:rFonts w:hint="eastAsia" w:ascii="Times New Roman" w:hAnsi="Times New Roman"/>
          <w:highlight w:val="none"/>
        </w:rPr>
        <w:t>除尘效率不小于99.9%，处理后的粉尘以</w:t>
      </w:r>
      <w:r>
        <w:rPr>
          <w:rFonts w:hint="eastAsia" w:ascii="Times New Roman" w:hAnsi="Times New Roman"/>
          <w:highlight w:val="none"/>
          <w:lang w:val="en-US" w:eastAsia="zh-CN"/>
        </w:rPr>
        <w:t>15m高排气筒</w:t>
      </w:r>
      <w:r>
        <w:rPr>
          <w:rFonts w:hint="eastAsia" w:ascii="Times New Roman" w:hAnsi="Times New Roman"/>
          <w:highlight w:val="none"/>
        </w:rPr>
        <w:t>排放</w:t>
      </w:r>
      <w:r>
        <w:rPr>
          <w:rFonts w:hint="eastAsia" w:ascii="Times New Roman" w:hAnsi="Times New Roman"/>
          <w:highlight w:val="none"/>
          <w:lang w:eastAsia="zh-CN"/>
        </w:rPr>
        <w:t>。</w:t>
      </w:r>
      <w:r>
        <w:rPr>
          <w:rFonts w:hint="eastAsia" w:ascii="Times New Roman" w:hAnsi="Times New Roman"/>
          <w:highlight w:val="none"/>
        </w:rPr>
        <w:t>碎煤机室产生粉尘量为</w:t>
      </w:r>
      <w:r>
        <w:rPr>
          <w:rFonts w:hint="eastAsia" w:ascii="Times New Roman" w:hAnsi="Times New Roman"/>
          <w:highlight w:val="none"/>
          <w:lang w:val="en-US" w:eastAsia="zh-CN"/>
        </w:rPr>
        <w:t>81.048</w:t>
      </w:r>
      <w:r>
        <w:rPr>
          <w:rFonts w:hint="eastAsia" w:ascii="Times New Roman" w:hAnsi="Times New Roman"/>
          <w:highlight w:val="none"/>
        </w:rPr>
        <w:t>t/a，</w:t>
      </w:r>
      <w:r>
        <w:rPr>
          <w:rFonts w:hint="eastAsia" w:ascii="Times New Roman" w:hAnsi="Times New Roman"/>
          <w:highlight w:val="none"/>
          <w:lang w:val="en-US" w:eastAsia="zh-CN"/>
        </w:rPr>
        <w:t>16.08</w:t>
      </w:r>
      <w:r>
        <w:rPr>
          <w:rFonts w:hint="eastAsia" w:ascii="Times New Roman" w:hAnsi="Times New Roman"/>
          <w:highlight w:val="none"/>
        </w:rPr>
        <w:t>kg/h，</w:t>
      </w:r>
      <w:r>
        <w:rPr>
          <w:rFonts w:hint="eastAsia" w:ascii="Times New Roman" w:hAnsi="Times New Roman"/>
          <w:highlight w:val="none"/>
          <w:lang w:val="en-US" w:eastAsia="zh-CN"/>
        </w:rPr>
        <w:t>产生浓度为4020mg/m</w:t>
      </w:r>
      <w:r>
        <w:rPr>
          <w:rFonts w:hint="eastAsia" w:ascii="Times New Roman" w:hAnsi="Times New Roman"/>
          <w:highlight w:val="none"/>
          <w:vertAlign w:val="superscript"/>
          <w:lang w:val="en-US" w:eastAsia="zh-CN"/>
        </w:rPr>
        <w:t>3</w:t>
      </w:r>
      <w:r>
        <w:rPr>
          <w:rFonts w:hint="eastAsia" w:ascii="Times New Roman" w:hAnsi="Times New Roman"/>
          <w:highlight w:val="none"/>
          <w:lang w:val="en-US" w:eastAsia="zh-CN"/>
        </w:rPr>
        <w:t>，</w:t>
      </w:r>
      <w:r>
        <w:rPr>
          <w:rFonts w:hint="eastAsia" w:ascii="Times New Roman" w:hAnsi="Times New Roman"/>
          <w:highlight w:val="none"/>
        </w:rPr>
        <w:t>粉尘排放量为</w:t>
      </w:r>
      <w:r>
        <w:rPr>
          <w:rFonts w:hint="eastAsia" w:ascii="Times New Roman" w:hAnsi="Times New Roman"/>
          <w:highlight w:val="none"/>
          <w:lang w:val="en-US" w:eastAsia="zh-CN"/>
        </w:rPr>
        <w:t>0.0081</w:t>
      </w:r>
      <w:r>
        <w:rPr>
          <w:rFonts w:hint="eastAsia" w:ascii="Times New Roman" w:hAnsi="Times New Roman"/>
          <w:highlight w:val="none"/>
        </w:rPr>
        <w:t>t/a，</w:t>
      </w:r>
      <w:r>
        <w:rPr>
          <w:rFonts w:hint="eastAsia" w:ascii="Times New Roman" w:hAnsi="Times New Roman"/>
          <w:highlight w:val="none"/>
          <w:lang w:val="en-US" w:eastAsia="zh-CN"/>
        </w:rPr>
        <w:t>0.0016</w:t>
      </w:r>
      <w:r>
        <w:rPr>
          <w:rFonts w:hint="eastAsia" w:ascii="Times New Roman" w:hAnsi="Times New Roman"/>
          <w:highlight w:val="none"/>
        </w:rPr>
        <w:t>kg/h</w:t>
      </w:r>
      <w:r>
        <w:rPr>
          <w:rFonts w:hint="eastAsia" w:ascii="Times New Roman" w:hAnsi="Times New Roman"/>
          <w:highlight w:val="none"/>
          <w:lang w:eastAsia="zh-CN"/>
        </w:rPr>
        <w:t>，</w:t>
      </w:r>
      <w:r>
        <w:rPr>
          <w:rFonts w:hint="eastAsia" w:ascii="Times New Roman" w:hAnsi="Times New Roman"/>
          <w:highlight w:val="none"/>
          <w:lang w:val="en-US" w:eastAsia="zh-CN"/>
        </w:rPr>
        <w:t>排放浓度为4mg/m</w:t>
      </w:r>
      <w:r>
        <w:rPr>
          <w:rFonts w:hint="eastAsia" w:ascii="Times New Roman" w:hAnsi="Times New Roman"/>
          <w:highlight w:val="none"/>
          <w:vertAlign w:val="superscript"/>
          <w:lang w:val="en-US" w:eastAsia="zh-CN"/>
        </w:rPr>
        <w:t>3</w:t>
      </w:r>
      <w:r>
        <w:rPr>
          <w:rFonts w:hint="eastAsia" w:ascii="Times New Roman" w:hAnsi="Times New Roman"/>
          <w:highlight w:val="none"/>
        </w:rPr>
        <w:t>。</w:t>
      </w:r>
    </w:p>
    <w:p w14:paraId="54E24490">
      <w:pPr>
        <w:ind w:firstLine="480"/>
        <w:rPr>
          <w:rFonts w:ascii="Times New Roman" w:hAnsi="Times New Roman"/>
          <w:highlight w:val="none"/>
        </w:rPr>
      </w:pPr>
      <w:r>
        <w:rPr>
          <w:rFonts w:ascii="Times New Roman" w:hAnsi="Times New Roman"/>
          <w:highlight w:val="none"/>
        </w:rPr>
        <w:t>本工程锅炉烟气中主要污染物的产生情况详见下表。</w:t>
      </w:r>
    </w:p>
    <w:p w14:paraId="415A4AC9">
      <w:pPr>
        <w:ind w:firstLine="0" w:firstLineChars="0"/>
        <w:jc w:val="center"/>
        <w:rPr>
          <w:rFonts w:ascii="Times New Roman" w:hAnsi="Times New Roman"/>
          <w:highlight w:val="none"/>
        </w:rPr>
      </w:pPr>
      <w:r>
        <w:rPr>
          <w:rFonts w:ascii="Times New Roman" w:hAnsi="Times New Roman"/>
          <w:b/>
          <w:bCs/>
          <w:highlight w:val="none"/>
        </w:rPr>
        <w:t>表3.3-2锅炉烟气污染物产排结果</w:t>
      </w:r>
    </w:p>
    <w:tbl>
      <w:tblPr>
        <w:tblStyle w:val="17"/>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58"/>
        <w:gridCol w:w="750"/>
        <w:gridCol w:w="1215"/>
        <w:gridCol w:w="993"/>
        <w:gridCol w:w="2442"/>
        <w:gridCol w:w="1939"/>
      </w:tblGrid>
      <w:tr w14:paraId="7B9277D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jc w:val="center"/>
        </w:trPr>
        <w:tc>
          <w:tcPr>
            <w:tcW w:w="3023" w:type="dxa"/>
            <w:gridSpan w:val="3"/>
            <w:noWrap w:val="0"/>
            <w:vAlign w:val="center"/>
          </w:tcPr>
          <w:p w14:paraId="3CA9584F">
            <w:pPr>
              <w:pStyle w:val="27"/>
              <w:rPr>
                <w:rFonts w:ascii="Times New Roman" w:hAnsi="Times New Roman" w:eastAsia="宋体"/>
                <w:b/>
                <w:bCs/>
                <w:highlight w:val="none"/>
              </w:rPr>
            </w:pPr>
            <w:r>
              <w:rPr>
                <w:rFonts w:ascii="Times New Roman" w:hAnsi="Times New Roman" w:eastAsia="宋体"/>
                <w:b/>
                <w:bCs/>
                <w:highlight w:val="none"/>
              </w:rPr>
              <w:t>项目</w:t>
            </w:r>
          </w:p>
        </w:tc>
        <w:tc>
          <w:tcPr>
            <w:tcW w:w="993" w:type="dxa"/>
            <w:noWrap w:val="0"/>
            <w:vAlign w:val="center"/>
          </w:tcPr>
          <w:p w14:paraId="2197412E">
            <w:pPr>
              <w:pStyle w:val="27"/>
              <w:rPr>
                <w:rFonts w:ascii="Times New Roman" w:hAnsi="Times New Roman" w:eastAsia="宋体"/>
                <w:b/>
                <w:bCs/>
                <w:highlight w:val="none"/>
              </w:rPr>
            </w:pPr>
            <w:r>
              <w:rPr>
                <w:rFonts w:ascii="Times New Roman" w:hAnsi="Times New Roman" w:eastAsia="宋体"/>
                <w:b/>
                <w:bCs/>
                <w:highlight w:val="none"/>
              </w:rPr>
              <w:t>符号</w:t>
            </w:r>
          </w:p>
        </w:tc>
        <w:tc>
          <w:tcPr>
            <w:tcW w:w="2442" w:type="dxa"/>
            <w:noWrap w:val="0"/>
            <w:vAlign w:val="center"/>
          </w:tcPr>
          <w:p w14:paraId="09F2C819">
            <w:pPr>
              <w:pStyle w:val="27"/>
              <w:rPr>
                <w:rFonts w:ascii="Times New Roman" w:hAnsi="Times New Roman" w:eastAsia="宋体"/>
                <w:b/>
                <w:bCs/>
                <w:highlight w:val="none"/>
              </w:rPr>
            </w:pPr>
            <w:r>
              <w:rPr>
                <w:rFonts w:ascii="Times New Roman" w:hAnsi="Times New Roman" w:eastAsia="宋体"/>
                <w:b/>
                <w:bCs/>
                <w:highlight w:val="none"/>
              </w:rPr>
              <w:t>单位</w:t>
            </w:r>
          </w:p>
        </w:tc>
        <w:tc>
          <w:tcPr>
            <w:tcW w:w="1939" w:type="dxa"/>
            <w:noWrap w:val="0"/>
            <w:vAlign w:val="center"/>
          </w:tcPr>
          <w:p w14:paraId="238BB44C">
            <w:pPr>
              <w:pStyle w:val="27"/>
              <w:rPr>
                <w:rFonts w:ascii="Times New Roman" w:hAnsi="Times New Roman" w:eastAsia="宋体"/>
                <w:b/>
                <w:bCs/>
                <w:highlight w:val="none"/>
              </w:rPr>
            </w:pPr>
            <w:r>
              <w:rPr>
                <w:rFonts w:ascii="Times New Roman" w:hAnsi="Times New Roman" w:eastAsia="宋体"/>
                <w:b/>
                <w:bCs/>
                <w:highlight w:val="none"/>
              </w:rPr>
              <w:t>数值</w:t>
            </w:r>
          </w:p>
        </w:tc>
      </w:tr>
      <w:tr w14:paraId="10A0B1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023" w:type="dxa"/>
            <w:gridSpan w:val="3"/>
            <w:noWrap w:val="0"/>
            <w:vAlign w:val="center"/>
          </w:tcPr>
          <w:p w14:paraId="6676D80D">
            <w:pPr>
              <w:pStyle w:val="27"/>
              <w:rPr>
                <w:rFonts w:ascii="Times New Roman" w:hAnsi="Times New Roman" w:eastAsia="宋体"/>
                <w:highlight w:val="none"/>
              </w:rPr>
            </w:pPr>
            <w:r>
              <w:rPr>
                <w:rFonts w:ascii="Times New Roman" w:hAnsi="Times New Roman" w:eastAsia="宋体"/>
                <w:highlight w:val="none"/>
              </w:rPr>
              <w:t>锅炉容量</w:t>
            </w:r>
          </w:p>
        </w:tc>
        <w:tc>
          <w:tcPr>
            <w:tcW w:w="993" w:type="dxa"/>
            <w:noWrap w:val="0"/>
            <w:vAlign w:val="center"/>
          </w:tcPr>
          <w:p w14:paraId="1F59F6C2">
            <w:pPr>
              <w:pStyle w:val="27"/>
              <w:rPr>
                <w:rFonts w:ascii="Times New Roman" w:hAnsi="Times New Roman" w:eastAsia="宋体"/>
                <w:highlight w:val="none"/>
              </w:rPr>
            </w:pPr>
            <w:r>
              <w:rPr>
                <w:rFonts w:ascii="Times New Roman" w:hAnsi="Times New Roman" w:eastAsia="宋体"/>
                <w:highlight w:val="none"/>
              </w:rPr>
              <w:t>/</w:t>
            </w:r>
          </w:p>
        </w:tc>
        <w:tc>
          <w:tcPr>
            <w:tcW w:w="2442" w:type="dxa"/>
            <w:noWrap w:val="0"/>
            <w:vAlign w:val="center"/>
          </w:tcPr>
          <w:p w14:paraId="5E34E8F2">
            <w:pPr>
              <w:pStyle w:val="27"/>
              <w:rPr>
                <w:rFonts w:ascii="Times New Roman" w:hAnsi="Times New Roman" w:eastAsia="宋体"/>
                <w:highlight w:val="none"/>
              </w:rPr>
            </w:pPr>
            <w:r>
              <w:rPr>
                <w:rFonts w:ascii="Times New Roman" w:hAnsi="Times New Roman" w:eastAsia="宋体"/>
                <w:highlight w:val="none"/>
              </w:rPr>
              <w:t>/</w:t>
            </w:r>
          </w:p>
        </w:tc>
        <w:tc>
          <w:tcPr>
            <w:tcW w:w="1939" w:type="dxa"/>
            <w:noWrap w:val="0"/>
            <w:vAlign w:val="center"/>
          </w:tcPr>
          <w:p w14:paraId="3C45C7F1">
            <w:pPr>
              <w:pStyle w:val="27"/>
              <w:rPr>
                <w:rFonts w:ascii="Times New Roman" w:hAnsi="Times New Roman" w:eastAsia="宋体"/>
                <w:highlight w:val="none"/>
              </w:rPr>
            </w:pPr>
            <w:r>
              <w:rPr>
                <w:rFonts w:hint="eastAsia" w:ascii="Times New Roman" w:hAnsi="Times New Roman" w:eastAsia="宋体"/>
                <w:highlight w:val="none"/>
                <w:lang w:val="en-US" w:eastAsia="zh-CN"/>
              </w:rPr>
              <w:t>116MW+</w:t>
            </w:r>
            <w:r>
              <w:rPr>
                <w:rFonts w:hint="default" w:ascii="Times New Roman" w:hAnsi="Times New Roman" w:eastAsia="宋体"/>
                <w:highlight w:val="none"/>
                <w:lang w:val="en-US" w:eastAsia="zh-CN"/>
              </w:rPr>
              <w:t>58</w:t>
            </w:r>
            <w:r>
              <w:rPr>
                <w:rFonts w:hint="eastAsia" w:ascii="Times New Roman" w:hAnsi="Times New Roman" w:eastAsia="宋体"/>
                <w:highlight w:val="none"/>
                <w:lang w:val="en-US" w:eastAsia="zh-CN"/>
              </w:rPr>
              <w:t>MW热水锅炉和1台35t/h蒸汽锅炉</w:t>
            </w:r>
          </w:p>
        </w:tc>
      </w:tr>
      <w:tr w14:paraId="770C9F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023" w:type="dxa"/>
            <w:gridSpan w:val="3"/>
            <w:noWrap w:val="0"/>
            <w:vAlign w:val="center"/>
          </w:tcPr>
          <w:p w14:paraId="2CAE5528">
            <w:pPr>
              <w:pStyle w:val="27"/>
              <w:rPr>
                <w:rFonts w:ascii="Times New Roman" w:hAnsi="Times New Roman" w:eastAsia="宋体"/>
                <w:highlight w:val="none"/>
              </w:rPr>
            </w:pPr>
            <w:r>
              <w:rPr>
                <w:rFonts w:ascii="Times New Roman" w:hAnsi="Times New Roman" w:eastAsia="宋体"/>
                <w:highlight w:val="none"/>
              </w:rPr>
              <w:t>锅炉类型</w:t>
            </w:r>
          </w:p>
        </w:tc>
        <w:tc>
          <w:tcPr>
            <w:tcW w:w="993" w:type="dxa"/>
            <w:noWrap w:val="0"/>
            <w:vAlign w:val="center"/>
          </w:tcPr>
          <w:p w14:paraId="04E1A84F">
            <w:pPr>
              <w:pStyle w:val="27"/>
              <w:rPr>
                <w:rFonts w:ascii="Times New Roman" w:hAnsi="Times New Roman" w:eastAsia="宋体"/>
                <w:highlight w:val="none"/>
              </w:rPr>
            </w:pPr>
            <w:r>
              <w:rPr>
                <w:rFonts w:ascii="Times New Roman" w:hAnsi="Times New Roman" w:eastAsia="宋体"/>
                <w:highlight w:val="none"/>
              </w:rPr>
              <w:t>/</w:t>
            </w:r>
          </w:p>
        </w:tc>
        <w:tc>
          <w:tcPr>
            <w:tcW w:w="2442" w:type="dxa"/>
            <w:noWrap w:val="0"/>
            <w:vAlign w:val="center"/>
          </w:tcPr>
          <w:p w14:paraId="3FFA9E5E">
            <w:pPr>
              <w:pStyle w:val="27"/>
              <w:rPr>
                <w:rFonts w:ascii="Times New Roman" w:hAnsi="Times New Roman" w:eastAsia="宋体"/>
                <w:highlight w:val="none"/>
              </w:rPr>
            </w:pPr>
            <w:r>
              <w:rPr>
                <w:rFonts w:ascii="Times New Roman" w:hAnsi="Times New Roman" w:eastAsia="宋体"/>
                <w:highlight w:val="none"/>
              </w:rPr>
              <w:t>/</w:t>
            </w:r>
          </w:p>
        </w:tc>
        <w:tc>
          <w:tcPr>
            <w:tcW w:w="1939" w:type="dxa"/>
            <w:noWrap w:val="0"/>
            <w:vAlign w:val="center"/>
          </w:tcPr>
          <w:p w14:paraId="7E8E028C">
            <w:pPr>
              <w:pStyle w:val="27"/>
              <w:rPr>
                <w:rFonts w:ascii="Times New Roman" w:hAnsi="Times New Roman" w:eastAsia="宋体"/>
                <w:highlight w:val="none"/>
              </w:rPr>
            </w:pPr>
            <w:r>
              <w:rPr>
                <w:rFonts w:hint="eastAsia" w:ascii="Times New Roman" w:hAnsi="Times New Roman" w:eastAsia="宋体"/>
                <w:highlight w:val="none"/>
                <w:lang w:val="en-US" w:eastAsia="zh-CN"/>
              </w:rPr>
              <w:t>链条</w:t>
            </w:r>
            <w:r>
              <w:rPr>
                <w:rFonts w:ascii="Times New Roman" w:hAnsi="Times New Roman" w:eastAsia="宋体"/>
                <w:highlight w:val="none"/>
              </w:rPr>
              <w:t>炉</w:t>
            </w:r>
          </w:p>
        </w:tc>
      </w:tr>
      <w:tr w14:paraId="2D108DB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808" w:type="dxa"/>
            <w:gridSpan w:val="2"/>
            <w:vMerge w:val="restart"/>
            <w:noWrap w:val="0"/>
            <w:vAlign w:val="center"/>
          </w:tcPr>
          <w:p w14:paraId="002D960E">
            <w:pPr>
              <w:pStyle w:val="27"/>
              <w:rPr>
                <w:rFonts w:ascii="Times New Roman" w:hAnsi="Times New Roman" w:eastAsia="宋体"/>
                <w:highlight w:val="none"/>
              </w:rPr>
            </w:pPr>
            <w:r>
              <w:rPr>
                <w:rFonts w:ascii="Times New Roman" w:hAnsi="Times New Roman" w:eastAsia="宋体"/>
                <w:highlight w:val="none"/>
              </w:rPr>
              <w:t>烟囱</w:t>
            </w:r>
          </w:p>
        </w:tc>
        <w:tc>
          <w:tcPr>
            <w:tcW w:w="1215" w:type="dxa"/>
            <w:noWrap w:val="0"/>
            <w:vAlign w:val="center"/>
          </w:tcPr>
          <w:p w14:paraId="39FEF678">
            <w:pPr>
              <w:pStyle w:val="27"/>
              <w:rPr>
                <w:rFonts w:ascii="Times New Roman" w:hAnsi="Times New Roman" w:eastAsia="宋体"/>
                <w:highlight w:val="none"/>
              </w:rPr>
            </w:pPr>
            <w:r>
              <w:rPr>
                <w:rFonts w:ascii="Times New Roman" w:hAnsi="Times New Roman" w:eastAsia="宋体"/>
                <w:highlight w:val="none"/>
              </w:rPr>
              <w:t>高度</w:t>
            </w:r>
          </w:p>
        </w:tc>
        <w:tc>
          <w:tcPr>
            <w:tcW w:w="993" w:type="dxa"/>
            <w:noWrap w:val="0"/>
            <w:vAlign w:val="center"/>
          </w:tcPr>
          <w:p w14:paraId="76624555">
            <w:pPr>
              <w:pStyle w:val="27"/>
              <w:rPr>
                <w:rFonts w:ascii="Times New Roman" w:hAnsi="Times New Roman" w:eastAsia="宋体"/>
                <w:highlight w:val="none"/>
              </w:rPr>
            </w:pPr>
            <w:r>
              <w:rPr>
                <w:rFonts w:ascii="Times New Roman" w:hAnsi="Times New Roman" w:eastAsia="宋体"/>
                <w:highlight w:val="none"/>
              </w:rPr>
              <w:t>H</w:t>
            </w:r>
          </w:p>
        </w:tc>
        <w:tc>
          <w:tcPr>
            <w:tcW w:w="2442" w:type="dxa"/>
            <w:noWrap w:val="0"/>
            <w:vAlign w:val="center"/>
          </w:tcPr>
          <w:p w14:paraId="442BF8E3">
            <w:pPr>
              <w:pStyle w:val="27"/>
              <w:rPr>
                <w:rFonts w:ascii="Times New Roman" w:hAnsi="Times New Roman" w:eastAsia="宋体"/>
                <w:highlight w:val="none"/>
              </w:rPr>
            </w:pPr>
            <w:r>
              <w:rPr>
                <w:rFonts w:ascii="Times New Roman" w:hAnsi="Times New Roman" w:eastAsia="宋体"/>
                <w:highlight w:val="none"/>
              </w:rPr>
              <w:t>m</w:t>
            </w:r>
          </w:p>
        </w:tc>
        <w:tc>
          <w:tcPr>
            <w:tcW w:w="1939" w:type="dxa"/>
            <w:noWrap w:val="0"/>
            <w:vAlign w:val="center"/>
          </w:tcPr>
          <w:p w14:paraId="3E99F5A6">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60</w:t>
            </w:r>
          </w:p>
        </w:tc>
      </w:tr>
      <w:tr w14:paraId="0422CCE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808" w:type="dxa"/>
            <w:gridSpan w:val="2"/>
            <w:vMerge w:val="continue"/>
            <w:noWrap w:val="0"/>
            <w:vAlign w:val="center"/>
          </w:tcPr>
          <w:p w14:paraId="2E19F0F4">
            <w:pPr>
              <w:pStyle w:val="27"/>
              <w:rPr>
                <w:rFonts w:ascii="Times New Roman" w:hAnsi="Times New Roman" w:eastAsia="宋体"/>
                <w:highlight w:val="none"/>
              </w:rPr>
            </w:pPr>
          </w:p>
        </w:tc>
        <w:tc>
          <w:tcPr>
            <w:tcW w:w="1215" w:type="dxa"/>
            <w:noWrap w:val="0"/>
            <w:vAlign w:val="center"/>
          </w:tcPr>
          <w:p w14:paraId="3A0C3C17">
            <w:pPr>
              <w:pStyle w:val="27"/>
              <w:rPr>
                <w:rFonts w:ascii="Times New Roman" w:hAnsi="Times New Roman" w:eastAsia="宋体"/>
                <w:highlight w:val="none"/>
              </w:rPr>
            </w:pPr>
            <w:r>
              <w:rPr>
                <w:rFonts w:ascii="Times New Roman" w:hAnsi="Times New Roman" w:eastAsia="宋体"/>
                <w:highlight w:val="none"/>
              </w:rPr>
              <w:t>出口直径</w:t>
            </w:r>
          </w:p>
        </w:tc>
        <w:tc>
          <w:tcPr>
            <w:tcW w:w="993" w:type="dxa"/>
            <w:noWrap w:val="0"/>
            <w:vAlign w:val="center"/>
          </w:tcPr>
          <w:p w14:paraId="237262A7">
            <w:pPr>
              <w:pStyle w:val="27"/>
              <w:rPr>
                <w:rFonts w:ascii="Times New Roman" w:hAnsi="Times New Roman" w:eastAsia="宋体"/>
                <w:highlight w:val="none"/>
              </w:rPr>
            </w:pPr>
            <w:r>
              <w:rPr>
                <w:rFonts w:ascii="Times New Roman" w:hAnsi="Times New Roman" w:eastAsia="宋体"/>
                <w:highlight w:val="none"/>
              </w:rPr>
              <w:t>D</w:t>
            </w:r>
          </w:p>
        </w:tc>
        <w:tc>
          <w:tcPr>
            <w:tcW w:w="2442" w:type="dxa"/>
            <w:noWrap w:val="0"/>
            <w:vAlign w:val="center"/>
          </w:tcPr>
          <w:p w14:paraId="32243371">
            <w:pPr>
              <w:pStyle w:val="27"/>
              <w:rPr>
                <w:rFonts w:ascii="Times New Roman" w:hAnsi="Times New Roman" w:eastAsia="宋体"/>
                <w:highlight w:val="none"/>
              </w:rPr>
            </w:pPr>
            <w:r>
              <w:rPr>
                <w:rFonts w:ascii="Times New Roman" w:hAnsi="Times New Roman" w:eastAsia="宋体"/>
                <w:highlight w:val="none"/>
              </w:rPr>
              <w:t>m</w:t>
            </w:r>
          </w:p>
        </w:tc>
        <w:tc>
          <w:tcPr>
            <w:tcW w:w="1939" w:type="dxa"/>
            <w:noWrap w:val="0"/>
            <w:vAlign w:val="center"/>
          </w:tcPr>
          <w:p w14:paraId="48E74018">
            <w:pPr>
              <w:pStyle w:val="27"/>
              <w:rPr>
                <w:rFonts w:hint="eastAsia" w:ascii="Times New Roman" w:hAnsi="Times New Roman" w:eastAsia="宋体"/>
                <w:highlight w:val="none"/>
                <w:lang w:eastAsia="zh-CN"/>
              </w:rPr>
            </w:pPr>
            <w:r>
              <w:rPr>
                <w:rFonts w:hint="eastAsia" w:ascii="Times New Roman" w:hAnsi="Times New Roman" w:eastAsia="宋体"/>
                <w:highlight w:val="none"/>
                <w:lang w:val="en-US" w:eastAsia="zh-CN"/>
              </w:rPr>
              <w:t>4</w:t>
            </w:r>
          </w:p>
        </w:tc>
      </w:tr>
      <w:tr w14:paraId="43244C5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restart"/>
            <w:noWrap w:val="0"/>
            <w:vAlign w:val="center"/>
          </w:tcPr>
          <w:p w14:paraId="7DD01D4F">
            <w:pPr>
              <w:pStyle w:val="27"/>
              <w:rPr>
                <w:rFonts w:ascii="Times New Roman" w:hAnsi="Times New Roman" w:eastAsia="宋体"/>
                <w:highlight w:val="none"/>
              </w:rPr>
            </w:pPr>
            <w:r>
              <w:rPr>
                <w:rFonts w:ascii="Times New Roman" w:hAnsi="Times New Roman" w:eastAsia="宋体"/>
                <w:highlight w:val="none"/>
              </w:rPr>
              <w:t>环境空气污染物排放情况</w:t>
            </w:r>
          </w:p>
        </w:tc>
        <w:tc>
          <w:tcPr>
            <w:tcW w:w="750" w:type="dxa"/>
            <w:vMerge w:val="restart"/>
            <w:noWrap w:val="0"/>
            <w:vAlign w:val="center"/>
          </w:tcPr>
          <w:p w14:paraId="03DB717A">
            <w:pPr>
              <w:pStyle w:val="27"/>
              <w:rPr>
                <w:rFonts w:hint="eastAsia" w:ascii="Times New Roman" w:hAnsi="Times New Roman" w:eastAsia="宋体"/>
                <w:highlight w:val="none"/>
              </w:rPr>
            </w:pPr>
            <w:r>
              <w:rPr>
                <w:rFonts w:ascii="Times New Roman" w:hAnsi="Times New Roman" w:eastAsia="宋体"/>
                <w:highlight w:val="none"/>
              </w:rPr>
              <w:t>SO</w:t>
            </w:r>
            <w:r>
              <w:rPr>
                <w:rFonts w:ascii="Times New Roman" w:hAnsi="Times New Roman" w:eastAsia="宋体"/>
                <w:highlight w:val="none"/>
                <w:vertAlign w:val="subscript"/>
              </w:rPr>
              <w:t>2</w:t>
            </w:r>
          </w:p>
        </w:tc>
        <w:tc>
          <w:tcPr>
            <w:tcW w:w="1215" w:type="dxa"/>
            <w:noWrap w:val="0"/>
            <w:vAlign w:val="center"/>
          </w:tcPr>
          <w:p w14:paraId="2DE63709">
            <w:pPr>
              <w:pStyle w:val="27"/>
              <w:rPr>
                <w:rFonts w:ascii="Times New Roman" w:hAnsi="Times New Roman" w:eastAsia="宋体"/>
                <w:highlight w:val="none"/>
              </w:rPr>
            </w:pPr>
            <w:r>
              <w:rPr>
                <w:rFonts w:ascii="Times New Roman" w:hAnsi="Times New Roman" w:eastAsia="宋体"/>
                <w:highlight w:val="none"/>
              </w:rPr>
              <w:t>产生浓度</w:t>
            </w:r>
          </w:p>
        </w:tc>
        <w:tc>
          <w:tcPr>
            <w:tcW w:w="993" w:type="dxa"/>
            <w:noWrap w:val="0"/>
            <w:vAlign w:val="center"/>
          </w:tcPr>
          <w:p w14:paraId="796D50EA">
            <w:pPr>
              <w:pStyle w:val="27"/>
              <w:rPr>
                <w:rFonts w:ascii="Times New Roman" w:hAnsi="Times New Roman" w:eastAsia="宋体"/>
                <w:highlight w:val="none"/>
              </w:rPr>
            </w:pPr>
            <w:r>
              <w:rPr>
                <w:rFonts w:ascii="Times New Roman" w:hAnsi="Times New Roman" w:eastAsia="宋体"/>
                <w:highlight w:val="none"/>
              </w:rPr>
              <w:t>C</w:t>
            </w:r>
            <w:r>
              <w:rPr>
                <w:rFonts w:ascii="Times New Roman" w:hAnsi="Times New Roman" w:eastAsia="宋体"/>
                <w:highlight w:val="none"/>
                <w:vertAlign w:val="subscript"/>
              </w:rPr>
              <w:t>SO2</w:t>
            </w:r>
          </w:p>
        </w:tc>
        <w:tc>
          <w:tcPr>
            <w:tcW w:w="2442" w:type="dxa"/>
            <w:noWrap w:val="0"/>
            <w:vAlign w:val="center"/>
          </w:tcPr>
          <w:p w14:paraId="15D77091">
            <w:pPr>
              <w:pStyle w:val="27"/>
              <w:rPr>
                <w:rFonts w:ascii="Times New Roman" w:hAnsi="Times New Roman" w:eastAsia="宋体"/>
                <w:highlight w:val="none"/>
              </w:rPr>
            </w:pPr>
            <w:r>
              <w:rPr>
                <w:rFonts w:ascii="Times New Roman" w:hAnsi="Times New Roman" w:eastAsia="宋体"/>
                <w:highlight w:val="none"/>
              </w:rPr>
              <w:t>mg/m</w:t>
            </w:r>
            <w:r>
              <w:rPr>
                <w:rFonts w:ascii="Times New Roman" w:hAnsi="Times New Roman" w:eastAsia="宋体"/>
                <w:highlight w:val="none"/>
                <w:vertAlign w:val="superscript"/>
              </w:rPr>
              <w:t>3</w:t>
            </w:r>
          </w:p>
        </w:tc>
        <w:tc>
          <w:tcPr>
            <w:tcW w:w="1939" w:type="dxa"/>
            <w:noWrap w:val="0"/>
            <w:vAlign w:val="center"/>
          </w:tcPr>
          <w:p w14:paraId="64659741">
            <w:pPr>
              <w:pStyle w:val="27"/>
              <w:rPr>
                <w:rFonts w:ascii="Times New Roman" w:hAnsi="Times New Roman"/>
                <w:sz w:val="21"/>
                <w:highlight w:val="none"/>
              </w:rPr>
            </w:pPr>
            <w:r>
              <w:rPr>
                <w:rFonts w:hint="eastAsia" w:ascii="Times New Roman" w:hAnsi="Times New Roman" w:eastAsia="宋体"/>
                <w:highlight w:val="none"/>
                <w:lang w:val="en-US" w:eastAsia="zh-CN"/>
              </w:rPr>
              <w:t>324.882</w:t>
            </w:r>
          </w:p>
        </w:tc>
      </w:tr>
      <w:tr w14:paraId="6B69E97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7AD853AC">
            <w:pPr>
              <w:pStyle w:val="27"/>
              <w:rPr>
                <w:rFonts w:ascii="Times New Roman" w:hAnsi="Times New Roman" w:eastAsia="宋体"/>
                <w:highlight w:val="none"/>
              </w:rPr>
            </w:pPr>
          </w:p>
        </w:tc>
        <w:tc>
          <w:tcPr>
            <w:tcW w:w="750" w:type="dxa"/>
            <w:vMerge w:val="continue"/>
            <w:noWrap w:val="0"/>
            <w:vAlign w:val="center"/>
          </w:tcPr>
          <w:p w14:paraId="0285A8FE">
            <w:pPr>
              <w:pStyle w:val="27"/>
              <w:rPr>
                <w:rFonts w:ascii="Times New Roman" w:hAnsi="Times New Roman" w:eastAsia="宋体"/>
                <w:highlight w:val="none"/>
              </w:rPr>
            </w:pPr>
          </w:p>
        </w:tc>
        <w:tc>
          <w:tcPr>
            <w:tcW w:w="1215" w:type="dxa"/>
            <w:vMerge w:val="restart"/>
            <w:noWrap w:val="0"/>
            <w:vAlign w:val="center"/>
          </w:tcPr>
          <w:p w14:paraId="73525139">
            <w:pPr>
              <w:pStyle w:val="27"/>
              <w:rPr>
                <w:rFonts w:ascii="Times New Roman" w:hAnsi="Times New Roman" w:eastAsia="宋体"/>
                <w:highlight w:val="none"/>
              </w:rPr>
            </w:pPr>
            <w:r>
              <w:rPr>
                <w:rFonts w:ascii="Times New Roman" w:hAnsi="Times New Roman" w:eastAsia="宋体"/>
                <w:highlight w:val="none"/>
              </w:rPr>
              <w:t>产生量</w:t>
            </w:r>
          </w:p>
        </w:tc>
        <w:tc>
          <w:tcPr>
            <w:tcW w:w="993" w:type="dxa"/>
            <w:vMerge w:val="restart"/>
            <w:noWrap w:val="0"/>
            <w:vAlign w:val="center"/>
          </w:tcPr>
          <w:p w14:paraId="1BAC4D27">
            <w:pPr>
              <w:pStyle w:val="27"/>
              <w:rPr>
                <w:rFonts w:ascii="Times New Roman" w:hAnsi="Times New Roman" w:eastAsia="宋体"/>
                <w:highlight w:val="none"/>
              </w:rPr>
            </w:pPr>
            <w:r>
              <w:rPr>
                <w:rFonts w:ascii="Times New Roman" w:hAnsi="Times New Roman" w:eastAsia="宋体"/>
                <w:highlight w:val="none"/>
              </w:rPr>
              <w:t>M</w:t>
            </w:r>
            <w:r>
              <w:rPr>
                <w:rFonts w:ascii="Times New Roman" w:hAnsi="Times New Roman" w:eastAsia="宋体"/>
                <w:highlight w:val="none"/>
                <w:vertAlign w:val="subscript"/>
              </w:rPr>
              <w:t>SO2</w:t>
            </w:r>
          </w:p>
        </w:tc>
        <w:tc>
          <w:tcPr>
            <w:tcW w:w="2442" w:type="dxa"/>
            <w:noWrap w:val="0"/>
            <w:vAlign w:val="center"/>
          </w:tcPr>
          <w:p w14:paraId="158CB085">
            <w:pPr>
              <w:pStyle w:val="27"/>
              <w:rPr>
                <w:rFonts w:hint="eastAsia" w:ascii="Times New Roman" w:hAnsi="Times New Roman" w:eastAsia="宋体"/>
                <w:highlight w:val="none"/>
                <w:lang w:eastAsia="zh-CN"/>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10.10~10.25使用116MW锅炉</w:t>
            </w:r>
            <w:r>
              <w:rPr>
                <w:rFonts w:hint="eastAsia" w:ascii="Times New Roman" w:hAnsi="Times New Roman" w:eastAsia="宋体"/>
                <w:highlight w:val="none"/>
                <w:lang w:eastAsia="zh-CN"/>
              </w:rPr>
              <w:t>）</w:t>
            </w:r>
          </w:p>
        </w:tc>
        <w:tc>
          <w:tcPr>
            <w:tcW w:w="1939" w:type="dxa"/>
            <w:noWrap w:val="0"/>
            <w:vAlign w:val="center"/>
          </w:tcPr>
          <w:p w14:paraId="2BFF669C">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86</w:t>
            </w:r>
          </w:p>
        </w:tc>
      </w:tr>
      <w:tr w14:paraId="65AF57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002F039E">
            <w:pPr>
              <w:pStyle w:val="27"/>
              <w:rPr>
                <w:rFonts w:ascii="Times New Roman" w:hAnsi="Times New Roman" w:eastAsia="宋体"/>
                <w:highlight w:val="none"/>
              </w:rPr>
            </w:pPr>
          </w:p>
        </w:tc>
        <w:tc>
          <w:tcPr>
            <w:tcW w:w="750" w:type="dxa"/>
            <w:vMerge w:val="continue"/>
            <w:noWrap w:val="0"/>
            <w:vAlign w:val="center"/>
          </w:tcPr>
          <w:p w14:paraId="13E5ED3B">
            <w:pPr>
              <w:pStyle w:val="27"/>
              <w:rPr>
                <w:rFonts w:ascii="Times New Roman" w:hAnsi="Times New Roman" w:eastAsia="宋体"/>
                <w:highlight w:val="none"/>
              </w:rPr>
            </w:pPr>
          </w:p>
        </w:tc>
        <w:tc>
          <w:tcPr>
            <w:tcW w:w="1215" w:type="dxa"/>
            <w:vMerge w:val="continue"/>
            <w:noWrap w:val="0"/>
            <w:vAlign w:val="center"/>
          </w:tcPr>
          <w:p w14:paraId="40D419A3">
            <w:pPr>
              <w:pStyle w:val="27"/>
              <w:rPr>
                <w:rFonts w:ascii="Times New Roman" w:hAnsi="Times New Roman" w:eastAsia="宋体"/>
                <w:highlight w:val="none"/>
              </w:rPr>
            </w:pPr>
          </w:p>
        </w:tc>
        <w:tc>
          <w:tcPr>
            <w:tcW w:w="993" w:type="dxa"/>
            <w:vMerge w:val="continue"/>
            <w:noWrap w:val="0"/>
            <w:vAlign w:val="center"/>
          </w:tcPr>
          <w:p w14:paraId="7027C48C">
            <w:pPr>
              <w:pStyle w:val="27"/>
              <w:rPr>
                <w:rFonts w:ascii="Times New Roman" w:hAnsi="Times New Roman" w:eastAsia="宋体"/>
                <w:highlight w:val="none"/>
              </w:rPr>
            </w:pPr>
          </w:p>
        </w:tc>
        <w:tc>
          <w:tcPr>
            <w:tcW w:w="2442" w:type="dxa"/>
            <w:noWrap w:val="0"/>
            <w:vAlign w:val="center"/>
          </w:tcPr>
          <w:p w14:paraId="63CA6A87">
            <w:pPr>
              <w:pStyle w:val="27"/>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10.25~12.15使用58MW+35t/h锅炉</w:t>
            </w:r>
            <w:r>
              <w:rPr>
                <w:rFonts w:hint="eastAsia" w:ascii="Times New Roman" w:hAnsi="Times New Roman" w:eastAsia="宋体"/>
                <w:highlight w:val="none"/>
                <w:lang w:eastAsia="zh-CN"/>
              </w:rPr>
              <w:t>）</w:t>
            </w:r>
          </w:p>
        </w:tc>
        <w:tc>
          <w:tcPr>
            <w:tcW w:w="1939" w:type="dxa"/>
            <w:noWrap w:val="0"/>
            <w:vAlign w:val="center"/>
          </w:tcPr>
          <w:p w14:paraId="1742E841">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37</w:t>
            </w:r>
          </w:p>
        </w:tc>
      </w:tr>
      <w:tr w14:paraId="0F3C0C9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3FE3A334">
            <w:pPr>
              <w:pStyle w:val="27"/>
              <w:rPr>
                <w:rFonts w:ascii="Times New Roman" w:hAnsi="Times New Roman" w:eastAsia="宋体"/>
                <w:highlight w:val="none"/>
              </w:rPr>
            </w:pPr>
          </w:p>
        </w:tc>
        <w:tc>
          <w:tcPr>
            <w:tcW w:w="750" w:type="dxa"/>
            <w:vMerge w:val="continue"/>
            <w:noWrap w:val="0"/>
            <w:vAlign w:val="center"/>
          </w:tcPr>
          <w:p w14:paraId="44862B65">
            <w:pPr>
              <w:pStyle w:val="27"/>
              <w:rPr>
                <w:rFonts w:ascii="Times New Roman" w:hAnsi="Times New Roman" w:eastAsia="宋体"/>
                <w:highlight w:val="none"/>
              </w:rPr>
            </w:pPr>
          </w:p>
        </w:tc>
        <w:tc>
          <w:tcPr>
            <w:tcW w:w="1215" w:type="dxa"/>
            <w:vMerge w:val="continue"/>
            <w:noWrap w:val="0"/>
            <w:vAlign w:val="center"/>
          </w:tcPr>
          <w:p w14:paraId="1912C09F">
            <w:pPr>
              <w:pStyle w:val="27"/>
              <w:rPr>
                <w:rFonts w:ascii="Times New Roman" w:hAnsi="Times New Roman" w:eastAsia="宋体"/>
                <w:highlight w:val="none"/>
              </w:rPr>
            </w:pPr>
          </w:p>
        </w:tc>
        <w:tc>
          <w:tcPr>
            <w:tcW w:w="993" w:type="dxa"/>
            <w:vMerge w:val="continue"/>
            <w:noWrap w:val="0"/>
            <w:vAlign w:val="center"/>
          </w:tcPr>
          <w:p w14:paraId="46D1CE8F">
            <w:pPr>
              <w:pStyle w:val="27"/>
              <w:rPr>
                <w:rFonts w:ascii="Times New Roman" w:hAnsi="Times New Roman" w:eastAsia="宋体"/>
                <w:highlight w:val="none"/>
              </w:rPr>
            </w:pPr>
          </w:p>
        </w:tc>
        <w:tc>
          <w:tcPr>
            <w:tcW w:w="2442" w:type="dxa"/>
            <w:noWrap w:val="0"/>
            <w:vAlign w:val="center"/>
          </w:tcPr>
          <w:p w14:paraId="39AF4D9F">
            <w:pPr>
              <w:pStyle w:val="27"/>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12.15~1.20使用116MW+35t/h锅炉</w:t>
            </w:r>
            <w:r>
              <w:rPr>
                <w:rFonts w:hint="eastAsia" w:ascii="Times New Roman" w:hAnsi="Times New Roman" w:eastAsia="宋体"/>
                <w:highlight w:val="none"/>
                <w:lang w:eastAsia="zh-CN"/>
              </w:rPr>
              <w:t>）</w:t>
            </w:r>
          </w:p>
        </w:tc>
        <w:tc>
          <w:tcPr>
            <w:tcW w:w="1939" w:type="dxa"/>
            <w:noWrap w:val="0"/>
            <w:vAlign w:val="center"/>
          </w:tcPr>
          <w:p w14:paraId="107DB99B">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97</w:t>
            </w:r>
          </w:p>
        </w:tc>
      </w:tr>
      <w:tr w14:paraId="146099D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6790D32E">
            <w:pPr>
              <w:pStyle w:val="27"/>
              <w:rPr>
                <w:rFonts w:ascii="Times New Roman" w:hAnsi="Times New Roman" w:eastAsia="宋体"/>
                <w:highlight w:val="none"/>
              </w:rPr>
            </w:pPr>
          </w:p>
        </w:tc>
        <w:tc>
          <w:tcPr>
            <w:tcW w:w="750" w:type="dxa"/>
            <w:vMerge w:val="continue"/>
            <w:noWrap w:val="0"/>
            <w:vAlign w:val="center"/>
          </w:tcPr>
          <w:p w14:paraId="2E6FF61C">
            <w:pPr>
              <w:pStyle w:val="27"/>
              <w:rPr>
                <w:rFonts w:ascii="Times New Roman" w:hAnsi="Times New Roman" w:eastAsia="宋体"/>
                <w:highlight w:val="none"/>
              </w:rPr>
            </w:pPr>
          </w:p>
        </w:tc>
        <w:tc>
          <w:tcPr>
            <w:tcW w:w="1215" w:type="dxa"/>
            <w:vMerge w:val="continue"/>
            <w:noWrap w:val="0"/>
            <w:vAlign w:val="center"/>
          </w:tcPr>
          <w:p w14:paraId="638C6185">
            <w:pPr>
              <w:pStyle w:val="27"/>
              <w:rPr>
                <w:rFonts w:ascii="Times New Roman" w:hAnsi="Times New Roman" w:eastAsia="宋体"/>
                <w:highlight w:val="none"/>
              </w:rPr>
            </w:pPr>
          </w:p>
        </w:tc>
        <w:tc>
          <w:tcPr>
            <w:tcW w:w="993" w:type="dxa"/>
            <w:vMerge w:val="continue"/>
            <w:noWrap w:val="0"/>
            <w:vAlign w:val="center"/>
          </w:tcPr>
          <w:p w14:paraId="3925F6FB">
            <w:pPr>
              <w:pStyle w:val="27"/>
              <w:rPr>
                <w:rFonts w:ascii="Times New Roman" w:hAnsi="Times New Roman" w:eastAsia="宋体"/>
                <w:highlight w:val="none"/>
              </w:rPr>
            </w:pPr>
          </w:p>
        </w:tc>
        <w:tc>
          <w:tcPr>
            <w:tcW w:w="2442" w:type="dxa"/>
            <w:noWrap w:val="0"/>
            <w:vAlign w:val="center"/>
          </w:tcPr>
          <w:p w14:paraId="54C80687">
            <w:pPr>
              <w:pStyle w:val="27"/>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1.20~4.1使用58MW+35t/h锅炉</w:t>
            </w:r>
            <w:r>
              <w:rPr>
                <w:rFonts w:hint="eastAsia" w:ascii="Times New Roman" w:hAnsi="Times New Roman" w:eastAsia="宋体"/>
                <w:highlight w:val="none"/>
                <w:lang w:eastAsia="zh-CN"/>
              </w:rPr>
              <w:t>）</w:t>
            </w:r>
          </w:p>
        </w:tc>
        <w:tc>
          <w:tcPr>
            <w:tcW w:w="1939" w:type="dxa"/>
            <w:noWrap w:val="0"/>
            <w:vAlign w:val="center"/>
          </w:tcPr>
          <w:p w14:paraId="3121D5F3">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37</w:t>
            </w:r>
          </w:p>
        </w:tc>
      </w:tr>
      <w:tr w14:paraId="44BE81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388D2481">
            <w:pPr>
              <w:pStyle w:val="27"/>
              <w:rPr>
                <w:rFonts w:ascii="Times New Roman" w:hAnsi="Times New Roman" w:eastAsia="宋体"/>
                <w:highlight w:val="none"/>
              </w:rPr>
            </w:pPr>
          </w:p>
        </w:tc>
        <w:tc>
          <w:tcPr>
            <w:tcW w:w="750" w:type="dxa"/>
            <w:vMerge w:val="continue"/>
            <w:noWrap w:val="0"/>
            <w:vAlign w:val="center"/>
          </w:tcPr>
          <w:p w14:paraId="47E34E4C">
            <w:pPr>
              <w:pStyle w:val="27"/>
              <w:rPr>
                <w:rFonts w:ascii="Times New Roman" w:hAnsi="Times New Roman" w:eastAsia="宋体"/>
                <w:highlight w:val="none"/>
              </w:rPr>
            </w:pPr>
          </w:p>
        </w:tc>
        <w:tc>
          <w:tcPr>
            <w:tcW w:w="1215" w:type="dxa"/>
            <w:vMerge w:val="continue"/>
            <w:noWrap w:val="0"/>
            <w:vAlign w:val="center"/>
          </w:tcPr>
          <w:p w14:paraId="294D5C07">
            <w:pPr>
              <w:pStyle w:val="27"/>
              <w:rPr>
                <w:rFonts w:ascii="Times New Roman" w:hAnsi="Times New Roman" w:eastAsia="宋体"/>
                <w:highlight w:val="none"/>
              </w:rPr>
            </w:pPr>
          </w:p>
        </w:tc>
        <w:tc>
          <w:tcPr>
            <w:tcW w:w="993" w:type="dxa"/>
            <w:vMerge w:val="continue"/>
            <w:noWrap w:val="0"/>
            <w:vAlign w:val="center"/>
          </w:tcPr>
          <w:p w14:paraId="325DFA20">
            <w:pPr>
              <w:pStyle w:val="27"/>
              <w:rPr>
                <w:rFonts w:ascii="Times New Roman" w:hAnsi="Times New Roman" w:eastAsia="宋体"/>
                <w:highlight w:val="none"/>
              </w:rPr>
            </w:pPr>
          </w:p>
        </w:tc>
        <w:tc>
          <w:tcPr>
            <w:tcW w:w="2442" w:type="dxa"/>
            <w:noWrap w:val="0"/>
            <w:vAlign w:val="center"/>
          </w:tcPr>
          <w:p w14:paraId="64D92D67">
            <w:pPr>
              <w:pStyle w:val="27"/>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4.1~4.30使用58MW锅炉</w:t>
            </w:r>
            <w:r>
              <w:rPr>
                <w:rFonts w:hint="eastAsia" w:ascii="Times New Roman" w:hAnsi="Times New Roman" w:eastAsia="宋体"/>
                <w:highlight w:val="none"/>
                <w:lang w:eastAsia="zh-CN"/>
              </w:rPr>
              <w:t>）</w:t>
            </w:r>
          </w:p>
        </w:tc>
        <w:tc>
          <w:tcPr>
            <w:tcW w:w="1939" w:type="dxa"/>
            <w:noWrap w:val="0"/>
            <w:vAlign w:val="center"/>
          </w:tcPr>
          <w:p w14:paraId="2EA99B44">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26</w:t>
            </w:r>
          </w:p>
        </w:tc>
      </w:tr>
      <w:tr w14:paraId="1AAEA6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489C99C7">
            <w:pPr>
              <w:pStyle w:val="27"/>
              <w:rPr>
                <w:rFonts w:ascii="Times New Roman" w:hAnsi="Times New Roman" w:eastAsia="宋体"/>
                <w:highlight w:val="none"/>
              </w:rPr>
            </w:pPr>
          </w:p>
        </w:tc>
        <w:tc>
          <w:tcPr>
            <w:tcW w:w="750" w:type="dxa"/>
            <w:vMerge w:val="continue"/>
            <w:noWrap w:val="0"/>
            <w:vAlign w:val="center"/>
          </w:tcPr>
          <w:p w14:paraId="547ACF00">
            <w:pPr>
              <w:pStyle w:val="27"/>
              <w:rPr>
                <w:rFonts w:ascii="Times New Roman" w:hAnsi="Times New Roman" w:eastAsia="宋体"/>
                <w:highlight w:val="none"/>
              </w:rPr>
            </w:pPr>
          </w:p>
        </w:tc>
        <w:tc>
          <w:tcPr>
            <w:tcW w:w="1215" w:type="dxa"/>
            <w:vMerge w:val="continue"/>
            <w:noWrap w:val="0"/>
            <w:vAlign w:val="center"/>
          </w:tcPr>
          <w:p w14:paraId="64860AE0">
            <w:pPr>
              <w:pStyle w:val="27"/>
              <w:rPr>
                <w:rFonts w:ascii="Times New Roman" w:hAnsi="Times New Roman" w:eastAsia="宋体"/>
                <w:highlight w:val="none"/>
              </w:rPr>
            </w:pPr>
          </w:p>
        </w:tc>
        <w:tc>
          <w:tcPr>
            <w:tcW w:w="993" w:type="dxa"/>
            <w:vMerge w:val="continue"/>
            <w:noWrap w:val="0"/>
            <w:vAlign w:val="center"/>
          </w:tcPr>
          <w:p w14:paraId="6DC8049E">
            <w:pPr>
              <w:pStyle w:val="27"/>
              <w:rPr>
                <w:rFonts w:ascii="Times New Roman" w:hAnsi="Times New Roman" w:eastAsia="宋体"/>
                <w:highlight w:val="none"/>
              </w:rPr>
            </w:pPr>
          </w:p>
        </w:tc>
        <w:tc>
          <w:tcPr>
            <w:tcW w:w="2442" w:type="dxa"/>
            <w:noWrap w:val="0"/>
            <w:vAlign w:val="center"/>
          </w:tcPr>
          <w:p w14:paraId="02E274F3">
            <w:pPr>
              <w:pStyle w:val="27"/>
              <w:rPr>
                <w:rFonts w:ascii="Times New Roman" w:hAnsi="Times New Roman" w:eastAsia="宋体"/>
                <w:highlight w:val="none"/>
              </w:rPr>
            </w:pPr>
            <w:r>
              <w:rPr>
                <w:rFonts w:ascii="Times New Roman" w:hAnsi="Times New Roman" w:eastAsia="宋体"/>
                <w:highlight w:val="none"/>
              </w:rPr>
              <w:t>t/a</w:t>
            </w:r>
          </w:p>
        </w:tc>
        <w:tc>
          <w:tcPr>
            <w:tcW w:w="1939" w:type="dxa"/>
            <w:noWrap w:val="0"/>
            <w:vAlign w:val="center"/>
          </w:tcPr>
          <w:p w14:paraId="278F4554">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243.888</w:t>
            </w:r>
          </w:p>
        </w:tc>
      </w:tr>
      <w:tr w14:paraId="47B2FC2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30E64873">
            <w:pPr>
              <w:pStyle w:val="27"/>
              <w:rPr>
                <w:rFonts w:ascii="Times New Roman" w:hAnsi="Times New Roman" w:eastAsia="宋体"/>
                <w:highlight w:val="none"/>
              </w:rPr>
            </w:pPr>
          </w:p>
        </w:tc>
        <w:tc>
          <w:tcPr>
            <w:tcW w:w="750" w:type="dxa"/>
            <w:vMerge w:val="continue"/>
            <w:noWrap w:val="0"/>
            <w:vAlign w:val="center"/>
          </w:tcPr>
          <w:p w14:paraId="58EA0EDE">
            <w:pPr>
              <w:pStyle w:val="27"/>
              <w:rPr>
                <w:rFonts w:ascii="Times New Roman" w:hAnsi="Times New Roman" w:eastAsia="宋体"/>
                <w:highlight w:val="none"/>
              </w:rPr>
            </w:pPr>
          </w:p>
        </w:tc>
        <w:tc>
          <w:tcPr>
            <w:tcW w:w="1215" w:type="dxa"/>
            <w:noWrap w:val="0"/>
            <w:vAlign w:val="center"/>
          </w:tcPr>
          <w:p w14:paraId="7507F26A">
            <w:pPr>
              <w:pStyle w:val="27"/>
              <w:rPr>
                <w:rFonts w:ascii="Times New Roman" w:hAnsi="Times New Roman" w:eastAsia="宋体"/>
                <w:highlight w:val="none"/>
              </w:rPr>
            </w:pPr>
            <w:r>
              <w:rPr>
                <w:rFonts w:ascii="Times New Roman" w:hAnsi="Times New Roman" w:eastAsia="宋体"/>
                <w:highlight w:val="none"/>
              </w:rPr>
              <w:t>预测排放浓度</w:t>
            </w:r>
          </w:p>
        </w:tc>
        <w:tc>
          <w:tcPr>
            <w:tcW w:w="993" w:type="dxa"/>
            <w:noWrap w:val="0"/>
            <w:vAlign w:val="center"/>
          </w:tcPr>
          <w:p w14:paraId="27D8005D">
            <w:pPr>
              <w:pStyle w:val="27"/>
              <w:rPr>
                <w:rFonts w:ascii="Times New Roman" w:hAnsi="Times New Roman" w:eastAsia="宋体"/>
                <w:highlight w:val="none"/>
              </w:rPr>
            </w:pPr>
            <w:r>
              <w:rPr>
                <w:rFonts w:ascii="Times New Roman" w:hAnsi="Times New Roman" w:eastAsia="宋体"/>
                <w:highlight w:val="none"/>
              </w:rPr>
              <w:t>C</w:t>
            </w:r>
            <w:r>
              <w:rPr>
                <w:rFonts w:ascii="Times New Roman" w:hAnsi="Times New Roman" w:eastAsia="宋体"/>
                <w:highlight w:val="none"/>
                <w:vertAlign w:val="subscript"/>
              </w:rPr>
              <w:t>SO2</w:t>
            </w:r>
          </w:p>
        </w:tc>
        <w:tc>
          <w:tcPr>
            <w:tcW w:w="2442" w:type="dxa"/>
            <w:noWrap w:val="0"/>
            <w:vAlign w:val="center"/>
          </w:tcPr>
          <w:p w14:paraId="3BFD4AC0">
            <w:pPr>
              <w:pStyle w:val="27"/>
              <w:rPr>
                <w:rFonts w:ascii="Times New Roman" w:hAnsi="Times New Roman" w:eastAsia="宋体"/>
                <w:highlight w:val="none"/>
              </w:rPr>
            </w:pPr>
            <w:r>
              <w:rPr>
                <w:rFonts w:ascii="Times New Roman" w:hAnsi="Times New Roman" w:eastAsia="宋体"/>
                <w:highlight w:val="none"/>
              </w:rPr>
              <w:t>mg/m</w:t>
            </w:r>
            <w:r>
              <w:rPr>
                <w:rFonts w:ascii="Times New Roman" w:hAnsi="Times New Roman" w:eastAsia="宋体"/>
                <w:highlight w:val="none"/>
                <w:vertAlign w:val="superscript"/>
              </w:rPr>
              <w:t>3</w:t>
            </w:r>
          </w:p>
        </w:tc>
        <w:tc>
          <w:tcPr>
            <w:tcW w:w="1939" w:type="dxa"/>
            <w:noWrap w:val="0"/>
            <w:vAlign w:val="center"/>
          </w:tcPr>
          <w:p w14:paraId="75D8C915">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9.746</w:t>
            </w:r>
          </w:p>
        </w:tc>
      </w:tr>
      <w:tr w14:paraId="0760ACA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042A39AF">
            <w:pPr>
              <w:pStyle w:val="27"/>
              <w:rPr>
                <w:rFonts w:ascii="Times New Roman" w:hAnsi="Times New Roman" w:eastAsia="宋体"/>
                <w:highlight w:val="none"/>
              </w:rPr>
            </w:pPr>
          </w:p>
        </w:tc>
        <w:tc>
          <w:tcPr>
            <w:tcW w:w="750" w:type="dxa"/>
            <w:vMerge w:val="continue"/>
            <w:noWrap w:val="0"/>
            <w:vAlign w:val="center"/>
          </w:tcPr>
          <w:p w14:paraId="06297BB3">
            <w:pPr>
              <w:pStyle w:val="27"/>
              <w:rPr>
                <w:rFonts w:ascii="Times New Roman" w:hAnsi="Times New Roman" w:eastAsia="宋体"/>
                <w:highlight w:val="none"/>
              </w:rPr>
            </w:pPr>
          </w:p>
        </w:tc>
        <w:tc>
          <w:tcPr>
            <w:tcW w:w="1215" w:type="dxa"/>
            <w:noWrap w:val="0"/>
            <w:vAlign w:val="center"/>
          </w:tcPr>
          <w:p w14:paraId="5546F22C">
            <w:pPr>
              <w:pStyle w:val="27"/>
              <w:rPr>
                <w:rFonts w:ascii="Times New Roman" w:hAnsi="Times New Roman" w:eastAsia="宋体"/>
                <w:highlight w:val="none"/>
              </w:rPr>
            </w:pPr>
            <w:r>
              <w:rPr>
                <w:rFonts w:ascii="Times New Roman" w:hAnsi="Times New Roman" w:eastAsia="宋体"/>
                <w:highlight w:val="none"/>
              </w:rPr>
              <w:t>达标排放浓度</w:t>
            </w:r>
          </w:p>
        </w:tc>
        <w:tc>
          <w:tcPr>
            <w:tcW w:w="993" w:type="dxa"/>
            <w:noWrap w:val="0"/>
            <w:vAlign w:val="center"/>
          </w:tcPr>
          <w:p w14:paraId="04975F6D">
            <w:pPr>
              <w:pStyle w:val="27"/>
              <w:rPr>
                <w:rFonts w:ascii="Times New Roman" w:hAnsi="Times New Roman" w:eastAsia="宋体"/>
                <w:highlight w:val="none"/>
              </w:rPr>
            </w:pPr>
            <w:r>
              <w:rPr>
                <w:rFonts w:ascii="Times New Roman" w:hAnsi="Times New Roman" w:eastAsia="宋体"/>
                <w:highlight w:val="none"/>
              </w:rPr>
              <w:t>C</w:t>
            </w:r>
            <w:r>
              <w:rPr>
                <w:rFonts w:ascii="Times New Roman" w:hAnsi="Times New Roman" w:eastAsia="宋体"/>
                <w:highlight w:val="none"/>
                <w:vertAlign w:val="subscript"/>
              </w:rPr>
              <w:t>SO2</w:t>
            </w:r>
          </w:p>
        </w:tc>
        <w:tc>
          <w:tcPr>
            <w:tcW w:w="2442" w:type="dxa"/>
            <w:noWrap w:val="0"/>
            <w:vAlign w:val="center"/>
          </w:tcPr>
          <w:p w14:paraId="63872BCC">
            <w:pPr>
              <w:pStyle w:val="27"/>
              <w:rPr>
                <w:rFonts w:ascii="Times New Roman" w:hAnsi="Times New Roman" w:eastAsia="宋体"/>
                <w:highlight w:val="none"/>
              </w:rPr>
            </w:pPr>
            <w:r>
              <w:rPr>
                <w:rFonts w:ascii="Times New Roman" w:hAnsi="Times New Roman" w:eastAsia="宋体"/>
                <w:highlight w:val="none"/>
              </w:rPr>
              <w:t>mg/m</w:t>
            </w:r>
            <w:r>
              <w:rPr>
                <w:rFonts w:ascii="Times New Roman" w:hAnsi="Times New Roman" w:eastAsia="宋体"/>
                <w:highlight w:val="none"/>
                <w:vertAlign w:val="superscript"/>
              </w:rPr>
              <w:t>3</w:t>
            </w:r>
          </w:p>
        </w:tc>
        <w:tc>
          <w:tcPr>
            <w:tcW w:w="1939" w:type="dxa"/>
            <w:noWrap w:val="0"/>
            <w:vAlign w:val="center"/>
          </w:tcPr>
          <w:p w14:paraId="0FD10BB1">
            <w:pPr>
              <w:pStyle w:val="27"/>
              <w:rPr>
                <w:rFonts w:ascii="Times New Roman" w:hAnsi="Times New Roman" w:eastAsia="宋体"/>
                <w:highlight w:val="none"/>
              </w:rPr>
            </w:pPr>
            <w:r>
              <w:rPr>
                <w:rFonts w:ascii="Times New Roman" w:hAnsi="Times New Roman" w:eastAsia="宋体"/>
                <w:highlight w:val="none"/>
              </w:rPr>
              <w:t>35</w:t>
            </w:r>
          </w:p>
        </w:tc>
      </w:tr>
      <w:tr w14:paraId="0E91C5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1A0F0CED">
            <w:pPr>
              <w:pStyle w:val="27"/>
              <w:rPr>
                <w:rFonts w:ascii="Times New Roman" w:hAnsi="Times New Roman" w:eastAsia="宋体"/>
                <w:highlight w:val="none"/>
              </w:rPr>
            </w:pPr>
          </w:p>
        </w:tc>
        <w:tc>
          <w:tcPr>
            <w:tcW w:w="750" w:type="dxa"/>
            <w:vMerge w:val="continue"/>
            <w:noWrap w:val="0"/>
            <w:vAlign w:val="center"/>
          </w:tcPr>
          <w:p w14:paraId="63321E5B">
            <w:pPr>
              <w:pStyle w:val="27"/>
              <w:rPr>
                <w:rFonts w:ascii="Times New Roman" w:hAnsi="Times New Roman" w:eastAsia="宋体"/>
                <w:highlight w:val="none"/>
              </w:rPr>
            </w:pPr>
          </w:p>
        </w:tc>
        <w:tc>
          <w:tcPr>
            <w:tcW w:w="1215" w:type="dxa"/>
            <w:vMerge w:val="restart"/>
            <w:noWrap w:val="0"/>
            <w:vAlign w:val="center"/>
          </w:tcPr>
          <w:p w14:paraId="6DF26824">
            <w:pPr>
              <w:pStyle w:val="27"/>
              <w:rPr>
                <w:rFonts w:ascii="Times New Roman" w:hAnsi="Times New Roman" w:eastAsia="宋体"/>
                <w:highlight w:val="none"/>
              </w:rPr>
            </w:pPr>
            <w:r>
              <w:rPr>
                <w:rFonts w:ascii="Times New Roman" w:hAnsi="Times New Roman" w:eastAsia="宋体"/>
                <w:highlight w:val="none"/>
              </w:rPr>
              <w:t>排放量</w:t>
            </w:r>
          </w:p>
        </w:tc>
        <w:tc>
          <w:tcPr>
            <w:tcW w:w="993" w:type="dxa"/>
            <w:vMerge w:val="restart"/>
            <w:noWrap w:val="0"/>
            <w:vAlign w:val="center"/>
          </w:tcPr>
          <w:p w14:paraId="15EE764E">
            <w:pPr>
              <w:pStyle w:val="27"/>
              <w:rPr>
                <w:rFonts w:ascii="Times New Roman" w:hAnsi="Times New Roman" w:eastAsia="宋体"/>
                <w:highlight w:val="none"/>
              </w:rPr>
            </w:pPr>
            <w:r>
              <w:rPr>
                <w:rFonts w:ascii="Times New Roman" w:hAnsi="Times New Roman" w:eastAsia="宋体"/>
                <w:highlight w:val="none"/>
              </w:rPr>
              <w:t>M</w:t>
            </w:r>
            <w:r>
              <w:rPr>
                <w:rFonts w:ascii="Times New Roman" w:hAnsi="Times New Roman" w:eastAsia="宋体"/>
                <w:highlight w:val="none"/>
                <w:vertAlign w:val="subscript"/>
              </w:rPr>
              <w:t>SO2</w:t>
            </w:r>
          </w:p>
        </w:tc>
        <w:tc>
          <w:tcPr>
            <w:tcW w:w="2442" w:type="dxa"/>
            <w:noWrap w:val="0"/>
            <w:vAlign w:val="center"/>
          </w:tcPr>
          <w:p w14:paraId="5A32E10D">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10.10~10.25使用116MW锅炉</w:t>
            </w:r>
            <w:r>
              <w:rPr>
                <w:rFonts w:hint="eastAsia" w:ascii="Times New Roman" w:hAnsi="Times New Roman" w:eastAsia="宋体"/>
                <w:highlight w:val="none"/>
                <w:lang w:eastAsia="zh-CN"/>
              </w:rPr>
              <w:t>）</w:t>
            </w:r>
          </w:p>
        </w:tc>
        <w:tc>
          <w:tcPr>
            <w:tcW w:w="1939" w:type="dxa"/>
            <w:noWrap w:val="0"/>
            <w:vAlign w:val="center"/>
          </w:tcPr>
          <w:p w14:paraId="5832CBBA">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2.58</w:t>
            </w:r>
          </w:p>
        </w:tc>
      </w:tr>
      <w:tr w14:paraId="02B30A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63DD59E8">
            <w:pPr>
              <w:pStyle w:val="27"/>
              <w:rPr>
                <w:rFonts w:ascii="Times New Roman" w:hAnsi="Times New Roman" w:eastAsia="宋体"/>
                <w:highlight w:val="none"/>
              </w:rPr>
            </w:pPr>
          </w:p>
        </w:tc>
        <w:tc>
          <w:tcPr>
            <w:tcW w:w="750" w:type="dxa"/>
            <w:vMerge w:val="continue"/>
            <w:noWrap w:val="0"/>
            <w:vAlign w:val="center"/>
          </w:tcPr>
          <w:p w14:paraId="79B98790">
            <w:pPr>
              <w:pStyle w:val="27"/>
              <w:rPr>
                <w:rFonts w:ascii="Times New Roman" w:hAnsi="Times New Roman" w:eastAsia="宋体"/>
                <w:highlight w:val="none"/>
              </w:rPr>
            </w:pPr>
          </w:p>
        </w:tc>
        <w:tc>
          <w:tcPr>
            <w:tcW w:w="1215" w:type="dxa"/>
            <w:vMerge w:val="continue"/>
            <w:noWrap w:val="0"/>
            <w:vAlign w:val="center"/>
          </w:tcPr>
          <w:p w14:paraId="21B9DD37">
            <w:pPr>
              <w:pStyle w:val="27"/>
              <w:rPr>
                <w:rFonts w:ascii="Times New Roman" w:hAnsi="Times New Roman" w:eastAsia="宋体"/>
                <w:highlight w:val="none"/>
              </w:rPr>
            </w:pPr>
          </w:p>
        </w:tc>
        <w:tc>
          <w:tcPr>
            <w:tcW w:w="993" w:type="dxa"/>
            <w:vMerge w:val="continue"/>
            <w:noWrap w:val="0"/>
            <w:vAlign w:val="center"/>
          </w:tcPr>
          <w:p w14:paraId="32953E4D">
            <w:pPr>
              <w:pStyle w:val="27"/>
              <w:rPr>
                <w:rFonts w:ascii="Times New Roman" w:hAnsi="Times New Roman" w:eastAsia="宋体"/>
                <w:highlight w:val="none"/>
              </w:rPr>
            </w:pPr>
          </w:p>
        </w:tc>
        <w:tc>
          <w:tcPr>
            <w:tcW w:w="2442" w:type="dxa"/>
            <w:noWrap w:val="0"/>
            <w:vAlign w:val="center"/>
          </w:tcPr>
          <w:p w14:paraId="11F7D0BD">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10.25~12.15使用58MW+35t/h锅炉</w:t>
            </w:r>
            <w:r>
              <w:rPr>
                <w:rFonts w:hint="eastAsia" w:ascii="Times New Roman" w:hAnsi="Times New Roman" w:eastAsia="宋体"/>
                <w:highlight w:val="none"/>
                <w:lang w:eastAsia="zh-CN"/>
              </w:rPr>
              <w:t>）</w:t>
            </w:r>
          </w:p>
        </w:tc>
        <w:tc>
          <w:tcPr>
            <w:tcW w:w="1939" w:type="dxa"/>
            <w:noWrap w:val="0"/>
            <w:vAlign w:val="center"/>
          </w:tcPr>
          <w:p w14:paraId="5A120BDF">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1.12</w:t>
            </w:r>
          </w:p>
        </w:tc>
      </w:tr>
      <w:tr w14:paraId="7BC8CF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69FFD0FE">
            <w:pPr>
              <w:pStyle w:val="27"/>
              <w:rPr>
                <w:rFonts w:ascii="Times New Roman" w:hAnsi="Times New Roman" w:eastAsia="宋体"/>
                <w:highlight w:val="none"/>
              </w:rPr>
            </w:pPr>
          </w:p>
        </w:tc>
        <w:tc>
          <w:tcPr>
            <w:tcW w:w="750" w:type="dxa"/>
            <w:vMerge w:val="continue"/>
            <w:noWrap w:val="0"/>
            <w:vAlign w:val="center"/>
          </w:tcPr>
          <w:p w14:paraId="680F425C">
            <w:pPr>
              <w:pStyle w:val="27"/>
              <w:rPr>
                <w:rFonts w:ascii="Times New Roman" w:hAnsi="Times New Roman" w:eastAsia="宋体"/>
                <w:highlight w:val="none"/>
              </w:rPr>
            </w:pPr>
          </w:p>
        </w:tc>
        <w:tc>
          <w:tcPr>
            <w:tcW w:w="1215" w:type="dxa"/>
            <w:vMerge w:val="continue"/>
            <w:noWrap w:val="0"/>
            <w:vAlign w:val="center"/>
          </w:tcPr>
          <w:p w14:paraId="59D952B3">
            <w:pPr>
              <w:pStyle w:val="27"/>
              <w:rPr>
                <w:rFonts w:ascii="Times New Roman" w:hAnsi="Times New Roman" w:eastAsia="宋体"/>
                <w:highlight w:val="none"/>
              </w:rPr>
            </w:pPr>
          </w:p>
        </w:tc>
        <w:tc>
          <w:tcPr>
            <w:tcW w:w="993" w:type="dxa"/>
            <w:vMerge w:val="continue"/>
            <w:noWrap w:val="0"/>
            <w:vAlign w:val="center"/>
          </w:tcPr>
          <w:p w14:paraId="1393C75A">
            <w:pPr>
              <w:pStyle w:val="27"/>
              <w:rPr>
                <w:rFonts w:ascii="Times New Roman" w:hAnsi="Times New Roman" w:eastAsia="宋体"/>
                <w:highlight w:val="none"/>
              </w:rPr>
            </w:pPr>
          </w:p>
        </w:tc>
        <w:tc>
          <w:tcPr>
            <w:tcW w:w="2442" w:type="dxa"/>
            <w:noWrap w:val="0"/>
            <w:vAlign w:val="center"/>
          </w:tcPr>
          <w:p w14:paraId="20C96929">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12.15~1.20使用116MW+35t/h锅炉</w:t>
            </w:r>
            <w:r>
              <w:rPr>
                <w:rFonts w:hint="eastAsia" w:ascii="Times New Roman" w:hAnsi="Times New Roman" w:eastAsia="宋体"/>
                <w:highlight w:val="none"/>
                <w:lang w:eastAsia="zh-CN"/>
              </w:rPr>
              <w:t>）</w:t>
            </w:r>
          </w:p>
        </w:tc>
        <w:tc>
          <w:tcPr>
            <w:tcW w:w="1939" w:type="dxa"/>
            <w:noWrap w:val="0"/>
            <w:vAlign w:val="center"/>
          </w:tcPr>
          <w:p w14:paraId="53AAA2FF">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2.91</w:t>
            </w:r>
          </w:p>
        </w:tc>
      </w:tr>
      <w:tr w14:paraId="222EF1A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503185E4">
            <w:pPr>
              <w:pStyle w:val="27"/>
              <w:rPr>
                <w:rFonts w:ascii="Times New Roman" w:hAnsi="Times New Roman" w:eastAsia="宋体"/>
                <w:highlight w:val="none"/>
              </w:rPr>
            </w:pPr>
          </w:p>
        </w:tc>
        <w:tc>
          <w:tcPr>
            <w:tcW w:w="750" w:type="dxa"/>
            <w:vMerge w:val="continue"/>
            <w:noWrap w:val="0"/>
            <w:vAlign w:val="center"/>
          </w:tcPr>
          <w:p w14:paraId="68D34037">
            <w:pPr>
              <w:pStyle w:val="27"/>
              <w:rPr>
                <w:rFonts w:ascii="Times New Roman" w:hAnsi="Times New Roman" w:eastAsia="宋体"/>
                <w:highlight w:val="none"/>
              </w:rPr>
            </w:pPr>
          </w:p>
        </w:tc>
        <w:tc>
          <w:tcPr>
            <w:tcW w:w="1215" w:type="dxa"/>
            <w:vMerge w:val="continue"/>
            <w:noWrap w:val="0"/>
            <w:vAlign w:val="center"/>
          </w:tcPr>
          <w:p w14:paraId="25CB6BA2">
            <w:pPr>
              <w:pStyle w:val="27"/>
              <w:rPr>
                <w:rFonts w:ascii="Times New Roman" w:hAnsi="Times New Roman" w:eastAsia="宋体"/>
                <w:highlight w:val="none"/>
              </w:rPr>
            </w:pPr>
          </w:p>
        </w:tc>
        <w:tc>
          <w:tcPr>
            <w:tcW w:w="993" w:type="dxa"/>
            <w:vMerge w:val="continue"/>
            <w:noWrap w:val="0"/>
            <w:vAlign w:val="center"/>
          </w:tcPr>
          <w:p w14:paraId="2C3B40FC">
            <w:pPr>
              <w:pStyle w:val="27"/>
              <w:rPr>
                <w:rFonts w:ascii="Times New Roman" w:hAnsi="Times New Roman" w:eastAsia="宋体"/>
                <w:highlight w:val="none"/>
              </w:rPr>
            </w:pPr>
          </w:p>
        </w:tc>
        <w:tc>
          <w:tcPr>
            <w:tcW w:w="2442" w:type="dxa"/>
            <w:noWrap w:val="0"/>
            <w:vAlign w:val="center"/>
          </w:tcPr>
          <w:p w14:paraId="49848FF5">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1.20~4.1使用58MW+35t/h锅炉</w:t>
            </w:r>
            <w:r>
              <w:rPr>
                <w:rFonts w:hint="eastAsia" w:ascii="Times New Roman" w:hAnsi="Times New Roman" w:eastAsia="宋体"/>
                <w:highlight w:val="none"/>
                <w:lang w:eastAsia="zh-CN"/>
              </w:rPr>
              <w:t>）</w:t>
            </w:r>
          </w:p>
        </w:tc>
        <w:tc>
          <w:tcPr>
            <w:tcW w:w="1939" w:type="dxa"/>
            <w:noWrap w:val="0"/>
            <w:vAlign w:val="center"/>
          </w:tcPr>
          <w:p w14:paraId="4C20D33F">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1.12</w:t>
            </w:r>
          </w:p>
        </w:tc>
      </w:tr>
      <w:tr w14:paraId="0D0E62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43BE42AC">
            <w:pPr>
              <w:pStyle w:val="27"/>
              <w:rPr>
                <w:rFonts w:ascii="Times New Roman" w:hAnsi="Times New Roman" w:eastAsia="宋体"/>
                <w:highlight w:val="none"/>
              </w:rPr>
            </w:pPr>
          </w:p>
        </w:tc>
        <w:tc>
          <w:tcPr>
            <w:tcW w:w="750" w:type="dxa"/>
            <w:vMerge w:val="continue"/>
            <w:noWrap w:val="0"/>
            <w:vAlign w:val="center"/>
          </w:tcPr>
          <w:p w14:paraId="2CE9B1E6">
            <w:pPr>
              <w:pStyle w:val="27"/>
              <w:rPr>
                <w:rFonts w:ascii="Times New Roman" w:hAnsi="Times New Roman" w:eastAsia="宋体"/>
                <w:highlight w:val="none"/>
              </w:rPr>
            </w:pPr>
          </w:p>
        </w:tc>
        <w:tc>
          <w:tcPr>
            <w:tcW w:w="1215" w:type="dxa"/>
            <w:vMerge w:val="continue"/>
            <w:noWrap w:val="0"/>
            <w:vAlign w:val="center"/>
          </w:tcPr>
          <w:p w14:paraId="3E10CB46">
            <w:pPr>
              <w:pStyle w:val="27"/>
              <w:rPr>
                <w:rFonts w:ascii="Times New Roman" w:hAnsi="Times New Roman" w:eastAsia="宋体"/>
                <w:highlight w:val="none"/>
              </w:rPr>
            </w:pPr>
          </w:p>
        </w:tc>
        <w:tc>
          <w:tcPr>
            <w:tcW w:w="993" w:type="dxa"/>
            <w:vMerge w:val="continue"/>
            <w:noWrap w:val="0"/>
            <w:vAlign w:val="center"/>
          </w:tcPr>
          <w:p w14:paraId="2C3BED61">
            <w:pPr>
              <w:pStyle w:val="27"/>
              <w:rPr>
                <w:rFonts w:ascii="Times New Roman" w:hAnsi="Times New Roman" w:eastAsia="宋体"/>
                <w:highlight w:val="none"/>
              </w:rPr>
            </w:pPr>
          </w:p>
        </w:tc>
        <w:tc>
          <w:tcPr>
            <w:tcW w:w="2442" w:type="dxa"/>
            <w:noWrap w:val="0"/>
            <w:vAlign w:val="center"/>
          </w:tcPr>
          <w:p w14:paraId="582ADC9E">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4.1~4.30使用58MW锅炉</w:t>
            </w:r>
            <w:r>
              <w:rPr>
                <w:rFonts w:hint="eastAsia" w:ascii="Times New Roman" w:hAnsi="Times New Roman" w:eastAsia="宋体"/>
                <w:highlight w:val="none"/>
                <w:lang w:eastAsia="zh-CN"/>
              </w:rPr>
              <w:t>）</w:t>
            </w:r>
          </w:p>
        </w:tc>
        <w:tc>
          <w:tcPr>
            <w:tcW w:w="1939" w:type="dxa"/>
            <w:noWrap w:val="0"/>
            <w:vAlign w:val="center"/>
          </w:tcPr>
          <w:p w14:paraId="2C173F31">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0.788</w:t>
            </w:r>
          </w:p>
        </w:tc>
      </w:tr>
      <w:tr w14:paraId="2F915A1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2F35B4A4">
            <w:pPr>
              <w:pStyle w:val="27"/>
              <w:rPr>
                <w:rFonts w:ascii="Times New Roman" w:hAnsi="Times New Roman" w:eastAsia="宋体"/>
                <w:highlight w:val="none"/>
              </w:rPr>
            </w:pPr>
          </w:p>
        </w:tc>
        <w:tc>
          <w:tcPr>
            <w:tcW w:w="750" w:type="dxa"/>
            <w:vMerge w:val="continue"/>
            <w:noWrap w:val="0"/>
            <w:vAlign w:val="center"/>
          </w:tcPr>
          <w:p w14:paraId="73E342A7">
            <w:pPr>
              <w:pStyle w:val="27"/>
              <w:rPr>
                <w:rFonts w:ascii="Times New Roman" w:hAnsi="Times New Roman" w:eastAsia="宋体"/>
                <w:highlight w:val="none"/>
              </w:rPr>
            </w:pPr>
          </w:p>
        </w:tc>
        <w:tc>
          <w:tcPr>
            <w:tcW w:w="1215" w:type="dxa"/>
            <w:vMerge w:val="continue"/>
            <w:noWrap w:val="0"/>
            <w:vAlign w:val="center"/>
          </w:tcPr>
          <w:p w14:paraId="35C9415C">
            <w:pPr>
              <w:pStyle w:val="27"/>
              <w:rPr>
                <w:rFonts w:ascii="Times New Roman" w:hAnsi="Times New Roman" w:eastAsia="宋体"/>
                <w:highlight w:val="none"/>
              </w:rPr>
            </w:pPr>
          </w:p>
        </w:tc>
        <w:tc>
          <w:tcPr>
            <w:tcW w:w="993" w:type="dxa"/>
            <w:vMerge w:val="continue"/>
            <w:noWrap w:val="0"/>
            <w:vAlign w:val="center"/>
          </w:tcPr>
          <w:p w14:paraId="710F0653">
            <w:pPr>
              <w:pStyle w:val="27"/>
              <w:rPr>
                <w:rFonts w:ascii="Times New Roman" w:hAnsi="Times New Roman" w:eastAsia="宋体"/>
                <w:highlight w:val="none"/>
              </w:rPr>
            </w:pPr>
          </w:p>
        </w:tc>
        <w:tc>
          <w:tcPr>
            <w:tcW w:w="2442" w:type="dxa"/>
            <w:noWrap w:val="0"/>
            <w:vAlign w:val="center"/>
          </w:tcPr>
          <w:p w14:paraId="507D4BBD">
            <w:pPr>
              <w:pStyle w:val="27"/>
              <w:rPr>
                <w:rFonts w:ascii="Times New Roman" w:hAnsi="Times New Roman" w:eastAsia="宋体"/>
                <w:highlight w:val="none"/>
              </w:rPr>
            </w:pPr>
            <w:r>
              <w:rPr>
                <w:rFonts w:ascii="Times New Roman" w:hAnsi="Times New Roman" w:eastAsia="宋体"/>
                <w:highlight w:val="none"/>
              </w:rPr>
              <w:t>t/a</w:t>
            </w:r>
          </w:p>
        </w:tc>
        <w:tc>
          <w:tcPr>
            <w:tcW w:w="1939" w:type="dxa"/>
            <w:noWrap w:val="0"/>
            <w:vAlign w:val="center"/>
          </w:tcPr>
          <w:p w14:paraId="7F016C00">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7.352</w:t>
            </w:r>
          </w:p>
        </w:tc>
      </w:tr>
      <w:tr w14:paraId="4FAB7A8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5351E4AE">
            <w:pPr>
              <w:pStyle w:val="27"/>
              <w:rPr>
                <w:rFonts w:ascii="Times New Roman" w:hAnsi="Times New Roman" w:eastAsia="宋体"/>
                <w:highlight w:val="none"/>
              </w:rPr>
            </w:pPr>
          </w:p>
        </w:tc>
        <w:tc>
          <w:tcPr>
            <w:tcW w:w="750" w:type="dxa"/>
            <w:vMerge w:val="restart"/>
            <w:noWrap w:val="0"/>
            <w:vAlign w:val="center"/>
          </w:tcPr>
          <w:p w14:paraId="093DE01B">
            <w:pPr>
              <w:pStyle w:val="27"/>
              <w:rPr>
                <w:rFonts w:ascii="Times New Roman" w:hAnsi="Times New Roman" w:eastAsia="宋体"/>
                <w:highlight w:val="none"/>
              </w:rPr>
            </w:pPr>
            <w:r>
              <w:rPr>
                <w:rFonts w:ascii="Times New Roman" w:hAnsi="Times New Roman" w:eastAsia="宋体"/>
                <w:highlight w:val="none"/>
              </w:rPr>
              <w:t>NO</w:t>
            </w:r>
            <w:r>
              <w:rPr>
                <w:rFonts w:ascii="Times New Roman" w:hAnsi="Times New Roman" w:eastAsia="宋体"/>
                <w:highlight w:val="none"/>
                <w:vertAlign w:val="subscript"/>
              </w:rPr>
              <w:t>x</w:t>
            </w:r>
          </w:p>
        </w:tc>
        <w:tc>
          <w:tcPr>
            <w:tcW w:w="1215" w:type="dxa"/>
            <w:noWrap w:val="0"/>
            <w:vAlign w:val="center"/>
          </w:tcPr>
          <w:p w14:paraId="68BC6921">
            <w:pPr>
              <w:pStyle w:val="27"/>
              <w:rPr>
                <w:rFonts w:ascii="Times New Roman" w:hAnsi="Times New Roman" w:eastAsia="宋体"/>
                <w:highlight w:val="none"/>
              </w:rPr>
            </w:pPr>
            <w:r>
              <w:rPr>
                <w:rFonts w:ascii="Times New Roman" w:hAnsi="Times New Roman" w:eastAsia="宋体"/>
                <w:highlight w:val="none"/>
              </w:rPr>
              <w:t>产生浓度</w:t>
            </w:r>
          </w:p>
        </w:tc>
        <w:tc>
          <w:tcPr>
            <w:tcW w:w="993" w:type="dxa"/>
            <w:noWrap w:val="0"/>
            <w:vAlign w:val="center"/>
          </w:tcPr>
          <w:p w14:paraId="7DE5ADA9">
            <w:pPr>
              <w:pStyle w:val="27"/>
              <w:rPr>
                <w:rFonts w:ascii="Times New Roman" w:hAnsi="Times New Roman" w:eastAsia="宋体"/>
                <w:highlight w:val="none"/>
              </w:rPr>
            </w:pPr>
            <w:r>
              <w:rPr>
                <w:rFonts w:ascii="Times New Roman" w:hAnsi="Times New Roman" w:eastAsia="宋体"/>
                <w:highlight w:val="none"/>
              </w:rPr>
              <w:t>C</w:t>
            </w:r>
            <w:r>
              <w:rPr>
                <w:rFonts w:ascii="Times New Roman" w:hAnsi="Times New Roman" w:eastAsia="宋体"/>
                <w:highlight w:val="none"/>
                <w:vertAlign w:val="subscript"/>
              </w:rPr>
              <w:t>NOx</w:t>
            </w:r>
          </w:p>
        </w:tc>
        <w:tc>
          <w:tcPr>
            <w:tcW w:w="2442" w:type="dxa"/>
            <w:noWrap w:val="0"/>
            <w:vAlign w:val="center"/>
          </w:tcPr>
          <w:p w14:paraId="0C8B1E45">
            <w:pPr>
              <w:pStyle w:val="27"/>
              <w:rPr>
                <w:rFonts w:ascii="Times New Roman" w:hAnsi="Times New Roman" w:eastAsia="宋体"/>
                <w:highlight w:val="none"/>
              </w:rPr>
            </w:pPr>
            <w:r>
              <w:rPr>
                <w:rFonts w:ascii="Times New Roman" w:hAnsi="Times New Roman" w:eastAsia="宋体"/>
                <w:highlight w:val="none"/>
              </w:rPr>
              <w:t>mg/m</w:t>
            </w:r>
            <w:r>
              <w:rPr>
                <w:rFonts w:ascii="Times New Roman" w:hAnsi="Times New Roman" w:eastAsia="宋体"/>
                <w:highlight w:val="none"/>
                <w:vertAlign w:val="superscript"/>
              </w:rPr>
              <w:t>3</w:t>
            </w:r>
          </w:p>
        </w:tc>
        <w:tc>
          <w:tcPr>
            <w:tcW w:w="1939" w:type="dxa"/>
            <w:noWrap w:val="0"/>
            <w:vAlign w:val="center"/>
          </w:tcPr>
          <w:p w14:paraId="53BF52F4">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916</w:t>
            </w:r>
          </w:p>
        </w:tc>
      </w:tr>
      <w:tr w14:paraId="4CADBD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65D9093C">
            <w:pPr>
              <w:pStyle w:val="27"/>
              <w:rPr>
                <w:rFonts w:ascii="Times New Roman" w:hAnsi="Times New Roman" w:eastAsia="宋体"/>
                <w:highlight w:val="none"/>
              </w:rPr>
            </w:pPr>
          </w:p>
        </w:tc>
        <w:tc>
          <w:tcPr>
            <w:tcW w:w="750" w:type="dxa"/>
            <w:vMerge w:val="continue"/>
            <w:noWrap w:val="0"/>
            <w:vAlign w:val="center"/>
          </w:tcPr>
          <w:p w14:paraId="282458E1">
            <w:pPr>
              <w:pStyle w:val="27"/>
              <w:rPr>
                <w:rFonts w:ascii="Times New Roman" w:hAnsi="Times New Roman" w:eastAsia="宋体"/>
                <w:highlight w:val="none"/>
              </w:rPr>
            </w:pPr>
          </w:p>
        </w:tc>
        <w:tc>
          <w:tcPr>
            <w:tcW w:w="1215" w:type="dxa"/>
            <w:vMerge w:val="restart"/>
            <w:noWrap w:val="0"/>
            <w:vAlign w:val="center"/>
          </w:tcPr>
          <w:p w14:paraId="51B65806">
            <w:pPr>
              <w:pStyle w:val="27"/>
              <w:rPr>
                <w:rFonts w:ascii="Times New Roman" w:hAnsi="Times New Roman" w:eastAsia="宋体"/>
                <w:highlight w:val="none"/>
              </w:rPr>
            </w:pPr>
            <w:r>
              <w:rPr>
                <w:rFonts w:ascii="Times New Roman" w:hAnsi="Times New Roman" w:eastAsia="宋体"/>
                <w:highlight w:val="none"/>
              </w:rPr>
              <w:t>产生量</w:t>
            </w:r>
          </w:p>
        </w:tc>
        <w:tc>
          <w:tcPr>
            <w:tcW w:w="993" w:type="dxa"/>
            <w:vMerge w:val="restart"/>
            <w:noWrap w:val="0"/>
            <w:vAlign w:val="center"/>
          </w:tcPr>
          <w:p w14:paraId="468BBFF6">
            <w:pPr>
              <w:pStyle w:val="27"/>
              <w:rPr>
                <w:rFonts w:ascii="Times New Roman" w:hAnsi="Times New Roman" w:eastAsia="宋体"/>
                <w:highlight w:val="none"/>
              </w:rPr>
            </w:pPr>
            <w:r>
              <w:rPr>
                <w:rFonts w:ascii="Times New Roman" w:hAnsi="Times New Roman" w:eastAsia="宋体"/>
                <w:highlight w:val="none"/>
              </w:rPr>
              <w:t>M</w:t>
            </w:r>
            <w:r>
              <w:rPr>
                <w:rFonts w:ascii="Times New Roman" w:hAnsi="Times New Roman" w:eastAsia="宋体"/>
                <w:highlight w:val="none"/>
                <w:vertAlign w:val="subscript"/>
              </w:rPr>
              <w:t>NOx</w:t>
            </w:r>
          </w:p>
        </w:tc>
        <w:tc>
          <w:tcPr>
            <w:tcW w:w="2442" w:type="dxa"/>
            <w:noWrap w:val="0"/>
            <w:vAlign w:val="center"/>
          </w:tcPr>
          <w:p w14:paraId="6A0007E8">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10.10~10.25使用116MW锅炉</w:t>
            </w:r>
            <w:r>
              <w:rPr>
                <w:rFonts w:hint="eastAsia" w:ascii="Times New Roman" w:hAnsi="Times New Roman" w:eastAsia="宋体"/>
                <w:highlight w:val="none"/>
                <w:lang w:eastAsia="zh-CN"/>
              </w:rPr>
              <w:t>）</w:t>
            </w:r>
          </w:p>
        </w:tc>
        <w:tc>
          <w:tcPr>
            <w:tcW w:w="1939" w:type="dxa"/>
            <w:noWrap w:val="0"/>
            <w:vAlign w:val="center"/>
          </w:tcPr>
          <w:p w14:paraId="4550D66C">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240</w:t>
            </w:r>
          </w:p>
        </w:tc>
      </w:tr>
      <w:tr w14:paraId="27A99CD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603E931C">
            <w:pPr>
              <w:pStyle w:val="27"/>
              <w:rPr>
                <w:rFonts w:ascii="Times New Roman" w:hAnsi="Times New Roman" w:eastAsia="宋体"/>
                <w:highlight w:val="none"/>
              </w:rPr>
            </w:pPr>
          </w:p>
        </w:tc>
        <w:tc>
          <w:tcPr>
            <w:tcW w:w="750" w:type="dxa"/>
            <w:vMerge w:val="continue"/>
            <w:noWrap w:val="0"/>
            <w:vAlign w:val="center"/>
          </w:tcPr>
          <w:p w14:paraId="28C7B471">
            <w:pPr>
              <w:pStyle w:val="27"/>
              <w:rPr>
                <w:rFonts w:ascii="Times New Roman" w:hAnsi="Times New Roman" w:eastAsia="宋体"/>
                <w:highlight w:val="none"/>
              </w:rPr>
            </w:pPr>
          </w:p>
        </w:tc>
        <w:tc>
          <w:tcPr>
            <w:tcW w:w="1215" w:type="dxa"/>
            <w:vMerge w:val="continue"/>
            <w:noWrap w:val="0"/>
            <w:vAlign w:val="center"/>
          </w:tcPr>
          <w:p w14:paraId="3A76896D">
            <w:pPr>
              <w:pStyle w:val="27"/>
              <w:rPr>
                <w:rFonts w:ascii="Times New Roman" w:hAnsi="Times New Roman" w:eastAsia="宋体"/>
                <w:highlight w:val="none"/>
              </w:rPr>
            </w:pPr>
          </w:p>
        </w:tc>
        <w:tc>
          <w:tcPr>
            <w:tcW w:w="993" w:type="dxa"/>
            <w:vMerge w:val="continue"/>
            <w:noWrap w:val="0"/>
            <w:vAlign w:val="center"/>
          </w:tcPr>
          <w:p w14:paraId="23DA3580">
            <w:pPr>
              <w:pStyle w:val="27"/>
              <w:rPr>
                <w:rFonts w:ascii="Times New Roman" w:hAnsi="Times New Roman" w:eastAsia="宋体"/>
                <w:highlight w:val="none"/>
              </w:rPr>
            </w:pPr>
          </w:p>
        </w:tc>
        <w:tc>
          <w:tcPr>
            <w:tcW w:w="2442" w:type="dxa"/>
            <w:noWrap w:val="0"/>
            <w:vAlign w:val="center"/>
          </w:tcPr>
          <w:p w14:paraId="2E301287">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10.25~12.15使用58MW+35t/h锅炉</w:t>
            </w:r>
            <w:r>
              <w:rPr>
                <w:rFonts w:hint="eastAsia" w:ascii="Times New Roman" w:hAnsi="Times New Roman" w:eastAsia="宋体"/>
                <w:highlight w:val="none"/>
                <w:lang w:eastAsia="zh-CN"/>
              </w:rPr>
              <w:t>）</w:t>
            </w:r>
          </w:p>
        </w:tc>
        <w:tc>
          <w:tcPr>
            <w:tcW w:w="1939" w:type="dxa"/>
            <w:noWrap w:val="0"/>
            <w:vAlign w:val="center"/>
          </w:tcPr>
          <w:p w14:paraId="418E1569">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105</w:t>
            </w:r>
          </w:p>
        </w:tc>
      </w:tr>
      <w:tr w14:paraId="4C749CB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247A93D2">
            <w:pPr>
              <w:pStyle w:val="27"/>
              <w:rPr>
                <w:rFonts w:ascii="Times New Roman" w:hAnsi="Times New Roman" w:eastAsia="宋体"/>
                <w:highlight w:val="none"/>
              </w:rPr>
            </w:pPr>
          </w:p>
        </w:tc>
        <w:tc>
          <w:tcPr>
            <w:tcW w:w="750" w:type="dxa"/>
            <w:vMerge w:val="continue"/>
            <w:noWrap w:val="0"/>
            <w:vAlign w:val="center"/>
          </w:tcPr>
          <w:p w14:paraId="1C5CF677">
            <w:pPr>
              <w:pStyle w:val="27"/>
              <w:rPr>
                <w:rFonts w:ascii="Times New Roman" w:hAnsi="Times New Roman" w:eastAsia="宋体"/>
                <w:highlight w:val="none"/>
              </w:rPr>
            </w:pPr>
          </w:p>
        </w:tc>
        <w:tc>
          <w:tcPr>
            <w:tcW w:w="1215" w:type="dxa"/>
            <w:vMerge w:val="continue"/>
            <w:noWrap w:val="0"/>
            <w:vAlign w:val="center"/>
          </w:tcPr>
          <w:p w14:paraId="5FC03B96">
            <w:pPr>
              <w:pStyle w:val="27"/>
              <w:rPr>
                <w:rFonts w:ascii="Times New Roman" w:hAnsi="Times New Roman" w:eastAsia="宋体"/>
                <w:highlight w:val="none"/>
              </w:rPr>
            </w:pPr>
          </w:p>
        </w:tc>
        <w:tc>
          <w:tcPr>
            <w:tcW w:w="993" w:type="dxa"/>
            <w:vMerge w:val="continue"/>
            <w:noWrap w:val="0"/>
            <w:vAlign w:val="center"/>
          </w:tcPr>
          <w:p w14:paraId="328A71FC">
            <w:pPr>
              <w:pStyle w:val="27"/>
              <w:rPr>
                <w:rFonts w:ascii="Times New Roman" w:hAnsi="Times New Roman" w:eastAsia="宋体"/>
                <w:highlight w:val="none"/>
              </w:rPr>
            </w:pPr>
          </w:p>
        </w:tc>
        <w:tc>
          <w:tcPr>
            <w:tcW w:w="2442" w:type="dxa"/>
            <w:noWrap w:val="0"/>
            <w:vAlign w:val="center"/>
          </w:tcPr>
          <w:p w14:paraId="59136AF7">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12.15~1.20使用116MW+35t/h锅炉</w:t>
            </w:r>
            <w:r>
              <w:rPr>
                <w:rFonts w:hint="eastAsia" w:ascii="Times New Roman" w:hAnsi="Times New Roman" w:eastAsia="宋体"/>
                <w:highlight w:val="none"/>
                <w:lang w:eastAsia="zh-CN"/>
              </w:rPr>
              <w:t>）</w:t>
            </w:r>
          </w:p>
        </w:tc>
        <w:tc>
          <w:tcPr>
            <w:tcW w:w="1939" w:type="dxa"/>
            <w:noWrap w:val="0"/>
            <w:vAlign w:val="center"/>
          </w:tcPr>
          <w:p w14:paraId="18F05452">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271</w:t>
            </w:r>
          </w:p>
        </w:tc>
      </w:tr>
      <w:tr w14:paraId="56F2AFD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798A0748">
            <w:pPr>
              <w:pStyle w:val="27"/>
              <w:rPr>
                <w:rFonts w:ascii="Times New Roman" w:hAnsi="Times New Roman" w:eastAsia="宋体"/>
                <w:highlight w:val="none"/>
              </w:rPr>
            </w:pPr>
          </w:p>
        </w:tc>
        <w:tc>
          <w:tcPr>
            <w:tcW w:w="750" w:type="dxa"/>
            <w:vMerge w:val="continue"/>
            <w:noWrap w:val="0"/>
            <w:vAlign w:val="center"/>
          </w:tcPr>
          <w:p w14:paraId="7D3E6998">
            <w:pPr>
              <w:pStyle w:val="27"/>
              <w:rPr>
                <w:rFonts w:ascii="Times New Roman" w:hAnsi="Times New Roman" w:eastAsia="宋体"/>
                <w:highlight w:val="none"/>
              </w:rPr>
            </w:pPr>
          </w:p>
        </w:tc>
        <w:tc>
          <w:tcPr>
            <w:tcW w:w="1215" w:type="dxa"/>
            <w:vMerge w:val="continue"/>
            <w:noWrap w:val="0"/>
            <w:vAlign w:val="center"/>
          </w:tcPr>
          <w:p w14:paraId="2C950033">
            <w:pPr>
              <w:pStyle w:val="27"/>
              <w:rPr>
                <w:rFonts w:ascii="Times New Roman" w:hAnsi="Times New Roman" w:eastAsia="宋体"/>
                <w:highlight w:val="none"/>
              </w:rPr>
            </w:pPr>
          </w:p>
        </w:tc>
        <w:tc>
          <w:tcPr>
            <w:tcW w:w="993" w:type="dxa"/>
            <w:vMerge w:val="continue"/>
            <w:noWrap w:val="0"/>
            <w:vAlign w:val="center"/>
          </w:tcPr>
          <w:p w14:paraId="15DD8987">
            <w:pPr>
              <w:pStyle w:val="27"/>
              <w:rPr>
                <w:rFonts w:ascii="Times New Roman" w:hAnsi="Times New Roman" w:eastAsia="宋体"/>
                <w:highlight w:val="none"/>
              </w:rPr>
            </w:pPr>
          </w:p>
        </w:tc>
        <w:tc>
          <w:tcPr>
            <w:tcW w:w="2442" w:type="dxa"/>
            <w:noWrap w:val="0"/>
            <w:vAlign w:val="center"/>
          </w:tcPr>
          <w:p w14:paraId="3A479EFC">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1.20~4.1使用58MW+35t/h锅炉</w:t>
            </w:r>
            <w:r>
              <w:rPr>
                <w:rFonts w:hint="eastAsia" w:ascii="Times New Roman" w:hAnsi="Times New Roman" w:eastAsia="宋体"/>
                <w:highlight w:val="none"/>
                <w:lang w:eastAsia="zh-CN"/>
              </w:rPr>
              <w:t>）</w:t>
            </w:r>
          </w:p>
        </w:tc>
        <w:tc>
          <w:tcPr>
            <w:tcW w:w="1939" w:type="dxa"/>
            <w:noWrap w:val="0"/>
            <w:vAlign w:val="center"/>
          </w:tcPr>
          <w:p w14:paraId="6F6EB7A5">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105</w:t>
            </w:r>
          </w:p>
        </w:tc>
      </w:tr>
      <w:tr w14:paraId="7A6432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000F7292">
            <w:pPr>
              <w:pStyle w:val="27"/>
              <w:rPr>
                <w:rFonts w:ascii="Times New Roman" w:hAnsi="Times New Roman" w:eastAsia="宋体"/>
                <w:highlight w:val="none"/>
              </w:rPr>
            </w:pPr>
          </w:p>
        </w:tc>
        <w:tc>
          <w:tcPr>
            <w:tcW w:w="750" w:type="dxa"/>
            <w:vMerge w:val="continue"/>
            <w:noWrap w:val="0"/>
            <w:vAlign w:val="center"/>
          </w:tcPr>
          <w:p w14:paraId="1DFDAA1B">
            <w:pPr>
              <w:pStyle w:val="27"/>
              <w:rPr>
                <w:rFonts w:ascii="Times New Roman" w:hAnsi="Times New Roman" w:eastAsia="宋体"/>
                <w:highlight w:val="none"/>
              </w:rPr>
            </w:pPr>
          </w:p>
        </w:tc>
        <w:tc>
          <w:tcPr>
            <w:tcW w:w="1215" w:type="dxa"/>
            <w:vMerge w:val="continue"/>
            <w:noWrap w:val="0"/>
            <w:vAlign w:val="center"/>
          </w:tcPr>
          <w:p w14:paraId="37F09750">
            <w:pPr>
              <w:pStyle w:val="27"/>
              <w:rPr>
                <w:rFonts w:ascii="Times New Roman" w:hAnsi="Times New Roman" w:eastAsia="宋体"/>
                <w:highlight w:val="none"/>
              </w:rPr>
            </w:pPr>
          </w:p>
        </w:tc>
        <w:tc>
          <w:tcPr>
            <w:tcW w:w="993" w:type="dxa"/>
            <w:vMerge w:val="continue"/>
            <w:noWrap w:val="0"/>
            <w:vAlign w:val="center"/>
          </w:tcPr>
          <w:p w14:paraId="3CFEC269">
            <w:pPr>
              <w:pStyle w:val="27"/>
              <w:rPr>
                <w:rFonts w:ascii="Times New Roman" w:hAnsi="Times New Roman" w:eastAsia="宋体"/>
                <w:highlight w:val="none"/>
              </w:rPr>
            </w:pPr>
          </w:p>
        </w:tc>
        <w:tc>
          <w:tcPr>
            <w:tcW w:w="2442" w:type="dxa"/>
            <w:noWrap w:val="0"/>
            <w:vAlign w:val="center"/>
          </w:tcPr>
          <w:p w14:paraId="374A2073">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4.1~4.30使用58MW锅炉</w:t>
            </w:r>
            <w:r>
              <w:rPr>
                <w:rFonts w:hint="eastAsia" w:ascii="Times New Roman" w:hAnsi="Times New Roman" w:eastAsia="宋体"/>
                <w:highlight w:val="none"/>
                <w:lang w:eastAsia="zh-CN"/>
              </w:rPr>
              <w:t>）</w:t>
            </w:r>
          </w:p>
        </w:tc>
        <w:tc>
          <w:tcPr>
            <w:tcW w:w="1939" w:type="dxa"/>
            <w:noWrap w:val="0"/>
            <w:vAlign w:val="center"/>
          </w:tcPr>
          <w:p w14:paraId="50B4208A">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74</w:t>
            </w:r>
          </w:p>
        </w:tc>
      </w:tr>
      <w:tr w14:paraId="16FCA65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15533BE0">
            <w:pPr>
              <w:pStyle w:val="27"/>
              <w:rPr>
                <w:rFonts w:ascii="Times New Roman" w:hAnsi="Times New Roman" w:eastAsia="宋体"/>
                <w:highlight w:val="none"/>
              </w:rPr>
            </w:pPr>
          </w:p>
        </w:tc>
        <w:tc>
          <w:tcPr>
            <w:tcW w:w="750" w:type="dxa"/>
            <w:vMerge w:val="continue"/>
            <w:noWrap w:val="0"/>
            <w:vAlign w:val="center"/>
          </w:tcPr>
          <w:p w14:paraId="4A0BF25C">
            <w:pPr>
              <w:pStyle w:val="27"/>
              <w:rPr>
                <w:rFonts w:ascii="Times New Roman" w:hAnsi="Times New Roman" w:eastAsia="宋体"/>
                <w:highlight w:val="none"/>
              </w:rPr>
            </w:pPr>
          </w:p>
        </w:tc>
        <w:tc>
          <w:tcPr>
            <w:tcW w:w="1215" w:type="dxa"/>
            <w:vMerge w:val="continue"/>
            <w:noWrap w:val="0"/>
            <w:vAlign w:val="center"/>
          </w:tcPr>
          <w:p w14:paraId="22D61E7A">
            <w:pPr>
              <w:pStyle w:val="27"/>
              <w:rPr>
                <w:rFonts w:ascii="Times New Roman" w:hAnsi="Times New Roman" w:eastAsia="宋体"/>
                <w:highlight w:val="none"/>
              </w:rPr>
            </w:pPr>
          </w:p>
        </w:tc>
        <w:tc>
          <w:tcPr>
            <w:tcW w:w="993" w:type="dxa"/>
            <w:vMerge w:val="continue"/>
            <w:noWrap w:val="0"/>
            <w:vAlign w:val="center"/>
          </w:tcPr>
          <w:p w14:paraId="5260A8EF">
            <w:pPr>
              <w:pStyle w:val="27"/>
              <w:rPr>
                <w:rFonts w:ascii="Times New Roman" w:hAnsi="Times New Roman" w:eastAsia="宋体"/>
                <w:highlight w:val="none"/>
              </w:rPr>
            </w:pPr>
          </w:p>
        </w:tc>
        <w:tc>
          <w:tcPr>
            <w:tcW w:w="2442" w:type="dxa"/>
            <w:noWrap w:val="0"/>
            <w:vAlign w:val="center"/>
          </w:tcPr>
          <w:p w14:paraId="1010F390">
            <w:pPr>
              <w:pStyle w:val="27"/>
              <w:rPr>
                <w:rFonts w:ascii="Times New Roman" w:hAnsi="Times New Roman" w:eastAsia="宋体"/>
                <w:highlight w:val="none"/>
              </w:rPr>
            </w:pPr>
            <w:r>
              <w:rPr>
                <w:rFonts w:ascii="Times New Roman" w:hAnsi="Times New Roman" w:eastAsia="宋体"/>
                <w:highlight w:val="none"/>
              </w:rPr>
              <w:t>t/a</w:t>
            </w:r>
          </w:p>
        </w:tc>
        <w:tc>
          <w:tcPr>
            <w:tcW w:w="1939" w:type="dxa"/>
            <w:noWrap w:val="0"/>
            <w:vAlign w:val="center"/>
          </w:tcPr>
          <w:p w14:paraId="433911C6">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687.024</w:t>
            </w:r>
          </w:p>
        </w:tc>
      </w:tr>
      <w:tr w14:paraId="14C3008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0415AEBE">
            <w:pPr>
              <w:pStyle w:val="27"/>
              <w:rPr>
                <w:rFonts w:ascii="Times New Roman" w:hAnsi="Times New Roman" w:eastAsia="宋体"/>
                <w:highlight w:val="none"/>
              </w:rPr>
            </w:pPr>
          </w:p>
        </w:tc>
        <w:tc>
          <w:tcPr>
            <w:tcW w:w="750" w:type="dxa"/>
            <w:vMerge w:val="continue"/>
            <w:noWrap w:val="0"/>
            <w:vAlign w:val="center"/>
          </w:tcPr>
          <w:p w14:paraId="6F2C7CEE">
            <w:pPr>
              <w:pStyle w:val="27"/>
              <w:rPr>
                <w:rFonts w:ascii="Times New Roman" w:hAnsi="Times New Roman" w:eastAsia="宋体"/>
                <w:highlight w:val="none"/>
              </w:rPr>
            </w:pPr>
          </w:p>
        </w:tc>
        <w:tc>
          <w:tcPr>
            <w:tcW w:w="1215" w:type="dxa"/>
            <w:noWrap w:val="0"/>
            <w:vAlign w:val="center"/>
          </w:tcPr>
          <w:p w14:paraId="0D39BD33">
            <w:pPr>
              <w:pStyle w:val="27"/>
              <w:rPr>
                <w:rFonts w:ascii="Times New Roman" w:hAnsi="Times New Roman" w:eastAsia="宋体"/>
                <w:highlight w:val="none"/>
              </w:rPr>
            </w:pPr>
            <w:r>
              <w:rPr>
                <w:rFonts w:ascii="Times New Roman" w:hAnsi="Times New Roman" w:eastAsia="宋体"/>
                <w:highlight w:val="none"/>
              </w:rPr>
              <w:t>预测排放浓度</w:t>
            </w:r>
          </w:p>
        </w:tc>
        <w:tc>
          <w:tcPr>
            <w:tcW w:w="993" w:type="dxa"/>
            <w:noWrap w:val="0"/>
            <w:vAlign w:val="center"/>
          </w:tcPr>
          <w:p w14:paraId="01E7CD4B">
            <w:pPr>
              <w:pStyle w:val="27"/>
              <w:rPr>
                <w:rFonts w:ascii="Times New Roman" w:hAnsi="Times New Roman" w:eastAsia="宋体"/>
                <w:highlight w:val="none"/>
              </w:rPr>
            </w:pPr>
            <w:r>
              <w:rPr>
                <w:rFonts w:ascii="Times New Roman" w:hAnsi="Times New Roman" w:eastAsia="宋体"/>
                <w:highlight w:val="none"/>
              </w:rPr>
              <w:t>C</w:t>
            </w:r>
            <w:r>
              <w:rPr>
                <w:rFonts w:ascii="Times New Roman" w:hAnsi="Times New Roman" w:eastAsia="宋体"/>
                <w:highlight w:val="none"/>
                <w:vertAlign w:val="subscript"/>
              </w:rPr>
              <w:t>NOx</w:t>
            </w:r>
          </w:p>
        </w:tc>
        <w:tc>
          <w:tcPr>
            <w:tcW w:w="2442" w:type="dxa"/>
            <w:noWrap w:val="0"/>
            <w:vAlign w:val="center"/>
          </w:tcPr>
          <w:p w14:paraId="3809A785">
            <w:pPr>
              <w:pStyle w:val="27"/>
              <w:rPr>
                <w:rFonts w:ascii="Times New Roman" w:hAnsi="Times New Roman" w:eastAsia="宋体"/>
                <w:highlight w:val="none"/>
              </w:rPr>
            </w:pPr>
            <w:r>
              <w:rPr>
                <w:rFonts w:ascii="Times New Roman" w:hAnsi="Times New Roman" w:eastAsia="宋体"/>
                <w:highlight w:val="none"/>
              </w:rPr>
              <w:t>mg/m</w:t>
            </w:r>
            <w:r>
              <w:rPr>
                <w:rFonts w:ascii="Times New Roman" w:hAnsi="Times New Roman" w:eastAsia="宋体"/>
                <w:highlight w:val="none"/>
                <w:vertAlign w:val="superscript"/>
              </w:rPr>
              <w:t>3</w:t>
            </w:r>
          </w:p>
        </w:tc>
        <w:tc>
          <w:tcPr>
            <w:tcW w:w="1939" w:type="dxa"/>
            <w:noWrap w:val="0"/>
            <w:vAlign w:val="center"/>
          </w:tcPr>
          <w:p w14:paraId="617DC928">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9.07</w:t>
            </w:r>
          </w:p>
        </w:tc>
      </w:tr>
      <w:tr w14:paraId="44A880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348C5E7F">
            <w:pPr>
              <w:pStyle w:val="27"/>
              <w:rPr>
                <w:rFonts w:ascii="Times New Roman" w:hAnsi="Times New Roman" w:eastAsia="宋体"/>
                <w:highlight w:val="none"/>
              </w:rPr>
            </w:pPr>
          </w:p>
        </w:tc>
        <w:tc>
          <w:tcPr>
            <w:tcW w:w="750" w:type="dxa"/>
            <w:vMerge w:val="continue"/>
            <w:noWrap w:val="0"/>
            <w:vAlign w:val="center"/>
          </w:tcPr>
          <w:p w14:paraId="299F713B">
            <w:pPr>
              <w:pStyle w:val="27"/>
              <w:rPr>
                <w:rFonts w:ascii="Times New Roman" w:hAnsi="Times New Roman" w:eastAsia="宋体"/>
                <w:highlight w:val="none"/>
              </w:rPr>
            </w:pPr>
          </w:p>
        </w:tc>
        <w:tc>
          <w:tcPr>
            <w:tcW w:w="1215" w:type="dxa"/>
            <w:noWrap w:val="0"/>
            <w:vAlign w:val="center"/>
          </w:tcPr>
          <w:p w14:paraId="33D70E80">
            <w:pPr>
              <w:pStyle w:val="27"/>
              <w:rPr>
                <w:rFonts w:ascii="Times New Roman" w:hAnsi="Times New Roman" w:eastAsia="宋体"/>
                <w:highlight w:val="none"/>
              </w:rPr>
            </w:pPr>
            <w:r>
              <w:rPr>
                <w:rFonts w:ascii="Times New Roman" w:hAnsi="Times New Roman" w:eastAsia="宋体"/>
                <w:highlight w:val="none"/>
              </w:rPr>
              <w:t>达标排放浓度</w:t>
            </w:r>
          </w:p>
        </w:tc>
        <w:tc>
          <w:tcPr>
            <w:tcW w:w="993" w:type="dxa"/>
            <w:noWrap w:val="0"/>
            <w:vAlign w:val="center"/>
          </w:tcPr>
          <w:p w14:paraId="1611A7CB">
            <w:pPr>
              <w:pStyle w:val="27"/>
              <w:rPr>
                <w:rFonts w:ascii="Times New Roman" w:hAnsi="Times New Roman" w:eastAsia="宋体"/>
                <w:highlight w:val="none"/>
              </w:rPr>
            </w:pPr>
            <w:r>
              <w:rPr>
                <w:rFonts w:ascii="Times New Roman" w:hAnsi="Times New Roman" w:eastAsia="宋体"/>
                <w:highlight w:val="none"/>
              </w:rPr>
              <w:t>C</w:t>
            </w:r>
            <w:r>
              <w:rPr>
                <w:rFonts w:ascii="Times New Roman" w:hAnsi="Times New Roman" w:eastAsia="宋体"/>
                <w:highlight w:val="none"/>
                <w:vertAlign w:val="subscript"/>
              </w:rPr>
              <w:t>NOx</w:t>
            </w:r>
          </w:p>
        </w:tc>
        <w:tc>
          <w:tcPr>
            <w:tcW w:w="2442" w:type="dxa"/>
            <w:noWrap w:val="0"/>
            <w:vAlign w:val="center"/>
          </w:tcPr>
          <w:p w14:paraId="2B635173">
            <w:pPr>
              <w:pStyle w:val="27"/>
              <w:rPr>
                <w:rFonts w:ascii="Times New Roman" w:hAnsi="Times New Roman" w:eastAsia="宋体"/>
                <w:highlight w:val="none"/>
              </w:rPr>
            </w:pPr>
            <w:r>
              <w:rPr>
                <w:rFonts w:ascii="Times New Roman" w:hAnsi="Times New Roman" w:eastAsia="宋体"/>
                <w:highlight w:val="none"/>
              </w:rPr>
              <w:t>mg/m</w:t>
            </w:r>
            <w:r>
              <w:rPr>
                <w:rFonts w:ascii="Times New Roman" w:hAnsi="Times New Roman" w:eastAsia="宋体"/>
                <w:highlight w:val="none"/>
                <w:vertAlign w:val="superscript"/>
              </w:rPr>
              <w:t>3</w:t>
            </w:r>
          </w:p>
        </w:tc>
        <w:tc>
          <w:tcPr>
            <w:tcW w:w="1939" w:type="dxa"/>
            <w:noWrap w:val="0"/>
            <w:vAlign w:val="center"/>
          </w:tcPr>
          <w:p w14:paraId="20105378">
            <w:pPr>
              <w:pStyle w:val="27"/>
              <w:rPr>
                <w:rFonts w:ascii="Times New Roman" w:hAnsi="Times New Roman" w:eastAsia="宋体"/>
                <w:highlight w:val="none"/>
              </w:rPr>
            </w:pPr>
            <w:r>
              <w:rPr>
                <w:rFonts w:ascii="Times New Roman" w:hAnsi="Times New Roman" w:eastAsia="宋体"/>
                <w:highlight w:val="none"/>
              </w:rPr>
              <w:t>50</w:t>
            </w:r>
          </w:p>
        </w:tc>
      </w:tr>
      <w:tr w14:paraId="7744A44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058" w:type="dxa"/>
            <w:vMerge w:val="continue"/>
            <w:noWrap w:val="0"/>
            <w:vAlign w:val="center"/>
          </w:tcPr>
          <w:p w14:paraId="7EC1D7E9">
            <w:pPr>
              <w:pStyle w:val="27"/>
              <w:rPr>
                <w:rFonts w:ascii="Times New Roman" w:hAnsi="Times New Roman" w:eastAsia="宋体"/>
                <w:highlight w:val="none"/>
              </w:rPr>
            </w:pPr>
          </w:p>
        </w:tc>
        <w:tc>
          <w:tcPr>
            <w:tcW w:w="750" w:type="dxa"/>
            <w:vMerge w:val="continue"/>
            <w:noWrap w:val="0"/>
            <w:vAlign w:val="center"/>
          </w:tcPr>
          <w:p w14:paraId="6B36140F">
            <w:pPr>
              <w:pStyle w:val="27"/>
              <w:rPr>
                <w:rFonts w:ascii="Times New Roman" w:hAnsi="Times New Roman" w:eastAsia="宋体"/>
                <w:highlight w:val="none"/>
              </w:rPr>
            </w:pPr>
          </w:p>
        </w:tc>
        <w:tc>
          <w:tcPr>
            <w:tcW w:w="1215" w:type="dxa"/>
            <w:vMerge w:val="restart"/>
            <w:noWrap w:val="0"/>
            <w:vAlign w:val="center"/>
          </w:tcPr>
          <w:p w14:paraId="049C89F4">
            <w:pPr>
              <w:pStyle w:val="27"/>
              <w:rPr>
                <w:rFonts w:ascii="Times New Roman" w:hAnsi="Times New Roman" w:eastAsia="宋体"/>
                <w:highlight w:val="none"/>
              </w:rPr>
            </w:pPr>
            <w:r>
              <w:rPr>
                <w:rFonts w:ascii="Times New Roman" w:hAnsi="Times New Roman" w:eastAsia="宋体"/>
                <w:highlight w:val="none"/>
              </w:rPr>
              <w:t>排放量</w:t>
            </w:r>
          </w:p>
        </w:tc>
        <w:tc>
          <w:tcPr>
            <w:tcW w:w="993" w:type="dxa"/>
            <w:vMerge w:val="restart"/>
            <w:noWrap w:val="0"/>
            <w:vAlign w:val="center"/>
          </w:tcPr>
          <w:p w14:paraId="28D6FB5A">
            <w:pPr>
              <w:pStyle w:val="27"/>
              <w:rPr>
                <w:rFonts w:ascii="Times New Roman" w:hAnsi="Times New Roman" w:eastAsia="宋体"/>
                <w:highlight w:val="none"/>
              </w:rPr>
            </w:pPr>
            <w:r>
              <w:rPr>
                <w:rFonts w:ascii="Times New Roman" w:hAnsi="Times New Roman" w:eastAsia="宋体"/>
                <w:highlight w:val="none"/>
              </w:rPr>
              <w:t>M</w:t>
            </w:r>
            <w:r>
              <w:rPr>
                <w:rFonts w:ascii="Times New Roman" w:hAnsi="Times New Roman" w:eastAsia="宋体"/>
                <w:highlight w:val="none"/>
                <w:vertAlign w:val="subscript"/>
              </w:rPr>
              <w:t>NOx</w:t>
            </w:r>
          </w:p>
        </w:tc>
        <w:tc>
          <w:tcPr>
            <w:tcW w:w="2442" w:type="dxa"/>
            <w:noWrap w:val="0"/>
            <w:vAlign w:val="center"/>
          </w:tcPr>
          <w:p w14:paraId="3E50AA2B">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10.10~10.25使用116MW锅炉</w:t>
            </w:r>
            <w:r>
              <w:rPr>
                <w:rFonts w:hint="eastAsia" w:ascii="Times New Roman" w:hAnsi="Times New Roman" w:eastAsia="宋体"/>
                <w:highlight w:val="none"/>
                <w:lang w:eastAsia="zh-CN"/>
              </w:rPr>
              <w:t>）</w:t>
            </w:r>
          </w:p>
        </w:tc>
        <w:tc>
          <w:tcPr>
            <w:tcW w:w="1939" w:type="dxa"/>
            <w:noWrap w:val="0"/>
            <w:vAlign w:val="center"/>
          </w:tcPr>
          <w:p w14:paraId="27A397E0">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2.4</w:t>
            </w:r>
          </w:p>
        </w:tc>
      </w:tr>
      <w:tr w14:paraId="698B73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0B6530EB">
            <w:pPr>
              <w:pStyle w:val="27"/>
              <w:rPr>
                <w:rFonts w:ascii="Times New Roman" w:hAnsi="Times New Roman" w:eastAsia="宋体"/>
                <w:highlight w:val="none"/>
              </w:rPr>
            </w:pPr>
          </w:p>
        </w:tc>
        <w:tc>
          <w:tcPr>
            <w:tcW w:w="750" w:type="dxa"/>
            <w:vMerge w:val="continue"/>
            <w:noWrap w:val="0"/>
            <w:vAlign w:val="center"/>
          </w:tcPr>
          <w:p w14:paraId="42668A5D">
            <w:pPr>
              <w:pStyle w:val="27"/>
              <w:rPr>
                <w:rFonts w:ascii="Times New Roman" w:hAnsi="Times New Roman" w:eastAsia="宋体"/>
                <w:highlight w:val="none"/>
              </w:rPr>
            </w:pPr>
          </w:p>
        </w:tc>
        <w:tc>
          <w:tcPr>
            <w:tcW w:w="1215" w:type="dxa"/>
            <w:vMerge w:val="continue"/>
            <w:noWrap w:val="0"/>
            <w:vAlign w:val="center"/>
          </w:tcPr>
          <w:p w14:paraId="3A949A28">
            <w:pPr>
              <w:pStyle w:val="27"/>
              <w:rPr>
                <w:rFonts w:ascii="Times New Roman" w:hAnsi="Times New Roman" w:eastAsia="宋体"/>
                <w:highlight w:val="none"/>
              </w:rPr>
            </w:pPr>
          </w:p>
        </w:tc>
        <w:tc>
          <w:tcPr>
            <w:tcW w:w="993" w:type="dxa"/>
            <w:vMerge w:val="continue"/>
            <w:noWrap w:val="0"/>
            <w:vAlign w:val="center"/>
          </w:tcPr>
          <w:p w14:paraId="005E0503">
            <w:pPr>
              <w:pStyle w:val="27"/>
              <w:rPr>
                <w:rFonts w:ascii="Times New Roman" w:hAnsi="Times New Roman" w:eastAsia="宋体"/>
                <w:highlight w:val="none"/>
              </w:rPr>
            </w:pPr>
          </w:p>
        </w:tc>
        <w:tc>
          <w:tcPr>
            <w:tcW w:w="2442" w:type="dxa"/>
            <w:noWrap w:val="0"/>
            <w:vAlign w:val="center"/>
          </w:tcPr>
          <w:p w14:paraId="117EA219">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10.25~12.15使用58MW+35t/h锅炉</w:t>
            </w:r>
            <w:r>
              <w:rPr>
                <w:rFonts w:hint="eastAsia" w:ascii="Times New Roman" w:hAnsi="Times New Roman" w:eastAsia="宋体"/>
                <w:highlight w:val="none"/>
                <w:lang w:eastAsia="zh-CN"/>
              </w:rPr>
              <w:t>）</w:t>
            </w:r>
          </w:p>
        </w:tc>
        <w:tc>
          <w:tcPr>
            <w:tcW w:w="1939" w:type="dxa"/>
            <w:noWrap w:val="0"/>
            <w:vAlign w:val="center"/>
          </w:tcPr>
          <w:p w14:paraId="398AEFE2">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1.05</w:t>
            </w:r>
          </w:p>
        </w:tc>
      </w:tr>
      <w:tr w14:paraId="72181E2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5B848858">
            <w:pPr>
              <w:pStyle w:val="27"/>
              <w:rPr>
                <w:rFonts w:ascii="Times New Roman" w:hAnsi="Times New Roman" w:eastAsia="宋体"/>
                <w:highlight w:val="none"/>
              </w:rPr>
            </w:pPr>
          </w:p>
        </w:tc>
        <w:tc>
          <w:tcPr>
            <w:tcW w:w="750" w:type="dxa"/>
            <w:vMerge w:val="continue"/>
            <w:noWrap w:val="0"/>
            <w:vAlign w:val="center"/>
          </w:tcPr>
          <w:p w14:paraId="694E6D8C">
            <w:pPr>
              <w:pStyle w:val="27"/>
              <w:rPr>
                <w:rFonts w:ascii="Times New Roman" w:hAnsi="Times New Roman" w:eastAsia="宋体"/>
                <w:highlight w:val="none"/>
              </w:rPr>
            </w:pPr>
          </w:p>
        </w:tc>
        <w:tc>
          <w:tcPr>
            <w:tcW w:w="1215" w:type="dxa"/>
            <w:vMerge w:val="continue"/>
            <w:noWrap w:val="0"/>
            <w:vAlign w:val="center"/>
          </w:tcPr>
          <w:p w14:paraId="77B1A15F">
            <w:pPr>
              <w:pStyle w:val="27"/>
              <w:rPr>
                <w:rFonts w:ascii="Times New Roman" w:hAnsi="Times New Roman" w:eastAsia="宋体"/>
                <w:highlight w:val="none"/>
              </w:rPr>
            </w:pPr>
          </w:p>
        </w:tc>
        <w:tc>
          <w:tcPr>
            <w:tcW w:w="993" w:type="dxa"/>
            <w:vMerge w:val="continue"/>
            <w:noWrap w:val="0"/>
            <w:vAlign w:val="center"/>
          </w:tcPr>
          <w:p w14:paraId="51531DF9">
            <w:pPr>
              <w:pStyle w:val="27"/>
              <w:rPr>
                <w:rFonts w:ascii="Times New Roman" w:hAnsi="Times New Roman" w:eastAsia="宋体"/>
                <w:highlight w:val="none"/>
              </w:rPr>
            </w:pPr>
          </w:p>
        </w:tc>
        <w:tc>
          <w:tcPr>
            <w:tcW w:w="2442" w:type="dxa"/>
            <w:noWrap w:val="0"/>
            <w:vAlign w:val="center"/>
          </w:tcPr>
          <w:p w14:paraId="4699602D">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12.15~1.20使用116MW+35t/h锅炉</w:t>
            </w:r>
            <w:r>
              <w:rPr>
                <w:rFonts w:hint="eastAsia" w:ascii="Times New Roman" w:hAnsi="Times New Roman" w:eastAsia="宋体"/>
                <w:highlight w:val="none"/>
                <w:lang w:eastAsia="zh-CN"/>
              </w:rPr>
              <w:t>）</w:t>
            </w:r>
          </w:p>
        </w:tc>
        <w:tc>
          <w:tcPr>
            <w:tcW w:w="1939" w:type="dxa"/>
            <w:noWrap w:val="0"/>
            <w:vAlign w:val="center"/>
          </w:tcPr>
          <w:p w14:paraId="50404739">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2.71</w:t>
            </w:r>
          </w:p>
        </w:tc>
      </w:tr>
      <w:tr w14:paraId="2CCB9B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6B68D831">
            <w:pPr>
              <w:pStyle w:val="27"/>
              <w:rPr>
                <w:rFonts w:ascii="Times New Roman" w:hAnsi="Times New Roman" w:eastAsia="宋体"/>
                <w:highlight w:val="none"/>
              </w:rPr>
            </w:pPr>
          </w:p>
        </w:tc>
        <w:tc>
          <w:tcPr>
            <w:tcW w:w="750" w:type="dxa"/>
            <w:vMerge w:val="continue"/>
            <w:noWrap w:val="0"/>
            <w:vAlign w:val="center"/>
          </w:tcPr>
          <w:p w14:paraId="7AFFB7E7">
            <w:pPr>
              <w:pStyle w:val="27"/>
              <w:rPr>
                <w:rFonts w:ascii="Times New Roman" w:hAnsi="Times New Roman" w:eastAsia="宋体"/>
                <w:highlight w:val="none"/>
              </w:rPr>
            </w:pPr>
          </w:p>
        </w:tc>
        <w:tc>
          <w:tcPr>
            <w:tcW w:w="1215" w:type="dxa"/>
            <w:vMerge w:val="continue"/>
            <w:noWrap w:val="0"/>
            <w:vAlign w:val="center"/>
          </w:tcPr>
          <w:p w14:paraId="5541E766">
            <w:pPr>
              <w:pStyle w:val="27"/>
              <w:rPr>
                <w:rFonts w:ascii="Times New Roman" w:hAnsi="Times New Roman" w:eastAsia="宋体"/>
                <w:highlight w:val="none"/>
              </w:rPr>
            </w:pPr>
          </w:p>
        </w:tc>
        <w:tc>
          <w:tcPr>
            <w:tcW w:w="993" w:type="dxa"/>
            <w:vMerge w:val="continue"/>
            <w:noWrap w:val="0"/>
            <w:vAlign w:val="center"/>
          </w:tcPr>
          <w:p w14:paraId="62A2687B">
            <w:pPr>
              <w:pStyle w:val="27"/>
              <w:rPr>
                <w:rFonts w:ascii="Times New Roman" w:hAnsi="Times New Roman" w:eastAsia="宋体"/>
                <w:highlight w:val="none"/>
              </w:rPr>
            </w:pPr>
          </w:p>
        </w:tc>
        <w:tc>
          <w:tcPr>
            <w:tcW w:w="2442" w:type="dxa"/>
            <w:noWrap w:val="0"/>
            <w:vAlign w:val="center"/>
          </w:tcPr>
          <w:p w14:paraId="5D60209D">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1.20~4.1使用58MW+35t/h锅炉</w:t>
            </w:r>
            <w:r>
              <w:rPr>
                <w:rFonts w:hint="eastAsia" w:ascii="Times New Roman" w:hAnsi="Times New Roman" w:eastAsia="宋体"/>
                <w:highlight w:val="none"/>
                <w:lang w:eastAsia="zh-CN"/>
              </w:rPr>
              <w:t>）</w:t>
            </w:r>
          </w:p>
        </w:tc>
        <w:tc>
          <w:tcPr>
            <w:tcW w:w="1939" w:type="dxa"/>
            <w:noWrap w:val="0"/>
            <w:vAlign w:val="center"/>
          </w:tcPr>
          <w:p w14:paraId="7E7C9979">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1.05</w:t>
            </w:r>
          </w:p>
        </w:tc>
      </w:tr>
      <w:tr w14:paraId="7B8EC7F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37F31797">
            <w:pPr>
              <w:pStyle w:val="27"/>
              <w:rPr>
                <w:rFonts w:ascii="Times New Roman" w:hAnsi="Times New Roman" w:eastAsia="宋体"/>
                <w:highlight w:val="none"/>
              </w:rPr>
            </w:pPr>
          </w:p>
        </w:tc>
        <w:tc>
          <w:tcPr>
            <w:tcW w:w="750" w:type="dxa"/>
            <w:vMerge w:val="continue"/>
            <w:noWrap w:val="0"/>
            <w:vAlign w:val="center"/>
          </w:tcPr>
          <w:p w14:paraId="7DC39943">
            <w:pPr>
              <w:pStyle w:val="27"/>
              <w:rPr>
                <w:rFonts w:ascii="Times New Roman" w:hAnsi="Times New Roman" w:eastAsia="宋体"/>
                <w:highlight w:val="none"/>
              </w:rPr>
            </w:pPr>
          </w:p>
        </w:tc>
        <w:tc>
          <w:tcPr>
            <w:tcW w:w="1215" w:type="dxa"/>
            <w:vMerge w:val="continue"/>
            <w:noWrap w:val="0"/>
            <w:vAlign w:val="center"/>
          </w:tcPr>
          <w:p w14:paraId="20600932">
            <w:pPr>
              <w:pStyle w:val="27"/>
              <w:rPr>
                <w:rFonts w:ascii="Times New Roman" w:hAnsi="Times New Roman" w:eastAsia="宋体"/>
                <w:highlight w:val="none"/>
              </w:rPr>
            </w:pPr>
          </w:p>
        </w:tc>
        <w:tc>
          <w:tcPr>
            <w:tcW w:w="993" w:type="dxa"/>
            <w:vMerge w:val="continue"/>
            <w:noWrap w:val="0"/>
            <w:vAlign w:val="center"/>
          </w:tcPr>
          <w:p w14:paraId="40C4621E">
            <w:pPr>
              <w:pStyle w:val="27"/>
              <w:rPr>
                <w:rFonts w:ascii="Times New Roman" w:hAnsi="Times New Roman" w:eastAsia="宋体"/>
                <w:highlight w:val="none"/>
              </w:rPr>
            </w:pPr>
          </w:p>
        </w:tc>
        <w:tc>
          <w:tcPr>
            <w:tcW w:w="2442" w:type="dxa"/>
            <w:noWrap w:val="0"/>
            <w:vAlign w:val="center"/>
          </w:tcPr>
          <w:p w14:paraId="713E2E20">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4.1~4.30使用58MW锅炉</w:t>
            </w:r>
            <w:r>
              <w:rPr>
                <w:rFonts w:hint="eastAsia" w:ascii="Times New Roman" w:hAnsi="Times New Roman" w:eastAsia="宋体"/>
                <w:highlight w:val="none"/>
                <w:lang w:eastAsia="zh-CN"/>
              </w:rPr>
              <w:t>）</w:t>
            </w:r>
          </w:p>
        </w:tc>
        <w:tc>
          <w:tcPr>
            <w:tcW w:w="1939" w:type="dxa"/>
            <w:noWrap w:val="0"/>
            <w:vAlign w:val="center"/>
          </w:tcPr>
          <w:p w14:paraId="699566AE">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0.31</w:t>
            </w:r>
          </w:p>
        </w:tc>
      </w:tr>
      <w:tr w14:paraId="35025B8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4A43C03C">
            <w:pPr>
              <w:widowControl/>
              <w:spacing w:line="240" w:lineRule="auto"/>
              <w:ind w:firstLine="0" w:firstLineChars="0"/>
              <w:jc w:val="left"/>
              <w:rPr>
                <w:rFonts w:ascii="Times New Roman" w:hAnsi="Times New Roman"/>
                <w:sz w:val="21"/>
                <w:highlight w:val="none"/>
              </w:rPr>
            </w:pPr>
          </w:p>
        </w:tc>
        <w:tc>
          <w:tcPr>
            <w:tcW w:w="750" w:type="dxa"/>
            <w:vMerge w:val="continue"/>
            <w:noWrap w:val="0"/>
            <w:vAlign w:val="center"/>
          </w:tcPr>
          <w:p w14:paraId="248146E8">
            <w:pPr>
              <w:pStyle w:val="27"/>
              <w:rPr>
                <w:rFonts w:ascii="Times New Roman" w:hAnsi="Times New Roman" w:eastAsia="宋体"/>
                <w:highlight w:val="none"/>
              </w:rPr>
            </w:pPr>
          </w:p>
        </w:tc>
        <w:tc>
          <w:tcPr>
            <w:tcW w:w="1215" w:type="dxa"/>
            <w:vMerge w:val="continue"/>
            <w:noWrap w:val="0"/>
            <w:vAlign w:val="center"/>
          </w:tcPr>
          <w:p w14:paraId="025AA64F">
            <w:pPr>
              <w:pStyle w:val="27"/>
              <w:rPr>
                <w:rFonts w:ascii="Times New Roman" w:hAnsi="Times New Roman" w:eastAsia="宋体"/>
                <w:highlight w:val="none"/>
              </w:rPr>
            </w:pPr>
          </w:p>
        </w:tc>
        <w:tc>
          <w:tcPr>
            <w:tcW w:w="993" w:type="dxa"/>
            <w:noWrap w:val="0"/>
            <w:vAlign w:val="center"/>
          </w:tcPr>
          <w:p w14:paraId="59CACD2D">
            <w:pPr>
              <w:pStyle w:val="27"/>
              <w:rPr>
                <w:rFonts w:ascii="Times New Roman" w:hAnsi="Times New Roman" w:eastAsia="宋体"/>
                <w:highlight w:val="none"/>
              </w:rPr>
            </w:pPr>
            <w:r>
              <w:rPr>
                <w:rFonts w:ascii="Times New Roman" w:hAnsi="Times New Roman" w:eastAsia="宋体"/>
                <w:highlight w:val="none"/>
              </w:rPr>
              <w:t>M</w:t>
            </w:r>
            <w:r>
              <w:rPr>
                <w:rFonts w:ascii="Times New Roman" w:hAnsi="Times New Roman" w:eastAsia="宋体"/>
                <w:highlight w:val="none"/>
                <w:vertAlign w:val="subscript"/>
              </w:rPr>
              <w:t>NOx</w:t>
            </w:r>
          </w:p>
        </w:tc>
        <w:tc>
          <w:tcPr>
            <w:tcW w:w="2442" w:type="dxa"/>
            <w:noWrap w:val="0"/>
            <w:vAlign w:val="center"/>
          </w:tcPr>
          <w:p w14:paraId="4FC87609">
            <w:pPr>
              <w:pStyle w:val="27"/>
              <w:rPr>
                <w:rFonts w:ascii="Times New Roman" w:hAnsi="Times New Roman" w:eastAsia="宋体"/>
                <w:highlight w:val="none"/>
              </w:rPr>
            </w:pPr>
            <w:r>
              <w:rPr>
                <w:rFonts w:ascii="Times New Roman" w:hAnsi="Times New Roman" w:eastAsia="宋体"/>
                <w:highlight w:val="none"/>
              </w:rPr>
              <w:t>t/a</w:t>
            </w:r>
          </w:p>
        </w:tc>
        <w:tc>
          <w:tcPr>
            <w:tcW w:w="1939" w:type="dxa"/>
            <w:noWrap w:val="0"/>
            <w:vAlign w:val="center"/>
          </w:tcPr>
          <w:p w14:paraId="0A7DDA49">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6.87</w:t>
            </w:r>
          </w:p>
        </w:tc>
      </w:tr>
      <w:tr w14:paraId="698A2F7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14393899">
            <w:pPr>
              <w:pStyle w:val="27"/>
              <w:rPr>
                <w:rFonts w:ascii="Times New Roman" w:hAnsi="Times New Roman" w:eastAsia="宋体"/>
                <w:highlight w:val="none"/>
              </w:rPr>
            </w:pPr>
          </w:p>
        </w:tc>
        <w:tc>
          <w:tcPr>
            <w:tcW w:w="750" w:type="dxa"/>
            <w:vMerge w:val="restart"/>
            <w:noWrap w:val="0"/>
            <w:vAlign w:val="center"/>
          </w:tcPr>
          <w:p w14:paraId="7467E41E">
            <w:pPr>
              <w:pStyle w:val="27"/>
              <w:rPr>
                <w:rFonts w:ascii="Times New Roman" w:hAnsi="Times New Roman" w:eastAsia="宋体"/>
                <w:highlight w:val="none"/>
              </w:rPr>
            </w:pPr>
            <w:r>
              <w:rPr>
                <w:rFonts w:ascii="Times New Roman" w:hAnsi="Times New Roman" w:eastAsia="宋体"/>
                <w:highlight w:val="none"/>
              </w:rPr>
              <w:t>烟尘</w:t>
            </w:r>
          </w:p>
        </w:tc>
        <w:tc>
          <w:tcPr>
            <w:tcW w:w="1215" w:type="dxa"/>
            <w:noWrap w:val="0"/>
            <w:vAlign w:val="center"/>
          </w:tcPr>
          <w:p w14:paraId="265ACD3E">
            <w:pPr>
              <w:pStyle w:val="27"/>
              <w:rPr>
                <w:rFonts w:ascii="Times New Roman" w:hAnsi="Times New Roman" w:eastAsia="宋体"/>
                <w:highlight w:val="none"/>
              </w:rPr>
            </w:pPr>
            <w:r>
              <w:rPr>
                <w:rFonts w:ascii="Times New Roman" w:hAnsi="Times New Roman" w:eastAsia="宋体"/>
                <w:highlight w:val="none"/>
              </w:rPr>
              <w:t>产生浓度</w:t>
            </w:r>
          </w:p>
        </w:tc>
        <w:tc>
          <w:tcPr>
            <w:tcW w:w="993" w:type="dxa"/>
            <w:noWrap w:val="0"/>
            <w:vAlign w:val="center"/>
          </w:tcPr>
          <w:p w14:paraId="6B886404">
            <w:pPr>
              <w:pStyle w:val="27"/>
              <w:rPr>
                <w:rFonts w:ascii="Times New Roman" w:hAnsi="Times New Roman" w:eastAsia="宋体"/>
                <w:highlight w:val="none"/>
              </w:rPr>
            </w:pPr>
            <w:r>
              <w:rPr>
                <w:rFonts w:ascii="Times New Roman" w:hAnsi="Times New Roman" w:eastAsia="宋体"/>
                <w:highlight w:val="none"/>
              </w:rPr>
              <w:t>C</w:t>
            </w:r>
            <w:r>
              <w:rPr>
                <w:rFonts w:ascii="Times New Roman" w:hAnsi="Times New Roman" w:eastAsia="宋体"/>
                <w:highlight w:val="none"/>
                <w:vertAlign w:val="subscript"/>
              </w:rPr>
              <w:t>A</w:t>
            </w:r>
          </w:p>
        </w:tc>
        <w:tc>
          <w:tcPr>
            <w:tcW w:w="2442" w:type="dxa"/>
            <w:noWrap w:val="0"/>
            <w:vAlign w:val="center"/>
          </w:tcPr>
          <w:p w14:paraId="22FAEA72">
            <w:pPr>
              <w:pStyle w:val="27"/>
              <w:rPr>
                <w:rFonts w:ascii="Times New Roman" w:hAnsi="Times New Roman" w:eastAsia="宋体"/>
                <w:highlight w:val="none"/>
              </w:rPr>
            </w:pPr>
            <w:r>
              <w:rPr>
                <w:rFonts w:ascii="Times New Roman" w:hAnsi="Times New Roman" w:eastAsia="宋体"/>
                <w:highlight w:val="none"/>
              </w:rPr>
              <w:t>mg/m</w:t>
            </w:r>
            <w:r>
              <w:rPr>
                <w:rFonts w:ascii="Times New Roman" w:hAnsi="Times New Roman" w:eastAsia="宋体"/>
                <w:highlight w:val="none"/>
                <w:vertAlign w:val="superscript"/>
              </w:rPr>
              <w:t>3</w:t>
            </w:r>
          </w:p>
        </w:tc>
        <w:tc>
          <w:tcPr>
            <w:tcW w:w="1939" w:type="dxa"/>
            <w:noWrap w:val="0"/>
            <w:vAlign w:val="center"/>
          </w:tcPr>
          <w:p w14:paraId="25452299">
            <w:pPr>
              <w:spacing w:line="240" w:lineRule="auto"/>
              <w:ind w:firstLine="0" w:firstLineChars="0"/>
              <w:jc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8048.04</w:t>
            </w:r>
          </w:p>
        </w:tc>
      </w:tr>
      <w:tr w14:paraId="0DA4D5A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23671057">
            <w:pPr>
              <w:pStyle w:val="27"/>
              <w:rPr>
                <w:rFonts w:ascii="Times New Roman" w:hAnsi="Times New Roman" w:eastAsia="宋体"/>
                <w:highlight w:val="none"/>
              </w:rPr>
            </w:pPr>
          </w:p>
        </w:tc>
        <w:tc>
          <w:tcPr>
            <w:tcW w:w="750" w:type="dxa"/>
            <w:vMerge w:val="continue"/>
            <w:noWrap w:val="0"/>
            <w:vAlign w:val="center"/>
          </w:tcPr>
          <w:p w14:paraId="37090685">
            <w:pPr>
              <w:pStyle w:val="27"/>
              <w:rPr>
                <w:rFonts w:ascii="Times New Roman" w:hAnsi="Times New Roman" w:eastAsia="宋体"/>
                <w:highlight w:val="none"/>
              </w:rPr>
            </w:pPr>
          </w:p>
        </w:tc>
        <w:tc>
          <w:tcPr>
            <w:tcW w:w="1215" w:type="dxa"/>
            <w:vMerge w:val="restart"/>
            <w:noWrap w:val="0"/>
            <w:vAlign w:val="center"/>
          </w:tcPr>
          <w:p w14:paraId="477E96C7">
            <w:pPr>
              <w:pStyle w:val="27"/>
              <w:rPr>
                <w:rFonts w:ascii="Times New Roman" w:hAnsi="Times New Roman" w:eastAsia="宋体"/>
                <w:highlight w:val="none"/>
              </w:rPr>
            </w:pPr>
            <w:r>
              <w:rPr>
                <w:rFonts w:ascii="Times New Roman" w:hAnsi="Times New Roman" w:eastAsia="宋体"/>
                <w:highlight w:val="none"/>
              </w:rPr>
              <w:t>产生量</w:t>
            </w:r>
          </w:p>
        </w:tc>
        <w:tc>
          <w:tcPr>
            <w:tcW w:w="993" w:type="dxa"/>
            <w:vMerge w:val="restart"/>
            <w:noWrap w:val="0"/>
            <w:vAlign w:val="center"/>
          </w:tcPr>
          <w:p w14:paraId="1B97F93E">
            <w:pPr>
              <w:pStyle w:val="27"/>
              <w:rPr>
                <w:rFonts w:ascii="Times New Roman" w:hAnsi="Times New Roman" w:eastAsia="宋体"/>
                <w:highlight w:val="none"/>
              </w:rPr>
            </w:pPr>
            <w:r>
              <w:rPr>
                <w:rFonts w:ascii="Times New Roman" w:hAnsi="Times New Roman" w:eastAsia="宋体"/>
                <w:highlight w:val="none"/>
              </w:rPr>
              <w:t>M</w:t>
            </w:r>
            <w:r>
              <w:rPr>
                <w:rFonts w:ascii="Times New Roman" w:hAnsi="Times New Roman" w:eastAsia="宋体"/>
                <w:highlight w:val="none"/>
                <w:vertAlign w:val="subscript"/>
              </w:rPr>
              <w:t>A</w:t>
            </w:r>
          </w:p>
        </w:tc>
        <w:tc>
          <w:tcPr>
            <w:tcW w:w="2442" w:type="dxa"/>
            <w:noWrap w:val="0"/>
            <w:vAlign w:val="center"/>
          </w:tcPr>
          <w:p w14:paraId="0ACB49A0">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10.10~10.25使用116MW锅炉</w:t>
            </w:r>
            <w:r>
              <w:rPr>
                <w:rFonts w:hint="eastAsia" w:ascii="Times New Roman" w:hAnsi="Times New Roman" w:eastAsia="宋体"/>
                <w:highlight w:val="none"/>
                <w:lang w:eastAsia="zh-CN"/>
              </w:rPr>
              <w:t>）</w:t>
            </w:r>
          </w:p>
        </w:tc>
        <w:tc>
          <w:tcPr>
            <w:tcW w:w="1939" w:type="dxa"/>
            <w:noWrap w:val="0"/>
            <w:vAlign w:val="center"/>
          </w:tcPr>
          <w:p w14:paraId="4F9F925C">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2130</w:t>
            </w:r>
          </w:p>
        </w:tc>
      </w:tr>
      <w:tr w14:paraId="2917A52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3B1220BC">
            <w:pPr>
              <w:pStyle w:val="27"/>
              <w:rPr>
                <w:rFonts w:ascii="Times New Roman" w:hAnsi="Times New Roman" w:eastAsia="宋体"/>
                <w:highlight w:val="none"/>
              </w:rPr>
            </w:pPr>
          </w:p>
        </w:tc>
        <w:tc>
          <w:tcPr>
            <w:tcW w:w="750" w:type="dxa"/>
            <w:vMerge w:val="continue"/>
            <w:noWrap w:val="0"/>
            <w:vAlign w:val="center"/>
          </w:tcPr>
          <w:p w14:paraId="01207DC3">
            <w:pPr>
              <w:pStyle w:val="27"/>
              <w:rPr>
                <w:rFonts w:ascii="Times New Roman" w:hAnsi="Times New Roman" w:eastAsia="宋体"/>
                <w:highlight w:val="none"/>
              </w:rPr>
            </w:pPr>
          </w:p>
        </w:tc>
        <w:tc>
          <w:tcPr>
            <w:tcW w:w="1215" w:type="dxa"/>
            <w:vMerge w:val="continue"/>
            <w:noWrap w:val="0"/>
            <w:vAlign w:val="center"/>
          </w:tcPr>
          <w:p w14:paraId="77452CD4">
            <w:pPr>
              <w:pStyle w:val="27"/>
              <w:rPr>
                <w:rFonts w:ascii="Times New Roman" w:hAnsi="Times New Roman" w:eastAsia="宋体"/>
                <w:highlight w:val="none"/>
              </w:rPr>
            </w:pPr>
          </w:p>
        </w:tc>
        <w:tc>
          <w:tcPr>
            <w:tcW w:w="993" w:type="dxa"/>
            <w:vMerge w:val="continue"/>
            <w:noWrap w:val="0"/>
            <w:vAlign w:val="center"/>
          </w:tcPr>
          <w:p w14:paraId="7ACA60F6">
            <w:pPr>
              <w:pStyle w:val="27"/>
              <w:rPr>
                <w:rFonts w:ascii="Times New Roman" w:hAnsi="Times New Roman" w:eastAsia="宋体"/>
                <w:highlight w:val="none"/>
              </w:rPr>
            </w:pPr>
          </w:p>
        </w:tc>
        <w:tc>
          <w:tcPr>
            <w:tcW w:w="2442" w:type="dxa"/>
            <w:noWrap w:val="0"/>
            <w:vAlign w:val="center"/>
          </w:tcPr>
          <w:p w14:paraId="1C259EC8">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10.25~12.15使用58MW+35t/h锅炉</w:t>
            </w:r>
            <w:r>
              <w:rPr>
                <w:rFonts w:hint="eastAsia" w:ascii="Times New Roman" w:hAnsi="Times New Roman" w:eastAsia="宋体"/>
                <w:highlight w:val="none"/>
                <w:lang w:eastAsia="zh-CN"/>
              </w:rPr>
              <w:t>）</w:t>
            </w:r>
          </w:p>
        </w:tc>
        <w:tc>
          <w:tcPr>
            <w:tcW w:w="1939" w:type="dxa"/>
            <w:noWrap w:val="0"/>
            <w:vAlign w:val="center"/>
          </w:tcPr>
          <w:p w14:paraId="6BFCB07D">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920</w:t>
            </w:r>
          </w:p>
        </w:tc>
      </w:tr>
      <w:tr w14:paraId="1EA629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230C268E">
            <w:pPr>
              <w:pStyle w:val="27"/>
              <w:rPr>
                <w:rFonts w:ascii="Times New Roman" w:hAnsi="Times New Roman" w:eastAsia="宋体"/>
                <w:highlight w:val="none"/>
              </w:rPr>
            </w:pPr>
          </w:p>
        </w:tc>
        <w:tc>
          <w:tcPr>
            <w:tcW w:w="750" w:type="dxa"/>
            <w:vMerge w:val="continue"/>
            <w:noWrap w:val="0"/>
            <w:vAlign w:val="center"/>
          </w:tcPr>
          <w:p w14:paraId="5CBC80A1">
            <w:pPr>
              <w:pStyle w:val="27"/>
              <w:rPr>
                <w:rFonts w:ascii="Times New Roman" w:hAnsi="Times New Roman" w:eastAsia="宋体"/>
                <w:highlight w:val="none"/>
              </w:rPr>
            </w:pPr>
          </w:p>
        </w:tc>
        <w:tc>
          <w:tcPr>
            <w:tcW w:w="1215" w:type="dxa"/>
            <w:vMerge w:val="continue"/>
            <w:noWrap w:val="0"/>
            <w:vAlign w:val="center"/>
          </w:tcPr>
          <w:p w14:paraId="101018B2">
            <w:pPr>
              <w:pStyle w:val="27"/>
              <w:rPr>
                <w:rFonts w:ascii="Times New Roman" w:hAnsi="Times New Roman" w:eastAsia="宋体"/>
                <w:highlight w:val="none"/>
              </w:rPr>
            </w:pPr>
          </w:p>
        </w:tc>
        <w:tc>
          <w:tcPr>
            <w:tcW w:w="993" w:type="dxa"/>
            <w:vMerge w:val="continue"/>
            <w:noWrap w:val="0"/>
            <w:vAlign w:val="center"/>
          </w:tcPr>
          <w:p w14:paraId="131D24FB">
            <w:pPr>
              <w:pStyle w:val="27"/>
              <w:rPr>
                <w:rFonts w:ascii="Times New Roman" w:hAnsi="Times New Roman" w:eastAsia="宋体"/>
                <w:highlight w:val="none"/>
              </w:rPr>
            </w:pPr>
          </w:p>
        </w:tc>
        <w:tc>
          <w:tcPr>
            <w:tcW w:w="2442" w:type="dxa"/>
            <w:noWrap w:val="0"/>
            <w:vAlign w:val="center"/>
          </w:tcPr>
          <w:p w14:paraId="097230FB">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12.15~1.20使用116MW+35t/h锅炉</w:t>
            </w:r>
            <w:r>
              <w:rPr>
                <w:rFonts w:hint="eastAsia" w:ascii="Times New Roman" w:hAnsi="Times New Roman" w:eastAsia="宋体"/>
                <w:highlight w:val="none"/>
                <w:lang w:eastAsia="zh-CN"/>
              </w:rPr>
              <w:t>）</w:t>
            </w:r>
          </w:p>
        </w:tc>
        <w:tc>
          <w:tcPr>
            <w:tcW w:w="1939" w:type="dxa"/>
            <w:noWrap w:val="0"/>
            <w:vAlign w:val="center"/>
          </w:tcPr>
          <w:p w14:paraId="2C0D6BBE">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2400</w:t>
            </w:r>
          </w:p>
        </w:tc>
      </w:tr>
      <w:tr w14:paraId="25DEC08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0C67390F">
            <w:pPr>
              <w:pStyle w:val="27"/>
              <w:rPr>
                <w:rFonts w:ascii="Times New Roman" w:hAnsi="Times New Roman" w:eastAsia="宋体"/>
                <w:highlight w:val="none"/>
              </w:rPr>
            </w:pPr>
          </w:p>
        </w:tc>
        <w:tc>
          <w:tcPr>
            <w:tcW w:w="750" w:type="dxa"/>
            <w:vMerge w:val="continue"/>
            <w:noWrap w:val="0"/>
            <w:vAlign w:val="center"/>
          </w:tcPr>
          <w:p w14:paraId="549355CA">
            <w:pPr>
              <w:pStyle w:val="27"/>
              <w:rPr>
                <w:rFonts w:ascii="Times New Roman" w:hAnsi="Times New Roman" w:eastAsia="宋体"/>
                <w:highlight w:val="none"/>
              </w:rPr>
            </w:pPr>
          </w:p>
        </w:tc>
        <w:tc>
          <w:tcPr>
            <w:tcW w:w="1215" w:type="dxa"/>
            <w:vMerge w:val="continue"/>
            <w:noWrap w:val="0"/>
            <w:vAlign w:val="center"/>
          </w:tcPr>
          <w:p w14:paraId="4C44BB75">
            <w:pPr>
              <w:pStyle w:val="27"/>
              <w:rPr>
                <w:rFonts w:ascii="Times New Roman" w:hAnsi="Times New Roman" w:eastAsia="宋体"/>
                <w:highlight w:val="none"/>
              </w:rPr>
            </w:pPr>
          </w:p>
        </w:tc>
        <w:tc>
          <w:tcPr>
            <w:tcW w:w="993" w:type="dxa"/>
            <w:vMerge w:val="continue"/>
            <w:noWrap w:val="0"/>
            <w:vAlign w:val="center"/>
          </w:tcPr>
          <w:p w14:paraId="6407D903">
            <w:pPr>
              <w:pStyle w:val="27"/>
              <w:rPr>
                <w:rFonts w:ascii="Times New Roman" w:hAnsi="Times New Roman" w:eastAsia="宋体"/>
                <w:highlight w:val="none"/>
              </w:rPr>
            </w:pPr>
          </w:p>
        </w:tc>
        <w:tc>
          <w:tcPr>
            <w:tcW w:w="2442" w:type="dxa"/>
            <w:noWrap w:val="0"/>
            <w:vAlign w:val="center"/>
          </w:tcPr>
          <w:p w14:paraId="7D478187">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1.20~4.1使用58MW+35t/h锅炉</w:t>
            </w:r>
            <w:r>
              <w:rPr>
                <w:rFonts w:hint="eastAsia" w:ascii="Times New Roman" w:hAnsi="Times New Roman" w:eastAsia="宋体"/>
                <w:highlight w:val="none"/>
                <w:lang w:eastAsia="zh-CN"/>
              </w:rPr>
              <w:t>）</w:t>
            </w:r>
          </w:p>
        </w:tc>
        <w:tc>
          <w:tcPr>
            <w:tcW w:w="1939" w:type="dxa"/>
            <w:noWrap w:val="0"/>
            <w:vAlign w:val="center"/>
          </w:tcPr>
          <w:p w14:paraId="11691E2B">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920</w:t>
            </w:r>
          </w:p>
        </w:tc>
      </w:tr>
      <w:tr w14:paraId="336CA99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5AB113ED">
            <w:pPr>
              <w:pStyle w:val="27"/>
              <w:rPr>
                <w:rFonts w:ascii="Times New Roman" w:hAnsi="Times New Roman" w:eastAsia="宋体"/>
                <w:highlight w:val="none"/>
              </w:rPr>
            </w:pPr>
          </w:p>
        </w:tc>
        <w:tc>
          <w:tcPr>
            <w:tcW w:w="750" w:type="dxa"/>
            <w:vMerge w:val="continue"/>
            <w:noWrap w:val="0"/>
            <w:vAlign w:val="center"/>
          </w:tcPr>
          <w:p w14:paraId="0BE25EAF">
            <w:pPr>
              <w:pStyle w:val="27"/>
              <w:rPr>
                <w:rFonts w:ascii="Times New Roman" w:hAnsi="Times New Roman" w:eastAsia="宋体"/>
                <w:highlight w:val="none"/>
              </w:rPr>
            </w:pPr>
          </w:p>
        </w:tc>
        <w:tc>
          <w:tcPr>
            <w:tcW w:w="1215" w:type="dxa"/>
            <w:vMerge w:val="continue"/>
            <w:noWrap w:val="0"/>
            <w:vAlign w:val="center"/>
          </w:tcPr>
          <w:p w14:paraId="51F3FADA">
            <w:pPr>
              <w:pStyle w:val="27"/>
              <w:rPr>
                <w:rFonts w:ascii="Times New Roman" w:hAnsi="Times New Roman" w:eastAsia="宋体"/>
                <w:highlight w:val="none"/>
              </w:rPr>
            </w:pPr>
          </w:p>
        </w:tc>
        <w:tc>
          <w:tcPr>
            <w:tcW w:w="993" w:type="dxa"/>
            <w:vMerge w:val="continue"/>
            <w:noWrap w:val="0"/>
            <w:vAlign w:val="center"/>
          </w:tcPr>
          <w:p w14:paraId="086BE283">
            <w:pPr>
              <w:pStyle w:val="27"/>
              <w:rPr>
                <w:rFonts w:ascii="Times New Roman" w:hAnsi="Times New Roman" w:eastAsia="宋体"/>
                <w:highlight w:val="none"/>
              </w:rPr>
            </w:pPr>
          </w:p>
        </w:tc>
        <w:tc>
          <w:tcPr>
            <w:tcW w:w="2442" w:type="dxa"/>
            <w:noWrap w:val="0"/>
            <w:vAlign w:val="center"/>
          </w:tcPr>
          <w:p w14:paraId="1DDF59A5">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4.1~4.30使用58MW锅炉</w:t>
            </w:r>
            <w:r>
              <w:rPr>
                <w:rFonts w:hint="eastAsia" w:ascii="Times New Roman" w:hAnsi="Times New Roman" w:eastAsia="宋体"/>
                <w:highlight w:val="none"/>
                <w:lang w:eastAsia="zh-CN"/>
              </w:rPr>
              <w:t>）</w:t>
            </w:r>
          </w:p>
        </w:tc>
        <w:tc>
          <w:tcPr>
            <w:tcW w:w="1939" w:type="dxa"/>
            <w:noWrap w:val="0"/>
            <w:vAlign w:val="center"/>
          </w:tcPr>
          <w:p w14:paraId="16B88F37">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650</w:t>
            </w:r>
          </w:p>
        </w:tc>
      </w:tr>
      <w:tr w14:paraId="2763C7D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3DF79FA6">
            <w:pPr>
              <w:pStyle w:val="27"/>
              <w:rPr>
                <w:rFonts w:ascii="Times New Roman" w:hAnsi="Times New Roman" w:eastAsia="宋体"/>
                <w:highlight w:val="none"/>
              </w:rPr>
            </w:pPr>
          </w:p>
        </w:tc>
        <w:tc>
          <w:tcPr>
            <w:tcW w:w="750" w:type="dxa"/>
            <w:vMerge w:val="continue"/>
            <w:noWrap w:val="0"/>
            <w:vAlign w:val="center"/>
          </w:tcPr>
          <w:p w14:paraId="07AD2EAC">
            <w:pPr>
              <w:pStyle w:val="27"/>
              <w:rPr>
                <w:rFonts w:ascii="Times New Roman" w:hAnsi="Times New Roman" w:eastAsia="宋体"/>
                <w:highlight w:val="none"/>
              </w:rPr>
            </w:pPr>
          </w:p>
        </w:tc>
        <w:tc>
          <w:tcPr>
            <w:tcW w:w="1215" w:type="dxa"/>
            <w:vMerge w:val="continue"/>
            <w:noWrap w:val="0"/>
            <w:vAlign w:val="center"/>
          </w:tcPr>
          <w:p w14:paraId="57BE12C6">
            <w:pPr>
              <w:pStyle w:val="27"/>
              <w:rPr>
                <w:rFonts w:ascii="Times New Roman" w:hAnsi="Times New Roman" w:eastAsia="宋体"/>
                <w:highlight w:val="none"/>
              </w:rPr>
            </w:pPr>
          </w:p>
        </w:tc>
        <w:tc>
          <w:tcPr>
            <w:tcW w:w="993" w:type="dxa"/>
            <w:vMerge w:val="continue"/>
            <w:noWrap w:val="0"/>
            <w:vAlign w:val="center"/>
          </w:tcPr>
          <w:p w14:paraId="4F6DB357">
            <w:pPr>
              <w:pStyle w:val="27"/>
              <w:rPr>
                <w:rFonts w:ascii="Times New Roman" w:hAnsi="Times New Roman" w:eastAsia="宋体"/>
                <w:highlight w:val="none"/>
              </w:rPr>
            </w:pPr>
          </w:p>
        </w:tc>
        <w:tc>
          <w:tcPr>
            <w:tcW w:w="2442" w:type="dxa"/>
            <w:noWrap w:val="0"/>
            <w:vAlign w:val="center"/>
          </w:tcPr>
          <w:p w14:paraId="02D05FF7">
            <w:pPr>
              <w:pStyle w:val="27"/>
              <w:rPr>
                <w:rFonts w:ascii="Times New Roman" w:hAnsi="Times New Roman" w:eastAsia="宋体"/>
                <w:highlight w:val="none"/>
              </w:rPr>
            </w:pPr>
            <w:r>
              <w:rPr>
                <w:rFonts w:ascii="Times New Roman" w:hAnsi="Times New Roman" w:eastAsia="宋体"/>
                <w:highlight w:val="none"/>
              </w:rPr>
              <w:t>t/a</w:t>
            </w:r>
          </w:p>
        </w:tc>
        <w:tc>
          <w:tcPr>
            <w:tcW w:w="1939" w:type="dxa"/>
            <w:noWrap w:val="0"/>
            <w:vAlign w:val="center"/>
          </w:tcPr>
          <w:p w14:paraId="28983A74">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6053.28</w:t>
            </w:r>
          </w:p>
        </w:tc>
      </w:tr>
      <w:tr w14:paraId="57673B9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1F1067FE">
            <w:pPr>
              <w:pStyle w:val="27"/>
              <w:rPr>
                <w:rFonts w:ascii="Times New Roman" w:hAnsi="Times New Roman" w:eastAsia="宋体"/>
                <w:highlight w:val="none"/>
              </w:rPr>
            </w:pPr>
          </w:p>
        </w:tc>
        <w:tc>
          <w:tcPr>
            <w:tcW w:w="750" w:type="dxa"/>
            <w:vMerge w:val="continue"/>
            <w:noWrap w:val="0"/>
            <w:vAlign w:val="center"/>
          </w:tcPr>
          <w:p w14:paraId="1A000512">
            <w:pPr>
              <w:pStyle w:val="27"/>
              <w:rPr>
                <w:rFonts w:ascii="Times New Roman" w:hAnsi="Times New Roman" w:eastAsia="宋体"/>
                <w:highlight w:val="none"/>
              </w:rPr>
            </w:pPr>
          </w:p>
        </w:tc>
        <w:tc>
          <w:tcPr>
            <w:tcW w:w="1215" w:type="dxa"/>
            <w:noWrap w:val="0"/>
            <w:vAlign w:val="center"/>
          </w:tcPr>
          <w:p w14:paraId="56781685">
            <w:pPr>
              <w:pStyle w:val="27"/>
              <w:rPr>
                <w:rFonts w:ascii="Times New Roman" w:hAnsi="Times New Roman" w:eastAsia="宋体"/>
                <w:highlight w:val="none"/>
              </w:rPr>
            </w:pPr>
            <w:r>
              <w:rPr>
                <w:rFonts w:ascii="Times New Roman" w:hAnsi="Times New Roman" w:eastAsia="宋体"/>
                <w:highlight w:val="none"/>
              </w:rPr>
              <w:t>预测排放浓度</w:t>
            </w:r>
          </w:p>
        </w:tc>
        <w:tc>
          <w:tcPr>
            <w:tcW w:w="993" w:type="dxa"/>
            <w:noWrap w:val="0"/>
            <w:vAlign w:val="center"/>
          </w:tcPr>
          <w:p w14:paraId="22B0D672">
            <w:pPr>
              <w:pStyle w:val="27"/>
              <w:rPr>
                <w:rFonts w:ascii="Times New Roman" w:hAnsi="Times New Roman" w:eastAsia="宋体"/>
                <w:highlight w:val="none"/>
              </w:rPr>
            </w:pPr>
            <w:r>
              <w:rPr>
                <w:rFonts w:ascii="Times New Roman" w:hAnsi="Times New Roman" w:eastAsia="宋体"/>
                <w:highlight w:val="none"/>
              </w:rPr>
              <w:t>C</w:t>
            </w:r>
            <w:r>
              <w:rPr>
                <w:rFonts w:ascii="Times New Roman" w:hAnsi="Times New Roman" w:eastAsia="宋体"/>
                <w:highlight w:val="none"/>
                <w:vertAlign w:val="subscript"/>
              </w:rPr>
              <w:t>A</w:t>
            </w:r>
          </w:p>
        </w:tc>
        <w:tc>
          <w:tcPr>
            <w:tcW w:w="2442" w:type="dxa"/>
            <w:noWrap w:val="0"/>
            <w:vAlign w:val="center"/>
          </w:tcPr>
          <w:p w14:paraId="33C6933C">
            <w:pPr>
              <w:pStyle w:val="27"/>
              <w:rPr>
                <w:rFonts w:ascii="Times New Roman" w:hAnsi="Times New Roman" w:eastAsia="宋体"/>
                <w:highlight w:val="none"/>
              </w:rPr>
            </w:pPr>
            <w:r>
              <w:rPr>
                <w:rFonts w:ascii="Times New Roman" w:hAnsi="Times New Roman" w:eastAsia="宋体"/>
                <w:highlight w:val="none"/>
              </w:rPr>
              <w:t>mg/m</w:t>
            </w:r>
            <w:r>
              <w:rPr>
                <w:rFonts w:ascii="Times New Roman" w:hAnsi="Times New Roman" w:eastAsia="宋体"/>
                <w:highlight w:val="none"/>
                <w:vertAlign w:val="superscript"/>
              </w:rPr>
              <w:t>3</w:t>
            </w:r>
          </w:p>
        </w:tc>
        <w:tc>
          <w:tcPr>
            <w:tcW w:w="1939" w:type="dxa"/>
            <w:noWrap w:val="0"/>
            <w:vAlign w:val="center"/>
          </w:tcPr>
          <w:p w14:paraId="6EE16955">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3.23</w:t>
            </w:r>
          </w:p>
        </w:tc>
      </w:tr>
      <w:tr w14:paraId="590F43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0C0BBCD8">
            <w:pPr>
              <w:pStyle w:val="27"/>
              <w:rPr>
                <w:rFonts w:ascii="Times New Roman" w:hAnsi="Times New Roman" w:eastAsia="宋体"/>
                <w:highlight w:val="none"/>
              </w:rPr>
            </w:pPr>
          </w:p>
        </w:tc>
        <w:tc>
          <w:tcPr>
            <w:tcW w:w="750" w:type="dxa"/>
            <w:vMerge w:val="continue"/>
            <w:noWrap w:val="0"/>
            <w:vAlign w:val="center"/>
          </w:tcPr>
          <w:p w14:paraId="10A502EA">
            <w:pPr>
              <w:pStyle w:val="27"/>
              <w:rPr>
                <w:rFonts w:ascii="Times New Roman" w:hAnsi="Times New Roman" w:eastAsia="宋体"/>
                <w:highlight w:val="none"/>
              </w:rPr>
            </w:pPr>
          </w:p>
        </w:tc>
        <w:tc>
          <w:tcPr>
            <w:tcW w:w="1215" w:type="dxa"/>
            <w:noWrap w:val="0"/>
            <w:vAlign w:val="center"/>
          </w:tcPr>
          <w:p w14:paraId="14DBEA7A">
            <w:pPr>
              <w:pStyle w:val="27"/>
              <w:rPr>
                <w:rFonts w:ascii="Times New Roman" w:hAnsi="Times New Roman" w:eastAsia="宋体"/>
                <w:highlight w:val="none"/>
              </w:rPr>
            </w:pPr>
            <w:r>
              <w:rPr>
                <w:rFonts w:ascii="Times New Roman" w:hAnsi="Times New Roman" w:eastAsia="宋体"/>
                <w:highlight w:val="none"/>
              </w:rPr>
              <w:t>达标排放浓度</w:t>
            </w:r>
          </w:p>
        </w:tc>
        <w:tc>
          <w:tcPr>
            <w:tcW w:w="993" w:type="dxa"/>
            <w:noWrap w:val="0"/>
            <w:vAlign w:val="center"/>
          </w:tcPr>
          <w:p w14:paraId="495A34F8">
            <w:pPr>
              <w:pStyle w:val="27"/>
              <w:rPr>
                <w:rFonts w:ascii="Times New Roman" w:hAnsi="Times New Roman" w:eastAsia="宋体"/>
                <w:highlight w:val="none"/>
              </w:rPr>
            </w:pPr>
            <w:r>
              <w:rPr>
                <w:rFonts w:ascii="Times New Roman" w:hAnsi="Times New Roman" w:eastAsia="宋体"/>
                <w:highlight w:val="none"/>
              </w:rPr>
              <w:t>C</w:t>
            </w:r>
            <w:r>
              <w:rPr>
                <w:rFonts w:ascii="Times New Roman" w:hAnsi="Times New Roman" w:eastAsia="宋体"/>
                <w:highlight w:val="none"/>
                <w:vertAlign w:val="subscript"/>
              </w:rPr>
              <w:t>A</w:t>
            </w:r>
          </w:p>
        </w:tc>
        <w:tc>
          <w:tcPr>
            <w:tcW w:w="2442" w:type="dxa"/>
            <w:noWrap w:val="0"/>
            <w:vAlign w:val="center"/>
          </w:tcPr>
          <w:p w14:paraId="131FABEF">
            <w:pPr>
              <w:pStyle w:val="27"/>
              <w:rPr>
                <w:rFonts w:ascii="Times New Roman" w:hAnsi="Times New Roman" w:eastAsia="宋体"/>
                <w:highlight w:val="none"/>
              </w:rPr>
            </w:pPr>
            <w:r>
              <w:rPr>
                <w:rFonts w:ascii="Times New Roman" w:hAnsi="Times New Roman" w:eastAsia="宋体"/>
                <w:highlight w:val="none"/>
              </w:rPr>
              <w:t>mg/m</w:t>
            </w:r>
            <w:r>
              <w:rPr>
                <w:rFonts w:ascii="Times New Roman" w:hAnsi="Times New Roman" w:eastAsia="宋体"/>
                <w:highlight w:val="none"/>
                <w:vertAlign w:val="superscript"/>
              </w:rPr>
              <w:t>3</w:t>
            </w:r>
          </w:p>
        </w:tc>
        <w:tc>
          <w:tcPr>
            <w:tcW w:w="1939" w:type="dxa"/>
            <w:noWrap w:val="0"/>
            <w:vAlign w:val="center"/>
          </w:tcPr>
          <w:p w14:paraId="35DC6A71">
            <w:pPr>
              <w:pStyle w:val="27"/>
              <w:rPr>
                <w:rFonts w:ascii="Times New Roman" w:hAnsi="Times New Roman" w:eastAsia="宋体"/>
                <w:highlight w:val="none"/>
              </w:rPr>
            </w:pPr>
            <w:r>
              <w:rPr>
                <w:rFonts w:ascii="Times New Roman" w:hAnsi="Times New Roman" w:eastAsia="宋体"/>
                <w:highlight w:val="none"/>
              </w:rPr>
              <w:t>10</w:t>
            </w:r>
          </w:p>
        </w:tc>
      </w:tr>
      <w:tr w14:paraId="5DD8E75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4F1301EA">
            <w:pPr>
              <w:pStyle w:val="27"/>
              <w:rPr>
                <w:rFonts w:ascii="Times New Roman" w:hAnsi="Times New Roman" w:eastAsia="宋体"/>
                <w:highlight w:val="none"/>
              </w:rPr>
            </w:pPr>
          </w:p>
        </w:tc>
        <w:tc>
          <w:tcPr>
            <w:tcW w:w="750" w:type="dxa"/>
            <w:vMerge w:val="continue"/>
            <w:noWrap w:val="0"/>
            <w:vAlign w:val="center"/>
          </w:tcPr>
          <w:p w14:paraId="4CBC0F70">
            <w:pPr>
              <w:pStyle w:val="27"/>
              <w:rPr>
                <w:rFonts w:ascii="Times New Roman" w:hAnsi="Times New Roman" w:eastAsia="宋体"/>
                <w:highlight w:val="none"/>
              </w:rPr>
            </w:pPr>
          </w:p>
        </w:tc>
        <w:tc>
          <w:tcPr>
            <w:tcW w:w="1215" w:type="dxa"/>
            <w:vMerge w:val="restart"/>
            <w:noWrap w:val="0"/>
            <w:vAlign w:val="center"/>
          </w:tcPr>
          <w:p w14:paraId="5FF05D11">
            <w:pPr>
              <w:pStyle w:val="27"/>
              <w:rPr>
                <w:rFonts w:ascii="Times New Roman" w:hAnsi="Times New Roman" w:eastAsia="宋体"/>
                <w:highlight w:val="none"/>
              </w:rPr>
            </w:pPr>
            <w:r>
              <w:rPr>
                <w:rFonts w:ascii="Times New Roman" w:hAnsi="Times New Roman" w:eastAsia="宋体"/>
                <w:highlight w:val="none"/>
              </w:rPr>
              <w:t>排放量</w:t>
            </w:r>
          </w:p>
        </w:tc>
        <w:tc>
          <w:tcPr>
            <w:tcW w:w="993" w:type="dxa"/>
            <w:vMerge w:val="restart"/>
            <w:noWrap w:val="0"/>
            <w:vAlign w:val="center"/>
          </w:tcPr>
          <w:p w14:paraId="3AD9E9BF">
            <w:pPr>
              <w:pStyle w:val="27"/>
              <w:rPr>
                <w:rFonts w:ascii="Times New Roman" w:hAnsi="Times New Roman" w:eastAsia="宋体"/>
                <w:highlight w:val="none"/>
              </w:rPr>
            </w:pPr>
            <w:r>
              <w:rPr>
                <w:rFonts w:ascii="Times New Roman" w:hAnsi="Times New Roman" w:eastAsia="宋体"/>
                <w:highlight w:val="none"/>
              </w:rPr>
              <w:t>M</w:t>
            </w:r>
            <w:r>
              <w:rPr>
                <w:rFonts w:ascii="Times New Roman" w:hAnsi="Times New Roman" w:eastAsia="宋体"/>
                <w:highlight w:val="none"/>
                <w:vertAlign w:val="subscript"/>
              </w:rPr>
              <w:t>A</w:t>
            </w:r>
          </w:p>
        </w:tc>
        <w:tc>
          <w:tcPr>
            <w:tcW w:w="2442" w:type="dxa"/>
            <w:noWrap w:val="0"/>
            <w:vAlign w:val="center"/>
          </w:tcPr>
          <w:p w14:paraId="402EBF28">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10.10~10.25使用116MW锅炉</w:t>
            </w:r>
            <w:r>
              <w:rPr>
                <w:rFonts w:hint="eastAsia" w:ascii="Times New Roman" w:hAnsi="Times New Roman" w:eastAsia="宋体"/>
                <w:highlight w:val="none"/>
                <w:lang w:eastAsia="zh-CN"/>
              </w:rPr>
              <w:t>）</w:t>
            </w:r>
          </w:p>
        </w:tc>
        <w:tc>
          <w:tcPr>
            <w:tcW w:w="1939" w:type="dxa"/>
            <w:noWrap w:val="0"/>
            <w:vAlign w:val="center"/>
          </w:tcPr>
          <w:p w14:paraId="08A22884">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0.85</w:t>
            </w:r>
          </w:p>
        </w:tc>
      </w:tr>
      <w:tr w14:paraId="227CDB2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2CB56D78">
            <w:pPr>
              <w:pStyle w:val="27"/>
              <w:rPr>
                <w:rFonts w:ascii="Times New Roman" w:hAnsi="Times New Roman" w:eastAsia="宋体"/>
                <w:highlight w:val="none"/>
              </w:rPr>
            </w:pPr>
          </w:p>
        </w:tc>
        <w:tc>
          <w:tcPr>
            <w:tcW w:w="750" w:type="dxa"/>
            <w:vMerge w:val="continue"/>
            <w:noWrap w:val="0"/>
            <w:vAlign w:val="center"/>
          </w:tcPr>
          <w:p w14:paraId="1C90FFC2">
            <w:pPr>
              <w:pStyle w:val="27"/>
              <w:rPr>
                <w:rFonts w:ascii="Times New Roman" w:hAnsi="Times New Roman" w:eastAsia="宋体"/>
                <w:highlight w:val="none"/>
              </w:rPr>
            </w:pPr>
          </w:p>
        </w:tc>
        <w:tc>
          <w:tcPr>
            <w:tcW w:w="1215" w:type="dxa"/>
            <w:vMerge w:val="continue"/>
            <w:noWrap w:val="0"/>
            <w:vAlign w:val="center"/>
          </w:tcPr>
          <w:p w14:paraId="65660800">
            <w:pPr>
              <w:pStyle w:val="27"/>
              <w:rPr>
                <w:rFonts w:ascii="Times New Roman" w:hAnsi="Times New Roman" w:eastAsia="宋体"/>
                <w:highlight w:val="none"/>
              </w:rPr>
            </w:pPr>
          </w:p>
        </w:tc>
        <w:tc>
          <w:tcPr>
            <w:tcW w:w="993" w:type="dxa"/>
            <w:vMerge w:val="continue"/>
            <w:noWrap w:val="0"/>
            <w:vAlign w:val="center"/>
          </w:tcPr>
          <w:p w14:paraId="2FCB6F64">
            <w:pPr>
              <w:pStyle w:val="27"/>
              <w:rPr>
                <w:rFonts w:ascii="Times New Roman" w:hAnsi="Times New Roman" w:eastAsia="宋体"/>
                <w:highlight w:val="none"/>
              </w:rPr>
            </w:pPr>
          </w:p>
        </w:tc>
        <w:tc>
          <w:tcPr>
            <w:tcW w:w="2442" w:type="dxa"/>
            <w:noWrap w:val="0"/>
            <w:vAlign w:val="center"/>
          </w:tcPr>
          <w:p w14:paraId="1D4FCD61">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10.25~12.15使用58MW+35t/h锅炉</w:t>
            </w:r>
            <w:r>
              <w:rPr>
                <w:rFonts w:hint="eastAsia" w:ascii="Times New Roman" w:hAnsi="Times New Roman" w:eastAsia="宋体"/>
                <w:highlight w:val="none"/>
                <w:lang w:eastAsia="zh-CN"/>
              </w:rPr>
              <w:t>）</w:t>
            </w:r>
          </w:p>
        </w:tc>
        <w:tc>
          <w:tcPr>
            <w:tcW w:w="1939" w:type="dxa"/>
            <w:noWrap w:val="0"/>
            <w:vAlign w:val="center"/>
          </w:tcPr>
          <w:p w14:paraId="2C3ABC8B">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0.36</w:t>
            </w:r>
          </w:p>
        </w:tc>
      </w:tr>
      <w:tr w14:paraId="50CD3C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30E48209">
            <w:pPr>
              <w:pStyle w:val="27"/>
              <w:rPr>
                <w:rFonts w:ascii="Times New Roman" w:hAnsi="Times New Roman" w:eastAsia="宋体"/>
                <w:highlight w:val="none"/>
              </w:rPr>
            </w:pPr>
          </w:p>
        </w:tc>
        <w:tc>
          <w:tcPr>
            <w:tcW w:w="750" w:type="dxa"/>
            <w:vMerge w:val="continue"/>
            <w:noWrap w:val="0"/>
            <w:vAlign w:val="center"/>
          </w:tcPr>
          <w:p w14:paraId="3D2F61CA">
            <w:pPr>
              <w:pStyle w:val="27"/>
              <w:rPr>
                <w:rFonts w:ascii="Times New Roman" w:hAnsi="Times New Roman" w:eastAsia="宋体"/>
                <w:highlight w:val="none"/>
              </w:rPr>
            </w:pPr>
          </w:p>
        </w:tc>
        <w:tc>
          <w:tcPr>
            <w:tcW w:w="1215" w:type="dxa"/>
            <w:vMerge w:val="continue"/>
            <w:noWrap w:val="0"/>
            <w:vAlign w:val="center"/>
          </w:tcPr>
          <w:p w14:paraId="0EC88CCA">
            <w:pPr>
              <w:pStyle w:val="27"/>
              <w:rPr>
                <w:rFonts w:ascii="Times New Roman" w:hAnsi="Times New Roman" w:eastAsia="宋体"/>
                <w:highlight w:val="none"/>
              </w:rPr>
            </w:pPr>
          </w:p>
        </w:tc>
        <w:tc>
          <w:tcPr>
            <w:tcW w:w="993" w:type="dxa"/>
            <w:vMerge w:val="continue"/>
            <w:noWrap w:val="0"/>
            <w:vAlign w:val="center"/>
          </w:tcPr>
          <w:p w14:paraId="46B55861">
            <w:pPr>
              <w:pStyle w:val="27"/>
              <w:rPr>
                <w:rFonts w:ascii="Times New Roman" w:hAnsi="Times New Roman" w:eastAsia="宋体"/>
                <w:highlight w:val="none"/>
              </w:rPr>
            </w:pPr>
          </w:p>
        </w:tc>
        <w:tc>
          <w:tcPr>
            <w:tcW w:w="2442" w:type="dxa"/>
            <w:noWrap w:val="0"/>
            <w:vAlign w:val="center"/>
          </w:tcPr>
          <w:p w14:paraId="643CD14A">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12.15~1.20使用116MW+35t/h锅炉</w:t>
            </w:r>
            <w:r>
              <w:rPr>
                <w:rFonts w:hint="eastAsia" w:ascii="Times New Roman" w:hAnsi="Times New Roman" w:eastAsia="宋体"/>
                <w:highlight w:val="none"/>
                <w:lang w:eastAsia="zh-CN"/>
              </w:rPr>
              <w:t>）</w:t>
            </w:r>
          </w:p>
        </w:tc>
        <w:tc>
          <w:tcPr>
            <w:tcW w:w="1939" w:type="dxa"/>
            <w:noWrap w:val="0"/>
            <w:vAlign w:val="center"/>
          </w:tcPr>
          <w:p w14:paraId="631A0986">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0.95</w:t>
            </w:r>
          </w:p>
        </w:tc>
      </w:tr>
      <w:tr w14:paraId="0F7B160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78D55D2D">
            <w:pPr>
              <w:pStyle w:val="27"/>
              <w:rPr>
                <w:rFonts w:ascii="Times New Roman" w:hAnsi="Times New Roman" w:eastAsia="宋体"/>
                <w:highlight w:val="none"/>
              </w:rPr>
            </w:pPr>
          </w:p>
        </w:tc>
        <w:tc>
          <w:tcPr>
            <w:tcW w:w="750" w:type="dxa"/>
            <w:vMerge w:val="continue"/>
            <w:noWrap w:val="0"/>
            <w:vAlign w:val="center"/>
          </w:tcPr>
          <w:p w14:paraId="2265C697">
            <w:pPr>
              <w:pStyle w:val="27"/>
              <w:rPr>
                <w:rFonts w:ascii="Times New Roman" w:hAnsi="Times New Roman" w:eastAsia="宋体"/>
                <w:highlight w:val="none"/>
              </w:rPr>
            </w:pPr>
          </w:p>
        </w:tc>
        <w:tc>
          <w:tcPr>
            <w:tcW w:w="1215" w:type="dxa"/>
            <w:vMerge w:val="continue"/>
            <w:noWrap w:val="0"/>
            <w:vAlign w:val="center"/>
          </w:tcPr>
          <w:p w14:paraId="757434C3">
            <w:pPr>
              <w:pStyle w:val="27"/>
              <w:rPr>
                <w:rFonts w:ascii="Times New Roman" w:hAnsi="Times New Roman" w:eastAsia="宋体"/>
                <w:highlight w:val="none"/>
              </w:rPr>
            </w:pPr>
          </w:p>
        </w:tc>
        <w:tc>
          <w:tcPr>
            <w:tcW w:w="993" w:type="dxa"/>
            <w:vMerge w:val="continue"/>
            <w:noWrap w:val="0"/>
            <w:vAlign w:val="center"/>
          </w:tcPr>
          <w:p w14:paraId="40C94F32">
            <w:pPr>
              <w:pStyle w:val="27"/>
              <w:rPr>
                <w:rFonts w:ascii="Times New Roman" w:hAnsi="Times New Roman" w:eastAsia="宋体"/>
                <w:highlight w:val="none"/>
              </w:rPr>
            </w:pPr>
          </w:p>
        </w:tc>
        <w:tc>
          <w:tcPr>
            <w:tcW w:w="2442" w:type="dxa"/>
            <w:noWrap w:val="0"/>
            <w:vAlign w:val="center"/>
          </w:tcPr>
          <w:p w14:paraId="3416A73E">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1.20~4.1使用58MW+35t/h锅炉</w:t>
            </w:r>
            <w:r>
              <w:rPr>
                <w:rFonts w:hint="eastAsia" w:ascii="Times New Roman" w:hAnsi="Times New Roman" w:eastAsia="宋体"/>
                <w:highlight w:val="none"/>
                <w:lang w:eastAsia="zh-CN"/>
              </w:rPr>
              <w:t>）</w:t>
            </w:r>
          </w:p>
        </w:tc>
        <w:tc>
          <w:tcPr>
            <w:tcW w:w="1939" w:type="dxa"/>
            <w:noWrap w:val="0"/>
            <w:vAlign w:val="center"/>
          </w:tcPr>
          <w:p w14:paraId="282CFCC7">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0.36</w:t>
            </w:r>
          </w:p>
        </w:tc>
      </w:tr>
      <w:tr w14:paraId="4C95757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37E2ED0C">
            <w:pPr>
              <w:pStyle w:val="27"/>
              <w:rPr>
                <w:rFonts w:ascii="Times New Roman" w:hAnsi="Times New Roman" w:eastAsia="宋体"/>
                <w:highlight w:val="none"/>
              </w:rPr>
            </w:pPr>
          </w:p>
        </w:tc>
        <w:tc>
          <w:tcPr>
            <w:tcW w:w="750" w:type="dxa"/>
            <w:vMerge w:val="continue"/>
            <w:noWrap w:val="0"/>
            <w:vAlign w:val="center"/>
          </w:tcPr>
          <w:p w14:paraId="62DCB70D">
            <w:pPr>
              <w:pStyle w:val="27"/>
              <w:rPr>
                <w:rFonts w:ascii="Times New Roman" w:hAnsi="Times New Roman" w:eastAsia="宋体"/>
                <w:highlight w:val="none"/>
              </w:rPr>
            </w:pPr>
          </w:p>
        </w:tc>
        <w:tc>
          <w:tcPr>
            <w:tcW w:w="1215" w:type="dxa"/>
            <w:vMerge w:val="continue"/>
            <w:noWrap w:val="0"/>
            <w:vAlign w:val="center"/>
          </w:tcPr>
          <w:p w14:paraId="6D65C122">
            <w:pPr>
              <w:pStyle w:val="27"/>
              <w:rPr>
                <w:rFonts w:ascii="Times New Roman" w:hAnsi="Times New Roman" w:eastAsia="宋体"/>
                <w:highlight w:val="none"/>
              </w:rPr>
            </w:pPr>
          </w:p>
        </w:tc>
        <w:tc>
          <w:tcPr>
            <w:tcW w:w="993" w:type="dxa"/>
            <w:vMerge w:val="continue"/>
            <w:noWrap w:val="0"/>
            <w:vAlign w:val="center"/>
          </w:tcPr>
          <w:p w14:paraId="4191A2BE">
            <w:pPr>
              <w:pStyle w:val="27"/>
              <w:rPr>
                <w:rFonts w:ascii="Times New Roman" w:hAnsi="Times New Roman" w:eastAsia="宋体"/>
                <w:highlight w:val="none"/>
              </w:rPr>
            </w:pPr>
          </w:p>
        </w:tc>
        <w:tc>
          <w:tcPr>
            <w:tcW w:w="2442" w:type="dxa"/>
            <w:noWrap w:val="0"/>
            <w:vAlign w:val="center"/>
          </w:tcPr>
          <w:p w14:paraId="401E17C7">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4.1~4.30使用58MW锅炉</w:t>
            </w:r>
            <w:r>
              <w:rPr>
                <w:rFonts w:hint="eastAsia" w:ascii="Times New Roman" w:hAnsi="Times New Roman" w:eastAsia="宋体"/>
                <w:highlight w:val="none"/>
                <w:lang w:eastAsia="zh-CN"/>
              </w:rPr>
              <w:t>）</w:t>
            </w:r>
          </w:p>
        </w:tc>
        <w:tc>
          <w:tcPr>
            <w:tcW w:w="1939" w:type="dxa"/>
            <w:noWrap w:val="0"/>
            <w:vAlign w:val="center"/>
          </w:tcPr>
          <w:p w14:paraId="39121674">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0.26</w:t>
            </w:r>
          </w:p>
        </w:tc>
      </w:tr>
      <w:tr w14:paraId="30D2A62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088A7FEE">
            <w:pPr>
              <w:pStyle w:val="27"/>
              <w:rPr>
                <w:rFonts w:ascii="Times New Roman" w:hAnsi="Times New Roman" w:eastAsia="宋体"/>
                <w:highlight w:val="none"/>
              </w:rPr>
            </w:pPr>
          </w:p>
        </w:tc>
        <w:tc>
          <w:tcPr>
            <w:tcW w:w="750" w:type="dxa"/>
            <w:vMerge w:val="continue"/>
            <w:noWrap w:val="0"/>
            <w:vAlign w:val="center"/>
          </w:tcPr>
          <w:p w14:paraId="12F4D1CB">
            <w:pPr>
              <w:pStyle w:val="27"/>
              <w:rPr>
                <w:rFonts w:ascii="Times New Roman" w:hAnsi="Times New Roman" w:eastAsia="宋体"/>
                <w:highlight w:val="none"/>
              </w:rPr>
            </w:pPr>
          </w:p>
        </w:tc>
        <w:tc>
          <w:tcPr>
            <w:tcW w:w="1215" w:type="dxa"/>
            <w:vMerge w:val="continue"/>
            <w:noWrap w:val="0"/>
            <w:vAlign w:val="center"/>
          </w:tcPr>
          <w:p w14:paraId="08399BB1">
            <w:pPr>
              <w:pStyle w:val="27"/>
              <w:rPr>
                <w:rFonts w:ascii="Times New Roman" w:hAnsi="Times New Roman" w:eastAsia="宋体"/>
                <w:highlight w:val="none"/>
              </w:rPr>
            </w:pPr>
          </w:p>
        </w:tc>
        <w:tc>
          <w:tcPr>
            <w:tcW w:w="993" w:type="dxa"/>
            <w:vMerge w:val="continue"/>
            <w:noWrap w:val="0"/>
            <w:vAlign w:val="center"/>
          </w:tcPr>
          <w:p w14:paraId="5F42AADE">
            <w:pPr>
              <w:pStyle w:val="27"/>
              <w:rPr>
                <w:rFonts w:ascii="Times New Roman" w:hAnsi="Times New Roman" w:eastAsia="宋体"/>
                <w:highlight w:val="none"/>
              </w:rPr>
            </w:pPr>
          </w:p>
        </w:tc>
        <w:tc>
          <w:tcPr>
            <w:tcW w:w="2442" w:type="dxa"/>
            <w:noWrap w:val="0"/>
            <w:vAlign w:val="center"/>
          </w:tcPr>
          <w:p w14:paraId="2CCD4A75">
            <w:pPr>
              <w:pStyle w:val="27"/>
              <w:rPr>
                <w:rFonts w:ascii="Times New Roman" w:hAnsi="Times New Roman" w:eastAsia="宋体"/>
                <w:highlight w:val="none"/>
              </w:rPr>
            </w:pPr>
            <w:r>
              <w:rPr>
                <w:rFonts w:ascii="Times New Roman" w:hAnsi="Times New Roman" w:eastAsia="宋体"/>
                <w:highlight w:val="none"/>
              </w:rPr>
              <w:t>t/a</w:t>
            </w:r>
          </w:p>
        </w:tc>
        <w:tc>
          <w:tcPr>
            <w:tcW w:w="1939" w:type="dxa"/>
            <w:noWrap w:val="0"/>
            <w:vAlign w:val="center"/>
          </w:tcPr>
          <w:p w14:paraId="7011F957">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2.39</w:t>
            </w:r>
          </w:p>
        </w:tc>
      </w:tr>
      <w:tr w14:paraId="4235AB7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57FB0F8D">
            <w:pPr>
              <w:pStyle w:val="27"/>
              <w:rPr>
                <w:rFonts w:ascii="Times New Roman" w:hAnsi="Times New Roman" w:eastAsia="宋体"/>
                <w:highlight w:val="none"/>
              </w:rPr>
            </w:pPr>
          </w:p>
        </w:tc>
        <w:tc>
          <w:tcPr>
            <w:tcW w:w="750" w:type="dxa"/>
            <w:vMerge w:val="restart"/>
            <w:noWrap w:val="0"/>
            <w:vAlign w:val="center"/>
          </w:tcPr>
          <w:p w14:paraId="5AB3F1A4">
            <w:pPr>
              <w:pStyle w:val="27"/>
              <w:rPr>
                <w:rFonts w:ascii="Times New Roman" w:hAnsi="Times New Roman" w:eastAsia="宋体"/>
                <w:highlight w:val="none"/>
              </w:rPr>
            </w:pPr>
            <w:r>
              <w:rPr>
                <w:rFonts w:ascii="Times New Roman" w:hAnsi="Times New Roman" w:eastAsia="宋体"/>
                <w:highlight w:val="none"/>
              </w:rPr>
              <w:t>汞及其化合物</w:t>
            </w:r>
          </w:p>
        </w:tc>
        <w:tc>
          <w:tcPr>
            <w:tcW w:w="1215" w:type="dxa"/>
            <w:noWrap w:val="0"/>
            <w:vAlign w:val="center"/>
          </w:tcPr>
          <w:p w14:paraId="210BA1B3">
            <w:pPr>
              <w:pStyle w:val="27"/>
              <w:rPr>
                <w:rFonts w:ascii="Times New Roman" w:hAnsi="Times New Roman" w:eastAsia="宋体"/>
                <w:highlight w:val="none"/>
              </w:rPr>
            </w:pPr>
            <w:r>
              <w:rPr>
                <w:rFonts w:ascii="Times New Roman" w:hAnsi="Times New Roman" w:eastAsia="宋体"/>
                <w:highlight w:val="none"/>
              </w:rPr>
              <w:t>产生浓度</w:t>
            </w:r>
          </w:p>
        </w:tc>
        <w:tc>
          <w:tcPr>
            <w:tcW w:w="993" w:type="dxa"/>
            <w:noWrap w:val="0"/>
            <w:vAlign w:val="center"/>
          </w:tcPr>
          <w:p w14:paraId="0A819174">
            <w:pPr>
              <w:pStyle w:val="27"/>
              <w:rPr>
                <w:rFonts w:ascii="Times New Roman" w:hAnsi="Times New Roman" w:eastAsia="宋体"/>
                <w:highlight w:val="none"/>
              </w:rPr>
            </w:pPr>
            <w:r>
              <w:rPr>
                <w:rFonts w:ascii="Times New Roman" w:hAnsi="Times New Roman" w:eastAsia="宋体"/>
                <w:highlight w:val="none"/>
              </w:rPr>
              <w:t>C</w:t>
            </w:r>
            <w:r>
              <w:rPr>
                <w:rFonts w:ascii="Times New Roman" w:hAnsi="Times New Roman" w:eastAsia="宋体"/>
                <w:highlight w:val="none"/>
                <w:vertAlign w:val="subscript"/>
              </w:rPr>
              <w:t>Hg</w:t>
            </w:r>
          </w:p>
        </w:tc>
        <w:tc>
          <w:tcPr>
            <w:tcW w:w="2442" w:type="dxa"/>
            <w:noWrap w:val="0"/>
            <w:vAlign w:val="center"/>
          </w:tcPr>
          <w:p w14:paraId="4E0774C7">
            <w:pPr>
              <w:pStyle w:val="27"/>
              <w:rPr>
                <w:rFonts w:ascii="Times New Roman" w:hAnsi="Times New Roman" w:eastAsia="宋体"/>
                <w:highlight w:val="none"/>
              </w:rPr>
            </w:pPr>
            <w:r>
              <w:rPr>
                <w:rFonts w:ascii="Times New Roman" w:hAnsi="Times New Roman" w:eastAsia="宋体"/>
                <w:highlight w:val="none"/>
              </w:rPr>
              <w:t>mg/m</w:t>
            </w:r>
            <w:r>
              <w:rPr>
                <w:rFonts w:ascii="Times New Roman" w:hAnsi="Times New Roman" w:eastAsia="宋体"/>
                <w:highlight w:val="none"/>
                <w:vertAlign w:val="superscript"/>
              </w:rPr>
              <w:t>3</w:t>
            </w:r>
          </w:p>
        </w:tc>
        <w:tc>
          <w:tcPr>
            <w:tcW w:w="1939" w:type="dxa"/>
            <w:noWrap w:val="0"/>
            <w:vAlign w:val="center"/>
          </w:tcPr>
          <w:p w14:paraId="52D71D3C">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0.024</w:t>
            </w:r>
          </w:p>
        </w:tc>
      </w:tr>
      <w:tr w14:paraId="799EEA6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7DF8E5C2">
            <w:pPr>
              <w:pStyle w:val="27"/>
              <w:rPr>
                <w:rFonts w:ascii="Times New Roman" w:hAnsi="Times New Roman" w:eastAsia="宋体"/>
                <w:highlight w:val="none"/>
              </w:rPr>
            </w:pPr>
          </w:p>
        </w:tc>
        <w:tc>
          <w:tcPr>
            <w:tcW w:w="750" w:type="dxa"/>
            <w:vMerge w:val="continue"/>
            <w:noWrap w:val="0"/>
            <w:vAlign w:val="center"/>
          </w:tcPr>
          <w:p w14:paraId="51460EF2">
            <w:pPr>
              <w:pStyle w:val="27"/>
              <w:rPr>
                <w:rFonts w:ascii="Times New Roman" w:hAnsi="Times New Roman" w:eastAsia="宋体"/>
                <w:highlight w:val="none"/>
              </w:rPr>
            </w:pPr>
          </w:p>
        </w:tc>
        <w:tc>
          <w:tcPr>
            <w:tcW w:w="1215" w:type="dxa"/>
            <w:vMerge w:val="restart"/>
            <w:noWrap w:val="0"/>
            <w:vAlign w:val="center"/>
          </w:tcPr>
          <w:p w14:paraId="6EB4843A">
            <w:pPr>
              <w:pStyle w:val="27"/>
              <w:rPr>
                <w:rFonts w:ascii="Times New Roman" w:hAnsi="Times New Roman" w:eastAsia="宋体"/>
                <w:highlight w:val="none"/>
              </w:rPr>
            </w:pPr>
            <w:r>
              <w:rPr>
                <w:rFonts w:ascii="Times New Roman" w:hAnsi="Times New Roman" w:eastAsia="宋体"/>
                <w:highlight w:val="none"/>
              </w:rPr>
              <w:t>产生量</w:t>
            </w:r>
          </w:p>
        </w:tc>
        <w:tc>
          <w:tcPr>
            <w:tcW w:w="993" w:type="dxa"/>
            <w:vMerge w:val="restart"/>
            <w:noWrap w:val="0"/>
            <w:vAlign w:val="center"/>
          </w:tcPr>
          <w:p w14:paraId="2B200B74">
            <w:pPr>
              <w:pStyle w:val="27"/>
              <w:rPr>
                <w:rFonts w:ascii="Times New Roman" w:hAnsi="Times New Roman" w:eastAsia="宋体"/>
                <w:highlight w:val="none"/>
              </w:rPr>
            </w:pPr>
            <w:r>
              <w:rPr>
                <w:rFonts w:ascii="Times New Roman" w:hAnsi="Times New Roman" w:eastAsia="宋体"/>
                <w:highlight w:val="none"/>
              </w:rPr>
              <w:t>M</w:t>
            </w:r>
            <w:r>
              <w:rPr>
                <w:rFonts w:ascii="Times New Roman" w:hAnsi="Times New Roman" w:eastAsia="宋体"/>
                <w:highlight w:val="none"/>
                <w:vertAlign w:val="subscript"/>
              </w:rPr>
              <w:t>Hg</w:t>
            </w:r>
          </w:p>
        </w:tc>
        <w:tc>
          <w:tcPr>
            <w:tcW w:w="2442" w:type="dxa"/>
            <w:noWrap w:val="0"/>
            <w:vAlign w:val="center"/>
          </w:tcPr>
          <w:p w14:paraId="4A3EC31D">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10.10~10.25使用116MW锅炉</w:t>
            </w:r>
            <w:r>
              <w:rPr>
                <w:rFonts w:hint="eastAsia" w:ascii="Times New Roman" w:hAnsi="Times New Roman" w:eastAsia="宋体"/>
                <w:highlight w:val="none"/>
                <w:lang w:eastAsia="zh-CN"/>
              </w:rPr>
              <w:t>）</w:t>
            </w:r>
          </w:p>
        </w:tc>
        <w:tc>
          <w:tcPr>
            <w:tcW w:w="1939" w:type="dxa"/>
            <w:noWrap w:val="0"/>
            <w:vAlign w:val="center"/>
          </w:tcPr>
          <w:p w14:paraId="6269DBCF">
            <w:pPr>
              <w:pStyle w:val="27"/>
              <w:rPr>
                <w:rFonts w:hint="default" w:ascii="Times New Roman" w:hAnsi="Times New Roman" w:eastAsia="宋体"/>
                <w:highlight w:val="none"/>
                <w:lang w:val="en-US" w:eastAsia="zh-CN"/>
              </w:rPr>
            </w:pPr>
            <w:r>
              <w:rPr>
                <w:rFonts w:ascii="Times New Roman" w:hAnsi="Times New Roman" w:eastAsia="宋体"/>
                <w:highlight w:val="none"/>
              </w:rPr>
              <w:t>0.00</w:t>
            </w:r>
            <w:r>
              <w:rPr>
                <w:rFonts w:hint="eastAsia" w:ascii="Times New Roman" w:hAnsi="Times New Roman" w:eastAsia="宋体"/>
                <w:highlight w:val="none"/>
                <w:lang w:val="en-US" w:eastAsia="zh-CN"/>
              </w:rPr>
              <w:t>647</w:t>
            </w:r>
          </w:p>
        </w:tc>
      </w:tr>
      <w:tr w14:paraId="32E2C0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06D53D71">
            <w:pPr>
              <w:pStyle w:val="27"/>
              <w:rPr>
                <w:rFonts w:ascii="Times New Roman" w:hAnsi="Times New Roman" w:eastAsia="宋体"/>
                <w:highlight w:val="none"/>
              </w:rPr>
            </w:pPr>
          </w:p>
        </w:tc>
        <w:tc>
          <w:tcPr>
            <w:tcW w:w="750" w:type="dxa"/>
            <w:vMerge w:val="continue"/>
            <w:noWrap w:val="0"/>
            <w:vAlign w:val="center"/>
          </w:tcPr>
          <w:p w14:paraId="0649001C">
            <w:pPr>
              <w:pStyle w:val="27"/>
              <w:rPr>
                <w:rFonts w:ascii="Times New Roman" w:hAnsi="Times New Roman" w:eastAsia="宋体"/>
                <w:highlight w:val="none"/>
              </w:rPr>
            </w:pPr>
          </w:p>
        </w:tc>
        <w:tc>
          <w:tcPr>
            <w:tcW w:w="1215" w:type="dxa"/>
            <w:vMerge w:val="continue"/>
            <w:noWrap w:val="0"/>
            <w:vAlign w:val="center"/>
          </w:tcPr>
          <w:p w14:paraId="39A83287">
            <w:pPr>
              <w:pStyle w:val="27"/>
              <w:rPr>
                <w:rFonts w:ascii="Times New Roman" w:hAnsi="Times New Roman" w:eastAsia="宋体"/>
                <w:highlight w:val="none"/>
              </w:rPr>
            </w:pPr>
          </w:p>
        </w:tc>
        <w:tc>
          <w:tcPr>
            <w:tcW w:w="993" w:type="dxa"/>
            <w:vMerge w:val="continue"/>
            <w:noWrap w:val="0"/>
            <w:vAlign w:val="center"/>
          </w:tcPr>
          <w:p w14:paraId="129B60D6">
            <w:pPr>
              <w:pStyle w:val="27"/>
              <w:rPr>
                <w:rFonts w:ascii="Times New Roman" w:hAnsi="Times New Roman" w:eastAsia="宋体"/>
                <w:highlight w:val="none"/>
              </w:rPr>
            </w:pPr>
          </w:p>
        </w:tc>
        <w:tc>
          <w:tcPr>
            <w:tcW w:w="2442" w:type="dxa"/>
            <w:noWrap w:val="0"/>
            <w:vAlign w:val="center"/>
          </w:tcPr>
          <w:p w14:paraId="0D8636AF">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10.25~12.15使用58MW+35t/h锅炉</w:t>
            </w:r>
            <w:r>
              <w:rPr>
                <w:rFonts w:hint="eastAsia" w:ascii="Times New Roman" w:hAnsi="Times New Roman" w:eastAsia="宋体"/>
                <w:highlight w:val="none"/>
                <w:lang w:eastAsia="zh-CN"/>
              </w:rPr>
              <w:t>）</w:t>
            </w:r>
          </w:p>
        </w:tc>
        <w:tc>
          <w:tcPr>
            <w:tcW w:w="1939" w:type="dxa"/>
            <w:noWrap w:val="0"/>
            <w:vAlign w:val="center"/>
          </w:tcPr>
          <w:p w14:paraId="5DAD2808">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0.00281</w:t>
            </w:r>
          </w:p>
        </w:tc>
      </w:tr>
      <w:tr w14:paraId="0F69476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5A989F34">
            <w:pPr>
              <w:pStyle w:val="27"/>
              <w:rPr>
                <w:rFonts w:ascii="Times New Roman" w:hAnsi="Times New Roman" w:eastAsia="宋体"/>
                <w:highlight w:val="none"/>
              </w:rPr>
            </w:pPr>
          </w:p>
        </w:tc>
        <w:tc>
          <w:tcPr>
            <w:tcW w:w="750" w:type="dxa"/>
            <w:vMerge w:val="continue"/>
            <w:noWrap w:val="0"/>
            <w:vAlign w:val="center"/>
          </w:tcPr>
          <w:p w14:paraId="493E6BF3">
            <w:pPr>
              <w:pStyle w:val="27"/>
              <w:rPr>
                <w:rFonts w:ascii="Times New Roman" w:hAnsi="Times New Roman" w:eastAsia="宋体"/>
                <w:highlight w:val="none"/>
              </w:rPr>
            </w:pPr>
          </w:p>
        </w:tc>
        <w:tc>
          <w:tcPr>
            <w:tcW w:w="1215" w:type="dxa"/>
            <w:vMerge w:val="continue"/>
            <w:noWrap w:val="0"/>
            <w:vAlign w:val="center"/>
          </w:tcPr>
          <w:p w14:paraId="40408649">
            <w:pPr>
              <w:pStyle w:val="27"/>
              <w:rPr>
                <w:rFonts w:ascii="Times New Roman" w:hAnsi="Times New Roman" w:eastAsia="宋体"/>
                <w:highlight w:val="none"/>
              </w:rPr>
            </w:pPr>
          </w:p>
        </w:tc>
        <w:tc>
          <w:tcPr>
            <w:tcW w:w="993" w:type="dxa"/>
            <w:vMerge w:val="continue"/>
            <w:noWrap w:val="0"/>
            <w:vAlign w:val="center"/>
          </w:tcPr>
          <w:p w14:paraId="7DD6C19D">
            <w:pPr>
              <w:pStyle w:val="27"/>
              <w:rPr>
                <w:rFonts w:ascii="Times New Roman" w:hAnsi="Times New Roman" w:eastAsia="宋体"/>
                <w:highlight w:val="none"/>
              </w:rPr>
            </w:pPr>
          </w:p>
        </w:tc>
        <w:tc>
          <w:tcPr>
            <w:tcW w:w="2442" w:type="dxa"/>
            <w:noWrap w:val="0"/>
            <w:vAlign w:val="center"/>
          </w:tcPr>
          <w:p w14:paraId="531BC379">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12.15~1.20使用116MW+35t/h锅炉</w:t>
            </w:r>
            <w:r>
              <w:rPr>
                <w:rFonts w:hint="eastAsia" w:ascii="Times New Roman" w:hAnsi="Times New Roman" w:eastAsia="宋体"/>
                <w:highlight w:val="none"/>
                <w:lang w:eastAsia="zh-CN"/>
              </w:rPr>
              <w:t>）</w:t>
            </w:r>
          </w:p>
        </w:tc>
        <w:tc>
          <w:tcPr>
            <w:tcW w:w="1939" w:type="dxa"/>
            <w:noWrap w:val="0"/>
            <w:vAlign w:val="center"/>
          </w:tcPr>
          <w:p w14:paraId="45111C4A">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0.0073</w:t>
            </w:r>
          </w:p>
        </w:tc>
      </w:tr>
      <w:tr w14:paraId="406C786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03DB0E84">
            <w:pPr>
              <w:pStyle w:val="27"/>
              <w:rPr>
                <w:rFonts w:ascii="Times New Roman" w:hAnsi="Times New Roman" w:eastAsia="宋体"/>
                <w:highlight w:val="none"/>
              </w:rPr>
            </w:pPr>
          </w:p>
        </w:tc>
        <w:tc>
          <w:tcPr>
            <w:tcW w:w="750" w:type="dxa"/>
            <w:vMerge w:val="continue"/>
            <w:noWrap w:val="0"/>
            <w:vAlign w:val="center"/>
          </w:tcPr>
          <w:p w14:paraId="6890A73E">
            <w:pPr>
              <w:pStyle w:val="27"/>
              <w:rPr>
                <w:rFonts w:ascii="Times New Roman" w:hAnsi="Times New Roman" w:eastAsia="宋体"/>
                <w:highlight w:val="none"/>
              </w:rPr>
            </w:pPr>
          </w:p>
        </w:tc>
        <w:tc>
          <w:tcPr>
            <w:tcW w:w="1215" w:type="dxa"/>
            <w:vMerge w:val="continue"/>
            <w:noWrap w:val="0"/>
            <w:vAlign w:val="center"/>
          </w:tcPr>
          <w:p w14:paraId="3C95C23A">
            <w:pPr>
              <w:pStyle w:val="27"/>
              <w:rPr>
                <w:rFonts w:ascii="Times New Roman" w:hAnsi="Times New Roman" w:eastAsia="宋体"/>
                <w:highlight w:val="none"/>
              </w:rPr>
            </w:pPr>
          </w:p>
        </w:tc>
        <w:tc>
          <w:tcPr>
            <w:tcW w:w="993" w:type="dxa"/>
            <w:vMerge w:val="continue"/>
            <w:noWrap w:val="0"/>
            <w:vAlign w:val="center"/>
          </w:tcPr>
          <w:p w14:paraId="382E585E">
            <w:pPr>
              <w:pStyle w:val="27"/>
              <w:rPr>
                <w:rFonts w:ascii="Times New Roman" w:hAnsi="Times New Roman" w:eastAsia="宋体"/>
                <w:highlight w:val="none"/>
              </w:rPr>
            </w:pPr>
          </w:p>
        </w:tc>
        <w:tc>
          <w:tcPr>
            <w:tcW w:w="2442" w:type="dxa"/>
            <w:noWrap w:val="0"/>
            <w:vAlign w:val="center"/>
          </w:tcPr>
          <w:p w14:paraId="6374CBE4">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1.20~4.1使用58MW+35t/h锅炉</w:t>
            </w:r>
            <w:r>
              <w:rPr>
                <w:rFonts w:hint="eastAsia" w:ascii="Times New Roman" w:hAnsi="Times New Roman" w:eastAsia="宋体"/>
                <w:highlight w:val="none"/>
                <w:lang w:eastAsia="zh-CN"/>
              </w:rPr>
              <w:t>）</w:t>
            </w:r>
          </w:p>
        </w:tc>
        <w:tc>
          <w:tcPr>
            <w:tcW w:w="1939" w:type="dxa"/>
            <w:noWrap w:val="0"/>
            <w:vAlign w:val="center"/>
          </w:tcPr>
          <w:p w14:paraId="26D7C57D">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0.00281</w:t>
            </w:r>
          </w:p>
        </w:tc>
      </w:tr>
      <w:tr w14:paraId="6456F1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6FCA46C0">
            <w:pPr>
              <w:pStyle w:val="27"/>
              <w:rPr>
                <w:rFonts w:ascii="Times New Roman" w:hAnsi="Times New Roman" w:eastAsia="宋体"/>
                <w:highlight w:val="none"/>
              </w:rPr>
            </w:pPr>
          </w:p>
        </w:tc>
        <w:tc>
          <w:tcPr>
            <w:tcW w:w="750" w:type="dxa"/>
            <w:vMerge w:val="continue"/>
            <w:noWrap w:val="0"/>
            <w:vAlign w:val="center"/>
          </w:tcPr>
          <w:p w14:paraId="180762B1">
            <w:pPr>
              <w:pStyle w:val="27"/>
              <w:rPr>
                <w:rFonts w:ascii="Times New Roman" w:hAnsi="Times New Roman" w:eastAsia="宋体"/>
                <w:highlight w:val="none"/>
              </w:rPr>
            </w:pPr>
          </w:p>
        </w:tc>
        <w:tc>
          <w:tcPr>
            <w:tcW w:w="1215" w:type="dxa"/>
            <w:vMerge w:val="continue"/>
            <w:noWrap w:val="0"/>
            <w:vAlign w:val="center"/>
          </w:tcPr>
          <w:p w14:paraId="18569CC4">
            <w:pPr>
              <w:pStyle w:val="27"/>
              <w:rPr>
                <w:rFonts w:ascii="Times New Roman" w:hAnsi="Times New Roman" w:eastAsia="宋体"/>
                <w:highlight w:val="none"/>
              </w:rPr>
            </w:pPr>
          </w:p>
        </w:tc>
        <w:tc>
          <w:tcPr>
            <w:tcW w:w="993" w:type="dxa"/>
            <w:vMerge w:val="continue"/>
            <w:noWrap w:val="0"/>
            <w:vAlign w:val="center"/>
          </w:tcPr>
          <w:p w14:paraId="460E05A5">
            <w:pPr>
              <w:pStyle w:val="27"/>
              <w:rPr>
                <w:rFonts w:ascii="Times New Roman" w:hAnsi="Times New Roman" w:eastAsia="宋体"/>
                <w:highlight w:val="none"/>
              </w:rPr>
            </w:pPr>
          </w:p>
        </w:tc>
        <w:tc>
          <w:tcPr>
            <w:tcW w:w="2442" w:type="dxa"/>
            <w:noWrap w:val="0"/>
            <w:vAlign w:val="center"/>
          </w:tcPr>
          <w:p w14:paraId="6220829F">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4.1~4.30使用58MW锅炉</w:t>
            </w:r>
            <w:r>
              <w:rPr>
                <w:rFonts w:hint="eastAsia" w:ascii="Times New Roman" w:hAnsi="Times New Roman" w:eastAsia="宋体"/>
                <w:highlight w:val="none"/>
                <w:lang w:eastAsia="zh-CN"/>
              </w:rPr>
              <w:t>）</w:t>
            </w:r>
          </w:p>
        </w:tc>
        <w:tc>
          <w:tcPr>
            <w:tcW w:w="1939" w:type="dxa"/>
            <w:noWrap w:val="0"/>
            <w:vAlign w:val="center"/>
          </w:tcPr>
          <w:p w14:paraId="7814BD3E">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0.00198</w:t>
            </w:r>
          </w:p>
        </w:tc>
      </w:tr>
      <w:tr w14:paraId="19108C2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101FECA5">
            <w:pPr>
              <w:pStyle w:val="27"/>
              <w:rPr>
                <w:rFonts w:ascii="Times New Roman" w:hAnsi="Times New Roman" w:eastAsia="宋体"/>
                <w:highlight w:val="none"/>
              </w:rPr>
            </w:pPr>
          </w:p>
        </w:tc>
        <w:tc>
          <w:tcPr>
            <w:tcW w:w="750" w:type="dxa"/>
            <w:vMerge w:val="continue"/>
            <w:noWrap w:val="0"/>
            <w:vAlign w:val="center"/>
          </w:tcPr>
          <w:p w14:paraId="6B71F67E">
            <w:pPr>
              <w:pStyle w:val="27"/>
              <w:rPr>
                <w:rFonts w:ascii="Times New Roman" w:hAnsi="Times New Roman" w:eastAsia="宋体"/>
                <w:highlight w:val="none"/>
              </w:rPr>
            </w:pPr>
          </w:p>
        </w:tc>
        <w:tc>
          <w:tcPr>
            <w:tcW w:w="1215" w:type="dxa"/>
            <w:vMerge w:val="continue"/>
            <w:noWrap w:val="0"/>
            <w:vAlign w:val="center"/>
          </w:tcPr>
          <w:p w14:paraId="0710C5E2">
            <w:pPr>
              <w:pStyle w:val="27"/>
              <w:rPr>
                <w:rFonts w:ascii="Times New Roman" w:hAnsi="Times New Roman" w:eastAsia="宋体"/>
                <w:highlight w:val="none"/>
              </w:rPr>
            </w:pPr>
          </w:p>
        </w:tc>
        <w:tc>
          <w:tcPr>
            <w:tcW w:w="993" w:type="dxa"/>
            <w:vMerge w:val="continue"/>
            <w:noWrap w:val="0"/>
            <w:vAlign w:val="center"/>
          </w:tcPr>
          <w:p w14:paraId="2F7F8AF7">
            <w:pPr>
              <w:pStyle w:val="27"/>
              <w:rPr>
                <w:rFonts w:ascii="Times New Roman" w:hAnsi="Times New Roman" w:eastAsia="宋体"/>
                <w:highlight w:val="none"/>
              </w:rPr>
            </w:pPr>
          </w:p>
        </w:tc>
        <w:tc>
          <w:tcPr>
            <w:tcW w:w="2442" w:type="dxa"/>
            <w:noWrap w:val="0"/>
            <w:vAlign w:val="center"/>
          </w:tcPr>
          <w:p w14:paraId="53789780">
            <w:pPr>
              <w:pStyle w:val="27"/>
              <w:rPr>
                <w:rFonts w:ascii="Times New Roman" w:hAnsi="Times New Roman" w:eastAsia="宋体"/>
                <w:highlight w:val="none"/>
              </w:rPr>
            </w:pPr>
            <w:r>
              <w:rPr>
                <w:rFonts w:ascii="Times New Roman" w:hAnsi="Times New Roman" w:eastAsia="宋体"/>
                <w:highlight w:val="none"/>
              </w:rPr>
              <w:t>t/a</w:t>
            </w:r>
          </w:p>
        </w:tc>
        <w:tc>
          <w:tcPr>
            <w:tcW w:w="1939" w:type="dxa"/>
            <w:noWrap w:val="0"/>
            <w:vAlign w:val="center"/>
          </w:tcPr>
          <w:p w14:paraId="4A5726EA">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0.018</w:t>
            </w:r>
          </w:p>
        </w:tc>
      </w:tr>
      <w:tr w14:paraId="439939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3BE37D6A">
            <w:pPr>
              <w:pStyle w:val="27"/>
              <w:rPr>
                <w:rFonts w:ascii="Times New Roman" w:hAnsi="Times New Roman" w:eastAsia="宋体"/>
                <w:highlight w:val="none"/>
              </w:rPr>
            </w:pPr>
          </w:p>
        </w:tc>
        <w:tc>
          <w:tcPr>
            <w:tcW w:w="750" w:type="dxa"/>
            <w:vMerge w:val="continue"/>
            <w:noWrap w:val="0"/>
            <w:vAlign w:val="center"/>
          </w:tcPr>
          <w:p w14:paraId="1A71F4C7">
            <w:pPr>
              <w:pStyle w:val="27"/>
              <w:rPr>
                <w:rFonts w:ascii="Times New Roman" w:hAnsi="Times New Roman" w:eastAsia="宋体"/>
                <w:highlight w:val="none"/>
              </w:rPr>
            </w:pPr>
          </w:p>
        </w:tc>
        <w:tc>
          <w:tcPr>
            <w:tcW w:w="1215" w:type="dxa"/>
            <w:noWrap w:val="0"/>
            <w:vAlign w:val="center"/>
          </w:tcPr>
          <w:p w14:paraId="3BD64118">
            <w:pPr>
              <w:pStyle w:val="27"/>
              <w:rPr>
                <w:rFonts w:ascii="Times New Roman" w:hAnsi="Times New Roman" w:eastAsia="宋体"/>
                <w:highlight w:val="none"/>
              </w:rPr>
            </w:pPr>
            <w:r>
              <w:rPr>
                <w:rFonts w:ascii="Times New Roman" w:hAnsi="Times New Roman" w:eastAsia="宋体"/>
                <w:highlight w:val="none"/>
              </w:rPr>
              <w:t>预测排放浓度</w:t>
            </w:r>
          </w:p>
        </w:tc>
        <w:tc>
          <w:tcPr>
            <w:tcW w:w="993" w:type="dxa"/>
            <w:noWrap w:val="0"/>
            <w:vAlign w:val="center"/>
          </w:tcPr>
          <w:p w14:paraId="79EBEC87">
            <w:pPr>
              <w:pStyle w:val="27"/>
              <w:rPr>
                <w:rFonts w:ascii="Times New Roman" w:hAnsi="Times New Roman" w:eastAsia="宋体"/>
                <w:highlight w:val="none"/>
              </w:rPr>
            </w:pPr>
            <w:r>
              <w:rPr>
                <w:rFonts w:ascii="Times New Roman" w:hAnsi="Times New Roman" w:eastAsia="宋体"/>
                <w:highlight w:val="none"/>
              </w:rPr>
              <w:t>C</w:t>
            </w:r>
            <w:r>
              <w:rPr>
                <w:rFonts w:ascii="Times New Roman" w:hAnsi="Times New Roman" w:eastAsia="宋体"/>
                <w:highlight w:val="none"/>
                <w:vertAlign w:val="subscript"/>
              </w:rPr>
              <w:t>Hg</w:t>
            </w:r>
          </w:p>
        </w:tc>
        <w:tc>
          <w:tcPr>
            <w:tcW w:w="2442" w:type="dxa"/>
            <w:noWrap w:val="0"/>
            <w:vAlign w:val="center"/>
          </w:tcPr>
          <w:p w14:paraId="5500D212">
            <w:pPr>
              <w:pStyle w:val="27"/>
              <w:rPr>
                <w:rFonts w:ascii="Times New Roman" w:hAnsi="Times New Roman" w:eastAsia="宋体"/>
                <w:highlight w:val="none"/>
              </w:rPr>
            </w:pPr>
            <w:r>
              <w:rPr>
                <w:rFonts w:ascii="Times New Roman" w:hAnsi="Times New Roman" w:eastAsia="宋体"/>
                <w:highlight w:val="none"/>
              </w:rPr>
              <w:t>mg/m</w:t>
            </w:r>
            <w:r>
              <w:rPr>
                <w:rFonts w:ascii="Times New Roman" w:hAnsi="Times New Roman" w:eastAsia="宋体"/>
                <w:highlight w:val="none"/>
                <w:vertAlign w:val="superscript"/>
              </w:rPr>
              <w:t>3</w:t>
            </w:r>
          </w:p>
        </w:tc>
        <w:tc>
          <w:tcPr>
            <w:tcW w:w="1939" w:type="dxa"/>
            <w:noWrap w:val="0"/>
            <w:vAlign w:val="center"/>
          </w:tcPr>
          <w:p w14:paraId="2B8B045E">
            <w:pPr>
              <w:pStyle w:val="27"/>
              <w:rPr>
                <w:rFonts w:hint="default" w:ascii="Times New Roman" w:hAnsi="Times New Roman" w:eastAsia="宋体"/>
                <w:highlight w:val="none"/>
                <w:lang w:val="en-US" w:eastAsia="zh-CN"/>
              </w:rPr>
            </w:pPr>
            <w:r>
              <w:rPr>
                <w:rFonts w:ascii="Times New Roman" w:hAnsi="Times New Roman" w:eastAsia="宋体"/>
                <w:highlight w:val="none"/>
              </w:rPr>
              <w:t>0.00</w:t>
            </w:r>
            <w:r>
              <w:rPr>
                <w:rFonts w:hint="eastAsia" w:ascii="Times New Roman" w:hAnsi="Times New Roman" w:eastAsia="宋体"/>
                <w:highlight w:val="none"/>
                <w:lang w:val="en-US" w:eastAsia="zh-CN"/>
              </w:rPr>
              <w:t>73</w:t>
            </w:r>
          </w:p>
        </w:tc>
      </w:tr>
      <w:tr w14:paraId="6BD8FE0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0" w:hRule="atLeast"/>
          <w:jc w:val="center"/>
        </w:trPr>
        <w:tc>
          <w:tcPr>
            <w:tcW w:w="1058" w:type="dxa"/>
            <w:vMerge w:val="continue"/>
            <w:noWrap w:val="0"/>
            <w:vAlign w:val="center"/>
          </w:tcPr>
          <w:p w14:paraId="270AAF47">
            <w:pPr>
              <w:pStyle w:val="27"/>
              <w:rPr>
                <w:rFonts w:ascii="Times New Roman" w:hAnsi="Times New Roman" w:eastAsia="宋体"/>
                <w:highlight w:val="none"/>
              </w:rPr>
            </w:pPr>
          </w:p>
        </w:tc>
        <w:tc>
          <w:tcPr>
            <w:tcW w:w="750" w:type="dxa"/>
            <w:vMerge w:val="continue"/>
            <w:noWrap w:val="0"/>
            <w:vAlign w:val="center"/>
          </w:tcPr>
          <w:p w14:paraId="2C433A60">
            <w:pPr>
              <w:pStyle w:val="27"/>
              <w:rPr>
                <w:rFonts w:ascii="Times New Roman" w:hAnsi="Times New Roman" w:eastAsia="宋体"/>
                <w:highlight w:val="none"/>
              </w:rPr>
            </w:pPr>
          </w:p>
        </w:tc>
        <w:tc>
          <w:tcPr>
            <w:tcW w:w="1215" w:type="dxa"/>
            <w:vMerge w:val="restart"/>
            <w:noWrap w:val="0"/>
            <w:vAlign w:val="center"/>
          </w:tcPr>
          <w:p w14:paraId="4EE97C25">
            <w:pPr>
              <w:pStyle w:val="27"/>
              <w:rPr>
                <w:rFonts w:ascii="Times New Roman" w:hAnsi="Times New Roman" w:eastAsia="宋体"/>
                <w:highlight w:val="none"/>
              </w:rPr>
            </w:pPr>
            <w:r>
              <w:rPr>
                <w:rFonts w:ascii="Times New Roman" w:hAnsi="Times New Roman" w:eastAsia="宋体"/>
                <w:highlight w:val="none"/>
              </w:rPr>
              <w:t>排放量</w:t>
            </w:r>
          </w:p>
        </w:tc>
        <w:tc>
          <w:tcPr>
            <w:tcW w:w="993" w:type="dxa"/>
            <w:vMerge w:val="restart"/>
            <w:noWrap w:val="0"/>
            <w:vAlign w:val="center"/>
          </w:tcPr>
          <w:p w14:paraId="5B9DD358">
            <w:pPr>
              <w:pStyle w:val="27"/>
              <w:rPr>
                <w:rFonts w:ascii="Times New Roman" w:hAnsi="Times New Roman" w:eastAsia="宋体"/>
                <w:highlight w:val="none"/>
              </w:rPr>
            </w:pPr>
            <w:r>
              <w:rPr>
                <w:rFonts w:ascii="Times New Roman" w:hAnsi="Times New Roman" w:eastAsia="宋体"/>
                <w:highlight w:val="none"/>
              </w:rPr>
              <w:t>M</w:t>
            </w:r>
            <w:r>
              <w:rPr>
                <w:rFonts w:ascii="Times New Roman" w:hAnsi="Times New Roman" w:eastAsia="宋体"/>
                <w:highlight w:val="none"/>
                <w:vertAlign w:val="subscript"/>
              </w:rPr>
              <w:t>Hg</w:t>
            </w:r>
          </w:p>
        </w:tc>
        <w:tc>
          <w:tcPr>
            <w:tcW w:w="2442" w:type="dxa"/>
            <w:noWrap w:val="0"/>
            <w:vAlign w:val="center"/>
          </w:tcPr>
          <w:p w14:paraId="02A4C713">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10.10~10.25使用116MW锅炉</w:t>
            </w:r>
            <w:r>
              <w:rPr>
                <w:rFonts w:hint="eastAsia" w:ascii="Times New Roman" w:hAnsi="Times New Roman" w:eastAsia="宋体"/>
                <w:highlight w:val="none"/>
                <w:lang w:eastAsia="zh-CN"/>
              </w:rPr>
              <w:t>）</w:t>
            </w:r>
          </w:p>
        </w:tc>
        <w:tc>
          <w:tcPr>
            <w:tcW w:w="1939" w:type="dxa"/>
            <w:noWrap w:val="0"/>
            <w:vAlign w:val="center"/>
          </w:tcPr>
          <w:p w14:paraId="3E4DF934">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0.00194</w:t>
            </w:r>
          </w:p>
        </w:tc>
      </w:tr>
      <w:tr w14:paraId="62CD1CE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0" w:hRule="atLeast"/>
          <w:jc w:val="center"/>
        </w:trPr>
        <w:tc>
          <w:tcPr>
            <w:tcW w:w="1058" w:type="dxa"/>
            <w:vMerge w:val="continue"/>
            <w:noWrap w:val="0"/>
            <w:vAlign w:val="center"/>
          </w:tcPr>
          <w:p w14:paraId="039E762B">
            <w:pPr>
              <w:pStyle w:val="27"/>
              <w:rPr>
                <w:rFonts w:ascii="Times New Roman" w:hAnsi="Times New Roman" w:eastAsia="宋体"/>
                <w:highlight w:val="none"/>
              </w:rPr>
            </w:pPr>
          </w:p>
        </w:tc>
        <w:tc>
          <w:tcPr>
            <w:tcW w:w="750" w:type="dxa"/>
            <w:vMerge w:val="continue"/>
            <w:noWrap w:val="0"/>
            <w:vAlign w:val="center"/>
          </w:tcPr>
          <w:p w14:paraId="79744347">
            <w:pPr>
              <w:pStyle w:val="27"/>
              <w:rPr>
                <w:rFonts w:ascii="Times New Roman" w:hAnsi="Times New Roman" w:eastAsia="宋体"/>
                <w:highlight w:val="none"/>
              </w:rPr>
            </w:pPr>
          </w:p>
        </w:tc>
        <w:tc>
          <w:tcPr>
            <w:tcW w:w="1215" w:type="dxa"/>
            <w:vMerge w:val="continue"/>
            <w:noWrap w:val="0"/>
            <w:vAlign w:val="center"/>
          </w:tcPr>
          <w:p w14:paraId="0FF3CF66">
            <w:pPr>
              <w:pStyle w:val="27"/>
              <w:rPr>
                <w:rFonts w:ascii="Times New Roman" w:hAnsi="Times New Roman" w:eastAsia="宋体"/>
                <w:highlight w:val="none"/>
              </w:rPr>
            </w:pPr>
          </w:p>
        </w:tc>
        <w:tc>
          <w:tcPr>
            <w:tcW w:w="993" w:type="dxa"/>
            <w:vMerge w:val="continue"/>
            <w:noWrap w:val="0"/>
            <w:vAlign w:val="center"/>
          </w:tcPr>
          <w:p w14:paraId="7AA71235">
            <w:pPr>
              <w:pStyle w:val="27"/>
              <w:rPr>
                <w:rFonts w:ascii="Times New Roman" w:hAnsi="Times New Roman" w:eastAsia="宋体"/>
                <w:highlight w:val="none"/>
              </w:rPr>
            </w:pPr>
          </w:p>
        </w:tc>
        <w:tc>
          <w:tcPr>
            <w:tcW w:w="2442" w:type="dxa"/>
            <w:noWrap w:val="0"/>
            <w:vAlign w:val="center"/>
          </w:tcPr>
          <w:p w14:paraId="0964A6D5">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10.25~12.15使用58MW+35t/h锅炉</w:t>
            </w:r>
            <w:r>
              <w:rPr>
                <w:rFonts w:hint="eastAsia" w:ascii="Times New Roman" w:hAnsi="Times New Roman" w:eastAsia="宋体"/>
                <w:highlight w:val="none"/>
                <w:lang w:eastAsia="zh-CN"/>
              </w:rPr>
              <w:t>）</w:t>
            </w:r>
          </w:p>
        </w:tc>
        <w:tc>
          <w:tcPr>
            <w:tcW w:w="1939" w:type="dxa"/>
            <w:noWrap w:val="0"/>
            <w:vAlign w:val="center"/>
          </w:tcPr>
          <w:p w14:paraId="3297E1CB">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0.000844</w:t>
            </w:r>
          </w:p>
        </w:tc>
      </w:tr>
      <w:tr w14:paraId="74278E7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0" w:hRule="atLeast"/>
          <w:jc w:val="center"/>
        </w:trPr>
        <w:tc>
          <w:tcPr>
            <w:tcW w:w="1058" w:type="dxa"/>
            <w:vMerge w:val="continue"/>
            <w:noWrap w:val="0"/>
            <w:vAlign w:val="center"/>
          </w:tcPr>
          <w:p w14:paraId="4D20CF45">
            <w:pPr>
              <w:pStyle w:val="27"/>
              <w:rPr>
                <w:rFonts w:ascii="Times New Roman" w:hAnsi="Times New Roman" w:eastAsia="宋体"/>
                <w:highlight w:val="none"/>
              </w:rPr>
            </w:pPr>
          </w:p>
        </w:tc>
        <w:tc>
          <w:tcPr>
            <w:tcW w:w="750" w:type="dxa"/>
            <w:vMerge w:val="continue"/>
            <w:noWrap w:val="0"/>
            <w:vAlign w:val="center"/>
          </w:tcPr>
          <w:p w14:paraId="2F47C883">
            <w:pPr>
              <w:pStyle w:val="27"/>
              <w:rPr>
                <w:rFonts w:ascii="Times New Roman" w:hAnsi="Times New Roman" w:eastAsia="宋体"/>
                <w:highlight w:val="none"/>
              </w:rPr>
            </w:pPr>
          </w:p>
        </w:tc>
        <w:tc>
          <w:tcPr>
            <w:tcW w:w="1215" w:type="dxa"/>
            <w:vMerge w:val="continue"/>
            <w:noWrap w:val="0"/>
            <w:vAlign w:val="center"/>
          </w:tcPr>
          <w:p w14:paraId="7C9F9CC3">
            <w:pPr>
              <w:pStyle w:val="27"/>
              <w:rPr>
                <w:rFonts w:ascii="Times New Roman" w:hAnsi="Times New Roman" w:eastAsia="宋体"/>
                <w:highlight w:val="none"/>
              </w:rPr>
            </w:pPr>
          </w:p>
        </w:tc>
        <w:tc>
          <w:tcPr>
            <w:tcW w:w="993" w:type="dxa"/>
            <w:vMerge w:val="continue"/>
            <w:noWrap w:val="0"/>
            <w:vAlign w:val="center"/>
          </w:tcPr>
          <w:p w14:paraId="4B606B6D">
            <w:pPr>
              <w:pStyle w:val="27"/>
              <w:rPr>
                <w:rFonts w:ascii="Times New Roman" w:hAnsi="Times New Roman" w:eastAsia="宋体"/>
                <w:highlight w:val="none"/>
              </w:rPr>
            </w:pPr>
          </w:p>
        </w:tc>
        <w:tc>
          <w:tcPr>
            <w:tcW w:w="2442" w:type="dxa"/>
            <w:noWrap w:val="0"/>
            <w:vAlign w:val="center"/>
          </w:tcPr>
          <w:p w14:paraId="205AD179">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12.15~1.20使用116MW+35t/h锅炉</w:t>
            </w:r>
            <w:r>
              <w:rPr>
                <w:rFonts w:hint="eastAsia" w:ascii="Times New Roman" w:hAnsi="Times New Roman" w:eastAsia="宋体"/>
                <w:highlight w:val="none"/>
                <w:lang w:eastAsia="zh-CN"/>
              </w:rPr>
              <w:t>）</w:t>
            </w:r>
          </w:p>
        </w:tc>
        <w:tc>
          <w:tcPr>
            <w:tcW w:w="1939" w:type="dxa"/>
            <w:noWrap w:val="0"/>
            <w:vAlign w:val="center"/>
          </w:tcPr>
          <w:p w14:paraId="52CBF44A">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0.00219</w:t>
            </w:r>
          </w:p>
        </w:tc>
      </w:tr>
      <w:tr w14:paraId="5EB6371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0" w:hRule="atLeast"/>
          <w:jc w:val="center"/>
        </w:trPr>
        <w:tc>
          <w:tcPr>
            <w:tcW w:w="1058" w:type="dxa"/>
            <w:vMerge w:val="continue"/>
            <w:noWrap w:val="0"/>
            <w:vAlign w:val="center"/>
          </w:tcPr>
          <w:p w14:paraId="3CDB4522">
            <w:pPr>
              <w:pStyle w:val="27"/>
              <w:rPr>
                <w:rFonts w:ascii="Times New Roman" w:hAnsi="Times New Roman" w:eastAsia="宋体"/>
                <w:highlight w:val="none"/>
              </w:rPr>
            </w:pPr>
          </w:p>
        </w:tc>
        <w:tc>
          <w:tcPr>
            <w:tcW w:w="750" w:type="dxa"/>
            <w:vMerge w:val="continue"/>
            <w:noWrap w:val="0"/>
            <w:vAlign w:val="center"/>
          </w:tcPr>
          <w:p w14:paraId="16732ABD">
            <w:pPr>
              <w:pStyle w:val="27"/>
              <w:rPr>
                <w:rFonts w:ascii="Times New Roman" w:hAnsi="Times New Roman" w:eastAsia="宋体"/>
                <w:highlight w:val="none"/>
              </w:rPr>
            </w:pPr>
          </w:p>
        </w:tc>
        <w:tc>
          <w:tcPr>
            <w:tcW w:w="1215" w:type="dxa"/>
            <w:vMerge w:val="continue"/>
            <w:noWrap w:val="0"/>
            <w:vAlign w:val="center"/>
          </w:tcPr>
          <w:p w14:paraId="0A4596F1">
            <w:pPr>
              <w:pStyle w:val="27"/>
              <w:rPr>
                <w:rFonts w:ascii="Times New Roman" w:hAnsi="Times New Roman" w:eastAsia="宋体"/>
                <w:highlight w:val="none"/>
              </w:rPr>
            </w:pPr>
          </w:p>
        </w:tc>
        <w:tc>
          <w:tcPr>
            <w:tcW w:w="993" w:type="dxa"/>
            <w:vMerge w:val="continue"/>
            <w:noWrap w:val="0"/>
            <w:vAlign w:val="center"/>
          </w:tcPr>
          <w:p w14:paraId="6AE968E5">
            <w:pPr>
              <w:pStyle w:val="27"/>
              <w:rPr>
                <w:rFonts w:ascii="Times New Roman" w:hAnsi="Times New Roman" w:eastAsia="宋体"/>
                <w:highlight w:val="none"/>
              </w:rPr>
            </w:pPr>
          </w:p>
        </w:tc>
        <w:tc>
          <w:tcPr>
            <w:tcW w:w="2442" w:type="dxa"/>
            <w:noWrap w:val="0"/>
            <w:vAlign w:val="center"/>
          </w:tcPr>
          <w:p w14:paraId="44911092">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1.20~4.1使用58MW+35t/h锅炉</w:t>
            </w:r>
            <w:r>
              <w:rPr>
                <w:rFonts w:hint="eastAsia" w:ascii="Times New Roman" w:hAnsi="Times New Roman" w:eastAsia="宋体"/>
                <w:highlight w:val="none"/>
                <w:lang w:eastAsia="zh-CN"/>
              </w:rPr>
              <w:t>）</w:t>
            </w:r>
          </w:p>
        </w:tc>
        <w:tc>
          <w:tcPr>
            <w:tcW w:w="1939" w:type="dxa"/>
            <w:noWrap w:val="0"/>
            <w:vAlign w:val="center"/>
          </w:tcPr>
          <w:p w14:paraId="51BE5C75">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0.000844</w:t>
            </w:r>
          </w:p>
        </w:tc>
      </w:tr>
      <w:tr w14:paraId="4A9D32F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0" w:hRule="atLeast"/>
          <w:jc w:val="center"/>
        </w:trPr>
        <w:tc>
          <w:tcPr>
            <w:tcW w:w="1058" w:type="dxa"/>
            <w:vMerge w:val="continue"/>
            <w:noWrap w:val="0"/>
            <w:vAlign w:val="center"/>
          </w:tcPr>
          <w:p w14:paraId="34C5F075">
            <w:pPr>
              <w:pStyle w:val="27"/>
              <w:rPr>
                <w:rFonts w:ascii="Times New Roman" w:hAnsi="Times New Roman" w:eastAsia="宋体"/>
                <w:highlight w:val="none"/>
              </w:rPr>
            </w:pPr>
          </w:p>
        </w:tc>
        <w:tc>
          <w:tcPr>
            <w:tcW w:w="750" w:type="dxa"/>
            <w:vMerge w:val="continue"/>
            <w:noWrap w:val="0"/>
            <w:vAlign w:val="center"/>
          </w:tcPr>
          <w:p w14:paraId="63CDC781">
            <w:pPr>
              <w:pStyle w:val="27"/>
              <w:rPr>
                <w:rFonts w:ascii="Times New Roman" w:hAnsi="Times New Roman" w:eastAsia="宋体"/>
                <w:highlight w:val="none"/>
              </w:rPr>
            </w:pPr>
          </w:p>
        </w:tc>
        <w:tc>
          <w:tcPr>
            <w:tcW w:w="1215" w:type="dxa"/>
            <w:vMerge w:val="continue"/>
            <w:noWrap w:val="0"/>
            <w:vAlign w:val="center"/>
          </w:tcPr>
          <w:p w14:paraId="59A68AEA">
            <w:pPr>
              <w:pStyle w:val="27"/>
              <w:rPr>
                <w:rFonts w:ascii="Times New Roman" w:hAnsi="Times New Roman" w:eastAsia="宋体"/>
                <w:highlight w:val="none"/>
              </w:rPr>
            </w:pPr>
          </w:p>
        </w:tc>
        <w:tc>
          <w:tcPr>
            <w:tcW w:w="993" w:type="dxa"/>
            <w:vMerge w:val="continue"/>
            <w:noWrap w:val="0"/>
            <w:vAlign w:val="center"/>
          </w:tcPr>
          <w:p w14:paraId="4E58B1FB">
            <w:pPr>
              <w:pStyle w:val="27"/>
              <w:rPr>
                <w:rFonts w:ascii="Times New Roman" w:hAnsi="Times New Roman" w:eastAsia="宋体"/>
                <w:highlight w:val="none"/>
              </w:rPr>
            </w:pPr>
          </w:p>
        </w:tc>
        <w:tc>
          <w:tcPr>
            <w:tcW w:w="2442" w:type="dxa"/>
            <w:noWrap w:val="0"/>
            <w:vAlign w:val="center"/>
          </w:tcPr>
          <w:p w14:paraId="71A99EE4">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4.1~4.30使用58MW锅炉</w:t>
            </w:r>
            <w:r>
              <w:rPr>
                <w:rFonts w:hint="eastAsia" w:ascii="Times New Roman" w:hAnsi="Times New Roman" w:eastAsia="宋体"/>
                <w:highlight w:val="none"/>
                <w:lang w:eastAsia="zh-CN"/>
              </w:rPr>
              <w:t>）</w:t>
            </w:r>
          </w:p>
        </w:tc>
        <w:tc>
          <w:tcPr>
            <w:tcW w:w="1939" w:type="dxa"/>
            <w:noWrap w:val="0"/>
            <w:vAlign w:val="center"/>
          </w:tcPr>
          <w:p w14:paraId="0D5A80DA">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0.000594</w:t>
            </w:r>
          </w:p>
        </w:tc>
      </w:tr>
      <w:tr w14:paraId="4A2EE6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30DBD33F">
            <w:pPr>
              <w:pStyle w:val="27"/>
              <w:rPr>
                <w:rFonts w:ascii="Times New Roman" w:hAnsi="Times New Roman" w:eastAsia="宋体"/>
                <w:highlight w:val="none"/>
              </w:rPr>
            </w:pPr>
          </w:p>
        </w:tc>
        <w:tc>
          <w:tcPr>
            <w:tcW w:w="750" w:type="dxa"/>
            <w:vMerge w:val="continue"/>
            <w:noWrap w:val="0"/>
            <w:vAlign w:val="center"/>
          </w:tcPr>
          <w:p w14:paraId="34A1A86B">
            <w:pPr>
              <w:pStyle w:val="27"/>
              <w:rPr>
                <w:rFonts w:ascii="Times New Roman" w:hAnsi="Times New Roman" w:eastAsia="宋体"/>
                <w:highlight w:val="none"/>
              </w:rPr>
            </w:pPr>
          </w:p>
        </w:tc>
        <w:tc>
          <w:tcPr>
            <w:tcW w:w="1215" w:type="dxa"/>
            <w:vMerge w:val="continue"/>
            <w:noWrap w:val="0"/>
            <w:vAlign w:val="center"/>
          </w:tcPr>
          <w:p w14:paraId="65FC9048">
            <w:pPr>
              <w:pStyle w:val="27"/>
              <w:rPr>
                <w:rFonts w:ascii="Times New Roman" w:hAnsi="Times New Roman" w:eastAsia="宋体"/>
                <w:highlight w:val="none"/>
              </w:rPr>
            </w:pPr>
          </w:p>
        </w:tc>
        <w:tc>
          <w:tcPr>
            <w:tcW w:w="993" w:type="dxa"/>
            <w:vMerge w:val="continue"/>
            <w:noWrap w:val="0"/>
            <w:vAlign w:val="center"/>
          </w:tcPr>
          <w:p w14:paraId="3BB68629">
            <w:pPr>
              <w:pStyle w:val="27"/>
              <w:rPr>
                <w:rFonts w:ascii="Times New Roman" w:hAnsi="Times New Roman" w:eastAsia="宋体"/>
                <w:highlight w:val="none"/>
              </w:rPr>
            </w:pPr>
          </w:p>
        </w:tc>
        <w:tc>
          <w:tcPr>
            <w:tcW w:w="2442" w:type="dxa"/>
            <w:noWrap w:val="0"/>
            <w:vAlign w:val="center"/>
          </w:tcPr>
          <w:p w14:paraId="64173F3F">
            <w:pPr>
              <w:pStyle w:val="27"/>
              <w:rPr>
                <w:rFonts w:ascii="Times New Roman" w:hAnsi="Times New Roman" w:eastAsia="宋体"/>
                <w:highlight w:val="none"/>
              </w:rPr>
            </w:pPr>
            <w:r>
              <w:rPr>
                <w:rFonts w:ascii="Times New Roman" w:hAnsi="Times New Roman" w:eastAsia="宋体"/>
                <w:highlight w:val="none"/>
              </w:rPr>
              <w:t>t/a</w:t>
            </w:r>
          </w:p>
        </w:tc>
        <w:tc>
          <w:tcPr>
            <w:tcW w:w="1939" w:type="dxa"/>
            <w:noWrap w:val="0"/>
            <w:vAlign w:val="center"/>
          </w:tcPr>
          <w:p w14:paraId="307AC615">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0.0055</w:t>
            </w:r>
          </w:p>
        </w:tc>
      </w:tr>
      <w:tr w14:paraId="2D67B17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577F8703">
            <w:pPr>
              <w:pStyle w:val="27"/>
              <w:rPr>
                <w:rFonts w:ascii="Times New Roman" w:hAnsi="Times New Roman" w:eastAsia="宋体"/>
                <w:highlight w:val="none"/>
              </w:rPr>
            </w:pPr>
          </w:p>
        </w:tc>
        <w:tc>
          <w:tcPr>
            <w:tcW w:w="750" w:type="dxa"/>
            <w:vMerge w:val="restart"/>
            <w:noWrap w:val="0"/>
            <w:vAlign w:val="center"/>
          </w:tcPr>
          <w:p w14:paraId="0CF11A30">
            <w:pPr>
              <w:pStyle w:val="27"/>
              <w:rPr>
                <w:rFonts w:ascii="Times New Roman" w:hAnsi="Times New Roman" w:eastAsia="宋体"/>
                <w:highlight w:val="none"/>
              </w:rPr>
            </w:pPr>
            <w:r>
              <w:rPr>
                <w:rFonts w:ascii="Times New Roman" w:hAnsi="Times New Roman" w:eastAsia="宋体"/>
                <w:highlight w:val="none"/>
              </w:rPr>
              <w:t>氨逃逸</w:t>
            </w:r>
          </w:p>
        </w:tc>
        <w:tc>
          <w:tcPr>
            <w:tcW w:w="1215" w:type="dxa"/>
            <w:noWrap w:val="0"/>
            <w:vAlign w:val="center"/>
          </w:tcPr>
          <w:p w14:paraId="20F7C883">
            <w:pPr>
              <w:pStyle w:val="27"/>
              <w:rPr>
                <w:rFonts w:ascii="Times New Roman" w:hAnsi="Times New Roman" w:eastAsia="宋体"/>
                <w:highlight w:val="none"/>
              </w:rPr>
            </w:pPr>
            <w:r>
              <w:rPr>
                <w:rFonts w:ascii="Times New Roman" w:hAnsi="Times New Roman" w:eastAsia="宋体"/>
                <w:highlight w:val="none"/>
              </w:rPr>
              <w:t>产生浓度</w:t>
            </w:r>
          </w:p>
        </w:tc>
        <w:tc>
          <w:tcPr>
            <w:tcW w:w="993" w:type="dxa"/>
            <w:noWrap w:val="0"/>
            <w:vAlign w:val="center"/>
          </w:tcPr>
          <w:p w14:paraId="7AA11DB2">
            <w:pPr>
              <w:pStyle w:val="27"/>
              <w:rPr>
                <w:rFonts w:ascii="Times New Roman" w:hAnsi="Times New Roman" w:eastAsia="宋体"/>
                <w:highlight w:val="none"/>
              </w:rPr>
            </w:pPr>
            <w:r>
              <w:rPr>
                <w:rFonts w:ascii="Times New Roman" w:hAnsi="Times New Roman" w:eastAsia="宋体"/>
                <w:highlight w:val="none"/>
              </w:rPr>
              <w:t>C</w:t>
            </w:r>
            <w:r>
              <w:rPr>
                <w:rFonts w:ascii="Times New Roman" w:hAnsi="Times New Roman" w:eastAsia="宋体"/>
                <w:highlight w:val="none"/>
                <w:vertAlign w:val="subscript"/>
              </w:rPr>
              <w:t>Hg</w:t>
            </w:r>
          </w:p>
        </w:tc>
        <w:tc>
          <w:tcPr>
            <w:tcW w:w="2442" w:type="dxa"/>
            <w:noWrap w:val="0"/>
            <w:vAlign w:val="center"/>
          </w:tcPr>
          <w:p w14:paraId="5985946F">
            <w:pPr>
              <w:pStyle w:val="27"/>
              <w:rPr>
                <w:rFonts w:ascii="Times New Roman" w:hAnsi="Times New Roman" w:eastAsia="宋体"/>
                <w:highlight w:val="none"/>
              </w:rPr>
            </w:pPr>
            <w:r>
              <w:rPr>
                <w:rFonts w:ascii="Times New Roman" w:hAnsi="Times New Roman" w:eastAsia="宋体"/>
                <w:highlight w:val="none"/>
              </w:rPr>
              <w:t>mg/m</w:t>
            </w:r>
            <w:r>
              <w:rPr>
                <w:rFonts w:ascii="Times New Roman" w:hAnsi="Times New Roman" w:eastAsia="宋体"/>
                <w:highlight w:val="none"/>
                <w:vertAlign w:val="superscript"/>
              </w:rPr>
              <w:t>3</w:t>
            </w:r>
          </w:p>
        </w:tc>
        <w:tc>
          <w:tcPr>
            <w:tcW w:w="1939" w:type="dxa"/>
            <w:noWrap w:val="0"/>
            <w:vAlign w:val="center"/>
          </w:tcPr>
          <w:p w14:paraId="0F401600">
            <w:pPr>
              <w:pStyle w:val="27"/>
              <w:rPr>
                <w:rFonts w:ascii="Times New Roman" w:hAnsi="Times New Roman" w:eastAsia="宋体"/>
                <w:highlight w:val="none"/>
              </w:rPr>
            </w:pPr>
            <w:r>
              <w:rPr>
                <w:rFonts w:ascii="Times New Roman" w:hAnsi="Times New Roman" w:eastAsia="宋体"/>
                <w:highlight w:val="none"/>
              </w:rPr>
              <w:t>2.500</w:t>
            </w:r>
          </w:p>
        </w:tc>
      </w:tr>
      <w:tr w14:paraId="4A6C29B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8" w:hRule="atLeast"/>
          <w:jc w:val="center"/>
        </w:trPr>
        <w:tc>
          <w:tcPr>
            <w:tcW w:w="1058" w:type="dxa"/>
            <w:vMerge w:val="continue"/>
            <w:noWrap w:val="0"/>
            <w:vAlign w:val="center"/>
          </w:tcPr>
          <w:p w14:paraId="41BE9C2A">
            <w:pPr>
              <w:pStyle w:val="27"/>
              <w:rPr>
                <w:rFonts w:ascii="Times New Roman" w:hAnsi="Times New Roman" w:eastAsia="宋体"/>
                <w:highlight w:val="none"/>
              </w:rPr>
            </w:pPr>
          </w:p>
        </w:tc>
        <w:tc>
          <w:tcPr>
            <w:tcW w:w="750" w:type="dxa"/>
            <w:vMerge w:val="continue"/>
            <w:noWrap w:val="0"/>
            <w:vAlign w:val="center"/>
          </w:tcPr>
          <w:p w14:paraId="32253146">
            <w:pPr>
              <w:pStyle w:val="27"/>
              <w:rPr>
                <w:rFonts w:ascii="Times New Roman" w:hAnsi="Times New Roman" w:eastAsia="宋体"/>
                <w:highlight w:val="none"/>
              </w:rPr>
            </w:pPr>
          </w:p>
        </w:tc>
        <w:tc>
          <w:tcPr>
            <w:tcW w:w="1215" w:type="dxa"/>
            <w:vMerge w:val="restart"/>
            <w:noWrap w:val="0"/>
            <w:vAlign w:val="center"/>
          </w:tcPr>
          <w:p w14:paraId="50E0D6F7">
            <w:pPr>
              <w:pStyle w:val="27"/>
              <w:rPr>
                <w:rFonts w:ascii="Times New Roman" w:hAnsi="Times New Roman" w:eastAsia="宋体"/>
                <w:highlight w:val="none"/>
              </w:rPr>
            </w:pPr>
            <w:r>
              <w:rPr>
                <w:rFonts w:ascii="Times New Roman" w:hAnsi="Times New Roman" w:eastAsia="宋体"/>
                <w:highlight w:val="none"/>
              </w:rPr>
              <w:t>产生量</w:t>
            </w:r>
          </w:p>
        </w:tc>
        <w:tc>
          <w:tcPr>
            <w:tcW w:w="993" w:type="dxa"/>
            <w:vMerge w:val="restart"/>
            <w:noWrap w:val="0"/>
            <w:vAlign w:val="center"/>
          </w:tcPr>
          <w:p w14:paraId="5A823943">
            <w:pPr>
              <w:pStyle w:val="27"/>
              <w:rPr>
                <w:rFonts w:ascii="Times New Roman" w:hAnsi="Times New Roman" w:eastAsia="宋体"/>
                <w:highlight w:val="none"/>
              </w:rPr>
            </w:pPr>
            <w:r>
              <w:rPr>
                <w:rFonts w:ascii="Times New Roman" w:hAnsi="Times New Roman" w:eastAsia="宋体"/>
                <w:highlight w:val="none"/>
              </w:rPr>
              <w:t>M</w:t>
            </w:r>
            <w:r>
              <w:rPr>
                <w:rFonts w:ascii="Times New Roman" w:hAnsi="Times New Roman" w:eastAsia="宋体"/>
                <w:highlight w:val="none"/>
                <w:vertAlign w:val="subscript"/>
              </w:rPr>
              <w:t>Hg</w:t>
            </w:r>
          </w:p>
        </w:tc>
        <w:tc>
          <w:tcPr>
            <w:tcW w:w="2442" w:type="dxa"/>
            <w:noWrap w:val="0"/>
            <w:vAlign w:val="center"/>
          </w:tcPr>
          <w:p w14:paraId="47D25EF8">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10.10~10.25使用116MW锅炉</w:t>
            </w:r>
            <w:r>
              <w:rPr>
                <w:rFonts w:hint="eastAsia" w:ascii="Times New Roman" w:hAnsi="Times New Roman" w:eastAsia="宋体"/>
                <w:highlight w:val="none"/>
                <w:lang w:eastAsia="zh-CN"/>
              </w:rPr>
              <w:t>）</w:t>
            </w:r>
          </w:p>
        </w:tc>
        <w:tc>
          <w:tcPr>
            <w:tcW w:w="1939" w:type="dxa"/>
            <w:noWrap w:val="0"/>
            <w:vAlign w:val="center"/>
          </w:tcPr>
          <w:p w14:paraId="6A2D8670">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0.66</w:t>
            </w:r>
          </w:p>
        </w:tc>
      </w:tr>
      <w:tr w14:paraId="0FB8902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8" w:hRule="atLeast"/>
          <w:jc w:val="center"/>
        </w:trPr>
        <w:tc>
          <w:tcPr>
            <w:tcW w:w="1058" w:type="dxa"/>
            <w:vMerge w:val="continue"/>
            <w:noWrap w:val="0"/>
            <w:vAlign w:val="center"/>
          </w:tcPr>
          <w:p w14:paraId="50416804">
            <w:pPr>
              <w:pStyle w:val="27"/>
              <w:rPr>
                <w:rFonts w:ascii="Times New Roman" w:hAnsi="Times New Roman" w:eastAsia="宋体"/>
                <w:highlight w:val="none"/>
              </w:rPr>
            </w:pPr>
          </w:p>
        </w:tc>
        <w:tc>
          <w:tcPr>
            <w:tcW w:w="750" w:type="dxa"/>
            <w:vMerge w:val="continue"/>
            <w:noWrap w:val="0"/>
            <w:vAlign w:val="center"/>
          </w:tcPr>
          <w:p w14:paraId="327D2FB1">
            <w:pPr>
              <w:pStyle w:val="27"/>
              <w:rPr>
                <w:rFonts w:ascii="Times New Roman" w:hAnsi="Times New Roman" w:eastAsia="宋体"/>
                <w:highlight w:val="none"/>
              </w:rPr>
            </w:pPr>
          </w:p>
        </w:tc>
        <w:tc>
          <w:tcPr>
            <w:tcW w:w="1215" w:type="dxa"/>
            <w:vMerge w:val="continue"/>
            <w:noWrap w:val="0"/>
            <w:vAlign w:val="center"/>
          </w:tcPr>
          <w:p w14:paraId="785B8858">
            <w:pPr>
              <w:pStyle w:val="27"/>
              <w:rPr>
                <w:rFonts w:ascii="Times New Roman" w:hAnsi="Times New Roman" w:eastAsia="宋体"/>
                <w:highlight w:val="none"/>
              </w:rPr>
            </w:pPr>
          </w:p>
        </w:tc>
        <w:tc>
          <w:tcPr>
            <w:tcW w:w="993" w:type="dxa"/>
            <w:vMerge w:val="continue"/>
            <w:noWrap w:val="0"/>
            <w:vAlign w:val="center"/>
          </w:tcPr>
          <w:p w14:paraId="739FD848">
            <w:pPr>
              <w:pStyle w:val="27"/>
              <w:rPr>
                <w:rFonts w:ascii="Times New Roman" w:hAnsi="Times New Roman" w:eastAsia="宋体"/>
                <w:highlight w:val="none"/>
              </w:rPr>
            </w:pPr>
          </w:p>
        </w:tc>
        <w:tc>
          <w:tcPr>
            <w:tcW w:w="2442" w:type="dxa"/>
            <w:noWrap w:val="0"/>
            <w:vAlign w:val="center"/>
          </w:tcPr>
          <w:p w14:paraId="7560B5FE">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10.25~12.15使用58MW+35t/h锅炉</w:t>
            </w:r>
            <w:r>
              <w:rPr>
                <w:rFonts w:hint="eastAsia" w:ascii="Times New Roman" w:hAnsi="Times New Roman" w:eastAsia="宋体"/>
                <w:highlight w:val="none"/>
                <w:lang w:eastAsia="zh-CN"/>
              </w:rPr>
              <w:t>）</w:t>
            </w:r>
          </w:p>
        </w:tc>
        <w:tc>
          <w:tcPr>
            <w:tcW w:w="1939" w:type="dxa"/>
            <w:noWrap w:val="0"/>
            <w:vAlign w:val="center"/>
          </w:tcPr>
          <w:p w14:paraId="2283EC7B">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0.287</w:t>
            </w:r>
          </w:p>
        </w:tc>
      </w:tr>
      <w:tr w14:paraId="36F4901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8" w:hRule="atLeast"/>
          <w:jc w:val="center"/>
        </w:trPr>
        <w:tc>
          <w:tcPr>
            <w:tcW w:w="1058" w:type="dxa"/>
            <w:vMerge w:val="continue"/>
            <w:noWrap w:val="0"/>
            <w:vAlign w:val="center"/>
          </w:tcPr>
          <w:p w14:paraId="32F3908E">
            <w:pPr>
              <w:pStyle w:val="27"/>
              <w:rPr>
                <w:rFonts w:ascii="Times New Roman" w:hAnsi="Times New Roman" w:eastAsia="宋体"/>
                <w:highlight w:val="none"/>
              </w:rPr>
            </w:pPr>
          </w:p>
        </w:tc>
        <w:tc>
          <w:tcPr>
            <w:tcW w:w="750" w:type="dxa"/>
            <w:vMerge w:val="continue"/>
            <w:noWrap w:val="0"/>
            <w:vAlign w:val="center"/>
          </w:tcPr>
          <w:p w14:paraId="24F6E89F">
            <w:pPr>
              <w:pStyle w:val="27"/>
              <w:rPr>
                <w:rFonts w:ascii="Times New Roman" w:hAnsi="Times New Roman" w:eastAsia="宋体"/>
                <w:highlight w:val="none"/>
              </w:rPr>
            </w:pPr>
          </w:p>
        </w:tc>
        <w:tc>
          <w:tcPr>
            <w:tcW w:w="1215" w:type="dxa"/>
            <w:vMerge w:val="continue"/>
            <w:noWrap w:val="0"/>
            <w:vAlign w:val="center"/>
          </w:tcPr>
          <w:p w14:paraId="1CCDB2D9">
            <w:pPr>
              <w:pStyle w:val="27"/>
              <w:rPr>
                <w:rFonts w:ascii="Times New Roman" w:hAnsi="Times New Roman" w:eastAsia="宋体"/>
                <w:highlight w:val="none"/>
              </w:rPr>
            </w:pPr>
          </w:p>
        </w:tc>
        <w:tc>
          <w:tcPr>
            <w:tcW w:w="993" w:type="dxa"/>
            <w:vMerge w:val="continue"/>
            <w:noWrap w:val="0"/>
            <w:vAlign w:val="center"/>
          </w:tcPr>
          <w:p w14:paraId="7DCB98F6">
            <w:pPr>
              <w:pStyle w:val="27"/>
              <w:rPr>
                <w:rFonts w:ascii="Times New Roman" w:hAnsi="Times New Roman" w:eastAsia="宋体"/>
                <w:highlight w:val="none"/>
              </w:rPr>
            </w:pPr>
          </w:p>
        </w:tc>
        <w:tc>
          <w:tcPr>
            <w:tcW w:w="2442" w:type="dxa"/>
            <w:noWrap w:val="0"/>
            <w:vAlign w:val="center"/>
          </w:tcPr>
          <w:p w14:paraId="2ED2020F">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12.15~1.20使用116MW+35t/h锅炉</w:t>
            </w:r>
            <w:r>
              <w:rPr>
                <w:rFonts w:hint="eastAsia" w:ascii="Times New Roman" w:hAnsi="Times New Roman" w:eastAsia="宋体"/>
                <w:highlight w:val="none"/>
                <w:lang w:eastAsia="zh-CN"/>
              </w:rPr>
              <w:t>）</w:t>
            </w:r>
          </w:p>
        </w:tc>
        <w:tc>
          <w:tcPr>
            <w:tcW w:w="1939" w:type="dxa"/>
            <w:noWrap w:val="0"/>
            <w:vAlign w:val="center"/>
          </w:tcPr>
          <w:p w14:paraId="6EC40DDD">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0.745</w:t>
            </w:r>
          </w:p>
        </w:tc>
      </w:tr>
      <w:tr w14:paraId="4551731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8" w:hRule="atLeast"/>
          <w:jc w:val="center"/>
        </w:trPr>
        <w:tc>
          <w:tcPr>
            <w:tcW w:w="1058" w:type="dxa"/>
            <w:vMerge w:val="continue"/>
            <w:noWrap w:val="0"/>
            <w:vAlign w:val="center"/>
          </w:tcPr>
          <w:p w14:paraId="2F1A5A7B">
            <w:pPr>
              <w:pStyle w:val="27"/>
              <w:rPr>
                <w:rFonts w:ascii="Times New Roman" w:hAnsi="Times New Roman" w:eastAsia="宋体"/>
                <w:highlight w:val="none"/>
              </w:rPr>
            </w:pPr>
          </w:p>
        </w:tc>
        <w:tc>
          <w:tcPr>
            <w:tcW w:w="750" w:type="dxa"/>
            <w:vMerge w:val="continue"/>
            <w:noWrap w:val="0"/>
            <w:vAlign w:val="center"/>
          </w:tcPr>
          <w:p w14:paraId="5A2F508D">
            <w:pPr>
              <w:pStyle w:val="27"/>
              <w:rPr>
                <w:rFonts w:ascii="Times New Roman" w:hAnsi="Times New Roman" w:eastAsia="宋体"/>
                <w:highlight w:val="none"/>
              </w:rPr>
            </w:pPr>
          </w:p>
        </w:tc>
        <w:tc>
          <w:tcPr>
            <w:tcW w:w="1215" w:type="dxa"/>
            <w:vMerge w:val="continue"/>
            <w:noWrap w:val="0"/>
            <w:vAlign w:val="center"/>
          </w:tcPr>
          <w:p w14:paraId="02FA576A">
            <w:pPr>
              <w:pStyle w:val="27"/>
              <w:rPr>
                <w:rFonts w:ascii="Times New Roman" w:hAnsi="Times New Roman" w:eastAsia="宋体"/>
                <w:highlight w:val="none"/>
              </w:rPr>
            </w:pPr>
          </w:p>
        </w:tc>
        <w:tc>
          <w:tcPr>
            <w:tcW w:w="993" w:type="dxa"/>
            <w:vMerge w:val="continue"/>
            <w:noWrap w:val="0"/>
            <w:vAlign w:val="center"/>
          </w:tcPr>
          <w:p w14:paraId="272542EC">
            <w:pPr>
              <w:pStyle w:val="27"/>
              <w:rPr>
                <w:rFonts w:ascii="Times New Roman" w:hAnsi="Times New Roman" w:eastAsia="宋体"/>
                <w:highlight w:val="none"/>
              </w:rPr>
            </w:pPr>
          </w:p>
        </w:tc>
        <w:tc>
          <w:tcPr>
            <w:tcW w:w="2442" w:type="dxa"/>
            <w:noWrap w:val="0"/>
            <w:vAlign w:val="center"/>
          </w:tcPr>
          <w:p w14:paraId="10253F69">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1.20~4.1使用58MW+35t/h锅炉</w:t>
            </w:r>
            <w:r>
              <w:rPr>
                <w:rFonts w:hint="eastAsia" w:ascii="Times New Roman" w:hAnsi="Times New Roman" w:eastAsia="宋体"/>
                <w:highlight w:val="none"/>
                <w:lang w:eastAsia="zh-CN"/>
              </w:rPr>
              <w:t>）</w:t>
            </w:r>
          </w:p>
        </w:tc>
        <w:tc>
          <w:tcPr>
            <w:tcW w:w="1939" w:type="dxa"/>
            <w:noWrap w:val="0"/>
            <w:vAlign w:val="center"/>
          </w:tcPr>
          <w:p w14:paraId="58600E19">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0.287</w:t>
            </w:r>
          </w:p>
        </w:tc>
      </w:tr>
      <w:tr w14:paraId="46D0C1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8" w:hRule="atLeast"/>
          <w:jc w:val="center"/>
        </w:trPr>
        <w:tc>
          <w:tcPr>
            <w:tcW w:w="1058" w:type="dxa"/>
            <w:vMerge w:val="continue"/>
            <w:noWrap w:val="0"/>
            <w:vAlign w:val="center"/>
          </w:tcPr>
          <w:p w14:paraId="658AF416">
            <w:pPr>
              <w:pStyle w:val="27"/>
              <w:rPr>
                <w:rFonts w:ascii="Times New Roman" w:hAnsi="Times New Roman" w:eastAsia="宋体"/>
                <w:highlight w:val="none"/>
              </w:rPr>
            </w:pPr>
          </w:p>
        </w:tc>
        <w:tc>
          <w:tcPr>
            <w:tcW w:w="750" w:type="dxa"/>
            <w:vMerge w:val="continue"/>
            <w:noWrap w:val="0"/>
            <w:vAlign w:val="center"/>
          </w:tcPr>
          <w:p w14:paraId="7C4D60C6">
            <w:pPr>
              <w:pStyle w:val="27"/>
              <w:rPr>
                <w:rFonts w:ascii="Times New Roman" w:hAnsi="Times New Roman" w:eastAsia="宋体"/>
                <w:highlight w:val="none"/>
              </w:rPr>
            </w:pPr>
          </w:p>
        </w:tc>
        <w:tc>
          <w:tcPr>
            <w:tcW w:w="1215" w:type="dxa"/>
            <w:vMerge w:val="continue"/>
            <w:noWrap w:val="0"/>
            <w:vAlign w:val="center"/>
          </w:tcPr>
          <w:p w14:paraId="2C2EA429">
            <w:pPr>
              <w:pStyle w:val="27"/>
              <w:rPr>
                <w:rFonts w:ascii="Times New Roman" w:hAnsi="Times New Roman" w:eastAsia="宋体"/>
                <w:highlight w:val="none"/>
              </w:rPr>
            </w:pPr>
          </w:p>
        </w:tc>
        <w:tc>
          <w:tcPr>
            <w:tcW w:w="993" w:type="dxa"/>
            <w:vMerge w:val="continue"/>
            <w:noWrap w:val="0"/>
            <w:vAlign w:val="center"/>
          </w:tcPr>
          <w:p w14:paraId="737FD663">
            <w:pPr>
              <w:pStyle w:val="27"/>
              <w:rPr>
                <w:rFonts w:ascii="Times New Roman" w:hAnsi="Times New Roman" w:eastAsia="宋体"/>
                <w:highlight w:val="none"/>
              </w:rPr>
            </w:pPr>
          </w:p>
        </w:tc>
        <w:tc>
          <w:tcPr>
            <w:tcW w:w="2442" w:type="dxa"/>
            <w:noWrap w:val="0"/>
            <w:vAlign w:val="center"/>
          </w:tcPr>
          <w:p w14:paraId="5A0D0837">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4.1~4.30使用58MW锅炉</w:t>
            </w:r>
            <w:r>
              <w:rPr>
                <w:rFonts w:hint="eastAsia" w:ascii="Times New Roman" w:hAnsi="Times New Roman" w:eastAsia="宋体"/>
                <w:highlight w:val="none"/>
                <w:lang w:eastAsia="zh-CN"/>
              </w:rPr>
              <w:t>）</w:t>
            </w:r>
          </w:p>
        </w:tc>
        <w:tc>
          <w:tcPr>
            <w:tcW w:w="1939" w:type="dxa"/>
            <w:noWrap w:val="0"/>
            <w:vAlign w:val="center"/>
          </w:tcPr>
          <w:p w14:paraId="3EE3E175">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0.202</w:t>
            </w:r>
          </w:p>
        </w:tc>
      </w:tr>
      <w:tr w14:paraId="141BCB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7" w:hRule="atLeast"/>
          <w:jc w:val="center"/>
        </w:trPr>
        <w:tc>
          <w:tcPr>
            <w:tcW w:w="1058" w:type="dxa"/>
            <w:vMerge w:val="continue"/>
            <w:noWrap w:val="0"/>
            <w:vAlign w:val="center"/>
          </w:tcPr>
          <w:p w14:paraId="18798FCE">
            <w:pPr>
              <w:pStyle w:val="27"/>
              <w:rPr>
                <w:rFonts w:ascii="Times New Roman" w:hAnsi="Times New Roman" w:eastAsia="宋体"/>
                <w:highlight w:val="none"/>
              </w:rPr>
            </w:pPr>
          </w:p>
        </w:tc>
        <w:tc>
          <w:tcPr>
            <w:tcW w:w="750" w:type="dxa"/>
            <w:vMerge w:val="continue"/>
            <w:noWrap w:val="0"/>
            <w:vAlign w:val="center"/>
          </w:tcPr>
          <w:p w14:paraId="7A961E8E">
            <w:pPr>
              <w:pStyle w:val="27"/>
              <w:rPr>
                <w:rFonts w:ascii="Times New Roman" w:hAnsi="Times New Roman" w:eastAsia="宋体"/>
                <w:highlight w:val="none"/>
              </w:rPr>
            </w:pPr>
          </w:p>
        </w:tc>
        <w:tc>
          <w:tcPr>
            <w:tcW w:w="1215" w:type="dxa"/>
            <w:vMerge w:val="continue"/>
            <w:noWrap w:val="0"/>
            <w:vAlign w:val="center"/>
          </w:tcPr>
          <w:p w14:paraId="31D51FF5">
            <w:pPr>
              <w:pStyle w:val="27"/>
              <w:rPr>
                <w:rFonts w:ascii="Times New Roman" w:hAnsi="Times New Roman" w:eastAsia="宋体"/>
                <w:highlight w:val="none"/>
              </w:rPr>
            </w:pPr>
          </w:p>
        </w:tc>
        <w:tc>
          <w:tcPr>
            <w:tcW w:w="993" w:type="dxa"/>
            <w:vMerge w:val="continue"/>
            <w:noWrap w:val="0"/>
            <w:vAlign w:val="center"/>
          </w:tcPr>
          <w:p w14:paraId="24883D82">
            <w:pPr>
              <w:pStyle w:val="27"/>
              <w:rPr>
                <w:rFonts w:ascii="Times New Roman" w:hAnsi="Times New Roman" w:eastAsia="宋体"/>
                <w:highlight w:val="none"/>
              </w:rPr>
            </w:pPr>
          </w:p>
        </w:tc>
        <w:tc>
          <w:tcPr>
            <w:tcW w:w="2442" w:type="dxa"/>
            <w:noWrap w:val="0"/>
            <w:vAlign w:val="center"/>
          </w:tcPr>
          <w:p w14:paraId="57855D4A">
            <w:pPr>
              <w:pStyle w:val="27"/>
              <w:rPr>
                <w:rFonts w:ascii="Times New Roman" w:hAnsi="Times New Roman" w:eastAsia="宋体"/>
                <w:highlight w:val="none"/>
              </w:rPr>
            </w:pPr>
            <w:r>
              <w:rPr>
                <w:rFonts w:ascii="Times New Roman" w:hAnsi="Times New Roman" w:eastAsia="宋体"/>
                <w:highlight w:val="none"/>
              </w:rPr>
              <w:t>t/a</w:t>
            </w:r>
          </w:p>
        </w:tc>
        <w:tc>
          <w:tcPr>
            <w:tcW w:w="1939" w:type="dxa"/>
            <w:noWrap w:val="0"/>
            <w:vAlign w:val="center"/>
          </w:tcPr>
          <w:p w14:paraId="16B4E153">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1.88</w:t>
            </w:r>
          </w:p>
        </w:tc>
      </w:tr>
      <w:tr w14:paraId="640489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058" w:type="dxa"/>
            <w:vMerge w:val="continue"/>
            <w:noWrap w:val="0"/>
            <w:vAlign w:val="center"/>
          </w:tcPr>
          <w:p w14:paraId="00AFAE91">
            <w:pPr>
              <w:pStyle w:val="27"/>
              <w:rPr>
                <w:rFonts w:ascii="Times New Roman" w:hAnsi="Times New Roman" w:eastAsia="宋体"/>
                <w:highlight w:val="none"/>
              </w:rPr>
            </w:pPr>
          </w:p>
        </w:tc>
        <w:tc>
          <w:tcPr>
            <w:tcW w:w="750" w:type="dxa"/>
            <w:vMerge w:val="continue"/>
            <w:noWrap w:val="0"/>
            <w:vAlign w:val="center"/>
          </w:tcPr>
          <w:p w14:paraId="7E500EB1">
            <w:pPr>
              <w:pStyle w:val="27"/>
              <w:rPr>
                <w:rFonts w:ascii="Times New Roman" w:hAnsi="Times New Roman" w:eastAsia="宋体"/>
                <w:highlight w:val="none"/>
              </w:rPr>
            </w:pPr>
          </w:p>
        </w:tc>
        <w:tc>
          <w:tcPr>
            <w:tcW w:w="1215" w:type="dxa"/>
            <w:noWrap w:val="0"/>
            <w:vAlign w:val="center"/>
          </w:tcPr>
          <w:p w14:paraId="216C3632">
            <w:pPr>
              <w:pStyle w:val="27"/>
              <w:rPr>
                <w:rFonts w:ascii="Times New Roman" w:hAnsi="Times New Roman" w:eastAsia="宋体"/>
                <w:highlight w:val="none"/>
              </w:rPr>
            </w:pPr>
            <w:r>
              <w:rPr>
                <w:rFonts w:ascii="Times New Roman" w:hAnsi="Times New Roman" w:eastAsia="宋体"/>
                <w:highlight w:val="none"/>
              </w:rPr>
              <w:t>预测排放浓度</w:t>
            </w:r>
          </w:p>
        </w:tc>
        <w:tc>
          <w:tcPr>
            <w:tcW w:w="993" w:type="dxa"/>
            <w:noWrap w:val="0"/>
            <w:vAlign w:val="center"/>
          </w:tcPr>
          <w:p w14:paraId="25C0132D">
            <w:pPr>
              <w:pStyle w:val="27"/>
              <w:rPr>
                <w:rFonts w:ascii="Times New Roman" w:hAnsi="Times New Roman" w:eastAsia="宋体"/>
                <w:highlight w:val="none"/>
              </w:rPr>
            </w:pPr>
            <w:r>
              <w:rPr>
                <w:rFonts w:ascii="Times New Roman" w:hAnsi="Times New Roman" w:eastAsia="宋体"/>
                <w:highlight w:val="none"/>
              </w:rPr>
              <w:t>C</w:t>
            </w:r>
            <w:r>
              <w:rPr>
                <w:rFonts w:ascii="Times New Roman" w:hAnsi="Times New Roman" w:eastAsia="宋体"/>
                <w:highlight w:val="none"/>
                <w:vertAlign w:val="subscript"/>
              </w:rPr>
              <w:t>Hg</w:t>
            </w:r>
          </w:p>
        </w:tc>
        <w:tc>
          <w:tcPr>
            <w:tcW w:w="2442" w:type="dxa"/>
            <w:noWrap w:val="0"/>
            <w:vAlign w:val="center"/>
          </w:tcPr>
          <w:p w14:paraId="17E58481">
            <w:pPr>
              <w:pStyle w:val="27"/>
              <w:rPr>
                <w:rFonts w:ascii="Times New Roman" w:hAnsi="Times New Roman" w:eastAsia="宋体"/>
                <w:highlight w:val="none"/>
              </w:rPr>
            </w:pPr>
            <w:r>
              <w:rPr>
                <w:rFonts w:ascii="Times New Roman" w:hAnsi="Times New Roman" w:eastAsia="宋体"/>
                <w:highlight w:val="none"/>
              </w:rPr>
              <w:t>mg/m</w:t>
            </w:r>
            <w:r>
              <w:rPr>
                <w:rFonts w:ascii="Times New Roman" w:hAnsi="Times New Roman" w:eastAsia="宋体"/>
                <w:highlight w:val="none"/>
                <w:vertAlign w:val="superscript"/>
              </w:rPr>
              <w:t>3</w:t>
            </w:r>
          </w:p>
        </w:tc>
        <w:tc>
          <w:tcPr>
            <w:tcW w:w="1939" w:type="dxa"/>
            <w:noWrap w:val="0"/>
            <w:vAlign w:val="center"/>
          </w:tcPr>
          <w:p w14:paraId="36FE2ED3">
            <w:pPr>
              <w:pStyle w:val="27"/>
              <w:rPr>
                <w:rFonts w:ascii="Times New Roman" w:hAnsi="Times New Roman" w:eastAsia="宋体"/>
                <w:highlight w:val="none"/>
              </w:rPr>
            </w:pPr>
            <w:r>
              <w:rPr>
                <w:rFonts w:ascii="Times New Roman" w:hAnsi="Times New Roman" w:eastAsia="宋体"/>
                <w:highlight w:val="none"/>
              </w:rPr>
              <w:t>2.500</w:t>
            </w:r>
          </w:p>
        </w:tc>
      </w:tr>
      <w:tr w14:paraId="166EAD0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8" w:hRule="atLeast"/>
          <w:jc w:val="center"/>
        </w:trPr>
        <w:tc>
          <w:tcPr>
            <w:tcW w:w="1058" w:type="dxa"/>
            <w:vMerge w:val="continue"/>
            <w:noWrap w:val="0"/>
            <w:vAlign w:val="center"/>
          </w:tcPr>
          <w:p w14:paraId="05D7A75F">
            <w:pPr>
              <w:pStyle w:val="27"/>
              <w:rPr>
                <w:rFonts w:ascii="Times New Roman" w:hAnsi="Times New Roman" w:eastAsia="宋体"/>
                <w:highlight w:val="none"/>
              </w:rPr>
            </w:pPr>
          </w:p>
        </w:tc>
        <w:tc>
          <w:tcPr>
            <w:tcW w:w="750" w:type="dxa"/>
            <w:vMerge w:val="continue"/>
            <w:noWrap w:val="0"/>
            <w:vAlign w:val="center"/>
          </w:tcPr>
          <w:p w14:paraId="67AF34CC">
            <w:pPr>
              <w:pStyle w:val="27"/>
              <w:rPr>
                <w:rFonts w:ascii="Times New Roman" w:hAnsi="Times New Roman" w:eastAsia="宋体"/>
                <w:highlight w:val="none"/>
              </w:rPr>
            </w:pPr>
          </w:p>
        </w:tc>
        <w:tc>
          <w:tcPr>
            <w:tcW w:w="1215" w:type="dxa"/>
            <w:vMerge w:val="restart"/>
            <w:noWrap w:val="0"/>
            <w:vAlign w:val="center"/>
          </w:tcPr>
          <w:p w14:paraId="15050263">
            <w:pPr>
              <w:pStyle w:val="27"/>
              <w:rPr>
                <w:rFonts w:ascii="Times New Roman" w:hAnsi="Times New Roman" w:eastAsia="宋体"/>
                <w:highlight w:val="none"/>
              </w:rPr>
            </w:pPr>
            <w:r>
              <w:rPr>
                <w:rFonts w:ascii="Times New Roman" w:hAnsi="Times New Roman" w:eastAsia="宋体"/>
                <w:highlight w:val="none"/>
              </w:rPr>
              <w:t>排放量</w:t>
            </w:r>
          </w:p>
        </w:tc>
        <w:tc>
          <w:tcPr>
            <w:tcW w:w="993" w:type="dxa"/>
            <w:vMerge w:val="restart"/>
            <w:noWrap w:val="0"/>
            <w:vAlign w:val="center"/>
          </w:tcPr>
          <w:p w14:paraId="66A2C64A">
            <w:pPr>
              <w:pStyle w:val="27"/>
              <w:rPr>
                <w:rFonts w:ascii="Times New Roman" w:hAnsi="Times New Roman" w:eastAsia="宋体"/>
                <w:highlight w:val="none"/>
              </w:rPr>
            </w:pPr>
            <w:r>
              <w:rPr>
                <w:rFonts w:ascii="Times New Roman" w:hAnsi="Times New Roman" w:eastAsia="宋体"/>
                <w:highlight w:val="none"/>
              </w:rPr>
              <w:t>M</w:t>
            </w:r>
            <w:r>
              <w:rPr>
                <w:rFonts w:ascii="Times New Roman" w:hAnsi="Times New Roman" w:eastAsia="宋体"/>
                <w:highlight w:val="none"/>
                <w:vertAlign w:val="subscript"/>
              </w:rPr>
              <w:t>Hg</w:t>
            </w:r>
          </w:p>
        </w:tc>
        <w:tc>
          <w:tcPr>
            <w:tcW w:w="2442" w:type="dxa"/>
            <w:noWrap w:val="0"/>
            <w:vAlign w:val="center"/>
          </w:tcPr>
          <w:p w14:paraId="62EC3090">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10.10~10.25使用116MW锅炉</w:t>
            </w:r>
            <w:r>
              <w:rPr>
                <w:rFonts w:hint="eastAsia" w:ascii="Times New Roman" w:hAnsi="Times New Roman" w:eastAsia="宋体"/>
                <w:highlight w:val="none"/>
                <w:lang w:eastAsia="zh-CN"/>
              </w:rPr>
              <w:t>）</w:t>
            </w:r>
          </w:p>
        </w:tc>
        <w:tc>
          <w:tcPr>
            <w:tcW w:w="1939" w:type="dxa"/>
            <w:noWrap w:val="0"/>
            <w:vAlign w:val="center"/>
          </w:tcPr>
          <w:p w14:paraId="6D9FF8D8">
            <w:pPr>
              <w:pStyle w:val="27"/>
              <w:ind w:firstLine="0" w:firstLineChars="0"/>
              <w:rPr>
                <w:rFonts w:ascii="Times New Roman" w:hAnsi="Times New Roman" w:eastAsia="宋体"/>
                <w:highlight w:val="none"/>
              </w:rPr>
            </w:pPr>
            <w:r>
              <w:rPr>
                <w:rFonts w:hint="eastAsia" w:ascii="Times New Roman" w:hAnsi="Times New Roman" w:eastAsia="宋体"/>
                <w:highlight w:val="none"/>
                <w:lang w:val="en-US" w:eastAsia="zh-CN"/>
              </w:rPr>
              <w:t>0.66</w:t>
            </w:r>
          </w:p>
        </w:tc>
      </w:tr>
      <w:tr w14:paraId="17029E3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8" w:hRule="atLeast"/>
          <w:jc w:val="center"/>
        </w:trPr>
        <w:tc>
          <w:tcPr>
            <w:tcW w:w="1058" w:type="dxa"/>
            <w:vMerge w:val="continue"/>
            <w:noWrap w:val="0"/>
            <w:vAlign w:val="center"/>
          </w:tcPr>
          <w:p w14:paraId="4745C880">
            <w:pPr>
              <w:pStyle w:val="27"/>
              <w:rPr>
                <w:rFonts w:ascii="Times New Roman" w:hAnsi="Times New Roman" w:eastAsia="宋体"/>
                <w:highlight w:val="none"/>
              </w:rPr>
            </w:pPr>
          </w:p>
        </w:tc>
        <w:tc>
          <w:tcPr>
            <w:tcW w:w="750" w:type="dxa"/>
            <w:vMerge w:val="continue"/>
            <w:noWrap w:val="0"/>
            <w:vAlign w:val="center"/>
          </w:tcPr>
          <w:p w14:paraId="07957C29">
            <w:pPr>
              <w:pStyle w:val="27"/>
              <w:rPr>
                <w:rFonts w:ascii="Times New Roman" w:hAnsi="Times New Roman" w:eastAsia="宋体"/>
                <w:highlight w:val="none"/>
              </w:rPr>
            </w:pPr>
          </w:p>
        </w:tc>
        <w:tc>
          <w:tcPr>
            <w:tcW w:w="1215" w:type="dxa"/>
            <w:vMerge w:val="continue"/>
            <w:noWrap w:val="0"/>
            <w:vAlign w:val="center"/>
          </w:tcPr>
          <w:p w14:paraId="21D3D9F9">
            <w:pPr>
              <w:pStyle w:val="27"/>
              <w:rPr>
                <w:rFonts w:ascii="Times New Roman" w:hAnsi="Times New Roman" w:eastAsia="宋体"/>
                <w:highlight w:val="none"/>
              </w:rPr>
            </w:pPr>
          </w:p>
        </w:tc>
        <w:tc>
          <w:tcPr>
            <w:tcW w:w="993" w:type="dxa"/>
            <w:vMerge w:val="continue"/>
            <w:noWrap w:val="0"/>
            <w:vAlign w:val="center"/>
          </w:tcPr>
          <w:p w14:paraId="3B436B1F">
            <w:pPr>
              <w:pStyle w:val="27"/>
              <w:rPr>
                <w:rFonts w:ascii="Times New Roman" w:hAnsi="Times New Roman" w:eastAsia="宋体"/>
                <w:highlight w:val="none"/>
              </w:rPr>
            </w:pPr>
          </w:p>
        </w:tc>
        <w:tc>
          <w:tcPr>
            <w:tcW w:w="2442" w:type="dxa"/>
            <w:noWrap w:val="0"/>
            <w:vAlign w:val="center"/>
          </w:tcPr>
          <w:p w14:paraId="4B562300">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10.25~12.15使用58MW+35t/h锅炉</w:t>
            </w:r>
            <w:r>
              <w:rPr>
                <w:rFonts w:hint="eastAsia" w:ascii="Times New Roman" w:hAnsi="Times New Roman" w:eastAsia="宋体"/>
                <w:highlight w:val="none"/>
                <w:lang w:eastAsia="zh-CN"/>
              </w:rPr>
              <w:t>）</w:t>
            </w:r>
          </w:p>
        </w:tc>
        <w:tc>
          <w:tcPr>
            <w:tcW w:w="1939" w:type="dxa"/>
            <w:noWrap w:val="0"/>
            <w:vAlign w:val="center"/>
          </w:tcPr>
          <w:p w14:paraId="0CDB5D1D">
            <w:pPr>
              <w:pStyle w:val="27"/>
              <w:ind w:firstLine="0" w:firstLineChars="0"/>
              <w:rPr>
                <w:rFonts w:hint="eastAsia" w:ascii="Times New Roman" w:hAnsi="Times New Roman" w:eastAsia="宋体"/>
                <w:highlight w:val="none"/>
              </w:rPr>
            </w:pPr>
            <w:r>
              <w:rPr>
                <w:rFonts w:hint="eastAsia" w:ascii="Times New Roman" w:hAnsi="Times New Roman" w:eastAsia="宋体"/>
                <w:highlight w:val="none"/>
                <w:lang w:val="en-US" w:eastAsia="zh-CN"/>
              </w:rPr>
              <w:t>0.287</w:t>
            </w:r>
          </w:p>
        </w:tc>
      </w:tr>
      <w:tr w14:paraId="44A67F2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8" w:hRule="atLeast"/>
          <w:jc w:val="center"/>
        </w:trPr>
        <w:tc>
          <w:tcPr>
            <w:tcW w:w="1058" w:type="dxa"/>
            <w:vMerge w:val="continue"/>
            <w:noWrap w:val="0"/>
            <w:vAlign w:val="center"/>
          </w:tcPr>
          <w:p w14:paraId="107A58BE">
            <w:pPr>
              <w:pStyle w:val="27"/>
              <w:rPr>
                <w:rFonts w:ascii="Times New Roman" w:hAnsi="Times New Roman" w:eastAsia="宋体"/>
                <w:highlight w:val="none"/>
              </w:rPr>
            </w:pPr>
          </w:p>
        </w:tc>
        <w:tc>
          <w:tcPr>
            <w:tcW w:w="750" w:type="dxa"/>
            <w:vMerge w:val="continue"/>
            <w:noWrap w:val="0"/>
            <w:vAlign w:val="center"/>
          </w:tcPr>
          <w:p w14:paraId="1502B930">
            <w:pPr>
              <w:pStyle w:val="27"/>
              <w:rPr>
                <w:rFonts w:ascii="Times New Roman" w:hAnsi="Times New Roman" w:eastAsia="宋体"/>
                <w:highlight w:val="none"/>
              </w:rPr>
            </w:pPr>
          </w:p>
        </w:tc>
        <w:tc>
          <w:tcPr>
            <w:tcW w:w="1215" w:type="dxa"/>
            <w:vMerge w:val="continue"/>
            <w:noWrap w:val="0"/>
            <w:vAlign w:val="center"/>
          </w:tcPr>
          <w:p w14:paraId="75010A5C">
            <w:pPr>
              <w:pStyle w:val="27"/>
              <w:rPr>
                <w:rFonts w:ascii="Times New Roman" w:hAnsi="Times New Roman" w:eastAsia="宋体"/>
                <w:highlight w:val="none"/>
              </w:rPr>
            </w:pPr>
          </w:p>
        </w:tc>
        <w:tc>
          <w:tcPr>
            <w:tcW w:w="993" w:type="dxa"/>
            <w:vMerge w:val="continue"/>
            <w:noWrap w:val="0"/>
            <w:vAlign w:val="center"/>
          </w:tcPr>
          <w:p w14:paraId="1185AF14">
            <w:pPr>
              <w:pStyle w:val="27"/>
              <w:rPr>
                <w:rFonts w:ascii="Times New Roman" w:hAnsi="Times New Roman" w:eastAsia="宋体"/>
                <w:highlight w:val="none"/>
              </w:rPr>
            </w:pPr>
          </w:p>
        </w:tc>
        <w:tc>
          <w:tcPr>
            <w:tcW w:w="2442" w:type="dxa"/>
            <w:noWrap w:val="0"/>
            <w:vAlign w:val="center"/>
          </w:tcPr>
          <w:p w14:paraId="4E07E1DB">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12.15~1.20使用116MW+35t/h锅炉</w:t>
            </w:r>
            <w:r>
              <w:rPr>
                <w:rFonts w:hint="eastAsia" w:ascii="Times New Roman" w:hAnsi="Times New Roman" w:eastAsia="宋体"/>
                <w:highlight w:val="none"/>
                <w:lang w:eastAsia="zh-CN"/>
              </w:rPr>
              <w:t>）</w:t>
            </w:r>
          </w:p>
        </w:tc>
        <w:tc>
          <w:tcPr>
            <w:tcW w:w="1939" w:type="dxa"/>
            <w:noWrap w:val="0"/>
            <w:vAlign w:val="center"/>
          </w:tcPr>
          <w:p w14:paraId="2BCD96A6">
            <w:pPr>
              <w:pStyle w:val="27"/>
              <w:ind w:firstLine="0" w:firstLineChars="0"/>
              <w:rPr>
                <w:rFonts w:hint="eastAsia" w:ascii="Times New Roman" w:hAnsi="Times New Roman" w:eastAsia="宋体"/>
                <w:highlight w:val="none"/>
              </w:rPr>
            </w:pPr>
            <w:r>
              <w:rPr>
                <w:rFonts w:hint="eastAsia" w:ascii="Times New Roman" w:hAnsi="Times New Roman" w:eastAsia="宋体"/>
                <w:highlight w:val="none"/>
                <w:lang w:val="en-US" w:eastAsia="zh-CN"/>
              </w:rPr>
              <w:t>0.745</w:t>
            </w:r>
          </w:p>
        </w:tc>
      </w:tr>
      <w:tr w14:paraId="152F646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8" w:hRule="atLeast"/>
          <w:jc w:val="center"/>
        </w:trPr>
        <w:tc>
          <w:tcPr>
            <w:tcW w:w="1058" w:type="dxa"/>
            <w:vMerge w:val="continue"/>
            <w:noWrap w:val="0"/>
            <w:vAlign w:val="center"/>
          </w:tcPr>
          <w:p w14:paraId="0EB9623C">
            <w:pPr>
              <w:pStyle w:val="27"/>
              <w:rPr>
                <w:rFonts w:ascii="Times New Roman" w:hAnsi="Times New Roman" w:eastAsia="宋体"/>
                <w:highlight w:val="none"/>
              </w:rPr>
            </w:pPr>
          </w:p>
        </w:tc>
        <w:tc>
          <w:tcPr>
            <w:tcW w:w="750" w:type="dxa"/>
            <w:vMerge w:val="continue"/>
            <w:noWrap w:val="0"/>
            <w:vAlign w:val="center"/>
          </w:tcPr>
          <w:p w14:paraId="4F8EEC89">
            <w:pPr>
              <w:pStyle w:val="27"/>
              <w:rPr>
                <w:rFonts w:ascii="Times New Roman" w:hAnsi="Times New Roman" w:eastAsia="宋体"/>
                <w:highlight w:val="none"/>
              </w:rPr>
            </w:pPr>
          </w:p>
        </w:tc>
        <w:tc>
          <w:tcPr>
            <w:tcW w:w="1215" w:type="dxa"/>
            <w:vMerge w:val="continue"/>
            <w:noWrap w:val="0"/>
            <w:vAlign w:val="center"/>
          </w:tcPr>
          <w:p w14:paraId="5767B749">
            <w:pPr>
              <w:pStyle w:val="27"/>
              <w:rPr>
                <w:rFonts w:ascii="Times New Roman" w:hAnsi="Times New Roman" w:eastAsia="宋体"/>
                <w:highlight w:val="none"/>
              </w:rPr>
            </w:pPr>
          </w:p>
        </w:tc>
        <w:tc>
          <w:tcPr>
            <w:tcW w:w="993" w:type="dxa"/>
            <w:vMerge w:val="continue"/>
            <w:noWrap w:val="0"/>
            <w:vAlign w:val="center"/>
          </w:tcPr>
          <w:p w14:paraId="244101FA">
            <w:pPr>
              <w:pStyle w:val="27"/>
              <w:rPr>
                <w:rFonts w:ascii="Times New Roman" w:hAnsi="Times New Roman" w:eastAsia="宋体"/>
                <w:highlight w:val="none"/>
              </w:rPr>
            </w:pPr>
          </w:p>
        </w:tc>
        <w:tc>
          <w:tcPr>
            <w:tcW w:w="2442" w:type="dxa"/>
            <w:noWrap w:val="0"/>
            <w:vAlign w:val="center"/>
          </w:tcPr>
          <w:p w14:paraId="4F30C2B9">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1.20~4.1使用58MW+35t/h锅炉</w:t>
            </w:r>
            <w:r>
              <w:rPr>
                <w:rFonts w:hint="eastAsia" w:ascii="Times New Roman" w:hAnsi="Times New Roman" w:eastAsia="宋体"/>
                <w:highlight w:val="none"/>
                <w:lang w:eastAsia="zh-CN"/>
              </w:rPr>
              <w:t>）</w:t>
            </w:r>
          </w:p>
        </w:tc>
        <w:tc>
          <w:tcPr>
            <w:tcW w:w="1939" w:type="dxa"/>
            <w:noWrap w:val="0"/>
            <w:vAlign w:val="center"/>
          </w:tcPr>
          <w:p w14:paraId="6ED5B51D">
            <w:pPr>
              <w:pStyle w:val="27"/>
              <w:ind w:firstLine="0" w:firstLineChars="0"/>
              <w:rPr>
                <w:rFonts w:hint="eastAsia" w:ascii="Times New Roman" w:hAnsi="Times New Roman" w:eastAsia="宋体"/>
                <w:highlight w:val="none"/>
              </w:rPr>
            </w:pPr>
            <w:r>
              <w:rPr>
                <w:rFonts w:hint="eastAsia" w:ascii="Times New Roman" w:hAnsi="Times New Roman" w:eastAsia="宋体"/>
                <w:highlight w:val="none"/>
                <w:lang w:val="en-US" w:eastAsia="zh-CN"/>
              </w:rPr>
              <w:t>0.287</w:t>
            </w:r>
          </w:p>
        </w:tc>
      </w:tr>
      <w:tr w14:paraId="1E7101E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8" w:hRule="atLeast"/>
          <w:jc w:val="center"/>
        </w:trPr>
        <w:tc>
          <w:tcPr>
            <w:tcW w:w="1058" w:type="dxa"/>
            <w:vMerge w:val="continue"/>
            <w:noWrap w:val="0"/>
            <w:vAlign w:val="center"/>
          </w:tcPr>
          <w:p w14:paraId="2A56579A">
            <w:pPr>
              <w:pStyle w:val="27"/>
              <w:rPr>
                <w:rFonts w:ascii="Times New Roman" w:hAnsi="Times New Roman" w:eastAsia="宋体"/>
                <w:highlight w:val="none"/>
              </w:rPr>
            </w:pPr>
          </w:p>
        </w:tc>
        <w:tc>
          <w:tcPr>
            <w:tcW w:w="750" w:type="dxa"/>
            <w:vMerge w:val="continue"/>
            <w:noWrap w:val="0"/>
            <w:vAlign w:val="center"/>
          </w:tcPr>
          <w:p w14:paraId="07FCB807">
            <w:pPr>
              <w:pStyle w:val="27"/>
              <w:rPr>
                <w:rFonts w:ascii="Times New Roman" w:hAnsi="Times New Roman" w:eastAsia="宋体"/>
                <w:highlight w:val="none"/>
              </w:rPr>
            </w:pPr>
          </w:p>
        </w:tc>
        <w:tc>
          <w:tcPr>
            <w:tcW w:w="1215" w:type="dxa"/>
            <w:vMerge w:val="continue"/>
            <w:noWrap w:val="0"/>
            <w:vAlign w:val="center"/>
          </w:tcPr>
          <w:p w14:paraId="107ED917">
            <w:pPr>
              <w:pStyle w:val="27"/>
              <w:rPr>
                <w:rFonts w:ascii="Times New Roman" w:hAnsi="Times New Roman" w:eastAsia="宋体"/>
                <w:highlight w:val="none"/>
              </w:rPr>
            </w:pPr>
          </w:p>
        </w:tc>
        <w:tc>
          <w:tcPr>
            <w:tcW w:w="993" w:type="dxa"/>
            <w:vMerge w:val="continue"/>
            <w:noWrap w:val="0"/>
            <w:vAlign w:val="center"/>
          </w:tcPr>
          <w:p w14:paraId="7062106D">
            <w:pPr>
              <w:pStyle w:val="27"/>
              <w:rPr>
                <w:rFonts w:ascii="Times New Roman" w:hAnsi="Times New Roman" w:eastAsia="宋体"/>
                <w:highlight w:val="none"/>
              </w:rPr>
            </w:pPr>
          </w:p>
        </w:tc>
        <w:tc>
          <w:tcPr>
            <w:tcW w:w="2442" w:type="dxa"/>
            <w:noWrap w:val="0"/>
            <w:vAlign w:val="center"/>
          </w:tcPr>
          <w:p w14:paraId="0C2D34AE">
            <w:pPr>
              <w:pStyle w:val="27"/>
              <w:ind w:firstLine="0" w:firstLineChars="0"/>
              <w:rPr>
                <w:rFonts w:ascii="Times New Roman" w:hAnsi="Times New Roman" w:eastAsia="宋体"/>
                <w:highlight w:val="none"/>
              </w:rPr>
            </w:pPr>
            <w:r>
              <w:rPr>
                <w:rFonts w:ascii="Times New Roman" w:hAnsi="Times New Roman" w:eastAsia="宋体"/>
                <w:highlight w:val="none"/>
              </w:rPr>
              <w:t>kg/h</w:t>
            </w:r>
            <w:r>
              <w:rPr>
                <w:rFonts w:hint="eastAsia" w:ascii="Times New Roman" w:hAnsi="Times New Roman" w:eastAsia="宋体"/>
                <w:highlight w:val="none"/>
                <w:lang w:eastAsia="zh-CN"/>
              </w:rPr>
              <w:t>（</w:t>
            </w:r>
            <w:r>
              <w:rPr>
                <w:rFonts w:hint="eastAsia" w:ascii="Times New Roman" w:hAnsi="Times New Roman" w:eastAsia="宋体"/>
                <w:highlight w:val="none"/>
                <w:lang w:val="en-US" w:eastAsia="zh-CN"/>
              </w:rPr>
              <w:t>4.1~4.30使用58MW锅炉</w:t>
            </w:r>
            <w:r>
              <w:rPr>
                <w:rFonts w:hint="eastAsia" w:ascii="Times New Roman" w:hAnsi="Times New Roman" w:eastAsia="宋体"/>
                <w:highlight w:val="none"/>
                <w:lang w:eastAsia="zh-CN"/>
              </w:rPr>
              <w:t>）</w:t>
            </w:r>
          </w:p>
        </w:tc>
        <w:tc>
          <w:tcPr>
            <w:tcW w:w="1939" w:type="dxa"/>
            <w:noWrap w:val="0"/>
            <w:vAlign w:val="center"/>
          </w:tcPr>
          <w:p w14:paraId="368D7021">
            <w:pPr>
              <w:pStyle w:val="27"/>
              <w:ind w:firstLine="0" w:firstLineChars="0"/>
              <w:rPr>
                <w:rFonts w:hint="eastAsia" w:ascii="Times New Roman" w:hAnsi="Times New Roman" w:eastAsia="宋体"/>
                <w:highlight w:val="none"/>
              </w:rPr>
            </w:pPr>
            <w:r>
              <w:rPr>
                <w:rFonts w:hint="eastAsia" w:ascii="Times New Roman" w:hAnsi="Times New Roman" w:eastAsia="宋体"/>
                <w:highlight w:val="none"/>
                <w:lang w:val="en-US" w:eastAsia="zh-CN"/>
              </w:rPr>
              <w:t>0.202</w:t>
            </w:r>
          </w:p>
        </w:tc>
      </w:tr>
      <w:tr w14:paraId="2ECE642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7" w:hRule="atLeast"/>
          <w:jc w:val="center"/>
        </w:trPr>
        <w:tc>
          <w:tcPr>
            <w:tcW w:w="1058" w:type="dxa"/>
            <w:vMerge w:val="continue"/>
            <w:noWrap w:val="0"/>
            <w:vAlign w:val="center"/>
          </w:tcPr>
          <w:p w14:paraId="3A178E2B">
            <w:pPr>
              <w:pStyle w:val="27"/>
              <w:rPr>
                <w:rFonts w:ascii="Times New Roman" w:hAnsi="Times New Roman" w:eastAsia="宋体"/>
                <w:highlight w:val="none"/>
              </w:rPr>
            </w:pPr>
          </w:p>
        </w:tc>
        <w:tc>
          <w:tcPr>
            <w:tcW w:w="750" w:type="dxa"/>
            <w:vMerge w:val="continue"/>
            <w:noWrap w:val="0"/>
            <w:vAlign w:val="center"/>
          </w:tcPr>
          <w:p w14:paraId="002D578E">
            <w:pPr>
              <w:pStyle w:val="27"/>
              <w:rPr>
                <w:rFonts w:ascii="Times New Roman" w:hAnsi="Times New Roman" w:eastAsia="宋体"/>
                <w:highlight w:val="none"/>
              </w:rPr>
            </w:pPr>
          </w:p>
        </w:tc>
        <w:tc>
          <w:tcPr>
            <w:tcW w:w="1215" w:type="dxa"/>
            <w:vMerge w:val="continue"/>
            <w:noWrap w:val="0"/>
            <w:vAlign w:val="center"/>
          </w:tcPr>
          <w:p w14:paraId="7A989C45">
            <w:pPr>
              <w:pStyle w:val="27"/>
              <w:rPr>
                <w:rFonts w:ascii="Times New Roman" w:hAnsi="Times New Roman" w:eastAsia="宋体"/>
                <w:highlight w:val="none"/>
              </w:rPr>
            </w:pPr>
          </w:p>
        </w:tc>
        <w:tc>
          <w:tcPr>
            <w:tcW w:w="993" w:type="dxa"/>
            <w:vMerge w:val="continue"/>
            <w:noWrap w:val="0"/>
            <w:vAlign w:val="center"/>
          </w:tcPr>
          <w:p w14:paraId="39035151">
            <w:pPr>
              <w:pStyle w:val="27"/>
              <w:rPr>
                <w:rFonts w:ascii="Times New Roman" w:hAnsi="Times New Roman" w:eastAsia="宋体"/>
                <w:highlight w:val="none"/>
              </w:rPr>
            </w:pPr>
          </w:p>
        </w:tc>
        <w:tc>
          <w:tcPr>
            <w:tcW w:w="2442" w:type="dxa"/>
            <w:noWrap w:val="0"/>
            <w:vAlign w:val="center"/>
          </w:tcPr>
          <w:p w14:paraId="3B514A9A">
            <w:pPr>
              <w:pStyle w:val="27"/>
              <w:rPr>
                <w:rFonts w:ascii="Times New Roman" w:hAnsi="Times New Roman" w:eastAsia="宋体"/>
                <w:highlight w:val="none"/>
              </w:rPr>
            </w:pPr>
            <w:r>
              <w:rPr>
                <w:rFonts w:ascii="Times New Roman" w:hAnsi="Times New Roman" w:eastAsia="宋体"/>
                <w:highlight w:val="none"/>
              </w:rPr>
              <w:t>t/a</w:t>
            </w:r>
          </w:p>
        </w:tc>
        <w:tc>
          <w:tcPr>
            <w:tcW w:w="1939" w:type="dxa"/>
            <w:noWrap w:val="0"/>
            <w:vAlign w:val="center"/>
          </w:tcPr>
          <w:p w14:paraId="7BC92F1F">
            <w:pPr>
              <w:pStyle w:val="27"/>
              <w:ind w:firstLine="0" w:firstLineChars="0"/>
              <w:rPr>
                <w:rFonts w:ascii="Times New Roman" w:hAnsi="Times New Roman" w:eastAsia="宋体"/>
                <w:highlight w:val="none"/>
              </w:rPr>
            </w:pPr>
            <w:r>
              <w:rPr>
                <w:rFonts w:hint="eastAsia" w:ascii="Times New Roman" w:hAnsi="Times New Roman" w:eastAsia="宋体"/>
                <w:highlight w:val="none"/>
                <w:lang w:val="en-US" w:eastAsia="zh-CN"/>
              </w:rPr>
              <w:t>1.88</w:t>
            </w:r>
          </w:p>
        </w:tc>
      </w:tr>
    </w:tbl>
    <w:p w14:paraId="61035D97">
      <w:pPr>
        <w:rPr>
          <w:rFonts w:hint="default"/>
          <w:highlight w:val="none"/>
          <w:lang w:val="en-US" w:eastAsia="zh-CN"/>
        </w:rPr>
      </w:pPr>
    </w:p>
    <w:p w14:paraId="35ADA098">
      <w:pPr>
        <w:pStyle w:val="23"/>
        <w:rPr>
          <w:rFonts w:hint="default"/>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63502F18">
      <w:pPr>
        <w:ind w:firstLine="482"/>
        <w:rPr>
          <w:rFonts w:ascii="Times New Roman" w:hAnsi="Times New Roman"/>
          <w:b/>
          <w:highlight w:val="none"/>
        </w:rPr>
      </w:pPr>
      <w:r>
        <w:rPr>
          <w:rFonts w:ascii="Times New Roman" w:hAnsi="Times New Roman"/>
          <w:b/>
          <w:highlight w:val="none"/>
        </w:rPr>
        <w:t>无组织</w:t>
      </w:r>
    </w:p>
    <w:p w14:paraId="058A9BBC">
      <w:pPr>
        <w:ind w:firstLine="480"/>
        <w:rPr>
          <w:rFonts w:ascii="Times New Roman" w:hAnsi="Times New Roman"/>
          <w:highlight w:val="none"/>
        </w:rPr>
      </w:pPr>
      <w:r>
        <w:rPr>
          <w:rFonts w:ascii="Times New Roman" w:hAnsi="Times New Roman"/>
          <w:highlight w:val="none"/>
        </w:rPr>
        <w:t>（1）原煤储运粉尘</w:t>
      </w:r>
    </w:p>
    <w:p w14:paraId="4EB46B07">
      <w:pPr>
        <w:ind w:firstLine="480"/>
        <w:rPr>
          <w:rFonts w:ascii="Times New Roman" w:hAnsi="Times New Roman"/>
          <w:highlight w:val="none"/>
        </w:rPr>
      </w:pPr>
      <w:r>
        <w:rPr>
          <w:rFonts w:hint="eastAsia" w:ascii="Times New Roman" w:hAnsi="Times New Roman"/>
          <w:highlight w:val="none"/>
        </w:rPr>
        <w:t>全场</w:t>
      </w:r>
      <w:r>
        <w:rPr>
          <w:rFonts w:ascii="Times New Roman" w:hAnsi="Times New Roman"/>
          <w:highlight w:val="none"/>
        </w:rPr>
        <w:t>锅炉燃料煤自</w:t>
      </w:r>
      <w:r>
        <w:rPr>
          <w:rFonts w:hint="eastAsia" w:ascii="Times New Roman" w:hAnsi="Times New Roman"/>
          <w:highlight w:val="none"/>
        </w:rPr>
        <w:t>全封闭</w:t>
      </w:r>
      <w:r>
        <w:rPr>
          <w:rFonts w:ascii="Times New Roman" w:hAnsi="Times New Roman"/>
          <w:highlight w:val="none"/>
        </w:rPr>
        <w:t>储煤库由皮带运输机经破碎后送入锅炉煤仓间的原煤仓中，原煤仓的燃煤经全封闭式计量给煤机送至炉前溜煤管，进入燃烧室燃烧。</w:t>
      </w:r>
    </w:p>
    <w:p w14:paraId="45D38EA5">
      <w:pPr>
        <w:ind w:firstLine="480"/>
        <w:rPr>
          <w:rFonts w:ascii="Times New Roman" w:hAnsi="Times New Roman"/>
          <w:highlight w:val="none"/>
        </w:rPr>
      </w:pPr>
      <w:r>
        <w:rPr>
          <w:rFonts w:ascii="Times New Roman" w:hAnsi="Times New Roman"/>
          <w:highlight w:val="none"/>
        </w:rPr>
        <w:t>1）输煤系统粉尘</w:t>
      </w:r>
    </w:p>
    <w:p w14:paraId="4B653604">
      <w:pPr>
        <w:ind w:firstLine="480"/>
        <w:rPr>
          <w:rFonts w:ascii="Times New Roman" w:hAnsi="Times New Roman"/>
          <w:highlight w:val="none"/>
        </w:rPr>
      </w:pPr>
      <w:r>
        <w:rPr>
          <w:rFonts w:ascii="Times New Roman" w:hAnsi="Times New Roman"/>
          <w:highlight w:val="none"/>
        </w:rPr>
        <w:t>本项目输煤栈桥采用全封闭布置，岩棉夹心复合彩钢板围护，皮带上方设有喷淋水管用于燃料干燥时的加湿，因此输煤栈桥基本无粉尘外排，本次评价不考虑输煤栈桥无组织扬尘。</w:t>
      </w:r>
    </w:p>
    <w:p w14:paraId="618D02DF">
      <w:pPr>
        <w:ind w:firstLine="480"/>
        <w:rPr>
          <w:rFonts w:ascii="Times New Roman" w:hAnsi="Times New Roman"/>
          <w:highlight w:val="none"/>
        </w:rPr>
      </w:pPr>
      <w:r>
        <w:rPr>
          <w:rFonts w:ascii="Times New Roman" w:hAnsi="Times New Roman"/>
          <w:highlight w:val="none"/>
        </w:rPr>
        <w:t>2）炉前筒仓粉尘</w:t>
      </w:r>
    </w:p>
    <w:p w14:paraId="2F6C35B5">
      <w:pPr>
        <w:ind w:firstLine="480"/>
        <w:rPr>
          <w:rFonts w:ascii="Times New Roman" w:hAnsi="Times New Roman"/>
          <w:highlight w:val="none"/>
        </w:rPr>
      </w:pPr>
      <w:r>
        <w:rPr>
          <w:rFonts w:ascii="Times New Roman" w:hAnsi="Times New Roman"/>
          <w:highlight w:val="none"/>
        </w:rPr>
        <w:t>每台锅炉设置1座炉前钢煤仓，筒仓位于密闭的室内，且定期在室内洒水抑尘，可有效防止煤尘飞扬。炉前筒仓粉尘无组织排放量较小，难以量化计算，通过采取上述措施后，因此炉前筒仓基本无粉尘外排，本次评价不考虑炉前筒仓无组织扬尘。</w:t>
      </w:r>
    </w:p>
    <w:p w14:paraId="6894FC77">
      <w:pPr>
        <w:ind w:firstLine="480"/>
        <w:rPr>
          <w:rFonts w:ascii="Times New Roman" w:hAnsi="Times New Roman"/>
          <w:highlight w:val="none"/>
        </w:rPr>
      </w:pPr>
      <w:r>
        <w:rPr>
          <w:rFonts w:ascii="Times New Roman" w:hAnsi="Times New Roman"/>
          <w:highlight w:val="none"/>
        </w:rPr>
        <w:t>3）煤场扬尘</w:t>
      </w:r>
    </w:p>
    <w:p w14:paraId="06D12C51">
      <w:pPr>
        <w:ind w:firstLine="480"/>
        <w:rPr>
          <w:highlight w:val="none"/>
        </w:rPr>
      </w:pPr>
      <w:r>
        <w:rPr>
          <w:rFonts w:ascii="Times New Roman" w:hAnsi="Times New Roman"/>
          <w:highlight w:val="none"/>
        </w:rPr>
        <w:t>项目设置1座</w:t>
      </w:r>
      <w:r>
        <w:rPr>
          <w:rFonts w:hint="eastAsia" w:ascii="Times New Roman" w:hAnsi="Times New Roman"/>
          <w:highlight w:val="none"/>
          <w:lang w:val="en-US" w:eastAsia="zh-CN"/>
        </w:rPr>
        <w:t>半</w:t>
      </w:r>
      <w:r>
        <w:rPr>
          <w:rFonts w:ascii="Times New Roman" w:hAnsi="Times New Roman"/>
          <w:highlight w:val="none"/>
        </w:rPr>
        <w:t>封闭储煤</w:t>
      </w:r>
      <w:r>
        <w:rPr>
          <w:rFonts w:hint="eastAsia" w:ascii="Times New Roman" w:hAnsi="Times New Roman"/>
          <w:highlight w:val="none"/>
          <w:lang w:val="en-US" w:eastAsia="zh-CN"/>
        </w:rPr>
        <w:t>厂</w:t>
      </w:r>
      <w:r>
        <w:rPr>
          <w:rFonts w:ascii="Times New Roman" w:hAnsi="Times New Roman"/>
          <w:highlight w:val="none"/>
        </w:rPr>
        <w:t>，</w:t>
      </w:r>
      <w:r>
        <w:rPr>
          <w:rFonts w:hint="eastAsia" w:cs="Times New Roman"/>
          <w:highlight w:val="none"/>
        </w:rPr>
        <w:t>采用挡煤墙（</w:t>
      </w:r>
      <w:r>
        <w:rPr>
          <w:rFonts w:hint="eastAsia" w:cs="Times New Roman"/>
          <w:highlight w:val="none"/>
          <w:lang w:val="en-US" w:eastAsia="zh-CN"/>
        </w:rPr>
        <w:t>2</w:t>
      </w:r>
      <w:r>
        <w:rPr>
          <w:rFonts w:hint="eastAsia" w:cs="Times New Roman"/>
          <w:highlight w:val="none"/>
        </w:rPr>
        <w:t>m高维护砖墙+</w:t>
      </w:r>
      <w:r>
        <w:rPr>
          <w:rFonts w:hint="eastAsia" w:cs="Times New Roman"/>
          <w:highlight w:val="none"/>
          <w:lang w:val="en-US" w:eastAsia="zh-CN"/>
        </w:rPr>
        <w:t>7</w:t>
      </w:r>
      <w:r>
        <w:rPr>
          <w:rFonts w:hint="eastAsia" w:cs="Times New Roman"/>
          <w:highlight w:val="none"/>
        </w:rPr>
        <w:t>m高防风抑尘网）+</w:t>
      </w:r>
      <w:r>
        <w:rPr>
          <w:rFonts w:hint="eastAsia" w:cs="Times New Roman"/>
          <w:highlight w:val="none"/>
          <w:lang w:val="en-US" w:eastAsia="zh-CN"/>
        </w:rPr>
        <w:t>苫布苫盖半</w:t>
      </w:r>
      <w:r>
        <w:rPr>
          <w:rFonts w:hint="eastAsia" w:cs="Times New Roman"/>
          <w:highlight w:val="none"/>
        </w:rPr>
        <w:t>封闭形式，</w:t>
      </w:r>
      <w:r>
        <w:rPr>
          <w:rFonts w:hint="eastAsia" w:cs="Times New Roman"/>
          <w:highlight w:val="none"/>
          <w:lang w:val="en-US" w:eastAsia="zh-CN"/>
        </w:rPr>
        <w:t>采取以上措施</w:t>
      </w:r>
      <w:r>
        <w:rPr>
          <w:rFonts w:hint="eastAsia" w:cs="Times New Roman"/>
          <w:highlight w:val="none"/>
        </w:rPr>
        <w:t>可有效减少煤场粉尘产生量。</w:t>
      </w:r>
      <w:r>
        <w:rPr>
          <w:rFonts w:hint="eastAsia" w:cs="Times New Roman"/>
          <w:highlight w:val="none"/>
          <w:lang w:val="en-US" w:eastAsia="zh-CN"/>
        </w:rPr>
        <w:t>煤厂粉尘量</w:t>
      </w:r>
      <w:r>
        <w:rPr>
          <w:rFonts w:hint="eastAsia" w:cs="Times New Roman"/>
          <w:highlight w:val="none"/>
        </w:rPr>
        <w:t>保守估计按露天堆场产生量的1%计算本项目无组织粉尘量。根据清华大学在霍州电厂现场实验的模拟计算，煤堆起尘量按下式计算：</w:t>
      </w:r>
    </w:p>
    <w:p w14:paraId="649FAA85">
      <w:pPr>
        <w:pStyle w:val="23"/>
        <w:rPr>
          <w:color w:val="auto"/>
          <w:highlight w:val="none"/>
        </w:rPr>
      </w:pPr>
      <w:r>
        <w:rPr>
          <w:color w:val="auto"/>
          <w:highlight w:val="none"/>
        </w:rPr>
        <w:drawing>
          <wp:inline distT="0" distB="0" distL="0" distR="0">
            <wp:extent cx="1933575" cy="314325"/>
            <wp:effectExtent l="0" t="0" r="9525" b="9525"/>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933575" cy="314325"/>
                    </a:xfrm>
                    <a:prstGeom prst="rect">
                      <a:avLst/>
                    </a:prstGeom>
                    <a:noFill/>
                    <a:ln>
                      <a:noFill/>
                    </a:ln>
                    <a:effectLst/>
                  </pic:spPr>
                </pic:pic>
              </a:graphicData>
            </a:graphic>
          </wp:inline>
        </w:drawing>
      </w:r>
    </w:p>
    <w:p w14:paraId="52F04BD9">
      <w:pPr>
        <w:ind w:firstLine="480"/>
        <w:rPr>
          <w:highlight w:val="none"/>
        </w:rPr>
      </w:pPr>
      <w:r>
        <w:rPr>
          <w:rFonts w:hint="eastAsia"/>
          <w:highlight w:val="none"/>
        </w:rPr>
        <w:t>式中：</w:t>
      </w:r>
    </w:p>
    <w:p w14:paraId="4C87E29E">
      <w:pPr>
        <w:ind w:firstLine="480"/>
        <w:rPr>
          <w:highlight w:val="none"/>
        </w:rPr>
      </w:pPr>
      <w:r>
        <w:rPr>
          <w:rFonts w:hint="eastAsia"/>
          <w:highlight w:val="none"/>
        </w:rPr>
        <w:t>Q——煤堆起尘量，mg/s；</w:t>
      </w:r>
    </w:p>
    <w:p w14:paraId="7719F2A6">
      <w:pPr>
        <w:ind w:firstLine="480"/>
        <w:rPr>
          <w:highlight w:val="none"/>
        </w:rPr>
      </w:pPr>
      <w:r>
        <w:rPr>
          <w:rFonts w:hint="eastAsia"/>
          <w:highlight w:val="none"/>
        </w:rPr>
        <w:t>U——平均风速，m/s，根据</w:t>
      </w:r>
      <w:r>
        <w:rPr>
          <w:rFonts w:hint="eastAsia"/>
          <w:highlight w:val="none"/>
          <w:lang w:val="en-US" w:eastAsia="zh-CN"/>
        </w:rPr>
        <w:t>绥芬河</w:t>
      </w:r>
      <w:r>
        <w:rPr>
          <w:rFonts w:hint="eastAsia"/>
          <w:highlight w:val="none"/>
        </w:rPr>
        <w:t>市近20年气象统计资料，年平均风速约</w:t>
      </w:r>
      <w:r>
        <w:rPr>
          <w:rFonts w:hint="eastAsia"/>
          <w:highlight w:val="none"/>
          <w:lang w:val="en-US" w:eastAsia="zh-CN"/>
        </w:rPr>
        <w:t>3.4</w:t>
      </w:r>
      <w:r>
        <w:rPr>
          <w:rFonts w:hint="eastAsia"/>
          <w:highlight w:val="none"/>
        </w:rPr>
        <w:t>m/s；</w:t>
      </w:r>
    </w:p>
    <w:p w14:paraId="08522D09">
      <w:pPr>
        <w:ind w:firstLine="480"/>
        <w:rPr>
          <w:highlight w:val="none"/>
        </w:rPr>
      </w:pPr>
      <w:r>
        <w:rPr>
          <w:rFonts w:hint="eastAsia"/>
          <w:highlight w:val="none"/>
        </w:rPr>
        <w:t>S——煤堆表面积（可取煤场占地面积），m</w:t>
      </w:r>
      <w:r>
        <w:rPr>
          <w:rFonts w:hint="eastAsia"/>
          <w:highlight w:val="none"/>
          <w:vertAlign w:val="superscript"/>
        </w:rPr>
        <w:t>2</w:t>
      </w:r>
      <w:r>
        <w:rPr>
          <w:rFonts w:hint="eastAsia"/>
          <w:highlight w:val="none"/>
        </w:rPr>
        <w:t>，本项目</w:t>
      </w:r>
      <w:r>
        <w:rPr>
          <w:rFonts w:hint="eastAsia"/>
          <w:highlight w:val="none"/>
          <w:lang w:val="en-US" w:eastAsia="zh-CN"/>
        </w:rPr>
        <w:t>储煤场</w:t>
      </w:r>
      <w:r>
        <w:rPr>
          <w:rFonts w:hint="eastAsia" w:cs="Times New Roman"/>
          <w:highlight w:val="none"/>
          <w:lang w:val="en-US" w:eastAsia="zh-CN"/>
        </w:rPr>
        <w:t>4250</w:t>
      </w:r>
      <w:r>
        <w:rPr>
          <w:rFonts w:hint="eastAsia"/>
          <w:highlight w:val="none"/>
        </w:rPr>
        <w:t>m</w:t>
      </w:r>
      <w:r>
        <w:rPr>
          <w:rFonts w:hint="eastAsia"/>
          <w:highlight w:val="none"/>
          <w:vertAlign w:val="superscript"/>
        </w:rPr>
        <w:t>2</w:t>
      </w:r>
      <w:r>
        <w:rPr>
          <w:rFonts w:hint="eastAsia"/>
          <w:highlight w:val="none"/>
        </w:rPr>
        <w:t>；</w:t>
      </w:r>
    </w:p>
    <w:p w14:paraId="75F176EC">
      <w:pPr>
        <w:ind w:firstLine="480"/>
        <w:rPr>
          <w:highlight w:val="none"/>
        </w:rPr>
      </w:pPr>
      <w:r>
        <w:rPr>
          <w:rFonts w:hint="eastAsia"/>
          <w:highlight w:val="none"/>
        </w:rPr>
        <w:t>W——煤炭湿度，%，含水率取</w:t>
      </w:r>
      <w:r>
        <w:rPr>
          <w:rFonts w:hint="eastAsia"/>
          <w:highlight w:val="none"/>
          <w:lang w:val="en-US" w:eastAsia="zh-CN"/>
        </w:rPr>
        <w:t>6</w:t>
      </w:r>
      <w:r>
        <w:rPr>
          <w:rFonts w:hint="eastAsia"/>
          <w:highlight w:val="none"/>
        </w:rPr>
        <w:t>%。</w:t>
      </w:r>
    </w:p>
    <w:p w14:paraId="149BCED8">
      <w:pPr>
        <w:ind w:firstLine="480"/>
        <w:rPr>
          <w:highlight w:val="none"/>
        </w:rPr>
      </w:pPr>
      <w:r>
        <w:rPr>
          <w:rFonts w:hint="eastAsia"/>
          <w:highlight w:val="none"/>
        </w:rPr>
        <w:t>经上述公式计算可知，煤场煤尘产生量约</w:t>
      </w:r>
      <w:r>
        <w:rPr>
          <w:rFonts w:hint="eastAsia"/>
          <w:highlight w:val="none"/>
          <w:lang w:val="en-US" w:eastAsia="zh-CN"/>
        </w:rPr>
        <w:t>4063.09</w:t>
      </w:r>
      <w:r>
        <w:rPr>
          <w:rFonts w:hint="eastAsia"/>
          <w:highlight w:val="none"/>
        </w:rPr>
        <w:t xml:space="preserve"> mg/s即</w:t>
      </w:r>
      <w:r>
        <w:rPr>
          <w:rFonts w:hint="eastAsia"/>
          <w:highlight w:val="none"/>
          <w:lang w:val="en-US" w:eastAsia="zh-CN"/>
        </w:rPr>
        <w:t>73.72</w:t>
      </w:r>
      <w:r>
        <w:rPr>
          <w:rFonts w:hint="eastAsia"/>
          <w:highlight w:val="none"/>
        </w:rPr>
        <w:t xml:space="preserve"> t/a</w:t>
      </w:r>
      <w:r>
        <w:rPr>
          <w:rFonts w:hint="eastAsia"/>
          <w:highlight w:val="none"/>
          <w:lang w:val="en-US" w:eastAsia="zh-CN"/>
        </w:rPr>
        <w:t>半</w:t>
      </w:r>
      <w:r>
        <w:rPr>
          <w:rFonts w:hint="eastAsia"/>
          <w:highlight w:val="none"/>
        </w:rPr>
        <w:t>密闭煤</w:t>
      </w:r>
      <w:r>
        <w:rPr>
          <w:rFonts w:hint="eastAsia"/>
          <w:highlight w:val="none"/>
          <w:lang w:val="en-US" w:eastAsia="zh-CN"/>
        </w:rPr>
        <w:t>厂</w:t>
      </w:r>
      <w:r>
        <w:rPr>
          <w:rFonts w:hint="eastAsia"/>
          <w:highlight w:val="none"/>
        </w:rPr>
        <w:t>降尘量≥99%。则本项目无组织粉尘量排放量约为</w:t>
      </w:r>
      <w:r>
        <w:rPr>
          <w:rFonts w:hint="eastAsia"/>
          <w:highlight w:val="none"/>
          <w:lang w:val="en-US" w:eastAsia="zh-CN"/>
        </w:rPr>
        <w:t>0.7372</w:t>
      </w:r>
      <w:r>
        <w:rPr>
          <w:rFonts w:hint="eastAsia"/>
          <w:highlight w:val="none"/>
        </w:rPr>
        <w:t>t/a。</w:t>
      </w:r>
    </w:p>
    <w:p w14:paraId="075DD2ED">
      <w:pPr>
        <w:ind w:firstLine="480"/>
        <w:rPr>
          <w:rFonts w:ascii="Times New Roman" w:hAnsi="Times New Roman"/>
          <w:highlight w:val="none"/>
        </w:rPr>
      </w:pPr>
      <w:r>
        <w:rPr>
          <w:rFonts w:cs="Times New Roman"/>
          <w:highlight w:val="none"/>
        </w:rPr>
        <w:t>本项目采用</w:t>
      </w:r>
      <w:r>
        <w:rPr>
          <w:rFonts w:hint="eastAsia" w:cs="Times New Roman"/>
          <w:highlight w:val="none"/>
        </w:rPr>
        <w:t>采用挡煤墙（</w:t>
      </w:r>
      <w:r>
        <w:rPr>
          <w:rFonts w:hint="eastAsia" w:cs="Times New Roman"/>
          <w:highlight w:val="none"/>
          <w:lang w:val="en-US" w:eastAsia="zh-CN"/>
        </w:rPr>
        <w:t>2</w:t>
      </w:r>
      <w:r>
        <w:rPr>
          <w:rFonts w:hint="eastAsia" w:cs="Times New Roman"/>
          <w:highlight w:val="none"/>
        </w:rPr>
        <w:t>m高维护砖墙+</w:t>
      </w:r>
      <w:r>
        <w:rPr>
          <w:rFonts w:hint="eastAsia" w:cs="Times New Roman"/>
          <w:highlight w:val="none"/>
          <w:lang w:val="en-US" w:eastAsia="zh-CN"/>
        </w:rPr>
        <w:t>7</w:t>
      </w:r>
      <w:r>
        <w:rPr>
          <w:rFonts w:hint="eastAsia" w:cs="Times New Roman"/>
          <w:highlight w:val="none"/>
        </w:rPr>
        <w:t>m高防风抑尘网）+</w:t>
      </w:r>
      <w:r>
        <w:rPr>
          <w:rFonts w:hint="eastAsia" w:cs="Times New Roman"/>
          <w:highlight w:val="none"/>
          <w:lang w:val="en-US" w:eastAsia="zh-CN"/>
        </w:rPr>
        <w:t>苫布苫盖半</w:t>
      </w:r>
      <w:r>
        <w:rPr>
          <w:rFonts w:hint="eastAsia" w:cs="Times New Roman"/>
          <w:highlight w:val="none"/>
        </w:rPr>
        <w:t>封闭形式，</w:t>
      </w:r>
      <w:r>
        <w:rPr>
          <w:rFonts w:cs="Times New Roman"/>
          <w:highlight w:val="none"/>
        </w:rPr>
        <w:t>类比其他</w:t>
      </w:r>
      <w:r>
        <w:rPr>
          <w:rFonts w:hint="eastAsia" w:cs="Times New Roman"/>
          <w:highlight w:val="none"/>
          <w:lang w:val="en-US" w:eastAsia="zh-CN"/>
        </w:rPr>
        <w:t>供热企业</w:t>
      </w:r>
      <w:r>
        <w:rPr>
          <w:rFonts w:cs="Times New Roman"/>
          <w:highlight w:val="none"/>
        </w:rPr>
        <w:t>的煤场</w:t>
      </w:r>
      <w:r>
        <w:rPr>
          <w:rFonts w:hint="eastAsia" w:cs="Times New Roman"/>
          <w:highlight w:val="none"/>
        </w:rPr>
        <w:t>，通过采取上述措施后</w:t>
      </w:r>
      <w:r>
        <w:rPr>
          <w:rFonts w:hint="eastAsia" w:cs="Times New Roman"/>
          <w:highlight w:val="none"/>
          <w:lang w:val="en-US" w:eastAsia="zh-CN"/>
        </w:rPr>
        <w:t>储煤厂</w:t>
      </w:r>
      <w:r>
        <w:rPr>
          <w:rFonts w:hint="eastAsia" w:cs="Times New Roman"/>
          <w:highlight w:val="none"/>
        </w:rPr>
        <w:t>下风向厂界处颗粒物排放满足《大气污染物综合排放标准》(G</w:t>
      </w:r>
      <w:r>
        <w:rPr>
          <w:rFonts w:cs="Times New Roman"/>
          <w:highlight w:val="none"/>
        </w:rPr>
        <w:t>B16297-1996</w:t>
      </w:r>
      <w:r>
        <w:rPr>
          <w:rFonts w:hint="eastAsia" w:cs="Times New Roman"/>
          <w:highlight w:val="none"/>
        </w:rPr>
        <w:t>）中无组织排放监控浓度限值，且扬尘影响主要集中在</w:t>
      </w:r>
      <w:r>
        <w:rPr>
          <w:rFonts w:cs="Times New Roman"/>
          <w:highlight w:val="none"/>
        </w:rPr>
        <w:t>厂区周边</w:t>
      </w:r>
      <w:r>
        <w:rPr>
          <w:rFonts w:hint="eastAsia" w:cs="Times New Roman"/>
          <w:highlight w:val="none"/>
        </w:rPr>
        <w:t>，</w:t>
      </w:r>
      <w:r>
        <w:rPr>
          <w:rFonts w:cs="Times New Roman"/>
          <w:highlight w:val="none"/>
        </w:rPr>
        <w:t>对区域环境空气质量影响较小。</w:t>
      </w:r>
    </w:p>
    <w:p w14:paraId="54716D12">
      <w:pPr>
        <w:pStyle w:val="23"/>
        <w:ind w:firstLine="480"/>
        <w:rPr>
          <w:rFonts w:hint="eastAsia" w:ascii="Times New Roman" w:hAnsi="Times New Roman"/>
          <w:color w:val="auto"/>
          <w:highlight w:val="none"/>
        </w:rPr>
      </w:pPr>
      <w:r>
        <w:rPr>
          <w:rFonts w:hint="eastAsia" w:ascii="Times New Roman" w:hAnsi="Times New Roman"/>
          <w:color w:val="auto"/>
          <w:highlight w:val="none"/>
        </w:rPr>
        <w:t>（</w:t>
      </w:r>
      <w:r>
        <w:rPr>
          <w:rFonts w:hint="eastAsia" w:ascii="Times New Roman" w:hAnsi="Times New Roman"/>
          <w:color w:val="auto"/>
          <w:highlight w:val="none"/>
          <w:lang w:val="en-US" w:eastAsia="zh-CN"/>
        </w:rPr>
        <w:t>2</w:t>
      </w:r>
      <w:r>
        <w:rPr>
          <w:rFonts w:hint="eastAsia" w:ascii="Times New Roman" w:hAnsi="Times New Roman"/>
          <w:color w:val="auto"/>
          <w:highlight w:val="none"/>
        </w:rPr>
        <w:t>）灰仓粉尘</w:t>
      </w:r>
    </w:p>
    <w:p w14:paraId="253ED0CF">
      <w:pPr>
        <w:pStyle w:val="23"/>
        <w:ind w:firstLine="480"/>
        <w:rPr>
          <w:rFonts w:hint="eastAsia" w:ascii="Times New Roman" w:hAnsi="Times New Roman"/>
          <w:color w:val="auto"/>
          <w:highlight w:val="none"/>
        </w:rPr>
      </w:pPr>
      <w:r>
        <w:rPr>
          <w:rFonts w:hint="eastAsia" w:ascii="Times New Roman" w:hAnsi="Times New Roman"/>
          <w:color w:val="auto"/>
          <w:highlight w:val="none"/>
        </w:rPr>
        <w:t>本项目灰仓采用钢结构全封闭结构，粉尘产生量参考《逸散性工业粉尘控制技术》、《工业污染核算》等书，确定粉尘产生系数为1kg/t，则灰仓产生粉尘量均为</w:t>
      </w:r>
      <w:r>
        <w:rPr>
          <w:rFonts w:hint="eastAsia" w:ascii="Times New Roman" w:hAnsi="Times New Roman"/>
          <w:color w:val="auto"/>
          <w:highlight w:val="none"/>
          <w:lang w:val="en-US" w:eastAsia="zh-CN"/>
        </w:rPr>
        <w:t>6.05</w:t>
      </w:r>
      <w:r>
        <w:rPr>
          <w:rFonts w:hint="eastAsia" w:ascii="Times New Roman" w:hAnsi="Times New Roman"/>
          <w:color w:val="auto"/>
          <w:highlight w:val="none"/>
        </w:rPr>
        <w:t>t/a（1</w:t>
      </w:r>
      <w:r>
        <w:rPr>
          <w:rFonts w:hint="eastAsia" w:ascii="Times New Roman" w:hAnsi="Times New Roman"/>
          <w:color w:val="auto"/>
          <w:highlight w:val="none"/>
          <w:lang w:val="en-US" w:eastAsia="zh-CN"/>
        </w:rPr>
        <w:t>.2</w:t>
      </w:r>
      <w:r>
        <w:rPr>
          <w:rFonts w:hint="eastAsia" w:ascii="Times New Roman" w:hAnsi="Times New Roman"/>
          <w:color w:val="auto"/>
          <w:highlight w:val="none"/>
        </w:rPr>
        <w:t>kg/h）。</w:t>
      </w:r>
    </w:p>
    <w:p w14:paraId="01666E30">
      <w:pPr>
        <w:pStyle w:val="23"/>
        <w:ind w:firstLine="480"/>
        <w:rPr>
          <w:rFonts w:hint="eastAsia" w:ascii="Times New Roman" w:hAnsi="Times New Roman"/>
          <w:color w:val="auto"/>
          <w:highlight w:val="none"/>
        </w:rPr>
      </w:pPr>
      <w:r>
        <w:rPr>
          <w:rFonts w:hint="eastAsia" w:ascii="Times New Roman" w:hAnsi="Times New Roman"/>
          <w:color w:val="auto"/>
          <w:highlight w:val="none"/>
        </w:rPr>
        <w:t>灰仓顶设置效率为9</w:t>
      </w:r>
      <w:r>
        <w:rPr>
          <w:rFonts w:hint="eastAsia" w:ascii="Times New Roman" w:hAnsi="Times New Roman"/>
          <w:color w:val="auto"/>
          <w:highlight w:val="none"/>
          <w:lang w:val="en-US" w:eastAsia="zh-CN"/>
        </w:rPr>
        <w:t>9.</w:t>
      </w:r>
      <w:r>
        <w:rPr>
          <w:rFonts w:hint="eastAsia" w:ascii="Times New Roman" w:hAnsi="Times New Roman"/>
          <w:color w:val="auto"/>
          <w:highlight w:val="none"/>
        </w:rPr>
        <w:t>9%的脉冲袋式除尘器收集粉尘，灰仓排放粉尘量为</w:t>
      </w:r>
      <w:r>
        <w:rPr>
          <w:rFonts w:hint="eastAsia" w:ascii="Times New Roman" w:hAnsi="Times New Roman"/>
          <w:color w:val="auto"/>
          <w:highlight w:val="none"/>
          <w:lang w:val="en-US" w:eastAsia="zh-CN"/>
        </w:rPr>
        <w:t>0.00605</w:t>
      </w:r>
      <w:r>
        <w:rPr>
          <w:rFonts w:hint="eastAsia" w:ascii="Times New Roman" w:hAnsi="Times New Roman"/>
          <w:color w:val="auto"/>
          <w:highlight w:val="none"/>
        </w:rPr>
        <w:t>t/a（</w:t>
      </w:r>
      <w:r>
        <w:rPr>
          <w:rFonts w:hint="eastAsia" w:ascii="Times New Roman" w:hAnsi="Times New Roman"/>
          <w:color w:val="auto"/>
          <w:highlight w:val="none"/>
          <w:lang w:val="en-US" w:eastAsia="zh-CN"/>
        </w:rPr>
        <w:t>0.0012</w:t>
      </w:r>
      <w:r>
        <w:rPr>
          <w:rFonts w:hint="eastAsia" w:ascii="Times New Roman" w:hAnsi="Times New Roman"/>
          <w:color w:val="auto"/>
          <w:highlight w:val="none"/>
        </w:rPr>
        <w:t>kg/h）。灰仓产生的粉尘经布袋除尘器处理后，通过除尘器排气口排放，排放高度8m，以无组织形式排放。</w:t>
      </w:r>
    </w:p>
    <w:p w14:paraId="7F209212">
      <w:pPr>
        <w:pStyle w:val="23"/>
        <w:ind w:firstLine="480"/>
        <w:rPr>
          <w:rFonts w:hint="eastAsia" w:ascii="Times New Roman" w:hAnsi="Times New Roman"/>
          <w:color w:val="auto"/>
          <w:highlight w:val="none"/>
        </w:rPr>
      </w:pPr>
      <w:r>
        <w:rPr>
          <w:rFonts w:hint="eastAsia" w:ascii="Times New Roman" w:hAnsi="Times New Roman"/>
          <w:color w:val="auto"/>
          <w:highlight w:val="none"/>
        </w:rPr>
        <w:t>（</w:t>
      </w:r>
      <w:r>
        <w:rPr>
          <w:rFonts w:hint="eastAsia" w:ascii="Times New Roman" w:hAnsi="Times New Roman"/>
          <w:color w:val="auto"/>
          <w:highlight w:val="none"/>
          <w:lang w:val="en-US" w:eastAsia="zh-CN"/>
        </w:rPr>
        <w:t>3）</w:t>
      </w:r>
      <w:r>
        <w:rPr>
          <w:rFonts w:hint="eastAsia" w:ascii="Times New Roman" w:hAnsi="Times New Roman"/>
          <w:color w:val="auto"/>
          <w:highlight w:val="none"/>
        </w:rPr>
        <w:t>渣仓粉尘</w:t>
      </w:r>
    </w:p>
    <w:p w14:paraId="1B55B32E">
      <w:pPr>
        <w:pStyle w:val="23"/>
        <w:ind w:firstLine="480"/>
        <w:rPr>
          <w:rFonts w:hint="eastAsia" w:ascii="Times New Roman" w:hAnsi="Times New Roman"/>
          <w:color w:val="auto"/>
          <w:highlight w:val="none"/>
        </w:rPr>
      </w:pPr>
      <w:r>
        <w:rPr>
          <w:rFonts w:hint="eastAsia" w:ascii="Times New Roman" w:hAnsi="Times New Roman"/>
          <w:color w:val="auto"/>
          <w:highlight w:val="none"/>
        </w:rPr>
        <w:t>本项目渣仓采用钢结构全封闭结构，粉尘产生量参考《逸散性工业粉尘控制技术》、《工业污染核算》等书，确定粉尘产生系数为1kg/t，则渣仓产生粉尘量为</w:t>
      </w:r>
      <w:r>
        <w:rPr>
          <w:rFonts w:hint="eastAsia" w:ascii="Times New Roman" w:hAnsi="Times New Roman"/>
          <w:color w:val="auto"/>
          <w:highlight w:val="none"/>
          <w:lang w:val="en-US" w:eastAsia="zh-CN"/>
        </w:rPr>
        <w:t>25.92</w:t>
      </w:r>
      <w:r>
        <w:rPr>
          <w:rFonts w:hint="eastAsia" w:ascii="Times New Roman" w:hAnsi="Times New Roman"/>
          <w:color w:val="auto"/>
          <w:highlight w:val="none"/>
        </w:rPr>
        <w:t>t/a（</w:t>
      </w:r>
      <w:r>
        <w:rPr>
          <w:rFonts w:hint="eastAsia" w:ascii="Times New Roman" w:hAnsi="Times New Roman"/>
          <w:color w:val="auto"/>
          <w:highlight w:val="none"/>
          <w:lang w:val="en-US" w:eastAsia="zh-CN"/>
        </w:rPr>
        <w:t>5.143</w:t>
      </w:r>
      <w:r>
        <w:rPr>
          <w:rFonts w:hint="eastAsia" w:ascii="Times New Roman" w:hAnsi="Times New Roman"/>
          <w:color w:val="auto"/>
          <w:highlight w:val="none"/>
        </w:rPr>
        <w:t>kg/h）。</w:t>
      </w:r>
    </w:p>
    <w:p w14:paraId="2C8208AF">
      <w:pPr>
        <w:pStyle w:val="23"/>
        <w:ind w:firstLine="480"/>
        <w:rPr>
          <w:rFonts w:hint="eastAsia" w:ascii="Times New Roman" w:hAnsi="Times New Roman"/>
          <w:color w:val="auto"/>
          <w:highlight w:val="none"/>
        </w:rPr>
      </w:pPr>
      <w:r>
        <w:rPr>
          <w:rFonts w:hint="eastAsia" w:ascii="Times New Roman" w:hAnsi="Times New Roman"/>
          <w:color w:val="auto"/>
          <w:highlight w:val="none"/>
        </w:rPr>
        <w:t>渣仓仓顶设置效率为9</w:t>
      </w:r>
      <w:r>
        <w:rPr>
          <w:rFonts w:hint="eastAsia" w:ascii="Times New Roman" w:hAnsi="Times New Roman"/>
          <w:color w:val="auto"/>
          <w:highlight w:val="none"/>
          <w:lang w:val="en-US" w:eastAsia="zh-CN"/>
        </w:rPr>
        <w:t>9.</w:t>
      </w:r>
      <w:r>
        <w:rPr>
          <w:rFonts w:hint="eastAsia" w:ascii="Times New Roman" w:hAnsi="Times New Roman"/>
          <w:color w:val="auto"/>
          <w:highlight w:val="none"/>
        </w:rPr>
        <w:t>9%的脉冲袋式除尘器收集粉尘</w:t>
      </w:r>
      <w:r>
        <w:rPr>
          <w:rFonts w:hint="eastAsia" w:ascii="Times New Roman" w:hAnsi="Times New Roman"/>
          <w:highlight w:val="none"/>
        </w:rPr>
        <w:t>，</w:t>
      </w:r>
      <w:r>
        <w:rPr>
          <w:rFonts w:hint="eastAsia" w:ascii="Times New Roman" w:hAnsi="Times New Roman"/>
          <w:color w:val="auto"/>
          <w:highlight w:val="none"/>
        </w:rPr>
        <w:t>收集粉尘，渣仓排放粉尘量为</w:t>
      </w:r>
      <w:r>
        <w:rPr>
          <w:rFonts w:hint="eastAsia" w:ascii="Times New Roman" w:hAnsi="Times New Roman"/>
          <w:color w:val="auto"/>
          <w:highlight w:val="none"/>
          <w:lang w:val="en-US" w:eastAsia="zh-CN"/>
        </w:rPr>
        <w:t>0.02592</w:t>
      </w:r>
      <w:r>
        <w:rPr>
          <w:rFonts w:hint="eastAsia" w:ascii="Times New Roman" w:hAnsi="Times New Roman"/>
          <w:color w:val="auto"/>
          <w:highlight w:val="none"/>
        </w:rPr>
        <w:t>t/a（0.</w:t>
      </w:r>
      <w:r>
        <w:rPr>
          <w:rFonts w:hint="eastAsia" w:ascii="Times New Roman" w:hAnsi="Times New Roman"/>
          <w:color w:val="auto"/>
          <w:highlight w:val="none"/>
          <w:lang w:val="en-US" w:eastAsia="zh-CN"/>
        </w:rPr>
        <w:t>005143</w:t>
      </w:r>
      <w:r>
        <w:rPr>
          <w:rFonts w:hint="eastAsia" w:ascii="Times New Roman" w:hAnsi="Times New Roman"/>
          <w:color w:val="auto"/>
          <w:highlight w:val="none"/>
        </w:rPr>
        <w:t>kg/h）。渣仓产生的粉尘经布袋除尘器处理后，通过除尘器排气口排放，排放高度8m，以无组织形式排放。</w:t>
      </w:r>
    </w:p>
    <w:p w14:paraId="3C0A225E">
      <w:pPr>
        <w:ind w:firstLine="480"/>
        <w:rPr>
          <w:rFonts w:ascii="Times New Roman" w:hAnsi="Times New Roman"/>
          <w:highlight w:val="none"/>
        </w:rPr>
      </w:pPr>
      <w:r>
        <w:rPr>
          <w:rFonts w:ascii="Times New Roman" w:hAnsi="Times New Roman"/>
          <w:highlight w:val="none"/>
        </w:rPr>
        <w:t>（</w:t>
      </w:r>
      <w:r>
        <w:rPr>
          <w:rFonts w:hint="eastAsia" w:ascii="Times New Roman" w:hAnsi="Times New Roman"/>
          <w:highlight w:val="none"/>
          <w:lang w:val="en-US" w:eastAsia="zh-CN"/>
        </w:rPr>
        <w:t>4</w:t>
      </w:r>
      <w:r>
        <w:rPr>
          <w:rFonts w:ascii="Times New Roman" w:hAnsi="Times New Roman"/>
          <w:highlight w:val="none"/>
        </w:rPr>
        <w:t>）石灰石粉仓粉尘</w:t>
      </w:r>
    </w:p>
    <w:p w14:paraId="686D5555">
      <w:pPr>
        <w:ind w:firstLine="480"/>
        <w:rPr>
          <w:rFonts w:ascii="Times New Roman" w:hAnsi="Times New Roman"/>
          <w:highlight w:val="none"/>
        </w:rPr>
      </w:pPr>
      <w:r>
        <w:rPr>
          <w:rFonts w:ascii="Times New Roman" w:hAnsi="Times New Roman"/>
          <w:highlight w:val="none"/>
        </w:rPr>
        <w:t>本项目石灰石粉仓采用钢结构全封闭结构，粉尘产生量参考《逸散性工业粉尘控制技术》、《工业污染核算》等书，确定粉尘产生系数为1kg/t，则石灰石粉仓产生粉尘量为</w:t>
      </w:r>
      <w:r>
        <w:rPr>
          <w:rFonts w:hint="eastAsia" w:ascii="Times New Roman" w:hAnsi="Times New Roman"/>
          <w:highlight w:val="none"/>
          <w:lang w:val="en-US" w:eastAsia="zh-CN"/>
        </w:rPr>
        <w:t>0.75</w:t>
      </w:r>
      <w:r>
        <w:rPr>
          <w:rFonts w:ascii="Times New Roman" w:hAnsi="Times New Roman"/>
          <w:highlight w:val="none"/>
        </w:rPr>
        <w:t>t/a（</w:t>
      </w:r>
      <w:r>
        <w:rPr>
          <w:rFonts w:hint="eastAsia" w:ascii="Times New Roman" w:hAnsi="Times New Roman"/>
          <w:highlight w:val="none"/>
          <w:lang w:val="en-US" w:eastAsia="zh-CN"/>
        </w:rPr>
        <w:t>0.148</w:t>
      </w:r>
      <w:r>
        <w:rPr>
          <w:rFonts w:ascii="Times New Roman" w:hAnsi="Times New Roman"/>
          <w:highlight w:val="none"/>
        </w:rPr>
        <w:t>kg/h）。</w:t>
      </w:r>
    </w:p>
    <w:p w14:paraId="13B5064A">
      <w:pPr>
        <w:ind w:firstLine="480"/>
        <w:rPr>
          <w:rFonts w:ascii="Times New Roman" w:hAnsi="Times New Roman"/>
          <w:highlight w:val="none"/>
        </w:rPr>
      </w:pPr>
      <w:r>
        <w:rPr>
          <w:rFonts w:ascii="Times New Roman" w:hAnsi="Times New Roman"/>
          <w:highlight w:val="none"/>
        </w:rPr>
        <w:t>石灰石粉仓顶设置效率为99</w:t>
      </w:r>
      <w:r>
        <w:rPr>
          <w:rFonts w:hint="eastAsia" w:ascii="Times New Roman" w:hAnsi="Times New Roman"/>
          <w:highlight w:val="none"/>
          <w:lang w:val="en-US" w:eastAsia="zh-CN"/>
        </w:rPr>
        <w:t>.9</w:t>
      </w:r>
      <w:r>
        <w:rPr>
          <w:rFonts w:ascii="Times New Roman" w:hAnsi="Times New Roman"/>
          <w:highlight w:val="none"/>
        </w:rPr>
        <w:t>%的脉冲袋式除尘器收集粉尘，石灰石粉仓排放粉尘量为</w:t>
      </w:r>
      <w:r>
        <w:rPr>
          <w:rFonts w:hint="eastAsia" w:ascii="Times New Roman" w:hAnsi="Times New Roman"/>
          <w:highlight w:val="none"/>
          <w:lang w:val="en-US" w:eastAsia="zh-CN"/>
        </w:rPr>
        <w:t>0.00075</w:t>
      </w:r>
      <w:r>
        <w:rPr>
          <w:rFonts w:ascii="Times New Roman" w:hAnsi="Times New Roman"/>
          <w:highlight w:val="none"/>
        </w:rPr>
        <w:t>t/a（0.00</w:t>
      </w:r>
      <w:r>
        <w:rPr>
          <w:rFonts w:hint="eastAsia" w:ascii="Times New Roman" w:hAnsi="Times New Roman"/>
          <w:highlight w:val="none"/>
          <w:lang w:val="en-US" w:eastAsia="zh-CN"/>
        </w:rPr>
        <w:t>0148</w:t>
      </w:r>
      <w:r>
        <w:rPr>
          <w:rFonts w:ascii="Times New Roman" w:hAnsi="Times New Roman"/>
          <w:highlight w:val="none"/>
        </w:rPr>
        <w:t>kg/h）。石灰石粉仓产生的粉尘经布袋除尘器处理后，通过除尘器排气口排放，排放高度8m，以无组织形式排放。</w:t>
      </w:r>
    </w:p>
    <w:p w14:paraId="3A83E36B">
      <w:pPr>
        <w:pStyle w:val="23"/>
        <w:ind w:firstLine="480"/>
        <w:rPr>
          <w:rFonts w:ascii="Times New Roman" w:hAnsi="Times New Roman"/>
          <w:color w:val="auto"/>
          <w:highlight w:val="none"/>
        </w:rPr>
      </w:pPr>
      <w:r>
        <w:rPr>
          <w:rFonts w:ascii="Times New Roman" w:hAnsi="Times New Roman"/>
          <w:color w:val="auto"/>
          <w:highlight w:val="none"/>
        </w:rPr>
        <w:t>（</w:t>
      </w:r>
      <w:r>
        <w:rPr>
          <w:rFonts w:hint="eastAsia" w:ascii="Times New Roman" w:hAnsi="Times New Roman"/>
          <w:color w:val="auto"/>
          <w:highlight w:val="none"/>
          <w:lang w:val="en-US" w:eastAsia="zh-CN"/>
        </w:rPr>
        <w:t>5</w:t>
      </w:r>
      <w:r>
        <w:rPr>
          <w:rFonts w:ascii="Times New Roman" w:hAnsi="Times New Roman"/>
          <w:color w:val="auto"/>
          <w:highlight w:val="none"/>
        </w:rPr>
        <w:t>）燃煤及灰渣运输过程扬尘环境影响分析</w:t>
      </w:r>
    </w:p>
    <w:p w14:paraId="762766A8">
      <w:pPr>
        <w:rPr>
          <w:rFonts w:ascii="Times New Roman" w:hAnsi="Times New Roman"/>
          <w:color w:val="auto"/>
          <w:highlight w:val="none"/>
        </w:rPr>
      </w:pPr>
      <w:r>
        <w:rPr>
          <w:rFonts w:ascii="Times New Roman" w:hAnsi="Times New Roman"/>
          <w:color w:val="auto"/>
          <w:highlight w:val="none"/>
        </w:rPr>
        <w:t>本项目燃煤运输车辆采用苫布遮盖；炉渣经渣仓由卸干渣设备装车外运至综合利用单位；干灰采用气力输送至灰仓，采用封闭罐车运输至综合利用单位。车辆行驶过程中由于轮胎与路面接触会产生路面风蚀扬尘，由于运输道路全部为是水泥路面，运输车辆行驶过程中产生的扬尘量较少，因此运输车辆行驶过程中产生的路面扬尘对环境影响较小。</w:t>
      </w:r>
    </w:p>
    <w:p w14:paraId="695D33BF">
      <w:pPr>
        <w:pStyle w:val="5"/>
        <w:bidi w:val="0"/>
        <w:ind w:left="0" w:leftChars="0" w:firstLine="0" w:firstLineChars="0"/>
        <w:rPr>
          <w:rFonts w:hint="eastAsia"/>
          <w:highlight w:val="none"/>
          <w:lang w:val="en-US" w:eastAsia="zh-CN"/>
        </w:rPr>
      </w:pPr>
      <w:bookmarkStart w:id="85" w:name="_Toc30514"/>
      <w:r>
        <w:rPr>
          <w:rFonts w:hint="eastAsia"/>
          <w:highlight w:val="none"/>
          <w:lang w:val="en-US" w:eastAsia="zh-CN"/>
        </w:rPr>
        <w:t>3.3.2非正常工况大气污染源强分析</w:t>
      </w:r>
      <w:bookmarkEnd w:id="85"/>
    </w:p>
    <w:p w14:paraId="2B5F53A2">
      <w:pPr>
        <w:ind w:firstLine="480"/>
        <w:rPr>
          <w:rFonts w:ascii="Times New Roman" w:hAnsi="Times New Roman"/>
          <w:highlight w:val="none"/>
        </w:rPr>
      </w:pPr>
      <w:r>
        <w:rPr>
          <w:rFonts w:ascii="Times New Roman" w:hAnsi="Times New Roman"/>
          <w:highlight w:val="none"/>
        </w:rPr>
        <w:t>非正常工况参照《污染源源强核算技术指南 锅炉》（HJ 991-2018）对非正常工况废气污染源源强进行核算。</w:t>
      </w:r>
    </w:p>
    <w:p w14:paraId="66571C21">
      <w:pPr>
        <w:ind w:firstLine="480"/>
        <w:rPr>
          <w:rFonts w:ascii="Times New Roman" w:hAnsi="Times New Roman"/>
          <w:highlight w:val="none"/>
        </w:rPr>
      </w:pPr>
      <w:r>
        <w:rPr>
          <w:rFonts w:ascii="Times New Roman" w:hAnsi="Times New Roman"/>
          <w:highlight w:val="none"/>
        </w:rPr>
        <w:t>（1）SO</w:t>
      </w:r>
      <w:r>
        <w:rPr>
          <w:rFonts w:ascii="Times New Roman" w:hAnsi="Times New Roman"/>
          <w:highlight w:val="none"/>
          <w:vertAlign w:val="subscript"/>
        </w:rPr>
        <w:t>2</w:t>
      </w:r>
    </w:p>
    <w:p w14:paraId="56E86BC8">
      <w:pPr>
        <w:ind w:firstLine="480"/>
        <w:rPr>
          <w:rFonts w:ascii="Times New Roman" w:hAnsi="Times New Roman"/>
          <w:highlight w:val="none"/>
        </w:rPr>
      </w:pPr>
      <w:r>
        <w:rPr>
          <w:rFonts w:ascii="Times New Roman" w:hAnsi="Times New Roman"/>
          <w:highlight w:val="none"/>
        </w:rPr>
        <w:t>脱硫设备故障的情况下，脱硫效率为50%。SO</w:t>
      </w:r>
      <w:r>
        <w:rPr>
          <w:rFonts w:ascii="Times New Roman" w:hAnsi="Times New Roman"/>
          <w:highlight w:val="none"/>
          <w:vertAlign w:val="subscript"/>
        </w:rPr>
        <w:t>2</w:t>
      </w:r>
      <w:r>
        <w:rPr>
          <w:rFonts w:ascii="Times New Roman" w:hAnsi="Times New Roman"/>
          <w:highlight w:val="none"/>
        </w:rPr>
        <w:t>排放量</w:t>
      </w:r>
      <w:r>
        <w:rPr>
          <w:rFonts w:hint="eastAsia" w:ascii="Times New Roman" w:hAnsi="Times New Roman"/>
          <w:highlight w:val="none"/>
          <w:lang w:val="en-US" w:eastAsia="zh-CN"/>
        </w:rPr>
        <w:t>分别</w:t>
      </w:r>
      <w:r>
        <w:rPr>
          <w:rFonts w:ascii="Times New Roman" w:hAnsi="Times New Roman"/>
          <w:highlight w:val="none"/>
        </w:rPr>
        <w:t>为</w:t>
      </w:r>
      <w:r>
        <w:rPr>
          <w:rFonts w:hint="eastAsia" w:ascii="Times New Roman" w:hAnsi="Times New Roman"/>
          <w:highlight w:val="none"/>
          <w:lang w:val="en-US" w:eastAsia="zh-CN"/>
        </w:rPr>
        <w:t>43</w:t>
      </w:r>
      <w:r>
        <w:rPr>
          <w:rFonts w:ascii="Times New Roman" w:hAnsi="Times New Roman"/>
          <w:highlight w:val="none"/>
        </w:rPr>
        <w:t>kg/h</w:t>
      </w:r>
      <w:r>
        <w:rPr>
          <w:rFonts w:hint="eastAsia" w:ascii="Times New Roman" w:hAnsi="Times New Roman"/>
          <w:highlight w:val="none"/>
          <w:lang w:eastAsia="zh-CN"/>
        </w:rPr>
        <w:t>（</w:t>
      </w:r>
      <w:r>
        <w:rPr>
          <w:rFonts w:hint="eastAsia" w:ascii="Times New Roman" w:hAnsi="Times New Roman"/>
          <w:highlight w:val="none"/>
          <w:lang w:val="en-US" w:eastAsia="zh-CN"/>
        </w:rPr>
        <w:t>单独使用116MW锅炉</w:t>
      </w:r>
      <w:r>
        <w:rPr>
          <w:rFonts w:hint="eastAsia" w:ascii="Times New Roman" w:hAnsi="Times New Roman"/>
          <w:highlight w:val="none"/>
          <w:lang w:eastAsia="zh-CN"/>
        </w:rPr>
        <w:t>）、</w:t>
      </w:r>
      <w:r>
        <w:rPr>
          <w:rFonts w:hint="eastAsia" w:ascii="Times New Roman" w:hAnsi="Times New Roman"/>
          <w:highlight w:val="none"/>
          <w:lang w:val="en-US" w:eastAsia="zh-CN"/>
        </w:rPr>
        <w:t>18.5kg/h（使用58MW+35t/h锅炉）、48.5kg/h（使用116MW+35t/h锅炉）、13kg/h（单独使用58MW锅炉）</w:t>
      </w:r>
      <w:r>
        <w:rPr>
          <w:rFonts w:ascii="Times New Roman" w:hAnsi="Times New Roman"/>
          <w:highlight w:val="none"/>
        </w:rPr>
        <w:t>，排放浓度为</w:t>
      </w:r>
      <w:r>
        <w:rPr>
          <w:rFonts w:hint="eastAsia" w:ascii="Times New Roman" w:hAnsi="Times New Roman"/>
          <w:highlight w:val="none"/>
          <w:lang w:val="en-US" w:eastAsia="zh-CN"/>
        </w:rPr>
        <w:t>162.44</w:t>
      </w:r>
      <w:r>
        <w:rPr>
          <w:rFonts w:ascii="Times New Roman" w:hAnsi="Times New Roman"/>
          <w:highlight w:val="none"/>
        </w:rPr>
        <w:t>mg/m</w:t>
      </w:r>
      <w:r>
        <w:rPr>
          <w:rFonts w:ascii="Times New Roman" w:hAnsi="Times New Roman"/>
          <w:highlight w:val="none"/>
          <w:vertAlign w:val="superscript"/>
        </w:rPr>
        <w:t>3</w:t>
      </w:r>
      <w:r>
        <w:rPr>
          <w:rFonts w:ascii="Times New Roman" w:hAnsi="Times New Roman"/>
          <w:highlight w:val="none"/>
        </w:rPr>
        <w:t>。</w:t>
      </w:r>
    </w:p>
    <w:p w14:paraId="57213083">
      <w:pPr>
        <w:ind w:firstLine="480"/>
        <w:rPr>
          <w:rFonts w:ascii="Times New Roman" w:hAnsi="Times New Roman"/>
          <w:highlight w:val="none"/>
        </w:rPr>
      </w:pPr>
      <w:r>
        <w:rPr>
          <w:rFonts w:ascii="Times New Roman" w:hAnsi="Times New Roman"/>
          <w:highlight w:val="none"/>
        </w:rPr>
        <w:t>（2）NOx</w:t>
      </w:r>
    </w:p>
    <w:p w14:paraId="0BC0C963">
      <w:pPr>
        <w:ind w:firstLine="480"/>
        <w:rPr>
          <w:rFonts w:ascii="Times New Roman" w:hAnsi="Times New Roman"/>
          <w:highlight w:val="none"/>
        </w:rPr>
      </w:pPr>
      <w:r>
        <w:rPr>
          <w:rFonts w:ascii="Times New Roman" w:hAnsi="Times New Roman"/>
          <w:highlight w:val="none"/>
        </w:rPr>
        <w:t>NOx非正常工况主要是指在点火启动、停炉熄火导致脱硝系统不能投运和低负荷运行或设备故障导致脱硝系统不能投运，SNCR-SCR脱硝效率按0%考虑，则NOx的排放量</w:t>
      </w:r>
      <w:r>
        <w:rPr>
          <w:rFonts w:hint="eastAsia" w:ascii="Times New Roman" w:hAnsi="Times New Roman"/>
          <w:highlight w:val="none"/>
          <w:lang w:val="en-US" w:eastAsia="zh-CN"/>
        </w:rPr>
        <w:t>分别</w:t>
      </w:r>
      <w:r>
        <w:rPr>
          <w:rFonts w:ascii="Times New Roman" w:hAnsi="Times New Roman"/>
          <w:highlight w:val="none"/>
        </w:rPr>
        <w:t>为</w:t>
      </w:r>
      <w:r>
        <w:rPr>
          <w:rFonts w:hint="eastAsia" w:ascii="Times New Roman" w:hAnsi="Times New Roman"/>
          <w:highlight w:val="none"/>
          <w:lang w:val="en-US" w:eastAsia="zh-CN"/>
        </w:rPr>
        <w:t>48</w:t>
      </w:r>
      <w:r>
        <w:rPr>
          <w:rFonts w:ascii="Times New Roman" w:hAnsi="Times New Roman"/>
          <w:highlight w:val="none"/>
        </w:rPr>
        <w:t>kg/h</w:t>
      </w:r>
      <w:r>
        <w:rPr>
          <w:rFonts w:hint="eastAsia" w:ascii="Times New Roman" w:hAnsi="Times New Roman"/>
          <w:highlight w:val="none"/>
          <w:lang w:eastAsia="zh-CN"/>
        </w:rPr>
        <w:t>（</w:t>
      </w:r>
      <w:r>
        <w:rPr>
          <w:rFonts w:hint="eastAsia" w:ascii="Times New Roman" w:hAnsi="Times New Roman"/>
          <w:highlight w:val="none"/>
          <w:lang w:val="en-US" w:eastAsia="zh-CN"/>
        </w:rPr>
        <w:t>单独使用116MW锅炉</w:t>
      </w:r>
      <w:r>
        <w:rPr>
          <w:rFonts w:hint="eastAsia" w:ascii="Times New Roman" w:hAnsi="Times New Roman"/>
          <w:highlight w:val="none"/>
          <w:lang w:eastAsia="zh-CN"/>
        </w:rPr>
        <w:t>）、</w:t>
      </w:r>
      <w:r>
        <w:rPr>
          <w:rFonts w:hint="eastAsia" w:ascii="Times New Roman" w:hAnsi="Times New Roman"/>
          <w:highlight w:val="none"/>
          <w:lang w:val="en-US" w:eastAsia="zh-CN"/>
        </w:rPr>
        <w:t>21kg/h（使用58MW+35t/h锅炉）、54kg/h（使用116MW+35t/h锅炉）、15kg/h（单独使用58MW锅炉）</w:t>
      </w:r>
      <w:r>
        <w:rPr>
          <w:rFonts w:ascii="Times New Roman" w:hAnsi="Times New Roman"/>
          <w:highlight w:val="none"/>
        </w:rPr>
        <w:t>，排放浓度为</w:t>
      </w:r>
      <w:r>
        <w:rPr>
          <w:rFonts w:hint="eastAsia" w:ascii="Times New Roman" w:hAnsi="Times New Roman"/>
          <w:highlight w:val="none"/>
        </w:rPr>
        <w:t>18</w:t>
      </w:r>
      <w:r>
        <w:rPr>
          <w:rFonts w:ascii="Times New Roman" w:hAnsi="Times New Roman"/>
          <w:highlight w:val="none"/>
        </w:rPr>
        <w:t>0mg/m</w:t>
      </w:r>
      <w:r>
        <w:rPr>
          <w:rFonts w:ascii="Times New Roman" w:hAnsi="Times New Roman"/>
          <w:highlight w:val="none"/>
          <w:vertAlign w:val="superscript"/>
        </w:rPr>
        <w:t>3</w:t>
      </w:r>
      <w:r>
        <w:rPr>
          <w:rFonts w:ascii="Times New Roman" w:hAnsi="Times New Roman"/>
          <w:highlight w:val="none"/>
        </w:rPr>
        <w:t>。</w:t>
      </w:r>
    </w:p>
    <w:p w14:paraId="1584DD7C">
      <w:pPr>
        <w:ind w:firstLine="480"/>
        <w:rPr>
          <w:rFonts w:ascii="Times New Roman" w:hAnsi="Times New Roman"/>
          <w:highlight w:val="none"/>
        </w:rPr>
      </w:pPr>
      <w:r>
        <w:rPr>
          <w:rFonts w:ascii="Times New Roman" w:hAnsi="Times New Roman"/>
          <w:highlight w:val="none"/>
        </w:rPr>
        <w:t>（3）颗粒物</w:t>
      </w:r>
    </w:p>
    <w:p w14:paraId="2D9DBDA6">
      <w:pPr>
        <w:ind w:firstLine="480"/>
        <w:rPr>
          <w:rFonts w:ascii="Times New Roman" w:hAnsi="Times New Roman"/>
          <w:highlight w:val="none"/>
        </w:rPr>
      </w:pPr>
      <w:r>
        <w:rPr>
          <w:rFonts w:ascii="Times New Roman" w:hAnsi="Times New Roman"/>
          <w:highlight w:val="none"/>
        </w:rPr>
        <w:t>颗粒物非正常工况主要是指袋式除尘器滤袋破损后，除尘效率降低。袋式除尘器滤袋破损后，颗粒物排放增加量</w:t>
      </w:r>
    </w:p>
    <w:p w14:paraId="3F3592E6">
      <w:pPr>
        <w:ind w:firstLine="0" w:firstLineChars="0"/>
        <w:jc w:val="center"/>
        <w:rPr>
          <w:rFonts w:ascii="Times New Roman" w:hAnsi="Times New Roman"/>
          <w:sz w:val="36"/>
          <w:highlight w:val="none"/>
        </w:rPr>
      </w:pPr>
      <w:r>
        <w:rPr>
          <w:rFonts w:ascii="Times New Roman" w:hAnsi="Times New Roman"/>
          <w:sz w:val="36"/>
          <w:highlight w:val="none"/>
        </w:rPr>
        <w:t>ΔMA=ρd×S×v</w:t>
      </w:r>
    </w:p>
    <w:p w14:paraId="4EAB2677">
      <w:pPr>
        <w:ind w:firstLine="480"/>
        <w:rPr>
          <w:rFonts w:ascii="Times New Roman" w:hAnsi="Times New Roman"/>
          <w:highlight w:val="none"/>
        </w:rPr>
      </w:pPr>
      <w:r>
        <w:rPr>
          <w:rFonts w:ascii="Times New Roman" w:hAnsi="Times New Roman"/>
          <w:highlight w:val="none"/>
        </w:rPr>
        <w:t>式中：</w:t>
      </w:r>
    </w:p>
    <w:p w14:paraId="076D842F">
      <w:pPr>
        <w:ind w:firstLine="480"/>
        <w:rPr>
          <w:rFonts w:ascii="Times New Roman" w:hAnsi="Times New Roman"/>
          <w:highlight w:val="none"/>
        </w:rPr>
      </w:pPr>
      <w:r>
        <w:rPr>
          <w:rFonts w:ascii="Times New Roman" w:hAnsi="Times New Roman"/>
          <w:highlight w:val="none"/>
        </w:rPr>
        <w:t>ΔMA—滤袋破损后增加的颗粒物排放量，g/s；</w:t>
      </w:r>
    </w:p>
    <w:p w14:paraId="6FA4336B">
      <w:pPr>
        <w:ind w:firstLine="480"/>
        <w:rPr>
          <w:rFonts w:ascii="Times New Roman" w:hAnsi="Times New Roman"/>
          <w:highlight w:val="none"/>
        </w:rPr>
      </w:pPr>
      <w:r>
        <w:rPr>
          <w:rFonts w:ascii="Times New Roman" w:hAnsi="Times New Roman"/>
          <w:highlight w:val="none"/>
        </w:rPr>
        <w:t>ρd—原烟气含尘浓度，g/m</w:t>
      </w:r>
      <w:r>
        <w:rPr>
          <w:rFonts w:ascii="Times New Roman" w:hAnsi="Times New Roman"/>
          <w:highlight w:val="none"/>
          <w:vertAlign w:val="superscript"/>
        </w:rPr>
        <w:t>3</w:t>
      </w:r>
      <w:r>
        <w:rPr>
          <w:rFonts w:ascii="Times New Roman" w:hAnsi="Times New Roman"/>
          <w:highlight w:val="none"/>
        </w:rPr>
        <w:t>；</w:t>
      </w:r>
    </w:p>
    <w:p w14:paraId="49A57019">
      <w:pPr>
        <w:ind w:firstLine="480"/>
        <w:rPr>
          <w:rFonts w:ascii="Times New Roman" w:hAnsi="Times New Roman"/>
          <w:highlight w:val="none"/>
        </w:rPr>
      </w:pPr>
      <w:r>
        <w:rPr>
          <w:rFonts w:ascii="Times New Roman" w:hAnsi="Times New Roman"/>
          <w:highlight w:val="none"/>
        </w:rPr>
        <w:t>S—滤袋破口面积，m</w:t>
      </w:r>
      <w:r>
        <w:rPr>
          <w:rFonts w:ascii="Times New Roman" w:hAnsi="Times New Roman"/>
          <w:highlight w:val="none"/>
          <w:vertAlign w:val="superscript"/>
        </w:rPr>
        <w:t>2</w:t>
      </w:r>
      <w:r>
        <w:rPr>
          <w:rFonts w:ascii="Times New Roman" w:hAnsi="Times New Roman"/>
          <w:highlight w:val="none"/>
        </w:rPr>
        <w:t>，本次评价取破裂口为半径10cm圆，面积为0.0314m</w:t>
      </w:r>
      <w:r>
        <w:rPr>
          <w:rFonts w:ascii="Times New Roman" w:hAnsi="Times New Roman"/>
          <w:highlight w:val="none"/>
          <w:vertAlign w:val="superscript"/>
        </w:rPr>
        <w:t>2</w:t>
      </w:r>
      <w:r>
        <w:rPr>
          <w:rFonts w:ascii="Times New Roman" w:hAnsi="Times New Roman"/>
          <w:highlight w:val="none"/>
        </w:rPr>
        <w:t>；</w:t>
      </w:r>
    </w:p>
    <w:p w14:paraId="2C0A0DFF">
      <w:pPr>
        <w:ind w:firstLine="480"/>
        <w:rPr>
          <w:rFonts w:ascii="Times New Roman" w:hAnsi="Times New Roman"/>
          <w:highlight w:val="none"/>
        </w:rPr>
      </w:pPr>
      <w:r>
        <w:rPr>
          <w:rFonts w:ascii="Times New Roman" w:hAnsi="Times New Roman"/>
          <w:highlight w:val="none"/>
        </w:rPr>
        <w:t>v—布袋除尘器内烟气流速，m/s，本次评价取20。</w:t>
      </w:r>
    </w:p>
    <w:p w14:paraId="16422865">
      <w:pPr>
        <w:ind w:firstLine="480"/>
        <w:rPr>
          <w:rFonts w:hint="eastAsia" w:ascii="Times New Roman" w:hAnsi="Times New Roman"/>
          <w:highlight w:val="none"/>
        </w:rPr>
      </w:pPr>
      <w:r>
        <w:rPr>
          <w:rFonts w:ascii="Times New Roman" w:hAnsi="Times New Roman"/>
          <w:highlight w:val="none"/>
        </w:rPr>
        <w:t>本项目原烟气含PM</w:t>
      </w:r>
      <w:r>
        <w:rPr>
          <w:rFonts w:ascii="Times New Roman" w:hAnsi="Times New Roman"/>
          <w:highlight w:val="none"/>
          <w:vertAlign w:val="subscript"/>
        </w:rPr>
        <w:t>10</w:t>
      </w:r>
      <w:r>
        <w:rPr>
          <w:rFonts w:ascii="Times New Roman" w:hAnsi="Times New Roman"/>
          <w:highlight w:val="none"/>
        </w:rPr>
        <w:t>浓度为</w:t>
      </w:r>
      <w:r>
        <w:rPr>
          <w:rFonts w:hint="eastAsia" w:ascii="Times New Roman" w:hAnsi="Times New Roman"/>
          <w:highlight w:val="none"/>
          <w:lang w:val="en-US" w:eastAsia="zh-CN"/>
        </w:rPr>
        <w:t>8048.04</w:t>
      </w:r>
      <w:r>
        <w:rPr>
          <w:rFonts w:ascii="Times New Roman" w:hAnsi="Times New Roman"/>
          <w:highlight w:val="none"/>
        </w:rPr>
        <w:t>mg/m</w:t>
      </w:r>
      <w:r>
        <w:rPr>
          <w:rFonts w:ascii="Times New Roman" w:hAnsi="Times New Roman"/>
          <w:highlight w:val="none"/>
          <w:vertAlign w:val="superscript"/>
        </w:rPr>
        <w:t>3</w:t>
      </w:r>
      <w:r>
        <w:rPr>
          <w:rFonts w:ascii="Times New Roman" w:hAnsi="Times New Roman"/>
          <w:highlight w:val="none"/>
        </w:rPr>
        <w:t>（</w:t>
      </w:r>
      <w:r>
        <w:rPr>
          <w:rFonts w:hint="eastAsia" w:ascii="Times New Roman" w:hAnsi="Times New Roman"/>
          <w:highlight w:val="none"/>
          <w:lang w:val="en-US" w:eastAsia="zh-CN"/>
        </w:rPr>
        <w:t>8.04804</w:t>
      </w:r>
      <w:r>
        <w:rPr>
          <w:rFonts w:ascii="Times New Roman" w:hAnsi="Times New Roman"/>
          <w:highlight w:val="none"/>
        </w:rPr>
        <w:t>g/m</w:t>
      </w:r>
      <w:r>
        <w:rPr>
          <w:rFonts w:ascii="Times New Roman" w:hAnsi="Times New Roman"/>
          <w:highlight w:val="none"/>
          <w:vertAlign w:val="superscript"/>
        </w:rPr>
        <w:t>3</w:t>
      </w:r>
      <w:r>
        <w:rPr>
          <w:rFonts w:ascii="Times New Roman" w:hAnsi="Times New Roman"/>
          <w:highlight w:val="none"/>
        </w:rPr>
        <w:t>），则滤袋破损后增加的PM</w:t>
      </w:r>
      <w:r>
        <w:rPr>
          <w:rFonts w:ascii="Times New Roman" w:hAnsi="Times New Roman"/>
          <w:highlight w:val="none"/>
          <w:vertAlign w:val="subscript"/>
        </w:rPr>
        <w:t>10</w:t>
      </w:r>
      <w:r>
        <w:rPr>
          <w:rFonts w:ascii="Times New Roman" w:hAnsi="Times New Roman"/>
          <w:highlight w:val="none"/>
        </w:rPr>
        <w:t>排放量为</w:t>
      </w:r>
      <w:r>
        <w:rPr>
          <w:rFonts w:hint="eastAsia" w:ascii="Times New Roman" w:hAnsi="Times New Roman"/>
          <w:highlight w:val="none"/>
          <w:lang w:val="en-US" w:eastAsia="zh-CN"/>
        </w:rPr>
        <w:t>5.05</w:t>
      </w:r>
      <w:r>
        <w:rPr>
          <w:rFonts w:ascii="Times New Roman" w:hAnsi="Times New Roman"/>
          <w:highlight w:val="none"/>
        </w:rPr>
        <w:t>g/s（</w:t>
      </w:r>
      <w:r>
        <w:rPr>
          <w:rFonts w:hint="eastAsia" w:ascii="Times New Roman" w:hAnsi="Times New Roman"/>
          <w:highlight w:val="none"/>
          <w:lang w:val="en-US" w:eastAsia="zh-CN"/>
        </w:rPr>
        <w:t>18.18</w:t>
      </w:r>
      <w:r>
        <w:rPr>
          <w:rFonts w:ascii="Times New Roman" w:hAnsi="Times New Roman"/>
          <w:highlight w:val="none"/>
        </w:rPr>
        <w:t>kg/h）；除尘器正常运行情况下PM</w:t>
      </w:r>
      <w:r>
        <w:rPr>
          <w:rFonts w:ascii="Times New Roman" w:hAnsi="Times New Roman"/>
          <w:highlight w:val="none"/>
          <w:vertAlign w:val="subscript"/>
        </w:rPr>
        <w:t>10</w:t>
      </w:r>
      <w:r>
        <w:rPr>
          <w:rFonts w:ascii="Times New Roman" w:hAnsi="Times New Roman"/>
          <w:highlight w:val="none"/>
        </w:rPr>
        <w:t>排放量</w:t>
      </w:r>
      <w:r>
        <w:rPr>
          <w:rFonts w:hint="eastAsia" w:ascii="Times New Roman" w:hAnsi="Times New Roman"/>
          <w:highlight w:val="none"/>
          <w:lang w:val="en-US" w:eastAsia="zh-CN"/>
        </w:rPr>
        <w:t>分别</w:t>
      </w:r>
      <w:r>
        <w:rPr>
          <w:rFonts w:ascii="Times New Roman" w:hAnsi="Times New Roman"/>
          <w:highlight w:val="none"/>
        </w:rPr>
        <w:t>为</w:t>
      </w:r>
      <w:r>
        <w:rPr>
          <w:rFonts w:hint="eastAsia" w:ascii="Times New Roman" w:hAnsi="Times New Roman"/>
          <w:highlight w:val="none"/>
          <w:lang w:val="en-US" w:eastAsia="zh-CN"/>
        </w:rPr>
        <w:t>0.85</w:t>
      </w:r>
      <w:r>
        <w:rPr>
          <w:rFonts w:ascii="Times New Roman" w:hAnsi="Times New Roman"/>
          <w:highlight w:val="none"/>
        </w:rPr>
        <w:t>kg/h</w:t>
      </w:r>
      <w:r>
        <w:rPr>
          <w:rFonts w:hint="eastAsia" w:ascii="Times New Roman" w:hAnsi="Times New Roman"/>
          <w:highlight w:val="none"/>
          <w:lang w:eastAsia="zh-CN"/>
        </w:rPr>
        <w:t>（</w:t>
      </w:r>
      <w:r>
        <w:rPr>
          <w:rFonts w:hint="eastAsia" w:ascii="Times New Roman" w:hAnsi="Times New Roman"/>
          <w:highlight w:val="none"/>
          <w:lang w:val="en-US" w:eastAsia="zh-CN"/>
        </w:rPr>
        <w:t>单独使用116MW锅炉</w:t>
      </w:r>
      <w:r>
        <w:rPr>
          <w:rFonts w:hint="eastAsia" w:ascii="Times New Roman" w:hAnsi="Times New Roman"/>
          <w:highlight w:val="none"/>
          <w:lang w:eastAsia="zh-CN"/>
        </w:rPr>
        <w:t>）、</w:t>
      </w:r>
      <w:r>
        <w:rPr>
          <w:rFonts w:hint="eastAsia" w:ascii="Times New Roman" w:hAnsi="Times New Roman"/>
          <w:highlight w:val="none"/>
          <w:lang w:val="en-US" w:eastAsia="zh-CN"/>
        </w:rPr>
        <w:t>0.36kg/h（使用58MW+35t/h锅炉）、0.95kg/h（使用116MW+35t/h锅炉）、0.26kg/h（单独使用58MW锅炉）</w:t>
      </w:r>
      <w:r>
        <w:rPr>
          <w:rFonts w:ascii="Times New Roman" w:hAnsi="Times New Roman"/>
          <w:highlight w:val="none"/>
        </w:rPr>
        <w:t>，排放浓度</w:t>
      </w:r>
      <w:r>
        <w:rPr>
          <w:rFonts w:hint="eastAsia" w:ascii="Times New Roman" w:hAnsi="Times New Roman"/>
          <w:highlight w:val="none"/>
          <w:lang w:val="en-US" w:eastAsia="zh-CN"/>
        </w:rPr>
        <w:t>3.23</w:t>
      </w:r>
      <w:r>
        <w:rPr>
          <w:rFonts w:ascii="Times New Roman" w:hAnsi="Times New Roman"/>
          <w:highlight w:val="none"/>
        </w:rPr>
        <w:t>mg/m</w:t>
      </w:r>
      <w:r>
        <w:rPr>
          <w:rFonts w:ascii="Times New Roman" w:hAnsi="Times New Roman"/>
          <w:highlight w:val="none"/>
          <w:vertAlign w:val="superscript"/>
        </w:rPr>
        <w:t>3</w:t>
      </w:r>
      <w:r>
        <w:rPr>
          <w:rFonts w:ascii="Times New Roman" w:hAnsi="Times New Roman"/>
          <w:highlight w:val="none"/>
        </w:rPr>
        <w:t>，则滤袋破损后PM</w:t>
      </w:r>
      <w:r>
        <w:rPr>
          <w:rFonts w:ascii="Times New Roman" w:hAnsi="Times New Roman"/>
          <w:highlight w:val="none"/>
          <w:vertAlign w:val="subscript"/>
        </w:rPr>
        <w:t>10</w:t>
      </w:r>
      <w:r>
        <w:rPr>
          <w:rFonts w:ascii="Times New Roman" w:hAnsi="Times New Roman"/>
          <w:highlight w:val="none"/>
        </w:rPr>
        <w:t>排放量</w:t>
      </w:r>
      <w:r>
        <w:rPr>
          <w:rFonts w:hint="eastAsia" w:ascii="Times New Roman" w:hAnsi="Times New Roman"/>
          <w:highlight w:val="none"/>
          <w:lang w:val="en-US" w:eastAsia="zh-CN"/>
        </w:rPr>
        <w:t>分别</w:t>
      </w:r>
      <w:r>
        <w:rPr>
          <w:rFonts w:ascii="Times New Roman" w:hAnsi="Times New Roman"/>
          <w:highlight w:val="none"/>
        </w:rPr>
        <w:t>为</w:t>
      </w:r>
      <w:r>
        <w:rPr>
          <w:rFonts w:hint="eastAsia" w:ascii="Times New Roman" w:hAnsi="Times New Roman"/>
          <w:highlight w:val="none"/>
          <w:lang w:val="en-US" w:eastAsia="zh-CN"/>
        </w:rPr>
        <w:t>19.03</w:t>
      </w:r>
      <w:r>
        <w:rPr>
          <w:rFonts w:ascii="Times New Roman" w:hAnsi="Times New Roman"/>
          <w:highlight w:val="none"/>
        </w:rPr>
        <w:t>kg/h</w:t>
      </w:r>
      <w:r>
        <w:rPr>
          <w:rFonts w:hint="eastAsia" w:ascii="Times New Roman" w:hAnsi="Times New Roman"/>
          <w:highlight w:val="none"/>
          <w:lang w:eastAsia="zh-CN"/>
        </w:rPr>
        <w:t>（</w:t>
      </w:r>
      <w:r>
        <w:rPr>
          <w:rFonts w:hint="eastAsia" w:ascii="Times New Roman" w:hAnsi="Times New Roman"/>
          <w:highlight w:val="none"/>
          <w:lang w:val="en-US" w:eastAsia="zh-CN"/>
        </w:rPr>
        <w:t>单独使用116MW锅炉</w:t>
      </w:r>
      <w:r>
        <w:rPr>
          <w:rFonts w:hint="eastAsia" w:ascii="Times New Roman" w:hAnsi="Times New Roman"/>
          <w:highlight w:val="none"/>
          <w:lang w:eastAsia="zh-CN"/>
        </w:rPr>
        <w:t>）、</w:t>
      </w:r>
      <w:r>
        <w:rPr>
          <w:rFonts w:hint="eastAsia" w:ascii="Times New Roman" w:hAnsi="Times New Roman"/>
          <w:highlight w:val="none"/>
          <w:lang w:val="en-US" w:eastAsia="zh-CN"/>
        </w:rPr>
        <w:t>18.54kg/h（使用58MW+35t/h锅炉）、19.13kg/h（使用116MW+35t/h锅炉）、18.44kg/h（单独使用58MW锅炉）</w:t>
      </w:r>
      <w:r>
        <w:rPr>
          <w:rFonts w:ascii="Times New Roman" w:hAnsi="Times New Roman"/>
          <w:highlight w:val="none"/>
        </w:rPr>
        <w:t>，排放浓度为</w:t>
      </w:r>
      <w:r>
        <w:rPr>
          <w:rFonts w:hint="eastAsia" w:ascii="Times New Roman" w:hAnsi="Times New Roman"/>
          <w:highlight w:val="none"/>
          <w:lang w:val="en-US" w:eastAsia="zh-CN"/>
        </w:rPr>
        <w:t>16.09</w:t>
      </w:r>
      <w:r>
        <w:rPr>
          <w:rFonts w:ascii="Times New Roman" w:hAnsi="Times New Roman"/>
          <w:highlight w:val="none"/>
        </w:rPr>
        <w:t>mg/m</w:t>
      </w:r>
      <w:r>
        <w:rPr>
          <w:rFonts w:ascii="Times New Roman" w:hAnsi="Times New Roman"/>
          <w:highlight w:val="none"/>
          <w:vertAlign w:val="superscript"/>
        </w:rPr>
        <w:t>3</w:t>
      </w:r>
      <w:r>
        <w:rPr>
          <w:rFonts w:ascii="Times New Roman" w:hAnsi="Times New Roman"/>
          <w:highlight w:val="none"/>
        </w:rPr>
        <w:t>，则PM</w:t>
      </w:r>
      <w:r>
        <w:rPr>
          <w:rFonts w:ascii="Times New Roman" w:hAnsi="Times New Roman"/>
          <w:highlight w:val="none"/>
          <w:vertAlign w:val="subscript"/>
        </w:rPr>
        <w:t>10</w:t>
      </w:r>
      <w:r>
        <w:rPr>
          <w:rFonts w:ascii="Times New Roman" w:hAnsi="Times New Roman"/>
          <w:highlight w:val="none"/>
        </w:rPr>
        <w:t>效率为99.</w:t>
      </w:r>
      <w:r>
        <w:rPr>
          <w:rFonts w:hint="eastAsia" w:ascii="Times New Roman" w:hAnsi="Times New Roman"/>
          <w:highlight w:val="none"/>
          <w:lang w:val="en-US" w:eastAsia="zh-CN"/>
        </w:rPr>
        <w:t>8</w:t>
      </w:r>
      <w:r>
        <w:rPr>
          <w:rFonts w:ascii="Times New Roman" w:hAnsi="Times New Roman"/>
          <w:highlight w:val="none"/>
        </w:rPr>
        <w:t>%。</w:t>
      </w:r>
    </w:p>
    <w:p w14:paraId="791093D0">
      <w:pPr>
        <w:ind w:firstLine="480"/>
        <w:rPr>
          <w:rFonts w:ascii="Times New Roman" w:hAnsi="Times New Roman"/>
          <w:highlight w:val="none"/>
        </w:rPr>
      </w:pPr>
      <w:r>
        <w:rPr>
          <w:rFonts w:ascii="Times New Roman" w:hAnsi="Times New Roman"/>
          <w:highlight w:val="none"/>
        </w:rPr>
        <w:t>本项目发生非正常排放时颗粒物、NOx和SO</w:t>
      </w:r>
      <w:r>
        <w:rPr>
          <w:rFonts w:ascii="Times New Roman" w:hAnsi="Times New Roman"/>
          <w:highlight w:val="none"/>
          <w:vertAlign w:val="subscript"/>
        </w:rPr>
        <w:t>2</w:t>
      </w:r>
      <w:r>
        <w:rPr>
          <w:rFonts w:ascii="Times New Roman" w:hAnsi="Times New Roman"/>
          <w:highlight w:val="none"/>
        </w:rPr>
        <w:t>排放量见表见表3.3-3。</w:t>
      </w:r>
    </w:p>
    <w:p w14:paraId="6326F53E">
      <w:pPr>
        <w:ind w:firstLine="0" w:firstLineChars="0"/>
        <w:jc w:val="center"/>
        <w:rPr>
          <w:rFonts w:ascii="Times New Roman" w:hAnsi="Times New Roman"/>
          <w:highlight w:val="none"/>
        </w:rPr>
      </w:pPr>
      <w:r>
        <w:rPr>
          <w:rFonts w:ascii="Times New Roman" w:hAnsi="Times New Roman"/>
          <w:b/>
          <w:bCs/>
          <w:highlight w:val="none"/>
        </w:rPr>
        <w:t>表3.3-3不同工况条件下污染物排放情况一览表</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29"/>
        <w:gridCol w:w="1616"/>
        <w:gridCol w:w="1081"/>
        <w:gridCol w:w="931"/>
        <w:gridCol w:w="885"/>
        <w:gridCol w:w="1792"/>
        <w:gridCol w:w="1388"/>
      </w:tblGrid>
      <w:tr w14:paraId="0C7CAD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86" w:type="pct"/>
            <w:vMerge w:val="restart"/>
            <w:noWrap w:val="0"/>
            <w:vAlign w:val="center"/>
          </w:tcPr>
          <w:p w14:paraId="4814481D">
            <w:pPr>
              <w:pStyle w:val="27"/>
              <w:textAlignment w:val="center"/>
              <w:rPr>
                <w:rFonts w:ascii="Times New Roman" w:hAnsi="Times New Roman"/>
                <w:highlight w:val="none"/>
              </w:rPr>
            </w:pPr>
            <w:r>
              <w:rPr>
                <w:rFonts w:ascii="Times New Roman" w:hAnsi="Times New Roman"/>
                <w:highlight w:val="none"/>
              </w:rPr>
              <w:t>工况</w:t>
            </w:r>
          </w:p>
        </w:tc>
        <w:tc>
          <w:tcPr>
            <w:tcW w:w="948" w:type="pct"/>
            <w:vMerge w:val="restart"/>
            <w:noWrap w:val="0"/>
            <w:vAlign w:val="center"/>
          </w:tcPr>
          <w:p w14:paraId="703A8342">
            <w:pPr>
              <w:pStyle w:val="27"/>
              <w:textAlignment w:val="center"/>
              <w:rPr>
                <w:rFonts w:ascii="Times New Roman" w:hAnsi="Times New Roman"/>
                <w:highlight w:val="none"/>
              </w:rPr>
            </w:pPr>
            <w:r>
              <w:rPr>
                <w:rFonts w:ascii="Times New Roman" w:hAnsi="Times New Roman"/>
                <w:highlight w:val="none"/>
              </w:rPr>
              <w:t>情景模式</w:t>
            </w:r>
          </w:p>
        </w:tc>
        <w:tc>
          <w:tcPr>
            <w:tcW w:w="634" w:type="pct"/>
            <w:vMerge w:val="restart"/>
            <w:noWrap w:val="0"/>
            <w:vAlign w:val="center"/>
          </w:tcPr>
          <w:p w14:paraId="27B985F2">
            <w:pPr>
              <w:pStyle w:val="27"/>
              <w:textAlignment w:val="center"/>
              <w:rPr>
                <w:rFonts w:ascii="Times New Roman" w:hAnsi="Times New Roman"/>
                <w:highlight w:val="none"/>
              </w:rPr>
            </w:pPr>
            <w:r>
              <w:rPr>
                <w:rFonts w:ascii="Times New Roman" w:hAnsi="Times New Roman"/>
                <w:highlight w:val="none"/>
              </w:rPr>
              <w:t>允许持续时间（h）</w:t>
            </w:r>
          </w:p>
        </w:tc>
        <w:tc>
          <w:tcPr>
            <w:tcW w:w="546" w:type="pct"/>
            <w:vMerge w:val="restart"/>
            <w:noWrap w:val="0"/>
            <w:vAlign w:val="center"/>
          </w:tcPr>
          <w:p w14:paraId="69B3FF5B">
            <w:pPr>
              <w:pStyle w:val="27"/>
              <w:textAlignment w:val="center"/>
              <w:rPr>
                <w:rFonts w:ascii="Times New Roman" w:hAnsi="Times New Roman"/>
                <w:highlight w:val="none"/>
              </w:rPr>
            </w:pPr>
            <w:r>
              <w:rPr>
                <w:rFonts w:ascii="Times New Roman" w:hAnsi="Times New Roman"/>
                <w:highlight w:val="none"/>
              </w:rPr>
              <w:t>污染物名称</w:t>
            </w:r>
          </w:p>
        </w:tc>
        <w:tc>
          <w:tcPr>
            <w:tcW w:w="519" w:type="pct"/>
            <w:vMerge w:val="restart"/>
            <w:noWrap w:val="0"/>
            <w:vAlign w:val="center"/>
          </w:tcPr>
          <w:p w14:paraId="25406EB7">
            <w:pPr>
              <w:pStyle w:val="27"/>
              <w:textAlignment w:val="center"/>
              <w:rPr>
                <w:rFonts w:ascii="Times New Roman" w:hAnsi="Times New Roman"/>
                <w:highlight w:val="none"/>
              </w:rPr>
            </w:pPr>
            <w:r>
              <w:rPr>
                <w:rFonts w:ascii="Times New Roman" w:hAnsi="Times New Roman"/>
                <w:highlight w:val="none"/>
              </w:rPr>
              <w:t>去除率（%）</w:t>
            </w:r>
          </w:p>
        </w:tc>
        <w:tc>
          <w:tcPr>
            <w:tcW w:w="1865" w:type="pct"/>
            <w:gridSpan w:val="2"/>
            <w:noWrap w:val="0"/>
            <w:vAlign w:val="center"/>
          </w:tcPr>
          <w:p w14:paraId="4994C0CA">
            <w:pPr>
              <w:pStyle w:val="27"/>
              <w:textAlignment w:val="center"/>
              <w:rPr>
                <w:rFonts w:ascii="Times New Roman" w:hAnsi="Times New Roman"/>
                <w:highlight w:val="none"/>
              </w:rPr>
            </w:pPr>
            <w:r>
              <w:rPr>
                <w:rFonts w:ascii="Times New Roman" w:hAnsi="Times New Roman"/>
                <w:highlight w:val="none"/>
              </w:rPr>
              <w:t>排放情况</w:t>
            </w:r>
          </w:p>
        </w:tc>
      </w:tr>
      <w:tr w14:paraId="10FCE8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86" w:type="pct"/>
            <w:vMerge w:val="continue"/>
            <w:noWrap w:val="0"/>
            <w:vAlign w:val="center"/>
          </w:tcPr>
          <w:p w14:paraId="2C418755">
            <w:pPr>
              <w:pStyle w:val="27"/>
              <w:textAlignment w:val="center"/>
              <w:rPr>
                <w:rFonts w:ascii="Times New Roman" w:hAnsi="Times New Roman"/>
                <w:highlight w:val="none"/>
              </w:rPr>
            </w:pPr>
          </w:p>
        </w:tc>
        <w:tc>
          <w:tcPr>
            <w:tcW w:w="948" w:type="pct"/>
            <w:vMerge w:val="continue"/>
            <w:noWrap w:val="0"/>
            <w:vAlign w:val="center"/>
          </w:tcPr>
          <w:p w14:paraId="3AA14883">
            <w:pPr>
              <w:pStyle w:val="27"/>
              <w:textAlignment w:val="center"/>
              <w:rPr>
                <w:rFonts w:ascii="Times New Roman" w:hAnsi="Times New Roman"/>
                <w:highlight w:val="none"/>
              </w:rPr>
            </w:pPr>
          </w:p>
        </w:tc>
        <w:tc>
          <w:tcPr>
            <w:tcW w:w="634" w:type="pct"/>
            <w:vMerge w:val="continue"/>
            <w:noWrap w:val="0"/>
            <w:vAlign w:val="center"/>
          </w:tcPr>
          <w:p w14:paraId="4B2BC86F">
            <w:pPr>
              <w:pStyle w:val="27"/>
              <w:textAlignment w:val="center"/>
              <w:rPr>
                <w:rFonts w:ascii="Times New Roman" w:hAnsi="Times New Roman"/>
                <w:highlight w:val="none"/>
              </w:rPr>
            </w:pPr>
          </w:p>
        </w:tc>
        <w:tc>
          <w:tcPr>
            <w:tcW w:w="546" w:type="pct"/>
            <w:vMerge w:val="continue"/>
            <w:noWrap w:val="0"/>
            <w:vAlign w:val="center"/>
          </w:tcPr>
          <w:p w14:paraId="4FA9ADD4">
            <w:pPr>
              <w:pStyle w:val="27"/>
              <w:textAlignment w:val="center"/>
              <w:rPr>
                <w:rFonts w:ascii="Times New Roman" w:hAnsi="Times New Roman"/>
                <w:highlight w:val="none"/>
              </w:rPr>
            </w:pPr>
          </w:p>
        </w:tc>
        <w:tc>
          <w:tcPr>
            <w:tcW w:w="519" w:type="pct"/>
            <w:vMerge w:val="continue"/>
            <w:noWrap w:val="0"/>
            <w:vAlign w:val="center"/>
          </w:tcPr>
          <w:p w14:paraId="29043054">
            <w:pPr>
              <w:pStyle w:val="27"/>
              <w:textAlignment w:val="center"/>
              <w:rPr>
                <w:rFonts w:ascii="Times New Roman" w:hAnsi="Times New Roman"/>
                <w:highlight w:val="none"/>
              </w:rPr>
            </w:pPr>
          </w:p>
        </w:tc>
        <w:tc>
          <w:tcPr>
            <w:tcW w:w="1051" w:type="pct"/>
            <w:noWrap w:val="0"/>
            <w:vAlign w:val="center"/>
          </w:tcPr>
          <w:p w14:paraId="272AB6FD">
            <w:pPr>
              <w:pStyle w:val="27"/>
              <w:textAlignment w:val="center"/>
              <w:rPr>
                <w:rFonts w:hint="default" w:ascii="Times New Roman" w:hAnsi="Times New Roman" w:eastAsia="新宋体"/>
                <w:highlight w:val="none"/>
                <w:lang w:val="en-US" w:eastAsia="zh-CN"/>
              </w:rPr>
            </w:pPr>
            <w:r>
              <w:rPr>
                <w:rFonts w:hint="eastAsia" w:ascii="Times New Roman" w:hAnsi="Times New Roman"/>
                <w:highlight w:val="none"/>
                <w:lang w:val="en-US" w:eastAsia="zh-CN"/>
              </w:rPr>
              <w:t>排放量kg/h</w:t>
            </w:r>
          </w:p>
        </w:tc>
        <w:tc>
          <w:tcPr>
            <w:tcW w:w="813" w:type="pct"/>
            <w:noWrap w:val="0"/>
            <w:vAlign w:val="center"/>
          </w:tcPr>
          <w:p w14:paraId="3438950E">
            <w:pPr>
              <w:pStyle w:val="27"/>
              <w:textAlignment w:val="center"/>
              <w:rPr>
                <w:rFonts w:ascii="Times New Roman" w:hAnsi="Times New Roman"/>
                <w:highlight w:val="none"/>
              </w:rPr>
            </w:pPr>
            <w:r>
              <w:rPr>
                <w:rFonts w:ascii="Times New Roman" w:hAnsi="Times New Roman"/>
                <w:highlight w:val="none"/>
              </w:rPr>
              <w:t>浓度mg/m</w:t>
            </w:r>
            <w:r>
              <w:rPr>
                <w:rFonts w:ascii="Times New Roman" w:hAnsi="Times New Roman"/>
                <w:highlight w:val="none"/>
                <w:vertAlign w:val="superscript"/>
              </w:rPr>
              <w:t>3</w:t>
            </w:r>
          </w:p>
        </w:tc>
      </w:tr>
      <w:tr w14:paraId="48F7DBA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486" w:type="pct"/>
            <w:vMerge w:val="restart"/>
            <w:noWrap w:val="0"/>
            <w:vAlign w:val="center"/>
          </w:tcPr>
          <w:p w14:paraId="1724D25D">
            <w:pPr>
              <w:pStyle w:val="27"/>
              <w:textAlignment w:val="center"/>
              <w:rPr>
                <w:rFonts w:ascii="Times New Roman" w:hAnsi="Times New Roman"/>
                <w:highlight w:val="none"/>
              </w:rPr>
            </w:pPr>
            <w:r>
              <w:rPr>
                <w:rFonts w:ascii="Times New Roman" w:hAnsi="Times New Roman"/>
                <w:highlight w:val="none"/>
              </w:rPr>
              <w:t>正常工况</w:t>
            </w:r>
          </w:p>
        </w:tc>
        <w:tc>
          <w:tcPr>
            <w:tcW w:w="948" w:type="pct"/>
            <w:vMerge w:val="restart"/>
            <w:noWrap w:val="0"/>
            <w:vAlign w:val="center"/>
          </w:tcPr>
          <w:p w14:paraId="10D6AB6C">
            <w:pPr>
              <w:pStyle w:val="27"/>
              <w:textAlignment w:val="center"/>
              <w:rPr>
                <w:rFonts w:ascii="Times New Roman" w:hAnsi="Times New Roman"/>
                <w:highlight w:val="none"/>
              </w:rPr>
            </w:pPr>
            <w:r>
              <w:rPr>
                <w:rFonts w:ascii="Times New Roman" w:hAnsi="Times New Roman"/>
                <w:highlight w:val="none"/>
              </w:rPr>
              <w:t>/</w:t>
            </w:r>
          </w:p>
        </w:tc>
        <w:tc>
          <w:tcPr>
            <w:tcW w:w="634" w:type="pct"/>
            <w:vMerge w:val="restart"/>
            <w:noWrap w:val="0"/>
            <w:vAlign w:val="center"/>
          </w:tcPr>
          <w:p w14:paraId="5AB68750">
            <w:pPr>
              <w:pStyle w:val="27"/>
              <w:textAlignment w:val="center"/>
              <w:rPr>
                <w:rFonts w:ascii="Times New Roman" w:hAnsi="Times New Roman"/>
                <w:highlight w:val="none"/>
              </w:rPr>
            </w:pPr>
            <w:r>
              <w:rPr>
                <w:rFonts w:ascii="Times New Roman" w:hAnsi="Times New Roman"/>
                <w:highlight w:val="none"/>
              </w:rPr>
              <w:t>长期</w:t>
            </w:r>
          </w:p>
        </w:tc>
        <w:tc>
          <w:tcPr>
            <w:tcW w:w="546" w:type="pct"/>
            <w:vMerge w:val="restart"/>
            <w:noWrap w:val="0"/>
            <w:vAlign w:val="center"/>
          </w:tcPr>
          <w:p w14:paraId="36F141BA">
            <w:pPr>
              <w:pStyle w:val="27"/>
              <w:textAlignment w:val="center"/>
              <w:rPr>
                <w:rFonts w:ascii="Times New Roman" w:hAnsi="Times New Roman"/>
                <w:highlight w:val="none"/>
              </w:rPr>
            </w:pPr>
            <w:r>
              <w:rPr>
                <w:rFonts w:ascii="Times New Roman" w:hAnsi="Times New Roman"/>
                <w:highlight w:val="none"/>
              </w:rPr>
              <w:t>颗粒物</w:t>
            </w:r>
          </w:p>
        </w:tc>
        <w:tc>
          <w:tcPr>
            <w:tcW w:w="519" w:type="pct"/>
            <w:vMerge w:val="restart"/>
            <w:noWrap w:val="0"/>
            <w:vAlign w:val="center"/>
          </w:tcPr>
          <w:p w14:paraId="00D2E652">
            <w:pPr>
              <w:spacing w:line="240" w:lineRule="auto"/>
              <w:ind w:firstLine="0" w:firstLineChars="0"/>
              <w:jc w:val="center"/>
              <w:textAlignment w:val="center"/>
              <w:rPr>
                <w:rFonts w:ascii="Times New Roman" w:hAnsi="Times New Roman"/>
                <w:highlight w:val="none"/>
              </w:rPr>
            </w:pPr>
            <w:r>
              <w:rPr>
                <w:rFonts w:ascii="Times New Roman" w:hAnsi="Times New Roman"/>
                <w:sz w:val="21"/>
                <w:highlight w:val="none"/>
              </w:rPr>
              <w:t>99.96</w:t>
            </w:r>
          </w:p>
        </w:tc>
        <w:tc>
          <w:tcPr>
            <w:tcW w:w="1051" w:type="pct"/>
            <w:noWrap w:val="0"/>
            <w:vAlign w:val="center"/>
          </w:tcPr>
          <w:p w14:paraId="65D2F2C2">
            <w:pPr>
              <w:spacing w:line="240" w:lineRule="auto"/>
              <w:ind w:firstLine="0" w:firstLineChars="0"/>
              <w:jc w:val="center"/>
              <w:textAlignment w:val="center"/>
              <w:rPr>
                <w:rFonts w:ascii="Times New Roman" w:hAnsi="Times New Roman"/>
                <w:sz w:val="21"/>
                <w:highlight w:val="none"/>
              </w:rPr>
            </w:pPr>
            <w:r>
              <w:rPr>
                <w:rFonts w:hint="eastAsia" w:ascii="Times New Roman" w:hAnsi="Times New Roman"/>
                <w:sz w:val="21"/>
                <w:highlight w:val="none"/>
                <w:lang w:val="en-US" w:eastAsia="zh-CN"/>
              </w:rPr>
              <w:t>0.85（单独使用116MW锅炉）</w:t>
            </w:r>
          </w:p>
        </w:tc>
        <w:tc>
          <w:tcPr>
            <w:tcW w:w="813" w:type="pct"/>
            <w:noWrap w:val="0"/>
            <w:vAlign w:val="center"/>
          </w:tcPr>
          <w:p w14:paraId="7FD63420">
            <w:pPr>
              <w:spacing w:line="240" w:lineRule="auto"/>
              <w:ind w:firstLine="0" w:firstLineChars="0"/>
              <w:jc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3.23</w:t>
            </w:r>
          </w:p>
        </w:tc>
      </w:tr>
      <w:tr w14:paraId="3A1A49D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486" w:type="pct"/>
            <w:vMerge w:val="continue"/>
            <w:noWrap w:val="0"/>
            <w:vAlign w:val="center"/>
          </w:tcPr>
          <w:p w14:paraId="12D32876">
            <w:pPr>
              <w:pStyle w:val="27"/>
              <w:textAlignment w:val="center"/>
              <w:rPr>
                <w:rFonts w:ascii="Times New Roman" w:hAnsi="Times New Roman"/>
                <w:highlight w:val="none"/>
              </w:rPr>
            </w:pPr>
          </w:p>
        </w:tc>
        <w:tc>
          <w:tcPr>
            <w:tcW w:w="948" w:type="pct"/>
            <w:vMerge w:val="continue"/>
            <w:noWrap w:val="0"/>
            <w:vAlign w:val="center"/>
          </w:tcPr>
          <w:p w14:paraId="19D88EFE">
            <w:pPr>
              <w:pStyle w:val="27"/>
              <w:textAlignment w:val="center"/>
              <w:rPr>
                <w:rFonts w:ascii="Times New Roman" w:hAnsi="Times New Roman"/>
                <w:highlight w:val="none"/>
              </w:rPr>
            </w:pPr>
          </w:p>
        </w:tc>
        <w:tc>
          <w:tcPr>
            <w:tcW w:w="634" w:type="pct"/>
            <w:vMerge w:val="continue"/>
            <w:noWrap w:val="0"/>
            <w:vAlign w:val="center"/>
          </w:tcPr>
          <w:p w14:paraId="717A6186">
            <w:pPr>
              <w:pStyle w:val="27"/>
              <w:textAlignment w:val="center"/>
              <w:rPr>
                <w:rFonts w:ascii="Times New Roman" w:hAnsi="Times New Roman"/>
                <w:highlight w:val="none"/>
              </w:rPr>
            </w:pPr>
          </w:p>
        </w:tc>
        <w:tc>
          <w:tcPr>
            <w:tcW w:w="546" w:type="pct"/>
            <w:vMerge w:val="continue"/>
            <w:noWrap w:val="0"/>
            <w:vAlign w:val="center"/>
          </w:tcPr>
          <w:p w14:paraId="54A05E5A">
            <w:pPr>
              <w:pStyle w:val="27"/>
              <w:textAlignment w:val="center"/>
              <w:rPr>
                <w:rFonts w:ascii="Times New Roman" w:hAnsi="Times New Roman"/>
                <w:highlight w:val="none"/>
              </w:rPr>
            </w:pPr>
          </w:p>
        </w:tc>
        <w:tc>
          <w:tcPr>
            <w:tcW w:w="519" w:type="pct"/>
            <w:vMerge w:val="continue"/>
            <w:noWrap w:val="0"/>
            <w:vAlign w:val="center"/>
          </w:tcPr>
          <w:p w14:paraId="7132F7C1">
            <w:pPr>
              <w:spacing w:line="240" w:lineRule="auto"/>
              <w:ind w:firstLine="0" w:firstLineChars="0"/>
              <w:jc w:val="center"/>
              <w:textAlignment w:val="center"/>
              <w:rPr>
                <w:rFonts w:ascii="Times New Roman" w:hAnsi="Times New Roman"/>
                <w:sz w:val="21"/>
                <w:highlight w:val="none"/>
              </w:rPr>
            </w:pPr>
          </w:p>
        </w:tc>
        <w:tc>
          <w:tcPr>
            <w:tcW w:w="1051" w:type="pct"/>
            <w:noWrap w:val="0"/>
            <w:vAlign w:val="center"/>
          </w:tcPr>
          <w:p w14:paraId="3B4293A3">
            <w:pPr>
              <w:spacing w:line="240" w:lineRule="auto"/>
              <w:ind w:firstLine="0" w:firstLineChars="0"/>
              <w:jc w:val="center"/>
              <w:textAlignment w:val="center"/>
              <w:rPr>
                <w:rFonts w:hint="eastAsia" w:ascii="Times New Roman" w:hAnsi="Times New Roman"/>
                <w:sz w:val="21"/>
                <w:highlight w:val="none"/>
              </w:rPr>
            </w:pPr>
            <w:r>
              <w:rPr>
                <w:rFonts w:hint="eastAsia" w:ascii="Times New Roman" w:hAnsi="Times New Roman"/>
                <w:sz w:val="21"/>
                <w:highlight w:val="none"/>
                <w:lang w:val="en-US" w:eastAsia="zh-CN"/>
              </w:rPr>
              <w:t>0.36（使用58MW+35t/h锅炉）</w:t>
            </w:r>
          </w:p>
        </w:tc>
        <w:tc>
          <w:tcPr>
            <w:tcW w:w="813" w:type="pct"/>
            <w:noWrap w:val="0"/>
            <w:vAlign w:val="center"/>
          </w:tcPr>
          <w:p w14:paraId="53D79F85">
            <w:pPr>
              <w:spacing w:line="240" w:lineRule="auto"/>
              <w:ind w:firstLine="0" w:firstLineChars="0"/>
              <w:jc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3.23</w:t>
            </w:r>
          </w:p>
        </w:tc>
      </w:tr>
      <w:tr w14:paraId="6ED2098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486" w:type="pct"/>
            <w:vMerge w:val="continue"/>
            <w:noWrap w:val="0"/>
            <w:vAlign w:val="center"/>
          </w:tcPr>
          <w:p w14:paraId="0E2F1EB7">
            <w:pPr>
              <w:pStyle w:val="27"/>
              <w:textAlignment w:val="center"/>
              <w:rPr>
                <w:rFonts w:ascii="Times New Roman" w:hAnsi="Times New Roman"/>
                <w:highlight w:val="none"/>
              </w:rPr>
            </w:pPr>
          </w:p>
        </w:tc>
        <w:tc>
          <w:tcPr>
            <w:tcW w:w="948" w:type="pct"/>
            <w:vMerge w:val="continue"/>
            <w:noWrap w:val="0"/>
            <w:vAlign w:val="center"/>
          </w:tcPr>
          <w:p w14:paraId="071EE237">
            <w:pPr>
              <w:pStyle w:val="27"/>
              <w:textAlignment w:val="center"/>
              <w:rPr>
                <w:rFonts w:ascii="Times New Roman" w:hAnsi="Times New Roman"/>
                <w:highlight w:val="none"/>
              </w:rPr>
            </w:pPr>
          </w:p>
        </w:tc>
        <w:tc>
          <w:tcPr>
            <w:tcW w:w="634" w:type="pct"/>
            <w:vMerge w:val="continue"/>
            <w:noWrap w:val="0"/>
            <w:vAlign w:val="center"/>
          </w:tcPr>
          <w:p w14:paraId="4AE12996">
            <w:pPr>
              <w:pStyle w:val="27"/>
              <w:textAlignment w:val="center"/>
              <w:rPr>
                <w:rFonts w:ascii="Times New Roman" w:hAnsi="Times New Roman"/>
                <w:highlight w:val="none"/>
              </w:rPr>
            </w:pPr>
          </w:p>
        </w:tc>
        <w:tc>
          <w:tcPr>
            <w:tcW w:w="546" w:type="pct"/>
            <w:vMerge w:val="continue"/>
            <w:noWrap w:val="0"/>
            <w:vAlign w:val="center"/>
          </w:tcPr>
          <w:p w14:paraId="3F85557B">
            <w:pPr>
              <w:pStyle w:val="27"/>
              <w:textAlignment w:val="center"/>
              <w:rPr>
                <w:rFonts w:ascii="Times New Roman" w:hAnsi="Times New Roman"/>
                <w:highlight w:val="none"/>
              </w:rPr>
            </w:pPr>
          </w:p>
        </w:tc>
        <w:tc>
          <w:tcPr>
            <w:tcW w:w="519" w:type="pct"/>
            <w:vMerge w:val="continue"/>
            <w:noWrap w:val="0"/>
            <w:vAlign w:val="center"/>
          </w:tcPr>
          <w:p w14:paraId="49426C9C">
            <w:pPr>
              <w:spacing w:line="240" w:lineRule="auto"/>
              <w:ind w:firstLine="0" w:firstLineChars="0"/>
              <w:jc w:val="center"/>
              <w:textAlignment w:val="center"/>
              <w:rPr>
                <w:rFonts w:ascii="Times New Roman" w:hAnsi="Times New Roman"/>
                <w:sz w:val="21"/>
                <w:highlight w:val="none"/>
              </w:rPr>
            </w:pPr>
          </w:p>
        </w:tc>
        <w:tc>
          <w:tcPr>
            <w:tcW w:w="1051" w:type="pct"/>
            <w:noWrap w:val="0"/>
            <w:vAlign w:val="center"/>
          </w:tcPr>
          <w:p w14:paraId="395BDD20">
            <w:pPr>
              <w:spacing w:line="240" w:lineRule="auto"/>
              <w:ind w:firstLine="0" w:firstLineChars="0"/>
              <w:jc w:val="center"/>
              <w:textAlignment w:val="center"/>
              <w:rPr>
                <w:rFonts w:hint="eastAsia" w:ascii="Times New Roman" w:hAnsi="Times New Roman"/>
                <w:sz w:val="21"/>
                <w:highlight w:val="none"/>
              </w:rPr>
            </w:pPr>
            <w:r>
              <w:rPr>
                <w:rFonts w:hint="eastAsia" w:ascii="Times New Roman" w:hAnsi="Times New Roman"/>
                <w:sz w:val="21"/>
                <w:highlight w:val="none"/>
                <w:lang w:val="en-US" w:eastAsia="zh-CN"/>
              </w:rPr>
              <w:t>0.95（使用116MW+35t/h锅炉）</w:t>
            </w:r>
          </w:p>
        </w:tc>
        <w:tc>
          <w:tcPr>
            <w:tcW w:w="813" w:type="pct"/>
            <w:noWrap w:val="0"/>
            <w:vAlign w:val="center"/>
          </w:tcPr>
          <w:p w14:paraId="52322D2C">
            <w:pPr>
              <w:spacing w:line="240" w:lineRule="auto"/>
              <w:ind w:firstLine="0" w:firstLineChars="0"/>
              <w:jc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3.23</w:t>
            </w:r>
          </w:p>
        </w:tc>
      </w:tr>
      <w:tr w14:paraId="418625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486" w:type="pct"/>
            <w:vMerge w:val="continue"/>
            <w:noWrap w:val="0"/>
            <w:vAlign w:val="center"/>
          </w:tcPr>
          <w:p w14:paraId="30B013ED">
            <w:pPr>
              <w:pStyle w:val="27"/>
              <w:textAlignment w:val="center"/>
              <w:rPr>
                <w:rFonts w:ascii="Times New Roman" w:hAnsi="Times New Roman"/>
                <w:highlight w:val="none"/>
              </w:rPr>
            </w:pPr>
          </w:p>
        </w:tc>
        <w:tc>
          <w:tcPr>
            <w:tcW w:w="948" w:type="pct"/>
            <w:vMerge w:val="continue"/>
            <w:noWrap w:val="0"/>
            <w:vAlign w:val="center"/>
          </w:tcPr>
          <w:p w14:paraId="7D3082FF">
            <w:pPr>
              <w:pStyle w:val="27"/>
              <w:textAlignment w:val="center"/>
              <w:rPr>
                <w:rFonts w:ascii="Times New Roman" w:hAnsi="Times New Roman"/>
                <w:highlight w:val="none"/>
              </w:rPr>
            </w:pPr>
          </w:p>
        </w:tc>
        <w:tc>
          <w:tcPr>
            <w:tcW w:w="634" w:type="pct"/>
            <w:vMerge w:val="continue"/>
            <w:noWrap w:val="0"/>
            <w:vAlign w:val="center"/>
          </w:tcPr>
          <w:p w14:paraId="6070CC86">
            <w:pPr>
              <w:pStyle w:val="27"/>
              <w:textAlignment w:val="center"/>
              <w:rPr>
                <w:rFonts w:ascii="Times New Roman" w:hAnsi="Times New Roman"/>
                <w:highlight w:val="none"/>
              </w:rPr>
            </w:pPr>
          </w:p>
        </w:tc>
        <w:tc>
          <w:tcPr>
            <w:tcW w:w="546" w:type="pct"/>
            <w:vMerge w:val="continue"/>
            <w:noWrap w:val="0"/>
            <w:vAlign w:val="center"/>
          </w:tcPr>
          <w:p w14:paraId="64D73359">
            <w:pPr>
              <w:pStyle w:val="27"/>
              <w:textAlignment w:val="center"/>
              <w:rPr>
                <w:rFonts w:ascii="Times New Roman" w:hAnsi="Times New Roman"/>
                <w:highlight w:val="none"/>
              </w:rPr>
            </w:pPr>
          </w:p>
        </w:tc>
        <w:tc>
          <w:tcPr>
            <w:tcW w:w="519" w:type="pct"/>
            <w:vMerge w:val="continue"/>
            <w:noWrap w:val="0"/>
            <w:vAlign w:val="center"/>
          </w:tcPr>
          <w:p w14:paraId="645C8A35">
            <w:pPr>
              <w:spacing w:line="240" w:lineRule="auto"/>
              <w:ind w:firstLine="0" w:firstLineChars="0"/>
              <w:jc w:val="center"/>
              <w:textAlignment w:val="center"/>
              <w:rPr>
                <w:rFonts w:ascii="Times New Roman" w:hAnsi="Times New Roman"/>
                <w:sz w:val="21"/>
                <w:highlight w:val="none"/>
              </w:rPr>
            </w:pPr>
          </w:p>
        </w:tc>
        <w:tc>
          <w:tcPr>
            <w:tcW w:w="1051" w:type="pct"/>
            <w:noWrap w:val="0"/>
            <w:vAlign w:val="center"/>
          </w:tcPr>
          <w:p w14:paraId="1071965C">
            <w:pPr>
              <w:spacing w:line="240" w:lineRule="auto"/>
              <w:ind w:firstLine="0" w:firstLineChars="0"/>
              <w:jc w:val="center"/>
              <w:textAlignment w:val="center"/>
              <w:rPr>
                <w:rFonts w:hint="eastAsia" w:ascii="Times New Roman" w:hAnsi="Times New Roman"/>
                <w:sz w:val="21"/>
                <w:highlight w:val="none"/>
              </w:rPr>
            </w:pPr>
            <w:r>
              <w:rPr>
                <w:rFonts w:hint="eastAsia" w:ascii="Times New Roman" w:hAnsi="Times New Roman"/>
                <w:sz w:val="21"/>
                <w:highlight w:val="none"/>
                <w:lang w:val="en-US" w:eastAsia="zh-CN"/>
              </w:rPr>
              <w:t>0.26（单独使用58MW锅炉）</w:t>
            </w:r>
          </w:p>
        </w:tc>
        <w:tc>
          <w:tcPr>
            <w:tcW w:w="813" w:type="pct"/>
            <w:noWrap w:val="0"/>
            <w:vAlign w:val="center"/>
          </w:tcPr>
          <w:p w14:paraId="0CA9091D">
            <w:pPr>
              <w:spacing w:line="240" w:lineRule="auto"/>
              <w:ind w:firstLine="0" w:firstLineChars="0"/>
              <w:jc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3.23</w:t>
            </w:r>
          </w:p>
        </w:tc>
      </w:tr>
      <w:tr w14:paraId="485755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86" w:type="pct"/>
            <w:vMerge w:val="continue"/>
            <w:noWrap w:val="0"/>
            <w:vAlign w:val="center"/>
          </w:tcPr>
          <w:p w14:paraId="622BE2FC">
            <w:pPr>
              <w:pStyle w:val="27"/>
              <w:textAlignment w:val="center"/>
              <w:rPr>
                <w:rFonts w:ascii="Times New Roman" w:hAnsi="Times New Roman"/>
                <w:highlight w:val="none"/>
              </w:rPr>
            </w:pPr>
          </w:p>
        </w:tc>
        <w:tc>
          <w:tcPr>
            <w:tcW w:w="948" w:type="pct"/>
            <w:vMerge w:val="continue"/>
            <w:noWrap w:val="0"/>
            <w:vAlign w:val="center"/>
          </w:tcPr>
          <w:p w14:paraId="6177893A">
            <w:pPr>
              <w:pStyle w:val="27"/>
              <w:textAlignment w:val="center"/>
              <w:rPr>
                <w:rFonts w:ascii="Times New Roman" w:hAnsi="Times New Roman"/>
                <w:highlight w:val="none"/>
              </w:rPr>
            </w:pPr>
          </w:p>
        </w:tc>
        <w:tc>
          <w:tcPr>
            <w:tcW w:w="634" w:type="pct"/>
            <w:vMerge w:val="continue"/>
            <w:noWrap w:val="0"/>
            <w:vAlign w:val="center"/>
          </w:tcPr>
          <w:p w14:paraId="6AC6A247">
            <w:pPr>
              <w:pStyle w:val="27"/>
              <w:textAlignment w:val="center"/>
              <w:rPr>
                <w:rFonts w:ascii="Times New Roman" w:hAnsi="Times New Roman"/>
                <w:highlight w:val="none"/>
              </w:rPr>
            </w:pPr>
          </w:p>
        </w:tc>
        <w:tc>
          <w:tcPr>
            <w:tcW w:w="546" w:type="pct"/>
            <w:vMerge w:val="restart"/>
            <w:noWrap w:val="0"/>
            <w:vAlign w:val="center"/>
          </w:tcPr>
          <w:p w14:paraId="2981B9C6">
            <w:pPr>
              <w:pStyle w:val="27"/>
              <w:textAlignment w:val="center"/>
              <w:rPr>
                <w:rFonts w:ascii="Times New Roman" w:hAnsi="Times New Roman"/>
                <w:highlight w:val="none"/>
              </w:rPr>
            </w:pPr>
            <w:r>
              <w:rPr>
                <w:rFonts w:ascii="Times New Roman" w:hAnsi="Times New Roman"/>
                <w:highlight w:val="none"/>
              </w:rPr>
              <w:t>SO</w:t>
            </w:r>
            <w:r>
              <w:rPr>
                <w:rFonts w:ascii="Times New Roman" w:hAnsi="Times New Roman"/>
                <w:highlight w:val="none"/>
                <w:vertAlign w:val="subscript"/>
              </w:rPr>
              <w:t>2</w:t>
            </w:r>
          </w:p>
        </w:tc>
        <w:tc>
          <w:tcPr>
            <w:tcW w:w="519" w:type="pct"/>
            <w:vMerge w:val="restart"/>
            <w:noWrap w:val="0"/>
            <w:vAlign w:val="center"/>
          </w:tcPr>
          <w:p w14:paraId="6C8FA021">
            <w:pPr>
              <w:spacing w:line="240" w:lineRule="auto"/>
              <w:ind w:firstLine="0" w:firstLineChars="0"/>
              <w:jc w:val="center"/>
              <w:textAlignment w:val="center"/>
              <w:rPr>
                <w:rFonts w:ascii="Times New Roman" w:hAnsi="Times New Roman"/>
                <w:highlight w:val="none"/>
              </w:rPr>
            </w:pPr>
            <w:r>
              <w:rPr>
                <w:rFonts w:ascii="Times New Roman" w:hAnsi="Times New Roman"/>
                <w:sz w:val="21"/>
                <w:highlight w:val="none"/>
              </w:rPr>
              <w:t>97</w:t>
            </w:r>
          </w:p>
        </w:tc>
        <w:tc>
          <w:tcPr>
            <w:tcW w:w="1051" w:type="pct"/>
            <w:noWrap w:val="0"/>
            <w:vAlign w:val="center"/>
          </w:tcPr>
          <w:p w14:paraId="5AFB1AF5">
            <w:pPr>
              <w:spacing w:line="240" w:lineRule="auto"/>
              <w:ind w:firstLine="0" w:firstLineChars="0"/>
              <w:jc w:val="center"/>
              <w:textAlignment w:val="center"/>
              <w:rPr>
                <w:rFonts w:ascii="Times New Roman" w:hAnsi="Times New Roman"/>
                <w:sz w:val="21"/>
                <w:highlight w:val="none"/>
              </w:rPr>
            </w:pPr>
            <w:r>
              <w:rPr>
                <w:rFonts w:hint="eastAsia" w:ascii="Times New Roman" w:hAnsi="Times New Roman"/>
                <w:sz w:val="21"/>
                <w:highlight w:val="none"/>
                <w:lang w:val="en-US" w:eastAsia="zh-CN"/>
              </w:rPr>
              <w:t>2.58（单独使用116MW锅炉）</w:t>
            </w:r>
          </w:p>
        </w:tc>
        <w:tc>
          <w:tcPr>
            <w:tcW w:w="813" w:type="pct"/>
            <w:noWrap w:val="0"/>
            <w:vAlign w:val="center"/>
          </w:tcPr>
          <w:p w14:paraId="5FF5CD37">
            <w:pPr>
              <w:spacing w:line="240" w:lineRule="auto"/>
              <w:ind w:firstLine="0" w:firstLineChars="0"/>
              <w:jc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9.746</w:t>
            </w:r>
          </w:p>
        </w:tc>
      </w:tr>
      <w:tr w14:paraId="201C6BE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86" w:type="pct"/>
            <w:vMerge w:val="continue"/>
            <w:noWrap w:val="0"/>
            <w:vAlign w:val="center"/>
          </w:tcPr>
          <w:p w14:paraId="74E59828">
            <w:pPr>
              <w:pStyle w:val="27"/>
              <w:textAlignment w:val="center"/>
              <w:rPr>
                <w:rFonts w:ascii="Times New Roman" w:hAnsi="Times New Roman"/>
                <w:highlight w:val="none"/>
              </w:rPr>
            </w:pPr>
          </w:p>
        </w:tc>
        <w:tc>
          <w:tcPr>
            <w:tcW w:w="948" w:type="pct"/>
            <w:vMerge w:val="continue"/>
            <w:noWrap w:val="0"/>
            <w:vAlign w:val="center"/>
          </w:tcPr>
          <w:p w14:paraId="3C9F51A4">
            <w:pPr>
              <w:pStyle w:val="27"/>
              <w:textAlignment w:val="center"/>
              <w:rPr>
                <w:rFonts w:ascii="Times New Roman" w:hAnsi="Times New Roman"/>
                <w:highlight w:val="none"/>
              </w:rPr>
            </w:pPr>
          </w:p>
        </w:tc>
        <w:tc>
          <w:tcPr>
            <w:tcW w:w="634" w:type="pct"/>
            <w:vMerge w:val="continue"/>
            <w:noWrap w:val="0"/>
            <w:vAlign w:val="center"/>
          </w:tcPr>
          <w:p w14:paraId="030C90D6">
            <w:pPr>
              <w:pStyle w:val="27"/>
              <w:textAlignment w:val="center"/>
              <w:rPr>
                <w:rFonts w:ascii="Times New Roman" w:hAnsi="Times New Roman"/>
                <w:highlight w:val="none"/>
              </w:rPr>
            </w:pPr>
          </w:p>
        </w:tc>
        <w:tc>
          <w:tcPr>
            <w:tcW w:w="546" w:type="pct"/>
            <w:vMerge w:val="continue"/>
            <w:noWrap w:val="0"/>
            <w:vAlign w:val="center"/>
          </w:tcPr>
          <w:p w14:paraId="55BE916D">
            <w:pPr>
              <w:pStyle w:val="27"/>
              <w:textAlignment w:val="center"/>
              <w:rPr>
                <w:rFonts w:ascii="Times New Roman" w:hAnsi="Times New Roman"/>
                <w:highlight w:val="none"/>
              </w:rPr>
            </w:pPr>
          </w:p>
        </w:tc>
        <w:tc>
          <w:tcPr>
            <w:tcW w:w="519" w:type="pct"/>
            <w:vMerge w:val="continue"/>
            <w:noWrap w:val="0"/>
            <w:vAlign w:val="center"/>
          </w:tcPr>
          <w:p w14:paraId="5FD5B096">
            <w:pPr>
              <w:spacing w:line="240" w:lineRule="auto"/>
              <w:ind w:firstLine="0" w:firstLineChars="0"/>
              <w:jc w:val="center"/>
              <w:textAlignment w:val="center"/>
              <w:rPr>
                <w:rFonts w:ascii="Times New Roman" w:hAnsi="Times New Roman"/>
                <w:sz w:val="21"/>
                <w:highlight w:val="none"/>
              </w:rPr>
            </w:pPr>
          </w:p>
        </w:tc>
        <w:tc>
          <w:tcPr>
            <w:tcW w:w="1051" w:type="pct"/>
            <w:noWrap w:val="0"/>
            <w:vAlign w:val="center"/>
          </w:tcPr>
          <w:p w14:paraId="43FC242F">
            <w:pPr>
              <w:spacing w:line="240" w:lineRule="auto"/>
              <w:ind w:firstLine="0" w:firstLineChars="0"/>
              <w:jc w:val="center"/>
              <w:textAlignment w:val="center"/>
              <w:rPr>
                <w:rFonts w:hint="eastAsia" w:ascii="Times New Roman" w:hAnsi="Times New Roman"/>
                <w:sz w:val="21"/>
                <w:highlight w:val="none"/>
              </w:rPr>
            </w:pPr>
            <w:r>
              <w:rPr>
                <w:rFonts w:hint="eastAsia" w:ascii="Times New Roman" w:hAnsi="Times New Roman"/>
                <w:sz w:val="21"/>
                <w:highlight w:val="none"/>
                <w:lang w:val="en-US" w:eastAsia="zh-CN"/>
              </w:rPr>
              <w:t>1.12（使用58MW+35t/h锅炉）</w:t>
            </w:r>
          </w:p>
        </w:tc>
        <w:tc>
          <w:tcPr>
            <w:tcW w:w="813" w:type="pct"/>
            <w:noWrap w:val="0"/>
            <w:vAlign w:val="center"/>
          </w:tcPr>
          <w:p w14:paraId="10605B5F">
            <w:pPr>
              <w:spacing w:line="240" w:lineRule="auto"/>
              <w:ind w:firstLine="0" w:firstLineChars="0"/>
              <w:jc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9.746</w:t>
            </w:r>
          </w:p>
        </w:tc>
      </w:tr>
      <w:tr w14:paraId="7666468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86" w:type="pct"/>
            <w:vMerge w:val="continue"/>
            <w:noWrap w:val="0"/>
            <w:vAlign w:val="center"/>
          </w:tcPr>
          <w:p w14:paraId="05F1EA73">
            <w:pPr>
              <w:pStyle w:val="27"/>
              <w:textAlignment w:val="center"/>
              <w:rPr>
                <w:rFonts w:ascii="Times New Roman" w:hAnsi="Times New Roman"/>
                <w:highlight w:val="none"/>
              </w:rPr>
            </w:pPr>
          </w:p>
        </w:tc>
        <w:tc>
          <w:tcPr>
            <w:tcW w:w="948" w:type="pct"/>
            <w:vMerge w:val="continue"/>
            <w:noWrap w:val="0"/>
            <w:vAlign w:val="center"/>
          </w:tcPr>
          <w:p w14:paraId="0B870E35">
            <w:pPr>
              <w:pStyle w:val="27"/>
              <w:textAlignment w:val="center"/>
              <w:rPr>
                <w:rFonts w:ascii="Times New Roman" w:hAnsi="Times New Roman"/>
                <w:highlight w:val="none"/>
              </w:rPr>
            </w:pPr>
          </w:p>
        </w:tc>
        <w:tc>
          <w:tcPr>
            <w:tcW w:w="634" w:type="pct"/>
            <w:vMerge w:val="continue"/>
            <w:noWrap w:val="0"/>
            <w:vAlign w:val="center"/>
          </w:tcPr>
          <w:p w14:paraId="7D6FB9AA">
            <w:pPr>
              <w:pStyle w:val="27"/>
              <w:textAlignment w:val="center"/>
              <w:rPr>
                <w:rFonts w:ascii="Times New Roman" w:hAnsi="Times New Roman"/>
                <w:highlight w:val="none"/>
              </w:rPr>
            </w:pPr>
          </w:p>
        </w:tc>
        <w:tc>
          <w:tcPr>
            <w:tcW w:w="546" w:type="pct"/>
            <w:vMerge w:val="continue"/>
            <w:noWrap w:val="0"/>
            <w:vAlign w:val="center"/>
          </w:tcPr>
          <w:p w14:paraId="14AE3DE1">
            <w:pPr>
              <w:pStyle w:val="27"/>
              <w:textAlignment w:val="center"/>
              <w:rPr>
                <w:rFonts w:ascii="Times New Roman" w:hAnsi="Times New Roman"/>
                <w:highlight w:val="none"/>
              </w:rPr>
            </w:pPr>
          </w:p>
        </w:tc>
        <w:tc>
          <w:tcPr>
            <w:tcW w:w="519" w:type="pct"/>
            <w:vMerge w:val="continue"/>
            <w:noWrap w:val="0"/>
            <w:vAlign w:val="center"/>
          </w:tcPr>
          <w:p w14:paraId="2D7C0527">
            <w:pPr>
              <w:spacing w:line="240" w:lineRule="auto"/>
              <w:ind w:firstLine="0" w:firstLineChars="0"/>
              <w:jc w:val="center"/>
              <w:textAlignment w:val="center"/>
              <w:rPr>
                <w:rFonts w:ascii="Times New Roman" w:hAnsi="Times New Roman"/>
                <w:sz w:val="21"/>
                <w:highlight w:val="none"/>
              </w:rPr>
            </w:pPr>
          </w:p>
        </w:tc>
        <w:tc>
          <w:tcPr>
            <w:tcW w:w="1051" w:type="pct"/>
            <w:noWrap w:val="0"/>
            <w:vAlign w:val="center"/>
          </w:tcPr>
          <w:p w14:paraId="1EC3C57D">
            <w:pPr>
              <w:spacing w:line="240" w:lineRule="auto"/>
              <w:ind w:firstLine="0" w:firstLineChars="0"/>
              <w:jc w:val="center"/>
              <w:textAlignment w:val="center"/>
              <w:rPr>
                <w:rFonts w:hint="eastAsia" w:ascii="Times New Roman" w:hAnsi="Times New Roman"/>
                <w:sz w:val="21"/>
                <w:highlight w:val="none"/>
              </w:rPr>
            </w:pPr>
            <w:r>
              <w:rPr>
                <w:rFonts w:hint="eastAsia" w:ascii="Times New Roman" w:hAnsi="Times New Roman"/>
                <w:sz w:val="21"/>
                <w:highlight w:val="none"/>
                <w:lang w:val="en-US" w:eastAsia="zh-CN"/>
              </w:rPr>
              <w:t>2.91（使用116MW+35t/h锅炉）</w:t>
            </w:r>
          </w:p>
        </w:tc>
        <w:tc>
          <w:tcPr>
            <w:tcW w:w="813" w:type="pct"/>
            <w:noWrap w:val="0"/>
            <w:vAlign w:val="center"/>
          </w:tcPr>
          <w:p w14:paraId="59980C73">
            <w:pPr>
              <w:spacing w:line="240" w:lineRule="auto"/>
              <w:ind w:firstLine="0" w:firstLineChars="0"/>
              <w:jc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9.746</w:t>
            </w:r>
          </w:p>
        </w:tc>
      </w:tr>
      <w:tr w14:paraId="1B86558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86" w:type="pct"/>
            <w:vMerge w:val="continue"/>
            <w:noWrap w:val="0"/>
            <w:vAlign w:val="center"/>
          </w:tcPr>
          <w:p w14:paraId="6E6713EF">
            <w:pPr>
              <w:pStyle w:val="27"/>
              <w:textAlignment w:val="center"/>
              <w:rPr>
                <w:rFonts w:ascii="Times New Roman" w:hAnsi="Times New Roman"/>
                <w:highlight w:val="none"/>
              </w:rPr>
            </w:pPr>
          </w:p>
        </w:tc>
        <w:tc>
          <w:tcPr>
            <w:tcW w:w="948" w:type="pct"/>
            <w:vMerge w:val="continue"/>
            <w:noWrap w:val="0"/>
            <w:vAlign w:val="center"/>
          </w:tcPr>
          <w:p w14:paraId="127464BB">
            <w:pPr>
              <w:pStyle w:val="27"/>
              <w:textAlignment w:val="center"/>
              <w:rPr>
                <w:rFonts w:ascii="Times New Roman" w:hAnsi="Times New Roman"/>
                <w:highlight w:val="none"/>
              </w:rPr>
            </w:pPr>
          </w:p>
        </w:tc>
        <w:tc>
          <w:tcPr>
            <w:tcW w:w="634" w:type="pct"/>
            <w:vMerge w:val="continue"/>
            <w:noWrap w:val="0"/>
            <w:vAlign w:val="center"/>
          </w:tcPr>
          <w:p w14:paraId="3D87F5A5">
            <w:pPr>
              <w:pStyle w:val="27"/>
              <w:textAlignment w:val="center"/>
              <w:rPr>
                <w:rFonts w:ascii="Times New Roman" w:hAnsi="Times New Roman"/>
                <w:highlight w:val="none"/>
              </w:rPr>
            </w:pPr>
          </w:p>
        </w:tc>
        <w:tc>
          <w:tcPr>
            <w:tcW w:w="546" w:type="pct"/>
            <w:vMerge w:val="continue"/>
            <w:noWrap w:val="0"/>
            <w:vAlign w:val="center"/>
          </w:tcPr>
          <w:p w14:paraId="6509C416">
            <w:pPr>
              <w:pStyle w:val="27"/>
              <w:textAlignment w:val="center"/>
              <w:rPr>
                <w:rFonts w:ascii="Times New Roman" w:hAnsi="Times New Roman"/>
                <w:highlight w:val="none"/>
              </w:rPr>
            </w:pPr>
          </w:p>
        </w:tc>
        <w:tc>
          <w:tcPr>
            <w:tcW w:w="519" w:type="pct"/>
            <w:vMerge w:val="continue"/>
            <w:noWrap w:val="0"/>
            <w:vAlign w:val="center"/>
          </w:tcPr>
          <w:p w14:paraId="16251D54">
            <w:pPr>
              <w:spacing w:line="240" w:lineRule="auto"/>
              <w:ind w:firstLine="0" w:firstLineChars="0"/>
              <w:jc w:val="center"/>
              <w:textAlignment w:val="center"/>
              <w:rPr>
                <w:rFonts w:ascii="Times New Roman" w:hAnsi="Times New Roman"/>
                <w:sz w:val="21"/>
                <w:highlight w:val="none"/>
              </w:rPr>
            </w:pPr>
          </w:p>
        </w:tc>
        <w:tc>
          <w:tcPr>
            <w:tcW w:w="1051" w:type="pct"/>
            <w:noWrap w:val="0"/>
            <w:vAlign w:val="center"/>
          </w:tcPr>
          <w:p w14:paraId="08AEB5FD">
            <w:pPr>
              <w:spacing w:line="240" w:lineRule="auto"/>
              <w:ind w:firstLine="0" w:firstLineChars="0"/>
              <w:jc w:val="center"/>
              <w:textAlignment w:val="center"/>
              <w:rPr>
                <w:rFonts w:hint="eastAsia" w:ascii="Times New Roman" w:hAnsi="Times New Roman"/>
                <w:sz w:val="21"/>
                <w:highlight w:val="none"/>
              </w:rPr>
            </w:pPr>
            <w:r>
              <w:rPr>
                <w:rFonts w:hint="eastAsia" w:ascii="Times New Roman" w:hAnsi="Times New Roman"/>
                <w:sz w:val="21"/>
                <w:highlight w:val="none"/>
                <w:lang w:val="en-US" w:eastAsia="zh-CN"/>
              </w:rPr>
              <w:t>0.788（单独使用58MW锅炉）</w:t>
            </w:r>
          </w:p>
        </w:tc>
        <w:tc>
          <w:tcPr>
            <w:tcW w:w="813" w:type="pct"/>
            <w:noWrap w:val="0"/>
            <w:vAlign w:val="center"/>
          </w:tcPr>
          <w:p w14:paraId="019F7D96">
            <w:pPr>
              <w:spacing w:line="240" w:lineRule="auto"/>
              <w:ind w:firstLine="0" w:firstLineChars="0"/>
              <w:jc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9.746</w:t>
            </w:r>
          </w:p>
        </w:tc>
      </w:tr>
      <w:tr w14:paraId="19C43F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86" w:type="pct"/>
            <w:vMerge w:val="continue"/>
            <w:noWrap w:val="0"/>
            <w:vAlign w:val="center"/>
          </w:tcPr>
          <w:p w14:paraId="5D0AA78B">
            <w:pPr>
              <w:pStyle w:val="27"/>
              <w:textAlignment w:val="center"/>
              <w:rPr>
                <w:rFonts w:ascii="Times New Roman" w:hAnsi="Times New Roman"/>
                <w:highlight w:val="none"/>
              </w:rPr>
            </w:pPr>
          </w:p>
        </w:tc>
        <w:tc>
          <w:tcPr>
            <w:tcW w:w="948" w:type="pct"/>
            <w:vMerge w:val="continue"/>
            <w:noWrap w:val="0"/>
            <w:vAlign w:val="center"/>
          </w:tcPr>
          <w:p w14:paraId="064CEE58">
            <w:pPr>
              <w:pStyle w:val="27"/>
              <w:textAlignment w:val="center"/>
              <w:rPr>
                <w:rFonts w:ascii="Times New Roman" w:hAnsi="Times New Roman"/>
                <w:highlight w:val="none"/>
              </w:rPr>
            </w:pPr>
          </w:p>
        </w:tc>
        <w:tc>
          <w:tcPr>
            <w:tcW w:w="634" w:type="pct"/>
            <w:vMerge w:val="continue"/>
            <w:noWrap w:val="0"/>
            <w:vAlign w:val="center"/>
          </w:tcPr>
          <w:p w14:paraId="77CEE2E6">
            <w:pPr>
              <w:pStyle w:val="27"/>
              <w:textAlignment w:val="center"/>
              <w:rPr>
                <w:rFonts w:ascii="Times New Roman" w:hAnsi="Times New Roman"/>
                <w:highlight w:val="none"/>
              </w:rPr>
            </w:pPr>
          </w:p>
        </w:tc>
        <w:tc>
          <w:tcPr>
            <w:tcW w:w="546" w:type="pct"/>
            <w:vMerge w:val="restart"/>
            <w:noWrap w:val="0"/>
            <w:vAlign w:val="center"/>
          </w:tcPr>
          <w:p w14:paraId="22B87EF5">
            <w:pPr>
              <w:pStyle w:val="27"/>
              <w:textAlignment w:val="center"/>
              <w:rPr>
                <w:rFonts w:ascii="Times New Roman" w:hAnsi="Times New Roman"/>
                <w:highlight w:val="none"/>
              </w:rPr>
            </w:pPr>
            <w:r>
              <w:rPr>
                <w:rFonts w:ascii="Times New Roman" w:hAnsi="Times New Roman"/>
                <w:highlight w:val="none"/>
              </w:rPr>
              <w:t>NO</w:t>
            </w:r>
            <w:r>
              <w:rPr>
                <w:rFonts w:ascii="Times New Roman" w:hAnsi="Times New Roman"/>
                <w:highlight w:val="none"/>
                <w:vertAlign w:val="subscript"/>
              </w:rPr>
              <w:t>x</w:t>
            </w:r>
          </w:p>
        </w:tc>
        <w:tc>
          <w:tcPr>
            <w:tcW w:w="519" w:type="pct"/>
            <w:vMerge w:val="restart"/>
            <w:noWrap w:val="0"/>
            <w:vAlign w:val="center"/>
          </w:tcPr>
          <w:p w14:paraId="3ABA77D7">
            <w:pPr>
              <w:spacing w:line="240" w:lineRule="auto"/>
              <w:ind w:firstLine="0" w:firstLineChars="0"/>
              <w:jc w:val="center"/>
              <w:textAlignment w:val="center"/>
              <w:rPr>
                <w:rFonts w:hint="default" w:ascii="Times New Roman" w:hAnsi="Times New Roman" w:eastAsia="宋体"/>
                <w:highlight w:val="none"/>
                <w:lang w:val="en-US" w:eastAsia="zh-CN"/>
              </w:rPr>
            </w:pPr>
            <w:r>
              <w:rPr>
                <w:rFonts w:hint="eastAsia" w:ascii="Times New Roman" w:hAnsi="Times New Roman"/>
                <w:sz w:val="21"/>
                <w:highlight w:val="none"/>
                <w:lang w:val="en-US" w:eastAsia="zh-CN"/>
              </w:rPr>
              <w:t>99</w:t>
            </w:r>
          </w:p>
        </w:tc>
        <w:tc>
          <w:tcPr>
            <w:tcW w:w="1051" w:type="pct"/>
            <w:noWrap w:val="0"/>
            <w:vAlign w:val="center"/>
          </w:tcPr>
          <w:p w14:paraId="66CECC63">
            <w:pPr>
              <w:spacing w:line="240" w:lineRule="auto"/>
              <w:ind w:firstLine="0" w:firstLineChars="0"/>
              <w:jc w:val="center"/>
              <w:textAlignment w:val="center"/>
              <w:rPr>
                <w:rFonts w:ascii="Times New Roman" w:hAnsi="Times New Roman"/>
                <w:sz w:val="21"/>
                <w:highlight w:val="none"/>
              </w:rPr>
            </w:pPr>
            <w:r>
              <w:rPr>
                <w:rFonts w:hint="eastAsia" w:ascii="Times New Roman" w:hAnsi="Times New Roman"/>
                <w:sz w:val="21"/>
                <w:highlight w:val="none"/>
                <w:lang w:val="en-US" w:eastAsia="zh-CN"/>
              </w:rPr>
              <w:t>2.4（单独使用116MW锅炉）</w:t>
            </w:r>
          </w:p>
        </w:tc>
        <w:tc>
          <w:tcPr>
            <w:tcW w:w="813" w:type="pct"/>
            <w:noWrap w:val="0"/>
            <w:vAlign w:val="center"/>
          </w:tcPr>
          <w:p w14:paraId="1CE65AFC">
            <w:pPr>
              <w:spacing w:line="240" w:lineRule="auto"/>
              <w:ind w:firstLine="0" w:firstLineChars="0"/>
              <w:jc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9.07</w:t>
            </w:r>
          </w:p>
        </w:tc>
      </w:tr>
      <w:tr w14:paraId="2FAACD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86" w:type="pct"/>
            <w:vMerge w:val="continue"/>
            <w:noWrap w:val="0"/>
            <w:vAlign w:val="center"/>
          </w:tcPr>
          <w:p w14:paraId="05D3FA27">
            <w:pPr>
              <w:pStyle w:val="27"/>
              <w:textAlignment w:val="center"/>
              <w:rPr>
                <w:rFonts w:ascii="Times New Roman" w:hAnsi="Times New Roman"/>
                <w:highlight w:val="none"/>
              </w:rPr>
            </w:pPr>
          </w:p>
        </w:tc>
        <w:tc>
          <w:tcPr>
            <w:tcW w:w="948" w:type="pct"/>
            <w:vMerge w:val="continue"/>
            <w:noWrap w:val="0"/>
            <w:vAlign w:val="center"/>
          </w:tcPr>
          <w:p w14:paraId="20996E0C">
            <w:pPr>
              <w:pStyle w:val="27"/>
              <w:textAlignment w:val="center"/>
              <w:rPr>
                <w:rFonts w:ascii="Times New Roman" w:hAnsi="Times New Roman"/>
                <w:highlight w:val="none"/>
              </w:rPr>
            </w:pPr>
          </w:p>
        </w:tc>
        <w:tc>
          <w:tcPr>
            <w:tcW w:w="634" w:type="pct"/>
            <w:vMerge w:val="continue"/>
            <w:noWrap w:val="0"/>
            <w:vAlign w:val="center"/>
          </w:tcPr>
          <w:p w14:paraId="2B8E170E">
            <w:pPr>
              <w:pStyle w:val="27"/>
              <w:textAlignment w:val="center"/>
              <w:rPr>
                <w:rFonts w:ascii="Times New Roman" w:hAnsi="Times New Roman"/>
                <w:highlight w:val="none"/>
              </w:rPr>
            </w:pPr>
          </w:p>
        </w:tc>
        <w:tc>
          <w:tcPr>
            <w:tcW w:w="546" w:type="pct"/>
            <w:vMerge w:val="continue"/>
            <w:noWrap w:val="0"/>
            <w:vAlign w:val="center"/>
          </w:tcPr>
          <w:p w14:paraId="27563AF2">
            <w:pPr>
              <w:pStyle w:val="27"/>
              <w:textAlignment w:val="center"/>
              <w:rPr>
                <w:rFonts w:ascii="Times New Roman" w:hAnsi="Times New Roman"/>
                <w:highlight w:val="none"/>
              </w:rPr>
            </w:pPr>
          </w:p>
        </w:tc>
        <w:tc>
          <w:tcPr>
            <w:tcW w:w="519" w:type="pct"/>
            <w:vMerge w:val="continue"/>
            <w:noWrap w:val="0"/>
            <w:vAlign w:val="center"/>
          </w:tcPr>
          <w:p w14:paraId="7BEF7E4C">
            <w:pPr>
              <w:spacing w:line="240" w:lineRule="auto"/>
              <w:ind w:firstLine="0" w:firstLineChars="0"/>
              <w:jc w:val="center"/>
              <w:textAlignment w:val="center"/>
              <w:rPr>
                <w:rFonts w:ascii="Times New Roman" w:hAnsi="Times New Roman"/>
                <w:sz w:val="21"/>
                <w:highlight w:val="none"/>
              </w:rPr>
            </w:pPr>
          </w:p>
        </w:tc>
        <w:tc>
          <w:tcPr>
            <w:tcW w:w="1051" w:type="pct"/>
            <w:noWrap w:val="0"/>
            <w:vAlign w:val="center"/>
          </w:tcPr>
          <w:p w14:paraId="22C57707">
            <w:pPr>
              <w:spacing w:line="240" w:lineRule="auto"/>
              <w:ind w:firstLine="0" w:firstLineChars="0"/>
              <w:jc w:val="center"/>
              <w:textAlignment w:val="center"/>
              <w:rPr>
                <w:rFonts w:hint="eastAsia" w:ascii="Times New Roman" w:hAnsi="Times New Roman"/>
                <w:sz w:val="21"/>
                <w:highlight w:val="none"/>
              </w:rPr>
            </w:pPr>
            <w:r>
              <w:rPr>
                <w:rFonts w:hint="eastAsia" w:ascii="Times New Roman" w:hAnsi="Times New Roman"/>
                <w:sz w:val="21"/>
                <w:highlight w:val="none"/>
                <w:lang w:val="en-US" w:eastAsia="zh-CN"/>
              </w:rPr>
              <w:t>1.05（使用58MW+35t/h锅炉）</w:t>
            </w:r>
          </w:p>
        </w:tc>
        <w:tc>
          <w:tcPr>
            <w:tcW w:w="813" w:type="pct"/>
            <w:noWrap w:val="0"/>
            <w:vAlign w:val="center"/>
          </w:tcPr>
          <w:p w14:paraId="52F4FAEF">
            <w:pPr>
              <w:spacing w:line="240" w:lineRule="auto"/>
              <w:ind w:firstLine="0" w:firstLineChars="0"/>
              <w:jc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9.07</w:t>
            </w:r>
          </w:p>
        </w:tc>
      </w:tr>
      <w:tr w14:paraId="6FC707F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86" w:type="pct"/>
            <w:vMerge w:val="continue"/>
            <w:noWrap w:val="0"/>
            <w:vAlign w:val="center"/>
          </w:tcPr>
          <w:p w14:paraId="74464C14">
            <w:pPr>
              <w:pStyle w:val="27"/>
              <w:textAlignment w:val="center"/>
              <w:rPr>
                <w:rFonts w:ascii="Times New Roman" w:hAnsi="Times New Roman"/>
                <w:highlight w:val="none"/>
              </w:rPr>
            </w:pPr>
          </w:p>
        </w:tc>
        <w:tc>
          <w:tcPr>
            <w:tcW w:w="948" w:type="pct"/>
            <w:vMerge w:val="continue"/>
            <w:noWrap w:val="0"/>
            <w:vAlign w:val="center"/>
          </w:tcPr>
          <w:p w14:paraId="6C5E775F">
            <w:pPr>
              <w:pStyle w:val="27"/>
              <w:textAlignment w:val="center"/>
              <w:rPr>
                <w:rFonts w:ascii="Times New Roman" w:hAnsi="Times New Roman"/>
                <w:highlight w:val="none"/>
              </w:rPr>
            </w:pPr>
          </w:p>
        </w:tc>
        <w:tc>
          <w:tcPr>
            <w:tcW w:w="634" w:type="pct"/>
            <w:vMerge w:val="continue"/>
            <w:noWrap w:val="0"/>
            <w:vAlign w:val="center"/>
          </w:tcPr>
          <w:p w14:paraId="6F65772F">
            <w:pPr>
              <w:pStyle w:val="27"/>
              <w:textAlignment w:val="center"/>
              <w:rPr>
                <w:rFonts w:ascii="Times New Roman" w:hAnsi="Times New Roman"/>
                <w:highlight w:val="none"/>
              </w:rPr>
            </w:pPr>
          </w:p>
        </w:tc>
        <w:tc>
          <w:tcPr>
            <w:tcW w:w="546" w:type="pct"/>
            <w:vMerge w:val="continue"/>
            <w:noWrap w:val="0"/>
            <w:vAlign w:val="center"/>
          </w:tcPr>
          <w:p w14:paraId="7D6366A4">
            <w:pPr>
              <w:pStyle w:val="27"/>
              <w:textAlignment w:val="center"/>
              <w:rPr>
                <w:rFonts w:ascii="Times New Roman" w:hAnsi="Times New Roman"/>
                <w:highlight w:val="none"/>
              </w:rPr>
            </w:pPr>
          </w:p>
        </w:tc>
        <w:tc>
          <w:tcPr>
            <w:tcW w:w="519" w:type="pct"/>
            <w:vMerge w:val="continue"/>
            <w:noWrap w:val="0"/>
            <w:vAlign w:val="center"/>
          </w:tcPr>
          <w:p w14:paraId="4E1EB7F0">
            <w:pPr>
              <w:spacing w:line="240" w:lineRule="auto"/>
              <w:ind w:firstLine="0" w:firstLineChars="0"/>
              <w:jc w:val="center"/>
              <w:textAlignment w:val="center"/>
              <w:rPr>
                <w:rFonts w:ascii="Times New Roman" w:hAnsi="Times New Roman"/>
                <w:sz w:val="21"/>
                <w:highlight w:val="none"/>
              </w:rPr>
            </w:pPr>
          </w:p>
        </w:tc>
        <w:tc>
          <w:tcPr>
            <w:tcW w:w="1051" w:type="pct"/>
            <w:noWrap w:val="0"/>
            <w:vAlign w:val="center"/>
          </w:tcPr>
          <w:p w14:paraId="15A95B30">
            <w:pPr>
              <w:spacing w:line="240" w:lineRule="auto"/>
              <w:ind w:firstLine="0" w:firstLineChars="0"/>
              <w:jc w:val="center"/>
              <w:textAlignment w:val="center"/>
              <w:rPr>
                <w:rFonts w:hint="eastAsia" w:ascii="Times New Roman" w:hAnsi="Times New Roman"/>
                <w:sz w:val="21"/>
                <w:highlight w:val="none"/>
              </w:rPr>
            </w:pPr>
            <w:r>
              <w:rPr>
                <w:rFonts w:hint="eastAsia" w:ascii="Times New Roman" w:hAnsi="Times New Roman"/>
                <w:sz w:val="21"/>
                <w:highlight w:val="none"/>
                <w:lang w:val="en-US" w:eastAsia="zh-CN"/>
              </w:rPr>
              <w:t>2.71（使用116MW+35t/h锅炉）</w:t>
            </w:r>
          </w:p>
        </w:tc>
        <w:tc>
          <w:tcPr>
            <w:tcW w:w="813" w:type="pct"/>
            <w:noWrap w:val="0"/>
            <w:vAlign w:val="center"/>
          </w:tcPr>
          <w:p w14:paraId="601756BC">
            <w:pPr>
              <w:spacing w:line="240" w:lineRule="auto"/>
              <w:ind w:firstLine="0" w:firstLineChars="0"/>
              <w:jc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9.07</w:t>
            </w:r>
          </w:p>
        </w:tc>
      </w:tr>
      <w:tr w14:paraId="5D1B94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86" w:type="pct"/>
            <w:vMerge w:val="continue"/>
            <w:noWrap w:val="0"/>
            <w:vAlign w:val="center"/>
          </w:tcPr>
          <w:p w14:paraId="2FCEF556">
            <w:pPr>
              <w:pStyle w:val="27"/>
              <w:textAlignment w:val="center"/>
              <w:rPr>
                <w:rFonts w:ascii="Times New Roman" w:hAnsi="Times New Roman"/>
                <w:highlight w:val="none"/>
              </w:rPr>
            </w:pPr>
          </w:p>
        </w:tc>
        <w:tc>
          <w:tcPr>
            <w:tcW w:w="948" w:type="pct"/>
            <w:vMerge w:val="continue"/>
            <w:noWrap w:val="0"/>
            <w:vAlign w:val="center"/>
          </w:tcPr>
          <w:p w14:paraId="5AB94E31">
            <w:pPr>
              <w:pStyle w:val="27"/>
              <w:textAlignment w:val="center"/>
              <w:rPr>
                <w:rFonts w:ascii="Times New Roman" w:hAnsi="Times New Roman"/>
                <w:highlight w:val="none"/>
              </w:rPr>
            </w:pPr>
          </w:p>
        </w:tc>
        <w:tc>
          <w:tcPr>
            <w:tcW w:w="634" w:type="pct"/>
            <w:vMerge w:val="continue"/>
            <w:noWrap w:val="0"/>
            <w:vAlign w:val="center"/>
          </w:tcPr>
          <w:p w14:paraId="5BE53A8E">
            <w:pPr>
              <w:pStyle w:val="27"/>
              <w:textAlignment w:val="center"/>
              <w:rPr>
                <w:rFonts w:ascii="Times New Roman" w:hAnsi="Times New Roman"/>
                <w:highlight w:val="none"/>
              </w:rPr>
            </w:pPr>
          </w:p>
        </w:tc>
        <w:tc>
          <w:tcPr>
            <w:tcW w:w="546" w:type="pct"/>
            <w:vMerge w:val="continue"/>
            <w:noWrap w:val="0"/>
            <w:vAlign w:val="center"/>
          </w:tcPr>
          <w:p w14:paraId="098C144E">
            <w:pPr>
              <w:pStyle w:val="27"/>
              <w:textAlignment w:val="center"/>
              <w:rPr>
                <w:rFonts w:ascii="Times New Roman" w:hAnsi="Times New Roman"/>
                <w:highlight w:val="none"/>
              </w:rPr>
            </w:pPr>
          </w:p>
        </w:tc>
        <w:tc>
          <w:tcPr>
            <w:tcW w:w="519" w:type="pct"/>
            <w:vMerge w:val="continue"/>
            <w:noWrap w:val="0"/>
            <w:vAlign w:val="center"/>
          </w:tcPr>
          <w:p w14:paraId="423C4254">
            <w:pPr>
              <w:spacing w:line="240" w:lineRule="auto"/>
              <w:ind w:firstLine="0" w:firstLineChars="0"/>
              <w:jc w:val="center"/>
              <w:textAlignment w:val="center"/>
              <w:rPr>
                <w:rFonts w:ascii="Times New Roman" w:hAnsi="Times New Roman"/>
                <w:sz w:val="21"/>
                <w:highlight w:val="none"/>
              </w:rPr>
            </w:pPr>
          </w:p>
        </w:tc>
        <w:tc>
          <w:tcPr>
            <w:tcW w:w="1051" w:type="pct"/>
            <w:noWrap w:val="0"/>
            <w:vAlign w:val="center"/>
          </w:tcPr>
          <w:p w14:paraId="2E49BCF9">
            <w:pPr>
              <w:spacing w:line="240" w:lineRule="auto"/>
              <w:ind w:firstLine="0" w:firstLineChars="0"/>
              <w:jc w:val="center"/>
              <w:textAlignment w:val="center"/>
              <w:rPr>
                <w:rFonts w:hint="eastAsia" w:ascii="Times New Roman" w:hAnsi="Times New Roman"/>
                <w:sz w:val="21"/>
                <w:highlight w:val="none"/>
              </w:rPr>
            </w:pPr>
            <w:r>
              <w:rPr>
                <w:rFonts w:hint="eastAsia" w:ascii="Times New Roman" w:hAnsi="Times New Roman"/>
                <w:sz w:val="21"/>
                <w:highlight w:val="none"/>
                <w:lang w:val="en-US" w:eastAsia="zh-CN"/>
              </w:rPr>
              <w:t>0.31（单独使用58MW锅炉）</w:t>
            </w:r>
          </w:p>
        </w:tc>
        <w:tc>
          <w:tcPr>
            <w:tcW w:w="813" w:type="pct"/>
            <w:noWrap w:val="0"/>
            <w:vAlign w:val="center"/>
          </w:tcPr>
          <w:p w14:paraId="5F1992C5">
            <w:pPr>
              <w:spacing w:line="240" w:lineRule="auto"/>
              <w:ind w:firstLine="0" w:firstLineChars="0"/>
              <w:jc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9.07</w:t>
            </w:r>
          </w:p>
        </w:tc>
      </w:tr>
      <w:tr w14:paraId="14E549E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86" w:type="pct"/>
            <w:vMerge w:val="restart"/>
            <w:noWrap w:val="0"/>
            <w:vAlign w:val="center"/>
          </w:tcPr>
          <w:p w14:paraId="652A5006">
            <w:pPr>
              <w:pStyle w:val="27"/>
              <w:textAlignment w:val="center"/>
              <w:rPr>
                <w:rFonts w:ascii="Times New Roman" w:hAnsi="Times New Roman"/>
                <w:highlight w:val="none"/>
              </w:rPr>
            </w:pPr>
            <w:r>
              <w:rPr>
                <w:rFonts w:ascii="Times New Roman" w:hAnsi="Times New Roman"/>
                <w:highlight w:val="none"/>
              </w:rPr>
              <w:t>非正常工况</w:t>
            </w:r>
          </w:p>
        </w:tc>
        <w:tc>
          <w:tcPr>
            <w:tcW w:w="948" w:type="pct"/>
            <w:vMerge w:val="restart"/>
            <w:noWrap w:val="0"/>
            <w:vAlign w:val="center"/>
          </w:tcPr>
          <w:p w14:paraId="672C38CD">
            <w:pPr>
              <w:pStyle w:val="27"/>
              <w:textAlignment w:val="center"/>
              <w:rPr>
                <w:rFonts w:ascii="Times New Roman" w:hAnsi="Times New Roman"/>
                <w:highlight w:val="none"/>
              </w:rPr>
            </w:pPr>
            <w:r>
              <w:rPr>
                <w:rFonts w:ascii="Times New Roman" w:hAnsi="Times New Roman"/>
                <w:kern w:val="0"/>
                <w:highlight w:val="none"/>
              </w:rPr>
              <w:t>污染防治措施去除效率未达到设计值</w:t>
            </w:r>
          </w:p>
        </w:tc>
        <w:tc>
          <w:tcPr>
            <w:tcW w:w="634" w:type="pct"/>
            <w:vMerge w:val="restart"/>
            <w:noWrap w:val="0"/>
            <w:vAlign w:val="center"/>
          </w:tcPr>
          <w:p w14:paraId="19DFD02D">
            <w:pPr>
              <w:pStyle w:val="27"/>
              <w:textAlignment w:val="center"/>
              <w:rPr>
                <w:rFonts w:ascii="Times New Roman" w:hAnsi="Times New Roman"/>
                <w:highlight w:val="none"/>
              </w:rPr>
            </w:pPr>
            <w:r>
              <w:rPr>
                <w:rFonts w:ascii="Times New Roman" w:hAnsi="Times New Roman"/>
                <w:highlight w:val="none"/>
              </w:rPr>
              <w:t>24</w:t>
            </w:r>
          </w:p>
        </w:tc>
        <w:tc>
          <w:tcPr>
            <w:tcW w:w="546" w:type="pct"/>
            <w:vMerge w:val="restart"/>
            <w:noWrap w:val="0"/>
            <w:vAlign w:val="center"/>
          </w:tcPr>
          <w:p w14:paraId="3EEEDB5F">
            <w:pPr>
              <w:pStyle w:val="27"/>
              <w:textAlignment w:val="center"/>
              <w:rPr>
                <w:rFonts w:ascii="Times New Roman" w:hAnsi="Times New Roman"/>
                <w:highlight w:val="none"/>
              </w:rPr>
            </w:pPr>
            <w:r>
              <w:rPr>
                <w:rFonts w:ascii="Times New Roman" w:hAnsi="Times New Roman"/>
                <w:highlight w:val="none"/>
              </w:rPr>
              <w:t>颗粒物</w:t>
            </w:r>
          </w:p>
        </w:tc>
        <w:tc>
          <w:tcPr>
            <w:tcW w:w="519" w:type="pct"/>
            <w:vMerge w:val="restart"/>
            <w:noWrap w:val="0"/>
            <w:vAlign w:val="center"/>
          </w:tcPr>
          <w:p w14:paraId="2B1041F6">
            <w:pPr>
              <w:spacing w:line="240" w:lineRule="auto"/>
              <w:ind w:firstLine="0" w:firstLineChars="0"/>
              <w:jc w:val="center"/>
              <w:textAlignment w:val="center"/>
              <w:rPr>
                <w:rFonts w:hint="eastAsia" w:ascii="Times New Roman" w:hAnsi="Times New Roman" w:eastAsia="宋体"/>
                <w:highlight w:val="none"/>
                <w:lang w:eastAsia="zh-CN"/>
              </w:rPr>
            </w:pPr>
            <w:r>
              <w:rPr>
                <w:rFonts w:ascii="Times New Roman" w:hAnsi="Times New Roman"/>
                <w:sz w:val="21"/>
                <w:highlight w:val="none"/>
              </w:rPr>
              <w:t>99.</w:t>
            </w:r>
            <w:r>
              <w:rPr>
                <w:rFonts w:hint="eastAsia" w:ascii="Times New Roman" w:hAnsi="Times New Roman"/>
                <w:sz w:val="21"/>
                <w:highlight w:val="none"/>
                <w:lang w:val="en-US" w:eastAsia="zh-CN"/>
              </w:rPr>
              <w:t>8</w:t>
            </w:r>
          </w:p>
        </w:tc>
        <w:tc>
          <w:tcPr>
            <w:tcW w:w="1051" w:type="pct"/>
            <w:noWrap w:val="0"/>
            <w:vAlign w:val="center"/>
          </w:tcPr>
          <w:p w14:paraId="0858AB00">
            <w:pPr>
              <w:spacing w:line="240" w:lineRule="auto"/>
              <w:ind w:firstLine="0" w:firstLineChars="0"/>
              <w:jc w:val="center"/>
              <w:textAlignment w:val="center"/>
              <w:rPr>
                <w:rFonts w:hint="default" w:ascii="Times New Roman" w:hAnsi="Times New Roman" w:eastAsia="宋体"/>
                <w:highlight w:val="none"/>
                <w:lang w:val="en-US" w:eastAsia="zh-CN"/>
              </w:rPr>
            </w:pPr>
            <w:r>
              <w:rPr>
                <w:rFonts w:hint="eastAsia" w:ascii="Times New Roman" w:hAnsi="Times New Roman"/>
                <w:sz w:val="21"/>
                <w:highlight w:val="none"/>
                <w:lang w:val="en-US" w:eastAsia="zh-CN"/>
              </w:rPr>
              <w:t>19.03（单独使用116MW锅炉）</w:t>
            </w:r>
          </w:p>
        </w:tc>
        <w:tc>
          <w:tcPr>
            <w:tcW w:w="813" w:type="pct"/>
            <w:noWrap w:val="0"/>
            <w:vAlign w:val="center"/>
          </w:tcPr>
          <w:p w14:paraId="3AD40E26">
            <w:pPr>
              <w:spacing w:line="240" w:lineRule="auto"/>
              <w:ind w:firstLine="0" w:firstLineChars="0"/>
              <w:jc w:val="center"/>
              <w:textAlignment w:val="center"/>
              <w:rPr>
                <w:rFonts w:hint="default" w:ascii="Times New Roman" w:hAnsi="Times New Roman" w:eastAsia="宋体"/>
                <w:highlight w:val="none"/>
                <w:lang w:val="en-US" w:eastAsia="zh-CN"/>
              </w:rPr>
            </w:pPr>
            <w:r>
              <w:rPr>
                <w:rFonts w:hint="eastAsia" w:ascii="Times New Roman" w:hAnsi="Times New Roman"/>
                <w:sz w:val="21"/>
                <w:highlight w:val="none"/>
                <w:lang w:val="en-US" w:eastAsia="zh-CN"/>
              </w:rPr>
              <w:t>16.09</w:t>
            </w:r>
          </w:p>
        </w:tc>
      </w:tr>
      <w:tr w14:paraId="5C53AD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86" w:type="pct"/>
            <w:vMerge w:val="continue"/>
            <w:noWrap w:val="0"/>
            <w:vAlign w:val="center"/>
          </w:tcPr>
          <w:p w14:paraId="77FE4B0E">
            <w:pPr>
              <w:pStyle w:val="27"/>
              <w:textAlignment w:val="center"/>
              <w:rPr>
                <w:rFonts w:ascii="Times New Roman" w:hAnsi="Times New Roman"/>
                <w:highlight w:val="none"/>
              </w:rPr>
            </w:pPr>
          </w:p>
        </w:tc>
        <w:tc>
          <w:tcPr>
            <w:tcW w:w="948" w:type="pct"/>
            <w:vMerge w:val="continue"/>
            <w:noWrap w:val="0"/>
            <w:vAlign w:val="center"/>
          </w:tcPr>
          <w:p w14:paraId="6A766069">
            <w:pPr>
              <w:pStyle w:val="27"/>
              <w:textAlignment w:val="center"/>
              <w:rPr>
                <w:rFonts w:ascii="Times New Roman" w:hAnsi="Times New Roman"/>
                <w:kern w:val="0"/>
                <w:highlight w:val="none"/>
              </w:rPr>
            </w:pPr>
          </w:p>
        </w:tc>
        <w:tc>
          <w:tcPr>
            <w:tcW w:w="634" w:type="pct"/>
            <w:vMerge w:val="continue"/>
            <w:noWrap w:val="0"/>
            <w:vAlign w:val="center"/>
          </w:tcPr>
          <w:p w14:paraId="6A0B572B">
            <w:pPr>
              <w:pStyle w:val="27"/>
              <w:textAlignment w:val="center"/>
              <w:rPr>
                <w:rFonts w:ascii="Times New Roman" w:hAnsi="Times New Roman"/>
                <w:highlight w:val="none"/>
              </w:rPr>
            </w:pPr>
          </w:p>
        </w:tc>
        <w:tc>
          <w:tcPr>
            <w:tcW w:w="546" w:type="pct"/>
            <w:vMerge w:val="continue"/>
            <w:noWrap w:val="0"/>
            <w:vAlign w:val="center"/>
          </w:tcPr>
          <w:p w14:paraId="27E46207">
            <w:pPr>
              <w:pStyle w:val="27"/>
              <w:textAlignment w:val="center"/>
              <w:rPr>
                <w:rFonts w:ascii="Times New Roman" w:hAnsi="Times New Roman"/>
                <w:highlight w:val="none"/>
              </w:rPr>
            </w:pPr>
          </w:p>
        </w:tc>
        <w:tc>
          <w:tcPr>
            <w:tcW w:w="519" w:type="pct"/>
            <w:vMerge w:val="continue"/>
            <w:noWrap w:val="0"/>
            <w:vAlign w:val="center"/>
          </w:tcPr>
          <w:p w14:paraId="3C2D0091">
            <w:pPr>
              <w:spacing w:line="240" w:lineRule="auto"/>
              <w:ind w:firstLine="0" w:firstLineChars="0"/>
              <w:jc w:val="center"/>
              <w:textAlignment w:val="center"/>
              <w:rPr>
                <w:rFonts w:ascii="Times New Roman" w:hAnsi="Times New Roman"/>
                <w:sz w:val="21"/>
                <w:highlight w:val="none"/>
              </w:rPr>
            </w:pPr>
          </w:p>
        </w:tc>
        <w:tc>
          <w:tcPr>
            <w:tcW w:w="1051" w:type="pct"/>
            <w:noWrap w:val="0"/>
            <w:vAlign w:val="center"/>
          </w:tcPr>
          <w:p w14:paraId="25DE5C99">
            <w:pPr>
              <w:spacing w:line="240" w:lineRule="auto"/>
              <w:ind w:firstLine="0" w:firstLineChars="0"/>
              <w:jc w:val="center"/>
              <w:textAlignment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18.54（使用58MW+35t/h锅炉）</w:t>
            </w:r>
          </w:p>
        </w:tc>
        <w:tc>
          <w:tcPr>
            <w:tcW w:w="813" w:type="pct"/>
            <w:noWrap w:val="0"/>
            <w:vAlign w:val="center"/>
          </w:tcPr>
          <w:p w14:paraId="50A8218A">
            <w:pPr>
              <w:spacing w:line="240" w:lineRule="auto"/>
              <w:ind w:firstLine="0" w:firstLineChars="0"/>
              <w:jc w:val="center"/>
              <w:textAlignment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16.09</w:t>
            </w:r>
          </w:p>
        </w:tc>
      </w:tr>
      <w:tr w14:paraId="0CB6BA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86" w:type="pct"/>
            <w:vMerge w:val="continue"/>
            <w:noWrap w:val="0"/>
            <w:vAlign w:val="center"/>
          </w:tcPr>
          <w:p w14:paraId="303E79AB">
            <w:pPr>
              <w:pStyle w:val="27"/>
              <w:textAlignment w:val="center"/>
              <w:rPr>
                <w:rFonts w:ascii="Times New Roman" w:hAnsi="Times New Roman"/>
                <w:highlight w:val="none"/>
              </w:rPr>
            </w:pPr>
          </w:p>
        </w:tc>
        <w:tc>
          <w:tcPr>
            <w:tcW w:w="948" w:type="pct"/>
            <w:vMerge w:val="continue"/>
            <w:noWrap w:val="0"/>
            <w:vAlign w:val="center"/>
          </w:tcPr>
          <w:p w14:paraId="680543D8">
            <w:pPr>
              <w:pStyle w:val="27"/>
              <w:textAlignment w:val="center"/>
              <w:rPr>
                <w:rFonts w:ascii="Times New Roman" w:hAnsi="Times New Roman"/>
                <w:kern w:val="0"/>
                <w:highlight w:val="none"/>
              </w:rPr>
            </w:pPr>
          </w:p>
        </w:tc>
        <w:tc>
          <w:tcPr>
            <w:tcW w:w="634" w:type="pct"/>
            <w:vMerge w:val="continue"/>
            <w:noWrap w:val="0"/>
            <w:vAlign w:val="center"/>
          </w:tcPr>
          <w:p w14:paraId="2213F8A1">
            <w:pPr>
              <w:pStyle w:val="27"/>
              <w:textAlignment w:val="center"/>
              <w:rPr>
                <w:rFonts w:ascii="Times New Roman" w:hAnsi="Times New Roman"/>
                <w:highlight w:val="none"/>
              </w:rPr>
            </w:pPr>
          </w:p>
        </w:tc>
        <w:tc>
          <w:tcPr>
            <w:tcW w:w="546" w:type="pct"/>
            <w:vMerge w:val="continue"/>
            <w:noWrap w:val="0"/>
            <w:vAlign w:val="center"/>
          </w:tcPr>
          <w:p w14:paraId="720276FE">
            <w:pPr>
              <w:pStyle w:val="27"/>
              <w:textAlignment w:val="center"/>
              <w:rPr>
                <w:rFonts w:ascii="Times New Roman" w:hAnsi="Times New Roman"/>
                <w:highlight w:val="none"/>
              </w:rPr>
            </w:pPr>
          </w:p>
        </w:tc>
        <w:tc>
          <w:tcPr>
            <w:tcW w:w="519" w:type="pct"/>
            <w:vMerge w:val="continue"/>
            <w:noWrap w:val="0"/>
            <w:vAlign w:val="center"/>
          </w:tcPr>
          <w:p w14:paraId="747D0AFB">
            <w:pPr>
              <w:spacing w:line="240" w:lineRule="auto"/>
              <w:ind w:firstLine="0" w:firstLineChars="0"/>
              <w:jc w:val="center"/>
              <w:textAlignment w:val="center"/>
              <w:rPr>
                <w:rFonts w:ascii="Times New Roman" w:hAnsi="Times New Roman"/>
                <w:sz w:val="21"/>
                <w:highlight w:val="none"/>
              </w:rPr>
            </w:pPr>
          </w:p>
        </w:tc>
        <w:tc>
          <w:tcPr>
            <w:tcW w:w="1051" w:type="pct"/>
            <w:noWrap w:val="0"/>
            <w:vAlign w:val="center"/>
          </w:tcPr>
          <w:p w14:paraId="0FF199F0">
            <w:pPr>
              <w:spacing w:line="240" w:lineRule="auto"/>
              <w:ind w:firstLine="0" w:firstLineChars="0"/>
              <w:jc w:val="center"/>
              <w:textAlignment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19.13（使用116MW+35t/h锅炉）</w:t>
            </w:r>
          </w:p>
        </w:tc>
        <w:tc>
          <w:tcPr>
            <w:tcW w:w="813" w:type="pct"/>
            <w:noWrap w:val="0"/>
            <w:vAlign w:val="center"/>
          </w:tcPr>
          <w:p w14:paraId="7CB3ED0F">
            <w:pPr>
              <w:spacing w:line="240" w:lineRule="auto"/>
              <w:ind w:firstLine="0" w:firstLineChars="0"/>
              <w:jc w:val="center"/>
              <w:textAlignment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16.09</w:t>
            </w:r>
          </w:p>
        </w:tc>
      </w:tr>
      <w:tr w14:paraId="00B3B0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86" w:type="pct"/>
            <w:vMerge w:val="continue"/>
            <w:noWrap w:val="0"/>
            <w:vAlign w:val="center"/>
          </w:tcPr>
          <w:p w14:paraId="31B644AE">
            <w:pPr>
              <w:pStyle w:val="27"/>
              <w:textAlignment w:val="center"/>
              <w:rPr>
                <w:rFonts w:ascii="Times New Roman" w:hAnsi="Times New Roman"/>
                <w:highlight w:val="none"/>
              </w:rPr>
            </w:pPr>
          </w:p>
        </w:tc>
        <w:tc>
          <w:tcPr>
            <w:tcW w:w="948" w:type="pct"/>
            <w:vMerge w:val="continue"/>
            <w:noWrap w:val="0"/>
            <w:vAlign w:val="center"/>
          </w:tcPr>
          <w:p w14:paraId="5CFDB5A1">
            <w:pPr>
              <w:pStyle w:val="27"/>
              <w:textAlignment w:val="center"/>
              <w:rPr>
                <w:rFonts w:ascii="Times New Roman" w:hAnsi="Times New Roman"/>
                <w:kern w:val="0"/>
                <w:highlight w:val="none"/>
              </w:rPr>
            </w:pPr>
          </w:p>
        </w:tc>
        <w:tc>
          <w:tcPr>
            <w:tcW w:w="634" w:type="pct"/>
            <w:vMerge w:val="continue"/>
            <w:noWrap w:val="0"/>
            <w:vAlign w:val="center"/>
          </w:tcPr>
          <w:p w14:paraId="39C5088B">
            <w:pPr>
              <w:pStyle w:val="27"/>
              <w:textAlignment w:val="center"/>
              <w:rPr>
                <w:rFonts w:ascii="Times New Roman" w:hAnsi="Times New Roman"/>
                <w:highlight w:val="none"/>
              </w:rPr>
            </w:pPr>
          </w:p>
        </w:tc>
        <w:tc>
          <w:tcPr>
            <w:tcW w:w="546" w:type="pct"/>
            <w:vMerge w:val="continue"/>
            <w:noWrap w:val="0"/>
            <w:vAlign w:val="center"/>
          </w:tcPr>
          <w:p w14:paraId="756061EC">
            <w:pPr>
              <w:pStyle w:val="27"/>
              <w:textAlignment w:val="center"/>
              <w:rPr>
                <w:rFonts w:ascii="Times New Roman" w:hAnsi="Times New Roman"/>
                <w:highlight w:val="none"/>
              </w:rPr>
            </w:pPr>
          </w:p>
        </w:tc>
        <w:tc>
          <w:tcPr>
            <w:tcW w:w="519" w:type="pct"/>
            <w:vMerge w:val="continue"/>
            <w:noWrap w:val="0"/>
            <w:vAlign w:val="center"/>
          </w:tcPr>
          <w:p w14:paraId="1422CD86">
            <w:pPr>
              <w:spacing w:line="240" w:lineRule="auto"/>
              <w:ind w:firstLine="0" w:firstLineChars="0"/>
              <w:jc w:val="center"/>
              <w:textAlignment w:val="center"/>
              <w:rPr>
                <w:rFonts w:ascii="Times New Roman" w:hAnsi="Times New Roman"/>
                <w:sz w:val="21"/>
                <w:highlight w:val="none"/>
              </w:rPr>
            </w:pPr>
          </w:p>
        </w:tc>
        <w:tc>
          <w:tcPr>
            <w:tcW w:w="1051" w:type="pct"/>
            <w:noWrap w:val="0"/>
            <w:vAlign w:val="center"/>
          </w:tcPr>
          <w:p w14:paraId="38250133">
            <w:pPr>
              <w:spacing w:line="240" w:lineRule="auto"/>
              <w:ind w:firstLine="0" w:firstLineChars="0"/>
              <w:jc w:val="center"/>
              <w:textAlignment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18.44（单独使用58MW锅炉）</w:t>
            </w:r>
          </w:p>
        </w:tc>
        <w:tc>
          <w:tcPr>
            <w:tcW w:w="813" w:type="pct"/>
            <w:noWrap w:val="0"/>
            <w:vAlign w:val="center"/>
          </w:tcPr>
          <w:p w14:paraId="3AC20671">
            <w:pPr>
              <w:spacing w:line="240" w:lineRule="auto"/>
              <w:ind w:firstLine="0" w:firstLineChars="0"/>
              <w:jc w:val="center"/>
              <w:textAlignment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16.09</w:t>
            </w:r>
          </w:p>
        </w:tc>
      </w:tr>
      <w:tr w14:paraId="4671C86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86" w:type="pct"/>
            <w:vMerge w:val="continue"/>
            <w:noWrap w:val="0"/>
            <w:vAlign w:val="center"/>
          </w:tcPr>
          <w:p w14:paraId="51F49306">
            <w:pPr>
              <w:pStyle w:val="27"/>
              <w:textAlignment w:val="center"/>
              <w:rPr>
                <w:rFonts w:ascii="Times New Roman" w:hAnsi="Times New Roman"/>
                <w:highlight w:val="none"/>
              </w:rPr>
            </w:pPr>
          </w:p>
        </w:tc>
        <w:tc>
          <w:tcPr>
            <w:tcW w:w="948" w:type="pct"/>
            <w:vMerge w:val="continue"/>
            <w:noWrap w:val="0"/>
            <w:vAlign w:val="center"/>
          </w:tcPr>
          <w:p w14:paraId="268FDDB8">
            <w:pPr>
              <w:pStyle w:val="27"/>
              <w:textAlignment w:val="center"/>
              <w:rPr>
                <w:rFonts w:ascii="Times New Roman" w:hAnsi="Times New Roman"/>
                <w:highlight w:val="none"/>
              </w:rPr>
            </w:pPr>
          </w:p>
        </w:tc>
        <w:tc>
          <w:tcPr>
            <w:tcW w:w="634" w:type="pct"/>
            <w:vMerge w:val="continue"/>
            <w:noWrap w:val="0"/>
            <w:vAlign w:val="center"/>
          </w:tcPr>
          <w:p w14:paraId="533F88B7">
            <w:pPr>
              <w:pStyle w:val="27"/>
              <w:textAlignment w:val="center"/>
              <w:rPr>
                <w:rFonts w:ascii="Times New Roman" w:hAnsi="Times New Roman"/>
                <w:highlight w:val="none"/>
              </w:rPr>
            </w:pPr>
          </w:p>
        </w:tc>
        <w:tc>
          <w:tcPr>
            <w:tcW w:w="546" w:type="pct"/>
            <w:vMerge w:val="restart"/>
            <w:noWrap w:val="0"/>
            <w:vAlign w:val="center"/>
          </w:tcPr>
          <w:p w14:paraId="7B324ACA">
            <w:pPr>
              <w:pStyle w:val="27"/>
              <w:textAlignment w:val="center"/>
              <w:rPr>
                <w:rFonts w:ascii="Times New Roman" w:hAnsi="Times New Roman"/>
                <w:highlight w:val="none"/>
              </w:rPr>
            </w:pPr>
            <w:r>
              <w:rPr>
                <w:rFonts w:ascii="Times New Roman" w:hAnsi="Times New Roman"/>
                <w:highlight w:val="none"/>
              </w:rPr>
              <w:t>SO</w:t>
            </w:r>
            <w:r>
              <w:rPr>
                <w:rFonts w:ascii="Times New Roman" w:hAnsi="Times New Roman"/>
                <w:highlight w:val="none"/>
                <w:vertAlign w:val="subscript"/>
              </w:rPr>
              <w:t>2</w:t>
            </w:r>
          </w:p>
        </w:tc>
        <w:tc>
          <w:tcPr>
            <w:tcW w:w="519" w:type="pct"/>
            <w:vMerge w:val="restart"/>
            <w:noWrap w:val="0"/>
            <w:vAlign w:val="center"/>
          </w:tcPr>
          <w:p w14:paraId="3B8320DC">
            <w:pPr>
              <w:spacing w:line="240" w:lineRule="auto"/>
              <w:ind w:firstLine="0" w:firstLineChars="0"/>
              <w:jc w:val="center"/>
              <w:textAlignment w:val="center"/>
              <w:rPr>
                <w:rFonts w:ascii="Times New Roman" w:hAnsi="Times New Roman"/>
                <w:highlight w:val="none"/>
              </w:rPr>
            </w:pPr>
            <w:r>
              <w:rPr>
                <w:rFonts w:ascii="Times New Roman" w:hAnsi="Times New Roman"/>
                <w:sz w:val="21"/>
                <w:highlight w:val="none"/>
              </w:rPr>
              <w:t>50</w:t>
            </w:r>
          </w:p>
        </w:tc>
        <w:tc>
          <w:tcPr>
            <w:tcW w:w="1051" w:type="pct"/>
            <w:noWrap w:val="0"/>
            <w:vAlign w:val="center"/>
          </w:tcPr>
          <w:p w14:paraId="6715A283">
            <w:pPr>
              <w:spacing w:line="240" w:lineRule="auto"/>
              <w:ind w:firstLine="0" w:firstLineChars="0"/>
              <w:jc w:val="center"/>
              <w:textAlignment w:val="center"/>
              <w:rPr>
                <w:rFonts w:ascii="Times New Roman" w:hAnsi="Times New Roman"/>
                <w:sz w:val="21"/>
                <w:highlight w:val="none"/>
              </w:rPr>
            </w:pPr>
            <w:r>
              <w:rPr>
                <w:rFonts w:hint="eastAsia" w:ascii="Times New Roman" w:hAnsi="Times New Roman"/>
                <w:sz w:val="21"/>
                <w:highlight w:val="none"/>
                <w:lang w:val="en-US" w:eastAsia="zh-CN"/>
              </w:rPr>
              <w:t>43（单独使用116MW锅炉）</w:t>
            </w:r>
          </w:p>
        </w:tc>
        <w:tc>
          <w:tcPr>
            <w:tcW w:w="813" w:type="pct"/>
            <w:noWrap w:val="0"/>
            <w:vAlign w:val="center"/>
          </w:tcPr>
          <w:p w14:paraId="0938F25B">
            <w:pPr>
              <w:spacing w:line="240" w:lineRule="auto"/>
              <w:ind w:firstLine="0" w:firstLineChars="0"/>
              <w:jc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162.44</w:t>
            </w:r>
          </w:p>
        </w:tc>
      </w:tr>
      <w:tr w14:paraId="250D33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86" w:type="pct"/>
            <w:vMerge w:val="continue"/>
            <w:noWrap w:val="0"/>
            <w:vAlign w:val="center"/>
          </w:tcPr>
          <w:p w14:paraId="4D0884BE">
            <w:pPr>
              <w:pStyle w:val="27"/>
              <w:textAlignment w:val="center"/>
              <w:rPr>
                <w:rFonts w:ascii="Times New Roman" w:hAnsi="Times New Roman"/>
                <w:highlight w:val="none"/>
              </w:rPr>
            </w:pPr>
          </w:p>
        </w:tc>
        <w:tc>
          <w:tcPr>
            <w:tcW w:w="948" w:type="pct"/>
            <w:vMerge w:val="continue"/>
            <w:noWrap w:val="0"/>
            <w:vAlign w:val="center"/>
          </w:tcPr>
          <w:p w14:paraId="5A30A103">
            <w:pPr>
              <w:pStyle w:val="27"/>
              <w:textAlignment w:val="center"/>
              <w:rPr>
                <w:rFonts w:ascii="Times New Roman" w:hAnsi="Times New Roman"/>
                <w:highlight w:val="none"/>
              </w:rPr>
            </w:pPr>
          </w:p>
        </w:tc>
        <w:tc>
          <w:tcPr>
            <w:tcW w:w="634" w:type="pct"/>
            <w:vMerge w:val="continue"/>
            <w:noWrap w:val="0"/>
            <w:vAlign w:val="center"/>
          </w:tcPr>
          <w:p w14:paraId="1B99D8BD">
            <w:pPr>
              <w:pStyle w:val="27"/>
              <w:textAlignment w:val="center"/>
              <w:rPr>
                <w:rFonts w:ascii="Times New Roman" w:hAnsi="Times New Roman"/>
                <w:highlight w:val="none"/>
              </w:rPr>
            </w:pPr>
          </w:p>
        </w:tc>
        <w:tc>
          <w:tcPr>
            <w:tcW w:w="546" w:type="pct"/>
            <w:vMerge w:val="continue"/>
            <w:noWrap w:val="0"/>
            <w:vAlign w:val="center"/>
          </w:tcPr>
          <w:p w14:paraId="3FC41ECB">
            <w:pPr>
              <w:pStyle w:val="27"/>
              <w:textAlignment w:val="center"/>
              <w:rPr>
                <w:rFonts w:ascii="Times New Roman" w:hAnsi="Times New Roman"/>
                <w:highlight w:val="none"/>
              </w:rPr>
            </w:pPr>
          </w:p>
        </w:tc>
        <w:tc>
          <w:tcPr>
            <w:tcW w:w="519" w:type="pct"/>
            <w:vMerge w:val="continue"/>
            <w:noWrap w:val="0"/>
            <w:vAlign w:val="center"/>
          </w:tcPr>
          <w:p w14:paraId="59250464">
            <w:pPr>
              <w:spacing w:line="240" w:lineRule="auto"/>
              <w:ind w:firstLine="0" w:firstLineChars="0"/>
              <w:jc w:val="center"/>
              <w:textAlignment w:val="center"/>
              <w:rPr>
                <w:rFonts w:ascii="Times New Roman" w:hAnsi="Times New Roman"/>
                <w:sz w:val="21"/>
                <w:highlight w:val="none"/>
              </w:rPr>
            </w:pPr>
          </w:p>
        </w:tc>
        <w:tc>
          <w:tcPr>
            <w:tcW w:w="1051" w:type="pct"/>
            <w:noWrap w:val="0"/>
            <w:vAlign w:val="center"/>
          </w:tcPr>
          <w:p w14:paraId="59E4C17E">
            <w:pPr>
              <w:spacing w:line="240" w:lineRule="auto"/>
              <w:ind w:firstLine="0" w:firstLineChars="0"/>
              <w:jc w:val="center"/>
              <w:textAlignment w:val="center"/>
              <w:rPr>
                <w:rFonts w:hint="eastAsia" w:ascii="Times New Roman" w:hAnsi="Times New Roman"/>
                <w:sz w:val="21"/>
                <w:highlight w:val="none"/>
              </w:rPr>
            </w:pPr>
            <w:r>
              <w:rPr>
                <w:rFonts w:hint="eastAsia" w:ascii="Times New Roman" w:hAnsi="Times New Roman"/>
                <w:sz w:val="21"/>
                <w:highlight w:val="none"/>
                <w:lang w:val="en-US" w:eastAsia="zh-CN"/>
              </w:rPr>
              <w:t>18.5（使用58MW+35t/h锅炉）</w:t>
            </w:r>
          </w:p>
        </w:tc>
        <w:tc>
          <w:tcPr>
            <w:tcW w:w="813" w:type="pct"/>
            <w:noWrap w:val="0"/>
            <w:vAlign w:val="center"/>
          </w:tcPr>
          <w:p w14:paraId="10E7C15D">
            <w:pPr>
              <w:spacing w:line="240" w:lineRule="auto"/>
              <w:ind w:firstLine="0" w:firstLineChars="0"/>
              <w:jc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162.44</w:t>
            </w:r>
          </w:p>
        </w:tc>
      </w:tr>
      <w:tr w14:paraId="6C412B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86" w:type="pct"/>
            <w:vMerge w:val="continue"/>
            <w:noWrap w:val="0"/>
            <w:vAlign w:val="center"/>
          </w:tcPr>
          <w:p w14:paraId="5A4E7D3D">
            <w:pPr>
              <w:pStyle w:val="27"/>
              <w:textAlignment w:val="center"/>
              <w:rPr>
                <w:rFonts w:ascii="Times New Roman" w:hAnsi="Times New Roman"/>
                <w:highlight w:val="none"/>
              </w:rPr>
            </w:pPr>
          </w:p>
        </w:tc>
        <w:tc>
          <w:tcPr>
            <w:tcW w:w="948" w:type="pct"/>
            <w:vMerge w:val="continue"/>
            <w:noWrap w:val="0"/>
            <w:vAlign w:val="center"/>
          </w:tcPr>
          <w:p w14:paraId="631A4E9F">
            <w:pPr>
              <w:pStyle w:val="27"/>
              <w:textAlignment w:val="center"/>
              <w:rPr>
                <w:rFonts w:ascii="Times New Roman" w:hAnsi="Times New Roman"/>
                <w:highlight w:val="none"/>
              </w:rPr>
            </w:pPr>
          </w:p>
        </w:tc>
        <w:tc>
          <w:tcPr>
            <w:tcW w:w="634" w:type="pct"/>
            <w:vMerge w:val="continue"/>
            <w:noWrap w:val="0"/>
            <w:vAlign w:val="center"/>
          </w:tcPr>
          <w:p w14:paraId="7E211685">
            <w:pPr>
              <w:pStyle w:val="27"/>
              <w:textAlignment w:val="center"/>
              <w:rPr>
                <w:rFonts w:ascii="Times New Roman" w:hAnsi="Times New Roman"/>
                <w:highlight w:val="none"/>
              </w:rPr>
            </w:pPr>
          </w:p>
        </w:tc>
        <w:tc>
          <w:tcPr>
            <w:tcW w:w="546" w:type="pct"/>
            <w:vMerge w:val="continue"/>
            <w:noWrap w:val="0"/>
            <w:vAlign w:val="center"/>
          </w:tcPr>
          <w:p w14:paraId="104D3BD3">
            <w:pPr>
              <w:pStyle w:val="27"/>
              <w:textAlignment w:val="center"/>
              <w:rPr>
                <w:rFonts w:ascii="Times New Roman" w:hAnsi="Times New Roman"/>
                <w:highlight w:val="none"/>
              </w:rPr>
            </w:pPr>
          </w:p>
        </w:tc>
        <w:tc>
          <w:tcPr>
            <w:tcW w:w="519" w:type="pct"/>
            <w:vMerge w:val="continue"/>
            <w:noWrap w:val="0"/>
            <w:vAlign w:val="center"/>
          </w:tcPr>
          <w:p w14:paraId="102A5910">
            <w:pPr>
              <w:spacing w:line="240" w:lineRule="auto"/>
              <w:ind w:firstLine="0" w:firstLineChars="0"/>
              <w:jc w:val="center"/>
              <w:textAlignment w:val="center"/>
              <w:rPr>
                <w:rFonts w:ascii="Times New Roman" w:hAnsi="Times New Roman"/>
                <w:sz w:val="21"/>
                <w:highlight w:val="none"/>
              </w:rPr>
            </w:pPr>
          </w:p>
        </w:tc>
        <w:tc>
          <w:tcPr>
            <w:tcW w:w="1051" w:type="pct"/>
            <w:noWrap w:val="0"/>
            <w:vAlign w:val="center"/>
          </w:tcPr>
          <w:p w14:paraId="05985677">
            <w:pPr>
              <w:spacing w:line="240" w:lineRule="auto"/>
              <w:ind w:firstLine="0" w:firstLineChars="0"/>
              <w:jc w:val="center"/>
              <w:textAlignment w:val="center"/>
              <w:rPr>
                <w:rFonts w:hint="eastAsia" w:ascii="Times New Roman" w:hAnsi="Times New Roman"/>
                <w:sz w:val="21"/>
                <w:highlight w:val="none"/>
              </w:rPr>
            </w:pPr>
            <w:r>
              <w:rPr>
                <w:rFonts w:hint="eastAsia" w:ascii="Times New Roman" w:hAnsi="Times New Roman"/>
                <w:sz w:val="21"/>
                <w:highlight w:val="none"/>
                <w:lang w:val="en-US" w:eastAsia="zh-CN"/>
              </w:rPr>
              <w:t>48.5（使用116MW+35t/h锅炉）</w:t>
            </w:r>
          </w:p>
        </w:tc>
        <w:tc>
          <w:tcPr>
            <w:tcW w:w="813" w:type="pct"/>
            <w:noWrap w:val="0"/>
            <w:vAlign w:val="center"/>
          </w:tcPr>
          <w:p w14:paraId="4D86210B">
            <w:pPr>
              <w:spacing w:line="240" w:lineRule="auto"/>
              <w:ind w:firstLine="0" w:firstLineChars="0"/>
              <w:jc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162.44</w:t>
            </w:r>
          </w:p>
        </w:tc>
      </w:tr>
      <w:tr w14:paraId="36F28E6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86" w:type="pct"/>
            <w:vMerge w:val="continue"/>
            <w:noWrap w:val="0"/>
            <w:vAlign w:val="center"/>
          </w:tcPr>
          <w:p w14:paraId="152671AD">
            <w:pPr>
              <w:pStyle w:val="27"/>
              <w:textAlignment w:val="center"/>
              <w:rPr>
                <w:rFonts w:ascii="Times New Roman" w:hAnsi="Times New Roman"/>
                <w:highlight w:val="none"/>
              </w:rPr>
            </w:pPr>
          </w:p>
        </w:tc>
        <w:tc>
          <w:tcPr>
            <w:tcW w:w="948" w:type="pct"/>
            <w:vMerge w:val="continue"/>
            <w:noWrap w:val="0"/>
            <w:vAlign w:val="center"/>
          </w:tcPr>
          <w:p w14:paraId="7B37B3A6">
            <w:pPr>
              <w:pStyle w:val="27"/>
              <w:textAlignment w:val="center"/>
              <w:rPr>
                <w:rFonts w:ascii="Times New Roman" w:hAnsi="Times New Roman"/>
                <w:highlight w:val="none"/>
              </w:rPr>
            </w:pPr>
          </w:p>
        </w:tc>
        <w:tc>
          <w:tcPr>
            <w:tcW w:w="634" w:type="pct"/>
            <w:vMerge w:val="continue"/>
            <w:noWrap w:val="0"/>
            <w:vAlign w:val="center"/>
          </w:tcPr>
          <w:p w14:paraId="3DE663A7">
            <w:pPr>
              <w:pStyle w:val="27"/>
              <w:textAlignment w:val="center"/>
              <w:rPr>
                <w:rFonts w:ascii="Times New Roman" w:hAnsi="Times New Roman"/>
                <w:highlight w:val="none"/>
              </w:rPr>
            </w:pPr>
          </w:p>
        </w:tc>
        <w:tc>
          <w:tcPr>
            <w:tcW w:w="546" w:type="pct"/>
            <w:vMerge w:val="continue"/>
            <w:noWrap w:val="0"/>
            <w:vAlign w:val="center"/>
          </w:tcPr>
          <w:p w14:paraId="04B6747C">
            <w:pPr>
              <w:pStyle w:val="27"/>
              <w:textAlignment w:val="center"/>
              <w:rPr>
                <w:rFonts w:ascii="Times New Roman" w:hAnsi="Times New Roman"/>
                <w:highlight w:val="none"/>
              </w:rPr>
            </w:pPr>
          </w:p>
        </w:tc>
        <w:tc>
          <w:tcPr>
            <w:tcW w:w="519" w:type="pct"/>
            <w:vMerge w:val="continue"/>
            <w:noWrap w:val="0"/>
            <w:vAlign w:val="center"/>
          </w:tcPr>
          <w:p w14:paraId="46223ECD">
            <w:pPr>
              <w:spacing w:line="240" w:lineRule="auto"/>
              <w:ind w:firstLine="0" w:firstLineChars="0"/>
              <w:jc w:val="center"/>
              <w:textAlignment w:val="center"/>
              <w:rPr>
                <w:rFonts w:ascii="Times New Roman" w:hAnsi="Times New Roman"/>
                <w:sz w:val="21"/>
                <w:highlight w:val="none"/>
              </w:rPr>
            </w:pPr>
          </w:p>
        </w:tc>
        <w:tc>
          <w:tcPr>
            <w:tcW w:w="1051" w:type="pct"/>
            <w:noWrap w:val="0"/>
            <w:vAlign w:val="center"/>
          </w:tcPr>
          <w:p w14:paraId="73C43DEA">
            <w:pPr>
              <w:spacing w:line="240" w:lineRule="auto"/>
              <w:ind w:firstLine="0" w:firstLineChars="0"/>
              <w:jc w:val="center"/>
              <w:textAlignment w:val="center"/>
              <w:rPr>
                <w:rFonts w:hint="eastAsia" w:ascii="Times New Roman" w:hAnsi="Times New Roman"/>
                <w:sz w:val="21"/>
                <w:highlight w:val="none"/>
              </w:rPr>
            </w:pPr>
            <w:r>
              <w:rPr>
                <w:rFonts w:hint="eastAsia" w:ascii="Times New Roman" w:hAnsi="Times New Roman"/>
                <w:sz w:val="21"/>
                <w:highlight w:val="none"/>
                <w:lang w:val="en-US" w:eastAsia="zh-CN"/>
              </w:rPr>
              <w:t>13（单独使用58MW锅炉）</w:t>
            </w:r>
          </w:p>
        </w:tc>
        <w:tc>
          <w:tcPr>
            <w:tcW w:w="813" w:type="pct"/>
            <w:noWrap w:val="0"/>
            <w:vAlign w:val="center"/>
          </w:tcPr>
          <w:p w14:paraId="2C39B190">
            <w:pPr>
              <w:spacing w:line="240" w:lineRule="auto"/>
              <w:ind w:firstLine="0" w:firstLineChars="0"/>
              <w:jc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162.44</w:t>
            </w:r>
          </w:p>
        </w:tc>
      </w:tr>
      <w:tr w14:paraId="2D42FC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86" w:type="pct"/>
            <w:vMerge w:val="continue"/>
            <w:noWrap w:val="0"/>
            <w:vAlign w:val="center"/>
          </w:tcPr>
          <w:p w14:paraId="4B29673A">
            <w:pPr>
              <w:pStyle w:val="27"/>
              <w:textAlignment w:val="center"/>
              <w:rPr>
                <w:rFonts w:ascii="Times New Roman" w:hAnsi="Times New Roman"/>
                <w:highlight w:val="none"/>
              </w:rPr>
            </w:pPr>
          </w:p>
        </w:tc>
        <w:tc>
          <w:tcPr>
            <w:tcW w:w="948" w:type="pct"/>
            <w:vMerge w:val="continue"/>
            <w:noWrap w:val="0"/>
            <w:vAlign w:val="center"/>
          </w:tcPr>
          <w:p w14:paraId="1BEBA036">
            <w:pPr>
              <w:pStyle w:val="27"/>
              <w:textAlignment w:val="center"/>
              <w:rPr>
                <w:rFonts w:ascii="Times New Roman" w:hAnsi="Times New Roman"/>
                <w:highlight w:val="none"/>
              </w:rPr>
            </w:pPr>
          </w:p>
        </w:tc>
        <w:tc>
          <w:tcPr>
            <w:tcW w:w="634" w:type="pct"/>
            <w:vMerge w:val="continue"/>
            <w:noWrap w:val="0"/>
            <w:vAlign w:val="center"/>
          </w:tcPr>
          <w:p w14:paraId="52E3C595">
            <w:pPr>
              <w:pStyle w:val="27"/>
              <w:textAlignment w:val="center"/>
              <w:rPr>
                <w:rFonts w:ascii="Times New Roman" w:hAnsi="Times New Roman"/>
                <w:highlight w:val="none"/>
              </w:rPr>
            </w:pPr>
          </w:p>
        </w:tc>
        <w:tc>
          <w:tcPr>
            <w:tcW w:w="546" w:type="pct"/>
            <w:vMerge w:val="restart"/>
            <w:noWrap w:val="0"/>
            <w:vAlign w:val="center"/>
          </w:tcPr>
          <w:p w14:paraId="2723E32D">
            <w:pPr>
              <w:pStyle w:val="27"/>
              <w:textAlignment w:val="center"/>
              <w:rPr>
                <w:rFonts w:ascii="Times New Roman" w:hAnsi="Times New Roman"/>
                <w:highlight w:val="none"/>
              </w:rPr>
            </w:pPr>
            <w:r>
              <w:rPr>
                <w:rFonts w:ascii="Times New Roman" w:hAnsi="Times New Roman"/>
                <w:highlight w:val="none"/>
              </w:rPr>
              <w:t>NO</w:t>
            </w:r>
            <w:r>
              <w:rPr>
                <w:rFonts w:ascii="Times New Roman" w:hAnsi="Times New Roman"/>
                <w:highlight w:val="none"/>
                <w:vertAlign w:val="subscript"/>
              </w:rPr>
              <w:t>x</w:t>
            </w:r>
          </w:p>
        </w:tc>
        <w:tc>
          <w:tcPr>
            <w:tcW w:w="519" w:type="pct"/>
            <w:vMerge w:val="restart"/>
            <w:noWrap w:val="0"/>
            <w:vAlign w:val="center"/>
          </w:tcPr>
          <w:p w14:paraId="190043FE">
            <w:pPr>
              <w:spacing w:line="240" w:lineRule="auto"/>
              <w:ind w:firstLine="0" w:firstLineChars="0"/>
              <w:jc w:val="center"/>
              <w:textAlignment w:val="center"/>
              <w:rPr>
                <w:rFonts w:ascii="Times New Roman" w:hAnsi="Times New Roman"/>
                <w:highlight w:val="none"/>
              </w:rPr>
            </w:pPr>
            <w:r>
              <w:rPr>
                <w:rFonts w:ascii="Times New Roman" w:hAnsi="Times New Roman"/>
                <w:sz w:val="21"/>
                <w:highlight w:val="none"/>
              </w:rPr>
              <w:t>0</w:t>
            </w:r>
          </w:p>
        </w:tc>
        <w:tc>
          <w:tcPr>
            <w:tcW w:w="1051" w:type="pct"/>
            <w:noWrap w:val="0"/>
            <w:vAlign w:val="center"/>
          </w:tcPr>
          <w:p w14:paraId="18E71F4F">
            <w:pPr>
              <w:spacing w:line="240" w:lineRule="auto"/>
              <w:ind w:firstLine="0" w:firstLineChars="0"/>
              <w:jc w:val="center"/>
              <w:textAlignment w:val="center"/>
              <w:rPr>
                <w:rFonts w:ascii="Times New Roman" w:hAnsi="Times New Roman"/>
                <w:sz w:val="21"/>
                <w:highlight w:val="none"/>
              </w:rPr>
            </w:pPr>
            <w:r>
              <w:rPr>
                <w:rFonts w:hint="eastAsia" w:ascii="Times New Roman" w:hAnsi="Times New Roman"/>
                <w:sz w:val="21"/>
                <w:highlight w:val="none"/>
                <w:lang w:val="en-US" w:eastAsia="zh-CN"/>
              </w:rPr>
              <w:t>240（单独使用116MW锅炉）</w:t>
            </w:r>
          </w:p>
        </w:tc>
        <w:tc>
          <w:tcPr>
            <w:tcW w:w="813" w:type="pct"/>
            <w:noWrap w:val="0"/>
            <w:vAlign w:val="center"/>
          </w:tcPr>
          <w:p w14:paraId="7A59B629">
            <w:pPr>
              <w:spacing w:line="240" w:lineRule="auto"/>
              <w:ind w:firstLine="0" w:firstLineChars="0"/>
              <w:jc w:val="center"/>
              <w:textAlignment w:val="center"/>
              <w:rPr>
                <w:rFonts w:hint="default" w:ascii="Times New Roman" w:hAnsi="Times New Roman" w:eastAsia="宋体"/>
                <w:highlight w:val="none"/>
                <w:lang w:val="en-US" w:eastAsia="zh-CN"/>
              </w:rPr>
            </w:pPr>
            <w:r>
              <w:rPr>
                <w:rFonts w:hint="eastAsia" w:ascii="Times New Roman" w:hAnsi="Times New Roman"/>
                <w:sz w:val="21"/>
                <w:highlight w:val="none"/>
                <w:lang w:val="en-US" w:eastAsia="zh-CN"/>
              </w:rPr>
              <w:t>916</w:t>
            </w:r>
          </w:p>
        </w:tc>
      </w:tr>
      <w:tr w14:paraId="4FF07A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86" w:type="pct"/>
            <w:vMerge w:val="continue"/>
            <w:noWrap w:val="0"/>
            <w:vAlign w:val="center"/>
          </w:tcPr>
          <w:p w14:paraId="0E716EB2">
            <w:pPr>
              <w:pStyle w:val="27"/>
              <w:textAlignment w:val="center"/>
              <w:rPr>
                <w:rFonts w:ascii="Times New Roman" w:hAnsi="Times New Roman"/>
                <w:highlight w:val="none"/>
              </w:rPr>
            </w:pPr>
          </w:p>
        </w:tc>
        <w:tc>
          <w:tcPr>
            <w:tcW w:w="948" w:type="pct"/>
            <w:vMerge w:val="continue"/>
            <w:noWrap w:val="0"/>
            <w:vAlign w:val="center"/>
          </w:tcPr>
          <w:p w14:paraId="49F0B580">
            <w:pPr>
              <w:pStyle w:val="27"/>
              <w:textAlignment w:val="center"/>
              <w:rPr>
                <w:rFonts w:ascii="Times New Roman" w:hAnsi="Times New Roman"/>
                <w:highlight w:val="none"/>
              </w:rPr>
            </w:pPr>
          </w:p>
        </w:tc>
        <w:tc>
          <w:tcPr>
            <w:tcW w:w="634" w:type="pct"/>
            <w:vMerge w:val="continue"/>
            <w:noWrap w:val="0"/>
            <w:vAlign w:val="center"/>
          </w:tcPr>
          <w:p w14:paraId="3E49A5D7">
            <w:pPr>
              <w:pStyle w:val="27"/>
              <w:textAlignment w:val="center"/>
              <w:rPr>
                <w:rFonts w:ascii="Times New Roman" w:hAnsi="Times New Roman"/>
                <w:highlight w:val="none"/>
              </w:rPr>
            </w:pPr>
          </w:p>
        </w:tc>
        <w:tc>
          <w:tcPr>
            <w:tcW w:w="546" w:type="pct"/>
            <w:vMerge w:val="continue"/>
            <w:noWrap w:val="0"/>
            <w:vAlign w:val="center"/>
          </w:tcPr>
          <w:p w14:paraId="412E604F">
            <w:pPr>
              <w:pStyle w:val="27"/>
              <w:textAlignment w:val="center"/>
              <w:rPr>
                <w:rFonts w:ascii="Times New Roman" w:hAnsi="Times New Roman"/>
                <w:highlight w:val="none"/>
              </w:rPr>
            </w:pPr>
          </w:p>
        </w:tc>
        <w:tc>
          <w:tcPr>
            <w:tcW w:w="519" w:type="pct"/>
            <w:vMerge w:val="continue"/>
            <w:noWrap w:val="0"/>
            <w:vAlign w:val="center"/>
          </w:tcPr>
          <w:p w14:paraId="25CD543A">
            <w:pPr>
              <w:spacing w:line="240" w:lineRule="auto"/>
              <w:ind w:firstLine="0" w:firstLineChars="0"/>
              <w:jc w:val="center"/>
              <w:textAlignment w:val="center"/>
              <w:rPr>
                <w:rFonts w:ascii="Times New Roman" w:hAnsi="Times New Roman"/>
                <w:sz w:val="21"/>
                <w:highlight w:val="none"/>
              </w:rPr>
            </w:pPr>
          </w:p>
        </w:tc>
        <w:tc>
          <w:tcPr>
            <w:tcW w:w="1051" w:type="pct"/>
            <w:noWrap w:val="0"/>
            <w:vAlign w:val="center"/>
          </w:tcPr>
          <w:p w14:paraId="26A4376D">
            <w:pPr>
              <w:spacing w:line="240" w:lineRule="auto"/>
              <w:ind w:firstLine="0" w:firstLineChars="0"/>
              <w:jc w:val="center"/>
              <w:textAlignment w:val="center"/>
              <w:rPr>
                <w:rFonts w:ascii="Times New Roman" w:hAnsi="Times New Roman"/>
                <w:sz w:val="21"/>
                <w:highlight w:val="none"/>
              </w:rPr>
            </w:pPr>
            <w:r>
              <w:rPr>
                <w:rFonts w:hint="eastAsia" w:ascii="Times New Roman" w:hAnsi="Times New Roman"/>
                <w:sz w:val="21"/>
                <w:highlight w:val="none"/>
                <w:lang w:val="en-US" w:eastAsia="zh-CN"/>
              </w:rPr>
              <w:t>105（使用58MW+35t/h锅炉）</w:t>
            </w:r>
          </w:p>
        </w:tc>
        <w:tc>
          <w:tcPr>
            <w:tcW w:w="813" w:type="pct"/>
            <w:noWrap w:val="0"/>
            <w:vAlign w:val="center"/>
          </w:tcPr>
          <w:p w14:paraId="74CC34B0">
            <w:pPr>
              <w:spacing w:line="240" w:lineRule="auto"/>
              <w:ind w:firstLine="0" w:firstLineChars="0"/>
              <w:jc w:val="center"/>
              <w:textAlignment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916</w:t>
            </w:r>
          </w:p>
        </w:tc>
      </w:tr>
      <w:tr w14:paraId="2423CB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86" w:type="pct"/>
            <w:vMerge w:val="continue"/>
            <w:noWrap w:val="0"/>
            <w:vAlign w:val="center"/>
          </w:tcPr>
          <w:p w14:paraId="0607AEDE">
            <w:pPr>
              <w:pStyle w:val="27"/>
              <w:textAlignment w:val="center"/>
              <w:rPr>
                <w:rFonts w:ascii="Times New Roman" w:hAnsi="Times New Roman"/>
                <w:highlight w:val="none"/>
              </w:rPr>
            </w:pPr>
          </w:p>
        </w:tc>
        <w:tc>
          <w:tcPr>
            <w:tcW w:w="948" w:type="pct"/>
            <w:vMerge w:val="continue"/>
            <w:noWrap w:val="0"/>
            <w:vAlign w:val="center"/>
          </w:tcPr>
          <w:p w14:paraId="7B0EE680">
            <w:pPr>
              <w:pStyle w:val="27"/>
              <w:textAlignment w:val="center"/>
              <w:rPr>
                <w:rFonts w:ascii="Times New Roman" w:hAnsi="Times New Roman"/>
                <w:highlight w:val="none"/>
              </w:rPr>
            </w:pPr>
          </w:p>
        </w:tc>
        <w:tc>
          <w:tcPr>
            <w:tcW w:w="634" w:type="pct"/>
            <w:vMerge w:val="continue"/>
            <w:noWrap w:val="0"/>
            <w:vAlign w:val="center"/>
          </w:tcPr>
          <w:p w14:paraId="03C46DA5">
            <w:pPr>
              <w:pStyle w:val="27"/>
              <w:textAlignment w:val="center"/>
              <w:rPr>
                <w:rFonts w:ascii="Times New Roman" w:hAnsi="Times New Roman"/>
                <w:highlight w:val="none"/>
              </w:rPr>
            </w:pPr>
          </w:p>
        </w:tc>
        <w:tc>
          <w:tcPr>
            <w:tcW w:w="546" w:type="pct"/>
            <w:vMerge w:val="continue"/>
            <w:noWrap w:val="0"/>
            <w:vAlign w:val="center"/>
          </w:tcPr>
          <w:p w14:paraId="3A39FB56">
            <w:pPr>
              <w:pStyle w:val="27"/>
              <w:textAlignment w:val="center"/>
              <w:rPr>
                <w:rFonts w:ascii="Times New Roman" w:hAnsi="Times New Roman"/>
                <w:highlight w:val="none"/>
              </w:rPr>
            </w:pPr>
          </w:p>
        </w:tc>
        <w:tc>
          <w:tcPr>
            <w:tcW w:w="519" w:type="pct"/>
            <w:vMerge w:val="continue"/>
            <w:noWrap w:val="0"/>
            <w:vAlign w:val="center"/>
          </w:tcPr>
          <w:p w14:paraId="24CA1650">
            <w:pPr>
              <w:spacing w:line="240" w:lineRule="auto"/>
              <w:ind w:firstLine="0" w:firstLineChars="0"/>
              <w:jc w:val="center"/>
              <w:textAlignment w:val="center"/>
              <w:rPr>
                <w:rFonts w:ascii="Times New Roman" w:hAnsi="Times New Roman"/>
                <w:sz w:val="21"/>
                <w:highlight w:val="none"/>
              </w:rPr>
            </w:pPr>
          </w:p>
        </w:tc>
        <w:tc>
          <w:tcPr>
            <w:tcW w:w="1051" w:type="pct"/>
            <w:noWrap w:val="0"/>
            <w:vAlign w:val="center"/>
          </w:tcPr>
          <w:p w14:paraId="591D3E40">
            <w:pPr>
              <w:spacing w:line="240" w:lineRule="auto"/>
              <w:ind w:firstLine="0" w:firstLineChars="0"/>
              <w:jc w:val="center"/>
              <w:textAlignment w:val="center"/>
              <w:rPr>
                <w:rFonts w:ascii="Times New Roman" w:hAnsi="Times New Roman"/>
                <w:sz w:val="21"/>
                <w:highlight w:val="none"/>
              </w:rPr>
            </w:pPr>
            <w:r>
              <w:rPr>
                <w:rFonts w:hint="eastAsia" w:ascii="Times New Roman" w:hAnsi="Times New Roman"/>
                <w:sz w:val="21"/>
                <w:highlight w:val="none"/>
                <w:lang w:val="en-US" w:eastAsia="zh-CN"/>
              </w:rPr>
              <w:t>271（使用116MW+35t/h锅炉）</w:t>
            </w:r>
          </w:p>
        </w:tc>
        <w:tc>
          <w:tcPr>
            <w:tcW w:w="813" w:type="pct"/>
            <w:noWrap w:val="0"/>
            <w:vAlign w:val="center"/>
          </w:tcPr>
          <w:p w14:paraId="047EDA49">
            <w:pPr>
              <w:spacing w:line="240" w:lineRule="auto"/>
              <w:ind w:firstLine="0" w:firstLineChars="0"/>
              <w:jc w:val="center"/>
              <w:textAlignment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916</w:t>
            </w:r>
          </w:p>
        </w:tc>
      </w:tr>
      <w:tr w14:paraId="3D3F700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86" w:type="pct"/>
            <w:vMerge w:val="continue"/>
            <w:noWrap w:val="0"/>
            <w:vAlign w:val="center"/>
          </w:tcPr>
          <w:p w14:paraId="05EB3094">
            <w:pPr>
              <w:pStyle w:val="27"/>
              <w:textAlignment w:val="center"/>
              <w:rPr>
                <w:rFonts w:ascii="Times New Roman" w:hAnsi="Times New Roman"/>
                <w:highlight w:val="none"/>
              </w:rPr>
            </w:pPr>
          </w:p>
        </w:tc>
        <w:tc>
          <w:tcPr>
            <w:tcW w:w="948" w:type="pct"/>
            <w:vMerge w:val="continue"/>
            <w:noWrap w:val="0"/>
            <w:vAlign w:val="center"/>
          </w:tcPr>
          <w:p w14:paraId="7BB27B09">
            <w:pPr>
              <w:pStyle w:val="27"/>
              <w:textAlignment w:val="center"/>
              <w:rPr>
                <w:rFonts w:ascii="Times New Roman" w:hAnsi="Times New Roman"/>
                <w:highlight w:val="none"/>
              </w:rPr>
            </w:pPr>
          </w:p>
        </w:tc>
        <w:tc>
          <w:tcPr>
            <w:tcW w:w="634" w:type="pct"/>
            <w:vMerge w:val="continue"/>
            <w:noWrap w:val="0"/>
            <w:vAlign w:val="center"/>
          </w:tcPr>
          <w:p w14:paraId="2CEAD930">
            <w:pPr>
              <w:pStyle w:val="27"/>
              <w:textAlignment w:val="center"/>
              <w:rPr>
                <w:rFonts w:ascii="Times New Roman" w:hAnsi="Times New Roman"/>
                <w:highlight w:val="none"/>
              </w:rPr>
            </w:pPr>
          </w:p>
        </w:tc>
        <w:tc>
          <w:tcPr>
            <w:tcW w:w="546" w:type="pct"/>
            <w:vMerge w:val="continue"/>
            <w:noWrap w:val="0"/>
            <w:vAlign w:val="center"/>
          </w:tcPr>
          <w:p w14:paraId="3153250B">
            <w:pPr>
              <w:pStyle w:val="27"/>
              <w:textAlignment w:val="center"/>
              <w:rPr>
                <w:rFonts w:ascii="Times New Roman" w:hAnsi="Times New Roman"/>
                <w:highlight w:val="none"/>
              </w:rPr>
            </w:pPr>
          </w:p>
        </w:tc>
        <w:tc>
          <w:tcPr>
            <w:tcW w:w="519" w:type="pct"/>
            <w:vMerge w:val="continue"/>
            <w:noWrap w:val="0"/>
            <w:vAlign w:val="center"/>
          </w:tcPr>
          <w:p w14:paraId="719EE675">
            <w:pPr>
              <w:spacing w:line="240" w:lineRule="auto"/>
              <w:ind w:firstLine="0" w:firstLineChars="0"/>
              <w:jc w:val="center"/>
              <w:textAlignment w:val="center"/>
              <w:rPr>
                <w:rFonts w:ascii="Times New Roman" w:hAnsi="Times New Roman"/>
                <w:sz w:val="21"/>
                <w:highlight w:val="none"/>
              </w:rPr>
            </w:pPr>
          </w:p>
        </w:tc>
        <w:tc>
          <w:tcPr>
            <w:tcW w:w="1051" w:type="pct"/>
            <w:noWrap w:val="0"/>
            <w:vAlign w:val="center"/>
          </w:tcPr>
          <w:p w14:paraId="5C379CC5">
            <w:pPr>
              <w:spacing w:line="240" w:lineRule="auto"/>
              <w:ind w:firstLine="0" w:firstLineChars="0"/>
              <w:jc w:val="center"/>
              <w:textAlignment w:val="center"/>
              <w:rPr>
                <w:rFonts w:ascii="Times New Roman" w:hAnsi="Times New Roman"/>
                <w:sz w:val="21"/>
                <w:highlight w:val="none"/>
              </w:rPr>
            </w:pPr>
            <w:r>
              <w:rPr>
                <w:rFonts w:hint="eastAsia" w:ascii="Times New Roman" w:hAnsi="Times New Roman"/>
                <w:sz w:val="21"/>
                <w:highlight w:val="none"/>
                <w:lang w:val="en-US" w:eastAsia="zh-CN"/>
              </w:rPr>
              <w:t>31（单独使用58MW锅炉）</w:t>
            </w:r>
          </w:p>
        </w:tc>
        <w:tc>
          <w:tcPr>
            <w:tcW w:w="813" w:type="pct"/>
            <w:noWrap w:val="0"/>
            <w:vAlign w:val="center"/>
          </w:tcPr>
          <w:p w14:paraId="2C66C5BE">
            <w:pPr>
              <w:spacing w:line="240" w:lineRule="auto"/>
              <w:ind w:firstLine="0" w:firstLineChars="0"/>
              <w:jc w:val="center"/>
              <w:textAlignment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916</w:t>
            </w:r>
          </w:p>
        </w:tc>
      </w:tr>
    </w:tbl>
    <w:p w14:paraId="1958A853">
      <w:pPr>
        <w:rPr>
          <w:rFonts w:hint="default"/>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57C9E45B">
      <w:pPr>
        <w:ind w:firstLine="0" w:firstLineChars="0"/>
        <w:jc w:val="center"/>
        <w:rPr>
          <w:rFonts w:ascii="Times New Roman" w:hAnsi="Times New Roman"/>
          <w:b/>
          <w:bCs/>
          <w:highlight w:val="none"/>
        </w:rPr>
      </w:pPr>
      <w:r>
        <w:rPr>
          <w:rFonts w:ascii="Times New Roman" w:hAnsi="Times New Roman"/>
          <w:b/>
          <w:bCs/>
          <w:highlight w:val="none"/>
        </w:rPr>
        <w:t>表3.3-4废气污染源源强核算结果及相关参数一览表</w:t>
      </w:r>
    </w:p>
    <w:tbl>
      <w:tblPr>
        <w:tblStyle w:val="17"/>
        <w:tblW w:w="142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8"/>
        <w:gridCol w:w="912"/>
        <w:gridCol w:w="748"/>
        <w:gridCol w:w="737"/>
        <w:gridCol w:w="660"/>
        <w:gridCol w:w="1430"/>
        <w:gridCol w:w="1059"/>
        <w:gridCol w:w="887"/>
        <w:gridCol w:w="1173"/>
        <w:gridCol w:w="874"/>
        <w:gridCol w:w="805"/>
        <w:gridCol w:w="1245"/>
        <w:gridCol w:w="936"/>
        <w:gridCol w:w="951"/>
        <w:gridCol w:w="913"/>
      </w:tblGrid>
      <w:tr w14:paraId="044DF3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restart"/>
            <w:noWrap w:val="0"/>
            <w:vAlign w:val="center"/>
          </w:tcPr>
          <w:p w14:paraId="4FB5E091">
            <w:pPr>
              <w:pStyle w:val="42"/>
              <w:spacing w:before="81" w:after="81"/>
              <w:textAlignment w:val="center"/>
              <w:rPr>
                <w:rFonts w:ascii="Times New Roman" w:hAnsi="Times New Roman"/>
                <w:szCs w:val="21"/>
                <w:highlight w:val="none"/>
              </w:rPr>
            </w:pPr>
            <w:r>
              <w:rPr>
                <w:rFonts w:ascii="Times New Roman" w:hAnsi="Times New Roman"/>
                <w:szCs w:val="21"/>
                <w:highlight w:val="none"/>
              </w:rPr>
              <w:t>类型</w:t>
            </w:r>
          </w:p>
        </w:tc>
        <w:tc>
          <w:tcPr>
            <w:tcW w:w="912" w:type="dxa"/>
            <w:vMerge w:val="restart"/>
            <w:noWrap w:val="0"/>
            <w:vAlign w:val="center"/>
          </w:tcPr>
          <w:p w14:paraId="3B569347">
            <w:pPr>
              <w:pStyle w:val="42"/>
              <w:spacing w:before="81" w:after="81"/>
              <w:textAlignment w:val="center"/>
              <w:rPr>
                <w:rFonts w:ascii="Times New Roman" w:hAnsi="Times New Roman"/>
                <w:szCs w:val="21"/>
                <w:highlight w:val="none"/>
              </w:rPr>
            </w:pPr>
            <w:r>
              <w:rPr>
                <w:rFonts w:ascii="Times New Roman" w:hAnsi="Times New Roman"/>
                <w:szCs w:val="21"/>
                <w:highlight w:val="none"/>
              </w:rPr>
              <w:t>装置</w:t>
            </w:r>
          </w:p>
        </w:tc>
        <w:tc>
          <w:tcPr>
            <w:tcW w:w="748" w:type="dxa"/>
            <w:vMerge w:val="restart"/>
            <w:noWrap w:val="0"/>
            <w:vAlign w:val="center"/>
          </w:tcPr>
          <w:p w14:paraId="59A77742">
            <w:pPr>
              <w:pStyle w:val="42"/>
              <w:spacing w:before="81" w:after="81"/>
              <w:textAlignment w:val="center"/>
              <w:rPr>
                <w:rFonts w:ascii="Times New Roman" w:hAnsi="Times New Roman"/>
                <w:szCs w:val="21"/>
                <w:highlight w:val="none"/>
              </w:rPr>
            </w:pPr>
            <w:r>
              <w:rPr>
                <w:rFonts w:ascii="Times New Roman" w:hAnsi="Times New Roman"/>
                <w:szCs w:val="21"/>
                <w:highlight w:val="none"/>
              </w:rPr>
              <w:t>污染源</w:t>
            </w:r>
          </w:p>
        </w:tc>
        <w:tc>
          <w:tcPr>
            <w:tcW w:w="737" w:type="dxa"/>
            <w:vMerge w:val="restart"/>
            <w:noWrap w:val="0"/>
            <w:vAlign w:val="center"/>
          </w:tcPr>
          <w:p w14:paraId="6C2E47DA">
            <w:pPr>
              <w:pStyle w:val="42"/>
              <w:spacing w:before="81" w:after="81"/>
              <w:textAlignment w:val="center"/>
              <w:rPr>
                <w:rFonts w:ascii="Times New Roman" w:hAnsi="Times New Roman"/>
                <w:szCs w:val="21"/>
                <w:highlight w:val="none"/>
              </w:rPr>
            </w:pPr>
            <w:r>
              <w:rPr>
                <w:rFonts w:ascii="Times New Roman" w:hAnsi="Times New Roman"/>
                <w:szCs w:val="21"/>
                <w:highlight w:val="none"/>
              </w:rPr>
              <w:t>污染物</w:t>
            </w:r>
          </w:p>
        </w:tc>
        <w:tc>
          <w:tcPr>
            <w:tcW w:w="4036" w:type="dxa"/>
            <w:gridSpan w:val="4"/>
            <w:noWrap w:val="0"/>
            <w:vAlign w:val="center"/>
          </w:tcPr>
          <w:p w14:paraId="38DDA562">
            <w:pPr>
              <w:pStyle w:val="42"/>
              <w:spacing w:before="81" w:after="81"/>
              <w:textAlignment w:val="center"/>
              <w:rPr>
                <w:rFonts w:ascii="Times New Roman" w:hAnsi="Times New Roman"/>
                <w:szCs w:val="21"/>
                <w:highlight w:val="none"/>
              </w:rPr>
            </w:pPr>
            <w:r>
              <w:rPr>
                <w:rFonts w:ascii="Times New Roman" w:hAnsi="Times New Roman"/>
                <w:szCs w:val="21"/>
                <w:highlight w:val="none"/>
              </w:rPr>
              <w:t>污染物产生</w:t>
            </w:r>
          </w:p>
        </w:tc>
        <w:tc>
          <w:tcPr>
            <w:tcW w:w="2047" w:type="dxa"/>
            <w:gridSpan w:val="2"/>
            <w:noWrap w:val="0"/>
            <w:vAlign w:val="center"/>
          </w:tcPr>
          <w:p w14:paraId="0A9FDC9B">
            <w:pPr>
              <w:pStyle w:val="42"/>
              <w:spacing w:before="81" w:after="81"/>
              <w:textAlignment w:val="center"/>
              <w:rPr>
                <w:rFonts w:ascii="Times New Roman" w:hAnsi="Times New Roman"/>
                <w:szCs w:val="21"/>
                <w:highlight w:val="none"/>
              </w:rPr>
            </w:pPr>
            <w:r>
              <w:rPr>
                <w:rFonts w:ascii="Times New Roman" w:hAnsi="Times New Roman"/>
                <w:szCs w:val="21"/>
                <w:highlight w:val="none"/>
              </w:rPr>
              <w:t>治理措施</w:t>
            </w:r>
          </w:p>
        </w:tc>
        <w:tc>
          <w:tcPr>
            <w:tcW w:w="3937" w:type="dxa"/>
            <w:gridSpan w:val="4"/>
            <w:noWrap w:val="0"/>
            <w:vAlign w:val="center"/>
          </w:tcPr>
          <w:p w14:paraId="326A74AC">
            <w:pPr>
              <w:pStyle w:val="42"/>
              <w:spacing w:before="81" w:after="81"/>
              <w:textAlignment w:val="center"/>
              <w:rPr>
                <w:rFonts w:ascii="Times New Roman" w:hAnsi="Times New Roman"/>
                <w:szCs w:val="21"/>
                <w:highlight w:val="none"/>
              </w:rPr>
            </w:pPr>
            <w:r>
              <w:rPr>
                <w:rFonts w:ascii="Times New Roman" w:hAnsi="Times New Roman"/>
                <w:szCs w:val="21"/>
                <w:highlight w:val="none"/>
              </w:rPr>
              <w:t>污染物排放</w:t>
            </w:r>
          </w:p>
        </w:tc>
        <w:tc>
          <w:tcPr>
            <w:tcW w:w="913" w:type="dxa"/>
            <w:vMerge w:val="restart"/>
            <w:noWrap w:val="0"/>
            <w:vAlign w:val="center"/>
          </w:tcPr>
          <w:p w14:paraId="636EC021">
            <w:pPr>
              <w:pStyle w:val="42"/>
              <w:spacing w:before="81" w:after="81"/>
              <w:textAlignment w:val="center"/>
              <w:rPr>
                <w:rFonts w:ascii="Times New Roman" w:hAnsi="Times New Roman"/>
                <w:szCs w:val="21"/>
                <w:highlight w:val="none"/>
              </w:rPr>
            </w:pPr>
            <w:r>
              <w:rPr>
                <w:rFonts w:ascii="Times New Roman" w:hAnsi="Times New Roman"/>
                <w:szCs w:val="21"/>
                <w:highlight w:val="none"/>
              </w:rPr>
              <w:t>排放时间h</w:t>
            </w:r>
          </w:p>
        </w:tc>
      </w:tr>
      <w:tr w14:paraId="3A8860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19DA2857">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6A4A9DD8">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124A7DB5">
            <w:pPr>
              <w:pStyle w:val="42"/>
              <w:spacing w:before="81" w:after="81"/>
              <w:textAlignment w:val="center"/>
              <w:rPr>
                <w:rFonts w:ascii="Times New Roman" w:hAnsi="Times New Roman"/>
                <w:szCs w:val="21"/>
                <w:highlight w:val="none"/>
              </w:rPr>
            </w:pPr>
          </w:p>
        </w:tc>
        <w:tc>
          <w:tcPr>
            <w:tcW w:w="737" w:type="dxa"/>
            <w:vMerge w:val="continue"/>
            <w:noWrap w:val="0"/>
            <w:vAlign w:val="center"/>
          </w:tcPr>
          <w:p w14:paraId="5699A21B">
            <w:pPr>
              <w:pStyle w:val="42"/>
              <w:spacing w:before="81" w:after="81"/>
              <w:textAlignment w:val="center"/>
              <w:rPr>
                <w:rFonts w:ascii="Times New Roman" w:hAnsi="Times New Roman"/>
                <w:szCs w:val="21"/>
                <w:highlight w:val="none"/>
              </w:rPr>
            </w:pPr>
          </w:p>
        </w:tc>
        <w:tc>
          <w:tcPr>
            <w:tcW w:w="660" w:type="dxa"/>
            <w:noWrap w:val="0"/>
            <w:vAlign w:val="center"/>
          </w:tcPr>
          <w:p w14:paraId="106206B3">
            <w:pPr>
              <w:pStyle w:val="42"/>
              <w:spacing w:before="81" w:after="81"/>
              <w:textAlignment w:val="center"/>
              <w:rPr>
                <w:rFonts w:ascii="Times New Roman" w:hAnsi="Times New Roman"/>
                <w:szCs w:val="21"/>
                <w:highlight w:val="none"/>
              </w:rPr>
            </w:pPr>
            <w:r>
              <w:rPr>
                <w:rFonts w:ascii="Times New Roman" w:hAnsi="Times New Roman"/>
                <w:szCs w:val="21"/>
                <w:highlight w:val="none"/>
              </w:rPr>
              <w:t>核算方法</w:t>
            </w:r>
          </w:p>
        </w:tc>
        <w:tc>
          <w:tcPr>
            <w:tcW w:w="1430" w:type="dxa"/>
            <w:noWrap w:val="0"/>
            <w:vAlign w:val="center"/>
          </w:tcPr>
          <w:p w14:paraId="5EF7594E">
            <w:pPr>
              <w:pStyle w:val="42"/>
              <w:spacing w:before="81" w:after="81"/>
              <w:textAlignment w:val="center"/>
              <w:rPr>
                <w:rFonts w:ascii="Times New Roman" w:hAnsi="Times New Roman"/>
                <w:szCs w:val="21"/>
                <w:highlight w:val="none"/>
              </w:rPr>
            </w:pPr>
            <w:r>
              <w:rPr>
                <w:rFonts w:ascii="Times New Roman" w:hAnsi="Times New Roman"/>
                <w:szCs w:val="21"/>
                <w:highlight w:val="none"/>
              </w:rPr>
              <w:t>烟气量</w:t>
            </w:r>
          </w:p>
          <w:p w14:paraId="7E0FDC88">
            <w:pPr>
              <w:pStyle w:val="42"/>
              <w:spacing w:before="81" w:after="81"/>
              <w:textAlignment w:val="center"/>
              <w:rPr>
                <w:rFonts w:ascii="Times New Roman" w:hAnsi="Times New Roman"/>
                <w:szCs w:val="21"/>
                <w:highlight w:val="none"/>
              </w:rPr>
            </w:pPr>
            <w:r>
              <w:rPr>
                <w:rFonts w:ascii="Times New Roman" w:hAnsi="Times New Roman"/>
                <w:szCs w:val="21"/>
                <w:highlight w:val="none"/>
              </w:rPr>
              <w:t>m</w:t>
            </w:r>
            <w:r>
              <w:rPr>
                <w:rFonts w:ascii="Times New Roman" w:hAnsi="Times New Roman"/>
                <w:szCs w:val="21"/>
                <w:highlight w:val="none"/>
                <w:vertAlign w:val="superscript"/>
              </w:rPr>
              <w:t>3</w:t>
            </w:r>
            <w:r>
              <w:rPr>
                <w:rFonts w:ascii="Times New Roman" w:hAnsi="Times New Roman"/>
                <w:szCs w:val="21"/>
                <w:highlight w:val="none"/>
              </w:rPr>
              <w:t>/h</w:t>
            </w:r>
          </w:p>
        </w:tc>
        <w:tc>
          <w:tcPr>
            <w:tcW w:w="1059" w:type="dxa"/>
            <w:noWrap w:val="0"/>
            <w:vAlign w:val="center"/>
          </w:tcPr>
          <w:p w14:paraId="28672215">
            <w:pPr>
              <w:pStyle w:val="42"/>
              <w:spacing w:before="81" w:after="81"/>
              <w:textAlignment w:val="center"/>
              <w:rPr>
                <w:rFonts w:ascii="Times New Roman" w:hAnsi="Times New Roman"/>
                <w:szCs w:val="21"/>
                <w:highlight w:val="none"/>
              </w:rPr>
            </w:pPr>
            <w:r>
              <w:rPr>
                <w:rFonts w:ascii="Times New Roman" w:hAnsi="Times New Roman"/>
                <w:szCs w:val="21"/>
                <w:highlight w:val="none"/>
              </w:rPr>
              <w:t>产生浓度mg/m</w:t>
            </w:r>
            <w:r>
              <w:rPr>
                <w:rFonts w:ascii="Times New Roman" w:hAnsi="Times New Roman"/>
                <w:szCs w:val="21"/>
                <w:highlight w:val="none"/>
                <w:vertAlign w:val="superscript"/>
              </w:rPr>
              <w:t>3</w:t>
            </w:r>
          </w:p>
        </w:tc>
        <w:tc>
          <w:tcPr>
            <w:tcW w:w="887" w:type="dxa"/>
            <w:noWrap w:val="0"/>
            <w:vAlign w:val="center"/>
          </w:tcPr>
          <w:p w14:paraId="2D001F9C">
            <w:pPr>
              <w:pStyle w:val="42"/>
              <w:spacing w:before="81" w:after="81"/>
              <w:textAlignment w:val="center"/>
              <w:rPr>
                <w:rFonts w:ascii="Times New Roman" w:hAnsi="Times New Roman"/>
                <w:szCs w:val="21"/>
                <w:highlight w:val="none"/>
              </w:rPr>
            </w:pPr>
            <w:r>
              <w:rPr>
                <w:rFonts w:ascii="Times New Roman" w:hAnsi="Times New Roman"/>
                <w:szCs w:val="21"/>
                <w:highlight w:val="none"/>
              </w:rPr>
              <w:t>产生量kg/h</w:t>
            </w:r>
          </w:p>
        </w:tc>
        <w:tc>
          <w:tcPr>
            <w:tcW w:w="1173" w:type="dxa"/>
            <w:noWrap w:val="0"/>
            <w:vAlign w:val="center"/>
          </w:tcPr>
          <w:p w14:paraId="0E725850">
            <w:pPr>
              <w:pStyle w:val="42"/>
              <w:spacing w:before="81" w:after="81"/>
              <w:textAlignment w:val="center"/>
              <w:rPr>
                <w:rFonts w:ascii="Times New Roman" w:hAnsi="Times New Roman"/>
                <w:szCs w:val="21"/>
                <w:highlight w:val="none"/>
              </w:rPr>
            </w:pPr>
            <w:r>
              <w:rPr>
                <w:rFonts w:ascii="Times New Roman" w:hAnsi="Times New Roman"/>
                <w:szCs w:val="21"/>
                <w:highlight w:val="none"/>
              </w:rPr>
              <w:t>工艺</w:t>
            </w:r>
          </w:p>
        </w:tc>
        <w:tc>
          <w:tcPr>
            <w:tcW w:w="874" w:type="dxa"/>
            <w:noWrap w:val="0"/>
            <w:vAlign w:val="center"/>
          </w:tcPr>
          <w:p w14:paraId="76E8A03A">
            <w:pPr>
              <w:pStyle w:val="42"/>
              <w:spacing w:before="81" w:after="81"/>
              <w:textAlignment w:val="center"/>
              <w:rPr>
                <w:rFonts w:ascii="Times New Roman" w:hAnsi="Times New Roman"/>
                <w:szCs w:val="21"/>
                <w:highlight w:val="none"/>
              </w:rPr>
            </w:pPr>
            <w:r>
              <w:rPr>
                <w:rFonts w:ascii="Times New Roman" w:hAnsi="Times New Roman"/>
                <w:szCs w:val="21"/>
                <w:highlight w:val="none"/>
              </w:rPr>
              <w:t>效率%</w:t>
            </w:r>
          </w:p>
        </w:tc>
        <w:tc>
          <w:tcPr>
            <w:tcW w:w="805" w:type="dxa"/>
            <w:noWrap w:val="0"/>
            <w:vAlign w:val="center"/>
          </w:tcPr>
          <w:p w14:paraId="445D50A5">
            <w:pPr>
              <w:pStyle w:val="42"/>
              <w:spacing w:before="81" w:after="81"/>
              <w:textAlignment w:val="center"/>
              <w:rPr>
                <w:rFonts w:ascii="Times New Roman" w:hAnsi="Times New Roman"/>
                <w:szCs w:val="21"/>
                <w:highlight w:val="none"/>
              </w:rPr>
            </w:pPr>
            <w:r>
              <w:rPr>
                <w:rFonts w:ascii="Times New Roman" w:hAnsi="Times New Roman"/>
                <w:szCs w:val="21"/>
                <w:highlight w:val="none"/>
              </w:rPr>
              <w:t>核算方法</w:t>
            </w:r>
          </w:p>
        </w:tc>
        <w:tc>
          <w:tcPr>
            <w:tcW w:w="1245" w:type="dxa"/>
            <w:noWrap w:val="0"/>
            <w:vAlign w:val="center"/>
          </w:tcPr>
          <w:p w14:paraId="17A510B0">
            <w:pPr>
              <w:pStyle w:val="42"/>
              <w:spacing w:before="81" w:after="81"/>
              <w:textAlignment w:val="center"/>
              <w:rPr>
                <w:rFonts w:ascii="Times New Roman" w:hAnsi="Times New Roman"/>
                <w:szCs w:val="21"/>
                <w:highlight w:val="none"/>
              </w:rPr>
            </w:pPr>
            <w:r>
              <w:rPr>
                <w:rFonts w:ascii="Times New Roman" w:hAnsi="Times New Roman"/>
                <w:szCs w:val="21"/>
                <w:highlight w:val="none"/>
              </w:rPr>
              <w:t>烟气量</w:t>
            </w:r>
          </w:p>
          <w:p w14:paraId="6232996F">
            <w:pPr>
              <w:pStyle w:val="42"/>
              <w:spacing w:before="81" w:after="81"/>
              <w:textAlignment w:val="center"/>
              <w:rPr>
                <w:rFonts w:ascii="Times New Roman" w:hAnsi="Times New Roman"/>
                <w:szCs w:val="21"/>
                <w:highlight w:val="none"/>
              </w:rPr>
            </w:pPr>
            <w:r>
              <w:rPr>
                <w:rFonts w:ascii="Times New Roman" w:hAnsi="Times New Roman"/>
                <w:szCs w:val="21"/>
                <w:highlight w:val="none"/>
              </w:rPr>
              <w:t>m</w:t>
            </w:r>
            <w:r>
              <w:rPr>
                <w:rFonts w:ascii="Times New Roman" w:hAnsi="Times New Roman"/>
                <w:szCs w:val="21"/>
                <w:highlight w:val="none"/>
                <w:vertAlign w:val="superscript"/>
              </w:rPr>
              <w:t>3</w:t>
            </w:r>
            <w:r>
              <w:rPr>
                <w:rFonts w:ascii="Times New Roman" w:hAnsi="Times New Roman"/>
                <w:szCs w:val="21"/>
                <w:highlight w:val="none"/>
              </w:rPr>
              <w:t>/h</w:t>
            </w:r>
          </w:p>
        </w:tc>
        <w:tc>
          <w:tcPr>
            <w:tcW w:w="936" w:type="dxa"/>
            <w:noWrap w:val="0"/>
            <w:vAlign w:val="center"/>
          </w:tcPr>
          <w:p w14:paraId="1B88D0E6">
            <w:pPr>
              <w:pStyle w:val="42"/>
              <w:spacing w:before="81" w:after="81"/>
              <w:textAlignment w:val="center"/>
              <w:rPr>
                <w:rFonts w:ascii="Times New Roman" w:hAnsi="Times New Roman"/>
                <w:szCs w:val="21"/>
                <w:highlight w:val="none"/>
              </w:rPr>
            </w:pPr>
            <w:r>
              <w:rPr>
                <w:rFonts w:ascii="Times New Roman" w:hAnsi="Times New Roman"/>
                <w:szCs w:val="21"/>
                <w:highlight w:val="none"/>
              </w:rPr>
              <w:t>排放</w:t>
            </w:r>
          </w:p>
          <w:p w14:paraId="2DC2E665">
            <w:pPr>
              <w:pStyle w:val="42"/>
              <w:spacing w:before="81" w:after="81"/>
              <w:textAlignment w:val="center"/>
              <w:rPr>
                <w:rFonts w:ascii="Times New Roman" w:hAnsi="Times New Roman"/>
                <w:szCs w:val="21"/>
                <w:highlight w:val="none"/>
              </w:rPr>
            </w:pPr>
            <w:r>
              <w:rPr>
                <w:rFonts w:ascii="Times New Roman" w:hAnsi="Times New Roman"/>
                <w:szCs w:val="21"/>
                <w:highlight w:val="none"/>
              </w:rPr>
              <w:t>浓度mg/m</w:t>
            </w:r>
            <w:r>
              <w:rPr>
                <w:rFonts w:ascii="Times New Roman" w:hAnsi="Times New Roman"/>
                <w:szCs w:val="21"/>
                <w:highlight w:val="none"/>
                <w:vertAlign w:val="superscript"/>
              </w:rPr>
              <w:t>3</w:t>
            </w:r>
          </w:p>
        </w:tc>
        <w:tc>
          <w:tcPr>
            <w:tcW w:w="951" w:type="dxa"/>
            <w:noWrap w:val="0"/>
            <w:vAlign w:val="center"/>
          </w:tcPr>
          <w:p w14:paraId="77134AA6">
            <w:pPr>
              <w:pStyle w:val="42"/>
              <w:spacing w:before="81" w:after="81"/>
              <w:textAlignment w:val="center"/>
              <w:rPr>
                <w:rFonts w:ascii="Times New Roman" w:hAnsi="Times New Roman"/>
                <w:szCs w:val="21"/>
                <w:highlight w:val="none"/>
              </w:rPr>
            </w:pPr>
            <w:r>
              <w:rPr>
                <w:rFonts w:ascii="Times New Roman" w:hAnsi="Times New Roman"/>
                <w:szCs w:val="21"/>
                <w:highlight w:val="none"/>
              </w:rPr>
              <w:t>排放量</w:t>
            </w:r>
          </w:p>
          <w:p w14:paraId="1E2AE39A">
            <w:pPr>
              <w:pStyle w:val="42"/>
              <w:spacing w:before="81" w:after="81"/>
              <w:textAlignment w:val="center"/>
              <w:rPr>
                <w:rFonts w:ascii="Times New Roman" w:hAnsi="Times New Roman"/>
                <w:szCs w:val="21"/>
                <w:highlight w:val="none"/>
              </w:rPr>
            </w:pPr>
            <w:r>
              <w:rPr>
                <w:rFonts w:ascii="Times New Roman" w:hAnsi="Times New Roman"/>
                <w:szCs w:val="21"/>
                <w:highlight w:val="none"/>
              </w:rPr>
              <w:t>kg/h</w:t>
            </w:r>
          </w:p>
        </w:tc>
        <w:tc>
          <w:tcPr>
            <w:tcW w:w="913" w:type="dxa"/>
            <w:vMerge w:val="continue"/>
            <w:noWrap w:val="0"/>
            <w:vAlign w:val="center"/>
          </w:tcPr>
          <w:p w14:paraId="6F126AB3">
            <w:pPr>
              <w:pStyle w:val="42"/>
              <w:spacing w:before="81" w:after="81"/>
              <w:textAlignment w:val="center"/>
              <w:rPr>
                <w:rFonts w:ascii="Times New Roman" w:hAnsi="Times New Roman"/>
                <w:szCs w:val="21"/>
                <w:highlight w:val="none"/>
              </w:rPr>
            </w:pPr>
          </w:p>
        </w:tc>
      </w:tr>
      <w:tr w14:paraId="18A734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restart"/>
            <w:noWrap w:val="0"/>
            <w:vAlign w:val="center"/>
          </w:tcPr>
          <w:p w14:paraId="47CA6278">
            <w:pPr>
              <w:pStyle w:val="42"/>
              <w:spacing w:before="81" w:after="81"/>
              <w:textAlignment w:val="center"/>
              <w:rPr>
                <w:rFonts w:ascii="Times New Roman" w:hAnsi="Times New Roman"/>
                <w:szCs w:val="21"/>
                <w:highlight w:val="none"/>
              </w:rPr>
            </w:pPr>
            <w:r>
              <w:rPr>
                <w:rFonts w:ascii="Times New Roman" w:hAnsi="Times New Roman"/>
                <w:szCs w:val="21"/>
                <w:highlight w:val="none"/>
              </w:rPr>
              <w:t>有组织废气</w:t>
            </w:r>
          </w:p>
        </w:tc>
        <w:tc>
          <w:tcPr>
            <w:tcW w:w="912" w:type="dxa"/>
            <w:vMerge w:val="restart"/>
            <w:noWrap w:val="0"/>
            <w:vAlign w:val="center"/>
          </w:tcPr>
          <w:p w14:paraId="5D627DC0">
            <w:pPr>
              <w:pStyle w:val="42"/>
              <w:spacing w:before="81" w:after="81"/>
              <w:textAlignment w:val="center"/>
              <w:rPr>
                <w:rFonts w:ascii="Times New Roman" w:hAnsi="Times New Roman"/>
                <w:szCs w:val="21"/>
                <w:highlight w:val="none"/>
              </w:rPr>
            </w:pPr>
            <w:r>
              <w:rPr>
                <w:rFonts w:hint="eastAsia" w:ascii="Times New Roman" w:hAnsi="Times New Roman"/>
                <w:szCs w:val="21"/>
                <w:highlight w:val="none"/>
                <w:lang w:val="en-US" w:eastAsia="zh-CN"/>
              </w:rPr>
              <w:t>116MW+58MW+35t/h</w:t>
            </w:r>
            <w:r>
              <w:rPr>
                <w:rFonts w:ascii="Times New Roman" w:hAnsi="Times New Roman"/>
                <w:szCs w:val="21"/>
                <w:highlight w:val="none"/>
              </w:rPr>
              <w:t>锅炉</w:t>
            </w:r>
          </w:p>
        </w:tc>
        <w:tc>
          <w:tcPr>
            <w:tcW w:w="748" w:type="dxa"/>
            <w:vMerge w:val="restart"/>
            <w:noWrap w:val="0"/>
            <w:vAlign w:val="center"/>
          </w:tcPr>
          <w:p w14:paraId="1EC46890">
            <w:pPr>
              <w:pStyle w:val="42"/>
              <w:spacing w:before="81" w:after="81"/>
              <w:textAlignment w:val="center"/>
              <w:rPr>
                <w:rFonts w:ascii="Times New Roman" w:hAnsi="Times New Roman"/>
                <w:szCs w:val="21"/>
                <w:highlight w:val="none"/>
              </w:rPr>
            </w:pPr>
            <w:r>
              <w:rPr>
                <w:rFonts w:hint="eastAsia" w:ascii="Times New Roman" w:hAnsi="Times New Roman"/>
                <w:szCs w:val="21"/>
                <w:highlight w:val="none"/>
                <w:lang w:val="en-US" w:eastAsia="zh-CN"/>
              </w:rPr>
              <w:t>60</w:t>
            </w:r>
            <w:r>
              <w:rPr>
                <w:rFonts w:ascii="Times New Roman" w:hAnsi="Times New Roman"/>
                <w:szCs w:val="21"/>
                <w:highlight w:val="none"/>
              </w:rPr>
              <w:t>m烟囱（正常工况）</w:t>
            </w:r>
          </w:p>
        </w:tc>
        <w:tc>
          <w:tcPr>
            <w:tcW w:w="737" w:type="dxa"/>
            <w:vMerge w:val="restart"/>
            <w:noWrap w:val="0"/>
            <w:vAlign w:val="center"/>
          </w:tcPr>
          <w:p w14:paraId="2DCBB49F">
            <w:pPr>
              <w:pStyle w:val="42"/>
              <w:spacing w:before="81" w:after="81"/>
              <w:textAlignment w:val="center"/>
              <w:rPr>
                <w:rFonts w:ascii="Times New Roman" w:hAnsi="Times New Roman"/>
                <w:szCs w:val="21"/>
                <w:highlight w:val="none"/>
              </w:rPr>
            </w:pPr>
            <w:r>
              <w:rPr>
                <w:rFonts w:hint="eastAsia" w:ascii="Times New Roman" w:hAnsi="Times New Roman"/>
                <w:szCs w:val="21"/>
                <w:highlight w:val="none"/>
              </w:rPr>
              <w:t>烟尘</w:t>
            </w:r>
          </w:p>
        </w:tc>
        <w:tc>
          <w:tcPr>
            <w:tcW w:w="660" w:type="dxa"/>
            <w:vMerge w:val="restart"/>
            <w:noWrap w:val="0"/>
            <w:vAlign w:val="center"/>
          </w:tcPr>
          <w:p w14:paraId="4E9B1917">
            <w:pPr>
              <w:pStyle w:val="42"/>
              <w:spacing w:before="81" w:after="81"/>
              <w:textAlignment w:val="center"/>
              <w:rPr>
                <w:rFonts w:ascii="Times New Roman" w:hAnsi="Times New Roman"/>
                <w:szCs w:val="21"/>
                <w:highlight w:val="none"/>
              </w:rPr>
            </w:pPr>
            <w:r>
              <w:rPr>
                <w:rFonts w:ascii="Times New Roman" w:hAnsi="Times New Roman"/>
                <w:szCs w:val="21"/>
                <w:highlight w:val="none"/>
              </w:rPr>
              <w:t>物料衡算法</w:t>
            </w:r>
          </w:p>
        </w:tc>
        <w:tc>
          <w:tcPr>
            <w:tcW w:w="1430" w:type="dxa"/>
            <w:noWrap w:val="0"/>
            <w:vAlign w:val="center"/>
          </w:tcPr>
          <w:p w14:paraId="629159A7">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264580（单独使用116MW锅炉）</w:t>
            </w:r>
          </w:p>
        </w:tc>
        <w:tc>
          <w:tcPr>
            <w:tcW w:w="1059" w:type="dxa"/>
            <w:noWrap w:val="0"/>
            <w:vAlign w:val="center"/>
          </w:tcPr>
          <w:p w14:paraId="1DE87A3E">
            <w:pPr>
              <w:pStyle w:val="42"/>
              <w:spacing w:before="81" w:after="81"/>
              <w:textAlignment w:val="center"/>
              <w:rPr>
                <w:rFonts w:hint="default" w:ascii="Times New Roman" w:hAnsi="Times New Roman" w:eastAsia="新宋体"/>
                <w:spacing w:val="-6"/>
                <w:szCs w:val="21"/>
                <w:highlight w:val="none"/>
                <w:lang w:val="en-US" w:eastAsia="zh-CN"/>
              </w:rPr>
            </w:pPr>
            <w:r>
              <w:rPr>
                <w:rFonts w:hint="eastAsia" w:ascii="Times New Roman" w:hAnsi="Times New Roman" w:eastAsia="宋体"/>
                <w:szCs w:val="21"/>
                <w:highlight w:val="none"/>
                <w:lang w:val="en-US" w:eastAsia="zh-CN"/>
              </w:rPr>
              <w:t>8048.04</w:t>
            </w:r>
          </w:p>
        </w:tc>
        <w:tc>
          <w:tcPr>
            <w:tcW w:w="887" w:type="dxa"/>
            <w:noWrap w:val="0"/>
            <w:vAlign w:val="center"/>
          </w:tcPr>
          <w:p w14:paraId="17CFCF7B">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eastAsia="宋体"/>
                <w:szCs w:val="21"/>
                <w:highlight w:val="none"/>
                <w:lang w:val="en-US" w:eastAsia="zh-CN"/>
              </w:rPr>
              <w:t>2130</w:t>
            </w:r>
          </w:p>
        </w:tc>
        <w:tc>
          <w:tcPr>
            <w:tcW w:w="1173" w:type="dxa"/>
            <w:vMerge w:val="restart"/>
            <w:noWrap w:val="0"/>
            <w:vAlign w:val="center"/>
          </w:tcPr>
          <w:p w14:paraId="71467B86">
            <w:pPr>
              <w:pStyle w:val="42"/>
              <w:spacing w:before="81" w:after="81"/>
              <w:textAlignment w:val="center"/>
              <w:rPr>
                <w:rFonts w:ascii="Times New Roman" w:hAnsi="Times New Roman"/>
                <w:szCs w:val="21"/>
                <w:highlight w:val="none"/>
              </w:rPr>
            </w:pPr>
            <w:r>
              <w:rPr>
                <w:rFonts w:ascii="Times New Roman" w:hAnsi="Times New Roman"/>
                <w:szCs w:val="21"/>
                <w:highlight w:val="none"/>
              </w:rPr>
              <w:t>布袋除尘器</w:t>
            </w:r>
          </w:p>
        </w:tc>
        <w:tc>
          <w:tcPr>
            <w:tcW w:w="874" w:type="dxa"/>
            <w:vMerge w:val="restart"/>
            <w:noWrap w:val="0"/>
            <w:vAlign w:val="center"/>
          </w:tcPr>
          <w:p w14:paraId="3B45BFEE">
            <w:pPr>
              <w:pStyle w:val="42"/>
              <w:spacing w:before="81" w:after="81"/>
              <w:textAlignment w:val="center"/>
              <w:rPr>
                <w:rFonts w:ascii="Times New Roman" w:hAnsi="Times New Roman"/>
                <w:szCs w:val="21"/>
                <w:highlight w:val="none"/>
              </w:rPr>
            </w:pPr>
            <w:r>
              <w:rPr>
                <w:rFonts w:ascii="Times New Roman" w:hAnsi="Times New Roman"/>
                <w:szCs w:val="21"/>
                <w:highlight w:val="none"/>
              </w:rPr>
              <w:t>99.96</w:t>
            </w:r>
          </w:p>
        </w:tc>
        <w:tc>
          <w:tcPr>
            <w:tcW w:w="805" w:type="dxa"/>
            <w:vMerge w:val="restart"/>
            <w:noWrap w:val="0"/>
            <w:vAlign w:val="center"/>
          </w:tcPr>
          <w:p w14:paraId="2E343884">
            <w:pPr>
              <w:pStyle w:val="42"/>
              <w:spacing w:before="81" w:after="81"/>
              <w:textAlignment w:val="center"/>
              <w:rPr>
                <w:rFonts w:ascii="Times New Roman" w:hAnsi="Times New Roman"/>
                <w:szCs w:val="21"/>
                <w:highlight w:val="none"/>
              </w:rPr>
            </w:pPr>
            <w:r>
              <w:rPr>
                <w:rFonts w:ascii="Times New Roman" w:hAnsi="Times New Roman"/>
                <w:szCs w:val="21"/>
                <w:highlight w:val="none"/>
              </w:rPr>
              <w:t>物料衡算法</w:t>
            </w:r>
          </w:p>
        </w:tc>
        <w:tc>
          <w:tcPr>
            <w:tcW w:w="1245" w:type="dxa"/>
            <w:noWrap w:val="0"/>
            <w:vAlign w:val="center"/>
          </w:tcPr>
          <w:p w14:paraId="6CD72E31">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264580</w:t>
            </w:r>
          </w:p>
        </w:tc>
        <w:tc>
          <w:tcPr>
            <w:tcW w:w="936" w:type="dxa"/>
            <w:noWrap w:val="0"/>
            <w:vAlign w:val="center"/>
          </w:tcPr>
          <w:p w14:paraId="730EFC3E">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3.23</w:t>
            </w:r>
          </w:p>
        </w:tc>
        <w:tc>
          <w:tcPr>
            <w:tcW w:w="951" w:type="dxa"/>
            <w:noWrap w:val="0"/>
            <w:vAlign w:val="center"/>
          </w:tcPr>
          <w:p w14:paraId="7873AFED">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0.85</w:t>
            </w:r>
          </w:p>
        </w:tc>
        <w:tc>
          <w:tcPr>
            <w:tcW w:w="913" w:type="dxa"/>
            <w:noWrap w:val="0"/>
            <w:vAlign w:val="center"/>
          </w:tcPr>
          <w:p w14:paraId="4DB1F09E">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384</w:t>
            </w:r>
          </w:p>
        </w:tc>
      </w:tr>
      <w:tr w14:paraId="4E6953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7ACB6026">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3842FAB2">
            <w:pPr>
              <w:pStyle w:val="42"/>
              <w:spacing w:before="81" w:after="81"/>
              <w:textAlignment w:val="center"/>
              <w:rPr>
                <w:rFonts w:hint="eastAsia" w:ascii="Times New Roman" w:hAnsi="Times New Roman"/>
                <w:szCs w:val="21"/>
                <w:highlight w:val="none"/>
                <w:lang w:val="en-US" w:eastAsia="zh-CN"/>
              </w:rPr>
            </w:pPr>
          </w:p>
        </w:tc>
        <w:tc>
          <w:tcPr>
            <w:tcW w:w="748" w:type="dxa"/>
            <w:vMerge w:val="continue"/>
            <w:noWrap w:val="0"/>
            <w:vAlign w:val="center"/>
          </w:tcPr>
          <w:p w14:paraId="5E6CE765">
            <w:pPr>
              <w:pStyle w:val="42"/>
              <w:spacing w:before="81" w:after="81"/>
              <w:textAlignment w:val="center"/>
              <w:rPr>
                <w:rFonts w:hint="eastAsia" w:ascii="Times New Roman" w:hAnsi="Times New Roman"/>
                <w:szCs w:val="21"/>
                <w:highlight w:val="none"/>
                <w:lang w:val="en-US" w:eastAsia="zh-CN"/>
              </w:rPr>
            </w:pPr>
          </w:p>
        </w:tc>
        <w:tc>
          <w:tcPr>
            <w:tcW w:w="737" w:type="dxa"/>
            <w:vMerge w:val="continue"/>
            <w:noWrap w:val="0"/>
            <w:vAlign w:val="center"/>
          </w:tcPr>
          <w:p w14:paraId="75E058F1">
            <w:pPr>
              <w:pStyle w:val="42"/>
              <w:spacing w:before="81" w:after="81"/>
              <w:textAlignment w:val="center"/>
              <w:rPr>
                <w:rFonts w:hint="eastAsia" w:ascii="Times New Roman" w:hAnsi="Times New Roman"/>
                <w:szCs w:val="21"/>
                <w:highlight w:val="none"/>
              </w:rPr>
            </w:pPr>
          </w:p>
        </w:tc>
        <w:tc>
          <w:tcPr>
            <w:tcW w:w="660" w:type="dxa"/>
            <w:vMerge w:val="continue"/>
            <w:noWrap w:val="0"/>
            <w:vAlign w:val="center"/>
          </w:tcPr>
          <w:p w14:paraId="3DC163BF">
            <w:pPr>
              <w:pStyle w:val="42"/>
              <w:spacing w:before="81" w:after="81"/>
              <w:textAlignment w:val="center"/>
              <w:rPr>
                <w:rFonts w:ascii="Times New Roman" w:hAnsi="Times New Roman"/>
                <w:szCs w:val="21"/>
                <w:highlight w:val="none"/>
              </w:rPr>
            </w:pPr>
          </w:p>
        </w:tc>
        <w:tc>
          <w:tcPr>
            <w:tcW w:w="1430" w:type="dxa"/>
            <w:noWrap w:val="0"/>
            <w:vAlign w:val="center"/>
          </w:tcPr>
          <w:p w14:paraId="3651B8C1">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114936（使用58MW+35t/h锅炉）</w:t>
            </w:r>
          </w:p>
        </w:tc>
        <w:tc>
          <w:tcPr>
            <w:tcW w:w="1059" w:type="dxa"/>
            <w:noWrap w:val="0"/>
            <w:vAlign w:val="center"/>
          </w:tcPr>
          <w:p w14:paraId="41FBD2C8">
            <w:pPr>
              <w:pStyle w:val="42"/>
              <w:spacing w:before="81" w:after="81"/>
              <w:textAlignment w:val="center"/>
              <w:rPr>
                <w:rFonts w:hint="eastAsia" w:ascii="Times New Roman" w:hAnsi="Times New Roman" w:eastAsia="宋体"/>
                <w:szCs w:val="21"/>
                <w:highlight w:val="none"/>
                <w:lang w:val="en-US" w:eastAsia="zh-CN"/>
              </w:rPr>
            </w:pPr>
            <w:r>
              <w:rPr>
                <w:rFonts w:hint="eastAsia" w:ascii="Times New Roman" w:hAnsi="Times New Roman" w:eastAsia="宋体"/>
                <w:szCs w:val="21"/>
                <w:highlight w:val="none"/>
                <w:lang w:val="en-US" w:eastAsia="zh-CN"/>
              </w:rPr>
              <w:t>8048.04</w:t>
            </w:r>
          </w:p>
        </w:tc>
        <w:tc>
          <w:tcPr>
            <w:tcW w:w="887" w:type="dxa"/>
            <w:noWrap w:val="0"/>
            <w:vAlign w:val="center"/>
          </w:tcPr>
          <w:p w14:paraId="4BA88592">
            <w:pPr>
              <w:pStyle w:val="42"/>
              <w:spacing w:before="81" w:after="81"/>
              <w:textAlignment w:val="center"/>
              <w:rPr>
                <w:rFonts w:hint="default" w:ascii="Times New Roman" w:hAnsi="Times New Roman" w:eastAsia="宋体"/>
                <w:szCs w:val="21"/>
                <w:highlight w:val="none"/>
                <w:lang w:val="en-US" w:eastAsia="zh-CN"/>
              </w:rPr>
            </w:pPr>
            <w:r>
              <w:rPr>
                <w:rFonts w:hint="eastAsia" w:ascii="Times New Roman" w:hAnsi="Times New Roman" w:eastAsia="宋体"/>
                <w:szCs w:val="21"/>
                <w:highlight w:val="none"/>
                <w:lang w:val="en-US" w:eastAsia="zh-CN"/>
              </w:rPr>
              <w:t>920</w:t>
            </w:r>
          </w:p>
        </w:tc>
        <w:tc>
          <w:tcPr>
            <w:tcW w:w="1173" w:type="dxa"/>
            <w:vMerge w:val="continue"/>
            <w:noWrap w:val="0"/>
            <w:vAlign w:val="center"/>
          </w:tcPr>
          <w:p w14:paraId="608E6ED3">
            <w:pPr>
              <w:pStyle w:val="42"/>
              <w:spacing w:before="81" w:after="81"/>
              <w:textAlignment w:val="center"/>
              <w:rPr>
                <w:rFonts w:ascii="Times New Roman" w:hAnsi="Times New Roman"/>
                <w:szCs w:val="21"/>
                <w:highlight w:val="none"/>
              </w:rPr>
            </w:pPr>
          </w:p>
        </w:tc>
        <w:tc>
          <w:tcPr>
            <w:tcW w:w="874" w:type="dxa"/>
            <w:vMerge w:val="continue"/>
            <w:noWrap w:val="0"/>
            <w:vAlign w:val="center"/>
          </w:tcPr>
          <w:p w14:paraId="3ED179F2">
            <w:pPr>
              <w:pStyle w:val="42"/>
              <w:spacing w:before="81" w:after="81"/>
              <w:textAlignment w:val="center"/>
              <w:rPr>
                <w:rFonts w:ascii="Times New Roman" w:hAnsi="Times New Roman"/>
                <w:szCs w:val="21"/>
                <w:highlight w:val="none"/>
              </w:rPr>
            </w:pPr>
          </w:p>
        </w:tc>
        <w:tc>
          <w:tcPr>
            <w:tcW w:w="805" w:type="dxa"/>
            <w:vMerge w:val="continue"/>
            <w:noWrap w:val="0"/>
            <w:vAlign w:val="center"/>
          </w:tcPr>
          <w:p w14:paraId="119B9BEE">
            <w:pPr>
              <w:pStyle w:val="42"/>
              <w:spacing w:before="81" w:after="81"/>
              <w:textAlignment w:val="center"/>
              <w:rPr>
                <w:rFonts w:ascii="Times New Roman" w:hAnsi="Times New Roman"/>
                <w:szCs w:val="21"/>
                <w:highlight w:val="none"/>
              </w:rPr>
            </w:pPr>
          </w:p>
        </w:tc>
        <w:tc>
          <w:tcPr>
            <w:tcW w:w="1245" w:type="dxa"/>
            <w:noWrap w:val="0"/>
            <w:vAlign w:val="center"/>
          </w:tcPr>
          <w:p w14:paraId="60249198">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114936</w:t>
            </w:r>
          </w:p>
        </w:tc>
        <w:tc>
          <w:tcPr>
            <w:tcW w:w="936" w:type="dxa"/>
            <w:noWrap w:val="0"/>
            <w:vAlign w:val="center"/>
          </w:tcPr>
          <w:p w14:paraId="45BC9EBA">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3.23</w:t>
            </w:r>
          </w:p>
        </w:tc>
        <w:tc>
          <w:tcPr>
            <w:tcW w:w="951" w:type="dxa"/>
            <w:noWrap w:val="0"/>
            <w:vAlign w:val="center"/>
          </w:tcPr>
          <w:p w14:paraId="6BAFCAFE">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0.36</w:t>
            </w:r>
          </w:p>
        </w:tc>
        <w:tc>
          <w:tcPr>
            <w:tcW w:w="913" w:type="dxa"/>
            <w:noWrap w:val="0"/>
            <w:vAlign w:val="center"/>
          </w:tcPr>
          <w:p w14:paraId="36A393A7">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2928</w:t>
            </w:r>
          </w:p>
        </w:tc>
      </w:tr>
      <w:tr w14:paraId="4540E6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0689FCB9">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40089B24">
            <w:pPr>
              <w:pStyle w:val="42"/>
              <w:spacing w:before="81" w:after="81"/>
              <w:textAlignment w:val="center"/>
              <w:rPr>
                <w:rFonts w:hint="eastAsia" w:ascii="Times New Roman" w:hAnsi="Times New Roman"/>
                <w:szCs w:val="21"/>
                <w:highlight w:val="none"/>
                <w:lang w:val="en-US" w:eastAsia="zh-CN"/>
              </w:rPr>
            </w:pPr>
          </w:p>
        </w:tc>
        <w:tc>
          <w:tcPr>
            <w:tcW w:w="748" w:type="dxa"/>
            <w:vMerge w:val="continue"/>
            <w:noWrap w:val="0"/>
            <w:vAlign w:val="center"/>
          </w:tcPr>
          <w:p w14:paraId="69571C63">
            <w:pPr>
              <w:pStyle w:val="42"/>
              <w:spacing w:before="81" w:after="81"/>
              <w:textAlignment w:val="center"/>
              <w:rPr>
                <w:rFonts w:hint="eastAsia" w:ascii="Times New Roman" w:hAnsi="Times New Roman"/>
                <w:szCs w:val="21"/>
                <w:highlight w:val="none"/>
                <w:lang w:val="en-US" w:eastAsia="zh-CN"/>
              </w:rPr>
            </w:pPr>
          </w:p>
        </w:tc>
        <w:tc>
          <w:tcPr>
            <w:tcW w:w="737" w:type="dxa"/>
            <w:vMerge w:val="continue"/>
            <w:noWrap w:val="0"/>
            <w:vAlign w:val="center"/>
          </w:tcPr>
          <w:p w14:paraId="437DCC1D">
            <w:pPr>
              <w:pStyle w:val="42"/>
              <w:spacing w:before="81" w:after="81"/>
              <w:textAlignment w:val="center"/>
              <w:rPr>
                <w:rFonts w:hint="eastAsia" w:ascii="Times New Roman" w:hAnsi="Times New Roman"/>
                <w:szCs w:val="21"/>
                <w:highlight w:val="none"/>
              </w:rPr>
            </w:pPr>
          </w:p>
        </w:tc>
        <w:tc>
          <w:tcPr>
            <w:tcW w:w="660" w:type="dxa"/>
            <w:vMerge w:val="continue"/>
            <w:noWrap w:val="0"/>
            <w:vAlign w:val="center"/>
          </w:tcPr>
          <w:p w14:paraId="6545AA95">
            <w:pPr>
              <w:pStyle w:val="42"/>
              <w:spacing w:before="81" w:after="81"/>
              <w:textAlignment w:val="center"/>
              <w:rPr>
                <w:rFonts w:ascii="Times New Roman" w:hAnsi="Times New Roman"/>
                <w:szCs w:val="21"/>
                <w:highlight w:val="none"/>
              </w:rPr>
            </w:pPr>
          </w:p>
        </w:tc>
        <w:tc>
          <w:tcPr>
            <w:tcW w:w="1430" w:type="dxa"/>
            <w:noWrap w:val="0"/>
            <w:vAlign w:val="center"/>
          </w:tcPr>
          <w:p w14:paraId="4C634595">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298648（使用116MW+35t/h锅炉）</w:t>
            </w:r>
          </w:p>
        </w:tc>
        <w:tc>
          <w:tcPr>
            <w:tcW w:w="1059" w:type="dxa"/>
            <w:noWrap w:val="0"/>
            <w:vAlign w:val="center"/>
          </w:tcPr>
          <w:p w14:paraId="776CA609">
            <w:pPr>
              <w:pStyle w:val="42"/>
              <w:spacing w:before="81" w:after="81"/>
              <w:textAlignment w:val="center"/>
              <w:rPr>
                <w:rFonts w:hint="eastAsia" w:ascii="Times New Roman" w:hAnsi="Times New Roman" w:eastAsia="宋体"/>
                <w:szCs w:val="21"/>
                <w:highlight w:val="none"/>
                <w:lang w:val="en-US" w:eastAsia="zh-CN"/>
              </w:rPr>
            </w:pPr>
            <w:r>
              <w:rPr>
                <w:rFonts w:hint="eastAsia" w:ascii="Times New Roman" w:hAnsi="Times New Roman" w:eastAsia="宋体"/>
                <w:szCs w:val="21"/>
                <w:highlight w:val="none"/>
                <w:lang w:val="en-US" w:eastAsia="zh-CN"/>
              </w:rPr>
              <w:t>8048.04</w:t>
            </w:r>
          </w:p>
        </w:tc>
        <w:tc>
          <w:tcPr>
            <w:tcW w:w="887" w:type="dxa"/>
            <w:noWrap w:val="0"/>
            <w:vAlign w:val="center"/>
          </w:tcPr>
          <w:p w14:paraId="4FA2E95A">
            <w:pPr>
              <w:pStyle w:val="42"/>
              <w:spacing w:before="81" w:after="81"/>
              <w:textAlignment w:val="center"/>
              <w:rPr>
                <w:rFonts w:hint="default" w:ascii="Times New Roman" w:hAnsi="Times New Roman" w:eastAsia="宋体"/>
                <w:szCs w:val="21"/>
                <w:highlight w:val="none"/>
                <w:lang w:val="en-US" w:eastAsia="zh-CN"/>
              </w:rPr>
            </w:pPr>
            <w:r>
              <w:rPr>
                <w:rFonts w:hint="eastAsia" w:ascii="Times New Roman" w:hAnsi="Times New Roman" w:eastAsia="宋体"/>
                <w:szCs w:val="21"/>
                <w:highlight w:val="none"/>
                <w:lang w:val="en-US" w:eastAsia="zh-CN"/>
              </w:rPr>
              <w:t>2400</w:t>
            </w:r>
          </w:p>
        </w:tc>
        <w:tc>
          <w:tcPr>
            <w:tcW w:w="1173" w:type="dxa"/>
            <w:vMerge w:val="continue"/>
            <w:noWrap w:val="0"/>
            <w:vAlign w:val="center"/>
          </w:tcPr>
          <w:p w14:paraId="20201104">
            <w:pPr>
              <w:pStyle w:val="42"/>
              <w:spacing w:before="81" w:after="81"/>
              <w:textAlignment w:val="center"/>
              <w:rPr>
                <w:rFonts w:ascii="Times New Roman" w:hAnsi="Times New Roman"/>
                <w:szCs w:val="21"/>
                <w:highlight w:val="none"/>
              </w:rPr>
            </w:pPr>
          </w:p>
        </w:tc>
        <w:tc>
          <w:tcPr>
            <w:tcW w:w="874" w:type="dxa"/>
            <w:vMerge w:val="continue"/>
            <w:noWrap w:val="0"/>
            <w:vAlign w:val="center"/>
          </w:tcPr>
          <w:p w14:paraId="54A6E9BC">
            <w:pPr>
              <w:pStyle w:val="42"/>
              <w:spacing w:before="81" w:after="81"/>
              <w:textAlignment w:val="center"/>
              <w:rPr>
                <w:rFonts w:ascii="Times New Roman" w:hAnsi="Times New Roman"/>
                <w:szCs w:val="21"/>
                <w:highlight w:val="none"/>
              </w:rPr>
            </w:pPr>
          </w:p>
        </w:tc>
        <w:tc>
          <w:tcPr>
            <w:tcW w:w="805" w:type="dxa"/>
            <w:vMerge w:val="continue"/>
            <w:noWrap w:val="0"/>
            <w:vAlign w:val="center"/>
          </w:tcPr>
          <w:p w14:paraId="60B9A95F">
            <w:pPr>
              <w:pStyle w:val="42"/>
              <w:spacing w:before="81" w:after="81"/>
              <w:textAlignment w:val="center"/>
              <w:rPr>
                <w:rFonts w:ascii="Times New Roman" w:hAnsi="Times New Roman"/>
                <w:szCs w:val="21"/>
                <w:highlight w:val="none"/>
              </w:rPr>
            </w:pPr>
          </w:p>
        </w:tc>
        <w:tc>
          <w:tcPr>
            <w:tcW w:w="1245" w:type="dxa"/>
            <w:noWrap w:val="0"/>
            <w:vAlign w:val="center"/>
          </w:tcPr>
          <w:p w14:paraId="7C58F6E9">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298648</w:t>
            </w:r>
          </w:p>
        </w:tc>
        <w:tc>
          <w:tcPr>
            <w:tcW w:w="936" w:type="dxa"/>
            <w:noWrap w:val="0"/>
            <w:vAlign w:val="center"/>
          </w:tcPr>
          <w:p w14:paraId="4EE31A34">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3.23</w:t>
            </w:r>
          </w:p>
        </w:tc>
        <w:tc>
          <w:tcPr>
            <w:tcW w:w="951" w:type="dxa"/>
            <w:noWrap w:val="0"/>
            <w:vAlign w:val="center"/>
          </w:tcPr>
          <w:p w14:paraId="04350C71">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0.95</w:t>
            </w:r>
          </w:p>
        </w:tc>
        <w:tc>
          <w:tcPr>
            <w:tcW w:w="913" w:type="dxa"/>
            <w:noWrap w:val="0"/>
            <w:vAlign w:val="center"/>
          </w:tcPr>
          <w:p w14:paraId="5DC5328E">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864</w:t>
            </w:r>
          </w:p>
        </w:tc>
      </w:tr>
      <w:tr w14:paraId="1556CC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0FA90E73">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0D68441D">
            <w:pPr>
              <w:pStyle w:val="42"/>
              <w:spacing w:before="81" w:after="81"/>
              <w:textAlignment w:val="center"/>
              <w:rPr>
                <w:rFonts w:hint="eastAsia" w:ascii="Times New Roman" w:hAnsi="Times New Roman"/>
                <w:szCs w:val="21"/>
                <w:highlight w:val="none"/>
                <w:lang w:val="en-US" w:eastAsia="zh-CN"/>
              </w:rPr>
            </w:pPr>
          </w:p>
        </w:tc>
        <w:tc>
          <w:tcPr>
            <w:tcW w:w="748" w:type="dxa"/>
            <w:vMerge w:val="continue"/>
            <w:noWrap w:val="0"/>
            <w:vAlign w:val="center"/>
          </w:tcPr>
          <w:p w14:paraId="430AAE6D">
            <w:pPr>
              <w:pStyle w:val="42"/>
              <w:spacing w:before="81" w:after="81"/>
              <w:textAlignment w:val="center"/>
              <w:rPr>
                <w:rFonts w:hint="eastAsia" w:ascii="Times New Roman" w:hAnsi="Times New Roman"/>
                <w:szCs w:val="21"/>
                <w:highlight w:val="none"/>
                <w:lang w:val="en-US" w:eastAsia="zh-CN"/>
              </w:rPr>
            </w:pPr>
          </w:p>
        </w:tc>
        <w:tc>
          <w:tcPr>
            <w:tcW w:w="737" w:type="dxa"/>
            <w:vMerge w:val="continue"/>
            <w:noWrap w:val="0"/>
            <w:vAlign w:val="center"/>
          </w:tcPr>
          <w:p w14:paraId="77BDF02E">
            <w:pPr>
              <w:pStyle w:val="42"/>
              <w:spacing w:before="81" w:after="81"/>
              <w:textAlignment w:val="center"/>
              <w:rPr>
                <w:rFonts w:hint="eastAsia" w:ascii="Times New Roman" w:hAnsi="Times New Roman"/>
                <w:szCs w:val="21"/>
                <w:highlight w:val="none"/>
              </w:rPr>
            </w:pPr>
          </w:p>
        </w:tc>
        <w:tc>
          <w:tcPr>
            <w:tcW w:w="660" w:type="dxa"/>
            <w:vMerge w:val="continue"/>
            <w:noWrap w:val="0"/>
            <w:vAlign w:val="center"/>
          </w:tcPr>
          <w:p w14:paraId="67B05D61">
            <w:pPr>
              <w:pStyle w:val="42"/>
              <w:spacing w:before="81" w:after="81"/>
              <w:textAlignment w:val="center"/>
              <w:rPr>
                <w:rFonts w:ascii="Times New Roman" w:hAnsi="Times New Roman"/>
                <w:szCs w:val="21"/>
                <w:highlight w:val="none"/>
              </w:rPr>
            </w:pPr>
          </w:p>
        </w:tc>
        <w:tc>
          <w:tcPr>
            <w:tcW w:w="1430" w:type="dxa"/>
            <w:noWrap w:val="0"/>
            <w:vAlign w:val="center"/>
          </w:tcPr>
          <w:p w14:paraId="00ADA8C5">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80864（使用58MW锅炉）</w:t>
            </w:r>
          </w:p>
        </w:tc>
        <w:tc>
          <w:tcPr>
            <w:tcW w:w="1059" w:type="dxa"/>
            <w:noWrap w:val="0"/>
            <w:vAlign w:val="center"/>
          </w:tcPr>
          <w:p w14:paraId="7276C7CA">
            <w:pPr>
              <w:pStyle w:val="42"/>
              <w:spacing w:before="81" w:after="81"/>
              <w:textAlignment w:val="center"/>
              <w:rPr>
                <w:rFonts w:hint="eastAsia" w:ascii="Times New Roman" w:hAnsi="Times New Roman" w:eastAsia="宋体"/>
                <w:szCs w:val="21"/>
                <w:highlight w:val="none"/>
                <w:lang w:val="en-US" w:eastAsia="zh-CN"/>
              </w:rPr>
            </w:pPr>
            <w:r>
              <w:rPr>
                <w:rFonts w:hint="eastAsia" w:ascii="Times New Roman" w:hAnsi="Times New Roman" w:eastAsia="宋体"/>
                <w:szCs w:val="21"/>
                <w:highlight w:val="none"/>
                <w:lang w:val="en-US" w:eastAsia="zh-CN"/>
              </w:rPr>
              <w:t>8048.04</w:t>
            </w:r>
          </w:p>
        </w:tc>
        <w:tc>
          <w:tcPr>
            <w:tcW w:w="887" w:type="dxa"/>
            <w:noWrap w:val="0"/>
            <w:vAlign w:val="center"/>
          </w:tcPr>
          <w:p w14:paraId="03D89DAB">
            <w:pPr>
              <w:pStyle w:val="42"/>
              <w:spacing w:before="81" w:after="81"/>
              <w:textAlignment w:val="center"/>
              <w:rPr>
                <w:rFonts w:hint="default" w:ascii="Times New Roman" w:hAnsi="Times New Roman" w:eastAsia="宋体"/>
                <w:szCs w:val="21"/>
                <w:highlight w:val="none"/>
                <w:lang w:val="en-US" w:eastAsia="zh-CN"/>
              </w:rPr>
            </w:pPr>
            <w:r>
              <w:rPr>
                <w:rFonts w:hint="eastAsia" w:ascii="Times New Roman" w:hAnsi="Times New Roman" w:eastAsia="宋体"/>
                <w:szCs w:val="21"/>
                <w:highlight w:val="none"/>
                <w:lang w:val="en-US" w:eastAsia="zh-CN"/>
              </w:rPr>
              <w:t>650</w:t>
            </w:r>
          </w:p>
        </w:tc>
        <w:tc>
          <w:tcPr>
            <w:tcW w:w="1173" w:type="dxa"/>
            <w:vMerge w:val="continue"/>
            <w:noWrap w:val="0"/>
            <w:vAlign w:val="center"/>
          </w:tcPr>
          <w:p w14:paraId="65612EC5">
            <w:pPr>
              <w:pStyle w:val="42"/>
              <w:spacing w:before="81" w:after="81"/>
              <w:textAlignment w:val="center"/>
              <w:rPr>
                <w:rFonts w:ascii="Times New Roman" w:hAnsi="Times New Roman"/>
                <w:szCs w:val="21"/>
                <w:highlight w:val="none"/>
              </w:rPr>
            </w:pPr>
          </w:p>
        </w:tc>
        <w:tc>
          <w:tcPr>
            <w:tcW w:w="874" w:type="dxa"/>
            <w:vMerge w:val="continue"/>
            <w:noWrap w:val="0"/>
            <w:vAlign w:val="center"/>
          </w:tcPr>
          <w:p w14:paraId="743428F0">
            <w:pPr>
              <w:pStyle w:val="42"/>
              <w:spacing w:before="81" w:after="81"/>
              <w:textAlignment w:val="center"/>
              <w:rPr>
                <w:rFonts w:ascii="Times New Roman" w:hAnsi="Times New Roman"/>
                <w:szCs w:val="21"/>
                <w:highlight w:val="none"/>
              </w:rPr>
            </w:pPr>
          </w:p>
        </w:tc>
        <w:tc>
          <w:tcPr>
            <w:tcW w:w="805" w:type="dxa"/>
            <w:vMerge w:val="continue"/>
            <w:noWrap w:val="0"/>
            <w:vAlign w:val="center"/>
          </w:tcPr>
          <w:p w14:paraId="15F41A67">
            <w:pPr>
              <w:pStyle w:val="42"/>
              <w:spacing w:before="81" w:after="81"/>
              <w:textAlignment w:val="center"/>
              <w:rPr>
                <w:rFonts w:ascii="Times New Roman" w:hAnsi="Times New Roman"/>
                <w:szCs w:val="21"/>
                <w:highlight w:val="none"/>
              </w:rPr>
            </w:pPr>
          </w:p>
        </w:tc>
        <w:tc>
          <w:tcPr>
            <w:tcW w:w="1245" w:type="dxa"/>
            <w:noWrap w:val="0"/>
            <w:vAlign w:val="center"/>
          </w:tcPr>
          <w:p w14:paraId="07025690">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80864</w:t>
            </w:r>
          </w:p>
        </w:tc>
        <w:tc>
          <w:tcPr>
            <w:tcW w:w="936" w:type="dxa"/>
            <w:noWrap w:val="0"/>
            <w:vAlign w:val="center"/>
          </w:tcPr>
          <w:p w14:paraId="239102A7">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3.23</w:t>
            </w:r>
          </w:p>
        </w:tc>
        <w:tc>
          <w:tcPr>
            <w:tcW w:w="951" w:type="dxa"/>
            <w:noWrap w:val="0"/>
            <w:vAlign w:val="center"/>
          </w:tcPr>
          <w:p w14:paraId="34E5865E">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0.26</w:t>
            </w:r>
          </w:p>
        </w:tc>
        <w:tc>
          <w:tcPr>
            <w:tcW w:w="913" w:type="dxa"/>
            <w:noWrap w:val="0"/>
            <w:vAlign w:val="center"/>
          </w:tcPr>
          <w:p w14:paraId="014F7AA6">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720</w:t>
            </w:r>
          </w:p>
        </w:tc>
      </w:tr>
      <w:tr w14:paraId="7ADD71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19683580">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1B9B4405">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75506565">
            <w:pPr>
              <w:pStyle w:val="42"/>
              <w:spacing w:before="81" w:after="81"/>
              <w:textAlignment w:val="center"/>
              <w:rPr>
                <w:rFonts w:ascii="Times New Roman" w:hAnsi="Times New Roman"/>
                <w:szCs w:val="21"/>
                <w:highlight w:val="none"/>
              </w:rPr>
            </w:pPr>
          </w:p>
        </w:tc>
        <w:tc>
          <w:tcPr>
            <w:tcW w:w="737" w:type="dxa"/>
            <w:vMerge w:val="restart"/>
            <w:noWrap w:val="0"/>
            <w:vAlign w:val="center"/>
          </w:tcPr>
          <w:p w14:paraId="76E20F07">
            <w:pPr>
              <w:pStyle w:val="42"/>
              <w:spacing w:before="81" w:after="81"/>
              <w:textAlignment w:val="center"/>
              <w:rPr>
                <w:rFonts w:ascii="Times New Roman" w:hAnsi="Times New Roman"/>
                <w:szCs w:val="21"/>
                <w:highlight w:val="none"/>
              </w:rPr>
            </w:pPr>
            <w:r>
              <w:rPr>
                <w:rFonts w:ascii="Times New Roman" w:hAnsi="Times New Roman"/>
                <w:szCs w:val="21"/>
                <w:highlight w:val="none"/>
              </w:rPr>
              <w:t>SO</w:t>
            </w:r>
            <w:r>
              <w:rPr>
                <w:rFonts w:ascii="Times New Roman" w:hAnsi="Times New Roman"/>
                <w:szCs w:val="21"/>
                <w:highlight w:val="none"/>
                <w:vertAlign w:val="subscript"/>
              </w:rPr>
              <w:t>2</w:t>
            </w:r>
          </w:p>
        </w:tc>
        <w:tc>
          <w:tcPr>
            <w:tcW w:w="660" w:type="dxa"/>
            <w:vMerge w:val="continue"/>
            <w:noWrap w:val="0"/>
            <w:vAlign w:val="center"/>
          </w:tcPr>
          <w:p w14:paraId="734EBAD7">
            <w:pPr>
              <w:pStyle w:val="42"/>
              <w:spacing w:before="81" w:after="81"/>
              <w:textAlignment w:val="center"/>
              <w:rPr>
                <w:rFonts w:ascii="Times New Roman" w:hAnsi="Times New Roman"/>
                <w:szCs w:val="21"/>
                <w:highlight w:val="none"/>
              </w:rPr>
            </w:pPr>
          </w:p>
        </w:tc>
        <w:tc>
          <w:tcPr>
            <w:tcW w:w="1430" w:type="dxa"/>
            <w:noWrap w:val="0"/>
            <w:vAlign w:val="center"/>
          </w:tcPr>
          <w:p w14:paraId="1C5B404E">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264580（单独使用116MW锅炉）</w:t>
            </w:r>
          </w:p>
        </w:tc>
        <w:tc>
          <w:tcPr>
            <w:tcW w:w="1059" w:type="dxa"/>
            <w:noWrap w:val="0"/>
            <w:vAlign w:val="center"/>
          </w:tcPr>
          <w:p w14:paraId="78B9B94B">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324.882</w:t>
            </w:r>
          </w:p>
        </w:tc>
        <w:tc>
          <w:tcPr>
            <w:tcW w:w="887" w:type="dxa"/>
            <w:noWrap w:val="0"/>
            <w:vAlign w:val="center"/>
          </w:tcPr>
          <w:p w14:paraId="683DBA9B">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86</w:t>
            </w:r>
          </w:p>
        </w:tc>
        <w:tc>
          <w:tcPr>
            <w:tcW w:w="1173" w:type="dxa"/>
            <w:vMerge w:val="restart"/>
            <w:noWrap w:val="0"/>
            <w:vAlign w:val="center"/>
          </w:tcPr>
          <w:p w14:paraId="21ACCD1D">
            <w:pPr>
              <w:pStyle w:val="42"/>
              <w:spacing w:before="81" w:after="81"/>
              <w:textAlignment w:val="center"/>
              <w:rPr>
                <w:rFonts w:ascii="Times New Roman" w:hAnsi="Times New Roman"/>
                <w:szCs w:val="21"/>
                <w:highlight w:val="none"/>
              </w:rPr>
            </w:pPr>
            <w:r>
              <w:rPr>
                <w:rFonts w:ascii="Times New Roman" w:hAnsi="Times New Roman"/>
                <w:szCs w:val="21"/>
                <w:highlight w:val="none"/>
              </w:rPr>
              <w:t>石灰石/石膏法</w:t>
            </w:r>
          </w:p>
        </w:tc>
        <w:tc>
          <w:tcPr>
            <w:tcW w:w="874" w:type="dxa"/>
            <w:vMerge w:val="restart"/>
            <w:noWrap w:val="0"/>
            <w:vAlign w:val="center"/>
          </w:tcPr>
          <w:p w14:paraId="6904C51A">
            <w:pPr>
              <w:pStyle w:val="42"/>
              <w:spacing w:before="81" w:after="81"/>
              <w:textAlignment w:val="center"/>
              <w:rPr>
                <w:rFonts w:ascii="Times New Roman" w:hAnsi="Times New Roman"/>
                <w:szCs w:val="21"/>
                <w:highlight w:val="none"/>
              </w:rPr>
            </w:pPr>
            <w:r>
              <w:rPr>
                <w:rFonts w:ascii="Times New Roman" w:hAnsi="Times New Roman"/>
                <w:szCs w:val="21"/>
                <w:highlight w:val="none"/>
              </w:rPr>
              <w:t>97</w:t>
            </w:r>
          </w:p>
        </w:tc>
        <w:tc>
          <w:tcPr>
            <w:tcW w:w="805" w:type="dxa"/>
            <w:vMerge w:val="continue"/>
            <w:noWrap w:val="0"/>
            <w:vAlign w:val="center"/>
          </w:tcPr>
          <w:p w14:paraId="503A848C">
            <w:pPr>
              <w:pStyle w:val="42"/>
              <w:spacing w:before="81" w:after="81"/>
              <w:textAlignment w:val="center"/>
              <w:rPr>
                <w:rFonts w:ascii="Times New Roman" w:hAnsi="Times New Roman"/>
                <w:szCs w:val="21"/>
                <w:highlight w:val="none"/>
              </w:rPr>
            </w:pPr>
          </w:p>
        </w:tc>
        <w:tc>
          <w:tcPr>
            <w:tcW w:w="1245" w:type="dxa"/>
            <w:noWrap w:val="0"/>
            <w:vAlign w:val="center"/>
          </w:tcPr>
          <w:p w14:paraId="238DFBCD">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264580</w:t>
            </w:r>
          </w:p>
        </w:tc>
        <w:tc>
          <w:tcPr>
            <w:tcW w:w="936" w:type="dxa"/>
            <w:noWrap w:val="0"/>
            <w:vAlign w:val="center"/>
          </w:tcPr>
          <w:p w14:paraId="5C9064B9">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9.746</w:t>
            </w:r>
          </w:p>
        </w:tc>
        <w:tc>
          <w:tcPr>
            <w:tcW w:w="951" w:type="dxa"/>
            <w:noWrap w:val="0"/>
            <w:vAlign w:val="center"/>
          </w:tcPr>
          <w:p w14:paraId="6D67EC23">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2.58</w:t>
            </w:r>
          </w:p>
        </w:tc>
        <w:tc>
          <w:tcPr>
            <w:tcW w:w="913" w:type="dxa"/>
            <w:noWrap w:val="0"/>
            <w:vAlign w:val="center"/>
          </w:tcPr>
          <w:p w14:paraId="63D9A619">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384</w:t>
            </w:r>
          </w:p>
        </w:tc>
      </w:tr>
      <w:tr w14:paraId="03D036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428ABFA5">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565FAFE5">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3A0372CC">
            <w:pPr>
              <w:pStyle w:val="42"/>
              <w:spacing w:before="81" w:after="81"/>
              <w:textAlignment w:val="center"/>
              <w:rPr>
                <w:rFonts w:ascii="Times New Roman" w:hAnsi="Times New Roman"/>
                <w:szCs w:val="21"/>
                <w:highlight w:val="none"/>
              </w:rPr>
            </w:pPr>
          </w:p>
        </w:tc>
        <w:tc>
          <w:tcPr>
            <w:tcW w:w="737" w:type="dxa"/>
            <w:vMerge w:val="continue"/>
            <w:noWrap w:val="0"/>
            <w:vAlign w:val="center"/>
          </w:tcPr>
          <w:p w14:paraId="34D7AD97">
            <w:pPr>
              <w:pStyle w:val="42"/>
              <w:spacing w:before="81" w:after="81"/>
              <w:textAlignment w:val="center"/>
              <w:rPr>
                <w:rFonts w:ascii="Times New Roman" w:hAnsi="Times New Roman"/>
                <w:szCs w:val="21"/>
                <w:highlight w:val="none"/>
              </w:rPr>
            </w:pPr>
          </w:p>
        </w:tc>
        <w:tc>
          <w:tcPr>
            <w:tcW w:w="660" w:type="dxa"/>
            <w:vMerge w:val="continue"/>
            <w:noWrap w:val="0"/>
            <w:vAlign w:val="center"/>
          </w:tcPr>
          <w:p w14:paraId="6A42A290">
            <w:pPr>
              <w:pStyle w:val="42"/>
              <w:spacing w:before="81" w:after="81"/>
              <w:textAlignment w:val="center"/>
              <w:rPr>
                <w:rFonts w:ascii="Times New Roman" w:hAnsi="Times New Roman"/>
                <w:szCs w:val="21"/>
                <w:highlight w:val="none"/>
              </w:rPr>
            </w:pPr>
          </w:p>
        </w:tc>
        <w:tc>
          <w:tcPr>
            <w:tcW w:w="1430" w:type="dxa"/>
            <w:noWrap w:val="0"/>
            <w:vAlign w:val="center"/>
          </w:tcPr>
          <w:p w14:paraId="495737C3">
            <w:pPr>
              <w:pStyle w:val="42"/>
              <w:spacing w:before="81" w:after="81"/>
              <w:ind w:firstLine="0" w:firstLineChars="0"/>
              <w:textAlignment w:val="center"/>
              <w:rPr>
                <w:rFonts w:hint="default" w:ascii="Times New Roman" w:hAnsi="Times New Roman"/>
                <w:szCs w:val="21"/>
                <w:highlight w:val="none"/>
                <w:lang w:val="en-US"/>
              </w:rPr>
            </w:pPr>
            <w:r>
              <w:rPr>
                <w:rFonts w:hint="eastAsia" w:ascii="Times New Roman" w:hAnsi="Times New Roman"/>
                <w:szCs w:val="21"/>
                <w:highlight w:val="none"/>
                <w:lang w:val="en-US" w:eastAsia="zh-CN"/>
              </w:rPr>
              <w:t>114936（使用58MW+35t/h锅炉）</w:t>
            </w:r>
          </w:p>
        </w:tc>
        <w:tc>
          <w:tcPr>
            <w:tcW w:w="1059" w:type="dxa"/>
            <w:noWrap w:val="0"/>
            <w:vAlign w:val="center"/>
          </w:tcPr>
          <w:p w14:paraId="113F03BE">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324.882</w:t>
            </w:r>
          </w:p>
        </w:tc>
        <w:tc>
          <w:tcPr>
            <w:tcW w:w="887" w:type="dxa"/>
            <w:noWrap w:val="0"/>
            <w:vAlign w:val="center"/>
          </w:tcPr>
          <w:p w14:paraId="6E4B2101">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37</w:t>
            </w:r>
          </w:p>
        </w:tc>
        <w:tc>
          <w:tcPr>
            <w:tcW w:w="1173" w:type="dxa"/>
            <w:vMerge w:val="continue"/>
            <w:noWrap w:val="0"/>
            <w:vAlign w:val="center"/>
          </w:tcPr>
          <w:p w14:paraId="0E816F28">
            <w:pPr>
              <w:pStyle w:val="42"/>
              <w:spacing w:before="81" w:after="81"/>
              <w:textAlignment w:val="center"/>
              <w:rPr>
                <w:rFonts w:ascii="Times New Roman" w:hAnsi="Times New Roman"/>
                <w:szCs w:val="21"/>
                <w:highlight w:val="none"/>
              </w:rPr>
            </w:pPr>
          </w:p>
        </w:tc>
        <w:tc>
          <w:tcPr>
            <w:tcW w:w="874" w:type="dxa"/>
            <w:vMerge w:val="continue"/>
            <w:noWrap w:val="0"/>
            <w:vAlign w:val="center"/>
          </w:tcPr>
          <w:p w14:paraId="5914345D">
            <w:pPr>
              <w:pStyle w:val="42"/>
              <w:spacing w:before="81" w:after="81"/>
              <w:textAlignment w:val="center"/>
              <w:rPr>
                <w:rFonts w:ascii="Times New Roman" w:hAnsi="Times New Roman"/>
                <w:szCs w:val="21"/>
                <w:highlight w:val="none"/>
              </w:rPr>
            </w:pPr>
          </w:p>
        </w:tc>
        <w:tc>
          <w:tcPr>
            <w:tcW w:w="805" w:type="dxa"/>
            <w:vMerge w:val="continue"/>
            <w:noWrap w:val="0"/>
            <w:vAlign w:val="center"/>
          </w:tcPr>
          <w:p w14:paraId="2FF8FCA8">
            <w:pPr>
              <w:pStyle w:val="42"/>
              <w:spacing w:before="81" w:after="81"/>
              <w:textAlignment w:val="center"/>
              <w:rPr>
                <w:rFonts w:ascii="Times New Roman" w:hAnsi="Times New Roman"/>
                <w:szCs w:val="21"/>
                <w:highlight w:val="none"/>
              </w:rPr>
            </w:pPr>
          </w:p>
        </w:tc>
        <w:tc>
          <w:tcPr>
            <w:tcW w:w="1245" w:type="dxa"/>
            <w:noWrap w:val="0"/>
            <w:vAlign w:val="center"/>
          </w:tcPr>
          <w:p w14:paraId="08EF05B3">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114936</w:t>
            </w:r>
          </w:p>
        </w:tc>
        <w:tc>
          <w:tcPr>
            <w:tcW w:w="936" w:type="dxa"/>
            <w:noWrap w:val="0"/>
            <w:vAlign w:val="center"/>
          </w:tcPr>
          <w:p w14:paraId="594E81FE">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9.746</w:t>
            </w:r>
          </w:p>
        </w:tc>
        <w:tc>
          <w:tcPr>
            <w:tcW w:w="951" w:type="dxa"/>
            <w:noWrap w:val="0"/>
            <w:vAlign w:val="center"/>
          </w:tcPr>
          <w:p w14:paraId="2793396C">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1.12</w:t>
            </w:r>
          </w:p>
        </w:tc>
        <w:tc>
          <w:tcPr>
            <w:tcW w:w="913" w:type="dxa"/>
            <w:noWrap w:val="0"/>
            <w:vAlign w:val="center"/>
          </w:tcPr>
          <w:p w14:paraId="4F357B16">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2928</w:t>
            </w:r>
          </w:p>
        </w:tc>
      </w:tr>
      <w:tr w14:paraId="20A526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2143332B">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1A4EEE0F">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39366237">
            <w:pPr>
              <w:pStyle w:val="42"/>
              <w:spacing w:before="81" w:after="81"/>
              <w:textAlignment w:val="center"/>
              <w:rPr>
                <w:rFonts w:ascii="Times New Roman" w:hAnsi="Times New Roman"/>
                <w:szCs w:val="21"/>
                <w:highlight w:val="none"/>
              </w:rPr>
            </w:pPr>
          </w:p>
        </w:tc>
        <w:tc>
          <w:tcPr>
            <w:tcW w:w="737" w:type="dxa"/>
            <w:vMerge w:val="continue"/>
            <w:noWrap w:val="0"/>
            <w:vAlign w:val="center"/>
          </w:tcPr>
          <w:p w14:paraId="2A88174F">
            <w:pPr>
              <w:pStyle w:val="42"/>
              <w:spacing w:before="81" w:after="81"/>
              <w:textAlignment w:val="center"/>
              <w:rPr>
                <w:rFonts w:ascii="Times New Roman" w:hAnsi="Times New Roman"/>
                <w:szCs w:val="21"/>
                <w:highlight w:val="none"/>
              </w:rPr>
            </w:pPr>
          </w:p>
        </w:tc>
        <w:tc>
          <w:tcPr>
            <w:tcW w:w="660" w:type="dxa"/>
            <w:vMerge w:val="continue"/>
            <w:noWrap w:val="0"/>
            <w:vAlign w:val="center"/>
          </w:tcPr>
          <w:p w14:paraId="16AC7078">
            <w:pPr>
              <w:pStyle w:val="42"/>
              <w:spacing w:before="81" w:after="81"/>
              <w:textAlignment w:val="center"/>
              <w:rPr>
                <w:rFonts w:ascii="Times New Roman" w:hAnsi="Times New Roman"/>
                <w:szCs w:val="21"/>
                <w:highlight w:val="none"/>
              </w:rPr>
            </w:pPr>
          </w:p>
        </w:tc>
        <w:tc>
          <w:tcPr>
            <w:tcW w:w="1430" w:type="dxa"/>
            <w:noWrap w:val="0"/>
            <w:vAlign w:val="center"/>
          </w:tcPr>
          <w:p w14:paraId="7E9491A5">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298648（使用116MW+35t/h锅炉）</w:t>
            </w:r>
          </w:p>
        </w:tc>
        <w:tc>
          <w:tcPr>
            <w:tcW w:w="1059" w:type="dxa"/>
            <w:noWrap w:val="0"/>
            <w:vAlign w:val="center"/>
          </w:tcPr>
          <w:p w14:paraId="28DD6FDB">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324.882</w:t>
            </w:r>
          </w:p>
        </w:tc>
        <w:tc>
          <w:tcPr>
            <w:tcW w:w="887" w:type="dxa"/>
            <w:noWrap w:val="0"/>
            <w:vAlign w:val="center"/>
          </w:tcPr>
          <w:p w14:paraId="3F8EE565">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97</w:t>
            </w:r>
          </w:p>
        </w:tc>
        <w:tc>
          <w:tcPr>
            <w:tcW w:w="1173" w:type="dxa"/>
            <w:vMerge w:val="continue"/>
            <w:noWrap w:val="0"/>
            <w:vAlign w:val="center"/>
          </w:tcPr>
          <w:p w14:paraId="3FB854D5">
            <w:pPr>
              <w:pStyle w:val="42"/>
              <w:spacing w:before="81" w:after="81"/>
              <w:textAlignment w:val="center"/>
              <w:rPr>
                <w:rFonts w:ascii="Times New Roman" w:hAnsi="Times New Roman"/>
                <w:szCs w:val="21"/>
                <w:highlight w:val="none"/>
              </w:rPr>
            </w:pPr>
          </w:p>
        </w:tc>
        <w:tc>
          <w:tcPr>
            <w:tcW w:w="874" w:type="dxa"/>
            <w:vMerge w:val="continue"/>
            <w:noWrap w:val="0"/>
            <w:vAlign w:val="center"/>
          </w:tcPr>
          <w:p w14:paraId="05ECD1BF">
            <w:pPr>
              <w:pStyle w:val="42"/>
              <w:spacing w:before="81" w:after="81"/>
              <w:textAlignment w:val="center"/>
              <w:rPr>
                <w:rFonts w:ascii="Times New Roman" w:hAnsi="Times New Roman"/>
                <w:szCs w:val="21"/>
                <w:highlight w:val="none"/>
              </w:rPr>
            </w:pPr>
          </w:p>
        </w:tc>
        <w:tc>
          <w:tcPr>
            <w:tcW w:w="805" w:type="dxa"/>
            <w:vMerge w:val="continue"/>
            <w:noWrap w:val="0"/>
            <w:vAlign w:val="center"/>
          </w:tcPr>
          <w:p w14:paraId="2AF64382">
            <w:pPr>
              <w:pStyle w:val="42"/>
              <w:spacing w:before="81" w:after="81"/>
              <w:textAlignment w:val="center"/>
              <w:rPr>
                <w:rFonts w:ascii="Times New Roman" w:hAnsi="Times New Roman"/>
                <w:szCs w:val="21"/>
                <w:highlight w:val="none"/>
              </w:rPr>
            </w:pPr>
          </w:p>
        </w:tc>
        <w:tc>
          <w:tcPr>
            <w:tcW w:w="1245" w:type="dxa"/>
            <w:noWrap w:val="0"/>
            <w:vAlign w:val="center"/>
          </w:tcPr>
          <w:p w14:paraId="1E70CE8E">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298648</w:t>
            </w:r>
          </w:p>
        </w:tc>
        <w:tc>
          <w:tcPr>
            <w:tcW w:w="936" w:type="dxa"/>
            <w:noWrap w:val="0"/>
            <w:vAlign w:val="center"/>
          </w:tcPr>
          <w:p w14:paraId="0CC91B30">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9.746</w:t>
            </w:r>
          </w:p>
        </w:tc>
        <w:tc>
          <w:tcPr>
            <w:tcW w:w="951" w:type="dxa"/>
            <w:noWrap w:val="0"/>
            <w:vAlign w:val="center"/>
          </w:tcPr>
          <w:p w14:paraId="39D80C40">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2.91</w:t>
            </w:r>
          </w:p>
        </w:tc>
        <w:tc>
          <w:tcPr>
            <w:tcW w:w="913" w:type="dxa"/>
            <w:noWrap w:val="0"/>
            <w:vAlign w:val="center"/>
          </w:tcPr>
          <w:p w14:paraId="5B607548">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864</w:t>
            </w:r>
          </w:p>
        </w:tc>
      </w:tr>
      <w:tr w14:paraId="2CA455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227C6B19">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5ECA78F3">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1BD23488">
            <w:pPr>
              <w:pStyle w:val="42"/>
              <w:spacing w:before="81" w:after="81"/>
              <w:textAlignment w:val="center"/>
              <w:rPr>
                <w:rFonts w:ascii="Times New Roman" w:hAnsi="Times New Roman"/>
                <w:szCs w:val="21"/>
                <w:highlight w:val="none"/>
              </w:rPr>
            </w:pPr>
          </w:p>
        </w:tc>
        <w:tc>
          <w:tcPr>
            <w:tcW w:w="737" w:type="dxa"/>
            <w:vMerge w:val="continue"/>
            <w:noWrap w:val="0"/>
            <w:vAlign w:val="center"/>
          </w:tcPr>
          <w:p w14:paraId="2251327C">
            <w:pPr>
              <w:pStyle w:val="42"/>
              <w:spacing w:before="81" w:after="81"/>
              <w:textAlignment w:val="center"/>
              <w:rPr>
                <w:rFonts w:ascii="Times New Roman" w:hAnsi="Times New Roman"/>
                <w:szCs w:val="21"/>
                <w:highlight w:val="none"/>
              </w:rPr>
            </w:pPr>
          </w:p>
        </w:tc>
        <w:tc>
          <w:tcPr>
            <w:tcW w:w="660" w:type="dxa"/>
            <w:vMerge w:val="continue"/>
            <w:noWrap w:val="0"/>
            <w:vAlign w:val="center"/>
          </w:tcPr>
          <w:p w14:paraId="0D633B43">
            <w:pPr>
              <w:pStyle w:val="42"/>
              <w:spacing w:before="81" w:after="81"/>
              <w:textAlignment w:val="center"/>
              <w:rPr>
                <w:rFonts w:ascii="Times New Roman" w:hAnsi="Times New Roman"/>
                <w:szCs w:val="21"/>
                <w:highlight w:val="none"/>
              </w:rPr>
            </w:pPr>
          </w:p>
        </w:tc>
        <w:tc>
          <w:tcPr>
            <w:tcW w:w="1430" w:type="dxa"/>
            <w:noWrap w:val="0"/>
            <w:vAlign w:val="center"/>
          </w:tcPr>
          <w:p w14:paraId="54757B6B">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80864（使用58MW锅炉）</w:t>
            </w:r>
          </w:p>
        </w:tc>
        <w:tc>
          <w:tcPr>
            <w:tcW w:w="1059" w:type="dxa"/>
            <w:noWrap w:val="0"/>
            <w:vAlign w:val="center"/>
          </w:tcPr>
          <w:p w14:paraId="18443DC4">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324.882</w:t>
            </w:r>
          </w:p>
        </w:tc>
        <w:tc>
          <w:tcPr>
            <w:tcW w:w="887" w:type="dxa"/>
            <w:noWrap w:val="0"/>
            <w:vAlign w:val="center"/>
          </w:tcPr>
          <w:p w14:paraId="2DDBCEF8">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26</w:t>
            </w:r>
          </w:p>
        </w:tc>
        <w:tc>
          <w:tcPr>
            <w:tcW w:w="1173" w:type="dxa"/>
            <w:vMerge w:val="continue"/>
            <w:noWrap w:val="0"/>
            <w:vAlign w:val="center"/>
          </w:tcPr>
          <w:p w14:paraId="54A9B4CC">
            <w:pPr>
              <w:pStyle w:val="42"/>
              <w:spacing w:before="81" w:after="81"/>
              <w:textAlignment w:val="center"/>
              <w:rPr>
                <w:rFonts w:ascii="Times New Roman" w:hAnsi="Times New Roman"/>
                <w:szCs w:val="21"/>
                <w:highlight w:val="none"/>
              </w:rPr>
            </w:pPr>
          </w:p>
        </w:tc>
        <w:tc>
          <w:tcPr>
            <w:tcW w:w="874" w:type="dxa"/>
            <w:vMerge w:val="continue"/>
            <w:noWrap w:val="0"/>
            <w:vAlign w:val="center"/>
          </w:tcPr>
          <w:p w14:paraId="69D28386">
            <w:pPr>
              <w:pStyle w:val="42"/>
              <w:spacing w:before="81" w:after="81"/>
              <w:textAlignment w:val="center"/>
              <w:rPr>
                <w:rFonts w:ascii="Times New Roman" w:hAnsi="Times New Roman"/>
                <w:szCs w:val="21"/>
                <w:highlight w:val="none"/>
              </w:rPr>
            </w:pPr>
          </w:p>
        </w:tc>
        <w:tc>
          <w:tcPr>
            <w:tcW w:w="805" w:type="dxa"/>
            <w:vMerge w:val="continue"/>
            <w:noWrap w:val="0"/>
            <w:vAlign w:val="center"/>
          </w:tcPr>
          <w:p w14:paraId="78872BC7">
            <w:pPr>
              <w:pStyle w:val="42"/>
              <w:spacing w:before="81" w:after="81"/>
              <w:textAlignment w:val="center"/>
              <w:rPr>
                <w:rFonts w:ascii="Times New Roman" w:hAnsi="Times New Roman"/>
                <w:szCs w:val="21"/>
                <w:highlight w:val="none"/>
              </w:rPr>
            </w:pPr>
          </w:p>
        </w:tc>
        <w:tc>
          <w:tcPr>
            <w:tcW w:w="1245" w:type="dxa"/>
            <w:noWrap w:val="0"/>
            <w:vAlign w:val="center"/>
          </w:tcPr>
          <w:p w14:paraId="05E25734">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80864</w:t>
            </w:r>
          </w:p>
        </w:tc>
        <w:tc>
          <w:tcPr>
            <w:tcW w:w="936" w:type="dxa"/>
            <w:noWrap w:val="0"/>
            <w:vAlign w:val="center"/>
          </w:tcPr>
          <w:p w14:paraId="3A0CAA90">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9.746</w:t>
            </w:r>
          </w:p>
        </w:tc>
        <w:tc>
          <w:tcPr>
            <w:tcW w:w="951" w:type="dxa"/>
            <w:noWrap w:val="0"/>
            <w:vAlign w:val="center"/>
          </w:tcPr>
          <w:p w14:paraId="529B5F02">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0.788</w:t>
            </w:r>
          </w:p>
        </w:tc>
        <w:tc>
          <w:tcPr>
            <w:tcW w:w="913" w:type="dxa"/>
            <w:noWrap w:val="0"/>
            <w:vAlign w:val="center"/>
          </w:tcPr>
          <w:p w14:paraId="51352364">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720</w:t>
            </w:r>
          </w:p>
        </w:tc>
      </w:tr>
      <w:tr w14:paraId="7A9271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8" w:type="dxa"/>
            <w:vMerge w:val="continue"/>
            <w:noWrap w:val="0"/>
            <w:vAlign w:val="center"/>
          </w:tcPr>
          <w:p w14:paraId="3AFC9796">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77945667">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04D20ACD">
            <w:pPr>
              <w:pStyle w:val="42"/>
              <w:spacing w:before="81" w:after="81"/>
              <w:textAlignment w:val="center"/>
              <w:rPr>
                <w:rFonts w:ascii="Times New Roman" w:hAnsi="Times New Roman"/>
                <w:szCs w:val="21"/>
                <w:highlight w:val="none"/>
              </w:rPr>
            </w:pPr>
          </w:p>
        </w:tc>
        <w:tc>
          <w:tcPr>
            <w:tcW w:w="737" w:type="dxa"/>
            <w:vMerge w:val="restart"/>
            <w:noWrap w:val="0"/>
            <w:vAlign w:val="center"/>
          </w:tcPr>
          <w:p w14:paraId="3AA11CD5">
            <w:pPr>
              <w:pStyle w:val="42"/>
              <w:spacing w:before="81" w:after="81"/>
              <w:textAlignment w:val="center"/>
              <w:rPr>
                <w:rFonts w:ascii="Times New Roman" w:hAnsi="Times New Roman"/>
                <w:szCs w:val="21"/>
                <w:highlight w:val="none"/>
              </w:rPr>
            </w:pPr>
            <w:r>
              <w:rPr>
                <w:rFonts w:ascii="Times New Roman" w:hAnsi="Times New Roman"/>
                <w:szCs w:val="21"/>
                <w:highlight w:val="none"/>
              </w:rPr>
              <w:t>NOx</w:t>
            </w:r>
          </w:p>
        </w:tc>
        <w:tc>
          <w:tcPr>
            <w:tcW w:w="660" w:type="dxa"/>
            <w:vMerge w:val="continue"/>
            <w:noWrap w:val="0"/>
            <w:vAlign w:val="center"/>
          </w:tcPr>
          <w:p w14:paraId="03A9828C">
            <w:pPr>
              <w:pStyle w:val="42"/>
              <w:spacing w:before="81" w:after="81"/>
              <w:textAlignment w:val="center"/>
              <w:rPr>
                <w:rFonts w:ascii="Times New Roman" w:hAnsi="Times New Roman"/>
                <w:szCs w:val="21"/>
                <w:highlight w:val="none"/>
              </w:rPr>
            </w:pPr>
          </w:p>
        </w:tc>
        <w:tc>
          <w:tcPr>
            <w:tcW w:w="1430" w:type="dxa"/>
            <w:noWrap w:val="0"/>
            <w:vAlign w:val="center"/>
          </w:tcPr>
          <w:p w14:paraId="58D6EF57">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264580（单独使用116MW锅炉）</w:t>
            </w:r>
          </w:p>
        </w:tc>
        <w:tc>
          <w:tcPr>
            <w:tcW w:w="1059" w:type="dxa"/>
            <w:noWrap w:val="0"/>
            <w:vAlign w:val="center"/>
          </w:tcPr>
          <w:p w14:paraId="5C2BCACA">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eastAsia="宋体"/>
                <w:szCs w:val="21"/>
                <w:highlight w:val="none"/>
                <w:lang w:val="en-US" w:eastAsia="zh-CN"/>
              </w:rPr>
              <w:t>916</w:t>
            </w:r>
          </w:p>
        </w:tc>
        <w:tc>
          <w:tcPr>
            <w:tcW w:w="887" w:type="dxa"/>
            <w:noWrap w:val="0"/>
            <w:vAlign w:val="center"/>
          </w:tcPr>
          <w:p w14:paraId="113D0471">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eastAsia="宋体"/>
                <w:szCs w:val="21"/>
                <w:highlight w:val="none"/>
                <w:lang w:val="en-US" w:eastAsia="zh-CN"/>
              </w:rPr>
              <w:t>240</w:t>
            </w:r>
          </w:p>
        </w:tc>
        <w:tc>
          <w:tcPr>
            <w:tcW w:w="1173" w:type="dxa"/>
            <w:vMerge w:val="restart"/>
            <w:noWrap w:val="0"/>
            <w:vAlign w:val="center"/>
          </w:tcPr>
          <w:p w14:paraId="5A052601">
            <w:pPr>
              <w:pStyle w:val="42"/>
              <w:spacing w:before="81" w:after="81"/>
              <w:textAlignment w:val="center"/>
              <w:rPr>
                <w:rFonts w:ascii="Times New Roman" w:hAnsi="Times New Roman"/>
                <w:szCs w:val="21"/>
                <w:highlight w:val="none"/>
              </w:rPr>
            </w:pPr>
            <w:r>
              <w:rPr>
                <w:rFonts w:hint="eastAsia" w:ascii="Times New Roman" w:hAnsi="Times New Roman"/>
                <w:szCs w:val="21"/>
                <w:highlight w:val="none"/>
                <w:lang w:val="en-US" w:eastAsia="zh-CN"/>
              </w:rPr>
              <w:t>低氮燃烧</w:t>
            </w:r>
            <w:r>
              <w:rPr>
                <w:rFonts w:ascii="Times New Roman" w:hAnsi="Times New Roman"/>
                <w:szCs w:val="21"/>
                <w:highlight w:val="none"/>
              </w:rPr>
              <w:t>SNCR-SCR法脱硝</w:t>
            </w:r>
          </w:p>
        </w:tc>
        <w:tc>
          <w:tcPr>
            <w:tcW w:w="874" w:type="dxa"/>
            <w:vMerge w:val="restart"/>
            <w:noWrap w:val="0"/>
            <w:vAlign w:val="center"/>
          </w:tcPr>
          <w:p w14:paraId="273333CA">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99</w:t>
            </w:r>
          </w:p>
        </w:tc>
        <w:tc>
          <w:tcPr>
            <w:tcW w:w="805" w:type="dxa"/>
            <w:vMerge w:val="continue"/>
            <w:noWrap w:val="0"/>
            <w:vAlign w:val="center"/>
          </w:tcPr>
          <w:p w14:paraId="1C4D622F">
            <w:pPr>
              <w:pStyle w:val="42"/>
              <w:spacing w:before="81" w:after="81"/>
              <w:textAlignment w:val="center"/>
              <w:rPr>
                <w:rFonts w:ascii="Times New Roman" w:hAnsi="Times New Roman"/>
                <w:szCs w:val="21"/>
                <w:highlight w:val="none"/>
              </w:rPr>
            </w:pPr>
          </w:p>
        </w:tc>
        <w:tc>
          <w:tcPr>
            <w:tcW w:w="1245" w:type="dxa"/>
            <w:noWrap w:val="0"/>
            <w:vAlign w:val="center"/>
          </w:tcPr>
          <w:p w14:paraId="2870AF14">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264580</w:t>
            </w:r>
          </w:p>
        </w:tc>
        <w:tc>
          <w:tcPr>
            <w:tcW w:w="936" w:type="dxa"/>
            <w:noWrap w:val="0"/>
            <w:vAlign w:val="center"/>
          </w:tcPr>
          <w:p w14:paraId="544C1587">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9.07</w:t>
            </w:r>
          </w:p>
        </w:tc>
        <w:tc>
          <w:tcPr>
            <w:tcW w:w="951" w:type="dxa"/>
            <w:noWrap w:val="0"/>
            <w:vAlign w:val="center"/>
          </w:tcPr>
          <w:p w14:paraId="06FDA76E">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2.4</w:t>
            </w:r>
          </w:p>
        </w:tc>
        <w:tc>
          <w:tcPr>
            <w:tcW w:w="913" w:type="dxa"/>
            <w:noWrap w:val="0"/>
            <w:vAlign w:val="center"/>
          </w:tcPr>
          <w:p w14:paraId="258AB101">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384</w:t>
            </w:r>
          </w:p>
        </w:tc>
      </w:tr>
      <w:tr w14:paraId="07DC33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888" w:type="dxa"/>
            <w:vMerge w:val="continue"/>
            <w:noWrap w:val="0"/>
            <w:vAlign w:val="center"/>
          </w:tcPr>
          <w:p w14:paraId="2620C9DB">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68096CF7">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698000F4">
            <w:pPr>
              <w:pStyle w:val="42"/>
              <w:spacing w:before="81" w:after="81"/>
              <w:textAlignment w:val="center"/>
              <w:rPr>
                <w:rFonts w:ascii="Times New Roman" w:hAnsi="Times New Roman"/>
                <w:szCs w:val="21"/>
                <w:highlight w:val="none"/>
              </w:rPr>
            </w:pPr>
          </w:p>
        </w:tc>
        <w:tc>
          <w:tcPr>
            <w:tcW w:w="737" w:type="dxa"/>
            <w:vMerge w:val="continue"/>
            <w:noWrap w:val="0"/>
            <w:vAlign w:val="center"/>
          </w:tcPr>
          <w:p w14:paraId="18D80ED1">
            <w:pPr>
              <w:pStyle w:val="42"/>
              <w:spacing w:before="81" w:after="81"/>
              <w:textAlignment w:val="center"/>
              <w:rPr>
                <w:rFonts w:ascii="Times New Roman" w:hAnsi="Times New Roman"/>
                <w:szCs w:val="21"/>
                <w:highlight w:val="none"/>
              </w:rPr>
            </w:pPr>
          </w:p>
        </w:tc>
        <w:tc>
          <w:tcPr>
            <w:tcW w:w="660" w:type="dxa"/>
            <w:vMerge w:val="continue"/>
            <w:noWrap w:val="0"/>
            <w:vAlign w:val="center"/>
          </w:tcPr>
          <w:p w14:paraId="4E55BE96">
            <w:pPr>
              <w:pStyle w:val="42"/>
              <w:spacing w:before="81" w:after="81"/>
              <w:textAlignment w:val="center"/>
              <w:rPr>
                <w:rFonts w:ascii="Times New Roman" w:hAnsi="Times New Roman"/>
                <w:szCs w:val="21"/>
                <w:highlight w:val="none"/>
              </w:rPr>
            </w:pPr>
          </w:p>
        </w:tc>
        <w:tc>
          <w:tcPr>
            <w:tcW w:w="1430" w:type="dxa"/>
            <w:noWrap w:val="0"/>
            <w:vAlign w:val="center"/>
          </w:tcPr>
          <w:p w14:paraId="28181DDD">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114936（使用58MW+35t/h锅炉）</w:t>
            </w:r>
          </w:p>
        </w:tc>
        <w:tc>
          <w:tcPr>
            <w:tcW w:w="1059" w:type="dxa"/>
            <w:noWrap w:val="0"/>
            <w:vAlign w:val="center"/>
          </w:tcPr>
          <w:p w14:paraId="6C3C71ED">
            <w:pPr>
              <w:pStyle w:val="42"/>
              <w:spacing w:before="81" w:after="81"/>
              <w:textAlignment w:val="center"/>
              <w:rPr>
                <w:rFonts w:hint="default" w:ascii="Times New Roman" w:hAnsi="Times New Roman" w:eastAsia="宋体"/>
                <w:szCs w:val="21"/>
                <w:highlight w:val="none"/>
                <w:lang w:val="en-US" w:eastAsia="zh-CN"/>
              </w:rPr>
            </w:pPr>
            <w:r>
              <w:rPr>
                <w:rFonts w:hint="eastAsia" w:ascii="Times New Roman" w:hAnsi="Times New Roman" w:eastAsia="宋体"/>
                <w:szCs w:val="21"/>
                <w:highlight w:val="none"/>
                <w:lang w:val="en-US" w:eastAsia="zh-CN"/>
              </w:rPr>
              <w:t>916</w:t>
            </w:r>
          </w:p>
        </w:tc>
        <w:tc>
          <w:tcPr>
            <w:tcW w:w="887" w:type="dxa"/>
            <w:noWrap w:val="0"/>
            <w:vAlign w:val="center"/>
          </w:tcPr>
          <w:p w14:paraId="661767C3">
            <w:pPr>
              <w:pStyle w:val="42"/>
              <w:spacing w:before="81" w:after="81"/>
              <w:textAlignment w:val="center"/>
              <w:rPr>
                <w:rFonts w:hint="default" w:ascii="Times New Roman" w:hAnsi="Times New Roman" w:eastAsia="宋体"/>
                <w:szCs w:val="21"/>
                <w:highlight w:val="none"/>
                <w:lang w:val="en-US" w:eastAsia="zh-CN"/>
              </w:rPr>
            </w:pPr>
            <w:r>
              <w:rPr>
                <w:rFonts w:hint="eastAsia" w:ascii="Times New Roman" w:hAnsi="Times New Roman" w:eastAsia="宋体"/>
                <w:szCs w:val="21"/>
                <w:highlight w:val="none"/>
                <w:lang w:val="en-US" w:eastAsia="zh-CN"/>
              </w:rPr>
              <w:t>105</w:t>
            </w:r>
          </w:p>
        </w:tc>
        <w:tc>
          <w:tcPr>
            <w:tcW w:w="1173" w:type="dxa"/>
            <w:vMerge w:val="continue"/>
            <w:noWrap w:val="0"/>
            <w:vAlign w:val="center"/>
          </w:tcPr>
          <w:p w14:paraId="2F5275E9">
            <w:pPr>
              <w:pStyle w:val="42"/>
              <w:spacing w:before="81" w:after="81"/>
              <w:textAlignment w:val="center"/>
              <w:rPr>
                <w:rFonts w:ascii="Times New Roman" w:hAnsi="Times New Roman"/>
                <w:szCs w:val="21"/>
                <w:highlight w:val="none"/>
              </w:rPr>
            </w:pPr>
          </w:p>
        </w:tc>
        <w:tc>
          <w:tcPr>
            <w:tcW w:w="874" w:type="dxa"/>
            <w:vMerge w:val="continue"/>
            <w:noWrap w:val="0"/>
            <w:vAlign w:val="center"/>
          </w:tcPr>
          <w:p w14:paraId="693085EA">
            <w:pPr>
              <w:pStyle w:val="42"/>
              <w:spacing w:before="81" w:after="81"/>
              <w:textAlignment w:val="center"/>
              <w:rPr>
                <w:rFonts w:ascii="Times New Roman" w:hAnsi="Times New Roman"/>
                <w:szCs w:val="21"/>
                <w:highlight w:val="none"/>
              </w:rPr>
            </w:pPr>
          </w:p>
        </w:tc>
        <w:tc>
          <w:tcPr>
            <w:tcW w:w="805" w:type="dxa"/>
            <w:vMerge w:val="continue"/>
            <w:noWrap w:val="0"/>
            <w:vAlign w:val="center"/>
          </w:tcPr>
          <w:p w14:paraId="1AE9B963">
            <w:pPr>
              <w:pStyle w:val="42"/>
              <w:spacing w:before="81" w:after="81"/>
              <w:textAlignment w:val="center"/>
              <w:rPr>
                <w:rFonts w:ascii="Times New Roman" w:hAnsi="Times New Roman"/>
                <w:szCs w:val="21"/>
                <w:highlight w:val="none"/>
              </w:rPr>
            </w:pPr>
          </w:p>
        </w:tc>
        <w:tc>
          <w:tcPr>
            <w:tcW w:w="1245" w:type="dxa"/>
            <w:noWrap w:val="0"/>
            <w:vAlign w:val="center"/>
          </w:tcPr>
          <w:p w14:paraId="55598E9E">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114936</w:t>
            </w:r>
          </w:p>
        </w:tc>
        <w:tc>
          <w:tcPr>
            <w:tcW w:w="936" w:type="dxa"/>
            <w:noWrap w:val="0"/>
            <w:vAlign w:val="center"/>
          </w:tcPr>
          <w:p w14:paraId="795A9F19">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9.07</w:t>
            </w:r>
          </w:p>
        </w:tc>
        <w:tc>
          <w:tcPr>
            <w:tcW w:w="951" w:type="dxa"/>
            <w:noWrap w:val="0"/>
            <w:vAlign w:val="center"/>
          </w:tcPr>
          <w:p w14:paraId="1EBCF88A">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1.05</w:t>
            </w:r>
          </w:p>
        </w:tc>
        <w:tc>
          <w:tcPr>
            <w:tcW w:w="913" w:type="dxa"/>
            <w:noWrap w:val="0"/>
            <w:vAlign w:val="center"/>
          </w:tcPr>
          <w:p w14:paraId="45184566">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2928</w:t>
            </w:r>
          </w:p>
        </w:tc>
      </w:tr>
      <w:tr w14:paraId="39BC23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888" w:type="dxa"/>
            <w:vMerge w:val="continue"/>
            <w:noWrap w:val="0"/>
            <w:vAlign w:val="center"/>
          </w:tcPr>
          <w:p w14:paraId="73970A1D">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044BD935">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731D5081">
            <w:pPr>
              <w:pStyle w:val="42"/>
              <w:spacing w:before="81" w:after="81"/>
              <w:textAlignment w:val="center"/>
              <w:rPr>
                <w:rFonts w:ascii="Times New Roman" w:hAnsi="Times New Roman"/>
                <w:szCs w:val="21"/>
                <w:highlight w:val="none"/>
              </w:rPr>
            </w:pPr>
          </w:p>
        </w:tc>
        <w:tc>
          <w:tcPr>
            <w:tcW w:w="737" w:type="dxa"/>
            <w:vMerge w:val="continue"/>
            <w:noWrap w:val="0"/>
            <w:vAlign w:val="center"/>
          </w:tcPr>
          <w:p w14:paraId="7474C2A8">
            <w:pPr>
              <w:pStyle w:val="42"/>
              <w:spacing w:before="81" w:after="81"/>
              <w:textAlignment w:val="center"/>
              <w:rPr>
                <w:rFonts w:ascii="Times New Roman" w:hAnsi="Times New Roman"/>
                <w:szCs w:val="21"/>
                <w:highlight w:val="none"/>
              </w:rPr>
            </w:pPr>
          </w:p>
        </w:tc>
        <w:tc>
          <w:tcPr>
            <w:tcW w:w="660" w:type="dxa"/>
            <w:vMerge w:val="continue"/>
            <w:noWrap w:val="0"/>
            <w:vAlign w:val="center"/>
          </w:tcPr>
          <w:p w14:paraId="741306F8">
            <w:pPr>
              <w:pStyle w:val="42"/>
              <w:spacing w:before="81" w:after="81"/>
              <w:textAlignment w:val="center"/>
              <w:rPr>
                <w:rFonts w:ascii="Times New Roman" w:hAnsi="Times New Roman"/>
                <w:szCs w:val="21"/>
                <w:highlight w:val="none"/>
              </w:rPr>
            </w:pPr>
          </w:p>
        </w:tc>
        <w:tc>
          <w:tcPr>
            <w:tcW w:w="1430" w:type="dxa"/>
            <w:noWrap w:val="0"/>
            <w:vAlign w:val="center"/>
          </w:tcPr>
          <w:p w14:paraId="7187836D">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298648（使用116MW+35t/h锅炉）</w:t>
            </w:r>
          </w:p>
        </w:tc>
        <w:tc>
          <w:tcPr>
            <w:tcW w:w="1059" w:type="dxa"/>
            <w:noWrap w:val="0"/>
            <w:vAlign w:val="center"/>
          </w:tcPr>
          <w:p w14:paraId="0BF49050">
            <w:pPr>
              <w:pStyle w:val="42"/>
              <w:spacing w:before="81" w:after="81"/>
              <w:textAlignment w:val="center"/>
              <w:rPr>
                <w:rFonts w:hint="default" w:ascii="Times New Roman" w:hAnsi="Times New Roman" w:eastAsia="宋体"/>
                <w:szCs w:val="21"/>
                <w:highlight w:val="none"/>
                <w:lang w:val="en-US" w:eastAsia="zh-CN"/>
              </w:rPr>
            </w:pPr>
            <w:r>
              <w:rPr>
                <w:rFonts w:hint="eastAsia" w:ascii="Times New Roman" w:hAnsi="Times New Roman" w:eastAsia="宋体"/>
                <w:szCs w:val="21"/>
                <w:highlight w:val="none"/>
                <w:lang w:val="en-US" w:eastAsia="zh-CN"/>
              </w:rPr>
              <w:t>916</w:t>
            </w:r>
          </w:p>
        </w:tc>
        <w:tc>
          <w:tcPr>
            <w:tcW w:w="887" w:type="dxa"/>
            <w:noWrap w:val="0"/>
            <w:vAlign w:val="center"/>
          </w:tcPr>
          <w:p w14:paraId="4370284B">
            <w:pPr>
              <w:pStyle w:val="42"/>
              <w:spacing w:before="81" w:after="81"/>
              <w:textAlignment w:val="center"/>
              <w:rPr>
                <w:rFonts w:hint="default" w:ascii="Times New Roman" w:hAnsi="Times New Roman" w:eastAsia="宋体"/>
                <w:szCs w:val="21"/>
                <w:highlight w:val="none"/>
                <w:lang w:val="en-US" w:eastAsia="zh-CN"/>
              </w:rPr>
            </w:pPr>
            <w:r>
              <w:rPr>
                <w:rFonts w:hint="eastAsia" w:ascii="Times New Roman" w:hAnsi="Times New Roman" w:eastAsia="宋体"/>
                <w:szCs w:val="21"/>
                <w:highlight w:val="none"/>
                <w:lang w:val="en-US" w:eastAsia="zh-CN"/>
              </w:rPr>
              <w:t>271</w:t>
            </w:r>
          </w:p>
        </w:tc>
        <w:tc>
          <w:tcPr>
            <w:tcW w:w="1173" w:type="dxa"/>
            <w:vMerge w:val="continue"/>
            <w:noWrap w:val="0"/>
            <w:vAlign w:val="center"/>
          </w:tcPr>
          <w:p w14:paraId="63E24112">
            <w:pPr>
              <w:pStyle w:val="42"/>
              <w:spacing w:before="81" w:after="81"/>
              <w:textAlignment w:val="center"/>
              <w:rPr>
                <w:rFonts w:ascii="Times New Roman" w:hAnsi="Times New Roman"/>
                <w:szCs w:val="21"/>
                <w:highlight w:val="none"/>
              </w:rPr>
            </w:pPr>
          </w:p>
        </w:tc>
        <w:tc>
          <w:tcPr>
            <w:tcW w:w="874" w:type="dxa"/>
            <w:vMerge w:val="continue"/>
            <w:noWrap w:val="0"/>
            <w:vAlign w:val="center"/>
          </w:tcPr>
          <w:p w14:paraId="72E3D416">
            <w:pPr>
              <w:pStyle w:val="42"/>
              <w:spacing w:before="81" w:after="81"/>
              <w:textAlignment w:val="center"/>
              <w:rPr>
                <w:rFonts w:ascii="Times New Roman" w:hAnsi="Times New Roman"/>
                <w:szCs w:val="21"/>
                <w:highlight w:val="none"/>
              </w:rPr>
            </w:pPr>
          </w:p>
        </w:tc>
        <w:tc>
          <w:tcPr>
            <w:tcW w:w="805" w:type="dxa"/>
            <w:vMerge w:val="continue"/>
            <w:noWrap w:val="0"/>
            <w:vAlign w:val="center"/>
          </w:tcPr>
          <w:p w14:paraId="2E7F1B3D">
            <w:pPr>
              <w:pStyle w:val="42"/>
              <w:spacing w:before="81" w:after="81"/>
              <w:textAlignment w:val="center"/>
              <w:rPr>
                <w:rFonts w:ascii="Times New Roman" w:hAnsi="Times New Roman"/>
                <w:szCs w:val="21"/>
                <w:highlight w:val="none"/>
              </w:rPr>
            </w:pPr>
          </w:p>
        </w:tc>
        <w:tc>
          <w:tcPr>
            <w:tcW w:w="1245" w:type="dxa"/>
            <w:noWrap w:val="0"/>
            <w:vAlign w:val="center"/>
          </w:tcPr>
          <w:p w14:paraId="4CA1851E">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298648</w:t>
            </w:r>
          </w:p>
        </w:tc>
        <w:tc>
          <w:tcPr>
            <w:tcW w:w="936" w:type="dxa"/>
            <w:noWrap w:val="0"/>
            <w:vAlign w:val="center"/>
          </w:tcPr>
          <w:p w14:paraId="6BC019C1">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9.07</w:t>
            </w:r>
          </w:p>
        </w:tc>
        <w:tc>
          <w:tcPr>
            <w:tcW w:w="951" w:type="dxa"/>
            <w:noWrap w:val="0"/>
            <w:vAlign w:val="center"/>
          </w:tcPr>
          <w:p w14:paraId="37C96A36">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2.71</w:t>
            </w:r>
          </w:p>
        </w:tc>
        <w:tc>
          <w:tcPr>
            <w:tcW w:w="913" w:type="dxa"/>
            <w:noWrap w:val="0"/>
            <w:vAlign w:val="center"/>
          </w:tcPr>
          <w:p w14:paraId="2411B21F">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864</w:t>
            </w:r>
          </w:p>
        </w:tc>
      </w:tr>
      <w:tr w14:paraId="3C8E22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888" w:type="dxa"/>
            <w:vMerge w:val="continue"/>
            <w:noWrap w:val="0"/>
            <w:vAlign w:val="center"/>
          </w:tcPr>
          <w:p w14:paraId="537BFDD9">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2E80EC7A">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4448CB90">
            <w:pPr>
              <w:pStyle w:val="42"/>
              <w:spacing w:before="81" w:after="81"/>
              <w:textAlignment w:val="center"/>
              <w:rPr>
                <w:rFonts w:ascii="Times New Roman" w:hAnsi="Times New Roman"/>
                <w:szCs w:val="21"/>
                <w:highlight w:val="none"/>
              </w:rPr>
            </w:pPr>
          </w:p>
        </w:tc>
        <w:tc>
          <w:tcPr>
            <w:tcW w:w="737" w:type="dxa"/>
            <w:vMerge w:val="continue"/>
            <w:noWrap w:val="0"/>
            <w:vAlign w:val="center"/>
          </w:tcPr>
          <w:p w14:paraId="26B6B816">
            <w:pPr>
              <w:pStyle w:val="42"/>
              <w:spacing w:before="81" w:after="81"/>
              <w:textAlignment w:val="center"/>
              <w:rPr>
                <w:rFonts w:ascii="Times New Roman" w:hAnsi="Times New Roman"/>
                <w:szCs w:val="21"/>
                <w:highlight w:val="none"/>
              </w:rPr>
            </w:pPr>
          </w:p>
        </w:tc>
        <w:tc>
          <w:tcPr>
            <w:tcW w:w="660" w:type="dxa"/>
            <w:vMerge w:val="continue"/>
            <w:noWrap w:val="0"/>
            <w:vAlign w:val="center"/>
          </w:tcPr>
          <w:p w14:paraId="18EDF628">
            <w:pPr>
              <w:pStyle w:val="42"/>
              <w:spacing w:before="81" w:after="81"/>
              <w:textAlignment w:val="center"/>
              <w:rPr>
                <w:rFonts w:ascii="Times New Roman" w:hAnsi="Times New Roman"/>
                <w:szCs w:val="21"/>
                <w:highlight w:val="none"/>
              </w:rPr>
            </w:pPr>
          </w:p>
        </w:tc>
        <w:tc>
          <w:tcPr>
            <w:tcW w:w="1430" w:type="dxa"/>
            <w:noWrap w:val="0"/>
            <w:vAlign w:val="center"/>
          </w:tcPr>
          <w:p w14:paraId="302DC2A2">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80864（使用58MW锅炉）</w:t>
            </w:r>
          </w:p>
        </w:tc>
        <w:tc>
          <w:tcPr>
            <w:tcW w:w="1059" w:type="dxa"/>
            <w:noWrap w:val="0"/>
            <w:vAlign w:val="center"/>
          </w:tcPr>
          <w:p w14:paraId="20C7DFE2">
            <w:pPr>
              <w:pStyle w:val="42"/>
              <w:spacing w:before="81" w:after="81"/>
              <w:textAlignment w:val="center"/>
              <w:rPr>
                <w:rFonts w:hint="default" w:ascii="Times New Roman" w:hAnsi="Times New Roman" w:eastAsia="宋体"/>
                <w:szCs w:val="21"/>
                <w:highlight w:val="none"/>
                <w:lang w:val="en-US" w:eastAsia="zh-CN"/>
              </w:rPr>
            </w:pPr>
            <w:r>
              <w:rPr>
                <w:rFonts w:hint="eastAsia" w:ascii="Times New Roman" w:hAnsi="Times New Roman" w:eastAsia="宋体"/>
                <w:szCs w:val="21"/>
                <w:highlight w:val="none"/>
                <w:lang w:val="en-US" w:eastAsia="zh-CN"/>
              </w:rPr>
              <w:t>916</w:t>
            </w:r>
          </w:p>
        </w:tc>
        <w:tc>
          <w:tcPr>
            <w:tcW w:w="887" w:type="dxa"/>
            <w:noWrap w:val="0"/>
            <w:vAlign w:val="center"/>
          </w:tcPr>
          <w:p w14:paraId="7805B133">
            <w:pPr>
              <w:pStyle w:val="42"/>
              <w:spacing w:before="81" w:after="81"/>
              <w:textAlignment w:val="center"/>
              <w:rPr>
                <w:rFonts w:hint="default" w:ascii="Times New Roman" w:hAnsi="Times New Roman" w:eastAsia="宋体"/>
                <w:szCs w:val="21"/>
                <w:highlight w:val="none"/>
                <w:lang w:val="en-US" w:eastAsia="zh-CN"/>
              </w:rPr>
            </w:pPr>
            <w:r>
              <w:rPr>
                <w:rFonts w:hint="eastAsia" w:ascii="Times New Roman" w:hAnsi="Times New Roman" w:eastAsia="宋体"/>
                <w:szCs w:val="21"/>
                <w:highlight w:val="none"/>
                <w:lang w:val="en-US" w:eastAsia="zh-CN"/>
              </w:rPr>
              <w:t>31</w:t>
            </w:r>
          </w:p>
        </w:tc>
        <w:tc>
          <w:tcPr>
            <w:tcW w:w="1173" w:type="dxa"/>
            <w:vMerge w:val="continue"/>
            <w:noWrap w:val="0"/>
            <w:vAlign w:val="center"/>
          </w:tcPr>
          <w:p w14:paraId="406A4058">
            <w:pPr>
              <w:pStyle w:val="42"/>
              <w:spacing w:before="81" w:after="81"/>
              <w:textAlignment w:val="center"/>
              <w:rPr>
                <w:rFonts w:ascii="Times New Roman" w:hAnsi="Times New Roman"/>
                <w:szCs w:val="21"/>
                <w:highlight w:val="none"/>
              </w:rPr>
            </w:pPr>
          </w:p>
        </w:tc>
        <w:tc>
          <w:tcPr>
            <w:tcW w:w="874" w:type="dxa"/>
            <w:vMerge w:val="continue"/>
            <w:noWrap w:val="0"/>
            <w:vAlign w:val="center"/>
          </w:tcPr>
          <w:p w14:paraId="693D8A86">
            <w:pPr>
              <w:pStyle w:val="42"/>
              <w:spacing w:before="81" w:after="81"/>
              <w:textAlignment w:val="center"/>
              <w:rPr>
                <w:rFonts w:ascii="Times New Roman" w:hAnsi="Times New Roman"/>
                <w:szCs w:val="21"/>
                <w:highlight w:val="none"/>
              </w:rPr>
            </w:pPr>
          </w:p>
        </w:tc>
        <w:tc>
          <w:tcPr>
            <w:tcW w:w="805" w:type="dxa"/>
            <w:vMerge w:val="continue"/>
            <w:noWrap w:val="0"/>
            <w:vAlign w:val="center"/>
          </w:tcPr>
          <w:p w14:paraId="317EAFD3">
            <w:pPr>
              <w:pStyle w:val="42"/>
              <w:spacing w:before="81" w:after="81"/>
              <w:textAlignment w:val="center"/>
              <w:rPr>
                <w:rFonts w:ascii="Times New Roman" w:hAnsi="Times New Roman"/>
                <w:szCs w:val="21"/>
                <w:highlight w:val="none"/>
              </w:rPr>
            </w:pPr>
          </w:p>
        </w:tc>
        <w:tc>
          <w:tcPr>
            <w:tcW w:w="1245" w:type="dxa"/>
            <w:noWrap w:val="0"/>
            <w:vAlign w:val="center"/>
          </w:tcPr>
          <w:p w14:paraId="2B3F9781">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80864</w:t>
            </w:r>
          </w:p>
        </w:tc>
        <w:tc>
          <w:tcPr>
            <w:tcW w:w="936" w:type="dxa"/>
            <w:noWrap w:val="0"/>
            <w:vAlign w:val="center"/>
          </w:tcPr>
          <w:p w14:paraId="7B1A70CA">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9.07</w:t>
            </w:r>
          </w:p>
        </w:tc>
        <w:tc>
          <w:tcPr>
            <w:tcW w:w="951" w:type="dxa"/>
            <w:noWrap w:val="0"/>
            <w:vAlign w:val="center"/>
          </w:tcPr>
          <w:p w14:paraId="2879893D">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0.31</w:t>
            </w:r>
          </w:p>
        </w:tc>
        <w:tc>
          <w:tcPr>
            <w:tcW w:w="913" w:type="dxa"/>
            <w:noWrap w:val="0"/>
            <w:vAlign w:val="center"/>
          </w:tcPr>
          <w:p w14:paraId="1FC4AF17">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720</w:t>
            </w:r>
          </w:p>
        </w:tc>
      </w:tr>
      <w:tr w14:paraId="04F19D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3575459F">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1920C0E3">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6F8DDACF">
            <w:pPr>
              <w:pStyle w:val="42"/>
              <w:spacing w:before="81" w:after="81"/>
              <w:textAlignment w:val="center"/>
              <w:rPr>
                <w:rFonts w:ascii="Times New Roman" w:hAnsi="Times New Roman"/>
                <w:szCs w:val="21"/>
                <w:highlight w:val="none"/>
              </w:rPr>
            </w:pPr>
          </w:p>
        </w:tc>
        <w:tc>
          <w:tcPr>
            <w:tcW w:w="737" w:type="dxa"/>
            <w:vMerge w:val="restart"/>
            <w:noWrap w:val="0"/>
            <w:vAlign w:val="center"/>
          </w:tcPr>
          <w:p w14:paraId="52C93AC5">
            <w:pPr>
              <w:pStyle w:val="42"/>
              <w:spacing w:before="81" w:after="81"/>
              <w:textAlignment w:val="center"/>
              <w:rPr>
                <w:rFonts w:ascii="Times New Roman" w:hAnsi="Times New Roman"/>
                <w:szCs w:val="21"/>
                <w:highlight w:val="none"/>
              </w:rPr>
            </w:pPr>
            <w:r>
              <w:rPr>
                <w:rFonts w:ascii="Times New Roman" w:hAnsi="Times New Roman"/>
                <w:szCs w:val="21"/>
                <w:highlight w:val="none"/>
              </w:rPr>
              <w:t>汞及其化合物</w:t>
            </w:r>
          </w:p>
        </w:tc>
        <w:tc>
          <w:tcPr>
            <w:tcW w:w="660" w:type="dxa"/>
            <w:vMerge w:val="continue"/>
            <w:noWrap w:val="0"/>
            <w:vAlign w:val="center"/>
          </w:tcPr>
          <w:p w14:paraId="1091C395">
            <w:pPr>
              <w:pStyle w:val="42"/>
              <w:spacing w:before="81" w:after="81"/>
              <w:textAlignment w:val="center"/>
              <w:rPr>
                <w:rFonts w:ascii="Times New Roman" w:hAnsi="Times New Roman"/>
                <w:szCs w:val="21"/>
                <w:highlight w:val="none"/>
              </w:rPr>
            </w:pPr>
          </w:p>
        </w:tc>
        <w:tc>
          <w:tcPr>
            <w:tcW w:w="1430" w:type="dxa"/>
            <w:noWrap w:val="0"/>
            <w:vAlign w:val="center"/>
          </w:tcPr>
          <w:p w14:paraId="22994953">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264580（单独使用116MW锅炉）</w:t>
            </w:r>
          </w:p>
        </w:tc>
        <w:tc>
          <w:tcPr>
            <w:tcW w:w="1059" w:type="dxa"/>
            <w:noWrap w:val="0"/>
            <w:vAlign w:val="center"/>
          </w:tcPr>
          <w:p w14:paraId="6B12E520">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0.024</w:t>
            </w:r>
          </w:p>
        </w:tc>
        <w:tc>
          <w:tcPr>
            <w:tcW w:w="887" w:type="dxa"/>
            <w:noWrap w:val="0"/>
            <w:vAlign w:val="center"/>
          </w:tcPr>
          <w:p w14:paraId="00E254B9">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0.00647</w:t>
            </w:r>
          </w:p>
        </w:tc>
        <w:tc>
          <w:tcPr>
            <w:tcW w:w="1173" w:type="dxa"/>
            <w:vMerge w:val="restart"/>
            <w:noWrap w:val="0"/>
            <w:vAlign w:val="center"/>
          </w:tcPr>
          <w:p w14:paraId="131B6271">
            <w:pPr>
              <w:pStyle w:val="42"/>
              <w:spacing w:before="81" w:after="81"/>
              <w:textAlignment w:val="center"/>
              <w:rPr>
                <w:rFonts w:ascii="Times New Roman" w:hAnsi="Times New Roman"/>
                <w:szCs w:val="21"/>
                <w:highlight w:val="none"/>
              </w:rPr>
            </w:pPr>
            <w:r>
              <w:rPr>
                <w:rFonts w:ascii="Times New Roman" w:hAnsi="Times New Roman"/>
                <w:szCs w:val="21"/>
                <w:highlight w:val="none"/>
              </w:rPr>
              <w:t>协同控制</w:t>
            </w:r>
          </w:p>
        </w:tc>
        <w:tc>
          <w:tcPr>
            <w:tcW w:w="874" w:type="dxa"/>
            <w:vMerge w:val="restart"/>
            <w:noWrap w:val="0"/>
            <w:vAlign w:val="center"/>
          </w:tcPr>
          <w:p w14:paraId="2751319E">
            <w:pPr>
              <w:pStyle w:val="42"/>
              <w:spacing w:before="81" w:after="81"/>
              <w:textAlignment w:val="center"/>
              <w:rPr>
                <w:rFonts w:ascii="Times New Roman" w:hAnsi="Times New Roman"/>
                <w:szCs w:val="21"/>
                <w:highlight w:val="none"/>
              </w:rPr>
            </w:pPr>
            <w:r>
              <w:rPr>
                <w:rFonts w:ascii="Times New Roman" w:hAnsi="Times New Roman"/>
                <w:szCs w:val="21"/>
                <w:highlight w:val="none"/>
              </w:rPr>
              <w:t>70</w:t>
            </w:r>
          </w:p>
        </w:tc>
        <w:tc>
          <w:tcPr>
            <w:tcW w:w="805" w:type="dxa"/>
            <w:vMerge w:val="continue"/>
            <w:noWrap w:val="0"/>
            <w:vAlign w:val="center"/>
          </w:tcPr>
          <w:p w14:paraId="70C92A44">
            <w:pPr>
              <w:pStyle w:val="42"/>
              <w:spacing w:before="81" w:after="81"/>
              <w:textAlignment w:val="center"/>
              <w:rPr>
                <w:rFonts w:ascii="Times New Roman" w:hAnsi="Times New Roman"/>
                <w:szCs w:val="21"/>
                <w:highlight w:val="none"/>
              </w:rPr>
            </w:pPr>
          </w:p>
        </w:tc>
        <w:tc>
          <w:tcPr>
            <w:tcW w:w="1245" w:type="dxa"/>
            <w:noWrap w:val="0"/>
            <w:vAlign w:val="center"/>
          </w:tcPr>
          <w:p w14:paraId="32FE3C84">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264580</w:t>
            </w:r>
          </w:p>
        </w:tc>
        <w:tc>
          <w:tcPr>
            <w:tcW w:w="936" w:type="dxa"/>
            <w:noWrap w:val="0"/>
            <w:vAlign w:val="center"/>
          </w:tcPr>
          <w:p w14:paraId="7E624A38">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0.0073</w:t>
            </w:r>
          </w:p>
        </w:tc>
        <w:tc>
          <w:tcPr>
            <w:tcW w:w="951" w:type="dxa"/>
            <w:noWrap w:val="0"/>
            <w:vAlign w:val="center"/>
          </w:tcPr>
          <w:p w14:paraId="3D4C9CA9">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0.00194</w:t>
            </w:r>
          </w:p>
        </w:tc>
        <w:tc>
          <w:tcPr>
            <w:tcW w:w="913" w:type="dxa"/>
            <w:noWrap w:val="0"/>
            <w:vAlign w:val="center"/>
          </w:tcPr>
          <w:p w14:paraId="39C1AD39">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384</w:t>
            </w:r>
          </w:p>
        </w:tc>
      </w:tr>
      <w:tr w14:paraId="0593B0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487ED39F">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411227D7">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718B9727">
            <w:pPr>
              <w:pStyle w:val="42"/>
              <w:spacing w:before="81" w:after="81"/>
              <w:textAlignment w:val="center"/>
              <w:rPr>
                <w:rFonts w:ascii="Times New Roman" w:hAnsi="Times New Roman"/>
                <w:szCs w:val="21"/>
                <w:highlight w:val="none"/>
              </w:rPr>
            </w:pPr>
          </w:p>
        </w:tc>
        <w:tc>
          <w:tcPr>
            <w:tcW w:w="737" w:type="dxa"/>
            <w:vMerge w:val="continue"/>
            <w:noWrap w:val="0"/>
            <w:vAlign w:val="center"/>
          </w:tcPr>
          <w:p w14:paraId="41AF3B10">
            <w:pPr>
              <w:pStyle w:val="42"/>
              <w:spacing w:before="81" w:after="81"/>
              <w:textAlignment w:val="center"/>
              <w:rPr>
                <w:rFonts w:ascii="Times New Roman" w:hAnsi="Times New Roman"/>
                <w:szCs w:val="21"/>
                <w:highlight w:val="none"/>
              </w:rPr>
            </w:pPr>
          </w:p>
        </w:tc>
        <w:tc>
          <w:tcPr>
            <w:tcW w:w="660" w:type="dxa"/>
            <w:vMerge w:val="continue"/>
            <w:noWrap w:val="0"/>
            <w:vAlign w:val="center"/>
          </w:tcPr>
          <w:p w14:paraId="24EEA888">
            <w:pPr>
              <w:pStyle w:val="42"/>
              <w:spacing w:before="81" w:after="81"/>
              <w:textAlignment w:val="center"/>
              <w:rPr>
                <w:rFonts w:ascii="Times New Roman" w:hAnsi="Times New Roman"/>
                <w:szCs w:val="21"/>
                <w:highlight w:val="none"/>
              </w:rPr>
            </w:pPr>
          </w:p>
        </w:tc>
        <w:tc>
          <w:tcPr>
            <w:tcW w:w="1430" w:type="dxa"/>
            <w:noWrap w:val="0"/>
            <w:vAlign w:val="center"/>
          </w:tcPr>
          <w:p w14:paraId="5C5F5B40">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114936（使用58MW+35t/h锅炉）</w:t>
            </w:r>
          </w:p>
        </w:tc>
        <w:tc>
          <w:tcPr>
            <w:tcW w:w="1059" w:type="dxa"/>
            <w:noWrap w:val="0"/>
            <w:vAlign w:val="center"/>
          </w:tcPr>
          <w:p w14:paraId="37AA18E4">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0.024</w:t>
            </w:r>
          </w:p>
        </w:tc>
        <w:tc>
          <w:tcPr>
            <w:tcW w:w="887" w:type="dxa"/>
            <w:noWrap w:val="0"/>
            <w:vAlign w:val="center"/>
          </w:tcPr>
          <w:p w14:paraId="639A05E8">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0.00281</w:t>
            </w:r>
          </w:p>
        </w:tc>
        <w:tc>
          <w:tcPr>
            <w:tcW w:w="1173" w:type="dxa"/>
            <w:vMerge w:val="continue"/>
            <w:noWrap w:val="0"/>
            <w:vAlign w:val="center"/>
          </w:tcPr>
          <w:p w14:paraId="0C6BEECD">
            <w:pPr>
              <w:pStyle w:val="42"/>
              <w:spacing w:before="81" w:after="81"/>
              <w:textAlignment w:val="center"/>
              <w:rPr>
                <w:rFonts w:ascii="Times New Roman" w:hAnsi="Times New Roman"/>
                <w:szCs w:val="21"/>
                <w:highlight w:val="none"/>
              </w:rPr>
            </w:pPr>
          </w:p>
        </w:tc>
        <w:tc>
          <w:tcPr>
            <w:tcW w:w="874" w:type="dxa"/>
            <w:vMerge w:val="continue"/>
            <w:noWrap w:val="0"/>
            <w:vAlign w:val="center"/>
          </w:tcPr>
          <w:p w14:paraId="746F1786">
            <w:pPr>
              <w:pStyle w:val="42"/>
              <w:spacing w:before="81" w:after="81"/>
              <w:textAlignment w:val="center"/>
              <w:rPr>
                <w:rFonts w:ascii="Times New Roman" w:hAnsi="Times New Roman"/>
                <w:szCs w:val="21"/>
                <w:highlight w:val="none"/>
              </w:rPr>
            </w:pPr>
          </w:p>
        </w:tc>
        <w:tc>
          <w:tcPr>
            <w:tcW w:w="805" w:type="dxa"/>
            <w:vMerge w:val="continue"/>
            <w:noWrap w:val="0"/>
            <w:vAlign w:val="center"/>
          </w:tcPr>
          <w:p w14:paraId="1AFDEA7B">
            <w:pPr>
              <w:pStyle w:val="42"/>
              <w:spacing w:before="81" w:after="81"/>
              <w:textAlignment w:val="center"/>
              <w:rPr>
                <w:rFonts w:ascii="Times New Roman" w:hAnsi="Times New Roman"/>
                <w:szCs w:val="21"/>
                <w:highlight w:val="none"/>
              </w:rPr>
            </w:pPr>
          </w:p>
        </w:tc>
        <w:tc>
          <w:tcPr>
            <w:tcW w:w="1245" w:type="dxa"/>
            <w:noWrap w:val="0"/>
            <w:vAlign w:val="center"/>
          </w:tcPr>
          <w:p w14:paraId="6408FF78">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114936</w:t>
            </w:r>
          </w:p>
        </w:tc>
        <w:tc>
          <w:tcPr>
            <w:tcW w:w="936" w:type="dxa"/>
            <w:noWrap w:val="0"/>
            <w:vAlign w:val="center"/>
          </w:tcPr>
          <w:p w14:paraId="66315324">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0.0073</w:t>
            </w:r>
          </w:p>
        </w:tc>
        <w:tc>
          <w:tcPr>
            <w:tcW w:w="951" w:type="dxa"/>
            <w:noWrap w:val="0"/>
            <w:vAlign w:val="center"/>
          </w:tcPr>
          <w:p w14:paraId="22968C61">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0.000844</w:t>
            </w:r>
          </w:p>
        </w:tc>
        <w:tc>
          <w:tcPr>
            <w:tcW w:w="913" w:type="dxa"/>
            <w:noWrap w:val="0"/>
            <w:vAlign w:val="center"/>
          </w:tcPr>
          <w:p w14:paraId="5E14FC9C">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2928</w:t>
            </w:r>
          </w:p>
        </w:tc>
      </w:tr>
      <w:tr w14:paraId="29CFBD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66298080">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7D187182">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37941712">
            <w:pPr>
              <w:pStyle w:val="42"/>
              <w:spacing w:before="81" w:after="81"/>
              <w:textAlignment w:val="center"/>
              <w:rPr>
                <w:rFonts w:ascii="Times New Roman" w:hAnsi="Times New Roman"/>
                <w:szCs w:val="21"/>
                <w:highlight w:val="none"/>
              </w:rPr>
            </w:pPr>
          </w:p>
        </w:tc>
        <w:tc>
          <w:tcPr>
            <w:tcW w:w="737" w:type="dxa"/>
            <w:vMerge w:val="continue"/>
            <w:noWrap w:val="0"/>
            <w:vAlign w:val="center"/>
          </w:tcPr>
          <w:p w14:paraId="1175A976">
            <w:pPr>
              <w:pStyle w:val="42"/>
              <w:spacing w:before="81" w:after="81"/>
              <w:textAlignment w:val="center"/>
              <w:rPr>
                <w:rFonts w:ascii="Times New Roman" w:hAnsi="Times New Roman"/>
                <w:szCs w:val="21"/>
                <w:highlight w:val="none"/>
              </w:rPr>
            </w:pPr>
          </w:p>
        </w:tc>
        <w:tc>
          <w:tcPr>
            <w:tcW w:w="660" w:type="dxa"/>
            <w:vMerge w:val="continue"/>
            <w:noWrap w:val="0"/>
            <w:vAlign w:val="center"/>
          </w:tcPr>
          <w:p w14:paraId="1942F696">
            <w:pPr>
              <w:pStyle w:val="42"/>
              <w:spacing w:before="81" w:after="81"/>
              <w:textAlignment w:val="center"/>
              <w:rPr>
                <w:rFonts w:ascii="Times New Roman" w:hAnsi="Times New Roman"/>
                <w:szCs w:val="21"/>
                <w:highlight w:val="none"/>
              </w:rPr>
            </w:pPr>
          </w:p>
        </w:tc>
        <w:tc>
          <w:tcPr>
            <w:tcW w:w="1430" w:type="dxa"/>
            <w:noWrap w:val="0"/>
            <w:vAlign w:val="center"/>
          </w:tcPr>
          <w:p w14:paraId="0B214A71">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298648（使用116MW+35t/h锅炉）</w:t>
            </w:r>
          </w:p>
        </w:tc>
        <w:tc>
          <w:tcPr>
            <w:tcW w:w="1059" w:type="dxa"/>
            <w:noWrap w:val="0"/>
            <w:vAlign w:val="center"/>
          </w:tcPr>
          <w:p w14:paraId="674F891E">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0.024</w:t>
            </w:r>
          </w:p>
        </w:tc>
        <w:tc>
          <w:tcPr>
            <w:tcW w:w="887" w:type="dxa"/>
            <w:noWrap w:val="0"/>
            <w:vAlign w:val="center"/>
          </w:tcPr>
          <w:p w14:paraId="767FCF13">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0.0073</w:t>
            </w:r>
          </w:p>
        </w:tc>
        <w:tc>
          <w:tcPr>
            <w:tcW w:w="1173" w:type="dxa"/>
            <w:vMerge w:val="continue"/>
            <w:noWrap w:val="0"/>
            <w:vAlign w:val="center"/>
          </w:tcPr>
          <w:p w14:paraId="70AC1486">
            <w:pPr>
              <w:pStyle w:val="42"/>
              <w:spacing w:before="81" w:after="81"/>
              <w:textAlignment w:val="center"/>
              <w:rPr>
                <w:rFonts w:ascii="Times New Roman" w:hAnsi="Times New Roman"/>
                <w:szCs w:val="21"/>
                <w:highlight w:val="none"/>
              </w:rPr>
            </w:pPr>
          </w:p>
        </w:tc>
        <w:tc>
          <w:tcPr>
            <w:tcW w:w="874" w:type="dxa"/>
            <w:vMerge w:val="continue"/>
            <w:noWrap w:val="0"/>
            <w:vAlign w:val="center"/>
          </w:tcPr>
          <w:p w14:paraId="2D656110">
            <w:pPr>
              <w:pStyle w:val="42"/>
              <w:spacing w:before="81" w:after="81"/>
              <w:textAlignment w:val="center"/>
              <w:rPr>
                <w:rFonts w:ascii="Times New Roman" w:hAnsi="Times New Roman"/>
                <w:szCs w:val="21"/>
                <w:highlight w:val="none"/>
              </w:rPr>
            </w:pPr>
          </w:p>
        </w:tc>
        <w:tc>
          <w:tcPr>
            <w:tcW w:w="805" w:type="dxa"/>
            <w:vMerge w:val="continue"/>
            <w:noWrap w:val="0"/>
            <w:vAlign w:val="center"/>
          </w:tcPr>
          <w:p w14:paraId="23AF5672">
            <w:pPr>
              <w:pStyle w:val="42"/>
              <w:spacing w:before="81" w:after="81"/>
              <w:textAlignment w:val="center"/>
              <w:rPr>
                <w:rFonts w:ascii="Times New Roman" w:hAnsi="Times New Roman"/>
                <w:szCs w:val="21"/>
                <w:highlight w:val="none"/>
              </w:rPr>
            </w:pPr>
          </w:p>
        </w:tc>
        <w:tc>
          <w:tcPr>
            <w:tcW w:w="1245" w:type="dxa"/>
            <w:noWrap w:val="0"/>
            <w:vAlign w:val="center"/>
          </w:tcPr>
          <w:p w14:paraId="37DDA874">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298648</w:t>
            </w:r>
          </w:p>
        </w:tc>
        <w:tc>
          <w:tcPr>
            <w:tcW w:w="936" w:type="dxa"/>
            <w:noWrap w:val="0"/>
            <w:vAlign w:val="center"/>
          </w:tcPr>
          <w:p w14:paraId="6090A505">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0.0073</w:t>
            </w:r>
          </w:p>
        </w:tc>
        <w:tc>
          <w:tcPr>
            <w:tcW w:w="951" w:type="dxa"/>
            <w:noWrap w:val="0"/>
            <w:vAlign w:val="center"/>
          </w:tcPr>
          <w:p w14:paraId="1AB72C57">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0.00219</w:t>
            </w:r>
          </w:p>
        </w:tc>
        <w:tc>
          <w:tcPr>
            <w:tcW w:w="913" w:type="dxa"/>
            <w:noWrap w:val="0"/>
            <w:vAlign w:val="center"/>
          </w:tcPr>
          <w:p w14:paraId="56D71644">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864</w:t>
            </w:r>
          </w:p>
        </w:tc>
      </w:tr>
      <w:tr w14:paraId="3A45AF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1A576FED">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74C8627F">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23C2255E">
            <w:pPr>
              <w:pStyle w:val="42"/>
              <w:spacing w:before="81" w:after="81"/>
              <w:textAlignment w:val="center"/>
              <w:rPr>
                <w:rFonts w:ascii="Times New Roman" w:hAnsi="Times New Roman"/>
                <w:szCs w:val="21"/>
                <w:highlight w:val="none"/>
              </w:rPr>
            </w:pPr>
          </w:p>
        </w:tc>
        <w:tc>
          <w:tcPr>
            <w:tcW w:w="737" w:type="dxa"/>
            <w:vMerge w:val="continue"/>
            <w:noWrap w:val="0"/>
            <w:vAlign w:val="center"/>
          </w:tcPr>
          <w:p w14:paraId="35FF8E5F">
            <w:pPr>
              <w:pStyle w:val="42"/>
              <w:spacing w:before="81" w:after="81"/>
              <w:textAlignment w:val="center"/>
              <w:rPr>
                <w:rFonts w:ascii="Times New Roman" w:hAnsi="Times New Roman"/>
                <w:szCs w:val="21"/>
                <w:highlight w:val="none"/>
              </w:rPr>
            </w:pPr>
          </w:p>
        </w:tc>
        <w:tc>
          <w:tcPr>
            <w:tcW w:w="660" w:type="dxa"/>
            <w:vMerge w:val="continue"/>
            <w:noWrap w:val="0"/>
            <w:vAlign w:val="center"/>
          </w:tcPr>
          <w:p w14:paraId="60F1DE26">
            <w:pPr>
              <w:pStyle w:val="42"/>
              <w:spacing w:before="81" w:after="81"/>
              <w:textAlignment w:val="center"/>
              <w:rPr>
                <w:rFonts w:ascii="Times New Roman" w:hAnsi="Times New Roman"/>
                <w:szCs w:val="21"/>
                <w:highlight w:val="none"/>
              </w:rPr>
            </w:pPr>
          </w:p>
        </w:tc>
        <w:tc>
          <w:tcPr>
            <w:tcW w:w="1430" w:type="dxa"/>
            <w:noWrap w:val="0"/>
            <w:vAlign w:val="center"/>
          </w:tcPr>
          <w:p w14:paraId="63350F0A">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80864（使用58MW锅炉）</w:t>
            </w:r>
          </w:p>
        </w:tc>
        <w:tc>
          <w:tcPr>
            <w:tcW w:w="1059" w:type="dxa"/>
            <w:noWrap w:val="0"/>
            <w:vAlign w:val="center"/>
          </w:tcPr>
          <w:p w14:paraId="27230BB4">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0.024</w:t>
            </w:r>
          </w:p>
        </w:tc>
        <w:tc>
          <w:tcPr>
            <w:tcW w:w="887" w:type="dxa"/>
            <w:noWrap w:val="0"/>
            <w:vAlign w:val="center"/>
          </w:tcPr>
          <w:p w14:paraId="515C529E">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0.00198</w:t>
            </w:r>
          </w:p>
        </w:tc>
        <w:tc>
          <w:tcPr>
            <w:tcW w:w="1173" w:type="dxa"/>
            <w:vMerge w:val="continue"/>
            <w:noWrap w:val="0"/>
            <w:vAlign w:val="center"/>
          </w:tcPr>
          <w:p w14:paraId="378FA631">
            <w:pPr>
              <w:pStyle w:val="42"/>
              <w:spacing w:before="81" w:after="81"/>
              <w:textAlignment w:val="center"/>
              <w:rPr>
                <w:rFonts w:ascii="Times New Roman" w:hAnsi="Times New Roman"/>
                <w:szCs w:val="21"/>
                <w:highlight w:val="none"/>
              </w:rPr>
            </w:pPr>
          </w:p>
        </w:tc>
        <w:tc>
          <w:tcPr>
            <w:tcW w:w="874" w:type="dxa"/>
            <w:vMerge w:val="continue"/>
            <w:noWrap w:val="0"/>
            <w:vAlign w:val="center"/>
          </w:tcPr>
          <w:p w14:paraId="27AF4B10">
            <w:pPr>
              <w:pStyle w:val="42"/>
              <w:spacing w:before="81" w:after="81"/>
              <w:textAlignment w:val="center"/>
              <w:rPr>
                <w:rFonts w:ascii="Times New Roman" w:hAnsi="Times New Roman"/>
                <w:szCs w:val="21"/>
                <w:highlight w:val="none"/>
              </w:rPr>
            </w:pPr>
          </w:p>
        </w:tc>
        <w:tc>
          <w:tcPr>
            <w:tcW w:w="805" w:type="dxa"/>
            <w:vMerge w:val="continue"/>
            <w:noWrap w:val="0"/>
            <w:vAlign w:val="center"/>
          </w:tcPr>
          <w:p w14:paraId="3A156655">
            <w:pPr>
              <w:pStyle w:val="42"/>
              <w:spacing w:before="81" w:after="81"/>
              <w:textAlignment w:val="center"/>
              <w:rPr>
                <w:rFonts w:ascii="Times New Roman" w:hAnsi="Times New Roman"/>
                <w:szCs w:val="21"/>
                <w:highlight w:val="none"/>
              </w:rPr>
            </w:pPr>
          </w:p>
        </w:tc>
        <w:tc>
          <w:tcPr>
            <w:tcW w:w="1245" w:type="dxa"/>
            <w:noWrap w:val="0"/>
            <w:vAlign w:val="center"/>
          </w:tcPr>
          <w:p w14:paraId="481D447C">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80864</w:t>
            </w:r>
          </w:p>
        </w:tc>
        <w:tc>
          <w:tcPr>
            <w:tcW w:w="936" w:type="dxa"/>
            <w:noWrap w:val="0"/>
            <w:vAlign w:val="center"/>
          </w:tcPr>
          <w:p w14:paraId="6C9FC702">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0.0073</w:t>
            </w:r>
          </w:p>
        </w:tc>
        <w:tc>
          <w:tcPr>
            <w:tcW w:w="951" w:type="dxa"/>
            <w:noWrap w:val="0"/>
            <w:vAlign w:val="center"/>
          </w:tcPr>
          <w:p w14:paraId="582E4680">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0.000594</w:t>
            </w:r>
          </w:p>
        </w:tc>
        <w:tc>
          <w:tcPr>
            <w:tcW w:w="913" w:type="dxa"/>
            <w:noWrap w:val="0"/>
            <w:vAlign w:val="center"/>
          </w:tcPr>
          <w:p w14:paraId="32751AFE">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720</w:t>
            </w:r>
          </w:p>
        </w:tc>
      </w:tr>
      <w:tr w14:paraId="226DBC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11322DDF">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08337350">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549FBFC8">
            <w:pPr>
              <w:pStyle w:val="42"/>
              <w:spacing w:before="81" w:after="81"/>
              <w:textAlignment w:val="center"/>
              <w:rPr>
                <w:rFonts w:ascii="Times New Roman" w:hAnsi="Times New Roman"/>
                <w:szCs w:val="21"/>
                <w:highlight w:val="none"/>
              </w:rPr>
            </w:pPr>
          </w:p>
        </w:tc>
        <w:tc>
          <w:tcPr>
            <w:tcW w:w="737" w:type="dxa"/>
            <w:vMerge w:val="restart"/>
            <w:noWrap w:val="0"/>
            <w:vAlign w:val="center"/>
          </w:tcPr>
          <w:p w14:paraId="02F180B4">
            <w:pPr>
              <w:pStyle w:val="42"/>
              <w:spacing w:before="81" w:after="81"/>
              <w:textAlignment w:val="center"/>
              <w:rPr>
                <w:rFonts w:ascii="Times New Roman" w:hAnsi="Times New Roman"/>
                <w:szCs w:val="21"/>
                <w:highlight w:val="none"/>
              </w:rPr>
            </w:pPr>
            <w:r>
              <w:rPr>
                <w:rFonts w:ascii="Times New Roman" w:hAnsi="Times New Roman"/>
                <w:szCs w:val="21"/>
                <w:highlight w:val="none"/>
              </w:rPr>
              <w:t>逃逸氨</w:t>
            </w:r>
          </w:p>
        </w:tc>
        <w:tc>
          <w:tcPr>
            <w:tcW w:w="660" w:type="dxa"/>
            <w:vMerge w:val="continue"/>
            <w:noWrap w:val="0"/>
            <w:vAlign w:val="center"/>
          </w:tcPr>
          <w:p w14:paraId="7FF88A18">
            <w:pPr>
              <w:pStyle w:val="42"/>
              <w:spacing w:before="81" w:after="81"/>
              <w:textAlignment w:val="center"/>
              <w:rPr>
                <w:rFonts w:ascii="Times New Roman" w:hAnsi="Times New Roman"/>
                <w:szCs w:val="21"/>
                <w:highlight w:val="none"/>
              </w:rPr>
            </w:pPr>
          </w:p>
        </w:tc>
        <w:tc>
          <w:tcPr>
            <w:tcW w:w="1430" w:type="dxa"/>
            <w:noWrap w:val="0"/>
            <w:vAlign w:val="center"/>
          </w:tcPr>
          <w:p w14:paraId="0A3185C6">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264580（单独使用116MW锅炉）</w:t>
            </w:r>
          </w:p>
        </w:tc>
        <w:tc>
          <w:tcPr>
            <w:tcW w:w="1059" w:type="dxa"/>
            <w:noWrap w:val="0"/>
            <w:vAlign w:val="center"/>
          </w:tcPr>
          <w:p w14:paraId="1358A5B1">
            <w:pPr>
              <w:pStyle w:val="42"/>
              <w:spacing w:before="81" w:after="81"/>
              <w:textAlignment w:val="center"/>
              <w:rPr>
                <w:rFonts w:ascii="Times New Roman" w:hAnsi="Times New Roman"/>
                <w:szCs w:val="21"/>
                <w:highlight w:val="none"/>
              </w:rPr>
            </w:pPr>
            <w:r>
              <w:rPr>
                <w:rFonts w:ascii="Times New Roman" w:hAnsi="Times New Roman"/>
                <w:szCs w:val="21"/>
                <w:highlight w:val="none"/>
              </w:rPr>
              <w:t>2.5</w:t>
            </w:r>
          </w:p>
        </w:tc>
        <w:tc>
          <w:tcPr>
            <w:tcW w:w="887" w:type="dxa"/>
            <w:noWrap w:val="0"/>
            <w:vAlign w:val="center"/>
          </w:tcPr>
          <w:p w14:paraId="6EF8C145">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0.66</w:t>
            </w:r>
          </w:p>
        </w:tc>
        <w:tc>
          <w:tcPr>
            <w:tcW w:w="1173" w:type="dxa"/>
            <w:vMerge w:val="restart"/>
            <w:noWrap w:val="0"/>
            <w:vAlign w:val="center"/>
          </w:tcPr>
          <w:p w14:paraId="0852D50C">
            <w:pPr>
              <w:pStyle w:val="42"/>
              <w:spacing w:before="81" w:after="81"/>
              <w:textAlignment w:val="center"/>
              <w:rPr>
                <w:rFonts w:ascii="Times New Roman" w:hAnsi="Times New Roman"/>
                <w:szCs w:val="21"/>
                <w:highlight w:val="none"/>
              </w:rPr>
            </w:pPr>
            <w:r>
              <w:rPr>
                <w:rFonts w:ascii="Times New Roman" w:hAnsi="Times New Roman"/>
                <w:szCs w:val="21"/>
                <w:highlight w:val="none"/>
              </w:rPr>
              <w:t>/</w:t>
            </w:r>
          </w:p>
        </w:tc>
        <w:tc>
          <w:tcPr>
            <w:tcW w:w="874" w:type="dxa"/>
            <w:vMerge w:val="restart"/>
            <w:noWrap w:val="0"/>
            <w:vAlign w:val="center"/>
          </w:tcPr>
          <w:p w14:paraId="70747099">
            <w:pPr>
              <w:pStyle w:val="42"/>
              <w:spacing w:before="81" w:after="81"/>
              <w:textAlignment w:val="center"/>
              <w:rPr>
                <w:rFonts w:ascii="Times New Roman" w:hAnsi="Times New Roman"/>
                <w:szCs w:val="21"/>
                <w:highlight w:val="none"/>
              </w:rPr>
            </w:pPr>
            <w:r>
              <w:rPr>
                <w:rFonts w:ascii="Times New Roman" w:hAnsi="Times New Roman"/>
                <w:szCs w:val="21"/>
                <w:highlight w:val="none"/>
              </w:rPr>
              <w:t>/</w:t>
            </w:r>
          </w:p>
        </w:tc>
        <w:tc>
          <w:tcPr>
            <w:tcW w:w="805" w:type="dxa"/>
            <w:vMerge w:val="continue"/>
            <w:noWrap w:val="0"/>
            <w:vAlign w:val="center"/>
          </w:tcPr>
          <w:p w14:paraId="4A8A0CAC">
            <w:pPr>
              <w:pStyle w:val="42"/>
              <w:spacing w:before="81" w:after="81"/>
              <w:textAlignment w:val="center"/>
              <w:rPr>
                <w:rFonts w:ascii="Times New Roman" w:hAnsi="Times New Roman"/>
                <w:szCs w:val="21"/>
                <w:highlight w:val="none"/>
              </w:rPr>
            </w:pPr>
          </w:p>
        </w:tc>
        <w:tc>
          <w:tcPr>
            <w:tcW w:w="1245" w:type="dxa"/>
            <w:noWrap w:val="0"/>
            <w:vAlign w:val="center"/>
          </w:tcPr>
          <w:p w14:paraId="70662CA2">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264580</w:t>
            </w:r>
          </w:p>
        </w:tc>
        <w:tc>
          <w:tcPr>
            <w:tcW w:w="936" w:type="dxa"/>
            <w:noWrap w:val="0"/>
            <w:vAlign w:val="center"/>
          </w:tcPr>
          <w:p w14:paraId="2772C515">
            <w:pPr>
              <w:pStyle w:val="42"/>
              <w:spacing w:before="81" w:after="81"/>
              <w:ind w:firstLine="0" w:firstLineChars="0"/>
              <w:textAlignment w:val="center"/>
              <w:rPr>
                <w:rFonts w:ascii="Times New Roman" w:hAnsi="Times New Roman"/>
                <w:szCs w:val="21"/>
                <w:highlight w:val="none"/>
              </w:rPr>
            </w:pPr>
            <w:r>
              <w:rPr>
                <w:rFonts w:ascii="Times New Roman" w:hAnsi="Times New Roman"/>
                <w:szCs w:val="21"/>
                <w:highlight w:val="none"/>
              </w:rPr>
              <w:t>2.5</w:t>
            </w:r>
          </w:p>
        </w:tc>
        <w:tc>
          <w:tcPr>
            <w:tcW w:w="951" w:type="dxa"/>
            <w:noWrap w:val="0"/>
            <w:vAlign w:val="center"/>
          </w:tcPr>
          <w:p w14:paraId="53946902">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0.66</w:t>
            </w:r>
          </w:p>
        </w:tc>
        <w:tc>
          <w:tcPr>
            <w:tcW w:w="913" w:type="dxa"/>
            <w:noWrap w:val="0"/>
            <w:vAlign w:val="center"/>
          </w:tcPr>
          <w:p w14:paraId="2C2E9562">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384</w:t>
            </w:r>
          </w:p>
        </w:tc>
      </w:tr>
      <w:tr w14:paraId="398C30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6335C548">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0707CA97">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56BB2F6D">
            <w:pPr>
              <w:pStyle w:val="42"/>
              <w:spacing w:before="81" w:after="81"/>
              <w:textAlignment w:val="center"/>
              <w:rPr>
                <w:rFonts w:ascii="Times New Roman" w:hAnsi="Times New Roman"/>
                <w:szCs w:val="21"/>
                <w:highlight w:val="none"/>
              </w:rPr>
            </w:pPr>
          </w:p>
        </w:tc>
        <w:tc>
          <w:tcPr>
            <w:tcW w:w="737" w:type="dxa"/>
            <w:vMerge w:val="continue"/>
            <w:noWrap w:val="0"/>
            <w:vAlign w:val="center"/>
          </w:tcPr>
          <w:p w14:paraId="459BBEC9">
            <w:pPr>
              <w:pStyle w:val="42"/>
              <w:spacing w:before="81" w:after="81"/>
              <w:textAlignment w:val="center"/>
              <w:rPr>
                <w:rFonts w:ascii="Times New Roman" w:hAnsi="Times New Roman"/>
                <w:szCs w:val="21"/>
                <w:highlight w:val="none"/>
              </w:rPr>
            </w:pPr>
          </w:p>
        </w:tc>
        <w:tc>
          <w:tcPr>
            <w:tcW w:w="660" w:type="dxa"/>
            <w:vMerge w:val="continue"/>
            <w:noWrap w:val="0"/>
            <w:vAlign w:val="center"/>
          </w:tcPr>
          <w:p w14:paraId="0B57F279">
            <w:pPr>
              <w:pStyle w:val="42"/>
              <w:spacing w:before="81" w:after="81"/>
              <w:textAlignment w:val="center"/>
              <w:rPr>
                <w:rFonts w:ascii="Times New Roman" w:hAnsi="Times New Roman"/>
                <w:szCs w:val="21"/>
                <w:highlight w:val="none"/>
              </w:rPr>
            </w:pPr>
          </w:p>
        </w:tc>
        <w:tc>
          <w:tcPr>
            <w:tcW w:w="1430" w:type="dxa"/>
            <w:noWrap w:val="0"/>
            <w:vAlign w:val="center"/>
          </w:tcPr>
          <w:p w14:paraId="6E2CD15D">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114936（使用58MW+35t/h锅炉）</w:t>
            </w:r>
          </w:p>
        </w:tc>
        <w:tc>
          <w:tcPr>
            <w:tcW w:w="1059" w:type="dxa"/>
            <w:noWrap w:val="0"/>
            <w:vAlign w:val="center"/>
          </w:tcPr>
          <w:p w14:paraId="7EC5317D">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2.5</w:t>
            </w:r>
          </w:p>
        </w:tc>
        <w:tc>
          <w:tcPr>
            <w:tcW w:w="887" w:type="dxa"/>
            <w:noWrap w:val="0"/>
            <w:vAlign w:val="center"/>
          </w:tcPr>
          <w:p w14:paraId="64906954">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0.287</w:t>
            </w:r>
          </w:p>
        </w:tc>
        <w:tc>
          <w:tcPr>
            <w:tcW w:w="1173" w:type="dxa"/>
            <w:vMerge w:val="continue"/>
            <w:noWrap w:val="0"/>
            <w:vAlign w:val="center"/>
          </w:tcPr>
          <w:p w14:paraId="44A2F38E">
            <w:pPr>
              <w:pStyle w:val="42"/>
              <w:spacing w:before="81" w:after="81"/>
              <w:textAlignment w:val="center"/>
              <w:rPr>
                <w:rFonts w:ascii="Times New Roman" w:hAnsi="Times New Roman"/>
                <w:szCs w:val="21"/>
                <w:highlight w:val="none"/>
              </w:rPr>
            </w:pPr>
          </w:p>
        </w:tc>
        <w:tc>
          <w:tcPr>
            <w:tcW w:w="874" w:type="dxa"/>
            <w:vMerge w:val="continue"/>
            <w:noWrap w:val="0"/>
            <w:vAlign w:val="center"/>
          </w:tcPr>
          <w:p w14:paraId="0CB37C41">
            <w:pPr>
              <w:pStyle w:val="42"/>
              <w:spacing w:before="81" w:after="81"/>
              <w:textAlignment w:val="center"/>
              <w:rPr>
                <w:rFonts w:ascii="Times New Roman" w:hAnsi="Times New Roman"/>
                <w:szCs w:val="21"/>
                <w:highlight w:val="none"/>
              </w:rPr>
            </w:pPr>
          </w:p>
        </w:tc>
        <w:tc>
          <w:tcPr>
            <w:tcW w:w="805" w:type="dxa"/>
            <w:vMerge w:val="continue"/>
            <w:noWrap w:val="0"/>
            <w:vAlign w:val="center"/>
          </w:tcPr>
          <w:p w14:paraId="65DA1354">
            <w:pPr>
              <w:pStyle w:val="42"/>
              <w:spacing w:before="81" w:after="81"/>
              <w:textAlignment w:val="center"/>
              <w:rPr>
                <w:rFonts w:ascii="Times New Roman" w:hAnsi="Times New Roman"/>
                <w:szCs w:val="21"/>
                <w:highlight w:val="none"/>
              </w:rPr>
            </w:pPr>
          </w:p>
        </w:tc>
        <w:tc>
          <w:tcPr>
            <w:tcW w:w="1245" w:type="dxa"/>
            <w:noWrap w:val="0"/>
            <w:vAlign w:val="center"/>
          </w:tcPr>
          <w:p w14:paraId="36FFB280">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114936</w:t>
            </w:r>
          </w:p>
        </w:tc>
        <w:tc>
          <w:tcPr>
            <w:tcW w:w="936" w:type="dxa"/>
            <w:noWrap w:val="0"/>
            <w:vAlign w:val="center"/>
          </w:tcPr>
          <w:p w14:paraId="59F5E00D">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2.5</w:t>
            </w:r>
          </w:p>
        </w:tc>
        <w:tc>
          <w:tcPr>
            <w:tcW w:w="951" w:type="dxa"/>
            <w:noWrap w:val="0"/>
            <w:vAlign w:val="center"/>
          </w:tcPr>
          <w:p w14:paraId="091931BA">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0.287</w:t>
            </w:r>
          </w:p>
        </w:tc>
        <w:tc>
          <w:tcPr>
            <w:tcW w:w="913" w:type="dxa"/>
            <w:noWrap w:val="0"/>
            <w:vAlign w:val="center"/>
          </w:tcPr>
          <w:p w14:paraId="1FE2A016">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2928</w:t>
            </w:r>
          </w:p>
        </w:tc>
      </w:tr>
      <w:tr w14:paraId="13892C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4874533A">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31EBB9E8">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6898BA22">
            <w:pPr>
              <w:pStyle w:val="42"/>
              <w:spacing w:before="81" w:after="81"/>
              <w:textAlignment w:val="center"/>
              <w:rPr>
                <w:rFonts w:ascii="Times New Roman" w:hAnsi="Times New Roman"/>
                <w:szCs w:val="21"/>
                <w:highlight w:val="none"/>
              </w:rPr>
            </w:pPr>
          </w:p>
        </w:tc>
        <w:tc>
          <w:tcPr>
            <w:tcW w:w="737" w:type="dxa"/>
            <w:vMerge w:val="continue"/>
            <w:noWrap w:val="0"/>
            <w:vAlign w:val="center"/>
          </w:tcPr>
          <w:p w14:paraId="298B9993">
            <w:pPr>
              <w:pStyle w:val="42"/>
              <w:spacing w:before="81" w:after="81"/>
              <w:textAlignment w:val="center"/>
              <w:rPr>
                <w:rFonts w:ascii="Times New Roman" w:hAnsi="Times New Roman"/>
                <w:szCs w:val="21"/>
                <w:highlight w:val="none"/>
              </w:rPr>
            </w:pPr>
          </w:p>
        </w:tc>
        <w:tc>
          <w:tcPr>
            <w:tcW w:w="660" w:type="dxa"/>
            <w:vMerge w:val="continue"/>
            <w:noWrap w:val="0"/>
            <w:vAlign w:val="center"/>
          </w:tcPr>
          <w:p w14:paraId="7BC15D28">
            <w:pPr>
              <w:pStyle w:val="42"/>
              <w:spacing w:before="81" w:after="81"/>
              <w:textAlignment w:val="center"/>
              <w:rPr>
                <w:rFonts w:ascii="Times New Roman" w:hAnsi="Times New Roman"/>
                <w:szCs w:val="21"/>
                <w:highlight w:val="none"/>
              </w:rPr>
            </w:pPr>
          </w:p>
        </w:tc>
        <w:tc>
          <w:tcPr>
            <w:tcW w:w="1430" w:type="dxa"/>
            <w:noWrap w:val="0"/>
            <w:vAlign w:val="center"/>
          </w:tcPr>
          <w:p w14:paraId="023E9CBE">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298648（使用116MW+35t/h锅炉）</w:t>
            </w:r>
          </w:p>
        </w:tc>
        <w:tc>
          <w:tcPr>
            <w:tcW w:w="1059" w:type="dxa"/>
            <w:noWrap w:val="0"/>
            <w:vAlign w:val="center"/>
          </w:tcPr>
          <w:p w14:paraId="5DEAFB74">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2.5</w:t>
            </w:r>
          </w:p>
        </w:tc>
        <w:tc>
          <w:tcPr>
            <w:tcW w:w="887" w:type="dxa"/>
            <w:noWrap w:val="0"/>
            <w:vAlign w:val="center"/>
          </w:tcPr>
          <w:p w14:paraId="0D7C0886">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0.745</w:t>
            </w:r>
          </w:p>
        </w:tc>
        <w:tc>
          <w:tcPr>
            <w:tcW w:w="1173" w:type="dxa"/>
            <w:vMerge w:val="continue"/>
            <w:noWrap w:val="0"/>
            <w:vAlign w:val="center"/>
          </w:tcPr>
          <w:p w14:paraId="31D33FEE">
            <w:pPr>
              <w:pStyle w:val="42"/>
              <w:spacing w:before="81" w:after="81"/>
              <w:textAlignment w:val="center"/>
              <w:rPr>
                <w:rFonts w:ascii="Times New Roman" w:hAnsi="Times New Roman"/>
                <w:szCs w:val="21"/>
                <w:highlight w:val="none"/>
              </w:rPr>
            </w:pPr>
          </w:p>
        </w:tc>
        <w:tc>
          <w:tcPr>
            <w:tcW w:w="874" w:type="dxa"/>
            <w:vMerge w:val="continue"/>
            <w:noWrap w:val="0"/>
            <w:vAlign w:val="center"/>
          </w:tcPr>
          <w:p w14:paraId="1B66609D">
            <w:pPr>
              <w:pStyle w:val="42"/>
              <w:spacing w:before="81" w:after="81"/>
              <w:textAlignment w:val="center"/>
              <w:rPr>
                <w:rFonts w:ascii="Times New Roman" w:hAnsi="Times New Roman"/>
                <w:szCs w:val="21"/>
                <w:highlight w:val="none"/>
              </w:rPr>
            </w:pPr>
          </w:p>
        </w:tc>
        <w:tc>
          <w:tcPr>
            <w:tcW w:w="805" w:type="dxa"/>
            <w:vMerge w:val="continue"/>
            <w:noWrap w:val="0"/>
            <w:vAlign w:val="center"/>
          </w:tcPr>
          <w:p w14:paraId="774C82C7">
            <w:pPr>
              <w:pStyle w:val="42"/>
              <w:spacing w:before="81" w:after="81"/>
              <w:textAlignment w:val="center"/>
              <w:rPr>
                <w:rFonts w:ascii="Times New Roman" w:hAnsi="Times New Roman"/>
                <w:szCs w:val="21"/>
                <w:highlight w:val="none"/>
              </w:rPr>
            </w:pPr>
          </w:p>
        </w:tc>
        <w:tc>
          <w:tcPr>
            <w:tcW w:w="1245" w:type="dxa"/>
            <w:noWrap w:val="0"/>
            <w:vAlign w:val="center"/>
          </w:tcPr>
          <w:p w14:paraId="1D747F79">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298648</w:t>
            </w:r>
          </w:p>
        </w:tc>
        <w:tc>
          <w:tcPr>
            <w:tcW w:w="936" w:type="dxa"/>
            <w:noWrap w:val="0"/>
            <w:vAlign w:val="center"/>
          </w:tcPr>
          <w:p w14:paraId="6AD049EB">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2.5</w:t>
            </w:r>
          </w:p>
        </w:tc>
        <w:tc>
          <w:tcPr>
            <w:tcW w:w="951" w:type="dxa"/>
            <w:noWrap w:val="0"/>
            <w:vAlign w:val="center"/>
          </w:tcPr>
          <w:p w14:paraId="2B7FC720">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0.745</w:t>
            </w:r>
          </w:p>
        </w:tc>
        <w:tc>
          <w:tcPr>
            <w:tcW w:w="913" w:type="dxa"/>
            <w:noWrap w:val="0"/>
            <w:vAlign w:val="center"/>
          </w:tcPr>
          <w:p w14:paraId="308A5C2B">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864</w:t>
            </w:r>
          </w:p>
        </w:tc>
      </w:tr>
      <w:tr w14:paraId="304983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7D45E7BF">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49381956">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665EFC89">
            <w:pPr>
              <w:pStyle w:val="42"/>
              <w:spacing w:before="81" w:after="81"/>
              <w:textAlignment w:val="center"/>
              <w:rPr>
                <w:rFonts w:ascii="Times New Roman" w:hAnsi="Times New Roman"/>
                <w:szCs w:val="21"/>
                <w:highlight w:val="none"/>
              </w:rPr>
            </w:pPr>
          </w:p>
        </w:tc>
        <w:tc>
          <w:tcPr>
            <w:tcW w:w="737" w:type="dxa"/>
            <w:vMerge w:val="continue"/>
            <w:noWrap w:val="0"/>
            <w:vAlign w:val="center"/>
          </w:tcPr>
          <w:p w14:paraId="5E875C1F">
            <w:pPr>
              <w:pStyle w:val="42"/>
              <w:spacing w:before="81" w:after="81"/>
              <w:textAlignment w:val="center"/>
              <w:rPr>
                <w:rFonts w:ascii="Times New Roman" w:hAnsi="Times New Roman"/>
                <w:szCs w:val="21"/>
                <w:highlight w:val="none"/>
              </w:rPr>
            </w:pPr>
          </w:p>
        </w:tc>
        <w:tc>
          <w:tcPr>
            <w:tcW w:w="660" w:type="dxa"/>
            <w:vMerge w:val="continue"/>
            <w:noWrap w:val="0"/>
            <w:vAlign w:val="center"/>
          </w:tcPr>
          <w:p w14:paraId="64D1647C">
            <w:pPr>
              <w:pStyle w:val="42"/>
              <w:spacing w:before="81" w:after="81"/>
              <w:textAlignment w:val="center"/>
              <w:rPr>
                <w:rFonts w:ascii="Times New Roman" w:hAnsi="Times New Roman"/>
                <w:szCs w:val="21"/>
                <w:highlight w:val="none"/>
              </w:rPr>
            </w:pPr>
          </w:p>
        </w:tc>
        <w:tc>
          <w:tcPr>
            <w:tcW w:w="1430" w:type="dxa"/>
            <w:noWrap w:val="0"/>
            <w:vAlign w:val="center"/>
          </w:tcPr>
          <w:p w14:paraId="5884AC92">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80864（使用58MW锅炉）</w:t>
            </w:r>
          </w:p>
        </w:tc>
        <w:tc>
          <w:tcPr>
            <w:tcW w:w="1059" w:type="dxa"/>
            <w:noWrap w:val="0"/>
            <w:vAlign w:val="center"/>
          </w:tcPr>
          <w:p w14:paraId="38697053">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2.5</w:t>
            </w:r>
          </w:p>
        </w:tc>
        <w:tc>
          <w:tcPr>
            <w:tcW w:w="887" w:type="dxa"/>
            <w:noWrap w:val="0"/>
            <w:vAlign w:val="center"/>
          </w:tcPr>
          <w:p w14:paraId="4EF91BDB">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0.202</w:t>
            </w:r>
          </w:p>
        </w:tc>
        <w:tc>
          <w:tcPr>
            <w:tcW w:w="1173" w:type="dxa"/>
            <w:vMerge w:val="continue"/>
            <w:noWrap w:val="0"/>
            <w:vAlign w:val="center"/>
          </w:tcPr>
          <w:p w14:paraId="465B42CD">
            <w:pPr>
              <w:pStyle w:val="42"/>
              <w:spacing w:before="81" w:after="81"/>
              <w:textAlignment w:val="center"/>
              <w:rPr>
                <w:rFonts w:ascii="Times New Roman" w:hAnsi="Times New Roman"/>
                <w:szCs w:val="21"/>
                <w:highlight w:val="none"/>
              </w:rPr>
            </w:pPr>
          </w:p>
        </w:tc>
        <w:tc>
          <w:tcPr>
            <w:tcW w:w="874" w:type="dxa"/>
            <w:vMerge w:val="continue"/>
            <w:noWrap w:val="0"/>
            <w:vAlign w:val="center"/>
          </w:tcPr>
          <w:p w14:paraId="6F429FDE">
            <w:pPr>
              <w:pStyle w:val="42"/>
              <w:spacing w:before="81" w:after="81"/>
              <w:textAlignment w:val="center"/>
              <w:rPr>
                <w:rFonts w:ascii="Times New Roman" w:hAnsi="Times New Roman"/>
                <w:szCs w:val="21"/>
                <w:highlight w:val="none"/>
              </w:rPr>
            </w:pPr>
          </w:p>
        </w:tc>
        <w:tc>
          <w:tcPr>
            <w:tcW w:w="805" w:type="dxa"/>
            <w:vMerge w:val="continue"/>
            <w:noWrap w:val="0"/>
            <w:vAlign w:val="center"/>
          </w:tcPr>
          <w:p w14:paraId="7501C3A9">
            <w:pPr>
              <w:pStyle w:val="42"/>
              <w:spacing w:before="81" w:after="81"/>
              <w:textAlignment w:val="center"/>
              <w:rPr>
                <w:rFonts w:ascii="Times New Roman" w:hAnsi="Times New Roman"/>
                <w:szCs w:val="21"/>
                <w:highlight w:val="none"/>
              </w:rPr>
            </w:pPr>
          </w:p>
        </w:tc>
        <w:tc>
          <w:tcPr>
            <w:tcW w:w="1245" w:type="dxa"/>
            <w:noWrap w:val="0"/>
            <w:vAlign w:val="center"/>
          </w:tcPr>
          <w:p w14:paraId="702EC4DB">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80864</w:t>
            </w:r>
          </w:p>
        </w:tc>
        <w:tc>
          <w:tcPr>
            <w:tcW w:w="936" w:type="dxa"/>
            <w:noWrap w:val="0"/>
            <w:vAlign w:val="center"/>
          </w:tcPr>
          <w:p w14:paraId="6E6003C5">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2.5</w:t>
            </w:r>
          </w:p>
        </w:tc>
        <w:tc>
          <w:tcPr>
            <w:tcW w:w="951" w:type="dxa"/>
            <w:noWrap w:val="0"/>
            <w:vAlign w:val="center"/>
          </w:tcPr>
          <w:p w14:paraId="397CA0E1">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0.202</w:t>
            </w:r>
          </w:p>
        </w:tc>
        <w:tc>
          <w:tcPr>
            <w:tcW w:w="913" w:type="dxa"/>
            <w:noWrap w:val="0"/>
            <w:vAlign w:val="center"/>
          </w:tcPr>
          <w:p w14:paraId="16177730">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720</w:t>
            </w:r>
          </w:p>
        </w:tc>
      </w:tr>
      <w:tr w14:paraId="54B72C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49971668">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4FC426CF">
            <w:pPr>
              <w:pStyle w:val="42"/>
              <w:spacing w:before="81" w:after="81"/>
              <w:textAlignment w:val="center"/>
              <w:rPr>
                <w:rFonts w:ascii="Times New Roman" w:hAnsi="Times New Roman"/>
                <w:szCs w:val="21"/>
                <w:highlight w:val="none"/>
              </w:rPr>
            </w:pPr>
          </w:p>
        </w:tc>
        <w:tc>
          <w:tcPr>
            <w:tcW w:w="748" w:type="dxa"/>
            <w:vMerge w:val="restart"/>
            <w:noWrap w:val="0"/>
            <w:vAlign w:val="center"/>
          </w:tcPr>
          <w:p w14:paraId="69C709B3">
            <w:pPr>
              <w:pStyle w:val="42"/>
              <w:spacing w:before="81" w:after="81"/>
              <w:textAlignment w:val="center"/>
              <w:rPr>
                <w:rFonts w:ascii="Times New Roman" w:hAnsi="Times New Roman"/>
                <w:szCs w:val="21"/>
                <w:highlight w:val="none"/>
              </w:rPr>
            </w:pPr>
            <w:r>
              <w:rPr>
                <w:rFonts w:hint="eastAsia" w:ascii="Times New Roman" w:hAnsi="Times New Roman"/>
                <w:szCs w:val="21"/>
                <w:highlight w:val="none"/>
                <w:lang w:val="en-US" w:eastAsia="zh-CN"/>
              </w:rPr>
              <w:t>60</w:t>
            </w:r>
            <w:r>
              <w:rPr>
                <w:rFonts w:ascii="Times New Roman" w:hAnsi="Times New Roman"/>
                <w:szCs w:val="21"/>
                <w:highlight w:val="none"/>
              </w:rPr>
              <w:t>m烟囱（非正常工况）</w:t>
            </w:r>
          </w:p>
        </w:tc>
        <w:tc>
          <w:tcPr>
            <w:tcW w:w="737" w:type="dxa"/>
            <w:vMerge w:val="restart"/>
            <w:noWrap w:val="0"/>
            <w:vAlign w:val="center"/>
          </w:tcPr>
          <w:p w14:paraId="2CD04299">
            <w:pPr>
              <w:pStyle w:val="42"/>
              <w:spacing w:before="81" w:after="81"/>
              <w:textAlignment w:val="center"/>
              <w:rPr>
                <w:rFonts w:ascii="Times New Roman" w:hAnsi="Times New Roman"/>
                <w:szCs w:val="21"/>
                <w:highlight w:val="none"/>
              </w:rPr>
            </w:pPr>
            <w:r>
              <w:rPr>
                <w:rFonts w:hint="eastAsia" w:ascii="Times New Roman" w:hAnsi="Times New Roman"/>
                <w:szCs w:val="21"/>
                <w:highlight w:val="none"/>
              </w:rPr>
              <w:t>烟尘</w:t>
            </w:r>
          </w:p>
        </w:tc>
        <w:tc>
          <w:tcPr>
            <w:tcW w:w="660" w:type="dxa"/>
            <w:vMerge w:val="restart"/>
            <w:noWrap w:val="0"/>
            <w:vAlign w:val="center"/>
          </w:tcPr>
          <w:p w14:paraId="71549A87">
            <w:pPr>
              <w:pStyle w:val="42"/>
              <w:spacing w:before="81" w:after="81"/>
              <w:textAlignment w:val="center"/>
              <w:rPr>
                <w:rFonts w:ascii="Times New Roman" w:hAnsi="Times New Roman"/>
                <w:szCs w:val="21"/>
                <w:highlight w:val="none"/>
              </w:rPr>
            </w:pPr>
            <w:r>
              <w:rPr>
                <w:rFonts w:ascii="Times New Roman" w:hAnsi="Times New Roman"/>
                <w:szCs w:val="21"/>
                <w:highlight w:val="none"/>
              </w:rPr>
              <w:t>物料衡算法</w:t>
            </w:r>
          </w:p>
        </w:tc>
        <w:tc>
          <w:tcPr>
            <w:tcW w:w="1430" w:type="dxa"/>
            <w:noWrap w:val="0"/>
            <w:vAlign w:val="center"/>
          </w:tcPr>
          <w:p w14:paraId="6DDB2EE3">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264580（单独使用116MW锅炉）</w:t>
            </w:r>
          </w:p>
        </w:tc>
        <w:tc>
          <w:tcPr>
            <w:tcW w:w="1059" w:type="dxa"/>
            <w:noWrap w:val="0"/>
            <w:vAlign w:val="center"/>
          </w:tcPr>
          <w:p w14:paraId="7CB09876">
            <w:pPr>
              <w:pStyle w:val="42"/>
              <w:spacing w:before="81" w:after="81"/>
              <w:ind w:firstLine="0" w:firstLineChars="0"/>
              <w:textAlignment w:val="center"/>
              <w:rPr>
                <w:rFonts w:ascii="Times New Roman" w:hAnsi="Times New Roman"/>
                <w:spacing w:val="-6"/>
                <w:szCs w:val="21"/>
                <w:highlight w:val="none"/>
              </w:rPr>
            </w:pPr>
            <w:r>
              <w:rPr>
                <w:rFonts w:hint="eastAsia" w:ascii="Times New Roman" w:hAnsi="Times New Roman" w:eastAsia="宋体"/>
                <w:szCs w:val="21"/>
                <w:highlight w:val="none"/>
                <w:lang w:val="en-US" w:eastAsia="zh-CN"/>
              </w:rPr>
              <w:t>8048.04</w:t>
            </w:r>
          </w:p>
        </w:tc>
        <w:tc>
          <w:tcPr>
            <w:tcW w:w="887" w:type="dxa"/>
            <w:noWrap w:val="0"/>
            <w:vAlign w:val="center"/>
          </w:tcPr>
          <w:p w14:paraId="3B0B2F1D">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eastAsia="宋体"/>
                <w:szCs w:val="21"/>
                <w:highlight w:val="none"/>
                <w:lang w:val="en-US" w:eastAsia="zh-CN"/>
              </w:rPr>
              <w:t>2130</w:t>
            </w:r>
          </w:p>
        </w:tc>
        <w:tc>
          <w:tcPr>
            <w:tcW w:w="1173" w:type="dxa"/>
            <w:vMerge w:val="restart"/>
            <w:noWrap w:val="0"/>
            <w:vAlign w:val="center"/>
          </w:tcPr>
          <w:p w14:paraId="7D02BEF5">
            <w:pPr>
              <w:pStyle w:val="42"/>
              <w:spacing w:before="81" w:after="81"/>
              <w:textAlignment w:val="center"/>
              <w:rPr>
                <w:rFonts w:ascii="Times New Roman" w:hAnsi="Times New Roman"/>
                <w:szCs w:val="21"/>
                <w:highlight w:val="none"/>
              </w:rPr>
            </w:pPr>
            <w:r>
              <w:rPr>
                <w:rFonts w:ascii="Times New Roman" w:hAnsi="Times New Roman"/>
                <w:szCs w:val="21"/>
                <w:highlight w:val="none"/>
              </w:rPr>
              <w:t>除尘器滤袋破损</w:t>
            </w:r>
          </w:p>
        </w:tc>
        <w:tc>
          <w:tcPr>
            <w:tcW w:w="874" w:type="dxa"/>
            <w:vMerge w:val="restart"/>
            <w:noWrap w:val="0"/>
            <w:vAlign w:val="center"/>
          </w:tcPr>
          <w:p w14:paraId="3F8D3F95">
            <w:pPr>
              <w:pStyle w:val="42"/>
              <w:spacing w:before="81" w:after="81"/>
              <w:textAlignment w:val="center"/>
              <w:rPr>
                <w:rFonts w:hint="eastAsia" w:ascii="Times New Roman" w:hAnsi="Times New Roman" w:eastAsia="新宋体"/>
                <w:szCs w:val="21"/>
                <w:highlight w:val="none"/>
                <w:lang w:eastAsia="zh-CN"/>
              </w:rPr>
            </w:pPr>
            <w:r>
              <w:rPr>
                <w:rFonts w:ascii="Times New Roman" w:hAnsi="Times New Roman"/>
                <w:szCs w:val="21"/>
                <w:highlight w:val="none"/>
              </w:rPr>
              <w:t>99.</w:t>
            </w:r>
            <w:r>
              <w:rPr>
                <w:rFonts w:hint="eastAsia" w:ascii="Times New Roman" w:hAnsi="Times New Roman"/>
                <w:szCs w:val="21"/>
                <w:highlight w:val="none"/>
                <w:lang w:val="en-US" w:eastAsia="zh-CN"/>
              </w:rPr>
              <w:t>8</w:t>
            </w:r>
          </w:p>
        </w:tc>
        <w:tc>
          <w:tcPr>
            <w:tcW w:w="805" w:type="dxa"/>
            <w:vMerge w:val="continue"/>
            <w:noWrap w:val="0"/>
            <w:vAlign w:val="center"/>
          </w:tcPr>
          <w:p w14:paraId="3E600928">
            <w:pPr>
              <w:pStyle w:val="42"/>
              <w:spacing w:before="81" w:after="81"/>
              <w:textAlignment w:val="center"/>
              <w:rPr>
                <w:rFonts w:ascii="Times New Roman" w:hAnsi="Times New Roman"/>
                <w:szCs w:val="21"/>
                <w:highlight w:val="none"/>
              </w:rPr>
            </w:pPr>
          </w:p>
        </w:tc>
        <w:tc>
          <w:tcPr>
            <w:tcW w:w="1245" w:type="dxa"/>
            <w:noWrap w:val="0"/>
            <w:vAlign w:val="center"/>
          </w:tcPr>
          <w:p w14:paraId="1222690B">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264580</w:t>
            </w:r>
          </w:p>
        </w:tc>
        <w:tc>
          <w:tcPr>
            <w:tcW w:w="936" w:type="dxa"/>
            <w:noWrap w:val="0"/>
            <w:vAlign w:val="center"/>
          </w:tcPr>
          <w:p w14:paraId="2E88160B">
            <w:pPr>
              <w:spacing w:line="240" w:lineRule="auto"/>
              <w:ind w:firstLine="0" w:firstLineChars="0"/>
              <w:jc w:val="center"/>
              <w:textAlignment w:val="center"/>
              <w:rPr>
                <w:rFonts w:ascii="Times New Roman" w:hAnsi="Times New Roman"/>
                <w:highlight w:val="none"/>
              </w:rPr>
            </w:pPr>
            <w:r>
              <w:rPr>
                <w:rFonts w:hint="eastAsia" w:ascii="Times New Roman" w:hAnsi="Times New Roman"/>
                <w:sz w:val="21"/>
                <w:highlight w:val="none"/>
                <w:lang w:val="en-US" w:eastAsia="zh-CN"/>
              </w:rPr>
              <w:t>16.09</w:t>
            </w:r>
          </w:p>
        </w:tc>
        <w:tc>
          <w:tcPr>
            <w:tcW w:w="951" w:type="dxa"/>
            <w:noWrap w:val="0"/>
            <w:vAlign w:val="center"/>
          </w:tcPr>
          <w:p w14:paraId="6319E855">
            <w:pPr>
              <w:spacing w:line="240" w:lineRule="auto"/>
              <w:ind w:firstLine="0" w:firstLineChars="0"/>
              <w:jc w:val="center"/>
              <w:textAlignment w:val="center"/>
              <w:rPr>
                <w:rFonts w:hint="eastAsia" w:ascii="Times New Roman" w:hAnsi="Times New Roman"/>
                <w:sz w:val="21"/>
                <w:highlight w:val="none"/>
              </w:rPr>
            </w:pPr>
            <w:r>
              <w:rPr>
                <w:rFonts w:hint="eastAsia" w:ascii="Times New Roman" w:hAnsi="Times New Roman"/>
                <w:sz w:val="21"/>
                <w:highlight w:val="none"/>
                <w:lang w:val="en-US" w:eastAsia="zh-CN"/>
              </w:rPr>
              <w:t>19.03</w:t>
            </w:r>
          </w:p>
        </w:tc>
        <w:tc>
          <w:tcPr>
            <w:tcW w:w="913" w:type="dxa"/>
            <w:vMerge w:val="restart"/>
            <w:noWrap w:val="0"/>
            <w:vAlign w:val="center"/>
          </w:tcPr>
          <w:p w14:paraId="69668D80">
            <w:pPr>
              <w:pStyle w:val="42"/>
              <w:spacing w:before="81" w:after="81"/>
              <w:textAlignment w:val="center"/>
              <w:rPr>
                <w:rFonts w:ascii="Times New Roman" w:hAnsi="Times New Roman"/>
                <w:szCs w:val="21"/>
                <w:highlight w:val="none"/>
              </w:rPr>
            </w:pPr>
            <w:r>
              <w:rPr>
                <w:rFonts w:hint="eastAsia" w:ascii="Times New Roman" w:hAnsi="Times New Roman"/>
                <w:szCs w:val="21"/>
                <w:highlight w:val="none"/>
              </w:rPr>
              <w:t>24</w:t>
            </w:r>
          </w:p>
        </w:tc>
      </w:tr>
      <w:tr w14:paraId="2E07DB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53CC950C">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113E0F20">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373EA94B">
            <w:pPr>
              <w:pStyle w:val="42"/>
              <w:spacing w:before="81" w:after="81"/>
              <w:textAlignment w:val="center"/>
              <w:rPr>
                <w:rFonts w:hint="eastAsia" w:ascii="Times New Roman" w:hAnsi="Times New Roman"/>
                <w:szCs w:val="21"/>
                <w:highlight w:val="none"/>
                <w:lang w:val="en-US" w:eastAsia="zh-CN"/>
              </w:rPr>
            </w:pPr>
          </w:p>
        </w:tc>
        <w:tc>
          <w:tcPr>
            <w:tcW w:w="737" w:type="dxa"/>
            <w:vMerge w:val="continue"/>
            <w:noWrap w:val="0"/>
            <w:vAlign w:val="center"/>
          </w:tcPr>
          <w:p w14:paraId="66ECDC1B">
            <w:pPr>
              <w:pStyle w:val="42"/>
              <w:spacing w:before="81" w:after="81"/>
              <w:textAlignment w:val="center"/>
              <w:rPr>
                <w:rFonts w:hint="eastAsia" w:ascii="Times New Roman" w:hAnsi="Times New Roman"/>
                <w:szCs w:val="21"/>
                <w:highlight w:val="none"/>
              </w:rPr>
            </w:pPr>
          </w:p>
        </w:tc>
        <w:tc>
          <w:tcPr>
            <w:tcW w:w="660" w:type="dxa"/>
            <w:vMerge w:val="continue"/>
            <w:noWrap w:val="0"/>
            <w:vAlign w:val="center"/>
          </w:tcPr>
          <w:p w14:paraId="6D407AB8">
            <w:pPr>
              <w:pStyle w:val="42"/>
              <w:spacing w:before="81" w:after="81"/>
              <w:textAlignment w:val="center"/>
              <w:rPr>
                <w:rFonts w:ascii="Times New Roman" w:hAnsi="Times New Roman"/>
                <w:szCs w:val="21"/>
                <w:highlight w:val="none"/>
              </w:rPr>
            </w:pPr>
          </w:p>
        </w:tc>
        <w:tc>
          <w:tcPr>
            <w:tcW w:w="1430" w:type="dxa"/>
            <w:noWrap w:val="0"/>
            <w:vAlign w:val="center"/>
          </w:tcPr>
          <w:p w14:paraId="77B1E248">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114936（使用58MW+35t/h锅炉）</w:t>
            </w:r>
          </w:p>
        </w:tc>
        <w:tc>
          <w:tcPr>
            <w:tcW w:w="1059" w:type="dxa"/>
            <w:noWrap w:val="0"/>
            <w:vAlign w:val="center"/>
          </w:tcPr>
          <w:p w14:paraId="52FC7120">
            <w:pPr>
              <w:pStyle w:val="42"/>
              <w:spacing w:before="81" w:after="81"/>
              <w:ind w:firstLine="0" w:firstLineChars="0"/>
              <w:textAlignment w:val="center"/>
              <w:rPr>
                <w:rFonts w:ascii="Times New Roman" w:hAnsi="Times New Roman" w:eastAsia="宋体"/>
                <w:szCs w:val="21"/>
                <w:highlight w:val="none"/>
              </w:rPr>
            </w:pPr>
            <w:r>
              <w:rPr>
                <w:rFonts w:hint="eastAsia" w:ascii="Times New Roman" w:hAnsi="Times New Roman" w:eastAsia="宋体"/>
                <w:szCs w:val="21"/>
                <w:highlight w:val="none"/>
                <w:lang w:val="en-US" w:eastAsia="zh-CN"/>
              </w:rPr>
              <w:t>8048.04</w:t>
            </w:r>
          </w:p>
        </w:tc>
        <w:tc>
          <w:tcPr>
            <w:tcW w:w="887" w:type="dxa"/>
            <w:noWrap w:val="0"/>
            <w:vAlign w:val="center"/>
          </w:tcPr>
          <w:p w14:paraId="4A7FD345">
            <w:pPr>
              <w:pStyle w:val="42"/>
              <w:spacing w:before="81" w:after="81"/>
              <w:ind w:firstLine="0" w:firstLineChars="0"/>
              <w:textAlignment w:val="center"/>
              <w:rPr>
                <w:rFonts w:hint="eastAsia" w:ascii="Times New Roman" w:hAnsi="Times New Roman" w:eastAsia="宋体"/>
                <w:szCs w:val="21"/>
                <w:highlight w:val="none"/>
              </w:rPr>
            </w:pPr>
            <w:r>
              <w:rPr>
                <w:rFonts w:hint="eastAsia" w:ascii="Times New Roman" w:hAnsi="Times New Roman" w:eastAsia="宋体"/>
                <w:szCs w:val="21"/>
                <w:highlight w:val="none"/>
                <w:lang w:val="en-US" w:eastAsia="zh-CN"/>
              </w:rPr>
              <w:t>920</w:t>
            </w:r>
          </w:p>
        </w:tc>
        <w:tc>
          <w:tcPr>
            <w:tcW w:w="1173" w:type="dxa"/>
            <w:vMerge w:val="continue"/>
            <w:noWrap w:val="0"/>
            <w:vAlign w:val="center"/>
          </w:tcPr>
          <w:p w14:paraId="2BB1F98E">
            <w:pPr>
              <w:pStyle w:val="42"/>
              <w:spacing w:before="81" w:after="81"/>
              <w:textAlignment w:val="center"/>
              <w:rPr>
                <w:rFonts w:ascii="Times New Roman" w:hAnsi="Times New Roman"/>
                <w:szCs w:val="21"/>
                <w:highlight w:val="none"/>
              </w:rPr>
            </w:pPr>
          </w:p>
        </w:tc>
        <w:tc>
          <w:tcPr>
            <w:tcW w:w="874" w:type="dxa"/>
            <w:vMerge w:val="continue"/>
            <w:noWrap w:val="0"/>
            <w:vAlign w:val="center"/>
          </w:tcPr>
          <w:p w14:paraId="5CDD48B8">
            <w:pPr>
              <w:pStyle w:val="42"/>
              <w:spacing w:before="81" w:after="81"/>
              <w:textAlignment w:val="center"/>
              <w:rPr>
                <w:rFonts w:ascii="Times New Roman" w:hAnsi="Times New Roman"/>
                <w:szCs w:val="21"/>
                <w:highlight w:val="none"/>
              </w:rPr>
            </w:pPr>
          </w:p>
        </w:tc>
        <w:tc>
          <w:tcPr>
            <w:tcW w:w="805" w:type="dxa"/>
            <w:vMerge w:val="continue"/>
            <w:noWrap w:val="0"/>
            <w:vAlign w:val="center"/>
          </w:tcPr>
          <w:p w14:paraId="7CCB184E">
            <w:pPr>
              <w:pStyle w:val="42"/>
              <w:spacing w:before="81" w:after="81"/>
              <w:textAlignment w:val="center"/>
              <w:rPr>
                <w:rFonts w:ascii="Times New Roman" w:hAnsi="Times New Roman"/>
                <w:szCs w:val="21"/>
                <w:highlight w:val="none"/>
              </w:rPr>
            </w:pPr>
          </w:p>
        </w:tc>
        <w:tc>
          <w:tcPr>
            <w:tcW w:w="1245" w:type="dxa"/>
            <w:noWrap w:val="0"/>
            <w:vAlign w:val="center"/>
          </w:tcPr>
          <w:p w14:paraId="4641499B">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114936</w:t>
            </w:r>
          </w:p>
        </w:tc>
        <w:tc>
          <w:tcPr>
            <w:tcW w:w="936" w:type="dxa"/>
            <w:noWrap w:val="0"/>
            <w:vAlign w:val="center"/>
          </w:tcPr>
          <w:p w14:paraId="100987E1">
            <w:pPr>
              <w:spacing w:line="240" w:lineRule="auto"/>
              <w:ind w:firstLine="0" w:firstLineChars="0"/>
              <w:jc w:val="center"/>
              <w:textAlignment w:val="center"/>
              <w:rPr>
                <w:rFonts w:hint="eastAsia" w:ascii="Times New Roman" w:hAnsi="Times New Roman"/>
                <w:sz w:val="21"/>
                <w:highlight w:val="none"/>
              </w:rPr>
            </w:pPr>
            <w:r>
              <w:rPr>
                <w:rFonts w:hint="eastAsia" w:ascii="Times New Roman" w:hAnsi="Times New Roman"/>
                <w:sz w:val="21"/>
                <w:highlight w:val="none"/>
                <w:lang w:val="en-US" w:eastAsia="zh-CN"/>
              </w:rPr>
              <w:t>16.09</w:t>
            </w:r>
          </w:p>
        </w:tc>
        <w:tc>
          <w:tcPr>
            <w:tcW w:w="951" w:type="dxa"/>
            <w:noWrap w:val="0"/>
            <w:vAlign w:val="center"/>
          </w:tcPr>
          <w:p w14:paraId="0B65DBA1">
            <w:pPr>
              <w:spacing w:line="240" w:lineRule="auto"/>
              <w:ind w:firstLine="0" w:firstLineChars="0"/>
              <w:jc w:val="center"/>
              <w:textAlignment w:val="center"/>
              <w:rPr>
                <w:rFonts w:hint="eastAsia" w:ascii="Times New Roman" w:hAnsi="Times New Roman"/>
                <w:sz w:val="21"/>
                <w:highlight w:val="none"/>
              </w:rPr>
            </w:pPr>
            <w:r>
              <w:rPr>
                <w:rFonts w:hint="eastAsia" w:ascii="Times New Roman" w:hAnsi="Times New Roman"/>
                <w:sz w:val="21"/>
                <w:highlight w:val="none"/>
                <w:lang w:val="en-US" w:eastAsia="zh-CN"/>
              </w:rPr>
              <w:t>18.54</w:t>
            </w:r>
          </w:p>
        </w:tc>
        <w:tc>
          <w:tcPr>
            <w:tcW w:w="913" w:type="dxa"/>
            <w:vMerge w:val="continue"/>
            <w:noWrap w:val="0"/>
            <w:vAlign w:val="center"/>
          </w:tcPr>
          <w:p w14:paraId="11C3119B">
            <w:pPr>
              <w:pStyle w:val="42"/>
              <w:spacing w:before="81" w:after="81"/>
              <w:textAlignment w:val="center"/>
              <w:rPr>
                <w:rFonts w:hint="eastAsia" w:ascii="Times New Roman" w:hAnsi="Times New Roman"/>
                <w:szCs w:val="21"/>
                <w:highlight w:val="none"/>
              </w:rPr>
            </w:pPr>
          </w:p>
        </w:tc>
      </w:tr>
      <w:tr w14:paraId="1BBBE0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21D2E827">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5C78EB07">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47151111">
            <w:pPr>
              <w:pStyle w:val="42"/>
              <w:spacing w:before="81" w:after="81"/>
              <w:textAlignment w:val="center"/>
              <w:rPr>
                <w:rFonts w:hint="eastAsia" w:ascii="Times New Roman" w:hAnsi="Times New Roman"/>
                <w:szCs w:val="21"/>
                <w:highlight w:val="none"/>
                <w:lang w:val="en-US" w:eastAsia="zh-CN"/>
              </w:rPr>
            </w:pPr>
          </w:p>
        </w:tc>
        <w:tc>
          <w:tcPr>
            <w:tcW w:w="737" w:type="dxa"/>
            <w:vMerge w:val="continue"/>
            <w:noWrap w:val="0"/>
            <w:vAlign w:val="center"/>
          </w:tcPr>
          <w:p w14:paraId="7855B58C">
            <w:pPr>
              <w:pStyle w:val="42"/>
              <w:spacing w:before="81" w:after="81"/>
              <w:textAlignment w:val="center"/>
              <w:rPr>
                <w:rFonts w:hint="eastAsia" w:ascii="Times New Roman" w:hAnsi="Times New Roman"/>
                <w:szCs w:val="21"/>
                <w:highlight w:val="none"/>
              </w:rPr>
            </w:pPr>
          </w:p>
        </w:tc>
        <w:tc>
          <w:tcPr>
            <w:tcW w:w="660" w:type="dxa"/>
            <w:vMerge w:val="continue"/>
            <w:noWrap w:val="0"/>
            <w:vAlign w:val="center"/>
          </w:tcPr>
          <w:p w14:paraId="0C17C0DC">
            <w:pPr>
              <w:pStyle w:val="42"/>
              <w:spacing w:before="81" w:after="81"/>
              <w:textAlignment w:val="center"/>
              <w:rPr>
                <w:rFonts w:ascii="Times New Roman" w:hAnsi="Times New Roman"/>
                <w:szCs w:val="21"/>
                <w:highlight w:val="none"/>
              </w:rPr>
            </w:pPr>
          </w:p>
        </w:tc>
        <w:tc>
          <w:tcPr>
            <w:tcW w:w="1430" w:type="dxa"/>
            <w:noWrap w:val="0"/>
            <w:vAlign w:val="center"/>
          </w:tcPr>
          <w:p w14:paraId="49E6FCD4">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298648（使用116MW+35t/h锅炉）</w:t>
            </w:r>
          </w:p>
        </w:tc>
        <w:tc>
          <w:tcPr>
            <w:tcW w:w="1059" w:type="dxa"/>
            <w:noWrap w:val="0"/>
            <w:vAlign w:val="center"/>
          </w:tcPr>
          <w:p w14:paraId="6AB52C19">
            <w:pPr>
              <w:pStyle w:val="42"/>
              <w:spacing w:before="81" w:after="81"/>
              <w:ind w:firstLine="0" w:firstLineChars="0"/>
              <w:textAlignment w:val="center"/>
              <w:rPr>
                <w:rFonts w:ascii="Times New Roman" w:hAnsi="Times New Roman" w:eastAsia="宋体"/>
                <w:szCs w:val="21"/>
                <w:highlight w:val="none"/>
              </w:rPr>
            </w:pPr>
            <w:r>
              <w:rPr>
                <w:rFonts w:hint="eastAsia" w:ascii="Times New Roman" w:hAnsi="Times New Roman" w:eastAsia="宋体"/>
                <w:szCs w:val="21"/>
                <w:highlight w:val="none"/>
                <w:lang w:val="en-US" w:eastAsia="zh-CN"/>
              </w:rPr>
              <w:t>8048.04</w:t>
            </w:r>
          </w:p>
        </w:tc>
        <w:tc>
          <w:tcPr>
            <w:tcW w:w="887" w:type="dxa"/>
            <w:noWrap w:val="0"/>
            <w:vAlign w:val="center"/>
          </w:tcPr>
          <w:p w14:paraId="214AB55B">
            <w:pPr>
              <w:pStyle w:val="42"/>
              <w:spacing w:before="81" w:after="81"/>
              <w:ind w:firstLine="0" w:firstLineChars="0"/>
              <w:textAlignment w:val="center"/>
              <w:rPr>
                <w:rFonts w:hint="eastAsia" w:ascii="Times New Roman" w:hAnsi="Times New Roman" w:eastAsia="宋体"/>
                <w:szCs w:val="21"/>
                <w:highlight w:val="none"/>
              </w:rPr>
            </w:pPr>
            <w:r>
              <w:rPr>
                <w:rFonts w:hint="eastAsia" w:ascii="Times New Roman" w:hAnsi="Times New Roman" w:eastAsia="宋体"/>
                <w:szCs w:val="21"/>
                <w:highlight w:val="none"/>
                <w:lang w:val="en-US" w:eastAsia="zh-CN"/>
              </w:rPr>
              <w:t>2400</w:t>
            </w:r>
          </w:p>
        </w:tc>
        <w:tc>
          <w:tcPr>
            <w:tcW w:w="1173" w:type="dxa"/>
            <w:vMerge w:val="continue"/>
            <w:noWrap w:val="0"/>
            <w:vAlign w:val="center"/>
          </w:tcPr>
          <w:p w14:paraId="6AE978A7">
            <w:pPr>
              <w:pStyle w:val="42"/>
              <w:spacing w:before="81" w:after="81"/>
              <w:textAlignment w:val="center"/>
              <w:rPr>
                <w:rFonts w:ascii="Times New Roman" w:hAnsi="Times New Roman"/>
                <w:szCs w:val="21"/>
                <w:highlight w:val="none"/>
              </w:rPr>
            </w:pPr>
          </w:p>
        </w:tc>
        <w:tc>
          <w:tcPr>
            <w:tcW w:w="874" w:type="dxa"/>
            <w:vMerge w:val="continue"/>
            <w:noWrap w:val="0"/>
            <w:vAlign w:val="center"/>
          </w:tcPr>
          <w:p w14:paraId="13C06521">
            <w:pPr>
              <w:pStyle w:val="42"/>
              <w:spacing w:before="81" w:after="81"/>
              <w:textAlignment w:val="center"/>
              <w:rPr>
                <w:rFonts w:ascii="Times New Roman" w:hAnsi="Times New Roman"/>
                <w:szCs w:val="21"/>
                <w:highlight w:val="none"/>
              </w:rPr>
            </w:pPr>
          </w:p>
        </w:tc>
        <w:tc>
          <w:tcPr>
            <w:tcW w:w="805" w:type="dxa"/>
            <w:vMerge w:val="continue"/>
            <w:noWrap w:val="0"/>
            <w:vAlign w:val="center"/>
          </w:tcPr>
          <w:p w14:paraId="6251E71E">
            <w:pPr>
              <w:pStyle w:val="42"/>
              <w:spacing w:before="81" w:after="81"/>
              <w:textAlignment w:val="center"/>
              <w:rPr>
                <w:rFonts w:ascii="Times New Roman" w:hAnsi="Times New Roman"/>
                <w:szCs w:val="21"/>
                <w:highlight w:val="none"/>
              </w:rPr>
            </w:pPr>
          </w:p>
        </w:tc>
        <w:tc>
          <w:tcPr>
            <w:tcW w:w="1245" w:type="dxa"/>
            <w:noWrap w:val="0"/>
            <w:vAlign w:val="center"/>
          </w:tcPr>
          <w:p w14:paraId="00A9314E">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298648</w:t>
            </w:r>
          </w:p>
        </w:tc>
        <w:tc>
          <w:tcPr>
            <w:tcW w:w="936" w:type="dxa"/>
            <w:noWrap w:val="0"/>
            <w:vAlign w:val="center"/>
          </w:tcPr>
          <w:p w14:paraId="49C7E29F">
            <w:pPr>
              <w:spacing w:line="240" w:lineRule="auto"/>
              <w:ind w:firstLine="0" w:firstLineChars="0"/>
              <w:jc w:val="center"/>
              <w:textAlignment w:val="center"/>
              <w:rPr>
                <w:rFonts w:hint="eastAsia" w:ascii="Times New Roman" w:hAnsi="Times New Roman"/>
                <w:sz w:val="21"/>
                <w:highlight w:val="none"/>
              </w:rPr>
            </w:pPr>
            <w:r>
              <w:rPr>
                <w:rFonts w:hint="eastAsia" w:ascii="Times New Roman" w:hAnsi="Times New Roman"/>
                <w:sz w:val="21"/>
                <w:highlight w:val="none"/>
                <w:lang w:val="en-US" w:eastAsia="zh-CN"/>
              </w:rPr>
              <w:t>16.09</w:t>
            </w:r>
          </w:p>
        </w:tc>
        <w:tc>
          <w:tcPr>
            <w:tcW w:w="951" w:type="dxa"/>
            <w:noWrap w:val="0"/>
            <w:vAlign w:val="center"/>
          </w:tcPr>
          <w:p w14:paraId="33DA0FBA">
            <w:pPr>
              <w:spacing w:line="240" w:lineRule="auto"/>
              <w:ind w:firstLine="0" w:firstLineChars="0"/>
              <w:jc w:val="center"/>
              <w:textAlignment w:val="center"/>
              <w:rPr>
                <w:rFonts w:hint="eastAsia" w:ascii="Times New Roman" w:hAnsi="Times New Roman"/>
                <w:sz w:val="21"/>
                <w:highlight w:val="none"/>
              </w:rPr>
            </w:pPr>
            <w:r>
              <w:rPr>
                <w:rFonts w:hint="eastAsia" w:ascii="Times New Roman" w:hAnsi="Times New Roman"/>
                <w:sz w:val="21"/>
                <w:highlight w:val="none"/>
                <w:lang w:val="en-US" w:eastAsia="zh-CN"/>
              </w:rPr>
              <w:t>19.13</w:t>
            </w:r>
          </w:p>
        </w:tc>
        <w:tc>
          <w:tcPr>
            <w:tcW w:w="913" w:type="dxa"/>
            <w:vMerge w:val="continue"/>
            <w:noWrap w:val="0"/>
            <w:vAlign w:val="center"/>
          </w:tcPr>
          <w:p w14:paraId="3ACF936F">
            <w:pPr>
              <w:pStyle w:val="42"/>
              <w:spacing w:before="81" w:after="81"/>
              <w:textAlignment w:val="center"/>
              <w:rPr>
                <w:rFonts w:hint="eastAsia" w:ascii="Times New Roman" w:hAnsi="Times New Roman"/>
                <w:szCs w:val="21"/>
                <w:highlight w:val="none"/>
              </w:rPr>
            </w:pPr>
          </w:p>
        </w:tc>
      </w:tr>
      <w:tr w14:paraId="2C03B2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5A41AD37">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5D828A55">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6F164CBF">
            <w:pPr>
              <w:pStyle w:val="42"/>
              <w:spacing w:before="81" w:after="81"/>
              <w:textAlignment w:val="center"/>
              <w:rPr>
                <w:rFonts w:hint="eastAsia" w:ascii="Times New Roman" w:hAnsi="Times New Roman"/>
                <w:szCs w:val="21"/>
                <w:highlight w:val="none"/>
                <w:lang w:val="en-US" w:eastAsia="zh-CN"/>
              </w:rPr>
            </w:pPr>
          </w:p>
        </w:tc>
        <w:tc>
          <w:tcPr>
            <w:tcW w:w="737" w:type="dxa"/>
            <w:vMerge w:val="continue"/>
            <w:noWrap w:val="0"/>
            <w:vAlign w:val="center"/>
          </w:tcPr>
          <w:p w14:paraId="55BC0065">
            <w:pPr>
              <w:pStyle w:val="42"/>
              <w:spacing w:before="81" w:after="81"/>
              <w:textAlignment w:val="center"/>
              <w:rPr>
                <w:rFonts w:hint="eastAsia" w:ascii="Times New Roman" w:hAnsi="Times New Roman"/>
                <w:szCs w:val="21"/>
                <w:highlight w:val="none"/>
              </w:rPr>
            </w:pPr>
          </w:p>
        </w:tc>
        <w:tc>
          <w:tcPr>
            <w:tcW w:w="660" w:type="dxa"/>
            <w:vMerge w:val="continue"/>
            <w:noWrap w:val="0"/>
            <w:vAlign w:val="center"/>
          </w:tcPr>
          <w:p w14:paraId="0CC0EC14">
            <w:pPr>
              <w:pStyle w:val="42"/>
              <w:spacing w:before="81" w:after="81"/>
              <w:textAlignment w:val="center"/>
              <w:rPr>
                <w:rFonts w:ascii="Times New Roman" w:hAnsi="Times New Roman"/>
                <w:szCs w:val="21"/>
                <w:highlight w:val="none"/>
              </w:rPr>
            </w:pPr>
          </w:p>
        </w:tc>
        <w:tc>
          <w:tcPr>
            <w:tcW w:w="1430" w:type="dxa"/>
            <w:noWrap w:val="0"/>
            <w:vAlign w:val="center"/>
          </w:tcPr>
          <w:p w14:paraId="0C52AD42">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80864（使用58MW锅炉）</w:t>
            </w:r>
          </w:p>
        </w:tc>
        <w:tc>
          <w:tcPr>
            <w:tcW w:w="1059" w:type="dxa"/>
            <w:noWrap w:val="0"/>
            <w:vAlign w:val="center"/>
          </w:tcPr>
          <w:p w14:paraId="1C43C215">
            <w:pPr>
              <w:pStyle w:val="42"/>
              <w:spacing w:before="81" w:after="81"/>
              <w:ind w:firstLine="0" w:firstLineChars="0"/>
              <w:textAlignment w:val="center"/>
              <w:rPr>
                <w:rFonts w:ascii="Times New Roman" w:hAnsi="Times New Roman" w:eastAsia="宋体"/>
                <w:szCs w:val="21"/>
                <w:highlight w:val="none"/>
              </w:rPr>
            </w:pPr>
            <w:r>
              <w:rPr>
                <w:rFonts w:hint="eastAsia" w:ascii="Times New Roman" w:hAnsi="Times New Roman" w:eastAsia="宋体"/>
                <w:szCs w:val="21"/>
                <w:highlight w:val="none"/>
                <w:lang w:val="en-US" w:eastAsia="zh-CN"/>
              </w:rPr>
              <w:t>8048.04</w:t>
            </w:r>
          </w:p>
        </w:tc>
        <w:tc>
          <w:tcPr>
            <w:tcW w:w="887" w:type="dxa"/>
            <w:noWrap w:val="0"/>
            <w:vAlign w:val="center"/>
          </w:tcPr>
          <w:p w14:paraId="0131938E">
            <w:pPr>
              <w:pStyle w:val="42"/>
              <w:spacing w:before="81" w:after="81"/>
              <w:ind w:firstLine="0" w:firstLineChars="0"/>
              <w:textAlignment w:val="center"/>
              <w:rPr>
                <w:rFonts w:hint="eastAsia" w:ascii="Times New Roman" w:hAnsi="Times New Roman" w:eastAsia="宋体"/>
                <w:szCs w:val="21"/>
                <w:highlight w:val="none"/>
              </w:rPr>
            </w:pPr>
            <w:r>
              <w:rPr>
                <w:rFonts w:hint="eastAsia" w:ascii="Times New Roman" w:hAnsi="Times New Roman" w:eastAsia="宋体"/>
                <w:szCs w:val="21"/>
                <w:highlight w:val="none"/>
                <w:lang w:val="en-US" w:eastAsia="zh-CN"/>
              </w:rPr>
              <w:t>650</w:t>
            </w:r>
          </w:p>
        </w:tc>
        <w:tc>
          <w:tcPr>
            <w:tcW w:w="1173" w:type="dxa"/>
            <w:vMerge w:val="continue"/>
            <w:noWrap w:val="0"/>
            <w:vAlign w:val="center"/>
          </w:tcPr>
          <w:p w14:paraId="01951D6A">
            <w:pPr>
              <w:pStyle w:val="42"/>
              <w:spacing w:before="81" w:after="81"/>
              <w:textAlignment w:val="center"/>
              <w:rPr>
                <w:rFonts w:ascii="Times New Roman" w:hAnsi="Times New Roman"/>
                <w:szCs w:val="21"/>
                <w:highlight w:val="none"/>
              </w:rPr>
            </w:pPr>
          </w:p>
        </w:tc>
        <w:tc>
          <w:tcPr>
            <w:tcW w:w="874" w:type="dxa"/>
            <w:vMerge w:val="continue"/>
            <w:noWrap w:val="0"/>
            <w:vAlign w:val="center"/>
          </w:tcPr>
          <w:p w14:paraId="7B42C81C">
            <w:pPr>
              <w:pStyle w:val="42"/>
              <w:spacing w:before="81" w:after="81"/>
              <w:textAlignment w:val="center"/>
              <w:rPr>
                <w:rFonts w:ascii="Times New Roman" w:hAnsi="Times New Roman"/>
                <w:szCs w:val="21"/>
                <w:highlight w:val="none"/>
              </w:rPr>
            </w:pPr>
          </w:p>
        </w:tc>
        <w:tc>
          <w:tcPr>
            <w:tcW w:w="805" w:type="dxa"/>
            <w:vMerge w:val="continue"/>
            <w:noWrap w:val="0"/>
            <w:vAlign w:val="center"/>
          </w:tcPr>
          <w:p w14:paraId="6E3C2E70">
            <w:pPr>
              <w:pStyle w:val="42"/>
              <w:spacing w:before="81" w:after="81"/>
              <w:textAlignment w:val="center"/>
              <w:rPr>
                <w:rFonts w:ascii="Times New Roman" w:hAnsi="Times New Roman"/>
                <w:szCs w:val="21"/>
                <w:highlight w:val="none"/>
              </w:rPr>
            </w:pPr>
          </w:p>
        </w:tc>
        <w:tc>
          <w:tcPr>
            <w:tcW w:w="1245" w:type="dxa"/>
            <w:noWrap w:val="0"/>
            <w:vAlign w:val="center"/>
          </w:tcPr>
          <w:p w14:paraId="684C0B34">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80864</w:t>
            </w:r>
          </w:p>
        </w:tc>
        <w:tc>
          <w:tcPr>
            <w:tcW w:w="936" w:type="dxa"/>
            <w:noWrap w:val="0"/>
            <w:vAlign w:val="center"/>
          </w:tcPr>
          <w:p w14:paraId="5E63CF66">
            <w:pPr>
              <w:spacing w:line="240" w:lineRule="auto"/>
              <w:ind w:firstLine="0" w:firstLineChars="0"/>
              <w:jc w:val="center"/>
              <w:textAlignment w:val="center"/>
              <w:rPr>
                <w:rFonts w:hint="eastAsia" w:ascii="Times New Roman" w:hAnsi="Times New Roman"/>
                <w:sz w:val="21"/>
                <w:highlight w:val="none"/>
              </w:rPr>
            </w:pPr>
            <w:r>
              <w:rPr>
                <w:rFonts w:hint="eastAsia" w:ascii="Times New Roman" w:hAnsi="Times New Roman"/>
                <w:sz w:val="21"/>
                <w:highlight w:val="none"/>
                <w:lang w:val="en-US" w:eastAsia="zh-CN"/>
              </w:rPr>
              <w:t>16.09</w:t>
            </w:r>
          </w:p>
        </w:tc>
        <w:tc>
          <w:tcPr>
            <w:tcW w:w="951" w:type="dxa"/>
            <w:noWrap w:val="0"/>
            <w:vAlign w:val="center"/>
          </w:tcPr>
          <w:p w14:paraId="1F4D65F6">
            <w:pPr>
              <w:spacing w:line="240" w:lineRule="auto"/>
              <w:ind w:firstLine="0" w:firstLineChars="0"/>
              <w:jc w:val="center"/>
              <w:textAlignment w:val="center"/>
              <w:rPr>
                <w:rFonts w:hint="eastAsia" w:ascii="Times New Roman" w:hAnsi="Times New Roman"/>
                <w:sz w:val="21"/>
                <w:highlight w:val="none"/>
              </w:rPr>
            </w:pPr>
            <w:r>
              <w:rPr>
                <w:rFonts w:hint="eastAsia" w:ascii="Times New Roman" w:hAnsi="Times New Roman"/>
                <w:sz w:val="21"/>
                <w:highlight w:val="none"/>
                <w:lang w:val="en-US" w:eastAsia="zh-CN"/>
              </w:rPr>
              <w:t>18.44</w:t>
            </w:r>
          </w:p>
        </w:tc>
        <w:tc>
          <w:tcPr>
            <w:tcW w:w="913" w:type="dxa"/>
            <w:vMerge w:val="continue"/>
            <w:noWrap w:val="0"/>
            <w:vAlign w:val="center"/>
          </w:tcPr>
          <w:p w14:paraId="76737734">
            <w:pPr>
              <w:pStyle w:val="42"/>
              <w:spacing w:before="81" w:after="81"/>
              <w:textAlignment w:val="center"/>
              <w:rPr>
                <w:rFonts w:hint="eastAsia" w:ascii="Times New Roman" w:hAnsi="Times New Roman"/>
                <w:szCs w:val="21"/>
                <w:highlight w:val="none"/>
              </w:rPr>
            </w:pPr>
          </w:p>
        </w:tc>
      </w:tr>
      <w:tr w14:paraId="56BE15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57FB3679">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31EAFDEE">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52BB9CC3">
            <w:pPr>
              <w:pStyle w:val="42"/>
              <w:spacing w:before="81" w:after="81"/>
              <w:textAlignment w:val="center"/>
              <w:rPr>
                <w:rFonts w:ascii="Times New Roman" w:hAnsi="Times New Roman"/>
                <w:szCs w:val="21"/>
                <w:highlight w:val="none"/>
              </w:rPr>
            </w:pPr>
          </w:p>
        </w:tc>
        <w:tc>
          <w:tcPr>
            <w:tcW w:w="737" w:type="dxa"/>
            <w:vMerge w:val="restart"/>
            <w:noWrap w:val="0"/>
            <w:vAlign w:val="center"/>
          </w:tcPr>
          <w:p w14:paraId="17380171">
            <w:pPr>
              <w:pStyle w:val="42"/>
              <w:spacing w:before="81" w:after="81"/>
              <w:textAlignment w:val="center"/>
              <w:rPr>
                <w:rFonts w:ascii="Times New Roman" w:hAnsi="Times New Roman"/>
                <w:szCs w:val="21"/>
                <w:highlight w:val="none"/>
              </w:rPr>
            </w:pPr>
            <w:r>
              <w:rPr>
                <w:rFonts w:ascii="Times New Roman" w:hAnsi="Times New Roman"/>
                <w:szCs w:val="21"/>
                <w:highlight w:val="none"/>
              </w:rPr>
              <w:t>SO</w:t>
            </w:r>
            <w:r>
              <w:rPr>
                <w:rFonts w:ascii="Times New Roman" w:hAnsi="Times New Roman"/>
                <w:szCs w:val="21"/>
                <w:highlight w:val="none"/>
                <w:vertAlign w:val="subscript"/>
              </w:rPr>
              <w:t>2</w:t>
            </w:r>
          </w:p>
        </w:tc>
        <w:tc>
          <w:tcPr>
            <w:tcW w:w="660" w:type="dxa"/>
            <w:vMerge w:val="continue"/>
            <w:noWrap w:val="0"/>
            <w:vAlign w:val="center"/>
          </w:tcPr>
          <w:p w14:paraId="63A1333F">
            <w:pPr>
              <w:pStyle w:val="42"/>
              <w:spacing w:before="81" w:after="81"/>
              <w:textAlignment w:val="center"/>
              <w:rPr>
                <w:rFonts w:ascii="Times New Roman" w:hAnsi="Times New Roman"/>
                <w:szCs w:val="21"/>
                <w:highlight w:val="none"/>
              </w:rPr>
            </w:pPr>
          </w:p>
        </w:tc>
        <w:tc>
          <w:tcPr>
            <w:tcW w:w="1430" w:type="dxa"/>
            <w:noWrap w:val="0"/>
            <w:vAlign w:val="center"/>
          </w:tcPr>
          <w:p w14:paraId="6417D196">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264580（单独使用116MW锅炉）</w:t>
            </w:r>
          </w:p>
        </w:tc>
        <w:tc>
          <w:tcPr>
            <w:tcW w:w="1059" w:type="dxa"/>
            <w:noWrap w:val="0"/>
            <w:vAlign w:val="center"/>
          </w:tcPr>
          <w:p w14:paraId="1BB6707B">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324.882</w:t>
            </w:r>
          </w:p>
        </w:tc>
        <w:tc>
          <w:tcPr>
            <w:tcW w:w="887" w:type="dxa"/>
            <w:noWrap w:val="0"/>
            <w:vAlign w:val="center"/>
          </w:tcPr>
          <w:p w14:paraId="6A3BB194">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86</w:t>
            </w:r>
          </w:p>
        </w:tc>
        <w:tc>
          <w:tcPr>
            <w:tcW w:w="1173" w:type="dxa"/>
            <w:vMerge w:val="restart"/>
            <w:noWrap w:val="0"/>
            <w:vAlign w:val="center"/>
          </w:tcPr>
          <w:p w14:paraId="36F07A9C">
            <w:pPr>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脱硫系统失灵</w:t>
            </w:r>
          </w:p>
        </w:tc>
        <w:tc>
          <w:tcPr>
            <w:tcW w:w="874" w:type="dxa"/>
            <w:vMerge w:val="restart"/>
            <w:noWrap w:val="0"/>
            <w:vAlign w:val="center"/>
          </w:tcPr>
          <w:p w14:paraId="242446E6">
            <w:pPr>
              <w:pStyle w:val="42"/>
              <w:spacing w:before="81" w:after="81"/>
              <w:textAlignment w:val="center"/>
              <w:rPr>
                <w:rFonts w:ascii="Times New Roman" w:hAnsi="Times New Roman"/>
                <w:szCs w:val="21"/>
                <w:highlight w:val="none"/>
              </w:rPr>
            </w:pPr>
            <w:r>
              <w:rPr>
                <w:rFonts w:ascii="Times New Roman" w:hAnsi="Times New Roman"/>
                <w:szCs w:val="21"/>
                <w:highlight w:val="none"/>
              </w:rPr>
              <w:t>50</w:t>
            </w:r>
          </w:p>
        </w:tc>
        <w:tc>
          <w:tcPr>
            <w:tcW w:w="805" w:type="dxa"/>
            <w:vMerge w:val="continue"/>
            <w:noWrap w:val="0"/>
            <w:vAlign w:val="center"/>
          </w:tcPr>
          <w:p w14:paraId="4B0E2766">
            <w:pPr>
              <w:pStyle w:val="42"/>
              <w:spacing w:before="81" w:after="81"/>
              <w:textAlignment w:val="center"/>
              <w:rPr>
                <w:rFonts w:ascii="Times New Roman" w:hAnsi="Times New Roman"/>
                <w:szCs w:val="21"/>
                <w:highlight w:val="none"/>
              </w:rPr>
            </w:pPr>
          </w:p>
        </w:tc>
        <w:tc>
          <w:tcPr>
            <w:tcW w:w="1245" w:type="dxa"/>
            <w:noWrap w:val="0"/>
            <w:vAlign w:val="center"/>
          </w:tcPr>
          <w:p w14:paraId="4F6A792A">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264580</w:t>
            </w:r>
          </w:p>
        </w:tc>
        <w:tc>
          <w:tcPr>
            <w:tcW w:w="936" w:type="dxa"/>
            <w:noWrap w:val="0"/>
            <w:vAlign w:val="center"/>
          </w:tcPr>
          <w:p w14:paraId="7781C05C">
            <w:pPr>
              <w:spacing w:line="240" w:lineRule="auto"/>
              <w:ind w:firstLine="0" w:firstLineChars="0"/>
              <w:jc w:val="center"/>
              <w:rPr>
                <w:rFonts w:ascii="Times New Roman" w:hAnsi="Times New Roman"/>
                <w:sz w:val="21"/>
                <w:highlight w:val="none"/>
              </w:rPr>
            </w:pPr>
            <w:r>
              <w:rPr>
                <w:rFonts w:hint="eastAsia" w:ascii="Times New Roman" w:hAnsi="Times New Roman"/>
                <w:sz w:val="21"/>
                <w:highlight w:val="none"/>
                <w:lang w:val="en-US" w:eastAsia="zh-CN"/>
              </w:rPr>
              <w:t>162.44</w:t>
            </w:r>
          </w:p>
        </w:tc>
        <w:tc>
          <w:tcPr>
            <w:tcW w:w="951" w:type="dxa"/>
            <w:noWrap w:val="0"/>
            <w:vAlign w:val="center"/>
          </w:tcPr>
          <w:p w14:paraId="2F0940DB">
            <w:pPr>
              <w:spacing w:line="240" w:lineRule="auto"/>
              <w:ind w:firstLine="0" w:firstLineChars="0"/>
              <w:jc w:val="center"/>
              <w:textAlignment w:val="center"/>
              <w:rPr>
                <w:rFonts w:hint="eastAsia" w:ascii="Times New Roman" w:hAnsi="Times New Roman"/>
                <w:sz w:val="21"/>
                <w:highlight w:val="none"/>
              </w:rPr>
            </w:pPr>
            <w:r>
              <w:rPr>
                <w:rFonts w:hint="eastAsia" w:ascii="Times New Roman" w:hAnsi="Times New Roman"/>
                <w:sz w:val="21"/>
                <w:highlight w:val="none"/>
                <w:lang w:val="en-US" w:eastAsia="zh-CN"/>
              </w:rPr>
              <w:t>43</w:t>
            </w:r>
          </w:p>
        </w:tc>
        <w:tc>
          <w:tcPr>
            <w:tcW w:w="913" w:type="dxa"/>
            <w:vMerge w:val="restart"/>
            <w:noWrap w:val="0"/>
            <w:vAlign w:val="center"/>
          </w:tcPr>
          <w:p w14:paraId="68F89C87">
            <w:pPr>
              <w:pStyle w:val="42"/>
              <w:spacing w:before="81" w:after="81"/>
              <w:textAlignment w:val="center"/>
              <w:rPr>
                <w:rFonts w:ascii="Times New Roman" w:hAnsi="Times New Roman"/>
                <w:szCs w:val="21"/>
                <w:highlight w:val="none"/>
              </w:rPr>
            </w:pPr>
            <w:r>
              <w:rPr>
                <w:rFonts w:hint="eastAsia" w:ascii="Times New Roman" w:hAnsi="Times New Roman"/>
                <w:szCs w:val="21"/>
                <w:highlight w:val="none"/>
              </w:rPr>
              <w:t>24</w:t>
            </w:r>
          </w:p>
        </w:tc>
      </w:tr>
      <w:tr w14:paraId="0428FD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1900D57E">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746D5F33">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2063DBBD">
            <w:pPr>
              <w:pStyle w:val="42"/>
              <w:spacing w:before="81" w:after="81"/>
              <w:textAlignment w:val="center"/>
              <w:rPr>
                <w:rFonts w:ascii="Times New Roman" w:hAnsi="Times New Roman"/>
                <w:szCs w:val="21"/>
                <w:highlight w:val="none"/>
              </w:rPr>
            </w:pPr>
          </w:p>
        </w:tc>
        <w:tc>
          <w:tcPr>
            <w:tcW w:w="737" w:type="dxa"/>
            <w:vMerge w:val="continue"/>
            <w:noWrap w:val="0"/>
            <w:vAlign w:val="center"/>
          </w:tcPr>
          <w:p w14:paraId="7489CF60">
            <w:pPr>
              <w:pStyle w:val="42"/>
              <w:spacing w:before="81" w:after="81"/>
              <w:textAlignment w:val="center"/>
              <w:rPr>
                <w:rFonts w:ascii="Times New Roman" w:hAnsi="Times New Roman"/>
                <w:szCs w:val="21"/>
                <w:highlight w:val="none"/>
              </w:rPr>
            </w:pPr>
          </w:p>
        </w:tc>
        <w:tc>
          <w:tcPr>
            <w:tcW w:w="660" w:type="dxa"/>
            <w:vMerge w:val="continue"/>
            <w:noWrap w:val="0"/>
            <w:vAlign w:val="center"/>
          </w:tcPr>
          <w:p w14:paraId="61C604BA">
            <w:pPr>
              <w:pStyle w:val="42"/>
              <w:spacing w:before="81" w:after="81"/>
              <w:textAlignment w:val="center"/>
              <w:rPr>
                <w:rFonts w:ascii="Times New Roman" w:hAnsi="Times New Roman"/>
                <w:szCs w:val="21"/>
                <w:highlight w:val="none"/>
              </w:rPr>
            </w:pPr>
          </w:p>
        </w:tc>
        <w:tc>
          <w:tcPr>
            <w:tcW w:w="1430" w:type="dxa"/>
            <w:noWrap w:val="0"/>
            <w:vAlign w:val="center"/>
          </w:tcPr>
          <w:p w14:paraId="43DF4469">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114936（使用58MW+35t/h锅炉）</w:t>
            </w:r>
          </w:p>
        </w:tc>
        <w:tc>
          <w:tcPr>
            <w:tcW w:w="1059" w:type="dxa"/>
            <w:noWrap w:val="0"/>
            <w:vAlign w:val="center"/>
          </w:tcPr>
          <w:p w14:paraId="645169C2">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324.882</w:t>
            </w:r>
          </w:p>
        </w:tc>
        <w:tc>
          <w:tcPr>
            <w:tcW w:w="887" w:type="dxa"/>
            <w:noWrap w:val="0"/>
            <w:vAlign w:val="center"/>
          </w:tcPr>
          <w:p w14:paraId="42C9FB8D">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37</w:t>
            </w:r>
          </w:p>
        </w:tc>
        <w:tc>
          <w:tcPr>
            <w:tcW w:w="1173" w:type="dxa"/>
            <w:vMerge w:val="continue"/>
            <w:noWrap w:val="0"/>
            <w:vAlign w:val="center"/>
          </w:tcPr>
          <w:p w14:paraId="0C9D5F8D">
            <w:pPr>
              <w:spacing w:line="240" w:lineRule="auto"/>
              <w:ind w:firstLine="0" w:firstLineChars="0"/>
              <w:jc w:val="center"/>
              <w:textAlignment w:val="center"/>
              <w:rPr>
                <w:rFonts w:ascii="Times New Roman" w:hAnsi="Times New Roman"/>
                <w:sz w:val="21"/>
                <w:highlight w:val="none"/>
              </w:rPr>
            </w:pPr>
          </w:p>
        </w:tc>
        <w:tc>
          <w:tcPr>
            <w:tcW w:w="874" w:type="dxa"/>
            <w:vMerge w:val="continue"/>
            <w:noWrap w:val="0"/>
            <w:vAlign w:val="center"/>
          </w:tcPr>
          <w:p w14:paraId="590CF186">
            <w:pPr>
              <w:pStyle w:val="42"/>
              <w:spacing w:before="81" w:after="81"/>
              <w:textAlignment w:val="center"/>
              <w:rPr>
                <w:rFonts w:ascii="Times New Roman" w:hAnsi="Times New Roman"/>
                <w:szCs w:val="21"/>
                <w:highlight w:val="none"/>
              </w:rPr>
            </w:pPr>
          </w:p>
        </w:tc>
        <w:tc>
          <w:tcPr>
            <w:tcW w:w="805" w:type="dxa"/>
            <w:vMerge w:val="continue"/>
            <w:noWrap w:val="0"/>
            <w:vAlign w:val="center"/>
          </w:tcPr>
          <w:p w14:paraId="179080EA">
            <w:pPr>
              <w:pStyle w:val="42"/>
              <w:spacing w:before="81" w:after="81"/>
              <w:textAlignment w:val="center"/>
              <w:rPr>
                <w:rFonts w:ascii="Times New Roman" w:hAnsi="Times New Roman"/>
                <w:szCs w:val="21"/>
                <w:highlight w:val="none"/>
              </w:rPr>
            </w:pPr>
          </w:p>
        </w:tc>
        <w:tc>
          <w:tcPr>
            <w:tcW w:w="1245" w:type="dxa"/>
            <w:noWrap w:val="0"/>
            <w:vAlign w:val="center"/>
          </w:tcPr>
          <w:p w14:paraId="2FD43DBB">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114936</w:t>
            </w:r>
          </w:p>
        </w:tc>
        <w:tc>
          <w:tcPr>
            <w:tcW w:w="936" w:type="dxa"/>
            <w:noWrap w:val="0"/>
            <w:vAlign w:val="center"/>
          </w:tcPr>
          <w:p w14:paraId="7C7E070A">
            <w:pPr>
              <w:spacing w:line="240" w:lineRule="auto"/>
              <w:ind w:firstLine="0" w:firstLineChars="0"/>
              <w:jc w:val="center"/>
              <w:rPr>
                <w:rFonts w:hint="eastAsia" w:ascii="Times New Roman" w:hAnsi="Times New Roman"/>
                <w:sz w:val="21"/>
                <w:highlight w:val="none"/>
              </w:rPr>
            </w:pPr>
            <w:r>
              <w:rPr>
                <w:rFonts w:hint="eastAsia" w:ascii="Times New Roman" w:hAnsi="Times New Roman"/>
                <w:sz w:val="21"/>
                <w:highlight w:val="none"/>
                <w:lang w:val="en-US" w:eastAsia="zh-CN"/>
              </w:rPr>
              <w:t>162.44</w:t>
            </w:r>
          </w:p>
        </w:tc>
        <w:tc>
          <w:tcPr>
            <w:tcW w:w="951" w:type="dxa"/>
            <w:noWrap w:val="0"/>
            <w:vAlign w:val="center"/>
          </w:tcPr>
          <w:p w14:paraId="67F573C0">
            <w:pPr>
              <w:spacing w:line="240" w:lineRule="auto"/>
              <w:ind w:firstLine="0" w:firstLineChars="0"/>
              <w:jc w:val="center"/>
              <w:textAlignment w:val="center"/>
              <w:rPr>
                <w:rFonts w:hint="eastAsia" w:ascii="Times New Roman" w:hAnsi="Times New Roman"/>
                <w:sz w:val="21"/>
                <w:highlight w:val="none"/>
              </w:rPr>
            </w:pPr>
            <w:r>
              <w:rPr>
                <w:rFonts w:hint="eastAsia" w:ascii="Times New Roman" w:hAnsi="Times New Roman"/>
                <w:sz w:val="21"/>
                <w:highlight w:val="none"/>
                <w:lang w:val="en-US" w:eastAsia="zh-CN"/>
              </w:rPr>
              <w:t>18.5</w:t>
            </w:r>
          </w:p>
        </w:tc>
        <w:tc>
          <w:tcPr>
            <w:tcW w:w="913" w:type="dxa"/>
            <w:vMerge w:val="continue"/>
            <w:noWrap w:val="0"/>
            <w:vAlign w:val="center"/>
          </w:tcPr>
          <w:p w14:paraId="0880A623">
            <w:pPr>
              <w:pStyle w:val="42"/>
              <w:spacing w:before="81" w:after="81"/>
              <w:textAlignment w:val="center"/>
              <w:rPr>
                <w:rFonts w:hint="eastAsia" w:ascii="Times New Roman" w:hAnsi="Times New Roman"/>
                <w:szCs w:val="21"/>
                <w:highlight w:val="none"/>
              </w:rPr>
            </w:pPr>
          </w:p>
        </w:tc>
      </w:tr>
      <w:tr w14:paraId="1681FF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29E4EFFA">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7FF7ED27">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2D579420">
            <w:pPr>
              <w:pStyle w:val="42"/>
              <w:spacing w:before="81" w:after="81"/>
              <w:textAlignment w:val="center"/>
              <w:rPr>
                <w:rFonts w:ascii="Times New Roman" w:hAnsi="Times New Roman"/>
                <w:szCs w:val="21"/>
                <w:highlight w:val="none"/>
              </w:rPr>
            </w:pPr>
          </w:p>
        </w:tc>
        <w:tc>
          <w:tcPr>
            <w:tcW w:w="737" w:type="dxa"/>
            <w:vMerge w:val="continue"/>
            <w:noWrap w:val="0"/>
            <w:vAlign w:val="center"/>
          </w:tcPr>
          <w:p w14:paraId="29E00207">
            <w:pPr>
              <w:pStyle w:val="42"/>
              <w:spacing w:before="81" w:after="81"/>
              <w:textAlignment w:val="center"/>
              <w:rPr>
                <w:rFonts w:ascii="Times New Roman" w:hAnsi="Times New Roman"/>
                <w:szCs w:val="21"/>
                <w:highlight w:val="none"/>
              </w:rPr>
            </w:pPr>
          </w:p>
        </w:tc>
        <w:tc>
          <w:tcPr>
            <w:tcW w:w="660" w:type="dxa"/>
            <w:vMerge w:val="continue"/>
            <w:noWrap w:val="0"/>
            <w:vAlign w:val="center"/>
          </w:tcPr>
          <w:p w14:paraId="6A043E83">
            <w:pPr>
              <w:pStyle w:val="42"/>
              <w:spacing w:before="81" w:after="81"/>
              <w:textAlignment w:val="center"/>
              <w:rPr>
                <w:rFonts w:ascii="Times New Roman" w:hAnsi="Times New Roman"/>
                <w:szCs w:val="21"/>
                <w:highlight w:val="none"/>
              </w:rPr>
            </w:pPr>
          </w:p>
        </w:tc>
        <w:tc>
          <w:tcPr>
            <w:tcW w:w="1430" w:type="dxa"/>
            <w:noWrap w:val="0"/>
            <w:vAlign w:val="center"/>
          </w:tcPr>
          <w:p w14:paraId="5802A863">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298648（使用116MW+35t/h锅炉）</w:t>
            </w:r>
          </w:p>
        </w:tc>
        <w:tc>
          <w:tcPr>
            <w:tcW w:w="1059" w:type="dxa"/>
            <w:noWrap w:val="0"/>
            <w:vAlign w:val="center"/>
          </w:tcPr>
          <w:p w14:paraId="0A7B112C">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324.882</w:t>
            </w:r>
          </w:p>
        </w:tc>
        <w:tc>
          <w:tcPr>
            <w:tcW w:w="887" w:type="dxa"/>
            <w:noWrap w:val="0"/>
            <w:vAlign w:val="center"/>
          </w:tcPr>
          <w:p w14:paraId="18882A0C">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97</w:t>
            </w:r>
          </w:p>
        </w:tc>
        <w:tc>
          <w:tcPr>
            <w:tcW w:w="1173" w:type="dxa"/>
            <w:vMerge w:val="continue"/>
            <w:noWrap w:val="0"/>
            <w:vAlign w:val="center"/>
          </w:tcPr>
          <w:p w14:paraId="3F29CAF8">
            <w:pPr>
              <w:spacing w:line="240" w:lineRule="auto"/>
              <w:ind w:firstLine="0" w:firstLineChars="0"/>
              <w:jc w:val="center"/>
              <w:textAlignment w:val="center"/>
              <w:rPr>
                <w:rFonts w:ascii="Times New Roman" w:hAnsi="Times New Roman"/>
                <w:sz w:val="21"/>
                <w:highlight w:val="none"/>
              </w:rPr>
            </w:pPr>
          </w:p>
        </w:tc>
        <w:tc>
          <w:tcPr>
            <w:tcW w:w="874" w:type="dxa"/>
            <w:vMerge w:val="continue"/>
            <w:noWrap w:val="0"/>
            <w:vAlign w:val="center"/>
          </w:tcPr>
          <w:p w14:paraId="76FDBB91">
            <w:pPr>
              <w:pStyle w:val="42"/>
              <w:spacing w:before="81" w:after="81"/>
              <w:textAlignment w:val="center"/>
              <w:rPr>
                <w:rFonts w:ascii="Times New Roman" w:hAnsi="Times New Roman"/>
                <w:szCs w:val="21"/>
                <w:highlight w:val="none"/>
              </w:rPr>
            </w:pPr>
          </w:p>
        </w:tc>
        <w:tc>
          <w:tcPr>
            <w:tcW w:w="805" w:type="dxa"/>
            <w:vMerge w:val="continue"/>
            <w:noWrap w:val="0"/>
            <w:vAlign w:val="center"/>
          </w:tcPr>
          <w:p w14:paraId="7F9BB1B2">
            <w:pPr>
              <w:pStyle w:val="42"/>
              <w:spacing w:before="81" w:after="81"/>
              <w:textAlignment w:val="center"/>
              <w:rPr>
                <w:rFonts w:ascii="Times New Roman" w:hAnsi="Times New Roman"/>
                <w:szCs w:val="21"/>
                <w:highlight w:val="none"/>
              </w:rPr>
            </w:pPr>
          </w:p>
        </w:tc>
        <w:tc>
          <w:tcPr>
            <w:tcW w:w="1245" w:type="dxa"/>
            <w:noWrap w:val="0"/>
            <w:vAlign w:val="center"/>
          </w:tcPr>
          <w:p w14:paraId="271FD739">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298648</w:t>
            </w:r>
          </w:p>
        </w:tc>
        <w:tc>
          <w:tcPr>
            <w:tcW w:w="936" w:type="dxa"/>
            <w:noWrap w:val="0"/>
            <w:vAlign w:val="center"/>
          </w:tcPr>
          <w:p w14:paraId="27870AE4">
            <w:pPr>
              <w:spacing w:line="240" w:lineRule="auto"/>
              <w:ind w:firstLine="0" w:firstLineChars="0"/>
              <w:jc w:val="center"/>
              <w:rPr>
                <w:rFonts w:hint="eastAsia" w:ascii="Times New Roman" w:hAnsi="Times New Roman"/>
                <w:sz w:val="21"/>
                <w:highlight w:val="none"/>
              </w:rPr>
            </w:pPr>
            <w:r>
              <w:rPr>
                <w:rFonts w:hint="eastAsia" w:ascii="Times New Roman" w:hAnsi="Times New Roman"/>
                <w:sz w:val="21"/>
                <w:highlight w:val="none"/>
                <w:lang w:val="en-US" w:eastAsia="zh-CN"/>
              </w:rPr>
              <w:t>162.44</w:t>
            </w:r>
          </w:p>
        </w:tc>
        <w:tc>
          <w:tcPr>
            <w:tcW w:w="951" w:type="dxa"/>
            <w:noWrap w:val="0"/>
            <w:vAlign w:val="center"/>
          </w:tcPr>
          <w:p w14:paraId="0C672A16">
            <w:pPr>
              <w:spacing w:line="240" w:lineRule="auto"/>
              <w:ind w:firstLine="0" w:firstLineChars="0"/>
              <w:jc w:val="center"/>
              <w:textAlignment w:val="center"/>
              <w:rPr>
                <w:rFonts w:hint="eastAsia" w:ascii="Times New Roman" w:hAnsi="Times New Roman"/>
                <w:sz w:val="21"/>
                <w:highlight w:val="none"/>
              </w:rPr>
            </w:pPr>
            <w:r>
              <w:rPr>
                <w:rFonts w:hint="eastAsia" w:ascii="Times New Roman" w:hAnsi="Times New Roman"/>
                <w:sz w:val="21"/>
                <w:highlight w:val="none"/>
                <w:lang w:val="en-US" w:eastAsia="zh-CN"/>
              </w:rPr>
              <w:t>48.5</w:t>
            </w:r>
          </w:p>
        </w:tc>
        <w:tc>
          <w:tcPr>
            <w:tcW w:w="913" w:type="dxa"/>
            <w:vMerge w:val="continue"/>
            <w:noWrap w:val="0"/>
            <w:vAlign w:val="center"/>
          </w:tcPr>
          <w:p w14:paraId="33CCB4AB">
            <w:pPr>
              <w:pStyle w:val="42"/>
              <w:spacing w:before="81" w:after="81"/>
              <w:textAlignment w:val="center"/>
              <w:rPr>
                <w:rFonts w:hint="eastAsia" w:ascii="Times New Roman" w:hAnsi="Times New Roman"/>
                <w:szCs w:val="21"/>
                <w:highlight w:val="none"/>
              </w:rPr>
            </w:pPr>
          </w:p>
        </w:tc>
      </w:tr>
      <w:tr w14:paraId="4E71BD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19C75BFC">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0417E3F5">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288C4874">
            <w:pPr>
              <w:pStyle w:val="42"/>
              <w:spacing w:before="81" w:after="81"/>
              <w:textAlignment w:val="center"/>
              <w:rPr>
                <w:rFonts w:ascii="Times New Roman" w:hAnsi="Times New Roman"/>
                <w:szCs w:val="21"/>
                <w:highlight w:val="none"/>
              </w:rPr>
            </w:pPr>
          </w:p>
        </w:tc>
        <w:tc>
          <w:tcPr>
            <w:tcW w:w="737" w:type="dxa"/>
            <w:vMerge w:val="continue"/>
            <w:noWrap w:val="0"/>
            <w:vAlign w:val="center"/>
          </w:tcPr>
          <w:p w14:paraId="43F0CCF9">
            <w:pPr>
              <w:pStyle w:val="42"/>
              <w:spacing w:before="81" w:after="81"/>
              <w:textAlignment w:val="center"/>
              <w:rPr>
                <w:rFonts w:ascii="Times New Roman" w:hAnsi="Times New Roman"/>
                <w:szCs w:val="21"/>
                <w:highlight w:val="none"/>
              </w:rPr>
            </w:pPr>
          </w:p>
        </w:tc>
        <w:tc>
          <w:tcPr>
            <w:tcW w:w="660" w:type="dxa"/>
            <w:vMerge w:val="continue"/>
            <w:noWrap w:val="0"/>
            <w:vAlign w:val="center"/>
          </w:tcPr>
          <w:p w14:paraId="78DB356B">
            <w:pPr>
              <w:pStyle w:val="42"/>
              <w:spacing w:before="81" w:after="81"/>
              <w:textAlignment w:val="center"/>
              <w:rPr>
                <w:rFonts w:ascii="Times New Roman" w:hAnsi="Times New Roman"/>
                <w:szCs w:val="21"/>
                <w:highlight w:val="none"/>
              </w:rPr>
            </w:pPr>
          </w:p>
        </w:tc>
        <w:tc>
          <w:tcPr>
            <w:tcW w:w="1430" w:type="dxa"/>
            <w:noWrap w:val="0"/>
            <w:vAlign w:val="center"/>
          </w:tcPr>
          <w:p w14:paraId="32E13554">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80864（使用58MW锅炉）</w:t>
            </w:r>
          </w:p>
        </w:tc>
        <w:tc>
          <w:tcPr>
            <w:tcW w:w="1059" w:type="dxa"/>
            <w:noWrap w:val="0"/>
            <w:vAlign w:val="center"/>
          </w:tcPr>
          <w:p w14:paraId="10AF2D0E">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324.882</w:t>
            </w:r>
          </w:p>
        </w:tc>
        <w:tc>
          <w:tcPr>
            <w:tcW w:w="887" w:type="dxa"/>
            <w:noWrap w:val="0"/>
            <w:vAlign w:val="center"/>
          </w:tcPr>
          <w:p w14:paraId="73F5C09F">
            <w:pPr>
              <w:pStyle w:val="42"/>
              <w:spacing w:before="81" w:after="81"/>
              <w:ind w:firstLine="0" w:firstLineChars="0"/>
              <w:textAlignment w:val="center"/>
              <w:rPr>
                <w:rFonts w:hint="eastAsia" w:ascii="Times New Roman" w:hAnsi="Times New Roman"/>
                <w:szCs w:val="21"/>
                <w:highlight w:val="none"/>
              </w:rPr>
            </w:pPr>
            <w:r>
              <w:rPr>
                <w:rFonts w:hint="eastAsia" w:ascii="Times New Roman" w:hAnsi="Times New Roman"/>
                <w:szCs w:val="21"/>
                <w:highlight w:val="none"/>
                <w:lang w:val="en-US" w:eastAsia="zh-CN"/>
              </w:rPr>
              <w:t>26</w:t>
            </w:r>
          </w:p>
        </w:tc>
        <w:tc>
          <w:tcPr>
            <w:tcW w:w="1173" w:type="dxa"/>
            <w:vMerge w:val="continue"/>
            <w:noWrap w:val="0"/>
            <w:vAlign w:val="center"/>
          </w:tcPr>
          <w:p w14:paraId="3A704C72">
            <w:pPr>
              <w:spacing w:line="240" w:lineRule="auto"/>
              <w:ind w:firstLine="0" w:firstLineChars="0"/>
              <w:jc w:val="center"/>
              <w:textAlignment w:val="center"/>
              <w:rPr>
                <w:rFonts w:ascii="Times New Roman" w:hAnsi="Times New Roman"/>
                <w:sz w:val="21"/>
                <w:highlight w:val="none"/>
              </w:rPr>
            </w:pPr>
          </w:p>
        </w:tc>
        <w:tc>
          <w:tcPr>
            <w:tcW w:w="874" w:type="dxa"/>
            <w:vMerge w:val="continue"/>
            <w:noWrap w:val="0"/>
            <w:vAlign w:val="center"/>
          </w:tcPr>
          <w:p w14:paraId="253FD989">
            <w:pPr>
              <w:pStyle w:val="42"/>
              <w:spacing w:before="81" w:after="81"/>
              <w:textAlignment w:val="center"/>
              <w:rPr>
                <w:rFonts w:ascii="Times New Roman" w:hAnsi="Times New Roman"/>
                <w:szCs w:val="21"/>
                <w:highlight w:val="none"/>
              </w:rPr>
            </w:pPr>
          </w:p>
        </w:tc>
        <w:tc>
          <w:tcPr>
            <w:tcW w:w="805" w:type="dxa"/>
            <w:vMerge w:val="continue"/>
            <w:noWrap w:val="0"/>
            <w:vAlign w:val="center"/>
          </w:tcPr>
          <w:p w14:paraId="581F55CB">
            <w:pPr>
              <w:pStyle w:val="42"/>
              <w:spacing w:before="81" w:after="81"/>
              <w:textAlignment w:val="center"/>
              <w:rPr>
                <w:rFonts w:ascii="Times New Roman" w:hAnsi="Times New Roman"/>
                <w:szCs w:val="21"/>
                <w:highlight w:val="none"/>
              </w:rPr>
            </w:pPr>
          </w:p>
        </w:tc>
        <w:tc>
          <w:tcPr>
            <w:tcW w:w="1245" w:type="dxa"/>
            <w:noWrap w:val="0"/>
            <w:vAlign w:val="center"/>
          </w:tcPr>
          <w:p w14:paraId="1897DA40">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80864</w:t>
            </w:r>
          </w:p>
        </w:tc>
        <w:tc>
          <w:tcPr>
            <w:tcW w:w="936" w:type="dxa"/>
            <w:noWrap w:val="0"/>
            <w:vAlign w:val="center"/>
          </w:tcPr>
          <w:p w14:paraId="7E27CECA">
            <w:pPr>
              <w:spacing w:line="240" w:lineRule="auto"/>
              <w:ind w:firstLine="0" w:firstLineChars="0"/>
              <w:jc w:val="center"/>
              <w:rPr>
                <w:rFonts w:hint="eastAsia" w:ascii="Times New Roman" w:hAnsi="Times New Roman"/>
                <w:sz w:val="21"/>
                <w:highlight w:val="none"/>
              </w:rPr>
            </w:pPr>
            <w:r>
              <w:rPr>
                <w:rFonts w:hint="eastAsia" w:ascii="Times New Roman" w:hAnsi="Times New Roman"/>
                <w:sz w:val="21"/>
                <w:highlight w:val="none"/>
                <w:lang w:val="en-US" w:eastAsia="zh-CN"/>
              </w:rPr>
              <w:t>162.44</w:t>
            </w:r>
          </w:p>
        </w:tc>
        <w:tc>
          <w:tcPr>
            <w:tcW w:w="951" w:type="dxa"/>
            <w:noWrap w:val="0"/>
            <w:vAlign w:val="center"/>
          </w:tcPr>
          <w:p w14:paraId="5D0CE3D5">
            <w:pPr>
              <w:spacing w:line="240" w:lineRule="auto"/>
              <w:ind w:firstLine="0" w:firstLineChars="0"/>
              <w:jc w:val="center"/>
              <w:textAlignment w:val="center"/>
              <w:rPr>
                <w:rFonts w:hint="eastAsia" w:ascii="Times New Roman" w:hAnsi="Times New Roman"/>
                <w:sz w:val="21"/>
                <w:highlight w:val="none"/>
              </w:rPr>
            </w:pPr>
            <w:r>
              <w:rPr>
                <w:rFonts w:hint="eastAsia" w:ascii="Times New Roman" w:hAnsi="Times New Roman"/>
                <w:sz w:val="21"/>
                <w:highlight w:val="none"/>
                <w:lang w:val="en-US" w:eastAsia="zh-CN"/>
              </w:rPr>
              <w:t>13</w:t>
            </w:r>
          </w:p>
        </w:tc>
        <w:tc>
          <w:tcPr>
            <w:tcW w:w="913" w:type="dxa"/>
            <w:vMerge w:val="continue"/>
            <w:noWrap w:val="0"/>
            <w:vAlign w:val="center"/>
          </w:tcPr>
          <w:p w14:paraId="080BC788">
            <w:pPr>
              <w:pStyle w:val="42"/>
              <w:spacing w:before="81" w:after="81"/>
              <w:textAlignment w:val="center"/>
              <w:rPr>
                <w:rFonts w:hint="eastAsia" w:ascii="Times New Roman" w:hAnsi="Times New Roman"/>
                <w:szCs w:val="21"/>
                <w:highlight w:val="none"/>
              </w:rPr>
            </w:pPr>
          </w:p>
        </w:tc>
      </w:tr>
      <w:tr w14:paraId="2491C9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07122C18">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2E9CC1CB">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5FE41598">
            <w:pPr>
              <w:pStyle w:val="42"/>
              <w:spacing w:before="81" w:after="81"/>
              <w:textAlignment w:val="center"/>
              <w:rPr>
                <w:rFonts w:ascii="Times New Roman" w:hAnsi="Times New Roman"/>
                <w:szCs w:val="21"/>
                <w:highlight w:val="none"/>
              </w:rPr>
            </w:pPr>
          </w:p>
        </w:tc>
        <w:tc>
          <w:tcPr>
            <w:tcW w:w="737" w:type="dxa"/>
            <w:vMerge w:val="restart"/>
            <w:noWrap w:val="0"/>
            <w:vAlign w:val="center"/>
          </w:tcPr>
          <w:p w14:paraId="53AB3077">
            <w:pPr>
              <w:pStyle w:val="42"/>
              <w:spacing w:before="81" w:after="81"/>
              <w:textAlignment w:val="center"/>
              <w:rPr>
                <w:rFonts w:ascii="Times New Roman" w:hAnsi="Times New Roman"/>
                <w:szCs w:val="21"/>
                <w:highlight w:val="none"/>
              </w:rPr>
            </w:pPr>
            <w:r>
              <w:rPr>
                <w:rFonts w:ascii="Times New Roman" w:hAnsi="Times New Roman"/>
                <w:szCs w:val="21"/>
                <w:highlight w:val="none"/>
              </w:rPr>
              <w:t>NOx</w:t>
            </w:r>
          </w:p>
        </w:tc>
        <w:tc>
          <w:tcPr>
            <w:tcW w:w="660" w:type="dxa"/>
            <w:vMerge w:val="continue"/>
            <w:noWrap w:val="0"/>
            <w:vAlign w:val="center"/>
          </w:tcPr>
          <w:p w14:paraId="39CE758D">
            <w:pPr>
              <w:pStyle w:val="42"/>
              <w:spacing w:before="81" w:after="81"/>
              <w:textAlignment w:val="center"/>
              <w:rPr>
                <w:rFonts w:ascii="Times New Roman" w:hAnsi="Times New Roman"/>
                <w:szCs w:val="21"/>
                <w:highlight w:val="none"/>
              </w:rPr>
            </w:pPr>
          </w:p>
        </w:tc>
        <w:tc>
          <w:tcPr>
            <w:tcW w:w="1430" w:type="dxa"/>
            <w:noWrap w:val="0"/>
            <w:vAlign w:val="center"/>
          </w:tcPr>
          <w:p w14:paraId="69627CE2">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264580（单独使用116MW锅炉）</w:t>
            </w:r>
          </w:p>
        </w:tc>
        <w:tc>
          <w:tcPr>
            <w:tcW w:w="1059" w:type="dxa"/>
            <w:noWrap w:val="0"/>
            <w:vAlign w:val="center"/>
          </w:tcPr>
          <w:p w14:paraId="2D9ED7DE">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eastAsia="宋体"/>
                <w:szCs w:val="21"/>
                <w:highlight w:val="none"/>
                <w:lang w:val="en-US" w:eastAsia="zh-CN"/>
              </w:rPr>
              <w:t>916</w:t>
            </w:r>
          </w:p>
        </w:tc>
        <w:tc>
          <w:tcPr>
            <w:tcW w:w="887" w:type="dxa"/>
            <w:noWrap w:val="0"/>
            <w:vAlign w:val="center"/>
          </w:tcPr>
          <w:p w14:paraId="79CD82E3">
            <w:pPr>
              <w:pStyle w:val="42"/>
              <w:spacing w:before="81" w:after="81"/>
              <w:ind w:firstLine="0" w:firstLineChars="0"/>
              <w:textAlignment w:val="center"/>
              <w:rPr>
                <w:rFonts w:hint="default" w:ascii="Times New Roman" w:hAnsi="Times New Roman"/>
                <w:szCs w:val="21"/>
                <w:highlight w:val="none"/>
                <w:lang w:val="en-US"/>
              </w:rPr>
            </w:pPr>
            <w:r>
              <w:rPr>
                <w:rFonts w:hint="eastAsia" w:ascii="Times New Roman" w:hAnsi="Times New Roman" w:eastAsia="宋体"/>
                <w:szCs w:val="21"/>
                <w:highlight w:val="none"/>
                <w:lang w:val="en-US" w:eastAsia="zh-CN"/>
              </w:rPr>
              <w:t>240</w:t>
            </w:r>
          </w:p>
        </w:tc>
        <w:tc>
          <w:tcPr>
            <w:tcW w:w="1173" w:type="dxa"/>
            <w:vMerge w:val="restart"/>
            <w:noWrap w:val="0"/>
            <w:vAlign w:val="center"/>
          </w:tcPr>
          <w:p w14:paraId="0D6651C2">
            <w:pPr>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脱硝系统失灵</w:t>
            </w:r>
          </w:p>
        </w:tc>
        <w:tc>
          <w:tcPr>
            <w:tcW w:w="874" w:type="dxa"/>
            <w:vMerge w:val="restart"/>
            <w:noWrap w:val="0"/>
            <w:vAlign w:val="center"/>
          </w:tcPr>
          <w:p w14:paraId="7FB160B0">
            <w:pPr>
              <w:pStyle w:val="42"/>
              <w:spacing w:before="81" w:after="81"/>
              <w:textAlignment w:val="center"/>
              <w:rPr>
                <w:rFonts w:ascii="Times New Roman" w:hAnsi="Times New Roman"/>
                <w:szCs w:val="21"/>
                <w:highlight w:val="none"/>
              </w:rPr>
            </w:pPr>
            <w:r>
              <w:rPr>
                <w:rFonts w:ascii="Times New Roman" w:hAnsi="Times New Roman"/>
                <w:szCs w:val="21"/>
                <w:highlight w:val="none"/>
              </w:rPr>
              <w:t>0</w:t>
            </w:r>
          </w:p>
        </w:tc>
        <w:tc>
          <w:tcPr>
            <w:tcW w:w="805" w:type="dxa"/>
            <w:vMerge w:val="continue"/>
            <w:noWrap w:val="0"/>
            <w:vAlign w:val="center"/>
          </w:tcPr>
          <w:p w14:paraId="36294446">
            <w:pPr>
              <w:pStyle w:val="42"/>
              <w:spacing w:before="81" w:after="81"/>
              <w:textAlignment w:val="center"/>
              <w:rPr>
                <w:rFonts w:ascii="Times New Roman" w:hAnsi="Times New Roman"/>
                <w:szCs w:val="21"/>
                <w:highlight w:val="none"/>
              </w:rPr>
            </w:pPr>
          </w:p>
        </w:tc>
        <w:tc>
          <w:tcPr>
            <w:tcW w:w="1245" w:type="dxa"/>
            <w:noWrap w:val="0"/>
            <w:vAlign w:val="center"/>
          </w:tcPr>
          <w:p w14:paraId="4BCEDA68">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264580</w:t>
            </w:r>
          </w:p>
        </w:tc>
        <w:tc>
          <w:tcPr>
            <w:tcW w:w="936" w:type="dxa"/>
            <w:noWrap w:val="0"/>
            <w:vAlign w:val="center"/>
          </w:tcPr>
          <w:p w14:paraId="77896FFE">
            <w:pPr>
              <w:pStyle w:val="42"/>
              <w:spacing w:before="81" w:after="81"/>
              <w:ind w:firstLine="0" w:firstLineChars="0"/>
              <w:textAlignment w:val="center"/>
              <w:rPr>
                <w:rFonts w:ascii="Times New Roman" w:hAnsi="Times New Roman"/>
                <w:sz w:val="21"/>
                <w:highlight w:val="none"/>
              </w:rPr>
            </w:pPr>
            <w:r>
              <w:rPr>
                <w:rFonts w:hint="eastAsia" w:ascii="Times New Roman" w:hAnsi="Times New Roman" w:eastAsia="宋体"/>
                <w:szCs w:val="21"/>
                <w:highlight w:val="none"/>
                <w:lang w:val="en-US" w:eastAsia="zh-CN"/>
              </w:rPr>
              <w:t>916</w:t>
            </w:r>
          </w:p>
        </w:tc>
        <w:tc>
          <w:tcPr>
            <w:tcW w:w="951" w:type="dxa"/>
            <w:noWrap w:val="0"/>
            <w:vAlign w:val="center"/>
          </w:tcPr>
          <w:p w14:paraId="1711282D">
            <w:pPr>
              <w:pStyle w:val="42"/>
              <w:spacing w:before="81" w:after="81"/>
              <w:ind w:firstLine="0" w:firstLineChars="0"/>
              <w:textAlignment w:val="center"/>
              <w:rPr>
                <w:rFonts w:hint="eastAsia" w:ascii="Times New Roman" w:hAnsi="Times New Roman"/>
                <w:sz w:val="21"/>
                <w:highlight w:val="none"/>
              </w:rPr>
            </w:pPr>
            <w:r>
              <w:rPr>
                <w:rFonts w:hint="eastAsia" w:ascii="Times New Roman" w:hAnsi="Times New Roman" w:eastAsia="宋体"/>
                <w:szCs w:val="21"/>
                <w:highlight w:val="none"/>
                <w:lang w:val="en-US" w:eastAsia="zh-CN"/>
              </w:rPr>
              <w:t>240</w:t>
            </w:r>
          </w:p>
        </w:tc>
        <w:tc>
          <w:tcPr>
            <w:tcW w:w="913" w:type="dxa"/>
            <w:vMerge w:val="restart"/>
            <w:noWrap w:val="0"/>
            <w:vAlign w:val="center"/>
          </w:tcPr>
          <w:p w14:paraId="171E8B48">
            <w:pPr>
              <w:pStyle w:val="42"/>
              <w:spacing w:before="81" w:after="81"/>
              <w:textAlignment w:val="center"/>
              <w:rPr>
                <w:rFonts w:ascii="Times New Roman" w:hAnsi="Times New Roman"/>
                <w:szCs w:val="21"/>
                <w:highlight w:val="none"/>
              </w:rPr>
            </w:pPr>
            <w:r>
              <w:rPr>
                <w:rFonts w:hint="eastAsia" w:ascii="Times New Roman" w:hAnsi="Times New Roman"/>
                <w:szCs w:val="21"/>
                <w:highlight w:val="none"/>
              </w:rPr>
              <w:t>24</w:t>
            </w:r>
          </w:p>
        </w:tc>
      </w:tr>
      <w:tr w14:paraId="2F7602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4A4531F5">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048C50EB">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6DC9B50B">
            <w:pPr>
              <w:pStyle w:val="42"/>
              <w:spacing w:before="81" w:after="81"/>
              <w:textAlignment w:val="center"/>
              <w:rPr>
                <w:rFonts w:ascii="Times New Roman" w:hAnsi="Times New Roman"/>
                <w:szCs w:val="21"/>
                <w:highlight w:val="none"/>
              </w:rPr>
            </w:pPr>
          </w:p>
        </w:tc>
        <w:tc>
          <w:tcPr>
            <w:tcW w:w="737" w:type="dxa"/>
            <w:vMerge w:val="continue"/>
            <w:noWrap w:val="0"/>
            <w:vAlign w:val="center"/>
          </w:tcPr>
          <w:p w14:paraId="4285C74A">
            <w:pPr>
              <w:pStyle w:val="42"/>
              <w:spacing w:before="81" w:after="81"/>
              <w:textAlignment w:val="center"/>
              <w:rPr>
                <w:rFonts w:ascii="Times New Roman" w:hAnsi="Times New Roman"/>
                <w:szCs w:val="21"/>
                <w:highlight w:val="none"/>
              </w:rPr>
            </w:pPr>
          </w:p>
        </w:tc>
        <w:tc>
          <w:tcPr>
            <w:tcW w:w="660" w:type="dxa"/>
            <w:vMerge w:val="continue"/>
            <w:noWrap w:val="0"/>
            <w:vAlign w:val="center"/>
          </w:tcPr>
          <w:p w14:paraId="37053C2A">
            <w:pPr>
              <w:pStyle w:val="42"/>
              <w:spacing w:before="81" w:after="81"/>
              <w:textAlignment w:val="center"/>
              <w:rPr>
                <w:rFonts w:ascii="Times New Roman" w:hAnsi="Times New Roman"/>
                <w:szCs w:val="21"/>
                <w:highlight w:val="none"/>
              </w:rPr>
            </w:pPr>
          </w:p>
        </w:tc>
        <w:tc>
          <w:tcPr>
            <w:tcW w:w="1430" w:type="dxa"/>
            <w:noWrap w:val="0"/>
            <w:vAlign w:val="center"/>
          </w:tcPr>
          <w:p w14:paraId="49E0F5D0">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114936（使用58MW+35t/h锅炉）</w:t>
            </w:r>
          </w:p>
        </w:tc>
        <w:tc>
          <w:tcPr>
            <w:tcW w:w="1059" w:type="dxa"/>
            <w:noWrap w:val="0"/>
            <w:vAlign w:val="center"/>
          </w:tcPr>
          <w:p w14:paraId="495B6214">
            <w:pPr>
              <w:pStyle w:val="42"/>
              <w:spacing w:before="81" w:after="81"/>
              <w:textAlignment w:val="center"/>
              <w:rPr>
                <w:rFonts w:hint="default" w:ascii="Times New Roman" w:hAnsi="Times New Roman" w:eastAsia="宋体"/>
                <w:szCs w:val="21"/>
                <w:highlight w:val="none"/>
                <w:lang w:val="en-US" w:eastAsia="zh-CN"/>
              </w:rPr>
            </w:pPr>
            <w:r>
              <w:rPr>
                <w:rFonts w:hint="eastAsia" w:ascii="Times New Roman" w:hAnsi="Times New Roman" w:eastAsia="宋体"/>
                <w:szCs w:val="21"/>
                <w:highlight w:val="none"/>
                <w:lang w:val="en-US" w:eastAsia="zh-CN"/>
              </w:rPr>
              <w:t>916</w:t>
            </w:r>
          </w:p>
        </w:tc>
        <w:tc>
          <w:tcPr>
            <w:tcW w:w="887" w:type="dxa"/>
            <w:noWrap w:val="0"/>
            <w:vAlign w:val="center"/>
          </w:tcPr>
          <w:p w14:paraId="1A4620D1">
            <w:pPr>
              <w:pStyle w:val="42"/>
              <w:spacing w:before="81" w:after="81"/>
              <w:ind w:firstLine="0" w:firstLineChars="0"/>
              <w:textAlignment w:val="center"/>
              <w:rPr>
                <w:rFonts w:hint="default" w:ascii="Times New Roman" w:hAnsi="Times New Roman" w:eastAsia="宋体"/>
                <w:szCs w:val="21"/>
                <w:highlight w:val="none"/>
                <w:lang w:val="en-US"/>
              </w:rPr>
            </w:pPr>
            <w:r>
              <w:rPr>
                <w:rFonts w:hint="eastAsia" w:ascii="Times New Roman" w:hAnsi="Times New Roman" w:eastAsia="宋体"/>
                <w:szCs w:val="21"/>
                <w:highlight w:val="none"/>
                <w:lang w:val="en-US" w:eastAsia="zh-CN"/>
              </w:rPr>
              <w:t>105</w:t>
            </w:r>
          </w:p>
        </w:tc>
        <w:tc>
          <w:tcPr>
            <w:tcW w:w="1173" w:type="dxa"/>
            <w:vMerge w:val="continue"/>
            <w:noWrap w:val="0"/>
            <w:vAlign w:val="center"/>
          </w:tcPr>
          <w:p w14:paraId="54FF2D23">
            <w:pPr>
              <w:spacing w:line="240" w:lineRule="auto"/>
              <w:ind w:firstLine="0" w:firstLineChars="0"/>
              <w:jc w:val="center"/>
              <w:textAlignment w:val="center"/>
              <w:rPr>
                <w:rFonts w:ascii="Times New Roman" w:hAnsi="Times New Roman"/>
                <w:sz w:val="21"/>
                <w:highlight w:val="none"/>
              </w:rPr>
            </w:pPr>
          </w:p>
        </w:tc>
        <w:tc>
          <w:tcPr>
            <w:tcW w:w="874" w:type="dxa"/>
            <w:vMerge w:val="continue"/>
            <w:noWrap w:val="0"/>
            <w:vAlign w:val="center"/>
          </w:tcPr>
          <w:p w14:paraId="2AB8D994">
            <w:pPr>
              <w:pStyle w:val="42"/>
              <w:spacing w:before="81" w:after="81"/>
              <w:textAlignment w:val="center"/>
              <w:rPr>
                <w:rFonts w:ascii="Times New Roman" w:hAnsi="Times New Roman"/>
                <w:szCs w:val="21"/>
                <w:highlight w:val="none"/>
              </w:rPr>
            </w:pPr>
          </w:p>
        </w:tc>
        <w:tc>
          <w:tcPr>
            <w:tcW w:w="805" w:type="dxa"/>
            <w:vMerge w:val="restart"/>
            <w:noWrap w:val="0"/>
            <w:vAlign w:val="center"/>
          </w:tcPr>
          <w:p w14:paraId="5BEFDC1D">
            <w:pPr>
              <w:pStyle w:val="42"/>
              <w:spacing w:before="81" w:after="81"/>
              <w:textAlignment w:val="center"/>
              <w:rPr>
                <w:rFonts w:ascii="Times New Roman" w:hAnsi="Times New Roman"/>
                <w:szCs w:val="21"/>
                <w:highlight w:val="none"/>
              </w:rPr>
            </w:pPr>
          </w:p>
        </w:tc>
        <w:tc>
          <w:tcPr>
            <w:tcW w:w="1245" w:type="dxa"/>
            <w:noWrap w:val="0"/>
            <w:vAlign w:val="center"/>
          </w:tcPr>
          <w:p w14:paraId="7AB6C01C">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114936</w:t>
            </w:r>
          </w:p>
        </w:tc>
        <w:tc>
          <w:tcPr>
            <w:tcW w:w="936" w:type="dxa"/>
            <w:noWrap w:val="0"/>
            <w:vAlign w:val="center"/>
          </w:tcPr>
          <w:p w14:paraId="6F3B99F8">
            <w:pPr>
              <w:pStyle w:val="42"/>
              <w:spacing w:before="81" w:after="81"/>
              <w:ind w:firstLine="0" w:firstLineChars="0"/>
              <w:textAlignment w:val="center"/>
              <w:rPr>
                <w:rFonts w:ascii="Times New Roman" w:hAnsi="Times New Roman"/>
                <w:sz w:val="21"/>
                <w:highlight w:val="none"/>
              </w:rPr>
            </w:pPr>
            <w:r>
              <w:rPr>
                <w:rFonts w:hint="eastAsia" w:ascii="Times New Roman" w:hAnsi="Times New Roman" w:eastAsia="宋体"/>
                <w:szCs w:val="21"/>
                <w:highlight w:val="none"/>
                <w:lang w:val="en-US" w:eastAsia="zh-CN"/>
              </w:rPr>
              <w:t>916</w:t>
            </w:r>
          </w:p>
        </w:tc>
        <w:tc>
          <w:tcPr>
            <w:tcW w:w="951" w:type="dxa"/>
            <w:noWrap w:val="0"/>
            <w:vAlign w:val="center"/>
          </w:tcPr>
          <w:p w14:paraId="0CBCC95F">
            <w:pPr>
              <w:pStyle w:val="42"/>
              <w:spacing w:before="81" w:after="81"/>
              <w:ind w:firstLine="0" w:firstLineChars="0"/>
              <w:textAlignment w:val="center"/>
              <w:rPr>
                <w:rFonts w:hint="eastAsia" w:ascii="Times New Roman" w:hAnsi="Times New Roman"/>
                <w:sz w:val="21"/>
                <w:highlight w:val="none"/>
              </w:rPr>
            </w:pPr>
            <w:r>
              <w:rPr>
                <w:rFonts w:hint="eastAsia" w:ascii="Times New Roman" w:hAnsi="Times New Roman" w:eastAsia="宋体"/>
                <w:szCs w:val="21"/>
                <w:highlight w:val="none"/>
                <w:lang w:val="en-US" w:eastAsia="zh-CN"/>
              </w:rPr>
              <w:t>105</w:t>
            </w:r>
          </w:p>
        </w:tc>
        <w:tc>
          <w:tcPr>
            <w:tcW w:w="913" w:type="dxa"/>
            <w:vMerge w:val="continue"/>
            <w:noWrap w:val="0"/>
            <w:vAlign w:val="center"/>
          </w:tcPr>
          <w:p w14:paraId="7D1BEF8C">
            <w:pPr>
              <w:pStyle w:val="42"/>
              <w:spacing w:before="81" w:after="81"/>
              <w:textAlignment w:val="center"/>
              <w:rPr>
                <w:rFonts w:hint="eastAsia" w:ascii="Times New Roman" w:hAnsi="Times New Roman"/>
                <w:szCs w:val="21"/>
                <w:highlight w:val="none"/>
              </w:rPr>
            </w:pPr>
          </w:p>
        </w:tc>
      </w:tr>
      <w:tr w14:paraId="08EBE3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3A70C564">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1E82174A">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7FC16F1E">
            <w:pPr>
              <w:pStyle w:val="42"/>
              <w:spacing w:before="81" w:after="81"/>
              <w:textAlignment w:val="center"/>
              <w:rPr>
                <w:rFonts w:ascii="Times New Roman" w:hAnsi="Times New Roman"/>
                <w:szCs w:val="21"/>
                <w:highlight w:val="none"/>
              </w:rPr>
            </w:pPr>
          </w:p>
        </w:tc>
        <w:tc>
          <w:tcPr>
            <w:tcW w:w="737" w:type="dxa"/>
            <w:vMerge w:val="continue"/>
            <w:noWrap w:val="0"/>
            <w:vAlign w:val="center"/>
          </w:tcPr>
          <w:p w14:paraId="5309D2C1">
            <w:pPr>
              <w:pStyle w:val="42"/>
              <w:spacing w:before="81" w:after="81"/>
              <w:textAlignment w:val="center"/>
              <w:rPr>
                <w:rFonts w:ascii="Times New Roman" w:hAnsi="Times New Roman"/>
                <w:szCs w:val="21"/>
                <w:highlight w:val="none"/>
              </w:rPr>
            </w:pPr>
          </w:p>
        </w:tc>
        <w:tc>
          <w:tcPr>
            <w:tcW w:w="660" w:type="dxa"/>
            <w:vMerge w:val="continue"/>
            <w:noWrap w:val="0"/>
            <w:vAlign w:val="center"/>
          </w:tcPr>
          <w:p w14:paraId="52B7DF10">
            <w:pPr>
              <w:pStyle w:val="42"/>
              <w:spacing w:before="81" w:after="81"/>
              <w:textAlignment w:val="center"/>
              <w:rPr>
                <w:rFonts w:ascii="Times New Roman" w:hAnsi="Times New Roman"/>
                <w:szCs w:val="21"/>
                <w:highlight w:val="none"/>
              </w:rPr>
            </w:pPr>
          </w:p>
        </w:tc>
        <w:tc>
          <w:tcPr>
            <w:tcW w:w="1430" w:type="dxa"/>
            <w:noWrap w:val="0"/>
            <w:vAlign w:val="center"/>
          </w:tcPr>
          <w:p w14:paraId="4F4B873F">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298648（使用116MW+35t/h锅炉）</w:t>
            </w:r>
          </w:p>
        </w:tc>
        <w:tc>
          <w:tcPr>
            <w:tcW w:w="1059" w:type="dxa"/>
            <w:noWrap w:val="0"/>
            <w:vAlign w:val="center"/>
          </w:tcPr>
          <w:p w14:paraId="006C6CBB">
            <w:pPr>
              <w:pStyle w:val="42"/>
              <w:spacing w:before="81" w:after="81"/>
              <w:textAlignment w:val="center"/>
              <w:rPr>
                <w:rFonts w:hint="default" w:ascii="Times New Roman" w:hAnsi="Times New Roman" w:eastAsia="宋体"/>
                <w:szCs w:val="21"/>
                <w:highlight w:val="none"/>
                <w:lang w:val="en-US" w:eastAsia="zh-CN"/>
              </w:rPr>
            </w:pPr>
            <w:r>
              <w:rPr>
                <w:rFonts w:hint="eastAsia" w:ascii="Times New Roman" w:hAnsi="Times New Roman" w:eastAsia="宋体"/>
                <w:szCs w:val="21"/>
                <w:highlight w:val="none"/>
                <w:lang w:val="en-US" w:eastAsia="zh-CN"/>
              </w:rPr>
              <w:t>916</w:t>
            </w:r>
          </w:p>
        </w:tc>
        <w:tc>
          <w:tcPr>
            <w:tcW w:w="887" w:type="dxa"/>
            <w:noWrap w:val="0"/>
            <w:vAlign w:val="center"/>
          </w:tcPr>
          <w:p w14:paraId="6DD7446D">
            <w:pPr>
              <w:pStyle w:val="42"/>
              <w:spacing w:before="81" w:after="81"/>
              <w:ind w:firstLine="0" w:firstLineChars="0"/>
              <w:textAlignment w:val="center"/>
              <w:rPr>
                <w:rFonts w:hint="default" w:ascii="Times New Roman" w:hAnsi="Times New Roman" w:eastAsia="宋体"/>
                <w:szCs w:val="21"/>
                <w:highlight w:val="none"/>
                <w:lang w:val="en-US"/>
              </w:rPr>
            </w:pPr>
            <w:r>
              <w:rPr>
                <w:rFonts w:hint="eastAsia" w:ascii="Times New Roman" w:hAnsi="Times New Roman" w:eastAsia="宋体"/>
                <w:szCs w:val="21"/>
                <w:highlight w:val="none"/>
                <w:lang w:val="en-US" w:eastAsia="zh-CN"/>
              </w:rPr>
              <w:t>271</w:t>
            </w:r>
          </w:p>
        </w:tc>
        <w:tc>
          <w:tcPr>
            <w:tcW w:w="1173" w:type="dxa"/>
            <w:vMerge w:val="continue"/>
            <w:noWrap w:val="0"/>
            <w:vAlign w:val="center"/>
          </w:tcPr>
          <w:p w14:paraId="35E5B4B8">
            <w:pPr>
              <w:spacing w:line="240" w:lineRule="auto"/>
              <w:ind w:firstLine="0" w:firstLineChars="0"/>
              <w:jc w:val="center"/>
              <w:textAlignment w:val="center"/>
              <w:rPr>
                <w:rFonts w:ascii="Times New Roman" w:hAnsi="Times New Roman"/>
                <w:sz w:val="21"/>
                <w:highlight w:val="none"/>
              </w:rPr>
            </w:pPr>
          </w:p>
        </w:tc>
        <w:tc>
          <w:tcPr>
            <w:tcW w:w="874" w:type="dxa"/>
            <w:vMerge w:val="continue"/>
            <w:noWrap w:val="0"/>
            <w:vAlign w:val="center"/>
          </w:tcPr>
          <w:p w14:paraId="3CF3EE42">
            <w:pPr>
              <w:pStyle w:val="42"/>
              <w:spacing w:before="81" w:after="81"/>
              <w:textAlignment w:val="center"/>
              <w:rPr>
                <w:rFonts w:ascii="Times New Roman" w:hAnsi="Times New Roman"/>
                <w:szCs w:val="21"/>
                <w:highlight w:val="none"/>
              </w:rPr>
            </w:pPr>
          </w:p>
        </w:tc>
        <w:tc>
          <w:tcPr>
            <w:tcW w:w="805" w:type="dxa"/>
            <w:vMerge w:val="continue"/>
            <w:noWrap w:val="0"/>
            <w:vAlign w:val="center"/>
          </w:tcPr>
          <w:p w14:paraId="0BD73CF9">
            <w:pPr>
              <w:pStyle w:val="42"/>
              <w:spacing w:before="81" w:after="81"/>
              <w:textAlignment w:val="center"/>
              <w:rPr>
                <w:rFonts w:ascii="Times New Roman" w:hAnsi="Times New Roman"/>
                <w:szCs w:val="21"/>
                <w:highlight w:val="none"/>
              </w:rPr>
            </w:pPr>
          </w:p>
        </w:tc>
        <w:tc>
          <w:tcPr>
            <w:tcW w:w="1245" w:type="dxa"/>
            <w:noWrap w:val="0"/>
            <w:vAlign w:val="center"/>
          </w:tcPr>
          <w:p w14:paraId="26B30DBC">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298648</w:t>
            </w:r>
          </w:p>
        </w:tc>
        <w:tc>
          <w:tcPr>
            <w:tcW w:w="936" w:type="dxa"/>
            <w:noWrap w:val="0"/>
            <w:vAlign w:val="center"/>
          </w:tcPr>
          <w:p w14:paraId="6A99ABD8">
            <w:pPr>
              <w:pStyle w:val="42"/>
              <w:spacing w:before="81" w:after="81"/>
              <w:ind w:firstLine="0" w:firstLineChars="0"/>
              <w:textAlignment w:val="center"/>
              <w:rPr>
                <w:rFonts w:ascii="Times New Roman" w:hAnsi="Times New Roman"/>
                <w:sz w:val="21"/>
                <w:highlight w:val="none"/>
              </w:rPr>
            </w:pPr>
            <w:r>
              <w:rPr>
                <w:rFonts w:hint="eastAsia" w:ascii="Times New Roman" w:hAnsi="Times New Roman" w:eastAsia="宋体"/>
                <w:szCs w:val="21"/>
                <w:highlight w:val="none"/>
                <w:lang w:val="en-US" w:eastAsia="zh-CN"/>
              </w:rPr>
              <w:t>916</w:t>
            </w:r>
          </w:p>
        </w:tc>
        <w:tc>
          <w:tcPr>
            <w:tcW w:w="951" w:type="dxa"/>
            <w:noWrap w:val="0"/>
            <w:vAlign w:val="center"/>
          </w:tcPr>
          <w:p w14:paraId="74E1DA32">
            <w:pPr>
              <w:pStyle w:val="42"/>
              <w:spacing w:before="81" w:after="81"/>
              <w:ind w:firstLine="0" w:firstLineChars="0"/>
              <w:textAlignment w:val="center"/>
              <w:rPr>
                <w:rFonts w:hint="eastAsia" w:ascii="Times New Roman" w:hAnsi="Times New Roman"/>
                <w:sz w:val="21"/>
                <w:highlight w:val="none"/>
              </w:rPr>
            </w:pPr>
            <w:r>
              <w:rPr>
                <w:rFonts w:hint="eastAsia" w:ascii="Times New Roman" w:hAnsi="Times New Roman" w:eastAsia="宋体"/>
                <w:szCs w:val="21"/>
                <w:highlight w:val="none"/>
                <w:lang w:val="en-US" w:eastAsia="zh-CN"/>
              </w:rPr>
              <w:t>271</w:t>
            </w:r>
          </w:p>
        </w:tc>
        <w:tc>
          <w:tcPr>
            <w:tcW w:w="913" w:type="dxa"/>
            <w:vMerge w:val="continue"/>
            <w:noWrap w:val="0"/>
            <w:vAlign w:val="center"/>
          </w:tcPr>
          <w:p w14:paraId="7E4684D2">
            <w:pPr>
              <w:pStyle w:val="42"/>
              <w:spacing w:before="81" w:after="81"/>
              <w:textAlignment w:val="center"/>
              <w:rPr>
                <w:rFonts w:hint="eastAsia" w:ascii="Times New Roman" w:hAnsi="Times New Roman"/>
                <w:szCs w:val="21"/>
                <w:highlight w:val="none"/>
              </w:rPr>
            </w:pPr>
          </w:p>
        </w:tc>
      </w:tr>
      <w:tr w14:paraId="778E35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41371720">
            <w:pPr>
              <w:pStyle w:val="42"/>
              <w:spacing w:before="81" w:after="81"/>
              <w:textAlignment w:val="center"/>
              <w:rPr>
                <w:rFonts w:ascii="Times New Roman" w:hAnsi="Times New Roman"/>
                <w:szCs w:val="21"/>
                <w:highlight w:val="none"/>
              </w:rPr>
            </w:pPr>
          </w:p>
        </w:tc>
        <w:tc>
          <w:tcPr>
            <w:tcW w:w="912" w:type="dxa"/>
            <w:vMerge w:val="continue"/>
            <w:noWrap w:val="0"/>
            <w:vAlign w:val="center"/>
          </w:tcPr>
          <w:p w14:paraId="582AEB53">
            <w:pPr>
              <w:pStyle w:val="42"/>
              <w:spacing w:before="81" w:after="81"/>
              <w:textAlignment w:val="center"/>
              <w:rPr>
                <w:rFonts w:ascii="Times New Roman" w:hAnsi="Times New Roman"/>
                <w:szCs w:val="21"/>
                <w:highlight w:val="none"/>
              </w:rPr>
            </w:pPr>
          </w:p>
        </w:tc>
        <w:tc>
          <w:tcPr>
            <w:tcW w:w="748" w:type="dxa"/>
            <w:vMerge w:val="continue"/>
            <w:noWrap w:val="0"/>
            <w:vAlign w:val="center"/>
          </w:tcPr>
          <w:p w14:paraId="1F210C81">
            <w:pPr>
              <w:pStyle w:val="42"/>
              <w:spacing w:before="81" w:after="81"/>
              <w:textAlignment w:val="center"/>
              <w:rPr>
                <w:rFonts w:ascii="Times New Roman" w:hAnsi="Times New Roman"/>
                <w:szCs w:val="21"/>
                <w:highlight w:val="none"/>
              </w:rPr>
            </w:pPr>
          </w:p>
        </w:tc>
        <w:tc>
          <w:tcPr>
            <w:tcW w:w="737" w:type="dxa"/>
            <w:vMerge w:val="continue"/>
            <w:noWrap w:val="0"/>
            <w:vAlign w:val="center"/>
          </w:tcPr>
          <w:p w14:paraId="6958DB25">
            <w:pPr>
              <w:pStyle w:val="42"/>
              <w:spacing w:before="81" w:after="81"/>
              <w:textAlignment w:val="center"/>
              <w:rPr>
                <w:rFonts w:ascii="Times New Roman" w:hAnsi="Times New Roman"/>
                <w:szCs w:val="21"/>
                <w:highlight w:val="none"/>
              </w:rPr>
            </w:pPr>
          </w:p>
        </w:tc>
        <w:tc>
          <w:tcPr>
            <w:tcW w:w="660" w:type="dxa"/>
            <w:vMerge w:val="continue"/>
            <w:noWrap w:val="0"/>
            <w:vAlign w:val="center"/>
          </w:tcPr>
          <w:p w14:paraId="68C994A0">
            <w:pPr>
              <w:pStyle w:val="42"/>
              <w:spacing w:before="81" w:after="81"/>
              <w:textAlignment w:val="center"/>
              <w:rPr>
                <w:rFonts w:ascii="Times New Roman" w:hAnsi="Times New Roman"/>
                <w:szCs w:val="21"/>
                <w:highlight w:val="none"/>
              </w:rPr>
            </w:pPr>
          </w:p>
        </w:tc>
        <w:tc>
          <w:tcPr>
            <w:tcW w:w="1430" w:type="dxa"/>
            <w:noWrap w:val="0"/>
            <w:vAlign w:val="center"/>
          </w:tcPr>
          <w:p w14:paraId="28BE6D56">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80864（使用58MW锅炉）</w:t>
            </w:r>
          </w:p>
        </w:tc>
        <w:tc>
          <w:tcPr>
            <w:tcW w:w="1059" w:type="dxa"/>
            <w:noWrap w:val="0"/>
            <w:vAlign w:val="center"/>
          </w:tcPr>
          <w:p w14:paraId="1CCF6E19">
            <w:pPr>
              <w:pStyle w:val="42"/>
              <w:spacing w:before="81" w:after="81"/>
              <w:textAlignment w:val="center"/>
              <w:rPr>
                <w:rFonts w:hint="default" w:ascii="Times New Roman" w:hAnsi="Times New Roman" w:eastAsia="宋体"/>
                <w:szCs w:val="21"/>
                <w:highlight w:val="none"/>
                <w:lang w:val="en-US" w:eastAsia="zh-CN"/>
              </w:rPr>
            </w:pPr>
            <w:r>
              <w:rPr>
                <w:rFonts w:hint="eastAsia" w:ascii="Times New Roman" w:hAnsi="Times New Roman" w:eastAsia="宋体"/>
                <w:szCs w:val="21"/>
                <w:highlight w:val="none"/>
                <w:lang w:val="en-US" w:eastAsia="zh-CN"/>
              </w:rPr>
              <w:t>916</w:t>
            </w:r>
          </w:p>
        </w:tc>
        <w:tc>
          <w:tcPr>
            <w:tcW w:w="887" w:type="dxa"/>
            <w:noWrap w:val="0"/>
            <w:vAlign w:val="center"/>
          </w:tcPr>
          <w:p w14:paraId="1C9AEFF8">
            <w:pPr>
              <w:pStyle w:val="42"/>
              <w:spacing w:before="81" w:after="81"/>
              <w:ind w:firstLine="0" w:firstLineChars="0"/>
              <w:textAlignment w:val="center"/>
              <w:rPr>
                <w:rFonts w:hint="default" w:ascii="Times New Roman" w:hAnsi="Times New Roman" w:eastAsia="宋体"/>
                <w:szCs w:val="21"/>
                <w:highlight w:val="none"/>
                <w:lang w:val="en-US"/>
              </w:rPr>
            </w:pPr>
            <w:r>
              <w:rPr>
                <w:rFonts w:hint="eastAsia" w:ascii="Times New Roman" w:hAnsi="Times New Roman" w:eastAsia="宋体"/>
                <w:szCs w:val="21"/>
                <w:highlight w:val="none"/>
                <w:lang w:val="en-US" w:eastAsia="zh-CN"/>
              </w:rPr>
              <w:t>31</w:t>
            </w:r>
          </w:p>
        </w:tc>
        <w:tc>
          <w:tcPr>
            <w:tcW w:w="1173" w:type="dxa"/>
            <w:vMerge w:val="continue"/>
            <w:noWrap w:val="0"/>
            <w:vAlign w:val="center"/>
          </w:tcPr>
          <w:p w14:paraId="7EC5DA76">
            <w:pPr>
              <w:spacing w:line="240" w:lineRule="auto"/>
              <w:ind w:firstLine="0" w:firstLineChars="0"/>
              <w:jc w:val="center"/>
              <w:textAlignment w:val="center"/>
              <w:rPr>
                <w:rFonts w:ascii="Times New Roman" w:hAnsi="Times New Roman"/>
                <w:sz w:val="21"/>
                <w:highlight w:val="none"/>
              </w:rPr>
            </w:pPr>
          </w:p>
        </w:tc>
        <w:tc>
          <w:tcPr>
            <w:tcW w:w="874" w:type="dxa"/>
            <w:vMerge w:val="continue"/>
            <w:noWrap w:val="0"/>
            <w:vAlign w:val="center"/>
          </w:tcPr>
          <w:p w14:paraId="4DB534F3">
            <w:pPr>
              <w:pStyle w:val="42"/>
              <w:spacing w:before="81" w:after="81"/>
              <w:textAlignment w:val="center"/>
              <w:rPr>
                <w:rFonts w:ascii="Times New Roman" w:hAnsi="Times New Roman"/>
                <w:szCs w:val="21"/>
                <w:highlight w:val="none"/>
              </w:rPr>
            </w:pPr>
          </w:p>
        </w:tc>
        <w:tc>
          <w:tcPr>
            <w:tcW w:w="805" w:type="dxa"/>
            <w:vMerge w:val="continue"/>
            <w:noWrap w:val="0"/>
            <w:vAlign w:val="center"/>
          </w:tcPr>
          <w:p w14:paraId="73893BEB">
            <w:pPr>
              <w:pStyle w:val="42"/>
              <w:spacing w:before="81" w:after="81"/>
              <w:textAlignment w:val="center"/>
              <w:rPr>
                <w:rFonts w:ascii="Times New Roman" w:hAnsi="Times New Roman"/>
                <w:szCs w:val="21"/>
                <w:highlight w:val="none"/>
              </w:rPr>
            </w:pPr>
          </w:p>
        </w:tc>
        <w:tc>
          <w:tcPr>
            <w:tcW w:w="1245" w:type="dxa"/>
            <w:noWrap w:val="0"/>
            <w:vAlign w:val="center"/>
          </w:tcPr>
          <w:p w14:paraId="2E708E9D">
            <w:pPr>
              <w:pStyle w:val="42"/>
              <w:spacing w:before="81" w:after="81"/>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80864</w:t>
            </w:r>
          </w:p>
        </w:tc>
        <w:tc>
          <w:tcPr>
            <w:tcW w:w="936" w:type="dxa"/>
            <w:noWrap w:val="0"/>
            <w:vAlign w:val="center"/>
          </w:tcPr>
          <w:p w14:paraId="691D836A">
            <w:pPr>
              <w:pStyle w:val="42"/>
              <w:spacing w:before="81" w:after="81"/>
              <w:ind w:firstLine="0" w:firstLineChars="0"/>
              <w:textAlignment w:val="center"/>
              <w:rPr>
                <w:rFonts w:ascii="Times New Roman" w:hAnsi="Times New Roman"/>
                <w:sz w:val="21"/>
                <w:highlight w:val="none"/>
              </w:rPr>
            </w:pPr>
            <w:r>
              <w:rPr>
                <w:rFonts w:hint="eastAsia" w:ascii="Times New Roman" w:hAnsi="Times New Roman" w:eastAsia="宋体"/>
                <w:szCs w:val="21"/>
                <w:highlight w:val="none"/>
                <w:lang w:val="en-US" w:eastAsia="zh-CN"/>
              </w:rPr>
              <w:t>916</w:t>
            </w:r>
          </w:p>
        </w:tc>
        <w:tc>
          <w:tcPr>
            <w:tcW w:w="951" w:type="dxa"/>
            <w:noWrap w:val="0"/>
            <w:vAlign w:val="center"/>
          </w:tcPr>
          <w:p w14:paraId="51E1FB13">
            <w:pPr>
              <w:pStyle w:val="42"/>
              <w:spacing w:before="81" w:after="81"/>
              <w:ind w:firstLine="0" w:firstLineChars="0"/>
              <w:textAlignment w:val="center"/>
              <w:rPr>
                <w:rFonts w:hint="eastAsia" w:ascii="Times New Roman" w:hAnsi="Times New Roman"/>
                <w:sz w:val="21"/>
                <w:highlight w:val="none"/>
              </w:rPr>
            </w:pPr>
            <w:r>
              <w:rPr>
                <w:rFonts w:hint="eastAsia" w:ascii="Times New Roman" w:hAnsi="Times New Roman" w:eastAsia="宋体"/>
                <w:szCs w:val="21"/>
                <w:highlight w:val="none"/>
                <w:lang w:val="en-US" w:eastAsia="zh-CN"/>
              </w:rPr>
              <w:t>31</w:t>
            </w:r>
          </w:p>
        </w:tc>
        <w:tc>
          <w:tcPr>
            <w:tcW w:w="913" w:type="dxa"/>
            <w:vMerge w:val="continue"/>
            <w:noWrap w:val="0"/>
            <w:vAlign w:val="center"/>
          </w:tcPr>
          <w:p w14:paraId="7DD80C01">
            <w:pPr>
              <w:pStyle w:val="42"/>
              <w:spacing w:before="81" w:after="81"/>
              <w:textAlignment w:val="center"/>
              <w:rPr>
                <w:rFonts w:hint="eastAsia" w:ascii="Times New Roman" w:hAnsi="Times New Roman"/>
                <w:szCs w:val="21"/>
                <w:highlight w:val="none"/>
              </w:rPr>
            </w:pPr>
          </w:p>
        </w:tc>
      </w:tr>
      <w:tr w14:paraId="4D6BE6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8" w:type="dxa"/>
            <w:vMerge w:val="continue"/>
            <w:noWrap w:val="0"/>
            <w:vAlign w:val="center"/>
          </w:tcPr>
          <w:p w14:paraId="2CF32CBD">
            <w:pPr>
              <w:pStyle w:val="42"/>
              <w:spacing w:before="81" w:after="81"/>
              <w:textAlignment w:val="center"/>
              <w:rPr>
                <w:rFonts w:ascii="Times New Roman" w:hAnsi="Times New Roman"/>
                <w:szCs w:val="21"/>
                <w:highlight w:val="none"/>
              </w:rPr>
            </w:pPr>
          </w:p>
        </w:tc>
        <w:tc>
          <w:tcPr>
            <w:tcW w:w="912" w:type="dxa"/>
            <w:noWrap w:val="0"/>
            <w:vAlign w:val="center"/>
          </w:tcPr>
          <w:p w14:paraId="5534B9FD">
            <w:pPr>
              <w:pStyle w:val="42"/>
              <w:spacing w:before="81" w:after="81"/>
              <w:textAlignment w:val="center"/>
              <w:rPr>
                <w:rFonts w:ascii="Times New Roman" w:hAnsi="Times New Roman"/>
                <w:szCs w:val="21"/>
                <w:highlight w:val="none"/>
              </w:rPr>
            </w:pPr>
            <w:r>
              <w:rPr>
                <w:rFonts w:ascii="Times New Roman" w:hAnsi="Times New Roman"/>
                <w:szCs w:val="21"/>
                <w:highlight w:val="none"/>
              </w:rPr>
              <w:t>食堂油烟</w:t>
            </w:r>
          </w:p>
        </w:tc>
        <w:tc>
          <w:tcPr>
            <w:tcW w:w="748" w:type="dxa"/>
            <w:noWrap w:val="0"/>
            <w:vAlign w:val="center"/>
          </w:tcPr>
          <w:p w14:paraId="11C1FA88">
            <w:pPr>
              <w:pStyle w:val="42"/>
              <w:spacing w:before="81" w:after="81"/>
              <w:textAlignment w:val="center"/>
              <w:rPr>
                <w:rFonts w:ascii="Times New Roman" w:hAnsi="Times New Roman"/>
                <w:szCs w:val="21"/>
                <w:highlight w:val="none"/>
              </w:rPr>
            </w:pPr>
            <w:r>
              <w:rPr>
                <w:rFonts w:ascii="Times New Roman" w:hAnsi="Times New Roman"/>
                <w:szCs w:val="21"/>
                <w:highlight w:val="none"/>
              </w:rPr>
              <w:t>高于楼顶</w:t>
            </w:r>
          </w:p>
        </w:tc>
        <w:tc>
          <w:tcPr>
            <w:tcW w:w="737" w:type="dxa"/>
            <w:noWrap w:val="0"/>
            <w:vAlign w:val="center"/>
          </w:tcPr>
          <w:p w14:paraId="6B42EF69">
            <w:pPr>
              <w:pStyle w:val="42"/>
              <w:spacing w:before="81" w:after="81"/>
              <w:textAlignment w:val="center"/>
              <w:rPr>
                <w:rFonts w:ascii="Times New Roman" w:hAnsi="Times New Roman"/>
                <w:szCs w:val="21"/>
                <w:highlight w:val="none"/>
              </w:rPr>
            </w:pPr>
            <w:r>
              <w:rPr>
                <w:rFonts w:ascii="Times New Roman" w:hAnsi="Times New Roman"/>
                <w:szCs w:val="21"/>
                <w:highlight w:val="none"/>
              </w:rPr>
              <w:t>食堂油烟</w:t>
            </w:r>
          </w:p>
        </w:tc>
        <w:tc>
          <w:tcPr>
            <w:tcW w:w="660" w:type="dxa"/>
            <w:noWrap w:val="0"/>
            <w:vAlign w:val="center"/>
          </w:tcPr>
          <w:p w14:paraId="0CD6A5EF">
            <w:pPr>
              <w:pStyle w:val="42"/>
              <w:spacing w:before="81" w:after="81"/>
              <w:textAlignment w:val="center"/>
              <w:rPr>
                <w:rFonts w:ascii="Times New Roman" w:hAnsi="Times New Roman"/>
                <w:szCs w:val="21"/>
                <w:highlight w:val="none"/>
              </w:rPr>
            </w:pPr>
            <w:r>
              <w:rPr>
                <w:rFonts w:ascii="Times New Roman" w:hAnsi="Times New Roman"/>
                <w:szCs w:val="21"/>
                <w:highlight w:val="none"/>
              </w:rPr>
              <w:t>系数法</w:t>
            </w:r>
          </w:p>
        </w:tc>
        <w:tc>
          <w:tcPr>
            <w:tcW w:w="1430" w:type="dxa"/>
            <w:noWrap w:val="0"/>
            <w:vAlign w:val="center"/>
          </w:tcPr>
          <w:p w14:paraId="793B118D">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8000</w:t>
            </w:r>
          </w:p>
        </w:tc>
        <w:tc>
          <w:tcPr>
            <w:tcW w:w="1059" w:type="dxa"/>
            <w:noWrap w:val="0"/>
            <w:vAlign w:val="center"/>
          </w:tcPr>
          <w:p w14:paraId="398F9935">
            <w:pPr>
              <w:pStyle w:val="42"/>
              <w:spacing w:before="81" w:after="81"/>
              <w:textAlignment w:val="center"/>
              <w:rPr>
                <w:rFonts w:hint="default" w:ascii="Times New Roman" w:hAnsi="Times New Roman" w:eastAsia="宋体"/>
                <w:szCs w:val="21"/>
                <w:highlight w:val="none"/>
                <w:lang w:val="en-US" w:eastAsia="zh-CN"/>
              </w:rPr>
            </w:pPr>
            <w:r>
              <w:rPr>
                <w:rFonts w:hint="eastAsia" w:ascii="Times New Roman" w:hAnsi="Times New Roman" w:eastAsia="宋体"/>
                <w:szCs w:val="21"/>
                <w:highlight w:val="none"/>
                <w:lang w:val="en-US" w:eastAsia="zh-CN"/>
              </w:rPr>
              <w:t>1.31</w:t>
            </w:r>
          </w:p>
        </w:tc>
        <w:tc>
          <w:tcPr>
            <w:tcW w:w="887" w:type="dxa"/>
            <w:noWrap w:val="0"/>
            <w:vAlign w:val="center"/>
          </w:tcPr>
          <w:p w14:paraId="4BD50207">
            <w:pPr>
              <w:pStyle w:val="42"/>
              <w:spacing w:before="81" w:after="81"/>
              <w:textAlignment w:val="center"/>
              <w:rPr>
                <w:rFonts w:ascii="Times New Roman" w:hAnsi="Times New Roman" w:eastAsia="宋体"/>
                <w:szCs w:val="21"/>
                <w:highlight w:val="none"/>
              </w:rPr>
            </w:pPr>
            <w:r>
              <w:rPr>
                <w:rFonts w:ascii="Times New Roman" w:hAnsi="Times New Roman" w:eastAsia="宋体"/>
                <w:szCs w:val="21"/>
                <w:highlight w:val="none"/>
              </w:rPr>
              <w:t>0.01</w:t>
            </w:r>
          </w:p>
        </w:tc>
        <w:tc>
          <w:tcPr>
            <w:tcW w:w="1173" w:type="dxa"/>
            <w:noWrap w:val="0"/>
            <w:vAlign w:val="center"/>
          </w:tcPr>
          <w:p w14:paraId="7634A2A2">
            <w:pPr>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油烟机净化器</w:t>
            </w:r>
          </w:p>
        </w:tc>
        <w:tc>
          <w:tcPr>
            <w:tcW w:w="874" w:type="dxa"/>
            <w:noWrap w:val="0"/>
            <w:vAlign w:val="center"/>
          </w:tcPr>
          <w:p w14:paraId="04D96EBC">
            <w:pPr>
              <w:pStyle w:val="42"/>
              <w:spacing w:before="81" w:after="81"/>
              <w:textAlignment w:val="center"/>
              <w:rPr>
                <w:rFonts w:ascii="Times New Roman" w:hAnsi="Times New Roman"/>
                <w:szCs w:val="21"/>
                <w:highlight w:val="none"/>
              </w:rPr>
            </w:pPr>
            <w:r>
              <w:rPr>
                <w:rFonts w:ascii="Times New Roman" w:hAnsi="Times New Roman"/>
                <w:szCs w:val="21"/>
                <w:highlight w:val="none"/>
              </w:rPr>
              <w:t>75</w:t>
            </w:r>
          </w:p>
        </w:tc>
        <w:tc>
          <w:tcPr>
            <w:tcW w:w="805" w:type="dxa"/>
            <w:noWrap w:val="0"/>
            <w:vAlign w:val="center"/>
          </w:tcPr>
          <w:p w14:paraId="0051D91C">
            <w:pPr>
              <w:pStyle w:val="42"/>
              <w:spacing w:before="81" w:after="81"/>
              <w:textAlignment w:val="center"/>
              <w:rPr>
                <w:rFonts w:ascii="Times New Roman" w:hAnsi="Times New Roman"/>
                <w:szCs w:val="21"/>
                <w:highlight w:val="none"/>
              </w:rPr>
            </w:pPr>
            <w:r>
              <w:rPr>
                <w:rFonts w:ascii="Times New Roman" w:hAnsi="Times New Roman"/>
                <w:szCs w:val="21"/>
                <w:highlight w:val="none"/>
              </w:rPr>
              <w:t>物料衡算法</w:t>
            </w:r>
          </w:p>
        </w:tc>
        <w:tc>
          <w:tcPr>
            <w:tcW w:w="1245" w:type="dxa"/>
            <w:noWrap w:val="0"/>
            <w:vAlign w:val="center"/>
          </w:tcPr>
          <w:p w14:paraId="6DB05C44">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8000</w:t>
            </w:r>
          </w:p>
        </w:tc>
        <w:tc>
          <w:tcPr>
            <w:tcW w:w="936" w:type="dxa"/>
            <w:noWrap w:val="0"/>
            <w:vAlign w:val="center"/>
          </w:tcPr>
          <w:p w14:paraId="74328F5C">
            <w:pPr>
              <w:spacing w:line="240" w:lineRule="auto"/>
              <w:ind w:firstLine="0" w:firstLineChars="0"/>
              <w:jc w:val="center"/>
              <w:rPr>
                <w:rFonts w:ascii="Times New Roman" w:hAnsi="Times New Roman"/>
                <w:sz w:val="21"/>
                <w:highlight w:val="none"/>
              </w:rPr>
            </w:pPr>
            <w:r>
              <w:rPr>
                <w:rFonts w:hint="eastAsia" w:ascii="Times New Roman" w:hAnsi="Times New Roman"/>
                <w:sz w:val="21"/>
                <w:highlight w:val="none"/>
              </w:rPr>
              <w:t>0.824</w:t>
            </w:r>
          </w:p>
        </w:tc>
        <w:tc>
          <w:tcPr>
            <w:tcW w:w="951" w:type="dxa"/>
            <w:noWrap w:val="0"/>
            <w:vAlign w:val="center"/>
          </w:tcPr>
          <w:p w14:paraId="33B47174">
            <w:pPr>
              <w:spacing w:line="240" w:lineRule="auto"/>
              <w:ind w:firstLine="0" w:firstLineChars="0"/>
              <w:jc w:val="center"/>
              <w:textAlignment w:val="center"/>
              <w:rPr>
                <w:rFonts w:hint="default" w:ascii="Times New Roman" w:hAnsi="Times New Roman" w:eastAsia="宋体"/>
                <w:szCs w:val="21"/>
                <w:highlight w:val="none"/>
                <w:lang w:val="en-US" w:eastAsia="zh-CN"/>
              </w:rPr>
            </w:pPr>
            <w:r>
              <w:rPr>
                <w:rFonts w:ascii="Times New Roman" w:hAnsi="Times New Roman"/>
                <w:szCs w:val="21"/>
                <w:highlight w:val="none"/>
              </w:rPr>
              <w:t>0.00</w:t>
            </w:r>
            <w:r>
              <w:rPr>
                <w:rFonts w:hint="eastAsia" w:ascii="Times New Roman" w:hAnsi="Times New Roman"/>
                <w:szCs w:val="21"/>
                <w:highlight w:val="none"/>
                <w:lang w:val="en-US" w:eastAsia="zh-CN"/>
              </w:rPr>
              <w:t>66</w:t>
            </w:r>
          </w:p>
        </w:tc>
        <w:tc>
          <w:tcPr>
            <w:tcW w:w="913" w:type="dxa"/>
            <w:noWrap w:val="0"/>
            <w:vAlign w:val="center"/>
          </w:tcPr>
          <w:p w14:paraId="1E6BC663">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5040</w:t>
            </w:r>
          </w:p>
        </w:tc>
      </w:tr>
      <w:tr w14:paraId="474FD8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2" w:hRule="atLeast"/>
          <w:jc w:val="center"/>
        </w:trPr>
        <w:tc>
          <w:tcPr>
            <w:tcW w:w="888" w:type="dxa"/>
            <w:vMerge w:val="continue"/>
            <w:noWrap w:val="0"/>
            <w:vAlign w:val="center"/>
          </w:tcPr>
          <w:p w14:paraId="61D896F2">
            <w:pPr>
              <w:pStyle w:val="42"/>
              <w:spacing w:before="81" w:after="81"/>
              <w:textAlignment w:val="center"/>
              <w:rPr>
                <w:rFonts w:ascii="Times New Roman" w:hAnsi="Times New Roman"/>
                <w:szCs w:val="21"/>
                <w:highlight w:val="none"/>
              </w:rPr>
            </w:pPr>
          </w:p>
        </w:tc>
        <w:tc>
          <w:tcPr>
            <w:tcW w:w="912" w:type="dxa"/>
            <w:noWrap w:val="0"/>
            <w:vAlign w:val="center"/>
          </w:tcPr>
          <w:p w14:paraId="793D0D66">
            <w:pPr>
              <w:pStyle w:val="42"/>
              <w:spacing w:before="81" w:after="81"/>
              <w:textAlignment w:val="center"/>
              <w:rPr>
                <w:rFonts w:hint="eastAsia" w:ascii="Times New Roman" w:hAnsi="Times New Roman" w:eastAsia="新宋体"/>
                <w:szCs w:val="21"/>
                <w:highlight w:val="none"/>
                <w:lang w:val="en-US" w:eastAsia="zh-CN"/>
              </w:rPr>
            </w:pPr>
            <w:r>
              <w:rPr>
                <w:rFonts w:hint="eastAsia" w:ascii="Times New Roman" w:hAnsi="Times New Roman"/>
                <w:szCs w:val="21"/>
                <w:highlight w:val="none"/>
                <w:lang w:val="en-US" w:eastAsia="zh-CN"/>
              </w:rPr>
              <w:t>碎煤机</w:t>
            </w:r>
          </w:p>
        </w:tc>
        <w:tc>
          <w:tcPr>
            <w:tcW w:w="748" w:type="dxa"/>
            <w:noWrap w:val="0"/>
            <w:vAlign w:val="center"/>
          </w:tcPr>
          <w:p w14:paraId="4FD5A472">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15m高烟囱</w:t>
            </w:r>
          </w:p>
        </w:tc>
        <w:tc>
          <w:tcPr>
            <w:tcW w:w="737" w:type="dxa"/>
            <w:noWrap w:val="0"/>
            <w:vAlign w:val="center"/>
          </w:tcPr>
          <w:p w14:paraId="6C9843B0">
            <w:pPr>
              <w:pStyle w:val="42"/>
              <w:spacing w:before="81" w:after="81"/>
              <w:textAlignment w:val="center"/>
              <w:rPr>
                <w:rFonts w:hint="eastAsia" w:ascii="Times New Roman" w:hAnsi="Times New Roman" w:eastAsia="新宋体"/>
                <w:szCs w:val="21"/>
                <w:highlight w:val="none"/>
                <w:lang w:val="en-US" w:eastAsia="zh-CN"/>
              </w:rPr>
            </w:pPr>
            <w:r>
              <w:rPr>
                <w:rFonts w:hint="eastAsia" w:ascii="Times New Roman" w:hAnsi="Times New Roman"/>
                <w:szCs w:val="21"/>
                <w:highlight w:val="none"/>
                <w:lang w:val="en-US" w:eastAsia="zh-CN"/>
              </w:rPr>
              <w:t>颗粒物</w:t>
            </w:r>
          </w:p>
        </w:tc>
        <w:tc>
          <w:tcPr>
            <w:tcW w:w="660" w:type="dxa"/>
            <w:noWrap w:val="0"/>
            <w:vAlign w:val="center"/>
          </w:tcPr>
          <w:p w14:paraId="321E7D80">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排污系数法</w:t>
            </w:r>
          </w:p>
        </w:tc>
        <w:tc>
          <w:tcPr>
            <w:tcW w:w="1430" w:type="dxa"/>
            <w:vMerge w:val="restart"/>
            <w:noWrap w:val="0"/>
            <w:vAlign w:val="center"/>
          </w:tcPr>
          <w:p w14:paraId="2C4B7E20">
            <w:pPr>
              <w:pStyle w:val="42"/>
              <w:spacing w:before="81" w:after="81"/>
              <w:textAlignment w:val="center"/>
              <w:rPr>
                <w:rFonts w:hint="default" w:ascii="Times New Roman" w:hAnsi="Times New Roman"/>
                <w:szCs w:val="21"/>
                <w:highlight w:val="none"/>
                <w:lang w:val="en-US" w:eastAsia="zh-CN"/>
              </w:rPr>
            </w:pPr>
            <w:r>
              <w:rPr>
                <w:rFonts w:hint="eastAsia" w:ascii="Times New Roman" w:hAnsi="Times New Roman"/>
                <w:szCs w:val="21"/>
                <w:highlight w:val="none"/>
                <w:lang w:val="en-US" w:eastAsia="zh-CN"/>
              </w:rPr>
              <w:t>4000</w:t>
            </w:r>
          </w:p>
        </w:tc>
        <w:tc>
          <w:tcPr>
            <w:tcW w:w="1059" w:type="dxa"/>
            <w:vMerge w:val="restart"/>
            <w:noWrap w:val="0"/>
            <w:vAlign w:val="center"/>
          </w:tcPr>
          <w:p w14:paraId="3BB4460A">
            <w:pPr>
              <w:pStyle w:val="42"/>
              <w:spacing w:before="81" w:after="81"/>
              <w:textAlignment w:val="center"/>
              <w:rPr>
                <w:rFonts w:hint="default" w:ascii="Times New Roman" w:hAnsi="Times New Roman" w:eastAsia="宋体"/>
                <w:szCs w:val="21"/>
                <w:highlight w:val="none"/>
                <w:lang w:val="en-US" w:eastAsia="zh-CN"/>
              </w:rPr>
            </w:pPr>
            <w:r>
              <w:rPr>
                <w:rFonts w:hint="eastAsia" w:ascii="Times New Roman" w:hAnsi="Times New Roman" w:eastAsia="宋体"/>
                <w:szCs w:val="21"/>
                <w:highlight w:val="none"/>
                <w:lang w:val="en-US" w:eastAsia="zh-CN"/>
              </w:rPr>
              <w:t>4020</w:t>
            </w:r>
          </w:p>
        </w:tc>
        <w:tc>
          <w:tcPr>
            <w:tcW w:w="887" w:type="dxa"/>
            <w:noWrap w:val="0"/>
            <w:vAlign w:val="center"/>
          </w:tcPr>
          <w:p w14:paraId="36DAE396">
            <w:pPr>
              <w:pStyle w:val="42"/>
              <w:spacing w:before="81" w:after="81"/>
              <w:textAlignment w:val="center"/>
              <w:rPr>
                <w:rFonts w:hint="default" w:ascii="Times New Roman" w:hAnsi="Times New Roman" w:eastAsia="宋体"/>
                <w:szCs w:val="21"/>
                <w:highlight w:val="none"/>
                <w:lang w:val="en-US" w:eastAsia="zh-CN"/>
              </w:rPr>
            </w:pPr>
            <w:r>
              <w:rPr>
                <w:rFonts w:hint="eastAsia" w:ascii="Times New Roman" w:hAnsi="Times New Roman" w:eastAsia="宋体"/>
                <w:szCs w:val="21"/>
                <w:highlight w:val="none"/>
                <w:lang w:val="en-US" w:eastAsia="zh-CN"/>
              </w:rPr>
              <w:t>16.08</w:t>
            </w:r>
          </w:p>
        </w:tc>
        <w:tc>
          <w:tcPr>
            <w:tcW w:w="1173" w:type="dxa"/>
            <w:noWrap w:val="0"/>
            <w:vAlign w:val="center"/>
          </w:tcPr>
          <w:p w14:paraId="074C1F5C">
            <w:pPr>
              <w:spacing w:line="240" w:lineRule="auto"/>
              <w:ind w:firstLine="0" w:firstLineChars="0"/>
              <w:jc w:val="center"/>
              <w:textAlignment w:val="center"/>
              <w:rPr>
                <w:rFonts w:hint="eastAsia" w:ascii="Times New Roman" w:hAnsi="Times New Roman" w:eastAsia="宋体"/>
                <w:sz w:val="21"/>
                <w:highlight w:val="none"/>
                <w:lang w:val="en-US" w:eastAsia="zh-CN"/>
              </w:rPr>
            </w:pPr>
            <w:r>
              <w:rPr>
                <w:rFonts w:hint="eastAsia" w:ascii="Times New Roman" w:hAnsi="Times New Roman"/>
                <w:sz w:val="21"/>
                <w:highlight w:val="none"/>
                <w:lang w:val="en-US" w:eastAsia="zh-CN"/>
              </w:rPr>
              <w:t>布袋除尘器</w:t>
            </w:r>
          </w:p>
        </w:tc>
        <w:tc>
          <w:tcPr>
            <w:tcW w:w="874" w:type="dxa"/>
            <w:noWrap w:val="0"/>
            <w:vAlign w:val="center"/>
          </w:tcPr>
          <w:p w14:paraId="3E82FE5E">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99.9</w:t>
            </w:r>
          </w:p>
        </w:tc>
        <w:tc>
          <w:tcPr>
            <w:tcW w:w="805" w:type="dxa"/>
            <w:vMerge w:val="restart"/>
            <w:noWrap w:val="0"/>
            <w:vAlign w:val="center"/>
          </w:tcPr>
          <w:p w14:paraId="1EAB418E">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物料衡算法</w:t>
            </w:r>
          </w:p>
        </w:tc>
        <w:tc>
          <w:tcPr>
            <w:tcW w:w="1245" w:type="dxa"/>
            <w:vMerge w:val="restart"/>
            <w:noWrap w:val="0"/>
            <w:vAlign w:val="center"/>
          </w:tcPr>
          <w:p w14:paraId="1D537E64">
            <w:pPr>
              <w:pStyle w:val="42"/>
              <w:spacing w:before="81" w:after="81"/>
              <w:textAlignment w:val="center"/>
              <w:rPr>
                <w:rFonts w:hint="default" w:ascii="Times New Roman" w:hAnsi="Times New Roman"/>
                <w:szCs w:val="21"/>
                <w:highlight w:val="none"/>
                <w:lang w:val="en-US" w:eastAsia="zh-CN"/>
              </w:rPr>
            </w:pPr>
            <w:r>
              <w:rPr>
                <w:rFonts w:hint="eastAsia" w:ascii="Times New Roman" w:hAnsi="Times New Roman"/>
                <w:szCs w:val="21"/>
                <w:highlight w:val="none"/>
                <w:lang w:val="en-US" w:eastAsia="zh-CN"/>
              </w:rPr>
              <w:t>4000</w:t>
            </w:r>
          </w:p>
        </w:tc>
        <w:tc>
          <w:tcPr>
            <w:tcW w:w="936" w:type="dxa"/>
            <w:vMerge w:val="restart"/>
            <w:noWrap w:val="0"/>
            <w:vAlign w:val="center"/>
          </w:tcPr>
          <w:p w14:paraId="2B681EF1">
            <w:pPr>
              <w:spacing w:line="240" w:lineRule="auto"/>
              <w:ind w:firstLine="0" w:firstLineChars="0"/>
              <w:jc w:val="center"/>
              <w:rPr>
                <w:rFonts w:hint="eastAsia" w:ascii="Times New Roman" w:hAnsi="Times New Roman" w:eastAsia="宋体"/>
                <w:sz w:val="21"/>
                <w:highlight w:val="none"/>
                <w:lang w:val="en-US" w:eastAsia="zh-CN"/>
              </w:rPr>
            </w:pPr>
            <w:r>
              <w:rPr>
                <w:rFonts w:hint="eastAsia" w:ascii="Times New Roman" w:hAnsi="Times New Roman"/>
                <w:sz w:val="21"/>
                <w:highlight w:val="none"/>
                <w:lang w:val="en-US" w:eastAsia="zh-CN"/>
              </w:rPr>
              <w:t>4</w:t>
            </w:r>
          </w:p>
        </w:tc>
        <w:tc>
          <w:tcPr>
            <w:tcW w:w="951" w:type="dxa"/>
            <w:noWrap w:val="0"/>
            <w:vAlign w:val="center"/>
          </w:tcPr>
          <w:p w14:paraId="0854BC68">
            <w:pPr>
              <w:spacing w:line="240" w:lineRule="auto"/>
              <w:ind w:firstLine="0" w:firstLineChars="0"/>
              <w:jc w:val="center"/>
              <w:textAlignment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val="en-US" w:eastAsia="zh-CN"/>
              </w:rPr>
              <w:t>0.0016</w:t>
            </w:r>
          </w:p>
        </w:tc>
        <w:tc>
          <w:tcPr>
            <w:tcW w:w="913" w:type="dxa"/>
            <w:noWrap w:val="0"/>
            <w:vAlign w:val="center"/>
          </w:tcPr>
          <w:p w14:paraId="3026A32D">
            <w:pPr>
              <w:pStyle w:val="42"/>
              <w:spacing w:before="81" w:after="81"/>
              <w:textAlignment w:val="center"/>
              <w:rPr>
                <w:rFonts w:hint="default" w:ascii="Times New Roman" w:hAnsi="Times New Roman"/>
                <w:szCs w:val="21"/>
                <w:highlight w:val="none"/>
                <w:lang w:val="en-US" w:eastAsia="zh-CN"/>
              </w:rPr>
            </w:pPr>
            <w:r>
              <w:rPr>
                <w:rFonts w:hint="eastAsia" w:ascii="Times New Roman" w:hAnsi="Times New Roman"/>
                <w:szCs w:val="21"/>
                <w:highlight w:val="none"/>
                <w:lang w:val="en-US" w:eastAsia="zh-CN"/>
              </w:rPr>
              <w:t>5040</w:t>
            </w:r>
          </w:p>
        </w:tc>
      </w:tr>
      <w:tr w14:paraId="7E3802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restart"/>
            <w:noWrap w:val="0"/>
            <w:vAlign w:val="center"/>
          </w:tcPr>
          <w:p w14:paraId="371C47EF">
            <w:pPr>
              <w:pStyle w:val="42"/>
              <w:spacing w:before="81" w:after="81"/>
              <w:textAlignment w:val="center"/>
              <w:rPr>
                <w:rFonts w:ascii="Times New Roman" w:hAnsi="Times New Roman"/>
                <w:szCs w:val="21"/>
                <w:highlight w:val="none"/>
              </w:rPr>
            </w:pPr>
            <w:r>
              <w:rPr>
                <w:rFonts w:ascii="Times New Roman" w:hAnsi="Times New Roman"/>
                <w:szCs w:val="21"/>
                <w:highlight w:val="none"/>
              </w:rPr>
              <w:t>无组织废气</w:t>
            </w:r>
          </w:p>
        </w:tc>
        <w:tc>
          <w:tcPr>
            <w:tcW w:w="912" w:type="dxa"/>
            <w:noWrap w:val="0"/>
            <w:vAlign w:val="center"/>
          </w:tcPr>
          <w:p w14:paraId="4674876F">
            <w:pPr>
              <w:spacing w:line="240" w:lineRule="auto"/>
              <w:ind w:firstLine="0" w:firstLineChars="0"/>
              <w:jc w:val="center"/>
              <w:textAlignment w:val="center"/>
              <w:rPr>
                <w:rFonts w:ascii="Times New Roman" w:hAnsi="Times New Roman"/>
                <w:sz w:val="21"/>
                <w:highlight w:val="none"/>
              </w:rPr>
            </w:pPr>
            <w:r>
              <w:rPr>
                <w:rFonts w:hint="eastAsia" w:ascii="Times New Roman" w:hAnsi="Times New Roman"/>
                <w:sz w:val="21"/>
                <w:highlight w:val="none"/>
              </w:rPr>
              <w:t>灰仓</w:t>
            </w:r>
          </w:p>
        </w:tc>
        <w:tc>
          <w:tcPr>
            <w:tcW w:w="748" w:type="dxa"/>
            <w:noWrap w:val="0"/>
            <w:vAlign w:val="center"/>
          </w:tcPr>
          <w:p w14:paraId="06854E92">
            <w:pPr>
              <w:spacing w:line="240" w:lineRule="auto"/>
              <w:ind w:firstLine="0" w:firstLineChars="0"/>
              <w:jc w:val="center"/>
              <w:textAlignment w:val="center"/>
              <w:rPr>
                <w:rFonts w:ascii="Times New Roman" w:hAnsi="Times New Roman"/>
                <w:sz w:val="21"/>
                <w:highlight w:val="none"/>
              </w:rPr>
            </w:pPr>
            <w:r>
              <w:rPr>
                <w:rFonts w:hint="eastAsia" w:ascii="Times New Roman" w:hAnsi="Times New Roman"/>
                <w:sz w:val="21"/>
                <w:highlight w:val="none"/>
              </w:rPr>
              <w:t>炉灰</w:t>
            </w:r>
            <w:r>
              <w:rPr>
                <w:rFonts w:ascii="Times New Roman" w:hAnsi="Times New Roman"/>
                <w:sz w:val="21"/>
                <w:highlight w:val="none"/>
              </w:rPr>
              <w:t>储运</w:t>
            </w:r>
          </w:p>
        </w:tc>
        <w:tc>
          <w:tcPr>
            <w:tcW w:w="737" w:type="dxa"/>
            <w:noWrap w:val="0"/>
            <w:vAlign w:val="center"/>
          </w:tcPr>
          <w:p w14:paraId="4919A657">
            <w:pPr>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颗粒物</w:t>
            </w:r>
          </w:p>
        </w:tc>
        <w:tc>
          <w:tcPr>
            <w:tcW w:w="660" w:type="dxa"/>
            <w:noWrap w:val="0"/>
            <w:vAlign w:val="center"/>
          </w:tcPr>
          <w:p w14:paraId="21701E34">
            <w:pPr>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排污系数法</w:t>
            </w:r>
          </w:p>
        </w:tc>
        <w:tc>
          <w:tcPr>
            <w:tcW w:w="1430" w:type="dxa"/>
            <w:vMerge w:val="restart"/>
            <w:noWrap w:val="0"/>
            <w:vAlign w:val="center"/>
          </w:tcPr>
          <w:p w14:paraId="62626D5C">
            <w:pPr>
              <w:pStyle w:val="42"/>
              <w:spacing w:before="81" w:after="81"/>
              <w:textAlignment w:val="center"/>
              <w:rPr>
                <w:rFonts w:ascii="Times New Roman" w:hAnsi="Times New Roman"/>
                <w:szCs w:val="21"/>
                <w:highlight w:val="none"/>
              </w:rPr>
            </w:pPr>
            <w:r>
              <w:rPr>
                <w:rFonts w:ascii="Times New Roman" w:hAnsi="Times New Roman"/>
                <w:szCs w:val="21"/>
                <w:highlight w:val="none"/>
              </w:rPr>
              <w:t>/</w:t>
            </w:r>
          </w:p>
        </w:tc>
        <w:tc>
          <w:tcPr>
            <w:tcW w:w="1059" w:type="dxa"/>
            <w:vMerge w:val="restart"/>
            <w:noWrap w:val="0"/>
            <w:vAlign w:val="center"/>
          </w:tcPr>
          <w:p w14:paraId="111FFAAF">
            <w:pPr>
              <w:pStyle w:val="42"/>
              <w:spacing w:before="81" w:after="81"/>
              <w:textAlignment w:val="center"/>
              <w:rPr>
                <w:rFonts w:ascii="Times New Roman" w:hAnsi="Times New Roman"/>
                <w:szCs w:val="21"/>
                <w:highlight w:val="none"/>
              </w:rPr>
            </w:pPr>
            <w:r>
              <w:rPr>
                <w:rFonts w:ascii="Times New Roman" w:hAnsi="Times New Roman"/>
                <w:szCs w:val="21"/>
                <w:highlight w:val="none"/>
              </w:rPr>
              <w:t>/</w:t>
            </w:r>
          </w:p>
        </w:tc>
        <w:tc>
          <w:tcPr>
            <w:tcW w:w="887" w:type="dxa"/>
            <w:noWrap w:val="0"/>
            <w:vAlign w:val="center"/>
          </w:tcPr>
          <w:p w14:paraId="27851E8B">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1.2</w:t>
            </w:r>
          </w:p>
        </w:tc>
        <w:tc>
          <w:tcPr>
            <w:tcW w:w="1173" w:type="dxa"/>
            <w:noWrap w:val="0"/>
            <w:vAlign w:val="center"/>
          </w:tcPr>
          <w:p w14:paraId="419A1642">
            <w:pPr>
              <w:pStyle w:val="42"/>
              <w:spacing w:before="81" w:after="81"/>
              <w:textAlignment w:val="center"/>
              <w:rPr>
                <w:rFonts w:ascii="Times New Roman" w:hAnsi="Times New Roman"/>
                <w:szCs w:val="21"/>
                <w:highlight w:val="none"/>
              </w:rPr>
            </w:pPr>
            <w:r>
              <w:rPr>
                <w:rFonts w:hint="eastAsia" w:ascii="Times New Roman" w:hAnsi="Times New Roman"/>
                <w:szCs w:val="21"/>
                <w:highlight w:val="none"/>
              </w:rPr>
              <w:t>脉冲袋式除尘器</w:t>
            </w:r>
          </w:p>
        </w:tc>
        <w:tc>
          <w:tcPr>
            <w:tcW w:w="874" w:type="dxa"/>
            <w:noWrap w:val="0"/>
            <w:vAlign w:val="center"/>
          </w:tcPr>
          <w:p w14:paraId="3F749716">
            <w:pPr>
              <w:spacing w:line="240" w:lineRule="auto"/>
              <w:ind w:firstLine="0" w:firstLineChars="0"/>
              <w:jc w:val="center"/>
              <w:textAlignment w:val="center"/>
              <w:rPr>
                <w:rFonts w:hint="default" w:ascii="Times New Roman" w:hAnsi="Times New Roman" w:eastAsia="宋体"/>
                <w:sz w:val="21"/>
                <w:highlight w:val="none"/>
                <w:lang w:val="en-US" w:eastAsia="zh-CN"/>
              </w:rPr>
            </w:pPr>
            <w:r>
              <w:rPr>
                <w:rFonts w:ascii="Times New Roman" w:hAnsi="Times New Roman"/>
                <w:sz w:val="21"/>
                <w:highlight w:val="none"/>
              </w:rPr>
              <w:t>99</w:t>
            </w:r>
            <w:r>
              <w:rPr>
                <w:rFonts w:hint="eastAsia" w:ascii="Times New Roman" w:hAnsi="Times New Roman"/>
                <w:sz w:val="21"/>
                <w:highlight w:val="none"/>
                <w:lang w:val="en-US" w:eastAsia="zh-CN"/>
              </w:rPr>
              <w:t>.9</w:t>
            </w:r>
          </w:p>
        </w:tc>
        <w:tc>
          <w:tcPr>
            <w:tcW w:w="805" w:type="dxa"/>
            <w:vMerge w:val="restart"/>
            <w:noWrap w:val="0"/>
            <w:vAlign w:val="center"/>
          </w:tcPr>
          <w:p w14:paraId="5C1AB383">
            <w:pPr>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物料衡算法</w:t>
            </w:r>
          </w:p>
        </w:tc>
        <w:tc>
          <w:tcPr>
            <w:tcW w:w="1245" w:type="dxa"/>
            <w:vMerge w:val="restart"/>
            <w:noWrap w:val="0"/>
            <w:vAlign w:val="center"/>
          </w:tcPr>
          <w:p w14:paraId="4486607E">
            <w:pPr>
              <w:pStyle w:val="42"/>
              <w:spacing w:before="81" w:after="81"/>
              <w:textAlignment w:val="center"/>
              <w:rPr>
                <w:rFonts w:ascii="Times New Roman" w:hAnsi="Times New Roman"/>
                <w:szCs w:val="21"/>
                <w:highlight w:val="none"/>
              </w:rPr>
            </w:pPr>
            <w:r>
              <w:rPr>
                <w:rFonts w:ascii="Times New Roman" w:hAnsi="Times New Roman"/>
                <w:szCs w:val="21"/>
                <w:highlight w:val="none"/>
              </w:rPr>
              <w:t>/</w:t>
            </w:r>
          </w:p>
        </w:tc>
        <w:tc>
          <w:tcPr>
            <w:tcW w:w="936" w:type="dxa"/>
            <w:vMerge w:val="restart"/>
            <w:noWrap w:val="0"/>
            <w:vAlign w:val="center"/>
          </w:tcPr>
          <w:p w14:paraId="3329E9BF">
            <w:pPr>
              <w:pStyle w:val="42"/>
              <w:spacing w:before="81" w:after="81"/>
              <w:textAlignment w:val="center"/>
              <w:rPr>
                <w:rFonts w:hint="eastAsia" w:ascii="Times New Roman" w:hAnsi="Times New Roman"/>
                <w:szCs w:val="21"/>
                <w:highlight w:val="none"/>
              </w:rPr>
            </w:pPr>
            <w:r>
              <w:rPr>
                <w:rFonts w:hint="eastAsia" w:ascii="Times New Roman" w:hAnsi="Times New Roman"/>
                <w:szCs w:val="21"/>
                <w:highlight w:val="none"/>
              </w:rPr>
              <w:t>/</w:t>
            </w:r>
          </w:p>
        </w:tc>
        <w:tc>
          <w:tcPr>
            <w:tcW w:w="951" w:type="dxa"/>
            <w:noWrap w:val="0"/>
            <w:vAlign w:val="center"/>
          </w:tcPr>
          <w:p w14:paraId="1168C162">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0.012</w:t>
            </w:r>
          </w:p>
        </w:tc>
        <w:tc>
          <w:tcPr>
            <w:tcW w:w="913" w:type="dxa"/>
            <w:noWrap w:val="0"/>
            <w:vAlign w:val="center"/>
          </w:tcPr>
          <w:p w14:paraId="051C205C">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5040</w:t>
            </w:r>
          </w:p>
        </w:tc>
      </w:tr>
      <w:tr w14:paraId="421BFF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6759F234">
            <w:pPr>
              <w:pStyle w:val="42"/>
              <w:spacing w:before="81" w:after="81"/>
              <w:textAlignment w:val="center"/>
              <w:rPr>
                <w:rFonts w:ascii="Times New Roman" w:hAnsi="Times New Roman"/>
                <w:szCs w:val="21"/>
                <w:highlight w:val="none"/>
              </w:rPr>
            </w:pPr>
          </w:p>
        </w:tc>
        <w:tc>
          <w:tcPr>
            <w:tcW w:w="912" w:type="dxa"/>
            <w:noWrap w:val="0"/>
            <w:vAlign w:val="center"/>
          </w:tcPr>
          <w:p w14:paraId="7BF377EF">
            <w:pPr>
              <w:spacing w:line="240" w:lineRule="auto"/>
              <w:ind w:firstLine="0" w:firstLineChars="0"/>
              <w:jc w:val="center"/>
              <w:textAlignment w:val="center"/>
              <w:rPr>
                <w:rFonts w:ascii="Times New Roman" w:hAnsi="Times New Roman"/>
                <w:sz w:val="21"/>
                <w:highlight w:val="none"/>
              </w:rPr>
            </w:pPr>
            <w:r>
              <w:rPr>
                <w:rFonts w:hint="eastAsia" w:ascii="Times New Roman" w:hAnsi="Times New Roman"/>
                <w:sz w:val="21"/>
                <w:highlight w:val="none"/>
              </w:rPr>
              <w:t>渣仓</w:t>
            </w:r>
          </w:p>
        </w:tc>
        <w:tc>
          <w:tcPr>
            <w:tcW w:w="748" w:type="dxa"/>
            <w:noWrap w:val="0"/>
            <w:vAlign w:val="center"/>
          </w:tcPr>
          <w:p w14:paraId="30FE13C0">
            <w:pPr>
              <w:spacing w:line="240" w:lineRule="auto"/>
              <w:ind w:firstLine="0" w:firstLineChars="0"/>
              <w:jc w:val="center"/>
              <w:textAlignment w:val="center"/>
              <w:rPr>
                <w:rFonts w:ascii="Times New Roman" w:hAnsi="Times New Roman"/>
                <w:sz w:val="21"/>
                <w:highlight w:val="none"/>
              </w:rPr>
            </w:pPr>
            <w:r>
              <w:rPr>
                <w:rFonts w:hint="eastAsia" w:ascii="Times New Roman" w:hAnsi="Times New Roman"/>
                <w:sz w:val="21"/>
                <w:highlight w:val="none"/>
              </w:rPr>
              <w:t>炉渣</w:t>
            </w:r>
            <w:r>
              <w:rPr>
                <w:rFonts w:ascii="Times New Roman" w:hAnsi="Times New Roman"/>
                <w:sz w:val="21"/>
                <w:highlight w:val="none"/>
              </w:rPr>
              <w:t>储运</w:t>
            </w:r>
          </w:p>
        </w:tc>
        <w:tc>
          <w:tcPr>
            <w:tcW w:w="737" w:type="dxa"/>
            <w:noWrap w:val="0"/>
            <w:vAlign w:val="center"/>
          </w:tcPr>
          <w:p w14:paraId="77E67D07">
            <w:pPr>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颗粒物</w:t>
            </w:r>
          </w:p>
        </w:tc>
        <w:tc>
          <w:tcPr>
            <w:tcW w:w="660" w:type="dxa"/>
            <w:noWrap w:val="0"/>
            <w:vAlign w:val="center"/>
          </w:tcPr>
          <w:p w14:paraId="1109791E">
            <w:pPr>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排污系数法</w:t>
            </w:r>
          </w:p>
        </w:tc>
        <w:tc>
          <w:tcPr>
            <w:tcW w:w="1430" w:type="dxa"/>
            <w:vMerge w:val="continue"/>
            <w:noWrap w:val="0"/>
            <w:vAlign w:val="center"/>
          </w:tcPr>
          <w:p w14:paraId="35DD2291">
            <w:pPr>
              <w:spacing w:before="81" w:after="81"/>
              <w:ind w:firstLine="480"/>
              <w:textAlignment w:val="center"/>
              <w:rPr>
                <w:rFonts w:ascii="Times New Roman" w:hAnsi="Times New Roman"/>
                <w:szCs w:val="21"/>
                <w:highlight w:val="none"/>
              </w:rPr>
            </w:pPr>
          </w:p>
        </w:tc>
        <w:tc>
          <w:tcPr>
            <w:tcW w:w="1059" w:type="dxa"/>
            <w:vMerge w:val="continue"/>
            <w:noWrap w:val="0"/>
            <w:vAlign w:val="center"/>
          </w:tcPr>
          <w:p w14:paraId="4E6B94B2">
            <w:pPr>
              <w:spacing w:before="81" w:after="81"/>
              <w:ind w:firstLine="480"/>
              <w:textAlignment w:val="center"/>
              <w:rPr>
                <w:rFonts w:ascii="Times New Roman" w:hAnsi="Times New Roman"/>
                <w:szCs w:val="21"/>
                <w:highlight w:val="none"/>
              </w:rPr>
            </w:pPr>
          </w:p>
        </w:tc>
        <w:tc>
          <w:tcPr>
            <w:tcW w:w="887" w:type="dxa"/>
            <w:noWrap w:val="0"/>
            <w:vAlign w:val="center"/>
          </w:tcPr>
          <w:p w14:paraId="5C49B92C">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5.143</w:t>
            </w:r>
          </w:p>
        </w:tc>
        <w:tc>
          <w:tcPr>
            <w:tcW w:w="1173" w:type="dxa"/>
            <w:noWrap w:val="0"/>
            <w:vAlign w:val="center"/>
          </w:tcPr>
          <w:p w14:paraId="52AB6490">
            <w:pPr>
              <w:spacing w:line="240" w:lineRule="auto"/>
              <w:ind w:firstLine="0" w:firstLineChars="0"/>
              <w:jc w:val="center"/>
              <w:textAlignment w:val="center"/>
              <w:rPr>
                <w:rFonts w:ascii="Times New Roman" w:hAnsi="Times New Roman"/>
                <w:sz w:val="21"/>
                <w:highlight w:val="none"/>
              </w:rPr>
            </w:pPr>
            <w:r>
              <w:rPr>
                <w:rFonts w:hint="eastAsia" w:ascii="Times New Roman" w:hAnsi="Times New Roman"/>
                <w:sz w:val="21"/>
                <w:highlight w:val="none"/>
              </w:rPr>
              <w:t>布袋除尘器</w:t>
            </w:r>
          </w:p>
        </w:tc>
        <w:tc>
          <w:tcPr>
            <w:tcW w:w="874" w:type="dxa"/>
            <w:noWrap w:val="0"/>
            <w:vAlign w:val="center"/>
          </w:tcPr>
          <w:p w14:paraId="5CBC0D30">
            <w:pPr>
              <w:spacing w:line="240" w:lineRule="auto"/>
              <w:ind w:firstLine="0" w:firstLineChars="0"/>
              <w:jc w:val="center"/>
              <w:textAlignment w:val="center"/>
              <w:rPr>
                <w:rFonts w:hint="default" w:ascii="Times New Roman" w:hAnsi="Times New Roman" w:eastAsia="新宋体"/>
                <w:sz w:val="21"/>
                <w:szCs w:val="21"/>
                <w:highlight w:val="none"/>
                <w:lang w:val="en-US" w:eastAsia="zh-CN"/>
              </w:rPr>
            </w:pPr>
            <w:r>
              <w:rPr>
                <w:rFonts w:ascii="Times New Roman" w:hAnsi="Times New Roman" w:eastAsia="新宋体"/>
                <w:sz w:val="21"/>
                <w:szCs w:val="21"/>
                <w:highlight w:val="none"/>
              </w:rPr>
              <w:t>99</w:t>
            </w:r>
            <w:r>
              <w:rPr>
                <w:rFonts w:hint="eastAsia" w:ascii="Times New Roman" w:hAnsi="Times New Roman" w:eastAsia="新宋体"/>
                <w:sz w:val="21"/>
                <w:szCs w:val="21"/>
                <w:highlight w:val="none"/>
                <w:lang w:val="en-US" w:eastAsia="zh-CN"/>
              </w:rPr>
              <w:t>.9</w:t>
            </w:r>
          </w:p>
        </w:tc>
        <w:tc>
          <w:tcPr>
            <w:tcW w:w="805" w:type="dxa"/>
            <w:vMerge w:val="continue"/>
            <w:noWrap w:val="0"/>
            <w:vAlign w:val="center"/>
          </w:tcPr>
          <w:p w14:paraId="58E9A83D">
            <w:pPr>
              <w:spacing w:line="240" w:lineRule="auto"/>
              <w:ind w:firstLine="0" w:firstLineChars="0"/>
              <w:jc w:val="center"/>
              <w:textAlignment w:val="center"/>
              <w:rPr>
                <w:rFonts w:ascii="Times New Roman" w:hAnsi="Times New Roman" w:eastAsia="新宋体"/>
                <w:sz w:val="21"/>
                <w:szCs w:val="21"/>
                <w:highlight w:val="none"/>
              </w:rPr>
            </w:pPr>
          </w:p>
        </w:tc>
        <w:tc>
          <w:tcPr>
            <w:tcW w:w="1245" w:type="dxa"/>
            <w:vMerge w:val="continue"/>
            <w:noWrap w:val="0"/>
            <w:vAlign w:val="center"/>
          </w:tcPr>
          <w:p w14:paraId="75D629D6">
            <w:pPr>
              <w:pStyle w:val="42"/>
              <w:spacing w:before="81" w:after="81"/>
              <w:textAlignment w:val="center"/>
              <w:rPr>
                <w:rFonts w:ascii="Times New Roman" w:hAnsi="Times New Roman"/>
                <w:szCs w:val="21"/>
                <w:highlight w:val="none"/>
              </w:rPr>
            </w:pPr>
          </w:p>
        </w:tc>
        <w:tc>
          <w:tcPr>
            <w:tcW w:w="936" w:type="dxa"/>
            <w:vMerge w:val="continue"/>
            <w:noWrap w:val="0"/>
            <w:vAlign w:val="center"/>
          </w:tcPr>
          <w:p w14:paraId="10937986">
            <w:pPr>
              <w:pStyle w:val="42"/>
              <w:spacing w:before="81" w:after="81"/>
              <w:textAlignment w:val="center"/>
              <w:rPr>
                <w:rFonts w:ascii="Times New Roman" w:hAnsi="Times New Roman"/>
                <w:szCs w:val="21"/>
                <w:highlight w:val="none"/>
              </w:rPr>
            </w:pPr>
          </w:p>
        </w:tc>
        <w:tc>
          <w:tcPr>
            <w:tcW w:w="951" w:type="dxa"/>
            <w:noWrap w:val="0"/>
            <w:vAlign w:val="center"/>
          </w:tcPr>
          <w:p w14:paraId="7ADCF298">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0.005143</w:t>
            </w:r>
          </w:p>
        </w:tc>
        <w:tc>
          <w:tcPr>
            <w:tcW w:w="913" w:type="dxa"/>
            <w:noWrap w:val="0"/>
            <w:vAlign w:val="center"/>
          </w:tcPr>
          <w:p w14:paraId="1A246E81">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5040</w:t>
            </w:r>
          </w:p>
        </w:tc>
      </w:tr>
      <w:tr w14:paraId="36936F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4694AF0A">
            <w:pPr>
              <w:pStyle w:val="42"/>
              <w:spacing w:before="81" w:after="81"/>
              <w:textAlignment w:val="center"/>
              <w:rPr>
                <w:rFonts w:ascii="Times New Roman" w:hAnsi="Times New Roman"/>
                <w:szCs w:val="21"/>
                <w:highlight w:val="none"/>
              </w:rPr>
            </w:pPr>
          </w:p>
        </w:tc>
        <w:tc>
          <w:tcPr>
            <w:tcW w:w="912" w:type="dxa"/>
            <w:noWrap w:val="0"/>
            <w:vAlign w:val="center"/>
          </w:tcPr>
          <w:p w14:paraId="27F53279">
            <w:pPr>
              <w:spacing w:line="240" w:lineRule="auto"/>
              <w:ind w:firstLine="0" w:firstLineChars="0"/>
              <w:jc w:val="center"/>
              <w:textAlignment w:val="center"/>
              <w:rPr>
                <w:rFonts w:ascii="Times New Roman" w:hAnsi="Times New Roman"/>
                <w:sz w:val="21"/>
                <w:highlight w:val="none"/>
              </w:rPr>
            </w:pPr>
            <w:r>
              <w:rPr>
                <w:rFonts w:hint="eastAsia" w:ascii="Times New Roman" w:hAnsi="Times New Roman"/>
                <w:sz w:val="21"/>
                <w:highlight w:val="none"/>
              </w:rPr>
              <w:t>石灰石粉仓</w:t>
            </w:r>
          </w:p>
        </w:tc>
        <w:tc>
          <w:tcPr>
            <w:tcW w:w="748" w:type="dxa"/>
            <w:noWrap w:val="0"/>
            <w:vAlign w:val="center"/>
          </w:tcPr>
          <w:p w14:paraId="7B6EAC54">
            <w:pPr>
              <w:spacing w:line="240" w:lineRule="auto"/>
              <w:ind w:firstLine="0" w:firstLineChars="0"/>
              <w:jc w:val="center"/>
              <w:textAlignment w:val="center"/>
              <w:rPr>
                <w:rFonts w:ascii="Times New Roman" w:hAnsi="Times New Roman"/>
                <w:sz w:val="21"/>
                <w:highlight w:val="none"/>
              </w:rPr>
            </w:pPr>
            <w:r>
              <w:rPr>
                <w:rFonts w:hint="eastAsia" w:ascii="Times New Roman" w:hAnsi="Times New Roman"/>
                <w:sz w:val="21"/>
                <w:highlight w:val="none"/>
              </w:rPr>
              <w:t>石灰石储运</w:t>
            </w:r>
          </w:p>
        </w:tc>
        <w:tc>
          <w:tcPr>
            <w:tcW w:w="737" w:type="dxa"/>
            <w:noWrap w:val="0"/>
            <w:vAlign w:val="center"/>
          </w:tcPr>
          <w:p w14:paraId="65C43A7F">
            <w:pPr>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颗粒物</w:t>
            </w:r>
          </w:p>
        </w:tc>
        <w:tc>
          <w:tcPr>
            <w:tcW w:w="660" w:type="dxa"/>
            <w:noWrap w:val="0"/>
            <w:vAlign w:val="center"/>
          </w:tcPr>
          <w:p w14:paraId="67A98B58">
            <w:pPr>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排污系数法</w:t>
            </w:r>
          </w:p>
        </w:tc>
        <w:tc>
          <w:tcPr>
            <w:tcW w:w="1430" w:type="dxa"/>
            <w:vMerge w:val="continue"/>
            <w:noWrap w:val="0"/>
            <w:vAlign w:val="center"/>
          </w:tcPr>
          <w:p w14:paraId="12E1A9EA">
            <w:pPr>
              <w:spacing w:before="81" w:after="81"/>
              <w:ind w:firstLine="480"/>
              <w:textAlignment w:val="center"/>
              <w:rPr>
                <w:rFonts w:ascii="Times New Roman" w:hAnsi="Times New Roman"/>
                <w:szCs w:val="21"/>
                <w:highlight w:val="none"/>
              </w:rPr>
            </w:pPr>
          </w:p>
        </w:tc>
        <w:tc>
          <w:tcPr>
            <w:tcW w:w="1059" w:type="dxa"/>
            <w:vMerge w:val="continue"/>
            <w:noWrap w:val="0"/>
            <w:vAlign w:val="center"/>
          </w:tcPr>
          <w:p w14:paraId="5EEC6147">
            <w:pPr>
              <w:spacing w:before="81" w:after="81"/>
              <w:ind w:firstLine="480"/>
              <w:textAlignment w:val="center"/>
              <w:rPr>
                <w:rFonts w:ascii="Times New Roman" w:hAnsi="Times New Roman"/>
                <w:szCs w:val="21"/>
                <w:highlight w:val="none"/>
              </w:rPr>
            </w:pPr>
          </w:p>
        </w:tc>
        <w:tc>
          <w:tcPr>
            <w:tcW w:w="887" w:type="dxa"/>
            <w:noWrap w:val="0"/>
            <w:vAlign w:val="center"/>
          </w:tcPr>
          <w:p w14:paraId="3A128C9E">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0.148</w:t>
            </w:r>
          </w:p>
        </w:tc>
        <w:tc>
          <w:tcPr>
            <w:tcW w:w="1173" w:type="dxa"/>
            <w:noWrap w:val="0"/>
            <w:vAlign w:val="center"/>
          </w:tcPr>
          <w:p w14:paraId="2F1A9EBE">
            <w:pPr>
              <w:spacing w:line="240" w:lineRule="auto"/>
              <w:ind w:firstLine="0" w:firstLineChars="0"/>
              <w:jc w:val="center"/>
              <w:textAlignment w:val="center"/>
              <w:rPr>
                <w:rFonts w:ascii="Times New Roman" w:hAnsi="Times New Roman"/>
                <w:sz w:val="21"/>
                <w:highlight w:val="none"/>
              </w:rPr>
            </w:pPr>
            <w:r>
              <w:rPr>
                <w:rFonts w:hint="eastAsia" w:ascii="Times New Roman" w:hAnsi="Times New Roman"/>
                <w:sz w:val="21"/>
                <w:highlight w:val="none"/>
              </w:rPr>
              <w:t>脉冲袋式除尘器</w:t>
            </w:r>
          </w:p>
        </w:tc>
        <w:tc>
          <w:tcPr>
            <w:tcW w:w="874" w:type="dxa"/>
            <w:noWrap w:val="0"/>
            <w:vAlign w:val="center"/>
          </w:tcPr>
          <w:p w14:paraId="5965B6A6">
            <w:pPr>
              <w:spacing w:line="240" w:lineRule="auto"/>
              <w:ind w:firstLine="0" w:firstLineChars="0"/>
              <w:jc w:val="center"/>
              <w:textAlignment w:val="center"/>
              <w:rPr>
                <w:rFonts w:hint="default" w:ascii="Times New Roman" w:hAnsi="Times New Roman" w:eastAsia="新宋体"/>
                <w:sz w:val="21"/>
                <w:highlight w:val="none"/>
                <w:lang w:val="en-US" w:eastAsia="zh-CN"/>
              </w:rPr>
            </w:pPr>
            <w:r>
              <w:rPr>
                <w:rFonts w:ascii="Times New Roman" w:hAnsi="Times New Roman" w:eastAsia="新宋体"/>
                <w:sz w:val="21"/>
                <w:szCs w:val="21"/>
                <w:highlight w:val="none"/>
              </w:rPr>
              <w:t>99</w:t>
            </w:r>
            <w:r>
              <w:rPr>
                <w:rFonts w:hint="eastAsia" w:ascii="Times New Roman" w:hAnsi="Times New Roman" w:eastAsia="新宋体"/>
                <w:sz w:val="21"/>
                <w:szCs w:val="21"/>
                <w:highlight w:val="none"/>
                <w:lang w:val="en-US" w:eastAsia="zh-CN"/>
              </w:rPr>
              <w:t>.9</w:t>
            </w:r>
          </w:p>
        </w:tc>
        <w:tc>
          <w:tcPr>
            <w:tcW w:w="805" w:type="dxa"/>
            <w:vMerge w:val="continue"/>
            <w:noWrap w:val="0"/>
            <w:vAlign w:val="center"/>
          </w:tcPr>
          <w:p w14:paraId="4B76D732">
            <w:pPr>
              <w:spacing w:line="240" w:lineRule="auto"/>
              <w:ind w:firstLine="0" w:firstLineChars="0"/>
              <w:jc w:val="center"/>
              <w:textAlignment w:val="center"/>
              <w:rPr>
                <w:rFonts w:ascii="Times New Roman" w:hAnsi="Times New Roman"/>
                <w:sz w:val="21"/>
                <w:highlight w:val="none"/>
              </w:rPr>
            </w:pPr>
          </w:p>
        </w:tc>
        <w:tc>
          <w:tcPr>
            <w:tcW w:w="1245" w:type="dxa"/>
            <w:vMerge w:val="continue"/>
            <w:noWrap w:val="0"/>
            <w:vAlign w:val="center"/>
          </w:tcPr>
          <w:p w14:paraId="20FB8CFC">
            <w:pPr>
              <w:pStyle w:val="42"/>
              <w:spacing w:before="81" w:after="81"/>
              <w:textAlignment w:val="center"/>
              <w:rPr>
                <w:rFonts w:ascii="Times New Roman" w:hAnsi="Times New Roman"/>
                <w:szCs w:val="21"/>
                <w:highlight w:val="none"/>
              </w:rPr>
            </w:pPr>
          </w:p>
        </w:tc>
        <w:tc>
          <w:tcPr>
            <w:tcW w:w="936" w:type="dxa"/>
            <w:vMerge w:val="continue"/>
            <w:noWrap w:val="0"/>
            <w:vAlign w:val="center"/>
          </w:tcPr>
          <w:p w14:paraId="12D6DBF4">
            <w:pPr>
              <w:pStyle w:val="42"/>
              <w:spacing w:before="81" w:after="81"/>
              <w:textAlignment w:val="center"/>
              <w:rPr>
                <w:rFonts w:ascii="Times New Roman" w:hAnsi="Times New Roman"/>
                <w:szCs w:val="21"/>
                <w:highlight w:val="none"/>
              </w:rPr>
            </w:pPr>
          </w:p>
        </w:tc>
        <w:tc>
          <w:tcPr>
            <w:tcW w:w="951" w:type="dxa"/>
            <w:noWrap w:val="0"/>
            <w:vAlign w:val="center"/>
          </w:tcPr>
          <w:p w14:paraId="2A2AA078">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0.000148</w:t>
            </w:r>
          </w:p>
        </w:tc>
        <w:tc>
          <w:tcPr>
            <w:tcW w:w="913" w:type="dxa"/>
            <w:noWrap w:val="0"/>
            <w:vAlign w:val="center"/>
          </w:tcPr>
          <w:p w14:paraId="0B7AEEC4">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5040</w:t>
            </w:r>
          </w:p>
        </w:tc>
      </w:tr>
      <w:tr w14:paraId="1AFE18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8" w:type="dxa"/>
            <w:vMerge w:val="continue"/>
            <w:noWrap w:val="0"/>
            <w:vAlign w:val="center"/>
          </w:tcPr>
          <w:p w14:paraId="192352CB">
            <w:pPr>
              <w:pStyle w:val="42"/>
              <w:spacing w:before="81" w:after="81"/>
              <w:textAlignment w:val="center"/>
              <w:rPr>
                <w:rFonts w:ascii="Times New Roman" w:hAnsi="Times New Roman"/>
                <w:szCs w:val="21"/>
                <w:highlight w:val="none"/>
              </w:rPr>
            </w:pPr>
          </w:p>
        </w:tc>
        <w:tc>
          <w:tcPr>
            <w:tcW w:w="912" w:type="dxa"/>
            <w:noWrap w:val="0"/>
            <w:vAlign w:val="center"/>
          </w:tcPr>
          <w:p w14:paraId="545113CE">
            <w:pPr>
              <w:spacing w:line="240" w:lineRule="auto"/>
              <w:ind w:firstLine="0" w:firstLineChars="0"/>
              <w:jc w:val="center"/>
              <w:textAlignment w:val="center"/>
              <w:rPr>
                <w:rFonts w:hint="eastAsia" w:ascii="Times New Roman" w:hAnsi="Times New Roman" w:eastAsia="宋体"/>
                <w:sz w:val="21"/>
                <w:highlight w:val="none"/>
                <w:lang w:eastAsia="zh-CN"/>
              </w:rPr>
            </w:pPr>
            <w:r>
              <w:rPr>
                <w:rFonts w:hint="eastAsia" w:ascii="Times New Roman" w:hAnsi="Times New Roman"/>
                <w:sz w:val="21"/>
                <w:highlight w:val="none"/>
                <w:lang w:val="en-US" w:eastAsia="zh-CN"/>
              </w:rPr>
              <w:t>储煤场</w:t>
            </w:r>
          </w:p>
        </w:tc>
        <w:tc>
          <w:tcPr>
            <w:tcW w:w="748" w:type="dxa"/>
            <w:noWrap w:val="0"/>
            <w:vAlign w:val="center"/>
          </w:tcPr>
          <w:p w14:paraId="7CF94259">
            <w:pPr>
              <w:spacing w:line="240" w:lineRule="auto"/>
              <w:ind w:firstLine="0" w:firstLineChars="0"/>
              <w:jc w:val="center"/>
              <w:textAlignment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燃料储存</w:t>
            </w:r>
          </w:p>
        </w:tc>
        <w:tc>
          <w:tcPr>
            <w:tcW w:w="737" w:type="dxa"/>
            <w:noWrap w:val="0"/>
            <w:vAlign w:val="center"/>
          </w:tcPr>
          <w:p w14:paraId="0B5915DF">
            <w:pPr>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颗粒物</w:t>
            </w:r>
          </w:p>
        </w:tc>
        <w:tc>
          <w:tcPr>
            <w:tcW w:w="660" w:type="dxa"/>
            <w:noWrap w:val="0"/>
            <w:vAlign w:val="center"/>
          </w:tcPr>
          <w:p w14:paraId="43903556">
            <w:pPr>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排污系数法</w:t>
            </w:r>
          </w:p>
        </w:tc>
        <w:tc>
          <w:tcPr>
            <w:tcW w:w="1430" w:type="dxa"/>
            <w:vMerge w:val="continue"/>
            <w:noWrap w:val="0"/>
            <w:vAlign w:val="center"/>
          </w:tcPr>
          <w:p w14:paraId="7DE865CB">
            <w:pPr>
              <w:spacing w:before="81" w:after="81"/>
              <w:ind w:firstLine="480"/>
              <w:textAlignment w:val="center"/>
              <w:rPr>
                <w:rFonts w:ascii="Times New Roman" w:hAnsi="Times New Roman"/>
                <w:szCs w:val="21"/>
                <w:highlight w:val="none"/>
              </w:rPr>
            </w:pPr>
          </w:p>
        </w:tc>
        <w:tc>
          <w:tcPr>
            <w:tcW w:w="1059" w:type="dxa"/>
            <w:vMerge w:val="continue"/>
            <w:noWrap w:val="0"/>
            <w:vAlign w:val="center"/>
          </w:tcPr>
          <w:p w14:paraId="26ED3DE3">
            <w:pPr>
              <w:spacing w:before="81" w:after="81"/>
              <w:ind w:firstLine="480"/>
              <w:textAlignment w:val="center"/>
              <w:rPr>
                <w:rFonts w:ascii="Times New Roman" w:hAnsi="Times New Roman"/>
                <w:szCs w:val="21"/>
                <w:highlight w:val="none"/>
              </w:rPr>
            </w:pPr>
          </w:p>
        </w:tc>
        <w:tc>
          <w:tcPr>
            <w:tcW w:w="887" w:type="dxa"/>
            <w:noWrap w:val="0"/>
            <w:vAlign w:val="center"/>
          </w:tcPr>
          <w:p w14:paraId="0C081451">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73.72</w:t>
            </w:r>
          </w:p>
        </w:tc>
        <w:tc>
          <w:tcPr>
            <w:tcW w:w="1173" w:type="dxa"/>
            <w:noWrap w:val="0"/>
            <w:vAlign w:val="center"/>
          </w:tcPr>
          <w:p w14:paraId="38E5E5E7">
            <w:pPr>
              <w:spacing w:line="240" w:lineRule="auto"/>
              <w:ind w:firstLine="0" w:firstLineChars="0"/>
              <w:jc w:val="center"/>
              <w:textAlignment w:val="center"/>
              <w:rPr>
                <w:rFonts w:hint="eastAsia" w:ascii="Times New Roman" w:hAnsi="Times New Roman"/>
                <w:sz w:val="21"/>
                <w:highlight w:val="none"/>
              </w:rPr>
            </w:pPr>
            <w:r>
              <w:rPr>
                <w:rFonts w:hint="eastAsia" w:ascii="Times New Roman" w:hAnsi="Times New Roman"/>
                <w:sz w:val="21"/>
                <w:highlight w:val="none"/>
              </w:rPr>
              <w:t>采用挡煤墙（</w:t>
            </w:r>
            <w:r>
              <w:rPr>
                <w:rFonts w:hint="eastAsia" w:ascii="Times New Roman" w:hAnsi="Times New Roman"/>
                <w:sz w:val="21"/>
                <w:highlight w:val="none"/>
                <w:lang w:val="en-US" w:eastAsia="zh-CN"/>
              </w:rPr>
              <w:t>2</w:t>
            </w:r>
            <w:r>
              <w:rPr>
                <w:rFonts w:hint="eastAsia" w:ascii="Times New Roman" w:hAnsi="Times New Roman"/>
                <w:sz w:val="21"/>
                <w:highlight w:val="none"/>
              </w:rPr>
              <w:t>m高维护砖墙+</w:t>
            </w:r>
            <w:r>
              <w:rPr>
                <w:rFonts w:hint="eastAsia" w:ascii="Times New Roman" w:hAnsi="Times New Roman"/>
                <w:sz w:val="21"/>
                <w:highlight w:val="none"/>
                <w:lang w:val="en-US" w:eastAsia="zh-CN"/>
              </w:rPr>
              <w:t>7</w:t>
            </w:r>
            <w:r>
              <w:rPr>
                <w:rFonts w:hint="eastAsia" w:ascii="Times New Roman" w:hAnsi="Times New Roman"/>
                <w:sz w:val="21"/>
                <w:highlight w:val="none"/>
              </w:rPr>
              <w:t>m高防风抑尘网）+</w:t>
            </w:r>
            <w:r>
              <w:rPr>
                <w:rFonts w:hint="eastAsia" w:ascii="Times New Roman" w:hAnsi="Times New Roman"/>
                <w:sz w:val="21"/>
                <w:highlight w:val="none"/>
                <w:lang w:val="en-US" w:eastAsia="zh-CN"/>
              </w:rPr>
              <w:t>苫布苫盖半</w:t>
            </w:r>
            <w:r>
              <w:rPr>
                <w:rFonts w:hint="eastAsia" w:ascii="Times New Roman" w:hAnsi="Times New Roman"/>
                <w:sz w:val="21"/>
                <w:highlight w:val="none"/>
              </w:rPr>
              <w:t>封闭形式</w:t>
            </w:r>
          </w:p>
        </w:tc>
        <w:tc>
          <w:tcPr>
            <w:tcW w:w="874" w:type="dxa"/>
            <w:noWrap w:val="0"/>
            <w:vAlign w:val="center"/>
          </w:tcPr>
          <w:p w14:paraId="3F9FE676">
            <w:pPr>
              <w:spacing w:line="240" w:lineRule="auto"/>
              <w:ind w:firstLine="0" w:firstLineChars="0"/>
              <w:jc w:val="center"/>
              <w:textAlignment w:val="center"/>
              <w:rPr>
                <w:rFonts w:ascii="Times New Roman" w:hAnsi="Times New Roman" w:eastAsia="新宋体"/>
                <w:sz w:val="21"/>
                <w:szCs w:val="21"/>
                <w:highlight w:val="none"/>
              </w:rPr>
            </w:pPr>
            <w:r>
              <w:rPr>
                <w:rFonts w:hint="eastAsia" w:ascii="Times New Roman" w:hAnsi="Times New Roman" w:eastAsia="新宋体"/>
                <w:sz w:val="21"/>
                <w:szCs w:val="21"/>
                <w:highlight w:val="none"/>
              </w:rPr>
              <w:t>99</w:t>
            </w:r>
          </w:p>
        </w:tc>
        <w:tc>
          <w:tcPr>
            <w:tcW w:w="805" w:type="dxa"/>
            <w:vMerge w:val="continue"/>
            <w:noWrap w:val="0"/>
            <w:vAlign w:val="center"/>
          </w:tcPr>
          <w:p w14:paraId="11CE3E8D">
            <w:pPr>
              <w:spacing w:line="240" w:lineRule="auto"/>
              <w:ind w:firstLine="0" w:firstLineChars="0"/>
              <w:jc w:val="center"/>
              <w:textAlignment w:val="center"/>
              <w:rPr>
                <w:rFonts w:ascii="Times New Roman" w:hAnsi="Times New Roman"/>
                <w:sz w:val="21"/>
                <w:highlight w:val="none"/>
              </w:rPr>
            </w:pPr>
          </w:p>
        </w:tc>
        <w:tc>
          <w:tcPr>
            <w:tcW w:w="1245" w:type="dxa"/>
            <w:vMerge w:val="continue"/>
            <w:noWrap w:val="0"/>
            <w:vAlign w:val="center"/>
          </w:tcPr>
          <w:p w14:paraId="40D68147">
            <w:pPr>
              <w:pStyle w:val="42"/>
              <w:spacing w:before="81" w:after="81"/>
              <w:textAlignment w:val="center"/>
              <w:rPr>
                <w:rFonts w:ascii="Times New Roman" w:hAnsi="Times New Roman"/>
                <w:szCs w:val="21"/>
                <w:highlight w:val="none"/>
              </w:rPr>
            </w:pPr>
          </w:p>
        </w:tc>
        <w:tc>
          <w:tcPr>
            <w:tcW w:w="936" w:type="dxa"/>
            <w:vMerge w:val="continue"/>
            <w:noWrap w:val="0"/>
            <w:vAlign w:val="center"/>
          </w:tcPr>
          <w:p w14:paraId="4E363A28">
            <w:pPr>
              <w:pStyle w:val="42"/>
              <w:spacing w:before="81" w:after="81"/>
              <w:textAlignment w:val="center"/>
              <w:rPr>
                <w:rFonts w:ascii="Times New Roman" w:hAnsi="Times New Roman"/>
                <w:szCs w:val="21"/>
                <w:highlight w:val="none"/>
              </w:rPr>
            </w:pPr>
          </w:p>
        </w:tc>
        <w:tc>
          <w:tcPr>
            <w:tcW w:w="951" w:type="dxa"/>
            <w:noWrap w:val="0"/>
            <w:vAlign w:val="center"/>
          </w:tcPr>
          <w:p w14:paraId="3D4B1002">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0.7372</w:t>
            </w:r>
          </w:p>
        </w:tc>
        <w:tc>
          <w:tcPr>
            <w:tcW w:w="913" w:type="dxa"/>
            <w:noWrap w:val="0"/>
            <w:vAlign w:val="center"/>
          </w:tcPr>
          <w:p w14:paraId="7C619D5F">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5040</w:t>
            </w:r>
          </w:p>
        </w:tc>
      </w:tr>
    </w:tbl>
    <w:p w14:paraId="57EC7B5A">
      <w:pPr>
        <w:pStyle w:val="23"/>
        <w:rPr>
          <w:rFonts w:hint="default"/>
          <w:highlight w:val="none"/>
          <w:lang w:val="en-US" w:eastAsia="zh-CN"/>
        </w:rPr>
      </w:pPr>
    </w:p>
    <w:p w14:paraId="2E9B5DE1">
      <w:pPr>
        <w:rPr>
          <w:rFonts w:hint="default"/>
          <w:highlight w:val="none"/>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55C68D68">
      <w:pPr>
        <w:pStyle w:val="5"/>
        <w:bidi w:val="0"/>
        <w:ind w:left="0" w:leftChars="0" w:firstLine="0" w:firstLineChars="0"/>
        <w:rPr>
          <w:rFonts w:hint="eastAsia"/>
          <w:highlight w:val="none"/>
          <w:lang w:val="en-US" w:eastAsia="zh-CN"/>
        </w:rPr>
      </w:pPr>
      <w:bookmarkStart w:id="86" w:name="_Toc1803"/>
      <w:r>
        <w:rPr>
          <w:rFonts w:hint="eastAsia"/>
          <w:highlight w:val="none"/>
          <w:lang w:val="en-US" w:eastAsia="zh-CN"/>
        </w:rPr>
        <w:t>3.3.3水污染源强分析</w:t>
      </w:r>
      <w:bookmarkEnd w:id="86"/>
    </w:p>
    <w:p w14:paraId="3CD99C72">
      <w:pPr>
        <w:ind w:firstLine="480"/>
        <w:rPr>
          <w:rFonts w:ascii="Times New Roman" w:hAnsi="Times New Roman"/>
          <w:highlight w:val="none"/>
        </w:rPr>
      </w:pPr>
      <w:r>
        <w:rPr>
          <w:rFonts w:ascii="Times New Roman" w:hAnsi="Times New Roman"/>
          <w:highlight w:val="none"/>
        </w:rPr>
        <w:t>本工程在运行过程中废水主要为生产废水，生产废水主要为锅炉排污水、脱硫废水，处理后全部回收利用不外排。本项目工作人员</w:t>
      </w:r>
      <w:r>
        <w:rPr>
          <w:rFonts w:hint="eastAsia" w:ascii="Times New Roman" w:hAnsi="Times New Roman"/>
          <w:highlight w:val="none"/>
          <w:lang w:val="en-US" w:eastAsia="zh-CN"/>
        </w:rPr>
        <w:t>175</w:t>
      </w:r>
      <w:r>
        <w:rPr>
          <w:rFonts w:ascii="Times New Roman" w:hAnsi="Times New Roman"/>
          <w:highlight w:val="none"/>
        </w:rPr>
        <w:t>人。</w:t>
      </w:r>
    </w:p>
    <w:p w14:paraId="6C24B198">
      <w:pPr>
        <w:ind w:firstLine="480"/>
        <w:rPr>
          <w:rFonts w:ascii="Times New Roman" w:hAnsi="Times New Roman"/>
          <w:highlight w:val="none"/>
        </w:rPr>
      </w:pPr>
      <w:r>
        <w:rPr>
          <w:rFonts w:ascii="Times New Roman" w:hAnsi="Times New Roman"/>
          <w:highlight w:val="none"/>
        </w:rPr>
        <w:t>厂区内排水系统采用分流制：雨水排水系统。生产废水主要有锅炉排污水、脱硫废水等，锅炉排污水、脱硫废水回用于生产，不外排。本项目不设置化学实验室，无实验室废液。</w:t>
      </w:r>
    </w:p>
    <w:p w14:paraId="43E6A302">
      <w:pPr>
        <w:rPr>
          <w:rFonts w:hint="default"/>
          <w:highlight w:val="none"/>
          <w:lang w:val="en-US" w:eastAsia="zh-CN"/>
        </w:rPr>
      </w:pPr>
      <w:r>
        <w:rPr>
          <w:rFonts w:ascii="Times New Roman" w:hAnsi="Times New Roman"/>
          <w:szCs w:val="24"/>
          <w:highlight w:val="none"/>
        </w:rPr>
        <w:t>锅炉排污水回用于</w:t>
      </w:r>
      <w:r>
        <w:rPr>
          <w:rFonts w:hint="eastAsia" w:ascii="Times New Roman" w:hAnsi="Times New Roman"/>
          <w:szCs w:val="24"/>
          <w:highlight w:val="none"/>
        </w:rPr>
        <w:t>用于冷渣器冷却水系统补水（</w:t>
      </w:r>
      <w:r>
        <w:rPr>
          <w:rFonts w:hint="eastAsia" w:ascii="Times New Roman" w:hAnsi="Times New Roman"/>
          <w:szCs w:val="24"/>
          <w:highlight w:val="none"/>
          <w:lang w:val="en-US" w:eastAsia="zh-CN"/>
        </w:rPr>
        <w:t>6m³/h，30240</w:t>
      </w:r>
      <w:r>
        <w:rPr>
          <w:rFonts w:hint="eastAsia" w:ascii="Times New Roman" w:hAnsi="Times New Roman"/>
          <w:highlight w:val="none"/>
          <w:lang w:val="en-US" w:eastAsia="zh-CN"/>
        </w:rPr>
        <w:t>t/a</w:t>
      </w:r>
      <w:r>
        <w:rPr>
          <w:rFonts w:hint="eastAsia" w:ascii="Times New Roman" w:hAnsi="Times New Roman"/>
          <w:szCs w:val="24"/>
          <w:highlight w:val="none"/>
        </w:rPr>
        <w:t>）</w:t>
      </w:r>
      <w:r>
        <w:rPr>
          <w:rFonts w:ascii="Times New Roman" w:hAnsi="Times New Roman"/>
          <w:szCs w:val="24"/>
          <w:highlight w:val="none"/>
        </w:rPr>
        <w:t>。脱硫废水</w:t>
      </w:r>
      <w:r>
        <w:rPr>
          <w:rFonts w:hint="eastAsia" w:ascii="Times New Roman" w:hAnsi="Times New Roman"/>
          <w:szCs w:val="24"/>
          <w:highlight w:val="none"/>
          <w:lang w:eastAsia="zh-CN"/>
        </w:rPr>
        <w:t>（</w:t>
      </w:r>
      <w:r>
        <w:rPr>
          <w:rFonts w:hint="eastAsia" w:ascii="Times New Roman" w:hAnsi="Times New Roman"/>
          <w:szCs w:val="24"/>
          <w:highlight w:val="none"/>
          <w:lang w:val="en-US" w:eastAsia="zh-CN"/>
        </w:rPr>
        <w:t>25149.75t/a</w:t>
      </w:r>
      <w:r>
        <w:rPr>
          <w:rFonts w:hint="eastAsia" w:ascii="Times New Roman" w:hAnsi="Times New Roman"/>
          <w:szCs w:val="24"/>
          <w:highlight w:val="none"/>
          <w:lang w:eastAsia="zh-CN"/>
        </w:rPr>
        <w:t>）</w:t>
      </w:r>
      <w:r>
        <w:rPr>
          <w:rFonts w:ascii="Times New Roman" w:hAnsi="Times New Roman"/>
          <w:szCs w:val="24"/>
          <w:highlight w:val="none"/>
        </w:rPr>
        <w:t>采用回流水池→一体化污水处理装置→高效旋流分离器→生物净化装置→多介质净化装置→多功能处理剂→净水箱处理工艺，回用于灰渣加湿</w:t>
      </w:r>
      <w:r>
        <w:rPr>
          <w:rFonts w:hint="eastAsia" w:ascii="Times New Roman" w:hAnsi="Times New Roman"/>
          <w:szCs w:val="24"/>
          <w:highlight w:val="none"/>
        </w:rPr>
        <w:t>（</w:t>
      </w:r>
      <w:r>
        <w:rPr>
          <w:rFonts w:hint="eastAsia" w:ascii="Times New Roman" w:hAnsi="Times New Roman"/>
          <w:szCs w:val="24"/>
          <w:highlight w:val="none"/>
          <w:lang w:val="en-US" w:eastAsia="zh-CN"/>
        </w:rPr>
        <w:t>2</w:t>
      </w:r>
      <w:r>
        <w:rPr>
          <w:rFonts w:hint="eastAsia" w:ascii="Times New Roman" w:hAnsi="Times New Roman"/>
          <w:szCs w:val="24"/>
          <w:highlight w:val="none"/>
        </w:rPr>
        <w:t>m</w:t>
      </w:r>
      <w:r>
        <w:rPr>
          <w:rFonts w:hint="eastAsia" w:ascii="Times New Roman" w:hAnsi="Times New Roman"/>
          <w:szCs w:val="24"/>
          <w:highlight w:val="none"/>
          <w:vertAlign w:val="superscript"/>
        </w:rPr>
        <w:t>3</w:t>
      </w:r>
      <w:r>
        <w:rPr>
          <w:rFonts w:hint="eastAsia" w:ascii="Times New Roman" w:hAnsi="Times New Roman"/>
          <w:szCs w:val="24"/>
          <w:highlight w:val="none"/>
        </w:rPr>
        <w:t>/h</w:t>
      </w:r>
      <w:r>
        <w:rPr>
          <w:rFonts w:hint="eastAsia" w:ascii="Times New Roman" w:hAnsi="Times New Roman"/>
          <w:szCs w:val="24"/>
          <w:highlight w:val="none"/>
          <w:lang w:eastAsia="zh-CN"/>
        </w:rPr>
        <w:t>，</w:t>
      </w:r>
      <w:r>
        <w:rPr>
          <w:rFonts w:hint="eastAsia" w:ascii="Times New Roman" w:hAnsi="Times New Roman"/>
          <w:szCs w:val="24"/>
          <w:highlight w:val="none"/>
          <w:lang w:val="en-US" w:eastAsia="zh-CN"/>
        </w:rPr>
        <w:t>10080t/a</w:t>
      </w:r>
      <w:r>
        <w:rPr>
          <w:rFonts w:hint="eastAsia" w:ascii="Times New Roman" w:hAnsi="Times New Roman"/>
          <w:szCs w:val="24"/>
          <w:highlight w:val="none"/>
        </w:rPr>
        <w:t>）、煤场洒水降尘（</w:t>
      </w:r>
      <w:r>
        <w:rPr>
          <w:rFonts w:hint="eastAsia" w:ascii="Times New Roman" w:hAnsi="Times New Roman"/>
          <w:szCs w:val="24"/>
          <w:highlight w:val="none"/>
          <w:lang w:val="en-US" w:eastAsia="zh-CN"/>
        </w:rPr>
        <w:t>3</w:t>
      </w:r>
      <w:r>
        <w:rPr>
          <w:rFonts w:hint="eastAsia" w:ascii="Times New Roman" w:hAnsi="Times New Roman"/>
          <w:szCs w:val="24"/>
          <w:highlight w:val="none"/>
        </w:rPr>
        <w:t>m</w:t>
      </w:r>
      <w:r>
        <w:rPr>
          <w:rFonts w:hint="eastAsia" w:ascii="Times New Roman" w:hAnsi="Times New Roman"/>
          <w:szCs w:val="24"/>
          <w:highlight w:val="none"/>
          <w:vertAlign w:val="superscript"/>
        </w:rPr>
        <w:t>3</w:t>
      </w:r>
      <w:r>
        <w:rPr>
          <w:rFonts w:hint="eastAsia" w:ascii="Times New Roman" w:hAnsi="Times New Roman"/>
          <w:szCs w:val="24"/>
          <w:highlight w:val="none"/>
        </w:rPr>
        <w:t>/h</w:t>
      </w:r>
      <w:r>
        <w:rPr>
          <w:rFonts w:hint="eastAsia" w:ascii="Times New Roman" w:hAnsi="Times New Roman"/>
          <w:szCs w:val="24"/>
          <w:highlight w:val="none"/>
          <w:lang w:eastAsia="zh-CN"/>
        </w:rPr>
        <w:t>，</w:t>
      </w:r>
      <w:r>
        <w:rPr>
          <w:rFonts w:hint="eastAsia" w:ascii="Times New Roman" w:hAnsi="Times New Roman"/>
          <w:szCs w:val="24"/>
          <w:highlight w:val="none"/>
          <w:lang w:val="en-US" w:eastAsia="zh-CN"/>
        </w:rPr>
        <w:t>15069.75t/a</w:t>
      </w:r>
      <w:r>
        <w:rPr>
          <w:rFonts w:hint="eastAsia" w:ascii="Times New Roman" w:hAnsi="Times New Roman"/>
          <w:szCs w:val="24"/>
          <w:highlight w:val="none"/>
        </w:rPr>
        <w:t>）。生活污水（</w:t>
      </w:r>
      <w:r>
        <w:rPr>
          <w:rFonts w:hint="eastAsia" w:ascii="Times New Roman" w:hAnsi="Times New Roman"/>
          <w:szCs w:val="24"/>
          <w:highlight w:val="none"/>
          <w:lang w:val="en-US" w:eastAsia="zh-CN"/>
        </w:rPr>
        <w:t>0.464</w:t>
      </w:r>
      <w:r>
        <w:rPr>
          <w:rFonts w:hint="eastAsia" w:ascii="Times New Roman" w:hAnsi="Times New Roman"/>
          <w:szCs w:val="24"/>
          <w:highlight w:val="none"/>
        </w:rPr>
        <w:t>m</w:t>
      </w:r>
      <w:r>
        <w:rPr>
          <w:rFonts w:hint="eastAsia" w:ascii="Times New Roman" w:hAnsi="Times New Roman"/>
          <w:szCs w:val="24"/>
          <w:highlight w:val="none"/>
          <w:vertAlign w:val="superscript"/>
        </w:rPr>
        <w:t>3</w:t>
      </w:r>
      <w:r>
        <w:rPr>
          <w:rFonts w:hint="eastAsia" w:ascii="Times New Roman" w:hAnsi="Times New Roman"/>
          <w:szCs w:val="24"/>
          <w:highlight w:val="none"/>
        </w:rPr>
        <w:t>/h</w:t>
      </w:r>
      <w:r>
        <w:rPr>
          <w:rFonts w:hint="eastAsia" w:ascii="Times New Roman" w:hAnsi="Times New Roman"/>
          <w:szCs w:val="24"/>
          <w:highlight w:val="none"/>
          <w:lang w:eastAsia="zh-CN"/>
        </w:rPr>
        <w:t>，</w:t>
      </w:r>
      <w:r>
        <w:rPr>
          <w:rFonts w:hint="eastAsia" w:ascii="Times New Roman" w:hAnsi="Times New Roman"/>
          <w:szCs w:val="24"/>
          <w:highlight w:val="none"/>
          <w:lang w:val="en-US" w:eastAsia="zh-CN"/>
        </w:rPr>
        <w:t>2352t/a</w:t>
      </w:r>
      <w:r>
        <w:rPr>
          <w:rFonts w:hint="eastAsia" w:ascii="Times New Roman" w:hAnsi="Times New Roman"/>
          <w:szCs w:val="24"/>
          <w:highlight w:val="none"/>
        </w:rPr>
        <w:t>）排入化粪池处理后排入市政管网（食堂废水经隔油池处理后与生活污水一同排入化粪池），</w:t>
      </w:r>
      <w:r>
        <w:rPr>
          <w:rFonts w:hint="eastAsia" w:ascii="Times New Roman" w:hAnsi="Times New Roman"/>
          <w:szCs w:val="24"/>
          <w:highlight w:val="none"/>
          <w:lang w:val="en-US" w:eastAsia="zh-CN"/>
        </w:rPr>
        <w:t>经污水管网排入绥芬河中环污水处理有限公司，处理达到《城镇污水处理厂污染物排放标准》(GB18918—2002)一级B标准后最终汇入小绥芬河。</w:t>
      </w:r>
    </w:p>
    <w:p w14:paraId="7E010BC9">
      <w:pPr>
        <w:pStyle w:val="5"/>
        <w:bidi w:val="0"/>
        <w:ind w:left="0" w:leftChars="0" w:firstLine="0" w:firstLineChars="0"/>
        <w:rPr>
          <w:rFonts w:hint="eastAsia"/>
          <w:highlight w:val="none"/>
          <w:lang w:val="en-US" w:eastAsia="zh-CN"/>
        </w:rPr>
      </w:pPr>
      <w:bookmarkStart w:id="87" w:name="_Toc28062"/>
      <w:r>
        <w:rPr>
          <w:rFonts w:hint="eastAsia"/>
          <w:highlight w:val="none"/>
          <w:lang w:val="en-US" w:eastAsia="zh-CN"/>
        </w:rPr>
        <w:t>3.3.4固体废物源强分析</w:t>
      </w:r>
      <w:bookmarkEnd w:id="87"/>
    </w:p>
    <w:p w14:paraId="30CEA449">
      <w:pPr>
        <w:ind w:firstLine="480"/>
        <w:rPr>
          <w:rFonts w:ascii="Times New Roman" w:hAnsi="Times New Roman"/>
          <w:highlight w:val="none"/>
        </w:rPr>
      </w:pPr>
      <w:r>
        <w:rPr>
          <w:rFonts w:ascii="Times New Roman" w:hAnsi="Times New Roman"/>
          <w:highlight w:val="none"/>
        </w:rPr>
        <w:t>本工程锅炉灰渣、</w:t>
      </w:r>
      <w:r>
        <w:rPr>
          <w:rFonts w:hint="eastAsia" w:ascii="Times New Roman" w:hAnsi="Times New Roman"/>
          <w:highlight w:val="none"/>
        </w:rPr>
        <w:t>脱硫石膏</w:t>
      </w:r>
      <w:r>
        <w:rPr>
          <w:rFonts w:ascii="Times New Roman" w:hAnsi="Times New Roman"/>
          <w:highlight w:val="none"/>
        </w:rPr>
        <w:t>日产日清，由汽车运出厂外厂家综合利用；生活垃圾及水处理系统产生的废离子交换树脂</w:t>
      </w:r>
      <w:r>
        <w:rPr>
          <w:rFonts w:hint="eastAsia" w:ascii="Times New Roman" w:hAnsi="Times New Roman"/>
          <w:highlight w:val="none"/>
          <w:lang w:val="en-US" w:eastAsia="zh-CN"/>
        </w:rPr>
        <w:t>和反渗透膜</w:t>
      </w:r>
      <w:r>
        <w:rPr>
          <w:rFonts w:ascii="Times New Roman" w:hAnsi="Times New Roman"/>
          <w:highlight w:val="none"/>
        </w:rPr>
        <w:t>由市政环卫部门统一处理；废催化剂</w:t>
      </w:r>
      <w:r>
        <w:rPr>
          <w:rFonts w:hint="eastAsia" w:ascii="Times New Roman" w:hAnsi="Times New Roman"/>
          <w:highlight w:val="none"/>
          <w:lang w:val="en-US" w:eastAsia="zh-CN"/>
        </w:rPr>
        <w:t>和废机油</w:t>
      </w:r>
      <w:r>
        <w:rPr>
          <w:rFonts w:ascii="Times New Roman" w:hAnsi="Times New Roman"/>
          <w:highlight w:val="none"/>
        </w:rPr>
        <w:t>交有资质单位处置；餐厨垃圾及废油脂交有资质处置。</w:t>
      </w:r>
    </w:p>
    <w:p w14:paraId="5A16A62D">
      <w:pPr>
        <w:ind w:firstLine="480"/>
        <w:rPr>
          <w:rFonts w:ascii="Times New Roman" w:hAnsi="Times New Roman"/>
          <w:highlight w:val="none"/>
        </w:rPr>
      </w:pPr>
      <w:r>
        <w:rPr>
          <w:rFonts w:ascii="Times New Roman" w:hAnsi="Times New Roman"/>
          <w:highlight w:val="none"/>
        </w:rPr>
        <w:t>本项目运营期产生的固体废物主要包括锅炉灰渣、废离子交换树脂</w:t>
      </w:r>
      <w:r>
        <w:rPr>
          <w:rFonts w:hint="eastAsia" w:ascii="Times New Roman" w:hAnsi="Times New Roman"/>
          <w:highlight w:val="none"/>
          <w:lang w:val="en-US" w:eastAsia="zh-CN"/>
        </w:rPr>
        <w:t>和反渗透膜</w:t>
      </w:r>
      <w:r>
        <w:rPr>
          <w:rFonts w:ascii="Times New Roman" w:hAnsi="Times New Roman"/>
          <w:highlight w:val="none"/>
        </w:rPr>
        <w:t>。</w:t>
      </w:r>
    </w:p>
    <w:p w14:paraId="22D45079">
      <w:pPr>
        <w:ind w:firstLine="480"/>
        <w:rPr>
          <w:rFonts w:ascii="Times New Roman" w:hAnsi="Times New Roman"/>
          <w:highlight w:val="none"/>
        </w:rPr>
      </w:pPr>
      <w:r>
        <w:rPr>
          <w:rFonts w:ascii="Times New Roman" w:hAnsi="Times New Roman"/>
          <w:highlight w:val="none"/>
        </w:rPr>
        <w:t>1、锅炉灰渣</w:t>
      </w:r>
    </w:p>
    <w:p w14:paraId="38C892D2">
      <w:pPr>
        <w:ind w:firstLine="480"/>
        <w:rPr>
          <w:rFonts w:ascii="Times New Roman" w:hAnsi="Times New Roman"/>
          <w:highlight w:val="none"/>
        </w:rPr>
      </w:pPr>
      <w:r>
        <w:rPr>
          <w:rFonts w:ascii="Times New Roman" w:hAnsi="Times New Roman"/>
          <w:highlight w:val="none"/>
        </w:rPr>
        <w:t>本项目锅炉产生的炉渣量根据《污染源源强核算技术指南 锅炉》（HJ991-2018）物料衡算法计算如下：</w:t>
      </w:r>
    </w:p>
    <w:p w14:paraId="75DE6A0E">
      <w:pPr>
        <w:ind w:firstLine="480"/>
        <w:rPr>
          <w:rFonts w:ascii="Times New Roman" w:hAnsi="Times New Roman"/>
          <w:highlight w:val="none"/>
        </w:rPr>
      </w:pPr>
      <w:r>
        <w:rPr>
          <w:rFonts w:hint="eastAsia" w:ascii="Times New Roman" w:hAnsi="Times New Roman"/>
          <w:highlight w:val="none"/>
        </w:rPr>
        <w:t>灰渣</w:t>
      </w:r>
      <w:r>
        <w:rPr>
          <w:rFonts w:ascii="Times New Roman" w:hAnsi="Times New Roman"/>
          <w:highlight w:val="none"/>
        </w:rPr>
        <w:t>产生量计算：</w:t>
      </w:r>
    </w:p>
    <w:p w14:paraId="6E85F872">
      <w:pPr>
        <w:ind w:firstLine="0" w:firstLineChars="0"/>
        <w:jc w:val="center"/>
        <w:rPr>
          <w:rFonts w:ascii="Times New Roman" w:hAnsi="Times New Roman"/>
          <w:highlight w:val="none"/>
        </w:rPr>
      </w:pPr>
      <w:r>
        <w:rPr>
          <w:rFonts w:ascii="Times New Roman" w:hAnsi="Times New Roman"/>
          <w:highlight w:val="none"/>
        </w:rPr>
        <w:drawing>
          <wp:inline distT="0" distB="0" distL="114300" distR="114300">
            <wp:extent cx="2695575" cy="628650"/>
            <wp:effectExtent l="0" t="0" r="9525" b="0"/>
            <wp:docPr id="1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
                    <pic:cNvPicPr>
                      <a:picLocks noChangeAspect="1"/>
                    </pic:cNvPicPr>
                  </pic:nvPicPr>
                  <pic:blipFill>
                    <a:blip r:embed="rId29"/>
                    <a:stretch>
                      <a:fillRect/>
                    </a:stretch>
                  </pic:blipFill>
                  <pic:spPr>
                    <a:xfrm>
                      <a:off x="0" y="0"/>
                      <a:ext cx="2695575" cy="628650"/>
                    </a:xfrm>
                    <a:prstGeom prst="rect">
                      <a:avLst/>
                    </a:prstGeom>
                    <a:noFill/>
                    <a:ln>
                      <a:noFill/>
                    </a:ln>
                  </pic:spPr>
                </pic:pic>
              </a:graphicData>
            </a:graphic>
          </wp:inline>
        </w:drawing>
      </w:r>
    </w:p>
    <w:p w14:paraId="4B4B7758">
      <w:pPr>
        <w:ind w:firstLine="480"/>
        <w:rPr>
          <w:rFonts w:ascii="Times New Roman" w:hAnsi="Times New Roman"/>
          <w:highlight w:val="none"/>
        </w:rPr>
      </w:pPr>
      <w:r>
        <w:rPr>
          <w:rFonts w:ascii="Times New Roman" w:hAnsi="Times New Roman"/>
          <w:highlight w:val="none"/>
        </w:rPr>
        <w:t>式中：</w:t>
      </w:r>
    </w:p>
    <w:p w14:paraId="338F632D">
      <w:pPr>
        <w:ind w:firstLine="480"/>
        <w:rPr>
          <w:rFonts w:ascii="Times New Roman" w:hAnsi="Times New Roman"/>
          <w:highlight w:val="none"/>
        </w:rPr>
      </w:pPr>
      <w:r>
        <w:rPr>
          <w:rFonts w:ascii="Times New Roman" w:hAnsi="Times New Roman"/>
          <w:highlight w:val="none"/>
        </w:rPr>
        <w:t>E</w:t>
      </w:r>
      <w:r>
        <w:rPr>
          <w:rFonts w:ascii="Times New Roman" w:hAnsi="Times New Roman"/>
          <w:highlight w:val="none"/>
          <w:vertAlign w:val="subscript"/>
        </w:rPr>
        <w:t>hz</w:t>
      </w:r>
      <w:r>
        <w:rPr>
          <w:rFonts w:ascii="Times New Roman" w:hAnsi="Times New Roman"/>
          <w:highlight w:val="none"/>
        </w:rPr>
        <w:t>—灰渣产生量，t/</w:t>
      </w:r>
      <w:r>
        <w:rPr>
          <w:rFonts w:hint="eastAsia" w:ascii="Times New Roman" w:hAnsi="Times New Roman"/>
          <w:highlight w:val="none"/>
          <w:lang w:val="en-US" w:eastAsia="zh-CN"/>
        </w:rPr>
        <w:t>a</w:t>
      </w:r>
      <w:r>
        <w:rPr>
          <w:rFonts w:ascii="Times New Roman" w:hAnsi="Times New Roman"/>
          <w:highlight w:val="none"/>
        </w:rPr>
        <w:t xml:space="preserve">； </w:t>
      </w:r>
    </w:p>
    <w:p w14:paraId="76DD117B">
      <w:pPr>
        <w:ind w:firstLine="480"/>
        <w:rPr>
          <w:rFonts w:ascii="Times New Roman" w:hAnsi="Times New Roman"/>
          <w:highlight w:val="none"/>
        </w:rPr>
      </w:pPr>
      <w:r>
        <w:rPr>
          <w:rFonts w:ascii="Times New Roman" w:hAnsi="Times New Roman"/>
          <w:highlight w:val="none"/>
        </w:rPr>
        <w:t>R—锅炉燃料用量，t/</w:t>
      </w:r>
      <w:r>
        <w:rPr>
          <w:rFonts w:hint="eastAsia" w:ascii="Times New Roman" w:hAnsi="Times New Roman"/>
          <w:highlight w:val="none"/>
          <w:lang w:val="en-US" w:eastAsia="zh-CN"/>
        </w:rPr>
        <w:t>a</w:t>
      </w:r>
      <w:r>
        <w:rPr>
          <w:rFonts w:ascii="Times New Roman" w:hAnsi="Times New Roman"/>
          <w:highlight w:val="none"/>
        </w:rPr>
        <w:t>，</w:t>
      </w:r>
      <w:r>
        <w:rPr>
          <w:rFonts w:ascii="Times New Roman" w:hAnsi="Times New Roman"/>
          <w:highlight w:val="none"/>
        </w:rPr>
        <w:t>取</w:t>
      </w:r>
      <w:r>
        <w:rPr>
          <w:rFonts w:hint="eastAsia" w:ascii="Times New Roman" w:hAnsi="Times New Roman"/>
          <w:highlight w:val="none"/>
          <w:lang w:val="en-US" w:eastAsia="zh-CN"/>
        </w:rPr>
        <w:t>81047.7024</w:t>
      </w:r>
      <w:r>
        <w:rPr>
          <w:rFonts w:ascii="Times New Roman" w:hAnsi="Times New Roman"/>
          <w:highlight w:val="none"/>
        </w:rPr>
        <w:t>；</w:t>
      </w:r>
    </w:p>
    <w:p w14:paraId="13637CC0">
      <w:pPr>
        <w:ind w:firstLine="480"/>
        <w:rPr>
          <w:rFonts w:ascii="Times New Roman" w:hAnsi="Times New Roman"/>
          <w:highlight w:val="none"/>
        </w:rPr>
      </w:pPr>
      <w:r>
        <w:rPr>
          <w:rFonts w:ascii="Times New Roman" w:hAnsi="Times New Roman"/>
          <w:highlight w:val="none"/>
        </w:rPr>
        <w:t>Aar—收到基灰分的质量分数，%，取</w:t>
      </w:r>
      <w:r>
        <w:rPr>
          <w:rFonts w:hint="eastAsia" w:ascii="Times New Roman" w:hAnsi="Times New Roman"/>
          <w:highlight w:val="none"/>
          <w:lang w:val="en-US" w:eastAsia="zh-CN"/>
        </w:rPr>
        <w:t>33.71</w:t>
      </w:r>
      <w:r>
        <w:rPr>
          <w:rFonts w:ascii="Times New Roman" w:hAnsi="Times New Roman"/>
          <w:highlight w:val="none"/>
        </w:rPr>
        <w:t>%；</w:t>
      </w:r>
    </w:p>
    <w:p w14:paraId="4C06E053">
      <w:pPr>
        <w:ind w:firstLine="480"/>
        <w:rPr>
          <w:rFonts w:ascii="Times New Roman" w:hAnsi="Times New Roman"/>
          <w:highlight w:val="none"/>
        </w:rPr>
      </w:pPr>
      <w:r>
        <w:rPr>
          <w:rFonts w:ascii="Times New Roman" w:hAnsi="Times New Roman"/>
          <w:highlight w:val="none"/>
        </w:rPr>
        <w:t>q4—锅炉机械不完全燃烧热损失，%，</w:t>
      </w:r>
      <w:r>
        <w:rPr>
          <w:rFonts w:hint="eastAsia" w:ascii="Times New Roman" w:hAnsi="Times New Roman"/>
          <w:highlight w:val="none"/>
          <w:lang w:val="en-US" w:eastAsia="zh-CN"/>
        </w:rPr>
        <w:t>10</w:t>
      </w:r>
      <w:r>
        <w:rPr>
          <w:rFonts w:ascii="Times New Roman" w:hAnsi="Times New Roman"/>
          <w:highlight w:val="none"/>
        </w:rPr>
        <w:t>；</w:t>
      </w:r>
    </w:p>
    <w:p w14:paraId="499E3804">
      <w:pPr>
        <w:ind w:firstLine="480"/>
        <w:rPr>
          <w:rFonts w:ascii="Times New Roman" w:hAnsi="Times New Roman"/>
          <w:highlight w:val="none"/>
        </w:rPr>
      </w:pPr>
      <w:r>
        <w:rPr>
          <w:rFonts w:ascii="Times New Roman" w:hAnsi="Times New Roman"/>
          <w:highlight w:val="none"/>
        </w:rPr>
        <w:t>Qnet,ar—收到基低位发热量，kJ/kg，取</w:t>
      </w:r>
      <w:r>
        <w:rPr>
          <w:rFonts w:hint="eastAsia" w:ascii="Times New Roman" w:hAnsi="Times New Roman"/>
          <w:highlight w:val="none"/>
          <w:lang w:val="en-US" w:eastAsia="zh-CN"/>
        </w:rPr>
        <w:t>19440</w:t>
      </w:r>
      <w:r>
        <w:rPr>
          <w:rFonts w:ascii="Times New Roman" w:hAnsi="Times New Roman"/>
          <w:highlight w:val="none"/>
        </w:rPr>
        <w:t>kJ/kg；</w:t>
      </w:r>
    </w:p>
    <w:p w14:paraId="012B44E2">
      <w:pPr>
        <w:ind w:firstLine="480"/>
        <w:rPr>
          <w:rFonts w:ascii="Times New Roman" w:hAnsi="Times New Roman"/>
          <w:highlight w:val="none"/>
        </w:rPr>
      </w:pPr>
      <w:r>
        <w:rPr>
          <w:rFonts w:ascii="Times New Roman" w:hAnsi="Times New Roman"/>
          <w:highlight w:val="none"/>
        </w:rPr>
        <w:t>经计算，</w:t>
      </w:r>
      <w:r>
        <w:rPr>
          <w:rFonts w:hint="eastAsia" w:ascii="Times New Roman" w:hAnsi="Times New Roman"/>
          <w:highlight w:val="none"/>
          <w:lang w:val="en-US" w:eastAsia="zh-CN"/>
        </w:rPr>
        <w:t>炉灰渣的产生量为31972.99t/a，</w:t>
      </w:r>
      <w:r>
        <w:rPr>
          <w:rFonts w:ascii="Times New Roman" w:hAnsi="Times New Roman"/>
          <w:highlight w:val="none"/>
        </w:rPr>
        <w:t>炉灰产生量为</w:t>
      </w:r>
      <w:r>
        <w:rPr>
          <w:rFonts w:hint="eastAsia" w:ascii="Times New Roman" w:hAnsi="Times New Roman"/>
          <w:highlight w:val="none"/>
          <w:lang w:val="en-US" w:eastAsia="zh-CN"/>
        </w:rPr>
        <w:t>6053.28</w:t>
      </w:r>
      <w:r>
        <w:rPr>
          <w:rFonts w:ascii="Times New Roman" w:hAnsi="Times New Roman"/>
          <w:highlight w:val="none"/>
        </w:rPr>
        <w:t>t/a</w:t>
      </w:r>
      <w:r>
        <w:rPr>
          <w:rFonts w:hint="eastAsia" w:ascii="Times New Roman" w:hAnsi="Times New Roman"/>
          <w:highlight w:val="none"/>
          <w:lang w:eastAsia="zh-CN"/>
        </w:rPr>
        <w:t>（</w:t>
      </w:r>
      <w:r>
        <w:rPr>
          <w:rFonts w:hint="eastAsia" w:ascii="Times New Roman" w:hAnsi="Times New Roman"/>
          <w:color w:val="auto"/>
          <w:highlight w:val="none"/>
          <w:lang w:val="en-US" w:eastAsia="zh-CN"/>
        </w:rPr>
        <w:t>2.39t以颗粒物形式经烟囱排放至外环境，6050.89t/a以炉灰形式进入灰仓</w:t>
      </w:r>
      <w:r>
        <w:rPr>
          <w:rFonts w:hint="eastAsia" w:ascii="Times New Roman" w:hAnsi="Times New Roman"/>
          <w:highlight w:val="none"/>
          <w:lang w:eastAsia="zh-CN"/>
        </w:rPr>
        <w:t>）</w:t>
      </w:r>
      <w:r>
        <w:rPr>
          <w:rFonts w:ascii="Times New Roman" w:hAnsi="Times New Roman"/>
          <w:highlight w:val="none"/>
        </w:rPr>
        <w:t>，炉渣产生量为</w:t>
      </w:r>
      <w:r>
        <w:rPr>
          <w:rFonts w:hint="eastAsia" w:ascii="Times New Roman" w:hAnsi="Times New Roman"/>
          <w:highlight w:val="none"/>
          <w:lang w:val="en-US" w:eastAsia="zh-CN"/>
        </w:rPr>
        <w:t>25919.71</w:t>
      </w:r>
      <w:r>
        <w:rPr>
          <w:rFonts w:ascii="Times New Roman" w:hAnsi="Times New Roman"/>
          <w:highlight w:val="none"/>
        </w:rPr>
        <w:t>t/a</w:t>
      </w:r>
      <w:r>
        <w:rPr>
          <w:rFonts w:hint="eastAsia" w:ascii="Times New Roman" w:hAnsi="Times New Roman"/>
          <w:highlight w:val="none"/>
        </w:rPr>
        <w:t>（本项目dfh取</w:t>
      </w:r>
      <w:r>
        <w:rPr>
          <w:rFonts w:hint="eastAsia" w:ascii="Times New Roman" w:hAnsi="Times New Roman"/>
          <w:highlight w:val="none"/>
          <w:lang w:val="en-US" w:eastAsia="zh-CN"/>
        </w:rPr>
        <w:t>20</w:t>
      </w:r>
      <w:r>
        <w:rPr>
          <w:rFonts w:hint="eastAsia" w:ascii="Times New Roman" w:hAnsi="Times New Roman"/>
          <w:highlight w:val="none"/>
        </w:rPr>
        <w:t>%）。暂存于场内灰仓及渣仓内，1~2天内及时外运综合利用。</w:t>
      </w:r>
    </w:p>
    <w:p w14:paraId="5772E447">
      <w:pPr>
        <w:ind w:firstLine="480"/>
        <w:rPr>
          <w:rFonts w:hint="default" w:ascii="Times New Roman" w:hAnsi="Times New Roman" w:eastAsia="宋体"/>
          <w:highlight w:val="none"/>
          <w:lang w:val="en-US" w:eastAsia="zh-CN"/>
        </w:rPr>
      </w:pPr>
      <w:r>
        <w:rPr>
          <w:rFonts w:ascii="Times New Roman" w:hAnsi="Times New Roman"/>
          <w:highlight w:val="none"/>
        </w:rPr>
        <w:t>2、废离子交换树脂</w:t>
      </w:r>
      <w:r>
        <w:rPr>
          <w:rFonts w:hint="eastAsia" w:ascii="Times New Roman" w:hAnsi="Times New Roman"/>
          <w:highlight w:val="none"/>
          <w:lang w:val="en-US" w:eastAsia="zh-CN"/>
        </w:rPr>
        <w:t>和反渗透膜</w:t>
      </w:r>
    </w:p>
    <w:p w14:paraId="36AAAB7C">
      <w:pPr>
        <w:ind w:firstLine="480"/>
        <w:rPr>
          <w:rFonts w:ascii="Times New Roman" w:hAnsi="Times New Roman"/>
          <w:highlight w:val="none"/>
        </w:rPr>
      </w:pPr>
      <w:r>
        <w:rPr>
          <w:rFonts w:ascii="Times New Roman" w:hAnsi="Times New Roman"/>
          <w:highlight w:val="none"/>
        </w:rPr>
        <w:t>废离子交换树脂</w:t>
      </w:r>
      <w:r>
        <w:rPr>
          <w:rFonts w:hint="eastAsia" w:ascii="Times New Roman" w:hAnsi="Times New Roman"/>
          <w:highlight w:val="none"/>
          <w:lang w:val="en-US" w:eastAsia="zh-CN"/>
        </w:rPr>
        <w:t>和反渗透膜</w:t>
      </w:r>
      <w:r>
        <w:rPr>
          <w:rFonts w:ascii="Times New Roman" w:hAnsi="Times New Roman"/>
          <w:highlight w:val="none"/>
        </w:rPr>
        <w:t>，每年更换一次，产生量2t/a，由市政环卫部门统一处理。</w:t>
      </w:r>
    </w:p>
    <w:p w14:paraId="6780A1D6">
      <w:pPr>
        <w:ind w:firstLine="480"/>
        <w:rPr>
          <w:rFonts w:ascii="Times New Roman" w:hAnsi="Times New Roman"/>
          <w:highlight w:val="none"/>
        </w:rPr>
      </w:pPr>
      <w:r>
        <w:rPr>
          <w:rFonts w:ascii="Times New Roman" w:hAnsi="Times New Roman"/>
          <w:highlight w:val="none"/>
        </w:rPr>
        <w:t>3、脱硫副产物</w:t>
      </w:r>
    </w:p>
    <w:p w14:paraId="0DA445FD">
      <w:pPr>
        <w:pStyle w:val="7"/>
        <w:ind w:firstLine="480"/>
        <w:rPr>
          <w:rFonts w:ascii="Times New Roman" w:hAnsi="Times New Roman"/>
          <w:highlight w:val="none"/>
        </w:rPr>
      </w:pPr>
      <w:r>
        <w:rPr>
          <w:rFonts w:ascii="Times New Roman" w:hAnsi="Times New Roman"/>
          <w:highlight w:val="none"/>
        </w:rPr>
        <w:t>脱硫副产物为石膏</w:t>
      </w:r>
      <w:r>
        <w:rPr>
          <w:rFonts w:hint="eastAsia" w:ascii="Times New Roman" w:hAnsi="Times New Roman"/>
          <w:highlight w:val="none"/>
        </w:rPr>
        <w:t>，3台炉共用1套石膏脱水系统，设3台真空皮带脱水机。每台真空皮带脱水机出力按两台炉BMCR工况下所排石膏量的100%配置。</w:t>
      </w:r>
    </w:p>
    <w:p w14:paraId="12547936">
      <w:pPr>
        <w:ind w:firstLine="0" w:firstLineChars="0"/>
        <w:jc w:val="center"/>
        <w:rPr>
          <w:rFonts w:ascii="Times New Roman" w:hAnsi="Times New Roman"/>
          <w:highlight w:val="none"/>
        </w:rPr>
      </w:pPr>
      <w:r>
        <w:rPr>
          <w:rFonts w:ascii="Times New Roman" w:hAnsi="Times New Roman"/>
          <w:highlight w:val="none"/>
        </w:rPr>
        <w:drawing>
          <wp:inline distT="0" distB="0" distL="114300" distR="114300">
            <wp:extent cx="1724660" cy="637540"/>
            <wp:effectExtent l="0" t="0" r="8890" b="10160"/>
            <wp:docPr id="1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
                    <pic:cNvPicPr>
                      <a:picLocks noChangeAspect="1"/>
                    </pic:cNvPicPr>
                  </pic:nvPicPr>
                  <pic:blipFill>
                    <a:blip r:embed="rId30"/>
                    <a:stretch>
                      <a:fillRect/>
                    </a:stretch>
                  </pic:blipFill>
                  <pic:spPr>
                    <a:xfrm>
                      <a:off x="0" y="0"/>
                      <a:ext cx="1724660" cy="637540"/>
                    </a:xfrm>
                    <a:prstGeom prst="rect">
                      <a:avLst/>
                    </a:prstGeom>
                    <a:noFill/>
                    <a:ln>
                      <a:noFill/>
                    </a:ln>
                  </pic:spPr>
                </pic:pic>
              </a:graphicData>
            </a:graphic>
          </wp:inline>
        </w:drawing>
      </w:r>
    </w:p>
    <w:p w14:paraId="1113B695">
      <w:pPr>
        <w:ind w:firstLine="480"/>
        <w:rPr>
          <w:rFonts w:ascii="Times New Roman" w:hAnsi="Times New Roman"/>
          <w:highlight w:val="none"/>
        </w:rPr>
      </w:pPr>
      <w:r>
        <w:rPr>
          <w:rFonts w:ascii="Times New Roman" w:hAnsi="Times New Roman"/>
          <w:highlight w:val="none"/>
        </w:rPr>
        <w:t>式中：</w:t>
      </w:r>
    </w:p>
    <w:p w14:paraId="59C6115A">
      <w:pPr>
        <w:ind w:firstLine="480"/>
        <w:rPr>
          <w:rFonts w:ascii="Times New Roman" w:hAnsi="Times New Roman"/>
          <w:highlight w:val="none"/>
        </w:rPr>
      </w:pPr>
      <w:r>
        <w:rPr>
          <w:rFonts w:ascii="Times New Roman" w:hAnsi="Times New Roman"/>
          <w:highlight w:val="none"/>
        </w:rPr>
        <w:t>E—核算时段内脱硫副产物产生量，t；</w:t>
      </w:r>
    </w:p>
    <w:p w14:paraId="5E02CF50">
      <w:pPr>
        <w:ind w:firstLine="480"/>
        <w:rPr>
          <w:rFonts w:hint="default" w:ascii="Times New Roman" w:hAnsi="Times New Roman" w:eastAsia="宋体"/>
          <w:highlight w:val="none"/>
          <w:lang w:val="en-US" w:eastAsia="zh-CN"/>
        </w:rPr>
      </w:pPr>
      <w:r>
        <w:rPr>
          <w:rFonts w:ascii="Times New Roman" w:hAnsi="Times New Roman"/>
          <w:highlight w:val="none"/>
        </w:rPr>
        <w:t>M</w:t>
      </w:r>
      <w:r>
        <w:rPr>
          <w:rFonts w:ascii="Times New Roman" w:hAnsi="Times New Roman"/>
          <w:highlight w:val="none"/>
          <w:vertAlign w:val="subscript"/>
        </w:rPr>
        <w:t>F</w:t>
      </w:r>
      <w:r>
        <w:rPr>
          <w:rFonts w:ascii="Times New Roman" w:hAnsi="Times New Roman"/>
          <w:highlight w:val="none"/>
        </w:rPr>
        <w:t>—脱硫副产物摩尔质量；</w:t>
      </w:r>
      <w:r>
        <w:rPr>
          <w:rFonts w:hint="eastAsia" w:ascii="Times New Roman" w:hAnsi="Times New Roman"/>
          <w:highlight w:val="none"/>
          <w:lang w:val="en-US" w:eastAsia="zh-CN"/>
        </w:rPr>
        <w:t>136</w:t>
      </w:r>
    </w:p>
    <w:p w14:paraId="7D8F01A6">
      <w:pPr>
        <w:ind w:firstLine="480"/>
        <w:rPr>
          <w:rFonts w:hint="default" w:ascii="Times New Roman" w:hAnsi="Times New Roman" w:eastAsia="宋体"/>
          <w:highlight w:val="none"/>
          <w:lang w:val="en-US" w:eastAsia="zh-CN"/>
        </w:rPr>
      </w:pPr>
      <w:r>
        <w:rPr>
          <w:rFonts w:ascii="Times New Roman" w:hAnsi="Times New Roman"/>
          <w:highlight w:val="none"/>
        </w:rPr>
        <w:t>E</w:t>
      </w:r>
      <w:r>
        <w:rPr>
          <w:rFonts w:ascii="Times New Roman" w:hAnsi="Times New Roman"/>
          <w:highlight w:val="none"/>
          <w:vertAlign w:val="subscript"/>
        </w:rPr>
        <w:t>S</w:t>
      </w:r>
      <w:r>
        <w:rPr>
          <w:rFonts w:ascii="Times New Roman" w:hAnsi="Times New Roman"/>
          <w:highlight w:val="none"/>
        </w:rPr>
        <w:t>—核算时段内二氧化硫脱除量，t；</w:t>
      </w:r>
      <w:r>
        <w:rPr>
          <w:rFonts w:hint="eastAsia" w:ascii="Times New Roman" w:hAnsi="Times New Roman"/>
          <w:highlight w:val="none"/>
          <w:lang w:val="en-US" w:eastAsia="zh-CN"/>
        </w:rPr>
        <w:t>236.536</w:t>
      </w:r>
    </w:p>
    <w:p w14:paraId="4A096A33">
      <w:pPr>
        <w:ind w:firstLine="480"/>
        <w:rPr>
          <w:rFonts w:ascii="Times New Roman" w:hAnsi="Times New Roman"/>
          <w:highlight w:val="none"/>
        </w:rPr>
      </w:pPr>
      <w:r>
        <w:rPr>
          <w:rFonts w:ascii="Times New Roman" w:hAnsi="Times New Roman"/>
          <w:highlight w:val="none"/>
        </w:rPr>
        <w:t>64—SO</w:t>
      </w:r>
      <w:r>
        <w:rPr>
          <w:rFonts w:ascii="Times New Roman" w:hAnsi="Times New Roman"/>
          <w:highlight w:val="none"/>
          <w:vertAlign w:val="subscript"/>
        </w:rPr>
        <w:t>2</w:t>
      </w:r>
      <w:r>
        <w:rPr>
          <w:rFonts w:ascii="Times New Roman" w:hAnsi="Times New Roman"/>
          <w:highlight w:val="none"/>
        </w:rPr>
        <w:t>摩尔质量；</w:t>
      </w:r>
    </w:p>
    <w:p w14:paraId="4EECD7E4">
      <w:pPr>
        <w:ind w:firstLine="480"/>
        <w:rPr>
          <w:rFonts w:ascii="Times New Roman" w:hAnsi="Times New Roman"/>
          <w:highlight w:val="none"/>
        </w:rPr>
      </w:pPr>
      <w:r>
        <w:rPr>
          <w:rFonts w:ascii="Times New Roman" w:hAnsi="Times New Roman"/>
          <w:highlight w:val="none"/>
        </w:rPr>
        <w:t>C</w:t>
      </w:r>
      <w:r>
        <w:rPr>
          <w:rFonts w:ascii="Times New Roman" w:hAnsi="Times New Roman"/>
          <w:highlight w:val="none"/>
          <w:vertAlign w:val="subscript"/>
        </w:rPr>
        <w:t>s</w:t>
      </w:r>
      <w:r>
        <w:rPr>
          <w:rFonts w:ascii="Times New Roman" w:hAnsi="Times New Roman"/>
          <w:highlight w:val="none"/>
        </w:rPr>
        <w:t>—脱硫副产物含水率，%，副产物为石膏时含水率一般≤10%；</w:t>
      </w:r>
    </w:p>
    <w:p w14:paraId="441CEFD4">
      <w:pPr>
        <w:ind w:firstLine="480"/>
        <w:rPr>
          <w:rFonts w:ascii="Times New Roman" w:hAnsi="Times New Roman"/>
          <w:highlight w:val="none"/>
        </w:rPr>
      </w:pPr>
      <w:r>
        <w:rPr>
          <w:rFonts w:ascii="Times New Roman" w:hAnsi="Times New Roman"/>
          <w:highlight w:val="none"/>
        </w:rPr>
        <w:t>C</w:t>
      </w:r>
      <w:r>
        <w:rPr>
          <w:rFonts w:ascii="Times New Roman" w:hAnsi="Times New Roman"/>
          <w:highlight w:val="none"/>
          <w:vertAlign w:val="subscript"/>
        </w:rPr>
        <w:t>g</w:t>
      </w:r>
      <w:r>
        <w:rPr>
          <w:rFonts w:ascii="Times New Roman" w:hAnsi="Times New Roman"/>
          <w:highlight w:val="none"/>
        </w:rPr>
        <w:t>—脱硫副产物纯度，%，副产物为石膏时纯度一般≥90%</w:t>
      </w:r>
    </w:p>
    <w:p w14:paraId="2D0F9812">
      <w:pPr>
        <w:ind w:firstLine="480"/>
        <w:rPr>
          <w:rFonts w:ascii="Times New Roman" w:hAnsi="Times New Roman"/>
          <w:highlight w:val="none"/>
        </w:rPr>
      </w:pPr>
      <w:r>
        <w:rPr>
          <w:rFonts w:ascii="Times New Roman" w:hAnsi="Times New Roman"/>
          <w:highlight w:val="none"/>
        </w:rPr>
        <w:t>则核算时段内脱硫副产物产生量E</w:t>
      </w:r>
      <w:r>
        <w:rPr>
          <w:rFonts w:hint="eastAsia" w:ascii="Times New Roman" w:hAnsi="Times New Roman"/>
          <w:highlight w:val="none"/>
          <w:lang w:val="en-US" w:eastAsia="zh-CN"/>
        </w:rPr>
        <w:t>=502.549</w:t>
      </w:r>
      <w:r>
        <w:rPr>
          <w:rFonts w:ascii="Times New Roman" w:hAnsi="Times New Roman"/>
          <w:highlight w:val="none"/>
        </w:rPr>
        <w:t>t/a</w:t>
      </w:r>
    </w:p>
    <w:p w14:paraId="1E2836D1">
      <w:pPr>
        <w:ind w:firstLine="480"/>
        <w:rPr>
          <w:rFonts w:ascii="Times New Roman" w:hAnsi="Times New Roman"/>
          <w:highlight w:val="none"/>
        </w:rPr>
      </w:pPr>
      <w:r>
        <w:rPr>
          <w:rFonts w:ascii="Times New Roman" w:hAnsi="Times New Roman"/>
          <w:highlight w:val="none"/>
        </w:rPr>
        <w:t>本项目脱硫石膏暂存于厂区内石膏储仓，及时定期外运至综合利用。</w:t>
      </w:r>
    </w:p>
    <w:p w14:paraId="18016479">
      <w:pPr>
        <w:ind w:firstLine="480"/>
        <w:rPr>
          <w:rFonts w:ascii="Times New Roman" w:hAnsi="Times New Roman"/>
          <w:highlight w:val="none"/>
        </w:rPr>
      </w:pPr>
      <w:r>
        <w:rPr>
          <w:rFonts w:ascii="Times New Roman" w:hAnsi="Times New Roman"/>
          <w:highlight w:val="none"/>
        </w:rPr>
        <w:t>4、废催化剂</w:t>
      </w:r>
    </w:p>
    <w:p w14:paraId="51384CB2">
      <w:pPr>
        <w:ind w:firstLine="480"/>
        <w:rPr>
          <w:rFonts w:ascii="Times New Roman" w:hAnsi="Times New Roman"/>
          <w:highlight w:val="none"/>
        </w:rPr>
      </w:pPr>
      <w:r>
        <w:rPr>
          <w:rFonts w:ascii="Times New Roman" w:hAnsi="Times New Roman"/>
          <w:highlight w:val="none"/>
        </w:rPr>
        <w:t>项目采用SNCR-SCR脱硝工艺，其中：SCR脱硝工艺使用钒钛系催化剂，SCR催化剂受到飞灰堵塞、冲蚀及化学毒化等因素的影响，活性会逐渐下降甚至失效，根据设备厂家提供的资料，每3年更换一次，催化剂体积约为10m</w:t>
      </w:r>
      <w:r>
        <w:rPr>
          <w:rFonts w:ascii="Times New Roman" w:hAnsi="Times New Roman"/>
          <w:highlight w:val="none"/>
          <w:vertAlign w:val="superscript"/>
        </w:rPr>
        <w:t>3</w:t>
      </w:r>
      <w:r>
        <w:rPr>
          <w:rFonts w:ascii="Times New Roman" w:hAnsi="Times New Roman"/>
          <w:highlight w:val="none"/>
        </w:rPr>
        <w:t>/3a，废催化剂的主要成份有V</w:t>
      </w:r>
      <w:r>
        <w:rPr>
          <w:rFonts w:ascii="Times New Roman" w:hAnsi="Times New Roman"/>
          <w:highlight w:val="none"/>
          <w:vertAlign w:val="subscript"/>
        </w:rPr>
        <w:t>2</w:t>
      </w:r>
      <w:r>
        <w:rPr>
          <w:rFonts w:ascii="Times New Roman" w:hAnsi="Times New Roman"/>
          <w:highlight w:val="none"/>
        </w:rPr>
        <w:t>O</w:t>
      </w:r>
      <w:r>
        <w:rPr>
          <w:rFonts w:ascii="Times New Roman" w:hAnsi="Times New Roman"/>
          <w:highlight w:val="none"/>
          <w:vertAlign w:val="subscript"/>
        </w:rPr>
        <w:t>5</w:t>
      </w:r>
      <w:r>
        <w:rPr>
          <w:rFonts w:ascii="Times New Roman" w:hAnsi="Times New Roman"/>
          <w:highlight w:val="none"/>
        </w:rPr>
        <w:t>、WO</w:t>
      </w:r>
      <w:r>
        <w:rPr>
          <w:rFonts w:ascii="Times New Roman" w:hAnsi="Times New Roman"/>
          <w:highlight w:val="none"/>
          <w:vertAlign w:val="subscript"/>
        </w:rPr>
        <w:t>3</w:t>
      </w:r>
      <w:r>
        <w:rPr>
          <w:rFonts w:ascii="Times New Roman" w:hAnsi="Times New Roman"/>
          <w:highlight w:val="none"/>
        </w:rPr>
        <w:t>和TiO</w:t>
      </w:r>
      <w:r>
        <w:rPr>
          <w:rFonts w:ascii="Times New Roman" w:hAnsi="Times New Roman"/>
          <w:highlight w:val="none"/>
          <w:vertAlign w:val="subscript"/>
        </w:rPr>
        <w:t>2</w:t>
      </w:r>
      <w:r>
        <w:rPr>
          <w:rFonts w:ascii="Times New Roman" w:hAnsi="Times New Roman"/>
          <w:highlight w:val="none"/>
        </w:rPr>
        <w:t>。根据《国家危险废物名录（202</w:t>
      </w:r>
      <w:r>
        <w:rPr>
          <w:rFonts w:hint="eastAsia" w:ascii="Times New Roman" w:hAnsi="Times New Roman"/>
          <w:highlight w:val="none"/>
          <w:lang w:val="en-US" w:eastAsia="zh-CN"/>
        </w:rPr>
        <w:t>5</w:t>
      </w:r>
      <w:r>
        <w:rPr>
          <w:rFonts w:ascii="Times New Roman" w:hAnsi="Times New Roman"/>
          <w:highlight w:val="none"/>
        </w:rPr>
        <w:t>年）》，烟气脱硝过程中产生的废钒钛系催化剂属于HW50危险废物，废物代码为772-007-50。</w:t>
      </w:r>
    </w:p>
    <w:p w14:paraId="4FF423D4">
      <w:pPr>
        <w:ind w:firstLine="480"/>
        <w:rPr>
          <w:rFonts w:ascii="Times New Roman" w:hAnsi="Times New Roman"/>
          <w:highlight w:val="none"/>
        </w:rPr>
      </w:pPr>
      <w:r>
        <w:rPr>
          <w:rFonts w:ascii="Times New Roman" w:hAnsi="Times New Roman"/>
          <w:highlight w:val="none"/>
        </w:rPr>
        <w:t>5、生活垃圾</w:t>
      </w:r>
    </w:p>
    <w:p w14:paraId="4A4699D0">
      <w:pPr>
        <w:ind w:firstLine="480"/>
        <w:rPr>
          <w:rFonts w:ascii="Times New Roman" w:hAnsi="Times New Roman"/>
          <w:highlight w:val="none"/>
        </w:rPr>
      </w:pPr>
      <w:r>
        <w:rPr>
          <w:rFonts w:ascii="Times New Roman" w:hAnsi="Times New Roman"/>
          <w:highlight w:val="none"/>
        </w:rPr>
        <w:t>本项目新增生活人员</w:t>
      </w:r>
      <w:r>
        <w:rPr>
          <w:rFonts w:hint="eastAsia" w:ascii="Times New Roman" w:hAnsi="Times New Roman"/>
          <w:highlight w:val="none"/>
          <w:lang w:val="en-US" w:eastAsia="zh-CN"/>
        </w:rPr>
        <w:t>175</w:t>
      </w:r>
      <w:r>
        <w:rPr>
          <w:rFonts w:ascii="Times New Roman" w:hAnsi="Times New Roman"/>
          <w:highlight w:val="none"/>
        </w:rPr>
        <w:t>人，生活垃圾产生量为0.5kg/人·天，则生活垃圾产生量为0.0</w:t>
      </w:r>
      <w:r>
        <w:rPr>
          <w:rFonts w:hint="eastAsia" w:ascii="Times New Roman" w:hAnsi="Times New Roman"/>
          <w:highlight w:val="none"/>
          <w:lang w:val="en-US" w:eastAsia="zh-CN"/>
        </w:rPr>
        <w:t>88</w:t>
      </w:r>
      <w:r>
        <w:rPr>
          <w:rFonts w:ascii="Times New Roman" w:hAnsi="Times New Roman"/>
          <w:highlight w:val="none"/>
        </w:rPr>
        <w:t>t/d，</w:t>
      </w:r>
      <w:r>
        <w:rPr>
          <w:rFonts w:hint="eastAsia" w:ascii="Times New Roman" w:hAnsi="Times New Roman"/>
          <w:highlight w:val="none"/>
          <w:lang w:val="en-US" w:eastAsia="zh-CN"/>
        </w:rPr>
        <w:t>18.38</w:t>
      </w:r>
      <w:r>
        <w:rPr>
          <w:rFonts w:ascii="Times New Roman" w:hAnsi="Times New Roman"/>
          <w:highlight w:val="none"/>
        </w:rPr>
        <w:t>t/a。集中收集定期交由环卫部门处置。</w:t>
      </w:r>
    </w:p>
    <w:p w14:paraId="627A9AE9">
      <w:pPr>
        <w:ind w:firstLine="480"/>
        <w:rPr>
          <w:rFonts w:ascii="Times New Roman" w:hAnsi="Times New Roman"/>
          <w:highlight w:val="none"/>
        </w:rPr>
      </w:pPr>
      <w:r>
        <w:rPr>
          <w:rFonts w:ascii="Times New Roman" w:hAnsi="Times New Roman"/>
          <w:highlight w:val="none"/>
        </w:rPr>
        <w:t>6、餐厨垃圾及废油脂</w:t>
      </w:r>
    </w:p>
    <w:p w14:paraId="32A81AB9">
      <w:pPr>
        <w:ind w:firstLine="480"/>
        <w:rPr>
          <w:rFonts w:ascii="Times New Roman" w:hAnsi="Times New Roman"/>
          <w:highlight w:val="none"/>
        </w:rPr>
      </w:pPr>
      <w:r>
        <w:rPr>
          <w:rFonts w:ascii="Times New Roman" w:hAnsi="Times New Roman"/>
          <w:highlight w:val="none"/>
        </w:rPr>
        <w:t>餐馀垃圾：</w:t>
      </w:r>
      <w:r>
        <w:rPr>
          <w:rFonts w:hint="eastAsia" w:ascii="Times New Roman" w:hAnsi="Times New Roman"/>
          <w:highlight w:val="none"/>
        </w:rPr>
        <w:t>全场</w:t>
      </w:r>
      <w:r>
        <w:rPr>
          <w:rFonts w:ascii="Times New Roman" w:hAnsi="Times New Roman"/>
          <w:highlight w:val="none"/>
        </w:rPr>
        <w:t>食堂日平均就餐人数</w:t>
      </w:r>
      <w:r>
        <w:rPr>
          <w:rFonts w:hint="eastAsia" w:ascii="Times New Roman" w:hAnsi="Times New Roman"/>
          <w:highlight w:val="none"/>
          <w:lang w:val="en-US" w:eastAsia="zh-CN"/>
        </w:rPr>
        <w:t>175</w:t>
      </w:r>
      <w:r>
        <w:rPr>
          <w:rFonts w:ascii="Times New Roman" w:hAnsi="Times New Roman"/>
          <w:highlight w:val="none"/>
        </w:rPr>
        <w:t>人次/天，餐馀废物按0.3kg/人•餐计，则餐馀废物产生量</w:t>
      </w:r>
      <w:r>
        <w:rPr>
          <w:rFonts w:hint="eastAsia" w:ascii="Times New Roman" w:hAnsi="Times New Roman"/>
          <w:highlight w:val="none"/>
          <w:lang w:val="en-US" w:eastAsia="zh-CN"/>
        </w:rPr>
        <w:t>11.03</w:t>
      </w:r>
      <w:r>
        <w:rPr>
          <w:rFonts w:ascii="Times New Roman" w:hAnsi="Times New Roman"/>
          <w:highlight w:val="none"/>
        </w:rPr>
        <w:t>t/a。</w:t>
      </w:r>
    </w:p>
    <w:p w14:paraId="45A9ED1D">
      <w:pPr>
        <w:ind w:firstLine="480"/>
        <w:rPr>
          <w:rFonts w:ascii="Times New Roman" w:hAnsi="Times New Roman"/>
          <w:highlight w:val="none"/>
        </w:rPr>
      </w:pPr>
      <w:r>
        <w:rPr>
          <w:rFonts w:ascii="Times New Roman" w:hAnsi="Times New Roman"/>
          <w:highlight w:val="none"/>
        </w:rPr>
        <w:t>废油脂：油烟净化器、油水分离器分离出的废油脂产生量按耗油量10%计（消耗食用油按25g/人•天计），废油脂产生量约为0.0</w:t>
      </w:r>
      <w:r>
        <w:rPr>
          <w:rFonts w:hint="eastAsia" w:ascii="Times New Roman" w:hAnsi="Times New Roman"/>
          <w:highlight w:val="none"/>
          <w:lang w:val="en-US" w:eastAsia="zh-CN"/>
        </w:rPr>
        <w:t>92</w:t>
      </w:r>
      <w:r>
        <w:rPr>
          <w:rFonts w:ascii="Times New Roman" w:hAnsi="Times New Roman"/>
          <w:highlight w:val="none"/>
        </w:rPr>
        <w:t>t/a。</w:t>
      </w:r>
    </w:p>
    <w:p w14:paraId="54AED815">
      <w:pPr>
        <w:rPr>
          <w:rFonts w:ascii="Times New Roman" w:hAnsi="Times New Roman"/>
          <w:highlight w:val="none"/>
        </w:rPr>
      </w:pPr>
      <w:r>
        <w:rPr>
          <w:rFonts w:ascii="Times New Roman" w:hAnsi="Times New Roman"/>
          <w:highlight w:val="none"/>
        </w:rPr>
        <w:t>本项目餐馀垃圾与废油脂合计约为</w:t>
      </w:r>
      <w:r>
        <w:rPr>
          <w:rFonts w:hint="eastAsia" w:ascii="Times New Roman" w:hAnsi="Times New Roman"/>
          <w:highlight w:val="none"/>
          <w:lang w:val="en-US" w:eastAsia="zh-CN"/>
        </w:rPr>
        <w:t>11.122</w:t>
      </w:r>
      <w:r>
        <w:rPr>
          <w:rFonts w:ascii="Times New Roman" w:hAnsi="Times New Roman"/>
          <w:highlight w:val="none"/>
        </w:rPr>
        <w:t>t/a，委托有资质单位处置</w:t>
      </w:r>
      <w:r>
        <w:rPr>
          <w:rFonts w:ascii="Times New Roman" w:hAnsi="Times New Roman"/>
          <w:highlight w:val="none"/>
        </w:rPr>
        <w:t>。</w:t>
      </w:r>
    </w:p>
    <w:p w14:paraId="6BD2B4F5">
      <w:pPr>
        <w:pStyle w:val="23"/>
        <w:rPr>
          <w:rFonts w:hint="eastAsia" w:ascii="Times New Roman" w:hAnsi="Times New Roman"/>
          <w:highlight w:val="none"/>
          <w:lang w:val="en-US" w:eastAsia="zh-CN"/>
        </w:rPr>
      </w:pPr>
      <w:r>
        <w:rPr>
          <w:rFonts w:hint="eastAsia" w:ascii="Times New Roman" w:hAnsi="Times New Roman"/>
          <w:highlight w:val="none"/>
          <w:lang w:val="en-US" w:eastAsia="zh-CN"/>
        </w:rPr>
        <w:t>7、废布袋</w:t>
      </w:r>
    </w:p>
    <w:p w14:paraId="56A49FA9">
      <w:pPr>
        <w:rPr>
          <w:rFonts w:hint="eastAsia"/>
          <w:color w:val="auto"/>
          <w:highlight w:val="none"/>
          <w:lang w:val="en-US" w:eastAsia="zh-CN"/>
        </w:rPr>
      </w:pPr>
      <w:r>
        <w:rPr>
          <w:rFonts w:hint="eastAsia"/>
          <w:color w:val="auto"/>
          <w:highlight w:val="none"/>
          <w:lang w:val="en-US" w:eastAsia="zh-CN"/>
        </w:rPr>
        <w:t>根据设备厂家提供的资料，布袋除尘器中除尘布袋的使用年限约为5年，即每5年需要更换一次布袋除尘器中布袋，以取得更好的除尘效果，废弃除尘布袋产生量约为1t/5a，由设备厂家进厂定期检修时，更换回收、处置。</w:t>
      </w:r>
    </w:p>
    <w:p w14:paraId="6557EFC9">
      <w:pPr>
        <w:pStyle w:val="23"/>
        <w:rPr>
          <w:rFonts w:hint="eastAsia"/>
          <w:color w:val="auto"/>
          <w:highlight w:val="none"/>
          <w:lang w:val="en-US" w:eastAsia="zh-CN"/>
        </w:rPr>
      </w:pPr>
      <w:r>
        <w:rPr>
          <w:rFonts w:hint="eastAsia"/>
          <w:color w:val="auto"/>
          <w:highlight w:val="none"/>
          <w:lang w:val="en-US" w:eastAsia="zh-CN"/>
        </w:rPr>
        <w:t>8、废机油</w:t>
      </w:r>
    </w:p>
    <w:p w14:paraId="4E060C98">
      <w:pPr>
        <w:rPr>
          <w:rFonts w:hint="default"/>
          <w:highlight w:val="none"/>
          <w:lang w:val="en-US" w:eastAsia="zh-CN"/>
        </w:rPr>
      </w:pPr>
      <w:r>
        <w:rPr>
          <w:rFonts w:hint="eastAsia"/>
          <w:color w:val="auto"/>
          <w:highlight w:val="none"/>
          <w:lang w:val="en-US" w:eastAsia="zh-CN"/>
        </w:rPr>
        <w:t>本项目产生的废机油0.2t/a，根据《国家危险废物名录（2021年版）》（部令第15号 2020.11.25）可知，属于危险废物（HW08废矿物油与含矿物油废物中900-217-08使用工业齿轮油进行机械设备润滑过程中产生的废润滑油），应委托有危废处理资质单位统一处理。</w:t>
      </w:r>
    </w:p>
    <w:p w14:paraId="261858F2">
      <w:pPr>
        <w:pStyle w:val="23"/>
        <w:rPr>
          <w:rFonts w:hint="default"/>
          <w:highlight w:val="none"/>
          <w:lang w:val="en-US" w:eastAsia="zh-CN"/>
        </w:rPr>
      </w:pPr>
      <w:r>
        <w:rPr>
          <w:rFonts w:ascii="Times New Roman" w:hAnsi="Times New Roman"/>
          <w:highlight w:val="none"/>
        </w:rPr>
        <w:t>本工程固体废物处理处置情况见表3.3-6。</w:t>
      </w:r>
    </w:p>
    <w:p w14:paraId="79522781">
      <w:pPr>
        <w:rPr>
          <w:rFonts w:hint="default"/>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0C8A641E">
      <w:pPr>
        <w:ind w:firstLine="0" w:firstLineChars="0"/>
        <w:jc w:val="center"/>
        <w:rPr>
          <w:rFonts w:ascii="Times New Roman" w:hAnsi="Times New Roman"/>
          <w:highlight w:val="none"/>
        </w:rPr>
      </w:pPr>
      <w:r>
        <w:rPr>
          <w:rFonts w:hint="eastAsia" w:ascii="黑体" w:hAnsi="黑体" w:eastAsia="黑体" w:cs="黑体"/>
          <w:highlight w:val="none"/>
        </w:rPr>
        <w:t>表</w:t>
      </w:r>
      <w:r>
        <w:rPr>
          <w:rFonts w:ascii="Times New Roman" w:hAnsi="Times New Roman"/>
          <w:highlight w:val="none"/>
        </w:rPr>
        <w:t>3.3-6</w:t>
      </w:r>
      <w:r>
        <w:rPr>
          <w:rFonts w:hint="eastAsia" w:ascii="黑体" w:hAnsi="黑体" w:eastAsia="黑体" w:cs="黑体"/>
          <w:highlight w:val="none"/>
        </w:rPr>
        <w:t>本工程固废排放情况汇总表</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5"/>
        <w:gridCol w:w="1308"/>
        <w:gridCol w:w="1125"/>
        <w:gridCol w:w="989"/>
        <w:gridCol w:w="1562"/>
        <w:gridCol w:w="848"/>
        <w:gridCol w:w="1276"/>
        <w:gridCol w:w="1480"/>
        <w:gridCol w:w="1208"/>
        <w:gridCol w:w="1701"/>
        <w:gridCol w:w="1602"/>
      </w:tblGrid>
      <w:tr w14:paraId="625907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Merge w:val="restart"/>
            <w:noWrap w:val="0"/>
            <w:vAlign w:val="center"/>
          </w:tcPr>
          <w:p w14:paraId="4AD1876C">
            <w:pPr>
              <w:pStyle w:val="42"/>
              <w:spacing w:before="81" w:after="81"/>
              <w:textAlignment w:val="center"/>
              <w:rPr>
                <w:rFonts w:ascii="Times New Roman" w:hAnsi="Times New Roman"/>
                <w:szCs w:val="21"/>
                <w:highlight w:val="none"/>
              </w:rPr>
            </w:pPr>
            <w:r>
              <w:rPr>
                <w:rFonts w:ascii="Times New Roman" w:hAnsi="Times New Roman"/>
                <w:szCs w:val="21"/>
                <w:highlight w:val="none"/>
              </w:rPr>
              <w:t>工序/生产线</w:t>
            </w:r>
          </w:p>
        </w:tc>
        <w:tc>
          <w:tcPr>
            <w:tcW w:w="461" w:type="pct"/>
            <w:vMerge w:val="restart"/>
            <w:noWrap w:val="0"/>
            <w:vAlign w:val="center"/>
          </w:tcPr>
          <w:p w14:paraId="3C85E4B4">
            <w:pPr>
              <w:pStyle w:val="42"/>
              <w:spacing w:before="81" w:after="81"/>
              <w:textAlignment w:val="center"/>
              <w:rPr>
                <w:rFonts w:ascii="Times New Roman" w:hAnsi="Times New Roman"/>
                <w:szCs w:val="21"/>
                <w:highlight w:val="none"/>
              </w:rPr>
            </w:pPr>
            <w:r>
              <w:rPr>
                <w:rFonts w:ascii="Times New Roman" w:hAnsi="Times New Roman"/>
                <w:szCs w:val="21"/>
                <w:highlight w:val="none"/>
              </w:rPr>
              <w:t>装置</w:t>
            </w:r>
          </w:p>
        </w:tc>
        <w:tc>
          <w:tcPr>
            <w:tcW w:w="396" w:type="pct"/>
            <w:vMerge w:val="restart"/>
            <w:noWrap w:val="0"/>
            <w:vAlign w:val="center"/>
          </w:tcPr>
          <w:p w14:paraId="41E1C5C7">
            <w:pPr>
              <w:pStyle w:val="42"/>
              <w:spacing w:before="81" w:after="81"/>
              <w:textAlignment w:val="center"/>
              <w:rPr>
                <w:rFonts w:ascii="Times New Roman" w:hAnsi="Times New Roman"/>
                <w:szCs w:val="21"/>
                <w:highlight w:val="none"/>
              </w:rPr>
            </w:pPr>
            <w:r>
              <w:rPr>
                <w:rFonts w:ascii="Times New Roman" w:hAnsi="Times New Roman"/>
                <w:szCs w:val="21"/>
                <w:highlight w:val="none"/>
              </w:rPr>
              <w:t>固体废物名称</w:t>
            </w:r>
          </w:p>
        </w:tc>
        <w:tc>
          <w:tcPr>
            <w:tcW w:w="899" w:type="pct"/>
            <w:gridSpan w:val="2"/>
            <w:noWrap w:val="0"/>
            <w:vAlign w:val="center"/>
          </w:tcPr>
          <w:p w14:paraId="30158990">
            <w:pPr>
              <w:pStyle w:val="42"/>
              <w:spacing w:before="81" w:after="81"/>
              <w:textAlignment w:val="center"/>
              <w:rPr>
                <w:rFonts w:ascii="Times New Roman" w:hAnsi="Times New Roman"/>
                <w:szCs w:val="21"/>
                <w:highlight w:val="none"/>
              </w:rPr>
            </w:pPr>
            <w:r>
              <w:rPr>
                <w:rFonts w:ascii="Times New Roman" w:hAnsi="Times New Roman"/>
                <w:szCs w:val="21"/>
                <w:highlight w:val="none"/>
              </w:rPr>
              <w:t>《</w:t>
            </w:r>
            <w:r>
              <w:rPr>
                <w:rFonts w:hint="eastAsia" w:ascii="Times New Roman" w:hAnsi="Times New Roman"/>
                <w:szCs w:val="21"/>
                <w:highlight w:val="none"/>
                <w:lang w:val="en-US" w:eastAsia="zh-CN"/>
              </w:rPr>
              <w:t>固体废物分类与代码目录</w:t>
            </w:r>
            <w:r>
              <w:rPr>
                <w:rFonts w:ascii="Times New Roman" w:hAnsi="Times New Roman"/>
                <w:szCs w:val="21"/>
                <w:highlight w:val="none"/>
              </w:rPr>
              <w:t>》(公告2024年第4号)/危险废物代码</w:t>
            </w:r>
          </w:p>
        </w:tc>
        <w:tc>
          <w:tcPr>
            <w:tcW w:w="299" w:type="pct"/>
            <w:vMerge w:val="restart"/>
            <w:noWrap w:val="0"/>
            <w:vAlign w:val="center"/>
          </w:tcPr>
          <w:p w14:paraId="013B8978">
            <w:pPr>
              <w:pStyle w:val="42"/>
              <w:spacing w:before="81" w:after="81"/>
              <w:textAlignment w:val="center"/>
              <w:rPr>
                <w:rFonts w:ascii="Times New Roman" w:hAnsi="Times New Roman"/>
                <w:szCs w:val="21"/>
                <w:highlight w:val="none"/>
              </w:rPr>
            </w:pPr>
            <w:r>
              <w:rPr>
                <w:rFonts w:ascii="Times New Roman" w:hAnsi="Times New Roman"/>
                <w:szCs w:val="21"/>
                <w:highlight w:val="none"/>
              </w:rPr>
              <w:t>固废属性</w:t>
            </w:r>
          </w:p>
        </w:tc>
        <w:tc>
          <w:tcPr>
            <w:tcW w:w="972" w:type="pct"/>
            <w:gridSpan w:val="2"/>
            <w:noWrap w:val="0"/>
            <w:vAlign w:val="center"/>
          </w:tcPr>
          <w:p w14:paraId="445C1317">
            <w:pPr>
              <w:pStyle w:val="42"/>
              <w:spacing w:before="81" w:after="81"/>
              <w:textAlignment w:val="center"/>
              <w:rPr>
                <w:rFonts w:ascii="Times New Roman" w:hAnsi="Times New Roman"/>
                <w:szCs w:val="21"/>
                <w:highlight w:val="none"/>
              </w:rPr>
            </w:pPr>
            <w:r>
              <w:rPr>
                <w:rFonts w:ascii="Times New Roman" w:hAnsi="Times New Roman"/>
                <w:szCs w:val="21"/>
                <w:highlight w:val="none"/>
              </w:rPr>
              <w:t>产生量</w:t>
            </w:r>
          </w:p>
        </w:tc>
        <w:tc>
          <w:tcPr>
            <w:tcW w:w="1026" w:type="pct"/>
            <w:gridSpan w:val="2"/>
            <w:noWrap w:val="0"/>
            <w:vAlign w:val="center"/>
          </w:tcPr>
          <w:p w14:paraId="08DC2B29">
            <w:pPr>
              <w:pStyle w:val="42"/>
              <w:spacing w:before="81" w:after="81"/>
              <w:textAlignment w:val="center"/>
              <w:rPr>
                <w:rFonts w:ascii="Times New Roman" w:hAnsi="Times New Roman"/>
                <w:szCs w:val="21"/>
                <w:highlight w:val="none"/>
              </w:rPr>
            </w:pPr>
            <w:r>
              <w:rPr>
                <w:rFonts w:ascii="Times New Roman" w:hAnsi="Times New Roman"/>
                <w:szCs w:val="21"/>
                <w:highlight w:val="none"/>
              </w:rPr>
              <w:t>处置措施</w:t>
            </w:r>
          </w:p>
        </w:tc>
        <w:tc>
          <w:tcPr>
            <w:tcW w:w="565" w:type="pct"/>
            <w:vMerge w:val="restart"/>
            <w:noWrap w:val="0"/>
            <w:vAlign w:val="center"/>
          </w:tcPr>
          <w:p w14:paraId="0C500A7C">
            <w:pPr>
              <w:pStyle w:val="42"/>
              <w:spacing w:before="81" w:after="81"/>
              <w:textAlignment w:val="center"/>
              <w:rPr>
                <w:rFonts w:ascii="Times New Roman" w:hAnsi="Times New Roman"/>
                <w:szCs w:val="21"/>
                <w:highlight w:val="none"/>
              </w:rPr>
            </w:pPr>
            <w:r>
              <w:rPr>
                <w:rFonts w:ascii="Times New Roman" w:hAnsi="Times New Roman"/>
                <w:szCs w:val="21"/>
                <w:highlight w:val="none"/>
              </w:rPr>
              <w:t>处置去向</w:t>
            </w:r>
          </w:p>
        </w:tc>
      </w:tr>
      <w:tr w14:paraId="49E01B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379" w:type="pct"/>
            <w:vMerge w:val="continue"/>
            <w:noWrap w:val="0"/>
            <w:vAlign w:val="center"/>
          </w:tcPr>
          <w:p w14:paraId="1008206E">
            <w:pPr>
              <w:pStyle w:val="42"/>
              <w:spacing w:before="81" w:after="81"/>
              <w:textAlignment w:val="center"/>
              <w:rPr>
                <w:rFonts w:ascii="Times New Roman" w:hAnsi="Times New Roman"/>
                <w:szCs w:val="21"/>
                <w:highlight w:val="none"/>
              </w:rPr>
            </w:pPr>
          </w:p>
        </w:tc>
        <w:tc>
          <w:tcPr>
            <w:tcW w:w="461" w:type="pct"/>
            <w:vMerge w:val="continue"/>
            <w:noWrap w:val="0"/>
            <w:vAlign w:val="center"/>
          </w:tcPr>
          <w:p w14:paraId="3B29E051">
            <w:pPr>
              <w:pStyle w:val="42"/>
              <w:spacing w:before="81" w:after="81"/>
              <w:textAlignment w:val="center"/>
              <w:rPr>
                <w:rFonts w:ascii="Times New Roman" w:hAnsi="Times New Roman"/>
                <w:szCs w:val="21"/>
                <w:highlight w:val="none"/>
              </w:rPr>
            </w:pPr>
          </w:p>
        </w:tc>
        <w:tc>
          <w:tcPr>
            <w:tcW w:w="396" w:type="pct"/>
            <w:vMerge w:val="continue"/>
            <w:noWrap w:val="0"/>
            <w:vAlign w:val="center"/>
          </w:tcPr>
          <w:p w14:paraId="1CD1DBE5">
            <w:pPr>
              <w:pStyle w:val="42"/>
              <w:spacing w:before="81" w:after="81"/>
              <w:textAlignment w:val="center"/>
              <w:rPr>
                <w:rFonts w:ascii="Times New Roman" w:hAnsi="Times New Roman"/>
                <w:szCs w:val="21"/>
                <w:highlight w:val="none"/>
              </w:rPr>
            </w:pPr>
          </w:p>
        </w:tc>
        <w:tc>
          <w:tcPr>
            <w:tcW w:w="348" w:type="pct"/>
            <w:noWrap w:val="0"/>
            <w:vAlign w:val="center"/>
          </w:tcPr>
          <w:p w14:paraId="2173366E">
            <w:pPr>
              <w:pStyle w:val="42"/>
              <w:spacing w:before="81" w:after="81"/>
              <w:textAlignment w:val="center"/>
              <w:rPr>
                <w:rFonts w:ascii="Times New Roman" w:hAnsi="Times New Roman"/>
                <w:szCs w:val="21"/>
                <w:highlight w:val="none"/>
              </w:rPr>
            </w:pPr>
            <w:r>
              <w:rPr>
                <w:rFonts w:ascii="Times New Roman" w:hAnsi="Times New Roman"/>
                <w:szCs w:val="21"/>
                <w:highlight w:val="none"/>
              </w:rPr>
              <w:t>类别代码</w:t>
            </w:r>
          </w:p>
        </w:tc>
        <w:tc>
          <w:tcPr>
            <w:tcW w:w="551" w:type="pct"/>
            <w:noWrap w:val="0"/>
            <w:vAlign w:val="center"/>
          </w:tcPr>
          <w:p w14:paraId="4DD25816">
            <w:pPr>
              <w:pStyle w:val="42"/>
              <w:spacing w:before="81" w:after="81"/>
              <w:textAlignment w:val="center"/>
              <w:rPr>
                <w:rFonts w:ascii="Times New Roman" w:hAnsi="Times New Roman"/>
                <w:szCs w:val="21"/>
                <w:highlight w:val="none"/>
              </w:rPr>
            </w:pPr>
            <w:r>
              <w:rPr>
                <w:rFonts w:ascii="Times New Roman" w:hAnsi="Times New Roman"/>
                <w:szCs w:val="21"/>
                <w:highlight w:val="none"/>
              </w:rPr>
              <w:t>代码</w:t>
            </w:r>
          </w:p>
        </w:tc>
        <w:tc>
          <w:tcPr>
            <w:tcW w:w="299" w:type="pct"/>
            <w:vMerge w:val="continue"/>
            <w:noWrap w:val="0"/>
            <w:vAlign w:val="center"/>
          </w:tcPr>
          <w:p w14:paraId="7EEB8A0C">
            <w:pPr>
              <w:pStyle w:val="42"/>
              <w:spacing w:before="81" w:after="81"/>
              <w:textAlignment w:val="center"/>
              <w:rPr>
                <w:rFonts w:ascii="Times New Roman" w:hAnsi="Times New Roman"/>
                <w:szCs w:val="21"/>
                <w:highlight w:val="none"/>
              </w:rPr>
            </w:pPr>
          </w:p>
        </w:tc>
        <w:tc>
          <w:tcPr>
            <w:tcW w:w="450" w:type="pct"/>
            <w:noWrap w:val="0"/>
            <w:vAlign w:val="center"/>
          </w:tcPr>
          <w:p w14:paraId="628A5B1E">
            <w:pPr>
              <w:pStyle w:val="42"/>
              <w:spacing w:before="81" w:after="81"/>
              <w:textAlignment w:val="center"/>
              <w:rPr>
                <w:rFonts w:ascii="Times New Roman" w:hAnsi="Times New Roman"/>
                <w:szCs w:val="21"/>
                <w:highlight w:val="none"/>
              </w:rPr>
            </w:pPr>
            <w:r>
              <w:rPr>
                <w:rFonts w:ascii="Times New Roman" w:hAnsi="Times New Roman"/>
                <w:szCs w:val="21"/>
                <w:highlight w:val="none"/>
              </w:rPr>
              <w:t>核算方法</w:t>
            </w:r>
          </w:p>
        </w:tc>
        <w:tc>
          <w:tcPr>
            <w:tcW w:w="522" w:type="pct"/>
            <w:noWrap w:val="0"/>
            <w:vAlign w:val="center"/>
          </w:tcPr>
          <w:p w14:paraId="1DE3E090">
            <w:pPr>
              <w:pStyle w:val="42"/>
              <w:spacing w:before="81" w:after="81"/>
              <w:textAlignment w:val="center"/>
              <w:rPr>
                <w:rFonts w:ascii="Times New Roman" w:hAnsi="Times New Roman"/>
                <w:szCs w:val="21"/>
                <w:highlight w:val="none"/>
              </w:rPr>
            </w:pPr>
            <w:r>
              <w:rPr>
                <w:rFonts w:ascii="Times New Roman" w:hAnsi="Times New Roman"/>
                <w:szCs w:val="21"/>
                <w:highlight w:val="none"/>
              </w:rPr>
              <w:t>产生量t/a</w:t>
            </w:r>
          </w:p>
        </w:tc>
        <w:tc>
          <w:tcPr>
            <w:tcW w:w="426" w:type="pct"/>
            <w:noWrap w:val="0"/>
            <w:vAlign w:val="center"/>
          </w:tcPr>
          <w:p w14:paraId="0CD864D3">
            <w:pPr>
              <w:pStyle w:val="42"/>
              <w:spacing w:before="81" w:after="81"/>
              <w:textAlignment w:val="center"/>
              <w:rPr>
                <w:rFonts w:ascii="Times New Roman" w:hAnsi="Times New Roman"/>
                <w:szCs w:val="21"/>
                <w:highlight w:val="none"/>
              </w:rPr>
            </w:pPr>
            <w:r>
              <w:rPr>
                <w:rFonts w:ascii="Times New Roman" w:hAnsi="Times New Roman"/>
                <w:szCs w:val="21"/>
                <w:highlight w:val="none"/>
              </w:rPr>
              <w:t>工艺</w:t>
            </w:r>
          </w:p>
        </w:tc>
        <w:tc>
          <w:tcPr>
            <w:tcW w:w="600" w:type="pct"/>
            <w:noWrap w:val="0"/>
            <w:vAlign w:val="center"/>
          </w:tcPr>
          <w:p w14:paraId="4E45E108">
            <w:pPr>
              <w:pStyle w:val="42"/>
              <w:spacing w:before="81" w:after="81"/>
              <w:textAlignment w:val="center"/>
              <w:rPr>
                <w:rFonts w:ascii="Times New Roman" w:hAnsi="Times New Roman"/>
                <w:szCs w:val="21"/>
                <w:highlight w:val="none"/>
              </w:rPr>
            </w:pPr>
            <w:r>
              <w:rPr>
                <w:rFonts w:ascii="Times New Roman" w:hAnsi="Times New Roman"/>
                <w:szCs w:val="21"/>
                <w:highlight w:val="none"/>
              </w:rPr>
              <w:t>处置量t/a</w:t>
            </w:r>
          </w:p>
        </w:tc>
        <w:tc>
          <w:tcPr>
            <w:tcW w:w="565" w:type="pct"/>
            <w:vMerge w:val="continue"/>
            <w:noWrap w:val="0"/>
            <w:vAlign w:val="center"/>
          </w:tcPr>
          <w:p w14:paraId="3F2E4C53">
            <w:pPr>
              <w:pStyle w:val="42"/>
              <w:spacing w:before="81" w:after="81"/>
              <w:textAlignment w:val="center"/>
              <w:rPr>
                <w:rFonts w:ascii="Times New Roman" w:hAnsi="Times New Roman"/>
                <w:szCs w:val="21"/>
                <w:highlight w:val="none"/>
              </w:rPr>
            </w:pPr>
          </w:p>
        </w:tc>
      </w:tr>
      <w:tr w14:paraId="6B0F0B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Merge w:val="restart"/>
            <w:noWrap w:val="0"/>
            <w:vAlign w:val="center"/>
          </w:tcPr>
          <w:p w14:paraId="71B5141A">
            <w:pPr>
              <w:pStyle w:val="42"/>
              <w:spacing w:before="81" w:after="81"/>
              <w:textAlignment w:val="center"/>
              <w:rPr>
                <w:rFonts w:ascii="Times New Roman" w:hAnsi="Times New Roman"/>
                <w:szCs w:val="21"/>
                <w:highlight w:val="none"/>
              </w:rPr>
            </w:pPr>
            <w:r>
              <w:rPr>
                <w:rFonts w:ascii="Times New Roman" w:hAnsi="Times New Roman"/>
                <w:szCs w:val="21"/>
                <w:highlight w:val="none"/>
              </w:rPr>
              <w:t>本工程</w:t>
            </w:r>
          </w:p>
        </w:tc>
        <w:tc>
          <w:tcPr>
            <w:tcW w:w="461" w:type="pct"/>
            <w:noWrap w:val="0"/>
            <w:vAlign w:val="center"/>
          </w:tcPr>
          <w:p w14:paraId="693D122B">
            <w:pPr>
              <w:pStyle w:val="42"/>
              <w:spacing w:before="81" w:after="81"/>
              <w:textAlignment w:val="center"/>
              <w:rPr>
                <w:rFonts w:ascii="Times New Roman" w:hAnsi="Times New Roman"/>
                <w:szCs w:val="21"/>
                <w:highlight w:val="none"/>
              </w:rPr>
            </w:pPr>
            <w:r>
              <w:rPr>
                <w:rFonts w:ascii="Times New Roman" w:hAnsi="Times New Roman"/>
                <w:szCs w:val="21"/>
                <w:highlight w:val="none"/>
              </w:rPr>
              <w:t>锅炉</w:t>
            </w:r>
          </w:p>
        </w:tc>
        <w:tc>
          <w:tcPr>
            <w:tcW w:w="396" w:type="pct"/>
            <w:noWrap w:val="0"/>
            <w:vAlign w:val="center"/>
          </w:tcPr>
          <w:p w14:paraId="0710A082">
            <w:pPr>
              <w:pStyle w:val="42"/>
              <w:spacing w:before="81" w:after="81"/>
              <w:textAlignment w:val="center"/>
              <w:rPr>
                <w:rFonts w:ascii="Times New Roman" w:hAnsi="Times New Roman"/>
                <w:szCs w:val="21"/>
                <w:highlight w:val="none"/>
              </w:rPr>
            </w:pPr>
            <w:r>
              <w:rPr>
                <w:rFonts w:ascii="Times New Roman" w:hAnsi="Times New Roman"/>
                <w:szCs w:val="21"/>
                <w:highlight w:val="none"/>
              </w:rPr>
              <w:t>炉渣</w:t>
            </w:r>
          </w:p>
        </w:tc>
        <w:tc>
          <w:tcPr>
            <w:tcW w:w="348" w:type="pct"/>
            <w:noWrap w:val="0"/>
            <w:vAlign w:val="center"/>
          </w:tcPr>
          <w:p w14:paraId="1D65469E">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SW03</w:t>
            </w:r>
          </w:p>
        </w:tc>
        <w:tc>
          <w:tcPr>
            <w:tcW w:w="551" w:type="pct"/>
            <w:noWrap w:val="0"/>
            <w:vAlign w:val="center"/>
          </w:tcPr>
          <w:p w14:paraId="7AAB8298">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900</w:t>
            </w:r>
            <w:r>
              <w:rPr>
                <w:rFonts w:ascii="Times New Roman" w:hAnsi="Times New Roman"/>
                <w:szCs w:val="21"/>
                <w:highlight w:val="none"/>
              </w:rPr>
              <w:t>-001-</w:t>
            </w:r>
            <w:r>
              <w:rPr>
                <w:rFonts w:hint="eastAsia" w:ascii="Times New Roman" w:hAnsi="Times New Roman"/>
                <w:szCs w:val="21"/>
                <w:highlight w:val="none"/>
                <w:lang w:val="en-US" w:eastAsia="zh-CN"/>
              </w:rPr>
              <w:t>S03</w:t>
            </w:r>
          </w:p>
        </w:tc>
        <w:tc>
          <w:tcPr>
            <w:tcW w:w="299" w:type="pct"/>
            <w:vMerge w:val="restart"/>
            <w:noWrap w:val="0"/>
            <w:vAlign w:val="center"/>
          </w:tcPr>
          <w:p w14:paraId="4062B709">
            <w:pPr>
              <w:pStyle w:val="42"/>
              <w:spacing w:before="81" w:after="81"/>
              <w:textAlignment w:val="center"/>
              <w:rPr>
                <w:rFonts w:ascii="Times New Roman" w:hAnsi="Times New Roman"/>
                <w:szCs w:val="21"/>
                <w:highlight w:val="none"/>
              </w:rPr>
            </w:pPr>
            <w:r>
              <w:rPr>
                <w:rFonts w:ascii="Times New Roman" w:hAnsi="Times New Roman"/>
                <w:szCs w:val="21"/>
                <w:highlight w:val="none"/>
              </w:rPr>
              <w:t>一般固体废物</w:t>
            </w:r>
          </w:p>
        </w:tc>
        <w:tc>
          <w:tcPr>
            <w:tcW w:w="450" w:type="pct"/>
            <w:vMerge w:val="restart"/>
            <w:noWrap w:val="0"/>
            <w:vAlign w:val="center"/>
          </w:tcPr>
          <w:p w14:paraId="3F8A5C37">
            <w:pPr>
              <w:pStyle w:val="42"/>
              <w:spacing w:before="81" w:after="81"/>
              <w:textAlignment w:val="center"/>
              <w:rPr>
                <w:rFonts w:ascii="Times New Roman" w:hAnsi="Times New Roman"/>
                <w:szCs w:val="21"/>
                <w:highlight w:val="none"/>
              </w:rPr>
            </w:pPr>
            <w:r>
              <w:rPr>
                <w:rFonts w:ascii="Times New Roman" w:hAnsi="Times New Roman"/>
                <w:szCs w:val="21"/>
                <w:highlight w:val="none"/>
              </w:rPr>
              <w:t>物料衡算法</w:t>
            </w:r>
          </w:p>
        </w:tc>
        <w:tc>
          <w:tcPr>
            <w:tcW w:w="522" w:type="pct"/>
            <w:noWrap w:val="0"/>
            <w:vAlign w:val="center"/>
          </w:tcPr>
          <w:p w14:paraId="06643C8F">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25919.71</w:t>
            </w:r>
          </w:p>
        </w:tc>
        <w:tc>
          <w:tcPr>
            <w:tcW w:w="426" w:type="pct"/>
            <w:vMerge w:val="restart"/>
            <w:noWrap w:val="0"/>
            <w:vAlign w:val="center"/>
          </w:tcPr>
          <w:p w14:paraId="263B7727">
            <w:pPr>
              <w:pStyle w:val="42"/>
              <w:spacing w:before="81" w:after="81"/>
              <w:textAlignment w:val="center"/>
              <w:rPr>
                <w:rFonts w:ascii="Times New Roman" w:hAnsi="Times New Roman"/>
                <w:szCs w:val="21"/>
                <w:highlight w:val="none"/>
              </w:rPr>
            </w:pPr>
            <w:r>
              <w:rPr>
                <w:rFonts w:ascii="Times New Roman" w:hAnsi="Times New Roman"/>
                <w:szCs w:val="21"/>
                <w:highlight w:val="none"/>
              </w:rPr>
              <w:t>日产日清</w:t>
            </w:r>
          </w:p>
        </w:tc>
        <w:tc>
          <w:tcPr>
            <w:tcW w:w="600" w:type="pct"/>
            <w:noWrap w:val="0"/>
            <w:vAlign w:val="center"/>
          </w:tcPr>
          <w:p w14:paraId="31BF8536">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25919.71</w:t>
            </w:r>
          </w:p>
        </w:tc>
        <w:tc>
          <w:tcPr>
            <w:tcW w:w="565" w:type="pct"/>
            <w:vMerge w:val="restart"/>
            <w:noWrap w:val="0"/>
            <w:vAlign w:val="center"/>
          </w:tcPr>
          <w:p w14:paraId="23BEF786">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采矿区回填</w:t>
            </w:r>
          </w:p>
        </w:tc>
      </w:tr>
      <w:tr w14:paraId="57F164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Merge w:val="continue"/>
            <w:noWrap w:val="0"/>
            <w:vAlign w:val="center"/>
          </w:tcPr>
          <w:p w14:paraId="01DFE69B">
            <w:pPr>
              <w:pStyle w:val="42"/>
              <w:spacing w:before="81" w:after="81"/>
              <w:textAlignment w:val="center"/>
              <w:rPr>
                <w:rFonts w:ascii="Times New Roman" w:hAnsi="Times New Roman"/>
                <w:szCs w:val="21"/>
                <w:highlight w:val="none"/>
              </w:rPr>
            </w:pPr>
          </w:p>
        </w:tc>
        <w:tc>
          <w:tcPr>
            <w:tcW w:w="461" w:type="pct"/>
            <w:noWrap w:val="0"/>
            <w:vAlign w:val="center"/>
          </w:tcPr>
          <w:p w14:paraId="7AC08CB4">
            <w:pPr>
              <w:pStyle w:val="42"/>
              <w:spacing w:before="81" w:after="81"/>
              <w:textAlignment w:val="center"/>
              <w:rPr>
                <w:rFonts w:ascii="Times New Roman" w:hAnsi="Times New Roman"/>
                <w:szCs w:val="21"/>
                <w:highlight w:val="none"/>
              </w:rPr>
            </w:pPr>
            <w:r>
              <w:rPr>
                <w:rFonts w:ascii="Times New Roman" w:hAnsi="Times New Roman"/>
                <w:szCs w:val="21"/>
                <w:highlight w:val="none"/>
              </w:rPr>
              <w:t>锅炉</w:t>
            </w:r>
          </w:p>
        </w:tc>
        <w:tc>
          <w:tcPr>
            <w:tcW w:w="396" w:type="pct"/>
            <w:noWrap w:val="0"/>
            <w:vAlign w:val="center"/>
          </w:tcPr>
          <w:p w14:paraId="1D4BA941">
            <w:pPr>
              <w:pStyle w:val="42"/>
              <w:spacing w:before="81" w:after="81"/>
              <w:textAlignment w:val="center"/>
              <w:rPr>
                <w:rFonts w:ascii="Times New Roman" w:hAnsi="Times New Roman"/>
                <w:szCs w:val="21"/>
                <w:highlight w:val="none"/>
              </w:rPr>
            </w:pPr>
            <w:r>
              <w:rPr>
                <w:rFonts w:ascii="Times New Roman" w:hAnsi="Times New Roman"/>
                <w:szCs w:val="21"/>
                <w:highlight w:val="none"/>
              </w:rPr>
              <w:t>炉灰</w:t>
            </w:r>
          </w:p>
        </w:tc>
        <w:tc>
          <w:tcPr>
            <w:tcW w:w="348" w:type="pct"/>
            <w:noWrap w:val="0"/>
            <w:vAlign w:val="center"/>
          </w:tcPr>
          <w:p w14:paraId="5A87C0CC">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SW02</w:t>
            </w:r>
          </w:p>
        </w:tc>
        <w:tc>
          <w:tcPr>
            <w:tcW w:w="551" w:type="pct"/>
            <w:noWrap w:val="0"/>
            <w:vAlign w:val="center"/>
          </w:tcPr>
          <w:p w14:paraId="14D644D7">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900</w:t>
            </w:r>
            <w:r>
              <w:rPr>
                <w:rFonts w:ascii="Times New Roman" w:hAnsi="Times New Roman"/>
                <w:szCs w:val="21"/>
                <w:highlight w:val="none"/>
              </w:rPr>
              <w:t>-001-</w:t>
            </w:r>
            <w:r>
              <w:rPr>
                <w:rFonts w:hint="eastAsia" w:ascii="Times New Roman" w:hAnsi="Times New Roman"/>
                <w:szCs w:val="21"/>
                <w:highlight w:val="none"/>
                <w:lang w:val="en-US" w:eastAsia="zh-CN"/>
              </w:rPr>
              <w:t>S02</w:t>
            </w:r>
          </w:p>
        </w:tc>
        <w:tc>
          <w:tcPr>
            <w:tcW w:w="299" w:type="pct"/>
            <w:vMerge w:val="continue"/>
            <w:noWrap w:val="0"/>
            <w:vAlign w:val="center"/>
          </w:tcPr>
          <w:p w14:paraId="122648B5">
            <w:pPr>
              <w:pStyle w:val="42"/>
              <w:spacing w:before="81" w:after="81"/>
              <w:textAlignment w:val="center"/>
              <w:rPr>
                <w:rFonts w:ascii="Times New Roman" w:hAnsi="Times New Roman"/>
                <w:szCs w:val="21"/>
                <w:highlight w:val="none"/>
              </w:rPr>
            </w:pPr>
          </w:p>
        </w:tc>
        <w:tc>
          <w:tcPr>
            <w:tcW w:w="450" w:type="pct"/>
            <w:vMerge w:val="continue"/>
            <w:noWrap w:val="0"/>
            <w:vAlign w:val="center"/>
          </w:tcPr>
          <w:p w14:paraId="02BB3C99">
            <w:pPr>
              <w:pStyle w:val="42"/>
              <w:spacing w:before="81" w:after="81"/>
              <w:textAlignment w:val="center"/>
              <w:rPr>
                <w:rFonts w:ascii="Times New Roman" w:hAnsi="Times New Roman"/>
                <w:szCs w:val="21"/>
                <w:highlight w:val="none"/>
              </w:rPr>
            </w:pPr>
          </w:p>
        </w:tc>
        <w:tc>
          <w:tcPr>
            <w:tcW w:w="522" w:type="pct"/>
            <w:noWrap w:val="0"/>
            <w:vAlign w:val="center"/>
          </w:tcPr>
          <w:p w14:paraId="6F3C4542">
            <w:pPr>
              <w:pStyle w:val="42"/>
              <w:spacing w:before="81" w:after="81"/>
              <w:textAlignment w:val="center"/>
              <w:rPr>
                <w:rFonts w:hint="default" w:ascii="Times New Roman" w:hAnsi="Times New Roman" w:eastAsia="新宋体"/>
                <w:highlight w:val="none"/>
                <w:lang w:val="en-US" w:eastAsia="zh-CN"/>
              </w:rPr>
            </w:pPr>
            <w:r>
              <w:rPr>
                <w:rFonts w:hint="eastAsia" w:ascii="Times New Roman" w:hAnsi="Times New Roman"/>
                <w:szCs w:val="21"/>
                <w:highlight w:val="none"/>
                <w:lang w:val="en-US" w:eastAsia="zh-CN"/>
              </w:rPr>
              <w:t>6050.89</w:t>
            </w:r>
          </w:p>
        </w:tc>
        <w:tc>
          <w:tcPr>
            <w:tcW w:w="426" w:type="pct"/>
            <w:vMerge w:val="continue"/>
            <w:noWrap w:val="0"/>
            <w:vAlign w:val="center"/>
          </w:tcPr>
          <w:p w14:paraId="50E3B331">
            <w:pPr>
              <w:pStyle w:val="42"/>
              <w:spacing w:before="81" w:after="81"/>
              <w:textAlignment w:val="center"/>
              <w:rPr>
                <w:rFonts w:ascii="Times New Roman" w:hAnsi="Times New Roman"/>
                <w:szCs w:val="21"/>
                <w:highlight w:val="none"/>
              </w:rPr>
            </w:pPr>
          </w:p>
        </w:tc>
        <w:tc>
          <w:tcPr>
            <w:tcW w:w="600" w:type="pct"/>
            <w:noWrap w:val="0"/>
            <w:vAlign w:val="center"/>
          </w:tcPr>
          <w:p w14:paraId="5D65B7C5">
            <w:pPr>
              <w:pStyle w:val="42"/>
              <w:spacing w:before="81" w:after="81"/>
              <w:textAlignment w:val="center"/>
              <w:rPr>
                <w:rFonts w:hint="default" w:ascii="Times New Roman" w:hAnsi="Times New Roman" w:eastAsia="新宋体"/>
                <w:highlight w:val="none"/>
                <w:lang w:val="en-US" w:eastAsia="zh-CN"/>
              </w:rPr>
            </w:pPr>
            <w:r>
              <w:rPr>
                <w:rFonts w:hint="eastAsia" w:ascii="Times New Roman" w:hAnsi="Times New Roman"/>
                <w:szCs w:val="21"/>
                <w:highlight w:val="none"/>
                <w:lang w:val="en-US" w:eastAsia="zh-CN"/>
              </w:rPr>
              <w:t>6050.89</w:t>
            </w:r>
          </w:p>
        </w:tc>
        <w:tc>
          <w:tcPr>
            <w:tcW w:w="565" w:type="pct"/>
            <w:vMerge w:val="continue"/>
            <w:noWrap w:val="0"/>
            <w:vAlign w:val="center"/>
          </w:tcPr>
          <w:p w14:paraId="1ACDDFFE">
            <w:pPr>
              <w:pStyle w:val="42"/>
              <w:spacing w:before="81" w:after="81"/>
              <w:textAlignment w:val="center"/>
              <w:rPr>
                <w:rFonts w:ascii="Times New Roman" w:hAnsi="Times New Roman"/>
                <w:szCs w:val="21"/>
                <w:highlight w:val="none"/>
              </w:rPr>
            </w:pPr>
          </w:p>
        </w:tc>
      </w:tr>
      <w:tr w14:paraId="58F68C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379" w:type="pct"/>
            <w:vMerge w:val="continue"/>
            <w:noWrap w:val="0"/>
            <w:vAlign w:val="center"/>
          </w:tcPr>
          <w:p w14:paraId="69901F64">
            <w:pPr>
              <w:pStyle w:val="42"/>
              <w:spacing w:before="81" w:after="81"/>
              <w:textAlignment w:val="center"/>
              <w:rPr>
                <w:rFonts w:ascii="Times New Roman" w:hAnsi="Times New Roman"/>
                <w:szCs w:val="21"/>
                <w:highlight w:val="none"/>
              </w:rPr>
            </w:pPr>
          </w:p>
        </w:tc>
        <w:tc>
          <w:tcPr>
            <w:tcW w:w="461" w:type="pct"/>
            <w:noWrap w:val="0"/>
            <w:vAlign w:val="center"/>
          </w:tcPr>
          <w:p w14:paraId="4837FE8F">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废气处理</w:t>
            </w:r>
          </w:p>
        </w:tc>
        <w:tc>
          <w:tcPr>
            <w:tcW w:w="396" w:type="pct"/>
            <w:noWrap w:val="0"/>
            <w:vAlign w:val="center"/>
          </w:tcPr>
          <w:p w14:paraId="7D1007A9">
            <w:pPr>
              <w:pStyle w:val="42"/>
              <w:spacing w:before="81" w:after="81"/>
              <w:textAlignment w:val="center"/>
              <w:rPr>
                <w:rFonts w:hint="eastAsia" w:ascii="Times New Roman" w:hAnsi="Times New Roman" w:eastAsia="新宋体"/>
                <w:szCs w:val="21"/>
                <w:highlight w:val="none"/>
                <w:lang w:val="en-US" w:eastAsia="zh-CN"/>
              </w:rPr>
            </w:pPr>
            <w:r>
              <w:rPr>
                <w:rFonts w:hint="eastAsia" w:ascii="Times New Roman" w:hAnsi="Times New Roman"/>
                <w:szCs w:val="21"/>
                <w:highlight w:val="none"/>
                <w:lang w:val="en-US" w:eastAsia="zh-CN"/>
              </w:rPr>
              <w:t>废布袋</w:t>
            </w:r>
          </w:p>
        </w:tc>
        <w:tc>
          <w:tcPr>
            <w:tcW w:w="348" w:type="pct"/>
            <w:noWrap w:val="0"/>
            <w:vAlign w:val="center"/>
          </w:tcPr>
          <w:p w14:paraId="5BE962B7">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SW59</w:t>
            </w:r>
          </w:p>
        </w:tc>
        <w:tc>
          <w:tcPr>
            <w:tcW w:w="551" w:type="pct"/>
            <w:noWrap w:val="0"/>
            <w:vAlign w:val="center"/>
          </w:tcPr>
          <w:p w14:paraId="0E256DAE">
            <w:pPr>
              <w:pStyle w:val="42"/>
              <w:spacing w:before="81" w:after="81"/>
              <w:textAlignment w:val="center"/>
              <w:rPr>
                <w:rFonts w:hint="default" w:ascii="Times New Roman" w:hAnsi="Times New Roman" w:eastAsia="新宋体"/>
                <w:szCs w:val="21"/>
                <w:highlight w:val="none"/>
                <w:lang w:val="en-US" w:eastAsia="zh-CN"/>
              </w:rPr>
            </w:pPr>
            <w:r>
              <w:rPr>
                <w:rFonts w:ascii="Times New Roman" w:hAnsi="Times New Roman"/>
                <w:szCs w:val="21"/>
                <w:highlight w:val="none"/>
              </w:rPr>
              <w:t>900-</w:t>
            </w:r>
            <w:r>
              <w:rPr>
                <w:rFonts w:hint="eastAsia" w:ascii="Times New Roman" w:hAnsi="Times New Roman"/>
                <w:szCs w:val="21"/>
                <w:highlight w:val="none"/>
                <w:lang w:val="en-US" w:eastAsia="zh-CN"/>
              </w:rPr>
              <w:t>009</w:t>
            </w:r>
            <w:r>
              <w:rPr>
                <w:rFonts w:ascii="Times New Roman" w:hAnsi="Times New Roman"/>
                <w:szCs w:val="21"/>
                <w:highlight w:val="none"/>
              </w:rPr>
              <w:t>-</w:t>
            </w:r>
            <w:r>
              <w:rPr>
                <w:rFonts w:hint="eastAsia" w:ascii="Times New Roman" w:hAnsi="Times New Roman"/>
                <w:szCs w:val="21"/>
                <w:highlight w:val="none"/>
                <w:lang w:val="en-US" w:eastAsia="zh-CN"/>
              </w:rPr>
              <w:t>S59</w:t>
            </w:r>
          </w:p>
        </w:tc>
        <w:tc>
          <w:tcPr>
            <w:tcW w:w="299" w:type="pct"/>
            <w:vMerge w:val="continue"/>
            <w:noWrap w:val="0"/>
            <w:vAlign w:val="center"/>
          </w:tcPr>
          <w:p w14:paraId="2D8E9E91">
            <w:pPr>
              <w:pStyle w:val="42"/>
              <w:spacing w:before="81" w:after="81"/>
              <w:textAlignment w:val="center"/>
              <w:rPr>
                <w:rFonts w:ascii="Times New Roman" w:hAnsi="Times New Roman"/>
                <w:szCs w:val="21"/>
                <w:highlight w:val="none"/>
              </w:rPr>
            </w:pPr>
          </w:p>
        </w:tc>
        <w:tc>
          <w:tcPr>
            <w:tcW w:w="450" w:type="pct"/>
            <w:noWrap w:val="0"/>
            <w:vAlign w:val="center"/>
          </w:tcPr>
          <w:p w14:paraId="75DFE26B">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类比法</w:t>
            </w:r>
          </w:p>
        </w:tc>
        <w:tc>
          <w:tcPr>
            <w:tcW w:w="522" w:type="pct"/>
            <w:noWrap w:val="0"/>
            <w:vAlign w:val="center"/>
          </w:tcPr>
          <w:p w14:paraId="19466833">
            <w:pPr>
              <w:pStyle w:val="42"/>
              <w:spacing w:before="81" w:after="81"/>
              <w:textAlignment w:val="center"/>
              <w:rPr>
                <w:rFonts w:hint="eastAsia" w:ascii="Times New Roman" w:hAnsi="Times New Roman"/>
                <w:szCs w:val="21"/>
                <w:highlight w:val="none"/>
                <w:lang w:val="en-US" w:eastAsia="zh-CN"/>
              </w:rPr>
            </w:pPr>
            <w:r>
              <w:rPr>
                <w:rFonts w:hint="eastAsia" w:ascii="Times New Roman" w:hAnsi="Times New Roman"/>
                <w:szCs w:val="21"/>
                <w:highlight w:val="none"/>
                <w:lang w:val="en-US" w:eastAsia="zh-CN"/>
              </w:rPr>
              <w:t>1t/5a</w:t>
            </w:r>
          </w:p>
        </w:tc>
        <w:tc>
          <w:tcPr>
            <w:tcW w:w="426" w:type="pct"/>
            <w:noWrap w:val="0"/>
            <w:vAlign w:val="center"/>
          </w:tcPr>
          <w:p w14:paraId="63B3663D">
            <w:pPr>
              <w:pStyle w:val="42"/>
              <w:spacing w:before="81" w:after="81"/>
              <w:textAlignment w:val="center"/>
              <w:rPr>
                <w:rFonts w:hint="eastAsia" w:ascii="Times New Roman" w:hAnsi="Times New Roman" w:eastAsia="新宋体"/>
                <w:szCs w:val="21"/>
                <w:highlight w:val="none"/>
                <w:lang w:val="en-US" w:eastAsia="zh-CN"/>
              </w:rPr>
            </w:pPr>
            <w:r>
              <w:rPr>
                <w:rFonts w:hint="eastAsia" w:ascii="Times New Roman" w:hAnsi="Times New Roman"/>
                <w:szCs w:val="21"/>
                <w:highlight w:val="none"/>
                <w:lang w:val="en-US" w:eastAsia="zh-CN"/>
              </w:rPr>
              <w:t>厂家回收</w:t>
            </w:r>
          </w:p>
        </w:tc>
        <w:tc>
          <w:tcPr>
            <w:tcW w:w="600" w:type="pct"/>
            <w:noWrap w:val="0"/>
            <w:vAlign w:val="center"/>
          </w:tcPr>
          <w:p w14:paraId="5DE8599C">
            <w:pPr>
              <w:pStyle w:val="42"/>
              <w:spacing w:before="81" w:after="81"/>
              <w:textAlignment w:val="center"/>
              <w:rPr>
                <w:rFonts w:hint="eastAsia" w:ascii="Times New Roman" w:hAnsi="Times New Roman"/>
                <w:szCs w:val="21"/>
                <w:highlight w:val="none"/>
                <w:lang w:val="en-US" w:eastAsia="zh-CN"/>
              </w:rPr>
            </w:pPr>
            <w:r>
              <w:rPr>
                <w:rFonts w:hint="eastAsia" w:ascii="Times New Roman" w:hAnsi="Times New Roman"/>
                <w:szCs w:val="21"/>
                <w:highlight w:val="none"/>
                <w:lang w:val="en-US" w:eastAsia="zh-CN"/>
              </w:rPr>
              <w:t>1t/5a</w:t>
            </w:r>
          </w:p>
        </w:tc>
        <w:tc>
          <w:tcPr>
            <w:tcW w:w="565" w:type="pct"/>
            <w:noWrap w:val="0"/>
            <w:vAlign w:val="center"/>
          </w:tcPr>
          <w:p w14:paraId="59B3CDD9">
            <w:pPr>
              <w:pStyle w:val="42"/>
              <w:spacing w:before="81" w:after="81"/>
              <w:textAlignment w:val="center"/>
              <w:rPr>
                <w:rFonts w:ascii="Times New Roman" w:hAnsi="Times New Roman"/>
                <w:szCs w:val="21"/>
                <w:highlight w:val="none"/>
              </w:rPr>
            </w:pPr>
            <w:r>
              <w:rPr>
                <w:rFonts w:hint="eastAsia" w:ascii="Times New Roman" w:hAnsi="Times New Roman"/>
                <w:szCs w:val="21"/>
                <w:highlight w:val="none"/>
                <w:lang w:val="en-US" w:eastAsia="zh-CN"/>
              </w:rPr>
              <w:t>厂家回收</w:t>
            </w:r>
          </w:p>
        </w:tc>
      </w:tr>
      <w:tr w14:paraId="2B4D2F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Merge w:val="continue"/>
            <w:noWrap w:val="0"/>
            <w:vAlign w:val="center"/>
          </w:tcPr>
          <w:p w14:paraId="430FE14D">
            <w:pPr>
              <w:pStyle w:val="42"/>
              <w:spacing w:before="81" w:after="81"/>
              <w:textAlignment w:val="center"/>
              <w:rPr>
                <w:rFonts w:ascii="Times New Roman" w:hAnsi="Times New Roman"/>
                <w:szCs w:val="21"/>
                <w:highlight w:val="none"/>
              </w:rPr>
            </w:pPr>
          </w:p>
        </w:tc>
        <w:tc>
          <w:tcPr>
            <w:tcW w:w="461" w:type="pct"/>
            <w:noWrap w:val="0"/>
            <w:vAlign w:val="center"/>
          </w:tcPr>
          <w:p w14:paraId="3B98DE87">
            <w:pPr>
              <w:pStyle w:val="42"/>
              <w:spacing w:before="81" w:after="81"/>
              <w:textAlignment w:val="center"/>
              <w:rPr>
                <w:rFonts w:ascii="Times New Roman" w:hAnsi="Times New Roman"/>
                <w:szCs w:val="21"/>
                <w:highlight w:val="none"/>
              </w:rPr>
            </w:pPr>
            <w:r>
              <w:rPr>
                <w:rFonts w:hint="eastAsia" w:ascii="Times New Roman" w:hAnsi="Times New Roman"/>
                <w:szCs w:val="21"/>
                <w:highlight w:val="none"/>
              </w:rPr>
              <w:t>化学水处理</w:t>
            </w:r>
          </w:p>
        </w:tc>
        <w:tc>
          <w:tcPr>
            <w:tcW w:w="396" w:type="pct"/>
            <w:noWrap w:val="0"/>
            <w:vAlign w:val="center"/>
          </w:tcPr>
          <w:p w14:paraId="782184C3">
            <w:pPr>
              <w:pStyle w:val="42"/>
              <w:spacing w:before="81" w:after="81"/>
              <w:textAlignment w:val="center"/>
              <w:rPr>
                <w:rFonts w:hint="default" w:ascii="Times New Roman" w:hAnsi="Times New Roman" w:eastAsia="新宋体"/>
                <w:szCs w:val="21"/>
                <w:highlight w:val="none"/>
                <w:lang w:val="en-US" w:eastAsia="zh-CN"/>
              </w:rPr>
            </w:pPr>
            <w:r>
              <w:rPr>
                <w:rFonts w:ascii="Times New Roman" w:hAnsi="Times New Roman"/>
                <w:szCs w:val="21"/>
                <w:highlight w:val="none"/>
              </w:rPr>
              <w:t>废离子交换树脂</w:t>
            </w:r>
            <w:r>
              <w:rPr>
                <w:rFonts w:hint="eastAsia" w:ascii="Times New Roman" w:hAnsi="Times New Roman"/>
                <w:szCs w:val="21"/>
                <w:highlight w:val="none"/>
                <w:lang w:val="en-US" w:eastAsia="zh-CN"/>
              </w:rPr>
              <w:t>和反渗透膜</w:t>
            </w:r>
          </w:p>
        </w:tc>
        <w:tc>
          <w:tcPr>
            <w:tcW w:w="348" w:type="pct"/>
            <w:noWrap w:val="0"/>
            <w:vAlign w:val="center"/>
          </w:tcPr>
          <w:p w14:paraId="1736A41A">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SW59</w:t>
            </w:r>
          </w:p>
        </w:tc>
        <w:tc>
          <w:tcPr>
            <w:tcW w:w="551" w:type="pct"/>
            <w:noWrap w:val="0"/>
            <w:vAlign w:val="center"/>
          </w:tcPr>
          <w:p w14:paraId="7D858A86">
            <w:pPr>
              <w:pStyle w:val="42"/>
              <w:spacing w:before="81" w:after="81"/>
              <w:textAlignment w:val="center"/>
              <w:rPr>
                <w:rFonts w:ascii="Times New Roman" w:hAnsi="Times New Roman"/>
                <w:szCs w:val="21"/>
                <w:highlight w:val="none"/>
              </w:rPr>
            </w:pPr>
            <w:r>
              <w:rPr>
                <w:rFonts w:hint="eastAsia" w:ascii="Times New Roman" w:hAnsi="Times New Roman"/>
                <w:szCs w:val="21"/>
                <w:highlight w:val="none"/>
              </w:rPr>
              <w:t>900-008-S59</w:t>
            </w:r>
          </w:p>
        </w:tc>
        <w:tc>
          <w:tcPr>
            <w:tcW w:w="299" w:type="pct"/>
            <w:vMerge w:val="continue"/>
            <w:noWrap w:val="0"/>
            <w:vAlign w:val="center"/>
          </w:tcPr>
          <w:p w14:paraId="0026181C">
            <w:pPr>
              <w:pStyle w:val="42"/>
              <w:spacing w:before="81" w:after="81"/>
              <w:textAlignment w:val="center"/>
              <w:rPr>
                <w:rFonts w:ascii="Times New Roman" w:hAnsi="Times New Roman"/>
                <w:szCs w:val="21"/>
                <w:highlight w:val="none"/>
              </w:rPr>
            </w:pPr>
          </w:p>
        </w:tc>
        <w:tc>
          <w:tcPr>
            <w:tcW w:w="450" w:type="pct"/>
            <w:noWrap w:val="0"/>
            <w:vAlign w:val="center"/>
          </w:tcPr>
          <w:p w14:paraId="1482B906">
            <w:pPr>
              <w:pStyle w:val="42"/>
              <w:spacing w:before="81" w:after="81"/>
              <w:textAlignment w:val="center"/>
              <w:rPr>
                <w:rFonts w:ascii="Times New Roman" w:hAnsi="Times New Roman"/>
                <w:b/>
                <w:szCs w:val="21"/>
                <w:highlight w:val="none"/>
              </w:rPr>
            </w:pPr>
            <w:r>
              <w:rPr>
                <w:rFonts w:ascii="Times New Roman" w:hAnsi="Times New Roman"/>
                <w:szCs w:val="21"/>
                <w:highlight w:val="none"/>
              </w:rPr>
              <w:t>类比法</w:t>
            </w:r>
          </w:p>
        </w:tc>
        <w:tc>
          <w:tcPr>
            <w:tcW w:w="522" w:type="pct"/>
            <w:noWrap w:val="0"/>
            <w:vAlign w:val="center"/>
          </w:tcPr>
          <w:p w14:paraId="7FEAD3F9">
            <w:pPr>
              <w:pStyle w:val="42"/>
              <w:spacing w:before="81" w:after="81"/>
              <w:textAlignment w:val="center"/>
              <w:rPr>
                <w:rFonts w:ascii="Times New Roman" w:hAnsi="Times New Roman"/>
                <w:szCs w:val="21"/>
                <w:highlight w:val="none"/>
              </w:rPr>
            </w:pPr>
            <w:r>
              <w:rPr>
                <w:rFonts w:ascii="Times New Roman" w:hAnsi="Times New Roman"/>
                <w:szCs w:val="21"/>
                <w:highlight w:val="none"/>
              </w:rPr>
              <w:t>2</w:t>
            </w:r>
          </w:p>
        </w:tc>
        <w:tc>
          <w:tcPr>
            <w:tcW w:w="426" w:type="pct"/>
            <w:noWrap w:val="0"/>
            <w:vAlign w:val="center"/>
          </w:tcPr>
          <w:p w14:paraId="2C204A98">
            <w:pPr>
              <w:pStyle w:val="42"/>
              <w:spacing w:before="81" w:after="81"/>
              <w:textAlignment w:val="center"/>
              <w:rPr>
                <w:rFonts w:ascii="Times New Roman" w:hAnsi="Times New Roman"/>
                <w:szCs w:val="21"/>
                <w:highlight w:val="none"/>
              </w:rPr>
            </w:pPr>
            <w:r>
              <w:rPr>
                <w:rFonts w:ascii="Times New Roman" w:hAnsi="Times New Roman"/>
                <w:szCs w:val="21"/>
                <w:highlight w:val="none"/>
              </w:rPr>
              <w:t>委托处理</w:t>
            </w:r>
          </w:p>
        </w:tc>
        <w:tc>
          <w:tcPr>
            <w:tcW w:w="600" w:type="pct"/>
            <w:noWrap w:val="0"/>
            <w:vAlign w:val="center"/>
          </w:tcPr>
          <w:p w14:paraId="6E4EA804">
            <w:pPr>
              <w:pStyle w:val="42"/>
              <w:spacing w:before="81" w:after="81"/>
              <w:textAlignment w:val="center"/>
              <w:rPr>
                <w:rFonts w:ascii="Times New Roman" w:hAnsi="Times New Roman"/>
                <w:szCs w:val="21"/>
                <w:highlight w:val="none"/>
              </w:rPr>
            </w:pPr>
            <w:r>
              <w:rPr>
                <w:rFonts w:ascii="Times New Roman" w:hAnsi="Times New Roman"/>
                <w:szCs w:val="21"/>
                <w:highlight w:val="none"/>
              </w:rPr>
              <w:t>2</w:t>
            </w:r>
          </w:p>
        </w:tc>
        <w:tc>
          <w:tcPr>
            <w:tcW w:w="565" w:type="pct"/>
            <w:noWrap w:val="0"/>
            <w:vAlign w:val="center"/>
          </w:tcPr>
          <w:p w14:paraId="6350B18E">
            <w:pPr>
              <w:pStyle w:val="42"/>
              <w:spacing w:before="81" w:after="81"/>
              <w:textAlignment w:val="center"/>
              <w:rPr>
                <w:rFonts w:ascii="Times New Roman" w:hAnsi="Times New Roman"/>
                <w:szCs w:val="21"/>
                <w:highlight w:val="none"/>
              </w:rPr>
            </w:pPr>
            <w:r>
              <w:rPr>
                <w:rFonts w:ascii="Times New Roman" w:hAnsi="Times New Roman"/>
                <w:szCs w:val="21"/>
                <w:highlight w:val="none"/>
              </w:rPr>
              <w:t>由市政环卫部门统一处理</w:t>
            </w:r>
          </w:p>
        </w:tc>
      </w:tr>
      <w:tr w14:paraId="00796C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Merge w:val="continue"/>
            <w:noWrap w:val="0"/>
            <w:vAlign w:val="center"/>
          </w:tcPr>
          <w:p w14:paraId="760ADBCF">
            <w:pPr>
              <w:pStyle w:val="42"/>
              <w:spacing w:before="81" w:after="81"/>
              <w:textAlignment w:val="center"/>
              <w:rPr>
                <w:rFonts w:ascii="Times New Roman" w:hAnsi="Times New Roman"/>
                <w:szCs w:val="21"/>
                <w:highlight w:val="none"/>
              </w:rPr>
            </w:pPr>
          </w:p>
        </w:tc>
        <w:tc>
          <w:tcPr>
            <w:tcW w:w="461" w:type="pct"/>
            <w:noWrap w:val="0"/>
            <w:vAlign w:val="center"/>
          </w:tcPr>
          <w:p w14:paraId="78C8D278">
            <w:pPr>
              <w:pStyle w:val="42"/>
              <w:spacing w:before="81" w:after="81"/>
              <w:textAlignment w:val="center"/>
              <w:rPr>
                <w:rFonts w:ascii="Times New Roman" w:hAnsi="Times New Roman"/>
                <w:szCs w:val="21"/>
                <w:highlight w:val="none"/>
              </w:rPr>
            </w:pPr>
            <w:r>
              <w:rPr>
                <w:rFonts w:ascii="Times New Roman" w:hAnsi="Times New Roman"/>
                <w:szCs w:val="21"/>
                <w:highlight w:val="none"/>
              </w:rPr>
              <w:t>脱硫塔</w:t>
            </w:r>
          </w:p>
        </w:tc>
        <w:tc>
          <w:tcPr>
            <w:tcW w:w="396" w:type="pct"/>
            <w:noWrap w:val="0"/>
            <w:vAlign w:val="center"/>
          </w:tcPr>
          <w:p w14:paraId="6CB372AC">
            <w:pPr>
              <w:pStyle w:val="42"/>
              <w:spacing w:before="81" w:after="81"/>
              <w:textAlignment w:val="center"/>
              <w:rPr>
                <w:rFonts w:ascii="Times New Roman" w:hAnsi="Times New Roman"/>
                <w:szCs w:val="21"/>
                <w:highlight w:val="none"/>
              </w:rPr>
            </w:pPr>
            <w:r>
              <w:rPr>
                <w:rFonts w:ascii="Times New Roman" w:hAnsi="Times New Roman"/>
                <w:szCs w:val="21"/>
                <w:highlight w:val="none"/>
              </w:rPr>
              <w:t>脱硫石膏</w:t>
            </w:r>
          </w:p>
        </w:tc>
        <w:tc>
          <w:tcPr>
            <w:tcW w:w="348" w:type="pct"/>
            <w:noWrap w:val="0"/>
            <w:vAlign w:val="center"/>
          </w:tcPr>
          <w:p w14:paraId="3B31CC25">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SW06</w:t>
            </w:r>
          </w:p>
        </w:tc>
        <w:tc>
          <w:tcPr>
            <w:tcW w:w="551" w:type="pct"/>
            <w:noWrap w:val="0"/>
            <w:vAlign w:val="center"/>
          </w:tcPr>
          <w:p w14:paraId="6BEC9223">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900-099-S06</w:t>
            </w:r>
          </w:p>
        </w:tc>
        <w:tc>
          <w:tcPr>
            <w:tcW w:w="299" w:type="pct"/>
            <w:vMerge w:val="continue"/>
            <w:noWrap w:val="0"/>
            <w:vAlign w:val="center"/>
          </w:tcPr>
          <w:p w14:paraId="08AE0D27">
            <w:pPr>
              <w:pStyle w:val="42"/>
              <w:spacing w:before="81" w:after="81"/>
              <w:textAlignment w:val="center"/>
              <w:rPr>
                <w:rFonts w:ascii="Times New Roman" w:hAnsi="Times New Roman"/>
                <w:szCs w:val="21"/>
                <w:highlight w:val="none"/>
              </w:rPr>
            </w:pPr>
          </w:p>
        </w:tc>
        <w:tc>
          <w:tcPr>
            <w:tcW w:w="450" w:type="pct"/>
            <w:noWrap w:val="0"/>
            <w:vAlign w:val="center"/>
          </w:tcPr>
          <w:p w14:paraId="0110975A">
            <w:pPr>
              <w:pStyle w:val="42"/>
              <w:spacing w:before="81" w:after="81"/>
              <w:textAlignment w:val="center"/>
              <w:rPr>
                <w:rFonts w:ascii="Times New Roman" w:hAnsi="Times New Roman"/>
                <w:szCs w:val="21"/>
                <w:highlight w:val="none"/>
              </w:rPr>
            </w:pPr>
            <w:r>
              <w:rPr>
                <w:rFonts w:ascii="Times New Roman" w:hAnsi="Times New Roman"/>
                <w:szCs w:val="21"/>
                <w:highlight w:val="none"/>
              </w:rPr>
              <w:t>物料衡算法</w:t>
            </w:r>
          </w:p>
        </w:tc>
        <w:tc>
          <w:tcPr>
            <w:tcW w:w="522" w:type="pct"/>
            <w:noWrap w:val="0"/>
            <w:vAlign w:val="center"/>
          </w:tcPr>
          <w:p w14:paraId="1189407F">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502.549</w:t>
            </w:r>
          </w:p>
        </w:tc>
        <w:tc>
          <w:tcPr>
            <w:tcW w:w="426" w:type="pct"/>
            <w:noWrap w:val="0"/>
            <w:vAlign w:val="center"/>
          </w:tcPr>
          <w:p w14:paraId="55A85FEA">
            <w:pPr>
              <w:pStyle w:val="42"/>
              <w:spacing w:before="81" w:after="81"/>
              <w:textAlignment w:val="center"/>
              <w:rPr>
                <w:rFonts w:ascii="Times New Roman" w:hAnsi="Times New Roman"/>
                <w:szCs w:val="21"/>
                <w:highlight w:val="none"/>
              </w:rPr>
            </w:pPr>
            <w:r>
              <w:rPr>
                <w:rFonts w:ascii="Times New Roman" w:hAnsi="Times New Roman"/>
                <w:szCs w:val="21"/>
                <w:highlight w:val="none"/>
              </w:rPr>
              <w:t>日产日清</w:t>
            </w:r>
          </w:p>
        </w:tc>
        <w:tc>
          <w:tcPr>
            <w:tcW w:w="600" w:type="pct"/>
            <w:noWrap w:val="0"/>
            <w:vAlign w:val="center"/>
          </w:tcPr>
          <w:p w14:paraId="4F16DAC3">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502.549</w:t>
            </w:r>
          </w:p>
        </w:tc>
        <w:tc>
          <w:tcPr>
            <w:tcW w:w="565" w:type="pct"/>
            <w:noWrap w:val="0"/>
            <w:vAlign w:val="center"/>
          </w:tcPr>
          <w:p w14:paraId="7612EC04">
            <w:pPr>
              <w:pStyle w:val="42"/>
              <w:spacing w:before="81" w:after="81"/>
              <w:textAlignment w:val="center"/>
              <w:rPr>
                <w:rFonts w:ascii="Times New Roman" w:hAnsi="Times New Roman"/>
                <w:b/>
                <w:bCs/>
                <w:szCs w:val="21"/>
                <w:highlight w:val="none"/>
              </w:rPr>
            </w:pPr>
            <w:r>
              <w:rPr>
                <w:rFonts w:ascii="Times New Roman" w:hAnsi="Times New Roman"/>
                <w:szCs w:val="21"/>
                <w:highlight w:val="none"/>
              </w:rPr>
              <w:t>外售综合利用</w:t>
            </w:r>
          </w:p>
        </w:tc>
      </w:tr>
      <w:tr w14:paraId="22BDB1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Merge w:val="continue"/>
            <w:noWrap w:val="0"/>
            <w:vAlign w:val="center"/>
          </w:tcPr>
          <w:p w14:paraId="1BB2E89D">
            <w:pPr>
              <w:pStyle w:val="42"/>
              <w:spacing w:before="81" w:after="81"/>
              <w:textAlignment w:val="center"/>
              <w:rPr>
                <w:rFonts w:ascii="Times New Roman" w:hAnsi="Times New Roman"/>
                <w:szCs w:val="21"/>
                <w:highlight w:val="none"/>
              </w:rPr>
            </w:pPr>
          </w:p>
        </w:tc>
        <w:tc>
          <w:tcPr>
            <w:tcW w:w="461" w:type="pct"/>
            <w:noWrap w:val="0"/>
            <w:vAlign w:val="center"/>
          </w:tcPr>
          <w:p w14:paraId="0305C347">
            <w:pPr>
              <w:pStyle w:val="42"/>
              <w:spacing w:before="81" w:after="81"/>
              <w:textAlignment w:val="center"/>
              <w:rPr>
                <w:rFonts w:ascii="Times New Roman" w:hAnsi="Times New Roman"/>
                <w:szCs w:val="21"/>
                <w:highlight w:val="none"/>
              </w:rPr>
            </w:pPr>
            <w:r>
              <w:rPr>
                <w:rFonts w:ascii="Times New Roman" w:hAnsi="Times New Roman"/>
                <w:szCs w:val="21"/>
                <w:highlight w:val="none"/>
              </w:rPr>
              <w:t>脱硝</w:t>
            </w:r>
          </w:p>
        </w:tc>
        <w:tc>
          <w:tcPr>
            <w:tcW w:w="396" w:type="pct"/>
            <w:noWrap w:val="0"/>
            <w:vAlign w:val="center"/>
          </w:tcPr>
          <w:p w14:paraId="6C28D791">
            <w:pPr>
              <w:pStyle w:val="42"/>
              <w:spacing w:before="81" w:after="81"/>
              <w:textAlignment w:val="center"/>
              <w:rPr>
                <w:rFonts w:ascii="Times New Roman" w:hAnsi="Times New Roman"/>
                <w:szCs w:val="21"/>
                <w:highlight w:val="none"/>
              </w:rPr>
            </w:pPr>
            <w:r>
              <w:rPr>
                <w:rFonts w:ascii="Times New Roman" w:hAnsi="Times New Roman"/>
                <w:szCs w:val="21"/>
                <w:highlight w:val="none"/>
              </w:rPr>
              <w:t>废催化剂</w:t>
            </w:r>
          </w:p>
        </w:tc>
        <w:tc>
          <w:tcPr>
            <w:tcW w:w="348" w:type="pct"/>
            <w:noWrap w:val="0"/>
            <w:vAlign w:val="center"/>
          </w:tcPr>
          <w:p w14:paraId="25697265">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HW50</w:t>
            </w:r>
          </w:p>
        </w:tc>
        <w:tc>
          <w:tcPr>
            <w:tcW w:w="551" w:type="pct"/>
            <w:noWrap w:val="0"/>
            <w:vAlign w:val="center"/>
          </w:tcPr>
          <w:p w14:paraId="1872816E">
            <w:pPr>
              <w:pStyle w:val="42"/>
              <w:spacing w:before="81" w:after="81"/>
              <w:ind w:firstLine="0" w:firstLineChars="0"/>
              <w:textAlignment w:val="center"/>
              <w:rPr>
                <w:rFonts w:ascii="Times New Roman" w:hAnsi="Times New Roman"/>
                <w:szCs w:val="21"/>
                <w:highlight w:val="none"/>
              </w:rPr>
            </w:pPr>
            <w:r>
              <w:rPr>
                <w:rFonts w:ascii="Times New Roman" w:hAnsi="Times New Roman"/>
                <w:szCs w:val="21"/>
                <w:highlight w:val="none"/>
              </w:rPr>
              <w:t>772-007-50</w:t>
            </w:r>
          </w:p>
        </w:tc>
        <w:tc>
          <w:tcPr>
            <w:tcW w:w="299" w:type="pct"/>
            <w:vMerge w:val="restart"/>
            <w:noWrap w:val="0"/>
            <w:vAlign w:val="center"/>
          </w:tcPr>
          <w:p w14:paraId="23EE6C3D">
            <w:pPr>
              <w:pStyle w:val="42"/>
              <w:spacing w:before="81" w:after="81"/>
              <w:textAlignment w:val="center"/>
              <w:rPr>
                <w:rFonts w:ascii="Times New Roman" w:hAnsi="Times New Roman"/>
                <w:szCs w:val="21"/>
                <w:highlight w:val="none"/>
              </w:rPr>
            </w:pPr>
            <w:r>
              <w:rPr>
                <w:rFonts w:ascii="Times New Roman" w:hAnsi="Times New Roman"/>
                <w:szCs w:val="21"/>
                <w:highlight w:val="none"/>
              </w:rPr>
              <w:t>危险废物</w:t>
            </w:r>
          </w:p>
        </w:tc>
        <w:tc>
          <w:tcPr>
            <w:tcW w:w="450" w:type="pct"/>
            <w:noWrap w:val="0"/>
            <w:vAlign w:val="center"/>
          </w:tcPr>
          <w:p w14:paraId="2E24ED83">
            <w:pPr>
              <w:pStyle w:val="42"/>
              <w:spacing w:before="81" w:after="81"/>
              <w:textAlignment w:val="center"/>
              <w:rPr>
                <w:rFonts w:ascii="Times New Roman" w:hAnsi="Times New Roman"/>
                <w:szCs w:val="21"/>
                <w:highlight w:val="none"/>
              </w:rPr>
            </w:pPr>
            <w:r>
              <w:rPr>
                <w:rFonts w:ascii="Times New Roman" w:hAnsi="Times New Roman"/>
                <w:szCs w:val="21"/>
                <w:highlight w:val="none"/>
              </w:rPr>
              <w:t>物料衡算法</w:t>
            </w:r>
          </w:p>
        </w:tc>
        <w:tc>
          <w:tcPr>
            <w:tcW w:w="522" w:type="pct"/>
            <w:noWrap w:val="0"/>
            <w:vAlign w:val="center"/>
          </w:tcPr>
          <w:p w14:paraId="4A00B22C">
            <w:pPr>
              <w:pStyle w:val="42"/>
              <w:spacing w:before="81" w:after="81"/>
              <w:textAlignment w:val="center"/>
              <w:rPr>
                <w:rFonts w:ascii="Times New Roman" w:hAnsi="Times New Roman"/>
                <w:szCs w:val="21"/>
                <w:highlight w:val="none"/>
              </w:rPr>
            </w:pPr>
            <w:r>
              <w:rPr>
                <w:rFonts w:ascii="Times New Roman" w:hAnsi="Times New Roman"/>
                <w:szCs w:val="21"/>
                <w:highlight w:val="none"/>
              </w:rPr>
              <w:t>10m</w:t>
            </w:r>
            <w:r>
              <w:rPr>
                <w:rFonts w:ascii="Times New Roman" w:hAnsi="Times New Roman"/>
                <w:szCs w:val="21"/>
                <w:highlight w:val="none"/>
                <w:vertAlign w:val="superscript"/>
              </w:rPr>
              <w:t>3</w:t>
            </w:r>
            <w:r>
              <w:rPr>
                <w:rFonts w:ascii="Times New Roman" w:hAnsi="Times New Roman"/>
                <w:szCs w:val="21"/>
                <w:highlight w:val="none"/>
              </w:rPr>
              <w:t>/3a</w:t>
            </w:r>
          </w:p>
        </w:tc>
        <w:tc>
          <w:tcPr>
            <w:tcW w:w="426" w:type="pct"/>
            <w:noWrap w:val="0"/>
            <w:vAlign w:val="center"/>
          </w:tcPr>
          <w:p w14:paraId="412210B6">
            <w:pPr>
              <w:pStyle w:val="42"/>
              <w:spacing w:before="81" w:after="81"/>
              <w:textAlignment w:val="center"/>
              <w:rPr>
                <w:rFonts w:ascii="Times New Roman" w:hAnsi="Times New Roman"/>
                <w:szCs w:val="21"/>
                <w:highlight w:val="none"/>
              </w:rPr>
            </w:pPr>
            <w:r>
              <w:rPr>
                <w:rFonts w:ascii="Times New Roman" w:hAnsi="Times New Roman"/>
                <w:szCs w:val="21"/>
                <w:highlight w:val="none"/>
              </w:rPr>
              <w:t>委托处理</w:t>
            </w:r>
          </w:p>
        </w:tc>
        <w:tc>
          <w:tcPr>
            <w:tcW w:w="600" w:type="pct"/>
            <w:noWrap w:val="0"/>
            <w:vAlign w:val="center"/>
          </w:tcPr>
          <w:p w14:paraId="18DCE600">
            <w:pPr>
              <w:pStyle w:val="42"/>
              <w:spacing w:before="81" w:after="81"/>
              <w:textAlignment w:val="center"/>
              <w:rPr>
                <w:rFonts w:ascii="Times New Roman" w:hAnsi="Times New Roman"/>
                <w:szCs w:val="21"/>
                <w:highlight w:val="none"/>
              </w:rPr>
            </w:pPr>
            <w:r>
              <w:rPr>
                <w:rFonts w:ascii="Times New Roman" w:hAnsi="Times New Roman"/>
                <w:szCs w:val="21"/>
                <w:highlight w:val="none"/>
              </w:rPr>
              <w:t>10m</w:t>
            </w:r>
            <w:r>
              <w:rPr>
                <w:rFonts w:ascii="Times New Roman" w:hAnsi="Times New Roman"/>
                <w:szCs w:val="21"/>
                <w:highlight w:val="none"/>
                <w:vertAlign w:val="superscript"/>
              </w:rPr>
              <w:t>3</w:t>
            </w:r>
            <w:r>
              <w:rPr>
                <w:rFonts w:ascii="Times New Roman" w:hAnsi="Times New Roman"/>
                <w:szCs w:val="21"/>
                <w:highlight w:val="none"/>
              </w:rPr>
              <w:t>/3a</w:t>
            </w:r>
          </w:p>
        </w:tc>
        <w:tc>
          <w:tcPr>
            <w:tcW w:w="565" w:type="pct"/>
            <w:noWrap w:val="0"/>
            <w:vAlign w:val="center"/>
          </w:tcPr>
          <w:p w14:paraId="66090C09">
            <w:pPr>
              <w:pStyle w:val="42"/>
              <w:spacing w:before="81" w:after="81"/>
              <w:textAlignment w:val="center"/>
              <w:rPr>
                <w:rFonts w:ascii="Times New Roman" w:hAnsi="Times New Roman"/>
                <w:szCs w:val="21"/>
                <w:highlight w:val="none"/>
              </w:rPr>
            </w:pPr>
            <w:r>
              <w:rPr>
                <w:rFonts w:ascii="Times New Roman" w:hAnsi="Times New Roman"/>
                <w:szCs w:val="21"/>
                <w:highlight w:val="none"/>
              </w:rPr>
              <w:t>委托有资质单位处置</w:t>
            </w:r>
          </w:p>
        </w:tc>
      </w:tr>
      <w:tr w14:paraId="098D06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Merge w:val="continue"/>
            <w:noWrap w:val="0"/>
            <w:vAlign w:val="center"/>
          </w:tcPr>
          <w:p w14:paraId="33FEEBEA">
            <w:pPr>
              <w:pStyle w:val="42"/>
              <w:spacing w:before="81" w:after="81"/>
              <w:textAlignment w:val="center"/>
              <w:rPr>
                <w:rFonts w:ascii="Times New Roman" w:hAnsi="Times New Roman"/>
                <w:szCs w:val="21"/>
                <w:highlight w:val="none"/>
              </w:rPr>
            </w:pPr>
          </w:p>
        </w:tc>
        <w:tc>
          <w:tcPr>
            <w:tcW w:w="461" w:type="pct"/>
            <w:noWrap w:val="0"/>
            <w:vAlign w:val="center"/>
          </w:tcPr>
          <w:p w14:paraId="1953999B">
            <w:pPr>
              <w:pStyle w:val="42"/>
              <w:spacing w:before="81" w:after="81"/>
              <w:textAlignment w:val="center"/>
              <w:rPr>
                <w:rFonts w:hint="eastAsia" w:ascii="Times New Roman" w:hAnsi="Times New Roman" w:eastAsia="新宋体"/>
                <w:szCs w:val="21"/>
                <w:highlight w:val="none"/>
                <w:lang w:val="en-US" w:eastAsia="zh-CN"/>
              </w:rPr>
            </w:pPr>
            <w:r>
              <w:rPr>
                <w:rFonts w:hint="eastAsia" w:ascii="Times New Roman" w:hAnsi="Times New Roman"/>
                <w:szCs w:val="21"/>
                <w:highlight w:val="none"/>
                <w:lang w:val="en-US" w:eastAsia="zh-CN"/>
              </w:rPr>
              <w:t>厂区</w:t>
            </w:r>
          </w:p>
        </w:tc>
        <w:tc>
          <w:tcPr>
            <w:tcW w:w="396" w:type="pct"/>
            <w:noWrap w:val="0"/>
            <w:vAlign w:val="center"/>
          </w:tcPr>
          <w:p w14:paraId="2406BA95">
            <w:pPr>
              <w:pStyle w:val="42"/>
              <w:spacing w:before="81" w:after="81"/>
              <w:textAlignment w:val="center"/>
              <w:rPr>
                <w:rFonts w:hint="eastAsia" w:ascii="Times New Roman" w:hAnsi="Times New Roman" w:eastAsia="新宋体"/>
                <w:szCs w:val="21"/>
                <w:highlight w:val="none"/>
                <w:lang w:val="en-US" w:eastAsia="zh-CN"/>
              </w:rPr>
            </w:pPr>
            <w:r>
              <w:rPr>
                <w:rFonts w:hint="eastAsia" w:ascii="Times New Roman" w:hAnsi="Times New Roman"/>
                <w:szCs w:val="21"/>
                <w:highlight w:val="none"/>
                <w:lang w:val="en-US" w:eastAsia="zh-CN"/>
              </w:rPr>
              <w:t>废机油</w:t>
            </w:r>
          </w:p>
        </w:tc>
        <w:tc>
          <w:tcPr>
            <w:tcW w:w="348" w:type="pct"/>
            <w:noWrap w:val="0"/>
            <w:vAlign w:val="center"/>
          </w:tcPr>
          <w:p w14:paraId="52F1050F">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HW08</w:t>
            </w:r>
          </w:p>
        </w:tc>
        <w:tc>
          <w:tcPr>
            <w:tcW w:w="551" w:type="pct"/>
            <w:noWrap w:val="0"/>
            <w:vAlign w:val="center"/>
          </w:tcPr>
          <w:p w14:paraId="047D1EF4">
            <w:pPr>
              <w:pStyle w:val="42"/>
              <w:spacing w:before="81" w:after="81"/>
              <w:ind w:firstLine="0" w:firstLineChars="0"/>
              <w:textAlignment w:val="center"/>
              <w:rPr>
                <w:rFonts w:hint="eastAsia" w:ascii="Times New Roman" w:hAnsi="Times New Roman"/>
                <w:szCs w:val="21"/>
                <w:highlight w:val="none"/>
                <w:lang w:val="en-US" w:eastAsia="zh-CN"/>
              </w:rPr>
            </w:pPr>
            <w:r>
              <w:rPr>
                <w:rFonts w:hint="eastAsia" w:ascii="Times New Roman" w:hAnsi="Times New Roman"/>
                <w:szCs w:val="21"/>
                <w:highlight w:val="none"/>
                <w:lang w:val="en-US" w:eastAsia="zh-CN"/>
              </w:rPr>
              <w:t>900-217-08</w:t>
            </w:r>
          </w:p>
        </w:tc>
        <w:tc>
          <w:tcPr>
            <w:tcW w:w="299" w:type="pct"/>
            <w:vMerge w:val="continue"/>
            <w:noWrap w:val="0"/>
            <w:vAlign w:val="center"/>
          </w:tcPr>
          <w:p w14:paraId="45607A4C">
            <w:pPr>
              <w:pStyle w:val="42"/>
              <w:spacing w:before="81" w:after="81"/>
              <w:textAlignment w:val="center"/>
              <w:rPr>
                <w:rFonts w:ascii="Times New Roman" w:hAnsi="Times New Roman"/>
                <w:szCs w:val="21"/>
                <w:highlight w:val="none"/>
              </w:rPr>
            </w:pPr>
          </w:p>
        </w:tc>
        <w:tc>
          <w:tcPr>
            <w:tcW w:w="450" w:type="pct"/>
            <w:noWrap w:val="0"/>
            <w:vAlign w:val="center"/>
          </w:tcPr>
          <w:p w14:paraId="31D42BE8">
            <w:pPr>
              <w:pStyle w:val="42"/>
              <w:spacing w:before="81" w:after="81"/>
              <w:textAlignment w:val="center"/>
              <w:rPr>
                <w:rFonts w:ascii="Times New Roman" w:hAnsi="Times New Roman"/>
                <w:szCs w:val="21"/>
                <w:highlight w:val="none"/>
              </w:rPr>
            </w:pPr>
            <w:r>
              <w:rPr>
                <w:rFonts w:ascii="Times New Roman" w:hAnsi="Times New Roman"/>
                <w:szCs w:val="21"/>
                <w:highlight w:val="none"/>
              </w:rPr>
              <w:t>类比法</w:t>
            </w:r>
          </w:p>
        </w:tc>
        <w:tc>
          <w:tcPr>
            <w:tcW w:w="522" w:type="pct"/>
            <w:noWrap w:val="0"/>
            <w:vAlign w:val="center"/>
          </w:tcPr>
          <w:p w14:paraId="0FC1931D">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0.2</w:t>
            </w:r>
          </w:p>
        </w:tc>
        <w:tc>
          <w:tcPr>
            <w:tcW w:w="426" w:type="pct"/>
            <w:noWrap w:val="0"/>
            <w:vAlign w:val="center"/>
          </w:tcPr>
          <w:p w14:paraId="3CD71561">
            <w:pPr>
              <w:pStyle w:val="42"/>
              <w:spacing w:before="81" w:after="81"/>
              <w:textAlignment w:val="center"/>
              <w:rPr>
                <w:rFonts w:ascii="Times New Roman" w:hAnsi="Times New Roman"/>
                <w:szCs w:val="21"/>
                <w:highlight w:val="none"/>
              </w:rPr>
            </w:pPr>
            <w:r>
              <w:rPr>
                <w:rFonts w:ascii="Times New Roman" w:hAnsi="Times New Roman"/>
                <w:szCs w:val="21"/>
                <w:highlight w:val="none"/>
              </w:rPr>
              <w:t>委托处理</w:t>
            </w:r>
          </w:p>
        </w:tc>
        <w:tc>
          <w:tcPr>
            <w:tcW w:w="600" w:type="pct"/>
            <w:noWrap w:val="0"/>
            <w:vAlign w:val="center"/>
          </w:tcPr>
          <w:p w14:paraId="0F731135">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0.2</w:t>
            </w:r>
          </w:p>
        </w:tc>
        <w:tc>
          <w:tcPr>
            <w:tcW w:w="565" w:type="pct"/>
            <w:noWrap w:val="0"/>
            <w:vAlign w:val="center"/>
          </w:tcPr>
          <w:p w14:paraId="1D558B9D">
            <w:pPr>
              <w:pStyle w:val="42"/>
              <w:spacing w:before="81" w:after="81"/>
              <w:textAlignment w:val="center"/>
              <w:rPr>
                <w:rFonts w:ascii="Times New Roman" w:hAnsi="Times New Roman"/>
                <w:szCs w:val="21"/>
                <w:highlight w:val="none"/>
              </w:rPr>
            </w:pPr>
            <w:r>
              <w:rPr>
                <w:rFonts w:ascii="Times New Roman" w:hAnsi="Times New Roman"/>
                <w:szCs w:val="21"/>
                <w:highlight w:val="none"/>
              </w:rPr>
              <w:t>委托有资质单位处置</w:t>
            </w:r>
          </w:p>
        </w:tc>
      </w:tr>
      <w:tr w14:paraId="3BBD39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Merge w:val="continue"/>
            <w:noWrap w:val="0"/>
            <w:vAlign w:val="center"/>
          </w:tcPr>
          <w:p w14:paraId="4DABF321">
            <w:pPr>
              <w:pStyle w:val="42"/>
              <w:spacing w:before="81" w:after="81"/>
              <w:textAlignment w:val="center"/>
              <w:rPr>
                <w:rFonts w:ascii="Times New Roman" w:hAnsi="Times New Roman"/>
                <w:szCs w:val="21"/>
                <w:highlight w:val="none"/>
              </w:rPr>
            </w:pPr>
          </w:p>
        </w:tc>
        <w:tc>
          <w:tcPr>
            <w:tcW w:w="461" w:type="pct"/>
            <w:noWrap w:val="0"/>
            <w:vAlign w:val="center"/>
          </w:tcPr>
          <w:p w14:paraId="3B2015CD">
            <w:pPr>
              <w:pStyle w:val="42"/>
              <w:spacing w:before="81" w:after="81"/>
              <w:textAlignment w:val="center"/>
              <w:rPr>
                <w:rFonts w:ascii="Times New Roman" w:hAnsi="Times New Roman"/>
                <w:szCs w:val="21"/>
                <w:highlight w:val="none"/>
              </w:rPr>
            </w:pPr>
            <w:r>
              <w:rPr>
                <w:rFonts w:ascii="Times New Roman" w:hAnsi="Times New Roman"/>
                <w:szCs w:val="21"/>
                <w:highlight w:val="none"/>
              </w:rPr>
              <w:t>食堂</w:t>
            </w:r>
          </w:p>
        </w:tc>
        <w:tc>
          <w:tcPr>
            <w:tcW w:w="396" w:type="pct"/>
            <w:noWrap w:val="0"/>
            <w:vAlign w:val="center"/>
          </w:tcPr>
          <w:p w14:paraId="5DD28FA8">
            <w:pPr>
              <w:pStyle w:val="42"/>
              <w:spacing w:before="81" w:after="81"/>
              <w:textAlignment w:val="center"/>
              <w:rPr>
                <w:rFonts w:ascii="Times New Roman" w:hAnsi="Times New Roman"/>
                <w:szCs w:val="21"/>
                <w:highlight w:val="none"/>
              </w:rPr>
            </w:pPr>
            <w:r>
              <w:rPr>
                <w:rFonts w:ascii="Times New Roman" w:hAnsi="Times New Roman"/>
                <w:szCs w:val="21"/>
                <w:highlight w:val="none"/>
              </w:rPr>
              <w:t>餐厨垃圾及废油脂</w:t>
            </w:r>
          </w:p>
        </w:tc>
        <w:tc>
          <w:tcPr>
            <w:tcW w:w="899" w:type="pct"/>
            <w:gridSpan w:val="2"/>
            <w:noWrap w:val="0"/>
            <w:vAlign w:val="center"/>
          </w:tcPr>
          <w:p w14:paraId="71006722">
            <w:pPr>
              <w:pStyle w:val="42"/>
              <w:spacing w:before="81" w:after="81"/>
              <w:textAlignment w:val="center"/>
              <w:rPr>
                <w:rFonts w:ascii="Times New Roman" w:hAnsi="Times New Roman"/>
                <w:szCs w:val="21"/>
                <w:highlight w:val="none"/>
              </w:rPr>
            </w:pPr>
            <w:r>
              <w:rPr>
                <w:rFonts w:ascii="Times New Roman" w:hAnsi="Times New Roman"/>
                <w:szCs w:val="21"/>
                <w:highlight w:val="none"/>
              </w:rPr>
              <w:t>/</w:t>
            </w:r>
          </w:p>
        </w:tc>
        <w:tc>
          <w:tcPr>
            <w:tcW w:w="299" w:type="pct"/>
            <w:noWrap w:val="0"/>
            <w:vAlign w:val="center"/>
          </w:tcPr>
          <w:p w14:paraId="3C408603">
            <w:pPr>
              <w:pStyle w:val="42"/>
              <w:spacing w:before="81" w:after="81"/>
              <w:textAlignment w:val="center"/>
              <w:rPr>
                <w:rFonts w:ascii="Times New Roman" w:hAnsi="Times New Roman"/>
                <w:szCs w:val="21"/>
                <w:highlight w:val="none"/>
              </w:rPr>
            </w:pPr>
            <w:r>
              <w:rPr>
                <w:rFonts w:ascii="Times New Roman" w:hAnsi="Times New Roman"/>
                <w:szCs w:val="21"/>
                <w:highlight w:val="none"/>
              </w:rPr>
              <w:t>一般固体废物</w:t>
            </w:r>
          </w:p>
        </w:tc>
        <w:tc>
          <w:tcPr>
            <w:tcW w:w="450" w:type="pct"/>
            <w:noWrap w:val="0"/>
            <w:vAlign w:val="center"/>
          </w:tcPr>
          <w:p w14:paraId="10A31C58">
            <w:pPr>
              <w:pStyle w:val="42"/>
              <w:spacing w:before="81" w:after="81"/>
              <w:textAlignment w:val="center"/>
              <w:rPr>
                <w:rFonts w:ascii="Times New Roman" w:hAnsi="Times New Roman"/>
                <w:szCs w:val="21"/>
                <w:highlight w:val="none"/>
              </w:rPr>
            </w:pPr>
            <w:r>
              <w:rPr>
                <w:rFonts w:ascii="Times New Roman" w:hAnsi="Times New Roman"/>
                <w:szCs w:val="21"/>
                <w:highlight w:val="none"/>
              </w:rPr>
              <w:t>系数法</w:t>
            </w:r>
          </w:p>
        </w:tc>
        <w:tc>
          <w:tcPr>
            <w:tcW w:w="522" w:type="pct"/>
            <w:noWrap w:val="0"/>
            <w:vAlign w:val="center"/>
          </w:tcPr>
          <w:p w14:paraId="45722795">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11.122</w:t>
            </w:r>
          </w:p>
        </w:tc>
        <w:tc>
          <w:tcPr>
            <w:tcW w:w="426" w:type="pct"/>
            <w:noWrap w:val="0"/>
            <w:vAlign w:val="center"/>
          </w:tcPr>
          <w:p w14:paraId="6FE0BCDD">
            <w:pPr>
              <w:pStyle w:val="42"/>
              <w:spacing w:before="81" w:after="81"/>
              <w:textAlignment w:val="center"/>
              <w:rPr>
                <w:rFonts w:ascii="Times New Roman" w:hAnsi="Times New Roman"/>
                <w:szCs w:val="21"/>
                <w:highlight w:val="none"/>
              </w:rPr>
            </w:pPr>
            <w:r>
              <w:rPr>
                <w:rFonts w:ascii="Times New Roman" w:hAnsi="Times New Roman"/>
                <w:szCs w:val="21"/>
                <w:highlight w:val="none"/>
              </w:rPr>
              <w:t>委托处理</w:t>
            </w:r>
          </w:p>
        </w:tc>
        <w:tc>
          <w:tcPr>
            <w:tcW w:w="600" w:type="pct"/>
            <w:noWrap w:val="0"/>
            <w:vAlign w:val="center"/>
          </w:tcPr>
          <w:p w14:paraId="4513860F">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11.122</w:t>
            </w:r>
          </w:p>
        </w:tc>
        <w:tc>
          <w:tcPr>
            <w:tcW w:w="565" w:type="pct"/>
            <w:noWrap w:val="0"/>
            <w:vAlign w:val="center"/>
          </w:tcPr>
          <w:p w14:paraId="02A9F387">
            <w:pPr>
              <w:pStyle w:val="42"/>
              <w:spacing w:before="81" w:after="81"/>
              <w:textAlignment w:val="center"/>
              <w:rPr>
                <w:rFonts w:ascii="Times New Roman" w:hAnsi="Times New Roman"/>
                <w:szCs w:val="21"/>
                <w:highlight w:val="none"/>
              </w:rPr>
            </w:pPr>
            <w:r>
              <w:rPr>
                <w:rFonts w:ascii="Times New Roman" w:hAnsi="Times New Roman"/>
                <w:szCs w:val="21"/>
                <w:highlight w:val="none"/>
              </w:rPr>
              <w:t>委托有资质单位处置</w:t>
            </w:r>
          </w:p>
        </w:tc>
      </w:tr>
      <w:tr w14:paraId="4DB74E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Merge w:val="continue"/>
            <w:noWrap w:val="0"/>
            <w:vAlign w:val="center"/>
          </w:tcPr>
          <w:p w14:paraId="4A6119E7">
            <w:pPr>
              <w:pStyle w:val="42"/>
              <w:spacing w:before="81" w:after="81"/>
              <w:textAlignment w:val="center"/>
              <w:rPr>
                <w:rFonts w:ascii="Times New Roman" w:hAnsi="Times New Roman"/>
                <w:szCs w:val="21"/>
                <w:highlight w:val="none"/>
              </w:rPr>
            </w:pPr>
          </w:p>
        </w:tc>
        <w:tc>
          <w:tcPr>
            <w:tcW w:w="461" w:type="pct"/>
            <w:noWrap w:val="0"/>
            <w:vAlign w:val="center"/>
          </w:tcPr>
          <w:p w14:paraId="2F095FDE">
            <w:pPr>
              <w:pStyle w:val="42"/>
              <w:spacing w:before="81" w:after="81"/>
              <w:textAlignment w:val="center"/>
              <w:rPr>
                <w:rFonts w:ascii="Times New Roman" w:hAnsi="Times New Roman"/>
                <w:szCs w:val="21"/>
                <w:highlight w:val="none"/>
              </w:rPr>
            </w:pPr>
            <w:r>
              <w:rPr>
                <w:rFonts w:ascii="Times New Roman" w:hAnsi="Times New Roman"/>
                <w:szCs w:val="21"/>
                <w:highlight w:val="none"/>
              </w:rPr>
              <w:t>办公室</w:t>
            </w:r>
          </w:p>
        </w:tc>
        <w:tc>
          <w:tcPr>
            <w:tcW w:w="396" w:type="pct"/>
            <w:noWrap w:val="0"/>
            <w:vAlign w:val="center"/>
          </w:tcPr>
          <w:p w14:paraId="45B00DC0">
            <w:pPr>
              <w:pStyle w:val="42"/>
              <w:spacing w:before="81" w:after="81"/>
              <w:textAlignment w:val="center"/>
              <w:rPr>
                <w:rFonts w:ascii="Times New Roman" w:hAnsi="Times New Roman"/>
                <w:szCs w:val="21"/>
                <w:highlight w:val="none"/>
              </w:rPr>
            </w:pPr>
            <w:r>
              <w:rPr>
                <w:rFonts w:ascii="Times New Roman" w:hAnsi="Times New Roman"/>
                <w:szCs w:val="21"/>
                <w:highlight w:val="none"/>
              </w:rPr>
              <w:t>生活垃圾</w:t>
            </w:r>
          </w:p>
        </w:tc>
        <w:tc>
          <w:tcPr>
            <w:tcW w:w="899" w:type="pct"/>
            <w:gridSpan w:val="2"/>
            <w:noWrap w:val="0"/>
            <w:vAlign w:val="center"/>
          </w:tcPr>
          <w:p w14:paraId="2FAE71F6">
            <w:pPr>
              <w:pStyle w:val="42"/>
              <w:spacing w:before="81" w:after="81"/>
              <w:textAlignment w:val="center"/>
              <w:rPr>
                <w:rFonts w:ascii="Times New Roman" w:hAnsi="Times New Roman"/>
                <w:szCs w:val="21"/>
                <w:highlight w:val="none"/>
              </w:rPr>
            </w:pPr>
            <w:r>
              <w:rPr>
                <w:rFonts w:ascii="Times New Roman" w:hAnsi="Times New Roman"/>
                <w:szCs w:val="21"/>
                <w:highlight w:val="none"/>
              </w:rPr>
              <w:t>/</w:t>
            </w:r>
          </w:p>
        </w:tc>
        <w:tc>
          <w:tcPr>
            <w:tcW w:w="299" w:type="pct"/>
            <w:noWrap w:val="0"/>
            <w:vAlign w:val="center"/>
          </w:tcPr>
          <w:p w14:paraId="72D4E4EC">
            <w:pPr>
              <w:pStyle w:val="42"/>
              <w:spacing w:before="81" w:after="81"/>
              <w:textAlignment w:val="center"/>
              <w:rPr>
                <w:rFonts w:ascii="Times New Roman" w:hAnsi="Times New Roman"/>
                <w:szCs w:val="21"/>
                <w:highlight w:val="none"/>
              </w:rPr>
            </w:pPr>
            <w:r>
              <w:rPr>
                <w:rFonts w:ascii="Times New Roman" w:hAnsi="Times New Roman"/>
                <w:szCs w:val="21"/>
                <w:highlight w:val="none"/>
              </w:rPr>
              <w:t>一般固体废物</w:t>
            </w:r>
          </w:p>
        </w:tc>
        <w:tc>
          <w:tcPr>
            <w:tcW w:w="450" w:type="pct"/>
            <w:noWrap w:val="0"/>
            <w:vAlign w:val="center"/>
          </w:tcPr>
          <w:p w14:paraId="1134E4B4">
            <w:pPr>
              <w:pStyle w:val="42"/>
              <w:spacing w:before="81" w:after="81"/>
              <w:textAlignment w:val="center"/>
              <w:rPr>
                <w:rFonts w:ascii="Times New Roman" w:hAnsi="Times New Roman"/>
                <w:szCs w:val="21"/>
                <w:highlight w:val="none"/>
              </w:rPr>
            </w:pPr>
            <w:r>
              <w:rPr>
                <w:rFonts w:ascii="Times New Roman" w:hAnsi="Times New Roman"/>
                <w:szCs w:val="21"/>
                <w:highlight w:val="none"/>
              </w:rPr>
              <w:t>系数法</w:t>
            </w:r>
          </w:p>
        </w:tc>
        <w:tc>
          <w:tcPr>
            <w:tcW w:w="522" w:type="pct"/>
            <w:noWrap w:val="0"/>
            <w:vAlign w:val="center"/>
          </w:tcPr>
          <w:p w14:paraId="0BD688CB">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18.38</w:t>
            </w:r>
          </w:p>
        </w:tc>
        <w:tc>
          <w:tcPr>
            <w:tcW w:w="426" w:type="pct"/>
            <w:noWrap w:val="0"/>
            <w:vAlign w:val="center"/>
          </w:tcPr>
          <w:p w14:paraId="32F7151F">
            <w:pPr>
              <w:pStyle w:val="42"/>
              <w:spacing w:before="81" w:after="81"/>
              <w:textAlignment w:val="center"/>
              <w:rPr>
                <w:rFonts w:ascii="Times New Roman" w:hAnsi="Times New Roman"/>
                <w:szCs w:val="21"/>
                <w:highlight w:val="none"/>
              </w:rPr>
            </w:pPr>
            <w:r>
              <w:rPr>
                <w:rFonts w:ascii="Times New Roman" w:hAnsi="Times New Roman"/>
                <w:szCs w:val="21"/>
                <w:highlight w:val="none"/>
              </w:rPr>
              <w:t>日产日清</w:t>
            </w:r>
          </w:p>
        </w:tc>
        <w:tc>
          <w:tcPr>
            <w:tcW w:w="600" w:type="pct"/>
            <w:noWrap w:val="0"/>
            <w:vAlign w:val="center"/>
          </w:tcPr>
          <w:p w14:paraId="06492193">
            <w:pPr>
              <w:pStyle w:val="42"/>
              <w:spacing w:before="81" w:after="81"/>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18.38</w:t>
            </w:r>
          </w:p>
        </w:tc>
        <w:tc>
          <w:tcPr>
            <w:tcW w:w="565" w:type="pct"/>
            <w:noWrap w:val="0"/>
            <w:vAlign w:val="center"/>
          </w:tcPr>
          <w:p w14:paraId="2873EF24">
            <w:pPr>
              <w:pStyle w:val="42"/>
              <w:spacing w:before="81" w:after="81"/>
              <w:textAlignment w:val="center"/>
              <w:rPr>
                <w:rFonts w:ascii="Times New Roman" w:hAnsi="Times New Roman"/>
                <w:szCs w:val="21"/>
                <w:highlight w:val="none"/>
              </w:rPr>
            </w:pPr>
            <w:r>
              <w:rPr>
                <w:rFonts w:ascii="Times New Roman" w:hAnsi="Times New Roman"/>
                <w:szCs w:val="21"/>
                <w:highlight w:val="none"/>
              </w:rPr>
              <w:t>由市政环卫部门统一处理</w:t>
            </w:r>
          </w:p>
        </w:tc>
      </w:tr>
    </w:tbl>
    <w:p w14:paraId="10A28AF3">
      <w:pPr>
        <w:pStyle w:val="23"/>
        <w:rPr>
          <w:rFonts w:hint="default"/>
          <w:highlight w:val="none"/>
          <w:lang w:val="en-US" w:eastAsia="zh-CN"/>
        </w:rPr>
        <w:sectPr>
          <w:pgSz w:w="16838" w:h="11906" w:orient="landscape"/>
          <w:pgMar w:top="1383"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11022FFF">
      <w:pPr>
        <w:pStyle w:val="5"/>
        <w:bidi w:val="0"/>
        <w:ind w:left="0" w:leftChars="0" w:firstLine="0" w:firstLineChars="0"/>
        <w:rPr>
          <w:rFonts w:hint="eastAsia"/>
          <w:highlight w:val="none"/>
        </w:rPr>
      </w:pPr>
      <w:bookmarkStart w:id="88" w:name="_Toc15165"/>
      <w:r>
        <w:rPr>
          <w:rFonts w:hint="eastAsia" w:ascii="Times New Roman" w:hAnsi="Times New Roman" w:cs="Times New Roman"/>
          <w:highlight w:val="none"/>
          <w:lang w:val="en-US" w:eastAsia="zh-CN"/>
        </w:rPr>
        <w:t>3.3.6</w:t>
      </w:r>
      <w:r>
        <w:rPr>
          <w:rFonts w:hint="eastAsia"/>
          <w:highlight w:val="none"/>
        </w:rPr>
        <w:t>燃料及灰渣运输环节移动源</w:t>
      </w:r>
      <w:bookmarkEnd w:id="88"/>
    </w:p>
    <w:p w14:paraId="1E260688">
      <w:pPr>
        <w:ind w:firstLine="480"/>
        <w:rPr>
          <w:highlight w:val="none"/>
        </w:rPr>
      </w:pPr>
      <w:r>
        <w:rPr>
          <w:rFonts w:hint="eastAsia"/>
          <w:highlight w:val="none"/>
        </w:rPr>
        <w:t>（1）本项目燃煤及灰渣运输路线</w:t>
      </w:r>
    </w:p>
    <w:p w14:paraId="57586EA8">
      <w:pPr>
        <w:ind w:firstLine="480"/>
        <w:rPr>
          <w:rFonts w:hint="default" w:eastAsia="宋体"/>
          <w:highlight w:val="none"/>
          <w:lang w:val="en-US" w:eastAsia="zh-CN"/>
        </w:rPr>
      </w:pPr>
      <w:r>
        <w:rPr>
          <w:rFonts w:hint="eastAsia"/>
          <w:highlight w:val="none"/>
        </w:rPr>
        <w:t>本项目燃煤及灰渣采用公路运输方式，从煤炭供应地出发通过汽车运至本项目厂区内储煤场内</w:t>
      </w:r>
      <w:r>
        <w:rPr>
          <w:rFonts w:hint="eastAsia"/>
          <w:highlight w:val="none"/>
        </w:rPr>
        <w:t>。灰渣从本项目厂址通过汽车运至</w:t>
      </w:r>
      <w:r>
        <w:rPr>
          <w:rFonts w:hint="eastAsia"/>
          <w:highlight w:val="none"/>
          <w:lang w:val="en-US" w:eastAsia="zh-CN"/>
        </w:rPr>
        <w:t>采矿区回填。</w:t>
      </w:r>
    </w:p>
    <w:p w14:paraId="3A10DEDF">
      <w:pPr>
        <w:ind w:firstLine="480"/>
        <w:rPr>
          <w:highlight w:val="none"/>
        </w:rPr>
      </w:pPr>
      <w:r>
        <w:rPr>
          <w:rFonts w:hint="eastAsia"/>
          <w:highlight w:val="none"/>
        </w:rPr>
        <w:t>（2）燃煤及灰渣运输过程扬尘环境影响分析</w:t>
      </w:r>
    </w:p>
    <w:p w14:paraId="56019719">
      <w:pPr>
        <w:ind w:firstLine="480"/>
        <w:rPr>
          <w:highlight w:val="none"/>
        </w:rPr>
      </w:pPr>
      <w:r>
        <w:rPr>
          <w:rFonts w:hint="eastAsia"/>
          <w:highlight w:val="none"/>
        </w:rPr>
        <w:t>本项目燃煤运输车辆采用苫布遮盖；炉渣经渣仓由卸干渣设备装车外运至综合利用单位；干灰采用气力输送至灰仓，采用封闭罐车运输至综合利用单位。车辆行驶过程中由于轮胎与路面接触会产生路面风蚀扬尘，由于运输道路全部为是水泥路面，运输车辆行驶过程中产生的扬尘量较少，因此运输车辆行驶过程中产生的路面扬尘对环境影响较小。</w:t>
      </w:r>
    </w:p>
    <w:p w14:paraId="7728A722">
      <w:pPr>
        <w:ind w:firstLine="480"/>
        <w:rPr>
          <w:highlight w:val="none"/>
        </w:rPr>
      </w:pPr>
      <w:r>
        <w:rPr>
          <w:rFonts w:hint="eastAsia"/>
          <w:highlight w:val="none"/>
        </w:rPr>
        <w:t>（3）燃煤及灰渣运输过程中声环境影响分析</w:t>
      </w:r>
    </w:p>
    <w:p w14:paraId="7EDCA6EC">
      <w:pPr>
        <w:ind w:firstLine="480"/>
        <w:rPr>
          <w:highlight w:val="none"/>
        </w:rPr>
      </w:pPr>
      <w:r>
        <w:rPr>
          <w:rFonts w:hint="eastAsia"/>
          <w:highlight w:val="none"/>
        </w:rPr>
        <w:t>交通噪声对环境的影响，采用《公路建设项目环境影响评价规范》（JTG B03-2006）中推荐的公路交通噪声预测模式，其模式如下：</w:t>
      </w:r>
    </w:p>
    <w:p w14:paraId="7DFA3F97">
      <w:pPr>
        <w:ind w:firstLine="0" w:firstLineChars="0"/>
        <w:jc w:val="center"/>
        <w:rPr>
          <w:highlight w:val="none"/>
        </w:rPr>
      </w:pPr>
      <w:r>
        <w:rPr>
          <w:rFonts w:cs="Times New Roman"/>
          <w:highlight w:val="none"/>
        </w:rPr>
        <w:object>
          <v:shape id="_x0000_i1026" o:spt="75" type="#_x0000_t75" style="height:55.85pt;width:432.6pt;" o:ole="t" filled="f" o:preferrelative="t" stroked="f" coordsize="21600,21600">
            <v:path/>
            <v:fill on="f" focussize="0,0"/>
            <v:stroke on="f" joinstyle="miter"/>
            <v:imagedata r:id="rId32" o:title=""/>
            <o:lock v:ext="edit" aspectratio="t"/>
            <w10:wrap type="none"/>
            <w10:anchorlock/>
          </v:shape>
          <o:OLEObject Type="Embed" ProgID="Equation.3" ShapeID="_x0000_i1026" DrawAspect="Content" ObjectID="_1468075726" r:id="rId31">
            <o:LockedField>false</o:LockedField>
          </o:OLEObject>
        </w:object>
      </w:r>
      <w:r>
        <w:rPr>
          <w:rFonts w:hint="eastAsia"/>
          <w:highlight w:val="none"/>
        </w:rPr>
        <w:t>式中：(L</w:t>
      </w:r>
      <w:r>
        <w:rPr>
          <w:rFonts w:hint="eastAsia"/>
          <w:highlight w:val="none"/>
          <w:vertAlign w:val="subscript"/>
        </w:rPr>
        <w:t>Aeq</w:t>
      </w:r>
      <w:r>
        <w:rPr>
          <w:rFonts w:hint="eastAsia"/>
          <w:highlight w:val="none"/>
        </w:rPr>
        <w:t>)</w:t>
      </w:r>
      <w:r>
        <w:rPr>
          <w:rFonts w:hint="eastAsia"/>
          <w:highlight w:val="none"/>
          <w:vertAlign w:val="subscript"/>
        </w:rPr>
        <w:t>i</w:t>
      </w:r>
      <w:r>
        <w:rPr>
          <w:rFonts w:hint="eastAsia"/>
          <w:highlight w:val="none"/>
        </w:rPr>
        <w:t>——i型车辆行驶于昼间或夜间，预测点接收到小时交通噪声值，dB（A）；</w:t>
      </w:r>
    </w:p>
    <w:p w14:paraId="507DE628">
      <w:pPr>
        <w:ind w:firstLine="480"/>
        <w:rPr>
          <w:highlight w:val="none"/>
        </w:rPr>
      </w:pPr>
      <w:r>
        <w:rPr>
          <w:rFonts w:hint="eastAsia"/>
          <w:highlight w:val="none"/>
        </w:rPr>
        <w:t>L</w:t>
      </w:r>
      <w:r>
        <w:rPr>
          <w:rFonts w:hint="eastAsia"/>
          <w:highlight w:val="none"/>
          <w:vertAlign w:val="subscript"/>
        </w:rPr>
        <w:t>w,i</w:t>
      </w:r>
      <w:r>
        <w:rPr>
          <w:rFonts w:hint="eastAsia"/>
          <w:highlight w:val="none"/>
        </w:rPr>
        <w:t>——第i型车辆的平均辐射声级，相当于7.5m处的A声级，dB（A）；</w:t>
      </w:r>
    </w:p>
    <w:p w14:paraId="0700547D">
      <w:pPr>
        <w:ind w:firstLine="480"/>
        <w:rPr>
          <w:highlight w:val="none"/>
        </w:rPr>
      </w:pPr>
      <w:r>
        <w:rPr>
          <w:rFonts w:hint="eastAsia"/>
          <w:highlight w:val="none"/>
        </w:rPr>
        <w:t>N</w:t>
      </w:r>
      <w:r>
        <w:rPr>
          <w:rFonts w:hint="eastAsia"/>
          <w:highlight w:val="none"/>
          <w:vertAlign w:val="subscript"/>
        </w:rPr>
        <w:t>i</w:t>
      </w:r>
      <w:r>
        <w:rPr>
          <w:rFonts w:hint="eastAsia"/>
          <w:highlight w:val="none"/>
        </w:rPr>
        <w:t>——第i型车辆的昼间或夜间的平均小时交通量，辆/h；</w:t>
      </w:r>
    </w:p>
    <w:p w14:paraId="49B6DA28">
      <w:pPr>
        <w:ind w:firstLine="480"/>
        <w:rPr>
          <w:highlight w:val="none"/>
        </w:rPr>
      </w:pPr>
      <w:r>
        <w:rPr>
          <w:rFonts w:hint="eastAsia"/>
          <w:highlight w:val="none"/>
        </w:rPr>
        <w:t>v</w:t>
      </w:r>
      <w:r>
        <w:rPr>
          <w:rFonts w:hint="eastAsia"/>
          <w:highlight w:val="none"/>
          <w:vertAlign w:val="subscript"/>
        </w:rPr>
        <w:t>i</w:t>
      </w:r>
      <w:r>
        <w:rPr>
          <w:rFonts w:hint="eastAsia"/>
          <w:highlight w:val="none"/>
        </w:rPr>
        <w:t>——i型车辆的平均行驶速度，km/h；</w:t>
      </w:r>
    </w:p>
    <w:p w14:paraId="02ECC1DB">
      <w:pPr>
        <w:ind w:firstLine="480"/>
        <w:rPr>
          <w:highlight w:val="none"/>
        </w:rPr>
      </w:pPr>
      <w:r>
        <w:rPr>
          <w:rFonts w:hint="eastAsia"/>
          <w:highlight w:val="none"/>
        </w:rPr>
        <w:t>T——LAeq的预测时间，在此取1h；</w:t>
      </w:r>
    </w:p>
    <w:p w14:paraId="5AEC8CA4">
      <w:pPr>
        <w:ind w:firstLine="480"/>
        <w:rPr>
          <w:highlight w:val="none"/>
        </w:rPr>
      </w:pPr>
      <w:r>
        <w:rPr>
          <w:rFonts w:hint="eastAsia"/>
          <w:highlight w:val="none"/>
        </w:rPr>
        <w:t>ΔL距离——第i型车辆行驶噪声，昼间或夜间在距噪声等效行车线距离为r的预测点处的距离衰减量，dB（A）；</w:t>
      </w:r>
    </w:p>
    <w:p w14:paraId="2B2F77AB">
      <w:pPr>
        <w:ind w:firstLine="480"/>
        <w:rPr>
          <w:highlight w:val="none"/>
        </w:rPr>
      </w:pPr>
      <w:r>
        <w:rPr>
          <w:rFonts w:hint="eastAsia"/>
          <w:highlight w:val="none"/>
        </w:rPr>
        <w:t>ΔL纵坡——公路纵坡引起的交通噪声修正量，dB（A）；</w:t>
      </w:r>
    </w:p>
    <w:p w14:paraId="28B57C4F">
      <w:pPr>
        <w:ind w:firstLine="480"/>
        <w:rPr>
          <w:highlight w:val="none"/>
        </w:rPr>
      </w:pPr>
      <w:r>
        <w:rPr>
          <w:rFonts w:hint="eastAsia"/>
          <w:highlight w:val="none"/>
        </w:rPr>
        <w:t>ΔL路面——公路路面引起的交通噪声修正量，dB（A）。</w:t>
      </w:r>
    </w:p>
    <w:p w14:paraId="01EA8B29">
      <w:pPr>
        <w:ind w:firstLine="480"/>
        <w:rPr>
          <w:highlight w:val="none"/>
        </w:rPr>
      </w:pPr>
      <w:r>
        <w:rPr>
          <w:rFonts w:hint="eastAsia"/>
          <w:highlight w:val="none"/>
        </w:rPr>
        <w:t>本项目运输车辆引发的公路交通噪声对公路两侧的噪声贡献值见表</w:t>
      </w:r>
      <w:r>
        <w:rPr>
          <w:rFonts w:hint="eastAsia"/>
          <w:highlight w:val="none"/>
          <w:lang w:val="en-US" w:eastAsia="zh-CN"/>
        </w:rPr>
        <w:t>3.3-7</w:t>
      </w:r>
      <w:r>
        <w:rPr>
          <w:rFonts w:hint="eastAsia"/>
          <w:highlight w:val="none"/>
        </w:rPr>
        <w:t>。</w:t>
      </w:r>
    </w:p>
    <w:p w14:paraId="2DE073A3">
      <w:pPr>
        <w:ind w:firstLine="0" w:firstLineChars="0"/>
        <w:jc w:val="center"/>
        <w:rPr>
          <w:highlight w:val="none"/>
        </w:rPr>
      </w:pPr>
    </w:p>
    <w:p w14:paraId="4E89E05A">
      <w:pPr>
        <w:ind w:firstLine="0" w:firstLineChars="0"/>
        <w:jc w:val="center"/>
        <w:rPr>
          <w:highlight w:val="none"/>
        </w:rPr>
      </w:pPr>
      <w:r>
        <w:rPr>
          <w:rFonts w:hint="eastAsia"/>
          <w:b/>
          <w:bCs/>
          <w:highlight w:val="none"/>
        </w:rPr>
        <w:t>表</w:t>
      </w:r>
      <w:r>
        <w:rPr>
          <w:rFonts w:hint="eastAsia"/>
          <w:b/>
          <w:bCs/>
          <w:highlight w:val="none"/>
          <w:lang w:val="en-US" w:eastAsia="zh-CN"/>
        </w:rPr>
        <w:t>3.3-7</w:t>
      </w:r>
      <w:r>
        <w:rPr>
          <w:rFonts w:hint="eastAsia"/>
          <w:b/>
          <w:bCs/>
          <w:highlight w:val="none"/>
        </w:rPr>
        <w:t>本项目公路运输交通噪声贡献值（单位：dB(A)）</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775"/>
        <w:gridCol w:w="775"/>
        <w:gridCol w:w="775"/>
        <w:gridCol w:w="775"/>
        <w:gridCol w:w="784"/>
        <w:gridCol w:w="776"/>
        <w:gridCol w:w="776"/>
        <w:gridCol w:w="776"/>
        <w:gridCol w:w="776"/>
        <w:gridCol w:w="776"/>
        <w:gridCol w:w="758"/>
      </w:tblGrid>
      <w:tr w14:paraId="46662B8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55" w:type="pct"/>
            <w:vAlign w:val="center"/>
          </w:tcPr>
          <w:p w14:paraId="3A620D9F">
            <w:pPr>
              <w:spacing w:line="240" w:lineRule="auto"/>
              <w:ind w:firstLine="0" w:firstLineChars="0"/>
              <w:jc w:val="center"/>
              <w:rPr>
                <w:rFonts w:cs="Times New Roman"/>
                <w:sz w:val="21"/>
                <w:szCs w:val="21"/>
                <w:highlight w:val="none"/>
              </w:rPr>
            </w:pPr>
            <w:r>
              <w:rPr>
                <w:rFonts w:cs="Times New Roman"/>
                <w:sz w:val="21"/>
                <w:szCs w:val="21"/>
                <w:highlight w:val="none"/>
              </w:rPr>
              <w:t>路段</w:t>
            </w:r>
          </w:p>
        </w:tc>
        <w:tc>
          <w:tcPr>
            <w:tcW w:w="4545" w:type="pct"/>
            <w:gridSpan w:val="10"/>
            <w:vAlign w:val="center"/>
          </w:tcPr>
          <w:p w14:paraId="21D8D8C7">
            <w:pPr>
              <w:spacing w:line="240" w:lineRule="auto"/>
              <w:ind w:firstLine="0" w:firstLineChars="0"/>
              <w:jc w:val="center"/>
              <w:rPr>
                <w:rFonts w:cs="Times New Roman"/>
                <w:sz w:val="21"/>
                <w:szCs w:val="21"/>
                <w:highlight w:val="none"/>
              </w:rPr>
            </w:pPr>
            <w:r>
              <w:rPr>
                <w:rFonts w:cs="Times New Roman"/>
                <w:sz w:val="21"/>
                <w:szCs w:val="21"/>
                <w:highlight w:val="none"/>
              </w:rPr>
              <w:t>公路中线两侧不同距离处交通噪声贡献值LAeq，dB（A）</w:t>
            </w:r>
          </w:p>
        </w:tc>
      </w:tr>
      <w:tr w14:paraId="03F50CF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55" w:type="pct"/>
            <w:vMerge w:val="restart"/>
            <w:vAlign w:val="center"/>
          </w:tcPr>
          <w:p w14:paraId="2B4B113A">
            <w:pPr>
              <w:spacing w:line="240" w:lineRule="auto"/>
              <w:ind w:firstLine="0" w:firstLineChars="0"/>
              <w:jc w:val="center"/>
              <w:rPr>
                <w:rFonts w:cs="Times New Roman"/>
                <w:sz w:val="21"/>
                <w:szCs w:val="21"/>
                <w:highlight w:val="none"/>
              </w:rPr>
            </w:pPr>
            <w:r>
              <w:rPr>
                <w:rFonts w:cs="Times New Roman"/>
                <w:sz w:val="21"/>
                <w:szCs w:val="21"/>
                <w:highlight w:val="none"/>
              </w:rPr>
              <w:t>全</w:t>
            </w:r>
          </w:p>
          <w:p w14:paraId="6A44ABFD">
            <w:pPr>
              <w:spacing w:line="240" w:lineRule="auto"/>
              <w:ind w:firstLine="0" w:firstLineChars="0"/>
              <w:jc w:val="center"/>
              <w:rPr>
                <w:rFonts w:cs="Times New Roman"/>
                <w:sz w:val="21"/>
                <w:szCs w:val="21"/>
                <w:highlight w:val="none"/>
              </w:rPr>
            </w:pPr>
            <w:r>
              <w:rPr>
                <w:rFonts w:cs="Times New Roman"/>
                <w:sz w:val="21"/>
                <w:szCs w:val="21"/>
                <w:highlight w:val="none"/>
              </w:rPr>
              <w:t>路</w:t>
            </w:r>
          </w:p>
          <w:p w14:paraId="4ACBE524">
            <w:pPr>
              <w:spacing w:line="240" w:lineRule="auto"/>
              <w:ind w:firstLine="0" w:firstLineChars="0"/>
              <w:jc w:val="center"/>
              <w:rPr>
                <w:rFonts w:cs="Times New Roman"/>
                <w:sz w:val="21"/>
                <w:szCs w:val="21"/>
                <w:highlight w:val="none"/>
              </w:rPr>
            </w:pPr>
            <w:r>
              <w:rPr>
                <w:rFonts w:cs="Times New Roman"/>
                <w:sz w:val="21"/>
                <w:szCs w:val="21"/>
                <w:highlight w:val="none"/>
              </w:rPr>
              <w:t>段</w:t>
            </w:r>
          </w:p>
        </w:tc>
        <w:tc>
          <w:tcPr>
            <w:tcW w:w="1824" w:type="pct"/>
            <w:gridSpan w:val="4"/>
            <w:vAlign w:val="center"/>
          </w:tcPr>
          <w:p w14:paraId="1B7FE6CC">
            <w:pPr>
              <w:spacing w:line="240" w:lineRule="auto"/>
              <w:ind w:firstLine="0" w:firstLineChars="0"/>
              <w:jc w:val="center"/>
              <w:rPr>
                <w:rFonts w:cs="Times New Roman"/>
                <w:sz w:val="21"/>
                <w:szCs w:val="21"/>
                <w:highlight w:val="none"/>
              </w:rPr>
            </w:pPr>
            <w:r>
              <w:rPr>
                <w:rFonts w:cs="Times New Roman"/>
                <w:sz w:val="21"/>
                <w:szCs w:val="21"/>
                <w:highlight w:val="none"/>
              </w:rPr>
              <w:t>4a类声环境功能区</w:t>
            </w:r>
          </w:p>
        </w:tc>
        <w:tc>
          <w:tcPr>
            <w:tcW w:w="2721" w:type="pct"/>
            <w:gridSpan w:val="6"/>
            <w:vAlign w:val="center"/>
          </w:tcPr>
          <w:p w14:paraId="35719A03">
            <w:pPr>
              <w:spacing w:line="240" w:lineRule="auto"/>
              <w:ind w:firstLine="0" w:firstLineChars="0"/>
              <w:jc w:val="center"/>
              <w:rPr>
                <w:rFonts w:cs="Times New Roman"/>
                <w:sz w:val="21"/>
                <w:szCs w:val="21"/>
                <w:highlight w:val="none"/>
              </w:rPr>
            </w:pPr>
            <w:r>
              <w:rPr>
                <w:rFonts w:cs="Times New Roman"/>
                <w:sz w:val="21"/>
                <w:szCs w:val="21"/>
                <w:highlight w:val="none"/>
              </w:rPr>
              <w:t>2类声环境功能区</w:t>
            </w:r>
          </w:p>
        </w:tc>
      </w:tr>
      <w:tr w14:paraId="7C4068F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55" w:type="pct"/>
            <w:vMerge w:val="continue"/>
            <w:vAlign w:val="center"/>
          </w:tcPr>
          <w:p w14:paraId="69DBAC46">
            <w:pPr>
              <w:spacing w:line="240" w:lineRule="auto"/>
              <w:ind w:firstLine="0" w:firstLineChars="0"/>
              <w:jc w:val="center"/>
              <w:rPr>
                <w:rFonts w:cs="Times New Roman"/>
                <w:sz w:val="21"/>
                <w:szCs w:val="21"/>
                <w:highlight w:val="none"/>
              </w:rPr>
            </w:pPr>
          </w:p>
        </w:tc>
        <w:tc>
          <w:tcPr>
            <w:tcW w:w="455" w:type="pct"/>
            <w:vAlign w:val="center"/>
          </w:tcPr>
          <w:p w14:paraId="2D36AE26">
            <w:pPr>
              <w:spacing w:line="240" w:lineRule="auto"/>
              <w:ind w:firstLine="0" w:firstLineChars="0"/>
              <w:jc w:val="center"/>
              <w:rPr>
                <w:rFonts w:cs="Times New Roman"/>
                <w:sz w:val="21"/>
                <w:szCs w:val="21"/>
                <w:highlight w:val="none"/>
              </w:rPr>
            </w:pPr>
            <w:r>
              <w:rPr>
                <w:rFonts w:cs="Times New Roman"/>
                <w:sz w:val="21"/>
                <w:szCs w:val="21"/>
                <w:highlight w:val="none"/>
              </w:rPr>
              <w:t>10m</w:t>
            </w:r>
          </w:p>
        </w:tc>
        <w:tc>
          <w:tcPr>
            <w:tcW w:w="455" w:type="pct"/>
            <w:vAlign w:val="center"/>
          </w:tcPr>
          <w:p w14:paraId="0E3C0C17">
            <w:pPr>
              <w:spacing w:line="240" w:lineRule="auto"/>
              <w:ind w:firstLine="0" w:firstLineChars="0"/>
              <w:jc w:val="center"/>
              <w:rPr>
                <w:rFonts w:cs="Times New Roman"/>
                <w:sz w:val="21"/>
                <w:szCs w:val="21"/>
                <w:highlight w:val="none"/>
              </w:rPr>
            </w:pPr>
            <w:r>
              <w:rPr>
                <w:rFonts w:cs="Times New Roman"/>
                <w:sz w:val="21"/>
                <w:szCs w:val="21"/>
                <w:highlight w:val="none"/>
              </w:rPr>
              <w:t>20m</w:t>
            </w:r>
          </w:p>
        </w:tc>
        <w:tc>
          <w:tcPr>
            <w:tcW w:w="455" w:type="pct"/>
            <w:vAlign w:val="center"/>
          </w:tcPr>
          <w:p w14:paraId="4D2321E9">
            <w:pPr>
              <w:spacing w:line="240" w:lineRule="auto"/>
              <w:ind w:firstLine="0" w:firstLineChars="0"/>
              <w:jc w:val="center"/>
              <w:rPr>
                <w:rFonts w:cs="Times New Roman"/>
                <w:sz w:val="21"/>
                <w:szCs w:val="21"/>
                <w:highlight w:val="none"/>
              </w:rPr>
            </w:pPr>
            <w:r>
              <w:rPr>
                <w:rFonts w:cs="Times New Roman"/>
                <w:sz w:val="21"/>
                <w:szCs w:val="21"/>
                <w:highlight w:val="none"/>
              </w:rPr>
              <w:t>30 m</w:t>
            </w:r>
          </w:p>
        </w:tc>
        <w:tc>
          <w:tcPr>
            <w:tcW w:w="460" w:type="pct"/>
            <w:vAlign w:val="center"/>
          </w:tcPr>
          <w:p w14:paraId="52B8E31E">
            <w:pPr>
              <w:spacing w:line="240" w:lineRule="auto"/>
              <w:ind w:firstLine="0" w:firstLineChars="0"/>
              <w:jc w:val="center"/>
              <w:rPr>
                <w:rFonts w:cs="Times New Roman"/>
                <w:sz w:val="21"/>
                <w:szCs w:val="21"/>
                <w:highlight w:val="none"/>
              </w:rPr>
            </w:pPr>
            <w:r>
              <w:rPr>
                <w:rFonts w:cs="Times New Roman"/>
                <w:sz w:val="21"/>
                <w:szCs w:val="21"/>
                <w:highlight w:val="none"/>
              </w:rPr>
              <w:t>40 m</w:t>
            </w:r>
          </w:p>
        </w:tc>
        <w:tc>
          <w:tcPr>
            <w:tcW w:w="455" w:type="pct"/>
            <w:vAlign w:val="center"/>
          </w:tcPr>
          <w:p w14:paraId="09E4B16A">
            <w:pPr>
              <w:spacing w:line="240" w:lineRule="auto"/>
              <w:ind w:firstLine="0" w:firstLineChars="0"/>
              <w:jc w:val="center"/>
              <w:rPr>
                <w:rFonts w:cs="Times New Roman"/>
                <w:sz w:val="21"/>
                <w:szCs w:val="21"/>
                <w:highlight w:val="none"/>
              </w:rPr>
            </w:pPr>
            <w:r>
              <w:rPr>
                <w:rFonts w:cs="Times New Roman"/>
                <w:sz w:val="21"/>
                <w:szCs w:val="21"/>
                <w:highlight w:val="none"/>
              </w:rPr>
              <w:t>50 m</w:t>
            </w:r>
          </w:p>
        </w:tc>
        <w:tc>
          <w:tcPr>
            <w:tcW w:w="455" w:type="pct"/>
            <w:vAlign w:val="center"/>
          </w:tcPr>
          <w:p w14:paraId="0BA944B8">
            <w:pPr>
              <w:spacing w:line="240" w:lineRule="auto"/>
              <w:ind w:firstLine="0" w:firstLineChars="0"/>
              <w:jc w:val="center"/>
              <w:rPr>
                <w:rFonts w:cs="Times New Roman"/>
                <w:sz w:val="21"/>
                <w:szCs w:val="21"/>
                <w:highlight w:val="none"/>
              </w:rPr>
            </w:pPr>
            <w:r>
              <w:rPr>
                <w:rFonts w:cs="Times New Roman"/>
                <w:sz w:val="21"/>
                <w:szCs w:val="21"/>
                <w:highlight w:val="none"/>
              </w:rPr>
              <w:t>60 m</w:t>
            </w:r>
          </w:p>
        </w:tc>
        <w:tc>
          <w:tcPr>
            <w:tcW w:w="455" w:type="pct"/>
            <w:vAlign w:val="center"/>
          </w:tcPr>
          <w:p w14:paraId="10AC426D">
            <w:pPr>
              <w:spacing w:line="240" w:lineRule="auto"/>
              <w:ind w:firstLine="0" w:firstLineChars="0"/>
              <w:jc w:val="center"/>
              <w:rPr>
                <w:rFonts w:cs="Times New Roman"/>
                <w:sz w:val="21"/>
                <w:szCs w:val="21"/>
                <w:highlight w:val="none"/>
              </w:rPr>
            </w:pPr>
            <w:r>
              <w:rPr>
                <w:rFonts w:cs="Times New Roman"/>
                <w:sz w:val="21"/>
                <w:szCs w:val="21"/>
                <w:highlight w:val="none"/>
              </w:rPr>
              <w:t>70 m</w:t>
            </w:r>
          </w:p>
        </w:tc>
        <w:tc>
          <w:tcPr>
            <w:tcW w:w="455" w:type="pct"/>
            <w:vAlign w:val="center"/>
          </w:tcPr>
          <w:p w14:paraId="74BE25ED">
            <w:pPr>
              <w:spacing w:line="240" w:lineRule="auto"/>
              <w:ind w:firstLine="0" w:firstLineChars="0"/>
              <w:jc w:val="center"/>
              <w:rPr>
                <w:rFonts w:cs="Times New Roman"/>
                <w:sz w:val="21"/>
                <w:szCs w:val="21"/>
                <w:highlight w:val="none"/>
              </w:rPr>
            </w:pPr>
            <w:r>
              <w:rPr>
                <w:rFonts w:cs="Times New Roman"/>
                <w:sz w:val="21"/>
                <w:szCs w:val="21"/>
                <w:highlight w:val="none"/>
              </w:rPr>
              <w:t>80 m</w:t>
            </w:r>
          </w:p>
        </w:tc>
        <w:tc>
          <w:tcPr>
            <w:tcW w:w="455" w:type="pct"/>
            <w:vAlign w:val="center"/>
          </w:tcPr>
          <w:p w14:paraId="565E8EBE">
            <w:pPr>
              <w:spacing w:line="240" w:lineRule="auto"/>
              <w:ind w:firstLine="0" w:firstLineChars="0"/>
              <w:jc w:val="center"/>
              <w:rPr>
                <w:rFonts w:cs="Times New Roman"/>
                <w:sz w:val="21"/>
                <w:szCs w:val="21"/>
                <w:highlight w:val="none"/>
              </w:rPr>
            </w:pPr>
            <w:r>
              <w:rPr>
                <w:rFonts w:cs="Times New Roman"/>
                <w:sz w:val="21"/>
                <w:szCs w:val="21"/>
                <w:highlight w:val="none"/>
              </w:rPr>
              <w:t>90 m</w:t>
            </w:r>
          </w:p>
        </w:tc>
        <w:tc>
          <w:tcPr>
            <w:tcW w:w="445" w:type="pct"/>
            <w:vAlign w:val="center"/>
          </w:tcPr>
          <w:p w14:paraId="7F850780">
            <w:pPr>
              <w:spacing w:line="240" w:lineRule="auto"/>
              <w:ind w:firstLine="0" w:firstLineChars="0"/>
              <w:jc w:val="center"/>
              <w:rPr>
                <w:rFonts w:cs="Times New Roman"/>
                <w:sz w:val="21"/>
                <w:szCs w:val="21"/>
                <w:highlight w:val="none"/>
              </w:rPr>
            </w:pPr>
            <w:r>
              <w:rPr>
                <w:rFonts w:cs="Times New Roman"/>
                <w:sz w:val="21"/>
                <w:szCs w:val="21"/>
                <w:highlight w:val="none"/>
              </w:rPr>
              <w:t>100 m</w:t>
            </w:r>
          </w:p>
        </w:tc>
      </w:tr>
      <w:tr w14:paraId="5D02D0B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55" w:type="pct"/>
            <w:vMerge w:val="continue"/>
            <w:vAlign w:val="center"/>
          </w:tcPr>
          <w:p w14:paraId="598A0F8B">
            <w:pPr>
              <w:spacing w:line="240" w:lineRule="auto"/>
              <w:ind w:firstLine="0" w:firstLineChars="0"/>
              <w:jc w:val="center"/>
              <w:rPr>
                <w:rFonts w:cs="Times New Roman"/>
                <w:sz w:val="21"/>
                <w:szCs w:val="21"/>
                <w:highlight w:val="none"/>
              </w:rPr>
            </w:pPr>
          </w:p>
        </w:tc>
        <w:tc>
          <w:tcPr>
            <w:tcW w:w="455" w:type="pct"/>
            <w:vAlign w:val="center"/>
          </w:tcPr>
          <w:p w14:paraId="1730DE85">
            <w:pPr>
              <w:spacing w:line="240" w:lineRule="auto"/>
              <w:ind w:firstLine="0" w:firstLineChars="0"/>
              <w:jc w:val="center"/>
              <w:rPr>
                <w:rFonts w:cs="Times New Roman"/>
                <w:sz w:val="21"/>
                <w:szCs w:val="21"/>
                <w:highlight w:val="none"/>
              </w:rPr>
            </w:pPr>
            <w:r>
              <w:rPr>
                <w:rFonts w:cs="Times New Roman"/>
                <w:sz w:val="21"/>
                <w:szCs w:val="21"/>
                <w:highlight w:val="none"/>
              </w:rPr>
              <w:t>54.9</w:t>
            </w:r>
          </w:p>
        </w:tc>
        <w:tc>
          <w:tcPr>
            <w:tcW w:w="455" w:type="pct"/>
            <w:vAlign w:val="center"/>
          </w:tcPr>
          <w:p w14:paraId="6C18085E">
            <w:pPr>
              <w:spacing w:line="240" w:lineRule="auto"/>
              <w:ind w:firstLine="0" w:firstLineChars="0"/>
              <w:jc w:val="center"/>
              <w:rPr>
                <w:rFonts w:cs="Times New Roman"/>
                <w:sz w:val="21"/>
                <w:szCs w:val="21"/>
                <w:highlight w:val="none"/>
              </w:rPr>
            </w:pPr>
            <w:r>
              <w:rPr>
                <w:rFonts w:cs="Times New Roman"/>
                <w:sz w:val="21"/>
                <w:szCs w:val="21"/>
                <w:highlight w:val="none"/>
              </w:rPr>
              <w:t>51.9</w:t>
            </w:r>
          </w:p>
        </w:tc>
        <w:tc>
          <w:tcPr>
            <w:tcW w:w="455" w:type="pct"/>
            <w:vAlign w:val="center"/>
          </w:tcPr>
          <w:p w14:paraId="5B7F4149">
            <w:pPr>
              <w:spacing w:line="240" w:lineRule="auto"/>
              <w:ind w:firstLine="0" w:firstLineChars="0"/>
              <w:jc w:val="center"/>
              <w:rPr>
                <w:rFonts w:cs="Times New Roman"/>
                <w:sz w:val="21"/>
                <w:szCs w:val="21"/>
                <w:highlight w:val="none"/>
              </w:rPr>
            </w:pPr>
            <w:r>
              <w:rPr>
                <w:rFonts w:cs="Times New Roman"/>
                <w:sz w:val="21"/>
                <w:szCs w:val="21"/>
                <w:highlight w:val="none"/>
              </w:rPr>
              <w:t>50.1</w:t>
            </w:r>
          </w:p>
        </w:tc>
        <w:tc>
          <w:tcPr>
            <w:tcW w:w="460" w:type="pct"/>
            <w:vAlign w:val="center"/>
          </w:tcPr>
          <w:p w14:paraId="6B143C4C">
            <w:pPr>
              <w:spacing w:line="240" w:lineRule="auto"/>
              <w:ind w:firstLine="0" w:firstLineChars="0"/>
              <w:jc w:val="center"/>
              <w:rPr>
                <w:rFonts w:cs="Times New Roman"/>
                <w:sz w:val="21"/>
                <w:szCs w:val="21"/>
                <w:highlight w:val="none"/>
              </w:rPr>
            </w:pPr>
            <w:r>
              <w:rPr>
                <w:rFonts w:cs="Times New Roman"/>
                <w:sz w:val="21"/>
                <w:szCs w:val="21"/>
                <w:highlight w:val="none"/>
              </w:rPr>
              <w:t>48.8</w:t>
            </w:r>
          </w:p>
        </w:tc>
        <w:tc>
          <w:tcPr>
            <w:tcW w:w="455" w:type="pct"/>
            <w:vAlign w:val="center"/>
          </w:tcPr>
          <w:p w14:paraId="5F418AF8">
            <w:pPr>
              <w:spacing w:line="240" w:lineRule="auto"/>
              <w:ind w:firstLine="0" w:firstLineChars="0"/>
              <w:jc w:val="center"/>
              <w:rPr>
                <w:rFonts w:cs="Times New Roman"/>
                <w:sz w:val="21"/>
                <w:szCs w:val="21"/>
                <w:highlight w:val="none"/>
              </w:rPr>
            </w:pPr>
            <w:r>
              <w:rPr>
                <w:rFonts w:cs="Times New Roman"/>
                <w:sz w:val="21"/>
                <w:szCs w:val="21"/>
                <w:highlight w:val="none"/>
              </w:rPr>
              <w:t>47.8</w:t>
            </w:r>
          </w:p>
        </w:tc>
        <w:tc>
          <w:tcPr>
            <w:tcW w:w="455" w:type="pct"/>
            <w:vAlign w:val="center"/>
          </w:tcPr>
          <w:p w14:paraId="45873E1E">
            <w:pPr>
              <w:spacing w:line="240" w:lineRule="auto"/>
              <w:ind w:firstLine="0" w:firstLineChars="0"/>
              <w:jc w:val="center"/>
              <w:rPr>
                <w:rFonts w:cs="Times New Roman"/>
                <w:sz w:val="21"/>
                <w:szCs w:val="21"/>
                <w:highlight w:val="none"/>
              </w:rPr>
            </w:pPr>
            <w:r>
              <w:rPr>
                <w:rFonts w:cs="Times New Roman"/>
                <w:sz w:val="21"/>
                <w:szCs w:val="21"/>
                <w:highlight w:val="none"/>
              </w:rPr>
              <w:t>47</w:t>
            </w:r>
          </w:p>
        </w:tc>
        <w:tc>
          <w:tcPr>
            <w:tcW w:w="455" w:type="pct"/>
            <w:vAlign w:val="center"/>
          </w:tcPr>
          <w:p w14:paraId="69468A02">
            <w:pPr>
              <w:spacing w:line="240" w:lineRule="auto"/>
              <w:ind w:firstLine="0" w:firstLineChars="0"/>
              <w:jc w:val="center"/>
              <w:rPr>
                <w:rFonts w:cs="Times New Roman"/>
                <w:sz w:val="21"/>
                <w:szCs w:val="21"/>
                <w:highlight w:val="none"/>
              </w:rPr>
            </w:pPr>
            <w:r>
              <w:rPr>
                <w:rFonts w:cs="Times New Roman"/>
                <w:sz w:val="21"/>
                <w:szCs w:val="21"/>
                <w:highlight w:val="none"/>
              </w:rPr>
              <w:t>46.3</w:t>
            </w:r>
          </w:p>
        </w:tc>
        <w:tc>
          <w:tcPr>
            <w:tcW w:w="455" w:type="pct"/>
            <w:vAlign w:val="center"/>
          </w:tcPr>
          <w:p w14:paraId="074F60E6">
            <w:pPr>
              <w:spacing w:line="240" w:lineRule="auto"/>
              <w:ind w:firstLine="0" w:firstLineChars="0"/>
              <w:jc w:val="center"/>
              <w:rPr>
                <w:rFonts w:cs="Times New Roman"/>
                <w:sz w:val="21"/>
                <w:szCs w:val="21"/>
                <w:highlight w:val="none"/>
              </w:rPr>
            </w:pPr>
            <w:r>
              <w:rPr>
                <w:rFonts w:cs="Times New Roman"/>
                <w:sz w:val="21"/>
                <w:szCs w:val="21"/>
                <w:highlight w:val="none"/>
              </w:rPr>
              <w:t>45.7</w:t>
            </w:r>
          </w:p>
        </w:tc>
        <w:tc>
          <w:tcPr>
            <w:tcW w:w="455" w:type="pct"/>
            <w:vAlign w:val="center"/>
          </w:tcPr>
          <w:p w14:paraId="6491B2C4">
            <w:pPr>
              <w:spacing w:line="240" w:lineRule="auto"/>
              <w:ind w:firstLine="0" w:firstLineChars="0"/>
              <w:jc w:val="center"/>
              <w:rPr>
                <w:rFonts w:cs="Times New Roman"/>
                <w:sz w:val="21"/>
                <w:szCs w:val="21"/>
                <w:highlight w:val="none"/>
              </w:rPr>
            </w:pPr>
            <w:r>
              <w:rPr>
                <w:rFonts w:cs="Times New Roman"/>
                <w:sz w:val="21"/>
                <w:szCs w:val="21"/>
                <w:highlight w:val="none"/>
              </w:rPr>
              <w:t>45.1</w:t>
            </w:r>
          </w:p>
        </w:tc>
        <w:tc>
          <w:tcPr>
            <w:tcW w:w="445" w:type="pct"/>
            <w:vAlign w:val="center"/>
          </w:tcPr>
          <w:p w14:paraId="684EB683">
            <w:pPr>
              <w:spacing w:line="240" w:lineRule="auto"/>
              <w:ind w:firstLine="0" w:firstLineChars="0"/>
              <w:jc w:val="center"/>
              <w:rPr>
                <w:rFonts w:cs="Times New Roman"/>
                <w:sz w:val="21"/>
                <w:szCs w:val="21"/>
                <w:highlight w:val="none"/>
              </w:rPr>
            </w:pPr>
            <w:r>
              <w:rPr>
                <w:rFonts w:cs="Times New Roman"/>
                <w:sz w:val="21"/>
                <w:szCs w:val="21"/>
                <w:highlight w:val="none"/>
              </w:rPr>
              <w:t>44.6</w:t>
            </w:r>
          </w:p>
        </w:tc>
      </w:tr>
    </w:tbl>
    <w:p w14:paraId="5F5B6AB2">
      <w:pPr>
        <w:rPr>
          <w:rFonts w:hint="default"/>
          <w:highlight w:val="none"/>
          <w:lang w:val="en-US" w:eastAsia="zh-CN"/>
        </w:rPr>
      </w:pPr>
      <w:r>
        <w:rPr>
          <w:rFonts w:hint="eastAsia"/>
          <w:highlight w:val="none"/>
        </w:rPr>
        <w:t>由表</w:t>
      </w:r>
      <w:r>
        <w:rPr>
          <w:rFonts w:hint="eastAsia"/>
          <w:highlight w:val="none"/>
          <w:lang w:val="en-US" w:eastAsia="zh-CN"/>
        </w:rPr>
        <w:t>3.3-7</w:t>
      </w:r>
      <w:r>
        <w:rPr>
          <w:rFonts w:hint="eastAsia"/>
          <w:highlight w:val="none"/>
        </w:rPr>
        <w:t>可以看出，本项目运输车辆对市区道路两侧的交通噪声贡献值符合《声环境质量标准》（GB3096-2008）昼间4a类70dB（A）和2类60dB（A）标准限值。本项目夜间不安排运输，当白天运输车经过居民区时，运输车辆应采取限制车速、禁鸣等措施，可有效降低运输车辆噪声对道路两侧居民的影响。运输噪声影响相对较小，可以接受。</w:t>
      </w:r>
    </w:p>
    <w:p w14:paraId="608F2997">
      <w:pPr>
        <w:pStyle w:val="5"/>
        <w:bidi w:val="0"/>
        <w:ind w:left="0" w:leftChars="0" w:firstLine="0" w:firstLineChars="0"/>
        <w:rPr>
          <w:rFonts w:hint="eastAsia"/>
          <w:highlight w:val="none"/>
          <w:lang w:val="en-US" w:eastAsia="zh-CN"/>
        </w:rPr>
      </w:pPr>
      <w:bookmarkStart w:id="89" w:name="_Toc17223"/>
      <w:r>
        <w:rPr>
          <w:rFonts w:hint="default" w:ascii="Times New Roman" w:hAnsi="Times New Roman" w:cs="Times New Roman"/>
          <w:highlight w:val="none"/>
          <w:lang w:val="en-US" w:eastAsia="zh-CN"/>
        </w:rPr>
        <w:t>3.3.6</w:t>
      </w:r>
      <w:r>
        <w:rPr>
          <w:rFonts w:hint="eastAsia"/>
          <w:highlight w:val="none"/>
          <w:lang w:val="en-US" w:eastAsia="zh-CN"/>
        </w:rPr>
        <w:t>运营期风险识别</w:t>
      </w:r>
      <w:bookmarkEnd w:id="89"/>
    </w:p>
    <w:p w14:paraId="083D6281">
      <w:pPr>
        <w:ind w:firstLine="480"/>
        <w:rPr>
          <w:highlight w:val="none"/>
        </w:rPr>
      </w:pPr>
      <w:r>
        <w:rPr>
          <w:rFonts w:hint="eastAsia"/>
          <w:highlight w:val="none"/>
        </w:rPr>
        <w:t>物质危险性识别，包括主要原辅材料、燃料、中间产品、副产品、最终产品、污染物、火灾和爆炸伴生/次生物等。</w:t>
      </w:r>
    </w:p>
    <w:p w14:paraId="04262D0E">
      <w:pPr>
        <w:ind w:firstLine="480"/>
        <w:rPr>
          <w:highlight w:val="none"/>
        </w:rPr>
      </w:pPr>
      <w:r>
        <w:rPr>
          <w:rFonts w:hint="eastAsia"/>
          <w:highlight w:val="none"/>
        </w:rPr>
        <w:t>根据《建设项目环境风险评价技术导则》</w:t>
      </w:r>
      <w:r>
        <w:rPr>
          <w:rFonts w:hint="eastAsia"/>
          <w:highlight w:val="none"/>
          <w:lang w:eastAsia="zh-CN"/>
        </w:rPr>
        <w:t>（</w:t>
      </w:r>
      <w:r>
        <w:rPr>
          <w:rFonts w:hint="eastAsia"/>
          <w:highlight w:val="none"/>
        </w:rPr>
        <w:t>HJ169-2018</w:t>
      </w:r>
      <w:r>
        <w:rPr>
          <w:rFonts w:hint="eastAsia"/>
          <w:highlight w:val="none"/>
          <w:lang w:eastAsia="zh-CN"/>
        </w:rPr>
        <w:t>）</w:t>
      </w:r>
      <w:r>
        <w:rPr>
          <w:rFonts w:hint="eastAsia"/>
          <w:highlight w:val="none"/>
        </w:rPr>
        <w:t>附录B中突发环境风险事件风险物质及临界量</w:t>
      </w:r>
      <w:r>
        <w:rPr>
          <w:rFonts w:hint="eastAsia"/>
          <w:highlight w:val="none"/>
          <w:lang w:eastAsia="zh-CN"/>
        </w:rPr>
        <w:t>（</w:t>
      </w:r>
      <w:r>
        <w:rPr>
          <w:rFonts w:hint="eastAsia"/>
          <w:highlight w:val="none"/>
        </w:rPr>
        <w:t>表B.1</w:t>
      </w:r>
      <w:r>
        <w:rPr>
          <w:rFonts w:hint="eastAsia"/>
          <w:highlight w:val="none"/>
          <w:lang w:eastAsia="zh-CN"/>
        </w:rPr>
        <w:t>）</w:t>
      </w:r>
      <w:r>
        <w:rPr>
          <w:rFonts w:hint="eastAsia"/>
          <w:highlight w:val="none"/>
        </w:rPr>
        <w:t>和其他危险物质临界量推荐值</w:t>
      </w:r>
      <w:r>
        <w:rPr>
          <w:rFonts w:hint="eastAsia"/>
          <w:highlight w:val="none"/>
          <w:lang w:eastAsia="zh-CN"/>
        </w:rPr>
        <w:t>（</w:t>
      </w:r>
      <w:r>
        <w:rPr>
          <w:rFonts w:hint="eastAsia"/>
          <w:highlight w:val="none"/>
        </w:rPr>
        <w:t>表B.2</w:t>
      </w:r>
      <w:r>
        <w:rPr>
          <w:rFonts w:hint="eastAsia"/>
          <w:highlight w:val="none"/>
          <w:lang w:eastAsia="zh-CN"/>
        </w:rPr>
        <w:t>）</w:t>
      </w:r>
      <w:r>
        <w:rPr>
          <w:rFonts w:hint="eastAsia"/>
          <w:highlight w:val="none"/>
        </w:rPr>
        <w:t>，本项目危险物质理化性质及危险特性见表3</w:t>
      </w:r>
      <w:r>
        <w:rPr>
          <w:rFonts w:hint="eastAsia"/>
          <w:highlight w:val="none"/>
          <w:lang w:val="en-US" w:eastAsia="zh-CN"/>
        </w:rPr>
        <w:t>.3-8</w:t>
      </w:r>
      <w:r>
        <w:rPr>
          <w:rFonts w:hint="eastAsia"/>
          <w:highlight w:val="none"/>
        </w:rPr>
        <w:t>。危险性识别结果见表3</w:t>
      </w:r>
      <w:r>
        <w:rPr>
          <w:rFonts w:hint="eastAsia"/>
          <w:highlight w:val="none"/>
          <w:lang w:val="en-US" w:eastAsia="zh-CN"/>
        </w:rPr>
        <w:t>.3</w:t>
      </w:r>
      <w:r>
        <w:rPr>
          <w:rFonts w:hint="eastAsia"/>
          <w:highlight w:val="none"/>
        </w:rPr>
        <w:t>-</w:t>
      </w:r>
      <w:r>
        <w:rPr>
          <w:rFonts w:hint="eastAsia"/>
          <w:highlight w:val="none"/>
          <w:lang w:val="en-US" w:eastAsia="zh-CN"/>
        </w:rPr>
        <w:t>9</w:t>
      </w:r>
      <w:r>
        <w:rPr>
          <w:rFonts w:hint="eastAsia"/>
          <w:highlight w:val="none"/>
        </w:rPr>
        <w:t>。</w:t>
      </w:r>
    </w:p>
    <w:p w14:paraId="70659AC9">
      <w:pPr>
        <w:ind w:firstLine="0" w:firstLineChars="0"/>
        <w:jc w:val="center"/>
        <w:rPr>
          <w:rFonts w:ascii="Times New Roman" w:hAnsi="Times New Roman"/>
          <w:highlight w:val="none"/>
        </w:rPr>
      </w:pPr>
      <w:r>
        <w:rPr>
          <w:rFonts w:hint="eastAsia" w:ascii="黑体" w:hAnsi="黑体" w:eastAsia="黑体" w:cs="黑体"/>
          <w:highlight w:val="none"/>
        </w:rPr>
        <w:t>表</w:t>
      </w:r>
      <w:r>
        <w:rPr>
          <w:rFonts w:hint="eastAsia" w:ascii="Times New Roman" w:hAnsi="Times New Roman"/>
          <w:highlight w:val="none"/>
        </w:rPr>
        <w:t>3</w:t>
      </w:r>
      <w:r>
        <w:rPr>
          <w:rFonts w:hint="eastAsia" w:ascii="Times New Roman" w:hAnsi="Times New Roman"/>
          <w:highlight w:val="none"/>
          <w:lang w:val="en-US" w:eastAsia="zh-CN"/>
        </w:rPr>
        <w:t>.3-8</w:t>
      </w:r>
      <w:r>
        <w:rPr>
          <w:rFonts w:hint="eastAsia" w:ascii="黑体" w:hAnsi="黑体" w:eastAsia="黑体" w:cs="黑体"/>
          <w:highlight w:val="none"/>
        </w:rPr>
        <w:t>柴油的理化特性及危险特性表</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94"/>
        <w:gridCol w:w="1577"/>
        <w:gridCol w:w="1318"/>
        <w:gridCol w:w="373"/>
        <w:gridCol w:w="201"/>
        <w:gridCol w:w="651"/>
        <w:gridCol w:w="610"/>
        <w:gridCol w:w="320"/>
        <w:gridCol w:w="472"/>
        <w:gridCol w:w="803"/>
        <w:gridCol w:w="193"/>
        <w:gridCol w:w="1410"/>
      </w:tblGrid>
      <w:tr w14:paraId="3688C5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49" w:type="pct"/>
            <w:vMerge w:val="restart"/>
            <w:vAlign w:val="center"/>
          </w:tcPr>
          <w:p w14:paraId="20EB6A86">
            <w:pPr>
              <w:spacing w:line="240" w:lineRule="auto"/>
              <w:ind w:firstLine="0" w:firstLineChars="0"/>
              <w:jc w:val="center"/>
              <w:rPr>
                <w:sz w:val="21"/>
                <w:szCs w:val="21"/>
                <w:highlight w:val="none"/>
              </w:rPr>
            </w:pPr>
            <w:r>
              <w:rPr>
                <w:sz w:val="21"/>
                <w:szCs w:val="21"/>
                <w:highlight w:val="none"/>
              </w:rPr>
              <w:t>标识</w:t>
            </w:r>
          </w:p>
        </w:tc>
        <w:tc>
          <w:tcPr>
            <w:tcW w:w="925" w:type="pct"/>
            <w:vAlign w:val="center"/>
          </w:tcPr>
          <w:p w14:paraId="29674076">
            <w:pPr>
              <w:spacing w:line="240" w:lineRule="auto"/>
              <w:ind w:firstLine="0" w:firstLineChars="0"/>
              <w:jc w:val="center"/>
              <w:rPr>
                <w:sz w:val="21"/>
                <w:szCs w:val="21"/>
                <w:highlight w:val="none"/>
              </w:rPr>
            </w:pPr>
            <w:r>
              <w:rPr>
                <w:sz w:val="21"/>
                <w:szCs w:val="21"/>
                <w:highlight w:val="none"/>
              </w:rPr>
              <w:t>中文名</w:t>
            </w:r>
          </w:p>
        </w:tc>
        <w:tc>
          <w:tcPr>
            <w:tcW w:w="1850" w:type="pct"/>
            <w:gridSpan w:val="5"/>
            <w:vAlign w:val="center"/>
          </w:tcPr>
          <w:p w14:paraId="04479A48">
            <w:pPr>
              <w:spacing w:line="240" w:lineRule="auto"/>
              <w:ind w:firstLine="0" w:firstLineChars="0"/>
              <w:jc w:val="center"/>
              <w:rPr>
                <w:sz w:val="21"/>
                <w:szCs w:val="21"/>
                <w:highlight w:val="none"/>
              </w:rPr>
            </w:pPr>
            <w:r>
              <w:rPr>
                <w:sz w:val="21"/>
                <w:szCs w:val="21"/>
                <w:highlight w:val="none"/>
              </w:rPr>
              <w:t>柴油</w:t>
            </w:r>
          </w:p>
        </w:tc>
        <w:tc>
          <w:tcPr>
            <w:tcW w:w="936" w:type="pct"/>
            <w:gridSpan w:val="3"/>
            <w:vAlign w:val="center"/>
          </w:tcPr>
          <w:p w14:paraId="439A71D0">
            <w:pPr>
              <w:spacing w:line="240" w:lineRule="auto"/>
              <w:ind w:firstLine="0" w:firstLineChars="0"/>
              <w:jc w:val="center"/>
              <w:rPr>
                <w:sz w:val="21"/>
                <w:szCs w:val="21"/>
                <w:highlight w:val="none"/>
              </w:rPr>
            </w:pPr>
            <w:r>
              <w:rPr>
                <w:sz w:val="21"/>
                <w:szCs w:val="21"/>
                <w:highlight w:val="none"/>
              </w:rPr>
              <w:t>危险货物编号</w:t>
            </w:r>
          </w:p>
        </w:tc>
        <w:tc>
          <w:tcPr>
            <w:tcW w:w="939" w:type="pct"/>
            <w:gridSpan w:val="2"/>
            <w:vAlign w:val="center"/>
          </w:tcPr>
          <w:p w14:paraId="71F4CCDD">
            <w:pPr>
              <w:spacing w:line="240" w:lineRule="auto"/>
              <w:ind w:firstLine="0" w:firstLineChars="0"/>
              <w:jc w:val="center"/>
              <w:rPr>
                <w:sz w:val="21"/>
                <w:szCs w:val="21"/>
                <w:highlight w:val="none"/>
              </w:rPr>
            </w:pPr>
            <w:r>
              <w:rPr>
                <w:sz w:val="21"/>
                <w:szCs w:val="21"/>
                <w:highlight w:val="none"/>
              </w:rPr>
              <w:t>/</w:t>
            </w:r>
          </w:p>
        </w:tc>
      </w:tr>
      <w:tr w14:paraId="7B2B66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49" w:type="pct"/>
            <w:vMerge w:val="continue"/>
            <w:vAlign w:val="center"/>
          </w:tcPr>
          <w:p w14:paraId="07FF5268">
            <w:pPr>
              <w:spacing w:line="240" w:lineRule="auto"/>
              <w:ind w:firstLine="0" w:firstLineChars="0"/>
              <w:jc w:val="center"/>
              <w:rPr>
                <w:sz w:val="21"/>
                <w:szCs w:val="21"/>
                <w:highlight w:val="none"/>
              </w:rPr>
            </w:pPr>
          </w:p>
        </w:tc>
        <w:tc>
          <w:tcPr>
            <w:tcW w:w="925" w:type="pct"/>
            <w:vAlign w:val="center"/>
          </w:tcPr>
          <w:p w14:paraId="3165075D">
            <w:pPr>
              <w:spacing w:line="240" w:lineRule="auto"/>
              <w:ind w:firstLine="0" w:firstLineChars="0"/>
              <w:jc w:val="center"/>
              <w:rPr>
                <w:sz w:val="21"/>
                <w:szCs w:val="21"/>
                <w:highlight w:val="none"/>
              </w:rPr>
            </w:pPr>
            <w:r>
              <w:rPr>
                <w:sz w:val="21"/>
                <w:szCs w:val="21"/>
                <w:highlight w:val="none"/>
              </w:rPr>
              <w:t>英文名</w:t>
            </w:r>
          </w:p>
        </w:tc>
        <w:tc>
          <w:tcPr>
            <w:tcW w:w="1850" w:type="pct"/>
            <w:gridSpan w:val="5"/>
            <w:vAlign w:val="center"/>
          </w:tcPr>
          <w:p w14:paraId="37D80E71">
            <w:pPr>
              <w:spacing w:line="240" w:lineRule="auto"/>
              <w:ind w:firstLine="0" w:firstLineChars="0"/>
              <w:jc w:val="center"/>
              <w:rPr>
                <w:sz w:val="21"/>
                <w:szCs w:val="21"/>
                <w:highlight w:val="none"/>
              </w:rPr>
            </w:pPr>
            <w:r>
              <w:rPr>
                <w:sz w:val="21"/>
                <w:szCs w:val="21"/>
                <w:highlight w:val="none"/>
              </w:rPr>
              <w:t>diesel oil</w:t>
            </w:r>
          </w:p>
        </w:tc>
        <w:tc>
          <w:tcPr>
            <w:tcW w:w="936" w:type="pct"/>
            <w:gridSpan w:val="3"/>
            <w:vAlign w:val="center"/>
          </w:tcPr>
          <w:p w14:paraId="31F704C9">
            <w:pPr>
              <w:spacing w:line="240" w:lineRule="auto"/>
              <w:ind w:firstLine="0" w:firstLineChars="0"/>
              <w:jc w:val="center"/>
              <w:rPr>
                <w:sz w:val="21"/>
                <w:szCs w:val="21"/>
                <w:highlight w:val="none"/>
              </w:rPr>
            </w:pPr>
            <w:r>
              <w:rPr>
                <w:sz w:val="21"/>
                <w:szCs w:val="21"/>
                <w:highlight w:val="none"/>
              </w:rPr>
              <w:t>UN编号</w:t>
            </w:r>
          </w:p>
        </w:tc>
        <w:tc>
          <w:tcPr>
            <w:tcW w:w="939" w:type="pct"/>
            <w:gridSpan w:val="2"/>
            <w:vAlign w:val="center"/>
          </w:tcPr>
          <w:p w14:paraId="492CE405">
            <w:pPr>
              <w:spacing w:line="240" w:lineRule="auto"/>
              <w:ind w:firstLine="0" w:firstLineChars="0"/>
              <w:jc w:val="center"/>
              <w:rPr>
                <w:sz w:val="21"/>
                <w:szCs w:val="21"/>
                <w:highlight w:val="none"/>
              </w:rPr>
            </w:pPr>
            <w:r>
              <w:rPr>
                <w:sz w:val="21"/>
                <w:szCs w:val="21"/>
                <w:highlight w:val="none"/>
              </w:rPr>
              <w:t>/</w:t>
            </w:r>
          </w:p>
        </w:tc>
      </w:tr>
      <w:tr w14:paraId="6729E85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49" w:type="pct"/>
            <w:vMerge w:val="restart"/>
            <w:vAlign w:val="center"/>
          </w:tcPr>
          <w:p w14:paraId="26622AD7">
            <w:pPr>
              <w:spacing w:line="240" w:lineRule="auto"/>
              <w:ind w:firstLine="0" w:firstLineChars="0"/>
              <w:jc w:val="center"/>
              <w:rPr>
                <w:sz w:val="21"/>
                <w:szCs w:val="21"/>
                <w:highlight w:val="none"/>
              </w:rPr>
            </w:pPr>
            <w:r>
              <w:rPr>
                <w:sz w:val="21"/>
                <w:szCs w:val="21"/>
                <w:highlight w:val="none"/>
              </w:rPr>
              <w:t>理化性质</w:t>
            </w:r>
          </w:p>
        </w:tc>
        <w:tc>
          <w:tcPr>
            <w:tcW w:w="925" w:type="pct"/>
            <w:vAlign w:val="center"/>
          </w:tcPr>
          <w:p w14:paraId="047EEEE8">
            <w:pPr>
              <w:spacing w:line="240" w:lineRule="auto"/>
              <w:ind w:firstLine="0" w:firstLineChars="0"/>
              <w:jc w:val="center"/>
              <w:rPr>
                <w:sz w:val="21"/>
                <w:szCs w:val="21"/>
                <w:highlight w:val="none"/>
              </w:rPr>
            </w:pPr>
            <w:r>
              <w:rPr>
                <w:sz w:val="21"/>
                <w:szCs w:val="21"/>
                <w:highlight w:val="none"/>
              </w:rPr>
              <w:t>外观与性状</w:t>
            </w:r>
          </w:p>
        </w:tc>
        <w:tc>
          <w:tcPr>
            <w:tcW w:w="3726" w:type="pct"/>
            <w:gridSpan w:val="10"/>
            <w:vAlign w:val="center"/>
          </w:tcPr>
          <w:p w14:paraId="1A73ED29">
            <w:pPr>
              <w:spacing w:line="240" w:lineRule="auto"/>
              <w:ind w:firstLine="0" w:firstLineChars="0"/>
              <w:jc w:val="center"/>
              <w:rPr>
                <w:sz w:val="21"/>
                <w:szCs w:val="21"/>
                <w:highlight w:val="none"/>
              </w:rPr>
            </w:pPr>
            <w:r>
              <w:rPr>
                <w:sz w:val="21"/>
                <w:szCs w:val="21"/>
                <w:highlight w:val="none"/>
              </w:rPr>
              <w:t>稍有粘性的棕色液体。</w:t>
            </w:r>
          </w:p>
        </w:tc>
      </w:tr>
      <w:tr w14:paraId="112655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49" w:type="pct"/>
            <w:vMerge w:val="continue"/>
            <w:vAlign w:val="center"/>
          </w:tcPr>
          <w:p w14:paraId="6EE0BB73">
            <w:pPr>
              <w:spacing w:line="240" w:lineRule="auto"/>
              <w:ind w:firstLine="0" w:firstLineChars="0"/>
              <w:jc w:val="center"/>
              <w:rPr>
                <w:sz w:val="21"/>
                <w:szCs w:val="21"/>
                <w:highlight w:val="none"/>
              </w:rPr>
            </w:pPr>
          </w:p>
        </w:tc>
        <w:tc>
          <w:tcPr>
            <w:tcW w:w="925" w:type="pct"/>
            <w:vAlign w:val="center"/>
          </w:tcPr>
          <w:p w14:paraId="294D28DC">
            <w:pPr>
              <w:spacing w:line="240" w:lineRule="auto"/>
              <w:ind w:firstLine="0" w:firstLineChars="0"/>
              <w:jc w:val="center"/>
              <w:rPr>
                <w:sz w:val="21"/>
                <w:szCs w:val="21"/>
                <w:highlight w:val="none"/>
              </w:rPr>
            </w:pPr>
            <w:r>
              <w:rPr>
                <w:sz w:val="21"/>
                <w:szCs w:val="21"/>
                <w:highlight w:val="none"/>
              </w:rPr>
              <w:t>熔点（℃）</w:t>
            </w:r>
          </w:p>
        </w:tc>
        <w:tc>
          <w:tcPr>
            <w:tcW w:w="1110" w:type="pct"/>
            <w:gridSpan w:val="3"/>
            <w:vAlign w:val="center"/>
          </w:tcPr>
          <w:p w14:paraId="698BF738">
            <w:pPr>
              <w:spacing w:line="240" w:lineRule="auto"/>
              <w:ind w:firstLine="0" w:firstLineChars="0"/>
              <w:jc w:val="center"/>
              <w:rPr>
                <w:sz w:val="21"/>
                <w:szCs w:val="21"/>
                <w:highlight w:val="none"/>
              </w:rPr>
            </w:pPr>
            <w:r>
              <w:rPr>
                <w:sz w:val="21"/>
                <w:szCs w:val="21"/>
                <w:highlight w:val="none"/>
              </w:rPr>
              <w:t>＜29.56</w:t>
            </w:r>
          </w:p>
        </w:tc>
        <w:tc>
          <w:tcPr>
            <w:tcW w:w="1205" w:type="pct"/>
            <w:gridSpan w:val="4"/>
            <w:vAlign w:val="center"/>
          </w:tcPr>
          <w:p w14:paraId="32BCB63B">
            <w:pPr>
              <w:spacing w:line="240" w:lineRule="auto"/>
              <w:ind w:firstLine="0" w:firstLineChars="0"/>
              <w:jc w:val="center"/>
              <w:rPr>
                <w:sz w:val="21"/>
                <w:szCs w:val="21"/>
                <w:highlight w:val="none"/>
              </w:rPr>
            </w:pPr>
            <w:r>
              <w:rPr>
                <w:sz w:val="21"/>
                <w:szCs w:val="21"/>
                <w:highlight w:val="none"/>
              </w:rPr>
              <w:t>相对密度(水=1)</w:t>
            </w:r>
          </w:p>
        </w:tc>
        <w:tc>
          <w:tcPr>
            <w:tcW w:w="1411" w:type="pct"/>
            <w:gridSpan w:val="3"/>
            <w:vAlign w:val="center"/>
          </w:tcPr>
          <w:p w14:paraId="611434F3">
            <w:pPr>
              <w:spacing w:line="240" w:lineRule="auto"/>
              <w:ind w:firstLine="0" w:firstLineChars="0"/>
              <w:jc w:val="center"/>
              <w:rPr>
                <w:sz w:val="21"/>
                <w:szCs w:val="21"/>
                <w:highlight w:val="none"/>
              </w:rPr>
            </w:pPr>
            <w:r>
              <w:rPr>
                <w:sz w:val="21"/>
                <w:szCs w:val="21"/>
                <w:highlight w:val="none"/>
              </w:rPr>
              <w:t>0.85</w:t>
            </w:r>
          </w:p>
        </w:tc>
      </w:tr>
      <w:tr w14:paraId="267A82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49" w:type="pct"/>
            <w:vMerge w:val="continue"/>
            <w:vAlign w:val="center"/>
          </w:tcPr>
          <w:p w14:paraId="4C99BCCC">
            <w:pPr>
              <w:spacing w:line="240" w:lineRule="auto"/>
              <w:ind w:firstLine="0" w:firstLineChars="0"/>
              <w:jc w:val="center"/>
              <w:rPr>
                <w:sz w:val="21"/>
                <w:szCs w:val="21"/>
                <w:highlight w:val="none"/>
              </w:rPr>
            </w:pPr>
          </w:p>
        </w:tc>
        <w:tc>
          <w:tcPr>
            <w:tcW w:w="925" w:type="pct"/>
            <w:vAlign w:val="center"/>
          </w:tcPr>
          <w:p w14:paraId="54C621D1">
            <w:pPr>
              <w:spacing w:line="240" w:lineRule="auto"/>
              <w:ind w:firstLine="0" w:firstLineChars="0"/>
              <w:jc w:val="center"/>
              <w:rPr>
                <w:sz w:val="21"/>
                <w:szCs w:val="21"/>
                <w:highlight w:val="none"/>
              </w:rPr>
            </w:pPr>
            <w:r>
              <w:rPr>
                <w:sz w:val="21"/>
                <w:szCs w:val="21"/>
                <w:highlight w:val="none"/>
              </w:rPr>
              <w:t>沸点（℃）</w:t>
            </w:r>
          </w:p>
        </w:tc>
        <w:tc>
          <w:tcPr>
            <w:tcW w:w="1110" w:type="pct"/>
            <w:gridSpan w:val="3"/>
            <w:vAlign w:val="center"/>
          </w:tcPr>
          <w:p w14:paraId="63E66CE2">
            <w:pPr>
              <w:spacing w:line="240" w:lineRule="auto"/>
              <w:ind w:firstLine="0" w:firstLineChars="0"/>
              <w:jc w:val="center"/>
              <w:rPr>
                <w:sz w:val="21"/>
                <w:szCs w:val="21"/>
                <w:highlight w:val="none"/>
              </w:rPr>
            </w:pPr>
            <w:r>
              <w:rPr>
                <w:sz w:val="21"/>
                <w:szCs w:val="21"/>
                <w:highlight w:val="none"/>
              </w:rPr>
              <w:t>180～370</w:t>
            </w:r>
          </w:p>
        </w:tc>
        <w:tc>
          <w:tcPr>
            <w:tcW w:w="1205" w:type="pct"/>
            <w:gridSpan w:val="4"/>
            <w:vAlign w:val="center"/>
          </w:tcPr>
          <w:p w14:paraId="60A3D851">
            <w:pPr>
              <w:spacing w:line="240" w:lineRule="auto"/>
              <w:ind w:firstLine="0" w:firstLineChars="0"/>
              <w:jc w:val="center"/>
              <w:rPr>
                <w:sz w:val="21"/>
                <w:szCs w:val="21"/>
                <w:highlight w:val="none"/>
              </w:rPr>
            </w:pPr>
            <w:r>
              <w:rPr>
                <w:sz w:val="21"/>
                <w:szCs w:val="21"/>
                <w:highlight w:val="none"/>
              </w:rPr>
              <w:t>饱和蒸汽压（KPa）</w:t>
            </w:r>
          </w:p>
        </w:tc>
        <w:tc>
          <w:tcPr>
            <w:tcW w:w="1411" w:type="pct"/>
            <w:gridSpan w:val="3"/>
            <w:vAlign w:val="center"/>
          </w:tcPr>
          <w:p w14:paraId="02F439C9">
            <w:pPr>
              <w:spacing w:line="240" w:lineRule="auto"/>
              <w:ind w:firstLine="0" w:firstLineChars="0"/>
              <w:jc w:val="center"/>
              <w:rPr>
                <w:sz w:val="21"/>
                <w:szCs w:val="21"/>
                <w:highlight w:val="none"/>
              </w:rPr>
            </w:pPr>
            <w:r>
              <w:rPr>
                <w:sz w:val="21"/>
                <w:szCs w:val="21"/>
                <w:highlight w:val="none"/>
              </w:rPr>
              <w:t>/</w:t>
            </w:r>
          </w:p>
        </w:tc>
      </w:tr>
      <w:tr w14:paraId="31C761C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49" w:type="pct"/>
            <w:vMerge w:val="restart"/>
            <w:vAlign w:val="center"/>
          </w:tcPr>
          <w:p w14:paraId="132AA971">
            <w:pPr>
              <w:spacing w:line="240" w:lineRule="auto"/>
              <w:ind w:firstLine="0" w:firstLineChars="0"/>
              <w:jc w:val="center"/>
              <w:rPr>
                <w:sz w:val="21"/>
                <w:szCs w:val="21"/>
                <w:highlight w:val="none"/>
              </w:rPr>
            </w:pPr>
            <w:r>
              <w:rPr>
                <w:sz w:val="21"/>
                <w:szCs w:val="21"/>
                <w:highlight w:val="none"/>
              </w:rPr>
              <w:t>健康危害</w:t>
            </w:r>
          </w:p>
        </w:tc>
        <w:tc>
          <w:tcPr>
            <w:tcW w:w="925" w:type="pct"/>
            <w:vAlign w:val="center"/>
          </w:tcPr>
          <w:p w14:paraId="5F8E0319">
            <w:pPr>
              <w:spacing w:line="240" w:lineRule="auto"/>
              <w:ind w:firstLine="0" w:firstLineChars="0"/>
              <w:jc w:val="center"/>
              <w:rPr>
                <w:sz w:val="21"/>
                <w:szCs w:val="21"/>
                <w:highlight w:val="none"/>
              </w:rPr>
            </w:pPr>
            <w:r>
              <w:rPr>
                <w:sz w:val="21"/>
                <w:szCs w:val="21"/>
                <w:highlight w:val="none"/>
              </w:rPr>
              <w:t>侵入途径</w:t>
            </w:r>
          </w:p>
        </w:tc>
        <w:tc>
          <w:tcPr>
            <w:tcW w:w="3726" w:type="pct"/>
            <w:gridSpan w:val="10"/>
            <w:vAlign w:val="center"/>
          </w:tcPr>
          <w:p w14:paraId="0263D53F">
            <w:pPr>
              <w:spacing w:line="240" w:lineRule="auto"/>
              <w:ind w:firstLine="0" w:firstLineChars="0"/>
              <w:jc w:val="center"/>
              <w:rPr>
                <w:sz w:val="21"/>
                <w:szCs w:val="21"/>
                <w:highlight w:val="none"/>
              </w:rPr>
            </w:pPr>
            <w:r>
              <w:rPr>
                <w:sz w:val="21"/>
                <w:szCs w:val="21"/>
                <w:highlight w:val="none"/>
              </w:rPr>
              <w:t>吸入、食入、经皮吸收。</w:t>
            </w:r>
          </w:p>
        </w:tc>
      </w:tr>
      <w:tr w14:paraId="18F7D70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49" w:type="pct"/>
            <w:vMerge w:val="continue"/>
            <w:vAlign w:val="center"/>
          </w:tcPr>
          <w:p w14:paraId="4CBDE3E5">
            <w:pPr>
              <w:spacing w:line="240" w:lineRule="auto"/>
              <w:ind w:firstLine="0" w:firstLineChars="0"/>
              <w:jc w:val="center"/>
              <w:rPr>
                <w:sz w:val="21"/>
                <w:szCs w:val="21"/>
                <w:highlight w:val="none"/>
              </w:rPr>
            </w:pPr>
          </w:p>
        </w:tc>
        <w:tc>
          <w:tcPr>
            <w:tcW w:w="925" w:type="pct"/>
            <w:vAlign w:val="center"/>
          </w:tcPr>
          <w:p w14:paraId="33BDD47D">
            <w:pPr>
              <w:spacing w:line="240" w:lineRule="auto"/>
              <w:ind w:firstLine="0" w:firstLineChars="0"/>
              <w:jc w:val="center"/>
              <w:rPr>
                <w:sz w:val="21"/>
                <w:szCs w:val="21"/>
                <w:highlight w:val="none"/>
              </w:rPr>
            </w:pPr>
            <w:r>
              <w:rPr>
                <w:sz w:val="21"/>
                <w:szCs w:val="21"/>
                <w:highlight w:val="none"/>
              </w:rPr>
              <w:t>毒性</w:t>
            </w:r>
          </w:p>
        </w:tc>
        <w:tc>
          <w:tcPr>
            <w:tcW w:w="3726" w:type="pct"/>
            <w:gridSpan w:val="10"/>
            <w:vAlign w:val="center"/>
          </w:tcPr>
          <w:p w14:paraId="411DC888">
            <w:pPr>
              <w:spacing w:line="240" w:lineRule="auto"/>
              <w:ind w:firstLine="0" w:firstLineChars="0"/>
              <w:jc w:val="center"/>
              <w:rPr>
                <w:sz w:val="21"/>
                <w:szCs w:val="21"/>
                <w:highlight w:val="none"/>
              </w:rPr>
            </w:pPr>
            <w:r>
              <w:rPr>
                <w:sz w:val="21"/>
                <w:szCs w:val="21"/>
                <w:highlight w:val="none"/>
              </w:rPr>
              <w:t>LD</w:t>
            </w:r>
            <w:r>
              <w:rPr>
                <w:sz w:val="21"/>
                <w:szCs w:val="21"/>
                <w:highlight w:val="none"/>
                <w:vertAlign w:val="subscript"/>
              </w:rPr>
              <w:t>50</w:t>
            </w:r>
            <w:r>
              <w:rPr>
                <w:sz w:val="21"/>
                <w:szCs w:val="21"/>
                <w:highlight w:val="none"/>
              </w:rPr>
              <w:t>：无资料</w:t>
            </w:r>
          </w:p>
          <w:p w14:paraId="0A7B473C">
            <w:pPr>
              <w:spacing w:line="240" w:lineRule="auto"/>
              <w:ind w:firstLine="0" w:firstLineChars="0"/>
              <w:jc w:val="center"/>
              <w:rPr>
                <w:sz w:val="21"/>
                <w:szCs w:val="21"/>
                <w:highlight w:val="none"/>
              </w:rPr>
            </w:pPr>
            <w:r>
              <w:rPr>
                <w:sz w:val="21"/>
                <w:szCs w:val="21"/>
                <w:highlight w:val="none"/>
              </w:rPr>
              <w:t>LC</w:t>
            </w:r>
            <w:r>
              <w:rPr>
                <w:sz w:val="21"/>
                <w:szCs w:val="21"/>
                <w:highlight w:val="none"/>
                <w:vertAlign w:val="subscript"/>
              </w:rPr>
              <w:t>50</w:t>
            </w:r>
            <w:r>
              <w:rPr>
                <w:sz w:val="21"/>
                <w:szCs w:val="21"/>
                <w:highlight w:val="none"/>
              </w:rPr>
              <w:t>：无资料</w:t>
            </w:r>
          </w:p>
        </w:tc>
      </w:tr>
      <w:tr w14:paraId="263870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49" w:type="pct"/>
            <w:vMerge w:val="continue"/>
            <w:vAlign w:val="center"/>
          </w:tcPr>
          <w:p w14:paraId="4F52203F">
            <w:pPr>
              <w:spacing w:line="240" w:lineRule="auto"/>
              <w:ind w:firstLine="0" w:firstLineChars="0"/>
              <w:jc w:val="center"/>
              <w:rPr>
                <w:sz w:val="21"/>
                <w:szCs w:val="21"/>
                <w:highlight w:val="none"/>
              </w:rPr>
            </w:pPr>
          </w:p>
        </w:tc>
        <w:tc>
          <w:tcPr>
            <w:tcW w:w="925" w:type="pct"/>
            <w:vAlign w:val="center"/>
          </w:tcPr>
          <w:p w14:paraId="52E5D107">
            <w:pPr>
              <w:spacing w:line="240" w:lineRule="auto"/>
              <w:ind w:firstLine="0" w:firstLineChars="0"/>
              <w:jc w:val="center"/>
              <w:rPr>
                <w:sz w:val="21"/>
                <w:szCs w:val="21"/>
                <w:highlight w:val="none"/>
              </w:rPr>
            </w:pPr>
            <w:r>
              <w:rPr>
                <w:sz w:val="21"/>
                <w:szCs w:val="21"/>
                <w:highlight w:val="none"/>
              </w:rPr>
              <w:t>健康危害</w:t>
            </w:r>
          </w:p>
        </w:tc>
        <w:tc>
          <w:tcPr>
            <w:tcW w:w="3726" w:type="pct"/>
            <w:gridSpan w:val="10"/>
            <w:vAlign w:val="center"/>
          </w:tcPr>
          <w:p w14:paraId="0006C8ED">
            <w:pPr>
              <w:spacing w:line="240" w:lineRule="auto"/>
              <w:ind w:firstLine="0" w:firstLineChars="0"/>
              <w:jc w:val="center"/>
              <w:rPr>
                <w:sz w:val="21"/>
                <w:szCs w:val="21"/>
                <w:highlight w:val="none"/>
              </w:rPr>
            </w:pPr>
            <w:r>
              <w:rPr>
                <w:sz w:val="21"/>
                <w:szCs w:val="21"/>
                <w:highlight w:val="none"/>
              </w:rPr>
              <w:t>皮肤接触柴油可引起接触性皮炎、油性痤疮；吸入可引起吸入性肺炎，能经胎盘进入胎儿血中。柴油废气可引起眼、鼻刺激症状、头昏及头痛。</w:t>
            </w:r>
          </w:p>
        </w:tc>
      </w:tr>
      <w:tr w14:paraId="3DA19D9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49" w:type="pct"/>
            <w:vMerge w:val="continue"/>
            <w:vAlign w:val="center"/>
          </w:tcPr>
          <w:p w14:paraId="2ACD667A">
            <w:pPr>
              <w:spacing w:line="240" w:lineRule="auto"/>
              <w:ind w:firstLine="0" w:firstLineChars="0"/>
              <w:jc w:val="center"/>
              <w:rPr>
                <w:sz w:val="21"/>
                <w:szCs w:val="21"/>
                <w:highlight w:val="none"/>
              </w:rPr>
            </w:pPr>
          </w:p>
        </w:tc>
        <w:tc>
          <w:tcPr>
            <w:tcW w:w="925" w:type="pct"/>
            <w:vAlign w:val="center"/>
          </w:tcPr>
          <w:p w14:paraId="7933F00C">
            <w:pPr>
              <w:spacing w:line="240" w:lineRule="auto"/>
              <w:ind w:firstLine="0" w:firstLineChars="0"/>
              <w:jc w:val="center"/>
              <w:rPr>
                <w:sz w:val="21"/>
                <w:szCs w:val="21"/>
                <w:highlight w:val="none"/>
              </w:rPr>
            </w:pPr>
            <w:r>
              <w:rPr>
                <w:sz w:val="21"/>
                <w:szCs w:val="21"/>
                <w:highlight w:val="none"/>
              </w:rPr>
              <w:t>急救方法</w:t>
            </w:r>
          </w:p>
        </w:tc>
        <w:tc>
          <w:tcPr>
            <w:tcW w:w="3726" w:type="pct"/>
            <w:gridSpan w:val="10"/>
            <w:vAlign w:val="center"/>
          </w:tcPr>
          <w:p w14:paraId="685A3797">
            <w:pPr>
              <w:spacing w:line="240" w:lineRule="auto"/>
              <w:ind w:firstLine="0" w:firstLineChars="0"/>
              <w:jc w:val="center"/>
              <w:rPr>
                <w:sz w:val="21"/>
                <w:szCs w:val="21"/>
                <w:highlight w:val="none"/>
              </w:rPr>
            </w:pPr>
            <w:r>
              <w:rPr>
                <w:sz w:val="21"/>
                <w:szCs w:val="21"/>
                <w:highlight w:val="none"/>
              </w:rPr>
              <w:t>皮肤接触：脱去被污染的衣着，用肥皂水和清水彻底冲洗皮肤。</w:t>
            </w:r>
          </w:p>
          <w:p w14:paraId="4C9F10BC">
            <w:pPr>
              <w:spacing w:line="240" w:lineRule="auto"/>
              <w:ind w:firstLine="0" w:firstLineChars="0"/>
              <w:jc w:val="center"/>
              <w:rPr>
                <w:sz w:val="21"/>
                <w:szCs w:val="21"/>
                <w:highlight w:val="none"/>
              </w:rPr>
            </w:pPr>
            <w:r>
              <w:rPr>
                <w:sz w:val="21"/>
                <w:szCs w:val="21"/>
                <w:highlight w:val="none"/>
              </w:rPr>
              <w:t>眼睛接触：提起眼睑，用流动清水或生理盐水彻底冲洗就医。</w:t>
            </w:r>
          </w:p>
          <w:p w14:paraId="76851CB1">
            <w:pPr>
              <w:spacing w:line="240" w:lineRule="auto"/>
              <w:ind w:firstLine="0" w:firstLineChars="0"/>
              <w:jc w:val="center"/>
              <w:rPr>
                <w:sz w:val="21"/>
                <w:szCs w:val="21"/>
                <w:highlight w:val="none"/>
              </w:rPr>
            </w:pPr>
            <w:r>
              <w:rPr>
                <w:sz w:val="21"/>
                <w:szCs w:val="21"/>
                <w:highlight w:val="none"/>
              </w:rPr>
              <w:t>吸入：迅速脱离现场至空气新鲜处。保持呼吸道通畅。如呼吸困难，给输氧。如呼吸停止，立即进行人工呼吸。就医。</w:t>
            </w:r>
          </w:p>
          <w:p w14:paraId="368F0565">
            <w:pPr>
              <w:spacing w:line="240" w:lineRule="auto"/>
              <w:ind w:firstLine="0" w:firstLineChars="0"/>
              <w:jc w:val="center"/>
              <w:rPr>
                <w:sz w:val="21"/>
                <w:szCs w:val="21"/>
                <w:highlight w:val="none"/>
              </w:rPr>
            </w:pPr>
            <w:r>
              <w:rPr>
                <w:sz w:val="21"/>
                <w:szCs w:val="21"/>
                <w:highlight w:val="none"/>
              </w:rPr>
              <w:t>食入：尽快彻底洗胃。就医。</w:t>
            </w:r>
          </w:p>
        </w:tc>
      </w:tr>
      <w:tr w14:paraId="2BEB8B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49" w:type="pct"/>
            <w:vMerge w:val="restart"/>
            <w:vAlign w:val="center"/>
          </w:tcPr>
          <w:p w14:paraId="0D14E92E">
            <w:pPr>
              <w:spacing w:line="240" w:lineRule="auto"/>
              <w:ind w:firstLine="0" w:firstLineChars="0"/>
              <w:jc w:val="center"/>
              <w:rPr>
                <w:sz w:val="21"/>
                <w:szCs w:val="21"/>
                <w:highlight w:val="none"/>
              </w:rPr>
            </w:pPr>
            <w:r>
              <w:rPr>
                <w:sz w:val="21"/>
                <w:szCs w:val="21"/>
                <w:highlight w:val="none"/>
              </w:rPr>
              <w:t>燃烧爆炸危险性</w:t>
            </w:r>
          </w:p>
        </w:tc>
        <w:tc>
          <w:tcPr>
            <w:tcW w:w="925" w:type="pct"/>
            <w:vAlign w:val="center"/>
          </w:tcPr>
          <w:p w14:paraId="362DDD38">
            <w:pPr>
              <w:spacing w:line="240" w:lineRule="auto"/>
              <w:ind w:firstLine="0" w:firstLineChars="0"/>
              <w:jc w:val="center"/>
              <w:rPr>
                <w:sz w:val="21"/>
                <w:szCs w:val="21"/>
                <w:highlight w:val="none"/>
              </w:rPr>
            </w:pPr>
            <w:r>
              <w:rPr>
                <w:sz w:val="21"/>
                <w:szCs w:val="21"/>
                <w:highlight w:val="none"/>
              </w:rPr>
              <w:t>燃烧性</w:t>
            </w:r>
          </w:p>
        </w:tc>
        <w:tc>
          <w:tcPr>
            <w:tcW w:w="992" w:type="pct"/>
            <w:gridSpan w:val="2"/>
            <w:vAlign w:val="center"/>
          </w:tcPr>
          <w:p w14:paraId="4D02CD77">
            <w:pPr>
              <w:spacing w:line="240" w:lineRule="auto"/>
              <w:ind w:firstLine="0" w:firstLineChars="0"/>
              <w:jc w:val="center"/>
              <w:rPr>
                <w:sz w:val="21"/>
                <w:szCs w:val="21"/>
                <w:highlight w:val="none"/>
              </w:rPr>
            </w:pPr>
            <w:r>
              <w:rPr>
                <w:sz w:val="21"/>
                <w:szCs w:val="21"/>
                <w:highlight w:val="none"/>
              </w:rPr>
              <w:t>可燃</w:t>
            </w:r>
          </w:p>
        </w:tc>
        <w:tc>
          <w:tcPr>
            <w:tcW w:w="1322" w:type="pct"/>
            <w:gridSpan w:val="5"/>
            <w:vAlign w:val="center"/>
          </w:tcPr>
          <w:p w14:paraId="413F0435">
            <w:pPr>
              <w:spacing w:line="240" w:lineRule="auto"/>
              <w:ind w:firstLine="0" w:firstLineChars="0"/>
              <w:jc w:val="center"/>
              <w:rPr>
                <w:sz w:val="21"/>
                <w:szCs w:val="21"/>
                <w:highlight w:val="none"/>
              </w:rPr>
            </w:pPr>
            <w:r>
              <w:rPr>
                <w:sz w:val="21"/>
                <w:szCs w:val="21"/>
                <w:highlight w:val="none"/>
              </w:rPr>
              <w:t>燃烧分解物</w:t>
            </w:r>
          </w:p>
        </w:tc>
        <w:tc>
          <w:tcPr>
            <w:tcW w:w="1411" w:type="pct"/>
            <w:gridSpan w:val="3"/>
            <w:vAlign w:val="center"/>
          </w:tcPr>
          <w:p w14:paraId="3520F006">
            <w:pPr>
              <w:spacing w:line="240" w:lineRule="auto"/>
              <w:ind w:firstLine="0" w:firstLineChars="0"/>
              <w:jc w:val="center"/>
              <w:rPr>
                <w:sz w:val="21"/>
                <w:szCs w:val="21"/>
                <w:highlight w:val="none"/>
              </w:rPr>
            </w:pPr>
            <w:r>
              <w:rPr>
                <w:sz w:val="21"/>
                <w:szCs w:val="21"/>
                <w:highlight w:val="none"/>
              </w:rPr>
              <w:t>一氧化碳、二氧化碳。</w:t>
            </w:r>
          </w:p>
        </w:tc>
      </w:tr>
      <w:tr w14:paraId="5C84A78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49" w:type="pct"/>
            <w:vMerge w:val="continue"/>
            <w:vAlign w:val="center"/>
          </w:tcPr>
          <w:p w14:paraId="1B042D3F">
            <w:pPr>
              <w:spacing w:line="240" w:lineRule="auto"/>
              <w:ind w:firstLine="0" w:firstLineChars="0"/>
              <w:jc w:val="center"/>
              <w:rPr>
                <w:sz w:val="21"/>
                <w:szCs w:val="21"/>
                <w:highlight w:val="none"/>
              </w:rPr>
            </w:pPr>
          </w:p>
        </w:tc>
        <w:tc>
          <w:tcPr>
            <w:tcW w:w="925" w:type="pct"/>
            <w:vAlign w:val="center"/>
          </w:tcPr>
          <w:p w14:paraId="3FEE7D2B">
            <w:pPr>
              <w:spacing w:line="240" w:lineRule="auto"/>
              <w:ind w:firstLine="0" w:firstLineChars="0"/>
              <w:jc w:val="center"/>
              <w:rPr>
                <w:sz w:val="21"/>
                <w:szCs w:val="21"/>
                <w:highlight w:val="none"/>
              </w:rPr>
            </w:pPr>
            <w:r>
              <w:rPr>
                <w:sz w:val="21"/>
                <w:szCs w:val="21"/>
                <w:highlight w:val="none"/>
              </w:rPr>
              <w:t>闪点(℃)</w:t>
            </w:r>
          </w:p>
        </w:tc>
        <w:tc>
          <w:tcPr>
            <w:tcW w:w="992" w:type="pct"/>
            <w:gridSpan w:val="2"/>
            <w:vAlign w:val="center"/>
          </w:tcPr>
          <w:p w14:paraId="571E86C6">
            <w:pPr>
              <w:spacing w:line="240" w:lineRule="auto"/>
              <w:ind w:firstLine="0" w:firstLineChars="0"/>
              <w:jc w:val="center"/>
              <w:rPr>
                <w:sz w:val="21"/>
                <w:szCs w:val="21"/>
                <w:highlight w:val="none"/>
              </w:rPr>
            </w:pPr>
            <w:r>
              <w:rPr>
                <w:sz w:val="21"/>
                <w:szCs w:val="21"/>
                <w:highlight w:val="none"/>
              </w:rPr>
              <w:t>≥55</w:t>
            </w:r>
          </w:p>
        </w:tc>
        <w:tc>
          <w:tcPr>
            <w:tcW w:w="1322" w:type="pct"/>
            <w:gridSpan w:val="5"/>
            <w:vAlign w:val="center"/>
          </w:tcPr>
          <w:p w14:paraId="49CCA105">
            <w:pPr>
              <w:spacing w:line="240" w:lineRule="auto"/>
              <w:ind w:firstLine="0" w:firstLineChars="0"/>
              <w:jc w:val="center"/>
              <w:rPr>
                <w:sz w:val="21"/>
                <w:szCs w:val="21"/>
                <w:highlight w:val="none"/>
              </w:rPr>
            </w:pPr>
            <w:r>
              <w:rPr>
                <w:sz w:val="21"/>
                <w:szCs w:val="21"/>
                <w:highlight w:val="none"/>
              </w:rPr>
              <w:t>爆炸上限（v%）</w:t>
            </w:r>
          </w:p>
        </w:tc>
        <w:tc>
          <w:tcPr>
            <w:tcW w:w="1411" w:type="pct"/>
            <w:gridSpan w:val="3"/>
            <w:vAlign w:val="center"/>
          </w:tcPr>
          <w:p w14:paraId="3E9DA52B">
            <w:pPr>
              <w:spacing w:line="240" w:lineRule="auto"/>
              <w:ind w:firstLine="0" w:firstLineChars="0"/>
              <w:jc w:val="center"/>
              <w:rPr>
                <w:sz w:val="21"/>
                <w:szCs w:val="21"/>
                <w:highlight w:val="none"/>
              </w:rPr>
            </w:pPr>
            <w:r>
              <w:rPr>
                <w:sz w:val="21"/>
                <w:szCs w:val="21"/>
                <w:highlight w:val="none"/>
              </w:rPr>
              <w:t>6.5</w:t>
            </w:r>
          </w:p>
        </w:tc>
      </w:tr>
      <w:tr w14:paraId="0F65256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49" w:type="pct"/>
            <w:vMerge w:val="continue"/>
            <w:vAlign w:val="center"/>
          </w:tcPr>
          <w:p w14:paraId="5556F994">
            <w:pPr>
              <w:spacing w:line="240" w:lineRule="auto"/>
              <w:ind w:firstLine="0" w:firstLineChars="0"/>
              <w:jc w:val="center"/>
              <w:rPr>
                <w:sz w:val="21"/>
                <w:szCs w:val="21"/>
                <w:highlight w:val="none"/>
              </w:rPr>
            </w:pPr>
          </w:p>
        </w:tc>
        <w:tc>
          <w:tcPr>
            <w:tcW w:w="925" w:type="pct"/>
            <w:vAlign w:val="center"/>
          </w:tcPr>
          <w:p w14:paraId="5924F87A">
            <w:pPr>
              <w:spacing w:line="240" w:lineRule="auto"/>
              <w:ind w:firstLine="0" w:firstLineChars="0"/>
              <w:jc w:val="center"/>
              <w:rPr>
                <w:sz w:val="21"/>
                <w:szCs w:val="21"/>
                <w:highlight w:val="none"/>
              </w:rPr>
            </w:pPr>
            <w:r>
              <w:rPr>
                <w:sz w:val="21"/>
                <w:szCs w:val="21"/>
                <w:highlight w:val="none"/>
              </w:rPr>
              <w:t>引燃温度(℃)</w:t>
            </w:r>
          </w:p>
        </w:tc>
        <w:tc>
          <w:tcPr>
            <w:tcW w:w="992" w:type="pct"/>
            <w:gridSpan w:val="2"/>
            <w:vAlign w:val="center"/>
          </w:tcPr>
          <w:p w14:paraId="15B53894">
            <w:pPr>
              <w:spacing w:line="240" w:lineRule="auto"/>
              <w:ind w:firstLine="0" w:firstLineChars="0"/>
              <w:jc w:val="center"/>
              <w:rPr>
                <w:sz w:val="21"/>
                <w:szCs w:val="21"/>
                <w:highlight w:val="none"/>
              </w:rPr>
            </w:pPr>
            <w:r>
              <w:rPr>
                <w:sz w:val="21"/>
                <w:szCs w:val="21"/>
                <w:highlight w:val="none"/>
              </w:rPr>
              <w:t>350～380</w:t>
            </w:r>
          </w:p>
        </w:tc>
        <w:tc>
          <w:tcPr>
            <w:tcW w:w="1322" w:type="pct"/>
            <w:gridSpan w:val="5"/>
            <w:vAlign w:val="center"/>
          </w:tcPr>
          <w:p w14:paraId="0DFD3FD1">
            <w:pPr>
              <w:spacing w:line="240" w:lineRule="auto"/>
              <w:ind w:firstLine="0" w:firstLineChars="0"/>
              <w:jc w:val="center"/>
              <w:rPr>
                <w:sz w:val="21"/>
                <w:szCs w:val="21"/>
                <w:highlight w:val="none"/>
              </w:rPr>
            </w:pPr>
            <w:r>
              <w:rPr>
                <w:sz w:val="21"/>
                <w:szCs w:val="21"/>
                <w:highlight w:val="none"/>
              </w:rPr>
              <w:t>爆炸下限（v%）</w:t>
            </w:r>
          </w:p>
        </w:tc>
        <w:tc>
          <w:tcPr>
            <w:tcW w:w="1411" w:type="pct"/>
            <w:gridSpan w:val="3"/>
            <w:vAlign w:val="center"/>
          </w:tcPr>
          <w:p w14:paraId="245A9E1F">
            <w:pPr>
              <w:spacing w:line="240" w:lineRule="auto"/>
              <w:ind w:firstLine="0" w:firstLineChars="0"/>
              <w:jc w:val="center"/>
              <w:rPr>
                <w:sz w:val="21"/>
                <w:szCs w:val="21"/>
                <w:highlight w:val="none"/>
              </w:rPr>
            </w:pPr>
            <w:r>
              <w:rPr>
                <w:sz w:val="21"/>
                <w:szCs w:val="21"/>
                <w:highlight w:val="none"/>
              </w:rPr>
              <w:t>0.6</w:t>
            </w:r>
          </w:p>
        </w:tc>
      </w:tr>
      <w:tr w14:paraId="05CAC23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49" w:type="pct"/>
            <w:vMerge w:val="continue"/>
            <w:vAlign w:val="center"/>
          </w:tcPr>
          <w:p w14:paraId="18098816">
            <w:pPr>
              <w:spacing w:line="240" w:lineRule="auto"/>
              <w:ind w:firstLine="0" w:firstLineChars="0"/>
              <w:jc w:val="center"/>
              <w:rPr>
                <w:sz w:val="21"/>
                <w:szCs w:val="21"/>
                <w:highlight w:val="none"/>
              </w:rPr>
            </w:pPr>
          </w:p>
        </w:tc>
        <w:tc>
          <w:tcPr>
            <w:tcW w:w="925" w:type="pct"/>
            <w:vAlign w:val="center"/>
          </w:tcPr>
          <w:p w14:paraId="57796E9E">
            <w:pPr>
              <w:spacing w:line="240" w:lineRule="auto"/>
              <w:ind w:firstLine="0" w:firstLineChars="0"/>
              <w:jc w:val="center"/>
              <w:rPr>
                <w:sz w:val="21"/>
                <w:szCs w:val="21"/>
                <w:highlight w:val="none"/>
              </w:rPr>
            </w:pPr>
            <w:r>
              <w:rPr>
                <w:sz w:val="21"/>
                <w:szCs w:val="21"/>
                <w:highlight w:val="none"/>
              </w:rPr>
              <w:t>危险特性</w:t>
            </w:r>
          </w:p>
        </w:tc>
        <w:tc>
          <w:tcPr>
            <w:tcW w:w="3726" w:type="pct"/>
            <w:gridSpan w:val="10"/>
            <w:vAlign w:val="center"/>
          </w:tcPr>
          <w:p w14:paraId="090162DA">
            <w:pPr>
              <w:spacing w:line="240" w:lineRule="auto"/>
              <w:ind w:firstLine="0" w:firstLineChars="0"/>
              <w:jc w:val="center"/>
              <w:rPr>
                <w:sz w:val="21"/>
                <w:szCs w:val="21"/>
                <w:highlight w:val="none"/>
              </w:rPr>
            </w:pPr>
            <w:r>
              <w:rPr>
                <w:sz w:val="21"/>
                <w:szCs w:val="21"/>
                <w:highlight w:val="none"/>
              </w:rPr>
              <w:t>遇明火、高热或与氧化剂接触有可能引起燃烧爆炸的危险。若遇高热，容器内压增大，有开裂和爆炸的危险。</w:t>
            </w:r>
          </w:p>
        </w:tc>
      </w:tr>
      <w:tr w14:paraId="12D3436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49" w:type="pct"/>
            <w:vMerge w:val="continue"/>
            <w:vAlign w:val="center"/>
          </w:tcPr>
          <w:p w14:paraId="51EE637A">
            <w:pPr>
              <w:spacing w:line="240" w:lineRule="auto"/>
              <w:ind w:firstLine="0" w:firstLineChars="0"/>
              <w:jc w:val="center"/>
              <w:rPr>
                <w:sz w:val="21"/>
                <w:szCs w:val="21"/>
                <w:highlight w:val="none"/>
              </w:rPr>
            </w:pPr>
          </w:p>
        </w:tc>
        <w:tc>
          <w:tcPr>
            <w:tcW w:w="925" w:type="pct"/>
            <w:vAlign w:val="center"/>
          </w:tcPr>
          <w:p w14:paraId="1E8B927B">
            <w:pPr>
              <w:spacing w:line="240" w:lineRule="auto"/>
              <w:ind w:firstLine="0" w:firstLineChars="0"/>
              <w:jc w:val="center"/>
              <w:rPr>
                <w:sz w:val="21"/>
                <w:szCs w:val="21"/>
                <w:highlight w:val="none"/>
              </w:rPr>
            </w:pPr>
            <w:r>
              <w:rPr>
                <w:sz w:val="21"/>
                <w:szCs w:val="21"/>
                <w:highlight w:val="none"/>
              </w:rPr>
              <w:t>储运条件</w:t>
            </w:r>
          </w:p>
          <w:p w14:paraId="146C0CCA">
            <w:pPr>
              <w:spacing w:line="240" w:lineRule="auto"/>
              <w:ind w:firstLine="0" w:firstLineChars="0"/>
              <w:jc w:val="center"/>
              <w:rPr>
                <w:sz w:val="21"/>
                <w:szCs w:val="21"/>
                <w:highlight w:val="none"/>
              </w:rPr>
            </w:pPr>
            <w:r>
              <w:rPr>
                <w:sz w:val="21"/>
                <w:szCs w:val="21"/>
                <w:highlight w:val="none"/>
              </w:rPr>
              <w:t>与泄漏处理</w:t>
            </w:r>
          </w:p>
        </w:tc>
        <w:tc>
          <w:tcPr>
            <w:tcW w:w="3726" w:type="pct"/>
            <w:gridSpan w:val="10"/>
            <w:vAlign w:val="center"/>
          </w:tcPr>
          <w:p w14:paraId="27F97216">
            <w:pPr>
              <w:spacing w:line="240" w:lineRule="auto"/>
              <w:ind w:firstLine="0" w:firstLineChars="0"/>
              <w:jc w:val="center"/>
              <w:rPr>
                <w:sz w:val="21"/>
                <w:szCs w:val="21"/>
                <w:highlight w:val="none"/>
              </w:rPr>
            </w:pPr>
            <w:r>
              <w:rPr>
                <w:sz w:val="21"/>
                <w:szCs w:val="21"/>
                <w:highlight w:val="none"/>
              </w:rPr>
              <w:t>储运条件：储存于阴凉、通风的库房。远离火种、热源。应与氧化剂、卤素分开存放，切忌混储。公路运输时要按规定路线行驶。泄漏处理：迅速撤离泄漏污染区人员至安全区，并进行隔离，严格限制出入。切断火源。建议应急处理人员戴自给正压式呼吸器，穿一般作业工作服。尽可能切断泄漏源。防止流入下水道、排洪沟等限制性空间。小量泄漏：用活性炭或其它惰性材料吸收。大量泄漏：构筑围堤或挖坑收容。用泵转移至槽车或专用收集器内，回收或运至废物处理场所处置。</w:t>
            </w:r>
          </w:p>
        </w:tc>
      </w:tr>
      <w:tr w14:paraId="7B54B4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49" w:type="pct"/>
            <w:vMerge w:val="continue"/>
            <w:vAlign w:val="center"/>
          </w:tcPr>
          <w:p w14:paraId="303BFC25">
            <w:pPr>
              <w:spacing w:line="240" w:lineRule="auto"/>
              <w:ind w:firstLine="0" w:firstLineChars="0"/>
              <w:jc w:val="center"/>
              <w:rPr>
                <w:sz w:val="21"/>
                <w:szCs w:val="21"/>
                <w:highlight w:val="none"/>
              </w:rPr>
            </w:pPr>
          </w:p>
        </w:tc>
        <w:tc>
          <w:tcPr>
            <w:tcW w:w="925" w:type="pct"/>
            <w:vAlign w:val="center"/>
          </w:tcPr>
          <w:p w14:paraId="2D44F2DE">
            <w:pPr>
              <w:spacing w:line="240" w:lineRule="auto"/>
              <w:ind w:firstLine="0" w:firstLineChars="0"/>
              <w:jc w:val="center"/>
              <w:rPr>
                <w:sz w:val="21"/>
                <w:szCs w:val="21"/>
                <w:highlight w:val="none"/>
              </w:rPr>
            </w:pPr>
            <w:r>
              <w:rPr>
                <w:sz w:val="21"/>
                <w:szCs w:val="21"/>
                <w:highlight w:val="none"/>
              </w:rPr>
              <w:t>建规火险分级</w:t>
            </w:r>
          </w:p>
        </w:tc>
        <w:tc>
          <w:tcPr>
            <w:tcW w:w="773" w:type="pct"/>
            <w:vAlign w:val="center"/>
          </w:tcPr>
          <w:p w14:paraId="45BA3189">
            <w:pPr>
              <w:spacing w:line="240" w:lineRule="auto"/>
              <w:ind w:firstLine="0" w:firstLineChars="0"/>
              <w:jc w:val="center"/>
              <w:rPr>
                <w:sz w:val="21"/>
                <w:szCs w:val="21"/>
                <w:highlight w:val="none"/>
              </w:rPr>
            </w:pPr>
            <w:r>
              <w:rPr>
                <w:sz w:val="21"/>
                <w:szCs w:val="21"/>
                <w:highlight w:val="none"/>
              </w:rPr>
              <w:t>乙</w:t>
            </w:r>
          </w:p>
        </w:tc>
        <w:tc>
          <w:tcPr>
            <w:tcW w:w="719" w:type="pct"/>
            <w:gridSpan w:val="3"/>
            <w:vAlign w:val="center"/>
          </w:tcPr>
          <w:p w14:paraId="02044617">
            <w:pPr>
              <w:spacing w:line="240" w:lineRule="auto"/>
              <w:ind w:firstLine="0" w:firstLineChars="0"/>
              <w:jc w:val="center"/>
              <w:rPr>
                <w:sz w:val="21"/>
                <w:szCs w:val="21"/>
                <w:highlight w:val="none"/>
              </w:rPr>
            </w:pPr>
            <w:r>
              <w:rPr>
                <w:sz w:val="21"/>
                <w:szCs w:val="21"/>
                <w:highlight w:val="none"/>
              </w:rPr>
              <w:t>稳定性</w:t>
            </w:r>
          </w:p>
        </w:tc>
        <w:tc>
          <w:tcPr>
            <w:tcW w:w="546" w:type="pct"/>
            <w:gridSpan w:val="2"/>
            <w:vAlign w:val="center"/>
          </w:tcPr>
          <w:p w14:paraId="089667B7">
            <w:pPr>
              <w:spacing w:line="240" w:lineRule="auto"/>
              <w:ind w:firstLine="0" w:firstLineChars="0"/>
              <w:jc w:val="center"/>
              <w:rPr>
                <w:sz w:val="21"/>
                <w:szCs w:val="21"/>
                <w:highlight w:val="none"/>
              </w:rPr>
            </w:pPr>
            <w:r>
              <w:rPr>
                <w:sz w:val="21"/>
                <w:szCs w:val="21"/>
                <w:highlight w:val="none"/>
              </w:rPr>
              <w:t>稳定</w:t>
            </w:r>
          </w:p>
        </w:tc>
        <w:tc>
          <w:tcPr>
            <w:tcW w:w="861" w:type="pct"/>
            <w:gridSpan w:val="3"/>
            <w:vAlign w:val="center"/>
          </w:tcPr>
          <w:p w14:paraId="04B67C29">
            <w:pPr>
              <w:spacing w:line="240" w:lineRule="auto"/>
              <w:ind w:firstLine="0" w:firstLineChars="0"/>
              <w:jc w:val="center"/>
              <w:rPr>
                <w:sz w:val="21"/>
                <w:szCs w:val="21"/>
                <w:highlight w:val="none"/>
              </w:rPr>
            </w:pPr>
            <w:r>
              <w:rPr>
                <w:sz w:val="21"/>
                <w:szCs w:val="21"/>
                <w:highlight w:val="none"/>
              </w:rPr>
              <w:t>聚合危害</w:t>
            </w:r>
          </w:p>
        </w:tc>
        <w:tc>
          <w:tcPr>
            <w:tcW w:w="827" w:type="pct"/>
            <w:vAlign w:val="center"/>
          </w:tcPr>
          <w:p w14:paraId="3AEFA82C">
            <w:pPr>
              <w:spacing w:line="240" w:lineRule="auto"/>
              <w:ind w:firstLine="0" w:firstLineChars="0"/>
              <w:jc w:val="center"/>
              <w:rPr>
                <w:sz w:val="21"/>
                <w:szCs w:val="21"/>
                <w:highlight w:val="none"/>
              </w:rPr>
            </w:pPr>
            <w:r>
              <w:rPr>
                <w:sz w:val="21"/>
                <w:szCs w:val="21"/>
                <w:highlight w:val="none"/>
              </w:rPr>
              <w:t>不出现</w:t>
            </w:r>
          </w:p>
        </w:tc>
      </w:tr>
      <w:tr w14:paraId="1B0A98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49" w:type="pct"/>
            <w:vMerge w:val="continue"/>
            <w:vAlign w:val="center"/>
          </w:tcPr>
          <w:p w14:paraId="209650EE">
            <w:pPr>
              <w:spacing w:line="240" w:lineRule="auto"/>
              <w:ind w:firstLine="0" w:firstLineChars="0"/>
              <w:jc w:val="center"/>
              <w:rPr>
                <w:sz w:val="21"/>
                <w:szCs w:val="21"/>
                <w:highlight w:val="none"/>
              </w:rPr>
            </w:pPr>
          </w:p>
        </w:tc>
        <w:tc>
          <w:tcPr>
            <w:tcW w:w="925" w:type="pct"/>
            <w:vAlign w:val="center"/>
          </w:tcPr>
          <w:p w14:paraId="2E73C52F">
            <w:pPr>
              <w:spacing w:line="240" w:lineRule="auto"/>
              <w:ind w:firstLine="0" w:firstLineChars="0"/>
              <w:jc w:val="center"/>
              <w:rPr>
                <w:sz w:val="21"/>
                <w:szCs w:val="21"/>
                <w:highlight w:val="none"/>
              </w:rPr>
            </w:pPr>
            <w:r>
              <w:rPr>
                <w:sz w:val="21"/>
                <w:szCs w:val="21"/>
                <w:highlight w:val="none"/>
              </w:rPr>
              <w:t>禁忌物</w:t>
            </w:r>
          </w:p>
        </w:tc>
        <w:tc>
          <w:tcPr>
            <w:tcW w:w="3726" w:type="pct"/>
            <w:gridSpan w:val="10"/>
            <w:vAlign w:val="center"/>
          </w:tcPr>
          <w:p w14:paraId="2A0D6292">
            <w:pPr>
              <w:spacing w:line="240" w:lineRule="auto"/>
              <w:ind w:firstLine="0" w:firstLineChars="0"/>
              <w:jc w:val="center"/>
              <w:rPr>
                <w:sz w:val="21"/>
                <w:szCs w:val="21"/>
                <w:highlight w:val="none"/>
              </w:rPr>
            </w:pPr>
            <w:r>
              <w:rPr>
                <w:sz w:val="21"/>
                <w:szCs w:val="21"/>
                <w:highlight w:val="none"/>
              </w:rPr>
              <w:t>强氧化剂、卤素。</w:t>
            </w:r>
          </w:p>
        </w:tc>
      </w:tr>
      <w:tr w14:paraId="33A261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49" w:type="pct"/>
            <w:vMerge w:val="continue"/>
            <w:vAlign w:val="center"/>
          </w:tcPr>
          <w:p w14:paraId="170797D9">
            <w:pPr>
              <w:spacing w:line="240" w:lineRule="auto"/>
              <w:ind w:firstLine="0" w:firstLineChars="0"/>
              <w:jc w:val="center"/>
              <w:rPr>
                <w:sz w:val="21"/>
                <w:szCs w:val="21"/>
                <w:highlight w:val="none"/>
              </w:rPr>
            </w:pPr>
          </w:p>
        </w:tc>
        <w:tc>
          <w:tcPr>
            <w:tcW w:w="925" w:type="pct"/>
            <w:vAlign w:val="center"/>
          </w:tcPr>
          <w:p w14:paraId="4AC34ED6">
            <w:pPr>
              <w:spacing w:line="240" w:lineRule="auto"/>
              <w:ind w:firstLine="0" w:firstLineChars="0"/>
              <w:jc w:val="center"/>
              <w:rPr>
                <w:sz w:val="21"/>
                <w:szCs w:val="21"/>
                <w:highlight w:val="none"/>
              </w:rPr>
            </w:pPr>
            <w:r>
              <w:rPr>
                <w:sz w:val="21"/>
                <w:szCs w:val="21"/>
                <w:highlight w:val="none"/>
              </w:rPr>
              <w:t>灭火方法</w:t>
            </w:r>
          </w:p>
        </w:tc>
        <w:tc>
          <w:tcPr>
            <w:tcW w:w="3726" w:type="pct"/>
            <w:gridSpan w:val="10"/>
            <w:vAlign w:val="center"/>
          </w:tcPr>
          <w:p w14:paraId="6C9BBAC8">
            <w:pPr>
              <w:spacing w:line="240" w:lineRule="auto"/>
              <w:ind w:firstLine="0" w:firstLineChars="0"/>
              <w:jc w:val="center"/>
              <w:rPr>
                <w:sz w:val="21"/>
                <w:szCs w:val="21"/>
                <w:highlight w:val="none"/>
              </w:rPr>
            </w:pPr>
            <w:r>
              <w:rPr>
                <w:sz w:val="21"/>
                <w:szCs w:val="21"/>
                <w:highlight w:val="none"/>
              </w:rPr>
              <w:t>用泡沫、二氧化碳、干粉灭火，用水灭火无效。</w:t>
            </w:r>
          </w:p>
        </w:tc>
      </w:tr>
    </w:tbl>
    <w:p w14:paraId="03FAFF94">
      <w:pPr>
        <w:ind w:firstLine="0" w:firstLineChars="0"/>
        <w:jc w:val="center"/>
        <w:rPr>
          <w:rFonts w:hint="eastAsia" w:ascii="Times New Roman" w:hAnsi="Times New Roman"/>
          <w:highlight w:val="none"/>
        </w:rPr>
      </w:pPr>
      <w:r>
        <w:rPr>
          <w:rFonts w:hint="eastAsia" w:ascii="黑体" w:hAnsi="黑体" w:eastAsia="黑体" w:cs="黑体"/>
          <w:highlight w:val="none"/>
        </w:rPr>
        <w:t>表</w:t>
      </w:r>
      <w:r>
        <w:rPr>
          <w:rFonts w:hint="eastAsia" w:ascii="Times New Roman" w:hAnsi="Times New Roman"/>
          <w:highlight w:val="none"/>
          <w:lang w:val="en-US" w:eastAsia="zh-CN"/>
        </w:rPr>
        <w:t>3.3-9</w:t>
      </w:r>
      <w:r>
        <w:rPr>
          <w:rFonts w:hint="eastAsia" w:ascii="黑体" w:hAnsi="黑体" w:eastAsia="黑体" w:cs="黑体"/>
          <w:highlight w:val="none"/>
        </w:rPr>
        <w:t>项目危险物质危险性识别结果表</w:t>
      </w:r>
    </w:p>
    <w:tbl>
      <w:tblPr>
        <w:tblStyle w:val="17"/>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532"/>
        <w:gridCol w:w="1028"/>
        <w:gridCol w:w="1091"/>
        <w:gridCol w:w="728"/>
        <w:gridCol w:w="655"/>
        <w:gridCol w:w="1403"/>
        <w:gridCol w:w="1028"/>
        <w:gridCol w:w="2057"/>
      </w:tblGrid>
      <w:tr w14:paraId="5F965D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312" w:type="pct"/>
            <w:vMerge w:val="restart"/>
            <w:tcBorders>
              <w:tl2br w:val="nil"/>
              <w:tr2bl w:val="nil"/>
            </w:tcBorders>
            <w:shd w:val="clear" w:color="auto" w:fill="FFFFFF"/>
            <w:vAlign w:val="center"/>
          </w:tcPr>
          <w:p w14:paraId="7A792C2C">
            <w:pPr>
              <w:spacing w:line="240" w:lineRule="auto"/>
              <w:ind w:firstLine="0" w:firstLineChars="0"/>
              <w:jc w:val="center"/>
              <w:rPr>
                <w:sz w:val="21"/>
                <w:szCs w:val="21"/>
                <w:highlight w:val="none"/>
              </w:rPr>
            </w:pPr>
            <w:r>
              <w:rPr>
                <w:sz w:val="21"/>
                <w:szCs w:val="21"/>
                <w:highlight w:val="none"/>
              </w:rPr>
              <w:t>序号</w:t>
            </w:r>
          </w:p>
        </w:tc>
        <w:tc>
          <w:tcPr>
            <w:tcW w:w="2054" w:type="pct"/>
            <w:gridSpan w:val="4"/>
            <w:tcBorders>
              <w:tl2br w:val="nil"/>
              <w:tr2bl w:val="nil"/>
            </w:tcBorders>
            <w:shd w:val="clear" w:color="auto" w:fill="FFFFFF"/>
            <w:vAlign w:val="center"/>
          </w:tcPr>
          <w:p w14:paraId="74C3B4FD">
            <w:pPr>
              <w:spacing w:line="240" w:lineRule="auto"/>
              <w:ind w:firstLine="0" w:firstLineChars="0"/>
              <w:jc w:val="center"/>
              <w:rPr>
                <w:sz w:val="21"/>
                <w:szCs w:val="21"/>
                <w:highlight w:val="none"/>
              </w:rPr>
            </w:pPr>
            <w:r>
              <w:rPr>
                <w:sz w:val="21"/>
                <w:szCs w:val="21"/>
                <w:highlight w:val="none"/>
              </w:rPr>
              <w:t>HJ169-2018附录 B 中涉及内容</w:t>
            </w:r>
          </w:p>
        </w:tc>
        <w:tc>
          <w:tcPr>
            <w:tcW w:w="823" w:type="pct"/>
            <w:vMerge w:val="restart"/>
            <w:tcBorders>
              <w:tl2br w:val="nil"/>
              <w:tr2bl w:val="nil"/>
            </w:tcBorders>
            <w:shd w:val="clear" w:color="auto" w:fill="FFFFFF"/>
            <w:vAlign w:val="center"/>
          </w:tcPr>
          <w:p w14:paraId="765EBAC2">
            <w:pPr>
              <w:spacing w:line="240" w:lineRule="auto"/>
              <w:ind w:firstLine="0" w:firstLineChars="0"/>
              <w:jc w:val="center"/>
              <w:rPr>
                <w:sz w:val="21"/>
                <w:szCs w:val="21"/>
                <w:highlight w:val="none"/>
              </w:rPr>
            </w:pPr>
            <w:r>
              <w:rPr>
                <w:sz w:val="21"/>
                <w:szCs w:val="21"/>
                <w:highlight w:val="none"/>
              </w:rPr>
              <w:t>危险物质</w:t>
            </w:r>
          </w:p>
          <w:p w14:paraId="5E7584A7">
            <w:pPr>
              <w:spacing w:line="240" w:lineRule="auto"/>
              <w:ind w:firstLine="0" w:firstLineChars="0"/>
              <w:jc w:val="center"/>
              <w:rPr>
                <w:sz w:val="21"/>
                <w:szCs w:val="21"/>
                <w:highlight w:val="none"/>
              </w:rPr>
            </w:pPr>
            <w:r>
              <w:rPr>
                <w:sz w:val="21"/>
                <w:szCs w:val="21"/>
                <w:highlight w:val="none"/>
              </w:rPr>
              <w:t>的分布</w:t>
            </w:r>
          </w:p>
        </w:tc>
        <w:tc>
          <w:tcPr>
            <w:tcW w:w="603" w:type="pct"/>
            <w:vMerge w:val="restart"/>
            <w:tcBorders>
              <w:tl2br w:val="nil"/>
              <w:tr2bl w:val="nil"/>
            </w:tcBorders>
            <w:shd w:val="clear" w:color="auto" w:fill="FFFFFF"/>
            <w:vAlign w:val="center"/>
          </w:tcPr>
          <w:p w14:paraId="5B9C37FC">
            <w:pPr>
              <w:spacing w:line="240" w:lineRule="auto"/>
              <w:ind w:firstLine="0" w:firstLineChars="0"/>
              <w:jc w:val="center"/>
              <w:rPr>
                <w:sz w:val="21"/>
                <w:szCs w:val="21"/>
                <w:highlight w:val="none"/>
              </w:rPr>
            </w:pPr>
            <w:r>
              <w:rPr>
                <w:sz w:val="21"/>
                <w:szCs w:val="21"/>
                <w:highlight w:val="none"/>
              </w:rPr>
              <w:t>易燃易爆特性</w:t>
            </w:r>
          </w:p>
        </w:tc>
        <w:tc>
          <w:tcPr>
            <w:tcW w:w="1206" w:type="pct"/>
            <w:vMerge w:val="restart"/>
            <w:tcBorders>
              <w:tl2br w:val="nil"/>
              <w:tr2bl w:val="nil"/>
            </w:tcBorders>
            <w:shd w:val="clear" w:color="auto" w:fill="FFFFFF"/>
            <w:vAlign w:val="center"/>
          </w:tcPr>
          <w:p w14:paraId="57728D37">
            <w:pPr>
              <w:spacing w:line="240" w:lineRule="auto"/>
              <w:ind w:firstLine="0" w:firstLineChars="0"/>
              <w:jc w:val="center"/>
              <w:rPr>
                <w:sz w:val="21"/>
                <w:szCs w:val="21"/>
                <w:highlight w:val="none"/>
              </w:rPr>
            </w:pPr>
            <w:r>
              <w:rPr>
                <w:sz w:val="21"/>
                <w:szCs w:val="21"/>
                <w:highlight w:val="none"/>
              </w:rPr>
              <w:t>有毒有害危险性</w:t>
            </w:r>
          </w:p>
        </w:tc>
      </w:tr>
      <w:tr w14:paraId="2C8B20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312" w:type="pct"/>
            <w:vMerge w:val="continue"/>
            <w:tcBorders>
              <w:tl2br w:val="nil"/>
              <w:tr2bl w:val="nil"/>
            </w:tcBorders>
            <w:shd w:val="clear" w:color="auto" w:fill="FFFFFF"/>
            <w:vAlign w:val="center"/>
          </w:tcPr>
          <w:p w14:paraId="7F98B851">
            <w:pPr>
              <w:spacing w:line="240" w:lineRule="auto"/>
              <w:ind w:firstLine="0" w:firstLineChars="0"/>
              <w:jc w:val="center"/>
              <w:rPr>
                <w:sz w:val="21"/>
                <w:szCs w:val="21"/>
                <w:highlight w:val="none"/>
              </w:rPr>
            </w:pPr>
          </w:p>
        </w:tc>
        <w:tc>
          <w:tcPr>
            <w:tcW w:w="603" w:type="pct"/>
            <w:tcBorders>
              <w:tl2br w:val="nil"/>
              <w:tr2bl w:val="nil"/>
            </w:tcBorders>
            <w:shd w:val="clear" w:color="auto" w:fill="FFFFFF"/>
            <w:vAlign w:val="center"/>
          </w:tcPr>
          <w:p w14:paraId="7874E11E">
            <w:pPr>
              <w:spacing w:line="240" w:lineRule="auto"/>
              <w:ind w:firstLine="0" w:firstLineChars="0"/>
              <w:jc w:val="center"/>
              <w:rPr>
                <w:sz w:val="21"/>
                <w:szCs w:val="21"/>
                <w:highlight w:val="none"/>
              </w:rPr>
            </w:pPr>
            <w:r>
              <w:rPr>
                <w:sz w:val="21"/>
                <w:szCs w:val="21"/>
                <w:highlight w:val="none"/>
              </w:rPr>
              <w:t>危险物质名称</w:t>
            </w:r>
          </w:p>
        </w:tc>
        <w:tc>
          <w:tcPr>
            <w:tcW w:w="640" w:type="pct"/>
            <w:tcBorders>
              <w:tl2br w:val="nil"/>
              <w:tr2bl w:val="nil"/>
            </w:tcBorders>
            <w:shd w:val="clear" w:color="auto" w:fill="FFFFFF"/>
            <w:vAlign w:val="center"/>
          </w:tcPr>
          <w:p w14:paraId="5364C171">
            <w:pPr>
              <w:spacing w:line="240" w:lineRule="auto"/>
              <w:ind w:firstLine="0" w:firstLineChars="0"/>
              <w:jc w:val="center"/>
              <w:rPr>
                <w:sz w:val="21"/>
                <w:szCs w:val="21"/>
                <w:highlight w:val="none"/>
              </w:rPr>
            </w:pPr>
            <w:r>
              <w:rPr>
                <w:sz w:val="21"/>
                <w:szCs w:val="21"/>
                <w:highlight w:val="none"/>
              </w:rPr>
              <w:t>CAS号</w:t>
            </w:r>
          </w:p>
        </w:tc>
        <w:tc>
          <w:tcPr>
            <w:tcW w:w="427" w:type="pct"/>
            <w:tcBorders>
              <w:tl2br w:val="nil"/>
              <w:tr2bl w:val="nil"/>
            </w:tcBorders>
            <w:shd w:val="clear" w:color="auto" w:fill="FFFFFF"/>
            <w:vAlign w:val="center"/>
          </w:tcPr>
          <w:p w14:paraId="40EFD69E">
            <w:pPr>
              <w:spacing w:line="240" w:lineRule="auto"/>
              <w:ind w:firstLine="0" w:firstLineChars="0"/>
              <w:jc w:val="center"/>
              <w:rPr>
                <w:sz w:val="21"/>
                <w:szCs w:val="21"/>
                <w:highlight w:val="none"/>
              </w:rPr>
            </w:pPr>
            <w:r>
              <w:rPr>
                <w:sz w:val="21"/>
                <w:szCs w:val="21"/>
                <w:highlight w:val="none"/>
              </w:rPr>
              <w:t>临界量</w:t>
            </w:r>
          </w:p>
        </w:tc>
        <w:tc>
          <w:tcPr>
            <w:tcW w:w="383" w:type="pct"/>
            <w:tcBorders>
              <w:tl2br w:val="nil"/>
              <w:tr2bl w:val="nil"/>
            </w:tcBorders>
            <w:shd w:val="clear" w:color="auto" w:fill="FFFFFF"/>
            <w:vAlign w:val="center"/>
          </w:tcPr>
          <w:p w14:paraId="53B33218">
            <w:pPr>
              <w:spacing w:line="240" w:lineRule="auto"/>
              <w:ind w:firstLine="0" w:firstLineChars="0"/>
              <w:jc w:val="center"/>
              <w:rPr>
                <w:sz w:val="21"/>
                <w:szCs w:val="21"/>
                <w:highlight w:val="none"/>
              </w:rPr>
            </w:pPr>
            <w:r>
              <w:rPr>
                <w:sz w:val="21"/>
                <w:szCs w:val="21"/>
                <w:highlight w:val="none"/>
              </w:rPr>
              <w:t>备注</w:t>
            </w:r>
          </w:p>
        </w:tc>
        <w:tc>
          <w:tcPr>
            <w:tcW w:w="823" w:type="pct"/>
            <w:vMerge w:val="continue"/>
            <w:tcBorders>
              <w:tl2br w:val="nil"/>
              <w:tr2bl w:val="nil"/>
            </w:tcBorders>
            <w:shd w:val="clear" w:color="auto" w:fill="FFFFFF"/>
            <w:vAlign w:val="center"/>
          </w:tcPr>
          <w:p w14:paraId="3864ACA8">
            <w:pPr>
              <w:spacing w:line="240" w:lineRule="auto"/>
              <w:ind w:firstLine="0" w:firstLineChars="0"/>
              <w:jc w:val="center"/>
              <w:rPr>
                <w:sz w:val="21"/>
                <w:szCs w:val="21"/>
                <w:highlight w:val="none"/>
              </w:rPr>
            </w:pPr>
          </w:p>
        </w:tc>
        <w:tc>
          <w:tcPr>
            <w:tcW w:w="603" w:type="pct"/>
            <w:vMerge w:val="continue"/>
            <w:tcBorders>
              <w:tl2br w:val="nil"/>
              <w:tr2bl w:val="nil"/>
            </w:tcBorders>
            <w:shd w:val="clear" w:color="auto" w:fill="FFFFFF"/>
            <w:vAlign w:val="center"/>
          </w:tcPr>
          <w:p w14:paraId="3A8580F2">
            <w:pPr>
              <w:spacing w:line="240" w:lineRule="auto"/>
              <w:ind w:firstLine="0" w:firstLineChars="0"/>
              <w:jc w:val="center"/>
              <w:rPr>
                <w:sz w:val="21"/>
                <w:szCs w:val="21"/>
                <w:highlight w:val="none"/>
              </w:rPr>
            </w:pPr>
          </w:p>
        </w:tc>
        <w:tc>
          <w:tcPr>
            <w:tcW w:w="1206" w:type="pct"/>
            <w:vMerge w:val="continue"/>
            <w:tcBorders>
              <w:tl2br w:val="nil"/>
              <w:tr2bl w:val="nil"/>
            </w:tcBorders>
            <w:shd w:val="clear" w:color="auto" w:fill="FFFFFF"/>
            <w:vAlign w:val="center"/>
          </w:tcPr>
          <w:p w14:paraId="4D778767">
            <w:pPr>
              <w:spacing w:line="240" w:lineRule="auto"/>
              <w:ind w:firstLine="0" w:firstLineChars="0"/>
              <w:jc w:val="center"/>
              <w:rPr>
                <w:sz w:val="21"/>
                <w:szCs w:val="21"/>
                <w:highlight w:val="none"/>
              </w:rPr>
            </w:pPr>
          </w:p>
        </w:tc>
      </w:tr>
      <w:tr w14:paraId="2A73BDF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312" w:type="pct"/>
            <w:tcBorders>
              <w:tl2br w:val="nil"/>
              <w:tr2bl w:val="nil"/>
            </w:tcBorders>
            <w:shd w:val="clear" w:color="auto" w:fill="FFFFFF"/>
            <w:vAlign w:val="center"/>
          </w:tcPr>
          <w:p w14:paraId="22C03607">
            <w:pPr>
              <w:spacing w:line="240" w:lineRule="auto"/>
              <w:ind w:firstLine="0" w:firstLineChars="0"/>
              <w:jc w:val="center"/>
              <w:rPr>
                <w:sz w:val="21"/>
                <w:szCs w:val="21"/>
                <w:highlight w:val="none"/>
              </w:rPr>
            </w:pPr>
            <w:r>
              <w:rPr>
                <w:rFonts w:hint="eastAsia"/>
                <w:sz w:val="21"/>
                <w:szCs w:val="21"/>
                <w:highlight w:val="none"/>
              </w:rPr>
              <w:t>1</w:t>
            </w:r>
          </w:p>
        </w:tc>
        <w:tc>
          <w:tcPr>
            <w:tcW w:w="603" w:type="pct"/>
            <w:tcBorders>
              <w:tl2br w:val="nil"/>
              <w:tr2bl w:val="nil"/>
            </w:tcBorders>
            <w:shd w:val="clear" w:color="auto" w:fill="FFFFFF"/>
            <w:vAlign w:val="center"/>
          </w:tcPr>
          <w:p w14:paraId="5F72C94E">
            <w:pPr>
              <w:spacing w:line="240" w:lineRule="auto"/>
              <w:ind w:firstLine="0" w:firstLineChars="0"/>
              <w:jc w:val="center"/>
              <w:rPr>
                <w:sz w:val="21"/>
                <w:szCs w:val="21"/>
                <w:highlight w:val="none"/>
              </w:rPr>
            </w:pPr>
            <w:r>
              <w:rPr>
                <w:sz w:val="21"/>
                <w:szCs w:val="21"/>
                <w:highlight w:val="none"/>
              </w:rPr>
              <w:t>柴油</w:t>
            </w:r>
          </w:p>
        </w:tc>
        <w:tc>
          <w:tcPr>
            <w:tcW w:w="640" w:type="pct"/>
            <w:tcBorders>
              <w:tl2br w:val="nil"/>
              <w:tr2bl w:val="nil"/>
            </w:tcBorders>
            <w:shd w:val="clear" w:color="auto" w:fill="FFFFFF"/>
            <w:vAlign w:val="center"/>
          </w:tcPr>
          <w:p w14:paraId="23A17393">
            <w:pPr>
              <w:spacing w:line="240" w:lineRule="auto"/>
              <w:ind w:firstLine="0" w:firstLineChars="0"/>
              <w:jc w:val="center"/>
              <w:rPr>
                <w:sz w:val="21"/>
                <w:szCs w:val="21"/>
                <w:highlight w:val="none"/>
              </w:rPr>
            </w:pPr>
            <w:r>
              <w:rPr>
                <w:sz w:val="21"/>
                <w:szCs w:val="21"/>
                <w:highlight w:val="none"/>
              </w:rPr>
              <w:t>/</w:t>
            </w:r>
          </w:p>
        </w:tc>
        <w:tc>
          <w:tcPr>
            <w:tcW w:w="427" w:type="pct"/>
            <w:tcBorders>
              <w:tl2br w:val="nil"/>
              <w:tr2bl w:val="nil"/>
            </w:tcBorders>
            <w:shd w:val="clear" w:color="auto" w:fill="FFFFFF"/>
            <w:vAlign w:val="center"/>
          </w:tcPr>
          <w:p w14:paraId="1DC5B339">
            <w:pPr>
              <w:spacing w:line="240" w:lineRule="auto"/>
              <w:ind w:firstLine="0" w:firstLineChars="0"/>
              <w:jc w:val="center"/>
              <w:rPr>
                <w:sz w:val="21"/>
                <w:szCs w:val="21"/>
                <w:highlight w:val="none"/>
              </w:rPr>
            </w:pPr>
            <w:r>
              <w:rPr>
                <w:sz w:val="21"/>
                <w:szCs w:val="21"/>
                <w:highlight w:val="none"/>
              </w:rPr>
              <w:t>2500</w:t>
            </w:r>
          </w:p>
        </w:tc>
        <w:tc>
          <w:tcPr>
            <w:tcW w:w="383" w:type="pct"/>
            <w:tcBorders>
              <w:tl2br w:val="nil"/>
              <w:tr2bl w:val="nil"/>
            </w:tcBorders>
            <w:shd w:val="clear" w:color="auto" w:fill="FFFFFF"/>
            <w:vAlign w:val="center"/>
          </w:tcPr>
          <w:p w14:paraId="6849627D">
            <w:pPr>
              <w:spacing w:line="240" w:lineRule="auto"/>
              <w:ind w:firstLine="0" w:firstLineChars="0"/>
              <w:jc w:val="center"/>
              <w:rPr>
                <w:sz w:val="21"/>
                <w:szCs w:val="21"/>
                <w:highlight w:val="none"/>
              </w:rPr>
            </w:pPr>
            <w:r>
              <w:rPr>
                <w:sz w:val="21"/>
                <w:szCs w:val="21"/>
                <w:highlight w:val="none"/>
              </w:rPr>
              <w:t>表B.1</w:t>
            </w:r>
          </w:p>
        </w:tc>
        <w:tc>
          <w:tcPr>
            <w:tcW w:w="823" w:type="pct"/>
            <w:tcBorders>
              <w:tl2br w:val="nil"/>
              <w:tr2bl w:val="nil"/>
            </w:tcBorders>
            <w:shd w:val="clear" w:color="auto" w:fill="FFFFFF"/>
            <w:vAlign w:val="center"/>
          </w:tcPr>
          <w:p w14:paraId="1425D847">
            <w:pPr>
              <w:spacing w:line="240" w:lineRule="auto"/>
              <w:ind w:firstLine="0" w:firstLineChars="0"/>
              <w:jc w:val="center"/>
              <w:rPr>
                <w:sz w:val="21"/>
                <w:szCs w:val="21"/>
                <w:highlight w:val="none"/>
              </w:rPr>
            </w:pPr>
            <w:r>
              <w:rPr>
                <w:rFonts w:hint="eastAsia"/>
                <w:sz w:val="21"/>
                <w:szCs w:val="21"/>
                <w:highlight w:val="none"/>
              </w:rPr>
              <w:t>油罐车</w:t>
            </w:r>
          </w:p>
        </w:tc>
        <w:tc>
          <w:tcPr>
            <w:tcW w:w="603" w:type="pct"/>
            <w:tcBorders>
              <w:tl2br w:val="nil"/>
              <w:tr2bl w:val="nil"/>
            </w:tcBorders>
            <w:shd w:val="clear" w:color="auto" w:fill="FFFFFF"/>
            <w:vAlign w:val="center"/>
          </w:tcPr>
          <w:p w14:paraId="74930FDA">
            <w:pPr>
              <w:spacing w:line="240" w:lineRule="auto"/>
              <w:ind w:firstLine="0" w:firstLineChars="0"/>
              <w:jc w:val="center"/>
              <w:rPr>
                <w:sz w:val="21"/>
                <w:szCs w:val="21"/>
                <w:highlight w:val="none"/>
              </w:rPr>
            </w:pPr>
            <w:r>
              <w:rPr>
                <w:sz w:val="21"/>
                <w:szCs w:val="21"/>
                <w:highlight w:val="none"/>
              </w:rPr>
              <w:t>可燃</w:t>
            </w:r>
          </w:p>
        </w:tc>
        <w:tc>
          <w:tcPr>
            <w:tcW w:w="1206" w:type="pct"/>
            <w:tcBorders>
              <w:tl2br w:val="nil"/>
              <w:tr2bl w:val="nil"/>
            </w:tcBorders>
            <w:shd w:val="clear" w:color="auto" w:fill="FFFFFF"/>
            <w:vAlign w:val="center"/>
          </w:tcPr>
          <w:p w14:paraId="0831C43E">
            <w:pPr>
              <w:spacing w:line="240" w:lineRule="auto"/>
              <w:ind w:firstLine="0" w:firstLineChars="0"/>
              <w:jc w:val="center"/>
              <w:rPr>
                <w:sz w:val="21"/>
                <w:szCs w:val="21"/>
                <w:highlight w:val="none"/>
              </w:rPr>
            </w:pPr>
            <w:r>
              <w:rPr>
                <w:sz w:val="21"/>
                <w:szCs w:val="21"/>
                <w:highlight w:val="none"/>
              </w:rPr>
              <w:t>/</w:t>
            </w:r>
          </w:p>
        </w:tc>
      </w:tr>
    </w:tbl>
    <w:p w14:paraId="25C6372F">
      <w:pPr>
        <w:pStyle w:val="5"/>
        <w:bidi w:val="0"/>
        <w:ind w:left="0" w:leftChars="0" w:firstLine="0" w:firstLineChars="0"/>
        <w:rPr>
          <w:rFonts w:hint="eastAsia"/>
          <w:highlight w:val="none"/>
          <w:lang w:val="en-US" w:eastAsia="zh-CN"/>
        </w:rPr>
      </w:pPr>
      <w:bookmarkStart w:id="90" w:name="_Toc14759"/>
      <w:r>
        <w:rPr>
          <w:rFonts w:hint="eastAsia"/>
          <w:highlight w:val="none"/>
          <w:lang w:val="en-US" w:eastAsia="zh-CN"/>
        </w:rPr>
        <w:t>3.3.7本项目投产后总量排放分析</w:t>
      </w:r>
      <w:bookmarkEnd w:id="90"/>
    </w:p>
    <w:p w14:paraId="7476DF10">
      <w:pPr>
        <w:rPr>
          <w:rFonts w:hint="eastAsia" w:ascii="Times New Roman" w:hAnsi="Times New Roman"/>
          <w:highlight w:val="none"/>
          <w:lang w:val="en-US" w:eastAsia="zh-CN"/>
        </w:rPr>
      </w:pPr>
      <w:r>
        <w:rPr>
          <w:rFonts w:ascii="Times New Roman" w:hAnsi="Times New Roman"/>
          <w:highlight w:val="none"/>
        </w:rPr>
        <w:t>本项目污染物排放汇总见表3.3-</w:t>
      </w:r>
      <w:r>
        <w:rPr>
          <w:rFonts w:hint="eastAsia" w:ascii="Times New Roman" w:hAnsi="Times New Roman"/>
          <w:highlight w:val="none"/>
          <w:lang w:val="en-US" w:eastAsia="zh-CN"/>
        </w:rPr>
        <w:t>10。</w:t>
      </w:r>
    </w:p>
    <w:p w14:paraId="6B129B71">
      <w:pPr>
        <w:jc w:val="center"/>
        <w:rPr>
          <w:rFonts w:hint="eastAsia" w:ascii="黑体" w:hAnsi="黑体" w:eastAsia="黑体" w:cs="黑体"/>
          <w:highlight w:val="none"/>
        </w:rPr>
      </w:pPr>
      <w:r>
        <w:rPr>
          <w:rFonts w:hint="eastAsia" w:ascii="黑体" w:hAnsi="黑体" w:eastAsia="黑体" w:cs="黑体"/>
          <w:highlight w:val="none"/>
        </w:rPr>
        <w:t>表</w:t>
      </w:r>
      <w:r>
        <w:rPr>
          <w:rFonts w:ascii="Times New Roman" w:hAnsi="Times New Roman"/>
          <w:highlight w:val="none"/>
        </w:rPr>
        <w:t>3.3-</w:t>
      </w:r>
      <w:r>
        <w:rPr>
          <w:rFonts w:hint="eastAsia" w:ascii="Times New Roman" w:hAnsi="Times New Roman"/>
          <w:highlight w:val="none"/>
          <w:lang w:val="en-US" w:eastAsia="zh-CN"/>
        </w:rPr>
        <w:t>10</w:t>
      </w:r>
      <w:r>
        <w:rPr>
          <w:rFonts w:hint="eastAsia" w:ascii="黑体" w:hAnsi="黑体" w:eastAsia="黑体" w:cs="黑体"/>
          <w:highlight w:val="none"/>
        </w:rPr>
        <w:t>污染物排放汇总表</w:t>
      </w:r>
    </w:p>
    <w:tbl>
      <w:tblPr>
        <w:tblStyle w:val="17"/>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autofit"/>
        <w:tblCellMar>
          <w:top w:w="0" w:type="dxa"/>
          <w:left w:w="108" w:type="dxa"/>
          <w:bottom w:w="0" w:type="dxa"/>
          <w:right w:w="108" w:type="dxa"/>
        </w:tblCellMar>
      </w:tblPr>
      <w:tblGrid>
        <w:gridCol w:w="627"/>
        <w:gridCol w:w="1431"/>
        <w:gridCol w:w="2036"/>
        <w:gridCol w:w="2202"/>
        <w:gridCol w:w="2221"/>
      </w:tblGrid>
      <w:tr w14:paraId="69A19E2D">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0" w:hRule="atLeast"/>
          <w:tblHeader/>
          <w:jc w:val="center"/>
        </w:trPr>
        <w:tc>
          <w:tcPr>
            <w:tcW w:w="368" w:type="pct"/>
            <w:noWrap w:val="0"/>
            <w:vAlign w:val="center"/>
          </w:tcPr>
          <w:p w14:paraId="0EF652C5">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类别</w:t>
            </w:r>
          </w:p>
        </w:tc>
        <w:tc>
          <w:tcPr>
            <w:tcW w:w="840" w:type="pct"/>
            <w:noWrap w:val="0"/>
            <w:vAlign w:val="center"/>
          </w:tcPr>
          <w:p w14:paraId="7550980E">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污染物</w:t>
            </w:r>
          </w:p>
        </w:tc>
        <w:tc>
          <w:tcPr>
            <w:tcW w:w="1195" w:type="pct"/>
            <w:noWrap w:val="0"/>
            <w:vAlign w:val="center"/>
          </w:tcPr>
          <w:p w14:paraId="133AFA97">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产生量</w:t>
            </w:r>
            <w:r>
              <w:rPr>
                <w:rFonts w:hint="eastAsia" w:ascii="Times New Roman" w:hAnsi="Times New Roman"/>
                <w:szCs w:val="21"/>
                <w:highlight w:val="none"/>
              </w:rPr>
              <w:t>t/a</w:t>
            </w:r>
          </w:p>
        </w:tc>
        <w:tc>
          <w:tcPr>
            <w:tcW w:w="1292" w:type="pct"/>
            <w:noWrap w:val="0"/>
            <w:vAlign w:val="center"/>
          </w:tcPr>
          <w:p w14:paraId="3CFB3369">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削减量</w:t>
            </w:r>
            <w:r>
              <w:rPr>
                <w:rFonts w:hint="eastAsia" w:ascii="Times New Roman" w:hAnsi="Times New Roman"/>
                <w:szCs w:val="21"/>
                <w:highlight w:val="none"/>
              </w:rPr>
              <w:t>t/a</w:t>
            </w:r>
          </w:p>
        </w:tc>
        <w:tc>
          <w:tcPr>
            <w:tcW w:w="1303" w:type="pct"/>
            <w:noWrap w:val="0"/>
            <w:vAlign w:val="center"/>
          </w:tcPr>
          <w:p w14:paraId="754B2130">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排放量</w:t>
            </w:r>
            <w:r>
              <w:rPr>
                <w:rFonts w:hint="eastAsia" w:ascii="Times New Roman" w:hAnsi="Times New Roman"/>
                <w:szCs w:val="21"/>
                <w:highlight w:val="none"/>
              </w:rPr>
              <w:t>t/a</w:t>
            </w:r>
          </w:p>
        </w:tc>
      </w:tr>
      <w:tr w14:paraId="152C8105">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0" w:hRule="atLeast"/>
          <w:jc w:val="center"/>
        </w:trPr>
        <w:tc>
          <w:tcPr>
            <w:tcW w:w="368" w:type="pct"/>
            <w:vMerge w:val="restart"/>
            <w:noWrap w:val="0"/>
            <w:vAlign w:val="center"/>
          </w:tcPr>
          <w:p w14:paraId="70A2289E">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废气</w:t>
            </w:r>
          </w:p>
        </w:tc>
        <w:tc>
          <w:tcPr>
            <w:tcW w:w="840" w:type="pct"/>
            <w:noWrap w:val="0"/>
            <w:vAlign w:val="center"/>
          </w:tcPr>
          <w:p w14:paraId="4C492DDC">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烟尘（颗粒物）</w:t>
            </w:r>
          </w:p>
        </w:tc>
        <w:tc>
          <w:tcPr>
            <w:tcW w:w="1195" w:type="pct"/>
            <w:noWrap w:val="0"/>
            <w:vAlign w:val="center"/>
          </w:tcPr>
          <w:p w14:paraId="19FA513F">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6053.28</w:t>
            </w:r>
          </w:p>
        </w:tc>
        <w:tc>
          <w:tcPr>
            <w:tcW w:w="1292" w:type="pct"/>
            <w:noWrap w:val="0"/>
            <w:vAlign w:val="center"/>
          </w:tcPr>
          <w:p w14:paraId="219858C2">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6050.89</w:t>
            </w:r>
          </w:p>
        </w:tc>
        <w:tc>
          <w:tcPr>
            <w:tcW w:w="1303" w:type="pct"/>
            <w:noWrap w:val="0"/>
            <w:vAlign w:val="center"/>
          </w:tcPr>
          <w:p w14:paraId="5E759890">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2.39</w:t>
            </w:r>
          </w:p>
        </w:tc>
      </w:tr>
      <w:tr w14:paraId="5FE2E559">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0" w:hRule="atLeast"/>
          <w:jc w:val="center"/>
        </w:trPr>
        <w:tc>
          <w:tcPr>
            <w:tcW w:w="368" w:type="pct"/>
            <w:vMerge w:val="continue"/>
            <w:noWrap w:val="0"/>
            <w:vAlign w:val="center"/>
          </w:tcPr>
          <w:p w14:paraId="67FAFB87">
            <w:pPr>
              <w:pStyle w:val="42"/>
              <w:spacing w:before="0" w:beforeLines="0" w:after="0" w:afterLines="0"/>
              <w:textAlignment w:val="center"/>
              <w:rPr>
                <w:rFonts w:ascii="Times New Roman" w:hAnsi="Times New Roman"/>
                <w:szCs w:val="21"/>
                <w:highlight w:val="none"/>
              </w:rPr>
            </w:pPr>
          </w:p>
        </w:tc>
        <w:tc>
          <w:tcPr>
            <w:tcW w:w="840" w:type="pct"/>
            <w:noWrap w:val="0"/>
            <w:vAlign w:val="center"/>
          </w:tcPr>
          <w:p w14:paraId="60F7A329">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SO</w:t>
            </w:r>
            <w:r>
              <w:rPr>
                <w:rFonts w:ascii="Times New Roman" w:hAnsi="Times New Roman"/>
                <w:szCs w:val="21"/>
                <w:highlight w:val="none"/>
                <w:vertAlign w:val="subscript"/>
              </w:rPr>
              <w:t>2</w:t>
            </w:r>
          </w:p>
        </w:tc>
        <w:tc>
          <w:tcPr>
            <w:tcW w:w="1195" w:type="pct"/>
            <w:noWrap w:val="0"/>
            <w:vAlign w:val="center"/>
          </w:tcPr>
          <w:p w14:paraId="5BCEE50E">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243.888</w:t>
            </w:r>
          </w:p>
        </w:tc>
        <w:tc>
          <w:tcPr>
            <w:tcW w:w="1292" w:type="pct"/>
            <w:noWrap w:val="0"/>
            <w:vAlign w:val="center"/>
          </w:tcPr>
          <w:p w14:paraId="64214096">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236.536</w:t>
            </w:r>
          </w:p>
        </w:tc>
        <w:tc>
          <w:tcPr>
            <w:tcW w:w="1303" w:type="pct"/>
            <w:noWrap w:val="0"/>
            <w:vAlign w:val="center"/>
          </w:tcPr>
          <w:p w14:paraId="76826A96">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7.352</w:t>
            </w:r>
          </w:p>
        </w:tc>
      </w:tr>
      <w:tr w14:paraId="3DC7657E">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0" w:hRule="atLeast"/>
          <w:jc w:val="center"/>
        </w:trPr>
        <w:tc>
          <w:tcPr>
            <w:tcW w:w="368" w:type="pct"/>
            <w:vMerge w:val="continue"/>
            <w:noWrap w:val="0"/>
            <w:vAlign w:val="center"/>
          </w:tcPr>
          <w:p w14:paraId="22C56E2A">
            <w:pPr>
              <w:pStyle w:val="42"/>
              <w:spacing w:before="0" w:beforeLines="0" w:after="0" w:afterLines="0"/>
              <w:textAlignment w:val="center"/>
              <w:rPr>
                <w:rFonts w:ascii="Times New Roman" w:hAnsi="Times New Roman"/>
                <w:szCs w:val="21"/>
                <w:highlight w:val="none"/>
              </w:rPr>
            </w:pPr>
          </w:p>
        </w:tc>
        <w:tc>
          <w:tcPr>
            <w:tcW w:w="840" w:type="pct"/>
            <w:noWrap w:val="0"/>
            <w:vAlign w:val="center"/>
          </w:tcPr>
          <w:p w14:paraId="1EE3AA74">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NOx</w:t>
            </w:r>
          </w:p>
        </w:tc>
        <w:tc>
          <w:tcPr>
            <w:tcW w:w="1195" w:type="pct"/>
            <w:noWrap w:val="0"/>
            <w:vAlign w:val="center"/>
          </w:tcPr>
          <w:p w14:paraId="41D1786D">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687.024</w:t>
            </w:r>
          </w:p>
        </w:tc>
        <w:tc>
          <w:tcPr>
            <w:tcW w:w="1292" w:type="pct"/>
            <w:noWrap w:val="0"/>
            <w:vAlign w:val="center"/>
          </w:tcPr>
          <w:p w14:paraId="770F4E90">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680.154</w:t>
            </w:r>
          </w:p>
        </w:tc>
        <w:tc>
          <w:tcPr>
            <w:tcW w:w="1303" w:type="pct"/>
            <w:noWrap w:val="0"/>
            <w:vAlign w:val="center"/>
          </w:tcPr>
          <w:p w14:paraId="0D0741BB">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6.87</w:t>
            </w:r>
          </w:p>
        </w:tc>
      </w:tr>
      <w:tr w14:paraId="03F4DCB6">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0" w:hRule="atLeast"/>
          <w:jc w:val="center"/>
        </w:trPr>
        <w:tc>
          <w:tcPr>
            <w:tcW w:w="368" w:type="pct"/>
            <w:vMerge w:val="continue"/>
            <w:noWrap w:val="0"/>
            <w:vAlign w:val="center"/>
          </w:tcPr>
          <w:p w14:paraId="3F278D50">
            <w:pPr>
              <w:pStyle w:val="42"/>
              <w:spacing w:before="0" w:beforeLines="0" w:after="0" w:afterLines="0"/>
              <w:textAlignment w:val="center"/>
              <w:rPr>
                <w:rFonts w:ascii="Times New Roman" w:hAnsi="Times New Roman"/>
                <w:szCs w:val="21"/>
                <w:highlight w:val="none"/>
              </w:rPr>
            </w:pPr>
          </w:p>
        </w:tc>
        <w:tc>
          <w:tcPr>
            <w:tcW w:w="840" w:type="pct"/>
            <w:noWrap w:val="0"/>
            <w:vAlign w:val="center"/>
          </w:tcPr>
          <w:p w14:paraId="778DD7D0">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Hg及其化合物</w:t>
            </w:r>
          </w:p>
        </w:tc>
        <w:tc>
          <w:tcPr>
            <w:tcW w:w="1195" w:type="pct"/>
            <w:noWrap w:val="0"/>
            <w:vAlign w:val="center"/>
          </w:tcPr>
          <w:p w14:paraId="6C1AE60D">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0.018</w:t>
            </w:r>
          </w:p>
        </w:tc>
        <w:tc>
          <w:tcPr>
            <w:tcW w:w="1292" w:type="pct"/>
            <w:noWrap w:val="0"/>
            <w:vAlign w:val="center"/>
          </w:tcPr>
          <w:p w14:paraId="6B40C64F">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0.0125</w:t>
            </w:r>
          </w:p>
        </w:tc>
        <w:tc>
          <w:tcPr>
            <w:tcW w:w="1303" w:type="pct"/>
            <w:noWrap w:val="0"/>
            <w:vAlign w:val="center"/>
          </w:tcPr>
          <w:p w14:paraId="6F7A102E">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0.0055</w:t>
            </w:r>
          </w:p>
        </w:tc>
      </w:tr>
      <w:tr w14:paraId="2B960247">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0" w:hRule="atLeast"/>
          <w:jc w:val="center"/>
        </w:trPr>
        <w:tc>
          <w:tcPr>
            <w:tcW w:w="368" w:type="pct"/>
            <w:vMerge w:val="continue"/>
            <w:noWrap w:val="0"/>
            <w:vAlign w:val="center"/>
          </w:tcPr>
          <w:p w14:paraId="5C8C1DAE">
            <w:pPr>
              <w:pStyle w:val="42"/>
              <w:spacing w:before="0" w:beforeLines="0" w:after="0" w:afterLines="0"/>
              <w:textAlignment w:val="center"/>
              <w:rPr>
                <w:rFonts w:ascii="Times New Roman" w:hAnsi="Times New Roman"/>
                <w:szCs w:val="21"/>
                <w:highlight w:val="none"/>
              </w:rPr>
            </w:pPr>
          </w:p>
        </w:tc>
        <w:tc>
          <w:tcPr>
            <w:tcW w:w="840" w:type="pct"/>
            <w:noWrap w:val="0"/>
            <w:vAlign w:val="center"/>
          </w:tcPr>
          <w:p w14:paraId="76D7D1B7">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氨</w:t>
            </w:r>
          </w:p>
        </w:tc>
        <w:tc>
          <w:tcPr>
            <w:tcW w:w="1195" w:type="pct"/>
            <w:noWrap w:val="0"/>
            <w:vAlign w:val="center"/>
          </w:tcPr>
          <w:p w14:paraId="2B41C175">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1.88</w:t>
            </w:r>
          </w:p>
        </w:tc>
        <w:tc>
          <w:tcPr>
            <w:tcW w:w="1292" w:type="pct"/>
            <w:noWrap w:val="0"/>
            <w:vAlign w:val="center"/>
          </w:tcPr>
          <w:p w14:paraId="3D50912A">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0</w:t>
            </w:r>
          </w:p>
        </w:tc>
        <w:tc>
          <w:tcPr>
            <w:tcW w:w="1303" w:type="pct"/>
            <w:noWrap w:val="0"/>
            <w:vAlign w:val="center"/>
          </w:tcPr>
          <w:p w14:paraId="38D54CE0">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1.88</w:t>
            </w:r>
          </w:p>
        </w:tc>
      </w:tr>
      <w:tr w14:paraId="70DA3377">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0" w:hRule="atLeast"/>
          <w:jc w:val="center"/>
        </w:trPr>
        <w:tc>
          <w:tcPr>
            <w:tcW w:w="368" w:type="pct"/>
            <w:vMerge w:val="continue"/>
            <w:noWrap w:val="0"/>
            <w:vAlign w:val="center"/>
          </w:tcPr>
          <w:p w14:paraId="71D2D775">
            <w:pPr>
              <w:pStyle w:val="42"/>
              <w:spacing w:before="0" w:beforeLines="0" w:after="0" w:afterLines="0"/>
              <w:textAlignment w:val="center"/>
              <w:rPr>
                <w:rFonts w:ascii="Times New Roman" w:hAnsi="Times New Roman"/>
                <w:szCs w:val="21"/>
                <w:highlight w:val="none"/>
              </w:rPr>
            </w:pPr>
          </w:p>
        </w:tc>
        <w:tc>
          <w:tcPr>
            <w:tcW w:w="840" w:type="pct"/>
            <w:noWrap w:val="0"/>
            <w:vAlign w:val="center"/>
          </w:tcPr>
          <w:p w14:paraId="07292087">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粉尘（颗粒物）</w:t>
            </w:r>
          </w:p>
        </w:tc>
        <w:tc>
          <w:tcPr>
            <w:tcW w:w="1195" w:type="pct"/>
            <w:noWrap w:val="0"/>
            <w:vAlign w:val="center"/>
          </w:tcPr>
          <w:p w14:paraId="52AA320A">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113.768</w:t>
            </w:r>
          </w:p>
        </w:tc>
        <w:tc>
          <w:tcPr>
            <w:tcW w:w="1292" w:type="pct"/>
            <w:noWrap w:val="0"/>
            <w:vAlign w:val="center"/>
          </w:tcPr>
          <w:p w14:paraId="5F0B0690">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113.4327</w:t>
            </w:r>
          </w:p>
        </w:tc>
        <w:tc>
          <w:tcPr>
            <w:tcW w:w="1303" w:type="pct"/>
            <w:noWrap w:val="0"/>
            <w:vAlign w:val="center"/>
          </w:tcPr>
          <w:p w14:paraId="14990BF8">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0.3353</w:t>
            </w:r>
          </w:p>
        </w:tc>
      </w:tr>
      <w:tr w14:paraId="44AE8EE9">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0" w:hRule="atLeast"/>
          <w:jc w:val="center"/>
        </w:trPr>
        <w:tc>
          <w:tcPr>
            <w:tcW w:w="368" w:type="pct"/>
            <w:vMerge w:val="restart"/>
            <w:noWrap w:val="0"/>
            <w:vAlign w:val="center"/>
          </w:tcPr>
          <w:p w14:paraId="47DE522E">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废水</w:t>
            </w:r>
          </w:p>
        </w:tc>
        <w:tc>
          <w:tcPr>
            <w:tcW w:w="840" w:type="pct"/>
            <w:noWrap w:val="0"/>
            <w:vAlign w:val="center"/>
          </w:tcPr>
          <w:p w14:paraId="32B7DCDB">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COD</w:t>
            </w:r>
          </w:p>
        </w:tc>
        <w:tc>
          <w:tcPr>
            <w:tcW w:w="1195" w:type="pct"/>
            <w:noWrap w:val="0"/>
            <w:vAlign w:val="bottom"/>
          </w:tcPr>
          <w:p w14:paraId="18322296">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1.176</w:t>
            </w:r>
          </w:p>
        </w:tc>
        <w:tc>
          <w:tcPr>
            <w:tcW w:w="1292" w:type="pct"/>
            <w:noWrap w:val="0"/>
            <w:vAlign w:val="center"/>
          </w:tcPr>
          <w:p w14:paraId="0FFE15CF">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0</w:t>
            </w:r>
          </w:p>
        </w:tc>
        <w:tc>
          <w:tcPr>
            <w:tcW w:w="2221" w:type="dxa"/>
            <w:noWrap w:val="0"/>
            <w:vAlign w:val="bottom"/>
          </w:tcPr>
          <w:p w14:paraId="3E12FB8F">
            <w:pPr>
              <w:pStyle w:val="42"/>
              <w:spacing w:before="0" w:beforeLines="0" w:after="0" w:afterLines="0"/>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1.176</w:t>
            </w:r>
          </w:p>
        </w:tc>
      </w:tr>
      <w:tr w14:paraId="2B0D6DBB">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0" w:hRule="atLeast"/>
          <w:jc w:val="center"/>
        </w:trPr>
        <w:tc>
          <w:tcPr>
            <w:tcW w:w="368" w:type="pct"/>
            <w:vMerge w:val="continue"/>
            <w:noWrap w:val="0"/>
            <w:vAlign w:val="center"/>
          </w:tcPr>
          <w:p w14:paraId="391D8D8B">
            <w:pPr>
              <w:pStyle w:val="42"/>
              <w:spacing w:before="0" w:beforeLines="0" w:after="0" w:afterLines="0"/>
              <w:textAlignment w:val="center"/>
              <w:rPr>
                <w:rFonts w:ascii="Times New Roman" w:hAnsi="Times New Roman"/>
                <w:szCs w:val="21"/>
                <w:highlight w:val="none"/>
              </w:rPr>
            </w:pPr>
          </w:p>
        </w:tc>
        <w:tc>
          <w:tcPr>
            <w:tcW w:w="840" w:type="pct"/>
            <w:noWrap w:val="0"/>
            <w:vAlign w:val="center"/>
          </w:tcPr>
          <w:p w14:paraId="12BDCBB4">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氨氮</w:t>
            </w:r>
          </w:p>
        </w:tc>
        <w:tc>
          <w:tcPr>
            <w:tcW w:w="1195" w:type="pct"/>
            <w:noWrap w:val="0"/>
            <w:vAlign w:val="bottom"/>
          </w:tcPr>
          <w:p w14:paraId="1DC27C88">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0.0588</w:t>
            </w:r>
          </w:p>
        </w:tc>
        <w:tc>
          <w:tcPr>
            <w:tcW w:w="1292" w:type="pct"/>
            <w:noWrap w:val="0"/>
            <w:vAlign w:val="center"/>
          </w:tcPr>
          <w:p w14:paraId="453D03FD">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0</w:t>
            </w:r>
          </w:p>
        </w:tc>
        <w:tc>
          <w:tcPr>
            <w:tcW w:w="2221" w:type="dxa"/>
            <w:noWrap w:val="0"/>
            <w:vAlign w:val="bottom"/>
          </w:tcPr>
          <w:p w14:paraId="0B82A917">
            <w:pPr>
              <w:pStyle w:val="42"/>
              <w:spacing w:before="0" w:beforeLines="0" w:after="0" w:afterLines="0"/>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0.0588</w:t>
            </w:r>
          </w:p>
        </w:tc>
      </w:tr>
      <w:tr w14:paraId="63364DCD">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70" w:hRule="atLeast"/>
          <w:jc w:val="center"/>
        </w:trPr>
        <w:tc>
          <w:tcPr>
            <w:tcW w:w="368" w:type="pct"/>
            <w:vMerge w:val="continue"/>
            <w:noWrap w:val="0"/>
            <w:vAlign w:val="center"/>
          </w:tcPr>
          <w:p w14:paraId="3F135B1B">
            <w:pPr>
              <w:pStyle w:val="42"/>
              <w:spacing w:before="0" w:beforeLines="0" w:after="0" w:afterLines="0"/>
              <w:textAlignment w:val="center"/>
              <w:rPr>
                <w:rFonts w:ascii="Times New Roman" w:hAnsi="Times New Roman"/>
                <w:szCs w:val="21"/>
                <w:highlight w:val="none"/>
              </w:rPr>
            </w:pPr>
          </w:p>
        </w:tc>
        <w:tc>
          <w:tcPr>
            <w:tcW w:w="840" w:type="pct"/>
            <w:noWrap w:val="0"/>
            <w:vAlign w:val="center"/>
          </w:tcPr>
          <w:p w14:paraId="35661ADC">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动植物油</w:t>
            </w:r>
          </w:p>
        </w:tc>
        <w:tc>
          <w:tcPr>
            <w:tcW w:w="1195" w:type="pct"/>
            <w:noWrap w:val="0"/>
            <w:vAlign w:val="bottom"/>
          </w:tcPr>
          <w:p w14:paraId="7442E54F">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0.235</w:t>
            </w:r>
          </w:p>
        </w:tc>
        <w:tc>
          <w:tcPr>
            <w:tcW w:w="1292" w:type="pct"/>
            <w:noWrap w:val="0"/>
            <w:vAlign w:val="center"/>
          </w:tcPr>
          <w:p w14:paraId="1175C1C6">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0</w:t>
            </w:r>
          </w:p>
        </w:tc>
        <w:tc>
          <w:tcPr>
            <w:tcW w:w="2221" w:type="dxa"/>
            <w:noWrap w:val="0"/>
            <w:vAlign w:val="bottom"/>
          </w:tcPr>
          <w:p w14:paraId="4C97C23D">
            <w:pPr>
              <w:pStyle w:val="42"/>
              <w:spacing w:before="0" w:beforeLines="0" w:after="0" w:afterLines="0"/>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0.235</w:t>
            </w:r>
          </w:p>
        </w:tc>
      </w:tr>
      <w:tr w14:paraId="61EA86DE">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0" w:hRule="atLeast"/>
          <w:jc w:val="center"/>
        </w:trPr>
        <w:tc>
          <w:tcPr>
            <w:tcW w:w="368" w:type="pct"/>
            <w:vMerge w:val="continue"/>
            <w:noWrap w:val="0"/>
            <w:vAlign w:val="center"/>
          </w:tcPr>
          <w:p w14:paraId="539D1BDE">
            <w:pPr>
              <w:pStyle w:val="42"/>
              <w:spacing w:before="0" w:beforeLines="0" w:after="0" w:afterLines="0"/>
              <w:textAlignment w:val="center"/>
              <w:rPr>
                <w:rFonts w:ascii="Times New Roman" w:hAnsi="Times New Roman"/>
                <w:szCs w:val="21"/>
                <w:highlight w:val="none"/>
              </w:rPr>
            </w:pPr>
          </w:p>
        </w:tc>
        <w:tc>
          <w:tcPr>
            <w:tcW w:w="840" w:type="pct"/>
            <w:noWrap w:val="0"/>
            <w:vAlign w:val="center"/>
          </w:tcPr>
          <w:p w14:paraId="7B8B41B4">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SS</w:t>
            </w:r>
          </w:p>
        </w:tc>
        <w:tc>
          <w:tcPr>
            <w:tcW w:w="1195" w:type="pct"/>
            <w:noWrap w:val="0"/>
            <w:vAlign w:val="bottom"/>
          </w:tcPr>
          <w:p w14:paraId="683798E6">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0.94</w:t>
            </w:r>
          </w:p>
        </w:tc>
        <w:tc>
          <w:tcPr>
            <w:tcW w:w="1292" w:type="pct"/>
            <w:noWrap w:val="0"/>
            <w:vAlign w:val="center"/>
          </w:tcPr>
          <w:p w14:paraId="38F9C517">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0</w:t>
            </w:r>
          </w:p>
        </w:tc>
        <w:tc>
          <w:tcPr>
            <w:tcW w:w="2221" w:type="dxa"/>
            <w:noWrap w:val="0"/>
            <w:vAlign w:val="bottom"/>
          </w:tcPr>
          <w:p w14:paraId="1E929581">
            <w:pPr>
              <w:pStyle w:val="42"/>
              <w:spacing w:before="0" w:beforeLines="0" w:after="0" w:afterLines="0"/>
              <w:ind w:firstLine="0" w:firstLineChars="0"/>
              <w:textAlignment w:val="center"/>
              <w:rPr>
                <w:rFonts w:ascii="Times New Roman" w:hAnsi="Times New Roman"/>
                <w:szCs w:val="21"/>
                <w:highlight w:val="none"/>
              </w:rPr>
            </w:pPr>
            <w:r>
              <w:rPr>
                <w:rFonts w:hint="eastAsia" w:ascii="Times New Roman" w:hAnsi="Times New Roman"/>
                <w:szCs w:val="21"/>
                <w:highlight w:val="none"/>
                <w:lang w:val="en-US" w:eastAsia="zh-CN"/>
              </w:rPr>
              <w:t>0.94</w:t>
            </w:r>
          </w:p>
        </w:tc>
      </w:tr>
      <w:tr w14:paraId="043D98F3">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0" w:hRule="atLeast"/>
          <w:jc w:val="center"/>
        </w:trPr>
        <w:tc>
          <w:tcPr>
            <w:tcW w:w="368" w:type="pct"/>
            <w:vMerge w:val="restart"/>
            <w:noWrap w:val="0"/>
            <w:vAlign w:val="center"/>
          </w:tcPr>
          <w:p w14:paraId="30BECAE8">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固体废物</w:t>
            </w:r>
          </w:p>
        </w:tc>
        <w:tc>
          <w:tcPr>
            <w:tcW w:w="840" w:type="pct"/>
            <w:noWrap w:val="0"/>
            <w:vAlign w:val="center"/>
          </w:tcPr>
          <w:p w14:paraId="20B571D8">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飞灰</w:t>
            </w:r>
          </w:p>
        </w:tc>
        <w:tc>
          <w:tcPr>
            <w:tcW w:w="1195" w:type="pct"/>
            <w:noWrap w:val="0"/>
            <w:vAlign w:val="center"/>
          </w:tcPr>
          <w:p w14:paraId="3039D742">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6050.89</w:t>
            </w:r>
          </w:p>
        </w:tc>
        <w:tc>
          <w:tcPr>
            <w:tcW w:w="1292" w:type="pct"/>
            <w:noWrap w:val="0"/>
            <w:vAlign w:val="center"/>
          </w:tcPr>
          <w:p w14:paraId="1064D2E9">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60.50.89</w:t>
            </w:r>
          </w:p>
        </w:tc>
        <w:tc>
          <w:tcPr>
            <w:tcW w:w="1303" w:type="pct"/>
            <w:noWrap w:val="0"/>
            <w:vAlign w:val="center"/>
          </w:tcPr>
          <w:p w14:paraId="023DD5EE">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0</w:t>
            </w:r>
          </w:p>
        </w:tc>
      </w:tr>
      <w:tr w14:paraId="04E605CB">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0" w:hRule="atLeast"/>
          <w:jc w:val="center"/>
        </w:trPr>
        <w:tc>
          <w:tcPr>
            <w:tcW w:w="368" w:type="pct"/>
            <w:vMerge w:val="continue"/>
            <w:noWrap w:val="0"/>
            <w:vAlign w:val="center"/>
          </w:tcPr>
          <w:p w14:paraId="38EE0978">
            <w:pPr>
              <w:pStyle w:val="42"/>
              <w:spacing w:before="0" w:beforeLines="0" w:after="0" w:afterLines="0"/>
              <w:textAlignment w:val="center"/>
              <w:rPr>
                <w:rFonts w:ascii="Times New Roman" w:hAnsi="Times New Roman"/>
                <w:szCs w:val="21"/>
                <w:highlight w:val="none"/>
              </w:rPr>
            </w:pPr>
          </w:p>
        </w:tc>
        <w:tc>
          <w:tcPr>
            <w:tcW w:w="840" w:type="pct"/>
            <w:noWrap w:val="0"/>
            <w:vAlign w:val="center"/>
          </w:tcPr>
          <w:p w14:paraId="4CD036B6">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炉渣</w:t>
            </w:r>
          </w:p>
        </w:tc>
        <w:tc>
          <w:tcPr>
            <w:tcW w:w="1195" w:type="pct"/>
            <w:noWrap w:val="0"/>
            <w:vAlign w:val="center"/>
          </w:tcPr>
          <w:p w14:paraId="7852F265">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25919.71</w:t>
            </w:r>
          </w:p>
        </w:tc>
        <w:tc>
          <w:tcPr>
            <w:tcW w:w="1292" w:type="pct"/>
            <w:noWrap w:val="0"/>
            <w:vAlign w:val="center"/>
          </w:tcPr>
          <w:p w14:paraId="728016A8">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25919.71</w:t>
            </w:r>
          </w:p>
        </w:tc>
        <w:tc>
          <w:tcPr>
            <w:tcW w:w="1303" w:type="pct"/>
            <w:noWrap w:val="0"/>
            <w:vAlign w:val="center"/>
          </w:tcPr>
          <w:p w14:paraId="028EE256">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0</w:t>
            </w:r>
          </w:p>
        </w:tc>
      </w:tr>
      <w:tr w14:paraId="44BDE014">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0" w:hRule="atLeast"/>
          <w:jc w:val="center"/>
        </w:trPr>
        <w:tc>
          <w:tcPr>
            <w:tcW w:w="368" w:type="pct"/>
            <w:vMerge w:val="continue"/>
            <w:noWrap w:val="0"/>
            <w:vAlign w:val="center"/>
          </w:tcPr>
          <w:p w14:paraId="1F14E4DC">
            <w:pPr>
              <w:pStyle w:val="42"/>
              <w:spacing w:before="0" w:beforeLines="0" w:after="0" w:afterLines="0"/>
              <w:textAlignment w:val="center"/>
              <w:rPr>
                <w:rFonts w:ascii="Times New Roman" w:hAnsi="Times New Roman"/>
                <w:szCs w:val="21"/>
                <w:highlight w:val="none"/>
              </w:rPr>
            </w:pPr>
          </w:p>
        </w:tc>
        <w:tc>
          <w:tcPr>
            <w:tcW w:w="840" w:type="pct"/>
            <w:noWrap w:val="0"/>
            <w:vAlign w:val="center"/>
          </w:tcPr>
          <w:p w14:paraId="06B37EC5">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脱硫石膏</w:t>
            </w:r>
          </w:p>
        </w:tc>
        <w:tc>
          <w:tcPr>
            <w:tcW w:w="1195" w:type="pct"/>
            <w:noWrap w:val="0"/>
            <w:vAlign w:val="center"/>
          </w:tcPr>
          <w:p w14:paraId="509BF3B2">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502.549</w:t>
            </w:r>
          </w:p>
        </w:tc>
        <w:tc>
          <w:tcPr>
            <w:tcW w:w="1292" w:type="pct"/>
            <w:noWrap w:val="0"/>
            <w:vAlign w:val="center"/>
          </w:tcPr>
          <w:p w14:paraId="1DB14EEB">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502.549</w:t>
            </w:r>
          </w:p>
        </w:tc>
        <w:tc>
          <w:tcPr>
            <w:tcW w:w="1303" w:type="pct"/>
            <w:noWrap w:val="0"/>
            <w:vAlign w:val="center"/>
          </w:tcPr>
          <w:p w14:paraId="558933CC">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0</w:t>
            </w:r>
          </w:p>
        </w:tc>
      </w:tr>
      <w:tr w14:paraId="3BEBAD6C">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0" w:hRule="atLeast"/>
          <w:jc w:val="center"/>
        </w:trPr>
        <w:tc>
          <w:tcPr>
            <w:tcW w:w="368" w:type="pct"/>
            <w:vMerge w:val="continue"/>
            <w:noWrap w:val="0"/>
            <w:vAlign w:val="center"/>
          </w:tcPr>
          <w:p w14:paraId="11EAF1E0">
            <w:pPr>
              <w:pStyle w:val="42"/>
              <w:spacing w:before="0" w:beforeLines="0" w:after="0" w:afterLines="0"/>
              <w:textAlignment w:val="center"/>
              <w:rPr>
                <w:rFonts w:ascii="Times New Roman" w:hAnsi="Times New Roman"/>
                <w:szCs w:val="21"/>
                <w:highlight w:val="none"/>
              </w:rPr>
            </w:pPr>
          </w:p>
        </w:tc>
        <w:tc>
          <w:tcPr>
            <w:tcW w:w="840" w:type="pct"/>
            <w:noWrap w:val="0"/>
            <w:vAlign w:val="center"/>
          </w:tcPr>
          <w:p w14:paraId="13B74932">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废催化剂</w:t>
            </w:r>
          </w:p>
        </w:tc>
        <w:tc>
          <w:tcPr>
            <w:tcW w:w="1195" w:type="pct"/>
            <w:noWrap w:val="0"/>
            <w:vAlign w:val="center"/>
          </w:tcPr>
          <w:p w14:paraId="7143E4A9">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10m</w:t>
            </w:r>
            <w:r>
              <w:rPr>
                <w:rFonts w:ascii="Times New Roman" w:hAnsi="Times New Roman"/>
                <w:szCs w:val="21"/>
                <w:highlight w:val="none"/>
                <w:vertAlign w:val="superscript"/>
              </w:rPr>
              <w:t>3</w:t>
            </w:r>
            <w:r>
              <w:rPr>
                <w:rFonts w:ascii="Times New Roman" w:hAnsi="Times New Roman"/>
                <w:szCs w:val="21"/>
                <w:highlight w:val="none"/>
              </w:rPr>
              <w:t>/3年</w:t>
            </w:r>
          </w:p>
        </w:tc>
        <w:tc>
          <w:tcPr>
            <w:tcW w:w="1292" w:type="pct"/>
            <w:noWrap w:val="0"/>
            <w:vAlign w:val="center"/>
          </w:tcPr>
          <w:p w14:paraId="37E304FA">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10m</w:t>
            </w:r>
            <w:r>
              <w:rPr>
                <w:rFonts w:ascii="Times New Roman" w:hAnsi="Times New Roman"/>
                <w:szCs w:val="21"/>
                <w:highlight w:val="none"/>
                <w:vertAlign w:val="superscript"/>
              </w:rPr>
              <w:t>3</w:t>
            </w:r>
            <w:r>
              <w:rPr>
                <w:rFonts w:ascii="Times New Roman" w:hAnsi="Times New Roman"/>
                <w:szCs w:val="21"/>
                <w:highlight w:val="none"/>
              </w:rPr>
              <w:t>/3年</w:t>
            </w:r>
          </w:p>
        </w:tc>
        <w:tc>
          <w:tcPr>
            <w:tcW w:w="1303" w:type="pct"/>
            <w:noWrap w:val="0"/>
            <w:vAlign w:val="center"/>
          </w:tcPr>
          <w:p w14:paraId="41D341AE">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0</w:t>
            </w:r>
          </w:p>
        </w:tc>
      </w:tr>
      <w:tr w14:paraId="77A874FF">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0" w:hRule="atLeast"/>
          <w:jc w:val="center"/>
        </w:trPr>
        <w:tc>
          <w:tcPr>
            <w:tcW w:w="368" w:type="pct"/>
            <w:vMerge w:val="continue"/>
            <w:noWrap w:val="0"/>
            <w:vAlign w:val="center"/>
          </w:tcPr>
          <w:p w14:paraId="0717EC31">
            <w:pPr>
              <w:pStyle w:val="42"/>
              <w:spacing w:before="0" w:beforeLines="0" w:after="0" w:afterLines="0"/>
              <w:textAlignment w:val="center"/>
              <w:rPr>
                <w:rFonts w:ascii="Times New Roman" w:hAnsi="Times New Roman"/>
                <w:szCs w:val="21"/>
                <w:highlight w:val="none"/>
              </w:rPr>
            </w:pPr>
          </w:p>
        </w:tc>
        <w:tc>
          <w:tcPr>
            <w:tcW w:w="840" w:type="pct"/>
            <w:noWrap w:val="0"/>
            <w:vAlign w:val="center"/>
          </w:tcPr>
          <w:p w14:paraId="5C45B1F6">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生活垃圾</w:t>
            </w:r>
          </w:p>
        </w:tc>
        <w:tc>
          <w:tcPr>
            <w:tcW w:w="1195" w:type="pct"/>
            <w:noWrap w:val="0"/>
            <w:vAlign w:val="center"/>
          </w:tcPr>
          <w:p w14:paraId="57F63801">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18.38</w:t>
            </w:r>
          </w:p>
        </w:tc>
        <w:tc>
          <w:tcPr>
            <w:tcW w:w="1292" w:type="pct"/>
            <w:noWrap w:val="0"/>
            <w:vAlign w:val="center"/>
          </w:tcPr>
          <w:p w14:paraId="39996154">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18.38</w:t>
            </w:r>
          </w:p>
        </w:tc>
        <w:tc>
          <w:tcPr>
            <w:tcW w:w="1303" w:type="pct"/>
            <w:noWrap w:val="0"/>
            <w:vAlign w:val="center"/>
          </w:tcPr>
          <w:p w14:paraId="4B585D9A">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0</w:t>
            </w:r>
          </w:p>
        </w:tc>
      </w:tr>
      <w:tr w14:paraId="51B682D8">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0" w:hRule="atLeast"/>
          <w:jc w:val="center"/>
        </w:trPr>
        <w:tc>
          <w:tcPr>
            <w:tcW w:w="368" w:type="pct"/>
            <w:vMerge w:val="continue"/>
            <w:noWrap w:val="0"/>
            <w:vAlign w:val="center"/>
          </w:tcPr>
          <w:p w14:paraId="2EBE9CC1">
            <w:pPr>
              <w:pStyle w:val="42"/>
              <w:spacing w:before="0" w:beforeLines="0" w:after="0" w:afterLines="0"/>
              <w:textAlignment w:val="center"/>
              <w:rPr>
                <w:rFonts w:ascii="Times New Roman" w:hAnsi="Times New Roman"/>
                <w:szCs w:val="21"/>
                <w:highlight w:val="none"/>
              </w:rPr>
            </w:pPr>
          </w:p>
        </w:tc>
        <w:tc>
          <w:tcPr>
            <w:tcW w:w="840" w:type="pct"/>
            <w:noWrap w:val="0"/>
            <w:vAlign w:val="center"/>
          </w:tcPr>
          <w:p w14:paraId="69B0572C">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餐厨垃圾及废油脂</w:t>
            </w:r>
          </w:p>
        </w:tc>
        <w:tc>
          <w:tcPr>
            <w:tcW w:w="1195" w:type="pct"/>
            <w:noWrap w:val="0"/>
            <w:vAlign w:val="center"/>
          </w:tcPr>
          <w:p w14:paraId="0F5D1C25">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11.122</w:t>
            </w:r>
          </w:p>
        </w:tc>
        <w:tc>
          <w:tcPr>
            <w:tcW w:w="1292" w:type="pct"/>
            <w:noWrap w:val="0"/>
            <w:vAlign w:val="center"/>
          </w:tcPr>
          <w:p w14:paraId="551FD02A">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11.122</w:t>
            </w:r>
          </w:p>
        </w:tc>
        <w:tc>
          <w:tcPr>
            <w:tcW w:w="1303" w:type="pct"/>
            <w:noWrap w:val="0"/>
            <w:vAlign w:val="center"/>
          </w:tcPr>
          <w:p w14:paraId="6CA02D92">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0</w:t>
            </w:r>
          </w:p>
        </w:tc>
      </w:tr>
      <w:tr w14:paraId="2A72AAC8">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0" w:hRule="atLeast"/>
          <w:jc w:val="center"/>
        </w:trPr>
        <w:tc>
          <w:tcPr>
            <w:tcW w:w="368" w:type="pct"/>
            <w:vMerge w:val="continue"/>
            <w:noWrap w:val="0"/>
            <w:vAlign w:val="center"/>
          </w:tcPr>
          <w:p w14:paraId="6C0065D1">
            <w:pPr>
              <w:pStyle w:val="42"/>
              <w:spacing w:before="0" w:beforeLines="0" w:after="0" w:afterLines="0"/>
              <w:textAlignment w:val="center"/>
              <w:rPr>
                <w:rFonts w:ascii="Times New Roman" w:hAnsi="Times New Roman"/>
                <w:szCs w:val="21"/>
                <w:highlight w:val="none"/>
              </w:rPr>
            </w:pPr>
          </w:p>
        </w:tc>
        <w:tc>
          <w:tcPr>
            <w:tcW w:w="840" w:type="pct"/>
            <w:noWrap w:val="0"/>
            <w:vAlign w:val="center"/>
          </w:tcPr>
          <w:p w14:paraId="0FF47C36">
            <w:pPr>
              <w:pStyle w:val="42"/>
              <w:spacing w:before="0" w:beforeLines="0" w:after="0" w:afterLines="0"/>
              <w:textAlignment w:val="center"/>
              <w:rPr>
                <w:rFonts w:hint="default" w:ascii="Times New Roman" w:hAnsi="Times New Roman" w:eastAsia="新宋体"/>
                <w:szCs w:val="21"/>
                <w:highlight w:val="none"/>
                <w:lang w:val="en-US" w:eastAsia="zh-CN"/>
              </w:rPr>
            </w:pPr>
            <w:r>
              <w:rPr>
                <w:rFonts w:ascii="Times New Roman" w:hAnsi="Times New Roman"/>
                <w:szCs w:val="21"/>
                <w:highlight w:val="none"/>
              </w:rPr>
              <w:t>废离子交换树脂</w:t>
            </w:r>
            <w:r>
              <w:rPr>
                <w:rFonts w:hint="eastAsia" w:ascii="Times New Roman" w:hAnsi="Times New Roman"/>
                <w:szCs w:val="21"/>
                <w:highlight w:val="none"/>
                <w:lang w:val="en-US" w:eastAsia="zh-CN"/>
              </w:rPr>
              <w:t>和反渗透膜</w:t>
            </w:r>
          </w:p>
        </w:tc>
        <w:tc>
          <w:tcPr>
            <w:tcW w:w="1195" w:type="pct"/>
            <w:noWrap w:val="0"/>
            <w:vAlign w:val="center"/>
          </w:tcPr>
          <w:p w14:paraId="1B5A7A79">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2</w:t>
            </w:r>
          </w:p>
        </w:tc>
        <w:tc>
          <w:tcPr>
            <w:tcW w:w="1292" w:type="pct"/>
            <w:noWrap w:val="0"/>
            <w:vAlign w:val="center"/>
          </w:tcPr>
          <w:p w14:paraId="1E4CC5B4">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2</w:t>
            </w:r>
          </w:p>
        </w:tc>
        <w:tc>
          <w:tcPr>
            <w:tcW w:w="1303" w:type="pct"/>
            <w:noWrap w:val="0"/>
            <w:vAlign w:val="center"/>
          </w:tcPr>
          <w:p w14:paraId="5627287D">
            <w:pPr>
              <w:pStyle w:val="42"/>
              <w:spacing w:before="0" w:beforeLines="0" w:after="0" w:afterLines="0"/>
              <w:textAlignment w:val="center"/>
              <w:rPr>
                <w:rFonts w:ascii="Times New Roman" w:hAnsi="Times New Roman"/>
                <w:szCs w:val="21"/>
                <w:highlight w:val="none"/>
              </w:rPr>
            </w:pPr>
            <w:r>
              <w:rPr>
                <w:rFonts w:ascii="Times New Roman" w:hAnsi="Times New Roman"/>
                <w:szCs w:val="21"/>
                <w:highlight w:val="none"/>
              </w:rPr>
              <w:t>0</w:t>
            </w:r>
          </w:p>
        </w:tc>
      </w:tr>
      <w:tr w14:paraId="418B9E2B">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0" w:hRule="atLeast"/>
          <w:jc w:val="center"/>
        </w:trPr>
        <w:tc>
          <w:tcPr>
            <w:tcW w:w="368" w:type="pct"/>
            <w:vMerge w:val="continue"/>
            <w:noWrap w:val="0"/>
            <w:vAlign w:val="center"/>
          </w:tcPr>
          <w:p w14:paraId="2E7235AC">
            <w:pPr>
              <w:pStyle w:val="42"/>
              <w:spacing w:before="0" w:beforeLines="0" w:after="0" w:afterLines="0"/>
              <w:textAlignment w:val="center"/>
              <w:rPr>
                <w:rFonts w:ascii="Times New Roman" w:hAnsi="Times New Roman"/>
                <w:szCs w:val="21"/>
                <w:highlight w:val="none"/>
              </w:rPr>
            </w:pPr>
          </w:p>
        </w:tc>
        <w:tc>
          <w:tcPr>
            <w:tcW w:w="840" w:type="pct"/>
            <w:noWrap w:val="0"/>
            <w:vAlign w:val="center"/>
          </w:tcPr>
          <w:p w14:paraId="0C32AF2D">
            <w:pPr>
              <w:pStyle w:val="42"/>
              <w:spacing w:before="0" w:beforeLines="0" w:after="0" w:afterLines="0"/>
              <w:textAlignment w:val="center"/>
              <w:rPr>
                <w:rFonts w:hint="eastAsia" w:ascii="Times New Roman" w:hAnsi="Times New Roman" w:eastAsia="新宋体"/>
                <w:szCs w:val="21"/>
                <w:highlight w:val="none"/>
                <w:lang w:val="en-US" w:eastAsia="zh-CN"/>
              </w:rPr>
            </w:pPr>
            <w:r>
              <w:rPr>
                <w:rFonts w:hint="eastAsia" w:ascii="Times New Roman" w:hAnsi="Times New Roman"/>
                <w:szCs w:val="21"/>
                <w:highlight w:val="none"/>
                <w:lang w:val="en-US" w:eastAsia="zh-CN"/>
              </w:rPr>
              <w:t>废机油</w:t>
            </w:r>
          </w:p>
        </w:tc>
        <w:tc>
          <w:tcPr>
            <w:tcW w:w="1195" w:type="pct"/>
            <w:noWrap w:val="0"/>
            <w:vAlign w:val="center"/>
          </w:tcPr>
          <w:p w14:paraId="0CFDD025">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0.2</w:t>
            </w:r>
          </w:p>
        </w:tc>
        <w:tc>
          <w:tcPr>
            <w:tcW w:w="1292" w:type="pct"/>
            <w:noWrap w:val="0"/>
            <w:vAlign w:val="center"/>
          </w:tcPr>
          <w:p w14:paraId="330C7452">
            <w:pPr>
              <w:pStyle w:val="42"/>
              <w:spacing w:before="0" w:beforeLines="0" w:after="0" w:afterLines="0"/>
              <w:textAlignment w:val="center"/>
              <w:rPr>
                <w:rFonts w:hint="default"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0.2</w:t>
            </w:r>
          </w:p>
        </w:tc>
        <w:tc>
          <w:tcPr>
            <w:tcW w:w="1303" w:type="pct"/>
            <w:noWrap w:val="0"/>
            <w:vAlign w:val="center"/>
          </w:tcPr>
          <w:p w14:paraId="70C797C5">
            <w:pPr>
              <w:pStyle w:val="42"/>
              <w:spacing w:before="0" w:beforeLines="0" w:after="0" w:afterLines="0"/>
              <w:textAlignment w:val="center"/>
              <w:rPr>
                <w:rFonts w:hint="eastAsia" w:ascii="Times New Roman" w:hAnsi="Times New Roman" w:eastAsia="新宋体"/>
                <w:szCs w:val="21"/>
                <w:highlight w:val="none"/>
                <w:lang w:val="en-US" w:eastAsia="zh-CN"/>
              </w:rPr>
            </w:pPr>
            <w:r>
              <w:rPr>
                <w:rFonts w:hint="eastAsia" w:ascii="Times New Roman" w:hAnsi="Times New Roman"/>
                <w:szCs w:val="21"/>
                <w:highlight w:val="none"/>
                <w:lang w:val="en-US" w:eastAsia="zh-CN"/>
              </w:rPr>
              <w:t>0</w:t>
            </w:r>
          </w:p>
        </w:tc>
      </w:tr>
    </w:tbl>
    <w:p w14:paraId="39E6CD2C">
      <w:pPr>
        <w:pStyle w:val="4"/>
        <w:bidi w:val="0"/>
        <w:ind w:left="0" w:leftChars="0" w:firstLine="0" w:firstLineChars="0"/>
        <w:rPr>
          <w:rFonts w:hint="eastAsia"/>
          <w:highlight w:val="none"/>
          <w:lang w:val="en-US" w:eastAsia="zh-CN"/>
        </w:rPr>
      </w:pPr>
      <w:bookmarkStart w:id="91" w:name="_Toc18305"/>
      <w:r>
        <w:rPr>
          <w:rFonts w:hint="eastAsia"/>
          <w:highlight w:val="none"/>
          <w:lang w:val="en-US" w:eastAsia="zh-CN"/>
        </w:rPr>
        <w:t>3.4排放总量控制</w:t>
      </w:r>
      <w:bookmarkEnd w:id="91"/>
    </w:p>
    <w:p w14:paraId="363E2290">
      <w:pPr>
        <w:ind w:firstLine="480"/>
        <w:rPr>
          <w:rFonts w:ascii="Times New Roman" w:hAnsi="Times New Roman"/>
          <w:highlight w:val="none"/>
        </w:rPr>
      </w:pPr>
      <w:r>
        <w:rPr>
          <w:rFonts w:ascii="Times New Roman" w:hAnsi="Times New Roman"/>
          <w:highlight w:val="none"/>
        </w:rPr>
        <w:t>贯彻实现国家和省、市污染物排放总量控制规划是实现哈尔滨环境保护目标之一。实现总量控制将促进资源、能源的合理利用和优化配置，加速产业结构的调整，实现经济增长方面的根本转变。实施总量控制可以较好地处理经济与环境保护之间的协调关系，推进可持续发展战略的实施。</w:t>
      </w:r>
    </w:p>
    <w:p w14:paraId="284993D1">
      <w:pPr>
        <w:ind w:firstLine="480"/>
        <w:rPr>
          <w:rFonts w:ascii="Times New Roman" w:hAnsi="Times New Roman"/>
          <w:highlight w:val="none"/>
        </w:rPr>
      </w:pPr>
      <w:r>
        <w:rPr>
          <w:rFonts w:ascii="Times New Roman" w:hAnsi="Times New Roman"/>
          <w:highlight w:val="none"/>
        </w:rPr>
        <w:t>根据《国务院关于“十一五”期间全国主要污染物排放总量控制计划的批复》（国函[2006]70号）中国家有关实施总量控制的有关规定要求，考虑本工程排污特征，确定本工程污染物排放总量控制因子：颗粒物、SO</w:t>
      </w:r>
      <w:r>
        <w:rPr>
          <w:rFonts w:ascii="Times New Roman" w:hAnsi="Times New Roman"/>
          <w:highlight w:val="none"/>
          <w:vertAlign w:val="subscript"/>
        </w:rPr>
        <w:t>2</w:t>
      </w:r>
      <w:r>
        <w:rPr>
          <w:rFonts w:ascii="Times New Roman" w:hAnsi="Times New Roman"/>
          <w:highlight w:val="none"/>
        </w:rPr>
        <w:t>、NO</w:t>
      </w:r>
      <w:r>
        <w:rPr>
          <w:rFonts w:ascii="Times New Roman" w:hAnsi="Times New Roman"/>
          <w:highlight w:val="none"/>
          <w:vertAlign w:val="subscript"/>
        </w:rPr>
        <w:t>X</w:t>
      </w:r>
      <w:r>
        <w:rPr>
          <w:rFonts w:ascii="Times New Roman" w:hAnsi="Times New Roman"/>
          <w:highlight w:val="none"/>
        </w:rPr>
        <w:t>。</w:t>
      </w:r>
      <w:r>
        <w:rPr>
          <w:rFonts w:hint="eastAsia" w:ascii="Times New Roman" w:hAnsi="Times New Roman"/>
          <w:highlight w:val="none"/>
        </w:rPr>
        <w:t>本项目废气污染物二氧化硫、氮氧化物、细颗粒物等排放总量为：细颗粒物</w:t>
      </w:r>
      <w:r>
        <w:rPr>
          <w:rFonts w:hint="eastAsia" w:ascii="Times New Roman" w:hAnsi="Times New Roman"/>
          <w:highlight w:val="none"/>
          <w:lang w:val="en-US" w:eastAsia="zh-CN"/>
        </w:rPr>
        <w:t>7.902</w:t>
      </w:r>
      <w:r>
        <w:rPr>
          <w:rFonts w:hint="eastAsia" w:ascii="Times New Roman" w:hAnsi="Times New Roman"/>
          <w:highlight w:val="none"/>
        </w:rPr>
        <w:t>t/a、二氧化硫</w:t>
      </w:r>
      <w:r>
        <w:rPr>
          <w:rFonts w:hint="eastAsia" w:ascii="Times New Roman" w:hAnsi="Times New Roman"/>
          <w:highlight w:val="none"/>
          <w:lang w:val="en-US" w:eastAsia="zh-CN"/>
        </w:rPr>
        <w:t>27.658</w:t>
      </w:r>
      <w:r>
        <w:rPr>
          <w:rFonts w:hint="eastAsia" w:ascii="Times New Roman" w:hAnsi="Times New Roman"/>
          <w:highlight w:val="none"/>
        </w:rPr>
        <w:t>t/a、氮氧化物</w:t>
      </w:r>
      <w:r>
        <w:rPr>
          <w:rFonts w:hint="eastAsia" w:ascii="Times New Roman" w:hAnsi="Times New Roman"/>
          <w:highlight w:val="none"/>
          <w:lang w:val="en-US" w:eastAsia="zh-CN"/>
        </w:rPr>
        <w:t>39.511</w:t>
      </w:r>
      <w:r>
        <w:rPr>
          <w:rFonts w:hint="eastAsia" w:ascii="Times New Roman" w:hAnsi="Times New Roman"/>
          <w:highlight w:val="none"/>
        </w:rPr>
        <w:t>t/a。</w:t>
      </w:r>
    </w:p>
    <w:p w14:paraId="406AB5C9">
      <w:pPr>
        <w:ind w:firstLine="480"/>
        <w:rPr>
          <w:rFonts w:ascii="Times New Roman" w:hAnsi="Times New Roman"/>
          <w:highlight w:val="none"/>
        </w:rPr>
      </w:pPr>
      <w:r>
        <w:rPr>
          <w:rFonts w:hint="eastAsia" w:ascii="Times New Roman" w:hAnsi="Times New Roman"/>
          <w:highlight w:val="none"/>
        </w:rPr>
        <w:t>绥芬河市新区供热有限责任公司</w:t>
      </w:r>
      <w:r>
        <w:rPr>
          <w:rFonts w:ascii="Times New Roman" w:hAnsi="Times New Roman"/>
          <w:highlight w:val="none"/>
        </w:rPr>
        <w:t>已取得生态环境主管部门核发的新版排污许可证（许可证编号：91231081828141815B001C），有效期2022-0</w:t>
      </w:r>
      <w:r>
        <w:rPr>
          <w:rFonts w:hint="eastAsia" w:ascii="Times New Roman" w:hAnsi="Times New Roman"/>
          <w:highlight w:val="none"/>
          <w:lang w:val="en-US" w:eastAsia="zh-CN"/>
        </w:rPr>
        <w:t>8</w:t>
      </w:r>
      <w:r>
        <w:rPr>
          <w:rFonts w:ascii="Times New Roman" w:hAnsi="Times New Roman"/>
          <w:highlight w:val="none"/>
        </w:rPr>
        <w:t>-2</w:t>
      </w:r>
      <w:r>
        <w:rPr>
          <w:rFonts w:hint="eastAsia" w:ascii="Times New Roman" w:hAnsi="Times New Roman"/>
          <w:highlight w:val="none"/>
          <w:lang w:val="en-US" w:eastAsia="zh-CN"/>
        </w:rPr>
        <w:t>0</w:t>
      </w:r>
      <w:r>
        <w:rPr>
          <w:rFonts w:ascii="Times New Roman" w:hAnsi="Times New Roman"/>
          <w:highlight w:val="none"/>
        </w:rPr>
        <w:t>至2027-0</w:t>
      </w:r>
      <w:r>
        <w:rPr>
          <w:rFonts w:hint="eastAsia" w:ascii="Times New Roman" w:hAnsi="Times New Roman"/>
          <w:highlight w:val="none"/>
          <w:lang w:val="en-US" w:eastAsia="zh-CN"/>
        </w:rPr>
        <w:t>8</w:t>
      </w:r>
      <w:r>
        <w:rPr>
          <w:rFonts w:ascii="Times New Roman" w:hAnsi="Times New Roman"/>
          <w:highlight w:val="none"/>
        </w:rPr>
        <w:t>-</w:t>
      </w:r>
      <w:r>
        <w:rPr>
          <w:rFonts w:hint="eastAsia" w:ascii="Times New Roman" w:hAnsi="Times New Roman"/>
          <w:highlight w:val="none"/>
          <w:lang w:val="en-US" w:eastAsia="zh-CN"/>
        </w:rPr>
        <w:t>19</w:t>
      </w:r>
      <w:r>
        <w:rPr>
          <w:rFonts w:ascii="Times New Roman" w:hAnsi="Times New Roman"/>
          <w:highlight w:val="none"/>
        </w:rPr>
        <w:t>。排污许可证中的总许可量为，颗粒物：</w:t>
      </w:r>
      <w:r>
        <w:rPr>
          <w:rFonts w:hint="eastAsia" w:ascii="Times New Roman" w:hAnsi="Times New Roman"/>
          <w:highlight w:val="none"/>
          <w:lang w:val="en-US" w:eastAsia="zh-CN"/>
        </w:rPr>
        <w:t>41.346</w:t>
      </w:r>
      <w:r>
        <w:rPr>
          <w:rFonts w:ascii="Times New Roman" w:hAnsi="Times New Roman"/>
          <w:highlight w:val="none"/>
        </w:rPr>
        <w:t>t/a、SO</w:t>
      </w:r>
      <w:r>
        <w:rPr>
          <w:rFonts w:ascii="Times New Roman" w:hAnsi="Times New Roman"/>
          <w:highlight w:val="none"/>
          <w:vertAlign w:val="subscript"/>
        </w:rPr>
        <w:t>2</w:t>
      </w:r>
      <w:r>
        <w:rPr>
          <w:rFonts w:ascii="Times New Roman" w:hAnsi="Times New Roman"/>
          <w:highlight w:val="none"/>
        </w:rPr>
        <w:t>：</w:t>
      </w:r>
      <w:r>
        <w:rPr>
          <w:rFonts w:hint="eastAsia" w:ascii="Times New Roman" w:hAnsi="Times New Roman"/>
          <w:highlight w:val="none"/>
          <w:lang w:val="en-US" w:eastAsia="zh-CN"/>
        </w:rPr>
        <w:t>52.8</w:t>
      </w:r>
      <w:r>
        <w:rPr>
          <w:rFonts w:ascii="Times New Roman" w:hAnsi="Times New Roman"/>
          <w:highlight w:val="none"/>
        </w:rPr>
        <w:t>t/a和NOx：</w:t>
      </w:r>
      <w:r>
        <w:rPr>
          <w:rFonts w:hint="eastAsia" w:ascii="Times New Roman" w:hAnsi="Times New Roman"/>
          <w:highlight w:val="none"/>
          <w:lang w:val="en-US" w:eastAsia="zh-CN"/>
        </w:rPr>
        <w:t>161.7</w:t>
      </w:r>
      <w:r>
        <w:rPr>
          <w:rFonts w:ascii="Times New Roman" w:hAnsi="Times New Roman"/>
          <w:highlight w:val="none"/>
        </w:rPr>
        <w:t>t/a。本项目污染物核定总量为颗粒物：</w:t>
      </w:r>
      <w:r>
        <w:rPr>
          <w:rFonts w:hint="eastAsia" w:ascii="Times New Roman" w:hAnsi="Times New Roman"/>
          <w:highlight w:val="none"/>
          <w:lang w:val="en-US" w:eastAsia="zh-CN"/>
        </w:rPr>
        <w:t>7.902</w:t>
      </w:r>
      <w:r>
        <w:rPr>
          <w:rFonts w:ascii="Times New Roman" w:hAnsi="Times New Roman"/>
          <w:highlight w:val="none"/>
        </w:rPr>
        <w:t>t/a、SO</w:t>
      </w:r>
      <w:r>
        <w:rPr>
          <w:rFonts w:ascii="Times New Roman" w:hAnsi="Times New Roman"/>
          <w:highlight w:val="none"/>
          <w:vertAlign w:val="subscript"/>
        </w:rPr>
        <w:t>2</w:t>
      </w:r>
      <w:r>
        <w:rPr>
          <w:rFonts w:ascii="Times New Roman" w:hAnsi="Times New Roman"/>
          <w:highlight w:val="none"/>
        </w:rPr>
        <w:t>：</w:t>
      </w:r>
      <w:r>
        <w:rPr>
          <w:rFonts w:hint="eastAsia" w:ascii="Times New Roman" w:hAnsi="Times New Roman"/>
          <w:highlight w:val="none"/>
          <w:lang w:val="en-US" w:eastAsia="zh-CN"/>
        </w:rPr>
        <w:t>27.658</w:t>
      </w:r>
      <w:r>
        <w:rPr>
          <w:rFonts w:ascii="Times New Roman" w:hAnsi="Times New Roman"/>
          <w:highlight w:val="none"/>
        </w:rPr>
        <w:t>t/a和NOx：</w:t>
      </w:r>
      <w:r>
        <w:rPr>
          <w:rFonts w:hint="eastAsia" w:ascii="Times New Roman" w:hAnsi="Times New Roman"/>
          <w:highlight w:val="none"/>
          <w:lang w:val="en-US" w:eastAsia="zh-CN"/>
        </w:rPr>
        <w:t>39.511</w:t>
      </w:r>
      <w:r>
        <w:rPr>
          <w:rFonts w:ascii="Times New Roman" w:hAnsi="Times New Roman"/>
          <w:highlight w:val="none"/>
        </w:rPr>
        <w:t>t/a。</w:t>
      </w:r>
    </w:p>
    <w:p w14:paraId="22ABC899">
      <w:pPr>
        <w:bidi w:val="0"/>
        <w:rPr>
          <w:rFonts w:hint="default"/>
          <w:highlight w:val="none"/>
          <w:lang w:val="en-US" w:eastAsia="zh-CN"/>
        </w:rPr>
      </w:pPr>
      <w:r>
        <w:rPr>
          <w:rFonts w:ascii="Times New Roman" w:hAnsi="Times New Roman"/>
          <w:highlight w:val="none"/>
        </w:rPr>
        <w:t>全厂核定量：颗粒物：</w:t>
      </w:r>
      <w:r>
        <w:rPr>
          <w:rFonts w:hint="eastAsia" w:ascii="Times New Roman" w:hAnsi="Times New Roman"/>
          <w:highlight w:val="none"/>
          <w:lang w:val="en-US" w:eastAsia="zh-CN"/>
        </w:rPr>
        <w:t>7.902</w:t>
      </w:r>
      <w:r>
        <w:rPr>
          <w:rFonts w:ascii="Times New Roman" w:hAnsi="Times New Roman"/>
          <w:highlight w:val="none"/>
        </w:rPr>
        <w:t>t/a、SO</w:t>
      </w:r>
      <w:r>
        <w:rPr>
          <w:rFonts w:ascii="Times New Roman" w:hAnsi="Times New Roman"/>
          <w:highlight w:val="none"/>
          <w:vertAlign w:val="subscript"/>
        </w:rPr>
        <w:t>2</w:t>
      </w:r>
      <w:r>
        <w:rPr>
          <w:rFonts w:ascii="Times New Roman" w:hAnsi="Times New Roman"/>
          <w:highlight w:val="none"/>
        </w:rPr>
        <w:t>：</w:t>
      </w:r>
      <w:r>
        <w:rPr>
          <w:rFonts w:hint="eastAsia" w:ascii="Times New Roman" w:hAnsi="Times New Roman"/>
          <w:highlight w:val="none"/>
          <w:lang w:val="en-US" w:eastAsia="zh-CN"/>
        </w:rPr>
        <w:t>27.658</w:t>
      </w:r>
      <w:r>
        <w:rPr>
          <w:rFonts w:ascii="Times New Roman" w:hAnsi="Times New Roman"/>
          <w:highlight w:val="none"/>
        </w:rPr>
        <w:t>t/a和NOx：</w:t>
      </w:r>
      <w:r>
        <w:rPr>
          <w:rFonts w:hint="eastAsia" w:ascii="Times New Roman" w:hAnsi="Times New Roman"/>
          <w:highlight w:val="none"/>
          <w:lang w:val="en-US" w:eastAsia="zh-CN"/>
        </w:rPr>
        <w:t>39.511</w:t>
      </w:r>
      <w:r>
        <w:rPr>
          <w:rFonts w:ascii="Times New Roman" w:hAnsi="Times New Roman"/>
          <w:highlight w:val="none"/>
        </w:rPr>
        <w:t>t/a。</w:t>
      </w:r>
    </w:p>
    <w:p w14:paraId="1DD40032">
      <w:pPr>
        <w:pStyle w:val="4"/>
        <w:bidi w:val="0"/>
        <w:ind w:left="0" w:leftChars="0" w:firstLine="0" w:firstLineChars="0"/>
        <w:rPr>
          <w:rFonts w:hint="eastAsia" w:ascii="Times New Roman" w:hAnsi="Times New Roman" w:cs="Times New Roman"/>
          <w:highlight w:val="none"/>
          <w:lang w:val="en-US" w:eastAsia="zh-CN"/>
        </w:rPr>
      </w:pPr>
      <w:bookmarkStart w:id="92" w:name="_Toc13746"/>
      <w:r>
        <w:rPr>
          <w:rFonts w:hint="eastAsia" w:ascii="Times New Roman" w:hAnsi="Times New Roman" w:cs="Times New Roman"/>
          <w:highlight w:val="none"/>
          <w:lang w:val="en-US" w:eastAsia="zh-CN"/>
        </w:rPr>
        <w:t>3.5清洁生产分析</w:t>
      </w:r>
      <w:bookmarkEnd w:id="92"/>
    </w:p>
    <w:p w14:paraId="5B2FD59A">
      <w:pPr>
        <w:pStyle w:val="5"/>
        <w:bidi w:val="0"/>
        <w:ind w:left="0" w:leftChars="0" w:firstLine="0" w:firstLineChars="0"/>
        <w:rPr>
          <w:rFonts w:hint="default"/>
          <w:sz w:val="30"/>
          <w:szCs w:val="30"/>
          <w:highlight w:val="none"/>
          <w:lang w:val="en-US" w:eastAsia="zh-CN"/>
        </w:rPr>
      </w:pPr>
      <w:bookmarkStart w:id="93" w:name="_Toc9169"/>
      <w:r>
        <w:rPr>
          <w:rFonts w:hint="eastAsia"/>
          <w:sz w:val="30"/>
          <w:szCs w:val="30"/>
          <w:highlight w:val="none"/>
          <w:lang w:val="en-US" w:eastAsia="zh-CN"/>
        </w:rPr>
        <w:t>3.5.1国家相关产业政策分析</w:t>
      </w:r>
      <w:bookmarkEnd w:id="93"/>
    </w:p>
    <w:p w14:paraId="6411BD86">
      <w:pPr>
        <w:ind w:firstLine="480"/>
        <w:rPr>
          <w:rFonts w:ascii="Times New Roman" w:hAnsi="Times New Roman"/>
          <w:highlight w:val="none"/>
        </w:rPr>
      </w:pPr>
      <w:r>
        <w:rPr>
          <w:rFonts w:ascii="Times New Roman" w:hAnsi="Times New Roman"/>
          <w:highlight w:val="none"/>
        </w:rPr>
        <w:t>本项目属于发展和改革委员会《产业结构调整指导目录（20</w:t>
      </w:r>
      <w:r>
        <w:rPr>
          <w:rFonts w:hint="eastAsia" w:ascii="Times New Roman" w:hAnsi="Times New Roman"/>
          <w:highlight w:val="none"/>
          <w:lang w:val="en-US" w:eastAsia="zh-CN"/>
        </w:rPr>
        <w:t>24</w:t>
      </w:r>
      <w:r>
        <w:rPr>
          <w:rFonts w:ascii="Times New Roman" w:hAnsi="Times New Roman"/>
          <w:highlight w:val="none"/>
        </w:rPr>
        <w:t>年本）》中鼓励类第二十二部分“城镇基础设施”第</w:t>
      </w:r>
      <w:r>
        <w:rPr>
          <w:rFonts w:hint="eastAsia" w:ascii="Times New Roman" w:hAnsi="Times New Roman"/>
          <w:highlight w:val="none"/>
          <w:lang w:val="en-US" w:eastAsia="zh-CN"/>
        </w:rPr>
        <w:t>2</w:t>
      </w:r>
      <w:r>
        <w:rPr>
          <w:rFonts w:ascii="Times New Roman" w:hAnsi="Times New Roman"/>
          <w:highlight w:val="none"/>
        </w:rPr>
        <w:t>条为“城镇集中供热建设和改造工程</w:t>
      </w:r>
      <w:r>
        <w:rPr>
          <w:rFonts w:hint="eastAsia" w:ascii="Times New Roman" w:hAnsi="Times New Roman"/>
          <w:highlight w:val="none"/>
          <w:lang w:eastAsia="zh-CN"/>
        </w:rPr>
        <w:t>（</w:t>
      </w:r>
      <w:r>
        <w:rPr>
          <w:rFonts w:ascii="宋体" w:hAnsi="宋体" w:eastAsia="宋体" w:cs="宋体"/>
          <w:sz w:val="24"/>
          <w:szCs w:val="24"/>
          <w:highlight w:val="none"/>
        </w:rPr>
        <w:t>包括长距离集中供热管网应用工程</w:t>
      </w:r>
      <w:r>
        <w:rPr>
          <w:rFonts w:hint="eastAsia" w:ascii="Times New Roman" w:hAnsi="Times New Roman"/>
          <w:highlight w:val="none"/>
          <w:lang w:eastAsia="zh-CN"/>
        </w:rPr>
        <w:t>）</w:t>
      </w:r>
      <w:r>
        <w:rPr>
          <w:rFonts w:ascii="Times New Roman" w:hAnsi="Times New Roman"/>
          <w:highlight w:val="none"/>
        </w:rPr>
        <w:t>”中的“城镇集中供热建设工程”。因此，本项目属于鼓励类建设项目。</w:t>
      </w:r>
    </w:p>
    <w:p w14:paraId="32151529">
      <w:pPr>
        <w:ind w:firstLine="480"/>
        <w:rPr>
          <w:rFonts w:ascii="Times New Roman" w:hAnsi="Times New Roman"/>
          <w:highlight w:val="none"/>
        </w:rPr>
      </w:pPr>
      <w:r>
        <w:rPr>
          <w:rFonts w:ascii="Times New Roman" w:hAnsi="Times New Roman"/>
          <w:highlight w:val="none"/>
        </w:rPr>
        <w:t>国务院同意建设部、国家计委《关于加强城市集中供热管理工作的报告》中指出，“城市集中供热设施是现代化城市的基础设施之一。在城市经济体制改革中，各地要加强对这项工作的组织领导和管理，不断地摸索和总结经验，推动城市集中供热工作的开展”。</w:t>
      </w:r>
    </w:p>
    <w:p w14:paraId="6D2B05E8">
      <w:pPr>
        <w:ind w:firstLine="480"/>
        <w:rPr>
          <w:rFonts w:ascii="Times New Roman" w:hAnsi="Times New Roman"/>
          <w:highlight w:val="none"/>
        </w:rPr>
      </w:pPr>
      <w:r>
        <w:rPr>
          <w:rFonts w:ascii="Times New Roman" w:hAnsi="Times New Roman"/>
          <w:highlight w:val="none"/>
        </w:rPr>
        <w:t>为加强对供热体制改革试点工作的领导，建设部、国家发展和改革委员会、财政部、人事部、民政部、劳动和社会保障部、国家税务总局、原国家环保总局制定了《关于城镇供热体制改革试点工作的指导意见》，《指导意见》中指出，“改革单位统包的用热制度，停止福利供热，实行用热商品化、货币化；加大新型墙体材料、建筑节能技术的推广应用和供热采暖设施的技术改造力度，提高热能利用效率，改善城镇大气环境质量；继续发展和完善以集中供热为主导、多种方式相结合的经济、安全、清洁、高效的城镇供热采暖系统；加快供热企业改革，引入竞争机制，培育和规范城镇供热市场”。</w:t>
      </w:r>
    </w:p>
    <w:p w14:paraId="4BC8D46A">
      <w:pPr>
        <w:ind w:firstLine="480"/>
        <w:rPr>
          <w:rFonts w:ascii="Times New Roman" w:hAnsi="Times New Roman"/>
          <w:highlight w:val="none"/>
        </w:rPr>
      </w:pPr>
      <w:r>
        <w:rPr>
          <w:rFonts w:ascii="Times New Roman" w:hAnsi="Times New Roman"/>
          <w:highlight w:val="none"/>
        </w:rPr>
        <w:t>《中华人民共和国节约能源法》第39条明确提出：国家鼓励发展推广集中供热，提高热能综合利用率。</w:t>
      </w:r>
    </w:p>
    <w:p w14:paraId="09CAD6EB">
      <w:pPr>
        <w:rPr>
          <w:rFonts w:ascii="Times New Roman" w:hAnsi="Times New Roman"/>
          <w:highlight w:val="none"/>
        </w:rPr>
      </w:pPr>
      <w:r>
        <w:rPr>
          <w:rFonts w:ascii="Times New Roman" w:hAnsi="Times New Roman"/>
          <w:highlight w:val="none"/>
        </w:rPr>
        <w:t>由此可见，该项目的建设符合国家产业政策的要求。</w:t>
      </w:r>
    </w:p>
    <w:p w14:paraId="402DE4E6">
      <w:pPr>
        <w:pStyle w:val="5"/>
        <w:bidi w:val="0"/>
        <w:ind w:left="0" w:leftChars="0" w:firstLine="0" w:firstLineChars="0"/>
        <w:rPr>
          <w:rFonts w:hint="default" w:ascii="Times New Roman" w:hAnsi="Times New Roman" w:cs="Times New Roman"/>
          <w:sz w:val="30"/>
          <w:szCs w:val="30"/>
          <w:highlight w:val="none"/>
          <w:lang w:val="en-US" w:eastAsia="zh-CN"/>
        </w:rPr>
      </w:pPr>
      <w:bookmarkStart w:id="94" w:name="_Toc28557"/>
      <w:r>
        <w:rPr>
          <w:rFonts w:hint="eastAsia" w:ascii="Times New Roman" w:hAnsi="Times New Roman" w:cs="Times New Roman"/>
          <w:sz w:val="30"/>
          <w:szCs w:val="30"/>
          <w:highlight w:val="none"/>
          <w:lang w:val="en-US" w:eastAsia="zh-CN"/>
        </w:rPr>
        <w:t>3.5.2生产工艺先进性分析</w:t>
      </w:r>
      <w:bookmarkEnd w:id="94"/>
    </w:p>
    <w:p w14:paraId="3C42056B">
      <w:pPr>
        <w:ind w:firstLine="480"/>
        <w:rPr>
          <w:rFonts w:ascii="Times New Roman" w:hAnsi="Times New Roman"/>
          <w:highlight w:val="none"/>
        </w:rPr>
      </w:pPr>
      <w:r>
        <w:rPr>
          <w:rFonts w:ascii="Times New Roman" w:hAnsi="Times New Roman"/>
          <w:highlight w:val="none"/>
        </w:rPr>
        <w:t>本工程是以煤为基本原料的集中供热工程，其生产过程包括运煤、输煤、燃烧、除灰渣等几部分，现就清洁生产状况进行评述。</w:t>
      </w:r>
    </w:p>
    <w:p w14:paraId="04BEC1B2">
      <w:pPr>
        <w:ind w:firstLine="480"/>
        <w:rPr>
          <w:rFonts w:ascii="Times New Roman" w:hAnsi="Times New Roman"/>
          <w:highlight w:val="none"/>
        </w:rPr>
      </w:pPr>
      <w:r>
        <w:rPr>
          <w:rFonts w:ascii="Times New Roman" w:hAnsi="Times New Roman"/>
          <w:highlight w:val="none"/>
        </w:rPr>
        <w:t>（1）节能</w:t>
      </w:r>
    </w:p>
    <w:p w14:paraId="520A9D34">
      <w:pPr>
        <w:ind w:firstLine="480"/>
        <w:rPr>
          <w:rFonts w:ascii="Times New Roman" w:hAnsi="Times New Roman"/>
          <w:highlight w:val="none"/>
        </w:rPr>
      </w:pPr>
      <w:r>
        <w:rPr>
          <w:rFonts w:ascii="Times New Roman" w:hAnsi="Times New Roman"/>
          <w:highlight w:val="none"/>
        </w:rPr>
        <w:t>与分散小锅炉相比，集中供热具有提高供热质量的优点——连续均匀。</w:t>
      </w:r>
    </w:p>
    <w:p w14:paraId="5981840C">
      <w:pPr>
        <w:ind w:firstLine="480"/>
        <w:rPr>
          <w:rFonts w:ascii="Times New Roman" w:hAnsi="Times New Roman"/>
          <w:highlight w:val="none"/>
        </w:rPr>
      </w:pPr>
      <w:r>
        <w:rPr>
          <w:rFonts w:ascii="Times New Roman" w:hAnsi="Times New Roman"/>
          <w:highlight w:val="none"/>
        </w:rPr>
        <w:t>分散小锅炉由于设备条件的限制，不易保证热质量，压力和温度的波动会影响生产工艺，影响产品质量。而集中供热为连续运行，供热介质参数稳定，产品质量也有很大提高。小锅炉分散供热和集中供热(本工程)的特点见表3.5-1。</w:t>
      </w:r>
    </w:p>
    <w:p w14:paraId="5CBF585B">
      <w:pPr>
        <w:ind w:firstLine="0" w:firstLineChars="0"/>
        <w:jc w:val="center"/>
        <w:rPr>
          <w:rFonts w:ascii="Times New Roman" w:hAnsi="Times New Roman"/>
          <w:highlight w:val="none"/>
        </w:rPr>
      </w:pPr>
      <w:r>
        <w:rPr>
          <w:rFonts w:hint="eastAsia" w:ascii="黑体" w:hAnsi="黑体" w:eastAsia="黑体" w:cs="黑体"/>
          <w:highlight w:val="none"/>
        </w:rPr>
        <w:t>表</w:t>
      </w:r>
      <w:r>
        <w:rPr>
          <w:rFonts w:ascii="Times New Roman" w:hAnsi="Times New Roman"/>
          <w:highlight w:val="none"/>
        </w:rPr>
        <w:t>3.5-1</w:t>
      </w:r>
      <w:r>
        <w:rPr>
          <w:rFonts w:hint="eastAsia" w:ascii="黑体" w:hAnsi="黑体" w:eastAsia="黑体" w:cs="黑体"/>
          <w:highlight w:val="none"/>
        </w:rPr>
        <w:t>分散供热与集中供热的比较</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69"/>
        <w:gridCol w:w="3364"/>
        <w:gridCol w:w="3989"/>
      </w:tblGrid>
      <w:tr w14:paraId="1A7616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86" w:type="pct"/>
            <w:noWrap w:val="0"/>
            <w:vAlign w:val="center"/>
          </w:tcPr>
          <w:p w14:paraId="79BCADC3">
            <w:pPr>
              <w:pStyle w:val="27"/>
              <w:rPr>
                <w:rFonts w:ascii="Times New Roman" w:hAnsi="Times New Roman"/>
                <w:highlight w:val="none"/>
              </w:rPr>
            </w:pPr>
            <w:r>
              <w:rPr>
                <w:rFonts w:ascii="Times New Roman" w:hAnsi="Times New Roman"/>
                <w:highlight w:val="none"/>
              </w:rPr>
              <w:t>参数</w:t>
            </w:r>
          </w:p>
        </w:tc>
        <w:tc>
          <w:tcPr>
            <w:tcW w:w="1974" w:type="pct"/>
            <w:noWrap w:val="0"/>
            <w:vAlign w:val="center"/>
          </w:tcPr>
          <w:p w14:paraId="0E019F97">
            <w:pPr>
              <w:pStyle w:val="27"/>
              <w:rPr>
                <w:rFonts w:ascii="Times New Roman" w:hAnsi="Times New Roman"/>
                <w:highlight w:val="none"/>
              </w:rPr>
            </w:pPr>
            <w:r>
              <w:rPr>
                <w:rFonts w:ascii="Times New Roman" w:hAnsi="Times New Roman"/>
                <w:highlight w:val="none"/>
              </w:rPr>
              <w:t>分散供热</w:t>
            </w:r>
          </w:p>
        </w:tc>
        <w:tc>
          <w:tcPr>
            <w:tcW w:w="2340" w:type="pct"/>
            <w:noWrap w:val="0"/>
            <w:vAlign w:val="center"/>
          </w:tcPr>
          <w:p w14:paraId="57A6AF31">
            <w:pPr>
              <w:pStyle w:val="27"/>
              <w:rPr>
                <w:rFonts w:ascii="Times New Roman" w:hAnsi="Times New Roman"/>
                <w:highlight w:val="none"/>
              </w:rPr>
            </w:pPr>
            <w:r>
              <w:rPr>
                <w:rFonts w:ascii="Times New Roman" w:hAnsi="Times New Roman"/>
                <w:highlight w:val="none"/>
              </w:rPr>
              <w:t>集中供热(本工程数据)</w:t>
            </w:r>
          </w:p>
        </w:tc>
      </w:tr>
      <w:tr w14:paraId="09365EB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86" w:type="pct"/>
            <w:noWrap w:val="0"/>
            <w:vAlign w:val="center"/>
          </w:tcPr>
          <w:p w14:paraId="4E6B2854">
            <w:pPr>
              <w:pStyle w:val="27"/>
              <w:rPr>
                <w:rFonts w:ascii="Times New Roman" w:hAnsi="Times New Roman"/>
                <w:highlight w:val="none"/>
              </w:rPr>
            </w:pPr>
            <w:r>
              <w:rPr>
                <w:rFonts w:ascii="Times New Roman" w:hAnsi="Times New Roman"/>
                <w:highlight w:val="none"/>
              </w:rPr>
              <w:t>锅炉容量</w:t>
            </w:r>
          </w:p>
        </w:tc>
        <w:tc>
          <w:tcPr>
            <w:tcW w:w="1974" w:type="pct"/>
            <w:noWrap w:val="0"/>
            <w:vAlign w:val="center"/>
          </w:tcPr>
          <w:p w14:paraId="6384CB1A">
            <w:pPr>
              <w:pStyle w:val="27"/>
              <w:rPr>
                <w:rFonts w:ascii="Times New Roman" w:hAnsi="Times New Roman"/>
                <w:highlight w:val="none"/>
              </w:rPr>
            </w:pPr>
            <w:r>
              <w:rPr>
                <w:rFonts w:ascii="Times New Roman" w:hAnsi="Times New Roman"/>
                <w:highlight w:val="none"/>
              </w:rPr>
              <w:t>小</w:t>
            </w:r>
          </w:p>
        </w:tc>
        <w:tc>
          <w:tcPr>
            <w:tcW w:w="2340" w:type="pct"/>
            <w:noWrap w:val="0"/>
            <w:vAlign w:val="center"/>
          </w:tcPr>
          <w:p w14:paraId="1363F55A">
            <w:pPr>
              <w:pStyle w:val="27"/>
              <w:rPr>
                <w:rFonts w:ascii="Times New Roman" w:hAnsi="Times New Roman"/>
                <w:highlight w:val="none"/>
              </w:rPr>
            </w:pPr>
            <w:r>
              <w:rPr>
                <w:rFonts w:ascii="Times New Roman" w:hAnsi="Times New Roman"/>
                <w:highlight w:val="none"/>
              </w:rPr>
              <w:t>大，建设</w:t>
            </w:r>
            <w:r>
              <w:rPr>
                <w:rFonts w:hint="eastAsia" w:ascii="Times New Roman" w:hAnsi="Times New Roman"/>
                <w:highlight w:val="none"/>
                <w:lang w:val="en-US" w:eastAsia="zh-CN"/>
              </w:rPr>
              <w:t>116MW+</w:t>
            </w:r>
            <w:r>
              <w:rPr>
                <w:rFonts w:hint="default" w:ascii="Times New Roman" w:hAnsi="Times New Roman"/>
                <w:highlight w:val="none"/>
                <w:lang w:val="en-US" w:eastAsia="zh-CN"/>
              </w:rPr>
              <w:t>58</w:t>
            </w:r>
            <w:r>
              <w:rPr>
                <w:rFonts w:hint="eastAsia" w:ascii="Times New Roman" w:hAnsi="Times New Roman"/>
                <w:highlight w:val="none"/>
                <w:lang w:val="en-US" w:eastAsia="zh-CN"/>
              </w:rPr>
              <w:t>MW热水锅炉和1台35t/h蒸汽锅炉</w:t>
            </w:r>
          </w:p>
        </w:tc>
      </w:tr>
      <w:tr w14:paraId="271C9E3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86" w:type="pct"/>
            <w:noWrap w:val="0"/>
            <w:vAlign w:val="center"/>
          </w:tcPr>
          <w:p w14:paraId="2F7D209C">
            <w:pPr>
              <w:pStyle w:val="27"/>
              <w:rPr>
                <w:rFonts w:ascii="Times New Roman" w:hAnsi="Times New Roman"/>
                <w:highlight w:val="none"/>
              </w:rPr>
            </w:pPr>
            <w:r>
              <w:rPr>
                <w:rFonts w:ascii="Times New Roman" w:hAnsi="Times New Roman"/>
                <w:highlight w:val="none"/>
              </w:rPr>
              <w:t>烟囱高度</w:t>
            </w:r>
          </w:p>
        </w:tc>
        <w:tc>
          <w:tcPr>
            <w:tcW w:w="1974" w:type="pct"/>
            <w:noWrap w:val="0"/>
            <w:vAlign w:val="center"/>
          </w:tcPr>
          <w:p w14:paraId="721B52F8">
            <w:pPr>
              <w:pStyle w:val="27"/>
              <w:rPr>
                <w:rFonts w:ascii="Times New Roman" w:hAnsi="Times New Roman"/>
                <w:highlight w:val="none"/>
              </w:rPr>
            </w:pPr>
            <w:r>
              <w:rPr>
                <w:rFonts w:ascii="Times New Roman" w:hAnsi="Times New Roman"/>
                <w:highlight w:val="none"/>
              </w:rPr>
              <w:t>低，一般在40m以下</w:t>
            </w:r>
          </w:p>
        </w:tc>
        <w:tc>
          <w:tcPr>
            <w:tcW w:w="2340" w:type="pct"/>
            <w:noWrap w:val="0"/>
            <w:vAlign w:val="center"/>
          </w:tcPr>
          <w:p w14:paraId="788BAA96">
            <w:pPr>
              <w:pStyle w:val="27"/>
              <w:rPr>
                <w:rFonts w:ascii="Times New Roman" w:hAnsi="Times New Roman"/>
                <w:highlight w:val="none"/>
              </w:rPr>
            </w:pPr>
            <w:r>
              <w:rPr>
                <w:rFonts w:ascii="Times New Roman" w:hAnsi="Times New Roman"/>
                <w:highlight w:val="none"/>
              </w:rPr>
              <w:t>高，</w:t>
            </w:r>
            <w:r>
              <w:rPr>
                <w:rFonts w:hint="eastAsia" w:ascii="Times New Roman" w:hAnsi="Times New Roman"/>
                <w:highlight w:val="none"/>
                <w:lang w:val="en-US" w:eastAsia="zh-CN"/>
              </w:rPr>
              <w:t>60</w:t>
            </w:r>
            <w:r>
              <w:rPr>
                <w:rFonts w:ascii="Times New Roman" w:hAnsi="Times New Roman"/>
                <w:highlight w:val="none"/>
              </w:rPr>
              <w:t>m</w:t>
            </w:r>
          </w:p>
        </w:tc>
      </w:tr>
      <w:tr w14:paraId="6205376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86" w:type="pct"/>
            <w:noWrap w:val="0"/>
            <w:vAlign w:val="center"/>
          </w:tcPr>
          <w:p w14:paraId="5F0245E0">
            <w:pPr>
              <w:pStyle w:val="27"/>
              <w:rPr>
                <w:rFonts w:ascii="Times New Roman" w:hAnsi="Times New Roman"/>
                <w:highlight w:val="none"/>
              </w:rPr>
            </w:pPr>
            <w:r>
              <w:rPr>
                <w:rFonts w:ascii="Times New Roman" w:hAnsi="Times New Roman"/>
                <w:highlight w:val="none"/>
              </w:rPr>
              <w:t>热效率</w:t>
            </w:r>
          </w:p>
        </w:tc>
        <w:tc>
          <w:tcPr>
            <w:tcW w:w="1974" w:type="pct"/>
            <w:noWrap w:val="0"/>
            <w:vAlign w:val="center"/>
          </w:tcPr>
          <w:p w14:paraId="034A2656">
            <w:pPr>
              <w:pStyle w:val="27"/>
              <w:rPr>
                <w:rFonts w:ascii="Times New Roman" w:hAnsi="Times New Roman"/>
                <w:highlight w:val="none"/>
              </w:rPr>
            </w:pPr>
            <w:r>
              <w:rPr>
                <w:rFonts w:ascii="Times New Roman" w:hAnsi="Times New Roman"/>
                <w:highlight w:val="none"/>
              </w:rPr>
              <w:t>低，一般为65%</w:t>
            </w:r>
          </w:p>
        </w:tc>
        <w:tc>
          <w:tcPr>
            <w:tcW w:w="2340" w:type="pct"/>
            <w:noWrap w:val="0"/>
            <w:vAlign w:val="center"/>
          </w:tcPr>
          <w:p w14:paraId="4533A2C7">
            <w:pPr>
              <w:pStyle w:val="27"/>
              <w:rPr>
                <w:rFonts w:ascii="Times New Roman" w:hAnsi="Times New Roman"/>
                <w:highlight w:val="none"/>
              </w:rPr>
            </w:pPr>
            <w:r>
              <w:rPr>
                <w:rFonts w:ascii="Times New Roman" w:hAnsi="Times New Roman"/>
                <w:highlight w:val="none"/>
              </w:rPr>
              <w:t>高，90%以上</w:t>
            </w:r>
          </w:p>
        </w:tc>
      </w:tr>
      <w:tr w14:paraId="7FA8DA6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86" w:type="pct"/>
            <w:noWrap w:val="0"/>
            <w:vAlign w:val="center"/>
          </w:tcPr>
          <w:p w14:paraId="2C7D2119">
            <w:pPr>
              <w:pStyle w:val="27"/>
              <w:rPr>
                <w:rFonts w:ascii="Times New Roman" w:hAnsi="Times New Roman"/>
                <w:highlight w:val="none"/>
              </w:rPr>
            </w:pPr>
            <w:r>
              <w:rPr>
                <w:rFonts w:ascii="Times New Roman" w:hAnsi="Times New Roman"/>
                <w:highlight w:val="none"/>
              </w:rPr>
              <w:t>脱硫除尘脱硝效率</w:t>
            </w:r>
          </w:p>
        </w:tc>
        <w:tc>
          <w:tcPr>
            <w:tcW w:w="1974" w:type="pct"/>
            <w:noWrap w:val="0"/>
            <w:vAlign w:val="center"/>
          </w:tcPr>
          <w:p w14:paraId="7D5CBF4A">
            <w:pPr>
              <w:pStyle w:val="27"/>
              <w:rPr>
                <w:rFonts w:ascii="Times New Roman" w:hAnsi="Times New Roman"/>
                <w:highlight w:val="none"/>
              </w:rPr>
            </w:pPr>
            <w:r>
              <w:rPr>
                <w:rFonts w:ascii="Times New Roman" w:hAnsi="Times New Roman"/>
                <w:highlight w:val="none"/>
              </w:rPr>
              <w:t>低，很多小锅炉房除尘效率低于70%，无脱硫脱硝设施</w:t>
            </w:r>
          </w:p>
        </w:tc>
        <w:tc>
          <w:tcPr>
            <w:tcW w:w="2340" w:type="pct"/>
            <w:noWrap w:val="0"/>
            <w:vAlign w:val="center"/>
          </w:tcPr>
          <w:p w14:paraId="1D452FE5">
            <w:pPr>
              <w:pStyle w:val="27"/>
              <w:rPr>
                <w:rFonts w:ascii="Times New Roman" w:hAnsi="Times New Roman"/>
                <w:highlight w:val="none"/>
              </w:rPr>
            </w:pPr>
            <w:r>
              <w:rPr>
                <w:rFonts w:ascii="Times New Roman" w:hAnsi="Times New Roman"/>
                <w:highlight w:val="none"/>
              </w:rPr>
              <w:t>高，除尘99.96%、脱硫97%、脱硝</w:t>
            </w:r>
            <w:r>
              <w:rPr>
                <w:rFonts w:hint="eastAsia" w:ascii="Times New Roman" w:hAnsi="Times New Roman"/>
                <w:highlight w:val="none"/>
              </w:rPr>
              <w:t>75</w:t>
            </w:r>
            <w:r>
              <w:rPr>
                <w:rFonts w:ascii="Times New Roman" w:hAnsi="Times New Roman"/>
                <w:highlight w:val="none"/>
              </w:rPr>
              <w:t>%</w:t>
            </w:r>
          </w:p>
        </w:tc>
      </w:tr>
    </w:tbl>
    <w:p w14:paraId="7D0A6CD9">
      <w:pPr>
        <w:ind w:firstLine="480"/>
        <w:rPr>
          <w:rFonts w:ascii="Times New Roman" w:hAnsi="Times New Roman"/>
          <w:highlight w:val="none"/>
        </w:rPr>
      </w:pPr>
      <w:r>
        <w:rPr>
          <w:rFonts w:ascii="Times New Roman" w:hAnsi="Times New Roman"/>
          <w:highlight w:val="none"/>
        </w:rPr>
        <w:t>通过本工程的建设，避免了区域各小型锅炉房供热，有利于保护该区域的环境空气质量，并且有利于污染物的集中控制与管理。</w:t>
      </w:r>
    </w:p>
    <w:p w14:paraId="3E4DC9DC">
      <w:pPr>
        <w:ind w:firstLine="480"/>
        <w:rPr>
          <w:rFonts w:ascii="Times New Roman" w:hAnsi="Times New Roman"/>
          <w:highlight w:val="none"/>
        </w:rPr>
      </w:pPr>
      <w:r>
        <w:rPr>
          <w:rFonts w:ascii="Times New Roman" w:hAnsi="Times New Roman"/>
          <w:highlight w:val="none"/>
        </w:rPr>
        <w:t>为了贯彻国家能源政策，以达到合理利用能源、节约能源的目的，本项设计中将采取下列节能措施：</w:t>
      </w:r>
    </w:p>
    <w:p w14:paraId="395F36F3">
      <w:pPr>
        <w:ind w:firstLine="480"/>
        <w:rPr>
          <w:rFonts w:ascii="Times New Roman" w:hAnsi="Times New Roman"/>
          <w:highlight w:val="none"/>
        </w:rPr>
      </w:pPr>
      <w:r>
        <w:rPr>
          <w:rFonts w:ascii="Times New Roman" w:hAnsi="Times New Roman"/>
          <w:highlight w:val="none"/>
        </w:rPr>
        <w:t>1）为了充分合理的利用能源，随着室外气温的变化不断调节供热介质的温度，使其达到合理的供热参数，在满足用户需求的情况下，尽可能降低成本，合理的利用能源，达到节能的目的。</w:t>
      </w:r>
    </w:p>
    <w:p w14:paraId="564A968F">
      <w:pPr>
        <w:ind w:firstLine="480"/>
        <w:rPr>
          <w:rFonts w:ascii="Times New Roman" w:hAnsi="Times New Roman"/>
          <w:highlight w:val="none"/>
        </w:rPr>
      </w:pPr>
      <w:r>
        <w:rPr>
          <w:rFonts w:ascii="Times New Roman" w:hAnsi="Times New Roman"/>
          <w:highlight w:val="none"/>
        </w:rPr>
        <w:t>2）热网采用计算机自动控制，可以精确地调节控制供热系统的运行参数，大大提高对热网系统的监控能力，节约能源。</w:t>
      </w:r>
    </w:p>
    <w:p w14:paraId="6DA0BC78">
      <w:pPr>
        <w:ind w:firstLine="480"/>
        <w:rPr>
          <w:rFonts w:ascii="Times New Roman" w:hAnsi="Times New Roman"/>
          <w:highlight w:val="none"/>
        </w:rPr>
      </w:pPr>
      <w:r>
        <w:rPr>
          <w:rFonts w:ascii="Times New Roman" w:hAnsi="Times New Roman"/>
          <w:highlight w:val="none"/>
        </w:rPr>
        <w:t>3）在设备选择方面，优先选用低耗高效率节能设备，补水泵、鼓风机、引风机、循环泵采用变频调速装置，降低能耗。变频调速装置是目前普遍采用的一种节能措施，它可以通过变频器调节水泵的转速，达到压力控制稳定，流量连续变化，这样即可以节约电耗，又可以减少频繁启动对设备的损耗，延长设备的使用寿命。</w:t>
      </w:r>
    </w:p>
    <w:p w14:paraId="660B3F6D">
      <w:pPr>
        <w:ind w:firstLine="480"/>
        <w:rPr>
          <w:rFonts w:ascii="Times New Roman" w:hAnsi="Times New Roman"/>
          <w:highlight w:val="none"/>
        </w:rPr>
      </w:pPr>
      <w:r>
        <w:rPr>
          <w:rFonts w:ascii="Times New Roman" w:hAnsi="Times New Roman"/>
          <w:highlight w:val="none"/>
        </w:rPr>
        <w:t>4）加强供热管道和热设备的保温，减少热损失，以便提高系统的热能利用率，保证供热管网热损失在5%以下。</w:t>
      </w:r>
    </w:p>
    <w:p w14:paraId="2DF30351">
      <w:pPr>
        <w:ind w:firstLine="480"/>
        <w:rPr>
          <w:rFonts w:ascii="Times New Roman" w:hAnsi="Times New Roman"/>
          <w:highlight w:val="none"/>
        </w:rPr>
      </w:pPr>
      <w:r>
        <w:rPr>
          <w:rFonts w:ascii="Times New Roman" w:hAnsi="Times New Roman"/>
          <w:highlight w:val="none"/>
        </w:rPr>
        <w:t>5）在锅炉房总图布置上力求紧凑，按工艺流程布置，减少输送距离，避免原材料在倒运中的能源消耗。</w:t>
      </w:r>
    </w:p>
    <w:p w14:paraId="2AB32184">
      <w:pPr>
        <w:ind w:firstLine="480"/>
        <w:rPr>
          <w:rFonts w:ascii="Times New Roman" w:hAnsi="Times New Roman"/>
          <w:highlight w:val="none"/>
        </w:rPr>
      </w:pPr>
      <w:r>
        <w:rPr>
          <w:rFonts w:ascii="Times New Roman" w:hAnsi="Times New Roman"/>
          <w:highlight w:val="none"/>
        </w:rPr>
        <w:t>6）建筑物的设计符合节能要求，采用节能墙体，减少建筑的热能损失。</w:t>
      </w:r>
    </w:p>
    <w:p w14:paraId="787E4C90">
      <w:pPr>
        <w:ind w:firstLine="480"/>
        <w:rPr>
          <w:rFonts w:ascii="Times New Roman" w:hAnsi="Times New Roman"/>
          <w:highlight w:val="none"/>
        </w:rPr>
      </w:pPr>
      <w:r>
        <w:rPr>
          <w:rFonts w:ascii="Times New Roman" w:hAnsi="Times New Roman"/>
          <w:highlight w:val="none"/>
        </w:rPr>
        <w:t>7）加强计量，锅炉供水和补水均设置计量仪表，进煤设地中衡，锅炉上煤加装电子皮带称，强化管理，节约能源。</w:t>
      </w:r>
    </w:p>
    <w:p w14:paraId="35BAD8BF">
      <w:pPr>
        <w:ind w:firstLine="480"/>
        <w:rPr>
          <w:rFonts w:ascii="Times New Roman" w:hAnsi="Times New Roman"/>
          <w:highlight w:val="none"/>
        </w:rPr>
      </w:pPr>
      <w:r>
        <w:rPr>
          <w:rFonts w:ascii="Times New Roman" w:hAnsi="Times New Roman"/>
          <w:highlight w:val="none"/>
        </w:rPr>
        <w:t>（2）节水</w:t>
      </w:r>
    </w:p>
    <w:p w14:paraId="3E77ECBB">
      <w:pPr>
        <w:ind w:firstLine="480"/>
        <w:rPr>
          <w:rFonts w:ascii="Times New Roman" w:hAnsi="Times New Roman"/>
          <w:highlight w:val="none"/>
        </w:rPr>
      </w:pPr>
      <w:r>
        <w:rPr>
          <w:rFonts w:ascii="Times New Roman" w:hAnsi="Times New Roman"/>
          <w:highlight w:val="none"/>
        </w:rPr>
        <w:t>与小锅炉供热相比，本工程节水效果较好。</w:t>
      </w:r>
    </w:p>
    <w:p w14:paraId="574D1899">
      <w:pPr>
        <w:ind w:firstLine="480"/>
        <w:rPr>
          <w:rFonts w:ascii="Times New Roman" w:hAnsi="Times New Roman"/>
          <w:highlight w:val="none"/>
        </w:rPr>
      </w:pPr>
      <w:r>
        <w:rPr>
          <w:rFonts w:ascii="Times New Roman" w:hAnsi="Times New Roman"/>
          <w:highlight w:val="none"/>
        </w:rPr>
        <w:t>（3）灰渣综合利用分析</w:t>
      </w:r>
    </w:p>
    <w:p w14:paraId="4C14D8BF">
      <w:pPr>
        <w:rPr>
          <w:rFonts w:ascii="Times New Roman" w:hAnsi="Times New Roman"/>
          <w:highlight w:val="none"/>
        </w:rPr>
      </w:pPr>
      <w:r>
        <w:rPr>
          <w:rFonts w:ascii="Times New Roman" w:hAnsi="Times New Roman"/>
          <w:highlight w:val="none"/>
        </w:rPr>
        <w:t>本工程灰渣全部综合利用，本工程除渣系统采用机械除渣。燃烬的灰渣由锅炉底部的出渣口排出，经灰浆泵运至沉渣室，沉淀后外运。灰渣利用率为100%，符合清洁生产的指导思想。</w:t>
      </w:r>
    </w:p>
    <w:p w14:paraId="44D2E7C5">
      <w:pPr>
        <w:pStyle w:val="5"/>
        <w:bidi w:val="0"/>
        <w:ind w:left="0" w:leftChars="0" w:firstLine="0" w:firstLineChars="0"/>
        <w:rPr>
          <w:rFonts w:hint="eastAsia"/>
          <w:sz w:val="30"/>
          <w:szCs w:val="30"/>
          <w:highlight w:val="none"/>
          <w:lang w:val="en-US" w:eastAsia="zh-CN"/>
        </w:rPr>
      </w:pPr>
      <w:bookmarkStart w:id="95" w:name="_Toc18814"/>
      <w:r>
        <w:rPr>
          <w:rFonts w:hint="eastAsia"/>
          <w:sz w:val="30"/>
          <w:szCs w:val="30"/>
          <w:highlight w:val="none"/>
          <w:lang w:val="en-US" w:eastAsia="zh-CN"/>
        </w:rPr>
        <w:t>3.5.3强化污染物的末端治理</w:t>
      </w:r>
      <w:bookmarkEnd w:id="95"/>
    </w:p>
    <w:p w14:paraId="500E7D73">
      <w:pPr>
        <w:ind w:firstLine="480"/>
        <w:rPr>
          <w:rFonts w:ascii="Times New Roman" w:hAnsi="Times New Roman"/>
          <w:highlight w:val="none"/>
        </w:rPr>
      </w:pPr>
      <w:r>
        <w:rPr>
          <w:rFonts w:ascii="Times New Roman" w:hAnsi="Times New Roman"/>
          <w:highlight w:val="none"/>
        </w:rPr>
        <w:t>本工程虽然在工艺设计中采用了先进的生产工艺及节能措施，但仍然有部分污染物排放。因此污染物的末端治理是清洁生产的必要途径。</w:t>
      </w:r>
    </w:p>
    <w:p w14:paraId="421E0CF4">
      <w:pPr>
        <w:ind w:firstLine="480"/>
        <w:rPr>
          <w:rFonts w:ascii="Times New Roman" w:hAnsi="Times New Roman"/>
          <w:highlight w:val="none"/>
        </w:rPr>
      </w:pPr>
      <w:r>
        <w:rPr>
          <w:rFonts w:ascii="Times New Roman" w:hAnsi="Times New Roman"/>
          <w:highlight w:val="none"/>
        </w:rPr>
        <w:t>（1）本工程主要污染源为锅炉排放的烟气，锅炉烟气经处理后新建一座高</w:t>
      </w:r>
      <w:r>
        <w:rPr>
          <w:rFonts w:hint="eastAsia" w:ascii="Times New Roman" w:hAnsi="Times New Roman"/>
          <w:highlight w:val="none"/>
          <w:lang w:val="en-US" w:eastAsia="zh-CN"/>
        </w:rPr>
        <w:t>60</w:t>
      </w:r>
      <w:r>
        <w:rPr>
          <w:rFonts w:ascii="Times New Roman" w:hAnsi="Times New Roman"/>
          <w:highlight w:val="none"/>
        </w:rPr>
        <w:t>m，内径</w:t>
      </w:r>
      <w:r>
        <w:rPr>
          <w:rFonts w:hint="eastAsia" w:ascii="Times New Roman" w:hAnsi="Times New Roman"/>
          <w:highlight w:val="none"/>
          <w:lang w:val="en-US" w:eastAsia="zh-CN"/>
        </w:rPr>
        <w:t>4</w:t>
      </w:r>
      <w:r>
        <w:rPr>
          <w:rFonts w:ascii="Times New Roman" w:hAnsi="Times New Roman"/>
          <w:highlight w:val="none"/>
        </w:rPr>
        <w:t>m的烟囱排放至大气中。脱硫方式采用石灰石/石膏法脱硫，脱硫效率97%以上；除尘采用布袋除尘系统，除尘效率99.96%以上；脱硝措施采用循环流化床低氮燃烧技术+SNCR-SCR法脱硝（脱硝效率75%）</w:t>
      </w:r>
      <w:r>
        <w:rPr>
          <w:rFonts w:hint="eastAsia" w:ascii="Times New Roman" w:hAnsi="Times New Roman"/>
          <w:highlight w:val="none"/>
        </w:rPr>
        <w:t>，本项目采取的烟气除尘、脱硫和脱氮系统对汞及其化合物产生协同脱除效率可达70%以上</w:t>
      </w:r>
      <w:r>
        <w:rPr>
          <w:rFonts w:ascii="Times New Roman" w:hAnsi="Times New Roman"/>
          <w:highlight w:val="none"/>
        </w:rPr>
        <w:t>。</w:t>
      </w:r>
    </w:p>
    <w:p w14:paraId="76941C48">
      <w:pPr>
        <w:ind w:firstLine="480"/>
        <w:rPr>
          <w:rFonts w:ascii="Times New Roman" w:hAnsi="Times New Roman"/>
          <w:highlight w:val="none"/>
        </w:rPr>
      </w:pPr>
      <w:r>
        <w:rPr>
          <w:rFonts w:ascii="Times New Roman" w:hAnsi="Times New Roman"/>
          <w:highlight w:val="none"/>
        </w:rPr>
        <w:t>（2）各类设备噪声和排气噪声均得到有效控制，治理措施得当，从而使得厂界噪声符合《工业企业厂界环境噪声排放标准》（GB12348-2008）中的</w:t>
      </w:r>
      <w:r>
        <w:rPr>
          <w:rFonts w:hint="eastAsia" w:ascii="Times New Roman" w:hAnsi="Times New Roman"/>
          <w:highlight w:val="none"/>
          <w:lang w:val="en-US" w:eastAsia="zh-CN"/>
        </w:rPr>
        <w:t>2</w:t>
      </w:r>
      <w:r>
        <w:rPr>
          <w:rFonts w:ascii="Times New Roman" w:hAnsi="Times New Roman"/>
          <w:highlight w:val="none"/>
        </w:rPr>
        <w:t>类</w:t>
      </w:r>
      <w:r>
        <w:rPr>
          <w:rFonts w:hint="eastAsia" w:ascii="Times New Roman" w:hAnsi="Times New Roman"/>
          <w:highlight w:val="none"/>
          <w:lang w:val="en-US" w:eastAsia="zh-CN"/>
        </w:rPr>
        <w:t>和4类</w:t>
      </w:r>
      <w:r>
        <w:rPr>
          <w:rFonts w:ascii="Times New Roman" w:hAnsi="Times New Roman"/>
          <w:highlight w:val="none"/>
        </w:rPr>
        <w:t>标准。</w:t>
      </w:r>
    </w:p>
    <w:p w14:paraId="5D5E6492">
      <w:pPr>
        <w:ind w:firstLine="480"/>
        <w:rPr>
          <w:rFonts w:ascii="Times New Roman" w:hAnsi="Times New Roman"/>
          <w:highlight w:val="none"/>
        </w:rPr>
      </w:pPr>
      <w:r>
        <w:rPr>
          <w:rFonts w:ascii="Times New Roman" w:hAnsi="Times New Roman"/>
          <w:highlight w:val="none"/>
        </w:rPr>
        <w:t>（3）本工程生产固废主要为灰渣、</w:t>
      </w:r>
      <w:r>
        <w:rPr>
          <w:rFonts w:hint="eastAsia" w:ascii="Times New Roman" w:hAnsi="Times New Roman"/>
          <w:highlight w:val="none"/>
        </w:rPr>
        <w:t>脱硫石膏</w:t>
      </w:r>
      <w:r>
        <w:rPr>
          <w:rFonts w:ascii="Times New Roman" w:hAnsi="Times New Roman"/>
          <w:highlight w:val="none"/>
        </w:rPr>
        <w:t>、尿素包装袋全部外售综合利用，生活垃圾由市政环卫部门统一处理；餐厨垃圾及废油脂交有资质处置</w:t>
      </w:r>
      <w:r>
        <w:rPr>
          <w:rFonts w:hint="eastAsia" w:ascii="Times New Roman" w:hAnsi="Times New Roman"/>
          <w:highlight w:val="none"/>
          <w:lang w:eastAsia="zh-CN"/>
        </w:rPr>
        <w:t>；</w:t>
      </w:r>
      <w:r>
        <w:rPr>
          <w:rFonts w:ascii="Times New Roman" w:hAnsi="Times New Roman"/>
          <w:highlight w:val="none"/>
        </w:rPr>
        <w:t>废离子交换树脂</w:t>
      </w:r>
      <w:r>
        <w:rPr>
          <w:rFonts w:ascii="Times New Roman" w:hAnsi="Times New Roman"/>
          <w:color w:val="auto"/>
          <w:highlight w:val="none"/>
        </w:rPr>
        <w:t>交由厂家回收处理</w:t>
      </w:r>
      <w:r>
        <w:rPr>
          <w:rFonts w:hint="eastAsia" w:ascii="Times New Roman" w:hAnsi="Times New Roman"/>
          <w:color w:val="auto"/>
          <w:highlight w:val="none"/>
          <w:lang w:eastAsia="zh-CN"/>
        </w:rPr>
        <w:t>；</w:t>
      </w:r>
      <w:r>
        <w:rPr>
          <w:rFonts w:ascii="Times New Roman" w:hAnsi="Times New Roman"/>
          <w:highlight w:val="none"/>
        </w:rPr>
        <w:t>废催化剂</w:t>
      </w:r>
      <w:r>
        <w:rPr>
          <w:rFonts w:hint="eastAsia" w:ascii="Times New Roman" w:hAnsi="Times New Roman"/>
          <w:highlight w:val="none"/>
          <w:lang w:val="en-US" w:eastAsia="zh-CN"/>
        </w:rPr>
        <w:t>和废机油</w:t>
      </w:r>
      <w:r>
        <w:rPr>
          <w:rFonts w:ascii="Times New Roman" w:hAnsi="Times New Roman"/>
          <w:highlight w:val="none"/>
        </w:rPr>
        <w:t>交有资质单位处置；本项目运行期间产生的固体废物处置得当，综合利用率达100%。</w:t>
      </w:r>
    </w:p>
    <w:p w14:paraId="6FDE898C">
      <w:pPr>
        <w:rPr>
          <w:rFonts w:ascii="Times New Roman" w:hAnsi="Times New Roman"/>
          <w:highlight w:val="none"/>
        </w:rPr>
      </w:pPr>
      <w:r>
        <w:rPr>
          <w:rFonts w:ascii="Times New Roman" w:hAnsi="Times New Roman"/>
          <w:highlight w:val="none"/>
        </w:rPr>
        <w:t>综上所述，通过对生产过程严格把关，加强污染物末端治理和环境管理，节约了能源消耗，不同程度地降低或避免了工程对环境产生的不利影响。</w:t>
      </w:r>
    </w:p>
    <w:p w14:paraId="6250F635">
      <w:pPr>
        <w:pStyle w:val="5"/>
        <w:bidi w:val="0"/>
        <w:ind w:left="0" w:leftChars="0" w:firstLine="0" w:firstLineChars="0"/>
        <w:rPr>
          <w:rFonts w:hint="eastAsia"/>
          <w:sz w:val="30"/>
          <w:szCs w:val="30"/>
          <w:highlight w:val="none"/>
          <w:lang w:val="en-US" w:eastAsia="zh-CN"/>
        </w:rPr>
      </w:pPr>
      <w:bookmarkStart w:id="96" w:name="_Toc17900"/>
      <w:r>
        <w:rPr>
          <w:rFonts w:hint="default" w:ascii="Times New Roman" w:hAnsi="Times New Roman" w:cs="Times New Roman"/>
          <w:sz w:val="30"/>
          <w:szCs w:val="30"/>
          <w:highlight w:val="none"/>
          <w:lang w:val="en-US" w:eastAsia="zh-CN"/>
        </w:rPr>
        <w:t>3.5.4</w:t>
      </w:r>
      <w:r>
        <w:rPr>
          <w:rFonts w:hint="eastAsia"/>
          <w:sz w:val="30"/>
          <w:szCs w:val="30"/>
          <w:highlight w:val="none"/>
          <w:lang w:val="en-US" w:eastAsia="zh-CN"/>
        </w:rPr>
        <w:t>产品指标</w:t>
      </w:r>
      <w:bookmarkEnd w:id="96"/>
    </w:p>
    <w:p w14:paraId="01075F68">
      <w:pPr>
        <w:ind w:firstLine="480"/>
        <w:rPr>
          <w:rFonts w:ascii="Times New Roman" w:hAnsi="Times New Roman"/>
          <w:highlight w:val="none"/>
        </w:rPr>
      </w:pPr>
      <w:r>
        <w:rPr>
          <w:rFonts w:ascii="Times New Roman" w:hAnsi="Times New Roman"/>
          <w:highlight w:val="none"/>
        </w:rPr>
        <w:t>清洁生产不但要求生产中选用清洁的原料、清洁的生产工艺，而且还要求产品在使用过程中以及使用后不会对人体健康和生态环境造成影响。</w:t>
      </w:r>
    </w:p>
    <w:p w14:paraId="56759B21">
      <w:pPr>
        <w:rPr>
          <w:rFonts w:ascii="Times New Roman" w:hAnsi="Times New Roman"/>
          <w:highlight w:val="none"/>
        </w:rPr>
      </w:pPr>
      <w:r>
        <w:rPr>
          <w:rFonts w:ascii="Times New Roman" w:hAnsi="Times New Roman"/>
          <w:highlight w:val="none"/>
        </w:rPr>
        <w:t>本项目的产品——热是优质、高效、可靠、清洁的二次能源，使用过程中不会对环境造成污染。所以，本项目从能源的使用开始，直至产品的应用，实施了清洁生产技术和措施，最大限度地减少了技术和产品的环境风险。</w:t>
      </w:r>
    </w:p>
    <w:p w14:paraId="1A3874DF">
      <w:pPr>
        <w:pStyle w:val="5"/>
        <w:bidi w:val="0"/>
        <w:ind w:left="0" w:leftChars="0" w:firstLine="0" w:firstLineChars="0"/>
        <w:rPr>
          <w:rFonts w:hint="eastAsia"/>
          <w:sz w:val="30"/>
          <w:szCs w:val="30"/>
          <w:highlight w:val="none"/>
          <w:lang w:val="en-US" w:eastAsia="zh-CN"/>
        </w:rPr>
      </w:pPr>
      <w:bookmarkStart w:id="97" w:name="_Toc11468"/>
      <w:r>
        <w:rPr>
          <w:rFonts w:hint="default" w:ascii="Times New Roman" w:hAnsi="Times New Roman" w:cs="Times New Roman"/>
          <w:sz w:val="30"/>
          <w:szCs w:val="30"/>
          <w:highlight w:val="none"/>
          <w:lang w:val="en-US" w:eastAsia="zh-CN"/>
        </w:rPr>
        <w:t>3.5.5</w:t>
      </w:r>
      <w:r>
        <w:rPr>
          <w:rFonts w:hint="eastAsia"/>
          <w:sz w:val="30"/>
          <w:szCs w:val="30"/>
          <w:highlight w:val="none"/>
          <w:lang w:val="en-US" w:eastAsia="zh-CN"/>
        </w:rPr>
        <w:t>废物回收利用指标</w:t>
      </w:r>
      <w:bookmarkEnd w:id="97"/>
    </w:p>
    <w:p w14:paraId="6FC564CC">
      <w:pPr>
        <w:rPr>
          <w:rFonts w:ascii="Times New Roman" w:hAnsi="Times New Roman"/>
          <w:color w:val="auto"/>
          <w:highlight w:val="none"/>
        </w:rPr>
      </w:pPr>
      <w:r>
        <w:rPr>
          <w:rFonts w:ascii="Times New Roman" w:hAnsi="Times New Roman"/>
          <w:color w:val="auto"/>
          <w:highlight w:val="none"/>
        </w:rPr>
        <w:t>本项目灰渣及脱硫石膏全部综合利用；废催化剂</w:t>
      </w:r>
      <w:r>
        <w:rPr>
          <w:rFonts w:hint="eastAsia" w:ascii="Times New Roman" w:hAnsi="Times New Roman"/>
          <w:color w:val="auto"/>
          <w:highlight w:val="none"/>
          <w:lang w:val="en-US" w:eastAsia="zh-CN"/>
        </w:rPr>
        <w:t>和废机油</w:t>
      </w:r>
      <w:r>
        <w:rPr>
          <w:rFonts w:ascii="Times New Roman" w:hAnsi="Times New Roman"/>
          <w:color w:val="auto"/>
          <w:highlight w:val="none"/>
        </w:rPr>
        <w:t>委托有资质单位处置；生活垃圾交市政部门处理；</w:t>
      </w:r>
      <w:r>
        <w:rPr>
          <w:rFonts w:ascii="Times New Roman" w:hAnsi="Times New Roman"/>
          <w:highlight w:val="none"/>
        </w:rPr>
        <w:t>餐厨垃圾及废油脂交有资质处置</w:t>
      </w:r>
      <w:r>
        <w:rPr>
          <w:rFonts w:hint="eastAsia" w:ascii="Times New Roman" w:hAnsi="Times New Roman"/>
          <w:highlight w:val="none"/>
          <w:lang w:eastAsia="zh-CN"/>
        </w:rPr>
        <w:t>；</w:t>
      </w:r>
      <w:r>
        <w:rPr>
          <w:rFonts w:ascii="Times New Roman" w:hAnsi="Times New Roman"/>
          <w:color w:val="auto"/>
          <w:highlight w:val="none"/>
        </w:rPr>
        <w:t>废离子交换树脂交由厂家回收处理。</w:t>
      </w:r>
    </w:p>
    <w:p w14:paraId="39AC354B">
      <w:pPr>
        <w:pStyle w:val="5"/>
        <w:bidi w:val="0"/>
        <w:ind w:left="0" w:leftChars="0" w:firstLine="0" w:firstLineChars="0"/>
        <w:rPr>
          <w:rFonts w:hint="eastAsia" w:ascii="Times New Roman" w:hAnsi="Times New Roman" w:cs="Times New Roman"/>
          <w:sz w:val="30"/>
          <w:szCs w:val="30"/>
          <w:highlight w:val="none"/>
          <w:lang w:val="en-US" w:eastAsia="zh-CN"/>
        </w:rPr>
      </w:pPr>
      <w:bookmarkStart w:id="98" w:name="_Toc13022"/>
      <w:r>
        <w:rPr>
          <w:rFonts w:hint="eastAsia" w:ascii="Times New Roman" w:hAnsi="Times New Roman" w:cs="Times New Roman"/>
          <w:sz w:val="30"/>
          <w:szCs w:val="30"/>
          <w:highlight w:val="none"/>
          <w:lang w:val="en-US" w:eastAsia="zh-CN"/>
        </w:rPr>
        <w:t>3.5.6环境管理要求</w:t>
      </w:r>
      <w:bookmarkEnd w:id="98"/>
    </w:p>
    <w:p w14:paraId="0F3306F8">
      <w:pPr>
        <w:rPr>
          <w:rFonts w:hint="eastAsia"/>
          <w:color w:val="auto"/>
          <w:highlight w:val="none"/>
        </w:rPr>
      </w:pPr>
      <w:r>
        <w:rPr>
          <w:rFonts w:hint="eastAsia"/>
          <w:color w:val="auto"/>
          <w:highlight w:val="none"/>
        </w:rPr>
        <w:t>本项目投产后，将建立一整套完善的现场运行、维护和管理的规章制度，并严格执行；重视对除尘器运行、维修人员的培训，并使之制度化；除尘器的重要部件都建立完整的技术档案，严格检修周期，修必修好，勤维护保证设备的使用的条件，做好易损部件的备品备件工作；加强源头控制、全过程管理，建立健全原材料质检制度和原材料消耗定额管理制度，并建立能耗、水耗考核制度。</w:t>
      </w:r>
    </w:p>
    <w:p w14:paraId="34722E12">
      <w:pPr>
        <w:pStyle w:val="5"/>
        <w:bidi w:val="0"/>
        <w:ind w:left="0" w:leftChars="0" w:firstLine="0" w:firstLineChars="0"/>
        <w:rPr>
          <w:rFonts w:hint="eastAsia" w:ascii="Times New Roman" w:hAnsi="Times New Roman" w:cs="Times New Roman"/>
          <w:sz w:val="30"/>
          <w:szCs w:val="30"/>
          <w:highlight w:val="none"/>
          <w:lang w:val="en-US" w:eastAsia="zh-CN"/>
        </w:rPr>
      </w:pPr>
      <w:bookmarkStart w:id="99" w:name="_Toc17154"/>
      <w:r>
        <w:rPr>
          <w:rFonts w:hint="eastAsia" w:ascii="Times New Roman" w:hAnsi="Times New Roman" w:cs="Times New Roman"/>
          <w:sz w:val="30"/>
          <w:szCs w:val="30"/>
          <w:highlight w:val="none"/>
          <w:lang w:val="en-US" w:eastAsia="zh-CN"/>
        </w:rPr>
        <w:t>3.5.7结论</w:t>
      </w:r>
      <w:bookmarkEnd w:id="99"/>
    </w:p>
    <w:p w14:paraId="71571FC2">
      <w:pPr>
        <w:rPr>
          <w:rFonts w:ascii="Times New Roman" w:hAnsi="Times New Roman"/>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highlight w:val="none"/>
        </w:rPr>
        <w:t>从以上分析可知，本工程在设计中采取了一系列节能、节水措施，同时，本工程产生的灰渣也均采取了有效的综合利用措施，达到了国内先进生产水平，项目建设符合清洁生产的指导思想。</w:t>
      </w:r>
    </w:p>
    <w:p w14:paraId="0A75FF49">
      <w:pPr>
        <w:pStyle w:val="3"/>
        <w:bidi w:val="0"/>
        <w:rPr>
          <w:rFonts w:hint="eastAsia"/>
          <w:highlight w:val="none"/>
          <w:lang w:val="en-US" w:eastAsia="zh-CN"/>
        </w:rPr>
      </w:pPr>
      <w:bookmarkStart w:id="100" w:name="_Toc29751"/>
      <w:r>
        <w:rPr>
          <w:rFonts w:hint="eastAsia"/>
          <w:highlight w:val="none"/>
          <w:lang w:val="en-US" w:eastAsia="zh-CN"/>
        </w:rPr>
        <w:t>4环境现状调查与评价</w:t>
      </w:r>
      <w:bookmarkEnd w:id="100"/>
    </w:p>
    <w:p w14:paraId="267910A2">
      <w:pPr>
        <w:pStyle w:val="4"/>
        <w:bidi w:val="0"/>
        <w:ind w:left="0" w:leftChars="0" w:firstLine="0" w:firstLineChars="0"/>
        <w:rPr>
          <w:rFonts w:hint="eastAsia"/>
          <w:highlight w:val="none"/>
          <w:lang w:val="en-US" w:eastAsia="zh-CN"/>
        </w:rPr>
      </w:pPr>
      <w:bookmarkStart w:id="101" w:name="_Toc8615"/>
      <w:r>
        <w:rPr>
          <w:rFonts w:hint="default" w:ascii="Times New Roman" w:hAnsi="Times New Roman" w:cs="Times New Roman"/>
          <w:highlight w:val="none"/>
          <w:lang w:val="en-US" w:eastAsia="zh-CN"/>
        </w:rPr>
        <w:t>4.1</w:t>
      </w:r>
      <w:r>
        <w:rPr>
          <w:rFonts w:hint="eastAsia"/>
          <w:highlight w:val="none"/>
          <w:lang w:val="en-US" w:eastAsia="zh-CN"/>
        </w:rPr>
        <w:t>自然环境概括</w:t>
      </w:r>
      <w:bookmarkEnd w:id="101"/>
    </w:p>
    <w:p w14:paraId="4AD2ED16">
      <w:pPr>
        <w:pStyle w:val="5"/>
        <w:bidi w:val="0"/>
        <w:ind w:left="0" w:leftChars="0" w:firstLine="0" w:firstLineChars="0"/>
        <w:rPr>
          <w:rFonts w:hint="eastAsia"/>
          <w:sz w:val="30"/>
          <w:szCs w:val="30"/>
          <w:highlight w:val="none"/>
          <w:lang w:val="en-US" w:eastAsia="zh-CN"/>
        </w:rPr>
      </w:pPr>
      <w:bookmarkStart w:id="102" w:name="_Toc25693"/>
      <w:r>
        <w:rPr>
          <w:rFonts w:hint="default" w:ascii="Times New Roman" w:hAnsi="Times New Roman" w:cs="Times New Roman"/>
          <w:sz w:val="30"/>
          <w:szCs w:val="30"/>
          <w:highlight w:val="none"/>
          <w:lang w:val="en-US" w:eastAsia="zh-CN"/>
        </w:rPr>
        <w:t>4.1.1</w:t>
      </w:r>
      <w:r>
        <w:rPr>
          <w:rFonts w:hint="eastAsia"/>
          <w:sz w:val="30"/>
          <w:szCs w:val="30"/>
          <w:highlight w:val="none"/>
          <w:lang w:val="en-US" w:eastAsia="zh-CN"/>
        </w:rPr>
        <w:t>地理位置</w:t>
      </w:r>
      <w:bookmarkEnd w:id="102"/>
    </w:p>
    <w:p w14:paraId="3B80AB01">
      <w:pPr>
        <w:rPr>
          <w:rFonts w:hint="default"/>
          <w:highlight w:val="none"/>
          <w:lang w:val="en-US" w:eastAsia="zh-CN"/>
        </w:rPr>
      </w:pPr>
      <w:r>
        <w:rPr>
          <w:rFonts w:hint="default" w:ascii="Times New Roman" w:hAnsi="Times New Roman" w:cs="Times New Roman"/>
          <w:color w:val="auto"/>
          <w:sz w:val="24"/>
          <w:szCs w:val="24"/>
          <w:highlight w:val="none"/>
        </w:rPr>
        <w:t>绥芬河</w:t>
      </w:r>
      <w:r>
        <w:rPr>
          <w:rFonts w:hint="default" w:ascii="Times New Roman" w:hAnsi="Times New Roman" w:cs="Times New Roman"/>
          <w:color w:val="auto"/>
          <w:sz w:val="24"/>
          <w:szCs w:val="24"/>
          <w:highlight w:val="none"/>
          <w:lang w:val="en-US" w:eastAsia="zh-CN"/>
        </w:rPr>
        <w:t>市</w:t>
      </w:r>
      <w:r>
        <w:rPr>
          <w:rFonts w:hint="default" w:ascii="Times New Roman" w:hAnsi="Times New Roman" w:cs="Times New Roman"/>
          <w:color w:val="auto"/>
          <w:sz w:val="24"/>
          <w:szCs w:val="24"/>
          <w:highlight w:val="none"/>
        </w:rPr>
        <w:t>隶属于</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"https://baike.so.com/doc/5574741-5789159.html" \t "_blank"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黑龙江省</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牡丹江市</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地理坐标东经130°57′至131°13′，北纬44°18′至44°32′，南、西、北三面与东宁县相接，东侧与俄罗斯滨海边疆区接壤。</w:t>
      </w:r>
    </w:p>
    <w:p w14:paraId="7EB49FB6">
      <w:pPr>
        <w:bidi w:val="0"/>
        <w:rPr>
          <w:rFonts w:hint="eastAsia"/>
          <w:highlight w:val="none"/>
          <w:lang w:val="en-US" w:eastAsia="zh-CN"/>
        </w:rPr>
      </w:pPr>
      <w:r>
        <w:rPr>
          <w:rFonts w:hint="eastAsia"/>
          <w:highlight w:val="none"/>
          <w:lang w:val="en-US" w:eastAsia="zh-CN"/>
        </w:rPr>
        <w:t>项目地理位置见下图。</w:t>
      </w:r>
    </w:p>
    <w:p w14:paraId="3CC33B65">
      <w:pPr>
        <w:pStyle w:val="23"/>
        <w:ind w:left="0" w:leftChars="0" w:firstLine="0" w:firstLineChars="0"/>
        <w:rPr>
          <w:rFonts w:hint="default"/>
          <w:highlight w:val="none"/>
          <w:lang w:val="en-US" w:eastAsia="zh-CN"/>
        </w:rPr>
      </w:pPr>
      <w:r>
        <w:rPr>
          <w:sz w:val="24"/>
          <w:highlight w:val="none"/>
        </w:rPr>
        <mc:AlternateContent>
          <mc:Choice Requires="wps">
            <w:drawing>
              <wp:anchor distT="0" distB="0" distL="114300" distR="114300" simplePos="0" relativeHeight="251682816" behindDoc="0" locked="0" layoutInCell="1" allowOverlap="1">
                <wp:simplePos x="0" y="0"/>
                <wp:positionH relativeFrom="column">
                  <wp:posOffset>2637790</wp:posOffset>
                </wp:positionH>
                <wp:positionV relativeFrom="paragraph">
                  <wp:posOffset>1473200</wp:posOffset>
                </wp:positionV>
                <wp:extent cx="1054100" cy="623570"/>
                <wp:effectExtent l="6350" t="6350" r="6350" b="551180"/>
                <wp:wrapNone/>
                <wp:docPr id="40" name="矩形标注 40"/>
                <wp:cNvGraphicFramePr/>
                <a:graphic xmlns:a="http://schemas.openxmlformats.org/drawingml/2006/main">
                  <a:graphicData uri="http://schemas.microsoft.com/office/word/2010/wordprocessingShape">
                    <wps:wsp>
                      <wps:cNvSpPr/>
                      <wps:spPr>
                        <a:xfrm>
                          <a:off x="3927475" y="6101080"/>
                          <a:ext cx="1054100" cy="623570"/>
                        </a:xfrm>
                        <a:prstGeom prst="wedgeRectCallout">
                          <a:avLst>
                            <a:gd name="adj1" fmla="val -31062"/>
                            <a:gd name="adj2" fmla="val 133604"/>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7A40A968">
                            <w:pPr>
                              <w:ind w:left="0" w:leftChars="0" w:firstLine="0" w:firstLineChars="0"/>
                              <w:jc w:val="both"/>
                              <w:rPr>
                                <w:rFonts w:hint="default"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07.7pt;margin-top:116pt;height:49.1pt;width:83pt;z-index:251682816;v-text-anchor:middle;mso-width-relative:page;mso-height-relative:page;" filled="f" stroked="t" coordsize="21600,21600" o:gfxdata="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NSZf4LXAAAACwEA&#10;AA8AAAAAAAAAAQAgAAAAIgAAAGRycy9kb3ducmV2LnhtbFBLAQIUABQAAAAIAIdO4kBmFfTwxgIA&#10;AGsFAAAOAAAAAAAAAAEAIAAAACYBAABkcnMvZTJvRG9jLnhtbFBLBQYAAAAABgAGAFkBAABeBgAA&#10;AAA=&#10;" adj="4091,39658">
                <v:fill on="f" focussize="0,0"/>
                <v:stroke weight="1pt" color="#2E54A1 [2404]" miterlimit="8" joinstyle="miter"/>
                <v:imagedata o:title=""/>
                <o:lock v:ext="edit" aspectratio="f"/>
                <v:textbox>
                  <w:txbxContent>
                    <w:p w14:paraId="7A40A968">
                      <w:pPr>
                        <w:ind w:left="0" w:leftChars="0" w:firstLine="0" w:firstLineChars="0"/>
                        <w:jc w:val="both"/>
                        <w:rPr>
                          <w:rFonts w:hint="default" w:eastAsia="宋体"/>
                          <w:lang w:val="en-US" w:eastAsia="zh-CN"/>
                        </w:rPr>
                      </w:pPr>
                      <w:r>
                        <w:rPr>
                          <w:rFonts w:hint="eastAsia"/>
                          <w:lang w:val="en-US" w:eastAsia="zh-CN"/>
                        </w:rPr>
                        <w:t>本项目位置</w:t>
                      </w:r>
                    </w:p>
                  </w:txbxContent>
                </v:textbox>
              </v:shape>
            </w:pict>
          </mc:Fallback>
        </mc:AlternateContent>
      </w:r>
      <w:r>
        <w:rPr>
          <w:sz w:val="24"/>
          <w:highlight w:val="none"/>
        </w:rPr>
        <mc:AlternateContent>
          <mc:Choice Requires="wps">
            <w:drawing>
              <wp:anchor distT="0" distB="0" distL="114300" distR="114300" simplePos="0" relativeHeight="251681792" behindDoc="0" locked="0" layoutInCell="1" allowOverlap="1">
                <wp:simplePos x="0" y="0"/>
                <wp:positionH relativeFrom="column">
                  <wp:posOffset>4438650</wp:posOffset>
                </wp:positionH>
                <wp:positionV relativeFrom="paragraph">
                  <wp:posOffset>53340</wp:posOffset>
                </wp:positionV>
                <wp:extent cx="831215" cy="1030605"/>
                <wp:effectExtent l="5080" t="4445" r="20955" b="12700"/>
                <wp:wrapNone/>
                <wp:docPr id="37" name="文本框 37"/>
                <wp:cNvGraphicFramePr/>
                <a:graphic xmlns:a="http://schemas.openxmlformats.org/drawingml/2006/main">
                  <a:graphicData uri="http://schemas.microsoft.com/office/word/2010/wordprocessingShape">
                    <wps:wsp>
                      <wps:cNvSpPr txBox="1"/>
                      <wps:spPr>
                        <a:xfrm>
                          <a:off x="5486400" y="3884295"/>
                          <a:ext cx="831215" cy="10306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D5A6E2B">
                            <w:pPr>
                              <w:ind w:left="0" w:leftChars="0" w:firstLine="0" w:firstLineChars="0"/>
                              <w:rPr>
                                <w:rFonts w:hint="eastAsia" w:eastAsia="宋体"/>
                                <w:lang w:eastAsia="zh-CN"/>
                              </w:rPr>
                            </w:pPr>
                            <w:r>
                              <w:rPr>
                                <w:rFonts w:hint="eastAsia" w:eastAsia="宋体"/>
                                <w:lang w:eastAsia="zh-CN"/>
                              </w:rPr>
                              <w:drawing>
                                <wp:inline distT="0" distB="0" distL="114300" distR="114300">
                                  <wp:extent cx="737870" cy="938530"/>
                                  <wp:effectExtent l="0" t="0" r="5080" b="13970"/>
                                  <wp:docPr id="39" name="图片 39" descr="21cc9d45970804bc4638252295c6d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1cc9d45970804bc4638252295c6dc6"/>
                                          <pic:cNvPicPr>
                                            <a:picLocks noChangeAspect="1"/>
                                          </pic:cNvPicPr>
                                        </pic:nvPicPr>
                                        <pic:blipFill>
                                          <a:blip r:embed="rId33"/>
                                          <a:stretch>
                                            <a:fillRect/>
                                          </a:stretch>
                                        </pic:blipFill>
                                        <pic:spPr>
                                          <a:xfrm>
                                            <a:off x="0" y="0"/>
                                            <a:ext cx="737870" cy="9385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9.5pt;margin-top:4.2pt;height:81.15pt;width:65.45pt;z-index:251681792;mso-width-relative:page;mso-height-relative:page;" fillcolor="#FFFFFF [3201]" filled="t" stroked="t" coordsize="21600,21600" o:gfxdata="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Cy8/g/WAAAACQEAAA8AAAAAAAAAAQAgAAAAIgAAAGRycy9kb3ducmV2LnhtbFBLAQIU&#10;ABQAAAAIAIdO4kBbVYdKZwIAAMUEAAAOAAAAAAAAAAEAIAAAACUBAABkcnMvZTJvRG9jLnhtbFBL&#10;BQYAAAAABgAGAFkBAAD+BQAAAAA=&#10;">
                <v:fill on="t" focussize="0,0"/>
                <v:stroke weight="0.5pt" color="#000000 [3204]" joinstyle="round"/>
                <v:imagedata o:title=""/>
                <o:lock v:ext="edit" aspectratio="f"/>
                <v:textbox>
                  <w:txbxContent>
                    <w:p w14:paraId="2D5A6E2B">
                      <w:pPr>
                        <w:ind w:left="0" w:leftChars="0" w:firstLine="0" w:firstLineChars="0"/>
                        <w:rPr>
                          <w:rFonts w:hint="eastAsia" w:eastAsia="宋体"/>
                          <w:lang w:eastAsia="zh-CN"/>
                        </w:rPr>
                      </w:pPr>
                      <w:r>
                        <w:rPr>
                          <w:rFonts w:hint="eastAsia" w:eastAsia="宋体"/>
                          <w:lang w:eastAsia="zh-CN"/>
                        </w:rPr>
                        <w:drawing>
                          <wp:inline distT="0" distB="0" distL="114300" distR="114300">
                            <wp:extent cx="737870" cy="938530"/>
                            <wp:effectExtent l="0" t="0" r="5080" b="13970"/>
                            <wp:docPr id="39" name="图片 39" descr="21cc9d45970804bc4638252295c6d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1cc9d45970804bc4638252295c6dc6"/>
                                    <pic:cNvPicPr>
                                      <a:picLocks noChangeAspect="1"/>
                                    </pic:cNvPicPr>
                                  </pic:nvPicPr>
                                  <pic:blipFill>
                                    <a:blip r:embed="rId33"/>
                                    <a:stretch>
                                      <a:fillRect/>
                                    </a:stretch>
                                  </pic:blipFill>
                                  <pic:spPr>
                                    <a:xfrm>
                                      <a:off x="0" y="0"/>
                                      <a:ext cx="737870" cy="938530"/>
                                    </a:xfrm>
                                    <a:prstGeom prst="rect">
                                      <a:avLst/>
                                    </a:prstGeom>
                                  </pic:spPr>
                                </pic:pic>
                              </a:graphicData>
                            </a:graphic>
                          </wp:inline>
                        </w:drawing>
                      </w:r>
                    </w:p>
                  </w:txbxContent>
                </v:textbox>
              </v:shape>
            </w:pict>
          </mc:Fallback>
        </mc:AlternateContent>
      </w:r>
      <w:r>
        <w:rPr>
          <w:rFonts w:hint="default"/>
          <w:highlight w:val="none"/>
          <w:lang w:val="en-US" w:eastAsia="zh-CN"/>
        </w:rPr>
        <w:drawing>
          <wp:inline distT="0" distB="0" distL="114300" distR="114300">
            <wp:extent cx="5272405" cy="5112385"/>
            <wp:effectExtent l="0" t="0" r="4445" b="12065"/>
            <wp:docPr id="35" name="图片 35" descr="0bf9b1b295d9b2196b81d85f2b33b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0bf9b1b295d9b2196b81d85f2b33b80"/>
                    <pic:cNvPicPr>
                      <a:picLocks noChangeAspect="1"/>
                    </pic:cNvPicPr>
                  </pic:nvPicPr>
                  <pic:blipFill>
                    <a:blip r:embed="rId34"/>
                    <a:stretch>
                      <a:fillRect/>
                    </a:stretch>
                  </pic:blipFill>
                  <pic:spPr>
                    <a:xfrm>
                      <a:off x="0" y="0"/>
                      <a:ext cx="5272405" cy="5112385"/>
                    </a:xfrm>
                    <a:prstGeom prst="rect">
                      <a:avLst/>
                    </a:prstGeom>
                  </pic:spPr>
                </pic:pic>
              </a:graphicData>
            </a:graphic>
          </wp:inline>
        </w:drawing>
      </w:r>
    </w:p>
    <w:p w14:paraId="496BF537">
      <w:pPr>
        <w:jc w:val="center"/>
        <w:rPr>
          <w:rFonts w:hint="eastAsia"/>
          <w:b/>
          <w:bCs/>
          <w:highlight w:val="none"/>
          <w:lang w:val="en-US" w:eastAsia="zh-CN"/>
        </w:rPr>
      </w:pPr>
      <w:r>
        <w:rPr>
          <w:rFonts w:hint="eastAsia" w:ascii="黑体" w:hAnsi="黑体" w:eastAsia="黑体" w:cs="黑体"/>
          <w:b w:val="0"/>
          <w:bCs w:val="0"/>
          <w:highlight w:val="none"/>
          <w:lang w:val="en-US" w:eastAsia="zh-CN"/>
        </w:rPr>
        <w:t>图</w:t>
      </w:r>
      <w:r>
        <w:rPr>
          <w:rFonts w:hint="default" w:ascii="Times New Roman" w:hAnsi="Times New Roman" w:cs="Times New Roman"/>
          <w:b w:val="0"/>
          <w:bCs w:val="0"/>
          <w:highlight w:val="none"/>
          <w:lang w:val="en-US" w:eastAsia="zh-CN"/>
        </w:rPr>
        <w:t>4.1-1</w:t>
      </w:r>
      <w:r>
        <w:rPr>
          <w:rFonts w:hint="eastAsia" w:ascii="黑体" w:hAnsi="黑体" w:eastAsia="黑体" w:cs="黑体"/>
          <w:b w:val="0"/>
          <w:bCs w:val="0"/>
          <w:highlight w:val="none"/>
          <w:lang w:val="en-US" w:eastAsia="zh-CN"/>
        </w:rPr>
        <w:t>本项目地理位置示意图</w:t>
      </w:r>
    </w:p>
    <w:p w14:paraId="612A53E4">
      <w:pPr>
        <w:bidi w:val="0"/>
        <w:rPr>
          <w:rFonts w:hint="eastAsia"/>
          <w:highlight w:val="none"/>
          <w:lang w:val="en-US" w:eastAsia="zh-CN"/>
        </w:rPr>
      </w:pPr>
    </w:p>
    <w:p w14:paraId="181CEBEA">
      <w:pPr>
        <w:pStyle w:val="5"/>
        <w:bidi w:val="0"/>
        <w:ind w:left="0" w:leftChars="0" w:firstLine="0" w:firstLineChars="0"/>
        <w:rPr>
          <w:rFonts w:hint="eastAsia"/>
          <w:sz w:val="30"/>
          <w:szCs w:val="30"/>
          <w:highlight w:val="none"/>
          <w:lang w:val="en-US" w:eastAsia="zh-CN"/>
        </w:rPr>
      </w:pPr>
      <w:bookmarkStart w:id="103" w:name="_Toc20633"/>
      <w:r>
        <w:rPr>
          <w:rFonts w:hint="default" w:ascii="Times New Roman" w:hAnsi="Times New Roman" w:cs="Times New Roman"/>
          <w:sz w:val="30"/>
          <w:szCs w:val="30"/>
          <w:highlight w:val="none"/>
          <w:lang w:val="en-US" w:eastAsia="zh-CN"/>
        </w:rPr>
        <w:t>4.1.2</w:t>
      </w:r>
      <w:r>
        <w:rPr>
          <w:rFonts w:hint="eastAsia"/>
          <w:sz w:val="30"/>
          <w:szCs w:val="30"/>
          <w:highlight w:val="none"/>
          <w:lang w:val="en-US" w:eastAsia="zh-CN"/>
        </w:rPr>
        <w:t>地形地貌</w:t>
      </w:r>
      <w:bookmarkEnd w:id="103"/>
    </w:p>
    <w:p w14:paraId="35510C64">
      <w:pPr>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color w:val="auto"/>
          <w:sz w:val="24"/>
          <w:szCs w:val="24"/>
          <w:highlight w:val="none"/>
        </w:rPr>
        <w:t>绥芬河市区的整体地貌呈东高西低状态，为构造剥蚀地貌，丘陵广布，高低不平，平均海拔600米左右。</w:t>
      </w:r>
      <w:r>
        <w:rPr>
          <w:rFonts w:hint="default" w:ascii="Times New Roman" w:hAnsi="Times New Roman" w:eastAsia="宋体" w:cs="Times New Roman"/>
          <w:bCs/>
          <w:color w:val="auto"/>
          <w:sz w:val="24"/>
          <w:szCs w:val="24"/>
          <w:highlight w:val="none"/>
          <w:lang w:val="en-US" w:eastAsia="zh-CN"/>
        </w:rPr>
        <w:t>大部分为低山，属太平岭支脉。四周为太平岭支脉低山，海拔500m-888.1m，最高点位于市区东南端的鹿窖岭，海拔888.1m。工作区中部为山间河谷，海拔400m-420m。见绥芬河市地貌图（图4-1-2），工作区地貌特征（见表4-1-1）。</w:t>
      </w:r>
    </w:p>
    <w:p w14:paraId="6636B673">
      <w:pPr>
        <w:snapToGrid w:val="0"/>
        <w:ind w:right="480"/>
        <w:jc w:val="center"/>
        <w:rPr>
          <w:rFonts w:hint="default" w:ascii="Times New Roman" w:hAnsi="Times New Roman" w:eastAsia="黑体" w:cs="Times New Roman"/>
          <w:b w:val="0"/>
          <w:bCs/>
          <w:color w:val="auto"/>
          <w:sz w:val="24"/>
          <w:highlight w:val="none"/>
        </w:rPr>
      </w:pPr>
      <w:r>
        <w:rPr>
          <w:rFonts w:hint="default" w:ascii="Times New Roman" w:hAnsi="Times New Roman" w:eastAsia="黑体" w:cs="Times New Roman"/>
          <w:b w:val="0"/>
          <w:bCs/>
          <w:color w:val="auto"/>
          <w:sz w:val="24"/>
          <w:highlight w:val="none"/>
        </w:rPr>
        <w:t>表</w:t>
      </w:r>
      <w:r>
        <w:rPr>
          <w:rFonts w:hint="default" w:ascii="Times New Roman" w:hAnsi="Times New Roman" w:eastAsia="黑体" w:cs="Times New Roman"/>
          <w:b w:val="0"/>
          <w:bCs/>
          <w:color w:val="auto"/>
          <w:sz w:val="24"/>
          <w:highlight w:val="none"/>
          <w:lang w:val="en-US" w:eastAsia="zh-CN"/>
        </w:rPr>
        <w:t>4-1</w:t>
      </w:r>
      <w:r>
        <w:rPr>
          <w:rFonts w:hint="default" w:ascii="Times New Roman" w:hAnsi="Times New Roman" w:eastAsia="黑体" w:cs="Times New Roman"/>
          <w:b w:val="0"/>
          <w:bCs/>
          <w:color w:val="auto"/>
          <w:sz w:val="24"/>
          <w:highlight w:val="none"/>
        </w:rPr>
        <w:t>-1绥芬河市地貌分区说明表</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7"/>
        <w:gridCol w:w="926"/>
        <w:gridCol w:w="1221"/>
        <w:gridCol w:w="4852"/>
        <w:gridCol w:w="696"/>
      </w:tblGrid>
      <w:tr w14:paraId="2F0826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5" w:type="pct"/>
            <w:tcBorders>
              <w:tl2br w:val="nil"/>
              <w:tr2bl w:val="nil"/>
            </w:tcBorders>
            <w:noWrap w:val="0"/>
            <w:vAlign w:val="center"/>
          </w:tcPr>
          <w:p w14:paraId="61C06A5E">
            <w:pPr>
              <w:snapToGrid w:val="0"/>
              <w:spacing w:line="240" w:lineRule="auto"/>
              <w:ind w:left="0" w:lef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成因</w:t>
            </w:r>
          </w:p>
        </w:tc>
        <w:tc>
          <w:tcPr>
            <w:tcW w:w="543" w:type="pct"/>
            <w:tcBorders>
              <w:tl2br w:val="nil"/>
              <w:tr2bl w:val="nil"/>
            </w:tcBorders>
            <w:noWrap w:val="0"/>
            <w:vAlign w:val="center"/>
          </w:tcPr>
          <w:p w14:paraId="305340BC">
            <w:pPr>
              <w:snapToGrid w:val="0"/>
              <w:spacing w:line="240" w:lineRule="auto"/>
              <w:ind w:left="0" w:lef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形态</w:t>
            </w:r>
          </w:p>
        </w:tc>
        <w:tc>
          <w:tcPr>
            <w:tcW w:w="716" w:type="pct"/>
            <w:tcBorders>
              <w:tl2br w:val="nil"/>
              <w:tr2bl w:val="nil"/>
            </w:tcBorders>
            <w:noWrap w:val="0"/>
            <w:vAlign w:val="center"/>
          </w:tcPr>
          <w:p w14:paraId="495FEA01">
            <w:pPr>
              <w:snapToGrid w:val="0"/>
              <w:spacing w:line="240" w:lineRule="auto"/>
              <w:ind w:left="0" w:lef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岩性-特征</w:t>
            </w:r>
          </w:p>
        </w:tc>
        <w:tc>
          <w:tcPr>
            <w:tcW w:w="2845" w:type="pct"/>
            <w:tcBorders>
              <w:tl2br w:val="nil"/>
              <w:tr2bl w:val="nil"/>
            </w:tcBorders>
            <w:noWrap w:val="0"/>
            <w:vAlign w:val="center"/>
          </w:tcPr>
          <w:p w14:paraId="5030EFD2">
            <w:pPr>
              <w:snapToGrid w:val="0"/>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特征描述</w:t>
            </w:r>
          </w:p>
        </w:tc>
        <w:tc>
          <w:tcPr>
            <w:tcW w:w="408" w:type="pct"/>
            <w:tcBorders>
              <w:tl2br w:val="nil"/>
              <w:tr2bl w:val="nil"/>
            </w:tcBorders>
            <w:noWrap w:val="0"/>
            <w:vAlign w:val="center"/>
          </w:tcPr>
          <w:p w14:paraId="1E0A07E1">
            <w:pPr>
              <w:snapToGrid w:val="0"/>
              <w:spacing w:line="240" w:lineRule="auto"/>
              <w:ind w:left="0" w:lef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代号</w:t>
            </w:r>
          </w:p>
        </w:tc>
      </w:tr>
      <w:tr w14:paraId="106F29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5" w:type="pct"/>
            <w:tcBorders>
              <w:tl2br w:val="nil"/>
              <w:tr2bl w:val="nil"/>
            </w:tcBorders>
            <w:noWrap w:val="0"/>
            <w:vAlign w:val="center"/>
          </w:tcPr>
          <w:p w14:paraId="5023BEBF">
            <w:pPr>
              <w:snapToGrid w:val="0"/>
              <w:spacing w:line="240" w:lineRule="auto"/>
              <w:ind w:left="0" w:lef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构造地貌</w:t>
            </w:r>
          </w:p>
        </w:tc>
        <w:tc>
          <w:tcPr>
            <w:tcW w:w="543" w:type="pct"/>
            <w:tcBorders>
              <w:tl2br w:val="nil"/>
              <w:tr2bl w:val="nil"/>
            </w:tcBorders>
            <w:noWrap w:val="0"/>
            <w:vAlign w:val="center"/>
          </w:tcPr>
          <w:p w14:paraId="33E125D1">
            <w:pPr>
              <w:snapToGrid w:val="0"/>
              <w:spacing w:line="240" w:lineRule="auto"/>
              <w:ind w:left="0" w:lef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褶皱剥蚀低山</w:t>
            </w:r>
          </w:p>
        </w:tc>
        <w:tc>
          <w:tcPr>
            <w:tcW w:w="716" w:type="pct"/>
            <w:tcBorders>
              <w:tl2br w:val="nil"/>
              <w:tr2bl w:val="nil"/>
            </w:tcBorders>
            <w:noWrap w:val="0"/>
            <w:vAlign w:val="center"/>
          </w:tcPr>
          <w:p w14:paraId="52EEE847">
            <w:pPr>
              <w:snapToGrid w:val="0"/>
              <w:spacing w:line="240" w:lineRule="auto"/>
              <w:ind w:left="0" w:lef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岩浆岩、变质岩、沉积岩浑圆状低山</w:t>
            </w:r>
          </w:p>
        </w:tc>
        <w:tc>
          <w:tcPr>
            <w:tcW w:w="2845" w:type="pct"/>
            <w:tcBorders>
              <w:tl2br w:val="nil"/>
              <w:tr2bl w:val="nil"/>
            </w:tcBorders>
            <w:noWrap w:val="0"/>
            <w:vAlign w:val="center"/>
          </w:tcPr>
          <w:p w14:paraId="4DE77053">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整个工作区均有分布，海拔500-888.1m，相对高差388.1m，地形四周高，中部低，山体多呈浑圆或半浑圆状。主要由中生界火山岩、火山碎屑岩、上元古界浅变质碎屑岩及印支晚期侵入岩组成。</w:t>
            </w:r>
          </w:p>
        </w:tc>
        <w:tc>
          <w:tcPr>
            <w:tcW w:w="408" w:type="pct"/>
            <w:tcBorders>
              <w:tl2br w:val="nil"/>
              <w:tr2bl w:val="nil"/>
            </w:tcBorders>
            <w:noWrap w:val="0"/>
            <w:vAlign w:val="center"/>
          </w:tcPr>
          <w:p w14:paraId="7BB35DA0">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I</w:t>
            </w:r>
          </w:p>
        </w:tc>
      </w:tr>
      <w:tr w14:paraId="230714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5" w:type="pct"/>
            <w:tcBorders>
              <w:tl2br w:val="nil"/>
              <w:tr2bl w:val="nil"/>
            </w:tcBorders>
            <w:noWrap w:val="0"/>
            <w:vAlign w:val="center"/>
          </w:tcPr>
          <w:p w14:paraId="74841184">
            <w:pPr>
              <w:snapToGrid w:val="0"/>
              <w:spacing w:line="240" w:lineRule="auto"/>
              <w:ind w:left="0" w:lef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流水地貌</w:t>
            </w:r>
          </w:p>
        </w:tc>
        <w:tc>
          <w:tcPr>
            <w:tcW w:w="543" w:type="pct"/>
            <w:tcBorders>
              <w:tl2br w:val="nil"/>
              <w:tr2bl w:val="nil"/>
            </w:tcBorders>
            <w:noWrap w:val="0"/>
            <w:vAlign w:val="center"/>
          </w:tcPr>
          <w:p w14:paraId="1F68AED1">
            <w:pPr>
              <w:snapToGrid w:val="0"/>
              <w:spacing w:line="240" w:lineRule="auto"/>
              <w:ind w:left="0" w:lef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冲积</w:t>
            </w:r>
          </w:p>
          <w:p w14:paraId="696F31AE">
            <w:pPr>
              <w:snapToGrid w:val="0"/>
              <w:spacing w:line="240" w:lineRule="auto"/>
              <w:ind w:left="0" w:lef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平原</w:t>
            </w:r>
          </w:p>
        </w:tc>
        <w:tc>
          <w:tcPr>
            <w:tcW w:w="716" w:type="pct"/>
            <w:tcBorders>
              <w:tl2br w:val="nil"/>
              <w:tr2bl w:val="nil"/>
            </w:tcBorders>
            <w:noWrap w:val="0"/>
            <w:vAlign w:val="center"/>
          </w:tcPr>
          <w:p w14:paraId="70B9D6F0">
            <w:pPr>
              <w:snapToGrid w:val="0"/>
              <w:spacing w:line="240" w:lineRule="auto"/>
              <w:ind w:left="0" w:leftChars="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泥砂砾石质山间平原</w:t>
            </w:r>
          </w:p>
        </w:tc>
        <w:tc>
          <w:tcPr>
            <w:tcW w:w="2845" w:type="pct"/>
            <w:tcBorders>
              <w:tl2br w:val="nil"/>
              <w:tr2bl w:val="nil"/>
            </w:tcBorders>
            <w:noWrap w:val="0"/>
            <w:vAlign w:val="center"/>
          </w:tcPr>
          <w:p w14:paraId="3450FDC2">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分布于工作区中部小绥芬河及北寒葱河河谷，河谷较狭窄，其间分布狭长条带状河漫滩，海拔400-420m，滩面较平坦，组成岩性为全新统粉质粘土、砂、砂砾石。</w:t>
            </w:r>
          </w:p>
        </w:tc>
        <w:tc>
          <w:tcPr>
            <w:tcW w:w="408" w:type="pct"/>
            <w:tcBorders>
              <w:tl2br w:val="nil"/>
              <w:tr2bl w:val="nil"/>
            </w:tcBorders>
            <w:noWrap w:val="0"/>
            <w:vAlign w:val="center"/>
          </w:tcPr>
          <w:p w14:paraId="76444F76">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II</w:t>
            </w:r>
          </w:p>
        </w:tc>
      </w:tr>
    </w:tbl>
    <w:p w14:paraId="773C7336">
      <w:pPr>
        <w:pStyle w:val="34"/>
        <w:ind w:left="0" w:leftChars="0" w:firstLine="0" w:firstLineChars="0"/>
        <w:jc w:val="both"/>
        <w:rPr>
          <w:rFonts w:hint="default" w:ascii="Times New Roman" w:hAnsi="Times New Roman" w:eastAsia="黑体" w:cs="Times New Roman"/>
          <w:color w:val="auto"/>
          <w:highlight w:val="none"/>
          <w:lang w:eastAsia="zh-CN"/>
        </w:rPr>
      </w:pPr>
      <w:r>
        <w:rPr>
          <w:rFonts w:hint="default" w:ascii="Times New Roman" w:hAnsi="Times New Roman" w:eastAsia="宋体" w:cs="Times New Roman"/>
          <w:color w:val="auto"/>
          <w:sz w:val="28"/>
          <w:szCs w:val="28"/>
          <w:highlight w:val="none"/>
          <w:lang w:eastAsia="zh-CN"/>
        </w:rPr>
        <w:drawing>
          <wp:anchor distT="0" distB="0" distL="114300" distR="114300" simplePos="0" relativeHeight="251683840" behindDoc="0" locked="0" layoutInCell="1" allowOverlap="1">
            <wp:simplePos x="0" y="0"/>
            <wp:positionH relativeFrom="column">
              <wp:posOffset>7620</wp:posOffset>
            </wp:positionH>
            <wp:positionV relativeFrom="paragraph">
              <wp:posOffset>229870</wp:posOffset>
            </wp:positionV>
            <wp:extent cx="5087620" cy="3888105"/>
            <wp:effectExtent l="0" t="0" r="17780" b="17145"/>
            <wp:wrapNone/>
            <wp:docPr id="41" name="图片 23" descr="地貌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3" descr="地貌图"/>
                    <pic:cNvPicPr>
                      <a:picLocks noChangeAspect="1"/>
                    </pic:cNvPicPr>
                  </pic:nvPicPr>
                  <pic:blipFill>
                    <a:blip r:embed="rId35"/>
                    <a:stretch>
                      <a:fillRect/>
                    </a:stretch>
                  </pic:blipFill>
                  <pic:spPr>
                    <a:xfrm>
                      <a:off x="0" y="0"/>
                      <a:ext cx="5087620" cy="3888105"/>
                    </a:xfrm>
                    <a:prstGeom prst="rect">
                      <a:avLst/>
                    </a:prstGeom>
                    <a:noFill/>
                    <a:ln>
                      <a:noFill/>
                    </a:ln>
                  </pic:spPr>
                </pic:pic>
              </a:graphicData>
            </a:graphic>
          </wp:anchor>
        </w:drawing>
      </w:r>
    </w:p>
    <w:p w14:paraId="1CA9B310">
      <w:pPr>
        <w:adjustRightInd w:val="0"/>
        <w:spacing w:line="360" w:lineRule="auto"/>
        <w:jc w:val="center"/>
        <w:rPr>
          <w:rFonts w:hint="default" w:ascii="Times New Roman" w:hAnsi="Times New Roman" w:eastAsia="黑体" w:cs="Times New Roman"/>
          <w:color w:val="auto"/>
          <w:sz w:val="24"/>
          <w:szCs w:val="24"/>
          <w:highlight w:val="none"/>
          <w:lang w:eastAsia="zh-CN"/>
        </w:rPr>
      </w:pPr>
    </w:p>
    <w:p w14:paraId="692E04F3">
      <w:pPr>
        <w:adjustRightInd w:val="0"/>
        <w:spacing w:line="360" w:lineRule="auto"/>
        <w:jc w:val="center"/>
        <w:rPr>
          <w:rFonts w:hint="default" w:ascii="Times New Roman" w:hAnsi="Times New Roman" w:eastAsia="黑体" w:cs="Times New Roman"/>
          <w:color w:val="auto"/>
          <w:sz w:val="24"/>
          <w:szCs w:val="24"/>
          <w:highlight w:val="none"/>
          <w:lang w:eastAsia="zh-CN"/>
        </w:rPr>
      </w:pPr>
    </w:p>
    <w:p w14:paraId="43904727">
      <w:pPr>
        <w:adjustRightInd w:val="0"/>
        <w:spacing w:line="360" w:lineRule="auto"/>
        <w:jc w:val="center"/>
        <w:rPr>
          <w:rFonts w:hint="default" w:ascii="Times New Roman" w:hAnsi="Times New Roman" w:eastAsia="黑体" w:cs="Times New Roman"/>
          <w:color w:val="auto"/>
          <w:sz w:val="24"/>
          <w:szCs w:val="24"/>
          <w:highlight w:val="none"/>
          <w:lang w:eastAsia="zh-CN"/>
        </w:rPr>
      </w:pPr>
    </w:p>
    <w:p w14:paraId="4616CF25">
      <w:pPr>
        <w:adjustRightInd w:val="0"/>
        <w:spacing w:line="360" w:lineRule="auto"/>
        <w:jc w:val="center"/>
        <w:rPr>
          <w:rFonts w:hint="default" w:ascii="Times New Roman" w:hAnsi="Times New Roman" w:eastAsia="黑体" w:cs="Times New Roman"/>
          <w:color w:val="auto"/>
          <w:sz w:val="24"/>
          <w:szCs w:val="24"/>
          <w:highlight w:val="none"/>
          <w:lang w:eastAsia="zh-CN"/>
        </w:rPr>
      </w:pPr>
    </w:p>
    <w:p w14:paraId="4B702ED0">
      <w:pPr>
        <w:adjustRightInd w:val="0"/>
        <w:spacing w:line="360" w:lineRule="auto"/>
        <w:jc w:val="center"/>
        <w:rPr>
          <w:rFonts w:hint="default" w:ascii="Times New Roman" w:hAnsi="Times New Roman" w:eastAsia="黑体" w:cs="Times New Roman"/>
          <w:color w:val="auto"/>
          <w:sz w:val="24"/>
          <w:szCs w:val="24"/>
          <w:highlight w:val="none"/>
          <w:lang w:eastAsia="zh-CN"/>
        </w:rPr>
      </w:pPr>
    </w:p>
    <w:p w14:paraId="0934E791">
      <w:pPr>
        <w:adjustRightInd w:val="0"/>
        <w:spacing w:line="360" w:lineRule="auto"/>
        <w:jc w:val="center"/>
        <w:rPr>
          <w:rFonts w:hint="default" w:ascii="Times New Roman" w:hAnsi="Times New Roman" w:eastAsia="黑体" w:cs="Times New Roman"/>
          <w:color w:val="auto"/>
          <w:sz w:val="24"/>
          <w:szCs w:val="24"/>
          <w:highlight w:val="none"/>
          <w:lang w:eastAsia="zh-CN"/>
        </w:rPr>
      </w:pPr>
    </w:p>
    <w:p w14:paraId="191506E8">
      <w:pPr>
        <w:adjustRightInd w:val="0"/>
        <w:spacing w:line="360" w:lineRule="auto"/>
        <w:jc w:val="center"/>
        <w:rPr>
          <w:rFonts w:hint="default" w:ascii="Times New Roman" w:hAnsi="Times New Roman" w:eastAsia="黑体" w:cs="Times New Roman"/>
          <w:color w:val="auto"/>
          <w:sz w:val="24"/>
          <w:szCs w:val="24"/>
          <w:highlight w:val="none"/>
          <w:lang w:eastAsia="zh-CN"/>
        </w:rPr>
      </w:pPr>
    </w:p>
    <w:p w14:paraId="124EA361">
      <w:pPr>
        <w:adjustRightInd w:val="0"/>
        <w:spacing w:line="360" w:lineRule="auto"/>
        <w:jc w:val="center"/>
        <w:rPr>
          <w:rFonts w:hint="default" w:ascii="Times New Roman" w:hAnsi="Times New Roman" w:eastAsia="黑体" w:cs="Times New Roman"/>
          <w:color w:val="auto"/>
          <w:sz w:val="24"/>
          <w:szCs w:val="24"/>
          <w:highlight w:val="none"/>
          <w:lang w:eastAsia="zh-CN"/>
        </w:rPr>
      </w:pPr>
    </w:p>
    <w:p w14:paraId="2CAC8049">
      <w:pPr>
        <w:adjustRightInd w:val="0"/>
        <w:spacing w:line="360" w:lineRule="auto"/>
        <w:jc w:val="center"/>
        <w:rPr>
          <w:rFonts w:hint="default" w:ascii="Times New Roman" w:hAnsi="Times New Roman" w:eastAsia="黑体" w:cs="Times New Roman"/>
          <w:color w:val="auto"/>
          <w:sz w:val="24"/>
          <w:szCs w:val="24"/>
          <w:highlight w:val="none"/>
          <w:lang w:eastAsia="zh-CN"/>
        </w:rPr>
      </w:pPr>
    </w:p>
    <w:p w14:paraId="2E508A8D">
      <w:pPr>
        <w:adjustRightInd w:val="0"/>
        <w:spacing w:line="360" w:lineRule="auto"/>
        <w:jc w:val="center"/>
        <w:rPr>
          <w:rFonts w:hint="default" w:ascii="Times New Roman" w:hAnsi="Times New Roman" w:eastAsia="黑体" w:cs="Times New Roman"/>
          <w:color w:val="auto"/>
          <w:sz w:val="24"/>
          <w:szCs w:val="24"/>
          <w:highlight w:val="none"/>
          <w:lang w:eastAsia="zh-CN"/>
        </w:rPr>
      </w:pPr>
    </w:p>
    <w:p w14:paraId="7B5B4ED1">
      <w:pPr>
        <w:adjustRightInd w:val="0"/>
        <w:spacing w:line="360" w:lineRule="auto"/>
        <w:jc w:val="center"/>
        <w:rPr>
          <w:rFonts w:hint="default" w:ascii="Times New Roman" w:hAnsi="Times New Roman" w:eastAsia="黑体" w:cs="Times New Roman"/>
          <w:color w:val="auto"/>
          <w:sz w:val="24"/>
          <w:szCs w:val="24"/>
          <w:highlight w:val="none"/>
          <w:lang w:eastAsia="zh-CN"/>
        </w:rPr>
      </w:pPr>
    </w:p>
    <w:p w14:paraId="17D84729">
      <w:pPr>
        <w:adjustRightInd w:val="0"/>
        <w:spacing w:line="360" w:lineRule="auto"/>
        <w:jc w:val="center"/>
        <w:rPr>
          <w:rFonts w:hint="default" w:ascii="Times New Roman" w:hAnsi="Times New Roman" w:eastAsia="黑体" w:cs="Times New Roman"/>
          <w:color w:val="auto"/>
          <w:sz w:val="24"/>
          <w:szCs w:val="24"/>
          <w:highlight w:val="none"/>
          <w:lang w:eastAsia="zh-CN"/>
        </w:rPr>
      </w:pPr>
    </w:p>
    <w:p w14:paraId="5FBD60EC">
      <w:pPr>
        <w:adjustRightInd w:val="0"/>
        <w:spacing w:line="360" w:lineRule="auto"/>
        <w:jc w:val="center"/>
        <w:rPr>
          <w:rFonts w:hint="default" w:ascii="Times New Roman" w:hAnsi="Times New Roman" w:eastAsia="黑体" w:cs="Times New Roman"/>
          <w:color w:val="auto"/>
          <w:sz w:val="24"/>
          <w:szCs w:val="24"/>
          <w:highlight w:val="none"/>
          <w:lang w:eastAsia="zh-CN"/>
        </w:rPr>
      </w:pPr>
    </w:p>
    <w:p w14:paraId="7E6BF2EA">
      <w:pPr>
        <w:jc w:val="center"/>
        <w:rPr>
          <w:rFonts w:hint="eastAsia" w:eastAsia="宋体"/>
          <w:b/>
          <w:bCs/>
          <w:highlight w:val="none"/>
          <w:lang w:val="en-US" w:eastAsia="zh-CN"/>
        </w:rPr>
      </w:pPr>
      <w:r>
        <w:rPr>
          <w:rFonts w:hint="default" w:eastAsia="宋体"/>
          <w:b/>
          <w:bCs/>
          <w:highlight w:val="none"/>
          <w:lang w:val="en-US" w:eastAsia="zh-CN"/>
        </w:rPr>
        <w:t>图4</w:t>
      </w:r>
      <w:r>
        <w:rPr>
          <w:rFonts w:hint="eastAsia" w:eastAsia="宋体"/>
          <w:b/>
          <w:bCs/>
          <w:highlight w:val="none"/>
          <w:lang w:val="en-US" w:eastAsia="zh-CN"/>
        </w:rPr>
        <w:t>.</w:t>
      </w:r>
      <w:r>
        <w:rPr>
          <w:rFonts w:hint="default" w:eastAsia="宋体"/>
          <w:b/>
          <w:bCs/>
          <w:highlight w:val="none"/>
          <w:lang w:val="en-US" w:eastAsia="zh-CN"/>
        </w:rPr>
        <w:t>1-2绥芬河市地貌图</w:t>
      </w:r>
    </w:p>
    <w:p w14:paraId="24BE75C2">
      <w:pPr>
        <w:pStyle w:val="5"/>
        <w:bidi w:val="0"/>
        <w:ind w:left="0" w:leftChars="0" w:firstLine="0" w:firstLineChars="0"/>
        <w:rPr>
          <w:rFonts w:hint="eastAsia"/>
          <w:sz w:val="30"/>
          <w:szCs w:val="30"/>
          <w:highlight w:val="none"/>
          <w:lang w:val="en-US" w:eastAsia="zh-CN"/>
        </w:rPr>
      </w:pPr>
      <w:bookmarkStart w:id="104" w:name="_Toc28287"/>
      <w:r>
        <w:rPr>
          <w:rFonts w:hint="default" w:ascii="Times New Roman" w:hAnsi="Times New Roman" w:cs="Times New Roman"/>
          <w:sz w:val="30"/>
          <w:szCs w:val="30"/>
          <w:highlight w:val="none"/>
          <w:lang w:val="en-US" w:eastAsia="zh-CN"/>
        </w:rPr>
        <w:t>4.1.3</w:t>
      </w:r>
      <w:r>
        <w:rPr>
          <w:rFonts w:hint="eastAsia"/>
          <w:sz w:val="30"/>
          <w:szCs w:val="30"/>
          <w:highlight w:val="none"/>
          <w:lang w:val="en-US" w:eastAsia="zh-CN"/>
        </w:rPr>
        <w:t>气候、气象</w:t>
      </w:r>
      <w:bookmarkEnd w:id="104"/>
    </w:p>
    <w:p w14:paraId="0B785D75">
      <w:pPr>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绥芬河属于大陆性季风气候，四季变化明显。年平均降水量为650-700毫米,年平均日照时间2614小时,年总降水量782.5毫米，空气良好天数达到345天左右。夏季平均气温22.5℃。冬无严寒，夏无酷暑，群山环绕，清爽宜人，是天然氧吧和避暑胜地。</w:t>
      </w:r>
    </w:p>
    <w:p w14:paraId="4C459001">
      <w:pPr>
        <w:pStyle w:val="5"/>
        <w:bidi w:val="0"/>
        <w:ind w:left="0" w:leftChars="0" w:firstLine="0" w:firstLineChars="0"/>
        <w:rPr>
          <w:rFonts w:hint="eastAsia" w:ascii="Times New Roman" w:hAnsi="Times New Roman" w:eastAsia="宋体" w:cs="Times New Roman"/>
          <w:sz w:val="30"/>
          <w:szCs w:val="30"/>
          <w:highlight w:val="none"/>
          <w:lang w:val="en-US" w:eastAsia="zh-CN"/>
        </w:rPr>
      </w:pPr>
      <w:bookmarkStart w:id="105" w:name="_Toc11755"/>
      <w:r>
        <w:rPr>
          <w:rFonts w:hint="eastAsia" w:ascii="Times New Roman" w:hAnsi="Times New Roman" w:eastAsia="宋体" w:cs="Times New Roman"/>
          <w:sz w:val="30"/>
          <w:szCs w:val="30"/>
          <w:highlight w:val="none"/>
          <w:lang w:val="en-US" w:eastAsia="zh-CN"/>
        </w:rPr>
        <w:t>4.1.4水文地质情况</w:t>
      </w:r>
      <w:bookmarkEnd w:id="105"/>
    </w:p>
    <w:p w14:paraId="187A6392">
      <w:pPr>
        <w:rPr>
          <w:rFonts w:hint="default"/>
          <w:highlight w:val="none"/>
          <w:lang w:val="en-US" w:eastAsia="zh-CN"/>
        </w:rPr>
      </w:pPr>
      <w:r>
        <w:rPr>
          <w:rFonts w:hint="eastAsia" w:ascii="Times New Roman" w:hAnsi="Times New Roman" w:eastAsia="宋体" w:cs="Times New Roman"/>
          <w:sz w:val="24"/>
          <w:szCs w:val="24"/>
          <w:highlight w:val="none"/>
          <w:lang w:val="en-US" w:eastAsia="zh-CN"/>
        </w:rPr>
        <w:t>1.地质情况</w:t>
      </w:r>
    </w:p>
    <w:p w14:paraId="7AF63A8B">
      <w:pPr>
        <w:keepNext w:val="0"/>
        <w:keepLines w:val="0"/>
        <w:pageBreakBefore w:val="0"/>
        <w:widowControl w:val="0"/>
        <w:kinsoku/>
        <w:wordWrap/>
        <w:overflowPunct/>
        <w:topLinePunct w:val="0"/>
        <w:autoSpaceDE/>
        <w:autoSpaceDN/>
        <w:bidi w:val="0"/>
        <w:adjustRightInd w:val="0"/>
        <w:snapToGrid/>
        <w:spacing w:line="48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区域地层</w:t>
      </w:r>
    </w:p>
    <w:p w14:paraId="599F778F">
      <w:pPr>
        <w:keepNext w:val="0"/>
        <w:keepLines w:val="0"/>
        <w:pageBreakBefore w:val="0"/>
        <w:widowControl w:val="0"/>
        <w:kinsoku/>
        <w:wordWrap/>
        <w:overflowPunct/>
        <w:topLinePunct w:val="0"/>
        <w:autoSpaceDE/>
        <w:autoSpaceDN/>
        <w:bidi w:val="0"/>
        <w:adjustRightInd w:val="0"/>
        <w:snapToGrid/>
        <w:spacing w:line="480" w:lineRule="exact"/>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区域</w:t>
      </w:r>
      <w:r>
        <w:rPr>
          <w:rFonts w:hint="default" w:ascii="Times New Roman" w:hAnsi="Times New Roman" w:eastAsia="宋体" w:cs="Times New Roman"/>
          <w:color w:val="auto"/>
          <w:sz w:val="24"/>
          <w:szCs w:val="24"/>
          <w:highlight w:val="none"/>
        </w:rPr>
        <w:t>新生代地层只有分布在现代河谷中的第四系全新统堆积物</w:t>
      </w:r>
      <w:r>
        <w:rPr>
          <w:rFonts w:hint="default" w:ascii="Times New Roman" w:hAnsi="Times New Roman" w:eastAsia="宋体" w:cs="Times New Roman"/>
          <w:color w:val="auto"/>
          <w:sz w:val="24"/>
          <w:szCs w:val="24"/>
          <w:highlight w:val="none"/>
          <w:lang w:eastAsia="zh-CN"/>
        </w:rPr>
        <w:t>，绥芬河市地层表见表</w:t>
      </w:r>
      <w:r>
        <w:rPr>
          <w:rFonts w:hint="default" w:ascii="Times New Roman" w:hAnsi="Times New Roman" w:eastAsia="宋体" w:cs="Times New Roman"/>
          <w:color w:val="auto"/>
          <w:sz w:val="24"/>
          <w:szCs w:val="24"/>
          <w:highlight w:val="none"/>
          <w:lang w:val="en-US" w:eastAsia="zh-CN"/>
        </w:rPr>
        <w:t>2.2-1</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评价区</w:t>
      </w:r>
      <w:r>
        <w:rPr>
          <w:rFonts w:hint="default" w:ascii="Times New Roman" w:hAnsi="Times New Roman" w:eastAsia="宋体" w:cs="Times New Roman"/>
          <w:color w:val="auto"/>
          <w:sz w:val="24"/>
          <w:szCs w:val="24"/>
          <w:highlight w:val="none"/>
        </w:rPr>
        <w:t>出露的前第四纪地层主要为中生界、侏罗系下统绥芬河组的一套中</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基性熔岩及火山碎屑岩。上段为安山玢岩，安山质凝灰岩、凝灰砂砾岩组成；下段为玄武岩、凝灰角砾岩、流纹斑岩组成</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区地质构造具有地块区边部陆缘增生扩展带的特征；上元古界黄松群浅变质碎屑岩构成结晶基底，黄松群为一套陆缘优－冒地槽型沉积建造，晚元古代晚期的张广才岭运动，使其隆起褶皱固结成陆，并产生轻变质。古生代以来基底长期隆起遭受剥蚀，缺失沉积，中石炭世末，市区以南的东宁一带开始拉张裂陷，沉积有二叠系盖层，绥芬河市则于晚三叠世－早侏罗世伴随裂陷的扩大才形成上三迭统罗圈站组及下侏罗统绥芬河组中－酸性火山岩、火山碎屑岩盖层。</w:t>
      </w:r>
    </w:p>
    <w:p w14:paraId="45483028">
      <w:pPr>
        <w:adjustRightInd w:val="0"/>
        <w:snapToGrid w:val="0"/>
        <w:jc w:val="center"/>
        <w:rPr>
          <w:rFonts w:hint="default" w:ascii="Times New Roman" w:hAnsi="Times New Roman" w:eastAsia="黑体" w:cs="Times New Roman"/>
          <w:b w:val="0"/>
          <w:bCs/>
          <w:i w:val="0"/>
          <w:iCs w:val="0"/>
          <w:color w:val="auto"/>
          <w:sz w:val="24"/>
          <w:highlight w:val="none"/>
        </w:rPr>
      </w:pPr>
      <w:r>
        <w:rPr>
          <w:rFonts w:hint="default" w:ascii="Times New Roman" w:hAnsi="Times New Roman" w:eastAsia="黑体" w:cs="Times New Roman"/>
          <w:b w:val="0"/>
          <w:bCs/>
          <w:i w:val="0"/>
          <w:iCs w:val="0"/>
          <w:color w:val="auto"/>
          <w:sz w:val="24"/>
          <w:highlight w:val="none"/>
          <w:lang w:eastAsia="zh-CN"/>
        </w:rPr>
        <w:t>表</w:t>
      </w:r>
      <w:r>
        <w:rPr>
          <w:rFonts w:hint="default" w:ascii="Times New Roman" w:hAnsi="Times New Roman" w:eastAsia="黑体" w:cs="Times New Roman"/>
          <w:b w:val="0"/>
          <w:bCs/>
          <w:i w:val="0"/>
          <w:iCs w:val="0"/>
          <w:color w:val="auto"/>
          <w:sz w:val="24"/>
          <w:highlight w:val="none"/>
          <w:lang w:val="en-US" w:eastAsia="zh-CN"/>
        </w:rPr>
        <w:t>4</w:t>
      </w:r>
      <w:r>
        <w:rPr>
          <w:rFonts w:hint="eastAsia" w:ascii="Times New Roman" w:hAnsi="Times New Roman" w:eastAsia="黑体" w:cs="Times New Roman"/>
          <w:b w:val="0"/>
          <w:bCs/>
          <w:i w:val="0"/>
          <w:iCs w:val="0"/>
          <w:color w:val="auto"/>
          <w:sz w:val="24"/>
          <w:highlight w:val="none"/>
          <w:lang w:val="en-US" w:eastAsia="zh-CN"/>
        </w:rPr>
        <w:t>.</w:t>
      </w:r>
      <w:r>
        <w:rPr>
          <w:rFonts w:hint="default" w:ascii="Times New Roman" w:hAnsi="Times New Roman" w:eastAsia="黑体" w:cs="Times New Roman"/>
          <w:b w:val="0"/>
          <w:bCs/>
          <w:i w:val="0"/>
          <w:iCs w:val="0"/>
          <w:color w:val="auto"/>
          <w:sz w:val="24"/>
          <w:highlight w:val="none"/>
          <w:lang w:val="en-US" w:eastAsia="zh-CN"/>
        </w:rPr>
        <w:t xml:space="preserve">1-2  </w:t>
      </w:r>
      <w:r>
        <w:rPr>
          <w:rFonts w:hint="default" w:ascii="Times New Roman" w:hAnsi="Times New Roman" w:eastAsia="黑体" w:cs="Times New Roman"/>
          <w:b w:val="0"/>
          <w:bCs/>
          <w:i w:val="0"/>
          <w:iCs w:val="0"/>
          <w:color w:val="auto"/>
          <w:sz w:val="24"/>
          <w:highlight w:val="none"/>
        </w:rPr>
        <w:t>绥芬河市地层层序表</w:t>
      </w:r>
    </w:p>
    <w:tbl>
      <w:tblPr>
        <w:tblStyle w:val="1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426"/>
        <w:gridCol w:w="830"/>
        <w:gridCol w:w="913"/>
        <w:gridCol w:w="838"/>
        <w:gridCol w:w="5086"/>
      </w:tblGrid>
      <w:tr w14:paraId="27564D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248" w:type="pct"/>
            <w:tcBorders>
              <w:tl2br w:val="nil"/>
              <w:tr2bl w:val="nil"/>
            </w:tcBorders>
            <w:noWrap w:val="0"/>
            <w:vAlign w:val="center"/>
          </w:tcPr>
          <w:p w14:paraId="68FD7B60">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界</w:t>
            </w:r>
          </w:p>
        </w:tc>
        <w:tc>
          <w:tcPr>
            <w:tcW w:w="214" w:type="pct"/>
            <w:tcBorders>
              <w:tl2br w:val="nil"/>
              <w:tr2bl w:val="nil"/>
            </w:tcBorders>
            <w:noWrap w:val="0"/>
            <w:vAlign w:val="center"/>
          </w:tcPr>
          <w:p w14:paraId="1CC8F2C6">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系</w:t>
            </w:r>
          </w:p>
        </w:tc>
        <w:tc>
          <w:tcPr>
            <w:tcW w:w="292" w:type="pct"/>
            <w:tcBorders>
              <w:tl2br w:val="nil"/>
              <w:tr2bl w:val="nil"/>
            </w:tcBorders>
            <w:noWrap w:val="0"/>
            <w:vAlign w:val="center"/>
          </w:tcPr>
          <w:p w14:paraId="57DCC6E0">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统</w:t>
            </w:r>
          </w:p>
        </w:tc>
        <w:tc>
          <w:tcPr>
            <w:tcW w:w="613" w:type="pct"/>
            <w:tcBorders>
              <w:tl2br w:val="nil"/>
              <w:tr2bl w:val="nil"/>
            </w:tcBorders>
            <w:noWrap w:val="0"/>
            <w:vAlign w:val="center"/>
          </w:tcPr>
          <w:p w14:paraId="6D0D718E">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组</w:t>
            </w:r>
          </w:p>
        </w:tc>
        <w:tc>
          <w:tcPr>
            <w:tcW w:w="569" w:type="pct"/>
            <w:tcBorders>
              <w:tl2br w:val="nil"/>
              <w:tr2bl w:val="nil"/>
            </w:tcBorders>
            <w:noWrap w:val="0"/>
            <w:vAlign w:val="center"/>
          </w:tcPr>
          <w:p w14:paraId="22605B24">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厚度</w:t>
            </w:r>
          </w:p>
          <w:p w14:paraId="78254B79">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3060" w:type="pct"/>
            <w:tcBorders>
              <w:tl2br w:val="nil"/>
              <w:tr2bl w:val="nil"/>
            </w:tcBorders>
            <w:noWrap w:val="0"/>
            <w:vAlign w:val="center"/>
          </w:tcPr>
          <w:p w14:paraId="2F26B184">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分布及岩性特征描述</w:t>
            </w:r>
          </w:p>
        </w:tc>
      </w:tr>
      <w:tr w14:paraId="48067D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248" w:type="pct"/>
            <w:tcBorders>
              <w:tl2br w:val="nil"/>
              <w:tr2bl w:val="nil"/>
            </w:tcBorders>
            <w:noWrap w:val="0"/>
            <w:vAlign w:val="center"/>
          </w:tcPr>
          <w:p w14:paraId="73D0709C">
            <w:pPr>
              <w:spacing w:line="240" w:lineRule="auto"/>
              <w:ind w:left="0" w:leftChars="0" w:firstLine="0" w:firstLineChars="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新生界</w:t>
            </w:r>
          </w:p>
        </w:tc>
        <w:tc>
          <w:tcPr>
            <w:tcW w:w="214" w:type="pct"/>
            <w:tcBorders>
              <w:tl2br w:val="nil"/>
              <w:tr2bl w:val="nil"/>
            </w:tcBorders>
            <w:noWrap w:val="0"/>
            <w:vAlign w:val="center"/>
          </w:tcPr>
          <w:p w14:paraId="47FAC012">
            <w:pPr>
              <w:spacing w:line="240" w:lineRule="auto"/>
              <w:ind w:left="0" w:leftChars="0" w:firstLine="0" w:firstLineChars="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第四系</w:t>
            </w:r>
          </w:p>
        </w:tc>
        <w:tc>
          <w:tcPr>
            <w:tcW w:w="292" w:type="pct"/>
            <w:tcBorders>
              <w:tl2br w:val="nil"/>
              <w:tr2bl w:val="nil"/>
            </w:tcBorders>
            <w:noWrap w:val="0"/>
            <w:vAlign w:val="center"/>
          </w:tcPr>
          <w:p w14:paraId="1897519B">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全新统</w:t>
            </w:r>
          </w:p>
        </w:tc>
        <w:tc>
          <w:tcPr>
            <w:tcW w:w="613" w:type="pct"/>
            <w:tcBorders>
              <w:tl2br w:val="nil"/>
              <w:tr2bl w:val="nil"/>
            </w:tcBorders>
            <w:noWrap w:val="0"/>
            <w:vAlign w:val="center"/>
          </w:tcPr>
          <w:p w14:paraId="07956A66">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漫滩冲积层</w:t>
            </w:r>
          </w:p>
        </w:tc>
        <w:tc>
          <w:tcPr>
            <w:tcW w:w="569" w:type="pct"/>
            <w:tcBorders>
              <w:tl2br w:val="nil"/>
              <w:tr2bl w:val="nil"/>
            </w:tcBorders>
            <w:noWrap w:val="0"/>
            <w:vAlign w:val="center"/>
          </w:tcPr>
          <w:p w14:paraId="5CCA603D">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2-13</w:t>
            </w:r>
          </w:p>
        </w:tc>
        <w:tc>
          <w:tcPr>
            <w:tcW w:w="3060" w:type="pct"/>
            <w:tcBorders>
              <w:tl2br w:val="nil"/>
              <w:tr2bl w:val="nil"/>
            </w:tcBorders>
            <w:noWrap w:val="0"/>
            <w:vAlign w:val="center"/>
          </w:tcPr>
          <w:p w14:paraId="58852D8D">
            <w:pPr>
              <w:spacing w:line="240" w:lineRule="auto"/>
              <w:ind w:left="0" w:lef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布于小绥芬河、北寒葱河河谷及其支流河谷中。小绥芬河建设下游段及北寒葱河南寒村下游段略厚，为5-7m，局部可达13m，岩性上部为粉质粘土及含砂砾粉质粘土下部为含泥砂砾石层。河谷上游及各支流沟谷厚度一般小于4m，岩性为含砾砂粉质粘土为主，底部为薄层含泥砂砾石。</w:t>
            </w:r>
          </w:p>
        </w:tc>
      </w:tr>
      <w:tr w14:paraId="61BBDC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248" w:type="pct"/>
            <w:vMerge w:val="restart"/>
            <w:tcBorders>
              <w:tl2br w:val="nil"/>
              <w:tr2bl w:val="nil"/>
            </w:tcBorders>
            <w:noWrap w:val="0"/>
            <w:vAlign w:val="center"/>
          </w:tcPr>
          <w:p w14:paraId="1EE48A5B">
            <w:pPr>
              <w:spacing w:line="240" w:lineRule="auto"/>
              <w:ind w:left="0" w:leftChars="0" w:firstLine="0" w:firstLineChars="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中生界</w:t>
            </w:r>
          </w:p>
        </w:tc>
        <w:tc>
          <w:tcPr>
            <w:tcW w:w="214" w:type="pct"/>
            <w:tcBorders>
              <w:tl2br w:val="nil"/>
              <w:tr2bl w:val="nil"/>
            </w:tcBorders>
            <w:noWrap w:val="0"/>
            <w:vAlign w:val="center"/>
          </w:tcPr>
          <w:p w14:paraId="3301DF80">
            <w:pPr>
              <w:spacing w:line="240" w:lineRule="auto"/>
              <w:ind w:left="0" w:leftChars="0" w:firstLine="0" w:firstLineChars="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侏罗系</w:t>
            </w:r>
          </w:p>
        </w:tc>
        <w:tc>
          <w:tcPr>
            <w:tcW w:w="292" w:type="pct"/>
            <w:tcBorders>
              <w:tl2br w:val="nil"/>
              <w:tr2bl w:val="nil"/>
            </w:tcBorders>
            <w:noWrap w:val="0"/>
            <w:vAlign w:val="center"/>
          </w:tcPr>
          <w:p w14:paraId="530C5C2C">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下统</w:t>
            </w:r>
          </w:p>
        </w:tc>
        <w:tc>
          <w:tcPr>
            <w:tcW w:w="613" w:type="pct"/>
            <w:tcBorders>
              <w:tl2br w:val="nil"/>
              <w:tr2bl w:val="nil"/>
            </w:tcBorders>
            <w:noWrap w:val="0"/>
            <w:vAlign w:val="center"/>
          </w:tcPr>
          <w:p w14:paraId="1FFEC4E6">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绥芬河组</w:t>
            </w:r>
          </w:p>
        </w:tc>
        <w:tc>
          <w:tcPr>
            <w:tcW w:w="569" w:type="pct"/>
            <w:tcBorders>
              <w:tl2br w:val="nil"/>
              <w:tr2bl w:val="nil"/>
            </w:tcBorders>
            <w:noWrap w:val="0"/>
            <w:vAlign w:val="center"/>
          </w:tcPr>
          <w:p w14:paraId="0BDA44D3">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2070</w:t>
            </w:r>
          </w:p>
        </w:tc>
        <w:tc>
          <w:tcPr>
            <w:tcW w:w="3060" w:type="pct"/>
            <w:tcBorders>
              <w:tl2br w:val="nil"/>
              <w:tr2bl w:val="nil"/>
            </w:tcBorders>
            <w:noWrap w:val="0"/>
            <w:vAlign w:val="center"/>
          </w:tcPr>
          <w:p w14:paraId="561EEDAC">
            <w:pPr>
              <w:spacing w:line="240" w:lineRule="auto"/>
              <w:ind w:left="0" w:lef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大面积分布于市区中部天长山、地久山、南大岭、小团山一带。岩性为一套中-基性熔岩及火山碎屑岩。上段为安山玢岩、安山质凝灰岩、凝灰砂砾岩组成，下段为玄武岩、为整合于罗圈站组之上。</w:t>
            </w:r>
          </w:p>
        </w:tc>
      </w:tr>
      <w:tr w14:paraId="5629E1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248" w:type="pct"/>
            <w:vMerge w:val="continue"/>
            <w:tcBorders>
              <w:tl2br w:val="nil"/>
              <w:tr2bl w:val="nil"/>
            </w:tcBorders>
            <w:noWrap w:val="0"/>
            <w:vAlign w:val="center"/>
          </w:tcPr>
          <w:p w14:paraId="3B8407A5">
            <w:pPr>
              <w:spacing w:line="240" w:lineRule="auto"/>
              <w:jc w:val="center"/>
              <w:rPr>
                <w:rFonts w:hint="default" w:ascii="Times New Roman" w:hAnsi="Times New Roman" w:eastAsia="宋体" w:cs="Times New Roman"/>
                <w:color w:val="auto"/>
                <w:sz w:val="21"/>
                <w:szCs w:val="21"/>
                <w:highlight w:val="none"/>
              </w:rPr>
            </w:pPr>
          </w:p>
        </w:tc>
        <w:tc>
          <w:tcPr>
            <w:tcW w:w="214" w:type="pct"/>
            <w:tcBorders>
              <w:tl2br w:val="nil"/>
              <w:tr2bl w:val="nil"/>
            </w:tcBorders>
            <w:noWrap w:val="0"/>
            <w:vAlign w:val="center"/>
          </w:tcPr>
          <w:p w14:paraId="1A0879AF">
            <w:pPr>
              <w:spacing w:line="240" w:lineRule="auto"/>
              <w:ind w:left="0" w:leftChars="0" w:firstLine="0" w:firstLineChars="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三叠系</w:t>
            </w:r>
          </w:p>
        </w:tc>
        <w:tc>
          <w:tcPr>
            <w:tcW w:w="292" w:type="pct"/>
            <w:tcBorders>
              <w:tl2br w:val="nil"/>
              <w:tr2bl w:val="nil"/>
            </w:tcBorders>
            <w:noWrap w:val="0"/>
            <w:vAlign w:val="center"/>
          </w:tcPr>
          <w:p w14:paraId="4716FF96">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上统</w:t>
            </w:r>
          </w:p>
        </w:tc>
        <w:tc>
          <w:tcPr>
            <w:tcW w:w="613" w:type="pct"/>
            <w:tcBorders>
              <w:tl2br w:val="nil"/>
              <w:tr2bl w:val="nil"/>
            </w:tcBorders>
            <w:noWrap w:val="0"/>
            <w:vAlign w:val="center"/>
          </w:tcPr>
          <w:p w14:paraId="2CBC889E">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罗圈站组</w:t>
            </w:r>
          </w:p>
        </w:tc>
        <w:tc>
          <w:tcPr>
            <w:tcW w:w="569" w:type="pct"/>
            <w:tcBorders>
              <w:tl2br w:val="nil"/>
              <w:tr2bl w:val="nil"/>
            </w:tcBorders>
            <w:noWrap w:val="0"/>
            <w:vAlign w:val="center"/>
          </w:tcPr>
          <w:p w14:paraId="6539E2EC">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&gt;1907</w:t>
            </w:r>
          </w:p>
        </w:tc>
        <w:tc>
          <w:tcPr>
            <w:tcW w:w="3060" w:type="pct"/>
            <w:tcBorders>
              <w:tl2br w:val="nil"/>
              <w:tr2bl w:val="nil"/>
            </w:tcBorders>
            <w:noWrap w:val="0"/>
            <w:vAlign w:val="center"/>
          </w:tcPr>
          <w:p w14:paraId="6477C231">
            <w:pPr>
              <w:spacing w:line="240" w:lineRule="auto"/>
              <w:ind w:left="0" w:lef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分布于庙岭、大黑山及长山一带。其岩性为一套酸性火山熔岩及火山碎屑岩。主要包括流纹质熔岩、凝灰岩、凝灰角砾岩、流纹斑岩组成。</w:t>
            </w:r>
          </w:p>
        </w:tc>
      </w:tr>
      <w:tr w14:paraId="4F0230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248" w:type="pct"/>
            <w:tcBorders>
              <w:tl2br w:val="nil"/>
              <w:tr2bl w:val="nil"/>
            </w:tcBorders>
            <w:noWrap w:val="0"/>
            <w:vAlign w:val="center"/>
          </w:tcPr>
          <w:p w14:paraId="2AA764F5">
            <w:pPr>
              <w:spacing w:line="240" w:lineRule="auto"/>
              <w:ind w:left="0" w:leftChars="0" w:firstLine="0" w:firstLineChars="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古生界</w:t>
            </w:r>
          </w:p>
        </w:tc>
        <w:tc>
          <w:tcPr>
            <w:tcW w:w="214" w:type="pct"/>
            <w:tcBorders>
              <w:tl2br w:val="nil"/>
              <w:tr2bl w:val="nil"/>
            </w:tcBorders>
            <w:noWrap w:val="0"/>
            <w:vAlign w:val="center"/>
          </w:tcPr>
          <w:p w14:paraId="44EFE726">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二叠系</w:t>
            </w:r>
          </w:p>
        </w:tc>
        <w:tc>
          <w:tcPr>
            <w:tcW w:w="292" w:type="pct"/>
            <w:tcBorders>
              <w:tl2br w:val="nil"/>
              <w:tr2bl w:val="nil"/>
            </w:tcBorders>
            <w:noWrap w:val="0"/>
            <w:vAlign w:val="center"/>
          </w:tcPr>
          <w:p w14:paraId="768A000E">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下统</w:t>
            </w:r>
          </w:p>
        </w:tc>
        <w:tc>
          <w:tcPr>
            <w:tcW w:w="613" w:type="pct"/>
            <w:tcBorders>
              <w:tl2br w:val="nil"/>
              <w:tr2bl w:val="nil"/>
            </w:tcBorders>
            <w:noWrap w:val="0"/>
            <w:vAlign w:val="center"/>
          </w:tcPr>
          <w:p w14:paraId="7C964820">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平阳镇组</w:t>
            </w:r>
          </w:p>
        </w:tc>
        <w:tc>
          <w:tcPr>
            <w:tcW w:w="569" w:type="pct"/>
            <w:tcBorders>
              <w:tl2br w:val="nil"/>
              <w:tr2bl w:val="nil"/>
            </w:tcBorders>
            <w:noWrap w:val="0"/>
            <w:vAlign w:val="center"/>
          </w:tcPr>
          <w:p w14:paraId="1C387C01">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w:t>
            </w:r>
          </w:p>
        </w:tc>
        <w:tc>
          <w:tcPr>
            <w:tcW w:w="3060" w:type="pct"/>
            <w:tcBorders>
              <w:tl2br w:val="nil"/>
              <w:tr2bl w:val="nil"/>
            </w:tcBorders>
            <w:noWrap w:val="0"/>
            <w:vAlign w:val="center"/>
          </w:tcPr>
          <w:p w14:paraId="321A4C04">
            <w:pPr>
              <w:spacing w:line="240" w:lineRule="auto"/>
              <w:ind w:left="0" w:leftChars="0" w:firstLine="0" w:firstLineChars="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主要分布于鸡东县平阳镇及东宁县老黑山附近岩性为绢云千枚岩、炭质板岩，沉积厚度及碳酸岩夹层由南而北增加（72-691m）局部为千枚岩。可与玉泉组中上部对比，时代为早二叠世至晚二叠世早期</w:t>
            </w:r>
            <w:r>
              <w:rPr>
                <w:rFonts w:hint="default" w:ascii="Times New Roman" w:hAnsi="Times New Roman" w:eastAsia="宋体" w:cs="Times New Roman"/>
                <w:color w:val="auto"/>
                <w:sz w:val="21"/>
                <w:szCs w:val="21"/>
                <w:highlight w:val="none"/>
                <w:lang w:eastAsia="zh-CN"/>
              </w:rPr>
              <w:t>。</w:t>
            </w:r>
          </w:p>
        </w:tc>
      </w:tr>
      <w:tr w14:paraId="07C837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248" w:type="pct"/>
            <w:tcBorders>
              <w:tl2br w:val="nil"/>
              <w:tr2bl w:val="nil"/>
            </w:tcBorders>
            <w:noWrap w:val="0"/>
            <w:vAlign w:val="center"/>
          </w:tcPr>
          <w:p w14:paraId="29C41F3B">
            <w:pPr>
              <w:spacing w:line="240" w:lineRule="auto"/>
              <w:ind w:left="0" w:leftChars="0" w:firstLine="0" w:firstLineChars="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上元古界</w:t>
            </w:r>
          </w:p>
        </w:tc>
        <w:tc>
          <w:tcPr>
            <w:tcW w:w="214" w:type="pct"/>
            <w:tcBorders>
              <w:tl2br w:val="nil"/>
              <w:tr2bl w:val="nil"/>
            </w:tcBorders>
            <w:noWrap w:val="0"/>
            <w:vAlign w:val="center"/>
          </w:tcPr>
          <w:p w14:paraId="59AE2B96">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黄松群</w:t>
            </w:r>
          </w:p>
        </w:tc>
        <w:tc>
          <w:tcPr>
            <w:tcW w:w="292" w:type="pct"/>
            <w:tcBorders>
              <w:tl2br w:val="nil"/>
              <w:tr2bl w:val="nil"/>
            </w:tcBorders>
            <w:noWrap w:val="0"/>
            <w:vAlign w:val="center"/>
          </w:tcPr>
          <w:p w14:paraId="4B924B24">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p w14:paraId="58D4549F">
            <w:pPr>
              <w:pStyle w:val="34"/>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613" w:type="pct"/>
            <w:tcBorders>
              <w:tl2br w:val="nil"/>
              <w:tr2bl w:val="nil"/>
            </w:tcBorders>
            <w:noWrap w:val="0"/>
            <w:vAlign w:val="center"/>
          </w:tcPr>
          <w:p w14:paraId="275F692D">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阎王殿组</w:t>
            </w:r>
          </w:p>
        </w:tc>
        <w:tc>
          <w:tcPr>
            <w:tcW w:w="569" w:type="pct"/>
            <w:tcBorders>
              <w:tl2br w:val="nil"/>
              <w:tr2bl w:val="nil"/>
            </w:tcBorders>
            <w:noWrap w:val="0"/>
            <w:vAlign w:val="center"/>
          </w:tcPr>
          <w:p w14:paraId="658B8FB3">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60" w:type="pct"/>
            <w:tcBorders>
              <w:tl2br w:val="nil"/>
              <w:tr2bl w:val="nil"/>
            </w:tcBorders>
            <w:noWrap w:val="0"/>
            <w:vAlign w:val="center"/>
          </w:tcPr>
          <w:p w14:paraId="45CECD0E">
            <w:pPr>
              <w:spacing w:line="240" w:lineRule="auto"/>
              <w:ind w:left="0" w:lef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零星分布于市区东部边界。岩性主要为一套浅变质的石榴炭质绢云千枚岩、二云石英片岩、变粒岩、变粒砂岩。构成本区结晶基底。</w:t>
            </w:r>
          </w:p>
        </w:tc>
      </w:tr>
    </w:tbl>
    <w:p w14:paraId="6893A0AA">
      <w:pPr>
        <w:keepNext w:val="0"/>
        <w:keepLines w:val="0"/>
        <w:pageBreakBefore w:val="0"/>
        <w:widowControl w:val="0"/>
        <w:kinsoku/>
        <w:wordWrap/>
        <w:overflowPunct/>
        <w:topLinePunct w:val="0"/>
        <w:autoSpaceDE/>
        <w:autoSpaceDN/>
        <w:bidi w:val="0"/>
        <w:adjustRightInd w:val="0"/>
        <w:spacing w:line="48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地质构造</w:t>
      </w:r>
    </w:p>
    <w:p w14:paraId="7F8D4DC6">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按照“黑龙江省区域地质志”大地构造单元划分观点，绥芬河市位于张广才岭－太平岭边缘隆起带中的老黑山断陷，一级构造单元属老爷岭地块区</w:t>
      </w:r>
      <w:r>
        <w:rPr>
          <w:rFonts w:hint="default" w:ascii="Times New Roman" w:hAnsi="Times New Roman" w:eastAsia="宋体" w:cs="Times New Roman"/>
          <w:color w:val="auto"/>
          <w:sz w:val="24"/>
          <w:szCs w:val="24"/>
          <w:highlight w:val="none"/>
          <w:lang w:eastAsia="zh-CN"/>
        </w:rPr>
        <w:t>，见表</w:t>
      </w:r>
      <w:r>
        <w:rPr>
          <w:rFonts w:hint="default" w:ascii="Times New Roman" w:hAnsi="Times New Roman" w:eastAsia="宋体" w:cs="Times New Roman"/>
          <w:color w:val="auto"/>
          <w:sz w:val="24"/>
          <w:szCs w:val="24"/>
          <w:highlight w:val="none"/>
          <w:lang w:val="en-US" w:eastAsia="zh-CN"/>
        </w:rPr>
        <w:t>4-1-3</w:t>
      </w:r>
      <w:r>
        <w:rPr>
          <w:rFonts w:hint="default" w:ascii="Times New Roman" w:hAnsi="Times New Roman" w:eastAsia="宋体" w:cs="Times New Roman"/>
          <w:color w:val="auto"/>
          <w:sz w:val="24"/>
          <w:szCs w:val="24"/>
          <w:highlight w:val="none"/>
        </w:rPr>
        <w:t>。区内侵入岩为印支晚期侵入岩。分布于市区北部及西北部的五花山、金鱼背及红花岭一带。由花岗斑岩岩组及二长花岗岩岩组构成。呈岩株或岩墙状产出。</w:t>
      </w:r>
    </w:p>
    <w:p w14:paraId="0DBAFB99">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color w:val="auto"/>
          <w:sz w:val="28"/>
          <w:szCs w:val="28"/>
          <w:highlight w:val="none"/>
        </w:rPr>
      </w:pPr>
      <w:r>
        <w:rPr>
          <w:rFonts w:hint="default" w:ascii="Times New Roman" w:hAnsi="Times New Roman" w:eastAsia="宋体" w:cs="Times New Roman"/>
          <w:color w:val="auto"/>
          <w:sz w:val="24"/>
          <w:szCs w:val="24"/>
          <w:highlight w:val="none"/>
        </w:rPr>
        <w:t>绥芬河市地质构造较为复杂，整体上看，绥芬河市属于一近南北向的中生代槽</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以沉积绥芬河组及罗圈站组地层为特征。主要褶皱构造有小绥芬河向斜，轴部近东西向与小绥芬河谷位置相近，核部为绥芬河组，两翼罗圈站组，产状较为平缓，轴部略向西倾伏。断裂构造多沿现代水系展布。小绥芬河断裂为市内一条规模较大的逆断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压性断裂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沿小绥芬河近东西向展布、北倾，倾角60°-70°，长约5000m，断层带宽约20m沿该断裂带两侧次级水系发育有一组北北东向和北北西向断裂，规模较小，长度1000-2000m不等，断裂带宽10-20m，多为正断层，包括黑瞎子沟断裂，建东村断裂、建设断裂、北沟断裂、头道沟断裂、朝阳沟断裂等</w:t>
      </w:r>
      <w:r>
        <w:rPr>
          <w:rFonts w:hint="default" w:ascii="Times New Roman" w:hAnsi="Times New Roman" w:cs="Times New Roman"/>
          <w:color w:val="auto"/>
          <w:sz w:val="28"/>
          <w:szCs w:val="28"/>
          <w:highlight w:val="none"/>
        </w:rPr>
        <w:t>。</w:t>
      </w:r>
    </w:p>
    <w:p w14:paraId="2AFE2D30">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default" w:ascii="Times New Roman" w:hAnsi="Times New Roman" w:eastAsia="黑体" w:cs="Times New Roman"/>
          <w:b w:val="0"/>
          <w:bCs/>
          <w:color w:val="auto"/>
          <w:sz w:val="24"/>
          <w:highlight w:val="none"/>
        </w:rPr>
      </w:pPr>
      <w:r>
        <w:rPr>
          <w:rFonts w:hint="default" w:ascii="Times New Roman" w:hAnsi="Times New Roman" w:eastAsia="黑体" w:cs="Times New Roman"/>
          <w:b w:val="0"/>
          <w:bCs/>
          <w:i w:val="0"/>
          <w:iCs w:val="0"/>
          <w:color w:val="auto"/>
          <w:sz w:val="24"/>
          <w:highlight w:val="none"/>
          <w:lang w:eastAsia="zh-CN"/>
        </w:rPr>
        <w:t>表</w:t>
      </w:r>
      <w:r>
        <w:rPr>
          <w:rFonts w:hint="default" w:ascii="Times New Roman" w:hAnsi="Times New Roman" w:eastAsia="黑体" w:cs="Times New Roman"/>
          <w:b w:val="0"/>
          <w:bCs/>
          <w:i w:val="0"/>
          <w:iCs w:val="0"/>
          <w:color w:val="auto"/>
          <w:sz w:val="24"/>
          <w:highlight w:val="none"/>
          <w:lang w:val="en-US" w:eastAsia="zh-CN"/>
        </w:rPr>
        <w:t>4</w:t>
      </w:r>
      <w:r>
        <w:rPr>
          <w:rFonts w:hint="eastAsia" w:ascii="Times New Roman" w:hAnsi="Times New Roman" w:eastAsia="黑体" w:cs="Times New Roman"/>
          <w:b w:val="0"/>
          <w:bCs/>
          <w:i w:val="0"/>
          <w:iCs w:val="0"/>
          <w:color w:val="auto"/>
          <w:sz w:val="24"/>
          <w:highlight w:val="none"/>
          <w:lang w:val="en-US" w:eastAsia="zh-CN"/>
        </w:rPr>
        <w:t>.</w:t>
      </w:r>
      <w:r>
        <w:rPr>
          <w:rFonts w:hint="default" w:ascii="Times New Roman" w:hAnsi="Times New Roman" w:eastAsia="黑体" w:cs="Times New Roman"/>
          <w:b w:val="0"/>
          <w:bCs/>
          <w:i w:val="0"/>
          <w:iCs w:val="0"/>
          <w:color w:val="auto"/>
          <w:sz w:val="24"/>
          <w:highlight w:val="none"/>
          <w:lang w:val="en-US" w:eastAsia="zh-CN"/>
        </w:rPr>
        <w:t xml:space="preserve">1-3  </w:t>
      </w:r>
      <w:r>
        <w:rPr>
          <w:rFonts w:hint="default" w:ascii="Times New Roman" w:hAnsi="Times New Roman" w:eastAsia="黑体" w:cs="Times New Roman"/>
          <w:b w:val="0"/>
          <w:bCs/>
          <w:color w:val="auto"/>
          <w:sz w:val="24"/>
          <w:highlight w:val="none"/>
        </w:rPr>
        <w:t>绥芬河市大地构造位置分级说明表</w:t>
      </w:r>
    </w:p>
    <w:tbl>
      <w:tblPr>
        <w:tblStyle w:val="17"/>
        <w:tblW w:w="8297"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1"/>
        <w:gridCol w:w="1763"/>
        <w:gridCol w:w="3023"/>
        <w:gridCol w:w="2000"/>
      </w:tblGrid>
      <w:tr w14:paraId="5EA2E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511" w:type="dxa"/>
            <w:tcBorders>
              <w:top w:val="single" w:color="auto" w:sz="12" w:space="0"/>
              <w:left w:val="nil"/>
            </w:tcBorders>
            <w:noWrap w:val="0"/>
            <w:vAlign w:val="center"/>
          </w:tcPr>
          <w:p w14:paraId="11491FE5">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构造单位分级</w:t>
            </w:r>
          </w:p>
        </w:tc>
        <w:tc>
          <w:tcPr>
            <w:tcW w:w="1763" w:type="dxa"/>
            <w:tcBorders>
              <w:top w:val="single" w:color="auto" w:sz="12" w:space="0"/>
            </w:tcBorders>
            <w:noWrap w:val="0"/>
            <w:vAlign w:val="center"/>
          </w:tcPr>
          <w:p w14:paraId="7C5131AC">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p>
        </w:tc>
        <w:tc>
          <w:tcPr>
            <w:tcW w:w="3023" w:type="dxa"/>
            <w:tcBorders>
              <w:top w:val="single" w:color="auto" w:sz="12" w:space="0"/>
            </w:tcBorders>
            <w:noWrap w:val="0"/>
            <w:vAlign w:val="center"/>
          </w:tcPr>
          <w:p w14:paraId="0977C485">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2000" w:type="dxa"/>
            <w:tcBorders>
              <w:top w:val="single" w:color="auto" w:sz="12" w:space="0"/>
              <w:right w:val="nil"/>
            </w:tcBorders>
            <w:noWrap w:val="0"/>
            <w:vAlign w:val="center"/>
          </w:tcPr>
          <w:p w14:paraId="2B43F2BC">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r>
      <w:tr w14:paraId="6BC3F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511" w:type="dxa"/>
            <w:tcBorders>
              <w:left w:val="nil"/>
              <w:bottom w:val="single" w:color="auto" w:sz="12" w:space="0"/>
            </w:tcBorders>
            <w:noWrap w:val="0"/>
            <w:vAlign w:val="center"/>
          </w:tcPr>
          <w:p w14:paraId="7594C556">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构造单元名称</w:t>
            </w:r>
          </w:p>
        </w:tc>
        <w:tc>
          <w:tcPr>
            <w:tcW w:w="1763" w:type="dxa"/>
            <w:tcBorders>
              <w:bottom w:val="single" w:color="auto" w:sz="12" w:space="0"/>
            </w:tcBorders>
            <w:noWrap w:val="0"/>
            <w:vAlign w:val="center"/>
          </w:tcPr>
          <w:p w14:paraId="3F222727">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老爷岭地块区</w:t>
            </w:r>
          </w:p>
        </w:tc>
        <w:tc>
          <w:tcPr>
            <w:tcW w:w="3023" w:type="dxa"/>
            <w:tcBorders>
              <w:bottom w:val="single" w:color="auto" w:sz="12" w:space="0"/>
            </w:tcBorders>
            <w:noWrap w:val="0"/>
            <w:vAlign w:val="center"/>
          </w:tcPr>
          <w:p w14:paraId="5B69D78E">
            <w:pPr>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张广才岭-太平岭边缘隆起带</w:t>
            </w:r>
          </w:p>
        </w:tc>
        <w:tc>
          <w:tcPr>
            <w:tcW w:w="2000" w:type="dxa"/>
            <w:tcBorders>
              <w:bottom w:val="single" w:color="auto" w:sz="12" w:space="0"/>
              <w:right w:val="nil"/>
            </w:tcBorders>
            <w:noWrap w:val="0"/>
            <w:vAlign w:val="center"/>
          </w:tcPr>
          <w:p w14:paraId="66135E3B">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老黑山断陷</w:t>
            </w:r>
          </w:p>
        </w:tc>
      </w:tr>
    </w:tbl>
    <w:p w14:paraId="676FA6D9">
      <w:pPr>
        <w:keepNext w:val="0"/>
        <w:keepLines w:val="0"/>
        <w:pageBreakBefore w:val="0"/>
        <w:widowControl/>
        <w:kinsoku/>
        <w:wordWrap/>
        <w:overflowPunct/>
        <w:topLinePunct w:val="0"/>
        <w:autoSpaceDE/>
        <w:autoSpaceDN/>
        <w:bidi w:val="0"/>
        <w:adjustRightInd w:val="0"/>
        <w:snapToGrid w:val="0"/>
        <w:spacing w:line="480" w:lineRule="exact"/>
        <w:ind w:firstLine="484" w:firstLineChars="202"/>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绥芬河市境内河流，均属绥芬河水系。主要河流有小绥芬河、寒葱河、北大河、黑瞎峙子河、朝阳河等。流域面积423.23km</w:t>
      </w:r>
      <w:r>
        <w:rPr>
          <w:rFonts w:hint="default" w:ascii="Times New Roman" w:hAnsi="Times New Roman" w:eastAsia="宋体" w:cs="Times New Roman"/>
          <w:bCs/>
          <w:color w:val="auto"/>
          <w:sz w:val="24"/>
          <w:szCs w:val="24"/>
          <w:highlight w:val="none"/>
          <w:vertAlign w:val="superscript"/>
        </w:rPr>
        <w:t>2</w:t>
      </w:r>
      <w:r>
        <w:rPr>
          <w:rFonts w:hint="default" w:ascii="Times New Roman" w:hAnsi="Times New Roman" w:eastAsia="宋体" w:cs="Times New Roman"/>
          <w:bCs/>
          <w:color w:val="auto"/>
          <w:sz w:val="24"/>
          <w:szCs w:val="24"/>
          <w:highlight w:val="none"/>
        </w:rPr>
        <w:t>，小绥芬河和寒葱河于洛河桥处汇合后，沿滨绥铁路向西经红花岭处向南流入东宁境内，入口处年平均径流量在5m</w:t>
      </w:r>
      <w:r>
        <w:rPr>
          <w:rFonts w:hint="default" w:ascii="Times New Roman" w:hAnsi="Times New Roman" w:eastAsia="宋体" w:cs="Times New Roman"/>
          <w:bCs/>
          <w:color w:val="auto"/>
          <w:sz w:val="24"/>
          <w:szCs w:val="24"/>
          <w:highlight w:val="none"/>
          <w:vertAlign w:val="superscript"/>
        </w:rPr>
        <w:t>3</w:t>
      </w:r>
      <w:r>
        <w:rPr>
          <w:rFonts w:hint="default" w:ascii="Times New Roman" w:hAnsi="Times New Roman" w:eastAsia="宋体" w:cs="Times New Roman"/>
          <w:bCs/>
          <w:color w:val="auto"/>
          <w:sz w:val="24"/>
          <w:szCs w:val="24"/>
          <w:highlight w:val="none"/>
        </w:rPr>
        <w:t>/s左右。流经城区主要是小绥芬河和其支流黑瞎峙子沟。</w:t>
      </w:r>
    </w:p>
    <w:p w14:paraId="4B35E4D0">
      <w:pPr>
        <w:bidi w:val="0"/>
        <w:rPr>
          <w:rFonts w:hint="default" w:eastAsia="宋体"/>
          <w:highlight w:val="none"/>
          <w:lang w:val="en-US" w:eastAsia="zh-CN"/>
        </w:rPr>
      </w:pPr>
      <w:r>
        <w:rPr>
          <w:rFonts w:hint="eastAsia"/>
          <w:highlight w:val="none"/>
          <w:lang w:val="en-US" w:eastAsia="zh-CN"/>
        </w:rPr>
        <w:t>2.水文情况</w:t>
      </w:r>
    </w:p>
    <w:p w14:paraId="474BBE97">
      <w:pPr>
        <w:keepNext w:val="0"/>
        <w:keepLines w:val="0"/>
        <w:pageBreakBefore w:val="0"/>
        <w:widowControl/>
        <w:kinsoku/>
        <w:wordWrap/>
        <w:overflowPunct/>
        <w:topLinePunct w:val="0"/>
        <w:autoSpaceDE/>
        <w:autoSpaceDN/>
        <w:bidi w:val="0"/>
        <w:adjustRightInd w:val="0"/>
        <w:snapToGrid w:val="0"/>
        <w:spacing w:line="480" w:lineRule="exact"/>
        <w:ind w:firstLine="484" w:firstLineChars="202"/>
        <w:textAlignment w:val="auto"/>
        <w:rPr>
          <w:rFonts w:hint="default" w:ascii="Times New Roman" w:hAnsi="Times New Roman" w:eastAsia="宋体" w:cs="Times New Roman"/>
          <w:bCs/>
          <w:color w:val="auto"/>
          <w:sz w:val="24"/>
          <w:szCs w:val="24"/>
          <w:highlight w:val="none"/>
        </w:rPr>
      </w:pPr>
      <w:r>
        <w:rPr>
          <w:rFonts w:hint="eastAsia" w:ascii="Times New Roman" w:hAnsi="Times New Roman" w:eastAsia="宋体" w:cs="Times New Roman"/>
          <w:bCs/>
          <w:color w:val="auto"/>
          <w:sz w:val="24"/>
          <w:szCs w:val="24"/>
          <w:highlight w:val="none"/>
          <w:lang w:eastAsia="zh-CN"/>
        </w:rPr>
        <w:t>（</w:t>
      </w:r>
      <w:r>
        <w:rPr>
          <w:rFonts w:hint="eastAsia" w:ascii="Times New Roman" w:hAnsi="Times New Roman" w:eastAsia="宋体" w:cs="Times New Roman"/>
          <w:bCs/>
          <w:color w:val="auto"/>
          <w:sz w:val="24"/>
          <w:szCs w:val="24"/>
          <w:highlight w:val="none"/>
          <w:lang w:val="en-US" w:eastAsia="zh-CN"/>
        </w:rPr>
        <w:t>1</w:t>
      </w:r>
      <w:r>
        <w:rPr>
          <w:rFonts w:hint="eastAsia"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小绥芬河（也称夹板河）</w:t>
      </w:r>
    </w:p>
    <w:p w14:paraId="47066F45">
      <w:pPr>
        <w:keepNext w:val="0"/>
        <w:keepLines w:val="0"/>
        <w:pageBreakBefore w:val="0"/>
        <w:widowControl/>
        <w:kinsoku/>
        <w:wordWrap/>
        <w:overflowPunct/>
        <w:topLinePunct w:val="0"/>
        <w:autoSpaceDE/>
        <w:autoSpaceDN/>
        <w:bidi w:val="0"/>
        <w:adjustRightInd w:val="0"/>
        <w:snapToGrid w:val="0"/>
        <w:spacing w:line="480" w:lineRule="exact"/>
        <w:ind w:firstLine="484" w:firstLineChars="202"/>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发源于绥芬河市与俄罗斯交界处的乌赫苏尔巴亚山，在马林园予以东流入绥芬河市境内，全流域面积为159km</w:t>
      </w:r>
      <w:r>
        <w:rPr>
          <w:rFonts w:hint="default" w:ascii="Times New Roman" w:hAnsi="Times New Roman" w:eastAsia="宋体" w:cs="Times New Roman"/>
          <w:bCs/>
          <w:color w:val="auto"/>
          <w:sz w:val="24"/>
          <w:szCs w:val="24"/>
          <w:highlight w:val="none"/>
          <w:vertAlign w:val="superscript"/>
        </w:rPr>
        <w:t>2</w:t>
      </w:r>
      <w:r>
        <w:rPr>
          <w:rFonts w:hint="default" w:ascii="Times New Roman" w:hAnsi="Times New Roman" w:eastAsia="宋体" w:cs="Times New Roman"/>
          <w:bCs/>
          <w:color w:val="auto"/>
          <w:sz w:val="24"/>
          <w:szCs w:val="24"/>
          <w:highlight w:val="none"/>
        </w:rPr>
        <w:t>，河长15km，河道比降为1/150左右。</w:t>
      </w:r>
    </w:p>
    <w:p w14:paraId="13796D1C">
      <w:pPr>
        <w:keepNext w:val="0"/>
        <w:keepLines w:val="0"/>
        <w:pageBreakBefore w:val="0"/>
        <w:widowControl/>
        <w:kinsoku/>
        <w:wordWrap/>
        <w:overflowPunct/>
        <w:topLinePunct w:val="0"/>
        <w:autoSpaceDE/>
        <w:autoSpaceDN/>
        <w:bidi w:val="0"/>
        <w:adjustRightInd w:val="0"/>
        <w:snapToGrid w:val="0"/>
        <w:spacing w:line="480" w:lineRule="exact"/>
        <w:ind w:firstLine="484" w:firstLineChars="202"/>
        <w:textAlignment w:val="auto"/>
        <w:rPr>
          <w:rFonts w:hint="default" w:ascii="Times New Roman" w:hAnsi="Times New Roman" w:eastAsia="宋体" w:cs="Times New Roman"/>
          <w:bCs/>
          <w:color w:val="auto"/>
          <w:sz w:val="24"/>
          <w:szCs w:val="24"/>
          <w:highlight w:val="none"/>
        </w:rPr>
      </w:pPr>
      <w:r>
        <w:rPr>
          <w:rFonts w:hint="eastAsia" w:ascii="Times New Roman" w:hAnsi="Times New Roman" w:eastAsia="宋体" w:cs="Times New Roman"/>
          <w:bCs/>
          <w:color w:val="auto"/>
          <w:sz w:val="24"/>
          <w:szCs w:val="24"/>
          <w:highlight w:val="none"/>
          <w:lang w:eastAsia="zh-CN"/>
        </w:rPr>
        <w:t>（</w:t>
      </w:r>
      <w:r>
        <w:rPr>
          <w:rFonts w:hint="eastAsia" w:ascii="Times New Roman" w:hAnsi="Times New Roman" w:eastAsia="宋体" w:cs="Times New Roman"/>
          <w:bCs/>
          <w:color w:val="auto"/>
          <w:sz w:val="24"/>
          <w:szCs w:val="24"/>
          <w:highlight w:val="none"/>
          <w:lang w:val="en-US" w:eastAsia="zh-CN"/>
        </w:rPr>
        <w:t>2</w:t>
      </w:r>
      <w:r>
        <w:rPr>
          <w:rFonts w:hint="eastAsia"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寒葱河</w:t>
      </w:r>
    </w:p>
    <w:p w14:paraId="57E88352">
      <w:pPr>
        <w:keepNext w:val="0"/>
        <w:keepLines w:val="0"/>
        <w:pageBreakBefore w:val="0"/>
        <w:widowControl/>
        <w:kinsoku/>
        <w:wordWrap/>
        <w:overflowPunct/>
        <w:topLinePunct w:val="0"/>
        <w:autoSpaceDE/>
        <w:autoSpaceDN/>
        <w:bidi w:val="0"/>
        <w:adjustRightInd w:val="0"/>
        <w:snapToGrid w:val="0"/>
        <w:spacing w:line="480" w:lineRule="exact"/>
        <w:ind w:firstLine="484" w:firstLineChars="202"/>
        <w:textAlignment w:val="auto"/>
        <w:rPr>
          <w:rFonts w:hint="default" w:ascii="Times New Roman" w:hAnsi="Times New Roman" w:eastAsia="宋体" w:cs="Times New Roman"/>
          <w:bCs/>
          <w:color w:val="auto"/>
          <w:sz w:val="24"/>
          <w:szCs w:val="24"/>
          <w:highlight w:val="none"/>
        </w:rPr>
      </w:pPr>
      <w:r>
        <w:rPr>
          <w:rFonts w:hint="default" w:ascii="Times New Roman" w:hAnsi="Times New Roman" w:cs="Times New Roman"/>
          <w:bCs/>
          <w:color w:val="auto"/>
          <w:sz w:val="24"/>
          <w:szCs w:val="24"/>
          <w:highlight w:val="none"/>
          <w:lang w:val="en-US" w:eastAsia="zh-CN"/>
        </w:rPr>
        <w:t>小绥芬河支流，</w:t>
      </w:r>
      <w:r>
        <w:rPr>
          <w:rFonts w:hint="default" w:ascii="Times New Roman" w:hAnsi="Times New Roman" w:eastAsia="宋体" w:cs="Times New Roman"/>
          <w:bCs/>
          <w:color w:val="auto"/>
          <w:sz w:val="24"/>
          <w:szCs w:val="24"/>
          <w:highlight w:val="none"/>
        </w:rPr>
        <w:t>发源于东宁县南天门林场东部北天山3km处，流经南天门林场、新屯子、马架子、南寒、北寒等地，流域面积283km</w:t>
      </w:r>
      <w:r>
        <w:rPr>
          <w:rFonts w:hint="default" w:ascii="Times New Roman" w:hAnsi="Times New Roman" w:eastAsia="宋体" w:cs="Times New Roman"/>
          <w:bCs/>
          <w:color w:val="auto"/>
          <w:sz w:val="24"/>
          <w:szCs w:val="24"/>
          <w:highlight w:val="none"/>
          <w:vertAlign w:val="superscript"/>
        </w:rPr>
        <w:t>2</w:t>
      </w:r>
      <w:r>
        <w:rPr>
          <w:rFonts w:hint="default" w:ascii="Times New Roman" w:hAnsi="Times New Roman" w:eastAsia="宋体" w:cs="Times New Roman"/>
          <w:bCs/>
          <w:color w:val="auto"/>
          <w:sz w:val="24"/>
          <w:szCs w:val="24"/>
          <w:highlight w:val="none"/>
        </w:rPr>
        <w:t>，河长39km（绥芬河市境内16km），河道比降为1/120</w:t>
      </w:r>
      <w:r>
        <w:rPr>
          <w:rFonts w:hint="default" w:ascii="Times New Roman" w:hAnsi="Times New Roman" w:eastAsia="宋体" w:cs="Times New Roman"/>
          <w:bCs/>
          <w:color w:val="auto"/>
          <w:sz w:val="24"/>
          <w:szCs w:val="24"/>
          <w:highlight w:val="none"/>
          <w:lang w:val="en-US" w:eastAsia="zh-CN"/>
        </w:rPr>
        <w:t>-</w:t>
      </w:r>
      <w:r>
        <w:rPr>
          <w:rFonts w:hint="default" w:ascii="Times New Roman" w:hAnsi="Times New Roman" w:eastAsia="宋体" w:cs="Times New Roman"/>
          <w:bCs/>
          <w:color w:val="auto"/>
          <w:sz w:val="24"/>
          <w:szCs w:val="24"/>
          <w:highlight w:val="none"/>
        </w:rPr>
        <w:t>1/250。</w:t>
      </w:r>
    </w:p>
    <w:p w14:paraId="2C937655">
      <w:pPr>
        <w:keepNext w:val="0"/>
        <w:keepLines w:val="0"/>
        <w:pageBreakBefore w:val="0"/>
        <w:widowControl/>
        <w:kinsoku/>
        <w:wordWrap/>
        <w:overflowPunct/>
        <w:topLinePunct w:val="0"/>
        <w:autoSpaceDE/>
        <w:autoSpaceDN/>
        <w:bidi w:val="0"/>
        <w:adjustRightInd w:val="0"/>
        <w:snapToGrid w:val="0"/>
        <w:spacing w:line="480" w:lineRule="exact"/>
        <w:ind w:firstLine="484" w:firstLineChars="202"/>
        <w:textAlignment w:val="auto"/>
        <w:rPr>
          <w:rFonts w:hint="default" w:ascii="Times New Roman" w:hAnsi="Times New Roman" w:eastAsia="宋体" w:cs="Times New Roman"/>
          <w:bCs/>
          <w:color w:val="auto"/>
          <w:sz w:val="24"/>
          <w:szCs w:val="24"/>
          <w:highlight w:val="none"/>
        </w:rPr>
      </w:pPr>
      <w:r>
        <w:rPr>
          <w:rFonts w:hint="eastAsia" w:ascii="Times New Roman" w:hAnsi="Times New Roman" w:eastAsia="宋体" w:cs="Times New Roman"/>
          <w:bCs/>
          <w:color w:val="auto"/>
          <w:sz w:val="24"/>
          <w:szCs w:val="24"/>
          <w:highlight w:val="none"/>
          <w:lang w:eastAsia="zh-CN"/>
        </w:rPr>
        <w:t>（</w:t>
      </w:r>
      <w:r>
        <w:rPr>
          <w:rFonts w:hint="eastAsia" w:ascii="Times New Roman" w:hAnsi="Times New Roman" w:eastAsia="宋体" w:cs="Times New Roman"/>
          <w:bCs/>
          <w:color w:val="auto"/>
          <w:sz w:val="24"/>
          <w:szCs w:val="24"/>
          <w:highlight w:val="none"/>
          <w:lang w:val="en-US" w:eastAsia="zh-CN"/>
        </w:rPr>
        <w:t>3</w:t>
      </w:r>
      <w:r>
        <w:rPr>
          <w:rFonts w:hint="eastAsia"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黑瞎峙子沟</w:t>
      </w:r>
    </w:p>
    <w:p w14:paraId="5666E5DD">
      <w:pPr>
        <w:keepNext w:val="0"/>
        <w:keepLines w:val="0"/>
        <w:pageBreakBefore w:val="0"/>
        <w:widowControl/>
        <w:kinsoku/>
        <w:wordWrap/>
        <w:overflowPunct/>
        <w:topLinePunct w:val="0"/>
        <w:autoSpaceDE/>
        <w:autoSpaceDN/>
        <w:bidi w:val="0"/>
        <w:adjustRightInd w:val="0"/>
        <w:snapToGrid w:val="0"/>
        <w:spacing w:line="480" w:lineRule="exact"/>
        <w:ind w:firstLine="484" w:firstLineChars="202"/>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该河是在小绥芬河左岸汇入的一条支流，汇水面积18.3km</w:t>
      </w:r>
      <w:r>
        <w:rPr>
          <w:rFonts w:hint="default" w:ascii="Times New Roman" w:hAnsi="Times New Roman" w:eastAsia="宋体" w:cs="Times New Roman"/>
          <w:bCs/>
          <w:color w:val="auto"/>
          <w:sz w:val="24"/>
          <w:szCs w:val="24"/>
          <w:highlight w:val="none"/>
          <w:vertAlign w:val="superscript"/>
        </w:rPr>
        <w:t>2</w:t>
      </w:r>
      <w:r>
        <w:rPr>
          <w:rFonts w:hint="default" w:ascii="Times New Roman" w:hAnsi="Times New Roman" w:eastAsia="宋体" w:cs="Times New Roman"/>
          <w:bCs/>
          <w:color w:val="auto"/>
          <w:sz w:val="24"/>
          <w:szCs w:val="24"/>
          <w:highlight w:val="none"/>
        </w:rPr>
        <w:t>，河长7.4km，河道比降为3.1%左右。</w:t>
      </w:r>
    </w:p>
    <w:p w14:paraId="2EFFD952">
      <w:pP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t>水资源总量为5559.29万m</w:t>
      </w:r>
      <w:r>
        <w:rPr>
          <w:rFonts w:hint="default" w:ascii="Times New Roman" w:hAnsi="Times New Roman" w:eastAsia="宋体" w:cs="Times New Roman"/>
          <w:bCs/>
          <w:color w:val="auto"/>
          <w:sz w:val="24"/>
          <w:szCs w:val="24"/>
          <w:highlight w:val="none"/>
          <w:vertAlign w:val="superscript"/>
        </w:rPr>
        <w:t>3</w:t>
      </w:r>
      <w:r>
        <w:rPr>
          <w:rFonts w:hint="default" w:ascii="Times New Roman" w:hAnsi="Times New Roman" w:eastAsia="宋体" w:cs="Times New Roman"/>
          <w:bCs/>
          <w:color w:val="auto"/>
          <w:sz w:val="24"/>
          <w:szCs w:val="24"/>
          <w:highlight w:val="none"/>
        </w:rPr>
        <w:t>，地表水总量占4444.17万m</w:t>
      </w:r>
      <w:r>
        <w:rPr>
          <w:rFonts w:hint="default" w:ascii="Times New Roman" w:hAnsi="Times New Roman" w:eastAsia="宋体" w:cs="Times New Roman"/>
          <w:bCs/>
          <w:color w:val="auto"/>
          <w:sz w:val="24"/>
          <w:szCs w:val="24"/>
          <w:highlight w:val="none"/>
          <w:vertAlign w:val="superscript"/>
        </w:rPr>
        <w:t>3</w:t>
      </w:r>
      <w:r>
        <w:rPr>
          <w:rFonts w:hint="default" w:ascii="Times New Roman" w:hAnsi="Times New Roman" w:eastAsia="宋体" w:cs="Times New Roman"/>
          <w:bCs/>
          <w:color w:val="auto"/>
          <w:sz w:val="24"/>
          <w:szCs w:val="24"/>
          <w:highlight w:val="none"/>
        </w:rPr>
        <w:t>，年平均降雨量为570mm，年平均径流深141</w:t>
      </w:r>
      <w:r>
        <w:rPr>
          <w:rFonts w:hint="default" w:ascii="Times New Roman" w:hAnsi="Times New Roman" w:eastAsia="宋体" w:cs="Times New Roman"/>
          <w:bCs/>
          <w:color w:val="auto"/>
          <w:sz w:val="24"/>
          <w:szCs w:val="24"/>
          <w:highlight w:val="none"/>
          <w:lang w:val="en-US" w:eastAsia="zh-CN"/>
        </w:rPr>
        <w:t>-</w:t>
      </w:r>
      <w:r>
        <w:rPr>
          <w:rFonts w:hint="default" w:ascii="Times New Roman" w:hAnsi="Times New Roman" w:eastAsia="宋体" w:cs="Times New Roman"/>
          <w:bCs/>
          <w:color w:val="auto"/>
          <w:sz w:val="24"/>
          <w:szCs w:val="24"/>
          <w:highlight w:val="none"/>
        </w:rPr>
        <w:t>160mm，其水文特点为：河流结冰期长，河流水量年际变化大，年内各月分配不均，河流泥沙含量增加。地下水的埋藏深度多为120</w:t>
      </w:r>
      <w:r>
        <w:rPr>
          <w:rFonts w:hint="default" w:ascii="Times New Roman" w:hAnsi="Times New Roman" w:eastAsia="宋体" w:cs="Times New Roman"/>
          <w:bCs/>
          <w:color w:val="auto"/>
          <w:sz w:val="24"/>
          <w:szCs w:val="24"/>
          <w:highlight w:val="none"/>
          <w:lang w:val="en-US" w:eastAsia="zh-CN"/>
        </w:rPr>
        <w:t>-</w:t>
      </w:r>
      <w:r>
        <w:rPr>
          <w:rFonts w:hint="default" w:ascii="Times New Roman" w:hAnsi="Times New Roman" w:eastAsia="宋体" w:cs="Times New Roman"/>
          <w:bCs/>
          <w:color w:val="auto"/>
          <w:sz w:val="24"/>
          <w:szCs w:val="24"/>
          <w:highlight w:val="none"/>
        </w:rPr>
        <w:t>150m之间，地下水总量为1115.12万mm，主要分布于河谷地带</w:t>
      </w:r>
      <w:r>
        <w:rPr>
          <w:rFonts w:hint="default" w:ascii="Times New Roman" w:hAnsi="Times New Roman" w:eastAsia="宋体" w:cs="Times New Roman"/>
          <w:color w:val="auto"/>
          <w:sz w:val="24"/>
          <w:szCs w:val="24"/>
          <w:highlight w:val="none"/>
        </w:rPr>
        <w:t>。</w:t>
      </w:r>
    </w:p>
    <w:p w14:paraId="70DCFDA5">
      <w:pPr>
        <w:keepNext w:val="0"/>
        <w:keepLines w:val="0"/>
        <w:pageBreakBefore w:val="0"/>
        <w:widowControl w:val="0"/>
        <w:kinsoku/>
        <w:wordWrap/>
        <w:overflowPunct/>
        <w:topLinePunct w:val="0"/>
        <w:autoSpaceDE/>
        <w:autoSpaceDN/>
        <w:bidi w:val="0"/>
        <w:adjustRightInd w:val="0"/>
        <w:snapToGrid/>
        <w:spacing w:line="48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评价区含水层</w:t>
      </w:r>
    </w:p>
    <w:p w14:paraId="3039E556">
      <w:pPr>
        <w:pStyle w:val="35"/>
        <w:keepNext w:val="0"/>
        <w:keepLines w:val="0"/>
        <w:pageBreakBefore w:val="0"/>
        <w:widowControl w:val="0"/>
        <w:kinsoku/>
        <w:wordWrap/>
        <w:overflowPunct/>
        <w:topLinePunct w:val="0"/>
        <w:autoSpaceDE/>
        <w:autoSpaceDN/>
        <w:bidi w:val="0"/>
        <w:adjustRightInd/>
        <w:snapToGrid/>
        <w:spacing w:after="0" w:line="480" w:lineRule="exact"/>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评价区</w:t>
      </w:r>
      <w:r>
        <w:rPr>
          <w:rFonts w:hint="default" w:ascii="Times New Roman" w:hAnsi="Times New Roman" w:eastAsia="宋体" w:cs="Times New Roman"/>
          <w:color w:val="auto"/>
          <w:sz w:val="24"/>
          <w:szCs w:val="24"/>
          <w:highlight w:val="none"/>
        </w:rPr>
        <w:t>内地貌大面积为低山，仅在其间分布有狭窄的山间河谷，这种特点决定了区内地下水的赋存、分布与运移规律。广大低山区各类岩层与岩体普遍发育有不同深度的网状风化裂隙带，赋存基岩风化裂隙水；区内断裂构造较为发育，在断裂带两侧，尤其是张性断裂带上，岩石破碎，构造裂隙发育，赋存脉状基岩构造裂隙水。山间河谷中堆积有厚度较小的第四系粉质粘土、砂及含泥砂砾石，含有</w:t>
      </w:r>
      <w:r>
        <w:rPr>
          <w:rFonts w:hint="default" w:ascii="Times New Roman" w:hAnsi="Times New Roman" w:eastAsia="宋体" w:cs="Times New Roman"/>
          <w:color w:val="auto"/>
          <w:sz w:val="24"/>
          <w:szCs w:val="24"/>
          <w:highlight w:val="none"/>
          <w:lang w:eastAsia="zh-CN"/>
        </w:rPr>
        <w:t>松散岩类孔隙水。地下水为</w:t>
      </w:r>
      <w:r>
        <w:rPr>
          <w:rFonts w:hint="default" w:ascii="Times New Roman" w:hAnsi="Times New Roman" w:eastAsia="宋体" w:cs="Times New Roman"/>
          <w:color w:val="auto"/>
          <w:sz w:val="24"/>
          <w:szCs w:val="24"/>
          <w:highlight w:val="none"/>
        </w:rPr>
        <w:t>第四系松散岩类孔隙</w:t>
      </w:r>
      <w:r>
        <w:rPr>
          <w:rFonts w:hint="default" w:ascii="Times New Roman" w:hAnsi="Times New Roman" w:eastAsia="宋体" w:cs="Times New Roman"/>
          <w:color w:val="auto"/>
          <w:sz w:val="24"/>
          <w:szCs w:val="24"/>
          <w:highlight w:val="none"/>
          <w:lang w:eastAsia="zh-CN"/>
        </w:rPr>
        <w:t>潜</w:t>
      </w:r>
      <w:r>
        <w:rPr>
          <w:rFonts w:hint="default" w:ascii="Times New Roman" w:hAnsi="Times New Roman" w:eastAsia="宋体" w:cs="Times New Roman"/>
          <w:color w:val="auto"/>
          <w:sz w:val="24"/>
          <w:szCs w:val="24"/>
          <w:highlight w:val="none"/>
        </w:rPr>
        <w:t>水</w:t>
      </w:r>
      <w:r>
        <w:rPr>
          <w:rFonts w:hint="default" w:ascii="Times New Roman" w:hAnsi="Times New Roman" w:eastAsia="宋体" w:cs="Times New Roman"/>
          <w:color w:val="auto"/>
          <w:sz w:val="24"/>
          <w:szCs w:val="24"/>
          <w:highlight w:val="none"/>
          <w:lang w:eastAsia="zh-CN"/>
        </w:rPr>
        <w:t>和基岩风化裂隙潜水。</w:t>
      </w:r>
    </w:p>
    <w:p w14:paraId="676284C4">
      <w:pPr>
        <w:pStyle w:val="35"/>
        <w:keepNext w:val="0"/>
        <w:keepLines w:val="0"/>
        <w:pageBreakBefore w:val="0"/>
        <w:widowControl w:val="0"/>
        <w:kinsoku/>
        <w:wordWrap/>
        <w:overflowPunct/>
        <w:topLinePunct w:val="0"/>
        <w:autoSpaceDE/>
        <w:autoSpaceDN/>
        <w:bidi w:val="0"/>
        <w:adjustRightInd/>
        <w:snapToGrid/>
        <w:spacing w:after="0" w:line="480" w:lineRule="exact"/>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①</w:t>
      </w:r>
      <w:r>
        <w:rPr>
          <w:rFonts w:hint="default" w:ascii="Times New Roman" w:hAnsi="Times New Roman" w:eastAsia="宋体" w:cs="Times New Roman"/>
          <w:color w:val="auto"/>
          <w:sz w:val="24"/>
          <w:szCs w:val="24"/>
          <w:highlight w:val="none"/>
        </w:rPr>
        <w:t>第四系松散岩类孔隙</w:t>
      </w:r>
      <w:r>
        <w:rPr>
          <w:rFonts w:hint="default" w:ascii="Times New Roman" w:hAnsi="Times New Roman" w:eastAsia="宋体" w:cs="Times New Roman"/>
          <w:color w:val="auto"/>
          <w:sz w:val="24"/>
          <w:szCs w:val="24"/>
          <w:highlight w:val="none"/>
          <w:lang w:eastAsia="zh-CN"/>
        </w:rPr>
        <w:t>潜</w:t>
      </w:r>
      <w:r>
        <w:rPr>
          <w:rFonts w:hint="default" w:ascii="Times New Roman" w:hAnsi="Times New Roman" w:eastAsia="宋体" w:cs="Times New Roman"/>
          <w:color w:val="auto"/>
          <w:sz w:val="24"/>
          <w:szCs w:val="24"/>
          <w:highlight w:val="none"/>
        </w:rPr>
        <w:t>水</w:t>
      </w:r>
    </w:p>
    <w:p w14:paraId="3E12AADF">
      <w:pPr>
        <w:pStyle w:val="35"/>
        <w:keepNext w:val="0"/>
        <w:keepLines w:val="0"/>
        <w:pageBreakBefore w:val="0"/>
        <w:widowControl w:val="0"/>
        <w:kinsoku/>
        <w:wordWrap/>
        <w:overflowPunct/>
        <w:topLinePunct w:val="0"/>
        <w:autoSpaceDE/>
        <w:autoSpaceDN/>
        <w:bidi w:val="0"/>
        <w:adjustRightInd/>
        <w:snapToGrid/>
        <w:spacing w:after="0" w:line="480" w:lineRule="exact"/>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分布于</w:t>
      </w:r>
      <w:r>
        <w:rPr>
          <w:rFonts w:hint="default" w:ascii="Times New Roman" w:hAnsi="Times New Roman" w:eastAsia="宋体" w:cs="Times New Roman"/>
          <w:color w:val="auto"/>
          <w:sz w:val="24"/>
          <w:szCs w:val="24"/>
          <w:highlight w:val="none"/>
          <w:lang w:eastAsia="zh-CN"/>
        </w:rPr>
        <w:t>评价区南部</w:t>
      </w:r>
      <w:r>
        <w:rPr>
          <w:rFonts w:hint="default" w:ascii="Times New Roman" w:hAnsi="Times New Roman" w:eastAsia="宋体" w:cs="Times New Roman"/>
          <w:color w:val="auto"/>
          <w:sz w:val="24"/>
          <w:szCs w:val="24"/>
          <w:highlight w:val="none"/>
        </w:rPr>
        <w:t>小绥芬河、北寒葱河及其支流山间河谷中，含水层为第四系全新统砂砾石及含泥砂砾石。含水层厚度较小，小绥芬河谷下游段及北寒葱河下游厚3-5m，上游1-3m，支流山间河谷多数lm左右。一般上覆1-4m厚的粉质粘土，水位埋深1-4.5m。渗透系数10-30m/d。小绥芬河河谷及北寒葱河下游单井涌水量（管径225mm)100-200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/d，河谷上游及各支谷单井涌水量小于100m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/d，多为10-50m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/d。水化学类型为重碳酸钙或重碳酸钙钠型水。</w:t>
      </w:r>
    </w:p>
    <w:p w14:paraId="3C58F893">
      <w:pPr>
        <w:pStyle w:val="35"/>
        <w:keepNext w:val="0"/>
        <w:keepLines w:val="0"/>
        <w:pageBreakBefore w:val="0"/>
        <w:widowControl w:val="0"/>
        <w:kinsoku/>
        <w:wordWrap/>
        <w:overflowPunct/>
        <w:topLinePunct w:val="0"/>
        <w:autoSpaceDE/>
        <w:autoSpaceDN/>
        <w:bidi w:val="0"/>
        <w:adjustRightInd/>
        <w:snapToGrid/>
        <w:spacing w:after="0" w:line="480" w:lineRule="exact"/>
        <w:ind w:left="0" w:lef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②</w:t>
      </w:r>
      <w:r>
        <w:rPr>
          <w:rFonts w:hint="default" w:ascii="Times New Roman" w:hAnsi="Times New Roman" w:eastAsia="宋体" w:cs="Times New Roman"/>
          <w:color w:val="auto"/>
          <w:sz w:val="24"/>
          <w:szCs w:val="24"/>
          <w:highlight w:val="none"/>
        </w:rPr>
        <w:t>基岩风化裂隙潜水</w:t>
      </w:r>
      <w:r>
        <w:rPr>
          <w:rFonts w:hint="default" w:ascii="Times New Roman" w:hAnsi="Times New Roman" w:eastAsia="宋体" w:cs="Times New Roman"/>
          <w:color w:val="auto"/>
          <w:sz w:val="24"/>
          <w:szCs w:val="24"/>
          <w:highlight w:val="none"/>
          <w:lang w:eastAsia="zh-CN"/>
        </w:rPr>
        <w:t>（评价区主要含水层）</w:t>
      </w:r>
    </w:p>
    <w:p w14:paraId="17C8521E">
      <w:pPr>
        <w:pStyle w:val="35"/>
        <w:keepNext w:val="0"/>
        <w:keepLines w:val="0"/>
        <w:pageBreakBefore w:val="0"/>
        <w:widowControl w:val="0"/>
        <w:kinsoku/>
        <w:wordWrap/>
        <w:overflowPunct/>
        <w:topLinePunct w:val="0"/>
        <w:autoSpaceDE/>
        <w:autoSpaceDN/>
        <w:bidi w:val="0"/>
        <w:adjustRightInd/>
        <w:snapToGrid/>
        <w:spacing w:after="0" w:line="480" w:lineRule="exact"/>
        <w:ind w:left="0" w:leftChars="0" w:firstLine="480" w:firstLineChars="200"/>
        <w:textAlignment w:val="auto"/>
        <w:rPr>
          <w:rFonts w:hint="default" w:ascii="Times New Roman" w:hAnsi="Times New Roman" w:cs="Times New Roman"/>
          <w:color w:val="auto"/>
          <w:sz w:val="28"/>
          <w:szCs w:val="28"/>
          <w:highlight w:val="none"/>
        </w:rPr>
      </w:pPr>
      <w:r>
        <w:rPr>
          <w:rFonts w:hint="default" w:ascii="Times New Roman" w:hAnsi="Times New Roman" w:eastAsia="宋体" w:cs="Times New Roman"/>
          <w:color w:val="auto"/>
          <w:sz w:val="24"/>
          <w:szCs w:val="24"/>
          <w:highlight w:val="none"/>
        </w:rPr>
        <w:t>分布于广大低山区，含水层(带)为中生界火山岩、火山碎屑岩及晚印支期花岗岩风化带．风化带厚度主要与岩性有关：晚印支期花岗岩风化带较厚，为28-58m，多为30m左右，风化裂隙发育，张开性较好；中生界火山岩及火山碎屑岩风化带薄，一般10-20m，且风化裂隙多被充填。风化裂隙水的富水性与降水、植被、岩性、风化带厚度及地形有关，由于区内降水、地形等因素无大差异，故富水性主要与岩性和风化带厚度有关。分布在市区北部及西北部的五花山、金鱼背及红花岭一带的风化裂隙水，含水岩组由晚印支期花岗岩组成。该区植被较发育，花岗岩风化带较厚，泉流量10-30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/d。其余广大低山区风化裂隙水水量贫乏，含水岩组主要由中生界火山岩及火山碎屑岩组成。泉流量小于10m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/d。风化裂隙水水位埋深变化较大，5-10m不等，且富水性极不均匀，开发利用比较困难</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水化学类型为重碳酸钙型水</w:t>
      </w:r>
      <w:r>
        <w:rPr>
          <w:rFonts w:hint="default" w:ascii="Times New Roman" w:hAnsi="Times New Roman" w:cs="Times New Roman"/>
          <w:color w:val="auto"/>
          <w:sz w:val="24"/>
          <w:szCs w:val="24"/>
          <w:highlight w:val="none"/>
        </w:rPr>
        <w:t>。</w:t>
      </w:r>
    </w:p>
    <w:p w14:paraId="2A0F7C4D">
      <w:pPr>
        <w:keepNext w:val="0"/>
        <w:keepLines w:val="0"/>
        <w:pageBreakBefore w:val="0"/>
        <w:widowControl w:val="0"/>
        <w:kinsoku/>
        <w:wordWrap/>
        <w:overflowPunct/>
        <w:topLinePunct w:val="0"/>
        <w:autoSpaceDE/>
        <w:autoSpaceDN/>
        <w:bidi w:val="0"/>
        <w:adjustRightInd w:val="0"/>
        <w:spacing w:line="48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地下水补给、径流及排泄条件</w:t>
      </w:r>
    </w:p>
    <w:p w14:paraId="1033031D">
      <w:pPr>
        <w:keepNext w:val="0"/>
        <w:keepLines w:val="0"/>
        <w:pageBreakBefore w:val="0"/>
        <w:widowControl w:val="0"/>
        <w:kinsoku/>
        <w:wordWrap/>
        <w:overflowPunct/>
        <w:topLinePunct w:val="0"/>
        <w:autoSpaceDE/>
        <w:autoSpaceDN/>
        <w:bidi w:val="0"/>
        <w:adjustRightInd/>
        <w:snapToGrid w:val="0"/>
        <w:spacing w:line="480" w:lineRule="exact"/>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大气降水入渗是基岩风化裂隙水的唯一补给来源。基岩裂隙水迳流通畅，在接受降水补给后，多数经一定距离的迳流后以泉的形式排泄于河流，在河谷附近则可以潜流方式补给河谷区孔隙潜水。风化裂隙水的泉流量多数具有较明显的季节性；降水充沛的季节，泉流量较大，降水少的季节，泉流量较小。</w:t>
      </w:r>
    </w:p>
    <w:p w14:paraId="6E182E89">
      <w:pPr>
        <w:bidi w:val="0"/>
        <w:rPr>
          <w:rFonts w:hint="eastAsia" w:ascii="Times New Roman" w:hAnsi="Times New Roman" w:cs="Times New Roman"/>
          <w:color w:val="auto"/>
          <w:sz w:val="24"/>
          <w:szCs w:val="24"/>
          <w:highlight w:val="none"/>
          <w:lang w:eastAsia="zh-CN"/>
        </w:rPr>
      </w:pPr>
      <w:r>
        <w:rPr>
          <w:rFonts w:hint="default" w:ascii="Times New Roman" w:hAnsi="Times New Roman" w:eastAsia="宋体" w:cs="Times New Roman"/>
          <w:color w:val="auto"/>
          <w:kern w:val="0"/>
          <w:sz w:val="24"/>
          <w:szCs w:val="24"/>
          <w:highlight w:val="none"/>
          <w:lang w:val="en-US" w:eastAsia="zh-CN" w:bidi="ar-SA"/>
        </w:rPr>
        <w:t>河谷区孔隙潜水以接受大气降水入渗补给为主，其次为基岩风化裂隙潜水的侧向迳流补给。山间河谷孔隙潜水含水层上覆粘性土较薄，地下水位埋藏浅，有利于降水入渗。其水位动态主要受气象要素控制，反映了该含水岩组主要接受大气降水补给。据有关调查资料，地下水水位均高于河水位。因此，孔隙潜水向河流迳流是主要排泄方式。此外，蒸发也是排泄途迳之一</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rPr>
        <w:t>地下水径流方向由东南向西北方向迳流，地下水水力坡度约为0.037</w:t>
      </w:r>
      <w:r>
        <w:rPr>
          <w:rFonts w:hint="eastAsia" w:ascii="Times New Roman" w:hAnsi="Times New Roman" w:cs="Times New Roman"/>
          <w:color w:val="auto"/>
          <w:sz w:val="24"/>
          <w:szCs w:val="24"/>
          <w:highlight w:val="none"/>
          <w:lang w:eastAsia="zh-CN"/>
        </w:rPr>
        <w:t>。</w:t>
      </w:r>
    </w:p>
    <w:p w14:paraId="53386265">
      <w:pPr>
        <w:pStyle w:val="5"/>
        <w:bidi w:val="0"/>
        <w:ind w:left="0" w:leftChars="0" w:firstLine="0" w:firstLineChars="0"/>
        <w:rPr>
          <w:rFonts w:hint="eastAsia"/>
          <w:sz w:val="30"/>
          <w:szCs w:val="30"/>
          <w:highlight w:val="none"/>
          <w:lang w:val="en-US" w:eastAsia="zh-CN"/>
        </w:rPr>
      </w:pPr>
      <w:bookmarkStart w:id="106" w:name="_Toc8573"/>
      <w:r>
        <w:rPr>
          <w:rFonts w:hint="default" w:ascii="Times New Roman" w:hAnsi="Times New Roman" w:cs="Times New Roman"/>
          <w:sz w:val="30"/>
          <w:szCs w:val="30"/>
          <w:highlight w:val="none"/>
          <w:lang w:val="en-US" w:eastAsia="zh-CN"/>
        </w:rPr>
        <w:t>4.1.</w:t>
      </w:r>
      <w:r>
        <w:rPr>
          <w:rFonts w:hint="eastAsia" w:ascii="Times New Roman" w:hAnsi="Times New Roman" w:cs="Times New Roman"/>
          <w:sz w:val="30"/>
          <w:szCs w:val="30"/>
          <w:highlight w:val="none"/>
          <w:lang w:val="en-US" w:eastAsia="zh-CN"/>
        </w:rPr>
        <w:t>5</w:t>
      </w:r>
      <w:r>
        <w:rPr>
          <w:rFonts w:hint="eastAsia"/>
          <w:sz w:val="30"/>
          <w:szCs w:val="30"/>
          <w:highlight w:val="none"/>
          <w:lang w:val="en-US" w:eastAsia="zh-CN"/>
        </w:rPr>
        <w:t>土壤</w:t>
      </w:r>
      <w:bookmarkEnd w:id="106"/>
    </w:p>
    <w:p w14:paraId="09374451">
      <w:pPr>
        <w:pStyle w:val="37"/>
        <w:rPr>
          <w:highlight w:val="none"/>
        </w:rPr>
      </w:pPr>
      <w:r>
        <w:rPr>
          <w:highlight w:val="none"/>
        </w:rPr>
        <w:t>全市土壤共分为六个土类，分别为暗棕壤、白浆土、草甸土、沼泽土、泥炭土以及河淤土。暗棕壤属地带性土壤，在本市分布最广，面积最大，分布在山上及陡坡处，表土层由上到下，逐渐加厚。</w:t>
      </w:r>
    </w:p>
    <w:p w14:paraId="54AA1460">
      <w:pPr>
        <w:rPr>
          <w:highlight w:val="none"/>
        </w:rPr>
      </w:pPr>
      <w:r>
        <w:rPr>
          <w:highlight w:val="none"/>
        </w:rPr>
        <w:t>白浆土和草甸土主要分布在河谷水线两旁的平缓坡地上，河淤土、沼泽土、泥炭土受微地形支配成复区分布在河谷水线和低平的洼地。</w:t>
      </w:r>
    </w:p>
    <w:p w14:paraId="25BABE6D">
      <w:pPr>
        <w:pStyle w:val="5"/>
        <w:bidi w:val="0"/>
        <w:ind w:left="0" w:leftChars="0" w:firstLine="0" w:firstLineChars="0"/>
        <w:rPr>
          <w:rFonts w:hint="eastAsia"/>
          <w:highlight w:val="none"/>
          <w:lang w:val="en-US" w:eastAsia="zh-CN"/>
        </w:rPr>
      </w:pPr>
      <w:bookmarkStart w:id="107" w:name="_Toc31153"/>
      <w:r>
        <w:rPr>
          <w:rFonts w:hint="eastAsia"/>
          <w:highlight w:val="none"/>
          <w:lang w:val="en-US" w:eastAsia="zh-CN"/>
        </w:rPr>
        <w:t>4.1.6自然资源</w:t>
      </w:r>
      <w:bookmarkEnd w:id="107"/>
    </w:p>
    <w:p w14:paraId="7AAD0075">
      <w:pPr>
        <w:pStyle w:val="35"/>
        <w:keepNext w:val="0"/>
        <w:keepLines w:val="0"/>
        <w:pageBreakBefore w:val="0"/>
        <w:widowControl w:val="0"/>
        <w:kinsoku/>
        <w:wordWrap/>
        <w:overflowPunct/>
        <w:topLinePunct w:val="0"/>
        <w:autoSpaceDE/>
        <w:autoSpaceDN/>
        <w:bidi w:val="0"/>
        <w:adjustRightInd/>
        <w:snapToGrid/>
        <w:spacing w:after="0" w:line="480" w:lineRule="exact"/>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1、水资源</w:t>
      </w:r>
    </w:p>
    <w:p w14:paraId="7F50E09D">
      <w:pPr>
        <w:pStyle w:val="35"/>
        <w:keepNext w:val="0"/>
        <w:keepLines w:val="0"/>
        <w:pageBreakBefore w:val="0"/>
        <w:widowControl w:val="0"/>
        <w:kinsoku/>
        <w:wordWrap/>
        <w:overflowPunct/>
        <w:topLinePunct w:val="0"/>
        <w:autoSpaceDE/>
        <w:autoSpaceDN/>
        <w:bidi w:val="0"/>
        <w:adjustRightInd/>
        <w:snapToGrid/>
        <w:spacing w:after="0" w:line="480" w:lineRule="exact"/>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根据2008年《黑龙江省水资源及开发利用调查评价》成果，论证范围内多年平均水资源总量为1.06×10</w:t>
      </w:r>
      <w:r>
        <w:rPr>
          <w:rFonts w:hint="default" w:ascii="Times New Roman" w:hAnsi="Times New Roman" w:eastAsia="宋体" w:cs="Times New Roman"/>
          <w:color w:val="auto"/>
          <w:sz w:val="24"/>
          <w:szCs w:val="24"/>
          <w:highlight w:val="none"/>
          <w:vertAlign w:val="superscript"/>
          <w:lang w:val="en-US" w:eastAsia="zh-CN"/>
        </w:rPr>
        <w:t>8</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，其中地表水资源量为1.06×10</w:t>
      </w:r>
      <w:r>
        <w:rPr>
          <w:rFonts w:hint="default" w:ascii="Times New Roman" w:hAnsi="Times New Roman" w:eastAsia="宋体" w:cs="Times New Roman"/>
          <w:color w:val="auto"/>
          <w:sz w:val="24"/>
          <w:szCs w:val="24"/>
          <w:highlight w:val="none"/>
          <w:vertAlign w:val="superscript"/>
          <w:lang w:val="en-US" w:eastAsia="zh-CN"/>
        </w:rPr>
        <w:t>8</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，地下水资源量为0.28×10</w:t>
      </w:r>
      <w:r>
        <w:rPr>
          <w:rFonts w:hint="default" w:ascii="Times New Roman" w:hAnsi="Times New Roman" w:eastAsia="宋体" w:cs="Times New Roman"/>
          <w:color w:val="auto"/>
          <w:sz w:val="24"/>
          <w:szCs w:val="24"/>
          <w:highlight w:val="none"/>
          <w:vertAlign w:val="superscript"/>
          <w:lang w:val="en-US" w:eastAsia="zh-CN"/>
        </w:rPr>
        <w:t>8</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，重复计算量为0.28×10</w:t>
      </w:r>
      <w:r>
        <w:rPr>
          <w:rFonts w:hint="default" w:ascii="Times New Roman" w:hAnsi="Times New Roman" w:eastAsia="宋体" w:cs="Times New Roman"/>
          <w:color w:val="auto"/>
          <w:sz w:val="24"/>
          <w:szCs w:val="24"/>
          <w:highlight w:val="none"/>
          <w:vertAlign w:val="superscript"/>
          <w:lang w:val="en-US" w:eastAsia="zh-CN"/>
        </w:rPr>
        <w:t>8</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w:t>
      </w:r>
    </w:p>
    <w:p w14:paraId="336785F2">
      <w:pPr>
        <w:pStyle w:val="35"/>
        <w:keepNext w:val="0"/>
        <w:keepLines w:val="0"/>
        <w:pageBreakBefore w:val="0"/>
        <w:widowControl w:val="0"/>
        <w:kinsoku/>
        <w:wordWrap/>
        <w:overflowPunct/>
        <w:topLinePunct w:val="0"/>
        <w:autoSpaceDE/>
        <w:autoSpaceDN/>
        <w:bidi w:val="0"/>
        <w:adjustRightInd/>
        <w:snapToGrid/>
        <w:spacing w:after="0" w:line="480" w:lineRule="exact"/>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（1）地表水水资源量时空分布特点</w:t>
      </w:r>
    </w:p>
    <w:p w14:paraId="18E2D594">
      <w:pPr>
        <w:pStyle w:val="35"/>
        <w:keepNext w:val="0"/>
        <w:keepLines w:val="0"/>
        <w:pageBreakBefore w:val="0"/>
        <w:widowControl w:val="0"/>
        <w:kinsoku/>
        <w:wordWrap/>
        <w:overflowPunct/>
        <w:topLinePunct w:val="0"/>
        <w:autoSpaceDE/>
        <w:autoSpaceDN/>
        <w:bidi w:val="0"/>
        <w:adjustRightInd/>
        <w:snapToGrid/>
        <w:spacing w:after="0" w:line="480" w:lineRule="exact"/>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论证范围内各流域径流以地表水为主，其补给水源主要是大气降水，可分为降雨径流和融雪径流，其中融雪径流一般发生在4月中、下旬，所占比重较小，降雨径流为径流主要来源，降水主要集中在7、8月份，约占全年的62%。流域内多年平均年径流深381.5mm，径流深空间分布与降水量空间分布的趋势较为一致，上游山区径流大，下游平原区径流小。径流的年内丰枯变化较大，主要是受降雨量大小所支配，夏季水量较丰，冬季径流较小。径流的年内分配极不均匀，大部分径流量集中在夏秋汛期，其中6月～9月份径流量占全年的68.9%。11月至翌年3月份径流仅占年径流量的5.5％。</w:t>
      </w:r>
    </w:p>
    <w:p w14:paraId="39630DA6">
      <w:pPr>
        <w:pStyle w:val="35"/>
        <w:keepNext w:val="0"/>
        <w:keepLines w:val="0"/>
        <w:pageBreakBefore w:val="0"/>
        <w:widowControl w:val="0"/>
        <w:kinsoku/>
        <w:wordWrap/>
        <w:overflowPunct/>
        <w:topLinePunct w:val="0"/>
        <w:autoSpaceDE/>
        <w:autoSpaceDN/>
        <w:bidi w:val="0"/>
        <w:adjustRightInd/>
        <w:snapToGrid/>
        <w:spacing w:after="0" w:line="480" w:lineRule="exact"/>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（2）地下水水资源量时空分布特点</w:t>
      </w:r>
    </w:p>
    <w:p w14:paraId="4B577C82">
      <w:pPr>
        <w:pStyle w:val="35"/>
        <w:keepNext w:val="0"/>
        <w:keepLines w:val="0"/>
        <w:pageBreakBefore w:val="0"/>
        <w:widowControl w:val="0"/>
        <w:kinsoku/>
        <w:wordWrap/>
        <w:overflowPunct/>
        <w:topLinePunct w:val="0"/>
        <w:autoSpaceDE/>
        <w:autoSpaceDN/>
        <w:bidi w:val="0"/>
        <w:adjustRightInd/>
        <w:snapToGrid/>
        <w:spacing w:after="0" w:line="480" w:lineRule="exact"/>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区地下水动态变化主要受气象、水文条件的控制，并受人工开采的影响。从年内变化来看，本区地下水的动态变化具有明显的季节性周期变化规律。每年的3～4月份地下水位最低，为枯水期，此时，地表蒸发量较大，降水量较少，季节性冻土刚刚消失，地下水尚未得到降水的补给。随着降水量不断增加，入渗补给量增大，地下水位普遍开始抬升，8～9月份地下水位达到年内高峰值，为丰水期，与降水过程相比，地下水位的抬升具有滞后性。9月末以后，由于降水量减少，地下水获得的补给量亦相应减少，而蒸发作用加强，地下水位开始逐渐下降。11月中旬地表开始结冻，直至翌年3月底或4月初季节性冻土消失的全部时间段内，地下水位都处于下降状态之中。从总体上看，地下水动态变化规律是：山区、山前台地、一级阶地埋深较小，向河漫滩区水位埋深逐渐增大。</w:t>
      </w:r>
    </w:p>
    <w:p w14:paraId="63C109A0">
      <w:pPr>
        <w:pStyle w:val="35"/>
        <w:keepNext w:val="0"/>
        <w:keepLines w:val="0"/>
        <w:pageBreakBefore w:val="0"/>
        <w:widowControl w:val="0"/>
        <w:kinsoku/>
        <w:wordWrap/>
        <w:overflowPunct/>
        <w:topLinePunct w:val="0"/>
        <w:autoSpaceDE/>
        <w:autoSpaceDN/>
        <w:bidi w:val="0"/>
        <w:adjustRightInd/>
        <w:snapToGrid/>
        <w:spacing w:after="0" w:line="480" w:lineRule="exact"/>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2、森林资源</w:t>
      </w:r>
    </w:p>
    <w:p w14:paraId="120B64A0">
      <w:pPr>
        <w:pStyle w:val="35"/>
        <w:keepNext w:val="0"/>
        <w:keepLines w:val="0"/>
        <w:pageBreakBefore w:val="0"/>
        <w:widowControl w:val="0"/>
        <w:kinsoku/>
        <w:wordWrap/>
        <w:overflowPunct/>
        <w:topLinePunct w:val="0"/>
        <w:autoSpaceDE/>
        <w:autoSpaceDN/>
        <w:bidi w:val="0"/>
        <w:adjustRightInd/>
        <w:snapToGrid/>
        <w:spacing w:after="0" w:line="480" w:lineRule="exact"/>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森林覆盖率为45.87%，高于全省10.86个百分点，主要树种有松、桦、椴、柞、榆、杨、柳、槭、胡桃楸、水曲柳等；活力木蓄积量99.145万立方米。具有较高经济价值的野生植物资源主要有玫瑰、山葡萄、草莓、蕨菜、黄花菜、薇菜、黄芪、五味子、龙胆草、刺五加、芍药、贝母、百合、柴胡、桔梗、苍术、益母草、穿地龙、木耳、蘑菇等。</w:t>
      </w:r>
    </w:p>
    <w:p w14:paraId="58622AAE">
      <w:pPr>
        <w:pStyle w:val="35"/>
        <w:keepNext w:val="0"/>
        <w:keepLines w:val="0"/>
        <w:pageBreakBefore w:val="0"/>
        <w:widowControl w:val="0"/>
        <w:kinsoku/>
        <w:wordWrap/>
        <w:overflowPunct/>
        <w:topLinePunct w:val="0"/>
        <w:autoSpaceDE/>
        <w:autoSpaceDN/>
        <w:bidi w:val="0"/>
        <w:adjustRightInd/>
        <w:snapToGrid/>
        <w:spacing w:after="0" w:line="480" w:lineRule="exact"/>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3、矿产资源</w:t>
      </w:r>
    </w:p>
    <w:p w14:paraId="2AB14D32">
      <w:pPr>
        <w:pStyle w:val="35"/>
        <w:keepNext w:val="0"/>
        <w:keepLines w:val="0"/>
        <w:pageBreakBefore w:val="0"/>
        <w:widowControl w:val="0"/>
        <w:kinsoku/>
        <w:wordWrap/>
        <w:overflowPunct/>
        <w:topLinePunct w:val="0"/>
        <w:autoSpaceDE/>
        <w:autoSpaceDN/>
        <w:bidi w:val="0"/>
        <w:adjustRightInd/>
        <w:snapToGrid/>
        <w:spacing w:after="0" w:line="480" w:lineRule="exact"/>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绥芬河地下矿藏主要有沸石、铬铁、辰砂，沸石中的赋存浊沸石分布较广，储量可观。</w:t>
      </w:r>
    </w:p>
    <w:p w14:paraId="74D9378A">
      <w:pPr>
        <w:pStyle w:val="35"/>
        <w:keepNext w:val="0"/>
        <w:keepLines w:val="0"/>
        <w:pageBreakBefore w:val="0"/>
        <w:widowControl w:val="0"/>
        <w:kinsoku/>
        <w:wordWrap/>
        <w:overflowPunct/>
        <w:topLinePunct w:val="0"/>
        <w:autoSpaceDE/>
        <w:autoSpaceDN/>
        <w:bidi w:val="0"/>
        <w:adjustRightInd/>
        <w:snapToGrid/>
        <w:spacing w:after="0" w:line="480" w:lineRule="exact"/>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4、动物资源</w:t>
      </w:r>
    </w:p>
    <w:p w14:paraId="4FA40C8D">
      <w:pPr>
        <w:pStyle w:val="35"/>
        <w:keepNext w:val="0"/>
        <w:keepLines w:val="0"/>
        <w:pageBreakBefore w:val="0"/>
        <w:widowControl w:val="0"/>
        <w:kinsoku/>
        <w:wordWrap/>
        <w:overflowPunct/>
        <w:topLinePunct w:val="0"/>
        <w:autoSpaceDE/>
        <w:autoSpaceDN/>
        <w:bidi w:val="0"/>
        <w:adjustRightInd/>
        <w:snapToGrid/>
        <w:spacing w:after="0" w:line="480" w:lineRule="exact"/>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野生动物资源主要有虎、熊、野猪、马鹿、狼、狐、貉、獾、狍、獐、黄鼬、水獭、雉鸡、飞龙、沙半鸡、蛇、蛙等。到80年代，大型哺乳动物已少见。</w:t>
      </w:r>
    </w:p>
    <w:p w14:paraId="26E578D8">
      <w:pPr>
        <w:pStyle w:val="4"/>
        <w:bidi w:val="0"/>
        <w:ind w:left="0" w:leftChars="0" w:firstLine="0" w:firstLineChars="0"/>
        <w:rPr>
          <w:rFonts w:hint="eastAsia"/>
          <w:highlight w:val="none"/>
          <w:lang w:val="en-US" w:eastAsia="zh-CN"/>
        </w:rPr>
      </w:pPr>
      <w:bookmarkStart w:id="108" w:name="_Toc16136"/>
      <w:r>
        <w:rPr>
          <w:rFonts w:hint="eastAsia"/>
          <w:highlight w:val="none"/>
          <w:lang w:val="en-US" w:eastAsia="zh-CN"/>
        </w:rPr>
        <w:t>4.2环境保护目标调查</w:t>
      </w:r>
      <w:bookmarkEnd w:id="108"/>
    </w:p>
    <w:p w14:paraId="52220D29">
      <w:pPr>
        <w:pStyle w:val="5"/>
        <w:ind w:left="0" w:leftChars="0" w:firstLine="0" w:firstLineChars="0"/>
        <w:rPr>
          <w:rFonts w:hint="default"/>
          <w:sz w:val="30"/>
          <w:szCs w:val="30"/>
          <w:highlight w:val="none"/>
          <w:lang w:val="en-US" w:eastAsia="zh-CN"/>
        </w:rPr>
      </w:pPr>
      <w:bookmarkStart w:id="109" w:name="_Toc4382"/>
      <w:r>
        <w:rPr>
          <w:rFonts w:hint="default" w:ascii="Times New Roman" w:hAnsi="Times New Roman" w:cs="Times New Roman"/>
          <w:sz w:val="30"/>
          <w:szCs w:val="30"/>
          <w:highlight w:val="none"/>
          <w:lang w:val="en-US" w:eastAsia="zh-CN"/>
        </w:rPr>
        <w:t>4.2.1</w:t>
      </w:r>
      <w:r>
        <w:rPr>
          <w:rFonts w:hint="eastAsia"/>
          <w:sz w:val="30"/>
          <w:szCs w:val="30"/>
          <w:highlight w:val="none"/>
          <w:lang w:val="en-US" w:eastAsia="zh-CN"/>
        </w:rPr>
        <w:t>环境功能区划</w:t>
      </w:r>
      <w:bookmarkEnd w:id="109"/>
    </w:p>
    <w:p w14:paraId="6DDD26B7">
      <w:pPr>
        <w:bidi w:val="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依据“黑龙江省环境保护重要区域流域示意图”及“全国自然保护区名录”，绥芬河市有金家沟自然保护区。金家沟自然保护区始建于2002年7月1日，为县级自然保护区，</w:t>
      </w:r>
      <w:r>
        <w:rPr>
          <w:rFonts w:hint="default" w:ascii="Times New Roman" w:hAnsi="Times New Roman" w:cs="Times New Roman"/>
          <w:color w:val="auto"/>
          <w:kern w:val="0"/>
          <w:sz w:val="24"/>
          <w:highlight w:val="none"/>
          <w:lang w:val="en-US" w:eastAsia="zh-CN"/>
        </w:rPr>
        <w:t>主要保护对象为水域生态系统、饮用水源地，类型为内陆湿地，</w:t>
      </w:r>
      <w:r>
        <w:rPr>
          <w:rFonts w:hint="default" w:ascii="Times New Roman" w:hAnsi="Times New Roman" w:eastAsia="宋体" w:cs="Times New Roman"/>
          <w:color w:val="auto"/>
          <w:kern w:val="0"/>
          <w:sz w:val="24"/>
          <w:szCs w:val="24"/>
          <w:highlight w:val="none"/>
          <w:lang w:val="en-US" w:eastAsia="zh-CN"/>
        </w:rPr>
        <w:t>该自然保护区总面积为2080公顷。该自然保护区位于绥芬河市西部，本项目距离金家沟水库自然保护区约</w:t>
      </w:r>
      <w:r>
        <w:rPr>
          <w:rFonts w:hint="eastAsia" w:ascii="Times New Roman" w:hAnsi="Times New Roman" w:eastAsia="宋体" w:cs="Times New Roman"/>
          <w:color w:val="auto"/>
          <w:kern w:val="0"/>
          <w:sz w:val="24"/>
          <w:szCs w:val="24"/>
          <w:highlight w:val="none"/>
          <w:lang w:val="en-US" w:eastAsia="zh-CN"/>
        </w:rPr>
        <w:t>14</w:t>
      </w:r>
      <w:r>
        <w:rPr>
          <w:rFonts w:hint="default" w:ascii="Times New Roman" w:hAnsi="Times New Roman" w:eastAsia="宋体" w:cs="Times New Roman"/>
          <w:color w:val="auto"/>
          <w:kern w:val="0"/>
          <w:sz w:val="24"/>
          <w:szCs w:val="24"/>
          <w:highlight w:val="none"/>
          <w:lang w:val="en-US" w:eastAsia="zh-CN"/>
        </w:rPr>
        <w:t>km。</w:t>
      </w:r>
    </w:p>
    <w:p w14:paraId="06E31D37">
      <w:pPr>
        <w:ind w:firstLine="480"/>
        <w:rPr>
          <w:rFonts w:hint="eastAsia" w:ascii="Times New Roman" w:hAnsi="Times New Roman"/>
          <w:highlight w:val="none"/>
        </w:rPr>
      </w:pPr>
      <w:r>
        <w:rPr>
          <w:rFonts w:ascii="Times New Roman" w:hAnsi="Times New Roman"/>
          <w:highlight w:val="none"/>
        </w:rPr>
        <w:t>（1）水环境：根据《全国重要江河湖泊功能区划（2011-2030年）》，</w:t>
      </w:r>
      <w:r>
        <w:rPr>
          <w:rFonts w:hint="default" w:ascii="Times New Roman" w:hAnsi="Times New Roman" w:cs="Times New Roman"/>
          <w:color w:val="auto"/>
          <w:spacing w:val="0"/>
          <w:sz w:val="24"/>
          <w:highlight w:val="none"/>
          <w:lang w:val="en-US" w:eastAsia="zh-CN"/>
        </w:rPr>
        <w:t>项目</w:t>
      </w:r>
      <w:r>
        <w:rPr>
          <w:rFonts w:hint="default" w:ascii="Times New Roman" w:hAnsi="Times New Roman" w:eastAsia="宋体" w:cs="Times New Roman"/>
          <w:color w:val="auto"/>
          <w:sz w:val="24"/>
          <w:highlight w:val="none"/>
          <w:lang w:val="en-US" w:eastAsia="zh-CN"/>
        </w:rPr>
        <w:t>位于</w:t>
      </w:r>
      <w:r>
        <w:rPr>
          <w:rFonts w:hint="default" w:ascii="Times New Roman" w:hAnsi="Times New Roman" w:cs="Times New Roman"/>
          <w:color w:val="auto"/>
          <w:sz w:val="24"/>
          <w:highlight w:val="none"/>
          <w:lang w:val="en-US" w:eastAsia="zh-CN"/>
        </w:rPr>
        <w:t>小绥芬河（老莱营村-大、小绥芬河汇合口</w:t>
      </w:r>
      <w:r>
        <w:rPr>
          <w:rFonts w:hint="default" w:ascii="Times New Roman" w:hAnsi="Times New Roman" w:eastAsia="宋体" w:cs="Times New Roman"/>
          <w:color w:val="auto"/>
          <w:sz w:val="24"/>
          <w:highlight w:val="none"/>
          <w:lang w:val="en-US" w:eastAsia="zh-CN"/>
        </w:rPr>
        <w:t>断面</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bidi="ar"/>
        </w:rPr>
        <w:t>根据《全国重要江河湖泊水功能区划（2011～2030年）》</w:t>
      </w:r>
      <w:r>
        <w:rPr>
          <w:rFonts w:hint="default" w:ascii="Times New Roman" w:hAnsi="Times New Roman" w:cs="Times New Roman"/>
          <w:color w:val="auto"/>
          <w:kern w:val="0"/>
          <w:sz w:val="24"/>
          <w:szCs w:val="24"/>
          <w:highlight w:val="none"/>
          <w:lang w:val="en-US" w:eastAsia="zh-CN" w:bidi="ar"/>
        </w:rPr>
        <w:t>，水质类别为</w:t>
      </w:r>
      <w:r>
        <w:rPr>
          <w:rFonts w:hint="default" w:ascii="Times New Roman" w:hAnsi="Times New Roman" w:eastAsia="宋体" w:cs="Times New Roman"/>
          <w:color w:val="auto"/>
          <w:sz w:val="24"/>
          <w:highlight w:val="none"/>
        </w:rPr>
        <w:t>Ⅲ</w:t>
      </w:r>
      <w:r>
        <w:rPr>
          <w:rFonts w:hint="default" w:ascii="Times New Roman" w:hAnsi="Times New Roman" w:cs="Times New Roman"/>
          <w:color w:val="auto"/>
          <w:kern w:val="0"/>
          <w:sz w:val="24"/>
          <w:szCs w:val="24"/>
          <w:highlight w:val="none"/>
          <w:lang w:val="en-US" w:eastAsia="zh-CN" w:bidi="ar"/>
        </w:rPr>
        <w:t>类，</w:t>
      </w:r>
      <w:r>
        <w:rPr>
          <w:rFonts w:hint="default" w:ascii="Times New Roman" w:hAnsi="Times New Roman" w:eastAsia="宋体" w:cs="Times New Roman"/>
          <w:color w:val="auto"/>
          <w:sz w:val="24"/>
          <w:highlight w:val="none"/>
          <w:lang w:val="en-US" w:eastAsia="zh-CN"/>
        </w:rPr>
        <w:t>执行</w:t>
      </w:r>
      <w:r>
        <w:rPr>
          <w:rFonts w:hint="default" w:ascii="Times New Roman" w:hAnsi="Times New Roman" w:eastAsia="宋体" w:cs="Times New Roman"/>
          <w:color w:val="auto"/>
          <w:sz w:val="24"/>
          <w:highlight w:val="none"/>
        </w:rPr>
        <w:t>《地表水环境质量标准》（GB3838-2002）中Ⅲ类水体标准</w:t>
      </w:r>
      <w:r>
        <w:rPr>
          <w:rFonts w:hint="default" w:ascii="Times New Roman" w:hAnsi="Times New Roman" w:cs="Times New Roman"/>
          <w:color w:val="auto"/>
          <w:sz w:val="24"/>
          <w:highlight w:val="none"/>
          <w:lang w:eastAsia="zh-CN"/>
        </w:rPr>
        <w:t>。</w:t>
      </w:r>
    </w:p>
    <w:p w14:paraId="1DFD7024">
      <w:pPr>
        <w:ind w:firstLine="480"/>
        <w:rPr>
          <w:rFonts w:ascii="Times New Roman" w:hAnsi="Times New Roman"/>
          <w:highlight w:val="none"/>
        </w:rPr>
      </w:pPr>
      <w:r>
        <w:rPr>
          <w:rFonts w:ascii="Times New Roman" w:hAnsi="Times New Roman"/>
          <w:highlight w:val="none"/>
        </w:rPr>
        <w:t>（2）环境空气：本项目所在区域为二类功能区，环境空气质量标准执行国家《环境空气质量标准》（GB3095-2012）中二级标准。</w:t>
      </w:r>
    </w:p>
    <w:p w14:paraId="3A5664AE">
      <w:pPr>
        <w:ind w:firstLine="480"/>
        <w:rPr>
          <w:rFonts w:ascii="Times New Roman" w:hAnsi="Times New Roman"/>
          <w:highlight w:val="none"/>
        </w:rPr>
      </w:pPr>
      <w:r>
        <w:rPr>
          <w:rFonts w:ascii="Times New Roman" w:hAnsi="Times New Roman"/>
          <w:highlight w:val="none"/>
        </w:rPr>
        <w:t>（3）声环境：</w:t>
      </w:r>
      <w:r>
        <w:rPr>
          <w:rFonts w:hint="eastAsia" w:ascii="Times New Roman" w:hAnsi="Times New Roman"/>
          <w:highlight w:val="none"/>
          <w:lang w:val="en-US" w:eastAsia="zh-CN"/>
        </w:rPr>
        <w:t>本</w:t>
      </w:r>
      <w:r>
        <w:rPr>
          <w:rFonts w:ascii="Times New Roman" w:hAnsi="Times New Roman"/>
          <w:highlight w:val="none"/>
        </w:rPr>
        <w:t>项目所在</w:t>
      </w:r>
      <w:r>
        <w:rPr>
          <w:rFonts w:hint="eastAsia" w:ascii="Times New Roman" w:hAnsi="Times New Roman"/>
          <w:highlight w:val="none"/>
          <w:lang w:val="en-US" w:eastAsia="zh-CN"/>
        </w:rPr>
        <w:t>区域</w:t>
      </w:r>
      <w:r>
        <w:rPr>
          <w:rFonts w:ascii="Times New Roman" w:hAnsi="Times New Roman"/>
          <w:highlight w:val="none"/>
        </w:rPr>
        <w:t>为</w:t>
      </w:r>
      <w:r>
        <w:rPr>
          <w:rFonts w:hint="eastAsia" w:ascii="Times New Roman" w:hAnsi="Times New Roman"/>
          <w:highlight w:val="none"/>
          <w:lang w:val="en-US" w:eastAsia="zh-CN"/>
        </w:rPr>
        <w:t>2</w:t>
      </w:r>
      <w:r>
        <w:rPr>
          <w:rFonts w:ascii="Times New Roman" w:hAnsi="Times New Roman"/>
          <w:highlight w:val="none"/>
        </w:rPr>
        <w:t>类声环境功能区，故本项目所在区域执行《声环境质量标准》(GB3096-2008)中</w:t>
      </w:r>
      <w:r>
        <w:rPr>
          <w:rFonts w:hint="eastAsia" w:ascii="Times New Roman" w:hAnsi="Times New Roman"/>
          <w:highlight w:val="none"/>
          <w:lang w:val="en-US" w:eastAsia="zh-CN"/>
        </w:rPr>
        <w:t>2</w:t>
      </w:r>
      <w:r>
        <w:rPr>
          <w:rFonts w:ascii="Times New Roman" w:hAnsi="Times New Roman"/>
          <w:highlight w:val="none"/>
        </w:rPr>
        <w:t>类区标准。</w:t>
      </w:r>
    </w:p>
    <w:p w14:paraId="7036807D">
      <w:pPr>
        <w:bidi w:val="0"/>
        <w:rPr>
          <w:rFonts w:ascii="Times New Roman" w:hAnsi="Times New Roman"/>
          <w:highlight w:val="none"/>
        </w:rPr>
      </w:pPr>
      <w:r>
        <w:rPr>
          <w:rFonts w:ascii="Times New Roman" w:hAnsi="Times New Roman"/>
          <w:highlight w:val="none"/>
        </w:rPr>
        <w:t>（4）土壤环境：</w:t>
      </w:r>
      <w:r>
        <w:rPr>
          <w:rFonts w:hint="eastAsia" w:ascii="Times New Roman" w:hAnsi="Times New Roman"/>
          <w:highlight w:val="none"/>
        </w:rPr>
        <w:t>居住区土壤环境执行《土壤环境质量 建设用地土壤污染风险管控标准（试行）》（GB36600-2018）中第一类建设用地风险筛选值；项目厂址土壤环境执行《土壤环境质量 建设用地土壤污染风险管控标准（试行）》（GB36600-2018）中第二类建设用地风险筛选值；农田土壤环境执行《土壤环境质量 农用地土壤污染风险管控标准（试行）》（GB15618-2018）风险筛选值</w:t>
      </w:r>
      <w:r>
        <w:rPr>
          <w:rFonts w:ascii="Times New Roman" w:hAnsi="Times New Roman"/>
          <w:highlight w:val="none"/>
        </w:rPr>
        <w:t>。</w:t>
      </w:r>
    </w:p>
    <w:p w14:paraId="18B012B2">
      <w:pPr>
        <w:pStyle w:val="5"/>
        <w:bidi w:val="0"/>
        <w:ind w:left="0" w:leftChars="0" w:firstLine="0" w:firstLineChars="0"/>
        <w:rPr>
          <w:rFonts w:hint="eastAsia"/>
          <w:sz w:val="30"/>
          <w:szCs w:val="30"/>
          <w:highlight w:val="none"/>
          <w:lang w:val="en-US" w:eastAsia="zh-CN"/>
        </w:rPr>
      </w:pPr>
      <w:bookmarkStart w:id="110" w:name="_Toc20671"/>
      <w:r>
        <w:rPr>
          <w:rFonts w:hint="eastAsia"/>
          <w:sz w:val="30"/>
          <w:szCs w:val="30"/>
          <w:highlight w:val="none"/>
          <w:lang w:val="en-US" w:eastAsia="zh-CN"/>
        </w:rPr>
        <w:t>4.2.2主要环境敏感区</w:t>
      </w:r>
      <w:bookmarkEnd w:id="110"/>
    </w:p>
    <w:p w14:paraId="5908686F">
      <w:pPr>
        <w:rPr>
          <w:rFonts w:hint="default" w:ascii="Times New Roman" w:hAnsi="Times New Roman" w:eastAsia="宋体" w:cs="Times New Roman"/>
          <w:color w:val="auto"/>
          <w:kern w:val="0"/>
          <w:sz w:val="24"/>
          <w:szCs w:val="24"/>
          <w:highlight w:val="none"/>
          <w:lang w:val="en-US" w:eastAsia="zh-CN"/>
        </w:rPr>
      </w:pPr>
      <w:r>
        <w:rPr>
          <w:rFonts w:ascii="Times New Roman" w:hAnsi="Times New Roman"/>
          <w:highlight w:val="none"/>
        </w:rPr>
        <w:t>根据调查，本项目厂址不在自然保护区、风景名胜区、世界文化和自然遗产地、海洋特别保护区、饮用水水源保护区；基本农田保护区、基本草原、森林公园、地质公园、重要湿地、天然林、野生动物重要栖息地、重点保护野生植物生长繁殖地、重要水生生物的自然产卵场、索饵场、越冬场和洄游通道、天然渔场、水土流失重点防治区、沙化土地封禁保护区、封闭及半封闭海域；以居住、医疗卫生、文化教育、科研、行政办公等为主要功能的区域，以及文物保护单位范围内。</w:t>
      </w:r>
      <w:r>
        <w:rPr>
          <w:rFonts w:hint="default" w:ascii="Times New Roman" w:hAnsi="Times New Roman" w:cs="Times New Roman"/>
          <w:color w:val="auto"/>
          <w:spacing w:val="0"/>
          <w:sz w:val="24"/>
          <w:szCs w:val="24"/>
          <w:highlight w:val="none"/>
          <w:lang w:val="en-US" w:eastAsia="zh-CN"/>
        </w:rPr>
        <w:t>绥芬河市有金家沟自然保护区。金家沟自然保护区始建于2002年7月1日，为县级自然保护区，</w:t>
      </w:r>
      <w:r>
        <w:rPr>
          <w:rFonts w:hint="default" w:ascii="Times New Roman" w:hAnsi="Times New Roman" w:cs="Times New Roman"/>
          <w:color w:val="auto"/>
          <w:kern w:val="0"/>
          <w:sz w:val="24"/>
          <w:highlight w:val="none"/>
          <w:lang w:val="en-US" w:eastAsia="zh-CN"/>
        </w:rPr>
        <w:t>主要保护对象为水域生态系统、饮用水源地，类型为内陆湿地，</w:t>
      </w:r>
      <w:r>
        <w:rPr>
          <w:rFonts w:hint="default" w:ascii="Times New Roman" w:hAnsi="Times New Roman" w:eastAsia="宋体" w:cs="Times New Roman"/>
          <w:color w:val="auto"/>
          <w:kern w:val="0"/>
          <w:sz w:val="24"/>
          <w:szCs w:val="24"/>
          <w:highlight w:val="none"/>
          <w:lang w:val="en-US" w:eastAsia="zh-CN"/>
        </w:rPr>
        <w:t>该自然保护区总面积为2080公顷。该自然保护区位于绥芬河市西部，本项目距离金家沟水库自然保护区约</w:t>
      </w:r>
      <w:r>
        <w:rPr>
          <w:rFonts w:hint="eastAsia" w:ascii="Times New Roman" w:hAnsi="Times New Roman" w:eastAsia="宋体" w:cs="Times New Roman"/>
          <w:color w:val="auto"/>
          <w:kern w:val="0"/>
          <w:sz w:val="24"/>
          <w:szCs w:val="24"/>
          <w:highlight w:val="none"/>
          <w:lang w:val="en-US" w:eastAsia="zh-CN"/>
        </w:rPr>
        <w:t>14</w:t>
      </w:r>
      <w:r>
        <w:rPr>
          <w:rFonts w:hint="default" w:ascii="Times New Roman" w:hAnsi="Times New Roman" w:eastAsia="宋体" w:cs="Times New Roman"/>
          <w:color w:val="auto"/>
          <w:kern w:val="0"/>
          <w:sz w:val="24"/>
          <w:szCs w:val="24"/>
          <w:highlight w:val="none"/>
          <w:lang w:val="en-US" w:eastAsia="zh-CN"/>
        </w:rPr>
        <w:t>km</w:t>
      </w:r>
      <w:r>
        <w:rPr>
          <w:rFonts w:hint="eastAsia" w:ascii="Times New Roman" w:hAnsi="Times New Roman" w:cs="Times New Roman"/>
          <w:color w:val="auto"/>
          <w:kern w:val="0"/>
          <w:sz w:val="24"/>
          <w:szCs w:val="24"/>
          <w:highlight w:val="none"/>
          <w:lang w:val="en-US" w:eastAsia="zh-CN"/>
        </w:rPr>
        <w:t>，不在本项目评价范围内。</w:t>
      </w:r>
    </w:p>
    <w:p w14:paraId="66FD968E">
      <w:pPr>
        <w:pStyle w:val="4"/>
        <w:bidi w:val="0"/>
        <w:ind w:left="0" w:leftChars="0" w:firstLine="0" w:firstLineChars="0"/>
        <w:rPr>
          <w:rFonts w:hint="eastAsia"/>
          <w:highlight w:val="none"/>
          <w:lang w:val="en-US" w:eastAsia="zh-CN"/>
        </w:rPr>
      </w:pPr>
      <w:bookmarkStart w:id="111" w:name="_Toc23457"/>
      <w:r>
        <w:rPr>
          <w:rFonts w:hint="eastAsia"/>
          <w:highlight w:val="none"/>
          <w:lang w:val="en-US" w:eastAsia="zh-CN"/>
        </w:rPr>
        <w:t>4.3环境质量现状调查与评价</w:t>
      </w:r>
      <w:bookmarkEnd w:id="111"/>
    </w:p>
    <w:p w14:paraId="52B5EDA2">
      <w:pPr>
        <w:pStyle w:val="5"/>
        <w:ind w:left="0" w:leftChars="0" w:firstLine="0" w:firstLineChars="0"/>
        <w:rPr>
          <w:rFonts w:hint="eastAsia"/>
          <w:sz w:val="30"/>
          <w:szCs w:val="30"/>
          <w:highlight w:val="none"/>
          <w:lang w:val="en-US" w:eastAsia="zh-CN"/>
        </w:rPr>
      </w:pPr>
      <w:bookmarkStart w:id="112" w:name="_Toc23391"/>
      <w:r>
        <w:rPr>
          <w:rFonts w:hint="default" w:ascii="Times New Roman" w:hAnsi="Times New Roman" w:cs="Times New Roman"/>
          <w:sz w:val="30"/>
          <w:szCs w:val="30"/>
          <w:highlight w:val="none"/>
          <w:lang w:val="en-US" w:eastAsia="zh-CN"/>
        </w:rPr>
        <w:t>4.3.1</w:t>
      </w:r>
      <w:r>
        <w:rPr>
          <w:rFonts w:hint="eastAsia"/>
          <w:sz w:val="30"/>
          <w:szCs w:val="30"/>
          <w:highlight w:val="none"/>
          <w:lang w:val="en-US" w:eastAsia="zh-CN"/>
        </w:rPr>
        <w:t>环境空气质量现状评价</w:t>
      </w:r>
      <w:bookmarkEnd w:id="112"/>
    </w:p>
    <w:p w14:paraId="73747018">
      <w:pPr>
        <w:ind w:firstLine="480"/>
        <w:rPr>
          <w:rFonts w:ascii="Times New Roman" w:hAnsi="Times New Roman"/>
          <w:highlight w:val="none"/>
        </w:rPr>
      </w:pPr>
      <w:r>
        <w:rPr>
          <w:rFonts w:ascii="Times New Roman" w:hAnsi="Times New Roman"/>
          <w:highlight w:val="none"/>
        </w:rPr>
        <w:t>一、区域环境空气质量达标区判定</w:t>
      </w:r>
    </w:p>
    <w:p w14:paraId="3AD7CE20">
      <w:pPr>
        <w:ind w:firstLine="480"/>
        <w:rPr>
          <w:rFonts w:ascii="Times New Roman" w:hAnsi="Times New Roman"/>
          <w:highlight w:val="none"/>
        </w:rPr>
      </w:pPr>
      <w:r>
        <w:rPr>
          <w:rFonts w:ascii="Times New Roman" w:hAnsi="Times New Roman"/>
          <w:highlight w:val="none"/>
        </w:rPr>
        <w:t>本项目位于黑龙江省</w:t>
      </w:r>
      <w:r>
        <w:rPr>
          <w:rFonts w:hint="eastAsia" w:ascii="Times New Roman" w:hAnsi="Times New Roman"/>
          <w:highlight w:val="none"/>
          <w:lang w:val="en-US" w:eastAsia="zh-CN"/>
        </w:rPr>
        <w:t>牡丹江</w:t>
      </w:r>
      <w:r>
        <w:rPr>
          <w:rFonts w:ascii="Times New Roman" w:hAnsi="Times New Roman"/>
          <w:highlight w:val="none"/>
        </w:rPr>
        <w:t>市</w:t>
      </w:r>
      <w:r>
        <w:rPr>
          <w:rFonts w:hint="eastAsia" w:ascii="Times New Roman" w:hAnsi="Times New Roman"/>
          <w:highlight w:val="none"/>
          <w:lang w:val="en-US" w:eastAsia="zh-CN"/>
        </w:rPr>
        <w:t>绥芬河市</w:t>
      </w:r>
      <w:r>
        <w:rPr>
          <w:rFonts w:ascii="Times New Roman" w:hAnsi="Times New Roman"/>
          <w:highlight w:val="none"/>
        </w:rPr>
        <w:t>，</w:t>
      </w:r>
      <w:r>
        <w:rPr>
          <w:rFonts w:hint="eastAsia" w:ascii="Times New Roman" w:hAnsi="Times New Roman" w:eastAsia="宋体" w:cs="Times New Roman"/>
          <w:color w:val="auto"/>
          <w:sz w:val="24"/>
          <w:szCs w:val="24"/>
          <w:highlight w:val="none"/>
        </w:rPr>
        <w:t>根据《</w:t>
      </w:r>
      <w:r>
        <w:rPr>
          <w:rFonts w:hint="eastAsia" w:ascii="Times New Roman" w:hAnsi="Times New Roman" w:eastAsia="宋体" w:cs="Times New Roman"/>
          <w:color w:val="auto"/>
          <w:sz w:val="24"/>
          <w:szCs w:val="24"/>
          <w:highlight w:val="none"/>
          <w:lang w:val="en-US" w:eastAsia="zh-CN"/>
        </w:rPr>
        <w:t>牡丹江市环境质量公报（2024年度）</w:t>
      </w:r>
      <w:r>
        <w:rPr>
          <w:rFonts w:hint="eastAsia"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和《2024年黑龙江省生态环境质量状况》，2024年牡丹江市区环境空气质量达标天数比例为96.7%。市区细颗粒物、可吸入颗粒物、二氧化硫、二氧化氮年均值,一氧化碳日均值及臭氧日最大8小时平均值均优于国家环境空气质量二级标准。</w:t>
      </w:r>
      <w:r>
        <w:rPr>
          <w:rFonts w:hint="eastAsia" w:ascii="Times New Roman" w:hAnsi="Times New Roman" w:eastAsia="宋体" w:cs="Times New Roman"/>
          <w:color w:val="auto"/>
          <w:sz w:val="24"/>
          <w:szCs w:val="24"/>
          <w:highlight w:val="none"/>
        </w:rPr>
        <w:t>牡丹江市202</w:t>
      </w:r>
      <w:r>
        <w:rPr>
          <w:rFonts w:hint="eastAsia" w:ascii="Times New Roman" w:hAnsi="Times New Roman" w:eastAsia="宋体"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rPr>
        <w:t>年SO</w:t>
      </w:r>
      <w:r>
        <w:rPr>
          <w:rFonts w:hint="eastAsia" w:ascii="Times New Roman" w:hAnsi="Times New Roman" w:eastAsia="宋体" w:cs="Times New Roman"/>
          <w:color w:val="auto"/>
          <w:sz w:val="24"/>
          <w:szCs w:val="24"/>
          <w:highlight w:val="none"/>
          <w:vertAlign w:val="subscript"/>
        </w:rPr>
        <w:t>2</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NO</w:t>
      </w:r>
      <w:r>
        <w:rPr>
          <w:rFonts w:hint="eastAsia" w:ascii="Times New Roman" w:hAnsi="Times New Roman" w:eastAsia="宋体" w:cs="Times New Roman"/>
          <w:color w:val="auto"/>
          <w:sz w:val="24"/>
          <w:szCs w:val="24"/>
          <w:highlight w:val="none"/>
          <w:vertAlign w:val="subscript"/>
        </w:rPr>
        <w:t>2</w:t>
      </w:r>
      <w:r>
        <w:rPr>
          <w:rFonts w:hint="eastAsia" w:ascii="Times New Roman" w:hAnsi="Times New Roman" w:eastAsia="宋体" w:cs="Times New Roman"/>
          <w:color w:val="auto"/>
          <w:sz w:val="24"/>
          <w:szCs w:val="24"/>
          <w:highlight w:val="none"/>
        </w:rPr>
        <w:t>、PM</w:t>
      </w:r>
      <w:r>
        <w:rPr>
          <w:rFonts w:hint="eastAsia" w:ascii="Times New Roman" w:hAnsi="Times New Roman" w:eastAsia="宋体" w:cs="Times New Roman"/>
          <w:color w:val="auto"/>
          <w:sz w:val="24"/>
          <w:szCs w:val="24"/>
          <w:highlight w:val="none"/>
          <w:vertAlign w:val="subscript"/>
          <w:lang w:val="en-US" w:eastAsia="zh-CN"/>
        </w:rPr>
        <w:t>10</w:t>
      </w:r>
      <w:r>
        <w:rPr>
          <w:rFonts w:hint="eastAsia" w:ascii="Times New Roman" w:hAnsi="Times New Roman" w:eastAsia="宋体" w:cs="Times New Roman"/>
          <w:color w:val="auto"/>
          <w:sz w:val="24"/>
          <w:szCs w:val="24"/>
          <w:highlight w:val="none"/>
        </w:rPr>
        <w:t>、PM</w:t>
      </w:r>
      <w:r>
        <w:rPr>
          <w:rFonts w:hint="eastAsia" w:ascii="Times New Roman" w:hAnsi="Times New Roman" w:eastAsia="宋体" w:cs="Times New Roman"/>
          <w:color w:val="auto"/>
          <w:sz w:val="24"/>
          <w:szCs w:val="24"/>
          <w:highlight w:val="none"/>
          <w:vertAlign w:val="subscript"/>
        </w:rPr>
        <w:t>2</w:t>
      </w:r>
      <w:r>
        <w:rPr>
          <w:rFonts w:hint="eastAsia" w:ascii="Times New Roman" w:hAnsi="Times New Roman" w:eastAsia="宋体" w:cs="Times New Roman"/>
          <w:color w:val="auto"/>
          <w:sz w:val="24"/>
          <w:szCs w:val="24"/>
          <w:highlight w:val="none"/>
          <w:vertAlign w:val="subscript"/>
          <w:lang w:val="en-US" w:eastAsia="zh-CN"/>
        </w:rPr>
        <w:t>.</w:t>
      </w:r>
      <w:r>
        <w:rPr>
          <w:rFonts w:hint="eastAsia" w:ascii="Times New Roman" w:hAnsi="Times New Roman" w:eastAsia="宋体" w:cs="Times New Roman"/>
          <w:color w:val="auto"/>
          <w:sz w:val="24"/>
          <w:szCs w:val="24"/>
          <w:highlight w:val="none"/>
          <w:vertAlign w:val="subscript"/>
        </w:rPr>
        <w:t>5</w:t>
      </w:r>
      <w:r>
        <w:rPr>
          <w:rFonts w:hint="eastAsia" w:ascii="Times New Roman" w:hAnsi="Times New Roman" w:eastAsia="宋体" w:cs="Times New Roman"/>
          <w:color w:val="auto"/>
          <w:sz w:val="24"/>
          <w:szCs w:val="24"/>
          <w:highlight w:val="none"/>
        </w:rPr>
        <w:t>年均浓度分别为</w:t>
      </w:r>
      <w:r>
        <w:rPr>
          <w:rFonts w:hint="eastAsia" w:ascii="Times New Roman" w:hAnsi="Times New Roman" w:eastAsia="宋体" w:cs="Times New Roman"/>
          <w:color w:val="auto"/>
          <w:sz w:val="24"/>
          <w:szCs w:val="24"/>
          <w:highlight w:val="none"/>
          <w:lang w:val="en-US" w:eastAsia="zh-CN"/>
        </w:rPr>
        <w:t>9</w:t>
      </w:r>
      <w:r>
        <w:rPr>
          <w:rFonts w:hint="eastAsia" w:ascii="Times New Roman" w:hAnsi="Times New Roman" w:eastAsia="宋体" w:cs="Times New Roman"/>
          <w:color w:val="auto"/>
          <w:sz w:val="24"/>
          <w:szCs w:val="24"/>
          <w:highlight w:val="none"/>
        </w:rPr>
        <w:t>ug/m</w:t>
      </w:r>
      <w:r>
        <w:rPr>
          <w:rFonts w:hint="eastAsia" w:ascii="Times New Roman" w:hAnsi="Times New Roman" w:eastAsia="宋体" w:cs="Times New Roman"/>
          <w:color w:val="auto"/>
          <w:sz w:val="24"/>
          <w:szCs w:val="24"/>
          <w:highlight w:val="none"/>
          <w:vertAlign w:val="superscript"/>
        </w:rPr>
        <w:t>3</w:t>
      </w:r>
      <w:r>
        <w:rPr>
          <w:rFonts w:hint="eastAsia" w:ascii="Times New Roman" w:hAnsi="Times New Roman" w:eastAsia="宋体" w:cs="Times New Roman"/>
          <w:color w:val="auto"/>
          <w:sz w:val="24"/>
          <w:szCs w:val="24"/>
          <w:highlight w:val="none"/>
        </w:rPr>
        <w:t>、2</w:t>
      </w:r>
      <w:r>
        <w:rPr>
          <w:rFonts w:hint="eastAsia" w:ascii="Times New Roman" w:hAnsi="Times New Roman" w:eastAsia="宋体" w:cs="Times New Roman"/>
          <w:color w:val="auto"/>
          <w:sz w:val="24"/>
          <w:szCs w:val="24"/>
          <w:highlight w:val="none"/>
          <w:lang w:val="en-US" w:eastAsia="zh-CN"/>
        </w:rPr>
        <w:t>0</w:t>
      </w:r>
      <w:r>
        <w:rPr>
          <w:rFonts w:hint="eastAsia" w:ascii="Times New Roman" w:hAnsi="Times New Roman" w:eastAsia="宋体" w:cs="Times New Roman"/>
          <w:color w:val="auto"/>
          <w:sz w:val="24"/>
          <w:szCs w:val="24"/>
          <w:highlight w:val="none"/>
        </w:rPr>
        <w:t>ug/m</w:t>
      </w:r>
      <w:r>
        <w:rPr>
          <w:rFonts w:hint="eastAsia" w:ascii="Times New Roman" w:hAnsi="Times New Roman" w:eastAsia="宋体" w:cs="Times New Roman"/>
          <w:color w:val="auto"/>
          <w:sz w:val="24"/>
          <w:szCs w:val="24"/>
          <w:highlight w:val="none"/>
          <w:vertAlign w:val="superscript"/>
        </w:rPr>
        <w:t>3</w:t>
      </w:r>
      <w:r>
        <w:rPr>
          <w:rFonts w:hint="eastAsia"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44</w:t>
      </w:r>
      <w:r>
        <w:rPr>
          <w:rFonts w:hint="eastAsia" w:ascii="Times New Roman" w:hAnsi="Times New Roman" w:eastAsia="宋体" w:cs="Times New Roman"/>
          <w:color w:val="auto"/>
          <w:sz w:val="24"/>
          <w:szCs w:val="24"/>
          <w:highlight w:val="none"/>
        </w:rPr>
        <w:t>ug/m</w:t>
      </w:r>
      <w:r>
        <w:rPr>
          <w:rFonts w:hint="eastAsia" w:ascii="Times New Roman" w:hAnsi="Times New Roman" w:eastAsia="宋体" w:cs="Times New Roman"/>
          <w:color w:val="auto"/>
          <w:sz w:val="24"/>
          <w:szCs w:val="24"/>
          <w:highlight w:val="none"/>
          <w:vertAlign w:val="superscript"/>
        </w:rPr>
        <w:t>3</w:t>
      </w:r>
      <w:r>
        <w:rPr>
          <w:rFonts w:hint="eastAsia"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31</w:t>
      </w:r>
      <w:r>
        <w:rPr>
          <w:rFonts w:hint="eastAsia" w:ascii="Times New Roman" w:hAnsi="Times New Roman" w:eastAsia="宋体" w:cs="Times New Roman"/>
          <w:color w:val="auto"/>
          <w:sz w:val="24"/>
          <w:szCs w:val="24"/>
          <w:highlight w:val="none"/>
        </w:rPr>
        <w:t>ug/m</w:t>
      </w:r>
      <w:r>
        <w:rPr>
          <w:rFonts w:hint="eastAsia" w:ascii="Times New Roman" w:hAnsi="Times New Roman" w:eastAsia="宋体" w:cs="Times New Roman"/>
          <w:color w:val="auto"/>
          <w:sz w:val="24"/>
          <w:szCs w:val="24"/>
          <w:highlight w:val="none"/>
          <w:vertAlign w:val="superscript"/>
        </w:rPr>
        <w:t>3</w:t>
      </w:r>
      <w:r>
        <w:rPr>
          <w:rFonts w:hint="eastAsia"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rPr>
        <w:t>CO24小时平均第95百分位数为</w:t>
      </w:r>
      <w:r>
        <w:rPr>
          <w:rFonts w:hint="eastAsia" w:ascii="Times New Roman" w:hAnsi="Times New Roman" w:eastAsia="宋体" w:cs="Times New Roman"/>
          <w:color w:val="auto"/>
          <w:sz w:val="24"/>
          <w:szCs w:val="24"/>
          <w:highlight w:val="none"/>
          <w:lang w:val="en-US" w:eastAsia="zh-CN"/>
        </w:rPr>
        <w:t>0.9</w:t>
      </w:r>
      <w:r>
        <w:rPr>
          <w:rFonts w:hint="eastAsia" w:ascii="Times New Roman" w:hAnsi="Times New Roman" w:eastAsia="宋体" w:cs="Times New Roman"/>
          <w:color w:val="auto"/>
          <w:sz w:val="24"/>
          <w:szCs w:val="24"/>
          <w:highlight w:val="none"/>
        </w:rPr>
        <w:t>mg/m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rPr>
        <w:t>，O</w:t>
      </w:r>
      <w:r>
        <w:rPr>
          <w:rFonts w:hint="eastAsia" w:ascii="Times New Roman" w:hAnsi="Times New Roman" w:eastAsia="宋体" w:cs="Times New Roman"/>
          <w:color w:val="auto"/>
          <w:sz w:val="24"/>
          <w:szCs w:val="24"/>
          <w:highlight w:val="none"/>
          <w:vertAlign w:val="subscript"/>
        </w:rPr>
        <w:t>3</w:t>
      </w:r>
      <w:r>
        <w:rPr>
          <w:rFonts w:hint="eastAsia" w:ascii="Times New Roman" w:hAnsi="Times New Roman" w:eastAsia="宋体" w:cs="Times New Roman"/>
          <w:color w:val="auto"/>
          <w:sz w:val="24"/>
          <w:szCs w:val="24"/>
          <w:highlight w:val="none"/>
        </w:rPr>
        <w:t>日最大8小时平均第90百分位数为</w:t>
      </w:r>
      <w:r>
        <w:rPr>
          <w:rFonts w:hint="eastAsia" w:ascii="Times New Roman" w:hAnsi="Times New Roman" w:eastAsia="宋体" w:cs="Times New Roman"/>
          <w:color w:val="auto"/>
          <w:sz w:val="24"/>
          <w:szCs w:val="24"/>
          <w:highlight w:val="none"/>
          <w:lang w:val="en-US" w:eastAsia="zh-CN"/>
        </w:rPr>
        <w:t>108</w:t>
      </w:r>
      <w:r>
        <w:rPr>
          <w:rFonts w:hint="eastAsia" w:ascii="Times New Roman" w:hAnsi="Times New Roman" w:eastAsia="宋体" w:cs="Times New Roman"/>
          <w:color w:val="auto"/>
          <w:sz w:val="24"/>
          <w:szCs w:val="24"/>
          <w:highlight w:val="none"/>
        </w:rPr>
        <w:t>ug/</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rPr>
        <w:t>各污染物平均浓度能够满足《环境空气质量标准》(GB3095-2012)及修改单中二级标准限值，项目所在区域属于环境空气质量达标区。</w:t>
      </w:r>
    </w:p>
    <w:p w14:paraId="69D02E75">
      <w:pPr>
        <w:pStyle w:val="7"/>
        <w:ind w:firstLine="0" w:firstLineChars="0"/>
        <w:jc w:val="center"/>
        <w:rPr>
          <w:rFonts w:ascii="Times New Roman" w:hAnsi="Times New Roman"/>
          <w:highlight w:val="none"/>
        </w:rPr>
      </w:pPr>
      <w:r>
        <w:rPr>
          <w:rFonts w:hint="eastAsia" w:ascii="黑体" w:hAnsi="黑体" w:eastAsia="黑体" w:cs="黑体"/>
          <w:highlight w:val="none"/>
        </w:rPr>
        <w:t>表</w:t>
      </w:r>
      <w:r>
        <w:rPr>
          <w:rFonts w:ascii="Times New Roman" w:hAnsi="Times New Roman"/>
          <w:highlight w:val="none"/>
        </w:rPr>
        <w:t>4.3-1</w:t>
      </w:r>
      <w:r>
        <w:rPr>
          <w:rFonts w:hint="eastAsia" w:ascii="黑体" w:hAnsi="黑体" w:eastAsia="黑体" w:cs="黑体"/>
          <w:highlight w:val="none"/>
        </w:rPr>
        <w:t>区域空气质量现状评价表</w:t>
      </w:r>
      <w:r>
        <w:rPr>
          <w:rFonts w:ascii="Times New Roman" w:hAnsi="Times New Roman"/>
          <w:highlight w:val="none"/>
        </w:rPr>
        <w:t>（202</w:t>
      </w:r>
      <w:r>
        <w:rPr>
          <w:rFonts w:hint="eastAsia" w:ascii="Times New Roman" w:hAnsi="Times New Roman"/>
          <w:highlight w:val="none"/>
          <w:lang w:val="en-US" w:eastAsia="zh-CN"/>
        </w:rPr>
        <w:t>4</w:t>
      </w:r>
      <w:r>
        <w:rPr>
          <w:rFonts w:hint="eastAsia" w:ascii="黑体" w:hAnsi="黑体" w:eastAsia="黑体" w:cs="黑体"/>
          <w:highlight w:val="none"/>
        </w:rPr>
        <w:t>年</w:t>
      </w:r>
      <w:r>
        <w:rPr>
          <w:rFonts w:ascii="Times New Roman" w:hAnsi="Times New Roman"/>
          <w:highlight w:val="none"/>
        </w:rPr>
        <w:t>）</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63"/>
        <w:gridCol w:w="2895"/>
        <w:gridCol w:w="1564"/>
        <w:gridCol w:w="1203"/>
        <w:gridCol w:w="1063"/>
        <w:gridCol w:w="834"/>
      </w:tblGrid>
      <w:tr w14:paraId="6AFC8B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65" w:type="pct"/>
            <w:tcBorders>
              <w:top w:val="single" w:color="auto" w:sz="12" w:space="0"/>
              <w:left w:val="nil"/>
              <w:bottom w:val="single" w:color="auto" w:sz="4" w:space="0"/>
              <w:right w:val="single" w:color="auto" w:sz="4" w:space="0"/>
            </w:tcBorders>
            <w:noWrap w:val="0"/>
            <w:vAlign w:val="center"/>
          </w:tcPr>
          <w:p w14:paraId="25DC60B3">
            <w:pPr>
              <w:spacing w:line="240" w:lineRule="auto"/>
              <w:ind w:firstLine="0" w:firstLineChars="0"/>
              <w:contextualSpacing/>
              <w:jc w:val="center"/>
              <w:rPr>
                <w:rFonts w:ascii="Times New Roman" w:hAnsi="Times New Roman" w:eastAsia="宋体" w:cs="Times New Roman"/>
                <w:sz w:val="21"/>
                <w:szCs w:val="24"/>
                <w:highlight w:val="none"/>
              </w:rPr>
            </w:pPr>
            <w:r>
              <w:rPr>
                <w:rFonts w:ascii="Times New Roman" w:hAnsi="Times New Roman" w:eastAsia="宋体" w:cs="Times New Roman"/>
                <w:sz w:val="21"/>
                <w:szCs w:val="24"/>
                <w:highlight w:val="none"/>
              </w:rPr>
              <w:t>污染物</w:t>
            </w:r>
          </w:p>
        </w:tc>
        <w:tc>
          <w:tcPr>
            <w:tcW w:w="1697" w:type="pct"/>
            <w:tcBorders>
              <w:top w:val="single" w:color="auto" w:sz="12" w:space="0"/>
              <w:left w:val="single" w:color="auto" w:sz="4" w:space="0"/>
              <w:bottom w:val="single" w:color="auto" w:sz="4" w:space="0"/>
              <w:right w:val="single" w:color="auto" w:sz="4" w:space="0"/>
            </w:tcBorders>
            <w:noWrap w:val="0"/>
            <w:vAlign w:val="center"/>
          </w:tcPr>
          <w:p w14:paraId="3D1CFDC3">
            <w:pPr>
              <w:spacing w:line="240" w:lineRule="auto"/>
              <w:ind w:firstLine="0" w:firstLineChars="0"/>
              <w:contextualSpacing/>
              <w:jc w:val="center"/>
              <w:rPr>
                <w:rFonts w:ascii="Times New Roman" w:hAnsi="Times New Roman" w:eastAsia="宋体" w:cs="Times New Roman"/>
                <w:sz w:val="21"/>
                <w:szCs w:val="24"/>
                <w:highlight w:val="none"/>
              </w:rPr>
            </w:pPr>
            <w:r>
              <w:rPr>
                <w:rFonts w:ascii="Times New Roman" w:hAnsi="Times New Roman" w:eastAsia="宋体" w:cs="Times New Roman"/>
                <w:sz w:val="21"/>
                <w:szCs w:val="24"/>
                <w:highlight w:val="none"/>
              </w:rPr>
              <w:t>评价指标</w:t>
            </w:r>
          </w:p>
        </w:tc>
        <w:tc>
          <w:tcPr>
            <w:tcW w:w="917" w:type="pct"/>
            <w:tcBorders>
              <w:top w:val="single" w:color="auto" w:sz="12" w:space="0"/>
              <w:left w:val="single" w:color="auto" w:sz="4" w:space="0"/>
              <w:bottom w:val="single" w:color="auto" w:sz="4" w:space="0"/>
              <w:right w:val="single" w:color="auto" w:sz="4" w:space="0"/>
            </w:tcBorders>
            <w:noWrap w:val="0"/>
            <w:vAlign w:val="center"/>
          </w:tcPr>
          <w:p w14:paraId="5BDA48C5">
            <w:pPr>
              <w:spacing w:line="240" w:lineRule="auto"/>
              <w:ind w:firstLine="0" w:firstLineChars="0"/>
              <w:contextualSpacing/>
              <w:jc w:val="center"/>
              <w:rPr>
                <w:rFonts w:ascii="Times New Roman" w:hAnsi="Times New Roman" w:eastAsia="宋体" w:cs="Times New Roman"/>
                <w:sz w:val="21"/>
                <w:szCs w:val="24"/>
                <w:highlight w:val="none"/>
              </w:rPr>
            </w:pPr>
            <w:r>
              <w:rPr>
                <w:rFonts w:ascii="Times New Roman" w:hAnsi="Times New Roman" w:eastAsia="宋体" w:cs="Times New Roman"/>
                <w:sz w:val="21"/>
                <w:szCs w:val="24"/>
                <w:highlight w:val="none"/>
              </w:rPr>
              <w:t>现状浓度（μg/m</w:t>
            </w:r>
            <w:r>
              <w:rPr>
                <w:rFonts w:ascii="Times New Roman" w:hAnsi="Times New Roman" w:eastAsia="宋体" w:cs="Times New Roman"/>
                <w:sz w:val="21"/>
                <w:szCs w:val="24"/>
                <w:highlight w:val="none"/>
                <w:vertAlign w:val="superscript"/>
              </w:rPr>
              <w:t>3</w:t>
            </w:r>
            <w:r>
              <w:rPr>
                <w:rFonts w:ascii="Times New Roman" w:hAnsi="Times New Roman" w:eastAsia="宋体" w:cs="Times New Roman"/>
                <w:sz w:val="21"/>
                <w:szCs w:val="24"/>
                <w:highlight w:val="none"/>
              </w:rPr>
              <w:t>）</w:t>
            </w:r>
          </w:p>
        </w:tc>
        <w:tc>
          <w:tcPr>
            <w:tcW w:w="705" w:type="pct"/>
            <w:tcBorders>
              <w:top w:val="single" w:color="auto" w:sz="12" w:space="0"/>
              <w:left w:val="single" w:color="auto" w:sz="4" w:space="0"/>
              <w:bottom w:val="single" w:color="auto" w:sz="4" w:space="0"/>
              <w:right w:val="single" w:color="auto" w:sz="4" w:space="0"/>
            </w:tcBorders>
            <w:noWrap w:val="0"/>
            <w:vAlign w:val="center"/>
          </w:tcPr>
          <w:p w14:paraId="4BA002B0">
            <w:pPr>
              <w:spacing w:line="240" w:lineRule="auto"/>
              <w:ind w:firstLine="0" w:firstLineChars="0"/>
              <w:contextualSpacing/>
              <w:jc w:val="center"/>
              <w:rPr>
                <w:rFonts w:ascii="Times New Roman" w:hAnsi="Times New Roman" w:eastAsia="宋体" w:cs="Times New Roman"/>
                <w:sz w:val="21"/>
                <w:szCs w:val="24"/>
                <w:highlight w:val="none"/>
              </w:rPr>
            </w:pPr>
            <w:r>
              <w:rPr>
                <w:rFonts w:ascii="Times New Roman" w:hAnsi="Times New Roman" w:eastAsia="宋体" w:cs="Times New Roman"/>
                <w:sz w:val="21"/>
                <w:szCs w:val="24"/>
                <w:highlight w:val="none"/>
              </w:rPr>
              <w:t>标准值</w:t>
            </w:r>
          </w:p>
          <w:p w14:paraId="6CD90CA5">
            <w:pPr>
              <w:spacing w:line="240" w:lineRule="auto"/>
              <w:ind w:firstLine="0" w:firstLineChars="0"/>
              <w:contextualSpacing/>
              <w:jc w:val="center"/>
              <w:rPr>
                <w:rFonts w:ascii="Times New Roman" w:hAnsi="Times New Roman" w:eastAsia="宋体" w:cs="Times New Roman"/>
                <w:sz w:val="21"/>
                <w:szCs w:val="24"/>
                <w:highlight w:val="none"/>
              </w:rPr>
            </w:pPr>
            <w:r>
              <w:rPr>
                <w:rFonts w:ascii="Times New Roman" w:hAnsi="Times New Roman" w:eastAsia="宋体" w:cs="Times New Roman"/>
                <w:sz w:val="21"/>
                <w:szCs w:val="24"/>
                <w:highlight w:val="none"/>
              </w:rPr>
              <w:t>（μg/m</w:t>
            </w:r>
            <w:r>
              <w:rPr>
                <w:rFonts w:ascii="Times New Roman" w:hAnsi="Times New Roman" w:eastAsia="宋体" w:cs="Times New Roman"/>
                <w:sz w:val="21"/>
                <w:szCs w:val="24"/>
                <w:highlight w:val="none"/>
                <w:vertAlign w:val="superscript"/>
              </w:rPr>
              <w:t>3</w:t>
            </w:r>
            <w:r>
              <w:rPr>
                <w:rFonts w:ascii="Times New Roman" w:hAnsi="Times New Roman" w:eastAsia="宋体" w:cs="Times New Roman"/>
                <w:sz w:val="21"/>
                <w:szCs w:val="24"/>
                <w:highlight w:val="none"/>
              </w:rPr>
              <w:t>）</w:t>
            </w:r>
          </w:p>
        </w:tc>
        <w:tc>
          <w:tcPr>
            <w:tcW w:w="623" w:type="pct"/>
            <w:tcBorders>
              <w:top w:val="single" w:color="auto" w:sz="12" w:space="0"/>
              <w:left w:val="single" w:color="auto" w:sz="4" w:space="0"/>
              <w:bottom w:val="single" w:color="auto" w:sz="4" w:space="0"/>
              <w:right w:val="single" w:color="auto" w:sz="4" w:space="0"/>
            </w:tcBorders>
            <w:noWrap w:val="0"/>
            <w:vAlign w:val="center"/>
          </w:tcPr>
          <w:p w14:paraId="232F7F5D">
            <w:pPr>
              <w:spacing w:line="240" w:lineRule="auto"/>
              <w:ind w:firstLine="0" w:firstLineChars="0"/>
              <w:contextualSpacing/>
              <w:jc w:val="center"/>
              <w:rPr>
                <w:rFonts w:ascii="Times New Roman" w:hAnsi="Times New Roman" w:eastAsia="宋体" w:cs="Times New Roman"/>
                <w:sz w:val="21"/>
                <w:szCs w:val="24"/>
                <w:highlight w:val="none"/>
              </w:rPr>
            </w:pPr>
            <w:r>
              <w:rPr>
                <w:rFonts w:ascii="Times New Roman" w:hAnsi="Times New Roman" w:eastAsia="宋体" w:cs="Times New Roman"/>
                <w:sz w:val="21"/>
                <w:szCs w:val="24"/>
                <w:highlight w:val="none"/>
              </w:rPr>
              <w:t>占标率（%）</w:t>
            </w:r>
          </w:p>
        </w:tc>
        <w:tc>
          <w:tcPr>
            <w:tcW w:w="489" w:type="pct"/>
            <w:tcBorders>
              <w:top w:val="single" w:color="auto" w:sz="12" w:space="0"/>
              <w:left w:val="single" w:color="auto" w:sz="4" w:space="0"/>
              <w:bottom w:val="single" w:color="auto" w:sz="4" w:space="0"/>
              <w:right w:val="nil"/>
            </w:tcBorders>
            <w:noWrap w:val="0"/>
            <w:vAlign w:val="center"/>
          </w:tcPr>
          <w:p w14:paraId="385C7BA0">
            <w:pPr>
              <w:spacing w:line="240" w:lineRule="auto"/>
              <w:ind w:firstLine="0" w:firstLineChars="0"/>
              <w:contextualSpacing/>
              <w:jc w:val="center"/>
              <w:rPr>
                <w:rFonts w:ascii="Times New Roman" w:hAnsi="Times New Roman" w:eastAsia="宋体" w:cs="Times New Roman"/>
                <w:sz w:val="21"/>
                <w:szCs w:val="24"/>
                <w:highlight w:val="none"/>
              </w:rPr>
            </w:pPr>
            <w:r>
              <w:rPr>
                <w:rFonts w:ascii="Times New Roman" w:hAnsi="Times New Roman" w:eastAsia="宋体" w:cs="Times New Roman"/>
                <w:sz w:val="21"/>
                <w:szCs w:val="24"/>
                <w:highlight w:val="none"/>
              </w:rPr>
              <w:t>达标</w:t>
            </w:r>
          </w:p>
          <w:p w14:paraId="570C812E">
            <w:pPr>
              <w:spacing w:line="240" w:lineRule="auto"/>
              <w:ind w:firstLine="0" w:firstLineChars="0"/>
              <w:contextualSpacing/>
              <w:jc w:val="center"/>
              <w:rPr>
                <w:rFonts w:ascii="Times New Roman" w:hAnsi="Times New Roman" w:eastAsia="宋体" w:cs="Times New Roman"/>
                <w:sz w:val="21"/>
                <w:szCs w:val="24"/>
                <w:highlight w:val="none"/>
              </w:rPr>
            </w:pPr>
            <w:r>
              <w:rPr>
                <w:rFonts w:ascii="Times New Roman" w:hAnsi="Times New Roman" w:eastAsia="宋体" w:cs="Times New Roman"/>
                <w:sz w:val="21"/>
                <w:szCs w:val="24"/>
                <w:highlight w:val="none"/>
              </w:rPr>
              <w:t>情况</w:t>
            </w:r>
          </w:p>
        </w:tc>
      </w:tr>
      <w:tr w14:paraId="24C802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565" w:type="pct"/>
            <w:tcBorders>
              <w:top w:val="single" w:color="auto" w:sz="4" w:space="0"/>
              <w:left w:val="nil"/>
              <w:bottom w:val="single" w:color="auto" w:sz="4" w:space="0"/>
              <w:right w:val="single" w:color="auto" w:sz="4" w:space="0"/>
            </w:tcBorders>
            <w:noWrap w:val="0"/>
            <w:vAlign w:val="center"/>
          </w:tcPr>
          <w:p w14:paraId="6C7D410D">
            <w:pPr>
              <w:spacing w:line="240" w:lineRule="auto"/>
              <w:ind w:firstLine="0" w:firstLineChars="0"/>
              <w:contextualSpacing/>
              <w:jc w:val="center"/>
              <w:rPr>
                <w:rFonts w:ascii="Times New Roman" w:hAnsi="Times New Roman" w:eastAsia="宋体" w:cs="Times New Roman"/>
                <w:sz w:val="21"/>
                <w:szCs w:val="24"/>
                <w:highlight w:val="none"/>
              </w:rPr>
            </w:pPr>
            <w:r>
              <w:rPr>
                <w:rFonts w:ascii="Times New Roman" w:hAnsi="Times New Roman" w:eastAsia="宋体" w:cs="Times New Roman"/>
                <w:sz w:val="21"/>
                <w:szCs w:val="24"/>
                <w:highlight w:val="none"/>
              </w:rPr>
              <w:t>PM</w:t>
            </w:r>
            <w:r>
              <w:rPr>
                <w:rFonts w:ascii="Times New Roman" w:hAnsi="Times New Roman" w:eastAsia="宋体" w:cs="Times New Roman"/>
                <w:sz w:val="21"/>
                <w:szCs w:val="24"/>
                <w:highlight w:val="none"/>
                <w:vertAlign w:val="subscript"/>
              </w:rPr>
              <w:t>2.5</w:t>
            </w:r>
          </w:p>
        </w:tc>
        <w:tc>
          <w:tcPr>
            <w:tcW w:w="1697" w:type="pct"/>
            <w:tcBorders>
              <w:top w:val="single" w:color="auto" w:sz="4" w:space="0"/>
              <w:left w:val="single" w:color="auto" w:sz="4" w:space="0"/>
              <w:bottom w:val="single" w:color="auto" w:sz="4" w:space="0"/>
              <w:right w:val="single" w:color="auto" w:sz="4" w:space="0"/>
            </w:tcBorders>
            <w:noWrap w:val="0"/>
            <w:vAlign w:val="center"/>
          </w:tcPr>
          <w:p w14:paraId="1B775B08">
            <w:pPr>
              <w:spacing w:line="240" w:lineRule="auto"/>
              <w:ind w:firstLine="0" w:firstLineChars="0"/>
              <w:contextualSpacing/>
              <w:jc w:val="center"/>
              <w:rPr>
                <w:rFonts w:ascii="Times New Roman" w:hAnsi="Times New Roman" w:eastAsia="宋体" w:cs="Times New Roman"/>
                <w:sz w:val="21"/>
                <w:szCs w:val="24"/>
                <w:highlight w:val="none"/>
              </w:rPr>
            </w:pPr>
            <w:r>
              <w:rPr>
                <w:rFonts w:ascii="Times New Roman" w:hAnsi="Times New Roman" w:eastAsia="宋体" w:cs="Times New Roman"/>
                <w:sz w:val="21"/>
                <w:szCs w:val="24"/>
                <w:highlight w:val="none"/>
              </w:rPr>
              <w:t>年平均</w:t>
            </w:r>
            <w:r>
              <w:rPr>
                <w:rFonts w:hint="eastAsia" w:ascii="Times New Roman" w:hAnsi="Times New Roman" w:eastAsia="宋体" w:cs="Times New Roman"/>
                <w:sz w:val="21"/>
                <w:szCs w:val="24"/>
                <w:highlight w:val="none"/>
                <w:lang w:val="en-US" w:eastAsia="zh-CN"/>
              </w:rPr>
              <w:t>质量浓度</w:t>
            </w:r>
          </w:p>
        </w:tc>
        <w:tc>
          <w:tcPr>
            <w:tcW w:w="917" w:type="pct"/>
            <w:tcBorders>
              <w:top w:val="single" w:color="auto" w:sz="4" w:space="0"/>
              <w:left w:val="single" w:color="auto" w:sz="4" w:space="0"/>
              <w:bottom w:val="single" w:color="auto" w:sz="4" w:space="0"/>
              <w:right w:val="single" w:color="auto" w:sz="4" w:space="0"/>
            </w:tcBorders>
            <w:noWrap w:val="0"/>
            <w:vAlign w:val="center"/>
          </w:tcPr>
          <w:p w14:paraId="4B2B4489">
            <w:pPr>
              <w:spacing w:line="240" w:lineRule="auto"/>
              <w:ind w:firstLine="0" w:firstLineChars="0"/>
              <w:contextualSpacing/>
              <w:jc w:val="center"/>
              <w:rPr>
                <w:rFonts w:hint="default" w:ascii="Times New Roman" w:hAnsi="Times New Roman" w:eastAsia="宋体" w:cs="Times New Roman"/>
                <w:sz w:val="21"/>
                <w:szCs w:val="24"/>
                <w:highlight w:val="none"/>
                <w:lang w:val="en-US" w:eastAsia="zh-CN"/>
              </w:rPr>
            </w:pPr>
            <w:r>
              <w:rPr>
                <w:rFonts w:hint="eastAsia" w:ascii="Times New Roman" w:hAnsi="Times New Roman" w:eastAsia="宋体" w:cs="Times New Roman"/>
                <w:sz w:val="21"/>
                <w:szCs w:val="24"/>
                <w:highlight w:val="none"/>
                <w:lang w:val="en-US" w:eastAsia="zh-CN"/>
              </w:rPr>
              <w:t>31</w:t>
            </w:r>
          </w:p>
        </w:tc>
        <w:tc>
          <w:tcPr>
            <w:tcW w:w="705" w:type="pct"/>
            <w:tcBorders>
              <w:top w:val="single" w:color="auto" w:sz="4" w:space="0"/>
              <w:left w:val="single" w:color="auto" w:sz="4" w:space="0"/>
              <w:bottom w:val="single" w:color="auto" w:sz="4" w:space="0"/>
              <w:right w:val="single" w:color="auto" w:sz="4" w:space="0"/>
            </w:tcBorders>
            <w:noWrap w:val="0"/>
            <w:vAlign w:val="center"/>
          </w:tcPr>
          <w:p w14:paraId="41B3076F">
            <w:pPr>
              <w:spacing w:line="240" w:lineRule="auto"/>
              <w:ind w:firstLine="0" w:firstLineChars="0"/>
              <w:contextualSpacing/>
              <w:jc w:val="center"/>
              <w:rPr>
                <w:rFonts w:hint="default" w:ascii="Times New Roman" w:hAnsi="Times New Roman" w:eastAsia="宋体" w:cs="Times New Roman"/>
                <w:sz w:val="21"/>
                <w:szCs w:val="24"/>
                <w:highlight w:val="none"/>
                <w:lang w:val="en-US" w:eastAsia="zh-CN"/>
              </w:rPr>
            </w:pPr>
            <w:r>
              <w:rPr>
                <w:rFonts w:hint="eastAsia" w:ascii="Times New Roman" w:hAnsi="Times New Roman" w:eastAsia="宋体" w:cs="Times New Roman"/>
                <w:sz w:val="21"/>
                <w:szCs w:val="24"/>
                <w:highlight w:val="none"/>
                <w:lang w:val="en-US" w:eastAsia="zh-CN"/>
              </w:rPr>
              <w:t>35</w:t>
            </w:r>
          </w:p>
        </w:tc>
        <w:tc>
          <w:tcPr>
            <w:tcW w:w="623" w:type="pct"/>
            <w:tcBorders>
              <w:top w:val="single" w:color="auto" w:sz="4" w:space="0"/>
              <w:left w:val="single" w:color="auto" w:sz="4" w:space="0"/>
              <w:bottom w:val="single" w:color="auto" w:sz="4" w:space="0"/>
              <w:right w:val="single" w:color="auto" w:sz="4" w:space="0"/>
            </w:tcBorders>
            <w:noWrap w:val="0"/>
            <w:vAlign w:val="center"/>
          </w:tcPr>
          <w:p w14:paraId="586207A9">
            <w:pPr>
              <w:spacing w:line="240" w:lineRule="auto"/>
              <w:ind w:firstLine="0" w:firstLineChars="0"/>
              <w:contextualSpacing/>
              <w:jc w:val="center"/>
              <w:rPr>
                <w:rFonts w:hint="default" w:ascii="Times New Roman" w:hAnsi="Times New Roman" w:eastAsia="宋体" w:cs="Times New Roman"/>
                <w:sz w:val="21"/>
                <w:szCs w:val="24"/>
                <w:highlight w:val="none"/>
                <w:lang w:val="en-US" w:eastAsia="zh-CN"/>
              </w:rPr>
            </w:pPr>
            <w:r>
              <w:rPr>
                <w:rFonts w:hint="eastAsia" w:ascii="Times New Roman" w:hAnsi="Times New Roman" w:eastAsia="宋体" w:cs="Times New Roman"/>
                <w:sz w:val="21"/>
                <w:szCs w:val="24"/>
                <w:highlight w:val="none"/>
                <w:lang w:val="en-US" w:eastAsia="zh-CN"/>
              </w:rPr>
              <w:t>88.57</w:t>
            </w:r>
          </w:p>
        </w:tc>
        <w:tc>
          <w:tcPr>
            <w:tcW w:w="489" w:type="pct"/>
            <w:tcBorders>
              <w:top w:val="single" w:color="auto" w:sz="4" w:space="0"/>
              <w:left w:val="single" w:color="auto" w:sz="4" w:space="0"/>
              <w:bottom w:val="single" w:color="auto" w:sz="4" w:space="0"/>
              <w:right w:val="nil"/>
            </w:tcBorders>
            <w:noWrap w:val="0"/>
            <w:vAlign w:val="center"/>
          </w:tcPr>
          <w:p w14:paraId="2164C092">
            <w:pPr>
              <w:spacing w:line="240" w:lineRule="auto"/>
              <w:ind w:firstLine="0" w:firstLineChars="0"/>
              <w:contextualSpacing/>
              <w:jc w:val="center"/>
              <w:rPr>
                <w:rFonts w:ascii="Times New Roman" w:hAnsi="Times New Roman" w:eastAsia="宋体" w:cs="Times New Roman"/>
                <w:sz w:val="21"/>
                <w:szCs w:val="24"/>
                <w:highlight w:val="none"/>
              </w:rPr>
            </w:pPr>
            <w:r>
              <w:rPr>
                <w:rFonts w:ascii="Times New Roman" w:hAnsi="Times New Roman" w:eastAsia="宋体" w:cs="Times New Roman"/>
                <w:sz w:val="21"/>
                <w:szCs w:val="24"/>
                <w:highlight w:val="none"/>
              </w:rPr>
              <w:t>达标</w:t>
            </w:r>
          </w:p>
        </w:tc>
      </w:tr>
      <w:tr w14:paraId="4ED954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65" w:type="pct"/>
            <w:tcBorders>
              <w:top w:val="single" w:color="auto" w:sz="4" w:space="0"/>
              <w:left w:val="nil"/>
              <w:bottom w:val="single" w:color="auto" w:sz="4" w:space="0"/>
              <w:right w:val="single" w:color="auto" w:sz="4" w:space="0"/>
            </w:tcBorders>
            <w:noWrap w:val="0"/>
            <w:vAlign w:val="center"/>
          </w:tcPr>
          <w:p w14:paraId="0471ABA5">
            <w:pPr>
              <w:spacing w:line="240" w:lineRule="auto"/>
              <w:ind w:firstLine="0" w:firstLineChars="0"/>
              <w:contextualSpacing/>
              <w:jc w:val="center"/>
              <w:rPr>
                <w:rFonts w:ascii="Times New Roman" w:hAnsi="Times New Roman" w:eastAsia="宋体" w:cs="Times New Roman"/>
                <w:sz w:val="21"/>
                <w:szCs w:val="24"/>
                <w:highlight w:val="none"/>
              </w:rPr>
            </w:pPr>
            <w:r>
              <w:rPr>
                <w:rFonts w:ascii="Times New Roman" w:hAnsi="Times New Roman" w:eastAsia="宋体" w:cs="Times New Roman"/>
                <w:sz w:val="21"/>
                <w:szCs w:val="24"/>
                <w:highlight w:val="none"/>
              </w:rPr>
              <w:t>PM</w:t>
            </w:r>
            <w:r>
              <w:rPr>
                <w:rFonts w:ascii="Times New Roman" w:hAnsi="Times New Roman" w:eastAsia="宋体" w:cs="Times New Roman"/>
                <w:sz w:val="21"/>
                <w:szCs w:val="24"/>
                <w:highlight w:val="none"/>
                <w:vertAlign w:val="subscript"/>
              </w:rPr>
              <w:t>10</w:t>
            </w:r>
          </w:p>
        </w:tc>
        <w:tc>
          <w:tcPr>
            <w:tcW w:w="1697" w:type="pct"/>
            <w:tcBorders>
              <w:top w:val="single" w:color="auto" w:sz="4" w:space="0"/>
              <w:left w:val="single" w:color="auto" w:sz="4" w:space="0"/>
              <w:bottom w:val="single" w:color="auto" w:sz="4" w:space="0"/>
              <w:right w:val="single" w:color="auto" w:sz="4" w:space="0"/>
            </w:tcBorders>
            <w:noWrap w:val="0"/>
            <w:vAlign w:val="center"/>
          </w:tcPr>
          <w:p w14:paraId="019EF8C8">
            <w:pPr>
              <w:spacing w:line="240" w:lineRule="auto"/>
              <w:ind w:firstLine="0" w:firstLineChars="0"/>
              <w:contextualSpacing/>
              <w:jc w:val="center"/>
              <w:rPr>
                <w:rFonts w:ascii="Times New Roman" w:hAnsi="Times New Roman" w:eastAsia="宋体" w:cs="Times New Roman"/>
                <w:sz w:val="21"/>
                <w:szCs w:val="24"/>
                <w:highlight w:val="none"/>
              </w:rPr>
            </w:pPr>
            <w:r>
              <w:rPr>
                <w:rFonts w:ascii="Times New Roman" w:hAnsi="Times New Roman" w:eastAsia="宋体" w:cs="Times New Roman"/>
                <w:sz w:val="21"/>
                <w:szCs w:val="24"/>
                <w:highlight w:val="none"/>
              </w:rPr>
              <w:t>年平均</w:t>
            </w:r>
            <w:r>
              <w:rPr>
                <w:rFonts w:hint="eastAsia" w:ascii="Times New Roman" w:hAnsi="Times New Roman" w:eastAsia="宋体" w:cs="Times New Roman"/>
                <w:sz w:val="21"/>
                <w:szCs w:val="24"/>
                <w:highlight w:val="none"/>
                <w:lang w:val="en-US" w:eastAsia="zh-CN"/>
              </w:rPr>
              <w:t>质量浓度</w:t>
            </w:r>
          </w:p>
        </w:tc>
        <w:tc>
          <w:tcPr>
            <w:tcW w:w="917" w:type="pct"/>
            <w:tcBorders>
              <w:top w:val="single" w:color="auto" w:sz="4" w:space="0"/>
              <w:left w:val="single" w:color="auto" w:sz="4" w:space="0"/>
              <w:bottom w:val="single" w:color="auto" w:sz="4" w:space="0"/>
              <w:right w:val="single" w:color="auto" w:sz="4" w:space="0"/>
            </w:tcBorders>
            <w:noWrap w:val="0"/>
            <w:vAlign w:val="center"/>
          </w:tcPr>
          <w:p w14:paraId="6B7B36B8">
            <w:pPr>
              <w:spacing w:line="240" w:lineRule="auto"/>
              <w:ind w:firstLine="0" w:firstLineChars="0"/>
              <w:contextualSpacing/>
              <w:jc w:val="center"/>
              <w:rPr>
                <w:rFonts w:hint="default" w:ascii="Times New Roman" w:hAnsi="Times New Roman" w:eastAsia="宋体" w:cs="Times New Roman"/>
                <w:sz w:val="21"/>
                <w:szCs w:val="24"/>
                <w:highlight w:val="none"/>
                <w:lang w:val="en-US" w:eastAsia="zh-CN"/>
              </w:rPr>
            </w:pPr>
            <w:r>
              <w:rPr>
                <w:rFonts w:hint="eastAsia" w:ascii="Times New Roman" w:hAnsi="Times New Roman" w:eastAsia="宋体" w:cs="Times New Roman"/>
                <w:sz w:val="21"/>
                <w:szCs w:val="24"/>
                <w:highlight w:val="none"/>
                <w:lang w:val="en-US" w:eastAsia="zh-CN"/>
              </w:rPr>
              <w:t>44</w:t>
            </w:r>
          </w:p>
        </w:tc>
        <w:tc>
          <w:tcPr>
            <w:tcW w:w="705" w:type="pct"/>
            <w:tcBorders>
              <w:top w:val="single" w:color="auto" w:sz="4" w:space="0"/>
              <w:left w:val="single" w:color="auto" w:sz="4" w:space="0"/>
              <w:bottom w:val="single" w:color="auto" w:sz="4" w:space="0"/>
              <w:right w:val="single" w:color="auto" w:sz="4" w:space="0"/>
            </w:tcBorders>
            <w:noWrap w:val="0"/>
            <w:vAlign w:val="center"/>
          </w:tcPr>
          <w:p w14:paraId="472FE520">
            <w:pPr>
              <w:spacing w:line="240" w:lineRule="auto"/>
              <w:ind w:firstLine="0" w:firstLineChars="0"/>
              <w:contextualSpacing/>
              <w:jc w:val="center"/>
              <w:rPr>
                <w:rFonts w:hint="default" w:ascii="Times New Roman" w:hAnsi="Times New Roman" w:eastAsia="宋体" w:cs="Times New Roman"/>
                <w:sz w:val="21"/>
                <w:szCs w:val="24"/>
                <w:highlight w:val="none"/>
                <w:lang w:val="en-US" w:eastAsia="zh-CN"/>
              </w:rPr>
            </w:pPr>
            <w:r>
              <w:rPr>
                <w:rFonts w:hint="eastAsia" w:ascii="Times New Roman" w:hAnsi="Times New Roman" w:eastAsia="宋体" w:cs="Times New Roman"/>
                <w:sz w:val="21"/>
                <w:szCs w:val="24"/>
                <w:highlight w:val="none"/>
                <w:lang w:val="en-US" w:eastAsia="zh-CN"/>
              </w:rPr>
              <w:t>70</w:t>
            </w:r>
          </w:p>
        </w:tc>
        <w:tc>
          <w:tcPr>
            <w:tcW w:w="623" w:type="pct"/>
            <w:tcBorders>
              <w:top w:val="single" w:color="auto" w:sz="4" w:space="0"/>
              <w:left w:val="single" w:color="auto" w:sz="4" w:space="0"/>
              <w:bottom w:val="single" w:color="auto" w:sz="4" w:space="0"/>
              <w:right w:val="single" w:color="auto" w:sz="4" w:space="0"/>
            </w:tcBorders>
            <w:noWrap w:val="0"/>
            <w:vAlign w:val="center"/>
          </w:tcPr>
          <w:p w14:paraId="544A793E">
            <w:pPr>
              <w:spacing w:line="240" w:lineRule="auto"/>
              <w:ind w:firstLine="0" w:firstLineChars="0"/>
              <w:contextualSpacing/>
              <w:jc w:val="center"/>
              <w:rPr>
                <w:rFonts w:hint="default" w:ascii="Times New Roman" w:hAnsi="Times New Roman" w:eastAsia="宋体" w:cs="Times New Roman"/>
                <w:sz w:val="21"/>
                <w:szCs w:val="24"/>
                <w:highlight w:val="none"/>
                <w:lang w:val="en-US" w:eastAsia="zh-CN"/>
              </w:rPr>
            </w:pPr>
            <w:r>
              <w:rPr>
                <w:rFonts w:hint="eastAsia" w:ascii="Times New Roman" w:hAnsi="Times New Roman" w:eastAsia="宋体" w:cs="Times New Roman"/>
                <w:sz w:val="21"/>
                <w:szCs w:val="24"/>
                <w:highlight w:val="none"/>
                <w:lang w:val="en-US" w:eastAsia="zh-CN"/>
              </w:rPr>
              <w:t>62.86</w:t>
            </w:r>
          </w:p>
        </w:tc>
        <w:tc>
          <w:tcPr>
            <w:tcW w:w="489" w:type="pct"/>
            <w:tcBorders>
              <w:top w:val="single" w:color="auto" w:sz="4" w:space="0"/>
              <w:left w:val="single" w:color="auto" w:sz="4" w:space="0"/>
              <w:bottom w:val="single" w:color="auto" w:sz="4" w:space="0"/>
              <w:right w:val="nil"/>
            </w:tcBorders>
            <w:noWrap w:val="0"/>
            <w:vAlign w:val="center"/>
          </w:tcPr>
          <w:p w14:paraId="15C43FA2">
            <w:pPr>
              <w:spacing w:line="240" w:lineRule="auto"/>
              <w:ind w:firstLine="0" w:firstLineChars="0"/>
              <w:contextualSpacing/>
              <w:jc w:val="center"/>
              <w:rPr>
                <w:rFonts w:ascii="Times New Roman" w:hAnsi="Times New Roman" w:eastAsia="宋体" w:cs="Times New Roman"/>
                <w:sz w:val="21"/>
                <w:szCs w:val="24"/>
                <w:highlight w:val="none"/>
              </w:rPr>
            </w:pPr>
            <w:r>
              <w:rPr>
                <w:rFonts w:ascii="Times New Roman" w:hAnsi="Times New Roman" w:eastAsia="宋体" w:cs="Times New Roman"/>
                <w:sz w:val="21"/>
                <w:szCs w:val="24"/>
                <w:highlight w:val="none"/>
              </w:rPr>
              <w:t>达标</w:t>
            </w:r>
          </w:p>
        </w:tc>
      </w:tr>
      <w:tr w14:paraId="024869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65" w:type="pct"/>
            <w:tcBorders>
              <w:top w:val="single" w:color="auto" w:sz="4" w:space="0"/>
              <w:left w:val="nil"/>
              <w:bottom w:val="single" w:color="auto" w:sz="4" w:space="0"/>
              <w:right w:val="single" w:color="auto" w:sz="4" w:space="0"/>
            </w:tcBorders>
            <w:noWrap w:val="0"/>
            <w:vAlign w:val="center"/>
          </w:tcPr>
          <w:p w14:paraId="6B7B7112">
            <w:pPr>
              <w:spacing w:line="240" w:lineRule="auto"/>
              <w:ind w:firstLine="0" w:firstLineChars="0"/>
              <w:contextualSpacing/>
              <w:jc w:val="center"/>
              <w:rPr>
                <w:rFonts w:ascii="Times New Roman" w:hAnsi="Times New Roman" w:eastAsia="宋体" w:cs="Times New Roman"/>
                <w:sz w:val="21"/>
                <w:szCs w:val="24"/>
                <w:highlight w:val="none"/>
              </w:rPr>
            </w:pPr>
            <w:r>
              <w:rPr>
                <w:rFonts w:ascii="Times New Roman" w:hAnsi="Times New Roman" w:eastAsia="宋体" w:cs="Times New Roman"/>
                <w:sz w:val="21"/>
                <w:szCs w:val="24"/>
                <w:highlight w:val="none"/>
              </w:rPr>
              <w:t>NO</w:t>
            </w:r>
            <w:r>
              <w:rPr>
                <w:rFonts w:ascii="Times New Roman" w:hAnsi="Times New Roman" w:eastAsia="宋体" w:cs="Times New Roman"/>
                <w:sz w:val="21"/>
                <w:szCs w:val="24"/>
                <w:highlight w:val="none"/>
                <w:vertAlign w:val="subscript"/>
              </w:rPr>
              <w:t>2</w:t>
            </w:r>
          </w:p>
        </w:tc>
        <w:tc>
          <w:tcPr>
            <w:tcW w:w="1697" w:type="pct"/>
            <w:tcBorders>
              <w:top w:val="single" w:color="auto" w:sz="4" w:space="0"/>
              <w:left w:val="single" w:color="auto" w:sz="4" w:space="0"/>
              <w:bottom w:val="single" w:color="auto" w:sz="4" w:space="0"/>
              <w:right w:val="single" w:color="auto" w:sz="4" w:space="0"/>
            </w:tcBorders>
            <w:noWrap w:val="0"/>
            <w:vAlign w:val="center"/>
          </w:tcPr>
          <w:p w14:paraId="4AF30E43">
            <w:pPr>
              <w:spacing w:line="240" w:lineRule="auto"/>
              <w:ind w:firstLine="0" w:firstLineChars="0"/>
              <w:contextualSpacing/>
              <w:jc w:val="center"/>
              <w:rPr>
                <w:rFonts w:ascii="Times New Roman" w:hAnsi="Times New Roman" w:eastAsia="宋体" w:cs="Times New Roman"/>
                <w:sz w:val="21"/>
                <w:szCs w:val="24"/>
                <w:highlight w:val="none"/>
              </w:rPr>
            </w:pPr>
            <w:r>
              <w:rPr>
                <w:rFonts w:ascii="Times New Roman" w:hAnsi="Times New Roman" w:eastAsia="宋体" w:cs="Times New Roman"/>
                <w:sz w:val="21"/>
                <w:szCs w:val="24"/>
                <w:highlight w:val="none"/>
              </w:rPr>
              <w:t>年平均</w:t>
            </w:r>
            <w:r>
              <w:rPr>
                <w:rFonts w:hint="eastAsia" w:ascii="Times New Roman" w:hAnsi="Times New Roman" w:eastAsia="宋体" w:cs="Times New Roman"/>
                <w:sz w:val="21"/>
                <w:szCs w:val="24"/>
                <w:highlight w:val="none"/>
                <w:lang w:val="en-US" w:eastAsia="zh-CN"/>
              </w:rPr>
              <w:t>质量浓度</w:t>
            </w:r>
          </w:p>
        </w:tc>
        <w:tc>
          <w:tcPr>
            <w:tcW w:w="917" w:type="pct"/>
            <w:tcBorders>
              <w:top w:val="single" w:color="auto" w:sz="4" w:space="0"/>
              <w:left w:val="single" w:color="auto" w:sz="4" w:space="0"/>
              <w:bottom w:val="single" w:color="auto" w:sz="4" w:space="0"/>
              <w:right w:val="single" w:color="auto" w:sz="4" w:space="0"/>
            </w:tcBorders>
            <w:noWrap w:val="0"/>
            <w:vAlign w:val="center"/>
          </w:tcPr>
          <w:p w14:paraId="5B5B13FD">
            <w:pPr>
              <w:spacing w:line="240" w:lineRule="auto"/>
              <w:ind w:firstLine="0" w:firstLineChars="0"/>
              <w:contextualSpacing/>
              <w:jc w:val="center"/>
              <w:rPr>
                <w:rFonts w:hint="default" w:ascii="Times New Roman" w:hAnsi="Times New Roman" w:eastAsia="宋体" w:cs="Times New Roman"/>
                <w:sz w:val="21"/>
                <w:szCs w:val="24"/>
                <w:highlight w:val="none"/>
                <w:lang w:val="en-US" w:eastAsia="zh-CN"/>
              </w:rPr>
            </w:pPr>
            <w:r>
              <w:rPr>
                <w:rFonts w:hint="eastAsia" w:ascii="Times New Roman" w:hAnsi="Times New Roman" w:eastAsia="宋体" w:cs="Times New Roman"/>
                <w:sz w:val="21"/>
                <w:szCs w:val="24"/>
                <w:highlight w:val="none"/>
                <w:lang w:val="en-US" w:eastAsia="zh-CN"/>
              </w:rPr>
              <w:t>20</w:t>
            </w:r>
          </w:p>
        </w:tc>
        <w:tc>
          <w:tcPr>
            <w:tcW w:w="705" w:type="pct"/>
            <w:tcBorders>
              <w:top w:val="single" w:color="auto" w:sz="4" w:space="0"/>
              <w:left w:val="single" w:color="auto" w:sz="4" w:space="0"/>
              <w:bottom w:val="single" w:color="auto" w:sz="4" w:space="0"/>
              <w:right w:val="single" w:color="auto" w:sz="4" w:space="0"/>
            </w:tcBorders>
            <w:noWrap w:val="0"/>
            <w:vAlign w:val="center"/>
          </w:tcPr>
          <w:p w14:paraId="46E69489">
            <w:pPr>
              <w:spacing w:line="240" w:lineRule="auto"/>
              <w:ind w:firstLine="0" w:firstLineChars="0"/>
              <w:contextualSpacing/>
              <w:jc w:val="center"/>
              <w:rPr>
                <w:rFonts w:hint="default" w:ascii="Times New Roman" w:hAnsi="Times New Roman" w:eastAsia="宋体" w:cs="Times New Roman"/>
                <w:sz w:val="21"/>
                <w:szCs w:val="24"/>
                <w:highlight w:val="none"/>
                <w:lang w:val="en-US" w:eastAsia="zh-CN"/>
              </w:rPr>
            </w:pPr>
            <w:r>
              <w:rPr>
                <w:rFonts w:hint="eastAsia" w:ascii="Times New Roman" w:hAnsi="Times New Roman" w:eastAsia="宋体" w:cs="Times New Roman"/>
                <w:sz w:val="21"/>
                <w:szCs w:val="24"/>
                <w:highlight w:val="none"/>
                <w:lang w:val="en-US" w:eastAsia="zh-CN"/>
              </w:rPr>
              <w:t>40</w:t>
            </w:r>
          </w:p>
        </w:tc>
        <w:tc>
          <w:tcPr>
            <w:tcW w:w="623" w:type="pct"/>
            <w:tcBorders>
              <w:top w:val="single" w:color="auto" w:sz="4" w:space="0"/>
              <w:left w:val="single" w:color="auto" w:sz="4" w:space="0"/>
              <w:bottom w:val="single" w:color="auto" w:sz="4" w:space="0"/>
              <w:right w:val="single" w:color="auto" w:sz="4" w:space="0"/>
            </w:tcBorders>
            <w:noWrap w:val="0"/>
            <w:vAlign w:val="center"/>
          </w:tcPr>
          <w:p w14:paraId="7A87F0C2">
            <w:pPr>
              <w:spacing w:line="240" w:lineRule="auto"/>
              <w:ind w:firstLine="0" w:firstLineChars="0"/>
              <w:contextualSpacing/>
              <w:jc w:val="center"/>
              <w:rPr>
                <w:rFonts w:hint="default" w:ascii="Times New Roman" w:hAnsi="Times New Roman" w:eastAsia="宋体" w:cs="Times New Roman"/>
                <w:sz w:val="21"/>
                <w:szCs w:val="24"/>
                <w:highlight w:val="none"/>
                <w:lang w:val="en-US" w:eastAsia="zh-CN"/>
              </w:rPr>
            </w:pPr>
            <w:r>
              <w:rPr>
                <w:rFonts w:hint="eastAsia" w:ascii="Times New Roman" w:hAnsi="Times New Roman" w:eastAsia="宋体" w:cs="Times New Roman"/>
                <w:sz w:val="21"/>
                <w:szCs w:val="24"/>
                <w:highlight w:val="none"/>
                <w:lang w:val="en-US" w:eastAsia="zh-CN"/>
              </w:rPr>
              <w:t>50</w:t>
            </w:r>
          </w:p>
        </w:tc>
        <w:tc>
          <w:tcPr>
            <w:tcW w:w="489" w:type="pct"/>
            <w:tcBorders>
              <w:top w:val="single" w:color="auto" w:sz="4" w:space="0"/>
              <w:left w:val="single" w:color="auto" w:sz="4" w:space="0"/>
              <w:bottom w:val="single" w:color="auto" w:sz="4" w:space="0"/>
              <w:right w:val="nil"/>
            </w:tcBorders>
            <w:noWrap w:val="0"/>
            <w:vAlign w:val="center"/>
          </w:tcPr>
          <w:p w14:paraId="39F45EFF">
            <w:pPr>
              <w:spacing w:line="240" w:lineRule="auto"/>
              <w:ind w:firstLine="0" w:firstLineChars="0"/>
              <w:contextualSpacing/>
              <w:jc w:val="center"/>
              <w:rPr>
                <w:rFonts w:ascii="Times New Roman" w:hAnsi="Times New Roman" w:eastAsia="宋体" w:cs="Times New Roman"/>
                <w:sz w:val="21"/>
                <w:szCs w:val="24"/>
                <w:highlight w:val="none"/>
              </w:rPr>
            </w:pPr>
            <w:r>
              <w:rPr>
                <w:rFonts w:ascii="Times New Roman" w:hAnsi="Times New Roman" w:eastAsia="宋体" w:cs="Times New Roman"/>
                <w:sz w:val="21"/>
                <w:szCs w:val="24"/>
                <w:highlight w:val="none"/>
              </w:rPr>
              <w:t>达标</w:t>
            </w:r>
          </w:p>
        </w:tc>
      </w:tr>
      <w:tr w14:paraId="42CC69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65" w:type="pct"/>
            <w:tcBorders>
              <w:top w:val="single" w:color="auto" w:sz="4" w:space="0"/>
              <w:left w:val="nil"/>
              <w:bottom w:val="single" w:color="auto" w:sz="4" w:space="0"/>
              <w:right w:val="single" w:color="auto" w:sz="4" w:space="0"/>
            </w:tcBorders>
            <w:noWrap w:val="0"/>
            <w:vAlign w:val="center"/>
          </w:tcPr>
          <w:p w14:paraId="307CBD52">
            <w:pPr>
              <w:spacing w:line="240" w:lineRule="auto"/>
              <w:ind w:firstLine="0" w:firstLineChars="0"/>
              <w:contextualSpacing/>
              <w:jc w:val="center"/>
              <w:rPr>
                <w:rFonts w:ascii="Times New Roman" w:hAnsi="Times New Roman" w:eastAsia="宋体" w:cs="Times New Roman"/>
                <w:sz w:val="21"/>
                <w:szCs w:val="24"/>
                <w:highlight w:val="none"/>
              </w:rPr>
            </w:pPr>
            <w:r>
              <w:rPr>
                <w:rFonts w:ascii="Times New Roman" w:hAnsi="Times New Roman" w:eastAsia="宋体" w:cs="Times New Roman"/>
                <w:sz w:val="21"/>
                <w:szCs w:val="24"/>
                <w:highlight w:val="none"/>
              </w:rPr>
              <w:t>SO</w:t>
            </w:r>
            <w:r>
              <w:rPr>
                <w:rFonts w:ascii="Times New Roman" w:hAnsi="Times New Roman" w:eastAsia="宋体" w:cs="Times New Roman"/>
                <w:sz w:val="21"/>
                <w:szCs w:val="24"/>
                <w:highlight w:val="none"/>
                <w:vertAlign w:val="subscript"/>
              </w:rPr>
              <w:t>2</w:t>
            </w:r>
          </w:p>
        </w:tc>
        <w:tc>
          <w:tcPr>
            <w:tcW w:w="1697" w:type="pct"/>
            <w:tcBorders>
              <w:top w:val="single" w:color="auto" w:sz="4" w:space="0"/>
              <w:left w:val="single" w:color="auto" w:sz="4" w:space="0"/>
              <w:bottom w:val="single" w:color="auto" w:sz="4" w:space="0"/>
              <w:right w:val="single" w:color="auto" w:sz="4" w:space="0"/>
            </w:tcBorders>
            <w:noWrap w:val="0"/>
            <w:vAlign w:val="center"/>
          </w:tcPr>
          <w:p w14:paraId="5318E670">
            <w:pPr>
              <w:spacing w:line="240" w:lineRule="auto"/>
              <w:ind w:firstLine="0" w:firstLineChars="0"/>
              <w:contextualSpacing/>
              <w:jc w:val="center"/>
              <w:rPr>
                <w:rFonts w:ascii="Times New Roman" w:hAnsi="Times New Roman" w:eastAsia="宋体" w:cs="Times New Roman"/>
                <w:sz w:val="21"/>
                <w:szCs w:val="24"/>
                <w:highlight w:val="none"/>
              </w:rPr>
            </w:pPr>
            <w:r>
              <w:rPr>
                <w:rFonts w:ascii="Times New Roman" w:hAnsi="Times New Roman" w:eastAsia="宋体" w:cs="Times New Roman"/>
                <w:sz w:val="21"/>
                <w:szCs w:val="24"/>
                <w:highlight w:val="none"/>
              </w:rPr>
              <w:t>年平均</w:t>
            </w:r>
            <w:r>
              <w:rPr>
                <w:rFonts w:hint="eastAsia" w:ascii="Times New Roman" w:hAnsi="Times New Roman" w:eastAsia="宋体" w:cs="Times New Roman"/>
                <w:sz w:val="21"/>
                <w:szCs w:val="24"/>
                <w:highlight w:val="none"/>
                <w:lang w:val="en-US" w:eastAsia="zh-CN"/>
              </w:rPr>
              <w:t>质量浓度</w:t>
            </w:r>
          </w:p>
        </w:tc>
        <w:tc>
          <w:tcPr>
            <w:tcW w:w="917" w:type="pct"/>
            <w:tcBorders>
              <w:top w:val="single" w:color="auto" w:sz="4" w:space="0"/>
              <w:left w:val="single" w:color="auto" w:sz="4" w:space="0"/>
              <w:bottom w:val="single" w:color="auto" w:sz="4" w:space="0"/>
              <w:right w:val="single" w:color="auto" w:sz="4" w:space="0"/>
            </w:tcBorders>
            <w:noWrap w:val="0"/>
            <w:vAlign w:val="center"/>
          </w:tcPr>
          <w:p w14:paraId="7E83F3C7">
            <w:pPr>
              <w:spacing w:line="240" w:lineRule="auto"/>
              <w:ind w:firstLine="0" w:firstLineChars="0"/>
              <w:contextualSpacing/>
              <w:jc w:val="center"/>
              <w:rPr>
                <w:rFonts w:hint="eastAsia" w:ascii="Times New Roman" w:hAnsi="Times New Roman" w:eastAsia="宋体" w:cs="Times New Roman"/>
                <w:sz w:val="21"/>
                <w:szCs w:val="24"/>
                <w:highlight w:val="none"/>
                <w:lang w:val="en-US" w:eastAsia="zh-CN"/>
              </w:rPr>
            </w:pPr>
            <w:r>
              <w:rPr>
                <w:rFonts w:hint="eastAsia" w:ascii="Times New Roman" w:hAnsi="Times New Roman" w:eastAsia="宋体" w:cs="Times New Roman"/>
                <w:sz w:val="21"/>
                <w:szCs w:val="24"/>
                <w:highlight w:val="none"/>
                <w:lang w:val="en-US" w:eastAsia="zh-CN"/>
              </w:rPr>
              <w:t>9</w:t>
            </w:r>
          </w:p>
        </w:tc>
        <w:tc>
          <w:tcPr>
            <w:tcW w:w="705" w:type="pct"/>
            <w:tcBorders>
              <w:top w:val="single" w:color="auto" w:sz="4" w:space="0"/>
              <w:left w:val="single" w:color="auto" w:sz="4" w:space="0"/>
              <w:bottom w:val="single" w:color="auto" w:sz="4" w:space="0"/>
              <w:right w:val="single" w:color="auto" w:sz="4" w:space="0"/>
            </w:tcBorders>
            <w:noWrap w:val="0"/>
            <w:vAlign w:val="center"/>
          </w:tcPr>
          <w:p w14:paraId="7E98634C">
            <w:pPr>
              <w:spacing w:line="240" w:lineRule="auto"/>
              <w:ind w:firstLine="0" w:firstLineChars="0"/>
              <w:contextualSpacing/>
              <w:jc w:val="center"/>
              <w:rPr>
                <w:rFonts w:hint="default" w:ascii="Times New Roman" w:hAnsi="Times New Roman" w:eastAsia="宋体" w:cs="Times New Roman"/>
                <w:sz w:val="21"/>
                <w:szCs w:val="24"/>
                <w:highlight w:val="none"/>
                <w:lang w:val="en-US" w:eastAsia="zh-CN"/>
              </w:rPr>
            </w:pPr>
            <w:r>
              <w:rPr>
                <w:rFonts w:hint="eastAsia" w:ascii="Times New Roman" w:hAnsi="Times New Roman" w:eastAsia="宋体" w:cs="Times New Roman"/>
                <w:sz w:val="21"/>
                <w:szCs w:val="24"/>
                <w:highlight w:val="none"/>
                <w:lang w:val="en-US" w:eastAsia="zh-CN"/>
              </w:rPr>
              <w:t>60</w:t>
            </w:r>
          </w:p>
        </w:tc>
        <w:tc>
          <w:tcPr>
            <w:tcW w:w="623" w:type="pct"/>
            <w:tcBorders>
              <w:top w:val="single" w:color="auto" w:sz="4" w:space="0"/>
              <w:left w:val="single" w:color="auto" w:sz="4" w:space="0"/>
              <w:bottom w:val="single" w:color="auto" w:sz="4" w:space="0"/>
              <w:right w:val="single" w:color="auto" w:sz="4" w:space="0"/>
            </w:tcBorders>
            <w:noWrap w:val="0"/>
            <w:vAlign w:val="center"/>
          </w:tcPr>
          <w:p w14:paraId="7610CF2C">
            <w:pPr>
              <w:spacing w:line="240" w:lineRule="auto"/>
              <w:ind w:firstLine="0" w:firstLineChars="0"/>
              <w:contextualSpacing/>
              <w:jc w:val="center"/>
              <w:rPr>
                <w:rFonts w:hint="default" w:ascii="Times New Roman" w:hAnsi="Times New Roman" w:eastAsia="宋体" w:cs="Times New Roman"/>
                <w:sz w:val="21"/>
                <w:szCs w:val="24"/>
                <w:highlight w:val="none"/>
                <w:lang w:val="en-US" w:eastAsia="zh-CN"/>
              </w:rPr>
            </w:pPr>
            <w:r>
              <w:rPr>
                <w:rFonts w:hint="eastAsia" w:ascii="Times New Roman" w:hAnsi="Times New Roman" w:eastAsia="宋体" w:cs="Times New Roman"/>
                <w:sz w:val="21"/>
                <w:szCs w:val="24"/>
                <w:highlight w:val="none"/>
                <w:lang w:val="en-US" w:eastAsia="zh-CN"/>
              </w:rPr>
              <w:t>15</w:t>
            </w:r>
          </w:p>
        </w:tc>
        <w:tc>
          <w:tcPr>
            <w:tcW w:w="489" w:type="pct"/>
            <w:tcBorders>
              <w:top w:val="single" w:color="auto" w:sz="4" w:space="0"/>
              <w:left w:val="single" w:color="auto" w:sz="4" w:space="0"/>
              <w:bottom w:val="single" w:color="auto" w:sz="4" w:space="0"/>
              <w:right w:val="nil"/>
            </w:tcBorders>
            <w:noWrap w:val="0"/>
            <w:vAlign w:val="center"/>
          </w:tcPr>
          <w:p w14:paraId="57AA33A1">
            <w:pPr>
              <w:spacing w:line="240" w:lineRule="auto"/>
              <w:ind w:firstLine="0" w:firstLineChars="0"/>
              <w:contextualSpacing/>
              <w:jc w:val="center"/>
              <w:rPr>
                <w:rFonts w:ascii="Times New Roman" w:hAnsi="Times New Roman" w:eastAsia="宋体" w:cs="Times New Roman"/>
                <w:sz w:val="21"/>
                <w:szCs w:val="24"/>
                <w:highlight w:val="none"/>
              </w:rPr>
            </w:pPr>
            <w:r>
              <w:rPr>
                <w:rFonts w:ascii="Times New Roman" w:hAnsi="Times New Roman" w:eastAsia="宋体" w:cs="Times New Roman"/>
                <w:sz w:val="21"/>
                <w:szCs w:val="24"/>
                <w:highlight w:val="none"/>
              </w:rPr>
              <w:t>达标</w:t>
            </w:r>
          </w:p>
        </w:tc>
      </w:tr>
      <w:tr w14:paraId="3B0CD6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65" w:type="pct"/>
            <w:tcBorders>
              <w:top w:val="single" w:color="auto" w:sz="4" w:space="0"/>
              <w:left w:val="nil"/>
              <w:bottom w:val="single" w:color="auto" w:sz="4" w:space="0"/>
              <w:right w:val="single" w:color="auto" w:sz="4" w:space="0"/>
            </w:tcBorders>
            <w:noWrap w:val="0"/>
            <w:vAlign w:val="center"/>
          </w:tcPr>
          <w:p w14:paraId="7919ABBF">
            <w:pPr>
              <w:spacing w:line="240" w:lineRule="auto"/>
              <w:ind w:firstLine="0" w:firstLineChars="0"/>
              <w:contextualSpacing/>
              <w:jc w:val="center"/>
              <w:rPr>
                <w:rFonts w:hint="eastAsia" w:ascii="Times New Roman" w:hAnsi="Times New Roman" w:eastAsia="宋体" w:cs="Times New Roman"/>
                <w:sz w:val="21"/>
                <w:szCs w:val="24"/>
                <w:highlight w:val="none"/>
                <w:lang w:val="en-US" w:eastAsia="zh-CN"/>
              </w:rPr>
            </w:pPr>
            <w:r>
              <w:rPr>
                <w:rFonts w:hint="eastAsia" w:ascii="Times New Roman" w:hAnsi="Times New Roman" w:eastAsia="宋体" w:cs="Times New Roman"/>
                <w:sz w:val="21"/>
                <w:szCs w:val="24"/>
                <w:highlight w:val="none"/>
                <w:lang w:val="en-US" w:eastAsia="zh-CN"/>
              </w:rPr>
              <w:t>CO</w:t>
            </w:r>
          </w:p>
        </w:tc>
        <w:tc>
          <w:tcPr>
            <w:tcW w:w="1697" w:type="pct"/>
            <w:tcBorders>
              <w:top w:val="single" w:color="auto" w:sz="4" w:space="0"/>
              <w:left w:val="single" w:color="auto" w:sz="4" w:space="0"/>
              <w:bottom w:val="single" w:color="auto" w:sz="4" w:space="0"/>
              <w:right w:val="single" w:color="auto" w:sz="4" w:space="0"/>
            </w:tcBorders>
            <w:noWrap w:val="0"/>
            <w:vAlign w:val="center"/>
          </w:tcPr>
          <w:p w14:paraId="0EFB2261">
            <w:pPr>
              <w:spacing w:line="240" w:lineRule="auto"/>
              <w:ind w:firstLine="0" w:firstLineChars="0"/>
              <w:contextualSpacing/>
              <w:jc w:val="center"/>
              <w:rPr>
                <w:rFonts w:hint="default" w:ascii="Times New Roman" w:hAnsi="Times New Roman" w:eastAsia="宋体" w:cs="Times New Roman"/>
                <w:sz w:val="21"/>
                <w:szCs w:val="24"/>
                <w:highlight w:val="none"/>
                <w:lang w:val="en-US" w:eastAsia="zh-CN"/>
              </w:rPr>
            </w:pPr>
            <w:r>
              <w:rPr>
                <w:rFonts w:hint="eastAsia" w:ascii="Times New Roman" w:hAnsi="Times New Roman" w:eastAsia="宋体" w:cs="Times New Roman"/>
                <w:sz w:val="21"/>
                <w:szCs w:val="24"/>
                <w:highlight w:val="none"/>
                <w:lang w:val="en-US" w:eastAsia="zh-CN"/>
              </w:rPr>
              <w:t>百分位数日平均</w:t>
            </w:r>
          </w:p>
        </w:tc>
        <w:tc>
          <w:tcPr>
            <w:tcW w:w="917" w:type="pct"/>
            <w:tcBorders>
              <w:top w:val="single" w:color="auto" w:sz="4" w:space="0"/>
              <w:left w:val="single" w:color="auto" w:sz="4" w:space="0"/>
              <w:bottom w:val="single" w:color="auto" w:sz="4" w:space="0"/>
              <w:right w:val="single" w:color="auto" w:sz="4" w:space="0"/>
            </w:tcBorders>
            <w:noWrap w:val="0"/>
            <w:vAlign w:val="center"/>
          </w:tcPr>
          <w:p w14:paraId="0F4400A0">
            <w:pPr>
              <w:spacing w:line="240" w:lineRule="auto"/>
              <w:ind w:firstLine="0" w:firstLineChars="0"/>
              <w:contextualSpacing/>
              <w:jc w:val="center"/>
              <w:rPr>
                <w:rFonts w:hint="default" w:ascii="Times New Roman" w:hAnsi="Times New Roman" w:eastAsia="宋体" w:cs="Times New Roman"/>
                <w:sz w:val="21"/>
                <w:szCs w:val="24"/>
                <w:highlight w:val="none"/>
                <w:lang w:val="en-US" w:eastAsia="zh-CN"/>
              </w:rPr>
            </w:pPr>
            <w:r>
              <w:rPr>
                <w:rFonts w:hint="eastAsia" w:ascii="Times New Roman" w:hAnsi="Times New Roman" w:eastAsia="宋体" w:cs="Times New Roman"/>
                <w:sz w:val="21"/>
                <w:szCs w:val="24"/>
                <w:highlight w:val="none"/>
                <w:lang w:val="en-US" w:eastAsia="zh-CN"/>
              </w:rPr>
              <w:t>900</w:t>
            </w:r>
          </w:p>
        </w:tc>
        <w:tc>
          <w:tcPr>
            <w:tcW w:w="705" w:type="pct"/>
            <w:tcBorders>
              <w:top w:val="single" w:color="auto" w:sz="4" w:space="0"/>
              <w:left w:val="single" w:color="auto" w:sz="4" w:space="0"/>
              <w:bottom w:val="single" w:color="auto" w:sz="4" w:space="0"/>
              <w:right w:val="single" w:color="auto" w:sz="4" w:space="0"/>
            </w:tcBorders>
            <w:noWrap w:val="0"/>
            <w:vAlign w:val="center"/>
          </w:tcPr>
          <w:p w14:paraId="2A23DCAE">
            <w:pPr>
              <w:spacing w:line="240" w:lineRule="auto"/>
              <w:ind w:firstLine="0" w:firstLineChars="0"/>
              <w:contextualSpacing/>
              <w:jc w:val="center"/>
              <w:rPr>
                <w:rFonts w:hint="default" w:ascii="Times New Roman" w:hAnsi="Times New Roman" w:eastAsia="宋体" w:cs="Times New Roman"/>
                <w:sz w:val="21"/>
                <w:szCs w:val="24"/>
                <w:highlight w:val="none"/>
                <w:lang w:val="en-US" w:eastAsia="zh-CN"/>
              </w:rPr>
            </w:pPr>
            <w:r>
              <w:rPr>
                <w:rFonts w:hint="eastAsia" w:ascii="Times New Roman" w:hAnsi="Times New Roman" w:eastAsia="宋体" w:cs="Times New Roman"/>
                <w:sz w:val="21"/>
                <w:szCs w:val="24"/>
                <w:highlight w:val="none"/>
                <w:lang w:val="en-US" w:eastAsia="zh-CN"/>
              </w:rPr>
              <w:t>4000</w:t>
            </w:r>
          </w:p>
        </w:tc>
        <w:tc>
          <w:tcPr>
            <w:tcW w:w="623" w:type="pct"/>
            <w:tcBorders>
              <w:top w:val="single" w:color="auto" w:sz="4" w:space="0"/>
              <w:left w:val="single" w:color="auto" w:sz="4" w:space="0"/>
              <w:bottom w:val="single" w:color="auto" w:sz="4" w:space="0"/>
              <w:right w:val="single" w:color="auto" w:sz="4" w:space="0"/>
            </w:tcBorders>
            <w:noWrap w:val="0"/>
            <w:vAlign w:val="center"/>
          </w:tcPr>
          <w:p w14:paraId="11EE8159">
            <w:pPr>
              <w:spacing w:line="240" w:lineRule="auto"/>
              <w:ind w:firstLine="0" w:firstLineChars="0"/>
              <w:contextualSpacing/>
              <w:jc w:val="center"/>
              <w:rPr>
                <w:rFonts w:hint="default" w:ascii="Times New Roman" w:hAnsi="Times New Roman" w:eastAsia="宋体" w:cs="Times New Roman"/>
                <w:sz w:val="21"/>
                <w:szCs w:val="24"/>
                <w:highlight w:val="none"/>
                <w:lang w:val="en-US" w:eastAsia="zh-CN"/>
              </w:rPr>
            </w:pPr>
            <w:r>
              <w:rPr>
                <w:rFonts w:hint="eastAsia" w:ascii="Times New Roman" w:hAnsi="Times New Roman" w:eastAsia="宋体" w:cs="Times New Roman"/>
                <w:sz w:val="21"/>
                <w:szCs w:val="24"/>
                <w:highlight w:val="none"/>
                <w:lang w:val="en-US" w:eastAsia="zh-CN"/>
              </w:rPr>
              <w:t>22.5</w:t>
            </w:r>
          </w:p>
        </w:tc>
        <w:tc>
          <w:tcPr>
            <w:tcW w:w="489" w:type="pct"/>
            <w:tcBorders>
              <w:top w:val="single" w:color="auto" w:sz="4" w:space="0"/>
              <w:left w:val="single" w:color="auto" w:sz="4" w:space="0"/>
              <w:bottom w:val="single" w:color="auto" w:sz="4" w:space="0"/>
              <w:right w:val="nil"/>
            </w:tcBorders>
            <w:noWrap w:val="0"/>
            <w:vAlign w:val="center"/>
          </w:tcPr>
          <w:p w14:paraId="121CDCA5">
            <w:pPr>
              <w:spacing w:line="240" w:lineRule="auto"/>
              <w:ind w:firstLine="0" w:firstLineChars="0"/>
              <w:contextualSpacing/>
              <w:jc w:val="center"/>
              <w:rPr>
                <w:rFonts w:hint="eastAsia" w:ascii="Times New Roman" w:hAnsi="Times New Roman" w:eastAsia="宋体" w:cs="Times New Roman"/>
                <w:sz w:val="21"/>
                <w:szCs w:val="24"/>
                <w:highlight w:val="none"/>
                <w:lang w:val="en-US" w:eastAsia="zh-CN"/>
              </w:rPr>
            </w:pPr>
            <w:r>
              <w:rPr>
                <w:rFonts w:hint="eastAsia" w:ascii="Times New Roman" w:hAnsi="Times New Roman" w:eastAsia="宋体" w:cs="Times New Roman"/>
                <w:sz w:val="21"/>
                <w:szCs w:val="24"/>
                <w:highlight w:val="none"/>
                <w:lang w:val="en-US" w:eastAsia="zh-CN"/>
              </w:rPr>
              <w:t>达标</w:t>
            </w:r>
          </w:p>
        </w:tc>
      </w:tr>
      <w:tr w14:paraId="2040D9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65" w:type="pct"/>
            <w:tcBorders>
              <w:top w:val="single" w:color="auto" w:sz="4" w:space="0"/>
              <w:left w:val="nil"/>
              <w:bottom w:val="single" w:color="auto" w:sz="12" w:space="0"/>
              <w:right w:val="single" w:color="auto" w:sz="4" w:space="0"/>
            </w:tcBorders>
            <w:noWrap w:val="0"/>
            <w:vAlign w:val="center"/>
          </w:tcPr>
          <w:p w14:paraId="47DA9C4C">
            <w:pPr>
              <w:spacing w:line="240" w:lineRule="auto"/>
              <w:ind w:firstLine="0" w:firstLineChars="0"/>
              <w:contextualSpacing/>
              <w:jc w:val="center"/>
              <w:rPr>
                <w:rFonts w:ascii="Times New Roman" w:hAnsi="Times New Roman" w:eastAsia="宋体" w:cs="Times New Roman"/>
                <w:sz w:val="21"/>
                <w:szCs w:val="24"/>
                <w:highlight w:val="none"/>
              </w:rPr>
            </w:pPr>
            <w:r>
              <w:rPr>
                <w:rFonts w:ascii="Times New Roman" w:hAnsi="Times New Roman" w:eastAsia="宋体" w:cs="Times New Roman"/>
                <w:sz w:val="21"/>
                <w:szCs w:val="24"/>
                <w:highlight w:val="none"/>
              </w:rPr>
              <w:t>O</w:t>
            </w:r>
            <w:r>
              <w:rPr>
                <w:rFonts w:ascii="Times New Roman" w:hAnsi="Times New Roman" w:eastAsia="宋体" w:cs="Times New Roman"/>
                <w:sz w:val="21"/>
                <w:szCs w:val="24"/>
                <w:highlight w:val="none"/>
                <w:vertAlign w:val="subscript"/>
              </w:rPr>
              <w:t>3</w:t>
            </w:r>
          </w:p>
        </w:tc>
        <w:tc>
          <w:tcPr>
            <w:tcW w:w="1697" w:type="pct"/>
            <w:tcBorders>
              <w:top w:val="single" w:color="auto" w:sz="4" w:space="0"/>
              <w:left w:val="single" w:color="auto" w:sz="4" w:space="0"/>
              <w:bottom w:val="single" w:color="auto" w:sz="12" w:space="0"/>
              <w:right w:val="single" w:color="auto" w:sz="4" w:space="0"/>
            </w:tcBorders>
            <w:noWrap w:val="0"/>
            <w:vAlign w:val="center"/>
          </w:tcPr>
          <w:p w14:paraId="1EDB9F37">
            <w:pPr>
              <w:spacing w:line="240" w:lineRule="auto"/>
              <w:ind w:firstLine="0" w:firstLineChars="0"/>
              <w:contextualSpacing/>
              <w:jc w:val="center"/>
              <w:rPr>
                <w:rFonts w:hint="default" w:ascii="Times New Roman" w:hAnsi="Times New Roman" w:eastAsia="宋体" w:cs="Times New Roman"/>
                <w:sz w:val="21"/>
                <w:szCs w:val="24"/>
                <w:highlight w:val="none"/>
                <w:lang w:val="en-US" w:eastAsia="zh-CN"/>
              </w:rPr>
            </w:pPr>
            <w:r>
              <w:rPr>
                <w:rFonts w:ascii="Times New Roman" w:hAnsi="Times New Roman" w:eastAsia="宋体" w:cs="Times New Roman"/>
                <w:sz w:val="21"/>
                <w:szCs w:val="24"/>
                <w:highlight w:val="none"/>
              </w:rPr>
              <w:t>8小时平均</w:t>
            </w:r>
            <w:r>
              <w:rPr>
                <w:rFonts w:hint="eastAsia" w:ascii="Times New Roman" w:hAnsi="Times New Roman" w:eastAsia="宋体" w:cs="Times New Roman"/>
                <w:sz w:val="21"/>
                <w:szCs w:val="24"/>
                <w:highlight w:val="none"/>
                <w:lang w:val="en-US" w:eastAsia="zh-CN"/>
              </w:rPr>
              <w:t>质量浓度</w:t>
            </w:r>
          </w:p>
        </w:tc>
        <w:tc>
          <w:tcPr>
            <w:tcW w:w="917" w:type="pct"/>
            <w:tcBorders>
              <w:top w:val="single" w:color="auto" w:sz="4" w:space="0"/>
              <w:left w:val="single" w:color="auto" w:sz="4" w:space="0"/>
              <w:bottom w:val="single" w:color="auto" w:sz="12" w:space="0"/>
              <w:right w:val="single" w:color="auto" w:sz="4" w:space="0"/>
            </w:tcBorders>
            <w:noWrap w:val="0"/>
            <w:vAlign w:val="center"/>
          </w:tcPr>
          <w:p w14:paraId="212AB5C1">
            <w:pPr>
              <w:spacing w:line="240" w:lineRule="auto"/>
              <w:ind w:firstLine="0" w:firstLineChars="0"/>
              <w:contextualSpacing/>
              <w:jc w:val="center"/>
              <w:rPr>
                <w:rFonts w:hint="default" w:ascii="Times New Roman" w:hAnsi="Times New Roman" w:eastAsia="宋体" w:cs="Times New Roman"/>
                <w:sz w:val="21"/>
                <w:szCs w:val="24"/>
                <w:highlight w:val="none"/>
                <w:lang w:val="en-US" w:eastAsia="zh-CN"/>
              </w:rPr>
            </w:pPr>
            <w:r>
              <w:rPr>
                <w:rFonts w:hint="eastAsia" w:ascii="Times New Roman" w:hAnsi="Times New Roman" w:eastAsia="宋体" w:cs="Times New Roman"/>
                <w:sz w:val="21"/>
                <w:szCs w:val="24"/>
                <w:highlight w:val="none"/>
                <w:lang w:val="en-US" w:eastAsia="zh-CN"/>
              </w:rPr>
              <w:t>108</w:t>
            </w:r>
          </w:p>
        </w:tc>
        <w:tc>
          <w:tcPr>
            <w:tcW w:w="705" w:type="pct"/>
            <w:tcBorders>
              <w:top w:val="single" w:color="auto" w:sz="4" w:space="0"/>
              <w:left w:val="single" w:color="auto" w:sz="4" w:space="0"/>
              <w:bottom w:val="single" w:color="auto" w:sz="12" w:space="0"/>
              <w:right w:val="single" w:color="auto" w:sz="4" w:space="0"/>
            </w:tcBorders>
            <w:noWrap w:val="0"/>
            <w:vAlign w:val="center"/>
          </w:tcPr>
          <w:p w14:paraId="52D1056C">
            <w:pPr>
              <w:spacing w:line="240" w:lineRule="auto"/>
              <w:ind w:firstLine="0" w:firstLineChars="0"/>
              <w:contextualSpacing/>
              <w:jc w:val="center"/>
              <w:rPr>
                <w:rFonts w:hint="default" w:ascii="Times New Roman" w:hAnsi="Times New Roman" w:eastAsia="宋体" w:cs="Times New Roman"/>
                <w:sz w:val="21"/>
                <w:szCs w:val="24"/>
                <w:highlight w:val="none"/>
                <w:lang w:val="en-US" w:eastAsia="zh-CN"/>
              </w:rPr>
            </w:pPr>
            <w:r>
              <w:rPr>
                <w:rFonts w:hint="eastAsia" w:ascii="Times New Roman" w:hAnsi="Times New Roman" w:eastAsia="宋体" w:cs="Times New Roman"/>
                <w:sz w:val="21"/>
                <w:szCs w:val="24"/>
                <w:highlight w:val="none"/>
                <w:lang w:val="en-US" w:eastAsia="zh-CN"/>
              </w:rPr>
              <w:t>160</w:t>
            </w:r>
          </w:p>
        </w:tc>
        <w:tc>
          <w:tcPr>
            <w:tcW w:w="623" w:type="pct"/>
            <w:tcBorders>
              <w:top w:val="single" w:color="auto" w:sz="4" w:space="0"/>
              <w:left w:val="single" w:color="auto" w:sz="4" w:space="0"/>
              <w:bottom w:val="single" w:color="auto" w:sz="12" w:space="0"/>
              <w:right w:val="single" w:color="auto" w:sz="4" w:space="0"/>
            </w:tcBorders>
            <w:noWrap w:val="0"/>
            <w:vAlign w:val="center"/>
          </w:tcPr>
          <w:p w14:paraId="43D9646F">
            <w:pPr>
              <w:spacing w:line="240" w:lineRule="auto"/>
              <w:ind w:firstLine="0" w:firstLineChars="0"/>
              <w:contextualSpacing/>
              <w:jc w:val="center"/>
              <w:rPr>
                <w:rFonts w:hint="default" w:ascii="Times New Roman" w:hAnsi="Times New Roman" w:eastAsia="宋体" w:cs="Times New Roman"/>
                <w:sz w:val="21"/>
                <w:szCs w:val="24"/>
                <w:highlight w:val="none"/>
                <w:lang w:val="en-US" w:eastAsia="zh-CN"/>
              </w:rPr>
            </w:pPr>
            <w:r>
              <w:rPr>
                <w:rFonts w:hint="eastAsia" w:ascii="Times New Roman" w:hAnsi="Times New Roman" w:eastAsia="宋体" w:cs="Times New Roman"/>
                <w:sz w:val="21"/>
                <w:szCs w:val="24"/>
                <w:highlight w:val="none"/>
                <w:lang w:val="en-US" w:eastAsia="zh-CN"/>
              </w:rPr>
              <w:t>67.5</w:t>
            </w:r>
          </w:p>
        </w:tc>
        <w:tc>
          <w:tcPr>
            <w:tcW w:w="489" w:type="pct"/>
            <w:tcBorders>
              <w:top w:val="single" w:color="auto" w:sz="4" w:space="0"/>
              <w:left w:val="single" w:color="auto" w:sz="4" w:space="0"/>
              <w:bottom w:val="single" w:color="auto" w:sz="12" w:space="0"/>
              <w:right w:val="nil"/>
            </w:tcBorders>
            <w:noWrap w:val="0"/>
            <w:vAlign w:val="center"/>
          </w:tcPr>
          <w:p w14:paraId="56AC9444">
            <w:pPr>
              <w:spacing w:line="240" w:lineRule="auto"/>
              <w:ind w:firstLine="0" w:firstLineChars="0"/>
              <w:contextualSpacing/>
              <w:jc w:val="center"/>
              <w:rPr>
                <w:rFonts w:ascii="Times New Roman" w:hAnsi="Times New Roman" w:eastAsia="宋体" w:cs="Times New Roman"/>
                <w:sz w:val="21"/>
                <w:szCs w:val="24"/>
                <w:highlight w:val="none"/>
              </w:rPr>
            </w:pPr>
            <w:r>
              <w:rPr>
                <w:rFonts w:ascii="Times New Roman" w:hAnsi="Times New Roman" w:eastAsia="宋体" w:cs="Times New Roman"/>
                <w:sz w:val="21"/>
                <w:szCs w:val="24"/>
                <w:highlight w:val="none"/>
              </w:rPr>
              <w:t>达标</w:t>
            </w:r>
          </w:p>
        </w:tc>
      </w:tr>
    </w:tbl>
    <w:p w14:paraId="049F6F54">
      <w:pPr>
        <w:ind w:firstLine="480"/>
        <w:rPr>
          <w:rFonts w:ascii="Times New Roman" w:hAnsi="Times New Roman"/>
          <w:highlight w:val="none"/>
        </w:rPr>
      </w:pPr>
      <w:r>
        <w:rPr>
          <w:rFonts w:ascii="Times New Roman" w:hAnsi="Times New Roman"/>
          <w:highlight w:val="none"/>
        </w:rPr>
        <w:t>评价区环境空气质量能够满足环境空气二类功能区要求。项目所在区域为达标区。</w:t>
      </w:r>
    </w:p>
    <w:p w14:paraId="6493F7FD">
      <w:pPr>
        <w:ind w:firstLine="480"/>
        <w:rPr>
          <w:rFonts w:ascii="Times New Roman" w:hAnsi="Times New Roman"/>
          <w:highlight w:val="none"/>
        </w:rPr>
      </w:pPr>
      <w:r>
        <w:rPr>
          <w:rFonts w:ascii="Times New Roman" w:hAnsi="Times New Roman"/>
          <w:highlight w:val="none"/>
        </w:rPr>
        <w:t>二、区域污染物环境质量现状</w:t>
      </w:r>
    </w:p>
    <w:p w14:paraId="0FC802B6">
      <w:pPr>
        <w:ind w:firstLine="480"/>
        <w:rPr>
          <w:rFonts w:ascii="Times New Roman" w:hAnsi="Times New Roman"/>
          <w:highlight w:val="none"/>
        </w:rPr>
      </w:pPr>
      <w:r>
        <w:rPr>
          <w:rFonts w:ascii="Times New Roman" w:hAnsi="Times New Roman"/>
          <w:highlight w:val="none"/>
        </w:rPr>
        <w:t>（1）所在区域基本污染物境质量现状</w:t>
      </w:r>
    </w:p>
    <w:p w14:paraId="6563FEAD">
      <w:pPr>
        <w:pStyle w:val="7"/>
        <w:ind w:firstLine="480"/>
        <w:rPr>
          <w:rFonts w:ascii="Times New Roman" w:hAnsi="Times New Roman"/>
          <w:highlight w:val="none"/>
        </w:rPr>
      </w:pPr>
      <w:r>
        <w:rPr>
          <w:rFonts w:ascii="Times New Roman" w:hAnsi="Times New Roman"/>
          <w:highlight w:val="none"/>
        </w:rPr>
        <w:t>本项目预测采用距离本项目最近</w:t>
      </w:r>
      <w:r>
        <w:rPr>
          <w:rFonts w:hint="eastAsia" w:ascii="Times New Roman" w:hAnsi="Times New Roman"/>
          <w:highlight w:val="none"/>
          <w:lang w:val="en-US" w:eastAsia="zh-CN"/>
        </w:rPr>
        <w:t>的环保局</w:t>
      </w:r>
      <w:r>
        <w:rPr>
          <w:rFonts w:ascii="Times New Roman" w:hAnsi="Times New Roman"/>
          <w:highlight w:val="none"/>
        </w:rPr>
        <w:t>环境质量</w:t>
      </w:r>
      <w:r>
        <w:rPr>
          <w:rFonts w:hint="eastAsia" w:ascii="Times New Roman" w:hAnsi="Times New Roman"/>
          <w:highlight w:val="none"/>
        </w:rPr>
        <w:t>监测</w:t>
      </w:r>
      <w:r>
        <w:rPr>
          <w:rFonts w:ascii="Times New Roman" w:hAnsi="Times New Roman"/>
          <w:highlight w:val="none"/>
        </w:rPr>
        <w:t>站</w:t>
      </w:r>
      <w:r>
        <w:rPr>
          <w:rFonts w:hint="eastAsia" w:ascii="Times New Roman" w:hAnsi="Times New Roman"/>
          <w:highlight w:val="none"/>
        </w:rPr>
        <w:t>评价基准年连续一年的监测数作为评价范围内的环境空气质量现状浓度</w:t>
      </w:r>
      <w:r>
        <w:rPr>
          <w:rFonts w:ascii="Times New Roman" w:hAnsi="Times New Roman"/>
          <w:highlight w:val="none"/>
        </w:rPr>
        <w:t>,此监测站距离本项目约</w:t>
      </w:r>
      <w:r>
        <w:rPr>
          <w:rFonts w:hint="eastAsia" w:ascii="Times New Roman" w:hAnsi="Times New Roman"/>
          <w:highlight w:val="none"/>
          <w:lang w:val="en-US" w:eastAsia="zh-CN"/>
        </w:rPr>
        <w:t>99.3</w:t>
      </w:r>
      <w:r>
        <w:rPr>
          <w:rFonts w:ascii="Times New Roman" w:hAnsi="Times New Roman"/>
          <w:highlight w:val="none"/>
        </w:rPr>
        <w:t>km。</w:t>
      </w:r>
    </w:p>
    <w:p w14:paraId="49EADF8C">
      <w:pPr>
        <w:pStyle w:val="21"/>
        <w:ind w:firstLine="0" w:firstLineChars="0"/>
        <w:jc w:val="center"/>
        <w:rPr>
          <w:rFonts w:ascii="Times New Roman" w:hAnsi="Times New Roman"/>
          <w:kern w:val="2"/>
          <w:szCs w:val="22"/>
          <w:highlight w:val="none"/>
        </w:rPr>
      </w:pPr>
      <w:r>
        <w:rPr>
          <w:rFonts w:ascii="Times New Roman" w:hAnsi="Times New Roman"/>
          <w:kern w:val="2"/>
          <w:szCs w:val="22"/>
          <w:highlight w:val="none"/>
        </w:rPr>
        <w:t>表4.3-2环境空气质量监测站信息</w:t>
      </w:r>
    </w:p>
    <w:tbl>
      <w:tblPr>
        <w:tblStyle w:val="17"/>
        <w:tblW w:w="4998" w:type="pct"/>
        <w:jc w:val="center"/>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2158"/>
        <w:gridCol w:w="1838"/>
        <w:gridCol w:w="1612"/>
        <w:gridCol w:w="1236"/>
        <w:gridCol w:w="1515"/>
      </w:tblGrid>
      <w:tr w14:paraId="7D8A7F64">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67" w:hRule="atLeast"/>
          <w:jc w:val="center"/>
        </w:trPr>
        <w:tc>
          <w:tcPr>
            <w:tcW w:w="1291" w:type="pct"/>
            <w:noWrap w:val="0"/>
            <w:vAlign w:val="center"/>
          </w:tcPr>
          <w:p w14:paraId="444EB8B8">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监测站名称</w:t>
            </w:r>
          </w:p>
        </w:tc>
        <w:tc>
          <w:tcPr>
            <w:tcW w:w="2063" w:type="pct"/>
            <w:gridSpan w:val="2"/>
            <w:noWrap w:val="0"/>
            <w:vAlign w:val="center"/>
          </w:tcPr>
          <w:p w14:paraId="6E7A4BE8">
            <w:pPr>
              <w:spacing w:line="240" w:lineRule="auto"/>
              <w:ind w:firstLine="0" w:firstLineChars="0"/>
              <w:contextualSpacing/>
              <w:jc w:val="center"/>
              <w:rPr>
                <w:rFonts w:ascii="Times New Roman" w:hAnsi="Times New Roman"/>
                <w:sz w:val="21"/>
                <w:szCs w:val="24"/>
                <w:highlight w:val="none"/>
              </w:rPr>
            </w:pPr>
            <w:r>
              <w:rPr>
                <w:rFonts w:hint="eastAsia" w:ascii="Times New Roman" w:hAnsi="Times New Roman"/>
                <w:sz w:val="21"/>
                <w:szCs w:val="24"/>
                <w:highlight w:val="none"/>
              </w:rPr>
              <w:t>监测站</w:t>
            </w:r>
            <w:r>
              <w:rPr>
                <w:rFonts w:ascii="Times New Roman" w:hAnsi="Times New Roman"/>
                <w:sz w:val="21"/>
                <w:szCs w:val="24"/>
                <w:highlight w:val="none"/>
              </w:rPr>
              <w:t>坐标</w:t>
            </w:r>
          </w:p>
        </w:tc>
        <w:tc>
          <w:tcPr>
            <w:tcW w:w="739" w:type="pct"/>
            <w:noWrap w:val="0"/>
            <w:vAlign w:val="center"/>
          </w:tcPr>
          <w:p w14:paraId="1CA69FFF">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相对距离</w:t>
            </w:r>
          </w:p>
        </w:tc>
        <w:tc>
          <w:tcPr>
            <w:tcW w:w="906" w:type="pct"/>
            <w:noWrap w:val="0"/>
            <w:vAlign w:val="center"/>
          </w:tcPr>
          <w:p w14:paraId="38B03B8D">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数据年份/年</w:t>
            </w:r>
          </w:p>
        </w:tc>
      </w:tr>
      <w:tr w14:paraId="3052C52A">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67" w:hRule="atLeast"/>
          <w:jc w:val="center"/>
        </w:trPr>
        <w:tc>
          <w:tcPr>
            <w:tcW w:w="1291" w:type="pct"/>
            <w:noWrap w:val="0"/>
            <w:vAlign w:val="center"/>
          </w:tcPr>
          <w:p w14:paraId="0E7A261A">
            <w:pPr>
              <w:spacing w:line="240" w:lineRule="auto"/>
              <w:ind w:firstLine="0" w:firstLineChars="0"/>
              <w:contextualSpacing/>
              <w:jc w:val="center"/>
              <w:rPr>
                <w:rFonts w:ascii="Times New Roman" w:hAnsi="Times New Roman"/>
                <w:sz w:val="21"/>
                <w:szCs w:val="24"/>
                <w:highlight w:val="none"/>
              </w:rPr>
            </w:pPr>
            <w:r>
              <w:rPr>
                <w:rFonts w:hint="eastAsia" w:ascii="Times New Roman" w:hAnsi="Times New Roman"/>
                <w:sz w:val="21"/>
                <w:szCs w:val="24"/>
                <w:highlight w:val="none"/>
                <w:lang w:val="en-US" w:eastAsia="zh-CN"/>
              </w:rPr>
              <w:t>环保局2240</w:t>
            </w:r>
            <w:r>
              <w:rPr>
                <w:rFonts w:ascii="Times New Roman" w:hAnsi="Times New Roman"/>
                <w:sz w:val="21"/>
                <w:szCs w:val="24"/>
                <w:highlight w:val="none"/>
              </w:rPr>
              <w:t>A</w:t>
            </w:r>
          </w:p>
        </w:tc>
        <w:tc>
          <w:tcPr>
            <w:tcW w:w="1099" w:type="pct"/>
            <w:noWrap w:val="0"/>
            <w:vAlign w:val="center"/>
          </w:tcPr>
          <w:p w14:paraId="1561D44D">
            <w:pPr>
              <w:spacing w:line="240" w:lineRule="auto"/>
              <w:ind w:firstLine="0" w:firstLineChars="0"/>
              <w:contextualSpacing/>
              <w:jc w:val="center"/>
              <w:rPr>
                <w:rFonts w:hint="default" w:ascii="Times New Roman" w:hAnsi="Times New Roman" w:eastAsia="宋体"/>
                <w:sz w:val="21"/>
                <w:szCs w:val="24"/>
                <w:highlight w:val="none"/>
                <w:lang w:val="en-US" w:eastAsia="zh-CN"/>
              </w:rPr>
            </w:pPr>
            <w:r>
              <w:rPr>
                <w:rFonts w:hint="eastAsia" w:ascii="Times New Roman" w:hAnsi="Times New Roman"/>
                <w:sz w:val="21"/>
                <w:szCs w:val="24"/>
                <w:highlight w:val="none"/>
                <w:lang w:val="en-US" w:eastAsia="zh-CN"/>
              </w:rPr>
              <w:t>130.962</w:t>
            </w:r>
          </w:p>
        </w:tc>
        <w:tc>
          <w:tcPr>
            <w:tcW w:w="963" w:type="pct"/>
            <w:noWrap w:val="0"/>
            <w:vAlign w:val="center"/>
          </w:tcPr>
          <w:p w14:paraId="4A19A5EC">
            <w:pPr>
              <w:spacing w:line="240" w:lineRule="auto"/>
              <w:ind w:firstLine="0" w:firstLineChars="0"/>
              <w:contextualSpacing/>
              <w:jc w:val="center"/>
              <w:rPr>
                <w:rFonts w:hint="default" w:ascii="Times New Roman" w:hAnsi="Times New Roman" w:eastAsia="宋体"/>
                <w:sz w:val="21"/>
                <w:szCs w:val="24"/>
                <w:highlight w:val="none"/>
                <w:lang w:val="en-US" w:eastAsia="zh-CN"/>
              </w:rPr>
            </w:pPr>
            <w:r>
              <w:rPr>
                <w:rFonts w:hint="eastAsia" w:ascii="Times New Roman" w:hAnsi="Times New Roman"/>
                <w:sz w:val="21"/>
                <w:szCs w:val="24"/>
                <w:highlight w:val="none"/>
                <w:lang w:val="en-US" w:eastAsia="zh-CN"/>
              </w:rPr>
              <w:t>45.2924</w:t>
            </w:r>
          </w:p>
        </w:tc>
        <w:tc>
          <w:tcPr>
            <w:tcW w:w="739" w:type="pct"/>
            <w:noWrap w:val="0"/>
            <w:vAlign w:val="center"/>
          </w:tcPr>
          <w:p w14:paraId="29814591">
            <w:pPr>
              <w:spacing w:line="240" w:lineRule="auto"/>
              <w:ind w:firstLine="0" w:firstLineChars="0"/>
              <w:contextualSpacing/>
              <w:jc w:val="center"/>
              <w:rPr>
                <w:rFonts w:ascii="Times New Roman" w:hAnsi="Times New Roman"/>
                <w:sz w:val="21"/>
                <w:szCs w:val="24"/>
                <w:highlight w:val="none"/>
              </w:rPr>
            </w:pPr>
            <w:r>
              <w:rPr>
                <w:rFonts w:hint="eastAsia" w:ascii="Times New Roman" w:hAnsi="Times New Roman"/>
                <w:sz w:val="21"/>
                <w:szCs w:val="24"/>
                <w:highlight w:val="none"/>
                <w:lang w:val="en-US" w:eastAsia="zh-CN"/>
              </w:rPr>
              <w:t>99.3</w:t>
            </w:r>
            <w:r>
              <w:rPr>
                <w:rFonts w:ascii="Times New Roman" w:hAnsi="Times New Roman"/>
                <w:sz w:val="21"/>
                <w:szCs w:val="24"/>
                <w:highlight w:val="none"/>
              </w:rPr>
              <w:t>km</w:t>
            </w:r>
          </w:p>
        </w:tc>
        <w:tc>
          <w:tcPr>
            <w:tcW w:w="906" w:type="pct"/>
            <w:noWrap w:val="0"/>
            <w:vAlign w:val="center"/>
          </w:tcPr>
          <w:p w14:paraId="7A6116FF">
            <w:pPr>
              <w:spacing w:line="240" w:lineRule="auto"/>
              <w:ind w:firstLine="0" w:firstLineChars="0"/>
              <w:contextualSpacing/>
              <w:jc w:val="center"/>
              <w:rPr>
                <w:rFonts w:hint="eastAsia" w:ascii="Times New Roman" w:hAnsi="Times New Roman" w:eastAsia="宋体"/>
                <w:sz w:val="21"/>
                <w:szCs w:val="24"/>
                <w:highlight w:val="none"/>
                <w:lang w:eastAsia="zh-CN"/>
              </w:rPr>
            </w:pPr>
            <w:r>
              <w:rPr>
                <w:rFonts w:ascii="Times New Roman" w:hAnsi="Times New Roman"/>
                <w:sz w:val="21"/>
                <w:szCs w:val="24"/>
                <w:highlight w:val="none"/>
              </w:rPr>
              <w:t>202</w:t>
            </w:r>
            <w:r>
              <w:rPr>
                <w:rFonts w:hint="eastAsia" w:ascii="Times New Roman" w:hAnsi="Times New Roman"/>
                <w:sz w:val="21"/>
                <w:szCs w:val="24"/>
                <w:highlight w:val="none"/>
                <w:lang w:val="en-US" w:eastAsia="zh-CN"/>
              </w:rPr>
              <w:t>4</w:t>
            </w:r>
          </w:p>
        </w:tc>
      </w:tr>
    </w:tbl>
    <w:p w14:paraId="21AA990A">
      <w:pPr>
        <w:ind w:firstLine="480"/>
        <w:rPr>
          <w:rFonts w:ascii="Times New Roman" w:hAnsi="Times New Roman"/>
          <w:highlight w:val="none"/>
        </w:rPr>
      </w:pPr>
      <w:r>
        <w:rPr>
          <w:rFonts w:ascii="Times New Roman" w:hAnsi="Times New Roman"/>
          <w:highlight w:val="none"/>
        </w:rPr>
        <w:t>根据《环境影响评价技术导则 大气环境》（HJ2.2-2018）据6.4.2.1长期监测数据的现状评价内容，按HJ663 中的统计方法对各污染物的年评价指标进行环境质量现状评价。对于超标的污染物，计算其超标倍数和超标率。本项目区域基本污染物环境质量现状浓度采用</w:t>
      </w:r>
      <w:r>
        <w:rPr>
          <w:rFonts w:hint="eastAsia" w:ascii="Times New Roman" w:hAnsi="Times New Roman"/>
          <w:highlight w:val="none"/>
          <w:lang w:val="en-US" w:eastAsia="zh-CN"/>
        </w:rPr>
        <w:t>环保局</w:t>
      </w:r>
      <w:r>
        <w:rPr>
          <w:rFonts w:ascii="Times New Roman" w:hAnsi="Times New Roman"/>
          <w:highlight w:val="none"/>
        </w:rPr>
        <w:t>环境监测站202</w:t>
      </w:r>
      <w:r>
        <w:rPr>
          <w:rFonts w:hint="eastAsia" w:ascii="Times New Roman" w:hAnsi="Times New Roman"/>
          <w:highlight w:val="none"/>
          <w:lang w:val="en-US" w:eastAsia="zh-CN"/>
        </w:rPr>
        <w:t>4</w:t>
      </w:r>
      <w:r>
        <w:rPr>
          <w:rFonts w:ascii="Times New Roman" w:hAnsi="Times New Roman"/>
          <w:highlight w:val="none"/>
        </w:rPr>
        <w:t>年1月-12月</w:t>
      </w:r>
      <w:r>
        <w:rPr>
          <w:rFonts w:hint="eastAsia" w:ascii="Times New Roman" w:hAnsi="Times New Roman"/>
          <w:highlight w:val="none"/>
        </w:rPr>
        <w:t>逐日</w:t>
      </w:r>
      <w:r>
        <w:rPr>
          <w:rFonts w:ascii="Times New Roman" w:hAnsi="Times New Roman"/>
          <w:highlight w:val="none"/>
        </w:rPr>
        <w:t>监测数据，监测数据统计结果见表4.3-3。</w:t>
      </w:r>
    </w:p>
    <w:p w14:paraId="5FDC527E">
      <w:pPr>
        <w:pStyle w:val="7"/>
        <w:ind w:firstLine="0" w:firstLineChars="0"/>
        <w:jc w:val="center"/>
        <w:rPr>
          <w:rFonts w:ascii="Times New Roman" w:hAnsi="Times New Roman"/>
          <w:highlight w:val="none"/>
        </w:rPr>
      </w:pPr>
      <w:r>
        <w:rPr>
          <w:rFonts w:hint="eastAsia" w:ascii="黑体" w:hAnsi="黑体" w:eastAsia="黑体" w:cs="黑体"/>
          <w:highlight w:val="none"/>
        </w:rPr>
        <w:t>表</w:t>
      </w:r>
      <w:r>
        <w:rPr>
          <w:rFonts w:ascii="Times New Roman" w:hAnsi="Times New Roman"/>
          <w:highlight w:val="none"/>
        </w:rPr>
        <w:t>4.3-3</w:t>
      </w:r>
      <w:r>
        <w:rPr>
          <w:rFonts w:hint="eastAsia" w:ascii="黑体" w:hAnsi="黑体" w:eastAsia="黑体" w:cs="黑体"/>
          <w:highlight w:val="none"/>
        </w:rPr>
        <w:t>基本污染物长期监测数据统计表</w:t>
      </w:r>
    </w:p>
    <w:tbl>
      <w:tblPr>
        <w:tblStyle w:val="17"/>
        <w:tblW w:w="512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721"/>
        <w:gridCol w:w="2427"/>
        <w:gridCol w:w="1036"/>
        <w:gridCol w:w="1035"/>
        <w:gridCol w:w="1387"/>
        <w:gridCol w:w="954"/>
        <w:gridCol w:w="957"/>
      </w:tblGrid>
      <w:tr w14:paraId="39D138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96" w:hRule="atLeast"/>
          <w:jc w:val="center"/>
        </w:trPr>
        <w:tc>
          <w:tcPr>
            <w:tcW w:w="423" w:type="pct"/>
            <w:noWrap w:val="0"/>
            <w:vAlign w:val="center"/>
          </w:tcPr>
          <w:p w14:paraId="3F492655">
            <w:pPr>
              <w:spacing w:line="240" w:lineRule="auto"/>
              <w:ind w:firstLine="0" w:firstLineChars="0"/>
              <w:contextualSpacing/>
              <w:jc w:val="center"/>
              <w:rPr>
                <w:rFonts w:ascii="Times New Roman" w:hAnsi="Times New Roman"/>
                <w:sz w:val="21"/>
                <w:szCs w:val="24"/>
                <w:highlight w:val="none"/>
              </w:rPr>
            </w:pPr>
            <w:bookmarkStart w:id="113" w:name="_Hlk83143960"/>
            <w:r>
              <w:rPr>
                <w:rFonts w:ascii="Times New Roman" w:hAnsi="Times New Roman"/>
                <w:sz w:val="21"/>
                <w:szCs w:val="24"/>
                <w:highlight w:val="none"/>
              </w:rPr>
              <w:t>污染物</w:t>
            </w:r>
          </w:p>
        </w:tc>
        <w:tc>
          <w:tcPr>
            <w:tcW w:w="1424" w:type="pct"/>
            <w:noWrap w:val="0"/>
            <w:vAlign w:val="center"/>
          </w:tcPr>
          <w:p w14:paraId="2AA144BD">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年评价指标</w:t>
            </w:r>
          </w:p>
        </w:tc>
        <w:tc>
          <w:tcPr>
            <w:tcW w:w="608" w:type="pct"/>
            <w:noWrap w:val="0"/>
            <w:vAlign w:val="center"/>
          </w:tcPr>
          <w:p w14:paraId="1C3233F8">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评价标准（μg/m</w:t>
            </w:r>
            <w:r>
              <w:rPr>
                <w:rFonts w:ascii="Times New Roman" w:hAnsi="Times New Roman"/>
                <w:sz w:val="21"/>
                <w:szCs w:val="24"/>
                <w:highlight w:val="none"/>
                <w:vertAlign w:val="superscript"/>
              </w:rPr>
              <w:t>3</w:t>
            </w:r>
            <w:r>
              <w:rPr>
                <w:rFonts w:ascii="Times New Roman" w:hAnsi="Times New Roman"/>
                <w:sz w:val="21"/>
                <w:szCs w:val="24"/>
                <w:highlight w:val="none"/>
              </w:rPr>
              <w:t>）</w:t>
            </w:r>
          </w:p>
        </w:tc>
        <w:tc>
          <w:tcPr>
            <w:tcW w:w="607" w:type="pct"/>
            <w:noWrap w:val="0"/>
            <w:vAlign w:val="center"/>
          </w:tcPr>
          <w:p w14:paraId="6F18ACE2">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现状浓度（μg/m</w:t>
            </w:r>
            <w:r>
              <w:rPr>
                <w:rFonts w:ascii="Times New Roman" w:hAnsi="Times New Roman"/>
                <w:sz w:val="21"/>
                <w:szCs w:val="24"/>
                <w:highlight w:val="none"/>
                <w:vertAlign w:val="superscript"/>
              </w:rPr>
              <w:t>3</w:t>
            </w:r>
            <w:r>
              <w:rPr>
                <w:rFonts w:ascii="Times New Roman" w:hAnsi="Times New Roman"/>
                <w:sz w:val="21"/>
                <w:szCs w:val="24"/>
                <w:highlight w:val="none"/>
              </w:rPr>
              <w:t>）</w:t>
            </w:r>
          </w:p>
        </w:tc>
        <w:tc>
          <w:tcPr>
            <w:tcW w:w="814" w:type="pct"/>
            <w:noWrap w:val="0"/>
            <w:vAlign w:val="center"/>
          </w:tcPr>
          <w:p w14:paraId="3B4CF5BF">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最大浓度占标率（%）</w:t>
            </w:r>
          </w:p>
        </w:tc>
        <w:tc>
          <w:tcPr>
            <w:tcW w:w="560" w:type="pct"/>
            <w:noWrap w:val="0"/>
            <w:vAlign w:val="center"/>
          </w:tcPr>
          <w:p w14:paraId="028DA5A7">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超标频率（%）</w:t>
            </w:r>
          </w:p>
        </w:tc>
        <w:tc>
          <w:tcPr>
            <w:tcW w:w="561" w:type="pct"/>
            <w:noWrap w:val="0"/>
            <w:vAlign w:val="center"/>
          </w:tcPr>
          <w:p w14:paraId="24C5C92D">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达标情况</w:t>
            </w:r>
          </w:p>
        </w:tc>
      </w:tr>
      <w:tr w14:paraId="61BD60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4" w:hRule="atLeast"/>
          <w:jc w:val="center"/>
        </w:trPr>
        <w:tc>
          <w:tcPr>
            <w:tcW w:w="423" w:type="pct"/>
            <w:vMerge w:val="restart"/>
            <w:noWrap w:val="0"/>
            <w:vAlign w:val="center"/>
          </w:tcPr>
          <w:p w14:paraId="110625D6">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SO</w:t>
            </w:r>
            <w:r>
              <w:rPr>
                <w:rFonts w:ascii="Times New Roman" w:hAnsi="Times New Roman"/>
                <w:sz w:val="21"/>
                <w:szCs w:val="24"/>
                <w:highlight w:val="none"/>
                <w:vertAlign w:val="subscript"/>
              </w:rPr>
              <w:t>2</w:t>
            </w:r>
          </w:p>
        </w:tc>
        <w:tc>
          <w:tcPr>
            <w:tcW w:w="1424" w:type="pct"/>
            <w:noWrap w:val="0"/>
            <w:vAlign w:val="center"/>
          </w:tcPr>
          <w:p w14:paraId="4B8FA1EF">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年平均质量浓度</w:t>
            </w:r>
          </w:p>
        </w:tc>
        <w:tc>
          <w:tcPr>
            <w:tcW w:w="608" w:type="pct"/>
            <w:noWrap w:val="0"/>
            <w:vAlign w:val="center"/>
          </w:tcPr>
          <w:p w14:paraId="2A862356">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60</w:t>
            </w:r>
          </w:p>
        </w:tc>
        <w:tc>
          <w:tcPr>
            <w:tcW w:w="607" w:type="pct"/>
            <w:noWrap w:val="0"/>
            <w:vAlign w:val="center"/>
          </w:tcPr>
          <w:p w14:paraId="55B3E7A9">
            <w:pPr>
              <w:spacing w:line="240" w:lineRule="auto"/>
              <w:ind w:firstLine="0" w:firstLineChars="0"/>
              <w:contextualSpacing/>
              <w:jc w:val="center"/>
              <w:rPr>
                <w:rFonts w:hint="default" w:ascii="Times New Roman" w:hAnsi="Times New Roman" w:eastAsia="宋体"/>
                <w:sz w:val="21"/>
                <w:szCs w:val="24"/>
                <w:highlight w:val="none"/>
                <w:lang w:val="en-US" w:eastAsia="zh-CN"/>
              </w:rPr>
            </w:pPr>
            <w:r>
              <w:rPr>
                <w:rFonts w:hint="eastAsia" w:ascii="Times New Roman" w:hAnsi="Times New Roman"/>
                <w:sz w:val="21"/>
                <w:szCs w:val="24"/>
                <w:highlight w:val="none"/>
                <w:lang w:val="en-US" w:eastAsia="zh-CN"/>
              </w:rPr>
              <w:t>7.16</w:t>
            </w:r>
          </w:p>
        </w:tc>
        <w:tc>
          <w:tcPr>
            <w:tcW w:w="814" w:type="pct"/>
            <w:noWrap w:val="0"/>
            <w:vAlign w:val="center"/>
          </w:tcPr>
          <w:p w14:paraId="06F98446">
            <w:pPr>
              <w:spacing w:line="240" w:lineRule="auto"/>
              <w:ind w:firstLine="0" w:firstLineChars="0"/>
              <w:contextualSpacing/>
              <w:jc w:val="center"/>
              <w:rPr>
                <w:rFonts w:hint="default" w:ascii="Times New Roman" w:hAnsi="Times New Roman" w:eastAsia="宋体"/>
                <w:sz w:val="21"/>
                <w:szCs w:val="24"/>
                <w:highlight w:val="none"/>
                <w:lang w:val="en-US" w:eastAsia="zh-CN"/>
              </w:rPr>
            </w:pPr>
            <w:r>
              <w:rPr>
                <w:rFonts w:hint="eastAsia" w:ascii="Times New Roman" w:hAnsi="Times New Roman"/>
                <w:sz w:val="21"/>
                <w:szCs w:val="24"/>
                <w:highlight w:val="none"/>
                <w:lang w:val="en-US" w:eastAsia="zh-CN"/>
              </w:rPr>
              <w:t>11.9</w:t>
            </w:r>
          </w:p>
        </w:tc>
        <w:tc>
          <w:tcPr>
            <w:tcW w:w="560" w:type="pct"/>
            <w:noWrap w:val="0"/>
            <w:vAlign w:val="center"/>
          </w:tcPr>
          <w:p w14:paraId="70A1359E">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0</w:t>
            </w:r>
          </w:p>
        </w:tc>
        <w:tc>
          <w:tcPr>
            <w:tcW w:w="561" w:type="pct"/>
            <w:noWrap w:val="0"/>
            <w:vAlign w:val="center"/>
          </w:tcPr>
          <w:p w14:paraId="7D6DCDB7">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达标</w:t>
            </w:r>
          </w:p>
        </w:tc>
      </w:tr>
      <w:tr w14:paraId="251CD1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3" w:hRule="atLeast"/>
          <w:jc w:val="center"/>
        </w:trPr>
        <w:tc>
          <w:tcPr>
            <w:tcW w:w="423" w:type="pct"/>
            <w:vMerge w:val="continue"/>
            <w:noWrap w:val="0"/>
            <w:vAlign w:val="center"/>
          </w:tcPr>
          <w:p w14:paraId="28076392">
            <w:pPr>
              <w:spacing w:line="240" w:lineRule="auto"/>
              <w:ind w:firstLine="0" w:firstLineChars="0"/>
              <w:contextualSpacing/>
              <w:jc w:val="center"/>
              <w:rPr>
                <w:rFonts w:ascii="Times New Roman" w:hAnsi="Times New Roman"/>
                <w:sz w:val="21"/>
                <w:szCs w:val="24"/>
                <w:highlight w:val="none"/>
              </w:rPr>
            </w:pPr>
          </w:p>
        </w:tc>
        <w:tc>
          <w:tcPr>
            <w:tcW w:w="1424" w:type="pct"/>
            <w:noWrap w:val="0"/>
            <w:vAlign w:val="center"/>
          </w:tcPr>
          <w:p w14:paraId="684B09BB">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24小时平均第98百分位数</w:t>
            </w:r>
          </w:p>
        </w:tc>
        <w:tc>
          <w:tcPr>
            <w:tcW w:w="608" w:type="pct"/>
            <w:noWrap w:val="0"/>
            <w:vAlign w:val="center"/>
          </w:tcPr>
          <w:p w14:paraId="452CDBC7">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150</w:t>
            </w:r>
          </w:p>
        </w:tc>
        <w:tc>
          <w:tcPr>
            <w:tcW w:w="607" w:type="pct"/>
            <w:noWrap w:val="0"/>
            <w:vAlign w:val="center"/>
          </w:tcPr>
          <w:p w14:paraId="62172812">
            <w:pPr>
              <w:spacing w:line="240" w:lineRule="auto"/>
              <w:ind w:firstLine="0" w:firstLineChars="0"/>
              <w:contextualSpacing/>
              <w:jc w:val="center"/>
              <w:rPr>
                <w:rFonts w:hint="default" w:ascii="Times New Roman" w:hAnsi="Times New Roman" w:eastAsia="宋体"/>
                <w:sz w:val="21"/>
                <w:szCs w:val="24"/>
                <w:highlight w:val="none"/>
                <w:lang w:val="en-US" w:eastAsia="zh-CN"/>
              </w:rPr>
            </w:pPr>
            <w:r>
              <w:rPr>
                <w:rFonts w:hint="eastAsia" w:ascii="Times New Roman" w:hAnsi="Times New Roman"/>
                <w:sz w:val="21"/>
                <w:szCs w:val="24"/>
                <w:highlight w:val="none"/>
                <w:lang w:val="en-US" w:eastAsia="zh-CN"/>
              </w:rPr>
              <w:t>13</w:t>
            </w:r>
          </w:p>
        </w:tc>
        <w:tc>
          <w:tcPr>
            <w:tcW w:w="814" w:type="pct"/>
            <w:noWrap w:val="0"/>
            <w:vAlign w:val="center"/>
          </w:tcPr>
          <w:p w14:paraId="6B812C7B">
            <w:pPr>
              <w:spacing w:line="240" w:lineRule="auto"/>
              <w:ind w:firstLine="0" w:firstLineChars="0"/>
              <w:contextualSpacing/>
              <w:jc w:val="center"/>
              <w:rPr>
                <w:rFonts w:hint="default" w:ascii="Times New Roman" w:hAnsi="Times New Roman" w:eastAsia="宋体"/>
                <w:sz w:val="21"/>
                <w:szCs w:val="24"/>
                <w:highlight w:val="none"/>
                <w:lang w:val="en-US" w:eastAsia="zh-CN"/>
              </w:rPr>
            </w:pPr>
            <w:r>
              <w:rPr>
                <w:rFonts w:hint="eastAsia" w:ascii="Times New Roman" w:hAnsi="Times New Roman"/>
                <w:sz w:val="21"/>
                <w:szCs w:val="24"/>
                <w:highlight w:val="none"/>
                <w:lang w:val="en-US" w:eastAsia="zh-CN"/>
              </w:rPr>
              <w:t>8.67</w:t>
            </w:r>
          </w:p>
        </w:tc>
        <w:tc>
          <w:tcPr>
            <w:tcW w:w="560" w:type="pct"/>
            <w:noWrap w:val="0"/>
            <w:vAlign w:val="center"/>
          </w:tcPr>
          <w:p w14:paraId="68EF594E">
            <w:pPr>
              <w:spacing w:line="240" w:lineRule="auto"/>
              <w:ind w:firstLine="0" w:firstLineChars="0"/>
              <w:contextualSpacing/>
              <w:jc w:val="center"/>
              <w:rPr>
                <w:rFonts w:hint="eastAsia" w:ascii="Times New Roman" w:hAnsi="Times New Roman" w:eastAsia="宋体"/>
                <w:sz w:val="21"/>
                <w:szCs w:val="24"/>
                <w:highlight w:val="none"/>
                <w:lang w:val="en-US" w:eastAsia="zh-CN"/>
              </w:rPr>
            </w:pPr>
            <w:r>
              <w:rPr>
                <w:rFonts w:hint="eastAsia" w:ascii="Times New Roman" w:hAnsi="Times New Roman"/>
                <w:sz w:val="21"/>
                <w:szCs w:val="24"/>
                <w:highlight w:val="none"/>
                <w:lang w:val="en-US" w:eastAsia="zh-CN"/>
              </w:rPr>
              <w:t>0</w:t>
            </w:r>
          </w:p>
        </w:tc>
        <w:tc>
          <w:tcPr>
            <w:tcW w:w="561" w:type="pct"/>
            <w:noWrap w:val="0"/>
            <w:vAlign w:val="center"/>
          </w:tcPr>
          <w:p w14:paraId="1B15B5F2">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达标</w:t>
            </w:r>
          </w:p>
        </w:tc>
      </w:tr>
      <w:tr w14:paraId="5D2E24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4" w:hRule="atLeast"/>
          <w:jc w:val="center"/>
        </w:trPr>
        <w:tc>
          <w:tcPr>
            <w:tcW w:w="423" w:type="pct"/>
            <w:vMerge w:val="restart"/>
            <w:noWrap w:val="0"/>
            <w:vAlign w:val="center"/>
          </w:tcPr>
          <w:p w14:paraId="3D316105">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NO</w:t>
            </w:r>
            <w:r>
              <w:rPr>
                <w:rFonts w:ascii="Times New Roman" w:hAnsi="Times New Roman"/>
                <w:sz w:val="21"/>
                <w:szCs w:val="24"/>
                <w:highlight w:val="none"/>
                <w:vertAlign w:val="subscript"/>
              </w:rPr>
              <w:t>2</w:t>
            </w:r>
          </w:p>
        </w:tc>
        <w:tc>
          <w:tcPr>
            <w:tcW w:w="1424" w:type="pct"/>
            <w:noWrap w:val="0"/>
            <w:vAlign w:val="center"/>
          </w:tcPr>
          <w:p w14:paraId="03E3989A">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年平均质量浓度</w:t>
            </w:r>
          </w:p>
        </w:tc>
        <w:tc>
          <w:tcPr>
            <w:tcW w:w="608" w:type="pct"/>
            <w:noWrap w:val="0"/>
            <w:vAlign w:val="center"/>
          </w:tcPr>
          <w:p w14:paraId="7391F960">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40</w:t>
            </w:r>
          </w:p>
        </w:tc>
        <w:tc>
          <w:tcPr>
            <w:tcW w:w="607" w:type="pct"/>
            <w:noWrap w:val="0"/>
            <w:vAlign w:val="center"/>
          </w:tcPr>
          <w:p w14:paraId="30244BA7">
            <w:pPr>
              <w:spacing w:line="240" w:lineRule="auto"/>
              <w:ind w:firstLine="0" w:firstLineChars="0"/>
              <w:contextualSpacing/>
              <w:jc w:val="center"/>
              <w:rPr>
                <w:rFonts w:hint="default" w:ascii="Times New Roman" w:hAnsi="Times New Roman" w:eastAsia="宋体"/>
                <w:sz w:val="21"/>
                <w:szCs w:val="24"/>
                <w:highlight w:val="none"/>
                <w:lang w:val="en-US" w:eastAsia="zh-CN"/>
              </w:rPr>
            </w:pPr>
            <w:r>
              <w:rPr>
                <w:rFonts w:hint="eastAsia" w:ascii="Times New Roman" w:hAnsi="Times New Roman"/>
                <w:sz w:val="21"/>
                <w:szCs w:val="24"/>
                <w:highlight w:val="none"/>
                <w:lang w:val="en-US" w:eastAsia="zh-CN"/>
              </w:rPr>
              <w:t>14.11</w:t>
            </w:r>
          </w:p>
        </w:tc>
        <w:tc>
          <w:tcPr>
            <w:tcW w:w="814" w:type="pct"/>
            <w:noWrap w:val="0"/>
            <w:vAlign w:val="center"/>
          </w:tcPr>
          <w:p w14:paraId="5E7209CA">
            <w:pPr>
              <w:spacing w:line="240" w:lineRule="auto"/>
              <w:ind w:firstLine="0" w:firstLineChars="0"/>
              <w:contextualSpacing/>
              <w:jc w:val="center"/>
              <w:rPr>
                <w:rFonts w:hint="default" w:ascii="Times New Roman" w:hAnsi="Times New Roman" w:eastAsia="宋体"/>
                <w:sz w:val="21"/>
                <w:szCs w:val="24"/>
                <w:highlight w:val="none"/>
                <w:lang w:val="en-US" w:eastAsia="zh-CN"/>
              </w:rPr>
            </w:pPr>
            <w:r>
              <w:rPr>
                <w:rFonts w:hint="eastAsia" w:ascii="Times New Roman" w:hAnsi="Times New Roman"/>
                <w:sz w:val="21"/>
                <w:szCs w:val="24"/>
                <w:highlight w:val="none"/>
                <w:lang w:val="en-US" w:eastAsia="zh-CN"/>
              </w:rPr>
              <w:t>35.28</w:t>
            </w:r>
          </w:p>
        </w:tc>
        <w:tc>
          <w:tcPr>
            <w:tcW w:w="560" w:type="pct"/>
            <w:noWrap w:val="0"/>
            <w:vAlign w:val="center"/>
          </w:tcPr>
          <w:p w14:paraId="50012FCE">
            <w:pPr>
              <w:spacing w:line="240" w:lineRule="auto"/>
              <w:ind w:firstLine="0" w:firstLineChars="0"/>
              <w:contextualSpacing/>
              <w:jc w:val="center"/>
              <w:rPr>
                <w:rFonts w:hint="default" w:ascii="Times New Roman" w:hAnsi="Times New Roman" w:eastAsia="宋体"/>
                <w:sz w:val="21"/>
                <w:szCs w:val="24"/>
                <w:highlight w:val="none"/>
                <w:lang w:val="en-US" w:eastAsia="zh-CN"/>
              </w:rPr>
            </w:pPr>
            <w:r>
              <w:rPr>
                <w:rFonts w:hint="eastAsia" w:ascii="Times New Roman" w:hAnsi="Times New Roman"/>
                <w:sz w:val="21"/>
                <w:szCs w:val="24"/>
                <w:highlight w:val="none"/>
                <w:lang w:val="en-US" w:eastAsia="zh-CN"/>
              </w:rPr>
              <w:t>0</w:t>
            </w:r>
          </w:p>
        </w:tc>
        <w:tc>
          <w:tcPr>
            <w:tcW w:w="561" w:type="pct"/>
            <w:noWrap w:val="0"/>
            <w:vAlign w:val="center"/>
          </w:tcPr>
          <w:p w14:paraId="0B9A26A8">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达标</w:t>
            </w:r>
          </w:p>
        </w:tc>
      </w:tr>
      <w:tr w14:paraId="73198E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0" w:hRule="atLeast"/>
          <w:jc w:val="center"/>
        </w:trPr>
        <w:tc>
          <w:tcPr>
            <w:tcW w:w="423" w:type="pct"/>
            <w:vMerge w:val="continue"/>
            <w:noWrap w:val="0"/>
            <w:vAlign w:val="center"/>
          </w:tcPr>
          <w:p w14:paraId="1527AAFA">
            <w:pPr>
              <w:spacing w:line="240" w:lineRule="auto"/>
              <w:ind w:firstLine="0" w:firstLineChars="0"/>
              <w:contextualSpacing/>
              <w:jc w:val="center"/>
              <w:rPr>
                <w:rFonts w:ascii="Times New Roman" w:hAnsi="Times New Roman"/>
                <w:sz w:val="21"/>
                <w:szCs w:val="24"/>
                <w:highlight w:val="none"/>
              </w:rPr>
            </w:pPr>
          </w:p>
        </w:tc>
        <w:tc>
          <w:tcPr>
            <w:tcW w:w="1424" w:type="pct"/>
            <w:noWrap w:val="0"/>
            <w:vAlign w:val="center"/>
          </w:tcPr>
          <w:p w14:paraId="4F44F2EB">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24小时平均第98百分位数</w:t>
            </w:r>
          </w:p>
        </w:tc>
        <w:tc>
          <w:tcPr>
            <w:tcW w:w="608" w:type="pct"/>
            <w:noWrap w:val="0"/>
            <w:vAlign w:val="center"/>
          </w:tcPr>
          <w:p w14:paraId="2AFA9DFC">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80</w:t>
            </w:r>
          </w:p>
        </w:tc>
        <w:tc>
          <w:tcPr>
            <w:tcW w:w="607" w:type="pct"/>
            <w:noWrap w:val="0"/>
            <w:vAlign w:val="center"/>
          </w:tcPr>
          <w:p w14:paraId="6753943B">
            <w:pPr>
              <w:spacing w:line="240" w:lineRule="auto"/>
              <w:ind w:firstLine="0" w:firstLineChars="0"/>
              <w:contextualSpacing/>
              <w:jc w:val="center"/>
              <w:rPr>
                <w:rFonts w:hint="default" w:ascii="Times New Roman" w:hAnsi="Times New Roman" w:eastAsia="宋体"/>
                <w:sz w:val="21"/>
                <w:szCs w:val="24"/>
                <w:highlight w:val="none"/>
                <w:lang w:val="en-US" w:eastAsia="zh-CN"/>
              </w:rPr>
            </w:pPr>
            <w:r>
              <w:rPr>
                <w:rFonts w:hint="eastAsia" w:ascii="Times New Roman" w:hAnsi="Times New Roman"/>
                <w:sz w:val="21"/>
                <w:szCs w:val="24"/>
                <w:highlight w:val="none"/>
                <w:lang w:val="en-US" w:eastAsia="zh-CN"/>
              </w:rPr>
              <w:t>45</w:t>
            </w:r>
          </w:p>
        </w:tc>
        <w:tc>
          <w:tcPr>
            <w:tcW w:w="814" w:type="pct"/>
            <w:noWrap w:val="0"/>
            <w:vAlign w:val="center"/>
          </w:tcPr>
          <w:p w14:paraId="0F007690">
            <w:pPr>
              <w:spacing w:line="240" w:lineRule="auto"/>
              <w:ind w:firstLine="0" w:firstLineChars="0"/>
              <w:contextualSpacing/>
              <w:jc w:val="center"/>
              <w:rPr>
                <w:rFonts w:hint="default" w:ascii="Times New Roman" w:hAnsi="Times New Roman" w:eastAsia="宋体"/>
                <w:sz w:val="21"/>
                <w:szCs w:val="24"/>
                <w:highlight w:val="none"/>
                <w:lang w:val="en-US" w:eastAsia="zh-CN"/>
              </w:rPr>
            </w:pPr>
            <w:r>
              <w:rPr>
                <w:rFonts w:hint="eastAsia" w:ascii="Times New Roman" w:hAnsi="Times New Roman"/>
                <w:sz w:val="21"/>
                <w:szCs w:val="24"/>
                <w:highlight w:val="none"/>
                <w:lang w:val="en-US" w:eastAsia="zh-CN"/>
              </w:rPr>
              <w:t>56.25</w:t>
            </w:r>
          </w:p>
        </w:tc>
        <w:tc>
          <w:tcPr>
            <w:tcW w:w="560" w:type="pct"/>
            <w:noWrap w:val="0"/>
            <w:vAlign w:val="center"/>
          </w:tcPr>
          <w:p w14:paraId="32F383AC">
            <w:pPr>
              <w:spacing w:line="240" w:lineRule="auto"/>
              <w:ind w:firstLine="0" w:firstLineChars="0"/>
              <w:contextualSpacing/>
              <w:jc w:val="center"/>
              <w:rPr>
                <w:rFonts w:hint="eastAsia" w:ascii="Times New Roman" w:hAnsi="Times New Roman" w:eastAsia="宋体"/>
                <w:sz w:val="21"/>
                <w:szCs w:val="24"/>
                <w:highlight w:val="none"/>
                <w:lang w:val="en-US" w:eastAsia="zh-CN"/>
              </w:rPr>
            </w:pPr>
            <w:r>
              <w:rPr>
                <w:rFonts w:hint="eastAsia" w:ascii="Times New Roman" w:hAnsi="Times New Roman"/>
                <w:sz w:val="21"/>
                <w:szCs w:val="24"/>
                <w:highlight w:val="none"/>
                <w:lang w:val="en-US" w:eastAsia="zh-CN"/>
              </w:rPr>
              <w:t>0</w:t>
            </w:r>
          </w:p>
        </w:tc>
        <w:tc>
          <w:tcPr>
            <w:tcW w:w="561" w:type="pct"/>
            <w:noWrap w:val="0"/>
            <w:vAlign w:val="center"/>
          </w:tcPr>
          <w:p w14:paraId="7BEDE528">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达标</w:t>
            </w:r>
          </w:p>
        </w:tc>
      </w:tr>
      <w:tr w14:paraId="40805E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4" w:hRule="atLeast"/>
          <w:jc w:val="center"/>
        </w:trPr>
        <w:tc>
          <w:tcPr>
            <w:tcW w:w="423" w:type="pct"/>
            <w:vMerge w:val="restart"/>
            <w:noWrap w:val="0"/>
            <w:vAlign w:val="center"/>
          </w:tcPr>
          <w:p w14:paraId="1D413197">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PM</w:t>
            </w:r>
            <w:r>
              <w:rPr>
                <w:rFonts w:ascii="Times New Roman" w:hAnsi="Times New Roman"/>
                <w:sz w:val="21"/>
                <w:szCs w:val="24"/>
                <w:highlight w:val="none"/>
                <w:vertAlign w:val="subscript"/>
              </w:rPr>
              <w:t>10</w:t>
            </w:r>
          </w:p>
        </w:tc>
        <w:tc>
          <w:tcPr>
            <w:tcW w:w="1424" w:type="pct"/>
            <w:noWrap w:val="0"/>
            <w:vAlign w:val="center"/>
          </w:tcPr>
          <w:p w14:paraId="025B1F54">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年平均质量浓度</w:t>
            </w:r>
          </w:p>
        </w:tc>
        <w:tc>
          <w:tcPr>
            <w:tcW w:w="608" w:type="pct"/>
            <w:noWrap w:val="0"/>
            <w:vAlign w:val="center"/>
          </w:tcPr>
          <w:p w14:paraId="2610B06E">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70</w:t>
            </w:r>
          </w:p>
        </w:tc>
        <w:tc>
          <w:tcPr>
            <w:tcW w:w="607" w:type="pct"/>
            <w:noWrap w:val="0"/>
            <w:vAlign w:val="center"/>
          </w:tcPr>
          <w:p w14:paraId="43E8EE10">
            <w:pPr>
              <w:spacing w:line="240" w:lineRule="auto"/>
              <w:ind w:firstLine="0" w:firstLineChars="0"/>
              <w:contextualSpacing/>
              <w:jc w:val="center"/>
              <w:rPr>
                <w:rFonts w:hint="default" w:ascii="Times New Roman" w:hAnsi="Times New Roman" w:eastAsia="宋体"/>
                <w:sz w:val="21"/>
                <w:szCs w:val="24"/>
                <w:highlight w:val="none"/>
                <w:lang w:val="en-US" w:eastAsia="zh-CN"/>
              </w:rPr>
            </w:pPr>
            <w:r>
              <w:rPr>
                <w:rFonts w:hint="eastAsia" w:ascii="Times New Roman" w:hAnsi="Times New Roman"/>
                <w:sz w:val="21"/>
                <w:szCs w:val="24"/>
                <w:highlight w:val="none"/>
                <w:lang w:val="en-US" w:eastAsia="zh-CN"/>
              </w:rPr>
              <w:t>42.95</w:t>
            </w:r>
          </w:p>
        </w:tc>
        <w:tc>
          <w:tcPr>
            <w:tcW w:w="814" w:type="pct"/>
            <w:noWrap w:val="0"/>
            <w:vAlign w:val="center"/>
          </w:tcPr>
          <w:p w14:paraId="5338B8CA">
            <w:pPr>
              <w:spacing w:line="240" w:lineRule="auto"/>
              <w:ind w:firstLine="0" w:firstLineChars="0"/>
              <w:contextualSpacing/>
              <w:jc w:val="center"/>
              <w:rPr>
                <w:rFonts w:hint="default" w:ascii="Times New Roman" w:hAnsi="Times New Roman" w:eastAsia="宋体"/>
                <w:sz w:val="21"/>
                <w:szCs w:val="24"/>
                <w:highlight w:val="none"/>
                <w:lang w:val="en-US" w:eastAsia="zh-CN"/>
              </w:rPr>
            </w:pPr>
            <w:r>
              <w:rPr>
                <w:rFonts w:hint="eastAsia" w:ascii="Times New Roman" w:hAnsi="Times New Roman"/>
                <w:sz w:val="21"/>
                <w:szCs w:val="24"/>
                <w:highlight w:val="none"/>
                <w:lang w:val="en-US" w:eastAsia="zh-CN"/>
              </w:rPr>
              <w:t>61.36</w:t>
            </w:r>
          </w:p>
        </w:tc>
        <w:tc>
          <w:tcPr>
            <w:tcW w:w="560" w:type="pct"/>
            <w:noWrap w:val="0"/>
            <w:vAlign w:val="center"/>
          </w:tcPr>
          <w:p w14:paraId="4D2AA960">
            <w:pPr>
              <w:spacing w:line="240" w:lineRule="auto"/>
              <w:ind w:firstLine="0" w:firstLineChars="0"/>
              <w:contextualSpacing/>
              <w:jc w:val="center"/>
              <w:rPr>
                <w:rFonts w:hint="eastAsia" w:ascii="Times New Roman" w:hAnsi="Times New Roman" w:eastAsia="宋体"/>
                <w:sz w:val="21"/>
                <w:szCs w:val="24"/>
                <w:highlight w:val="none"/>
                <w:lang w:eastAsia="zh-CN"/>
              </w:rPr>
            </w:pPr>
            <w:r>
              <w:rPr>
                <w:rFonts w:hint="eastAsia" w:ascii="Times New Roman" w:hAnsi="Times New Roman"/>
                <w:sz w:val="21"/>
                <w:szCs w:val="24"/>
                <w:highlight w:val="none"/>
                <w:lang w:val="en-US" w:eastAsia="zh-CN"/>
              </w:rPr>
              <w:t>0</w:t>
            </w:r>
          </w:p>
        </w:tc>
        <w:tc>
          <w:tcPr>
            <w:tcW w:w="561" w:type="pct"/>
            <w:noWrap w:val="0"/>
            <w:vAlign w:val="center"/>
          </w:tcPr>
          <w:p w14:paraId="184A7F3C">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达标</w:t>
            </w:r>
          </w:p>
        </w:tc>
      </w:tr>
      <w:tr w14:paraId="3D7886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0" w:hRule="atLeast"/>
          <w:jc w:val="center"/>
        </w:trPr>
        <w:tc>
          <w:tcPr>
            <w:tcW w:w="423" w:type="pct"/>
            <w:vMerge w:val="continue"/>
            <w:noWrap w:val="0"/>
            <w:vAlign w:val="center"/>
          </w:tcPr>
          <w:p w14:paraId="028E4091">
            <w:pPr>
              <w:spacing w:line="240" w:lineRule="auto"/>
              <w:ind w:firstLine="0" w:firstLineChars="0"/>
              <w:contextualSpacing/>
              <w:jc w:val="center"/>
              <w:rPr>
                <w:rFonts w:ascii="Times New Roman" w:hAnsi="Times New Roman"/>
                <w:sz w:val="21"/>
                <w:szCs w:val="24"/>
                <w:highlight w:val="none"/>
              </w:rPr>
            </w:pPr>
          </w:p>
        </w:tc>
        <w:tc>
          <w:tcPr>
            <w:tcW w:w="1424" w:type="pct"/>
            <w:noWrap w:val="0"/>
            <w:vAlign w:val="center"/>
          </w:tcPr>
          <w:p w14:paraId="7EDBFA1F">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24小时平均第95百分位数</w:t>
            </w:r>
          </w:p>
        </w:tc>
        <w:tc>
          <w:tcPr>
            <w:tcW w:w="608" w:type="pct"/>
            <w:noWrap w:val="0"/>
            <w:vAlign w:val="center"/>
          </w:tcPr>
          <w:p w14:paraId="332AC2B1">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150</w:t>
            </w:r>
          </w:p>
        </w:tc>
        <w:tc>
          <w:tcPr>
            <w:tcW w:w="607" w:type="pct"/>
            <w:noWrap w:val="0"/>
            <w:vAlign w:val="center"/>
          </w:tcPr>
          <w:p w14:paraId="35958AC2">
            <w:pPr>
              <w:spacing w:line="240" w:lineRule="auto"/>
              <w:ind w:firstLine="0" w:firstLineChars="0"/>
              <w:contextualSpacing/>
              <w:jc w:val="center"/>
              <w:rPr>
                <w:rFonts w:hint="default" w:ascii="Times New Roman" w:hAnsi="Times New Roman" w:eastAsia="宋体"/>
                <w:sz w:val="21"/>
                <w:szCs w:val="24"/>
                <w:highlight w:val="none"/>
                <w:lang w:val="en-US" w:eastAsia="zh-CN"/>
              </w:rPr>
            </w:pPr>
            <w:r>
              <w:rPr>
                <w:rFonts w:hint="eastAsia" w:ascii="Times New Roman" w:hAnsi="Times New Roman"/>
                <w:sz w:val="21"/>
                <w:szCs w:val="24"/>
                <w:highlight w:val="none"/>
                <w:lang w:val="en-US" w:eastAsia="zh-CN"/>
              </w:rPr>
              <w:t>94</w:t>
            </w:r>
          </w:p>
        </w:tc>
        <w:tc>
          <w:tcPr>
            <w:tcW w:w="814" w:type="pct"/>
            <w:noWrap w:val="0"/>
            <w:vAlign w:val="center"/>
          </w:tcPr>
          <w:p w14:paraId="4C2354E9">
            <w:pPr>
              <w:spacing w:line="240" w:lineRule="auto"/>
              <w:ind w:firstLine="0" w:firstLineChars="0"/>
              <w:contextualSpacing/>
              <w:jc w:val="center"/>
              <w:rPr>
                <w:rFonts w:hint="default" w:ascii="Times New Roman" w:hAnsi="Times New Roman" w:eastAsia="宋体"/>
                <w:sz w:val="21"/>
                <w:szCs w:val="24"/>
                <w:highlight w:val="none"/>
                <w:lang w:val="en-US" w:eastAsia="zh-CN"/>
              </w:rPr>
            </w:pPr>
            <w:r>
              <w:rPr>
                <w:rFonts w:hint="eastAsia" w:ascii="Times New Roman" w:hAnsi="Times New Roman"/>
                <w:sz w:val="21"/>
                <w:szCs w:val="24"/>
                <w:highlight w:val="none"/>
                <w:lang w:val="en-US" w:eastAsia="zh-CN"/>
              </w:rPr>
              <w:t>84.67</w:t>
            </w:r>
          </w:p>
        </w:tc>
        <w:tc>
          <w:tcPr>
            <w:tcW w:w="560" w:type="pct"/>
            <w:noWrap w:val="0"/>
            <w:vAlign w:val="center"/>
          </w:tcPr>
          <w:p w14:paraId="52F06577">
            <w:pPr>
              <w:spacing w:line="240" w:lineRule="auto"/>
              <w:ind w:firstLine="0" w:firstLineChars="0"/>
              <w:contextualSpacing/>
              <w:jc w:val="center"/>
              <w:rPr>
                <w:rFonts w:hint="eastAsia" w:ascii="Times New Roman" w:hAnsi="Times New Roman" w:eastAsia="宋体"/>
                <w:sz w:val="21"/>
                <w:szCs w:val="24"/>
                <w:highlight w:val="none"/>
                <w:lang w:val="en-US" w:eastAsia="zh-CN"/>
              </w:rPr>
            </w:pPr>
            <w:r>
              <w:rPr>
                <w:rFonts w:hint="eastAsia" w:ascii="Times New Roman" w:hAnsi="Times New Roman"/>
                <w:sz w:val="21"/>
                <w:szCs w:val="24"/>
                <w:highlight w:val="none"/>
                <w:lang w:val="en-US" w:eastAsia="zh-CN"/>
              </w:rPr>
              <w:t>0</w:t>
            </w:r>
          </w:p>
        </w:tc>
        <w:tc>
          <w:tcPr>
            <w:tcW w:w="561" w:type="pct"/>
            <w:noWrap w:val="0"/>
            <w:vAlign w:val="center"/>
          </w:tcPr>
          <w:p w14:paraId="5B1EC324">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达标</w:t>
            </w:r>
          </w:p>
        </w:tc>
      </w:tr>
      <w:tr w14:paraId="7D7EAC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4" w:hRule="atLeast"/>
          <w:jc w:val="center"/>
        </w:trPr>
        <w:tc>
          <w:tcPr>
            <w:tcW w:w="423" w:type="pct"/>
            <w:vMerge w:val="restart"/>
            <w:noWrap w:val="0"/>
            <w:vAlign w:val="center"/>
          </w:tcPr>
          <w:p w14:paraId="4F741581">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PM</w:t>
            </w:r>
            <w:r>
              <w:rPr>
                <w:rFonts w:ascii="Times New Roman" w:hAnsi="Times New Roman"/>
                <w:sz w:val="21"/>
                <w:szCs w:val="24"/>
                <w:highlight w:val="none"/>
                <w:vertAlign w:val="subscript"/>
              </w:rPr>
              <w:t>2.5</w:t>
            </w:r>
          </w:p>
        </w:tc>
        <w:tc>
          <w:tcPr>
            <w:tcW w:w="1424" w:type="pct"/>
            <w:noWrap w:val="0"/>
            <w:vAlign w:val="center"/>
          </w:tcPr>
          <w:p w14:paraId="5A82DE3D">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年平均质量浓度</w:t>
            </w:r>
          </w:p>
        </w:tc>
        <w:tc>
          <w:tcPr>
            <w:tcW w:w="608" w:type="pct"/>
            <w:noWrap w:val="0"/>
            <w:vAlign w:val="center"/>
          </w:tcPr>
          <w:p w14:paraId="0E3A7B10">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35</w:t>
            </w:r>
          </w:p>
        </w:tc>
        <w:tc>
          <w:tcPr>
            <w:tcW w:w="607" w:type="pct"/>
            <w:noWrap w:val="0"/>
            <w:vAlign w:val="center"/>
          </w:tcPr>
          <w:p w14:paraId="54A11308">
            <w:pPr>
              <w:spacing w:line="240" w:lineRule="auto"/>
              <w:ind w:firstLine="0" w:firstLineChars="0"/>
              <w:contextualSpacing/>
              <w:jc w:val="center"/>
              <w:rPr>
                <w:rFonts w:hint="default" w:ascii="Times New Roman" w:hAnsi="Times New Roman" w:eastAsia="宋体"/>
                <w:sz w:val="21"/>
                <w:szCs w:val="24"/>
                <w:highlight w:val="none"/>
                <w:lang w:val="en-US" w:eastAsia="zh-CN"/>
              </w:rPr>
            </w:pPr>
            <w:r>
              <w:rPr>
                <w:rFonts w:hint="eastAsia" w:ascii="Times New Roman" w:hAnsi="Times New Roman"/>
                <w:sz w:val="21"/>
                <w:szCs w:val="24"/>
                <w:highlight w:val="none"/>
                <w:lang w:val="en-US" w:eastAsia="zh-CN"/>
              </w:rPr>
              <w:t>25.33</w:t>
            </w:r>
          </w:p>
        </w:tc>
        <w:tc>
          <w:tcPr>
            <w:tcW w:w="814" w:type="pct"/>
            <w:noWrap w:val="0"/>
            <w:vAlign w:val="center"/>
          </w:tcPr>
          <w:p w14:paraId="46BA75B0">
            <w:pPr>
              <w:spacing w:line="240" w:lineRule="auto"/>
              <w:ind w:firstLine="0" w:firstLineChars="0"/>
              <w:contextualSpacing/>
              <w:jc w:val="center"/>
              <w:rPr>
                <w:rFonts w:hint="default" w:ascii="Times New Roman" w:hAnsi="Times New Roman" w:eastAsia="宋体"/>
                <w:sz w:val="21"/>
                <w:szCs w:val="24"/>
                <w:highlight w:val="none"/>
                <w:lang w:val="en-US" w:eastAsia="zh-CN"/>
              </w:rPr>
            </w:pPr>
            <w:r>
              <w:rPr>
                <w:rFonts w:hint="eastAsia" w:ascii="Times New Roman" w:hAnsi="Times New Roman"/>
                <w:sz w:val="21"/>
                <w:szCs w:val="24"/>
                <w:highlight w:val="none"/>
                <w:lang w:val="en-US" w:eastAsia="zh-CN"/>
              </w:rPr>
              <w:t>72.37</w:t>
            </w:r>
          </w:p>
        </w:tc>
        <w:tc>
          <w:tcPr>
            <w:tcW w:w="560" w:type="pct"/>
            <w:noWrap w:val="0"/>
            <w:vAlign w:val="center"/>
          </w:tcPr>
          <w:p w14:paraId="634E82B5">
            <w:pPr>
              <w:spacing w:line="240" w:lineRule="auto"/>
              <w:ind w:firstLine="0" w:firstLineChars="0"/>
              <w:contextualSpacing/>
              <w:jc w:val="center"/>
              <w:rPr>
                <w:rFonts w:hint="eastAsia" w:ascii="Times New Roman" w:hAnsi="Times New Roman" w:eastAsia="宋体"/>
                <w:sz w:val="21"/>
                <w:szCs w:val="24"/>
                <w:highlight w:val="none"/>
                <w:lang w:eastAsia="zh-CN"/>
              </w:rPr>
            </w:pPr>
            <w:r>
              <w:rPr>
                <w:rFonts w:hint="eastAsia" w:ascii="Times New Roman" w:hAnsi="Times New Roman"/>
                <w:sz w:val="21"/>
                <w:szCs w:val="24"/>
                <w:highlight w:val="none"/>
                <w:lang w:val="en-US" w:eastAsia="zh-CN"/>
              </w:rPr>
              <w:t>0</w:t>
            </w:r>
          </w:p>
        </w:tc>
        <w:tc>
          <w:tcPr>
            <w:tcW w:w="957" w:type="dxa"/>
            <w:noWrap w:val="0"/>
            <w:vAlign w:val="center"/>
          </w:tcPr>
          <w:p w14:paraId="6AE7DF98">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达标</w:t>
            </w:r>
          </w:p>
        </w:tc>
      </w:tr>
      <w:tr w14:paraId="09FFB2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0" w:hRule="atLeast"/>
          <w:jc w:val="center"/>
        </w:trPr>
        <w:tc>
          <w:tcPr>
            <w:tcW w:w="423" w:type="pct"/>
            <w:vMerge w:val="continue"/>
            <w:noWrap w:val="0"/>
            <w:vAlign w:val="center"/>
          </w:tcPr>
          <w:p w14:paraId="1FC188C2">
            <w:pPr>
              <w:spacing w:line="240" w:lineRule="auto"/>
              <w:ind w:firstLine="0" w:firstLineChars="0"/>
              <w:contextualSpacing/>
              <w:jc w:val="center"/>
              <w:rPr>
                <w:rFonts w:ascii="Times New Roman" w:hAnsi="Times New Roman"/>
                <w:sz w:val="21"/>
                <w:szCs w:val="24"/>
                <w:highlight w:val="none"/>
              </w:rPr>
            </w:pPr>
          </w:p>
        </w:tc>
        <w:tc>
          <w:tcPr>
            <w:tcW w:w="1424" w:type="pct"/>
            <w:noWrap w:val="0"/>
            <w:vAlign w:val="center"/>
          </w:tcPr>
          <w:p w14:paraId="51A7F7A5">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24小时平均第95百分位数</w:t>
            </w:r>
          </w:p>
        </w:tc>
        <w:tc>
          <w:tcPr>
            <w:tcW w:w="608" w:type="pct"/>
            <w:noWrap w:val="0"/>
            <w:vAlign w:val="center"/>
          </w:tcPr>
          <w:p w14:paraId="75B81B26">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75</w:t>
            </w:r>
          </w:p>
        </w:tc>
        <w:tc>
          <w:tcPr>
            <w:tcW w:w="607" w:type="pct"/>
            <w:noWrap w:val="0"/>
            <w:vAlign w:val="center"/>
          </w:tcPr>
          <w:p w14:paraId="2E163D53">
            <w:pPr>
              <w:spacing w:line="240" w:lineRule="auto"/>
              <w:ind w:firstLine="0" w:firstLineChars="0"/>
              <w:contextualSpacing/>
              <w:jc w:val="center"/>
              <w:rPr>
                <w:rFonts w:hint="default" w:ascii="Times New Roman" w:hAnsi="Times New Roman" w:eastAsia="宋体"/>
                <w:sz w:val="21"/>
                <w:szCs w:val="24"/>
                <w:highlight w:val="none"/>
                <w:lang w:val="en-US" w:eastAsia="zh-CN"/>
              </w:rPr>
            </w:pPr>
            <w:r>
              <w:rPr>
                <w:rFonts w:hint="eastAsia" w:ascii="Times New Roman" w:hAnsi="Times New Roman"/>
                <w:sz w:val="21"/>
                <w:szCs w:val="24"/>
                <w:highlight w:val="none"/>
                <w:lang w:val="en-US" w:eastAsia="zh-CN"/>
              </w:rPr>
              <w:t>61</w:t>
            </w:r>
          </w:p>
        </w:tc>
        <w:tc>
          <w:tcPr>
            <w:tcW w:w="814" w:type="pct"/>
            <w:noWrap w:val="0"/>
            <w:vAlign w:val="center"/>
          </w:tcPr>
          <w:p w14:paraId="2F3C3554">
            <w:pPr>
              <w:spacing w:line="240" w:lineRule="auto"/>
              <w:ind w:firstLine="0" w:firstLineChars="0"/>
              <w:contextualSpacing/>
              <w:jc w:val="center"/>
              <w:rPr>
                <w:rFonts w:hint="default" w:ascii="Times New Roman" w:hAnsi="Times New Roman" w:eastAsia="宋体"/>
                <w:sz w:val="21"/>
                <w:szCs w:val="24"/>
                <w:highlight w:val="none"/>
                <w:lang w:val="en-US" w:eastAsia="zh-CN"/>
              </w:rPr>
            </w:pPr>
            <w:r>
              <w:rPr>
                <w:rFonts w:hint="eastAsia" w:ascii="Times New Roman" w:hAnsi="Times New Roman"/>
                <w:sz w:val="21"/>
                <w:szCs w:val="24"/>
                <w:highlight w:val="none"/>
                <w:lang w:val="en-US" w:eastAsia="zh-CN"/>
              </w:rPr>
              <w:t>81.33</w:t>
            </w:r>
          </w:p>
        </w:tc>
        <w:tc>
          <w:tcPr>
            <w:tcW w:w="560" w:type="pct"/>
            <w:noWrap w:val="0"/>
            <w:vAlign w:val="center"/>
          </w:tcPr>
          <w:p w14:paraId="49344CE9">
            <w:pPr>
              <w:spacing w:line="240" w:lineRule="auto"/>
              <w:ind w:firstLine="0" w:firstLineChars="0"/>
              <w:contextualSpacing/>
              <w:jc w:val="center"/>
              <w:rPr>
                <w:rFonts w:hint="eastAsia" w:ascii="Times New Roman" w:hAnsi="Times New Roman" w:eastAsia="宋体"/>
                <w:sz w:val="21"/>
                <w:szCs w:val="24"/>
                <w:highlight w:val="none"/>
                <w:lang w:val="en-US" w:eastAsia="zh-CN"/>
              </w:rPr>
            </w:pPr>
            <w:r>
              <w:rPr>
                <w:rFonts w:hint="eastAsia" w:ascii="Times New Roman" w:hAnsi="Times New Roman"/>
                <w:sz w:val="21"/>
                <w:szCs w:val="24"/>
                <w:highlight w:val="none"/>
                <w:lang w:val="en-US" w:eastAsia="zh-CN"/>
              </w:rPr>
              <w:t>0</w:t>
            </w:r>
          </w:p>
        </w:tc>
        <w:tc>
          <w:tcPr>
            <w:tcW w:w="957" w:type="dxa"/>
            <w:noWrap w:val="0"/>
            <w:vAlign w:val="center"/>
          </w:tcPr>
          <w:p w14:paraId="612DF1C7">
            <w:pPr>
              <w:spacing w:line="240" w:lineRule="auto"/>
              <w:ind w:firstLine="0" w:firstLineChars="0"/>
              <w:contextualSpacing/>
              <w:jc w:val="center"/>
              <w:rPr>
                <w:rFonts w:ascii="Times New Roman" w:hAnsi="Times New Roman"/>
                <w:sz w:val="21"/>
                <w:szCs w:val="24"/>
                <w:highlight w:val="none"/>
              </w:rPr>
            </w:pPr>
            <w:r>
              <w:rPr>
                <w:rFonts w:ascii="Times New Roman" w:hAnsi="Times New Roman"/>
                <w:sz w:val="21"/>
                <w:szCs w:val="24"/>
                <w:highlight w:val="none"/>
              </w:rPr>
              <w:t>达标</w:t>
            </w:r>
          </w:p>
        </w:tc>
      </w:tr>
      <w:bookmarkEnd w:id="113"/>
    </w:tbl>
    <w:p w14:paraId="09E7DE95">
      <w:pPr>
        <w:ind w:firstLine="480"/>
        <w:rPr>
          <w:rFonts w:ascii="Times New Roman" w:hAnsi="Times New Roman"/>
          <w:highlight w:val="none"/>
        </w:rPr>
      </w:pPr>
      <w:r>
        <w:rPr>
          <w:rFonts w:ascii="Times New Roman" w:hAnsi="Times New Roman"/>
          <w:highlight w:val="none"/>
        </w:rPr>
        <w:t>（2）所在区域其他污染物境质量现状</w:t>
      </w:r>
    </w:p>
    <w:p w14:paraId="17E75CD6">
      <w:pPr>
        <w:ind w:firstLine="480"/>
        <w:rPr>
          <w:rFonts w:ascii="Times New Roman" w:hAnsi="Times New Roman"/>
          <w:highlight w:val="none"/>
        </w:rPr>
      </w:pPr>
      <w:r>
        <w:rPr>
          <w:rFonts w:ascii="Times New Roman" w:hAnsi="Times New Roman"/>
          <w:highlight w:val="none"/>
        </w:rPr>
        <w:t>根据《环境影响评价技术导则—大气环境》（HJ2.2-2018）对建设项目排放的其他大气污染物进行补充监测，监测点位以近20年统计的当地主导风向为轴向，在厂址及主导风向下风向5km范围内设置1～2个监测点，补充监测因子为总悬浮颗粒物、氨、氮氧化物、汞。</w:t>
      </w:r>
    </w:p>
    <w:p w14:paraId="306A7875">
      <w:pPr>
        <w:ind w:firstLine="0" w:firstLineChars="0"/>
        <w:jc w:val="center"/>
        <w:rPr>
          <w:rFonts w:ascii="Times New Roman" w:hAnsi="Times New Roman"/>
          <w:highlight w:val="none"/>
        </w:rPr>
      </w:pPr>
      <w:r>
        <w:rPr>
          <w:rFonts w:hint="eastAsia" w:ascii="黑体" w:hAnsi="黑体" w:eastAsia="黑体" w:cs="黑体"/>
          <w:highlight w:val="none"/>
        </w:rPr>
        <w:t>表</w:t>
      </w:r>
      <w:r>
        <w:rPr>
          <w:rFonts w:ascii="Times New Roman" w:hAnsi="Times New Roman"/>
          <w:highlight w:val="none"/>
        </w:rPr>
        <w:t>4.3-4</w:t>
      </w:r>
      <w:r>
        <w:rPr>
          <w:rFonts w:hint="eastAsia" w:ascii="黑体" w:hAnsi="黑体" w:eastAsia="黑体" w:cs="黑体"/>
          <w:highlight w:val="none"/>
        </w:rPr>
        <w:t>其他污染物补充监测点基本信息</w:t>
      </w:r>
    </w:p>
    <w:tbl>
      <w:tblPr>
        <w:tblStyle w:val="1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168"/>
        <w:gridCol w:w="1425"/>
        <w:gridCol w:w="1321"/>
        <w:gridCol w:w="1156"/>
        <w:gridCol w:w="1231"/>
        <w:gridCol w:w="1074"/>
        <w:gridCol w:w="1147"/>
      </w:tblGrid>
      <w:tr w14:paraId="2E6A5B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685" w:type="pct"/>
            <w:vMerge w:val="restart"/>
            <w:tcBorders>
              <w:top w:val="single" w:color="000000" w:sz="12" w:space="0"/>
              <w:left w:val="nil"/>
            </w:tcBorders>
            <w:noWrap w:val="0"/>
            <w:vAlign w:val="center"/>
          </w:tcPr>
          <w:p w14:paraId="5615F94E">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监测点名称</w:t>
            </w:r>
          </w:p>
        </w:tc>
        <w:tc>
          <w:tcPr>
            <w:tcW w:w="1611" w:type="pct"/>
            <w:gridSpan w:val="2"/>
            <w:tcBorders>
              <w:top w:val="single" w:color="000000" w:sz="12" w:space="0"/>
              <w:bottom w:val="single" w:color="auto" w:sz="4" w:space="0"/>
            </w:tcBorders>
            <w:noWrap w:val="0"/>
            <w:vAlign w:val="center"/>
          </w:tcPr>
          <w:p w14:paraId="0EC763ED">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监测点坐标</w:t>
            </w:r>
          </w:p>
        </w:tc>
        <w:tc>
          <w:tcPr>
            <w:tcW w:w="678" w:type="pct"/>
            <w:vMerge w:val="restart"/>
            <w:tcBorders>
              <w:top w:val="single" w:color="000000" w:sz="12" w:space="0"/>
            </w:tcBorders>
            <w:noWrap w:val="0"/>
            <w:vAlign w:val="center"/>
          </w:tcPr>
          <w:p w14:paraId="6F59A9FC">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监测因子</w:t>
            </w:r>
          </w:p>
        </w:tc>
        <w:tc>
          <w:tcPr>
            <w:tcW w:w="722" w:type="pct"/>
            <w:vMerge w:val="restart"/>
            <w:tcBorders>
              <w:top w:val="single" w:color="000000" w:sz="12" w:space="0"/>
            </w:tcBorders>
            <w:noWrap w:val="0"/>
            <w:vAlign w:val="center"/>
          </w:tcPr>
          <w:p w14:paraId="559A3DE6">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监测时段</w:t>
            </w:r>
          </w:p>
        </w:tc>
        <w:tc>
          <w:tcPr>
            <w:tcW w:w="630" w:type="pct"/>
            <w:vMerge w:val="restart"/>
            <w:tcBorders>
              <w:top w:val="single" w:color="000000" w:sz="12" w:space="0"/>
            </w:tcBorders>
            <w:noWrap w:val="0"/>
            <w:vAlign w:val="center"/>
          </w:tcPr>
          <w:p w14:paraId="2A37E84E">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相对厂址方位</w:t>
            </w:r>
          </w:p>
        </w:tc>
        <w:tc>
          <w:tcPr>
            <w:tcW w:w="672" w:type="pct"/>
            <w:vMerge w:val="restart"/>
            <w:tcBorders>
              <w:top w:val="single" w:color="000000" w:sz="12" w:space="0"/>
              <w:right w:val="nil"/>
            </w:tcBorders>
            <w:noWrap w:val="0"/>
            <w:vAlign w:val="center"/>
          </w:tcPr>
          <w:p w14:paraId="716BB6EF">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相对厂界距离/m</w:t>
            </w:r>
          </w:p>
        </w:tc>
      </w:tr>
      <w:tr w14:paraId="1C4182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90" w:hRule="atLeast"/>
          <w:jc w:val="center"/>
        </w:trPr>
        <w:tc>
          <w:tcPr>
            <w:tcW w:w="685" w:type="pct"/>
            <w:vMerge w:val="continue"/>
            <w:tcBorders>
              <w:left w:val="nil"/>
            </w:tcBorders>
            <w:noWrap w:val="0"/>
            <w:vAlign w:val="center"/>
          </w:tcPr>
          <w:p w14:paraId="3DCD26C7">
            <w:pPr>
              <w:spacing w:line="240" w:lineRule="auto"/>
              <w:ind w:firstLine="0" w:firstLineChars="0"/>
              <w:jc w:val="center"/>
              <w:rPr>
                <w:rFonts w:ascii="Times New Roman" w:hAnsi="Times New Roman"/>
                <w:sz w:val="21"/>
                <w:highlight w:val="none"/>
              </w:rPr>
            </w:pPr>
          </w:p>
        </w:tc>
        <w:tc>
          <w:tcPr>
            <w:tcW w:w="836" w:type="pct"/>
            <w:tcBorders>
              <w:top w:val="single" w:color="auto" w:sz="4" w:space="0"/>
              <w:right w:val="single" w:color="auto" w:sz="4" w:space="0"/>
            </w:tcBorders>
            <w:noWrap w:val="0"/>
            <w:vAlign w:val="center"/>
          </w:tcPr>
          <w:p w14:paraId="0E829AC5">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东经</w:t>
            </w:r>
          </w:p>
        </w:tc>
        <w:tc>
          <w:tcPr>
            <w:tcW w:w="775" w:type="pct"/>
            <w:tcBorders>
              <w:top w:val="single" w:color="auto" w:sz="4" w:space="0"/>
              <w:left w:val="single" w:color="auto" w:sz="4" w:space="0"/>
            </w:tcBorders>
            <w:noWrap w:val="0"/>
            <w:vAlign w:val="center"/>
          </w:tcPr>
          <w:p w14:paraId="405108D0">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北纬</w:t>
            </w:r>
          </w:p>
        </w:tc>
        <w:tc>
          <w:tcPr>
            <w:tcW w:w="678" w:type="pct"/>
            <w:vMerge w:val="continue"/>
            <w:tcBorders>
              <w:bottom w:val="single" w:color="auto" w:sz="2" w:space="0"/>
            </w:tcBorders>
            <w:noWrap w:val="0"/>
            <w:vAlign w:val="center"/>
          </w:tcPr>
          <w:p w14:paraId="234B42ED">
            <w:pPr>
              <w:spacing w:line="240" w:lineRule="auto"/>
              <w:ind w:firstLine="0" w:firstLineChars="0"/>
              <w:jc w:val="center"/>
              <w:rPr>
                <w:rFonts w:ascii="Times New Roman" w:hAnsi="Times New Roman"/>
                <w:sz w:val="21"/>
                <w:highlight w:val="none"/>
              </w:rPr>
            </w:pPr>
          </w:p>
        </w:tc>
        <w:tc>
          <w:tcPr>
            <w:tcW w:w="722" w:type="pct"/>
            <w:vMerge w:val="continue"/>
            <w:noWrap w:val="0"/>
            <w:vAlign w:val="center"/>
          </w:tcPr>
          <w:p w14:paraId="2D119084">
            <w:pPr>
              <w:spacing w:line="240" w:lineRule="auto"/>
              <w:ind w:firstLine="0" w:firstLineChars="0"/>
              <w:jc w:val="center"/>
              <w:rPr>
                <w:rFonts w:ascii="Times New Roman" w:hAnsi="Times New Roman"/>
                <w:sz w:val="21"/>
                <w:highlight w:val="none"/>
              </w:rPr>
            </w:pPr>
          </w:p>
        </w:tc>
        <w:tc>
          <w:tcPr>
            <w:tcW w:w="630" w:type="pct"/>
            <w:vMerge w:val="continue"/>
            <w:noWrap w:val="0"/>
            <w:vAlign w:val="center"/>
          </w:tcPr>
          <w:p w14:paraId="261041A4">
            <w:pPr>
              <w:spacing w:line="240" w:lineRule="auto"/>
              <w:ind w:firstLine="0" w:firstLineChars="0"/>
              <w:jc w:val="center"/>
              <w:rPr>
                <w:rFonts w:ascii="Times New Roman" w:hAnsi="Times New Roman"/>
                <w:sz w:val="21"/>
                <w:highlight w:val="none"/>
              </w:rPr>
            </w:pPr>
          </w:p>
        </w:tc>
        <w:tc>
          <w:tcPr>
            <w:tcW w:w="672" w:type="pct"/>
            <w:vMerge w:val="continue"/>
            <w:tcBorders>
              <w:right w:val="nil"/>
            </w:tcBorders>
            <w:noWrap w:val="0"/>
            <w:vAlign w:val="center"/>
          </w:tcPr>
          <w:p w14:paraId="516A002F">
            <w:pPr>
              <w:spacing w:line="240" w:lineRule="auto"/>
              <w:ind w:firstLine="0" w:firstLineChars="0"/>
              <w:jc w:val="center"/>
              <w:rPr>
                <w:rFonts w:ascii="Times New Roman" w:hAnsi="Times New Roman"/>
                <w:sz w:val="21"/>
                <w:highlight w:val="none"/>
              </w:rPr>
            </w:pPr>
          </w:p>
        </w:tc>
      </w:tr>
      <w:tr w14:paraId="5B168F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0" w:hRule="atLeast"/>
          <w:jc w:val="center"/>
        </w:trPr>
        <w:tc>
          <w:tcPr>
            <w:tcW w:w="685" w:type="pct"/>
            <w:vMerge w:val="restart"/>
            <w:tcBorders>
              <w:left w:val="nil"/>
            </w:tcBorders>
            <w:noWrap w:val="0"/>
            <w:vAlign w:val="center"/>
          </w:tcPr>
          <w:p w14:paraId="53B5884E">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 xml:space="preserve">1# </w:t>
            </w:r>
          </w:p>
        </w:tc>
        <w:tc>
          <w:tcPr>
            <w:tcW w:w="836" w:type="pct"/>
            <w:vMerge w:val="restart"/>
            <w:tcBorders>
              <w:right w:val="single" w:color="auto" w:sz="4" w:space="0"/>
            </w:tcBorders>
            <w:noWrap w:val="0"/>
            <w:vAlign w:val="center"/>
          </w:tcPr>
          <w:p w14:paraId="1F2BAD2A">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131.148498</w:t>
            </w:r>
          </w:p>
        </w:tc>
        <w:tc>
          <w:tcPr>
            <w:tcW w:w="775" w:type="pct"/>
            <w:vMerge w:val="restart"/>
            <w:tcBorders>
              <w:left w:val="single" w:color="auto" w:sz="4" w:space="0"/>
            </w:tcBorders>
            <w:noWrap w:val="0"/>
            <w:vAlign w:val="center"/>
          </w:tcPr>
          <w:p w14:paraId="385D2B8E">
            <w:pPr>
              <w:spacing w:line="240" w:lineRule="auto"/>
              <w:ind w:firstLine="0" w:firstLineChars="0"/>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44.409673</w:t>
            </w:r>
          </w:p>
        </w:tc>
        <w:tc>
          <w:tcPr>
            <w:tcW w:w="678" w:type="pct"/>
            <w:tcBorders>
              <w:top w:val="single" w:color="auto" w:sz="2" w:space="0"/>
              <w:bottom w:val="single" w:color="auto" w:sz="2" w:space="0"/>
            </w:tcBorders>
            <w:noWrap w:val="0"/>
            <w:vAlign w:val="center"/>
          </w:tcPr>
          <w:p w14:paraId="43AF774F">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总悬浮颗粒物</w:t>
            </w:r>
          </w:p>
        </w:tc>
        <w:tc>
          <w:tcPr>
            <w:tcW w:w="722" w:type="pct"/>
            <w:vMerge w:val="restart"/>
            <w:noWrap w:val="0"/>
            <w:vAlign w:val="center"/>
          </w:tcPr>
          <w:p w14:paraId="79B01E38">
            <w:pPr>
              <w:spacing w:line="240" w:lineRule="auto"/>
              <w:ind w:firstLine="0" w:firstLineChars="0"/>
              <w:jc w:val="center"/>
              <w:rPr>
                <w:rFonts w:hint="eastAsia" w:ascii="Times New Roman" w:hAnsi="Times New Roman"/>
                <w:sz w:val="21"/>
                <w:highlight w:val="none"/>
              </w:rPr>
            </w:pPr>
            <w:r>
              <w:rPr>
                <w:rFonts w:ascii="Times New Roman" w:hAnsi="Times New Roman"/>
                <w:sz w:val="21"/>
                <w:highlight w:val="none"/>
              </w:rPr>
              <w:t>202</w:t>
            </w:r>
            <w:r>
              <w:rPr>
                <w:rFonts w:hint="eastAsia" w:ascii="Times New Roman" w:hAnsi="Times New Roman"/>
                <w:sz w:val="21"/>
                <w:highlight w:val="none"/>
                <w:lang w:val="en-US" w:eastAsia="zh-CN"/>
              </w:rPr>
              <w:t>5</w:t>
            </w:r>
            <w:r>
              <w:rPr>
                <w:rFonts w:hint="eastAsia" w:ascii="Times New Roman" w:hAnsi="Times New Roman"/>
                <w:sz w:val="21"/>
                <w:highlight w:val="none"/>
              </w:rPr>
              <w:t>年1</w:t>
            </w:r>
            <w:r>
              <w:rPr>
                <w:rFonts w:hint="eastAsia" w:ascii="Times New Roman" w:hAnsi="Times New Roman"/>
                <w:sz w:val="21"/>
                <w:highlight w:val="none"/>
                <w:lang w:val="en-US" w:eastAsia="zh-CN"/>
              </w:rPr>
              <w:t>0</w:t>
            </w:r>
            <w:r>
              <w:rPr>
                <w:rFonts w:hint="eastAsia" w:ascii="Times New Roman" w:hAnsi="Times New Roman"/>
                <w:sz w:val="21"/>
                <w:highlight w:val="none"/>
              </w:rPr>
              <w:t>月</w:t>
            </w:r>
            <w:r>
              <w:rPr>
                <w:rFonts w:hint="eastAsia" w:ascii="Times New Roman" w:hAnsi="Times New Roman"/>
                <w:sz w:val="21"/>
                <w:highlight w:val="none"/>
                <w:lang w:val="en-US" w:eastAsia="zh-CN"/>
              </w:rPr>
              <w:t>25</w:t>
            </w:r>
            <w:r>
              <w:rPr>
                <w:rFonts w:hint="eastAsia" w:ascii="Times New Roman" w:hAnsi="Times New Roman"/>
                <w:sz w:val="21"/>
                <w:highlight w:val="none"/>
              </w:rPr>
              <w:t>日</w:t>
            </w:r>
            <w:r>
              <w:rPr>
                <w:rFonts w:ascii="Times New Roman" w:hAnsi="Times New Roman"/>
                <w:sz w:val="21"/>
                <w:highlight w:val="none"/>
              </w:rPr>
              <w:t>-</w:t>
            </w:r>
            <w:r>
              <w:rPr>
                <w:rFonts w:hint="eastAsia" w:ascii="Times New Roman" w:hAnsi="Times New Roman"/>
                <w:sz w:val="21"/>
                <w:highlight w:val="none"/>
                <w:lang w:val="en-US" w:eastAsia="zh-CN"/>
              </w:rPr>
              <w:t>31</w:t>
            </w:r>
            <w:r>
              <w:rPr>
                <w:rFonts w:hint="eastAsia" w:ascii="Times New Roman" w:hAnsi="Times New Roman"/>
                <w:sz w:val="21"/>
                <w:highlight w:val="none"/>
              </w:rPr>
              <w:t>日</w:t>
            </w:r>
          </w:p>
        </w:tc>
        <w:tc>
          <w:tcPr>
            <w:tcW w:w="630" w:type="pct"/>
            <w:vMerge w:val="restart"/>
            <w:noWrap w:val="0"/>
            <w:vAlign w:val="center"/>
          </w:tcPr>
          <w:p w14:paraId="7E0DF4EC">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w:t>
            </w:r>
          </w:p>
        </w:tc>
        <w:tc>
          <w:tcPr>
            <w:tcW w:w="672" w:type="pct"/>
            <w:vMerge w:val="restart"/>
            <w:tcBorders>
              <w:right w:val="nil"/>
            </w:tcBorders>
            <w:noWrap w:val="0"/>
            <w:vAlign w:val="center"/>
          </w:tcPr>
          <w:p w14:paraId="3864342B">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w:t>
            </w:r>
          </w:p>
        </w:tc>
      </w:tr>
      <w:tr w14:paraId="018D7D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2" w:hRule="atLeast"/>
          <w:jc w:val="center"/>
        </w:trPr>
        <w:tc>
          <w:tcPr>
            <w:tcW w:w="685" w:type="pct"/>
            <w:vMerge w:val="continue"/>
            <w:tcBorders>
              <w:left w:val="nil"/>
            </w:tcBorders>
            <w:noWrap w:val="0"/>
            <w:vAlign w:val="center"/>
          </w:tcPr>
          <w:p w14:paraId="1FEB4EDE">
            <w:pPr>
              <w:spacing w:line="240" w:lineRule="auto"/>
              <w:ind w:firstLine="0" w:firstLineChars="0"/>
              <w:jc w:val="center"/>
              <w:rPr>
                <w:rFonts w:ascii="Times New Roman" w:hAnsi="Times New Roman"/>
                <w:kern w:val="0"/>
                <w:sz w:val="21"/>
                <w:highlight w:val="none"/>
              </w:rPr>
            </w:pPr>
          </w:p>
        </w:tc>
        <w:tc>
          <w:tcPr>
            <w:tcW w:w="836" w:type="pct"/>
            <w:vMerge w:val="continue"/>
            <w:tcBorders>
              <w:right w:val="single" w:color="auto" w:sz="4" w:space="0"/>
            </w:tcBorders>
            <w:noWrap w:val="0"/>
            <w:vAlign w:val="center"/>
          </w:tcPr>
          <w:p w14:paraId="3867A3E1">
            <w:pPr>
              <w:spacing w:line="240" w:lineRule="auto"/>
              <w:ind w:firstLine="0" w:firstLineChars="0"/>
              <w:jc w:val="center"/>
              <w:rPr>
                <w:rFonts w:ascii="Times New Roman" w:hAnsi="Times New Roman"/>
                <w:kern w:val="0"/>
                <w:sz w:val="21"/>
                <w:highlight w:val="none"/>
              </w:rPr>
            </w:pPr>
          </w:p>
        </w:tc>
        <w:tc>
          <w:tcPr>
            <w:tcW w:w="775" w:type="pct"/>
            <w:vMerge w:val="continue"/>
            <w:tcBorders>
              <w:left w:val="single" w:color="auto" w:sz="4" w:space="0"/>
            </w:tcBorders>
            <w:noWrap w:val="0"/>
            <w:vAlign w:val="center"/>
          </w:tcPr>
          <w:p w14:paraId="14EF024A">
            <w:pPr>
              <w:spacing w:line="240" w:lineRule="auto"/>
              <w:ind w:firstLine="0" w:firstLineChars="0"/>
              <w:jc w:val="center"/>
              <w:rPr>
                <w:rFonts w:ascii="Times New Roman" w:hAnsi="Times New Roman"/>
                <w:kern w:val="0"/>
                <w:sz w:val="21"/>
                <w:highlight w:val="none"/>
              </w:rPr>
            </w:pPr>
          </w:p>
        </w:tc>
        <w:tc>
          <w:tcPr>
            <w:tcW w:w="678" w:type="pct"/>
            <w:tcBorders>
              <w:top w:val="single" w:color="auto" w:sz="2" w:space="0"/>
              <w:bottom w:val="single" w:color="auto" w:sz="2" w:space="0"/>
            </w:tcBorders>
            <w:noWrap w:val="0"/>
            <w:vAlign w:val="center"/>
          </w:tcPr>
          <w:p w14:paraId="36375DC2">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氨</w:t>
            </w:r>
          </w:p>
        </w:tc>
        <w:tc>
          <w:tcPr>
            <w:tcW w:w="722" w:type="pct"/>
            <w:vMerge w:val="continue"/>
            <w:noWrap w:val="0"/>
            <w:vAlign w:val="center"/>
          </w:tcPr>
          <w:p w14:paraId="2CF99B41">
            <w:pPr>
              <w:spacing w:line="240" w:lineRule="auto"/>
              <w:ind w:firstLine="0" w:firstLineChars="0"/>
              <w:jc w:val="center"/>
              <w:rPr>
                <w:rFonts w:ascii="Times New Roman" w:hAnsi="Times New Roman"/>
                <w:sz w:val="21"/>
                <w:highlight w:val="none"/>
              </w:rPr>
            </w:pPr>
          </w:p>
        </w:tc>
        <w:tc>
          <w:tcPr>
            <w:tcW w:w="630" w:type="pct"/>
            <w:vMerge w:val="continue"/>
            <w:noWrap w:val="0"/>
            <w:vAlign w:val="center"/>
          </w:tcPr>
          <w:p w14:paraId="5F4D073F">
            <w:pPr>
              <w:spacing w:line="240" w:lineRule="auto"/>
              <w:ind w:firstLine="0" w:firstLineChars="0"/>
              <w:jc w:val="center"/>
              <w:rPr>
                <w:rFonts w:ascii="Times New Roman" w:hAnsi="Times New Roman"/>
                <w:sz w:val="21"/>
                <w:highlight w:val="none"/>
              </w:rPr>
            </w:pPr>
          </w:p>
        </w:tc>
        <w:tc>
          <w:tcPr>
            <w:tcW w:w="672" w:type="pct"/>
            <w:vMerge w:val="continue"/>
            <w:tcBorders>
              <w:right w:val="nil"/>
            </w:tcBorders>
            <w:noWrap w:val="0"/>
            <w:vAlign w:val="center"/>
          </w:tcPr>
          <w:p w14:paraId="39AFFA66">
            <w:pPr>
              <w:spacing w:line="240" w:lineRule="auto"/>
              <w:ind w:firstLine="0" w:firstLineChars="0"/>
              <w:jc w:val="center"/>
              <w:rPr>
                <w:rFonts w:ascii="Times New Roman" w:hAnsi="Times New Roman"/>
                <w:sz w:val="21"/>
                <w:highlight w:val="none"/>
              </w:rPr>
            </w:pPr>
          </w:p>
        </w:tc>
      </w:tr>
      <w:tr w14:paraId="605276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2" w:hRule="atLeast"/>
          <w:jc w:val="center"/>
        </w:trPr>
        <w:tc>
          <w:tcPr>
            <w:tcW w:w="685" w:type="pct"/>
            <w:vMerge w:val="continue"/>
            <w:tcBorders>
              <w:left w:val="nil"/>
            </w:tcBorders>
            <w:noWrap w:val="0"/>
            <w:vAlign w:val="center"/>
          </w:tcPr>
          <w:p w14:paraId="64B82CE7">
            <w:pPr>
              <w:spacing w:line="240" w:lineRule="auto"/>
              <w:ind w:firstLine="0" w:firstLineChars="0"/>
              <w:jc w:val="center"/>
              <w:rPr>
                <w:rFonts w:ascii="Times New Roman" w:hAnsi="Times New Roman"/>
                <w:kern w:val="0"/>
                <w:sz w:val="21"/>
                <w:highlight w:val="none"/>
              </w:rPr>
            </w:pPr>
          </w:p>
        </w:tc>
        <w:tc>
          <w:tcPr>
            <w:tcW w:w="836" w:type="pct"/>
            <w:vMerge w:val="continue"/>
            <w:tcBorders>
              <w:right w:val="single" w:color="auto" w:sz="4" w:space="0"/>
            </w:tcBorders>
            <w:noWrap w:val="0"/>
            <w:vAlign w:val="center"/>
          </w:tcPr>
          <w:p w14:paraId="01FD1538">
            <w:pPr>
              <w:spacing w:line="240" w:lineRule="auto"/>
              <w:ind w:firstLine="0" w:firstLineChars="0"/>
              <w:jc w:val="center"/>
              <w:rPr>
                <w:rFonts w:ascii="Times New Roman" w:hAnsi="Times New Roman"/>
                <w:kern w:val="0"/>
                <w:sz w:val="21"/>
                <w:highlight w:val="none"/>
              </w:rPr>
            </w:pPr>
          </w:p>
        </w:tc>
        <w:tc>
          <w:tcPr>
            <w:tcW w:w="775" w:type="pct"/>
            <w:vMerge w:val="continue"/>
            <w:tcBorders>
              <w:left w:val="single" w:color="auto" w:sz="4" w:space="0"/>
            </w:tcBorders>
            <w:noWrap w:val="0"/>
            <w:vAlign w:val="center"/>
          </w:tcPr>
          <w:p w14:paraId="60B4910F">
            <w:pPr>
              <w:spacing w:line="240" w:lineRule="auto"/>
              <w:ind w:firstLine="0" w:firstLineChars="0"/>
              <w:jc w:val="center"/>
              <w:rPr>
                <w:rFonts w:ascii="Times New Roman" w:hAnsi="Times New Roman"/>
                <w:kern w:val="0"/>
                <w:sz w:val="21"/>
                <w:highlight w:val="none"/>
              </w:rPr>
            </w:pPr>
          </w:p>
        </w:tc>
        <w:tc>
          <w:tcPr>
            <w:tcW w:w="678" w:type="pct"/>
            <w:tcBorders>
              <w:top w:val="single" w:color="auto" w:sz="2" w:space="0"/>
              <w:bottom w:val="single" w:color="auto" w:sz="2" w:space="0"/>
            </w:tcBorders>
            <w:noWrap w:val="0"/>
            <w:vAlign w:val="center"/>
          </w:tcPr>
          <w:p w14:paraId="654EDD79">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氮氧化物</w:t>
            </w:r>
          </w:p>
        </w:tc>
        <w:tc>
          <w:tcPr>
            <w:tcW w:w="722" w:type="pct"/>
            <w:vMerge w:val="continue"/>
            <w:noWrap w:val="0"/>
            <w:vAlign w:val="center"/>
          </w:tcPr>
          <w:p w14:paraId="1E82EEC4">
            <w:pPr>
              <w:spacing w:line="240" w:lineRule="auto"/>
              <w:ind w:firstLine="0" w:firstLineChars="0"/>
              <w:jc w:val="center"/>
              <w:rPr>
                <w:rFonts w:ascii="Times New Roman" w:hAnsi="Times New Roman"/>
                <w:sz w:val="21"/>
                <w:highlight w:val="none"/>
              </w:rPr>
            </w:pPr>
          </w:p>
        </w:tc>
        <w:tc>
          <w:tcPr>
            <w:tcW w:w="630" w:type="pct"/>
            <w:vMerge w:val="continue"/>
            <w:noWrap w:val="0"/>
            <w:vAlign w:val="center"/>
          </w:tcPr>
          <w:p w14:paraId="5A0BAC22">
            <w:pPr>
              <w:spacing w:line="240" w:lineRule="auto"/>
              <w:ind w:firstLine="0" w:firstLineChars="0"/>
              <w:jc w:val="center"/>
              <w:rPr>
                <w:rFonts w:ascii="Times New Roman" w:hAnsi="Times New Roman"/>
                <w:sz w:val="21"/>
                <w:highlight w:val="none"/>
              </w:rPr>
            </w:pPr>
          </w:p>
        </w:tc>
        <w:tc>
          <w:tcPr>
            <w:tcW w:w="672" w:type="pct"/>
            <w:vMerge w:val="continue"/>
            <w:tcBorders>
              <w:right w:val="nil"/>
            </w:tcBorders>
            <w:noWrap w:val="0"/>
            <w:vAlign w:val="center"/>
          </w:tcPr>
          <w:p w14:paraId="7675338F">
            <w:pPr>
              <w:spacing w:line="240" w:lineRule="auto"/>
              <w:ind w:firstLine="0" w:firstLineChars="0"/>
              <w:jc w:val="center"/>
              <w:rPr>
                <w:rFonts w:ascii="Times New Roman" w:hAnsi="Times New Roman"/>
                <w:sz w:val="21"/>
                <w:highlight w:val="none"/>
              </w:rPr>
            </w:pPr>
          </w:p>
        </w:tc>
      </w:tr>
      <w:tr w14:paraId="2B0A71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2" w:hRule="atLeast"/>
          <w:jc w:val="center"/>
        </w:trPr>
        <w:tc>
          <w:tcPr>
            <w:tcW w:w="685" w:type="pct"/>
            <w:vMerge w:val="continue"/>
            <w:tcBorders>
              <w:left w:val="nil"/>
            </w:tcBorders>
            <w:noWrap w:val="0"/>
            <w:vAlign w:val="center"/>
          </w:tcPr>
          <w:p w14:paraId="54DCB596">
            <w:pPr>
              <w:spacing w:line="240" w:lineRule="auto"/>
              <w:ind w:firstLine="0" w:firstLineChars="0"/>
              <w:jc w:val="center"/>
              <w:rPr>
                <w:rFonts w:ascii="Times New Roman" w:hAnsi="Times New Roman"/>
                <w:kern w:val="0"/>
                <w:sz w:val="21"/>
                <w:highlight w:val="none"/>
              </w:rPr>
            </w:pPr>
          </w:p>
        </w:tc>
        <w:tc>
          <w:tcPr>
            <w:tcW w:w="836" w:type="pct"/>
            <w:vMerge w:val="continue"/>
            <w:tcBorders>
              <w:right w:val="single" w:color="auto" w:sz="4" w:space="0"/>
            </w:tcBorders>
            <w:noWrap w:val="0"/>
            <w:vAlign w:val="center"/>
          </w:tcPr>
          <w:p w14:paraId="1692F66E">
            <w:pPr>
              <w:spacing w:line="240" w:lineRule="auto"/>
              <w:ind w:firstLine="0" w:firstLineChars="0"/>
              <w:jc w:val="center"/>
              <w:rPr>
                <w:rFonts w:ascii="Times New Roman" w:hAnsi="Times New Roman"/>
                <w:kern w:val="0"/>
                <w:sz w:val="21"/>
                <w:highlight w:val="none"/>
              </w:rPr>
            </w:pPr>
          </w:p>
        </w:tc>
        <w:tc>
          <w:tcPr>
            <w:tcW w:w="775" w:type="pct"/>
            <w:vMerge w:val="continue"/>
            <w:tcBorders>
              <w:left w:val="single" w:color="auto" w:sz="4" w:space="0"/>
            </w:tcBorders>
            <w:noWrap w:val="0"/>
            <w:vAlign w:val="center"/>
          </w:tcPr>
          <w:p w14:paraId="436E5C3E">
            <w:pPr>
              <w:spacing w:line="240" w:lineRule="auto"/>
              <w:ind w:firstLine="0" w:firstLineChars="0"/>
              <w:jc w:val="center"/>
              <w:rPr>
                <w:rFonts w:ascii="Times New Roman" w:hAnsi="Times New Roman"/>
                <w:kern w:val="0"/>
                <w:sz w:val="21"/>
                <w:highlight w:val="none"/>
              </w:rPr>
            </w:pPr>
          </w:p>
        </w:tc>
        <w:tc>
          <w:tcPr>
            <w:tcW w:w="678" w:type="pct"/>
            <w:tcBorders>
              <w:top w:val="single" w:color="auto" w:sz="2" w:space="0"/>
              <w:bottom w:val="single" w:color="auto" w:sz="2" w:space="0"/>
            </w:tcBorders>
            <w:noWrap w:val="0"/>
            <w:vAlign w:val="center"/>
          </w:tcPr>
          <w:p w14:paraId="1EBB424C">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汞</w:t>
            </w:r>
          </w:p>
        </w:tc>
        <w:tc>
          <w:tcPr>
            <w:tcW w:w="722" w:type="pct"/>
            <w:vMerge w:val="continue"/>
            <w:noWrap w:val="0"/>
            <w:vAlign w:val="center"/>
          </w:tcPr>
          <w:p w14:paraId="0B08889A">
            <w:pPr>
              <w:spacing w:line="240" w:lineRule="auto"/>
              <w:ind w:firstLine="0" w:firstLineChars="0"/>
              <w:jc w:val="center"/>
              <w:rPr>
                <w:rFonts w:ascii="Times New Roman" w:hAnsi="Times New Roman"/>
                <w:sz w:val="21"/>
                <w:highlight w:val="none"/>
              </w:rPr>
            </w:pPr>
          </w:p>
        </w:tc>
        <w:tc>
          <w:tcPr>
            <w:tcW w:w="630" w:type="pct"/>
            <w:vMerge w:val="continue"/>
            <w:noWrap w:val="0"/>
            <w:vAlign w:val="center"/>
          </w:tcPr>
          <w:p w14:paraId="663CDFFF">
            <w:pPr>
              <w:spacing w:line="240" w:lineRule="auto"/>
              <w:ind w:firstLine="0" w:firstLineChars="0"/>
              <w:jc w:val="center"/>
              <w:rPr>
                <w:rFonts w:ascii="Times New Roman" w:hAnsi="Times New Roman"/>
                <w:sz w:val="21"/>
                <w:highlight w:val="none"/>
              </w:rPr>
            </w:pPr>
          </w:p>
        </w:tc>
        <w:tc>
          <w:tcPr>
            <w:tcW w:w="672" w:type="pct"/>
            <w:vMerge w:val="continue"/>
            <w:tcBorders>
              <w:right w:val="nil"/>
            </w:tcBorders>
            <w:noWrap w:val="0"/>
            <w:vAlign w:val="center"/>
          </w:tcPr>
          <w:p w14:paraId="6C709C14">
            <w:pPr>
              <w:spacing w:line="240" w:lineRule="auto"/>
              <w:ind w:firstLine="0" w:firstLineChars="0"/>
              <w:jc w:val="center"/>
              <w:rPr>
                <w:rFonts w:ascii="Times New Roman" w:hAnsi="Times New Roman"/>
                <w:sz w:val="21"/>
                <w:highlight w:val="none"/>
              </w:rPr>
            </w:pPr>
          </w:p>
        </w:tc>
      </w:tr>
      <w:tr w14:paraId="5B2EEB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685" w:type="pct"/>
            <w:vMerge w:val="restart"/>
            <w:tcBorders>
              <w:left w:val="nil"/>
            </w:tcBorders>
            <w:noWrap w:val="0"/>
            <w:vAlign w:val="center"/>
          </w:tcPr>
          <w:p w14:paraId="119A0E27">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 xml:space="preserve">2# </w:t>
            </w:r>
          </w:p>
        </w:tc>
        <w:tc>
          <w:tcPr>
            <w:tcW w:w="836" w:type="pct"/>
            <w:vMerge w:val="restart"/>
            <w:tcBorders>
              <w:right w:val="single" w:color="auto" w:sz="4" w:space="0"/>
            </w:tcBorders>
            <w:noWrap w:val="0"/>
            <w:vAlign w:val="center"/>
          </w:tcPr>
          <w:p w14:paraId="7E16CB27">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131.148638</w:t>
            </w:r>
          </w:p>
        </w:tc>
        <w:tc>
          <w:tcPr>
            <w:tcW w:w="775" w:type="pct"/>
            <w:vMerge w:val="restart"/>
            <w:tcBorders>
              <w:left w:val="single" w:color="auto" w:sz="4" w:space="0"/>
            </w:tcBorders>
            <w:noWrap w:val="0"/>
            <w:vAlign w:val="center"/>
          </w:tcPr>
          <w:p w14:paraId="37DE41C1">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44.409106</w:t>
            </w:r>
          </w:p>
        </w:tc>
        <w:tc>
          <w:tcPr>
            <w:tcW w:w="678" w:type="pct"/>
            <w:tcBorders>
              <w:top w:val="single" w:color="auto" w:sz="2" w:space="0"/>
              <w:bottom w:val="single" w:color="auto" w:sz="2" w:space="0"/>
            </w:tcBorders>
            <w:noWrap w:val="0"/>
            <w:vAlign w:val="center"/>
          </w:tcPr>
          <w:p w14:paraId="73460632">
            <w:pPr>
              <w:spacing w:line="240" w:lineRule="auto"/>
              <w:ind w:firstLine="0" w:firstLineChars="0"/>
              <w:jc w:val="center"/>
              <w:rPr>
                <w:rFonts w:ascii="Times New Roman" w:hAnsi="Times New Roman"/>
                <w:sz w:val="21"/>
                <w:highlight w:val="none"/>
              </w:rPr>
            </w:pPr>
            <w:r>
              <w:rPr>
                <w:rFonts w:ascii="Times New Roman" w:hAnsi="Times New Roman"/>
                <w:kern w:val="0"/>
                <w:sz w:val="21"/>
                <w:highlight w:val="none"/>
              </w:rPr>
              <w:t>总悬浮颗粒物</w:t>
            </w:r>
          </w:p>
        </w:tc>
        <w:tc>
          <w:tcPr>
            <w:tcW w:w="722" w:type="pct"/>
            <w:vMerge w:val="continue"/>
            <w:noWrap w:val="0"/>
            <w:vAlign w:val="center"/>
          </w:tcPr>
          <w:p w14:paraId="4FC3DF9E">
            <w:pPr>
              <w:spacing w:line="240" w:lineRule="auto"/>
              <w:ind w:firstLine="0" w:firstLineChars="0"/>
              <w:jc w:val="center"/>
              <w:rPr>
                <w:rFonts w:ascii="Times New Roman" w:hAnsi="Times New Roman"/>
                <w:sz w:val="21"/>
                <w:highlight w:val="none"/>
              </w:rPr>
            </w:pPr>
          </w:p>
        </w:tc>
        <w:tc>
          <w:tcPr>
            <w:tcW w:w="630" w:type="pct"/>
            <w:vMerge w:val="restart"/>
            <w:noWrap w:val="0"/>
            <w:vAlign w:val="center"/>
          </w:tcPr>
          <w:p w14:paraId="58134AD2">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NE</w:t>
            </w:r>
          </w:p>
        </w:tc>
        <w:tc>
          <w:tcPr>
            <w:tcW w:w="672" w:type="pct"/>
            <w:vMerge w:val="restart"/>
            <w:tcBorders>
              <w:right w:val="nil"/>
            </w:tcBorders>
            <w:noWrap w:val="0"/>
            <w:vAlign w:val="center"/>
          </w:tcPr>
          <w:p w14:paraId="5D184D6F">
            <w:pPr>
              <w:spacing w:line="240" w:lineRule="auto"/>
              <w:ind w:firstLine="0" w:firstLineChars="0"/>
              <w:jc w:val="center"/>
              <w:rPr>
                <w:rFonts w:hint="default" w:ascii="Times New Roman" w:hAnsi="Times New Roman" w:eastAsia="宋体"/>
                <w:sz w:val="21"/>
                <w:highlight w:val="none"/>
                <w:lang w:val="en-US" w:eastAsia="zh-CN"/>
              </w:rPr>
            </w:pPr>
            <w:r>
              <w:rPr>
                <w:rFonts w:hint="eastAsia" w:ascii="Times New Roman" w:hAnsi="Times New Roman"/>
                <w:kern w:val="0"/>
                <w:szCs w:val="24"/>
                <w:highlight w:val="none"/>
                <w:lang w:val="en-US" w:eastAsia="zh-CN"/>
              </w:rPr>
              <w:t>100</w:t>
            </w:r>
          </w:p>
        </w:tc>
      </w:tr>
      <w:tr w14:paraId="69BB6B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0" w:hRule="atLeast"/>
          <w:jc w:val="center"/>
        </w:trPr>
        <w:tc>
          <w:tcPr>
            <w:tcW w:w="685" w:type="pct"/>
            <w:vMerge w:val="continue"/>
            <w:tcBorders>
              <w:left w:val="nil"/>
            </w:tcBorders>
            <w:noWrap w:val="0"/>
            <w:vAlign w:val="center"/>
          </w:tcPr>
          <w:p w14:paraId="7C4FC7F0">
            <w:pPr>
              <w:spacing w:line="240" w:lineRule="auto"/>
              <w:ind w:firstLine="0" w:firstLineChars="0"/>
              <w:jc w:val="center"/>
              <w:rPr>
                <w:rFonts w:ascii="Times New Roman" w:hAnsi="Times New Roman"/>
                <w:kern w:val="0"/>
                <w:sz w:val="21"/>
                <w:highlight w:val="none"/>
              </w:rPr>
            </w:pPr>
          </w:p>
        </w:tc>
        <w:tc>
          <w:tcPr>
            <w:tcW w:w="836" w:type="pct"/>
            <w:vMerge w:val="continue"/>
            <w:tcBorders>
              <w:right w:val="single" w:color="auto" w:sz="4" w:space="0"/>
            </w:tcBorders>
            <w:noWrap w:val="0"/>
            <w:vAlign w:val="center"/>
          </w:tcPr>
          <w:p w14:paraId="788E361F">
            <w:pPr>
              <w:spacing w:line="240" w:lineRule="auto"/>
              <w:ind w:firstLine="0" w:firstLineChars="0"/>
              <w:jc w:val="center"/>
              <w:rPr>
                <w:rFonts w:ascii="Times New Roman" w:hAnsi="Times New Roman"/>
                <w:kern w:val="0"/>
                <w:sz w:val="21"/>
                <w:highlight w:val="none"/>
              </w:rPr>
            </w:pPr>
          </w:p>
        </w:tc>
        <w:tc>
          <w:tcPr>
            <w:tcW w:w="775" w:type="pct"/>
            <w:vMerge w:val="continue"/>
            <w:tcBorders>
              <w:left w:val="single" w:color="auto" w:sz="4" w:space="0"/>
            </w:tcBorders>
            <w:noWrap w:val="0"/>
            <w:vAlign w:val="center"/>
          </w:tcPr>
          <w:p w14:paraId="6CC79399">
            <w:pPr>
              <w:spacing w:line="240" w:lineRule="auto"/>
              <w:ind w:firstLine="0" w:firstLineChars="0"/>
              <w:jc w:val="center"/>
              <w:rPr>
                <w:rFonts w:ascii="Times New Roman" w:hAnsi="Times New Roman"/>
                <w:kern w:val="0"/>
                <w:sz w:val="21"/>
                <w:highlight w:val="none"/>
              </w:rPr>
            </w:pPr>
          </w:p>
        </w:tc>
        <w:tc>
          <w:tcPr>
            <w:tcW w:w="678" w:type="pct"/>
            <w:tcBorders>
              <w:top w:val="single" w:color="auto" w:sz="2" w:space="0"/>
              <w:bottom w:val="single" w:color="auto" w:sz="2" w:space="0"/>
            </w:tcBorders>
            <w:noWrap w:val="0"/>
            <w:vAlign w:val="center"/>
          </w:tcPr>
          <w:p w14:paraId="792D6E12">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氨</w:t>
            </w:r>
          </w:p>
        </w:tc>
        <w:tc>
          <w:tcPr>
            <w:tcW w:w="722" w:type="pct"/>
            <w:vMerge w:val="continue"/>
            <w:noWrap w:val="0"/>
            <w:vAlign w:val="center"/>
          </w:tcPr>
          <w:p w14:paraId="237AC0F5">
            <w:pPr>
              <w:spacing w:line="240" w:lineRule="auto"/>
              <w:ind w:firstLine="0" w:firstLineChars="0"/>
              <w:jc w:val="center"/>
              <w:rPr>
                <w:rFonts w:ascii="Times New Roman" w:hAnsi="Times New Roman"/>
                <w:sz w:val="21"/>
                <w:highlight w:val="none"/>
              </w:rPr>
            </w:pPr>
          </w:p>
        </w:tc>
        <w:tc>
          <w:tcPr>
            <w:tcW w:w="630" w:type="pct"/>
            <w:vMerge w:val="continue"/>
            <w:noWrap w:val="0"/>
            <w:vAlign w:val="center"/>
          </w:tcPr>
          <w:p w14:paraId="0290EC16">
            <w:pPr>
              <w:spacing w:line="240" w:lineRule="auto"/>
              <w:ind w:firstLine="0" w:firstLineChars="0"/>
              <w:jc w:val="center"/>
              <w:rPr>
                <w:rFonts w:ascii="Times New Roman" w:hAnsi="Times New Roman"/>
                <w:sz w:val="21"/>
                <w:highlight w:val="none"/>
              </w:rPr>
            </w:pPr>
          </w:p>
        </w:tc>
        <w:tc>
          <w:tcPr>
            <w:tcW w:w="672" w:type="pct"/>
            <w:vMerge w:val="continue"/>
            <w:tcBorders>
              <w:right w:val="nil"/>
            </w:tcBorders>
            <w:noWrap w:val="0"/>
            <w:vAlign w:val="center"/>
          </w:tcPr>
          <w:p w14:paraId="3CE64133">
            <w:pPr>
              <w:spacing w:line="240" w:lineRule="auto"/>
              <w:ind w:firstLine="0" w:firstLineChars="0"/>
              <w:jc w:val="center"/>
              <w:rPr>
                <w:rFonts w:ascii="Times New Roman" w:hAnsi="Times New Roman"/>
                <w:sz w:val="21"/>
                <w:highlight w:val="none"/>
              </w:rPr>
            </w:pPr>
          </w:p>
        </w:tc>
      </w:tr>
      <w:tr w14:paraId="1F2567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0" w:hRule="atLeast"/>
          <w:jc w:val="center"/>
        </w:trPr>
        <w:tc>
          <w:tcPr>
            <w:tcW w:w="685" w:type="pct"/>
            <w:vMerge w:val="continue"/>
            <w:tcBorders>
              <w:left w:val="nil"/>
            </w:tcBorders>
            <w:noWrap w:val="0"/>
            <w:vAlign w:val="center"/>
          </w:tcPr>
          <w:p w14:paraId="1D1E223A">
            <w:pPr>
              <w:spacing w:line="240" w:lineRule="auto"/>
              <w:ind w:firstLine="0" w:firstLineChars="0"/>
              <w:jc w:val="center"/>
              <w:rPr>
                <w:rFonts w:ascii="Times New Roman" w:hAnsi="Times New Roman"/>
                <w:kern w:val="0"/>
                <w:sz w:val="21"/>
                <w:highlight w:val="none"/>
              </w:rPr>
            </w:pPr>
          </w:p>
        </w:tc>
        <w:tc>
          <w:tcPr>
            <w:tcW w:w="836" w:type="pct"/>
            <w:vMerge w:val="continue"/>
            <w:tcBorders>
              <w:right w:val="single" w:color="auto" w:sz="4" w:space="0"/>
            </w:tcBorders>
            <w:noWrap w:val="0"/>
            <w:vAlign w:val="center"/>
          </w:tcPr>
          <w:p w14:paraId="2D69AB35">
            <w:pPr>
              <w:spacing w:line="240" w:lineRule="auto"/>
              <w:ind w:firstLine="0" w:firstLineChars="0"/>
              <w:jc w:val="center"/>
              <w:rPr>
                <w:rFonts w:ascii="Times New Roman" w:hAnsi="Times New Roman"/>
                <w:kern w:val="0"/>
                <w:sz w:val="21"/>
                <w:highlight w:val="none"/>
              </w:rPr>
            </w:pPr>
          </w:p>
        </w:tc>
        <w:tc>
          <w:tcPr>
            <w:tcW w:w="775" w:type="pct"/>
            <w:vMerge w:val="continue"/>
            <w:tcBorders>
              <w:left w:val="single" w:color="auto" w:sz="4" w:space="0"/>
            </w:tcBorders>
            <w:noWrap w:val="0"/>
            <w:vAlign w:val="center"/>
          </w:tcPr>
          <w:p w14:paraId="521D10F9">
            <w:pPr>
              <w:spacing w:line="240" w:lineRule="auto"/>
              <w:ind w:firstLine="0" w:firstLineChars="0"/>
              <w:jc w:val="center"/>
              <w:rPr>
                <w:rFonts w:ascii="Times New Roman" w:hAnsi="Times New Roman"/>
                <w:kern w:val="0"/>
                <w:sz w:val="21"/>
                <w:highlight w:val="none"/>
              </w:rPr>
            </w:pPr>
          </w:p>
        </w:tc>
        <w:tc>
          <w:tcPr>
            <w:tcW w:w="678" w:type="pct"/>
            <w:tcBorders>
              <w:top w:val="single" w:color="auto" w:sz="2" w:space="0"/>
              <w:bottom w:val="single" w:color="auto" w:sz="2" w:space="0"/>
            </w:tcBorders>
            <w:noWrap w:val="0"/>
            <w:vAlign w:val="center"/>
          </w:tcPr>
          <w:p w14:paraId="1F7542E9">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氮氧化物</w:t>
            </w:r>
          </w:p>
        </w:tc>
        <w:tc>
          <w:tcPr>
            <w:tcW w:w="722" w:type="pct"/>
            <w:vMerge w:val="continue"/>
            <w:noWrap w:val="0"/>
            <w:vAlign w:val="center"/>
          </w:tcPr>
          <w:p w14:paraId="08C8ACC7">
            <w:pPr>
              <w:spacing w:line="240" w:lineRule="auto"/>
              <w:ind w:firstLine="0" w:firstLineChars="0"/>
              <w:jc w:val="center"/>
              <w:rPr>
                <w:rFonts w:ascii="Times New Roman" w:hAnsi="Times New Roman"/>
                <w:sz w:val="21"/>
                <w:highlight w:val="none"/>
              </w:rPr>
            </w:pPr>
          </w:p>
        </w:tc>
        <w:tc>
          <w:tcPr>
            <w:tcW w:w="630" w:type="pct"/>
            <w:vMerge w:val="continue"/>
            <w:noWrap w:val="0"/>
            <w:vAlign w:val="center"/>
          </w:tcPr>
          <w:p w14:paraId="05A2AEA7">
            <w:pPr>
              <w:spacing w:line="240" w:lineRule="auto"/>
              <w:ind w:firstLine="0" w:firstLineChars="0"/>
              <w:jc w:val="center"/>
              <w:rPr>
                <w:rFonts w:ascii="Times New Roman" w:hAnsi="Times New Roman"/>
                <w:sz w:val="21"/>
                <w:highlight w:val="none"/>
              </w:rPr>
            </w:pPr>
          </w:p>
        </w:tc>
        <w:tc>
          <w:tcPr>
            <w:tcW w:w="672" w:type="pct"/>
            <w:vMerge w:val="continue"/>
            <w:tcBorders>
              <w:right w:val="nil"/>
            </w:tcBorders>
            <w:noWrap w:val="0"/>
            <w:vAlign w:val="center"/>
          </w:tcPr>
          <w:p w14:paraId="49EB8B23">
            <w:pPr>
              <w:spacing w:line="240" w:lineRule="auto"/>
              <w:ind w:firstLine="0" w:firstLineChars="0"/>
              <w:jc w:val="center"/>
              <w:rPr>
                <w:rFonts w:ascii="Times New Roman" w:hAnsi="Times New Roman"/>
                <w:sz w:val="21"/>
                <w:highlight w:val="none"/>
              </w:rPr>
            </w:pPr>
          </w:p>
        </w:tc>
      </w:tr>
      <w:tr w14:paraId="2A61C3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0" w:hRule="atLeast"/>
          <w:jc w:val="center"/>
        </w:trPr>
        <w:tc>
          <w:tcPr>
            <w:tcW w:w="685" w:type="pct"/>
            <w:vMerge w:val="continue"/>
            <w:tcBorders>
              <w:left w:val="nil"/>
              <w:bottom w:val="single" w:color="000000" w:sz="12" w:space="0"/>
            </w:tcBorders>
            <w:noWrap w:val="0"/>
            <w:vAlign w:val="center"/>
          </w:tcPr>
          <w:p w14:paraId="2626DCB8">
            <w:pPr>
              <w:spacing w:line="240" w:lineRule="auto"/>
              <w:ind w:firstLine="0" w:firstLineChars="0"/>
              <w:jc w:val="center"/>
              <w:rPr>
                <w:rFonts w:ascii="Times New Roman" w:hAnsi="Times New Roman"/>
                <w:kern w:val="0"/>
                <w:sz w:val="21"/>
                <w:highlight w:val="none"/>
              </w:rPr>
            </w:pPr>
          </w:p>
        </w:tc>
        <w:tc>
          <w:tcPr>
            <w:tcW w:w="836" w:type="pct"/>
            <w:vMerge w:val="continue"/>
            <w:tcBorders>
              <w:bottom w:val="single" w:color="000000" w:sz="12" w:space="0"/>
              <w:right w:val="single" w:color="auto" w:sz="4" w:space="0"/>
            </w:tcBorders>
            <w:noWrap w:val="0"/>
            <w:vAlign w:val="center"/>
          </w:tcPr>
          <w:p w14:paraId="01FB91AB">
            <w:pPr>
              <w:spacing w:line="240" w:lineRule="auto"/>
              <w:ind w:firstLine="0" w:firstLineChars="0"/>
              <w:jc w:val="center"/>
              <w:rPr>
                <w:rFonts w:ascii="Times New Roman" w:hAnsi="Times New Roman"/>
                <w:kern w:val="0"/>
                <w:sz w:val="21"/>
                <w:highlight w:val="none"/>
              </w:rPr>
            </w:pPr>
          </w:p>
        </w:tc>
        <w:tc>
          <w:tcPr>
            <w:tcW w:w="775" w:type="pct"/>
            <w:vMerge w:val="continue"/>
            <w:tcBorders>
              <w:left w:val="single" w:color="auto" w:sz="4" w:space="0"/>
              <w:bottom w:val="single" w:color="000000" w:sz="12" w:space="0"/>
            </w:tcBorders>
            <w:noWrap w:val="0"/>
            <w:vAlign w:val="center"/>
          </w:tcPr>
          <w:p w14:paraId="3525099C">
            <w:pPr>
              <w:spacing w:line="240" w:lineRule="auto"/>
              <w:ind w:firstLine="0" w:firstLineChars="0"/>
              <w:jc w:val="center"/>
              <w:rPr>
                <w:rFonts w:ascii="Times New Roman" w:hAnsi="Times New Roman"/>
                <w:kern w:val="0"/>
                <w:sz w:val="21"/>
                <w:highlight w:val="none"/>
              </w:rPr>
            </w:pPr>
          </w:p>
        </w:tc>
        <w:tc>
          <w:tcPr>
            <w:tcW w:w="678" w:type="pct"/>
            <w:tcBorders>
              <w:top w:val="single" w:color="auto" w:sz="2" w:space="0"/>
              <w:bottom w:val="single" w:color="000000" w:sz="12" w:space="0"/>
            </w:tcBorders>
            <w:noWrap w:val="0"/>
            <w:vAlign w:val="center"/>
          </w:tcPr>
          <w:p w14:paraId="2D4445C5">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汞</w:t>
            </w:r>
          </w:p>
        </w:tc>
        <w:tc>
          <w:tcPr>
            <w:tcW w:w="722" w:type="pct"/>
            <w:vMerge w:val="continue"/>
            <w:tcBorders>
              <w:bottom w:val="single" w:color="000000" w:sz="12" w:space="0"/>
            </w:tcBorders>
            <w:noWrap w:val="0"/>
            <w:vAlign w:val="center"/>
          </w:tcPr>
          <w:p w14:paraId="2E81351D">
            <w:pPr>
              <w:spacing w:line="240" w:lineRule="auto"/>
              <w:ind w:firstLine="0" w:firstLineChars="0"/>
              <w:jc w:val="center"/>
              <w:rPr>
                <w:rFonts w:ascii="Times New Roman" w:hAnsi="Times New Roman"/>
                <w:sz w:val="21"/>
                <w:highlight w:val="none"/>
              </w:rPr>
            </w:pPr>
          </w:p>
        </w:tc>
        <w:tc>
          <w:tcPr>
            <w:tcW w:w="630" w:type="pct"/>
            <w:vMerge w:val="continue"/>
            <w:tcBorders>
              <w:bottom w:val="single" w:color="000000" w:sz="12" w:space="0"/>
            </w:tcBorders>
            <w:noWrap w:val="0"/>
            <w:vAlign w:val="center"/>
          </w:tcPr>
          <w:p w14:paraId="045E9C69">
            <w:pPr>
              <w:spacing w:line="240" w:lineRule="auto"/>
              <w:ind w:firstLine="0" w:firstLineChars="0"/>
              <w:jc w:val="center"/>
              <w:rPr>
                <w:rFonts w:ascii="Times New Roman" w:hAnsi="Times New Roman"/>
                <w:sz w:val="21"/>
                <w:highlight w:val="none"/>
              </w:rPr>
            </w:pPr>
          </w:p>
        </w:tc>
        <w:tc>
          <w:tcPr>
            <w:tcW w:w="672" w:type="pct"/>
            <w:vMerge w:val="continue"/>
            <w:tcBorders>
              <w:bottom w:val="single" w:color="000000" w:sz="12" w:space="0"/>
              <w:right w:val="nil"/>
            </w:tcBorders>
            <w:noWrap w:val="0"/>
            <w:vAlign w:val="center"/>
          </w:tcPr>
          <w:p w14:paraId="0E85FA9F">
            <w:pPr>
              <w:spacing w:line="240" w:lineRule="auto"/>
              <w:ind w:firstLine="0" w:firstLineChars="0"/>
              <w:jc w:val="center"/>
              <w:rPr>
                <w:rFonts w:ascii="Times New Roman" w:hAnsi="Times New Roman"/>
                <w:sz w:val="21"/>
                <w:highlight w:val="none"/>
              </w:rPr>
            </w:pPr>
          </w:p>
        </w:tc>
      </w:tr>
    </w:tbl>
    <w:p w14:paraId="3F23439B">
      <w:pPr>
        <w:pStyle w:val="23"/>
        <w:ind w:firstLine="0" w:firstLineChars="0"/>
        <w:rPr>
          <w:rFonts w:ascii="Times New Roman" w:hAnsi="Times New Roman"/>
          <w:color w:val="auto"/>
          <w:highlight w:val="none"/>
        </w:rPr>
      </w:pPr>
      <w:r>
        <w:rPr>
          <w:highlight w:val="none"/>
        </w:rPr>
        <w:drawing>
          <wp:inline distT="0" distB="0" distL="114300" distR="114300">
            <wp:extent cx="5271135" cy="4521835"/>
            <wp:effectExtent l="0" t="0" r="5715" b="12065"/>
            <wp:docPr id="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6"/>
                    <pic:cNvPicPr>
                      <a:picLocks noChangeAspect="1"/>
                    </pic:cNvPicPr>
                  </pic:nvPicPr>
                  <pic:blipFill>
                    <a:blip r:embed="rId36"/>
                    <a:stretch>
                      <a:fillRect/>
                    </a:stretch>
                  </pic:blipFill>
                  <pic:spPr>
                    <a:xfrm>
                      <a:off x="0" y="0"/>
                      <a:ext cx="5271135" cy="4521835"/>
                    </a:xfrm>
                    <a:prstGeom prst="rect">
                      <a:avLst/>
                    </a:prstGeom>
                    <a:noFill/>
                    <a:ln>
                      <a:noFill/>
                    </a:ln>
                  </pic:spPr>
                </pic:pic>
              </a:graphicData>
            </a:graphic>
          </wp:inline>
        </w:drawing>
      </w:r>
    </w:p>
    <w:p w14:paraId="46AFEE3F">
      <w:pPr>
        <w:ind w:firstLine="480"/>
        <w:jc w:val="center"/>
        <w:rPr>
          <w:rFonts w:hint="eastAsia" w:ascii="Times New Roman" w:hAnsi="Times New Roman"/>
          <w:highlight w:val="none"/>
        </w:rPr>
      </w:pPr>
      <w:r>
        <w:rPr>
          <w:rFonts w:hint="eastAsia" w:ascii="黑体" w:hAnsi="黑体" w:eastAsia="黑体" w:cs="黑体"/>
          <w:highlight w:val="none"/>
        </w:rPr>
        <w:t>图</w:t>
      </w:r>
      <w:r>
        <w:rPr>
          <w:rFonts w:ascii="Times New Roman" w:hAnsi="Times New Roman"/>
          <w:highlight w:val="none"/>
        </w:rPr>
        <w:t>4.3-1</w:t>
      </w:r>
      <w:r>
        <w:rPr>
          <w:rFonts w:hint="eastAsia" w:ascii="黑体" w:hAnsi="黑体" w:eastAsia="黑体" w:cs="黑体"/>
          <w:highlight w:val="none"/>
          <w:lang w:val="en-US" w:eastAsia="zh-CN"/>
        </w:rPr>
        <w:t>大气</w:t>
      </w:r>
      <w:r>
        <w:rPr>
          <w:rFonts w:hint="eastAsia" w:ascii="黑体" w:hAnsi="黑体" w:eastAsia="黑体" w:cs="黑体"/>
          <w:highlight w:val="none"/>
        </w:rPr>
        <w:t>其他污染物补充监测点位图</w:t>
      </w:r>
    </w:p>
    <w:p w14:paraId="78CBC246">
      <w:pPr>
        <w:snapToGrid w:val="0"/>
        <w:spacing w:line="480" w:lineRule="exact"/>
        <w:ind w:firstLine="480"/>
        <w:rPr>
          <w:rFonts w:ascii="Times New Roman" w:hAnsi="Times New Roman"/>
          <w:highlight w:val="none"/>
        </w:rPr>
      </w:pPr>
      <w:r>
        <w:rPr>
          <w:rFonts w:ascii="Times New Roman" w:hAnsi="Times New Roman"/>
          <w:highlight w:val="none"/>
        </w:rPr>
        <w:t>（2）监测因子</w:t>
      </w:r>
    </w:p>
    <w:p w14:paraId="203B0D91">
      <w:pPr>
        <w:snapToGrid w:val="0"/>
        <w:spacing w:line="480" w:lineRule="exact"/>
        <w:ind w:firstLine="480"/>
        <w:rPr>
          <w:rFonts w:ascii="Times New Roman" w:hAnsi="Times New Roman"/>
          <w:highlight w:val="none"/>
        </w:rPr>
      </w:pPr>
      <w:r>
        <w:rPr>
          <w:rFonts w:ascii="Times New Roman" w:hAnsi="Times New Roman"/>
          <w:highlight w:val="none"/>
        </w:rPr>
        <w:t>监测因子包括总悬浮颗粒物、氨、氮氧化物、汞共</w:t>
      </w:r>
      <w:r>
        <w:rPr>
          <w:rFonts w:hint="eastAsia" w:ascii="Times New Roman" w:hAnsi="Times New Roman"/>
          <w:highlight w:val="none"/>
          <w:lang w:val="en-US" w:eastAsia="zh-CN"/>
        </w:rPr>
        <w:t>4</w:t>
      </w:r>
      <w:r>
        <w:rPr>
          <w:rFonts w:ascii="Times New Roman" w:hAnsi="Times New Roman"/>
          <w:highlight w:val="none"/>
        </w:rPr>
        <w:t>项。</w:t>
      </w:r>
    </w:p>
    <w:p w14:paraId="5F3B87A9">
      <w:pPr>
        <w:snapToGrid w:val="0"/>
        <w:spacing w:line="480" w:lineRule="exact"/>
        <w:ind w:firstLine="480"/>
        <w:rPr>
          <w:rFonts w:ascii="Times New Roman" w:hAnsi="Times New Roman"/>
          <w:highlight w:val="none"/>
        </w:rPr>
      </w:pPr>
      <w:r>
        <w:rPr>
          <w:rFonts w:ascii="Times New Roman" w:hAnsi="Times New Roman"/>
          <w:highlight w:val="none"/>
        </w:rPr>
        <w:t>（3）监测时间和频率</w:t>
      </w:r>
    </w:p>
    <w:p w14:paraId="0BEDDF8E">
      <w:pPr>
        <w:snapToGrid w:val="0"/>
        <w:spacing w:line="480" w:lineRule="exact"/>
        <w:ind w:firstLine="480"/>
        <w:rPr>
          <w:rFonts w:ascii="Times New Roman" w:hAnsi="Times New Roman"/>
          <w:highlight w:val="none"/>
        </w:rPr>
      </w:pPr>
      <w:r>
        <w:rPr>
          <w:rFonts w:ascii="Times New Roman" w:hAnsi="Times New Roman"/>
          <w:highlight w:val="none"/>
        </w:rPr>
        <w:t>监测时间为202</w:t>
      </w:r>
      <w:r>
        <w:rPr>
          <w:rFonts w:hint="eastAsia" w:ascii="Times New Roman" w:hAnsi="Times New Roman"/>
          <w:highlight w:val="none"/>
          <w:lang w:val="en-US" w:eastAsia="zh-CN"/>
        </w:rPr>
        <w:t>5</w:t>
      </w:r>
      <w:r>
        <w:rPr>
          <w:rFonts w:ascii="Times New Roman" w:hAnsi="Times New Roman"/>
          <w:highlight w:val="none"/>
        </w:rPr>
        <w:t>年</w:t>
      </w:r>
      <w:r>
        <w:rPr>
          <w:rFonts w:hint="eastAsia" w:ascii="Times New Roman" w:hAnsi="Times New Roman"/>
          <w:highlight w:val="none"/>
          <w:lang w:val="en-US" w:eastAsia="zh-CN"/>
        </w:rPr>
        <w:t>10</w:t>
      </w:r>
      <w:r>
        <w:rPr>
          <w:rFonts w:ascii="Times New Roman" w:hAnsi="Times New Roman"/>
          <w:highlight w:val="none"/>
        </w:rPr>
        <w:t>月</w:t>
      </w:r>
      <w:r>
        <w:rPr>
          <w:rFonts w:hint="eastAsia" w:ascii="Times New Roman" w:hAnsi="Times New Roman"/>
          <w:highlight w:val="none"/>
          <w:lang w:val="en-US" w:eastAsia="zh-CN"/>
        </w:rPr>
        <w:t>25</w:t>
      </w:r>
      <w:r>
        <w:rPr>
          <w:rFonts w:ascii="Times New Roman" w:hAnsi="Times New Roman"/>
          <w:highlight w:val="none"/>
        </w:rPr>
        <w:t>日至</w:t>
      </w:r>
      <w:r>
        <w:rPr>
          <w:rFonts w:hint="eastAsia" w:ascii="Times New Roman" w:hAnsi="Times New Roman"/>
          <w:highlight w:val="none"/>
          <w:lang w:val="en-US" w:eastAsia="zh-CN"/>
        </w:rPr>
        <w:t>31</w:t>
      </w:r>
      <w:r>
        <w:rPr>
          <w:rFonts w:ascii="Times New Roman" w:hAnsi="Times New Roman"/>
          <w:highlight w:val="none"/>
        </w:rPr>
        <w:t>日，监测频次见表4-</w:t>
      </w:r>
      <w:r>
        <w:rPr>
          <w:rFonts w:hint="eastAsia" w:ascii="Times New Roman" w:hAnsi="Times New Roman"/>
          <w:highlight w:val="none"/>
        </w:rPr>
        <w:t>3</w:t>
      </w:r>
      <w:r>
        <w:rPr>
          <w:rFonts w:ascii="Times New Roman" w:hAnsi="Times New Roman"/>
          <w:highlight w:val="none"/>
        </w:rPr>
        <w:t>-5。</w:t>
      </w:r>
    </w:p>
    <w:p w14:paraId="3882E93F">
      <w:pPr>
        <w:pStyle w:val="38"/>
        <w:ind w:firstLine="480"/>
        <w:rPr>
          <w:rFonts w:ascii="Times New Roman" w:hAnsi="Times New Roman"/>
          <w:szCs w:val="22"/>
          <w:highlight w:val="none"/>
        </w:rPr>
      </w:pPr>
      <w:r>
        <w:rPr>
          <w:rFonts w:ascii="Times New Roman" w:hAnsi="Times New Roman"/>
          <w:szCs w:val="22"/>
          <w:highlight w:val="none"/>
        </w:rPr>
        <w:t>表4.3-5 监测频次一览表</w:t>
      </w:r>
    </w:p>
    <w:tbl>
      <w:tblPr>
        <w:tblStyle w:val="1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57"/>
        <w:gridCol w:w="2427"/>
        <w:gridCol w:w="4335"/>
      </w:tblGrid>
      <w:tr w14:paraId="0D066B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55" w:type="pct"/>
            <w:gridSpan w:val="2"/>
            <w:noWrap w:val="0"/>
            <w:vAlign w:val="center"/>
          </w:tcPr>
          <w:p w14:paraId="0EEF9C3C">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监测项目</w:t>
            </w:r>
          </w:p>
        </w:tc>
        <w:tc>
          <w:tcPr>
            <w:tcW w:w="2544" w:type="pct"/>
            <w:noWrap w:val="0"/>
            <w:vAlign w:val="center"/>
          </w:tcPr>
          <w:p w14:paraId="6A488063">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监测频次</w:t>
            </w:r>
          </w:p>
        </w:tc>
      </w:tr>
      <w:tr w14:paraId="4BCF7B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1" w:type="pct"/>
            <w:noWrap w:val="0"/>
            <w:vAlign w:val="center"/>
          </w:tcPr>
          <w:p w14:paraId="0CFBF751">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氨</w:t>
            </w:r>
          </w:p>
        </w:tc>
        <w:tc>
          <w:tcPr>
            <w:tcW w:w="1424" w:type="pct"/>
            <w:noWrap w:val="0"/>
            <w:vAlign w:val="center"/>
          </w:tcPr>
          <w:p w14:paraId="5339236E">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1小时平均</w:t>
            </w:r>
          </w:p>
        </w:tc>
        <w:tc>
          <w:tcPr>
            <w:tcW w:w="2544" w:type="pct"/>
            <w:noWrap w:val="0"/>
            <w:vAlign w:val="center"/>
          </w:tcPr>
          <w:p w14:paraId="7159ABEB">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连续监测7天，每小时连续采样45min</w:t>
            </w:r>
          </w:p>
        </w:tc>
      </w:tr>
      <w:tr w14:paraId="3620D2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1" w:type="pct"/>
            <w:noWrap w:val="0"/>
            <w:vAlign w:val="center"/>
          </w:tcPr>
          <w:p w14:paraId="3C5B2BF9">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氮氧化物</w:t>
            </w:r>
          </w:p>
        </w:tc>
        <w:tc>
          <w:tcPr>
            <w:tcW w:w="1424" w:type="pct"/>
            <w:noWrap w:val="0"/>
            <w:vAlign w:val="center"/>
          </w:tcPr>
          <w:p w14:paraId="68230E03">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1小时平均</w:t>
            </w:r>
          </w:p>
        </w:tc>
        <w:tc>
          <w:tcPr>
            <w:tcW w:w="2544" w:type="pct"/>
            <w:noWrap w:val="0"/>
            <w:vAlign w:val="center"/>
          </w:tcPr>
          <w:p w14:paraId="4FC44A42">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连续监测7天，每小时连续采样45min</w:t>
            </w:r>
          </w:p>
        </w:tc>
      </w:tr>
      <w:tr w14:paraId="447D60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1" w:type="pct"/>
            <w:noWrap w:val="0"/>
            <w:vAlign w:val="center"/>
          </w:tcPr>
          <w:p w14:paraId="788B24B9">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总悬浮颗粒物</w:t>
            </w:r>
          </w:p>
        </w:tc>
        <w:tc>
          <w:tcPr>
            <w:tcW w:w="1424" w:type="pct"/>
            <w:noWrap w:val="0"/>
            <w:vAlign w:val="center"/>
          </w:tcPr>
          <w:p w14:paraId="665944D3">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24小时平均</w:t>
            </w:r>
          </w:p>
        </w:tc>
        <w:tc>
          <w:tcPr>
            <w:tcW w:w="2544" w:type="pct"/>
            <w:noWrap w:val="0"/>
            <w:vAlign w:val="center"/>
          </w:tcPr>
          <w:p w14:paraId="6FADE81F">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连续监测7天，每天24h采样时间</w:t>
            </w:r>
          </w:p>
        </w:tc>
      </w:tr>
      <w:tr w14:paraId="2762FB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31" w:type="pct"/>
            <w:noWrap w:val="0"/>
            <w:vAlign w:val="center"/>
          </w:tcPr>
          <w:p w14:paraId="01498AC5">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汞</w:t>
            </w:r>
          </w:p>
        </w:tc>
        <w:tc>
          <w:tcPr>
            <w:tcW w:w="1424" w:type="pct"/>
            <w:noWrap w:val="0"/>
            <w:vAlign w:val="center"/>
          </w:tcPr>
          <w:p w14:paraId="6E406F4C">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24小时平均</w:t>
            </w:r>
          </w:p>
        </w:tc>
        <w:tc>
          <w:tcPr>
            <w:tcW w:w="2544" w:type="pct"/>
            <w:noWrap w:val="0"/>
            <w:vAlign w:val="center"/>
          </w:tcPr>
          <w:p w14:paraId="41BBAA7F">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连续监测7天，每天24h采样时间</w:t>
            </w:r>
          </w:p>
        </w:tc>
      </w:tr>
    </w:tbl>
    <w:p w14:paraId="3109E654">
      <w:pPr>
        <w:snapToGrid w:val="0"/>
        <w:spacing w:line="480" w:lineRule="exact"/>
        <w:ind w:firstLine="480"/>
        <w:rPr>
          <w:rFonts w:ascii="Times New Roman" w:hAnsi="Times New Roman"/>
          <w:highlight w:val="none"/>
        </w:rPr>
      </w:pPr>
      <w:r>
        <w:rPr>
          <w:rFonts w:ascii="Times New Roman" w:hAnsi="Times New Roman"/>
          <w:highlight w:val="none"/>
        </w:rPr>
        <w:t>（4）监测技术方法</w:t>
      </w:r>
    </w:p>
    <w:p w14:paraId="24F861E5">
      <w:pPr>
        <w:snapToGrid w:val="0"/>
        <w:spacing w:line="480" w:lineRule="exact"/>
        <w:ind w:firstLine="480"/>
        <w:rPr>
          <w:rFonts w:ascii="Times New Roman" w:hAnsi="Times New Roman"/>
          <w:highlight w:val="none"/>
        </w:rPr>
      </w:pPr>
      <w:r>
        <w:rPr>
          <w:rFonts w:ascii="Times New Roman" w:hAnsi="Times New Roman"/>
          <w:highlight w:val="none"/>
        </w:rPr>
        <w:t>按照《大气环境监测方法标准》、《环境空气质量标准》（GB3095-2012）等国家相关技术方法要求。</w:t>
      </w:r>
    </w:p>
    <w:p w14:paraId="77B54576">
      <w:pPr>
        <w:snapToGrid w:val="0"/>
        <w:spacing w:line="480" w:lineRule="exact"/>
        <w:ind w:firstLine="480"/>
        <w:rPr>
          <w:rFonts w:ascii="Times New Roman" w:hAnsi="Times New Roman"/>
          <w:highlight w:val="none"/>
        </w:rPr>
      </w:pPr>
      <w:bookmarkStart w:id="114" w:name="_Toc409"/>
      <w:r>
        <w:rPr>
          <w:rFonts w:ascii="Times New Roman" w:hAnsi="Times New Roman"/>
          <w:highlight w:val="none"/>
        </w:rPr>
        <w:t>（5）评价方法</w:t>
      </w:r>
      <w:bookmarkEnd w:id="114"/>
    </w:p>
    <w:p w14:paraId="6571ACC4">
      <w:pPr>
        <w:snapToGrid w:val="0"/>
        <w:spacing w:line="480" w:lineRule="exact"/>
        <w:ind w:firstLine="480"/>
        <w:rPr>
          <w:rFonts w:ascii="Times New Roman" w:hAnsi="Times New Roman"/>
          <w:highlight w:val="none"/>
        </w:rPr>
      </w:pPr>
      <w:r>
        <w:rPr>
          <w:rFonts w:ascii="Times New Roman" w:hAnsi="Times New Roman"/>
          <w:highlight w:val="none"/>
        </w:rPr>
        <w:t>根据《环境影响评价技术导则 大气环境》（HJ2.2-2018），监测结果统计分析要求以列表的方式给出各监测点大气污染物的不同取值时间的变化范围，计算并列表给出各取值时间最大浓度值占相应浓度标准浓度限值的百分比和超标率，并评价达标情况。</w:t>
      </w:r>
    </w:p>
    <w:p w14:paraId="3D717297">
      <w:pPr>
        <w:pStyle w:val="38"/>
        <w:ind w:firstLine="480"/>
        <w:jc w:val="right"/>
        <w:rPr>
          <w:rFonts w:ascii="Times New Roman" w:hAnsi="Times New Roman"/>
          <w:szCs w:val="22"/>
          <w:highlight w:val="none"/>
        </w:rPr>
      </w:pPr>
      <w:r>
        <w:rPr>
          <w:rFonts w:ascii="Times New Roman" w:hAnsi="Times New Roman"/>
          <w:szCs w:val="22"/>
          <w:highlight w:val="none"/>
        </w:rPr>
        <w:t>表 4.3-6 监测数据统计结果             单位：mg/m</w:t>
      </w:r>
      <w:r>
        <w:rPr>
          <w:rFonts w:ascii="Times New Roman" w:hAnsi="Times New Roman"/>
          <w:szCs w:val="22"/>
          <w:highlight w:val="none"/>
          <w:vertAlign w:val="superscript"/>
        </w:rPr>
        <w:t>3</w:t>
      </w:r>
    </w:p>
    <w:tbl>
      <w:tblPr>
        <w:tblStyle w:val="17"/>
        <w:tblW w:w="847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7"/>
        <w:gridCol w:w="888"/>
        <w:gridCol w:w="935"/>
        <w:gridCol w:w="750"/>
        <w:gridCol w:w="1015"/>
        <w:gridCol w:w="716"/>
        <w:gridCol w:w="1298"/>
        <w:gridCol w:w="773"/>
        <w:gridCol w:w="727"/>
        <w:gridCol w:w="727"/>
      </w:tblGrid>
      <w:tr w14:paraId="5E4F24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3" w:hRule="atLeast"/>
          <w:tblHeader/>
          <w:jc w:val="center"/>
        </w:trPr>
        <w:tc>
          <w:tcPr>
            <w:tcW w:w="647" w:type="dxa"/>
            <w:vMerge w:val="restart"/>
            <w:noWrap w:val="0"/>
            <w:vAlign w:val="center"/>
          </w:tcPr>
          <w:p w14:paraId="4C7597C9">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监测点位</w:t>
            </w:r>
          </w:p>
        </w:tc>
        <w:tc>
          <w:tcPr>
            <w:tcW w:w="1823" w:type="dxa"/>
            <w:gridSpan w:val="2"/>
            <w:noWrap w:val="0"/>
            <w:vAlign w:val="center"/>
          </w:tcPr>
          <w:p w14:paraId="6D7ED471">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监测点坐标</w:t>
            </w:r>
          </w:p>
        </w:tc>
        <w:tc>
          <w:tcPr>
            <w:tcW w:w="750" w:type="dxa"/>
            <w:vMerge w:val="restart"/>
            <w:noWrap w:val="0"/>
            <w:vAlign w:val="center"/>
          </w:tcPr>
          <w:p w14:paraId="27CC6426">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污染物</w:t>
            </w:r>
          </w:p>
        </w:tc>
        <w:tc>
          <w:tcPr>
            <w:tcW w:w="1015" w:type="dxa"/>
            <w:vMerge w:val="restart"/>
            <w:noWrap w:val="0"/>
            <w:vAlign w:val="center"/>
          </w:tcPr>
          <w:p w14:paraId="049D918B">
            <w:pPr>
              <w:spacing w:line="240" w:lineRule="auto"/>
              <w:ind w:firstLine="0" w:firstLineChars="0"/>
              <w:jc w:val="center"/>
              <w:rPr>
                <w:rFonts w:ascii="Times New Roman" w:hAnsi="Times New Roman"/>
                <w:kern w:val="0"/>
                <w:sz w:val="21"/>
                <w:highlight w:val="none"/>
              </w:rPr>
            </w:pPr>
            <w:r>
              <w:rPr>
                <w:rFonts w:ascii="Times New Roman" w:hAnsi="Times New Roman"/>
                <w:sz w:val="21"/>
                <w:szCs w:val="21"/>
                <w:highlight w:val="none"/>
              </w:rPr>
              <w:t>平均时间</w:t>
            </w:r>
          </w:p>
        </w:tc>
        <w:tc>
          <w:tcPr>
            <w:tcW w:w="716" w:type="dxa"/>
            <w:vMerge w:val="restart"/>
            <w:noWrap w:val="0"/>
            <w:vAlign w:val="center"/>
          </w:tcPr>
          <w:p w14:paraId="1C447925">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评价标准</w:t>
            </w:r>
          </w:p>
        </w:tc>
        <w:tc>
          <w:tcPr>
            <w:tcW w:w="1298" w:type="dxa"/>
            <w:vMerge w:val="restart"/>
            <w:noWrap w:val="0"/>
            <w:vAlign w:val="center"/>
          </w:tcPr>
          <w:p w14:paraId="3D77A995">
            <w:pPr>
              <w:spacing w:line="240" w:lineRule="auto"/>
              <w:ind w:firstLine="0" w:firstLineChars="0"/>
              <w:jc w:val="center"/>
              <w:rPr>
                <w:rFonts w:ascii="Times New Roman" w:hAnsi="Times New Roman"/>
                <w:kern w:val="0"/>
                <w:sz w:val="21"/>
                <w:highlight w:val="none"/>
              </w:rPr>
            </w:pPr>
            <w:r>
              <w:rPr>
                <w:rFonts w:ascii="Times New Roman" w:hAnsi="Times New Roman"/>
                <w:sz w:val="21"/>
                <w:szCs w:val="21"/>
                <w:highlight w:val="none"/>
              </w:rPr>
              <w:t>监测浓度范围</w:t>
            </w:r>
          </w:p>
        </w:tc>
        <w:tc>
          <w:tcPr>
            <w:tcW w:w="773" w:type="dxa"/>
            <w:vMerge w:val="restart"/>
            <w:noWrap w:val="0"/>
            <w:vAlign w:val="center"/>
          </w:tcPr>
          <w:p w14:paraId="6A31694A">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最大占标率%</w:t>
            </w:r>
          </w:p>
        </w:tc>
        <w:tc>
          <w:tcPr>
            <w:tcW w:w="727" w:type="dxa"/>
            <w:vMerge w:val="restart"/>
            <w:noWrap w:val="0"/>
            <w:vAlign w:val="center"/>
          </w:tcPr>
          <w:p w14:paraId="2DE7F5A0">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超标频率%</w:t>
            </w:r>
          </w:p>
        </w:tc>
        <w:tc>
          <w:tcPr>
            <w:tcW w:w="727" w:type="dxa"/>
            <w:vMerge w:val="restart"/>
            <w:noWrap w:val="0"/>
            <w:vAlign w:val="center"/>
          </w:tcPr>
          <w:p w14:paraId="369D6A4B">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达标情况</w:t>
            </w:r>
          </w:p>
        </w:tc>
      </w:tr>
      <w:tr w14:paraId="070B53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tblHeader/>
          <w:jc w:val="center"/>
        </w:trPr>
        <w:tc>
          <w:tcPr>
            <w:tcW w:w="647" w:type="dxa"/>
            <w:vMerge w:val="continue"/>
            <w:noWrap w:val="0"/>
            <w:vAlign w:val="center"/>
          </w:tcPr>
          <w:p w14:paraId="1BEA0927">
            <w:pPr>
              <w:spacing w:line="240" w:lineRule="auto"/>
              <w:ind w:firstLine="0" w:firstLineChars="0"/>
              <w:jc w:val="center"/>
              <w:rPr>
                <w:rFonts w:ascii="Times New Roman" w:hAnsi="Times New Roman"/>
                <w:kern w:val="0"/>
                <w:sz w:val="21"/>
                <w:highlight w:val="none"/>
              </w:rPr>
            </w:pPr>
          </w:p>
        </w:tc>
        <w:tc>
          <w:tcPr>
            <w:tcW w:w="888" w:type="dxa"/>
            <w:noWrap w:val="0"/>
            <w:vAlign w:val="center"/>
          </w:tcPr>
          <w:p w14:paraId="30D2FCD9">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东经</w:t>
            </w:r>
          </w:p>
        </w:tc>
        <w:tc>
          <w:tcPr>
            <w:tcW w:w="935" w:type="dxa"/>
            <w:noWrap w:val="0"/>
            <w:vAlign w:val="center"/>
          </w:tcPr>
          <w:p w14:paraId="000BBEBD">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北纬</w:t>
            </w:r>
          </w:p>
        </w:tc>
        <w:tc>
          <w:tcPr>
            <w:tcW w:w="750" w:type="dxa"/>
            <w:vMerge w:val="continue"/>
            <w:noWrap w:val="0"/>
            <w:vAlign w:val="center"/>
          </w:tcPr>
          <w:p w14:paraId="40D82C6B">
            <w:pPr>
              <w:spacing w:line="240" w:lineRule="auto"/>
              <w:ind w:firstLine="0" w:firstLineChars="0"/>
              <w:jc w:val="center"/>
              <w:rPr>
                <w:rFonts w:ascii="Times New Roman" w:hAnsi="Times New Roman"/>
                <w:kern w:val="0"/>
                <w:sz w:val="21"/>
                <w:highlight w:val="none"/>
              </w:rPr>
            </w:pPr>
          </w:p>
        </w:tc>
        <w:tc>
          <w:tcPr>
            <w:tcW w:w="1015" w:type="dxa"/>
            <w:vMerge w:val="continue"/>
            <w:noWrap w:val="0"/>
            <w:vAlign w:val="center"/>
          </w:tcPr>
          <w:p w14:paraId="519BF7E5">
            <w:pPr>
              <w:spacing w:line="240" w:lineRule="auto"/>
              <w:ind w:firstLine="0" w:firstLineChars="0"/>
              <w:jc w:val="center"/>
              <w:rPr>
                <w:rFonts w:ascii="Times New Roman" w:hAnsi="Times New Roman"/>
                <w:kern w:val="0"/>
                <w:sz w:val="21"/>
                <w:highlight w:val="none"/>
              </w:rPr>
            </w:pPr>
          </w:p>
        </w:tc>
        <w:tc>
          <w:tcPr>
            <w:tcW w:w="716" w:type="dxa"/>
            <w:vMerge w:val="continue"/>
            <w:noWrap w:val="0"/>
            <w:vAlign w:val="center"/>
          </w:tcPr>
          <w:p w14:paraId="4A9487A3">
            <w:pPr>
              <w:spacing w:line="240" w:lineRule="auto"/>
              <w:ind w:firstLine="0" w:firstLineChars="0"/>
              <w:jc w:val="center"/>
              <w:rPr>
                <w:rFonts w:ascii="Times New Roman" w:hAnsi="Times New Roman"/>
                <w:kern w:val="0"/>
                <w:sz w:val="21"/>
                <w:highlight w:val="none"/>
              </w:rPr>
            </w:pPr>
          </w:p>
        </w:tc>
        <w:tc>
          <w:tcPr>
            <w:tcW w:w="1298" w:type="dxa"/>
            <w:vMerge w:val="continue"/>
            <w:noWrap w:val="0"/>
            <w:vAlign w:val="center"/>
          </w:tcPr>
          <w:p w14:paraId="66FC2C63">
            <w:pPr>
              <w:spacing w:line="240" w:lineRule="auto"/>
              <w:ind w:firstLine="0" w:firstLineChars="0"/>
              <w:jc w:val="center"/>
              <w:rPr>
                <w:rFonts w:ascii="Times New Roman" w:hAnsi="Times New Roman"/>
                <w:kern w:val="0"/>
                <w:sz w:val="21"/>
                <w:highlight w:val="none"/>
              </w:rPr>
            </w:pPr>
          </w:p>
        </w:tc>
        <w:tc>
          <w:tcPr>
            <w:tcW w:w="773" w:type="dxa"/>
            <w:vMerge w:val="continue"/>
            <w:noWrap w:val="0"/>
            <w:vAlign w:val="center"/>
          </w:tcPr>
          <w:p w14:paraId="55B0CB4C">
            <w:pPr>
              <w:spacing w:line="240" w:lineRule="auto"/>
              <w:ind w:firstLine="0" w:firstLineChars="0"/>
              <w:jc w:val="center"/>
              <w:rPr>
                <w:rFonts w:ascii="Times New Roman" w:hAnsi="Times New Roman"/>
                <w:kern w:val="0"/>
                <w:sz w:val="21"/>
                <w:highlight w:val="none"/>
              </w:rPr>
            </w:pPr>
          </w:p>
        </w:tc>
        <w:tc>
          <w:tcPr>
            <w:tcW w:w="727" w:type="dxa"/>
            <w:vMerge w:val="continue"/>
            <w:noWrap w:val="0"/>
            <w:vAlign w:val="center"/>
          </w:tcPr>
          <w:p w14:paraId="4C3BFC6F">
            <w:pPr>
              <w:spacing w:line="240" w:lineRule="auto"/>
              <w:ind w:firstLine="0" w:firstLineChars="0"/>
              <w:jc w:val="center"/>
              <w:rPr>
                <w:rFonts w:ascii="Times New Roman" w:hAnsi="Times New Roman"/>
                <w:kern w:val="0"/>
                <w:sz w:val="21"/>
                <w:highlight w:val="none"/>
              </w:rPr>
            </w:pPr>
          </w:p>
        </w:tc>
        <w:tc>
          <w:tcPr>
            <w:tcW w:w="727" w:type="dxa"/>
            <w:vMerge w:val="continue"/>
            <w:noWrap w:val="0"/>
            <w:vAlign w:val="center"/>
          </w:tcPr>
          <w:p w14:paraId="6963DEB4">
            <w:pPr>
              <w:spacing w:line="240" w:lineRule="auto"/>
              <w:ind w:firstLine="0" w:firstLineChars="0"/>
              <w:jc w:val="center"/>
              <w:rPr>
                <w:rFonts w:ascii="Times New Roman" w:hAnsi="Times New Roman"/>
                <w:kern w:val="0"/>
                <w:sz w:val="21"/>
                <w:highlight w:val="none"/>
              </w:rPr>
            </w:pPr>
          </w:p>
        </w:tc>
      </w:tr>
      <w:tr w14:paraId="5D0E1C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647" w:type="dxa"/>
            <w:vMerge w:val="restart"/>
            <w:noWrap w:val="0"/>
            <w:vAlign w:val="center"/>
          </w:tcPr>
          <w:p w14:paraId="31745EF5">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 xml:space="preserve">1# </w:t>
            </w:r>
          </w:p>
        </w:tc>
        <w:tc>
          <w:tcPr>
            <w:tcW w:w="888" w:type="dxa"/>
            <w:vMerge w:val="restart"/>
            <w:noWrap w:val="0"/>
            <w:vAlign w:val="center"/>
          </w:tcPr>
          <w:p w14:paraId="2A75B24A">
            <w:pPr>
              <w:spacing w:line="240" w:lineRule="auto"/>
              <w:ind w:firstLine="0" w:firstLineChars="0"/>
              <w:jc w:val="center"/>
              <w:rPr>
                <w:rFonts w:ascii="Times New Roman" w:hAnsi="Times New Roman"/>
                <w:kern w:val="0"/>
                <w:sz w:val="21"/>
                <w:highlight w:val="none"/>
              </w:rPr>
            </w:pPr>
            <w:r>
              <w:rPr>
                <w:rFonts w:hint="eastAsia" w:ascii="Times New Roman" w:hAnsi="Times New Roman"/>
                <w:kern w:val="0"/>
                <w:sz w:val="21"/>
                <w:highlight w:val="none"/>
                <w:lang w:val="en-US" w:eastAsia="zh-CN"/>
              </w:rPr>
              <w:t>131.148498</w:t>
            </w:r>
          </w:p>
        </w:tc>
        <w:tc>
          <w:tcPr>
            <w:tcW w:w="935" w:type="dxa"/>
            <w:vMerge w:val="restart"/>
            <w:noWrap w:val="0"/>
            <w:vAlign w:val="center"/>
          </w:tcPr>
          <w:p w14:paraId="74E9F130">
            <w:pPr>
              <w:spacing w:line="240" w:lineRule="auto"/>
              <w:ind w:firstLine="0" w:firstLineChars="0"/>
              <w:rPr>
                <w:rFonts w:ascii="Times New Roman" w:hAnsi="Times New Roman"/>
                <w:kern w:val="0"/>
                <w:sz w:val="21"/>
                <w:highlight w:val="none"/>
              </w:rPr>
            </w:pPr>
            <w:r>
              <w:rPr>
                <w:rFonts w:hint="eastAsia" w:ascii="Times New Roman" w:hAnsi="Times New Roman"/>
                <w:kern w:val="0"/>
                <w:sz w:val="21"/>
                <w:highlight w:val="none"/>
                <w:lang w:val="en-US" w:eastAsia="zh-CN"/>
              </w:rPr>
              <w:t>44.409673</w:t>
            </w:r>
          </w:p>
        </w:tc>
        <w:tc>
          <w:tcPr>
            <w:tcW w:w="750" w:type="dxa"/>
            <w:noWrap w:val="0"/>
            <w:vAlign w:val="center"/>
          </w:tcPr>
          <w:p w14:paraId="7AB13FBB">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总悬浮颗粒物</w:t>
            </w:r>
          </w:p>
        </w:tc>
        <w:tc>
          <w:tcPr>
            <w:tcW w:w="1015" w:type="dxa"/>
            <w:noWrap w:val="0"/>
            <w:vAlign w:val="center"/>
          </w:tcPr>
          <w:p w14:paraId="32CE55B5">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24小时平均</w:t>
            </w:r>
          </w:p>
        </w:tc>
        <w:tc>
          <w:tcPr>
            <w:tcW w:w="716" w:type="dxa"/>
            <w:noWrap w:val="0"/>
            <w:vAlign w:val="center"/>
          </w:tcPr>
          <w:p w14:paraId="4A5C95B7">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0.3</w:t>
            </w:r>
          </w:p>
        </w:tc>
        <w:tc>
          <w:tcPr>
            <w:tcW w:w="1298" w:type="dxa"/>
            <w:noWrap w:val="0"/>
            <w:vAlign w:val="center"/>
          </w:tcPr>
          <w:p w14:paraId="3131DC21">
            <w:pPr>
              <w:spacing w:line="240" w:lineRule="auto"/>
              <w:ind w:firstLine="0" w:firstLineChars="0"/>
              <w:jc w:val="center"/>
              <w:rPr>
                <w:rFonts w:hint="default" w:ascii="Times New Roman" w:hAnsi="Times New Roman" w:eastAsia="宋体"/>
                <w:kern w:val="0"/>
                <w:sz w:val="21"/>
                <w:highlight w:val="none"/>
                <w:lang w:val="en-US" w:eastAsia="zh-CN"/>
              </w:rPr>
            </w:pPr>
            <w:r>
              <w:rPr>
                <w:rFonts w:ascii="Times New Roman" w:hAnsi="Times New Roman"/>
                <w:kern w:val="0"/>
                <w:sz w:val="21"/>
                <w:highlight w:val="none"/>
              </w:rPr>
              <w:t>0.</w:t>
            </w:r>
            <w:r>
              <w:rPr>
                <w:rFonts w:hint="eastAsia" w:ascii="Times New Roman" w:hAnsi="Times New Roman"/>
                <w:kern w:val="0"/>
                <w:sz w:val="21"/>
                <w:highlight w:val="none"/>
                <w:lang w:val="en-US" w:eastAsia="zh-CN"/>
              </w:rPr>
              <w:t>187</w:t>
            </w:r>
            <w:r>
              <w:rPr>
                <w:rFonts w:ascii="Times New Roman" w:hAnsi="Times New Roman"/>
                <w:kern w:val="0"/>
                <w:sz w:val="21"/>
                <w:highlight w:val="none"/>
              </w:rPr>
              <w:t>-0.</w:t>
            </w:r>
            <w:r>
              <w:rPr>
                <w:rFonts w:hint="eastAsia" w:ascii="Times New Roman" w:hAnsi="Times New Roman"/>
                <w:kern w:val="0"/>
                <w:sz w:val="21"/>
                <w:highlight w:val="none"/>
                <w:lang w:val="en-US" w:eastAsia="zh-CN"/>
              </w:rPr>
              <w:t>224</w:t>
            </w:r>
          </w:p>
        </w:tc>
        <w:tc>
          <w:tcPr>
            <w:tcW w:w="773" w:type="dxa"/>
            <w:noWrap w:val="0"/>
            <w:vAlign w:val="center"/>
          </w:tcPr>
          <w:p w14:paraId="156D8688">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74.7</w:t>
            </w:r>
          </w:p>
        </w:tc>
        <w:tc>
          <w:tcPr>
            <w:tcW w:w="727" w:type="dxa"/>
            <w:noWrap w:val="0"/>
            <w:vAlign w:val="center"/>
          </w:tcPr>
          <w:p w14:paraId="542E78E7">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0</w:t>
            </w:r>
          </w:p>
        </w:tc>
        <w:tc>
          <w:tcPr>
            <w:tcW w:w="727" w:type="dxa"/>
            <w:noWrap w:val="0"/>
            <w:vAlign w:val="center"/>
          </w:tcPr>
          <w:p w14:paraId="6F0FBC18">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达标</w:t>
            </w:r>
          </w:p>
        </w:tc>
      </w:tr>
      <w:tr w14:paraId="1FF368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647" w:type="dxa"/>
            <w:vMerge w:val="continue"/>
            <w:noWrap w:val="0"/>
            <w:vAlign w:val="center"/>
          </w:tcPr>
          <w:p w14:paraId="22389998">
            <w:pPr>
              <w:spacing w:line="240" w:lineRule="auto"/>
              <w:ind w:firstLine="0" w:firstLineChars="0"/>
              <w:jc w:val="center"/>
              <w:rPr>
                <w:rFonts w:ascii="Times New Roman" w:hAnsi="Times New Roman"/>
                <w:kern w:val="0"/>
                <w:sz w:val="21"/>
                <w:highlight w:val="none"/>
              </w:rPr>
            </w:pPr>
          </w:p>
        </w:tc>
        <w:tc>
          <w:tcPr>
            <w:tcW w:w="888" w:type="dxa"/>
            <w:vMerge w:val="continue"/>
            <w:noWrap w:val="0"/>
            <w:vAlign w:val="center"/>
          </w:tcPr>
          <w:p w14:paraId="392E639C">
            <w:pPr>
              <w:spacing w:line="240" w:lineRule="auto"/>
              <w:ind w:firstLine="0" w:firstLineChars="0"/>
              <w:jc w:val="center"/>
              <w:rPr>
                <w:rFonts w:ascii="Times New Roman" w:hAnsi="Times New Roman"/>
                <w:kern w:val="0"/>
                <w:sz w:val="21"/>
                <w:highlight w:val="none"/>
              </w:rPr>
            </w:pPr>
          </w:p>
        </w:tc>
        <w:tc>
          <w:tcPr>
            <w:tcW w:w="935" w:type="dxa"/>
            <w:vMerge w:val="continue"/>
            <w:noWrap w:val="0"/>
            <w:vAlign w:val="center"/>
          </w:tcPr>
          <w:p w14:paraId="0B1035C9">
            <w:pPr>
              <w:spacing w:line="240" w:lineRule="auto"/>
              <w:ind w:firstLine="0" w:firstLineChars="0"/>
              <w:jc w:val="center"/>
              <w:rPr>
                <w:rFonts w:ascii="Times New Roman" w:hAnsi="Times New Roman"/>
                <w:kern w:val="0"/>
                <w:sz w:val="21"/>
                <w:highlight w:val="none"/>
              </w:rPr>
            </w:pPr>
          </w:p>
        </w:tc>
        <w:tc>
          <w:tcPr>
            <w:tcW w:w="750" w:type="dxa"/>
            <w:noWrap w:val="0"/>
            <w:vAlign w:val="center"/>
          </w:tcPr>
          <w:p w14:paraId="3DB6D955">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氨</w:t>
            </w:r>
          </w:p>
        </w:tc>
        <w:tc>
          <w:tcPr>
            <w:tcW w:w="1015" w:type="dxa"/>
            <w:noWrap w:val="0"/>
            <w:vAlign w:val="center"/>
          </w:tcPr>
          <w:p w14:paraId="7D9CBAEA">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1小时平均</w:t>
            </w:r>
          </w:p>
        </w:tc>
        <w:tc>
          <w:tcPr>
            <w:tcW w:w="716" w:type="dxa"/>
            <w:noWrap w:val="0"/>
            <w:vAlign w:val="center"/>
          </w:tcPr>
          <w:p w14:paraId="1D880926">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0.2</w:t>
            </w:r>
          </w:p>
        </w:tc>
        <w:tc>
          <w:tcPr>
            <w:tcW w:w="1298" w:type="dxa"/>
            <w:noWrap w:val="0"/>
            <w:vAlign w:val="center"/>
          </w:tcPr>
          <w:p w14:paraId="2350FC6D">
            <w:pPr>
              <w:spacing w:line="240" w:lineRule="auto"/>
              <w:ind w:firstLine="0" w:firstLineChars="0"/>
              <w:jc w:val="center"/>
              <w:rPr>
                <w:rFonts w:hint="default" w:ascii="Times New Roman" w:hAnsi="Times New Roman"/>
                <w:kern w:val="0"/>
                <w:sz w:val="21"/>
                <w:highlight w:val="none"/>
                <w:lang w:val="en-US"/>
              </w:rPr>
            </w:pPr>
            <w:r>
              <w:rPr>
                <w:rFonts w:ascii="Times New Roman" w:hAnsi="Times New Roman"/>
                <w:kern w:val="0"/>
                <w:sz w:val="21"/>
                <w:highlight w:val="none"/>
              </w:rPr>
              <w:t>0.</w:t>
            </w:r>
            <w:r>
              <w:rPr>
                <w:rFonts w:hint="eastAsia" w:ascii="Times New Roman" w:hAnsi="Times New Roman"/>
                <w:kern w:val="0"/>
                <w:sz w:val="21"/>
                <w:highlight w:val="none"/>
                <w:lang w:val="en-US" w:eastAsia="zh-CN"/>
              </w:rPr>
              <w:t>02</w:t>
            </w:r>
            <w:r>
              <w:rPr>
                <w:rFonts w:ascii="Times New Roman" w:hAnsi="Times New Roman"/>
                <w:kern w:val="0"/>
                <w:sz w:val="21"/>
                <w:highlight w:val="none"/>
              </w:rPr>
              <w:t>-0.</w:t>
            </w:r>
            <w:r>
              <w:rPr>
                <w:rFonts w:hint="eastAsia" w:ascii="Times New Roman" w:hAnsi="Times New Roman"/>
                <w:kern w:val="0"/>
                <w:sz w:val="21"/>
                <w:highlight w:val="none"/>
                <w:lang w:val="en-US" w:eastAsia="zh-CN"/>
              </w:rPr>
              <w:t>05</w:t>
            </w:r>
          </w:p>
        </w:tc>
        <w:tc>
          <w:tcPr>
            <w:tcW w:w="773" w:type="dxa"/>
            <w:noWrap w:val="0"/>
            <w:vAlign w:val="center"/>
          </w:tcPr>
          <w:p w14:paraId="234EAB71">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25</w:t>
            </w:r>
          </w:p>
        </w:tc>
        <w:tc>
          <w:tcPr>
            <w:tcW w:w="727" w:type="dxa"/>
            <w:noWrap w:val="0"/>
            <w:vAlign w:val="center"/>
          </w:tcPr>
          <w:p w14:paraId="3C66E58A">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0</w:t>
            </w:r>
          </w:p>
        </w:tc>
        <w:tc>
          <w:tcPr>
            <w:tcW w:w="727" w:type="dxa"/>
            <w:noWrap w:val="0"/>
            <w:vAlign w:val="center"/>
          </w:tcPr>
          <w:p w14:paraId="1D5CF9CB">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达标</w:t>
            </w:r>
          </w:p>
        </w:tc>
      </w:tr>
      <w:tr w14:paraId="505E9D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647" w:type="dxa"/>
            <w:vMerge w:val="continue"/>
            <w:noWrap w:val="0"/>
            <w:vAlign w:val="center"/>
          </w:tcPr>
          <w:p w14:paraId="0E6B2A09">
            <w:pPr>
              <w:spacing w:line="240" w:lineRule="auto"/>
              <w:ind w:firstLine="0" w:firstLineChars="0"/>
              <w:jc w:val="center"/>
              <w:rPr>
                <w:rFonts w:ascii="Times New Roman" w:hAnsi="Times New Roman"/>
                <w:kern w:val="0"/>
                <w:sz w:val="21"/>
                <w:highlight w:val="none"/>
              </w:rPr>
            </w:pPr>
          </w:p>
        </w:tc>
        <w:tc>
          <w:tcPr>
            <w:tcW w:w="888" w:type="dxa"/>
            <w:vMerge w:val="continue"/>
            <w:noWrap w:val="0"/>
            <w:vAlign w:val="center"/>
          </w:tcPr>
          <w:p w14:paraId="08599AE5">
            <w:pPr>
              <w:spacing w:line="240" w:lineRule="auto"/>
              <w:ind w:firstLine="0" w:firstLineChars="0"/>
              <w:jc w:val="center"/>
              <w:rPr>
                <w:rFonts w:ascii="Times New Roman" w:hAnsi="Times New Roman"/>
                <w:kern w:val="0"/>
                <w:sz w:val="21"/>
                <w:highlight w:val="none"/>
              </w:rPr>
            </w:pPr>
          </w:p>
        </w:tc>
        <w:tc>
          <w:tcPr>
            <w:tcW w:w="935" w:type="dxa"/>
            <w:vMerge w:val="continue"/>
            <w:noWrap w:val="0"/>
            <w:vAlign w:val="center"/>
          </w:tcPr>
          <w:p w14:paraId="7A748339">
            <w:pPr>
              <w:spacing w:line="240" w:lineRule="auto"/>
              <w:ind w:firstLine="0" w:firstLineChars="0"/>
              <w:jc w:val="center"/>
              <w:rPr>
                <w:rFonts w:ascii="Times New Roman" w:hAnsi="Times New Roman"/>
                <w:kern w:val="0"/>
                <w:sz w:val="21"/>
                <w:highlight w:val="none"/>
              </w:rPr>
            </w:pPr>
          </w:p>
        </w:tc>
        <w:tc>
          <w:tcPr>
            <w:tcW w:w="750" w:type="dxa"/>
            <w:noWrap w:val="0"/>
            <w:vAlign w:val="center"/>
          </w:tcPr>
          <w:p w14:paraId="1C821EDD">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氮氧化物</w:t>
            </w:r>
          </w:p>
        </w:tc>
        <w:tc>
          <w:tcPr>
            <w:tcW w:w="1015" w:type="dxa"/>
            <w:noWrap w:val="0"/>
            <w:vAlign w:val="center"/>
          </w:tcPr>
          <w:p w14:paraId="6F5DF6A7">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1小时平均</w:t>
            </w:r>
          </w:p>
        </w:tc>
        <w:tc>
          <w:tcPr>
            <w:tcW w:w="716" w:type="dxa"/>
            <w:noWrap w:val="0"/>
            <w:vAlign w:val="center"/>
          </w:tcPr>
          <w:p w14:paraId="75FAF4D1">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0.25</w:t>
            </w:r>
          </w:p>
        </w:tc>
        <w:tc>
          <w:tcPr>
            <w:tcW w:w="1298" w:type="dxa"/>
            <w:noWrap w:val="0"/>
            <w:vAlign w:val="center"/>
          </w:tcPr>
          <w:p w14:paraId="5C155A22">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sz w:val="21"/>
                <w:szCs w:val="21"/>
                <w:highlight w:val="none"/>
              </w:rPr>
              <w:t>0.0</w:t>
            </w:r>
            <w:r>
              <w:rPr>
                <w:rFonts w:hint="eastAsia" w:ascii="Times New Roman" w:hAnsi="Times New Roman"/>
                <w:sz w:val="21"/>
                <w:szCs w:val="21"/>
                <w:highlight w:val="none"/>
                <w:lang w:val="en-US" w:eastAsia="zh-CN"/>
              </w:rPr>
              <w:t>18</w:t>
            </w:r>
            <w:r>
              <w:rPr>
                <w:rFonts w:hint="eastAsia" w:ascii="Times New Roman" w:hAnsi="Times New Roman"/>
                <w:sz w:val="21"/>
                <w:szCs w:val="21"/>
                <w:highlight w:val="none"/>
              </w:rPr>
              <w:t>-0.0</w:t>
            </w:r>
            <w:r>
              <w:rPr>
                <w:rFonts w:hint="eastAsia" w:ascii="Times New Roman" w:hAnsi="Times New Roman"/>
                <w:sz w:val="21"/>
                <w:szCs w:val="21"/>
                <w:highlight w:val="none"/>
                <w:lang w:val="en-US" w:eastAsia="zh-CN"/>
              </w:rPr>
              <w:t>36</w:t>
            </w:r>
          </w:p>
        </w:tc>
        <w:tc>
          <w:tcPr>
            <w:tcW w:w="773" w:type="dxa"/>
            <w:noWrap w:val="0"/>
            <w:vAlign w:val="center"/>
          </w:tcPr>
          <w:p w14:paraId="37DDD61F">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14.4</w:t>
            </w:r>
          </w:p>
        </w:tc>
        <w:tc>
          <w:tcPr>
            <w:tcW w:w="727" w:type="dxa"/>
            <w:noWrap w:val="0"/>
            <w:vAlign w:val="center"/>
          </w:tcPr>
          <w:p w14:paraId="24132679">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0</w:t>
            </w:r>
          </w:p>
        </w:tc>
        <w:tc>
          <w:tcPr>
            <w:tcW w:w="727" w:type="dxa"/>
            <w:noWrap w:val="0"/>
            <w:vAlign w:val="center"/>
          </w:tcPr>
          <w:p w14:paraId="3374A74E">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达标</w:t>
            </w:r>
          </w:p>
        </w:tc>
      </w:tr>
      <w:tr w14:paraId="5157AA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647" w:type="dxa"/>
            <w:vMerge w:val="continue"/>
            <w:noWrap w:val="0"/>
            <w:vAlign w:val="center"/>
          </w:tcPr>
          <w:p w14:paraId="1F055187">
            <w:pPr>
              <w:spacing w:line="240" w:lineRule="auto"/>
              <w:ind w:firstLine="0" w:firstLineChars="0"/>
              <w:jc w:val="center"/>
              <w:rPr>
                <w:rFonts w:ascii="Times New Roman" w:hAnsi="Times New Roman"/>
                <w:kern w:val="0"/>
                <w:sz w:val="21"/>
                <w:highlight w:val="none"/>
              </w:rPr>
            </w:pPr>
          </w:p>
        </w:tc>
        <w:tc>
          <w:tcPr>
            <w:tcW w:w="888" w:type="dxa"/>
            <w:vMerge w:val="continue"/>
            <w:noWrap w:val="0"/>
            <w:vAlign w:val="center"/>
          </w:tcPr>
          <w:p w14:paraId="19F76594">
            <w:pPr>
              <w:spacing w:line="240" w:lineRule="auto"/>
              <w:ind w:firstLine="0" w:firstLineChars="0"/>
              <w:jc w:val="center"/>
              <w:rPr>
                <w:rFonts w:ascii="Times New Roman" w:hAnsi="Times New Roman"/>
                <w:kern w:val="0"/>
                <w:sz w:val="21"/>
                <w:highlight w:val="none"/>
              </w:rPr>
            </w:pPr>
          </w:p>
        </w:tc>
        <w:tc>
          <w:tcPr>
            <w:tcW w:w="935" w:type="dxa"/>
            <w:vMerge w:val="continue"/>
            <w:noWrap w:val="0"/>
            <w:vAlign w:val="center"/>
          </w:tcPr>
          <w:p w14:paraId="616068B1">
            <w:pPr>
              <w:spacing w:line="240" w:lineRule="auto"/>
              <w:ind w:firstLine="0" w:firstLineChars="0"/>
              <w:jc w:val="center"/>
              <w:rPr>
                <w:rFonts w:ascii="Times New Roman" w:hAnsi="Times New Roman"/>
                <w:kern w:val="0"/>
                <w:sz w:val="21"/>
                <w:highlight w:val="none"/>
              </w:rPr>
            </w:pPr>
          </w:p>
        </w:tc>
        <w:tc>
          <w:tcPr>
            <w:tcW w:w="750" w:type="dxa"/>
            <w:noWrap w:val="0"/>
            <w:vAlign w:val="center"/>
          </w:tcPr>
          <w:p w14:paraId="7F4CBC90">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汞</w:t>
            </w:r>
          </w:p>
        </w:tc>
        <w:tc>
          <w:tcPr>
            <w:tcW w:w="1015" w:type="dxa"/>
            <w:noWrap w:val="0"/>
            <w:vAlign w:val="center"/>
          </w:tcPr>
          <w:p w14:paraId="47FE7B29">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24小时平均</w:t>
            </w:r>
          </w:p>
        </w:tc>
        <w:tc>
          <w:tcPr>
            <w:tcW w:w="716" w:type="dxa"/>
            <w:noWrap w:val="0"/>
            <w:vAlign w:val="center"/>
          </w:tcPr>
          <w:p w14:paraId="5EC4D52A">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0.15</w:t>
            </w:r>
          </w:p>
        </w:tc>
        <w:tc>
          <w:tcPr>
            <w:tcW w:w="1298" w:type="dxa"/>
            <w:noWrap w:val="0"/>
            <w:vAlign w:val="center"/>
          </w:tcPr>
          <w:p w14:paraId="2E19F651">
            <w:pPr>
              <w:spacing w:line="240" w:lineRule="auto"/>
              <w:ind w:firstLine="0" w:firstLineChars="0"/>
              <w:jc w:val="center"/>
              <w:rPr>
                <w:rFonts w:ascii="Times New Roman" w:hAnsi="Times New Roman"/>
                <w:b/>
                <w:bCs/>
                <w:kern w:val="0"/>
                <w:sz w:val="21"/>
                <w:highlight w:val="none"/>
              </w:rPr>
            </w:pPr>
            <w:r>
              <w:rPr>
                <w:rFonts w:hint="eastAsia" w:ascii="Times New Roman" w:hAnsi="Times New Roman"/>
                <w:sz w:val="21"/>
                <w:szCs w:val="21"/>
                <w:highlight w:val="none"/>
                <w:lang w:val="en-US" w:eastAsia="zh-CN"/>
              </w:rPr>
              <w:t>0.01</w:t>
            </w:r>
            <w:r>
              <w:rPr>
                <w:rFonts w:ascii="Times New Roman" w:hAnsi="Times New Roman"/>
                <w:sz w:val="21"/>
                <w:szCs w:val="21"/>
                <w:highlight w:val="none"/>
              </w:rPr>
              <w:t>L</w:t>
            </w:r>
          </w:p>
        </w:tc>
        <w:tc>
          <w:tcPr>
            <w:tcW w:w="773" w:type="dxa"/>
            <w:noWrap w:val="0"/>
            <w:vAlign w:val="center"/>
          </w:tcPr>
          <w:p w14:paraId="2FC0A414">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w:t>
            </w:r>
          </w:p>
        </w:tc>
        <w:tc>
          <w:tcPr>
            <w:tcW w:w="727" w:type="dxa"/>
            <w:noWrap w:val="0"/>
            <w:vAlign w:val="center"/>
          </w:tcPr>
          <w:p w14:paraId="2784C713">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0</w:t>
            </w:r>
          </w:p>
        </w:tc>
        <w:tc>
          <w:tcPr>
            <w:tcW w:w="727" w:type="dxa"/>
            <w:noWrap w:val="0"/>
            <w:vAlign w:val="center"/>
          </w:tcPr>
          <w:p w14:paraId="3376A539">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达标</w:t>
            </w:r>
          </w:p>
        </w:tc>
      </w:tr>
      <w:tr w14:paraId="6201EC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647" w:type="dxa"/>
            <w:vMerge w:val="restart"/>
            <w:noWrap w:val="0"/>
            <w:vAlign w:val="center"/>
          </w:tcPr>
          <w:p w14:paraId="45D0C357">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 xml:space="preserve">2# </w:t>
            </w:r>
          </w:p>
        </w:tc>
        <w:tc>
          <w:tcPr>
            <w:tcW w:w="888" w:type="dxa"/>
            <w:vMerge w:val="restart"/>
            <w:noWrap w:val="0"/>
            <w:vAlign w:val="center"/>
          </w:tcPr>
          <w:p w14:paraId="6C98979D">
            <w:pPr>
              <w:spacing w:line="240" w:lineRule="auto"/>
              <w:ind w:firstLine="0" w:firstLineChars="0"/>
              <w:jc w:val="center"/>
              <w:rPr>
                <w:rFonts w:ascii="Times New Roman" w:hAnsi="Times New Roman"/>
                <w:kern w:val="0"/>
                <w:sz w:val="21"/>
                <w:highlight w:val="none"/>
              </w:rPr>
            </w:pPr>
            <w:r>
              <w:rPr>
                <w:rFonts w:hint="eastAsia" w:ascii="Times New Roman" w:hAnsi="Times New Roman"/>
                <w:kern w:val="0"/>
                <w:sz w:val="21"/>
                <w:highlight w:val="none"/>
                <w:lang w:val="en-US" w:eastAsia="zh-CN"/>
              </w:rPr>
              <w:t>131.148638</w:t>
            </w:r>
          </w:p>
        </w:tc>
        <w:tc>
          <w:tcPr>
            <w:tcW w:w="935" w:type="dxa"/>
            <w:vMerge w:val="restart"/>
            <w:noWrap w:val="0"/>
            <w:vAlign w:val="center"/>
          </w:tcPr>
          <w:p w14:paraId="0C3C9B47">
            <w:pPr>
              <w:spacing w:line="240" w:lineRule="auto"/>
              <w:ind w:firstLine="0" w:firstLineChars="0"/>
              <w:jc w:val="center"/>
              <w:rPr>
                <w:rFonts w:ascii="Times New Roman" w:hAnsi="Times New Roman"/>
                <w:kern w:val="0"/>
                <w:sz w:val="21"/>
                <w:highlight w:val="none"/>
              </w:rPr>
            </w:pPr>
            <w:r>
              <w:rPr>
                <w:rFonts w:hint="eastAsia" w:ascii="Times New Roman" w:hAnsi="Times New Roman"/>
                <w:kern w:val="0"/>
                <w:sz w:val="21"/>
                <w:highlight w:val="none"/>
                <w:lang w:val="en-US" w:eastAsia="zh-CN"/>
              </w:rPr>
              <w:t>44.409106</w:t>
            </w:r>
          </w:p>
        </w:tc>
        <w:tc>
          <w:tcPr>
            <w:tcW w:w="750" w:type="dxa"/>
            <w:noWrap w:val="0"/>
            <w:vAlign w:val="center"/>
          </w:tcPr>
          <w:p w14:paraId="192433F7">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总悬浮颗粒物</w:t>
            </w:r>
          </w:p>
        </w:tc>
        <w:tc>
          <w:tcPr>
            <w:tcW w:w="1015" w:type="dxa"/>
            <w:noWrap w:val="0"/>
            <w:vAlign w:val="center"/>
          </w:tcPr>
          <w:p w14:paraId="45EE6452">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24小时平均</w:t>
            </w:r>
          </w:p>
        </w:tc>
        <w:tc>
          <w:tcPr>
            <w:tcW w:w="716" w:type="dxa"/>
            <w:noWrap w:val="0"/>
            <w:vAlign w:val="center"/>
          </w:tcPr>
          <w:p w14:paraId="5D534156">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0.3</w:t>
            </w:r>
          </w:p>
        </w:tc>
        <w:tc>
          <w:tcPr>
            <w:tcW w:w="1298" w:type="dxa"/>
            <w:noWrap w:val="0"/>
            <w:vAlign w:val="center"/>
          </w:tcPr>
          <w:p w14:paraId="609B7BF6">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0.207</w:t>
            </w:r>
            <w:r>
              <w:rPr>
                <w:rFonts w:ascii="Times New Roman" w:hAnsi="Times New Roman"/>
                <w:kern w:val="0"/>
                <w:sz w:val="21"/>
                <w:highlight w:val="none"/>
              </w:rPr>
              <w:t>-</w:t>
            </w:r>
            <w:r>
              <w:rPr>
                <w:rFonts w:hint="eastAsia" w:ascii="Times New Roman" w:hAnsi="Times New Roman"/>
                <w:kern w:val="0"/>
                <w:sz w:val="21"/>
                <w:highlight w:val="none"/>
                <w:lang w:val="en-US" w:eastAsia="zh-CN"/>
              </w:rPr>
              <w:t>0.234</w:t>
            </w:r>
          </w:p>
        </w:tc>
        <w:tc>
          <w:tcPr>
            <w:tcW w:w="773" w:type="dxa"/>
            <w:noWrap w:val="0"/>
            <w:vAlign w:val="center"/>
          </w:tcPr>
          <w:p w14:paraId="0CD8162F">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78</w:t>
            </w:r>
          </w:p>
        </w:tc>
        <w:tc>
          <w:tcPr>
            <w:tcW w:w="727" w:type="dxa"/>
            <w:noWrap w:val="0"/>
            <w:vAlign w:val="center"/>
          </w:tcPr>
          <w:p w14:paraId="214775FA">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0</w:t>
            </w:r>
          </w:p>
        </w:tc>
        <w:tc>
          <w:tcPr>
            <w:tcW w:w="727" w:type="dxa"/>
            <w:noWrap w:val="0"/>
            <w:vAlign w:val="center"/>
          </w:tcPr>
          <w:p w14:paraId="1B046FB5">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达标</w:t>
            </w:r>
          </w:p>
        </w:tc>
      </w:tr>
      <w:tr w14:paraId="479D62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647" w:type="dxa"/>
            <w:vMerge w:val="continue"/>
            <w:noWrap w:val="0"/>
            <w:vAlign w:val="center"/>
          </w:tcPr>
          <w:p w14:paraId="6FE01A92">
            <w:pPr>
              <w:spacing w:line="240" w:lineRule="auto"/>
              <w:ind w:firstLine="0" w:firstLineChars="0"/>
              <w:jc w:val="center"/>
              <w:rPr>
                <w:rFonts w:ascii="Times New Roman" w:hAnsi="Times New Roman"/>
                <w:kern w:val="0"/>
                <w:sz w:val="21"/>
                <w:highlight w:val="none"/>
              </w:rPr>
            </w:pPr>
          </w:p>
        </w:tc>
        <w:tc>
          <w:tcPr>
            <w:tcW w:w="888" w:type="dxa"/>
            <w:vMerge w:val="continue"/>
            <w:noWrap w:val="0"/>
            <w:vAlign w:val="center"/>
          </w:tcPr>
          <w:p w14:paraId="256034A2">
            <w:pPr>
              <w:spacing w:line="240" w:lineRule="auto"/>
              <w:ind w:firstLine="0" w:firstLineChars="0"/>
              <w:jc w:val="center"/>
              <w:rPr>
                <w:rFonts w:ascii="Times New Roman" w:hAnsi="Times New Roman"/>
                <w:kern w:val="0"/>
                <w:sz w:val="21"/>
                <w:highlight w:val="none"/>
              </w:rPr>
            </w:pPr>
          </w:p>
        </w:tc>
        <w:tc>
          <w:tcPr>
            <w:tcW w:w="935" w:type="dxa"/>
            <w:vMerge w:val="continue"/>
            <w:noWrap w:val="0"/>
            <w:vAlign w:val="center"/>
          </w:tcPr>
          <w:p w14:paraId="133388F0">
            <w:pPr>
              <w:spacing w:line="240" w:lineRule="auto"/>
              <w:ind w:firstLine="0" w:firstLineChars="0"/>
              <w:jc w:val="center"/>
              <w:rPr>
                <w:rFonts w:ascii="Times New Roman" w:hAnsi="Times New Roman"/>
                <w:kern w:val="0"/>
                <w:sz w:val="21"/>
                <w:highlight w:val="none"/>
              </w:rPr>
            </w:pPr>
          </w:p>
        </w:tc>
        <w:tc>
          <w:tcPr>
            <w:tcW w:w="750" w:type="dxa"/>
            <w:noWrap w:val="0"/>
            <w:vAlign w:val="center"/>
          </w:tcPr>
          <w:p w14:paraId="2A1015A3">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氨</w:t>
            </w:r>
          </w:p>
        </w:tc>
        <w:tc>
          <w:tcPr>
            <w:tcW w:w="1015" w:type="dxa"/>
            <w:noWrap w:val="0"/>
            <w:vAlign w:val="center"/>
          </w:tcPr>
          <w:p w14:paraId="30B270BC">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1小时平均</w:t>
            </w:r>
          </w:p>
        </w:tc>
        <w:tc>
          <w:tcPr>
            <w:tcW w:w="716" w:type="dxa"/>
            <w:noWrap w:val="0"/>
            <w:vAlign w:val="center"/>
          </w:tcPr>
          <w:p w14:paraId="447C2629">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0.2</w:t>
            </w:r>
          </w:p>
        </w:tc>
        <w:tc>
          <w:tcPr>
            <w:tcW w:w="1298" w:type="dxa"/>
            <w:noWrap w:val="0"/>
            <w:vAlign w:val="center"/>
          </w:tcPr>
          <w:p w14:paraId="63F6EB64">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0.</w:t>
            </w:r>
            <w:r>
              <w:rPr>
                <w:rFonts w:hint="eastAsia" w:ascii="Times New Roman" w:hAnsi="Times New Roman"/>
                <w:kern w:val="0"/>
                <w:sz w:val="21"/>
                <w:highlight w:val="none"/>
                <w:lang w:val="en-US" w:eastAsia="zh-CN"/>
              </w:rPr>
              <w:t>02</w:t>
            </w:r>
            <w:r>
              <w:rPr>
                <w:rFonts w:ascii="Times New Roman" w:hAnsi="Times New Roman"/>
                <w:kern w:val="0"/>
                <w:sz w:val="21"/>
                <w:highlight w:val="none"/>
              </w:rPr>
              <w:t>-0.</w:t>
            </w:r>
            <w:r>
              <w:rPr>
                <w:rFonts w:hint="eastAsia" w:ascii="Times New Roman" w:hAnsi="Times New Roman"/>
                <w:kern w:val="0"/>
                <w:sz w:val="21"/>
                <w:highlight w:val="none"/>
                <w:lang w:val="en-US" w:eastAsia="zh-CN"/>
              </w:rPr>
              <w:t>05</w:t>
            </w:r>
          </w:p>
        </w:tc>
        <w:tc>
          <w:tcPr>
            <w:tcW w:w="773" w:type="dxa"/>
            <w:noWrap w:val="0"/>
            <w:vAlign w:val="center"/>
          </w:tcPr>
          <w:p w14:paraId="2EE9C688">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25</w:t>
            </w:r>
          </w:p>
        </w:tc>
        <w:tc>
          <w:tcPr>
            <w:tcW w:w="727" w:type="dxa"/>
            <w:noWrap w:val="0"/>
            <w:vAlign w:val="center"/>
          </w:tcPr>
          <w:p w14:paraId="1D92B9C9">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0</w:t>
            </w:r>
          </w:p>
        </w:tc>
        <w:tc>
          <w:tcPr>
            <w:tcW w:w="727" w:type="dxa"/>
            <w:noWrap w:val="0"/>
            <w:vAlign w:val="center"/>
          </w:tcPr>
          <w:p w14:paraId="232A101D">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达标</w:t>
            </w:r>
          </w:p>
        </w:tc>
      </w:tr>
      <w:tr w14:paraId="37EA6D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647" w:type="dxa"/>
            <w:vMerge w:val="continue"/>
            <w:noWrap w:val="0"/>
            <w:vAlign w:val="center"/>
          </w:tcPr>
          <w:p w14:paraId="251D0A51">
            <w:pPr>
              <w:spacing w:line="240" w:lineRule="auto"/>
              <w:ind w:firstLine="0" w:firstLineChars="0"/>
              <w:jc w:val="center"/>
              <w:rPr>
                <w:rFonts w:ascii="Times New Roman" w:hAnsi="Times New Roman"/>
                <w:kern w:val="0"/>
                <w:sz w:val="21"/>
                <w:highlight w:val="none"/>
              </w:rPr>
            </w:pPr>
          </w:p>
        </w:tc>
        <w:tc>
          <w:tcPr>
            <w:tcW w:w="888" w:type="dxa"/>
            <w:vMerge w:val="continue"/>
            <w:noWrap w:val="0"/>
            <w:vAlign w:val="center"/>
          </w:tcPr>
          <w:p w14:paraId="35902DC7">
            <w:pPr>
              <w:spacing w:line="240" w:lineRule="auto"/>
              <w:ind w:firstLine="0" w:firstLineChars="0"/>
              <w:jc w:val="center"/>
              <w:rPr>
                <w:rFonts w:ascii="Times New Roman" w:hAnsi="Times New Roman"/>
                <w:kern w:val="0"/>
                <w:sz w:val="21"/>
                <w:highlight w:val="none"/>
              </w:rPr>
            </w:pPr>
          </w:p>
        </w:tc>
        <w:tc>
          <w:tcPr>
            <w:tcW w:w="935" w:type="dxa"/>
            <w:vMerge w:val="continue"/>
            <w:noWrap w:val="0"/>
            <w:vAlign w:val="center"/>
          </w:tcPr>
          <w:p w14:paraId="45EC2A72">
            <w:pPr>
              <w:spacing w:line="240" w:lineRule="auto"/>
              <w:ind w:firstLine="0" w:firstLineChars="0"/>
              <w:jc w:val="center"/>
              <w:rPr>
                <w:rFonts w:ascii="Times New Roman" w:hAnsi="Times New Roman"/>
                <w:kern w:val="0"/>
                <w:sz w:val="21"/>
                <w:highlight w:val="none"/>
              </w:rPr>
            </w:pPr>
          </w:p>
        </w:tc>
        <w:tc>
          <w:tcPr>
            <w:tcW w:w="750" w:type="dxa"/>
            <w:noWrap w:val="0"/>
            <w:vAlign w:val="center"/>
          </w:tcPr>
          <w:p w14:paraId="79BF9857">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氮氧化物</w:t>
            </w:r>
          </w:p>
        </w:tc>
        <w:tc>
          <w:tcPr>
            <w:tcW w:w="1015" w:type="dxa"/>
            <w:noWrap w:val="0"/>
            <w:vAlign w:val="center"/>
          </w:tcPr>
          <w:p w14:paraId="45AD62A4">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1小时平均</w:t>
            </w:r>
          </w:p>
        </w:tc>
        <w:tc>
          <w:tcPr>
            <w:tcW w:w="716" w:type="dxa"/>
            <w:noWrap w:val="0"/>
            <w:vAlign w:val="center"/>
          </w:tcPr>
          <w:p w14:paraId="3975904F">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0.25</w:t>
            </w:r>
          </w:p>
        </w:tc>
        <w:tc>
          <w:tcPr>
            <w:tcW w:w="1298" w:type="dxa"/>
            <w:noWrap w:val="0"/>
            <w:vAlign w:val="center"/>
          </w:tcPr>
          <w:p w14:paraId="2DD920D7">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sz w:val="21"/>
                <w:szCs w:val="21"/>
                <w:highlight w:val="none"/>
              </w:rPr>
              <w:t>0.0</w:t>
            </w:r>
            <w:r>
              <w:rPr>
                <w:rFonts w:hint="eastAsia" w:ascii="Times New Roman" w:hAnsi="Times New Roman"/>
                <w:sz w:val="21"/>
                <w:szCs w:val="21"/>
                <w:highlight w:val="none"/>
                <w:lang w:val="en-US" w:eastAsia="zh-CN"/>
              </w:rPr>
              <w:t>19</w:t>
            </w:r>
            <w:r>
              <w:rPr>
                <w:rFonts w:hint="eastAsia" w:ascii="Times New Roman" w:hAnsi="Times New Roman"/>
                <w:sz w:val="21"/>
                <w:szCs w:val="21"/>
                <w:highlight w:val="none"/>
              </w:rPr>
              <w:t>-0.0</w:t>
            </w:r>
            <w:r>
              <w:rPr>
                <w:rFonts w:hint="eastAsia" w:ascii="Times New Roman" w:hAnsi="Times New Roman"/>
                <w:sz w:val="21"/>
                <w:szCs w:val="21"/>
                <w:highlight w:val="none"/>
                <w:lang w:val="en-US" w:eastAsia="zh-CN"/>
              </w:rPr>
              <w:t>35</w:t>
            </w:r>
          </w:p>
        </w:tc>
        <w:tc>
          <w:tcPr>
            <w:tcW w:w="773" w:type="dxa"/>
            <w:noWrap w:val="0"/>
            <w:vAlign w:val="center"/>
          </w:tcPr>
          <w:p w14:paraId="2A7D3D08">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14</w:t>
            </w:r>
          </w:p>
        </w:tc>
        <w:tc>
          <w:tcPr>
            <w:tcW w:w="727" w:type="dxa"/>
            <w:noWrap w:val="0"/>
            <w:vAlign w:val="center"/>
          </w:tcPr>
          <w:p w14:paraId="03106E84">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0</w:t>
            </w:r>
          </w:p>
        </w:tc>
        <w:tc>
          <w:tcPr>
            <w:tcW w:w="727" w:type="dxa"/>
            <w:noWrap w:val="0"/>
            <w:vAlign w:val="center"/>
          </w:tcPr>
          <w:p w14:paraId="70D01C11">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达标</w:t>
            </w:r>
          </w:p>
        </w:tc>
      </w:tr>
      <w:tr w14:paraId="6F88D6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647" w:type="dxa"/>
            <w:vMerge w:val="continue"/>
            <w:noWrap w:val="0"/>
            <w:vAlign w:val="center"/>
          </w:tcPr>
          <w:p w14:paraId="616051D8">
            <w:pPr>
              <w:spacing w:line="240" w:lineRule="auto"/>
              <w:ind w:firstLine="0" w:firstLineChars="0"/>
              <w:jc w:val="center"/>
              <w:rPr>
                <w:rFonts w:ascii="Times New Roman" w:hAnsi="Times New Roman"/>
                <w:kern w:val="0"/>
                <w:sz w:val="21"/>
                <w:highlight w:val="none"/>
              </w:rPr>
            </w:pPr>
          </w:p>
        </w:tc>
        <w:tc>
          <w:tcPr>
            <w:tcW w:w="888" w:type="dxa"/>
            <w:vMerge w:val="continue"/>
            <w:noWrap w:val="0"/>
            <w:vAlign w:val="center"/>
          </w:tcPr>
          <w:p w14:paraId="6960723D">
            <w:pPr>
              <w:spacing w:line="240" w:lineRule="auto"/>
              <w:ind w:firstLine="0" w:firstLineChars="0"/>
              <w:jc w:val="center"/>
              <w:rPr>
                <w:rFonts w:ascii="Times New Roman" w:hAnsi="Times New Roman"/>
                <w:kern w:val="0"/>
                <w:sz w:val="21"/>
                <w:highlight w:val="none"/>
              </w:rPr>
            </w:pPr>
          </w:p>
        </w:tc>
        <w:tc>
          <w:tcPr>
            <w:tcW w:w="935" w:type="dxa"/>
            <w:vMerge w:val="continue"/>
            <w:noWrap w:val="0"/>
            <w:vAlign w:val="center"/>
          </w:tcPr>
          <w:p w14:paraId="15993C5F">
            <w:pPr>
              <w:spacing w:line="240" w:lineRule="auto"/>
              <w:ind w:firstLine="0" w:firstLineChars="0"/>
              <w:jc w:val="center"/>
              <w:rPr>
                <w:rFonts w:ascii="Times New Roman" w:hAnsi="Times New Roman"/>
                <w:kern w:val="0"/>
                <w:sz w:val="21"/>
                <w:highlight w:val="none"/>
              </w:rPr>
            </w:pPr>
          </w:p>
        </w:tc>
        <w:tc>
          <w:tcPr>
            <w:tcW w:w="750" w:type="dxa"/>
            <w:noWrap w:val="0"/>
            <w:vAlign w:val="center"/>
          </w:tcPr>
          <w:p w14:paraId="42EE25B9">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汞</w:t>
            </w:r>
          </w:p>
        </w:tc>
        <w:tc>
          <w:tcPr>
            <w:tcW w:w="1015" w:type="dxa"/>
            <w:noWrap w:val="0"/>
            <w:vAlign w:val="center"/>
          </w:tcPr>
          <w:p w14:paraId="3FDCECE3">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24小时平均</w:t>
            </w:r>
          </w:p>
        </w:tc>
        <w:tc>
          <w:tcPr>
            <w:tcW w:w="716" w:type="dxa"/>
            <w:noWrap w:val="0"/>
            <w:vAlign w:val="center"/>
          </w:tcPr>
          <w:p w14:paraId="294B7BDE">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0.15</w:t>
            </w:r>
          </w:p>
        </w:tc>
        <w:tc>
          <w:tcPr>
            <w:tcW w:w="1298" w:type="dxa"/>
            <w:noWrap w:val="0"/>
            <w:vAlign w:val="center"/>
          </w:tcPr>
          <w:p w14:paraId="167E0F64">
            <w:pPr>
              <w:spacing w:line="240" w:lineRule="auto"/>
              <w:ind w:firstLine="0" w:firstLineChars="0"/>
              <w:jc w:val="center"/>
              <w:rPr>
                <w:rFonts w:ascii="Times New Roman" w:hAnsi="Times New Roman"/>
                <w:b/>
                <w:bCs/>
                <w:kern w:val="0"/>
                <w:sz w:val="21"/>
                <w:highlight w:val="none"/>
              </w:rPr>
            </w:pPr>
            <w:r>
              <w:rPr>
                <w:rFonts w:hint="eastAsia" w:ascii="Times New Roman" w:hAnsi="Times New Roman"/>
                <w:sz w:val="21"/>
                <w:szCs w:val="21"/>
                <w:highlight w:val="none"/>
                <w:lang w:val="en-US" w:eastAsia="zh-CN"/>
              </w:rPr>
              <w:t>0.01</w:t>
            </w:r>
            <w:r>
              <w:rPr>
                <w:rFonts w:ascii="Times New Roman" w:hAnsi="Times New Roman"/>
                <w:sz w:val="21"/>
                <w:szCs w:val="21"/>
                <w:highlight w:val="none"/>
              </w:rPr>
              <w:t>L</w:t>
            </w:r>
          </w:p>
        </w:tc>
        <w:tc>
          <w:tcPr>
            <w:tcW w:w="773" w:type="dxa"/>
            <w:noWrap w:val="0"/>
            <w:vAlign w:val="center"/>
          </w:tcPr>
          <w:p w14:paraId="6D8EFC48">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w:t>
            </w:r>
          </w:p>
        </w:tc>
        <w:tc>
          <w:tcPr>
            <w:tcW w:w="727" w:type="dxa"/>
            <w:noWrap w:val="0"/>
            <w:vAlign w:val="center"/>
          </w:tcPr>
          <w:p w14:paraId="3335B02B">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0</w:t>
            </w:r>
          </w:p>
        </w:tc>
        <w:tc>
          <w:tcPr>
            <w:tcW w:w="727" w:type="dxa"/>
            <w:noWrap w:val="0"/>
            <w:vAlign w:val="center"/>
          </w:tcPr>
          <w:p w14:paraId="40BE6D71">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达标</w:t>
            </w:r>
          </w:p>
        </w:tc>
      </w:tr>
    </w:tbl>
    <w:p w14:paraId="20A0849C">
      <w:pPr>
        <w:pStyle w:val="15"/>
        <w:ind w:left="0" w:leftChars="0" w:firstLine="0" w:firstLineChars="0"/>
        <w:rPr>
          <w:rFonts w:ascii="Times New Roman" w:hAnsi="Times New Roman"/>
          <w:highlight w:val="none"/>
        </w:rPr>
      </w:pPr>
      <w:r>
        <w:rPr>
          <w:rFonts w:ascii="Times New Roman" w:hAnsi="Times New Roman"/>
          <w:highlight w:val="none"/>
        </w:rPr>
        <w:t>注：</w:t>
      </w:r>
      <w:r>
        <w:rPr>
          <w:rFonts w:ascii="Times New Roman" w:hAnsi="Times New Roman"/>
          <w:sz w:val="21"/>
          <w:szCs w:val="21"/>
          <w:highlight w:val="none"/>
        </w:rPr>
        <w:t>“L”为未检出</w:t>
      </w:r>
    </w:p>
    <w:p w14:paraId="1A4F9680">
      <w:pPr>
        <w:rPr>
          <w:rFonts w:ascii="Times New Roman" w:hAnsi="Times New Roman"/>
          <w:highlight w:val="none"/>
        </w:rPr>
      </w:pPr>
      <w:r>
        <w:rPr>
          <w:rFonts w:ascii="Times New Roman" w:hAnsi="Times New Roman"/>
          <w:highlight w:val="none"/>
        </w:rPr>
        <w:t>由上表分析可知，项目所在区域的总悬浮颗粒物日均浓度满足《环境空气质量标准》（GB3095-2012）二级标准限值要求，汞日均浓度满足《环境空气质量标准》（GB3095-2012）附录A限值要求，氮氧化物小时值满足《环境空气质量标准》（GB3095-2012）二级标准限值要求，氨小时值满足《环境影响评价技术导则 大气环境》（HJ2.2-2018）附录D中标准限值要求。</w:t>
      </w:r>
    </w:p>
    <w:p w14:paraId="385C5816">
      <w:pPr>
        <w:pStyle w:val="5"/>
        <w:bidi w:val="0"/>
        <w:ind w:left="0" w:leftChars="0" w:firstLine="0" w:firstLineChars="0"/>
        <w:rPr>
          <w:rFonts w:hint="default"/>
          <w:sz w:val="30"/>
          <w:szCs w:val="30"/>
          <w:highlight w:val="none"/>
          <w:lang w:val="en-US" w:eastAsia="zh-CN"/>
        </w:rPr>
      </w:pPr>
      <w:bookmarkStart w:id="115" w:name="_Toc16871"/>
      <w:r>
        <w:rPr>
          <w:rFonts w:hint="default" w:ascii="Times New Roman" w:hAnsi="Times New Roman" w:cs="Times New Roman"/>
          <w:sz w:val="30"/>
          <w:szCs w:val="30"/>
          <w:highlight w:val="none"/>
          <w:lang w:val="en-US" w:eastAsia="zh-CN"/>
        </w:rPr>
        <w:t>4.3.2</w:t>
      </w:r>
      <w:r>
        <w:rPr>
          <w:rFonts w:hint="eastAsia"/>
          <w:sz w:val="30"/>
          <w:szCs w:val="30"/>
          <w:highlight w:val="none"/>
          <w:lang w:val="en-US" w:eastAsia="zh-CN"/>
        </w:rPr>
        <w:t>地表水环境质量现状评价</w:t>
      </w:r>
      <w:bookmarkEnd w:id="115"/>
    </w:p>
    <w:p w14:paraId="68D7C559">
      <w:pPr>
        <w:bidi w:val="0"/>
        <w:rPr>
          <w:rFonts w:hint="default" w:ascii="Times New Roman" w:hAnsi="Times New Roman" w:eastAsia="宋体" w:cs="Times New Roman"/>
          <w:color w:val="auto"/>
          <w:spacing w:val="0"/>
          <w:sz w:val="24"/>
          <w:highlight w:val="none"/>
          <w:lang w:val="en-US" w:eastAsia="zh-CN"/>
        </w:rPr>
      </w:pPr>
      <w:r>
        <w:rPr>
          <w:rFonts w:hint="default" w:ascii="Times New Roman" w:hAnsi="Times New Roman" w:eastAsia="宋体" w:cs="Times New Roman"/>
          <w:color w:val="auto"/>
          <w:spacing w:val="0"/>
          <w:sz w:val="24"/>
          <w:highlight w:val="none"/>
          <w:lang w:val="en-US" w:eastAsia="zh-CN"/>
        </w:rPr>
        <w:t>根据《牡丹江市环境质量公报202</w:t>
      </w:r>
      <w:r>
        <w:rPr>
          <w:rFonts w:hint="eastAsia" w:ascii="Times New Roman" w:hAnsi="Times New Roman" w:eastAsia="宋体" w:cs="Times New Roman"/>
          <w:color w:val="auto"/>
          <w:spacing w:val="0"/>
          <w:sz w:val="24"/>
          <w:highlight w:val="none"/>
          <w:lang w:val="en-US" w:eastAsia="zh-CN"/>
        </w:rPr>
        <w:t>4</w:t>
      </w:r>
      <w:r>
        <w:rPr>
          <w:rFonts w:hint="default" w:ascii="Times New Roman" w:hAnsi="Times New Roman" w:eastAsia="宋体" w:cs="Times New Roman"/>
          <w:color w:val="auto"/>
          <w:spacing w:val="0"/>
          <w:sz w:val="24"/>
          <w:highlight w:val="none"/>
          <w:lang w:val="en-US" w:eastAsia="zh-CN"/>
        </w:rPr>
        <w:t>年度》，202</w:t>
      </w:r>
      <w:r>
        <w:rPr>
          <w:rFonts w:hint="eastAsia" w:ascii="Times New Roman" w:hAnsi="Times New Roman" w:eastAsia="宋体" w:cs="Times New Roman"/>
          <w:color w:val="auto"/>
          <w:spacing w:val="0"/>
          <w:sz w:val="24"/>
          <w:highlight w:val="none"/>
          <w:lang w:val="en-US" w:eastAsia="zh-CN"/>
        </w:rPr>
        <w:t>4</w:t>
      </w:r>
      <w:r>
        <w:rPr>
          <w:rFonts w:hint="default" w:ascii="Times New Roman" w:hAnsi="Times New Roman" w:eastAsia="宋体" w:cs="Times New Roman"/>
          <w:color w:val="auto"/>
          <w:spacing w:val="0"/>
          <w:sz w:val="24"/>
          <w:highlight w:val="none"/>
          <w:lang w:val="en-US" w:eastAsia="zh-CN"/>
        </w:rPr>
        <w:t>年水污染防治考核断面优于Ⅲ类水质比例为</w:t>
      </w:r>
      <w:r>
        <w:rPr>
          <w:rFonts w:hint="eastAsia" w:ascii="Times New Roman" w:hAnsi="Times New Roman" w:eastAsia="宋体" w:cs="Times New Roman"/>
          <w:color w:val="auto"/>
          <w:spacing w:val="0"/>
          <w:sz w:val="24"/>
          <w:highlight w:val="none"/>
          <w:lang w:val="en-US" w:eastAsia="zh-CN"/>
        </w:rPr>
        <w:t>91.7</w:t>
      </w:r>
      <w:r>
        <w:rPr>
          <w:rFonts w:hint="default" w:ascii="Times New Roman" w:hAnsi="Times New Roman" w:eastAsia="宋体" w:cs="Times New Roman"/>
          <w:color w:val="auto"/>
          <w:spacing w:val="0"/>
          <w:sz w:val="24"/>
          <w:highlight w:val="none"/>
          <w:lang w:val="en-US" w:eastAsia="zh-CN"/>
        </w:rPr>
        <w:t>%。</w:t>
      </w:r>
      <w:r>
        <w:rPr>
          <w:rFonts w:hint="eastAsia" w:ascii="Times New Roman" w:hAnsi="Times New Roman" w:eastAsia="宋体" w:cs="Times New Roman"/>
          <w:color w:val="auto"/>
          <w:spacing w:val="0"/>
          <w:sz w:val="24"/>
          <w:highlight w:val="none"/>
          <w:lang w:val="en-US" w:eastAsia="zh-CN"/>
        </w:rPr>
        <w:t>2024年西水源和铁路水源两处饮用水水源地水质均符合集中式饮用水水源地水质要求。与去年同期相比，水源地水质无变化。</w:t>
      </w:r>
    </w:p>
    <w:p w14:paraId="68F68336">
      <w:pPr>
        <w:bidi w:val="0"/>
        <w:rPr>
          <w:rFonts w:hint="default"/>
          <w:highlight w:val="none"/>
          <w:lang w:val="en-US" w:eastAsia="zh-CN"/>
        </w:rPr>
      </w:pPr>
      <w:r>
        <w:rPr>
          <w:rFonts w:hint="default" w:ascii="Times New Roman" w:hAnsi="Times New Roman" w:eastAsia="宋体" w:cs="Times New Roman"/>
          <w:color w:val="auto"/>
          <w:spacing w:val="0"/>
          <w:sz w:val="24"/>
          <w:highlight w:val="none"/>
          <w:lang w:val="en-US" w:eastAsia="zh-CN"/>
        </w:rPr>
        <w:t>本项目所在区域</w:t>
      </w:r>
      <w:r>
        <w:rPr>
          <w:rFonts w:hint="default" w:ascii="Times New Roman" w:hAnsi="Times New Roman" w:cs="Times New Roman"/>
          <w:color w:val="auto"/>
          <w:spacing w:val="0"/>
          <w:sz w:val="24"/>
          <w:highlight w:val="none"/>
          <w:lang w:val="en-US" w:eastAsia="zh-CN"/>
        </w:rPr>
        <w:t>水系为绥芬河，所在河流</w:t>
      </w:r>
      <w:r>
        <w:rPr>
          <w:rFonts w:hint="default" w:ascii="Times New Roman" w:hAnsi="Times New Roman" w:eastAsia="宋体" w:cs="Times New Roman"/>
          <w:color w:val="auto"/>
          <w:spacing w:val="0"/>
          <w:sz w:val="24"/>
          <w:highlight w:val="none"/>
          <w:lang w:val="en-US" w:eastAsia="zh-CN"/>
        </w:rPr>
        <w:t>为</w:t>
      </w:r>
      <w:r>
        <w:rPr>
          <w:rFonts w:hint="eastAsia" w:cs="Times New Roman"/>
          <w:color w:val="auto"/>
          <w:spacing w:val="0"/>
          <w:sz w:val="24"/>
          <w:highlight w:val="none"/>
          <w:lang w:val="en-US" w:eastAsia="zh-CN"/>
        </w:rPr>
        <w:t>北大河、</w:t>
      </w:r>
      <w:r>
        <w:rPr>
          <w:rFonts w:hint="default" w:ascii="Times New Roman" w:hAnsi="Times New Roman" w:cs="Times New Roman"/>
          <w:color w:val="auto"/>
          <w:spacing w:val="0"/>
          <w:sz w:val="24"/>
          <w:highlight w:val="none"/>
          <w:lang w:val="en-US" w:eastAsia="zh-CN"/>
        </w:rPr>
        <w:t>寒葱河和小绥芬</w:t>
      </w:r>
      <w:r>
        <w:rPr>
          <w:rFonts w:hint="default" w:ascii="Times New Roman" w:hAnsi="Times New Roman" w:eastAsia="宋体" w:cs="Times New Roman"/>
          <w:color w:val="auto"/>
          <w:spacing w:val="0"/>
          <w:sz w:val="24"/>
          <w:highlight w:val="none"/>
          <w:lang w:val="en-US" w:eastAsia="zh-CN"/>
        </w:rPr>
        <w:t>河，</w:t>
      </w:r>
      <w:r>
        <w:rPr>
          <w:rFonts w:hint="default" w:ascii="Times New Roman" w:hAnsi="Times New Roman" w:cs="Times New Roman"/>
          <w:color w:val="auto"/>
          <w:spacing w:val="0"/>
          <w:sz w:val="24"/>
          <w:highlight w:val="none"/>
          <w:lang w:val="en-US" w:eastAsia="zh-CN"/>
        </w:rPr>
        <w:t>本项目参照小绥芬河水体功能类别，项目</w:t>
      </w:r>
      <w:r>
        <w:rPr>
          <w:rFonts w:hint="default" w:ascii="Times New Roman" w:hAnsi="Times New Roman" w:eastAsia="宋体" w:cs="Times New Roman"/>
          <w:color w:val="auto"/>
          <w:sz w:val="24"/>
          <w:highlight w:val="none"/>
          <w:lang w:val="en-US" w:eastAsia="zh-CN"/>
        </w:rPr>
        <w:t>位于</w:t>
      </w:r>
      <w:r>
        <w:rPr>
          <w:rFonts w:hint="default" w:ascii="Times New Roman" w:hAnsi="Times New Roman" w:cs="Times New Roman"/>
          <w:color w:val="auto"/>
          <w:sz w:val="24"/>
          <w:highlight w:val="none"/>
          <w:lang w:val="en-US" w:eastAsia="zh-CN"/>
        </w:rPr>
        <w:t>小绥芬河（老莱营村-大、小绥芬河汇合口</w:t>
      </w:r>
      <w:r>
        <w:rPr>
          <w:rFonts w:hint="default" w:ascii="Times New Roman" w:hAnsi="Times New Roman" w:eastAsia="宋体" w:cs="Times New Roman"/>
          <w:color w:val="auto"/>
          <w:sz w:val="24"/>
          <w:highlight w:val="none"/>
          <w:lang w:val="en-US" w:eastAsia="zh-CN"/>
        </w:rPr>
        <w:t>断面</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bidi="ar"/>
        </w:rPr>
        <w:t>根据《全国重要江河湖泊水功能区划（2011～2030年）》</w:t>
      </w:r>
      <w:r>
        <w:rPr>
          <w:rFonts w:hint="default" w:ascii="Times New Roman" w:hAnsi="Times New Roman" w:cs="Times New Roman"/>
          <w:color w:val="auto"/>
          <w:kern w:val="0"/>
          <w:sz w:val="24"/>
          <w:szCs w:val="24"/>
          <w:highlight w:val="none"/>
          <w:lang w:val="en-US" w:eastAsia="zh-CN" w:bidi="ar"/>
        </w:rPr>
        <w:t>，水质类别为</w:t>
      </w:r>
      <w:r>
        <w:rPr>
          <w:rFonts w:hint="default" w:ascii="Times New Roman" w:hAnsi="Times New Roman" w:eastAsia="宋体" w:cs="Times New Roman"/>
          <w:color w:val="auto"/>
          <w:sz w:val="24"/>
          <w:highlight w:val="none"/>
        </w:rPr>
        <w:t>Ⅲ</w:t>
      </w:r>
      <w:r>
        <w:rPr>
          <w:rFonts w:hint="default" w:ascii="Times New Roman" w:hAnsi="Times New Roman" w:cs="Times New Roman"/>
          <w:color w:val="auto"/>
          <w:kern w:val="0"/>
          <w:sz w:val="24"/>
          <w:szCs w:val="24"/>
          <w:highlight w:val="none"/>
          <w:lang w:val="en-US" w:eastAsia="zh-CN" w:bidi="ar"/>
        </w:rPr>
        <w:t>类，</w:t>
      </w:r>
      <w:r>
        <w:rPr>
          <w:rFonts w:hint="default" w:ascii="Times New Roman" w:hAnsi="Times New Roman" w:eastAsia="宋体" w:cs="Times New Roman"/>
          <w:color w:val="auto"/>
          <w:sz w:val="24"/>
          <w:highlight w:val="none"/>
          <w:lang w:val="en-US" w:eastAsia="zh-CN"/>
        </w:rPr>
        <w:t>执行</w:t>
      </w:r>
      <w:r>
        <w:rPr>
          <w:rFonts w:hint="default" w:ascii="Times New Roman" w:hAnsi="Times New Roman" w:eastAsia="宋体" w:cs="Times New Roman"/>
          <w:color w:val="auto"/>
          <w:sz w:val="24"/>
          <w:highlight w:val="none"/>
        </w:rPr>
        <w:t>《地表水环境质量标准》（GB3838-2002）中Ⅲ类水体标准</w:t>
      </w:r>
      <w:r>
        <w:rPr>
          <w:rFonts w:hint="default" w:ascii="Times New Roman" w:hAnsi="Times New Roman" w:cs="Times New Roman"/>
          <w:color w:val="auto"/>
          <w:sz w:val="24"/>
          <w:highlight w:val="none"/>
          <w:lang w:eastAsia="zh-CN"/>
        </w:rPr>
        <w:t>。</w:t>
      </w:r>
    </w:p>
    <w:p w14:paraId="18803C2E">
      <w:pPr>
        <w:pStyle w:val="5"/>
        <w:bidi w:val="0"/>
        <w:ind w:left="0" w:leftChars="0" w:firstLine="0" w:firstLineChars="0"/>
        <w:rPr>
          <w:rFonts w:hint="eastAsia"/>
          <w:highlight w:val="none"/>
          <w:lang w:val="en-US" w:eastAsia="zh-CN"/>
        </w:rPr>
      </w:pPr>
      <w:bookmarkStart w:id="116" w:name="_Toc18490"/>
      <w:r>
        <w:rPr>
          <w:rFonts w:hint="eastAsia"/>
          <w:highlight w:val="none"/>
          <w:lang w:val="en-US" w:eastAsia="zh-CN"/>
        </w:rPr>
        <w:t>4.3.3声环境质量现状评价</w:t>
      </w:r>
      <w:bookmarkEnd w:id="116"/>
    </w:p>
    <w:p w14:paraId="6E8F80E1">
      <w:pPr>
        <w:snapToGrid w:val="0"/>
        <w:spacing w:line="480" w:lineRule="exact"/>
        <w:ind w:firstLine="480"/>
        <w:rPr>
          <w:rFonts w:ascii="Times New Roman" w:hAnsi="Times New Roman"/>
          <w:b/>
          <w:bCs/>
          <w:highlight w:val="none"/>
        </w:rPr>
      </w:pPr>
      <w:r>
        <w:rPr>
          <w:rFonts w:ascii="Times New Roman" w:hAnsi="Times New Roman"/>
          <w:highlight w:val="none"/>
        </w:rPr>
        <w:t>一、声环境现状监测</w:t>
      </w:r>
    </w:p>
    <w:p w14:paraId="52CD5C0E">
      <w:pPr>
        <w:snapToGrid w:val="0"/>
        <w:spacing w:line="480" w:lineRule="exact"/>
        <w:ind w:firstLine="480"/>
        <w:rPr>
          <w:rFonts w:ascii="Times New Roman" w:hAnsi="Times New Roman"/>
          <w:highlight w:val="none"/>
        </w:rPr>
      </w:pPr>
      <w:r>
        <w:rPr>
          <w:rFonts w:ascii="Times New Roman" w:hAnsi="Times New Roman"/>
          <w:highlight w:val="none"/>
        </w:rPr>
        <w:t>（1）监测点位</w:t>
      </w:r>
    </w:p>
    <w:p w14:paraId="226C55A6">
      <w:pPr>
        <w:snapToGrid w:val="0"/>
        <w:spacing w:line="480" w:lineRule="exact"/>
        <w:ind w:firstLine="480"/>
        <w:rPr>
          <w:rFonts w:ascii="Times New Roman" w:hAnsi="Times New Roman"/>
          <w:highlight w:val="none"/>
        </w:rPr>
      </w:pPr>
      <w:r>
        <w:rPr>
          <w:rFonts w:ascii="Times New Roman" w:hAnsi="Times New Roman"/>
          <w:snapToGrid w:val="0"/>
          <w:highlight w:val="none"/>
        </w:rPr>
        <w:t>监测点位为厂址北、东、南、西距厂界1m处及</w:t>
      </w:r>
      <w:r>
        <w:rPr>
          <w:rFonts w:hint="eastAsia" w:ascii="Times New Roman" w:hAnsi="Times New Roman"/>
          <w:snapToGrid w:val="0"/>
          <w:highlight w:val="none"/>
          <w:lang w:val="en-US" w:eastAsia="zh-CN"/>
        </w:rPr>
        <w:t>旅游局家属楼</w:t>
      </w:r>
      <w:r>
        <w:rPr>
          <w:rFonts w:hint="eastAsia" w:ascii="Times New Roman" w:hAnsi="Times New Roman"/>
          <w:snapToGrid w:val="0"/>
          <w:highlight w:val="none"/>
        </w:rPr>
        <w:t>、</w:t>
      </w:r>
      <w:r>
        <w:rPr>
          <w:rFonts w:hint="eastAsia" w:ascii="Times New Roman" w:hAnsi="Times New Roman"/>
          <w:snapToGrid w:val="0"/>
          <w:highlight w:val="none"/>
          <w:lang w:val="en-US" w:eastAsia="zh-CN"/>
        </w:rPr>
        <w:t>新安幸福嘉园</w:t>
      </w:r>
      <w:r>
        <w:rPr>
          <w:rFonts w:hint="eastAsia" w:ascii="Times New Roman" w:hAnsi="Times New Roman"/>
          <w:snapToGrid w:val="0"/>
          <w:highlight w:val="none"/>
        </w:rPr>
        <w:t>等</w:t>
      </w:r>
      <w:r>
        <w:rPr>
          <w:rFonts w:ascii="Times New Roman" w:hAnsi="Times New Roman"/>
          <w:snapToGrid w:val="0"/>
          <w:highlight w:val="none"/>
        </w:rPr>
        <w:t>敏感目标。</w:t>
      </w:r>
    </w:p>
    <w:p w14:paraId="62EEC8C8">
      <w:pPr>
        <w:snapToGrid w:val="0"/>
        <w:spacing w:line="480" w:lineRule="exact"/>
        <w:ind w:firstLine="480"/>
        <w:rPr>
          <w:rFonts w:ascii="Times New Roman" w:hAnsi="Times New Roman"/>
          <w:highlight w:val="none"/>
        </w:rPr>
      </w:pPr>
      <w:r>
        <w:rPr>
          <w:rFonts w:ascii="Times New Roman" w:hAnsi="Times New Roman"/>
          <w:highlight w:val="none"/>
        </w:rPr>
        <w:t>（2）监测项目</w:t>
      </w:r>
    </w:p>
    <w:p w14:paraId="2A516E4D">
      <w:pPr>
        <w:snapToGrid w:val="0"/>
        <w:spacing w:line="480" w:lineRule="exact"/>
        <w:ind w:firstLine="480"/>
        <w:rPr>
          <w:rFonts w:ascii="Times New Roman" w:hAnsi="Times New Roman"/>
          <w:highlight w:val="none"/>
        </w:rPr>
      </w:pPr>
      <w:r>
        <w:rPr>
          <w:rFonts w:ascii="Times New Roman" w:hAnsi="Times New Roman"/>
          <w:highlight w:val="none"/>
        </w:rPr>
        <w:t>昼间等效声级L</w:t>
      </w:r>
      <w:r>
        <w:rPr>
          <w:rFonts w:ascii="Times New Roman" w:hAnsi="Times New Roman"/>
          <w:highlight w:val="none"/>
          <w:vertAlign w:val="subscript"/>
        </w:rPr>
        <w:t>d</w:t>
      </w:r>
      <w:r>
        <w:rPr>
          <w:rFonts w:ascii="Times New Roman" w:hAnsi="Times New Roman"/>
          <w:highlight w:val="none"/>
        </w:rPr>
        <w:t>，夜间等效声级L</w:t>
      </w:r>
      <w:r>
        <w:rPr>
          <w:rFonts w:ascii="Times New Roman" w:hAnsi="Times New Roman"/>
          <w:highlight w:val="none"/>
          <w:vertAlign w:val="subscript"/>
        </w:rPr>
        <w:t>n</w:t>
      </w:r>
      <w:r>
        <w:rPr>
          <w:rFonts w:ascii="Times New Roman" w:hAnsi="Times New Roman"/>
          <w:highlight w:val="none"/>
        </w:rPr>
        <w:t>。</w:t>
      </w:r>
    </w:p>
    <w:p w14:paraId="03E55B41">
      <w:pPr>
        <w:snapToGrid w:val="0"/>
        <w:spacing w:line="480" w:lineRule="exact"/>
        <w:ind w:firstLine="480"/>
        <w:rPr>
          <w:rFonts w:ascii="Times New Roman" w:hAnsi="Times New Roman"/>
          <w:highlight w:val="none"/>
        </w:rPr>
      </w:pPr>
      <w:r>
        <w:rPr>
          <w:rFonts w:ascii="Times New Roman" w:hAnsi="Times New Roman"/>
          <w:highlight w:val="none"/>
        </w:rPr>
        <w:t>（3）监测方法</w:t>
      </w:r>
    </w:p>
    <w:p w14:paraId="18B700BF">
      <w:pPr>
        <w:snapToGrid w:val="0"/>
        <w:spacing w:line="480" w:lineRule="exact"/>
        <w:ind w:firstLine="480"/>
        <w:rPr>
          <w:rFonts w:ascii="Times New Roman" w:hAnsi="Times New Roman"/>
          <w:highlight w:val="none"/>
        </w:rPr>
      </w:pPr>
      <w:r>
        <w:rPr>
          <w:rFonts w:ascii="Times New Roman" w:hAnsi="Times New Roman"/>
          <w:highlight w:val="none"/>
        </w:rPr>
        <w:t>按照《工业企业厂界环境噪声排放标准》（GB12348-2008）、《声环境质量标准》（GB3096-2008）和国家环保局颁发的《环境监测技术规范》进行监测。</w:t>
      </w:r>
    </w:p>
    <w:p w14:paraId="58E2050D">
      <w:pPr>
        <w:snapToGrid w:val="0"/>
        <w:spacing w:line="480" w:lineRule="exact"/>
        <w:ind w:firstLine="480"/>
        <w:rPr>
          <w:rFonts w:ascii="Times New Roman" w:hAnsi="Times New Roman"/>
          <w:highlight w:val="none"/>
        </w:rPr>
      </w:pPr>
      <w:r>
        <w:rPr>
          <w:rFonts w:ascii="Times New Roman" w:hAnsi="Times New Roman"/>
          <w:highlight w:val="none"/>
        </w:rPr>
        <w:t>（4）监测时间及频率</w:t>
      </w:r>
    </w:p>
    <w:p w14:paraId="0EE17317">
      <w:pPr>
        <w:snapToGrid w:val="0"/>
        <w:spacing w:line="480" w:lineRule="exact"/>
        <w:ind w:firstLine="480"/>
        <w:rPr>
          <w:rFonts w:ascii="Times New Roman" w:hAnsi="Times New Roman"/>
          <w:highlight w:val="none"/>
        </w:rPr>
      </w:pPr>
      <w:r>
        <w:rPr>
          <w:rFonts w:ascii="Times New Roman" w:hAnsi="Times New Roman"/>
          <w:highlight w:val="none"/>
        </w:rPr>
        <w:t>监测时间为202</w:t>
      </w:r>
      <w:r>
        <w:rPr>
          <w:rFonts w:hint="eastAsia" w:ascii="Times New Roman" w:hAnsi="Times New Roman"/>
          <w:highlight w:val="none"/>
          <w:lang w:val="en-US" w:eastAsia="zh-CN"/>
        </w:rPr>
        <w:t>5</w:t>
      </w:r>
      <w:r>
        <w:rPr>
          <w:rFonts w:ascii="Times New Roman" w:hAnsi="Times New Roman"/>
          <w:highlight w:val="none"/>
        </w:rPr>
        <w:t>年</w:t>
      </w:r>
      <w:r>
        <w:rPr>
          <w:rFonts w:hint="eastAsia" w:ascii="Times New Roman" w:hAnsi="Times New Roman"/>
          <w:highlight w:val="none"/>
        </w:rPr>
        <w:t>1</w:t>
      </w:r>
      <w:r>
        <w:rPr>
          <w:rFonts w:hint="eastAsia" w:ascii="Times New Roman" w:hAnsi="Times New Roman"/>
          <w:highlight w:val="none"/>
          <w:lang w:val="en-US" w:eastAsia="zh-CN"/>
        </w:rPr>
        <w:t>0</w:t>
      </w:r>
      <w:r>
        <w:rPr>
          <w:rFonts w:ascii="Times New Roman" w:hAnsi="Times New Roman"/>
          <w:highlight w:val="none"/>
        </w:rPr>
        <w:t>月</w:t>
      </w:r>
      <w:r>
        <w:rPr>
          <w:rFonts w:hint="eastAsia" w:ascii="Times New Roman" w:hAnsi="Times New Roman"/>
          <w:highlight w:val="none"/>
          <w:lang w:val="en-US" w:eastAsia="zh-CN"/>
        </w:rPr>
        <w:t>17</w:t>
      </w:r>
      <w:r>
        <w:rPr>
          <w:rFonts w:ascii="Times New Roman" w:hAnsi="Times New Roman"/>
          <w:highlight w:val="none"/>
        </w:rPr>
        <w:t>日～</w:t>
      </w:r>
      <w:r>
        <w:rPr>
          <w:rFonts w:hint="eastAsia" w:ascii="Times New Roman" w:hAnsi="Times New Roman"/>
          <w:highlight w:val="none"/>
        </w:rPr>
        <w:t>1</w:t>
      </w:r>
      <w:r>
        <w:rPr>
          <w:rFonts w:hint="eastAsia" w:ascii="Times New Roman" w:hAnsi="Times New Roman"/>
          <w:highlight w:val="none"/>
          <w:lang w:val="en-US" w:eastAsia="zh-CN"/>
        </w:rPr>
        <w:t>0</w:t>
      </w:r>
      <w:r>
        <w:rPr>
          <w:rFonts w:ascii="Times New Roman" w:hAnsi="Times New Roman"/>
          <w:highlight w:val="none"/>
        </w:rPr>
        <w:t>月</w:t>
      </w:r>
      <w:r>
        <w:rPr>
          <w:rFonts w:hint="eastAsia" w:ascii="Times New Roman" w:hAnsi="Times New Roman"/>
          <w:highlight w:val="none"/>
          <w:lang w:val="en-US" w:eastAsia="zh-CN"/>
        </w:rPr>
        <w:t>18</w:t>
      </w:r>
      <w:r>
        <w:rPr>
          <w:rFonts w:ascii="Times New Roman" w:hAnsi="Times New Roman"/>
          <w:highlight w:val="none"/>
        </w:rPr>
        <w:t>日，连续监测2天。选择无雨雪、无雷电天气，风速小于5m/s时的气象条件进行测量。</w:t>
      </w:r>
    </w:p>
    <w:p w14:paraId="646CFDF3">
      <w:pPr>
        <w:snapToGrid w:val="0"/>
        <w:spacing w:line="480" w:lineRule="exact"/>
        <w:ind w:firstLine="480"/>
        <w:rPr>
          <w:rFonts w:ascii="Times New Roman" w:hAnsi="Times New Roman"/>
          <w:highlight w:val="none"/>
        </w:rPr>
      </w:pPr>
      <w:r>
        <w:rPr>
          <w:rFonts w:ascii="Times New Roman" w:hAnsi="Times New Roman"/>
          <w:highlight w:val="none"/>
        </w:rPr>
        <w:t>（5）噪声监测结果</w:t>
      </w:r>
    </w:p>
    <w:p w14:paraId="7CBDC39D">
      <w:pPr>
        <w:snapToGrid w:val="0"/>
        <w:spacing w:line="480" w:lineRule="exact"/>
        <w:ind w:firstLine="480"/>
        <w:rPr>
          <w:rFonts w:ascii="Times New Roman" w:hAnsi="Times New Roman"/>
          <w:highlight w:val="none"/>
        </w:rPr>
      </w:pPr>
      <w:r>
        <w:rPr>
          <w:rFonts w:ascii="Times New Roman" w:hAnsi="Times New Roman"/>
          <w:highlight w:val="none"/>
        </w:rPr>
        <w:t>以连续等效A声级作为评价量。</w:t>
      </w:r>
    </w:p>
    <w:p w14:paraId="12EA4FE7">
      <w:pPr>
        <w:ind w:firstLine="0" w:firstLineChars="0"/>
        <w:rPr>
          <w:rFonts w:ascii="Times New Roman" w:hAnsi="Times New Roman"/>
          <w:sz w:val="21"/>
          <w:highlight w:val="none"/>
        </w:rPr>
      </w:pPr>
      <w:r>
        <w:rPr>
          <w:highlight w:val="none"/>
        </w:rPr>
        <w:drawing>
          <wp:inline distT="0" distB="0" distL="114300" distR="114300">
            <wp:extent cx="5271135" cy="4203065"/>
            <wp:effectExtent l="0" t="0" r="5715" b="6985"/>
            <wp:docPr id="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7"/>
                    <pic:cNvPicPr>
                      <a:picLocks noChangeAspect="1"/>
                    </pic:cNvPicPr>
                  </pic:nvPicPr>
                  <pic:blipFill>
                    <a:blip r:embed="rId36"/>
                    <a:stretch>
                      <a:fillRect/>
                    </a:stretch>
                  </pic:blipFill>
                  <pic:spPr>
                    <a:xfrm>
                      <a:off x="0" y="0"/>
                      <a:ext cx="5271135" cy="4203065"/>
                    </a:xfrm>
                    <a:prstGeom prst="rect">
                      <a:avLst/>
                    </a:prstGeom>
                    <a:noFill/>
                    <a:ln>
                      <a:noFill/>
                    </a:ln>
                  </pic:spPr>
                </pic:pic>
              </a:graphicData>
            </a:graphic>
          </wp:inline>
        </w:drawing>
      </w:r>
    </w:p>
    <w:p w14:paraId="5A309B5B">
      <w:pPr>
        <w:ind w:firstLine="480"/>
        <w:jc w:val="center"/>
        <w:rPr>
          <w:rFonts w:ascii="Times New Roman" w:hAnsi="Times New Roman"/>
          <w:highlight w:val="none"/>
        </w:rPr>
      </w:pPr>
      <w:r>
        <w:rPr>
          <w:rFonts w:hint="eastAsia" w:ascii="黑体" w:hAnsi="黑体" w:eastAsia="黑体" w:cs="黑体"/>
          <w:highlight w:val="none"/>
        </w:rPr>
        <w:t>图</w:t>
      </w:r>
      <w:r>
        <w:rPr>
          <w:rFonts w:ascii="Times New Roman" w:hAnsi="Times New Roman"/>
          <w:highlight w:val="none"/>
        </w:rPr>
        <w:t>4.3-2</w:t>
      </w:r>
      <w:r>
        <w:rPr>
          <w:rFonts w:hint="eastAsia" w:ascii="黑体" w:hAnsi="黑体" w:eastAsia="黑体" w:cs="黑体"/>
          <w:highlight w:val="none"/>
        </w:rPr>
        <w:t>噪声监测布点图</w:t>
      </w:r>
    </w:p>
    <w:p w14:paraId="30074B12">
      <w:pPr>
        <w:pStyle w:val="38"/>
        <w:ind w:firstLine="480"/>
        <w:rPr>
          <w:rFonts w:ascii="Times New Roman" w:hAnsi="Times New Roman"/>
          <w:szCs w:val="22"/>
          <w:highlight w:val="none"/>
        </w:rPr>
      </w:pPr>
      <w:r>
        <w:rPr>
          <w:rFonts w:ascii="Times New Roman" w:hAnsi="Times New Roman"/>
          <w:szCs w:val="22"/>
          <w:highlight w:val="none"/>
        </w:rPr>
        <w:t>表4.3-7 厂界噪声监测情况</w:t>
      </w:r>
    </w:p>
    <w:tbl>
      <w:tblPr>
        <w:tblStyle w:val="1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0"/>
        <w:gridCol w:w="2106"/>
        <w:gridCol w:w="1044"/>
        <w:gridCol w:w="1046"/>
        <w:gridCol w:w="1045"/>
        <w:gridCol w:w="1047"/>
        <w:gridCol w:w="1531"/>
      </w:tblGrid>
      <w:tr w14:paraId="63C858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00" w:type="pct"/>
            <w:gridSpan w:val="2"/>
            <w:tcBorders>
              <w:tl2br w:val="nil"/>
              <w:tr2bl w:val="nil"/>
            </w:tcBorders>
            <w:vAlign w:val="center"/>
          </w:tcPr>
          <w:p w14:paraId="2A3CA237">
            <w:pPr>
              <w:keepNext w:val="0"/>
              <w:keepLines w:val="0"/>
              <w:pageBreakBefore w:val="0"/>
              <w:kinsoku/>
              <w:wordWrap/>
              <w:overflowPunct/>
              <w:topLinePunct w:val="0"/>
              <w:bidi w:val="0"/>
              <w:snapToGrid/>
              <w:ind w:firstLine="0" w:firstLineChars="0"/>
              <w:jc w:val="center"/>
              <w:rPr>
                <w:rFonts w:ascii="Times New Roman" w:hAnsi="Times New Roman"/>
                <w:b/>
                <w:bCs/>
                <w:szCs w:val="21"/>
                <w:highlight w:val="none"/>
              </w:rPr>
            </w:pPr>
            <w:r>
              <w:rPr>
                <w:rFonts w:ascii="Times New Roman" w:hAnsi="Times New Roman"/>
                <w:b/>
                <w:bCs/>
                <w:szCs w:val="21"/>
                <w:highlight w:val="none"/>
              </w:rPr>
              <w:t>监测日期</w:t>
            </w:r>
          </w:p>
        </w:tc>
        <w:tc>
          <w:tcPr>
            <w:tcW w:w="1245" w:type="pct"/>
            <w:gridSpan w:val="2"/>
            <w:tcBorders>
              <w:tl2br w:val="nil"/>
              <w:tr2bl w:val="nil"/>
            </w:tcBorders>
            <w:vAlign w:val="center"/>
          </w:tcPr>
          <w:p w14:paraId="1191EF29">
            <w:pPr>
              <w:pStyle w:val="23"/>
              <w:keepNext w:val="0"/>
              <w:keepLines w:val="0"/>
              <w:pageBreakBefore w:val="0"/>
              <w:kinsoku/>
              <w:wordWrap/>
              <w:overflowPunct/>
              <w:topLinePunct w:val="0"/>
              <w:bidi w:val="0"/>
              <w:snapToGrid/>
              <w:ind w:firstLine="0" w:firstLineChars="0"/>
              <w:jc w:val="center"/>
              <w:rPr>
                <w:rFonts w:hint="default" w:ascii="Times New Roman" w:eastAsia="宋体"/>
                <w:b/>
                <w:bCs/>
                <w:color w:val="auto"/>
                <w:sz w:val="21"/>
                <w:szCs w:val="21"/>
                <w:highlight w:val="none"/>
                <w:lang w:val="en-US" w:eastAsia="zh-CN"/>
              </w:rPr>
            </w:pPr>
            <w:r>
              <w:rPr>
                <w:rFonts w:ascii="Times New Roman" w:eastAsia="宋体"/>
                <w:b/>
                <w:bCs/>
                <w:color w:val="auto"/>
                <w:sz w:val="21"/>
                <w:szCs w:val="21"/>
                <w:highlight w:val="none"/>
              </w:rPr>
              <w:t>20</w:t>
            </w:r>
            <w:r>
              <w:rPr>
                <w:rFonts w:hint="eastAsia" w:ascii="Times New Roman" w:eastAsia="宋体"/>
                <w:b/>
                <w:bCs/>
                <w:color w:val="auto"/>
                <w:sz w:val="21"/>
                <w:szCs w:val="21"/>
                <w:highlight w:val="none"/>
              </w:rPr>
              <w:t>2</w:t>
            </w:r>
            <w:r>
              <w:rPr>
                <w:rFonts w:hint="eastAsia" w:ascii="Times New Roman" w:eastAsia="宋体"/>
                <w:b/>
                <w:bCs/>
                <w:color w:val="auto"/>
                <w:sz w:val="21"/>
                <w:szCs w:val="21"/>
                <w:highlight w:val="none"/>
                <w:lang w:val="en-US" w:eastAsia="zh-CN"/>
              </w:rPr>
              <w:t>5.10.27</w:t>
            </w:r>
          </w:p>
        </w:tc>
        <w:tc>
          <w:tcPr>
            <w:tcW w:w="1245" w:type="pct"/>
            <w:gridSpan w:val="2"/>
            <w:tcBorders>
              <w:right w:val="single" w:color="auto" w:sz="8" w:space="0"/>
              <w:tl2br w:val="nil"/>
              <w:tr2bl w:val="nil"/>
            </w:tcBorders>
            <w:vAlign w:val="center"/>
          </w:tcPr>
          <w:p w14:paraId="07120820">
            <w:pPr>
              <w:pStyle w:val="23"/>
              <w:keepNext w:val="0"/>
              <w:keepLines w:val="0"/>
              <w:pageBreakBefore w:val="0"/>
              <w:kinsoku/>
              <w:wordWrap/>
              <w:overflowPunct/>
              <w:topLinePunct w:val="0"/>
              <w:bidi w:val="0"/>
              <w:snapToGrid/>
              <w:ind w:firstLine="0" w:firstLineChars="0"/>
              <w:jc w:val="center"/>
              <w:rPr>
                <w:rFonts w:hint="default" w:ascii="Times New Roman" w:eastAsia="宋体"/>
                <w:b/>
                <w:bCs/>
                <w:color w:val="auto"/>
                <w:sz w:val="21"/>
                <w:szCs w:val="21"/>
                <w:highlight w:val="none"/>
                <w:lang w:val="en-US" w:eastAsia="zh-CN"/>
              </w:rPr>
            </w:pPr>
            <w:r>
              <w:rPr>
                <w:rFonts w:hint="eastAsia" w:ascii="Times New Roman" w:eastAsia="宋体"/>
                <w:b/>
                <w:bCs/>
                <w:color w:val="auto"/>
                <w:sz w:val="21"/>
                <w:szCs w:val="21"/>
                <w:highlight w:val="none"/>
                <w:lang w:val="en-US" w:eastAsia="zh-CN"/>
              </w:rPr>
              <w:t>2025.10.28</w:t>
            </w:r>
          </w:p>
        </w:tc>
        <w:tc>
          <w:tcPr>
            <w:tcW w:w="907" w:type="pct"/>
            <w:vMerge w:val="restart"/>
            <w:tcBorders>
              <w:left w:val="single" w:color="auto" w:sz="8" w:space="0"/>
              <w:tl2br w:val="nil"/>
              <w:tr2bl w:val="nil"/>
            </w:tcBorders>
            <w:vAlign w:val="center"/>
          </w:tcPr>
          <w:p w14:paraId="5A89CC70">
            <w:pPr>
              <w:keepNext w:val="0"/>
              <w:keepLines w:val="0"/>
              <w:pageBreakBefore w:val="0"/>
              <w:kinsoku/>
              <w:wordWrap/>
              <w:overflowPunct/>
              <w:topLinePunct w:val="0"/>
              <w:bidi w:val="0"/>
              <w:snapToGrid/>
              <w:ind w:firstLine="0" w:firstLineChars="0"/>
              <w:jc w:val="center"/>
              <w:rPr>
                <w:rFonts w:ascii="Times New Roman" w:hAnsi="Times New Roman"/>
                <w:szCs w:val="21"/>
                <w:highlight w:val="none"/>
              </w:rPr>
            </w:pPr>
            <w:r>
              <w:rPr>
                <w:rFonts w:ascii="Times New Roman" w:hAnsi="Times New Roman"/>
                <w:b/>
                <w:bCs/>
                <w:szCs w:val="21"/>
                <w:highlight w:val="none"/>
              </w:rPr>
              <w:t>单位</w:t>
            </w:r>
          </w:p>
        </w:tc>
      </w:tr>
      <w:tr w14:paraId="0CA3DE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5" w:type="pct"/>
            <w:tcBorders>
              <w:tl2br w:val="nil"/>
              <w:tr2bl w:val="nil"/>
            </w:tcBorders>
            <w:vAlign w:val="center"/>
          </w:tcPr>
          <w:p w14:paraId="0B1077CA">
            <w:pPr>
              <w:pStyle w:val="23"/>
              <w:keepNext w:val="0"/>
              <w:keepLines w:val="0"/>
              <w:pageBreakBefore w:val="0"/>
              <w:kinsoku/>
              <w:wordWrap/>
              <w:overflowPunct/>
              <w:topLinePunct w:val="0"/>
              <w:bidi w:val="0"/>
              <w:snapToGrid/>
              <w:ind w:firstLine="0" w:firstLineChars="0"/>
              <w:jc w:val="center"/>
              <w:rPr>
                <w:rFonts w:ascii="Times New Roman" w:eastAsia="宋体"/>
                <w:b/>
                <w:bCs/>
                <w:color w:val="auto"/>
                <w:sz w:val="21"/>
                <w:szCs w:val="21"/>
                <w:highlight w:val="none"/>
              </w:rPr>
            </w:pPr>
            <w:r>
              <w:rPr>
                <w:rFonts w:ascii="Times New Roman" w:eastAsia="宋体"/>
                <w:b/>
                <w:bCs/>
                <w:color w:val="auto"/>
                <w:sz w:val="21"/>
                <w:szCs w:val="21"/>
                <w:highlight w:val="none"/>
              </w:rPr>
              <w:t>序号</w:t>
            </w:r>
          </w:p>
        </w:tc>
        <w:tc>
          <w:tcPr>
            <w:tcW w:w="1245" w:type="pct"/>
            <w:tcBorders>
              <w:tl2br w:val="nil"/>
              <w:tr2bl w:val="nil"/>
            </w:tcBorders>
            <w:vAlign w:val="center"/>
          </w:tcPr>
          <w:p w14:paraId="1EF42942">
            <w:pPr>
              <w:keepNext w:val="0"/>
              <w:keepLines w:val="0"/>
              <w:pageBreakBefore w:val="0"/>
              <w:kinsoku/>
              <w:wordWrap/>
              <w:overflowPunct/>
              <w:topLinePunct w:val="0"/>
              <w:bidi w:val="0"/>
              <w:snapToGrid/>
              <w:ind w:firstLine="0" w:firstLineChars="0"/>
              <w:jc w:val="center"/>
              <w:rPr>
                <w:rFonts w:ascii="Times New Roman" w:hAnsi="Times New Roman"/>
                <w:b/>
                <w:bCs/>
                <w:szCs w:val="21"/>
                <w:highlight w:val="none"/>
              </w:rPr>
            </w:pPr>
            <w:r>
              <w:rPr>
                <w:rFonts w:ascii="Times New Roman" w:hAnsi="Times New Roman"/>
                <w:b/>
                <w:bCs/>
                <w:szCs w:val="21"/>
                <w:highlight w:val="none"/>
              </w:rPr>
              <w:t>监测点位</w:t>
            </w:r>
          </w:p>
        </w:tc>
        <w:tc>
          <w:tcPr>
            <w:tcW w:w="622" w:type="pct"/>
            <w:tcBorders>
              <w:tl2br w:val="nil"/>
              <w:tr2bl w:val="nil"/>
            </w:tcBorders>
            <w:vAlign w:val="center"/>
          </w:tcPr>
          <w:p w14:paraId="7E12298B">
            <w:pPr>
              <w:pStyle w:val="23"/>
              <w:keepNext w:val="0"/>
              <w:keepLines w:val="0"/>
              <w:pageBreakBefore w:val="0"/>
              <w:kinsoku/>
              <w:wordWrap/>
              <w:overflowPunct/>
              <w:topLinePunct w:val="0"/>
              <w:bidi w:val="0"/>
              <w:snapToGrid/>
              <w:ind w:firstLine="0" w:firstLineChars="0"/>
              <w:jc w:val="center"/>
              <w:rPr>
                <w:rFonts w:ascii="Times New Roman" w:eastAsia="宋体"/>
                <w:b/>
                <w:bCs/>
                <w:color w:val="auto"/>
                <w:sz w:val="21"/>
                <w:szCs w:val="21"/>
                <w:highlight w:val="none"/>
              </w:rPr>
            </w:pPr>
            <w:r>
              <w:rPr>
                <w:rFonts w:ascii="Times New Roman" w:eastAsia="宋体"/>
                <w:b/>
                <w:bCs/>
                <w:color w:val="auto"/>
                <w:sz w:val="21"/>
                <w:szCs w:val="21"/>
                <w:highlight w:val="none"/>
              </w:rPr>
              <w:t>昼间</w:t>
            </w:r>
          </w:p>
        </w:tc>
        <w:tc>
          <w:tcPr>
            <w:tcW w:w="622" w:type="pct"/>
            <w:tcBorders>
              <w:tl2br w:val="nil"/>
              <w:tr2bl w:val="nil"/>
            </w:tcBorders>
            <w:vAlign w:val="center"/>
          </w:tcPr>
          <w:p w14:paraId="39F32FA1">
            <w:pPr>
              <w:pStyle w:val="23"/>
              <w:keepNext w:val="0"/>
              <w:keepLines w:val="0"/>
              <w:pageBreakBefore w:val="0"/>
              <w:kinsoku/>
              <w:wordWrap/>
              <w:overflowPunct/>
              <w:topLinePunct w:val="0"/>
              <w:bidi w:val="0"/>
              <w:snapToGrid/>
              <w:ind w:firstLine="0" w:firstLineChars="0"/>
              <w:jc w:val="center"/>
              <w:rPr>
                <w:rFonts w:ascii="Times New Roman" w:eastAsia="宋体"/>
                <w:b/>
                <w:bCs/>
                <w:color w:val="auto"/>
                <w:sz w:val="21"/>
                <w:szCs w:val="21"/>
                <w:highlight w:val="none"/>
              </w:rPr>
            </w:pPr>
            <w:r>
              <w:rPr>
                <w:rFonts w:ascii="Times New Roman" w:eastAsia="宋体"/>
                <w:b/>
                <w:bCs/>
                <w:color w:val="auto"/>
                <w:sz w:val="21"/>
                <w:szCs w:val="21"/>
                <w:highlight w:val="none"/>
              </w:rPr>
              <w:t>夜间</w:t>
            </w:r>
          </w:p>
        </w:tc>
        <w:tc>
          <w:tcPr>
            <w:tcW w:w="622" w:type="pct"/>
            <w:tcBorders>
              <w:tl2br w:val="nil"/>
              <w:tr2bl w:val="nil"/>
            </w:tcBorders>
            <w:shd w:val="clear" w:color="auto" w:fill="auto"/>
            <w:vAlign w:val="center"/>
          </w:tcPr>
          <w:p w14:paraId="0F174955">
            <w:pPr>
              <w:pStyle w:val="23"/>
              <w:keepNext w:val="0"/>
              <w:keepLines w:val="0"/>
              <w:pageBreakBefore w:val="0"/>
              <w:kinsoku/>
              <w:wordWrap/>
              <w:overflowPunct/>
              <w:topLinePunct w:val="0"/>
              <w:bidi w:val="0"/>
              <w:snapToGrid/>
              <w:ind w:firstLine="0" w:firstLineChars="0"/>
              <w:jc w:val="center"/>
              <w:rPr>
                <w:rFonts w:ascii="Times New Roman" w:hAnsi="Times New Roman" w:eastAsia="宋体" w:cs="Times New Roman"/>
                <w:b/>
                <w:bCs/>
                <w:color w:val="auto"/>
                <w:sz w:val="21"/>
                <w:szCs w:val="21"/>
                <w:highlight w:val="none"/>
                <w:lang w:val="en-US" w:eastAsia="zh-CN" w:bidi="ar-SA"/>
              </w:rPr>
            </w:pPr>
            <w:r>
              <w:rPr>
                <w:rFonts w:ascii="Times New Roman" w:eastAsia="宋体"/>
                <w:b/>
                <w:bCs/>
                <w:color w:val="auto"/>
                <w:sz w:val="21"/>
                <w:szCs w:val="21"/>
                <w:highlight w:val="none"/>
              </w:rPr>
              <w:t>昼间</w:t>
            </w:r>
          </w:p>
        </w:tc>
        <w:tc>
          <w:tcPr>
            <w:tcW w:w="623" w:type="pct"/>
            <w:tcBorders>
              <w:right w:val="single" w:color="auto" w:sz="8" w:space="0"/>
              <w:tl2br w:val="nil"/>
              <w:tr2bl w:val="nil"/>
            </w:tcBorders>
            <w:shd w:val="clear" w:color="auto" w:fill="auto"/>
            <w:vAlign w:val="center"/>
          </w:tcPr>
          <w:p w14:paraId="2386816C">
            <w:pPr>
              <w:pStyle w:val="23"/>
              <w:keepNext w:val="0"/>
              <w:keepLines w:val="0"/>
              <w:pageBreakBefore w:val="0"/>
              <w:kinsoku/>
              <w:wordWrap/>
              <w:overflowPunct/>
              <w:topLinePunct w:val="0"/>
              <w:bidi w:val="0"/>
              <w:snapToGrid/>
              <w:ind w:firstLine="0" w:firstLineChars="0"/>
              <w:jc w:val="center"/>
              <w:rPr>
                <w:rFonts w:ascii="Times New Roman" w:hAnsi="Times New Roman" w:eastAsia="宋体" w:cs="Times New Roman"/>
                <w:b/>
                <w:bCs/>
                <w:color w:val="auto"/>
                <w:sz w:val="21"/>
                <w:szCs w:val="21"/>
                <w:highlight w:val="none"/>
                <w:lang w:val="en-US" w:eastAsia="zh-CN" w:bidi="ar-SA"/>
              </w:rPr>
            </w:pPr>
            <w:r>
              <w:rPr>
                <w:rFonts w:ascii="Times New Roman" w:eastAsia="宋体"/>
                <w:b/>
                <w:bCs/>
                <w:color w:val="auto"/>
                <w:sz w:val="21"/>
                <w:szCs w:val="21"/>
                <w:highlight w:val="none"/>
              </w:rPr>
              <w:t>夜间</w:t>
            </w:r>
          </w:p>
        </w:tc>
        <w:tc>
          <w:tcPr>
            <w:tcW w:w="907" w:type="pct"/>
            <w:vMerge w:val="continue"/>
            <w:tcBorders>
              <w:left w:val="single" w:color="auto" w:sz="8" w:space="0"/>
              <w:tl2br w:val="nil"/>
              <w:tr2bl w:val="nil"/>
            </w:tcBorders>
            <w:vAlign w:val="center"/>
          </w:tcPr>
          <w:p w14:paraId="494A9061">
            <w:pPr>
              <w:pStyle w:val="23"/>
              <w:keepNext w:val="0"/>
              <w:keepLines w:val="0"/>
              <w:pageBreakBefore w:val="0"/>
              <w:kinsoku/>
              <w:wordWrap/>
              <w:overflowPunct/>
              <w:topLinePunct w:val="0"/>
              <w:bidi w:val="0"/>
              <w:snapToGrid/>
              <w:ind w:firstLine="0" w:firstLineChars="0"/>
              <w:jc w:val="center"/>
              <w:rPr>
                <w:rFonts w:ascii="Times New Roman" w:eastAsia="宋体"/>
                <w:b/>
                <w:bCs/>
                <w:color w:val="auto"/>
                <w:sz w:val="21"/>
                <w:szCs w:val="21"/>
                <w:highlight w:val="none"/>
              </w:rPr>
            </w:pPr>
          </w:p>
        </w:tc>
      </w:tr>
      <w:tr w14:paraId="464655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5" w:type="pct"/>
            <w:tcBorders>
              <w:tl2br w:val="nil"/>
              <w:tr2bl w:val="nil"/>
            </w:tcBorders>
            <w:vAlign w:val="center"/>
          </w:tcPr>
          <w:p w14:paraId="16B92A31">
            <w:pPr>
              <w:pStyle w:val="23"/>
              <w:keepNext w:val="0"/>
              <w:keepLines w:val="0"/>
              <w:pageBreakBefore w:val="0"/>
              <w:kinsoku/>
              <w:wordWrap/>
              <w:overflowPunct/>
              <w:topLinePunct w:val="0"/>
              <w:bidi w:val="0"/>
              <w:snapToGrid/>
              <w:ind w:firstLine="0" w:firstLineChars="0"/>
              <w:jc w:val="center"/>
              <w:rPr>
                <w:rFonts w:ascii="Times New Roman" w:eastAsia="宋体"/>
                <w:color w:val="auto"/>
                <w:sz w:val="21"/>
                <w:szCs w:val="21"/>
                <w:highlight w:val="none"/>
              </w:rPr>
            </w:pPr>
            <w:r>
              <w:rPr>
                <w:rFonts w:ascii="Times New Roman" w:eastAsia="宋体"/>
                <w:color w:val="auto"/>
                <w:sz w:val="21"/>
                <w:szCs w:val="21"/>
                <w:highlight w:val="none"/>
              </w:rPr>
              <w:t>▲1</w:t>
            </w:r>
          </w:p>
        </w:tc>
        <w:tc>
          <w:tcPr>
            <w:tcW w:w="1245" w:type="pct"/>
            <w:tcBorders>
              <w:tl2br w:val="nil"/>
              <w:tr2bl w:val="nil"/>
            </w:tcBorders>
            <w:shd w:val="clear" w:color="auto" w:fill="auto"/>
            <w:vAlign w:val="center"/>
          </w:tcPr>
          <w:p w14:paraId="04062A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cs="Times New Roman"/>
                <w:sz w:val="21"/>
                <w:szCs w:val="21"/>
                <w:highlight w:val="none"/>
                <w:vertAlign w:val="baseline"/>
                <w:lang w:val="en-US" w:eastAsia="zh-CN"/>
              </w:rPr>
              <w:t>厂界东侧1米处</w:t>
            </w:r>
          </w:p>
        </w:tc>
        <w:tc>
          <w:tcPr>
            <w:tcW w:w="622" w:type="pct"/>
            <w:tcBorders>
              <w:tl2br w:val="nil"/>
              <w:tr2bl w:val="nil"/>
            </w:tcBorders>
            <w:vAlign w:val="center"/>
          </w:tcPr>
          <w:p w14:paraId="7CBA41EF">
            <w:pPr>
              <w:pStyle w:val="23"/>
              <w:keepNext w:val="0"/>
              <w:keepLines w:val="0"/>
              <w:pageBreakBefore w:val="0"/>
              <w:kinsoku/>
              <w:wordWrap/>
              <w:overflowPunct/>
              <w:topLinePunct w:val="0"/>
              <w:bidi w:val="0"/>
              <w:snapToGrid/>
              <w:ind w:firstLine="0" w:firstLineChars="0"/>
              <w:jc w:val="center"/>
              <w:rPr>
                <w:rFonts w:hint="default" w:ascii="Times New Roman" w:hAnsi="Times New Roman" w:eastAsia="宋体"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eastAsia="宋体" w:cs="Times New Roman"/>
                <w:color w:val="000000" w:themeColor="text1"/>
                <w:spacing w:val="20"/>
                <w:kern w:val="2"/>
                <w:sz w:val="21"/>
                <w:szCs w:val="21"/>
                <w:highlight w:val="none"/>
                <w:lang w:val="en-US" w:eastAsia="zh-CN" w:bidi="ar-SA"/>
                <w14:textFill>
                  <w14:solidFill>
                    <w14:schemeClr w14:val="tx1"/>
                  </w14:solidFill>
                </w14:textFill>
              </w:rPr>
              <w:t>66</w:t>
            </w:r>
          </w:p>
        </w:tc>
        <w:tc>
          <w:tcPr>
            <w:tcW w:w="622" w:type="pct"/>
            <w:tcBorders>
              <w:tl2br w:val="nil"/>
              <w:tr2bl w:val="nil"/>
            </w:tcBorders>
            <w:vAlign w:val="center"/>
          </w:tcPr>
          <w:p w14:paraId="52BB8691">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52</w:t>
            </w:r>
          </w:p>
        </w:tc>
        <w:tc>
          <w:tcPr>
            <w:tcW w:w="622" w:type="pct"/>
            <w:tcBorders>
              <w:tl2br w:val="nil"/>
              <w:tr2bl w:val="nil"/>
            </w:tcBorders>
            <w:vAlign w:val="center"/>
          </w:tcPr>
          <w:p w14:paraId="06C58A7C">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67</w:t>
            </w:r>
          </w:p>
        </w:tc>
        <w:tc>
          <w:tcPr>
            <w:tcW w:w="623" w:type="pct"/>
            <w:tcBorders>
              <w:tl2br w:val="nil"/>
              <w:tr2bl w:val="nil"/>
            </w:tcBorders>
            <w:vAlign w:val="center"/>
          </w:tcPr>
          <w:p w14:paraId="5F47924C">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53</w:t>
            </w:r>
          </w:p>
        </w:tc>
        <w:tc>
          <w:tcPr>
            <w:tcW w:w="907" w:type="pct"/>
            <w:vMerge w:val="restart"/>
            <w:tcBorders>
              <w:tl2br w:val="nil"/>
              <w:tr2bl w:val="nil"/>
            </w:tcBorders>
            <w:vAlign w:val="center"/>
          </w:tcPr>
          <w:p w14:paraId="265D70E0">
            <w:pPr>
              <w:pStyle w:val="23"/>
              <w:keepNext w:val="0"/>
              <w:keepLines w:val="0"/>
              <w:pageBreakBefore w:val="0"/>
              <w:kinsoku/>
              <w:wordWrap/>
              <w:overflowPunct/>
              <w:topLinePunct w:val="0"/>
              <w:bidi w:val="0"/>
              <w:snapToGrid/>
              <w:ind w:firstLine="0" w:firstLineChars="0"/>
              <w:jc w:val="center"/>
              <w:rPr>
                <w:rFonts w:ascii="Times New Roman" w:eastAsia="宋体"/>
                <w:color w:val="auto"/>
                <w:sz w:val="21"/>
                <w:szCs w:val="21"/>
                <w:highlight w:val="none"/>
              </w:rPr>
            </w:pPr>
            <w:r>
              <w:rPr>
                <w:rFonts w:ascii="Times New Roman" w:eastAsia="宋体"/>
                <w:b w:val="0"/>
                <w:bCs w:val="0"/>
                <w:color w:val="auto"/>
                <w:sz w:val="21"/>
                <w:szCs w:val="21"/>
                <w:highlight w:val="none"/>
              </w:rPr>
              <w:t>dB（A）</w:t>
            </w:r>
          </w:p>
        </w:tc>
      </w:tr>
      <w:tr w14:paraId="18D0F2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5" w:type="pct"/>
            <w:tcBorders>
              <w:tl2br w:val="nil"/>
              <w:tr2bl w:val="nil"/>
            </w:tcBorders>
            <w:vAlign w:val="center"/>
          </w:tcPr>
          <w:p w14:paraId="0E74C03D">
            <w:pPr>
              <w:keepNext w:val="0"/>
              <w:keepLines w:val="0"/>
              <w:pageBreakBefore w:val="0"/>
              <w:kinsoku/>
              <w:wordWrap/>
              <w:overflowPunct/>
              <w:topLinePunct w:val="0"/>
              <w:bidi w:val="0"/>
              <w:snapToGrid/>
              <w:ind w:firstLine="0" w:firstLineChars="0"/>
              <w:jc w:val="center"/>
              <w:rPr>
                <w:rFonts w:hint="eastAsia" w:ascii="Times New Roman" w:eastAsia="宋体"/>
                <w:color w:val="auto"/>
                <w:sz w:val="21"/>
                <w:szCs w:val="21"/>
                <w:highlight w:val="none"/>
                <w:lang w:val="en-US" w:eastAsia="zh-CN"/>
              </w:rPr>
            </w:pPr>
            <w:r>
              <w:rPr>
                <w:rFonts w:ascii="Times New Roman" w:eastAsia="宋体"/>
                <w:color w:val="auto"/>
                <w:sz w:val="21"/>
                <w:szCs w:val="21"/>
                <w:highlight w:val="none"/>
              </w:rPr>
              <w:t>▲</w:t>
            </w:r>
            <w:r>
              <w:rPr>
                <w:rFonts w:hint="eastAsia" w:ascii="Times New Roman"/>
                <w:color w:val="auto"/>
                <w:sz w:val="21"/>
                <w:szCs w:val="21"/>
                <w:highlight w:val="none"/>
                <w:lang w:val="en-US" w:eastAsia="zh-CN"/>
              </w:rPr>
              <w:t>2</w:t>
            </w:r>
          </w:p>
        </w:tc>
        <w:tc>
          <w:tcPr>
            <w:tcW w:w="1245" w:type="pct"/>
            <w:tcBorders>
              <w:tl2br w:val="nil"/>
              <w:tr2bl w:val="nil"/>
            </w:tcBorders>
            <w:shd w:val="clear" w:color="auto" w:fill="auto"/>
            <w:vAlign w:val="center"/>
          </w:tcPr>
          <w:p w14:paraId="5C57C3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kern w:val="2"/>
                <w:sz w:val="21"/>
                <w:szCs w:val="21"/>
                <w:highlight w:val="none"/>
                <w:vertAlign w:val="baseline"/>
                <w:lang w:val="en-US" w:eastAsia="zh-CN" w:bidi="ar-SA"/>
              </w:rPr>
            </w:pPr>
            <w:r>
              <w:rPr>
                <w:rFonts w:hint="default" w:ascii="Times New Roman" w:hAnsi="Times New Roman" w:cs="Times New Roman"/>
                <w:sz w:val="21"/>
                <w:szCs w:val="21"/>
                <w:highlight w:val="none"/>
                <w:vertAlign w:val="baseline"/>
                <w:lang w:val="en-US" w:eastAsia="zh-CN"/>
              </w:rPr>
              <w:t>厂界</w:t>
            </w:r>
            <w:r>
              <w:rPr>
                <w:rFonts w:hint="eastAsia" w:ascii="Times New Roman" w:hAnsi="Times New Roman" w:cs="Times New Roman"/>
                <w:sz w:val="21"/>
                <w:szCs w:val="21"/>
                <w:highlight w:val="none"/>
                <w:vertAlign w:val="baseline"/>
                <w:lang w:val="en-US" w:eastAsia="zh-CN"/>
              </w:rPr>
              <w:t>北</w:t>
            </w:r>
            <w:r>
              <w:rPr>
                <w:rFonts w:hint="default" w:ascii="Times New Roman" w:hAnsi="Times New Roman" w:cs="Times New Roman"/>
                <w:sz w:val="21"/>
                <w:szCs w:val="21"/>
                <w:highlight w:val="none"/>
                <w:vertAlign w:val="baseline"/>
                <w:lang w:val="en-US" w:eastAsia="zh-CN"/>
              </w:rPr>
              <w:t>侧1米处</w:t>
            </w:r>
          </w:p>
        </w:tc>
        <w:tc>
          <w:tcPr>
            <w:tcW w:w="622" w:type="pct"/>
            <w:tcBorders>
              <w:tl2br w:val="nil"/>
              <w:tr2bl w:val="nil"/>
            </w:tcBorders>
            <w:vAlign w:val="center"/>
          </w:tcPr>
          <w:p w14:paraId="2A33B49E">
            <w:pPr>
              <w:pStyle w:val="23"/>
              <w:keepNext w:val="0"/>
              <w:keepLines w:val="0"/>
              <w:pageBreakBefore w:val="0"/>
              <w:kinsoku/>
              <w:wordWrap/>
              <w:overflowPunct/>
              <w:topLinePunct w:val="0"/>
              <w:bidi w:val="0"/>
              <w:snapToGrid/>
              <w:ind w:firstLine="0" w:firstLineChars="0"/>
              <w:jc w:val="center"/>
              <w:rPr>
                <w:rFonts w:hint="default" w:ascii="Times New Roman"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56</w:t>
            </w:r>
          </w:p>
        </w:tc>
        <w:tc>
          <w:tcPr>
            <w:tcW w:w="622" w:type="pct"/>
            <w:tcBorders>
              <w:tl2br w:val="nil"/>
              <w:tr2bl w:val="nil"/>
            </w:tcBorders>
            <w:vAlign w:val="center"/>
          </w:tcPr>
          <w:p w14:paraId="57C868B1">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43</w:t>
            </w:r>
          </w:p>
        </w:tc>
        <w:tc>
          <w:tcPr>
            <w:tcW w:w="622" w:type="pct"/>
            <w:tcBorders>
              <w:tl2br w:val="nil"/>
              <w:tr2bl w:val="nil"/>
            </w:tcBorders>
            <w:vAlign w:val="center"/>
          </w:tcPr>
          <w:p w14:paraId="31A68291">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57</w:t>
            </w:r>
          </w:p>
        </w:tc>
        <w:tc>
          <w:tcPr>
            <w:tcW w:w="623" w:type="pct"/>
            <w:tcBorders>
              <w:tl2br w:val="nil"/>
              <w:tr2bl w:val="nil"/>
            </w:tcBorders>
            <w:vAlign w:val="center"/>
          </w:tcPr>
          <w:p w14:paraId="240AD280">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46</w:t>
            </w:r>
          </w:p>
        </w:tc>
        <w:tc>
          <w:tcPr>
            <w:tcW w:w="907" w:type="pct"/>
            <w:vMerge w:val="continue"/>
            <w:tcBorders>
              <w:tl2br w:val="nil"/>
              <w:tr2bl w:val="nil"/>
            </w:tcBorders>
            <w:vAlign w:val="center"/>
          </w:tcPr>
          <w:p w14:paraId="79997C65">
            <w:pPr>
              <w:pStyle w:val="23"/>
              <w:keepNext w:val="0"/>
              <w:keepLines w:val="0"/>
              <w:pageBreakBefore w:val="0"/>
              <w:kinsoku/>
              <w:wordWrap/>
              <w:overflowPunct/>
              <w:topLinePunct w:val="0"/>
              <w:bidi w:val="0"/>
              <w:snapToGrid/>
              <w:ind w:firstLine="0" w:firstLineChars="0"/>
              <w:jc w:val="center"/>
              <w:rPr>
                <w:rFonts w:ascii="Times New Roman" w:eastAsia="宋体"/>
                <w:color w:val="auto"/>
                <w:sz w:val="21"/>
                <w:szCs w:val="21"/>
                <w:highlight w:val="none"/>
              </w:rPr>
            </w:pPr>
          </w:p>
        </w:tc>
      </w:tr>
      <w:tr w14:paraId="3D9AFE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5" w:type="pct"/>
            <w:tcBorders>
              <w:tl2br w:val="nil"/>
              <w:tr2bl w:val="nil"/>
            </w:tcBorders>
            <w:vAlign w:val="center"/>
          </w:tcPr>
          <w:p w14:paraId="0FAB4EAF">
            <w:pPr>
              <w:keepNext w:val="0"/>
              <w:keepLines w:val="0"/>
              <w:pageBreakBefore w:val="0"/>
              <w:kinsoku/>
              <w:wordWrap/>
              <w:overflowPunct/>
              <w:topLinePunct w:val="0"/>
              <w:bidi w:val="0"/>
              <w:snapToGrid/>
              <w:ind w:firstLine="0" w:firstLineChars="0"/>
              <w:jc w:val="center"/>
              <w:rPr>
                <w:rFonts w:hint="eastAsia" w:ascii="Times New Roman" w:eastAsia="宋体"/>
                <w:color w:val="auto"/>
                <w:sz w:val="21"/>
                <w:szCs w:val="21"/>
                <w:highlight w:val="none"/>
                <w:lang w:val="en-US" w:eastAsia="zh-CN"/>
              </w:rPr>
            </w:pPr>
            <w:r>
              <w:rPr>
                <w:rFonts w:ascii="Times New Roman" w:eastAsia="宋体"/>
                <w:color w:val="auto"/>
                <w:sz w:val="21"/>
                <w:szCs w:val="21"/>
                <w:highlight w:val="none"/>
              </w:rPr>
              <w:t>▲</w:t>
            </w:r>
            <w:r>
              <w:rPr>
                <w:rFonts w:hint="eastAsia" w:ascii="Times New Roman"/>
                <w:color w:val="auto"/>
                <w:sz w:val="21"/>
                <w:szCs w:val="21"/>
                <w:highlight w:val="none"/>
                <w:lang w:val="en-US" w:eastAsia="zh-CN"/>
              </w:rPr>
              <w:t>3</w:t>
            </w:r>
          </w:p>
        </w:tc>
        <w:tc>
          <w:tcPr>
            <w:tcW w:w="1245" w:type="pct"/>
            <w:tcBorders>
              <w:tl2br w:val="nil"/>
              <w:tr2bl w:val="nil"/>
            </w:tcBorders>
            <w:shd w:val="clear" w:color="auto" w:fill="auto"/>
            <w:vAlign w:val="center"/>
          </w:tcPr>
          <w:p w14:paraId="7B345F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kern w:val="2"/>
                <w:sz w:val="21"/>
                <w:szCs w:val="21"/>
                <w:highlight w:val="none"/>
                <w:vertAlign w:val="baseline"/>
                <w:lang w:val="en-US" w:eastAsia="zh-CN" w:bidi="ar-SA"/>
              </w:rPr>
            </w:pPr>
            <w:r>
              <w:rPr>
                <w:rFonts w:hint="default" w:ascii="Times New Roman" w:hAnsi="Times New Roman" w:cs="Times New Roman"/>
                <w:sz w:val="21"/>
                <w:szCs w:val="21"/>
                <w:highlight w:val="none"/>
                <w:vertAlign w:val="baseline"/>
                <w:lang w:val="en-US" w:eastAsia="zh-CN"/>
              </w:rPr>
              <w:t>厂界</w:t>
            </w:r>
            <w:r>
              <w:rPr>
                <w:rFonts w:hint="eastAsia" w:ascii="Times New Roman" w:hAnsi="Times New Roman" w:cs="Times New Roman"/>
                <w:sz w:val="21"/>
                <w:szCs w:val="21"/>
                <w:highlight w:val="none"/>
                <w:vertAlign w:val="baseline"/>
                <w:lang w:val="en-US" w:eastAsia="zh-CN"/>
              </w:rPr>
              <w:t>西</w:t>
            </w:r>
            <w:r>
              <w:rPr>
                <w:rFonts w:hint="default" w:ascii="Times New Roman" w:hAnsi="Times New Roman" w:cs="Times New Roman"/>
                <w:sz w:val="21"/>
                <w:szCs w:val="21"/>
                <w:highlight w:val="none"/>
                <w:vertAlign w:val="baseline"/>
                <w:lang w:val="en-US" w:eastAsia="zh-CN"/>
              </w:rPr>
              <w:t>侧1米处</w:t>
            </w:r>
          </w:p>
        </w:tc>
        <w:tc>
          <w:tcPr>
            <w:tcW w:w="622" w:type="pct"/>
            <w:tcBorders>
              <w:tl2br w:val="nil"/>
              <w:tr2bl w:val="nil"/>
            </w:tcBorders>
            <w:vAlign w:val="center"/>
          </w:tcPr>
          <w:p w14:paraId="4DBBF1C9">
            <w:pPr>
              <w:pStyle w:val="23"/>
              <w:keepNext w:val="0"/>
              <w:keepLines w:val="0"/>
              <w:pageBreakBefore w:val="0"/>
              <w:kinsoku/>
              <w:wordWrap/>
              <w:overflowPunct/>
              <w:topLinePunct w:val="0"/>
              <w:bidi w:val="0"/>
              <w:snapToGrid/>
              <w:ind w:firstLine="0" w:firstLineChars="0"/>
              <w:jc w:val="center"/>
              <w:rPr>
                <w:rFonts w:hint="default" w:ascii="Times New Roman"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55</w:t>
            </w:r>
          </w:p>
        </w:tc>
        <w:tc>
          <w:tcPr>
            <w:tcW w:w="622" w:type="pct"/>
            <w:tcBorders>
              <w:tl2br w:val="nil"/>
              <w:tr2bl w:val="nil"/>
            </w:tcBorders>
            <w:vAlign w:val="center"/>
          </w:tcPr>
          <w:p w14:paraId="360570A3">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45</w:t>
            </w:r>
          </w:p>
        </w:tc>
        <w:tc>
          <w:tcPr>
            <w:tcW w:w="622" w:type="pct"/>
            <w:tcBorders>
              <w:tl2br w:val="nil"/>
              <w:tr2bl w:val="nil"/>
            </w:tcBorders>
            <w:vAlign w:val="center"/>
          </w:tcPr>
          <w:p w14:paraId="118E568B">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57</w:t>
            </w:r>
          </w:p>
        </w:tc>
        <w:tc>
          <w:tcPr>
            <w:tcW w:w="623" w:type="pct"/>
            <w:tcBorders>
              <w:tl2br w:val="nil"/>
              <w:tr2bl w:val="nil"/>
            </w:tcBorders>
            <w:vAlign w:val="center"/>
          </w:tcPr>
          <w:p w14:paraId="29117F60">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44</w:t>
            </w:r>
          </w:p>
        </w:tc>
        <w:tc>
          <w:tcPr>
            <w:tcW w:w="907" w:type="pct"/>
            <w:vMerge w:val="continue"/>
            <w:tcBorders>
              <w:tl2br w:val="nil"/>
              <w:tr2bl w:val="nil"/>
            </w:tcBorders>
            <w:vAlign w:val="center"/>
          </w:tcPr>
          <w:p w14:paraId="3301986F">
            <w:pPr>
              <w:pStyle w:val="23"/>
              <w:keepNext w:val="0"/>
              <w:keepLines w:val="0"/>
              <w:pageBreakBefore w:val="0"/>
              <w:kinsoku/>
              <w:wordWrap/>
              <w:overflowPunct/>
              <w:topLinePunct w:val="0"/>
              <w:bidi w:val="0"/>
              <w:snapToGrid/>
              <w:ind w:firstLine="0" w:firstLineChars="0"/>
              <w:jc w:val="center"/>
              <w:rPr>
                <w:rFonts w:ascii="Times New Roman" w:eastAsia="宋体"/>
                <w:color w:val="auto"/>
                <w:sz w:val="21"/>
                <w:szCs w:val="21"/>
                <w:highlight w:val="none"/>
              </w:rPr>
            </w:pPr>
          </w:p>
        </w:tc>
      </w:tr>
      <w:tr w14:paraId="0E76FC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5" w:type="pct"/>
            <w:tcBorders>
              <w:tl2br w:val="nil"/>
              <w:tr2bl w:val="nil"/>
            </w:tcBorders>
            <w:vAlign w:val="center"/>
          </w:tcPr>
          <w:p w14:paraId="17CE666D">
            <w:pPr>
              <w:keepNext w:val="0"/>
              <w:keepLines w:val="0"/>
              <w:pageBreakBefore w:val="0"/>
              <w:kinsoku/>
              <w:wordWrap/>
              <w:overflowPunct/>
              <w:topLinePunct w:val="0"/>
              <w:bidi w:val="0"/>
              <w:snapToGrid/>
              <w:ind w:firstLine="0" w:firstLineChars="0"/>
              <w:jc w:val="center"/>
              <w:rPr>
                <w:rFonts w:hint="eastAsia" w:ascii="Times New Roman" w:eastAsia="宋体"/>
                <w:color w:val="auto"/>
                <w:sz w:val="21"/>
                <w:szCs w:val="21"/>
                <w:highlight w:val="none"/>
                <w:lang w:val="en-US" w:eastAsia="zh-CN"/>
              </w:rPr>
            </w:pPr>
            <w:r>
              <w:rPr>
                <w:rFonts w:ascii="Times New Roman" w:eastAsia="宋体"/>
                <w:color w:val="auto"/>
                <w:sz w:val="21"/>
                <w:szCs w:val="21"/>
                <w:highlight w:val="none"/>
              </w:rPr>
              <w:t>▲</w:t>
            </w:r>
            <w:r>
              <w:rPr>
                <w:rFonts w:hint="eastAsia" w:ascii="Times New Roman"/>
                <w:color w:val="auto"/>
                <w:sz w:val="21"/>
                <w:szCs w:val="21"/>
                <w:highlight w:val="none"/>
                <w:lang w:val="en-US" w:eastAsia="zh-CN"/>
              </w:rPr>
              <w:t>4</w:t>
            </w:r>
          </w:p>
        </w:tc>
        <w:tc>
          <w:tcPr>
            <w:tcW w:w="1245" w:type="pct"/>
            <w:tcBorders>
              <w:tl2br w:val="nil"/>
              <w:tr2bl w:val="nil"/>
            </w:tcBorders>
            <w:shd w:val="clear" w:color="auto" w:fill="auto"/>
            <w:vAlign w:val="center"/>
          </w:tcPr>
          <w:p w14:paraId="1FA4CA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kern w:val="2"/>
                <w:sz w:val="21"/>
                <w:szCs w:val="21"/>
                <w:highlight w:val="none"/>
                <w:vertAlign w:val="baseline"/>
                <w:lang w:val="en-US" w:eastAsia="zh-CN" w:bidi="ar-SA"/>
              </w:rPr>
            </w:pPr>
            <w:r>
              <w:rPr>
                <w:rFonts w:hint="default" w:ascii="Times New Roman" w:hAnsi="Times New Roman" w:cs="Times New Roman"/>
                <w:sz w:val="21"/>
                <w:szCs w:val="21"/>
                <w:highlight w:val="none"/>
                <w:vertAlign w:val="baseline"/>
                <w:lang w:val="en-US" w:eastAsia="zh-CN"/>
              </w:rPr>
              <w:t>厂界</w:t>
            </w:r>
            <w:r>
              <w:rPr>
                <w:rFonts w:hint="eastAsia" w:ascii="Times New Roman" w:hAnsi="Times New Roman" w:cs="Times New Roman"/>
                <w:sz w:val="21"/>
                <w:szCs w:val="21"/>
                <w:highlight w:val="none"/>
                <w:vertAlign w:val="baseline"/>
                <w:lang w:val="en-US" w:eastAsia="zh-CN"/>
              </w:rPr>
              <w:t>南</w:t>
            </w:r>
            <w:r>
              <w:rPr>
                <w:rFonts w:hint="default" w:ascii="Times New Roman" w:hAnsi="Times New Roman" w:cs="Times New Roman"/>
                <w:sz w:val="21"/>
                <w:szCs w:val="21"/>
                <w:highlight w:val="none"/>
                <w:vertAlign w:val="baseline"/>
                <w:lang w:val="en-US" w:eastAsia="zh-CN"/>
              </w:rPr>
              <w:t>侧1米处</w:t>
            </w:r>
          </w:p>
        </w:tc>
        <w:tc>
          <w:tcPr>
            <w:tcW w:w="622" w:type="pct"/>
            <w:tcBorders>
              <w:tl2br w:val="nil"/>
              <w:tr2bl w:val="nil"/>
            </w:tcBorders>
            <w:vAlign w:val="center"/>
          </w:tcPr>
          <w:p w14:paraId="48CBD803">
            <w:pPr>
              <w:pStyle w:val="23"/>
              <w:keepNext w:val="0"/>
              <w:keepLines w:val="0"/>
              <w:pageBreakBefore w:val="0"/>
              <w:kinsoku/>
              <w:wordWrap/>
              <w:overflowPunct/>
              <w:topLinePunct w:val="0"/>
              <w:bidi w:val="0"/>
              <w:snapToGrid/>
              <w:ind w:firstLine="0" w:firstLineChars="0"/>
              <w:jc w:val="center"/>
              <w:rPr>
                <w:rFonts w:hint="default" w:ascii="Times New Roman"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68</w:t>
            </w:r>
          </w:p>
        </w:tc>
        <w:tc>
          <w:tcPr>
            <w:tcW w:w="622" w:type="pct"/>
            <w:tcBorders>
              <w:tl2br w:val="nil"/>
              <w:tr2bl w:val="nil"/>
            </w:tcBorders>
            <w:vAlign w:val="center"/>
          </w:tcPr>
          <w:p w14:paraId="768E47F9">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53</w:t>
            </w:r>
          </w:p>
        </w:tc>
        <w:tc>
          <w:tcPr>
            <w:tcW w:w="622" w:type="pct"/>
            <w:tcBorders>
              <w:tl2br w:val="nil"/>
              <w:tr2bl w:val="nil"/>
            </w:tcBorders>
            <w:vAlign w:val="center"/>
          </w:tcPr>
          <w:p w14:paraId="4FC46037">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66</w:t>
            </w:r>
          </w:p>
        </w:tc>
        <w:tc>
          <w:tcPr>
            <w:tcW w:w="623" w:type="pct"/>
            <w:tcBorders>
              <w:tl2br w:val="nil"/>
              <w:tr2bl w:val="nil"/>
            </w:tcBorders>
            <w:vAlign w:val="center"/>
          </w:tcPr>
          <w:p w14:paraId="1D6BAA29">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52</w:t>
            </w:r>
          </w:p>
        </w:tc>
        <w:tc>
          <w:tcPr>
            <w:tcW w:w="907" w:type="pct"/>
            <w:vMerge w:val="continue"/>
            <w:tcBorders>
              <w:tl2br w:val="nil"/>
              <w:tr2bl w:val="nil"/>
            </w:tcBorders>
            <w:vAlign w:val="center"/>
          </w:tcPr>
          <w:p w14:paraId="05282D94">
            <w:pPr>
              <w:pStyle w:val="23"/>
              <w:keepNext w:val="0"/>
              <w:keepLines w:val="0"/>
              <w:pageBreakBefore w:val="0"/>
              <w:kinsoku/>
              <w:wordWrap/>
              <w:overflowPunct/>
              <w:topLinePunct w:val="0"/>
              <w:bidi w:val="0"/>
              <w:snapToGrid/>
              <w:ind w:firstLine="0" w:firstLineChars="0"/>
              <w:jc w:val="center"/>
              <w:rPr>
                <w:rFonts w:ascii="Times New Roman" w:eastAsia="宋体"/>
                <w:color w:val="auto"/>
                <w:sz w:val="21"/>
                <w:szCs w:val="21"/>
                <w:highlight w:val="none"/>
              </w:rPr>
            </w:pPr>
          </w:p>
        </w:tc>
      </w:tr>
      <w:tr w14:paraId="15CCD3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5" w:type="pct"/>
            <w:vMerge w:val="restart"/>
            <w:vAlign w:val="center"/>
          </w:tcPr>
          <w:p w14:paraId="2D39E8C1">
            <w:pPr>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w:t>
            </w:r>
            <w:r>
              <w:rPr>
                <w:rFonts w:hint="eastAsia" w:ascii="Times New Roman"/>
                <w:color w:val="auto"/>
                <w:sz w:val="21"/>
                <w:szCs w:val="21"/>
                <w:highlight w:val="none"/>
                <w:lang w:val="en-US" w:eastAsia="zh-CN"/>
              </w:rPr>
              <w:t>5</w:t>
            </w:r>
          </w:p>
        </w:tc>
        <w:tc>
          <w:tcPr>
            <w:tcW w:w="1245" w:type="pct"/>
            <w:shd w:val="clear" w:color="auto" w:fill="auto"/>
            <w:vAlign w:val="center"/>
          </w:tcPr>
          <w:p w14:paraId="37D913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旅游局家属楼1楼</w:t>
            </w:r>
          </w:p>
        </w:tc>
        <w:tc>
          <w:tcPr>
            <w:tcW w:w="622" w:type="pct"/>
            <w:vAlign w:val="center"/>
          </w:tcPr>
          <w:p w14:paraId="34513EC6">
            <w:pPr>
              <w:pStyle w:val="23"/>
              <w:keepNext w:val="0"/>
              <w:keepLines w:val="0"/>
              <w:pageBreakBefore w:val="0"/>
              <w:kinsoku/>
              <w:wordWrap/>
              <w:overflowPunct/>
              <w:topLinePunct w:val="0"/>
              <w:bidi w:val="0"/>
              <w:snapToGrid/>
              <w:ind w:firstLine="0" w:firstLineChars="0"/>
              <w:jc w:val="center"/>
              <w:rPr>
                <w:rFonts w:hint="default" w:ascii="Times New Roman"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52</w:t>
            </w:r>
          </w:p>
        </w:tc>
        <w:tc>
          <w:tcPr>
            <w:tcW w:w="622" w:type="pct"/>
            <w:vAlign w:val="center"/>
          </w:tcPr>
          <w:p w14:paraId="214482BF">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42</w:t>
            </w:r>
          </w:p>
        </w:tc>
        <w:tc>
          <w:tcPr>
            <w:tcW w:w="622" w:type="pct"/>
            <w:vAlign w:val="center"/>
          </w:tcPr>
          <w:p w14:paraId="0F32F51F">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53</w:t>
            </w:r>
          </w:p>
        </w:tc>
        <w:tc>
          <w:tcPr>
            <w:tcW w:w="623" w:type="pct"/>
            <w:vAlign w:val="center"/>
          </w:tcPr>
          <w:p w14:paraId="370DC388">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43</w:t>
            </w:r>
          </w:p>
        </w:tc>
        <w:tc>
          <w:tcPr>
            <w:tcW w:w="907" w:type="pct"/>
            <w:vMerge w:val="continue"/>
          </w:tcPr>
          <w:p w14:paraId="5F52F6A0">
            <w:pPr>
              <w:pStyle w:val="23"/>
              <w:keepNext w:val="0"/>
              <w:keepLines w:val="0"/>
              <w:pageBreakBefore w:val="0"/>
              <w:kinsoku/>
              <w:wordWrap/>
              <w:overflowPunct/>
              <w:topLinePunct w:val="0"/>
              <w:bidi w:val="0"/>
              <w:snapToGrid/>
              <w:ind w:firstLine="0" w:firstLineChars="0"/>
              <w:jc w:val="center"/>
              <w:rPr>
                <w:rFonts w:ascii="Times New Roman" w:eastAsia="宋体"/>
                <w:color w:val="auto"/>
                <w:sz w:val="21"/>
                <w:szCs w:val="21"/>
                <w:highlight w:val="none"/>
              </w:rPr>
            </w:pPr>
          </w:p>
        </w:tc>
      </w:tr>
      <w:tr w14:paraId="647AAA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5" w:type="pct"/>
            <w:vMerge w:val="continue"/>
            <w:vAlign w:val="center"/>
          </w:tcPr>
          <w:p w14:paraId="31854727">
            <w:pPr>
              <w:keepNext w:val="0"/>
              <w:keepLines w:val="0"/>
              <w:pageBreakBefore w:val="0"/>
              <w:kinsoku/>
              <w:wordWrap/>
              <w:overflowPunct/>
              <w:topLinePunct w:val="0"/>
              <w:bidi w:val="0"/>
              <w:snapToGrid/>
              <w:ind w:firstLine="0" w:firstLineChars="0"/>
              <w:jc w:val="center"/>
              <w:rPr>
                <w:rFonts w:hint="eastAsia" w:ascii="Times New Roman" w:eastAsia="宋体"/>
                <w:color w:val="auto"/>
                <w:sz w:val="21"/>
                <w:szCs w:val="21"/>
                <w:highlight w:val="none"/>
                <w:lang w:val="en-US" w:eastAsia="zh-CN"/>
              </w:rPr>
            </w:pPr>
          </w:p>
        </w:tc>
        <w:tc>
          <w:tcPr>
            <w:tcW w:w="1245" w:type="pct"/>
            <w:shd w:val="clear" w:color="auto" w:fill="auto"/>
            <w:vAlign w:val="center"/>
          </w:tcPr>
          <w:p w14:paraId="2B0511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旅游局家属楼3楼</w:t>
            </w:r>
          </w:p>
        </w:tc>
        <w:tc>
          <w:tcPr>
            <w:tcW w:w="622" w:type="pct"/>
            <w:vAlign w:val="center"/>
          </w:tcPr>
          <w:p w14:paraId="14677FEE">
            <w:pPr>
              <w:pStyle w:val="23"/>
              <w:keepNext w:val="0"/>
              <w:keepLines w:val="0"/>
              <w:pageBreakBefore w:val="0"/>
              <w:kinsoku/>
              <w:wordWrap/>
              <w:overflowPunct/>
              <w:topLinePunct w:val="0"/>
              <w:bidi w:val="0"/>
              <w:snapToGrid/>
              <w:ind w:firstLine="0" w:firstLineChars="0"/>
              <w:jc w:val="center"/>
              <w:rPr>
                <w:rFonts w:hint="default" w:ascii="Times New Roman"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51</w:t>
            </w:r>
          </w:p>
        </w:tc>
        <w:tc>
          <w:tcPr>
            <w:tcW w:w="622" w:type="pct"/>
            <w:vAlign w:val="center"/>
          </w:tcPr>
          <w:p w14:paraId="531798E6">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43</w:t>
            </w:r>
          </w:p>
        </w:tc>
        <w:tc>
          <w:tcPr>
            <w:tcW w:w="622" w:type="pct"/>
            <w:vAlign w:val="center"/>
          </w:tcPr>
          <w:p w14:paraId="3F6869F5">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54</w:t>
            </w:r>
          </w:p>
        </w:tc>
        <w:tc>
          <w:tcPr>
            <w:tcW w:w="623" w:type="pct"/>
            <w:vAlign w:val="center"/>
          </w:tcPr>
          <w:p w14:paraId="4CFBBD94">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42</w:t>
            </w:r>
          </w:p>
        </w:tc>
        <w:tc>
          <w:tcPr>
            <w:tcW w:w="907" w:type="pct"/>
            <w:vMerge w:val="continue"/>
          </w:tcPr>
          <w:p w14:paraId="1E8AF0FA">
            <w:pPr>
              <w:pStyle w:val="23"/>
              <w:keepNext w:val="0"/>
              <w:keepLines w:val="0"/>
              <w:pageBreakBefore w:val="0"/>
              <w:kinsoku/>
              <w:wordWrap/>
              <w:overflowPunct/>
              <w:topLinePunct w:val="0"/>
              <w:bidi w:val="0"/>
              <w:snapToGrid/>
              <w:ind w:firstLine="0" w:firstLineChars="0"/>
              <w:jc w:val="center"/>
              <w:rPr>
                <w:rFonts w:ascii="Times New Roman" w:eastAsia="宋体"/>
                <w:color w:val="auto"/>
                <w:sz w:val="21"/>
                <w:szCs w:val="21"/>
                <w:highlight w:val="none"/>
              </w:rPr>
            </w:pPr>
          </w:p>
        </w:tc>
      </w:tr>
      <w:tr w14:paraId="2F48F2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5" w:type="pct"/>
            <w:vMerge w:val="continue"/>
            <w:vAlign w:val="center"/>
          </w:tcPr>
          <w:p w14:paraId="77CC9885">
            <w:pPr>
              <w:keepNext w:val="0"/>
              <w:keepLines w:val="0"/>
              <w:pageBreakBefore w:val="0"/>
              <w:kinsoku/>
              <w:wordWrap/>
              <w:overflowPunct/>
              <w:topLinePunct w:val="0"/>
              <w:bidi w:val="0"/>
              <w:snapToGrid/>
              <w:ind w:firstLine="0" w:firstLineChars="0"/>
              <w:jc w:val="center"/>
              <w:rPr>
                <w:rFonts w:hint="eastAsia" w:ascii="Times New Roman" w:eastAsia="宋体"/>
                <w:color w:val="auto"/>
                <w:sz w:val="21"/>
                <w:szCs w:val="21"/>
                <w:highlight w:val="none"/>
                <w:lang w:val="en-US" w:eastAsia="zh-CN"/>
              </w:rPr>
            </w:pPr>
          </w:p>
        </w:tc>
        <w:tc>
          <w:tcPr>
            <w:tcW w:w="1245" w:type="pct"/>
            <w:shd w:val="clear" w:color="auto" w:fill="auto"/>
            <w:vAlign w:val="center"/>
          </w:tcPr>
          <w:p w14:paraId="583138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旅游局家属楼5楼</w:t>
            </w:r>
          </w:p>
        </w:tc>
        <w:tc>
          <w:tcPr>
            <w:tcW w:w="622" w:type="pct"/>
            <w:vAlign w:val="center"/>
          </w:tcPr>
          <w:p w14:paraId="7BE73365">
            <w:pPr>
              <w:pStyle w:val="23"/>
              <w:keepNext w:val="0"/>
              <w:keepLines w:val="0"/>
              <w:pageBreakBefore w:val="0"/>
              <w:kinsoku/>
              <w:wordWrap/>
              <w:overflowPunct/>
              <w:topLinePunct w:val="0"/>
              <w:bidi w:val="0"/>
              <w:snapToGrid/>
              <w:ind w:firstLine="0" w:firstLineChars="0"/>
              <w:jc w:val="center"/>
              <w:rPr>
                <w:rFonts w:hint="default" w:ascii="Times New Roman"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50</w:t>
            </w:r>
          </w:p>
        </w:tc>
        <w:tc>
          <w:tcPr>
            <w:tcW w:w="622" w:type="pct"/>
            <w:vAlign w:val="center"/>
          </w:tcPr>
          <w:p w14:paraId="2DA9E6EB">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42</w:t>
            </w:r>
          </w:p>
        </w:tc>
        <w:tc>
          <w:tcPr>
            <w:tcW w:w="622" w:type="pct"/>
            <w:vAlign w:val="center"/>
          </w:tcPr>
          <w:p w14:paraId="6F80CAA0">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52</w:t>
            </w:r>
          </w:p>
        </w:tc>
        <w:tc>
          <w:tcPr>
            <w:tcW w:w="623" w:type="pct"/>
            <w:vAlign w:val="center"/>
          </w:tcPr>
          <w:p w14:paraId="3E39F18A">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43</w:t>
            </w:r>
          </w:p>
        </w:tc>
        <w:tc>
          <w:tcPr>
            <w:tcW w:w="907" w:type="pct"/>
            <w:vMerge w:val="continue"/>
          </w:tcPr>
          <w:p w14:paraId="62529A1E">
            <w:pPr>
              <w:pStyle w:val="23"/>
              <w:keepNext w:val="0"/>
              <w:keepLines w:val="0"/>
              <w:pageBreakBefore w:val="0"/>
              <w:kinsoku/>
              <w:wordWrap/>
              <w:overflowPunct/>
              <w:topLinePunct w:val="0"/>
              <w:bidi w:val="0"/>
              <w:snapToGrid/>
              <w:ind w:firstLine="0" w:firstLineChars="0"/>
              <w:jc w:val="center"/>
              <w:rPr>
                <w:rFonts w:ascii="Times New Roman" w:eastAsia="宋体"/>
                <w:color w:val="auto"/>
                <w:sz w:val="21"/>
                <w:szCs w:val="21"/>
                <w:highlight w:val="none"/>
              </w:rPr>
            </w:pPr>
          </w:p>
        </w:tc>
      </w:tr>
      <w:tr w14:paraId="555CC8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5" w:type="pct"/>
            <w:vMerge w:val="restart"/>
            <w:shd w:val="clear" w:color="auto" w:fill="auto"/>
            <w:vAlign w:val="center"/>
          </w:tcPr>
          <w:p w14:paraId="2C28E842">
            <w:pPr>
              <w:keepNext w:val="0"/>
              <w:keepLines w:val="0"/>
              <w:pageBreakBefore w:val="0"/>
              <w:kinsoku/>
              <w:wordWrap/>
              <w:overflowPunct/>
              <w:topLinePunct w:val="0"/>
              <w:bidi w:val="0"/>
              <w:snapToGrid/>
              <w:ind w:firstLine="0" w:firstLineChars="0"/>
              <w:jc w:val="center"/>
              <w:rPr>
                <w:rFonts w:hint="eastAsia" w:ascii="Times New Roman" w:hAnsi="Calibri" w:eastAsia="宋体" w:cs="Times New Roman"/>
                <w:color w:val="auto"/>
                <w:kern w:val="2"/>
                <w:sz w:val="21"/>
                <w:szCs w:val="21"/>
                <w:highlight w:val="none"/>
                <w:lang w:val="en-US" w:eastAsia="zh-CN" w:bidi="ar-SA"/>
              </w:rPr>
            </w:pPr>
            <w:r>
              <w:rPr>
                <w:rFonts w:hint="eastAsia"/>
                <w:highlight w:val="none"/>
              </w:rPr>
              <w:t>△</w:t>
            </w:r>
            <w:r>
              <w:rPr>
                <w:rFonts w:hint="eastAsia"/>
                <w:highlight w:val="none"/>
                <w:lang w:val="en-US" w:eastAsia="zh-CN"/>
              </w:rPr>
              <w:t>6</w:t>
            </w:r>
          </w:p>
        </w:tc>
        <w:tc>
          <w:tcPr>
            <w:tcW w:w="1245" w:type="pct"/>
            <w:shd w:val="clear" w:color="auto" w:fill="auto"/>
            <w:vAlign w:val="center"/>
          </w:tcPr>
          <w:p w14:paraId="155423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新安幸福嘉园1楼</w:t>
            </w:r>
          </w:p>
        </w:tc>
        <w:tc>
          <w:tcPr>
            <w:tcW w:w="622" w:type="pct"/>
            <w:shd w:val="clear" w:color="auto" w:fill="auto"/>
            <w:vAlign w:val="center"/>
          </w:tcPr>
          <w:p w14:paraId="4148057C">
            <w:pPr>
              <w:pStyle w:val="23"/>
              <w:keepNext w:val="0"/>
              <w:keepLines w:val="0"/>
              <w:pageBreakBefore w:val="0"/>
              <w:kinsoku/>
              <w:wordWrap/>
              <w:overflowPunct/>
              <w:topLinePunct w:val="0"/>
              <w:bidi w:val="0"/>
              <w:snapToGrid/>
              <w:ind w:firstLine="0" w:firstLineChars="0"/>
              <w:jc w:val="center"/>
              <w:rPr>
                <w:rFonts w:hint="eastAsia" w:ascii="Times New Roman" w:hAnsi="Times New Roman" w:eastAsia="仿宋_GB2312"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54</w:t>
            </w:r>
          </w:p>
        </w:tc>
        <w:tc>
          <w:tcPr>
            <w:tcW w:w="622" w:type="pct"/>
            <w:shd w:val="clear" w:color="auto" w:fill="auto"/>
            <w:vAlign w:val="center"/>
          </w:tcPr>
          <w:p w14:paraId="27EBE1D6">
            <w:pPr>
              <w:pStyle w:val="23"/>
              <w:keepNext w:val="0"/>
              <w:keepLines w:val="0"/>
              <w:pageBreakBefore w:val="0"/>
              <w:kinsoku/>
              <w:wordWrap/>
              <w:overflowPunct/>
              <w:topLinePunct w:val="0"/>
              <w:bidi w:val="0"/>
              <w:snapToGrid/>
              <w:ind w:firstLine="0" w:firstLineChars="0"/>
              <w:jc w:val="center"/>
              <w:rPr>
                <w:rFonts w:hint="eastAsia" w:ascii="Times New Roman" w:hAnsi="Times New Roman" w:eastAsia="宋体" w:cs="Times New Roman"/>
                <w:color w:val="auto"/>
                <w:sz w:val="21"/>
                <w:szCs w:val="21"/>
                <w:highlight w:val="none"/>
                <w:lang w:val="en-US" w:eastAsia="zh-CN" w:bidi="ar-SA"/>
              </w:rPr>
            </w:pPr>
            <w:r>
              <w:rPr>
                <w:rFonts w:hint="eastAsia" w:ascii="Times New Roman" w:eastAsia="宋体"/>
                <w:color w:val="auto"/>
                <w:sz w:val="21"/>
                <w:szCs w:val="21"/>
                <w:highlight w:val="none"/>
                <w:lang w:val="en-US" w:eastAsia="zh-CN"/>
              </w:rPr>
              <w:t>44</w:t>
            </w:r>
          </w:p>
        </w:tc>
        <w:tc>
          <w:tcPr>
            <w:tcW w:w="622" w:type="pct"/>
            <w:shd w:val="clear" w:color="auto" w:fill="auto"/>
            <w:vAlign w:val="center"/>
          </w:tcPr>
          <w:p w14:paraId="0365772A">
            <w:pPr>
              <w:pStyle w:val="23"/>
              <w:keepNext w:val="0"/>
              <w:keepLines w:val="0"/>
              <w:pageBreakBefore w:val="0"/>
              <w:kinsoku/>
              <w:wordWrap/>
              <w:overflowPunct/>
              <w:topLinePunct w:val="0"/>
              <w:bidi w:val="0"/>
              <w:snapToGrid/>
              <w:ind w:firstLine="0" w:firstLineChars="0"/>
              <w:jc w:val="center"/>
              <w:rPr>
                <w:rFonts w:hint="eastAsia" w:ascii="Times New Roman" w:hAnsi="Times New Roman" w:eastAsia="宋体" w:cs="Times New Roman"/>
                <w:color w:val="auto"/>
                <w:sz w:val="21"/>
                <w:szCs w:val="21"/>
                <w:highlight w:val="none"/>
                <w:lang w:val="en-US" w:eastAsia="zh-CN" w:bidi="ar-SA"/>
              </w:rPr>
            </w:pPr>
            <w:r>
              <w:rPr>
                <w:rFonts w:hint="eastAsia" w:ascii="Times New Roman" w:eastAsia="宋体"/>
                <w:color w:val="auto"/>
                <w:sz w:val="21"/>
                <w:szCs w:val="21"/>
                <w:highlight w:val="none"/>
                <w:lang w:val="en-US" w:eastAsia="zh-CN"/>
              </w:rPr>
              <w:t>55</w:t>
            </w:r>
          </w:p>
        </w:tc>
        <w:tc>
          <w:tcPr>
            <w:tcW w:w="623" w:type="pct"/>
            <w:shd w:val="clear" w:color="auto" w:fill="auto"/>
            <w:vAlign w:val="center"/>
          </w:tcPr>
          <w:p w14:paraId="18C182B8">
            <w:pPr>
              <w:pStyle w:val="23"/>
              <w:keepNext w:val="0"/>
              <w:keepLines w:val="0"/>
              <w:pageBreakBefore w:val="0"/>
              <w:kinsoku/>
              <w:wordWrap/>
              <w:overflowPunct/>
              <w:topLinePunct w:val="0"/>
              <w:bidi w:val="0"/>
              <w:snapToGrid/>
              <w:ind w:firstLine="0" w:firstLineChars="0"/>
              <w:jc w:val="center"/>
              <w:rPr>
                <w:rFonts w:hint="eastAsia" w:ascii="Times New Roman" w:hAnsi="Times New Roman" w:eastAsia="宋体" w:cs="Times New Roman"/>
                <w:color w:val="auto"/>
                <w:sz w:val="21"/>
                <w:szCs w:val="21"/>
                <w:highlight w:val="none"/>
                <w:lang w:val="en-US" w:eastAsia="zh-CN" w:bidi="ar-SA"/>
              </w:rPr>
            </w:pPr>
            <w:r>
              <w:rPr>
                <w:rFonts w:hint="eastAsia" w:ascii="Times New Roman" w:eastAsia="宋体"/>
                <w:color w:val="auto"/>
                <w:sz w:val="21"/>
                <w:szCs w:val="21"/>
                <w:highlight w:val="none"/>
                <w:lang w:val="en-US" w:eastAsia="zh-CN"/>
              </w:rPr>
              <w:t>45</w:t>
            </w:r>
          </w:p>
        </w:tc>
        <w:tc>
          <w:tcPr>
            <w:tcW w:w="907" w:type="pct"/>
            <w:vMerge w:val="continue"/>
          </w:tcPr>
          <w:p w14:paraId="7A9FFB23">
            <w:pPr>
              <w:pStyle w:val="23"/>
              <w:keepNext w:val="0"/>
              <w:keepLines w:val="0"/>
              <w:pageBreakBefore w:val="0"/>
              <w:kinsoku/>
              <w:wordWrap/>
              <w:overflowPunct/>
              <w:topLinePunct w:val="0"/>
              <w:bidi w:val="0"/>
              <w:snapToGrid/>
              <w:ind w:firstLine="0" w:firstLineChars="0"/>
              <w:jc w:val="center"/>
              <w:rPr>
                <w:rFonts w:ascii="Times New Roman" w:eastAsia="宋体"/>
                <w:color w:val="auto"/>
                <w:sz w:val="21"/>
                <w:szCs w:val="21"/>
                <w:highlight w:val="none"/>
              </w:rPr>
            </w:pPr>
          </w:p>
        </w:tc>
      </w:tr>
      <w:tr w14:paraId="7889DD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5" w:type="pct"/>
            <w:vMerge w:val="continue"/>
            <w:vAlign w:val="center"/>
          </w:tcPr>
          <w:p w14:paraId="5A089513">
            <w:pPr>
              <w:keepNext w:val="0"/>
              <w:keepLines w:val="0"/>
              <w:pageBreakBefore w:val="0"/>
              <w:kinsoku/>
              <w:wordWrap/>
              <w:overflowPunct/>
              <w:topLinePunct w:val="0"/>
              <w:bidi w:val="0"/>
              <w:snapToGrid/>
              <w:ind w:firstLine="0" w:firstLineChars="0"/>
              <w:jc w:val="center"/>
              <w:rPr>
                <w:rFonts w:hint="eastAsia" w:ascii="Times New Roman" w:eastAsia="宋体"/>
                <w:color w:val="auto"/>
                <w:sz w:val="21"/>
                <w:szCs w:val="21"/>
                <w:highlight w:val="none"/>
                <w:lang w:val="en-US" w:eastAsia="zh-CN"/>
              </w:rPr>
            </w:pPr>
          </w:p>
        </w:tc>
        <w:tc>
          <w:tcPr>
            <w:tcW w:w="1245" w:type="pct"/>
            <w:shd w:val="clear" w:color="auto" w:fill="auto"/>
            <w:vAlign w:val="center"/>
          </w:tcPr>
          <w:p w14:paraId="5CA2CC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新安幸福嘉园3楼</w:t>
            </w:r>
          </w:p>
        </w:tc>
        <w:tc>
          <w:tcPr>
            <w:tcW w:w="622" w:type="pct"/>
            <w:vAlign w:val="center"/>
          </w:tcPr>
          <w:p w14:paraId="4E446C05">
            <w:pPr>
              <w:pStyle w:val="23"/>
              <w:keepNext w:val="0"/>
              <w:keepLines w:val="0"/>
              <w:pageBreakBefore w:val="0"/>
              <w:kinsoku/>
              <w:wordWrap/>
              <w:overflowPunct/>
              <w:topLinePunct w:val="0"/>
              <w:bidi w:val="0"/>
              <w:snapToGrid/>
              <w:ind w:firstLine="0" w:firstLineChars="0"/>
              <w:jc w:val="center"/>
              <w:rPr>
                <w:rFonts w:hint="default" w:ascii="Times New Roman"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53</w:t>
            </w:r>
          </w:p>
        </w:tc>
        <w:tc>
          <w:tcPr>
            <w:tcW w:w="622" w:type="pct"/>
            <w:vAlign w:val="center"/>
          </w:tcPr>
          <w:p w14:paraId="13F2DD03">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43</w:t>
            </w:r>
          </w:p>
        </w:tc>
        <w:tc>
          <w:tcPr>
            <w:tcW w:w="622" w:type="pct"/>
            <w:vAlign w:val="center"/>
          </w:tcPr>
          <w:p w14:paraId="382470EB">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54</w:t>
            </w:r>
          </w:p>
        </w:tc>
        <w:tc>
          <w:tcPr>
            <w:tcW w:w="623" w:type="pct"/>
            <w:vAlign w:val="center"/>
          </w:tcPr>
          <w:p w14:paraId="09EFE93A">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44</w:t>
            </w:r>
          </w:p>
        </w:tc>
        <w:tc>
          <w:tcPr>
            <w:tcW w:w="907" w:type="pct"/>
            <w:vMerge w:val="continue"/>
          </w:tcPr>
          <w:p w14:paraId="35540683">
            <w:pPr>
              <w:pStyle w:val="23"/>
              <w:keepNext w:val="0"/>
              <w:keepLines w:val="0"/>
              <w:pageBreakBefore w:val="0"/>
              <w:kinsoku/>
              <w:wordWrap/>
              <w:overflowPunct/>
              <w:topLinePunct w:val="0"/>
              <w:bidi w:val="0"/>
              <w:snapToGrid/>
              <w:ind w:firstLine="0" w:firstLineChars="0"/>
              <w:jc w:val="center"/>
              <w:rPr>
                <w:rFonts w:ascii="Times New Roman" w:eastAsia="宋体"/>
                <w:color w:val="auto"/>
                <w:sz w:val="21"/>
                <w:szCs w:val="21"/>
                <w:highlight w:val="none"/>
              </w:rPr>
            </w:pPr>
          </w:p>
        </w:tc>
      </w:tr>
      <w:tr w14:paraId="522875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5" w:type="pct"/>
            <w:vMerge w:val="continue"/>
            <w:vAlign w:val="center"/>
          </w:tcPr>
          <w:p w14:paraId="55D2CF79">
            <w:pPr>
              <w:keepNext w:val="0"/>
              <w:keepLines w:val="0"/>
              <w:pageBreakBefore w:val="0"/>
              <w:kinsoku/>
              <w:wordWrap/>
              <w:overflowPunct/>
              <w:topLinePunct w:val="0"/>
              <w:bidi w:val="0"/>
              <w:snapToGrid/>
              <w:ind w:firstLine="0" w:firstLineChars="0"/>
              <w:jc w:val="center"/>
              <w:rPr>
                <w:rFonts w:hint="eastAsia" w:ascii="Times New Roman" w:eastAsia="宋体"/>
                <w:color w:val="auto"/>
                <w:sz w:val="21"/>
                <w:szCs w:val="21"/>
                <w:highlight w:val="none"/>
                <w:lang w:val="en-US" w:eastAsia="zh-CN"/>
              </w:rPr>
            </w:pPr>
          </w:p>
        </w:tc>
        <w:tc>
          <w:tcPr>
            <w:tcW w:w="1245" w:type="pct"/>
            <w:shd w:val="clear" w:color="auto" w:fill="auto"/>
            <w:vAlign w:val="center"/>
          </w:tcPr>
          <w:p w14:paraId="453C2A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新安幸福嘉园5楼</w:t>
            </w:r>
          </w:p>
        </w:tc>
        <w:tc>
          <w:tcPr>
            <w:tcW w:w="622" w:type="pct"/>
            <w:vAlign w:val="center"/>
          </w:tcPr>
          <w:p w14:paraId="7B2343AC">
            <w:pPr>
              <w:pStyle w:val="23"/>
              <w:keepNext w:val="0"/>
              <w:keepLines w:val="0"/>
              <w:pageBreakBefore w:val="0"/>
              <w:kinsoku/>
              <w:wordWrap/>
              <w:overflowPunct/>
              <w:topLinePunct w:val="0"/>
              <w:bidi w:val="0"/>
              <w:snapToGrid/>
              <w:ind w:firstLine="0" w:firstLineChars="0"/>
              <w:jc w:val="center"/>
              <w:rPr>
                <w:rFonts w:hint="default" w:ascii="Times New Roman"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55</w:t>
            </w:r>
          </w:p>
        </w:tc>
        <w:tc>
          <w:tcPr>
            <w:tcW w:w="622" w:type="pct"/>
            <w:vAlign w:val="center"/>
          </w:tcPr>
          <w:p w14:paraId="032954AD">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45</w:t>
            </w:r>
          </w:p>
        </w:tc>
        <w:tc>
          <w:tcPr>
            <w:tcW w:w="622" w:type="pct"/>
            <w:vAlign w:val="center"/>
          </w:tcPr>
          <w:p w14:paraId="2F7DBEBA">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53</w:t>
            </w:r>
          </w:p>
        </w:tc>
        <w:tc>
          <w:tcPr>
            <w:tcW w:w="623" w:type="pct"/>
            <w:vAlign w:val="center"/>
          </w:tcPr>
          <w:p w14:paraId="6E7EE5B5">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43</w:t>
            </w:r>
          </w:p>
        </w:tc>
        <w:tc>
          <w:tcPr>
            <w:tcW w:w="907" w:type="pct"/>
            <w:vMerge w:val="continue"/>
          </w:tcPr>
          <w:p w14:paraId="0BD56EB6">
            <w:pPr>
              <w:pStyle w:val="23"/>
              <w:keepNext w:val="0"/>
              <w:keepLines w:val="0"/>
              <w:pageBreakBefore w:val="0"/>
              <w:kinsoku/>
              <w:wordWrap/>
              <w:overflowPunct/>
              <w:topLinePunct w:val="0"/>
              <w:bidi w:val="0"/>
              <w:snapToGrid/>
              <w:ind w:firstLine="0" w:firstLineChars="0"/>
              <w:jc w:val="center"/>
              <w:rPr>
                <w:rFonts w:ascii="Times New Roman" w:eastAsia="宋体"/>
                <w:color w:val="auto"/>
                <w:sz w:val="21"/>
                <w:szCs w:val="21"/>
                <w:highlight w:val="none"/>
              </w:rPr>
            </w:pPr>
          </w:p>
        </w:tc>
      </w:tr>
      <w:tr w14:paraId="6BE5B2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5" w:type="pct"/>
            <w:vMerge w:val="continue"/>
            <w:vAlign w:val="center"/>
          </w:tcPr>
          <w:p w14:paraId="2E5AA7E3">
            <w:pPr>
              <w:keepNext w:val="0"/>
              <w:keepLines w:val="0"/>
              <w:pageBreakBefore w:val="0"/>
              <w:kinsoku/>
              <w:wordWrap/>
              <w:overflowPunct/>
              <w:topLinePunct w:val="0"/>
              <w:bidi w:val="0"/>
              <w:snapToGrid/>
              <w:ind w:firstLine="0" w:firstLineChars="0"/>
              <w:jc w:val="center"/>
              <w:rPr>
                <w:rFonts w:hint="eastAsia" w:ascii="Times New Roman" w:eastAsia="宋体"/>
                <w:color w:val="auto"/>
                <w:sz w:val="21"/>
                <w:szCs w:val="21"/>
                <w:highlight w:val="none"/>
                <w:lang w:val="en-US" w:eastAsia="zh-CN"/>
              </w:rPr>
            </w:pPr>
          </w:p>
        </w:tc>
        <w:tc>
          <w:tcPr>
            <w:tcW w:w="1245" w:type="pct"/>
            <w:shd w:val="clear" w:color="auto" w:fill="auto"/>
            <w:vAlign w:val="center"/>
          </w:tcPr>
          <w:p w14:paraId="1D5528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新安幸福嘉园7楼</w:t>
            </w:r>
          </w:p>
        </w:tc>
        <w:tc>
          <w:tcPr>
            <w:tcW w:w="622" w:type="pct"/>
            <w:vAlign w:val="center"/>
          </w:tcPr>
          <w:p w14:paraId="3C23D4B8">
            <w:pPr>
              <w:pStyle w:val="23"/>
              <w:keepNext w:val="0"/>
              <w:keepLines w:val="0"/>
              <w:pageBreakBefore w:val="0"/>
              <w:kinsoku/>
              <w:wordWrap/>
              <w:overflowPunct/>
              <w:topLinePunct w:val="0"/>
              <w:bidi w:val="0"/>
              <w:snapToGrid/>
              <w:ind w:firstLine="0" w:firstLineChars="0"/>
              <w:jc w:val="center"/>
              <w:rPr>
                <w:rFonts w:hint="default" w:ascii="Times New Roman"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52</w:t>
            </w:r>
          </w:p>
        </w:tc>
        <w:tc>
          <w:tcPr>
            <w:tcW w:w="622" w:type="pct"/>
            <w:vAlign w:val="center"/>
          </w:tcPr>
          <w:p w14:paraId="16172F1B">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42</w:t>
            </w:r>
          </w:p>
        </w:tc>
        <w:tc>
          <w:tcPr>
            <w:tcW w:w="622" w:type="pct"/>
            <w:vAlign w:val="center"/>
          </w:tcPr>
          <w:p w14:paraId="4AC52790">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51</w:t>
            </w:r>
          </w:p>
        </w:tc>
        <w:tc>
          <w:tcPr>
            <w:tcW w:w="623" w:type="pct"/>
            <w:vAlign w:val="center"/>
          </w:tcPr>
          <w:p w14:paraId="64614870">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41</w:t>
            </w:r>
          </w:p>
        </w:tc>
        <w:tc>
          <w:tcPr>
            <w:tcW w:w="907" w:type="pct"/>
            <w:vMerge w:val="continue"/>
          </w:tcPr>
          <w:p w14:paraId="67BB5131">
            <w:pPr>
              <w:pStyle w:val="23"/>
              <w:keepNext w:val="0"/>
              <w:keepLines w:val="0"/>
              <w:pageBreakBefore w:val="0"/>
              <w:kinsoku/>
              <w:wordWrap/>
              <w:overflowPunct/>
              <w:topLinePunct w:val="0"/>
              <w:bidi w:val="0"/>
              <w:snapToGrid/>
              <w:ind w:firstLine="0" w:firstLineChars="0"/>
              <w:jc w:val="center"/>
              <w:rPr>
                <w:rFonts w:ascii="Times New Roman" w:eastAsia="宋体"/>
                <w:color w:val="auto"/>
                <w:sz w:val="21"/>
                <w:szCs w:val="21"/>
                <w:highlight w:val="none"/>
              </w:rPr>
            </w:pPr>
          </w:p>
        </w:tc>
      </w:tr>
      <w:tr w14:paraId="204E87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5" w:type="pct"/>
            <w:vMerge w:val="continue"/>
            <w:vAlign w:val="center"/>
          </w:tcPr>
          <w:p w14:paraId="3551118E">
            <w:pPr>
              <w:keepNext w:val="0"/>
              <w:keepLines w:val="0"/>
              <w:pageBreakBefore w:val="0"/>
              <w:kinsoku/>
              <w:wordWrap/>
              <w:overflowPunct/>
              <w:topLinePunct w:val="0"/>
              <w:bidi w:val="0"/>
              <w:snapToGrid/>
              <w:ind w:firstLine="0" w:firstLineChars="0"/>
              <w:jc w:val="center"/>
              <w:rPr>
                <w:rFonts w:hint="eastAsia" w:ascii="Times New Roman" w:eastAsia="宋体"/>
                <w:color w:val="auto"/>
                <w:sz w:val="21"/>
                <w:szCs w:val="21"/>
                <w:highlight w:val="none"/>
                <w:lang w:val="en-US" w:eastAsia="zh-CN"/>
              </w:rPr>
            </w:pPr>
          </w:p>
        </w:tc>
        <w:tc>
          <w:tcPr>
            <w:tcW w:w="1245" w:type="pct"/>
            <w:shd w:val="clear" w:color="auto" w:fill="auto"/>
            <w:vAlign w:val="center"/>
          </w:tcPr>
          <w:p w14:paraId="7777A1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新安幸福嘉园9楼</w:t>
            </w:r>
          </w:p>
        </w:tc>
        <w:tc>
          <w:tcPr>
            <w:tcW w:w="622" w:type="pct"/>
            <w:vAlign w:val="center"/>
          </w:tcPr>
          <w:p w14:paraId="2522AEA5">
            <w:pPr>
              <w:pStyle w:val="23"/>
              <w:keepNext w:val="0"/>
              <w:keepLines w:val="0"/>
              <w:pageBreakBefore w:val="0"/>
              <w:kinsoku/>
              <w:wordWrap/>
              <w:overflowPunct/>
              <w:topLinePunct w:val="0"/>
              <w:bidi w:val="0"/>
              <w:snapToGrid/>
              <w:ind w:firstLine="0" w:firstLineChars="0"/>
              <w:jc w:val="center"/>
              <w:rPr>
                <w:rFonts w:hint="default" w:ascii="Times New Roman"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51</w:t>
            </w:r>
          </w:p>
        </w:tc>
        <w:tc>
          <w:tcPr>
            <w:tcW w:w="622" w:type="pct"/>
            <w:vAlign w:val="center"/>
          </w:tcPr>
          <w:p w14:paraId="777B547B">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44</w:t>
            </w:r>
          </w:p>
        </w:tc>
        <w:tc>
          <w:tcPr>
            <w:tcW w:w="622" w:type="pct"/>
            <w:vAlign w:val="center"/>
          </w:tcPr>
          <w:p w14:paraId="3E600E0E">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52</w:t>
            </w:r>
          </w:p>
        </w:tc>
        <w:tc>
          <w:tcPr>
            <w:tcW w:w="623" w:type="pct"/>
            <w:vAlign w:val="center"/>
          </w:tcPr>
          <w:p w14:paraId="2917F845">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42</w:t>
            </w:r>
          </w:p>
        </w:tc>
        <w:tc>
          <w:tcPr>
            <w:tcW w:w="907" w:type="pct"/>
            <w:vMerge w:val="continue"/>
          </w:tcPr>
          <w:p w14:paraId="737173F3">
            <w:pPr>
              <w:pStyle w:val="23"/>
              <w:keepNext w:val="0"/>
              <w:keepLines w:val="0"/>
              <w:pageBreakBefore w:val="0"/>
              <w:kinsoku/>
              <w:wordWrap/>
              <w:overflowPunct/>
              <w:topLinePunct w:val="0"/>
              <w:bidi w:val="0"/>
              <w:snapToGrid/>
              <w:ind w:firstLine="0" w:firstLineChars="0"/>
              <w:jc w:val="center"/>
              <w:rPr>
                <w:rFonts w:ascii="Times New Roman" w:eastAsia="宋体"/>
                <w:color w:val="auto"/>
                <w:sz w:val="21"/>
                <w:szCs w:val="21"/>
                <w:highlight w:val="none"/>
              </w:rPr>
            </w:pPr>
          </w:p>
        </w:tc>
      </w:tr>
      <w:tr w14:paraId="4B872E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5" w:type="pct"/>
            <w:vMerge w:val="continue"/>
            <w:vAlign w:val="center"/>
          </w:tcPr>
          <w:p w14:paraId="3CD576BD">
            <w:pPr>
              <w:keepNext w:val="0"/>
              <w:keepLines w:val="0"/>
              <w:pageBreakBefore w:val="0"/>
              <w:kinsoku/>
              <w:wordWrap/>
              <w:overflowPunct/>
              <w:topLinePunct w:val="0"/>
              <w:bidi w:val="0"/>
              <w:snapToGrid/>
              <w:ind w:firstLine="0" w:firstLineChars="0"/>
              <w:jc w:val="center"/>
              <w:rPr>
                <w:rFonts w:hint="eastAsia" w:ascii="Times New Roman" w:eastAsia="宋体"/>
                <w:color w:val="auto"/>
                <w:sz w:val="21"/>
                <w:szCs w:val="21"/>
                <w:highlight w:val="none"/>
                <w:lang w:val="en-US" w:eastAsia="zh-CN"/>
              </w:rPr>
            </w:pPr>
          </w:p>
        </w:tc>
        <w:tc>
          <w:tcPr>
            <w:tcW w:w="1245" w:type="pct"/>
            <w:shd w:val="clear" w:color="auto" w:fill="auto"/>
            <w:vAlign w:val="center"/>
          </w:tcPr>
          <w:p w14:paraId="6A99F9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新安幸福嘉园11楼</w:t>
            </w:r>
          </w:p>
        </w:tc>
        <w:tc>
          <w:tcPr>
            <w:tcW w:w="622" w:type="pct"/>
            <w:vAlign w:val="center"/>
          </w:tcPr>
          <w:p w14:paraId="1DC8B957">
            <w:pPr>
              <w:pStyle w:val="23"/>
              <w:keepNext w:val="0"/>
              <w:keepLines w:val="0"/>
              <w:pageBreakBefore w:val="0"/>
              <w:kinsoku/>
              <w:wordWrap/>
              <w:overflowPunct/>
              <w:topLinePunct w:val="0"/>
              <w:bidi w:val="0"/>
              <w:snapToGrid/>
              <w:ind w:firstLine="0" w:firstLineChars="0"/>
              <w:jc w:val="center"/>
              <w:rPr>
                <w:rFonts w:hint="default" w:ascii="Times New Roman"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54</w:t>
            </w:r>
          </w:p>
        </w:tc>
        <w:tc>
          <w:tcPr>
            <w:tcW w:w="622" w:type="pct"/>
            <w:vAlign w:val="center"/>
          </w:tcPr>
          <w:p w14:paraId="111DACA2">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43</w:t>
            </w:r>
          </w:p>
        </w:tc>
        <w:tc>
          <w:tcPr>
            <w:tcW w:w="622" w:type="pct"/>
            <w:vAlign w:val="center"/>
          </w:tcPr>
          <w:p w14:paraId="014312B5">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54</w:t>
            </w:r>
          </w:p>
        </w:tc>
        <w:tc>
          <w:tcPr>
            <w:tcW w:w="623" w:type="pct"/>
            <w:vAlign w:val="center"/>
          </w:tcPr>
          <w:p w14:paraId="35BE37F9">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42</w:t>
            </w:r>
          </w:p>
        </w:tc>
        <w:tc>
          <w:tcPr>
            <w:tcW w:w="907" w:type="pct"/>
            <w:vMerge w:val="continue"/>
          </w:tcPr>
          <w:p w14:paraId="7F56EDF2">
            <w:pPr>
              <w:pStyle w:val="23"/>
              <w:keepNext w:val="0"/>
              <w:keepLines w:val="0"/>
              <w:pageBreakBefore w:val="0"/>
              <w:kinsoku/>
              <w:wordWrap/>
              <w:overflowPunct/>
              <w:topLinePunct w:val="0"/>
              <w:bidi w:val="0"/>
              <w:snapToGrid/>
              <w:ind w:firstLine="0" w:firstLineChars="0"/>
              <w:jc w:val="center"/>
              <w:rPr>
                <w:rFonts w:ascii="Times New Roman" w:eastAsia="宋体"/>
                <w:color w:val="auto"/>
                <w:sz w:val="21"/>
                <w:szCs w:val="21"/>
                <w:highlight w:val="none"/>
              </w:rPr>
            </w:pPr>
          </w:p>
        </w:tc>
      </w:tr>
      <w:tr w14:paraId="013E07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5" w:type="pct"/>
            <w:vAlign w:val="center"/>
          </w:tcPr>
          <w:p w14:paraId="2B6E2849">
            <w:pPr>
              <w:keepNext w:val="0"/>
              <w:keepLines w:val="0"/>
              <w:pageBreakBefore w:val="0"/>
              <w:kinsoku/>
              <w:wordWrap/>
              <w:overflowPunct/>
              <w:topLinePunct w:val="0"/>
              <w:bidi w:val="0"/>
              <w:snapToGrid/>
              <w:ind w:firstLine="0" w:firstLineChars="0"/>
              <w:jc w:val="center"/>
              <w:rPr>
                <w:rFonts w:hint="eastAsia" w:ascii="Times New Roman" w:eastAsia="宋体"/>
                <w:color w:val="auto"/>
                <w:sz w:val="21"/>
                <w:szCs w:val="21"/>
                <w:highlight w:val="none"/>
                <w:lang w:val="en-US" w:eastAsia="zh-CN"/>
              </w:rPr>
            </w:pPr>
            <w:r>
              <w:rPr>
                <w:rFonts w:hint="eastAsia"/>
                <w:highlight w:val="none"/>
              </w:rPr>
              <w:t>△</w:t>
            </w:r>
            <w:r>
              <w:rPr>
                <w:rFonts w:hint="eastAsia"/>
                <w:highlight w:val="none"/>
                <w:lang w:val="en-US" w:eastAsia="zh-CN"/>
              </w:rPr>
              <w:t>7</w:t>
            </w:r>
          </w:p>
        </w:tc>
        <w:tc>
          <w:tcPr>
            <w:tcW w:w="1245" w:type="pct"/>
            <w:shd w:val="clear" w:color="auto" w:fill="auto"/>
            <w:vAlign w:val="center"/>
          </w:tcPr>
          <w:p w14:paraId="6CFC54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绥芬河市人大</w:t>
            </w:r>
          </w:p>
        </w:tc>
        <w:tc>
          <w:tcPr>
            <w:tcW w:w="622" w:type="pct"/>
            <w:vAlign w:val="center"/>
          </w:tcPr>
          <w:p w14:paraId="2687AD7F">
            <w:pPr>
              <w:pStyle w:val="23"/>
              <w:keepNext w:val="0"/>
              <w:keepLines w:val="0"/>
              <w:pageBreakBefore w:val="0"/>
              <w:kinsoku/>
              <w:wordWrap/>
              <w:overflowPunct/>
              <w:topLinePunct w:val="0"/>
              <w:bidi w:val="0"/>
              <w:snapToGrid/>
              <w:ind w:firstLine="0" w:firstLineChars="0"/>
              <w:jc w:val="center"/>
              <w:rPr>
                <w:rFonts w:hint="default" w:ascii="Times New Roman"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53</w:t>
            </w:r>
          </w:p>
        </w:tc>
        <w:tc>
          <w:tcPr>
            <w:tcW w:w="622" w:type="pct"/>
            <w:vAlign w:val="center"/>
          </w:tcPr>
          <w:p w14:paraId="12B3F6F4">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45</w:t>
            </w:r>
          </w:p>
        </w:tc>
        <w:tc>
          <w:tcPr>
            <w:tcW w:w="622" w:type="pct"/>
            <w:vAlign w:val="center"/>
          </w:tcPr>
          <w:p w14:paraId="2D9A6B86">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54</w:t>
            </w:r>
          </w:p>
        </w:tc>
        <w:tc>
          <w:tcPr>
            <w:tcW w:w="623" w:type="pct"/>
            <w:vAlign w:val="center"/>
          </w:tcPr>
          <w:p w14:paraId="11FD3DF2">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42</w:t>
            </w:r>
          </w:p>
        </w:tc>
        <w:tc>
          <w:tcPr>
            <w:tcW w:w="907" w:type="pct"/>
            <w:vMerge w:val="continue"/>
          </w:tcPr>
          <w:p w14:paraId="56C985F6">
            <w:pPr>
              <w:pStyle w:val="23"/>
              <w:keepNext w:val="0"/>
              <w:keepLines w:val="0"/>
              <w:pageBreakBefore w:val="0"/>
              <w:kinsoku/>
              <w:wordWrap/>
              <w:overflowPunct/>
              <w:topLinePunct w:val="0"/>
              <w:bidi w:val="0"/>
              <w:snapToGrid/>
              <w:ind w:firstLine="0" w:firstLineChars="0"/>
              <w:jc w:val="center"/>
              <w:rPr>
                <w:rFonts w:ascii="Times New Roman" w:eastAsia="宋体"/>
                <w:color w:val="auto"/>
                <w:sz w:val="21"/>
                <w:szCs w:val="21"/>
                <w:highlight w:val="none"/>
              </w:rPr>
            </w:pPr>
          </w:p>
        </w:tc>
      </w:tr>
      <w:tr w14:paraId="21161D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5" w:type="pct"/>
            <w:vAlign w:val="center"/>
          </w:tcPr>
          <w:p w14:paraId="0B4DFD12">
            <w:pPr>
              <w:keepNext w:val="0"/>
              <w:keepLines w:val="0"/>
              <w:pageBreakBefore w:val="0"/>
              <w:kinsoku/>
              <w:wordWrap/>
              <w:overflowPunct/>
              <w:topLinePunct w:val="0"/>
              <w:bidi w:val="0"/>
              <w:snapToGrid/>
              <w:ind w:firstLine="0" w:firstLineChars="0"/>
              <w:jc w:val="center"/>
              <w:rPr>
                <w:rFonts w:hint="eastAsia" w:ascii="Times New Roman" w:eastAsia="宋体"/>
                <w:color w:val="auto"/>
                <w:sz w:val="21"/>
                <w:szCs w:val="21"/>
                <w:highlight w:val="none"/>
                <w:lang w:val="en-US" w:eastAsia="zh-CN"/>
              </w:rPr>
            </w:pPr>
            <w:r>
              <w:rPr>
                <w:rFonts w:hint="eastAsia"/>
                <w:highlight w:val="none"/>
              </w:rPr>
              <w:t>△</w:t>
            </w:r>
            <w:r>
              <w:rPr>
                <w:rFonts w:hint="eastAsia"/>
                <w:highlight w:val="none"/>
                <w:lang w:val="en-US" w:eastAsia="zh-CN"/>
              </w:rPr>
              <w:t>8</w:t>
            </w:r>
          </w:p>
        </w:tc>
        <w:tc>
          <w:tcPr>
            <w:tcW w:w="1245" w:type="pct"/>
            <w:shd w:val="clear" w:color="auto" w:fill="auto"/>
            <w:vAlign w:val="center"/>
          </w:tcPr>
          <w:p w14:paraId="3B81D4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中兴小区东侧</w:t>
            </w:r>
          </w:p>
        </w:tc>
        <w:tc>
          <w:tcPr>
            <w:tcW w:w="622" w:type="pct"/>
            <w:vAlign w:val="center"/>
          </w:tcPr>
          <w:p w14:paraId="5562670D">
            <w:pPr>
              <w:pStyle w:val="23"/>
              <w:keepNext w:val="0"/>
              <w:keepLines w:val="0"/>
              <w:pageBreakBefore w:val="0"/>
              <w:kinsoku/>
              <w:wordWrap/>
              <w:overflowPunct/>
              <w:topLinePunct w:val="0"/>
              <w:bidi w:val="0"/>
              <w:snapToGrid/>
              <w:ind w:firstLine="0" w:firstLineChars="0"/>
              <w:jc w:val="center"/>
              <w:rPr>
                <w:rFonts w:hint="default" w:ascii="Times New Roman"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55</w:t>
            </w:r>
          </w:p>
        </w:tc>
        <w:tc>
          <w:tcPr>
            <w:tcW w:w="622" w:type="pct"/>
            <w:vAlign w:val="center"/>
          </w:tcPr>
          <w:p w14:paraId="7B82B1C6">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43</w:t>
            </w:r>
          </w:p>
        </w:tc>
        <w:tc>
          <w:tcPr>
            <w:tcW w:w="622" w:type="pct"/>
            <w:vAlign w:val="center"/>
          </w:tcPr>
          <w:p w14:paraId="41B8E3E4">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56</w:t>
            </w:r>
          </w:p>
        </w:tc>
        <w:tc>
          <w:tcPr>
            <w:tcW w:w="623" w:type="pct"/>
            <w:vAlign w:val="center"/>
          </w:tcPr>
          <w:p w14:paraId="688C33D0">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44</w:t>
            </w:r>
          </w:p>
        </w:tc>
        <w:tc>
          <w:tcPr>
            <w:tcW w:w="907" w:type="pct"/>
            <w:vMerge w:val="continue"/>
          </w:tcPr>
          <w:p w14:paraId="249BEA1B">
            <w:pPr>
              <w:pStyle w:val="23"/>
              <w:keepNext w:val="0"/>
              <w:keepLines w:val="0"/>
              <w:pageBreakBefore w:val="0"/>
              <w:kinsoku/>
              <w:wordWrap/>
              <w:overflowPunct/>
              <w:topLinePunct w:val="0"/>
              <w:bidi w:val="0"/>
              <w:snapToGrid/>
              <w:ind w:firstLine="0" w:firstLineChars="0"/>
              <w:jc w:val="center"/>
              <w:rPr>
                <w:rFonts w:ascii="Times New Roman" w:eastAsia="宋体"/>
                <w:color w:val="auto"/>
                <w:sz w:val="21"/>
                <w:szCs w:val="21"/>
                <w:highlight w:val="none"/>
              </w:rPr>
            </w:pPr>
          </w:p>
        </w:tc>
      </w:tr>
      <w:tr w14:paraId="12ACF3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5" w:type="pct"/>
            <w:vAlign w:val="center"/>
          </w:tcPr>
          <w:p w14:paraId="060A456E">
            <w:pPr>
              <w:keepNext w:val="0"/>
              <w:keepLines w:val="0"/>
              <w:pageBreakBefore w:val="0"/>
              <w:kinsoku/>
              <w:wordWrap/>
              <w:overflowPunct/>
              <w:topLinePunct w:val="0"/>
              <w:bidi w:val="0"/>
              <w:snapToGrid/>
              <w:ind w:firstLine="0" w:firstLineChars="0"/>
              <w:jc w:val="center"/>
              <w:rPr>
                <w:rFonts w:hint="eastAsia" w:ascii="Times New Roman" w:eastAsia="宋体"/>
                <w:color w:val="auto"/>
                <w:sz w:val="21"/>
                <w:szCs w:val="21"/>
                <w:highlight w:val="none"/>
                <w:lang w:val="en-US" w:eastAsia="zh-CN"/>
              </w:rPr>
            </w:pPr>
            <w:r>
              <w:rPr>
                <w:rFonts w:hint="eastAsia"/>
                <w:highlight w:val="none"/>
              </w:rPr>
              <w:t>△</w:t>
            </w:r>
            <w:r>
              <w:rPr>
                <w:rFonts w:hint="eastAsia"/>
                <w:highlight w:val="none"/>
                <w:lang w:val="en-US" w:eastAsia="zh-CN"/>
              </w:rPr>
              <w:t>9</w:t>
            </w:r>
          </w:p>
        </w:tc>
        <w:tc>
          <w:tcPr>
            <w:tcW w:w="1245" w:type="pct"/>
            <w:shd w:val="clear" w:color="auto" w:fill="auto"/>
            <w:vAlign w:val="center"/>
          </w:tcPr>
          <w:p w14:paraId="5B2030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中兴小区西侧</w:t>
            </w:r>
          </w:p>
        </w:tc>
        <w:tc>
          <w:tcPr>
            <w:tcW w:w="622" w:type="pct"/>
            <w:vAlign w:val="center"/>
          </w:tcPr>
          <w:p w14:paraId="4C070CE7">
            <w:pPr>
              <w:pStyle w:val="23"/>
              <w:keepNext w:val="0"/>
              <w:keepLines w:val="0"/>
              <w:pageBreakBefore w:val="0"/>
              <w:kinsoku/>
              <w:wordWrap/>
              <w:overflowPunct/>
              <w:topLinePunct w:val="0"/>
              <w:bidi w:val="0"/>
              <w:snapToGrid/>
              <w:ind w:firstLine="0" w:firstLineChars="0"/>
              <w:jc w:val="center"/>
              <w:rPr>
                <w:rFonts w:hint="default" w:ascii="Times New Roman"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51</w:t>
            </w:r>
          </w:p>
        </w:tc>
        <w:tc>
          <w:tcPr>
            <w:tcW w:w="622" w:type="pct"/>
            <w:vAlign w:val="center"/>
          </w:tcPr>
          <w:p w14:paraId="12CC8936">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45</w:t>
            </w:r>
          </w:p>
        </w:tc>
        <w:tc>
          <w:tcPr>
            <w:tcW w:w="622" w:type="pct"/>
            <w:vAlign w:val="center"/>
          </w:tcPr>
          <w:p w14:paraId="15EE63FA">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55</w:t>
            </w:r>
          </w:p>
        </w:tc>
        <w:tc>
          <w:tcPr>
            <w:tcW w:w="623" w:type="pct"/>
            <w:vAlign w:val="center"/>
          </w:tcPr>
          <w:p w14:paraId="7822C993">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43</w:t>
            </w:r>
          </w:p>
        </w:tc>
        <w:tc>
          <w:tcPr>
            <w:tcW w:w="907" w:type="pct"/>
            <w:vMerge w:val="continue"/>
          </w:tcPr>
          <w:p w14:paraId="58AFB4FE">
            <w:pPr>
              <w:pStyle w:val="23"/>
              <w:keepNext w:val="0"/>
              <w:keepLines w:val="0"/>
              <w:pageBreakBefore w:val="0"/>
              <w:kinsoku/>
              <w:wordWrap/>
              <w:overflowPunct/>
              <w:topLinePunct w:val="0"/>
              <w:bidi w:val="0"/>
              <w:snapToGrid/>
              <w:ind w:firstLine="0" w:firstLineChars="0"/>
              <w:jc w:val="center"/>
              <w:rPr>
                <w:rFonts w:ascii="Times New Roman" w:eastAsia="宋体"/>
                <w:color w:val="auto"/>
                <w:sz w:val="21"/>
                <w:szCs w:val="21"/>
                <w:highlight w:val="none"/>
              </w:rPr>
            </w:pPr>
          </w:p>
        </w:tc>
      </w:tr>
      <w:tr w14:paraId="09EEC4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5" w:type="pct"/>
            <w:vAlign w:val="center"/>
          </w:tcPr>
          <w:p w14:paraId="7B20BDE7">
            <w:pPr>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highlight w:val="none"/>
              </w:rPr>
              <w:t>△</w:t>
            </w:r>
            <w:r>
              <w:rPr>
                <w:rFonts w:hint="eastAsia"/>
                <w:highlight w:val="none"/>
                <w:lang w:val="en-US" w:eastAsia="zh-CN"/>
              </w:rPr>
              <w:t>10</w:t>
            </w:r>
          </w:p>
        </w:tc>
        <w:tc>
          <w:tcPr>
            <w:tcW w:w="1245" w:type="pct"/>
            <w:shd w:val="clear" w:color="auto" w:fill="auto"/>
            <w:vAlign w:val="center"/>
          </w:tcPr>
          <w:p w14:paraId="4FDA46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数码港宾馆</w:t>
            </w:r>
          </w:p>
        </w:tc>
        <w:tc>
          <w:tcPr>
            <w:tcW w:w="622" w:type="pct"/>
            <w:vAlign w:val="center"/>
          </w:tcPr>
          <w:p w14:paraId="29400E2D">
            <w:pPr>
              <w:pStyle w:val="23"/>
              <w:keepNext w:val="0"/>
              <w:keepLines w:val="0"/>
              <w:pageBreakBefore w:val="0"/>
              <w:kinsoku/>
              <w:wordWrap/>
              <w:overflowPunct/>
              <w:topLinePunct w:val="0"/>
              <w:bidi w:val="0"/>
              <w:snapToGrid/>
              <w:ind w:firstLine="0" w:firstLineChars="0"/>
              <w:jc w:val="center"/>
              <w:rPr>
                <w:rFonts w:hint="default" w:ascii="Times New Roman"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53</w:t>
            </w:r>
          </w:p>
        </w:tc>
        <w:tc>
          <w:tcPr>
            <w:tcW w:w="622" w:type="pct"/>
            <w:vAlign w:val="center"/>
          </w:tcPr>
          <w:p w14:paraId="17571B3E">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42</w:t>
            </w:r>
          </w:p>
        </w:tc>
        <w:tc>
          <w:tcPr>
            <w:tcW w:w="622" w:type="pct"/>
            <w:vAlign w:val="center"/>
          </w:tcPr>
          <w:p w14:paraId="6EA336BC">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52</w:t>
            </w:r>
          </w:p>
        </w:tc>
        <w:tc>
          <w:tcPr>
            <w:tcW w:w="623" w:type="pct"/>
            <w:vAlign w:val="center"/>
          </w:tcPr>
          <w:p w14:paraId="2318590A">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41</w:t>
            </w:r>
          </w:p>
        </w:tc>
        <w:tc>
          <w:tcPr>
            <w:tcW w:w="907" w:type="pct"/>
            <w:vMerge w:val="continue"/>
          </w:tcPr>
          <w:p w14:paraId="4B9A2F9D">
            <w:pPr>
              <w:pStyle w:val="23"/>
              <w:keepNext w:val="0"/>
              <w:keepLines w:val="0"/>
              <w:pageBreakBefore w:val="0"/>
              <w:kinsoku/>
              <w:wordWrap/>
              <w:overflowPunct/>
              <w:topLinePunct w:val="0"/>
              <w:bidi w:val="0"/>
              <w:snapToGrid/>
              <w:ind w:firstLine="0" w:firstLineChars="0"/>
              <w:jc w:val="center"/>
              <w:rPr>
                <w:rFonts w:ascii="Times New Roman" w:eastAsia="宋体"/>
                <w:color w:val="auto"/>
                <w:sz w:val="21"/>
                <w:szCs w:val="21"/>
                <w:highlight w:val="none"/>
              </w:rPr>
            </w:pPr>
          </w:p>
        </w:tc>
      </w:tr>
      <w:tr w14:paraId="76618B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5" w:type="pct"/>
            <w:vAlign w:val="center"/>
          </w:tcPr>
          <w:p w14:paraId="31736DEC">
            <w:pPr>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highlight w:val="none"/>
              </w:rPr>
              <w:t>△</w:t>
            </w:r>
            <w:r>
              <w:rPr>
                <w:rFonts w:hint="eastAsia"/>
                <w:highlight w:val="none"/>
                <w:lang w:val="en-US" w:eastAsia="zh-CN"/>
              </w:rPr>
              <w:t>11</w:t>
            </w:r>
          </w:p>
        </w:tc>
        <w:tc>
          <w:tcPr>
            <w:tcW w:w="1245" w:type="pct"/>
            <w:shd w:val="clear" w:color="auto" w:fill="auto"/>
            <w:vAlign w:val="center"/>
          </w:tcPr>
          <w:p w14:paraId="7F099D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颐民敬老院卫生所</w:t>
            </w:r>
          </w:p>
        </w:tc>
        <w:tc>
          <w:tcPr>
            <w:tcW w:w="622" w:type="pct"/>
            <w:vAlign w:val="center"/>
          </w:tcPr>
          <w:p w14:paraId="0CEA5C07">
            <w:pPr>
              <w:pStyle w:val="23"/>
              <w:keepNext w:val="0"/>
              <w:keepLines w:val="0"/>
              <w:pageBreakBefore w:val="0"/>
              <w:kinsoku/>
              <w:wordWrap/>
              <w:overflowPunct/>
              <w:topLinePunct w:val="0"/>
              <w:bidi w:val="0"/>
              <w:snapToGrid/>
              <w:ind w:firstLine="0" w:firstLineChars="0"/>
              <w:jc w:val="center"/>
              <w:rPr>
                <w:rFonts w:hint="default" w:ascii="Times New Roman"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49</w:t>
            </w:r>
          </w:p>
        </w:tc>
        <w:tc>
          <w:tcPr>
            <w:tcW w:w="622" w:type="pct"/>
            <w:vAlign w:val="center"/>
          </w:tcPr>
          <w:p w14:paraId="0B884990">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42</w:t>
            </w:r>
          </w:p>
        </w:tc>
        <w:tc>
          <w:tcPr>
            <w:tcW w:w="622" w:type="pct"/>
            <w:vAlign w:val="center"/>
          </w:tcPr>
          <w:p w14:paraId="1D43C4CF">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48</w:t>
            </w:r>
          </w:p>
        </w:tc>
        <w:tc>
          <w:tcPr>
            <w:tcW w:w="623" w:type="pct"/>
            <w:vAlign w:val="center"/>
          </w:tcPr>
          <w:p w14:paraId="34F122DD">
            <w:pPr>
              <w:pStyle w:val="23"/>
              <w:keepNext w:val="0"/>
              <w:keepLines w:val="0"/>
              <w:pageBreakBefore w:val="0"/>
              <w:kinsoku/>
              <w:wordWrap/>
              <w:overflowPunct/>
              <w:topLinePunct w:val="0"/>
              <w:bidi w:val="0"/>
              <w:snapToGrid/>
              <w:ind w:firstLine="0" w:firstLineChars="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41</w:t>
            </w:r>
          </w:p>
        </w:tc>
        <w:tc>
          <w:tcPr>
            <w:tcW w:w="907" w:type="pct"/>
            <w:vMerge w:val="continue"/>
          </w:tcPr>
          <w:p w14:paraId="5D5456EF">
            <w:pPr>
              <w:pStyle w:val="23"/>
              <w:keepNext w:val="0"/>
              <w:keepLines w:val="0"/>
              <w:pageBreakBefore w:val="0"/>
              <w:kinsoku/>
              <w:wordWrap/>
              <w:overflowPunct/>
              <w:topLinePunct w:val="0"/>
              <w:bidi w:val="0"/>
              <w:snapToGrid/>
              <w:ind w:firstLine="0" w:firstLineChars="0"/>
              <w:jc w:val="center"/>
              <w:rPr>
                <w:rFonts w:ascii="Times New Roman" w:eastAsia="宋体"/>
                <w:color w:val="auto"/>
                <w:sz w:val="21"/>
                <w:szCs w:val="21"/>
                <w:highlight w:val="none"/>
              </w:rPr>
            </w:pPr>
          </w:p>
        </w:tc>
      </w:tr>
    </w:tbl>
    <w:p w14:paraId="784CA4FC">
      <w:pPr>
        <w:pStyle w:val="7"/>
        <w:numPr>
          <w:ilvl w:val="0"/>
          <w:numId w:val="6"/>
        </w:numPr>
        <w:ind w:firstLine="480"/>
        <w:rPr>
          <w:rFonts w:ascii="Times New Roman" w:hAnsi="Times New Roman"/>
          <w:highlight w:val="none"/>
        </w:rPr>
      </w:pPr>
      <w:r>
        <w:rPr>
          <w:rFonts w:ascii="Times New Roman" w:hAnsi="Times New Roman"/>
          <w:highlight w:val="none"/>
        </w:rPr>
        <w:t>声环境现状评价</w:t>
      </w:r>
    </w:p>
    <w:p w14:paraId="658ABB43">
      <w:pPr>
        <w:snapToGrid w:val="0"/>
        <w:spacing w:line="480" w:lineRule="exact"/>
        <w:ind w:firstLine="480"/>
        <w:rPr>
          <w:rFonts w:ascii="Times New Roman" w:hAnsi="Times New Roman"/>
          <w:highlight w:val="none"/>
        </w:rPr>
      </w:pPr>
      <w:r>
        <w:rPr>
          <w:rFonts w:ascii="Times New Roman" w:hAnsi="Times New Roman"/>
          <w:highlight w:val="none"/>
        </w:rPr>
        <w:t>（1）评价方法</w:t>
      </w:r>
    </w:p>
    <w:p w14:paraId="5548F53D">
      <w:pPr>
        <w:snapToGrid w:val="0"/>
        <w:spacing w:line="480" w:lineRule="exact"/>
        <w:ind w:firstLine="480"/>
        <w:rPr>
          <w:rFonts w:ascii="Times New Roman" w:hAnsi="Times New Roman"/>
          <w:highlight w:val="none"/>
        </w:rPr>
      </w:pPr>
      <w:r>
        <w:rPr>
          <w:rFonts w:ascii="Times New Roman" w:hAnsi="Times New Roman"/>
          <w:highlight w:val="none"/>
        </w:rPr>
        <w:t>以等效连续A声级Leq为评价量，根据噪声现状的监测统计结果，采用与评价标准直接比较的方法（单因子法）对评价范围内的声环境质量现状进行评价。</w:t>
      </w:r>
    </w:p>
    <w:p w14:paraId="5B51BD41">
      <w:pPr>
        <w:snapToGrid w:val="0"/>
        <w:spacing w:line="480" w:lineRule="exact"/>
        <w:ind w:firstLine="480"/>
        <w:rPr>
          <w:rFonts w:ascii="Times New Roman" w:hAnsi="Times New Roman"/>
          <w:highlight w:val="none"/>
        </w:rPr>
      </w:pPr>
      <w:r>
        <w:rPr>
          <w:rFonts w:ascii="Times New Roman" w:hAnsi="Times New Roman"/>
          <w:highlight w:val="none"/>
        </w:rPr>
        <w:t>（2）评价标准</w:t>
      </w:r>
    </w:p>
    <w:p w14:paraId="55260756">
      <w:pPr>
        <w:snapToGrid w:val="0"/>
        <w:spacing w:line="480" w:lineRule="exact"/>
        <w:ind w:firstLine="480"/>
        <w:rPr>
          <w:rFonts w:ascii="Times New Roman" w:hAnsi="Times New Roman"/>
          <w:highlight w:val="none"/>
        </w:rPr>
      </w:pPr>
      <w:r>
        <w:rPr>
          <w:rFonts w:ascii="Times New Roman" w:hAnsi="Times New Roman"/>
          <w:highlight w:val="none"/>
        </w:rPr>
        <w:t>项目厂址环境噪声执行《声环境质量标准》（GB3096—2008）中</w:t>
      </w:r>
      <w:r>
        <w:rPr>
          <w:rFonts w:hint="eastAsia" w:ascii="Times New Roman" w:hAnsi="Times New Roman"/>
          <w:highlight w:val="none"/>
          <w:lang w:val="en-US" w:eastAsia="zh-CN"/>
        </w:rPr>
        <w:t>2</w:t>
      </w:r>
      <w:r>
        <w:rPr>
          <w:rFonts w:ascii="Times New Roman" w:hAnsi="Times New Roman"/>
          <w:highlight w:val="none"/>
        </w:rPr>
        <w:t>类区</w:t>
      </w:r>
      <w:r>
        <w:rPr>
          <w:rFonts w:hint="eastAsia" w:ascii="Times New Roman" w:hAnsi="Times New Roman"/>
          <w:highlight w:val="none"/>
          <w:lang w:val="en-US" w:eastAsia="zh-CN"/>
        </w:rPr>
        <w:t>和4a类</w:t>
      </w:r>
      <w:r>
        <w:rPr>
          <w:rFonts w:ascii="Times New Roman" w:hAnsi="Times New Roman"/>
          <w:highlight w:val="none"/>
        </w:rPr>
        <w:t>标准，即昼间</w:t>
      </w:r>
      <w:r>
        <w:rPr>
          <w:rFonts w:hint="eastAsia" w:ascii="Times New Roman" w:hAnsi="Times New Roman"/>
          <w:highlight w:val="none"/>
          <w:lang w:val="en-US" w:eastAsia="zh-CN"/>
        </w:rPr>
        <w:t>60</w:t>
      </w:r>
      <w:r>
        <w:rPr>
          <w:rFonts w:ascii="Times New Roman" w:hAnsi="Times New Roman"/>
          <w:highlight w:val="none"/>
        </w:rPr>
        <w:t>dB(A)</w:t>
      </w:r>
      <w:r>
        <w:rPr>
          <w:rFonts w:hint="eastAsia" w:ascii="Times New Roman" w:hAnsi="Times New Roman"/>
          <w:highlight w:val="none"/>
          <w:lang w:eastAsia="zh-CN"/>
        </w:rPr>
        <w:t>、</w:t>
      </w:r>
      <w:r>
        <w:rPr>
          <w:rFonts w:hint="eastAsia" w:ascii="Times New Roman" w:hAnsi="Times New Roman"/>
          <w:highlight w:val="none"/>
          <w:lang w:val="en-US" w:eastAsia="zh-CN"/>
        </w:rPr>
        <w:t>70</w:t>
      </w:r>
      <w:r>
        <w:rPr>
          <w:rFonts w:ascii="Times New Roman" w:hAnsi="Times New Roman"/>
          <w:highlight w:val="none"/>
        </w:rPr>
        <w:t>dB(A)，夜间</w:t>
      </w:r>
      <w:r>
        <w:rPr>
          <w:rFonts w:hint="eastAsia" w:ascii="Times New Roman" w:hAnsi="Times New Roman"/>
          <w:highlight w:val="none"/>
          <w:lang w:val="en-US" w:eastAsia="zh-CN"/>
        </w:rPr>
        <w:t>50</w:t>
      </w:r>
      <w:r>
        <w:rPr>
          <w:rFonts w:ascii="Times New Roman" w:hAnsi="Times New Roman"/>
          <w:highlight w:val="none"/>
        </w:rPr>
        <w:t>dB(A)</w:t>
      </w:r>
      <w:r>
        <w:rPr>
          <w:rFonts w:hint="eastAsia" w:ascii="Times New Roman" w:hAnsi="Times New Roman"/>
          <w:highlight w:val="none"/>
          <w:lang w:eastAsia="zh-CN"/>
        </w:rPr>
        <w:t>、</w:t>
      </w:r>
      <w:r>
        <w:rPr>
          <w:rFonts w:hint="eastAsia" w:ascii="Times New Roman" w:hAnsi="Times New Roman"/>
          <w:highlight w:val="none"/>
          <w:lang w:val="en-US" w:eastAsia="zh-CN"/>
        </w:rPr>
        <w:t>55</w:t>
      </w:r>
      <w:r>
        <w:rPr>
          <w:rFonts w:ascii="Times New Roman" w:hAnsi="Times New Roman"/>
          <w:highlight w:val="none"/>
        </w:rPr>
        <w:t>dB(A)。</w:t>
      </w:r>
      <w:r>
        <w:rPr>
          <w:rFonts w:hint="eastAsia" w:ascii="Times New Roman" w:hAnsi="Times New Roman"/>
          <w:highlight w:val="none"/>
          <w:lang w:val="en-US" w:eastAsia="zh-CN"/>
        </w:rPr>
        <w:t>敏感点</w:t>
      </w:r>
      <w:r>
        <w:rPr>
          <w:rFonts w:ascii="Times New Roman" w:hAnsi="Times New Roman"/>
          <w:highlight w:val="none"/>
        </w:rPr>
        <w:t>环境噪声执行《声环境质量标准》（GB3096—2008）中2类区标准，即昼间60dB(A)，夜间50dB(A)。</w:t>
      </w:r>
    </w:p>
    <w:p w14:paraId="364EC22E">
      <w:pPr>
        <w:snapToGrid w:val="0"/>
        <w:spacing w:line="480" w:lineRule="exact"/>
        <w:ind w:firstLine="480"/>
        <w:rPr>
          <w:rFonts w:ascii="Times New Roman" w:hAnsi="Times New Roman"/>
          <w:highlight w:val="none"/>
        </w:rPr>
      </w:pPr>
      <w:r>
        <w:rPr>
          <w:rFonts w:ascii="Times New Roman" w:hAnsi="Times New Roman"/>
          <w:highlight w:val="none"/>
        </w:rPr>
        <w:t>（3）现状评价结果</w:t>
      </w:r>
    </w:p>
    <w:p w14:paraId="4668D616">
      <w:pPr>
        <w:snapToGrid w:val="0"/>
        <w:spacing w:line="480" w:lineRule="exact"/>
        <w:ind w:firstLine="480"/>
        <w:rPr>
          <w:rFonts w:ascii="Times New Roman" w:hAnsi="Times New Roman"/>
          <w:highlight w:val="none"/>
        </w:rPr>
      </w:pPr>
      <w:r>
        <w:rPr>
          <w:rFonts w:ascii="Times New Roman" w:hAnsi="Times New Roman"/>
          <w:highlight w:val="none"/>
        </w:rPr>
        <w:t>本项目厂址区域噪声昼间</w:t>
      </w:r>
      <w:r>
        <w:rPr>
          <w:rFonts w:hint="eastAsia" w:ascii="Times New Roman" w:hAnsi="Times New Roman"/>
          <w:highlight w:val="none"/>
          <w:lang w:val="en-US" w:eastAsia="zh-CN"/>
        </w:rPr>
        <w:t>55</w:t>
      </w:r>
      <w:r>
        <w:rPr>
          <w:rFonts w:hint="eastAsia" w:ascii="Times New Roman" w:hAnsi="Times New Roman"/>
          <w:highlight w:val="none"/>
        </w:rPr>
        <w:t>~</w:t>
      </w:r>
      <w:r>
        <w:rPr>
          <w:rFonts w:hint="eastAsia" w:ascii="Times New Roman" w:hAnsi="Times New Roman"/>
          <w:highlight w:val="none"/>
          <w:lang w:val="en-US" w:eastAsia="zh-CN"/>
        </w:rPr>
        <w:t>68</w:t>
      </w:r>
      <w:r>
        <w:rPr>
          <w:rFonts w:ascii="Times New Roman" w:hAnsi="Times New Roman"/>
          <w:highlight w:val="none"/>
        </w:rPr>
        <w:t>dB(A）之间，夜间在</w:t>
      </w:r>
      <w:r>
        <w:rPr>
          <w:rFonts w:hint="eastAsia" w:ascii="Times New Roman" w:hAnsi="Times New Roman"/>
          <w:highlight w:val="none"/>
          <w:lang w:val="en-US" w:eastAsia="zh-CN"/>
        </w:rPr>
        <w:t>43</w:t>
      </w:r>
      <w:r>
        <w:rPr>
          <w:rFonts w:ascii="Times New Roman" w:hAnsi="Times New Roman"/>
          <w:highlight w:val="none"/>
        </w:rPr>
        <w:t>~</w:t>
      </w:r>
      <w:r>
        <w:rPr>
          <w:rFonts w:hint="eastAsia" w:ascii="Times New Roman" w:hAnsi="Times New Roman"/>
          <w:highlight w:val="none"/>
          <w:lang w:val="en-US" w:eastAsia="zh-CN"/>
        </w:rPr>
        <w:t>53</w:t>
      </w:r>
      <w:r>
        <w:rPr>
          <w:rFonts w:ascii="Times New Roman" w:hAnsi="Times New Roman"/>
          <w:highlight w:val="none"/>
        </w:rPr>
        <w:t>dB(A）之间，昼间、夜间噪声满足《声环境质量标准》（GB3096—2008）中</w:t>
      </w:r>
      <w:r>
        <w:rPr>
          <w:rFonts w:hint="eastAsia" w:ascii="Times New Roman" w:hAnsi="Times New Roman"/>
          <w:highlight w:val="none"/>
          <w:lang w:val="en-US" w:eastAsia="zh-CN"/>
        </w:rPr>
        <w:t>2</w:t>
      </w:r>
      <w:r>
        <w:rPr>
          <w:rFonts w:ascii="Times New Roman" w:hAnsi="Times New Roman"/>
          <w:highlight w:val="none"/>
        </w:rPr>
        <w:t>类区</w:t>
      </w:r>
      <w:r>
        <w:rPr>
          <w:rFonts w:hint="eastAsia" w:ascii="Times New Roman" w:hAnsi="Times New Roman"/>
          <w:highlight w:val="none"/>
          <w:lang w:val="en-US" w:eastAsia="zh-CN"/>
        </w:rPr>
        <w:t>和4a类</w:t>
      </w:r>
      <w:r>
        <w:rPr>
          <w:rFonts w:ascii="Times New Roman" w:hAnsi="Times New Roman"/>
          <w:highlight w:val="none"/>
        </w:rPr>
        <w:t>标准限值要求。</w:t>
      </w:r>
      <w:r>
        <w:rPr>
          <w:rFonts w:hint="eastAsia" w:ascii="Times New Roman" w:hAnsi="Times New Roman"/>
          <w:highlight w:val="none"/>
        </w:rPr>
        <w:t>周边</w:t>
      </w:r>
      <w:r>
        <w:rPr>
          <w:rFonts w:hint="eastAsia" w:ascii="Times New Roman" w:hAnsi="Times New Roman"/>
          <w:highlight w:val="none"/>
          <w:lang w:val="en-US" w:eastAsia="zh-CN"/>
        </w:rPr>
        <w:t>敏感点</w:t>
      </w:r>
      <w:r>
        <w:rPr>
          <w:rFonts w:ascii="Times New Roman" w:hAnsi="Times New Roman"/>
          <w:highlight w:val="none"/>
        </w:rPr>
        <w:t>昼间</w:t>
      </w:r>
      <w:r>
        <w:rPr>
          <w:rFonts w:hint="eastAsia" w:ascii="Times New Roman" w:hAnsi="Times New Roman"/>
          <w:highlight w:val="none"/>
          <w:lang w:val="en-US" w:eastAsia="zh-CN"/>
        </w:rPr>
        <w:t>49</w:t>
      </w:r>
      <w:r>
        <w:rPr>
          <w:rFonts w:ascii="Times New Roman" w:hAnsi="Times New Roman"/>
          <w:highlight w:val="none"/>
        </w:rPr>
        <w:t>~</w:t>
      </w:r>
      <w:r>
        <w:rPr>
          <w:rFonts w:hint="eastAsia" w:ascii="Times New Roman" w:hAnsi="Times New Roman"/>
          <w:highlight w:val="none"/>
          <w:lang w:val="en-US" w:eastAsia="zh-CN"/>
        </w:rPr>
        <w:t>56</w:t>
      </w:r>
      <w:r>
        <w:rPr>
          <w:rFonts w:ascii="Times New Roman" w:hAnsi="Times New Roman"/>
          <w:highlight w:val="none"/>
        </w:rPr>
        <w:t>dB(A）之间，夜间在</w:t>
      </w:r>
      <w:r>
        <w:rPr>
          <w:rFonts w:hint="eastAsia" w:ascii="Times New Roman" w:hAnsi="Times New Roman"/>
          <w:highlight w:val="none"/>
          <w:lang w:val="en-US" w:eastAsia="zh-CN"/>
        </w:rPr>
        <w:t>41</w:t>
      </w:r>
      <w:r>
        <w:rPr>
          <w:rFonts w:ascii="Times New Roman" w:hAnsi="Times New Roman"/>
          <w:highlight w:val="none"/>
        </w:rPr>
        <w:t>~</w:t>
      </w:r>
      <w:r>
        <w:rPr>
          <w:rFonts w:hint="eastAsia" w:ascii="Times New Roman" w:hAnsi="Times New Roman"/>
          <w:highlight w:val="none"/>
          <w:lang w:val="en-US" w:eastAsia="zh-CN"/>
        </w:rPr>
        <w:t>44</w:t>
      </w:r>
      <w:r>
        <w:rPr>
          <w:rFonts w:ascii="Times New Roman" w:hAnsi="Times New Roman"/>
          <w:highlight w:val="none"/>
        </w:rPr>
        <w:t>dB(A）之间，昼间、夜间噪声满足《声环境质量标准》（GB3096—2008）中2类区标准限值要求。</w:t>
      </w:r>
    </w:p>
    <w:p w14:paraId="3A35FC58">
      <w:pPr>
        <w:pStyle w:val="15"/>
        <w:ind w:left="0" w:leftChars="0" w:firstLine="480"/>
        <w:rPr>
          <w:rFonts w:ascii="Times New Roman" w:hAnsi="Times New Roman"/>
          <w:highlight w:val="none"/>
        </w:rPr>
      </w:pPr>
      <w:r>
        <w:rPr>
          <w:rFonts w:ascii="Times New Roman" w:hAnsi="Times New Roman"/>
          <w:highlight w:val="none"/>
        </w:rPr>
        <w:t>三、声环境现状评价结论</w:t>
      </w:r>
    </w:p>
    <w:p w14:paraId="12290503">
      <w:pPr>
        <w:pStyle w:val="15"/>
        <w:ind w:left="0" w:leftChars="0" w:firstLine="480"/>
        <w:rPr>
          <w:rFonts w:ascii="Times New Roman" w:hAnsi="Times New Roman"/>
          <w:highlight w:val="none"/>
        </w:rPr>
      </w:pPr>
      <w:r>
        <w:rPr>
          <w:rFonts w:ascii="Times New Roman" w:hAnsi="Times New Roman"/>
          <w:highlight w:val="none"/>
        </w:rPr>
        <w:t>本项目所在区域噪声满足《声环境质量标准》（GB3096—2008）中</w:t>
      </w:r>
      <w:r>
        <w:rPr>
          <w:rFonts w:hint="eastAsia" w:ascii="Times New Roman" w:hAnsi="Times New Roman"/>
          <w:highlight w:val="none"/>
          <w:lang w:val="en-US" w:eastAsia="zh-CN"/>
        </w:rPr>
        <w:t>2</w:t>
      </w:r>
      <w:r>
        <w:rPr>
          <w:rFonts w:ascii="Times New Roman" w:hAnsi="Times New Roman"/>
          <w:highlight w:val="none"/>
        </w:rPr>
        <w:t>类区</w:t>
      </w:r>
      <w:r>
        <w:rPr>
          <w:rFonts w:hint="eastAsia" w:ascii="Times New Roman" w:hAnsi="Times New Roman"/>
          <w:highlight w:val="none"/>
          <w:lang w:val="en-US" w:eastAsia="zh-CN"/>
        </w:rPr>
        <w:t>和4a类区</w:t>
      </w:r>
      <w:r>
        <w:rPr>
          <w:rFonts w:ascii="Times New Roman" w:hAnsi="Times New Roman"/>
          <w:highlight w:val="none"/>
        </w:rPr>
        <w:t>标准。附近</w:t>
      </w:r>
      <w:r>
        <w:rPr>
          <w:rFonts w:hint="eastAsia" w:ascii="Times New Roman" w:hAnsi="Times New Roman"/>
          <w:highlight w:val="none"/>
          <w:lang w:val="en-US" w:eastAsia="zh-CN"/>
        </w:rPr>
        <w:t>敏感点</w:t>
      </w:r>
      <w:r>
        <w:rPr>
          <w:rFonts w:ascii="Times New Roman" w:hAnsi="Times New Roman"/>
          <w:highlight w:val="none"/>
        </w:rPr>
        <w:t>满足《声环境质量标准》（GB3096—2008）中2类区标准。</w:t>
      </w:r>
    </w:p>
    <w:p w14:paraId="3F653536">
      <w:pPr>
        <w:pStyle w:val="5"/>
        <w:bidi w:val="0"/>
        <w:ind w:left="0" w:leftChars="0" w:firstLine="0" w:firstLineChars="0"/>
        <w:rPr>
          <w:rFonts w:hint="eastAsia"/>
          <w:sz w:val="30"/>
          <w:szCs w:val="30"/>
          <w:highlight w:val="none"/>
          <w:lang w:val="en-US" w:eastAsia="zh-CN"/>
        </w:rPr>
      </w:pPr>
      <w:bookmarkStart w:id="117" w:name="_Toc1514"/>
      <w:r>
        <w:rPr>
          <w:rFonts w:hint="default" w:ascii="Times New Roman" w:hAnsi="Times New Roman" w:cs="Times New Roman"/>
          <w:sz w:val="30"/>
          <w:szCs w:val="30"/>
          <w:highlight w:val="none"/>
          <w:lang w:val="en-US" w:eastAsia="zh-CN"/>
        </w:rPr>
        <w:t>4.3.4</w:t>
      </w:r>
      <w:r>
        <w:rPr>
          <w:rFonts w:hint="eastAsia"/>
          <w:sz w:val="30"/>
          <w:szCs w:val="30"/>
          <w:highlight w:val="none"/>
          <w:lang w:val="en-US" w:eastAsia="zh-CN"/>
        </w:rPr>
        <w:t>土壤环境质量现状评价</w:t>
      </w:r>
      <w:bookmarkEnd w:id="117"/>
    </w:p>
    <w:p w14:paraId="2F416939">
      <w:pPr>
        <w:ind w:firstLine="480"/>
        <w:rPr>
          <w:rFonts w:ascii="Times New Roman" w:hAnsi="Times New Roman"/>
          <w:highlight w:val="none"/>
        </w:rPr>
      </w:pPr>
      <w:r>
        <w:rPr>
          <w:rFonts w:ascii="Times New Roman" w:hAnsi="Times New Roman"/>
          <w:highlight w:val="none"/>
        </w:rPr>
        <w:t>一、土壤环境现状监测</w:t>
      </w:r>
    </w:p>
    <w:p w14:paraId="799594D6">
      <w:pPr>
        <w:ind w:firstLine="480"/>
        <w:rPr>
          <w:rFonts w:ascii="Times New Roman" w:hAnsi="Times New Roman"/>
          <w:highlight w:val="none"/>
        </w:rPr>
      </w:pPr>
      <w:r>
        <w:rPr>
          <w:rFonts w:ascii="Times New Roman" w:hAnsi="Times New Roman"/>
          <w:highlight w:val="none"/>
        </w:rPr>
        <w:t>（1）监测点位</w:t>
      </w:r>
    </w:p>
    <w:p w14:paraId="0DF8B3F4">
      <w:pPr>
        <w:ind w:firstLine="480"/>
        <w:rPr>
          <w:rFonts w:ascii="Times New Roman" w:hAnsi="Times New Roman"/>
          <w:highlight w:val="none"/>
        </w:rPr>
      </w:pPr>
      <w:r>
        <w:rPr>
          <w:rFonts w:ascii="Times New Roman" w:hAnsi="Times New Roman"/>
          <w:highlight w:val="none"/>
        </w:rPr>
        <w:t>依据《环境影响评价技术导则 土壤环境（试行）》本项目属于污染影响型项目，评价等级为三级。根据土壤导则现状监测点数量要求，在厂区内共设3个表层样检测点。</w:t>
      </w:r>
    </w:p>
    <w:p w14:paraId="0DC3A070">
      <w:pPr>
        <w:ind w:firstLine="480"/>
        <w:rPr>
          <w:rFonts w:ascii="Times New Roman" w:hAnsi="Times New Roman"/>
          <w:highlight w:val="none"/>
        </w:rPr>
      </w:pPr>
      <w:r>
        <w:rPr>
          <w:rFonts w:hint="eastAsia" w:ascii="Times New Roman" w:hAnsi="Times New Roman"/>
          <w:highlight w:val="none"/>
        </w:rPr>
        <w:t>（2）</w:t>
      </w:r>
      <w:r>
        <w:rPr>
          <w:rFonts w:ascii="Times New Roman" w:hAnsi="Times New Roman"/>
          <w:highlight w:val="none"/>
        </w:rPr>
        <w:t>监测因子</w:t>
      </w:r>
    </w:p>
    <w:p w14:paraId="025B694F">
      <w:pPr>
        <w:ind w:firstLine="480"/>
        <w:rPr>
          <w:rFonts w:ascii="Times New Roman" w:hAnsi="Times New Roman"/>
          <w:highlight w:val="none"/>
        </w:rPr>
      </w:pPr>
      <w:r>
        <w:rPr>
          <w:rFonts w:ascii="Times New Roman" w:hAnsi="Times New Roman"/>
          <w:highlight w:val="none"/>
        </w:rPr>
        <w:t>1#监测点位：pH</w:t>
      </w:r>
    </w:p>
    <w:p w14:paraId="1BE9732A">
      <w:pPr>
        <w:ind w:firstLine="480"/>
        <w:rPr>
          <w:rFonts w:ascii="Times New Roman" w:hAnsi="Times New Roman"/>
          <w:highlight w:val="none"/>
        </w:rPr>
      </w:pPr>
      <w:r>
        <w:rPr>
          <w:rFonts w:ascii="Times New Roman" w:hAnsi="Times New Roman"/>
          <w:highlight w:val="none"/>
        </w:rPr>
        <w:t xml:space="preserve">重金属和无机物：砷、镉、铬（六价）、铜、铅、汞、镍； </w:t>
      </w:r>
    </w:p>
    <w:p w14:paraId="1E6712CF">
      <w:pPr>
        <w:ind w:firstLine="480"/>
        <w:rPr>
          <w:rFonts w:ascii="Times New Roman" w:hAnsi="Times New Roman"/>
          <w:highlight w:val="none"/>
        </w:rPr>
      </w:pPr>
      <w:r>
        <w:rPr>
          <w:rFonts w:ascii="Times New Roman" w:hAnsi="Times New Roman"/>
          <w:highlight w:val="none"/>
        </w:rPr>
        <w:t xml:space="preserve">挥发性有机物：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 </w:t>
      </w:r>
    </w:p>
    <w:p w14:paraId="103AB76A">
      <w:pPr>
        <w:ind w:firstLine="480"/>
        <w:rPr>
          <w:rFonts w:ascii="Times New Roman" w:hAnsi="Times New Roman"/>
          <w:highlight w:val="none"/>
        </w:rPr>
      </w:pPr>
      <w:r>
        <w:rPr>
          <w:rFonts w:ascii="Times New Roman" w:hAnsi="Times New Roman"/>
          <w:highlight w:val="none"/>
        </w:rPr>
        <w:t>半挥发性有机物：硝基苯、苯胺、2-氯酚、苯并[a]蒽、苯并[a]芘、苯并[b]荧蒽、苯并[k]荧蒽、䓛、二苯并[a,h]蒽、茚并[1,2,3-cd]芘、萘。</w:t>
      </w:r>
    </w:p>
    <w:p w14:paraId="559CC086">
      <w:pPr>
        <w:ind w:firstLine="480"/>
        <w:rPr>
          <w:rFonts w:ascii="Times New Roman" w:hAnsi="Times New Roman"/>
          <w:highlight w:val="none"/>
        </w:rPr>
      </w:pPr>
      <w:r>
        <w:rPr>
          <w:rFonts w:ascii="Times New Roman" w:hAnsi="Times New Roman"/>
          <w:highlight w:val="none"/>
        </w:rPr>
        <w:t>2#、3#监测点位：pH、汞、砷、铜、铅、镉、镍、铬（六价）。</w:t>
      </w:r>
    </w:p>
    <w:p w14:paraId="6772AE4B">
      <w:pPr>
        <w:ind w:firstLine="480"/>
        <w:rPr>
          <w:rFonts w:ascii="Times New Roman" w:hAnsi="Times New Roman"/>
          <w:highlight w:val="none"/>
        </w:rPr>
      </w:pPr>
      <w:r>
        <w:rPr>
          <w:rFonts w:hint="eastAsia" w:ascii="Times New Roman" w:hAnsi="Times New Roman"/>
          <w:highlight w:val="none"/>
        </w:rPr>
        <w:t>（3）</w:t>
      </w:r>
      <w:r>
        <w:rPr>
          <w:rFonts w:ascii="Times New Roman" w:hAnsi="Times New Roman"/>
          <w:highlight w:val="none"/>
        </w:rPr>
        <w:t>监测方法</w:t>
      </w:r>
    </w:p>
    <w:p w14:paraId="04934428">
      <w:pPr>
        <w:pStyle w:val="28"/>
        <w:rPr>
          <w:highlight w:val="none"/>
        </w:rPr>
      </w:pPr>
      <w:r>
        <w:rPr>
          <w:highlight w:val="none"/>
        </w:rPr>
        <w:t>监测点表层样监测方法按照《土壤环境监测技术规范》（HJ/T 166-2004）表1执行。</w:t>
      </w:r>
    </w:p>
    <w:p w14:paraId="7632E5B3">
      <w:pPr>
        <w:ind w:firstLine="480"/>
        <w:rPr>
          <w:rFonts w:ascii="Times New Roman" w:hAnsi="Times New Roman"/>
          <w:highlight w:val="none"/>
        </w:rPr>
      </w:pPr>
      <w:r>
        <w:rPr>
          <w:rFonts w:hint="eastAsia" w:ascii="Times New Roman" w:hAnsi="Times New Roman"/>
          <w:highlight w:val="none"/>
        </w:rPr>
        <w:t>（4）</w:t>
      </w:r>
      <w:r>
        <w:rPr>
          <w:rFonts w:ascii="Times New Roman" w:hAnsi="Times New Roman"/>
          <w:highlight w:val="none"/>
        </w:rPr>
        <w:t>监测结果</w:t>
      </w:r>
    </w:p>
    <w:p w14:paraId="0304EEB5">
      <w:pPr>
        <w:pStyle w:val="38"/>
        <w:ind w:firstLine="480"/>
        <w:rPr>
          <w:rFonts w:ascii="Times New Roman" w:hAnsi="Times New Roman"/>
          <w:highlight w:val="none"/>
        </w:rPr>
      </w:pPr>
      <w:r>
        <w:rPr>
          <w:rFonts w:ascii="Times New Roman" w:hAnsi="Times New Roman"/>
          <w:szCs w:val="22"/>
          <w:highlight w:val="none"/>
        </w:rPr>
        <w:t>表4.3-8 土壤环境质量检测结果表</w:t>
      </w:r>
    </w:p>
    <w:tbl>
      <w:tblPr>
        <w:tblStyle w:val="1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6"/>
        <w:gridCol w:w="1307"/>
        <w:gridCol w:w="797"/>
        <w:gridCol w:w="1962"/>
        <w:gridCol w:w="1970"/>
        <w:gridCol w:w="1970"/>
      </w:tblGrid>
      <w:tr w14:paraId="3EBFDC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5000" w:type="pct"/>
            <w:gridSpan w:val="6"/>
            <w:noWrap w:val="0"/>
            <w:vAlign w:val="center"/>
          </w:tcPr>
          <w:p w14:paraId="742C4AA0">
            <w:pPr>
              <w:widowControl/>
              <w:spacing w:line="320" w:lineRule="exact"/>
              <w:ind w:firstLine="0" w:firstLineChars="0"/>
              <w:jc w:val="center"/>
              <w:rPr>
                <w:rFonts w:hint="default" w:ascii="Times New Roman" w:hAnsi="Times New Roman" w:eastAsia="宋体"/>
                <w:sz w:val="21"/>
                <w:szCs w:val="21"/>
                <w:highlight w:val="none"/>
                <w:lang w:val="en-US" w:eastAsia="zh-CN"/>
              </w:rPr>
            </w:pPr>
            <w:r>
              <w:rPr>
                <w:rFonts w:ascii="Times New Roman" w:hAnsi="Times New Roman"/>
                <w:sz w:val="21"/>
                <w:szCs w:val="21"/>
                <w:highlight w:val="none"/>
              </w:rPr>
              <w:t>采样时间：202</w:t>
            </w:r>
            <w:r>
              <w:rPr>
                <w:rFonts w:hint="eastAsia" w:ascii="Times New Roman" w:hAnsi="Times New Roman"/>
                <w:sz w:val="21"/>
                <w:szCs w:val="21"/>
                <w:highlight w:val="none"/>
                <w:lang w:val="en-US" w:eastAsia="zh-CN"/>
              </w:rPr>
              <w:t>5.10.09</w:t>
            </w:r>
          </w:p>
        </w:tc>
      </w:tr>
      <w:tr w14:paraId="27CD4A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1778" w:type="pct"/>
            <w:gridSpan w:val="3"/>
            <w:noWrap w:val="0"/>
            <w:vAlign w:val="center"/>
          </w:tcPr>
          <w:p w14:paraId="3A09DAA1">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采样地点</w:t>
            </w:r>
          </w:p>
        </w:tc>
        <w:tc>
          <w:tcPr>
            <w:tcW w:w="1073" w:type="pct"/>
            <w:noWrap w:val="0"/>
            <w:vAlign w:val="center"/>
          </w:tcPr>
          <w:p w14:paraId="5A19DC25">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1#厂界内煤场</w:t>
            </w:r>
          </w:p>
        </w:tc>
        <w:tc>
          <w:tcPr>
            <w:tcW w:w="1073" w:type="pct"/>
            <w:noWrap w:val="0"/>
            <w:vAlign w:val="center"/>
          </w:tcPr>
          <w:p w14:paraId="510D80BA">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2#厂界内脱硫设备间</w:t>
            </w:r>
          </w:p>
        </w:tc>
        <w:tc>
          <w:tcPr>
            <w:tcW w:w="1073" w:type="pct"/>
            <w:noWrap w:val="0"/>
            <w:vAlign w:val="center"/>
          </w:tcPr>
          <w:p w14:paraId="116F29A6">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3#厂界内锅炉房</w:t>
            </w:r>
          </w:p>
        </w:tc>
      </w:tr>
      <w:tr w14:paraId="0C5D19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383" w:type="pct"/>
            <w:noWrap w:val="0"/>
            <w:vAlign w:val="center"/>
          </w:tcPr>
          <w:p w14:paraId="61C3A02D">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序号</w:t>
            </w:r>
          </w:p>
        </w:tc>
        <w:tc>
          <w:tcPr>
            <w:tcW w:w="847" w:type="pct"/>
            <w:noWrap w:val="0"/>
            <w:vAlign w:val="center"/>
          </w:tcPr>
          <w:p w14:paraId="78CBA25B">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检测项目</w:t>
            </w:r>
          </w:p>
        </w:tc>
        <w:tc>
          <w:tcPr>
            <w:tcW w:w="547" w:type="pct"/>
            <w:noWrap w:val="0"/>
            <w:vAlign w:val="center"/>
          </w:tcPr>
          <w:p w14:paraId="7D88C9C7">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单位</w:t>
            </w:r>
          </w:p>
        </w:tc>
        <w:tc>
          <w:tcPr>
            <w:tcW w:w="1073" w:type="pct"/>
            <w:noWrap w:val="0"/>
            <w:vAlign w:val="center"/>
          </w:tcPr>
          <w:p w14:paraId="5595E4A2">
            <w:pPr>
              <w:widowControl/>
              <w:spacing w:line="320" w:lineRule="exact"/>
              <w:ind w:firstLine="0" w:firstLineChars="0"/>
              <w:jc w:val="center"/>
              <w:rPr>
                <w:rFonts w:ascii="Times New Roman" w:hAnsi="Times New Roman"/>
                <w:sz w:val="21"/>
                <w:szCs w:val="21"/>
                <w:highlight w:val="none"/>
              </w:rPr>
            </w:pPr>
            <w:r>
              <w:rPr>
                <w:rFonts w:hint="eastAsia" w:ascii="Times New Roman" w:hAnsi="Times New Roman"/>
                <w:sz w:val="21"/>
                <w:szCs w:val="21"/>
                <w:highlight w:val="none"/>
                <w:lang w:val="en-US" w:eastAsia="zh-CN"/>
              </w:rPr>
              <w:t>W25101504-TR-111</w:t>
            </w:r>
          </w:p>
        </w:tc>
        <w:tc>
          <w:tcPr>
            <w:tcW w:w="1073" w:type="pct"/>
            <w:noWrap w:val="0"/>
            <w:vAlign w:val="center"/>
          </w:tcPr>
          <w:p w14:paraId="7D9BC609">
            <w:pPr>
              <w:widowControl/>
              <w:spacing w:line="320" w:lineRule="exact"/>
              <w:ind w:firstLine="0" w:firstLineChars="0"/>
              <w:jc w:val="center"/>
              <w:rPr>
                <w:rFonts w:ascii="Times New Roman" w:hAnsi="Times New Roman"/>
                <w:sz w:val="21"/>
                <w:szCs w:val="21"/>
                <w:highlight w:val="none"/>
              </w:rPr>
            </w:pPr>
            <w:r>
              <w:rPr>
                <w:rFonts w:hint="eastAsia" w:ascii="Times New Roman" w:hAnsi="Times New Roman"/>
                <w:sz w:val="21"/>
                <w:szCs w:val="21"/>
                <w:highlight w:val="none"/>
                <w:lang w:val="en-US" w:eastAsia="zh-CN"/>
              </w:rPr>
              <w:t>W25101504-TR-211</w:t>
            </w:r>
          </w:p>
        </w:tc>
        <w:tc>
          <w:tcPr>
            <w:tcW w:w="1073" w:type="pct"/>
            <w:noWrap w:val="0"/>
            <w:vAlign w:val="center"/>
          </w:tcPr>
          <w:p w14:paraId="1A819733">
            <w:pPr>
              <w:widowControl/>
              <w:spacing w:line="320" w:lineRule="exact"/>
              <w:ind w:firstLine="0" w:firstLineChars="0"/>
              <w:jc w:val="center"/>
              <w:rPr>
                <w:rFonts w:ascii="Times New Roman" w:hAnsi="Times New Roman"/>
                <w:sz w:val="21"/>
                <w:szCs w:val="21"/>
                <w:highlight w:val="none"/>
              </w:rPr>
            </w:pPr>
            <w:r>
              <w:rPr>
                <w:rFonts w:hint="eastAsia" w:ascii="Times New Roman" w:hAnsi="Times New Roman"/>
                <w:sz w:val="21"/>
                <w:szCs w:val="21"/>
                <w:highlight w:val="none"/>
                <w:lang w:val="en-US" w:eastAsia="zh-CN"/>
              </w:rPr>
              <w:t>W25101504-TR-311</w:t>
            </w:r>
          </w:p>
        </w:tc>
      </w:tr>
      <w:tr w14:paraId="401E14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1F6FEF06">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1</w:t>
            </w:r>
          </w:p>
        </w:tc>
        <w:tc>
          <w:tcPr>
            <w:tcW w:w="847" w:type="pct"/>
            <w:noWrap w:val="0"/>
            <w:vAlign w:val="center"/>
          </w:tcPr>
          <w:p w14:paraId="6F085B87">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pH值</w:t>
            </w:r>
          </w:p>
        </w:tc>
        <w:tc>
          <w:tcPr>
            <w:tcW w:w="547" w:type="pct"/>
            <w:noWrap w:val="0"/>
            <w:vAlign w:val="center"/>
          </w:tcPr>
          <w:p w14:paraId="1190A309">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无量纲</w:t>
            </w:r>
          </w:p>
        </w:tc>
        <w:tc>
          <w:tcPr>
            <w:tcW w:w="1073" w:type="pct"/>
            <w:noWrap w:val="0"/>
            <w:vAlign w:val="center"/>
          </w:tcPr>
          <w:p w14:paraId="41A97F2D">
            <w:pPr>
              <w:widowControl/>
              <w:spacing w:line="320" w:lineRule="exact"/>
              <w:ind w:firstLine="0" w:firstLineChars="0"/>
              <w:jc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7.48</w:t>
            </w:r>
          </w:p>
        </w:tc>
        <w:tc>
          <w:tcPr>
            <w:tcW w:w="1073" w:type="pct"/>
            <w:noWrap w:val="0"/>
            <w:vAlign w:val="center"/>
          </w:tcPr>
          <w:p w14:paraId="181A53C8">
            <w:pPr>
              <w:widowControl/>
              <w:spacing w:line="320" w:lineRule="exact"/>
              <w:ind w:firstLine="0" w:firstLineChars="0"/>
              <w:jc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7.45</w:t>
            </w:r>
          </w:p>
        </w:tc>
        <w:tc>
          <w:tcPr>
            <w:tcW w:w="1073" w:type="pct"/>
            <w:noWrap w:val="0"/>
            <w:vAlign w:val="center"/>
          </w:tcPr>
          <w:p w14:paraId="25CDAF07">
            <w:pPr>
              <w:widowControl/>
              <w:spacing w:line="320" w:lineRule="exact"/>
              <w:ind w:firstLine="0" w:firstLineChars="0"/>
              <w:jc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7.42</w:t>
            </w:r>
          </w:p>
        </w:tc>
      </w:tr>
      <w:tr w14:paraId="25917D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50C0C2E9">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2</w:t>
            </w:r>
          </w:p>
        </w:tc>
        <w:tc>
          <w:tcPr>
            <w:tcW w:w="847" w:type="pct"/>
            <w:noWrap w:val="0"/>
            <w:vAlign w:val="center"/>
          </w:tcPr>
          <w:p w14:paraId="4FC22988">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砷</w:t>
            </w:r>
          </w:p>
        </w:tc>
        <w:tc>
          <w:tcPr>
            <w:tcW w:w="547" w:type="pct"/>
            <w:noWrap w:val="0"/>
            <w:vAlign w:val="center"/>
          </w:tcPr>
          <w:p w14:paraId="74145DA1">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mg/kg</w:t>
            </w:r>
          </w:p>
        </w:tc>
        <w:tc>
          <w:tcPr>
            <w:tcW w:w="1073" w:type="pct"/>
            <w:noWrap w:val="0"/>
            <w:vAlign w:val="center"/>
          </w:tcPr>
          <w:p w14:paraId="12E73173">
            <w:pPr>
              <w:widowControl/>
              <w:spacing w:line="320" w:lineRule="exact"/>
              <w:ind w:firstLine="0" w:firstLineChars="0"/>
              <w:jc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8.44</w:t>
            </w:r>
          </w:p>
        </w:tc>
        <w:tc>
          <w:tcPr>
            <w:tcW w:w="1073" w:type="pct"/>
            <w:noWrap w:val="0"/>
            <w:vAlign w:val="center"/>
          </w:tcPr>
          <w:p w14:paraId="71CE3ACA">
            <w:pPr>
              <w:widowControl/>
              <w:spacing w:line="320" w:lineRule="exact"/>
              <w:ind w:firstLine="0" w:firstLineChars="0"/>
              <w:jc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8.34</w:t>
            </w:r>
          </w:p>
        </w:tc>
        <w:tc>
          <w:tcPr>
            <w:tcW w:w="1073" w:type="pct"/>
            <w:noWrap w:val="0"/>
            <w:vAlign w:val="center"/>
          </w:tcPr>
          <w:p w14:paraId="35715810">
            <w:pPr>
              <w:widowControl/>
              <w:spacing w:line="320" w:lineRule="exact"/>
              <w:ind w:firstLine="0" w:firstLineChars="0"/>
              <w:jc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8.17</w:t>
            </w:r>
          </w:p>
        </w:tc>
      </w:tr>
      <w:tr w14:paraId="57B1CB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61054129">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3</w:t>
            </w:r>
          </w:p>
        </w:tc>
        <w:tc>
          <w:tcPr>
            <w:tcW w:w="847" w:type="pct"/>
            <w:noWrap w:val="0"/>
            <w:vAlign w:val="center"/>
          </w:tcPr>
          <w:p w14:paraId="5F0C1B6B">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汞</w:t>
            </w:r>
          </w:p>
        </w:tc>
        <w:tc>
          <w:tcPr>
            <w:tcW w:w="547" w:type="pct"/>
            <w:noWrap w:val="0"/>
            <w:vAlign w:val="center"/>
          </w:tcPr>
          <w:p w14:paraId="06D3E92E">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mg/kg</w:t>
            </w:r>
          </w:p>
        </w:tc>
        <w:tc>
          <w:tcPr>
            <w:tcW w:w="1073" w:type="pct"/>
            <w:noWrap w:val="0"/>
            <w:vAlign w:val="center"/>
          </w:tcPr>
          <w:p w14:paraId="568A5DB9">
            <w:pPr>
              <w:widowControl/>
              <w:spacing w:line="320" w:lineRule="exact"/>
              <w:ind w:firstLine="0" w:firstLineChars="0"/>
              <w:jc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0.125</w:t>
            </w:r>
          </w:p>
        </w:tc>
        <w:tc>
          <w:tcPr>
            <w:tcW w:w="1073" w:type="pct"/>
            <w:noWrap w:val="0"/>
            <w:vAlign w:val="center"/>
          </w:tcPr>
          <w:p w14:paraId="27E11C7D">
            <w:pPr>
              <w:widowControl/>
              <w:spacing w:line="320" w:lineRule="exact"/>
              <w:ind w:firstLine="0" w:firstLineChars="0"/>
              <w:jc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0.132</w:t>
            </w:r>
          </w:p>
        </w:tc>
        <w:tc>
          <w:tcPr>
            <w:tcW w:w="1073" w:type="pct"/>
            <w:noWrap w:val="0"/>
            <w:vAlign w:val="center"/>
          </w:tcPr>
          <w:p w14:paraId="08B8479A">
            <w:pPr>
              <w:widowControl/>
              <w:spacing w:line="320" w:lineRule="exact"/>
              <w:ind w:firstLine="0" w:firstLineChars="0"/>
              <w:jc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0.125</w:t>
            </w:r>
          </w:p>
        </w:tc>
      </w:tr>
      <w:tr w14:paraId="483A0C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466DD5DF">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4</w:t>
            </w:r>
          </w:p>
        </w:tc>
        <w:tc>
          <w:tcPr>
            <w:tcW w:w="847" w:type="pct"/>
            <w:noWrap w:val="0"/>
            <w:vAlign w:val="center"/>
          </w:tcPr>
          <w:p w14:paraId="093F64DD">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镉</w:t>
            </w:r>
          </w:p>
        </w:tc>
        <w:tc>
          <w:tcPr>
            <w:tcW w:w="547" w:type="pct"/>
            <w:noWrap w:val="0"/>
            <w:vAlign w:val="center"/>
          </w:tcPr>
          <w:p w14:paraId="54229B6F">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mg/kg</w:t>
            </w:r>
          </w:p>
        </w:tc>
        <w:tc>
          <w:tcPr>
            <w:tcW w:w="1073" w:type="pct"/>
            <w:noWrap w:val="0"/>
            <w:vAlign w:val="center"/>
          </w:tcPr>
          <w:p w14:paraId="0ECB9950">
            <w:pPr>
              <w:widowControl/>
              <w:spacing w:line="320" w:lineRule="exact"/>
              <w:ind w:firstLine="0" w:firstLineChars="0"/>
              <w:jc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0.21</w:t>
            </w:r>
          </w:p>
        </w:tc>
        <w:tc>
          <w:tcPr>
            <w:tcW w:w="1073" w:type="pct"/>
            <w:noWrap w:val="0"/>
            <w:vAlign w:val="center"/>
          </w:tcPr>
          <w:p w14:paraId="4F50E95E">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0.28</w:t>
            </w:r>
          </w:p>
        </w:tc>
        <w:tc>
          <w:tcPr>
            <w:tcW w:w="1073" w:type="pct"/>
            <w:noWrap w:val="0"/>
            <w:vAlign w:val="center"/>
          </w:tcPr>
          <w:p w14:paraId="39F1F0C2">
            <w:pPr>
              <w:widowControl/>
              <w:spacing w:line="320" w:lineRule="exact"/>
              <w:ind w:firstLine="0" w:firstLineChars="0"/>
              <w:jc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0.27</w:t>
            </w:r>
          </w:p>
        </w:tc>
      </w:tr>
      <w:tr w14:paraId="1C71E7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148222FC">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5</w:t>
            </w:r>
          </w:p>
        </w:tc>
        <w:tc>
          <w:tcPr>
            <w:tcW w:w="847" w:type="pct"/>
            <w:noWrap w:val="0"/>
            <w:vAlign w:val="center"/>
          </w:tcPr>
          <w:p w14:paraId="1E7E1275">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铜</w:t>
            </w:r>
          </w:p>
        </w:tc>
        <w:tc>
          <w:tcPr>
            <w:tcW w:w="547" w:type="pct"/>
            <w:noWrap w:val="0"/>
            <w:vAlign w:val="center"/>
          </w:tcPr>
          <w:p w14:paraId="5169FC84">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mg/kg</w:t>
            </w:r>
          </w:p>
        </w:tc>
        <w:tc>
          <w:tcPr>
            <w:tcW w:w="1073" w:type="pct"/>
            <w:noWrap w:val="0"/>
            <w:vAlign w:val="center"/>
          </w:tcPr>
          <w:p w14:paraId="5FB5D4C8">
            <w:pPr>
              <w:widowControl/>
              <w:spacing w:line="320" w:lineRule="exact"/>
              <w:ind w:firstLine="0" w:firstLineChars="0"/>
              <w:jc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40</w:t>
            </w:r>
          </w:p>
        </w:tc>
        <w:tc>
          <w:tcPr>
            <w:tcW w:w="1073" w:type="pct"/>
            <w:noWrap w:val="0"/>
            <w:vAlign w:val="center"/>
          </w:tcPr>
          <w:p w14:paraId="34C2BDF3">
            <w:pPr>
              <w:widowControl/>
              <w:spacing w:line="320" w:lineRule="exact"/>
              <w:ind w:firstLine="0" w:firstLineChars="0"/>
              <w:jc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42</w:t>
            </w:r>
          </w:p>
        </w:tc>
        <w:tc>
          <w:tcPr>
            <w:tcW w:w="1073" w:type="pct"/>
            <w:noWrap w:val="0"/>
            <w:vAlign w:val="center"/>
          </w:tcPr>
          <w:p w14:paraId="1398B510">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36</w:t>
            </w:r>
          </w:p>
        </w:tc>
      </w:tr>
      <w:tr w14:paraId="33E200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50DEE1B2">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6</w:t>
            </w:r>
          </w:p>
        </w:tc>
        <w:tc>
          <w:tcPr>
            <w:tcW w:w="847" w:type="pct"/>
            <w:noWrap w:val="0"/>
            <w:vAlign w:val="center"/>
          </w:tcPr>
          <w:p w14:paraId="145C4A5E">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铅</w:t>
            </w:r>
          </w:p>
        </w:tc>
        <w:tc>
          <w:tcPr>
            <w:tcW w:w="547" w:type="pct"/>
            <w:noWrap w:val="0"/>
            <w:vAlign w:val="center"/>
          </w:tcPr>
          <w:p w14:paraId="406683BA">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mg/kg</w:t>
            </w:r>
          </w:p>
        </w:tc>
        <w:tc>
          <w:tcPr>
            <w:tcW w:w="1073" w:type="pct"/>
            <w:noWrap w:val="0"/>
            <w:vAlign w:val="center"/>
          </w:tcPr>
          <w:p w14:paraId="5564F8E4">
            <w:pPr>
              <w:widowControl/>
              <w:spacing w:line="320" w:lineRule="exact"/>
              <w:ind w:firstLine="0" w:firstLineChars="0"/>
              <w:jc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38</w:t>
            </w:r>
          </w:p>
        </w:tc>
        <w:tc>
          <w:tcPr>
            <w:tcW w:w="1073" w:type="pct"/>
            <w:noWrap w:val="0"/>
            <w:vAlign w:val="center"/>
          </w:tcPr>
          <w:p w14:paraId="7DEEAD1E">
            <w:pPr>
              <w:widowControl/>
              <w:spacing w:line="320" w:lineRule="exact"/>
              <w:ind w:firstLine="0" w:firstLineChars="0"/>
              <w:jc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37</w:t>
            </w:r>
          </w:p>
        </w:tc>
        <w:tc>
          <w:tcPr>
            <w:tcW w:w="1073" w:type="pct"/>
            <w:noWrap w:val="0"/>
            <w:vAlign w:val="center"/>
          </w:tcPr>
          <w:p w14:paraId="22BFB33F">
            <w:pPr>
              <w:widowControl/>
              <w:spacing w:line="320" w:lineRule="exact"/>
              <w:ind w:firstLine="0" w:firstLineChars="0"/>
              <w:jc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34</w:t>
            </w:r>
          </w:p>
        </w:tc>
      </w:tr>
      <w:tr w14:paraId="4700FC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3ABB8710">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7</w:t>
            </w:r>
          </w:p>
        </w:tc>
        <w:tc>
          <w:tcPr>
            <w:tcW w:w="847" w:type="pct"/>
            <w:noWrap w:val="0"/>
            <w:vAlign w:val="center"/>
          </w:tcPr>
          <w:p w14:paraId="6F8B5F94">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镍</w:t>
            </w:r>
          </w:p>
        </w:tc>
        <w:tc>
          <w:tcPr>
            <w:tcW w:w="547" w:type="pct"/>
            <w:noWrap w:val="0"/>
            <w:vAlign w:val="center"/>
          </w:tcPr>
          <w:p w14:paraId="09C1D93E">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mg/kg</w:t>
            </w:r>
          </w:p>
        </w:tc>
        <w:tc>
          <w:tcPr>
            <w:tcW w:w="1073" w:type="pct"/>
            <w:noWrap w:val="0"/>
            <w:vAlign w:val="center"/>
          </w:tcPr>
          <w:p w14:paraId="41F46333">
            <w:pPr>
              <w:widowControl/>
              <w:spacing w:line="320" w:lineRule="exact"/>
              <w:ind w:firstLine="0" w:firstLineChars="0"/>
              <w:jc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40</w:t>
            </w:r>
          </w:p>
        </w:tc>
        <w:tc>
          <w:tcPr>
            <w:tcW w:w="1073" w:type="pct"/>
            <w:noWrap w:val="0"/>
            <w:vAlign w:val="center"/>
          </w:tcPr>
          <w:p w14:paraId="62FA0D9E">
            <w:pPr>
              <w:widowControl/>
              <w:spacing w:line="320" w:lineRule="exact"/>
              <w:ind w:firstLine="0" w:firstLineChars="0"/>
              <w:jc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40</w:t>
            </w:r>
          </w:p>
        </w:tc>
        <w:tc>
          <w:tcPr>
            <w:tcW w:w="1073" w:type="pct"/>
            <w:noWrap w:val="0"/>
            <w:vAlign w:val="center"/>
          </w:tcPr>
          <w:p w14:paraId="1E6AB561">
            <w:pPr>
              <w:widowControl/>
              <w:spacing w:line="320" w:lineRule="exact"/>
              <w:ind w:firstLine="0" w:firstLineChars="0"/>
              <w:jc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38</w:t>
            </w:r>
          </w:p>
        </w:tc>
      </w:tr>
      <w:tr w14:paraId="7EFCB8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39F437DF">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8</w:t>
            </w:r>
          </w:p>
        </w:tc>
        <w:tc>
          <w:tcPr>
            <w:tcW w:w="847" w:type="pct"/>
            <w:noWrap w:val="0"/>
            <w:vAlign w:val="center"/>
          </w:tcPr>
          <w:p w14:paraId="4F78FA9A">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铬（六价）</w:t>
            </w:r>
          </w:p>
        </w:tc>
        <w:tc>
          <w:tcPr>
            <w:tcW w:w="547" w:type="pct"/>
            <w:noWrap w:val="0"/>
            <w:vAlign w:val="center"/>
          </w:tcPr>
          <w:p w14:paraId="3C2C435B">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mg/kg</w:t>
            </w:r>
          </w:p>
        </w:tc>
        <w:tc>
          <w:tcPr>
            <w:tcW w:w="1073" w:type="pct"/>
            <w:noWrap w:val="0"/>
            <w:vAlign w:val="center"/>
          </w:tcPr>
          <w:p w14:paraId="57D2FA4F">
            <w:pPr>
              <w:widowControl/>
              <w:spacing w:line="320" w:lineRule="exact"/>
              <w:ind w:firstLine="0" w:firstLineChars="0"/>
              <w:jc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ND</w:t>
            </w:r>
          </w:p>
        </w:tc>
        <w:tc>
          <w:tcPr>
            <w:tcW w:w="1073" w:type="pct"/>
            <w:noWrap w:val="0"/>
            <w:vAlign w:val="center"/>
          </w:tcPr>
          <w:p w14:paraId="7B62CEE1">
            <w:pPr>
              <w:widowControl/>
              <w:spacing w:line="320" w:lineRule="exact"/>
              <w:ind w:firstLine="0" w:firstLineChars="0"/>
              <w:jc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ND</w:t>
            </w:r>
          </w:p>
        </w:tc>
        <w:tc>
          <w:tcPr>
            <w:tcW w:w="1073" w:type="pct"/>
            <w:noWrap w:val="0"/>
            <w:vAlign w:val="center"/>
          </w:tcPr>
          <w:p w14:paraId="2024BAF8">
            <w:pPr>
              <w:widowControl/>
              <w:spacing w:line="320" w:lineRule="exact"/>
              <w:ind w:firstLine="0" w:firstLineChars="0"/>
              <w:jc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ND</w:t>
            </w:r>
          </w:p>
        </w:tc>
      </w:tr>
      <w:tr w14:paraId="07BDB9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6D66C384">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9</w:t>
            </w:r>
          </w:p>
        </w:tc>
        <w:tc>
          <w:tcPr>
            <w:tcW w:w="847" w:type="pct"/>
            <w:noWrap w:val="0"/>
            <w:vAlign w:val="center"/>
          </w:tcPr>
          <w:p w14:paraId="78643614">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四氯化碳</w:t>
            </w:r>
          </w:p>
        </w:tc>
        <w:tc>
          <w:tcPr>
            <w:tcW w:w="547" w:type="pct"/>
            <w:noWrap w:val="0"/>
            <w:vAlign w:val="center"/>
          </w:tcPr>
          <w:p w14:paraId="046736C1">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6DEF79E5">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5314DB7E">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1F7304F7">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2C2BCF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4EB31DF6">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10</w:t>
            </w:r>
          </w:p>
        </w:tc>
        <w:tc>
          <w:tcPr>
            <w:tcW w:w="847" w:type="pct"/>
            <w:noWrap w:val="0"/>
            <w:vAlign w:val="center"/>
          </w:tcPr>
          <w:p w14:paraId="21443FC3">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氯仿</w:t>
            </w:r>
          </w:p>
        </w:tc>
        <w:tc>
          <w:tcPr>
            <w:tcW w:w="547" w:type="pct"/>
            <w:noWrap w:val="0"/>
            <w:vAlign w:val="center"/>
          </w:tcPr>
          <w:p w14:paraId="69E88101">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7F64D232">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27BB1FC7">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0144BAE9">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03CBDD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6BFD07DD">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11</w:t>
            </w:r>
          </w:p>
        </w:tc>
        <w:tc>
          <w:tcPr>
            <w:tcW w:w="847" w:type="pct"/>
            <w:noWrap w:val="0"/>
            <w:vAlign w:val="center"/>
          </w:tcPr>
          <w:p w14:paraId="2E70B594">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氯甲烷</w:t>
            </w:r>
          </w:p>
        </w:tc>
        <w:tc>
          <w:tcPr>
            <w:tcW w:w="547" w:type="pct"/>
            <w:noWrap w:val="0"/>
            <w:vAlign w:val="center"/>
          </w:tcPr>
          <w:p w14:paraId="627415D6">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22026610">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622BC375">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2F4E0FE8">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406EEF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1160A20B">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12</w:t>
            </w:r>
          </w:p>
        </w:tc>
        <w:tc>
          <w:tcPr>
            <w:tcW w:w="847" w:type="pct"/>
            <w:noWrap w:val="0"/>
            <w:vAlign w:val="center"/>
          </w:tcPr>
          <w:p w14:paraId="5E718D93">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1,1-二氯乙烷</w:t>
            </w:r>
          </w:p>
        </w:tc>
        <w:tc>
          <w:tcPr>
            <w:tcW w:w="547" w:type="pct"/>
            <w:noWrap w:val="0"/>
            <w:vAlign w:val="center"/>
          </w:tcPr>
          <w:p w14:paraId="111D86D9">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2B1C49FA">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77086B95">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52FEE93B">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504519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420EFA35">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13</w:t>
            </w:r>
          </w:p>
        </w:tc>
        <w:tc>
          <w:tcPr>
            <w:tcW w:w="847" w:type="pct"/>
            <w:noWrap w:val="0"/>
            <w:vAlign w:val="center"/>
          </w:tcPr>
          <w:p w14:paraId="566A4149">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1,2-二氯乙烷</w:t>
            </w:r>
          </w:p>
        </w:tc>
        <w:tc>
          <w:tcPr>
            <w:tcW w:w="547" w:type="pct"/>
            <w:noWrap w:val="0"/>
            <w:vAlign w:val="center"/>
          </w:tcPr>
          <w:p w14:paraId="40AD993D">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77336AA1">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448A8AD2">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0F127481">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007B0C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6531C69A">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14</w:t>
            </w:r>
          </w:p>
        </w:tc>
        <w:tc>
          <w:tcPr>
            <w:tcW w:w="847" w:type="pct"/>
            <w:noWrap w:val="0"/>
            <w:vAlign w:val="center"/>
          </w:tcPr>
          <w:p w14:paraId="684C7006">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1,1-二氯乙烯</w:t>
            </w:r>
          </w:p>
        </w:tc>
        <w:tc>
          <w:tcPr>
            <w:tcW w:w="547" w:type="pct"/>
            <w:noWrap w:val="0"/>
            <w:vAlign w:val="center"/>
          </w:tcPr>
          <w:p w14:paraId="6D72D977">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20086639">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5221845E">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79748189">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44C219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432F07E5">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15</w:t>
            </w:r>
          </w:p>
        </w:tc>
        <w:tc>
          <w:tcPr>
            <w:tcW w:w="847" w:type="pct"/>
            <w:noWrap w:val="0"/>
            <w:vAlign w:val="center"/>
          </w:tcPr>
          <w:p w14:paraId="4EA7E97E">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顺-1,2-二氯乙烯</w:t>
            </w:r>
          </w:p>
        </w:tc>
        <w:tc>
          <w:tcPr>
            <w:tcW w:w="547" w:type="pct"/>
            <w:noWrap w:val="0"/>
            <w:vAlign w:val="center"/>
          </w:tcPr>
          <w:p w14:paraId="146EDC20">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718AFAB4">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01CE8614">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2D198338">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6DDF79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4239597A">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16</w:t>
            </w:r>
          </w:p>
        </w:tc>
        <w:tc>
          <w:tcPr>
            <w:tcW w:w="847" w:type="pct"/>
            <w:noWrap w:val="0"/>
            <w:vAlign w:val="center"/>
          </w:tcPr>
          <w:p w14:paraId="58915D3F">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反-1,2-二氯乙烯</w:t>
            </w:r>
          </w:p>
        </w:tc>
        <w:tc>
          <w:tcPr>
            <w:tcW w:w="547" w:type="pct"/>
            <w:noWrap w:val="0"/>
            <w:vAlign w:val="center"/>
          </w:tcPr>
          <w:p w14:paraId="1E67263C">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713EDCE5">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51AFAE17">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6974095D">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3371B7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1747ADD6">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17</w:t>
            </w:r>
          </w:p>
        </w:tc>
        <w:tc>
          <w:tcPr>
            <w:tcW w:w="847" w:type="pct"/>
            <w:noWrap w:val="0"/>
            <w:vAlign w:val="center"/>
          </w:tcPr>
          <w:p w14:paraId="53AC1FA1">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二氯甲烷</w:t>
            </w:r>
          </w:p>
        </w:tc>
        <w:tc>
          <w:tcPr>
            <w:tcW w:w="547" w:type="pct"/>
            <w:noWrap w:val="0"/>
            <w:vAlign w:val="center"/>
          </w:tcPr>
          <w:p w14:paraId="3D7B3FF7">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7EA8EB12">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409346C8">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5843869B">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3A0010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37CB5FAD">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18</w:t>
            </w:r>
          </w:p>
        </w:tc>
        <w:tc>
          <w:tcPr>
            <w:tcW w:w="847" w:type="pct"/>
            <w:noWrap w:val="0"/>
            <w:vAlign w:val="center"/>
          </w:tcPr>
          <w:p w14:paraId="41785A33">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1,2-二氯丙烷</w:t>
            </w:r>
          </w:p>
        </w:tc>
        <w:tc>
          <w:tcPr>
            <w:tcW w:w="547" w:type="pct"/>
            <w:noWrap w:val="0"/>
            <w:vAlign w:val="center"/>
          </w:tcPr>
          <w:p w14:paraId="77FFF654">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08A9EACC">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01BEB07C">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25E33DAE">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1B97FF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062D8594">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19</w:t>
            </w:r>
          </w:p>
        </w:tc>
        <w:tc>
          <w:tcPr>
            <w:tcW w:w="847" w:type="pct"/>
            <w:noWrap w:val="0"/>
            <w:vAlign w:val="center"/>
          </w:tcPr>
          <w:p w14:paraId="07ABC1AF">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1,1,1,2-四氯乙烷</w:t>
            </w:r>
          </w:p>
        </w:tc>
        <w:tc>
          <w:tcPr>
            <w:tcW w:w="547" w:type="pct"/>
            <w:noWrap w:val="0"/>
            <w:vAlign w:val="center"/>
          </w:tcPr>
          <w:p w14:paraId="0C553527">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7C98CE08">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15837CA2">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4942455A">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0850D4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1498166E">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20</w:t>
            </w:r>
          </w:p>
        </w:tc>
        <w:tc>
          <w:tcPr>
            <w:tcW w:w="847" w:type="pct"/>
            <w:noWrap w:val="0"/>
            <w:vAlign w:val="center"/>
          </w:tcPr>
          <w:p w14:paraId="773CD341">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1,1,2,2-四氯乙烷</w:t>
            </w:r>
          </w:p>
        </w:tc>
        <w:tc>
          <w:tcPr>
            <w:tcW w:w="547" w:type="pct"/>
            <w:noWrap w:val="0"/>
            <w:vAlign w:val="center"/>
          </w:tcPr>
          <w:p w14:paraId="48C3B667">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5A792B3C">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5498D694">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103C14DE">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45E84C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41501BF4">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21</w:t>
            </w:r>
          </w:p>
        </w:tc>
        <w:tc>
          <w:tcPr>
            <w:tcW w:w="847" w:type="pct"/>
            <w:noWrap w:val="0"/>
            <w:vAlign w:val="center"/>
          </w:tcPr>
          <w:p w14:paraId="5A220E7F">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四氯乙烯</w:t>
            </w:r>
          </w:p>
        </w:tc>
        <w:tc>
          <w:tcPr>
            <w:tcW w:w="547" w:type="pct"/>
            <w:noWrap w:val="0"/>
            <w:vAlign w:val="center"/>
          </w:tcPr>
          <w:p w14:paraId="597C0245">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6DD3F648">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0F08A19C">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0F7D6543">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36C6A4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27F59329">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22</w:t>
            </w:r>
          </w:p>
        </w:tc>
        <w:tc>
          <w:tcPr>
            <w:tcW w:w="847" w:type="pct"/>
            <w:noWrap w:val="0"/>
            <w:vAlign w:val="center"/>
          </w:tcPr>
          <w:p w14:paraId="021A0814">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1,1,1-三氯乙烷</w:t>
            </w:r>
          </w:p>
        </w:tc>
        <w:tc>
          <w:tcPr>
            <w:tcW w:w="547" w:type="pct"/>
            <w:noWrap w:val="0"/>
            <w:vAlign w:val="center"/>
          </w:tcPr>
          <w:p w14:paraId="4E5BCC4F">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2D6DB33F">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41EC80A1">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1B681D41">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0FC4BC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69B7BF89">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23</w:t>
            </w:r>
          </w:p>
        </w:tc>
        <w:tc>
          <w:tcPr>
            <w:tcW w:w="847" w:type="pct"/>
            <w:noWrap w:val="0"/>
            <w:vAlign w:val="center"/>
          </w:tcPr>
          <w:p w14:paraId="1AA50DFB">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1,1,2-三氯乙烷</w:t>
            </w:r>
          </w:p>
        </w:tc>
        <w:tc>
          <w:tcPr>
            <w:tcW w:w="547" w:type="pct"/>
            <w:noWrap w:val="0"/>
            <w:vAlign w:val="center"/>
          </w:tcPr>
          <w:p w14:paraId="7358D2E6">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5A15925F">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5D198C2C">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2021A82A">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53F57C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14149B76">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24</w:t>
            </w:r>
          </w:p>
        </w:tc>
        <w:tc>
          <w:tcPr>
            <w:tcW w:w="847" w:type="pct"/>
            <w:noWrap w:val="0"/>
            <w:vAlign w:val="center"/>
          </w:tcPr>
          <w:p w14:paraId="0260DA34">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三氯乙烯</w:t>
            </w:r>
          </w:p>
        </w:tc>
        <w:tc>
          <w:tcPr>
            <w:tcW w:w="547" w:type="pct"/>
            <w:noWrap w:val="0"/>
            <w:vAlign w:val="center"/>
          </w:tcPr>
          <w:p w14:paraId="7F612289">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5D740876">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1414901B">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7E64D024">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234221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600805BA">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25</w:t>
            </w:r>
          </w:p>
        </w:tc>
        <w:tc>
          <w:tcPr>
            <w:tcW w:w="847" w:type="pct"/>
            <w:noWrap w:val="0"/>
            <w:vAlign w:val="center"/>
          </w:tcPr>
          <w:p w14:paraId="3CDA146E">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1,2,3-三氯丙烷</w:t>
            </w:r>
          </w:p>
        </w:tc>
        <w:tc>
          <w:tcPr>
            <w:tcW w:w="547" w:type="pct"/>
            <w:noWrap w:val="0"/>
            <w:vAlign w:val="center"/>
          </w:tcPr>
          <w:p w14:paraId="141CDC83">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7D6771E1">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02C44303">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1D6E04E1">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453FF9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094FC935">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26</w:t>
            </w:r>
          </w:p>
        </w:tc>
        <w:tc>
          <w:tcPr>
            <w:tcW w:w="847" w:type="pct"/>
            <w:noWrap w:val="0"/>
            <w:vAlign w:val="center"/>
          </w:tcPr>
          <w:p w14:paraId="4CC2090B">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氯乙烯</w:t>
            </w:r>
          </w:p>
        </w:tc>
        <w:tc>
          <w:tcPr>
            <w:tcW w:w="547" w:type="pct"/>
            <w:noWrap w:val="0"/>
            <w:vAlign w:val="center"/>
          </w:tcPr>
          <w:p w14:paraId="34FFB5B5">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65BCEBE1">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08F0B396">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7DB671FA">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3020FF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2AB8B0E2">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27</w:t>
            </w:r>
          </w:p>
        </w:tc>
        <w:tc>
          <w:tcPr>
            <w:tcW w:w="847" w:type="pct"/>
            <w:noWrap w:val="0"/>
            <w:vAlign w:val="center"/>
          </w:tcPr>
          <w:p w14:paraId="2673841C">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苯</w:t>
            </w:r>
          </w:p>
        </w:tc>
        <w:tc>
          <w:tcPr>
            <w:tcW w:w="547" w:type="pct"/>
            <w:noWrap w:val="0"/>
            <w:vAlign w:val="center"/>
          </w:tcPr>
          <w:p w14:paraId="3A217E3E">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1FA88FB6">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4DF924DC">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58089D52">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735406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389FB4E6">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28</w:t>
            </w:r>
          </w:p>
        </w:tc>
        <w:tc>
          <w:tcPr>
            <w:tcW w:w="847" w:type="pct"/>
            <w:noWrap w:val="0"/>
            <w:vAlign w:val="center"/>
          </w:tcPr>
          <w:p w14:paraId="7DF75529">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氯苯</w:t>
            </w:r>
          </w:p>
        </w:tc>
        <w:tc>
          <w:tcPr>
            <w:tcW w:w="547" w:type="pct"/>
            <w:noWrap w:val="0"/>
            <w:vAlign w:val="center"/>
          </w:tcPr>
          <w:p w14:paraId="2FF629A9">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48EAB563">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0C38222C">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19F53800">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502AC6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0762F283">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29</w:t>
            </w:r>
          </w:p>
        </w:tc>
        <w:tc>
          <w:tcPr>
            <w:tcW w:w="847" w:type="pct"/>
            <w:noWrap w:val="0"/>
            <w:vAlign w:val="center"/>
          </w:tcPr>
          <w:p w14:paraId="2D0DB43D">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1,2-二氯苯</w:t>
            </w:r>
          </w:p>
        </w:tc>
        <w:tc>
          <w:tcPr>
            <w:tcW w:w="547" w:type="pct"/>
            <w:noWrap w:val="0"/>
            <w:vAlign w:val="center"/>
          </w:tcPr>
          <w:p w14:paraId="3B3874B8">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512C201F">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1B028664">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34C71CAC">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369710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0DA4F10B">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30</w:t>
            </w:r>
          </w:p>
        </w:tc>
        <w:tc>
          <w:tcPr>
            <w:tcW w:w="847" w:type="pct"/>
            <w:noWrap w:val="0"/>
            <w:vAlign w:val="center"/>
          </w:tcPr>
          <w:p w14:paraId="4C7C4FF7">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1,4-二氯苯</w:t>
            </w:r>
          </w:p>
        </w:tc>
        <w:tc>
          <w:tcPr>
            <w:tcW w:w="547" w:type="pct"/>
            <w:noWrap w:val="0"/>
            <w:vAlign w:val="center"/>
          </w:tcPr>
          <w:p w14:paraId="7DF42CEB">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172CD27A">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4DA3C4D7">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18EB4281">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5F64B2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18F0D252">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31</w:t>
            </w:r>
          </w:p>
        </w:tc>
        <w:tc>
          <w:tcPr>
            <w:tcW w:w="847" w:type="pct"/>
            <w:noWrap w:val="0"/>
            <w:vAlign w:val="center"/>
          </w:tcPr>
          <w:p w14:paraId="70E17FDD">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乙苯</w:t>
            </w:r>
          </w:p>
        </w:tc>
        <w:tc>
          <w:tcPr>
            <w:tcW w:w="547" w:type="pct"/>
            <w:noWrap w:val="0"/>
            <w:vAlign w:val="center"/>
          </w:tcPr>
          <w:p w14:paraId="36A55E69">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76D5E7B6">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76EEDD48">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3E3C5ECC">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43CE5E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785DF574">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32</w:t>
            </w:r>
          </w:p>
        </w:tc>
        <w:tc>
          <w:tcPr>
            <w:tcW w:w="847" w:type="pct"/>
            <w:noWrap w:val="0"/>
            <w:vAlign w:val="center"/>
          </w:tcPr>
          <w:p w14:paraId="0720062A">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苯乙烯</w:t>
            </w:r>
          </w:p>
        </w:tc>
        <w:tc>
          <w:tcPr>
            <w:tcW w:w="547" w:type="pct"/>
            <w:noWrap w:val="0"/>
            <w:vAlign w:val="center"/>
          </w:tcPr>
          <w:p w14:paraId="279B1E4E">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44881D62">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13CCF640">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52E687A8">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671700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35369253">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33</w:t>
            </w:r>
          </w:p>
        </w:tc>
        <w:tc>
          <w:tcPr>
            <w:tcW w:w="847" w:type="pct"/>
            <w:noWrap w:val="0"/>
            <w:vAlign w:val="center"/>
          </w:tcPr>
          <w:p w14:paraId="4185A456">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甲苯</w:t>
            </w:r>
          </w:p>
        </w:tc>
        <w:tc>
          <w:tcPr>
            <w:tcW w:w="547" w:type="pct"/>
            <w:noWrap w:val="0"/>
            <w:vAlign w:val="center"/>
          </w:tcPr>
          <w:p w14:paraId="420675DD">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2EEB7506">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412BFF11">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31ACD982">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5EC6F8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646C9ABF">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34</w:t>
            </w:r>
          </w:p>
        </w:tc>
        <w:tc>
          <w:tcPr>
            <w:tcW w:w="847" w:type="pct"/>
            <w:noWrap w:val="0"/>
            <w:vAlign w:val="center"/>
          </w:tcPr>
          <w:p w14:paraId="7564EF55">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间二甲苯</w:t>
            </w:r>
          </w:p>
          <w:p w14:paraId="31B19A7B">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+对二甲苯</w:t>
            </w:r>
          </w:p>
        </w:tc>
        <w:tc>
          <w:tcPr>
            <w:tcW w:w="547" w:type="pct"/>
            <w:noWrap w:val="0"/>
            <w:vAlign w:val="center"/>
          </w:tcPr>
          <w:p w14:paraId="38E44EC5">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29BF3C0D">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2B9A62A9">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3E6651F8">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383471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6FF970D5">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35</w:t>
            </w:r>
          </w:p>
        </w:tc>
        <w:tc>
          <w:tcPr>
            <w:tcW w:w="847" w:type="pct"/>
            <w:noWrap w:val="0"/>
            <w:vAlign w:val="center"/>
          </w:tcPr>
          <w:p w14:paraId="7A2B1783">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邻二甲苯</w:t>
            </w:r>
          </w:p>
        </w:tc>
        <w:tc>
          <w:tcPr>
            <w:tcW w:w="547" w:type="pct"/>
            <w:noWrap w:val="0"/>
            <w:vAlign w:val="center"/>
          </w:tcPr>
          <w:p w14:paraId="76EEFC33">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40AF0155">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32FC8F05">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46175866">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62B6A4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3B45AF9F">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36</w:t>
            </w:r>
          </w:p>
        </w:tc>
        <w:tc>
          <w:tcPr>
            <w:tcW w:w="847" w:type="pct"/>
            <w:noWrap w:val="0"/>
            <w:vAlign w:val="center"/>
          </w:tcPr>
          <w:p w14:paraId="0A70D874">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硝基苯</w:t>
            </w:r>
          </w:p>
        </w:tc>
        <w:tc>
          <w:tcPr>
            <w:tcW w:w="547" w:type="pct"/>
            <w:noWrap w:val="0"/>
            <w:vAlign w:val="center"/>
          </w:tcPr>
          <w:p w14:paraId="5B4536CA">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mg/kg</w:t>
            </w:r>
          </w:p>
        </w:tc>
        <w:tc>
          <w:tcPr>
            <w:tcW w:w="1073" w:type="pct"/>
            <w:noWrap w:val="0"/>
            <w:vAlign w:val="center"/>
          </w:tcPr>
          <w:p w14:paraId="3E8010CD">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44E2E585">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23A6BA32">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22F1B4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0D5DAAED">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37</w:t>
            </w:r>
          </w:p>
        </w:tc>
        <w:tc>
          <w:tcPr>
            <w:tcW w:w="847" w:type="pct"/>
            <w:noWrap w:val="0"/>
            <w:vAlign w:val="center"/>
          </w:tcPr>
          <w:p w14:paraId="13EF1994">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苯胺</w:t>
            </w:r>
          </w:p>
        </w:tc>
        <w:tc>
          <w:tcPr>
            <w:tcW w:w="547" w:type="pct"/>
            <w:noWrap w:val="0"/>
            <w:vAlign w:val="center"/>
          </w:tcPr>
          <w:p w14:paraId="1486918A">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mg/kg</w:t>
            </w:r>
          </w:p>
        </w:tc>
        <w:tc>
          <w:tcPr>
            <w:tcW w:w="1073" w:type="pct"/>
            <w:noWrap w:val="0"/>
            <w:vAlign w:val="center"/>
          </w:tcPr>
          <w:p w14:paraId="149EC44D">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2EFA7CBF">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3D050127">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03828B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1378B6D2">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38</w:t>
            </w:r>
          </w:p>
        </w:tc>
        <w:tc>
          <w:tcPr>
            <w:tcW w:w="847" w:type="pct"/>
            <w:noWrap w:val="0"/>
            <w:vAlign w:val="center"/>
          </w:tcPr>
          <w:p w14:paraId="3C452C4A">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2-氯酚</w:t>
            </w:r>
          </w:p>
        </w:tc>
        <w:tc>
          <w:tcPr>
            <w:tcW w:w="547" w:type="pct"/>
            <w:noWrap w:val="0"/>
            <w:vAlign w:val="center"/>
          </w:tcPr>
          <w:p w14:paraId="668F2332">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mg/kg</w:t>
            </w:r>
          </w:p>
        </w:tc>
        <w:tc>
          <w:tcPr>
            <w:tcW w:w="1073" w:type="pct"/>
            <w:noWrap w:val="0"/>
            <w:vAlign w:val="center"/>
          </w:tcPr>
          <w:p w14:paraId="5DE564F8">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35A7CA0D">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7F4270F0">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1DFBCE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45B5ACE7">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39</w:t>
            </w:r>
          </w:p>
        </w:tc>
        <w:tc>
          <w:tcPr>
            <w:tcW w:w="847" w:type="pct"/>
            <w:noWrap w:val="0"/>
            <w:vAlign w:val="center"/>
          </w:tcPr>
          <w:p w14:paraId="010C7E48">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苯并[a]蒽</w:t>
            </w:r>
          </w:p>
        </w:tc>
        <w:tc>
          <w:tcPr>
            <w:tcW w:w="547" w:type="pct"/>
            <w:noWrap w:val="0"/>
            <w:vAlign w:val="center"/>
          </w:tcPr>
          <w:p w14:paraId="45EE43DA">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mg/kg</w:t>
            </w:r>
          </w:p>
        </w:tc>
        <w:tc>
          <w:tcPr>
            <w:tcW w:w="1073" w:type="pct"/>
            <w:noWrap w:val="0"/>
            <w:vAlign w:val="center"/>
          </w:tcPr>
          <w:p w14:paraId="0CE66856">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11802594">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5F9BD726">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7019FB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3ECCB3B0">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40</w:t>
            </w:r>
          </w:p>
        </w:tc>
        <w:tc>
          <w:tcPr>
            <w:tcW w:w="847" w:type="pct"/>
            <w:noWrap w:val="0"/>
            <w:vAlign w:val="center"/>
          </w:tcPr>
          <w:p w14:paraId="1D67090F">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苯并[a]芘</w:t>
            </w:r>
          </w:p>
        </w:tc>
        <w:tc>
          <w:tcPr>
            <w:tcW w:w="547" w:type="pct"/>
            <w:noWrap w:val="0"/>
            <w:vAlign w:val="center"/>
          </w:tcPr>
          <w:p w14:paraId="5C2665DB">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mg/kg</w:t>
            </w:r>
          </w:p>
        </w:tc>
        <w:tc>
          <w:tcPr>
            <w:tcW w:w="1073" w:type="pct"/>
            <w:noWrap w:val="0"/>
            <w:vAlign w:val="center"/>
          </w:tcPr>
          <w:p w14:paraId="38E3CFEB">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3446751E">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7FCFC48B">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05CB0A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403A2D60">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41</w:t>
            </w:r>
          </w:p>
        </w:tc>
        <w:tc>
          <w:tcPr>
            <w:tcW w:w="847" w:type="pct"/>
            <w:noWrap w:val="0"/>
            <w:vAlign w:val="center"/>
          </w:tcPr>
          <w:p w14:paraId="0668FCA8">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苯并[b]荧蒽</w:t>
            </w:r>
          </w:p>
        </w:tc>
        <w:tc>
          <w:tcPr>
            <w:tcW w:w="547" w:type="pct"/>
            <w:noWrap w:val="0"/>
            <w:vAlign w:val="center"/>
          </w:tcPr>
          <w:p w14:paraId="225C0555">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mg/kg</w:t>
            </w:r>
          </w:p>
        </w:tc>
        <w:tc>
          <w:tcPr>
            <w:tcW w:w="1073" w:type="pct"/>
            <w:noWrap w:val="0"/>
            <w:vAlign w:val="center"/>
          </w:tcPr>
          <w:p w14:paraId="7F308CA8">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141F064F">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70907621">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167367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65FCB550">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42</w:t>
            </w:r>
          </w:p>
        </w:tc>
        <w:tc>
          <w:tcPr>
            <w:tcW w:w="847" w:type="pct"/>
            <w:noWrap w:val="0"/>
            <w:vAlign w:val="center"/>
          </w:tcPr>
          <w:p w14:paraId="3F617BA9">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苯并[k]荧蒽</w:t>
            </w:r>
          </w:p>
        </w:tc>
        <w:tc>
          <w:tcPr>
            <w:tcW w:w="547" w:type="pct"/>
            <w:noWrap w:val="0"/>
            <w:vAlign w:val="center"/>
          </w:tcPr>
          <w:p w14:paraId="2892214A">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mg/kg</w:t>
            </w:r>
          </w:p>
        </w:tc>
        <w:tc>
          <w:tcPr>
            <w:tcW w:w="1073" w:type="pct"/>
            <w:noWrap w:val="0"/>
            <w:vAlign w:val="center"/>
          </w:tcPr>
          <w:p w14:paraId="09BBDD24">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3C6569E4">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1D918D5A">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07B789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26D4E6B2">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43</w:t>
            </w:r>
          </w:p>
        </w:tc>
        <w:tc>
          <w:tcPr>
            <w:tcW w:w="847" w:type="pct"/>
            <w:noWrap w:val="0"/>
            <w:vAlign w:val="center"/>
          </w:tcPr>
          <w:p w14:paraId="03C36C48">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䓛</w:t>
            </w:r>
          </w:p>
        </w:tc>
        <w:tc>
          <w:tcPr>
            <w:tcW w:w="547" w:type="pct"/>
            <w:noWrap w:val="0"/>
            <w:vAlign w:val="center"/>
          </w:tcPr>
          <w:p w14:paraId="48C11517">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mg/kg</w:t>
            </w:r>
          </w:p>
        </w:tc>
        <w:tc>
          <w:tcPr>
            <w:tcW w:w="1073" w:type="pct"/>
            <w:noWrap w:val="0"/>
            <w:vAlign w:val="center"/>
          </w:tcPr>
          <w:p w14:paraId="6AC03185">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36CE5D5F">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28886D25">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230DF4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396E0697">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44</w:t>
            </w:r>
          </w:p>
        </w:tc>
        <w:tc>
          <w:tcPr>
            <w:tcW w:w="847" w:type="pct"/>
            <w:noWrap w:val="0"/>
            <w:vAlign w:val="center"/>
          </w:tcPr>
          <w:p w14:paraId="337E71B7">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二苯并[a, h]蒽</w:t>
            </w:r>
          </w:p>
        </w:tc>
        <w:tc>
          <w:tcPr>
            <w:tcW w:w="547" w:type="pct"/>
            <w:noWrap w:val="0"/>
            <w:vAlign w:val="center"/>
          </w:tcPr>
          <w:p w14:paraId="2C6B94C2">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mg/kg</w:t>
            </w:r>
          </w:p>
        </w:tc>
        <w:tc>
          <w:tcPr>
            <w:tcW w:w="1073" w:type="pct"/>
            <w:noWrap w:val="0"/>
            <w:vAlign w:val="center"/>
          </w:tcPr>
          <w:p w14:paraId="0A531C41">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3ABF1927">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2BA20744">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23BA0E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7555F1DB">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45</w:t>
            </w:r>
          </w:p>
        </w:tc>
        <w:tc>
          <w:tcPr>
            <w:tcW w:w="847" w:type="pct"/>
            <w:noWrap w:val="0"/>
            <w:vAlign w:val="center"/>
          </w:tcPr>
          <w:p w14:paraId="390D1FE5">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茚并[1,2,3-cd]芘</w:t>
            </w:r>
          </w:p>
        </w:tc>
        <w:tc>
          <w:tcPr>
            <w:tcW w:w="547" w:type="pct"/>
            <w:noWrap w:val="0"/>
            <w:vAlign w:val="center"/>
          </w:tcPr>
          <w:p w14:paraId="0D2C72A8">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mg/kg</w:t>
            </w:r>
          </w:p>
        </w:tc>
        <w:tc>
          <w:tcPr>
            <w:tcW w:w="1073" w:type="pct"/>
            <w:noWrap w:val="0"/>
            <w:vAlign w:val="center"/>
          </w:tcPr>
          <w:p w14:paraId="30CC577F">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161A9959">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09C37330">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2FA03F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83" w:type="pct"/>
            <w:noWrap w:val="0"/>
            <w:vAlign w:val="center"/>
          </w:tcPr>
          <w:p w14:paraId="76E3998B">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46</w:t>
            </w:r>
          </w:p>
        </w:tc>
        <w:tc>
          <w:tcPr>
            <w:tcW w:w="847" w:type="pct"/>
            <w:noWrap w:val="0"/>
            <w:vAlign w:val="center"/>
          </w:tcPr>
          <w:p w14:paraId="678E79B9">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萘</w:t>
            </w:r>
          </w:p>
        </w:tc>
        <w:tc>
          <w:tcPr>
            <w:tcW w:w="547" w:type="pct"/>
            <w:noWrap w:val="0"/>
            <w:vAlign w:val="center"/>
          </w:tcPr>
          <w:p w14:paraId="2ED2C9F6">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μg/kg</w:t>
            </w:r>
          </w:p>
        </w:tc>
        <w:tc>
          <w:tcPr>
            <w:tcW w:w="1073" w:type="pct"/>
            <w:noWrap w:val="0"/>
            <w:vAlign w:val="center"/>
          </w:tcPr>
          <w:p w14:paraId="42E86433">
            <w:pPr>
              <w:keepNext w:val="0"/>
              <w:keepLines w:val="0"/>
              <w:pageBreakBefore w:val="0"/>
              <w:widowControl/>
              <w:kinsoku/>
              <w:wordWrap/>
              <w:overflowPunct/>
              <w:topLinePunct w:val="0"/>
              <w:autoSpaceDE/>
              <w:autoSpaceDN/>
              <w:bidi w:val="0"/>
              <w:adjustRightInd/>
              <w:snapToGrid/>
              <w:spacing w:line="320" w:lineRule="exact"/>
              <w:ind w:firstLine="0" w:firstLineChars="0"/>
              <w:jc w:val="center"/>
              <w:textAlignment w:val="auto"/>
              <w:rPr>
                <w:rFonts w:ascii="Times New Roman" w:hAnsi="Times New Roman"/>
                <w:sz w:val="21"/>
                <w:szCs w:val="21"/>
                <w:highlight w:val="none"/>
              </w:rPr>
            </w:pPr>
            <w:r>
              <w:rPr>
                <w:rFonts w:hint="eastAsia" w:ascii="Times New Roman" w:hAnsi="Times New Roman"/>
                <w:sz w:val="21"/>
                <w:szCs w:val="21"/>
                <w:highlight w:val="none"/>
                <w:lang w:val="en-US" w:eastAsia="zh-CN"/>
              </w:rPr>
              <w:t>ND</w:t>
            </w:r>
          </w:p>
        </w:tc>
        <w:tc>
          <w:tcPr>
            <w:tcW w:w="1073" w:type="pct"/>
            <w:noWrap w:val="0"/>
            <w:vAlign w:val="center"/>
          </w:tcPr>
          <w:p w14:paraId="2C025A0E">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073" w:type="pct"/>
            <w:noWrap w:val="0"/>
            <w:vAlign w:val="center"/>
          </w:tcPr>
          <w:p w14:paraId="3929B774">
            <w:pPr>
              <w:widowControl/>
              <w:spacing w:line="32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bl>
    <w:p w14:paraId="217DC8E9">
      <w:pPr>
        <w:pStyle w:val="22"/>
        <w:ind w:left="0" w:leftChars="0" w:firstLine="0" w:firstLineChars="0"/>
        <w:rPr>
          <w:rFonts w:ascii="Times New Roman" w:hAnsi="Times New Roman"/>
          <w:highlight w:val="none"/>
        </w:rPr>
      </w:pPr>
      <w:r>
        <w:rPr>
          <w:rFonts w:ascii="Times New Roman" w:hAnsi="Times New Roman"/>
          <w:sz w:val="21"/>
          <w:szCs w:val="21"/>
          <w:highlight w:val="none"/>
        </w:rPr>
        <w:t>注：“L”为未检出</w:t>
      </w:r>
    </w:p>
    <w:p w14:paraId="2DE3E695">
      <w:pPr>
        <w:pStyle w:val="22"/>
        <w:ind w:left="0" w:leftChars="0" w:firstLine="0" w:firstLineChars="0"/>
        <w:rPr>
          <w:rFonts w:ascii="Times New Roman" w:hAnsi="Times New Roman"/>
          <w:highlight w:val="none"/>
        </w:rPr>
      </w:pPr>
      <w:r>
        <w:rPr>
          <w:highlight w:val="none"/>
        </w:rPr>
        <w:drawing>
          <wp:inline distT="0" distB="0" distL="114300" distR="114300">
            <wp:extent cx="5268595" cy="4476750"/>
            <wp:effectExtent l="0" t="0" r="8255" b="0"/>
            <wp:docPr id="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8"/>
                    <pic:cNvPicPr>
                      <a:picLocks noChangeAspect="1"/>
                    </pic:cNvPicPr>
                  </pic:nvPicPr>
                  <pic:blipFill>
                    <a:blip r:embed="rId37"/>
                    <a:stretch>
                      <a:fillRect/>
                    </a:stretch>
                  </pic:blipFill>
                  <pic:spPr>
                    <a:xfrm>
                      <a:off x="0" y="0"/>
                      <a:ext cx="5268595" cy="4476750"/>
                    </a:xfrm>
                    <a:prstGeom prst="rect">
                      <a:avLst/>
                    </a:prstGeom>
                    <a:noFill/>
                    <a:ln>
                      <a:noFill/>
                    </a:ln>
                  </pic:spPr>
                </pic:pic>
              </a:graphicData>
            </a:graphic>
          </wp:inline>
        </w:drawing>
      </w:r>
    </w:p>
    <w:p w14:paraId="5A41B6A6">
      <w:pPr>
        <w:pStyle w:val="21"/>
        <w:ind w:left="480" w:leftChars="200" w:firstLine="0" w:firstLineChars="0"/>
        <w:jc w:val="center"/>
        <w:rPr>
          <w:rFonts w:ascii="Times New Roman" w:hAnsi="Times New Roman"/>
          <w:highlight w:val="none"/>
        </w:rPr>
      </w:pPr>
      <w:r>
        <w:rPr>
          <w:rFonts w:hint="eastAsia" w:ascii="黑体" w:hAnsi="黑体" w:eastAsia="黑体" w:cs="黑体"/>
          <w:highlight w:val="none"/>
        </w:rPr>
        <w:t>图</w:t>
      </w:r>
      <w:r>
        <w:rPr>
          <w:rFonts w:ascii="Times New Roman" w:hAnsi="Times New Roman"/>
          <w:highlight w:val="none"/>
        </w:rPr>
        <w:t>4.3-3</w:t>
      </w:r>
      <w:r>
        <w:rPr>
          <w:rFonts w:hint="eastAsia" w:ascii="黑体" w:hAnsi="黑体" w:eastAsia="黑体" w:cs="黑体"/>
          <w:highlight w:val="none"/>
        </w:rPr>
        <w:t>土壤监测点位布置图</w:t>
      </w:r>
    </w:p>
    <w:p w14:paraId="38769B55">
      <w:pPr>
        <w:ind w:firstLine="480"/>
        <w:rPr>
          <w:rFonts w:ascii="Times New Roman" w:hAnsi="Times New Roman"/>
          <w:highlight w:val="none"/>
        </w:rPr>
      </w:pPr>
      <w:r>
        <w:rPr>
          <w:rFonts w:hint="eastAsia" w:ascii="Times New Roman" w:hAnsi="Times New Roman"/>
          <w:highlight w:val="none"/>
        </w:rPr>
        <w:t>（5）</w:t>
      </w:r>
      <w:r>
        <w:rPr>
          <w:rFonts w:ascii="Times New Roman" w:hAnsi="Times New Roman"/>
          <w:highlight w:val="none"/>
        </w:rPr>
        <w:t>评价方法</w:t>
      </w:r>
    </w:p>
    <w:p w14:paraId="1665C9B9">
      <w:pPr>
        <w:spacing w:line="360" w:lineRule="auto"/>
        <w:ind w:firstLine="480" w:firstLineChars="200"/>
        <w:rPr>
          <w:sz w:val="24"/>
          <w:highlight w:val="none"/>
        </w:rPr>
      </w:pPr>
      <w:r>
        <w:rPr>
          <w:rFonts w:hint="eastAsia"/>
          <w:sz w:val="24"/>
          <w:highlight w:val="none"/>
        </w:rPr>
        <w:t>本次土壤环境质量评价采用单因子标准指数法。单项土壤监测因子i在第j点的污染指数。</w:t>
      </w:r>
    </w:p>
    <w:p w14:paraId="707D4657">
      <w:pPr>
        <w:spacing w:line="360" w:lineRule="auto"/>
        <w:ind w:firstLine="480" w:firstLineChars="200"/>
        <w:jc w:val="center"/>
        <w:rPr>
          <w:sz w:val="24"/>
          <w:highlight w:val="none"/>
        </w:rPr>
      </w:pPr>
      <w:r>
        <w:rPr>
          <w:rFonts w:hint="eastAsia"/>
          <w:sz w:val="24"/>
          <w:highlight w:val="none"/>
        </w:rPr>
        <w:t>Si=Ci/C0 </w:t>
      </w:r>
    </w:p>
    <w:p w14:paraId="16524687">
      <w:pPr>
        <w:spacing w:line="360" w:lineRule="auto"/>
        <w:ind w:firstLine="480" w:firstLineChars="200"/>
        <w:rPr>
          <w:sz w:val="24"/>
          <w:highlight w:val="none"/>
        </w:rPr>
      </w:pPr>
      <w:r>
        <w:rPr>
          <w:rFonts w:hint="eastAsia"/>
          <w:sz w:val="24"/>
          <w:highlight w:val="none"/>
        </w:rPr>
        <w:t>式中：Si—土壤中i污染物的污染指数；</w:t>
      </w:r>
    </w:p>
    <w:p w14:paraId="78FE624E">
      <w:pPr>
        <w:spacing w:line="360" w:lineRule="auto"/>
        <w:ind w:firstLine="480" w:firstLineChars="200"/>
        <w:rPr>
          <w:sz w:val="24"/>
          <w:highlight w:val="none"/>
        </w:rPr>
      </w:pPr>
      <w:r>
        <w:rPr>
          <w:rFonts w:hint="eastAsia"/>
          <w:sz w:val="24"/>
          <w:highlight w:val="none"/>
        </w:rPr>
        <w:t>Ci—第i 种污染物的实测浓度，（mg/L）；</w:t>
      </w:r>
    </w:p>
    <w:p w14:paraId="37A6F3D9">
      <w:pPr>
        <w:spacing w:line="360" w:lineRule="auto"/>
        <w:ind w:firstLine="480" w:firstLineChars="200"/>
        <w:rPr>
          <w:sz w:val="24"/>
          <w:highlight w:val="none"/>
        </w:rPr>
      </w:pPr>
      <w:r>
        <w:rPr>
          <w:rFonts w:hint="eastAsia"/>
          <w:sz w:val="24"/>
          <w:highlight w:val="none"/>
        </w:rPr>
        <w:t>C0—第i种污染物的评价标准，（mg/L）。</w:t>
      </w:r>
    </w:p>
    <w:p w14:paraId="7A613288">
      <w:pPr>
        <w:spacing w:line="360" w:lineRule="auto"/>
        <w:ind w:firstLine="480" w:firstLineChars="200"/>
        <w:rPr>
          <w:sz w:val="24"/>
          <w:highlight w:val="none"/>
        </w:rPr>
      </w:pPr>
      <w:r>
        <w:rPr>
          <w:rFonts w:hint="eastAsia"/>
          <w:sz w:val="24"/>
          <w:highlight w:val="none"/>
        </w:rPr>
        <w:t>土壤污染因子的标准指数大于1，表明该污染物超过了规定的标准限值，标准指数越大，说明超标越严重。</w:t>
      </w:r>
    </w:p>
    <w:p w14:paraId="427F7F25">
      <w:pPr>
        <w:rPr>
          <w:rFonts w:hint="eastAsia"/>
          <w:highlight w:val="none"/>
          <w:lang w:val="en-US" w:eastAsia="zh-CN"/>
        </w:rPr>
      </w:pPr>
      <w:r>
        <w:rPr>
          <w:rFonts w:hint="eastAsia"/>
          <w:highlight w:val="none"/>
          <w:lang w:val="en-US" w:eastAsia="zh-CN"/>
        </w:rPr>
        <w:t>（</w:t>
      </w:r>
      <w:r>
        <w:rPr>
          <w:rFonts w:hint="eastAsia" w:ascii="Times New Roman" w:hAnsi="Times New Roman" w:eastAsia="宋体" w:cs="Times New Roman"/>
          <w:highlight w:val="none"/>
          <w:lang w:val="en-US" w:eastAsia="zh-CN"/>
        </w:rPr>
        <w:t>6</w:t>
      </w:r>
      <w:r>
        <w:rPr>
          <w:rFonts w:hint="eastAsia"/>
          <w:highlight w:val="none"/>
          <w:lang w:val="en-US" w:eastAsia="zh-CN"/>
        </w:rPr>
        <w:t>）评价标准</w:t>
      </w:r>
    </w:p>
    <w:p w14:paraId="6EC1DA8A">
      <w:pPr>
        <w:pStyle w:val="7"/>
        <w:rPr>
          <w:rFonts w:hint="eastAsia"/>
          <w:sz w:val="24"/>
          <w:highlight w:val="none"/>
        </w:rPr>
      </w:pPr>
      <w:r>
        <w:rPr>
          <w:rFonts w:hint="eastAsia"/>
          <w:sz w:val="24"/>
          <w:highlight w:val="none"/>
        </w:rPr>
        <w:t>本项目所在区域土壤环境执行《土壤环境质量 建设用地土壤污染风险管控标准（试行）》（GB36600-2018）第二类用地筛选值中的标准限值。</w:t>
      </w:r>
    </w:p>
    <w:p w14:paraId="5F6779ED">
      <w:pPr>
        <w:bidi w:val="0"/>
        <w:rPr>
          <w:rFonts w:hint="eastAsia"/>
          <w:highlight w:val="none"/>
          <w:lang w:val="en-US" w:eastAsia="zh-CN"/>
        </w:rPr>
      </w:pPr>
      <w:r>
        <w:rPr>
          <w:rFonts w:hint="eastAsia"/>
          <w:highlight w:val="none"/>
          <w:lang w:val="en-US" w:eastAsia="zh-CN"/>
        </w:rPr>
        <w:t>（7）评价结果</w:t>
      </w:r>
    </w:p>
    <w:p w14:paraId="094D64F0">
      <w:pPr>
        <w:spacing w:line="360" w:lineRule="auto"/>
        <w:ind w:firstLine="480" w:firstLineChars="200"/>
        <w:rPr>
          <w:sz w:val="24"/>
          <w:highlight w:val="none"/>
        </w:rPr>
      </w:pPr>
      <w:r>
        <w:rPr>
          <w:rFonts w:hint="eastAsia"/>
          <w:sz w:val="24"/>
          <w:highlight w:val="none"/>
        </w:rPr>
        <w:t>土壤现状评价结果见表4.3-</w:t>
      </w:r>
      <w:r>
        <w:rPr>
          <w:rFonts w:hint="eastAsia"/>
          <w:sz w:val="24"/>
          <w:highlight w:val="none"/>
          <w:lang w:val="en-US" w:eastAsia="zh-CN"/>
        </w:rPr>
        <w:t>9</w:t>
      </w:r>
      <w:r>
        <w:rPr>
          <w:rFonts w:hint="eastAsia"/>
          <w:sz w:val="24"/>
          <w:highlight w:val="none"/>
        </w:rPr>
        <w:t>。</w:t>
      </w:r>
    </w:p>
    <w:p w14:paraId="06B9B591">
      <w:pPr>
        <w:widowControl/>
        <w:spacing w:line="360" w:lineRule="auto"/>
        <w:jc w:val="center"/>
        <w:rPr>
          <w:rFonts w:cs="宋体"/>
          <w:b/>
          <w:sz w:val="24"/>
          <w:highlight w:val="none"/>
        </w:rPr>
      </w:pPr>
      <w:r>
        <w:rPr>
          <w:rFonts w:cs="宋体"/>
          <w:b/>
          <w:sz w:val="24"/>
          <w:highlight w:val="none"/>
        </w:rPr>
        <w:t>表</w:t>
      </w:r>
      <w:r>
        <w:rPr>
          <w:rFonts w:hint="eastAsia" w:ascii="Times New Roman" w:hAnsi="Times New Roman" w:eastAsia="宋体" w:cs="Times New Roman"/>
          <w:kern w:val="0"/>
          <w:sz w:val="24"/>
          <w:szCs w:val="21"/>
          <w:highlight w:val="none"/>
          <w:lang w:val="en-US" w:eastAsia="zh-CN" w:bidi="ar-SA"/>
        </w:rPr>
        <w:t>4.3-9</w:t>
      </w:r>
      <w:r>
        <w:rPr>
          <w:rFonts w:hint="eastAsia" w:cs="宋体"/>
          <w:b/>
          <w:sz w:val="24"/>
          <w:highlight w:val="none"/>
        </w:rPr>
        <w:t xml:space="preserve">  </w:t>
      </w:r>
      <w:r>
        <w:rPr>
          <w:rFonts w:cs="宋体"/>
          <w:b/>
          <w:sz w:val="24"/>
          <w:highlight w:val="none"/>
        </w:rPr>
        <w:t>土壤标准指数结果一览表</w:t>
      </w:r>
    </w:p>
    <w:tbl>
      <w:tblPr>
        <w:tblStyle w:val="17"/>
        <w:tblW w:w="4998" w:type="pct"/>
        <w:tblInd w:w="0" w:type="dxa"/>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91"/>
        <w:gridCol w:w="1807"/>
        <w:gridCol w:w="1807"/>
        <w:gridCol w:w="1807"/>
        <w:gridCol w:w="1807"/>
      </w:tblGrid>
      <w:tr w14:paraId="5498D167">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8" w:type="pct"/>
            <w:vAlign w:val="center"/>
          </w:tcPr>
          <w:p w14:paraId="4EAA39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sz w:val="21"/>
                <w:szCs w:val="21"/>
                <w:highlight w:val="none"/>
              </w:rPr>
            </w:pPr>
            <w:r>
              <w:rPr>
                <w:sz w:val="21"/>
                <w:szCs w:val="21"/>
                <w:highlight w:val="none"/>
              </w:rPr>
              <w:t>项目名称</w:t>
            </w:r>
          </w:p>
        </w:tc>
        <w:tc>
          <w:tcPr>
            <w:tcW w:w="1060" w:type="pct"/>
            <w:vAlign w:val="center"/>
          </w:tcPr>
          <w:p w14:paraId="0550D05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sz w:val="21"/>
                <w:szCs w:val="21"/>
                <w:highlight w:val="none"/>
              </w:rPr>
            </w:pPr>
            <w:r>
              <w:rPr>
                <w:rFonts w:hint="eastAsia"/>
                <w:sz w:val="21"/>
                <w:szCs w:val="21"/>
                <w:highlight w:val="none"/>
                <w:lang w:val="en-US" w:eastAsia="zh-CN"/>
              </w:rPr>
              <w:t>1</w:t>
            </w:r>
            <w:r>
              <w:rPr>
                <w:sz w:val="21"/>
                <w:szCs w:val="21"/>
                <w:highlight w:val="none"/>
              </w:rPr>
              <w:t>#（表层点）</w:t>
            </w:r>
          </w:p>
        </w:tc>
        <w:tc>
          <w:tcPr>
            <w:tcW w:w="1060" w:type="pct"/>
            <w:vAlign w:val="center"/>
          </w:tcPr>
          <w:p w14:paraId="3702202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2#（表层点）</w:t>
            </w:r>
          </w:p>
        </w:tc>
        <w:tc>
          <w:tcPr>
            <w:tcW w:w="1060" w:type="pct"/>
            <w:vAlign w:val="center"/>
          </w:tcPr>
          <w:p w14:paraId="721B80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3#（表层点）</w:t>
            </w:r>
          </w:p>
        </w:tc>
        <w:tc>
          <w:tcPr>
            <w:tcW w:w="1060" w:type="pct"/>
            <w:vAlign w:val="center"/>
          </w:tcPr>
          <w:p w14:paraId="23BD6E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标准值（mg/kg）</w:t>
            </w:r>
          </w:p>
        </w:tc>
      </w:tr>
      <w:tr w14:paraId="6DF4BA0D">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8" w:type="pct"/>
            <w:vAlign w:val="center"/>
          </w:tcPr>
          <w:p w14:paraId="605A8960">
            <w:pPr>
              <w:widowControl/>
              <w:spacing w:line="320" w:lineRule="exact"/>
              <w:ind w:firstLine="0" w:firstLineChars="0"/>
              <w:jc w:val="center"/>
              <w:rPr>
                <w:sz w:val="21"/>
                <w:szCs w:val="21"/>
                <w:highlight w:val="none"/>
              </w:rPr>
            </w:pPr>
            <w:r>
              <w:rPr>
                <w:rFonts w:ascii="Times New Roman" w:hAnsi="Times New Roman"/>
                <w:sz w:val="21"/>
                <w:szCs w:val="21"/>
                <w:highlight w:val="none"/>
              </w:rPr>
              <w:t>砷</w:t>
            </w:r>
          </w:p>
        </w:tc>
        <w:tc>
          <w:tcPr>
            <w:tcW w:w="1060" w:type="pct"/>
            <w:vAlign w:val="center"/>
          </w:tcPr>
          <w:p w14:paraId="6E372B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0.1407</w:t>
            </w:r>
          </w:p>
        </w:tc>
        <w:tc>
          <w:tcPr>
            <w:tcW w:w="1060" w:type="pct"/>
            <w:vAlign w:val="center"/>
          </w:tcPr>
          <w:p w14:paraId="6D66A5E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0.139</w:t>
            </w:r>
          </w:p>
        </w:tc>
        <w:tc>
          <w:tcPr>
            <w:tcW w:w="1060" w:type="pct"/>
            <w:vAlign w:val="center"/>
          </w:tcPr>
          <w:p w14:paraId="182295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0.1362</w:t>
            </w:r>
          </w:p>
        </w:tc>
        <w:tc>
          <w:tcPr>
            <w:tcW w:w="1060" w:type="pct"/>
            <w:vAlign w:val="center"/>
          </w:tcPr>
          <w:p w14:paraId="21BA325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60</w:t>
            </w:r>
          </w:p>
        </w:tc>
      </w:tr>
      <w:tr w14:paraId="30BC7A3B">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8" w:type="pct"/>
            <w:vAlign w:val="center"/>
          </w:tcPr>
          <w:p w14:paraId="6D0BDC46">
            <w:pPr>
              <w:widowControl/>
              <w:spacing w:line="320" w:lineRule="exact"/>
              <w:ind w:firstLine="0" w:firstLineChars="0"/>
              <w:jc w:val="center"/>
              <w:rPr>
                <w:sz w:val="21"/>
                <w:szCs w:val="21"/>
                <w:highlight w:val="none"/>
              </w:rPr>
            </w:pPr>
            <w:r>
              <w:rPr>
                <w:rFonts w:ascii="Times New Roman" w:hAnsi="Times New Roman"/>
                <w:sz w:val="21"/>
                <w:szCs w:val="21"/>
                <w:highlight w:val="none"/>
              </w:rPr>
              <w:t>汞</w:t>
            </w:r>
          </w:p>
        </w:tc>
        <w:tc>
          <w:tcPr>
            <w:tcW w:w="1060" w:type="pct"/>
            <w:vAlign w:val="center"/>
          </w:tcPr>
          <w:p w14:paraId="13FA2F4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0.0033</w:t>
            </w:r>
          </w:p>
        </w:tc>
        <w:tc>
          <w:tcPr>
            <w:tcW w:w="1060" w:type="pct"/>
            <w:vAlign w:val="center"/>
          </w:tcPr>
          <w:p w14:paraId="4FCB872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0.0035</w:t>
            </w:r>
          </w:p>
        </w:tc>
        <w:tc>
          <w:tcPr>
            <w:tcW w:w="1060" w:type="pct"/>
            <w:vAlign w:val="center"/>
          </w:tcPr>
          <w:p w14:paraId="2048A4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0.0033</w:t>
            </w:r>
          </w:p>
        </w:tc>
        <w:tc>
          <w:tcPr>
            <w:tcW w:w="1060" w:type="pct"/>
            <w:vAlign w:val="center"/>
          </w:tcPr>
          <w:p w14:paraId="6B0854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38</w:t>
            </w:r>
          </w:p>
        </w:tc>
      </w:tr>
      <w:tr w14:paraId="3986DA11">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8" w:type="pct"/>
            <w:vAlign w:val="center"/>
          </w:tcPr>
          <w:p w14:paraId="40A04A87">
            <w:pPr>
              <w:widowControl/>
              <w:spacing w:line="320" w:lineRule="exact"/>
              <w:ind w:firstLine="0" w:firstLineChars="0"/>
              <w:jc w:val="center"/>
              <w:rPr>
                <w:sz w:val="21"/>
                <w:szCs w:val="21"/>
                <w:highlight w:val="none"/>
              </w:rPr>
            </w:pPr>
            <w:r>
              <w:rPr>
                <w:rFonts w:ascii="Times New Roman" w:hAnsi="Times New Roman"/>
                <w:sz w:val="21"/>
                <w:szCs w:val="21"/>
                <w:highlight w:val="none"/>
              </w:rPr>
              <w:t>镉</w:t>
            </w:r>
          </w:p>
        </w:tc>
        <w:tc>
          <w:tcPr>
            <w:tcW w:w="1060" w:type="pct"/>
            <w:vAlign w:val="center"/>
          </w:tcPr>
          <w:p w14:paraId="69619E2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0.0032</w:t>
            </w:r>
          </w:p>
        </w:tc>
        <w:tc>
          <w:tcPr>
            <w:tcW w:w="1060" w:type="pct"/>
            <w:vAlign w:val="center"/>
          </w:tcPr>
          <w:p w14:paraId="5BBD162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0.0043</w:t>
            </w:r>
          </w:p>
        </w:tc>
        <w:tc>
          <w:tcPr>
            <w:tcW w:w="1060" w:type="pct"/>
            <w:vAlign w:val="center"/>
          </w:tcPr>
          <w:p w14:paraId="00F482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0.0042</w:t>
            </w:r>
          </w:p>
        </w:tc>
        <w:tc>
          <w:tcPr>
            <w:tcW w:w="1060" w:type="pct"/>
            <w:vAlign w:val="center"/>
          </w:tcPr>
          <w:p w14:paraId="3F17B2B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65</w:t>
            </w:r>
          </w:p>
        </w:tc>
      </w:tr>
      <w:tr w14:paraId="5F382904">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8" w:type="pct"/>
            <w:vAlign w:val="center"/>
          </w:tcPr>
          <w:p w14:paraId="102F99B6">
            <w:pPr>
              <w:widowControl/>
              <w:spacing w:line="320" w:lineRule="exact"/>
              <w:ind w:firstLine="0" w:firstLineChars="0"/>
              <w:jc w:val="center"/>
              <w:rPr>
                <w:sz w:val="21"/>
                <w:szCs w:val="21"/>
                <w:highlight w:val="none"/>
              </w:rPr>
            </w:pPr>
            <w:r>
              <w:rPr>
                <w:rFonts w:ascii="Times New Roman" w:hAnsi="Times New Roman"/>
                <w:sz w:val="21"/>
                <w:szCs w:val="21"/>
                <w:highlight w:val="none"/>
              </w:rPr>
              <w:t>铜</w:t>
            </w:r>
          </w:p>
        </w:tc>
        <w:tc>
          <w:tcPr>
            <w:tcW w:w="1060" w:type="pct"/>
            <w:vAlign w:val="center"/>
          </w:tcPr>
          <w:p w14:paraId="7514CE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0.0022</w:t>
            </w:r>
          </w:p>
        </w:tc>
        <w:tc>
          <w:tcPr>
            <w:tcW w:w="1060" w:type="pct"/>
            <w:vAlign w:val="center"/>
          </w:tcPr>
          <w:p w14:paraId="03FA7D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0.0023</w:t>
            </w:r>
          </w:p>
        </w:tc>
        <w:tc>
          <w:tcPr>
            <w:tcW w:w="1060" w:type="pct"/>
            <w:vAlign w:val="center"/>
          </w:tcPr>
          <w:p w14:paraId="62EE25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0.002</w:t>
            </w:r>
          </w:p>
        </w:tc>
        <w:tc>
          <w:tcPr>
            <w:tcW w:w="1060" w:type="pct"/>
            <w:vAlign w:val="center"/>
          </w:tcPr>
          <w:p w14:paraId="7103AF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18000</w:t>
            </w:r>
          </w:p>
        </w:tc>
      </w:tr>
      <w:tr w14:paraId="4A80926E">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8" w:type="pct"/>
            <w:vAlign w:val="center"/>
          </w:tcPr>
          <w:p w14:paraId="595F4F80">
            <w:pPr>
              <w:widowControl/>
              <w:spacing w:line="320" w:lineRule="exact"/>
              <w:ind w:firstLine="0" w:firstLineChars="0"/>
              <w:jc w:val="center"/>
              <w:rPr>
                <w:sz w:val="21"/>
                <w:szCs w:val="21"/>
                <w:highlight w:val="none"/>
              </w:rPr>
            </w:pPr>
            <w:r>
              <w:rPr>
                <w:rFonts w:ascii="Times New Roman" w:hAnsi="Times New Roman"/>
                <w:sz w:val="21"/>
                <w:szCs w:val="21"/>
                <w:highlight w:val="none"/>
              </w:rPr>
              <w:t>铅</w:t>
            </w:r>
          </w:p>
        </w:tc>
        <w:tc>
          <w:tcPr>
            <w:tcW w:w="1060" w:type="pct"/>
            <w:vAlign w:val="center"/>
          </w:tcPr>
          <w:p w14:paraId="7CF3A9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0.0475</w:t>
            </w:r>
          </w:p>
        </w:tc>
        <w:tc>
          <w:tcPr>
            <w:tcW w:w="1060" w:type="pct"/>
            <w:vAlign w:val="center"/>
          </w:tcPr>
          <w:p w14:paraId="255841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0.0463</w:t>
            </w:r>
          </w:p>
        </w:tc>
        <w:tc>
          <w:tcPr>
            <w:tcW w:w="1060" w:type="pct"/>
            <w:vAlign w:val="center"/>
          </w:tcPr>
          <w:p w14:paraId="415467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0.0425</w:t>
            </w:r>
          </w:p>
        </w:tc>
        <w:tc>
          <w:tcPr>
            <w:tcW w:w="1060" w:type="pct"/>
            <w:vAlign w:val="center"/>
          </w:tcPr>
          <w:p w14:paraId="701925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800</w:t>
            </w:r>
          </w:p>
        </w:tc>
      </w:tr>
      <w:tr w14:paraId="0713289E">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8" w:type="pct"/>
            <w:vAlign w:val="center"/>
          </w:tcPr>
          <w:p w14:paraId="291B7EE3">
            <w:pPr>
              <w:widowControl/>
              <w:spacing w:line="320" w:lineRule="exact"/>
              <w:ind w:firstLine="0" w:firstLineChars="0"/>
              <w:jc w:val="center"/>
              <w:rPr>
                <w:sz w:val="21"/>
                <w:szCs w:val="21"/>
                <w:highlight w:val="none"/>
              </w:rPr>
            </w:pPr>
            <w:r>
              <w:rPr>
                <w:rFonts w:ascii="Times New Roman" w:hAnsi="Times New Roman"/>
                <w:sz w:val="21"/>
                <w:szCs w:val="21"/>
                <w:highlight w:val="none"/>
              </w:rPr>
              <w:t>镍</w:t>
            </w:r>
          </w:p>
        </w:tc>
        <w:tc>
          <w:tcPr>
            <w:tcW w:w="1060" w:type="pct"/>
            <w:vAlign w:val="center"/>
          </w:tcPr>
          <w:p w14:paraId="38A16D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0.0444</w:t>
            </w:r>
          </w:p>
        </w:tc>
        <w:tc>
          <w:tcPr>
            <w:tcW w:w="1060" w:type="pct"/>
            <w:vAlign w:val="center"/>
          </w:tcPr>
          <w:p w14:paraId="3D6C2C2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0.0444</w:t>
            </w:r>
          </w:p>
        </w:tc>
        <w:tc>
          <w:tcPr>
            <w:tcW w:w="1060" w:type="pct"/>
            <w:vAlign w:val="center"/>
          </w:tcPr>
          <w:p w14:paraId="646C6E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0.0422</w:t>
            </w:r>
          </w:p>
        </w:tc>
        <w:tc>
          <w:tcPr>
            <w:tcW w:w="1060" w:type="pct"/>
            <w:vAlign w:val="center"/>
          </w:tcPr>
          <w:p w14:paraId="6F1762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900</w:t>
            </w:r>
          </w:p>
        </w:tc>
      </w:tr>
      <w:tr w14:paraId="3E4C4305">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8" w:type="pct"/>
            <w:vAlign w:val="center"/>
          </w:tcPr>
          <w:p w14:paraId="03D822B3">
            <w:pPr>
              <w:widowControl/>
              <w:spacing w:line="320" w:lineRule="exact"/>
              <w:ind w:firstLine="0" w:firstLineChars="0"/>
              <w:jc w:val="center"/>
              <w:rPr>
                <w:sz w:val="21"/>
                <w:szCs w:val="21"/>
                <w:highlight w:val="none"/>
              </w:rPr>
            </w:pPr>
            <w:r>
              <w:rPr>
                <w:rFonts w:ascii="Times New Roman" w:hAnsi="Times New Roman"/>
                <w:sz w:val="21"/>
                <w:szCs w:val="21"/>
                <w:highlight w:val="none"/>
              </w:rPr>
              <w:t>铬（六价）</w:t>
            </w:r>
          </w:p>
        </w:tc>
        <w:tc>
          <w:tcPr>
            <w:tcW w:w="1060" w:type="pct"/>
            <w:vAlign w:val="center"/>
          </w:tcPr>
          <w:p w14:paraId="6D6068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sz w:val="21"/>
                <w:szCs w:val="21"/>
                <w:highlight w:val="none"/>
                <w:lang w:eastAsia="zh-CN"/>
              </w:rPr>
            </w:pPr>
            <w:r>
              <w:rPr>
                <w:rFonts w:hint="eastAsia"/>
                <w:sz w:val="21"/>
                <w:szCs w:val="21"/>
                <w:highlight w:val="none"/>
                <w:lang w:val="en-US" w:eastAsia="zh-CN"/>
              </w:rPr>
              <w:t>/</w:t>
            </w:r>
          </w:p>
        </w:tc>
        <w:tc>
          <w:tcPr>
            <w:tcW w:w="1060" w:type="pct"/>
            <w:vAlign w:val="center"/>
          </w:tcPr>
          <w:p w14:paraId="4C0F56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sz w:val="21"/>
                <w:szCs w:val="21"/>
                <w:highlight w:val="none"/>
                <w:lang w:val="en-US" w:eastAsia="zh-CN"/>
              </w:rPr>
            </w:pPr>
            <w:r>
              <w:rPr>
                <w:rFonts w:hint="eastAsia"/>
                <w:sz w:val="21"/>
                <w:szCs w:val="21"/>
                <w:highlight w:val="none"/>
                <w:lang w:val="en-US" w:eastAsia="zh-CN"/>
              </w:rPr>
              <w:t>/</w:t>
            </w:r>
          </w:p>
        </w:tc>
        <w:tc>
          <w:tcPr>
            <w:tcW w:w="1060" w:type="pct"/>
            <w:vAlign w:val="center"/>
          </w:tcPr>
          <w:p w14:paraId="4CEFC6D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sz w:val="21"/>
                <w:szCs w:val="21"/>
                <w:highlight w:val="none"/>
                <w:lang w:val="en-US" w:eastAsia="zh-CN"/>
              </w:rPr>
            </w:pPr>
            <w:r>
              <w:rPr>
                <w:rFonts w:hint="eastAsia"/>
                <w:sz w:val="21"/>
                <w:szCs w:val="21"/>
                <w:highlight w:val="none"/>
                <w:lang w:val="en-US" w:eastAsia="zh-CN"/>
              </w:rPr>
              <w:t>/</w:t>
            </w:r>
          </w:p>
        </w:tc>
        <w:tc>
          <w:tcPr>
            <w:tcW w:w="1060" w:type="pct"/>
            <w:vAlign w:val="center"/>
          </w:tcPr>
          <w:p w14:paraId="04E0666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5.7</w:t>
            </w:r>
          </w:p>
        </w:tc>
      </w:tr>
    </w:tbl>
    <w:p w14:paraId="780CA9EB">
      <w:pPr>
        <w:rPr>
          <w:rFonts w:hint="eastAsia"/>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highlight w:val="none"/>
        </w:rPr>
        <w:t>本项目建设用地土壤中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甲苯、硝基苯、苯胺、2-氯酚、苯并[a]蒽、苯并[a]芘、苯并[b]荧蒽、苯并</w:t>
      </w:r>
      <w:r>
        <w:rPr>
          <w:highlight w:val="none"/>
        </w:rPr>
        <w:t>[k]</w:t>
      </w:r>
      <w:r>
        <w:rPr>
          <w:rFonts w:hint="eastAsia"/>
          <w:highlight w:val="none"/>
        </w:rPr>
        <w:t>荧蒽、䓛、二苯并</w:t>
      </w:r>
      <w:r>
        <w:rPr>
          <w:highlight w:val="none"/>
        </w:rPr>
        <w:t>[a,h]</w:t>
      </w:r>
      <w:r>
        <w:rPr>
          <w:rFonts w:hint="eastAsia"/>
          <w:highlight w:val="none"/>
        </w:rPr>
        <w:t>蒽、茚并</w:t>
      </w:r>
      <w:r>
        <w:rPr>
          <w:highlight w:val="none"/>
        </w:rPr>
        <w:t>[1,2,3-cd]</w:t>
      </w:r>
      <w:r>
        <w:rPr>
          <w:rFonts w:hint="eastAsia"/>
          <w:highlight w:val="none"/>
        </w:rPr>
        <w:t>芘、萘含量低于《土壤环境质量</w:t>
      </w:r>
      <w:r>
        <w:rPr>
          <w:highlight w:val="none"/>
        </w:rPr>
        <w:t xml:space="preserve"> </w:t>
      </w:r>
      <w:r>
        <w:rPr>
          <w:rFonts w:hint="eastAsia"/>
          <w:highlight w:val="none"/>
        </w:rPr>
        <w:t>建设用地土壤污染风险管控标准（试行）》（</w:t>
      </w:r>
      <w:r>
        <w:rPr>
          <w:highlight w:val="none"/>
        </w:rPr>
        <w:t>GB36600-2018</w:t>
      </w:r>
      <w:r>
        <w:rPr>
          <w:rFonts w:hint="eastAsia"/>
          <w:highlight w:val="none"/>
        </w:rPr>
        <w:t>）中二类用地筛选值限值</w:t>
      </w:r>
    </w:p>
    <w:p w14:paraId="240AD0A5">
      <w:pPr>
        <w:pStyle w:val="5"/>
        <w:bidi w:val="0"/>
        <w:ind w:left="0" w:leftChars="0" w:firstLine="0" w:firstLineChars="0"/>
        <w:rPr>
          <w:color w:val="auto"/>
          <w:sz w:val="24"/>
          <w:highlight w:val="none"/>
          <w:lang w:val="zh-CN"/>
        </w:rPr>
      </w:pPr>
      <w:bookmarkStart w:id="118" w:name="_Toc8080"/>
      <w:r>
        <w:rPr>
          <w:rFonts w:hint="eastAsia"/>
          <w:highlight w:val="none"/>
          <w:lang w:val="en-US" w:eastAsia="zh-CN"/>
        </w:rPr>
        <w:t>4.3.5生态环境</w:t>
      </w:r>
      <w:bookmarkEnd w:id="118"/>
    </w:p>
    <w:p w14:paraId="68CB6BB8">
      <w:pPr>
        <w:rPr>
          <w:rFonts w:ascii="Times New Roman" w:hAnsi="Times New Roman"/>
          <w:color w:val="auto"/>
          <w:highlight w:val="none"/>
        </w:rPr>
      </w:pPr>
      <w:r>
        <w:rPr>
          <w:rFonts w:ascii="Times New Roman" w:hAnsi="Times New Roman"/>
          <w:color w:val="auto"/>
          <w:highlight w:val="none"/>
        </w:rPr>
        <w:t>本项目位于城市建成区，</w:t>
      </w:r>
      <w:r>
        <w:rPr>
          <w:color w:val="auto"/>
          <w:sz w:val="24"/>
          <w:highlight w:val="none"/>
          <w:lang w:val="zh-CN"/>
        </w:rPr>
        <w:t>根据本项目建设内容、环境污染物排放特征及建设地点等具体情况，对项目</w:t>
      </w:r>
      <w:r>
        <w:rPr>
          <w:rFonts w:hint="eastAsia"/>
          <w:color w:val="auto"/>
          <w:sz w:val="24"/>
          <w:highlight w:val="none"/>
          <w:lang w:val="zh-CN"/>
        </w:rPr>
        <w:t>周围</w:t>
      </w:r>
      <w:r>
        <w:rPr>
          <w:color w:val="auto"/>
          <w:sz w:val="24"/>
          <w:highlight w:val="none"/>
          <w:lang w:val="zh-CN"/>
        </w:rPr>
        <w:t>的生态环境现状进行了调查，调查主要以收集区域相关生态条件资料和现场踏勘相结合的方法。</w:t>
      </w:r>
      <w:r>
        <w:rPr>
          <w:rFonts w:hint="eastAsia"/>
          <w:color w:val="auto"/>
          <w:sz w:val="24"/>
          <w:highlight w:val="none"/>
          <w:lang w:val="zh-CN"/>
        </w:rPr>
        <w:t>根据</w:t>
      </w:r>
      <w:r>
        <w:rPr>
          <w:color w:val="auto"/>
          <w:sz w:val="24"/>
          <w:highlight w:val="none"/>
          <w:lang w:val="zh-CN"/>
        </w:rPr>
        <w:t>实地调查，</w:t>
      </w:r>
      <w:r>
        <w:rPr>
          <w:rFonts w:hint="eastAsia"/>
          <w:color w:val="auto"/>
          <w:sz w:val="24"/>
          <w:highlight w:val="none"/>
          <w:lang w:val="zh-CN"/>
        </w:rPr>
        <w:t>周围</w:t>
      </w:r>
      <w:r>
        <w:rPr>
          <w:color w:val="auto"/>
          <w:sz w:val="24"/>
          <w:highlight w:val="none"/>
          <w:lang w:val="zh-CN"/>
        </w:rPr>
        <w:t>植被为</w:t>
      </w:r>
      <w:r>
        <w:rPr>
          <w:rFonts w:hint="eastAsia"/>
          <w:color w:val="auto"/>
          <w:sz w:val="24"/>
          <w:highlight w:val="none"/>
          <w:lang w:val="en-US" w:eastAsia="zh-CN"/>
        </w:rPr>
        <w:t>林地，</w:t>
      </w:r>
      <w:r>
        <w:rPr>
          <w:rFonts w:ascii="Times New Roman" w:hAnsi="Times New Roman"/>
          <w:color w:val="auto"/>
          <w:highlight w:val="none"/>
        </w:rPr>
        <w:t>评价范围内，仅有少量的鸟、鼠、蛙、昆虫等，已无大型野生哺乳动物。本区共调查到居民区鸟类1 目1 科2 种，占本区鸟类种数的4%，为鴷形目鸟类，为燕雀（Fringilla montifringilla）等。半地下生活型（穴居型，主要在地面活动觅食、栖息、避敌于洞穴中，有的也在地下寻找食物）：黑线姬鼠（Apodemusagrarius）、普通田鼠（Microtusarvalis）、小家鼠（Mus musculus）、褐家鼠（Rattusnorvegicus）、等4 种，主要分布在林地中。</w:t>
      </w:r>
      <w:r>
        <w:rPr>
          <w:rFonts w:hint="eastAsia"/>
          <w:color w:val="auto"/>
          <w:sz w:val="24"/>
          <w:highlight w:val="none"/>
          <w:lang w:val="zh-CN"/>
        </w:rPr>
        <w:t>自然生态系统极少，生态系统抗逆性和稳定性较差，植物种类较少，且无珍稀保护物种</w:t>
      </w:r>
      <w:r>
        <w:rPr>
          <w:color w:val="auto"/>
          <w:sz w:val="24"/>
          <w:highlight w:val="none"/>
          <w:lang w:val="zh-CN"/>
        </w:rPr>
        <w:t>。</w:t>
      </w:r>
      <w:r>
        <w:rPr>
          <w:rFonts w:hint="eastAsia"/>
          <w:color w:val="auto"/>
          <w:sz w:val="24"/>
          <w:highlight w:val="none"/>
          <w:lang w:val="zh-CN"/>
        </w:rPr>
        <w:t>由于人类的长期干扰和生态环境的改变。</w:t>
      </w:r>
      <w:r>
        <w:rPr>
          <w:color w:val="auto"/>
          <w:sz w:val="24"/>
          <w:highlight w:val="none"/>
          <w:lang w:val="zh-CN"/>
        </w:rPr>
        <w:t>本</w:t>
      </w:r>
      <w:r>
        <w:rPr>
          <w:rFonts w:hint="eastAsia"/>
          <w:color w:val="auto"/>
          <w:sz w:val="24"/>
          <w:highlight w:val="none"/>
          <w:lang w:val="zh-CN"/>
        </w:rPr>
        <w:t>项目</w:t>
      </w:r>
      <w:r>
        <w:rPr>
          <w:color w:val="auto"/>
          <w:sz w:val="24"/>
          <w:highlight w:val="none"/>
          <w:lang w:val="zh-CN"/>
        </w:rPr>
        <w:t>区域内无重点保护野生动植物。</w:t>
      </w:r>
    </w:p>
    <w:p w14:paraId="7157AEC1">
      <w:pPr>
        <w:pStyle w:val="4"/>
        <w:bidi w:val="0"/>
        <w:ind w:left="0" w:leftChars="0" w:firstLine="0" w:firstLineChars="0"/>
        <w:rPr>
          <w:rFonts w:hint="eastAsia"/>
          <w:highlight w:val="none"/>
          <w:lang w:val="en-US" w:eastAsia="zh-CN"/>
        </w:rPr>
      </w:pPr>
      <w:bookmarkStart w:id="119" w:name="_Toc19571"/>
      <w:r>
        <w:rPr>
          <w:rFonts w:hint="default" w:ascii="Times New Roman" w:hAnsi="Times New Roman" w:cs="Times New Roman"/>
          <w:highlight w:val="none"/>
          <w:lang w:val="en-US" w:eastAsia="zh-CN"/>
        </w:rPr>
        <w:t>4.4</w:t>
      </w:r>
      <w:r>
        <w:rPr>
          <w:rFonts w:hint="eastAsia"/>
          <w:highlight w:val="none"/>
          <w:lang w:val="en-US" w:eastAsia="zh-CN"/>
        </w:rPr>
        <w:t>区域污染源调查</w:t>
      </w:r>
      <w:bookmarkEnd w:id="119"/>
    </w:p>
    <w:p w14:paraId="66048FD7">
      <w:pPr>
        <w:bidi w:val="0"/>
        <w:rPr>
          <w:rFonts w:hint="eastAsia"/>
          <w:color w:val="auto"/>
          <w:highlight w:val="none"/>
          <w:lang w:val="en-US" w:eastAsia="zh-CN"/>
        </w:rPr>
      </w:pPr>
      <w:r>
        <w:rPr>
          <w:rFonts w:ascii="Times New Roman" w:hAnsi="Times New Roman"/>
          <w:highlight w:val="none"/>
        </w:rPr>
        <w:t>根据《建设项目环境影响评价技术导则总纲》（HJ2.1-2016），选择建设项目常规污染因子和特征污染因子、影响评价区环境质量的主要污染因子和特殊污染因子作为主要调查对象，注意不同污染源的分类调查。</w:t>
      </w:r>
    </w:p>
    <w:p w14:paraId="5E3D28E7">
      <w:pPr>
        <w:rPr>
          <w:rFonts w:hint="eastAsia"/>
          <w:color w:val="auto"/>
          <w:highlight w:val="none"/>
          <w:lang w:val="en-US" w:eastAsia="zh-CN"/>
        </w:rPr>
      </w:pPr>
      <w:r>
        <w:rPr>
          <w:rFonts w:hint="eastAsia"/>
          <w:color w:val="auto"/>
          <w:highlight w:val="none"/>
          <w:lang w:val="en-US" w:eastAsia="zh-CN"/>
        </w:rPr>
        <w:t>一、现有污染源</w:t>
      </w:r>
    </w:p>
    <w:p w14:paraId="1ACA49B0">
      <w:pPr>
        <w:bidi w:val="0"/>
        <w:rPr>
          <w:rFonts w:hint="eastAsia"/>
          <w:color w:val="auto"/>
          <w:highlight w:val="none"/>
          <w:lang w:val="en-US" w:eastAsia="zh-CN"/>
        </w:rPr>
      </w:pPr>
      <w:r>
        <w:rPr>
          <w:rFonts w:hint="eastAsia"/>
          <w:color w:val="auto"/>
          <w:highlight w:val="none"/>
          <w:lang w:val="en-US" w:eastAsia="zh-CN"/>
        </w:rPr>
        <w:t>（1）废气污染源分析</w:t>
      </w:r>
    </w:p>
    <w:p w14:paraId="0BD055CD">
      <w:pPr>
        <w:bidi w:val="0"/>
        <w:rPr>
          <w:rFonts w:hint="eastAsia"/>
          <w:color w:val="auto"/>
          <w:highlight w:val="none"/>
          <w:lang w:val="en-US" w:eastAsia="zh-CN"/>
        </w:rPr>
      </w:pPr>
      <w:r>
        <w:rPr>
          <w:rFonts w:hint="eastAsia"/>
          <w:color w:val="auto"/>
          <w:highlight w:val="none"/>
          <w:lang w:val="en-US" w:eastAsia="zh-CN"/>
        </w:rPr>
        <w:t>区域主要大气排放因子为部分生产企业工艺废气等。</w:t>
      </w:r>
    </w:p>
    <w:p w14:paraId="7ED5582E">
      <w:pPr>
        <w:bidi w:val="0"/>
        <w:rPr>
          <w:rFonts w:hint="eastAsia"/>
          <w:color w:val="auto"/>
          <w:highlight w:val="none"/>
          <w:lang w:val="en-US" w:eastAsia="zh-CN"/>
        </w:rPr>
      </w:pPr>
      <w:r>
        <w:rPr>
          <w:rFonts w:hint="eastAsia"/>
          <w:color w:val="auto"/>
          <w:highlight w:val="none"/>
          <w:lang w:val="en-US" w:eastAsia="zh-CN"/>
        </w:rPr>
        <w:t>废气主要包括TSP等工艺废气中的特征污染物，采取相应措施后达到行业污染物或综合污染物排放标准排放。</w:t>
      </w:r>
    </w:p>
    <w:p w14:paraId="0A0F287F">
      <w:pPr>
        <w:bidi w:val="0"/>
        <w:rPr>
          <w:rFonts w:hint="eastAsia"/>
          <w:color w:val="auto"/>
          <w:highlight w:val="none"/>
          <w:lang w:val="en-US" w:eastAsia="zh-CN"/>
        </w:rPr>
      </w:pPr>
      <w:r>
        <w:rPr>
          <w:rFonts w:hint="eastAsia"/>
          <w:color w:val="auto"/>
          <w:highlight w:val="none"/>
          <w:lang w:val="en-US" w:eastAsia="zh-CN"/>
        </w:rPr>
        <w:t>（2）地表水污染源分析</w:t>
      </w:r>
    </w:p>
    <w:p w14:paraId="4A3DF721">
      <w:pPr>
        <w:bidi w:val="0"/>
        <w:rPr>
          <w:rFonts w:hint="eastAsia"/>
          <w:color w:val="auto"/>
          <w:highlight w:val="none"/>
          <w:lang w:val="en-US" w:eastAsia="zh-CN"/>
        </w:rPr>
      </w:pPr>
      <w:r>
        <w:rPr>
          <w:rFonts w:hint="eastAsia"/>
          <w:color w:val="auto"/>
          <w:highlight w:val="none"/>
          <w:lang w:val="en-US" w:eastAsia="zh-CN"/>
        </w:rPr>
        <w:t>区域废水主要为周边企业生产废水，污染物包括 COD、BOD、SS、氨氮、动植物油、总磷等。</w:t>
      </w:r>
    </w:p>
    <w:p w14:paraId="212C9052">
      <w:pPr>
        <w:bidi w:val="0"/>
        <w:rPr>
          <w:rFonts w:hint="eastAsia"/>
          <w:color w:val="auto"/>
          <w:highlight w:val="none"/>
          <w:lang w:val="en-US" w:eastAsia="zh-CN"/>
        </w:rPr>
      </w:pPr>
      <w:r>
        <w:rPr>
          <w:rFonts w:hint="eastAsia"/>
          <w:color w:val="auto"/>
          <w:highlight w:val="none"/>
          <w:lang w:val="en-US" w:eastAsia="zh-CN"/>
        </w:rPr>
        <w:t>（3）噪声影响源分析</w:t>
      </w:r>
    </w:p>
    <w:p w14:paraId="3C54120D">
      <w:pPr>
        <w:bidi w:val="0"/>
        <w:rPr>
          <w:rFonts w:hint="eastAsia"/>
          <w:color w:val="auto"/>
          <w:highlight w:val="none"/>
          <w:lang w:val="en-US" w:eastAsia="zh-CN"/>
        </w:rPr>
      </w:pPr>
      <w:r>
        <w:rPr>
          <w:rFonts w:hint="eastAsia"/>
          <w:color w:val="auto"/>
          <w:highlight w:val="none"/>
          <w:lang w:val="en-US" w:eastAsia="zh-CN"/>
        </w:rPr>
        <w:t>工业噪声源主要分为二类。第一类是工业企业噪声：主要为设备噪声，声级值75-95dB（A）；第二类是交通噪声：主要是区域内几条交通干线上的运输车辆产生的噪声，声级值75dB（A）。</w:t>
      </w:r>
    </w:p>
    <w:p w14:paraId="73FE2FAC">
      <w:pPr>
        <w:rPr>
          <w:rFonts w:hint="eastAsia"/>
          <w:color w:val="auto"/>
          <w:highlight w:val="none"/>
          <w:lang w:val="en-US" w:eastAsia="zh-CN"/>
        </w:rPr>
      </w:pPr>
      <w:r>
        <w:rPr>
          <w:rFonts w:hint="eastAsia"/>
          <w:color w:val="auto"/>
          <w:highlight w:val="none"/>
          <w:lang w:val="en-US" w:eastAsia="zh-CN"/>
        </w:rPr>
        <w:t>二、区域削减污染源调查</w:t>
      </w:r>
    </w:p>
    <w:p w14:paraId="0C0E3618">
      <w:pPr>
        <w:rPr>
          <w:rFonts w:hint="eastAsia"/>
          <w:color w:val="auto"/>
          <w:highlight w:val="none"/>
          <w:lang w:val="en-US" w:eastAsia="zh-CN"/>
        </w:rPr>
      </w:pPr>
      <w:r>
        <w:rPr>
          <w:rFonts w:hint="eastAsia"/>
          <w:color w:val="auto"/>
          <w:highlight w:val="none"/>
          <w:lang w:val="en-US" w:eastAsia="zh-CN"/>
        </w:rPr>
        <w:t>根据企业实际运行可知，绥芬河市新区供热有限责任公司于2025年已完成超低排放改造。</w:t>
      </w:r>
    </w:p>
    <w:p w14:paraId="4763285D">
      <w:pPr>
        <w:ind w:left="0" w:leftChars="0" w:firstLine="0" w:firstLineChars="0"/>
        <w:jc w:val="center"/>
        <w:rPr>
          <w:rFonts w:hint="eastAsia"/>
          <w:color w:val="auto"/>
          <w:highlight w:val="none"/>
          <w:lang w:val="en-US" w:eastAsia="zh-CN"/>
        </w:rPr>
      </w:pPr>
      <w:r>
        <w:rPr>
          <w:rFonts w:hint="eastAsia"/>
          <w:color w:val="auto"/>
          <w:highlight w:val="none"/>
          <w:lang w:val="en-US" w:eastAsia="zh-CN"/>
        </w:rPr>
        <w:t>表4.4-1 拟被替代源基本情况表</w:t>
      </w:r>
    </w:p>
    <w:tbl>
      <w:tblPr>
        <w:tblStyle w:val="17"/>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
      <w:tblGrid>
        <w:gridCol w:w="649"/>
        <w:gridCol w:w="269"/>
        <w:gridCol w:w="419"/>
        <w:gridCol w:w="385"/>
        <w:gridCol w:w="592"/>
        <w:gridCol w:w="367"/>
        <w:gridCol w:w="477"/>
        <w:gridCol w:w="828"/>
        <w:gridCol w:w="574"/>
        <w:gridCol w:w="472"/>
        <w:gridCol w:w="382"/>
        <w:gridCol w:w="936"/>
        <w:gridCol w:w="968"/>
        <w:gridCol w:w="1018"/>
      </w:tblGrid>
      <w:tr w14:paraId="21CDF03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cantSplit/>
          <w:trHeight w:val="0" w:hRule="atLeast"/>
          <w:jc w:val="center"/>
        </w:trPr>
        <w:tc>
          <w:tcPr>
            <w:tcW w:w="649" w:type="dxa"/>
            <w:vMerge w:val="restart"/>
            <w:tcBorders>
              <w:right w:val="single" w:color="000000" w:sz="4" w:space="0"/>
            </w:tcBorders>
            <w:shd w:val="clear" w:color="auto" w:fill="FFFFFF"/>
            <w:noWrap w:val="0"/>
            <w:vAlign w:val="center"/>
          </w:tcPr>
          <w:p w14:paraId="259883A2">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color w:val="auto"/>
                <w:kern w:val="0"/>
                <w:sz w:val="21"/>
                <w:highlight w:val="none"/>
                <w:lang w:bidi="ar"/>
              </w:rPr>
              <w:t>编号</w:t>
            </w:r>
          </w:p>
        </w:tc>
        <w:tc>
          <w:tcPr>
            <w:tcW w:w="269" w:type="dxa"/>
            <w:vMerge w:val="restart"/>
            <w:tcBorders>
              <w:left w:val="single" w:color="000000" w:sz="4" w:space="0"/>
              <w:right w:val="single" w:color="000000" w:sz="4" w:space="0"/>
            </w:tcBorders>
            <w:shd w:val="clear" w:color="auto" w:fill="FFFFFF"/>
            <w:noWrap w:val="0"/>
            <w:vAlign w:val="center"/>
          </w:tcPr>
          <w:p w14:paraId="3FDF0C04">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color w:val="auto"/>
                <w:kern w:val="0"/>
                <w:sz w:val="21"/>
                <w:highlight w:val="none"/>
                <w:lang w:bidi="ar"/>
              </w:rPr>
              <w:t>名称</w:t>
            </w:r>
          </w:p>
        </w:tc>
        <w:tc>
          <w:tcPr>
            <w:tcW w:w="804" w:type="dxa"/>
            <w:gridSpan w:val="2"/>
            <w:tcBorders>
              <w:left w:val="single" w:color="000000" w:sz="4" w:space="0"/>
              <w:right w:val="single" w:color="000000" w:sz="4" w:space="0"/>
            </w:tcBorders>
            <w:shd w:val="clear" w:color="auto" w:fill="FFFFFF"/>
            <w:noWrap w:val="0"/>
            <w:vAlign w:val="center"/>
          </w:tcPr>
          <w:p w14:paraId="292C918E">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color w:val="auto"/>
                <w:kern w:val="0"/>
                <w:sz w:val="21"/>
                <w:highlight w:val="none"/>
                <w:lang w:bidi="ar"/>
              </w:rPr>
              <w:t>排气筒底部中心坐标</w:t>
            </w:r>
            <w:r>
              <w:rPr>
                <w:rFonts w:hint="eastAsia" w:ascii="Times New Roman" w:hAnsi="Times New Roman"/>
                <w:color w:val="auto"/>
                <w:kern w:val="0"/>
                <w:sz w:val="21"/>
                <w:highlight w:val="none"/>
                <w:lang w:val="en-US" w:eastAsia="zh-CN" w:bidi="ar"/>
              </w:rPr>
              <w:t>/m</w:t>
            </w:r>
          </w:p>
        </w:tc>
        <w:tc>
          <w:tcPr>
            <w:tcW w:w="592" w:type="dxa"/>
            <w:vMerge w:val="restart"/>
            <w:tcBorders>
              <w:left w:val="single" w:color="000000" w:sz="4" w:space="0"/>
              <w:right w:val="single" w:color="000000" w:sz="4" w:space="0"/>
            </w:tcBorders>
            <w:shd w:val="clear" w:color="auto" w:fill="FFFFFF"/>
            <w:noWrap w:val="0"/>
            <w:vAlign w:val="center"/>
          </w:tcPr>
          <w:p w14:paraId="17DB5D41">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color w:val="auto"/>
                <w:kern w:val="0"/>
                <w:sz w:val="21"/>
                <w:highlight w:val="none"/>
                <w:lang w:bidi="ar"/>
              </w:rPr>
              <w:t>排气筒底部海拔高度/m</w:t>
            </w:r>
          </w:p>
        </w:tc>
        <w:tc>
          <w:tcPr>
            <w:tcW w:w="367" w:type="dxa"/>
            <w:vMerge w:val="restart"/>
            <w:tcBorders>
              <w:left w:val="single" w:color="000000" w:sz="4" w:space="0"/>
              <w:right w:val="single" w:color="000000" w:sz="4" w:space="0"/>
            </w:tcBorders>
            <w:shd w:val="clear" w:color="auto" w:fill="FFFFFF"/>
            <w:noWrap w:val="0"/>
            <w:vAlign w:val="center"/>
          </w:tcPr>
          <w:p w14:paraId="5DD9420D">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color w:val="auto"/>
                <w:kern w:val="0"/>
                <w:sz w:val="21"/>
                <w:highlight w:val="none"/>
                <w:lang w:bidi="ar"/>
              </w:rPr>
              <w:t>排气筒高度/m</w:t>
            </w:r>
          </w:p>
        </w:tc>
        <w:tc>
          <w:tcPr>
            <w:tcW w:w="477" w:type="dxa"/>
            <w:vMerge w:val="restart"/>
            <w:tcBorders>
              <w:left w:val="single" w:color="000000" w:sz="4" w:space="0"/>
              <w:right w:val="single" w:color="000000" w:sz="4" w:space="0"/>
            </w:tcBorders>
            <w:shd w:val="clear" w:color="auto" w:fill="FFFFFF"/>
            <w:noWrap w:val="0"/>
            <w:vAlign w:val="center"/>
          </w:tcPr>
          <w:p w14:paraId="1FA07F13">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color w:val="auto"/>
                <w:kern w:val="0"/>
                <w:sz w:val="21"/>
                <w:highlight w:val="none"/>
                <w:lang w:bidi="ar"/>
              </w:rPr>
              <w:t>排气筒出口内径/m</w:t>
            </w:r>
          </w:p>
        </w:tc>
        <w:tc>
          <w:tcPr>
            <w:tcW w:w="828" w:type="dxa"/>
            <w:vMerge w:val="restart"/>
            <w:tcBorders>
              <w:left w:val="single" w:color="000000" w:sz="4" w:space="0"/>
              <w:right w:val="single" w:color="000000" w:sz="4" w:space="0"/>
            </w:tcBorders>
            <w:shd w:val="clear" w:color="auto" w:fill="FFFFFF"/>
            <w:noWrap w:val="0"/>
            <w:vAlign w:val="center"/>
          </w:tcPr>
          <w:p w14:paraId="28C382FC">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color w:val="auto"/>
                <w:kern w:val="0"/>
                <w:sz w:val="21"/>
                <w:highlight w:val="none"/>
                <w:lang w:bidi="ar"/>
              </w:rPr>
              <w:t>烟气流速/（m</w:t>
            </w:r>
            <w:r>
              <w:rPr>
                <w:rFonts w:ascii="Times New Roman" w:hAnsi="Times New Roman"/>
                <w:color w:val="auto"/>
                <w:kern w:val="0"/>
                <w:sz w:val="21"/>
                <w:highlight w:val="none"/>
                <w:vertAlign w:val="superscript"/>
                <w:lang w:bidi="ar"/>
              </w:rPr>
              <w:t>3</w:t>
            </w:r>
            <w:r>
              <w:rPr>
                <w:rFonts w:ascii="Times New Roman" w:hAnsi="Times New Roman"/>
                <w:color w:val="auto"/>
                <w:kern w:val="0"/>
                <w:sz w:val="21"/>
                <w:highlight w:val="none"/>
                <w:lang w:bidi="ar"/>
              </w:rPr>
              <w:t>/h）</w:t>
            </w:r>
          </w:p>
        </w:tc>
        <w:tc>
          <w:tcPr>
            <w:tcW w:w="574" w:type="dxa"/>
            <w:vMerge w:val="restart"/>
            <w:tcBorders>
              <w:left w:val="single" w:color="000000" w:sz="4" w:space="0"/>
              <w:right w:val="single" w:color="000000" w:sz="4" w:space="0"/>
            </w:tcBorders>
            <w:shd w:val="clear" w:color="auto" w:fill="FFFFFF"/>
            <w:noWrap w:val="0"/>
            <w:vAlign w:val="center"/>
          </w:tcPr>
          <w:p w14:paraId="0E3A356E">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color w:val="auto"/>
                <w:kern w:val="0"/>
                <w:sz w:val="21"/>
                <w:highlight w:val="none"/>
                <w:lang w:bidi="ar"/>
              </w:rPr>
              <w:t>烟气温度/</w:t>
            </w:r>
            <w:r>
              <w:rPr>
                <w:rFonts w:hint="eastAsia" w:ascii="宋体" w:hAnsi="宋体" w:cs="宋体"/>
                <w:color w:val="auto"/>
                <w:kern w:val="0"/>
                <w:sz w:val="21"/>
                <w:highlight w:val="none"/>
                <w:lang w:bidi="ar"/>
              </w:rPr>
              <w:t>℃</w:t>
            </w:r>
          </w:p>
        </w:tc>
        <w:tc>
          <w:tcPr>
            <w:tcW w:w="472" w:type="dxa"/>
            <w:vMerge w:val="restart"/>
            <w:tcBorders>
              <w:left w:val="single" w:color="000000" w:sz="4" w:space="0"/>
              <w:right w:val="single" w:color="000000" w:sz="4" w:space="0"/>
            </w:tcBorders>
            <w:shd w:val="clear" w:color="auto" w:fill="FFFFFF"/>
            <w:noWrap w:val="0"/>
            <w:vAlign w:val="center"/>
          </w:tcPr>
          <w:p w14:paraId="571C7A10">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color w:val="auto"/>
                <w:kern w:val="0"/>
                <w:sz w:val="21"/>
                <w:highlight w:val="none"/>
                <w:lang w:bidi="ar"/>
              </w:rPr>
              <w:t>年排放小时数/h</w:t>
            </w:r>
          </w:p>
        </w:tc>
        <w:tc>
          <w:tcPr>
            <w:tcW w:w="382" w:type="dxa"/>
            <w:vMerge w:val="restart"/>
            <w:tcBorders>
              <w:left w:val="single" w:color="000000" w:sz="4" w:space="0"/>
              <w:right w:val="single" w:color="000000" w:sz="4" w:space="0"/>
            </w:tcBorders>
            <w:shd w:val="clear" w:color="auto" w:fill="FFFFFF"/>
            <w:noWrap w:val="0"/>
            <w:vAlign w:val="center"/>
          </w:tcPr>
          <w:p w14:paraId="4D7E5ACA">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color w:val="auto"/>
                <w:kern w:val="0"/>
                <w:sz w:val="21"/>
                <w:highlight w:val="none"/>
                <w:lang w:bidi="ar"/>
              </w:rPr>
              <w:t>排放工况</w:t>
            </w:r>
          </w:p>
        </w:tc>
        <w:tc>
          <w:tcPr>
            <w:tcW w:w="2922" w:type="dxa"/>
            <w:gridSpan w:val="3"/>
            <w:tcBorders>
              <w:left w:val="single" w:color="000000" w:sz="4" w:space="0"/>
              <w:right w:val="nil"/>
            </w:tcBorders>
            <w:shd w:val="clear" w:color="auto" w:fill="FFFFFF"/>
            <w:noWrap w:val="0"/>
            <w:vAlign w:val="center"/>
          </w:tcPr>
          <w:p w14:paraId="6E0D1940">
            <w:pPr>
              <w:widowControl/>
              <w:spacing w:line="240" w:lineRule="auto"/>
              <w:ind w:firstLine="0" w:firstLineChars="0"/>
              <w:jc w:val="center"/>
              <w:textAlignment w:val="center"/>
              <w:rPr>
                <w:rFonts w:ascii="Times New Roman" w:hAnsi="Times New Roman"/>
                <w:color w:val="auto"/>
                <w:kern w:val="0"/>
                <w:sz w:val="21"/>
                <w:highlight w:val="none"/>
                <w:lang w:bidi="ar"/>
              </w:rPr>
            </w:pPr>
            <w:r>
              <w:rPr>
                <w:rFonts w:ascii="Times New Roman" w:hAnsi="Times New Roman"/>
                <w:color w:val="auto"/>
                <w:kern w:val="0"/>
                <w:sz w:val="21"/>
                <w:highlight w:val="none"/>
                <w:lang w:bidi="ar"/>
              </w:rPr>
              <w:t>污染物排放速率/kg/h</w:t>
            </w:r>
          </w:p>
        </w:tc>
      </w:tr>
      <w:tr w14:paraId="6775DA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cantSplit/>
          <w:trHeight w:val="0" w:hRule="atLeast"/>
          <w:jc w:val="center"/>
        </w:trPr>
        <w:tc>
          <w:tcPr>
            <w:tcW w:w="649" w:type="dxa"/>
            <w:vMerge w:val="continue"/>
            <w:tcBorders>
              <w:right w:val="single" w:color="000000" w:sz="4" w:space="0"/>
            </w:tcBorders>
            <w:shd w:val="clear" w:color="auto" w:fill="FFFFFF"/>
            <w:noWrap w:val="0"/>
            <w:vAlign w:val="center"/>
          </w:tcPr>
          <w:p w14:paraId="457BBC7B">
            <w:pPr>
              <w:spacing w:line="240" w:lineRule="auto"/>
              <w:ind w:firstLine="0" w:firstLineChars="0"/>
              <w:jc w:val="center"/>
              <w:rPr>
                <w:rFonts w:ascii="Times New Roman" w:hAnsi="Times New Roman"/>
                <w:color w:val="auto"/>
                <w:kern w:val="0"/>
                <w:sz w:val="21"/>
                <w:highlight w:val="none"/>
              </w:rPr>
            </w:pPr>
          </w:p>
        </w:tc>
        <w:tc>
          <w:tcPr>
            <w:tcW w:w="269" w:type="dxa"/>
            <w:vMerge w:val="continue"/>
            <w:tcBorders>
              <w:left w:val="single" w:color="000000" w:sz="4" w:space="0"/>
              <w:right w:val="single" w:color="000000" w:sz="4" w:space="0"/>
            </w:tcBorders>
            <w:shd w:val="clear" w:color="auto" w:fill="FFFFFF"/>
            <w:noWrap w:val="0"/>
            <w:vAlign w:val="center"/>
          </w:tcPr>
          <w:p w14:paraId="21CB7763">
            <w:pPr>
              <w:spacing w:line="240" w:lineRule="auto"/>
              <w:ind w:firstLine="0" w:firstLineChars="0"/>
              <w:jc w:val="center"/>
              <w:rPr>
                <w:rFonts w:ascii="Times New Roman" w:hAnsi="Times New Roman"/>
                <w:color w:val="auto"/>
                <w:kern w:val="0"/>
                <w:sz w:val="21"/>
                <w:highlight w:val="none"/>
              </w:rPr>
            </w:pPr>
          </w:p>
        </w:tc>
        <w:tc>
          <w:tcPr>
            <w:tcW w:w="419" w:type="dxa"/>
            <w:tcBorders>
              <w:left w:val="single" w:color="000000" w:sz="4" w:space="0"/>
              <w:right w:val="single" w:color="000000" w:sz="4" w:space="0"/>
            </w:tcBorders>
            <w:shd w:val="clear" w:color="auto" w:fill="FFFFFF"/>
            <w:noWrap w:val="0"/>
            <w:vAlign w:val="center"/>
          </w:tcPr>
          <w:p w14:paraId="35300184">
            <w:pPr>
              <w:widowControl/>
              <w:spacing w:line="240" w:lineRule="auto"/>
              <w:ind w:firstLine="0" w:firstLineChars="0"/>
              <w:jc w:val="center"/>
              <w:textAlignment w:val="center"/>
              <w:rPr>
                <w:rFonts w:hint="eastAsia" w:ascii="Times New Roman" w:hAnsi="Times New Roman" w:eastAsia="宋体"/>
                <w:color w:val="auto"/>
                <w:kern w:val="0"/>
                <w:sz w:val="21"/>
                <w:highlight w:val="none"/>
                <w:lang w:eastAsia="zh-CN"/>
              </w:rPr>
            </w:pPr>
            <w:r>
              <w:rPr>
                <w:rFonts w:hint="eastAsia" w:ascii="Times New Roman" w:hAnsi="Times New Roman"/>
                <w:color w:val="auto"/>
                <w:kern w:val="0"/>
                <w:sz w:val="21"/>
                <w:highlight w:val="none"/>
                <w:lang w:val="en-US" w:eastAsia="zh-CN" w:bidi="ar"/>
              </w:rPr>
              <w:t>X</w:t>
            </w:r>
          </w:p>
        </w:tc>
        <w:tc>
          <w:tcPr>
            <w:tcW w:w="385" w:type="dxa"/>
            <w:tcBorders>
              <w:left w:val="single" w:color="000000" w:sz="4" w:space="0"/>
              <w:right w:val="single" w:color="000000" w:sz="4" w:space="0"/>
            </w:tcBorders>
            <w:shd w:val="clear" w:color="auto" w:fill="FFFFFF"/>
            <w:noWrap w:val="0"/>
            <w:vAlign w:val="center"/>
          </w:tcPr>
          <w:p w14:paraId="16999F65">
            <w:pPr>
              <w:widowControl/>
              <w:spacing w:line="240" w:lineRule="auto"/>
              <w:ind w:firstLine="0" w:firstLineChars="0"/>
              <w:jc w:val="center"/>
              <w:textAlignment w:val="center"/>
              <w:rPr>
                <w:rFonts w:hint="eastAsia" w:ascii="Times New Roman" w:hAnsi="Times New Roman" w:eastAsia="宋体"/>
                <w:color w:val="auto"/>
                <w:kern w:val="0"/>
                <w:sz w:val="21"/>
                <w:highlight w:val="none"/>
                <w:lang w:eastAsia="zh-CN"/>
              </w:rPr>
            </w:pPr>
            <w:r>
              <w:rPr>
                <w:rFonts w:hint="eastAsia" w:ascii="Times New Roman" w:hAnsi="Times New Roman"/>
                <w:color w:val="auto"/>
                <w:kern w:val="0"/>
                <w:sz w:val="21"/>
                <w:highlight w:val="none"/>
                <w:lang w:val="en-US" w:eastAsia="zh-CN" w:bidi="ar"/>
              </w:rPr>
              <w:t>Y</w:t>
            </w:r>
          </w:p>
        </w:tc>
        <w:tc>
          <w:tcPr>
            <w:tcW w:w="592" w:type="dxa"/>
            <w:vMerge w:val="continue"/>
            <w:tcBorders>
              <w:left w:val="single" w:color="000000" w:sz="4" w:space="0"/>
              <w:right w:val="single" w:color="000000" w:sz="4" w:space="0"/>
            </w:tcBorders>
            <w:shd w:val="clear" w:color="auto" w:fill="FFFFFF"/>
            <w:noWrap w:val="0"/>
            <w:vAlign w:val="center"/>
          </w:tcPr>
          <w:p w14:paraId="34401C98">
            <w:pPr>
              <w:spacing w:line="240" w:lineRule="auto"/>
              <w:ind w:firstLine="0" w:firstLineChars="0"/>
              <w:jc w:val="center"/>
              <w:rPr>
                <w:rFonts w:ascii="Times New Roman" w:hAnsi="Times New Roman"/>
                <w:color w:val="auto"/>
                <w:kern w:val="0"/>
                <w:sz w:val="21"/>
                <w:highlight w:val="none"/>
              </w:rPr>
            </w:pPr>
          </w:p>
        </w:tc>
        <w:tc>
          <w:tcPr>
            <w:tcW w:w="367" w:type="dxa"/>
            <w:vMerge w:val="continue"/>
            <w:tcBorders>
              <w:left w:val="single" w:color="000000" w:sz="4" w:space="0"/>
              <w:right w:val="single" w:color="000000" w:sz="4" w:space="0"/>
            </w:tcBorders>
            <w:shd w:val="clear" w:color="auto" w:fill="FFFFFF"/>
            <w:noWrap w:val="0"/>
            <w:vAlign w:val="center"/>
          </w:tcPr>
          <w:p w14:paraId="70FD218F">
            <w:pPr>
              <w:spacing w:line="240" w:lineRule="auto"/>
              <w:ind w:firstLine="0" w:firstLineChars="0"/>
              <w:jc w:val="center"/>
              <w:rPr>
                <w:rFonts w:ascii="Times New Roman" w:hAnsi="Times New Roman"/>
                <w:color w:val="auto"/>
                <w:kern w:val="0"/>
                <w:sz w:val="21"/>
                <w:highlight w:val="none"/>
              </w:rPr>
            </w:pPr>
          </w:p>
        </w:tc>
        <w:tc>
          <w:tcPr>
            <w:tcW w:w="477" w:type="dxa"/>
            <w:vMerge w:val="continue"/>
            <w:tcBorders>
              <w:left w:val="single" w:color="000000" w:sz="4" w:space="0"/>
              <w:right w:val="single" w:color="000000" w:sz="4" w:space="0"/>
            </w:tcBorders>
            <w:shd w:val="clear" w:color="auto" w:fill="FFFFFF"/>
            <w:noWrap w:val="0"/>
            <w:vAlign w:val="center"/>
          </w:tcPr>
          <w:p w14:paraId="7DA34410">
            <w:pPr>
              <w:spacing w:line="240" w:lineRule="auto"/>
              <w:ind w:firstLine="0" w:firstLineChars="0"/>
              <w:jc w:val="center"/>
              <w:rPr>
                <w:rFonts w:ascii="Times New Roman" w:hAnsi="Times New Roman"/>
                <w:color w:val="auto"/>
                <w:kern w:val="0"/>
                <w:sz w:val="21"/>
                <w:highlight w:val="none"/>
              </w:rPr>
            </w:pPr>
          </w:p>
        </w:tc>
        <w:tc>
          <w:tcPr>
            <w:tcW w:w="828" w:type="dxa"/>
            <w:vMerge w:val="continue"/>
            <w:tcBorders>
              <w:left w:val="single" w:color="000000" w:sz="4" w:space="0"/>
              <w:right w:val="single" w:color="000000" w:sz="4" w:space="0"/>
            </w:tcBorders>
            <w:shd w:val="clear" w:color="auto" w:fill="FFFFFF"/>
            <w:noWrap w:val="0"/>
            <w:vAlign w:val="center"/>
          </w:tcPr>
          <w:p w14:paraId="563800F0">
            <w:pPr>
              <w:spacing w:line="240" w:lineRule="auto"/>
              <w:ind w:firstLine="0" w:firstLineChars="0"/>
              <w:jc w:val="center"/>
              <w:rPr>
                <w:rFonts w:ascii="Times New Roman" w:hAnsi="Times New Roman"/>
                <w:color w:val="auto"/>
                <w:kern w:val="0"/>
                <w:sz w:val="21"/>
                <w:highlight w:val="none"/>
              </w:rPr>
            </w:pPr>
          </w:p>
        </w:tc>
        <w:tc>
          <w:tcPr>
            <w:tcW w:w="574" w:type="dxa"/>
            <w:vMerge w:val="continue"/>
            <w:tcBorders>
              <w:left w:val="single" w:color="000000" w:sz="4" w:space="0"/>
              <w:right w:val="single" w:color="000000" w:sz="4" w:space="0"/>
            </w:tcBorders>
            <w:shd w:val="clear" w:color="auto" w:fill="FFFFFF"/>
            <w:noWrap w:val="0"/>
            <w:vAlign w:val="center"/>
          </w:tcPr>
          <w:p w14:paraId="09240595">
            <w:pPr>
              <w:spacing w:line="240" w:lineRule="auto"/>
              <w:ind w:firstLine="0" w:firstLineChars="0"/>
              <w:jc w:val="center"/>
              <w:rPr>
                <w:rFonts w:ascii="Times New Roman" w:hAnsi="Times New Roman"/>
                <w:color w:val="auto"/>
                <w:kern w:val="0"/>
                <w:sz w:val="21"/>
                <w:highlight w:val="none"/>
              </w:rPr>
            </w:pPr>
          </w:p>
        </w:tc>
        <w:tc>
          <w:tcPr>
            <w:tcW w:w="472" w:type="dxa"/>
            <w:vMerge w:val="continue"/>
            <w:tcBorders>
              <w:left w:val="single" w:color="000000" w:sz="4" w:space="0"/>
              <w:right w:val="single" w:color="000000" w:sz="4" w:space="0"/>
            </w:tcBorders>
            <w:shd w:val="clear" w:color="auto" w:fill="FFFFFF"/>
            <w:noWrap w:val="0"/>
            <w:vAlign w:val="center"/>
          </w:tcPr>
          <w:p w14:paraId="628DA9E9">
            <w:pPr>
              <w:spacing w:line="240" w:lineRule="auto"/>
              <w:ind w:firstLine="0" w:firstLineChars="0"/>
              <w:jc w:val="center"/>
              <w:rPr>
                <w:rFonts w:ascii="Times New Roman" w:hAnsi="Times New Roman"/>
                <w:color w:val="auto"/>
                <w:kern w:val="0"/>
                <w:sz w:val="21"/>
                <w:highlight w:val="none"/>
              </w:rPr>
            </w:pPr>
          </w:p>
        </w:tc>
        <w:tc>
          <w:tcPr>
            <w:tcW w:w="382" w:type="dxa"/>
            <w:vMerge w:val="continue"/>
            <w:tcBorders>
              <w:left w:val="single" w:color="000000" w:sz="4" w:space="0"/>
              <w:right w:val="single" w:color="000000" w:sz="4" w:space="0"/>
            </w:tcBorders>
            <w:shd w:val="clear" w:color="auto" w:fill="FFFFFF"/>
            <w:noWrap w:val="0"/>
            <w:vAlign w:val="center"/>
          </w:tcPr>
          <w:p w14:paraId="620942F0">
            <w:pPr>
              <w:spacing w:line="240" w:lineRule="auto"/>
              <w:ind w:firstLine="0" w:firstLineChars="0"/>
              <w:jc w:val="center"/>
              <w:rPr>
                <w:rFonts w:ascii="Times New Roman" w:hAnsi="Times New Roman"/>
                <w:color w:val="auto"/>
                <w:kern w:val="0"/>
                <w:sz w:val="21"/>
                <w:highlight w:val="none"/>
              </w:rPr>
            </w:pPr>
          </w:p>
        </w:tc>
        <w:tc>
          <w:tcPr>
            <w:tcW w:w="936" w:type="dxa"/>
            <w:tcBorders>
              <w:left w:val="single" w:color="000000" w:sz="4" w:space="0"/>
              <w:right w:val="single" w:color="000000" w:sz="4" w:space="0"/>
            </w:tcBorders>
            <w:shd w:val="clear" w:color="auto" w:fill="FFFFFF"/>
            <w:noWrap w:val="0"/>
            <w:vAlign w:val="center"/>
          </w:tcPr>
          <w:p w14:paraId="50A35937">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color w:val="auto"/>
                <w:sz w:val="21"/>
                <w:highlight w:val="none"/>
              </w:rPr>
              <w:t>PM</w:t>
            </w:r>
            <w:r>
              <w:rPr>
                <w:rFonts w:ascii="Times New Roman" w:hAnsi="Times New Roman"/>
                <w:color w:val="auto"/>
                <w:sz w:val="21"/>
                <w:highlight w:val="none"/>
                <w:vertAlign w:val="subscript"/>
              </w:rPr>
              <w:t>10</w:t>
            </w:r>
          </w:p>
        </w:tc>
        <w:tc>
          <w:tcPr>
            <w:tcW w:w="968" w:type="dxa"/>
            <w:tcBorders>
              <w:left w:val="single" w:color="000000" w:sz="4" w:space="0"/>
              <w:right w:val="single" w:color="000000" w:sz="4" w:space="0"/>
            </w:tcBorders>
            <w:shd w:val="clear" w:color="auto" w:fill="FFFFFF"/>
            <w:noWrap w:val="0"/>
            <w:vAlign w:val="center"/>
          </w:tcPr>
          <w:p w14:paraId="779C282A">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color w:val="auto"/>
                <w:sz w:val="21"/>
                <w:highlight w:val="none"/>
              </w:rPr>
              <w:t>SO</w:t>
            </w:r>
            <w:r>
              <w:rPr>
                <w:rFonts w:ascii="Times New Roman" w:hAnsi="Times New Roman"/>
                <w:color w:val="auto"/>
                <w:sz w:val="21"/>
                <w:highlight w:val="none"/>
                <w:vertAlign w:val="subscript"/>
              </w:rPr>
              <w:t>2</w:t>
            </w:r>
          </w:p>
        </w:tc>
        <w:tc>
          <w:tcPr>
            <w:tcW w:w="1018" w:type="dxa"/>
            <w:tcBorders>
              <w:left w:val="single" w:color="000000" w:sz="4" w:space="0"/>
              <w:right w:val="nil"/>
            </w:tcBorders>
            <w:noWrap w:val="0"/>
            <w:vAlign w:val="center"/>
          </w:tcPr>
          <w:p w14:paraId="46E56E64">
            <w:pPr>
              <w:widowControl/>
              <w:spacing w:line="240" w:lineRule="auto"/>
              <w:ind w:firstLine="0" w:firstLineChars="0"/>
              <w:jc w:val="center"/>
              <w:textAlignment w:val="center"/>
              <w:rPr>
                <w:rFonts w:ascii="Times New Roman" w:hAnsi="Times New Roman"/>
                <w:color w:val="auto"/>
                <w:sz w:val="21"/>
                <w:highlight w:val="none"/>
              </w:rPr>
            </w:pPr>
            <w:r>
              <w:rPr>
                <w:rFonts w:ascii="Times New Roman" w:hAnsi="Times New Roman"/>
                <w:color w:val="auto"/>
                <w:sz w:val="21"/>
                <w:highlight w:val="none"/>
              </w:rPr>
              <w:t>NO</w:t>
            </w:r>
            <w:r>
              <w:rPr>
                <w:rFonts w:ascii="Times New Roman" w:hAnsi="Times New Roman"/>
                <w:color w:val="auto"/>
                <w:sz w:val="21"/>
                <w:highlight w:val="none"/>
                <w:vertAlign w:val="subscript"/>
              </w:rPr>
              <w:t>2</w:t>
            </w:r>
          </w:p>
        </w:tc>
      </w:tr>
      <w:tr w14:paraId="327198C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cantSplit/>
          <w:trHeight w:val="0" w:hRule="atLeast"/>
          <w:jc w:val="center"/>
        </w:trPr>
        <w:tc>
          <w:tcPr>
            <w:tcW w:w="649" w:type="dxa"/>
            <w:tcBorders>
              <w:right w:val="single" w:color="000000" w:sz="4" w:space="0"/>
            </w:tcBorders>
            <w:noWrap w:val="0"/>
            <w:vAlign w:val="center"/>
          </w:tcPr>
          <w:p w14:paraId="46CE9FBC">
            <w:pPr>
              <w:widowControl/>
              <w:spacing w:line="240" w:lineRule="auto"/>
              <w:ind w:firstLine="0" w:firstLineChars="0"/>
              <w:jc w:val="center"/>
              <w:textAlignment w:val="center"/>
              <w:rPr>
                <w:rFonts w:hint="eastAsia" w:ascii="Times New Roman" w:hAnsi="Times New Roman" w:eastAsia="宋体"/>
                <w:color w:val="auto"/>
                <w:kern w:val="0"/>
                <w:sz w:val="21"/>
                <w:highlight w:val="none"/>
                <w:lang w:eastAsia="zh-CN"/>
              </w:rPr>
            </w:pPr>
            <w:r>
              <w:rPr>
                <w:rFonts w:ascii="Times New Roman" w:hAnsi="Times New Roman"/>
                <w:kern w:val="0"/>
                <w:sz w:val="21"/>
                <w:highlight w:val="none"/>
                <w:lang w:bidi="ar"/>
              </w:rPr>
              <w:t>DA00</w:t>
            </w:r>
            <w:r>
              <w:rPr>
                <w:rFonts w:hint="eastAsia" w:ascii="Times New Roman" w:hAnsi="Times New Roman"/>
                <w:kern w:val="0"/>
                <w:sz w:val="21"/>
                <w:highlight w:val="none"/>
                <w:lang w:val="en-US" w:eastAsia="zh-CN" w:bidi="ar"/>
              </w:rPr>
              <w:t>1</w:t>
            </w:r>
          </w:p>
        </w:tc>
        <w:tc>
          <w:tcPr>
            <w:tcW w:w="269" w:type="dxa"/>
            <w:tcBorders>
              <w:left w:val="single" w:color="000000" w:sz="4" w:space="0"/>
              <w:right w:val="single" w:color="000000" w:sz="4" w:space="0"/>
            </w:tcBorders>
            <w:noWrap w:val="0"/>
            <w:vAlign w:val="center"/>
          </w:tcPr>
          <w:p w14:paraId="631B218A">
            <w:pPr>
              <w:widowControl/>
              <w:spacing w:line="240" w:lineRule="auto"/>
              <w:ind w:firstLine="0" w:firstLineChars="0"/>
              <w:jc w:val="center"/>
              <w:textAlignment w:val="center"/>
              <w:rPr>
                <w:rFonts w:hint="default" w:ascii="Times New Roman" w:hAnsi="Times New Roman" w:eastAsia="宋体"/>
                <w:color w:val="auto"/>
                <w:kern w:val="0"/>
                <w:sz w:val="21"/>
                <w:highlight w:val="none"/>
                <w:lang w:val="en-US" w:eastAsia="zh-CN"/>
              </w:rPr>
            </w:pPr>
            <w:r>
              <w:rPr>
                <w:rFonts w:hint="eastAsia" w:ascii="Times New Roman" w:hAnsi="Times New Roman"/>
                <w:kern w:val="0"/>
                <w:sz w:val="21"/>
                <w:highlight w:val="none"/>
                <w:lang w:val="en-US" w:eastAsia="zh-CN"/>
              </w:rPr>
              <w:t>锅炉排气筒</w:t>
            </w:r>
          </w:p>
        </w:tc>
        <w:tc>
          <w:tcPr>
            <w:tcW w:w="419" w:type="dxa"/>
            <w:tcBorders>
              <w:left w:val="single" w:color="000000" w:sz="4" w:space="0"/>
              <w:right w:val="single" w:color="000000" w:sz="4" w:space="0"/>
            </w:tcBorders>
            <w:noWrap w:val="0"/>
            <w:vAlign w:val="center"/>
          </w:tcPr>
          <w:p w14:paraId="05D10CBB">
            <w:pPr>
              <w:tabs>
                <w:tab w:val="left" w:pos="1517"/>
              </w:tabs>
              <w:spacing w:line="240" w:lineRule="auto"/>
              <w:ind w:firstLine="0" w:firstLineChars="0"/>
              <w:jc w:val="center"/>
              <w:rPr>
                <w:rFonts w:ascii="Times New Roman" w:hAnsi="Times New Roman"/>
                <w:color w:val="auto"/>
                <w:kern w:val="0"/>
                <w:sz w:val="21"/>
                <w:highlight w:val="none"/>
              </w:rPr>
            </w:pPr>
            <w:r>
              <w:rPr>
                <w:rFonts w:hint="eastAsia" w:ascii="Times New Roman" w:hAnsi="Times New Roman"/>
                <w:kern w:val="0"/>
                <w:sz w:val="21"/>
                <w:szCs w:val="21"/>
                <w:highlight w:val="none"/>
                <w:lang w:val="en-US" w:eastAsia="zh-CN"/>
              </w:rPr>
              <w:t>21</w:t>
            </w:r>
          </w:p>
        </w:tc>
        <w:tc>
          <w:tcPr>
            <w:tcW w:w="385" w:type="dxa"/>
            <w:tcBorders>
              <w:left w:val="single" w:color="000000" w:sz="4" w:space="0"/>
              <w:right w:val="single" w:color="000000" w:sz="4" w:space="0"/>
            </w:tcBorders>
            <w:noWrap w:val="0"/>
            <w:vAlign w:val="center"/>
          </w:tcPr>
          <w:p w14:paraId="142053E2">
            <w:pPr>
              <w:tabs>
                <w:tab w:val="left" w:pos="1517"/>
              </w:tabs>
              <w:spacing w:line="240" w:lineRule="auto"/>
              <w:ind w:firstLine="0" w:firstLineChars="0"/>
              <w:jc w:val="center"/>
              <w:rPr>
                <w:rFonts w:ascii="Times New Roman" w:hAnsi="Times New Roman"/>
                <w:color w:val="auto"/>
                <w:kern w:val="0"/>
                <w:sz w:val="21"/>
                <w:highlight w:val="none"/>
              </w:rPr>
            </w:pPr>
            <w:r>
              <w:rPr>
                <w:rFonts w:hint="eastAsia" w:ascii="Times New Roman" w:hAnsi="Times New Roman"/>
                <w:kern w:val="0"/>
                <w:sz w:val="21"/>
                <w:szCs w:val="21"/>
                <w:highlight w:val="none"/>
                <w:lang w:val="en-US" w:eastAsia="zh-CN"/>
              </w:rPr>
              <w:t>14</w:t>
            </w:r>
          </w:p>
        </w:tc>
        <w:tc>
          <w:tcPr>
            <w:tcW w:w="592" w:type="dxa"/>
            <w:tcBorders>
              <w:left w:val="single" w:color="000000" w:sz="4" w:space="0"/>
              <w:right w:val="single" w:color="000000" w:sz="4" w:space="0"/>
            </w:tcBorders>
            <w:noWrap w:val="0"/>
            <w:vAlign w:val="center"/>
          </w:tcPr>
          <w:p w14:paraId="2C7B494C">
            <w:pPr>
              <w:widowControl/>
              <w:spacing w:line="240" w:lineRule="auto"/>
              <w:ind w:firstLine="0" w:firstLineChars="0"/>
              <w:jc w:val="center"/>
              <w:textAlignment w:val="center"/>
              <w:rPr>
                <w:rFonts w:hint="default" w:ascii="Times New Roman" w:hAnsi="Times New Roman" w:eastAsia="宋体"/>
                <w:color w:val="auto"/>
                <w:kern w:val="0"/>
                <w:sz w:val="21"/>
                <w:highlight w:val="none"/>
                <w:lang w:val="en-US" w:eastAsia="zh-CN"/>
              </w:rPr>
            </w:pPr>
            <w:r>
              <w:rPr>
                <w:rFonts w:hint="eastAsia" w:ascii="Times New Roman" w:hAnsi="Times New Roman"/>
                <w:kern w:val="0"/>
                <w:sz w:val="21"/>
                <w:highlight w:val="none"/>
                <w:lang w:val="en-US" w:eastAsia="zh-CN"/>
              </w:rPr>
              <w:t>458</w:t>
            </w:r>
          </w:p>
        </w:tc>
        <w:tc>
          <w:tcPr>
            <w:tcW w:w="367" w:type="dxa"/>
            <w:tcBorders>
              <w:left w:val="single" w:color="000000" w:sz="4" w:space="0"/>
              <w:right w:val="single" w:color="000000" w:sz="4" w:space="0"/>
            </w:tcBorders>
            <w:noWrap w:val="0"/>
            <w:vAlign w:val="center"/>
          </w:tcPr>
          <w:p w14:paraId="08A39667">
            <w:pPr>
              <w:widowControl/>
              <w:spacing w:line="240" w:lineRule="auto"/>
              <w:ind w:firstLine="0" w:firstLineChars="0"/>
              <w:jc w:val="center"/>
              <w:textAlignment w:val="center"/>
              <w:rPr>
                <w:rFonts w:ascii="Times New Roman" w:hAnsi="Times New Roman"/>
                <w:color w:val="auto"/>
                <w:kern w:val="0"/>
                <w:sz w:val="21"/>
                <w:highlight w:val="none"/>
              </w:rPr>
            </w:pPr>
            <w:r>
              <w:rPr>
                <w:rFonts w:hint="eastAsia" w:ascii="Times New Roman" w:hAnsi="Times New Roman"/>
                <w:kern w:val="0"/>
                <w:sz w:val="21"/>
                <w:highlight w:val="none"/>
                <w:lang w:val="en-US" w:eastAsia="zh-CN"/>
              </w:rPr>
              <w:t>60</w:t>
            </w:r>
          </w:p>
        </w:tc>
        <w:tc>
          <w:tcPr>
            <w:tcW w:w="477" w:type="dxa"/>
            <w:tcBorders>
              <w:left w:val="single" w:color="000000" w:sz="4" w:space="0"/>
              <w:right w:val="single" w:color="000000" w:sz="4" w:space="0"/>
            </w:tcBorders>
            <w:noWrap w:val="0"/>
            <w:vAlign w:val="center"/>
          </w:tcPr>
          <w:p w14:paraId="28FC305E">
            <w:pPr>
              <w:widowControl/>
              <w:spacing w:line="240" w:lineRule="auto"/>
              <w:ind w:firstLine="0" w:firstLineChars="0"/>
              <w:jc w:val="center"/>
              <w:textAlignment w:val="center"/>
              <w:rPr>
                <w:rFonts w:hint="eastAsia" w:ascii="Times New Roman" w:hAnsi="Times New Roman" w:eastAsia="宋体"/>
                <w:color w:val="auto"/>
                <w:kern w:val="0"/>
                <w:sz w:val="21"/>
                <w:highlight w:val="none"/>
                <w:lang w:eastAsia="zh-CN"/>
              </w:rPr>
            </w:pPr>
            <w:r>
              <w:rPr>
                <w:rFonts w:hint="eastAsia" w:ascii="Times New Roman" w:hAnsi="Times New Roman"/>
                <w:kern w:val="0"/>
                <w:sz w:val="21"/>
                <w:highlight w:val="none"/>
                <w:lang w:val="en-US" w:eastAsia="zh-CN"/>
              </w:rPr>
              <w:t>4</w:t>
            </w:r>
          </w:p>
        </w:tc>
        <w:tc>
          <w:tcPr>
            <w:tcW w:w="828" w:type="dxa"/>
            <w:tcBorders>
              <w:left w:val="single" w:color="000000" w:sz="4" w:space="0"/>
              <w:right w:val="single" w:color="000000" w:sz="4" w:space="0"/>
            </w:tcBorders>
            <w:noWrap w:val="0"/>
            <w:vAlign w:val="center"/>
          </w:tcPr>
          <w:p w14:paraId="438573D2">
            <w:pPr>
              <w:widowControl/>
              <w:spacing w:line="240" w:lineRule="auto"/>
              <w:ind w:firstLine="0" w:firstLineChars="0"/>
              <w:jc w:val="center"/>
              <w:textAlignment w:val="center"/>
              <w:rPr>
                <w:rFonts w:hint="default" w:ascii="Times New Roman" w:hAnsi="Times New Roman"/>
                <w:color w:val="auto"/>
                <w:kern w:val="0"/>
                <w:sz w:val="21"/>
                <w:highlight w:val="none"/>
                <w:lang w:val="en-US"/>
              </w:rPr>
            </w:pPr>
            <w:r>
              <w:rPr>
                <w:rFonts w:hint="eastAsia" w:ascii="Times New Roman" w:hAnsi="Times New Roman"/>
                <w:kern w:val="0"/>
                <w:sz w:val="21"/>
                <w:highlight w:val="none"/>
                <w:lang w:val="en-US" w:eastAsia="zh-CN"/>
              </w:rPr>
              <w:t>137417.48</w:t>
            </w:r>
          </w:p>
        </w:tc>
        <w:tc>
          <w:tcPr>
            <w:tcW w:w="574" w:type="dxa"/>
            <w:tcBorders>
              <w:left w:val="single" w:color="000000" w:sz="4" w:space="0"/>
              <w:right w:val="single" w:color="000000" w:sz="4" w:space="0"/>
            </w:tcBorders>
            <w:noWrap w:val="0"/>
            <w:vAlign w:val="center"/>
          </w:tcPr>
          <w:p w14:paraId="577F0843">
            <w:pPr>
              <w:widowControl/>
              <w:spacing w:line="240" w:lineRule="auto"/>
              <w:ind w:firstLine="0" w:firstLineChars="0"/>
              <w:jc w:val="center"/>
              <w:textAlignment w:val="center"/>
              <w:rPr>
                <w:rFonts w:ascii="Times New Roman" w:hAnsi="Times New Roman"/>
                <w:color w:val="auto"/>
                <w:kern w:val="0"/>
                <w:sz w:val="21"/>
                <w:highlight w:val="none"/>
              </w:rPr>
            </w:pPr>
            <w:r>
              <w:rPr>
                <w:rFonts w:hint="eastAsia" w:ascii="Times New Roman" w:hAnsi="Times New Roman"/>
                <w:kern w:val="0"/>
                <w:sz w:val="21"/>
                <w:highlight w:val="none"/>
                <w:lang w:val="en-US" w:eastAsia="zh-CN"/>
              </w:rPr>
              <w:t>100</w:t>
            </w:r>
          </w:p>
        </w:tc>
        <w:tc>
          <w:tcPr>
            <w:tcW w:w="472" w:type="dxa"/>
            <w:tcBorders>
              <w:left w:val="single" w:color="000000" w:sz="4" w:space="0"/>
              <w:right w:val="single" w:color="000000" w:sz="4" w:space="0"/>
            </w:tcBorders>
            <w:noWrap w:val="0"/>
            <w:vAlign w:val="center"/>
          </w:tcPr>
          <w:p w14:paraId="52609D01">
            <w:pPr>
              <w:widowControl/>
              <w:spacing w:line="240" w:lineRule="auto"/>
              <w:ind w:firstLine="0" w:firstLineChars="0"/>
              <w:jc w:val="center"/>
              <w:textAlignment w:val="center"/>
              <w:rPr>
                <w:rFonts w:hint="default" w:ascii="Times New Roman" w:hAnsi="Times New Roman"/>
                <w:color w:val="auto"/>
                <w:kern w:val="0"/>
                <w:sz w:val="21"/>
                <w:highlight w:val="none"/>
                <w:lang w:val="en-US"/>
              </w:rPr>
            </w:pPr>
            <w:r>
              <w:rPr>
                <w:rFonts w:hint="eastAsia" w:ascii="Times New Roman" w:hAnsi="Times New Roman"/>
                <w:kern w:val="0"/>
                <w:sz w:val="21"/>
                <w:highlight w:val="none"/>
                <w:lang w:val="en-US" w:eastAsia="zh-CN" w:bidi="ar"/>
              </w:rPr>
              <w:t>5040</w:t>
            </w:r>
          </w:p>
        </w:tc>
        <w:tc>
          <w:tcPr>
            <w:tcW w:w="382" w:type="dxa"/>
            <w:tcBorders>
              <w:left w:val="single" w:color="000000" w:sz="4" w:space="0"/>
              <w:right w:val="single" w:color="000000" w:sz="4" w:space="0"/>
            </w:tcBorders>
            <w:noWrap w:val="0"/>
            <w:vAlign w:val="center"/>
          </w:tcPr>
          <w:p w14:paraId="4E1A7019">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kern w:val="0"/>
                <w:sz w:val="21"/>
                <w:highlight w:val="none"/>
                <w:lang w:bidi="ar"/>
              </w:rPr>
              <w:t>正常</w:t>
            </w:r>
          </w:p>
        </w:tc>
        <w:tc>
          <w:tcPr>
            <w:tcW w:w="936" w:type="dxa"/>
            <w:tcBorders>
              <w:left w:val="single" w:color="000000" w:sz="4" w:space="0"/>
              <w:right w:val="single" w:color="000000" w:sz="4" w:space="0"/>
            </w:tcBorders>
            <w:noWrap w:val="0"/>
            <w:vAlign w:val="center"/>
          </w:tcPr>
          <w:p w14:paraId="5F6E64BD">
            <w:pPr>
              <w:widowControl/>
              <w:spacing w:line="240" w:lineRule="auto"/>
              <w:ind w:firstLine="0" w:firstLineChars="0"/>
              <w:jc w:val="center"/>
              <w:textAlignment w:val="center"/>
              <w:rPr>
                <w:rFonts w:hint="default" w:ascii="Times New Roman" w:hAnsi="Times New Roman" w:eastAsia="宋体"/>
                <w:color w:val="auto"/>
                <w:kern w:val="0"/>
                <w:sz w:val="21"/>
                <w:highlight w:val="none"/>
                <w:lang w:val="en-US" w:eastAsia="zh-CN"/>
              </w:rPr>
            </w:pPr>
            <w:r>
              <w:rPr>
                <w:rFonts w:hint="eastAsia" w:ascii="Times New Roman" w:hAnsi="Times New Roman"/>
                <w:sz w:val="21"/>
                <w:szCs w:val="21"/>
                <w:highlight w:val="none"/>
                <w:lang w:val="en-US" w:eastAsia="zh-CN"/>
              </w:rPr>
              <w:t>4.116</w:t>
            </w:r>
          </w:p>
        </w:tc>
        <w:tc>
          <w:tcPr>
            <w:tcW w:w="968" w:type="dxa"/>
            <w:tcBorders>
              <w:left w:val="single" w:color="000000" w:sz="4" w:space="0"/>
              <w:right w:val="single" w:color="000000" w:sz="4" w:space="0"/>
            </w:tcBorders>
            <w:noWrap w:val="0"/>
            <w:vAlign w:val="center"/>
          </w:tcPr>
          <w:p w14:paraId="646D3E9E">
            <w:pPr>
              <w:widowControl/>
              <w:spacing w:line="240" w:lineRule="auto"/>
              <w:ind w:firstLine="0" w:firstLineChars="0"/>
              <w:jc w:val="center"/>
              <w:textAlignment w:val="center"/>
              <w:rPr>
                <w:rFonts w:hint="default" w:ascii="Times New Roman" w:hAnsi="Times New Roman" w:eastAsia="宋体"/>
                <w:color w:val="auto"/>
                <w:kern w:val="0"/>
                <w:sz w:val="21"/>
                <w:highlight w:val="none"/>
                <w:lang w:val="en-US" w:eastAsia="zh-CN"/>
              </w:rPr>
            </w:pPr>
            <w:r>
              <w:rPr>
                <w:rFonts w:hint="eastAsia" w:ascii="Times New Roman" w:hAnsi="Times New Roman"/>
                <w:sz w:val="21"/>
                <w:szCs w:val="21"/>
                <w:highlight w:val="none"/>
                <w:lang w:val="en-US" w:eastAsia="zh-CN"/>
              </w:rPr>
              <w:t>11.033</w:t>
            </w:r>
          </w:p>
        </w:tc>
        <w:tc>
          <w:tcPr>
            <w:tcW w:w="1018" w:type="dxa"/>
            <w:tcBorders>
              <w:left w:val="single" w:color="000000" w:sz="4" w:space="0"/>
              <w:right w:val="nil"/>
            </w:tcBorders>
            <w:noWrap w:val="0"/>
            <w:vAlign w:val="center"/>
          </w:tcPr>
          <w:p w14:paraId="7093815D">
            <w:pPr>
              <w:widowControl/>
              <w:spacing w:line="240" w:lineRule="auto"/>
              <w:ind w:firstLine="0" w:firstLineChars="0"/>
              <w:jc w:val="center"/>
              <w:textAlignment w:val="center"/>
              <w:rPr>
                <w:rFonts w:hint="default" w:ascii="Times New Roman" w:hAnsi="Times New Roman" w:eastAsia="宋体"/>
                <w:color w:val="auto"/>
                <w:kern w:val="0"/>
                <w:sz w:val="21"/>
                <w:highlight w:val="none"/>
                <w:lang w:val="en-US" w:eastAsia="zh-CN"/>
              </w:rPr>
            </w:pPr>
            <w:r>
              <w:rPr>
                <w:rFonts w:hint="eastAsia" w:ascii="Times New Roman" w:hAnsi="Times New Roman"/>
                <w:sz w:val="21"/>
                <w:szCs w:val="21"/>
                <w:highlight w:val="none"/>
                <w:lang w:val="en-US" w:eastAsia="zh-CN"/>
              </w:rPr>
              <w:t>30.94</w:t>
            </w:r>
          </w:p>
        </w:tc>
      </w:tr>
    </w:tbl>
    <w:p w14:paraId="636A61B3">
      <w:pPr>
        <w:bidi w:val="0"/>
        <w:rPr>
          <w:rFonts w:hint="eastAsia"/>
          <w:color w:val="auto"/>
          <w:highlight w:val="none"/>
          <w:lang w:val="en-US" w:eastAsia="zh-CN"/>
        </w:rPr>
      </w:pPr>
      <w:r>
        <w:rPr>
          <w:rFonts w:hint="eastAsia"/>
          <w:color w:val="auto"/>
          <w:highlight w:val="none"/>
          <w:lang w:val="en-US" w:eastAsia="zh-CN"/>
        </w:rPr>
        <w:t>根据现场调查，本项目将为进行超低排放改造后绥芬河市新区供热有限责任公司锅炉作为本项目削减替代源。</w:t>
      </w:r>
    </w:p>
    <w:p w14:paraId="539C1249">
      <w:pPr>
        <w:rPr>
          <w:rFonts w:hint="default"/>
          <w:color w:val="auto"/>
          <w:highlight w:val="none"/>
          <w:lang w:val="en-US" w:eastAsia="zh-CN"/>
        </w:rPr>
      </w:pPr>
      <w:r>
        <w:rPr>
          <w:rFonts w:hint="eastAsia"/>
          <w:color w:val="auto"/>
          <w:highlight w:val="none"/>
          <w:lang w:val="en-US" w:eastAsia="zh-CN"/>
        </w:rPr>
        <w:t>三、区域拟建、在建污染源调查</w:t>
      </w:r>
    </w:p>
    <w:p w14:paraId="10B93868">
      <w:pPr>
        <w:bidi w:val="0"/>
        <w:rPr>
          <w:rFonts w:hint="default"/>
          <w:highlight w:val="none"/>
          <w:lang w:val="en-US" w:eastAsia="zh-CN"/>
        </w:rPr>
      </w:pPr>
      <w:r>
        <w:rPr>
          <w:rFonts w:hint="eastAsia"/>
          <w:color w:val="auto"/>
          <w:highlight w:val="none"/>
          <w:lang w:val="en-US" w:eastAsia="zh-CN"/>
        </w:rPr>
        <w:t>根据《建设项目环境影响评价技术导则总纲》（HJ2.1-2016），选择建设项目常规污染因子和特征污染因子、影响评价区环境质量的主要污染因子和特殊污染因子作为主要调查对象，注意不同污染源的分类调查。本项目周边无已批复的拟建、在建项目</w:t>
      </w:r>
      <w:r>
        <w:rPr>
          <w:rFonts w:hint="eastAsia"/>
          <w:color w:val="auto"/>
          <w:highlight w:val="none"/>
          <w:lang w:val="en-US" w:eastAsia="zh-CN"/>
        </w:rPr>
        <w:t>。</w:t>
      </w:r>
    </w:p>
    <w:p w14:paraId="0821B861">
      <w:pPr>
        <w:bidi w:val="0"/>
        <w:rPr>
          <w:rFonts w:hint="default"/>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73AE321B">
      <w:pPr>
        <w:pStyle w:val="3"/>
        <w:bidi w:val="0"/>
        <w:rPr>
          <w:rFonts w:hint="default"/>
          <w:highlight w:val="none"/>
          <w:lang w:val="en-US" w:eastAsia="zh-CN"/>
        </w:rPr>
      </w:pPr>
      <w:bookmarkStart w:id="120" w:name="_Toc17019"/>
      <w:r>
        <w:rPr>
          <w:rFonts w:hint="eastAsia"/>
          <w:highlight w:val="none"/>
          <w:lang w:val="en-US" w:eastAsia="zh-CN"/>
        </w:rPr>
        <w:t>5环境影响预测与评价</w:t>
      </w:r>
      <w:bookmarkEnd w:id="120"/>
    </w:p>
    <w:p w14:paraId="396CD6BE">
      <w:pPr>
        <w:pStyle w:val="4"/>
        <w:bidi w:val="0"/>
        <w:ind w:left="0" w:leftChars="0" w:firstLine="0" w:firstLineChars="0"/>
        <w:rPr>
          <w:rFonts w:hint="default"/>
          <w:highlight w:val="none"/>
          <w:lang w:val="en-US" w:eastAsia="zh-CN"/>
        </w:rPr>
      </w:pPr>
      <w:bookmarkStart w:id="121" w:name="_Toc27580"/>
      <w:r>
        <w:rPr>
          <w:rFonts w:hint="default" w:ascii="Times New Roman" w:hAnsi="Times New Roman" w:cs="Times New Roman"/>
          <w:highlight w:val="none"/>
          <w:lang w:val="en-US" w:eastAsia="zh-CN"/>
        </w:rPr>
        <w:t>5.1</w:t>
      </w:r>
      <w:r>
        <w:rPr>
          <w:rFonts w:hint="eastAsia"/>
          <w:highlight w:val="none"/>
          <w:lang w:val="en-US" w:eastAsia="zh-CN"/>
        </w:rPr>
        <w:t>施工期环境影响分析</w:t>
      </w:r>
      <w:bookmarkEnd w:id="121"/>
    </w:p>
    <w:p w14:paraId="5909FBA1">
      <w:pPr>
        <w:pStyle w:val="5"/>
        <w:bidi w:val="0"/>
        <w:ind w:left="0" w:leftChars="0" w:firstLine="0" w:firstLineChars="0"/>
        <w:rPr>
          <w:rFonts w:hint="default" w:ascii="Times New Roman" w:hAnsi="Times New Roman" w:cs="Times New Roman"/>
          <w:sz w:val="30"/>
          <w:szCs w:val="30"/>
          <w:highlight w:val="none"/>
          <w:lang w:val="en-US" w:eastAsia="zh-CN"/>
        </w:rPr>
      </w:pPr>
      <w:bookmarkStart w:id="122" w:name="_Toc2457"/>
      <w:r>
        <w:rPr>
          <w:rFonts w:hint="default" w:ascii="Times New Roman" w:hAnsi="Times New Roman" w:cs="Times New Roman"/>
          <w:sz w:val="30"/>
          <w:szCs w:val="30"/>
          <w:highlight w:val="none"/>
          <w:lang w:val="en-US" w:eastAsia="zh-CN"/>
        </w:rPr>
        <w:t>5.1.1</w:t>
      </w:r>
      <w:r>
        <w:rPr>
          <w:rFonts w:hint="eastAsia" w:ascii="Times New Roman" w:hAnsi="Times New Roman" w:cs="Times New Roman"/>
          <w:sz w:val="30"/>
          <w:szCs w:val="30"/>
          <w:highlight w:val="none"/>
          <w:lang w:val="en-US" w:eastAsia="zh-CN"/>
        </w:rPr>
        <w:t>水环境影响分析</w:t>
      </w:r>
      <w:bookmarkEnd w:id="122"/>
    </w:p>
    <w:p w14:paraId="48F20D17">
      <w:pPr>
        <w:ind w:firstLine="480"/>
        <w:rPr>
          <w:rFonts w:hint="eastAsia" w:ascii="Times New Roman" w:hAnsi="Times New Roman" w:eastAsia="宋体" w:cs="Times New Roman"/>
          <w:highlight w:val="none"/>
          <w:lang w:val="en-US" w:eastAsia="zh-CN"/>
        </w:rPr>
      </w:pPr>
      <w:r>
        <w:rPr>
          <w:rFonts w:ascii="Times New Roman" w:hAnsi="Times New Roman" w:eastAsia="宋体" w:cs="Times New Roman"/>
          <w:highlight w:val="none"/>
        </w:rPr>
        <w:t>施工期废水主要是施工人员生活污水，如果不进行收集无组织排放将对地表径流及土壤环境产生不利影响。生活污水需集中收集。</w:t>
      </w:r>
    </w:p>
    <w:p w14:paraId="7BF5B4BA">
      <w:pPr>
        <w:ind w:firstLine="480"/>
        <w:rPr>
          <w:rFonts w:hint="eastAsia" w:ascii="Times New Roman" w:hAnsi="Times New Roman" w:cs="Times New Roman"/>
          <w:color w:val="auto"/>
          <w:sz w:val="21"/>
          <w:szCs w:val="21"/>
          <w:highlight w:val="none"/>
          <w:lang w:val="en-US" w:eastAsia="zh-CN"/>
        </w:rPr>
      </w:pPr>
      <w:r>
        <w:rPr>
          <w:rFonts w:hint="eastAsia" w:ascii="Times New Roman" w:hAnsi="Times New Roman" w:eastAsia="宋体" w:cs="Times New Roman"/>
          <w:highlight w:val="none"/>
          <w:lang w:val="en-US" w:eastAsia="zh-CN"/>
        </w:rPr>
        <w:t>生活污水依托厂区现有排入市政管网，经污水管网排入绥芬河中环污水处理有限公司，处理达到《城镇污水处理厂污染物排放标准》(GB18918—2002)一级B标准后最终汇入小绥芬河。</w:t>
      </w:r>
    </w:p>
    <w:p w14:paraId="098C5ED6">
      <w:pPr>
        <w:pStyle w:val="5"/>
        <w:bidi w:val="0"/>
        <w:ind w:left="0" w:leftChars="0" w:firstLine="0" w:firstLineChars="0"/>
        <w:rPr>
          <w:rFonts w:hint="eastAsia"/>
          <w:sz w:val="30"/>
          <w:szCs w:val="30"/>
          <w:highlight w:val="none"/>
          <w:lang w:val="en-US" w:eastAsia="zh-CN"/>
        </w:rPr>
      </w:pPr>
      <w:bookmarkStart w:id="123" w:name="_Toc28694"/>
      <w:r>
        <w:rPr>
          <w:rFonts w:hint="default" w:ascii="Times New Roman" w:hAnsi="Times New Roman" w:cs="Times New Roman"/>
          <w:sz w:val="30"/>
          <w:szCs w:val="30"/>
          <w:highlight w:val="none"/>
          <w:lang w:val="en-US" w:eastAsia="zh-CN"/>
        </w:rPr>
        <w:t>5.1.2</w:t>
      </w:r>
      <w:r>
        <w:rPr>
          <w:rFonts w:hint="eastAsia"/>
          <w:sz w:val="30"/>
          <w:szCs w:val="30"/>
          <w:highlight w:val="none"/>
          <w:lang w:val="en-US" w:eastAsia="zh-CN"/>
        </w:rPr>
        <w:t>环境空气影响分析</w:t>
      </w:r>
      <w:bookmarkEnd w:id="123"/>
    </w:p>
    <w:p w14:paraId="78442977">
      <w:pPr>
        <w:ind w:firstLine="480"/>
        <w:rPr>
          <w:rFonts w:ascii="Times New Roman" w:hAnsi="Times New Roman"/>
          <w:highlight w:val="none"/>
        </w:rPr>
      </w:pPr>
      <w:r>
        <w:rPr>
          <w:rFonts w:ascii="Times New Roman" w:hAnsi="Times New Roman"/>
          <w:highlight w:val="none"/>
        </w:rPr>
        <w:t>本项目施工期扬尘主要来自厂区土方挖掘扬尘及现场堆放扬尘；建筑材料（白灰、水泥、沙子、石子、砖等）的现场搬运及堆放扬尘；施工现场道路扬尘。其扬尘量的大小与施工现场条件、管理水平、机械化程度及施工季节、土质及天气等诸多因素有关。本次评价采用类比法对施工期扬尘进行分析，类比资料见表5</w:t>
      </w:r>
      <w:r>
        <w:rPr>
          <w:rFonts w:hint="eastAsia" w:ascii="Times New Roman" w:hAnsi="Times New Roman"/>
          <w:highlight w:val="none"/>
          <w:lang w:val="en-US" w:eastAsia="zh-CN"/>
        </w:rPr>
        <w:t>.</w:t>
      </w:r>
      <w:r>
        <w:rPr>
          <w:rFonts w:ascii="Times New Roman" w:hAnsi="Times New Roman"/>
          <w:highlight w:val="none"/>
        </w:rPr>
        <w:t>1-1。</w:t>
      </w:r>
    </w:p>
    <w:p w14:paraId="583AF74C">
      <w:pPr>
        <w:pStyle w:val="21"/>
        <w:ind w:left="480" w:leftChars="200" w:firstLine="0" w:firstLineChars="0"/>
        <w:jc w:val="center"/>
        <w:rPr>
          <w:rFonts w:ascii="Times New Roman" w:hAnsi="Times New Roman"/>
          <w:highlight w:val="none"/>
        </w:rPr>
      </w:pPr>
      <w:r>
        <w:rPr>
          <w:rFonts w:hint="eastAsia" w:ascii="黑体" w:hAnsi="黑体" w:eastAsia="黑体" w:cs="黑体"/>
          <w:highlight w:val="none"/>
        </w:rPr>
        <w:t>表</w:t>
      </w:r>
      <w:r>
        <w:rPr>
          <w:rFonts w:hint="default" w:ascii="Times New Roman" w:hAnsi="Times New Roman" w:eastAsia="黑体" w:cs="Times New Roman"/>
          <w:highlight w:val="none"/>
        </w:rPr>
        <w:t>5.1-1</w:t>
      </w:r>
      <w:r>
        <w:rPr>
          <w:rFonts w:hint="eastAsia" w:ascii="黑体" w:hAnsi="黑体" w:eastAsia="黑体" w:cs="黑体"/>
          <w:highlight w:val="none"/>
        </w:rPr>
        <w:t xml:space="preserve">  建筑施工现场扬尘（TSP）对环境的污染状况（mg/m</w:t>
      </w:r>
      <w:r>
        <w:rPr>
          <w:rFonts w:hint="eastAsia" w:ascii="黑体" w:hAnsi="黑体" w:eastAsia="黑体" w:cs="黑体"/>
          <w:highlight w:val="none"/>
          <w:vertAlign w:val="superscript"/>
        </w:rPr>
        <w:t>3</w:t>
      </w:r>
      <w:r>
        <w:rPr>
          <w:rFonts w:hint="eastAsia" w:ascii="黑体" w:hAnsi="黑体" w:eastAsia="黑体" w:cs="黑体"/>
          <w:highlight w:val="none"/>
        </w:rPr>
        <w:t>）</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436"/>
        <w:gridCol w:w="792"/>
        <w:gridCol w:w="792"/>
        <w:gridCol w:w="793"/>
        <w:gridCol w:w="793"/>
        <w:gridCol w:w="793"/>
        <w:gridCol w:w="801"/>
        <w:gridCol w:w="1185"/>
        <w:gridCol w:w="1137"/>
      </w:tblGrid>
      <w:tr w14:paraId="52EC62E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97" w:hRule="atLeast"/>
          <w:jc w:val="center"/>
        </w:trPr>
        <w:tc>
          <w:tcPr>
            <w:tcW w:w="843" w:type="pct"/>
            <w:vMerge w:val="restart"/>
            <w:tcBorders>
              <w:tl2br w:val="nil"/>
              <w:tr2bl w:val="nil"/>
            </w:tcBorders>
            <w:noWrap w:val="0"/>
            <w:vAlign w:val="center"/>
          </w:tcPr>
          <w:p w14:paraId="62ECBCD2">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防尘措施</w:t>
            </w:r>
          </w:p>
        </w:tc>
        <w:tc>
          <w:tcPr>
            <w:tcW w:w="2795" w:type="pct"/>
            <w:gridSpan w:val="6"/>
            <w:tcBorders>
              <w:tl2br w:val="nil"/>
              <w:tr2bl w:val="nil"/>
            </w:tcBorders>
            <w:noWrap w:val="0"/>
            <w:vAlign w:val="center"/>
          </w:tcPr>
          <w:p w14:paraId="4A0895F4">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工地下风向距离</w:t>
            </w:r>
          </w:p>
        </w:tc>
        <w:tc>
          <w:tcPr>
            <w:tcW w:w="695" w:type="pct"/>
            <w:vMerge w:val="restart"/>
            <w:tcBorders>
              <w:tl2br w:val="nil"/>
              <w:tr2bl w:val="nil"/>
            </w:tcBorders>
            <w:noWrap w:val="0"/>
            <w:vAlign w:val="center"/>
          </w:tcPr>
          <w:p w14:paraId="6C53D1AC">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工地</w:t>
            </w:r>
          </w:p>
          <w:p w14:paraId="508541AD">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上风向</w:t>
            </w:r>
          </w:p>
          <w:p w14:paraId="1713574E">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（对照点）</w:t>
            </w:r>
          </w:p>
        </w:tc>
        <w:tc>
          <w:tcPr>
            <w:tcW w:w="667" w:type="pct"/>
            <w:vMerge w:val="restart"/>
            <w:tcBorders>
              <w:tl2br w:val="nil"/>
              <w:tr2bl w:val="nil"/>
            </w:tcBorders>
            <w:noWrap w:val="0"/>
            <w:vAlign w:val="center"/>
          </w:tcPr>
          <w:p w14:paraId="5EE4CBCE">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无组织排放监控浓度限值</w:t>
            </w:r>
          </w:p>
        </w:tc>
      </w:tr>
      <w:tr w14:paraId="5A8C24F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97" w:hRule="atLeast"/>
          <w:jc w:val="center"/>
        </w:trPr>
        <w:tc>
          <w:tcPr>
            <w:tcW w:w="843" w:type="pct"/>
            <w:vMerge w:val="continue"/>
            <w:tcBorders>
              <w:tl2br w:val="nil"/>
              <w:tr2bl w:val="nil"/>
            </w:tcBorders>
            <w:noWrap w:val="0"/>
            <w:vAlign w:val="center"/>
          </w:tcPr>
          <w:p w14:paraId="68179328">
            <w:pPr>
              <w:spacing w:line="240" w:lineRule="auto"/>
              <w:ind w:firstLine="0" w:firstLineChars="0"/>
              <w:rPr>
                <w:rFonts w:ascii="Times New Roman" w:hAnsi="Times New Roman"/>
                <w:sz w:val="21"/>
                <w:highlight w:val="none"/>
              </w:rPr>
            </w:pPr>
          </w:p>
        </w:tc>
        <w:tc>
          <w:tcPr>
            <w:tcW w:w="465" w:type="pct"/>
            <w:tcBorders>
              <w:tl2br w:val="nil"/>
              <w:tr2bl w:val="nil"/>
            </w:tcBorders>
            <w:noWrap w:val="0"/>
            <w:vAlign w:val="center"/>
          </w:tcPr>
          <w:p w14:paraId="05CBB2E4">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20m</w:t>
            </w:r>
          </w:p>
        </w:tc>
        <w:tc>
          <w:tcPr>
            <w:tcW w:w="465" w:type="pct"/>
            <w:tcBorders>
              <w:tl2br w:val="nil"/>
              <w:tr2bl w:val="nil"/>
            </w:tcBorders>
            <w:noWrap w:val="0"/>
            <w:vAlign w:val="center"/>
          </w:tcPr>
          <w:p w14:paraId="7B878734">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50m</w:t>
            </w:r>
          </w:p>
        </w:tc>
        <w:tc>
          <w:tcPr>
            <w:tcW w:w="465" w:type="pct"/>
            <w:tcBorders>
              <w:tl2br w:val="nil"/>
              <w:tr2bl w:val="nil"/>
            </w:tcBorders>
            <w:noWrap w:val="0"/>
            <w:vAlign w:val="center"/>
          </w:tcPr>
          <w:p w14:paraId="364D8C86">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100m</w:t>
            </w:r>
          </w:p>
        </w:tc>
        <w:tc>
          <w:tcPr>
            <w:tcW w:w="465" w:type="pct"/>
            <w:tcBorders>
              <w:tl2br w:val="nil"/>
              <w:tr2bl w:val="nil"/>
            </w:tcBorders>
            <w:noWrap w:val="0"/>
            <w:vAlign w:val="center"/>
          </w:tcPr>
          <w:p w14:paraId="60766974">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150m</w:t>
            </w:r>
          </w:p>
        </w:tc>
        <w:tc>
          <w:tcPr>
            <w:tcW w:w="465" w:type="pct"/>
            <w:tcBorders>
              <w:tl2br w:val="nil"/>
              <w:tr2bl w:val="nil"/>
            </w:tcBorders>
            <w:noWrap w:val="0"/>
            <w:vAlign w:val="center"/>
          </w:tcPr>
          <w:p w14:paraId="68487CA5">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200m</w:t>
            </w:r>
          </w:p>
        </w:tc>
        <w:tc>
          <w:tcPr>
            <w:tcW w:w="470" w:type="pct"/>
            <w:tcBorders>
              <w:tl2br w:val="nil"/>
              <w:tr2bl w:val="nil"/>
            </w:tcBorders>
            <w:noWrap w:val="0"/>
            <w:vAlign w:val="center"/>
          </w:tcPr>
          <w:p w14:paraId="52943723">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250m</w:t>
            </w:r>
          </w:p>
        </w:tc>
        <w:tc>
          <w:tcPr>
            <w:tcW w:w="695" w:type="pct"/>
            <w:vMerge w:val="continue"/>
            <w:tcBorders>
              <w:tl2br w:val="nil"/>
              <w:tr2bl w:val="nil"/>
            </w:tcBorders>
            <w:noWrap w:val="0"/>
            <w:vAlign w:val="center"/>
          </w:tcPr>
          <w:p w14:paraId="6E8FFEA8">
            <w:pPr>
              <w:spacing w:line="240" w:lineRule="auto"/>
              <w:ind w:firstLine="0" w:firstLineChars="0"/>
              <w:rPr>
                <w:rFonts w:ascii="Times New Roman" w:hAnsi="Times New Roman"/>
                <w:sz w:val="21"/>
                <w:highlight w:val="none"/>
              </w:rPr>
            </w:pPr>
          </w:p>
        </w:tc>
        <w:tc>
          <w:tcPr>
            <w:tcW w:w="667" w:type="pct"/>
            <w:vMerge w:val="continue"/>
            <w:tcBorders>
              <w:tl2br w:val="nil"/>
              <w:tr2bl w:val="nil"/>
            </w:tcBorders>
            <w:noWrap w:val="0"/>
            <w:vAlign w:val="center"/>
          </w:tcPr>
          <w:p w14:paraId="7DD1D1B6">
            <w:pPr>
              <w:spacing w:line="240" w:lineRule="auto"/>
              <w:ind w:firstLine="0" w:firstLineChars="0"/>
              <w:rPr>
                <w:rFonts w:ascii="Times New Roman" w:hAnsi="Times New Roman"/>
                <w:sz w:val="21"/>
                <w:highlight w:val="none"/>
              </w:rPr>
            </w:pPr>
          </w:p>
        </w:tc>
      </w:tr>
      <w:tr w14:paraId="35F7986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97" w:hRule="atLeast"/>
          <w:jc w:val="center"/>
        </w:trPr>
        <w:tc>
          <w:tcPr>
            <w:tcW w:w="843" w:type="pct"/>
            <w:tcBorders>
              <w:tl2br w:val="nil"/>
              <w:tr2bl w:val="nil"/>
            </w:tcBorders>
            <w:noWrap w:val="0"/>
            <w:vAlign w:val="center"/>
          </w:tcPr>
          <w:p w14:paraId="5E49AC5B">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无防护措施</w:t>
            </w:r>
          </w:p>
        </w:tc>
        <w:tc>
          <w:tcPr>
            <w:tcW w:w="465" w:type="pct"/>
            <w:tcBorders>
              <w:tl2br w:val="nil"/>
              <w:tr2bl w:val="nil"/>
            </w:tcBorders>
            <w:noWrap w:val="0"/>
            <w:vAlign w:val="center"/>
          </w:tcPr>
          <w:p w14:paraId="6A92426D">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1.303</w:t>
            </w:r>
          </w:p>
        </w:tc>
        <w:tc>
          <w:tcPr>
            <w:tcW w:w="465" w:type="pct"/>
            <w:tcBorders>
              <w:tl2br w:val="nil"/>
              <w:tr2bl w:val="nil"/>
            </w:tcBorders>
            <w:noWrap w:val="0"/>
            <w:vAlign w:val="center"/>
          </w:tcPr>
          <w:p w14:paraId="5BE39D90">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0.722</w:t>
            </w:r>
          </w:p>
        </w:tc>
        <w:tc>
          <w:tcPr>
            <w:tcW w:w="465" w:type="pct"/>
            <w:tcBorders>
              <w:tl2br w:val="nil"/>
              <w:tr2bl w:val="nil"/>
            </w:tcBorders>
            <w:noWrap w:val="0"/>
            <w:vAlign w:val="center"/>
          </w:tcPr>
          <w:p w14:paraId="02D3B07D">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0.402</w:t>
            </w:r>
          </w:p>
        </w:tc>
        <w:tc>
          <w:tcPr>
            <w:tcW w:w="465" w:type="pct"/>
            <w:tcBorders>
              <w:tl2br w:val="nil"/>
              <w:tr2bl w:val="nil"/>
            </w:tcBorders>
            <w:noWrap w:val="0"/>
            <w:vAlign w:val="center"/>
          </w:tcPr>
          <w:p w14:paraId="31E9C48D">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0.311</w:t>
            </w:r>
          </w:p>
        </w:tc>
        <w:tc>
          <w:tcPr>
            <w:tcW w:w="465" w:type="pct"/>
            <w:tcBorders>
              <w:tl2br w:val="nil"/>
              <w:tr2bl w:val="nil"/>
            </w:tcBorders>
            <w:noWrap w:val="0"/>
            <w:vAlign w:val="center"/>
          </w:tcPr>
          <w:p w14:paraId="3C6F3AFA">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0.270</w:t>
            </w:r>
          </w:p>
        </w:tc>
        <w:tc>
          <w:tcPr>
            <w:tcW w:w="470" w:type="pct"/>
            <w:tcBorders>
              <w:tl2br w:val="nil"/>
              <w:tr2bl w:val="nil"/>
            </w:tcBorders>
            <w:noWrap w:val="0"/>
            <w:vAlign w:val="center"/>
          </w:tcPr>
          <w:p w14:paraId="7C850F05">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0.210</w:t>
            </w:r>
          </w:p>
        </w:tc>
        <w:tc>
          <w:tcPr>
            <w:tcW w:w="695" w:type="pct"/>
            <w:vMerge w:val="restart"/>
            <w:tcBorders>
              <w:tl2br w:val="nil"/>
              <w:tr2bl w:val="nil"/>
            </w:tcBorders>
            <w:noWrap w:val="0"/>
            <w:vAlign w:val="center"/>
          </w:tcPr>
          <w:p w14:paraId="2C10CDAF">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0.204</w:t>
            </w:r>
          </w:p>
        </w:tc>
        <w:tc>
          <w:tcPr>
            <w:tcW w:w="667" w:type="pct"/>
            <w:vMerge w:val="restart"/>
            <w:tcBorders>
              <w:tl2br w:val="nil"/>
              <w:tr2bl w:val="nil"/>
            </w:tcBorders>
            <w:noWrap w:val="0"/>
            <w:vAlign w:val="center"/>
          </w:tcPr>
          <w:p w14:paraId="14FA272B">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1.0</w:t>
            </w:r>
          </w:p>
        </w:tc>
      </w:tr>
      <w:tr w14:paraId="29C1434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97" w:hRule="atLeast"/>
          <w:jc w:val="center"/>
        </w:trPr>
        <w:tc>
          <w:tcPr>
            <w:tcW w:w="843" w:type="pct"/>
            <w:tcBorders>
              <w:tl2br w:val="nil"/>
              <w:tr2bl w:val="nil"/>
            </w:tcBorders>
            <w:noWrap w:val="0"/>
            <w:vAlign w:val="center"/>
          </w:tcPr>
          <w:p w14:paraId="27DA12CB">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有（围金属板）</w:t>
            </w:r>
          </w:p>
        </w:tc>
        <w:tc>
          <w:tcPr>
            <w:tcW w:w="465" w:type="pct"/>
            <w:tcBorders>
              <w:tl2br w:val="nil"/>
              <w:tr2bl w:val="nil"/>
            </w:tcBorders>
            <w:noWrap w:val="0"/>
            <w:vAlign w:val="center"/>
          </w:tcPr>
          <w:p w14:paraId="00746AFD">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0.824</w:t>
            </w:r>
          </w:p>
        </w:tc>
        <w:tc>
          <w:tcPr>
            <w:tcW w:w="465" w:type="pct"/>
            <w:tcBorders>
              <w:tl2br w:val="nil"/>
              <w:tr2bl w:val="nil"/>
            </w:tcBorders>
            <w:noWrap w:val="0"/>
            <w:vAlign w:val="center"/>
          </w:tcPr>
          <w:p w14:paraId="31140FFE">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0.426</w:t>
            </w:r>
          </w:p>
        </w:tc>
        <w:tc>
          <w:tcPr>
            <w:tcW w:w="465" w:type="pct"/>
            <w:tcBorders>
              <w:tl2br w:val="nil"/>
              <w:tr2bl w:val="nil"/>
            </w:tcBorders>
            <w:noWrap w:val="0"/>
            <w:vAlign w:val="center"/>
          </w:tcPr>
          <w:p w14:paraId="2B1892D5">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0.235</w:t>
            </w:r>
          </w:p>
        </w:tc>
        <w:tc>
          <w:tcPr>
            <w:tcW w:w="465" w:type="pct"/>
            <w:tcBorders>
              <w:tl2br w:val="nil"/>
              <w:tr2bl w:val="nil"/>
            </w:tcBorders>
            <w:noWrap w:val="0"/>
            <w:vAlign w:val="center"/>
          </w:tcPr>
          <w:p w14:paraId="3DBAA473">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0.221</w:t>
            </w:r>
          </w:p>
        </w:tc>
        <w:tc>
          <w:tcPr>
            <w:tcW w:w="465" w:type="pct"/>
            <w:tcBorders>
              <w:tl2br w:val="nil"/>
              <w:tr2bl w:val="nil"/>
            </w:tcBorders>
            <w:noWrap w:val="0"/>
            <w:vAlign w:val="center"/>
          </w:tcPr>
          <w:p w14:paraId="2D947F94">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0.215</w:t>
            </w:r>
          </w:p>
        </w:tc>
        <w:tc>
          <w:tcPr>
            <w:tcW w:w="470" w:type="pct"/>
            <w:tcBorders>
              <w:tl2br w:val="nil"/>
              <w:tr2bl w:val="nil"/>
            </w:tcBorders>
            <w:noWrap w:val="0"/>
            <w:vAlign w:val="center"/>
          </w:tcPr>
          <w:p w14:paraId="44081D56">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0.206</w:t>
            </w:r>
          </w:p>
        </w:tc>
        <w:tc>
          <w:tcPr>
            <w:tcW w:w="695" w:type="pct"/>
            <w:vMerge w:val="continue"/>
            <w:tcBorders>
              <w:tl2br w:val="nil"/>
              <w:tr2bl w:val="nil"/>
            </w:tcBorders>
            <w:noWrap w:val="0"/>
            <w:vAlign w:val="center"/>
          </w:tcPr>
          <w:p w14:paraId="3FFDFF90">
            <w:pPr>
              <w:spacing w:line="240" w:lineRule="auto"/>
              <w:ind w:firstLine="0" w:firstLineChars="0"/>
              <w:rPr>
                <w:rFonts w:ascii="Times New Roman" w:hAnsi="Times New Roman"/>
                <w:sz w:val="21"/>
                <w:highlight w:val="none"/>
              </w:rPr>
            </w:pPr>
          </w:p>
        </w:tc>
        <w:tc>
          <w:tcPr>
            <w:tcW w:w="667" w:type="pct"/>
            <w:vMerge w:val="continue"/>
            <w:tcBorders>
              <w:tl2br w:val="nil"/>
              <w:tr2bl w:val="nil"/>
            </w:tcBorders>
            <w:noWrap w:val="0"/>
            <w:vAlign w:val="center"/>
          </w:tcPr>
          <w:p w14:paraId="15A0D1D4">
            <w:pPr>
              <w:spacing w:line="240" w:lineRule="auto"/>
              <w:ind w:firstLine="0" w:firstLineChars="0"/>
              <w:rPr>
                <w:rFonts w:ascii="Times New Roman" w:hAnsi="Times New Roman"/>
                <w:sz w:val="21"/>
                <w:highlight w:val="none"/>
              </w:rPr>
            </w:pPr>
          </w:p>
        </w:tc>
      </w:tr>
    </w:tbl>
    <w:p w14:paraId="70C33A55">
      <w:pPr>
        <w:ind w:firstLine="480"/>
        <w:rPr>
          <w:rFonts w:ascii="Times New Roman" w:hAnsi="Times New Roman"/>
          <w:highlight w:val="none"/>
        </w:rPr>
      </w:pPr>
      <w:r>
        <w:rPr>
          <w:rFonts w:ascii="Times New Roman" w:hAnsi="Times New Roman"/>
          <w:highlight w:val="none"/>
        </w:rPr>
        <w:t>由表5</w:t>
      </w:r>
      <w:r>
        <w:rPr>
          <w:rFonts w:hint="eastAsia" w:ascii="Times New Roman" w:hAnsi="Times New Roman"/>
          <w:highlight w:val="none"/>
        </w:rPr>
        <w:t>.</w:t>
      </w:r>
      <w:r>
        <w:rPr>
          <w:rFonts w:ascii="Times New Roman" w:hAnsi="Times New Roman"/>
          <w:highlight w:val="none"/>
        </w:rPr>
        <w:t>1-1可以看出，在无任何防尘措施的情况下，施工现场对周围环境的影响较严重，污染范围在200m范围内，TSP最大污染物浓度是对照点TSP浓度值的6.39倍；而在有防尘措施的情况下，污染范围降至20m范围内，最高污染浓度是对照点的4.04倍，最大污染浓度较无防尘措施降低了0.479mg/m</w:t>
      </w:r>
      <w:r>
        <w:rPr>
          <w:rFonts w:ascii="Times New Roman" w:hAnsi="Times New Roman"/>
          <w:highlight w:val="none"/>
          <w:vertAlign w:val="superscript"/>
        </w:rPr>
        <w:t>3</w:t>
      </w:r>
      <w:r>
        <w:rPr>
          <w:rFonts w:ascii="Times New Roman" w:hAnsi="Times New Roman"/>
          <w:highlight w:val="none"/>
        </w:rPr>
        <w:t>。</w:t>
      </w:r>
    </w:p>
    <w:p w14:paraId="7C88782F">
      <w:pPr>
        <w:ind w:firstLine="480"/>
        <w:rPr>
          <w:rFonts w:ascii="Times New Roman" w:hAnsi="Times New Roman"/>
          <w:highlight w:val="none"/>
        </w:rPr>
      </w:pPr>
      <w:r>
        <w:rPr>
          <w:rFonts w:ascii="Times New Roman" w:hAnsi="Times New Roman"/>
          <w:highlight w:val="none"/>
        </w:rPr>
        <w:t>施工扬尘对环境有一定影响，其影响将在1.0mg/m</w:t>
      </w:r>
      <w:r>
        <w:rPr>
          <w:rFonts w:ascii="Times New Roman" w:hAnsi="Times New Roman"/>
          <w:highlight w:val="none"/>
          <w:vertAlign w:val="superscript"/>
        </w:rPr>
        <w:t>3</w:t>
      </w:r>
      <w:r>
        <w:rPr>
          <w:rFonts w:ascii="Times New Roman" w:hAnsi="Times New Roman"/>
          <w:highlight w:val="none"/>
        </w:rPr>
        <w:t>以上，通过在厂界周围设置挡板后，扬尘（TSP）浓度低于0.824mg/m</w:t>
      </w:r>
      <w:r>
        <w:rPr>
          <w:rFonts w:ascii="Times New Roman" w:hAnsi="Times New Roman"/>
          <w:highlight w:val="none"/>
          <w:vertAlign w:val="superscript"/>
        </w:rPr>
        <w:t>3</w:t>
      </w:r>
      <w:r>
        <w:rPr>
          <w:rFonts w:ascii="Times New Roman" w:hAnsi="Times New Roman"/>
          <w:highlight w:val="none"/>
        </w:rPr>
        <w:t>，低于《大气污染物综合排放标准》（GB16297—1996）中规定的颗粒物无组织排放监控浓度限值的要求。</w:t>
      </w:r>
    </w:p>
    <w:p w14:paraId="6D84CB46">
      <w:pPr>
        <w:rPr>
          <w:rFonts w:ascii="Times New Roman" w:hAnsi="Times New Roman"/>
          <w:highlight w:val="none"/>
        </w:rPr>
      </w:pPr>
      <w:r>
        <w:rPr>
          <w:rFonts w:ascii="Times New Roman" w:hAnsi="Times New Roman"/>
          <w:highlight w:val="none"/>
        </w:rPr>
        <w:t>施工现场采用湿法作业并设围挡，运输时车辆加盖蓬布，建筑材料用苫布遮盖或建封闭库房存放，施工现场场界修建围挡板，封闭施工现场，并采取洒水抑尘措施，施工期产生的扬尘满足《大气污染物综合排放标准》（GB16297-1996）中表2无组织排放监控浓度限值，本项目施工期间产生的扬尘对周围环境影响是可以接受的。</w:t>
      </w:r>
    </w:p>
    <w:p w14:paraId="21627F48">
      <w:pPr>
        <w:pStyle w:val="5"/>
        <w:bidi w:val="0"/>
        <w:ind w:left="0" w:leftChars="0" w:firstLine="0" w:firstLineChars="0"/>
        <w:rPr>
          <w:rFonts w:hint="eastAsia"/>
          <w:sz w:val="30"/>
          <w:szCs w:val="30"/>
          <w:highlight w:val="none"/>
          <w:lang w:val="en-US" w:eastAsia="zh-CN"/>
        </w:rPr>
      </w:pPr>
      <w:bookmarkStart w:id="124" w:name="_Toc5520"/>
      <w:r>
        <w:rPr>
          <w:rFonts w:hint="default" w:ascii="Times New Roman" w:hAnsi="Times New Roman" w:cs="Times New Roman"/>
          <w:sz w:val="30"/>
          <w:szCs w:val="30"/>
          <w:highlight w:val="none"/>
          <w:lang w:val="en-US" w:eastAsia="zh-CN"/>
        </w:rPr>
        <w:t>5.1.3</w:t>
      </w:r>
      <w:r>
        <w:rPr>
          <w:rFonts w:hint="eastAsia"/>
          <w:sz w:val="30"/>
          <w:szCs w:val="30"/>
          <w:highlight w:val="none"/>
          <w:lang w:val="en-US" w:eastAsia="zh-CN"/>
        </w:rPr>
        <w:t>噪声影响分析</w:t>
      </w:r>
      <w:bookmarkEnd w:id="124"/>
    </w:p>
    <w:p w14:paraId="39DA8DB1">
      <w:pPr>
        <w:ind w:firstLine="480"/>
        <w:rPr>
          <w:rFonts w:ascii="Times New Roman" w:hAnsi="Times New Roman"/>
          <w:highlight w:val="none"/>
        </w:rPr>
      </w:pPr>
      <w:r>
        <w:rPr>
          <w:rFonts w:ascii="Times New Roman" w:hAnsi="Times New Roman"/>
          <w:highlight w:val="none"/>
        </w:rPr>
        <w:t>施工期噪声来源于施工机械和运输车辆的噪声，具有高噪声、无规律的特点，它对外环境的影响是暂时的，随着施工结束而消失。</w:t>
      </w:r>
    </w:p>
    <w:p w14:paraId="09CD8F96">
      <w:pPr>
        <w:ind w:firstLine="480"/>
        <w:rPr>
          <w:rFonts w:ascii="Times New Roman" w:hAnsi="Times New Roman"/>
          <w:highlight w:val="none"/>
        </w:rPr>
      </w:pPr>
      <w:r>
        <w:rPr>
          <w:rFonts w:ascii="Times New Roman" w:hAnsi="Times New Roman"/>
          <w:highlight w:val="none"/>
        </w:rPr>
        <w:t>根据有关资料将主要施工机械产生的噪声状况列于表5.1-3中。</w:t>
      </w:r>
    </w:p>
    <w:p w14:paraId="0C9B0D1F">
      <w:pPr>
        <w:pStyle w:val="21"/>
        <w:ind w:left="480" w:leftChars="200" w:firstLine="0" w:firstLineChars="0"/>
        <w:jc w:val="center"/>
        <w:rPr>
          <w:rFonts w:hint="eastAsia" w:ascii="黑体" w:hAnsi="黑体" w:eastAsia="黑体" w:cs="黑体"/>
          <w:highlight w:val="none"/>
        </w:rPr>
      </w:pPr>
      <w:r>
        <w:rPr>
          <w:rFonts w:hint="eastAsia" w:ascii="黑体" w:hAnsi="黑体" w:eastAsia="黑体" w:cs="黑体"/>
          <w:highlight w:val="none"/>
        </w:rPr>
        <w:t>表</w:t>
      </w:r>
      <w:r>
        <w:rPr>
          <w:rFonts w:hint="default" w:ascii="Times New Roman" w:hAnsi="Times New Roman" w:eastAsia="黑体" w:cs="Times New Roman"/>
          <w:highlight w:val="none"/>
        </w:rPr>
        <w:t>5.1-3</w:t>
      </w:r>
      <w:r>
        <w:rPr>
          <w:rFonts w:hint="eastAsia" w:ascii="黑体" w:hAnsi="黑体" w:eastAsia="黑体" w:cs="黑体"/>
          <w:highlight w:val="none"/>
        </w:rPr>
        <w:t xml:space="preserve">  施工机械噪声源源强</w:t>
      </w:r>
    </w:p>
    <w:tbl>
      <w:tblPr>
        <w:tblStyle w:val="17"/>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37"/>
        <w:gridCol w:w="3730"/>
        <w:gridCol w:w="3455"/>
      </w:tblGrid>
      <w:tr w14:paraId="5F172F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37" w:type="dxa"/>
            <w:noWrap w:val="0"/>
            <w:vAlign w:val="top"/>
          </w:tcPr>
          <w:p w14:paraId="3319CAC3">
            <w:pPr>
              <w:pStyle w:val="2"/>
              <w:rPr>
                <w:highlight w:val="none"/>
              </w:rPr>
            </w:pPr>
            <w:r>
              <w:rPr>
                <w:highlight w:val="none"/>
              </w:rPr>
              <w:t>序号</w:t>
            </w:r>
          </w:p>
        </w:tc>
        <w:tc>
          <w:tcPr>
            <w:tcW w:w="3730" w:type="dxa"/>
            <w:noWrap w:val="0"/>
            <w:vAlign w:val="center"/>
          </w:tcPr>
          <w:p w14:paraId="7BF4A31B">
            <w:pPr>
              <w:pStyle w:val="2"/>
              <w:rPr>
                <w:highlight w:val="none"/>
              </w:rPr>
            </w:pPr>
            <w:r>
              <w:rPr>
                <w:highlight w:val="none"/>
              </w:rPr>
              <w:t>施工设备名称</w:t>
            </w:r>
          </w:p>
        </w:tc>
        <w:tc>
          <w:tcPr>
            <w:tcW w:w="3455" w:type="dxa"/>
            <w:noWrap w:val="0"/>
            <w:vAlign w:val="center"/>
          </w:tcPr>
          <w:p w14:paraId="0D99887D">
            <w:pPr>
              <w:pStyle w:val="2"/>
              <w:rPr>
                <w:highlight w:val="none"/>
              </w:rPr>
            </w:pPr>
            <w:r>
              <w:rPr>
                <w:highlight w:val="none"/>
              </w:rPr>
              <w:t>距设备5m处平均A声级</w:t>
            </w:r>
          </w:p>
        </w:tc>
      </w:tr>
      <w:tr w14:paraId="3EB172C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37" w:type="dxa"/>
            <w:noWrap w:val="0"/>
            <w:vAlign w:val="top"/>
          </w:tcPr>
          <w:p w14:paraId="3A08F4C5">
            <w:pPr>
              <w:pStyle w:val="2"/>
              <w:rPr>
                <w:highlight w:val="none"/>
              </w:rPr>
            </w:pPr>
            <w:r>
              <w:rPr>
                <w:highlight w:val="none"/>
              </w:rPr>
              <w:t>1</w:t>
            </w:r>
          </w:p>
        </w:tc>
        <w:tc>
          <w:tcPr>
            <w:tcW w:w="3730" w:type="dxa"/>
            <w:noWrap w:val="0"/>
            <w:vAlign w:val="center"/>
          </w:tcPr>
          <w:p w14:paraId="62F32590">
            <w:pPr>
              <w:pStyle w:val="2"/>
              <w:rPr>
                <w:highlight w:val="none"/>
              </w:rPr>
            </w:pPr>
            <w:r>
              <w:rPr>
                <w:highlight w:val="none"/>
              </w:rPr>
              <w:t>挖掘机</w:t>
            </w:r>
          </w:p>
        </w:tc>
        <w:tc>
          <w:tcPr>
            <w:tcW w:w="3455" w:type="dxa"/>
            <w:noWrap w:val="0"/>
            <w:vAlign w:val="center"/>
          </w:tcPr>
          <w:p w14:paraId="6F0A8214">
            <w:pPr>
              <w:pStyle w:val="2"/>
              <w:rPr>
                <w:highlight w:val="none"/>
              </w:rPr>
            </w:pPr>
            <w:r>
              <w:rPr>
                <w:highlight w:val="none"/>
              </w:rPr>
              <w:t>85</w:t>
            </w:r>
          </w:p>
        </w:tc>
      </w:tr>
      <w:tr w14:paraId="77F8BDE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37" w:type="dxa"/>
            <w:noWrap w:val="0"/>
            <w:vAlign w:val="top"/>
          </w:tcPr>
          <w:p w14:paraId="19F8F1FD">
            <w:pPr>
              <w:pStyle w:val="2"/>
              <w:rPr>
                <w:highlight w:val="none"/>
              </w:rPr>
            </w:pPr>
            <w:r>
              <w:rPr>
                <w:highlight w:val="none"/>
              </w:rPr>
              <w:t>2</w:t>
            </w:r>
          </w:p>
        </w:tc>
        <w:tc>
          <w:tcPr>
            <w:tcW w:w="3730" w:type="dxa"/>
            <w:noWrap w:val="0"/>
            <w:vAlign w:val="center"/>
          </w:tcPr>
          <w:p w14:paraId="7B0BB288">
            <w:pPr>
              <w:pStyle w:val="2"/>
              <w:rPr>
                <w:highlight w:val="none"/>
              </w:rPr>
            </w:pPr>
            <w:r>
              <w:rPr>
                <w:highlight w:val="none"/>
              </w:rPr>
              <w:t>推土机</w:t>
            </w:r>
          </w:p>
        </w:tc>
        <w:tc>
          <w:tcPr>
            <w:tcW w:w="3455" w:type="dxa"/>
            <w:noWrap w:val="0"/>
            <w:vAlign w:val="center"/>
          </w:tcPr>
          <w:p w14:paraId="1DD887EE">
            <w:pPr>
              <w:pStyle w:val="2"/>
              <w:rPr>
                <w:highlight w:val="none"/>
              </w:rPr>
            </w:pPr>
            <w:r>
              <w:rPr>
                <w:highlight w:val="none"/>
              </w:rPr>
              <w:t>80</w:t>
            </w:r>
          </w:p>
        </w:tc>
      </w:tr>
      <w:tr w14:paraId="78D10CF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37" w:type="dxa"/>
            <w:noWrap w:val="0"/>
            <w:vAlign w:val="top"/>
          </w:tcPr>
          <w:p w14:paraId="4E670FB0">
            <w:pPr>
              <w:pStyle w:val="2"/>
              <w:rPr>
                <w:highlight w:val="none"/>
              </w:rPr>
            </w:pPr>
            <w:r>
              <w:rPr>
                <w:highlight w:val="none"/>
              </w:rPr>
              <w:t>3</w:t>
            </w:r>
          </w:p>
        </w:tc>
        <w:tc>
          <w:tcPr>
            <w:tcW w:w="3730" w:type="dxa"/>
            <w:noWrap w:val="0"/>
            <w:vAlign w:val="center"/>
          </w:tcPr>
          <w:p w14:paraId="50B33536">
            <w:pPr>
              <w:pStyle w:val="2"/>
              <w:rPr>
                <w:highlight w:val="none"/>
              </w:rPr>
            </w:pPr>
            <w:r>
              <w:rPr>
                <w:highlight w:val="none"/>
              </w:rPr>
              <w:t>打桩机</w:t>
            </w:r>
          </w:p>
        </w:tc>
        <w:tc>
          <w:tcPr>
            <w:tcW w:w="3455" w:type="dxa"/>
            <w:noWrap w:val="0"/>
            <w:vAlign w:val="top"/>
          </w:tcPr>
          <w:p w14:paraId="38C2F2F6">
            <w:pPr>
              <w:pStyle w:val="2"/>
              <w:rPr>
                <w:highlight w:val="none"/>
              </w:rPr>
            </w:pPr>
            <w:r>
              <w:rPr>
                <w:highlight w:val="none"/>
              </w:rPr>
              <w:t>80</w:t>
            </w:r>
          </w:p>
        </w:tc>
      </w:tr>
      <w:tr w14:paraId="2342B4C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37" w:type="dxa"/>
            <w:noWrap w:val="0"/>
            <w:vAlign w:val="top"/>
          </w:tcPr>
          <w:p w14:paraId="5EFA8C28">
            <w:pPr>
              <w:pStyle w:val="2"/>
              <w:rPr>
                <w:highlight w:val="none"/>
              </w:rPr>
            </w:pPr>
            <w:r>
              <w:rPr>
                <w:highlight w:val="none"/>
              </w:rPr>
              <w:t>4</w:t>
            </w:r>
          </w:p>
        </w:tc>
        <w:tc>
          <w:tcPr>
            <w:tcW w:w="3730" w:type="dxa"/>
            <w:noWrap w:val="0"/>
            <w:vAlign w:val="center"/>
          </w:tcPr>
          <w:p w14:paraId="79F1FFDE">
            <w:pPr>
              <w:pStyle w:val="2"/>
              <w:rPr>
                <w:highlight w:val="none"/>
              </w:rPr>
            </w:pPr>
            <w:r>
              <w:rPr>
                <w:highlight w:val="none"/>
              </w:rPr>
              <w:t>装载机</w:t>
            </w:r>
          </w:p>
        </w:tc>
        <w:tc>
          <w:tcPr>
            <w:tcW w:w="3455" w:type="dxa"/>
            <w:noWrap w:val="0"/>
            <w:vAlign w:val="top"/>
          </w:tcPr>
          <w:p w14:paraId="1B33B40B">
            <w:pPr>
              <w:pStyle w:val="2"/>
              <w:rPr>
                <w:highlight w:val="none"/>
              </w:rPr>
            </w:pPr>
            <w:r>
              <w:rPr>
                <w:highlight w:val="none"/>
              </w:rPr>
              <w:t>80</w:t>
            </w:r>
          </w:p>
        </w:tc>
      </w:tr>
    </w:tbl>
    <w:p w14:paraId="7DBA8209">
      <w:pPr>
        <w:ind w:firstLine="480"/>
        <w:rPr>
          <w:rFonts w:ascii="Times New Roman" w:hAnsi="Times New Roman"/>
          <w:highlight w:val="none"/>
        </w:rPr>
      </w:pPr>
      <w:r>
        <w:rPr>
          <w:rFonts w:ascii="Times New Roman" w:hAnsi="Times New Roman"/>
          <w:highlight w:val="none"/>
        </w:rPr>
        <w:t>由5</w:t>
      </w:r>
      <w:r>
        <w:rPr>
          <w:rFonts w:hint="eastAsia" w:ascii="Times New Roman" w:hAnsi="Times New Roman"/>
          <w:highlight w:val="none"/>
        </w:rPr>
        <w:t>.1-3</w:t>
      </w:r>
      <w:r>
        <w:rPr>
          <w:rFonts w:ascii="Times New Roman" w:hAnsi="Times New Roman"/>
          <w:highlight w:val="none"/>
        </w:rPr>
        <w:t>中可以看出，现场施工机械设备噪声很高，而且实际施工过程中，往往是多种机械同时工作，各种噪声源辐射的相互叠加，噪声级将更高，辐射范围亦更大。施工噪声对周围区域声环境的影响，采用《建筑施工场界环境噪声排放标准》 (GB12523-2011)表1中限值(昼间70dB(A)、夜间55dB(A))进行评价。项目施工过程中使用的施工机械所产生的噪声主要属于中低频噪声，只考虑其扩散衰减，即预测模型可选用：</w:t>
      </w:r>
    </w:p>
    <w:p w14:paraId="4D96DD60">
      <w:pPr>
        <w:ind w:firstLine="0" w:firstLineChars="0"/>
        <w:jc w:val="center"/>
        <w:rPr>
          <w:rFonts w:ascii="Times New Roman" w:hAnsi="Times New Roman"/>
          <w:sz w:val="28"/>
          <w:highlight w:val="none"/>
        </w:rPr>
      </w:pPr>
      <w:r>
        <w:rPr>
          <w:rFonts w:ascii="Times New Roman" w:hAnsi="Times New Roman"/>
          <w:sz w:val="28"/>
          <w:highlight w:val="none"/>
        </w:rPr>
        <w:t>L</w:t>
      </w:r>
      <w:r>
        <w:rPr>
          <w:rFonts w:ascii="Times New Roman" w:hAnsi="Times New Roman"/>
          <w:sz w:val="28"/>
          <w:highlight w:val="none"/>
          <w:vertAlign w:val="subscript"/>
        </w:rPr>
        <w:t>2</w:t>
      </w:r>
      <w:r>
        <w:rPr>
          <w:rFonts w:ascii="Times New Roman" w:hAnsi="Times New Roman"/>
          <w:sz w:val="28"/>
          <w:highlight w:val="none"/>
        </w:rPr>
        <w:t>=L</w:t>
      </w:r>
      <w:r>
        <w:rPr>
          <w:rFonts w:ascii="Times New Roman" w:hAnsi="Times New Roman"/>
          <w:sz w:val="28"/>
          <w:highlight w:val="none"/>
          <w:vertAlign w:val="subscript"/>
        </w:rPr>
        <w:t>1</w:t>
      </w:r>
      <w:r>
        <w:rPr>
          <w:rFonts w:ascii="Times New Roman" w:hAnsi="Times New Roman"/>
          <w:sz w:val="28"/>
          <w:highlight w:val="none"/>
        </w:rPr>
        <w:t>-20lgr</w:t>
      </w:r>
      <w:r>
        <w:rPr>
          <w:rFonts w:ascii="Times New Roman" w:hAnsi="Times New Roman"/>
          <w:sz w:val="28"/>
          <w:highlight w:val="none"/>
          <w:vertAlign w:val="subscript"/>
        </w:rPr>
        <w:t>2</w:t>
      </w:r>
      <w:r>
        <w:rPr>
          <w:rFonts w:ascii="Times New Roman" w:hAnsi="Times New Roman"/>
          <w:sz w:val="28"/>
          <w:highlight w:val="none"/>
        </w:rPr>
        <w:t>/r1(r</w:t>
      </w:r>
      <w:r>
        <w:rPr>
          <w:rFonts w:ascii="Times New Roman" w:hAnsi="Times New Roman"/>
          <w:sz w:val="28"/>
          <w:highlight w:val="none"/>
          <w:vertAlign w:val="subscript"/>
        </w:rPr>
        <w:t>2</w:t>
      </w:r>
      <w:r>
        <w:rPr>
          <w:rFonts w:ascii="Times New Roman" w:hAnsi="Times New Roman"/>
          <w:sz w:val="28"/>
          <w:highlight w:val="none"/>
        </w:rPr>
        <w:t>&gt;r</w:t>
      </w:r>
      <w:r>
        <w:rPr>
          <w:rFonts w:ascii="Times New Roman" w:hAnsi="Times New Roman"/>
          <w:sz w:val="28"/>
          <w:highlight w:val="none"/>
          <w:vertAlign w:val="subscript"/>
        </w:rPr>
        <w:t>1</w:t>
      </w:r>
      <w:r>
        <w:rPr>
          <w:rFonts w:ascii="Times New Roman" w:hAnsi="Times New Roman"/>
          <w:sz w:val="28"/>
          <w:highlight w:val="none"/>
        </w:rPr>
        <w:t>)</w:t>
      </w:r>
    </w:p>
    <w:p w14:paraId="025C3D91">
      <w:pPr>
        <w:ind w:firstLine="480"/>
        <w:rPr>
          <w:rFonts w:ascii="Times New Roman" w:hAnsi="Times New Roman"/>
          <w:highlight w:val="none"/>
        </w:rPr>
      </w:pPr>
      <w:r>
        <w:rPr>
          <w:rFonts w:ascii="Times New Roman" w:hAnsi="Times New Roman"/>
          <w:highlight w:val="none"/>
        </w:rPr>
        <w:t>式中：L</w:t>
      </w:r>
      <w:r>
        <w:rPr>
          <w:rFonts w:ascii="Times New Roman" w:hAnsi="Times New Roman"/>
          <w:highlight w:val="none"/>
          <w:vertAlign w:val="subscript"/>
        </w:rPr>
        <w:t>1</w:t>
      </w:r>
      <w:r>
        <w:rPr>
          <w:rFonts w:ascii="Times New Roman" w:hAnsi="Times New Roman"/>
          <w:highlight w:val="none"/>
        </w:rPr>
        <w:t>、L</w:t>
      </w:r>
      <w:r>
        <w:rPr>
          <w:rFonts w:ascii="Times New Roman" w:hAnsi="Times New Roman"/>
          <w:highlight w:val="none"/>
          <w:vertAlign w:val="subscript"/>
        </w:rPr>
        <w:t>2</w:t>
      </w:r>
      <w:r>
        <w:rPr>
          <w:rFonts w:ascii="Times New Roman" w:hAnsi="Times New Roman"/>
          <w:highlight w:val="none"/>
        </w:rPr>
        <w:t>-距声源r</w:t>
      </w:r>
      <w:r>
        <w:rPr>
          <w:rFonts w:ascii="Times New Roman" w:hAnsi="Times New Roman"/>
          <w:highlight w:val="none"/>
          <w:vertAlign w:val="subscript"/>
        </w:rPr>
        <w:t>1</w:t>
      </w:r>
      <w:r>
        <w:rPr>
          <w:rFonts w:ascii="Times New Roman" w:hAnsi="Times New Roman"/>
          <w:highlight w:val="none"/>
        </w:rPr>
        <w:t>、r</w:t>
      </w:r>
      <w:r>
        <w:rPr>
          <w:rFonts w:ascii="Times New Roman" w:hAnsi="Times New Roman"/>
          <w:highlight w:val="none"/>
          <w:vertAlign w:val="subscript"/>
        </w:rPr>
        <w:t>2</w:t>
      </w:r>
      <w:r>
        <w:rPr>
          <w:rFonts w:ascii="Times New Roman" w:hAnsi="Times New Roman"/>
          <w:highlight w:val="none"/>
        </w:rPr>
        <w:t>处的等效A声级，dB(A)；</w:t>
      </w:r>
    </w:p>
    <w:p w14:paraId="26316D15">
      <w:pPr>
        <w:ind w:firstLine="1200" w:firstLineChars="500"/>
        <w:rPr>
          <w:rFonts w:ascii="Times New Roman" w:hAnsi="Times New Roman"/>
          <w:highlight w:val="none"/>
        </w:rPr>
      </w:pPr>
      <w:r>
        <w:rPr>
          <w:rFonts w:ascii="Times New Roman" w:hAnsi="Times New Roman"/>
          <w:highlight w:val="none"/>
        </w:rPr>
        <w:t>r</w:t>
      </w:r>
      <w:r>
        <w:rPr>
          <w:rFonts w:ascii="Times New Roman" w:hAnsi="Times New Roman"/>
          <w:highlight w:val="none"/>
          <w:vertAlign w:val="subscript"/>
        </w:rPr>
        <w:t>1</w:t>
      </w:r>
      <w:r>
        <w:rPr>
          <w:rFonts w:ascii="Times New Roman" w:hAnsi="Times New Roman"/>
          <w:highlight w:val="none"/>
        </w:rPr>
        <w:t>、r</w:t>
      </w:r>
      <w:r>
        <w:rPr>
          <w:rFonts w:ascii="Times New Roman" w:hAnsi="Times New Roman"/>
          <w:highlight w:val="none"/>
          <w:vertAlign w:val="subscript"/>
        </w:rPr>
        <w:t>2</w:t>
      </w:r>
      <w:r>
        <w:rPr>
          <w:rFonts w:ascii="Times New Roman" w:hAnsi="Times New Roman"/>
          <w:highlight w:val="none"/>
        </w:rPr>
        <w:t>---接受点距源的距离，m。</w:t>
      </w:r>
    </w:p>
    <w:p w14:paraId="2A0F2D5B">
      <w:pPr>
        <w:ind w:firstLine="480"/>
        <w:rPr>
          <w:rFonts w:ascii="Times New Roman" w:hAnsi="Times New Roman"/>
          <w:highlight w:val="none"/>
        </w:rPr>
      </w:pPr>
      <w:r>
        <w:rPr>
          <w:rFonts w:ascii="Times New Roman" w:hAnsi="Times New Roman"/>
          <w:highlight w:val="none"/>
        </w:rPr>
        <w:t>由上式可推出噪声随距离增加而衰减的量ΔL；</w:t>
      </w:r>
    </w:p>
    <w:p w14:paraId="79AD937A">
      <w:pPr>
        <w:ind w:firstLine="199" w:firstLineChars="83"/>
        <w:jc w:val="center"/>
        <w:rPr>
          <w:rFonts w:ascii="Times New Roman" w:hAnsi="Times New Roman"/>
          <w:highlight w:val="none"/>
        </w:rPr>
      </w:pPr>
      <w:r>
        <w:rPr>
          <w:rFonts w:ascii="Times New Roman" w:hAnsi="Times New Roman"/>
          <w:highlight w:val="none"/>
        </w:rPr>
        <w:t>ΔL=L</w:t>
      </w:r>
      <w:r>
        <w:rPr>
          <w:rFonts w:ascii="Times New Roman" w:hAnsi="Times New Roman"/>
          <w:highlight w:val="none"/>
          <w:vertAlign w:val="subscript"/>
        </w:rPr>
        <w:t>1</w:t>
      </w:r>
      <w:r>
        <w:rPr>
          <w:rFonts w:ascii="Times New Roman" w:hAnsi="Times New Roman"/>
          <w:highlight w:val="none"/>
        </w:rPr>
        <w:t>-L</w:t>
      </w:r>
      <w:r>
        <w:rPr>
          <w:rFonts w:ascii="Times New Roman" w:hAnsi="Times New Roman"/>
          <w:highlight w:val="none"/>
          <w:vertAlign w:val="subscript"/>
        </w:rPr>
        <w:t>2</w:t>
      </w:r>
      <w:r>
        <w:rPr>
          <w:rFonts w:ascii="Times New Roman" w:hAnsi="Times New Roman"/>
          <w:highlight w:val="none"/>
        </w:rPr>
        <w:t>=20lgr</w:t>
      </w:r>
      <w:r>
        <w:rPr>
          <w:rFonts w:ascii="Times New Roman" w:hAnsi="Times New Roman"/>
          <w:highlight w:val="none"/>
          <w:vertAlign w:val="subscript"/>
        </w:rPr>
        <w:t>2</w:t>
      </w:r>
      <w:r>
        <w:rPr>
          <w:rFonts w:ascii="Times New Roman" w:hAnsi="Times New Roman"/>
          <w:highlight w:val="none"/>
        </w:rPr>
        <w:t>/r</w:t>
      </w:r>
      <w:r>
        <w:rPr>
          <w:rFonts w:ascii="Times New Roman" w:hAnsi="Times New Roman"/>
          <w:highlight w:val="none"/>
          <w:vertAlign w:val="subscript"/>
        </w:rPr>
        <w:t>1</w:t>
      </w:r>
    </w:p>
    <w:p w14:paraId="48694381">
      <w:pPr>
        <w:ind w:firstLine="480"/>
        <w:rPr>
          <w:rFonts w:ascii="Times New Roman" w:hAnsi="Times New Roman"/>
          <w:highlight w:val="none"/>
        </w:rPr>
      </w:pPr>
      <w:r>
        <w:rPr>
          <w:rFonts w:ascii="Times New Roman" w:hAnsi="Times New Roman"/>
          <w:highlight w:val="none"/>
        </w:rPr>
        <w:t>由此式可计算出各噪声源噪声值随距离衰减的情况，见表5.1-4。</w:t>
      </w:r>
    </w:p>
    <w:p w14:paraId="26BD790B">
      <w:pPr>
        <w:pStyle w:val="7"/>
        <w:ind w:firstLine="0" w:firstLineChars="0"/>
        <w:jc w:val="center"/>
        <w:rPr>
          <w:rFonts w:ascii="Times New Roman" w:hAnsi="Times New Roman"/>
          <w:b/>
          <w:bCs/>
          <w:highlight w:val="none"/>
        </w:rPr>
      </w:pPr>
    </w:p>
    <w:p w14:paraId="76376E79">
      <w:pPr>
        <w:pStyle w:val="21"/>
        <w:ind w:left="480" w:leftChars="200" w:firstLine="0" w:firstLineChars="0"/>
        <w:jc w:val="center"/>
        <w:rPr>
          <w:rFonts w:ascii="Times New Roman" w:hAnsi="Times New Roman"/>
          <w:highlight w:val="none"/>
        </w:rPr>
      </w:pPr>
      <w:r>
        <w:rPr>
          <w:rFonts w:hint="eastAsia" w:ascii="黑体" w:hAnsi="黑体" w:eastAsia="黑体" w:cs="黑体"/>
          <w:highlight w:val="none"/>
        </w:rPr>
        <w:t>表</w:t>
      </w:r>
      <w:r>
        <w:rPr>
          <w:rFonts w:hint="default" w:ascii="Times New Roman" w:hAnsi="Times New Roman" w:eastAsia="宋体" w:cs="Times New Roman"/>
          <w:highlight w:val="none"/>
        </w:rPr>
        <w:t>5.1-4</w:t>
      </w:r>
      <w:r>
        <w:rPr>
          <w:rFonts w:hint="eastAsia" w:ascii="黑体" w:hAnsi="黑体" w:eastAsia="黑体" w:cs="黑体"/>
          <w:highlight w:val="none"/>
        </w:rPr>
        <w:t>噪声值随距离的衰减关系</w:t>
      </w:r>
    </w:p>
    <w:tbl>
      <w:tblPr>
        <w:tblStyle w:val="17"/>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97"/>
        <w:gridCol w:w="813"/>
        <w:gridCol w:w="814"/>
        <w:gridCol w:w="814"/>
        <w:gridCol w:w="814"/>
        <w:gridCol w:w="814"/>
        <w:gridCol w:w="814"/>
        <w:gridCol w:w="814"/>
        <w:gridCol w:w="814"/>
        <w:gridCol w:w="814"/>
      </w:tblGrid>
      <w:tr w14:paraId="330265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96" w:type="pct"/>
            <w:noWrap w:val="0"/>
            <w:vAlign w:val="center"/>
          </w:tcPr>
          <w:p w14:paraId="0853F965">
            <w:pPr>
              <w:pStyle w:val="2"/>
              <w:rPr>
                <w:highlight w:val="none"/>
              </w:rPr>
            </w:pPr>
            <w:r>
              <w:rPr>
                <w:highlight w:val="none"/>
              </w:rPr>
              <w:t>距离(m)</w:t>
            </w:r>
          </w:p>
        </w:tc>
        <w:tc>
          <w:tcPr>
            <w:tcW w:w="478" w:type="pct"/>
            <w:noWrap w:val="0"/>
            <w:vAlign w:val="center"/>
          </w:tcPr>
          <w:p w14:paraId="6655168A">
            <w:pPr>
              <w:pStyle w:val="2"/>
              <w:rPr>
                <w:highlight w:val="none"/>
              </w:rPr>
            </w:pPr>
            <w:r>
              <w:rPr>
                <w:highlight w:val="none"/>
              </w:rPr>
              <w:t>10</w:t>
            </w:r>
          </w:p>
        </w:tc>
        <w:tc>
          <w:tcPr>
            <w:tcW w:w="478" w:type="pct"/>
            <w:noWrap w:val="0"/>
            <w:vAlign w:val="center"/>
          </w:tcPr>
          <w:p w14:paraId="42E3CEFF">
            <w:pPr>
              <w:pStyle w:val="2"/>
              <w:rPr>
                <w:highlight w:val="none"/>
              </w:rPr>
            </w:pPr>
            <w:r>
              <w:rPr>
                <w:highlight w:val="none"/>
              </w:rPr>
              <w:t>50</w:t>
            </w:r>
          </w:p>
        </w:tc>
        <w:tc>
          <w:tcPr>
            <w:tcW w:w="478" w:type="pct"/>
            <w:noWrap w:val="0"/>
            <w:vAlign w:val="center"/>
          </w:tcPr>
          <w:p w14:paraId="22220626">
            <w:pPr>
              <w:pStyle w:val="2"/>
              <w:rPr>
                <w:highlight w:val="none"/>
              </w:rPr>
            </w:pPr>
            <w:r>
              <w:rPr>
                <w:highlight w:val="none"/>
              </w:rPr>
              <w:t>100</w:t>
            </w:r>
          </w:p>
        </w:tc>
        <w:tc>
          <w:tcPr>
            <w:tcW w:w="478" w:type="pct"/>
            <w:noWrap w:val="0"/>
            <w:vAlign w:val="center"/>
          </w:tcPr>
          <w:p w14:paraId="5C4D00BA">
            <w:pPr>
              <w:pStyle w:val="2"/>
              <w:rPr>
                <w:highlight w:val="none"/>
              </w:rPr>
            </w:pPr>
            <w:r>
              <w:rPr>
                <w:highlight w:val="none"/>
              </w:rPr>
              <w:t>150</w:t>
            </w:r>
          </w:p>
        </w:tc>
        <w:tc>
          <w:tcPr>
            <w:tcW w:w="478" w:type="pct"/>
            <w:noWrap w:val="0"/>
            <w:vAlign w:val="center"/>
          </w:tcPr>
          <w:p w14:paraId="4A479A07">
            <w:pPr>
              <w:pStyle w:val="2"/>
              <w:rPr>
                <w:highlight w:val="none"/>
              </w:rPr>
            </w:pPr>
            <w:r>
              <w:rPr>
                <w:highlight w:val="none"/>
              </w:rPr>
              <w:t>200</w:t>
            </w:r>
          </w:p>
        </w:tc>
        <w:tc>
          <w:tcPr>
            <w:tcW w:w="478" w:type="pct"/>
            <w:noWrap w:val="0"/>
            <w:vAlign w:val="center"/>
          </w:tcPr>
          <w:p w14:paraId="15F982B7">
            <w:pPr>
              <w:pStyle w:val="2"/>
              <w:rPr>
                <w:highlight w:val="none"/>
              </w:rPr>
            </w:pPr>
            <w:r>
              <w:rPr>
                <w:highlight w:val="none"/>
              </w:rPr>
              <w:t>250</w:t>
            </w:r>
          </w:p>
        </w:tc>
        <w:tc>
          <w:tcPr>
            <w:tcW w:w="478" w:type="pct"/>
            <w:noWrap w:val="0"/>
            <w:vAlign w:val="center"/>
          </w:tcPr>
          <w:p w14:paraId="15A87F24">
            <w:pPr>
              <w:pStyle w:val="2"/>
              <w:rPr>
                <w:highlight w:val="none"/>
              </w:rPr>
            </w:pPr>
            <w:r>
              <w:rPr>
                <w:highlight w:val="none"/>
              </w:rPr>
              <w:t>300</w:t>
            </w:r>
          </w:p>
        </w:tc>
        <w:tc>
          <w:tcPr>
            <w:tcW w:w="478" w:type="pct"/>
            <w:noWrap w:val="0"/>
            <w:vAlign w:val="center"/>
          </w:tcPr>
          <w:p w14:paraId="24FB41E8">
            <w:pPr>
              <w:pStyle w:val="2"/>
              <w:rPr>
                <w:highlight w:val="none"/>
              </w:rPr>
            </w:pPr>
            <w:r>
              <w:rPr>
                <w:highlight w:val="none"/>
              </w:rPr>
              <w:t>400</w:t>
            </w:r>
          </w:p>
        </w:tc>
        <w:tc>
          <w:tcPr>
            <w:tcW w:w="478" w:type="pct"/>
            <w:noWrap w:val="0"/>
            <w:vAlign w:val="center"/>
          </w:tcPr>
          <w:p w14:paraId="41E18B3A">
            <w:pPr>
              <w:pStyle w:val="2"/>
              <w:rPr>
                <w:highlight w:val="none"/>
              </w:rPr>
            </w:pPr>
            <w:r>
              <w:rPr>
                <w:highlight w:val="none"/>
              </w:rPr>
              <w:t>500</w:t>
            </w:r>
          </w:p>
        </w:tc>
      </w:tr>
      <w:tr w14:paraId="5467F6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96" w:type="pct"/>
            <w:noWrap w:val="0"/>
            <w:vAlign w:val="center"/>
          </w:tcPr>
          <w:p w14:paraId="7520D0A8">
            <w:pPr>
              <w:pStyle w:val="2"/>
              <w:rPr>
                <w:highlight w:val="none"/>
              </w:rPr>
            </w:pPr>
            <w:r>
              <w:rPr>
                <w:rFonts w:ascii="Cambria Math" w:hAnsi="Cambria Math" w:cs="Cambria Math"/>
                <w:highlight w:val="none"/>
              </w:rPr>
              <w:t>△</w:t>
            </w:r>
            <w:r>
              <w:rPr>
                <w:highlight w:val="none"/>
              </w:rPr>
              <w:t>L(dB(A))</w:t>
            </w:r>
          </w:p>
        </w:tc>
        <w:tc>
          <w:tcPr>
            <w:tcW w:w="478" w:type="pct"/>
            <w:noWrap w:val="0"/>
            <w:vAlign w:val="center"/>
          </w:tcPr>
          <w:p w14:paraId="1E3A08F0">
            <w:pPr>
              <w:pStyle w:val="2"/>
              <w:rPr>
                <w:highlight w:val="none"/>
              </w:rPr>
            </w:pPr>
            <w:r>
              <w:rPr>
                <w:highlight w:val="none"/>
              </w:rPr>
              <w:t>6.0</w:t>
            </w:r>
          </w:p>
        </w:tc>
        <w:tc>
          <w:tcPr>
            <w:tcW w:w="478" w:type="pct"/>
            <w:noWrap w:val="0"/>
            <w:vAlign w:val="center"/>
          </w:tcPr>
          <w:p w14:paraId="5D570433">
            <w:pPr>
              <w:pStyle w:val="2"/>
              <w:rPr>
                <w:highlight w:val="none"/>
              </w:rPr>
            </w:pPr>
            <w:r>
              <w:rPr>
                <w:highlight w:val="none"/>
              </w:rPr>
              <w:t>20.0</w:t>
            </w:r>
          </w:p>
        </w:tc>
        <w:tc>
          <w:tcPr>
            <w:tcW w:w="478" w:type="pct"/>
            <w:noWrap w:val="0"/>
            <w:vAlign w:val="center"/>
          </w:tcPr>
          <w:p w14:paraId="49EEC7F4">
            <w:pPr>
              <w:pStyle w:val="2"/>
              <w:rPr>
                <w:highlight w:val="none"/>
              </w:rPr>
            </w:pPr>
            <w:r>
              <w:rPr>
                <w:highlight w:val="none"/>
              </w:rPr>
              <w:t>26.0</w:t>
            </w:r>
          </w:p>
        </w:tc>
        <w:tc>
          <w:tcPr>
            <w:tcW w:w="478" w:type="pct"/>
            <w:noWrap w:val="0"/>
            <w:vAlign w:val="center"/>
          </w:tcPr>
          <w:p w14:paraId="052E5FD2">
            <w:pPr>
              <w:pStyle w:val="2"/>
              <w:rPr>
                <w:highlight w:val="none"/>
              </w:rPr>
            </w:pPr>
            <w:r>
              <w:rPr>
                <w:highlight w:val="none"/>
              </w:rPr>
              <w:t>29.5</w:t>
            </w:r>
          </w:p>
        </w:tc>
        <w:tc>
          <w:tcPr>
            <w:tcW w:w="478" w:type="pct"/>
            <w:noWrap w:val="0"/>
            <w:vAlign w:val="center"/>
          </w:tcPr>
          <w:p w14:paraId="7A4CC1C1">
            <w:pPr>
              <w:pStyle w:val="2"/>
              <w:rPr>
                <w:highlight w:val="none"/>
              </w:rPr>
            </w:pPr>
            <w:r>
              <w:rPr>
                <w:highlight w:val="none"/>
              </w:rPr>
              <w:t>32.0</w:t>
            </w:r>
          </w:p>
        </w:tc>
        <w:tc>
          <w:tcPr>
            <w:tcW w:w="478" w:type="pct"/>
            <w:noWrap w:val="0"/>
            <w:vAlign w:val="center"/>
          </w:tcPr>
          <w:p w14:paraId="0308DF97">
            <w:pPr>
              <w:pStyle w:val="2"/>
              <w:rPr>
                <w:highlight w:val="none"/>
              </w:rPr>
            </w:pPr>
            <w:r>
              <w:rPr>
                <w:highlight w:val="none"/>
              </w:rPr>
              <w:t>34.0</w:t>
            </w:r>
          </w:p>
        </w:tc>
        <w:tc>
          <w:tcPr>
            <w:tcW w:w="478" w:type="pct"/>
            <w:noWrap w:val="0"/>
            <w:vAlign w:val="center"/>
          </w:tcPr>
          <w:p w14:paraId="2DF404EF">
            <w:pPr>
              <w:pStyle w:val="2"/>
              <w:rPr>
                <w:highlight w:val="none"/>
              </w:rPr>
            </w:pPr>
            <w:r>
              <w:rPr>
                <w:highlight w:val="none"/>
              </w:rPr>
              <w:t>35.6</w:t>
            </w:r>
          </w:p>
        </w:tc>
        <w:tc>
          <w:tcPr>
            <w:tcW w:w="478" w:type="pct"/>
            <w:noWrap w:val="0"/>
            <w:vAlign w:val="center"/>
          </w:tcPr>
          <w:p w14:paraId="11C04697">
            <w:pPr>
              <w:pStyle w:val="2"/>
              <w:rPr>
                <w:highlight w:val="none"/>
              </w:rPr>
            </w:pPr>
            <w:r>
              <w:rPr>
                <w:highlight w:val="none"/>
              </w:rPr>
              <w:t>38.1</w:t>
            </w:r>
          </w:p>
        </w:tc>
        <w:tc>
          <w:tcPr>
            <w:tcW w:w="478" w:type="pct"/>
            <w:noWrap w:val="0"/>
            <w:vAlign w:val="center"/>
          </w:tcPr>
          <w:p w14:paraId="4978BD2E">
            <w:pPr>
              <w:pStyle w:val="2"/>
              <w:rPr>
                <w:highlight w:val="none"/>
              </w:rPr>
            </w:pPr>
            <w:r>
              <w:rPr>
                <w:highlight w:val="none"/>
              </w:rPr>
              <w:t>40.0</w:t>
            </w:r>
          </w:p>
        </w:tc>
      </w:tr>
    </w:tbl>
    <w:p w14:paraId="09D51F04">
      <w:pPr>
        <w:ind w:firstLine="480"/>
        <w:rPr>
          <w:rFonts w:ascii="Times New Roman" w:hAnsi="Times New Roman"/>
          <w:highlight w:val="none"/>
        </w:rPr>
      </w:pPr>
      <w:r>
        <w:rPr>
          <w:rFonts w:ascii="Times New Roman" w:hAnsi="Times New Roman"/>
          <w:highlight w:val="none"/>
        </w:rPr>
        <w:t>项目施工噪声随距离衰减后的情况如表5</w:t>
      </w:r>
      <w:r>
        <w:rPr>
          <w:rFonts w:hint="eastAsia" w:ascii="Times New Roman" w:hAnsi="Times New Roman"/>
          <w:highlight w:val="none"/>
        </w:rPr>
        <w:t>.1-5</w:t>
      </w:r>
      <w:r>
        <w:rPr>
          <w:rFonts w:ascii="Times New Roman" w:hAnsi="Times New Roman"/>
          <w:highlight w:val="none"/>
        </w:rPr>
        <w:t>所示。</w:t>
      </w:r>
    </w:p>
    <w:p w14:paraId="76D95E3C">
      <w:pPr>
        <w:pStyle w:val="7"/>
        <w:ind w:firstLine="0" w:firstLineChars="0"/>
        <w:jc w:val="center"/>
        <w:rPr>
          <w:rFonts w:ascii="Times New Roman" w:hAnsi="Times New Roman"/>
          <w:highlight w:val="none"/>
        </w:rPr>
      </w:pPr>
      <w:r>
        <w:rPr>
          <w:rFonts w:hint="eastAsia" w:ascii="黑体" w:hAnsi="黑体" w:eastAsia="黑体" w:cs="黑体"/>
          <w:b w:val="0"/>
          <w:bCs w:val="0"/>
          <w:highlight w:val="none"/>
        </w:rPr>
        <w:t>表</w:t>
      </w:r>
      <w:r>
        <w:rPr>
          <w:rFonts w:ascii="Times New Roman" w:hAnsi="Times New Roman"/>
          <w:b w:val="0"/>
          <w:bCs w:val="0"/>
          <w:highlight w:val="none"/>
        </w:rPr>
        <w:t>5.1-5</w:t>
      </w:r>
      <w:r>
        <w:rPr>
          <w:rFonts w:hint="eastAsia" w:ascii="黑体" w:hAnsi="黑体" w:eastAsia="黑体" w:cs="黑体"/>
          <w:b w:val="0"/>
          <w:bCs w:val="0"/>
          <w:highlight w:val="none"/>
        </w:rPr>
        <w:t>施工噪声随距离的衰减值</w:t>
      </w:r>
    </w:p>
    <w:tbl>
      <w:tblPr>
        <w:tblStyle w:val="17"/>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28" w:type="dxa"/>
          <w:left w:w="108" w:type="dxa"/>
          <w:bottom w:w="28" w:type="dxa"/>
          <w:right w:w="108" w:type="dxa"/>
        </w:tblCellMar>
      </w:tblPr>
      <w:tblGrid>
        <w:gridCol w:w="2062"/>
        <w:gridCol w:w="672"/>
        <w:gridCol w:w="672"/>
        <w:gridCol w:w="627"/>
        <w:gridCol w:w="644"/>
        <w:gridCol w:w="644"/>
        <w:gridCol w:w="644"/>
        <w:gridCol w:w="644"/>
        <w:gridCol w:w="644"/>
        <w:gridCol w:w="644"/>
        <w:gridCol w:w="625"/>
      </w:tblGrid>
      <w:tr w14:paraId="2357836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28" w:type="dxa"/>
            <w:left w:w="108" w:type="dxa"/>
            <w:bottom w:w="28" w:type="dxa"/>
            <w:right w:w="108" w:type="dxa"/>
          </w:tblCellMar>
        </w:tblPrEx>
        <w:trPr>
          <w:trHeight w:val="22" w:hRule="atLeast"/>
          <w:jc w:val="center"/>
        </w:trPr>
        <w:tc>
          <w:tcPr>
            <w:tcW w:w="1210" w:type="pct"/>
            <w:noWrap w:val="0"/>
            <w:vAlign w:val="center"/>
          </w:tcPr>
          <w:p w14:paraId="6A4CB7A4">
            <w:pPr>
              <w:pStyle w:val="2"/>
              <w:rPr>
                <w:highlight w:val="none"/>
              </w:rPr>
            </w:pPr>
            <w:r>
              <w:rPr>
                <w:highlight w:val="none"/>
              </w:rPr>
              <w:t>距离(m)</w:t>
            </w:r>
          </w:p>
        </w:tc>
        <w:tc>
          <w:tcPr>
            <w:tcW w:w="394" w:type="pct"/>
            <w:noWrap w:val="0"/>
            <w:vAlign w:val="top"/>
          </w:tcPr>
          <w:p w14:paraId="717E5E89">
            <w:pPr>
              <w:pStyle w:val="2"/>
              <w:rPr>
                <w:highlight w:val="none"/>
              </w:rPr>
            </w:pPr>
            <w:r>
              <w:rPr>
                <w:highlight w:val="none"/>
              </w:rPr>
              <w:t>5</w:t>
            </w:r>
          </w:p>
        </w:tc>
        <w:tc>
          <w:tcPr>
            <w:tcW w:w="394" w:type="pct"/>
            <w:noWrap w:val="0"/>
            <w:vAlign w:val="center"/>
          </w:tcPr>
          <w:p w14:paraId="4377A81A">
            <w:pPr>
              <w:pStyle w:val="2"/>
              <w:rPr>
                <w:highlight w:val="none"/>
              </w:rPr>
            </w:pPr>
            <w:r>
              <w:rPr>
                <w:highlight w:val="none"/>
              </w:rPr>
              <w:t>10</w:t>
            </w:r>
          </w:p>
        </w:tc>
        <w:tc>
          <w:tcPr>
            <w:tcW w:w="368" w:type="pct"/>
            <w:noWrap w:val="0"/>
            <w:vAlign w:val="center"/>
          </w:tcPr>
          <w:p w14:paraId="66AE358A">
            <w:pPr>
              <w:pStyle w:val="2"/>
              <w:rPr>
                <w:highlight w:val="none"/>
              </w:rPr>
            </w:pPr>
            <w:r>
              <w:rPr>
                <w:highlight w:val="none"/>
              </w:rPr>
              <w:t>50</w:t>
            </w:r>
          </w:p>
        </w:tc>
        <w:tc>
          <w:tcPr>
            <w:tcW w:w="378" w:type="pct"/>
            <w:noWrap w:val="0"/>
            <w:vAlign w:val="center"/>
          </w:tcPr>
          <w:p w14:paraId="2F112687">
            <w:pPr>
              <w:pStyle w:val="2"/>
              <w:rPr>
                <w:highlight w:val="none"/>
              </w:rPr>
            </w:pPr>
            <w:r>
              <w:rPr>
                <w:highlight w:val="none"/>
              </w:rPr>
              <w:t>100</w:t>
            </w:r>
          </w:p>
        </w:tc>
        <w:tc>
          <w:tcPr>
            <w:tcW w:w="378" w:type="pct"/>
            <w:noWrap w:val="0"/>
            <w:vAlign w:val="center"/>
          </w:tcPr>
          <w:p w14:paraId="2F2391D4">
            <w:pPr>
              <w:pStyle w:val="2"/>
              <w:rPr>
                <w:highlight w:val="none"/>
              </w:rPr>
            </w:pPr>
            <w:r>
              <w:rPr>
                <w:highlight w:val="none"/>
              </w:rPr>
              <w:t>150</w:t>
            </w:r>
          </w:p>
        </w:tc>
        <w:tc>
          <w:tcPr>
            <w:tcW w:w="378" w:type="pct"/>
            <w:noWrap w:val="0"/>
            <w:vAlign w:val="center"/>
          </w:tcPr>
          <w:p w14:paraId="7858F375">
            <w:pPr>
              <w:pStyle w:val="2"/>
              <w:rPr>
                <w:highlight w:val="none"/>
              </w:rPr>
            </w:pPr>
            <w:r>
              <w:rPr>
                <w:highlight w:val="none"/>
              </w:rPr>
              <w:t>200</w:t>
            </w:r>
          </w:p>
        </w:tc>
        <w:tc>
          <w:tcPr>
            <w:tcW w:w="378" w:type="pct"/>
            <w:noWrap w:val="0"/>
            <w:vAlign w:val="center"/>
          </w:tcPr>
          <w:p w14:paraId="2DE6E5BE">
            <w:pPr>
              <w:pStyle w:val="2"/>
              <w:rPr>
                <w:highlight w:val="none"/>
              </w:rPr>
            </w:pPr>
            <w:r>
              <w:rPr>
                <w:highlight w:val="none"/>
              </w:rPr>
              <w:t>250</w:t>
            </w:r>
          </w:p>
        </w:tc>
        <w:tc>
          <w:tcPr>
            <w:tcW w:w="378" w:type="pct"/>
            <w:noWrap w:val="0"/>
            <w:vAlign w:val="center"/>
          </w:tcPr>
          <w:p w14:paraId="42FC35D9">
            <w:pPr>
              <w:pStyle w:val="2"/>
              <w:rPr>
                <w:highlight w:val="none"/>
              </w:rPr>
            </w:pPr>
            <w:r>
              <w:rPr>
                <w:highlight w:val="none"/>
              </w:rPr>
              <w:t>300</w:t>
            </w:r>
          </w:p>
        </w:tc>
        <w:tc>
          <w:tcPr>
            <w:tcW w:w="378" w:type="pct"/>
            <w:noWrap w:val="0"/>
            <w:vAlign w:val="center"/>
          </w:tcPr>
          <w:p w14:paraId="19C1ADEE">
            <w:pPr>
              <w:pStyle w:val="2"/>
              <w:rPr>
                <w:highlight w:val="none"/>
              </w:rPr>
            </w:pPr>
            <w:r>
              <w:rPr>
                <w:highlight w:val="none"/>
              </w:rPr>
              <w:t>400</w:t>
            </w:r>
          </w:p>
        </w:tc>
        <w:tc>
          <w:tcPr>
            <w:tcW w:w="366" w:type="pct"/>
            <w:noWrap w:val="0"/>
            <w:vAlign w:val="center"/>
          </w:tcPr>
          <w:p w14:paraId="0338354F">
            <w:pPr>
              <w:pStyle w:val="2"/>
              <w:rPr>
                <w:highlight w:val="none"/>
              </w:rPr>
            </w:pPr>
            <w:r>
              <w:rPr>
                <w:highlight w:val="none"/>
              </w:rPr>
              <w:t>500</w:t>
            </w:r>
          </w:p>
        </w:tc>
      </w:tr>
      <w:tr w14:paraId="638FB8F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28" w:type="dxa"/>
            <w:left w:w="108" w:type="dxa"/>
            <w:bottom w:w="28" w:type="dxa"/>
            <w:right w:w="108" w:type="dxa"/>
          </w:tblCellMar>
        </w:tblPrEx>
        <w:trPr>
          <w:trHeight w:val="37" w:hRule="atLeast"/>
          <w:jc w:val="center"/>
        </w:trPr>
        <w:tc>
          <w:tcPr>
            <w:tcW w:w="1210" w:type="pct"/>
            <w:noWrap w:val="0"/>
            <w:vAlign w:val="center"/>
          </w:tcPr>
          <w:p w14:paraId="269EF752">
            <w:pPr>
              <w:pStyle w:val="2"/>
              <w:rPr>
                <w:highlight w:val="none"/>
              </w:rPr>
            </w:pPr>
            <w:r>
              <w:rPr>
                <w:highlight w:val="none"/>
              </w:rPr>
              <w:t>挖掘机</w:t>
            </w:r>
          </w:p>
        </w:tc>
        <w:tc>
          <w:tcPr>
            <w:tcW w:w="394" w:type="pct"/>
            <w:noWrap w:val="0"/>
            <w:vAlign w:val="top"/>
          </w:tcPr>
          <w:p w14:paraId="69C00398">
            <w:pPr>
              <w:pStyle w:val="2"/>
              <w:rPr>
                <w:highlight w:val="none"/>
              </w:rPr>
            </w:pPr>
            <w:r>
              <w:rPr>
                <w:highlight w:val="none"/>
              </w:rPr>
              <w:t>85</w:t>
            </w:r>
          </w:p>
        </w:tc>
        <w:tc>
          <w:tcPr>
            <w:tcW w:w="394" w:type="pct"/>
            <w:noWrap w:val="0"/>
            <w:vAlign w:val="center"/>
          </w:tcPr>
          <w:p w14:paraId="26C1BCD3">
            <w:pPr>
              <w:pStyle w:val="2"/>
              <w:rPr>
                <w:highlight w:val="none"/>
              </w:rPr>
            </w:pPr>
            <w:r>
              <w:rPr>
                <w:highlight w:val="none"/>
              </w:rPr>
              <w:t>79</w:t>
            </w:r>
          </w:p>
        </w:tc>
        <w:tc>
          <w:tcPr>
            <w:tcW w:w="368" w:type="pct"/>
            <w:noWrap w:val="0"/>
            <w:vAlign w:val="center"/>
          </w:tcPr>
          <w:p w14:paraId="650DA060">
            <w:pPr>
              <w:pStyle w:val="2"/>
              <w:rPr>
                <w:highlight w:val="none"/>
              </w:rPr>
            </w:pPr>
            <w:r>
              <w:rPr>
                <w:highlight w:val="none"/>
              </w:rPr>
              <w:t>65</w:t>
            </w:r>
          </w:p>
        </w:tc>
        <w:tc>
          <w:tcPr>
            <w:tcW w:w="378" w:type="pct"/>
            <w:noWrap w:val="0"/>
            <w:vAlign w:val="center"/>
          </w:tcPr>
          <w:p w14:paraId="7E442CE7">
            <w:pPr>
              <w:pStyle w:val="2"/>
              <w:rPr>
                <w:highlight w:val="none"/>
              </w:rPr>
            </w:pPr>
            <w:r>
              <w:rPr>
                <w:highlight w:val="none"/>
              </w:rPr>
              <w:t>59</w:t>
            </w:r>
          </w:p>
        </w:tc>
        <w:tc>
          <w:tcPr>
            <w:tcW w:w="378" w:type="pct"/>
            <w:noWrap w:val="0"/>
            <w:vAlign w:val="center"/>
          </w:tcPr>
          <w:p w14:paraId="110CFAC6">
            <w:pPr>
              <w:pStyle w:val="2"/>
              <w:rPr>
                <w:highlight w:val="none"/>
              </w:rPr>
            </w:pPr>
            <w:r>
              <w:rPr>
                <w:highlight w:val="none"/>
              </w:rPr>
              <w:t>55.5</w:t>
            </w:r>
          </w:p>
        </w:tc>
        <w:tc>
          <w:tcPr>
            <w:tcW w:w="378" w:type="pct"/>
            <w:noWrap w:val="0"/>
            <w:vAlign w:val="center"/>
          </w:tcPr>
          <w:p w14:paraId="1082A4A2">
            <w:pPr>
              <w:pStyle w:val="2"/>
              <w:rPr>
                <w:highlight w:val="none"/>
              </w:rPr>
            </w:pPr>
            <w:r>
              <w:rPr>
                <w:highlight w:val="none"/>
              </w:rPr>
              <w:t>53</w:t>
            </w:r>
          </w:p>
        </w:tc>
        <w:tc>
          <w:tcPr>
            <w:tcW w:w="378" w:type="pct"/>
            <w:noWrap w:val="0"/>
            <w:vAlign w:val="center"/>
          </w:tcPr>
          <w:p w14:paraId="2CDA2AE6">
            <w:pPr>
              <w:pStyle w:val="2"/>
              <w:rPr>
                <w:highlight w:val="none"/>
              </w:rPr>
            </w:pPr>
            <w:r>
              <w:rPr>
                <w:highlight w:val="none"/>
              </w:rPr>
              <w:t>51</w:t>
            </w:r>
          </w:p>
        </w:tc>
        <w:tc>
          <w:tcPr>
            <w:tcW w:w="378" w:type="pct"/>
            <w:noWrap w:val="0"/>
            <w:vAlign w:val="center"/>
          </w:tcPr>
          <w:p w14:paraId="407089B5">
            <w:pPr>
              <w:pStyle w:val="2"/>
              <w:rPr>
                <w:highlight w:val="none"/>
              </w:rPr>
            </w:pPr>
            <w:r>
              <w:rPr>
                <w:highlight w:val="none"/>
              </w:rPr>
              <w:t>49.4</w:t>
            </w:r>
          </w:p>
        </w:tc>
        <w:tc>
          <w:tcPr>
            <w:tcW w:w="378" w:type="pct"/>
            <w:noWrap w:val="0"/>
            <w:vAlign w:val="center"/>
          </w:tcPr>
          <w:p w14:paraId="3C550893">
            <w:pPr>
              <w:pStyle w:val="2"/>
              <w:rPr>
                <w:highlight w:val="none"/>
              </w:rPr>
            </w:pPr>
            <w:r>
              <w:rPr>
                <w:highlight w:val="none"/>
              </w:rPr>
              <w:t>46.9</w:t>
            </w:r>
          </w:p>
        </w:tc>
        <w:tc>
          <w:tcPr>
            <w:tcW w:w="366" w:type="pct"/>
            <w:noWrap w:val="0"/>
            <w:vAlign w:val="center"/>
          </w:tcPr>
          <w:p w14:paraId="375A9D27">
            <w:pPr>
              <w:pStyle w:val="2"/>
              <w:rPr>
                <w:highlight w:val="none"/>
              </w:rPr>
            </w:pPr>
            <w:r>
              <w:rPr>
                <w:highlight w:val="none"/>
              </w:rPr>
              <w:t>45</w:t>
            </w:r>
          </w:p>
        </w:tc>
      </w:tr>
      <w:tr w14:paraId="32922FA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28" w:type="dxa"/>
            <w:left w:w="108" w:type="dxa"/>
            <w:bottom w:w="28" w:type="dxa"/>
            <w:right w:w="108" w:type="dxa"/>
          </w:tblCellMar>
        </w:tblPrEx>
        <w:trPr>
          <w:trHeight w:val="37" w:hRule="atLeast"/>
          <w:jc w:val="center"/>
        </w:trPr>
        <w:tc>
          <w:tcPr>
            <w:tcW w:w="1210" w:type="pct"/>
            <w:noWrap w:val="0"/>
            <w:vAlign w:val="center"/>
          </w:tcPr>
          <w:p w14:paraId="6D38CBF1">
            <w:pPr>
              <w:pStyle w:val="2"/>
              <w:rPr>
                <w:highlight w:val="none"/>
              </w:rPr>
            </w:pPr>
            <w:r>
              <w:rPr>
                <w:highlight w:val="none"/>
              </w:rPr>
              <w:t>推土机</w:t>
            </w:r>
          </w:p>
        </w:tc>
        <w:tc>
          <w:tcPr>
            <w:tcW w:w="394" w:type="pct"/>
            <w:noWrap w:val="0"/>
            <w:vAlign w:val="top"/>
          </w:tcPr>
          <w:p w14:paraId="18A7D1CA">
            <w:pPr>
              <w:pStyle w:val="2"/>
              <w:rPr>
                <w:highlight w:val="none"/>
              </w:rPr>
            </w:pPr>
            <w:r>
              <w:rPr>
                <w:highlight w:val="none"/>
              </w:rPr>
              <w:t>80</w:t>
            </w:r>
          </w:p>
        </w:tc>
        <w:tc>
          <w:tcPr>
            <w:tcW w:w="394" w:type="pct"/>
            <w:noWrap w:val="0"/>
            <w:vAlign w:val="center"/>
          </w:tcPr>
          <w:p w14:paraId="07CE423F">
            <w:pPr>
              <w:pStyle w:val="2"/>
              <w:rPr>
                <w:highlight w:val="none"/>
              </w:rPr>
            </w:pPr>
            <w:r>
              <w:rPr>
                <w:highlight w:val="none"/>
              </w:rPr>
              <w:t>74</w:t>
            </w:r>
          </w:p>
        </w:tc>
        <w:tc>
          <w:tcPr>
            <w:tcW w:w="368" w:type="pct"/>
            <w:noWrap w:val="0"/>
            <w:vAlign w:val="center"/>
          </w:tcPr>
          <w:p w14:paraId="2C8590BB">
            <w:pPr>
              <w:pStyle w:val="2"/>
              <w:rPr>
                <w:highlight w:val="none"/>
              </w:rPr>
            </w:pPr>
            <w:r>
              <w:rPr>
                <w:highlight w:val="none"/>
              </w:rPr>
              <w:t>60</w:t>
            </w:r>
          </w:p>
        </w:tc>
        <w:tc>
          <w:tcPr>
            <w:tcW w:w="378" w:type="pct"/>
            <w:noWrap w:val="0"/>
            <w:vAlign w:val="center"/>
          </w:tcPr>
          <w:p w14:paraId="24DCAC7F">
            <w:pPr>
              <w:pStyle w:val="2"/>
              <w:rPr>
                <w:highlight w:val="none"/>
              </w:rPr>
            </w:pPr>
            <w:r>
              <w:rPr>
                <w:highlight w:val="none"/>
              </w:rPr>
              <w:t>54</w:t>
            </w:r>
          </w:p>
        </w:tc>
        <w:tc>
          <w:tcPr>
            <w:tcW w:w="378" w:type="pct"/>
            <w:noWrap w:val="0"/>
            <w:vAlign w:val="center"/>
          </w:tcPr>
          <w:p w14:paraId="5EF1EFCA">
            <w:pPr>
              <w:pStyle w:val="2"/>
              <w:rPr>
                <w:highlight w:val="none"/>
              </w:rPr>
            </w:pPr>
            <w:r>
              <w:rPr>
                <w:highlight w:val="none"/>
              </w:rPr>
              <w:t>50.5</w:t>
            </w:r>
          </w:p>
        </w:tc>
        <w:tc>
          <w:tcPr>
            <w:tcW w:w="378" w:type="pct"/>
            <w:noWrap w:val="0"/>
            <w:vAlign w:val="center"/>
          </w:tcPr>
          <w:p w14:paraId="31CE89AB">
            <w:pPr>
              <w:pStyle w:val="2"/>
              <w:rPr>
                <w:highlight w:val="none"/>
              </w:rPr>
            </w:pPr>
            <w:r>
              <w:rPr>
                <w:highlight w:val="none"/>
              </w:rPr>
              <w:t>48</w:t>
            </w:r>
          </w:p>
        </w:tc>
        <w:tc>
          <w:tcPr>
            <w:tcW w:w="378" w:type="pct"/>
            <w:noWrap w:val="0"/>
            <w:vAlign w:val="center"/>
          </w:tcPr>
          <w:p w14:paraId="3576BC7D">
            <w:pPr>
              <w:pStyle w:val="2"/>
              <w:rPr>
                <w:highlight w:val="none"/>
              </w:rPr>
            </w:pPr>
            <w:r>
              <w:rPr>
                <w:highlight w:val="none"/>
              </w:rPr>
              <w:t>46</w:t>
            </w:r>
          </w:p>
        </w:tc>
        <w:tc>
          <w:tcPr>
            <w:tcW w:w="378" w:type="pct"/>
            <w:noWrap w:val="0"/>
            <w:vAlign w:val="center"/>
          </w:tcPr>
          <w:p w14:paraId="39F1B135">
            <w:pPr>
              <w:pStyle w:val="2"/>
              <w:rPr>
                <w:highlight w:val="none"/>
              </w:rPr>
            </w:pPr>
            <w:r>
              <w:rPr>
                <w:highlight w:val="none"/>
              </w:rPr>
              <w:t>44.4</w:t>
            </w:r>
          </w:p>
        </w:tc>
        <w:tc>
          <w:tcPr>
            <w:tcW w:w="378" w:type="pct"/>
            <w:noWrap w:val="0"/>
            <w:vAlign w:val="center"/>
          </w:tcPr>
          <w:p w14:paraId="6400AB2A">
            <w:pPr>
              <w:pStyle w:val="2"/>
              <w:rPr>
                <w:highlight w:val="none"/>
              </w:rPr>
            </w:pPr>
            <w:r>
              <w:rPr>
                <w:highlight w:val="none"/>
              </w:rPr>
              <w:t>41.9</w:t>
            </w:r>
          </w:p>
        </w:tc>
        <w:tc>
          <w:tcPr>
            <w:tcW w:w="366" w:type="pct"/>
            <w:noWrap w:val="0"/>
            <w:vAlign w:val="center"/>
          </w:tcPr>
          <w:p w14:paraId="49913153">
            <w:pPr>
              <w:pStyle w:val="2"/>
              <w:rPr>
                <w:highlight w:val="none"/>
              </w:rPr>
            </w:pPr>
            <w:r>
              <w:rPr>
                <w:highlight w:val="none"/>
              </w:rPr>
              <w:t>40</w:t>
            </w:r>
          </w:p>
        </w:tc>
      </w:tr>
      <w:tr w14:paraId="3D08488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28" w:type="dxa"/>
            <w:left w:w="108" w:type="dxa"/>
            <w:bottom w:w="28" w:type="dxa"/>
            <w:right w:w="108" w:type="dxa"/>
          </w:tblCellMar>
        </w:tblPrEx>
        <w:trPr>
          <w:trHeight w:val="37" w:hRule="atLeast"/>
          <w:jc w:val="center"/>
        </w:trPr>
        <w:tc>
          <w:tcPr>
            <w:tcW w:w="1210" w:type="pct"/>
            <w:noWrap w:val="0"/>
            <w:vAlign w:val="center"/>
          </w:tcPr>
          <w:p w14:paraId="0C5191DB">
            <w:pPr>
              <w:pStyle w:val="2"/>
              <w:rPr>
                <w:highlight w:val="none"/>
              </w:rPr>
            </w:pPr>
            <w:r>
              <w:rPr>
                <w:highlight w:val="none"/>
              </w:rPr>
              <w:t>打桩机</w:t>
            </w:r>
          </w:p>
        </w:tc>
        <w:tc>
          <w:tcPr>
            <w:tcW w:w="394" w:type="pct"/>
            <w:noWrap w:val="0"/>
            <w:vAlign w:val="top"/>
          </w:tcPr>
          <w:p w14:paraId="146EF613">
            <w:pPr>
              <w:pStyle w:val="2"/>
              <w:rPr>
                <w:highlight w:val="none"/>
              </w:rPr>
            </w:pPr>
            <w:r>
              <w:rPr>
                <w:highlight w:val="none"/>
              </w:rPr>
              <w:t>80</w:t>
            </w:r>
          </w:p>
        </w:tc>
        <w:tc>
          <w:tcPr>
            <w:tcW w:w="394" w:type="pct"/>
            <w:noWrap w:val="0"/>
            <w:vAlign w:val="center"/>
          </w:tcPr>
          <w:p w14:paraId="074A5405">
            <w:pPr>
              <w:pStyle w:val="2"/>
              <w:rPr>
                <w:highlight w:val="none"/>
              </w:rPr>
            </w:pPr>
            <w:r>
              <w:rPr>
                <w:highlight w:val="none"/>
              </w:rPr>
              <w:t>72</w:t>
            </w:r>
          </w:p>
        </w:tc>
        <w:tc>
          <w:tcPr>
            <w:tcW w:w="368" w:type="pct"/>
            <w:noWrap w:val="0"/>
            <w:vAlign w:val="center"/>
          </w:tcPr>
          <w:p w14:paraId="22F89A6D">
            <w:pPr>
              <w:pStyle w:val="2"/>
              <w:rPr>
                <w:highlight w:val="none"/>
              </w:rPr>
            </w:pPr>
            <w:r>
              <w:rPr>
                <w:highlight w:val="none"/>
              </w:rPr>
              <w:t>58</w:t>
            </w:r>
          </w:p>
        </w:tc>
        <w:tc>
          <w:tcPr>
            <w:tcW w:w="378" w:type="pct"/>
            <w:noWrap w:val="0"/>
            <w:vAlign w:val="center"/>
          </w:tcPr>
          <w:p w14:paraId="7ECA259B">
            <w:pPr>
              <w:pStyle w:val="2"/>
              <w:rPr>
                <w:highlight w:val="none"/>
              </w:rPr>
            </w:pPr>
            <w:r>
              <w:rPr>
                <w:highlight w:val="none"/>
              </w:rPr>
              <w:t>52</w:t>
            </w:r>
          </w:p>
        </w:tc>
        <w:tc>
          <w:tcPr>
            <w:tcW w:w="378" w:type="pct"/>
            <w:noWrap w:val="0"/>
            <w:vAlign w:val="center"/>
          </w:tcPr>
          <w:p w14:paraId="5D710815">
            <w:pPr>
              <w:pStyle w:val="2"/>
              <w:rPr>
                <w:highlight w:val="none"/>
              </w:rPr>
            </w:pPr>
            <w:r>
              <w:rPr>
                <w:highlight w:val="none"/>
              </w:rPr>
              <w:t>48.5</w:t>
            </w:r>
          </w:p>
        </w:tc>
        <w:tc>
          <w:tcPr>
            <w:tcW w:w="378" w:type="pct"/>
            <w:noWrap w:val="0"/>
            <w:vAlign w:val="center"/>
          </w:tcPr>
          <w:p w14:paraId="24D694E2">
            <w:pPr>
              <w:pStyle w:val="2"/>
              <w:rPr>
                <w:highlight w:val="none"/>
              </w:rPr>
            </w:pPr>
            <w:r>
              <w:rPr>
                <w:highlight w:val="none"/>
              </w:rPr>
              <w:t>46</w:t>
            </w:r>
          </w:p>
        </w:tc>
        <w:tc>
          <w:tcPr>
            <w:tcW w:w="378" w:type="pct"/>
            <w:noWrap w:val="0"/>
            <w:vAlign w:val="center"/>
          </w:tcPr>
          <w:p w14:paraId="5B9DD505">
            <w:pPr>
              <w:pStyle w:val="2"/>
              <w:rPr>
                <w:highlight w:val="none"/>
              </w:rPr>
            </w:pPr>
            <w:r>
              <w:rPr>
                <w:highlight w:val="none"/>
              </w:rPr>
              <w:t>44</w:t>
            </w:r>
          </w:p>
        </w:tc>
        <w:tc>
          <w:tcPr>
            <w:tcW w:w="378" w:type="pct"/>
            <w:noWrap w:val="0"/>
            <w:vAlign w:val="center"/>
          </w:tcPr>
          <w:p w14:paraId="7196192D">
            <w:pPr>
              <w:pStyle w:val="2"/>
              <w:rPr>
                <w:highlight w:val="none"/>
              </w:rPr>
            </w:pPr>
            <w:r>
              <w:rPr>
                <w:highlight w:val="none"/>
              </w:rPr>
              <w:t>42.4</w:t>
            </w:r>
          </w:p>
        </w:tc>
        <w:tc>
          <w:tcPr>
            <w:tcW w:w="378" w:type="pct"/>
            <w:noWrap w:val="0"/>
            <w:vAlign w:val="center"/>
          </w:tcPr>
          <w:p w14:paraId="46891649">
            <w:pPr>
              <w:pStyle w:val="2"/>
              <w:rPr>
                <w:highlight w:val="none"/>
              </w:rPr>
            </w:pPr>
            <w:r>
              <w:rPr>
                <w:highlight w:val="none"/>
              </w:rPr>
              <w:t>39.9</w:t>
            </w:r>
          </w:p>
        </w:tc>
        <w:tc>
          <w:tcPr>
            <w:tcW w:w="366" w:type="pct"/>
            <w:noWrap w:val="0"/>
            <w:vAlign w:val="center"/>
          </w:tcPr>
          <w:p w14:paraId="149A10D9">
            <w:pPr>
              <w:pStyle w:val="2"/>
              <w:rPr>
                <w:highlight w:val="none"/>
              </w:rPr>
            </w:pPr>
            <w:r>
              <w:rPr>
                <w:highlight w:val="none"/>
              </w:rPr>
              <w:t>38</w:t>
            </w:r>
          </w:p>
        </w:tc>
      </w:tr>
      <w:tr w14:paraId="177F600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28" w:type="dxa"/>
            <w:left w:w="108" w:type="dxa"/>
            <w:bottom w:w="28" w:type="dxa"/>
            <w:right w:w="108" w:type="dxa"/>
          </w:tblCellMar>
        </w:tblPrEx>
        <w:trPr>
          <w:trHeight w:val="37" w:hRule="atLeast"/>
          <w:jc w:val="center"/>
        </w:trPr>
        <w:tc>
          <w:tcPr>
            <w:tcW w:w="1210" w:type="pct"/>
            <w:noWrap w:val="0"/>
            <w:vAlign w:val="center"/>
          </w:tcPr>
          <w:p w14:paraId="75898D6C">
            <w:pPr>
              <w:pStyle w:val="2"/>
              <w:rPr>
                <w:highlight w:val="none"/>
              </w:rPr>
            </w:pPr>
            <w:r>
              <w:rPr>
                <w:highlight w:val="none"/>
              </w:rPr>
              <w:t>装载机</w:t>
            </w:r>
          </w:p>
        </w:tc>
        <w:tc>
          <w:tcPr>
            <w:tcW w:w="394" w:type="pct"/>
            <w:noWrap w:val="0"/>
            <w:vAlign w:val="top"/>
          </w:tcPr>
          <w:p w14:paraId="2D903E61">
            <w:pPr>
              <w:pStyle w:val="2"/>
              <w:rPr>
                <w:highlight w:val="none"/>
              </w:rPr>
            </w:pPr>
            <w:r>
              <w:rPr>
                <w:highlight w:val="none"/>
              </w:rPr>
              <w:t>80</w:t>
            </w:r>
          </w:p>
        </w:tc>
        <w:tc>
          <w:tcPr>
            <w:tcW w:w="394" w:type="pct"/>
            <w:noWrap w:val="0"/>
            <w:vAlign w:val="center"/>
          </w:tcPr>
          <w:p w14:paraId="351829EF">
            <w:pPr>
              <w:pStyle w:val="2"/>
              <w:rPr>
                <w:highlight w:val="none"/>
              </w:rPr>
            </w:pPr>
            <w:r>
              <w:rPr>
                <w:highlight w:val="none"/>
              </w:rPr>
              <w:t>74</w:t>
            </w:r>
          </w:p>
        </w:tc>
        <w:tc>
          <w:tcPr>
            <w:tcW w:w="368" w:type="pct"/>
            <w:noWrap w:val="0"/>
            <w:vAlign w:val="center"/>
          </w:tcPr>
          <w:p w14:paraId="0FC08D06">
            <w:pPr>
              <w:pStyle w:val="2"/>
              <w:rPr>
                <w:highlight w:val="none"/>
              </w:rPr>
            </w:pPr>
            <w:r>
              <w:rPr>
                <w:highlight w:val="none"/>
              </w:rPr>
              <w:t>60</w:t>
            </w:r>
          </w:p>
        </w:tc>
        <w:tc>
          <w:tcPr>
            <w:tcW w:w="378" w:type="pct"/>
            <w:noWrap w:val="0"/>
            <w:vAlign w:val="center"/>
          </w:tcPr>
          <w:p w14:paraId="014BBCD7">
            <w:pPr>
              <w:pStyle w:val="2"/>
              <w:rPr>
                <w:highlight w:val="none"/>
              </w:rPr>
            </w:pPr>
            <w:r>
              <w:rPr>
                <w:highlight w:val="none"/>
              </w:rPr>
              <w:t>54</w:t>
            </w:r>
          </w:p>
        </w:tc>
        <w:tc>
          <w:tcPr>
            <w:tcW w:w="378" w:type="pct"/>
            <w:noWrap w:val="0"/>
            <w:vAlign w:val="center"/>
          </w:tcPr>
          <w:p w14:paraId="06574F32">
            <w:pPr>
              <w:pStyle w:val="2"/>
              <w:rPr>
                <w:highlight w:val="none"/>
              </w:rPr>
            </w:pPr>
            <w:r>
              <w:rPr>
                <w:highlight w:val="none"/>
              </w:rPr>
              <w:t>51.5</w:t>
            </w:r>
          </w:p>
        </w:tc>
        <w:tc>
          <w:tcPr>
            <w:tcW w:w="378" w:type="pct"/>
            <w:noWrap w:val="0"/>
            <w:vAlign w:val="center"/>
          </w:tcPr>
          <w:p w14:paraId="4A2259E1">
            <w:pPr>
              <w:pStyle w:val="2"/>
              <w:rPr>
                <w:highlight w:val="none"/>
              </w:rPr>
            </w:pPr>
            <w:r>
              <w:rPr>
                <w:highlight w:val="none"/>
              </w:rPr>
              <w:t>49</w:t>
            </w:r>
          </w:p>
        </w:tc>
        <w:tc>
          <w:tcPr>
            <w:tcW w:w="378" w:type="pct"/>
            <w:noWrap w:val="0"/>
            <w:vAlign w:val="center"/>
          </w:tcPr>
          <w:p w14:paraId="4D8F0B68">
            <w:pPr>
              <w:pStyle w:val="2"/>
              <w:rPr>
                <w:highlight w:val="none"/>
              </w:rPr>
            </w:pPr>
            <w:r>
              <w:rPr>
                <w:highlight w:val="none"/>
              </w:rPr>
              <w:t>47</w:t>
            </w:r>
          </w:p>
        </w:tc>
        <w:tc>
          <w:tcPr>
            <w:tcW w:w="378" w:type="pct"/>
            <w:noWrap w:val="0"/>
            <w:vAlign w:val="center"/>
          </w:tcPr>
          <w:p w14:paraId="386AFAD8">
            <w:pPr>
              <w:pStyle w:val="2"/>
              <w:rPr>
                <w:highlight w:val="none"/>
              </w:rPr>
            </w:pPr>
            <w:r>
              <w:rPr>
                <w:highlight w:val="none"/>
              </w:rPr>
              <w:t>45.4</w:t>
            </w:r>
          </w:p>
        </w:tc>
        <w:tc>
          <w:tcPr>
            <w:tcW w:w="378" w:type="pct"/>
            <w:noWrap w:val="0"/>
            <w:vAlign w:val="center"/>
          </w:tcPr>
          <w:p w14:paraId="65A59691">
            <w:pPr>
              <w:pStyle w:val="2"/>
              <w:rPr>
                <w:highlight w:val="none"/>
              </w:rPr>
            </w:pPr>
            <w:r>
              <w:rPr>
                <w:highlight w:val="none"/>
              </w:rPr>
              <w:t>42.9</w:t>
            </w:r>
          </w:p>
        </w:tc>
        <w:tc>
          <w:tcPr>
            <w:tcW w:w="366" w:type="pct"/>
            <w:noWrap w:val="0"/>
            <w:vAlign w:val="center"/>
          </w:tcPr>
          <w:p w14:paraId="13AAFC23">
            <w:pPr>
              <w:pStyle w:val="2"/>
              <w:rPr>
                <w:highlight w:val="none"/>
              </w:rPr>
            </w:pPr>
            <w:r>
              <w:rPr>
                <w:highlight w:val="none"/>
              </w:rPr>
              <w:t>41</w:t>
            </w:r>
          </w:p>
        </w:tc>
      </w:tr>
    </w:tbl>
    <w:p w14:paraId="31947BCB">
      <w:pPr>
        <w:ind w:firstLine="480"/>
        <w:rPr>
          <w:rFonts w:ascii="Times New Roman" w:hAnsi="Times New Roman"/>
          <w:highlight w:val="none"/>
        </w:rPr>
      </w:pPr>
      <w:r>
        <w:rPr>
          <w:rFonts w:ascii="Times New Roman" w:hAnsi="Times New Roman"/>
          <w:highlight w:val="none"/>
        </w:rPr>
        <w:t>由表5.1-5可知，昼间施工单个机械设备超标范围为50m以内，夜间施工单个机械设备超标范围为200m以内。</w:t>
      </w:r>
    </w:p>
    <w:p w14:paraId="4222DDBA">
      <w:pPr>
        <w:rPr>
          <w:rFonts w:ascii="Times New Roman" w:hAnsi="Times New Roman"/>
          <w:highlight w:val="none"/>
        </w:rPr>
      </w:pPr>
      <w:r>
        <w:rPr>
          <w:rFonts w:ascii="Times New Roman" w:hAnsi="Times New Roman"/>
          <w:highlight w:val="none"/>
        </w:rPr>
        <w:t>采用低噪声施工机械，合理安排施工时间，对高噪声设备采取减振、隔声措施，运输车辆限速、禁鸣，禁止夜间（22:00-6:00）施工作业，施工场界噪声应符合《建筑施工场界环境噪声排放标准》（GB12523-2011）标准要求。切实落实噪声污染防治措施后，项目施工期间产生的噪声对周围环境影响较小，随着施工竣工，施工噪声的影响将不再存在。</w:t>
      </w:r>
    </w:p>
    <w:p w14:paraId="319502DB">
      <w:pPr>
        <w:pStyle w:val="5"/>
        <w:bidi w:val="0"/>
        <w:ind w:left="0" w:leftChars="0" w:firstLine="0" w:firstLineChars="0"/>
        <w:rPr>
          <w:rFonts w:hint="eastAsia"/>
          <w:sz w:val="30"/>
          <w:szCs w:val="30"/>
          <w:highlight w:val="none"/>
          <w:lang w:val="en-US" w:eastAsia="zh-CN"/>
        </w:rPr>
      </w:pPr>
      <w:bookmarkStart w:id="125" w:name="_Toc3772"/>
      <w:r>
        <w:rPr>
          <w:rFonts w:hint="default" w:ascii="Times New Roman" w:hAnsi="Times New Roman" w:cs="Times New Roman"/>
          <w:sz w:val="30"/>
          <w:szCs w:val="30"/>
          <w:highlight w:val="none"/>
          <w:lang w:val="en-US" w:eastAsia="zh-CN"/>
        </w:rPr>
        <w:t>5.1.4</w:t>
      </w:r>
      <w:r>
        <w:rPr>
          <w:rFonts w:hint="eastAsia"/>
          <w:sz w:val="30"/>
          <w:szCs w:val="30"/>
          <w:highlight w:val="none"/>
          <w:lang w:val="en-US" w:eastAsia="zh-CN"/>
        </w:rPr>
        <w:t>固体废物影响分析</w:t>
      </w:r>
      <w:bookmarkEnd w:id="125"/>
    </w:p>
    <w:p w14:paraId="011243B4">
      <w:pPr>
        <w:rPr>
          <w:rFonts w:ascii="Times New Roman" w:hAnsi="Times New Roman"/>
          <w:highlight w:val="none"/>
        </w:rPr>
      </w:pPr>
      <w:r>
        <w:rPr>
          <w:rFonts w:ascii="Times New Roman" w:hAnsi="Times New Roman"/>
          <w:highlight w:val="none"/>
        </w:rPr>
        <w:t>施工期的固废主要为土建施工产生的弃土、建筑垃圾、施工人员产生的生活垃圾等。本项目厂址地势平坦，工程挖方量与填方量基本持平，不会产生多余弃土，在施工过程中产生的挖方应及时回填，不能及时回填的土方应采取遮盖措施，防止暴雨期的水土流失。采取以上措施后，可避免开挖土方对环境的影响。施工产生的弃土和建筑垃圾应及时清运，并按照市政部门批准的地点倾倒。施工人员产生的生活垃圾量较少，可设置固定垃圾箱存放，由市政部门统一清运处理，不得随意丢弃。</w:t>
      </w:r>
    </w:p>
    <w:p w14:paraId="30C18213">
      <w:pPr>
        <w:pStyle w:val="5"/>
        <w:bidi w:val="0"/>
        <w:ind w:left="0" w:leftChars="0" w:firstLine="0" w:firstLineChars="0"/>
        <w:rPr>
          <w:rFonts w:hint="eastAsia"/>
          <w:highlight w:val="none"/>
          <w:lang w:val="en-US" w:eastAsia="zh-CN"/>
        </w:rPr>
      </w:pPr>
      <w:bookmarkStart w:id="126" w:name="_Toc18719"/>
      <w:r>
        <w:rPr>
          <w:rFonts w:hint="default" w:ascii="Times New Roman" w:hAnsi="Times New Roman" w:cs="Times New Roman"/>
          <w:highlight w:val="none"/>
          <w:lang w:val="en-US" w:eastAsia="zh-CN"/>
        </w:rPr>
        <w:t>5.1.5</w:t>
      </w:r>
      <w:r>
        <w:rPr>
          <w:rFonts w:hint="eastAsia"/>
          <w:highlight w:val="none"/>
          <w:lang w:val="en-US" w:eastAsia="zh-CN"/>
        </w:rPr>
        <w:t>生态环境影响分析</w:t>
      </w:r>
      <w:bookmarkEnd w:id="126"/>
    </w:p>
    <w:p w14:paraId="7EEFC1BC">
      <w:pPr>
        <w:pStyle w:val="7"/>
        <w:ind w:firstLine="480"/>
        <w:rPr>
          <w:rFonts w:ascii="Times New Roman" w:hAnsi="Times New Roman"/>
          <w:highlight w:val="none"/>
        </w:rPr>
      </w:pPr>
      <w:r>
        <w:rPr>
          <w:rFonts w:ascii="Times New Roman" w:hAnsi="Times New Roman"/>
          <w:highlight w:val="none"/>
        </w:rPr>
        <w:t>本次项目</w:t>
      </w:r>
      <w:r>
        <w:rPr>
          <w:rFonts w:hint="eastAsia" w:ascii="Times New Roman" w:hAnsi="Times New Roman"/>
          <w:highlight w:val="none"/>
        </w:rPr>
        <w:t>主体工程</w:t>
      </w:r>
      <w:r>
        <w:rPr>
          <w:rFonts w:ascii="Times New Roman" w:hAnsi="Times New Roman"/>
          <w:highlight w:val="none"/>
        </w:rPr>
        <w:t>在</w:t>
      </w:r>
      <w:r>
        <w:rPr>
          <w:rFonts w:hint="eastAsia" w:ascii="Times New Roman" w:hAnsi="Times New Roman"/>
          <w:highlight w:val="none"/>
          <w:lang w:val="en-US" w:eastAsia="zh-CN"/>
        </w:rPr>
        <w:t>现</w:t>
      </w:r>
      <w:r>
        <w:rPr>
          <w:rFonts w:ascii="Times New Roman" w:hAnsi="Times New Roman"/>
          <w:highlight w:val="none"/>
        </w:rPr>
        <w:t>有热源厂进行建设，</w:t>
      </w:r>
      <w:r>
        <w:rPr>
          <w:rFonts w:hint="eastAsia" w:ascii="Times New Roman" w:hAnsi="Times New Roman"/>
          <w:highlight w:val="none"/>
        </w:rPr>
        <w:t>占地面积约为</w:t>
      </w:r>
      <w:r>
        <w:rPr>
          <w:rFonts w:hint="eastAsia" w:ascii="Times New Roman" w:hAnsi="Times New Roman"/>
          <w:highlight w:val="none"/>
          <w:lang w:val="en-US" w:eastAsia="zh-CN"/>
        </w:rPr>
        <w:t>1.3万</w:t>
      </w:r>
      <w:r>
        <w:rPr>
          <w:rFonts w:hint="eastAsia" w:ascii="Times New Roman" w:hAnsi="Times New Roman"/>
          <w:highlight w:val="none"/>
        </w:rPr>
        <w:t>平方米</w:t>
      </w:r>
      <w:r>
        <w:rPr>
          <w:rFonts w:ascii="Times New Roman" w:hAnsi="Times New Roman"/>
          <w:highlight w:val="none"/>
        </w:rPr>
        <w:t>，为了将影响降到最低，要求施工单位在施工过程中严格按设计标准规定，现场施工作业机械应严格管理，划定活动范围，不得在道路、施工场地以外的地方行驶和作业，保持征地区域以外的植被不被破坏。应加快建设步伐，减少水土流失。实施这一系列措施后，可有效降低项目施工期间对生态环境的影响。</w:t>
      </w:r>
    </w:p>
    <w:p w14:paraId="68B4308C">
      <w:pPr>
        <w:rPr>
          <w:rFonts w:ascii="Times New Roman" w:hAnsi="Times New Roman"/>
          <w:highlight w:val="none"/>
        </w:rPr>
      </w:pPr>
      <w:r>
        <w:rPr>
          <w:rFonts w:ascii="Times New Roman" w:hAnsi="Times New Roman"/>
          <w:highlight w:val="none"/>
        </w:rPr>
        <w:t>评价区内野生动物种类较少，现有的野生动物多为一些常见的鸟类、啮齿类及昆虫等，施工作业时，将会影响到施工区周边田鼠等小型兽类和常见小型鸟类的正常生活。但这些动物都具有较强的迁移能力，项目施工不会对厂区周边野生动物物种数造成影响，项目实施对区域内动物多样性的影响是可以接受的。本项目建成后对厂区进行绿化等生态恢复措施，施工期对生态环境的影响会随项目建成而逐步消失。</w:t>
      </w:r>
    </w:p>
    <w:p w14:paraId="42A07D7B">
      <w:pPr>
        <w:pStyle w:val="4"/>
        <w:bidi w:val="0"/>
        <w:ind w:left="0" w:leftChars="0" w:firstLine="0" w:firstLineChars="0"/>
        <w:rPr>
          <w:rFonts w:hint="default"/>
          <w:highlight w:val="none"/>
          <w:lang w:val="en-US" w:eastAsia="zh-CN"/>
        </w:rPr>
      </w:pPr>
      <w:bookmarkStart w:id="127" w:name="_Toc16438"/>
      <w:r>
        <w:rPr>
          <w:rFonts w:hint="default" w:ascii="Times New Roman" w:hAnsi="Times New Roman" w:cs="Times New Roman"/>
          <w:highlight w:val="none"/>
          <w:lang w:val="en-US" w:eastAsia="zh-CN"/>
        </w:rPr>
        <w:t>5.2</w:t>
      </w:r>
      <w:r>
        <w:rPr>
          <w:rFonts w:hint="eastAsia"/>
          <w:highlight w:val="none"/>
          <w:lang w:val="en-US" w:eastAsia="zh-CN"/>
        </w:rPr>
        <w:t>运营期环境空气影响预测与评价</w:t>
      </w:r>
      <w:bookmarkEnd w:id="127"/>
    </w:p>
    <w:p w14:paraId="3BCF28F7">
      <w:pPr>
        <w:pStyle w:val="5"/>
        <w:bidi w:val="0"/>
        <w:ind w:left="0" w:leftChars="0" w:firstLine="0" w:firstLineChars="0"/>
        <w:rPr>
          <w:rFonts w:hint="default"/>
          <w:highlight w:val="none"/>
          <w:lang w:val="en-US" w:eastAsia="zh-CN"/>
        </w:rPr>
      </w:pPr>
      <w:bookmarkStart w:id="128" w:name="_Toc24672"/>
      <w:r>
        <w:rPr>
          <w:rFonts w:hint="default" w:ascii="Times New Roman" w:hAnsi="Times New Roman" w:eastAsia="宋体" w:cs="Times New Roman"/>
          <w:sz w:val="30"/>
          <w:szCs w:val="30"/>
          <w:highlight w:val="none"/>
          <w:lang w:val="en-US" w:eastAsia="zh-CN"/>
        </w:rPr>
        <w:t>5.2.1</w:t>
      </w:r>
      <w:r>
        <w:rPr>
          <w:rFonts w:hint="eastAsia"/>
          <w:sz w:val="30"/>
          <w:szCs w:val="30"/>
          <w:highlight w:val="none"/>
          <w:lang w:val="en-US" w:eastAsia="zh-CN"/>
        </w:rPr>
        <w:t>预测气象</w:t>
      </w:r>
      <w:bookmarkEnd w:id="128"/>
    </w:p>
    <w:p w14:paraId="40CE09DD">
      <w:pPr>
        <w:ind w:firstLine="480"/>
        <w:rPr>
          <w:rFonts w:ascii="Times New Roman" w:hAnsi="Times New Roman"/>
          <w:highlight w:val="none"/>
        </w:rPr>
      </w:pPr>
      <w:r>
        <w:rPr>
          <w:rFonts w:ascii="Times New Roman" w:hAnsi="Times New Roman"/>
          <w:highlight w:val="none"/>
        </w:rPr>
        <w:t>一、常年气象资料分析</w:t>
      </w:r>
    </w:p>
    <w:p w14:paraId="16BF0DCB">
      <w:pPr>
        <w:ind w:firstLine="480"/>
        <w:rPr>
          <w:rFonts w:ascii="Times New Roman" w:hAnsi="Times New Roman"/>
          <w:highlight w:val="none"/>
        </w:rPr>
      </w:pPr>
      <w:r>
        <w:rPr>
          <w:rFonts w:ascii="Times New Roman" w:hAnsi="Times New Roman"/>
          <w:highlight w:val="none"/>
        </w:rPr>
        <w:t>项目采用的是</w:t>
      </w:r>
      <w:r>
        <w:rPr>
          <w:rFonts w:hint="eastAsia" w:ascii="Times New Roman" w:hAnsi="Times New Roman"/>
          <w:highlight w:val="none"/>
          <w:lang w:eastAsia="zh-CN"/>
        </w:rPr>
        <w:t>绥芬河</w:t>
      </w:r>
      <w:r>
        <w:rPr>
          <w:rFonts w:ascii="Times New Roman" w:hAnsi="Times New Roman"/>
          <w:highlight w:val="none"/>
        </w:rPr>
        <w:t>气象站（</w:t>
      </w:r>
      <w:r>
        <w:rPr>
          <w:rFonts w:hint="default" w:ascii="Times New Roman" w:hAnsi="Times New Roman"/>
          <w:highlight w:val="none"/>
          <w:lang w:val="en-US" w:eastAsia="zh-CN"/>
        </w:rPr>
        <w:t>54096</w:t>
      </w:r>
      <w:r>
        <w:rPr>
          <w:rFonts w:ascii="Times New Roman" w:hAnsi="Times New Roman"/>
          <w:highlight w:val="none"/>
        </w:rPr>
        <w:t>）资料，气象站位于</w:t>
      </w:r>
      <w:r>
        <w:rPr>
          <w:rFonts w:hint="eastAsia" w:ascii="Times New Roman" w:hAnsi="Times New Roman"/>
          <w:highlight w:val="none"/>
          <w:lang w:val="en-US" w:eastAsia="zh-CN"/>
        </w:rPr>
        <w:t>黑龙江牡丹江</w:t>
      </w:r>
      <w:r>
        <w:rPr>
          <w:rFonts w:hint="eastAsia" w:ascii="Times New Roman" w:hAnsi="Times New Roman"/>
          <w:highlight w:val="none"/>
          <w:lang w:eastAsia="zh-CN"/>
        </w:rPr>
        <w:t>绥芬河</w:t>
      </w:r>
      <w:r>
        <w:rPr>
          <w:rFonts w:ascii="Times New Roman" w:hAnsi="Times New Roman"/>
          <w:highlight w:val="none"/>
        </w:rPr>
        <w:t>，地理坐标为东经</w:t>
      </w:r>
      <w:r>
        <w:rPr>
          <w:rFonts w:hint="eastAsia" w:ascii="Times New Roman" w:hAnsi="Times New Roman"/>
          <w:highlight w:val="none"/>
          <w:lang w:val="en-US" w:eastAsia="zh-CN"/>
        </w:rPr>
        <w:t>131.1644</w:t>
      </w:r>
      <w:r>
        <w:rPr>
          <w:rFonts w:hint="eastAsia" w:ascii="Times New Roman" w:hAnsi="Times New Roman"/>
          <w:highlight w:val="none"/>
        </w:rPr>
        <w:t>度</w:t>
      </w:r>
      <w:r>
        <w:rPr>
          <w:rFonts w:ascii="Times New Roman" w:hAnsi="Times New Roman"/>
          <w:highlight w:val="none"/>
        </w:rPr>
        <w:t>，北纬</w:t>
      </w:r>
      <w:r>
        <w:rPr>
          <w:rFonts w:hint="eastAsia" w:ascii="Times New Roman" w:hAnsi="Times New Roman"/>
          <w:highlight w:val="none"/>
          <w:lang w:val="en-US" w:eastAsia="zh-CN"/>
        </w:rPr>
        <w:t>44.3894</w:t>
      </w:r>
      <w:r>
        <w:rPr>
          <w:rFonts w:ascii="Times New Roman" w:hAnsi="Times New Roman"/>
          <w:highlight w:val="none"/>
        </w:rPr>
        <w:t>度，海拔高度</w:t>
      </w:r>
      <w:r>
        <w:rPr>
          <w:rFonts w:hint="eastAsia" w:ascii="Times New Roman" w:hAnsi="Times New Roman"/>
          <w:highlight w:val="none"/>
          <w:lang w:val="en-US" w:eastAsia="zh-CN"/>
        </w:rPr>
        <w:t>561.6</w:t>
      </w:r>
      <w:r>
        <w:rPr>
          <w:rFonts w:ascii="Times New Roman" w:hAnsi="Times New Roman"/>
          <w:highlight w:val="none"/>
        </w:rPr>
        <w:t>米。气象站始建于</w:t>
      </w:r>
      <w:r>
        <w:rPr>
          <w:rFonts w:hint="eastAsia" w:ascii="Times New Roman" w:hAnsi="Times New Roman"/>
          <w:highlight w:val="none"/>
          <w:lang w:val="en-US" w:eastAsia="zh-CN"/>
        </w:rPr>
        <w:t>1952</w:t>
      </w:r>
      <w:r>
        <w:rPr>
          <w:rFonts w:ascii="Times New Roman" w:hAnsi="Times New Roman"/>
          <w:highlight w:val="none"/>
        </w:rPr>
        <w:t>年，</w:t>
      </w:r>
      <w:r>
        <w:rPr>
          <w:rFonts w:hint="eastAsia" w:ascii="Times New Roman" w:hAnsi="Times New Roman"/>
          <w:highlight w:val="none"/>
          <w:lang w:val="en-US" w:eastAsia="zh-CN"/>
        </w:rPr>
        <w:t>1952</w:t>
      </w:r>
      <w:r>
        <w:rPr>
          <w:rFonts w:ascii="Times New Roman" w:hAnsi="Times New Roman"/>
          <w:highlight w:val="none"/>
        </w:rPr>
        <w:t>年正式进行气象观测。</w:t>
      </w:r>
    </w:p>
    <w:p w14:paraId="1E6A15A3">
      <w:pPr>
        <w:ind w:firstLine="480"/>
        <w:rPr>
          <w:rFonts w:ascii="Times New Roman" w:hAnsi="Times New Roman"/>
          <w:highlight w:val="none"/>
        </w:rPr>
      </w:pPr>
      <w:r>
        <w:rPr>
          <w:rFonts w:hint="eastAsia" w:ascii="Times New Roman" w:hAnsi="Times New Roman"/>
          <w:highlight w:val="none"/>
          <w:lang w:val="en-US" w:eastAsia="zh-CN"/>
        </w:rPr>
        <w:t>绥芬河</w:t>
      </w:r>
      <w:r>
        <w:rPr>
          <w:rFonts w:ascii="Times New Roman" w:hAnsi="Times New Roman"/>
          <w:highlight w:val="none"/>
        </w:rPr>
        <w:t>气象站距项目</w:t>
      </w:r>
      <w:r>
        <w:rPr>
          <w:rFonts w:hint="eastAsia" w:ascii="Times New Roman" w:hAnsi="Times New Roman"/>
          <w:highlight w:val="none"/>
          <w:lang w:val="en-US" w:eastAsia="zh-CN"/>
        </w:rPr>
        <w:t>2.2</w:t>
      </w:r>
      <w:r>
        <w:rPr>
          <w:rFonts w:ascii="Times New Roman" w:hAnsi="Times New Roman"/>
          <w:highlight w:val="none"/>
        </w:rPr>
        <w:t>km，是距项目最近的国家气象站，拥有长期的气象观测资料，以下资料根据200</w:t>
      </w:r>
      <w:r>
        <w:rPr>
          <w:rFonts w:hint="eastAsia" w:ascii="Times New Roman" w:hAnsi="Times New Roman"/>
          <w:highlight w:val="none"/>
          <w:lang w:val="en-US" w:eastAsia="zh-CN"/>
        </w:rPr>
        <w:t>5</w:t>
      </w:r>
      <w:r>
        <w:rPr>
          <w:rFonts w:ascii="Times New Roman" w:hAnsi="Times New Roman"/>
          <w:highlight w:val="none"/>
        </w:rPr>
        <w:t>-202</w:t>
      </w:r>
      <w:r>
        <w:rPr>
          <w:rFonts w:hint="eastAsia" w:ascii="Times New Roman" w:hAnsi="Times New Roman"/>
          <w:highlight w:val="none"/>
          <w:lang w:val="en-US" w:eastAsia="zh-CN"/>
        </w:rPr>
        <w:t>4</w:t>
      </w:r>
      <w:r>
        <w:rPr>
          <w:rFonts w:ascii="Times New Roman" w:hAnsi="Times New Roman"/>
          <w:highlight w:val="none"/>
        </w:rPr>
        <w:t>年气象数据统计分析。</w:t>
      </w:r>
    </w:p>
    <w:p w14:paraId="0DDE3645">
      <w:pPr>
        <w:ind w:firstLine="0" w:firstLineChars="0"/>
        <w:jc w:val="center"/>
        <w:rPr>
          <w:rFonts w:ascii="Times New Roman" w:hAnsi="Times New Roman"/>
          <w:highlight w:val="none"/>
        </w:rPr>
      </w:pPr>
      <w:r>
        <w:rPr>
          <w:rFonts w:ascii="Times New Roman" w:hAnsi="Times New Roman"/>
          <w:highlight w:val="none"/>
        </w:rPr>
        <w:t>表5.2-1</w:t>
      </w:r>
      <w:r>
        <w:rPr>
          <w:rFonts w:hint="eastAsia" w:ascii="Times New Roman" w:hAnsi="Times New Roman"/>
          <w:highlight w:val="none"/>
          <w:lang w:val="en-US" w:eastAsia="zh-CN"/>
        </w:rPr>
        <w:t>绥芬河</w:t>
      </w:r>
      <w:r>
        <w:rPr>
          <w:rFonts w:ascii="Times New Roman" w:hAnsi="Times New Roman"/>
          <w:highlight w:val="none"/>
        </w:rPr>
        <w:t>气象站近20年的主要气候资料统计结果表</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434"/>
        <w:gridCol w:w="3872"/>
      </w:tblGrid>
      <w:tr w14:paraId="1EC3E5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69" w:type="pct"/>
            <w:noWrap w:val="0"/>
            <w:vAlign w:val="center"/>
          </w:tcPr>
          <w:p w14:paraId="3B9B919C">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项目</w:t>
            </w:r>
          </w:p>
        </w:tc>
        <w:tc>
          <w:tcPr>
            <w:tcW w:w="2331" w:type="pct"/>
            <w:noWrap w:val="0"/>
            <w:vAlign w:val="center"/>
          </w:tcPr>
          <w:p w14:paraId="74AE0FB2">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统计值</w:t>
            </w:r>
          </w:p>
        </w:tc>
      </w:tr>
      <w:tr w14:paraId="518BCC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69" w:type="pct"/>
            <w:noWrap w:val="0"/>
            <w:vAlign w:val="center"/>
          </w:tcPr>
          <w:p w14:paraId="01F57826">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多年平均气温（</w:t>
            </w:r>
            <w:r>
              <w:rPr>
                <w:rFonts w:hint="eastAsia" w:ascii="宋体" w:hAnsi="宋体" w:cs="宋体"/>
                <w:kern w:val="0"/>
                <w:sz w:val="21"/>
                <w:highlight w:val="none"/>
              </w:rPr>
              <w:t>℃</w:t>
            </w:r>
            <w:r>
              <w:rPr>
                <w:rFonts w:ascii="Times New Roman" w:hAnsi="Times New Roman"/>
                <w:kern w:val="0"/>
                <w:sz w:val="21"/>
                <w:highlight w:val="none"/>
              </w:rPr>
              <w:t>）</w:t>
            </w:r>
          </w:p>
        </w:tc>
        <w:tc>
          <w:tcPr>
            <w:tcW w:w="3872" w:type="dxa"/>
            <w:noWrap w:val="0"/>
            <w:vAlign w:val="center"/>
          </w:tcPr>
          <w:p w14:paraId="5D63C2FE">
            <w:pPr>
              <w:spacing w:line="240" w:lineRule="auto"/>
              <w:ind w:firstLine="0" w:firstLineChars="0"/>
              <w:jc w:val="center"/>
              <w:rPr>
                <w:rFonts w:ascii="Times New Roman" w:hAnsi="Times New Roman"/>
                <w:kern w:val="0"/>
                <w:sz w:val="21"/>
                <w:highlight w:val="none"/>
              </w:rPr>
            </w:pPr>
            <w:r>
              <w:rPr>
                <w:rFonts w:hint="eastAsia" w:ascii="Times New Roman" w:hAnsi="Times New Roman"/>
                <w:kern w:val="0"/>
                <w:sz w:val="21"/>
                <w:highlight w:val="none"/>
                <w:lang w:val="en-US" w:eastAsia="zh-CN"/>
              </w:rPr>
              <w:t>3.6</w:t>
            </w:r>
          </w:p>
        </w:tc>
      </w:tr>
      <w:tr w14:paraId="7449E4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69" w:type="pct"/>
            <w:noWrap w:val="0"/>
            <w:vAlign w:val="center"/>
          </w:tcPr>
          <w:p w14:paraId="5470BC54">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多年极端最高气温（</w:t>
            </w:r>
            <w:r>
              <w:rPr>
                <w:rFonts w:hint="eastAsia" w:ascii="宋体" w:hAnsi="宋体" w:cs="宋体"/>
                <w:kern w:val="0"/>
                <w:sz w:val="21"/>
                <w:highlight w:val="none"/>
              </w:rPr>
              <w:t>℃</w:t>
            </w:r>
            <w:r>
              <w:rPr>
                <w:rFonts w:ascii="Times New Roman" w:hAnsi="Times New Roman"/>
                <w:kern w:val="0"/>
                <w:sz w:val="21"/>
                <w:highlight w:val="none"/>
              </w:rPr>
              <w:t>）</w:t>
            </w:r>
          </w:p>
        </w:tc>
        <w:tc>
          <w:tcPr>
            <w:tcW w:w="3872" w:type="dxa"/>
            <w:noWrap w:val="0"/>
            <w:vAlign w:val="center"/>
          </w:tcPr>
          <w:p w14:paraId="34634BE9">
            <w:pPr>
              <w:spacing w:line="240" w:lineRule="auto"/>
              <w:ind w:firstLine="0" w:firstLineChars="0"/>
              <w:jc w:val="center"/>
              <w:rPr>
                <w:rFonts w:ascii="Times New Roman" w:hAnsi="Times New Roman"/>
                <w:kern w:val="0"/>
                <w:sz w:val="21"/>
                <w:highlight w:val="none"/>
              </w:rPr>
            </w:pPr>
            <w:r>
              <w:rPr>
                <w:rFonts w:hint="eastAsia" w:ascii="Times New Roman" w:hAnsi="Times New Roman"/>
                <w:kern w:val="0"/>
                <w:sz w:val="21"/>
                <w:highlight w:val="none"/>
                <w:lang w:val="en-US" w:eastAsia="zh-CN"/>
              </w:rPr>
              <w:t>31.8</w:t>
            </w:r>
          </w:p>
        </w:tc>
      </w:tr>
      <w:tr w14:paraId="6B6374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69" w:type="pct"/>
            <w:noWrap w:val="0"/>
            <w:vAlign w:val="center"/>
          </w:tcPr>
          <w:p w14:paraId="2A0D4A4C">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多年极端最低气温（</w:t>
            </w:r>
            <w:r>
              <w:rPr>
                <w:rFonts w:hint="eastAsia" w:ascii="宋体" w:hAnsi="宋体" w:cs="宋体"/>
                <w:kern w:val="0"/>
                <w:sz w:val="21"/>
                <w:highlight w:val="none"/>
              </w:rPr>
              <w:t>℃</w:t>
            </w:r>
            <w:r>
              <w:rPr>
                <w:rFonts w:ascii="Times New Roman" w:hAnsi="Times New Roman"/>
                <w:kern w:val="0"/>
                <w:sz w:val="21"/>
                <w:highlight w:val="none"/>
              </w:rPr>
              <w:t>）</w:t>
            </w:r>
          </w:p>
        </w:tc>
        <w:tc>
          <w:tcPr>
            <w:tcW w:w="3872" w:type="dxa"/>
            <w:noWrap w:val="0"/>
            <w:vAlign w:val="center"/>
          </w:tcPr>
          <w:p w14:paraId="43FDC760">
            <w:pPr>
              <w:spacing w:line="240" w:lineRule="auto"/>
              <w:ind w:firstLine="0" w:firstLineChars="0"/>
              <w:jc w:val="center"/>
              <w:rPr>
                <w:rFonts w:ascii="Times New Roman" w:hAnsi="Times New Roman"/>
                <w:kern w:val="0"/>
                <w:sz w:val="21"/>
                <w:highlight w:val="none"/>
              </w:rPr>
            </w:pPr>
            <w:r>
              <w:rPr>
                <w:rFonts w:hint="eastAsia" w:ascii="Times New Roman" w:hAnsi="Times New Roman"/>
                <w:kern w:val="0"/>
                <w:sz w:val="21"/>
                <w:highlight w:val="none"/>
                <w:lang w:val="en-US" w:eastAsia="zh-CN"/>
              </w:rPr>
              <w:t>-26.9</w:t>
            </w:r>
          </w:p>
        </w:tc>
      </w:tr>
      <w:tr w14:paraId="1A0964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69" w:type="pct"/>
            <w:noWrap w:val="0"/>
            <w:vAlign w:val="center"/>
          </w:tcPr>
          <w:p w14:paraId="376B8A94">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多年平均气压(hPa)</w:t>
            </w:r>
          </w:p>
        </w:tc>
        <w:tc>
          <w:tcPr>
            <w:tcW w:w="3872" w:type="dxa"/>
            <w:noWrap w:val="0"/>
            <w:vAlign w:val="center"/>
          </w:tcPr>
          <w:p w14:paraId="269FC5BB">
            <w:pPr>
              <w:spacing w:line="240" w:lineRule="auto"/>
              <w:ind w:firstLine="0" w:firstLineChars="0"/>
              <w:jc w:val="center"/>
              <w:rPr>
                <w:rFonts w:ascii="Times New Roman" w:hAnsi="Times New Roman"/>
                <w:kern w:val="0"/>
                <w:sz w:val="21"/>
                <w:highlight w:val="none"/>
              </w:rPr>
            </w:pPr>
            <w:r>
              <w:rPr>
                <w:rFonts w:hint="eastAsia" w:ascii="Times New Roman" w:hAnsi="Times New Roman"/>
                <w:kern w:val="0"/>
                <w:sz w:val="21"/>
                <w:highlight w:val="none"/>
                <w:lang w:val="en-US" w:eastAsia="zh-CN"/>
              </w:rPr>
              <w:t>946.4</w:t>
            </w:r>
          </w:p>
        </w:tc>
      </w:tr>
      <w:tr w14:paraId="7965B9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69" w:type="pct"/>
            <w:noWrap w:val="0"/>
            <w:vAlign w:val="center"/>
          </w:tcPr>
          <w:p w14:paraId="49F0B726">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年平均风速（m/s）</w:t>
            </w:r>
          </w:p>
        </w:tc>
        <w:tc>
          <w:tcPr>
            <w:tcW w:w="3872" w:type="dxa"/>
            <w:noWrap w:val="0"/>
            <w:vAlign w:val="center"/>
          </w:tcPr>
          <w:p w14:paraId="1B21A3EC">
            <w:pPr>
              <w:spacing w:line="240" w:lineRule="auto"/>
              <w:ind w:firstLine="0" w:firstLineChars="0"/>
              <w:jc w:val="center"/>
              <w:rPr>
                <w:rFonts w:ascii="Times New Roman" w:hAnsi="Times New Roman"/>
                <w:kern w:val="0"/>
                <w:sz w:val="21"/>
                <w:highlight w:val="none"/>
              </w:rPr>
            </w:pPr>
            <w:r>
              <w:rPr>
                <w:rFonts w:hint="eastAsia" w:ascii="Times New Roman" w:hAnsi="Times New Roman"/>
                <w:kern w:val="0"/>
                <w:sz w:val="21"/>
                <w:highlight w:val="none"/>
                <w:lang w:val="en-US" w:eastAsia="zh-CN"/>
              </w:rPr>
              <w:t>8</w:t>
            </w:r>
          </w:p>
        </w:tc>
      </w:tr>
      <w:tr w14:paraId="1778CC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69" w:type="pct"/>
            <w:noWrap w:val="0"/>
            <w:vAlign w:val="center"/>
          </w:tcPr>
          <w:p w14:paraId="0EE8A169">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年最大风速（m/s）</w:t>
            </w:r>
          </w:p>
        </w:tc>
        <w:tc>
          <w:tcPr>
            <w:tcW w:w="3872" w:type="dxa"/>
            <w:noWrap w:val="0"/>
            <w:vAlign w:val="center"/>
          </w:tcPr>
          <w:p w14:paraId="32133D77">
            <w:pPr>
              <w:spacing w:line="240" w:lineRule="auto"/>
              <w:ind w:firstLine="0" w:firstLineChars="0"/>
              <w:jc w:val="center"/>
              <w:rPr>
                <w:rFonts w:ascii="Times New Roman" w:hAnsi="Times New Roman"/>
                <w:kern w:val="0"/>
                <w:sz w:val="21"/>
                <w:highlight w:val="none"/>
              </w:rPr>
            </w:pPr>
            <w:r>
              <w:rPr>
                <w:rFonts w:hint="eastAsia" w:ascii="Times New Roman" w:hAnsi="Times New Roman"/>
                <w:kern w:val="0"/>
                <w:sz w:val="21"/>
                <w:highlight w:val="none"/>
                <w:lang w:val="en-US" w:eastAsia="zh-CN"/>
              </w:rPr>
              <w:t>67.9</w:t>
            </w:r>
          </w:p>
        </w:tc>
      </w:tr>
      <w:tr w14:paraId="67B4A9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69" w:type="pct"/>
            <w:noWrap w:val="0"/>
            <w:vAlign w:val="center"/>
          </w:tcPr>
          <w:p w14:paraId="39DD5083">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平均降水量(mm)</w:t>
            </w:r>
          </w:p>
        </w:tc>
        <w:tc>
          <w:tcPr>
            <w:tcW w:w="3872" w:type="dxa"/>
            <w:noWrap w:val="0"/>
            <w:vAlign w:val="center"/>
          </w:tcPr>
          <w:p w14:paraId="31939B96">
            <w:pPr>
              <w:spacing w:line="240" w:lineRule="auto"/>
              <w:ind w:firstLine="0" w:firstLineChars="0"/>
              <w:jc w:val="center"/>
              <w:rPr>
                <w:rFonts w:ascii="Times New Roman" w:hAnsi="Times New Roman"/>
                <w:kern w:val="0"/>
                <w:sz w:val="21"/>
                <w:highlight w:val="none"/>
              </w:rPr>
            </w:pPr>
            <w:r>
              <w:rPr>
                <w:rFonts w:hint="eastAsia" w:ascii="Times New Roman" w:hAnsi="Times New Roman"/>
                <w:kern w:val="0"/>
                <w:sz w:val="21"/>
                <w:highlight w:val="none"/>
                <w:lang w:val="en-US" w:eastAsia="zh-CN"/>
              </w:rPr>
              <w:t>723.2</w:t>
            </w:r>
          </w:p>
        </w:tc>
      </w:tr>
      <w:tr w14:paraId="223B76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69" w:type="pct"/>
            <w:noWrap w:val="0"/>
            <w:vAlign w:val="center"/>
          </w:tcPr>
          <w:p w14:paraId="25E31054">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多年主导风向、风向频率</w:t>
            </w:r>
          </w:p>
        </w:tc>
        <w:tc>
          <w:tcPr>
            <w:tcW w:w="2331" w:type="pct"/>
            <w:noWrap w:val="0"/>
            <w:vAlign w:val="center"/>
          </w:tcPr>
          <w:p w14:paraId="549AB9E9">
            <w:pPr>
              <w:spacing w:line="240" w:lineRule="auto"/>
              <w:ind w:firstLine="0" w:firstLineChars="0"/>
              <w:jc w:val="center"/>
              <w:rPr>
                <w:rFonts w:ascii="Times New Roman" w:hAnsi="Times New Roman"/>
                <w:kern w:val="0"/>
                <w:sz w:val="21"/>
                <w:highlight w:val="none"/>
              </w:rPr>
            </w:pPr>
            <w:r>
              <w:rPr>
                <w:rFonts w:hint="eastAsia" w:ascii="Times New Roman" w:hAnsi="Times New Roman"/>
                <w:kern w:val="0"/>
                <w:sz w:val="21"/>
                <w:highlight w:val="none"/>
                <w:lang w:val="en-US" w:eastAsia="zh-CN"/>
              </w:rPr>
              <w:t>NW/26.78</w:t>
            </w:r>
          </w:p>
        </w:tc>
      </w:tr>
    </w:tbl>
    <w:p w14:paraId="4BBD4824">
      <w:pPr>
        <w:ind w:firstLine="480"/>
        <w:rPr>
          <w:rFonts w:ascii="Times New Roman" w:hAnsi="Times New Roman"/>
          <w:highlight w:val="none"/>
        </w:rPr>
      </w:pPr>
      <w:r>
        <w:rPr>
          <w:rFonts w:ascii="Times New Roman" w:hAnsi="Times New Roman"/>
          <w:highlight w:val="none"/>
        </w:rPr>
        <w:t>二、评价基准年气象数据</w:t>
      </w:r>
      <w:r>
        <w:rPr>
          <w:rFonts w:hint="eastAsia" w:ascii="Times New Roman" w:hAnsi="Times New Roman"/>
          <w:highlight w:val="none"/>
          <w:lang w:val="en-US" w:eastAsia="zh-CN"/>
        </w:rPr>
        <w:t>绥芬河</w:t>
      </w:r>
      <w:r>
        <w:rPr>
          <w:rFonts w:ascii="Times New Roman" w:hAnsi="Times New Roman"/>
          <w:highlight w:val="none"/>
        </w:rPr>
        <w:t>气象数据</w:t>
      </w:r>
    </w:p>
    <w:p w14:paraId="1A325205">
      <w:pPr>
        <w:ind w:firstLine="480"/>
        <w:rPr>
          <w:rFonts w:ascii="Times New Roman" w:hAnsi="Times New Roman"/>
          <w:highlight w:val="none"/>
        </w:rPr>
      </w:pPr>
      <w:r>
        <w:rPr>
          <w:rFonts w:ascii="Times New Roman" w:hAnsi="Times New Roman"/>
          <w:highlight w:val="none"/>
        </w:rPr>
        <w:t>（1）温度</w:t>
      </w:r>
    </w:p>
    <w:p w14:paraId="73BCF3C5">
      <w:pPr>
        <w:ind w:firstLine="480"/>
        <w:rPr>
          <w:rFonts w:ascii="Times New Roman" w:hAnsi="Times New Roman"/>
          <w:highlight w:val="none"/>
        </w:rPr>
      </w:pPr>
      <w:r>
        <w:rPr>
          <w:rFonts w:hint="eastAsia" w:ascii="Times New Roman" w:hAnsi="Times New Roman"/>
          <w:highlight w:val="none"/>
          <w:lang w:val="en-US" w:eastAsia="zh-CN"/>
        </w:rPr>
        <w:t>绥芬河</w:t>
      </w:r>
      <w:r>
        <w:rPr>
          <w:rFonts w:ascii="Times New Roman" w:hAnsi="Times New Roman"/>
          <w:highlight w:val="none"/>
        </w:rPr>
        <w:t>市202</w:t>
      </w:r>
      <w:r>
        <w:rPr>
          <w:rFonts w:hint="eastAsia" w:ascii="Times New Roman" w:hAnsi="Times New Roman"/>
          <w:highlight w:val="none"/>
          <w:lang w:val="en-US" w:eastAsia="zh-CN"/>
        </w:rPr>
        <w:t>4</w:t>
      </w:r>
      <w:r>
        <w:rPr>
          <w:rFonts w:ascii="Times New Roman" w:hAnsi="Times New Roman"/>
          <w:highlight w:val="none"/>
        </w:rPr>
        <w:t>年平均气温月变化情况见表5.1-2，年平均气温月变化曲线见图5.1-1。从年平均气温月变化资料中可以看出该地区</w:t>
      </w:r>
      <w:r>
        <w:rPr>
          <w:rFonts w:hint="eastAsia" w:ascii="Times New Roman" w:hAnsi="Times New Roman"/>
          <w:highlight w:val="none"/>
          <w:lang w:val="en-US" w:eastAsia="zh-CN"/>
        </w:rPr>
        <w:t>8</w:t>
      </w:r>
      <w:r>
        <w:rPr>
          <w:rFonts w:ascii="Times New Roman" w:hAnsi="Times New Roman"/>
          <w:highlight w:val="none"/>
        </w:rPr>
        <w:t>月份平均气温最高（</w:t>
      </w:r>
      <w:r>
        <w:rPr>
          <w:rFonts w:hint="eastAsia" w:ascii="Times New Roman" w:hAnsi="Times New Roman"/>
          <w:highlight w:val="none"/>
          <w:lang w:val="en-US" w:eastAsia="zh-CN"/>
        </w:rPr>
        <w:t>20.86</w:t>
      </w:r>
      <w:r>
        <w:rPr>
          <w:rFonts w:ascii="Times New Roman" w:hAnsi="Times New Roman"/>
          <w:highlight w:val="none"/>
        </w:rPr>
        <w:t>ºC），</w:t>
      </w:r>
      <w:r>
        <w:rPr>
          <w:rFonts w:hint="eastAsia" w:ascii="Times New Roman" w:hAnsi="Times New Roman"/>
          <w:highlight w:val="none"/>
          <w:lang w:val="en-US" w:eastAsia="zh-CN"/>
        </w:rPr>
        <w:t>1</w:t>
      </w:r>
      <w:r>
        <w:rPr>
          <w:rFonts w:ascii="Times New Roman" w:hAnsi="Times New Roman"/>
          <w:highlight w:val="none"/>
        </w:rPr>
        <w:t>月份气温平均最低（-</w:t>
      </w:r>
      <w:r>
        <w:rPr>
          <w:rFonts w:hint="eastAsia" w:ascii="Times New Roman" w:hAnsi="Times New Roman"/>
          <w:highlight w:val="none"/>
          <w:lang w:val="en-US" w:eastAsia="zh-CN"/>
        </w:rPr>
        <w:t>14.61</w:t>
      </w:r>
      <w:r>
        <w:rPr>
          <w:rFonts w:ascii="Times New Roman" w:hAnsi="Times New Roman"/>
          <w:highlight w:val="none"/>
        </w:rPr>
        <w:t>ºC）。</w:t>
      </w:r>
    </w:p>
    <w:p w14:paraId="64104785">
      <w:pPr>
        <w:ind w:firstLine="0" w:firstLineChars="0"/>
        <w:jc w:val="center"/>
        <w:rPr>
          <w:rFonts w:ascii="Times New Roman" w:hAnsi="Times New Roman"/>
          <w:highlight w:val="none"/>
        </w:rPr>
      </w:pPr>
      <w:r>
        <w:rPr>
          <w:rFonts w:ascii="Times New Roman" w:hAnsi="Times New Roman"/>
          <w:highlight w:val="none"/>
        </w:rPr>
        <w:t>表5.2-2</w:t>
      </w:r>
      <w:r>
        <w:rPr>
          <w:rFonts w:hint="eastAsia" w:ascii="Times New Roman" w:hAnsi="Times New Roman"/>
          <w:highlight w:val="none"/>
          <w:lang w:val="en-US" w:eastAsia="zh-CN"/>
        </w:rPr>
        <w:t>绥芬河</w:t>
      </w:r>
      <w:r>
        <w:rPr>
          <w:rFonts w:ascii="Times New Roman" w:hAnsi="Times New Roman"/>
          <w:highlight w:val="none"/>
        </w:rPr>
        <w:t>202</w:t>
      </w:r>
      <w:r>
        <w:rPr>
          <w:rFonts w:hint="eastAsia" w:ascii="Times New Roman" w:hAnsi="Times New Roman"/>
          <w:highlight w:val="none"/>
          <w:lang w:val="en-US" w:eastAsia="zh-CN"/>
        </w:rPr>
        <w:t>4</w:t>
      </w:r>
      <w:r>
        <w:rPr>
          <w:rFonts w:ascii="Times New Roman" w:hAnsi="Times New Roman"/>
          <w:highlight w:val="none"/>
        </w:rPr>
        <w:t>年各月平均气温统计表</w:t>
      </w:r>
    </w:p>
    <w:tbl>
      <w:tblPr>
        <w:tblStyle w:val="17"/>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5"/>
        <w:gridCol w:w="593"/>
        <w:gridCol w:w="737"/>
        <w:gridCol w:w="636"/>
        <w:gridCol w:w="569"/>
        <w:gridCol w:w="670"/>
        <w:gridCol w:w="670"/>
        <w:gridCol w:w="670"/>
        <w:gridCol w:w="670"/>
        <w:gridCol w:w="670"/>
        <w:gridCol w:w="569"/>
        <w:gridCol w:w="636"/>
        <w:gridCol w:w="737"/>
      </w:tblGrid>
      <w:tr w14:paraId="0D4645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695" w:type="dxa"/>
            <w:noWrap w:val="0"/>
            <w:vAlign w:val="center"/>
          </w:tcPr>
          <w:p w14:paraId="1B3B4A2D">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月份</w:t>
            </w:r>
          </w:p>
        </w:tc>
        <w:tc>
          <w:tcPr>
            <w:tcW w:w="593" w:type="dxa"/>
            <w:noWrap w:val="0"/>
            <w:vAlign w:val="center"/>
          </w:tcPr>
          <w:p w14:paraId="365A9B62">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1月</w:t>
            </w:r>
          </w:p>
        </w:tc>
        <w:tc>
          <w:tcPr>
            <w:tcW w:w="737" w:type="dxa"/>
            <w:noWrap w:val="0"/>
            <w:vAlign w:val="center"/>
          </w:tcPr>
          <w:p w14:paraId="4D220DAC">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2月</w:t>
            </w:r>
          </w:p>
        </w:tc>
        <w:tc>
          <w:tcPr>
            <w:tcW w:w="636" w:type="dxa"/>
            <w:noWrap w:val="0"/>
            <w:vAlign w:val="center"/>
          </w:tcPr>
          <w:p w14:paraId="7C39AB00">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3月</w:t>
            </w:r>
          </w:p>
        </w:tc>
        <w:tc>
          <w:tcPr>
            <w:tcW w:w="569" w:type="dxa"/>
            <w:noWrap w:val="0"/>
            <w:vAlign w:val="center"/>
          </w:tcPr>
          <w:p w14:paraId="1F961A9B">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4月</w:t>
            </w:r>
          </w:p>
        </w:tc>
        <w:tc>
          <w:tcPr>
            <w:tcW w:w="670" w:type="dxa"/>
            <w:noWrap w:val="0"/>
            <w:vAlign w:val="center"/>
          </w:tcPr>
          <w:p w14:paraId="5A04969A">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5月</w:t>
            </w:r>
          </w:p>
        </w:tc>
        <w:tc>
          <w:tcPr>
            <w:tcW w:w="670" w:type="dxa"/>
            <w:noWrap w:val="0"/>
            <w:vAlign w:val="center"/>
          </w:tcPr>
          <w:p w14:paraId="3DD02318">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6月</w:t>
            </w:r>
          </w:p>
        </w:tc>
        <w:tc>
          <w:tcPr>
            <w:tcW w:w="670" w:type="dxa"/>
            <w:noWrap w:val="0"/>
            <w:vAlign w:val="center"/>
          </w:tcPr>
          <w:p w14:paraId="5F28BEAA">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7月</w:t>
            </w:r>
          </w:p>
        </w:tc>
        <w:tc>
          <w:tcPr>
            <w:tcW w:w="670" w:type="dxa"/>
            <w:noWrap w:val="0"/>
            <w:vAlign w:val="center"/>
          </w:tcPr>
          <w:p w14:paraId="75F0F223">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8月</w:t>
            </w:r>
          </w:p>
        </w:tc>
        <w:tc>
          <w:tcPr>
            <w:tcW w:w="670" w:type="dxa"/>
            <w:noWrap w:val="0"/>
            <w:vAlign w:val="center"/>
          </w:tcPr>
          <w:p w14:paraId="2B9B32D4">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9月</w:t>
            </w:r>
          </w:p>
        </w:tc>
        <w:tc>
          <w:tcPr>
            <w:tcW w:w="569" w:type="dxa"/>
            <w:noWrap w:val="0"/>
            <w:vAlign w:val="center"/>
          </w:tcPr>
          <w:p w14:paraId="72215AB5">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10月</w:t>
            </w:r>
          </w:p>
        </w:tc>
        <w:tc>
          <w:tcPr>
            <w:tcW w:w="636" w:type="dxa"/>
            <w:noWrap w:val="0"/>
            <w:vAlign w:val="center"/>
          </w:tcPr>
          <w:p w14:paraId="115F75C2">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11月</w:t>
            </w:r>
          </w:p>
        </w:tc>
        <w:tc>
          <w:tcPr>
            <w:tcW w:w="737" w:type="dxa"/>
            <w:noWrap w:val="0"/>
            <w:vAlign w:val="center"/>
          </w:tcPr>
          <w:p w14:paraId="18D154EF">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12月</w:t>
            </w:r>
          </w:p>
        </w:tc>
      </w:tr>
      <w:tr w14:paraId="3F2FAA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695" w:type="dxa"/>
            <w:noWrap w:val="0"/>
            <w:vAlign w:val="center"/>
          </w:tcPr>
          <w:p w14:paraId="07EF4625">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温度(</w:t>
            </w:r>
            <w:r>
              <w:rPr>
                <w:rFonts w:hint="eastAsia" w:ascii="宋体" w:hAnsi="宋体" w:cs="宋体"/>
                <w:kern w:val="0"/>
                <w:sz w:val="21"/>
                <w:highlight w:val="none"/>
              </w:rPr>
              <w:t>℃</w:t>
            </w:r>
            <w:r>
              <w:rPr>
                <w:rFonts w:ascii="Times New Roman" w:hAnsi="Times New Roman"/>
                <w:kern w:val="0"/>
                <w:sz w:val="21"/>
                <w:highlight w:val="none"/>
              </w:rPr>
              <w:t>)</w:t>
            </w:r>
          </w:p>
        </w:tc>
        <w:tc>
          <w:tcPr>
            <w:tcW w:w="593" w:type="dxa"/>
            <w:noWrap w:val="0"/>
            <w:vAlign w:val="top"/>
          </w:tcPr>
          <w:p w14:paraId="60A967FC">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-14.61</w:t>
            </w:r>
          </w:p>
        </w:tc>
        <w:tc>
          <w:tcPr>
            <w:tcW w:w="737" w:type="dxa"/>
            <w:noWrap w:val="0"/>
            <w:vAlign w:val="top"/>
          </w:tcPr>
          <w:p w14:paraId="585A83D0">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-10.00</w:t>
            </w:r>
          </w:p>
        </w:tc>
        <w:tc>
          <w:tcPr>
            <w:tcW w:w="636" w:type="dxa"/>
            <w:noWrap w:val="0"/>
            <w:vAlign w:val="top"/>
          </w:tcPr>
          <w:p w14:paraId="0D8A52C8">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-4.02</w:t>
            </w:r>
          </w:p>
        </w:tc>
        <w:tc>
          <w:tcPr>
            <w:tcW w:w="569" w:type="dxa"/>
            <w:noWrap w:val="0"/>
            <w:vAlign w:val="top"/>
          </w:tcPr>
          <w:p w14:paraId="336BF761">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7.97</w:t>
            </w:r>
          </w:p>
        </w:tc>
        <w:tc>
          <w:tcPr>
            <w:tcW w:w="670" w:type="dxa"/>
            <w:noWrap w:val="0"/>
            <w:vAlign w:val="top"/>
          </w:tcPr>
          <w:p w14:paraId="56D4FD33">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11.41</w:t>
            </w:r>
          </w:p>
        </w:tc>
        <w:tc>
          <w:tcPr>
            <w:tcW w:w="670" w:type="dxa"/>
            <w:noWrap w:val="0"/>
            <w:vAlign w:val="top"/>
          </w:tcPr>
          <w:p w14:paraId="377BCD0A">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15.96</w:t>
            </w:r>
          </w:p>
        </w:tc>
        <w:tc>
          <w:tcPr>
            <w:tcW w:w="670" w:type="dxa"/>
            <w:noWrap w:val="0"/>
            <w:vAlign w:val="top"/>
          </w:tcPr>
          <w:p w14:paraId="12DBC160">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20.69</w:t>
            </w:r>
          </w:p>
        </w:tc>
        <w:tc>
          <w:tcPr>
            <w:tcW w:w="670" w:type="dxa"/>
            <w:noWrap w:val="0"/>
            <w:vAlign w:val="top"/>
          </w:tcPr>
          <w:p w14:paraId="2C31A282">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20.86</w:t>
            </w:r>
          </w:p>
        </w:tc>
        <w:tc>
          <w:tcPr>
            <w:tcW w:w="670" w:type="dxa"/>
            <w:noWrap w:val="0"/>
            <w:vAlign w:val="top"/>
          </w:tcPr>
          <w:p w14:paraId="33530C5A">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14.03</w:t>
            </w:r>
          </w:p>
        </w:tc>
        <w:tc>
          <w:tcPr>
            <w:tcW w:w="569" w:type="dxa"/>
            <w:noWrap w:val="0"/>
            <w:vAlign w:val="top"/>
          </w:tcPr>
          <w:p w14:paraId="5107DCF7">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6.62</w:t>
            </w:r>
          </w:p>
        </w:tc>
        <w:tc>
          <w:tcPr>
            <w:tcW w:w="636" w:type="dxa"/>
            <w:noWrap w:val="0"/>
            <w:vAlign w:val="top"/>
          </w:tcPr>
          <w:p w14:paraId="1D1DB120">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-3.26</w:t>
            </w:r>
          </w:p>
        </w:tc>
        <w:tc>
          <w:tcPr>
            <w:tcW w:w="737" w:type="dxa"/>
            <w:noWrap w:val="0"/>
            <w:vAlign w:val="top"/>
          </w:tcPr>
          <w:p w14:paraId="5E739E23">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-12.52</w:t>
            </w:r>
          </w:p>
        </w:tc>
      </w:tr>
    </w:tbl>
    <w:p w14:paraId="50CC1FFA">
      <w:pPr>
        <w:ind w:firstLine="0" w:firstLineChars="0"/>
        <w:jc w:val="center"/>
        <w:rPr>
          <w:rFonts w:ascii="Times New Roman" w:hAnsi="Times New Roman"/>
          <w:highlight w:val="none"/>
        </w:rPr>
      </w:pPr>
      <w:r>
        <w:rPr>
          <w:highlight w:val="none"/>
        </w:rPr>
        <w:drawing>
          <wp:inline distT="0" distB="0" distL="114300" distR="114300">
            <wp:extent cx="5272405" cy="2056765"/>
            <wp:effectExtent l="0" t="0" r="4445" b="635"/>
            <wp:docPr id="6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4"/>
                    <pic:cNvPicPr>
                      <a:picLocks noChangeAspect="1"/>
                    </pic:cNvPicPr>
                  </pic:nvPicPr>
                  <pic:blipFill>
                    <a:blip r:embed="rId38"/>
                    <a:stretch>
                      <a:fillRect/>
                    </a:stretch>
                  </pic:blipFill>
                  <pic:spPr>
                    <a:xfrm>
                      <a:off x="0" y="0"/>
                      <a:ext cx="5272405" cy="2056765"/>
                    </a:xfrm>
                    <a:prstGeom prst="rect">
                      <a:avLst/>
                    </a:prstGeom>
                    <a:noFill/>
                    <a:ln>
                      <a:noFill/>
                    </a:ln>
                  </pic:spPr>
                </pic:pic>
              </a:graphicData>
            </a:graphic>
          </wp:inline>
        </w:drawing>
      </w:r>
    </w:p>
    <w:p w14:paraId="418989BF">
      <w:pPr>
        <w:ind w:firstLine="0" w:firstLineChars="0"/>
        <w:jc w:val="center"/>
        <w:rPr>
          <w:rFonts w:ascii="Times New Roman" w:hAnsi="Times New Roman"/>
          <w:highlight w:val="none"/>
        </w:rPr>
      </w:pPr>
      <w:r>
        <w:rPr>
          <w:rFonts w:hint="eastAsia" w:ascii="黑体" w:hAnsi="黑体" w:eastAsia="黑体" w:cs="黑体"/>
          <w:highlight w:val="none"/>
        </w:rPr>
        <w:t>图</w:t>
      </w:r>
      <w:r>
        <w:rPr>
          <w:rFonts w:ascii="Times New Roman" w:hAnsi="Times New Roman"/>
          <w:highlight w:val="none"/>
        </w:rPr>
        <w:t>5.2-1</w:t>
      </w:r>
      <w:r>
        <w:rPr>
          <w:rFonts w:hint="eastAsia" w:ascii="黑体" w:hAnsi="黑体" w:eastAsia="黑体" w:cs="黑体"/>
          <w:highlight w:val="none"/>
        </w:rPr>
        <w:t>年平均气温月变化曲线</w:t>
      </w:r>
    </w:p>
    <w:p w14:paraId="42EA7A8D">
      <w:pPr>
        <w:ind w:firstLine="480"/>
        <w:rPr>
          <w:rFonts w:ascii="Times New Roman" w:hAnsi="Times New Roman"/>
          <w:highlight w:val="none"/>
        </w:rPr>
      </w:pPr>
      <w:r>
        <w:rPr>
          <w:rFonts w:ascii="Times New Roman" w:hAnsi="Times New Roman"/>
          <w:highlight w:val="none"/>
        </w:rPr>
        <w:t>（2）风速</w:t>
      </w:r>
    </w:p>
    <w:p w14:paraId="1966FB70">
      <w:pPr>
        <w:ind w:firstLine="480"/>
        <w:rPr>
          <w:rFonts w:ascii="Times New Roman" w:hAnsi="Times New Roman"/>
          <w:highlight w:val="none"/>
        </w:rPr>
      </w:pPr>
      <w:r>
        <w:rPr>
          <w:rFonts w:hint="eastAsia" w:ascii="Times New Roman" w:hAnsi="Times New Roman"/>
          <w:highlight w:val="none"/>
          <w:lang w:val="en-US" w:eastAsia="zh-CN"/>
        </w:rPr>
        <w:t>绥芬河</w:t>
      </w:r>
      <w:r>
        <w:rPr>
          <w:rFonts w:ascii="Times New Roman" w:hAnsi="Times New Roman"/>
          <w:highlight w:val="none"/>
        </w:rPr>
        <w:t>市202</w:t>
      </w:r>
      <w:r>
        <w:rPr>
          <w:rFonts w:hint="eastAsia" w:ascii="Times New Roman" w:hAnsi="Times New Roman"/>
          <w:highlight w:val="none"/>
          <w:lang w:val="en-US" w:eastAsia="zh-CN"/>
        </w:rPr>
        <w:t>4</w:t>
      </w:r>
      <w:r>
        <w:rPr>
          <w:rFonts w:ascii="Times New Roman" w:hAnsi="Times New Roman"/>
          <w:highlight w:val="none"/>
        </w:rPr>
        <w:t>年平均风速随月份的变化情况分别见表5.1-3，月平均风速变化曲线见图5.2-2。</w:t>
      </w:r>
    </w:p>
    <w:p w14:paraId="3DBABE69">
      <w:pPr>
        <w:ind w:firstLine="0" w:firstLineChars="0"/>
        <w:jc w:val="center"/>
        <w:rPr>
          <w:rFonts w:ascii="Times New Roman" w:hAnsi="Times New Roman"/>
          <w:highlight w:val="none"/>
        </w:rPr>
      </w:pPr>
      <w:r>
        <w:rPr>
          <w:rFonts w:ascii="Times New Roman" w:hAnsi="Times New Roman"/>
          <w:highlight w:val="none"/>
        </w:rPr>
        <w:t>表5.2-3</w:t>
      </w:r>
      <w:r>
        <w:rPr>
          <w:rFonts w:hint="eastAsia" w:ascii="Times New Roman" w:hAnsi="Times New Roman"/>
          <w:highlight w:val="none"/>
          <w:lang w:val="en-US" w:eastAsia="zh-CN"/>
        </w:rPr>
        <w:t>绥芬河</w:t>
      </w:r>
      <w:r>
        <w:rPr>
          <w:rFonts w:ascii="Times New Roman" w:hAnsi="Times New Roman"/>
          <w:highlight w:val="none"/>
        </w:rPr>
        <w:t>市2020年各月平均风速统计（米/秒）</w:t>
      </w:r>
    </w:p>
    <w:tbl>
      <w:tblPr>
        <w:tblStyle w:val="1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0"/>
        <w:gridCol w:w="584"/>
        <w:gridCol w:w="584"/>
        <w:gridCol w:w="584"/>
        <w:gridCol w:w="584"/>
        <w:gridCol w:w="584"/>
        <w:gridCol w:w="584"/>
        <w:gridCol w:w="584"/>
        <w:gridCol w:w="584"/>
        <w:gridCol w:w="584"/>
        <w:gridCol w:w="584"/>
        <w:gridCol w:w="584"/>
        <w:gridCol w:w="584"/>
      </w:tblGrid>
      <w:tr w14:paraId="39B0EC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0" w:type="auto"/>
            <w:noWrap w:val="0"/>
            <w:vAlign w:val="center"/>
          </w:tcPr>
          <w:p w14:paraId="0E77C859">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月份</w:t>
            </w:r>
          </w:p>
        </w:tc>
        <w:tc>
          <w:tcPr>
            <w:tcW w:w="0" w:type="auto"/>
            <w:noWrap w:val="0"/>
            <w:vAlign w:val="center"/>
          </w:tcPr>
          <w:p w14:paraId="73D90F01">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1</w:t>
            </w:r>
          </w:p>
        </w:tc>
        <w:tc>
          <w:tcPr>
            <w:tcW w:w="0" w:type="auto"/>
            <w:noWrap w:val="0"/>
            <w:vAlign w:val="center"/>
          </w:tcPr>
          <w:p w14:paraId="1D36E76A">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2</w:t>
            </w:r>
          </w:p>
        </w:tc>
        <w:tc>
          <w:tcPr>
            <w:tcW w:w="584" w:type="dxa"/>
            <w:noWrap w:val="0"/>
            <w:vAlign w:val="center"/>
          </w:tcPr>
          <w:p w14:paraId="6569EF98">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3</w:t>
            </w:r>
          </w:p>
        </w:tc>
        <w:tc>
          <w:tcPr>
            <w:tcW w:w="584" w:type="dxa"/>
            <w:noWrap w:val="0"/>
            <w:vAlign w:val="center"/>
          </w:tcPr>
          <w:p w14:paraId="1D166EC9">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4</w:t>
            </w:r>
          </w:p>
        </w:tc>
        <w:tc>
          <w:tcPr>
            <w:tcW w:w="0" w:type="auto"/>
            <w:noWrap w:val="0"/>
            <w:vAlign w:val="center"/>
          </w:tcPr>
          <w:p w14:paraId="21D158E4">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5</w:t>
            </w:r>
          </w:p>
        </w:tc>
        <w:tc>
          <w:tcPr>
            <w:tcW w:w="0" w:type="auto"/>
            <w:noWrap w:val="0"/>
            <w:vAlign w:val="center"/>
          </w:tcPr>
          <w:p w14:paraId="03A51B38">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6</w:t>
            </w:r>
          </w:p>
        </w:tc>
        <w:tc>
          <w:tcPr>
            <w:tcW w:w="0" w:type="auto"/>
            <w:noWrap w:val="0"/>
            <w:vAlign w:val="center"/>
          </w:tcPr>
          <w:p w14:paraId="3814D3AE">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7</w:t>
            </w:r>
          </w:p>
        </w:tc>
        <w:tc>
          <w:tcPr>
            <w:tcW w:w="0" w:type="auto"/>
            <w:noWrap w:val="0"/>
            <w:vAlign w:val="center"/>
          </w:tcPr>
          <w:p w14:paraId="639A9C8C">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8</w:t>
            </w:r>
          </w:p>
        </w:tc>
        <w:tc>
          <w:tcPr>
            <w:tcW w:w="0" w:type="auto"/>
            <w:noWrap w:val="0"/>
            <w:vAlign w:val="center"/>
          </w:tcPr>
          <w:p w14:paraId="48827535">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9</w:t>
            </w:r>
          </w:p>
        </w:tc>
        <w:tc>
          <w:tcPr>
            <w:tcW w:w="0" w:type="auto"/>
            <w:noWrap w:val="0"/>
            <w:vAlign w:val="center"/>
          </w:tcPr>
          <w:p w14:paraId="69D1BD94">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10</w:t>
            </w:r>
          </w:p>
        </w:tc>
        <w:tc>
          <w:tcPr>
            <w:tcW w:w="0" w:type="auto"/>
            <w:noWrap w:val="0"/>
            <w:vAlign w:val="center"/>
          </w:tcPr>
          <w:p w14:paraId="0432CEF2">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11</w:t>
            </w:r>
          </w:p>
        </w:tc>
        <w:tc>
          <w:tcPr>
            <w:tcW w:w="0" w:type="auto"/>
            <w:noWrap w:val="0"/>
            <w:vAlign w:val="center"/>
          </w:tcPr>
          <w:p w14:paraId="2F2A9A85">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12</w:t>
            </w:r>
          </w:p>
        </w:tc>
      </w:tr>
      <w:tr w14:paraId="472411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0" w:type="auto"/>
            <w:noWrap w:val="0"/>
            <w:vAlign w:val="center"/>
          </w:tcPr>
          <w:p w14:paraId="79602626">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风速(m/s)</w:t>
            </w:r>
          </w:p>
        </w:tc>
        <w:tc>
          <w:tcPr>
            <w:tcW w:w="584" w:type="dxa"/>
            <w:noWrap w:val="0"/>
            <w:vAlign w:val="center"/>
          </w:tcPr>
          <w:p w14:paraId="256BB8AF">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3.86</w:t>
            </w:r>
          </w:p>
        </w:tc>
        <w:tc>
          <w:tcPr>
            <w:tcW w:w="584" w:type="dxa"/>
            <w:noWrap w:val="0"/>
            <w:vAlign w:val="center"/>
          </w:tcPr>
          <w:p w14:paraId="431623B8">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3.52</w:t>
            </w:r>
          </w:p>
        </w:tc>
        <w:tc>
          <w:tcPr>
            <w:tcW w:w="584" w:type="dxa"/>
            <w:noWrap w:val="0"/>
            <w:vAlign w:val="center"/>
          </w:tcPr>
          <w:p w14:paraId="2DD12A02">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3.70</w:t>
            </w:r>
          </w:p>
        </w:tc>
        <w:tc>
          <w:tcPr>
            <w:tcW w:w="584" w:type="dxa"/>
            <w:noWrap w:val="0"/>
            <w:vAlign w:val="center"/>
          </w:tcPr>
          <w:p w14:paraId="7B3B662B">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3.38</w:t>
            </w:r>
          </w:p>
        </w:tc>
        <w:tc>
          <w:tcPr>
            <w:tcW w:w="584" w:type="dxa"/>
            <w:noWrap w:val="0"/>
            <w:vAlign w:val="center"/>
          </w:tcPr>
          <w:p w14:paraId="50EA9FFB">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2.93</w:t>
            </w:r>
          </w:p>
        </w:tc>
        <w:tc>
          <w:tcPr>
            <w:tcW w:w="584" w:type="dxa"/>
            <w:noWrap w:val="0"/>
            <w:vAlign w:val="center"/>
          </w:tcPr>
          <w:p w14:paraId="4FB26CE4">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2.38</w:t>
            </w:r>
          </w:p>
        </w:tc>
        <w:tc>
          <w:tcPr>
            <w:tcW w:w="584" w:type="dxa"/>
            <w:noWrap w:val="0"/>
            <w:vAlign w:val="center"/>
          </w:tcPr>
          <w:p w14:paraId="190F08DF">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2.33</w:t>
            </w:r>
          </w:p>
        </w:tc>
        <w:tc>
          <w:tcPr>
            <w:tcW w:w="584" w:type="dxa"/>
            <w:noWrap w:val="0"/>
            <w:vAlign w:val="center"/>
          </w:tcPr>
          <w:p w14:paraId="4D10722A">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2.26</w:t>
            </w:r>
          </w:p>
        </w:tc>
        <w:tc>
          <w:tcPr>
            <w:tcW w:w="584" w:type="dxa"/>
            <w:noWrap w:val="0"/>
            <w:vAlign w:val="center"/>
          </w:tcPr>
          <w:p w14:paraId="154B7013">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2.82</w:t>
            </w:r>
          </w:p>
        </w:tc>
        <w:tc>
          <w:tcPr>
            <w:tcW w:w="584" w:type="dxa"/>
            <w:noWrap w:val="0"/>
            <w:vAlign w:val="center"/>
          </w:tcPr>
          <w:p w14:paraId="6A1DBA96">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3.07</w:t>
            </w:r>
          </w:p>
        </w:tc>
        <w:tc>
          <w:tcPr>
            <w:tcW w:w="584" w:type="dxa"/>
            <w:noWrap w:val="0"/>
            <w:vAlign w:val="center"/>
          </w:tcPr>
          <w:p w14:paraId="0352C789">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3.61</w:t>
            </w:r>
          </w:p>
        </w:tc>
        <w:tc>
          <w:tcPr>
            <w:tcW w:w="584" w:type="dxa"/>
            <w:noWrap w:val="0"/>
            <w:vAlign w:val="center"/>
          </w:tcPr>
          <w:p w14:paraId="5E301387">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5.12</w:t>
            </w:r>
          </w:p>
        </w:tc>
      </w:tr>
    </w:tbl>
    <w:p w14:paraId="25CFD736">
      <w:pPr>
        <w:ind w:firstLine="0" w:firstLineChars="0"/>
        <w:jc w:val="center"/>
        <w:rPr>
          <w:rFonts w:ascii="Times New Roman" w:hAnsi="Times New Roman"/>
          <w:highlight w:val="none"/>
        </w:rPr>
      </w:pPr>
      <w:r>
        <w:rPr>
          <w:highlight w:val="none"/>
        </w:rPr>
        <w:drawing>
          <wp:inline distT="0" distB="0" distL="114300" distR="114300">
            <wp:extent cx="5272405" cy="2075815"/>
            <wp:effectExtent l="0" t="0" r="4445" b="635"/>
            <wp:docPr id="7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5"/>
                    <pic:cNvPicPr>
                      <a:picLocks noChangeAspect="1"/>
                    </pic:cNvPicPr>
                  </pic:nvPicPr>
                  <pic:blipFill>
                    <a:blip r:embed="rId39"/>
                    <a:stretch>
                      <a:fillRect/>
                    </a:stretch>
                  </pic:blipFill>
                  <pic:spPr>
                    <a:xfrm>
                      <a:off x="0" y="0"/>
                      <a:ext cx="5272405" cy="2075815"/>
                    </a:xfrm>
                    <a:prstGeom prst="rect">
                      <a:avLst/>
                    </a:prstGeom>
                    <a:noFill/>
                    <a:ln>
                      <a:noFill/>
                    </a:ln>
                  </pic:spPr>
                </pic:pic>
              </a:graphicData>
            </a:graphic>
          </wp:inline>
        </w:drawing>
      </w:r>
    </w:p>
    <w:p w14:paraId="33E71A2B">
      <w:pPr>
        <w:ind w:firstLine="0" w:firstLineChars="0"/>
        <w:jc w:val="center"/>
        <w:rPr>
          <w:rFonts w:ascii="Times New Roman" w:hAnsi="Times New Roman"/>
          <w:highlight w:val="none"/>
        </w:rPr>
      </w:pPr>
      <w:r>
        <w:rPr>
          <w:rFonts w:hint="eastAsia" w:ascii="黑体" w:hAnsi="黑体" w:eastAsia="黑体" w:cs="黑体"/>
          <w:highlight w:val="none"/>
        </w:rPr>
        <w:t>图</w:t>
      </w:r>
      <w:r>
        <w:rPr>
          <w:rFonts w:ascii="Times New Roman" w:hAnsi="Times New Roman"/>
          <w:highlight w:val="none"/>
        </w:rPr>
        <w:t>5.2-2</w:t>
      </w:r>
      <w:r>
        <w:rPr>
          <w:rFonts w:hint="eastAsia" w:ascii="黑体" w:hAnsi="黑体" w:eastAsia="黑体" w:cs="黑体"/>
          <w:highlight w:val="none"/>
        </w:rPr>
        <w:t>年平均风速月变化曲线</w:t>
      </w:r>
    </w:p>
    <w:p w14:paraId="5EA5FEA2">
      <w:pPr>
        <w:ind w:firstLine="480"/>
        <w:rPr>
          <w:rFonts w:ascii="Times New Roman" w:hAnsi="Times New Roman"/>
          <w:highlight w:val="none"/>
        </w:rPr>
      </w:pPr>
      <w:r>
        <w:rPr>
          <w:rFonts w:ascii="Times New Roman" w:hAnsi="Times New Roman"/>
          <w:highlight w:val="none"/>
        </w:rPr>
        <w:t>（3）风向、风频</w:t>
      </w:r>
    </w:p>
    <w:p w14:paraId="5E11D968">
      <w:pPr>
        <w:ind w:firstLine="480"/>
        <w:rPr>
          <w:rFonts w:ascii="Times New Roman" w:hAnsi="Times New Roman"/>
          <w:highlight w:val="none"/>
        </w:rPr>
      </w:pPr>
      <w:r>
        <w:rPr>
          <w:rFonts w:ascii="Times New Roman" w:hAnsi="Times New Roman"/>
          <w:highlight w:val="none"/>
        </w:rPr>
        <w:t>202</w:t>
      </w:r>
      <w:r>
        <w:rPr>
          <w:rFonts w:hint="eastAsia" w:ascii="Times New Roman" w:hAnsi="Times New Roman"/>
          <w:highlight w:val="none"/>
          <w:lang w:val="en-US" w:eastAsia="zh-CN"/>
        </w:rPr>
        <w:t>4</w:t>
      </w:r>
      <w:r>
        <w:rPr>
          <w:rFonts w:ascii="Times New Roman" w:hAnsi="Times New Roman"/>
          <w:highlight w:val="none"/>
        </w:rPr>
        <w:t>年每月、各季及长期平均各向风频变化情况见表5.2-4，全年及四季风频玫瑰见图5.2-3。</w:t>
      </w:r>
    </w:p>
    <w:p w14:paraId="43F3F3CD">
      <w:pPr>
        <w:ind w:firstLine="0" w:firstLineChars="0"/>
        <w:jc w:val="center"/>
        <w:rPr>
          <w:rFonts w:hint="eastAsia" w:ascii="黑体" w:hAnsi="黑体" w:eastAsia="黑体" w:cs="黑体"/>
          <w:highlight w:val="none"/>
        </w:rPr>
      </w:pPr>
      <w:r>
        <w:rPr>
          <w:rFonts w:hint="eastAsia" w:ascii="黑体" w:hAnsi="黑体" w:eastAsia="黑体" w:cs="黑体"/>
          <w:highlight w:val="none"/>
        </w:rPr>
        <w:t>表</w:t>
      </w:r>
      <w:r>
        <w:rPr>
          <w:rFonts w:ascii="Times New Roman" w:hAnsi="Times New Roman"/>
          <w:highlight w:val="none"/>
        </w:rPr>
        <w:t>5.2-4 202</w:t>
      </w:r>
      <w:r>
        <w:rPr>
          <w:rFonts w:hint="eastAsia" w:ascii="Times New Roman" w:hAnsi="Times New Roman"/>
          <w:highlight w:val="none"/>
          <w:lang w:val="en-US" w:eastAsia="zh-CN"/>
        </w:rPr>
        <w:t>4</w:t>
      </w:r>
      <w:r>
        <w:rPr>
          <w:rFonts w:hint="eastAsia" w:ascii="黑体" w:hAnsi="黑体" w:eastAsia="黑体" w:cs="黑体"/>
          <w:highlight w:val="none"/>
        </w:rPr>
        <w:t>年年均风频的月变化统计 (单位：%)</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84"/>
        <w:gridCol w:w="555"/>
        <w:gridCol w:w="525"/>
        <w:gridCol w:w="535"/>
        <w:gridCol w:w="510"/>
        <w:gridCol w:w="485"/>
        <w:gridCol w:w="475"/>
        <w:gridCol w:w="478"/>
        <w:gridCol w:w="413"/>
        <w:gridCol w:w="413"/>
        <w:gridCol w:w="413"/>
        <w:gridCol w:w="415"/>
        <w:gridCol w:w="450"/>
        <w:gridCol w:w="415"/>
        <w:gridCol w:w="480"/>
        <w:gridCol w:w="415"/>
        <w:gridCol w:w="440"/>
        <w:gridCol w:w="405"/>
      </w:tblGrid>
      <w:tr w14:paraId="6E23A0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5" w:hRule="atLeast"/>
          <w:tblHeader/>
          <w:jc w:val="center"/>
        </w:trPr>
        <w:tc>
          <w:tcPr>
            <w:tcW w:w="293" w:type="pct"/>
            <w:noWrap w:val="0"/>
            <w:tcMar>
              <w:top w:w="0" w:type="dxa"/>
              <w:left w:w="0" w:type="dxa"/>
              <w:bottom w:w="0" w:type="dxa"/>
              <w:right w:w="0" w:type="dxa"/>
            </w:tcMar>
            <w:vAlign w:val="center"/>
          </w:tcPr>
          <w:p w14:paraId="63EFB63E">
            <w:pPr>
              <w:spacing w:line="240" w:lineRule="auto"/>
              <w:ind w:firstLine="0" w:firstLineChars="0"/>
              <w:jc w:val="left"/>
              <w:rPr>
                <w:rFonts w:ascii="Times New Roman" w:hAnsi="Times New Roman"/>
                <w:kern w:val="0"/>
                <w:sz w:val="18"/>
                <w:szCs w:val="18"/>
                <w:highlight w:val="none"/>
              </w:rPr>
            </w:pPr>
            <w:r>
              <w:rPr>
                <w:rFonts w:ascii="Times New Roman" w:hAnsi="Times New Roman"/>
                <w:kern w:val="0"/>
                <w:sz w:val="18"/>
                <w:szCs w:val="18"/>
                <w:highlight w:val="none"/>
              </w:rPr>
              <w:t>风频</w:t>
            </w:r>
          </w:p>
        </w:tc>
        <w:tc>
          <w:tcPr>
            <w:tcW w:w="335" w:type="pct"/>
            <w:noWrap w:val="0"/>
            <w:tcMar>
              <w:top w:w="0" w:type="dxa"/>
              <w:left w:w="0" w:type="dxa"/>
              <w:bottom w:w="0" w:type="dxa"/>
              <w:right w:w="0" w:type="dxa"/>
            </w:tcMar>
            <w:vAlign w:val="center"/>
          </w:tcPr>
          <w:p w14:paraId="042DBFD6">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N</w:t>
            </w:r>
          </w:p>
        </w:tc>
        <w:tc>
          <w:tcPr>
            <w:tcW w:w="317" w:type="pct"/>
            <w:noWrap w:val="0"/>
            <w:tcMar>
              <w:top w:w="0" w:type="dxa"/>
              <w:left w:w="0" w:type="dxa"/>
              <w:bottom w:w="0" w:type="dxa"/>
              <w:right w:w="0" w:type="dxa"/>
            </w:tcMar>
            <w:vAlign w:val="center"/>
          </w:tcPr>
          <w:p w14:paraId="2A2E2663">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NNE</w:t>
            </w:r>
          </w:p>
        </w:tc>
        <w:tc>
          <w:tcPr>
            <w:tcW w:w="323" w:type="pct"/>
            <w:noWrap w:val="0"/>
            <w:tcMar>
              <w:top w:w="0" w:type="dxa"/>
              <w:left w:w="0" w:type="dxa"/>
              <w:bottom w:w="0" w:type="dxa"/>
              <w:right w:w="0" w:type="dxa"/>
            </w:tcMar>
            <w:vAlign w:val="center"/>
          </w:tcPr>
          <w:p w14:paraId="6FB4DC95">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NE</w:t>
            </w:r>
          </w:p>
        </w:tc>
        <w:tc>
          <w:tcPr>
            <w:tcW w:w="308" w:type="pct"/>
            <w:noWrap w:val="0"/>
            <w:tcMar>
              <w:top w:w="0" w:type="dxa"/>
              <w:left w:w="0" w:type="dxa"/>
              <w:bottom w:w="0" w:type="dxa"/>
              <w:right w:w="0" w:type="dxa"/>
            </w:tcMar>
            <w:vAlign w:val="center"/>
          </w:tcPr>
          <w:p w14:paraId="0E66250A">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ENE</w:t>
            </w:r>
          </w:p>
        </w:tc>
        <w:tc>
          <w:tcPr>
            <w:tcW w:w="293" w:type="pct"/>
            <w:noWrap w:val="0"/>
            <w:tcMar>
              <w:top w:w="0" w:type="dxa"/>
              <w:left w:w="0" w:type="dxa"/>
              <w:bottom w:w="0" w:type="dxa"/>
              <w:right w:w="0" w:type="dxa"/>
            </w:tcMar>
            <w:vAlign w:val="center"/>
          </w:tcPr>
          <w:p w14:paraId="04069BCF">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E</w:t>
            </w:r>
          </w:p>
        </w:tc>
        <w:tc>
          <w:tcPr>
            <w:tcW w:w="287" w:type="pct"/>
            <w:noWrap w:val="0"/>
            <w:tcMar>
              <w:top w:w="0" w:type="dxa"/>
              <w:left w:w="0" w:type="dxa"/>
              <w:bottom w:w="0" w:type="dxa"/>
              <w:right w:w="0" w:type="dxa"/>
            </w:tcMar>
            <w:vAlign w:val="center"/>
          </w:tcPr>
          <w:p w14:paraId="278ADB42">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ESE</w:t>
            </w:r>
          </w:p>
        </w:tc>
        <w:tc>
          <w:tcPr>
            <w:tcW w:w="289" w:type="pct"/>
            <w:noWrap w:val="0"/>
            <w:tcMar>
              <w:top w:w="0" w:type="dxa"/>
              <w:left w:w="0" w:type="dxa"/>
              <w:bottom w:w="0" w:type="dxa"/>
              <w:right w:w="0" w:type="dxa"/>
            </w:tcMar>
            <w:vAlign w:val="center"/>
          </w:tcPr>
          <w:p w14:paraId="45CF2EAF">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SE</w:t>
            </w:r>
          </w:p>
        </w:tc>
        <w:tc>
          <w:tcPr>
            <w:tcW w:w="250" w:type="pct"/>
            <w:noWrap w:val="0"/>
            <w:tcMar>
              <w:top w:w="0" w:type="dxa"/>
              <w:left w:w="0" w:type="dxa"/>
              <w:bottom w:w="0" w:type="dxa"/>
              <w:right w:w="0" w:type="dxa"/>
            </w:tcMar>
            <w:vAlign w:val="center"/>
          </w:tcPr>
          <w:p w14:paraId="0A6F0191">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SSE</w:t>
            </w:r>
          </w:p>
        </w:tc>
        <w:tc>
          <w:tcPr>
            <w:tcW w:w="250" w:type="pct"/>
            <w:noWrap w:val="0"/>
            <w:tcMar>
              <w:top w:w="0" w:type="dxa"/>
              <w:left w:w="0" w:type="dxa"/>
              <w:bottom w:w="0" w:type="dxa"/>
              <w:right w:w="0" w:type="dxa"/>
            </w:tcMar>
            <w:vAlign w:val="center"/>
          </w:tcPr>
          <w:p w14:paraId="01B7909F">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S</w:t>
            </w:r>
          </w:p>
        </w:tc>
        <w:tc>
          <w:tcPr>
            <w:tcW w:w="250" w:type="pct"/>
            <w:noWrap w:val="0"/>
            <w:tcMar>
              <w:top w:w="0" w:type="dxa"/>
              <w:left w:w="0" w:type="dxa"/>
              <w:bottom w:w="0" w:type="dxa"/>
              <w:right w:w="0" w:type="dxa"/>
            </w:tcMar>
            <w:vAlign w:val="center"/>
          </w:tcPr>
          <w:p w14:paraId="3975EB82">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SSW</w:t>
            </w:r>
          </w:p>
        </w:tc>
        <w:tc>
          <w:tcPr>
            <w:tcW w:w="251" w:type="pct"/>
            <w:noWrap w:val="0"/>
            <w:tcMar>
              <w:top w:w="0" w:type="dxa"/>
              <w:left w:w="0" w:type="dxa"/>
              <w:bottom w:w="0" w:type="dxa"/>
              <w:right w:w="0" w:type="dxa"/>
            </w:tcMar>
            <w:vAlign w:val="center"/>
          </w:tcPr>
          <w:p w14:paraId="77096C1C">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SW</w:t>
            </w:r>
          </w:p>
        </w:tc>
        <w:tc>
          <w:tcPr>
            <w:tcW w:w="272" w:type="pct"/>
            <w:noWrap w:val="0"/>
            <w:tcMar>
              <w:top w:w="0" w:type="dxa"/>
              <w:left w:w="0" w:type="dxa"/>
              <w:bottom w:w="0" w:type="dxa"/>
              <w:right w:w="0" w:type="dxa"/>
            </w:tcMar>
            <w:vAlign w:val="center"/>
          </w:tcPr>
          <w:p w14:paraId="0A8C88C8">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WSW</w:t>
            </w:r>
          </w:p>
        </w:tc>
        <w:tc>
          <w:tcPr>
            <w:tcW w:w="251" w:type="pct"/>
            <w:noWrap w:val="0"/>
            <w:tcMar>
              <w:top w:w="0" w:type="dxa"/>
              <w:left w:w="0" w:type="dxa"/>
              <w:bottom w:w="0" w:type="dxa"/>
              <w:right w:w="0" w:type="dxa"/>
            </w:tcMar>
            <w:vAlign w:val="center"/>
          </w:tcPr>
          <w:p w14:paraId="54068AB7">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W</w:t>
            </w:r>
          </w:p>
        </w:tc>
        <w:tc>
          <w:tcPr>
            <w:tcW w:w="290" w:type="pct"/>
            <w:noWrap w:val="0"/>
            <w:tcMar>
              <w:top w:w="0" w:type="dxa"/>
              <w:left w:w="0" w:type="dxa"/>
              <w:bottom w:w="0" w:type="dxa"/>
              <w:right w:w="0" w:type="dxa"/>
            </w:tcMar>
            <w:vAlign w:val="center"/>
          </w:tcPr>
          <w:p w14:paraId="7D9F4E0F">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WNW</w:t>
            </w:r>
          </w:p>
        </w:tc>
        <w:tc>
          <w:tcPr>
            <w:tcW w:w="230" w:type="pct"/>
            <w:noWrap w:val="0"/>
            <w:tcMar>
              <w:top w:w="0" w:type="dxa"/>
              <w:left w:w="0" w:type="dxa"/>
              <w:bottom w:w="0" w:type="dxa"/>
              <w:right w:w="0" w:type="dxa"/>
            </w:tcMar>
            <w:vAlign w:val="center"/>
          </w:tcPr>
          <w:p w14:paraId="4832A3E5">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NW</w:t>
            </w:r>
          </w:p>
        </w:tc>
        <w:tc>
          <w:tcPr>
            <w:tcW w:w="266" w:type="pct"/>
            <w:noWrap w:val="0"/>
            <w:tcMar>
              <w:top w:w="0" w:type="dxa"/>
              <w:left w:w="0" w:type="dxa"/>
              <w:bottom w:w="0" w:type="dxa"/>
              <w:right w:w="0" w:type="dxa"/>
            </w:tcMar>
            <w:vAlign w:val="center"/>
          </w:tcPr>
          <w:p w14:paraId="118B7E15">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NNW</w:t>
            </w:r>
          </w:p>
        </w:tc>
        <w:tc>
          <w:tcPr>
            <w:tcW w:w="247" w:type="pct"/>
            <w:noWrap w:val="0"/>
            <w:tcMar>
              <w:top w:w="0" w:type="dxa"/>
              <w:left w:w="0" w:type="dxa"/>
              <w:bottom w:w="0" w:type="dxa"/>
              <w:right w:w="0" w:type="dxa"/>
            </w:tcMar>
            <w:vAlign w:val="center"/>
          </w:tcPr>
          <w:p w14:paraId="5CCF4EF5">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C</w:t>
            </w:r>
          </w:p>
        </w:tc>
      </w:tr>
      <w:tr w14:paraId="020986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93" w:type="pct"/>
            <w:noWrap w:val="0"/>
            <w:tcMar>
              <w:top w:w="0" w:type="dxa"/>
              <w:left w:w="0" w:type="dxa"/>
              <w:bottom w:w="0" w:type="dxa"/>
              <w:right w:w="0" w:type="dxa"/>
            </w:tcMar>
            <w:vAlign w:val="center"/>
          </w:tcPr>
          <w:p w14:paraId="022751D9">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1月</w:t>
            </w:r>
          </w:p>
        </w:tc>
        <w:tc>
          <w:tcPr>
            <w:tcW w:w="335" w:type="pct"/>
            <w:noWrap w:val="0"/>
            <w:tcMar>
              <w:top w:w="0" w:type="dxa"/>
              <w:left w:w="0" w:type="dxa"/>
              <w:bottom w:w="0" w:type="dxa"/>
              <w:right w:w="0" w:type="dxa"/>
            </w:tcMar>
            <w:vAlign w:val="bottom"/>
          </w:tcPr>
          <w:p w14:paraId="0C8B527D">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0.67</w:t>
            </w:r>
          </w:p>
        </w:tc>
        <w:tc>
          <w:tcPr>
            <w:tcW w:w="317" w:type="pct"/>
            <w:noWrap w:val="0"/>
            <w:tcMar>
              <w:top w:w="0" w:type="dxa"/>
              <w:left w:w="0" w:type="dxa"/>
              <w:bottom w:w="0" w:type="dxa"/>
              <w:right w:w="0" w:type="dxa"/>
            </w:tcMar>
            <w:vAlign w:val="bottom"/>
          </w:tcPr>
          <w:p w14:paraId="2C072A98">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0.00</w:t>
            </w:r>
            <w:r>
              <w:rPr>
                <w:rFonts w:ascii="Times New Roman" w:hAnsi="Times New Roman"/>
                <w:kern w:val="0"/>
                <w:sz w:val="18"/>
                <w:szCs w:val="18"/>
                <w:highlight w:val="none"/>
              </w:rPr>
              <w:t xml:space="preserve"> </w:t>
            </w:r>
          </w:p>
        </w:tc>
        <w:tc>
          <w:tcPr>
            <w:tcW w:w="323" w:type="pct"/>
            <w:noWrap w:val="0"/>
            <w:tcMar>
              <w:top w:w="0" w:type="dxa"/>
              <w:left w:w="0" w:type="dxa"/>
              <w:bottom w:w="0" w:type="dxa"/>
              <w:right w:w="0" w:type="dxa"/>
            </w:tcMar>
            <w:vAlign w:val="bottom"/>
          </w:tcPr>
          <w:p w14:paraId="09F638B2">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0.13</w:t>
            </w:r>
          </w:p>
        </w:tc>
        <w:tc>
          <w:tcPr>
            <w:tcW w:w="308" w:type="pct"/>
            <w:noWrap w:val="0"/>
            <w:tcMar>
              <w:top w:w="0" w:type="dxa"/>
              <w:left w:w="0" w:type="dxa"/>
              <w:bottom w:w="0" w:type="dxa"/>
              <w:right w:w="0" w:type="dxa"/>
            </w:tcMar>
            <w:vAlign w:val="bottom"/>
          </w:tcPr>
          <w:p w14:paraId="55EE91BC">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0.67</w:t>
            </w:r>
            <w:r>
              <w:rPr>
                <w:rFonts w:ascii="Times New Roman" w:hAnsi="Times New Roman"/>
                <w:kern w:val="0"/>
                <w:sz w:val="18"/>
                <w:szCs w:val="18"/>
                <w:highlight w:val="none"/>
              </w:rPr>
              <w:t xml:space="preserve"> </w:t>
            </w:r>
          </w:p>
        </w:tc>
        <w:tc>
          <w:tcPr>
            <w:tcW w:w="293" w:type="pct"/>
            <w:noWrap w:val="0"/>
            <w:tcMar>
              <w:top w:w="0" w:type="dxa"/>
              <w:left w:w="0" w:type="dxa"/>
              <w:bottom w:w="0" w:type="dxa"/>
              <w:right w:w="0" w:type="dxa"/>
            </w:tcMar>
            <w:vAlign w:val="bottom"/>
          </w:tcPr>
          <w:p w14:paraId="6A777D0D">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6.85</w:t>
            </w:r>
          </w:p>
        </w:tc>
        <w:tc>
          <w:tcPr>
            <w:tcW w:w="287" w:type="pct"/>
            <w:noWrap w:val="0"/>
            <w:tcMar>
              <w:top w:w="0" w:type="dxa"/>
              <w:left w:w="0" w:type="dxa"/>
              <w:bottom w:w="0" w:type="dxa"/>
              <w:right w:w="0" w:type="dxa"/>
            </w:tcMar>
            <w:vAlign w:val="bottom"/>
          </w:tcPr>
          <w:p w14:paraId="005D6FC5">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6.18</w:t>
            </w:r>
            <w:r>
              <w:rPr>
                <w:rFonts w:ascii="Times New Roman" w:hAnsi="Times New Roman"/>
                <w:kern w:val="0"/>
                <w:sz w:val="18"/>
                <w:szCs w:val="18"/>
                <w:highlight w:val="none"/>
              </w:rPr>
              <w:t xml:space="preserve"> </w:t>
            </w:r>
          </w:p>
        </w:tc>
        <w:tc>
          <w:tcPr>
            <w:tcW w:w="289" w:type="pct"/>
            <w:noWrap w:val="0"/>
            <w:tcMar>
              <w:top w:w="0" w:type="dxa"/>
              <w:left w:w="0" w:type="dxa"/>
              <w:bottom w:w="0" w:type="dxa"/>
              <w:right w:w="0" w:type="dxa"/>
            </w:tcMar>
            <w:vAlign w:val="bottom"/>
          </w:tcPr>
          <w:p w14:paraId="633AE6E6">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0.40</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43301E5B">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0.27</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5C514687">
            <w:pPr>
              <w:spacing w:line="240" w:lineRule="auto"/>
              <w:ind w:firstLine="0" w:firstLineChars="0"/>
              <w:jc w:val="both"/>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0.54</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7A40D02F">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0.13</w:t>
            </w:r>
            <w:r>
              <w:rPr>
                <w:rFonts w:ascii="Times New Roman" w:hAnsi="Times New Roman"/>
                <w:kern w:val="0"/>
                <w:sz w:val="18"/>
                <w:szCs w:val="18"/>
                <w:highlight w:val="none"/>
              </w:rPr>
              <w:t xml:space="preserve"> </w:t>
            </w:r>
          </w:p>
        </w:tc>
        <w:tc>
          <w:tcPr>
            <w:tcW w:w="251" w:type="pct"/>
            <w:noWrap w:val="0"/>
            <w:tcMar>
              <w:top w:w="0" w:type="dxa"/>
              <w:left w:w="0" w:type="dxa"/>
              <w:bottom w:w="0" w:type="dxa"/>
              <w:right w:w="0" w:type="dxa"/>
            </w:tcMar>
            <w:vAlign w:val="bottom"/>
          </w:tcPr>
          <w:p w14:paraId="6934A32A">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0.13</w:t>
            </w:r>
            <w:r>
              <w:rPr>
                <w:rFonts w:ascii="Times New Roman" w:hAnsi="Times New Roman"/>
                <w:kern w:val="0"/>
                <w:sz w:val="18"/>
                <w:szCs w:val="18"/>
                <w:highlight w:val="none"/>
              </w:rPr>
              <w:t xml:space="preserve"> </w:t>
            </w:r>
          </w:p>
        </w:tc>
        <w:tc>
          <w:tcPr>
            <w:tcW w:w="272" w:type="pct"/>
            <w:noWrap w:val="0"/>
            <w:tcMar>
              <w:top w:w="0" w:type="dxa"/>
              <w:left w:w="0" w:type="dxa"/>
              <w:bottom w:w="0" w:type="dxa"/>
              <w:right w:w="0" w:type="dxa"/>
            </w:tcMar>
            <w:vAlign w:val="bottom"/>
          </w:tcPr>
          <w:p w14:paraId="572CEEB2">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1.21</w:t>
            </w:r>
            <w:r>
              <w:rPr>
                <w:rFonts w:ascii="Times New Roman" w:hAnsi="Times New Roman"/>
                <w:kern w:val="0"/>
                <w:sz w:val="18"/>
                <w:szCs w:val="18"/>
                <w:highlight w:val="none"/>
              </w:rPr>
              <w:t xml:space="preserve"> </w:t>
            </w:r>
          </w:p>
        </w:tc>
        <w:tc>
          <w:tcPr>
            <w:tcW w:w="251" w:type="pct"/>
            <w:noWrap w:val="0"/>
            <w:tcMar>
              <w:top w:w="0" w:type="dxa"/>
              <w:left w:w="0" w:type="dxa"/>
              <w:bottom w:w="0" w:type="dxa"/>
              <w:right w:w="0" w:type="dxa"/>
            </w:tcMar>
            <w:vAlign w:val="bottom"/>
          </w:tcPr>
          <w:p w14:paraId="7BE698D1">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46.44</w:t>
            </w:r>
            <w:r>
              <w:rPr>
                <w:rFonts w:ascii="Times New Roman" w:hAnsi="Times New Roman"/>
                <w:kern w:val="0"/>
                <w:sz w:val="18"/>
                <w:szCs w:val="18"/>
                <w:highlight w:val="none"/>
              </w:rPr>
              <w:t xml:space="preserve"> </w:t>
            </w:r>
          </w:p>
        </w:tc>
        <w:tc>
          <w:tcPr>
            <w:tcW w:w="290" w:type="pct"/>
            <w:noWrap w:val="0"/>
            <w:tcMar>
              <w:top w:w="0" w:type="dxa"/>
              <w:left w:w="0" w:type="dxa"/>
              <w:bottom w:w="0" w:type="dxa"/>
              <w:right w:w="0" w:type="dxa"/>
            </w:tcMar>
            <w:vAlign w:val="bottom"/>
          </w:tcPr>
          <w:p w14:paraId="0F104686">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23.52</w:t>
            </w:r>
            <w:r>
              <w:rPr>
                <w:rFonts w:ascii="Times New Roman" w:hAnsi="Times New Roman"/>
                <w:kern w:val="0"/>
                <w:sz w:val="18"/>
                <w:szCs w:val="18"/>
                <w:highlight w:val="none"/>
              </w:rPr>
              <w:t xml:space="preserve"> </w:t>
            </w:r>
          </w:p>
        </w:tc>
        <w:tc>
          <w:tcPr>
            <w:tcW w:w="230" w:type="pct"/>
            <w:noWrap w:val="0"/>
            <w:tcMar>
              <w:top w:w="0" w:type="dxa"/>
              <w:left w:w="0" w:type="dxa"/>
              <w:bottom w:w="0" w:type="dxa"/>
              <w:right w:w="0" w:type="dxa"/>
            </w:tcMar>
            <w:vAlign w:val="bottom"/>
          </w:tcPr>
          <w:p w14:paraId="2E16F753">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10.08</w:t>
            </w:r>
            <w:r>
              <w:rPr>
                <w:rFonts w:ascii="Times New Roman" w:hAnsi="Times New Roman"/>
                <w:kern w:val="0"/>
                <w:sz w:val="18"/>
                <w:szCs w:val="18"/>
                <w:highlight w:val="none"/>
              </w:rPr>
              <w:t xml:space="preserve"> </w:t>
            </w:r>
          </w:p>
        </w:tc>
        <w:tc>
          <w:tcPr>
            <w:tcW w:w="266" w:type="pct"/>
            <w:noWrap w:val="0"/>
            <w:tcMar>
              <w:top w:w="0" w:type="dxa"/>
              <w:left w:w="0" w:type="dxa"/>
              <w:bottom w:w="0" w:type="dxa"/>
              <w:right w:w="0" w:type="dxa"/>
            </w:tcMar>
            <w:vAlign w:val="bottom"/>
          </w:tcPr>
          <w:p w14:paraId="065C8802">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2.42</w:t>
            </w:r>
            <w:r>
              <w:rPr>
                <w:rFonts w:ascii="Times New Roman" w:hAnsi="Times New Roman"/>
                <w:kern w:val="0"/>
                <w:sz w:val="18"/>
                <w:szCs w:val="18"/>
                <w:highlight w:val="none"/>
              </w:rPr>
              <w:t xml:space="preserve"> </w:t>
            </w:r>
          </w:p>
        </w:tc>
        <w:tc>
          <w:tcPr>
            <w:tcW w:w="247" w:type="pct"/>
            <w:noWrap w:val="0"/>
            <w:tcMar>
              <w:top w:w="0" w:type="dxa"/>
              <w:left w:w="0" w:type="dxa"/>
              <w:bottom w:w="0" w:type="dxa"/>
              <w:right w:w="0" w:type="dxa"/>
            </w:tcMar>
            <w:vAlign w:val="bottom"/>
          </w:tcPr>
          <w:p w14:paraId="332563A3">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0.00</w:t>
            </w:r>
          </w:p>
        </w:tc>
      </w:tr>
      <w:tr w14:paraId="207758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93" w:type="pct"/>
            <w:noWrap w:val="0"/>
            <w:tcMar>
              <w:top w:w="0" w:type="dxa"/>
              <w:left w:w="0" w:type="dxa"/>
              <w:bottom w:w="0" w:type="dxa"/>
              <w:right w:w="0" w:type="dxa"/>
            </w:tcMar>
            <w:vAlign w:val="center"/>
          </w:tcPr>
          <w:p w14:paraId="7A3604EE">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2月</w:t>
            </w:r>
          </w:p>
        </w:tc>
        <w:tc>
          <w:tcPr>
            <w:tcW w:w="335" w:type="pct"/>
            <w:noWrap w:val="0"/>
            <w:tcMar>
              <w:top w:w="0" w:type="dxa"/>
              <w:left w:w="0" w:type="dxa"/>
              <w:bottom w:w="0" w:type="dxa"/>
              <w:right w:w="0" w:type="dxa"/>
            </w:tcMar>
            <w:vAlign w:val="bottom"/>
          </w:tcPr>
          <w:p w14:paraId="59985DB6">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0.14</w:t>
            </w:r>
            <w:r>
              <w:rPr>
                <w:rFonts w:ascii="Times New Roman" w:hAnsi="Times New Roman"/>
                <w:kern w:val="0"/>
                <w:sz w:val="18"/>
                <w:szCs w:val="18"/>
                <w:highlight w:val="none"/>
              </w:rPr>
              <w:t xml:space="preserve"> </w:t>
            </w:r>
          </w:p>
        </w:tc>
        <w:tc>
          <w:tcPr>
            <w:tcW w:w="317" w:type="pct"/>
            <w:noWrap w:val="0"/>
            <w:tcMar>
              <w:top w:w="0" w:type="dxa"/>
              <w:left w:w="0" w:type="dxa"/>
              <w:bottom w:w="0" w:type="dxa"/>
              <w:right w:w="0" w:type="dxa"/>
            </w:tcMar>
            <w:vAlign w:val="bottom"/>
          </w:tcPr>
          <w:p w14:paraId="15E6F5D0">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0.29</w:t>
            </w:r>
            <w:r>
              <w:rPr>
                <w:rFonts w:ascii="Times New Roman" w:hAnsi="Times New Roman"/>
                <w:kern w:val="0"/>
                <w:sz w:val="18"/>
                <w:szCs w:val="18"/>
                <w:highlight w:val="none"/>
              </w:rPr>
              <w:t xml:space="preserve"> </w:t>
            </w:r>
          </w:p>
        </w:tc>
        <w:tc>
          <w:tcPr>
            <w:tcW w:w="323" w:type="pct"/>
            <w:noWrap w:val="0"/>
            <w:tcMar>
              <w:top w:w="0" w:type="dxa"/>
              <w:left w:w="0" w:type="dxa"/>
              <w:bottom w:w="0" w:type="dxa"/>
              <w:right w:w="0" w:type="dxa"/>
            </w:tcMar>
            <w:vAlign w:val="bottom"/>
          </w:tcPr>
          <w:p w14:paraId="4994EA70">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0.29</w:t>
            </w:r>
            <w:r>
              <w:rPr>
                <w:rFonts w:ascii="Times New Roman" w:hAnsi="Times New Roman"/>
                <w:kern w:val="0"/>
                <w:sz w:val="18"/>
                <w:szCs w:val="18"/>
                <w:highlight w:val="none"/>
              </w:rPr>
              <w:t xml:space="preserve"> </w:t>
            </w:r>
          </w:p>
        </w:tc>
        <w:tc>
          <w:tcPr>
            <w:tcW w:w="308" w:type="pct"/>
            <w:noWrap w:val="0"/>
            <w:tcMar>
              <w:top w:w="0" w:type="dxa"/>
              <w:left w:w="0" w:type="dxa"/>
              <w:bottom w:w="0" w:type="dxa"/>
              <w:right w:w="0" w:type="dxa"/>
            </w:tcMar>
            <w:vAlign w:val="bottom"/>
          </w:tcPr>
          <w:p w14:paraId="47CEC8E4">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0.29</w:t>
            </w:r>
            <w:r>
              <w:rPr>
                <w:rFonts w:ascii="Times New Roman" w:hAnsi="Times New Roman"/>
                <w:kern w:val="0"/>
                <w:sz w:val="18"/>
                <w:szCs w:val="18"/>
                <w:highlight w:val="none"/>
              </w:rPr>
              <w:t xml:space="preserve"> </w:t>
            </w:r>
          </w:p>
        </w:tc>
        <w:tc>
          <w:tcPr>
            <w:tcW w:w="293" w:type="pct"/>
            <w:noWrap w:val="0"/>
            <w:tcMar>
              <w:top w:w="0" w:type="dxa"/>
              <w:left w:w="0" w:type="dxa"/>
              <w:bottom w:w="0" w:type="dxa"/>
              <w:right w:w="0" w:type="dxa"/>
            </w:tcMar>
            <w:vAlign w:val="bottom"/>
          </w:tcPr>
          <w:p w14:paraId="76D164B9">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5.75</w:t>
            </w:r>
            <w:r>
              <w:rPr>
                <w:rFonts w:ascii="Times New Roman" w:hAnsi="Times New Roman"/>
                <w:kern w:val="0"/>
                <w:sz w:val="18"/>
                <w:szCs w:val="18"/>
                <w:highlight w:val="none"/>
              </w:rPr>
              <w:t xml:space="preserve"> </w:t>
            </w:r>
          </w:p>
        </w:tc>
        <w:tc>
          <w:tcPr>
            <w:tcW w:w="287" w:type="pct"/>
            <w:noWrap w:val="0"/>
            <w:tcMar>
              <w:top w:w="0" w:type="dxa"/>
              <w:left w:w="0" w:type="dxa"/>
              <w:bottom w:w="0" w:type="dxa"/>
              <w:right w:w="0" w:type="dxa"/>
            </w:tcMar>
            <w:vAlign w:val="bottom"/>
          </w:tcPr>
          <w:p w14:paraId="6D453C0A">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5.32</w:t>
            </w:r>
            <w:r>
              <w:rPr>
                <w:rFonts w:ascii="Times New Roman" w:hAnsi="Times New Roman"/>
                <w:kern w:val="0"/>
                <w:sz w:val="18"/>
                <w:szCs w:val="18"/>
                <w:highlight w:val="none"/>
              </w:rPr>
              <w:t xml:space="preserve"> </w:t>
            </w:r>
          </w:p>
        </w:tc>
        <w:tc>
          <w:tcPr>
            <w:tcW w:w="289" w:type="pct"/>
            <w:noWrap w:val="0"/>
            <w:tcMar>
              <w:top w:w="0" w:type="dxa"/>
              <w:left w:w="0" w:type="dxa"/>
              <w:bottom w:w="0" w:type="dxa"/>
              <w:right w:w="0" w:type="dxa"/>
            </w:tcMar>
            <w:vAlign w:val="bottom"/>
          </w:tcPr>
          <w:p w14:paraId="42171B57">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0.43</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623001A2">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0.43</w:t>
            </w:r>
          </w:p>
        </w:tc>
        <w:tc>
          <w:tcPr>
            <w:tcW w:w="250" w:type="pct"/>
            <w:noWrap w:val="0"/>
            <w:tcMar>
              <w:top w:w="0" w:type="dxa"/>
              <w:left w:w="0" w:type="dxa"/>
              <w:bottom w:w="0" w:type="dxa"/>
              <w:right w:w="0" w:type="dxa"/>
            </w:tcMar>
            <w:vAlign w:val="bottom"/>
          </w:tcPr>
          <w:p w14:paraId="4615033F">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1.29</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2F13E527">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0.72</w:t>
            </w:r>
            <w:r>
              <w:rPr>
                <w:rFonts w:ascii="Times New Roman" w:hAnsi="Times New Roman"/>
                <w:kern w:val="0"/>
                <w:sz w:val="18"/>
                <w:szCs w:val="18"/>
                <w:highlight w:val="none"/>
              </w:rPr>
              <w:t xml:space="preserve"> </w:t>
            </w:r>
          </w:p>
        </w:tc>
        <w:tc>
          <w:tcPr>
            <w:tcW w:w="251" w:type="pct"/>
            <w:noWrap w:val="0"/>
            <w:tcMar>
              <w:top w:w="0" w:type="dxa"/>
              <w:left w:w="0" w:type="dxa"/>
              <w:bottom w:w="0" w:type="dxa"/>
              <w:right w:w="0" w:type="dxa"/>
            </w:tcMar>
            <w:vAlign w:val="bottom"/>
          </w:tcPr>
          <w:p w14:paraId="714E9046">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1.44</w:t>
            </w:r>
            <w:r>
              <w:rPr>
                <w:rFonts w:ascii="Times New Roman" w:hAnsi="Times New Roman"/>
                <w:kern w:val="0"/>
                <w:sz w:val="18"/>
                <w:szCs w:val="18"/>
                <w:highlight w:val="none"/>
              </w:rPr>
              <w:t xml:space="preserve"> </w:t>
            </w:r>
          </w:p>
        </w:tc>
        <w:tc>
          <w:tcPr>
            <w:tcW w:w="272" w:type="pct"/>
            <w:noWrap w:val="0"/>
            <w:tcMar>
              <w:top w:w="0" w:type="dxa"/>
              <w:left w:w="0" w:type="dxa"/>
              <w:bottom w:w="0" w:type="dxa"/>
              <w:right w:w="0" w:type="dxa"/>
            </w:tcMar>
            <w:vAlign w:val="bottom"/>
          </w:tcPr>
          <w:p w14:paraId="14F699FA">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1.72</w:t>
            </w:r>
            <w:r>
              <w:rPr>
                <w:rFonts w:ascii="Times New Roman" w:hAnsi="Times New Roman"/>
                <w:kern w:val="0"/>
                <w:sz w:val="18"/>
                <w:szCs w:val="18"/>
                <w:highlight w:val="none"/>
              </w:rPr>
              <w:t xml:space="preserve"> </w:t>
            </w:r>
          </w:p>
        </w:tc>
        <w:tc>
          <w:tcPr>
            <w:tcW w:w="251" w:type="pct"/>
            <w:noWrap w:val="0"/>
            <w:tcMar>
              <w:top w:w="0" w:type="dxa"/>
              <w:left w:w="0" w:type="dxa"/>
              <w:bottom w:w="0" w:type="dxa"/>
              <w:right w:w="0" w:type="dxa"/>
            </w:tcMar>
            <w:vAlign w:val="bottom"/>
          </w:tcPr>
          <w:p w14:paraId="113607A0">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49.14</w:t>
            </w:r>
            <w:r>
              <w:rPr>
                <w:rFonts w:ascii="Times New Roman" w:hAnsi="Times New Roman"/>
                <w:kern w:val="0"/>
                <w:sz w:val="18"/>
                <w:szCs w:val="18"/>
                <w:highlight w:val="none"/>
              </w:rPr>
              <w:t xml:space="preserve"> </w:t>
            </w:r>
          </w:p>
        </w:tc>
        <w:tc>
          <w:tcPr>
            <w:tcW w:w="290" w:type="pct"/>
            <w:noWrap w:val="0"/>
            <w:tcMar>
              <w:top w:w="0" w:type="dxa"/>
              <w:left w:w="0" w:type="dxa"/>
              <w:bottom w:w="0" w:type="dxa"/>
              <w:right w:w="0" w:type="dxa"/>
            </w:tcMar>
            <w:vAlign w:val="bottom"/>
          </w:tcPr>
          <w:p w14:paraId="576849A6">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21.26</w:t>
            </w:r>
            <w:r>
              <w:rPr>
                <w:rFonts w:ascii="Times New Roman" w:hAnsi="Times New Roman"/>
                <w:kern w:val="0"/>
                <w:sz w:val="18"/>
                <w:szCs w:val="18"/>
                <w:highlight w:val="none"/>
              </w:rPr>
              <w:t xml:space="preserve"> </w:t>
            </w:r>
          </w:p>
        </w:tc>
        <w:tc>
          <w:tcPr>
            <w:tcW w:w="230" w:type="pct"/>
            <w:noWrap w:val="0"/>
            <w:tcMar>
              <w:top w:w="0" w:type="dxa"/>
              <w:left w:w="0" w:type="dxa"/>
              <w:bottom w:w="0" w:type="dxa"/>
              <w:right w:w="0" w:type="dxa"/>
            </w:tcMar>
            <w:vAlign w:val="bottom"/>
          </w:tcPr>
          <w:p w14:paraId="314BCBA6">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9.63</w:t>
            </w:r>
          </w:p>
        </w:tc>
        <w:tc>
          <w:tcPr>
            <w:tcW w:w="266" w:type="pct"/>
            <w:noWrap w:val="0"/>
            <w:tcMar>
              <w:top w:w="0" w:type="dxa"/>
              <w:left w:w="0" w:type="dxa"/>
              <w:bottom w:w="0" w:type="dxa"/>
              <w:right w:w="0" w:type="dxa"/>
            </w:tcMar>
            <w:vAlign w:val="bottom"/>
          </w:tcPr>
          <w:p w14:paraId="3638452F">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1.72</w:t>
            </w:r>
          </w:p>
        </w:tc>
        <w:tc>
          <w:tcPr>
            <w:tcW w:w="247" w:type="pct"/>
            <w:noWrap w:val="0"/>
            <w:tcMar>
              <w:top w:w="0" w:type="dxa"/>
              <w:left w:w="0" w:type="dxa"/>
              <w:bottom w:w="0" w:type="dxa"/>
              <w:right w:w="0" w:type="dxa"/>
            </w:tcMar>
            <w:vAlign w:val="bottom"/>
          </w:tcPr>
          <w:p w14:paraId="3A8525DA">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0.</w:t>
            </w:r>
            <w:r>
              <w:rPr>
                <w:rFonts w:hint="eastAsia" w:ascii="Times New Roman" w:hAnsi="Times New Roman"/>
                <w:kern w:val="0"/>
                <w:sz w:val="18"/>
                <w:szCs w:val="18"/>
                <w:highlight w:val="none"/>
                <w:lang w:val="en-US" w:eastAsia="zh-CN"/>
              </w:rPr>
              <w:t>14</w:t>
            </w:r>
            <w:r>
              <w:rPr>
                <w:rFonts w:ascii="Times New Roman" w:hAnsi="Times New Roman"/>
                <w:kern w:val="0"/>
                <w:sz w:val="18"/>
                <w:szCs w:val="18"/>
                <w:highlight w:val="none"/>
              </w:rPr>
              <w:t xml:space="preserve"> </w:t>
            </w:r>
          </w:p>
        </w:tc>
      </w:tr>
      <w:tr w14:paraId="39F997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93" w:type="pct"/>
            <w:noWrap w:val="0"/>
            <w:tcMar>
              <w:top w:w="0" w:type="dxa"/>
              <w:left w:w="0" w:type="dxa"/>
              <w:bottom w:w="0" w:type="dxa"/>
              <w:right w:w="0" w:type="dxa"/>
            </w:tcMar>
            <w:vAlign w:val="center"/>
          </w:tcPr>
          <w:p w14:paraId="300E3AE9">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3月</w:t>
            </w:r>
          </w:p>
        </w:tc>
        <w:tc>
          <w:tcPr>
            <w:tcW w:w="335" w:type="pct"/>
            <w:noWrap w:val="0"/>
            <w:tcMar>
              <w:top w:w="0" w:type="dxa"/>
              <w:left w:w="0" w:type="dxa"/>
              <w:bottom w:w="0" w:type="dxa"/>
              <w:right w:w="0" w:type="dxa"/>
            </w:tcMar>
            <w:vAlign w:val="bottom"/>
          </w:tcPr>
          <w:p w14:paraId="4B0D1972">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0.94</w:t>
            </w:r>
            <w:r>
              <w:rPr>
                <w:rFonts w:ascii="Times New Roman" w:hAnsi="Times New Roman"/>
                <w:kern w:val="0"/>
                <w:sz w:val="18"/>
                <w:szCs w:val="18"/>
                <w:highlight w:val="none"/>
              </w:rPr>
              <w:t xml:space="preserve"> </w:t>
            </w:r>
          </w:p>
        </w:tc>
        <w:tc>
          <w:tcPr>
            <w:tcW w:w="317" w:type="pct"/>
            <w:noWrap w:val="0"/>
            <w:tcMar>
              <w:top w:w="0" w:type="dxa"/>
              <w:left w:w="0" w:type="dxa"/>
              <w:bottom w:w="0" w:type="dxa"/>
              <w:right w:w="0" w:type="dxa"/>
            </w:tcMar>
            <w:vAlign w:val="bottom"/>
          </w:tcPr>
          <w:p w14:paraId="2BA7D5B4">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0.27</w:t>
            </w:r>
            <w:r>
              <w:rPr>
                <w:rFonts w:ascii="Times New Roman" w:hAnsi="Times New Roman"/>
                <w:kern w:val="0"/>
                <w:sz w:val="18"/>
                <w:szCs w:val="18"/>
                <w:highlight w:val="none"/>
              </w:rPr>
              <w:t xml:space="preserve"> </w:t>
            </w:r>
          </w:p>
        </w:tc>
        <w:tc>
          <w:tcPr>
            <w:tcW w:w="323" w:type="pct"/>
            <w:noWrap w:val="0"/>
            <w:tcMar>
              <w:top w:w="0" w:type="dxa"/>
              <w:left w:w="0" w:type="dxa"/>
              <w:bottom w:w="0" w:type="dxa"/>
              <w:right w:w="0" w:type="dxa"/>
            </w:tcMar>
            <w:vAlign w:val="bottom"/>
          </w:tcPr>
          <w:p w14:paraId="14FB1B82">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0.27</w:t>
            </w:r>
            <w:r>
              <w:rPr>
                <w:rFonts w:ascii="Times New Roman" w:hAnsi="Times New Roman"/>
                <w:kern w:val="0"/>
                <w:sz w:val="18"/>
                <w:szCs w:val="18"/>
                <w:highlight w:val="none"/>
              </w:rPr>
              <w:t xml:space="preserve"> </w:t>
            </w:r>
          </w:p>
        </w:tc>
        <w:tc>
          <w:tcPr>
            <w:tcW w:w="308" w:type="pct"/>
            <w:noWrap w:val="0"/>
            <w:tcMar>
              <w:top w:w="0" w:type="dxa"/>
              <w:left w:w="0" w:type="dxa"/>
              <w:bottom w:w="0" w:type="dxa"/>
              <w:right w:w="0" w:type="dxa"/>
            </w:tcMar>
            <w:vAlign w:val="bottom"/>
          </w:tcPr>
          <w:p w14:paraId="1945811C">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0.94</w:t>
            </w:r>
            <w:r>
              <w:rPr>
                <w:rFonts w:ascii="Times New Roman" w:hAnsi="Times New Roman"/>
                <w:kern w:val="0"/>
                <w:sz w:val="18"/>
                <w:szCs w:val="18"/>
                <w:highlight w:val="none"/>
              </w:rPr>
              <w:t xml:space="preserve"> </w:t>
            </w:r>
          </w:p>
        </w:tc>
        <w:tc>
          <w:tcPr>
            <w:tcW w:w="293" w:type="pct"/>
            <w:noWrap w:val="0"/>
            <w:tcMar>
              <w:top w:w="0" w:type="dxa"/>
              <w:left w:w="0" w:type="dxa"/>
              <w:bottom w:w="0" w:type="dxa"/>
              <w:right w:w="0" w:type="dxa"/>
            </w:tcMar>
            <w:vAlign w:val="bottom"/>
          </w:tcPr>
          <w:p w14:paraId="6A03DCED">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7.93</w:t>
            </w:r>
            <w:r>
              <w:rPr>
                <w:rFonts w:ascii="Times New Roman" w:hAnsi="Times New Roman"/>
                <w:kern w:val="0"/>
                <w:sz w:val="18"/>
                <w:szCs w:val="18"/>
                <w:highlight w:val="none"/>
              </w:rPr>
              <w:t xml:space="preserve"> </w:t>
            </w:r>
          </w:p>
        </w:tc>
        <w:tc>
          <w:tcPr>
            <w:tcW w:w="287" w:type="pct"/>
            <w:noWrap w:val="0"/>
            <w:tcMar>
              <w:top w:w="0" w:type="dxa"/>
              <w:left w:w="0" w:type="dxa"/>
              <w:bottom w:w="0" w:type="dxa"/>
              <w:right w:w="0" w:type="dxa"/>
            </w:tcMar>
            <w:vAlign w:val="bottom"/>
          </w:tcPr>
          <w:p w14:paraId="4B176114">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7.12</w:t>
            </w:r>
            <w:r>
              <w:rPr>
                <w:rFonts w:ascii="Times New Roman" w:hAnsi="Times New Roman"/>
                <w:kern w:val="0"/>
                <w:sz w:val="18"/>
                <w:szCs w:val="18"/>
                <w:highlight w:val="none"/>
              </w:rPr>
              <w:t xml:space="preserve"> </w:t>
            </w:r>
          </w:p>
        </w:tc>
        <w:tc>
          <w:tcPr>
            <w:tcW w:w="289" w:type="pct"/>
            <w:noWrap w:val="0"/>
            <w:tcMar>
              <w:top w:w="0" w:type="dxa"/>
              <w:left w:w="0" w:type="dxa"/>
              <w:bottom w:w="0" w:type="dxa"/>
              <w:right w:w="0" w:type="dxa"/>
            </w:tcMar>
            <w:vAlign w:val="bottom"/>
          </w:tcPr>
          <w:p w14:paraId="6CAB8FC1">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2.96</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4332FA0A">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2.28</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0CE052CA">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0.67</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314521DC">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0.67</w:t>
            </w:r>
            <w:r>
              <w:rPr>
                <w:rFonts w:ascii="Times New Roman" w:hAnsi="Times New Roman"/>
                <w:kern w:val="0"/>
                <w:sz w:val="18"/>
                <w:szCs w:val="18"/>
                <w:highlight w:val="none"/>
              </w:rPr>
              <w:t xml:space="preserve"> </w:t>
            </w:r>
          </w:p>
        </w:tc>
        <w:tc>
          <w:tcPr>
            <w:tcW w:w="251" w:type="pct"/>
            <w:noWrap w:val="0"/>
            <w:tcMar>
              <w:top w:w="0" w:type="dxa"/>
              <w:left w:w="0" w:type="dxa"/>
              <w:bottom w:w="0" w:type="dxa"/>
              <w:right w:w="0" w:type="dxa"/>
            </w:tcMar>
            <w:vAlign w:val="bottom"/>
          </w:tcPr>
          <w:p w14:paraId="0BF43C90">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0.40</w:t>
            </w:r>
            <w:r>
              <w:rPr>
                <w:rFonts w:ascii="Times New Roman" w:hAnsi="Times New Roman"/>
                <w:kern w:val="0"/>
                <w:sz w:val="18"/>
                <w:szCs w:val="18"/>
                <w:highlight w:val="none"/>
              </w:rPr>
              <w:t xml:space="preserve"> </w:t>
            </w:r>
          </w:p>
        </w:tc>
        <w:tc>
          <w:tcPr>
            <w:tcW w:w="272" w:type="pct"/>
            <w:noWrap w:val="0"/>
            <w:tcMar>
              <w:top w:w="0" w:type="dxa"/>
              <w:left w:w="0" w:type="dxa"/>
              <w:bottom w:w="0" w:type="dxa"/>
              <w:right w:w="0" w:type="dxa"/>
            </w:tcMar>
            <w:vAlign w:val="bottom"/>
          </w:tcPr>
          <w:p w14:paraId="56101DAC">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0.94</w:t>
            </w:r>
            <w:r>
              <w:rPr>
                <w:rFonts w:ascii="Times New Roman" w:hAnsi="Times New Roman"/>
                <w:kern w:val="0"/>
                <w:sz w:val="18"/>
                <w:szCs w:val="18"/>
                <w:highlight w:val="none"/>
              </w:rPr>
              <w:t xml:space="preserve"> </w:t>
            </w:r>
          </w:p>
        </w:tc>
        <w:tc>
          <w:tcPr>
            <w:tcW w:w="251" w:type="pct"/>
            <w:noWrap w:val="0"/>
            <w:tcMar>
              <w:top w:w="0" w:type="dxa"/>
              <w:left w:w="0" w:type="dxa"/>
              <w:bottom w:w="0" w:type="dxa"/>
              <w:right w:w="0" w:type="dxa"/>
            </w:tcMar>
            <w:vAlign w:val="bottom"/>
          </w:tcPr>
          <w:p w14:paraId="242D9FD0">
            <w:pPr>
              <w:spacing w:line="240" w:lineRule="auto"/>
              <w:ind w:firstLine="0" w:firstLineChars="0"/>
              <w:jc w:val="both"/>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38.04</w:t>
            </w:r>
            <w:r>
              <w:rPr>
                <w:rFonts w:ascii="Times New Roman" w:hAnsi="Times New Roman"/>
                <w:kern w:val="0"/>
                <w:sz w:val="18"/>
                <w:szCs w:val="18"/>
                <w:highlight w:val="none"/>
              </w:rPr>
              <w:t xml:space="preserve"> </w:t>
            </w:r>
          </w:p>
        </w:tc>
        <w:tc>
          <w:tcPr>
            <w:tcW w:w="290" w:type="pct"/>
            <w:noWrap w:val="0"/>
            <w:tcMar>
              <w:top w:w="0" w:type="dxa"/>
              <w:left w:w="0" w:type="dxa"/>
              <w:bottom w:w="0" w:type="dxa"/>
              <w:right w:w="0" w:type="dxa"/>
            </w:tcMar>
            <w:vAlign w:val="bottom"/>
          </w:tcPr>
          <w:p w14:paraId="1A791FBA">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22.72</w:t>
            </w:r>
          </w:p>
        </w:tc>
        <w:tc>
          <w:tcPr>
            <w:tcW w:w="230" w:type="pct"/>
            <w:noWrap w:val="0"/>
            <w:tcMar>
              <w:top w:w="0" w:type="dxa"/>
              <w:left w:w="0" w:type="dxa"/>
              <w:bottom w:w="0" w:type="dxa"/>
              <w:right w:w="0" w:type="dxa"/>
            </w:tcMar>
            <w:vAlign w:val="bottom"/>
          </w:tcPr>
          <w:p w14:paraId="5BC502C6">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10.75</w:t>
            </w:r>
            <w:r>
              <w:rPr>
                <w:rFonts w:ascii="Times New Roman" w:hAnsi="Times New Roman"/>
                <w:kern w:val="0"/>
                <w:sz w:val="18"/>
                <w:szCs w:val="18"/>
                <w:highlight w:val="none"/>
              </w:rPr>
              <w:t xml:space="preserve"> </w:t>
            </w:r>
          </w:p>
        </w:tc>
        <w:tc>
          <w:tcPr>
            <w:tcW w:w="266" w:type="pct"/>
            <w:noWrap w:val="0"/>
            <w:tcMar>
              <w:top w:w="0" w:type="dxa"/>
              <w:left w:w="0" w:type="dxa"/>
              <w:bottom w:w="0" w:type="dxa"/>
              <w:right w:w="0" w:type="dxa"/>
            </w:tcMar>
            <w:vAlign w:val="bottom"/>
          </w:tcPr>
          <w:p w14:paraId="3726A189">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2.96</w:t>
            </w:r>
            <w:r>
              <w:rPr>
                <w:rFonts w:ascii="Times New Roman" w:hAnsi="Times New Roman"/>
                <w:kern w:val="0"/>
                <w:sz w:val="18"/>
                <w:szCs w:val="18"/>
                <w:highlight w:val="none"/>
              </w:rPr>
              <w:t xml:space="preserve"> </w:t>
            </w:r>
          </w:p>
        </w:tc>
        <w:tc>
          <w:tcPr>
            <w:tcW w:w="247" w:type="pct"/>
            <w:noWrap w:val="0"/>
            <w:tcMar>
              <w:top w:w="0" w:type="dxa"/>
              <w:left w:w="0" w:type="dxa"/>
              <w:bottom w:w="0" w:type="dxa"/>
              <w:right w:w="0" w:type="dxa"/>
            </w:tcMar>
            <w:vAlign w:val="bottom"/>
          </w:tcPr>
          <w:p w14:paraId="51376748">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 xml:space="preserve">0.13 </w:t>
            </w:r>
          </w:p>
        </w:tc>
      </w:tr>
      <w:tr w14:paraId="04EA66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93" w:type="pct"/>
            <w:noWrap w:val="0"/>
            <w:tcMar>
              <w:top w:w="0" w:type="dxa"/>
              <w:left w:w="0" w:type="dxa"/>
              <w:bottom w:w="0" w:type="dxa"/>
              <w:right w:w="0" w:type="dxa"/>
            </w:tcMar>
            <w:vAlign w:val="center"/>
          </w:tcPr>
          <w:p w14:paraId="65FB1CB0">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4月</w:t>
            </w:r>
          </w:p>
        </w:tc>
        <w:tc>
          <w:tcPr>
            <w:tcW w:w="335" w:type="pct"/>
            <w:noWrap w:val="0"/>
            <w:tcMar>
              <w:top w:w="0" w:type="dxa"/>
              <w:left w:w="0" w:type="dxa"/>
              <w:bottom w:w="0" w:type="dxa"/>
              <w:right w:w="0" w:type="dxa"/>
            </w:tcMar>
            <w:vAlign w:val="bottom"/>
          </w:tcPr>
          <w:p w14:paraId="578DEE72">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0.56</w:t>
            </w:r>
            <w:r>
              <w:rPr>
                <w:rFonts w:ascii="Times New Roman" w:hAnsi="Times New Roman"/>
                <w:kern w:val="0"/>
                <w:sz w:val="18"/>
                <w:szCs w:val="18"/>
                <w:highlight w:val="none"/>
              </w:rPr>
              <w:t xml:space="preserve"> </w:t>
            </w:r>
          </w:p>
        </w:tc>
        <w:tc>
          <w:tcPr>
            <w:tcW w:w="317" w:type="pct"/>
            <w:noWrap w:val="0"/>
            <w:tcMar>
              <w:top w:w="0" w:type="dxa"/>
              <w:left w:w="0" w:type="dxa"/>
              <w:bottom w:w="0" w:type="dxa"/>
              <w:right w:w="0" w:type="dxa"/>
            </w:tcMar>
            <w:vAlign w:val="bottom"/>
          </w:tcPr>
          <w:p w14:paraId="0694BC3C">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0.14</w:t>
            </w:r>
            <w:r>
              <w:rPr>
                <w:rFonts w:ascii="Times New Roman" w:hAnsi="Times New Roman"/>
                <w:kern w:val="0"/>
                <w:sz w:val="18"/>
                <w:szCs w:val="18"/>
                <w:highlight w:val="none"/>
              </w:rPr>
              <w:t xml:space="preserve"> </w:t>
            </w:r>
          </w:p>
        </w:tc>
        <w:tc>
          <w:tcPr>
            <w:tcW w:w="323" w:type="pct"/>
            <w:noWrap w:val="0"/>
            <w:tcMar>
              <w:top w:w="0" w:type="dxa"/>
              <w:left w:w="0" w:type="dxa"/>
              <w:bottom w:w="0" w:type="dxa"/>
              <w:right w:w="0" w:type="dxa"/>
            </w:tcMar>
            <w:vAlign w:val="bottom"/>
          </w:tcPr>
          <w:p w14:paraId="29483ACA">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0.42</w:t>
            </w:r>
            <w:r>
              <w:rPr>
                <w:rFonts w:ascii="Times New Roman" w:hAnsi="Times New Roman"/>
                <w:kern w:val="0"/>
                <w:sz w:val="18"/>
                <w:szCs w:val="18"/>
                <w:highlight w:val="none"/>
              </w:rPr>
              <w:t xml:space="preserve"> </w:t>
            </w:r>
          </w:p>
        </w:tc>
        <w:tc>
          <w:tcPr>
            <w:tcW w:w="308" w:type="pct"/>
            <w:noWrap w:val="0"/>
            <w:tcMar>
              <w:top w:w="0" w:type="dxa"/>
              <w:left w:w="0" w:type="dxa"/>
              <w:bottom w:w="0" w:type="dxa"/>
              <w:right w:w="0" w:type="dxa"/>
            </w:tcMar>
            <w:vAlign w:val="bottom"/>
          </w:tcPr>
          <w:p w14:paraId="3AE01E5A">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0.97</w:t>
            </w:r>
            <w:r>
              <w:rPr>
                <w:rFonts w:ascii="Times New Roman" w:hAnsi="Times New Roman"/>
                <w:kern w:val="0"/>
                <w:sz w:val="18"/>
                <w:szCs w:val="18"/>
                <w:highlight w:val="none"/>
              </w:rPr>
              <w:t xml:space="preserve"> </w:t>
            </w:r>
          </w:p>
        </w:tc>
        <w:tc>
          <w:tcPr>
            <w:tcW w:w="293" w:type="pct"/>
            <w:noWrap w:val="0"/>
            <w:tcMar>
              <w:top w:w="0" w:type="dxa"/>
              <w:left w:w="0" w:type="dxa"/>
              <w:bottom w:w="0" w:type="dxa"/>
              <w:right w:w="0" w:type="dxa"/>
            </w:tcMar>
            <w:vAlign w:val="bottom"/>
          </w:tcPr>
          <w:p w14:paraId="6D8CC54F">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12.08</w:t>
            </w:r>
            <w:r>
              <w:rPr>
                <w:rFonts w:ascii="Times New Roman" w:hAnsi="Times New Roman"/>
                <w:kern w:val="0"/>
                <w:sz w:val="18"/>
                <w:szCs w:val="18"/>
                <w:highlight w:val="none"/>
              </w:rPr>
              <w:t xml:space="preserve"> </w:t>
            </w:r>
          </w:p>
        </w:tc>
        <w:tc>
          <w:tcPr>
            <w:tcW w:w="287" w:type="pct"/>
            <w:noWrap w:val="0"/>
            <w:tcMar>
              <w:top w:w="0" w:type="dxa"/>
              <w:left w:w="0" w:type="dxa"/>
              <w:bottom w:w="0" w:type="dxa"/>
              <w:right w:w="0" w:type="dxa"/>
            </w:tcMar>
            <w:vAlign w:val="bottom"/>
          </w:tcPr>
          <w:p w14:paraId="16E48125">
            <w:pPr>
              <w:spacing w:line="240" w:lineRule="auto"/>
              <w:ind w:firstLine="0" w:firstLineChars="0"/>
              <w:jc w:val="center"/>
              <w:rPr>
                <w:rFonts w:hint="default" w:ascii="Times New Roman" w:hAnsi="Times New Roman"/>
                <w:kern w:val="0"/>
                <w:sz w:val="18"/>
                <w:szCs w:val="18"/>
                <w:highlight w:val="none"/>
                <w:lang w:val="en-US"/>
              </w:rPr>
            </w:pPr>
            <w:r>
              <w:rPr>
                <w:rFonts w:hint="eastAsia" w:ascii="Times New Roman" w:hAnsi="Times New Roman"/>
                <w:kern w:val="0"/>
                <w:sz w:val="18"/>
                <w:szCs w:val="18"/>
                <w:highlight w:val="none"/>
                <w:lang w:val="en-US" w:eastAsia="zh-CN"/>
              </w:rPr>
              <w:t>10.42</w:t>
            </w:r>
          </w:p>
        </w:tc>
        <w:tc>
          <w:tcPr>
            <w:tcW w:w="289" w:type="pct"/>
            <w:noWrap w:val="0"/>
            <w:tcMar>
              <w:top w:w="0" w:type="dxa"/>
              <w:left w:w="0" w:type="dxa"/>
              <w:bottom w:w="0" w:type="dxa"/>
              <w:right w:w="0" w:type="dxa"/>
            </w:tcMar>
            <w:vAlign w:val="bottom"/>
          </w:tcPr>
          <w:p w14:paraId="16E65484">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3.33</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4BCE3773">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2.36</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76D0BD66">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1.67</w:t>
            </w:r>
          </w:p>
        </w:tc>
        <w:tc>
          <w:tcPr>
            <w:tcW w:w="250" w:type="pct"/>
            <w:noWrap w:val="0"/>
            <w:tcMar>
              <w:top w:w="0" w:type="dxa"/>
              <w:left w:w="0" w:type="dxa"/>
              <w:bottom w:w="0" w:type="dxa"/>
              <w:right w:w="0" w:type="dxa"/>
            </w:tcMar>
            <w:vAlign w:val="bottom"/>
          </w:tcPr>
          <w:p w14:paraId="4EF89E65">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2.64</w:t>
            </w:r>
            <w:r>
              <w:rPr>
                <w:rFonts w:ascii="Times New Roman" w:hAnsi="Times New Roman"/>
                <w:kern w:val="0"/>
                <w:sz w:val="18"/>
                <w:szCs w:val="18"/>
                <w:highlight w:val="none"/>
              </w:rPr>
              <w:t xml:space="preserve"> </w:t>
            </w:r>
          </w:p>
        </w:tc>
        <w:tc>
          <w:tcPr>
            <w:tcW w:w="251" w:type="pct"/>
            <w:noWrap w:val="0"/>
            <w:tcMar>
              <w:top w:w="0" w:type="dxa"/>
              <w:left w:w="0" w:type="dxa"/>
              <w:bottom w:w="0" w:type="dxa"/>
              <w:right w:w="0" w:type="dxa"/>
            </w:tcMar>
            <w:vAlign w:val="bottom"/>
          </w:tcPr>
          <w:p w14:paraId="6310EF81">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1.25</w:t>
            </w:r>
            <w:r>
              <w:rPr>
                <w:rFonts w:ascii="Times New Roman" w:hAnsi="Times New Roman"/>
                <w:kern w:val="0"/>
                <w:sz w:val="18"/>
                <w:szCs w:val="18"/>
                <w:highlight w:val="none"/>
              </w:rPr>
              <w:t xml:space="preserve"> </w:t>
            </w:r>
          </w:p>
        </w:tc>
        <w:tc>
          <w:tcPr>
            <w:tcW w:w="272" w:type="pct"/>
            <w:noWrap w:val="0"/>
            <w:tcMar>
              <w:top w:w="0" w:type="dxa"/>
              <w:left w:w="0" w:type="dxa"/>
              <w:bottom w:w="0" w:type="dxa"/>
              <w:right w:w="0" w:type="dxa"/>
            </w:tcMar>
            <w:vAlign w:val="bottom"/>
          </w:tcPr>
          <w:p w14:paraId="0A50615E">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2.36</w:t>
            </w:r>
            <w:r>
              <w:rPr>
                <w:rFonts w:ascii="Times New Roman" w:hAnsi="Times New Roman"/>
                <w:kern w:val="0"/>
                <w:sz w:val="18"/>
                <w:szCs w:val="18"/>
                <w:highlight w:val="none"/>
              </w:rPr>
              <w:t xml:space="preserve"> </w:t>
            </w:r>
          </w:p>
        </w:tc>
        <w:tc>
          <w:tcPr>
            <w:tcW w:w="251" w:type="pct"/>
            <w:noWrap w:val="0"/>
            <w:tcMar>
              <w:top w:w="0" w:type="dxa"/>
              <w:left w:w="0" w:type="dxa"/>
              <w:bottom w:w="0" w:type="dxa"/>
              <w:right w:w="0" w:type="dxa"/>
            </w:tcMar>
            <w:vAlign w:val="bottom"/>
          </w:tcPr>
          <w:p w14:paraId="6BDC9652">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26.39</w:t>
            </w:r>
            <w:r>
              <w:rPr>
                <w:rFonts w:ascii="Times New Roman" w:hAnsi="Times New Roman"/>
                <w:kern w:val="0"/>
                <w:sz w:val="18"/>
                <w:szCs w:val="18"/>
                <w:highlight w:val="none"/>
              </w:rPr>
              <w:t xml:space="preserve"> </w:t>
            </w:r>
          </w:p>
        </w:tc>
        <w:tc>
          <w:tcPr>
            <w:tcW w:w="290" w:type="pct"/>
            <w:noWrap w:val="0"/>
            <w:tcMar>
              <w:top w:w="0" w:type="dxa"/>
              <w:left w:w="0" w:type="dxa"/>
              <w:bottom w:w="0" w:type="dxa"/>
              <w:right w:w="0" w:type="dxa"/>
            </w:tcMar>
            <w:vAlign w:val="bottom"/>
          </w:tcPr>
          <w:p w14:paraId="758C51F0">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21.53</w:t>
            </w:r>
          </w:p>
        </w:tc>
        <w:tc>
          <w:tcPr>
            <w:tcW w:w="230" w:type="pct"/>
            <w:noWrap w:val="0"/>
            <w:tcMar>
              <w:top w:w="0" w:type="dxa"/>
              <w:left w:w="0" w:type="dxa"/>
              <w:bottom w:w="0" w:type="dxa"/>
              <w:right w:w="0" w:type="dxa"/>
            </w:tcMar>
            <w:vAlign w:val="bottom"/>
          </w:tcPr>
          <w:p w14:paraId="4FE792D7">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11.25</w:t>
            </w:r>
          </w:p>
        </w:tc>
        <w:tc>
          <w:tcPr>
            <w:tcW w:w="266" w:type="pct"/>
            <w:noWrap w:val="0"/>
            <w:tcMar>
              <w:top w:w="0" w:type="dxa"/>
              <w:left w:w="0" w:type="dxa"/>
              <w:bottom w:w="0" w:type="dxa"/>
              <w:right w:w="0" w:type="dxa"/>
            </w:tcMar>
            <w:vAlign w:val="bottom"/>
          </w:tcPr>
          <w:p w14:paraId="27028060">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2.36</w:t>
            </w:r>
            <w:r>
              <w:rPr>
                <w:rFonts w:ascii="Times New Roman" w:hAnsi="Times New Roman"/>
                <w:kern w:val="0"/>
                <w:sz w:val="18"/>
                <w:szCs w:val="18"/>
                <w:highlight w:val="none"/>
              </w:rPr>
              <w:t xml:space="preserve"> </w:t>
            </w:r>
          </w:p>
        </w:tc>
        <w:tc>
          <w:tcPr>
            <w:tcW w:w="247" w:type="pct"/>
            <w:noWrap w:val="0"/>
            <w:tcMar>
              <w:top w:w="0" w:type="dxa"/>
              <w:left w:w="0" w:type="dxa"/>
              <w:bottom w:w="0" w:type="dxa"/>
              <w:right w:w="0" w:type="dxa"/>
            </w:tcMar>
            <w:vAlign w:val="bottom"/>
          </w:tcPr>
          <w:p w14:paraId="30868634">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0.</w:t>
            </w:r>
            <w:r>
              <w:rPr>
                <w:rFonts w:hint="eastAsia" w:ascii="Times New Roman" w:hAnsi="Times New Roman"/>
                <w:kern w:val="0"/>
                <w:sz w:val="18"/>
                <w:szCs w:val="18"/>
                <w:highlight w:val="none"/>
                <w:lang w:val="en-US" w:eastAsia="zh-CN"/>
              </w:rPr>
              <w:t>28</w:t>
            </w:r>
            <w:r>
              <w:rPr>
                <w:rFonts w:ascii="Times New Roman" w:hAnsi="Times New Roman"/>
                <w:kern w:val="0"/>
                <w:sz w:val="18"/>
                <w:szCs w:val="18"/>
                <w:highlight w:val="none"/>
              </w:rPr>
              <w:t xml:space="preserve"> </w:t>
            </w:r>
          </w:p>
        </w:tc>
      </w:tr>
      <w:tr w14:paraId="5EDF38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93" w:type="pct"/>
            <w:noWrap w:val="0"/>
            <w:tcMar>
              <w:top w:w="0" w:type="dxa"/>
              <w:left w:w="0" w:type="dxa"/>
              <w:bottom w:w="0" w:type="dxa"/>
              <w:right w:w="0" w:type="dxa"/>
            </w:tcMar>
            <w:vAlign w:val="center"/>
          </w:tcPr>
          <w:p w14:paraId="6D836AB8">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5月</w:t>
            </w:r>
          </w:p>
        </w:tc>
        <w:tc>
          <w:tcPr>
            <w:tcW w:w="335" w:type="pct"/>
            <w:noWrap w:val="0"/>
            <w:tcMar>
              <w:top w:w="0" w:type="dxa"/>
              <w:left w:w="0" w:type="dxa"/>
              <w:bottom w:w="0" w:type="dxa"/>
              <w:right w:w="0" w:type="dxa"/>
            </w:tcMar>
            <w:vAlign w:val="bottom"/>
          </w:tcPr>
          <w:p w14:paraId="7DBEA6E9">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4.70</w:t>
            </w:r>
            <w:r>
              <w:rPr>
                <w:rFonts w:ascii="Times New Roman" w:hAnsi="Times New Roman"/>
                <w:kern w:val="0"/>
                <w:sz w:val="18"/>
                <w:szCs w:val="18"/>
                <w:highlight w:val="none"/>
              </w:rPr>
              <w:t xml:space="preserve"> </w:t>
            </w:r>
          </w:p>
        </w:tc>
        <w:tc>
          <w:tcPr>
            <w:tcW w:w="317" w:type="pct"/>
            <w:noWrap w:val="0"/>
            <w:tcMar>
              <w:top w:w="0" w:type="dxa"/>
              <w:left w:w="0" w:type="dxa"/>
              <w:bottom w:w="0" w:type="dxa"/>
              <w:right w:w="0" w:type="dxa"/>
            </w:tcMar>
            <w:vAlign w:val="bottom"/>
          </w:tcPr>
          <w:p w14:paraId="3CBCB4C2">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1.21</w:t>
            </w:r>
            <w:r>
              <w:rPr>
                <w:rFonts w:ascii="Times New Roman" w:hAnsi="Times New Roman"/>
                <w:kern w:val="0"/>
                <w:sz w:val="18"/>
                <w:szCs w:val="18"/>
                <w:highlight w:val="none"/>
              </w:rPr>
              <w:t xml:space="preserve"> </w:t>
            </w:r>
          </w:p>
        </w:tc>
        <w:tc>
          <w:tcPr>
            <w:tcW w:w="323" w:type="pct"/>
            <w:noWrap w:val="0"/>
            <w:tcMar>
              <w:top w:w="0" w:type="dxa"/>
              <w:left w:w="0" w:type="dxa"/>
              <w:bottom w:w="0" w:type="dxa"/>
              <w:right w:w="0" w:type="dxa"/>
            </w:tcMar>
            <w:vAlign w:val="bottom"/>
          </w:tcPr>
          <w:p w14:paraId="2330971E">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1.61</w:t>
            </w:r>
          </w:p>
        </w:tc>
        <w:tc>
          <w:tcPr>
            <w:tcW w:w="308" w:type="pct"/>
            <w:noWrap w:val="0"/>
            <w:tcMar>
              <w:top w:w="0" w:type="dxa"/>
              <w:left w:w="0" w:type="dxa"/>
              <w:bottom w:w="0" w:type="dxa"/>
              <w:right w:w="0" w:type="dxa"/>
            </w:tcMar>
            <w:vAlign w:val="bottom"/>
          </w:tcPr>
          <w:p w14:paraId="31E163A4">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2.69</w:t>
            </w:r>
            <w:r>
              <w:rPr>
                <w:rFonts w:ascii="Times New Roman" w:hAnsi="Times New Roman"/>
                <w:kern w:val="0"/>
                <w:sz w:val="18"/>
                <w:szCs w:val="18"/>
                <w:highlight w:val="none"/>
              </w:rPr>
              <w:t xml:space="preserve"> </w:t>
            </w:r>
          </w:p>
        </w:tc>
        <w:tc>
          <w:tcPr>
            <w:tcW w:w="293" w:type="pct"/>
            <w:noWrap w:val="0"/>
            <w:tcMar>
              <w:top w:w="0" w:type="dxa"/>
              <w:left w:w="0" w:type="dxa"/>
              <w:bottom w:w="0" w:type="dxa"/>
              <w:right w:w="0" w:type="dxa"/>
            </w:tcMar>
            <w:vAlign w:val="bottom"/>
          </w:tcPr>
          <w:p w14:paraId="0E70AC9F">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11.29</w:t>
            </w:r>
          </w:p>
        </w:tc>
        <w:tc>
          <w:tcPr>
            <w:tcW w:w="287" w:type="pct"/>
            <w:noWrap w:val="0"/>
            <w:tcMar>
              <w:top w:w="0" w:type="dxa"/>
              <w:left w:w="0" w:type="dxa"/>
              <w:bottom w:w="0" w:type="dxa"/>
              <w:right w:w="0" w:type="dxa"/>
            </w:tcMar>
            <w:vAlign w:val="bottom"/>
          </w:tcPr>
          <w:p w14:paraId="5E19F042">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9.41</w:t>
            </w:r>
          </w:p>
        </w:tc>
        <w:tc>
          <w:tcPr>
            <w:tcW w:w="289" w:type="pct"/>
            <w:noWrap w:val="0"/>
            <w:tcMar>
              <w:top w:w="0" w:type="dxa"/>
              <w:left w:w="0" w:type="dxa"/>
              <w:bottom w:w="0" w:type="dxa"/>
              <w:right w:w="0" w:type="dxa"/>
            </w:tcMar>
            <w:vAlign w:val="bottom"/>
          </w:tcPr>
          <w:p w14:paraId="736D7DCE">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1.75</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79D46316">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2.28</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1CCF5FA8">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1.21</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637346F8">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0.81</w:t>
            </w:r>
            <w:r>
              <w:rPr>
                <w:rFonts w:ascii="Times New Roman" w:hAnsi="Times New Roman"/>
                <w:kern w:val="0"/>
                <w:sz w:val="18"/>
                <w:szCs w:val="18"/>
                <w:highlight w:val="none"/>
              </w:rPr>
              <w:t xml:space="preserve"> </w:t>
            </w:r>
          </w:p>
        </w:tc>
        <w:tc>
          <w:tcPr>
            <w:tcW w:w="251" w:type="pct"/>
            <w:noWrap w:val="0"/>
            <w:tcMar>
              <w:top w:w="0" w:type="dxa"/>
              <w:left w:w="0" w:type="dxa"/>
              <w:bottom w:w="0" w:type="dxa"/>
              <w:right w:w="0" w:type="dxa"/>
            </w:tcMar>
            <w:vAlign w:val="bottom"/>
          </w:tcPr>
          <w:p w14:paraId="403E4535">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1.75</w:t>
            </w:r>
            <w:r>
              <w:rPr>
                <w:rFonts w:ascii="Times New Roman" w:hAnsi="Times New Roman"/>
                <w:kern w:val="0"/>
                <w:sz w:val="18"/>
                <w:szCs w:val="18"/>
                <w:highlight w:val="none"/>
              </w:rPr>
              <w:t xml:space="preserve"> </w:t>
            </w:r>
          </w:p>
        </w:tc>
        <w:tc>
          <w:tcPr>
            <w:tcW w:w="272" w:type="pct"/>
            <w:noWrap w:val="0"/>
            <w:tcMar>
              <w:top w:w="0" w:type="dxa"/>
              <w:left w:w="0" w:type="dxa"/>
              <w:bottom w:w="0" w:type="dxa"/>
              <w:right w:w="0" w:type="dxa"/>
            </w:tcMar>
            <w:vAlign w:val="bottom"/>
          </w:tcPr>
          <w:p w14:paraId="71EE35A6">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1.88</w:t>
            </w:r>
            <w:r>
              <w:rPr>
                <w:rFonts w:ascii="Times New Roman" w:hAnsi="Times New Roman"/>
                <w:kern w:val="0"/>
                <w:sz w:val="18"/>
                <w:szCs w:val="18"/>
                <w:highlight w:val="none"/>
              </w:rPr>
              <w:t xml:space="preserve"> </w:t>
            </w:r>
          </w:p>
        </w:tc>
        <w:tc>
          <w:tcPr>
            <w:tcW w:w="251" w:type="pct"/>
            <w:noWrap w:val="0"/>
            <w:tcMar>
              <w:top w:w="0" w:type="dxa"/>
              <w:left w:w="0" w:type="dxa"/>
              <w:bottom w:w="0" w:type="dxa"/>
              <w:right w:w="0" w:type="dxa"/>
            </w:tcMar>
            <w:vAlign w:val="bottom"/>
          </w:tcPr>
          <w:p w14:paraId="28CC1CED">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21.91</w:t>
            </w:r>
            <w:r>
              <w:rPr>
                <w:rFonts w:ascii="Times New Roman" w:hAnsi="Times New Roman"/>
                <w:kern w:val="0"/>
                <w:sz w:val="18"/>
                <w:szCs w:val="18"/>
                <w:highlight w:val="none"/>
              </w:rPr>
              <w:t xml:space="preserve"> </w:t>
            </w:r>
          </w:p>
        </w:tc>
        <w:tc>
          <w:tcPr>
            <w:tcW w:w="290" w:type="pct"/>
            <w:noWrap w:val="0"/>
            <w:tcMar>
              <w:top w:w="0" w:type="dxa"/>
              <w:left w:w="0" w:type="dxa"/>
              <w:bottom w:w="0" w:type="dxa"/>
              <w:right w:w="0" w:type="dxa"/>
            </w:tcMar>
            <w:vAlign w:val="bottom"/>
          </w:tcPr>
          <w:p w14:paraId="4EC54A7C">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16.80</w:t>
            </w:r>
          </w:p>
        </w:tc>
        <w:tc>
          <w:tcPr>
            <w:tcW w:w="230" w:type="pct"/>
            <w:noWrap w:val="0"/>
            <w:tcMar>
              <w:top w:w="0" w:type="dxa"/>
              <w:left w:w="0" w:type="dxa"/>
              <w:bottom w:w="0" w:type="dxa"/>
              <w:right w:w="0" w:type="dxa"/>
            </w:tcMar>
            <w:vAlign w:val="bottom"/>
          </w:tcPr>
          <w:p w14:paraId="375B50DD">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14.65</w:t>
            </w:r>
            <w:r>
              <w:rPr>
                <w:rFonts w:ascii="Times New Roman" w:hAnsi="Times New Roman"/>
                <w:kern w:val="0"/>
                <w:sz w:val="18"/>
                <w:szCs w:val="18"/>
                <w:highlight w:val="none"/>
              </w:rPr>
              <w:t xml:space="preserve"> </w:t>
            </w:r>
          </w:p>
        </w:tc>
        <w:tc>
          <w:tcPr>
            <w:tcW w:w="266" w:type="pct"/>
            <w:noWrap w:val="0"/>
            <w:tcMar>
              <w:top w:w="0" w:type="dxa"/>
              <w:left w:w="0" w:type="dxa"/>
              <w:bottom w:w="0" w:type="dxa"/>
              <w:right w:w="0" w:type="dxa"/>
            </w:tcMar>
            <w:vAlign w:val="bottom"/>
          </w:tcPr>
          <w:p w14:paraId="40290A81">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5.51</w:t>
            </w:r>
            <w:r>
              <w:rPr>
                <w:rFonts w:ascii="Times New Roman" w:hAnsi="Times New Roman"/>
                <w:kern w:val="0"/>
                <w:sz w:val="18"/>
                <w:szCs w:val="18"/>
                <w:highlight w:val="none"/>
              </w:rPr>
              <w:t xml:space="preserve"> </w:t>
            </w:r>
          </w:p>
        </w:tc>
        <w:tc>
          <w:tcPr>
            <w:tcW w:w="247" w:type="pct"/>
            <w:noWrap w:val="0"/>
            <w:tcMar>
              <w:top w:w="0" w:type="dxa"/>
              <w:left w:w="0" w:type="dxa"/>
              <w:bottom w:w="0" w:type="dxa"/>
              <w:right w:w="0" w:type="dxa"/>
            </w:tcMar>
            <w:vAlign w:val="bottom"/>
          </w:tcPr>
          <w:p w14:paraId="1D9EEC86">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0.</w:t>
            </w:r>
            <w:r>
              <w:rPr>
                <w:rFonts w:hint="eastAsia" w:ascii="Times New Roman" w:hAnsi="Times New Roman"/>
                <w:kern w:val="0"/>
                <w:sz w:val="18"/>
                <w:szCs w:val="18"/>
                <w:highlight w:val="none"/>
                <w:lang w:val="en-US" w:eastAsia="zh-CN"/>
              </w:rPr>
              <w:t>54</w:t>
            </w:r>
            <w:r>
              <w:rPr>
                <w:rFonts w:ascii="Times New Roman" w:hAnsi="Times New Roman"/>
                <w:kern w:val="0"/>
                <w:sz w:val="18"/>
                <w:szCs w:val="18"/>
                <w:highlight w:val="none"/>
              </w:rPr>
              <w:t xml:space="preserve"> </w:t>
            </w:r>
          </w:p>
        </w:tc>
      </w:tr>
      <w:tr w14:paraId="089679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93" w:type="pct"/>
            <w:noWrap w:val="0"/>
            <w:tcMar>
              <w:top w:w="0" w:type="dxa"/>
              <w:left w:w="0" w:type="dxa"/>
              <w:bottom w:w="0" w:type="dxa"/>
              <w:right w:w="0" w:type="dxa"/>
            </w:tcMar>
            <w:vAlign w:val="center"/>
          </w:tcPr>
          <w:p w14:paraId="3A319217">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6月</w:t>
            </w:r>
          </w:p>
        </w:tc>
        <w:tc>
          <w:tcPr>
            <w:tcW w:w="335" w:type="pct"/>
            <w:noWrap w:val="0"/>
            <w:tcMar>
              <w:top w:w="0" w:type="dxa"/>
              <w:left w:w="0" w:type="dxa"/>
              <w:bottom w:w="0" w:type="dxa"/>
              <w:right w:w="0" w:type="dxa"/>
            </w:tcMar>
            <w:vAlign w:val="bottom"/>
          </w:tcPr>
          <w:p w14:paraId="233686E9">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1.81</w:t>
            </w:r>
            <w:r>
              <w:rPr>
                <w:rFonts w:ascii="Times New Roman" w:hAnsi="Times New Roman"/>
                <w:kern w:val="0"/>
                <w:sz w:val="18"/>
                <w:szCs w:val="18"/>
                <w:highlight w:val="none"/>
              </w:rPr>
              <w:t xml:space="preserve"> </w:t>
            </w:r>
          </w:p>
        </w:tc>
        <w:tc>
          <w:tcPr>
            <w:tcW w:w="317" w:type="pct"/>
            <w:noWrap w:val="0"/>
            <w:tcMar>
              <w:top w:w="0" w:type="dxa"/>
              <w:left w:w="0" w:type="dxa"/>
              <w:bottom w:w="0" w:type="dxa"/>
              <w:right w:w="0" w:type="dxa"/>
            </w:tcMar>
            <w:vAlign w:val="bottom"/>
          </w:tcPr>
          <w:p w14:paraId="4C7782DB">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1.39</w:t>
            </w:r>
            <w:r>
              <w:rPr>
                <w:rFonts w:ascii="Times New Roman" w:hAnsi="Times New Roman"/>
                <w:kern w:val="0"/>
                <w:sz w:val="18"/>
                <w:szCs w:val="18"/>
                <w:highlight w:val="none"/>
              </w:rPr>
              <w:t xml:space="preserve"> </w:t>
            </w:r>
          </w:p>
        </w:tc>
        <w:tc>
          <w:tcPr>
            <w:tcW w:w="323" w:type="pct"/>
            <w:noWrap w:val="0"/>
            <w:tcMar>
              <w:top w:w="0" w:type="dxa"/>
              <w:left w:w="0" w:type="dxa"/>
              <w:bottom w:w="0" w:type="dxa"/>
              <w:right w:w="0" w:type="dxa"/>
            </w:tcMar>
            <w:vAlign w:val="bottom"/>
          </w:tcPr>
          <w:p w14:paraId="28691D54">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0.69</w:t>
            </w:r>
            <w:r>
              <w:rPr>
                <w:rFonts w:ascii="Times New Roman" w:hAnsi="Times New Roman"/>
                <w:kern w:val="0"/>
                <w:sz w:val="18"/>
                <w:szCs w:val="18"/>
                <w:highlight w:val="none"/>
              </w:rPr>
              <w:t xml:space="preserve"> </w:t>
            </w:r>
          </w:p>
        </w:tc>
        <w:tc>
          <w:tcPr>
            <w:tcW w:w="308" w:type="pct"/>
            <w:noWrap w:val="0"/>
            <w:tcMar>
              <w:top w:w="0" w:type="dxa"/>
              <w:left w:w="0" w:type="dxa"/>
              <w:bottom w:w="0" w:type="dxa"/>
              <w:right w:w="0" w:type="dxa"/>
            </w:tcMar>
            <w:vAlign w:val="bottom"/>
          </w:tcPr>
          <w:p w14:paraId="2C336373">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1.</w:t>
            </w:r>
            <w:r>
              <w:rPr>
                <w:rFonts w:hint="eastAsia" w:ascii="Times New Roman" w:hAnsi="Times New Roman"/>
                <w:kern w:val="0"/>
                <w:sz w:val="18"/>
                <w:szCs w:val="18"/>
                <w:highlight w:val="none"/>
                <w:lang w:val="en-US" w:eastAsia="zh-CN"/>
              </w:rPr>
              <w:t>25</w:t>
            </w:r>
            <w:r>
              <w:rPr>
                <w:rFonts w:ascii="Times New Roman" w:hAnsi="Times New Roman"/>
                <w:kern w:val="0"/>
                <w:sz w:val="18"/>
                <w:szCs w:val="18"/>
                <w:highlight w:val="none"/>
              </w:rPr>
              <w:t xml:space="preserve"> </w:t>
            </w:r>
          </w:p>
        </w:tc>
        <w:tc>
          <w:tcPr>
            <w:tcW w:w="293" w:type="pct"/>
            <w:noWrap w:val="0"/>
            <w:tcMar>
              <w:top w:w="0" w:type="dxa"/>
              <w:left w:w="0" w:type="dxa"/>
              <w:bottom w:w="0" w:type="dxa"/>
              <w:right w:w="0" w:type="dxa"/>
            </w:tcMar>
            <w:vAlign w:val="bottom"/>
          </w:tcPr>
          <w:p w14:paraId="71F40195">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15.97</w:t>
            </w:r>
          </w:p>
        </w:tc>
        <w:tc>
          <w:tcPr>
            <w:tcW w:w="287" w:type="pct"/>
            <w:noWrap w:val="0"/>
            <w:tcMar>
              <w:top w:w="0" w:type="dxa"/>
              <w:left w:w="0" w:type="dxa"/>
              <w:bottom w:w="0" w:type="dxa"/>
              <w:right w:w="0" w:type="dxa"/>
            </w:tcMar>
            <w:vAlign w:val="bottom"/>
          </w:tcPr>
          <w:p w14:paraId="63128C40">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15.42</w:t>
            </w:r>
            <w:r>
              <w:rPr>
                <w:rFonts w:ascii="Times New Roman" w:hAnsi="Times New Roman"/>
                <w:kern w:val="0"/>
                <w:sz w:val="18"/>
                <w:szCs w:val="18"/>
                <w:highlight w:val="none"/>
              </w:rPr>
              <w:t xml:space="preserve"> </w:t>
            </w:r>
          </w:p>
        </w:tc>
        <w:tc>
          <w:tcPr>
            <w:tcW w:w="289" w:type="pct"/>
            <w:noWrap w:val="0"/>
            <w:tcMar>
              <w:top w:w="0" w:type="dxa"/>
              <w:left w:w="0" w:type="dxa"/>
              <w:bottom w:w="0" w:type="dxa"/>
              <w:right w:w="0" w:type="dxa"/>
            </w:tcMar>
            <w:vAlign w:val="bottom"/>
          </w:tcPr>
          <w:p w14:paraId="73AC9042">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3.47</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37E8A876">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1.81</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050EA889">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2.22</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10838CFC">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1.94</w:t>
            </w:r>
            <w:r>
              <w:rPr>
                <w:rFonts w:ascii="Times New Roman" w:hAnsi="Times New Roman"/>
                <w:kern w:val="0"/>
                <w:sz w:val="18"/>
                <w:szCs w:val="18"/>
                <w:highlight w:val="none"/>
              </w:rPr>
              <w:t xml:space="preserve"> </w:t>
            </w:r>
          </w:p>
        </w:tc>
        <w:tc>
          <w:tcPr>
            <w:tcW w:w="251" w:type="pct"/>
            <w:noWrap w:val="0"/>
            <w:tcMar>
              <w:top w:w="0" w:type="dxa"/>
              <w:left w:w="0" w:type="dxa"/>
              <w:bottom w:w="0" w:type="dxa"/>
              <w:right w:w="0" w:type="dxa"/>
            </w:tcMar>
            <w:vAlign w:val="bottom"/>
          </w:tcPr>
          <w:p w14:paraId="6C4C2EC6">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2.36</w:t>
            </w:r>
            <w:r>
              <w:rPr>
                <w:rFonts w:ascii="Times New Roman" w:hAnsi="Times New Roman"/>
                <w:kern w:val="0"/>
                <w:sz w:val="18"/>
                <w:szCs w:val="18"/>
                <w:highlight w:val="none"/>
              </w:rPr>
              <w:t xml:space="preserve"> </w:t>
            </w:r>
          </w:p>
        </w:tc>
        <w:tc>
          <w:tcPr>
            <w:tcW w:w="272" w:type="pct"/>
            <w:noWrap w:val="0"/>
            <w:tcMar>
              <w:top w:w="0" w:type="dxa"/>
              <w:left w:w="0" w:type="dxa"/>
              <w:bottom w:w="0" w:type="dxa"/>
              <w:right w:w="0" w:type="dxa"/>
            </w:tcMar>
            <w:vAlign w:val="bottom"/>
          </w:tcPr>
          <w:p w14:paraId="2506A3CC">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0.83</w:t>
            </w:r>
            <w:r>
              <w:rPr>
                <w:rFonts w:ascii="Times New Roman" w:hAnsi="Times New Roman"/>
                <w:kern w:val="0"/>
                <w:sz w:val="18"/>
                <w:szCs w:val="18"/>
                <w:highlight w:val="none"/>
              </w:rPr>
              <w:t xml:space="preserve"> </w:t>
            </w:r>
          </w:p>
        </w:tc>
        <w:tc>
          <w:tcPr>
            <w:tcW w:w="251" w:type="pct"/>
            <w:noWrap w:val="0"/>
            <w:tcMar>
              <w:top w:w="0" w:type="dxa"/>
              <w:left w:w="0" w:type="dxa"/>
              <w:bottom w:w="0" w:type="dxa"/>
              <w:right w:w="0" w:type="dxa"/>
            </w:tcMar>
            <w:vAlign w:val="bottom"/>
          </w:tcPr>
          <w:p w14:paraId="0DB77005">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18.75</w:t>
            </w:r>
          </w:p>
        </w:tc>
        <w:tc>
          <w:tcPr>
            <w:tcW w:w="290" w:type="pct"/>
            <w:noWrap w:val="0"/>
            <w:tcMar>
              <w:top w:w="0" w:type="dxa"/>
              <w:left w:w="0" w:type="dxa"/>
              <w:bottom w:w="0" w:type="dxa"/>
              <w:right w:w="0" w:type="dxa"/>
            </w:tcMar>
            <w:vAlign w:val="bottom"/>
          </w:tcPr>
          <w:p w14:paraId="0D25A777">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16.81</w:t>
            </w:r>
          </w:p>
        </w:tc>
        <w:tc>
          <w:tcPr>
            <w:tcW w:w="230" w:type="pct"/>
            <w:noWrap w:val="0"/>
            <w:tcMar>
              <w:top w:w="0" w:type="dxa"/>
              <w:left w:w="0" w:type="dxa"/>
              <w:bottom w:w="0" w:type="dxa"/>
              <w:right w:w="0" w:type="dxa"/>
            </w:tcMar>
            <w:vAlign w:val="bottom"/>
          </w:tcPr>
          <w:p w14:paraId="16676705">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10.83</w:t>
            </w:r>
          </w:p>
        </w:tc>
        <w:tc>
          <w:tcPr>
            <w:tcW w:w="266" w:type="pct"/>
            <w:noWrap w:val="0"/>
            <w:tcMar>
              <w:top w:w="0" w:type="dxa"/>
              <w:left w:w="0" w:type="dxa"/>
              <w:bottom w:w="0" w:type="dxa"/>
              <w:right w:w="0" w:type="dxa"/>
            </w:tcMar>
            <w:vAlign w:val="bottom"/>
          </w:tcPr>
          <w:p w14:paraId="79273DBC">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4.44</w:t>
            </w:r>
            <w:r>
              <w:rPr>
                <w:rFonts w:ascii="Times New Roman" w:hAnsi="Times New Roman"/>
                <w:kern w:val="0"/>
                <w:sz w:val="18"/>
                <w:szCs w:val="18"/>
                <w:highlight w:val="none"/>
              </w:rPr>
              <w:t xml:space="preserve"> </w:t>
            </w:r>
          </w:p>
        </w:tc>
        <w:tc>
          <w:tcPr>
            <w:tcW w:w="247" w:type="pct"/>
            <w:noWrap w:val="0"/>
            <w:tcMar>
              <w:top w:w="0" w:type="dxa"/>
              <w:left w:w="0" w:type="dxa"/>
              <w:bottom w:w="0" w:type="dxa"/>
              <w:right w:w="0" w:type="dxa"/>
            </w:tcMar>
            <w:vAlign w:val="bottom"/>
          </w:tcPr>
          <w:p w14:paraId="2FE39249">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 xml:space="preserve">0.00 </w:t>
            </w:r>
          </w:p>
        </w:tc>
      </w:tr>
      <w:tr w14:paraId="50317B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93" w:type="pct"/>
            <w:noWrap w:val="0"/>
            <w:tcMar>
              <w:top w:w="0" w:type="dxa"/>
              <w:left w:w="0" w:type="dxa"/>
              <w:bottom w:w="0" w:type="dxa"/>
              <w:right w:w="0" w:type="dxa"/>
            </w:tcMar>
            <w:vAlign w:val="center"/>
          </w:tcPr>
          <w:p w14:paraId="7C04B0FC">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7月</w:t>
            </w:r>
          </w:p>
        </w:tc>
        <w:tc>
          <w:tcPr>
            <w:tcW w:w="335" w:type="pct"/>
            <w:noWrap w:val="0"/>
            <w:tcMar>
              <w:top w:w="0" w:type="dxa"/>
              <w:left w:w="0" w:type="dxa"/>
              <w:bottom w:w="0" w:type="dxa"/>
              <w:right w:w="0" w:type="dxa"/>
            </w:tcMar>
            <w:vAlign w:val="bottom"/>
          </w:tcPr>
          <w:p w14:paraId="257FC00C">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1.08</w:t>
            </w:r>
            <w:r>
              <w:rPr>
                <w:rFonts w:ascii="Times New Roman" w:hAnsi="Times New Roman"/>
                <w:kern w:val="0"/>
                <w:sz w:val="18"/>
                <w:szCs w:val="18"/>
                <w:highlight w:val="none"/>
              </w:rPr>
              <w:t xml:space="preserve"> </w:t>
            </w:r>
          </w:p>
        </w:tc>
        <w:tc>
          <w:tcPr>
            <w:tcW w:w="317" w:type="pct"/>
            <w:noWrap w:val="0"/>
            <w:tcMar>
              <w:top w:w="0" w:type="dxa"/>
              <w:left w:w="0" w:type="dxa"/>
              <w:bottom w:w="0" w:type="dxa"/>
              <w:right w:w="0" w:type="dxa"/>
            </w:tcMar>
            <w:vAlign w:val="bottom"/>
          </w:tcPr>
          <w:p w14:paraId="35F209CF">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0.67</w:t>
            </w:r>
          </w:p>
        </w:tc>
        <w:tc>
          <w:tcPr>
            <w:tcW w:w="323" w:type="pct"/>
            <w:noWrap w:val="0"/>
            <w:tcMar>
              <w:top w:w="0" w:type="dxa"/>
              <w:left w:w="0" w:type="dxa"/>
              <w:bottom w:w="0" w:type="dxa"/>
              <w:right w:w="0" w:type="dxa"/>
            </w:tcMar>
            <w:vAlign w:val="bottom"/>
          </w:tcPr>
          <w:p w14:paraId="76BD0B74">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0.67</w:t>
            </w:r>
            <w:r>
              <w:rPr>
                <w:rFonts w:ascii="Times New Roman" w:hAnsi="Times New Roman"/>
                <w:kern w:val="0"/>
                <w:sz w:val="18"/>
                <w:szCs w:val="18"/>
                <w:highlight w:val="none"/>
              </w:rPr>
              <w:t xml:space="preserve"> </w:t>
            </w:r>
          </w:p>
        </w:tc>
        <w:tc>
          <w:tcPr>
            <w:tcW w:w="308" w:type="pct"/>
            <w:noWrap w:val="0"/>
            <w:tcMar>
              <w:top w:w="0" w:type="dxa"/>
              <w:left w:w="0" w:type="dxa"/>
              <w:bottom w:w="0" w:type="dxa"/>
              <w:right w:w="0" w:type="dxa"/>
            </w:tcMar>
            <w:vAlign w:val="bottom"/>
          </w:tcPr>
          <w:p w14:paraId="745B48CB">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1.08</w:t>
            </w:r>
            <w:r>
              <w:rPr>
                <w:rFonts w:ascii="Times New Roman" w:hAnsi="Times New Roman"/>
                <w:kern w:val="0"/>
                <w:sz w:val="18"/>
                <w:szCs w:val="18"/>
                <w:highlight w:val="none"/>
              </w:rPr>
              <w:t xml:space="preserve"> </w:t>
            </w:r>
          </w:p>
        </w:tc>
        <w:tc>
          <w:tcPr>
            <w:tcW w:w="293" w:type="pct"/>
            <w:noWrap w:val="0"/>
            <w:tcMar>
              <w:top w:w="0" w:type="dxa"/>
              <w:left w:w="0" w:type="dxa"/>
              <w:bottom w:w="0" w:type="dxa"/>
              <w:right w:w="0" w:type="dxa"/>
            </w:tcMar>
            <w:vAlign w:val="bottom"/>
          </w:tcPr>
          <w:p w14:paraId="7C977609">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18.15</w:t>
            </w:r>
          </w:p>
        </w:tc>
        <w:tc>
          <w:tcPr>
            <w:tcW w:w="287" w:type="pct"/>
            <w:noWrap w:val="0"/>
            <w:tcMar>
              <w:top w:w="0" w:type="dxa"/>
              <w:left w:w="0" w:type="dxa"/>
              <w:bottom w:w="0" w:type="dxa"/>
              <w:right w:w="0" w:type="dxa"/>
            </w:tcMar>
            <w:vAlign w:val="bottom"/>
          </w:tcPr>
          <w:p w14:paraId="18AF49CD">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15.05</w:t>
            </w:r>
          </w:p>
        </w:tc>
        <w:tc>
          <w:tcPr>
            <w:tcW w:w="289" w:type="pct"/>
            <w:noWrap w:val="0"/>
            <w:tcMar>
              <w:top w:w="0" w:type="dxa"/>
              <w:left w:w="0" w:type="dxa"/>
              <w:bottom w:w="0" w:type="dxa"/>
              <w:right w:w="0" w:type="dxa"/>
            </w:tcMar>
            <w:vAlign w:val="bottom"/>
          </w:tcPr>
          <w:p w14:paraId="1D933F5D">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3.63</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6FEAA2DC">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1.75</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6DAF39EE">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0.67</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5E4C961F">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1.48</w:t>
            </w:r>
            <w:r>
              <w:rPr>
                <w:rFonts w:ascii="Times New Roman" w:hAnsi="Times New Roman"/>
                <w:kern w:val="0"/>
                <w:sz w:val="18"/>
                <w:szCs w:val="18"/>
                <w:highlight w:val="none"/>
              </w:rPr>
              <w:t xml:space="preserve"> </w:t>
            </w:r>
          </w:p>
        </w:tc>
        <w:tc>
          <w:tcPr>
            <w:tcW w:w="251" w:type="pct"/>
            <w:noWrap w:val="0"/>
            <w:tcMar>
              <w:top w:w="0" w:type="dxa"/>
              <w:left w:w="0" w:type="dxa"/>
              <w:bottom w:w="0" w:type="dxa"/>
              <w:right w:w="0" w:type="dxa"/>
            </w:tcMar>
            <w:vAlign w:val="bottom"/>
          </w:tcPr>
          <w:p w14:paraId="2053BFD6">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2.42</w:t>
            </w:r>
            <w:r>
              <w:rPr>
                <w:rFonts w:ascii="Times New Roman" w:hAnsi="Times New Roman"/>
                <w:kern w:val="0"/>
                <w:sz w:val="18"/>
                <w:szCs w:val="18"/>
                <w:highlight w:val="none"/>
              </w:rPr>
              <w:t xml:space="preserve"> </w:t>
            </w:r>
          </w:p>
        </w:tc>
        <w:tc>
          <w:tcPr>
            <w:tcW w:w="272" w:type="pct"/>
            <w:noWrap w:val="0"/>
            <w:tcMar>
              <w:top w:w="0" w:type="dxa"/>
              <w:left w:w="0" w:type="dxa"/>
              <w:bottom w:w="0" w:type="dxa"/>
              <w:right w:w="0" w:type="dxa"/>
            </w:tcMar>
            <w:vAlign w:val="bottom"/>
          </w:tcPr>
          <w:p w14:paraId="6C2A21DE">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3.23</w:t>
            </w:r>
            <w:r>
              <w:rPr>
                <w:rFonts w:ascii="Times New Roman" w:hAnsi="Times New Roman"/>
                <w:kern w:val="0"/>
                <w:sz w:val="18"/>
                <w:szCs w:val="18"/>
                <w:highlight w:val="none"/>
              </w:rPr>
              <w:t xml:space="preserve"> </w:t>
            </w:r>
          </w:p>
        </w:tc>
        <w:tc>
          <w:tcPr>
            <w:tcW w:w="251" w:type="pct"/>
            <w:noWrap w:val="0"/>
            <w:tcMar>
              <w:top w:w="0" w:type="dxa"/>
              <w:left w:w="0" w:type="dxa"/>
              <w:bottom w:w="0" w:type="dxa"/>
              <w:right w:w="0" w:type="dxa"/>
            </w:tcMar>
            <w:vAlign w:val="bottom"/>
          </w:tcPr>
          <w:p w14:paraId="3DAFAB6E">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20.16</w:t>
            </w:r>
          </w:p>
        </w:tc>
        <w:tc>
          <w:tcPr>
            <w:tcW w:w="290" w:type="pct"/>
            <w:noWrap w:val="0"/>
            <w:tcMar>
              <w:top w:w="0" w:type="dxa"/>
              <w:left w:w="0" w:type="dxa"/>
              <w:bottom w:w="0" w:type="dxa"/>
              <w:right w:w="0" w:type="dxa"/>
            </w:tcMar>
            <w:vAlign w:val="bottom"/>
          </w:tcPr>
          <w:p w14:paraId="57B6FEFB">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16.67</w:t>
            </w:r>
          </w:p>
        </w:tc>
        <w:tc>
          <w:tcPr>
            <w:tcW w:w="230" w:type="pct"/>
            <w:noWrap w:val="0"/>
            <w:tcMar>
              <w:top w:w="0" w:type="dxa"/>
              <w:left w:w="0" w:type="dxa"/>
              <w:bottom w:w="0" w:type="dxa"/>
              <w:right w:w="0" w:type="dxa"/>
            </w:tcMar>
            <w:vAlign w:val="bottom"/>
          </w:tcPr>
          <w:p w14:paraId="758CE37F">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9.95</w:t>
            </w:r>
          </w:p>
        </w:tc>
        <w:tc>
          <w:tcPr>
            <w:tcW w:w="266" w:type="pct"/>
            <w:noWrap w:val="0"/>
            <w:tcMar>
              <w:top w:w="0" w:type="dxa"/>
              <w:left w:w="0" w:type="dxa"/>
              <w:bottom w:w="0" w:type="dxa"/>
              <w:right w:w="0" w:type="dxa"/>
            </w:tcMar>
            <w:vAlign w:val="bottom"/>
          </w:tcPr>
          <w:p w14:paraId="4905E712">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3.23</w:t>
            </w:r>
            <w:r>
              <w:rPr>
                <w:rFonts w:ascii="Times New Roman" w:hAnsi="Times New Roman"/>
                <w:kern w:val="0"/>
                <w:sz w:val="18"/>
                <w:szCs w:val="18"/>
                <w:highlight w:val="none"/>
              </w:rPr>
              <w:t xml:space="preserve"> </w:t>
            </w:r>
          </w:p>
        </w:tc>
        <w:tc>
          <w:tcPr>
            <w:tcW w:w="247" w:type="pct"/>
            <w:noWrap w:val="0"/>
            <w:tcMar>
              <w:top w:w="0" w:type="dxa"/>
              <w:left w:w="0" w:type="dxa"/>
              <w:bottom w:w="0" w:type="dxa"/>
              <w:right w:w="0" w:type="dxa"/>
            </w:tcMar>
            <w:vAlign w:val="bottom"/>
          </w:tcPr>
          <w:p w14:paraId="4845A13B">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0.</w:t>
            </w:r>
            <w:r>
              <w:rPr>
                <w:rFonts w:hint="eastAsia" w:ascii="Times New Roman" w:hAnsi="Times New Roman"/>
                <w:kern w:val="0"/>
                <w:sz w:val="18"/>
                <w:szCs w:val="18"/>
                <w:highlight w:val="none"/>
                <w:lang w:val="en-US" w:eastAsia="zh-CN"/>
              </w:rPr>
              <w:t>13</w:t>
            </w:r>
            <w:r>
              <w:rPr>
                <w:rFonts w:ascii="Times New Roman" w:hAnsi="Times New Roman"/>
                <w:kern w:val="0"/>
                <w:sz w:val="18"/>
                <w:szCs w:val="18"/>
                <w:highlight w:val="none"/>
              </w:rPr>
              <w:t xml:space="preserve"> </w:t>
            </w:r>
          </w:p>
        </w:tc>
      </w:tr>
      <w:tr w14:paraId="54584D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93" w:type="pct"/>
            <w:noWrap w:val="0"/>
            <w:tcMar>
              <w:top w:w="0" w:type="dxa"/>
              <w:left w:w="0" w:type="dxa"/>
              <w:bottom w:w="0" w:type="dxa"/>
              <w:right w:w="0" w:type="dxa"/>
            </w:tcMar>
            <w:vAlign w:val="center"/>
          </w:tcPr>
          <w:p w14:paraId="3E6D2263">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8月</w:t>
            </w:r>
          </w:p>
        </w:tc>
        <w:tc>
          <w:tcPr>
            <w:tcW w:w="335" w:type="pct"/>
            <w:noWrap w:val="0"/>
            <w:tcMar>
              <w:top w:w="0" w:type="dxa"/>
              <w:left w:w="0" w:type="dxa"/>
              <w:bottom w:w="0" w:type="dxa"/>
              <w:right w:w="0" w:type="dxa"/>
            </w:tcMar>
            <w:vAlign w:val="bottom"/>
          </w:tcPr>
          <w:p w14:paraId="14DD0A93">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1.21</w:t>
            </w:r>
            <w:r>
              <w:rPr>
                <w:rFonts w:ascii="Times New Roman" w:hAnsi="Times New Roman"/>
                <w:kern w:val="0"/>
                <w:sz w:val="18"/>
                <w:szCs w:val="18"/>
                <w:highlight w:val="none"/>
              </w:rPr>
              <w:t xml:space="preserve"> </w:t>
            </w:r>
          </w:p>
        </w:tc>
        <w:tc>
          <w:tcPr>
            <w:tcW w:w="317" w:type="pct"/>
            <w:noWrap w:val="0"/>
            <w:tcMar>
              <w:top w:w="0" w:type="dxa"/>
              <w:left w:w="0" w:type="dxa"/>
              <w:bottom w:w="0" w:type="dxa"/>
              <w:right w:w="0" w:type="dxa"/>
            </w:tcMar>
            <w:vAlign w:val="bottom"/>
          </w:tcPr>
          <w:p w14:paraId="2D734498">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ascii="Times New Roman" w:hAnsi="Times New Roman"/>
                <w:kern w:val="0"/>
                <w:sz w:val="18"/>
                <w:szCs w:val="18"/>
                <w:highlight w:val="none"/>
              </w:rPr>
              <w:t xml:space="preserve"> </w:t>
            </w:r>
            <w:r>
              <w:rPr>
                <w:rFonts w:hint="eastAsia" w:ascii="Times New Roman" w:hAnsi="Times New Roman"/>
                <w:kern w:val="0"/>
                <w:sz w:val="18"/>
                <w:szCs w:val="18"/>
                <w:highlight w:val="none"/>
                <w:lang w:val="en-US" w:eastAsia="zh-CN"/>
              </w:rPr>
              <w:t>0.67</w:t>
            </w:r>
          </w:p>
        </w:tc>
        <w:tc>
          <w:tcPr>
            <w:tcW w:w="323" w:type="pct"/>
            <w:noWrap w:val="0"/>
            <w:tcMar>
              <w:top w:w="0" w:type="dxa"/>
              <w:left w:w="0" w:type="dxa"/>
              <w:bottom w:w="0" w:type="dxa"/>
              <w:right w:w="0" w:type="dxa"/>
            </w:tcMar>
            <w:vAlign w:val="bottom"/>
          </w:tcPr>
          <w:p w14:paraId="480746AE">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0.67</w:t>
            </w:r>
            <w:r>
              <w:rPr>
                <w:rFonts w:ascii="Times New Roman" w:hAnsi="Times New Roman"/>
                <w:kern w:val="0"/>
                <w:sz w:val="18"/>
                <w:szCs w:val="18"/>
                <w:highlight w:val="none"/>
              </w:rPr>
              <w:t xml:space="preserve"> </w:t>
            </w:r>
          </w:p>
        </w:tc>
        <w:tc>
          <w:tcPr>
            <w:tcW w:w="308" w:type="pct"/>
            <w:noWrap w:val="0"/>
            <w:tcMar>
              <w:top w:w="0" w:type="dxa"/>
              <w:left w:w="0" w:type="dxa"/>
              <w:bottom w:w="0" w:type="dxa"/>
              <w:right w:w="0" w:type="dxa"/>
            </w:tcMar>
            <w:vAlign w:val="bottom"/>
          </w:tcPr>
          <w:p w14:paraId="25CAB6E1">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1.34</w:t>
            </w:r>
            <w:r>
              <w:rPr>
                <w:rFonts w:ascii="Times New Roman" w:hAnsi="Times New Roman"/>
                <w:kern w:val="0"/>
                <w:sz w:val="18"/>
                <w:szCs w:val="18"/>
                <w:highlight w:val="none"/>
              </w:rPr>
              <w:t xml:space="preserve"> </w:t>
            </w:r>
          </w:p>
        </w:tc>
        <w:tc>
          <w:tcPr>
            <w:tcW w:w="293" w:type="pct"/>
            <w:noWrap w:val="0"/>
            <w:tcMar>
              <w:top w:w="0" w:type="dxa"/>
              <w:left w:w="0" w:type="dxa"/>
              <w:bottom w:w="0" w:type="dxa"/>
              <w:right w:w="0" w:type="dxa"/>
            </w:tcMar>
            <w:vAlign w:val="bottom"/>
          </w:tcPr>
          <w:p w14:paraId="125AB9FE">
            <w:pPr>
              <w:spacing w:line="240" w:lineRule="auto"/>
              <w:ind w:firstLine="0" w:firstLineChars="0"/>
              <w:jc w:val="both"/>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15.86</w:t>
            </w:r>
            <w:r>
              <w:rPr>
                <w:rFonts w:ascii="Times New Roman" w:hAnsi="Times New Roman"/>
                <w:kern w:val="0"/>
                <w:sz w:val="18"/>
                <w:szCs w:val="18"/>
                <w:highlight w:val="none"/>
              </w:rPr>
              <w:t xml:space="preserve"> </w:t>
            </w:r>
          </w:p>
        </w:tc>
        <w:tc>
          <w:tcPr>
            <w:tcW w:w="287" w:type="pct"/>
            <w:noWrap w:val="0"/>
            <w:tcMar>
              <w:top w:w="0" w:type="dxa"/>
              <w:left w:w="0" w:type="dxa"/>
              <w:bottom w:w="0" w:type="dxa"/>
              <w:right w:w="0" w:type="dxa"/>
            </w:tcMar>
            <w:vAlign w:val="bottom"/>
          </w:tcPr>
          <w:p w14:paraId="2B54EB3F">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15.59</w:t>
            </w:r>
          </w:p>
        </w:tc>
        <w:tc>
          <w:tcPr>
            <w:tcW w:w="289" w:type="pct"/>
            <w:noWrap w:val="0"/>
            <w:tcMar>
              <w:top w:w="0" w:type="dxa"/>
              <w:left w:w="0" w:type="dxa"/>
              <w:bottom w:w="0" w:type="dxa"/>
              <w:right w:w="0" w:type="dxa"/>
            </w:tcMar>
            <w:vAlign w:val="bottom"/>
          </w:tcPr>
          <w:p w14:paraId="48601E12">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5.24</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0F06C2DF">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3.23</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1D897474">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2.82</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386EC9BB">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2.15</w:t>
            </w:r>
            <w:r>
              <w:rPr>
                <w:rFonts w:ascii="Times New Roman" w:hAnsi="Times New Roman"/>
                <w:kern w:val="0"/>
                <w:sz w:val="18"/>
                <w:szCs w:val="18"/>
                <w:highlight w:val="none"/>
              </w:rPr>
              <w:t xml:space="preserve"> </w:t>
            </w:r>
          </w:p>
        </w:tc>
        <w:tc>
          <w:tcPr>
            <w:tcW w:w="251" w:type="pct"/>
            <w:noWrap w:val="0"/>
            <w:tcMar>
              <w:top w:w="0" w:type="dxa"/>
              <w:left w:w="0" w:type="dxa"/>
              <w:bottom w:w="0" w:type="dxa"/>
              <w:right w:w="0" w:type="dxa"/>
            </w:tcMar>
            <w:vAlign w:val="bottom"/>
          </w:tcPr>
          <w:p w14:paraId="489C33E9">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2.69</w:t>
            </w:r>
            <w:r>
              <w:rPr>
                <w:rFonts w:ascii="Times New Roman" w:hAnsi="Times New Roman"/>
                <w:kern w:val="0"/>
                <w:sz w:val="18"/>
                <w:szCs w:val="18"/>
                <w:highlight w:val="none"/>
              </w:rPr>
              <w:t xml:space="preserve"> </w:t>
            </w:r>
          </w:p>
        </w:tc>
        <w:tc>
          <w:tcPr>
            <w:tcW w:w="272" w:type="pct"/>
            <w:noWrap w:val="0"/>
            <w:tcMar>
              <w:top w:w="0" w:type="dxa"/>
              <w:left w:w="0" w:type="dxa"/>
              <w:bottom w:w="0" w:type="dxa"/>
              <w:right w:w="0" w:type="dxa"/>
            </w:tcMar>
            <w:vAlign w:val="bottom"/>
          </w:tcPr>
          <w:p w14:paraId="17771E16">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3.63</w:t>
            </w:r>
            <w:r>
              <w:rPr>
                <w:rFonts w:ascii="Times New Roman" w:hAnsi="Times New Roman"/>
                <w:kern w:val="0"/>
                <w:sz w:val="18"/>
                <w:szCs w:val="18"/>
                <w:highlight w:val="none"/>
              </w:rPr>
              <w:t xml:space="preserve"> </w:t>
            </w:r>
          </w:p>
        </w:tc>
        <w:tc>
          <w:tcPr>
            <w:tcW w:w="251" w:type="pct"/>
            <w:noWrap w:val="0"/>
            <w:tcMar>
              <w:top w:w="0" w:type="dxa"/>
              <w:left w:w="0" w:type="dxa"/>
              <w:bottom w:w="0" w:type="dxa"/>
              <w:right w:w="0" w:type="dxa"/>
            </w:tcMar>
            <w:vAlign w:val="bottom"/>
          </w:tcPr>
          <w:p w14:paraId="0EAD425E">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16.26</w:t>
            </w:r>
          </w:p>
        </w:tc>
        <w:tc>
          <w:tcPr>
            <w:tcW w:w="290" w:type="pct"/>
            <w:noWrap w:val="0"/>
            <w:tcMar>
              <w:top w:w="0" w:type="dxa"/>
              <w:left w:w="0" w:type="dxa"/>
              <w:bottom w:w="0" w:type="dxa"/>
              <w:right w:w="0" w:type="dxa"/>
            </w:tcMar>
            <w:vAlign w:val="bottom"/>
          </w:tcPr>
          <w:p w14:paraId="5685318D">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16.26</w:t>
            </w:r>
          </w:p>
        </w:tc>
        <w:tc>
          <w:tcPr>
            <w:tcW w:w="230" w:type="pct"/>
            <w:noWrap w:val="0"/>
            <w:tcMar>
              <w:top w:w="0" w:type="dxa"/>
              <w:left w:w="0" w:type="dxa"/>
              <w:bottom w:w="0" w:type="dxa"/>
              <w:right w:w="0" w:type="dxa"/>
            </w:tcMar>
            <w:vAlign w:val="bottom"/>
          </w:tcPr>
          <w:p w14:paraId="69DA0AB5">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10.48</w:t>
            </w:r>
            <w:r>
              <w:rPr>
                <w:rFonts w:ascii="Times New Roman" w:hAnsi="Times New Roman"/>
                <w:kern w:val="0"/>
                <w:sz w:val="18"/>
                <w:szCs w:val="18"/>
                <w:highlight w:val="none"/>
              </w:rPr>
              <w:t xml:space="preserve"> </w:t>
            </w:r>
          </w:p>
        </w:tc>
        <w:tc>
          <w:tcPr>
            <w:tcW w:w="266" w:type="pct"/>
            <w:noWrap w:val="0"/>
            <w:tcMar>
              <w:top w:w="0" w:type="dxa"/>
              <w:left w:w="0" w:type="dxa"/>
              <w:bottom w:w="0" w:type="dxa"/>
              <w:right w:w="0" w:type="dxa"/>
            </w:tcMar>
            <w:vAlign w:val="bottom"/>
          </w:tcPr>
          <w:p w14:paraId="42CB4213">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1.88</w:t>
            </w:r>
            <w:r>
              <w:rPr>
                <w:rFonts w:ascii="Times New Roman" w:hAnsi="Times New Roman"/>
                <w:kern w:val="0"/>
                <w:sz w:val="18"/>
                <w:szCs w:val="18"/>
                <w:highlight w:val="none"/>
              </w:rPr>
              <w:t xml:space="preserve"> </w:t>
            </w:r>
          </w:p>
        </w:tc>
        <w:tc>
          <w:tcPr>
            <w:tcW w:w="247" w:type="pct"/>
            <w:noWrap w:val="0"/>
            <w:tcMar>
              <w:top w:w="0" w:type="dxa"/>
              <w:left w:w="0" w:type="dxa"/>
              <w:bottom w:w="0" w:type="dxa"/>
              <w:right w:w="0" w:type="dxa"/>
            </w:tcMar>
            <w:vAlign w:val="bottom"/>
          </w:tcPr>
          <w:p w14:paraId="3EA98602">
            <w:pPr>
              <w:spacing w:line="240" w:lineRule="auto"/>
              <w:ind w:left="0" w:leftChars="0" w:firstLine="0" w:firstLineChars="0"/>
              <w:jc w:val="left"/>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0.00</w:t>
            </w:r>
            <w:r>
              <w:rPr>
                <w:rFonts w:ascii="Times New Roman" w:hAnsi="Times New Roman"/>
                <w:kern w:val="0"/>
                <w:sz w:val="18"/>
                <w:szCs w:val="18"/>
                <w:highlight w:val="none"/>
              </w:rPr>
              <w:t xml:space="preserve"> </w:t>
            </w:r>
          </w:p>
        </w:tc>
      </w:tr>
      <w:tr w14:paraId="5C35D3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93" w:type="pct"/>
            <w:noWrap w:val="0"/>
            <w:tcMar>
              <w:top w:w="0" w:type="dxa"/>
              <w:left w:w="0" w:type="dxa"/>
              <w:bottom w:w="0" w:type="dxa"/>
              <w:right w:w="0" w:type="dxa"/>
            </w:tcMar>
            <w:vAlign w:val="center"/>
          </w:tcPr>
          <w:p w14:paraId="4CA26805">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9月</w:t>
            </w:r>
          </w:p>
        </w:tc>
        <w:tc>
          <w:tcPr>
            <w:tcW w:w="335" w:type="pct"/>
            <w:noWrap w:val="0"/>
            <w:tcMar>
              <w:top w:w="0" w:type="dxa"/>
              <w:left w:w="0" w:type="dxa"/>
              <w:bottom w:w="0" w:type="dxa"/>
              <w:right w:w="0" w:type="dxa"/>
            </w:tcMar>
            <w:vAlign w:val="bottom"/>
          </w:tcPr>
          <w:p w14:paraId="41B41442">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1.39</w:t>
            </w:r>
            <w:r>
              <w:rPr>
                <w:rFonts w:ascii="Times New Roman" w:hAnsi="Times New Roman"/>
                <w:kern w:val="0"/>
                <w:sz w:val="18"/>
                <w:szCs w:val="18"/>
                <w:highlight w:val="none"/>
              </w:rPr>
              <w:t xml:space="preserve"> </w:t>
            </w:r>
          </w:p>
        </w:tc>
        <w:tc>
          <w:tcPr>
            <w:tcW w:w="317" w:type="pct"/>
            <w:noWrap w:val="0"/>
            <w:tcMar>
              <w:top w:w="0" w:type="dxa"/>
              <w:left w:w="0" w:type="dxa"/>
              <w:bottom w:w="0" w:type="dxa"/>
              <w:right w:w="0" w:type="dxa"/>
            </w:tcMar>
            <w:vAlign w:val="bottom"/>
          </w:tcPr>
          <w:p w14:paraId="6E768AC4">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0.56</w:t>
            </w:r>
            <w:r>
              <w:rPr>
                <w:rFonts w:ascii="Times New Roman" w:hAnsi="Times New Roman"/>
                <w:kern w:val="0"/>
                <w:sz w:val="18"/>
                <w:szCs w:val="18"/>
                <w:highlight w:val="none"/>
              </w:rPr>
              <w:t xml:space="preserve"> </w:t>
            </w:r>
          </w:p>
        </w:tc>
        <w:tc>
          <w:tcPr>
            <w:tcW w:w="323" w:type="pct"/>
            <w:noWrap w:val="0"/>
            <w:tcMar>
              <w:top w:w="0" w:type="dxa"/>
              <w:left w:w="0" w:type="dxa"/>
              <w:bottom w:w="0" w:type="dxa"/>
              <w:right w:w="0" w:type="dxa"/>
            </w:tcMar>
            <w:vAlign w:val="bottom"/>
          </w:tcPr>
          <w:p w14:paraId="526DED5D">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0.42</w:t>
            </w:r>
            <w:r>
              <w:rPr>
                <w:rFonts w:ascii="Times New Roman" w:hAnsi="Times New Roman"/>
                <w:kern w:val="0"/>
                <w:sz w:val="18"/>
                <w:szCs w:val="18"/>
                <w:highlight w:val="none"/>
              </w:rPr>
              <w:t xml:space="preserve"> </w:t>
            </w:r>
          </w:p>
        </w:tc>
        <w:tc>
          <w:tcPr>
            <w:tcW w:w="308" w:type="pct"/>
            <w:noWrap w:val="0"/>
            <w:tcMar>
              <w:top w:w="0" w:type="dxa"/>
              <w:left w:w="0" w:type="dxa"/>
              <w:bottom w:w="0" w:type="dxa"/>
              <w:right w:w="0" w:type="dxa"/>
            </w:tcMar>
            <w:vAlign w:val="bottom"/>
          </w:tcPr>
          <w:p w14:paraId="78F8AF11">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1.25</w:t>
            </w:r>
            <w:r>
              <w:rPr>
                <w:rFonts w:ascii="Times New Roman" w:hAnsi="Times New Roman"/>
                <w:kern w:val="0"/>
                <w:sz w:val="18"/>
                <w:szCs w:val="18"/>
                <w:highlight w:val="none"/>
              </w:rPr>
              <w:t xml:space="preserve"> </w:t>
            </w:r>
          </w:p>
        </w:tc>
        <w:tc>
          <w:tcPr>
            <w:tcW w:w="293" w:type="pct"/>
            <w:noWrap w:val="0"/>
            <w:tcMar>
              <w:top w:w="0" w:type="dxa"/>
              <w:left w:w="0" w:type="dxa"/>
              <w:bottom w:w="0" w:type="dxa"/>
              <w:right w:w="0" w:type="dxa"/>
            </w:tcMar>
            <w:vAlign w:val="bottom"/>
          </w:tcPr>
          <w:p w14:paraId="080F9AF2">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4.72</w:t>
            </w:r>
            <w:r>
              <w:rPr>
                <w:rFonts w:ascii="Times New Roman" w:hAnsi="Times New Roman"/>
                <w:kern w:val="0"/>
                <w:sz w:val="18"/>
                <w:szCs w:val="18"/>
                <w:highlight w:val="none"/>
              </w:rPr>
              <w:t xml:space="preserve"> </w:t>
            </w:r>
          </w:p>
        </w:tc>
        <w:tc>
          <w:tcPr>
            <w:tcW w:w="287" w:type="pct"/>
            <w:noWrap w:val="0"/>
            <w:tcMar>
              <w:top w:w="0" w:type="dxa"/>
              <w:left w:w="0" w:type="dxa"/>
              <w:bottom w:w="0" w:type="dxa"/>
              <w:right w:w="0" w:type="dxa"/>
            </w:tcMar>
            <w:vAlign w:val="bottom"/>
          </w:tcPr>
          <w:p w14:paraId="5D12C84F">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7.08</w:t>
            </w:r>
          </w:p>
        </w:tc>
        <w:tc>
          <w:tcPr>
            <w:tcW w:w="289" w:type="pct"/>
            <w:noWrap w:val="0"/>
            <w:tcMar>
              <w:top w:w="0" w:type="dxa"/>
              <w:left w:w="0" w:type="dxa"/>
              <w:bottom w:w="0" w:type="dxa"/>
              <w:right w:w="0" w:type="dxa"/>
            </w:tcMar>
            <w:vAlign w:val="bottom"/>
          </w:tcPr>
          <w:p w14:paraId="0EA9A15F">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1.67</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4A4E1C74">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3.61</w:t>
            </w:r>
          </w:p>
        </w:tc>
        <w:tc>
          <w:tcPr>
            <w:tcW w:w="250" w:type="pct"/>
            <w:noWrap w:val="0"/>
            <w:tcMar>
              <w:top w:w="0" w:type="dxa"/>
              <w:left w:w="0" w:type="dxa"/>
              <w:bottom w:w="0" w:type="dxa"/>
              <w:right w:w="0" w:type="dxa"/>
            </w:tcMar>
            <w:vAlign w:val="bottom"/>
          </w:tcPr>
          <w:p w14:paraId="4D365FBC">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1.81</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6A8E8B6E">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2.64</w:t>
            </w:r>
            <w:r>
              <w:rPr>
                <w:rFonts w:ascii="Times New Roman" w:hAnsi="Times New Roman"/>
                <w:kern w:val="0"/>
                <w:sz w:val="18"/>
                <w:szCs w:val="18"/>
                <w:highlight w:val="none"/>
              </w:rPr>
              <w:t xml:space="preserve"> </w:t>
            </w:r>
          </w:p>
        </w:tc>
        <w:tc>
          <w:tcPr>
            <w:tcW w:w="251" w:type="pct"/>
            <w:noWrap w:val="0"/>
            <w:tcMar>
              <w:top w:w="0" w:type="dxa"/>
              <w:left w:w="0" w:type="dxa"/>
              <w:bottom w:w="0" w:type="dxa"/>
              <w:right w:w="0" w:type="dxa"/>
            </w:tcMar>
            <w:vAlign w:val="bottom"/>
          </w:tcPr>
          <w:p w14:paraId="19CD3A3A">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0.69</w:t>
            </w:r>
            <w:r>
              <w:rPr>
                <w:rFonts w:ascii="Times New Roman" w:hAnsi="Times New Roman"/>
                <w:kern w:val="0"/>
                <w:sz w:val="18"/>
                <w:szCs w:val="18"/>
                <w:highlight w:val="none"/>
              </w:rPr>
              <w:t xml:space="preserve"> </w:t>
            </w:r>
          </w:p>
        </w:tc>
        <w:tc>
          <w:tcPr>
            <w:tcW w:w="272" w:type="pct"/>
            <w:noWrap w:val="0"/>
            <w:tcMar>
              <w:top w:w="0" w:type="dxa"/>
              <w:left w:w="0" w:type="dxa"/>
              <w:bottom w:w="0" w:type="dxa"/>
              <w:right w:w="0" w:type="dxa"/>
            </w:tcMar>
            <w:vAlign w:val="bottom"/>
          </w:tcPr>
          <w:p w14:paraId="2B9198F4">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1.94</w:t>
            </w:r>
            <w:r>
              <w:rPr>
                <w:rFonts w:ascii="Times New Roman" w:hAnsi="Times New Roman"/>
                <w:kern w:val="0"/>
                <w:sz w:val="18"/>
                <w:szCs w:val="18"/>
                <w:highlight w:val="none"/>
              </w:rPr>
              <w:t xml:space="preserve"> </w:t>
            </w:r>
          </w:p>
        </w:tc>
        <w:tc>
          <w:tcPr>
            <w:tcW w:w="251" w:type="pct"/>
            <w:noWrap w:val="0"/>
            <w:tcMar>
              <w:top w:w="0" w:type="dxa"/>
              <w:left w:w="0" w:type="dxa"/>
              <w:bottom w:w="0" w:type="dxa"/>
              <w:right w:w="0" w:type="dxa"/>
            </w:tcMar>
            <w:vAlign w:val="bottom"/>
          </w:tcPr>
          <w:p w14:paraId="077AA63A">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29.31</w:t>
            </w:r>
          </w:p>
        </w:tc>
        <w:tc>
          <w:tcPr>
            <w:tcW w:w="290" w:type="pct"/>
            <w:noWrap w:val="0"/>
            <w:tcMar>
              <w:top w:w="0" w:type="dxa"/>
              <w:left w:w="0" w:type="dxa"/>
              <w:bottom w:w="0" w:type="dxa"/>
              <w:right w:w="0" w:type="dxa"/>
            </w:tcMar>
            <w:vAlign w:val="bottom"/>
          </w:tcPr>
          <w:p w14:paraId="6972BBDE">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20.83</w:t>
            </w:r>
          </w:p>
        </w:tc>
        <w:tc>
          <w:tcPr>
            <w:tcW w:w="230" w:type="pct"/>
            <w:noWrap w:val="0"/>
            <w:tcMar>
              <w:top w:w="0" w:type="dxa"/>
              <w:left w:w="0" w:type="dxa"/>
              <w:bottom w:w="0" w:type="dxa"/>
              <w:right w:w="0" w:type="dxa"/>
            </w:tcMar>
            <w:vAlign w:val="bottom"/>
          </w:tcPr>
          <w:p w14:paraId="5CC0CCC2">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18.33</w:t>
            </w:r>
          </w:p>
        </w:tc>
        <w:tc>
          <w:tcPr>
            <w:tcW w:w="266" w:type="pct"/>
            <w:noWrap w:val="0"/>
            <w:tcMar>
              <w:top w:w="0" w:type="dxa"/>
              <w:left w:w="0" w:type="dxa"/>
              <w:bottom w:w="0" w:type="dxa"/>
              <w:right w:w="0" w:type="dxa"/>
            </w:tcMar>
            <w:vAlign w:val="bottom"/>
          </w:tcPr>
          <w:p w14:paraId="67E85FAE">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3.75</w:t>
            </w:r>
            <w:r>
              <w:rPr>
                <w:rFonts w:ascii="Times New Roman" w:hAnsi="Times New Roman"/>
                <w:kern w:val="0"/>
                <w:sz w:val="18"/>
                <w:szCs w:val="18"/>
                <w:highlight w:val="none"/>
              </w:rPr>
              <w:t xml:space="preserve"> </w:t>
            </w:r>
          </w:p>
        </w:tc>
        <w:tc>
          <w:tcPr>
            <w:tcW w:w="247" w:type="pct"/>
            <w:noWrap w:val="0"/>
            <w:tcMar>
              <w:top w:w="0" w:type="dxa"/>
              <w:left w:w="0" w:type="dxa"/>
              <w:bottom w:w="0" w:type="dxa"/>
              <w:right w:w="0" w:type="dxa"/>
            </w:tcMar>
            <w:vAlign w:val="bottom"/>
          </w:tcPr>
          <w:p w14:paraId="653AA6F8">
            <w:pPr>
              <w:spacing w:line="240" w:lineRule="auto"/>
              <w:ind w:left="0" w:leftChars="0" w:firstLine="0" w:firstLineChars="0"/>
              <w:jc w:val="left"/>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0.00</w:t>
            </w:r>
            <w:r>
              <w:rPr>
                <w:rFonts w:ascii="Times New Roman" w:hAnsi="Times New Roman"/>
                <w:kern w:val="0"/>
                <w:sz w:val="18"/>
                <w:szCs w:val="18"/>
                <w:highlight w:val="none"/>
              </w:rPr>
              <w:t xml:space="preserve"> </w:t>
            </w:r>
          </w:p>
        </w:tc>
      </w:tr>
      <w:tr w14:paraId="19F704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93" w:type="pct"/>
            <w:noWrap w:val="0"/>
            <w:tcMar>
              <w:top w:w="0" w:type="dxa"/>
              <w:left w:w="0" w:type="dxa"/>
              <w:bottom w:w="0" w:type="dxa"/>
              <w:right w:w="0" w:type="dxa"/>
            </w:tcMar>
            <w:vAlign w:val="center"/>
          </w:tcPr>
          <w:p w14:paraId="326EB912">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10月</w:t>
            </w:r>
          </w:p>
        </w:tc>
        <w:tc>
          <w:tcPr>
            <w:tcW w:w="335" w:type="pct"/>
            <w:noWrap w:val="0"/>
            <w:tcMar>
              <w:top w:w="0" w:type="dxa"/>
              <w:left w:w="0" w:type="dxa"/>
              <w:bottom w:w="0" w:type="dxa"/>
              <w:right w:w="0" w:type="dxa"/>
            </w:tcMar>
            <w:vAlign w:val="bottom"/>
          </w:tcPr>
          <w:p w14:paraId="4156AEF8">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1.21</w:t>
            </w:r>
            <w:r>
              <w:rPr>
                <w:rFonts w:ascii="Times New Roman" w:hAnsi="Times New Roman"/>
                <w:kern w:val="0"/>
                <w:sz w:val="18"/>
                <w:szCs w:val="18"/>
                <w:highlight w:val="none"/>
              </w:rPr>
              <w:t xml:space="preserve"> </w:t>
            </w:r>
          </w:p>
        </w:tc>
        <w:tc>
          <w:tcPr>
            <w:tcW w:w="317" w:type="pct"/>
            <w:noWrap w:val="0"/>
            <w:tcMar>
              <w:top w:w="0" w:type="dxa"/>
              <w:left w:w="0" w:type="dxa"/>
              <w:bottom w:w="0" w:type="dxa"/>
              <w:right w:w="0" w:type="dxa"/>
            </w:tcMar>
            <w:vAlign w:val="bottom"/>
          </w:tcPr>
          <w:p w14:paraId="5BEEDCA1">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1.08</w:t>
            </w:r>
            <w:r>
              <w:rPr>
                <w:rFonts w:ascii="Times New Roman" w:hAnsi="Times New Roman"/>
                <w:kern w:val="0"/>
                <w:sz w:val="18"/>
                <w:szCs w:val="18"/>
                <w:highlight w:val="none"/>
              </w:rPr>
              <w:t xml:space="preserve"> </w:t>
            </w:r>
          </w:p>
        </w:tc>
        <w:tc>
          <w:tcPr>
            <w:tcW w:w="323" w:type="pct"/>
            <w:noWrap w:val="0"/>
            <w:tcMar>
              <w:top w:w="0" w:type="dxa"/>
              <w:left w:w="0" w:type="dxa"/>
              <w:bottom w:w="0" w:type="dxa"/>
              <w:right w:w="0" w:type="dxa"/>
            </w:tcMar>
            <w:vAlign w:val="bottom"/>
          </w:tcPr>
          <w:p w14:paraId="47C26A4C">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0.81</w:t>
            </w:r>
            <w:r>
              <w:rPr>
                <w:rFonts w:ascii="Times New Roman" w:hAnsi="Times New Roman"/>
                <w:kern w:val="0"/>
                <w:sz w:val="18"/>
                <w:szCs w:val="18"/>
                <w:highlight w:val="none"/>
              </w:rPr>
              <w:t xml:space="preserve"> </w:t>
            </w:r>
          </w:p>
        </w:tc>
        <w:tc>
          <w:tcPr>
            <w:tcW w:w="308" w:type="pct"/>
            <w:noWrap w:val="0"/>
            <w:tcMar>
              <w:top w:w="0" w:type="dxa"/>
              <w:left w:w="0" w:type="dxa"/>
              <w:bottom w:w="0" w:type="dxa"/>
              <w:right w:w="0" w:type="dxa"/>
            </w:tcMar>
            <w:vAlign w:val="bottom"/>
          </w:tcPr>
          <w:p w14:paraId="3E44A1DE">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0.40</w:t>
            </w:r>
            <w:r>
              <w:rPr>
                <w:rFonts w:ascii="Times New Roman" w:hAnsi="Times New Roman"/>
                <w:kern w:val="0"/>
                <w:sz w:val="18"/>
                <w:szCs w:val="18"/>
                <w:highlight w:val="none"/>
              </w:rPr>
              <w:t xml:space="preserve"> </w:t>
            </w:r>
          </w:p>
        </w:tc>
        <w:tc>
          <w:tcPr>
            <w:tcW w:w="293" w:type="pct"/>
            <w:noWrap w:val="0"/>
            <w:tcMar>
              <w:top w:w="0" w:type="dxa"/>
              <w:left w:w="0" w:type="dxa"/>
              <w:bottom w:w="0" w:type="dxa"/>
              <w:right w:w="0" w:type="dxa"/>
            </w:tcMar>
            <w:vAlign w:val="bottom"/>
          </w:tcPr>
          <w:p w14:paraId="4FA84823">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8.20</w:t>
            </w:r>
            <w:r>
              <w:rPr>
                <w:rFonts w:ascii="Times New Roman" w:hAnsi="Times New Roman"/>
                <w:kern w:val="0"/>
                <w:sz w:val="18"/>
                <w:szCs w:val="18"/>
                <w:highlight w:val="none"/>
              </w:rPr>
              <w:t xml:space="preserve"> </w:t>
            </w:r>
          </w:p>
        </w:tc>
        <w:tc>
          <w:tcPr>
            <w:tcW w:w="287" w:type="pct"/>
            <w:noWrap w:val="0"/>
            <w:tcMar>
              <w:top w:w="0" w:type="dxa"/>
              <w:left w:w="0" w:type="dxa"/>
              <w:bottom w:w="0" w:type="dxa"/>
              <w:right w:w="0" w:type="dxa"/>
            </w:tcMar>
            <w:vAlign w:val="bottom"/>
          </w:tcPr>
          <w:p w14:paraId="36C9D325">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5.38</w:t>
            </w:r>
            <w:r>
              <w:rPr>
                <w:rFonts w:ascii="Times New Roman" w:hAnsi="Times New Roman"/>
                <w:kern w:val="0"/>
                <w:sz w:val="18"/>
                <w:szCs w:val="18"/>
                <w:highlight w:val="none"/>
              </w:rPr>
              <w:t xml:space="preserve"> </w:t>
            </w:r>
          </w:p>
        </w:tc>
        <w:tc>
          <w:tcPr>
            <w:tcW w:w="289" w:type="pct"/>
            <w:noWrap w:val="0"/>
            <w:tcMar>
              <w:top w:w="0" w:type="dxa"/>
              <w:left w:w="0" w:type="dxa"/>
              <w:bottom w:w="0" w:type="dxa"/>
              <w:right w:w="0" w:type="dxa"/>
            </w:tcMar>
            <w:vAlign w:val="bottom"/>
          </w:tcPr>
          <w:p w14:paraId="3862EC52">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1.61</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1599AD25">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3.09</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643BCD0E">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2.02</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273E5C11">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2.82</w:t>
            </w:r>
            <w:r>
              <w:rPr>
                <w:rFonts w:ascii="Times New Roman" w:hAnsi="Times New Roman"/>
                <w:kern w:val="0"/>
                <w:sz w:val="18"/>
                <w:szCs w:val="18"/>
                <w:highlight w:val="none"/>
              </w:rPr>
              <w:t xml:space="preserve"> </w:t>
            </w:r>
          </w:p>
        </w:tc>
        <w:tc>
          <w:tcPr>
            <w:tcW w:w="251" w:type="pct"/>
            <w:noWrap w:val="0"/>
            <w:tcMar>
              <w:top w:w="0" w:type="dxa"/>
              <w:left w:w="0" w:type="dxa"/>
              <w:bottom w:w="0" w:type="dxa"/>
              <w:right w:w="0" w:type="dxa"/>
            </w:tcMar>
            <w:vAlign w:val="bottom"/>
          </w:tcPr>
          <w:p w14:paraId="09181864">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1.08</w:t>
            </w:r>
            <w:r>
              <w:rPr>
                <w:rFonts w:ascii="Times New Roman" w:hAnsi="Times New Roman"/>
                <w:kern w:val="0"/>
                <w:sz w:val="18"/>
                <w:szCs w:val="18"/>
                <w:highlight w:val="none"/>
              </w:rPr>
              <w:t xml:space="preserve"> </w:t>
            </w:r>
          </w:p>
        </w:tc>
        <w:tc>
          <w:tcPr>
            <w:tcW w:w="272" w:type="pct"/>
            <w:noWrap w:val="0"/>
            <w:tcMar>
              <w:top w:w="0" w:type="dxa"/>
              <w:left w:w="0" w:type="dxa"/>
              <w:bottom w:w="0" w:type="dxa"/>
              <w:right w:w="0" w:type="dxa"/>
            </w:tcMar>
            <w:vAlign w:val="bottom"/>
          </w:tcPr>
          <w:p w14:paraId="166F4950">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2.55</w:t>
            </w:r>
            <w:r>
              <w:rPr>
                <w:rFonts w:ascii="Times New Roman" w:hAnsi="Times New Roman"/>
                <w:kern w:val="0"/>
                <w:sz w:val="18"/>
                <w:szCs w:val="18"/>
                <w:highlight w:val="none"/>
              </w:rPr>
              <w:t xml:space="preserve"> </w:t>
            </w:r>
          </w:p>
        </w:tc>
        <w:tc>
          <w:tcPr>
            <w:tcW w:w="251" w:type="pct"/>
            <w:noWrap w:val="0"/>
            <w:tcMar>
              <w:top w:w="0" w:type="dxa"/>
              <w:left w:w="0" w:type="dxa"/>
              <w:bottom w:w="0" w:type="dxa"/>
              <w:right w:w="0" w:type="dxa"/>
            </w:tcMar>
            <w:vAlign w:val="bottom"/>
          </w:tcPr>
          <w:p w14:paraId="6DEDE1E0">
            <w:pPr>
              <w:spacing w:line="240" w:lineRule="auto"/>
              <w:ind w:firstLine="0" w:firstLineChars="0"/>
              <w:jc w:val="both"/>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26.34</w:t>
            </w:r>
            <w:r>
              <w:rPr>
                <w:rFonts w:ascii="Times New Roman" w:hAnsi="Times New Roman"/>
                <w:kern w:val="0"/>
                <w:sz w:val="18"/>
                <w:szCs w:val="18"/>
                <w:highlight w:val="none"/>
              </w:rPr>
              <w:t xml:space="preserve"> </w:t>
            </w:r>
          </w:p>
        </w:tc>
        <w:tc>
          <w:tcPr>
            <w:tcW w:w="290" w:type="pct"/>
            <w:noWrap w:val="0"/>
            <w:tcMar>
              <w:top w:w="0" w:type="dxa"/>
              <w:left w:w="0" w:type="dxa"/>
              <w:bottom w:w="0" w:type="dxa"/>
              <w:right w:w="0" w:type="dxa"/>
            </w:tcMar>
            <w:vAlign w:val="bottom"/>
          </w:tcPr>
          <w:p w14:paraId="15D32604">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23.25</w:t>
            </w:r>
          </w:p>
        </w:tc>
        <w:tc>
          <w:tcPr>
            <w:tcW w:w="230" w:type="pct"/>
            <w:noWrap w:val="0"/>
            <w:tcMar>
              <w:top w:w="0" w:type="dxa"/>
              <w:left w:w="0" w:type="dxa"/>
              <w:bottom w:w="0" w:type="dxa"/>
              <w:right w:w="0" w:type="dxa"/>
            </w:tcMar>
            <w:vAlign w:val="bottom"/>
          </w:tcPr>
          <w:p w14:paraId="427F4897">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16.26</w:t>
            </w:r>
          </w:p>
        </w:tc>
        <w:tc>
          <w:tcPr>
            <w:tcW w:w="266" w:type="pct"/>
            <w:noWrap w:val="0"/>
            <w:tcMar>
              <w:top w:w="0" w:type="dxa"/>
              <w:left w:w="0" w:type="dxa"/>
              <w:bottom w:w="0" w:type="dxa"/>
              <w:right w:w="0" w:type="dxa"/>
            </w:tcMar>
            <w:vAlign w:val="bottom"/>
          </w:tcPr>
          <w:p w14:paraId="47733D32">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3.90</w:t>
            </w:r>
            <w:r>
              <w:rPr>
                <w:rFonts w:ascii="Times New Roman" w:hAnsi="Times New Roman"/>
                <w:kern w:val="0"/>
                <w:sz w:val="18"/>
                <w:szCs w:val="18"/>
                <w:highlight w:val="none"/>
              </w:rPr>
              <w:t xml:space="preserve"> </w:t>
            </w:r>
          </w:p>
        </w:tc>
        <w:tc>
          <w:tcPr>
            <w:tcW w:w="247" w:type="pct"/>
            <w:noWrap w:val="0"/>
            <w:tcMar>
              <w:top w:w="0" w:type="dxa"/>
              <w:left w:w="0" w:type="dxa"/>
              <w:bottom w:w="0" w:type="dxa"/>
              <w:right w:w="0" w:type="dxa"/>
            </w:tcMar>
            <w:vAlign w:val="bottom"/>
          </w:tcPr>
          <w:p w14:paraId="5CF77119">
            <w:pPr>
              <w:spacing w:line="240" w:lineRule="auto"/>
              <w:ind w:left="0" w:leftChars="0" w:firstLine="0" w:firstLineChars="0"/>
              <w:jc w:val="left"/>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0.00</w:t>
            </w:r>
            <w:r>
              <w:rPr>
                <w:rFonts w:ascii="Times New Roman" w:hAnsi="Times New Roman"/>
                <w:kern w:val="0"/>
                <w:sz w:val="18"/>
                <w:szCs w:val="18"/>
                <w:highlight w:val="none"/>
              </w:rPr>
              <w:t xml:space="preserve"> </w:t>
            </w:r>
          </w:p>
        </w:tc>
      </w:tr>
      <w:tr w14:paraId="306B42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93" w:type="pct"/>
            <w:noWrap w:val="0"/>
            <w:tcMar>
              <w:top w:w="0" w:type="dxa"/>
              <w:left w:w="0" w:type="dxa"/>
              <w:bottom w:w="0" w:type="dxa"/>
              <w:right w:w="0" w:type="dxa"/>
            </w:tcMar>
            <w:vAlign w:val="center"/>
          </w:tcPr>
          <w:p w14:paraId="083FD267">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11月</w:t>
            </w:r>
          </w:p>
        </w:tc>
        <w:tc>
          <w:tcPr>
            <w:tcW w:w="335" w:type="pct"/>
            <w:noWrap w:val="0"/>
            <w:tcMar>
              <w:top w:w="0" w:type="dxa"/>
              <w:left w:w="0" w:type="dxa"/>
              <w:bottom w:w="0" w:type="dxa"/>
              <w:right w:w="0" w:type="dxa"/>
            </w:tcMar>
            <w:vAlign w:val="bottom"/>
          </w:tcPr>
          <w:p w14:paraId="3C39DAF9">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0.42</w:t>
            </w:r>
            <w:r>
              <w:rPr>
                <w:rFonts w:ascii="Times New Roman" w:hAnsi="Times New Roman"/>
                <w:kern w:val="0"/>
                <w:sz w:val="18"/>
                <w:szCs w:val="18"/>
                <w:highlight w:val="none"/>
              </w:rPr>
              <w:t xml:space="preserve"> </w:t>
            </w:r>
          </w:p>
        </w:tc>
        <w:tc>
          <w:tcPr>
            <w:tcW w:w="317" w:type="pct"/>
            <w:noWrap w:val="0"/>
            <w:tcMar>
              <w:top w:w="0" w:type="dxa"/>
              <w:left w:w="0" w:type="dxa"/>
              <w:bottom w:w="0" w:type="dxa"/>
              <w:right w:w="0" w:type="dxa"/>
            </w:tcMar>
            <w:vAlign w:val="bottom"/>
          </w:tcPr>
          <w:p w14:paraId="00BB3087">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0.28</w:t>
            </w:r>
            <w:r>
              <w:rPr>
                <w:rFonts w:ascii="Times New Roman" w:hAnsi="Times New Roman"/>
                <w:kern w:val="0"/>
                <w:sz w:val="18"/>
                <w:szCs w:val="18"/>
                <w:highlight w:val="none"/>
              </w:rPr>
              <w:t xml:space="preserve"> </w:t>
            </w:r>
          </w:p>
        </w:tc>
        <w:tc>
          <w:tcPr>
            <w:tcW w:w="323" w:type="pct"/>
            <w:noWrap w:val="0"/>
            <w:tcMar>
              <w:top w:w="0" w:type="dxa"/>
              <w:left w:w="0" w:type="dxa"/>
              <w:bottom w:w="0" w:type="dxa"/>
              <w:right w:w="0" w:type="dxa"/>
            </w:tcMar>
            <w:vAlign w:val="bottom"/>
          </w:tcPr>
          <w:p w14:paraId="0704B380">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0.28</w:t>
            </w:r>
            <w:r>
              <w:rPr>
                <w:rFonts w:ascii="Times New Roman" w:hAnsi="Times New Roman"/>
                <w:kern w:val="0"/>
                <w:sz w:val="18"/>
                <w:szCs w:val="18"/>
                <w:highlight w:val="none"/>
              </w:rPr>
              <w:t xml:space="preserve"> </w:t>
            </w:r>
          </w:p>
        </w:tc>
        <w:tc>
          <w:tcPr>
            <w:tcW w:w="308" w:type="pct"/>
            <w:noWrap w:val="0"/>
            <w:tcMar>
              <w:top w:w="0" w:type="dxa"/>
              <w:left w:w="0" w:type="dxa"/>
              <w:bottom w:w="0" w:type="dxa"/>
              <w:right w:w="0" w:type="dxa"/>
            </w:tcMar>
            <w:vAlign w:val="bottom"/>
          </w:tcPr>
          <w:p w14:paraId="7A3480A5">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0.14</w:t>
            </w:r>
            <w:r>
              <w:rPr>
                <w:rFonts w:ascii="Times New Roman" w:hAnsi="Times New Roman"/>
                <w:kern w:val="0"/>
                <w:sz w:val="18"/>
                <w:szCs w:val="18"/>
                <w:highlight w:val="none"/>
              </w:rPr>
              <w:t xml:space="preserve"> </w:t>
            </w:r>
          </w:p>
        </w:tc>
        <w:tc>
          <w:tcPr>
            <w:tcW w:w="293" w:type="pct"/>
            <w:noWrap w:val="0"/>
            <w:tcMar>
              <w:top w:w="0" w:type="dxa"/>
              <w:left w:w="0" w:type="dxa"/>
              <w:bottom w:w="0" w:type="dxa"/>
              <w:right w:w="0" w:type="dxa"/>
            </w:tcMar>
            <w:vAlign w:val="bottom"/>
          </w:tcPr>
          <w:p w14:paraId="7F170124">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5.14</w:t>
            </w:r>
            <w:r>
              <w:rPr>
                <w:rFonts w:ascii="Times New Roman" w:hAnsi="Times New Roman"/>
                <w:kern w:val="0"/>
                <w:sz w:val="18"/>
                <w:szCs w:val="18"/>
                <w:highlight w:val="none"/>
              </w:rPr>
              <w:t xml:space="preserve"> </w:t>
            </w:r>
          </w:p>
        </w:tc>
        <w:tc>
          <w:tcPr>
            <w:tcW w:w="287" w:type="pct"/>
            <w:noWrap w:val="0"/>
            <w:tcMar>
              <w:top w:w="0" w:type="dxa"/>
              <w:left w:w="0" w:type="dxa"/>
              <w:bottom w:w="0" w:type="dxa"/>
              <w:right w:w="0" w:type="dxa"/>
            </w:tcMar>
            <w:vAlign w:val="bottom"/>
          </w:tcPr>
          <w:p w14:paraId="1CAD38F4">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5.28</w:t>
            </w:r>
            <w:r>
              <w:rPr>
                <w:rFonts w:ascii="Times New Roman" w:hAnsi="Times New Roman"/>
                <w:kern w:val="0"/>
                <w:sz w:val="18"/>
                <w:szCs w:val="18"/>
                <w:highlight w:val="none"/>
              </w:rPr>
              <w:t xml:space="preserve"> </w:t>
            </w:r>
          </w:p>
        </w:tc>
        <w:tc>
          <w:tcPr>
            <w:tcW w:w="289" w:type="pct"/>
            <w:noWrap w:val="0"/>
            <w:tcMar>
              <w:top w:w="0" w:type="dxa"/>
              <w:left w:w="0" w:type="dxa"/>
              <w:bottom w:w="0" w:type="dxa"/>
              <w:right w:w="0" w:type="dxa"/>
            </w:tcMar>
            <w:vAlign w:val="bottom"/>
          </w:tcPr>
          <w:p w14:paraId="2FAB876E">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0.42</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3D518F56">
            <w:pPr>
              <w:spacing w:line="240" w:lineRule="auto"/>
              <w:ind w:firstLine="0" w:firstLineChars="0"/>
              <w:jc w:val="both"/>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0.28</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41EBCAE0">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0.97</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36E91ABE">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0.42</w:t>
            </w:r>
            <w:r>
              <w:rPr>
                <w:rFonts w:ascii="Times New Roman" w:hAnsi="Times New Roman"/>
                <w:kern w:val="0"/>
                <w:sz w:val="18"/>
                <w:szCs w:val="18"/>
                <w:highlight w:val="none"/>
              </w:rPr>
              <w:t xml:space="preserve"> </w:t>
            </w:r>
          </w:p>
        </w:tc>
        <w:tc>
          <w:tcPr>
            <w:tcW w:w="251" w:type="pct"/>
            <w:noWrap w:val="0"/>
            <w:tcMar>
              <w:top w:w="0" w:type="dxa"/>
              <w:left w:w="0" w:type="dxa"/>
              <w:bottom w:w="0" w:type="dxa"/>
              <w:right w:w="0" w:type="dxa"/>
            </w:tcMar>
            <w:vAlign w:val="bottom"/>
          </w:tcPr>
          <w:p w14:paraId="3009BCA6">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0.56</w:t>
            </w:r>
            <w:r>
              <w:rPr>
                <w:rFonts w:ascii="Times New Roman" w:hAnsi="Times New Roman"/>
                <w:kern w:val="0"/>
                <w:sz w:val="18"/>
                <w:szCs w:val="18"/>
                <w:highlight w:val="none"/>
              </w:rPr>
              <w:t xml:space="preserve"> </w:t>
            </w:r>
          </w:p>
        </w:tc>
        <w:tc>
          <w:tcPr>
            <w:tcW w:w="272" w:type="pct"/>
            <w:noWrap w:val="0"/>
            <w:tcMar>
              <w:top w:w="0" w:type="dxa"/>
              <w:left w:w="0" w:type="dxa"/>
              <w:bottom w:w="0" w:type="dxa"/>
              <w:right w:w="0" w:type="dxa"/>
            </w:tcMar>
            <w:vAlign w:val="bottom"/>
          </w:tcPr>
          <w:p w14:paraId="78B0DF96">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0.97</w:t>
            </w:r>
            <w:r>
              <w:rPr>
                <w:rFonts w:ascii="Times New Roman" w:hAnsi="Times New Roman"/>
                <w:kern w:val="0"/>
                <w:sz w:val="18"/>
                <w:szCs w:val="18"/>
                <w:highlight w:val="none"/>
              </w:rPr>
              <w:t xml:space="preserve"> </w:t>
            </w:r>
          </w:p>
        </w:tc>
        <w:tc>
          <w:tcPr>
            <w:tcW w:w="251" w:type="pct"/>
            <w:noWrap w:val="0"/>
            <w:tcMar>
              <w:top w:w="0" w:type="dxa"/>
              <w:left w:w="0" w:type="dxa"/>
              <w:bottom w:w="0" w:type="dxa"/>
              <w:right w:w="0" w:type="dxa"/>
            </w:tcMar>
            <w:vAlign w:val="bottom"/>
          </w:tcPr>
          <w:p w14:paraId="01299DC3">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40.28</w:t>
            </w:r>
            <w:r>
              <w:rPr>
                <w:rFonts w:ascii="Times New Roman" w:hAnsi="Times New Roman"/>
                <w:kern w:val="0"/>
                <w:sz w:val="18"/>
                <w:szCs w:val="18"/>
                <w:highlight w:val="none"/>
              </w:rPr>
              <w:t xml:space="preserve"> </w:t>
            </w:r>
          </w:p>
        </w:tc>
        <w:tc>
          <w:tcPr>
            <w:tcW w:w="290" w:type="pct"/>
            <w:noWrap w:val="0"/>
            <w:tcMar>
              <w:top w:w="0" w:type="dxa"/>
              <w:left w:w="0" w:type="dxa"/>
              <w:bottom w:w="0" w:type="dxa"/>
              <w:right w:w="0" w:type="dxa"/>
            </w:tcMar>
            <w:vAlign w:val="bottom"/>
          </w:tcPr>
          <w:p w14:paraId="10B72244">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27.36</w:t>
            </w:r>
          </w:p>
        </w:tc>
        <w:tc>
          <w:tcPr>
            <w:tcW w:w="230" w:type="pct"/>
            <w:noWrap w:val="0"/>
            <w:tcMar>
              <w:top w:w="0" w:type="dxa"/>
              <w:left w:w="0" w:type="dxa"/>
              <w:bottom w:w="0" w:type="dxa"/>
              <w:right w:w="0" w:type="dxa"/>
            </w:tcMar>
            <w:vAlign w:val="bottom"/>
          </w:tcPr>
          <w:p w14:paraId="5075CB38">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15.14</w:t>
            </w:r>
          </w:p>
        </w:tc>
        <w:tc>
          <w:tcPr>
            <w:tcW w:w="266" w:type="pct"/>
            <w:noWrap w:val="0"/>
            <w:tcMar>
              <w:top w:w="0" w:type="dxa"/>
              <w:left w:w="0" w:type="dxa"/>
              <w:bottom w:w="0" w:type="dxa"/>
              <w:right w:w="0" w:type="dxa"/>
            </w:tcMar>
            <w:vAlign w:val="bottom"/>
          </w:tcPr>
          <w:p w14:paraId="747E0344">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2.08</w:t>
            </w:r>
            <w:r>
              <w:rPr>
                <w:rFonts w:ascii="Times New Roman" w:hAnsi="Times New Roman"/>
                <w:kern w:val="0"/>
                <w:sz w:val="18"/>
                <w:szCs w:val="18"/>
                <w:highlight w:val="none"/>
              </w:rPr>
              <w:t xml:space="preserve"> </w:t>
            </w:r>
          </w:p>
        </w:tc>
        <w:tc>
          <w:tcPr>
            <w:tcW w:w="247" w:type="pct"/>
            <w:noWrap w:val="0"/>
            <w:tcMar>
              <w:top w:w="0" w:type="dxa"/>
              <w:left w:w="0" w:type="dxa"/>
              <w:bottom w:w="0" w:type="dxa"/>
              <w:right w:w="0" w:type="dxa"/>
            </w:tcMar>
            <w:vAlign w:val="bottom"/>
          </w:tcPr>
          <w:p w14:paraId="70E0D5B4">
            <w:pPr>
              <w:spacing w:line="240" w:lineRule="auto"/>
              <w:ind w:left="0" w:leftChars="0" w:firstLine="0" w:firstLineChars="0"/>
              <w:jc w:val="left"/>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0.00</w:t>
            </w:r>
            <w:r>
              <w:rPr>
                <w:rFonts w:ascii="Times New Roman" w:hAnsi="Times New Roman"/>
                <w:kern w:val="0"/>
                <w:sz w:val="18"/>
                <w:szCs w:val="18"/>
                <w:highlight w:val="none"/>
              </w:rPr>
              <w:t xml:space="preserve"> </w:t>
            </w:r>
          </w:p>
        </w:tc>
      </w:tr>
      <w:tr w14:paraId="5F5104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93" w:type="pct"/>
            <w:noWrap w:val="0"/>
            <w:tcMar>
              <w:top w:w="0" w:type="dxa"/>
              <w:left w:w="0" w:type="dxa"/>
              <w:bottom w:w="0" w:type="dxa"/>
              <w:right w:w="0" w:type="dxa"/>
            </w:tcMar>
            <w:vAlign w:val="center"/>
          </w:tcPr>
          <w:p w14:paraId="5DD1746D">
            <w:pPr>
              <w:spacing w:line="240" w:lineRule="auto"/>
              <w:ind w:firstLine="0" w:firstLineChars="0"/>
              <w:jc w:val="center"/>
              <w:rPr>
                <w:rFonts w:ascii="Times New Roman" w:hAnsi="Times New Roman"/>
                <w:kern w:val="0"/>
                <w:sz w:val="18"/>
                <w:szCs w:val="18"/>
                <w:highlight w:val="none"/>
              </w:rPr>
            </w:pPr>
            <w:r>
              <w:rPr>
                <w:rFonts w:ascii="Times New Roman" w:hAnsi="Times New Roman"/>
                <w:kern w:val="0"/>
                <w:sz w:val="18"/>
                <w:szCs w:val="18"/>
                <w:highlight w:val="none"/>
              </w:rPr>
              <w:t>12月</w:t>
            </w:r>
          </w:p>
        </w:tc>
        <w:tc>
          <w:tcPr>
            <w:tcW w:w="335" w:type="pct"/>
            <w:noWrap w:val="0"/>
            <w:tcMar>
              <w:top w:w="0" w:type="dxa"/>
              <w:left w:w="0" w:type="dxa"/>
              <w:bottom w:w="0" w:type="dxa"/>
              <w:right w:w="0" w:type="dxa"/>
            </w:tcMar>
            <w:vAlign w:val="bottom"/>
          </w:tcPr>
          <w:p w14:paraId="1C560B37">
            <w:pPr>
              <w:spacing w:line="240" w:lineRule="auto"/>
              <w:ind w:firstLine="0" w:firstLineChars="0"/>
              <w:jc w:val="both"/>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0.13</w:t>
            </w:r>
            <w:r>
              <w:rPr>
                <w:rFonts w:ascii="Times New Roman" w:hAnsi="Times New Roman"/>
                <w:kern w:val="0"/>
                <w:sz w:val="18"/>
                <w:szCs w:val="18"/>
                <w:highlight w:val="none"/>
              </w:rPr>
              <w:t xml:space="preserve"> </w:t>
            </w:r>
          </w:p>
        </w:tc>
        <w:tc>
          <w:tcPr>
            <w:tcW w:w="317" w:type="pct"/>
            <w:noWrap w:val="0"/>
            <w:tcMar>
              <w:top w:w="0" w:type="dxa"/>
              <w:left w:w="0" w:type="dxa"/>
              <w:bottom w:w="0" w:type="dxa"/>
              <w:right w:w="0" w:type="dxa"/>
            </w:tcMar>
            <w:vAlign w:val="bottom"/>
          </w:tcPr>
          <w:p w14:paraId="1C9875A9">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0.00</w:t>
            </w:r>
            <w:r>
              <w:rPr>
                <w:rFonts w:ascii="Times New Roman" w:hAnsi="Times New Roman"/>
                <w:kern w:val="0"/>
                <w:sz w:val="18"/>
                <w:szCs w:val="18"/>
                <w:highlight w:val="none"/>
              </w:rPr>
              <w:t xml:space="preserve"> </w:t>
            </w:r>
          </w:p>
        </w:tc>
        <w:tc>
          <w:tcPr>
            <w:tcW w:w="323" w:type="pct"/>
            <w:noWrap w:val="0"/>
            <w:tcMar>
              <w:top w:w="0" w:type="dxa"/>
              <w:left w:w="0" w:type="dxa"/>
              <w:bottom w:w="0" w:type="dxa"/>
              <w:right w:w="0" w:type="dxa"/>
            </w:tcMar>
            <w:vAlign w:val="bottom"/>
          </w:tcPr>
          <w:p w14:paraId="40D4C8AD">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0.13</w:t>
            </w:r>
            <w:r>
              <w:rPr>
                <w:rFonts w:ascii="Times New Roman" w:hAnsi="Times New Roman"/>
                <w:kern w:val="0"/>
                <w:sz w:val="18"/>
                <w:szCs w:val="18"/>
                <w:highlight w:val="none"/>
              </w:rPr>
              <w:t xml:space="preserve"> </w:t>
            </w:r>
          </w:p>
        </w:tc>
        <w:tc>
          <w:tcPr>
            <w:tcW w:w="308" w:type="pct"/>
            <w:noWrap w:val="0"/>
            <w:tcMar>
              <w:top w:w="0" w:type="dxa"/>
              <w:left w:w="0" w:type="dxa"/>
              <w:bottom w:w="0" w:type="dxa"/>
              <w:right w:w="0" w:type="dxa"/>
            </w:tcMar>
            <w:vAlign w:val="bottom"/>
          </w:tcPr>
          <w:p w14:paraId="78B0C4DA">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0.00</w:t>
            </w:r>
            <w:r>
              <w:rPr>
                <w:rFonts w:ascii="Times New Roman" w:hAnsi="Times New Roman"/>
                <w:kern w:val="0"/>
                <w:sz w:val="18"/>
                <w:szCs w:val="18"/>
                <w:highlight w:val="none"/>
              </w:rPr>
              <w:t xml:space="preserve"> </w:t>
            </w:r>
          </w:p>
        </w:tc>
        <w:tc>
          <w:tcPr>
            <w:tcW w:w="293" w:type="pct"/>
            <w:noWrap w:val="0"/>
            <w:tcMar>
              <w:top w:w="0" w:type="dxa"/>
              <w:left w:w="0" w:type="dxa"/>
              <w:bottom w:w="0" w:type="dxa"/>
              <w:right w:w="0" w:type="dxa"/>
            </w:tcMar>
            <w:vAlign w:val="bottom"/>
          </w:tcPr>
          <w:p w14:paraId="76D9139C">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1.61</w:t>
            </w:r>
            <w:r>
              <w:rPr>
                <w:rFonts w:ascii="Times New Roman" w:hAnsi="Times New Roman"/>
                <w:kern w:val="0"/>
                <w:sz w:val="18"/>
                <w:szCs w:val="18"/>
                <w:highlight w:val="none"/>
              </w:rPr>
              <w:t xml:space="preserve"> </w:t>
            </w:r>
          </w:p>
        </w:tc>
        <w:tc>
          <w:tcPr>
            <w:tcW w:w="287" w:type="pct"/>
            <w:noWrap w:val="0"/>
            <w:tcMar>
              <w:top w:w="0" w:type="dxa"/>
              <w:left w:w="0" w:type="dxa"/>
              <w:bottom w:w="0" w:type="dxa"/>
              <w:right w:w="0" w:type="dxa"/>
            </w:tcMar>
            <w:vAlign w:val="bottom"/>
          </w:tcPr>
          <w:p w14:paraId="2517C0CB">
            <w:pPr>
              <w:spacing w:line="240" w:lineRule="auto"/>
              <w:ind w:firstLine="0" w:firstLineChars="0"/>
              <w:jc w:val="both"/>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1.34</w:t>
            </w:r>
            <w:r>
              <w:rPr>
                <w:rFonts w:ascii="Times New Roman" w:hAnsi="Times New Roman"/>
                <w:kern w:val="0"/>
                <w:sz w:val="18"/>
                <w:szCs w:val="18"/>
                <w:highlight w:val="none"/>
              </w:rPr>
              <w:t xml:space="preserve"> </w:t>
            </w:r>
          </w:p>
        </w:tc>
        <w:tc>
          <w:tcPr>
            <w:tcW w:w="289" w:type="pct"/>
            <w:noWrap w:val="0"/>
            <w:tcMar>
              <w:top w:w="0" w:type="dxa"/>
              <w:left w:w="0" w:type="dxa"/>
              <w:bottom w:w="0" w:type="dxa"/>
              <w:right w:w="0" w:type="dxa"/>
            </w:tcMar>
            <w:vAlign w:val="bottom"/>
          </w:tcPr>
          <w:p w14:paraId="40325098">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0.13</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59469B15">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0.13</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16E8B01E">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0.00</w:t>
            </w:r>
            <w:r>
              <w:rPr>
                <w:rFonts w:ascii="Times New Roman" w:hAnsi="Times New Roman"/>
                <w:kern w:val="0"/>
                <w:sz w:val="18"/>
                <w:szCs w:val="18"/>
                <w:highlight w:val="none"/>
              </w:rPr>
              <w:t xml:space="preserve"> </w:t>
            </w:r>
          </w:p>
        </w:tc>
        <w:tc>
          <w:tcPr>
            <w:tcW w:w="250" w:type="pct"/>
            <w:noWrap w:val="0"/>
            <w:tcMar>
              <w:top w:w="0" w:type="dxa"/>
              <w:left w:w="0" w:type="dxa"/>
              <w:bottom w:w="0" w:type="dxa"/>
              <w:right w:w="0" w:type="dxa"/>
            </w:tcMar>
            <w:vAlign w:val="bottom"/>
          </w:tcPr>
          <w:p w14:paraId="32E2F757">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0.13</w:t>
            </w:r>
            <w:r>
              <w:rPr>
                <w:rFonts w:ascii="Times New Roman" w:hAnsi="Times New Roman"/>
                <w:kern w:val="0"/>
                <w:sz w:val="18"/>
                <w:szCs w:val="18"/>
                <w:highlight w:val="none"/>
              </w:rPr>
              <w:t xml:space="preserve"> </w:t>
            </w:r>
          </w:p>
        </w:tc>
        <w:tc>
          <w:tcPr>
            <w:tcW w:w="251" w:type="pct"/>
            <w:noWrap w:val="0"/>
            <w:tcMar>
              <w:top w:w="0" w:type="dxa"/>
              <w:left w:w="0" w:type="dxa"/>
              <w:bottom w:w="0" w:type="dxa"/>
              <w:right w:w="0" w:type="dxa"/>
            </w:tcMar>
            <w:vAlign w:val="bottom"/>
          </w:tcPr>
          <w:p w14:paraId="4A75AEA9">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0.27</w:t>
            </w:r>
            <w:r>
              <w:rPr>
                <w:rFonts w:ascii="Times New Roman" w:hAnsi="Times New Roman"/>
                <w:kern w:val="0"/>
                <w:sz w:val="18"/>
                <w:szCs w:val="18"/>
                <w:highlight w:val="none"/>
              </w:rPr>
              <w:t xml:space="preserve"> </w:t>
            </w:r>
          </w:p>
        </w:tc>
        <w:tc>
          <w:tcPr>
            <w:tcW w:w="272" w:type="pct"/>
            <w:noWrap w:val="0"/>
            <w:tcMar>
              <w:top w:w="0" w:type="dxa"/>
              <w:left w:w="0" w:type="dxa"/>
              <w:bottom w:w="0" w:type="dxa"/>
              <w:right w:w="0" w:type="dxa"/>
            </w:tcMar>
            <w:vAlign w:val="bottom"/>
          </w:tcPr>
          <w:p w14:paraId="59757DE8">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0.67</w:t>
            </w:r>
            <w:r>
              <w:rPr>
                <w:rFonts w:ascii="Times New Roman" w:hAnsi="Times New Roman"/>
                <w:kern w:val="0"/>
                <w:sz w:val="18"/>
                <w:szCs w:val="18"/>
                <w:highlight w:val="none"/>
              </w:rPr>
              <w:t xml:space="preserve"> </w:t>
            </w:r>
          </w:p>
        </w:tc>
        <w:tc>
          <w:tcPr>
            <w:tcW w:w="251" w:type="pct"/>
            <w:noWrap w:val="0"/>
            <w:tcMar>
              <w:top w:w="0" w:type="dxa"/>
              <w:left w:w="0" w:type="dxa"/>
              <w:bottom w:w="0" w:type="dxa"/>
              <w:right w:w="0" w:type="dxa"/>
            </w:tcMar>
            <w:vAlign w:val="bottom"/>
          </w:tcPr>
          <w:p w14:paraId="3EE7F3FF">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69.22</w:t>
            </w:r>
            <w:r>
              <w:rPr>
                <w:rFonts w:ascii="Times New Roman" w:hAnsi="Times New Roman"/>
                <w:kern w:val="0"/>
                <w:sz w:val="18"/>
                <w:szCs w:val="18"/>
                <w:highlight w:val="none"/>
              </w:rPr>
              <w:t xml:space="preserve"> </w:t>
            </w:r>
          </w:p>
        </w:tc>
        <w:tc>
          <w:tcPr>
            <w:tcW w:w="290" w:type="pct"/>
            <w:noWrap w:val="0"/>
            <w:tcMar>
              <w:top w:w="0" w:type="dxa"/>
              <w:left w:w="0" w:type="dxa"/>
              <w:bottom w:w="0" w:type="dxa"/>
              <w:right w:w="0" w:type="dxa"/>
            </w:tcMar>
            <w:vAlign w:val="bottom"/>
          </w:tcPr>
          <w:p w14:paraId="1109AE75">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22.04</w:t>
            </w:r>
          </w:p>
        </w:tc>
        <w:tc>
          <w:tcPr>
            <w:tcW w:w="230" w:type="pct"/>
            <w:noWrap w:val="0"/>
            <w:tcMar>
              <w:top w:w="0" w:type="dxa"/>
              <w:left w:w="0" w:type="dxa"/>
              <w:bottom w:w="0" w:type="dxa"/>
              <w:right w:w="0" w:type="dxa"/>
            </w:tcMar>
            <w:vAlign w:val="bottom"/>
          </w:tcPr>
          <w:p w14:paraId="1B55079B">
            <w:pPr>
              <w:spacing w:line="240" w:lineRule="auto"/>
              <w:ind w:firstLine="0" w:firstLineChars="0"/>
              <w:jc w:val="center"/>
              <w:rPr>
                <w:rFonts w:hint="default" w:ascii="Times New Roman" w:hAnsi="Times New Roman" w:eastAsia="宋体"/>
                <w:kern w:val="0"/>
                <w:sz w:val="18"/>
                <w:szCs w:val="18"/>
                <w:highlight w:val="none"/>
                <w:lang w:val="en-US" w:eastAsia="zh-CN"/>
              </w:rPr>
            </w:pPr>
            <w:r>
              <w:rPr>
                <w:rFonts w:hint="eastAsia" w:ascii="Times New Roman" w:hAnsi="Times New Roman"/>
                <w:kern w:val="0"/>
                <w:sz w:val="18"/>
                <w:szCs w:val="18"/>
                <w:highlight w:val="none"/>
                <w:lang w:val="en-US" w:eastAsia="zh-CN"/>
              </w:rPr>
              <w:t>3.90</w:t>
            </w:r>
          </w:p>
        </w:tc>
        <w:tc>
          <w:tcPr>
            <w:tcW w:w="266" w:type="pct"/>
            <w:noWrap w:val="0"/>
            <w:tcMar>
              <w:top w:w="0" w:type="dxa"/>
              <w:left w:w="0" w:type="dxa"/>
              <w:bottom w:w="0" w:type="dxa"/>
              <w:right w:w="0" w:type="dxa"/>
            </w:tcMar>
            <w:vAlign w:val="bottom"/>
          </w:tcPr>
          <w:p w14:paraId="3908332B">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0.27</w:t>
            </w:r>
            <w:r>
              <w:rPr>
                <w:rFonts w:ascii="Times New Roman" w:hAnsi="Times New Roman"/>
                <w:kern w:val="0"/>
                <w:sz w:val="18"/>
                <w:szCs w:val="18"/>
                <w:highlight w:val="none"/>
              </w:rPr>
              <w:t xml:space="preserve"> </w:t>
            </w:r>
          </w:p>
        </w:tc>
        <w:tc>
          <w:tcPr>
            <w:tcW w:w="247" w:type="pct"/>
            <w:noWrap w:val="0"/>
            <w:tcMar>
              <w:top w:w="0" w:type="dxa"/>
              <w:left w:w="0" w:type="dxa"/>
              <w:bottom w:w="0" w:type="dxa"/>
              <w:right w:w="0" w:type="dxa"/>
            </w:tcMar>
            <w:vAlign w:val="bottom"/>
          </w:tcPr>
          <w:p w14:paraId="2C001A78">
            <w:pPr>
              <w:spacing w:line="240" w:lineRule="auto"/>
              <w:ind w:firstLine="0" w:firstLineChars="0"/>
              <w:jc w:val="center"/>
              <w:rPr>
                <w:rFonts w:ascii="Times New Roman" w:hAnsi="Times New Roman"/>
                <w:kern w:val="0"/>
                <w:sz w:val="18"/>
                <w:szCs w:val="18"/>
                <w:highlight w:val="none"/>
              </w:rPr>
            </w:pPr>
            <w:r>
              <w:rPr>
                <w:rFonts w:hint="eastAsia" w:ascii="Times New Roman" w:hAnsi="Times New Roman"/>
                <w:kern w:val="0"/>
                <w:sz w:val="18"/>
                <w:szCs w:val="18"/>
                <w:highlight w:val="none"/>
                <w:lang w:val="en-US" w:eastAsia="zh-CN"/>
              </w:rPr>
              <w:t>0.00</w:t>
            </w:r>
            <w:r>
              <w:rPr>
                <w:rFonts w:ascii="Times New Roman" w:hAnsi="Times New Roman"/>
                <w:kern w:val="0"/>
                <w:sz w:val="18"/>
                <w:szCs w:val="18"/>
                <w:highlight w:val="none"/>
              </w:rPr>
              <w:t xml:space="preserve"> </w:t>
            </w:r>
          </w:p>
        </w:tc>
      </w:tr>
    </w:tbl>
    <w:p w14:paraId="47A41F11">
      <w:pPr>
        <w:ind w:firstLine="0" w:firstLineChars="0"/>
        <w:jc w:val="center"/>
        <w:rPr>
          <w:rFonts w:ascii="Times New Roman" w:hAnsi="Times New Roman"/>
          <w:highlight w:val="none"/>
        </w:rPr>
      </w:pPr>
      <w:r>
        <w:rPr>
          <w:highlight w:val="none"/>
        </w:rPr>
        <w:drawing>
          <wp:inline distT="0" distB="0" distL="114300" distR="114300">
            <wp:extent cx="5273675" cy="7309485"/>
            <wp:effectExtent l="0" t="0" r="3175" b="5715"/>
            <wp:docPr id="3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4"/>
                    <pic:cNvPicPr>
                      <a:picLocks noChangeAspect="1"/>
                    </pic:cNvPicPr>
                  </pic:nvPicPr>
                  <pic:blipFill>
                    <a:blip r:embed="rId40"/>
                    <a:stretch>
                      <a:fillRect/>
                    </a:stretch>
                  </pic:blipFill>
                  <pic:spPr>
                    <a:xfrm>
                      <a:off x="0" y="0"/>
                      <a:ext cx="5273675" cy="7309485"/>
                    </a:xfrm>
                    <a:prstGeom prst="rect">
                      <a:avLst/>
                    </a:prstGeom>
                    <a:noFill/>
                    <a:ln>
                      <a:noFill/>
                    </a:ln>
                  </pic:spPr>
                </pic:pic>
              </a:graphicData>
            </a:graphic>
          </wp:inline>
        </w:drawing>
      </w:r>
    </w:p>
    <w:p w14:paraId="47431C92">
      <w:pPr>
        <w:pStyle w:val="23"/>
        <w:jc w:val="center"/>
        <w:rPr>
          <w:rFonts w:hint="default"/>
          <w:highlight w:val="none"/>
          <w:u w:val="none"/>
          <w:lang w:val="en-US" w:eastAsia="zh-CN"/>
        </w:rPr>
      </w:pPr>
      <w:r>
        <w:rPr>
          <w:rFonts w:hint="eastAsia" w:ascii="黑体" w:hAnsi="黑体" w:eastAsia="黑体" w:cs="黑体"/>
          <w:highlight w:val="none"/>
          <w:u w:val="none"/>
        </w:rPr>
        <w:t>图</w:t>
      </w:r>
      <w:r>
        <w:rPr>
          <w:rFonts w:ascii="Times New Roman" w:hAnsi="Times New Roman"/>
          <w:highlight w:val="none"/>
          <w:u w:val="none"/>
        </w:rPr>
        <w:t>5.2-3</w:t>
      </w:r>
      <w:r>
        <w:rPr>
          <w:rFonts w:hint="eastAsia" w:ascii="黑体" w:hAnsi="黑体" w:eastAsia="黑体" w:cs="黑体"/>
          <w:highlight w:val="none"/>
          <w:u w:val="none"/>
        </w:rPr>
        <w:t>本项目区域风频玫瑰</w:t>
      </w:r>
    </w:p>
    <w:p w14:paraId="474597E3">
      <w:pPr>
        <w:pStyle w:val="5"/>
        <w:bidi w:val="0"/>
        <w:ind w:left="0" w:leftChars="0" w:firstLine="0" w:firstLineChars="0"/>
        <w:rPr>
          <w:rFonts w:hint="eastAsia"/>
          <w:sz w:val="30"/>
          <w:szCs w:val="30"/>
          <w:highlight w:val="none"/>
          <w:lang w:val="en-US" w:eastAsia="zh-CN"/>
        </w:rPr>
      </w:pPr>
      <w:bookmarkStart w:id="129" w:name="_Toc18180"/>
      <w:r>
        <w:rPr>
          <w:rFonts w:hint="default" w:ascii="Times New Roman" w:hAnsi="Times New Roman" w:cs="Times New Roman"/>
          <w:sz w:val="30"/>
          <w:szCs w:val="30"/>
          <w:highlight w:val="none"/>
          <w:lang w:val="en-US" w:eastAsia="zh-CN"/>
        </w:rPr>
        <w:t>5.2.2</w:t>
      </w:r>
      <w:r>
        <w:rPr>
          <w:rFonts w:hint="eastAsia"/>
          <w:sz w:val="30"/>
          <w:szCs w:val="30"/>
          <w:highlight w:val="none"/>
          <w:lang w:val="en-US" w:eastAsia="zh-CN"/>
        </w:rPr>
        <w:t>大气环境影响预测和评价</w:t>
      </w:r>
      <w:bookmarkEnd w:id="129"/>
    </w:p>
    <w:p w14:paraId="4D5252AA">
      <w:pPr>
        <w:ind w:firstLine="480"/>
        <w:rPr>
          <w:rFonts w:ascii="Times New Roman" w:hAnsi="Times New Roman"/>
          <w:highlight w:val="none"/>
        </w:rPr>
      </w:pPr>
      <w:r>
        <w:rPr>
          <w:rFonts w:ascii="Times New Roman" w:hAnsi="Times New Roman"/>
          <w:highlight w:val="none"/>
        </w:rPr>
        <w:t>一、大气环境影响预测方案</w:t>
      </w:r>
    </w:p>
    <w:p w14:paraId="000FCEEB">
      <w:pPr>
        <w:ind w:firstLine="480"/>
        <w:rPr>
          <w:rFonts w:ascii="Times New Roman" w:hAnsi="Times New Roman"/>
          <w:highlight w:val="none"/>
        </w:rPr>
      </w:pPr>
      <w:r>
        <w:rPr>
          <w:rFonts w:ascii="Times New Roman" w:hAnsi="Times New Roman"/>
          <w:highlight w:val="none"/>
        </w:rPr>
        <w:t>1、预测参数选取</w:t>
      </w:r>
    </w:p>
    <w:p w14:paraId="4A09B585">
      <w:pPr>
        <w:ind w:firstLine="480"/>
        <w:rPr>
          <w:rFonts w:ascii="Times New Roman" w:hAnsi="Times New Roman"/>
          <w:highlight w:val="none"/>
        </w:rPr>
      </w:pPr>
      <w:r>
        <w:rPr>
          <w:rFonts w:ascii="Times New Roman" w:hAnsi="Times New Roman"/>
          <w:highlight w:val="none"/>
        </w:rPr>
        <w:t>采用HJ2.2-2018推荐模式清单中的Aermod模型进行预测，Aermod模型版本号为2.2.0.23875。地形按复杂地形考虑。</w:t>
      </w:r>
    </w:p>
    <w:p w14:paraId="2FC71E95">
      <w:pPr>
        <w:ind w:firstLine="480"/>
        <w:rPr>
          <w:rFonts w:ascii="Times New Roman" w:hAnsi="Times New Roman"/>
          <w:highlight w:val="none"/>
        </w:rPr>
      </w:pPr>
      <w:r>
        <w:rPr>
          <w:rFonts w:ascii="Times New Roman" w:hAnsi="Times New Roman"/>
          <w:highlight w:val="none"/>
        </w:rPr>
        <w:t>观测气象数据及探空气象数据、环境空气质量监测站基本信息表见5.2-5。</w:t>
      </w:r>
    </w:p>
    <w:p w14:paraId="22AAA1A5">
      <w:pPr>
        <w:ind w:firstLine="0" w:firstLineChars="0"/>
        <w:jc w:val="center"/>
        <w:rPr>
          <w:rFonts w:ascii="Times New Roman" w:hAnsi="Times New Roman"/>
          <w:highlight w:val="none"/>
        </w:rPr>
      </w:pPr>
      <w:r>
        <w:rPr>
          <w:rFonts w:hint="eastAsia" w:ascii="黑体" w:hAnsi="黑体" w:eastAsia="黑体" w:cs="黑体"/>
          <w:highlight w:val="none"/>
        </w:rPr>
        <w:t>表</w:t>
      </w:r>
      <w:r>
        <w:rPr>
          <w:rFonts w:ascii="Times New Roman" w:hAnsi="Times New Roman"/>
          <w:highlight w:val="none"/>
        </w:rPr>
        <w:t>5.2-5</w:t>
      </w:r>
      <w:r>
        <w:rPr>
          <w:rFonts w:hint="eastAsia" w:ascii="黑体" w:hAnsi="黑体" w:eastAsia="黑体" w:cs="黑体"/>
          <w:highlight w:val="none"/>
        </w:rPr>
        <w:t>观测气象数据信息</w:t>
      </w:r>
    </w:p>
    <w:tbl>
      <w:tblPr>
        <w:tblStyle w:val="17"/>
        <w:tblW w:w="4997" w:type="pct"/>
        <w:jc w:val="center"/>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115"/>
        <w:gridCol w:w="910"/>
        <w:gridCol w:w="950"/>
        <w:gridCol w:w="835"/>
        <w:gridCol w:w="639"/>
        <w:gridCol w:w="784"/>
        <w:gridCol w:w="3124"/>
      </w:tblGrid>
      <w:tr w14:paraId="6E87609D">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70" w:hRule="atLeast"/>
          <w:jc w:val="center"/>
        </w:trPr>
        <w:tc>
          <w:tcPr>
            <w:tcW w:w="667" w:type="pct"/>
            <w:noWrap w:val="0"/>
            <w:vAlign w:val="center"/>
          </w:tcPr>
          <w:p w14:paraId="691B3FB0">
            <w:pPr>
              <w:pStyle w:val="40"/>
              <w:rPr>
                <w:rFonts w:ascii="Times New Roman" w:hAnsi="Times New Roman" w:cs="Times New Roman"/>
                <w:szCs w:val="30"/>
                <w:highlight w:val="none"/>
              </w:rPr>
            </w:pPr>
            <w:r>
              <w:rPr>
                <w:rFonts w:ascii="Times New Roman" w:hAnsi="Times New Roman" w:cs="Times New Roman"/>
                <w:szCs w:val="30"/>
                <w:highlight w:val="none"/>
              </w:rPr>
              <w:t>气象站</w:t>
            </w:r>
          </w:p>
          <w:p w14:paraId="4867A392">
            <w:pPr>
              <w:pStyle w:val="40"/>
              <w:rPr>
                <w:rFonts w:ascii="Times New Roman" w:hAnsi="Times New Roman" w:cs="Times New Roman"/>
                <w:szCs w:val="30"/>
                <w:highlight w:val="none"/>
              </w:rPr>
            </w:pPr>
            <w:r>
              <w:rPr>
                <w:rFonts w:ascii="Times New Roman" w:hAnsi="Times New Roman" w:cs="Times New Roman"/>
                <w:szCs w:val="30"/>
                <w:highlight w:val="none"/>
              </w:rPr>
              <w:t>名称</w:t>
            </w:r>
          </w:p>
        </w:tc>
        <w:tc>
          <w:tcPr>
            <w:tcW w:w="544" w:type="pct"/>
            <w:noWrap w:val="0"/>
            <w:vAlign w:val="center"/>
          </w:tcPr>
          <w:p w14:paraId="380F9612">
            <w:pPr>
              <w:pStyle w:val="40"/>
              <w:rPr>
                <w:rFonts w:ascii="Times New Roman" w:hAnsi="Times New Roman" w:cs="Times New Roman"/>
                <w:szCs w:val="30"/>
                <w:highlight w:val="none"/>
              </w:rPr>
            </w:pPr>
            <w:r>
              <w:rPr>
                <w:rFonts w:ascii="Times New Roman" w:hAnsi="Times New Roman" w:cs="Times New Roman"/>
                <w:szCs w:val="30"/>
                <w:highlight w:val="none"/>
              </w:rPr>
              <w:t>气象站等级</w:t>
            </w:r>
          </w:p>
        </w:tc>
        <w:tc>
          <w:tcPr>
            <w:tcW w:w="1067" w:type="pct"/>
            <w:gridSpan w:val="2"/>
            <w:noWrap w:val="0"/>
            <w:vAlign w:val="center"/>
          </w:tcPr>
          <w:p w14:paraId="70268637">
            <w:pPr>
              <w:pStyle w:val="40"/>
              <w:rPr>
                <w:rFonts w:ascii="Times New Roman" w:hAnsi="Times New Roman" w:cs="Times New Roman"/>
                <w:szCs w:val="30"/>
                <w:highlight w:val="none"/>
              </w:rPr>
            </w:pPr>
            <w:r>
              <w:rPr>
                <w:rFonts w:ascii="Times New Roman" w:hAnsi="Times New Roman" w:cs="Times New Roman"/>
                <w:szCs w:val="30"/>
                <w:highlight w:val="none"/>
              </w:rPr>
              <w:t>气象站坐标</w:t>
            </w:r>
          </w:p>
        </w:tc>
        <w:tc>
          <w:tcPr>
            <w:tcW w:w="382" w:type="pct"/>
            <w:noWrap w:val="0"/>
            <w:vAlign w:val="center"/>
          </w:tcPr>
          <w:p w14:paraId="30F5162F">
            <w:pPr>
              <w:pStyle w:val="40"/>
              <w:rPr>
                <w:rFonts w:ascii="Times New Roman" w:hAnsi="Times New Roman" w:cs="Times New Roman"/>
                <w:szCs w:val="30"/>
                <w:highlight w:val="none"/>
              </w:rPr>
            </w:pPr>
            <w:r>
              <w:rPr>
                <w:rFonts w:ascii="Times New Roman" w:hAnsi="Times New Roman" w:cs="Times New Roman"/>
                <w:szCs w:val="30"/>
                <w:highlight w:val="none"/>
              </w:rPr>
              <w:t>相对距离</w:t>
            </w:r>
          </w:p>
        </w:tc>
        <w:tc>
          <w:tcPr>
            <w:tcW w:w="469" w:type="pct"/>
            <w:noWrap w:val="0"/>
            <w:vAlign w:val="center"/>
          </w:tcPr>
          <w:p w14:paraId="51778248">
            <w:pPr>
              <w:pStyle w:val="40"/>
              <w:rPr>
                <w:rFonts w:ascii="Times New Roman" w:hAnsi="Times New Roman" w:cs="Times New Roman"/>
                <w:szCs w:val="30"/>
                <w:highlight w:val="none"/>
              </w:rPr>
            </w:pPr>
            <w:r>
              <w:rPr>
                <w:rFonts w:ascii="Times New Roman" w:hAnsi="Times New Roman" w:cs="Times New Roman"/>
                <w:szCs w:val="30"/>
                <w:highlight w:val="none"/>
              </w:rPr>
              <w:t>数据年份/年</w:t>
            </w:r>
          </w:p>
        </w:tc>
        <w:tc>
          <w:tcPr>
            <w:tcW w:w="1868" w:type="pct"/>
            <w:noWrap w:val="0"/>
            <w:vAlign w:val="center"/>
          </w:tcPr>
          <w:p w14:paraId="53B7515B">
            <w:pPr>
              <w:pStyle w:val="40"/>
              <w:rPr>
                <w:rFonts w:ascii="Times New Roman" w:hAnsi="Times New Roman" w:cs="Times New Roman"/>
                <w:szCs w:val="30"/>
                <w:highlight w:val="none"/>
              </w:rPr>
            </w:pPr>
            <w:r>
              <w:rPr>
                <w:rFonts w:ascii="Times New Roman" w:hAnsi="Times New Roman" w:cs="Times New Roman"/>
                <w:szCs w:val="30"/>
                <w:highlight w:val="none"/>
              </w:rPr>
              <w:t>气象要素</w:t>
            </w:r>
          </w:p>
        </w:tc>
      </w:tr>
      <w:tr w14:paraId="46652E71">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70" w:hRule="atLeast"/>
          <w:jc w:val="center"/>
        </w:trPr>
        <w:tc>
          <w:tcPr>
            <w:tcW w:w="667" w:type="pct"/>
            <w:noWrap w:val="0"/>
            <w:vAlign w:val="center"/>
          </w:tcPr>
          <w:p w14:paraId="3B5C1F10">
            <w:pPr>
              <w:pStyle w:val="40"/>
              <w:rPr>
                <w:rFonts w:hint="default" w:ascii="Times New Roman" w:hAnsi="Times New Roman" w:eastAsia="宋体" w:cs="Times New Roman"/>
                <w:szCs w:val="30"/>
                <w:highlight w:val="none"/>
                <w:lang w:val="en-US" w:eastAsia="zh-CN"/>
              </w:rPr>
            </w:pPr>
            <w:r>
              <w:rPr>
                <w:rFonts w:hint="eastAsia" w:ascii="Times New Roman" w:hAnsi="Times New Roman" w:cs="Times New Roman"/>
                <w:szCs w:val="30"/>
                <w:highlight w:val="none"/>
                <w:lang w:val="en-US" w:eastAsia="zh-CN"/>
              </w:rPr>
              <w:t>54096</w:t>
            </w:r>
          </w:p>
        </w:tc>
        <w:tc>
          <w:tcPr>
            <w:tcW w:w="544" w:type="pct"/>
            <w:noWrap w:val="0"/>
            <w:vAlign w:val="center"/>
          </w:tcPr>
          <w:p w14:paraId="3D00ADB9">
            <w:pPr>
              <w:pStyle w:val="40"/>
              <w:rPr>
                <w:rFonts w:ascii="Times New Roman" w:hAnsi="Times New Roman" w:cs="Times New Roman"/>
                <w:szCs w:val="30"/>
                <w:highlight w:val="none"/>
              </w:rPr>
            </w:pPr>
            <w:r>
              <w:rPr>
                <w:rFonts w:ascii="Times New Roman" w:hAnsi="Times New Roman" w:cs="Times New Roman"/>
                <w:szCs w:val="30"/>
                <w:highlight w:val="none"/>
              </w:rPr>
              <w:t>基本站</w:t>
            </w:r>
          </w:p>
        </w:tc>
        <w:tc>
          <w:tcPr>
            <w:tcW w:w="568" w:type="pct"/>
            <w:noWrap w:val="0"/>
            <w:vAlign w:val="center"/>
          </w:tcPr>
          <w:p w14:paraId="6EF397CB">
            <w:pPr>
              <w:pStyle w:val="40"/>
              <w:rPr>
                <w:rFonts w:hint="default" w:ascii="Times New Roman" w:hAnsi="Times New Roman" w:eastAsia="宋体" w:cs="Times New Roman"/>
                <w:szCs w:val="30"/>
                <w:highlight w:val="none"/>
                <w:lang w:val="en-US" w:eastAsia="zh-CN"/>
              </w:rPr>
            </w:pPr>
            <w:r>
              <w:rPr>
                <w:rFonts w:hint="eastAsia" w:ascii="Times New Roman" w:hAnsi="Times New Roman" w:cs="Times New Roman"/>
                <w:szCs w:val="30"/>
                <w:highlight w:val="none"/>
                <w:lang w:val="en-US" w:eastAsia="zh-CN"/>
              </w:rPr>
              <w:t>131.164</w:t>
            </w:r>
          </w:p>
        </w:tc>
        <w:tc>
          <w:tcPr>
            <w:tcW w:w="498" w:type="pct"/>
            <w:noWrap w:val="0"/>
            <w:vAlign w:val="center"/>
          </w:tcPr>
          <w:p w14:paraId="5714D59C">
            <w:pPr>
              <w:pStyle w:val="40"/>
              <w:rPr>
                <w:rFonts w:hint="default" w:ascii="Times New Roman" w:hAnsi="Times New Roman" w:eastAsia="宋体" w:cs="Times New Roman"/>
                <w:szCs w:val="30"/>
                <w:highlight w:val="none"/>
                <w:lang w:val="en-US" w:eastAsia="zh-CN"/>
              </w:rPr>
            </w:pPr>
            <w:r>
              <w:rPr>
                <w:rFonts w:hint="eastAsia" w:ascii="Times New Roman" w:hAnsi="Times New Roman" w:cs="Times New Roman"/>
                <w:szCs w:val="30"/>
                <w:highlight w:val="none"/>
                <w:lang w:val="en-US" w:eastAsia="zh-CN"/>
              </w:rPr>
              <w:t>44.3894</w:t>
            </w:r>
          </w:p>
        </w:tc>
        <w:tc>
          <w:tcPr>
            <w:tcW w:w="382" w:type="pct"/>
            <w:noWrap w:val="0"/>
            <w:vAlign w:val="center"/>
          </w:tcPr>
          <w:p w14:paraId="486FB54A">
            <w:pPr>
              <w:pStyle w:val="40"/>
              <w:rPr>
                <w:rFonts w:hint="default" w:ascii="Times New Roman" w:hAnsi="Times New Roman" w:eastAsia="宋体" w:cs="Times New Roman"/>
                <w:szCs w:val="30"/>
                <w:highlight w:val="none"/>
                <w:lang w:val="en-US" w:eastAsia="zh-CN"/>
              </w:rPr>
            </w:pPr>
            <w:r>
              <w:rPr>
                <w:rFonts w:hint="eastAsia" w:ascii="Times New Roman" w:hAnsi="Times New Roman" w:cs="Times New Roman"/>
                <w:szCs w:val="30"/>
                <w:highlight w:val="none"/>
                <w:lang w:val="en-US" w:eastAsia="zh-CN"/>
              </w:rPr>
              <w:t>2.2</w:t>
            </w:r>
          </w:p>
        </w:tc>
        <w:tc>
          <w:tcPr>
            <w:tcW w:w="469" w:type="pct"/>
            <w:noWrap w:val="0"/>
            <w:vAlign w:val="center"/>
          </w:tcPr>
          <w:p w14:paraId="35C01169">
            <w:pPr>
              <w:pStyle w:val="40"/>
              <w:rPr>
                <w:rFonts w:hint="eastAsia" w:ascii="Times New Roman" w:hAnsi="Times New Roman" w:eastAsia="宋体" w:cs="Times New Roman"/>
                <w:szCs w:val="30"/>
                <w:highlight w:val="none"/>
                <w:lang w:eastAsia="zh-CN"/>
              </w:rPr>
            </w:pPr>
            <w:r>
              <w:rPr>
                <w:rFonts w:ascii="Times New Roman" w:hAnsi="Times New Roman" w:cs="Times New Roman"/>
                <w:szCs w:val="30"/>
                <w:highlight w:val="none"/>
              </w:rPr>
              <w:t>202</w:t>
            </w:r>
            <w:r>
              <w:rPr>
                <w:rFonts w:hint="eastAsia" w:ascii="Times New Roman" w:hAnsi="Times New Roman" w:cs="Times New Roman"/>
                <w:szCs w:val="30"/>
                <w:highlight w:val="none"/>
                <w:lang w:val="en-US" w:eastAsia="zh-CN"/>
              </w:rPr>
              <w:t>4</w:t>
            </w:r>
          </w:p>
        </w:tc>
        <w:tc>
          <w:tcPr>
            <w:tcW w:w="1868" w:type="pct"/>
            <w:noWrap w:val="0"/>
            <w:vAlign w:val="center"/>
          </w:tcPr>
          <w:p w14:paraId="08642C83">
            <w:pPr>
              <w:pStyle w:val="40"/>
              <w:rPr>
                <w:rFonts w:ascii="Times New Roman" w:hAnsi="Times New Roman" w:cs="Times New Roman"/>
                <w:szCs w:val="30"/>
                <w:highlight w:val="none"/>
              </w:rPr>
            </w:pPr>
            <w:r>
              <w:rPr>
                <w:rFonts w:ascii="Times New Roman" w:hAnsi="Times New Roman" w:cs="Times New Roman"/>
                <w:szCs w:val="30"/>
                <w:highlight w:val="none"/>
              </w:rPr>
              <w:t>温度、风向、风速、总云量</w:t>
            </w:r>
          </w:p>
        </w:tc>
      </w:tr>
    </w:tbl>
    <w:p w14:paraId="5275F192">
      <w:pPr>
        <w:ind w:firstLine="0" w:firstLineChars="0"/>
        <w:jc w:val="center"/>
        <w:rPr>
          <w:rFonts w:ascii="Times New Roman" w:hAnsi="Times New Roman"/>
          <w:highlight w:val="none"/>
        </w:rPr>
      </w:pPr>
      <w:r>
        <w:rPr>
          <w:rFonts w:hint="eastAsia" w:ascii="黑体" w:hAnsi="黑体" w:eastAsia="黑体" w:cs="黑体"/>
          <w:highlight w:val="none"/>
        </w:rPr>
        <w:t>表</w:t>
      </w:r>
      <w:r>
        <w:rPr>
          <w:rFonts w:ascii="Times New Roman" w:hAnsi="Times New Roman"/>
          <w:highlight w:val="none"/>
        </w:rPr>
        <w:t>5.2-6</w:t>
      </w:r>
      <w:r>
        <w:rPr>
          <w:rFonts w:hint="eastAsia" w:ascii="黑体" w:hAnsi="黑体" w:eastAsia="黑体" w:cs="黑体"/>
          <w:highlight w:val="none"/>
        </w:rPr>
        <w:t>环境空气质量逐日数据信息</w:t>
      </w:r>
    </w:p>
    <w:tbl>
      <w:tblPr>
        <w:tblStyle w:val="17"/>
        <w:tblW w:w="4998" w:type="pct"/>
        <w:jc w:val="center"/>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2158"/>
        <w:gridCol w:w="1838"/>
        <w:gridCol w:w="1612"/>
        <w:gridCol w:w="1236"/>
        <w:gridCol w:w="1515"/>
      </w:tblGrid>
      <w:tr w14:paraId="58171101">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70" w:hRule="atLeast"/>
          <w:jc w:val="center"/>
        </w:trPr>
        <w:tc>
          <w:tcPr>
            <w:tcW w:w="1291" w:type="pct"/>
            <w:noWrap w:val="0"/>
            <w:vAlign w:val="center"/>
          </w:tcPr>
          <w:p w14:paraId="60BC2394">
            <w:pPr>
              <w:pStyle w:val="40"/>
              <w:rPr>
                <w:rFonts w:ascii="Times New Roman" w:hAnsi="Times New Roman" w:cs="Times New Roman"/>
                <w:szCs w:val="30"/>
                <w:highlight w:val="none"/>
              </w:rPr>
            </w:pPr>
            <w:r>
              <w:rPr>
                <w:rFonts w:ascii="Times New Roman" w:hAnsi="Times New Roman" w:cs="Times New Roman"/>
                <w:szCs w:val="30"/>
                <w:highlight w:val="none"/>
              </w:rPr>
              <w:t>监测站名称</w:t>
            </w:r>
          </w:p>
        </w:tc>
        <w:tc>
          <w:tcPr>
            <w:tcW w:w="2063" w:type="pct"/>
            <w:gridSpan w:val="2"/>
            <w:noWrap w:val="0"/>
            <w:vAlign w:val="center"/>
          </w:tcPr>
          <w:p w14:paraId="432C8BB4">
            <w:pPr>
              <w:pStyle w:val="40"/>
              <w:rPr>
                <w:rFonts w:ascii="Times New Roman" w:hAnsi="Times New Roman" w:cs="Times New Roman"/>
                <w:szCs w:val="30"/>
                <w:highlight w:val="none"/>
              </w:rPr>
            </w:pPr>
            <w:r>
              <w:rPr>
                <w:rFonts w:ascii="Times New Roman" w:hAnsi="Times New Roman" w:cs="Times New Roman"/>
                <w:szCs w:val="30"/>
                <w:highlight w:val="none"/>
              </w:rPr>
              <w:t>气象站坐标</w:t>
            </w:r>
          </w:p>
        </w:tc>
        <w:tc>
          <w:tcPr>
            <w:tcW w:w="739" w:type="pct"/>
            <w:noWrap w:val="0"/>
            <w:vAlign w:val="center"/>
          </w:tcPr>
          <w:p w14:paraId="62A80B46">
            <w:pPr>
              <w:pStyle w:val="40"/>
              <w:rPr>
                <w:rFonts w:ascii="Times New Roman" w:hAnsi="Times New Roman" w:cs="Times New Roman"/>
                <w:szCs w:val="30"/>
                <w:highlight w:val="none"/>
              </w:rPr>
            </w:pPr>
            <w:r>
              <w:rPr>
                <w:rFonts w:ascii="Times New Roman" w:hAnsi="Times New Roman" w:cs="Times New Roman"/>
                <w:szCs w:val="30"/>
                <w:highlight w:val="none"/>
              </w:rPr>
              <w:t>相对距离</w:t>
            </w:r>
          </w:p>
        </w:tc>
        <w:tc>
          <w:tcPr>
            <w:tcW w:w="906" w:type="pct"/>
            <w:noWrap w:val="0"/>
            <w:vAlign w:val="center"/>
          </w:tcPr>
          <w:p w14:paraId="71503128">
            <w:pPr>
              <w:pStyle w:val="40"/>
              <w:rPr>
                <w:rFonts w:ascii="Times New Roman" w:hAnsi="Times New Roman" w:cs="Times New Roman"/>
                <w:szCs w:val="30"/>
                <w:highlight w:val="none"/>
              </w:rPr>
            </w:pPr>
            <w:r>
              <w:rPr>
                <w:rFonts w:ascii="Times New Roman" w:hAnsi="Times New Roman" w:cs="Times New Roman"/>
                <w:szCs w:val="30"/>
                <w:highlight w:val="none"/>
              </w:rPr>
              <w:t>数据年份/年</w:t>
            </w:r>
          </w:p>
        </w:tc>
      </w:tr>
      <w:tr w14:paraId="74DDE126">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70" w:hRule="atLeast"/>
          <w:jc w:val="center"/>
        </w:trPr>
        <w:tc>
          <w:tcPr>
            <w:tcW w:w="1291" w:type="pct"/>
            <w:noWrap w:val="0"/>
            <w:vAlign w:val="center"/>
          </w:tcPr>
          <w:p w14:paraId="550B553F">
            <w:pPr>
              <w:pStyle w:val="40"/>
              <w:rPr>
                <w:rFonts w:ascii="Times New Roman" w:hAnsi="Times New Roman" w:cs="Times New Roman"/>
                <w:szCs w:val="30"/>
                <w:highlight w:val="none"/>
              </w:rPr>
            </w:pPr>
            <w:r>
              <w:rPr>
                <w:rFonts w:hint="eastAsia" w:ascii="Times New Roman" w:hAnsi="Times New Roman" w:cs="Times New Roman"/>
                <w:szCs w:val="30"/>
                <w:highlight w:val="none"/>
                <w:lang w:val="en-US" w:eastAsia="zh-CN"/>
              </w:rPr>
              <w:t>环保局2240</w:t>
            </w:r>
            <w:r>
              <w:rPr>
                <w:rFonts w:ascii="Times New Roman" w:hAnsi="Times New Roman" w:cs="Times New Roman"/>
                <w:szCs w:val="30"/>
                <w:highlight w:val="none"/>
              </w:rPr>
              <w:t>A</w:t>
            </w:r>
          </w:p>
        </w:tc>
        <w:tc>
          <w:tcPr>
            <w:tcW w:w="1099" w:type="pct"/>
            <w:noWrap w:val="0"/>
            <w:vAlign w:val="center"/>
          </w:tcPr>
          <w:p w14:paraId="478AE70E">
            <w:pPr>
              <w:pStyle w:val="40"/>
              <w:rPr>
                <w:rFonts w:hint="default" w:ascii="Times New Roman" w:hAnsi="Times New Roman" w:eastAsia="宋体" w:cs="Times New Roman"/>
                <w:szCs w:val="30"/>
                <w:highlight w:val="none"/>
                <w:lang w:val="en-US" w:eastAsia="zh-CN"/>
              </w:rPr>
            </w:pPr>
            <w:r>
              <w:rPr>
                <w:rFonts w:hint="eastAsia" w:ascii="Times New Roman" w:hAnsi="Times New Roman" w:cs="Times New Roman"/>
                <w:szCs w:val="30"/>
                <w:highlight w:val="none"/>
                <w:lang w:val="en-US" w:eastAsia="zh-CN"/>
              </w:rPr>
              <w:t>130.962</w:t>
            </w:r>
          </w:p>
        </w:tc>
        <w:tc>
          <w:tcPr>
            <w:tcW w:w="963" w:type="pct"/>
            <w:noWrap w:val="0"/>
            <w:vAlign w:val="center"/>
          </w:tcPr>
          <w:p w14:paraId="5381A5AC">
            <w:pPr>
              <w:pStyle w:val="40"/>
              <w:rPr>
                <w:rFonts w:hint="default" w:ascii="Times New Roman" w:hAnsi="Times New Roman" w:eastAsia="宋体" w:cs="Times New Roman"/>
                <w:szCs w:val="30"/>
                <w:highlight w:val="none"/>
                <w:lang w:val="en-US" w:eastAsia="zh-CN"/>
              </w:rPr>
            </w:pPr>
            <w:r>
              <w:rPr>
                <w:rFonts w:hint="eastAsia" w:ascii="Times New Roman" w:hAnsi="Times New Roman" w:cs="Times New Roman"/>
                <w:szCs w:val="30"/>
                <w:highlight w:val="none"/>
                <w:lang w:val="en-US" w:eastAsia="zh-CN"/>
              </w:rPr>
              <w:t>45.2924</w:t>
            </w:r>
          </w:p>
        </w:tc>
        <w:tc>
          <w:tcPr>
            <w:tcW w:w="739" w:type="pct"/>
            <w:noWrap w:val="0"/>
            <w:vAlign w:val="center"/>
          </w:tcPr>
          <w:p w14:paraId="6486DBF0">
            <w:pPr>
              <w:pStyle w:val="40"/>
              <w:rPr>
                <w:rFonts w:ascii="Times New Roman" w:hAnsi="Times New Roman" w:cs="Times New Roman"/>
                <w:szCs w:val="30"/>
                <w:highlight w:val="none"/>
              </w:rPr>
            </w:pPr>
            <w:r>
              <w:rPr>
                <w:rFonts w:hint="eastAsia" w:ascii="Times New Roman" w:hAnsi="Times New Roman" w:cs="Times New Roman"/>
                <w:szCs w:val="30"/>
                <w:highlight w:val="none"/>
                <w:lang w:val="en-US" w:eastAsia="zh-CN"/>
              </w:rPr>
              <w:t>99.3</w:t>
            </w:r>
            <w:r>
              <w:rPr>
                <w:rFonts w:ascii="Times New Roman" w:hAnsi="Times New Roman" w:cs="Times New Roman"/>
                <w:szCs w:val="30"/>
                <w:highlight w:val="none"/>
              </w:rPr>
              <w:t>km</w:t>
            </w:r>
          </w:p>
        </w:tc>
        <w:tc>
          <w:tcPr>
            <w:tcW w:w="906" w:type="pct"/>
            <w:noWrap w:val="0"/>
            <w:vAlign w:val="center"/>
          </w:tcPr>
          <w:p w14:paraId="61456DD5">
            <w:pPr>
              <w:pStyle w:val="40"/>
              <w:rPr>
                <w:rFonts w:hint="eastAsia" w:ascii="Times New Roman" w:hAnsi="Times New Roman" w:eastAsia="宋体" w:cs="Times New Roman"/>
                <w:szCs w:val="30"/>
                <w:highlight w:val="none"/>
                <w:lang w:eastAsia="zh-CN"/>
              </w:rPr>
            </w:pPr>
            <w:r>
              <w:rPr>
                <w:rFonts w:ascii="Times New Roman" w:hAnsi="Times New Roman" w:cs="Times New Roman"/>
                <w:szCs w:val="30"/>
                <w:highlight w:val="none"/>
              </w:rPr>
              <w:t>202</w:t>
            </w:r>
            <w:r>
              <w:rPr>
                <w:rFonts w:hint="eastAsia" w:ascii="Times New Roman" w:hAnsi="Times New Roman" w:cs="Times New Roman"/>
                <w:szCs w:val="30"/>
                <w:highlight w:val="none"/>
                <w:lang w:val="en-US" w:eastAsia="zh-CN"/>
              </w:rPr>
              <w:t>4</w:t>
            </w:r>
          </w:p>
        </w:tc>
      </w:tr>
    </w:tbl>
    <w:p w14:paraId="2BFD097A">
      <w:pPr>
        <w:ind w:firstLine="480"/>
        <w:rPr>
          <w:rFonts w:ascii="Times New Roman" w:hAnsi="Times New Roman"/>
          <w:highlight w:val="none"/>
        </w:rPr>
      </w:pPr>
      <w:r>
        <w:rPr>
          <w:rFonts w:ascii="Times New Roman" w:hAnsi="Times New Roman"/>
          <w:highlight w:val="none"/>
        </w:rPr>
        <w:t>2、地形数据</w:t>
      </w:r>
    </w:p>
    <w:p w14:paraId="16A6F029">
      <w:pPr>
        <w:ind w:firstLine="480"/>
        <w:rPr>
          <w:rFonts w:ascii="Times New Roman" w:hAnsi="Times New Roman"/>
          <w:highlight w:val="none"/>
        </w:rPr>
      </w:pPr>
      <w:r>
        <w:rPr>
          <w:rFonts w:ascii="Times New Roman" w:hAnsi="Times New Roman"/>
          <w:highlight w:val="none"/>
        </w:rPr>
        <w:t>地形数据由北京尚云环境有限公司提供的软件配套数据库提供。项目地形数据下载地址：</w:t>
      </w:r>
    </w:p>
    <w:p w14:paraId="2969EC18">
      <w:pPr>
        <w:ind w:firstLine="480"/>
        <w:rPr>
          <w:rFonts w:ascii="Times New Roman" w:hAnsi="Times New Roman"/>
          <w:highlight w:val="none"/>
        </w:rPr>
      </w:pPr>
      <w:r>
        <w:rPr>
          <w:rFonts w:ascii="Times New Roman" w:hAnsi="Times New Roman"/>
          <w:highlight w:val="none"/>
        </w:rPr>
        <w:t>http://srtm.csi.cgiar.org/SRT-ZIP/SRTM_v41/SRTM_Data_ArcASCII/srtm_62_03.zip，每个文件是1°×1°格点内的数据。地理数据中的土地利用类型取自“U.S.Geological Surveys EROSData CenterEROS的全球30”的数据库的亚洲部分。模拟区域地形较为复杂，地形特征见图5.2-4。</w:t>
      </w:r>
    </w:p>
    <w:p w14:paraId="45BFDFAA">
      <w:pPr>
        <w:ind w:firstLine="0" w:firstLineChars="0"/>
        <w:jc w:val="center"/>
        <w:rPr>
          <w:rFonts w:ascii="Times New Roman" w:hAnsi="Times New Roman"/>
          <w:highlight w:val="none"/>
        </w:rPr>
      </w:pPr>
      <w:r>
        <w:rPr>
          <w:highlight w:val="none"/>
        </w:rPr>
        <mc:AlternateContent>
          <mc:Choice Requires="wps">
            <w:drawing>
              <wp:anchor distT="0" distB="0" distL="114300" distR="114300" simplePos="0" relativeHeight="251685888" behindDoc="0" locked="0" layoutInCell="1" allowOverlap="1">
                <wp:simplePos x="0" y="0"/>
                <wp:positionH relativeFrom="column">
                  <wp:posOffset>2216785</wp:posOffset>
                </wp:positionH>
                <wp:positionV relativeFrom="paragraph">
                  <wp:posOffset>1275080</wp:posOffset>
                </wp:positionV>
                <wp:extent cx="959485" cy="1772285"/>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959485" cy="1772285"/>
                        </a:xfrm>
                        <a:prstGeom prst="rect">
                          <a:avLst/>
                        </a:prstGeom>
                        <a:noFill/>
                        <a:ln>
                          <a:noFill/>
                        </a:ln>
                      </wps:spPr>
                      <wps:txbx>
                        <w:txbxContent>
                          <w:p w14:paraId="763D3BC4">
                            <w:pPr>
                              <w:ind w:firstLine="0" w:firstLineChars="0"/>
                            </w:pPr>
                            <w:r>
                              <w:rPr>
                                <w:rFonts w:hint="eastAsia"/>
                              </w:rPr>
                              <w:t>项目位置</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_x0000_s1026" o:spid="_x0000_s1026" o:spt="202" type="#_x0000_t202" style="position:absolute;left:0pt;margin-left:174.55pt;margin-top:100.4pt;height:139.55pt;width:75.55pt;z-index:251685888;mso-width-relative:page;mso-height-relative:margin;mso-height-percent:200;" filled="f" stroked="f" coordsize="21600,21600" o:gfxdata="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K3OOvzYAAAACwEAAA8AAAAAAAAAAQAgAAAAIgAAAGRycy9kb3ducmV2LnhtbFBLAQIU&#10;ABQAAAAIAIdO4kCodRYHugEAAGoDAAAOAAAAAAAAAAEAIAAAACcBAABkcnMvZTJvRG9jLnhtbFBL&#10;BQYAAAAABgAGAFkBAABTBQAAAAA=&#10;">
                <v:fill on="f" focussize="0,0"/>
                <v:stroke on="f"/>
                <v:imagedata o:title=""/>
                <o:lock v:ext="edit" aspectratio="f"/>
                <v:textbox style="mso-fit-shape-to-text:t;">
                  <w:txbxContent>
                    <w:p w14:paraId="763D3BC4">
                      <w:pPr>
                        <w:ind w:firstLine="0" w:firstLineChars="0"/>
                      </w:pPr>
                      <w:r>
                        <w:rPr>
                          <w:rFonts w:hint="eastAsia"/>
                        </w:rPr>
                        <w:t>项目位置</w:t>
                      </w:r>
                    </w:p>
                  </w:txbxContent>
                </v:textbox>
              </v:shape>
            </w:pict>
          </mc:Fallback>
        </mc:AlternateContent>
      </w:r>
      <w:r>
        <w:rPr>
          <w:rFonts w:ascii="Times New Roman" w:hAnsi="Times New Roman"/>
          <w:highlight w:val="none"/>
        </w:rPr>
        <mc:AlternateContent>
          <mc:Choice Requires="wps">
            <w:drawing>
              <wp:anchor distT="0" distB="0" distL="114300" distR="114300" simplePos="0" relativeHeight="251684864" behindDoc="0" locked="0" layoutInCell="1" allowOverlap="1">
                <wp:simplePos x="0" y="0"/>
                <wp:positionH relativeFrom="column">
                  <wp:posOffset>2223770</wp:posOffset>
                </wp:positionH>
                <wp:positionV relativeFrom="paragraph">
                  <wp:posOffset>1437005</wp:posOffset>
                </wp:positionV>
                <wp:extent cx="114300" cy="142875"/>
                <wp:effectExtent l="4445" t="5080" r="14605" b="23495"/>
                <wp:wrapNone/>
                <wp:docPr id="70" name="五角星 70"/>
                <wp:cNvGraphicFramePr/>
                <a:graphic xmlns:a="http://schemas.openxmlformats.org/drawingml/2006/main">
                  <a:graphicData uri="http://schemas.microsoft.com/office/word/2010/wordprocessingShape">
                    <wps:wsp>
                      <wps:cNvSpPr/>
                      <wps:spPr>
                        <a:xfrm>
                          <a:off x="0" y="0"/>
                          <a:ext cx="114300" cy="142875"/>
                        </a:xfrm>
                        <a:prstGeom prst="star5">
                          <a:avLst>
                            <a:gd name="adj" fmla="val 50000"/>
                            <a:gd name="hf" fmla="val 105146"/>
                            <a:gd name="vf" fmla="val 110557"/>
                          </a:avLst>
                        </a:prstGeom>
                        <a:solidFill>
                          <a:srgbClr val="FFFF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175.1pt;margin-top:113.15pt;height:11.25pt;width:9pt;z-index:251684864;mso-width-relative:page;mso-height-relative:page;" fillcolor="#FFFF00" filled="t" stroked="t" coordsize="114300,142875" o:gfxdata="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sCSOWdgAAAALAQAADwAAAAAAAAABACAAAAAiAAAAZHJzL2Rvd25yZXYueG1sUEsB&#10;AhQAFAAAAAgAh07iQLXDROguAgAAlQQAAA4AAAAAAAAAAQAgAAAAJwEAAGRycy9lMm9Eb2MueG1s&#10;UEsFBgAAAAAGAAYAWQEAAMcFAAAAAA==&#10;" path="m0,54573l21829,15083,57150,0,92470,15083,114299,54573,114299,103385,92470,142874,57150,157958,21829,142874,0,103385xe">
                <v:path o:connectlocs="57150,0;0,54573;21829,142874;92470,142874;114299,54573" o:connectangles="247,164,82,82,0"/>
                <v:fill on="t" focussize="0,0"/>
                <v:stroke color="#FF0000" joinstyle="miter"/>
                <v:imagedata o:title=""/>
                <o:lock v:ext="edit" aspectratio="f"/>
              </v:shape>
            </w:pict>
          </mc:Fallback>
        </mc:AlternateContent>
      </w:r>
      <w:r>
        <w:rPr>
          <w:highlight w:val="none"/>
        </w:rPr>
        <w:drawing>
          <wp:inline distT="0" distB="0" distL="114300" distR="114300">
            <wp:extent cx="5267325" cy="3161030"/>
            <wp:effectExtent l="0" t="0" r="9525" b="1270"/>
            <wp:docPr id="5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5"/>
                    <pic:cNvPicPr>
                      <a:picLocks noChangeAspect="1"/>
                    </pic:cNvPicPr>
                  </pic:nvPicPr>
                  <pic:blipFill>
                    <a:blip r:embed="rId10"/>
                    <a:stretch>
                      <a:fillRect/>
                    </a:stretch>
                  </pic:blipFill>
                  <pic:spPr>
                    <a:xfrm>
                      <a:off x="0" y="0"/>
                      <a:ext cx="5267325" cy="3161030"/>
                    </a:xfrm>
                    <a:prstGeom prst="rect">
                      <a:avLst/>
                    </a:prstGeom>
                    <a:noFill/>
                    <a:ln>
                      <a:noFill/>
                    </a:ln>
                  </pic:spPr>
                </pic:pic>
              </a:graphicData>
            </a:graphic>
          </wp:inline>
        </w:drawing>
      </w:r>
    </w:p>
    <w:p w14:paraId="66B7F388">
      <w:pPr>
        <w:ind w:firstLine="0" w:firstLineChars="0"/>
        <w:jc w:val="center"/>
        <w:rPr>
          <w:rFonts w:ascii="Times New Roman" w:hAnsi="Times New Roman"/>
          <w:highlight w:val="none"/>
        </w:rPr>
      </w:pPr>
      <w:r>
        <w:rPr>
          <w:rFonts w:hint="eastAsia" w:ascii="黑体" w:hAnsi="黑体" w:eastAsia="黑体" w:cs="黑体"/>
          <w:highlight w:val="none"/>
        </w:rPr>
        <w:t>图</w:t>
      </w:r>
      <w:r>
        <w:rPr>
          <w:rFonts w:ascii="Times New Roman" w:hAnsi="Times New Roman"/>
          <w:highlight w:val="none"/>
        </w:rPr>
        <w:t xml:space="preserve">5.2-4 </w:t>
      </w:r>
      <w:r>
        <w:rPr>
          <w:rFonts w:hint="eastAsia" w:ascii="黑体" w:hAnsi="黑体" w:eastAsia="黑体" w:cs="黑体"/>
          <w:highlight w:val="none"/>
        </w:rPr>
        <w:t>地面地形高程图</w:t>
      </w:r>
    </w:p>
    <w:p w14:paraId="07BB1D35">
      <w:pPr>
        <w:ind w:firstLine="480"/>
        <w:rPr>
          <w:rFonts w:ascii="Times New Roman" w:hAnsi="Times New Roman"/>
          <w:highlight w:val="none"/>
        </w:rPr>
      </w:pPr>
    </w:p>
    <w:p w14:paraId="19C2441D">
      <w:pPr>
        <w:ind w:firstLine="480"/>
        <w:rPr>
          <w:rFonts w:ascii="Times New Roman" w:hAnsi="Times New Roman"/>
          <w:highlight w:val="none"/>
        </w:rPr>
      </w:pPr>
      <w:r>
        <w:rPr>
          <w:rFonts w:ascii="Times New Roman" w:hAnsi="Times New Roman"/>
          <w:highlight w:val="none"/>
        </w:rPr>
        <w:t>3、AERMOD参数设置</w:t>
      </w:r>
    </w:p>
    <w:p w14:paraId="438F493A">
      <w:pPr>
        <w:ind w:firstLine="480"/>
        <w:rPr>
          <w:rFonts w:ascii="Times New Roman" w:hAnsi="Times New Roman"/>
          <w:highlight w:val="none"/>
        </w:rPr>
      </w:pPr>
      <w:r>
        <w:rPr>
          <w:rFonts w:ascii="Times New Roman" w:hAnsi="Times New Roman"/>
          <w:highlight w:val="none"/>
        </w:rPr>
        <w:t>根据《环境影响评价技术导则 大气环境》（HJ2.2-2018）附录B推荐模型参数及说明中B.5地表参数要求，AERMOD地表参数一般根据项目周边</w:t>
      </w:r>
      <w:r>
        <w:rPr>
          <w:rFonts w:hint="eastAsia" w:ascii="Times New Roman" w:hAnsi="Times New Roman"/>
          <w:highlight w:val="none"/>
        </w:rPr>
        <w:t>10</w:t>
      </w:r>
      <w:r>
        <w:rPr>
          <w:rFonts w:ascii="Times New Roman" w:hAnsi="Times New Roman"/>
          <w:highlight w:val="none"/>
        </w:rPr>
        <w:t>km范围内的土地利用类型进行合理划分。</w:t>
      </w:r>
    </w:p>
    <w:p w14:paraId="4F423C4B">
      <w:pPr>
        <w:ind w:firstLine="0" w:firstLineChars="0"/>
        <w:jc w:val="center"/>
        <w:rPr>
          <w:rFonts w:ascii="Times New Roman" w:hAnsi="Times New Roman"/>
          <w:highlight w:val="none"/>
        </w:rPr>
      </w:pPr>
      <w:r>
        <w:rPr>
          <w:rFonts w:hint="eastAsia" w:ascii="黑体" w:hAnsi="黑体" w:eastAsia="黑体" w:cs="黑体"/>
          <w:highlight w:val="none"/>
        </w:rPr>
        <w:t>表</w:t>
      </w:r>
      <w:r>
        <w:rPr>
          <w:rFonts w:ascii="Times New Roman" w:hAnsi="Times New Roman"/>
          <w:highlight w:val="none"/>
        </w:rPr>
        <w:t>5.2-7</w:t>
      </w:r>
      <w:r>
        <w:rPr>
          <w:rFonts w:hint="eastAsia" w:ascii="黑体" w:hAnsi="黑体" w:eastAsia="黑体" w:cs="黑体"/>
          <w:highlight w:val="none"/>
        </w:rPr>
        <w:t>地表参数一览表</w:t>
      </w:r>
    </w:p>
    <w:tbl>
      <w:tblPr>
        <w:tblStyle w:val="17"/>
        <w:tblW w:w="5000" w:type="pct"/>
        <w:tblInd w:w="0" w:type="dxa"/>
        <w:tblLayout w:type="autofit"/>
        <w:tblCellMar>
          <w:top w:w="0" w:type="dxa"/>
          <w:left w:w="0" w:type="dxa"/>
          <w:bottom w:w="0" w:type="dxa"/>
          <w:right w:w="0" w:type="dxa"/>
        </w:tblCellMar>
      </w:tblPr>
      <w:tblGrid>
        <w:gridCol w:w="1207"/>
        <w:gridCol w:w="1207"/>
        <w:gridCol w:w="2299"/>
        <w:gridCol w:w="1207"/>
        <w:gridCol w:w="1207"/>
        <w:gridCol w:w="1209"/>
      </w:tblGrid>
      <w:tr w14:paraId="7FAE57D4">
        <w:tblPrEx>
          <w:tblCellMar>
            <w:top w:w="0" w:type="dxa"/>
            <w:left w:w="0" w:type="dxa"/>
            <w:bottom w:w="0" w:type="dxa"/>
            <w:right w:w="0" w:type="dxa"/>
          </w:tblCellMar>
        </w:tblPrEx>
        <w:trPr>
          <w:trHeight w:val="315" w:hRule="atLeast"/>
        </w:trPr>
        <w:tc>
          <w:tcPr>
            <w:tcW w:w="724" w:type="pct"/>
            <w:tcBorders>
              <w:top w:val="single" w:color="000000" w:sz="12" w:space="0"/>
              <w:left w:val="nil"/>
              <w:bottom w:val="single" w:color="000000" w:sz="4" w:space="0"/>
              <w:right w:val="single" w:color="000000" w:sz="4" w:space="0"/>
            </w:tcBorders>
            <w:noWrap/>
            <w:tcMar>
              <w:top w:w="15" w:type="dxa"/>
              <w:left w:w="15" w:type="dxa"/>
              <w:right w:w="15" w:type="dxa"/>
            </w:tcMar>
            <w:vAlign w:val="center"/>
          </w:tcPr>
          <w:p w14:paraId="4E9F7AB8">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序号</w:t>
            </w:r>
          </w:p>
        </w:tc>
        <w:tc>
          <w:tcPr>
            <w:tcW w:w="724" w:type="pct"/>
            <w:tcBorders>
              <w:top w:val="single" w:color="000000" w:sz="12" w:space="0"/>
              <w:left w:val="single" w:color="000000" w:sz="4" w:space="0"/>
              <w:bottom w:val="single" w:color="000000" w:sz="4" w:space="0"/>
              <w:right w:val="single" w:color="000000" w:sz="4" w:space="0"/>
            </w:tcBorders>
            <w:noWrap/>
            <w:tcMar>
              <w:top w:w="15" w:type="dxa"/>
              <w:left w:w="15" w:type="dxa"/>
              <w:right w:w="15" w:type="dxa"/>
            </w:tcMar>
            <w:vAlign w:val="center"/>
          </w:tcPr>
          <w:p w14:paraId="79B5641A">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扇区</w:t>
            </w:r>
          </w:p>
        </w:tc>
        <w:tc>
          <w:tcPr>
            <w:tcW w:w="1379" w:type="pct"/>
            <w:tcBorders>
              <w:top w:val="single" w:color="000000" w:sz="12" w:space="0"/>
              <w:left w:val="single" w:color="000000" w:sz="4" w:space="0"/>
              <w:bottom w:val="single" w:color="000000" w:sz="4" w:space="0"/>
              <w:right w:val="single" w:color="000000" w:sz="4" w:space="0"/>
            </w:tcBorders>
            <w:noWrap/>
            <w:tcMar>
              <w:top w:w="15" w:type="dxa"/>
              <w:left w:w="15" w:type="dxa"/>
              <w:right w:w="15" w:type="dxa"/>
            </w:tcMar>
            <w:vAlign w:val="center"/>
          </w:tcPr>
          <w:p w14:paraId="19680146">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时段</w:t>
            </w:r>
          </w:p>
        </w:tc>
        <w:tc>
          <w:tcPr>
            <w:tcW w:w="724" w:type="pct"/>
            <w:tcBorders>
              <w:top w:val="single" w:color="000000" w:sz="12" w:space="0"/>
              <w:left w:val="single" w:color="000000" w:sz="4" w:space="0"/>
              <w:bottom w:val="single" w:color="000000" w:sz="4" w:space="0"/>
              <w:right w:val="single" w:color="000000" w:sz="4" w:space="0"/>
            </w:tcBorders>
            <w:noWrap/>
            <w:tcMar>
              <w:top w:w="15" w:type="dxa"/>
              <w:left w:w="15" w:type="dxa"/>
              <w:right w:w="15" w:type="dxa"/>
            </w:tcMar>
            <w:vAlign w:val="center"/>
          </w:tcPr>
          <w:p w14:paraId="3921EFB2">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正午反照率</w:t>
            </w:r>
          </w:p>
        </w:tc>
        <w:tc>
          <w:tcPr>
            <w:tcW w:w="724" w:type="pct"/>
            <w:tcBorders>
              <w:top w:val="single" w:color="000000" w:sz="12" w:space="0"/>
              <w:left w:val="single" w:color="000000" w:sz="4" w:space="0"/>
              <w:bottom w:val="single" w:color="000000" w:sz="4" w:space="0"/>
              <w:right w:val="single" w:color="000000" w:sz="4" w:space="0"/>
            </w:tcBorders>
            <w:noWrap/>
            <w:tcMar>
              <w:top w:w="15" w:type="dxa"/>
              <w:left w:w="15" w:type="dxa"/>
              <w:right w:w="15" w:type="dxa"/>
            </w:tcMar>
            <w:vAlign w:val="center"/>
          </w:tcPr>
          <w:p w14:paraId="24042C3F">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BOWEN</w:t>
            </w:r>
          </w:p>
        </w:tc>
        <w:tc>
          <w:tcPr>
            <w:tcW w:w="725" w:type="pct"/>
            <w:tcBorders>
              <w:top w:val="single" w:color="000000" w:sz="12" w:space="0"/>
              <w:left w:val="single" w:color="000000" w:sz="4" w:space="0"/>
              <w:bottom w:val="single" w:color="000000" w:sz="4" w:space="0"/>
              <w:right w:val="nil"/>
            </w:tcBorders>
            <w:noWrap/>
            <w:tcMar>
              <w:top w:w="15" w:type="dxa"/>
              <w:left w:w="15" w:type="dxa"/>
              <w:right w:w="15" w:type="dxa"/>
            </w:tcMar>
            <w:vAlign w:val="center"/>
          </w:tcPr>
          <w:p w14:paraId="6DF3C36E">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粗糙度</w:t>
            </w:r>
          </w:p>
        </w:tc>
      </w:tr>
      <w:tr w14:paraId="51E0B9C6">
        <w:tblPrEx>
          <w:tblCellMar>
            <w:top w:w="0" w:type="dxa"/>
            <w:left w:w="0" w:type="dxa"/>
            <w:bottom w:w="0" w:type="dxa"/>
            <w:right w:w="0" w:type="dxa"/>
          </w:tblCellMar>
        </w:tblPrEx>
        <w:trPr>
          <w:trHeight w:val="315" w:hRule="atLeast"/>
        </w:trPr>
        <w:tc>
          <w:tcPr>
            <w:tcW w:w="724" w:type="pct"/>
            <w:vMerge w:val="restart"/>
            <w:tcBorders>
              <w:top w:val="single" w:color="000000" w:sz="4" w:space="0"/>
              <w:left w:val="nil"/>
              <w:right w:val="single" w:color="000000" w:sz="4" w:space="0"/>
            </w:tcBorders>
            <w:noWrap/>
            <w:tcMar>
              <w:top w:w="15" w:type="dxa"/>
              <w:left w:w="15" w:type="dxa"/>
              <w:right w:w="15" w:type="dxa"/>
            </w:tcMar>
            <w:vAlign w:val="center"/>
          </w:tcPr>
          <w:p w14:paraId="0E8D2218">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rPr>
              <w:t>城市</w:t>
            </w:r>
          </w:p>
        </w:tc>
        <w:tc>
          <w:tcPr>
            <w:tcW w:w="724" w:type="pct"/>
            <w:vMerge w:val="restart"/>
            <w:tcBorders>
              <w:top w:val="single" w:color="000000" w:sz="4" w:space="0"/>
              <w:left w:val="single" w:color="000000" w:sz="4" w:space="0"/>
              <w:right w:val="single" w:color="000000" w:sz="4" w:space="0"/>
            </w:tcBorders>
            <w:noWrap/>
            <w:tcMar>
              <w:top w:w="15" w:type="dxa"/>
              <w:left w:w="15" w:type="dxa"/>
              <w:right w:w="15" w:type="dxa"/>
            </w:tcMar>
            <w:vAlign w:val="center"/>
          </w:tcPr>
          <w:p w14:paraId="73CA1490">
            <w:pPr>
              <w:widowControl/>
              <w:spacing w:line="240" w:lineRule="auto"/>
              <w:ind w:firstLine="0" w:firstLineChars="0"/>
              <w:jc w:val="center"/>
              <w:textAlignment w:val="center"/>
              <w:rPr>
                <w:rFonts w:ascii="Times New Roman" w:hAnsi="Times New Roman"/>
                <w:kern w:val="0"/>
                <w:sz w:val="21"/>
                <w:highlight w:val="none"/>
              </w:rPr>
            </w:pPr>
            <w:r>
              <w:rPr>
                <w:rFonts w:hint="eastAsia" w:ascii="Times New Roman" w:hAnsi="Times New Roman"/>
                <w:kern w:val="0"/>
                <w:sz w:val="21"/>
                <w:highlight w:val="none"/>
                <w:lang w:bidi="ar"/>
              </w:rPr>
              <w:t>0</w:t>
            </w:r>
            <w:r>
              <w:rPr>
                <w:rFonts w:ascii="Times New Roman" w:hAnsi="Times New Roman"/>
                <w:kern w:val="0"/>
                <w:sz w:val="21"/>
                <w:highlight w:val="none"/>
                <w:lang w:bidi="ar"/>
              </w:rPr>
              <w:t>-360</w:t>
            </w:r>
          </w:p>
        </w:tc>
        <w:tc>
          <w:tcPr>
            <w:tcW w:w="137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BE44BC7">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冬季(12,1,2月)</w:t>
            </w:r>
          </w:p>
        </w:tc>
        <w:tc>
          <w:tcPr>
            <w:tcW w:w="72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BD35AF5">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0.35</w:t>
            </w:r>
          </w:p>
        </w:tc>
        <w:tc>
          <w:tcPr>
            <w:tcW w:w="72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1B1512D">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1.5</w:t>
            </w:r>
          </w:p>
        </w:tc>
        <w:tc>
          <w:tcPr>
            <w:tcW w:w="725" w:type="pct"/>
            <w:tcBorders>
              <w:top w:val="single" w:color="000000" w:sz="4" w:space="0"/>
              <w:left w:val="single" w:color="000000" w:sz="4" w:space="0"/>
              <w:bottom w:val="single" w:color="000000" w:sz="4" w:space="0"/>
              <w:right w:val="nil"/>
            </w:tcBorders>
            <w:noWrap/>
            <w:tcMar>
              <w:top w:w="15" w:type="dxa"/>
              <w:left w:w="15" w:type="dxa"/>
              <w:right w:w="15" w:type="dxa"/>
            </w:tcMar>
            <w:vAlign w:val="center"/>
          </w:tcPr>
          <w:p w14:paraId="1C7571E4">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1</w:t>
            </w:r>
          </w:p>
        </w:tc>
      </w:tr>
      <w:tr w14:paraId="035C1216">
        <w:tblPrEx>
          <w:tblCellMar>
            <w:top w:w="0" w:type="dxa"/>
            <w:left w:w="0" w:type="dxa"/>
            <w:bottom w:w="0" w:type="dxa"/>
            <w:right w:w="0" w:type="dxa"/>
          </w:tblCellMar>
        </w:tblPrEx>
        <w:trPr>
          <w:trHeight w:val="315" w:hRule="atLeast"/>
        </w:trPr>
        <w:tc>
          <w:tcPr>
            <w:tcW w:w="724" w:type="pct"/>
            <w:vMerge w:val="continue"/>
            <w:tcBorders>
              <w:left w:val="nil"/>
              <w:right w:val="single" w:color="000000" w:sz="4" w:space="0"/>
            </w:tcBorders>
            <w:noWrap/>
            <w:tcMar>
              <w:top w:w="15" w:type="dxa"/>
              <w:left w:w="15" w:type="dxa"/>
              <w:right w:w="15" w:type="dxa"/>
            </w:tcMar>
            <w:vAlign w:val="center"/>
          </w:tcPr>
          <w:p w14:paraId="2582D3AB">
            <w:pPr>
              <w:widowControl/>
              <w:spacing w:line="240" w:lineRule="auto"/>
              <w:ind w:firstLine="0" w:firstLineChars="0"/>
              <w:jc w:val="center"/>
              <w:textAlignment w:val="center"/>
              <w:rPr>
                <w:rFonts w:ascii="Times New Roman" w:hAnsi="Times New Roman"/>
                <w:kern w:val="0"/>
                <w:sz w:val="21"/>
                <w:highlight w:val="none"/>
              </w:rPr>
            </w:pPr>
          </w:p>
        </w:tc>
        <w:tc>
          <w:tcPr>
            <w:tcW w:w="724" w:type="pct"/>
            <w:vMerge w:val="continue"/>
            <w:tcBorders>
              <w:left w:val="single" w:color="000000" w:sz="4" w:space="0"/>
              <w:right w:val="single" w:color="000000" w:sz="4" w:space="0"/>
            </w:tcBorders>
            <w:noWrap/>
            <w:tcMar>
              <w:top w:w="15" w:type="dxa"/>
              <w:left w:w="15" w:type="dxa"/>
              <w:right w:w="15" w:type="dxa"/>
            </w:tcMar>
            <w:vAlign w:val="center"/>
          </w:tcPr>
          <w:p w14:paraId="008C211D">
            <w:pPr>
              <w:widowControl/>
              <w:spacing w:line="240" w:lineRule="auto"/>
              <w:ind w:firstLine="0" w:firstLineChars="0"/>
              <w:jc w:val="center"/>
              <w:textAlignment w:val="center"/>
              <w:rPr>
                <w:rFonts w:ascii="Times New Roman" w:hAnsi="Times New Roman"/>
                <w:kern w:val="0"/>
                <w:sz w:val="21"/>
                <w:highlight w:val="none"/>
              </w:rPr>
            </w:pPr>
          </w:p>
        </w:tc>
        <w:tc>
          <w:tcPr>
            <w:tcW w:w="137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6FD3797">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春季(3,4,5月)</w:t>
            </w:r>
          </w:p>
        </w:tc>
        <w:tc>
          <w:tcPr>
            <w:tcW w:w="72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8150319">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0.14</w:t>
            </w:r>
          </w:p>
        </w:tc>
        <w:tc>
          <w:tcPr>
            <w:tcW w:w="72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6E8CA37">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1</w:t>
            </w:r>
          </w:p>
        </w:tc>
        <w:tc>
          <w:tcPr>
            <w:tcW w:w="725" w:type="pct"/>
            <w:tcBorders>
              <w:top w:val="single" w:color="000000" w:sz="4" w:space="0"/>
              <w:left w:val="single" w:color="000000" w:sz="4" w:space="0"/>
              <w:bottom w:val="single" w:color="000000" w:sz="4" w:space="0"/>
              <w:right w:val="nil"/>
            </w:tcBorders>
            <w:noWrap/>
            <w:tcMar>
              <w:top w:w="15" w:type="dxa"/>
              <w:left w:w="15" w:type="dxa"/>
              <w:right w:w="15" w:type="dxa"/>
            </w:tcMar>
            <w:vAlign w:val="center"/>
          </w:tcPr>
          <w:p w14:paraId="4FAD7DC8">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1</w:t>
            </w:r>
          </w:p>
        </w:tc>
      </w:tr>
      <w:tr w14:paraId="5BAEC1D7">
        <w:tblPrEx>
          <w:tblCellMar>
            <w:top w:w="0" w:type="dxa"/>
            <w:left w:w="0" w:type="dxa"/>
            <w:bottom w:w="0" w:type="dxa"/>
            <w:right w:w="0" w:type="dxa"/>
          </w:tblCellMar>
        </w:tblPrEx>
        <w:trPr>
          <w:trHeight w:val="315" w:hRule="atLeast"/>
        </w:trPr>
        <w:tc>
          <w:tcPr>
            <w:tcW w:w="724" w:type="pct"/>
            <w:vMerge w:val="continue"/>
            <w:tcBorders>
              <w:left w:val="nil"/>
              <w:right w:val="single" w:color="000000" w:sz="4" w:space="0"/>
            </w:tcBorders>
            <w:noWrap/>
            <w:tcMar>
              <w:top w:w="15" w:type="dxa"/>
              <w:left w:w="15" w:type="dxa"/>
              <w:right w:w="15" w:type="dxa"/>
            </w:tcMar>
            <w:vAlign w:val="center"/>
          </w:tcPr>
          <w:p w14:paraId="61302390">
            <w:pPr>
              <w:widowControl/>
              <w:spacing w:line="240" w:lineRule="auto"/>
              <w:ind w:firstLine="0" w:firstLineChars="0"/>
              <w:jc w:val="center"/>
              <w:textAlignment w:val="center"/>
              <w:rPr>
                <w:rFonts w:ascii="Times New Roman" w:hAnsi="Times New Roman"/>
                <w:kern w:val="0"/>
                <w:sz w:val="21"/>
                <w:highlight w:val="none"/>
              </w:rPr>
            </w:pPr>
          </w:p>
        </w:tc>
        <w:tc>
          <w:tcPr>
            <w:tcW w:w="724" w:type="pct"/>
            <w:vMerge w:val="continue"/>
            <w:tcBorders>
              <w:left w:val="single" w:color="000000" w:sz="4" w:space="0"/>
              <w:right w:val="single" w:color="000000" w:sz="4" w:space="0"/>
            </w:tcBorders>
            <w:noWrap/>
            <w:tcMar>
              <w:top w:w="15" w:type="dxa"/>
              <w:left w:w="15" w:type="dxa"/>
              <w:right w:w="15" w:type="dxa"/>
            </w:tcMar>
            <w:vAlign w:val="center"/>
          </w:tcPr>
          <w:p w14:paraId="77A00E23">
            <w:pPr>
              <w:widowControl/>
              <w:spacing w:line="240" w:lineRule="auto"/>
              <w:ind w:firstLine="0" w:firstLineChars="0"/>
              <w:jc w:val="center"/>
              <w:textAlignment w:val="center"/>
              <w:rPr>
                <w:rFonts w:ascii="Times New Roman" w:hAnsi="Times New Roman"/>
                <w:kern w:val="0"/>
                <w:sz w:val="21"/>
                <w:highlight w:val="none"/>
              </w:rPr>
            </w:pPr>
          </w:p>
        </w:tc>
        <w:tc>
          <w:tcPr>
            <w:tcW w:w="137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DA27582">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夏季(6,7,8月)</w:t>
            </w:r>
          </w:p>
        </w:tc>
        <w:tc>
          <w:tcPr>
            <w:tcW w:w="72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9296C5C">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0.16</w:t>
            </w:r>
          </w:p>
        </w:tc>
        <w:tc>
          <w:tcPr>
            <w:tcW w:w="72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9BB3CE2">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2</w:t>
            </w:r>
          </w:p>
        </w:tc>
        <w:tc>
          <w:tcPr>
            <w:tcW w:w="725" w:type="pct"/>
            <w:tcBorders>
              <w:top w:val="single" w:color="000000" w:sz="4" w:space="0"/>
              <w:left w:val="single" w:color="000000" w:sz="4" w:space="0"/>
              <w:bottom w:val="single" w:color="000000" w:sz="4" w:space="0"/>
              <w:right w:val="nil"/>
            </w:tcBorders>
            <w:noWrap/>
            <w:tcMar>
              <w:top w:w="15" w:type="dxa"/>
              <w:left w:w="15" w:type="dxa"/>
              <w:right w:w="15" w:type="dxa"/>
            </w:tcMar>
            <w:vAlign w:val="center"/>
          </w:tcPr>
          <w:p w14:paraId="5AA15925">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1</w:t>
            </w:r>
          </w:p>
        </w:tc>
      </w:tr>
      <w:tr w14:paraId="420D74F8">
        <w:tblPrEx>
          <w:tblCellMar>
            <w:top w:w="0" w:type="dxa"/>
            <w:left w:w="0" w:type="dxa"/>
            <w:bottom w:w="0" w:type="dxa"/>
            <w:right w:w="0" w:type="dxa"/>
          </w:tblCellMar>
        </w:tblPrEx>
        <w:trPr>
          <w:trHeight w:val="315" w:hRule="atLeast"/>
        </w:trPr>
        <w:tc>
          <w:tcPr>
            <w:tcW w:w="724" w:type="pct"/>
            <w:vMerge w:val="continue"/>
            <w:tcBorders>
              <w:left w:val="nil"/>
              <w:bottom w:val="single" w:color="000000" w:sz="12" w:space="0"/>
              <w:right w:val="single" w:color="000000" w:sz="4" w:space="0"/>
            </w:tcBorders>
            <w:noWrap/>
            <w:tcMar>
              <w:top w:w="15" w:type="dxa"/>
              <w:left w:w="15" w:type="dxa"/>
              <w:right w:w="15" w:type="dxa"/>
            </w:tcMar>
            <w:vAlign w:val="center"/>
          </w:tcPr>
          <w:p w14:paraId="44A74745">
            <w:pPr>
              <w:widowControl/>
              <w:spacing w:line="240" w:lineRule="auto"/>
              <w:ind w:firstLine="0" w:firstLineChars="0"/>
              <w:jc w:val="center"/>
              <w:textAlignment w:val="center"/>
              <w:rPr>
                <w:rFonts w:ascii="Times New Roman" w:hAnsi="Times New Roman"/>
                <w:kern w:val="0"/>
                <w:sz w:val="21"/>
                <w:highlight w:val="none"/>
              </w:rPr>
            </w:pPr>
          </w:p>
        </w:tc>
        <w:tc>
          <w:tcPr>
            <w:tcW w:w="724" w:type="pct"/>
            <w:vMerge w:val="continue"/>
            <w:tcBorders>
              <w:left w:val="single" w:color="000000" w:sz="4" w:space="0"/>
              <w:bottom w:val="single" w:color="000000" w:sz="12" w:space="0"/>
              <w:right w:val="single" w:color="000000" w:sz="4" w:space="0"/>
            </w:tcBorders>
            <w:noWrap/>
            <w:tcMar>
              <w:top w:w="15" w:type="dxa"/>
              <w:left w:w="15" w:type="dxa"/>
              <w:right w:w="15" w:type="dxa"/>
            </w:tcMar>
            <w:vAlign w:val="center"/>
          </w:tcPr>
          <w:p w14:paraId="7910DF6F">
            <w:pPr>
              <w:widowControl/>
              <w:spacing w:line="240" w:lineRule="auto"/>
              <w:ind w:firstLine="0" w:firstLineChars="0"/>
              <w:jc w:val="center"/>
              <w:textAlignment w:val="center"/>
              <w:rPr>
                <w:rFonts w:ascii="Times New Roman" w:hAnsi="Times New Roman"/>
                <w:kern w:val="0"/>
                <w:sz w:val="21"/>
                <w:highlight w:val="none"/>
              </w:rPr>
            </w:pPr>
          </w:p>
        </w:tc>
        <w:tc>
          <w:tcPr>
            <w:tcW w:w="1379" w:type="pct"/>
            <w:tcBorders>
              <w:top w:val="single" w:color="000000" w:sz="4" w:space="0"/>
              <w:left w:val="single" w:color="000000" w:sz="4" w:space="0"/>
              <w:bottom w:val="single" w:color="000000" w:sz="12" w:space="0"/>
              <w:right w:val="single" w:color="000000" w:sz="4" w:space="0"/>
            </w:tcBorders>
            <w:noWrap/>
            <w:tcMar>
              <w:top w:w="15" w:type="dxa"/>
              <w:left w:w="15" w:type="dxa"/>
              <w:right w:w="15" w:type="dxa"/>
            </w:tcMar>
            <w:vAlign w:val="center"/>
          </w:tcPr>
          <w:p w14:paraId="2EF5AF0C">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秋季(9,10,11月)</w:t>
            </w:r>
          </w:p>
        </w:tc>
        <w:tc>
          <w:tcPr>
            <w:tcW w:w="724" w:type="pct"/>
            <w:tcBorders>
              <w:top w:val="single" w:color="000000" w:sz="4" w:space="0"/>
              <w:left w:val="single" w:color="000000" w:sz="4" w:space="0"/>
              <w:bottom w:val="single" w:color="000000" w:sz="12" w:space="0"/>
              <w:right w:val="single" w:color="000000" w:sz="4" w:space="0"/>
            </w:tcBorders>
            <w:noWrap/>
            <w:tcMar>
              <w:top w:w="15" w:type="dxa"/>
              <w:left w:w="15" w:type="dxa"/>
              <w:right w:w="15" w:type="dxa"/>
            </w:tcMar>
            <w:vAlign w:val="center"/>
          </w:tcPr>
          <w:p w14:paraId="698FE5F4">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0.18</w:t>
            </w:r>
          </w:p>
        </w:tc>
        <w:tc>
          <w:tcPr>
            <w:tcW w:w="724" w:type="pct"/>
            <w:tcBorders>
              <w:top w:val="single" w:color="000000" w:sz="4" w:space="0"/>
              <w:left w:val="single" w:color="000000" w:sz="4" w:space="0"/>
              <w:bottom w:val="single" w:color="000000" w:sz="12" w:space="0"/>
              <w:right w:val="single" w:color="000000" w:sz="4" w:space="0"/>
            </w:tcBorders>
            <w:noWrap/>
            <w:tcMar>
              <w:top w:w="15" w:type="dxa"/>
              <w:left w:w="15" w:type="dxa"/>
              <w:right w:w="15" w:type="dxa"/>
            </w:tcMar>
            <w:vAlign w:val="center"/>
          </w:tcPr>
          <w:p w14:paraId="2C269457">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2</w:t>
            </w:r>
          </w:p>
        </w:tc>
        <w:tc>
          <w:tcPr>
            <w:tcW w:w="725" w:type="pct"/>
            <w:tcBorders>
              <w:top w:val="single" w:color="000000" w:sz="4" w:space="0"/>
              <w:left w:val="single" w:color="000000" w:sz="4" w:space="0"/>
              <w:bottom w:val="single" w:color="000000" w:sz="12" w:space="0"/>
              <w:right w:val="nil"/>
            </w:tcBorders>
            <w:noWrap/>
            <w:tcMar>
              <w:top w:w="15" w:type="dxa"/>
              <w:left w:w="15" w:type="dxa"/>
              <w:right w:w="15" w:type="dxa"/>
            </w:tcMar>
            <w:vAlign w:val="center"/>
          </w:tcPr>
          <w:p w14:paraId="0AD75AD6">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1</w:t>
            </w:r>
          </w:p>
        </w:tc>
      </w:tr>
    </w:tbl>
    <w:p w14:paraId="2FAD5CC1">
      <w:pPr>
        <w:ind w:firstLine="480"/>
        <w:rPr>
          <w:rFonts w:ascii="Times New Roman" w:hAnsi="Times New Roman"/>
          <w:highlight w:val="none"/>
        </w:rPr>
      </w:pPr>
      <w:r>
        <w:rPr>
          <w:rFonts w:ascii="Times New Roman" w:hAnsi="Times New Roman"/>
          <w:highlight w:val="none"/>
        </w:rPr>
        <w:t>4、大气预测方案</w:t>
      </w:r>
    </w:p>
    <w:p w14:paraId="38BB3A59">
      <w:pPr>
        <w:ind w:firstLine="480"/>
        <w:rPr>
          <w:rFonts w:ascii="Times New Roman" w:hAnsi="Times New Roman"/>
          <w:highlight w:val="none"/>
        </w:rPr>
      </w:pPr>
      <w:r>
        <w:rPr>
          <w:rFonts w:ascii="Times New Roman" w:hAnsi="Times New Roman"/>
          <w:highlight w:val="none"/>
        </w:rPr>
        <w:t>（1）预测因子：SO</w:t>
      </w:r>
      <w:r>
        <w:rPr>
          <w:rFonts w:ascii="Times New Roman" w:hAnsi="Times New Roman"/>
          <w:highlight w:val="none"/>
          <w:vertAlign w:val="subscript"/>
        </w:rPr>
        <w:t>2</w:t>
      </w:r>
      <w:r>
        <w:rPr>
          <w:rFonts w:ascii="Times New Roman" w:hAnsi="Times New Roman"/>
          <w:highlight w:val="none"/>
        </w:rPr>
        <w:t>、NO</w:t>
      </w:r>
      <w:r>
        <w:rPr>
          <w:rFonts w:ascii="Times New Roman" w:hAnsi="Times New Roman"/>
          <w:highlight w:val="none"/>
          <w:vertAlign w:val="subscript"/>
        </w:rPr>
        <w:t>2</w:t>
      </w:r>
      <w:r>
        <w:rPr>
          <w:rFonts w:ascii="Times New Roman" w:hAnsi="Times New Roman"/>
          <w:highlight w:val="none"/>
        </w:rPr>
        <w:t>、PM</w:t>
      </w:r>
      <w:r>
        <w:rPr>
          <w:rFonts w:ascii="Times New Roman" w:hAnsi="Times New Roman"/>
          <w:highlight w:val="none"/>
          <w:vertAlign w:val="subscript"/>
        </w:rPr>
        <w:t>10</w:t>
      </w:r>
      <w:r>
        <w:rPr>
          <w:rFonts w:ascii="Times New Roman" w:hAnsi="Times New Roman"/>
          <w:highlight w:val="none"/>
        </w:rPr>
        <w:t>、汞、NH</w:t>
      </w:r>
      <w:r>
        <w:rPr>
          <w:rFonts w:ascii="Times New Roman" w:hAnsi="Times New Roman"/>
          <w:highlight w:val="none"/>
          <w:vertAlign w:val="subscript"/>
        </w:rPr>
        <w:t>3</w:t>
      </w:r>
      <w:r>
        <w:rPr>
          <w:rFonts w:ascii="Times New Roman" w:hAnsi="Times New Roman"/>
          <w:highlight w:val="none"/>
        </w:rPr>
        <w:t>。</w:t>
      </w:r>
    </w:p>
    <w:p w14:paraId="07333CA5">
      <w:pPr>
        <w:ind w:firstLine="480"/>
        <w:rPr>
          <w:rFonts w:ascii="Times New Roman" w:hAnsi="Times New Roman"/>
          <w:highlight w:val="none"/>
        </w:rPr>
      </w:pPr>
      <w:r>
        <w:rPr>
          <w:rFonts w:ascii="Times New Roman" w:hAnsi="Times New Roman"/>
          <w:highlight w:val="none"/>
        </w:rPr>
        <w:t>（2）预测范围：覆盖评价范围，以厂址为中心，面积</w:t>
      </w:r>
      <w:r>
        <w:rPr>
          <w:rFonts w:hint="eastAsia" w:ascii="Times New Roman" w:hAnsi="Times New Roman"/>
          <w:highlight w:val="none"/>
        </w:rPr>
        <w:t>100</w:t>
      </w:r>
      <w:r>
        <w:rPr>
          <w:rFonts w:ascii="Times New Roman" w:hAnsi="Times New Roman"/>
          <w:highlight w:val="none"/>
        </w:rPr>
        <w:t>km</w:t>
      </w:r>
      <w:r>
        <w:rPr>
          <w:rFonts w:ascii="Times New Roman" w:hAnsi="Times New Roman"/>
          <w:highlight w:val="none"/>
          <w:vertAlign w:val="superscript"/>
        </w:rPr>
        <w:t>2</w:t>
      </w:r>
      <w:r>
        <w:rPr>
          <w:rFonts w:ascii="Times New Roman" w:hAnsi="Times New Roman"/>
          <w:highlight w:val="none"/>
        </w:rPr>
        <w:t>的区域。本次预测网格点的间距为100m。</w:t>
      </w:r>
    </w:p>
    <w:p w14:paraId="7998E012">
      <w:pPr>
        <w:ind w:firstLine="480"/>
        <w:rPr>
          <w:rFonts w:ascii="Times New Roman" w:hAnsi="Times New Roman"/>
          <w:highlight w:val="none"/>
        </w:rPr>
      </w:pPr>
      <w:r>
        <w:rPr>
          <w:rFonts w:ascii="Times New Roman" w:hAnsi="Times New Roman"/>
          <w:highlight w:val="none"/>
        </w:rPr>
        <w:t>（3）预测模型：AERMOD（预测范围小于50km）。</w:t>
      </w:r>
    </w:p>
    <w:p w14:paraId="7D9512D6">
      <w:pPr>
        <w:ind w:firstLine="480"/>
        <w:rPr>
          <w:rFonts w:ascii="Times New Roman" w:hAnsi="Times New Roman"/>
          <w:highlight w:val="none"/>
        </w:rPr>
      </w:pPr>
      <w:r>
        <w:rPr>
          <w:rFonts w:ascii="Times New Roman" w:hAnsi="Times New Roman"/>
          <w:highlight w:val="none"/>
        </w:rPr>
        <w:t>（4）预测与评价内容</w:t>
      </w:r>
    </w:p>
    <w:p w14:paraId="37425920">
      <w:pPr>
        <w:ind w:firstLine="480"/>
        <w:rPr>
          <w:rFonts w:ascii="Times New Roman" w:hAnsi="Times New Roman"/>
          <w:highlight w:val="none"/>
        </w:rPr>
      </w:pPr>
      <w:r>
        <w:rPr>
          <w:rFonts w:ascii="Times New Roman" w:hAnsi="Times New Roman"/>
          <w:highlight w:val="none"/>
        </w:rPr>
        <w:t>本评价大气环境影响预测与评价内容见表5.2-8。</w:t>
      </w:r>
    </w:p>
    <w:p w14:paraId="5CBD5E47">
      <w:pPr>
        <w:ind w:firstLine="0" w:firstLineChars="0"/>
        <w:jc w:val="center"/>
        <w:rPr>
          <w:rFonts w:ascii="Times New Roman" w:hAnsi="Times New Roman"/>
          <w:highlight w:val="none"/>
        </w:rPr>
      </w:pPr>
      <w:r>
        <w:rPr>
          <w:rFonts w:hint="eastAsia" w:ascii="黑体" w:hAnsi="黑体" w:eastAsia="黑体" w:cs="黑体"/>
          <w:highlight w:val="none"/>
        </w:rPr>
        <w:t>表</w:t>
      </w:r>
      <w:r>
        <w:rPr>
          <w:rFonts w:ascii="Times New Roman" w:hAnsi="Times New Roman"/>
          <w:highlight w:val="none"/>
        </w:rPr>
        <w:t>5.2-8</w:t>
      </w:r>
      <w:r>
        <w:rPr>
          <w:rFonts w:hint="eastAsia" w:ascii="黑体" w:hAnsi="黑体" w:eastAsia="黑体" w:cs="黑体"/>
          <w:highlight w:val="none"/>
        </w:rPr>
        <w:t>大气环境影响预测情景组合表</w:t>
      </w:r>
    </w:p>
    <w:tbl>
      <w:tblPr>
        <w:tblStyle w:val="17"/>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17"/>
        <w:gridCol w:w="1727"/>
        <w:gridCol w:w="755"/>
        <w:gridCol w:w="1267"/>
        <w:gridCol w:w="1226"/>
        <w:gridCol w:w="1461"/>
        <w:gridCol w:w="1464"/>
      </w:tblGrid>
      <w:tr w14:paraId="3F8BD5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2" w:type="pct"/>
            <w:noWrap w:val="0"/>
            <w:vAlign w:val="center"/>
          </w:tcPr>
          <w:p w14:paraId="0FEF2420">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评价</w:t>
            </w:r>
          </w:p>
          <w:p w14:paraId="4AA5A5C8">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对象</w:t>
            </w:r>
          </w:p>
        </w:tc>
        <w:tc>
          <w:tcPr>
            <w:tcW w:w="1013" w:type="pct"/>
            <w:noWrap w:val="0"/>
            <w:vAlign w:val="center"/>
          </w:tcPr>
          <w:p w14:paraId="4F2868CB">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污染源</w:t>
            </w:r>
          </w:p>
        </w:tc>
        <w:tc>
          <w:tcPr>
            <w:tcW w:w="443" w:type="pct"/>
            <w:noWrap w:val="0"/>
            <w:vAlign w:val="center"/>
          </w:tcPr>
          <w:p w14:paraId="2BB710DA">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排放</w:t>
            </w:r>
          </w:p>
          <w:p w14:paraId="6EF1D9D6">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形式</w:t>
            </w:r>
          </w:p>
        </w:tc>
        <w:tc>
          <w:tcPr>
            <w:tcW w:w="743" w:type="pct"/>
            <w:noWrap w:val="0"/>
            <w:vAlign w:val="center"/>
          </w:tcPr>
          <w:p w14:paraId="72DBAEA6">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预测因子</w:t>
            </w:r>
          </w:p>
        </w:tc>
        <w:tc>
          <w:tcPr>
            <w:tcW w:w="719" w:type="pct"/>
            <w:noWrap w:val="0"/>
            <w:vAlign w:val="center"/>
          </w:tcPr>
          <w:p w14:paraId="632C63BC">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预测内容</w:t>
            </w:r>
          </w:p>
        </w:tc>
        <w:tc>
          <w:tcPr>
            <w:tcW w:w="857" w:type="pct"/>
            <w:noWrap w:val="0"/>
            <w:vAlign w:val="center"/>
          </w:tcPr>
          <w:p w14:paraId="16126919">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评价内容</w:t>
            </w:r>
          </w:p>
        </w:tc>
        <w:tc>
          <w:tcPr>
            <w:tcW w:w="858" w:type="pct"/>
            <w:noWrap w:val="0"/>
            <w:vAlign w:val="center"/>
          </w:tcPr>
          <w:p w14:paraId="7125C6AC">
            <w:pPr>
              <w:spacing w:line="240" w:lineRule="auto"/>
              <w:ind w:firstLine="0" w:firstLineChars="0"/>
              <w:jc w:val="center"/>
              <w:rPr>
                <w:rFonts w:hint="eastAsia"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备注</w:t>
            </w:r>
          </w:p>
        </w:tc>
      </w:tr>
      <w:tr w14:paraId="4CA07B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2" w:type="pct"/>
            <w:vMerge w:val="restart"/>
            <w:noWrap w:val="0"/>
            <w:vAlign w:val="center"/>
          </w:tcPr>
          <w:p w14:paraId="3B20A66A">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达标区评价项目</w:t>
            </w:r>
          </w:p>
        </w:tc>
        <w:tc>
          <w:tcPr>
            <w:tcW w:w="1013" w:type="pct"/>
            <w:vMerge w:val="restart"/>
            <w:noWrap w:val="0"/>
            <w:vAlign w:val="center"/>
          </w:tcPr>
          <w:p w14:paraId="2435C964">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新增污染源</w:t>
            </w:r>
          </w:p>
          <w:p w14:paraId="29818DC5">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（本项目建</w:t>
            </w:r>
            <w:r>
              <w:rPr>
                <w:rFonts w:hint="eastAsia" w:ascii="Times New Roman" w:hAnsi="Times New Roman"/>
                <w:kern w:val="0"/>
                <w:sz w:val="21"/>
                <w:highlight w:val="none"/>
                <w:lang w:val="en-US" w:eastAsia="zh-CN"/>
              </w:rPr>
              <w:t>设</w:t>
            </w:r>
            <w:r>
              <w:rPr>
                <w:rFonts w:ascii="Times New Roman" w:hAnsi="Times New Roman"/>
                <w:kern w:val="0"/>
                <w:sz w:val="21"/>
                <w:highlight w:val="none"/>
              </w:rPr>
              <w:t>的锅炉产生的大气污染物）</w:t>
            </w:r>
          </w:p>
        </w:tc>
        <w:tc>
          <w:tcPr>
            <w:tcW w:w="443" w:type="pct"/>
            <w:vMerge w:val="restart"/>
            <w:noWrap w:val="0"/>
            <w:vAlign w:val="center"/>
          </w:tcPr>
          <w:p w14:paraId="71862A43">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正常</w:t>
            </w:r>
          </w:p>
          <w:p w14:paraId="64C25B5A">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排放</w:t>
            </w:r>
          </w:p>
        </w:tc>
        <w:tc>
          <w:tcPr>
            <w:tcW w:w="743" w:type="pct"/>
            <w:noWrap w:val="0"/>
            <w:vAlign w:val="center"/>
          </w:tcPr>
          <w:p w14:paraId="5F9188F0">
            <w:pPr>
              <w:spacing w:line="240" w:lineRule="auto"/>
              <w:ind w:firstLine="0" w:firstLineChars="0"/>
              <w:jc w:val="center"/>
              <w:rPr>
                <w:rFonts w:ascii="Times New Roman" w:hAnsi="Times New Roman"/>
                <w:kern w:val="0"/>
                <w:sz w:val="21"/>
                <w:highlight w:val="none"/>
              </w:rPr>
            </w:pPr>
            <w:r>
              <w:rPr>
                <w:rFonts w:ascii="Times New Roman" w:hAnsi="Times New Roman"/>
                <w:sz w:val="21"/>
                <w:highlight w:val="none"/>
              </w:rPr>
              <w:t>PM</w:t>
            </w:r>
            <w:r>
              <w:rPr>
                <w:rFonts w:ascii="Times New Roman" w:hAnsi="Times New Roman"/>
                <w:sz w:val="21"/>
                <w:highlight w:val="none"/>
                <w:vertAlign w:val="subscript"/>
              </w:rPr>
              <w:t>10</w:t>
            </w:r>
          </w:p>
        </w:tc>
        <w:tc>
          <w:tcPr>
            <w:tcW w:w="719" w:type="pct"/>
            <w:noWrap w:val="0"/>
            <w:vAlign w:val="center"/>
          </w:tcPr>
          <w:p w14:paraId="2603025A">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日均浓度</w:t>
            </w:r>
          </w:p>
          <w:p w14:paraId="74839D5B">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年均浓度</w:t>
            </w:r>
          </w:p>
        </w:tc>
        <w:tc>
          <w:tcPr>
            <w:tcW w:w="857" w:type="pct"/>
            <w:vMerge w:val="restart"/>
            <w:noWrap w:val="0"/>
            <w:vAlign w:val="center"/>
          </w:tcPr>
          <w:p w14:paraId="62AD2489">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最大浓度占标率</w:t>
            </w:r>
          </w:p>
        </w:tc>
        <w:tc>
          <w:tcPr>
            <w:tcW w:w="858" w:type="pct"/>
            <w:vMerge w:val="restart"/>
            <w:noWrap w:val="0"/>
            <w:vAlign w:val="center"/>
          </w:tcPr>
          <w:p w14:paraId="7846089A">
            <w:pPr>
              <w:spacing w:line="240" w:lineRule="auto"/>
              <w:ind w:firstLine="0" w:firstLineChars="0"/>
              <w:jc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根据企业运行情况选取实际运行最大工况进行预测</w:t>
            </w:r>
          </w:p>
        </w:tc>
      </w:tr>
      <w:tr w14:paraId="4A3730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2" w:type="pct"/>
            <w:vMerge w:val="continue"/>
            <w:noWrap w:val="0"/>
            <w:vAlign w:val="center"/>
          </w:tcPr>
          <w:p w14:paraId="3F4BF015">
            <w:pPr>
              <w:spacing w:line="240" w:lineRule="auto"/>
              <w:ind w:firstLine="0" w:firstLineChars="0"/>
              <w:jc w:val="center"/>
              <w:rPr>
                <w:rFonts w:ascii="Times New Roman" w:hAnsi="Times New Roman"/>
                <w:kern w:val="0"/>
                <w:sz w:val="21"/>
                <w:highlight w:val="none"/>
              </w:rPr>
            </w:pPr>
          </w:p>
        </w:tc>
        <w:tc>
          <w:tcPr>
            <w:tcW w:w="1013" w:type="pct"/>
            <w:vMerge w:val="continue"/>
            <w:noWrap w:val="0"/>
            <w:vAlign w:val="center"/>
          </w:tcPr>
          <w:p w14:paraId="767E8490">
            <w:pPr>
              <w:spacing w:line="240" w:lineRule="auto"/>
              <w:ind w:firstLine="0" w:firstLineChars="0"/>
              <w:jc w:val="center"/>
              <w:rPr>
                <w:rFonts w:ascii="Times New Roman" w:hAnsi="Times New Roman"/>
                <w:kern w:val="0"/>
                <w:sz w:val="21"/>
                <w:highlight w:val="none"/>
              </w:rPr>
            </w:pPr>
          </w:p>
        </w:tc>
        <w:tc>
          <w:tcPr>
            <w:tcW w:w="443" w:type="pct"/>
            <w:vMerge w:val="continue"/>
            <w:noWrap w:val="0"/>
            <w:vAlign w:val="center"/>
          </w:tcPr>
          <w:p w14:paraId="4208BF7E">
            <w:pPr>
              <w:spacing w:line="240" w:lineRule="auto"/>
              <w:ind w:firstLine="0" w:firstLineChars="0"/>
              <w:jc w:val="center"/>
              <w:rPr>
                <w:rFonts w:ascii="Times New Roman" w:hAnsi="Times New Roman"/>
                <w:kern w:val="0"/>
                <w:sz w:val="21"/>
                <w:highlight w:val="none"/>
              </w:rPr>
            </w:pPr>
          </w:p>
        </w:tc>
        <w:tc>
          <w:tcPr>
            <w:tcW w:w="743" w:type="pct"/>
            <w:noWrap w:val="0"/>
            <w:vAlign w:val="center"/>
          </w:tcPr>
          <w:p w14:paraId="481E4F11">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SO</w:t>
            </w:r>
            <w:r>
              <w:rPr>
                <w:rFonts w:ascii="Times New Roman" w:hAnsi="Times New Roman"/>
                <w:kern w:val="0"/>
                <w:sz w:val="21"/>
                <w:highlight w:val="none"/>
                <w:vertAlign w:val="subscript"/>
              </w:rPr>
              <w:t>2</w:t>
            </w:r>
            <w:r>
              <w:rPr>
                <w:rFonts w:ascii="Times New Roman" w:hAnsi="Times New Roman"/>
                <w:kern w:val="0"/>
                <w:sz w:val="21"/>
                <w:highlight w:val="none"/>
              </w:rPr>
              <w:t>、NO</w:t>
            </w:r>
            <w:r>
              <w:rPr>
                <w:rFonts w:ascii="Times New Roman" w:hAnsi="Times New Roman"/>
                <w:kern w:val="0"/>
                <w:sz w:val="21"/>
                <w:highlight w:val="none"/>
                <w:vertAlign w:val="subscript"/>
              </w:rPr>
              <w:t>2</w:t>
            </w:r>
          </w:p>
        </w:tc>
        <w:tc>
          <w:tcPr>
            <w:tcW w:w="719" w:type="pct"/>
            <w:noWrap w:val="0"/>
            <w:vAlign w:val="center"/>
          </w:tcPr>
          <w:p w14:paraId="261D5F5F">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小时浓度</w:t>
            </w:r>
          </w:p>
          <w:p w14:paraId="6F39BC28">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日均浓度</w:t>
            </w:r>
          </w:p>
          <w:p w14:paraId="7DB1102F">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年均浓度</w:t>
            </w:r>
          </w:p>
        </w:tc>
        <w:tc>
          <w:tcPr>
            <w:tcW w:w="857" w:type="pct"/>
            <w:vMerge w:val="continue"/>
            <w:noWrap w:val="0"/>
            <w:vAlign w:val="center"/>
          </w:tcPr>
          <w:p w14:paraId="31439539">
            <w:pPr>
              <w:spacing w:line="240" w:lineRule="auto"/>
              <w:ind w:firstLine="0" w:firstLineChars="0"/>
              <w:jc w:val="center"/>
              <w:rPr>
                <w:rFonts w:ascii="Times New Roman" w:hAnsi="Times New Roman"/>
                <w:kern w:val="0"/>
                <w:sz w:val="21"/>
                <w:highlight w:val="none"/>
              </w:rPr>
            </w:pPr>
          </w:p>
        </w:tc>
        <w:tc>
          <w:tcPr>
            <w:tcW w:w="858" w:type="pct"/>
            <w:vMerge w:val="continue"/>
            <w:noWrap w:val="0"/>
            <w:vAlign w:val="center"/>
          </w:tcPr>
          <w:p w14:paraId="023CA4B8">
            <w:pPr>
              <w:spacing w:line="240" w:lineRule="auto"/>
              <w:ind w:firstLine="0" w:firstLineChars="0"/>
              <w:jc w:val="center"/>
              <w:rPr>
                <w:rFonts w:ascii="Times New Roman" w:hAnsi="Times New Roman"/>
                <w:kern w:val="0"/>
                <w:sz w:val="21"/>
                <w:highlight w:val="none"/>
              </w:rPr>
            </w:pPr>
          </w:p>
        </w:tc>
      </w:tr>
      <w:tr w14:paraId="5D6B9C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2" w:type="pct"/>
            <w:vMerge w:val="continue"/>
            <w:noWrap w:val="0"/>
            <w:vAlign w:val="center"/>
          </w:tcPr>
          <w:p w14:paraId="36E1BA7F">
            <w:pPr>
              <w:spacing w:line="240" w:lineRule="auto"/>
              <w:ind w:firstLine="0" w:firstLineChars="0"/>
              <w:jc w:val="center"/>
              <w:rPr>
                <w:rFonts w:ascii="Times New Roman" w:hAnsi="Times New Roman"/>
                <w:kern w:val="0"/>
                <w:sz w:val="21"/>
                <w:highlight w:val="none"/>
              </w:rPr>
            </w:pPr>
          </w:p>
        </w:tc>
        <w:tc>
          <w:tcPr>
            <w:tcW w:w="1013" w:type="pct"/>
            <w:vMerge w:val="continue"/>
            <w:noWrap w:val="0"/>
            <w:vAlign w:val="center"/>
          </w:tcPr>
          <w:p w14:paraId="3ABBE95D">
            <w:pPr>
              <w:spacing w:line="240" w:lineRule="auto"/>
              <w:ind w:firstLine="0" w:firstLineChars="0"/>
              <w:jc w:val="center"/>
              <w:rPr>
                <w:rFonts w:ascii="Times New Roman" w:hAnsi="Times New Roman"/>
                <w:kern w:val="0"/>
                <w:sz w:val="21"/>
                <w:highlight w:val="none"/>
              </w:rPr>
            </w:pPr>
          </w:p>
        </w:tc>
        <w:tc>
          <w:tcPr>
            <w:tcW w:w="443" w:type="pct"/>
            <w:vMerge w:val="continue"/>
            <w:noWrap w:val="0"/>
            <w:vAlign w:val="center"/>
          </w:tcPr>
          <w:p w14:paraId="568C0243">
            <w:pPr>
              <w:spacing w:line="240" w:lineRule="auto"/>
              <w:ind w:firstLine="0" w:firstLineChars="0"/>
              <w:jc w:val="center"/>
              <w:rPr>
                <w:rFonts w:ascii="Times New Roman" w:hAnsi="Times New Roman"/>
                <w:kern w:val="0"/>
                <w:sz w:val="21"/>
                <w:highlight w:val="none"/>
              </w:rPr>
            </w:pPr>
          </w:p>
        </w:tc>
        <w:tc>
          <w:tcPr>
            <w:tcW w:w="743" w:type="pct"/>
            <w:noWrap w:val="0"/>
            <w:vAlign w:val="center"/>
          </w:tcPr>
          <w:p w14:paraId="39E11CCE">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Hg</w:t>
            </w:r>
          </w:p>
        </w:tc>
        <w:tc>
          <w:tcPr>
            <w:tcW w:w="719" w:type="pct"/>
            <w:noWrap w:val="0"/>
            <w:vAlign w:val="center"/>
          </w:tcPr>
          <w:p w14:paraId="544307E0">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年均浓度</w:t>
            </w:r>
          </w:p>
        </w:tc>
        <w:tc>
          <w:tcPr>
            <w:tcW w:w="857" w:type="pct"/>
            <w:vMerge w:val="continue"/>
            <w:noWrap w:val="0"/>
            <w:vAlign w:val="center"/>
          </w:tcPr>
          <w:p w14:paraId="54A03835">
            <w:pPr>
              <w:spacing w:line="240" w:lineRule="auto"/>
              <w:ind w:firstLine="0" w:firstLineChars="0"/>
              <w:jc w:val="center"/>
              <w:rPr>
                <w:rFonts w:ascii="Times New Roman" w:hAnsi="Times New Roman"/>
                <w:kern w:val="0"/>
                <w:sz w:val="21"/>
                <w:highlight w:val="none"/>
              </w:rPr>
            </w:pPr>
          </w:p>
        </w:tc>
        <w:tc>
          <w:tcPr>
            <w:tcW w:w="858" w:type="pct"/>
            <w:vMerge w:val="continue"/>
            <w:noWrap w:val="0"/>
            <w:vAlign w:val="center"/>
          </w:tcPr>
          <w:p w14:paraId="639DAEB2">
            <w:pPr>
              <w:spacing w:line="240" w:lineRule="auto"/>
              <w:ind w:firstLine="0" w:firstLineChars="0"/>
              <w:jc w:val="center"/>
              <w:rPr>
                <w:rFonts w:ascii="Times New Roman" w:hAnsi="Times New Roman"/>
                <w:kern w:val="0"/>
                <w:sz w:val="21"/>
                <w:highlight w:val="none"/>
              </w:rPr>
            </w:pPr>
          </w:p>
        </w:tc>
      </w:tr>
      <w:tr w14:paraId="6CDBAB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2" w:type="pct"/>
            <w:vMerge w:val="continue"/>
            <w:noWrap w:val="0"/>
            <w:vAlign w:val="center"/>
          </w:tcPr>
          <w:p w14:paraId="6D5A2861">
            <w:pPr>
              <w:spacing w:line="240" w:lineRule="auto"/>
              <w:ind w:firstLine="0" w:firstLineChars="0"/>
              <w:jc w:val="center"/>
              <w:rPr>
                <w:rFonts w:ascii="Times New Roman" w:hAnsi="Times New Roman"/>
                <w:kern w:val="0"/>
                <w:sz w:val="21"/>
                <w:highlight w:val="none"/>
              </w:rPr>
            </w:pPr>
          </w:p>
        </w:tc>
        <w:tc>
          <w:tcPr>
            <w:tcW w:w="1013" w:type="pct"/>
            <w:vMerge w:val="continue"/>
            <w:noWrap w:val="0"/>
            <w:vAlign w:val="center"/>
          </w:tcPr>
          <w:p w14:paraId="3D757E1C">
            <w:pPr>
              <w:spacing w:line="240" w:lineRule="auto"/>
              <w:ind w:firstLine="0" w:firstLineChars="0"/>
              <w:jc w:val="center"/>
              <w:rPr>
                <w:rFonts w:ascii="Times New Roman" w:hAnsi="Times New Roman"/>
                <w:kern w:val="0"/>
                <w:sz w:val="21"/>
                <w:highlight w:val="none"/>
              </w:rPr>
            </w:pPr>
          </w:p>
        </w:tc>
        <w:tc>
          <w:tcPr>
            <w:tcW w:w="443" w:type="pct"/>
            <w:vMerge w:val="continue"/>
            <w:noWrap w:val="0"/>
            <w:vAlign w:val="center"/>
          </w:tcPr>
          <w:p w14:paraId="6191987E">
            <w:pPr>
              <w:spacing w:line="240" w:lineRule="auto"/>
              <w:ind w:firstLine="0" w:firstLineChars="0"/>
              <w:jc w:val="center"/>
              <w:rPr>
                <w:rFonts w:ascii="Times New Roman" w:hAnsi="Times New Roman"/>
                <w:kern w:val="0"/>
                <w:sz w:val="21"/>
                <w:highlight w:val="none"/>
              </w:rPr>
            </w:pPr>
          </w:p>
        </w:tc>
        <w:tc>
          <w:tcPr>
            <w:tcW w:w="743" w:type="pct"/>
            <w:noWrap w:val="0"/>
            <w:vAlign w:val="center"/>
          </w:tcPr>
          <w:p w14:paraId="18679004">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NH</w:t>
            </w:r>
            <w:r>
              <w:rPr>
                <w:rFonts w:ascii="Times New Roman" w:hAnsi="Times New Roman"/>
                <w:kern w:val="0"/>
                <w:sz w:val="21"/>
                <w:highlight w:val="none"/>
                <w:vertAlign w:val="subscript"/>
              </w:rPr>
              <w:t>3</w:t>
            </w:r>
          </w:p>
        </w:tc>
        <w:tc>
          <w:tcPr>
            <w:tcW w:w="719" w:type="pct"/>
            <w:noWrap w:val="0"/>
            <w:vAlign w:val="center"/>
          </w:tcPr>
          <w:p w14:paraId="0D64FBA6">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小时浓度</w:t>
            </w:r>
          </w:p>
        </w:tc>
        <w:tc>
          <w:tcPr>
            <w:tcW w:w="857" w:type="pct"/>
            <w:vMerge w:val="continue"/>
            <w:noWrap w:val="0"/>
            <w:vAlign w:val="center"/>
          </w:tcPr>
          <w:p w14:paraId="3BD33DF8">
            <w:pPr>
              <w:spacing w:line="240" w:lineRule="auto"/>
              <w:ind w:firstLine="0" w:firstLineChars="0"/>
              <w:jc w:val="center"/>
              <w:rPr>
                <w:rFonts w:ascii="Times New Roman" w:hAnsi="Times New Roman"/>
                <w:kern w:val="0"/>
                <w:sz w:val="21"/>
                <w:highlight w:val="none"/>
              </w:rPr>
            </w:pPr>
          </w:p>
        </w:tc>
        <w:tc>
          <w:tcPr>
            <w:tcW w:w="858" w:type="pct"/>
            <w:vMerge w:val="continue"/>
            <w:noWrap w:val="0"/>
            <w:vAlign w:val="center"/>
          </w:tcPr>
          <w:p w14:paraId="3A7B6FDF">
            <w:pPr>
              <w:spacing w:line="240" w:lineRule="auto"/>
              <w:ind w:firstLine="0" w:firstLineChars="0"/>
              <w:jc w:val="center"/>
              <w:rPr>
                <w:rFonts w:ascii="Times New Roman" w:hAnsi="Times New Roman"/>
                <w:kern w:val="0"/>
                <w:sz w:val="21"/>
                <w:highlight w:val="none"/>
              </w:rPr>
            </w:pPr>
          </w:p>
        </w:tc>
      </w:tr>
      <w:tr w14:paraId="688F91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2" w:type="pct"/>
            <w:vMerge w:val="continue"/>
            <w:noWrap w:val="0"/>
            <w:vAlign w:val="center"/>
          </w:tcPr>
          <w:p w14:paraId="4CD0EED2">
            <w:pPr>
              <w:spacing w:line="240" w:lineRule="auto"/>
              <w:ind w:firstLine="0" w:firstLineChars="0"/>
              <w:jc w:val="center"/>
              <w:rPr>
                <w:rFonts w:ascii="Times New Roman" w:hAnsi="Times New Roman"/>
                <w:kern w:val="0"/>
                <w:sz w:val="21"/>
                <w:highlight w:val="none"/>
              </w:rPr>
            </w:pPr>
          </w:p>
        </w:tc>
        <w:tc>
          <w:tcPr>
            <w:tcW w:w="1013" w:type="pct"/>
            <w:vMerge w:val="restart"/>
            <w:noWrap w:val="0"/>
            <w:vAlign w:val="center"/>
          </w:tcPr>
          <w:p w14:paraId="402DBE56">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新增污染源</w:t>
            </w:r>
          </w:p>
          <w:p w14:paraId="14A7CD1A">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（本项目锅炉产生的大气污染物）</w:t>
            </w:r>
          </w:p>
          <w:p w14:paraId="1283E035">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—区域削减污染源</w:t>
            </w:r>
          </w:p>
          <w:p w14:paraId="1B9B5EAA">
            <w:pPr>
              <w:spacing w:line="240" w:lineRule="auto"/>
              <w:ind w:firstLine="0" w:firstLineChars="0"/>
              <w:jc w:val="center"/>
              <w:rPr>
                <w:rFonts w:ascii="Times New Roman" w:hAnsi="Times New Roman"/>
                <w:kern w:val="0"/>
                <w:sz w:val="21"/>
                <w:highlight w:val="none"/>
              </w:rPr>
            </w:pPr>
            <w:r>
              <w:rPr>
                <w:rFonts w:ascii="Times New Roman" w:hAnsi="Times New Roman"/>
                <w:sz w:val="21"/>
                <w:highlight w:val="none"/>
              </w:rPr>
              <w:t>+其他在建、拟建的污染源</w:t>
            </w:r>
          </w:p>
        </w:tc>
        <w:tc>
          <w:tcPr>
            <w:tcW w:w="443" w:type="pct"/>
            <w:vMerge w:val="restart"/>
            <w:noWrap w:val="0"/>
            <w:vAlign w:val="center"/>
          </w:tcPr>
          <w:p w14:paraId="1CA143C3">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正常</w:t>
            </w:r>
          </w:p>
          <w:p w14:paraId="56A59004">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排放</w:t>
            </w:r>
          </w:p>
        </w:tc>
        <w:tc>
          <w:tcPr>
            <w:tcW w:w="743" w:type="pct"/>
            <w:noWrap w:val="0"/>
            <w:vAlign w:val="center"/>
          </w:tcPr>
          <w:p w14:paraId="0AE03C67">
            <w:pPr>
              <w:spacing w:line="240" w:lineRule="auto"/>
              <w:ind w:firstLine="0" w:firstLineChars="0"/>
              <w:jc w:val="center"/>
              <w:rPr>
                <w:rFonts w:ascii="Times New Roman" w:hAnsi="Times New Roman"/>
                <w:kern w:val="0"/>
                <w:sz w:val="21"/>
                <w:highlight w:val="none"/>
              </w:rPr>
            </w:pPr>
            <w:r>
              <w:rPr>
                <w:rFonts w:ascii="Times New Roman" w:hAnsi="Times New Roman"/>
                <w:sz w:val="21"/>
                <w:highlight w:val="none"/>
              </w:rPr>
              <w:t>PM</w:t>
            </w:r>
            <w:r>
              <w:rPr>
                <w:rFonts w:ascii="Times New Roman" w:hAnsi="Times New Roman"/>
                <w:sz w:val="21"/>
                <w:highlight w:val="none"/>
                <w:vertAlign w:val="subscript"/>
              </w:rPr>
              <w:t>10</w:t>
            </w:r>
            <w:r>
              <w:rPr>
                <w:rFonts w:ascii="Times New Roman" w:hAnsi="Times New Roman"/>
                <w:sz w:val="21"/>
                <w:highlight w:val="none"/>
              </w:rPr>
              <w:t>、SO</w:t>
            </w:r>
            <w:r>
              <w:rPr>
                <w:rFonts w:ascii="Times New Roman" w:hAnsi="Times New Roman"/>
                <w:sz w:val="21"/>
                <w:highlight w:val="none"/>
                <w:vertAlign w:val="subscript"/>
              </w:rPr>
              <w:t>2</w:t>
            </w:r>
            <w:r>
              <w:rPr>
                <w:rFonts w:ascii="Times New Roman" w:hAnsi="Times New Roman"/>
                <w:sz w:val="21"/>
                <w:highlight w:val="none"/>
              </w:rPr>
              <w:t>、NO</w:t>
            </w:r>
            <w:r>
              <w:rPr>
                <w:rFonts w:ascii="Times New Roman" w:hAnsi="Times New Roman"/>
                <w:sz w:val="21"/>
                <w:highlight w:val="none"/>
                <w:vertAlign w:val="subscript"/>
              </w:rPr>
              <w:t>2</w:t>
            </w:r>
          </w:p>
        </w:tc>
        <w:tc>
          <w:tcPr>
            <w:tcW w:w="719" w:type="pct"/>
            <w:noWrap w:val="0"/>
            <w:vAlign w:val="center"/>
          </w:tcPr>
          <w:p w14:paraId="4746A955">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日均浓度</w:t>
            </w:r>
          </w:p>
          <w:p w14:paraId="04D48FA8">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年均浓度</w:t>
            </w:r>
          </w:p>
        </w:tc>
        <w:tc>
          <w:tcPr>
            <w:tcW w:w="857" w:type="pct"/>
            <w:noWrap w:val="0"/>
            <w:vAlign w:val="center"/>
          </w:tcPr>
          <w:p w14:paraId="62191B41">
            <w:pPr>
              <w:pStyle w:val="41"/>
              <w:spacing w:line="240" w:lineRule="auto"/>
              <w:rPr>
                <w:rFonts w:ascii="Times New Roman" w:hAnsi="Times New Roman"/>
                <w:color w:val="auto"/>
                <w:highlight w:val="none"/>
              </w:rPr>
            </w:pPr>
            <w:r>
              <w:rPr>
                <w:rFonts w:ascii="Times New Roman" w:hAnsi="Times New Roman"/>
                <w:color w:val="auto"/>
                <w:highlight w:val="none"/>
              </w:rPr>
              <w:t>叠加环境质量现状浓度后的保证率日均平均质量浓度和年平均质量浓度的占标率；或短期浓度的达标情况；</w:t>
            </w:r>
          </w:p>
          <w:p w14:paraId="2C31CC3D">
            <w:pPr>
              <w:spacing w:line="240" w:lineRule="auto"/>
              <w:ind w:firstLine="0" w:firstLineChars="0"/>
              <w:jc w:val="center"/>
              <w:rPr>
                <w:rFonts w:ascii="Times New Roman" w:hAnsi="Times New Roman"/>
                <w:kern w:val="0"/>
                <w:sz w:val="21"/>
                <w:highlight w:val="none"/>
              </w:rPr>
            </w:pPr>
            <w:r>
              <w:rPr>
                <w:rFonts w:ascii="Times New Roman" w:hAnsi="Times New Roman"/>
                <w:bCs/>
                <w:kern w:val="0"/>
                <w:sz w:val="21"/>
                <w:szCs w:val="21"/>
                <w:highlight w:val="none"/>
              </w:rPr>
              <w:t>评价年平均质量浓度变化率</w:t>
            </w:r>
          </w:p>
        </w:tc>
        <w:tc>
          <w:tcPr>
            <w:tcW w:w="858" w:type="pct"/>
            <w:vMerge w:val="restart"/>
            <w:noWrap w:val="0"/>
            <w:vAlign w:val="center"/>
          </w:tcPr>
          <w:p w14:paraId="20BB7B5F">
            <w:pPr>
              <w:spacing w:line="240" w:lineRule="auto"/>
              <w:ind w:firstLine="0" w:firstLineChars="0"/>
              <w:jc w:val="center"/>
              <w:rPr>
                <w:rFonts w:hint="default" w:ascii="Times New Roman" w:hAnsi="Times New Roman" w:eastAsia="宋体"/>
                <w:bCs/>
                <w:kern w:val="0"/>
                <w:sz w:val="21"/>
                <w:szCs w:val="21"/>
                <w:highlight w:val="none"/>
                <w:lang w:val="en-US" w:eastAsia="zh-CN"/>
              </w:rPr>
            </w:pPr>
            <w:r>
              <w:rPr>
                <w:rFonts w:hint="eastAsia" w:ascii="Times New Roman" w:hAnsi="Times New Roman"/>
                <w:bCs/>
                <w:kern w:val="0"/>
                <w:sz w:val="21"/>
                <w:szCs w:val="21"/>
                <w:highlight w:val="none"/>
                <w:lang w:val="en-US" w:eastAsia="zh-CN"/>
              </w:rPr>
              <w:t>本项目无区域削减项目，评价范围内无其他排放同类污染物的在建、拟建项目</w:t>
            </w:r>
          </w:p>
        </w:tc>
      </w:tr>
      <w:tr w14:paraId="64A389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362" w:type="pct"/>
            <w:vMerge w:val="continue"/>
            <w:noWrap w:val="0"/>
            <w:vAlign w:val="center"/>
          </w:tcPr>
          <w:p w14:paraId="7E351CD8">
            <w:pPr>
              <w:spacing w:line="240" w:lineRule="auto"/>
              <w:ind w:firstLine="0" w:firstLineChars="0"/>
              <w:jc w:val="center"/>
              <w:rPr>
                <w:rFonts w:ascii="Times New Roman" w:hAnsi="Times New Roman"/>
                <w:kern w:val="0"/>
                <w:sz w:val="21"/>
                <w:highlight w:val="none"/>
              </w:rPr>
            </w:pPr>
          </w:p>
        </w:tc>
        <w:tc>
          <w:tcPr>
            <w:tcW w:w="1013" w:type="pct"/>
            <w:vMerge w:val="continue"/>
            <w:noWrap w:val="0"/>
            <w:vAlign w:val="center"/>
          </w:tcPr>
          <w:p w14:paraId="48D3442B">
            <w:pPr>
              <w:spacing w:line="240" w:lineRule="auto"/>
              <w:ind w:firstLine="0" w:firstLineChars="0"/>
              <w:jc w:val="center"/>
              <w:rPr>
                <w:rFonts w:ascii="Times New Roman" w:hAnsi="Times New Roman"/>
                <w:kern w:val="0"/>
                <w:sz w:val="21"/>
                <w:highlight w:val="none"/>
              </w:rPr>
            </w:pPr>
          </w:p>
        </w:tc>
        <w:tc>
          <w:tcPr>
            <w:tcW w:w="443" w:type="pct"/>
            <w:vMerge w:val="continue"/>
            <w:noWrap w:val="0"/>
            <w:vAlign w:val="center"/>
          </w:tcPr>
          <w:p w14:paraId="19AF7174">
            <w:pPr>
              <w:spacing w:line="240" w:lineRule="auto"/>
              <w:ind w:firstLine="0" w:firstLineChars="0"/>
              <w:jc w:val="center"/>
              <w:rPr>
                <w:rFonts w:ascii="Times New Roman" w:hAnsi="Times New Roman"/>
                <w:kern w:val="0"/>
                <w:sz w:val="21"/>
                <w:highlight w:val="none"/>
              </w:rPr>
            </w:pPr>
          </w:p>
        </w:tc>
        <w:tc>
          <w:tcPr>
            <w:tcW w:w="743" w:type="pct"/>
            <w:noWrap w:val="0"/>
            <w:vAlign w:val="center"/>
          </w:tcPr>
          <w:p w14:paraId="0C48A51E">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NH</w:t>
            </w:r>
            <w:r>
              <w:rPr>
                <w:rFonts w:ascii="Times New Roman" w:hAnsi="Times New Roman"/>
                <w:kern w:val="0"/>
                <w:sz w:val="21"/>
                <w:highlight w:val="none"/>
                <w:vertAlign w:val="subscript"/>
              </w:rPr>
              <w:t>3</w:t>
            </w:r>
          </w:p>
        </w:tc>
        <w:tc>
          <w:tcPr>
            <w:tcW w:w="719" w:type="pct"/>
            <w:noWrap w:val="0"/>
            <w:vAlign w:val="center"/>
          </w:tcPr>
          <w:p w14:paraId="5A1261C5">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小时浓度</w:t>
            </w:r>
          </w:p>
        </w:tc>
        <w:tc>
          <w:tcPr>
            <w:tcW w:w="857" w:type="pct"/>
            <w:noWrap w:val="0"/>
            <w:vAlign w:val="center"/>
          </w:tcPr>
          <w:p w14:paraId="23A7B4F8">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小时浓度达标情况</w:t>
            </w:r>
          </w:p>
        </w:tc>
        <w:tc>
          <w:tcPr>
            <w:tcW w:w="858" w:type="pct"/>
            <w:vMerge w:val="continue"/>
            <w:noWrap w:val="0"/>
            <w:vAlign w:val="center"/>
          </w:tcPr>
          <w:p w14:paraId="47A64A19">
            <w:pPr>
              <w:spacing w:line="240" w:lineRule="auto"/>
              <w:ind w:firstLine="0" w:firstLineChars="0"/>
              <w:jc w:val="center"/>
              <w:rPr>
                <w:rFonts w:ascii="Times New Roman" w:hAnsi="Times New Roman"/>
                <w:kern w:val="0"/>
                <w:sz w:val="21"/>
                <w:highlight w:val="none"/>
              </w:rPr>
            </w:pPr>
          </w:p>
        </w:tc>
      </w:tr>
      <w:tr w14:paraId="22328A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362" w:type="pct"/>
            <w:vMerge w:val="continue"/>
            <w:noWrap w:val="0"/>
            <w:vAlign w:val="center"/>
          </w:tcPr>
          <w:p w14:paraId="340353FF">
            <w:pPr>
              <w:spacing w:line="240" w:lineRule="auto"/>
              <w:ind w:firstLine="0" w:firstLineChars="0"/>
              <w:jc w:val="center"/>
              <w:rPr>
                <w:rFonts w:ascii="Times New Roman" w:hAnsi="Times New Roman"/>
                <w:kern w:val="0"/>
                <w:sz w:val="21"/>
                <w:highlight w:val="none"/>
              </w:rPr>
            </w:pPr>
          </w:p>
        </w:tc>
        <w:tc>
          <w:tcPr>
            <w:tcW w:w="1013" w:type="pct"/>
            <w:noWrap w:val="0"/>
            <w:vAlign w:val="center"/>
          </w:tcPr>
          <w:p w14:paraId="3F0931D0">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新增污染源（本项目建</w:t>
            </w:r>
            <w:r>
              <w:rPr>
                <w:rFonts w:hint="eastAsia" w:ascii="Times New Roman" w:hAnsi="Times New Roman"/>
                <w:kern w:val="0"/>
                <w:sz w:val="21"/>
                <w:highlight w:val="none"/>
                <w:lang w:val="en-US" w:eastAsia="zh-CN"/>
              </w:rPr>
              <w:t>设</w:t>
            </w:r>
            <w:r>
              <w:rPr>
                <w:rFonts w:ascii="Times New Roman" w:hAnsi="Times New Roman"/>
                <w:kern w:val="0"/>
                <w:sz w:val="21"/>
                <w:highlight w:val="none"/>
              </w:rPr>
              <w:t>的锅炉产生的大气污染物）</w:t>
            </w:r>
          </w:p>
        </w:tc>
        <w:tc>
          <w:tcPr>
            <w:tcW w:w="443" w:type="pct"/>
            <w:noWrap w:val="0"/>
            <w:vAlign w:val="center"/>
          </w:tcPr>
          <w:p w14:paraId="469802D5">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非正常</w:t>
            </w:r>
          </w:p>
          <w:p w14:paraId="14A583C0">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排放</w:t>
            </w:r>
          </w:p>
        </w:tc>
        <w:tc>
          <w:tcPr>
            <w:tcW w:w="743" w:type="pct"/>
            <w:noWrap w:val="0"/>
            <w:vAlign w:val="center"/>
          </w:tcPr>
          <w:p w14:paraId="10D79DC8">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PM</w:t>
            </w:r>
            <w:r>
              <w:rPr>
                <w:rFonts w:ascii="Times New Roman" w:hAnsi="Times New Roman"/>
                <w:kern w:val="0"/>
                <w:sz w:val="21"/>
                <w:highlight w:val="none"/>
                <w:vertAlign w:val="subscript"/>
              </w:rPr>
              <w:t>10</w:t>
            </w:r>
            <w:r>
              <w:rPr>
                <w:rFonts w:ascii="Times New Roman" w:hAnsi="Times New Roman"/>
                <w:kern w:val="0"/>
                <w:sz w:val="21"/>
                <w:highlight w:val="none"/>
              </w:rPr>
              <w:t>、SO</w:t>
            </w:r>
            <w:r>
              <w:rPr>
                <w:rFonts w:ascii="Times New Roman" w:hAnsi="Times New Roman"/>
                <w:kern w:val="0"/>
                <w:sz w:val="21"/>
                <w:highlight w:val="none"/>
                <w:vertAlign w:val="subscript"/>
              </w:rPr>
              <w:t>2</w:t>
            </w:r>
            <w:r>
              <w:rPr>
                <w:rFonts w:ascii="Times New Roman" w:hAnsi="Times New Roman"/>
                <w:kern w:val="0"/>
                <w:sz w:val="21"/>
                <w:highlight w:val="none"/>
              </w:rPr>
              <w:t>、NO</w:t>
            </w:r>
            <w:r>
              <w:rPr>
                <w:rFonts w:ascii="Times New Roman" w:hAnsi="Times New Roman"/>
                <w:kern w:val="0"/>
                <w:sz w:val="21"/>
                <w:highlight w:val="none"/>
                <w:vertAlign w:val="subscript"/>
              </w:rPr>
              <w:t>2</w:t>
            </w:r>
          </w:p>
        </w:tc>
        <w:tc>
          <w:tcPr>
            <w:tcW w:w="719" w:type="pct"/>
            <w:noWrap w:val="0"/>
            <w:vAlign w:val="center"/>
          </w:tcPr>
          <w:p w14:paraId="083E6946">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1h平均质量浓度</w:t>
            </w:r>
          </w:p>
        </w:tc>
        <w:tc>
          <w:tcPr>
            <w:tcW w:w="857" w:type="pct"/>
            <w:noWrap w:val="0"/>
            <w:vAlign w:val="center"/>
          </w:tcPr>
          <w:p w14:paraId="526FBACF">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最大浓度占标率</w:t>
            </w:r>
          </w:p>
        </w:tc>
        <w:tc>
          <w:tcPr>
            <w:tcW w:w="858" w:type="pct"/>
            <w:vMerge w:val="continue"/>
            <w:noWrap w:val="0"/>
            <w:vAlign w:val="center"/>
          </w:tcPr>
          <w:p w14:paraId="53535A5B">
            <w:pPr>
              <w:spacing w:line="240" w:lineRule="auto"/>
              <w:ind w:firstLine="0" w:firstLineChars="0"/>
              <w:jc w:val="center"/>
              <w:rPr>
                <w:rFonts w:ascii="Times New Roman" w:hAnsi="Times New Roman"/>
                <w:kern w:val="0"/>
                <w:sz w:val="21"/>
                <w:highlight w:val="none"/>
              </w:rPr>
            </w:pPr>
          </w:p>
        </w:tc>
      </w:tr>
      <w:tr w14:paraId="6C6308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2" w:type="pct"/>
            <w:noWrap w:val="0"/>
            <w:vAlign w:val="center"/>
          </w:tcPr>
          <w:p w14:paraId="35A92D85">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大气环境防护距离</w:t>
            </w:r>
          </w:p>
        </w:tc>
        <w:tc>
          <w:tcPr>
            <w:tcW w:w="1013" w:type="pct"/>
            <w:noWrap w:val="0"/>
            <w:vAlign w:val="center"/>
          </w:tcPr>
          <w:p w14:paraId="03834B88">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新增污染源-区域削减污染源+项目全厂现有污染源</w:t>
            </w:r>
          </w:p>
        </w:tc>
        <w:tc>
          <w:tcPr>
            <w:tcW w:w="443" w:type="pct"/>
            <w:noWrap w:val="0"/>
            <w:vAlign w:val="center"/>
          </w:tcPr>
          <w:p w14:paraId="1635761B">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正常</w:t>
            </w:r>
          </w:p>
          <w:p w14:paraId="6D861D63">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排放</w:t>
            </w:r>
          </w:p>
        </w:tc>
        <w:tc>
          <w:tcPr>
            <w:tcW w:w="743" w:type="pct"/>
            <w:noWrap w:val="0"/>
            <w:vAlign w:val="center"/>
          </w:tcPr>
          <w:p w14:paraId="2DCE165F">
            <w:pPr>
              <w:spacing w:line="240" w:lineRule="auto"/>
              <w:ind w:firstLine="0" w:firstLineChars="0"/>
              <w:jc w:val="center"/>
              <w:rPr>
                <w:rFonts w:ascii="Times New Roman" w:hAnsi="Times New Roman"/>
                <w:kern w:val="0"/>
                <w:sz w:val="21"/>
                <w:highlight w:val="none"/>
              </w:rPr>
            </w:pPr>
            <w:r>
              <w:rPr>
                <w:rFonts w:ascii="Times New Roman" w:hAnsi="Times New Roman"/>
                <w:sz w:val="21"/>
                <w:highlight w:val="none"/>
              </w:rPr>
              <w:t>PM</w:t>
            </w:r>
            <w:r>
              <w:rPr>
                <w:rFonts w:ascii="Times New Roman" w:hAnsi="Times New Roman"/>
                <w:sz w:val="21"/>
                <w:highlight w:val="none"/>
                <w:vertAlign w:val="subscript"/>
              </w:rPr>
              <w:t>10</w:t>
            </w:r>
            <w:r>
              <w:rPr>
                <w:rFonts w:ascii="Times New Roman" w:hAnsi="Times New Roman"/>
                <w:sz w:val="21"/>
                <w:highlight w:val="none"/>
              </w:rPr>
              <w:t>、SO</w:t>
            </w:r>
            <w:r>
              <w:rPr>
                <w:rFonts w:ascii="Times New Roman" w:hAnsi="Times New Roman"/>
                <w:sz w:val="21"/>
                <w:highlight w:val="none"/>
                <w:vertAlign w:val="subscript"/>
              </w:rPr>
              <w:t>2</w:t>
            </w:r>
            <w:r>
              <w:rPr>
                <w:rFonts w:ascii="Times New Roman" w:hAnsi="Times New Roman"/>
                <w:sz w:val="21"/>
                <w:highlight w:val="none"/>
              </w:rPr>
              <w:t>、NO</w:t>
            </w:r>
            <w:r>
              <w:rPr>
                <w:rFonts w:ascii="Times New Roman" w:hAnsi="Times New Roman"/>
                <w:sz w:val="21"/>
                <w:highlight w:val="none"/>
                <w:vertAlign w:val="subscript"/>
              </w:rPr>
              <w:t>2</w:t>
            </w:r>
            <w:r>
              <w:rPr>
                <w:rFonts w:ascii="Times New Roman" w:hAnsi="Times New Roman"/>
                <w:sz w:val="21"/>
                <w:highlight w:val="none"/>
              </w:rPr>
              <w:t>、NH</w:t>
            </w:r>
            <w:r>
              <w:rPr>
                <w:rFonts w:ascii="Times New Roman" w:hAnsi="Times New Roman"/>
                <w:sz w:val="21"/>
                <w:highlight w:val="none"/>
                <w:vertAlign w:val="subscript"/>
              </w:rPr>
              <w:t>3</w:t>
            </w:r>
            <w:r>
              <w:rPr>
                <w:rFonts w:ascii="Times New Roman" w:hAnsi="Times New Roman"/>
                <w:sz w:val="21"/>
                <w:highlight w:val="none"/>
              </w:rPr>
              <w:t>、Hg</w:t>
            </w:r>
          </w:p>
        </w:tc>
        <w:tc>
          <w:tcPr>
            <w:tcW w:w="719" w:type="pct"/>
            <w:noWrap w:val="0"/>
            <w:vAlign w:val="center"/>
          </w:tcPr>
          <w:p w14:paraId="28CBAD81">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短期浓度</w:t>
            </w:r>
          </w:p>
        </w:tc>
        <w:tc>
          <w:tcPr>
            <w:tcW w:w="857" w:type="pct"/>
            <w:noWrap w:val="0"/>
            <w:vAlign w:val="center"/>
          </w:tcPr>
          <w:p w14:paraId="10832356">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大气防护距离</w:t>
            </w:r>
          </w:p>
        </w:tc>
        <w:tc>
          <w:tcPr>
            <w:tcW w:w="858" w:type="pct"/>
            <w:vMerge w:val="continue"/>
            <w:noWrap w:val="0"/>
            <w:vAlign w:val="center"/>
          </w:tcPr>
          <w:p w14:paraId="7FC4B58F">
            <w:pPr>
              <w:spacing w:line="240" w:lineRule="auto"/>
              <w:ind w:firstLine="0" w:firstLineChars="0"/>
              <w:jc w:val="center"/>
              <w:rPr>
                <w:rFonts w:ascii="Times New Roman" w:hAnsi="Times New Roman"/>
                <w:kern w:val="0"/>
                <w:sz w:val="21"/>
                <w:highlight w:val="none"/>
              </w:rPr>
            </w:pPr>
          </w:p>
        </w:tc>
      </w:tr>
    </w:tbl>
    <w:p w14:paraId="7BA9690E">
      <w:pPr>
        <w:rPr>
          <w:rFonts w:ascii="Times New Roman" w:hAnsi="Times New Roman"/>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highlight w:val="none"/>
        </w:rPr>
        <w:t>5、本项目污染源强参数见表5.2-9至表5.2-12。</w:t>
      </w:r>
    </w:p>
    <w:p w14:paraId="218E27D2">
      <w:pPr>
        <w:ind w:firstLine="0" w:firstLineChars="0"/>
        <w:jc w:val="center"/>
        <w:rPr>
          <w:rFonts w:ascii="Times New Roman" w:hAnsi="Times New Roman"/>
          <w:highlight w:val="none"/>
        </w:rPr>
      </w:pPr>
      <w:r>
        <w:rPr>
          <w:rFonts w:hint="eastAsia" w:ascii="黑体" w:hAnsi="黑体" w:eastAsia="黑体" w:cs="黑体"/>
          <w:highlight w:val="none"/>
        </w:rPr>
        <w:t>表</w:t>
      </w:r>
      <w:r>
        <w:rPr>
          <w:rFonts w:hint="eastAsia" w:ascii="Times New Roman" w:hAnsi="Times New Roman"/>
          <w:highlight w:val="none"/>
          <w:lang w:val="en-US" w:eastAsia="zh-CN"/>
        </w:rPr>
        <w:t>5.2-9</w:t>
      </w:r>
      <w:r>
        <w:rPr>
          <w:rFonts w:hint="eastAsia" w:ascii="黑体" w:hAnsi="黑体" w:eastAsia="黑体" w:cs="黑体"/>
          <w:highlight w:val="none"/>
        </w:rPr>
        <w:t>本项目污染源排放参数一览表(有组织)</w:t>
      </w:r>
    </w:p>
    <w:tbl>
      <w:tblPr>
        <w:tblStyle w:val="17"/>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5" w:type="dxa"/>
          <w:bottom w:w="15" w:type="dxa"/>
          <w:right w:w="15" w:type="dxa"/>
        </w:tblCellMar>
      </w:tblPr>
      <w:tblGrid>
        <w:gridCol w:w="649"/>
        <w:gridCol w:w="542"/>
        <w:gridCol w:w="1237"/>
        <w:gridCol w:w="1134"/>
        <w:gridCol w:w="1025"/>
        <w:gridCol w:w="647"/>
        <w:gridCol w:w="806"/>
        <w:gridCol w:w="1299"/>
        <w:gridCol w:w="644"/>
        <w:gridCol w:w="764"/>
        <w:gridCol w:w="476"/>
        <w:gridCol w:w="904"/>
        <w:gridCol w:w="764"/>
        <w:gridCol w:w="1098"/>
        <w:gridCol w:w="1033"/>
        <w:gridCol w:w="966"/>
      </w:tblGrid>
      <w:tr w14:paraId="454D04F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668" w:hRule="atLeast"/>
        </w:trPr>
        <w:tc>
          <w:tcPr>
            <w:tcW w:w="231" w:type="pct"/>
            <w:vMerge w:val="restart"/>
            <w:tcBorders>
              <w:right w:val="single" w:color="000000" w:sz="4" w:space="0"/>
            </w:tcBorders>
            <w:shd w:val="clear" w:color="auto" w:fill="FFFFFF"/>
            <w:noWrap w:val="0"/>
            <w:vAlign w:val="center"/>
          </w:tcPr>
          <w:p w14:paraId="3996508C">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编号</w:t>
            </w:r>
          </w:p>
        </w:tc>
        <w:tc>
          <w:tcPr>
            <w:tcW w:w="194" w:type="pct"/>
            <w:vMerge w:val="restart"/>
            <w:tcBorders>
              <w:left w:val="single" w:color="000000" w:sz="4" w:space="0"/>
              <w:right w:val="single" w:color="000000" w:sz="4" w:space="0"/>
            </w:tcBorders>
            <w:shd w:val="clear" w:color="auto" w:fill="FFFFFF"/>
            <w:noWrap w:val="0"/>
            <w:vAlign w:val="center"/>
          </w:tcPr>
          <w:p w14:paraId="049042D3">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名称</w:t>
            </w:r>
          </w:p>
        </w:tc>
        <w:tc>
          <w:tcPr>
            <w:tcW w:w="847" w:type="pct"/>
            <w:gridSpan w:val="2"/>
            <w:tcBorders>
              <w:left w:val="single" w:color="000000" w:sz="4" w:space="0"/>
              <w:right w:val="single" w:color="000000" w:sz="4" w:space="0"/>
            </w:tcBorders>
            <w:shd w:val="clear" w:color="auto" w:fill="FFFFFF"/>
            <w:noWrap w:val="0"/>
            <w:vAlign w:val="center"/>
          </w:tcPr>
          <w:p w14:paraId="38B523D2">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排气筒底部中心坐标</w:t>
            </w:r>
            <w:r>
              <w:rPr>
                <w:rFonts w:hint="eastAsia" w:ascii="Times New Roman" w:hAnsi="Times New Roman"/>
                <w:kern w:val="0"/>
                <w:sz w:val="21"/>
                <w:highlight w:val="none"/>
                <w:lang w:bidi="ar"/>
              </w:rPr>
              <w:t>/m</w:t>
            </w:r>
          </w:p>
        </w:tc>
        <w:tc>
          <w:tcPr>
            <w:tcW w:w="366" w:type="pct"/>
            <w:vMerge w:val="restart"/>
            <w:tcBorders>
              <w:left w:val="single" w:color="000000" w:sz="4" w:space="0"/>
              <w:right w:val="single" w:color="000000" w:sz="4" w:space="0"/>
            </w:tcBorders>
            <w:shd w:val="clear" w:color="auto" w:fill="FFFFFF"/>
            <w:noWrap w:val="0"/>
            <w:vAlign w:val="center"/>
          </w:tcPr>
          <w:p w14:paraId="7F774357">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排气筒底部海拔高度/m</w:t>
            </w:r>
          </w:p>
        </w:tc>
        <w:tc>
          <w:tcPr>
            <w:tcW w:w="231" w:type="pct"/>
            <w:vMerge w:val="restart"/>
            <w:tcBorders>
              <w:left w:val="single" w:color="000000" w:sz="4" w:space="0"/>
              <w:right w:val="single" w:color="000000" w:sz="4" w:space="0"/>
            </w:tcBorders>
            <w:shd w:val="clear" w:color="auto" w:fill="FFFFFF"/>
            <w:noWrap w:val="0"/>
            <w:vAlign w:val="center"/>
          </w:tcPr>
          <w:p w14:paraId="68E05530">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排气筒高度/m</w:t>
            </w:r>
          </w:p>
        </w:tc>
        <w:tc>
          <w:tcPr>
            <w:tcW w:w="288" w:type="pct"/>
            <w:vMerge w:val="restart"/>
            <w:tcBorders>
              <w:left w:val="single" w:color="000000" w:sz="4" w:space="0"/>
              <w:right w:val="single" w:color="000000" w:sz="4" w:space="0"/>
            </w:tcBorders>
            <w:shd w:val="clear" w:color="auto" w:fill="FFFFFF"/>
            <w:noWrap w:val="0"/>
            <w:vAlign w:val="center"/>
          </w:tcPr>
          <w:p w14:paraId="7EF3BCD1">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排气筒出口内径/m</w:t>
            </w:r>
          </w:p>
        </w:tc>
        <w:tc>
          <w:tcPr>
            <w:tcW w:w="464" w:type="pct"/>
            <w:vMerge w:val="restart"/>
            <w:tcBorders>
              <w:left w:val="single" w:color="000000" w:sz="4" w:space="0"/>
              <w:right w:val="single" w:color="000000" w:sz="4" w:space="0"/>
            </w:tcBorders>
            <w:shd w:val="clear" w:color="auto" w:fill="FFFFFF"/>
            <w:noWrap w:val="0"/>
            <w:vAlign w:val="center"/>
          </w:tcPr>
          <w:p w14:paraId="7D51BBF3">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烟气</w:t>
            </w:r>
            <w:r>
              <w:rPr>
                <w:rFonts w:hint="eastAsia" w:ascii="Times New Roman" w:hAnsi="Times New Roman"/>
                <w:kern w:val="0"/>
                <w:sz w:val="21"/>
                <w:highlight w:val="none"/>
                <w:lang w:bidi="ar"/>
              </w:rPr>
              <w:t>流量</w:t>
            </w:r>
            <w:r>
              <w:rPr>
                <w:rFonts w:ascii="Times New Roman" w:hAnsi="Times New Roman"/>
                <w:kern w:val="0"/>
                <w:sz w:val="21"/>
                <w:highlight w:val="none"/>
                <w:lang w:bidi="ar"/>
              </w:rPr>
              <w:t>/（m</w:t>
            </w:r>
            <w:r>
              <w:rPr>
                <w:rFonts w:ascii="Times New Roman" w:hAnsi="Times New Roman"/>
                <w:kern w:val="0"/>
                <w:sz w:val="21"/>
                <w:highlight w:val="none"/>
                <w:vertAlign w:val="superscript"/>
                <w:lang w:bidi="ar"/>
              </w:rPr>
              <w:t>3</w:t>
            </w:r>
            <w:r>
              <w:rPr>
                <w:rFonts w:ascii="Times New Roman" w:hAnsi="Times New Roman"/>
                <w:kern w:val="0"/>
                <w:sz w:val="21"/>
                <w:highlight w:val="none"/>
                <w:lang w:bidi="ar"/>
              </w:rPr>
              <w:t>/h）</w:t>
            </w:r>
          </w:p>
        </w:tc>
        <w:tc>
          <w:tcPr>
            <w:tcW w:w="230" w:type="pct"/>
            <w:vMerge w:val="restart"/>
            <w:tcBorders>
              <w:left w:val="single" w:color="000000" w:sz="4" w:space="0"/>
              <w:right w:val="single" w:color="000000" w:sz="4" w:space="0"/>
            </w:tcBorders>
            <w:shd w:val="clear" w:color="auto" w:fill="FFFFFF"/>
            <w:noWrap w:val="0"/>
            <w:vAlign w:val="center"/>
          </w:tcPr>
          <w:p w14:paraId="26323FB0">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烟气温度/</w:t>
            </w:r>
            <w:r>
              <w:rPr>
                <w:rFonts w:hint="eastAsia" w:ascii="宋体" w:hAnsi="宋体" w:cs="宋体"/>
                <w:kern w:val="0"/>
                <w:sz w:val="21"/>
                <w:highlight w:val="none"/>
                <w:lang w:bidi="ar"/>
              </w:rPr>
              <w:t>℃</w:t>
            </w:r>
          </w:p>
        </w:tc>
        <w:tc>
          <w:tcPr>
            <w:tcW w:w="273" w:type="pct"/>
            <w:vMerge w:val="restart"/>
            <w:tcBorders>
              <w:left w:val="single" w:color="000000" w:sz="4" w:space="0"/>
              <w:right w:val="single" w:color="000000" w:sz="4" w:space="0"/>
            </w:tcBorders>
            <w:shd w:val="clear" w:color="auto" w:fill="FFFFFF"/>
            <w:noWrap w:val="0"/>
            <w:vAlign w:val="center"/>
          </w:tcPr>
          <w:p w14:paraId="44BE2E8B">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年排放小时数/h</w:t>
            </w:r>
          </w:p>
        </w:tc>
        <w:tc>
          <w:tcPr>
            <w:tcW w:w="170" w:type="pct"/>
            <w:vMerge w:val="restart"/>
            <w:tcBorders>
              <w:left w:val="single" w:color="000000" w:sz="4" w:space="0"/>
              <w:right w:val="single" w:color="000000" w:sz="4" w:space="0"/>
            </w:tcBorders>
            <w:shd w:val="clear" w:color="auto" w:fill="FFFFFF"/>
            <w:noWrap w:val="0"/>
            <w:vAlign w:val="center"/>
          </w:tcPr>
          <w:p w14:paraId="2828C61B">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排放工况</w:t>
            </w:r>
          </w:p>
        </w:tc>
        <w:tc>
          <w:tcPr>
            <w:tcW w:w="1702" w:type="pct"/>
            <w:gridSpan w:val="5"/>
            <w:tcBorders>
              <w:left w:val="single" w:color="000000" w:sz="4" w:space="0"/>
              <w:right w:val="nil"/>
            </w:tcBorders>
            <w:shd w:val="clear" w:color="auto" w:fill="FFFFFF"/>
            <w:noWrap w:val="0"/>
            <w:vAlign w:val="center"/>
          </w:tcPr>
          <w:p w14:paraId="2452FCD7">
            <w:pPr>
              <w:widowControl/>
              <w:spacing w:line="240" w:lineRule="auto"/>
              <w:ind w:firstLine="0" w:firstLineChars="0"/>
              <w:jc w:val="center"/>
              <w:textAlignment w:val="center"/>
              <w:rPr>
                <w:rFonts w:ascii="Times New Roman" w:hAnsi="Times New Roman"/>
                <w:kern w:val="0"/>
                <w:sz w:val="21"/>
                <w:highlight w:val="none"/>
                <w:lang w:bidi="ar"/>
              </w:rPr>
            </w:pPr>
            <w:r>
              <w:rPr>
                <w:rFonts w:ascii="Times New Roman" w:hAnsi="Times New Roman"/>
                <w:kern w:val="0"/>
                <w:sz w:val="21"/>
                <w:highlight w:val="none"/>
                <w:lang w:bidi="ar"/>
              </w:rPr>
              <w:t>污染物排放速率/kg/h</w:t>
            </w:r>
          </w:p>
        </w:tc>
      </w:tr>
      <w:tr w14:paraId="375E27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16" w:hRule="atLeast"/>
        </w:trPr>
        <w:tc>
          <w:tcPr>
            <w:tcW w:w="231" w:type="pct"/>
            <w:vMerge w:val="continue"/>
            <w:tcBorders>
              <w:right w:val="single" w:color="000000" w:sz="4" w:space="0"/>
            </w:tcBorders>
            <w:shd w:val="clear" w:color="auto" w:fill="FFFFFF"/>
            <w:noWrap w:val="0"/>
            <w:vAlign w:val="center"/>
          </w:tcPr>
          <w:p w14:paraId="77A6578A">
            <w:pPr>
              <w:spacing w:line="240" w:lineRule="auto"/>
              <w:ind w:firstLine="0" w:firstLineChars="0"/>
              <w:jc w:val="center"/>
              <w:rPr>
                <w:rFonts w:ascii="Times New Roman" w:hAnsi="Times New Roman"/>
                <w:kern w:val="0"/>
                <w:sz w:val="21"/>
                <w:highlight w:val="none"/>
              </w:rPr>
            </w:pPr>
          </w:p>
        </w:tc>
        <w:tc>
          <w:tcPr>
            <w:tcW w:w="194" w:type="pct"/>
            <w:vMerge w:val="continue"/>
            <w:tcBorders>
              <w:left w:val="single" w:color="000000" w:sz="4" w:space="0"/>
              <w:right w:val="single" w:color="000000" w:sz="4" w:space="0"/>
            </w:tcBorders>
            <w:shd w:val="clear" w:color="auto" w:fill="FFFFFF"/>
            <w:noWrap w:val="0"/>
            <w:vAlign w:val="center"/>
          </w:tcPr>
          <w:p w14:paraId="2D49A361">
            <w:pPr>
              <w:spacing w:line="240" w:lineRule="auto"/>
              <w:ind w:firstLine="0" w:firstLineChars="0"/>
              <w:jc w:val="center"/>
              <w:rPr>
                <w:rFonts w:ascii="Times New Roman" w:hAnsi="Times New Roman"/>
                <w:kern w:val="0"/>
                <w:sz w:val="21"/>
                <w:highlight w:val="none"/>
              </w:rPr>
            </w:pPr>
          </w:p>
        </w:tc>
        <w:tc>
          <w:tcPr>
            <w:tcW w:w="442" w:type="pct"/>
            <w:tcBorders>
              <w:left w:val="single" w:color="000000" w:sz="4" w:space="0"/>
              <w:right w:val="single" w:color="000000" w:sz="4" w:space="0"/>
            </w:tcBorders>
            <w:shd w:val="clear" w:color="auto" w:fill="FFFFFF"/>
            <w:noWrap w:val="0"/>
            <w:vAlign w:val="center"/>
          </w:tcPr>
          <w:p w14:paraId="5D8048D8">
            <w:pPr>
              <w:tabs>
                <w:tab w:val="left" w:pos="1517"/>
              </w:tabs>
              <w:spacing w:line="240" w:lineRule="auto"/>
              <w:ind w:firstLine="0" w:firstLineChars="0"/>
              <w:jc w:val="center"/>
              <w:rPr>
                <w:rFonts w:ascii="Times New Roman" w:hAnsi="Times New Roman"/>
                <w:iCs/>
                <w:kern w:val="0"/>
                <w:sz w:val="21"/>
                <w:highlight w:val="none"/>
              </w:rPr>
            </w:pPr>
            <w:r>
              <w:rPr>
                <w:rFonts w:hint="eastAsia" w:ascii="Times New Roman" w:hAnsi="Times New Roman"/>
                <w:kern w:val="0"/>
                <w:sz w:val="21"/>
                <w:szCs w:val="21"/>
                <w:highlight w:val="none"/>
              </w:rPr>
              <w:t>X</w:t>
            </w:r>
          </w:p>
        </w:tc>
        <w:tc>
          <w:tcPr>
            <w:tcW w:w="405" w:type="pct"/>
            <w:tcBorders>
              <w:left w:val="single" w:color="000000" w:sz="4" w:space="0"/>
              <w:right w:val="single" w:color="000000" w:sz="4" w:space="0"/>
            </w:tcBorders>
            <w:shd w:val="clear" w:color="auto" w:fill="FFFFFF"/>
            <w:noWrap w:val="0"/>
            <w:vAlign w:val="center"/>
          </w:tcPr>
          <w:p w14:paraId="25BBA913">
            <w:pPr>
              <w:tabs>
                <w:tab w:val="left" w:pos="1517"/>
              </w:tabs>
              <w:spacing w:line="240" w:lineRule="auto"/>
              <w:ind w:firstLine="0" w:firstLineChars="0"/>
              <w:jc w:val="center"/>
              <w:rPr>
                <w:rFonts w:ascii="Times New Roman" w:hAnsi="Times New Roman"/>
                <w:iCs/>
                <w:kern w:val="0"/>
                <w:sz w:val="21"/>
                <w:highlight w:val="none"/>
              </w:rPr>
            </w:pPr>
            <w:r>
              <w:rPr>
                <w:rFonts w:hint="eastAsia" w:ascii="Times New Roman" w:hAnsi="Times New Roman"/>
                <w:kern w:val="0"/>
                <w:sz w:val="21"/>
                <w:szCs w:val="21"/>
                <w:highlight w:val="none"/>
              </w:rPr>
              <w:t>Y</w:t>
            </w:r>
          </w:p>
        </w:tc>
        <w:tc>
          <w:tcPr>
            <w:tcW w:w="366" w:type="pct"/>
            <w:vMerge w:val="continue"/>
            <w:tcBorders>
              <w:left w:val="single" w:color="000000" w:sz="4" w:space="0"/>
              <w:right w:val="single" w:color="000000" w:sz="4" w:space="0"/>
            </w:tcBorders>
            <w:shd w:val="clear" w:color="auto" w:fill="FFFFFF"/>
            <w:noWrap w:val="0"/>
            <w:vAlign w:val="center"/>
          </w:tcPr>
          <w:p w14:paraId="78F564DC">
            <w:pPr>
              <w:spacing w:line="240" w:lineRule="auto"/>
              <w:ind w:firstLine="0" w:firstLineChars="0"/>
              <w:jc w:val="center"/>
              <w:rPr>
                <w:rFonts w:ascii="Times New Roman" w:hAnsi="Times New Roman"/>
                <w:kern w:val="0"/>
                <w:sz w:val="21"/>
                <w:highlight w:val="none"/>
              </w:rPr>
            </w:pPr>
          </w:p>
        </w:tc>
        <w:tc>
          <w:tcPr>
            <w:tcW w:w="231" w:type="pct"/>
            <w:vMerge w:val="continue"/>
            <w:tcBorders>
              <w:left w:val="single" w:color="000000" w:sz="4" w:space="0"/>
              <w:right w:val="single" w:color="000000" w:sz="4" w:space="0"/>
            </w:tcBorders>
            <w:shd w:val="clear" w:color="auto" w:fill="FFFFFF"/>
            <w:noWrap w:val="0"/>
            <w:vAlign w:val="center"/>
          </w:tcPr>
          <w:p w14:paraId="7B04CADD">
            <w:pPr>
              <w:spacing w:line="240" w:lineRule="auto"/>
              <w:ind w:firstLine="0" w:firstLineChars="0"/>
              <w:jc w:val="center"/>
              <w:rPr>
                <w:rFonts w:ascii="Times New Roman" w:hAnsi="Times New Roman"/>
                <w:kern w:val="0"/>
                <w:sz w:val="21"/>
                <w:highlight w:val="none"/>
              </w:rPr>
            </w:pPr>
          </w:p>
        </w:tc>
        <w:tc>
          <w:tcPr>
            <w:tcW w:w="288" w:type="pct"/>
            <w:vMerge w:val="continue"/>
            <w:tcBorders>
              <w:left w:val="single" w:color="000000" w:sz="4" w:space="0"/>
              <w:right w:val="single" w:color="000000" w:sz="4" w:space="0"/>
            </w:tcBorders>
            <w:shd w:val="clear" w:color="auto" w:fill="FFFFFF"/>
            <w:noWrap w:val="0"/>
            <w:vAlign w:val="center"/>
          </w:tcPr>
          <w:p w14:paraId="1CCD93D4">
            <w:pPr>
              <w:spacing w:line="240" w:lineRule="auto"/>
              <w:ind w:firstLine="0" w:firstLineChars="0"/>
              <w:jc w:val="center"/>
              <w:rPr>
                <w:rFonts w:ascii="Times New Roman" w:hAnsi="Times New Roman"/>
                <w:kern w:val="0"/>
                <w:sz w:val="21"/>
                <w:highlight w:val="none"/>
              </w:rPr>
            </w:pPr>
          </w:p>
        </w:tc>
        <w:tc>
          <w:tcPr>
            <w:tcW w:w="464" w:type="pct"/>
            <w:vMerge w:val="continue"/>
            <w:tcBorders>
              <w:left w:val="single" w:color="000000" w:sz="4" w:space="0"/>
              <w:right w:val="single" w:color="000000" w:sz="4" w:space="0"/>
            </w:tcBorders>
            <w:shd w:val="clear" w:color="auto" w:fill="FFFFFF"/>
            <w:noWrap w:val="0"/>
            <w:vAlign w:val="center"/>
          </w:tcPr>
          <w:p w14:paraId="0B723393">
            <w:pPr>
              <w:spacing w:line="240" w:lineRule="auto"/>
              <w:ind w:firstLine="0" w:firstLineChars="0"/>
              <w:jc w:val="center"/>
              <w:rPr>
                <w:rFonts w:ascii="Times New Roman" w:hAnsi="Times New Roman"/>
                <w:kern w:val="0"/>
                <w:sz w:val="21"/>
                <w:highlight w:val="none"/>
              </w:rPr>
            </w:pPr>
          </w:p>
        </w:tc>
        <w:tc>
          <w:tcPr>
            <w:tcW w:w="230" w:type="pct"/>
            <w:vMerge w:val="continue"/>
            <w:tcBorders>
              <w:left w:val="single" w:color="000000" w:sz="4" w:space="0"/>
              <w:right w:val="single" w:color="000000" w:sz="4" w:space="0"/>
            </w:tcBorders>
            <w:shd w:val="clear" w:color="auto" w:fill="FFFFFF"/>
            <w:noWrap w:val="0"/>
            <w:vAlign w:val="center"/>
          </w:tcPr>
          <w:p w14:paraId="7988FA0E">
            <w:pPr>
              <w:spacing w:line="240" w:lineRule="auto"/>
              <w:ind w:firstLine="0" w:firstLineChars="0"/>
              <w:jc w:val="center"/>
              <w:rPr>
                <w:rFonts w:ascii="Times New Roman" w:hAnsi="Times New Roman"/>
                <w:kern w:val="0"/>
                <w:sz w:val="21"/>
                <w:highlight w:val="none"/>
              </w:rPr>
            </w:pPr>
          </w:p>
        </w:tc>
        <w:tc>
          <w:tcPr>
            <w:tcW w:w="273" w:type="pct"/>
            <w:vMerge w:val="continue"/>
            <w:tcBorders>
              <w:left w:val="single" w:color="000000" w:sz="4" w:space="0"/>
              <w:right w:val="single" w:color="000000" w:sz="4" w:space="0"/>
            </w:tcBorders>
            <w:shd w:val="clear" w:color="auto" w:fill="FFFFFF"/>
            <w:noWrap w:val="0"/>
            <w:vAlign w:val="center"/>
          </w:tcPr>
          <w:p w14:paraId="2927F340">
            <w:pPr>
              <w:spacing w:line="240" w:lineRule="auto"/>
              <w:ind w:firstLine="0" w:firstLineChars="0"/>
              <w:jc w:val="center"/>
              <w:rPr>
                <w:rFonts w:ascii="Times New Roman" w:hAnsi="Times New Roman"/>
                <w:kern w:val="0"/>
                <w:sz w:val="21"/>
                <w:highlight w:val="none"/>
              </w:rPr>
            </w:pPr>
          </w:p>
        </w:tc>
        <w:tc>
          <w:tcPr>
            <w:tcW w:w="170" w:type="pct"/>
            <w:vMerge w:val="continue"/>
            <w:tcBorders>
              <w:left w:val="single" w:color="000000" w:sz="4" w:space="0"/>
              <w:right w:val="single" w:color="000000" w:sz="4" w:space="0"/>
            </w:tcBorders>
            <w:shd w:val="clear" w:color="auto" w:fill="FFFFFF"/>
            <w:noWrap w:val="0"/>
            <w:vAlign w:val="center"/>
          </w:tcPr>
          <w:p w14:paraId="6520507B">
            <w:pPr>
              <w:spacing w:line="240" w:lineRule="auto"/>
              <w:ind w:firstLine="0" w:firstLineChars="0"/>
              <w:jc w:val="center"/>
              <w:rPr>
                <w:rFonts w:ascii="Times New Roman" w:hAnsi="Times New Roman"/>
                <w:kern w:val="0"/>
                <w:sz w:val="21"/>
                <w:highlight w:val="none"/>
              </w:rPr>
            </w:pPr>
          </w:p>
        </w:tc>
        <w:tc>
          <w:tcPr>
            <w:tcW w:w="323" w:type="pct"/>
            <w:tcBorders>
              <w:left w:val="single" w:color="000000" w:sz="4" w:space="0"/>
              <w:right w:val="single" w:color="000000" w:sz="4" w:space="0"/>
            </w:tcBorders>
            <w:shd w:val="clear" w:color="auto" w:fill="FFFFFF"/>
            <w:noWrap w:val="0"/>
            <w:vAlign w:val="center"/>
          </w:tcPr>
          <w:p w14:paraId="183F52E8">
            <w:pPr>
              <w:widowControl/>
              <w:spacing w:line="240" w:lineRule="auto"/>
              <w:ind w:firstLine="0" w:firstLineChars="0"/>
              <w:jc w:val="center"/>
              <w:textAlignment w:val="center"/>
              <w:rPr>
                <w:rFonts w:ascii="Times New Roman" w:hAnsi="Times New Roman"/>
                <w:kern w:val="0"/>
                <w:sz w:val="21"/>
                <w:highlight w:val="none"/>
              </w:rPr>
            </w:pPr>
            <w:r>
              <w:rPr>
                <w:rFonts w:hint="eastAsia" w:ascii="Times New Roman" w:hAnsi="Times New Roman"/>
                <w:sz w:val="21"/>
                <w:highlight w:val="none"/>
              </w:rPr>
              <w:t>烟尘（PM</w:t>
            </w:r>
            <w:r>
              <w:rPr>
                <w:rFonts w:hint="eastAsia" w:ascii="Times New Roman" w:hAnsi="Times New Roman"/>
                <w:sz w:val="21"/>
                <w:highlight w:val="none"/>
                <w:vertAlign w:val="subscript"/>
              </w:rPr>
              <w:t>10</w:t>
            </w:r>
            <w:r>
              <w:rPr>
                <w:rFonts w:hint="eastAsia" w:ascii="Times New Roman" w:hAnsi="Times New Roman"/>
                <w:sz w:val="21"/>
                <w:highlight w:val="none"/>
              </w:rPr>
              <w:t>）</w:t>
            </w:r>
          </w:p>
        </w:tc>
        <w:tc>
          <w:tcPr>
            <w:tcW w:w="273" w:type="pct"/>
            <w:tcBorders>
              <w:left w:val="single" w:color="000000" w:sz="4" w:space="0"/>
              <w:right w:val="single" w:color="000000" w:sz="4" w:space="0"/>
            </w:tcBorders>
            <w:shd w:val="clear" w:color="auto" w:fill="FFFFFF"/>
            <w:noWrap w:val="0"/>
            <w:vAlign w:val="center"/>
          </w:tcPr>
          <w:p w14:paraId="251183DC">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sz w:val="21"/>
                <w:highlight w:val="none"/>
              </w:rPr>
              <w:t>SO</w:t>
            </w:r>
            <w:r>
              <w:rPr>
                <w:rFonts w:ascii="Times New Roman" w:hAnsi="Times New Roman"/>
                <w:sz w:val="21"/>
                <w:highlight w:val="none"/>
                <w:vertAlign w:val="subscript"/>
              </w:rPr>
              <w:t>2</w:t>
            </w:r>
          </w:p>
        </w:tc>
        <w:tc>
          <w:tcPr>
            <w:tcW w:w="392" w:type="pct"/>
            <w:tcBorders>
              <w:left w:val="single" w:color="000000" w:sz="4" w:space="0"/>
              <w:right w:val="nil"/>
            </w:tcBorders>
            <w:noWrap w:val="0"/>
            <w:vAlign w:val="center"/>
          </w:tcPr>
          <w:p w14:paraId="30A516E6">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sz w:val="21"/>
                <w:highlight w:val="none"/>
              </w:rPr>
              <w:t>NO</w:t>
            </w:r>
            <w:r>
              <w:rPr>
                <w:rFonts w:ascii="Times New Roman" w:hAnsi="Times New Roman"/>
                <w:sz w:val="21"/>
                <w:highlight w:val="none"/>
                <w:vertAlign w:val="subscript"/>
              </w:rPr>
              <w:t>x</w:t>
            </w:r>
          </w:p>
        </w:tc>
        <w:tc>
          <w:tcPr>
            <w:tcW w:w="369" w:type="pct"/>
            <w:tcBorders>
              <w:left w:val="single" w:color="000000" w:sz="4" w:space="0"/>
              <w:right w:val="nil"/>
            </w:tcBorders>
            <w:noWrap w:val="0"/>
            <w:vAlign w:val="center"/>
          </w:tcPr>
          <w:p w14:paraId="68E7B03F">
            <w:pPr>
              <w:widowControl/>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Hg</w:t>
            </w:r>
          </w:p>
        </w:tc>
        <w:tc>
          <w:tcPr>
            <w:tcW w:w="344" w:type="pct"/>
            <w:tcBorders>
              <w:left w:val="single" w:color="000000" w:sz="4" w:space="0"/>
              <w:right w:val="nil"/>
            </w:tcBorders>
            <w:noWrap w:val="0"/>
            <w:vAlign w:val="center"/>
          </w:tcPr>
          <w:p w14:paraId="49CD14BB">
            <w:pPr>
              <w:widowControl/>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氨</w:t>
            </w:r>
          </w:p>
        </w:tc>
      </w:tr>
      <w:tr w14:paraId="4DF9F5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16" w:hRule="atLeast"/>
        </w:trPr>
        <w:tc>
          <w:tcPr>
            <w:tcW w:w="231" w:type="pct"/>
            <w:tcBorders>
              <w:right w:val="single" w:color="000000" w:sz="4" w:space="0"/>
            </w:tcBorders>
            <w:noWrap w:val="0"/>
            <w:vAlign w:val="center"/>
          </w:tcPr>
          <w:p w14:paraId="7D63C300">
            <w:pPr>
              <w:widowControl/>
              <w:spacing w:line="240" w:lineRule="auto"/>
              <w:ind w:firstLine="0" w:firstLineChars="0"/>
              <w:jc w:val="center"/>
              <w:textAlignment w:val="center"/>
              <w:rPr>
                <w:rFonts w:hint="eastAsia" w:ascii="Times New Roman" w:hAnsi="Times New Roman" w:eastAsia="宋体"/>
                <w:kern w:val="0"/>
                <w:sz w:val="21"/>
                <w:highlight w:val="none"/>
                <w:lang w:eastAsia="zh-CN"/>
              </w:rPr>
            </w:pPr>
            <w:r>
              <w:rPr>
                <w:rFonts w:ascii="Times New Roman" w:hAnsi="Times New Roman"/>
                <w:kern w:val="0"/>
                <w:sz w:val="21"/>
                <w:highlight w:val="none"/>
                <w:lang w:bidi="ar"/>
              </w:rPr>
              <w:t>DA00</w:t>
            </w:r>
            <w:r>
              <w:rPr>
                <w:rFonts w:hint="eastAsia" w:ascii="Times New Roman" w:hAnsi="Times New Roman"/>
                <w:kern w:val="0"/>
                <w:sz w:val="21"/>
                <w:highlight w:val="none"/>
                <w:lang w:val="en-US" w:eastAsia="zh-CN" w:bidi="ar"/>
              </w:rPr>
              <w:t>1</w:t>
            </w:r>
          </w:p>
        </w:tc>
        <w:tc>
          <w:tcPr>
            <w:tcW w:w="194" w:type="pct"/>
            <w:tcBorders>
              <w:left w:val="single" w:color="000000" w:sz="4" w:space="0"/>
              <w:right w:val="single" w:color="000000" w:sz="4" w:space="0"/>
            </w:tcBorders>
            <w:noWrap w:val="0"/>
            <w:vAlign w:val="center"/>
          </w:tcPr>
          <w:p w14:paraId="79AD27A5">
            <w:pPr>
              <w:widowControl/>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锅炉排气筒</w:t>
            </w:r>
          </w:p>
        </w:tc>
        <w:tc>
          <w:tcPr>
            <w:tcW w:w="442" w:type="pct"/>
            <w:tcBorders>
              <w:left w:val="single" w:color="000000" w:sz="4" w:space="0"/>
              <w:right w:val="single" w:color="000000" w:sz="4" w:space="0"/>
            </w:tcBorders>
            <w:noWrap w:val="0"/>
            <w:vAlign w:val="center"/>
          </w:tcPr>
          <w:p w14:paraId="5E58C351">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21</w:t>
            </w:r>
          </w:p>
        </w:tc>
        <w:tc>
          <w:tcPr>
            <w:tcW w:w="405" w:type="pct"/>
            <w:tcBorders>
              <w:left w:val="single" w:color="000000" w:sz="4" w:space="0"/>
              <w:right w:val="single" w:color="000000" w:sz="4" w:space="0"/>
            </w:tcBorders>
            <w:noWrap w:val="0"/>
            <w:vAlign w:val="center"/>
          </w:tcPr>
          <w:p w14:paraId="43F13572">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14</w:t>
            </w:r>
          </w:p>
        </w:tc>
        <w:tc>
          <w:tcPr>
            <w:tcW w:w="366" w:type="pct"/>
            <w:tcBorders>
              <w:left w:val="single" w:color="000000" w:sz="4" w:space="0"/>
              <w:right w:val="single" w:color="000000" w:sz="4" w:space="0"/>
            </w:tcBorders>
            <w:noWrap w:val="0"/>
            <w:vAlign w:val="center"/>
          </w:tcPr>
          <w:p w14:paraId="4C77BA97">
            <w:pPr>
              <w:widowControl/>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458</w:t>
            </w:r>
          </w:p>
        </w:tc>
        <w:tc>
          <w:tcPr>
            <w:tcW w:w="231" w:type="pct"/>
            <w:tcBorders>
              <w:left w:val="single" w:color="000000" w:sz="4" w:space="0"/>
              <w:right w:val="single" w:color="000000" w:sz="4" w:space="0"/>
            </w:tcBorders>
            <w:noWrap w:val="0"/>
            <w:vAlign w:val="center"/>
          </w:tcPr>
          <w:p w14:paraId="7B9D63E8">
            <w:pPr>
              <w:widowControl/>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60</w:t>
            </w:r>
          </w:p>
        </w:tc>
        <w:tc>
          <w:tcPr>
            <w:tcW w:w="288" w:type="pct"/>
            <w:tcBorders>
              <w:left w:val="single" w:color="000000" w:sz="4" w:space="0"/>
              <w:right w:val="single" w:color="000000" w:sz="4" w:space="0"/>
            </w:tcBorders>
            <w:noWrap w:val="0"/>
            <w:vAlign w:val="center"/>
          </w:tcPr>
          <w:p w14:paraId="6C4A2DFE">
            <w:pPr>
              <w:widowControl/>
              <w:spacing w:line="240" w:lineRule="auto"/>
              <w:ind w:firstLine="0" w:firstLineChars="0"/>
              <w:jc w:val="center"/>
              <w:textAlignment w:val="center"/>
              <w:rPr>
                <w:rFonts w:hint="eastAsia" w:ascii="Times New Roman" w:hAnsi="Times New Roman" w:eastAsia="宋体"/>
                <w:kern w:val="0"/>
                <w:sz w:val="21"/>
                <w:highlight w:val="none"/>
                <w:lang w:eastAsia="zh-CN"/>
              </w:rPr>
            </w:pPr>
            <w:r>
              <w:rPr>
                <w:rFonts w:hint="eastAsia" w:ascii="Times New Roman" w:hAnsi="Times New Roman"/>
                <w:kern w:val="0"/>
                <w:sz w:val="21"/>
                <w:highlight w:val="none"/>
                <w:lang w:val="en-US" w:eastAsia="zh-CN"/>
              </w:rPr>
              <w:t>4</w:t>
            </w:r>
          </w:p>
        </w:tc>
        <w:tc>
          <w:tcPr>
            <w:tcW w:w="464" w:type="pct"/>
            <w:tcBorders>
              <w:left w:val="single" w:color="000000" w:sz="4" w:space="0"/>
              <w:right w:val="single" w:color="000000" w:sz="4" w:space="0"/>
            </w:tcBorders>
            <w:noWrap w:val="0"/>
            <w:vAlign w:val="center"/>
          </w:tcPr>
          <w:p w14:paraId="0991749C">
            <w:pPr>
              <w:widowControl/>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298649</w:t>
            </w:r>
          </w:p>
        </w:tc>
        <w:tc>
          <w:tcPr>
            <w:tcW w:w="230" w:type="pct"/>
            <w:tcBorders>
              <w:left w:val="single" w:color="000000" w:sz="4" w:space="0"/>
              <w:right w:val="single" w:color="000000" w:sz="4" w:space="0"/>
            </w:tcBorders>
            <w:noWrap w:val="0"/>
            <w:vAlign w:val="center"/>
          </w:tcPr>
          <w:p w14:paraId="77B4DDC1">
            <w:pPr>
              <w:widowControl/>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100</w:t>
            </w:r>
          </w:p>
        </w:tc>
        <w:tc>
          <w:tcPr>
            <w:tcW w:w="273" w:type="pct"/>
            <w:tcBorders>
              <w:left w:val="single" w:color="000000" w:sz="4" w:space="0"/>
              <w:right w:val="single" w:color="000000" w:sz="4" w:space="0"/>
            </w:tcBorders>
            <w:noWrap w:val="0"/>
            <w:vAlign w:val="center"/>
          </w:tcPr>
          <w:p w14:paraId="1787AA17">
            <w:pPr>
              <w:widowControl/>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bidi="ar"/>
              </w:rPr>
              <w:t>5040</w:t>
            </w:r>
          </w:p>
        </w:tc>
        <w:tc>
          <w:tcPr>
            <w:tcW w:w="170" w:type="pct"/>
            <w:tcBorders>
              <w:left w:val="single" w:color="000000" w:sz="4" w:space="0"/>
              <w:right w:val="single" w:color="000000" w:sz="4" w:space="0"/>
            </w:tcBorders>
            <w:noWrap w:val="0"/>
            <w:vAlign w:val="center"/>
          </w:tcPr>
          <w:p w14:paraId="44A42A0E">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正常</w:t>
            </w:r>
          </w:p>
        </w:tc>
        <w:tc>
          <w:tcPr>
            <w:tcW w:w="323" w:type="pct"/>
            <w:tcBorders>
              <w:left w:val="single" w:color="000000" w:sz="4" w:space="0"/>
              <w:right w:val="single" w:color="000000" w:sz="4" w:space="0"/>
            </w:tcBorders>
            <w:noWrap w:val="0"/>
            <w:vAlign w:val="center"/>
          </w:tcPr>
          <w:p w14:paraId="051692CD">
            <w:pPr>
              <w:widowControl/>
              <w:spacing w:line="240" w:lineRule="auto"/>
              <w:ind w:firstLine="0" w:firstLineChars="0"/>
              <w:jc w:val="center"/>
              <w:textAlignment w:val="center"/>
              <w:rPr>
                <w:rFonts w:hint="default" w:ascii="Times New Roman" w:hAnsi="Times New Roman" w:eastAsia="宋体"/>
                <w:kern w:val="0"/>
                <w:sz w:val="21"/>
                <w:szCs w:val="21"/>
                <w:highlight w:val="none"/>
                <w:lang w:val="en-US" w:eastAsia="zh-CN"/>
              </w:rPr>
            </w:pPr>
            <w:r>
              <w:rPr>
                <w:rFonts w:hint="eastAsia" w:ascii="Times New Roman" w:hAnsi="Times New Roman"/>
                <w:sz w:val="21"/>
                <w:szCs w:val="21"/>
                <w:highlight w:val="none"/>
                <w:lang w:val="en-US" w:eastAsia="zh-CN"/>
              </w:rPr>
              <w:t>0.95</w:t>
            </w:r>
          </w:p>
        </w:tc>
        <w:tc>
          <w:tcPr>
            <w:tcW w:w="273" w:type="pct"/>
            <w:tcBorders>
              <w:left w:val="single" w:color="000000" w:sz="4" w:space="0"/>
              <w:right w:val="single" w:color="000000" w:sz="4" w:space="0"/>
            </w:tcBorders>
            <w:noWrap w:val="0"/>
            <w:vAlign w:val="center"/>
          </w:tcPr>
          <w:p w14:paraId="6D7CA8AC">
            <w:pPr>
              <w:widowControl/>
              <w:spacing w:line="240" w:lineRule="auto"/>
              <w:ind w:firstLine="0" w:firstLineChars="0"/>
              <w:jc w:val="center"/>
              <w:textAlignment w:val="center"/>
              <w:rPr>
                <w:rFonts w:hint="default" w:ascii="Times New Roman" w:hAnsi="Times New Roman" w:eastAsia="宋体"/>
                <w:kern w:val="0"/>
                <w:sz w:val="21"/>
                <w:szCs w:val="21"/>
                <w:highlight w:val="none"/>
                <w:lang w:val="en-US" w:eastAsia="zh-CN"/>
              </w:rPr>
            </w:pPr>
            <w:r>
              <w:rPr>
                <w:rFonts w:hint="eastAsia" w:ascii="Times New Roman" w:hAnsi="Times New Roman"/>
                <w:sz w:val="21"/>
                <w:szCs w:val="21"/>
                <w:highlight w:val="none"/>
                <w:lang w:val="en-US" w:eastAsia="zh-CN"/>
              </w:rPr>
              <w:t>2.91</w:t>
            </w:r>
          </w:p>
        </w:tc>
        <w:tc>
          <w:tcPr>
            <w:tcW w:w="392" w:type="pct"/>
            <w:tcBorders>
              <w:left w:val="single" w:color="000000" w:sz="4" w:space="0"/>
              <w:right w:val="nil"/>
            </w:tcBorders>
            <w:noWrap w:val="0"/>
            <w:vAlign w:val="center"/>
          </w:tcPr>
          <w:p w14:paraId="4B2AF8D8">
            <w:pPr>
              <w:widowControl/>
              <w:spacing w:line="240" w:lineRule="auto"/>
              <w:ind w:firstLine="0" w:firstLineChars="0"/>
              <w:jc w:val="center"/>
              <w:textAlignment w:val="center"/>
              <w:rPr>
                <w:rFonts w:hint="default" w:ascii="Times New Roman" w:hAnsi="Times New Roman"/>
                <w:kern w:val="0"/>
                <w:sz w:val="21"/>
                <w:szCs w:val="21"/>
                <w:highlight w:val="none"/>
                <w:lang w:val="en-US"/>
              </w:rPr>
            </w:pPr>
            <w:r>
              <w:rPr>
                <w:rFonts w:hint="eastAsia" w:ascii="Times New Roman" w:hAnsi="Times New Roman"/>
                <w:sz w:val="21"/>
                <w:szCs w:val="21"/>
                <w:highlight w:val="none"/>
                <w:lang w:val="en-US" w:eastAsia="zh-CN"/>
              </w:rPr>
              <w:t>2.71</w:t>
            </w:r>
          </w:p>
        </w:tc>
        <w:tc>
          <w:tcPr>
            <w:tcW w:w="369" w:type="pct"/>
            <w:tcBorders>
              <w:left w:val="single" w:color="000000" w:sz="4" w:space="0"/>
              <w:right w:val="nil"/>
            </w:tcBorders>
            <w:noWrap w:val="0"/>
            <w:vAlign w:val="center"/>
          </w:tcPr>
          <w:p w14:paraId="25B853DC">
            <w:pPr>
              <w:widowControl/>
              <w:spacing w:line="240" w:lineRule="auto"/>
              <w:ind w:firstLine="0" w:firstLineChars="0"/>
              <w:jc w:val="center"/>
              <w:textAlignment w:val="center"/>
              <w:rPr>
                <w:rFonts w:hint="default" w:ascii="Times New Roman" w:hAnsi="Times New Roman" w:eastAsia="宋体"/>
                <w:kern w:val="0"/>
                <w:sz w:val="21"/>
                <w:szCs w:val="21"/>
                <w:highlight w:val="none"/>
                <w:lang w:val="en-US" w:eastAsia="zh-CN"/>
              </w:rPr>
            </w:pPr>
            <w:r>
              <w:rPr>
                <w:rFonts w:hint="eastAsia" w:ascii="Times New Roman" w:hAnsi="Times New Roman"/>
                <w:sz w:val="21"/>
                <w:szCs w:val="21"/>
                <w:highlight w:val="none"/>
                <w:lang w:val="en-US" w:eastAsia="zh-CN"/>
              </w:rPr>
              <w:t>0.00219</w:t>
            </w:r>
          </w:p>
        </w:tc>
        <w:tc>
          <w:tcPr>
            <w:tcW w:w="344" w:type="pct"/>
            <w:tcBorders>
              <w:left w:val="single" w:color="000000" w:sz="4" w:space="0"/>
              <w:right w:val="nil"/>
            </w:tcBorders>
            <w:noWrap w:val="0"/>
            <w:vAlign w:val="center"/>
          </w:tcPr>
          <w:p w14:paraId="1A396DBE">
            <w:pPr>
              <w:widowControl/>
              <w:spacing w:line="240" w:lineRule="auto"/>
              <w:ind w:firstLine="0" w:firstLineChars="0"/>
              <w:jc w:val="center"/>
              <w:textAlignment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0.745</w:t>
            </w:r>
          </w:p>
        </w:tc>
      </w:tr>
      <w:tr w14:paraId="7E6A22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16" w:hRule="atLeast"/>
        </w:trPr>
        <w:tc>
          <w:tcPr>
            <w:tcW w:w="231" w:type="pct"/>
            <w:tcBorders>
              <w:right w:val="single" w:color="000000" w:sz="4" w:space="0"/>
            </w:tcBorders>
            <w:noWrap w:val="0"/>
            <w:vAlign w:val="center"/>
          </w:tcPr>
          <w:p w14:paraId="11A4DF6C">
            <w:pPr>
              <w:widowControl/>
              <w:spacing w:line="240" w:lineRule="auto"/>
              <w:ind w:firstLine="0" w:firstLineChars="0"/>
              <w:jc w:val="center"/>
              <w:textAlignment w:val="center"/>
              <w:rPr>
                <w:rFonts w:hint="default" w:ascii="Times New Roman" w:hAnsi="Times New Roman" w:eastAsia="宋体"/>
                <w:kern w:val="0"/>
                <w:sz w:val="21"/>
                <w:highlight w:val="none"/>
                <w:lang w:val="en-US" w:eastAsia="zh-CN" w:bidi="ar"/>
              </w:rPr>
            </w:pPr>
            <w:r>
              <w:rPr>
                <w:rFonts w:hint="eastAsia" w:ascii="Times New Roman" w:hAnsi="Times New Roman"/>
                <w:kern w:val="0"/>
                <w:sz w:val="21"/>
                <w:highlight w:val="none"/>
                <w:lang w:val="en-US" w:eastAsia="zh-CN" w:bidi="ar"/>
              </w:rPr>
              <w:t>DA002</w:t>
            </w:r>
          </w:p>
        </w:tc>
        <w:tc>
          <w:tcPr>
            <w:tcW w:w="194" w:type="pct"/>
            <w:tcBorders>
              <w:left w:val="single" w:color="000000" w:sz="4" w:space="0"/>
              <w:right w:val="single" w:color="000000" w:sz="4" w:space="0"/>
            </w:tcBorders>
            <w:noWrap w:val="0"/>
            <w:vAlign w:val="center"/>
          </w:tcPr>
          <w:p w14:paraId="74CB673B">
            <w:pPr>
              <w:widowControl/>
              <w:spacing w:line="240" w:lineRule="auto"/>
              <w:ind w:firstLine="0" w:firstLineChars="0"/>
              <w:jc w:val="center"/>
              <w:textAlignment w:val="center"/>
              <w:rPr>
                <w:rFonts w:hint="eastAsia" w:ascii="Times New Roman" w:hAnsi="Times New Roman" w:eastAsia="宋体"/>
                <w:kern w:val="0"/>
                <w:sz w:val="21"/>
                <w:highlight w:val="none"/>
                <w:lang w:val="en-US" w:eastAsia="zh-CN"/>
              </w:rPr>
            </w:pPr>
            <w:r>
              <w:rPr>
                <w:rFonts w:hint="eastAsia" w:ascii="Times New Roman" w:hAnsi="Times New Roman"/>
                <w:kern w:val="0"/>
                <w:sz w:val="21"/>
                <w:szCs w:val="21"/>
                <w:highlight w:val="none"/>
              </w:rPr>
              <w:t>碎煤机室</w:t>
            </w:r>
            <w:r>
              <w:rPr>
                <w:rFonts w:hint="eastAsia" w:ascii="Times New Roman" w:hAnsi="Times New Roman"/>
                <w:kern w:val="0"/>
                <w:sz w:val="21"/>
                <w:szCs w:val="21"/>
                <w:highlight w:val="none"/>
                <w:lang w:val="en-US" w:eastAsia="zh-CN"/>
              </w:rPr>
              <w:t>排气筒</w:t>
            </w:r>
          </w:p>
        </w:tc>
        <w:tc>
          <w:tcPr>
            <w:tcW w:w="442" w:type="pct"/>
            <w:tcBorders>
              <w:left w:val="single" w:color="000000" w:sz="4" w:space="0"/>
              <w:right w:val="single" w:color="000000" w:sz="4" w:space="0"/>
            </w:tcBorders>
            <w:noWrap w:val="0"/>
            <w:vAlign w:val="center"/>
          </w:tcPr>
          <w:p w14:paraId="4D4D3DB8">
            <w:pPr>
              <w:tabs>
                <w:tab w:val="left" w:pos="1517"/>
              </w:tabs>
              <w:spacing w:line="240" w:lineRule="auto"/>
              <w:ind w:firstLine="0" w:firstLineChars="0"/>
              <w:jc w:val="center"/>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-36</w:t>
            </w:r>
          </w:p>
        </w:tc>
        <w:tc>
          <w:tcPr>
            <w:tcW w:w="405" w:type="pct"/>
            <w:tcBorders>
              <w:left w:val="single" w:color="000000" w:sz="4" w:space="0"/>
              <w:right w:val="single" w:color="000000" w:sz="4" w:space="0"/>
            </w:tcBorders>
            <w:noWrap w:val="0"/>
            <w:vAlign w:val="center"/>
          </w:tcPr>
          <w:p w14:paraId="6BBB92C6">
            <w:pPr>
              <w:tabs>
                <w:tab w:val="left" w:pos="1517"/>
              </w:tabs>
              <w:spacing w:line="240" w:lineRule="auto"/>
              <w:ind w:firstLine="0" w:firstLineChars="0"/>
              <w:jc w:val="center"/>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46</w:t>
            </w:r>
          </w:p>
        </w:tc>
        <w:tc>
          <w:tcPr>
            <w:tcW w:w="366" w:type="pct"/>
            <w:tcBorders>
              <w:left w:val="single" w:color="000000" w:sz="4" w:space="0"/>
              <w:right w:val="single" w:color="000000" w:sz="4" w:space="0"/>
            </w:tcBorders>
            <w:noWrap w:val="0"/>
            <w:vAlign w:val="center"/>
          </w:tcPr>
          <w:p w14:paraId="221A8198">
            <w:pPr>
              <w:widowControl/>
              <w:spacing w:line="240" w:lineRule="auto"/>
              <w:ind w:firstLine="0" w:firstLineChars="0"/>
              <w:jc w:val="center"/>
              <w:textAlignment w:val="center"/>
              <w:rPr>
                <w:rFonts w:hint="default" w:ascii="Times New Roman" w:hAnsi="Times New Roman"/>
                <w:kern w:val="0"/>
                <w:sz w:val="21"/>
                <w:highlight w:val="none"/>
                <w:lang w:val="en-US" w:eastAsia="zh-CN"/>
              </w:rPr>
            </w:pPr>
            <w:r>
              <w:rPr>
                <w:rFonts w:hint="eastAsia" w:ascii="Times New Roman" w:hAnsi="Times New Roman"/>
                <w:kern w:val="0"/>
                <w:sz w:val="21"/>
                <w:highlight w:val="none"/>
                <w:lang w:val="en-US" w:eastAsia="zh-CN"/>
              </w:rPr>
              <w:t>458</w:t>
            </w:r>
          </w:p>
        </w:tc>
        <w:tc>
          <w:tcPr>
            <w:tcW w:w="231" w:type="pct"/>
            <w:tcBorders>
              <w:left w:val="single" w:color="000000" w:sz="4" w:space="0"/>
              <w:right w:val="single" w:color="000000" w:sz="4" w:space="0"/>
            </w:tcBorders>
            <w:noWrap w:val="0"/>
            <w:vAlign w:val="center"/>
          </w:tcPr>
          <w:p w14:paraId="593A457C">
            <w:pPr>
              <w:widowControl/>
              <w:spacing w:line="240" w:lineRule="auto"/>
              <w:ind w:firstLine="0" w:firstLineChars="0"/>
              <w:jc w:val="center"/>
              <w:textAlignment w:val="center"/>
              <w:rPr>
                <w:rFonts w:hint="default" w:ascii="Times New Roman" w:hAnsi="Times New Roman"/>
                <w:kern w:val="0"/>
                <w:sz w:val="21"/>
                <w:highlight w:val="none"/>
                <w:lang w:val="en-US" w:eastAsia="zh-CN"/>
              </w:rPr>
            </w:pPr>
            <w:r>
              <w:rPr>
                <w:rFonts w:hint="eastAsia" w:ascii="Times New Roman" w:hAnsi="Times New Roman"/>
                <w:kern w:val="0"/>
                <w:sz w:val="21"/>
                <w:highlight w:val="none"/>
                <w:lang w:val="en-US" w:eastAsia="zh-CN"/>
              </w:rPr>
              <w:t>15</w:t>
            </w:r>
          </w:p>
        </w:tc>
        <w:tc>
          <w:tcPr>
            <w:tcW w:w="288" w:type="pct"/>
            <w:tcBorders>
              <w:left w:val="single" w:color="000000" w:sz="4" w:space="0"/>
              <w:right w:val="single" w:color="000000" w:sz="4" w:space="0"/>
            </w:tcBorders>
            <w:noWrap w:val="0"/>
            <w:vAlign w:val="center"/>
          </w:tcPr>
          <w:p w14:paraId="0782DBD3">
            <w:pPr>
              <w:widowControl/>
              <w:spacing w:line="240" w:lineRule="auto"/>
              <w:ind w:firstLine="0" w:firstLineChars="0"/>
              <w:jc w:val="center"/>
              <w:textAlignment w:val="center"/>
              <w:rPr>
                <w:rFonts w:hint="default" w:ascii="Times New Roman" w:hAnsi="Times New Roman"/>
                <w:kern w:val="0"/>
                <w:sz w:val="21"/>
                <w:highlight w:val="none"/>
                <w:lang w:val="en-US" w:eastAsia="zh-CN"/>
              </w:rPr>
            </w:pPr>
            <w:r>
              <w:rPr>
                <w:rFonts w:hint="eastAsia" w:ascii="Times New Roman" w:hAnsi="Times New Roman"/>
                <w:kern w:val="0"/>
                <w:sz w:val="21"/>
                <w:highlight w:val="none"/>
                <w:lang w:val="en-US" w:eastAsia="zh-CN"/>
              </w:rPr>
              <w:t>0.2</w:t>
            </w:r>
          </w:p>
        </w:tc>
        <w:tc>
          <w:tcPr>
            <w:tcW w:w="464" w:type="pct"/>
            <w:tcBorders>
              <w:left w:val="single" w:color="000000" w:sz="4" w:space="0"/>
              <w:right w:val="single" w:color="000000" w:sz="4" w:space="0"/>
            </w:tcBorders>
            <w:noWrap w:val="0"/>
            <w:vAlign w:val="center"/>
          </w:tcPr>
          <w:p w14:paraId="576538D0">
            <w:pPr>
              <w:widowControl/>
              <w:spacing w:line="240" w:lineRule="auto"/>
              <w:ind w:firstLine="0" w:firstLineChars="0"/>
              <w:jc w:val="center"/>
              <w:textAlignment w:val="center"/>
              <w:rPr>
                <w:rFonts w:hint="default" w:ascii="Times New Roman" w:hAnsi="Times New Roman"/>
                <w:kern w:val="0"/>
                <w:sz w:val="21"/>
                <w:highlight w:val="none"/>
                <w:lang w:val="en-US" w:eastAsia="zh-CN"/>
              </w:rPr>
            </w:pPr>
            <w:r>
              <w:rPr>
                <w:rFonts w:hint="eastAsia" w:ascii="Times New Roman" w:hAnsi="Times New Roman"/>
                <w:kern w:val="0"/>
                <w:sz w:val="21"/>
                <w:highlight w:val="none"/>
                <w:lang w:val="en-US" w:eastAsia="zh-CN"/>
              </w:rPr>
              <w:t>4000</w:t>
            </w:r>
          </w:p>
        </w:tc>
        <w:tc>
          <w:tcPr>
            <w:tcW w:w="230" w:type="pct"/>
            <w:tcBorders>
              <w:left w:val="single" w:color="000000" w:sz="4" w:space="0"/>
              <w:right w:val="single" w:color="000000" w:sz="4" w:space="0"/>
            </w:tcBorders>
            <w:noWrap w:val="0"/>
            <w:vAlign w:val="center"/>
          </w:tcPr>
          <w:p w14:paraId="3C7A67C4">
            <w:pPr>
              <w:widowControl/>
              <w:spacing w:line="240" w:lineRule="auto"/>
              <w:ind w:firstLine="0" w:firstLineChars="0"/>
              <w:jc w:val="center"/>
              <w:textAlignment w:val="center"/>
              <w:rPr>
                <w:rFonts w:hint="default" w:ascii="Times New Roman" w:hAnsi="Times New Roman"/>
                <w:kern w:val="0"/>
                <w:sz w:val="21"/>
                <w:highlight w:val="none"/>
                <w:lang w:val="en-US" w:eastAsia="zh-CN"/>
              </w:rPr>
            </w:pPr>
            <w:r>
              <w:rPr>
                <w:rFonts w:hint="eastAsia" w:ascii="Times New Roman" w:hAnsi="Times New Roman"/>
                <w:kern w:val="0"/>
                <w:sz w:val="21"/>
                <w:highlight w:val="none"/>
                <w:lang w:val="en-US" w:eastAsia="zh-CN"/>
              </w:rPr>
              <w:t>-20</w:t>
            </w:r>
          </w:p>
        </w:tc>
        <w:tc>
          <w:tcPr>
            <w:tcW w:w="273" w:type="pct"/>
            <w:tcBorders>
              <w:left w:val="single" w:color="000000" w:sz="4" w:space="0"/>
              <w:right w:val="single" w:color="000000" w:sz="4" w:space="0"/>
            </w:tcBorders>
            <w:noWrap w:val="0"/>
            <w:vAlign w:val="center"/>
          </w:tcPr>
          <w:p w14:paraId="7A9D60E7">
            <w:pPr>
              <w:widowControl/>
              <w:spacing w:line="240" w:lineRule="auto"/>
              <w:ind w:firstLine="0" w:firstLineChars="0"/>
              <w:jc w:val="center"/>
              <w:textAlignment w:val="center"/>
              <w:rPr>
                <w:rFonts w:hint="default" w:ascii="Times New Roman" w:hAnsi="Times New Roman"/>
                <w:kern w:val="0"/>
                <w:sz w:val="21"/>
                <w:highlight w:val="none"/>
                <w:lang w:val="en-US" w:eastAsia="zh-CN" w:bidi="ar"/>
              </w:rPr>
            </w:pPr>
            <w:r>
              <w:rPr>
                <w:rFonts w:hint="eastAsia" w:ascii="Times New Roman" w:hAnsi="Times New Roman"/>
                <w:kern w:val="0"/>
                <w:sz w:val="21"/>
                <w:highlight w:val="none"/>
                <w:lang w:val="en-US" w:eastAsia="zh-CN" w:bidi="ar"/>
              </w:rPr>
              <w:t>5040</w:t>
            </w:r>
          </w:p>
        </w:tc>
        <w:tc>
          <w:tcPr>
            <w:tcW w:w="170" w:type="pct"/>
            <w:tcBorders>
              <w:left w:val="single" w:color="000000" w:sz="4" w:space="0"/>
              <w:right w:val="single" w:color="000000" w:sz="4" w:space="0"/>
            </w:tcBorders>
            <w:noWrap w:val="0"/>
            <w:vAlign w:val="center"/>
          </w:tcPr>
          <w:p w14:paraId="4C819333">
            <w:pPr>
              <w:widowControl/>
              <w:spacing w:line="240" w:lineRule="auto"/>
              <w:ind w:firstLine="0" w:firstLineChars="0"/>
              <w:jc w:val="center"/>
              <w:textAlignment w:val="center"/>
              <w:rPr>
                <w:rFonts w:hint="default" w:ascii="Times New Roman" w:hAnsi="Times New Roman" w:eastAsia="宋体"/>
                <w:kern w:val="0"/>
                <w:sz w:val="21"/>
                <w:highlight w:val="none"/>
                <w:lang w:val="en-US" w:eastAsia="zh-CN" w:bidi="ar"/>
              </w:rPr>
            </w:pPr>
            <w:r>
              <w:rPr>
                <w:rFonts w:hint="eastAsia" w:ascii="Times New Roman" w:hAnsi="Times New Roman"/>
                <w:kern w:val="0"/>
                <w:sz w:val="21"/>
                <w:highlight w:val="none"/>
                <w:lang w:val="en-US" w:eastAsia="zh-CN" w:bidi="ar"/>
              </w:rPr>
              <w:t>正常</w:t>
            </w:r>
          </w:p>
        </w:tc>
        <w:tc>
          <w:tcPr>
            <w:tcW w:w="323" w:type="pct"/>
            <w:tcBorders>
              <w:left w:val="single" w:color="000000" w:sz="4" w:space="0"/>
              <w:right w:val="single" w:color="000000" w:sz="4" w:space="0"/>
            </w:tcBorders>
            <w:noWrap w:val="0"/>
            <w:vAlign w:val="center"/>
          </w:tcPr>
          <w:p w14:paraId="67689430">
            <w:pPr>
              <w:widowControl/>
              <w:spacing w:line="240" w:lineRule="auto"/>
              <w:ind w:firstLine="0" w:firstLineChars="0"/>
              <w:jc w:val="center"/>
              <w:textAlignment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0.0016</w:t>
            </w:r>
          </w:p>
        </w:tc>
        <w:tc>
          <w:tcPr>
            <w:tcW w:w="273" w:type="pct"/>
            <w:tcBorders>
              <w:left w:val="single" w:color="000000" w:sz="4" w:space="0"/>
              <w:right w:val="single" w:color="000000" w:sz="4" w:space="0"/>
            </w:tcBorders>
            <w:noWrap w:val="0"/>
            <w:vAlign w:val="center"/>
          </w:tcPr>
          <w:p w14:paraId="6E174D55">
            <w:pPr>
              <w:widowControl/>
              <w:spacing w:line="240" w:lineRule="auto"/>
              <w:ind w:firstLine="0" w:firstLineChars="0"/>
              <w:jc w:val="center"/>
              <w:textAlignment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w:t>
            </w:r>
          </w:p>
        </w:tc>
        <w:tc>
          <w:tcPr>
            <w:tcW w:w="392" w:type="pct"/>
            <w:tcBorders>
              <w:left w:val="single" w:color="000000" w:sz="4" w:space="0"/>
              <w:right w:val="nil"/>
            </w:tcBorders>
            <w:noWrap w:val="0"/>
            <w:vAlign w:val="center"/>
          </w:tcPr>
          <w:p w14:paraId="6F27DB7A">
            <w:pPr>
              <w:widowControl/>
              <w:spacing w:line="240" w:lineRule="auto"/>
              <w:ind w:firstLine="0" w:firstLineChars="0"/>
              <w:jc w:val="center"/>
              <w:textAlignment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w:t>
            </w:r>
          </w:p>
        </w:tc>
        <w:tc>
          <w:tcPr>
            <w:tcW w:w="369" w:type="pct"/>
            <w:tcBorders>
              <w:left w:val="single" w:color="000000" w:sz="4" w:space="0"/>
              <w:right w:val="nil"/>
            </w:tcBorders>
            <w:noWrap w:val="0"/>
            <w:vAlign w:val="center"/>
          </w:tcPr>
          <w:p w14:paraId="6B9A5FB7">
            <w:pPr>
              <w:widowControl/>
              <w:spacing w:line="240" w:lineRule="auto"/>
              <w:ind w:firstLine="0" w:firstLineChars="0"/>
              <w:jc w:val="center"/>
              <w:textAlignment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w:t>
            </w:r>
          </w:p>
        </w:tc>
        <w:tc>
          <w:tcPr>
            <w:tcW w:w="344" w:type="pct"/>
            <w:tcBorders>
              <w:left w:val="single" w:color="000000" w:sz="4" w:space="0"/>
              <w:right w:val="nil"/>
            </w:tcBorders>
            <w:noWrap w:val="0"/>
            <w:vAlign w:val="center"/>
          </w:tcPr>
          <w:p w14:paraId="5E12DA8A">
            <w:pPr>
              <w:widowControl/>
              <w:spacing w:line="240" w:lineRule="auto"/>
              <w:ind w:firstLine="0" w:firstLineChars="0"/>
              <w:jc w:val="center"/>
              <w:textAlignment w:val="center"/>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w:t>
            </w:r>
          </w:p>
        </w:tc>
      </w:tr>
    </w:tbl>
    <w:p w14:paraId="76F50FAF">
      <w:pPr>
        <w:spacing w:line="240" w:lineRule="auto"/>
        <w:ind w:firstLine="0" w:firstLineChars="0"/>
        <w:jc w:val="left"/>
        <w:rPr>
          <w:rFonts w:hint="eastAsia" w:ascii="Times New Roman" w:hAnsi="Times New Roman"/>
          <w:b/>
          <w:sz w:val="21"/>
          <w:highlight w:val="none"/>
        </w:rPr>
      </w:pPr>
      <w:r>
        <w:rPr>
          <w:rFonts w:hint="eastAsia" w:ascii="Times New Roman" w:hAnsi="Times New Roman"/>
          <w:b/>
          <w:sz w:val="21"/>
          <w:highlight w:val="none"/>
        </w:rPr>
        <w:t>注：本次评价烟气排放量</w:t>
      </w:r>
      <w:r>
        <w:rPr>
          <w:rFonts w:hint="eastAsia" w:ascii="Times New Roman" w:hAnsi="Times New Roman"/>
          <w:b/>
          <w:sz w:val="21"/>
          <w:highlight w:val="none"/>
          <w:lang w:val="en-US" w:eastAsia="zh-CN"/>
        </w:rPr>
        <w:t>选取使用锅炉最大吨位</w:t>
      </w:r>
      <w:r>
        <w:rPr>
          <w:rFonts w:hint="eastAsia" w:ascii="Times New Roman" w:hAnsi="Times New Roman"/>
          <w:b/>
          <w:sz w:val="21"/>
          <w:highlight w:val="none"/>
        </w:rPr>
        <w:t>进行环境空气评价等级的计算，年排放小时数为满负荷利用小时数。根据《燃煤锅炉烟气中细颗粒物的排放特征和控制现状》（环境工程技术学报2017.05），经过除尘效率相对较高的静电除尘器+湿法脱硫。本次采用布袋除尘器（超细纤维滤袋，表面进行覆膜处理）+湿法脱硫，为除尘效率相对较高的除尘方法。</w:t>
      </w:r>
    </w:p>
    <w:p w14:paraId="50479C04">
      <w:pPr>
        <w:ind w:firstLine="0" w:firstLineChars="0"/>
        <w:jc w:val="center"/>
        <w:rPr>
          <w:rFonts w:ascii="Times New Roman" w:hAnsi="Times New Roman"/>
          <w:highlight w:val="none"/>
        </w:rPr>
      </w:pPr>
      <w:r>
        <w:rPr>
          <w:rFonts w:hint="eastAsia" w:ascii="黑体" w:hAnsi="黑体" w:eastAsia="黑体" w:cs="黑体"/>
          <w:highlight w:val="none"/>
        </w:rPr>
        <w:t>表</w:t>
      </w:r>
      <w:r>
        <w:rPr>
          <w:rFonts w:hint="eastAsia" w:ascii="Times New Roman" w:hAnsi="Times New Roman"/>
          <w:highlight w:val="none"/>
          <w:lang w:val="en-US" w:eastAsia="zh-CN"/>
        </w:rPr>
        <w:t>5.2-10</w:t>
      </w:r>
      <w:r>
        <w:rPr>
          <w:rFonts w:hint="eastAsia" w:ascii="黑体" w:hAnsi="黑体" w:eastAsia="黑体" w:cs="黑体"/>
          <w:highlight w:val="none"/>
        </w:rPr>
        <w:t>本项目污染源面源排放参数一览表</w:t>
      </w:r>
    </w:p>
    <w:tbl>
      <w:tblPr>
        <w:tblStyle w:val="1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0"/>
        <w:gridCol w:w="888"/>
        <w:gridCol w:w="1427"/>
        <w:gridCol w:w="1322"/>
        <w:gridCol w:w="1172"/>
        <w:gridCol w:w="911"/>
        <w:gridCol w:w="1061"/>
        <w:gridCol w:w="1036"/>
        <w:gridCol w:w="1249"/>
        <w:gridCol w:w="1257"/>
        <w:gridCol w:w="809"/>
        <w:gridCol w:w="2412"/>
      </w:tblGrid>
      <w:tr w14:paraId="1C30D7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2" w:type="pct"/>
            <w:vMerge w:val="restart"/>
            <w:noWrap w:val="0"/>
            <w:vAlign w:val="center"/>
          </w:tcPr>
          <w:p w14:paraId="001D9932">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编号</w:t>
            </w:r>
          </w:p>
        </w:tc>
        <w:tc>
          <w:tcPr>
            <w:tcW w:w="313" w:type="pct"/>
            <w:vMerge w:val="restart"/>
            <w:noWrap w:val="0"/>
            <w:vAlign w:val="center"/>
          </w:tcPr>
          <w:p w14:paraId="42845093">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名称</w:t>
            </w:r>
          </w:p>
        </w:tc>
        <w:tc>
          <w:tcPr>
            <w:tcW w:w="969" w:type="pct"/>
            <w:gridSpan w:val="2"/>
            <w:noWrap w:val="0"/>
            <w:vAlign w:val="center"/>
          </w:tcPr>
          <w:p w14:paraId="502DE06A">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面源起始坐标</w:t>
            </w:r>
            <w:r>
              <w:rPr>
                <w:rFonts w:hint="eastAsia" w:ascii="Times New Roman" w:hAnsi="Times New Roman"/>
                <w:kern w:val="0"/>
                <w:sz w:val="21"/>
                <w:szCs w:val="21"/>
                <w:highlight w:val="none"/>
              </w:rPr>
              <w:t>/m</w:t>
            </w:r>
          </w:p>
        </w:tc>
        <w:tc>
          <w:tcPr>
            <w:tcW w:w="413" w:type="pct"/>
            <w:vMerge w:val="restart"/>
            <w:noWrap w:val="0"/>
            <w:vAlign w:val="center"/>
          </w:tcPr>
          <w:p w14:paraId="22B85539">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面源海拔高度/m</w:t>
            </w:r>
          </w:p>
        </w:tc>
        <w:tc>
          <w:tcPr>
            <w:tcW w:w="321" w:type="pct"/>
            <w:vMerge w:val="restart"/>
            <w:noWrap w:val="0"/>
            <w:vAlign w:val="center"/>
          </w:tcPr>
          <w:p w14:paraId="06C9FCEB">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面源长度/m</w:t>
            </w:r>
          </w:p>
        </w:tc>
        <w:tc>
          <w:tcPr>
            <w:tcW w:w="374" w:type="pct"/>
            <w:vMerge w:val="restart"/>
            <w:noWrap w:val="0"/>
            <w:vAlign w:val="center"/>
          </w:tcPr>
          <w:p w14:paraId="194EED84">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面源宽度/m</w:t>
            </w:r>
          </w:p>
        </w:tc>
        <w:tc>
          <w:tcPr>
            <w:tcW w:w="365" w:type="pct"/>
            <w:vMerge w:val="restart"/>
            <w:noWrap w:val="0"/>
            <w:vAlign w:val="center"/>
          </w:tcPr>
          <w:p w14:paraId="431475D3">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与正北向夹角/°</w:t>
            </w:r>
          </w:p>
        </w:tc>
        <w:tc>
          <w:tcPr>
            <w:tcW w:w="440" w:type="pct"/>
            <w:vMerge w:val="restart"/>
            <w:noWrap w:val="0"/>
            <w:vAlign w:val="center"/>
          </w:tcPr>
          <w:p w14:paraId="3B43F98D">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面源有效排放高度/m</w:t>
            </w:r>
          </w:p>
        </w:tc>
        <w:tc>
          <w:tcPr>
            <w:tcW w:w="443" w:type="pct"/>
            <w:vMerge w:val="restart"/>
            <w:noWrap w:val="0"/>
            <w:vAlign w:val="center"/>
          </w:tcPr>
          <w:p w14:paraId="7672FDCC">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年排放小时数/h</w:t>
            </w:r>
          </w:p>
        </w:tc>
        <w:tc>
          <w:tcPr>
            <w:tcW w:w="285" w:type="pct"/>
            <w:vMerge w:val="restart"/>
            <w:noWrap w:val="0"/>
            <w:vAlign w:val="center"/>
          </w:tcPr>
          <w:p w14:paraId="7A7FA20F">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排放工况</w:t>
            </w:r>
          </w:p>
        </w:tc>
        <w:tc>
          <w:tcPr>
            <w:tcW w:w="850" w:type="pct"/>
            <w:noWrap w:val="0"/>
            <w:vAlign w:val="center"/>
          </w:tcPr>
          <w:p w14:paraId="2B4AC3E8">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污染物排放速率/（kg/h）</w:t>
            </w:r>
          </w:p>
        </w:tc>
      </w:tr>
      <w:tr w14:paraId="40CDE3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2" w:type="pct"/>
            <w:vMerge w:val="continue"/>
            <w:noWrap w:val="0"/>
            <w:vAlign w:val="center"/>
          </w:tcPr>
          <w:p w14:paraId="53B4D4AD">
            <w:pPr>
              <w:widowControl/>
              <w:spacing w:line="240" w:lineRule="auto"/>
              <w:ind w:firstLine="0" w:firstLineChars="0"/>
              <w:jc w:val="center"/>
              <w:rPr>
                <w:rFonts w:ascii="Times New Roman" w:hAnsi="Times New Roman"/>
                <w:kern w:val="0"/>
                <w:sz w:val="21"/>
                <w:szCs w:val="21"/>
                <w:highlight w:val="none"/>
              </w:rPr>
            </w:pPr>
          </w:p>
        </w:tc>
        <w:tc>
          <w:tcPr>
            <w:tcW w:w="313" w:type="pct"/>
            <w:vMerge w:val="continue"/>
            <w:noWrap w:val="0"/>
            <w:vAlign w:val="center"/>
          </w:tcPr>
          <w:p w14:paraId="70320221">
            <w:pPr>
              <w:widowControl/>
              <w:spacing w:line="240" w:lineRule="auto"/>
              <w:ind w:firstLine="0" w:firstLineChars="0"/>
              <w:jc w:val="center"/>
              <w:rPr>
                <w:rFonts w:ascii="Times New Roman" w:hAnsi="Times New Roman"/>
                <w:kern w:val="0"/>
                <w:sz w:val="21"/>
                <w:szCs w:val="21"/>
                <w:highlight w:val="none"/>
              </w:rPr>
            </w:pPr>
          </w:p>
        </w:tc>
        <w:tc>
          <w:tcPr>
            <w:tcW w:w="503" w:type="pct"/>
            <w:noWrap w:val="0"/>
            <w:vAlign w:val="center"/>
          </w:tcPr>
          <w:p w14:paraId="7A1A39AF">
            <w:pPr>
              <w:tabs>
                <w:tab w:val="left" w:pos="1517"/>
              </w:tabs>
              <w:spacing w:line="240" w:lineRule="auto"/>
              <w:ind w:firstLine="0" w:firstLineChars="0"/>
              <w:jc w:val="center"/>
              <w:rPr>
                <w:rFonts w:hint="eastAsia" w:ascii="Times New Roman" w:hAnsi="Times New Roman"/>
                <w:kern w:val="0"/>
                <w:sz w:val="21"/>
                <w:szCs w:val="21"/>
                <w:highlight w:val="none"/>
              </w:rPr>
            </w:pPr>
            <w:r>
              <w:rPr>
                <w:rFonts w:hint="eastAsia" w:ascii="Times New Roman" w:hAnsi="Times New Roman"/>
                <w:kern w:val="0"/>
                <w:sz w:val="21"/>
                <w:szCs w:val="21"/>
                <w:highlight w:val="none"/>
              </w:rPr>
              <w:t>X</w:t>
            </w:r>
          </w:p>
        </w:tc>
        <w:tc>
          <w:tcPr>
            <w:tcW w:w="466" w:type="pct"/>
            <w:noWrap w:val="0"/>
            <w:vAlign w:val="center"/>
          </w:tcPr>
          <w:p w14:paraId="42BC9060">
            <w:pPr>
              <w:tabs>
                <w:tab w:val="left" w:pos="1517"/>
              </w:tabs>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rPr>
              <w:t>Y</w:t>
            </w:r>
          </w:p>
        </w:tc>
        <w:tc>
          <w:tcPr>
            <w:tcW w:w="413" w:type="pct"/>
            <w:vMerge w:val="continue"/>
            <w:noWrap w:val="0"/>
            <w:vAlign w:val="center"/>
          </w:tcPr>
          <w:p w14:paraId="29A14EF5">
            <w:pPr>
              <w:widowControl/>
              <w:spacing w:line="240" w:lineRule="auto"/>
              <w:ind w:firstLine="0" w:firstLineChars="0"/>
              <w:jc w:val="center"/>
              <w:rPr>
                <w:rFonts w:ascii="Times New Roman" w:hAnsi="Times New Roman"/>
                <w:kern w:val="0"/>
                <w:sz w:val="21"/>
                <w:szCs w:val="21"/>
                <w:highlight w:val="none"/>
              </w:rPr>
            </w:pPr>
          </w:p>
        </w:tc>
        <w:tc>
          <w:tcPr>
            <w:tcW w:w="321" w:type="pct"/>
            <w:vMerge w:val="continue"/>
            <w:noWrap w:val="0"/>
            <w:vAlign w:val="center"/>
          </w:tcPr>
          <w:p w14:paraId="4C010ED7">
            <w:pPr>
              <w:widowControl/>
              <w:spacing w:line="240" w:lineRule="auto"/>
              <w:ind w:firstLine="0" w:firstLineChars="0"/>
              <w:jc w:val="center"/>
              <w:rPr>
                <w:rFonts w:ascii="Times New Roman" w:hAnsi="Times New Roman"/>
                <w:kern w:val="0"/>
                <w:sz w:val="21"/>
                <w:szCs w:val="21"/>
                <w:highlight w:val="none"/>
              </w:rPr>
            </w:pPr>
          </w:p>
        </w:tc>
        <w:tc>
          <w:tcPr>
            <w:tcW w:w="374" w:type="pct"/>
            <w:vMerge w:val="continue"/>
            <w:noWrap w:val="0"/>
            <w:vAlign w:val="center"/>
          </w:tcPr>
          <w:p w14:paraId="383D0BE1">
            <w:pPr>
              <w:widowControl/>
              <w:spacing w:line="240" w:lineRule="auto"/>
              <w:ind w:firstLine="0" w:firstLineChars="0"/>
              <w:jc w:val="center"/>
              <w:rPr>
                <w:rFonts w:ascii="Times New Roman" w:hAnsi="Times New Roman"/>
                <w:kern w:val="0"/>
                <w:sz w:val="21"/>
                <w:szCs w:val="21"/>
                <w:highlight w:val="none"/>
              </w:rPr>
            </w:pPr>
          </w:p>
        </w:tc>
        <w:tc>
          <w:tcPr>
            <w:tcW w:w="365" w:type="pct"/>
            <w:vMerge w:val="continue"/>
            <w:noWrap w:val="0"/>
            <w:vAlign w:val="center"/>
          </w:tcPr>
          <w:p w14:paraId="6575D314">
            <w:pPr>
              <w:widowControl/>
              <w:spacing w:line="240" w:lineRule="auto"/>
              <w:ind w:firstLine="0" w:firstLineChars="0"/>
              <w:jc w:val="center"/>
              <w:rPr>
                <w:rFonts w:ascii="Times New Roman" w:hAnsi="Times New Roman"/>
                <w:kern w:val="0"/>
                <w:sz w:val="21"/>
                <w:szCs w:val="21"/>
                <w:highlight w:val="none"/>
              </w:rPr>
            </w:pPr>
          </w:p>
        </w:tc>
        <w:tc>
          <w:tcPr>
            <w:tcW w:w="440" w:type="pct"/>
            <w:vMerge w:val="continue"/>
            <w:noWrap w:val="0"/>
            <w:vAlign w:val="center"/>
          </w:tcPr>
          <w:p w14:paraId="4AC8E1E2">
            <w:pPr>
              <w:widowControl/>
              <w:spacing w:line="240" w:lineRule="auto"/>
              <w:ind w:firstLine="0" w:firstLineChars="0"/>
              <w:jc w:val="center"/>
              <w:rPr>
                <w:rFonts w:ascii="Times New Roman" w:hAnsi="Times New Roman"/>
                <w:kern w:val="0"/>
                <w:sz w:val="21"/>
                <w:szCs w:val="21"/>
                <w:highlight w:val="none"/>
              </w:rPr>
            </w:pPr>
          </w:p>
        </w:tc>
        <w:tc>
          <w:tcPr>
            <w:tcW w:w="443" w:type="pct"/>
            <w:vMerge w:val="continue"/>
            <w:noWrap w:val="0"/>
            <w:vAlign w:val="center"/>
          </w:tcPr>
          <w:p w14:paraId="6B3438D0">
            <w:pPr>
              <w:widowControl/>
              <w:spacing w:line="240" w:lineRule="auto"/>
              <w:ind w:firstLine="0" w:firstLineChars="0"/>
              <w:jc w:val="center"/>
              <w:rPr>
                <w:rFonts w:ascii="Times New Roman" w:hAnsi="Times New Roman"/>
                <w:kern w:val="0"/>
                <w:sz w:val="21"/>
                <w:szCs w:val="21"/>
                <w:highlight w:val="none"/>
              </w:rPr>
            </w:pPr>
          </w:p>
        </w:tc>
        <w:tc>
          <w:tcPr>
            <w:tcW w:w="285" w:type="pct"/>
            <w:vMerge w:val="continue"/>
            <w:noWrap w:val="0"/>
            <w:vAlign w:val="center"/>
          </w:tcPr>
          <w:p w14:paraId="7F73D0C0">
            <w:pPr>
              <w:widowControl/>
              <w:spacing w:line="240" w:lineRule="auto"/>
              <w:ind w:firstLine="0" w:firstLineChars="0"/>
              <w:jc w:val="center"/>
              <w:rPr>
                <w:rFonts w:ascii="Times New Roman" w:hAnsi="Times New Roman"/>
                <w:kern w:val="0"/>
                <w:sz w:val="21"/>
                <w:szCs w:val="21"/>
                <w:highlight w:val="none"/>
              </w:rPr>
            </w:pPr>
          </w:p>
        </w:tc>
        <w:tc>
          <w:tcPr>
            <w:tcW w:w="850" w:type="pct"/>
            <w:noWrap w:val="0"/>
            <w:vAlign w:val="center"/>
          </w:tcPr>
          <w:p w14:paraId="50DA9740">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颗粒物</w:t>
            </w:r>
          </w:p>
        </w:tc>
      </w:tr>
      <w:tr w14:paraId="26EA9A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2" w:type="pct"/>
            <w:noWrap w:val="0"/>
            <w:vAlign w:val="center"/>
          </w:tcPr>
          <w:p w14:paraId="342E11F6">
            <w:pPr>
              <w:tabs>
                <w:tab w:val="left" w:pos="1517"/>
              </w:tabs>
              <w:spacing w:line="240" w:lineRule="auto"/>
              <w:ind w:firstLine="0" w:firstLineChars="0"/>
              <w:jc w:val="center"/>
              <w:rPr>
                <w:rFonts w:hint="eastAsia" w:ascii="Times New Roman" w:hAnsi="Times New Roman"/>
                <w:kern w:val="0"/>
                <w:sz w:val="21"/>
                <w:szCs w:val="21"/>
                <w:highlight w:val="none"/>
              </w:rPr>
            </w:pPr>
            <w:r>
              <w:rPr>
                <w:rFonts w:hint="eastAsia" w:ascii="Times New Roman" w:hAnsi="Times New Roman"/>
                <w:kern w:val="0"/>
                <w:sz w:val="21"/>
                <w:szCs w:val="21"/>
                <w:highlight w:val="none"/>
              </w:rPr>
              <w:t>1</w:t>
            </w:r>
          </w:p>
        </w:tc>
        <w:tc>
          <w:tcPr>
            <w:tcW w:w="313" w:type="pct"/>
            <w:noWrap w:val="0"/>
            <w:vAlign w:val="center"/>
          </w:tcPr>
          <w:p w14:paraId="4773CFDA">
            <w:pPr>
              <w:tabs>
                <w:tab w:val="left" w:pos="1517"/>
              </w:tabs>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rPr>
              <w:t>灰仓</w:t>
            </w:r>
          </w:p>
        </w:tc>
        <w:tc>
          <w:tcPr>
            <w:tcW w:w="503" w:type="pct"/>
            <w:noWrap w:val="0"/>
            <w:vAlign w:val="center"/>
          </w:tcPr>
          <w:p w14:paraId="44E67664">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25</w:t>
            </w:r>
          </w:p>
        </w:tc>
        <w:tc>
          <w:tcPr>
            <w:tcW w:w="466" w:type="pct"/>
            <w:noWrap w:val="0"/>
            <w:vAlign w:val="center"/>
          </w:tcPr>
          <w:p w14:paraId="76BB9F84">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11</w:t>
            </w:r>
          </w:p>
        </w:tc>
        <w:tc>
          <w:tcPr>
            <w:tcW w:w="413" w:type="pct"/>
            <w:noWrap w:val="0"/>
            <w:vAlign w:val="center"/>
          </w:tcPr>
          <w:p w14:paraId="4E4241C8">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458</w:t>
            </w:r>
          </w:p>
        </w:tc>
        <w:tc>
          <w:tcPr>
            <w:tcW w:w="321" w:type="pct"/>
            <w:noWrap w:val="0"/>
            <w:vAlign w:val="center"/>
          </w:tcPr>
          <w:p w14:paraId="19CEF6C3">
            <w:pPr>
              <w:tabs>
                <w:tab w:val="left" w:pos="1517"/>
              </w:tabs>
              <w:spacing w:line="240" w:lineRule="auto"/>
              <w:ind w:firstLine="0" w:firstLineChars="0"/>
              <w:jc w:val="center"/>
              <w:rPr>
                <w:rFonts w:hint="eastAsia" w:ascii="Times New Roman" w:hAnsi="Times New Roman" w:eastAsia="宋体"/>
                <w:kern w:val="0"/>
                <w:sz w:val="21"/>
                <w:szCs w:val="21"/>
                <w:highlight w:val="none"/>
                <w:lang w:eastAsia="zh-CN"/>
              </w:rPr>
            </w:pPr>
            <w:r>
              <w:rPr>
                <w:rFonts w:hint="eastAsia" w:ascii="Times New Roman" w:hAnsi="Times New Roman"/>
                <w:kern w:val="0"/>
                <w:sz w:val="21"/>
                <w:szCs w:val="21"/>
                <w:highlight w:val="none"/>
                <w:lang w:val="en-US" w:eastAsia="zh-CN"/>
              </w:rPr>
              <w:t>6</w:t>
            </w:r>
          </w:p>
        </w:tc>
        <w:tc>
          <w:tcPr>
            <w:tcW w:w="374" w:type="pct"/>
            <w:noWrap w:val="0"/>
            <w:vAlign w:val="center"/>
          </w:tcPr>
          <w:p w14:paraId="15A933C0">
            <w:pPr>
              <w:tabs>
                <w:tab w:val="left" w:pos="1517"/>
              </w:tabs>
              <w:spacing w:line="240" w:lineRule="auto"/>
              <w:ind w:firstLine="0" w:firstLineChars="0"/>
              <w:jc w:val="center"/>
              <w:rPr>
                <w:rFonts w:hint="eastAsia" w:ascii="Times New Roman" w:hAnsi="Times New Roman" w:eastAsia="宋体"/>
                <w:kern w:val="0"/>
                <w:sz w:val="21"/>
                <w:szCs w:val="21"/>
                <w:highlight w:val="none"/>
                <w:lang w:eastAsia="zh-CN"/>
              </w:rPr>
            </w:pPr>
            <w:r>
              <w:rPr>
                <w:rFonts w:hint="eastAsia" w:ascii="Times New Roman" w:hAnsi="Times New Roman"/>
                <w:kern w:val="0"/>
                <w:sz w:val="21"/>
                <w:szCs w:val="21"/>
                <w:highlight w:val="none"/>
                <w:lang w:val="en-US" w:eastAsia="zh-CN"/>
              </w:rPr>
              <w:t>6</w:t>
            </w:r>
          </w:p>
        </w:tc>
        <w:tc>
          <w:tcPr>
            <w:tcW w:w="365" w:type="pct"/>
            <w:noWrap w:val="0"/>
            <w:vAlign w:val="center"/>
          </w:tcPr>
          <w:p w14:paraId="6AFA496A">
            <w:pPr>
              <w:tabs>
                <w:tab w:val="left" w:pos="1517"/>
              </w:tabs>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0</w:t>
            </w:r>
          </w:p>
        </w:tc>
        <w:tc>
          <w:tcPr>
            <w:tcW w:w="440" w:type="pct"/>
            <w:noWrap w:val="0"/>
            <w:vAlign w:val="center"/>
          </w:tcPr>
          <w:p w14:paraId="75022613">
            <w:pPr>
              <w:tabs>
                <w:tab w:val="left" w:pos="1517"/>
              </w:tabs>
              <w:spacing w:line="240" w:lineRule="auto"/>
              <w:ind w:firstLine="0" w:firstLineChars="0"/>
              <w:jc w:val="center"/>
              <w:rPr>
                <w:rFonts w:hint="eastAsia" w:ascii="Times New Roman" w:hAnsi="Times New Roman"/>
                <w:kern w:val="0"/>
                <w:sz w:val="21"/>
                <w:szCs w:val="21"/>
                <w:highlight w:val="none"/>
              </w:rPr>
            </w:pPr>
            <w:r>
              <w:rPr>
                <w:rFonts w:hint="eastAsia" w:ascii="Times New Roman" w:hAnsi="Times New Roman"/>
                <w:kern w:val="0"/>
                <w:sz w:val="21"/>
                <w:szCs w:val="21"/>
                <w:highlight w:val="none"/>
              </w:rPr>
              <w:t>8</w:t>
            </w:r>
          </w:p>
        </w:tc>
        <w:tc>
          <w:tcPr>
            <w:tcW w:w="443" w:type="pct"/>
            <w:noWrap w:val="0"/>
            <w:vAlign w:val="center"/>
          </w:tcPr>
          <w:p w14:paraId="0D8E27F0">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highlight w:val="none"/>
                <w:lang w:val="en-US" w:eastAsia="zh-CN" w:bidi="ar"/>
              </w:rPr>
              <w:t>5040</w:t>
            </w:r>
          </w:p>
        </w:tc>
        <w:tc>
          <w:tcPr>
            <w:tcW w:w="285" w:type="pct"/>
            <w:noWrap w:val="0"/>
            <w:vAlign w:val="center"/>
          </w:tcPr>
          <w:p w14:paraId="1102266F">
            <w:pPr>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正常</w:t>
            </w:r>
          </w:p>
        </w:tc>
        <w:tc>
          <w:tcPr>
            <w:tcW w:w="850" w:type="pct"/>
            <w:noWrap w:val="0"/>
            <w:vAlign w:val="center"/>
          </w:tcPr>
          <w:p w14:paraId="0465E579">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0.012</w:t>
            </w:r>
          </w:p>
        </w:tc>
      </w:tr>
      <w:tr w14:paraId="2FB465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2" w:type="pct"/>
            <w:noWrap w:val="0"/>
            <w:vAlign w:val="center"/>
          </w:tcPr>
          <w:p w14:paraId="2DA849B7">
            <w:pPr>
              <w:tabs>
                <w:tab w:val="left" w:pos="1517"/>
              </w:tabs>
              <w:spacing w:line="240" w:lineRule="auto"/>
              <w:ind w:firstLine="0" w:firstLineChars="0"/>
              <w:jc w:val="center"/>
              <w:rPr>
                <w:rFonts w:hint="eastAsia" w:ascii="Times New Roman" w:hAnsi="Times New Roman" w:eastAsia="宋体"/>
                <w:kern w:val="0"/>
                <w:sz w:val="21"/>
                <w:szCs w:val="21"/>
                <w:highlight w:val="none"/>
                <w:lang w:eastAsia="zh-CN"/>
              </w:rPr>
            </w:pPr>
            <w:r>
              <w:rPr>
                <w:rFonts w:hint="eastAsia" w:ascii="Times New Roman" w:hAnsi="Times New Roman"/>
                <w:kern w:val="0"/>
                <w:sz w:val="21"/>
                <w:szCs w:val="21"/>
                <w:highlight w:val="none"/>
                <w:lang w:val="en-US" w:eastAsia="zh-CN"/>
              </w:rPr>
              <w:t>3</w:t>
            </w:r>
          </w:p>
        </w:tc>
        <w:tc>
          <w:tcPr>
            <w:tcW w:w="313" w:type="pct"/>
            <w:noWrap w:val="0"/>
            <w:vAlign w:val="center"/>
          </w:tcPr>
          <w:p w14:paraId="722BCEEA">
            <w:pPr>
              <w:tabs>
                <w:tab w:val="left" w:pos="1517"/>
              </w:tabs>
              <w:spacing w:line="240" w:lineRule="auto"/>
              <w:ind w:firstLine="0" w:firstLineChars="0"/>
              <w:jc w:val="center"/>
              <w:rPr>
                <w:rFonts w:hint="eastAsia" w:ascii="Times New Roman" w:hAnsi="Times New Roman"/>
                <w:kern w:val="0"/>
                <w:sz w:val="21"/>
                <w:szCs w:val="21"/>
                <w:highlight w:val="none"/>
              </w:rPr>
            </w:pPr>
            <w:r>
              <w:rPr>
                <w:rFonts w:hint="eastAsia" w:ascii="Times New Roman" w:hAnsi="Times New Roman"/>
                <w:kern w:val="0"/>
                <w:sz w:val="21"/>
                <w:szCs w:val="21"/>
                <w:highlight w:val="none"/>
              </w:rPr>
              <w:t>渣仓</w:t>
            </w:r>
          </w:p>
        </w:tc>
        <w:tc>
          <w:tcPr>
            <w:tcW w:w="503" w:type="pct"/>
            <w:noWrap w:val="0"/>
            <w:vAlign w:val="center"/>
          </w:tcPr>
          <w:p w14:paraId="10D5730C">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29</w:t>
            </w:r>
          </w:p>
        </w:tc>
        <w:tc>
          <w:tcPr>
            <w:tcW w:w="466" w:type="pct"/>
            <w:noWrap w:val="0"/>
            <w:vAlign w:val="center"/>
          </w:tcPr>
          <w:p w14:paraId="271E49A7">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21</w:t>
            </w:r>
          </w:p>
        </w:tc>
        <w:tc>
          <w:tcPr>
            <w:tcW w:w="413" w:type="pct"/>
            <w:noWrap w:val="0"/>
            <w:vAlign w:val="center"/>
          </w:tcPr>
          <w:p w14:paraId="2C287ADF">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458</w:t>
            </w:r>
          </w:p>
        </w:tc>
        <w:tc>
          <w:tcPr>
            <w:tcW w:w="321" w:type="pct"/>
            <w:noWrap w:val="0"/>
            <w:vAlign w:val="center"/>
          </w:tcPr>
          <w:p w14:paraId="025CF04F">
            <w:pPr>
              <w:tabs>
                <w:tab w:val="left" w:pos="1517"/>
              </w:tabs>
              <w:spacing w:line="240" w:lineRule="auto"/>
              <w:ind w:firstLine="0" w:firstLineChars="0"/>
              <w:jc w:val="center"/>
              <w:rPr>
                <w:rFonts w:hint="eastAsia" w:ascii="Times New Roman" w:hAnsi="Times New Roman"/>
                <w:kern w:val="0"/>
                <w:sz w:val="21"/>
                <w:szCs w:val="21"/>
                <w:highlight w:val="none"/>
              </w:rPr>
            </w:pPr>
            <w:r>
              <w:rPr>
                <w:rFonts w:hint="eastAsia" w:ascii="Times New Roman" w:hAnsi="Times New Roman"/>
                <w:kern w:val="0"/>
                <w:sz w:val="21"/>
                <w:szCs w:val="21"/>
                <w:highlight w:val="none"/>
              </w:rPr>
              <w:t>6</w:t>
            </w:r>
          </w:p>
        </w:tc>
        <w:tc>
          <w:tcPr>
            <w:tcW w:w="374" w:type="pct"/>
            <w:noWrap w:val="0"/>
            <w:vAlign w:val="center"/>
          </w:tcPr>
          <w:p w14:paraId="58C60EA9">
            <w:pPr>
              <w:tabs>
                <w:tab w:val="left" w:pos="1517"/>
              </w:tabs>
              <w:spacing w:line="240" w:lineRule="auto"/>
              <w:ind w:firstLine="0" w:firstLineChars="0"/>
              <w:jc w:val="center"/>
              <w:rPr>
                <w:rFonts w:hint="eastAsia" w:ascii="Times New Roman" w:hAnsi="Times New Roman"/>
                <w:kern w:val="0"/>
                <w:sz w:val="21"/>
                <w:szCs w:val="21"/>
                <w:highlight w:val="none"/>
              </w:rPr>
            </w:pPr>
            <w:r>
              <w:rPr>
                <w:rFonts w:hint="eastAsia" w:ascii="Times New Roman" w:hAnsi="Times New Roman"/>
                <w:kern w:val="0"/>
                <w:sz w:val="21"/>
                <w:szCs w:val="21"/>
                <w:highlight w:val="none"/>
              </w:rPr>
              <w:t>6</w:t>
            </w:r>
          </w:p>
        </w:tc>
        <w:tc>
          <w:tcPr>
            <w:tcW w:w="365" w:type="pct"/>
            <w:noWrap w:val="0"/>
            <w:vAlign w:val="center"/>
          </w:tcPr>
          <w:p w14:paraId="1CE960C2">
            <w:pPr>
              <w:tabs>
                <w:tab w:val="left" w:pos="1517"/>
              </w:tabs>
              <w:spacing w:line="240" w:lineRule="auto"/>
              <w:ind w:firstLine="0" w:firstLineChars="0"/>
              <w:jc w:val="center"/>
              <w:rPr>
                <w:rFonts w:hint="eastAsia" w:ascii="Times New Roman" w:hAnsi="Times New Roman"/>
                <w:kern w:val="0"/>
                <w:sz w:val="21"/>
                <w:szCs w:val="21"/>
                <w:highlight w:val="none"/>
              </w:rPr>
            </w:pPr>
            <w:r>
              <w:rPr>
                <w:rFonts w:hint="eastAsia" w:ascii="Times New Roman" w:hAnsi="Times New Roman"/>
                <w:kern w:val="0"/>
                <w:sz w:val="21"/>
                <w:szCs w:val="21"/>
                <w:highlight w:val="none"/>
              </w:rPr>
              <w:t>0</w:t>
            </w:r>
          </w:p>
        </w:tc>
        <w:tc>
          <w:tcPr>
            <w:tcW w:w="440" w:type="pct"/>
            <w:noWrap w:val="0"/>
            <w:vAlign w:val="center"/>
          </w:tcPr>
          <w:p w14:paraId="0B98C7A7">
            <w:pPr>
              <w:tabs>
                <w:tab w:val="left" w:pos="1517"/>
              </w:tabs>
              <w:spacing w:line="240" w:lineRule="auto"/>
              <w:ind w:firstLine="0" w:firstLineChars="0"/>
              <w:jc w:val="center"/>
              <w:rPr>
                <w:rFonts w:hint="eastAsia" w:ascii="Times New Roman" w:hAnsi="Times New Roman"/>
                <w:kern w:val="0"/>
                <w:sz w:val="21"/>
                <w:szCs w:val="21"/>
                <w:highlight w:val="none"/>
              </w:rPr>
            </w:pPr>
            <w:r>
              <w:rPr>
                <w:rFonts w:hint="eastAsia" w:ascii="Times New Roman" w:hAnsi="Times New Roman"/>
                <w:kern w:val="0"/>
                <w:sz w:val="21"/>
                <w:szCs w:val="21"/>
                <w:highlight w:val="none"/>
              </w:rPr>
              <w:t>8</w:t>
            </w:r>
          </w:p>
        </w:tc>
        <w:tc>
          <w:tcPr>
            <w:tcW w:w="443" w:type="pct"/>
            <w:noWrap w:val="0"/>
            <w:vAlign w:val="center"/>
          </w:tcPr>
          <w:p w14:paraId="58055B68">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highlight w:val="none"/>
                <w:lang w:val="en-US" w:eastAsia="zh-CN" w:bidi="ar"/>
              </w:rPr>
              <w:t>5040</w:t>
            </w:r>
          </w:p>
        </w:tc>
        <w:tc>
          <w:tcPr>
            <w:tcW w:w="285" w:type="pct"/>
            <w:noWrap w:val="0"/>
            <w:vAlign w:val="center"/>
          </w:tcPr>
          <w:p w14:paraId="7EF45FD3">
            <w:pPr>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正常</w:t>
            </w:r>
          </w:p>
        </w:tc>
        <w:tc>
          <w:tcPr>
            <w:tcW w:w="850" w:type="pct"/>
            <w:noWrap w:val="0"/>
            <w:vAlign w:val="center"/>
          </w:tcPr>
          <w:p w14:paraId="26D58839">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0.005143</w:t>
            </w:r>
          </w:p>
        </w:tc>
      </w:tr>
      <w:tr w14:paraId="57CA26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2" w:type="pct"/>
            <w:noWrap w:val="0"/>
            <w:vAlign w:val="center"/>
          </w:tcPr>
          <w:p w14:paraId="3DB86FC8">
            <w:pPr>
              <w:tabs>
                <w:tab w:val="left" w:pos="1517"/>
              </w:tabs>
              <w:spacing w:line="240" w:lineRule="auto"/>
              <w:ind w:firstLine="0" w:firstLineChars="0"/>
              <w:jc w:val="center"/>
              <w:rPr>
                <w:rFonts w:hint="eastAsia"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4</w:t>
            </w:r>
          </w:p>
        </w:tc>
        <w:tc>
          <w:tcPr>
            <w:tcW w:w="313" w:type="pct"/>
            <w:noWrap w:val="0"/>
            <w:vAlign w:val="center"/>
          </w:tcPr>
          <w:p w14:paraId="3E74B59D">
            <w:pPr>
              <w:tabs>
                <w:tab w:val="left" w:pos="1517"/>
              </w:tabs>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rPr>
              <w:t>石灰石粉仓</w:t>
            </w:r>
          </w:p>
        </w:tc>
        <w:tc>
          <w:tcPr>
            <w:tcW w:w="503" w:type="pct"/>
            <w:noWrap w:val="0"/>
            <w:vAlign w:val="center"/>
          </w:tcPr>
          <w:p w14:paraId="5D2B8610">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36</w:t>
            </w:r>
          </w:p>
        </w:tc>
        <w:tc>
          <w:tcPr>
            <w:tcW w:w="466" w:type="pct"/>
            <w:noWrap w:val="0"/>
            <w:vAlign w:val="center"/>
          </w:tcPr>
          <w:p w14:paraId="4D8D552C">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43</w:t>
            </w:r>
          </w:p>
        </w:tc>
        <w:tc>
          <w:tcPr>
            <w:tcW w:w="413" w:type="pct"/>
            <w:noWrap w:val="0"/>
            <w:vAlign w:val="center"/>
          </w:tcPr>
          <w:p w14:paraId="0E09F77A">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458</w:t>
            </w:r>
          </w:p>
        </w:tc>
        <w:tc>
          <w:tcPr>
            <w:tcW w:w="321" w:type="pct"/>
            <w:noWrap w:val="0"/>
            <w:vAlign w:val="center"/>
          </w:tcPr>
          <w:p w14:paraId="46CC8A47">
            <w:pPr>
              <w:tabs>
                <w:tab w:val="left" w:pos="1517"/>
              </w:tabs>
              <w:spacing w:line="240" w:lineRule="auto"/>
              <w:ind w:firstLine="0" w:firstLineChars="0"/>
              <w:jc w:val="center"/>
              <w:rPr>
                <w:rFonts w:hint="eastAsia" w:ascii="Times New Roman" w:hAnsi="Times New Roman" w:eastAsia="宋体"/>
                <w:kern w:val="0"/>
                <w:sz w:val="21"/>
                <w:szCs w:val="21"/>
                <w:highlight w:val="none"/>
                <w:lang w:eastAsia="zh-CN"/>
              </w:rPr>
            </w:pPr>
            <w:r>
              <w:rPr>
                <w:rFonts w:hint="eastAsia" w:ascii="Times New Roman" w:hAnsi="Times New Roman"/>
                <w:kern w:val="0"/>
                <w:sz w:val="21"/>
                <w:szCs w:val="21"/>
                <w:highlight w:val="none"/>
                <w:lang w:val="en-US" w:eastAsia="zh-CN"/>
              </w:rPr>
              <w:t>5</w:t>
            </w:r>
          </w:p>
        </w:tc>
        <w:tc>
          <w:tcPr>
            <w:tcW w:w="374" w:type="pct"/>
            <w:noWrap w:val="0"/>
            <w:vAlign w:val="center"/>
          </w:tcPr>
          <w:p w14:paraId="446F8CCB">
            <w:pPr>
              <w:tabs>
                <w:tab w:val="left" w:pos="1517"/>
              </w:tabs>
              <w:spacing w:line="240" w:lineRule="auto"/>
              <w:ind w:firstLine="0" w:firstLineChars="0"/>
              <w:jc w:val="center"/>
              <w:rPr>
                <w:rFonts w:hint="eastAsia"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5</w:t>
            </w:r>
          </w:p>
        </w:tc>
        <w:tc>
          <w:tcPr>
            <w:tcW w:w="365" w:type="pct"/>
            <w:noWrap w:val="0"/>
            <w:vAlign w:val="center"/>
          </w:tcPr>
          <w:p w14:paraId="7C4A5C98">
            <w:pPr>
              <w:tabs>
                <w:tab w:val="left" w:pos="1517"/>
              </w:tabs>
              <w:spacing w:line="240" w:lineRule="auto"/>
              <w:ind w:firstLine="0" w:firstLineChars="0"/>
              <w:jc w:val="center"/>
              <w:rPr>
                <w:rFonts w:hint="eastAsia" w:ascii="Times New Roman" w:hAnsi="Times New Roman"/>
                <w:kern w:val="0"/>
                <w:sz w:val="21"/>
                <w:szCs w:val="21"/>
                <w:highlight w:val="none"/>
              </w:rPr>
            </w:pPr>
            <w:r>
              <w:rPr>
                <w:rFonts w:hint="eastAsia" w:ascii="Times New Roman" w:hAnsi="Times New Roman"/>
                <w:kern w:val="0"/>
                <w:sz w:val="21"/>
                <w:szCs w:val="21"/>
                <w:highlight w:val="none"/>
              </w:rPr>
              <w:t>0</w:t>
            </w:r>
          </w:p>
        </w:tc>
        <w:tc>
          <w:tcPr>
            <w:tcW w:w="440" w:type="pct"/>
            <w:noWrap w:val="0"/>
            <w:vAlign w:val="center"/>
          </w:tcPr>
          <w:p w14:paraId="5FBFB23C">
            <w:pPr>
              <w:tabs>
                <w:tab w:val="left" w:pos="1517"/>
              </w:tabs>
              <w:spacing w:line="240" w:lineRule="auto"/>
              <w:ind w:firstLine="0" w:firstLineChars="0"/>
              <w:jc w:val="center"/>
              <w:rPr>
                <w:rFonts w:hint="eastAsia" w:ascii="Times New Roman" w:hAnsi="Times New Roman"/>
                <w:kern w:val="0"/>
                <w:sz w:val="21"/>
                <w:szCs w:val="21"/>
                <w:highlight w:val="none"/>
              </w:rPr>
            </w:pPr>
            <w:r>
              <w:rPr>
                <w:rFonts w:hint="eastAsia" w:ascii="Times New Roman" w:hAnsi="Times New Roman"/>
                <w:kern w:val="0"/>
                <w:sz w:val="21"/>
                <w:szCs w:val="21"/>
                <w:highlight w:val="none"/>
              </w:rPr>
              <w:t>6</w:t>
            </w:r>
          </w:p>
        </w:tc>
        <w:tc>
          <w:tcPr>
            <w:tcW w:w="443" w:type="pct"/>
            <w:noWrap w:val="0"/>
            <w:vAlign w:val="center"/>
          </w:tcPr>
          <w:p w14:paraId="5CEA2AAD">
            <w:pPr>
              <w:tabs>
                <w:tab w:val="left" w:pos="1517"/>
              </w:tabs>
              <w:spacing w:line="240" w:lineRule="auto"/>
              <w:ind w:firstLine="0" w:firstLineChars="0"/>
              <w:jc w:val="center"/>
              <w:rPr>
                <w:rFonts w:hint="default" w:ascii="Times New Roman" w:hAnsi="Times New Roman" w:eastAsia="宋体"/>
                <w:kern w:val="0"/>
                <w:sz w:val="21"/>
                <w:highlight w:val="none"/>
                <w:lang w:val="en-US" w:eastAsia="zh-CN" w:bidi="ar"/>
              </w:rPr>
            </w:pPr>
            <w:r>
              <w:rPr>
                <w:rFonts w:hint="eastAsia" w:ascii="Times New Roman" w:hAnsi="Times New Roman"/>
                <w:kern w:val="0"/>
                <w:sz w:val="21"/>
                <w:highlight w:val="none"/>
                <w:lang w:val="en-US" w:eastAsia="zh-CN" w:bidi="ar"/>
              </w:rPr>
              <w:t>5040</w:t>
            </w:r>
          </w:p>
        </w:tc>
        <w:tc>
          <w:tcPr>
            <w:tcW w:w="285" w:type="pct"/>
            <w:noWrap w:val="0"/>
            <w:vAlign w:val="center"/>
          </w:tcPr>
          <w:p w14:paraId="0C69E45E">
            <w:pPr>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正常</w:t>
            </w:r>
          </w:p>
        </w:tc>
        <w:tc>
          <w:tcPr>
            <w:tcW w:w="850" w:type="pct"/>
            <w:noWrap w:val="0"/>
            <w:vAlign w:val="center"/>
          </w:tcPr>
          <w:p w14:paraId="6F3F6E6F">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0.00148</w:t>
            </w:r>
          </w:p>
        </w:tc>
      </w:tr>
      <w:tr w14:paraId="6BE3D3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2" w:type="pct"/>
            <w:noWrap w:val="0"/>
            <w:vAlign w:val="center"/>
          </w:tcPr>
          <w:p w14:paraId="002EB79F">
            <w:pPr>
              <w:tabs>
                <w:tab w:val="left" w:pos="1517"/>
              </w:tabs>
              <w:spacing w:line="240" w:lineRule="auto"/>
              <w:ind w:firstLine="0" w:firstLineChars="0"/>
              <w:jc w:val="center"/>
              <w:rPr>
                <w:rFonts w:hint="eastAsia"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5</w:t>
            </w:r>
          </w:p>
        </w:tc>
        <w:tc>
          <w:tcPr>
            <w:tcW w:w="313" w:type="pct"/>
            <w:noWrap w:val="0"/>
            <w:vAlign w:val="center"/>
          </w:tcPr>
          <w:p w14:paraId="6ED24D7A">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储煤厂</w:t>
            </w:r>
          </w:p>
        </w:tc>
        <w:tc>
          <w:tcPr>
            <w:tcW w:w="503" w:type="pct"/>
            <w:noWrap w:val="0"/>
            <w:vAlign w:val="center"/>
          </w:tcPr>
          <w:p w14:paraId="14328DF6">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-36</w:t>
            </w:r>
          </w:p>
        </w:tc>
        <w:tc>
          <w:tcPr>
            <w:tcW w:w="466" w:type="pct"/>
            <w:noWrap w:val="0"/>
            <w:vAlign w:val="center"/>
          </w:tcPr>
          <w:p w14:paraId="3AB6EAA2">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46</w:t>
            </w:r>
          </w:p>
        </w:tc>
        <w:tc>
          <w:tcPr>
            <w:tcW w:w="413" w:type="pct"/>
            <w:noWrap w:val="0"/>
            <w:vAlign w:val="center"/>
          </w:tcPr>
          <w:p w14:paraId="23AFAB0F">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458</w:t>
            </w:r>
          </w:p>
        </w:tc>
        <w:tc>
          <w:tcPr>
            <w:tcW w:w="321" w:type="pct"/>
            <w:noWrap w:val="0"/>
            <w:vAlign w:val="center"/>
          </w:tcPr>
          <w:p w14:paraId="220C7D30">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65</w:t>
            </w:r>
          </w:p>
        </w:tc>
        <w:tc>
          <w:tcPr>
            <w:tcW w:w="374" w:type="pct"/>
            <w:noWrap w:val="0"/>
            <w:vAlign w:val="center"/>
          </w:tcPr>
          <w:p w14:paraId="29F4ABB3">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65</w:t>
            </w:r>
          </w:p>
        </w:tc>
        <w:tc>
          <w:tcPr>
            <w:tcW w:w="365" w:type="pct"/>
            <w:noWrap w:val="0"/>
            <w:vAlign w:val="center"/>
          </w:tcPr>
          <w:p w14:paraId="3893FA34">
            <w:pPr>
              <w:tabs>
                <w:tab w:val="left" w:pos="1517"/>
              </w:tabs>
              <w:spacing w:line="240" w:lineRule="auto"/>
              <w:ind w:firstLine="0" w:firstLineChars="0"/>
              <w:jc w:val="center"/>
              <w:rPr>
                <w:rFonts w:hint="eastAsia" w:ascii="Times New Roman" w:hAnsi="Times New Roman"/>
                <w:kern w:val="0"/>
                <w:sz w:val="21"/>
                <w:szCs w:val="21"/>
                <w:highlight w:val="none"/>
              </w:rPr>
            </w:pPr>
            <w:r>
              <w:rPr>
                <w:rFonts w:hint="eastAsia" w:ascii="Times New Roman" w:hAnsi="Times New Roman"/>
                <w:kern w:val="0"/>
                <w:sz w:val="21"/>
                <w:szCs w:val="21"/>
                <w:highlight w:val="none"/>
              </w:rPr>
              <w:t>0</w:t>
            </w:r>
          </w:p>
        </w:tc>
        <w:tc>
          <w:tcPr>
            <w:tcW w:w="440" w:type="pct"/>
            <w:noWrap w:val="0"/>
            <w:vAlign w:val="center"/>
          </w:tcPr>
          <w:p w14:paraId="45639131">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10</w:t>
            </w:r>
          </w:p>
        </w:tc>
        <w:tc>
          <w:tcPr>
            <w:tcW w:w="443" w:type="pct"/>
            <w:noWrap w:val="0"/>
            <w:vAlign w:val="center"/>
          </w:tcPr>
          <w:p w14:paraId="6512CB38">
            <w:pPr>
              <w:tabs>
                <w:tab w:val="left" w:pos="1517"/>
              </w:tabs>
              <w:spacing w:line="240" w:lineRule="auto"/>
              <w:ind w:firstLine="0" w:firstLineChars="0"/>
              <w:jc w:val="center"/>
              <w:rPr>
                <w:rFonts w:hint="default" w:ascii="Times New Roman" w:hAnsi="Times New Roman" w:eastAsia="宋体"/>
                <w:kern w:val="0"/>
                <w:sz w:val="21"/>
                <w:highlight w:val="none"/>
                <w:lang w:val="en-US" w:eastAsia="zh-CN" w:bidi="ar"/>
              </w:rPr>
            </w:pPr>
            <w:r>
              <w:rPr>
                <w:rFonts w:hint="eastAsia" w:ascii="Times New Roman" w:hAnsi="Times New Roman"/>
                <w:kern w:val="0"/>
                <w:sz w:val="21"/>
                <w:highlight w:val="none"/>
                <w:lang w:val="en-US" w:eastAsia="zh-CN" w:bidi="ar"/>
              </w:rPr>
              <w:t>5040</w:t>
            </w:r>
          </w:p>
        </w:tc>
        <w:tc>
          <w:tcPr>
            <w:tcW w:w="285" w:type="pct"/>
            <w:noWrap w:val="0"/>
            <w:vAlign w:val="center"/>
          </w:tcPr>
          <w:p w14:paraId="6D5C1E11">
            <w:pPr>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正常</w:t>
            </w:r>
          </w:p>
        </w:tc>
        <w:tc>
          <w:tcPr>
            <w:tcW w:w="850" w:type="pct"/>
            <w:noWrap w:val="0"/>
            <w:vAlign w:val="center"/>
          </w:tcPr>
          <w:p w14:paraId="2CF5C9EB">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0.146</w:t>
            </w:r>
          </w:p>
        </w:tc>
      </w:tr>
    </w:tbl>
    <w:p w14:paraId="28D08349">
      <w:pPr>
        <w:rPr>
          <w:rFonts w:hint="eastAsia" w:eastAsia="宋体"/>
          <w:color w:val="auto"/>
          <w:highlight w:val="none"/>
          <w:lang w:val="en-US" w:eastAsia="zh-CN"/>
        </w:rPr>
      </w:pPr>
      <w:r>
        <w:rPr>
          <w:rFonts w:hint="eastAsia"/>
          <w:color w:val="auto"/>
          <w:highlight w:val="none"/>
        </w:rPr>
        <w:t>根据本项目锅炉运行方式，本项目仅采暖期（11-4月）运行，非采暖期（5月-10月）不运行，因此，本项目源强排放参数中变化因子采暖期取1，非采暖期取0进行大气影响预测。</w:t>
      </w:r>
    </w:p>
    <w:p w14:paraId="0389102B">
      <w:pPr>
        <w:ind w:firstLine="0" w:firstLineChars="0"/>
        <w:jc w:val="center"/>
        <w:rPr>
          <w:rFonts w:hint="eastAsia" w:ascii="黑体" w:hAnsi="黑体" w:eastAsia="黑体" w:cs="黑体"/>
          <w:highlight w:val="none"/>
          <w:lang w:val="en-US" w:eastAsia="zh-CN"/>
        </w:rPr>
      </w:pPr>
      <w:r>
        <w:rPr>
          <w:rFonts w:hint="eastAsia" w:ascii="黑体" w:hAnsi="黑体" w:eastAsia="黑体" w:cs="黑体"/>
          <w:highlight w:val="none"/>
          <w:lang w:val="en-US" w:eastAsia="zh-CN"/>
        </w:rPr>
        <w:t>表</w:t>
      </w:r>
      <w:r>
        <w:rPr>
          <w:rFonts w:hint="eastAsia" w:ascii="Times New Roman" w:hAnsi="Times New Roman"/>
          <w:highlight w:val="none"/>
          <w:lang w:val="en-US" w:eastAsia="zh-CN"/>
        </w:rPr>
        <w:t>5.2-11</w:t>
      </w:r>
      <w:r>
        <w:rPr>
          <w:rFonts w:hint="eastAsia" w:ascii="黑体" w:hAnsi="黑体" w:eastAsia="黑体" w:cs="黑体"/>
          <w:highlight w:val="none"/>
          <w:lang w:val="en-US" w:eastAsia="zh-CN"/>
        </w:rPr>
        <w:t>本项目区域削减污染源的排放参数表</w:t>
      </w:r>
    </w:p>
    <w:tbl>
      <w:tblPr>
        <w:tblStyle w:val="17"/>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5" w:type="dxa"/>
          <w:bottom w:w="15" w:type="dxa"/>
          <w:right w:w="15" w:type="dxa"/>
        </w:tblCellMar>
      </w:tblPr>
      <w:tblGrid>
        <w:gridCol w:w="1089"/>
        <w:gridCol w:w="451"/>
        <w:gridCol w:w="702"/>
        <w:gridCol w:w="646"/>
        <w:gridCol w:w="994"/>
        <w:gridCol w:w="613"/>
        <w:gridCol w:w="800"/>
        <w:gridCol w:w="1388"/>
        <w:gridCol w:w="963"/>
        <w:gridCol w:w="792"/>
        <w:gridCol w:w="641"/>
        <w:gridCol w:w="1570"/>
        <w:gridCol w:w="1623"/>
        <w:gridCol w:w="1710"/>
      </w:tblGrid>
      <w:tr w14:paraId="73D7FB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cantSplit/>
          <w:trHeight w:val="0" w:hRule="atLeast"/>
          <w:jc w:val="center"/>
        </w:trPr>
        <w:tc>
          <w:tcPr>
            <w:tcW w:w="389" w:type="pct"/>
            <w:vMerge w:val="restart"/>
            <w:tcBorders>
              <w:right w:val="single" w:color="000000" w:sz="4" w:space="0"/>
            </w:tcBorders>
            <w:shd w:val="clear" w:color="auto" w:fill="FFFFFF"/>
            <w:noWrap w:val="0"/>
            <w:vAlign w:val="center"/>
          </w:tcPr>
          <w:p w14:paraId="6FC12068">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color w:val="auto"/>
                <w:kern w:val="0"/>
                <w:sz w:val="21"/>
                <w:highlight w:val="none"/>
                <w:lang w:bidi="ar"/>
              </w:rPr>
              <w:t>编号</w:t>
            </w:r>
          </w:p>
        </w:tc>
        <w:tc>
          <w:tcPr>
            <w:tcW w:w="161" w:type="pct"/>
            <w:vMerge w:val="restart"/>
            <w:tcBorders>
              <w:left w:val="single" w:color="000000" w:sz="4" w:space="0"/>
              <w:right w:val="single" w:color="000000" w:sz="4" w:space="0"/>
            </w:tcBorders>
            <w:shd w:val="clear" w:color="auto" w:fill="FFFFFF"/>
            <w:noWrap w:val="0"/>
            <w:vAlign w:val="center"/>
          </w:tcPr>
          <w:p w14:paraId="0D6F781C">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color w:val="auto"/>
                <w:kern w:val="0"/>
                <w:sz w:val="21"/>
                <w:highlight w:val="none"/>
                <w:lang w:bidi="ar"/>
              </w:rPr>
              <w:t>名称</w:t>
            </w:r>
          </w:p>
        </w:tc>
        <w:tc>
          <w:tcPr>
            <w:tcW w:w="482" w:type="pct"/>
            <w:gridSpan w:val="2"/>
            <w:tcBorders>
              <w:left w:val="single" w:color="000000" w:sz="4" w:space="0"/>
              <w:right w:val="single" w:color="000000" w:sz="4" w:space="0"/>
            </w:tcBorders>
            <w:shd w:val="clear" w:color="auto" w:fill="FFFFFF"/>
            <w:noWrap w:val="0"/>
            <w:vAlign w:val="center"/>
          </w:tcPr>
          <w:p w14:paraId="491E0169">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color w:val="auto"/>
                <w:kern w:val="0"/>
                <w:sz w:val="21"/>
                <w:highlight w:val="none"/>
                <w:lang w:bidi="ar"/>
              </w:rPr>
              <w:t>排气筒底部中心坐标</w:t>
            </w:r>
            <w:r>
              <w:rPr>
                <w:rFonts w:hint="eastAsia" w:ascii="Times New Roman" w:hAnsi="Times New Roman"/>
                <w:color w:val="auto"/>
                <w:kern w:val="0"/>
                <w:sz w:val="21"/>
                <w:highlight w:val="none"/>
                <w:lang w:val="en-US" w:eastAsia="zh-CN" w:bidi="ar"/>
              </w:rPr>
              <w:t>/m</w:t>
            </w:r>
          </w:p>
        </w:tc>
        <w:tc>
          <w:tcPr>
            <w:tcW w:w="355" w:type="pct"/>
            <w:vMerge w:val="restart"/>
            <w:tcBorders>
              <w:left w:val="single" w:color="000000" w:sz="4" w:space="0"/>
              <w:right w:val="single" w:color="000000" w:sz="4" w:space="0"/>
            </w:tcBorders>
            <w:shd w:val="clear" w:color="auto" w:fill="FFFFFF"/>
            <w:noWrap w:val="0"/>
            <w:vAlign w:val="center"/>
          </w:tcPr>
          <w:p w14:paraId="41E2881B">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color w:val="auto"/>
                <w:kern w:val="0"/>
                <w:sz w:val="21"/>
                <w:highlight w:val="none"/>
                <w:lang w:bidi="ar"/>
              </w:rPr>
              <w:t>排气筒底部海拔高度/m</w:t>
            </w:r>
          </w:p>
        </w:tc>
        <w:tc>
          <w:tcPr>
            <w:tcW w:w="219" w:type="pct"/>
            <w:vMerge w:val="restart"/>
            <w:tcBorders>
              <w:left w:val="single" w:color="000000" w:sz="4" w:space="0"/>
              <w:right w:val="single" w:color="000000" w:sz="4" w:space="0"/>
            </w:tcBorders>
            <w:shd w:val="clear" w:color="auto" w:fill="FFFFFF"/>
            <w:noWrap w:val="0"/>
            <w:vAlign w:val="center"/>
          </w:tcPr>
          <w:p w14:paraId="520E4F5C">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color w:val="auto"/>
                <w:kern w:val="0"/>
                <w:sz w:val="21"/>
                <w:highlight w:val="none"/>
                <w:lang w:bidi="ar"/>
              </w:rPr>
              <w:t>排气筒高度/m</w:t>
            </w:r>
          </w:p>
        </w:tc>
        <w:tc>
          <w:tcPr>
            <w:tcW w:w="286" w:type="pct"/>
            <w:vMerge w:val="restart"/>
            <w:tcBorders>
              <w:left w:val="single" w:color="000000" w:sz="4" w:space="0"/>
              <w:right w:val="single" w:color="000000" w:sz="4" w:space="0"/>
            </w:tcBorders>
            <w:shd w:val="clear" w:color="auto" w:fill="FFFFFF"/>
            <w:noWrap w:val="0"/>
            <w:vAlign w:val="center"/>
          </w:tcPr>
          <w:p w14:paraId="08AACAE0">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color w:val="auto"/>
                <w:kern w:val="0"/>
                <w:sz w:val="21"/>
                <w:highlight w:val="none"/>
                <w:lang w:bidi="ar"/>
              </w:rPr>
              <w:t>排气筒出口内径/m</w:t>
            </w:r>
          </w:p>
        </w:tc>
        <w:tc>
          <w:tcPr>
            <w:tcW w:w="496" w:type="pct"/>
            <w:vMerge w:val="restart"/>
            <w:tcBorders>
              <w:left w:val="single" w:color="000000" w:sz="4" w:space="0"/>
              <w:right w:val="single" w:color="000000" w:sz="4" w:space="0"/>
            </w:tcBorders>
            <w:shd w:val="clear" w:color="auto" w:fill="FFFFFF"/>
            <w:noWrap w:val="0"/>
            <w:vAlign w:val="center"/>
          </w:tcPr>
          <w:p w14:paraId="2EF3B09F">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color w:val="auto"/>
                <w:kern w:val="0"/>
                <w:sz w:val="21"/>
                <w:highlight w:val="none"/>
                <w:lang w:bidi="ar"/>
              </w:rPr>
              <w:t>烟气流速/（m</w:t>
            </w:r>
            <w:r>
              <w:rPr>
                <w:rFonts w:ascii="Times New Roman" w:hAnsi="Times New Roman"/>
                <w:color w:val="auto"/>
                <w:kern w:val="0"/>
                <w:sz w:val="21"/>
                <w:highlight w:val="none"/>
                <w:vertAlign w:val="superscript"/>
                <w:lang w:bidi="ar"/>
              </w:rPr>
              <w:t>3</w:t>
            </w:r>
            <w:r>
              <w:rPr>
                <w:rFonts w:ascii="Times New Roman" w:hAnsi="Times New Roman"/>
                <w:color w:val="auto"/>
                <w:kern w:val="0"/>
                <w:sz w:val="21"/>
                <w:highlight w:val="none"/>
                <w:lang w:bidi="ar"/>
              </w:rPr>
              <w:t>/h）</w:t>
            </w:r>
          </w:p>
        </w:tc>
        <w:tc>
          <w:tcPr>
            <w:tcW w:w="344" w:type="pct"/>
            <w:vMerge w:val="restart"/>
            <w:tcBorders>
              <w:left w:val="single" w:color="000000" w:sz="4" w:space="0"/>
              <w:right w:val="single" w:color="000000" w:sz="4" w:space="0"/>
            </w:tcBorders>
            <w:shd w:val="clear" w:color="auto" w:fill="FFFFFF"/>
            <w:noWrap w:val="0"/>
            <w:vAlign w:val="center"/>
          </w:tcPr>
          <w:p w14:paraId="10078786">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color w:val="auto"/>
                <w:kern w:val="0"/>
                <w:sz w:val="21"/>
                <w:highlight w:val="none"/>
                <w:lang w:bidi="ar"/>
              </w:rPr>
              <w:t>烟气温度/</w:t>
            </w:r>
            <w:r>
              <w:rPr>
                <w:rFonts w:hint="eastAsia" w:ascii="宋体" w:hAnsi="宋体" w:cs="宋体"/>
                <w:color w:val="auto"/>
                <w:kern w:val="0"/>
                <w:sz w:val="21"/>
                <w:highlight w:val="none"/>
                <w:lang w:bidi="ar"/>
              </w:rPr>
              <w:t>℃</w:t>
            </w:r>
          </w:p>
        </w:tc>
        <w:tc>
          <w:tcPr>
            <w:tcW w:w="283" w:type="pct"/>
            <w:vMerge w:val="restart"/>
            <w:tcBorders>
              <w:left w:val="single" w:color="000000" w:sz="4" w:space="0"/>
              <w:right w:val="single" w:color="000000" w:sz="4" w:space="0"/>
            </w:tcBorders>
            <w:shd w:val="clear" w:color="auto" w:fill="FFFFFF"/>
            <w:noWrap w:val="0"/>
            <w:vAlign w:val="center"/>
          </w:tcPr>
          <w:p w14:paraId="77ABBB00">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color w:val="auto"/>
                <w:kern w:val="0"/>
                <w:sz w:val="21"/>
                <w:highlight w:val="none"/>
                <w:lang w:bidi="ar"/>
              </w:rPr>
              <w:t>年排放小时数/h</w:t>
            </w:r>
          </w:p>
        </w:tc>
        <w:tc>
          <w:tcPr>
            <w:tcW w:w="229" w:type="pct"/>
            <w:vMerge w:val="restart"/>
            <w:tcBorders>
              <w:left w:val="single" w:color="000000" w:sz="4" w:space="0"/>
              <w:right w:val="single" w:color="000000" w:sz="4" w:space="0"/>
            </w:tcBorders>
            <w:shd w:val="clear" w:color="auto" w:fill="FFFFFF"/>
            <w:noWrap w:val="0"/>
            <w:vAlign w:val="center"/>
          </w:tcPr>
          <w:p w14:paraId="2487FE6E">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color w:val="auto"/>
                <w:kern w:val="0"/>
                <w:sz w:val="21"/>
                <w:highlight w:val="none"/>
                <w:lang w:bidi="ar"/>
              </w:rPr>
              <w:t>排放工况</w:t>
            </w:r>
          </w:p>
        </w:tc>
        <w:tc>
          <w:tcPr>
            <w:tcW w:w="1752" w:type="pct"/>
            <w:gridSpan w:val="3"/>
            <w:tcBorders>
              <w:left w:val="single" w:color="000000" w:sz="4" w:space="0"/>
              <w:right w:val="nil"/>
            </w:tcBorders>
            <w:shd w:val="clear" w:color="auto" w:fill="FFFFFF"/>
            <w:noWrap w:val="0"/>
            <w:vAlign w:val="center"/>
          </w:tcPr>
          <w:p w14:paraId="60042F12">
            <w:pPr>
              <w:widowControl/>
              <w:spacing w:line="240" w:lineRule="auto"/>
              <w:ind w:firstLine="0" w:firstLineChars="0"/>
              <w:jc w:val="center"/>
              <w:textAlignment w:val="center"/>
              <w:rPr>
                <w:rFonts w:ascii="Times New Roman" w:hAnsi="Times New Roman"/>
                <w:color w:val="auto"/>
                <w:kern w:val="0"/>
                <w:sz w:val="21"/>
                <w:highlight w:val="none"/>
                <w:lang w:bidi="ar"/>
              </w:rPr>
            </w:pPr>
            <w:r>
              <w:rPr>
                <w:rFonts w:ascii="Times New Roman" w:hAnsi="Times New Roman"/>
                <w:color w:val="auto"/>
                <w:kern w:val="0"/>
                <w:sz w:val="21"/>
                <w:highlight w:val="none"/>
                <w:lang w:bidi="ar"/>
              </w:rPr>
              <w:t>污染物排放速率/kg/h</w:t>
            </w:r>
          </w:p>
        </w:tc>
      </w:tr>
      <w:tr w14:paraId="3DCB90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cantSplit/>
          <w:trHeight w:val="0" w:hRule="atLeast"/>
          <w:jc w:val="center"/>
        </w:trPr>
        <w:tc>
          <w:tcPr>
            <w:tcW w:w="389" w:type="pct"/>
            <w:vMerge w:val="continue"/>
            <w:tcBorders>
              <w:right w:val="single" w:color="000000" w:sz="4" w:space="0"/>
            </w:tcBorders>
            <w:shd w:val="clear" w:color="auto" w:fill="FFFFFF"/>
            <w:noWrap w:val="0"/>
            <w:vAlign w:val="center"/>
          </w:tcPr>
          <w:p w14:paraId="19DE0021">
            <w:pPr>
              <w:spacing w:line="240" w:lineRule="auto"/>
              <w:ind w:firstLine="0" w:firstLineChars="0"/>
              <w:jc w:val="center"/>
              <w:rPr>
                <w:rFonts w:ascii="Times New Roman" w:hAnsi="Times New Roman"/>
                <w:color w:val="auto"/>
                <w:kern w:val="0"/>
                <w:sz w:val="21"/>
                <w:highlight w:val="none"/>
              </w:rPr>
            </w:pPr>
          </w:p>
        </w:tc>
        <w:tc>
          <w:tcPr>
            <w:tcW w:w="161" w:type="pct"/>
            <w:vMerge w:val="continue"/>
            <w:tcBorders>
              <w:left w:val="single" w:color="000000" w:sz="4" w:space="0"/>
              <w:right w:val="single" w:color="000000" w:sz="4" w:space="0"/>
            </w:tcBorders>
            <w:shd w:val="clear" w:color="auto" w:fill="FFFFFF"/>
            <w:noWrap w:val="0"/>
            <w:vAlign w:val="center"/>
          </w:tcPr>
          <w:p w14:paraId="07D23001">
            <w:pPr>
              <w:spacing w:line="240" w:lineRule="auto"/>
              <w:ind w:firstLine="0" w:firstLineChars="0"/>
              <w:jc w:val="center"/>
              <w:rPr>
                <w:rFonts w:ascii="Times New Roman" w:hAnsi="Times New Roman"/>
                <w:color w:val="auto"/>
                <w:kern w:val="0"/>
                <w:sz w:val="21"/>
                <w:highlight w:val="none"/>
              </w:rPr>
            </w:pPr>
          </w:p>
        </w:tc>
        <w:tc>
          <w:tcPr>
            <w:tcW w:w="251" w:type="pct"/>
            <w:tcBorders>
              <w:left w:val="single" w:color="000000" w:sz="4" w:space="0"/>
              <w:right w:val="single" w:color="000000" w:sz="4" w:space="0"/>
            </w:tcBorders>
            <w:shd w:val="clear" w:color="auto" w:fill="FFFFFF"/>
            <w:noWrap w:val="0"/>
            <w:vAlign w:val="center"/>
          </w:tcPr>
          <w:p w14:paraId="344FDBF3">
            <w:pPr>
              <w:widowControl/>
              <w:spacing w:line="240" w:lineRule="auto"/>
              <w:ind w:firstLine="0" w:firstLineChars="0"/>
              <w:jc w:val="center"/>
              <w:textAlignment w:val="center"/>
              <w:rPr>
                <w:rFonts w:hint="eastAsia" w:ascii="Times New Roman" w:hAnsi="Times New Roman" w:eastAsia="宋体"/>
                <w:color w:val="auto"/>
                <w:kern w:val="0"/>
                <w:sz w:val="21"/>
                <w:highlight w:val="none"/>
                <w:lang w:eastAsia="zh-CN"/>
              </w:rPr>
            </w:pPr>
            <w:r>
              <w:rPr>
                <w:rFonts w:hint="eastAsia" w:ascii="Times New Roman" w:hAnsi="Times New Roman"/>
                <w:color w:val="auto"/>
                <w:kern w:val="0"/>
                <w:sz w:val="21"/>
                <w:highlight w:val="none"/>
                <w:lang w:val="en-US" w:eastAsia="zh-CN" w:bidi="ar"/>
              </w:rPr>
              <w:t>X</w:t>
            </w:r>
          </w:p>
        </w:tc>
        <w:tc>
          <w:tcPr>
            <w:tcW w:w="230" w:type="pct"/>
            <w:tcBorders>
              <w:left w:val="single" w:color="000000" w:sz="4" w:space="0"/>
              <w:right w:val="single" w:color="000000" w:sz="4" w:space="0"/>
            </w:tcBorders>
            <w:shd w:val="clear" w:color="auto" w:fill="FFFFFF"/>
            <w:noWrap w:val="0"/>
            <w:vAlign w:val="center"/>
          </w:tcPr>
          <w:p w14:paraId="48ED0DA9">
            <w:pPr>
              <w:widowControl/>
              <w:spacing w:line="240" w:lineRule="auto"/>
              <w:ind w:firstLine="0" w:firstLineChars="0"/>
              <w:jc w:val="center"/>
              <w:textAlignment w:val="center"/>
              <w:rPr>
                <w:rFonts w:hint="eastAsia" w:ascii="Times New Roman" w:hAnsi="Times New Roman" w:eastAsia="宋体"/>
                <w:color w:val="auto"/>
                <w:kern w:val="0"/>
                <w:sz w:val="21"/>
                <w:highlight w:val="none"/>
                <w:lang w:eastAsia="zh-CN"/>
              </w:rPr>
            </w:pPr>
            <w:r>
              <w:rPr>
                <w:rFonts w:hint="eastAsia" w:ascii="Times New Roman" w:hAnsi="Times New Roman"/>
                <w:color w:val="auto"/>
                <w:kern w:val="0"/>
                <w:sz w:val="21"/>
                <w:highlight w:val="none"/>
                <w:lang w:val="en-US" w:eastAsia="zh-CN" w:bidi="ar"/>
              </w:rPr>
              <w:t>Y</w:t>
            </w:r>
          </w:p>
        </w:tc>
        <w:tc>
          <w:tcPr>
            <w:tcW w:w="355" w:type="pct"/>
            <w:vMerge w:val="continue"/>
            <w:tcBorders>
              <w:left w:val="single" w:color="000000" w:sz="4" w:space="0"/>
              <w:right w:val="single" w:color="000000" w:sz="4" w:space="0"/>
            </w:tcBorders>
            <w:shd w:val="clear" w:color="auto" w:fill="FFFFFF"/>
            <w:noWrap w:val="0"/>
            <w:vAlign w:val="center"/>
          </w:tcPr>
          <w:p w14:paraId="77162172">
            <w:pPr>
              <w:spacing w:line="240" w:lineRule="auto"/>
              <w:ind w:firstLine="0" w:firstLineChars="0"/>
              <w:jc w:val="center"/>
              <w:rPr>
                <w:rFonts w:ascii="Times New Roman" w:hAnsi="Times New Roman"/>
                <w:color w:val="auto"/>
                <w:kern w:val="0"/>
                <w:sz w:val="21"/>
                <w:highlight w:val="none"/>
              </w:rPr>
            </w:pPr>
          </w:p>
        </w:tc>
        <w:tc>
          <w:tcPr>
            <w:tcW w:w="219" w:type="pct"/>
            <w:vMerge w:val="continue"/>
            <w:tcBorders>
              <w:left w:val="single" w:color="000000" w:sz="4" w:space="0"/>
              <w:right w:val="single" w:color="000000" w:sz="4" w:space="0"/>
            </w:tcBorders>
            <w:shd w:val="clear" w:color="auto" w:fill="FFFFFF"/>
            <w:noWrap w:val="0"/>
            <w:vAlign w:val="center"/>
          </w:tcPr>
          <w:p w14:paraId="49C1050E">
            <w:pPr>
              <w:spacing w:line="240" w:lineRule="auto"/>
              <w:ind w:firstLine="0" w:firstLineChars="0"/>
              <w:jc w:val="center"/>
              <w:rPr>
                <w:rFonts w:ascii="Times New Roman" w:hAnsi="Times New Roman"/>
                <w:color w:val="auto"/>
                <w:kern w:val="0"/>
                <w:sz w:val="21"/>
                <w:highlight w:val="none"/>
              </w:rPr>
            </w:pPr>
          </w:p>
        </w:tc>
        <w:tc>
          <w:tcPr>
            <w:tcW w:w="286" w:type="pct"/>
            <w:vMerge w:val="continue"/>
            <w:tcBorders>
              <w:left w:val="single" w:color="000000" w:sz="4" w:space="0"/>
              <w:right w:val="single" w:color="000000" w:sz="4" w:space="0"/>
            </w:tcBorders>
            <w:shd w:val="clear" w:color="auto" w:fill="FFFFFF"/>
            <w:noWrap w:val="0"/>
            <w:vAlign w:val="center"/>
          </w:tcPr>
          <w:p w14:paraId="7C4B44CD">
            <w:pPr>
              <w:spacing w:line="240" w:lineRule="auto"/>
              <w:ind w:firstLine="0" w:firstLineChars="0"/>
              <w:jc w:val="center"/>
              <w:rPr>
                <w:rFonts w:ascii="Times New Roman" w:hAnsi="Times New Roman"/>
                <w:color w:val="auto"/>
                <w:kern w:val="0"/>
                <w:sz w:val="21"/>
                <w:highlight w:val="none"/>
              </w:rPr>
            </w:pPr>
          </w:p>
        </w:tc>
        <w:tc>
          <w:tcPr>
            <w:tcW w:w="496" w:type="pct"/>
            <w:vMerge w:val="continue"/>
            <w:tcBorders>
              <w:left w:val="single" w:color="000000" w:sz="4" w:space="0"/>
              <w:right w:val="single" w:color="000000" w:sz="4" w:space="0"/>
            </w:tcBorders>
            <w:shd w:val="clear" w:color="auto" w:fill="FFFFFF"/>
            <w:noWrap w:val="0"/>
            <w:vAlign w:val="center"/>
          </w:tcPr>
          <w:p w14:paraId="0239F8CA">
            <w:pPr>
              <w:spacing w:line="240" w:lineRule="auto"/>
              <w:ind w:firstLine="0" w:firstLineChars="0"/>
              <w:jc w:val="center"/>
              <w:rPr>
                <w:rFonts w:ascii="Times New Roman" w:hAnsi="Times New Roman"/>
                <w:color w:val="auto"/>
                <w:kern w:val="0"/>
                <w:sz w:val="21"/>
                <w:highlight w:val="none"/>
              </w:rPr>
            </w:pPr>
          </w:p>
        </w:tc>
        <w:tc>
          <w:tcPr>
            <w:tcW w:w="344" w:type="pct"/>
            <w:vMerge w:val="continue"/>
            <w:tcBorders>
              <w:left w:val="single" w:color="000000" w:sz="4" w:space="0"/>
              <w:right w:val="single" w:color="000000" w:sz="4" w:space="0"/>
            </w:tcBorders>
            <w:shd w:val="clear" w:color="auto" w:fill="FFFFFF"/>
            <w:noWrap w:val="0"/>
            <w:vAlign w:val="center"/>
          </w:tcPr>
          <w:p w14:paraId="19316B3D">
            <w:pPr>
              <w:spacing w:line="240" w:lineRule="auto"/>
              <w:ind w:firstLine="0" w:firstLineChars="0"/>
              <w:jc w:val="center"/>
              <w:rPr>
                <w:rFonts w:ascii="Times New Roman" w:hAnsi="Times New Roman"/>
                <w:color w:val="auto"/>
                <w:kern w:val="0"/>
                <w:sz w:val="21"/>
                <w:highlight w:val="none"/>
              </w:rPr>
            </w:pPr>
          </w:p>
        </w:tc>
        <w:tc>
          <w:tcPr>
            <w:tcW w:w="283" w:type="pct"/>
            <w:vMerge w:val="continue"/>
            <w:tcBorders>
              <w:left w:val="single" w:color="000000" w:sz="4" w:space="0"/>
              <w:right w:val="single" w:color="000000" w:sz="4" w:space="0"/>
            </w:tcBorders>
            <w:shd w:val="clear" w:color="auto" w:fill="FFFFFF"/>
            <w:noWrap w:val="0"/>
            <w:vAlign w:val="center"/>
          </w:tcPr>
          <w:p w14:paraId="2EE5AE6B">
            <w:pPr>
              <w:spacing w:line="240" w:lineRule="auto"/>
              <w:ind w:firstLine="0" w:firstLineChars="0"/>
              <w:jc w:val="center"/>
              <w:rPr>
                <w:rFonts w:ascii="Times New Roman" w:hAnsi="Times New Roman"/>
                <w:color w:val="auto"/>
                <w:kern w:val="0"/>
                <w:sz w:val="21"/>
                <w:highlight w:val="none"/>
              </w:rPr>
            </w:pPr>
          </w:p>
        </w:tc>
        <w:tc>
          <w:tcPr>
            <w:tcW w:w="229" w:type="pct"/>
            <w:vMerge w:val="continue"/>
            <w:tcBorders>
              <w:left w:val="single" w:color="000000" w:sz="4" w:space="0"/>
              <w:right w:val="single" w:color="000000" w:sz="4" w:space="0"/>
            </w:tcBorders>
            <w:shd w:val="clear" w:color="auto" w:fill="FFFFFF"/>
            <w:noWrap w:val="0"/>
            <w:vAlign w:val="center"/>
          </w:tcPr>
          <w:p w14:paraId="59D15F7D">
            <w:pPr>
              <w:spacing w:line="240" w:lineRule="auto"/>
              <w:ind w:firstLine="0" w:firstLineChars="0"/>
              <w:jc w:val="center"/>
              <w:rPr>
                <w:rFonts w:ascii="Times New Roman" w:hAnsi="Times New Roman"/>
                <w:color w:val="auto"/>
                <w:kern w:val="0"/>
                <w:sz w:val="21"/>
                <w:highlight w:val="none"/>
              </w:rPr>
            </w:pPr>
          </w:p>
        </w:tc>
        <w:tc>
          <w:tcPr>
            <w:tcW w:w="561" w:type="pct"/>
            <w:tcBorders>
              <w:left w:val="single" w:color="000000" w:sz="4" w:space="0"/>
              <w:right w:val="single" w:color="000000" w:sz="4" w:space="0"/>
            </w:tcBorders>
            <w:shd w:val="clear" w:color="auto" w:fill="FFFFFF"/>
            <w:noWrap w:val="0"/>
            <w:vAlign w:val="center"/>
          </w:tcPr>
          <w:p w14:paraId="756A913B">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color w:val="auto"/>
                <w:sz w:val="21"/>
                <w:highlight w:val="none"/>
              </w:rPr>
              <w:t>PM</w:t>
            </w:r>
            <w:r>
              <w:rPr>
                <w:rFonts w:ascii="Times New Roman" w:hAnsi="Times New Roman"/>
                <w:color w:val="auto"/>
                <w:sz w:val="21"/>
                <w:highlight w:val="none"/>
                <w:vertAlign w:val="subscript"/>
              </w:rPr>
              <w:t>10</w:t>
            </w:r>
          </w:p>
        </w:tc>
        <w:tc>
          <w:tcPr>
            <w:tcW w:w="580" w:type="pct"/>
            <w:tcBorders>
              <w:left w:val="single" w:color="000000" w:sz="4" w:space="0"/>
              <w:right w:val="single" w:color="000000" w:sz="4" w:space="0"/>
            </w:tcBorders>
            <w:shd w:val="clear" w:color="auto" w:fill="FFFFFF"/>
            <w:noWrap w:val="0"/>
            <w:vAlign w:val="center"/>
          </w:tcPr>
          <w:p w14:paraId="1B0F74D8">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color w:val="auto"/>
                <w:sz w:val="21"/>
                <w:highlight w:val="none"/>
              </w:rPr>
              <w:t>SO</w:t>
            </w:r>
            <w:r>
              <w:rPr>
                <w:rFonts w:ascii="Times New Roman" w:hAnsi="Times New Roman"/>
                <w:color w:val="auto"/>
                <w:sz w:val="21"/>
                <w:highlight w:val="none"/>
                <w:vertAlign w:val="subscript"/>
              </w:rPr>
              <w:t>2</w:t>
            </w:r>
          </w:p>
        </w:tc>
        <w:tc>
          <w:tcPr>
            <w:tcW w:w="611" w:type="pct"/>
            <w:tcBorders>
              <w:left w:val="single" w:color="000000" w:sz="4" w:space="0"/>
              <w:right w:val="nil"/>
            </w:tcBorders>
            <w:noWrap w:val="0"/>
            <w:vAlign w:val="center"/>
          </w:tcPr>
          <w:p w14:paraId="20301D25">
            <w:pPr>
              <w:widowControl/>
              <w:spacing w:line="240" w:lineRule="auto"/>
              <w:ind w:firstLine="0" w:firstLineChars="0"/>
              <w:jc w:val="center"/>
              <w:textAlignment w:val="center"/>
              <w:rPr>
                <w:rFonts w:ascii="Times New Roman" w:hAnsi="Times New Roman"/>
                <w:color w:val="auto"/>
                <w:sz w:val="21"/>
                <w:highlight w:val="none"/>
              </w:rPr>
            </w:pPr>
            <w:r>
              <w:rPr>
                <w:rFonts w:ascii="Times New Roman" w:hAnsi="Times New Roman"/>
                <w:color w:val="auto"/>
                <w:sz w:val="21"/>
                <w:highlight w:val="none"/>
              </w:rPr>
              <w:t>NO</w:t>
            </w:r>
            <w:r>
              <w:rPr>
                <w:rFonts w:ascii="Times New Roman" w:hAnsi="Times New Roman"/>
                <w:color w:val="auto"/>
                <w:sz w:val="21"/>
                <w:highlight w:val="none"/>
                <w:vertAlign w:val="subscript"/>
              </w:rPr>
              <w:t>2</w:t>
            </w:r>
          </w:p>
        </w:tc>
      </w:tr>
      <w:tr w14:paraId="638678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cantSplit/>
          <w:trHeight w:val="0" w:hRule="atLeast"/>
          <w:jc w:val="center"/>
        </w:trPr>
        <w:tc>
          <w:tcPr>
            <w:tcW w:w="389" w:type="pct"/>
            <w:tcBorders>
              <w:right w:val="single" w:color="000000" w:sz="4" w:space="0"/>
            </w:tcBorders>
            <w:noWrap w:val="0"/>
            <w:vAlign w:val="center"/>
          </w:tcPr>
          <w:p w14:paraId="54D19B4A">
            <w:pPr>
              <w:widowControl/>
              <w:spacing w:line="240" w:lineRule="auto"/>
              <w:ind w:firstLine="0" w:firstLineChars="0"/>
              <w:jc w:val="center"/>
              <w:textAlignment w:val="center"/>
              <w:rPr>
                <w:rFonts w:hint="eastAsia" w:ascii="Times New Roman" w:hAnsi="Times New Roman" w:eastAsia="宋体"/>
                <w:color w:val="auto"/>
                <w:kern w:val="0"/>
                <w:sz w:val="21"/>
                <w:highlight w:val="none"/>
                <w:lang w:eastAsia="zh-CN"/>
              </w:rPr>
            </w:pPr>
            <w:r>
              <w:rPr>
                <w:rFonts w:ascii="Times New Roman" w:hAnsi="Times New Roman"/>
                <w:kern w:val="0"/>
                <w:sz w:val="21"/>
                <w:highlight w:val="none"/>
                <w:lang w:bidi="ar"/>
              </w:rPr>
              <w:t>DA00</w:t>
            </w:r>
            <w:r>
              <w:rPr>
                <w:rFonts w:hint="eastAsia" w:ascii="Times New Roman" w:hAnsi="Times New Roman"/>
                <w:kern w:val="0"/>
                <w:sz w:val="21"/>
                <w:highlight w:val="none"/>
                <w:lang w:val="en-US" w:eastAsia="zh-CN" w:bidi="ar"/>
              </w:rPr>
              <w:t>1</w:t>
            </w:r>
          </w:p>
        </w:tc>
        <w:tc>
          <w:tcPr>
            <w:tcW w:w="161" w:type="pct"/>
            <w:tcBorders>
              <w:left w:val="single" w:color="000000" w:sz="4" w:space="0"/>
              <w:right w:val="single" w:color="000000" w:sz="4" w:space="0"/>
            </w:tcBorders>
            <w:noWrap w:val="0"/>
            <w:vAlign w:val="center"/>
          </w:tcPr>
          <w:p w14:paraId="731BB360">
            <w:pPr>
              <w:widowControl/>
              <w:spacing w:line="240" w:lineRule="auto"/>
              <w:ind w:firstLine="0" w:firstLineChars="0"/>
              <w:jc w:val="center"/>
              <w:textAlignment w:val="center"/>
              <w:rPr>
                <w:rFonts w:hint="default" w:ascii="Times New Roman" w:hAnsi="Times New Roman" w:eastAsia="宋体"/>
                <w:color w:val="auto"/>
                <w:kern w:val="0"/>
                <w:sz w:val="21"/>
                <w:highlight w:val="none"/>
                <w:lang w:val="en-US" w:eastAsia="zh-CN"/>
              </w:rPr>
            </w:pPr>
            <w:r>
              <w:rPr>
                <w:rFonts w:hint="eastAsia" w:ascii="Times New Roman" w:hAnsi="Times New Roman"/>
                <w:kern w:val="0"/>
                <w:sz w:val="21"/>
                <w:highlight w:val="none"/>
                <w:lang w:val="en-US" w:eastAsia="zh-CN"/>
              </w:rPr>
              <w:t>锅炉排气筒</w:t>
            </w:r>
          </w:p>
        </w:tc>
        <w:tc>
          <w:tcPr>
            <w:tcW w:w="251" w:type="pct"/>
            <w:tcBorders>
              <w:left w:val="single" w:color="000000" w:sz="4" w:space="0"/>
              <w:right w:val="single" w:color="000000" w:sz="4" w:space="0"/>
            </w:tcBorders>
            <w:noWrap w:val="0"/>
            <w:vAlign w:val="center"/>
          </w:tcPr>
          <w:p w14:paraId="2856BE3E">
            <w:pPr>
              <w:tabs>
                <w:tab w:val="left" w:pos="1517"/>
              </w:tabs>
              <w:spacing w:line="240" w:lineRule="auto"/>
              <w:ind w:firstLine="0" w:firstLineChars="0"/>
              <w:jc w:val="center"/>
              <w:rPr>
                <w:rFonts w:ascii="Times New Roman" w:hAnsi="Times New Roman"/>
                <w:color w:val="auto"/>
                <w:kern w:val="0"/>
                <w:sz w:val="21"/>
                <w:highlight w:val="none"/>
              </w:rPr>
            </w:pPr>
            <w:r>
              <w:rPr>
                <w:rFonts w:hint="eastAsia" w:ascii="Times New Roman" w:hAnsi="Times New Roman"/>
                <w:kern w:val="0"/>
                <w:sz w:val="21"/>
                <w:szCs w:val="21"/>
                <w:highlight w:val="none"/>
                <w:lang w:val="en-US" w:eastAsia="zh-CN"/>
              </w:rPr>
              <w:t>21</w:t>
            </w:r>
          </w:p>
        </w:tc>
        <w:tc>
          <w:tcPr>
            <w:tcW w:w="230" w:type="pct"/>
            <w:tcBorders>
              <w:left w:val="single" w:color="000000" w:sz="4" w:space="0"/>
              <w:right w:val="single" w:color="000000" w:sz="4" w:space="0"/>
            </w:tcBorders>
            <w:noWrap w:val="0"/>
            <w:vAlign w:val="center"/>
          </w:tcPr>
          <w:p w14:paraId="7F328934">
            <w:pPr>
              <w:tabs>
                <w:tab w:val="left" w:pos="1517"/>
              </w:tabs>
              <w:spacing w:line="240" w:lineRule="auto"/>
              <w:ind w:firstLine="0" w:firstLineChars="0"/>
              <w:jc w:val="center"/>
              <w:rPr>
                <w:rFonts w:ascii="Times New Roman" w:hAnsi="Times New Roman"/>
                <w:color w:val="auto"/>
                <w:kern w:val="0"/>
                <w:sz w:val="21"/>
                <w:highlight w:val="none"/>
              </w:rPr>
            </w:pPr>
            <w:r>
              <w:rPr>
                <w:rFonts w:hint="eastAsia" w:ascii="Times New Roman" w:hAnsi="Times New Roman"/>
                <w:kern w:val="0"/>
                <w:sz w:val="21"/>
                <w:szCs w:val="21"/>
                <w:highlight w:val="none"/>
                <w:lang w:val="en-US" w:eastAsia="zh-CN"/>
              </w:rPr>
              <w:t>14</w:t>
            </w:r>
          </w:p>
        </w:tc>
        <w:tc>
          <w:tcPr>
            <w:tcW w:w="355" w:type="pct"/>
            <w:tcBorders>
              <w:left w:val="single" w:color="000000" w:sz="4" w:space="0"/>
              <w:right w:val="single" w:color="000000" w:sz="4" w:space="0"/>
            </w:tcBorders>
            <w:noWrap w:val="0"/>
            <w:vAlign w:val="center"/>
          </w:tcPr>
          <w:p w14:paraId="72D6052F">
            <w:pPr>
              <w:widowControl/>
              <w:spacing w:line="240" w:lineRule="auto"/>
              <w:ind w:firstLine="0" w:firstLineChars="0"/>
              <w:jc w:val="center"/>
              <w:textAlignment w:val="center"/>
              <w:rPr>
                <w:rFonts w:hint="default" w:ascii="Times New Roman" w:hAnsi="Times New Roman" w:eastAsia="宋体"/>
                <w:color w:val="auto"/>
                <w:kern w:val="0"/>
                <w:sz w:val="21"/>
                <w:highlight w:val="none"/>
                <w:lang w:val="en-US" w:eastAsia="zh-CN"/>
              </w:rPr>
            </w:pPr>
            <w:r>
              <w:rPr>
                <w:rFonts w:hint="eastAsia" w:ascii="Times New Roman" w:hAnsi="Times New Roman"/>
                <w:kern w:val="0"/>
                <w:sz w:val="21"/>
                <w:highlight w:val="none"/>
                <w:lang w:val="en-US" w:eastAsia="zh-CN"/>
              </w:rPr>
              <w:t>458</w:t>
            </w:r>
          </w:p>
        </w:tc>
        <w:tc>
          <w:tcPr>
            <w:tcW w:w="219" w:type="pct"/>
            <w:tcBorders>
              <w:left w:val="single" w:color="000000" w:sz="4" w:space="0"/>
              <w:right w:val="single" w:color="000000" w:sz="4" w:space="0"/>
            </w:tcBorders>
            <w:noWrap w:val="0"/>
            <w:vAlign w:val="center"/>
          </w:tcPr>
          <w:p w14:paraId="6ED8C4D1">
            <w:pPr>
              <w:widowControl/>
              <w:spacing w:line="240" w:lineRule="auto"/>
              <w:ind w:firstLine="0" w:firstLineChars="0"/>
              <w:jc w:val="center"/>
              <w:textAlignment w:val="center"/>
              <w:rPr>
                <w:rFonts w:ascii="Times New Roman" w:hAnsi="Times New Roman"/>
                <w:color w:val="auto"/>
                <w:kern w:val="0"/>
                <w:sz w:val="21"/>
                <w:highlight w:val="none"/>
              </w:rPr>
            </w:pPr>
            <w:r>
              <w:rPr>
                <w:rFonts w:hint="eastAsia" w:ascii="Times New Roman" w:hAnsi="Times New Roman"/>
                <w:kern w:val="0"/>
                <w:sz w:val="21"/>
                <w:highlight w:val="none"/>
                <w:lang w:val="en-US" w:eastAsia="zh-CN"/>
              </w:rPr>
              <w:t>60</w:t>
            </w:r>
          </w:p>
        </w:tc>
        <w:tc>
          <w:tcPr>
            <w:tcW w:w="286" w:type="pct"/>
            <w:tcBorders>
              <w:left w:val="single" w:color="000000" w:sz="4" w:space="0"/>
              <w:right w:val="single" w:color="000000" w:sz="4" w:space="0"/>
            </w:tcBorders>
            <w:noWrap w:val="0"/>
            <w:vAlign w:val="center"/>
          </w:tcPr>
          <w:p w14:paraId="7E524C41">
            <w:pPr>
              <w:widowControl/>
              <w:spacing w:line="240" w:lineRule="auto"/>
              <w:ind w:firstLine="0" w:firstLineChars="0"/>
              <w:jc w:val="center"/>
              <w:textAlignment w:val="center"/>
              <w:rPr>
                <w:rFonts w:hint="eastAsia" w:ascii="Times New Roman" w:hAnsi="Times New Roman" w:eastAsia="宋体"/>
                <w:color w:val="auto"/>
                <w:kern w:val="0"/>
                <w:sz w:val="21"/>
                <w:highlight w:val="none"/>
                <w:lang w:eastAsia="zh-CN"/>
              </w:rPr>
            </w:pPr>
            <w:r>
              <w:rPr>
                <w:rFonts w:hint="eastAsia" w:ascii="Times New Roman" w:hAnsi="Times New Roman"/>
                <w:kern w:val="0"/>
                <w:sz w:val="21"/>
                <w:highlight w:val="none"/>
                <w:lang w:val="en-US" w:eastAsia="zh-CN"/>
              </w:rPr>
              <w:t>4</w:t>
            </w:r>
          </w:p>
        </w:tc>
        <w:tc>
          <w:tcPr>
            <w:tcW w:w="496" w:type="pct"/>
            <w:tcBorders>
              <w:left w:val="single" w:color="000000" w:sz="4" w:space="0"/>
              <w:right w:val="single" w:color="000000" w:sz="4" w:space="0"/>
            </w:tcBorders>
            <w:noWrap w:val="0"/>
            <w:vAlign w:val="center"/>
          </w:tcPr>
          <w:p w14:paraId="1608B424">
            <w:pPr>
              <w:widowControl/>
              <w:spacing w:line="240" w:lineRule="auto"/>
              <w:ind w:firstLine="0" w:firstLineChars="0"/>
              <w:jc w:val="center"/>
              <w:textAlignment w:val="center"/>
              <w:rPr>
                <w:rFonts w:hint="default" w:ascii="Times New Roman" w:hAnsi="Times New Roman"/>
                <w:color w:val="auto"/>
                <w:kern w:val="0"/>
                <w:sz w:val="21"/>
                <w:highlight w:val="none"/>
                <w:lang w:val="en-US"/>
              </w:rPr>
            </w:pPr>
            <w:r>
              <w:rPr>
                <w:rFonts w:hint="eastAsia" w:ascii="Times New Roman" w:hAnsi="Times New Roman"/>
                <w:kern w:val="0"/>
                <w:sz w:val="21"/>
                <w:highlight w:val="none"/>
                <w:lang w:val="en-US" w:eastAsia="zh-CN"/>
              </w:rPr>
              <w:t>137417.48</w:t>
            </w:r>
          </w:p>
        </w:tc>
        <w:tc>
          <w:tcPr>
            <w:tcW w:w="344" w:type="pct"/>
            <w:tcBorders>
              <w:left w:val="single" w:color="000000" w:sz="4" w:space="0"/>
              <w:right w:val="single" w:color="000000" w:sz="4" w:space="0"/>
            </w:tcBorders>
            <w:noWrap w:val="0"/>
            <w:vAlign w:val="center"/>
          </w:tcPr>
          <w:p w14:paraId="76567079">
            <w:pPr>
              <w:widowControl/>
              <w:spacing w:line="240" w:lineRule="auto"/>
              <w:ind w:firstLine="0" w:firstLineChars="0"/>
              <w:jc w:val="center"/>
              <w:textAlignment w:val="center"/>
              <w:rPr>
                <w:rFonts w:ascii="Times New Roman" w:hAnsi="Times New Roman"/>
                <w:color w:val="auto"/>
                <w:kern w:val="0"/>
                <w:sz w:val="21"/>
                <w:highlight w:val="none"/>
              </w:rPr>
            </w:pPr>
            <w:r>
              <w:rPr>
                <w:rFonts w:hint="eastAsia" w:ascii="Times New Roman" w:hAnsi="Times New Roman"/>
                <w:kern w:val="0"/>
                <w:sz w:val="21"/>
                <w:highlight w:val="none"/>
                <w:lang w:val="en-US" w:eastAsia="zh-CN"/>
              </w:rPr>
              <w:t>100</w:t>
            </w:r>
          </w:p>
        </w:tc>
        <w:tc>
          <w:tcPr>
            <w:tcW w:w="283" w:type="pct"/>
            <w:tcBorders>
              <w:left w:val="single" w:color="000000" w:sz="4" w:space="0"/>
              <w:right w:val="single" w:color="000000" w:sz="4" w:space="0"/>
            </w:tcBorders>
            <w:noWrap w:val="0"/>
            <w:vAlign w:val="center"/>
          </w:tcPr>
          <w:p w14:paraId="470802C9">
            <w:pPr>
              <w:widowControl/>
              <w:spacing w:line="240" w:lineRule="auto"/>
              <w:ind w:firstLine="0" w:firstLineChars="0"/>
              <w:jc w:val="center"/>
              <w:textAlignment w:val="center"/>
              <w:rPr>
                <w:rFonts w:hint="default" w:ascii="Times New Roman" w:hAnsi="Times New Roman"/>
                <w:color w:val="auto"/>
                <w:kern w:val="0"/>
                <w:sz w:val="21"/>
                <w:highlight w:val="none"/>
                <w:lang w:val="en-US"/>
              </w:rPr>
            </w:pPr>
            <w:r>
              <w:rPr>
                <w:rFonts w:hint="eastAsia" w:ascii="Times New Roman" w:hAnsi="Times New Roman"/>
                <w:kern w:val="0"/>
                <w:sz w:val="21"/>
                <w:highlight w:val="none"/>
                <w:lang w:val="en-US" w:eastAsia="zh-CN" w:bidi="ar"/>
              </w:rPr>
              <w:t>5040</w:t>
            </w:r>
          </w:p>
        </w:tc>
        <w:tc>
          <w:tcPr>
            <w:tcW w:w="229" w:type="pct"/>
            <w:tcBorders>
              <w:left w:val="single" w:color="000000" w:sz="4" w:space="0"/>
              <w:right w:val="single" w:color="000000" w:sz="4" w:space="0"/>
            </w:tcBorders>
            <w:noWrap w:val="0"/>
            <w:vAlign w:val="center"/>
          </w:tcPr>
          <w:p w14:paraId="35289A3D">
            <w:pPr>
              <w:widowControl/>
              <w:spacing w:line="240" w:lineRule="auto"/>
              <w:ind w:firstLine="0" w:firstLineChars="0"/>
              <w:jc w:val="center"/>
              <w:textAlignment w:val="center"/>
              <w:rPr>
                <w:rFonts w:ascii="Times New Roman" w:hAnsi="Times New Roman"/>
                <w:color w:val="auto"/>
                <w:kern w:val="0"/>
                <w:sz w:val="21"/>
                <w:highlight w:val="none"/>
              </w:rPr>
            </w:pPr>
            <w:r>
              <w:rPr>
                <w:rFonts w:ascii="Times New Roman" w:hAnsi="Times New Roman"/>
                <w:kern w:val="0"/>
                <w:sz w:val="21"/>
                <w:highlight w:val="none"/>
                <w:lang w:bidi="ar"/>
              </w:rPr>
              <w:t>正常</w:t>
            </w:r>
          </w:p>
        </w:tc>
        <w:tc>
          <w:tcPr>
            <w:tcW w:w="561" w:type="pct"/>
            <w:tcBorders>
              <w:left w:val="single" w:color="000000" w:sz="4" w:space="0"/>
              <w:right w:val="single" w:color="000000" w:sz="4" w:space="0"/>
            </w:tcBorders>
            <w:noWrap w:val="0"/>
            <w:vAlign w:val="center"/>
          </w:tcPr>
          <w:p w14:paraId="0B5A355F">
            <w:pPr>
              <w:widowControl/>
              <w:spacing w:line="240" w:lineRule="auto"/>
              <w:ind w:firstLine="0" w:firstLineChars="0"/>
              <w:jc w:val="center"/>
              <w:textAlignment w:val="center"/>
              <w:rPr>
                <w:rFonts w:hint="default" w:ascii="Times New Roman" w:hAnsi="Times New Roman" w:eastAsia="宋体"/>
                <w:color w:val="auto"/>
                <w:kern w:val="0"/>
                <w:sz w:val="21"/>
                <w:highlight w:val="none"/>
                <w:lang w:val="en-US" w:eastAsia="zh-CN"/>
              </w:rPr>
            </w:pPr>
            <w:r>
              <w:rPr>
                <w:rFonts w:hint="eastAsia" w:ascii="Times New Roman" w:hAnsi="Times New Roman"/>
                <w:sz w:val="21"/>
                <w:szCs w:val="21"/>
                <w:highlight w:val="none"/>
                <w:lang w:val="en-US" w:eastAsia="zh-CN"/>
              </w:rPr>
              <w:t>4.116</w:t>
            </w:r>
          </w:p>
        </w:tc>
        <w:tc>
          <w:tcPr>
            <w:tcW w:w="580" w:type="pct"/>
            <w:tcBorders>
              <w:left w:val="single" w:color="000000" w:sz="4" w:space="0"/>
              <w:right w:val="single" w:color="000000" w:sz="4" w:space="0"/>
            </w:tcBorders>
            <w:noWrap w:val="0"/>
            <w:vAlign w:val="center"/>
          </w:tcPr>
          <w:p w14:paraId="59EE53B4">
            <w:pPr>
              <w:widowControl/>
              <w:spacing w:line="240" w:lineRule="auto"/>
              <w:ind w:firstLine="0" w:firstLineChars="0"/>
              <w:jc w:val="center"/>
              <w:textAlignment w:val="center"/>
              <w:rPr>
                <w:rFonts w:hint="default" w:ascii="Times New Roman" w:hAnsi="Times New Roman" w:eastAsia="宋体"/>
                <w:color w:val="auto"/>
                <w:kern w:val="0"/>
                <w:sz w:val="21"/>
                <w:highlight w:val="none"/>
                <w:lang w:val="en-US" w:eastAsia="zh-CN"/>
              </w:rPr>
            </w:pPr>
            <w:r>
              <w:rPr>
                <w:rFonts w:hint="eastAsia" w:ascii="Times New Roman" w:hAnsi="Times New Roman"/>
                <w:sz w:val="21"/>
                <w:szCs w:val="21"/>
                <w:highlight w:val="none"/>
                <w:lang w:val="en-US" w:eastAsia="zh-CN"/>
              </w:rPr>
              <w:t>11.033</w:t>
            </w:r>
          </w:p>
        </w:tc>
        <w:tc>
          <w:tcPr>
            <w:tcW w:w="611" w:type="pct"/>
            <w:tcBorders>
              <w:left w:val="single" w:color="000000" w:sz="4" w:space="0"/>
              <w:right w:val="nil"/>
            </w:tcBorders>
            <w:noWrap w:val="0"/>
            <w:vAlign w:val="center"/>
          </w:tcPr>
          <w:p w14:paraId="3E280557">
            <w:pPr>
              <w:widowControl/>
              <w:spacing w:line="240" w:lineRule="auto"/>
              <w:ind w:firstLine="0" w:firstLineChars="0"/>
              <w:jc w:val="center"/>
              <w:textAlignment w:val="center"/>
              <w:rPr>
                <w:rFonts w:hint="default" w:ascii="Times New Roman" w:hAnsi="Times New Roman" w:eastAsia="宋体"/>
                <w:color w:val="auto"/>
                <w:kern w:val="0"/>
                <w:sz w:val="21"/>
                <w:highlight w:val="none"/>
                <w:lang w:val="en-US" w:eastAsia="zh-CN"/>
              </w:rPr>
            </w:pPr>
            <w:r>
              <w:rPr>
                <w:rFonts w:hint="eastAsia" w:ascii="Times New Roman" w:hAnsi="Times New Roman"/>
                <w:sz w:val="21"/>
                <w:szCs w:val="21"/>
                <w:highlight w:val="none"/>
                <w:lang w:val="en-US" w:eastAsia="zh-CN"/>
              </w:rPr>
              <w:t>30.94</w:t>
            </w:r>
          </w:p>
        </w:tc>
      </w:tr>
    </w:tbl>
    <w:p w14:paraId="60A98C73">
      <w:pPr>
        <w:ind w:firstLine="0" w:firstLineChars="0"/>
        <w:jc w:val="center"/>
        <w:rPr>
          <w:rFonts w:ascii="Times New Roman" w:hAnsi="Times New Roman"/>
          <w:highlight w:val="none"/>
        </w:rPr>
      </w:pPr>
      <w:r>
        <w:rPr>
          <w:rFonts w:hint="eastAsia" w:ascii="黑体" w:hAnsi="黑体" w:eastAsia="黑体" w:cs="黑体"/>
          <w:highlight w:val="none"/>
        </w:rPr>
        <w:t>表</w:t>
      </w:r>
      <w:r>
        <w:rPr>
          <w:rFonts w:hint="eastAsia" w:ascii="Times New Roman" w:hAnsi="Times New Roman"/>
          <w:highlight w:val="none"/>
          <w:lang w:val="en-US" w:eastAsia="zh-CN"/>
        </w:rPr>
        <w:t>5.2-12</w:t>
      </w:r>
      <w:r>
        <w:rPr>
          <w:rFonts w:hint="eastAsia" w:ascii="黑体" w:hAnsi="黑体" w:eastAsia="黑体" w:cs="黑体"/>
          <w:highlight w:val="none"/>
        </w:rPr>
        <w:t>本项目污染源</w:t>
      </w:r>
      <w:r>
        <w:rPr>
          <w:rFonts w:hint="eastAsia" w:ascii="黑体" w:hAnsi="黑体" w:eastAsia="黑体" w:cs="黑体"/>
          <w:highlight w:val="none"/>
          <w:lang w:val="en-US" w:eastAsia="zh-CN"/>
        </w:rPr>
        <w:t>非正常工况下</w:t>
      </w:r>
      <w:r>
        <w:rPr>
          <w:rFonts w:hint="eastAsia" w:ascii="黑体" w:hAnsi="黑体" w:eastAsia="黑体" w:cs="黑体"/>
          <w:highlight w:val="none"/>
        </w:rPr>
        <w:t>排放参数一览表(有组织)</w:t>
      </w:r>
    </w:p>
    <w:tbl>
      <w:tblPr>
        <w:tblStyle w:val="17"/>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5" w:type="dxa"/>
          <w:bottom w:w="15" w:type="dxa"/>
          <w:right w:w="15" w:type="dxa"/>
        </w:tblCellMar>
      </w:tblPr>
      <w:tblGrid>
        <w:gridCol w:w="649"/>
        <w:gridCol w:w="548"/>
        <w:gridCol w:w="1237"/>
        <w:gridCol w:w="1134"/>
        <w:gridCol w:w="1025"/>
        <w:gridCol w:w="647"/>
        <w:gridCol w:w="806"/>
        <w:gridCol w:w="1299"/>
        <w:gridCol w:w="644"/>
        <w:gridCol w:w="764"/>
        <w:gridCol w:w="476"/>
        <w:gridCol w:w="904"/>
        <w:gridCol w:w="764"/>
        <w:gridCol w:w="1098"/>
        <w:gridCol w:w="1033"/>
        <w:gridCol w:w="960"/>
      </w:tblGrid>
      <w:tr w14:paraId="2DB7274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668" w:hRule="atLeast"/>
        </w:trPr>
        <w:tc>
          <w:tcPr>
            <w:tcW w:w="231" w:type="pct"/>
            <w:vMerge w:val="restart"/>
            <w:tcBorders>
              <w:right w:val="single" w:color="000000" w:sz="4" w:space="0"/>
            </w:tcBorders>
            <w:shd w:val="clear" w:color="auto" w:fill="FFFFFF"/>
            <w:noWrap w:val="0"/>
            <w:vAlign w:val="center"/>
          </w:tcPr>
          <w:p w14:paraId="622A27AD">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编号</w:t>
            </w:r>
          </w:p>
        </w:tc>
        <w:tc>
          <w:tcPr>
            <w:tcW w:w="196" w:type="pct"/>
            <w:vMerge w:val="restart"/>
            <w:tcBorders>
              <w:left w:val="single" w:color="000000" w:sz="4" w:space="0"/>
              <w:right w:val="single" w:color="000000" w:sz="4" w:space="0"/>
            </w:tcBorders>
            <w:shd w:val="clear" w:color="auto" w:fill="FFFFFF"/>
            <w:noWrap w:val="0"/>
            <w:vAlign w:val="center"/>
          </w:tcPr>
          <w:p w14:paraId="7118F69C">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名称</w:t>
            </w:r>
          </w:p>
        </w:tc>
        <w:tc>
          <w:tcPr>
            <w:tcW w:w="847" w:type="pct"/>
            <w:gridSpan w:val="2"/>
            <w:tcBorders>
              <w:left w:val="single" w:color="000000" w:sz="4" w:space="0"/>
              <w:right w:val="single" w:color="000000" w:sz="4" w:space="0"/>
            </w:tcBorders>
            <w:shd w:val="clear" w:color="auto" w:fill="FFFFFF"/>
            <w:noWrap w:val="0"/>
            <w:vAlign w:val="center"/>
          </w:tcPr>
          <w:p w14:paraId="516DDBFD">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排气筒底部中心坐标</w:t>
            </w:r>
            <w:r>
              <w:rPr>
                <w:rFonts w:hint="eastAsia" w:ascii="Times New Roman" w:hAnsi="Times New Roman"/>
                <w:kern w:val="0"/>
                <w:sz w:val="21"/>
                <w:highlight w:val="none"/>
                <w:lang w:bidi="ar"/>
              </w:rPr>
              <w:t>/m</w:t>
            </w:r>
          </w:p>
        </w:tc>
        <w:tc>
          <w:tcPr>
            <w:tcW w:w="366" w:type="pct"/>
            <w:vMerge w:val="restart"/>
            <w:tcBorders>
              <w:left w:val="single" w:color="000000" w:sz="4" w:space="0"/>
              <w:right w:val="single" w:color="000000" w:sz="4" w:space="0"/>
            </w:tcBorders>
            <w:shd w:val="clear" w:color="auto" w:fill="FFFFFF"/>
            <w:noWrap w:val="0"/>
            <w:vAlign w:val="center"/>
          </w:tcPr>
          <w:p w14:paraId="1A6DC50A">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排气筒底部海拔高度/m</w:t>
            </w:r>
          </w:p>
        </w:tc>
        <w:tc>
          <w:tcPr>
            <w:tcW w:w="231" w:type="pct"/>
            <w:vMerge w:val="restart"/>
            <w:tcBorders>
              <w:left w:val="single" w:color="000000" w:sz="4" w:space="0"/>
              <w:right w:val="single" w:color="000000" w:sz="4" w:space="0"/>
            </w:tcBorders>
            <w:shd w:val="clear" w:color="auto" w:fill="FFFFFF"/>
            <w:noWrap w:val="0"/>
            <w:vAlign w:val="center"/>
          </w:tcPr>
          <w:p w14:paraId="13809A03">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排气筒高度/m</w:t>
            </w:r>
          </w:p>
        </w:tc>
        <w:tc>
          <w:tcPr>
            <w:tcW w:w="288" w:type="pct"/>
            <w:vMerge w:val="restart"/>
            <w:tcBorders>
              <w:left w:val="single" w:color="000000" w:sz="4" w:space="0"/>
              <w:right w:val="single" w:color="000000" w:sz="4" w:space="0"/>
            </w:tcBorders>
            <w:shd w:val="clear" w:color="auto" w:fill="FFFFFF"/>
            <w:noWrap w:val="0"/>
            <w:vAlign w:val="center"/>
          </w:tcPr>
          <w:p w14:paraId="21395D0D">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排气筒出口内径/m</w:t>
            </w:r>
          </w:p>
        </w:tc>
        <w:tc>
          <w:tcPr>
            <w:tcW w:w="464" w:type="pct"/>
            <w:vMerge w:val="restart"/>
            <w:tcBorders>
              <w:left w:val="single" w:color="000000" w:sz="4" w:space="0"/>
              <w:right w:val="single" w:color="000000" w:sz="4" w:space="0"/>
            </w:tcBorders>
            <w:shd w:val="clear" w:color="auto" w:fill="FFFFFF"/>
            <w:noWrap w:val="0"/>
            <w:vAlign w:val="center"/>
          </w:tcPr>
          <w:p w14:paraId="3588DCF0">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烟气</w:t>
            </w:r>
            <w:r>
              <w:rPr>
                <w:rFonts w:hint="eastAsia" w:ascii="Times New Roman" w:hAnsi="Times New Roman"/>
                <w:kern w:val="0"/>
                <w:sz w:val="21"/>
                <w:highlight w:val="none"/>
                <w:lang w:bidi="ar"/>
              </w:rPr>
              <w:t>流量</w:t>
            </w:r>
            <w:r>
              <w:rPr>
                <w:rFonts w:ascii="Times New Roman" w:hAnsi="Times New Roman"/>
                <w:kern w:val="0"/>
                <w:sz w:val="21"/>
                <w:highlight w:val="none"/>
                <w:lang w:bidi="ar"/>
              </w:rPr>
              <w:t>/（m</w:t>
            </w:r>
            <w:r>
              <w:rPr>
                <w:rFonts w:ascii="Times New Roman" w:hAnsi="Times New Roman"/>
                <w:kern w:val="0"/>
                <w:sz w:val="21"/>
                <w:highlight w:val="none"/>
                <w:vertAlign w:val="superscript"/>
                <w:lang w:bidi="ar"/>
              </w:rPr>
              <w:t>3</w:t>
            </w:r>
            <w:r>
              <w:rPr>
                <w:rFonts w:ascii="Times New Roman" w:hAnsi="Times New Roman"/>
                <w:kern w:val="0"/>
                <w:sz w:val="21"/>
                <w:highlight w:val="none"/>
                <w:lang w:bidi="ar"/>
              </w:rPr>
              <w:t>/h）</w:t>
            </w:r>
          </w:p>
        </w:tc>
        <w:tc>
          <w:tcPr>
            <w:tcW w:w="230" w:type="pct"/>
            <w:vMerge w:val="restart"/>
            <w:tcBorders>
              <w:left w:val="single" w:color="000000" w:sz="4" w:space="0"/>
              <w:right w:val="single" w:color="000000" w:sz="4" w:space="0"/>
            </w:tcBorders>
            <w:shd w:val="clear" w:color="auto" w:fill="FFFFFF"/>
            <w:noWrap w:val="0"/>
            <w:vAlign w:val="center"/>
          </w:tcPr>
          <w:p w14:paraId="512CE29F">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烟气温度/</w:t>
            </w:r>
            <w:r>
              <w:rPr>
                <w:rFonts w:hint="eastAsia" w:ascii="宋体" w:hAnsi="宋体" w:cs="宋体"/>
                <w:kern w:val="0"/>
                <w:sz w:val="21"/>
                <w:highlight w:val="none"/>
                <w:lang w:bidi="ar"/>
              </w:rPr>
              <w:t>℃</w:t>
            </w:r>
          </w:p>
        </w:tc>
        <w:tc>
          <w:tcPr>
            <w:tcW w:w="273" w:type="pct"/>
            <w:vMerge w:val="restart"/>
            <w:tcBorders>
              <w:left w:val="single" w:color="000000" w:sz="4" w:space="0"/>
              <w:right w:val="single" w:color="000000" w:sz="4" w:space="0"/>
            </w:tcBorders>
            <w:shd w:val="clear" w:color="auto" w:fill="FFFFFF"/>
            <w:noWrap w:val="0"/>
            <w:vAlign w:val="center"/>
          </w:tcPr>
          <w:p w14:paraId="59AA3CCF">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年排放小时数/h</w:t>
            </w:r>
          </w:p>
        </w:tc>
        <w:tc>
          <w:tcPr>
            <w:tcW w:w="170" w:type="pct"/>
            <w:vMerge w:val="restart"/>
            <w:tcBorders>
              <w:left w:val="single" w:color="000000" w:sz="4" w:space="0"/>
              <w:right w:val="single" w:color="000000" w:sz="4" w:space="0"/>
            </w:tcBorders>
            <w:shd w:val="clear" w:color="auto" w:fill="FFFFFF"/>
            <w:noWrap w:val="0"/>
            <w:vAlign w:val="center"/>
          </w:tcPr>
          <w:p w14:paraId="7E8E6CA2">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kern w:val="0"/>
                <w:sz w:val="21"/>
                <w:highlight w:val="none"/>
                <w:lang w:bidi="ar"/>
              </w:rPr>
              <w:t>排放工况</w:t>
            </w:r>
          </w:p>
        </w:tc>
        <w:tc>
          <w:tcPr>
            <w:tcW w:w="1700" w:type="pct"/>
            <w:gridSpan w:val="5"/>
            <w:tcBorders>
              <w:left w:val="single" w:color="000000" w:sz="4" w:space="0"/>
              <w:right w:val="nil"/>
            </w:tcBorders>
            <w:shd w:val="clear" w:color="auto" w:fill="FFFFFF"/>
            <w:noWrap w:val="0"/>
            <w:vAlign w:val="center"/>
          </w:tcPr>
          <w:p w14:paraId="71E300C6">
            <w:pPr>
              <w:widowControl/>
              <w:spacing w:line="240" w:lineRule="auto"/>
              <w:ind w:firstLine="0" w:firstLineChars="0"/>
              <w:jc w:val="center"/>
              <w:textAlignment w:val="center"/>
              <w:rPr>
                <w:rFonts w:ascii="Times New Roman" w:hAnsi="Times New Roman"/>
                <w:kern w:val="0"/>
                <w:sz w:val="21"/>
                <w:highlight w:val="none"/>
                <w:lang w:bidi="ar"/>
              </w:rPr>
            </w:pPr>
            <w:r>
              <w:rPr>
                <w:rFonts w:ascii="Times New Roman" w:hAnsi="Times New Roman"/>
                <w:kern w:val="0"/>
                <w:sz w:val="21"/>
                <w:highlight w:val="none"/>
                <w:lang w:bidi="ar"/>
              </w:rPr>
              <w:t>污染物排放速率/kg/h</w:t>
            </w:r>
          </w:p>
        </w:tc>
      </w:tr>
      <w:tr w14:paraId="4883AD2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16" w:hRule="atLeast"/>
        </w:trPr>
        <w:tc>
          <w:tcPr>
            <w:tcW w:w="231" w:type="pct"/>
            <w:vMerge w:val="continue"/>
            <w:tcBorders>
              <w:right w:val="single" w:color="000000" w:sz="4" w:space="0"/>
            </w:tcBorders>
            <w:shd w:val="clear" w:color="auto" w:fill="FFFFFF"/>
            <w:noWrap w:val="0"/>
            <w:vAlign w:val="center"/>
          </w:tcPr>
          <w:p w14:paraId="212C9A3B">
            <w:pPr>
              <w:spacing w:line="240" w:lineRule="auto"/>
              <w:ind w:firstLine="0" w:firstLineChars="0"/>
              <w:jc w:val="center"/>
              <w:rPr>
                <w:rFonts w:ascii="Times New Roman" w:hAnsi="Times New Roman"/>
                <w:kern w:val="0"/>
                <w:sz w:val="21"/>
                <w:highlight w:val="none"/>
              </w:rPr>
            </w:pPr>
          </w:p>
        </w:tc>
        <w:tc>
          <w:tcPr>
            <w:tcW w:w="196" w:type="pct"/>
            <w:vMerge w:val="continue"/>
            <w:tcBorders>
              <w:left w:val="single" w:color="000000" w:sz="4" w:space="0"/>
              <w:right w:val="single" w:color="000000" w:sz="4" w:space="0"/>
            </w:tcBorders>
            <w:shd w:val="clear" w:color="auto" w:fill="FFFFFF"/>
            <w:noWrap w:val="0"/>
            <w:vAlign w:val="center"/>
          </w:tcPr>
          <w:p w14:paraId="48BC83D1">
            <w:pPr>
              <w:spacing w:line="240" w:lineRule="auto"/>
              <w:ind w:firstLine="0" w:firstLineChars="0"/>
              <w:jc w:val="center"/>
              <w:rPr>
                <w:rFonts w:ascii="Times New Roman" w:hAnsi="Times New Roman"/>
                <w:kern w:val="0"/>
                <w:sz w:val="21"/>
                <w:highlight w:val="none"/>
              </w:rPr>
            </w:pPr>
          </w:p>
        </w:tc>
        <w:tc>
          <w:tcPr>
            <w:tcW w:w="442" w:type="pct"/>
            <w:tcBorders>
              <w:left w:val="single" w:color="000000" w:sz="4" w:space="0"/>
              <w:right w:val="single" w:color="000000" w:sz="4" w:space="0"/>
            </w:tcBorders>
            <w:shd w:val="clear" w:color="auto" w:fill="FFFFFF"/>
            <w:noWrap w:val="0"/>
            <w:vAlign w:val="center"/>
          </w:tcPr>
          <w:p w14:paraId="238A28F4">
            <w:pPr>
              <w:tabs>
                <w:tab w:val="left" w:pos="1517"/>
              </w:tabs>
              <w:spacing w:line="240" w:lineRule="auto"/>
              <w:ind w:firstLine="0" w:firstLineChars="0"/>
              <w:jc w:val="center"/>
              <w:rPr>
                <w:rFonts w:ascii="Times New Roman" w:hAnsi="Times New Roman"/>
                <w:iCs/>
                <w:kern w:val="0"/>
                <w:sz w:val="21"/>
                <w:highlight w:val="none"/>
              </w:rPr>
            </w:pPr>
            <w:r>
              <w:rPr>
                <w:rFonts w:hint="eastAsia" w:ascii="Times New Roman" w:hAnsi="Times New Roman"/>
                <w:kern w:val="0"/>
                <w:sz w:val="21"/>
                <w:szCs w:val="21"/>
                <w:highlight w:val="none"/>
              </w:rPr>
              <w:t>X</w:t>
            </w:r>
          </w:p>
        </w:tc>
        <w:tc>
          <w:tcPr>
            <w:tcW w:w="404" w:type="pct"/>
            <w:tcBorders>
              <w:left w:val="single" w:color="000000" w:sz="4" w:space="0"/>
              <w:right w:val="single" w:color="000000" w:sz="4" w:space="0"/>
            </w:tcBorders>
            <w:shd w:val="clear" w:color="auto" w:fill="FFFFFF"/>
            <w:noWrap w:val="0"/>
            <w:vAlign w:val="center"/>
          </w:tcPr>
          <w:p w14:paraId="5B230235">
            <w:pPr>
              <w:tabs>
                <w:tab w:val="left" w:pos="1517"/>
              </w:tabs>
              <w:spacing w:line="240" w:lineRule="auto"/>
              <w:ind w:firstLine="0" w:firstLineChars="0"/>
              <w:jc w:val="center"/>
              <w:rPr>
                <w:rFonts w:ascii="Times New Roman" w:hAnsi="Times New Roman"/>
                <w:iCs/>
                <w:kern w:val="0"/>
                <w:sz w:val="21"/>
                <w:highlight w:val="none"/>
              </w:rPr>
            </w:pPr>
            <w:r>
              <w:rPr>
                <w:rFonts w:hint="eastAsia" w:ascii="Times New Roman" w:hAnsi="Times New Roman"/>
                <w:kern w:val="0"/>
                <w:sz w:val="21"/>
                <w:szCs w:val="21"/>
                <w:highlight w:val="none"/>
              </w:rPr>
              <w:t>Y</w:t>
            </w:r>
          </w:p>
        </w:tc>
        <w:tc>
          <w:tcPr>
            <w:tcW w:w="366" w:type="pct"/>
            <w:vMerge w:val="continue"/>
            <w:tcBorders>
              <w:left w:val="single" w:color="000000" w:sz="4" w:space="0"/>
              <w:right w:val="single" w:color="000000" w:sz="4" w:space="0"/>
            </w:tcBorders>
            <w:shd w:val="clear" w:color="auto" w:fill="FFFFFF"/>
            <w:noWrap w:val="0"/>
            <w:vAlign w:val="center"/>
          </w:tcPr>
          <w:p w14:paraId="0E8436EE">
            <w:pPr>
              <w:spacing w:line="240" w:lineRule="auto"/>
              <w:ind w:firstLine="0" w:firstLineChars="0"/>
              <w:jc w:val="center"/>
              <w:rPr>
                <w:rFonts w:ascii="Times New Roman" w:hAnsi="Times New Roman"/>
                <w:kern w:val="0"/>
                <w:sz w:val="21"/>
                <w:highlight w:val="none"/>
              </w:rPr>
            </w:pPr>
          </w:p>
        </w:tc>
        <w:tc>
          <w:tcPr>
            <w:tcW w:w="231" w:type="pct"/>
            <w:vMerge w:val="continue"/>
            <w:tcBorders>
              <w:left w:val="single" w:color="000000" w:sz="4" w:space="0"/>
              <w:right w:val="single" w:color="000000" w:sz="4" w:space="0"/>
            </w:tcBorders>
            <w:shd w:val="clear" w:color="auto" w:fill="FFFFFF"/>
            <w:noWrap w:val="0"/>
            <w:vAlign w:val="center"/>
          </w:tcPr>
          <w:p w14:paraId="04595E0C">
            <w:pPr>
              <w:spacing w:line="240" w:lineRule="auto"/>
              <w:ind w:firstLine="0" w:firstLineChars="0"/>
              <w:jc w:val="center"/>
              <w:rPr>
                <w:rFonts w:ascii="Times New Roman" w:hAnsi="Times New Roman"/>
                <w:kern w:val="0"/>
                <w:sz w:val="21"/>
                <w:highlight w:val="none"/>
              </w:rPr>
            </w:pPr>
          </w:p>
        </w:tc>
        <w:tc>
          <w:tcPr>
            <w:tcW w:w="288" w:type="pct"/>
            <w:vMerge w:val="continue"/>
            <w:tcBorders>
              <w:left w:val="single" w:color="000000" w:sz="4" w:space="0"/>
              <w:right w:val="single" w:color="000000" w:sz="4" w:space="0"/>
            </w:tcBorders>
            <w:shd w:val="clear" w:color="auto" w:fill="FFFFFF"/>
            <w:noWrap w:val="0"/>
            <w:vAlign w:val="center"/>
          </w:tcPr>
          <w:p w14:paraId="1848E111">
            <w:pPr>
              <w:spacing w:line="240" w:lineRule="auto"/>
              <w:ind w:firstLine="0" w:firstLineChars="0"/>
              <w:jc w:val="center"/>
              <w:rPr>
                <w:rFonts w:ascii="Times New Roman" w:hAnsi="Times New Roman"/>
                <w:kern w:val="0"/>
                <w:sz w:val="21"/>
                <w:highlight w:val="none"/>
              </w:rPr>
            </w:pPr>
          </w:p>
        </w:tc>
        <w:tc>
          <w:tcPr>
            <w:tcW w:w="464" w:type="pct"/>
            <w:vMerge w:val="continue"/>
            <w:tcBorders>
              <w:left w:val="single" w:color="000000" w:sz="4" w:space="0"/>
              <w:right w:val="single" w:color="000000" w:sz="4" w:space="0"/>
            </w:tcBorders>
            <w:shd w:val="clear" w:color="auto" w:fill="FFFFFF"/>
            <w:noWrap w:val="0"/>
            <w:vAlign w:val="center"/>
          </w:tcPr>
          <w:p w14:paraId="4D5B02E5">
            <w:pPr>
              <w:spacing w:line="240" w:lineRule="auto"/>
              <w:ind w:firstLine="0" w:firstLineChars="0"/>
              <w:jc w:val="center"/>
              <w:rPr>
                <w:rFonts w:ascii="Times New Roman" w:hAnsi="Times New Roman"/>
                <w:kern w:val="0"/>
                <w:sz w:val="21"/>
                <w:highlight w:val="none"/>
              </w:rPr>
            </w:pPr>
          </w:p>
        </w:tc>
        <w:tc>
          <w:tcPr>
            <w:tcW w:w="230" w:type="pct"/>
            <w:vMerge w:val="continue"/>
            <w:tcBorders>
              <w:left w:val="single" w:color="000000" w:sz="4" w:space="0"/>
              <w:right w:val="single" w:color="000000" w:sz="4" w:space="0"/>
            </w:tcBorders>
            <w:shd w:val="clear" w:color="auto" w:fill="FFFFFF"/>
            <w:noWrap w:val="0"/>
            <w:vAlign w:val="center"/>
          </w:tcPr>
          <w:p w14:paraId="78AB977C">
            <w:pPr>
              <w:spacing w:line="240" w:lineRule="auto"/>
              <w:ind w:firstLine="0" w:firstLineChars="0"/>
              <w:jc w:val="center"/>
              <w:rPr>
                <w:rFonts w:ascii="Times New Roman" w:hAnsi="Times New Roman"/>
                <w:kern w:val="0"/>
                <w:sz w:val="21"/>
                <w:highlight w:val="none"/>
              </w:rPr>
            </w:pPr>
          </w:p>
        </w:tc>
        <w:tc>
          <w:tcPr>
            <w:tcW w:w="273" w:type="pct"/>
            <w:vMerge w:val="continue"/>
            <w:tcBorders>
              <w:left w:val="single" w:color="000000" w:sz="4" w:space="0"/>
              <w:right w:val="single" w:color="000000" w:sz="4" w:space="0"/>
            </w:tcBorders>
            <w:shd w:val="clear" w:color="auto" w:fill="FFFFFF"/>
            <w:noWrap w:val="0"/>
            <w:vAlign w:val="center"/>
          </w:tcPr>
          <w:p w14:paraId="08412150">
            <w:pPr>
              <w:spacing w:line="240" w:lineRule="auto"/>
              <w:ind w:firstLine="0" w:firstLineChars="0"/>
              <w:jc w:val="center"/>
              <w:rPr>
                <w:rFonts w:ascii="Times New Roman" w:hAnsi="Times New Roman"/>
                <w:kern w:val="0"/>
                <w:sz w:val="21"/>
                <w:highlight w:val="none"/>
              </w:rPr>
            </w:pPr>
          </w:p>
        </w:tc>
        <w:tc>
          <w:tcPr>
            <w:tcW w:w="170" w:type="pct"/>
            <w:vMerge w:val="continue"/>
            <w:tcBorders>
              <w:left w:val="single" w:color="000000" w:sz="4" w:space="0"/>
              <w:right w:val="single" w:color="000000" w:sz="4" w:space="0"/>
            </w:tcBorders>
            <w:shd w:val="clear" w:color="auto" w:fill="FFFFFF"/>
            <w:noWrap w:val="0"/>
            <w:vAlign w:val="center"/>
          </w:tcPr>
          <w:p w14:paraId="7A86AF9B">
            <w:pPr>
              <w:spacing w:line="240" w:lineRule="auto"/>
              <w:ind w:firstLine="0" w:firstLineChars="0"/>
              <w:jc w:val="center"/>
              <w:rPr>
                <w:rFonts w:ascii="Times New Roman" w:hAnsi="Times New Roman"/>
                <w:kern w:val="0"/>
                <w:sz w:val="21"/>
                <w:highlight w:val="none"/>
              </w:rPr>
            </w:pPr>
          </w:p>
        </w:tc>
        <w:tc>
          <w:tcPr>
            <w:tcW w:w="323" w:type="pct"/>
            <w:tcBorders>
              <w:left w:val="single" w:color="000000" w:sz="4" w:space="0"/>
              <w:right w:val="single" w:color="000000" w:sz="4" w:space="0"/>
            </w:tcBorders>
            <w:shd w:val="clear" w:color="auto" w:fill="FFFFFF"/>
            <w:noWrap w:val="0"/>
            <w:vAlign w:val="center"/>
          </w:tcPr>
          <w:p w14:paraId="58B8A89F">
            <w:pPr>
              <w:widowControl/>
              <w:spacing w:line="240" w:lineRule="auto"/>
              <w:ind w:firstLine="0" w:firstLineChars="0"/>
              <w:jc w:val="center"/>
              <w:textAlignment w:val="center"/>
              <w:rPr>
                <w:rFonts w:ascii="Times New Roman" w:hAnsi="Times New Roman"/>
                <w:kern w:val="0"/>
                <w:sz w:val="21"/>
                <w:highlight w:val="none"/>
              </w:rPr>
            </w:pPr>
            <w:r>
              <w:rPr>
                <w:rFonts w:hint="eastAsia" w:ascii="Times New Roman" w:hAnsi="Times New Roman"/>
                <w:sz w:val="21"/>
                <w:highlight w:val="none"/>
              </w:rPr>
              <w:t>烟尘（PM</w:t>
            </w:r>
            <w:r>
              <w:rPr>
                <w:rFonts w:hint="eastAsia" w:ascii="Times New Roman" w:hAnsi="Times New Roman"/>
                <w:sz w:val="21"/>
                <w:highlight w:val="none"/>
                <w:vertAlign w:val="subscript"/>
              </w:rPr>
              <w:t>10</w:t>
            </w:r>
            <w:r>
              <w:rPr>
                <w:rFonts w:hint="eastAsia" w:ascii="Times New Roman" w:hAnsi="Times New Roman"/>
                <w:sz w:val="21"/>
                <w:highlight w:val="none"/>
              </w:rPr>
              <w:t>）</w:t>
            </w:r>
          </w:p>
        </w:tc>
        <w:tc>
          <w:tcPr>
            <w:tcW w:w="273" w:type="pct"/>
            <w:tcBorders>
              <w:left w:val="single" w:color="000000" w:sz="4" w:space="0"/>
              <w:right w:val="single" w:color="000000" w:sz="4" w:space="0"/>
            </w:tcBorders>
            <w:shd w:val="clear" w:color="auto" w:fill="FFFFFF"/>
            <w:noWrap w:val="0"/>
            <w:vAlign w:val="center"/>
          </w:tcPr>
          <w:p w14:paraId="4073A938">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sz w:val="21"/>
                <w:highlight w:val="none"/>
              </w:rPr>
              <w:t>SO</w:t>
            </w:r>
            <w:r>
              <w:rPr>
                <w:rFonts w:ascii="Times New Roman" w:hAnsi="Times New Roman"/>
                <w:sz w:val="21"/>
                <w:highlight w:val="none"/>
                <w:vertAlign w:val="subscript"/>
              </w:rPr>
              <w:t>2</w:t>
            </w:r>
          </w:p>
        </w:tc>
        <w:tc>
          <w:tcPr>
            <w:tcW w:w="392" w:type="pct"/>
            <w:tcBorders>
              <w:left w:val="single" w:color="000000" w:sz="4" w:space="0"/>
              <w:right w:val="nil"/>
            </w:tcBorders>
            <w:noWrap w:val="0"/>
            <w:vAlign w:val="center"/>
          </w:tcPr>
          <w:p w14:paraId="5EDA17FD">
            <w:pPr>
              <w:widowControl/>
              <w:spacing w:line="240" w:lineRule="auto"/>
              <w:ind w:firstLine="0" w:firstLineChars="0"/>
              <w:jc w:val="center"/>
              <w:textAlignment w:val="center"/>
              <w:rPr>
                <w:rFonts w:ascii="Times New Roman" w:hAnsi="Times New Roman"/>
                <w:kern w:val="0"/>
                <w:sz w:val="21"/>
                <w:highlight w:val="none"/>
              </w:rPr>
            </w:pPr>
            <w:r>
              <w:rPr>
                <w:rFonts w:ascii="Times New Roman" w:hAnsi="Times New Roman"/>
                <w:sz w:val="21"/>
                <w:highlight w:val="none"/>
              </w:rPr>
              <w:t>NO</w:t>
            </w:r>
            <w:r>
              <w:rPr>
                <w:rFonts w:ascii="Times New Roman" w:hAnsi="Times New Roman"/>
                <w:sz w:val="21"/>
                <w:highlight w:val="none"/>
                <w:vertAlign w:val="subscript"/>
              </w:rPr>
              <w:t>x</w:t>
            </w:r>
          </w:p>
        </w:tc>
        <w:tc>
          <w:tcPr>
            <w:tcW w:w="369" w:type="pct"/>
            <w:tcBorders>
              <w:left w:val="single" w:color="000000" w:sz="4" w:space="0"/>
              <w:right w:val="nil"/>
            </w:tcBorders>
            <w:noWrap w:val="0"/>
            <w:vAlign w:val="center"/>
          </w:tcPr>
          <w:p w14:paraId="5D31D8D1">
            <w:pPr>
              <w:widowControl/>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Hg</w:t>
            </w:r>
          </w:p>
        </w:tc>
        <w:tc>
          <w:tcPr>
            <w:tcW w:w="341" w:type="pct"/>
            <w:tcBorders>
              <w:left w:val="single" w:color="000000" w:sz="4" w:space="0"/>
              <w:right w:val="nil"/>
            </w:tcBorders>
            <w:noWrap w:val="0"/>
            <w:vAlign w:val="center"/>
          </w:tcPr>
          <w:p w14:paraId="290607AD">
            <w:pPr>
              <w:widowControl/>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氨</w:t>
            </w:r>
          </w:p>
        </w:tc>
      </w:tr>
      <w:tr w14:paraId="1FD753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16" w:hRule="atLeast"/>
        </w:trPr>
        <w:tc>
          <w:tcPr>
            <w:tcW w:w="231" w:type="pct"/>
            <w:tcBorders>
              <w:right w:val="single" w:color="000000" w:sz="4" w:space="0"/>
            </w:tcBorders>
            <w:noWrap w:val="0"/>
            <w:vAlign w:val="center"/>
          </w:tcPr>
          <w:p w14:paraId="30A81082">
            <w:pPr>
              <w:widowControl/>
              <w:spacing w:line="240" w:lineRule="auto"/>
              <w:ind w:firstLine="0" w:firstLineChars="0"/>
              <w:jc w:val="center"/>
              <w:textAlignment w:val="center"/>
              <w:rPr>
                <w:rFonts w:hint="eastAsia" w:ascii="Times New Roman" w:hAnsi="Times New Roman" w:eastAsia="宋体"/>
                <w:kern w:val="0"/>
                <w:sz w:val="21"/>
                <w:highlight w:val="none"/>
                <w:lang w:eastAsia="zh-CN"/>
              </w:rPr>
            </w:pPr>
            <w:r>
              <w:rPr>
                <w:rFonts w:ascii="Times New Roman" w:hAnsi="Times New Roman"/>
                <w:kern w:val="0"/>
                <w:sz w:val="21"/>
                <w:highlight w:val="none"/>
                <w:lang w:bidi="ar"/>
              </w:rPr>
              <w:t>DA00</w:t>
            </w:r>
            <w:r>
              <w:rPr>
                <w:rFonts w:hint="eastAsia" w:ascii="Times New Roman" w:hAnsi="Times New Roman"/>
                <w:kern w:val="0"/>
                <w:sz w:val="21"/>
                <w:highlight w:val="none"/>
                <w:lang w:val="en-US" w:eastAsia="zh-CN" w:bidi="ar"/>
              </w:rPr>
              <w:t>1</w:t>
            </w:r>
          </w:p>
        </w:tc>
        <w:tc>
          <w:tcPr>
            <w:tcW w:w="196" w:type="pct"/>
            <w:tcBorders>
              <w:left w:val="single" w:color="000000" w:sz="4" w:space="0"/>
              <w:right w:val="single" w:color="000000" w:sz="4" w:space="0"/>
            </w:tcBorders>
            <w:noWrap w:val="0"/>
            <w:vAlign w:val="center"/>
          </w:tcPr>
          <w:p w14:paraId="4798658F">
            <w:pPr>
              <w:widowControl/>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锅炉排气筒</w:t>
            </w:r>
          </w:p>
        </w:tc>
        <w:tc>
          <w:tcPr>
            <w:tcW w:w="442" w:type="pct"/>
            <w:tcBorders>
              <w:left w:val="single" w:color="000000" w:sz="4" w:space="0"/>
              <w:right w:val="single" w:color="000000" w:sz="4" w:space="0"/>
            </w:tcBorders>
            <w:noWrap w:val="0"/>
            <w:vAlign w:val="center"/>
          </w:tcPr>
          <w:p w14:paraId="4F313CCD">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21</w:t>
            </w:r>
          </w:p>
        </w:tc>
        <w:tc>
          <w:tcPr>
            <w:tcW w:w="404" w:type="pct"/>
            <w:tcBorders>
              <w:left w:val="single" w:color="000000" w:sz="4" w:space="0"/>
              <w:right w:val="single" w:color="000000" w:sz="4" w:space="0"/>
            </w:tcBorders>
            <w:noWrap w:val="0"/>
            <w:vAlign w:val="center"/>
          </w:tcPr>
          <w:p w14:paraId="2E68F1AA">
            <w:pPr>
              <w:tabs>
                <w:tab w:val="left" w:pos="1517"/>
              </w:tabs>
              <w:spacing w:line="240" w:lineRule="auto"/>
              <w:ind w:firstLine="0" w:firstLineChars="0"/>
              <w:jc w:val="center"/>
              <w:rPr>
                <w:rFonts w:hint="default" w:ascii="Times New Roman" w:hAnsi="Times New Roman" w:eastAsia="宋体"/>
                <w:kern w:val="0"/>
                <w:sz w:val="21"/>
                <w:szCs w:val="21"/>
                <w:highlight w:val="none"/>
                <w:lang w:val="en-US" w:eastAsia="zh-CN"/>
              </w:rPr>
            </w:pPr>
            <w:r>
              <w:rPr>
                <w:rFonts w:hint="eastAsia" w:ascii="Times New Roman" w:hAnsi="Times New Roman"/>
                <w:kern w:val="0"/>
                <w:sz w:val="21"/>
                <w:szCs w:val="21"/>
                <w:highlight w:val="none"/>
                <w:lang w:val="en-US" w:eastAsia="zh-CN"/>
              </w:rPr>
              <w:t>14</w:t>
            </w:r>
          </w:p>
        </w:tc>
        <w:tc>
          <w:tcPr>
            <w:tcW w:w="366" w:type="pct"/>
            <w:tcBorders>
              <w:left w:val="single" w:color="000000" w:sz="4" w:space="0"/>
              <w:right w:val="single" w:color="000000" w:sz="4" w:space="0"/>
            </w:tcBorders>
            <w:noWrap w:val="0"/>
            <w:vAlign w:val="center"/>
          </w:tcPr>
          <w:p w14:paraId="1416C897">
            <w:pPr>
              <w:widowControl/>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458</w:t>
            </w:r>
          </w:p>
        </w:tc>
        <w:tc>
          <w:tcPr>
            <w:tcW w:w="231" w:type="pct"/>
            <w:tcBorders>
              <w:left w:val="single" w:color="000000" w:sz="4" w:space="0"/>
              <w:right w:val="single" w:color="000000" w:sz="4" w:space="0"/>
            </w:tcBorders>
            <w:noWrap w:val="0"/>
            <w:vAlign w:val="center"/>
          </w:tcPr>
          <w:p w14:paraId="026310DC">
            <w:pPr>
              <w:widowControl/>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60</w:t>
            </w:r>
          </w:p>
        </w:tc>
        <w:tc>
          <w:tcPr>
            <w:tcW w:w="288" w:type="pct"/>
            <w:tcBorders>
              <w:left w:val="single" w:color="000000" w:sz="4" w:space="0"/>
              <w:right w:val="single" w:color="000000" w:sz="4" w:space="0"/>
            </w:tcBorders>
            <w:noWrap w:val="0"/>
            <w:vAlign w:val="center"/>
          </w:tcPr>
          <w:p w14:paraId="66355B3C">
            <w:pPr>
              <w:widowControl/>
              <w:spacing w:line="240" w:lineRule="auto"/>
              <w:ind w:firstLine="0" w:firstLineChars="0"/>
              <w:jc w:val="center"/>
              <w:textAlignment w:val="center"/>
              <w:rPr>
                <w:rFonts w:hint="eastAsia" w:ascii="Times New Roman" w:hAnsi="Times New Roman" w:eastAsia="宋体"/>
                <w:kern w:val="0"/>
                <w:sz w:val="21"/>
                <w:highlight w:val="none"/>
                <w:lang w:eastAsia="zh-CN"/>
              </w:rPr>
            </w:pPr>
            <w:r>
              <w:rPr>
                <w:rFonts w:hint="eastAsia" w:ascii="Times New Roman" w:hAnsi="Times New Roman"/>
                <w:kern w:val="0"/>
                <w:sz w:val="21"/>
                <w:highlight w:val="none"/>
                <w:lang w:val="en-US" w:eastAsia="zh-CN"/>
              </w:rPr>
              <w:t>4</w:t>
            </w:r>
          </w:p>
        </w:tc>
        <w:tc>
          <w:tcPr>
            <w:tcW w:w="464" w:type="pct"/>
            <w:tcBorders>
              <w:left w:val="single" w:color="000000" w:sz="4" w:space="0"/>
              <w:right w:val="single" w:color="000000" w:sz="4" w:space="0"/>
            </w:tcBorders>
            <w:noWrap w:val="0"/>
            <w:vAlign w:val="center"/>
          </w:tcPr>
          <w:p w14:paraId="074C88B6">
            <w:pPr>
              <w:widowControl/>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298649</w:t>
            </w:r>
          </w:p>
        </w:tc>
        <w:tc>
          <w:tcPr>
            <w:tcW w:w="230" w:type="pct"/>
            <w:tcBorders>
              <w:left w:val="single" w:color="000000" w:sz="4" w:space="0"/>
              <w:right w:val="single" w:color="000000" w:sz="4" w:space="0"/>
            </w:tcBorders>
            <w:noWrap w:val="0"/>
            <w:vAlign w:val="center"/>
          </w:tcPr>
          <w:p w14:paraId="0977BB65">
            <w:pPr>
              <w:widowControl/>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rPr>
              <w:t>100</w:t>
            </w:r>
          </w:p>
        </w:tc>
        <w:tc>
          <w:tcPr>
            <w:tcW w:w="273" w:type="pct"/>
            <w:tcBorders>
              <w:left w:val="single" w:color="000000" w:sz="4" w:space="0"/>
              <w:right w:val="single" w:color="000000" w:sz="4" w:space="0"/>
            </w:tcBorders>
            <w:noWrap w:val="0"/>
            <w:vAlign w:val="center"/>
          </w:tcPr>
          <w:p w14:paraId="32288086">
            <w:pPr>
              <w:widowControl/>
              <w:spacing w:line="240" w:lineRule="auto"/>
              <w:ind w:firstLine="0" w:firstLineChars="0"/>
              <w:jc w:val="center"/>
              <w:textAlignment w:val="center"/>
              <w:rPr>
                <w:rFonts w:hint="default" w:ascii="Times New Roman" w:hAnsi="Times New Roman" w:eastAsia="宋体"/>
                <w:kern w:val="0"/>
                <w:sz w:val="21"/>
                <w:highlight w:val="none"/>
                <w:lang w:val="en-US" w:eastAsia="zh-CN"/>
              </w:rPr>
            </w:pPr>
            <w:r>
              <w:rPr>
                <w:rFonts w:hint="eastAsia" w:ascii="Times New Roman" w:hAnsi="Times New Roman"/>
                <w:kern w:val="0"/>
                <w:sz w:val="21"/>
                <w:highlight w:val="none"/>
                <w:lang w:val="en-US" w:eastAsia="zh-CN" w:bidi="ar"/>
              </w:rPr>
              <w:t>1</w:t>
            </w:r>
          </w:p>
        </w:tc>
        <w:tc>
          <w:tcPr>
            <w:tcW w:w="170" w:type="pct"/>
            <w:tcBorders>
              <w:left w:val="single" w:color="000000" w:sz="4" w:space="0"/>
              <w:right w:val="single" w:color="000000" w:sz="4" w:space="0"/>
            </w:tcBorders>
            <w:noWrap w:val="0"/>
            <w:vAlign w:val="center"/>
          </w:tcPr>
          <w:p w14:paraId="26AEEF3B">
            <w:pPr>
              <w:widowControl/>
              <w:spacing w:line="240" w:lineRule="auto"/>
              <w:ind w:firstLine="0" w:firstLineChars="0"/>
              <w:jc w:val="center"/>
              <w:textAlignment w:val="center"/>
              <w:rPr>
                <w:rFonts w:ascii="Times New Roman" w:hAnsi="Times New Roman"/>
                <w:kern w:val="0"/>
                <w:sz w:val="21"/>
                <w:highlight w:val="none"/>
              </w:rPr>
            </w:pPr>
            <w:r>
              <w:rPr>
                <w:rFonts w:hint="eastAsia" w:ascii="Times New Roman" w:hAnsi="Times New Roman"/>
                <w:kern w:val="0"/>
                <w:sz w:val="21"/>
                <w:highlight w:val="none"/>
                <w:lang w:val="en-US" w:eastAsia="zh-CN" w:bidi="ar"/>
              </w:rPr>
              <w:t>非</w:t>
            </w:r>
            <w:r>
              <w:rPr>
                <w:rFonts w:ascii="Times New Roman" w:hAnsi="Times New Roman"/>
                <w:kern w:val="0"/>
                <w:sz w:val="21"/>
                <w:highlight w:val="none"/>
                <w:lang w:bidi="ar"/>
              </w:rPr>
              <w:t>正常</w:t>
            </w:r>
          </w:p>
        </w:tc>
        <w:tc>
          <w:tcPr>
            <w:tcW w:w="323" w:type="pct"/>
            <w:tcBorders>
              <w:left w:val="single" w:color="000000" w:sz="4" w:space="0"/>
              <w:right w:val="single" w:color="000000" w:sz="4" w:space="0"/>
            </w:tcBorders>
            <w:noWrap w:val="0"/>
            <w:vAlign w:val="center"/>
          </w:tcPr>
          <w:p w14:paraId="4CFA0C3C">
            <w:pPr>
              <w:widowControl/>
              <w:spacing w:line="240" w:lineRule="auto"/>
              <w:ind w:firstLine="0" w:firstLineChars="0"/>
              <w:jc w:val="center"/>
              <w:textAlignment w:val="center"/>
              <w:rPr>
                <w:rFonts w:hint="default" w:ascii="Times New Roman" w:hAnsi="Times New Roman" w:eastAsia="宋体"/>
                <w:kern w:val="0"/>
                <w:sz w:val="21"/>
                <w:szCs w:val="21"/>
                <w:highlight w:val="none"/>
                <w:lang w:val="en-US" w:eastAsia="zh-CN"/>
              </w:rPr>
            </w:pPr>
            <w:r>
              <w:rPr>
                <w:rFonts w:hint="eastAsia" w:ascii="Times New Roman" w:hAnsi="Times New Roman"/>
                <w:sz w:val="21"/>
                <w:szCs w:val="21"/>
                <w:highlight w:val="none"/>
                <w:lang w:val="en-US" w:eastAsia="zh-CN"/>
              </w:rPr>
              <w:t>19.13</w:t>
            </w:r>
          </w:p>
        </w:tc>
        <w:tc>
          <w:tcPr>
            <w:tcW w:w="273" w:type="pct"/>
            <w:tcBorders>
              <w:left w:val="single" w:color="000000" w:sz="4" w:space="0"/>
              <w:right w:val="single" w:color="000000" w:sz="4" w:space="0"/>
            </w:tcBorders>
            <w:noWrap w:val="0"/>
            <w:vAlign w:val="center"/>
          </w:tcPr>
          <w:p w14:paraId="39883D35">
            <w:pPr>
              <w:widowControl/>
              <w:spacing w:line="240" w:lineRule="auto"/>
              <w:ind w:firstLine="0" w:firstLineChars="0"/>
              <w:jc w:val="center"/>
              <w:textAlignment w:val="center"/>
              <w:rPr>
                <w:rFonts w:hint="default" w:ascii="Times New Roman" w:hAnsi="Times New Roman" w:eastAsia="宋体"/>
                <w:kern w:val="0"/>
                <w:sz w:val="21"/>
                <w:szCs w:val="21"/>
                <w:highlight w:val="none"/>
                <w:lang w:val="en-US" w:eastAsia="zh-CN"/>
              </w:rPr>
            </w:pPr>
            <w:r>
              <w:rPr>
                <w:rFonts w:hint="eastAsia" w:ascii="Times New Roman" w:hAnsi="Times New Roman"/>
                <w:sz w:val="21"/>
                <w:szCs w:val="21"/>
                <w:highlight w:val="none"/>
                <w:lang w:val="en-US" w:eastAsia="zh-CN"/>
              </w:rPr>
              <w:t>48.5</w:t>
            </w:r>
          </w:p>
        </w:tc>
        <w:tc>
          <w:tcPr>
            <w:tcW w:w="392" w:type="pct"/>
            <w:tcBorders>
              <w:left w:val="single" w:color="000000" w:sz="4" w:space="0"/>
              <w:right w:val="nil"/>
            </w:tcBorders>
            <w:noWrap w:val="0"/>
            <w:vAlign w:val="center"/>
          </w:tcPr>
          <w:p w14:paraId="57C04666">
            <w:pPr>
              <w:widowControl/>
              <w:spacing w:line="240" w:lineRule="auto"/>
              <w:ind w:firstLine="0" w:firstLineChars="0"/>
              <w:jc w:val="center"/>
              <w:textAlignment w:val="center"/>
              <w:rPr>
                <w:rFonts w:hint="default" w:ascii="Times New Roman" w:hAnsi="Times New Roman"/>
                <w:kern w:val="0"/>
                <w:sz w:val="21"/>
                <w:szCs w:val="21"/>
                <w:highlight w:val="none"/>
                <w:lang w:val="en-US"/>
              </w:rPr>
            </w:pPr>
            <w:r>
              <w:rPr>
                <w:rFonts w:hint="eastAsia" w:ascii="Times New Roman" w:hAnsi="Times New Roman"/>
                <w:sz w:val="21"/>
                <w:szCs w:val="21"/>
                <w:highlight w:val="none"/>
                <w:lang w:val="en-US" w:eastAsia="zh-CN"/>
              </w:rPr>
              <w:t>271</w:t>
            </w:r>
          </w:p>
        </w:tc>
        <w:tc>
          <w:tcPr>
            <w:tcW w:w="369" w:type="pct"/>
            <w:tcBorders>
              <w:left w:val="single" w:color="000000" w:sz="4" w:space="0"/>
              <w:right w:val="nil"/>
            </w:tcBorders>
            <w:noWrap w:val="0"/>
            <w:vAlign w:val="center"/>
          </w:tcPr>
          <w:p w14:paraId="0273941A">
            <w:pPr>
              <w:widowControl/>
              <w:spacing w:line="240" w:lineRule="auto"/>
              <w:ind w:firstLine="0" w:firstLineChars="0"/>
              <w:jc w:val="center"/>
              <w:textAlignment w:val="center"/>
              <w:rPr>
                <w:rFonts w:hint="default" w:ascii="Times New Roman" w:hAnsi="Times New Roman" w:eastAsia="宋体"/>
                <w:kern w:val="0"/>
                <w:sz w:val="21"/>
                <w:szCs w:val="21"/>
                <w:highlight w:val="none"/>
                <w:lang w:val="en-US" w:eastAsia="zh-CN"/>
              </w:rPr>
            </w:pPr>
            <w:r>
              <w:rPr>
                <w:rFonts w:hint="eastAsia" w:ascii="Times New Roman" w:hAnsi="Times New Roman"/>
                <w:sz w:val="21"/>
                <w:szCs w:val="21"/>
                <w:highlight w:val="none"/>
                <w:lang w:val="en-US" w:eastAsia="zh-CN"/>
              </w:rPr>
              <w:t>0.00219</w:t>
            </w:r>
          </w:p>
        </w:tc>
        <w:tc>
          <w:tcPr>
            <w:tcW w:w="341" w:type="pct"/>
            <w:tcBorders>
              <w:left w:val="single" w:color="000000" w:sz="4" w:space="0"/>
              <w:right w:val="nil"/>
            </w:tcBorders>
            <w:noWrap w:val="0"/>
            <w:vAlign w:val="center"/>
          </w:tcPr>
          <w:p w14:paraId="4388B4C3">
            <w:pPr>
              <w:widowControl/>
              <w:spacing w:line="240" w:lineRule="auto"/>
              <w:ind w:firstLine="0" w:firstLineChars="0"/>
              <w:jc w:val="center"/>
              <w:textAlignment w:val="center"/>
              <w:rPr>
                <w:rFonts w:hint="default"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0.745</w:t>
            </w:r>
          </w:p>
        </w:tc>
      </w:tr>
    </w:tbl>
    <w:p w14:paraId="1AB628D3">
      <w:pPr>
        <w:spacing w:line="240" w:lineRule="auto"/>
        <w:ind w:firstLine="0" w:firstLineChars="0"/>
        <w:rPr>
          <w:rFonts w:hint="eastAsia" w:ascii="Times New Roman" w:hAnsi="Times New Roman"/>
          <w:b/>
          <w:bCs/>
          <w:color w:val="auto"/>
          <w:sz w:val="21"/>
          <w:highlight w:val="none"/>
        </w:rPr>
      </w:pPr>
      <w:r>
        <w:rPr>
          <w:rFonts w:hint="eastAsia" w:ascii="Times New Roman" w:hAnsi="Times New Roman"/>
          <w:b/>
          <w:bCs/>
          <w:color w:val="auto"/>
          <w:sz w:val="21"/>
          <w:highlight w:val="none"/>
        </w:rPr>
        <w:t>注：</w:t>
      </w:r>
      <w:r>
        <w:rPr>
          <w:rFonts w:hint="eastAsia" w:ascii="Times New Roman" w:hAnsi="Times New Roman"/>
          <w:b/>
          <w:bCs/>
          <w:color w:val="auto"/>
          <w:sz w:val="21"/>
          <w:highlight w:val="none"/>
          <w:lang w:val="en-US" w:eastAsia="zh-CN"/>
        </w:rPr>
        <w:t>①</w:t>
      </w:r>
      <w:r>
        <w:rPr>
          <w:rFonts w:hint="eastAsia" w:ascii="Times New Roman" w:hAnsi="Times New Roman"/>
          <w:b/>
          <w:bCs/>
          <w:color w:val="auto"/>
          <w:sz w:val="21"/>
          <w:highlight w:val="none"/>
        </w:rPr>
        <w:t>本次评价以项目厂址为环境空气预测评价的中心经纬度（0,0）坐标点，NO</w:t>
      </w:r>
      <w:r>
        <w:rPr>
          <w:rFonts w:hint="eastAsia" w:ascii="Times New Roman" w:hAnsi="Times New Roman"/>
          <w:b/>
          <w:bCs/>
          <w:color w:val="auto"/>
          <w:sz w:val="21"/>
          <w:highlight w:val="none"/>
          <w:vertAlign w:val="subscript"/>
        </w:rPr>
        <w:t>2</w:t>
      </w:r>
      <w:r>
        <w:rPr>
          <w:rFonts w:hint="eastAsia" w:ascii="Times New Roman" w:hAnsi="Times New Roman"/>
          <w:b/>
          <w:bCs/>
          <w:color w:val="auto"/>
          <w:sz w:val="21"/>
          <w:highlight w:val="none"/>
        </w:rPr>
        <w:t>=NO</w:t>
      </w:r>
      <w:r>
        <w:rPr>
          <w:rFonts w:hint="eastAsia" w:ascii="Times New Roman" w:hAnsi="Times New Roman"/>
          <w:b/>
          <w:bCs/>
          <w:color w:val="auto"/>
          <w:sz w:val="21"/>
          <w:highlight w:val="none"/>
          <w:vertAlign w:val="subscript"/>
        </w:rPr>
        <w:t>X</w:t>
      </w:r>
      <w:r>
        <w:rPr>
          <w:rFonts w:hint="eastAsia" w:ascii="Times New Roman" w:hAnsi="Times New Roman"/>
          <w:b/>
          <w:bCs/>
          <w:color w:val="auto"/>
          <w:sz w:val="21"/>
          <w:highlight w:val="none"/>
        </w:rPr>
        <w:t>×0.9。PM</w:t>
      </w:r>
      <w:r>
        <w:rPr>
          <w:rFonts w:hint="eastAsia" w:ascii="Times New Roman" w:hAnsi="Times New Roman"/>
          <w:b/>
          <w:bCs/>
          <w:color w:val="auto"/>
          <w:sz w:val="21"/>
          <w:highlight w:val="none"/>
          <w:vertAlign w:val="subscript"/>
        </w:rPr>
        <w:t>10</w:t>
      </w:r>
      <w:r>
        <w:rPr>
          <w:rFonts w:hint="eastAsia" w:ascii="Times New Roman" w:hAnsi="Times New Roman"/>
          <w:b/>
          <w:bCs/>
          <w:color w:val="auto"/>
          <w:sz w:val="21"/>
          <w:highlight w:val="none"/>
        </w:rPr>
        <w:t>排放速率按烟尘量计算。</w:t>
      </w:r>
    </w:p>
    <w:p w14:paraId="3314BEA9">
      <w:pPr>
        <w:spacing w:line="240" w:lineRule="auto"/>
        <w:ind w:firstLine="0" w:firstLineChars="0"/>
        <w:jc w:val="left"/>
        <w:rPr>
          <w:rFonts w:hint="default"/>
          <w:color w:val="auto"/>
          <w:highlight w:val="none"/>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b/>
          <w:bCs/>
          <w:color w:val="auto"/>
          <w:sz w:val="21"/>
          <w:highlight w:val="none"/>
          <w:lang w:val="en-US" w:eastAsia="zh-CN"/>
        </w:rPr>
        <w:t>②</w:t>
      </w:r>
      <w:r>
        <w:rPr>
          <w:rFonts w:hint="eastAsia" w:ascii="Times New Roman" w:hAnsi="Times New Roman"/>
          <w:b/>
          <w:color w:val="auto"/>
          <w:sz w:val="21"/>
          <w:highlight w:val="none"/>
        </w:rPr>
        <w:t>根据《燃煤锅炉烟气中细颗粒物的排放特征和控制现状》（环境工程技术学报2017.05），</w:t>
      </w:r>
      <w:r>
        <w:rPr>
          <w:rFonts w:hint="eastAsia" w:ascii="Times New Roman" w:hAnsi="Times New Roman"/>
          <w:b/>
          <w:color w:val="auto"/>
          <w:sz w:val="21"/>
          <w:highlight w:val="none"/>
          <w:lang w:val="en-US" w:eastAsia="zh-CN"/>
        </w:rPr>
        <w:t>“</w:t>
      </w:r>
      <w:r>
        <w:rPr>
          <w:rFonts w:hint="eastAsia" w:ascii="Times New Roman" w:hAnsi="Times New Roman"/>
          <w:b/>
          <w:color w:val="auto"/>
          <w:sz w:val="21"/>
          <w:highlight w:val="none"/>
        </w:rPr>
        <w:t>经过除尘效率相对较高的静电除尘器+湿法脱硫，颗粒物（PM</w:t>
      </w:r>
      <w:r>
        <w:rPr>
          <w:rFonts w:hint="eastAsia" w:ascii="Times New Roman" w:hAnsi="Times New Roman"/>
          <w:b/>
          <w:color w:val="auto"/>
          <w:sz w:val="21"/>
          <w:highlight w:val="none"/>
          <w:vertAlign w:val="subscript"/>
        </w:rPr>
        <w:t>2.5</w:t>
      </w:r>
      <w:r>
        <w:rPr>
          <w:rFonts w:hint="eastAsia" w:ascii="Times New Roman" w:hAnsi="Times New Roman"/>
          <w:b/>
          <w:color w:val="auto"/>
          <w:sz w:val="21"/>
          <w:highlight w:val="none"/>
        </w:rPr>
        <w:t>）占颗粒物总排放量的64.1%</w:t>
      </w:r>
      <w:r>
        <w:rPr>
          <w:rFonts w:hint="eastAsia" w:ascii="Times New Roman" w:hAnsi="Times New Roman"/>
          <w:b/>
          <w:color w:val="auto"/>
          <w:sz w:val="21"/>
          <w:highlight w:val="none"/>
          <w:lang w:eastAsia="zh-CN"/>
        </w:rPr>
        <w:t>，布袋除尘器对该粒径段颗粒物的去除率较静电除尘器更高</w:t>
      </w:r>
      <w:r>
        <w:rPr>
          <w:rFonts w:hint="eastAsia" w:ascii="Times New Roman" w:hAnsi="Times New Roman"/>
          <w:b/>
          <w:color w:val="auto"/>
          <w:sz w:val="21"/>
          <w:highlight w:val="none"/>
        </w:rPr>
        <w:t>。</w:t>
      </w:r>
      <w:r>
        <w:rPr>
          <w:rFonts w:hint="eastAsia" w:ascii="Times New Roman" w:hAnsi="Times New Roman"/>
          <w:b/>
          <w:color w:val="auto"/>
          <w:sz w:val="21"/>
          <w:highlight w:val="none"/>
          <w:lang w:val="en-US" w:eastAsia="zh-CN"/>
        </w:rPr>
        <w:t>”</w:t>
      </w:r>
      <w:r>
        <w:rPr>
          <w:rFonts w:hint="eastAsia" w:ascii="Times New Roman" w:hAnsi="Times New Roman"/>
          <w:b/>
          <w:color w:val="auto"/>
          <w:sz w:val="21"/>
          <w:highlight w:val="none"/>
        </w:rPr>
        <w:t>本次采用布袋除尘器（超细纤维滤袋，表面进行覆膜处理）。</w:t>
      </w:r>
      <w:r>
        <w:rPr>
          <w:rFonts w:hint="eastAsia" w:ascii="Times New Roman" w:hAnsi="Times New Roman" w:eastAsia="宋体" w:cs="Times New Roman"/>
          <w:b/>
          <w:bCs/>
          <w:color w:val="auto"/>
          <w:sz w:val="21"/>
          <w:highlight w:val="none"/>
          <w:lang w:val="en-US" w:eastAsia="zh-CN"/>
        </w:rPr>
        <w:t>③本项目锅炉烟囱污染物排放共用一根烟囱，因此本项目贡献值=</w:t>
      </w:r>
      <w:r>
        <w:rPr>
          <w:rFonts w:hint="eastAsia" w:ascii="Times New Roman" w:hAnsi="Times New Roman" w:eastAsia="宋体" w:cs="Times New Roman"/>
          <w:b/>
          <w:bCs/>
          <w:color w:val="auto"/>
          <w:sz w:val="21"/>
          <w:highlight w:val="none"/>
          <w:lang w:eastAsia="zh-CN"/>
        </w:rPr>
        <w:t>建成后锅炉</w:t>
      </w:r>
      <w:r>
        <w:rPr>
          <w:rFonts w:hint="eastAsia" w:ascii="Times New Roman" w:hAnsi="Times New Roman" w:eastAsia="宋体" w:cs="Times New Roman"/>
          <w:b/>
          <w:bCs/>
          <w:color w:val="auto"/>
          <w:sz w:val="21"/>
          <w:highlight w:val="none"/>
          <w:lang w:val="en-US" w:eastAsia="zh-CN"/>
        </w:rPr>
        <w:t>贡献值浓度。</w:t>
      </w:r>
    </w:p>
    <w:p w14:paraId="2A2A2827">
      <w:pPr>
        <w:ind w:firstLine="480"/>
        <w:rPr>
          <w:rFonts w:ascii="Times New Roman" w:hAnsi="Times New Roman"/>
          <w:color w:val="auto"/>
          <w:highlight w:val="none"/>
        </w:rPr>
      </w:pPr>
      <w:r>
        <w:rPr>
          <w:rFonts w:ascii="Times New Roman" w:hAnsi="Times New Roman"/>
          <w:color w:val="auto"/>
          <w:highlight w:val="none"/>
        </w:rPr>
        <w:t>二、大气环境影响结果</w:t>
      </w:r>
    </w:p>
    <w:p w14:paraId="69CBAFCB">
      <w:pPr>
        <w:ind w:firstLine="480"/>
        <w:rPr>
          <w:rFonts w:ascii="Times New Roman" w:hAnsi="Times New Roman"/>
          <w:color w:val="auto"/>
          <w:highlight w:val="none"/>
        </w:rPr>
      </w:pPr>
      <w:r>
        <w:rPr>
          <w:rFonts w:ascii="Times New Roman" w:hAnsi="Times New Roman"/>
          <w:color w:val="auto"/>
          <w:highlight w:val="none"/>
        </w:rPr>
        <w:t>1、新增污染源贡献浓度结果</w:t>
      </w:r>
    </w:p>
    <w:p w14:paraId="6ED732E2">
      <w:pPr>
        <w:ind w:firstLine="480"/>
        <w:rPr>
          <w:rFonts w:ascii="Times New Roman" w:hAnsi="Times New Roman"/>
          <w:color w:val="auto"/>
          <w:highlight w:val="none"/>
        </w:rPr>
      </w:pPr>
      <w:r>
        <w:rPr>
          <w:rFonts w:ascii="Times New Roman" w:hAnsi="Times New Roman"/>
          <w:color w:val="auto"/>
          <w:highlight w:val="none"/>
        </w:rPr>
        <w:t>（1）本项目SO</w:t>
      </w:r>
      <w:r>
        <w:rPr>
          <w:rFonts w:ascii="Times New Roman" w:hAnsi="Times New Roman"/>
          <w:color w:val="auto"/>
          <w:highlight w:val="none"/>
          <w:vertAlign w:val="subscript"/>
        </w:rPr>
        <w:t>2</w:t>
      </w:r>
      <w:r>
        <w:rPr>
          <w:rFonts w:ascii="Times New Roman" w:hAnsi="Times New Roman"/>
          <w:color w:val="auto"/>
          <w:highlight w:val="none"/>
        </w:rPr>
        <w:t>贡献浓度预测结果分析</w:t>
      </w:r>
    </w:p>
    <w:p w14:paraId="7F3E38C5">
      <w:pPr>
        <w:ind w:firstLine="480"/>
        <w:rPr>
          <w:rFonts w:ascii="Times New Roman" w:hAnsi="Times New Roman"/>
          <w:color w:val="auto"/>
          <w:highlight w:val="none"/>
        </w:rPr>
      </w:pPr>
      <w:r>
        <w:rPr>
          <w:rFonts w:ascii="Times New Roman" w:hAnsi="Times New Roman"/>
          <w:color w:val="auto"/>
          <w:highlight w:val="none"/>
        </w:rPr>
        <w:t>本项目SO</w:t>
      </w:r>
      <w:r>
        <w:rPr>
          <w:rFonts w:ascii="Times New Roman" w:hAnsi="Times New Roman"/>
          <w:color w:val="auto"/>
          <w:highlight w:val="none"/>
          <w:vertAlign w:val="subscript"/>
        </w:rPr>
        <w:t>2</w:t>
      </w:r>
      <w:r>
        <w:rPr>
          <w:rFonts w:ascii="Times New Roman" w:hAnsi="Times New Roman"/>
          <w:color w:val="auto"/>
          <w:highlight w:val="none"/>
        </w:rPr>
        <w:t>对环境空气敏感点及区域最大浓度点短期贡献浓度值及占标率见表5.2-1</w:t>
      </w:r>
      <w:r>
        <w:rPr>
          <w:rFonts w:hint="eastAsia" w:ascii="Times New Roman" w:hAnsi="Times New Roman"/>
          <w:color w:val="auto"/>
          <w:highlight w:val="none"/>
          <w:lang w:val="en-US" w:eastAsia="zh-CN"/>
        </w:rPr>
        <w:t>2</w:t>
      </w:r>
      <w:r>
        <w:rPr>
          <w:rFonts w:ascii="Times New Roman" w:hAnsi="Times New Roman"/>
          <w:color w:val="auto"/>
          <w:highlight w:val="none"/>
        </w:rPr>
        <w:t>。</w:t>
      </w:r>
    </w:p>
    <w:p w14:paraId="78A8A561">
      <w:pPr>
        <w:ind w:firstLine="0" w:firstLineChars="0"/>
        <w:jc w:val="center"/>
        <w:rPr>
          <w:rFonts w:ascii="Times New Roman" w:hAnsi="Times New Roman"/>
          <w:color w:val="auto"/>
          <w:highlight w:val="none"/>
        </w:rPr>
      </w:pPr>
      <w:r>
        <w:rPr>
          <w:rFonts w:hint="eastAsia" w:ascii="黑体" w:hAnsi="黑体" w:eastAsia="黑体" w:cs="黑体"/>
          <w:color w:val="auto"/>
          <w:highlight w:val="none"/>
        </w:rPr>
        <w:t>表</w:t>
      </w:r>
      <w:r>
        <w:rPr>
          <w:rFonts w:ascii="Times New Roman" w:hAnsi="Times New Roman"/>
          <w:color w:val="auto"/>
          <w:highlight w:val="none"/>
        </w:rPr>
        <w:t>5.2-1</w:t>
      </w:r>
      <w:r>
        <w:rPr>
          <w:rFonts w:hint="eastAsia" w:ascii="Times New Roman" w:hAnsi="Times New Roman"/>
          <w:color w:val="auto"/>
          <w:highlight w:val="none"/>
          <w:lang w:val="en-US" w:eastAsia="zh-CN"/>
        </w:rPr>
        <w:t>2</w:t>
      </w:r>
      <w:r>
        <w:rPr>
          <w:rFonts w:hint="eastAsia" w:ascii="黑体" w:hAnsi="黑体" w:eastAsia="黑体" w:cs="黑体"/>
          <w:color w:val="auto"/>
          <w:highlight w:val="none"/>
        </w:rPr>
        <w:t>本项目</w:t>
      </w:r>
      <w:r>
        <w:rPr>
          <w:rFonts w:ascii="Times New Roman" w:hAnsi="Times New Roman"/>
          <w:color w:val="auto"/>
          <w:highlight w:val="none"/>
        </w:rPr>
        <w:t>SO</w:t>
      </w:r>
      <w:r>
        <w:rPr>
          <w:rFonts w:ascii="Times New Roman" w:hAnsi="Times New Roman"/>
          <w:color w:val="auto"/>
          <w:highlight w:val="none"/>
          <w:vertAlign w:val="subscript"/>
        </w:rPr>
        <w:t>2</w:t>
      </w:r>
      <w:r>
        <w:rPr>
          <w:rFonts w:hint="eastAsia" w:ascii="黑体" w:hAnsi="黑体" w:eastAsia="黑体" w:cs="黑体"/>
          <w:color w:val="auto"/>
          <w:highlight w:val="none"/>
        </w:rPr>
        <w:t>贡献值预测结果</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5"/>
        <w:gridCol w:w="2064"/>
        <w:gridCol w:w="1037"/>
        <w:gridCol w:w="1563"/>
        <w:gridCol w:w="1193"/>
        <w:gridCol w:w="1003"/>
        <w:gridCol w:w="1037"/>
      </w:tblGrid>
      <w:tr w14:paraId="65337798">
        <w:tblPrEx>
          <w:tblCellMar>
            <w:top w:w="0" w:type="dxa"/>
            <w:left w:w="108" w:type="dxa"/>
            <w:bottom w:w="0" w:type="dxa"/>
            <w:right w:w="108" w:type="dxa"/>
          </w:tblCellMar>
        </w:tblPrEx>
        <w:trPr>
          <w:trHeight w:val="227" w:hRule="atLeast"/>
          <w:jc w:val="center"/>
        </w:trPr>
        <w:tc>
          <w:tcPr>
            <w:tcW w:w="366" w:type="pct"/>
            <w:noWrap/>
            <w:vAlign w:val="center"/>
          </w:tcPr>
          <w:p w14:paraId="068A673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序号</w:t>
            </w:r>
          </w:p>
        </w:tc>
        <w:tc>
          <w:tcPr>
            <w:tcW w:w="1210" w:type="pct"/>
            <w:noWrap/>
            <w:vAlign w:val="center"/>
          </w:tcPr>
          <w:p w14:paraId="332C162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点名称</w:t>
            </w:r>
          </w:p>
        </w:tc>
        <w:tc>
          <w:tcPr>
            <w:tcW w:w="608" w:type="pct"/>
            <w:noWrap/>
            <w:vAlign w:val="center"/>
          </w:tcPr>
          <w:p w14:paraId="5211160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浓度类型</w:t>
            </w:r>
          </w:p>
        </w:tc>
        <w:tc>
          <w:tcPr>
            <w:tcW w:w="917" w:type="pct"/>
            <w:noWrap/>
            <w:vAlign w:val="center"/>
          </w:tcPr>
          <w:p w14:paraId="489C7F0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浓度增量(mg/m3)</w:t>
            </w:r>
          </w:p>
        </w:tc>
        <w:tc>
          <w:tcPr>
            <w:tcW w:w="699" w:type="pct"/>
            <w:noWrap/>
            <w:vAlign w:val="center"/>
          </w:tcPr>
          <w:p w14:paraId="13B9D00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出现时间</w:t>
            </w:r>
          </w:p>
        </w:tc>
        <w:tc>
          <w:tcPr>
            <w:tcW w:w="588" w:type="pct"/>
            <w:noWrap/>
            <w:vAlign w:val="center"/>
          </w:tcPr>
          <w:p w14:paraId="55B4963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占标率%</w:t>
            </w:r>
          </w:p>
        </w:tc>
        <w:tc>
          <w:tcPr>
            <w:tcW w:w="608" w:type="pct"/>
            <w:noWrap/>
            <w:vAlign w:val="center"/>
          </w:tcPr>
          <w:p w14:paraId="3BD7597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是否超标</w:t>
            </w:r>
          </w:p>
        </w:tc>
      </w:tr>
      <w:tr w14:paraId="67C477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restart"/>
            <w:noWrap/>
            <w:vAlign w:val="center"/>
          </w:tcPr>
          <w:p w14:paraId="7D21B1C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w:t>
            </w:r>
          </w:p>
        </w:tc>
        <w:tc>
          <w:tcPr>
            <w:tcW w:w="1210" w:type="pct"/>
            <w:vMerge w:val="restart"/>
            <w:noWrap/>
            <w:vAlign w:val="center"/>
          </w:tcPr>
          <w:p w14:paraId="127D9111">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bidi="ar"/>
              </w:rPr>
            </w:pPr>
            <w:r>
              <w:rPr>
                <w:rFonts w:hint="eastAsia" w:ascii="Times New Roman" w:hAnsi="Times New Roman" w:eastAsia="宋体" w:cs="Times New Roman"/>
                <w:kern w:val="0"/>
                <w:sz w:val="21"/>
                <w:highlight w:val="none"/>
                <w:lang w:val="en-US" w:eastAsia="zh-CN" w:bidi="ar"/>
              </w:rPr>
              <w:t>绥芬河市政府</w:t>
            </w:r>
          </w:p>
        </w:tc>
        <w:tc>
          <w:tcPr>
            <w:tcW w:w="608" w:type="pct"/>
            <w:noWrap/>
            <w:vAlign w:val="center"/>
          </w:tcPr>
          <w:p w14:paraId="54B2652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3B8BEB9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9.97E-04</w:t>
            </w:r>
          </w:p>
        </w:tc>
        <w:tc>
          <w:tcPr>
            <w:tcW w:w="699" w:type="pct"/>
            <w:noWrap/>
            <w:vAlign w:val="center"/>
          </w:tcPr>
          <w:p w14:paraId="1FA981A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24041512</w:t>
            </w:r>
          </w:p>
        </w:tc>
        <w:tc>
          <w:tcPr>
            <w:tcW w:w="588" w:type="pct"/>
            <w:noWrap/>
            <w:vAlign w:val="center"/>
          </w:tcPr>
          <w:p w14:paraId="67238B9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0.20</w:t>
            </w:r>
          </w:p>
        </w:tc>
        <w:tc>
          <w:tcPr>
            <w:tcW w:w="608" w:type="pct"/>
            <w:noWrap/>
            <w:vAlign w:val="center"/>
          </w:tcPr>
          <w:p w14:paraId="569F968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B0E35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19F848C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152918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1AAA34D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5E223F3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2.29E-04</w:t>
            </w:r>
          </w:p>
        </w:tc>
        <w:tc>
          <w:tcPr>
            <w:tcW w:w="699" w:type="pct"/>
            <w:noWrap/>
            <w:vAlign w:val="center"/>
          </w:tcPr>
          <w:p w14:paraId="41089EF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240423</w:t>
            </w:r>
          </w:p>
        </w:tc>
        <w:tc>
          <w:tcPr>
            <w:tcW w:w="588" w:type="pct"/>
            <w:noWrap/>
            <w:vAlign w:val="center"/>
          </w:tcPr>
          <w:p w14:paraId="532F77C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0.15</w:t>
            </w:r>
          </w:p>
        </w:tc>
        <w:tc>
          <w:tcPr>
            <w:tcW w:w="608" w:type="pct"/>
            <w:noWrap/>
            <w:vAlign w:val="center"/>
          </w:tcPr>
          <w:p w14:paraId="34574DC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63945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4185719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253866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6D3A182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1726F0A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7.81E-06</w:t>
            </w:r>
          </w:p>
        </w:tc>
        <w:tc>
          <w:tcPr>
            <w:tcW w:w="699" w:type="pct"/>
            <w:noWrap/>
            <w:vAlign w:val="center"/>
          </w:tcPr>
          <w:p w14:paraId="65CA674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252E156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47F434A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F5FF4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restart"/>
            <w:noWrap/>
            <w:vAlign w:val="center"/>
          </w:tcPr>
          <w:p w14:paraId="1916295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2</w:t>
            </w:r>
          </w:p>
        </w:tc>
        <w:tc>
          <w:tcPr>
            <w:tcW w:w="1210" w:type="pct"/>
            <w:vMerge w:val="restart"/>
            <w:noWrap/>
            <w:vAlign w:val="center"/>
          </w:tcPr>
          <w:p w14:paraId="3F6711E1">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绥芬河市人大</w:t>
            </w:r>
          </w:p>
        </w:tc>
        <w:tc>
          <w:tcPr>
            <w:tcW w:w="608" w:type="pct"/>
            <w:noWrap/>
            <w:vAlign w:val="center"/>
          </w:tcPr>
          <w:p w14:paraId="4E65466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3F055A0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6.51E-04</w:t>
            </w:r>
          </w:p>
        </w:tc>
        <w:tc>
          <w:tcPr>
            <w:tcW w:w="699" w:type="pct"/>
            <w:noWrap/>
            <w:vAlign w:val="center"/>
          </w:tcPr>
          <w:p w14:paraId="69E9371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24041609</w:t>
            </w:r>
          </w:p>
        </w:tc>
        <w:tc>
          <w:tcPr>
            <w:tcW w:w="588" w:type="pct"/>
            <w:noWrap/>
            <w:vAlign w:val="center"/>
          </w:tcPr>
          <w:p w14:paraId="7F0B315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0.13</w:t>
            </w:r>
          </w:p>
        </w:tc>
        <w:tc>
          <w:tcPr>
            <w:tcW w:w="608" w:type="pct"/>
            <w:noWrap/>
            <w:vAlign w:val="center"/>
          </w:tcPr>
          <w:p w14:paraId="04AA27D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8E62B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763A7E2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235044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14FC176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0CF2E58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9.17E-05</w:t>
            </w:r>
          </w:p>
        </w:tc>
        <w:tc>
          <w:tcPr>
            <w:tcW w:w="699" w:type="pct"/>
            <w:noWrap/>
            <w:vAlign w:val="center"/>
          </w:tcPr>
          <w:p w14:paraId="708CBB7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0AA9EE3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63CF57B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F4485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58EEF0E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431A7D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63D5822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6ADB9EA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2.05E-06</w:t>
            </w:r>
          </w:p>
        </w:tc>
        <w:tc>
          <w:tcPr>
            <w:tcW w:w="699" w:type="pct"/>
            <w:noWrap/>
            <w:vAlign w:val="center"/>
          </w:tcPr>
          <w:p w14:paraId="35A60B8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6F8AA27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4EC3FEE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C1E30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restart"/>
            <w:noWrap/>
            <w:vAlign w:val="center"/>
          </w:tcPr>
          <w:p w14:paraId="5AC9F9C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3</w:t>
            </w:r>
          </w:p>
        </w:tc>
        <w:tc>
          <w:tcPr>
            <w:tcW w:w="1210" w:type="pct"/>
            <w:vMerge w:val="restart"/>
            <w:noWrap/>
            <w:vAlign w:val="center"/>
          </w:tcPr>
          <w:p w14:paraId="0EBE7C7D">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绥芬河市应急资源局</w:t>
            </w:r>
          </w:p>
        </w:tc>
        <w:tc>
          <w:tcPr>
            <w:tcW w:w="608" w:type="pct"/>
            <w:noWrap/>
            <w:vAlign w:val="center"/>
          </w:tcPr>
          <w:p w14:paraId="5F91FA7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0348015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1.04E-03</w:t>
            </w:r>
          </w:p>
        </w:tc>
        <w:tc>
          <w:tcPr>
            <w:tcW w:w="699" w:type="pct"/>
            <w:noWrap/>
            <w:vAlign w:val="center"/>
          </w:tcPr>
          <w:p w14:paraId="421ADF8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24042314</w:t>
            </w:r>
          </w:p>
        </w:tc>
        <w:tc>
          <w:tcPr>
            <w:tcW w:w="588" w:type="pct"/>
            <w:noWrap/>
            <w:vAlign w:val="center"/>
          </w:tcPr>
          <w:p w14:paraId="08281DB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0.21</w:t>
            </w:r>
          </w:p>
        </w:tc>
        <w:tc>
          <w:tcPr>
            <w:tcW w:w="608" w:type="pct"/>
            <w:noWrap/>
            <w:vAlign w:val="center"/>
          </w:tcPr>
          <w:p w14:paraId="20738AA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B0347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049C4D0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7DB763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0F0D148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1073A40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2.99E-04</w:t>
            </w:r>
          </w:p>
        </w:tc>
        <w:tc>
          <w:tcPr>
            <w:tcW w:w="699" w:type="pct"/>
            <w:noWrap/>
            <w:vAlign w:val="center"/>
          </w:tcPr>
          <w:p w14:paraId="45DA14D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240423</w:t>
            </w:r>
          </w:p>
        </w:tc>
        <w:tc>
          <w:tcPr>
            <w:tcW w:w="588" w:type="pct"/>
            <w:noWrap/>
            <w:vAlign w:val="center"/>
          </w:tcPr>
          <w:p w14:paraId="486320A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0.20</w:t>
            </w:r>
          </w:p>
        </w:tc>
        <w:tc>
          <w:tcPr>
            <w:tcW w:w="608" w:type="pct"/>
            <w:noWrap/>
            <w:vAlign w:val="center"/>
          </w:tcPr>
          <w:p w14:paraId="65A3A9F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D90E3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53BED73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82F00F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7E92F17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60E256E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1.06E-05</w:t>
            </w:r>
          </w:p>
        </w:tc>
        <w:tc>
          <w:tcPr>
            <w:tcW w:w="699" w:type="pct"/>
            <w:noWrap/>
            <w:vAlign w:val="center"/>
          </w:tcPr>
          <w:p w14:paraId="3F5A691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356A444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3A6223A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46114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restart"/>
            <w:noWrap/>
            <w:vAlign w:val="center"/>
          </w:tcPr>
          <w:p w14:paraId="52496F7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4</w:t>
            </w:r>
          </w:p>
        </w:tc>
        <w:tc>
          <w:tcPr>
            <w:tcW w:w="1210" w:type="pct"/>
            <w:vMerge w:val="restart"/>
            <w:shd w:val="clear" w:color="auto" w:fill="auto"/>
            <w:noWrap/>
            <w:vAlign w:val="center"/>
          </w:tcPr>
          <w:p w14:paraId="3813BB93">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绥芬河市住房公积金中心</w:t>
            </w:r>
          </w:p>
        </w:tc>
        <w:tc>
          <w:tcPr>
            <w:tcW w:w="608" w:type="pct"/>
            <w:noWrap/>
            <w:vAlign w:val="center"/>
          </w:tcPr>
          <w:p w14:paraId="7C154EE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2C4D1B9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8.80E-04</w:t>
            </w:r>
          </w:p>
        </w:tc>
        <w:tc>
          <w:tcPr>
            <w:tcW w:w="699" w:type="pct"/>
            <w:noWrap/>
            <w:vAlign w:val="center"/>
          </w:tcPr>
          <w:p w14:paraId="2157C76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24031913</w:t>
            </w:r>
          </w:p>
        </w:tc>
        <w:tc>
          <w:tcPr>
            <w:tcW w:w="588" w:type="pct"/>
            <w:noWrap/>
            <w:vAlign w:val="center"/>
          </w:tcPr>
          <w:p w14:paraId="7334075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0.18</w:t>
            </w:r>
          </w:p>
        </w:tc>
        <w:tc>
          <w:tcPr>
            <w:tcW w:w="608" w:type="pct"/>
            <w:noWrap/>
            <w:vAlign w:val="center"/>
          </w:tcPr>
          <w:p w14:paraId="1E1A364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50D27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783C586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9EB003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5F86B39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34C7D85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1.24E-04</w:t>
            </w:r>
          </w:p>
        </w:tc>
        <w:tc>
          <w:tcPr>
            <w:tcW w:w="699" w:type="pct"/>
            <w:noWrap/>
            <w:vAlign w:val="center"/>
          </w:tcPr>
          <w:p w14:paraId="64268A7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271E071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63524D9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F0F08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67C3A86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C6F624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5CF0925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049998B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3.08E-06</w:t>
            </w:r>
          </w:p>
        </w:tc>
        <w:tc>
          <w:tcPr>
            <w:tcW w:w="699" w:type="pct"/>
            <w:noWrap/>
            <w:vAlign w:val="center"/>
          </w:tcPr>
          <w:p w14:paraId="6DBE9F4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62FE4D8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01B58F0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CB915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restart"/>
            <w:noWrap/>
            <w:vAlign w:val="center"/>
          </w:tcPr>
          <w:p w14:paraId="62148F7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5</w:t>
            </w:r>
          </w:p>
        </w:tc>
        <w:tc>
          <w:tcPr>
            <w:tcW w:w="1210" w:type="pct"/>
            <w:vMerge w:val="restart"/>
            <w:noWrap/>
            <w:vAlign w:val="center"/>
          </w:tcPr>
          <w:p w14:paraId="67E63F57">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绥芬河市房屋征收办公室</w:t>
            </w:r>
          </w:p>
        </w:tc>
        <w:tc>
          <w:tcPr>
            <w:tcW w:w="608" w:type="pct"/>
            <w:noWrap/>
            <w:vAlign w:val="center"/>
          </w:tcPr>
          <w:p w14:paraId="32A6088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39DBFE6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9.47E-04</w:t>
            </w:r>
          </w:p>
        </w:tc>
        <w:tc>
          <w:tcPr>
            <w:tcW w:w="699" w:type="pct"/>
            <w:noWrap/>
            <w:vAlign w:val="center"/>
          </w:tcPr>
          <w:p w14:paraId="3ECAD77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24042212</w:t>
            </w:r>
          </w:p>
        </w:tc>
        <w:tc>
          <w:tcPr>
            <w:tcW w:w="588" w:type="pct"/>
            <w:noWrap/>
            <w:vAlign w:val="center"/>
          </w:tcPr>
          <w:p w14:paraId="6932AC5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0.19</w:t>
            </w:r>
          </w:p>
        </w:tc>
        <w:tc>
          <w:tcPr>
            <w:tcW w:w="608" w:type="pct"/>
            <w:noWrap/>
            <w:vAlign w:val="center"/>
          </w:tcPr>
          <w:p w14:paraId="46904A6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B8508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7D91E04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5E9D301">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p>
        </w:tc>
        <w:tc>
          <w:tcPr>
            <w:tcW w:w="608" w:type="pct"/>
            <w:noWrap/>
            <w:vAlign w:val="center"/>
          </w:tcPr>
          <w:p w14:paraId="7B92AF8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7884FDD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1.30E-04</w:t>
            </w:r>
          </w:p>
        </w:tc>
        <w:tc>
          <w:tcPr>
            <w:tcW w:w="699" w:type="pct"/>
            <w:noWrap/>
            <w:vAlign w:val="center"/>
          </w:tcPr>
          <w:p w14:paraId="470DD22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2C6C424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0.09</w:t>
            </w:r>
          </w:p>
        </w:tc>
        <w:tc>
          <w:tcPr>
            <w:tcW w:w="608" w:type="pct"/>
            <w:noWrap/>
            <w:vAlign w:val="center"/>
          </w:tcPr>
          <w:p w14:paraId="10129D3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C9106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04FC3A4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9ED5DBC">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p>
        </w:tc>
        <w:tc>
          <w:tcPr>
            <w:tcW w:w="608" w:type="pct"/>
            <w:noWrap/>
            <w:vAlign w:val="center"/>
          </w:tcPr>
          <w:p w14:paraId="493F875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0C29B2B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3.52E-06</w:t>
            </w:r>
          </w:p>
        </w:tc>
        <w:tc>
          <w:tcPr>
            <w:tcW w:w="699" w:type="pct"/>
            <w:noWrap/>
            <w:vAlign w:val="center"/>
          </w:tcPr>
          <w:p w14:paraId="49145A8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DE805B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2221C24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CC608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restart"/>
            <w:noWrap/>
            <w:vAlign w:val="center"/>
          </w:tcPr>
          <w:p w14:paraId="1DBCC61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6</w:t>
            </w:r>
          </w:p>
        </w:tc>
        <w:tc>
          <w:tcPr>
            <w:tcW w:w="1210" w:type="pct"/>
            <w:vMerge w:val="restart"/>
            <w:noWrap/>
            <w:vAlign w:val="center"/>
          </w:tcPr>
          <w:p w14:paraId="360DB0CF">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绥芬河镇人民政府</w:t>
            </w:r>
          </w:p>
        </w:tc>
        <w:tc>
          <w:tcPr>
            <w:tcW w:w="608" w:type="pct"/>
            <w:noWrap/>
            <w:vAlign w:val="center"/>
          </w:tcPr>
          <w:p w14:paraId="3F9259E3">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1小时</w:t>
            </w:r>
          </w:p>
        </w:tc>
        <w:tc>
          <w:tcPr>
            <w:tcW w:w="917" w:type="pct"/>
            <w:noWrap/>
            <w:vAlign w:val="center"/>
          </w:tcPr>
          <w:p w14:paraId="6837C46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6.49E-04</w:t>
            </w:r>
          </w:p>
        </w:tc>
        <w:tc>
          <w:tcPr>
            <w:tcW w:w="699" w:type="pct"/>
            <w:noWrap/>
            <w:vAlign w:val="center"/>
          </w:tcPr>
          <w:p w14:paraId="769E693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24031916</w:t>
            </w:r>
          </w:p>
        </w:tc>
        <w:tc>
          <w:tcPr>
            <w:tcW w:w="588" w:type="pct"/>
            <w:noWrap/>
            <w:vAlign w:val="center"/>
          </w:tcPr>
          <w:p w14:paraId="58EBA169">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0.13</w:t>
            </w:r>
          </w:p>
        </w:tc>
        <w:tc>
          <w:tcPr>
            <w:tcW w:w="608" w:type="pct"/>
            <w:noWrap/>
            <w:vAlign w:val="center"/>
          </w:tcPr>
          <w:p w14:paraId="13B8FCE8">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达标</w:t>
            </w:r>
          </w:p>
        </w:tc>
      </w:tr>
      <w:tr w14:paraId="7181B7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031F835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DE3782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1EA73D30">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日平均</w:t>
            </w:r>
          </w:p>
        </w:tc>
        <w:tc>
          <w:tcPr>
            <w:tcW w:w="917" w:type="pct"/>
            <w:noWrap/>
            <w:vAlign w:val="center"/>
          </w:tcPr>
          <w:p w14:paraId="611DA54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4.34E-05</w:t>
            </w:r>
          </w:p>
        </w:tc>
        <w:tc>
          <w:tcPr>
            <w:tcW w:w="699" w:type="pct"/>
            <w:noWrap/>
            <w:vAlign w:val="center"/>
          </w:tcPr>
          <w:p w14:paraId="1D0DF3A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1F37D203">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79113915">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达标</w:t>
            </w:r>
          </w:p>
        </w:tc>
      </w:tr>
      <w:tr w14:paraId="7ED708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1FE7670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2A6E1F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657F61FA">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年平均</w:t>
            </w:r>
          </w:p>
        </w:tc>
        <w:tc>
          <w:tcPr>
            <w:tcW w:w="917" w:type="pct"/>
            <w:noWrap/>
            <w:vAlign w:val="center"/>
          </w:tcPr>
          <w:p w14:paraId="146A127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6.20E-07</w:t>
            </w:r>
          </w:p>
        </w:tc>
        <w:tc>
          <w:tcPr>
            <w:tcW w:w="699" w:type="pct"/>
            <w:noWrap/>
            <w:vAlign w:val="center"/>
          </w:tcPr>
          <w:p w14:paraId="4A92F4E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B31E99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2B2D52FD">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达标</w:t>
            </w:r>
          </w:p>
        </w:tc>
      </w:tr>
      <w:tr w14:paraId="1EE724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restart"/>
            <w:noWrap/>
            <w:vAlign w:val="center"/>
          </w:tcPr>
          <w:p w14:paraId="397F7B3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w:t>
            </w:r>
          </w:p>
        </w:tc>
        <w:tc>
          <w:tcPr>
            <w:tcW w:w="1210" w:type="pct"/>
            <w:vMerge w:val="restart"/>
            <w:noWrap/>
            <w:vAlign w:val="center"/>
          </w:tcPr>
          <w:p w14:paraId="6D852A2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绥芬河邮政管理局</w:t>
            </w:r>
          </w:p>
        </w:tc>
        <w:tc>
          <w:tcPr>
            <w:tcW w:w="608" w:type="pct"/>
            <w:noWrap/>
            <w:vAlign w:val="center"/>
          </w:tcPr>
          <w:p w14:paraId="2CE4D63F">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1小时</w:t>
            </w:r>
          </w:p>
        </w:tc>
        <w:tc>
          <w:tcPr>
            <w:tcW w:w="917" w:type="pct"/>
            <w:noWrap/>
            <w:vAlign w:val="center"/>
          </w:tcPr>
          <w:p w14:paraId="49CA47E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6.16E-04</w:t>
            </w:r>
          </w:p>
        </w:tc>
        <w:tc>
          <w:tcPr>
            <w:tcW w:w="699" w:type="pct"/>
            <w:noWrap/>
            <w:vAlign w:val="center"/>
          </w:tcPr>
          <w:p w14:paraId="4532707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24031916</w:t>
            </w:r>
          </w:p>
        </w:tc>
        <w:tc>
          <w:tcPr>
            <w:tcW w:w="588" w:type="pct"/>
            <w:noWrap/>
            <w:vAlign w:val="center"/>
          </w:tcPr>
          <w:p w14:paraId="21A12D4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0.12</w:t>
            </w:r>
          </w:p>
        </w:tc>
        <w:tc>
          <w:tcPr>
            <w:tcW w:w="608" w:type="pct"/>
            <w:noWrap/>
            <w:vAlign w:val="center"/>
          </w:tcPr>
          <w:p w14:paraId="56F6CA46">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达标</w:t>
            </w:r>
          </w:p>
        </w:tc>
      </w:tr>
      <w:tr w14:paraId="13DC4F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188E670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AD7D97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12EAEE4F">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日平均</w:t>
            </w:r>
          </w:p>
        </w:tc>
        <w:tc>
          <w:tcPr>
            <w:tcW w:w="917" w:type="pct"/>
            <w:noWrap/>
            <w:vAlign w:val="center"/>
          </w:tcPr>
          <w:p w14:paraId="5A019E7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4.12E-05</w:t>
            </w:r>
          </w:p>
        </w:tc>
        <w:tc>
          <w:tcPr>
            <w:tcW w:w="699" w:type="pct"/>
            <w:noWrap/>
            <w:vAlign w:val="center"/>
          </w:tcPr>
          <w:p w14:paraId="4C1E5AB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23073AD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1504D458">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达标</w:t>
            </w:r>
          </w:p>
        </w:tc>
      </w:tr>
      <w:tr w14:paraId="4256C7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50ACEC6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6BD610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4B4AC75A">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年平均</w:t>
            </w:r>
          </w:p>
        </w:tc>
        <w:tc>
          <w:tcPr>
            <w:tcW w:w="917" w:type="pct"/>
            <w:noWrap/>
            <w:vAlign w:val="center"/>
          </w:tcPr>
          <w:p w14:paraId="279E753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6.60E-07</w:t>
            </w:r>
          </w:p>
        </w:tc>
        <w:tc>
          <w:tcPr>
            <w:tcW w:w="699" w:type="pct"/>
            <w:noWrap/>
            <w:vAlign w:val="center"/>
          </w:tcPr>
          <w:p w14:paraId="5E392D4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1FF3BCE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406F19CF">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达标</w:t>
            </w:r>
          </w:p>
        </w:tc>
      </w:tr>
      <w:tr w14:paraId="5CBC9E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vMerge w:val="restart"/>
            <w:noWrap/>
            <w:vAlign w:val="center"/>
          </w:tcPr>
          <w:p w14:paraId="59E1B72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w:t>
            </w:r>
          </w:p>
        </w:tc>
        <w:tc>
          <w:tcPr>
            <w:tcW w:w="1210" w:type="pct"/>
            <w:vMerge w:val="restart"/>
            <w:noWrap/>
            <w:vAlign w:val="center"/>
          </w:tcPr>
          <w:p w14:paraId="46F8818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绥芬河市教育局</w:t>
            </w:r>
          </w:p>
        </w:tc>
        <w:tc>
          <w:tcPr>
            <w:tcW w:w="608" w:type="pct"/>
            <w:noWrap/>
            <w:vAlign w:val="center"/>
          </w:tcPr>
          <w:p w14:paraId="530911C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43BEE72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7.05E-04</w:t>
            </w:r>
          </w:p>
        </w:tc>
        <w:tc>
          <w:tcPr>
            <w:tcW w:w="699" w:type="pct"/>
            <w:noWrap/>
            <w:vAlign w:val="center"/>
          </w:tcPr>
          <w:p w14:paraId="59C2BDC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24040909</w:t>
            </w:r>
          </w:p>
        </w:tc>
        <w:tc>
          <w:tcPr>
            <w:tcW w:w="588" w:type="pct"/>
            <w:noWrap/>
            <w:vAlign w:val="center"/>
          </w:tcPr>
          <w:p w14:paraId="3EDCCDB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0.14</w:t>
            </w:r>
          </w:p>
        </w:tc>
        <w:tc>
          <w:tcPr>
            <w:tcW w:w="608" w:type="pct"/>
            <w:noWrap/>
            <w:vAlign w:val="center"/>
          </w:tcPr>
          <w:p w14:paraId="370B3E2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A9DCE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366" w:type="pct"/>
            <w:vMerge w:val="continue"/>
            <w:noWrap/>
            <w:vAlign w:val="center"/>
          </w:tcPr>
          <w:p w14:paraId="2ABDEEC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43C8E5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DE4589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545C6FD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3.58E-05</w:t>
            </w:r>
          </w:p>
        </w:tc>
        <w:tc>
          <w:tcPr>
            <w:tcW w:w="699" w:type="pct"/>
            <w:noWrap/>
            <w:vAlign w:val="center"/>
          </w:tcPr>
          <w:p w14:paraId="22D8E60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w:t>
            </w:r>
          </w:p>
        </w:tc>
        <w:tc>
          <w:tcPr>
            <w:tcW w:w="588" w:type="pct"/>
            <w:noWrap/>
            <w:vAlign w:val="center"/>
          </w:tcPr>
          <w:p w14:paraId="3D06B3A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7079AD1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3B3E8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366" w:type="pct"/>
            <w:vMerge w:val="continue"/>
            <w:noWrap/>
            <w:vAlign w:val="center"/>
          </w:tcPr>
          <w:p w14:paraId="1B56961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4A9175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31A9B2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7709DB3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6.70E-07</w:t>
            </w:r>
          </w:p>
        </w:tc>
        <w:tc>
          <w:tcPr>
            <w:tcW w:w="699" w:type="pct"/>
            <w:noWrap/>
            <w:vAlign w:val="center"/>
          </w:tcPr>
          <w:p w14:paraId="4B42DC9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403059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4524A6F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A2EDB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366" w:type="pct"/>
            <w:vMerge w:val="restart"/>
            <w:noWrap/>
            <w:vAlign w:val="center"/>
          </w:tcPr>
          <w:p w14:paraId="56350F9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9</w:t>
            </w:r>
          </w:p>
        </w:tc>
        <w:tc>
          <w:tcPr>
            <w:tcW w:w="1210" w:type="pct"/>
            <w:vMerge w:val="restart"/>
            <w:noWrap/>
            <w:vAlign w:val="center"/>
          </w:tcPr>
          <w:p w14:paraId="6CF0EA8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绥芬河市自然资源局</w:t>
            </w:r>
          </w:p>
        </w:tc>
        <w:tc>
          <w:tcPr>
            <w:tcW w:w="608" w:type="pct"/>
            <w:noWrap/>
            <w:vAlign w:val="center"/>
          </w:tcPr>
          <w:p w14:paraId="6D939DE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5937B8F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7.11E-04</w:t>
            </w:r>
          </w:p>
        </w:tc>
        <w:tc>
          <w:tcPr>
            <w:tcW w:w="699" w:type="pct"/>
            <w:noWrap/>
            <w:vAlign w:val="center"/>
          </w:tcPr>
          <w:p w14:paraId="773159D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432D1D7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0.14</w:t>
            </w:r>
          </w:p>
        </w:tc>
        <w:tc>
          <w:tcPr>
            <w:tcW w:w="608" w:type="pct"/>
            <w:noWrap/>
            <w:vAlign w:val="center"/>
          </w:tcPr>
          <w:p w14:paraId="5D06B3A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AF8E8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366" w:type="pct"/>
            <w:vMerge w:val="continue"/>
            <w:noWrap/>
            <w:vAlign w:val="center"/>
          </w:tcPr>
          <w:p w14:paraId="5724EC4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600FE4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CDAD9B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630FEA6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4.92E-05</w:t>
            </w:r>
          </w:p>
        </w:tc>
        <w:tc>
          <w:tcPr>
            <w:tcW w:w="699" w:type="pct"/>
            <w:noWrap/>
            <w:vAlign w:val="center"/>
          </w:tcPr>
          <w:p w14:paraId="2E52A39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5A03E9E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3B8A2BE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74EB5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366" w:type="pct"/>
            <w:vMerge w:val="continue"/>
            <w:noWrap/>
            <w:vAlign w:val="center"/>
          </w:tcPr>
          <w:p w14:paraId="5430F25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7D1980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42C8EF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081EDF5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7.30E-07</w:t>
            </w:r>
          </w:p>
        </w:tc>
        <w:tc>
          <w:tcPr>
            <w:tcW w:w="699" w:type="pct"/>
            <w:noWrap/>
            <w:vAlign w:val="center"/>
          </w:tcPr>
          <w:p w14:paraId="0EF2FDF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FEFE85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2AE146E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9702A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366" w:type="pct"/>
            <w:vMerge w:val="restart"/>
            <w:noWrap/>
            <w:vAlign w:val="center"/>
          </w:tcPr>
          <w:p w14:paraId="2C551AFD">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w:t>
            </w:r>
          </w:p>
        </w:tc>
        <w:tc>
          <w:tcPr>
            <w:tcW w:w="1210" w:type="pct"/>
            <w:vMerge w:val="restart"/>
            <w:noWrap/>
            <w:vAlign w:val="center"/>
          </w:tcPr>
          <w:p w14:paraId="6DBA42E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绥芬河海关</w:t>
            </w:r>
          </w:p>
        </w:tc>
        <w:tc>
          <w:tcPr>
            <w:tcW w:w="608" w:type="pct"/>
            <w:noWrap/>
            <w:vAlign w:val="center"/>
          </w:tcPr>
          <w:p w14:paraId="13910B3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2E0F681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7.75E-04</w:t>
            </w:r>
          </w:p>
        </w:tc>
        <w:tc>
          <w:tcPr>
            <w:tcW w:w="699" w:type="pct"/>
            <w:noWrap/>
            <w:vAlign w:val="center"/>
          </w:tcPr>
          <w:p w14:paraId="4ACE682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24040909</w:t>
            </w:r>
          </w:p>
        </w:tc>
        <w:tc>
          <w:tcPr>
            <w:tcW w:w="588" w:type="pct"/>
            <w:noWrap/>
            <w:vAlign w:val="center"/>
          </w:tcPr>
          <w:p w14:paraId="5331BFA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0.16</w:t>
            </w:r>
          </w:p>
        </w:tc>
        <w:tc>
          <w:tcPr>
            <w:tcW w:w="608" w:type="pct"/>
            <w:noWrap/>
            <w:vAlign w:val="center"/>
          </w:tcPr>
          <w:p w14:paraId="1BC2A53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759E9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366" w:type="pct"/>
            <w:vMerge w:val="continue"/>
            <w:noWrap/>
            <w:vAlign w:val="center"/>
          </w:tcPr>
          <w:p w14:paraId="3C0ECF9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3E018E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DB0354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599AE94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4.72E-05</w:t>
            </w:r>
          </w:p>
        </w:tc>
        <w:tc>
          <w:tcPr>
            <w:tcW w:w="699" w:type="pct"/>
            <w:noWrap/>
            <w:vAlign w:val="center"/>
          </w:tcPr>
          <w:p w14:paraId="30D6D57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6C9390A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7F48173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B6C0A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366" w:type="pct"/>
            <w:vMerge w:val="continue"/>
            <w:noWrap/>
            <w:vAlign w:val="center"/>
          </w:tcPr>
          <w:p w14:paraId="04214C8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1296A8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05E468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73B6CBD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1.19E-06</w:t>
            </w:r>
          </w:p>
        </w:tc>
        <w:tc>
          <w:tcPr>
            <w:tcW w:w="699" w:type="pct"/>
            <w:noWrap/>
            <w:vAlign w:val="center"/>
          </w:tcPr>
          <w:p w14:paraId="275B76A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21A6232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1B68E19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A1A1F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366" w:type="pct"/>
            <w:vMerge w:val="restart"/>
            <w:noWrap/>
            <w:vAlign w:val="center"/>
          </w:tcPr>
          <w:p w14:paraId="2BCF84BE">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w:t>
            </w:r>
          </w:p>
        </w:tc>
        <w:tc>
          <w:tcPr>
            <w:tcW w:w="1210" w:type="pct"/>
            <w:vMerge w:val="restart"/>
            <w:noWrap/>
            <w:vAlign w:val="center"/>
          </w:tcPr>
          <w:p w14:paraId="279ABFD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国家外汇管理局绥芬河分局</w:t>
            </w:r>
          </w:p>
        </w:tc>
        <w:tc>
          <w:tcPr>
            <w:tcW w:w="608" w:type="pct"/>
            <w:noWrap/>
            <w:vAlign w:val="center"/>
          </w:tcPr>
          <w:p w14:paraId="304B4F5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22E3D0E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9.66E-04</w:t>
            </w:r>
          </w:p>
        </w:tc>
        <w:tc>
          <w:tcPr>
            <w:tcW w:w="699" w:type="pct"/>
            <w:noWrap/>
            <w:vAlign w:val="center"/>
          </w:tcPr>
          <w:p w14:paraId="05903E0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24041711</w:t>
            </w:r>
          </w:p>
        </w:tc>
        <w:tc>
          <w:tcPr>
            <w:tcW w:w="588" w:type="pct"/>
            <w:noWrap/>
            <w:vAlign w:val="center"/>
          </w:tcPr>
          <w:p w14:paraId="3EE45F4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0.19</w:t>
            </w:r>
          </w:p>
        </w:tc>
        <w:tc>
          <w:tcPr>
            <w:tcW w:w="608" w:type="pct"/>
            <w:noWrap/>
            <w:vAlign w:val="center"/>
          </w:tcPr>
          <w:p w14:paraId="1616088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C8A57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366" w:type="pct"/>
            <w:vMerge w:val="continue"/>
            <w:noWrap/>
            <w:vAlign w:val="center"/>
          </w:tcPr>
          <w:p w14:paraId="7C6C2C4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AC339E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BC46E4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4C7135C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2.05E-04</w:t>
            </w:r>
          </w:p>
        </w:tc>
        <w:tc>
          <w:tcPr>
            <w:tcW w:w="699" w:type="pct"/>
            <w:noWrap/>
            <w:vAlign w:val="center"/>
          </w:tcPr>
          <w:p w14:paraId="1238697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240430</w:t>
            </w:r>
          </w:p>
        </w:tc>
        <w:tc>
          <w:tcPr>
            <w:tcW w:w="588" w:type="pct"/>
            <w:noWrap/>
            <w:vAlign w:val="center"/>
          </w:tcPr>
          <w:p w14:paraId="6F69B78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0.14</w:t>
            </w:r>
          </w:p>
        </w:tc>
        <w:tc>
          <w:tcPr>
            <w:tcW w:w="608" w:type="pct"/>
            <w:noWrap/>
            <w:vAlign w:val="center"/>
          </w:tcPr>
          <w:p w14:paraId="034765B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33720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66" w:type="pct"/>
            <w:vMerge w:val="continue"/>
            <w:noWrap/>
            <w:vAlign w:val="center"/>
          </w:tcPr>
          <w:p w14:paraId="3EB8A96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A98570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3C3983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531941B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1.33E-05</w:t>
            </w:r>
          </w:p>
        </w:tc>
        <w:tc>
          <w:tcPr>
            <w:tcW w:w="699" w:type="pct"/>
            <w:noWrap/>
            <w:vAlign w:val="center"/>
          </w:tcPr>
          <w:p w14:paraId="3CE9F37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29B9E9E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4ED534C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070CC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366" w:type="pct"/>
            <w:vMerge w:val="restart"/>
            <w:noWrap/>
            <w:vAlign w:val="center"/>
          </w:tcPr>
          <w:p w14:paraId="2097922B">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w:t>
            </w:r>
          </w:p>
        </w:tc>
        <w:tc>
          <w:tcPr>
            <w:tcW w:w="1210" w:type="pct"/>
            <w:vMerge w:val="restart"/>
            <w:noWrap/>
            <w:vAlign w:val="center"/>
          </w:tcPr>
          <w:p w14:paraId="5E0244F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绥芬河市生态环境局</w:t>
            </w:r>
          </w:p>
        </w:tc>
        <w:tc>
          <w:tcPr>
            <w:tcW w:w="608" w:type="pct"/>
            <w:noWrap/>
            <w:vAlign w:val="center"/>
          </w:tcPr>
          <w:p w14:paraId="702E6B1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6EDE881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8.22E-04</w:t>
            </w:r>
          </w:p>
        </w:tc>
        <w:tc>
          <w:tcPr>
            <w:tcW w:w="699" w:type="pct"/>
            <w:noWrap/>
            <w:vAlign w:val="center"/>
          </w:tcPr>
          <w:p w14:paraId="2AF6FA9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24032012</w:t>
            </w:r>
          </w:p>
        </w:tc>
        <w:tc>
          <w:tcPr>
            <w:tcW w:w="588" w:type="pct"/>
            <w:noWrap/>
            <w:vAlign w:val="center"/>
          </w:tcPr>
          <w:p w14:paraId="51B28A7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0.16</w:t>
            </w:r>
          </w:p>
        </w:tc>
        <w:tc>
          <w:tcPr>
            <w:tcW w:w="608" w:type="pct"/>
            <w:noWrap/>
            <w:vAlign w:val="center"/>
          </w:tcPr>
          <w:p w14:paraId="7C1E442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883B7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366" w:type="pct"/>
            <w:vMerge w:val="continue"/>
            <w:noWrap/>
            <w:vAlign w:val="center"/>
          </w:tcPr>
          <w:p w14:paraId="482BDDD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C8AD8B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4FF961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49D299A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1.09E-04</w:t>
            </w:r>
          </w:p>
        </w:tc>
        <w:tc>
          <w:tcPr>
            <w:tcW w:w="699" w:type="pct"/>
            <w:noWrap/>
            <w:vAlign w:val="center"/>
          </w:tcPr>
          <w:p w14:paraId="76D6D23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240325</w:t>
            </w:r>
          </w:p>
        </w:tc>
        <w:tc>
          <w:tcPr>
            <w:tcW w:w="588" w:type="pct"/>
            <w:noWrap/>
            <w:vAlign w:val="center"/>
          </w:tcPr>
          <w:p w14:paraId="22D0029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404D173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02213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366" w:type="pct"/>
            <w:vMerge w:val="continue"/>
            <w:noWrap/>
            <w:vAlign w:val="center"/>
          </w:tcPr>
          <w:p w14:paraId="68E253E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05B31B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1044AF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6DF657E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2.47E-06</w:t>
            </w:r>
          </w:p>
        </w:tc>
        <w:tc>
          <w:tcPr>
            <w:tcW w:w="699" w:type="pct"/>
            <w:noWrap/>
            <w:vAlign w:val="center"/>
          </w:tcPr>
          <w:p w14:paraId="56F61EB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4AF09F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4D56ECB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BCF22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366" w:type="pct"/>
            <w:vMerge w:val="restart"/>
            <w:noWrap/>
            <w:vAlign w:val="center"/>
          </w:tcPr>
          <w:p w14:paraId="095CE864">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13</w:t>
            </w:r>
          </w:p>
        </w:tc>
        <w:tc>
          <w:tcPr>
            <w:tcW w:w="1210" w:type="pct"/>
            <w:vMerge w:val="restart"/>
            <w:noWrap/>
            <w:vAlign w:val="center"/>
          </w:tcPr>
          <w:p w14:paraId="5542E47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绥芬河市民政局</w:t>
            </w:r>
          </w:p>
        </w:tc>
        <w:tc>
          <w:tcPr>
            <w:tcW w:w="608" w:type="pct"/>
            <w:noWrap/>
            <w:vAlign w:val="center"/>
          </w:tcPr>
          <w:p w14:paraId="2E05951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69268D1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3.00E-04</w:t>
            </w:r>
          </w:p>
        </w:tc>
        <w:tc>
          <w:tcPr>
            <w:tcW w:w="699" w:type="pct"/>
            <w:noWrap/>
            <w:vAlign w:val="center"/>
          </w:tcPr>
          <w:p w14:paraId="6901A9F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24022510</w:t>
            </w:r>
          </w:p>
        </w:tc>
        <w:tc>
          <w:tcPr>
            <w:tcW w:w="588" w:type="pct"/>
            <w:noWrap/>
            <w:vAlign w:val="center"/>
          </w:tcPr>
          <w:p w14:paraId="254F00F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4574735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2D3FB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366" w:type="pct"/>
            <w:vMerge w:val="continue"/>
            <w:noWrap/>
            <w:vAlign w:val="center"/>
          </w:tcPr>
          <w:p w14:paraId="562D244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423A0D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E3CCE5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5A4CF58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1.92E-05</w:t>
            </w:r>
          </w:p>
        </w:tc>
        <w:tc>
          <w:tcPr>
            <w:tcW w:w="699" w:type="pct"/>
            <w:noWrap/>
            <w:vAlign w:val="center"/>
          </w:tcPr>
          <w:p w14:paraId="00A496A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0527F84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6C63FB3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22337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366" w:type="pct"/>
            <w:vMerge w:val="continue"/>
            <w:noWrap/>
            <w:vAlign w:val="center"/>
          </w:tcPr>
          <w:p w14:paraId="0DF9BEE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D9A775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2A4DA4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6E6EA00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3.40E-07</w:t>
            </w:r>
          </w:p>
        </w:tc>
        <w:tc>
          <w:tcPr>
            <w:tcW w:w="699" w:type="pct"/>
            <w:noWrap/>
            <w:vAlign w:val="center"/>
          </w:tcPr>
          <w:p w14:paraId="2D3BA70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2B99A79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7BB5E43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57743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366" w:type="pct"/>
            <w:vMerge w:val="restart"/>
            <w:noWrap/>
            <w:vAlign w:val="center"/>
          </w:tcPr>
          <w:p w14:paraId="2B021B76">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w:t>
            </w:r>
          </w:p>
        </w:tc>
        <w:tc>
          <w:tcPr>
            <w:tcW w:w="1210" w:type="pct"/>
            <w:vMerge w:val="restart"/>
            <w:noWrap/>
            <w:vAlign w:val="center"/>
          </w:tcPr>
          <w:p w14:paraId="7CDFC8F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绥芬河市公安局</w:t>
            </w:r>
          </w:p>
        </w:tc>
        <w:tc>
          <w:tcPr>
            <w:tcW w:w="608" w:type="pct"/>
            <w:noWrap/>
            <w:vAlign w:val="center"/>
          </w:tcPr>
          <w:p w14:paraId="2E400C5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78F6368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4.51E-04</w:t>
            </w:r>
          </w:p>
        </w:tc>
        <w:tc>
          <w:tcPr>
            <w:tcW w:w="699" w:type="pct"/>
            <w:noWrap/>
            <w:vAlign w:val="center"/>
          </w:tcPr>
          <w:p w14:paraId="498B109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24022510</w:t>
            </w:r>
          </w:p>
        </w:tc>
        <w:tc>
          <w:tcPr>
            <w:tcW w:w="588" w:type="pct"/>
            <w:noWrap/>
            <w:vAlign w:val="center"/>
          </w:tcPr>
          <w:p w14:paraId="0A74D1E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0.09</w:t>
            </w:r>
          </w:p>
        </w:tc>
        <w:tc>
          <w:tcPr>
            <w:tcW w:w="608" w:type="pct"/>
            <w:noWrap/>
            <w:vAlign w:val="center"/>
          </w:tcPr>
          <w:p w14:paraId="44967C1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C7CD6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366" w:type="pct"/>
            <w:vMerge w:val="continue"/>
            <w:noWrap/>
            <w:vAlign w:val="center"/>
          </w:tcPr>
          <w:p w14:paraId="31BC592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D40819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6951A3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154FAC5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2.21E-05</w:t>
            </w:r>
          </w:p>
        </w:tc>
        <w:tc>
          <w:tcPr>
            <w:tcW w:w="699" w:type="pct"/>
            <w:noWrap/>
            <w:vAlign w:val="center"/>
          </w:tcPr>
          <w:p w14:paraId="6DB32E1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240416</w:t>
            </w:r>
          </w:p>
        </w:tc>
        <w:tc>
          <w:tcPr>
            <w:tcW w:w="588" w:type="pct"/>
            <w:noWrap/>
            <w:vAlign w:val="center"/>
          </w:tcPr>
          <w:p w14:paraId="00D55ED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6E6E9FD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31625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366" w:type="pct"/>
            <w:vMerge w:val="continue"/>
            <w:noWrap/>
            <w:vAlign w:val="center"/>
          </w:tcPr>
          <w:p w14:paraId="09E9842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A68178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86534E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4D40FA2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4.10E-07</w:t>
            </w:r>
          </w:p>
        </w:tc>
        <w:tc>
          <w:tcPr>
            <w:tcW w:w="699" w:type="pct"/>
            <w:noWrap/>
            <w:vAlign w:val="center"/>
          </w:tcPr>
          <w:p w14:paraId="5FECA6D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3DE034C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21A5619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D81EE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366" w:type="pct"/>
            <w:vMerge w:val="restart"/>
            <w:noWrap/>
            <w:vAlign w:val="center"/>
          </w:tcPr>
          <w:p w14:paraId="39A2F255">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15</w:t>
            </w:r>
          </w:p>
        </w:tc>
        <w:tc>
          <w:tcPr>
            <w:tcW w:w="1210" w:type="pct"/>
            <w:vMerge w:val="restart"/>
            <w:noWrap/>
            <w:vAlign w:val="center"/>
          </w:tcPr>
          <w:p w14:paraId="7F4AD4E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阜宁镇人民政府</w:t>
            </w:r>
          </w:p>
        </w:tc>
        <w:tc>
          <w:tcPr>
            <w:tcW w:w="608" w:type="pct"/>
            <w:noWrap/>
            <w:vAlign w:val="center"/>
          </w:tcPr>
          <w:p w14:paraId="6C1F313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714A31E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3.47E-04</w:t>
            </w:r>
          </w:p>
        </w:tc>
        <w:tc>
          <w:tcPr>
            <w:tcW w:w="699" w:type="pct"/>
            <w:noWrap/>
            <w:vAlign w:val="center"/>
          </w:tcPr>
          <w:p w14:paraId="5892F7F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4B3B87D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096D701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79A85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366" w:type="pct"/>
            <w:vMerge w:val="continue"/>
            <w:noWrap/>
            <w:vAlign w:val="center"/>
          </w:tcPr>
          <w:p w14:paraId="7A88A2B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FA4C72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3ED01A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3683AF0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1.49E-05</w:t>
            </w:r>
          </w:p>
        </w:tc>
        <w:tc>
          <w:tcPr>
            <w:tcW w:w="699" w:type="pct"/>
            <w:noWrap/>
            <w:vAlign w:val="center"/>
          </w:tcPr>
          <w:p w14:paraId="09EBFBE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4CACF99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661F664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D39D7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366" w:type="pct"/>
            <w:vMerge w:val="continue"/>
            <w:noWrap/>
            <w:vAlign w:val="center"/>
          </w:tcPr>
          <w:p w14:paraId="59FF886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663CE2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4EFC19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0C3F4FF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2.30E-07</w:t>
            </w:r>
          </w:p>
        </w:tc>
        <w:tc>
          <w:tcPr>
            <w:tcW w:w="699" w:type="pct"/>
            <w:noWrap/>
            <w:vAlign w:val="center"/>
          </w:tcPr>
          <w:p w14:paraId="6412F86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6C590B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65D993F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A3EED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366" w:type="pct"/>
            <w:vMerge w:val="restart"/>
            <w:noWrap/>
            <w:vAlign w:val="center"/>
          </w:tcPr>
          <w:p w14:paraId="370C256B">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16</w:t>
            </w:r>
          </w:p>
        </w:tc>
        <w:tc>
          <w:tcPr>
            <w:tcW w:w="1210" w:type="pct"/>
            <w:vMerge w:val="restart"/>
            <w:noWrap/>
            <w:vAlign w:val="center"/>
          </w:tcPr>
          <w:p w14:paraId="18598D8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绥芬河市广播电视局</w:t>
            </w:r>
          </w:p>
        </w:tc>
        <w:tc>
          <w:tcPr>
            <w:tcW w:w="608" w:type="pct"/>
            <w:noWrap/>
            <w:vAlign w:val="center"/>
          </w:tcPr>
          <w:p w14:paraId="6BF7685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2CB8D04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8.18E-04</w:t>
            </w:r>
          </w:p>
        </w:tc>
        <w:tc>
          <w:tcPr>
            <w:tcW w:w="699" w:type="pct"/>
            <w:noWrap/>
            <w:vAlign w:val="center"/>
          </w:tcPr>
          <w:p w14:paraId="7AA36AD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24110810</w:t>
            </w:r>
          </w:p>
        </w:tc>
        <w:tc>
          <w:tcPr>
            <w:tcW w:w="588" w:type="pct"/>
            <w:noWrap/>
            <w:vAlign w:val="center"/>
          </w:tcPr>
          <w:p w14:paraId="4B05234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0.16</w:t>
            </w:r>
          </w:p>
        </w:tc>
        <w:tc>
          <w:tcPr>
            <w:tcW w:w="608" w:type="pct"/>
            <w:noWrap/>
            <w:vAlign w:val="center"/>
          </w:tcPr>
          <w:p w14:paraId="4C7F21A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00FC3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366" w:type="pct"/>
            <w:vMerge w:val="continue"/>
            <w:noWrap/>
            <w:vAlign w:val="center"/>
          </w:tcPr>
          <w:p w14:paraId="7BF11D0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28FD44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499B38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782683C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5.55E-05</w:t>
            </w:r>
          </w:p>
        </w:tc>
        <w:tc>
          <w:tcPr>
            <w:tcW w:w="699" w:type="pct"/>
            <w:noWrap/>
            <w:vAlign w:val="center"/>
          </w:tcPr>
          <w:p w14:paraId="56FDFBF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1CF36BB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0.04</w:t>
            </w:r>
          </w:p>
        </w:tc>
        <w:tc>
          <w:tcPr>
            <w:tcW w:w="608" w:type="pct"/>
            <w:noWrap/>
            <w:vAlign w:val="center"/>
          </w:tcPr>
          <w:p w14:paraId="307F65D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4EA8F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366" w:type="pct"/>
            <w:vMerge w:val="continue"/>
            <w:noWrap/>
            <w:vAlign w:val="center"/>
          </w:tcPr>
          <w:p w14:paraId="2E49D51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906487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8259C4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2B42CB1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1.76E-06</w:t>
            </w:r>
          </w:p>
        </w:tc>
        <w:tc>
          <w:tcPr>
            <w:tcW w:w="699" w:type="pct"/>
            <w:noWrap/>
            <w:vAlign w:val="center"/>
          </w:tcPr>
          <w:p w14:paraId="4DBE677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7F6BD3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790E1D6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6D9D5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366" w:type="pct"/>
            <w:vMerge w:val="restart"/>
            <w:noWrap/>
            <w:vAlign w:val="center"/>
          </w:tcPr>
          <w:p w14:paraId="3DB2D549">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17</w:t>
            </w:r>
          </w:p>
        </w:tc>
        <w:tc>
          <w:tcPr>
            <w:tcW w:w="1210" w:type="pct"/>
            <w:vMerge w:val="restart"/>
            <w:noWrap/>
            <w:vAlign w:val="center"/>
          </w:tcPr>
          <w:p w14:paraId="5E84AF8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红太阳未来星幼儿园</w:t>
            </w:r>
          </w:p>
        </w:tc>
        <w:tc>
          <w:tcPr>
            <w:tcW w:w="608" w:type="pct"/>
            <w:noWrap/>
            <w:vAlign w:val="center"/>
          </w:tcPr>
          <w:p w14:paraId="3F27547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198BB22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8.00E-04</w:t>
            </w:r>
          </w:p>
        </w:tc>
        <w:tc>
          <w:tcPr>
            <w:tcW w:w="699" w:type="pct"/>
            <w:noWrap/>
            <w:vAlign w:val="center"/>
          </w:tcPr>
          <w:p w14:paraId="4F9B9A7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24042212</w:t>
            </w:r>
          </w:p>
        </w:tc>
        <w:tc>
          <w:tcPr>
            <w:tcW w:w="588" w:type="pct"/>
            <w:noWrap/>
            <w:vAlign w:val="center"/>
          </w:tcPr>
          <w:p w14:paraId="2C5B3EF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0.16</w:t>
            </w:r>
          </w:p>
        </w:tc>
        <w:tc>
          <w:tcPr>
            <w:tcW w:w="608" w:type="pct"/>
            <w:noWrap/>
            <w:vAlign w:val="center"/>
          </w:tcPr>
          <w:p w14:paraId="790588B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7FECF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366" w:type="pct"/>
            <w:vMerge w:val="continue"/>
            <w:noWrap/>
            <w:vAlign w:val="center"/>
          </w:tcPr>
          <w:p w14:paraId="38B4AFA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D8CB29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58160F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3035B86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1.18E-04</w:t>
            </w:r>
          </w:p>
        </w:tc>
        <w:tc>
          <w:tcPr>
            <w:tcW w:w="699" w:type="pct"/>
            <w:noWrap/>
            <w:vAlign w:val="center"/>
          </w:tcPr>
          <w:p w14:paraId="449610C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7B6192E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4BA3EFB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4933F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366" w:type="pct"/>
            <w:vMerge w:val="continue"/>
            <w:noWrap/>
            <w:vAlign w:val="center"/>
          </w:tcPr>
          <w:p w14:paraId="58D2977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EF3B25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B786FD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2F3898B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3.18E-06</w:t>
            </w:r>
          </w:p>
        </w:tc>
        <w:tc>
          <w:tcPr>
            <w:tcW w:w="699" w:type="pct"/>
            <w:noWrap/>
            <w:vAlign w:val="center"/>
          </w:tcPr>
          <w:p w14:paraId="67C0D58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3DCDE52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631DBC1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20ED0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366" w:type="pct"/>
            <w:vMerge w:val="restart"/>
            <w:noWrap/>
            <w:vAlign w:val="center"/>
          </w:tcPr>
          <w:p w14:paraId="3395E015">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w:t>
            </w:r>
          </w:p>
        </w:tc>
        <w:tc>
          <w:tcPr>
            <w:tcW w:w="1210" w:type="pct"/>
            <w:vMerge w:val="restart"/>
            <w:noWrap/>
            <w:vAlign w:val="center"/>
          </w:tcPr>
          <w:p w14:paraId="05C5FF6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金恒基小学</w:t>
            </w:r>
          </w:p>
        </w:tc>
        <w:tc>
          <w:tcPr>
            <w:tcW w:w="608" w:type="pct"/>
            <w:noWrap/>
            <w:vAlign w:val="center"/>
          </w:tcPr>
          <w:p w14:paraId="7679C7E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33F9D38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6.54E-04</w:t>
            </w:r>
          </w:p>
        </w:tc>
        <w:tc>
          <w:tcPr>
            <w:tcW w:w="699" w:type="pct"/>
            <w:noWrap/>
            <w:vAlign w:val="center"/>
          </w:tcPr>
          <w:p w14:paraId="3A2D5D6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5D32A6E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0.13</w:t>
            </w:r>
          </w:p>
        </w:tc>
        <w:tc>
          <w:tcPr>
            <w:tcW w:w="608" w:type="pct"/>
            <w:noWrap/>
            <w:vAlign w:val="center"/>
          </w:tcPr>
          <w:p w14:paraId="11A9084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17743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366" w:type="pct"/>
            <w:vMerge w:val="continue"/>
            <w:noWrap/>
            <w:vAlign w:val="center"/>
          </w:tcPr>
          <w:p w14:paraId="4CC3B72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F28822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68BCA4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01FCF49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7.58E-05</w:t>
            </w:r>
          </w:p>
        </w:tc>
        <w:tc>
          <w:tcPr>
            <w:tcW w:w="699" w:type="pct"/>
            <w:noWrap/>
            <w:vAlign w:val="center"/>
          </w:tcPr>
          <w:p w14:paraId="75AC136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2333E5B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378A8F8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A6C5F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366" w:type="pct"/>
            <w:vMerge w:val="continue"/>
            <w:noWrap/>
            <w:vAlign w:val="center"/>
          </w:tcPr>
          <w:p w14:paraId="1A6584B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A57145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468B1A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7E4D77D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9.80E-07</w:t>
            </w:r>
          </w:p>
        </w:tc>
        <w:tc>
          <w:tcPr>
            <w:tcW w:w="699" w:type="pct"/>
            <w:noWrap/>
            <w:vAlign w:val="center"/>
          </w:tcPr>
          <w:p w14:paraId="29014E4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6C03B12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06F5E7B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CB518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366" w:type="pct"/>
            <w:vMerge w:val="restart"/>
            <w:noWrap/>
            <w:vAlign w:val="center"/>
          </w:tcPr>
          <w:p w14:paraId="50959531">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19</w:t>
            </w:r>
          </w:p>
        </w:tc>
        <w:tc>
          <w:tcPr>
            <w:tcW w:w="1210" w:type="pct"/>
            <w:vMerge w:val="restart"/>
            <w:noWrap/>
            <w:vAlign w:val="center"/>
          </w:tcPr>
          <w:p w14:paraId="610A026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弘孟幼儿园</w:t>
            </w:r>
          </w:p>
        </w:tc>
        <w:tc>
          <w:tcPr>
            <w:tcW w:w="608" w:type="pct"/>
            <w:noWrap/>
            <w:vAlign w:val="center"/>
          </w:tcPr>
          <w:p w14:paraId="5892E64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06CEFAB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6.02E-04</w:t>
            </w:r>
          </w:p>
        </w:tc>
        <w:tc>
          <w:tcPr>
            <w:tcW w:w="699" w:type="pct"/>
            <w:noWrap/>
            <w:vAlign w:val="center"/>
          </w:tcPr>
          <w:p w14:paraId="4C69446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3AEE3F6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0.12</w:t>
            </w:r>
          </w:p>
        </w:tc>
        <w:tc>
          <w:tcPr>
            <w:tcW w:w="608" w:type="pct"/>
            <w:noWrap/>
            <w:vAlign w:val="center"/>
          </w:tcPr>
          <w:p w14:paraId="6061267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664A0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366" w:type="pct"/>
            <w:vMerge w:val="continue"/>
            <w:noWrap/>
            <w:vAlign w:val="center"/>
          </w:tcPr>
          <w:p w14:paraId="2365516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45871B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A404B8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7F2F182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8.03E-05</w:t>
            </w:r>
          </w:p>
        </w:tc>
        <w:tc>
          <w:tcPr>
            <w:tcW w:w="699" w:type="pct"/>
            <w:noWrap/>
            <w:vAlign w:val="center"/>
          </w:tcPr>
          <w:p w14:paraId="1236D9A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791900B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7CC2A6C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37834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366" w:type="pct"/>
            <w:vMerge w:val="continue"/>
            <w:noWrap/>
            <w:vAlign w:val="center"/>
          </w:tcPr>
          <w:p w14:paraId="0449A12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D26ECD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1D9838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3944FDC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1.08E-06</w:t>
            </w:r>
          </w:p>
        </w:tc>
        <w:tc>
          <w:tcPr>
            <w:tcW w:w="699" w:type="pct"/>
            <w:noWrap/>
            <w:vAlign w:val="center"/>
          </w:tcPr>
          <w:p w14:paraId="56C60B6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102171B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7A0D0FB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FD383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366" w:type="pct"/>
            <w:vMerge w:val="restart"/>
            <w:noWrap/>
            <w:vAlign w:val="center"/>
          </w:tcPr>
          <w:p w14:paraId="5B4C8FCA">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20</w:t>
            </w:r>
          </w:p>
        </w:tc>
        <w:tc>
          <w:tcPr>
            <w:tcW w:w="1210" w:type="pct"/>
            <w:vMerge w:val="restart"/>
            <w:noWrap/>
            <w:vAlign w:val="center"/>
          </w:tcPr>
          <w:p w14:paraId="4C10A0C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红太阳幼儿园</w:t>
            </w:r>
          </w:p>
        </w:tc>
        <w:tc>
          <w:tcPr>
            <w:tcW w:w="608" w:type="pct"/>
            <w:noWrap/>
            <w:vAlign w:val="center"/>
          </w:tcPr>
          <w:p w14:paraId="6186660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4C8E803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9.25E-04</w:t>
            </w:r>
          </w:p>
        </w:tc>
        <w:tc>
          <w:tcPr>
            <w:tcW w:w="699" w:type="pct"/>
            <w:noWrap/>
            <w:vAlign w:val="center"/>
          </w:tcPr>
          <w:p w14:paraId="43EC78B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24032514</w:t>
            </w:r>
          </w:p>
        </w:tc>
        <w:tc>
          <w:tcPr>
            <w:tcW w:w="588" w:type="pct"/>
            <w:noWrap/>
            <w:vAlign w:val="center"/>
          </w:tcPr>
          <w:p w14:paraId="2986B2C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0.19</w:t>
            </w:r>
          </w:p>
        </w:tc>
        <w:tc>
          <w:tcPr>
            <w:tcW w:w="608" w:type="pct"/>
            <w:noWrap/>
            <w:vAlign w:val="center"/>
          </w:tcPr>
          <w:p w14:paraId="22A618C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99744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366" w:type="pct"/>
            <w:vMerge w:val="continue"/>
            <w:noWrap/>
            <w:vAlign w:val="center"/>
          </w:tcPr>
          <w:p w14:paraId="7A453A0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FF8172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E2AF83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1CC59A1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1.53E-04</w:t>
            </w:r>
          </w:p>
        </w:tc>
        <w:tc>
          <w:tcPr>
            <w:tcW w:w="699" w:type="pct"/>
            <w:noWrap/>
            <w:vAlign w:val="center"/>
          </w:tcPr>
          <w:p w14:paraId="79BDD4E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240325</w:t>
            </w:r>
          </w:p>
        </w:tc>
        <w:tc>
          <w:tcPr>
            <w:tcW w:w="588" w:type="pct"/>
            <w:noWrap/>
            <w:vAlign w:val="center"/>
          </w:tcPr>
          <w:p w14:paraId="629A3D7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0.10</w:t>
            </w:r>
          </w:p>
        </w:tc>
        <w:tc>
          <w:tcPr>
            <w:tcW w:w="608" w:type="pct"/>
            <w:noWrap/>
            <w:vAlign w:val="center"/>
          </w:tcPr>
          <w:p w14:paraId="6B7308D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8EA38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366" w:type="pct"/>
            <w:vMerge w:val="continue"/>
            <w:noWrap/>
            <w:vAlign w:val="center"/>
          </w:tcPr>
          <w:p w14:paraId="768F0D7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B616FA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0319E8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54351F1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3.86E-06</w:t>
            </w:r>
          </w:p>
        </w:tc>
        <w:tc>
          <w:tcPr>
            <w:tcW w:w="699" w:type="pct"/>
            <w:noWrap/>
            <w:vAlign w:val="center"/>
          </w:tcPr>
          <w:p w14:paraId="2834682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B31CED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281D391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DBA6D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366" w:type="pct"/>
            <w:vMerge w:val="restart"/>
            <w:noWrap/>
            <w:vAlign w:val="center"/>
          </w:tcPr>
          <w:p w14:paraId="7B81FC6E">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21</w:t>
            </w:r>
          </w:p>
        </w:tc>
        <w:tc>
          <w:tcPr>
            <w:tcW w:w="1210" w:type="pct"/>
            <w:vMerge w:val="restart"/>
            <w:noWrap/>
            <w:vAlign w:val="center"/>
          </w:tcPr>
          <w:p w14:paraId="39FEF74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千里幼稚园</w:t>
            </w:r>
          </w:p>
        </w:tc>
        <w:tc>
          <w:tcPr>
            <w:tcW w:w="608" w:type="pct"/>
            <w:noWrap/>
            <w:vAlign w:val="center"/>
          </w:tcPr>
          <w:p w14:paraId="686DD48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0A7EDE8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1.06E-03</w:t>
            </w:r>
          </w:p>
        </w:tc>
        <w:tc>
          <w:tcPr>
            <w:tcW w:w="699" w:type="pct"/>
            <w:noWrap/>
            <w:vAlign w:val="center"/>
          </w:tcPr>
          <w:p w14:paraId="669524A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24110810</w:t>
            </w:r>
          </w:p>
        </w:tc>
        <w:tc>
          <w:tcPr>
            <w:tcW w:w="588" w:type="pct"/>
            <w:noWrap/>
            <w:vAlign w:val="center"/>
          </w:tcPr>
          <w:p w14:paraId="6EB754F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0.21</w:t>
            </w:r>
          </w:p>
        </w:tc>
        <w:tc>
          <w:tcPr>
            <w:tcW w:w="608" w:type="pct"/>
            <w:noWrap/>
            <w:vAlign w:val="center"/>
          </w:tcPr>
          <w:p w14:paraId="4ED2A08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4FE82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366" w:type="pct"/>
            <w:vMerge w:val="continue"/>
            <w:noWrap/>
            <w:vAlign w:val="center"/>
          </w:tcPr>
          <w:p w14:paraId="6CEA075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07C6D9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59D189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0CFED6B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1.22E-04</w:t>
            </w:r>
          </w:p>
        </w:tc>
        <w:tc>
          <w:tcPr>
            <w:tcW w:w="699" w:type="pct"/>
            <w:noWrap/>
            <w:vAlign w:val="center"/>
          </w:tcPr>
          <w:p w14:paraId="3CD05EB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36868AB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435456C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F52DF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366" w:type="pct"/>
            <w:vMerge w:val="continue"/>
            <w:noWrap/>
            <w:vAlign w:val="center"/>
          </w:tcPr>
          <w:p w14:paraId="1A4444A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A2842A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915915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218834B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4.84E-06</w:t>
            </w:r>
          </w:p>
        </w:tc>
        <w:tc>
          <w:tcPr>
            <w:tcW w:w="699" w:type="pct"/>
            <w:noWrap/>
            <w:vAlign w:val="center"/>
          </w:tcPr>
          <w:p w14:paraId="66BA8E9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A8C7F7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7C8B9EE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D9636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 w:hRule="atLeast"/>
          <w:jc w:val="center"/>
        </w:trPr>
        <w:tc>
          <w:tcPr>
            <w:tcW w:w="366" w:type="pct"/>
            <w:vMerge w:val="restart"/>
            <w:noWrap/>
            <w:vAlign w:val="center"/>
          </w:tcPr>
          <w:p w14:paraId="491C2E6E">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22</w:t>
            </w:r>
          </w:p>
        </w:tc>
        <w:tc>
          <w:tcPr>
            <w:tcW w:w="1210" w:type="pct"/>
            <w:vMerge w:val="restart"/>
            <w:noWrap/>
            <w:vAlign w:val="center"/>
          </w:tcPr>
          <w:p w14:paraId="2E5A405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绥芬河市第一中学</w:t>
            </w:r>
          </w:p>
        </w:tc>
        <w:tc>
          <w:tcPr>
            <w:tcW w:w="608" w:type="pct"/>
            <w:noWrap/>
            <w:vAlign w:val="center"/>
          </w:tcPr>
          <w:p w14:paraId="6DA25A5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6549F08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8.69E-04</w:t>
            </w:r>
          </w:p>
        </w:tc>
        <w:tc>
          <w:tcPr>
            <w:tcW w:w="699" w:type="pct"/>
            <w:noWrap/>
            <w:vAlign w:val="center"/>
          </w:tcPr>
          <w:p w14:paraId="6FB2D5E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24110810</w:t>
            </w:r>
          </w:p>
        </w:tc>
        <w:tc>
          <w:tcPr>
            <w:tcW w:w="588" w:type="pct"/>
            <w:noWrap/>
            <w:vAlign w:val="center"/>
          </w:tcPr>
          <w:p w14:paraId="6961B2B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0.17</w:t>
            </w:r>
          </w:p>
        </w:tc>
        <w:tc>
          <w:tcPr>
            <w:tcW w:w="608" w:type="pct"/>
            <w:noWrap/>
            <w:vAlign w:val="center"/>
          </w:tcPr>
          <w:p w14:paraId="6017E42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B1D27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366" w:type="pct"/>
            <w:vMerge w:val="continue"/>
            <w:noWrap/>
            <w:vAlign w:val="center"/>
          </w:tcPr>
          <w:p w14:paraId="16DA40E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CB4D51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7EA703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7E371A1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1.29E-04</w:t>
            </w:r>
          </w:p>
        </w:tc>
        <w:tc>
          <w:tcPr>
            <w:tcW w:w="699" w:type="pct"/>
            <w:noWrap/>
            <w:vAlign w:val="center"/>
          </w:tcPr>
          <w:p w14:paraId="0ABD843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45994C0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0.09</w:t>
            </w:r>
          </w:p>
        </w:tc>
        <w:tc>
          <w:tcPr>
            <w:tcW w:w="608" w:type="pct"/>
            <w:noWrap/>
            <w:vAlign w:val="center"/>
          </w:tcPr>
          <w:p w14:paraId="1B67DF7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A269A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366" w:type="pct"/>
            <w:vMerge w:val="continue"/>
            <w:noWrap/>
            <w:vAlign w:val="center"/>
          </w:tcPr>
          <w:p w14:paraId="0236E3C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E62E8A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6E45C8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096EF2F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7.25E-06</w:t>
            </w:r>
          </w:p>
        </w:tc>
        <w:tc>
          <w:tcPr>
            <w:tcW w:w="699" w:type="pct"/>
            <w:noWrap/>
            <w:vAlign w:val="center"/>
          </w:tcPr>
          <w:p w14:paraId="60AE568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2C7735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7BB311A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BC5C9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366" w:type="pct"/>
            <w:vMerge w:val="restart"/>
            <w:noWrap/>
            <w:vAlign w:val="center"/>
          </w:tcPr>
          <w:p w14:paraId="187670CD">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23</w:t>
            </w:r>
          </w:p>
        </w:tc>
        <w:tc>
          <w:tcPr>
            <w:tcW w:w="1210" w:type="pct"/>
            <w:vMerge w:val="restart"/>
            <w:noWrap/>
            <w:vAlign w:val="center"/>
          </w:tcPr>
          <w:p w14:paraId="3DCEBE1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商都幼儿园</w:t>
            </w:r>
          </w:p>
        </w:tc>
        <w:tc>
          <w:tcPr>
            <w:tcW w:w="608" w:type="pct"/>
            <w:noWrap/>
            <w:vAlign w:val="center"/>
          </w:tcPr>
          <w:p w14:paraId="7F1148A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4BC4255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7.27E-04</w:t>
            </w:r>
          </w:p>
        </w:tc>
        <w:tc>
          <w:tcPr>
            <w:tcW w:w="699" w:type="pct"/>
            <w:noWrap/>
            <w:vAlign w:val="center"/>
          </w:tcPr>
          <w:p w14:paraId="5294EA0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588" w:type="pct"/>
            <w:noWrap/>
            <w:vAlign w:val="center"/>
          </w:tcPr>
          <w:p w14:paraId="30F1E05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0.15</w:t>
            </w:r>
          </w:p>
        </w:tc>
        <w:tc>
          <w:tcPr>
            <w:tcW w:w="608" w:type="pct"/>
            <w:noWrap/>
            <w:vAlign w:val="center"/>
          </w:tcPr>
          <w:p w14:paraId="0C38E47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20D68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366" w:type="pct"/>
            <w:vMerge w:val="continue"/>
            <w:noWrap/>
            <w:vAlign w:val="center"/>
          </w:tcPr>
          <w:p w14:paraId="52E4F79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A282B2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6948FB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07AA0CE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1.21E-04</w:t>
            </w:r>
          </w:p>
        </w:tc>
        <w:tc>
          <w:tcPr>
            <w:tcW w:w="699" w:type="pct"/>
            <w:noWrap/>
            <w:vAlign w:val="center"/>
          </w:tcPr>
          <w:p w14:paraId="6882B74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240317</w:t>
            </w:r>
          </w:p>
        </w:tc>
        <w:tc>
          <w:tcPr>
            <w:tcW w:w="588" w:type="pct"/>
            <w:noWrap/>
            <w:vAlign w:val="center"/>
          </w:tcPr>
          <w:p w14:paraId="5297B55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781A8A1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8841F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366" w:type="pct"/>
            <w:vMerge w:val="continue"/>
            <w:noWrap/>
            <w:vAlign w:val="center"/>
          </w:tcPr>
          <w:p w14:paraId="76636D8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D079BD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E05D03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54A8EF8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8.03E-06</w:t>
            </w:r>
          </w:p>
        </w:tc>
        <w:tc>
          <w:tcPr>
            <w:tcW w:w="699" w:type="pct"/>
            <w:noWrap/>
            <w:vAlign w:val="center"/>
          </w:tcPr>
          <w:p w14:paraId="3B54976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5A9E18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4234469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00850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366" w:type="pct"/>
            <w:vMerge w:val="restart"/>
            <w:noWrap/>
            <w:vAlign w:val="center"/>
          </w:tcPr>
          <w:p w14:paraId="21713674">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w:t>
            </w:r>
          </w:p>
        </w:tc>
        <w:tc>
          <w:tcPr>
            <w:tcW w:w="1210" w:type="pct"/>
            <w:vMerge w:val="restart"/>
            <w:noWrap/>
            <w:vAlign w:val="center"/>
          </w:tcPr>
          <w:p w14:paraId="085042E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绥芬河市少年儿童业余体校</w:t>
            </w:r>
          </w:p>
        </w:tc>
        <w:tc>
          <w:tcPr>
            <w:tcW w:w="608" w:type="pct"/>
            <w:noWrap/>
            <w:vAlign w:val="center"/>
          </w:tcPr>
          <w:p w14:paraId="295831B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0C73F2D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4.25E-04</w:t>
            </w:r>
          </w:p>
        </w:tc>
        <w:tc>
          <w:tcPr>
            <w:tcW w:w="699" w:type="pct"/>
            <w:noWrap/>
            <w:vAlign w:val="center"/>
          </w:tcPr>
          <w:p w14:paraId="6DCC6BB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68853D5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19D2679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CAFBC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366" w:type="pct"/>
            <w:vMerge w:val="continue"/>
            <w:noWrap/>
            <w:vAlign w:val="center"/>
          </w:tcPr>
          <w:p w14:paraId="2CDBABE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1F4F58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DDA888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7F8EB60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2.18E-05</w:t>
            </w:r>
          </w:p>
        </w:tc>
        <w:tc>
          <w:tcPr>
            <w:tcW w:w="699" w:type="pct"/>
            <w:noWrap/>
            <w:vAlign w:val="center"/>
          </w:tcPr>
          <w:p w14:paraId="0430DB4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5095A53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071F4F8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C684B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366" w:type="pct"/>
            <w:vMerge w:val="continue"/>
            <w:noWrap/>
            <w:vAlign w:val="center"/>
          </w:tcPr>
          <w:p w14:paraId="17688F7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BAAFD1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92D81B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548593E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2.90E-07</w:t>
            </w:r>
          </w:p>
        </w:tc>
        <w:tc>
          <w:tcPr>
            <w:tcW w:w="699" w:type="pct"/>
            <w:noWrap/>
            <w:vAlign w:val="center"/>
          </w:tcPr>
          <w:p w14:paraId="220B658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3825AB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637D316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6F9A4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366" w:type="pct"/>
            <w:vMerge w:val="restart"/>
            <w:noWrap/>
            <w:vAlign w:val="center"/>
          </w:tcPr>
          <w:p w14:paraId="35F94D1F">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25</w:t>
            </w:r>
          </w:p>
        </w:tc>
        <w:tc>
          <w:tcPr>
            <w:tcW w:w="1210" w:type="pct"/>
            <w:vMerge w:val="restart"/>
            <w:noWrap/>
            <w:vAlign w:val="center"/>
          </w:tcPr>
          <w:p w14:paraId="6F0B804B">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绥芬河市第二中学</w:t>
            </w:r>
          </w:p>
        </w:tc>
        <w:tc>
          <w:tcPr>
            <w:tcW w:w="608" w:type="pct"/>
            <w:noWrap/>
            <w:vAlign w:val="center"/>
          </w:tcPr>
          <w:p w14:paraId="67BCDB8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52DCFC9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3.97E-04</w:t>
            </w:r>
          </w:p>
        </w:tc>
        <w:tc>
          <w:tcPr>
            <w:tcW w:w="699" w:type="pct"/>
            <w:noWrap/>
            <w:vAlign w:val="center"/>
          </w:tcPr>
          <w:p w14:paraId="515F5CD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5EA679E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02F3258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70B43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366" w:type="pct"/>
            <w:vMerge w:val="continue"/>
            <w:noWrap/>
            <w:vAlign w:val="center"/>
          </w:tcPr>
          <w:p w14:paraId="62823B0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CA25FB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D93C47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5655A26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1.72E-05</w:t>
            </w:r>
          </w:p>
        </w:tc>
        <w:tc>
          <w:tcPr>
            <w:tcW w:w="699" w:type="pct"/>
            <w:noWrap/>
            <w:vAlign w:val="center"/>
          </w:tcPr>
          <w:p w14:paraId="7E0CA92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2B70EA0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2FA7065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5C868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366" w:type="pct"/>
            <w:vMerge w:val="continue"/>
            <w:noWrap/>
            <w:vAlign w:val="center"/>
          </w:tcPr>
          <w:p w14:paraId="0B71DC8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327F01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8AFD12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50665BE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2.40E-07</w:t>
            </w:r>
          </w:p>
        </w:tc>
        <w:tc>
          <w:tcPr>
            <w:tcW w:w="699" w:type="pct"/>
            <w:noWrap/>
            <w:vAlign w:val="center"/>
          </w:tcPr>
          <w:p w14:paraId="5C7CE4D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F7AA5E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4E19FC1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C3726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366" w:type="pct"/>
            <w:vMerge w:val="restart"/>
            <w:noWrap/>
            <w:vAlign w:val="center"/>
          </w:tcPr>
          <w:p w14:paraId="6B571BEE">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26</w:t>
            </w:r>
          </w:p>
        </w:tc>
        <w:tc>
          <w:tcPr>
            <w:tcW w:w="1210" w:type="pct"/>
            <w:vMerge w:val="restart"/>
            <w:noWrap/>
            <w:vAlign w:val="center"/>
          </w:tcPr>
          <w:p w14:paraId="01D5F5F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绥芬河市第三中学</w:t>
            </w:r>
          </w:p>
        </w:tc>
        <w:tc>
          <w:tcPr>
            <w:tcW w:w="608" w:type="pct"/>
            <w:noWrap/>
            <w:vAlign w:val="center"/>
          </w:tcPr>
          <w:p w14:paraId="1FB00B4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55204DE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9.29E-04</w:t>
            </w:r>
          </w:p>
        </w:tc>
        <w:tc>
          <w:tcPr>
            <w:tcW w:w="699" w:type="pct"/>
            <w:noWrap/>
            <w:vAlign w:val="center"/>
          </w:tcPr>
          <w:p w14:paraId="2287C16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24110810</w:t>
            </w:r>
          </w:p>
        </w:tc>
        <w:tc>
          <w:tcPr>
            <w:tcW w:w="588" w:type="pct"/>
            <w:noWrap/>
            <w:vAlign w:val="center"/>
          </w:tcPr>
          <w:p w14:paraId="4CAD4F9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0.19</w:t>
            </w:r>
          </w:p>
        </w:tc>
        <w:tc>
          <w:tcPr>
            <w:tcW w:w="608" w:type="pct"/>
            <w:noWrap/>
            <w:vAlign w:val="center"/>
          </w:tcPr>
          <w:p w14:paraId="1F9A865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BF037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366" w:type="pct"/>
            <w:vMerge w:val="continue"/>
            <w:noWrap/>
            <w:vAlign w:val="center"/>
          </w:tcPr>
          <w:p w14:paraId="5215BAB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85AA62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8F6FA7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1C16BB3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6.74E-05</w:t>
            </w:r>
          </w:p>
        </w:tc>
        <w:tc>
          <w:tcPr>
            <w:tcW w:w="699" w:type="pct"/>
            <w:noWrap/>
            <w:vAlign w:val="center"/>
          </w:tcPr>
          <w:p w14:paraId="1A19508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0A8FB95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0.04</w:t>
            </w:r>
          </w:p>
        </w:tc>
        <w:tc>
          <w:tcPr>
            <w:tcW w:w="608" w:type="pct"/>
            <w:noWrap/>
            <w:vAlign w:val="center"/>
          </w:tcPr>
          <w:p w14:paraId="729BDB7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299BC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366" w:type="pct"/>
            <w:vMerge w:val="continue"/>
            <w:noWrap/>
            <w:vAlign w:val="center"/>
          </w:tcPr>
          <w:p w14:paraId="5BE575B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73DD8F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9BB52F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72BB17C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2.34E-06</w:t>
            </w:r>
          </w:p>
        </w:tc>
        <w:tc>
          <w:tcPr>
            <w:tcW w:w="699" w:type="pct"/>
            <w:noWrap/>
            <w:vAlign w:val="center"/>
          </w:tcPr>
          <w:p w14:paraId="0720AB7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65ADE9B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33321F5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A21A2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366" w:type="pct"/>
            <w:vMerge w:val="restart"/>
            <w:noWrap/>
            <w:vAlign w:val="center"/>
          </w:tcPr>
          <w:p w14:paraId="7FC91406">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w:t>
            </w:r>
          </w:p>
        </w:tc>
        <w:tc>
          <w:tcPr>
            <w:tcW w:w="1210" w:type="pct"/>
            <w:vMerge w:val="restart"/>
            <w:noWrap/>
            <w:vAlign w:val="center"/>
          </w:tcPr>
          <w:p w14:paraId="0A09184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旅游局家属楼</w:t>
            </w:r>
          </w:p>
        </w:tc>
        <w:tc>
          <w:tcPr>
            <w:tcW w:w="608" w:type="pct"/>
            <w:noWrap/>
            <w:vAlign w:val="center"/>
          </w:tcPr>
          <w:p w14:paraId="52B150F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01BFD56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3.68E-04</w:t>
            </w:r>
          </w:p>
        </w:tc>
        <w:tc>
          <w:tcPr>
            <w:tcW w:w="699" w:type="pct"/>
            <w:noWrap/>
            <w:vAlign w:val="center"/>
          </w:tcPr>
          <w:p w14:paraId="58A95AE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24022814</w:t>
            </w:r>
          </w:p>
        </w:tc>
        <w:tc>
          <w:tcPr>
            <w:tcW w:w="588" w:type="pct"/>
            <w:noWrap/>
            <w:vAlign w:val="center"/>
          </w:tcPr>
          <w:p w14:paraId="313247C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5FFDAB0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27066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366" w:type="pct"/>
            <w:vMerge w:val="continue"/>
            <w:noWrap/>
            <w:vAlign w:val="center"/>
          </w:tcPr>
          <w:p w14:paraId="2D7A4A7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0EDCF6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252612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24AC602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1.54E-05</w:t>
            </w:r>
          </w:p>
        </w:tc>
        <w:tc>
          <w:tcPr>
            <w:tcW w:w="699" w:type="pct"/>
            <w:noWrap/>
            <w:vAlign w:val="center"/>
          </w:tcPr>
          <w:p w14:paraId="550C4C9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240228</w:t>
            </w:r>
          </w:p>
        </w:tc>
        <w:tc>
          <w:tcPr>
            <w:tcW w:w="588" w:type="pct"/>
            <w:noWrap/>
            <w:vAlign w:val="center"/>
          </w:tcPr>
          <w:p w14:paraId="4FF84A4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2D66A44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58050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366" w:type="pct"/>
            <w:vMerge w:val="continue"/>
            <w:noWrap/>
            <w:vAlign w:val="center"/>
          </w:tcPr>
          <w:p w14:paraId="62DFC98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122655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D899E5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1585EC1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3.00E-07</w:t>
            </w:r>
          </w:p>
        </w:tc>
        <w:tc>
          <w:tcPr>
            <w:tcW w:w="699" w:type="pct"/>
            <w:noWrap/>
            <w:vAlign w:val="center"/>
          </w:tcPr>
          <w:p w14:paraId="02C844E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03D27F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2BC619C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ADBDA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366" w:type="pct"/>
            <w:vMerge w:val="restart"/>
            <w:noWrap/>
            <w:vAlign w:val="center"/>
          </w:tcPr>
          <w:p w14:paraId="2789668A">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w:t>
            </w:r>
          </w:p>
        </w:tc>
        <w:tc>
          <w:tcPr>
            <w:tcW w:w="1210" w:type="pct"/>
            <w:vMerge w:val="restart"/>
            <w:noWrap/>
            <w:vAlign w:val="center"/>
          </w:tcPr>
          <w:p w14:paraId="4DA35C3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新安幸福嘉园</w:t>
            </w:r>
          </w:p>
        </w:tc>
        <w:tc>
          <w:tcPr>
            <w:tcW w:w="608" w:type="pct"/>
            <w:noWrap/>
            <w:vAlign w:val="center"/>
          </w:tcPr>
          <w:p w14:paraId="1166064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3D191EB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6.22E-04</w:t>
            </w:r>
          </w:p>
        </w:tc>
        <w:tc>
          <w:tcPr>
            <w:tcW w:w="699" w:type="pct"/>
            <w:noWrap/>
            <w:vAlign w:val="center"/>
          </w:tcPr>
          <w:p w14:paraId="3473787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24031912</w:t>
            </w:r>
          </w:p>
        </w:tc>
        <w:tc>
          <w:tcPr>
            <w:tcW w:w="588" w:type="pct"/>
            <w:noWrap/>
            <w:vAlign w:val="center"/>
          </w:tcPr>
          <w:p w14:paraId="6681F73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0.12</w:t>
            </w:r>
          </w:p>
        </w:tc>
        <w:tc>
          <w:tcPr>
            <w:tcW w:w="608" w:type="pct"/>
            <w:noWrap/>
            <w:vAlign w:val="center"/>
          </w:tcPr>
          <w:p w14:paraId="3941FE9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B59AC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366" w:type="pct"/>
            <w:vMerge w:val="continue"/>
            <w:noWrap/>
            <w:vAlign w:val="center"/>
          </w:tcPr>
          <w:p w14:paraId="734D093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D00121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C2F3D2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5E7EC9A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4.47E-05</w:t>
            </w:r>
          </w:p>
        </w:tc>
        <w:tc>
          <w:tcPr>
            <w:tcW w:w="699" w:type="pct"/>
            <w:noWrap/>
            <w:vAlign w:val="center"/>
          </w:tcPr>
          <w:p w14:paraId="027B148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440FC6A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6C53719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2C21F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 w:hRule="atLeast"/>
          <w:jc w:val="center"/>
        </w:trPr>
        <w:tc>
          <w:tcPr>
            <w:tcW w:w="366" w:type="pct"/>
            <w:vMerge w:val="continue"/>
            <w:noWrap/>
            <w:vAlign w:val="center"/>
          </w:tcPr>
          <w:p w14:paraId="65118E6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A3C2CE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146B98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220EA52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9.30E-07</w:t>
            </w:r>
          </w:p>
        </w:tc>
        <w:tc>
          <w:tcPr>
            <w:tcW w:w="699" w:type="pct"/>
            <w:noWrap/>
            <w:vAlign w:val="center"/>
          </w:tcPr>
          <w:p w14:paraId="1E5B418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F5F1EB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7A58624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76F46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366" w:type="pct"/>
            <w:vMerge w:val="restart"/>
            <w:noWrap/>
            <w:vAlign w:val="center"/>
          </w:tcPr>
          <w:p w14:paraId="1FA5A59A">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29</w:t>
            </w:r>
          </w:p>
        </w:tc>
        <w:tc>
          <w:tcPr>
            <w:tcW w:w="1210" w:type="pct"/>
            <w:vMerge w:val="restart"/>
            <w:noWrap/>
            <w:vAlign w:val="center"/>
          </w:tcPr>
          <w:p w14:paraId="6FC83F5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中兴小区</w:t>
            </w:r>
          </w:p>
        </w:tc>
        <w:tc>
          <w:tcPr>
            <w:tcW w:w="608" w:type="pct"/>
            <w:noWrap/>
            <w:vAlign w:val="center"/>
          </w:tcPr>
          <w:p w14:paraId="68E3428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6D5B4B2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6.32E-04</w:t>
            </w:r>
          </w:p>
        </w:tc>
        <w:tc>
          <w:tcPr>
            <w:tcW w:w="699" w:type="pct"/>
            <w:noWrap/>
            <w:vAlign w:val="center"/>
          </w:tcPr>
          <w:p w14:paraId="7E235D5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72079C3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0.13</w:t>
            </w:r>
          </w:p>
        </w:tc>
        <w:tc>
          <w:tcPr>
            <w:tcW w:w="608" w:type="pct"/>
            <w:noWrap/>
            <w:vAlign w:val="center"/>
          </w:tcPr>
          <w:p w14:paraId="68144A0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77D75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366" w:type="pct"/>
            <w:vMerge w:val="continue"/>
            <w:noWrap/>
            <w:vAlign w:val="center"/>
          </w:tcPr>
          <w:p w14:paraId="3B7BA2D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16CB75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C20171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7A4AD58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4.73E-05</w:t>
            </w:r>
          </w:p>
        </w:tc>
        <w:tc>
          <w:tcPr>
            <w:tcW w:w="699" w:type="pct"/>
            <w:noWrap/>
            <w:vAlign w:val="center"/>
          </w:tcPr>
          <w:p w14:paraId="7144F71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0BB76D3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2754D92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E2027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366" w:type="pct"/>
            <w:vMerge w:val="continue"/>
            <w:noWrap/>
            <w:vAlign w:val="center"/>
          </w:tcPr>
          <w:p w14:paraId="7A3BE75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FA8594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58265C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3B3D067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6.80E-07</w:t>
            </w:r>
          </w:p>
        </w:tc>
        <w:tc>
          <w:tcPr>
            <w:tcW w:w="699" w:type="pct"/>
            <w:noWrap/>
            <w:vAlign w:val="center"/>
          </w:tcPr>
          <w:p w14:paraId="7EED5CA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222A88B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2B281AE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2AC30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366" w:type="pct"/>
            <w:vMerge w:val="restart"/>
            <w:noWrap/>
            <w:vAlign w:val="center"/>
          </w:tcPr>
          <w:p w14:paraId="0F080B5C">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30</w:t>
            </w:r>
          </w:p>
        </w:tc>
        <w:tc>
          <w:tcPr>
            <w:tcW w:w="1210" w:type="pct"/>
            <w:vMerge w:val="restart"/>
            <w:noWrap/>
            <w:vAlign w:val="center"/>
          </w:tcPr>
          <w:p w14:paraId="7076493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绥兴社区</w:t>
            </w:r>
          </w:p>
        </w:tc>
        <w:tc>
          <w:tcPr>
            <w:tcW w:w="608" w:type="pct"/>
            <w:noWrap/>
            <w:vAlign w:val="center"/>
          </w:tcPr>
          <w:p w14:paraId="20E6FCE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1C414FB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8.09E-04</w:t>
            </w:r>
          </w:p>
        </w:tc>
        <w:tc>
          <w:tcPr>
            <w:tcW w:w="699" w:type="pct"/>
            <w:noWrap/>
            <w:vAlign w:val="center"/>
          </w:tcPr>
          <w:p w14:paraId="55EFF1B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24031913</w:t>
            </w:r>
          </w:p>
        </w:tc>
        <w:tc>
          <w:tcPr>
            <w:tcW w:w="588" w:type="pct"/>
            <w:noWrap/>
            <w:vAlign w:val="center"/>
          </w:tcPr>
          <w:p w14:paraId="3DF5E7C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0.16</w:t>
            </w:r>
          </w:p>
        </w:tc>
        <w:tc>
          <w:tcPr>
            <w:tcW w:w="608" w:type="pct"/>
            <w:noWrap/>
            <w:vAlign w:val="center"/>
          </w:tcPr>
          <w:p w14:paraId="32D08B6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2903C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66" w:type="pct"/>
            <w:vMerge w:val="continue"/>
            <w:noWrap/>
            <w:vAlign w:val="center"/>
          </w:tcPr>
          <w:p w14:paraId="7FCA83E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123588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075D24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6544783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1.07E-04</w:t>
            </w:r>
          </w:p>
        </w:tc>
        <w:tc>
          <w:tcPr>
            <w:tcW w:w="699" w:type="pct"/>
            <w:noWrap/>
            <w:vAlign w:val="center"/>
          </w:tcPr>
          <w:p w14:paraId="4C64426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69F49F0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30FE5EA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2E5AE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366" w:type="pct"/>
            <w:vMerge w:val="continue"/>
            <w:noWrap/>
            <w:vAlign w:val="center"/>
          </w:tcPr>
          <w:p w14:paraId="29F9F34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C1F686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B14237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32D07EA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1.89E-06</w:t>
            </w:r>
          </w:p>
        </w:tc>
        <w:tc>
          <w:tcPr>
            <w:tcW w:w="699" w:type="pct"/>
            <w:noWrap/>
            <w:vAlign w:val="center"/>
          </w:tcPr>
          <w:p w14:paraId="305E202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C5DEA6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75729FE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0A981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366" w:type="pct"/>
            <w:vMerge w:val="restart"/>
            <w:noWrap/>
            <w:vAlign w:val="center"/>
          </w:tcPr>
          <w:p w14:paraId="7977FA38">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w:t>
            </w:r>
          </w:p>
        </w:tc>
        <w:tc>
          <w:tcPr>
            <w:tcW w:w="1210" w:type="pct"/>
            <w:vMerge w:val="restart"/>
            <w:noWrap/>
            <w:vAlign w:val="center"/>
          </w:tcPr>
          <w:p w14:paraId="48923745">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远东新天地小区</w:t>
            </w:r>
          </w:p>
        </w:tc>
        <w:tc>
          <w:tcPr>
            <w:tcW w:w="608" w:type="pct"/>
            <w:noWrap/>
            <w:vAlign w:val="center"/>
          </w:tcPr>
          <w:p w14:paraId="6B05E37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0CB97F0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1.02E-03</w:t>
            </w:r>
          </w:p>
        </w:tc>
        <w:tc>
          <w:tcPr>
            <w:tcW w:w="699" w:type="pct"/>
            <w:noWrap/>
            <w:vAlign w:val="center"/>
          </w:tcPr>
          <w:p w14:paraId="0B56F21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24111911</w:t>
            </w:r>
          </w:p>
        </w:tc>
        <w:tc>
          <w:tcPr>
            <w:tcW w:w="588" w:type="pct"/>
            <w:noWrap/>
            <w:vAlign w:val="center"/>
          </w:tcPr>
          <w:p w14:paraId="46CF145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0.20</w:t>
            </w:r>
          </w:p>
        </w:tc>
        <w:tc>
          <w:tcPr>
            <w:tcW w:w="608" w:type="pct"/>
            <w:noWrap/>
            <w:vAlign w:val="center"/>
          </w:tcPr>
          <w:p w14:paraId="674AD51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F7FD9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366" w:type="pct"/>
            <w:vMerge w:val="continue"/>
            <w:noWrap/>
            <w:vAlign w:val="center"/>
          </w:tcPr>
          <w:p w14:paraId="60235D1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2AE1E6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D723EF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7EAB637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3.02E-04</w:t>
            </w:r>
          </w:p>
        </w:tc>
        <w:tc>
          <w:tcPr>
            <w:tcW w:w="699" w:type="pct"/>
            <w:noWrap/>
            <w:vAlign w:val="center"/>
          </w:tcPr>
          <w:p w14:paraId="5C8AE3B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240301</w:t>
            </w:r>
          </w:p>
        </w:tc>
        <w:tc>
          <w:tcPr>
            <w:tcW w:w="588" w:type="pct"/>
            <w:noWrap/>
            <w:vAlign w:val="center"/>
          </w:tcPr>
          <w:p w14:paraId="28FDE06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0.20</w:t>
            </w:r>
          </w:p>
        </w:tc>
        <w:tc>
          <w:tcPr>
            <w:tcW w:w="608" w:type="pct"/>
            <w:noWrap/>
            <w:vAlign w:val="center"/>
          </w:tcPr>
          <w:p w14:paraId="3BFB220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466DB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366" w:type="pct"/>
            <w:vMerge w:val="continue"/>
            <w:noWrap/>
            <w:vAlign w:val="center"/>
          </w:tcPr>
          <w:p w14:paraId="2F6672E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DCA3A7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A32074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13E33C7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3.41E-05</w:t>
            </w:r>
          </w:p>
        </w:tc>
        <w:tc>
          <w:tcPr>
            <w:tcW w:w="699" w:type="pct"/>
            <w:noWrap/>
            <w:vAlign w:val="center"/>
          </w:tcPr>
          <w:p w14:paraId="24A0F02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E6B95B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7E78763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8CC7B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366" w:type="pct"/>
            <w:vMerge w:val="restart"/>
            <w:noWrap/>
            <w:vAlign w:val="center"/>
          </w:tcPr>
          <w:p w14:paraId="28ABDD89">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32</w:t>
            </w:r>
          </w:p>
        </w:tc>
        <w:tc>
          <w:tcPr>
            <w:tcW w:w="1210" w:type="pct"/>
            <w:vMerge w:val="restart"/>
            <w:noWrap/>
            <w:vAlign w:val="center"/>
          </w:tcPr>
          <w:p w14:paraId="37350A8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凯丰小区</w:t>
            </w:r>
          </w:p>
        </w:tc>
        <w:tc>
          <w:tcPr>
            <w:tcW w:w="608" w:type="pct"/>
            <w:noWrap/>
            <w:vAlign w:val="center"/>
          </w:tcPr>
          <w:p w14:paraId="62B2713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3AACF3C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1.12E-03</w:t>
            </w:r>
          </w:p>
        </w:tc>
        <w:tc>
          <w:tcPr>
            <w:tcW w:w="699" w:type="pct"/>
            <w:noWrap/>
            <w:vAlign w:val="center"/>
          </w:tcPr>
          <w:p w14:paraId="048C220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24042212</w:t>
            </w:r>
          </w:p>
        </w:tc>
        <w:tc>
          <w:tcPr>
            <w:tcW w:w="588" w:type="pct"/>
            <w:noWrap/>
            <w:vAlign w:val="center"/>
          </w:tcPr>
          <w:p w14:paraId="59DFB1E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0.22</w:t>
            </w:r>
          </w:p>
        </w:tc>
        <w:tc>
          <w:tcPr>
            <w:tcW w:w="608" w:type="pct"/>
            <w:noWrap/>
            <w:vAlign w:val="center"/>
          </w:tcPr>
          <w:p w14:paraId="7EBCC57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83E3A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366" w:type="pct"/>
            <w:vMerge w:val="continue"/>
            <w:noWrap/>
            <w:vAlign w:val="center"/>
          </w:tcPr>
          <w:p w14:paraId="5ECB7B3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1C501E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0F5C3C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12B30C0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1.85E-04</w:t>
            </w:r>
          </w:p>
        </w:tc>
        <w:tc>
          <w:tcPr>
            <w:tcW w:w="699" w:type="pct"/>
            <w:noWrap/>
            <w:vAlign w:val="center"/>
          </w:tcPr>
          <w:p w14:paraId="6DAA26A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240422</w:t>
            </w:r>
          </w:p>
        </w:tc>
        <w:tc>
          <w:tcPr>
            <w:tcW w:w="588" w:type="pct"/>
            <w:noWrap/>
            <w:vAlign w:val="center"/>
          </w:tcPr>
          <w:p w14:paraId="6AB9B79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0.12</w:t>
            </w:r>
          </w:p>
        </w:tc>
        <w:tc>
          <w:tcPr>
            <w:tcW w:w="608" w:type="pct"/>
            <w:noWrap/>
            <w:vAlign w:val="center"/>
          </w:tcPr>
          <w:p w14:paraId="7CADD3A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7A166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366" w:type="pct"/>
            <w:vMerge w:val="continue"/>
            <w:noWrap/>
            <w:vAlign w:val="center"/>
          </w:tcPr>
          <w:p w14:paraId="00592DB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4135BE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2480FB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67BFFB9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6.59E-06</w:t>
            </w:r>
          </w:p>
        </w:tc>
        <w:tc>
          <w:tcPr>
            <w:tcW w:w="699" w:type="pct"/>
            <w:noWrap/>
            <w:vAlign w:val="center"/>
          </w:tcPr>
          <w:p w14:paraId="4CAC310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41C7764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66269F0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F94C1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366" w:type="pct"/>
            <w:vMerge w:val="restart"/>
            <w:noWrap/>
            <w:vAlign w:val="center"/>
          </w:tcPr>
          <w:p w14:paraId="067297E0">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33</w:t>
            </w:r>
          </w:p>
        </w:tc>
        <w:tc>
          <w:tcPr>
            <w:tcW w:w="1210" w:type="pct"/>
            <w:vMerge w:val="restart"/>
            <w:noWrap/>
            <w:vAlign w:val="center"/>
          </w:tcPr>
          <w:p w14:paraId="1D9559C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澳运阳光花园</w:t>
            </w:r>
          </w:p>
        </w:tc>
        <w:tc>
          <w:tcPr>
            <w:tcW w:w="608" w:type="pct"/>
            <w:noWrap/>
            <w:vAlign w:val="center"/>
          </w:tcPr>
          <w:p w14:paraId="250EE67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5137F75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7.51E-04</w:t>
            </w:r>
          </w:p>
        </w:tc>
        <w:tc>
          <w:tcPr>
            <w:tcW w:w="699" w:type="pct"/>
            <w:noWrap/>
            <w:vAlign w:val="center"/>
          </w:tcPr>
          <w:p w14:paraId="059E15A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24042017</w:t>
            </w:r>
          </w:p>
        </w:tc>
        <w:tc>
          <w:tcPr>
            <w:tcW w:w="588" w:type="pct"/>
            <w:noWrap/>
            <w:vAlign w:val="center"/>
          </w:tcPr>
          <w:p w14:paraId="47AFD12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0.15</w:t>
            </w:r>
          </w:p>
        </w:tc>
        <w:tc>
          <w:tcPr>
            <w:tcW w:w="608" w:type="pct"/>
            <w:noWrap/>
            <w:vAlign w:val="center"/>
          </w:tcPr>
          <w:p w14:paraId="0509E5E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02B37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366" w:type="pct"/>
            <w:vMerge w:val="continue"/>
            <w:noWrap/>
            <w:vAlign w:val="center"/>
          </w:tcPr>
          <w:p w14:paraId="12F5F83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4FF531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A2B2EE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46C781B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1.43E-04</w:t>
            </w:r>
          </w:p>
        </w:tc>
        <w:tc>
          <w:tcPr>
            <w:tcW w:w="699" w:type="pct"/>
            <w:noWrap/>
            <w:vAlign w:val="center"/>
          </w:tcPr>
          <w:p w14:paraId="76DDDF2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240422</w:t>
            </w:r>
          </w:p>
        </w:tc>
        <w:tc>
          <w:tcPr>
            <w:tcW w:w="588" w:type="pct"/>
            <w:noWrap/>
            <w:vAlign w:val="center"/>
          </w:tcPr>
          <w:p w14:paraId="771B2AB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0.10</w:t>
            </w:r>
          </w:p>
        </w:tc>
        <w:tc>
          <w:tcPr>
            <w:tcW w:w="608" w:type="pct"/>
            <w:noWrap/>
            <w:vAlign w:val="center"/>
          </w:tcPr>
          <w:p w14:paraId="3229173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31C3D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366" w:type="pct"/>
            <w:vMerge w:val="continue"/>
            <w:noWrap/>
            <w:vAlign w:val="center"/>
          </w:tcPr>
          <w:p w14:paraId="6B6ED82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77E866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659D3A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3D5F083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5.58E-06</w:t>
            </w:r>
          </w:p>
        </w:tc>
        <w:tc>
          <w:tcPr>
            <w:tcW w:w="699" w:type="pct"/>
            <w:noWrap/>
            <w:vAlign w:val="center"/>
          </w:tcPr>
          <w:p w14:paraId="254F8DD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D9C2AF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5DA1B50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D4A0E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366" w:type="pct"/>
            <w:vMerge w:val="restart"/>
            <w:noWrap/>
            <w:vAlign w:val="center"/>
          </w:tcPr>
          <w:p w14:paraId="0393E324">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34</w:t>
            </w:r>
          </w:p>
        </w:tc>
        <w:tc>
          <w:tcPr>
            <w:tcW w:w="1210" w:type="pct"/>
            <w:vMerge w:val="restart"/>
            <w:noWrap/>
            <w:vAlign w:val="center"/>
          </w:tcPr>
          <w:p w14:paraId="5516F4D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朝阳村</w:t>
            </w:r>
          </w:p>
        </w:tc>
        <w:tc>
          <w:tcPr>
            <w:tcW w:w="608" w:type="pct"/>
            <w:noWrap/>
            <w:vAlign w:val="center"/>
          </w:tcPr>
          <w:p w14:paraId="2F7E045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75FCF0A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7.33E-04</w:t>
            </w:r>
          </w:p>
        </w:tc>
        <w:tc>
          <w:tcPr>
            <w:tcW w:w="699" w:type="pct"/>
            <w:noWrap/>
            <w:vAlign w:val="center"/>
          </w:tcPr>
          <w:p w14:paraId="121FA69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24042107</w:t>
            </w:r>
          </w:p>
        </w:tc>
        <w:tc>
          <w:tcPr>
            <w:tcW w:w="588" w:type="pct"/>
            <w:noWrap/>
            <w:vAlign w:val="center"/>
          </w:tcPr>
          <w:p w14:paraId="5D151CF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0.15</w:t>
            </w:r>
          </w:p>
        </w:tc>
        <w:tc>
          <w:tcPr>
            <w:tcW w:w="608" w:type="pct"/>
            <w:noWrap/>
            <w:vAlign w:val="center"/>
          </w:tcPr>
          <w:p w14:paraId="7729ABA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57C9E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366" w:type="pct"/>
            <w:vMerge w:val="continue"/>
            <w:noWrap/>
            <w:vAlign w:val="center"/>
          </w:tcPr>
          <w:p w14:paraId="3773E5E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A88CC4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9E870C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37B7984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1.19E-04</w:t>
            </w:r>
          </w:p>
        </w:tc>
        <w:tc>
          <w:tcPr>
            <w:tcW w:w="699" w:type="pct"/>
            <w:noWrap/>
            <w:vAlign w:val="center"/>
          </w:tcPr>
          <w:p w14:paraId="33C4B76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240327</w:t>
            </w:r>
          </w:p>
        </w:tc>
        <w:tc>
          <w:tcPr>
            <w:tcW w:w="588" w:type="pct"/>
            <w:noWrap/>
            <w:vAlign w:val="center"/>
          </w:tcPr>
          <w:p w14:paraId="33BBA3D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59EF256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98500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366" w:type="pct"/>
            <w:vMerge w:val="continue"/>
            <w:noWrap/>
            <w:vAlign w:val="center"/>
          </w:tcPr>
          <w:p w14:paraId="51E5674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7FC646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82C688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768D0EF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4.53E-06</w:t>
            </w:r>
          </w:p>
        </w:tc>
        <w:tc>
          <w:tcPr>
            <w:tcW w:w="699" w:type="pct"/>
            <w:noWrap/>
            <w:vAlign w:val="center"/>
          </w:tcPr>
          <w:p w14:paraId="3CACAC6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6C57269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337B116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4A79F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3" w:hRule="atLeast"/>
          <w:jc w:val="center"/>
        </w:trPr>
        <w:tc>
          <w:tcPr>
            <w:tcW w:w="366" w:type="pct"/>
            <w:vMerge w:val="restart"/>
            <w:noWrap/>
            <w:vAlign w:val="center"/>
          </w:tcPr>
          <w:p w14:paraId="03F0C2FF">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35</w:t>
            </w:r>
          </w:p>
        </w:tc>
        <w:tc>
          <w:tcPr>
            <w:tcW w:w="1210" w:type="pct"/>
            <w:vMerge w:val="restart"/>
            <w:noWrap/>
            <w:vAlign w:val="center"/>
          </w:tcPr>
          <w:p w14:paraId="36650EB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宏隆花园</w:t>
            </w:r>
          </w:p>
        </w:tc>
        <w:tc>
          <w:tcPr>
            <w:tcW w:w="608" w:type="pct"/>
            <w:noWrap/>
            <w:vAlign w:val="center"/>
          </w:tcPr>
          <w:p w14:paraId="5348520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232F55B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7.80E-04</w:t>
            </w:r>
          </w:p>
        </w:tc>
        <w:tc>
          <w:tcPr>
            <w:tcW w:w="699" w:type="pct"/>
            <w:noWrap/>
            <w:vAlign w:val="center"/>
          </w:tcPr>
          <w:p w14:paraId="3AB1346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24031913</w:t>
            </w:r>
          </w:p>
        </w:tc>
        <w:tc>
          <w:tcPr>
            <w:tcW w:w="588" w:type="pct"/>
            <w:noWrap/>
            <w:vAlign w:val="center"/>
          </w:tcPr>
          <w:p w14:paraId="4188D88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0.16</w:t>
            </w:r>
          </w:p>
        </w:tc>
        <w:tc>
          <w:tcPr>
            <w:tcW w:w="608" w:type="pct"/>
            <w:noWrap/>
            <w:vAlign w:val="center"/>
          </w:tcPr>
          <w:p w14:paraId="1DB07A8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E75BD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366" w:type="pct"/>
            <w:vMerge w:val="continue"/>
            <w:noWrap/>
            <w:vAlign w:val="center"/>
          </w:tcPr>
          <w:p w14:paraId="1BBE8D5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A09E9F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4B9DEF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4D1927A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1.07E-04</w:t>
            </w:r>
          </w:p>
        </w:tc>
        <w:tc>
          <w:tcPr>
            <w:tcW w:w="699" w:type="pct"/>
            <w:noWrap/>
            <w:vAlign w:val="center"/>
          </w:tcPr>
          <w:p w14:paraId="41831D7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0317C8F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3FD9E24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30D29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 w:hRule="atLeast"/>
          <w:jc w:val="center"/>
        </w:trPr>
        <w:tc>
          <w:tcPr>
            <w:tcW w:w="366" w:type="pct"/>
            <w:vMerge w:val="continue"/>
            <w:noWrap/>
            <w:vAlign w:val="center"/>
          </w:tcPr>
          <w:p w14:paraId="4838B9E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D5A197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B9D157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17D31BA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2.10E-06</w:t>
            </w:r>
          </w:p>
        </w:tc>
        <w:tc>
          <w:tcPr>
            <w:tcW w:w="699" w:type="pct"/>
            <w:noWrap/>
            <w:vAlign w:val="center"/>
          </w:tcPr>
          <w:p w14:paraId="1A4D9C9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47F96B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06BE343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CB816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2" w:hRule="atLeast"/>
          <w:jc w:val="center"/>
        </w:trPr>
        <w:tc>
          <w:tcPr>
            <w:tcW w:w="366" w:type="pct"/>
            <w:vMerge w:val="restart"/>
            <w:noWrap/>
            <w:vAlign w:val="center"/>
          </w:tcPr>
          <w:p w14:paraId="7EBE4F67">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36</w:t>
            </w:r>
          </w:p>
        </w:tc>
        <w:tc>
          <w:tcPr>
            <w:tcW w:w="1210" w:type="pct"/>
            <w:vMerge w:val="restart"/>
            <w:noWrap/>
            <w:vAlign w:val="center"/>
          </w:tcPr>
          <w:p w14:paraId="352FA76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中福名都花园</w:t>
            </w:r>
          </w:p>
        </w:tc>
        <w:tc>
          <w:tcPr>
            <w:tcW w:w="608" w:type="pct"/>
            <w:noWrap/>
            <w:vAlign w:val="center"/>
          </w:tcPr>
          <w:p w14:paraId="4688332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7A3E892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7.09E-04</w:t>
            </w:r>
          </w:p>
        </w:tc>
        <w:tc>
          <w:tcPr>
            <w:tcW w:w="699" w:type="pct"/>
            <w:noWrap/>
            <w:vAlign w:val="center"/>
          </w:tcPr>
          <w:p w14:paraId="5CCD1A9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2382C5F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0.14</w:t>
            </w:r>
          </w:p>
        </w:tc>
        <w:tc>
          <w:tcPr>
            <w:tcW w:w="608" w:type="pct"/>
            <w:noWrap/>
            <w:vAlign w:val="center"/>
          </w:tcPr>
          <w:p w14:paraId="1BD2471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7ACE0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366" w:type="pct"/>
            <w:vMerge w:val="continue"/>
            <w:noWrap/>
            <w:vAlign w:val="center"/>
          </w:tcPr>
          <w:p w14:paraId="702C0A6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8DD4FE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6A1F42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5299E8C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8.43E-05</w:t>
            </w:r>
          </w:p>
        </w:tc>
        <w:tc>
          <w:tcPr>
            <w:tcW w:w="699" w:type="pct"/>
            <w:noWrap/>
            <w:vAlign w:val="center"/>
          </w:tcPr>
          <w:p w14:paraId="1642863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28D37F9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5255871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B9767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366" w:type="pct"/>
            <w:vMerge w:val="continue"/>
            <w:noWrap/>
            <w:vAlign w:val="center"/>
          </w:tcPr>
          <w:p w14:paraId="4A07FBC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D5B27A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E21AF5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38B5B53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1.19E-06</w:t>
            </w:r>
          </w:p>
        </w:tc>
        <w:tc>
          <w:tcPr>
            <w:tcW w:w="699" w:type="pct"/>
            <w:noWrap/>
            <w:vAlign w:val="center"/>
          </w:tcPr>
          <w:p w14:paraId="2140F21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1DEB852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406734C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2D270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366" w:type="pct"/>
            <w:vMerge w:val="restart"/>
            <w:noWrap/>
            <w:vAlign w:val="center"/>
          </w:tcPr>
          <w:p w14:paraId="54B056CD">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37</w:t>
            </w:r>
          </w:p>
        </w:tc>
        <w:tc>
          <w:tcPr>
            <w:tcW w:w="1210" w:type="pct"/>
            <w:vMerge w:val="restart"/>
            <w:noWrap/>
            <w:vAlign w:val="center"/>
          </w:tcPr>
          <w:p w14:paraId="55FF3AB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康健花园</w:t>
            </w:r>
          </w:p>
        </w:tc>
        <w:tc>
          <w:tcPr>
            <w:tcW w:w="608" w:type="pct"/>
            <w:noWrap/>
            <w:vAlign w:val="center"/>
          </w:tcPr>
          <w:p w14:paraId="5B48D61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56C1806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7.37E-04</w:t>
            </w:r>
          </w:p>
        </w:tc>
        <w:tc>
          <w:tcPr>
            <w:tcW w:w="699" w:type="pct"/>
            <w:noWrap/>
            <w:vAlign w:val="center"/>
          </w:tcPr>
          <w:p w14:paraId="33014B6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588" w:type="pct"/>
            <w:noWrap/>
            <w:vAlign w:val="center"/>
          </w:tcPr>
          <w:p w14:paraId="7E495F7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0.15</w:t>
            </w:r>
          </w:p>
        </w:tc>
        <w:tc>
          <w:tcPr>
            <w:tcW w:w="608" w:type="pct"/>
            <w:noWrap/>
            <w:vAlign w:val="center"/>
          </w:tcPr>
          <w:p w14:paraId="7ED34E2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00837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0" w:hRule="atLeast"/>
          <w:jc w:val="center"/>
        </w:trPr>
        <w:tc>
          <w:tcPr>
            <w:tcW w:w="366" w:type="pct"/>
            <w:vMerge w:val="continue"/>
            <w:noWrap/>
            <w:vAlign w:val="center"/>
          </w:tcPr>
          <w:p w14:paraId="6AB36E1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C2AB55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3B38B6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462E080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9.58E-05</w:t>
            </w:r>
          </w:p>
        </w:tc>
        <w:tc>
          <w:tcPr>
            <w:tcW w:w="699" w:type="pct"/>
            <w:noWrap/>
            <w:vAlign w:val="center"/>
          </w:tcPr>
          <w:p w14:paraId="3D64B1D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7F133B9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2778A39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1F355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366" w:type="pct"/>
            <w:vMerge w:val="continue"/>
            <w:noWrap/>
            <w:vAlign w:val="center"/>
          </w:tcPr>
          <w:p w14:paraId="3BFF496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11A45B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80C518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18425F2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6.80E-06</w:t>
            </w:r>
          </w:p>
        </w:tc>
        <w:tc>
          <w:tcPr>
            <w:tcW w:w="699" w:type="pct"/>
            <w:noWrap/>
            <w:vAlign w:val="center"/>
          </w:tcPr>
          <w:p w14:paraId="0AF2B53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2D73E5B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6AA355E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AA5F0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366" w:type="pct"/>
            <w:vMerge w:val="restart"/>
            <w:noWrap/>
            <w:vAlign w:val="center"/>
          </w:tcPr>
          <w:p w14:paraId="524ECB28">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38</w:t>
            </w:r>
          </w:p>
        </w:tc>
        <w:tc>
          <w:tcPr>
            <w:tcW w:w="1210" w:type="pct"/>
            <w:vMerge w:val="restart"/>
            <w:noWrap/>
            <w:vAlign w:val="center"/>
          </w:tcPr>
          <w:p w14:paraId="283A375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海融安居里</w:t>
            </w:r>
          </w:p>
        </w:tc>
        <w:tc>
          <w:tcPr>
            <w:tcW w:w="608" w:type="pct"/>
            <w:noWrap/>
            <w:vAlign w:val="center"/>
          </w:tcPr>
          <w:p w14:paraId="574F256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5173B13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1.37E-03</w:t>
            </w:r>
          </w:p>
        </w:tc>
        <w:tc>
          <w:tcPr>
            <w:tcW w:w="699" w:type="pct"/>
            <w:noWrap/>
            <w:vAlign w:val="center"/>
          </w:tcPr>
          <w:p w14:paraId="32BF020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588" w:type="pct"/>
            <w:noWrap/>
            <w:vAlign w:val="center"/>
          </w:tcPr>
          <w:p w14:paraId="11FCB92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0.27</w:t>
            </w:r>
          </w:p>
        </w:tc>
        <w:tc>
          <w:tcPr>
            <w:tcW w:w="608" w:type="pct"/>
            <w:noWrap/>
            <w:vAlign w:val="center"/>
          </w:tcPr>
          <w:p w14:paraId="083F88E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93D1A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366" w:type="pct"/>
            <w:vMerge w:val="continue"/>
            <w:noWrap/>
            <w:vAlign w:val="center"/>
          </w:tcPr>
          <w:p w14:paraId="213A468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741296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4DA8C4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6F5995E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1.18E-04</w:t>
            </w:r>
          </w:p>
        </w:tc>
        <w:tc>
          <w:tcPr>
            <w:tcW w:w="699" w:type="pct"/>
            <w:noWrap/>
            <w:vAlign w:val="center"/>
          </w:tcPr>
          <w:p w14:paraId="4510F3B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241122</w:t>
            </w:r>
          </w:p>
        </w:tc>
        <w:tc>
          <w:tcPr>
            <w:tcW w:w="588" w:type="pct"/>
            <w:noWrap/>
            <w:vAlign w:val="center"/>
          </w:tcPr>
          <w:p w14:paraId="595B067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20D0680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BCCFB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366" w:type="pct"/>
            <w:vMerge w:val="continue"/>
            <w:noWrap/>
            <w:vAlign w:val="center"/>
          </w:tcPr>
          <w:p w14:paraId="11F098E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EF6135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87656F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1677AF9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9.98E-06</w:t>
            </w:r>
          </w:p>
        </w:tc>
        <w:tc>
          <w:tcPr>
            <w:tcW w:w="699" w:type="pct"/>
            <w:noWrap/>
            <w:vAlign w:val="center"/>
          </w:tcPr>
          <w:p w14:paraId="4DCF402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1EBC007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5785A73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7BB77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366" w:type="pct"/>
            <w:vMerge w:val="restart"/>
            <w:noWrap/>
            <w:vAlign w:val="center"/>
          </w:tcPr>
          <w:p w14:paraId="48854C24">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39</w:t>
            </w:r>
          </w:p>
        </w:tc>
        <w:tc>
          <w:tcPr>
            <w:tcW w:w="1210" w:type="pct"/>
            <w:vMerge w:val="restart"/>
            <w:noWrap/>
            <w:vAlign w:val="center"/>
          </w:tcPr>
          <w:p w14:paraId="281DF12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海融富华苑</w:t>
            </w:r>
          </w:p>
        </w:tc>
        <w:tc>
          <w:tcPr>
            <w:tcW w:w="608" w:type="pct"/>
            <w:noWrap/>
            <w:vAlign w:val="center"/>
          </w:tcPr>
          <w:p w14:paraId="258E56E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609C69A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3.35E-04</w:t>
            </w:r>
          </w:p>
        </w:tc>
        <w:tc>
          <w:tcPr>
            <w:tcW w:w="699" w:type="pct"/>
            <w:noWrap/>
            <w:vAlign w:val="center"/>
          </w:tcPr>
          <w:p w14:paraId="082506C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485CE82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3E515FE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70AFE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366" w:type="pct"/>
            <w:vMerge w:val="continue"/>
            <w:noWrap/>
            <w:vAlign w:val="center"/>
          </w:tcPr>
          <w:p w14:paraId="38DE15B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F3428D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6C96B3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7E99A76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1.82E-05</w:t>
            </w:r>
          </w:p>
        </w:tc>
        <w:tc>
          <w:tcPr>
            <w:tcW w:w="699" w:type="pct"/>
            <w:noWrap/>
            <w:vAlign w:val="center"/>
          </w:tcPr>
          <w:p w14:paraId="4B0CB8D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3860730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28035C4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C08AC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366" w:type="pct"/>
            <w:vMerge w:val="continue"/>
            <w:noWrap/>
            <w:vAlign w:val="center"/>
          </w:tcPr>
          <w:p w14:paraId="75383FC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832AAD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F713E4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62905C8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2.80E-07</w:t>
            </w:r>
          </w:p>
        </w:tc>
        <w:tc>
          <w:tcPr>
            <w:tcW w:w="699" w:type="pct"/>
            <w:noWrap/>
            <w:vAlign w:val="center"/>
          </w:tcPr>
          <w:p w14:paraId="25736BB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A42F74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77F905F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D0548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366" w:type="pct"/>
            <w:vMerge w:val="restart"/>
            <w:noWrap/>
            <w:vAlign w:val="center"/>
          </w:tcPr>
          <w:p w14:paraId="5A55AB48">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40</w:t>
            </w:r>
          </w:p>
        </w:tc>
        <w:tc>
          <w:tcPr>
            <w:tcW w:w="1210" w:type="pct"/>
            <w:vMerge w:val="restart"/>
            <w:noWrap/>
            <w:vAlign w:val="center"/>
          </w:tcPr>
          <w:p w14:paraId="74AF3BD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好景园小区</w:t>
            </w:r>
          </w:p>
        </w:tc>
        <w:tc>
          <w:tcPr>
            <w:tcW w:w="608" w:type="pct"/>
            <w:noWrap/>
            <w:vAlign w:val="center"/>
          </w:tcPr>
          <w:p w14:paraId="0894F04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17D3691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4.07E-04</w:t>
            </w:r>
          </w:p>
        </w:tc>
        <w:tc>
          <w:tcPr>
            <w:tcW w:w="699" w:type="pct"/>
            <w:noWrap/>
            <w:vAlign w:val="center"/>
          </w:tcPr>
          <w:p w14:paraId="4512266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47B63AE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62D358E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DC9E1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366" w:type="pct"/>
            <w:vMerge w:val="continue"/>
            <w:noWrap/>
            <w:vAlign w:val="center"/>
          </w:tcPr>
          <w:p w14:paraId="5A184C8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09CEBE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A2AB29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36B697B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1.93E-05</w:t>
            </w:r>
          </w:p>
        </w:tc>
        <w:tc>
          <w:tcPr>
            <w:tcW w:w="699" w:type="pct"/>
            <w:noWrap/>
            <w:vAlign w:val="center"/>
          </w:tcPr>
          <w:p w14:paraId="369E90C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68F7FBA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44E099C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27320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366" w:type="pct"/>
            <w:vMerge w:val="continue"/>
            <w:noWrap/>
            <w:vAlign w:val="center"/>
          </w:tcPr>
          <w:p w14:paraId="44E2387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F48A2B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0BE73A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66CB7F9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3.00E-07</w:t>
            </w:r>
          </w:p>
        </w:tc>
        <w:tc>
          <w:tcPr>
            <w:tcW w:w="699" w:type="pct"/>
            <w:noWrap/>
            <w:vAlign w:val="center"/>
          </w:tcPr>
          <w:p w14:paraId="5417736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4EEDA5A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10CCE4F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BA76B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jc w:val="center"/>
        </w:trPr>
        <w:tc>
          <w:tcPr>
            <w:tcW w:w="366" w:type="pct"/>
            <w:vMerge w:val="restart"/>
            <w:noWrap/>
            <w:vAlign w:val="center"/>
          </w:tcPr>
          <w:p w14:paraId="0200E188">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41</w:t>
            </w:r>
          </w:p>
        </w:tc>
        <w:tc>
          <w:tcPr>
            <w:tcW w:w="1210" w:type="pct"/>
            <w:vMerge w:val="restart"/>
            <w:noWrap/>
            <w:vAlign w:val="center"/>
          </w:tcPr>
          <w:p w14:paraId="1B0C853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旗苑家园</w:t>
            </w:r>
          </w:p>
        </w:tc>
        <w:tc>
          <w:tcPr>
            <w:tcW w:w="608" w:type="pct"/>
            <w:noWrap/>
            <w:vAlign w:val="center"/>
          </w:tcPr>
          <w:p w14:paraId="51F7ADF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39617ED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3.62E-04</w:t>
            </w:r>
          </w:p>
        </w:tc>
        <w:tc>
          <w:tcPr>
            <w:tcW w:w="699" w:type="pct"/>
            <w:noWrap/>
            <w:vAlign w:val="center"/>
          </w:tcPr>
          <w:p w14:paraId="3BA9C60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71D9AEC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6841C4A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A9D0B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366" w:type="pct"/>
            <w:vMerge w:val="continue"/>
            <w:noWrap/>
            <w:vAlign w:val="center"/>
          </w:tcPr>
          <w:p w14:paraId="0A5D699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022C80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68A4E5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1EBA4B4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1.51E-05</w:t>
            </w:r>
          </w:p>
        </w:tc>
        <w:tc>
          <w:tcPr>
            <w:tcW w:w="699" w:type="pct"/>
            <w:noWrap/>
            <w:vAlign w:val="center"/>
          </w:tcPr>
          <w:p w14:paraId="1D68958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w:t>
            </w:r>
          </w:p>
        </w:tc>
        <w:tc>
          <w:tcPr>
            <w:tcW w:w="588" w:type="pct"/>
            <w:noWrap/>
            <w:vAlign w:val="center"/>
          </w:tcPr>
          <w:p w14:paraId="7F1DBDE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7965FD3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B80EC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 w:hRule="atLeast"/>
          <w:jc w:val="center"/>
        </w:trPr>
        <w:tc>
          <w:tcPr>
            <w:tcW w:w="366" w:type="pct"/>
            <w:vMerge w:val="continue"/>
            <w:noWrap/>
            <w:vAlign w:val="center"/>
          </w:tcPr>
          <w:p w14:paraId="5DE763E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2AFC55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809384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1194B30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2.20E-07</w:t>
            </w:r>
          </w:p>
        </w:tc>
        <w:tc>
          <w:tcPr>
            <w:tcW w:w="699" w:type="pct"/>
            <w:noWrap/>
            <w:vAlign w:val="center"/>
          </w:tcPr>
          <w:p w14:paraId="1FCAF54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194832E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2782980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F8C62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2" w:hRule="atLeast"/>
          <w:jc w:val="center"/>
        </w:trPr>
        <w:tc>
          <w:tcPr>
            <w:tcW w:w="366" w:type="pct"/>
            <w:vMerge w:val="restart"/>
            <w:noWrap/>
            <w:vAlign w:val="center"/>
          </w:tcPr>
          <w:p w14:paraId="27D23E80">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w:t>
            </w:r>
          </w:p>
        </w:tc>
        <w:tc>
          <w:tcPr>
            <w:tcW w:w="1210" w:type="pct"/>
            <w:vMerge w:val="restart"/>
            <w:noWrap/>
            <w:vAlign w:val="center"/>
          </w:tcPr>
          <w:p w14:paraId="1F65AB1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兴达家园</w:t>
            </w:r>
          </w:p>
        </w:tc>
        <w:tc>
          <w:tcPr>
            <w:tcW w:w="608" w:type="pct"/>
            <w:noWrap/>
            <w:vAlign w:val="center"/>
          </w:tcPr>
          <w:p w14:paraId="41739A5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0203B38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2.56E-04</w:t>
            </w:r>
          </w:p>
        </w:tc>
        <w:tc>
          <w:tcPr>
            <w:tcW w:w="699" w:type="pct"/>
            <w:noWrap/>
            <w:vAlign w:val="center"/>
          </w:tcPr>
          <w:p w14:paraId="6DA36D2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24040909</w:t>
            </w:r>
          </w:p>
        </w:tc>
        <w:tc>
          <w:tcPr>
            <w:tcW w:w="588" w:type="pct"/>
            <w:noWrap/>
            <w:vAlign w:val="center"/>
          </w:tcPr>
          <w:p w14:paraId="202609E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44C04E5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32DB4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366" w:type="pct"/>
            <w:vMerge w:val="continue"/>
            <w:noWrap/>
            <w:vAlign w:val="center"/>
          </w:tcPr>
          <w:p w14:paraId="5EF159F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725415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068F75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2A48EFA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1.20E-05</w:t>
            </w:r>
          </w:p>
        </w:tc>
        <w:tc>
          <w:tcPr>
            <w:tcW w:w="699" w:type="pct"/>
            <w:noWrap/>
            <w:vAlign w:val="center"/>
          </w:tcPr>
          <w:p w14:paraId="72047E2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5371CAA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3A10172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2D049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366" w:type="pct"/>
            <w:vMerge w:val="continue"/>
            <w:noWrap/>
            <w:vAlign w:val="center"/>
          </w:tcPr>
          <w:p w14:paraId="71E751A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72B9D5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6D5F83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0D4EA85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3.20E-07</w:t>
            </w:r>
          </w:p>
        </w:tc>
        <w:tc>
          <w:tcPr>
            <w:tcW w:w="699" w:type="pct"/>
            <w:noWrap/>
            <w:vAlign w:val="center"/>
          </w:tcPr>
          <w:p w14:paraId="2724B87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3D89655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6450E4B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3CCBD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 w:hRule="atLeast"/>
          <w:jc w:val="center"/>
        </w:trPr>
        <w:tc>
          <w:tcPr>
            <w:tcW w:w="366" w:type="pct"/>
            <w:vMerge w:val="restart"/>
            <w:noWrap/>
            <w:vAlign w:val="center"/>
          </w:tcPr>
          <w:p w14:paraId="75E0B459">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43</w:t>
            </w:r>
          </w:p>
        </w:tc>
        <w:tc>
          <w:tcPr>
            <w:tcW w:w="1210" w:type="pct"/>
            <w:vMerge w:val="restart"/>
            <w:noWrap/>
            <w:vAlign w:val="center"/>
          </w:tcPr>
          <w:p w14:paraId="7017E5D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协会大厦</w:t>
            </w:r>
          </w:p>
        </w:tc>
        <w:tc>
          <w:tcPr>
            <w:tcW w:w="608" w:type="pct"/>
            <w:noWrap/>
            <w:vAlign w:val="center"/>
          </w:tcPr>
          <w:p w14:paraId="5F93B57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3934B33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5.55E-04</w:t>
            </w:r>
          </w:p>
        </w:tc>
        <w:tc>
          <w:tcPr>
            <w:tcW w:w="699" w:type="pct"/>
            <w:noWrap/>
            <w:vAlign w:val="center"/>
          </w:tcPr>
          <w:p w14:paraId="0144E54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24042110</w:t>
            </w:r>
          </w:p>
        </w:tc>
        <w:tc>
          <w:tcPr>
            <w:tcW w:w="588" w:type="pct"/>
            <w:noWrap/>
            <w:vAlign w:val="center"/>
          </w:tcPr>
          <w:p w14:paraId="3CF8471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0.11</w:t>
            </w:r>
          </w:p>
        </w:tc>
        <w:tc>
          <w:tcPr>
            <w:tcW w:w="608" w:type="pct"/>
            <w:noWrap/>
            <w:vAlign w:val="center"/>
          </w:tcPr>
          <w:p w14:paraId="5FA1170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400BF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366" w:type="pct"/>
            <w:vMerge w:val="continue"/>
            <w:noWrap/>
            <w:vAlign w:val="center"/>
          </w:tcPr>
          <w:p w14:paraId="667A37A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6F685F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C6EC76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719E228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3.54E-05</w:t>
            </w:r>
          </w:p>
        </w:tc>
        <w:tc>
          <w:tcPr>
            <w:tcW w:w="699" w:type="pct"/>
            <w:noWrap/>
            <w:vAlign w:val="center"/>
          </w:tcPr>
          <w:p w14:paraId="38FA5D0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4DBC72F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123A7E6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7269B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366" w:type="pct"/>
            <w:vMerge w:val="continue"/>
            <w:noWrap/>
            <w:vAlign w:val="center"/>
          </w:tcPr>
          <w:p w14:paraId="2F051D2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25A974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492568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6E41816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7.40E-07</w:t>
            </w:r>
          </w:p>
        </w:tc>
        <w:tc>
          <w:tcPr>
            <w:tcW w:w="699" w:type="pct"/>
            <w:noWrap/>
            <w:vAlign w:val="center"/>
          </w:tcPr>
          <w:p w14:paraId="5FE4468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C7BC6C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562BFAA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D0775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3" w:hRule="atLeast"/>
          <w:jc w:val="center"/>
        </w:trPr>
        <w:tc>
          <w:tcPr>
            <w:tcW w:w="366" w:type="pct"/>
            <w:vMerge w:val="restart"/>
            <w:noWrap/>
            <w:vAlign w:val="center"/>
          </w:tcPr>
          <w:p w14:paraId="3810644A">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44</w:t>
            </w:r>
          </w:p>
        </w:tc>
        <w:tc>
          <w:tcPr>
            <w:tcW w:w="1210" w:type="pct"/>
            <w:vMerge w:val="restart"/>
            <w:noWrap/>
            <w:vAlign w:val="center"/>
          </w:tcPr>
          <w:p w14:paraId="79663EF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数码港宾馆</w:t>
            </w:r>
          </w:p>
        </w:tc>
        <w:tc>
          <w:tcPr>
            <w:tcW w:w="608" w:type="pct"/>
            <w:noWrap/>
            <w:vAlign w:val="center"/>
          </w:tcPr>
          <w:p w14:paraId="010FA46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28652DD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9.08E-04</w:t>
            </w:r>
          </w:p>
        </w:tc>
        <w:tc>
          <w:tcPr>
            <w:tcW w:w="699" w:type="pct"/>
            <w:noWrap/>
            <w:vAlign w:val="center"/>
          </w:tcPr>
          <w:p w14:paraId="1F2B215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24032513</w:t>
            </w:r>
          </w:p>
        </w:tc>
        <w:tc>
          <w:tcPr>
            <w:tcW w:w="588" w:type="pct"/>
            <w:noWrap/>
            <w:vAlign w:val="center"/>
          </w:tcPr>
          <w:p w14:paraId="7A48336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0.18</w:t>
            </w:r>
          </w:p>
        </w:tc>
        <w:tc>
          <w:tcPr>
            <w:tcW w:w="608" w:type="pct"/>
            <w:noWrap/>
            <w:vAlign w:val="center"/>
          </w:tcPr>
          <w:p w14:paraId="1CE7AE4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99C1F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366" w:type="pct"/>
            <w:vMerge w:val="continue"/>
            <w:noWrap/>
            <w:vAlign w:val="center"/>
          </w:tcPr>
          <w:p w14:paraId="329A28C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E02A56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65195D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1E6FE43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1.80E-04</w:t>
            </w:r>
          </w:p>
        </w:tc>
        <w:tc>
          <w:tcPr>
            <w:tcW w:w="699" w:type="pct"/>
            <w:noWrap/>
            <w:vAlign w:val="center"/>
          </w:tcPr>
          <w:p w14:paraId="782091A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69AE17B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0.12</w:t>
            </w:r>
          </w:p>
        </w:tc>
        <w:tc>
          <w:tcPr>
            <w:tcW w:w="608" w:type="pct"/>
            <w:noWrap/>
            <w:vAlign w:val="center"/>
          </w:tcPr>
          <w:p w14:paraId="2FE8C89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45F28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366" w:type="pct"/>
            <w:vMerge w:val="continue"/>
            <w:noWrap/>
            <w:vAlign w:val="center"/>
          </w:tcPr>
          <w:p w14:paraId="65B868A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6D2F7C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822491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640FF0B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7.86E-06</w:t>
            </w:r>
          </w:p>
        </w:tc>
        <w:tc>
          <w:tcPr>
            <w:tcW w:w="699" w:type="pct"/>
            <w:noWrap/>
            <w:vAlign w:val="center"/>
          </w:tcPr>
          <w:p w14:paraId="02D6FE5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1DD012C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1AD021F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D1EED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66" w:type="pct"/>
            <w:vMerge w:val="restart"/>
            <w:noWrap/>
            <w:vAlign w:val="center"/>
          </w:tcPr>
          <w:p w14:paraId="696BD6DE">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45</w:t>
            </w:r>
          </w:p>
        </w:tc>
        <w:tc>
          <w:tcPr>
            <w:tcW w:w="1210" w:type="pct"/>
            <w:vMerge w:val="restart"/>
            <w:noWrap/>
            <w:vAlign w:val="center"/>
          </w:tcPr>
          <w:p w14:paraId="3B8C978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山水国际</w:t>
            </w:r>
          </w:p>
        </w:tc>
        <w:tc>
          <w:tcPr>
            <w:tcW w:w="608" w:type="pct"/>
            <w:noWrap/>
            <w:vAlign w:val="center"/>
          </w:tcPr>
          <w:p w14:paraId="1DAA87F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0142B66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1.20E-03</w:t>
            </w:r>
          </w:p>
        </w:tc>
        <w:tc>
          <w:tcPr>
            <w:tcW w:w="699" w:type="pct"/>
            <w:noWrap/>
            <w:vAlign w:val="center"/>
          </w:tcPr>
          <w:p w14:paraId="5739882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24041612</w:t>
            </w:r>
          </w:p>
        </w:tc>
        <w:tc>
          <w:tcPr>
            <w:tcW w:w="588" w:type="pct"/>
            <w:noWrap/>
            <w:vAlign w:val="center"/>
          </w:tcPr>
          <w:p w14:paraId="520B4C2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0.24</w:t>
            </w:r>
          </w:p>
        </w:tc>
        <w:tc>
          <w:tcPr>
            <w:tcW w:w="608" w:type="pct"/>
            <w:noWrap/>
            <w:vAlign w:val="center"/>
          </w:tcPr>
          <w:p w14:paraId="02589FD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849D0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366" w:type="pct"/>
            <w:vMerge w:val="continue"/>
            <w:noWrap/>
            <w:vAlign w:val="center"/>
          </w:tcPr>
          <w:p w14:paraId="230EC2E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D13613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92E665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20FFDCD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2.94E-04</w:t>
            </w:r>
          </w:p>
        </w:tc>
        <w:tc>
          <w:tcPr>
            <w:tcW w:w="699" w:type="pct"/>
            <w:noWrap/>
            <w:vAlign w:val="center"/>
          </w:tcPr>
          <w:p w14:paraId="2E243B2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240408</w:t>
            </w:r>
          </w:p>
        </w:tc>
        <w:tc>
          <w:tcPr>
            <w:tcW w:w="588" w:type="pct"/>
            <w:noWrap/>
            <w:vAlign w:val="center"/>
          </w:tcPr>
          <w:p w14:paraId="1BB69E2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0.20</w:t>
            </w:r>
          </w:p>
        </w:tc>
        <w:tc>
          <w:tcPr>
            <w:tcW w:w="608" w:type="pct"/>
            <w:noWrap/>
            <w:vAlign w:val="center"/>
          </w:tcPr>
          <w:p w14:paraId="15CD676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8AD65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366" w:type="pct"/>
            <w:vMerge w:val="continue"/>
            <w:noWrap/>
            <w:vAlign w:val="center"/>
          </w:tcPr>
          <w:p w14:paraId="2960B57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690613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7DD1E4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1A20877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2.93E-05</w:t>
            </w:r>
          </w:p>
        </w:tc>
        <w:tc>
          <w:tcPr>
            <w:tcW w:w="699" w:type="pct"/>
            <w:noWrap/>
            <w:vAlign w:val="center"/>
          </w:tcPr>
          <w:p w14:paraId="4926BAB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71988C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36FD7E8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00338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366" w:type="pct"/>
            <w:vMerge w:val="restart"/>
            <w:noWrap/>
            <w:vAlign w:val="center"/>
          </w:tcPr>
          <w:p w14:paraId="1DB49A0E">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46</w:t>
            </w:r>
          </w:p>
        </w:tc>
        <w:tc>
          <w:tcPr>
            <w:tcW w:w="1210" w:type="pct"/>
            <w:vMerge w:val="restart"/>
            <w:noWrap/>
            <w:vAlign w:val="center"/>
          </w:tcPr>
          <w:p w14:paraId="7305F82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湖畔花园小区</w:t>
            </w:r>
          </w:p>
        </w:tc>
        <w:tc>
          <w:tcPr>
            <w:tcW w:w="608" w:type="pct"/>
            <w:noWrap/>
            <w:vAlign w:val="center"/>
          </w:tcPr>
          <w:p w14:paraId="0A458C5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56ACCE4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8.93E-04</w:t>
            </w:r>
          </w:p>
        </w:tc>
        <w:tc>
          <w:tcPr>
            <w:tcW w:w="699" w:type="pct"/>
            <w:noWrap/>
            <w:vAlign w:val="center"/>
          </w:tcPr>
          <w:p w14:paraId="3C889D2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24032514</w:t>
            </w:r>
          </w:p>
        </w:tc>
        <w:tc>
          <w:tcPr>
            <w:tcW w:w="588" w:type="pct"/>
            <w:noWrap/>
            <w:vAlign w:val="center"/>
          </w:tcPr>
          <w:p w14:paraId="38C5C1B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0.18</w:t>
            </w:r>
          </w:p>
        </w:tc>
        <w:tc>
          <w:tcPr>
            <w:tcW w:w="608" w:type="pct"/>
            <w:noWrap/>
            <w:vAlign w:val="center"/>
          </w:tcPr>
          <w:p w14:paraId="0D8F87B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D234C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jc w:val="center"/>
        </w:trPr>
        <w:tc>
          <w:tcPr>
            <w:tcW w:w="366" w:type="pct"/>
            <w:vMerge w:val="continue"/>
            <w:noWrap/>
            <w:vAlign w:val="center"/>
          </w:tcPr>
          <w:p w14:paraId="0C2B1A1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37712C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170179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620BD74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1.59E-04</w:t>
            </w:r>
          </w:p>
        </w:tc>
        <w:tc>
          <w:tcPr>
            <w:tcW w:w="699" w:type="pct"/>
            <w:noWrap/>
            <w:vAlign w:val="center"/>
          </w:tcPr>
          <w:p w14:paraId="0D260B9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240325</w:t>
            </w:r>
          </w:p>
        </w:tc>
        <w:tc>
          <w:tcPr>
            <w:tcW w:w="588" w:type="pct"/>
            <w:noWrap/>
            <w:vAlign w:val="center"/>
          </w:tcPr>
          <w:p w14:paraId="514A42E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0.11</w:t>
            </w:r>
          </w:p>
        </w:tc>
        <w:tc>
          <w:tcPr>
            <w:tcW w:w="608" w:type="pct"/>
            <w:noWrap/>
            <w:vAlign w:val="center"/>
          </w:tcPr>
          <w:p w14:paraId="0DB0140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C07C5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366" w:type="pct"/>
            <w:vMerge w:val="continue"/>
            <w:noWrap/>
            <w:vAlign w:val="center"/>
          </w:tcPr>
          <w:p w14:paraId="33804CB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8A16F2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90D365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4A30FD4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4.85E-06</w:t>
            </w:r>
          </w:p>
        </w:tc>
        <w:tc>
          <w:tcPr>
            <w:tcW w:w="699" w:type="pct"/>
            <w:noWrap/>
            <w:vAlign w:val="center"/>
          </w:tcPr>
          <w:p w14:paraId="04A6EE7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36D3BC4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5094EE7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1E800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366" w:type="pct"/>
            <w:vMerge w:val="restart"/>
            <w:noWrap/>
            <w:vAlign w:val="center"/>
          </w:tcPr>
          <w:p w14:paraId="64D77736">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47</w:t>
            </w:r>
          </w:p>
        </w:tc>
        <w:tc>
          <w:tcPr>
            <w:tcW w:w="1210" w:type="pct"/>
            <w:vMerge w:val="restart"/>
            <w:noWrap/>
            <w:vAlign w:val="center"/>
          </w:tcPr>
          <w:p w14:paraId="49288B3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湖滨小区</w:t>
            </w:r>
          </w:p>
        </w:tc>
        <w:tc>
          <w:tcPr>
            <w:tcW w:w="608" w:type="pct"/>
            <w:noWrap/>
            <w:vAlign w:val="center"/>
          </w:tcPr>
          <w:p w14:paraId="6CD03C3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40C1CDC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8.45E-04</w:t>
            </w:r>
          </w:p>
        </w:tc>
        <w:tc>
          <w:tcPr>
            <w:tcW w:w="699" w:type="pct"/>
            <w:noWrap/>
            <w:vAlign w:val="center"/>
          </w:tcPr>
          <w:p w14:paraId="02A71D5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24032012</w:t>
            </w:r>
          </w:p>
        </w:tc>
        <w:tc>
          <w:tcPr>
            <w:tcW w:w="588" w:type="pct"/>
            <w:noWrap/>
            <w:vAlign w:val="center"/>
          </w:tcPr>
          <w:p w14:paraId="6270113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0.17</w:t>
            </w:r>
          </w:p>
        </w:tc>
        <w:tc>
          <w:tcPr>
            <w:tcW w:w="608" w:type="pct"/>
            <w:noWrap/>
            <w:vAlign w:val="center"/>
          </w:tcPr>
          <w:p w14:paraId="7DE12D3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6291A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366" w:type="pct"/>
            <w:vMerge w:val="continue"/>
            <w:noWrap/>
            <w:vAlign w:val="center"/>
          </w:tcPr>
          <w:p w14:paraId="232ADF3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E29A0A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E99A05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1788DFE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1.25E-04</w:t>
            </w:r>
          </w:p>
        </w:tc>
        <w:tc>
          <w:tcPr>
            <w:tcW w:w="699" w:type="pct"/>
            <w:noWrap/>
            <w:vAlign w:val="center"/>
          </w:tcPr>
          <w:p w14:paraId="3AE391A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240325</w:t>
            </w:r>
          </w:p>
        </w:tc>
        <w:tc>
          <w:tcPr>
            <w:tcW w:w="588" w:type="pct"/>
            <w:noWrap/>
            <w:vAlign w:val="center"/>
          </w:tcPr>
          <w:p w14:paraId="65B961D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601CBFF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33439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366" w:type="pct"/>
            <w:vMerge w:val="continue"/>
            <w:noWrap/>
            <w:vAlign w:val="center"/>
          </w:tcPr>
          <w:p w14:paraId="209A134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F825D0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16EA22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2C78F5C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2.91E-06</w:t>
            </w:r>
          </w:p>
        </w:tc>
        <w:tc>
          <w:tcPr>
            <w:tcW w:w="699" w:type="pct"/>
            <w:noWrap/>
            <w:vAlign w:val="center"/>
          </w:tcPr>
          <w:p w14:paraId="2DC89FB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411DD20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7C00613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B9D93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366" w:type="pct"/>
            <w:vMerge w:val="restart"/>
            <w:noWrap/>
            <w:vAlign w:val="center"/>
          </w:tcPr>
          <w:p w14:paraId="4C521AD8">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48</w:t>
            </w:r>
          </w:p>
        </w:tc>
        <w:tc>
          <w:tcPr>
            <w:tcW w:w="1210" w:type="pct"/>
            <w:vMerge w:val="restart"/>
            <w:noWrap/>
            <w:vAlign w:val="center"/>
          </w:tcPr>
          <w:p w14:paraId="27FE5EB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吉祥小区</w:t>
            </w:r>
          </w:p>
        </w:tc>
        <w:tc>
          <w:tcPr>
            <w:tcW w:w="608" w:type="pct"/>
            <w:noWrap/>
            <w:vAlign w:val="center"/>
          </w:tcPr>
          <w:p w14:paraId="3412074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7553580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2.85E-04</w:t>
            </w:r>
          </w:p>
        </w:tc>
        <w:tc>
          <w:tcPr>
            <w:tcW w:w="699" w:type="pct"/>
            <w:noWrap/>
            <w:vAlign w:val="center"/>
          </w:tcPr>
          <w:p w14:paraId="2FD16B1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17E22C7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1187B66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769D3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366" w:type="pct"/>
            <w:vMerge w:val="continue"/>
            <w:noWrap/>
            <w:vAlign w:val="center"/>
          </w:tcPr>
          <w:p w14:paraId="49F714F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BEC6B8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B26715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320D86F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1.77E-05</w:t>
            </w:r>
          </w:p>
        </w:tc>
        <w:tc>
          <w:tcPr>
            <w:tcW w:w="699" w:type="pct"/>
            <w:noWrap/>
            <w:vAlign w:val="center"/>
          </w:tcPr>
          <w:p w14:paraId="30AC3FE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2ED9A0B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3401B6D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D2F7F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366" w:type="pct"/>
            <w:vMerge w:val="continue"/>
            <w:noWrap/>
            <w:vAlign w:val="center"/>
          </w:tcPr>
          <w:p w14:paraId="3E20A80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3B576B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7910D8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6C1C3AC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3.00E-07</w:t>
            </w:r>
          </w:p>
        </w:tc>
        <w:tc>
          <w:tcPr>
            <w:tcW w:w="699" w:type="pct"/>
            <w:noWrap/>
            <w:vAlign w:val="center"/>
          </w:tcPr>
          <w:p w14:paraId="1500979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415508C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1DB768D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BBDAA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366" w:type="pct"/>
            <w:vMerge w:val="restart"/>
            <w:noWrap/>
            <w:vAlign w:val="center"/>
          </w:tcPr>
          <w:p w14:paraId="3C9A6BB0">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49</w:t>
            </w:r>
          </w:p>
        </w:tc>
        <w:tc>
          <w:tcPr>
            <w:tcW w:w="1210" w:type="pct"/>
            <w:vMerge w:val="restart"/>
            <w:noWrap/>
            <w:vAlign w:val="center"/>
          </w:tcPr>
          <w:p w14:paraId="4C38F2C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天佑国际</w:t>
            </w:r>
          </w:p>
        </w:tc>
        <w:tc>
          <w:tcPr>
            <w:tcW w:w="608" w:type="pct"/>
            <w:noWrap/>
            <w:vAlign w:val="center"/>
          </w:tcPr>
          <w:p w14:paraId="349DACB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4C44FEE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8.28E-04</w:t>
            </w:r>
          </w:p>
        </w:tc>
        <w:tc>
          <w:tcPr>
            <w:tcW w:w="699" w:type="pct"/>
            <w:noWrap/>
            <w:vAlign w:val="center"/>
          </w:tcPr>
          <w:p w14:paraId="420BFEA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588" w:type="pct"/>
            <w:noWrap/>
            <w:vAlign w:val="center"/>
          </w:tcPr>
          <w:p w14:paraId="7760232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0.17</w:t>
            </w:r>
          </w:p>
        </w:tc>
        <w:tc>
          <w:tcPr>
            <w:tcW w:w="608" w:type="pct"/>
            <w:noWrap/>
            <w:vAlign w:val="center"/>
          </w:tcPr>
          <w:p w14:paraId="15B28EE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C00D7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366" w:type="pct"/>
            <w:vMerge w:val="continue"/>
            <w:noWrap/>
            <w:vAlign w:val="center"/>
          </w:tcPr>
          <w:p w14:paraId="10EA615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B90CA6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627907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0B46E24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1.59E-04</w:t>
            </w:r>
          </w:p>
        </w:tc>
        <w:tc>
          <w:tcPr>
            <w:tcW w:w="699" w:type="pct"/>
            <w:noWrap/>
            <w:vAlign w:val="center"/>
          </w:tcPr>
          <w:p w14:paraId="745680D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240317</w:t>
            </w:r>
          </w:p>
        </w:tc>
        <w:tc>
          <w:tcPr>
            <w:tcW w:w="588" w:type="pct"/>
            <w:noWrap/>
            <w:vAlign w:val="center"/>
          </w:tcPr>
          <w:p w14:paraId="2B2F9AD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0.11</w:t>
            </w:r>
          </w:p>
        </w:tc>
        <w:tc>
          <w:tcPr>
            <w:tcW w:w="608" w:type="pct"/>
            <w:noWrap/>
            <w:vAlign w:val="center"/>
          </w:tcPr>
          <w:p w14:paraId="2E89462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41210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366" w:type="pct"/>
            <w:vMerge w:val="continue"/>
            <w:noWrap/>
            <w:vAlign w:val="center"/>
          </w:tcPr>
          <w:p w14:paraId="42CE05A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EB7FA2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71F21F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045B683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1.01E-05</w:t>
            </w:r>
          </w:p>
        </w:tc>
        <w:tc>
          <w:tcPr>
            <w:tcW w:w="699" w:type="pct"/>
            <w:noWrap/>
            <w:vAlign w:val="center"/>
          </w:tcPr>
          <w:p w14:paraId="6B19DB6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586EC0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3D962C5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D5DEA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66" w:type="pct"/>
            <w:vMerge w:val="restart"/>
            <w:noWrap/>
            <w:vAlign w:val="center"/>
          </w:tcPr>
          <w:p w14:paraId="392B5278">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50</w:t>
            </w:r>
          </w:p>
        </w:tc>
        <w:tc>
          <w:tcPr>
            <w:tcW w:w="1210" w:type="pct"/>
            <w:vMerge w:val="restart"/>
            <w:noWrap/>
            <w:vAlign w:val="center"/>
          </w:tcPr>
          <w:p w14:paraId="7256FDD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前进社区</w:t>
            </w:r>
          </w:p>
        </w:tc>
        <w:tc>
          <w:tcPr>
            <w:tcW w:w="608" w:type="pct"/>
            <w:noWrap/>
            <w:vAlign w:val="center"/>
          </w:tcPr>
          <w:p w14:paraId="18EAA89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24CDCBD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9.16E-04</w:t>
            </w:r>
          </w:p>
        </w:tc>
        <w:tc>
          <w:tcPr>
            <w:tcW w:w="699" w:type="pct"/>
            <w:noWrap/>
            <w:vAlign w:val="center"/>
          </w:tcPr>
          <w:p w14:paraId="3ACDF43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24101108</w:t>
            </w:r>
          </w:p>
        </w:tc>
        <w:tc>
          <w:tcPr>
            <w:tcW w:w="588" w:type="pct"/>
            <w:noWrap/>
            <w:vAlign w:val="center"/>
          </w:tcPr>
          <w:p w14:paraId="4AB7550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0.18</w:t>
            </w:r>
          </w:p>
        </w:tc>
        <w:tc>
          <w:tcPr>
            <w:tcW w:w="608" w:type="pct"/>
            <w:noWrap/>
            <w:vAlign w:val="center"/>
          </w:tcPr>
          <w:p w14:paraId="47E4D47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AE622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366" w:type="pct"/>
            <w:vMerge w:val="continue"/>
            <w:noWrap/>
            <w:vAlign w:val="center"/>
          </w:tcPr>
          <w:p w14:paraId="271926D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7A5E0C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F9B922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16FBC4B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7.63E-05</w:t>
            </w:r>
          </w:p>
        </w:tc>
        <w:tc>
          <w:tcPr>
            <w:tcW w:w="699" w:type="pct"/>
            <w:noWrap/>
            <w:vAlign w:val="center"/>
          </w:tcPr>
          <w:p w14:paraId="77471B4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5D2E0CA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72EF495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A8B14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366" w:type="pct"/>
            <w:vMerge w:val="continue"/>
            <w:noWrap/>
            <w:vAlign w:val="center"/>
          </w:tcPr>
          <w:p w14:paraId="41BADD5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124687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1FE2ED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7FF7984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3.57E-06</w:t>
            </w:r>
          </w:p>
        </w:tc>
        <w:tc>
          <w:tcPr>
            <w:tcW w:w="699" w:type="pct"/>
            <w:noWrap/>
            <w:vAlign w:val="center"/>
          </w:tcPr>
          <w:p w14:paraId="7EA526D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DE4069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01C59D9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12580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366" w:type="pct"/>
            <w:vMerge w:val="restart"/>
            <w:noWrap/>
            <w:vAlign w:val="center"/>
          </w:tcPr>
          <w:p w14:paraId="6AE24F08">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51</w:t>
            </w:r>
          </w:p>
        </w:tc>
        <w:tc>
          <w:tcPr>
            <w:tcW w:w="1210" w:type="pct"/>
            <w:vMerge w:val="restart"/>
            <w:noWrap/>
            <w:vAlign w:val="center"/>
          </w:tcPr>
          <w:p w14:paraId="3757876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幸福家园</w:t>
            </w:r>
          </w:p>
        </w:tc>
        <w:tc>
          <w:tcPr>
            <w:tcW w:w="608" w:type="pct"/>
            <w:noWrap/>
            <w:vAlign w:val="center"/>
          </w:tcPr>
          <w:p w14:paraId="6E12BC3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565AB4B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1.36E-03</w:t>
            </w:r>
          </w:p>
        </w:tc>
        <w:tc>
          <w:tcPr>
            <w:tcW w:w="699" w:type="pct"/>
            <w:noWrap/>
            <w:vAlign w:val="center"/>
          </w:tcPr>
          <w:p w14:paraId="5C735F7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588" w:type="pct"/>
            <w:noWrap/>
            <w:vAlign w:val="center"/>
          </w:tcPr>
          <w:p w14:paraId="2692FF3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0.27</w:t>
            </w:r>
          </w:p>
        </w:tc>
        <w:tc>
          <w:tcPr>
            <w:tcW w:w="608" w:type="pct"/>
            <w:noWrap/>
            <w:vAlign w:val="center"/>
          </w:tcPr>
          <w:p w14:paraId="45C0FDD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7B869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366" w:type="pct"/>
            <w:vMerge w:val="continue"/>
            <w:noWrap/>
            <w:vAlign w:val="center"/>
          </w:tcPr>
          <w:p w14:paraId="2CC6FE3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8AE2E9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9C1C02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6CA386E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1.50E-04</w:t>
            </w:r>
          </w:p>
        </w:tc>
        <w:tc>
          <w:tcPr>
            <w:tcW w:w="699" w:type="pct"/>
            <w:noWrap/>
            <w:vAlign w:val="center"/>
          </w:tcPr>
          <w:p w14:paraId="1B6387C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241122</w:t>
            </w:r>
          </w:p>
        </w:tc>
        <w:tc>
          <w:tcPr>
            <w:tcW w:w="588" w:type="pct"/>
            <w:noWrap/>
            <w:vAlign w:val="center"/>
          </w:tcPr>
          <w:p w14:paraId="4BB540B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0.10</w:t>
            </w:r>
          </w:p>
        </w:tc>
        <w:tc>
          <w:tcPr>
            <w:tcW w:w="608" w:type="pct"/>
            <w:noWrap/>
            <w:vAlign w:val="center"/>
          </w:tcPr>
          <w:p w14:paraId="4D1ADEA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E943C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 w:hRule="atLeast"/>
          <w:jc w:val="center"/>
        </w:trPr>
        <w:tc>
          <w:tcPr>
            <w:tcW w:w="366" w:type="pct"/>
            <w:vMerge w:val="continue"/>
            <w:noWrap/>
            <w:vAlign w:val="center"/>
          </w:tcPr>
          <w:p w14:paraId="6BCC6E8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03C66A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892E9D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25AB61C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1.35E-05</w:t>
            </w:r>
          </w:p>
        </w:tc>
        <w:tc>
          <w:tcPr>
            <w:tcW w:w="699" w:type="pct"/>
            <w:noWrap/>
            <w:vAlign w:val="center"/>
          </w:tcPr>
          <w:p w14:paraId="675066A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C93502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105D827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591DD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 w:hRule="atLeast"/>
          <w:jc w:val="center"/>
        </w:trPr>
        <w:tc>
          <w:tcPr>
            <w:tcW w:w="366" w:type="pct"/>
            <w:vMerge w:val="restart"/>
            <w:noWrap/>
            <w:vAlign w:val="center"/>
          </w:tcPr>
          <w:p w14:paraId="4FF474E8">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52</w:t>
            </w:r>
          </w:p>
        </w:tc>
        <w:tc>
          <w:tcPr>
            <w:tcW w:w="1210" w:type="pct"/>
            <w:vMerge w:val="restart"/>
            <w:noWrap/>
            <w:vAlign w:val="center"/>
          </w:tcPr>
          <w:p w14:paraId="20584FA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盛世嘉园</w:t>
            </w:r>
          </w:p>
        </w:tc>
        <w:tc>
          <w:tcPr>
            <w:tcW w:w="608" w:type="pct"/>
            <w:noWrap/>
            <w:vAlign w:val="center"/>
          </w:tcPr>
          <w:p w14:paraId="6D66D9E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5236838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6.36E-04</w:t>
            </w:r>
          </w:p>
        </w:tc>
        <w:tc>
          <w:tcPr>
            <w:tcW w:w="699" w:type="pct"/>
            <w:noWrap/>
            <w:vAlign w:val="center"/>
          </w:tcPr>
          <w:p w14:paraId="75F92CA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24031913</w:t>
            </w:r>
          </w:p>
        </w:tc>
        <w:tc>
          <w:tcPr>
            <w:tcW w:w="588" w:type="pct"/>
            <w:noWrap/>
            <w:vAlign w:val="center"/>
          </w:tcPr>
          <w:p w14:paraId="75E8F68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0.13</w:t>
            </w:r>
          </w:p>
        </w:tc>
        <w:tc>
          <w:tcPr>
            <w:tcW w:w="608" w:type="pct"/>
            <w:noWrap/>
            <w:vAlign w:val="center"/>
          </w:tcPr>
          <w:p w14:paraId="6652B3E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AECDE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0" w:hRule="atLeast"/>
          <w:jc w:val="center"/>
        </w:trPr>
        <w:tc>
          <w:tcPr>
            <w:tcW w:w="366" w:type="pct"/>
            <w:vMerge w:val="continue"/>
            <w:noWrap/>
            <w:vAlign w:val="center"/>
          </w:tcPr>
          <w:p w14:paraId="2D782E8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8DCEF0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A17B45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521D13C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8.57E-05</w:t>
            </w:r>
          </w:p>
        </w:tc>
        <w:tc>
          <w:tcPr>
            <w:tcW w:w="699" w:type="pct"/>
            <w:noWrap/>
            <w:vAlign w:val="center"/>
          </w:tcPr>
          <w:p w14:paraId="2A0B9B7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12B39C4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2152A1A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C9495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366" w:type="pct"/>
            <w:vMerge w:val="continue"/>
            <w:noWrap/>
            <w:vAlign w:val="center"/>
          </w:tcPr>
          <w:p w14:paraId="0C82E38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ED7AAE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991066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2FB83EF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1.28E-06</w:t>
            </w:r>
          </w:p>
        </w:tc>
        <w:tc>
          <w:tcPr>
            <w:tcW w:w="699" w:type="pct"/>
            <w:noWrap/>
            <w:vAlign w:val="center"/>
          </w:tcPr>
          <w:p w14:paraId="5279BA1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452D038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2B14910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0B731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366" w:type="pct"/>
            <w:vMerge w:val="restart"/>
            <w:noWrap/>
            <w:vAlign w:val="center"/>
          </w:tcPr>
          <w:p w14:paraId="15FB231A">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53</w:t>
            </w:r>
          </w:p>
        </w:tc>
        <w:tc>
          <w:tcPr>
            <w:tcW w:w="1210" w:type="pct"/>
            <w:vMerge w:val="restart"/>
            <w:noWrap/>
            <w:vAlign w:val="center"/>
          </w:tcPr>
          <w:p w14:paraId="32F8A3A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兄弟花园</w:t>
            </w:r>
          </w:p>
        </w:tc>
        <w:tc>
          <w:tcPr>
            <w:tcW w:w="608" w:type="pct"/>
            <w:noWrap/>
            <w:vAlign w:val="center"/>
          </w:tcPr>
          <w:p w14:paraId="18A678F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25214B5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5.16E-04</w:t>
            </w:r>
          </w:p>
        </w:tc>
        <w:tc>
          <w:tcPr>
            <w:tcW w:w="699" w:type="pct"/>
            <w:noWrap/>
            <w:vAlign w:val="center"/>
          </w:tcPr>
          <w:p w14:paraId="5DB2631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722ADCB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0.10</w:t>
            </w:r>
          </w:p>
        </w:tc>
        <w:tc>
          <w:tcPr>
            <w:tcW w:w="608" w:type="pct"/>
            <w:noWrap/>
            <w:vAlign w:val="center"/>
          </w:tcPr>
          <w:p w14:paraId="2ADB811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819CB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366" w:type="pct"/>
            <w:vMerge w:val="continue"/>
            <w:noWrap/>
            <w:vAlign w:val="center"/>
          </w:tcPr>
          <w:p w14:paraId="6220DA5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DCB939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5036D4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71272F3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6.95E-05</w:t>
            </w:r>
          </w:p>
        </w:tc>
        <w:tc>
          <w:tcPr>
            <w:tcW w:w="699" w:type="pct"/>
            <w:noWrap/>
            <w:vAlign w:val="center"/>
          </w:tcPr>
          <w:p w14:paraId="32C991A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79C40DD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1831893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3A47F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366" w:type="pct"/>
            <w:vMerge w:val="continue"/>
            <w:noWrap/>
            <w:vAlign w:val="center"/>
          </w:tcPr>
          <w:p w14:paraId="0D182AF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2B5ABE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3EC737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0F2EE02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9.10E-07</w:t>
            </w:r>
          </w:p>
        </w:tc>
        <w:tc>
          <w:tcPr>
            <w:tcW w:w="699" w:type="pct"/>
            <w:noWrap/>
            <w:vAlign w:val="center"/>
          </w:tcPr>
          <w:p w14:paraId="46F6268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21B422D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5647D0D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4F17A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366" w:type="pct"/>
            <w:vMerge w:val="restart"/>
            <w:noWrap/>
            <w:vAlign w:val="center"/>
          </w:tcPr>
          <w:p w14:paraId="1A608084">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54</w:t>
            </w:r>
          </w:p>
        </w:tc>
        <w:tc>
          <w:tcPr>
            <w:tcW w:w="1210" w:type="pct"/>
            <w:vMerge w:val="restart"/>
            <w:noWrap/>
            <w:vAlign w:val="center"/>
          </w:tcPr>
          <w:p w14:paraId="733E076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同福嘉园</w:t>
            </w:r>
          </w:p>
        </w:tc>
        <w:tc>
          <w:tcPr>
            <w:tcW w:w="608" w:type="pct"/>
            <w:noWrap/>
            <w:vAlign w:val="center"/>
          </w:tcPr>
          <w:p w14:paraId="39069FA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72B587E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6.33E-04</w:t>
            </w:r>
          </w:p>
        </w:tc>
        <w:tc>
          <w:tcPr>
            <w:tcW w:w="699" w:type="pct"/>
            <w:noWrap/>
            <w:vAlign w:val="center"/>
          </w:tcPr>
          <w:p w14:paraId="3B8F131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031F26F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0.13</w:t>
            </w:r>
          </w:p>
        </w:tc>
        <w:tc>
          <w:tcPr>
            <w:tcW w:w="608" w:type="pct"/>
            <w:noWrap/>
            <w:vAlign w:val="center"/>
          </w:tcPr>
          <w:p w14:paraId="2955425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8741D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366" w:type="pct"/>
            <w:vMerge w:val="continue"/>
            <w:noWrap/>
            <w:vAlign w:val="center"/>
          </w:tcPr>
          <w:p w14:paraId="0D0DF1F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50B213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E69677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7013946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6.28E-05</w:t>
            </w:r>
          </w:p>
        </w:tc>
        <w:tc>
          <w:tcPr>
            <w:tcW w:w="699" w:type="pct"/>
            <w:noWrap/>
            <w:vAlign w:val="center"/>
          </w:tcPr>
          <w:p w14:paraId="56F6CF2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725141C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0.04</w:t>
            </w:r>
          </w:p>
        </w:tc>
        <w:tc>
          <w:tcPr>
            <w:tcW w:w="608" w:type="pct"/>
            <w:noWrap/>
            <w:vAlign w:val="center"/>
          </w:tcPr>
          <w:p w14:paraId="2A5A44D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9E666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366" w:type="pct"/>
            <w:vMerge w:val="continue"/>
            <w:noWrap/>
            <w:vAlign w:val="center"/>
          </w:tcPr>
          <w:p w14:paraId="50E788B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B571EC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F16AA5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4FC1913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7.80E-07</w:t>
            </w:r>
          </w:p>
        </w:tc>
        <w:tc>
          <w:tcPr>
            <w:tcW w:w="699" w:type="pct"/>
            <w:noWrap/>
            <w:vAlign w:val="center"/>
          </w:tcPr>
          <w:p w14:paraId="0B84B08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359271B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3F17873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B0C2F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366" w:type="pct"/>
            <w:vMerge w:val="restart"/>
            <w:noWrap/>
            <w:vAlign w:val="center"/>
          </w:tcPr>
          <w:p w14:paraId="191C01E3">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55</w:t>
            </w:r>
          </w:p>
        </w:tc>
        <w:tc>
          <w:tcPr>
            <w:tcW w:w="1210" w:type="pct"/>
            <w:vMerge w:val="restart"/>
            <w:noWrap/>
            <w:vAlign w:val="center"/>
          </w:tcPr>
          <w:p w14:paraId="6B0C049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富邦名苑</w:t>
            </w:r>
          </w:p>
        </w:tc>
        <w:tc>
          <w:tcPr>
            <w:tcW w:w="608" w:type="pct"/>
            <w:noWrap/>
            <w:vAlign w:val="center"/>
          </w:tcPr>
          <w:p w14:paraId="08CE92F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739405C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6.47E-04</w:t>
            </w:r>
          </w:p>
        </w:tc>
        <w:tc>
          <w:tcPr>
            <w:tcW w:w="699" w:type="pct"/>
            <w:noWrap/>
            <w:vAlign w:val="center"/>
          </w:tcPr>
          <w:p w14:paraId="25B912A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24031916</w:t>
            </w:r>
          </w:p>
        </w:tc>
        <w:tc>
          <w:tcPr>
            <w:tcW w:w="588" w:type="pct"/>
            <w:noWrap/>
            <w:vAlign w:val="center"/>
          </w:tcPr>
          <w:p w14:paraId="4968E4E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0.13</w:t>
            </w:r>
          </w:p>
        </w:tc>
        <w:tc>
          <w:tcPr>
            <w:tcW w:w="608" w:type="pct"/>
            <w:noWrap/>
            <w:vAlign w:val="center"/>
          </w:tcPr>
          <w:p w14:paraId="77C5092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CBEE0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366" w:type="pct"/>
            <w:vMerge w:val="continue"/>
            <w:noWrap/>
            <w:vAlign w:val="center"/>
          </w:tcPr>
          <w:p w14:paraId="74A7CB8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AC2333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C738AC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3BB1241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4.40E-05</w:t>
            </w:r>
          </w:p>
        </w:tc>
        <w:tc>
          <w:tcPr>
            <w:tcW w:w="699" w:type="pct"/>
            <w:noWrap/>
            <w:vAlign w:val="center"/>
          </w:tcPr>
          <w:p w14:paraId="1FA1901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3DA18D0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6020255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5DE1D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jc w:val="center"/>
        </w:trPr>
        <w:tc>
          <w:tcPr>
            <w:tcW w:w="366" w:type="pct"/>
            <w:vMerge w:val="continue"/>
            <w:noWrap/>
            <w:vAlign w:val="center"/>
          </w:tcPr>
          <w:p w14:paraId="0B89CCA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4217AA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19B006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083B33E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5.90E-07</w:t>
            </w:r>
          </w:p>
        </w:tc>
        <w:tc>
          <w:tcPr>
            <w:tcW w:w="699" w:type="pct"/>
            <w:noWrap/>
            <w:vAlign w:val="center"/>
          </w:tcPr>
          <w:p w14:paraId="228B3D0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284F91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518014D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367AF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366" w:type="pct"/>
            <w:vMerge w:val="restart"/>
            <w:noWrap/>
            <w:vAlign w:val="center"/>
          </w:tcPr>
          <w:p w14:paraId="70D7A40D">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56</w:t>
            </w:r>
          </w:p>
        </w:tc>
        <w:tc>
          <w:tcPr>
            <w:tcW w:w="1210" w:type="pct"/>
            <w:vMerge w:val="restart"/>
            <w:noWrap/>
            <w:vAlign w:val="center"/>
          </w:tcPr>
          <w:p w14:paraId="190E5CB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龙海世纪大酒店</w:t>
            </w:r>
          </w:p>
        </w:tc>
        <w:tc>
          <w:tcPr>
            <w:tcW w:w="608" w:type="pct"/>
            <w:noWrap/>
            <w:vAlign w:val="center"/>
          </w:tcPr>
          <w:p w14:paraId="006FF8F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4A37D39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6.50E-04</w:t>
            </w:r>
          </w:p>
        </w:tc>
        <w:tc>
          <w:tcPr>
            <w:tcW w:w="699" w:type="pct"/>
            <w:noWrap/>
            <w:vAlign w:val="center"/>
          </w:tcPr>
          <w:p w14:paraId="0FB682C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24040909</w:t>
            </w:r>
          </w:p>
        </w:tc>
        <w:tc>
          <w:tcPr>
            <w:tcW w:w="588" w:type="pct"/>
            <w:noWrap/>
            <w:vAlign w:val="center"/>
          </w:tcPr>
          <w:p w14:paraId="5CCD8F6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0.13</w:t>
            </w:r>
          </w:p>
        </w:tc>
        <w:tc>
          <w:tcPr>
            <w:tcW w:w="608" w:type="pct"/>
            <w:noWrap/>
            <w:vAlign w:val="center"/>
          </w:tcPr>
          <w:p w14:paraId="68EC014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C907F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366" w:type="pct"/>
            <w:vMerge w:val="continue"/>
            <w:noWrap/>
            <w:vAlign w:val="center"/>
          </w:tcPr>
          <w:p w14:paraId="398AB26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7096B7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0F8A09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6F2134B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3.07E-05</w:t>
            </w:r>
          </w:p>
        </w:tc>
        <w:tc>
          <w:tcPr>
            <w:tcW w:w="699" w:type="pct"/>
            <w:noWrap/>
            <w:vAlign w:val="center"/>
          </w:tcPr>
          <w:p w14:paraId="596A4F2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w:t>
            </w:r>
          </w:p>
        </w:tc>
        <w:tc>
          <w:tcPr>
            <w:tcW w:w="588" w:type="pct"/>
            <w:noWrap/>
            <w:vAlign w:val="center"/>
          </w:tcPr>
          <w:p w14:paraId="59B76D8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5FFF24F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93953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366" w:type="pct"/>
            <w:vMerge w:val="continue"/>
            <w:noWrap/>
            <w:vAlign w:val="center"/>
          </w:tcPr>
          <w:p w14:paraId="29F5F5B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3F40FD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7707CE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37ADA75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7.90E-07</w:t>
            </w:r>
          </w:p>
        </w:tc>
        <w:tc>
          <w:tcPr>
            <w:tcW w:w="699" w:type="pct"/>
            <w:noWrap/>
            <w:vAlign w:val="center"/>
          </w:tcPr>
          <w:p w14:paraId="5472CF0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23D7282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7D4220B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CFA3B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366" w:type="pct"/>
            <w:vMerge w:val="restart"/>
            <w:noWrap/>
            <w:vAlign w:val="center"/>
          </w:tcPr>
          <w:p w14:paraId="1E182258">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57</w:t>
            </w:r>
          </w:p>
        </w:tc>
        <w:tc>
          <w:tcPr>
            <w:tcW w:w="1210" w:type="pct"/>
            <w:vMerge w:val="restart"/>
            <w:noWrap/>
            <w:vAlign w:val="center"/>
          </w:tcPr>
          <w:p w14:paraId="4C1DE2D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供电小区</w:t>
            </w:r>
          </w:p>
        </w:tc>
        <w:tc>
          <w:tcPr>
            <w:tcW w:w="608" w:type="pct"/>
            <w:noWrap/>
            <w:vAlign w:val="center"/>
          </w:tcPr>
          <w:p w14:paraId="0E316D7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1AD64A5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9.41E-04</w:t>
            </w:r>
          </w:p>
        </w:tc>
        <w:tc>
          <w:tcPr>
            <w:tcW w:w="699" w:type="pct"/>
            <w:noWrap/>
            <w:vAlign w:val="center"/>
          </w:tcPr>
          <w:p w14:paraId="11BE67B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24110810</w:t>
            </w:r>
          </w:p>
        </w:tc>
        <w:tc>
          <w:tcPr>
            <w:tcW w:w="588" w:type="pct"/>
            <w:noWrap/>
            <w:vAlign w:val="center"/>
          </w:tcPr>
          <w:p w14:paraId="7F5441F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0.19</w:t>
            </w:r>
          </w:p>
        </w:tc>
        <w:tc>
          <w:tcPr>
            <w:tcW w:w="608" w:type="pct"/>
            <w:noWrap/>
            <w:vAlign w:val="center"/>
          </w:tcPr>
          <w:p w14:paraId="2619C1C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4625A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366" w:type="pct"/>
            <w:vMerge w:val="continue"/>
            <w:noWrap/>
            <w:vAlign w:val="center"/>
          </w:tcPr>
          <w:p w14:paraId="66E0842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2E6C8F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B0E049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4225780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8.00E-05</w:t>
            </w:r>
          </w:p>
        </w:tc>
        <w:tc>
          <w:tcPr>
            <w:tcW w:w="699" w:type="pct"/>
            <w:noWrap/>
            <w:vAlign w:val="center"/>
          </w:tcPr>
          <w:p w14:paraId="48C6BD4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36DED6A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295643A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7D729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366" w:type="pct"/>
            <w:vMerge w:val="continue"/>
            <w:noWrap/>
            <w:vAlign w:val="center"/>
          </w:tcPr>
          <w:p w14:paraId="45EDFF8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C4E2A6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5EB8DE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6CBDCD0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2.54E-06</w:t>
            </w:r>
          </w:p>
        </w:tc>
        <w:tc>
          <w:tcPr>
            <w:tcW w:w="699" w:type="pct"/>
            <w:noWrap/>
            <w:vAlign w:val="center"/>
          </w:tcPr>
          <w:p w14:paraId="3D604E4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1D41C63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326CBEE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B04C8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366" w:type="pct"/>
            <w:vMerge w:val="restart"/>
            <w:noWrap/>
            <w:vAlign w:val="center"/>
          </w:tcPr>
          <w:p w14:paraId="36A21200">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58</w:t>
            </w:r>
          </w:p>
        </w:tc>
        <w:tc>
          <w:tcPr>
            <w:tcW w:w="1210" w:type="pct"/>
            <w:vMerge w:val="restart"/>
            <w:noWrap/>
            <w:vAlign w:val="center"/>
          </w:tcPr>
          <w:p w14:paraId="5F49D93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九鹤堂医院</w:t>
            </w:r>
          </w:p>
        </w:tc>
        <w:tc>
          <w:tcPr>
            <w:tcW w:w="608" w:type="pct"/>
            <w:noWrap/>
            <w:vAlign w:val="center"/>
          </w:tcPr>
          <w:p w14:paraId="2BF12FE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52BB97C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9.64E-04</w:t>
            </w:r>
          </w:p>
        </w:tc>
        <w:tc>
          <w:tcPr>
            <w:tcW w:w="699" w:type="pct"/>
            <w:noWrap/>
            <w:vAlign w:val="center"/>
          </w:tcPr>
          <w:p w14:paraId="4950A6B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24110810</w:t>
            </w:r>
          </w:p>
        </w:tc>
        <w:tc>
          <w:tcPr>
            <w:tcW w:w="588" w:type="pct"/>
            <w:noWrap/>
            <w:vAlign w:val="center"/>
          </w:tcPr>
          <w:p w14:paraId="78C2210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0.19</w:t>
            </w:r>
          </w:p>
        </w:tc>
        <w:tc>
          <w:tcPr>
            <w:tcW w:w="608" w:type="pct"/>
            <w:noWrap/>
            <w:vAlign w:val="center"/>
          </w:tcPr>
          <w:p w14:paraId="6627732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CDAF4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366" w:type="pct"/>
            <w:vMerge w:val="continue"/>
            <w:noWrap/>
            <w:vAlign w:val="center"/>
          </w:tcPr>
          <w:p w14:paraId="1A7E2EF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31120F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AC0D68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4957C3C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1.39E-04</w:t>
            </w:r>
          </w:p>
        </w:tc>
        <w:tc>
          <w:tcPr>
            <w:tcW w:w="699" w:type="pct"/>
            <w:noWrap/>
            <w:vAlign w:val="center"/>
          </w:tcPr>
          <w:p w14:paraId="7C8EB01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65D1294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0.09</w:t>
            </w:r>
          </w:p>
        </w:tc>
        <w:tc>
          <w:tcPr>
            <w:tcW w:w="608" w:type="pct"/>
            <w:noWrap/>
            <w:vAlign w:val="center"/>
          </w:tcPr>
          <w:p w14:paraId="76F9BAB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99E7A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366" w:type="pct"/>
            <w:vMerge w:val="continue"/>
            <w:noWrap/>
            <w:vAlign w:val="center"/>
          </w:tcPr>
          <w:p w14:paraId="6095535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782DB7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1A6B2E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4F10E83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6.53E-06</w:t>
            </w:r>
          </w:p>
        </w:tc>
        <w:tc>
          <w:tcPr>
            <w:tcW w:w="699" w:type="pct"/>
            <w:noWrap/>
            <w:vAlign w:val="center"/>
          </w:tcPr>
          <w:p w14:paraId="69FF20D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6F7D01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4E1ADB6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16388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366" w:type="pct"/>
            <w:vMerge w:val="restart"/>
            <w:noWrap/>
            <w:vAlign w:val="center"/>
          </w:tcPr>
          <w:p w14:paraId="5F93DD21">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59</w:t>
            </w:r>
          </w:p>
        </w:tc>
        <w:tc>
          <w:tcPr>
            <w:tcW w:w="1210" w:type="pct"/>
            <w:vMerge w:val="restart"/>
            <w:noWrap/>
            <w:vAlign w:val="center"/>
          </w:tcPr>
          <w:p w14:paraId="13C246E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颐民敬老院卫生所</w:t>
            </w:r>
          </w:p>
        </w:tc>
        <w:tc>
          <w:tcPr>
            <w:tcW w:w="608" w:type="pct"/>
            <w:noWrap/>
            <w:vAlign w:val="center"/>
          </w:tcPr>
          <w:p w14:paraId="37DE3EB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2E0F57F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6.77E-04</w:t>
            </w:r>
          </w:p>
        </w:tc>
        <w:tc>
          <w:tcPr>
            <w:tcW w:w="699" w:type="pct"/>
            <w:noWrap/>
            <w:vAlign w:val="center"/>
          </w:tcPr>
          <w:p w14:paraId="7AFD88F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24042110</w:t>
            </w:r>
          </w:p>
        </w:tc>
        <w:tc>
          <w:tcPr>
            <w:tcW w:w="588" w:type="pct"/>
            <w:noWrap/>
            <w:vAlign w:val="center"/>
          </w:tcPr>
          <w:p w14:paraId="6DFBAF0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0.14</w:t>
            </w:r>
          </w:p>
        </w:tc>
        <w:tc>
          <w:tcPr>
            <w:tcW w:w="608" w:type="pct"/>
            <w:noWrap/>
            <w:vAlign w:val="center"/>
          </w:tcPr>
          <w:p w14:paraId="6D74CF8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F310E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366" w:type="pct"/>
            <w:vMerge w:val="continue"/>
            <w:noWrap/>
            <w:vAlign w:val="center"/>
          </w:tcPr>
          <w:p w14:paraId="7BF535B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7775EC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B6BA69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7140D8D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6.83E-05</w:t>
            </w:r>
          </w:p>
        </w:tc>
        <w:tc>
          <w:tcPr>
            <w:tcW w:w="699" w:type="pct"/>
            <w:noWrap/>
            <w:vAlign w:val="center"/>
          </w:tcPr>
          <w:p w14:paraId="651C389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62B06E5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20E0E1C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07A98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366" w:type="pct"/>
            <w:vMerge w:val="continue"/>
            <w:noWrap/>
            <w:vAlign w:val="center"/>
          </w:tcPr>
          <w:p w14:paraId="595BDD9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853E0B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09EBE8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2B72565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1.26E-06</w:t>
            </w:r>
          </w:p>
        </w:tc>
        <w:tc>
          <w:tcPr>
            <w:tcW w:w="699" w:type="pct"/>
            <w:noWrap/>
            <w:vAlign w:val="center"/>
          </w:tcPr>
          <w:p w14:paraId="6138A00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6CC06A0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6DE319B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2C480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366" w:type="pct"/>
            <w:vMerge w:val="restart"/>
            <w:noWrap/>
            <w:vAlign w:val="center"/>
          </w:tcPr>
          <w:p w14:paraId="3FB288B1">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60</w:t>
            </w:r>
          </w:p>
        </w:tc>
        <w:tc>
          <w:tcPr>
            <w:tcW w:w="1210" w:type="pct"/>
            <w:vMerge w:val="restart"/>
            <w:noWrap/>
            <w:vAlign w:val="center"/>
          </w:tcPr>
          <w:p w14:paraId="4DEA388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绥芬河市中医医院</w:t>
            </w:r>
          </w:p>
        </w:tc>
        <w:tc>
          <w:tcPr>
            <w:tcW w:w="608" w:type="pct"/>
            <w:noWrap/>
            <w:vAlign w:val="center"/>
          </w:tcPr>
          <w:p w14:paraId="57187A4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095DE90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3.29E-04</w:t>
            </w:r>
          </w:p>
        </w:tc>
        <w:tc>
          <w:tcPr>
            <w:tcW w:w="699" w:type="pct"/>
            <w:noWrap/>
            <w:vAlign w:val="center"/>
          </w:tcPr>
          <w:p w14:paraId="3D91E95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24041107</w:t>
            </w:r>
          </w:p>
        </w:tc>
        <w:tc>
          <w:tcPr>
            <w:tcW w:w="588" w:type="pct"/>
            <w:noWrap/>
            <w:vAlign w:val="center"/>
          </w:tcPr>
          <w:p w14:paraId="49BF0CC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0BA0B9C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D3EEC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366" w:type="pct"/>
            <w:vMerge w:val="continue"/>
            <w:noWrap/>
            <w:vAlign w:val="center"/>
          </w:tcPr>
          <w:p w14:paraId="043F00F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703A43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FB5A6C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421E7C0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2.51E-05</w:t>
            </w:r>
          </w:p>
        </w:tc>
        <w:tc>
          <w:tcPr>
            <w:tcW w:w="699" w:type="pct"/>
            <w:noWrap/>
            <w:vAlign w:val="center"/>
          </w:tcPr>
          <w:p w14:paraId="1CDB66B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50468B6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6CF8720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250D1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366" w:type="pct"/>
            <w:vMerge w:val="continue"/>
            <w:noWrap/>
            <w:vAlign w:val="center"/>
          </w:tcPr>
          <w:p w14:paraId="5765A36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82EFA2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FF9FB4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04FA365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7.00E-07</w:t>
            </w:r>
          </w:p>
        </w:tc>
        <w:tc>
          <w:tcPr>
            <w:tcW w:w="699" w:type="pct"/>
            <w:noWrap/>
            <w:vAlign w:val="center"/>
          </w:tcPr>
          <w:p w14:paraId="67920C6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3F096D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396D85C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20678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366" w:type="pct"/>
            <w:vMerge w:val="restart"/>
            <w:noWrap/>
            <w:vAlign w:val="center"/>
          </w:tcPr>
          <w:p w14:paraId="207DA71B">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w:t>
            </w:r>
          </w:p>
        </w:tc>
        <w:tc>
          <w:tcPr>
            <w:tcW w:w="1210" w:type="pct"/>
            <w:vMerge w:val="restart"/>
            <w:noWrap/>
            <w:vAlign w:val="center"/>
          </w:tcPr>
          <w:p w14:paraId="66AB192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立银医院</w:t>
            </w:r>
          </w:p>
        </w:tc>
        <w:tc>
          <w:tcPr>
            <w:tcW w:w="608" w:type="pct"/>
            <w:noWrap/>
            <w:vAlign w:val="center"/>
          </w:tcPr>
          <w:p w14:paraId="60E8EFF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1563" w:type="dxa"/>
            <w:noWrap/>
            <w:vAlign w:val="center"/>
          </w:tcPr>
          <w:p w14:paraId="763ED11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7.60E-04</w:t>
            </w:r>
          </w:p>
        </w:tc>
        <w:tc>
          <w:tcPr>
            <w:tcW w:w="699" w:type="pct"/>
            <w:noWrap/>
            <w:vAlign w:val="center"/>
          </w:tcPr>
          <w:p w14:paraId="109857C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588" w:type="pct"/>
            <w:noWrap/>
            <w:vAlign w:val="center"/>
          </w:tcPr>
          <w:p w14:paraId="14C5187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0.27</w:t>
            </w:r>
          </w:p>
        </w:tc>
        <w:tc>
          <w:tcPr>
            <w:tcW w:w="608" w:type="pct"/>
            <w:noWrap/>
            <w:vAlign w:val="center"/>
          </w:tcPr>
          <w:p w14:paraId="0416D52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E2F8E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95" w:hRule="atLeast"/>
          <w:jc w:val="center"/>
        </w:trPr>
        <w:tc>
          <w:tcPr>
            <w:tcW w:w="366" w:type="pct"/>
            <w:vMerge w:val="continue"/>
            <w:noWrap/>
            <w:vAlign w:val="center"/>
          </w:tcPr>
          <w:p w14:paraId="0F1CCE8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327EC9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BC5939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1563" w:type="dxa"/>
            <w:noWrap/>
            <w:vAlign w:val="center"/>
          </w:tcPr>
          <w:p w14:paraId="6B4CB10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8.80E-05</w:t>
            </w:r>
          </w:p>
        </w:tc>
        <w:tc>
          <w:tcPr>
            <w:tcW w:w="699" w:type="pct"/>
            <w:noWrap/>
            <w:vAlign w:val="center"/>
          </w:tcPr>
          <w:p w14:paraId="3B13307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w:t>
            </w:r>
          </w:p>
        </w:tc>
        <w:tc>
          <w:tcPr>
            <w:tcW w:w="588" w:type="pct"/>
            <w:noWrap/>
            <w:vAlign w:val="center"/>
          </w:tcPr>
          <w:p w14:paraId="3D42DE9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32DAEC9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BEC77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vMerge w:val="continue"/>
            <w:noWrap/>
            <w:vAlign w:val="center"/>
          </w:tcPr>
          <w:p w14:paraId="1C4BBA7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BEA0AD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72725A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1563" w:type="dxa"/>
            <w:noWrap/>
            <w:vAlign w:val="center"/>
          </w:tcPr>
          <w:p w14:paraId="7B7CB46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6.51E-06</w:t>
            </w:r>
          </w:p>
        </w:tc>
        <w:tc>
          <w:tcPr>
            <w:tcW w:w="699" w:type="pct"/>
            <w:noWrap/>
            <w:vAlign w:val="center"/>
          </w:tcPr>
          <w:p w14:paraId="40C9074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E4CD7D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1FA6EB2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63D38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vMerge w:val="restart"/>
            <w:noWrap/>
            <w:vAlign w:val="center"/>
          </w:tcPr>
          <w:p w14:paraId="015678D6">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62</w:t>
            </w:r>
          </w:p>
        </w:tc>
        <w:tc>
          <w:tcPr>
            <w:tcW w:w="1210" w:type="pct"/>
            <w:vMerge w:val="restart"/>
            <w:noWrap/>
            <w:vAlign w:val="center"/>
          </w:tcPr>
          <w:p w14:paraId="0A74151A">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绥芬河市传染病医院</w:t>
            </w:r>
          </w:p>
        </w:tc>
        <w:tc>
          <w:tcPr>
            <w:tcW w:w="1037" w:type="dxa"/>
            <w:noWrap/>
            <w:vAlign w:val="center"/>
          </w:tcPr>
          <w:p w14:paraId="6EDF300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917" w:type="pct"/>
            <w:noWrap/>
            <w:vAlign w:val="center"/>
          </w:tcPr>
          <w:p w14:paraId="741961C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1.37E-03</w:t>
            </w:r>
          </w:p>
        </w:tc>
        <w:tc>
          <w:tcPr>
            <w:tcW w:w="699" w:type="pct"/>
            <w:noWrap/>
            <w:vAlign w:val="center"/>
          </w:tcPr>
          <w:p w14:paraId="4F35AF6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588" w:type="pct"/>
            <w:noWrap/>
            <w:vAlign w:val="center"/>
          </w:tcPr>
          <w:p w14:paraId="712357A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0.27</w:t>
            </w:r>
          </w:p>
        </w:tc>
        <w:tc>
          <w:tcPr>
            <w:tcW w:w="608" w:type="pct"/>
            <w:noWrap/>
            <w:vAlign w:val="center"/>
          </w:tcPr>
          <w:p w14:paraId="376C59D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44719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vMerge w:val="continue"/>
            <w:noWrap/>
            <w:vAlign w:val="center"/>
          </w:tcPr>
          <w:p w14:paraId="03BFB0F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FC94B9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37" w:type="dxa"/>
            <w:noWrap/>
            <w:vAlign w:val="center"/>
          </w:tcPr>
          <w:p w14:paraId="63F7F16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917" w:type="pct"/>
            <w:noWrap/>
            <w:vAlign w:val="center"/>
          </w:tcPr>
          <w:p w14:paraId="1425677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1.14E-04</w:t>
            </w:r>
          </w:p>
        </w:tc>
        <w:tc>
          <w:tcPr>
            <w:tcW w:w="699" w:type="pct"/>
            <w:noWrap/>
            <w:vAlign w:val="center"/>
          </w:tcPr>
          <w:p w14:paraId="276DF99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w:t>
            </w:r>
          </w:p>
        </w:tc>
        <w:tc>
          <w:tcPr>
            <w:tcW w:w="588" w:type="pct"/>
            <w:noWrap/>
            <w:vAlign w:val="center"/>
          </w:tcPr>
          <w:p w14:paraId="63A9CB7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2E8D1BA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7CF44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vMerge w:val="continue"/>
            <w:noWrap/>
            <w:vAlign w:val="center"/>
          </w:tcPr>
          <w:p w14:paraId="54C4AB7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7D48F1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37" w:type="dxa"/>
            <w:noWrap/>
            <w:vAlign w:val="center"/>
          </w:tcPr>
          <w:p w14:paraId="7DD1EBB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917" w:type="pct"/>
            <w:noWrap/>
            <w:vAlign w:val="center"/>
          </w:tcPr>
          <w:p w14:paraId="5778504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9.34E-06</w:t>
            </w:r>
          </w:p>
        </w:tc>
        <w:tc>
          <w:tcPr>
            <w:tcW w:w="699" w:type="pct"/>
            <w:noWrap/>
            <w:vAlign w:val="center"/>
          </w:tcPr>
          <w:p w14:paraId="5953B2A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62F47B5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471AA5B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E6EC6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6" w:type="pct"/>
            <w:vMerge w:val="restart"/>
            <w:noWrap/>
            <w:vAlign w:val="center"/>
          </w:tcPr>
          <w:p w14:paraId="6E950C67">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63</w:t>
            </w:r>
          </w:p>
        </w:tc>
        <w:tc>
          <w:tcPr>
            <w:tcW w:w="1210" w:type="pct"/>
            <w:vMerge w:val="restart"/>
            <w:noWrap/>
            <w:vAlign w:val="center"/>
          </w:tcPr>
          <w:p w14:paraId="008E6024">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网格</w:t>
            </w:r>
          </w:p>
        </w:tc>
        <w:tc>
          <w:tcPr>
            <w:tcW w:w="608" w:type="pct"/>
            <w:noWrap/>
            <w:vAlign w:val="center"/>
          </w:tcPr>
          <w:p w14:paraId="42CBE6D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1小时</w:t>
            </w:r>
          </w:p>
        </w:tc>
        <w:tc>
          <w:tcPr>
            <w:tcW w:w="917" w:type="pct"/>
            <w:noWrap/>
            <w:vAlign w:val="center"/>
          </w:tcPr>
          <w:p w14:paraId="58B7695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1.23E-03</w:t>
            </w:r>
          </w:p>
        </w:tc>
        <w:tc>
          <w:tcPr>
            <w:tcW w:w="699" w:type="pct"/>
            <w:noWrap/>
            <w:vAlign w:val="center"/>
          </w:tcPr>
          <w:p w14:paraId="1D5D777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24101411</w:t>
            </w:r>
          </w:p>
        </w:tc>
        <w:tc>
          <w:tcPr>
            <w:tcW w:w="588" w:type="pct"/>
            <w:noWrap/>
            <w:vAlign w:val="center"/>
          </w:tcPr>
          <w:p w14:paraId="0E5C134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0.25</w:t>
            </w:r>
          </w:p>
        </w:tc>
        <w:tc>
          <w:tcPr>
            <w:tcW w:w="608" w:type="pct"/>
            <w:noWrap/>
            <w:vAlign w:val="center"/>
          </w:tcPr>
          <w:p w14:paraId="78BC820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7447F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vMerge w:val="continue"/>
            <w:noWrap/>
            <w:vAlign w:val="center"/>
          </w:tcPr>
          <w:p w14:paraId="19662CE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210" w:type="pct"/>
            <w:vMerge w:val="continue"/>
            <w:noWrap/>
            <w:vAlign w:val="center"/>
          </w:tcPr>
          <w:p w14:paraId="6902E5D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B56197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917" w:type="pct"/>
            <w:noWrap/>
            <w:vAlign w:val="center"/>
          </w:tcPr>
          <w:p w14:paraId="677333D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3.17E-04</w:t>
            </w:r>
          </w:p>
        </w:tc>
        <w:tc>
          <w:tcPr>
            <w:tcW w:w="699" w:type="pct"/>
            <w:noWrap/>
            <w:vAlign w:val="center"/>
          </w:tcPr>
          <w:p w14:paraId="325CEF3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240426</w:t>
            </w:r>
          </w:p>
        </w:tc>
        <w:tc>
          <w:tcPr>
            <w:tcW w:w="588" w:type="pct"/>
            <w:noWrap/>
            <w:vAlign w:val="center"/>
          </w:tcPr>
          <w:p w14:paraId="0C14A2F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0.21</w:t>
            </w:r>
          </w:p>
        </w:tc>
        <w:tc>
          <w:tcPr>
            <w:tcW w:w="608" w:type="pct"/>
            <w:noWrap/>
            <w:vAlign w:val="center"/>
          </w:tcPr>
          <w:p w14:paraId="5DE7AF8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90A21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vMerge w:val="continue"/>
            <w:noWrap/>
            <w:vAlign w:val="center"/>
          </w:tcPr>
          <w:p w14:paraId="4BF834A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210" w:type="pct"/>
            <w:vMerge w:val="continue"/>
            <w:noWrap/>
            <w:vAlign w:val="center"/>
          </w:tcPr>
          <w:p w14:paraId="1F7F1A9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62735B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917" w:type="pct"/>
            <w:noWrap/>
            <w:vAlign w:val="center"/>
          </w:tcPr>
          <w:p w14:paraId="28692EA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4.00E-05</w:t>
            </w:r>
          </w:p>
        </w:tc>
        <w:tc>
          <w:tcPr>
            <w:tcW w:w="699" w:type="pct"/>
            <w:noWrap/>
            <w:vAlign w:val="center"/>
          </w:tcPr>
          <w:p w14:paraId="1F38413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145180D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0.07</w:t>
            </w:r>
          </w:p>
        </w:tc>
        <w:tc>
          <w:tcPr>
            <w:tcW w:w="608" w:type="pct"/>
            <w:noWrap/>
            <w:vAlign w:val="center"/>
          </w:tcPr>
          <w:p w14:paraId="52ADF98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bl>
    <w:p w14:paraId="0B220A6F">
      <w:pPr>
        <w:ind w:firstLine="480"/>
        <w:rPr>
          <w:rFonts w:ascii="Times New Roman" w:hAnsi="Times New Roman"/>
          <w:color w:val="auto"/>
          <w:highlight w:val="none"/>
        </w:rPr>
      </w:pPr>
      <w:r>
        <w:rPr>
          <w:rFonts w:ascii="Times New Roman" w:hAnsi="Times New Roman"/>
          <w:color w:val="auto"/>
          <w:highlight w:val="none"/>
        </w:rPr>
        <w:t>本项目SO</w:t>
      </w:r>
      <w:r>
        <w:rPr>
          <w:rFonts w:ascii="Times New Roman" w:hAnsi="Times New Roman"/>
          <w:color w:val="auto"/>
          <w:highlight w:val="none"/>
          <w:vertAlign w:val="subscript"/>
        </w:rPr>
        <w:t>2</w:t>
      </w:r>
      <w:r>
        <w:rPr>
          <w:rFonts w:ascii="Times New Roman" w:hAnsi="Times New Roman"/>
          <w:color w:val="auto"/>
          <w:highlight w:val="none"/>
        </w:rPr>
        <w:t>短期贡献浓度占标率≤100%，年均浓度贡献浓度占标率≤30%。</w:t>
      </w:r>
    </w:p>
    <w:p w14:paraId="4789D901">
      <w:pPr>
        <w:ind w:firstLine="480"/>
        <w:rPr>
          <w:rFonts w:ascii="Times New Roman" w:hAnsi="Times New Roman"/>
          <w:color w:val="auto"/>
          <w:highlight w:val="none"/>
        </w:rPr>
      </w:pPr>
      <w:r>
        <w:rPr>
          <w:rFonts w:ascii="Times New Roman" w:hAnsi="Times New Roman"/>
          <w:color w:val="auto"/>
          <w:highlight w:val="none"/>
        </w:rPr>
        <w:t>（2）本项目NO</w:t>
      </w:r>
      <w:r>
        <w:rPr>
          <w:rFonts w:ascii="Times New Roman" w:hAnsi="Times New Roman"/>
          <w:color w:val="auto"/>
          <w:highlight w:val="none"/>
          <w:vertAlign w:val="subscript"/>
        </w:rPr>
        <w:t>2</w:t>
      </w:r>
      <w:r>
        <w:rPr>
          <w:rFonts w:ascii="Times New Roman" w:hAnsi="Times New Roman"/>
          <w:color w:val="auto"/>
          <w:highlight w:val="none"/>
        </w:rPr>
        <w:t>贡献浓度预测结果分析</w:t>
      </w:r>
    </w:p>
    <w:p w14:paraId="2A14367D">
      <w:pPr>
        <w:ind w:firstLine="480"/>
        <w:rPr>
          <w:rFonts w:ascii="Times New Roman" w:hAnsi="Times New Roman"/>
          <w:color w:val="auto"/>
          <w:highlight w:val="none"/>
        </w:rPr>
      </w:pPr>
      <w:r>
        <w:rPr>
          <w:rFonts w:ascii="Times New Roman" w:hAnsi="Times New Roman"/>
          <w:color w:val="auto"/>
          <w:highlight w:val="none"/>
        </w:rPr>
        <w:t>本项目NO</w:t>
      </w:r>
      <w:r>
        <w:rPr>
          <w:rFonts w:ascii="Times New Roman" w:hAnsi="Times New Roman"/>
          <w:color w:val="auto"/>
          <w:highlight w:val="none"/>
          <w:vertAlign w:val="subscript"/>
        </w:rPr>
        <w:t>2</w:t>
      </w:r>
      <w:r>
        <w:rPr>
          <w:rFonts w:ascii="Times New Roman" w:hAnsi="Times New Roman"/>
          <w:color w:val="auto"/>
          <w:highlight w:val="none"/>
        </w:rPr>
        <w:t>对环境空气敏感点及区域最大浓度点短期和长期贡献浓度值及占标率见表5.2-1</w:t>
      </w:r>
      <w:r>
        <w:rPr>
          <w:rFonts w:hint="eastAsia" w:ascii="Times New Roman" w:hAnsi="Times New Roman"/>
          <w:color w:val="auto"/>
          <w:highlight w:val="none"/>
          <w:lang w:val="en-US" w:eastAsia="zh-CN"/>
        </w:rPr>
        <w:t>3</w:t>
      </w:r>
      <w:r>
        <w:rPr>
          <w:rFonts w:ascii="Times New Roman" w:hAnsi="Times New Roman"/>
          <w:color w:val="auto"/>
          <w:highlight w:val="none"/>
        </w:rPr>
        <w:t>。</w:t>
      </w:r>
    </w:p>
    <w:p w14:paraId="675C6A0A">
      <w:pPr>
        <w:ind w:firstLine="0" w:firstLineChars="0"/>
        <w:jc w:val="center"/>
        <w:rPr>
          <w:rFonts w:ascii="Times New Roman" w:hAnsi="Times New Roman"/>
          <w:color w:val="auto"/>
          <w:highlight w:val="none"/>
        </w:rPr>
      </w:pPr>
      <w:r>
        <w:rPr>
          <w:rFonts w:hint="eastAsia" w:ascii="黑体" w:hAnsi="黑体" w:eastAsia="黑体" w:cs="黑体"/>
          <w:color w:val="auto"/>
          <w:highlight w:val="none"/>
        </w:rPr>
        <w:t>表</w:t>
      </w:r>
      <w:r>
        <w:rPr>
          <w:rFonts w:ascii="Times New Roman" w:hAnsi="Times New Roman"/>
          <w:color w:val="auto"/>
          <w:highlight w:val="none"/>
        </w:rPr>
        <w:t>5.2-1</w:t>
      </w:r>
      <w:r>
        <w:rPr>
          <w:rFonts w:hint="eastAsia" w:ascii="Times New Roman" w:hAnsi="Times New Roman"/>
          <w:color w:val="auto"/>
          <w:highlight w:val="none"/>
          <w:lang w:val="en-US" w:eastAsia="zh-CN"/>
        </w:rPr>
        <w:t>3</w:t>
      </w:r>
      <w:r>
        <w:rPr>
          <w:rFonts w:hint="eastAsia" w:ascii="黑体" w:hAnsi="黑体" w:eastAsia="黑体" w:cs="黑体"/>
          <w:color w:val="auto"/>
          <w:highlight w:val="none"/>
        </w:rPr>
        <w:t>本项目</w:t>
      </w:r>
      <w:r>
        <w:rPr>
          <w:rFonts w:ascii="Times New Roman" w:hAnsi="Times New Roman"/>
          <w:color w:val="auto"/>
          <w:highlight w:val="none"/>
        </w:rPr>
        <w:t>NO</w:t>
      </w:r>
      <w:r>
        <w:rPr>
          <w:rFonts w:ascii="Times New Roman" w:hAnsi="Times New Roman"/>
          <w:color w:val="auto"/>
          <w:highlight w:val="none"/>
          <w:vertAlign w:val="subscript"/>
        </w:rPr>
        <w:t>2</w:t>
      </w:r>
      <w:r>
        <w:rPr>
          <w:rFonts w:hint="eastAsia" w:ascii="黑体" w:hAnsi="黑体" w:eastAsia="黑体" w:cs="黑体"/>
          <w:color w:val="auto"/>
          <w:highlight w:val="none"/>
        </w:rPr>
        <w:t>贡献值预测结果</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5"/>
        <w:gridCol w:w="2064"/>
        <w:gridCol w:w="1037"/>
        <w:gridCol w:w="1478"/>
        <w:gridCol w:w="1278"/>
        <w:gridCol w:w="1003"/>
        <w:gridCol w:w="1037"/>
      </w:tblGrid>
      <w:tr w14:paraId="697390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noWrap/>
            <w:vAlign w:val="center"/>
          </w:tcPr>
          <w:p w14:paraId="60EE070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序号</w:t>
            </w:r>
          </w:p>
        </w:tc>
        <w:tc>
          <w:tcPr>
            <w:tcW w:w="1210" w:type="pct"/>
            <w:noWrap/>
            <w:vAlign w:val="center"/>
          </w:tcPr>
          <w:p w14:paraId="3232594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点名称</w:t>
            </w:r>
          </w:p>
        </w:tc>
        <w:tc>
          <w:tcPr>
            <w:tcW w:w="608" w:type="pct"/>
            <w:noWrap/>
            <w:vAlign w:val="center"/>
          </w:tcPr>
          <w:p w14:paraId="4358CD2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浓度类型</w:t>
            </w:r>
          </w:p>
        </w:tc>
        <w:tc>
          <w:tcPr>
            <w:tcW w:w="867" w:type="pct"/>
            <w:noWrap/>
            <w:vAlign w:val="center"/>
          </w:tcPr>
          <w:p w14:paraId="09A2B80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浓度增量(mg/m</w:t>
            </w:r>
            <w:r>
              <w:rPr>
                <w:rFonts w:ascii="Times New Roman" w:hAnsi="Times New Roman" w:eastAsia="宋体" w:cs="Times New Roman"/>
                <w:kern w:val="0"/>
                <w:sz w:val="21"/>
                <w:highlight w:val="none"/>
                <w:vertAlign w:val="superscript"/>
                <w:lang w:bidi="ar"/>
              </w:rPr>
              <w:t>3</w:t>
            </w:r>
            <w:r>
              <w:rPr>
                <w:rFonts w:ascii="Times New Roman" w:hAnsi="Times New Roman" w:eastAsia="宋体" w:cs="Times New Roman"/>
                <w:kern w:val="0"/>
                <w:sz w:val="21"/>
                <w:highlight w:val="none"/>
                <w:lang w:bidi="ar"/>
              </w:rPr>
              <w:t>)</w:t>
            </w:r>
          </w:p>
        </w:tc>
        <w:tc>
          <w:tcPr>
            <w:tcW w:w="749" w:type="pct"/>
            <w:noWrap/>
            <w:vAlign w:val="center"/>
          </w:tcPr>
          <w:p w14:paraId="1C5681E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出现时间</w:t>
            </w:r>
          </w:p>
        </w:tc>
        <w:tc>
          <w:tcPr>
            <w:tcW w:w="588" w:type="pct"/>
            <w:noWrap/>
            <w:vAlign w:val="center"/>
          </w:tcPr>
          <w:p w14:paraId="73EC438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占标率%</w:t>
            </w:r>
          </w:p>
        </w:tc>
        <w:tc>
          <w:tcPr>
            <w:tcW w:w="608" w:type="pct"/>
            <w:noWrap/>
            <w:vAlign w:val="center"/>
          </w:tcPr>
          <w:p w14:paraId="74A823C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是否超标</w:t>
            </w:r>
          </w:p>
        </w:tc>
      </w:tr>
      <w:tr w14:paraId="0C8CFE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restart"/>
            <w:noWrap/>
            <w:vAlign w:val="center"/>
          </w:tcPr>
          <w:p w14:paraId="399F8EC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w:t>
            </w:r>
          </w:p>
        </w:tc>
        <w:tc>
          <w:tcPr>
            <w:tcW w:w="1210" w:type="pct"/>
            <w:vMerge w:val="restart"/>
            <w:noWrap/>
            <w:vAlign w:val="center"/>
          </w:tcPr>
          <w:p w14:paraId="668B323D">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bidi="ar"/>
              </w:rPr>
            </w:pPr>
            <w:r>
              <w:rPr>
                <w:rFonts w:hint="eastAsia" w:ascii="Times New Roman" w:hAnsi="Times New Roman" w:eastAsia="宋体" w:cs="Times New Roman"/>
                <w:kern w:val="0"/>
                <w:sz w:val="21"/>
                <w:highlight w:val="none"/>
                <w:lang w:val="en-US" w:eastAsia="zh-CN" w:bidi="ar"/>
              </w:rPr>
              <w:t>绥芬河市政府</w:t>
            </w:r>
          </w:p>
        </w:tc>
        <w:tc>
          <w:tcPr>
            <w:tcW w:w="608" w:type="pct"/>
            <w:noWrap/>
            <w:vAlign w:val="center"/>
          </w:tcPr>
          <w:p w14:paraId="68AEAA6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F3BDB1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4.66E-03</w:t>
            </w:r>
          </w:p>
        </w:tc>
        <w:tc>
          <w:tcPr>
            <w:tcW w:w="749" w:type="pct"/>
            <w:noWrap/>
            <w:vAlign w:val="center"/>
          </w:tcPr>
          <w:p w14:paraId="0385963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24041512</w:t>
            </w:r>
          </w:p>
        </w:tc>
        <w:tc>
          <w:tcPr>
            <w:tcW w:w="588" w:type="pct"/>
            <w:noWrap/>
            <w:vAlign w:val="center"/>
          </w:tcPr>
          <w:p w14:paraId="5B2691C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1.86</w:t>
            </w:r>
          </w:p>
        </w:tc>
        <w:tc>
          <w:tcPr>
            <w:tcW w:w="608" w:type="pct"/>
            <w:noWrap/>
            <w:vAlign w:val="center"/>
          </w:tcPr>
          <w:p w14:paraId="784870F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C6181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1F170E7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7EC4D2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4599C9A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608CA9E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1.07E-03</w:t>
            </w:r>
          </w:p>
        </w:tc>
        <w:tc>
          <w:tcPr>
            <w:tcW w:w="749" w:type="pct"/>
            <w:noWrap/>
            <w:vAlign w:val="center"/>
          </w:tcPr>
          <w:p w14:paraId="02972EF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240423</w:t>
            </w:r>
          </w:p>
        </w:tc>
        <w:tc>
          <w:tcPr>
            <w:tcW w:w="588" w:type="pct"/>
            <w:noWrap/>
            <w:vAlign w:val="center"/>
          </w:tcPr>
          <w:p w14:paraId="337EFA5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1.07</w:t>
            </w:r>
          </w:p>
        </w:tc>
        <w:tc>
          <w:tcPr>
            <w:tcW w:w="608" w:type="pct"/>
            <w:noWrap/>
            <w:vAlign w:val="center"/>
          </w:tcPr>
          <w:p w14:paraId="59A67BB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34BA4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1437F21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C484EF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5A359EE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7761A9E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3.65E-05</w:t>
            </w:r>
          </w:p>
        </w:tc>
        <w:tc>
          <w:tcPr>
            <w:tcW w:w="749" w:type="pct"/>
            <w:noWrap/>
            <w:vAlign w:val="center"/>
          </w:tcPr>
          <w:p w14:paraId="47D45EE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10DA94D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5DF7AF5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827AA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restart"/>
            <w:noWrap/>
            <w:vAlign w:val="center"/>
          </w:tcPr>
          <w:p w14:paraId="03795D2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2</w:t>
            </w:r>
          </w:p>
        </w:tc>
        <w:tc>
          <w:tcPr>
            <w:tcW w:w="1210" w:type="pct"/>
            <w:vMerge w:val="restart"/>
            <w:noWrap/>
            <w:vAlign w:val="center"/>
          </w:tcPr>
          <w:p w14:paraId="08A64842">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绥芬河市人大</w:t>
            </w:r>
          </w:p>
        </w:tc>
        <w:tc>
          <w:tcPr>
            <w:tcW w:w="608" w:type="pct"/>
            <w:noWrap/>
            <w:vAlign w:val="center"/>
          </w:tcPr>
          <w:p w14:paraId="1BF349E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358459C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3.04E-03</w:t>
            </w:r>
          </w:p>
        </w:tc>
        <w:tc>
          <w:tcPr>
            <w:tcW w:w="749" w:type="pct"/>
            <w:noWrap/>
            <w:vAlign w:val="center"/>
          </w:tcPr>
          <w:p w14:paraId="7AB2843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24041609</w:t>
            </w:r>
          </w:p>
        </w:tc>
        <w:tc>
          <w:tcPr>
            <w:tcW w:w="588" w:type="pct"/>
            <w:noWrap/>
            <w:vAlign w:val="center"/>
          </w:tcPr>
          <w:p w14:paraId="3C7BA88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1.22</w:t>
            </w:r>
          </w:p>
        </w:tc>
        <w:tc>
          <w:tcPr>
            <w:tcW w:w="608" w:type="pct"/>
            <w:noWrap/>
            <w:vAlign w:val="center"/>
          </w:tcPr>
          <w:p w14:paraId="08A59D1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F3CC6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03035F6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2B3798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2018D6D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6FB9797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4.29E-04</w:t>
            </w:r>
          </w:p>
        </w:tc>
        <w:tc>
          <w:tcPr>
            <w:tcW w:w="749" w:type="pct"/>
            <w:noWrap/>
            <w:vAlign w:val="center"/>
          </w:tcPr>
          <w:p w14:paraId="4B6D57A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7D7C91F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0.43</w:t>
            </w:r>
          </w:p>
        </w:tc>
        <w:tc>
          <w:tcPr>
            <w:tcW w:w="608" w:type="pct"/>
            <w:noWrap/>
            <w:vAlign w:val="center"/>
          </w:tcPr>
          <w:p w14:paraId="1EA6018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3AC97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10FB468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FD2A23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0B042C3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6063EF2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9.58E-06</w:t>
            </w:r>
          </w:p>
        </w:tc>
        <w:tc>
          <w:tcPr>
            <w:tcW w:w="749" w:type="pct"/>
            <w:noWrap/>
            <w:vAlign w:val="center"/>
          </w:tcPr>
          <w:p w14:paraId="38CF5DB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29FE742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0CC68A7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FB433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restart"/>
            <w:noWrap/>
            <w:vAlign w:val="center"/>
          </w:tcPr>
          <w:p w14:paraId="0A70B2F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3</w:t>
            </w:r>
          </w:p>
        </w:tc>
        <w:tc>
          <w:tcPr>
            <w:tcW w:w="1210" w:type="pct"/>
            <w:vMerge w:val="restart"/>
            <w:noWrap/>
            <w:vAlign w:val="center"/>
          </w:tcPr>
          <w:p w14:paraId="7F05E2F5">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绥芬河市应急资源局</w:t>
            </w:r>
          </w:p>
        </w:tc>
        <w:tc>
          <w:tcPr>
            <w:tcW w:w="608" w:type="pct"/>
            <w:noWrap/>
            <w:vAlign w:val="center"/>
          </w:tcPr>
          <w:p w14:paraId="0C172EC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3F3EA6F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4.88E-03</w:t>
            </w:r>
          </w:p>
        </w:tc>
        <w:tc>
          <w:tcPr>
            <w:tcW w:w="749" w:type="pct"/>
            <w:noWrap/>
            <w:vAlign w:val="center"/>
          </w:tcPr>
          <w:p w14:paraId="4DBC5DE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24042314</w:t>
            </w:r>
          </w:p>
        </w:tc>
        <w:tc>
          <w:tcPr>
            <w:tcW w:w="588" w:type="pct"/>
            <w:noWrap/>
            <w:vAlign w:val="center"/>
          </w:tcPr>
          <w:p w14:paraId="114D684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1.95</w:t>
            </w:r>
          </w:p>
        </w:tc>
        <w:tc>
          <w:tcPr>
            <w:tcW w:w="608" w:type="pct"/>
            <w:noWrap/>
            <w:vAlign w:val="center"/>
          </w:tcPr>
          <w:p w14:paraId="1938026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E9062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07A98C2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112EE2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2494063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14E1B4F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1.40E-03</w:t>
            </w:r>
          </w:p>
        </w:tc>
        <w:tc>
          <w:tcPr>
            <w:tcW w:w="749" w:type="pct"/>
            <w:noWrap/>
            <w:vAlign w:val="center"/>
          </w:tcPr>
          <w:p w14:paraId="28941B7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240423</w:t>
            </w:r>
          </w:p>
        </w:tc>
        <w:tc>
          <w:tcPr>
            <w:tcW w:w="588" w:type="pct"/>
            <w:noWrap/>
            <w:vAlign w:val="center"/>
          </w:tcPr>
          <w:p w14:paraId="23126A0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1.40</w:t>
            </w:r>
          </w:p>
        </w:tc>
        <w:tc>
          <w:tcPr>
            <w:tcW w:w="608" w:type="pct"/>
            <w:noWrap/>
            <w:vAlign w:val="center"/>
          </w:tcPr>
          <w:p w14:paraId="74DAAA6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DF55E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72EADC0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486B4C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3F68214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578AED1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4.97E-05</w:t>
            </w:r>
          </w:p>
        </w:tc>
        <w:tc>
          <w:tcPr>
            <w:tcW w:w="749" w:type="pct"/>
            <w:noWrap/>
            <w:vAlign w:val="center"/>
          </w:tcPr>
          <w:p w14:paraId="672549E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EF77C2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0.10</w:t>
            </w:r>
          </w:p>
        </w:tc>
        <w:tc>
          <w:tcPr>
            <w:tcW w:w="608" w:type="pct"/>
            <w:noWrap/>
            <w:vAlign w:val="center"/>
          </w:tcPr>
          <w:p w14:paraId="28B3C59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F10D7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restart"/>
            <w:noWrap/>
            <w:vAlign w:val="center"/>
          </w:tcPr>
          <w:p w14:paraId="4702231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4</w:t>
            </w:r>
          </w:p>
        </w:tc>
        <w:tc>
          <w:tcPr>
            <w:tcW w:w="1210" w:type="pct"/>
            <w:vMerge w:val="restart"/>
            <w:shd w:val="clear" w:color="auto" w:fill="auto"/>
            <w:noWrap/>
            <w:vAlign w:val="center"/>
          </w:tcPr>
          <w:p w14:paraId="13832C87">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绥芬河市住房公积金中心</w:t>
            </w:r>
          </w:p>
        </w:tc>
        <w:tc>
          <w:tcPr>
            <w:tcW w:w="608" w:type="pct"/>
            <w:noWrap/>
            <w:vAlign w:val="center"/>
          </w:tcPr>
          <w:p w14:paraId="274D624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14A5660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4.11E-03</w:t>
            </w:r>
          </w:p>
        </w:tc>
        <w:tc>
          <w:tcPr>
            <w:tcW w:w="749" w:type="pct"/>
            <w:noWrap/>
            <w:vAlign w:val="center"/>
          </w:tcPr>
          <w:p w14:paraId="08F085E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24031913</w:t>
            </w:r>
          </w:p>
        </w:tc>
        <w:tc>
          <w:tcPr>
            <w:tcW w:w="588" w:type="pct"/>
            <w:noWrap/>
            <w:vAlign w:val="center"/>
          </w:tcPr>
          <w:p w14:paraId="42FD0A4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1.64</w:t>
            </w:r>
          </w:p>
        </w:tc>
        <w:tc>
          <w:tcPr>
            <w:tcW w:w="608" w:type="pct"/>
            <w:noWrap/>
            <w:vAlign w:val="center"/>
          </w:tcPr>
          <w:p w14:paraId="0B2813D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3740F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428D743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2C864D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26EC0BA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6ADE969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5.77E-04</w:t>
            </w:r>
          </w:p>
        </w:tc>
        <w:tc>
          <w:tcPr>
            <w:tcW w:w="749" w:type="pct"/>
            <w:noWrap/>
            <w:vAlign w:val="center"/>
          </w:tcPr>
          <w:p w14:paraId="7EDA2D7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0199336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0.58</w:t>
            </w:r>
          </w:p>
        </w:tc>
        <w:tc>
          <w:tcPr>
            <w:tcW w:w="608" w:type="pct"/>
            <w:noWrap/>
            <w:vAlign w:val="center"/>
          </w:tcPr>
          <w:p w14:paraId="42B051A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D556F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43FB183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39A525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0EA1CE6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43AE1F1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1.44E-05</w:t>
            </w:r>
          </w:p>
        </w:tc>
        <w:tc>
          <w:tcPr>
            <w:tcW w:w="749" w:type="pct"/>
            <w:noWrap/>
            <w:vAlign w:val="center"/>
          </w:tcPr>
          <w:p w14:paraId="66E5B13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E04CFF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2640946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84327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restart"/>
            <w:noWrap/>
            <w:vAlign w:val="center"/>
          </w:tcPr>
          <w:p w14:paraId="08190D1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5</w:t>
            </w:r>
          </w:p>
        </w:tc>
        <w:tc>
          <w:tcPr>
            <w:tcW w:w="1210" w:type="pct"/>
            <w:vMerge w:val="restart"/>
            <w:noWrap/>
            <w:vAlign w:val="center"/>
          </w:tcPr>
          <w:p w14:paraId="7A985D9A">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绥芬河市房屋征收办公室</w:t>
            </w:r>
          </w:p>
        </w:tc>
        <w:tc>
          <w:tcPr>
            <w:tcW w:w="608" w:type="pct"/>
            <w:noWrap/>
            <w:vAlign w:val="center"/>
          </w:tcPr>
          <w:p w14:paraId="625F24A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79B1058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4.43E-03</w:t>
            </w:r>
          </w:p>
        </w:tc>
        <w:tc>
          <w:tcPr>
            <w:tcW w:w="749" w:type="pct"/>
            <w:noWrap/>
            <w:vAlign w:val="center"/>
          </w:tcPr>
          <w:p w14:paraId="307FA3D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24042212</w:t>
            </w:r>
          </w:p>
        </w:tc>
        <w:tc>
          <w:tcPr>
            <w:tcW w:w="588" w:type="pct"/>
            <w:noWrap/>
            <w:vAlign w:val="center"/>
          </w:tcPr>
          <w:p w14:paraId="6CC6ADB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1.77</w:t>
            </w:r>
          </w:p>
        </w:tc>
        <w:tc>
          <w:tcPr>
            <w:tcW w:w="608" w:type="pct"/>
            <w:noWrap/>
            <w:vAlign w:val="center"/>
          </w:tcPr>
          <w:p w14:paraId="0041E4E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133F6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51DAAF0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9894C9B">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p>
        </w:tc>
        <w:tc>
          <w:tcPr>
            <w:tcW w:w="608" w:type="pct"/>
            <w:noWrap/>
            <w:vAlign w:val="center"/>
          </w:tcPr>
          <w:p w14:paraId="452E380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335E545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6.07E-04</w:t>
            </w:r>
          </w:p>
        </w:tc>
        <w:tc>
          <w:tcPr>
            <w:tcW w:w="749" w:type="pct"/>
            <w:noWrap/>
            <w:vAlign w:val="center"/>
          </w:tcPr>
          <w:p w14:paraId="2CECF6D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1A799F1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0.61</w:t>
            </w:r>
          </w:p>
        </w:tc>
        <w:tc>
          <w:tcPr>
            <w:tcW w:w="608" w:type="pct"/>
            <w:noWrap/>
            <w:vAlign w:val="center"/>
          </w:tcPr>
          <w:p w14:paraId="0EFD94A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D5672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1BF7BC6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69E6BD8">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p>
        </w:tc>
        <w:tc>
          <w:tcPr>
            <w:tcW w:w="608" w:type="pct"/>
            <w:noWrap/>
            <w:vAlign w:val="center"/>
          </w:tcPr>
          <w:p w14:paraId="477396E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4120009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1.65E-05</w:t>
            </w:r>
          </w:p>
        </w:tc>
        <w:tc>
          <w:tcPr>
            <w:tcW w:w="749" w:type="pct"/>
            <w:noWrap/>
            <w:vAlign w:val="center"/>
          </w:tcPr>
          <w:p w14:paraId="0B2862E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4C4071D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08A8942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ED129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restart"/>
            <w:noWrap/>
            <w:vAlign w:val="center"/>
          </w:tcPr>
          <w:p w14:paraId="2F537DB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6</w:t>
            </w:r>
          </w:p>
        </w:tc>
        <w:tc>
          <w:tcPr>
            <w:tcW w:w="1210" w:type="pct"/>
            <w:vMerge w:val="restart"/>
            <w:noWrap/>
            <w:vAlign w:val="center"/>
          </w:tcPr>
          <w:p w14:paraId="1696AADE">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绥芬河镇人民政府</w:t>
            </w:r>
          </w:p>
        </w:tc>
        <w:tc>
          <w:tcPr>
            <w:tcW w:w="608" w:type="pct"/>
            <w:noWrap/>
            <w:vAlign w:val="center"/>
          </w:tcPr>
          <w:p w14:paraId="136706C5">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1小时</w:t>
            </w:r>
          </w:p>
        </w:tc>
        <w:tc>
          <w:tcPr>
            <w:tcW w:w="867" w:type="pct"/>
            <w:noWrap/>
            <w:vAlign w:val="center"/>
          </w:tcPr>
          <w:p w14:paraId="6F81A3A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3.03E-03</w:t>
            </w:r>
          </w:p>
        </w:tc>
        <w:tc>
          <w:tcPr>
            <w:tcW w:w="749" w:type="pct"/>
            <w:noWrap/>
            <w:vAlign w:val="center"/>
          </w:tcPr>
          <w:p w14:paraId="3657F58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24031916</w:t>
            </w:r>
          </w:p>
        </w:tc>
        <w:tc>
          <w:tcPr>
            <w:tcW w:w="588" w:type="pct"/>
            <w:noWrap/>
            <w:vAlign w:val="center"/>
          </w:tcPr>
          <w:p w14:paraId="7BA9F72F">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1.21</w:t>
            </w:r>
          </w:p>
        </w:tc>
        <w:tc>
          <w:tcPr>
            <w:tcW w:w="608" w:type="pct"/>
            <w:noWrap/>
            <w:vAlign w:val="center"/>
          </w:tcPr>
          <w:p w14:paraId="019DF8DD">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达标</w:t>
            </w:r>
          </w:p>
        </w:tc>
      </w:tr>
      <w:tr w14:paraId="1A8B29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07BCC2C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E80999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73FA011A">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日平均</w:t>
            </w:r>
          </w:p>
        </w:tc>
        <w:tc>
          <w:tcPr>
            <w:tcW w:w="867" w:type="pct"/>
            <w:noWrap/>
            <w:vAlign w:val="center"/>
          </w:tcPr>
          <w:p w14:paraId="251CA8C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2.03E-04</w:t>
            </w:r>
          </w:p>
        </w:tc>
        <w:tc>
          <w:tcPr>
            <w:tcW w:w="749" w:type="pct"/>
            <w:noWrap/>
            <w:vAlign w:val="center"/>
          </w:tcPr>
          <w:p w14:paraId="2C6447C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551EFC7E">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0.20</w:t>
            </w:r>
          </w:p>
        </w:tc>
        <w:tc>
          <w:tcPr>
            <w:tcW w:w="608" w:type="pct"/>
            <w:noWrap/>
            <w:vAlign w:val="center"/>
          </w:tcPr>
          <w:p w14:paraId="02317E2D">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达标</w:t>
            </w:r>
          </w:p>
        </w:tc>
      </w:tr>
      <w:tr w14:paraId="47BD2E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7B81EE6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9C997E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5BD149ED">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年平均</w:t>
            </w:r>
          </w:p>
        </w:tc>
        <w:tc>
          <w:tcPr>
            <w:tcW w:w="867" w:type="pct"/>
            <w:noWrap/>
            <w:vAlign w:val="center"/>
          </w:tcPr>
          <w:p w14:paraId="6B9800B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2.88E-06</w:t>
            </w:r>
          </w:p>
        </w:tc>
        <w:tc>
          <w:tcPr>
            <w:tcW w:w="749" w:type="pct"/>
            <w:noWrap/>
            <w:vAlign w:val="center"/>
          </w:tcPr>
          <w:p w14:paraId="4EAC4EB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B4E483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48C22866">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达标</w:t>
            </w:r>
          </w:p>
        </w:tc>
      </w:tr>
      <w:tr w14:paraId="61B508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restart"/>
            <w:noWrap/>
            <w:vAlign w:val="center"/>
          </w:tcPr>
          <w:p w14:paraId="0F08AE8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w:t>
            </w:r>
          </w:p>
        </w:tc>
        <w:tc>
          <w:tcPr>
            <w:tcW w:w="1210" w:type="pct"/>
            <w:vMerge w:val="restart"/>
            <w:noWrap/>
            <w:vAlign w:val="center"/>
          </w:tcPr>
          <w:p w14:paraId="060D4C4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绥芬河邮政管理局</w:t>
            </w:r>
          </w:p>
        </w:tc>
        <w:tc>
          <w:tcPr>
            <w:tcW w:w="608" w:type="pct"/>
            <w:noWrap/>
            <w:vAlign w:val="center"/>
          </w:tcPr>
          <w:p w14:paraId="7046ECB0">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1小时</w:t>
            </w:r>
          </w:p>
        </w:tc>
        <w:tc>
          <w:tcPr>
            <w:tcW w:w="867" w:type="pct"/>
            <w:noWrap/>
            <w:vAlign w:val="center"/>
          </w:tcPr>
          <w:p w14:paraId="5087AC3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2.88E-03</w:t>
            </w:r>
          </w:p>
        </w:tc>
        <w:tc>
          <w:tcPr>
            <w:tcW w:w="749" w:type="pct"/>
            <w:noWrap/>
            <w:vAlign w:val="center"/>
          </w:tcPr>
          <w:p w14:paraId="603A35E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24031916</w:t>
            </w:r>
          </w:p>
        </w:tc>
        <w:tc>
          <w:tcPr>
            <w:tcW w:w="588" w:type="pct"/>
            <w:noWrap/>
            <w:vAlign w:val="center"/>
          </w:tcPr>
          <w:p w14:paraId="06A54EF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1.15</w:t>
            </w:r>
          </w:p>
        </w:tc>
        <w:tc>
          <w:tcPr>
            <w:tcW w:w="608" w:type="pct"/>
            <w:noWrap/>
            <w:vAlign w:val="center"/>
          </w:tcPr>
          <w:p w14:paraId="15F3D52D">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达标</w:t>
            </w:r>
          </w:p>
        </w:tc>
      </w:tr>
      <w:tr w14:paraId="756910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3BB90A3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B29EC7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78CBEDA1">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日平均</w:t>
            </w:r>
          </w:p>
        </w:tc>
        <w:tc>
          <w:tcPr>
            <w:tcW w:w="867" w:type="pct"/>
            <w:noWrap/>
            <w:vAlign w:val="center"/>
          </w:tcPr>
          <w:p w14:paraId="292DAE3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1.92E-04</w:t>
            </w:r>
          </w:p>
        </w:tc>
        <w:tc>
          <w:tcPr>
            <w:tcW w:w="749" w:type="pct"/>
            <w:noWrap/>
            <w:vAlign w:val="center"/>
          </w:tcPr>
          <w:p w14:paraId="6AD8906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4282CB5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0.19</w:t>
            </w:r>
          </w:p>
        </w:tc>
        <w:tc>
          <w:tcPr>
            <w:tcW w:w="608" w:type="pct"/>
            <w:noWrap/>
            <w:vAlign w:val="center"/>
          </w:tcPr>
          <w:p w14:paraId="0CAF586B">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达标</w:t>
            </w:r>
          </w:p>
        </w:tc>
      </w:tr>
      <w:tr w14:paraId="2BC63B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370492C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4B2916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723C3086">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年平均</w:t>
            </w:r>
          </w:p>
        </w:tc>
        <w:tc>
          <w:tcPr>
            <w:tcW w:w="867" w:type="pct"/>
            <w:noWrap/>
            <w:vAlign w:val="center"/>
          </w:tcPr>
          <w:p w14:paraId="18439D3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3.10E-06</w:t>
            </w:r>
          </w:p>
        </w:tc>
        <w:tc>
          <w:tcPr>
            <w:tcW w:w="749" w:type="pct"/>
            <w:noWrap/>
            <w:vAlign w:val="center"/>
          </w:tcPr>
          <w:p w14:paraId="1F9D04D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563892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535157C0">
            <w:pPr>
              <w:widowControl/>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达标</w:t>
            </w:r>
          </w:p>
        </w:tc>
      </w:tr>
      <w:tr w14:paraId="42CABA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vMerge w:val="restart"/>
            <w:noWrap/>
            <w:vAlign w:val="center"/>
          </w:tcPr>
          <w:p w14:paraId="34B4EB8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w:t>
            </w:r>
          </w:p>
        </w:tc>
        <w:tc>
          <w:tcPr>
            <w:tcW w:w="1210" w:type="pct"/>
            <w:vMerge w:val="restart"/>
            <w:noWrap/>
            <w:vAlign w:val="center"/>
          </w:tcPr>
          <w:p w14:paraId="5CFBCB7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绥芬河市教育局</w:t>
            </w:r>
          </w:p>
        </w:tc>
        <w:tc>
          <w:tcPr>
            <w:tcW w:w="608" w:type="pct"/>
            <w:noWrap/>
            <w:vAlign w:val="center"/>
          </w:tcPr>
          <w:p w14:paraId="42A99E3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5D7ABA6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3.29E-03</w:t>
            </w:r>
          </w:p>
        </w:tc>
        <w:tc>
          <w:tcPr>
            <w:tcW w:w="749" w:type="pct"/>
            <w:noWrap/>
            <w:vAlign w:val="center"/>
          </w:tcPr>
          <w:p w14:paraId="2D03CF1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24040909</w:t>
            </w:r>
          </w:p>
        </w:tc>
        <w:tc>
          <w:tcPr>
            <w:tcW w:w="588" w:type="pct"/>
            <w:noWrap/>
            <w:vAlign w:val="center"/>
          </w:tcPr>
          <w:p w14:paraId="660FF76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1.32</w:t>
            </w:r>
          </w:p>
        </w:tc>
        <w:tc>
          <w:tcPr>
            <w:tcW w:w="608" w:type="pct"/>
            <w:noWrap/>
            <w:vAlign w:val="center"/>
          </w:tcPr>
          <w:p w14:paraId="55A8D0A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4E318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366" w:type="pct"/>
            <w:vMerge w:val="continue"/>
            <w:noWrap/>
            <w:vAlign w:val="center"/>
          </w:tcPr>
          <w:p w14:paraId="374C086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D0783C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B07175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5D836E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1.67E-04</w:t>
            </w:r>
          </w:p>
        </w:tc>
        <w:tc>
          <w:tcPr>
            <w:tcW w:w="749" w:type="pct"/>
            <w:noWrap/>
            <w:vAlign w:val="center"/>
          </w:tcPr>
          <w:p w14:paraId="5B0C2E5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w:t>
            </w:r>
          </w:p>
        </w:tc>
        <w:tc>
          <w:tcPr>
            <w:tcW w:w="588" w:type="pct"/>
            <w:noWrap/>
            <w:vAlign w:val="center"/>
          </w:tcPr>
          <w:p w14:paraId="144D323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0.17</w:t>
            </w:r>
          </w:p>
        </w:tc>
        <w:tc>
          <w:tcPr>
            <w:tcW w:w="608" w:type="pct"/>
            <w:noWrap/>
            <w:vAlign w:val="center"/>
          </w:tcPr>
          <w:p w14:paraId="43D7EC1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F7AE9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366" w:type="pct"/>
            <w:vMerge w:val="continue"/>
            <w:noWrap/>
            <w:vAlign w:val="center"/>
          </w:tcPr>
          <w:p w14:paraId="03B47EF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4660DB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B0BCC7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128FF7A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3.12E-06</w:t>
            </w:r>
          </w:p>
        </w:tc>
        <w:tc>
          <w:tcPr>
            <w:tcW w:w="749" w:type="pct"/>
            <w:noWrap/>
            <w:vAlign w:val="center"/>
          </w:tcPr>
          <w:p w14:paraId="0F09247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1EC9AB6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4192200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579E0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366" w:type="pct"/>
            <w:vMerge w:val="restart"/>
            <w:noWrap/>
            <w:vAlign w:val="center"/>
          </w:tcPr>
          <w:p w14:paraId="114D086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9</w:t>
            </w:r>
          </w:p>
        </w:tc>
        <w:tc>
          <w:tcPr>
            <w:tcW w:w="1210" w:type="pct"/>
            <w:vMerge w:val="restart"/>
            <w:noWrap/>
            <w:vAlign w:val="center"/>
          </w:tcPr>
          <w:p w14:paraId="279117C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绥芬河市自然资源局</w:t>
            </w:r>
          </w:p>
        </w:tc>
        <w:tc>
          <w:tcPr>
            <w:tcW w:w="608" w:type="pct"/>
            <w:noWrap/>
            <w:vAlign w:val="center"/>
          </w:tcPr>
          <w:p w14:paraId="0265785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5BDB8C1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3.32E-03</w:t>
            </w:r>
          </w:p>
        </w:tc>
        <w:tc>
          <w:tcPr>
            <w:tcW w:w="749" w:type="pct"/>
            <w:noWrap/>
            <w:vAlign w:val="center"/>
          </w:tcPr>
          <w:p w14:paraId="0D47EEB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3B1E3E6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1.33</w:t>
            </w:r>
          </w:p>
        </w:tc>
        <w:tc>
          <w:tcPr>
            <w:tcW w:w="608" w:type="pct"/>
            <w:noWrap/>
            <w:vAlign w:val="center"/>
          </w:tcPr>
          <w:p w14:paraId="7A84067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5052D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366" w:type="pct"/>
            <w:vMerge w:val="continue"/>
            <w:noWrap/>
            <w:vAlign w:val="center"/>
          </w:tcPr>
          <w:p w14:paraId="62E07D9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E504BF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13135A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2CA124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2.30E-04</w:t>
            </w:r>
          </w:p>
        </w:tc>
        <w:tc>
          <w:tcPr>
            <w:tcW w:w="749" w:type="pct"/>
            <w:noWrap/>
            <w:vAlign w:val="center"/>
          </w:tcPr>
          <w:p w14:paraId="356FAA7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7029D5E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0.23</w:t>
            </w:r>
          </w:p>
        </w:tc>
        <w:tc>
          <w:tcPr>
            <w:tcW w:w="608" w:type="pct"/>
            <w:noWrap/>
            <w:vAlign w:val="center"/>
          </w:tcPr>
          <w:p w14:paraId="15CCE54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22C9B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366" w:type="pct"/>
            <w:vMerge w:val="continue"/>
            <w:noWrap/>
            <w:vAlign w:val="center"/>
          </w:tcPr>
          <w:p w14:paraId="5C1F0FF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80FE03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8ACA10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1C60471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3.39E-06</w:t>
            </w:r>
          </w:p>
        </w:tc>
        <w:tc>
          <w:tcPr>
            <w:tcW w:w="749" w:type="pct"/>
            <w:noWrap/>
            <w:vAlign w:val="center"/>
          </w:tcPr>
          <w:p w14:paraId="3771AD5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6C9BA1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09E72F6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BC6F5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366" w:type="pct"/>
            <w:vMerge w:val="restart"/>
            <w:noWrap/>
            <w:vAlign w:val="center"/>
          </w:tcPr>
          <w:p w14:paraId="6F7E3D38">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w:t>
            </w:r>
          </w:p>
        </w:tc>
        <w:tc>
          <w:tcPr>
            <w:tcW w:w="1210" w:type="pct"/>
            <w:vMerge w:val="restart"/>
            <w:noWrap/>
            <w:vAlign w:val="center"/>
          </w:tcPr>
          <w:p w14:paraId="08D793D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绥芬河海关</w:t>
            </w:r>
          </w:p>
        </w:tc>
        <w:tc>
          <w:tcPr>
            <w:tcW w:w="608" w:type="pct"/>
            <w:noWrap/>
            <w:vAlign w:val="center"/>
          </w:tcPr>
          <w:p w14:paraId="4F46A7C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54D911A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3.62E-03</w:t>
            </w:r>
          </w:p>
        </w:tc>
        <w:tc>
          <w:tcPr>
            <w:tcW w:w="749" w:type="pct"/>
            <w:noWrap/>
            <w:vAlign w:val="center"/>
          </w:tcPr>
          <w:p w14:paraId="5605909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24040909</w:t>
            </w:r>
          </w:p>
        </w:tc>
        <w:tc>
          <w:tcPr>
            <w:tcW w:w="588" w:type="pct"/>
            <w:noWrap/>
            <w:vAlign w:val="center"/>
          </w:tcPr>
          <w:p w14:paraId="3B37FBF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1.45</w:t>
            </w:r>
          </w:p>
        </w:tc>
        <w:tc>
          <w:tcPr>
            <w:tcW w:w="608" w:type="pct"/>
            <w:noWrap/>
            <w:vAlign w:val="center"/>
          </w:tcPr>
          <w:p w14:paraId="03AD4D8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B1A32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366" w:type="pct"/>
            <w:vMerge w:val="continue"/>
            <w:noWrap/>
            <w:vAlign w:val="center"/>
          </w:tcPr>
          <w:p w14:paraId="369EE89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3A4E4D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34755C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134DE81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2.21E-04</w:t>
            </w:r>
          </w:p>
        </w:tc>
        <w:tc>
          <w:tcPr>
            <w:tcW w:w="749" w:type="pct"/>
            <w:noWrap/>
            <w:vAlign w:val="center"/>
          </w:tcPr>
          <w:p w14:paraId="4BCA2F8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065CDA8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0.22</w:t>
            </w:r>
          </w:p>
        </w:tc>
        <w:tc>
          <w:tcPr>
            <w:tcW w:w="608" w:type="pct"/>
            <w:noWrap/>
            <w:vAlign w:val="center"/>
          </w:tcPr>
          <w:p w14:paraId="5CA73E4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A5362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366" w:type="pct"/>
            <w:vMerge w:val="continue"/>
            <w:noWrap/>
            <w:vAlign w:val="center"/>
          </w:tcPr>
          <w:p w14:paraId="0F7288D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83EC42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B75DCB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6A0257D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5.57E-06</w:t>
            </w:r>
          </w:p>
        </w:tc>
        <w:tc>
          <w:tcPr>
            <w:tcW w:w="749" w:type="pct"/>
            <w:noWrap/>
            <w:vAlign w:val="center"/>
          </w:tcPr>
          <w:p w14:paraId="4994929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261F3C6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5663D61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FB895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366" w:type="pct"/>
            <w:vMerge w:val="restart"/>
            <w:noWrap/>
            <w:vAlign w:val="center"/>
          </w:tcPr>
          <w:p w14:paraId="01AF6C79">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w:t>
            </w:r>
          </w:p>
        </w:tc>
        <w:tc>
          <w:tcPr>
            <w:tcW w:w="1210" w:type="pct"/>
            <w:vMerge w:val="restart"/>
            <w:noWrap/>
            <w:vAlign w:val="center"/>
          </w:tcPr>
          <w:p w14:paraId="22CEC02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国家外汇管理局绥芬河分局</w:t>
            </w:r>
          </w:p>
        </w:tc>
        <w:tc>
          <w:tcPr>
            <w:tcW w:w="608" w:type="pct"/>
            <w:noWrap/>
            <w:vAlign w:val="center"/>
          </w:tcPr>
          <w:p w14:paraId="72D4B4B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7188DB9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4.51E-03</w:t>
            </w:r>
          </w:p>
        </w:tc>
        <w:tc>
          <w:tcPr>
            <w:tcW w:w="749" w:type="pct"/>
            <w:noWrap/>
            <w:vAlign w:val="center"/>
          </w:tcPr>
          <w:p w14:paraId="18BB24E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24041711</w:t>
            </w:r>
          </w:p>
        </w:tc>
        <w:tc>
          <w:tcPr>
            <w:tcW w:w="588" w:type="pct"/>
            <w:noWrap/>
            <w:vAlign w:val="center"/>
          </w:tcPr>
          <w:p w14:paraId="7E99080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1.81</w:t>
            </w:r>
          </w:p>
        </w:tc>
        <w:tc>
          <w:tcPr>
            <w:tcW w:w="608" w:type="pct"/>
            <w:noWrap/>
            <w:vAlign w:val="center"/>
          </w:tcPr>
          <w:p w14:paraId="3733DEA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64B81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366" w:type="pct"/>
            <w:vMerge w:val="continue"/>
            <w:noWrap/>
            <w:vAlign w:val="center"/>
          </w:tcPr>
          <w:p w14:paraId="7317CFB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35BA87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3B179C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669196E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9.56E-04</w:t>
            </w:r>
          </w:p>
        </w:tc>
        <w:tc>
          <w:tcPr>
            <w:tcW w:w="749" w:type="pct"/>
            <w:noWrap/>
            <w:vAlign w:val="center"/>
          </w:tcPr>
          <w:p w14:paraId="1657443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240430</w:t>
            </w:r>
          </w:p>
        </w:tc>
        <w:tc>
          <w:tcPr>
            <w:tcW w:w="588" w:type="pct"/>
            <w:noWrap/>
            <w:vAlign w:val="center"/>
          </w:tcPr>
          <w:p w14:paraId="405F2D0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0.96</w:t>
            </w:r>
          </w:p>
        </w:tc>
        <w:tc>
          <w:tcPr>
            <w:tcW w:w="608" w:type="pct"/>
            <w:noWrap/>
            <w:vAlign w:val="center"/>
          </w:tcPr>
          <w:p w14:paraId="32ABA93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5D99E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66" w:type="pct"/>
            <w:vMerge w:val="continue"/>
            <w:noWrap/>
            <w:vAlign w:val="center"/>
          </w:tcPr>
          <w:p w14:paraId="6ED0F9B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F092E5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C5A4E4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43E9E7A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6.19E-05</w:t>
            </w:r>
          </w:p>
        </w:tc>
        <w:tc>
          <w:tcPr>
            <w:tcW w:w="749" w:type="pct"/>
            <w:noWrap/>
            <w:vAlign w:val="center"/>
          </w:tcPr>
          <w:p w14:paraId="59C52F7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3CAFA1D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0.12</w:t>
            </w:r>
          </w:p>
        </w:tc>
        <w:tc>
          <w:tcPr>
            <w:tcW w:w="608" w:type="pct"/>
            <w:noWrap/>
            <w:vAlign w:val="center"/>
          </w:tcPr>
          <w:p w14:paraId="0C35CDA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1414F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366" w:type="pct"/>
            <w:vMerge w:val="restart"/>
            <w:noWrap/>
            <w:vAlign w:val="center"/>
          </w:tcPr>
          <w:p w14:paraId="46B046EC">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w:t>
            </w:r>
          </w:p>
        </w:tc>
        <w:tc>
          <w:tcPr>
            <w:tcW w:w="1210" w:type="pct"/>
            <w:vMerge w:val="restart"/>
            <w:noWrap/>
            <w:vAlign w:val="center"/>
          </w:tcPr>
          <w:p w14:paraId="64A269B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绥芬河市生态环境局</w:t>
            </w:r>
          </w:p>
        </w:tc>
        <w:tc>
          <w:tcPr>
            <w:tcW w:w="608" w:type="pct"/>
            <w:noWrap/>
            <w:vAlign w:val="center"/>
          </w:tcPr>
          <w:p w14:paraId="45F9FCB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32522F4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3.84E-03</w:t>
            </w:r>
          </w:p>
        </w:tc>
        <w:tc>
          <w:tcPr>
            <w:tcW w:w="749" w:type="pct"/>
            <w:noWrap/>
            <w:vAlign w:val="center"/>
          </w:tcPr>
          <w:p w14:paraId="0D2F9E1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24032012</w:t>
            </w:r>
          </w:p>
        </w:tc>
        <w:tc>
          <w:tcPr>
            <w:tcW w:w="588" w:type="pct"/>
            <w:noWrap/>
            <w:vAlign w:val="center"/>
          </w:tcPr>
          <w:p w14:paraId="0C9CFE2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1.54</w:t>
            </w:r>
          </w:p>
        </w:tc>
        <w:tc>
          <w:tcPr>
            <w:tcW w:w="608" w:type="pct"/>
            <w:noWrap/>
            <w:vAlign w:val="center"/>
          </w:tcPr>
          <w:p w14:paraId="6C9BB39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633FA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366" w:type="pct"/>
            <w:vMerge w:val="continue"/>
            <w:noWrap/>
            <w:vAlign w:val="center"/>
          </w:tcPr>
          <w:p w14:paraId="0CB41ED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E3BAC6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15205A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5A5E4BE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5.07E-04</w:t>
            </w:r>
          </w:p>
        </w:tc>
        <w:tc>
          <w:tcPr>
            <w:tcW w:w="749" w:type="pct"/>
            <w:noWrap/>
            <w:vAlign w:val="center"/>
          </w:tcPr>
          <w:p w14:paraId="0FDA0F0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240325</w:t>
            </w:r>
          </w:p>
        </w:tc>
        <w:tc>
          <w:tcPr>
            <w:tcW w:w="588" w:type="pct"/>
            <w:noWrap/>
            <w:vAlign w:val="center"/>
          </w:tcPr>
          <w:p w14:paraId="0DCF771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0.51</w:t>
            </w:r>
          </w:p>
        </w:tc>
        <w:tc>
          <w:tcPr>
            <w:tcW w:w="608" w:type="pct"/>
            <w:noWrap/>
            <w:vAlign w:val="center"/>
          </w:tcPr>
          <w:p w14:paraId="0D3674E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FE389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366" w:type="pct"/>
            <w:vMerge w:val="continue"/>
            <w:noWrap/>
            <w:vAlign w:val="center"/>
          </w:tcPr>
          <w:p w14:paraId="20E0202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5ABA22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5532D5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65EB4B8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1.15E-05</w:t>
            </w:r>
          </w:p>
        </w:tc>
        <w:tc>
          <w:tcPr>
            <w:tcW w:w="749" w:type="pct"/>
            <w:noWrap/>
            <w:vAlign w:val="center"/>
          </w:tcPr>
          <w:p w14:paraId="317CFED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15DD7EE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0FCA9E7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EF2AD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366" w:type="pct"/>
            <w:vMerge w:val="restart"/>
            <w:noWrap/>
            <w:vAlign w:val="center"/>
          </w:tcPr>
          <w:p w14:paraId="2CB4DCEC">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13</w:t>
            </w:r>
          </w:p>
        </w:tc>
        <w:tc>
          <w:tcPr>
            <w:tcW w:w="1210" w:type="pct"/>
            <w:vMerge w:val="restart"/>
            <w:noWrap/>
            <w:vAlign w:val="center"/>
          </w:tcPr>
          <w:p w14:paraId="7E90784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绥芬河市民政局</w:t>
            </w:r>
          </w:p>
        </w:tc>
        <w:tc>
          <w:tcPr>
            <w:tcW w:w="608" w:type="pct"/>
            <w:noWrap/>
            <w:vAlign w:val="center"/>
          </w:tcPr>
          <w:p w14:paraId="0D1C2BD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710E6F1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1.40E-03</w:t>
            </w:r>
          </w:p>
        </w:tc>
        <w:tc>
          <w:tcPr>
            <w:tcW w:w="749" w:type="pct"/>
            <w:noWrap/>
            <w:vAlign w:val="center"/>
          </w:tcPr>
          <w:p w14:paraId="24C808E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24022510</w:t>
            </w:r>
          </w:p>
        </w:tc>
        <w:tc>
          <w:tcPr>
            <w:tcW w:w="588" w:type="pct"/>
            <w:noWrap/>
            <w:vAlign w:val="center"/>
          </w:tcPr>
          <w:p w14:paraId="53A79B2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0.56</w:t>
            </w:r>
          </w:p>
        </w:tc>
        <w:tc>
          <w:tcPr>
            <w:tcW w:w="608" w:type="pct"/>
            <w:noWrap/>
            <w:vAlign w:val="center"/>
          </w:tcPr>
          <w:p w14:paraId="5BFB7A2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24612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366" w:type="pct"/>
            <w:vMerge w:val="continue"/>
            <w:noWrap/>
            <w:vAlign w:val="center"/>
          </w:tcPr>
          <w:p w14:paraId="5C8D9EF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C48868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1374FC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536ECAB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8.95E-05</w:t>
            </w:r>
          </w:p>
        </w:tc>
        <w:tc>
          <w:tcPr>
            <w:tcW w:w="749" w:type="pct"/>
            <w:noWrap/>
            <w:vAlign w:val="center"/>
          </w:tcPr>
          <w:p w14:paraId="7818928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3D60A0C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0.09</w:t>
            </w:r>
          </w:p>
        </w:tc>
        <w:tc>
          <w:tcPr>
            <w:tcW w:w="608" w:type="pct"/>
            <w:noWrap/>
            <w:vAlign w:val="center"/>
          </w:tcPr>
          <w:p w14:paraId="60309E5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6FB63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366" w:type="pct"/>
            <w:vMerge w:val="continue"/>
            <w:noWrap/>
            <w:vAlign w:val="center"/>
          </w:tcPr>
          <w:p w14:paraId="3F6A452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067F6A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985A05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19C1120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1.59E-06</w:t>
            </w:r>
          </w:p>
        </w:tc>
        <w:tc>
          <w:tcPr>
            <w:tcW w:w="749" w:type="pct"/>
            <w:noWrap/>
            <w:vAlign w:val="center"/>
          </w:tcPr>
          <w:p w14:paraId="377A4AB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21A4AEC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4C92EC7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F01CB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366" w:type="pct"/>
            <w:vMerge w:val="restart"/>
            <w:noWrap/>
            <w:vAlign w:val="center"/>
          </w:tcPr>
          <w:p w14:paraId="11F0C8D5">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w:t>
            </w:r>
          </w:p>
        </w:tc>
        <w:tc>
          <w:tcPr>
            <w:tcW w:w="1210" w:type="pct"/>
            <w:vMerge w:val="restart"/>
            <w:noWrap/>
            <w:vAlign w:val="center"/>
          </w:tcPr>
          <w:p w14:paraId="449C1E0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绥芬河市公安局</w:t>
            </w:r>
          </w:p>
        </w:tc>
        <w:tc>
          <w:tcPr>
            <w:tcW w:w="608" w:type="pct"/>
            <w:noWrap/>
            <w:vAlign w:val="center"/>
          </w:tcPr>
          <w:p w14:paraId="11867D4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E8E340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2.11E-03</w:t>
            </w:r>
          </w:p>
        </w:tc>
        <w:tc>
          <w:tcPr>
            <w:tcW w:w="749" w:type="pct"/>
            <w:noWrap/>
            <w:vAlign w:val="center"/>
          </w:tcPr>
          <w:p w14:paraId="034A2FF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24022510</w:t>
            </w:r>
          </w:p>
        </w:tc>
        <w:tc>
          <w:tcPr>
            <w:tcW w:w="588" w:type="pct"/>
            <w:noWrap/>
            <w:vAlign w:val="center"/>
          </w:tcPr>
          <w:p w14:paraId="543579F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0.84</w:t>
            </w:r>
          </w:p>
        </w:tc>
        <w:tc>
          <w:tcPr>
            <w:tcW w:w="608" w:type="pct"/>
            <w:noWrap/>
            <w:vAlign w:val="center"/>
          </w:tcPr>
          <w:p w14:paraId="41CA57E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12E8B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366" w:type="pct"/>
            <w:vMerge w:val="continue"/>
            <w:noWrap/>
            <w:vAlign w:val="center"/>
          </w:tcPr>
          <w:p w14:paraId="2FA83DB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5C21EC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CB1971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5491E38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1.03E-04</w:t>
            </w:r>
          </w:p>
        </w:tc>
        <w:tc>
          <w:tcPr>
            <w:tcW w:w="749" w:type="pct"/>
            <w:noWrap/>
            <w:vAlign w:val="center"/>
          </w:tcPr>
          <w:p w14:paraId="635992F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240416</w:t>
            </w:r>
          </w:p>
        </w:tc>
        <w:tc>
          <w:tcPr>
            <w:tcW w:w="588" w:type="pct"/>
            <w:noWrap/>
            <w:vAlign w:val="center"/>
          </w:tcPr>
          <w:p w14:paraId="0232D91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0.10</w:t>
            </w:r>
          </w:p>
        </w:tc>
        <w:tc>
          <w:tcPr>
            <w:tcW w:w="608" w:type="pct"/>
            <w:noWrap/>
            <w:vAlign w:val="center"/>
          </w:tcPr>
          <w:p w14:paraId="24814BE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04F34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366" w:type="pct"/>
            <w:vMerge w:val="continue"/>
            <w:noWrap/>
            <w:vAlign w:val="center"/>
          </w:tcPr>
          <w:p w14:paraId="253911B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901742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3A9189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3B4988B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1.93E-06</w:t>
            </w:r>
          </w:p>
        </w:tc>
        <w:tc>
          <w:tcPr>
            <w:tcW w:w="749" w:type="pct"/>
            <w:noWrap/>
            <w:vAlign w:val="center"/>
          </w:tcPr>
          <w:p w14:paraId="4227770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56A87C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04F64DD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4D258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366" w:type="pct"/>
            <w:vMerge w:val="restart"/>
            <w:noWrap/>
            <w:vAlign w:val="center"/>
          </w:tcPr>
          <w:p w14:paraId="13FC1C49">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15</w:t>
            </w:r>
          </w:p>
        </w:tc>
        <w:tc>
          <w:tcPr>
            <w:tcW w:w="1210" w:type="pct"/>
            <w:vMerge w:val="restart"/>
            <w:noWrap/>
            <w:vAlign w:val="center"/>
          </w:tcPr>
          <w:p w14:paraId="71DE2C1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阜宁镇人民政府</w:t>
            </w:r>
          </w:p>
        </w:tc>
        <w:tc>
          <w:tcPr>
            <w:tcW w:w="608" w:type="pct"/>
            <w:noWrap/>
            <w:vAlign w:val="center"/>
          </w:tcPr>
          <w:p w14:paraId="6B6BEF1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72F3A8B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1.62E-03</w:t>
            </w:r>
          </w:p>
        </w:tc>
        <w:tc>
          <w:tcPr>
            <w:tcW w:w="749" w:type="pct"/>
            <w:noWrap/>
            <w:vAlign w:val="center"/>
          </w:tcPr>
          <w:p w14:paraId="70959EC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470C4C3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0.65</w:t>
            </w:r>
          </w:p>
        </w:tc>
        <w:tc>
          <w:tcPr>
            <w:tcW w:w="608" w:type="pct"/>
            <w:noWrap/>
            <w:vAlign w:val="center"/>
          </w:tcPr>
          <w:p w14:paraId="722A409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14321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366" w:type="pct"/>
            <w:vMerge w:val="continue"/>
            <w:noWrap/>
            <w:vAlign w:val="center"/>
          </w:tcPr>
          <w:p w14:paraId="2CFAD16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4C3C8D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D8BA07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25A65C6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6.96E-05</w:t>
            </w:r>
          </w:p>
        </w:tc>
        <w:tc>
          <w:tcPr>
            <w:tcW w:w="749" w:type="pct"/>
            <w:noWrap/>
            <w:vAlign w:val="center"/>
          </w:tcPr>
          <w:p w14:paraId="36DCC73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0989808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3333113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746AD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366" w:type="pct"/>
            <w:vMerge w:val="continue"/>
            <w:noWrap/>
            <w:vAlign w:val="center"/>
          </w:tcPr>
          <w:p w14:paraId="5C0068F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DE26E7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6F1D5F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78C6341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1.07E-06</w:t>
            </w:r>
          </w:p>
        </w:tc>
        <w:tc>
          <w:tcPr>
            <w:tcW w:w="749" w:type="pct"/>
            <w:noWrap/>
            <w:vAlign w:val="center"/>
          </w:tcPr>
          <w:p w14:paraId="0DA7695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57CCC1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5BD22DC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AA725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366" w:type="pct"/>
            <w:vMerge w:val="restart"/>
            <w:noWrap/>
            <w:vAlign w:val="center"/>
          </w:tcPr>
          <w:p w14:paraId="31E78C42">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16</w:t>
            </w:r>
          </w:p>
        </w:tc>
        <w:tc>
          <w:tcPr>
            <w:tcW w:w="1210" w:type="pct"/>
            <w:vMerge w:val="restart"/>
            <w:noWrap/>
            <w:vAlign w:val="center"/>
          </w:tcPr>
          <w:p w14:paraId="7A2F30C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绥芬河市广播电视局</w:t>
            </w:r>
          </w:p>
        </w:tc>
        <w:tc>
          <w:tcPr>
            <w:tcW w:w="608" w:type="pct"/>
            <w:noWrap/>
            <w:vAlign w:val="center"/>
          </w:tcPr>
          <w:p w14:paraId="032B530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A4D907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3.82E-03</w:t>
            </w:r>
          </w:p>
        </w:tc>
        <w:tc>
          <w:tcPr>
            <w:tcW w:w="749" w:type="pct"/>
            <w:noWrap/>
            <w:vAlign w:val="center"/>
          </w:tcPr>
          <w:p w14:paraId="09C2A54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24110810</w:t>
            </w:r>
          </w:p>
        </w:tc>
        <w:tc>
          <w:tcPr>
            <w:tcW w:w="588" w:type="pct"/>
            <w:noWrap/>
            <w:vAlign w:val="center"/>
          </w:tcPr>
          <w:p w14:paraId="69E9FCB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1.53</w:t>
            </w:r>
          </w:p>
        </w:tc>
        <w:tc>
          <w:tcPr>
            <w:tcW w:w="608" w:type="pct"/>
            <w:noWrap/>
            <w:vAlign w:val="center"/>
          </w:tcPr>
          <w:p w14:paraId="54C2176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3E884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366" w:type="pct"/>
            <w:vMerge w:val="continue"/>
            <w:noWrap/>
            <w:vAlign w:val="center"/>
          </w:tcPr>
          <w:p w14:paraId="5DECB33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BC5A56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D982A4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194CE6D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2.59E-04</w:t>
            </w:r>
          </w:p>
        </w:tc>
        <w:tc>
          <w:tcPr>
            <w:tcW w:w="749" w:type="pct"/>
            <w:noWrap/>
            <w:vAlign w:val="center"/>
          </w:tcPr>
          <w:p w14:paraId="181FC1A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20D81C5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0.26</w:t>
            </w:r>
          </w:p>
        </w:tc>
        <w:tc>
          <w:tcPr>
            <w:tcW w:w="608" w:type="pct"/>
            <w:noWrap/>
            <w:vAlign w:val="center"/>
          </w:tcPr>
          <w:p w14:paraId="1F519B7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F88D7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366" w:type="pct"/>
            <w:vMerge w:val="continue"/>
            <w:noWrap/>
            <w:vAlign w:val="center"/>
          </w:tcPr>
          <w:p w14:paraId="12E2C72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816EA9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EBCAE4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65445C7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8.25E-06</w:t>
            </w:r>
          </w:p>
        </w:tc>
        <w:tc>
          <w:tcPr>
            <w:tcW w:w="749" w:type="pct"/>
            <w:noWrap/>
            <w:vAlign w:val="center"/>
          </w:tcPr>
          <w:p w14:paraId="5F04EFC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6B1802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2FD1128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3BAEE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366" w:type="pct"/>
            <w:vMerge w:val="restart"/>
            <w:noWrap/>
            <w:vAlign w:val="center"/>
          </w:tcPr>
          <w:p w14:paraId="574EE6AA">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17</w:t>
            </w:r>
          </w:p>
        </w:tc>
        <w:tc>
          <w:tcPr>
            <w:tcW w:w="1210" w:type="pct"/>
            <w:vMerge w:val="restart"/>
            <w:noWrap/>
            <w:vAlign w:val="center"/>
          </w:tcPr>
          <w:p w14:paraId="01E6BF5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红太阳未来星幼儿园</w:t>
            </w:r>
          </w:p>
        </w:tc>
        <w:tc>
          <w:tcPr>
            <w:tcW w:w="608" w:type="pct"/>
            <w:noWrap/>
            <w:vAlign w:val="center"/>
          </w:tcPr>
          <w:p w14:paraId="40F9CE4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226B0B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3.74E-03</w:t>
            </w:r>
          </w:p>
        </w:tc>
        <w:tc>
          <w:tcPr>
            <w:tcW w:w="749" w:type="pct"/>
            <w:noWrap/>
            <w:vAlign w:val="center"/>
          </w:tcPr>
          <w:p w14:paraId="2910AE4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24042212</w:t>
            </w:r>
          </w:p>
        </w:tc>
        <w:tc>
          <w:tcPr>
            <w:tcW w:w="588" w:type="pct"/>
            <w:noWrap/>
            <w:vAlign w:val="center"/>
          </w:tcPr>
          <w:p w14:paraId="487FB68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1.50</w:t>
            </w:r>
          </w:p>
        </w:tc>
        <w:tc>
          <w:tcPr>
            <w:tcW w:w="608" w:type="pct"/>
            <w:noWrap/>
            <w:vAlign w:val="center"/>
          </w:tcPr>
          <w:p w14:paraId="0819BD2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BF98D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366" w:type="pct"/>
            <w:vMerge w:val="continue"/>
            <w:noWrap/>
            <w:vAlign w:val="center"/>
          </w:tcPr>
          <w:p w14:paraId="3CA8E5A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9B0569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1459DE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108329B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5.53E-04</w:t>
            </w:r>
          </w:p>
        </w:tc>
        <w:tc>
          <w:tcPr>
            <w:tcW w:w="749" w:type="pct"/>
            <w:noWrap/>
            <w:vAlign w:val="center"/>
          </w:tcPr>
          <w:p w14:paraId="4ABC121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2E40F52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0.55</w:t>
            </w:r>
          </w:p>
        </w:tc>
        <w:tc>
          <w:tcPr>
            <w:tcW w:w="608" w:type="pct"/>
            <w:noWrap/>
            <w:vAlign w:val="center"/>
          </w:tcPr>
          <w:p w14:paraId="60539A5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3B8B8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366" w:type="pct"/>
            <w:vMerge w:val="continue"/>
            <w:noWrap/>
            <w:vAlign w:val="center"/>
          </w:tcPr>
          <w:p w14:paraId="486B56E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76EB58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0D1291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3F158E3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1.49E-05</w:t>
            </w:r>
          </w:p>
        </w:tc>
        <w:tc>
          <w:tcPr>
            <w:tcW w:w="749" w:type="pct"/>
            <w:noWrap/>
            <w:vAlign w:val="center"/>
          </w:tcPr>
          <w:p w14:paraId="3C477A0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1CA4F81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0562505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55671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366" w:type="pct"/>
            <w:vMerge w:val="restart"/>
            <w:noWrap/>
            <w:vAlign w:val="center"/>
          </w:tcPr>
          <w:p w14:paraId="0351C334">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w:t>
            </w:r>
          </w:p>
        </w:tc>
        <w:tc>
          <w:tcPr>
            <w:tcW w:w="1210" w:type="pct"/>
            <w:vMerge w:val="restart"/>
            <w:noWrap/>
            <w:vAlign w:val="center"/>
          </w:tcPr>
          <w:p w14:paraId="5E91ADF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金恒基小学</w:t>
            </w:r>
          </w:p>
        </w:tc>
        <w:tc>
          <w:tcPr>
            <w:tcW w:w="608" w:type="pct"/>
            <w:noWrap/>
            <w:vAlign w:val="center"/>
          </w:tcPr>
          <w:p w14:paraId="5C65151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7BB3D38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3.06E-03</w:t>
            </w:r>
          </w:p>
        </w:tc>
        <w:tc>
          <w:tcPr>
            <w:tcW w:w="749" w:type="pct"/>
            <w:noWrap/>
            <w:vAlign w:val="center"/>
          </w:tcPr>
          <w:p w14:paraId="2415525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7F3A72D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1.22</w:t>
            </w:r>
          </w:p>
        </w:tc>
        <w:tc>
          <w:tcPr>
            <w:tcW w:w="608" w:type="pct"/>
            <w:noWrap/>
            <w:vAlign w:val="center"/>
          </w:tcPr>
          <w:p w14:paraId="65D80E0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923A4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366" w:type="pct"/>
            <w:vMerge w:val="continue"/>
            <w:noWrap/>
            <w:vAlign w:val="center"/>
          </w:tcPr>
          <w:p w14:paraId="770AD1F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21031C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61E93E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3343FAD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3.54E-04</w:t>
            </w:r>
          </w:p>
        </w:tc>
        <w:tc>
          <w:tcPr>
            <w:tcW w:w="749" w:type="pct"/>
            <w:noWrap/>
            <w:vAlign w:val="center"/>
          </w:tcPr>
          <w:p w14:paraId="4CE31A1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0F59F6F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0.35</w:t>
            </w:r>
          </w:p>
        </w:tc>
        <w:tc>
          <w:tcPr>
            <w:tcW w:w="608" w:type="pct"/>
            <w:noWrap/>
            <w:vAlign w:val="center"/>
          </w:tcPr>
          <w:p w14:paraId="4F04330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79832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366" w:type="pct"/>
            <w:vMerge w:val="continue"/>
            <w:noWrap/>
            <w:vAlign w:val="center"/>
          </w:tcPr>
          <w:p w14:paraId="221D36A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FF49F6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B3D841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0F973D5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4.60E-06</w:t>
            </w:r>
          </w:p>
        </w:tc>
        <w:tc>
          <w:tcPr>
            <w:tcW w:w="749" w:type="pct"/>
            <w:noWrap/>
            <w:vAlign w:val="center"/>
          </w:tcPr>
          <w:p w14:paraId="5DD9563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1B243CF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32E2CC9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0FA3F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366" w:type="pct"/>
            <w:vMerge w:val="restart"/>
            <w:noWrap/>
            <w:vAlign w:val="center"/>
          </w:tcPr>
          <w:p w14:paraId="78636F0A">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19</w:t>
            </w:r>
          </w:p>
        </w:tc>
        <w:tc>
          <w:tcPr>
            <w:tcW w:w="1210" w:type="pct"/>
            <w:vMerge w:val="restart"/>
            <w:noWrap/>
            <w:vAlign w:val="center"/>
          </w:tcPr>
          <w:p w14:paraId="0223E7C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弘孟幼儿园</w:t>
            </w:r>
          </w:p>
        </w:tc>
        <w:tc>
          <w:tcPr>
            <w:tcW w:w="608" w:type="pct"/>
            <w:noWrap/>
            <w:vAlign w:val="center"/>
          </w:tcPr>
          <w:p w14:paraId="06362D8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6BE926B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2.81E-03</w:t>
            </w:r>
          </w:p>
        </w:tc>
        <w:tc>
          <w:tcPr>
            <w:tcW w:w="749" w:type="pct"/>
            <w:noWrap/>
            <w:vAlign w:val="center"/>
          </w:tcPr>
          <w:p w14:paraId="55F82C1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055CA22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1.13</w:t>
            </w:r>
          </w:p>
        </w:tc>
        <w:tc>
          <w:tcPr>
            <w:tcW w:w="608" w:type="pct"/>
            <w:noWrap/>
            <w:vAlign w:val="center"/>
          </w:tcPr>
          <w:p w14:paraId="2277100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15C16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366" w:type="pct"/>
            <w:vMerge w:val="continue"/>
            <w:noWrap/>
            <w:vAlign w:val="center"/>
          </w:tcPr>
          <w:p w14:paraId="560825E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F1F021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53201E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365972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3.75E-04</w:t>
            </w:r>
          </w:p>
        </w:tc>
        <w:tc>
          <w:tcPr>
            <w:tcW w:w="749" w:type="pct"/>
            <w:noWrap/>
            <w:vAlign w:val="center"/>
          </w:tcPr>
          <w:p w14:paraId="53CA03F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07AAA43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0.38</w:t>
            </w:r>
          </w:p>
        </w:tc>
        <w:tc>
          <w:tcPr>
            <w:tcW w:w="608" w:type="pct"/>
            <w:noWrap/>
            <w:vAlign w:val="center"/>
          </w:tcPr>
          <w:p w14:paraId="6C3E22A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DB9C6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366" w:type="pct"/>
            <w:vMerge w:val="continue"/>
            <w:noWrap/>
            <w:vAlign w:val="center"/>
          </w:tcPr>
          <w:p w14:paraId="05AF58D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D8BB11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D608BC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29D7D5F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5.04E-06</w:t>
            </w:r>
          </w:p>
        </w:tc>
        <w:tc>
          <w:tcPr>
            <w:tcW w:w="749" w:type="pct"/>
            <w:noWrap/>
            <w:vAlign w:val="center"/>
          </w:tcPr>
          <w:p w14:paraId="5B456BC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60CF596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3042643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BA166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366" w:type="pct"/>
            <w:vMerge w:val="restart"/>
            <w:noWrap/>
            <w:vAlign w:val="center"/>
          </w:tcPr>
          <w:p w14:paraId="7BB659F4">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20</w:t>
            </w:r>
          </w:p>
        </w:tc>
        <w:tc>
          <w:tcPr>
            <w:tcW w:w="1210" w:type="pct"/>
            <w:vMerge w:val="restart"/>
            <w:noWrap/>
            <w:vAlign w:val="center"/>
          </w:tcPr>
          <w:p w14:paraId="2E04822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红太阳幼儿园</w:t>
            </w:r>
          </w:p>
        </w:tc>
        <w:tc>
          <w:tcPr>
            <w:tcW w:w="608" w:type="pct"/>
            <w:noWrap/>
            <w:vAlign w:val="center"/>
          </w:tcPr>
          <w:p w14:paraId="55EBD54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E2BF31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4.32E-03</w:t>
            </w:r>
          </w:p>
        </w:tc>
        <w:tc>
          <w:tcPr>
            <w:tcW w:w="749" w:type="pct"/>
            <w:noWrap/>
            <w:vAlign w:val="center"/>
          </w:tcPr>
          <w:p w14:paraId="0058EE9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24032514</w:t>
            </w:r>
          </w:p>
        </w:tc>
        <w:tc>
          <w:tcPr>
            <w:tcW w:w="588" w:type="pct"/>
            <w:noWrap/>
            <w:vAlign w:val="center"/>
          </w:tcPr>
          <w:p w14:paraId="6857C27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1.73</w:t>
            </w:r>
          </w:p>
        </w:tc>
        <w:tc>
          <w:tcPr>
            <w:tcW w:w="608" w:type="pct"/>
            <w:noWrap/>
            <w:vAlign w:val="center"/>
          </w:tcPr>
          <w:p w14:paraId="22DB8B6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5300C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366" w:type="pct"/>
            <w:vMerge w:val="continue"/>
            <w:noWrap/>
            <w:vAlign w:val="center"/>
          </w:tcPr>
          <w:p w14:paraId="504209B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DA042B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5A2FBF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3779EDB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7.14E-04</w:t>
            </w:r>
          </w:p>
        </w:tc>
        <w:tc>
          <w:tcPr>
            <w:tcW w:w="749" w:type="pct"/>
            <w:noWrap/>
            <w:vAlign w:val="center"/>
          </w:tcPr>
          <w:p w14:paraId="589FED6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240325</w:t>
            </w:r>
          </w:p>
        </w:tc>
        <w:tc>
          <w:tcPr>
            <w:tcW w:w="588" w:type="pct"/>
            <w:noWrap/>
            <w:vAlign w:val="center"/>
          </w:tcPr>
          <w:p w14:paraId="401406F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0.71</w:t>
            </w:r>
          </w:p>
        </w:tc>
        <w:tc>
          <w:tcPr>
            <w:tcW w:w="608" w:type="pct"/>
            <w:noWrap/>
            <w:vAlign w:val="center"/>
          </w:tcPr>
          <w:p w14:paraId="488BAF5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4FF24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366" w:type="pct"/>
            <w:vMerge w:val="continue"/>
            <w:noWrap/>
            <w:vAlign w:val="center"/>
          </w:tcPr>
          <w:p w14:paraId="0B74EDE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4F68F2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E90689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4F64C76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1.80E-05</w:t>
            </w:r>
          </w:p>
        </w:tc>
        <w:tc>
          <w:tcPr>
            <w:tcW w:w="749" w:type="pct"/>
            <w:noWrap/>
            <w:vAlign w:val="center"/>
          </w:tcPr>
          <w:p w14:paraId="5282818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4867DED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0.04</w:t>
            </w:r>
          </w:p>
        </w:tc>
        <w:tc>
          <w:tcPr>
            <w:tcW w:w="608" w:type="pct"/>
            <w:noWrap/>
            <w:vAlign w:val="center"/>
          </w:tcPr>
          <w:p w14:paraId="6CEAEC9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A7CC7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366" w:type="pct"/>
            <w:vMerge w:val="restart"/>
            <w:noWrap/>
            <w:vAlign w:val="center"/>
          </w:tcPr>
          <w:p w14:paraId="1E0D260D">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21</w:t>
            </w:r>
          </w:p>
        </w:tc>
        <w:tc>
          <w:tcPr>
            <w:tcW w:w="1210" w:type="pct"/>
            <w:vMerge w:val="restart"/>
            <w:noWrap/>
            <w:vAlign w:val="center"/>
          </w:tcPr>
          <w:p w14:paraId="49C0AC2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千里幼稚园</w:t>
            </w:r>
          </w:p>
        </w:tc>
        <w:tc>
          <w:tcPr>
            <w:tcW w:w="608" w:type="pct"/>
            <w:noWrap/>
            <w:vAlign w:val="center"/>
          </w:tcPr>
          <w:p w14:paraId="0E2D6EA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599597F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4.96E-03</w:t>
            </w:r>
          </w:p>
        </w:tc>
        <w:tc>
          <w:tcPr>
            <w:tcW w:w="749" w:type="pct"/>
            <w:noWrap/>
            <w:vAlign w:val="center"/>
          </w:tcPr>
          <w:p w14:paraId="6171A31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24110810</w:t>
            </w:r>
          </w:p>
        </w:tc>
        <w:tc>
          <w:tcPr>
            <w:tcW w:w="588" w:type="pct"/>
            <w:noWrap/>
            <w:vAlign w:val="center"/>
          </w:tcPr>
          <w:p w14:paraId="52C7278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1.98</w:t>
            </w:r>
          </w:p>
        </w:tc>
        <w:tc>
          <w:tcPr>
            <w:tcW w:w="608" w:type="pct"/>
            <w:noWrap/>
            <w:vAlign w:val="center"/>
          </w:tcPr>
          <w:p w14:paraId="1ED112A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55A74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366" w:type="pct"/>
            <w:vMerge w:val="continue"/>
            <w:noWrap/>
            <w:vAlign w:val="center"/>
          </w:tcPr>
          <w:p w14:paraId="4451222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CD2C21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99A3A1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2E1559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5.69E-04</w:t>
            </w:r>
          </w:p>
        </w:tc>
        <w:tc>
          <w:tcPr>
            <w:tcW w:w="749" w:type="pct"/>
            <w:noWrap/>
            <w:vAlign w:val="center"/>
          </w:tcPr>
          <w:p w14:paraId="4378D48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3CCACBE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0.57</w:t>
            </w:r>
          </w:p>
        </w:tc>
        <w:tc>
          <w:tcPr>
            <w:tcW w:w="608" w:type="pct"/>
            <w:noWrap/>
            <w:vAlign w:val="center"/>
          </w:tcPr>
          <w:p w14:paraId="253F354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A0A4A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366" w:type="pct"/>
            <w:vMerge w:val="continue"/>
            <w:noWrap/>
            <w:vAlign w:val="center"/>
          </w:tcPr>
          <w:p w14:paraId="57EA8B5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610216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A57887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6212861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2.26E-05</w:t>
            </w:r>
          </w:p>
        </w:tc>
        <w:tc>
          <w:tcPr>
            <w:tcW w:w="749" w:type="pct"/>
            <w:noWrap/>
            <w:vAlign w:val="center"/>
          </w:tcPr>
          <w:p w14:paraId="72007EE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1025C5C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2DECF94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88248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 w:hRule="atLeast"/>
          <w:jc w:val="center"/>
        </w:trPr>
        <w:tc>
          <w:tcPr>
            <w:tcW w:w="366" w:type="pct"/>
            <w:vMerge w:val="restart"/>
            <w:noWrap/>
            <w:vAlign w:val="center"/>
          </w:tcPr>
          <w:p w14:paraId="5FE91B22">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22</w:t>
            </w:r>
          </w:p>
        </w:tc>
        <w:tc>
          <w:tcPr>
            <w:tcW w:w="1210" w:type="pct"/>
            <w:vMerge w:val="restart"/>
            <w:noWrap/>
            <w:vAlign w:val="center"/>
          </w:tcPr>
          <w:p w14:paraId="23DACDB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绥芬河市第一中学</w:t>
            </w:r>
          </w:p>
        </w:tc>
        <w:tc>
          <w:tcPr>
            <w:tcW w:w="608" w:type="pct"/>
            <w:noWrap/>
            <w:vAlign w:val="center"/>
          </w:tcPr>
          <w:p w14:paraId="48FB5AD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3E872F0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4.06E-03</w:t>
            </w:r>
          </w:p>
        </w:tc>
        <w:tc>
          <w:tcPr>
            <w:tcW w:w="749" w:type="pct"/>
            <w:noWrap/>
            <w:vAlign w:val="center"/>
          </w:tcPr>
          <w:p w14:paraId="6A3DBDE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24110810</w:t>
            </w:r>
          </w:p>
        </w:tc>
        <w:tc>
          <w:tcPr>
            <w:tcW w:w="588" w:type="pct"/>
            <w:noWrap/>
            <w:vAlign w:val="center"/>
          </w:tcPr>
          <w:p w14:paraId="2F23E0C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1.62</w:t>
            </w:r>
          </w:p>
        </w:tc>
        <w:tc>
          <w:tcPr>
            <w:tcW w:w="608" w:type="pct"/>
            <w:noWrap/>
            <w:vAlign w:val="center"/>
          </w:tcPr>
          <w:p w14:paraId="7449997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55D54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366" w:type="pct"/>
            <w:vMerge w:val="continue"/>
            <w:noWrap/>
            <w:vAlign w:val="center"/>
          </w:tcPr>
          <w:p w14:paraId="679BC87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6A10FD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1D2CEF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03CB1A4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6.02E-04</w:t>
            </w:r>
          </w:p>
        </w:tc>
        <w:tc>
          <w:tcPr>
            <w:tcW w:w="749" w:type="pct"/>
            <w:noWrap/>
            <w:vAlign w:val="center"/>
          </w:tcPr>
          <w:p w14:paraId="26A05EB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5FA016D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0.60</w:t>
            </w:r>
          </w:p>
        </w:tc>
        <w:tc>
          <w:tcPr>
            <w:tcW w:w="608" w:type="pct"/>
            <w:noWrap/>
            <w:vAlign w:val="center"/>
          </w:tcPr>
          <w:p w14:paraId="111F087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C1A14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366" w:type="pct"/>
            <w:vMerge w:val="continue"/>
            <w:noWrap/>
            <w:vAlign w:val="center"/>
          </w:tcPr>
          <w:p w14:paraId="13CE397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FDCADC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B665BD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127E387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3.39E-05</w:t>
            </w:r>
          </w:p>
        </w:tc>
        <w:tc>
          <w:tcPr>
            <w:tcW w:w="749" w:type="pct"/>
            <w:noWrap/>
            <w:vAlign w:val="center"/>
          </w:tcPr>
          <w:p w14:paraId="4767EE3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ED73DC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088C533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DA13C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366" w:type="pct"/>
            <w:vMerge w:val="restart"/>
            <w:noWrap/>
            <w:vAlign w:val="center"/>
          </w:tcPr>
          <w:p w14:paraId="6A299730">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23</w:t>
            </w:r>
          </w:p>
        </w:tc>
        <w:tc>
          <w:tcPr>
            <w:tcW w:w="1210" w:type="pct"/>
            <w:vMerge w:val="restart"/>
            <w:noWrap/>
            <w:vAlign w:val="center"/>
          </w:tcPr>
          <w:p w14:paraId="2C2C3EA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商都幼儿园</w:t>
            </w:r>
          </w:p>
        </w:tc>
        <w:tc>
          <w:tcPr>
            <w:tcW w:w="608" w:type="pct"/>
            <w:noWrap/>
            <w:vAlign w:val="center"/>
          </w:tcPr>
          <w:p w14:paraId="389C60D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1879A19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3.40E-03</w:t>
            </w:r>
          </w:p>
        </w:tc>
        <w:tc>
          <w:tcPr>
            <w:tcW w:w="749" w:type="pct"/>
            <w:noWrap/>
            <w:vAlign w:val="center"/>
          </w:tcPr>
          <w:p w14:paraId="20375DD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588" w:type="pct"/>
            <w:noWrap/>
            <w:vAlign w:val="center"/>
          </w:tcPr>
          <w:p w14:paraId="6DD9938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1.36</w:t>
            </w:r>
          </w:p>
        </w:tc>
        <w:tc>
          <w:tcPr>
            <w:tcW w:w="608" w:type="pct"/>
            <w:noWrap/>
            <w:vAlign w:val="center"/>
          </w:tcPr>
          <w:p w14:paraId="7B2D60D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69871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366" w:type="pct"/>
            <w:vMerge w:val="continue"/>
            <w:noWrap/>
            <w:vAlign w:val="center"/>
          </w:tcPr>
          <w:p w14:paraId="7A91E58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B53ECA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3DF271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11E1E13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5.66E-04</w:t>
            </w:r>
          </w:p>
        </w:tc>
        <w:tc>
          <w:tcPr>
            <w:tcW w:w="749" w:type="pct"/>
            <w:noWrap/>
            <w:vAlign w:val="center"/>
          </w:tcPr>
          <w:p w14:paraId="4847E9F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240317</w:t>
            </w:r>
          </w:p>
        </w:tc>
        <w:tc>
          <w:tcPr>
            <w:tcW w:w="588" w:type="pct"/>
            <w:noWrap/>
            <w:vAlign w:val="center"/>
          </w:tcPr>
          <w:p w14:paraId="7F5DD51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0.57</w:t>
            </w:r>
          </w:p>
        </w:tc>
        <w:tc>
          <w:tcPr>
            <w:tcW w:w="608" w:type="pct"/>
            <w:noWrap/>
            <w:vAlign w:val="center"/>
          </w:tcPr>
          <w:p w14:paraId="3A0B9AB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09620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366" w:type="pct"/>
            <w:vMerge w:val="continue"/>
            <w:noWrap/>
            <w:vAlign w:val="center"/>
          </w:tcPr>
          <w:p w14:paraId="05735FF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13664F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E21291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21632B8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3.75E-05</w:t>
            </w:r>
          </w:p>
        </w:tc>
        <w:tc>
          <w:tcPr>
            <w:tcW w:w="749" w:type="pct"/>
            <w:noWrap/>
            <w:vAlign w:val="center"/>
          </w:tcPr>
          <w:p w14:paraId="41832C0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8F4832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3BC2F77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4FE7D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366" w:type="pct"/>
            <w:vMerge w:val="restart"/>
            <w:noWrap/>
            <w:vAlign w:val="center"/>
          </w:tcPr>
          <w:p w14:paraId="1C679450">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w:t>
            </w:r>
          </w:p>
        </w:tc>
        <w:tc>
          <w:tcPr>
            <w:tcW w:w="1210" w:type="pct"/>
            <w:vMerge w:val="restart"/>
            <w:noWrap/>
            <w:vAlign w:val="center"/>
          </w:tcPr>
          <w:p w14:paraId="48452DE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绥芬河市少年儿童业余体校</w:t>
            </w:r>
          </w:p>
        </w:tc>
        <w:tc>
          <w:tcPr>
            <w:tcW w:w="608" w:type="pct"/>
            <w:noWrap/>
            <w:vAlign w:val="center"/>
          </w:tcPr>
          <w:p w14:paraId="2719CEB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7384795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1.99E-03</w:t>
            </w:r>
          </w:p>
        </w:tc>
        <w:tc>
          <w:tcPr>
            <w:tcW w:w="749" w:type="pct"/>
            <w:noWrap/>
            <w:vAlign w:val="center"/>
          </w:tcPr>
          <w:p w14:paraId="7FCAD9F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3CE4AB8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0.79</w:t>
            </w:r>
          </w:p>
        </w:tc>
        <w:tc>
          <w:tcPr>
            <w:tcW w:w="608" w:type="pct"/>
            <w:noWrap/>
            <w:vAlign w:val="center"/>
          </w:tcPr>
          <w:p w14:paraId="76D87E6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E6823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366" w:type="pct"/>
            <w:vMerge w:val="continue"/>
            <w:noWrap/>
            <w:vAlign w:val="center"/>
          </w:tcPr>
          <w:p w14:paraId="7BD60C0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AF88EC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BECC93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72B711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1.02E-04</w:t>
            </w:r>
          </w:p>
        </w:tc>
        <w:tc>
          <w:tcPr>
            <w:tcW w:w="749" w:type="pct"/>
            <w:noWrap/>
            <w:vAlign w:val="center"/>
          </w:tcPr>
          <w:p w14:paraId="4FDA59C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1D48E8C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0.10</w:t>
            </w:r>
          </w:p>
        </w:tc>
        <w:tc>
          <w:tcPr>
            <w:tcW w:w="608" w:type="pct"/>
            <w:noWrap/>
            <w:vAlign w:val="center"/>
          </w:tcPr>
          <w:p w14:paraId="459DE8D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85D5D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366" w:type="pct"/>
            <w:vMerge w:val="continue"/>
            <w:noWrap/>
            <w:vAlign w:val="center"/>
          </w:tcPr>
          <w:p w14:paraId="69A837D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61A570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DC5B18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1AA8B44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1.35E-06</w:t>
            </w:r>
          </w:p>
        </w:tc>
        <w:tc>
          <w:tcPr>
            <w:tcW w:w="749" w:type="pct"/>
            <w:noWrap/>
            <w:vAlign w:val="center"/>
          </w:tcPr>
          <w:p w14:paraId="45E188C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2447031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02002E3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9BEC4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366" w:type="pct"/>
            <w:vMerge w:val="restart"/>
            <w:noWrap/>
            <w:vAlign w:val="center"/>
          </w:tcPr>
          <w:p w14:paraId="42940DB8">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25</w:t>
            </w:r>
          </w:p>
        </w:tc>
        <w:tc>
          <w:tcPr>
            <w:tcW w:w="1210" w:type="pct"/>
            <w:vMerge w:val="restart"/>
            <w:noWrap/>
            <w:vAlign w:val="center"/>
          </w:tcPr>
          <w:p w14:paraId="0EDC1859">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绥芬河市第二中学</w:t>
            </w:r>
          </w:p>
        </w:tc>
        <w:tc>
          <w:tcPr>
            <w:tcW w:w="608" w:type="pct"/>
            <w:noWrap/>
            <w:vAlign w:val="center"/>
          </w:tcPr>
          <w:p w14:paraId="51F3063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A44528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1.86E-03</w:t>
            </w:r>
          </w:p>
        </w:tc>
        <w:tc>
          <w:tcPr>
            <w:tcW w:w="749" w:type="pct"/>
            <w:noWrap/>
            <w:vAlign w:val="center"/>
          </w:tcPr>
          <w:p w14:paraId="0DD3ACB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23B685D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0.74</w:t>
            </w:r>
          </w:p>
        </w:tc>
        <w:tc>
          <w:tcPr>
            <w:tcW w:w="608" w:type="pct"/>
            <w:noWrap/>
            <w:vAlign w:val="center"/>
          </w:tcPr>
          <w:p w14:paraId="7753D4E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B9D80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366" w:type="pct"/>
            <w:vMerge w:val="continue"/>
            <w:noWrap/>
            <w:vAlign w:val="center"/>
          </w:tcPr>
          <w:p w14:paraId="3D59DD1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2A9C1D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DDA597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10BB3B8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8.02E-05</w:t>
            </w:r>
          </w:p>
        </w:tc>
        <w:tc>
          <w:tcPr>
            <w:tcW w:w="749" w:type="pct"/>
            <w:noWrap/>
            <w:vAlign w:val="center"/>
          </w:tcPr>
          <w:p w14:paraId="2F08110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712BAF2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56C3C38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8999D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366" w:type="pct"/>
            <w:vMerge w:val="continue"/>
            <w:noWrap/>
            <w:vAlign w:val="center"/>
          </w:tcPr>
          <w:p w14:paraId="1C2FABB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29D024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9C1B50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5FB8CA7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1.13E-06</w:t>
            </w:r>
          </w:p>
        </w:tc>
        <w:tc>
          <w:tcPr>
            <w:tcW w:w="749" w:type="pct"/>
            <w:noWrap/>
            <w:vAlign w:val="center"/>
          </w:tcPr>
          <w:p w14:paraId="2883FD1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4D0CE3B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5D79E93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B2E10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366" w:type="pct"/>
            <w:vMerge w:val="restart"/>
            <w:noWrap/>
            <w:vAlign w:val="center"/>
          </w:tcPr>
          <w:p w14:paraId="645E5D5B">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26</w:t>
            </w:r>
          </w:p>
        </w:tc>
        <w:tc>
          <w:tcPr>
            <w:tcW w:w="1210" w:type="pct"/>
            <w:vMerge w:val="restart"/>
            <w:noWrap/>
            <w:vAlign w:val="center"/>
          </w:tcPr>
          <w:p w14:paraId="1D93AE5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绥芬河市第三中学</w:t>
            </w:r>
          </w:p>
        </w:tc>
        <w:tc>
          <w:tcPr>
            <w:tcW w:w="608" w:type="pct"/>
            <w:noWrap/>
            <w:vAlign w:val="center"/>
          </w:tcPr>
          <w:p w14:paraId="20866EB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71FFE73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4.34E-03</w:t>
            </w:r>
          </w:p>
        </w:tc>
        <w:tc>
          <w:tcPr>
            <w:tcW w:w="749" w:type="pct"/>
            <w:noWrap/>
            <w:vAlign w:val="center"/>
          </w:tcPr>
          <w:p w14:paraId="0FB2E66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24110810</w:t>
            </w:r>
          </w:p>
        </w:tc>
        <w:tc>
          <w:tcPr>
            <w:tcW w:w="588" w:type="pct"/>
            <w:noWrap/>
            <w:vAlign w:val="center"/>
          </w:tcPr>
          <w:p w14:paraId="4B9DCCB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1.74</w:t>
            </w:r>
          </w:p>
        </w:tc>
        <w:tc>
          <w:tcPr>
            <w:tcW w:w="608" w:type="pct"/>
            <w:noWrap/>
            <w:vAlign w:val="center"/>
          </w:tcPr>
          <w:p w14:paraId="057747C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40280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366" w:type="pct"/>
            <w:vMerge w:val="continue"/>
            <w:noWrap/>
            <w:vAlign w:val="center"/>
          </w:tcPr>
          <w:p w14:paraId="0E3AD26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636F91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B62A51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2603185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3.15E-04</w:t>
            </w:r>
          </w:p>
        </w:tc>
        <w:tc>
          <w:tcPr>
            <w:tcW w:w="749" w:type="pct"/>
            <w:noWrap/>
            <w:vAlign w:val="center"/>
          </w:tcPr>
          <w:p w14:paraId="6D93E2C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3D7C0A1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0.31</w:t>
            </w:r>
          </w:p>
        </w:tc>
        <w:tc>
          <w:tcPr>
            <w:tcW w:w="608" w:type="pct"/>
            <w:noWrap/>
            <w:vAlign w:val="center"/>
          </w:tcPr>
          <w:p w14:paraId="5C2AF3E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9C7A4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366" w:type="pct"/>
            <w:vMerge w:val="continue"/>
            <w:noWrap/>
            <w:vAlign w:val="center"/>
          </w:tcPr>
          <w:p w14:paraId="2D0A531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97C9EF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CF9E26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5F109D7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1.09E-05</w:t>
            </w:r>
          </w:p>
        </w:tc>
        <w:tc>
          <w:tcPr>
            <w:tcW w:w="749" w:type="pct"/>
            <w:noWrap/>
            <w:vAlign w:val="center"/>
          </w:tcPr>
          <w:p w14:paraId="7DE0AF0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5822E4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5C6FB03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B16BA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366" w:type="pct"/>
            <w:vMerge w:val="restart"/>
            <w:noWrap/>
            <w:vAlign w:val="center"/>
          </w:tcPr>
          <w:p w14:paraId="7369E640">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w:t>
            </w:r>
          </w:p>
        </w:tc>
        <w:tc>
          <w:tcPr>
            <w:tcW w:w="1210" w:type="pct"/>
            <w:vMerge w:val="restart"/>
            <w:noWrap/>
            <w:vAlign w:val="center"/>
          </w:tcPr>
          <w:p w14:paraId="5266F98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旅游局家属楼</w:t>
            </w:r>
          </w:p>
        </w:tc>
        <w:tc>
          <w:tcPr>
            <w:tcW w:w="608" w:type="pct"/>
            <w:noWrap/>
            <w:vAlign w:val="center"/>
          </w:tcPr>
          <w:p w14:paraId="7D58BAF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51C7CEB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1.72E-03</w:t>
            </w:r>
          </w:p>
        </w:tc>
        <w:tc>
          <w:tcPr>
            <w:tcW w:w="749" w:type="pct"/>
            <w:noWrap/>
            <w:vAlign w:val="center"/>
          </w:tcPr>
          <w:p w14:paraId="6F84312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24022814</w:t>
            </w:r>
          </w:p>
        </w:tc>
        <w:tc>
          <w:tcPr>
            <w:tcW w:w="588" w:type="pct"/>
            <w:noWrap/>
            <w:vAlign w:val="center"/>
          </w:tcPr>
          <w:p w14:paraId="7457121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0.69</w:t>
            </w:r>
          </w:p>
        </w:tc>
        <w:tc>
          <w:tcPr>
            <w:tcW w:w="608" w:type="pct"/>
            <w:noWrap/>
            <w:vAlign w:val="center"/>
          </w:tcPr>
          <w:p w14:paraId="41A8272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EF150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366" w:type="pct"/>
            <w:vMerge w:val="continue"/>
            <w:noWrap/>
            <w:vAlign w:val="center"/>
          </w:tcPr>
          <w:p w14:paraId="6749E33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677104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364B11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1B4EF6F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7.18E-05</w:t>
            </w:r>
          </w:p>
        </w:tc>
        <w:tc>
          <w:tcPr>
            <w:tcW w:w="749" w:type="pct"/>
            <w:noWrap/>
            <w:vAlign w:val="center"/>
          </w:tcPr>
          <w:p w14:paraId="6AE6C46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240228</w:t>
            </w:r>
          </w:p>
        </w:tc>
        <w:tc>
          <w:tcPr>
            <w:tcW w:w="588" w:type="pct"/>
            <w:noWrap/>
            <w:vAlign w:val="center"/>
          </w:tcPr>
          <w:p w14:paraId="07F2D93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00F4D6A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6EB84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366" w:type="pct"/>
            <w:vMerge w:val="continue"/>
            <w:noWrap/>
            <w:vAlign w:val="center"/>
          </w:tcPr>
          <w:p w14:paraId="6A0FC1F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3C3D83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BCA6D9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3E7062E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1.40E-06</w:t>
            </w:r>
          </w:p>
        </w:tc>
        <w:tc>
          <w:tcPr>
            <w:tcW w:w="749" w:type="pct"/>
            <w:noWrap/>
            <w:vAlign w:val="center"/>
          </w:tcPr>
          <w:p w14:paraId="7958D52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97DE00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0A6AA94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66D35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366" w:type="pct"/>
            <w:vMerge w:val="restart"/>
            <w:noWrap/>
            <w:vAlign w:val="center"/>
          </w:tcPr>
          <w:p w14:paraId="0A7D28DE">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w:t>
            </w:r>
          </w:p>
        </w:tc>
        <w:tc>
          <w:tcPr>
            <w:tcW w:w="1210" w:type="pct"/>
            <w:vMerge w:val="restart"/>
            <w:noWrap/>
            <w:vAlign w:val="center"/>
          </w:tcPr>
          <w:p w14:paraId="3DB34AC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新安幸福嘉园</w:t>
            </w:r>
          </w:p>
        </w:tc>
        <w:tc>
          <w:tcPr>
            <w:tcW w:w="608" w:type="pct"/>
            <w:noWrap/>
            <w:vAlign w:val="center"/>
          </w:tcPr>
          <w:p w14:paraId="5FAC835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1705672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2.91E-03</w:t>
            </w:r>
          </w:p>
        </w:tc>
        <w:tc>
          <w:tcPr>
            <w:tcW w:w="749" w:type="pct"/>
            <w:noWrap/>
            <w:vAlign w:val="center"/>
          </w:tcPr>
          <w:p w14:paraId="02D3933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24031912</w:t>
            </w:r>
          </w:p>
        </w:tc>
        <w:tc>
          <w:tcPr>
            <w:tcW w:w="588" w:type="pct"/>
            <w:noWrap/>
            <w:vAlign w:val="center"/>
          </w:tcPr>
          <w:p w14:paraId="37D928F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1.16</w:t>
            </w:r>
          </w:p>
        </w:tc>
        <w:tc>
          <w:tcPr>
            <w:tcW w:w="608" w:type="pct"/>
            <w:noWrap/>
            <w:vAlign w:val="center"/>
          </w:tcPr>
          <w:p w14:paraId="3BA03B3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4325D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366" w:type="pct"/>
            <w:vMerge w:val="continue"/>
            <w:noWrap/>
            <w:vAlign w:val="center"/>
          </w:tcPr>
          <w:p w14:paraId="1990D5A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35D07B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6F19CB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3CBA0BC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2.09E-04</w:t>
            </w:r>
          </w:p>
        </w:tc>
        <w:tc>
          <w:tcPr>
            <w:tcW w:w="749" w:type="pct"/>
            <w:noWrap/>
            <w:vAlign w:val="center"/>
          </w:tcPr>
          <w:p w14:paraId="3F2F4CD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4C3DABF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0.21</w:t>
            </w:r>
          </w:p>
        </w:tc>
        <w:tc>
          <w:tcPr>
            <w:tcW w:w="608" w:type="pct"/>
            <w:noWrap/>
            <w:vAlign w:val="center"/>
          </w:tcPr>
          <w:p w14:paraId="472B9EF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02448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 w:hRule="atLeast"/>
          <w:jc w:val="center"/>
        </w:trPr>
        <w:tc>
          <w:tcPr>
            <w:tcW w:w="366" w:type="pct"/>
            <w:vMerge w:val="continue"/>
            <w:noWrap/>
            <w:vAlign w:val="center"/>
          </w:tcPr>
          <w:p w14:paraId="70DD6EA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047F12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10CF60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5310CFF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4.36E-06</w:t>
            </w:r>
          </w:p>
        </w:tc>
        <w:tc>
          <w:tcPr>
            <w:tcW w:w="749" w:type="pct"/>
            <w:noWrap/>
            <w:vAlign w:val="center"/>
          </w:tcPr>
          <w:p w14:paraId="10008DB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4205E33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32926B7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E0EE0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366" w:type="pct"/>
            <w:vMerge w:val="restart"/>
            <w:noWrap/>
            <w:vAlign w:val="center"/>
          </w:tcPr>
          <w:p w14:paraId="2A2F1C1A">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29</w:t>
            </w:r>
          </w:p>
        </w:tc>
        <w:tc>
          <w:tcPr>
            <w:tcW w:w="1210" w:type="pct"/>
            <w:vMerge w:val="restart"/>
            <w:noWrap/>
            <w:vAlign w:val="center"/>
          </w:tcPr>
          <w:p w14:paraId="0BCB936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中兴小区</w:t>
            </w:r>
          </w:p>
        </w:tc>
        <w:tc>
          <w:tcPr>
            <w:tcW w:w="608" w:type="pct"/>
            <w:noWrap/>
            <w:vAlign w:val="center"/>
          </w:tcPr>
          <w:p w14:paraId="67C3BAD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7B0B579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2.95E-03</w:t>
            </w:r>
          </w:p>
        </w:tc>
        <w:tc>
          <w:tcPr>
            <w:tcW w:w="749" w:type="pct"/>
            <w:noWrap/>
            <w:vAlign w:val="center"/>
          </w:tcPr>
          <w:p w14:paraId="4844483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4CD8D7A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1.18</w:t>
            </w:r>
          </w:p>
        </w:tc>
        <w:tc>
          <w:tcPr>
            <w:tcW w:w="608" w:type="pct"/>
            <w:noWrap/>
            <w:vAlign w:val="center"/>
          </w:tcPr>
          <w:p w14:paraId="13AF990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A1BC7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366" w:type="pct"/>
            <w:vMerge w:val="continue"/>
            <w:noWrap/>
            <w:vAlign w:val="center"/>
          </w:tcPr>
          <w:p w14:paraId="2973EE7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355D18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3B8788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8F15A5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2.21E-04</w:t>
            </w:r>
          </w:p>
        </w:tc>
        <w:tc>
          <w:tcPr>
            <w:tcW w:w="749" w:type="pct"/>
            <w:noWrap/>
            <w:vAlign w:val="center"/>
          </w:tcPr>
          <w:p w14:paraId="37B8ED6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260F64E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0.22</w:t>
            </w:r>
          </w:p>
        </w:tc>
        <w:tc>
          <w:tcPr>
            <w:tcW w:w="608" w:type="pct"/>
            <w:noWrap/>
            <w:vAlign w:val="center"/>
          </w:tcPr>
          <w:p w14:paraId="735A256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253E3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366" w:type="pct"/>
            <w:vMerge w:val="continue"/>
            <w:noWrap/>
            <w:vAlign w:val="center"/>
          </w:tcPr>
          <w:p w14:paraId="3B6EBDC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D1C953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358959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1B4D4FB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3.20E-06</w:t>
            </w:r>
          </w:p>
        </w:tc>
        <w:tc>
          <w:tcPr>
            <w:tcW w:w="749" w:type="pct"/>
            <w:noWrap/>
            <w:vAlign w:val="center"/>
          </w:tcPr>
          <w:p w14:paraId="3C71360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2A4F54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71446BD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51B5F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366" w:type="pct"/>
            <w:vMerge w:val="restart"/>
            <w:noWrap/>
            <w:vAlign w:val="center"/>
          </w:tcPr>
          <w:p w14:paraId="412EDFE1">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30</w:t>
            </w:r>
          </w:p>
        </w:tc>
        <w:tc>
          <w:tcPr>
            <w:tcW w:w="1210" w:type="pct"/>
            <w:vMerge w:val="restart"/>
            <w:noWrap/>
            <w:vAlign w:val="center"/>
          </w:tcPr>
          <w:p w14:paraId="65C73C3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绥兴社区</w:t>
            </w:r>
          </w:p>
        </w:tc>
        <w:tc>
          <w:tcPr>
            <w:tcW w:w="608" w:type="pct"/>
            <w:noWrap/>
            <w:vAlign w:val="center"/>
          </w:tcPr>
          <w:p w14:paraId="3A75010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6A2FE25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3.78E-03</w:t>
            </w:r>
          </w:p>
        </w:tc>
        <w:tc>
          <w:tcPr>
            <w:tcW w:w="749" w:type="pct"/>
            <w:noWrap/>
            <w:vAlign w:val="center"/>
          </w:tcPr>
          <w:p w14:paraId="24B75C8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24031913</w:t>
            </w:r>
          </w:p>
        </w:tc>
        <w:tc>
          <w:tcPr>
            <w:tcW w:w="588" w:type="pct"/>
            <w:noWrap/>
            <w:vAlign w:val="center"/>
          </w:tcPr>
          <w:p w14:paraId="62893E1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1.51</w:t>
            </w:r>
          </w:p>
        </w:tc>
        <w:tc>
          <w:tcPr>
            <w:tcW w:w="608" w:type="pct"/>
            <w:noWrap/>
            <w:vAlign w:val="center"/>
          </w:tcPr>
          <w:p w14:paraId="28269BE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3096B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66" w:type="pct"/>
            <w:vMerge w:val="continue"/>
            <w:noWrap/>
            <w:vAlign w:val="center"/>
          </w:tcPr>
          <w:p w14:paraId="4225DAE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CB318A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7DCE62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AFF274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5.00E-04</w:t>
            </w:r>
          </w:p>
        </w:tc>
        <w:tc>
          <w:tcPr>
            <w:tcW w:w="749" w:type="pct"/>
            <w:noWrap/>
            <w:vAlign w:val="center"/>
          </w:tcPr>
          <w:p w14:paraId="7912FEE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573227D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0.50</w:t>
            </w:r>
          </w:p>
        </w:tc>
        <w:tc>
          <w:tcPr>
            <w:tcW w:w="608" w:type="pct"/>
            <w:noWrap/>
            <w:vAlign w:val="center"/>
          </w:tcPr>
          <w:p w14:paraId="5E893C3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D778A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366" w:type="pct"/>
            <w:vMerge w:val="continue"/>
            <w:noWrap/>
            <w:vAlign w:val="center"/>
          </w:tcPr>
          <w:p w14:paraId="2E40F8F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A25002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97F7D7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457524E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8.84E-06</w:t>
            </w:r>
          </w:p>
        </w:tc>
        <w:tc>
          <w:tcPr>
            <w:tcW w:w="749" w:type="pct"/>
            <w:noWrap/>
            <w:vAlign w:val="center"/>
          </w:tcPr>
          <w:p w14:paraId="50629B1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17A4CFF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419630E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CF101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366" w:type="pct"/>
            <w:vMerge w:val="restart"/>
            <w:noWrap/>
            <w:vAlign w:val="center"/>
          </w:tcPr>
          <w:p w14:paraId="716ED936">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w:t>
            </w:r>
          </w:p>
        </w:tc>
        <w:tc>
          <w:tcPr>
            <w:tcW w:w="1210" w:type="pct"/>
            <w:vMerge w:val="restart"/>
            <w:noWrap/>
            <w:vAlign w:val="center"/>
          </w:tcPr>
          <w:p w14:paraId="26AAD66A">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远东新天地小区</w:t>
            </w:r>
          </w:p>
        </w:tc>
        <w:tc>
          <w:tcPr>
            <w:tcW w:w="608" w:type="pct"/>
            <w:noWrap/>
            <w:vAlign w:val="center"/>
          </w:tcPr>
          <w:p w14:paraId="628D088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3BCEFC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4.78E-03</w:t>
            </w:r>
          </w:p>
        </w:tc>
        <w:tc>
          <w:tcPr>
            <w:tcW w:w="749" w:type="pct"/>
            <w:noWrap/>
            <w:vAlign w:val="center"/>
          </w:tcPr>
          <w:p w14:paraId="4357D9E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24111911</w:t>
            </w:r>
          </w:p>
        </w:tc>
        <w:tc>
          <w:tcPr>
            <w:tcW w:w="588" w:type="pct"/>
            <w:noWrap/>
            <w:vAlign w:val="center"/>
          </w:tcPr>
          <w:p w14:paraId="6E2EDB6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1.91</w:t>
            </w:r>
          </w:p>
        </w:tc>
        <w:tc>
          <w:tcPr>
            <w:tcW w:w="608" w:type="pct"/>
            <w:noWrap/>
            <w:vAlign w:val="center"/>
          </w:tcPr>
          <w:p w14:paraId="78F96CB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7C9D9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366" w:type="pct"/>
            <w:vMerge w:val="continue"/>
            <w:noWrap/>
            <w:vAlign w:val="center"/>
          </w:tcPr>
          <w:p w14:paraId="5FEAD89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97B30D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04FFCB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2016C9A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1.41E-03</w:t>
            </w:r>
          </w:p>
        </w:tc>
        <w:tc>
          <w:tcPr>
            <w:tcW w:w="749" w:type="pct"/>
            <w:noWrap/>
            <w:vAlign w:val="center"/>
          </w:tcPr>
          <w:p w14:paraId="60CE4C7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240301</w:t>
            </w:r>
          </w:p>
        </w:tc>
        <w:tc>
          <w:tcPr>
            <w:tcW w:w="588" w:type="pct"/>
            <w:noWrap/>
            <w:vAlign w:val="center"/>
          </w:tcPr>
          <w:p w14:paraId="47402B2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1.41</w:t>
            </w:r>
          </w:p>
        </w:tc>
        <w:tc>
          <w:tcPr>
            <w:tcW w:w="608" w:type="pct"/>
            <w:noWrap/>
            <w:vAlign w:val="center"/>
          </w:tcPr>
          <w:p w14:paraId="05F538F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8FBF6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366" w:type="pct"/>
            <w:vMerge w:val="continue"/>
            <w:noWrap/>
            <w:vAlign w:val="center"/>
          </w:tcPr>
          <w:p w14:paraId="36D1782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6CE460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698925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2729F4C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1.59E-04</w:t>
            </w:r>
          </w:p>
        </w:tc>
        <w:tc>
          <w:tcPr>
            <w:tcW w:w="749" w:type="pct"/>
            <w:noWrap/>
            <w:vAlign w:val="center"/>
          </w:tcPr>
          <w:p w14:paraId="6077910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41D1DCC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0.32</w:t>
            </w:r>
          </w:p>
        </w:tc>
        <w:tc>
          <w:tcPr>
            <w:tcW w:w="608" w:type="pct"/>
            <w:noWrap/>
            <w:vAlign w:val="center"/>
          </w:tcPr>
          <w:p w14:paraId="10CF724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50B29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366" w:type="pct"/>
            <w:vMerge w:val="restart"/>
            <w:noWrap/>
            <w:vAlign w:val="center"/>
          </w:tcPr>
          <w:p w14:paraId="1550ECB7">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32</w:t>
            </w:r>
          </w:p>
        </w:tc>
        <w:tc>
          <w:tcPr>
            <w:tcW w:w="1210" w:type="pct"/>
            <w:vMerge w:val="restart"/>
            <w:noWrap/>
            <w:vAlign w:val="center"/>
          </w:tcPr>
          <w:p w14:paraId="6B4AF0F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凯丰小区</w:t>
            </w:r>
          </w:p>
        </w:tc>
        <w:tc>
          <w:tcPr>
            <w:tcW w:w="608" w:type="pct"/>
            <w:noWrap/>
            <w:vAlign w:val="center"/>
          </w:tcPr>
          <w:p w14:paraId="3F52737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7C860FC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5.24E-03</w:t>
            </w:r>
          </w:p>
        </w:tc>
        <w:tc>
          <w:tcPr>
            <w:tcW w:w="749" w:type="pct"/>
            <w:noWrap/>
            <w:vAlign w:val="center"/>
          </w:tcPr>
          <w:p w14:paraId="6D45FA9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24042212</w:t>
            </w:r>
          </w:p>
        </w:tc>
        <w:tc>
          <w:tcPr>
            <w:tcW w:w="588" w:type="pct"/>
            <w:noWrap/>
            <w:vAlign w:val="center"/>
          </w:tcPr>
          <w:p w14:paraId="2F4877B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2.10</w:t>
            </w:r>
          </w:p>
        </w:tc>
        <w:tc>
          <w:tcPr>
            <w:tcW w:w="608" w:type="pct"/>
            <w:noWrap/>
            <w:vAlign w:val="center"/>
          </w:tcPr>
          <w:p w14:paraId="17951EA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D3613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366" w:type="pct"/>
            <w:vMerge w:val="continue"/>
            <w:noWrap/>
            <w:vAlign w:val="center"/>
          </w:tcPr>
          <w:p w14:paraId="00E7BCD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D0189D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A95B12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2C972CC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8.64E-04</w:t>
            </w:r>
          </w:p>
        </w:tc>
        <w:tc>
          <w:tcPr>
            <w:tcW w:w="749" w:type="pct"/>
            <w:noWrap/>
            <w:vAlign w:val="center"/>
          </w:tcPr>
          <w:p w14:paraId="155D173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240422</w:t>
            </w:r>
          </w:p>
        </w:tc>
        <w:tc>
          <w:tcPr>
            <w:tcW w:w="588" w:type="pct"/>
            <w:noWrap/>
            <w:vAlign w:val="center"/>
          </w:tcPr>
          <w:p w14:paraId="7E384B7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0.86</w:t>
            </w:r>
          </w:p>
        </w:tc>
        <w:tc>
          <w:tcPr>
            <w:tcW w:w="608" w:type="pct"/>
            <w:noWrap/>
            <w:vAlign w:val="center"/>
          </w:tcPr>
          <w:p w14:paraId="2E271C8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0EDDC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366" w:type="pct"/>
            <w:vMerge w:val="continue"/>
            <w:noWrap/>
            <w:vAlign w:val="center"/>
          </w:tcPr>
          <w:p w14:paraId="334672F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4BEEEB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5BFD2E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7C732AA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3.08E-05</w:t>
            </w:r>
          </w:p>
        </w:tc>
        <w:tc>
          <w:tcPr>
            <w:tcW w:w="749" w:type="pct"/>
            <w:noWrap/>
            <w:vAlign w:val="center"/>
          </w:tcPr>
          <w:p w14:paraId="40070B7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AF8452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07BCA2E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03DEB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366" w:type="pct"/>
            <w:vMerge w:val="restart"/>
            <w:noWrap/>
            <w:vAlign w:val="center"/>
          </w:tcPr>
          <w:p w14:paraId="5AD84534">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33</w:t>
            </w:r>
          </w:p>
        </w:tc>
        <w:tc>
          <w:tcPr>
            <w:tcW w:w="1210" w:type="pct"/>
            <w:vMerge w:val="restart"/>
            <w:noWrap/>
            <w:vAlign w:val="center"/>
          </w:tcPr>
          <w:p w14:paraId="75F9826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澳运阳光花园</w:t>
            </w:r>
          </w:p>
        </w:tc>
        <w:tc>
          <w:tcPr>
            <w:tcW w:w="608" w:type="pct"/>
            <w:noWrap/>
            <w:vAlign w:val="center"/>
          </w:tcPr>
          <w:p w14:paraId="2211C8C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3D4732E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3.51E-03</w:t>
            </w:r>
          </w:p>
        </w:tc>
        <w:tc>
          <w:tcPr>
            <w:tcW w:w="749" w:type="pct"/>
            <w:noWrap/>
            <w:vAlign w:val="center"/>
          </w:tcPr>
          <w:p w14:paraId="1D080A3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24042017</w:t>
            </w:r>
          </w:p>
        </w:tc>
        <w:tc>
          <w:tcPr>
            <w:tcW w:w="588" w:type="pct"/>
            <w:noWrap/>
            <w:vAlign w:val="center"/>
          </w:tcPr>
          <w:p w14:paraId="75CD1BE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1.40</w:t>
            </w:r>
          </w:p>
        </w:tc>
        <w:tc>
          <w:tcPr>
            <w:tcW w:w="608" w:type="pct"/>
            <w:noWrap/>
            <w:vAlign w:val="center"/>
          </w:tcPr>
          <w:p w14:paraId="7485ECA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9730C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366" w:type="pct"/>
            <w:vMerge w:val="continue"/>
            <w:noWrap/>
            <w:vAlign w:val="center"/>
          </w:tcPr>
          <w:p w14:paraId="2A90520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CE170F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7C5171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57F2BE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6.70E-04</w:t>
            </w:r>
          </w:p>
        </w:tc>
        <w:tc>
          <w:tcPr>
            <w:tcW w:w="749" w:type="pct"/>
            <w:noWrap/>
            <w:vAlign w:val="center"/>
          </w:tcPr>
          <w:p w14:paraId="7AAADD6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240422</w:t>
            </w:r>
          </w:p>
        </w:tc>
        <w:tc>
          <w:tcPr>
            <w:tcW w:w="588" w:type="pct"/>
            <w:noWrap/>
            <w:vAlign w:val="center"/>
          </w:tcPr>
          <w:p w14:paraId="712ECA6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0.67</w:t>
            </w:r>
          </w:p>
        </w:tc>
        <w:tc>
          <w:tcPr>
            <w:tcW w:w="608" w:type="pct"/>
            <w:noWrap/>
            <w:vAlign w:val="center"/>
          </w:tcPr>
          <w:p w14:paraId="4CDE258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20ABB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366" w:type="pct"/>
            <w:vMerge w:val="continue"/>
            <w:noWrap/>
            <w:vAlign w:val="center"/>
          </w:tcPr>
          <w:p w14:paraId="6014BB8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90E6F9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919E8D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35D00D3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2.61E-05</w:t>
            </w:r>
          </w:p>
        </w:tc>
        <w:tc>
          <w:tcPr>
            <w:tcW w:w="749" w:type="pct"/>
            <w:noWrap/>
            <w:vAlign w:val="center"/>
          </w:tcPr>
          <w:p w14:paraId="60BF463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4FC9F49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6349706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30807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366" w:type="pct"/>
            <w:vMerge w:val="restart"/>
            <w:noWrap/>
            <w:vAlign w:val="center"/>
          </w:tcPr>
          <w:p w14:paraId="7C9A1469">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34</w:t>
            </w:r>
          </w:p>
        </w:tc>
        <w:tc>
          <w:tcPr>
            <w:tcW w:w="1210" w:type="pct"/>
            <w:vMerge w:val="restart"/>
            <w:noWrap/>
            <w:vAlign w:val="center"/>
          </w:tcPr>
          <w:p w14:paraId="00CEE6F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朝阳村</w:t>
            </w:r>
          </w:p>
        </w:tc>
        <w:tc>
          <w:tcPr>
            <w:tcW w:w="608" w:type="pct"/>
            <w:noWrap/>
            <w:vAlign w:val="center"/>
          </w:tcPr>
          <w:p w14:paraId="60E1734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6B849BA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3.43E-03</w:t>
            </w:r>
          </w:p>
        </w:tc>
        <w:tc>
          <w:tcPr>
            <w:tcW w:w="749" w:type="pct"/>
            <w:noWrap/>
            <w:vAlign w:val="center"/>
          </w:tcPr>
          <w:p w14:paraId="628B09E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24042107</w:t>
            </w:r>
          </w:p>
        </w:tc>
        <w:tc>
          <w:tcPr>
            <w:tcW w:w="588" w:type="pct"/>
            <w:noWrap/>
            <w:vAlign w:val="center"/>
          </w:tcPr>
          <w:p w14:paraId="7175024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1.37</w:t>
            </w:r>
          </w:p>
        </w:tc>
        <w:tc>
          <w:tcPr>
            <w:tcW w:w="608" w:type="pct"/>
            <w:noWrap/>
            <w:vAlign w:val="center"/>
          </w:tcPr>
          <w:p w14:paraId="0625239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2C1DC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366" w:type="pct"/>
            <w:vMerge w:val="continue"/>
            <w:noWrap/>
            <w:vAlign w:val="center"/>
          </w:tcPr>
          <w:p w14:paraId="2FB42DB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AE6BD8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55B363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3101793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5.55E-04</w:t>
            </w:r>
          </w:p>
        </w:tc>
        <w:tc>
          <w:tcPr>
            <w:tcW w:w="749" w:type="pct"/>
            <w:noWrap/>
            <w:vAlign w:val="center"/>
          </w:tcPr>
          <w:p w14:paraId="4C053AD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240327</w:t>
            </w:r>
          </w:p>
        </w:tc>
        <w:tc>
          <w:tcPr>
            <w:tcW w:w="588" w:type="pct"/>
            <w:noWrap/>
            <w:vAlign w:val="center"/>
          </w:tcPr>
          <w:p w14:paraId="75CC1CF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0.56</w:t>
            </w:r>
          </w:p>
        </w:tc>
        <w:tc>
          <w:tcPr>
            <w:tcW w:w="608" w:type="pct"/>
            <w:noWrap/>
            <w:vAlign w:val="center"/>
          </w:tcPr>
          <w:p w14:paraId="367850C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87A0B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366" w:type="pct"/>
            <w:vMerge w:val="continue"/>
            <w:noWrap/>
            <w:vAlign w:val="center"/>
          </w:tcPr>
          <w:p w14:paraId="2F0AF3C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885A1A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1D6005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4CB5184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2.12E-05</w:t>
            </w:r>
          </w:p>
        </w:tc>
        <w:tc>
          <w:tcPr>
            <w:tcW w:w="749" w:type="pct"/>
            <w:noWrap/>
            <w:vAlign w:val="center"/>
          </w:tcPr>
          <w:p w14:paraId="51E22BB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3CABD2A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0.04</w:t>
            </w:r>
          </w:p>
        </w:tc>
        <w:tc>
          <w:tcPr>
            <w:tcW w:w="608" w:type="pct"/>
            <w:noWrap/>
            <w:vAlign w:val="center"/>
          </w:tcPr>
          <w:p w14:paraId="024468C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8AA1A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3" w:hRule="atLeast"/>
          <w:jc w:val="center"/>
        </w:trPr>
        <w:tc>
          <w:tcPr>
            <w:tcW w:w="366" w:type="pct"/>
            <w:vMerge w:val="restart"/>
            <w:noWrap/>
            <w:vAlign w:val="center"/>
          </w:tcPr>
          <w:p w14:paraId="2E56449F">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35</w:t>
            </w:r>
          </w:p>
        </w:tc>
        <w:tc>
          <w:tcPr>
            <w:tcW w:w="1210" w:type="pct"/>
            <w:vMerge w:val="restart"/>
            <w:noWrap/>
            <w:vAlign w:val="center"/>
          </w:tcPr>
          <w:p w14:paraId="07C94AD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宏隆花园</w:t>
            </w:r>
          </w:p>
        </w:tc>
        <w:tc>
          <w:tcPr>
            <w:tcW w:w="608" w:type="pct"/>
            <w:noWrap/>
            <w:vAlign w:val="center"/>
          </w:tcPr>
          <w:p w14:paraId="65C5C81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7673338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3.64E-03</w:t>
            </w:r>
          </w:p>
        </w:tc>
        <w:tc>
          <w:tcPr>
            <w:tcW w:w="749" w:type="pct"/>
            <w:noWrap/>
            <w:vAlign w:val="center"/>
          </w:tcPr>
          <w:p w14:paraId="5223E6C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24031913</w:t>
            </w:r>
          </w:p>
        </w:tc>
        <w:tc>
          <w:tcPr>
            <w:tcW w:w="588" w:type="pct"/>
            <w:noWrap/>
            <w:vAlign w:val="center"/>
          </w:tcPr>
          <w:p w14:paraId="02232EB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1.46</w:t>
            </w:r>
          </w:p>
        </w:tc>
        <w:tc>
          <w:tcPr>
            <w:tcW w:w="608" w:type="pct"/>
            <w:noWrap/>
            <w:vAlign w:val="center"/>
          </w:tcPr>
          <w:p w14:paraId="37813A4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BCC1B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366" w:type="pct"/>
            <w:vMerge w:val="continue"/>
            <w:noWrap/>
            <w:vAlign w:val="center"/>
          </w:tcPr>
          <w:p w14:paraId="0647A1B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783F83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F18844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386C827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5.00E-04</w:t>
            </w:r>
          </w:p>
        </w:tc>
        <w:tc>
          <w:tcPr>
            <w:tcW w:w="749" w:type="pct"/>
            <w:noWrap/>
            <w:vAlign w:val="center"/>
          </w:tcPr>
          <w:p w14:paraId="602C349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6E3BDCD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0.50</w:t>
            </w:r>
          </w:p>
        </w:tc>
        <w:tc>
          <w:tcPr>
            <w:tcW w:w="608" w:type="pct"/>
            <w:noWrap/>
            <w:vAlign w:val="center"/>
          </w:tcPr>
          <w:p w14:paraId="0644BE9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36B5B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 w:hRule="atLeast"/>
          <w:jc w:val="center"/>
        </w:trPr>
        <w:tc>
          <w:tcPr>
            <w:tcW w:w="366" w:type="pct"/>
            <w:vMerge w:val="continue"/>
            <w:noWrap/>
            <w:vAlign w:val="center"/>
          </w:tcPr>
          <w:p w14:paraId="3CB1306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D8045C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C53A14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4F2FAC2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9.83E-06</w:t>
            </w:r>
          </w:p>
        </w:tc>
        <w:tc>
          <w:tcPr>
            <w:tcW w:w="749" w:type="pct"/>
            <w:noWrap/>
            <w:vAlign w:val="center"/>
          </w:tcPr>
          <w:p w14:paraId="4BE90DF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37CC686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3C53E7D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80AC5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2" w:hRule="atLeast"/>
          <w:jc w:val="center"/>
        </w:trPr>
        <w:tc>
          <w:tcPr>
            <w:tcW w:w="366" w:type="pct"/>
            <w:vMerge w:val="restart"/>
            <w:noWrap/>
            <w:vAlign w:val="center"/>
          </w:tcPr>
          <w:p w14:paraId="191AC276">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36</w:t>
            </w:r>
          </w:p>
        </w:tc>
        <w:tc>
          <w:tcPr>
            <w:tcW w:w="1210" w:type="pct"/>
            <w:vMerge w:val="restart"/>
            <w:noWrap/>
            <w:vAlign w:val="center"/>
          </w:tcPr>
          <w:p w14:paraId="4121E9F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中福名都花园</w:t>
            </w:r>
          </w:p>
        </w:tc>
        <w:tc>
          <w:tcPr>
            <w:tcW w:w="608" w:type="pct"/>
            <w:noWrap/>
            <w:vAlign w:val="center"/>
          </w:tcPr>
          <w:p w14:paraId="789A23F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5313C99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3.31E-03</w:t>
            </w:r>
          </w:p>
        </w:tc>
        <w:tc>
          <w:tcPr>
            <w:tcW w:w="749" w:type="pct"/>
            <w:noWrap/>
            <w:vAlign w:val="center"/>
          </w:tcPr>
          <w:p w14:paraId="6653478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549593E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1.33</w:t>
            </w:r>
          </w:p>
        </w:tc>
        <w:tc>
          <w:tcPr>
            <w:tcW w:w="608" w:type="pct"/>
            <w:noWrap/>
            <w:vAlign w:val="center"/>
          </w:tcPr>
          <w:p w14:paraId="6C7B805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DDDC3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366" w:type="pct"/>
            <w:vMerge w:val="continue"/>
            <w:noWrap/>
            <w:vAlign w:val="center"/>
          </w:tcPr>
          <w:p w14:paraId="3C3EEDF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E1B8EA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C89280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3C8FC2D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3.94E-04</w:t>
            </w:r>
          </w:p>
        </w:tc>
        <w:tc>
          <w:tcPr>
            <w:tcW w:w="749" w:type="pct"/>
            <w:noWrap/>
            <w:vAlign w:val="center"/>
          </w:tcPr>
          <w:p w14:paraId="2DADA64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2A11335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0.39</w:t>
            </w:r>
          </w:p>
        </w:tc>
        <w:tc>
          <w:tcPr>
            <w:tcW w:w="608" w:type="pct"/>
            <w:noWrap/>
            <w:vAlign w:val="center"/>
          </w:tcPr>
          <w:p w14:paraId="223EEF4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5D321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366" w:type="pct"/>
            <w:vMerge w:val="continue"/>
            <w:noWrap/>
            <w:vAlign w:val="center"/>
          </w:tcPr>
          <w:p w14:paraId="32001FA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9E517C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DD704D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2CE2A77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5.55E-06</w:t>
            </w:r>
          </w:p>
        </w:tc>
        <w:tc>
          <w:tcPr>
            <w:tcW w:w="749" w:type="pct"/>
            <w:noWrap/>
            <w:vAlign w:val="center"/>
          </w:tcPr>
          <w:p w14:paraId="0ADBBF3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4BDC7EF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7AA2EA3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92F8F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366" w:type="pct"/>
            <w:vMerge w:val="restart"/>
            <w:noWrap/>
            <w:vAlign w:val="center"/>
          </w:tcPr>
          <w:p w14:paraId="1BC9B024">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37</w:t>
            </w:r>
          </w:p>
        </w:tc>
        <w:tc>
          <w:tcPr>
            <w:tcW w:w="1210" w:type="pct"/>
            <w:vMerge w:val="restart"/>
            <w:noWrap/>
            <w:vAlign w:val="center"/>
          </w:tcPr>
          <w:p w14:paraId="555CB91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康健花园</w:t>
            </w:r>
          </w:p>
        </w:tc>
        <w:tc>
          <w:tcPr>
            <w:tcW w:w="608" w:type="pct"/>
            <w:noWrap/>
            <w:vAlign w:val="center"/>
          </w:tcPr>
          <w:p w14:paraId="0157DC9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6A2C9F9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3.44E-03</w:t>
            </w:r>
          </w:p>
        </w:tc>
        <w:tc>
          <w:tcPr>
            <w:tcW w:w="749" w:type="pct"/>
            <w:noWrap/>
            <w:vAlign w:val="center"/>
          </w:tcPr>
          <w:p w14:paraId="0BDB2D3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588" w:type="pct"/>
            <w:noWrap/>
            <w:vAlign w:val="center"/>
          </w:tcPr>
          <w:p w14:paraId="70F511B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1.38</w:t>
            </w:r>
          </w:p>
        </w:tc>
        <w:tc>
          <w:tcPr>
            <w:tcW w:w="608" w:type="pct"/>
            <w:noWrap/>
            <w:vAlign w:val="center"/>
          </w:tcPr>
          <w:p w14:paraId="38DD101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B6BD7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0" w:hRule="atLeast"/>
          <w:jc w:val="center"/>
        </w:trPr>
        <w:tc>
          <w:tcPr>
            <w:tcW w:w="366" w:type="pct"/>
            <w:vMerge w:val="continue"/>
            <w:noWrap/>
            <w:vAlign w:val="center"/>
          </w:tcPr>
          <w:p w14:paraId="0E86F9F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151F16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A6A887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6704AF9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4.48E-04</w:t>
            </w:r>
          </w:p>
        </w:tc>
        <w:tc>
          <w:tcPr>
            <w:tcW w:w="749" w:type="pct"/>
            <w:noWrap/>
            <w:vAlign w:val="center"/>
          </w:tcPr>
          <w:p w14:paraId="37BCC06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0944731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0.45</w:t>
            </w:r>
          </w:p>
        </w:tc>
        <w:tc>
          <w:tcPr>
            <w:tcW w:w="608" w:type="pct"/>
            <w:noWrap/>
            <w:vAlign w:val="center"/>
          </w:tcPr>
          <w:p w14:paraId="0198D24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CB323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366" w:type="pct"/>
            <w:vMerge w:val="continue"/>
            <w:noWrap/>
            <w:vAlign w:val="center"/>
          </w:tcPr>
          <w:p w14:paraId="37DB510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8EBDB9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265A5C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2FFF88A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3.18E-05</w:t>
            </w:r>
          </w:p>
        </w:tc>
        <w:tc>
          <w:tcPr>
            <w:tcW w:w="749" w:type="pct"/>
            <w:noWrap/>
            <w:vAlign w:val="center"/>
          </w:tcPr>
          <w:p w14:paraId="13A3187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638AB0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6F1A6DB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6DC53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366" w:type="pct"/>
            <w:vMerge w:val="restart"/>
            <w:noWrap/>
            <w:vAlign w:val="center"/>
          </w:tcPr>
          <w:p w14:paraId="3D311D17">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38</w:t>
            </w:r>
          </w:p>
        </w:tc>
        <w:tc>
          <w:tcPr>
            <w:tcW w:w="1210" w:type="pct"/>
            <w:vMerge w:val="restart"/>
            <w:noWrap/>
            <w:vAlign w:val="center"/>
          </w:tcPr>
          <w:p w14:paraId="6525DFC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海融安居里</w:t>
            </w:r>
          </w:p>
        </w:tc>
        <w:tc>
          <w:tcPr>
            <w:tcW w:w="608" w:type="pct"/>
            <w:noWrap/>
            <w:vAlign w:val="center"/>
          </w:tcPr>
          <w:p w14:paraId="4152D48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1768956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6.41E-03</w:t>
            </w:r>
          </w:p>
        </w:tc>
        <w:tc>
          <w:tcPr>
            <w:tcW w:w="749" w:type="pct"/>
            <w:noWrap/>
            <w:vAlign w:val="center"/>
          </w:tcPr>
          <w:p w14:paraId="277E1F7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588" w:type="pct"/>
            <w:noWrap/>
            <w:vAlign w:val="center"/>
          </w:tcPr>
          <w:p w14:paraId="21BE165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2.56</w:t>
            </w:r>
          </w:p>
        </w:tc>
        <w:tc>
          <w:tcPr>
            <w:tcW w:w="608" w:type="pct"/>
            <w:noWrap/>
            <w:vAlign w:val="center"/>
          </w:tcPr>
          <w:p w14:paraId="0079D7D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ED372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366" w:type="pct"/>
            <w:vMerge w:val="continue"/>
            <w:noWrap/>
            <w:vAlign w:val="center"/>
          </w:tcPr>
          <w:p w14:paraId="4F24401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A48B12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1CB474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437CAA3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5.50E-04</w:t>
            </w:r>
          </w:p>
        </w:tc>
        <w:tc>
          <w:tcPr>
            <w:tcW w:w="749" w:type="pct"/>
            <w:noWrap/>
            <w:vAlign w:val="center"/>
          </w:tcPr>
          <w:p w14:paraId="6858044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241122</w:t>
            </w:r>
          </w:p>
        </w:tc>
        <w:tc>
          <w:tcPr>
            <w:tcW w:w="588" w:type="pct"/>
            <w:noWrap/>
            <w:vAlign w:val="center"/>
          </w:tcPr>
          <w:p w14:paraId="46C5286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0.55</w:t>
            </w:r>
          </w:p>
        </w:tc>
        <w:tc>
          <w:tcPr>
            <w:tcW w:w="608" w:type="pct"/>
            <w:noWrap/>
            <w:vAlign w:val="center"/>
          </w:tcPr>
          <w:p w14:paraId="780100E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78F5B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366" w:type="pct"/>
            <w:vMerge w:val="continue"/>
            <w:noWrap/>
            <w:vAlign w:val="center"/>
          </w:tcPr>
          <w:p w14:paraId="3FF84C3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823970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F838BE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71086B1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4.66E-05</w:t>
            </w:r>
          </w:p>
        </w:tc>
        <w:tc>
          <w:tcPr>
            <w:tcW w:w="749" w:type="pct"/>
            <w:noWrap/>
            <w:vAlign w:val="center"/>
          </w:tcPr>
          <w:p w14:paraId="22F05A2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3BFE169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0.09</w:t>
            </w:r>
          </w:p>
        </w:tc>
        <w:tc>
          <w:tcPr>
            <w:tcW w:w="608" w:type="pct"/>
            <w:noWrap/>
            <w:vAlign w:val="center"/>
          </w:tcPr>
          <w:p w14:paraId="371B553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3A8E1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366" w:type="pct"/>
            <w:vMerge w:val="restart"/>
            <w:noWrap/>
            <w:vAlign w:val="center"/>
          </w:tcPr>
          <w:p w14:paraId="636E6440">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39</w:t>
            </w:r>
          </w:p>
        </w:tc>
        <w:tc>
          <w:tcPr>
            <w:tcW w:w="1210" w:type="pct"/>
            <w:vMerge w:val="restart"/>
            <w:noWrap/>
            <w:vAlign w:val="center"/>
          </w:tcPr>
          <w:p w14:paraId="3DB6F1C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海融富华苑</w:t>
            </w:r>
          </w:p>
        </w:tc>
        <w:tc>
          <w:tcPr>
            <w:tcW w:w="608" w:type="pct"/>
            <w:noWrap/>
            <w:vAlign w:val="center"/>
          </w:tcPr>
          <w:p w14:paraId="5D109DA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7F84E2F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1.57E-03</w:t>
            </w:r>
          </w:p>
        </w:tc>
        <w:tc>
          <w:tcPr>
            <w:tcW w:w="749" w:type="pct"/>
            <w:noWrap/>
            <w:vAlign w:val="center"/>
          </w:tcPr>
          <w:p w14:paraId="5755AEE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7559F71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0.63</w:t>
            </w:r>
          </w:p>
        </w:tc>
        <w:tc>
          <w:tcPr>
            <w:tcW w:w="608" w:type="pct"/>
            <w:noWrap/>
            <w:vAlign w:val="center"/>
          </w:tcPr>
          <w:p w14:paraId="4C91016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2C5DA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366" w:type="pct"/>
            <w:vMerge w:val="continue"/>
            <w:noWrap/>
            <w:vAlign w:val="center"/>
          </w:tcPr>
          <w:p w14:paraId="141A994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228C12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A1DBAE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D6650B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8.50E-05</w:t>
            </w:r>
          </w:p>
        </w:tc>
        <w:tc>
          <w:tcPr>
            <w:tcW w:w="749" w:type="pct"/>
            <w:noWrap/>
            <w:vAlign w:val="center"/>
          </w:tcPr>
          <w:p w14:paraId="4C8F13B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71FA4FF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0.09</w:t>
            </w:r>
          </w:p>
        </w:tc>
        <w:tc>
          <w:tcPr>
            <w:tcW w:w="608" w:type="pct"/>
            <w:noWrap/>
            <w:vAlign w:val="center"/>
          </w:tcPr>
          <w:p w14:paraId="0066CA7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2BCD9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366" w:type="pct"/>
            <w:vMerge w:val="continue"/>
            <w:noWrap/>
            <w:vAlign w:val="center"/>
          </w:tcPr>
          <w:p w14:paraId="68103AA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410DED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A5A6C4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49CA04C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1.32E-06</w:t>
            </w:r>
          </w:p>
        </w:tc>
        <w:tc>
          <w:tcPr>
            <w:tcW w:w="749" w:type="pct"/>
            <w:noWrap/>
            <w:vAlign w:val="center"/>
          </w:tcPr>
          <w:p w14:paraId="556CABF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3ED4450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56E31BE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C3F66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366" w:type="pct"/>
            <w:vMerge w:val="restart"/>
            <w:noWrap/>
            <w:vAlign w:val="center"/>
          </w:tcPr>
          <w:p w14:paraId="2F4DCF3C">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40</w:t>
            </w:r>
          </w:p>
        </w:tc>
        <w:tc>
          <w:tcPr>
            <w:tcW w:w="1210" w:type="pct"/>
            <w:vMerge w:val="restart"/>
            <w:noWrap/>
            <w:vAlign w:val="center"/>
          </w:tcPr>
          <w:p w14:paraId="4C34131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好景园小区</w:t>
            </w:r>
          </w:p>
        </w:tc>
        <w:tc>
          <w:tcPr>
            <w:tcW w:w="608" w:type="pct"/>
            <w:noWrap/>
            <w:vAlign w:val="center"/>
          </w:tcPr>
          <w:p w14:paraId="2B34EB7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13C4104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1.90E-03</w:t>
            </w:r>
          </w:p>
        </w:tc>
        <w:tc>
          <w:tcPr>
            <w:tcW w:w="749" w:type="pct"/>
            <w:noWrap/>
            <w:vAlign w:val="center"/>
          </w:tcPr>
          <w:p w14:paraId="5B648AB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367AE26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0.76</w:t>
            </w:r>
          </w:p>
        </w:tc>
        <w:tc>
          <w:tcPr>
            <w:tcW w:w="608" w:type="pct"/>
            <w:noWrap/>
            <w:vAlign w:val="center"/>
          </w:tcPr>
          <w:p w14:paraId="5F979C4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B62B3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366" w:type="pct"/>
            <w:vMerge w:val="continue"/>
            <w:noWrap/>
            <w:vAlign w:val="center"/>
          </w:tcPr>
          <w:p w14:paraId="29D3B6F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4BCEEE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864DB3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C8202F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9.02E-05</w:t>
            </w:r>
          </w:p>
        </w:tc>
        <w:tc>
          <w:tcPr>
            <w:tcW w:w="749" w:type="pct"/>
            <w:noWrap/>
            <w:vAlign w:val="center"/>
          </w:tcPr>
          <w:p w14:paraId="5F6E687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66B2DEB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0.09</w:t>
            </w:r>
          </w:p>
        </w:tc>
        <w:tc>
          <w:tcPr>
            <w:tcW w:w="608" w:type="pct"/>
            <w:noWrap/>
            <w:vAlign w:val="center"/>
          </w:tcPr>
          <w:p w14:paraId="51DB6B1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95AD4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366" w:type="pct"/>
            <w:vMerge w:val="continue"/>
            <w:noWrap/>
            <w:vAlign w:val="center"/>
          </w:tcPr>
          <w:p w14:paraId="1D8FB6D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771A33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975A5C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7FEE094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1.40E-06</w:t>
            </w:r>
          </w:p>
        </w:tc>
        <w:tc>
          <w:tcPr>
            <w:tcW w:w="749" w:type="pct"/>
            <w:noWrap/>
            <w:vAlign w:val="center"/>
          </w:tcPr>
          <w:p w14:paraId="7BA446D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6FD8BAD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58DC903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8F07A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jc w:val="center"/>
        </w:trPr>
        <w:tc>
          <w:tcPr>
            <w:tcW w:w="366" w:type="pct"/>
            <w:vMerge w:val="restart"/>
            <w:noWrap/>
            <w:vAlign w:val="center"/>
          </w:tcPr>
          <w:p w14:paraId="6B0F8C73">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41</w:t>
            </w:r>
          </w:p>
        </w:tc>
        <w:tc>
          <w:tcPr>
            <w:tcW w:w="1210" w:type="pct"/>
            <w:vMerge w:val="restart"/>
            <w:noWrap/>
            <w:vAlign w:val="center"/>
          </w:tcPr>
          <w:p w14:paraId="273FEEC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旗苑家园</w:t>
            </w:r>
          </w:p>
        </w:tc>
        <w:tc>
          <w:tcPr>
            <w:tcW w:w="608" w:type="pct"/>
            <w:noWrap/>
            <w:vAlign w:val="center"/>
          </w:tcPr>
          <w:p w14:paraId="7133705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0B3DD9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1.69E-03</w:t>
            </w:r>
          </w:p>
        </w:tc>
        <w:tc>
          <w:tcPr>
            <w:tcW w:w="749" w:type="pct"/>
            <w:noWrap/>
            <w:vAlign w:val="center"/>
          </w:tcPr>
          <w:p w14:paraId="3456D56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3C546B9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0.68</w:t>
            </w:r>
          </w:p>
        </w:tc>
        <w:tc>
          <w:tcPr>
            <w:tcW w:w="608" w:type="pct"/>
            <w:noWrap/>
            <w:vAlign w:val="center"/>
          </w:tcPr>
          <w:p w14:paraId="25B6FA5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09063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366" w:type="pct"/>
            <w:vMerge w:val="continue"/>
            <w:noWrap/>
            <w:vAlign w:val="center"/>
          </w:tcPr>
          <w:p w14:paraId="6C25984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545B94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B00456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32B588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7.05E-05</w:t>
            </w:r>
          </w:p>
        </w:tc>
        <w:tc>
          <w:tcPr>
            <w:tcW w:w="749" w:type="pct"/>
            <w:noWrap/>
            <w:vAlign w:val="center"/>
          </w:tcPr>
          <w:p w14:paraId="5C60339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w:t>
            </w:r>
          </w:p>
        </w:tc>
        <w:tc>
          <w:tcPr>
            <w:tcW w:w="588" w:type="pct"/>
            <w:noWrap/>
            <w:vAlign w:val="center"/>
          </w:tcPr>
          <w:p w14:paraId="71382CD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73BF543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924E4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 w:hRule="atLeast"/>
          <w:jc w:val="center"/>
        </w:trPr>
        <w:tc>
          <w:tcPr>
            <w:tcW w:w="366" w:type="pct"/>
            <w:vMerge w:val="continue"/>
            <w:noWrap/>
            <w:vAlign w:val="center"/>
          </w:tcPr>
          <w:p w14:paraId="30FAB49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A3E255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C9D6FB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1539EC3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1.04E-06</w:t>
            </w:r>
          </w:p>
        </w:tc>
        <w:tc>
          <w:tcPr>
            <w:tcW w:w="749" w:type="pct"/>
            <w:noWrap/>
            <w:vAlign w:val="center"/>
          </w:tcPr>
          <w:p w14:paraId="7BFA9D4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C0DE63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1B1FB08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FEE79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2" w:hRule="atLeast"/>
          <w:jc w:val="center"/>
        </w:trPr>
        <w:tc>
          <w:tcPr>
            <w:tcW w:w="366" w:type="pct"/>
            <w:vMerge w:val="restart"/>
            <w:noWrap/>
            <w:vAlign w:val="center"/>
          </w:tcPr>
          <w:p w14:paraId="10B2CD58">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w:t>
            </w:r>
          </w:p>
        </w:tc>
        <w:tc>
          <w:tcPr>
            <w:tcW w:w="1210" w:type="pct"/>
            <w:vMerge w:val="restart"/>
            <w:noWrap/>
            <w:vAlign w:val="center"/>
          </w:tcPr>
          <w:p w14:paraId="6FDB570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兴达家园</w:t>
            </w:r>
          </w:p>
        </w:tc>
        <w:tc>
          <w:tcPr>
            <w:tcW w:w="608" w:type="pct"/>
            <w:noWrap/>
            <w:vAlign w:val="center"/>
          </w:tcPr>
          <w:p w14:paraId="338C8CC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417207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1.19E-03</w:t>
            </w:r>
          </w:p>
        </w:tc>
        <w:tc>
          <w:tcPr>
            <w:tcW w:w="749" w:type="pct"/>
            <w:noWrap/>
            <w:vAlign w:val="center"/>
          </w:tcPr>
          <w:p w14:paraId="0EC2041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24040909</w:t>
            </w:r>
          </w:p>
        </w:tc>
        <w:tc>
          <w:tcPr>
            <w:tcW w:w="588" w:type="pct"/>
            <w:noWrap/>
            <w:vAlign w:val="center"/>
          </w:tcPr>
          <w:p w14:paraId="2B6E345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0.48</w:t>
            </w:r>
          </w:p>
        </w:tc>
        <w:tc>
          <w:tcPr>
            <w:tcW w:w="608" w:type="pct"/>
            <w:noWrap/>
            <w:vAlign w:val="center"/>
          </w:tcPr>
          <w:p w14:paraId="5D62C71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AE30C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366" w:type="pct"/>
            <w:vMerge w:val="continue"/>
            <w:noWrap/>
            <w:vAlign w:val="center"/>
          </w:tcPr>
          <w:p w14:paraId="7BA5645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7EE4AB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DE3B01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46B5B45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5.59E-05</w:t>
            </w:r>
          </w:p>
        </w:tc>
        <w:tc>
          <w:tcPr>
            <w:tcW w:w="749" w:type="pct"/>
            <w:noWrap/>
            <w:vAlign w:val="center"/>
          </w:tcPr>
          <w:p w14:paraId="1C8975C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74150F1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29082A0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6E487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366" w:type="pct"/>
            <w:vMerge w:val="continue"/>
            <w:noWrap/>
            <w:vAlign w:val="center"/>
          </w:tcPr>
          <w:p w14:paraId="315F6B8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758F82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AD636C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2E36986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1.48E-06</w:t>
            </w:r>
          </w:p>
        </w:tc>
        <w:tc>
          <w:tcPr>
            <w:tcW w:w="749" w:type="pct"/>
            <w:noWrap/>
            <w:vAlign w:val="center"/>
          </w:tcPr>
          <w:p w14:paraId="6C391D8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60892AA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0A6E39F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F6AF9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 w:hRule="atLeast"/>
          <w:jc w:val="center"/>
        </w:trPr>
        <w:tc>
          <w:tcPr>
            <w:tcW w:w="366" w:type="pct"/>
            <w:vMerge w:val="restart"/>
            <w:noWrap/>
            <w:vAlign w:val="center"/>
          </w:tcPr>
          <w:p w14:paraId="42029E6B">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43</w:t>
            </w:r>
          </w:p>
        </w:tc>
        <w:tc>
          <w:tcPr>
            <w:tcW w:w="1210" w:type="pct"/>
            <w:vMerge w:val="restart"/>
            <w:noWrap/>
            <w:vAlign w:val="center"/>
          </w:tcPr>
          <w:p w14:paraId="32C7F9D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协会大厦</w:t>
            </w:r>
          </w:p>
        </w:tc>
        <w:tc>
          <w:tcPr>
            <w:tcW w:w="608" w:type="pct"/>
            <w:noWrap/>
            <w:vAlign w:val="center"/>
          </w:tcPr>
          <w:p w14:paraId="0E97EB8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03C4E20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2.59E-03</w:t>
            </w:r>
          </w:p>
        </w:tc>
        <w:tc>
          <w:tcPr>
            <w:tcW w:w="749" w:type="pct"/>
            <w:noWrap/>
            <w:vAlign w:val="center"/>
          </w:tcPr>
          <w:p w14:paraId="2E81ECD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24042110</w:t>
            </w:r>
          </w:p>
        </w:tc>
        <w:tc>
          <w:tcPr>
            <w:tcW w:w="588" w:type="pct"/>
            <w:noWrap/>
            <w:vAlign w:val="center"/>
          </w:tcPr>
          <w:p w14:paraId="561481B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1.04</w:t>
            </w:r>
          </w:p>
        </w:tc>
        <w:tc>
          <w:tcPr>
            <w:tcW w:w="608" w:type="pct"/>
            <w:noWrap/>
            <w:vAlign w:val="center"/>
          </w:tcPr>
          <w:p w14:paraId="6C804E8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DBD95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366" w:type="pct"/>
            <w:vMerge w:val="continue"/>
            <w:noWrap/>
            <w:vAlign w:val="center"/>
          </w:tcPr>
          <w:p w14:paraId="69620E5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6EA614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2CB88A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60C6BFF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1.65E-04</w:t>
            </w:r>
          </w:p>
        </w:tc>
        <w:tc>
          <w:tcPr>
            <w:tcW w:w="749" w:type="pct"/>
            <w:noWrap/>
            <w:vAlign w:val="center"/>
          </w:tcPr>
          <w:p w14:paraId="3883C39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7A5C955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0.17</w:t>
            </w:r>
          </w:p>
        </w:tc>
        <w:tc>
          <w:tcPr>
            <w:tcW w:w="608" w:type="pct"/>
            <w:noWrap/>
            <w:vAlign w:val="center"/>
          </w:tcPr>
          <w:p w14:paraId="58026AE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5F776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366" w:type="pct"/>
            <w:vMerge w:val="continue"/>
            <w:noWrap/>
            <w:vAlign w:val="center"/>
          </w:tcPr>
          <w:p w14:paraId="59C0AFC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F6CEA9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761E28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059A45B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3.46E-06</w:t>
            </w:r>
          </w:p>
        </w:tc>
        <w:tc>
          <w:tcPr>
            <w:tcW w:w="749" w:type="pct"/>
            <w:noWrap/>
            <w:vAlign w:val="center"/>
          </w:tcPr>
          <w:p w14:paraId="1D665C7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8917AD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43E5978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F29F1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3" w:hRule="atLeast"/>
          <w:jc w:val="center"/>
        </w:trPr>
        <w:tc>
          <w:tcPr>
            <w:tcW w:w="366" w:type="pct"/>
            <w:vMerge w:val="restart"/>
            <w:noWrap/>
            <w:vAlign w:val="center"/>
          </w:tcPr>
          <w:p w14:paraId="45AE79AC">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44</w:t>
            </w:r>
          </w:p>
        </w:tc>
        <w:tc>
          <w:tcPr>
            <w:tcW w:w="1210" w:type="pct"/>
            <w:vMerge w:val="restart"/>
            <w:noWrap/>
            <w:vAlign w:val="center"/>
          </w:tcPr>
          <w:p w14:paraId="705D34A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数码港宾馆</w:t>
            </w:r>
          </w:p>
        </w:tc>
        <w:tc>
          <w:tcPr>
            <w:tcW w:w="608" w:type="pct"/>
            <w:noWrap/>
            <w:vAlign w:val="center"/>
          </w:tcPr>
          <w:p w14:paraId="0530F1F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53CC2F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4.24E-03</w:t>
            </w:r>
          </w:p>
        </w:tc>
        <w:tc>
          <w:tcPr>
            <w:tcW w:w="749" w:type="pct"/>
            <w:noWrap/>
            <w:vAlign w:val="center"/>
          </w:tcPr>
          <w:p w14:paraId="2FBF04C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24032513</w:t>
            </w:r>
          </w:p>
        </w:tc>
        <w:tc>
          <w:tcPr>
            <w:tcW w:w="588" w:type="pct"/>
            <w:noWrap/>
            <w:vAlign w:val="center"/>
          </w:tcPr>
          <w:p w14:paraId="2530C1C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1.70</w:t>
            </w:r>
          </w:p>
        </w:tc>
        <w:tc>
          <w:tcPr>
            <w:tcW w:w="608" w:type="pct"/>
            <w:noWrap/>
            <w:vAlign w:val="center"/>
          </w:tcPr>
          <w:p w14:paraId="58D0048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4BE04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366" w:type="pct"/>
            <w:vMerge w:val="continue"/>
            <w:noWrap/>
            <w:vAlign w:val="center"/>
          </w:tcPr>
          <w:p w14:paraId="073E8BC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DDBA8D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67A39B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0DBDD81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8.42E-04</w:t>
            </w:r>
          </w:p>
        </w:tc>
        <w:tc>
          <w:tcPr>
            <w:tcW w:w="749" w:type="pct"/>
            <w:noWrap/>
            <w:vAlign w:val="center"/>
          </w:tcPr>
          <w:p w14:paraId="1033A78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5FAB522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0.84</w:t>
            </w:r>
          </w:p>
        </w:tc>
        <w:tc>
          <w:tcPr>
            <w:tcW w:w="608" w:type="pct"/>
            <w:noWrap/>
            <w:vAlign w:val="center"/>
          </w:tcPr>
          <w:p w14:paraId="50B7CA0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F366B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366" w:type="pct"/>
            <w:vMerge w:val="continue"/>
            <w:noWrap/>
            <w:vAlign w:val="center"/>
          </w:tcPr>
          <w:p w14:paraId="06C9C86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E6AB41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E97CB3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1769A24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3.67E-05</w:t>
            </w:r>
          </w:p>
        </w:tc>
        <w:tc>
          <w:tcPr>
            <w:tcW w:w="749" w:type="pct"/>
            <w:noWrap/>
            <w:vAlign w:val="center"/>
          </w:tcPr>
          <w:p w14:paraId="1130B31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27C2D42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2E7EF1D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DA268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66" w:type="pct"/>
            <w:vMerge w:val="restart"/>
            <w:noWrap/>
            <w:vAlign w:val="center"/>
          </w:tcPr>
          <w:p w14:paraId="4B0D1B8B">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45</w:t>
            </w:r>
          </w:p>
        </w:tc>
        <w:tc>
          <w:tcPr>
            <w:tcW w:w="1210" w:type="pct"/>
            <w:vMerge w:val="restart"/>
            <w:noWrap/>
            <w:vAlign w:val="center"/>
          </w:tcPr>
          <w:p w14:paraId="46AFF52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山水国际</w:t>
            </w:r>
          </w:p>
        </w:tc>
        <w:tc>
          <w:tcPr>
            <w:tcW w:w="608" w:type="pct"/>
            <w:noWrap/>
            <w:vAlign w:val="center"/>
          </w:tcPr>
          <w:p w14:paraId="41CDEC6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6C1740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5.59E-03</w:t>
            </w:r>
          </w:p>
        </w:tc>
        <w:tc>
          <w:tcPr>
            <w:tcW w:w="749" w:type="pct"/>
            <w:noWrap/>
            <w:vAlign w:val="center"/>
          </w:tcPr>
          <w:p w14:paraId="505BDBB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24041612</w:t>
            </w:r>
          </w:p>
        </w:tc>
        <w:tc>
          <w:tcPr>
            <w:tcW w:w="588" w:type="pct"/>
            <w:noWrap/>
            <w:vAlign w:val="center"/>
          </w:tcPr>
          <w:p w14:paraId="13E5AA5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2.24</w:t>
            </w:r>
          </w:p>
        </w:tc>
        <w:tc>
          <w:tcPr>
            <w:tcW w:w="608" w:type="pct"/>
            <w:noWrap/>
            <w:vAlign w:val="center"/>
          </w:tcPr>
          <w:p w14:paraId="4CD1387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4BCC0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366" w:type="pct"/>
            <w:vMerge w:val="continue"/>
            <w:noWrap/>
            <w:vAlign w:val="center"/>
          </w:tcPr>
          <w:p w14:paraId="62036FE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DCFF60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203C2B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34B88A2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1.38E-03</w:t>
            </w:r>
          </w:p>
        </w:tc>
        <w:tc>
          <w:tcPr>
            <w:tcW w:w="749" w:type="pct"/>
            <w:noWrap/>
            <w:vAlign w:val="center"/>
          </w:tcPr>
          <w:p w14:paraId="5065E53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240408</w:t>
            </w:r>
          </w:p>
        </w:tc>
        <w:tc>
          <w:tcPr>
            <w:tcW w:w="588" w:type="pct"/>
            <w:noWrap/>
            <w:vAlign w:val="center"/>
          </w:tcPr>
          <w:p w14:paraId="2D67CE5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1.38</w:t>
            </w:r>
          </w:p>
        </w:tc>
        <w:tc>
          <w:tcPr>
            <w:tcW w:w="608" w:type="pct"/>
            <w:noWrap/>
            <w:vAlign w:val="center"/>
          </w:tcPr>
          <w:p w14:paraId="4614F08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903CB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366" w:type="pct"/>
            <w:vMerge w:val="continue"/>
            <w:noWrap/>
            <w:vAlign w:val="center"/>
          </w:tcPr>
          <w:p w14:paraId="42112E5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71EACC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C5815C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61F94C2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1.37E-04</w:t>
            </w:r>
          </w:p>
        </w:tc>
        <w:tc>
          <w:tcPr>
            <w:tcW w:w="749" w:type="pct"/>
            <w:noWrap/>
            <w:vAlign w:val="center"/>
          </w:tcPr>
          <w:p w14:paraId="34C0B02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379D42A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0.27</w:t>
            </w:r>
          </w:p>
        </w:tc>
        <w:tc>
          <w:tcPr>
            <w:tcW w:w="608" w:type="pct"/>
            <w:noWrap/>
            <w:vAlign w:val="center"/>
          </w:tcPr>
          <w:p w14:paraId="7782489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95F57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366" w:type="pct"/>
            <w:vMerge w:val="restart"/>
            <w:noWrap/>
            <w:vAlign w:val="center"/>
          </w:tcPr>
          <w:p w14:paraId="512A609F">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46</w:t>
            </w:r>
          </w:p>
        </w:tc>
        <w:tc>
          <w:tcPr>
            <w:tcW w:w="1210" w:type="pct"/>
            <w:vMerge w:val="restart"/>
            <w:noWrap/>
            <w:vAlign w:val="center"/>
          </w:tcPr>
          <w:p w14:paraId="5212FF8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湖畔花园小区</w:t>
            </w:r>
          </w:p>
        </w:tc>
        <w:tc>
          <w:tcPr>
            <w:tcW w:w="608" w:type="pct"/>
            <w:noWrap/>
            <w:vAlign w:val="center"/>
          </w:tcPr>
          <w:p w14:paraId="7B71903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02FDA64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4.18E-03</w:t>
            </w:r>
          </w:p>
        </w:tc>
        <w:tc>
          <w:tcPr>
            <w:tcW w:w="749" w:type="pct"/>
            <w:noWrap/>
            <w:vAlign w:val="center"/>
          </w:tcPr>
          <w:p w14:paraId="6575003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24032514</w:t>
            </w:r>
          </w:p>
        </w:tc>
        <w:tc>
          <w:tcPr>
            <w:tcW w:w="588" w:type="pct"/>
            <w:noWrap/>
            <w:vAlign w:val="center"/>
          </w:tcPr>
          <w:p w14:paraId="3AD693B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1.67</w:t>
            </w:r>
          </w:p>
        </w:tc>
        <w:tc>
          <w:tcPr>
            <w:tcW w:w="608" w:type="pct"/>
            <w:noWrap/>
            <w:vAlign w:val="center"/>
          </w:tcPr>
          <w:p w14:paraId="77D6721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97738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jc w:val="center"/>
        </w:trPr>
        <w:tc>
          <w:tcPr>
            <w:tcW w:w="366" w:type="pct"/>
            <w:vMerge w:val="continue"/>
            <w:noWrap/>
            <w:vAlign w:val="center"/>
          </w:tcPr>
          <w:p w14:paraId="293B21A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A7FA87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CAA639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5469B7F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7.45E-04</w:t>
            </w:r>
          </w:p>
        </w:tc>
        <w:tc>
          <w:tcPr>
            <w:tcW w:w="749" w:type="pct"/>
            <w:noWrap/>
            <w:vAlign w:val="center"/>
          </w:tcPr>
          <w:p w14:paraId="70D71A0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240325</w:t>
            </w:r>
          </w:p>
        </w:tc>
        <w:tc>
          <w:tcPr>
            <w:tcW w:w="588" w:type="pct"/>
            <w:noWrap/>
            <w:vAlign w:val="center"/>
          </w:tcPr>
          <w:p w14:paraId="46F4DE6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0.75</w:t>
            </w:r>
          </w:p>
        </w:tc>
        <w:tc>
          <w:tcPr>
            <w:tcW w:w="608" w:type="pct"/>
            <w:noWrap/>
            <w:vAlign w:val="center"/>
          </w:tcPr>
          <w:p w14:paraId="6C25B45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767C1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366" w:type="pct"/>
            <w:vMerge w:val="continue"/>
            <w:noWrap/>
            <w:vAlign w:val="center"/>
          </w:tcPr>
          <w:p w14:paraId="395210A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BC02A3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33879F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5DA60B2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2.27E-05</w:t>
            </w:r>
          </w:p>
        </w:tc>
        <w:tc>
          <w:tcPr>
            <w:tcW w:w="749" w:type="pct"/>
            <w:noWrap/>
            <w:vAlign w:val="center"/>
          </w:tcPr>
          <w:p w14:paraId="5FE8294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CCE768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263F241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851F9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366" w:type="pct"/>
            <w:vMerge w:val="restart"/>
            <w:noWrap/>
            <w:vAlign w:val="center"/>
          </w:tcPr>
          <w:p w14:paraId="78E14F66">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47</w:t>
            </w:r>
          </w:p>
        </w:tc>
        <w:tc>
          <w:tcPr>
            <w:tcW w:w="1210" w:type="pct"/>
            <w:vMerge w:val="restart"/>
            <w:noWrap/>
            <w:vAlign w:val="center"/>
          </w:tcPr>
          <w:p w14:paraId="2DAA6BF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湖滨小区</w:t>
            </w:r>
          </w:p>
        </w:tc>
        <w:tc>
          <w:tcPr>
            <w:tcW w:w="608" w:type="pct"/>
            <w:noWrap/>
            <w:vAlign w:val="center"/>
          </w:tcPr>
          <w:p w14:paraId="146D4A1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079639F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3.95E-03</w:t>
            </w:r>
          </w:p>
        </w:tc>
        <w:tc>
          <w:tcPr>
            <w:tcW w:w="749" w:type="pct"/>
            <w:noWrap/>
            <w:vAlign w:val="center"/>
          </w:tcPr>
          <w:p w14:paraId="5305440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24032012</w:t>
            </w:r>
          </w:p>
        </w:tc>
        <w:tc>
          <w:tcPr>
            <w:tcW w:w="588" w:type="pct"/>
            <w:noWrap/>
            <w:vAlign w:val="center"/>
          </w:tcPr>
          <w:p w14:paraId="7ADED6B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1.58</w:t>
            </w:r>
          </w:p>
        </w:tc>
        <w:tc>
          <w:tcPr>
            <w:tcW w:w="608" w:type="pct"/>
            <w:noWrap/>
            <w:vAlign w:val="center"/>
          </w:tcPr>
          <w:p w14:paraId="4E8123D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011C5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366" w:type="pct"/>
            <w:vMerge w:val="continue"/>
            <w:noWrap/>
            <w:vAlign w:val="center"/>
          </w:tcPr>
          <w:p w14:paraId="40E2459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FA93AD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5A10EF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6363B72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5.86E-04</w:t>
            </w:r>
          </w:p>
        </w:tc>
        <w:tc>
          <w:tcPr>
            <w:tcW w:w="749" w:type="pct"/>
            <w:noWrap/>
            <w:vAlign w:val="center"/>
          </w:tcPr>
          <w:p w14:paraId="2978BDF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240325</w:t>
            </w:r>
          </w:p>
        </w:tc>
        <w:tc>
          <w:tcPr>
            <w:tcW w:w="588" w:type="pct"/>
            <w:noWrap/>
            <w:vAlign w:val="center"/>
          </w:tcPr>
          <w:p w14:paraId="6834425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0.59</w:t>
            </w:r>
          </w:p>
        </w:tc>
        <w:tc>
          <w:tcPr>
            <w:tcW w:w="608" w:type="pct"/>
            <w:noWrap/>
            <w:vAlign w:val="center"/>
          </w:tcPr>
          <w:p w14:paraId="5331C02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39BD6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366" w:type="pct"/>
            <w:vMerge w:val="continue"/>
            <w:noWrap/>
            <w:vAlign w:val="center"/>
          </w:tcPr>
          <w:p w14:paraId="3D8CC64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070210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A165CA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62DFDB3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1.36E-05</w:t>
            </w:r>
          </w:p>
        </w:tc>
        <w:tc>
          <w:tcPr>
            <w:tcW w:w="749" w:type="pct"/>
            <w:noWrap/>
            <w:vAlign w:val="center"/>
          </w:tcPr>
          <w:p w14:paraId="2D24C20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9F7BD6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1149C0D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719D5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366" w:type="pct"/>
            <w:vMerge w:val="restart"/>
            <w:noWrap/>
            <w:vAlign w:val="center"/>
          </w:tcPr>
          <w:p w14:paraId="5DE0465A">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48</w:t>
            </w:r>
          </w:p>
        </w:tc>
        <w:tc>
          <w:tcPr>
            <w:tcW w:w="1210" w:type="pct"/>
            <w:vMerge w:val="restart"/>
            <w:noWrap/>
            <w:vAlign w:val="center"/>
          </w:tcPr>
          <w:p w14:paraId="4B5971F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吉祥小区</w:t>
            </w:r>
          </w:p>
        </w:tc>
        <w:tc>
          <w:tcPr>
            <w:tcW w:w="608" w:type="pct"/>
            <w:noWrap/>
            <w:vAlign w:val="center"/>
          </w:tcPr>
          <w:p w14:paraId="2DB69BA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5EBA53B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1.33E-03</w:t>
            </w:r>
          </w:p>
        </w:tc>
        <w:tc>
          <w:tcPr>
            <w:tcW w:w="749" w:type="pct"/>
            <w:noWrap/>
            <w:vAlign w:val="center"/>
          </w:tcPr>
          <w:p w14:paraId="5A600CD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2F34EA9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0.53</w:t>
            </w:r>
          </w:p>
        </w:tc>
        <w:tc>
          <w:tcPr>
            <w:tcW w:w="608" w:type="pct"/>
            <w:noWrap/>
            <w:vAlign w:val="center"/>
          </w:tcPr>
          <w:p w14:paraId="7B89B4E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0B9EB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366" w:type="pct"/>
            <w:vMerge w:val="continue"/>
            <w:noWrap/>
            <w:vAlign w:val="center"/>
          </w:tcPr>
          <w:p w14:paraId="6402927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6F975E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134A2C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5DD6DB4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8.25E-05</w:t>
            </w:r>
          </w:p>
        </w:tc>
        <w:tc>
          <w:tcPr>
            <w:tcW w:w="749" w:type="pct"/>
            <w:noWrap/>
            <w:vAlign w:val="center"/>
          </w:tcPr>
          <w:p w14:paraId="479425B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63B5D1A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77B3D6F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0C5C0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366" w:type="pct"/>
            <w:vMerge w:val="continue"/>
            <w:noWrap/>
            <w:vAlign w:val="center"/>
          </w:tcPr>
          <w:p w14:paraId="10F4AD5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7D1B8B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CF27D4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6FB2B31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1.42E-06</w:t>
            </w:r>
          </w:p>
        </w:tc>
        <w:tc>
          <w:tcPr>
            <w:tcW w:w="749" w:type="pct"/>
            <w:noWrap/>
            <w:vAlign w:val="center"/>
          </w:tcPr>
          <w:p w14:paraId="7F35263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352168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5E3D14C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3DF82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366" w:type="pct"/>
            <w:vMerge w:val="restart"/>
            <w:noWrap/>
            <w:vAlign w:val="center"/>
          </w:tcPr>
          <w:p w14:paraId="24B45F88">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49</w:t>
            </w:r>
          </w:p>
        </w:tc>
        <w:tc>
          <w:tcPr>
            <w:tcW w:w="1210" w:type="pct"/>
            <w:vMerge w:val="restart"/>
            <w:noWrap/>
            <w:vAlign w:val="center"/>
          </w:tcPr>
          <w:p w14:paraId="3EA2FBF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天佑国际</w:t>
            </w:r>
          </w:p>
        </w:tc>
        <w:tc>
          <w:tcPr>
            <w:tcW w:w="608" w:type="pct"/>
            <w:noWrap/>
            <w:vAlign w:val="center"/>
          </w:tcPr>
          <w:p w14:paraId="36F69BC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1DE8171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3.87E-03</w:t>
            </w:r>
          </w:p>
        </w:tc>
        <w:tc>
          <w:tcPr>
            <w:tcW w:w="749" w:type="pct"/>
            <w:noWrap/>
            <w:vAlign w:val="center"/>
          </w:tcPr>
          <w:p w14:paraId="1869E5E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588" w:type="pct"/>
            <w:noWrap/>
            <w:vAlign w:val="center"/>
          </w:tcPr>
          <w:p w14:paraId="0D2259E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1.55</w:t>
            </w:r>
          </w:p>
        </w:tc>
        <w:tc>
          <w:tcPr>
            <w:tcW w:w="608" w:type="pct"/>
            <w:noWrap/>
            <w:vAlign w:val="center"/>
          </w:tcPr>
          <w:p w14:paraId="34C7E16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CA12B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366" w:type="pct"/>
            <w:vMerge w:val="continue"/>
            <w:noWrap/>
            <w:vAlign w:val="center"/>
          </w:tcPr>
          <w:p w14:paraId="23C0E0D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757724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F08B87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52DC146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7.45E-04</w:t>
            </w:r>
          </w:p>
        </w:tc>
        <w:tc>
          <w:tcPr>
            <w:tcW w:w="749" w:type="pct"/>
            <w:noWrap/>
            <w:vAlign w:val="center"/>
          </w:tcPr>
          <w:p w14:paraId="274AEE9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240317</w:t>
            </w:r>
          </w:p>
        </w:tc>
        <w:tc>
          <w:tcPr>
            <w:tcW w:w="588" w:type="pct"/>
            <w:noWrap/>
            <w:vAlign w:val="center"/>
          </w:tcPr>
          <w:p w14:paraId="33EF3EC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0.75</w:t>
            </w:r>
          </w:p>
        </w:tc>
        <w:tc>
          <w:tcPr>
            <w:tcW w:w="608" w:type="pct"/>
            <w:noWrap/>
            <w:vAlign w:val="center"/>
          </w:tcPr>
          <w:p w14:paraId="3CFC8C0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45102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366" w:type="pct"/>
            <w:vMerge w:val="continue"/>
            <w:noWrap/>
            <w:vAlign w:val="center"/>
          </w:tcPr>
          <w:p w14:paraId="03409BF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CBA5EE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3204F8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5AB51E3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4.71E-05</w:t>
            </w:r>
          </w:p>
        </w:tc>
        <w:tc>
          <w:tcPr>
            <w:tcW w:w="749" w:type="pct"/>
            <w:noWrap/>
            <w:vAlign w:val="center"/>
          </w:tcPr>
          <w:p w14:paraId="269E8F7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6A6BBE1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0.09</w:t>
            </w:r>
          </w:p>
        </w:tc>
        <w:tc>
          <w:tcPr>
            <w:tcW w:w="608" w:type="pct"/>
            <w:noWrap/>
            <w:vAlign w:val="center"/>
          </w:tcPr>
          <w:p w14:paraId="2A632CD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9E61F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66" w:type="pct"/>
            <w:vMerge w:val="restart"/>
            <w:noWrap/>
            <w:vAlign w:val="center"/>
          </w:tcPr>
          <w:p w14:paraId="5141FA6B">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50</w:t>
            </w:r>
          </w:p>
        </w:tc>
        <w:tc>
          <w:tcPr>
            <w:tcW w:w="1210" w:type="pct"/>
            <w:vMerge w:val="restart"/>
            <w:noWrap/>
            <w:vAlign w:val="center"/>
          </w:tcPr>
          <w:p w14:paraId="6939D60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前进社区</w:t>
            </w:r>
          </w:p>
        </w:tc>
        <w:tc>
          <w:tcPr>
            <w:tcW w:w="608" w:type="pct"/>
            <w:noWrap/>
            <w:vAlign w:val="center"/>
          </w:tcPr>
          <w:p w14:paraId="3D98667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71F8918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4.28E-03</w:t>
            </w:r>
          </w:p>
        </w:tc>
        <w:tc>
          <w:tcPr>
            <w:tcW w:w="749" w:type="pct"/>
            <w:noWrap/>
            <w:vAlign w:val="center"/>
          </w:tcPr>
          <w:p w14:paraId="349AAE6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24101108</w:t>
            </w:r>
          </w:p>
        </w:tc>
        <w:tc>
          <w:tcPr>
            <w:tcW w:w="588" w:type="pct"/>
            <w:noWrap/>
            <w:vAlign w:val="center"/>
          </w:tcPr>
          <w:p w14:paraId="216B060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1.71</w:t>
            </w:r>
          </w:p>
        </w:tc>
        <w:tc>
          <w:tcPr>
            <w:tcW w:w="608" w:type="pct"/>
            <w:noWrap/>
            <w:vAlign w:val="center"/>
          </w:tcPr>
          <w:p w14:paraId="75DF77C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5E9AB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366" w:type="pct"/>
            <w:vMerge w:val="continue"/>
            <w:noWrap/>
            <w:vAlign w:val="center"/>
          </w:tcPr>
          <w:p w14:paraId="5D42FCD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99923E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7DAA3C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1ED83A7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3.57E-04</w:t>
            </w:r>
          </w:p>
        </w:tc>
        <w:tc>
          <w:tcPr>
            <w:tcW w:w="749" w:type="pct"/>
            <w:noWrap/>
            <w:vAlign w:val="center"/>
          </w:tcPr>
          <w:p w14:paraId="2E9B535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29E8A14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0.36</w:t>
            </w:r>
          </w:p>
        </w:tc>
        <w:tc>
          <w:tcPr>
            <w:tcW w:w="608" w:type="pct"/>
            <w:noWrap/>
            <w:vAlign w:val="center"/>
          </w:tcPr>
          <w:p w14:paraId="0CE26A4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9364E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366" w:type="pct"/>
            <w:vMerge w:val="continue"/>
            <w:noWrap/>
            <w:vAlign w:val="center"/>
          </w:tcPr>
          <w:p w14:paraId="6F979CF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E7DBEA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2A9ADE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4499FE4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1.67E-05</w:t>
            </w:r>
          </w:p>
        </w:tc>
        <w:tc>
          <w:tcPr>
            <w:tcW w:w="749" w:type="pct"/>
            <w:noWrap/>
            <w:vAlign w:val="center"/>
          </w:tcPr>
          <w:p w14:paraId="1B8C6EB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E5E6EB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05A5E03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7FE89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366" w:type="pct"/>
            <w:vMerge w:val="restart"/>
            <w:noWrap/>
            <w:vAlign w:val="center"/>
          </w:tcPr>
          <w:p w14:paraId="71828E12">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51</w:t>
            </w:r>
          </w:p>
        </w:tc>
        <w:tc>
          <w:tcPr>
            <w:tcW w:w="1210" w:type="pct"/>
            <w:vMerge w:val="restart"/>
            <w:noWrap/>
            <w:vAlign w:val="center"/>
          </w:tcPr>
          <w:p w14:paraId="6CC0F19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幸福家园</w:t>
            </w:r>
          </w:p>
        </w:tc>
        <w:tc>
          <w:tcPr>
            <w:tcW w:w="608" w:type="pct"/>
            <w:noWrap/>
            <w:vAlign w:val="center"/>
          </w:tcPr>
          <w:p w14:paraId="05A99E6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3F48E82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6.34E-03</w:t>
            </w:r>
          </w:p>
        </w:tc>
        <w:tc>
          <w:tcPr>
            <w:tcW w:w="749" w:type="pct"/>
            <w:noWrap/>
            <w:vAlign w:val="center"/>
          </w:tcPr>
          <w:p w14:paraId="3CF6E5E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588" w:type="pct"/>
            <w:noWrap/>
            <w:vAlign w:val="center"/>
          </w:tcPr>
          <w:p w14:paraId="4281F0C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2.53</w:t>
            </w:r>
          </w:p>
        </w:tc>
        <w:tc>
          <w:tcPr>
            <w:tcW w:w="608" w:type="pct"/>
            <w:noWrap/>
            <w:vAlign w:val="center"/>
          </w:tcPr>
          <w:p w14:paraId="32B6BCE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DE6AE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366" w:type="pct"/>
            <w:vMerge w:val="continue"/>
            <w:noWrap/>
            <w:vAlign w:val="center"/>
          </w:tcPr>
          <w:p w14:paraId="797FF24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E0A5B6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B3920B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32B6686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7.00E-04</w:t>
            </w:r>
          </w:p>
        </w:tc>
        <w:tc>
          <w:tcPr>
            <w:tcW w:w="749" w:type="pct"/>
            <w:noWrap/>
            <w:vAlign w:val="center"/>
          </w:tcPr>
          <w:p w14:paraId="5A1E643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241122</w:t>
            </w:r>
          </w:p>
        </w:tc>
        <w:tc>
          <w:tcPr>
            <w:tcW w:w="588" w:type="pct"/>
            <w:noWrap/>
            <w:vAlign w:val="center"/>
          </w:tcPr>
          <w:p w14:paraId="7746C84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0.70</w:t>
            </w:r>
          </w:p>
        </w:tc>
        <w:tc>
          <w:tcPr>
            <w:tcW w:w="608" w:type="pct"/>
            <w:noWrap/>
            <w:vAlign w:val="center"/>
          </w:tcPr>
          <w:p w14:paraId="3B86B1C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C53C1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 w:hRule="atLeast"/>
          <w:jc w:val="center"/>
        </w:trPr>
        <w:tc>
          <w:tcPr>
            <w:tcW w:w="366" w:type="pct"/>
            <w:vMerge w:val="continue"/>
            <w:noWrap/>
            <w:vAlign w:val="center"/>
          </w:tcPr>
          <w:p w14:paraId="005DB74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AEB4CE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051EEA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78C3E98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6.32E-05</w:t>
            </w:r>
          </w:p>
        </w:tc>
        <w:tc>
          <w:tcPr>
            <w:tcW w:w="749" w:type="pct"/>
            <w:noWrap/>
            <w:vAlign w:val="center"/>
          </w:tcPr>
          <w:p w14:paraId="6552B94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36098F0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0.13</w:t>
            </w:r>
          </w:p>
        </w:tc>
        <w:tc>
          <w:tcPr>
            <w:tcW w:w="608" w:type="pct"/>
            <w:noWrap/>
            <w:vAlign w:val="center"/>
          </w:tcPr>
          <w:p w14:paraId="274A8F1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502ED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 w:hRule="atLeast"/>
          <w:jc w:val="center"/>
        </w:trPr>
        <w:tc>
          <w:tcPr>
            <w:tcW w:w="366" w:type="pct"/>
            <w:vMerge w:val="restart"/>
            <w:noWrap/>
            <w:vAlign w:val="center"/>
          </w:tcPr>
          <w:p w14:paraId="06687A08">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52</w:t>
            </w:r>
          </w:p>
        </w:tc>
        <w:tc>
          <w:tcPr>
            <w:tcW w:w="1210" w:type="pct"/>
            <w:vMerge w:val="restart"/>
            <w:noWrap/>
            <w:vAlign w:val="center"/>
          </w:tcPr>
          <w:p w14:paraId="7001B82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盛世嘉园</w:t>
            </w:r>
          </w:p>
        </w:tc>
        <w:tc>
          <w:tcPr>
            <w:tcW w:w="608" w:type="pct"/>
            <w:noWrap/>
            <w:vAlign w:val="center"/>
          </w:tcPr>
          <w:p w14:paraId="6570247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D4C267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2.97E-03</w:t>
            </w:r>
          </w:p>
        </w:tc>
        <w:tc>
          <w:tcPr>
            <w:tcW w:w="749" w:type="pct"/>
            <w:noWrap/>
            <w:vAlign w:val="center"/>
          </w:tcPr>
          <w:p w14:paraId="71946A1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24031913</w:t>
            </w:r>
          </w:p>
        </w:tc>
        <w:tc>
          <w:tcPr>
            <w:tcW w:w="588" w:type="pct"/>
            <w:noWrap/>
            <w:vAlign w:val="center"/>
          </w:tcPr>
          <w:p w14:paraId="112D064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1.19</w:t>
            </w:r>
          </w:p>
        </w:tc>
        <w:tc>
          <w:tcPr>
            <w:tcW w:w="608" w:type="pct"/>
            <w:noWrap/>
            <w:vAlign w:val="center"/>
          </w:tcPr>
          <w:p w14:paraId="5D7C2FE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6AA6C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0" w:hRule="atLeast"/>
          <w:jc w:val="center"/>
        </w:trPr>
        <w:tc>
          <w:tcPr>
            <w:tcW w:w="366" w:type="pct"/>
            <w:vMerge w:val="continue"/>
            <w:noWrap/>
            <w:vAlign w:val="center"/>
          </w:tcPr>
          <w:p w14:paraId="19EE7E4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975C08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B46C2C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B8B7A0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4.00E-04</w:t>
            </w:r>
          </w:p>
        </w:tc>
        <w:tc>
          <w:tcPr>
            <w:tcW w:w="749" w:type="pct"/>
            <w:noWrap/>
            <w:vAlign w:val="center"/>
          </w:tcPr>
          <w:p w14:paraId="402CC7E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4066432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0.40</w:t>
            </w:r>
          </w:p>
        </w:tc>
        <w:tc>
          <w:tcPr>
            <w:tcW w:w="608" w:type="pct"/>
            <w:noWrap/>
            <w:vAlign w:val="center"/>
          </w:tcPr>
          <w:p w14:paraId="3F66C2B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6CBE7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366" w:type="pct"/>
            <w:vMerge w:val="continue"/>
            <w:noWrap/>
            <w:vAlign w:val="center"/>
          </w:tcPr>
          <w:p w14:paraId="0581EDF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A44D18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D27B07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4BC27B0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5.98E-06</w:t>
            </w:r>
          </w:p>
        </w:tc>
        <w:tc>
          <w:tcPr>
            <w:tcW w:w="749" w:type="pct"/>
            <w:noWrap/>
            <w:vAlign w:val="center"/>
          </w:tcPr>
          <w:p w14:paraId="3CD9564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6504ECE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72CF1A0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BDCEB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366" w:type="pct"/>
            <w:vMerge w:val="restart"/>
            <w:noWrap/>
            <w:vAlign w:val="center"/>
          </w:tcPr>
          <w:p w14:paraId="0B1F8248">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53</w:t>
            </w:r>
          </w:p>
        </w:tc>
        <w:tc>
          <w:tcPr>
            <w:tcW w:w="1210" w:type="pct"/>
            <w:vMerge w:val="restart"/>
            <w:noWrap/>
            <w:vAlign w:val="center"/>
          </w:tcPr>
          <w:p w14:paraId="3025B00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兄弟花园</w:t>
            </w:r>
          </w:p>
        </w:tc>
        <w:tc>
          <w:tcPr>
            <w:tcW w:w="608" w:type="pct"/>
            <w:noWrap/>
            <w:vAlign w:val="center"/>
          </w:tcPr>
          <w:p w14:paraId="0B40346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5A3727A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2.41E-03</w:t>
            </w:r>
          </w:p>
        </w:tc>
        <w:tc>
          <w:tcPr>
            <w:tcW w:w="749" w:type="pct"/>
            <w:noWrap/>
            <w:vAlign w:val="center"/>
          </w:tcPr>
          <w:p w14:paraId="0E14D5E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5168F6F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0.96</w:t>
            </w:r>
          </w:p>
        </w:tc>
        <w:tc>
          <w:tcPr>
            <w:tcW w:w="608" w:type="pct"/>
            <w:noWrap/>
            <w:vAlign w:val="center"/>
          </w:tcPr>
          <w:p w14:paraId="0D52A59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EB0A5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366" w:type="pct"/>
            <w:vMerge w:val="continue"/>
            <w:noWrap/>
            <w:vAlign w:val="center"/>
          </w:tcPr>
          <w:p w14:paraId="387A54A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D79683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4E795D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2AA32C5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3.25E-04</w:t>
            </w:r>
          </w:p>
        </w:tc>
        <w:tc>
          <w:tcPr>
            <w:tcW w:w="749" w:type="pct"/>
            <w:noWrap/>
            <w:vAlign w:val="center"/>
          </w:tcPr>
          <w:p w14:paraId="4E5A2DD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6702BD6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0.32</w:t>
            </w:r>
          </w:p>
        </w:tc>
        <w:tc>
          <w:tcPr>
            <w:tcW w:w="608" w:type="pct"/>
            <w:noWrap/>
            <w:vAlign w:val="center"/>
          </w:tcPr>
          <w:p w14:paraId="2ED074C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21CC3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366" w:type="pct"/>
            <w:vMerge w:val="continue"/>
            <w:noWrap/>
            <w:vAlign w:val="center"/>
          </w:tcPr>
          <w:p w14:paraId="344AD93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03439C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32EECA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4F91055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4.27E-06</w:t>
            </w:r>
          </w:p>
        </w:tc>
        <w:tc>
          <w:tcPr>
            <w:tcW w:w="749" w:type="pct"/>
            <w:noWrap/>
            <w:vAlign w:val="center"/>
          </w:tcPr>
          <w:p w14:paraId="6FDA7AD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436FDF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1C776DF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10E84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366" w:type="pct"/>
            <w:vMerge w:val="restart"/>
            <w:noWrap/>
            <w:vAlign w:val="center"/>
          </w:tcPr>
          <w:p w14:paraId="4D48A620">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54</w:t>
            </w:r>
          </w:p>
        </w:tc>
        <w:tc>
          <w:tcPr>
            <w:tcW w:w="1210" w:type="pct"/>
            <w:vMerge w:val="restart"/>
            <w:noWrap/>
            <w:vAlign w:val="center"/>
          </w:tcPr>
          <w:p w14:paraId="08E14C3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同福嘉园</w:t>
            </w:r>
          </w:p>
        </w:tc>
        <w:tc>
          <w:tcPr>
            <w:tcW w:w="608" w:type="pct"/>
            <w:noWrap/>
            <w:vAlign w:val="center"/>
          </w:tcPr>
          <w:p w14:paraId="1ED6DBA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1CE799F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2.96E-03</w:t>
            </w:r>
          </w:p>
        </w:tc>
        <w:tc>
          <w:tcPr>
            <w:tcW w:w="749" w:type="pct"/>
            <w:noWrap/>
            <w:vAlign w:val="center"/>
          </w:tcPr>
          <w:p w14:paraId="0F9A212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198FD37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1.18</w:t>
            </w:r>
          </w:p>
        </w:tc>
        <w:tc>
          <w:tcPr>
            <w:tcW w:w="608" w:type="pct"/>
            <w:noWrap/>
            <w:vAlign w:val="center"/>
          </w:tcPr>
          <w:p w14:paraId="15B9E20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F5A11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366" w:type="pct"/>
            <w:vMerge w:val="continue"/>
            <w:noWrap/>
            <w:vAlign w:val="center"/>
          </w:tcPr>
          <w:p w14:paraId="6D593FA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BF7451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36283E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5C42445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2.94E-04</w:t>
            </w:r>
          </w:p>
        </w:tc>
        <w:tc>
          <w:tcPr>
            <w:tcW w:w="749" w:type="pct"/>
            <w:noWrap/>
            <w:vAlign w:val="center"/>
          </w:tcPr>
          <w:p w14:paraId="38D26C1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5E087B1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0.29</w:t>
            </w:r>
          </w:p>
        </w:tc>
        <w:tc>
          <w:tcPr>
            <w:tcW w:w="608" w:type="pct"/>
            <w:noWrap/>
            <w:vAlign w:val="center"/>
          </w:tcPr>
          <w:p w14:paraId="36DF313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521C1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366" w:type="pct"/>
            <w:vMerge w:val="continue"/>
            <w:noWrap/>
            <w:vAlign w:val="center"/>
          </w:tcPr>
          <w:p w14:paraId="5D47CD5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FB36CD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86E110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4AC3C68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3.65E-06</w:t>
            </w:r>
          </w:p>
        </w:tc>
        <w:tc>
          <w:tcPr>
            <w:tcW w:w="749" w:type="pct"/>
            <w:noWrap/>
            <w:vAlign w:val="center"/>
          </w:tcPr>
          <w:p w14:paraId="2460E02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3A64E4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7F0FB59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DE4CC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366" w:type="pct"/>
            <w:vMerge w:val="restart"/>
            <w:noWrap/>
            <w:vAlign w:val="center"/>
          </w:tcPr>
          <w:p w14:paraId="2CBEF843">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55</w:t>
            </w:r>
          </w:p>
        </w:tc>
        <w:tc>
          <w:tcPr>
            <w:tcW w:w="1210" w:type="pct"/>
            <w:vMerge w:val="restart"/>
            <w:noWrap/>
            <w:vAlign w:val="center"/>
          </w:tcPr>
          <w:p w14:paraId="33E9FB7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富邦名苑</w:t>
            </w:r>
          </w:p>
        </w:tc>
        <w:tc>
          <w:tcPr>
            <w:tcW w:w="608" w:type="pct"/>
            <w:noWrap/>
            <w:vAlign w:val="center"/>
          </w:tcPr>
          <w:p w14:paraId="587A1EE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DC33DF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3.02E-03</w:t>
            </w:r>
          </w:p>
        </w:tc>
        <w:tc>
          <w:tcPr>
            <w:tcW w:w="749" w:type="pct"/>
            <w:noWrap/>
            <w:vAlign w:val="center"/>
          </w:tcPr>
          <w:p w14:paraId="74B6F74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24031916</w:t>
            </w:r>
          </w:p>
        </w:tc>
        <w:tc>
          <w:tcPr>
            <w:tcW w:w="588" w:type="pct"/>
            <w:noWrap/>
            <w:vAlign w:val="center"/>
          </w:tcPr>
          <w:p w14:paraId="1CB0B36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1.21</w:t>
            </w:r>
          </w:p>
        </w:tc>
        <w:tc>
          <w:tcPr>
            <w:tcW w:w="608" w:type="pct"/>
            <w:noWrap/>
            <w:vAlign w:val="center"/>
          </w:tcPr>
          <w:p w14:paraId="74F299B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D64EB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366" w:type="pct"/>
            <w:vMerge w:val="continue"/>
            <w:noWrap/>
            <w:vAlign w:val="center"/>
          </w:tcPr>
          <w:p w14:paraId="4EA75A3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050FA4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D6D616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522E87C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2.06E-04</w:t>
            </w:r>
          </w:p>
        </w:tc>
        <w:tc>
          <w:tcPr>
            <w:tcW w:w="749" w:type="pct"/>
            <w:noWrap/>
            <w:vAlign w:val="center"/>
          </w:tcPr>
          <w:p w14:paraId="6A519D3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626660C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0.21</w:t>
            </w:r>
          </w:p>
        </w:tc>
        <w:tc>
          <w:tcPr>
            <w:tcW w:w="608" w:type="pct"/>
            <w:noWrap/>
            <w:vAlign w:val="center"/>
          </w:tcPr>
          <w:p w14:paraId="5717B01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0FA16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jc w:val="center"/>
        </w:trPr>
        <w:tc>
          <w:tcPr>
            <w:tcW w:w="366" w:type="pct"/>
            <w:vMerge w:val="continue"/>
            <w:noWrap/>
            <w:vAlign w:val="center"/>
          </w:tcPr>
          <w:p w14:paraId="38E00B42">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5CAF5F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EC4DBA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18F5676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2.78E-06</w:t>
            </w:r>
          </w:p>
        </w:tc>
        <w:tc>
          <w:tcPr>
            <w:tcW w:w="749" w:type="pct"/>
            <w:noWrap/>
            <w:vAlign w:val="center"/>
          </w:tcPr>
          <w:p w14:paraId="2A11E8A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63F48F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3F04AA3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FE10F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366" w:type="pct"/>
            <w:vMerge w:val="restart"/>
            <w:noWrap/>
            <w:vAlign w:val="center"/>
          </w:tcPr>
          <w:p w14:paraId="7CBC221D">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56</w:t>
            </w:r>
          </w:p>
        </w:tc>
        <w:tc>
          <w:tcPr>
            <w:tcW w:w="1210" w:type="pct"/>
            <w:vMerge w:val="restart"/>
            <w:noWrap/>
            <w:vAlign w:val="center"/>
          </w:tcPr>
          <w:p w14:paraId="4554A0B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龙海世纪大酒店</w:t>
            </w:r>
          </w:p>
        </w:tc>
        <w:tc>
          <w:tcPr>
            <w:tcW w:w="608" w:type="pct"/>
            <w:noWrap/>
            <w:vAlign w:val="center"/>
          </w:tcPr>
          <w:p w14:paraId="5FFD23D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C570E8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3.04E-03</w:t>
            </w:r>
          </w:p>
        </w:tc>
        <w:tc>
          <w:tcPr>
            <w:tcW w:w="749" w:type="pct"/>
            <w:noWrap/>
            <w:vAlign w:val="center"/>
          </w:tcPr>
          <w:p w14:paraId="155187E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24040909</w:t>
            </w:r>
          </w:p>
        </w:tc>
        <w:tc>
          <w:tcPr>
            <w:tcW w:w="588" w:type="pct"/>
            <w:noWrap/>
            <w:vAlign w:val="center"/>
          </w:tcPr>
          <w:p w14:paraId="2460493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1.21</w:t>
            </w:r>
          </w:p>
        </w:tc>
        <w:tc>
          <w:tcPr>
            <w:tcW w:w="608" w:type="pct"/>
            <w:noWrap/>
            <w:vAlign w:val="center"/>
          </w:tcPr>
          <w:p w14:paraId="6C6A842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C9B34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366" w:type="pct"/>
            <w:vMerge w:val="continue"/>
            <w:noWrap/>
            <w:vAlign w:val="center"/>
          </w:tcPr>
          <w:p w14:paraId="6F9574D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9894FB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96ACC1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035F612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1.43E-04</w:t>
            </w:r>
          </w:p>
        </w:tc>
        <w:tc>
          <w:tcPr>
            <w:tcW w:w="749" w:type="pct"/>
            <w:noWrap/>
            <w:vAlign w:val="center"/>
          </w:tcPr>
          <w:p w14:paraId="2AA6D80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w:t>
            </w:r>
          </w:p>
        </w:tc>
        <w:tc>
          <w:tcPr>
            <w:tcW w:w="588" w:type="pct"/>
            <w:noWrap/>
            <w:vAlign w:val="center"/>
          </w:tcPr>
          <w:p w14:paraId="0F7AF8A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0.14</w:t>
            </w:r>
          </w:p>
        </w:tc>
        <w:tc>
          <w:tcPr>
            <w:tcW w:w="608" w:type="pct"/>
            <w:noWrap/>
            <w:vAlign w:val="center"/>
          </w:tcPr>
          <w:p w14:paraId="7DC4172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2CB8B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366" w:type="pct"/>
            <w:vMerge w:val="continue"/>
            <w:noWrap/>
            <w:vAlign w:val="center"/>
          </w:tcPr>
          <w:p w14:paraId="2CA7983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D6EA0C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BD5392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5E687C7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3.70E-06</w:t>
            </w:r>
          </w:p>
        </w:tc>
        <w:tc>
          <w:tcPr>
            <w:tcW w:w="749" w:type="pct"/>
            <w:noWrap/>
            <w:vAlign w:val="center"/>
          </w:tcPr>
          <w:p w14:paraId="7B41003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24427CA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403904C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33189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366" w:type="pct"/>
            <w:vMerge w:val="restart"/>
            <w:noWrap/>
            <w:vAlign w:val="center"/>
          </w:tcPr>
          <w:p w14:paraId="1AF0D25C">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57</w:t>
            </w:r>
          </w:p>
        </w:tc>
        <w:tc>
          <w:tcPr>
            <w:tcW w:w="1210" w:type="pct"/>
            <w:vMerge w:val="restart"/>
            <w:noWrap/>
            <w:vAlign w:val="center"/>
          </w:tcPr>
          <w:p w14:paraId="35AB1BA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供电小区</w:t>
            </w:r>
          </w:p>
        </w:tc>
        <w:tc>
          <w:tcPr>
            <w:tcW w:w="608" w:type="pct"/>
            <w:noWrap/>
            <w:vAlign w:val="center"/>
          </w:tcPr>
          <w:p w14:paraId="7A24604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6E44602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4.40E-03</w:t>
            </w:r>
          </w:p>
        </w:tc>
        <w:tc>
          <w:tcPr>
            <w:tcW w:w="749" w:type="pct"/>
            <w:noWrap/>
            <w:vAlign w:val="center"/>
          </w:tcPr>
          <w:p w14:paraId="620E531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24110810</w:t>
            </w:r>
          </w:p>
        </w:tc>
        <w:tc>
          <w:tcPr>
            <w:tcW w:w="588" w:type="pct"/>
            <w:noWrap/>
            <w:vAlign w:val="center"/>
          </w:tcPr>
          <w:p w14:paraId="5C50D2B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1.76</w:t>
            </w:r>
          </w:p>
        </w:tc>
        <w:tc>
          <w:tcPr>
            <w:tcW w:w="608" w:type="pct"/>
            <w:noWrap/>
            <w:vAlign w:val="center"/>
          </w:tcPr>
          <w:p w14:paraId="4445918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4D8D4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366" w:type="pct"/>
            <w:vMerge w:val="continue"/>
            <w:noWrap/>
            <w:vAlign w:val="center"/>
          </w:tcPr>
          <w:p w14:paraId="6C5B183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BEE104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E4867C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529D573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3.74E-04</w:t>
            </w:r>
          </w:p>
        </w:tc>
        <w:tc>
          <w:tcPr>
            <w:tcW w:w="749" w:type="pct"/>
            <w:noWrap/>
            <w:vAlign w:val="center"/>
          </w:tcPr>
          <w:p w14:paraId="792574B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71BFEEC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0.37</w:t>
            </w:r>
          </w:p>
        </w:tc>
        <w:tc>
          <w:tcPr>
            <w:tcW w:w="608" w:type="pct"/>
            <w:noWrap/>
            <w:vAlign w:val="center"/>
          </w:tcPr>
          <w:p w14:paraId="07AFCB8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F43C3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366" w:type="pct"/>
            <w:vMerge w:val="continue"/>
            <w:noWrap/>
            <w:vAlign w:val="center"/>
          </w:tcPr>
          <w:p w14:paraId="03D6781C">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ABB0B1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75DE51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2D3C98F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1.19E-05</w:t>
            </w:r>
          </w:p>
        </w:tc>
        <w:tc>
          <w:tcPr>
            <w:tcW w:w="749" w:type="pct"/>
            <w:noWrap/>
            <w:vAlign w:val="center"/>
          </w:tcPr>
          <w:p w14:paraId="075A9D3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25A7214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5EB5638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F59DE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366" w:type="pct"/>
            <w:vMerge w:val="restart"/>
            <w:noWrap/>
            <w:vAlign w:val="center"/>
          </w:tcPr>
          <w:p w14:paraId="4B0DC9A5">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58</w:t>
            </w:r>
          </w:p>
        </w:tc>
        <w:tc>
          <w:tcPr>
            <w:tcW w:w="1210" w:type="pct"/>
            <w:vMerge w:val="restart"/>
            <w:noWrap/>
            <w:vAlign w:val="center"/>
          </w:tcPr>
          <w:p w14:paraId="08E36B2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九鹤堂医院</w:t>
            </w:r>
          </w:p>
        </w:tc>
        <w:tc>
          <w:tcPr>
            <w:tcW w:w="608" w:type="pct"/>
            <w:noWrap/>
            <w:vAlign w:val="center"/>
          </w:tcPr>
          <w:p w14:paraId="649F217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19D382F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4.50E-03</w:t>
            </w:r>
          </w:p>
        </w:tc>
        <w:tc>
          <w:tcPr>
            <w:tcW w:w="749" w:type="pct"/>
            <w:noWrap/>
            <w:vAlign w:val="center"/>
          </w:tcPr>
          <w:p w14:paraId="24A1D66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24110810</w:t>
            </w:r>
          </w:p>
        </w:tc>
        <w:tc>
          <w:tcPr>
            <w:tcW w:w="588" w:type="pct"/>
            <w:noWrap/>
            <w:vAlign w:val="center"/>
          </w:tcPr>
          <w:p w14:paraId="2672E5A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1.80</w:t>
            </w:r>
          </w:p>
        </w:tc>
        <w:tc>
          <w:tcPr>
            <w:tcW w:w="608" w:type="pct"/>
            <w:noWrap/>
            <w:vAlign w:val="center"/>
          </w:tcPr>
          <w:p w14:paraId="0A4BA90D">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5C81C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366" w:type="pct"/>
            <w:vMerge w:val="continue"/>
            <w:noWrap/>
            <w:vAlign w:val="center"/>
          </w:tcPr>
          <w:p w14:paraId="361FF95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F5EE4E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4A36B0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67F6977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6.48E-04</w:t>
            </w:r>
          </w:p>
        </w:tc>
        <w:tc>
          <w:tcPr>
            <w:tcW w:w="749" w:type="pct"/>
            <w:noWrap/>
            <w:vAlign w:val="center"/>
          </w:tcPr>
          <w:p w14:paraId="7AB5494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38DB729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0.65</w:t>
            </w:r>
          </w:p>
        </w:tc>
        <w:tc>
          <w:tcPr>
            <w:tcW w:w="608" w:type="pct"/>
            <w:noWrap/>
            <w:vAlign w:val="center"/>
          </w:tcPr>
          <w:p w14:paraId="43DA365B">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0A253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366" w:type="pct"/>
            <w:vMerge w:val="continue"/>
            <w:noWrap/>
            <w:vAlign w:val="center"/>
          </w:tcPr>
          <w:p w14:paraId="6B7F275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0791D9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F94EE05">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3D66951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3.05E-05</w:t>
            </w:r>
          </w:p>
        </w:tc>
        <w:tc>
          <w:tcPr>
            <w:tcW w:w="749" w:type="pct"/>
            <w:noWrap/>
            <w:vAlign w:val="center"/>
          </w:tcPr>
          <w:p w14:paraId="5A2EF09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33324E6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0D160878">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31601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366" w:type="pct"/>
            <w:vMerge w:val="restart"/>
            <w:noWrap/>
            <w:vAlign w:val="center"/>
          </w:tcPr>
          <w:p w14:paraId="3496CBBF">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59</w:t>
            </w:r>
          </w:p>
        </w:tc>
        <w:tc>
          <w:tcPr>
            <w:tcW w:w="1210" w:type="pct"/>
            <w:vMerge w:val="restart"/>
            <w:noWrap/>
            <w:vAlign w:val="center"/>
          </w:tcPr>
          <w:p w14:paraId="66BC2E6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颐民敬老院卫生所</w:t>
            </w:r>
          </w:p>
        </w:tc>
        <w:tc>
          <w:tcPr>
            <w:tcW w:w="608" w:type="pct"/>
            <w:noWrap/>
            <w:vAlign w:val="center"/>
          </w:tcPr>
          <w:p w14:paraId="663B4350">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5324BA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3.16E-03</w:t>
            </w:r>
          </w:p>
        </w:tc>
        <w:tc>
          <w:tcPr>
            <w:tcW w:w="749" w:type="pct"/>
            <w:noWrap/>
            <w:vAlign w:val="center"/>
          </w:tcPr>
          <w:p w14:paraId="42024DF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24042110</w:t>
            </w:r>
          </w:p>
        </w:tc>
        <w:tc>
          <w:tcPr>
            <w:tcW w:w="588" w:type="pct"/>
            <w:noWrap/>
            <w:vAlign w:val="center"/>
          </w:tcPr>
          <w:p w14:paraId="726AFEE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1.27</w:t>
            </w:r>
          </w:p>
        </w:tc>
        <w:tc>
          <w:tcPr>
            <w:tcW w:w="608" w:type="pct"/>
            <w:noWrap/>
            <w:vAlign w:val="center"/>
          </w:tcPr>
          <w:p w14:paraId="2C19733F">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D3F66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366" w:type="pct"/>
            <w:vMerge w:val="continue"/>
            <w:noWrap/>
            <w:vAlign w:val="center"/>
          </w:tcPr>
          <w:p w14:paraId="5E33BEE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D45F1E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21C5BD3">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53D06A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3.19E-04</w:t>
            </w:r>
          </w:p>
        </w:tc>
        <w:tc>
          <w:tcPr>
            <w:tcW w:w="749" w:type="pct"/>
            <w:noWrap/>
            <w:vAlign w:val="center"/>
          </w:tcPr>
          <w:p w14:paraId="0421096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3D8687B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0.32</w:t>
            </w:r>
          </w:p>
        </w:tc>
        <w:tc>
          <w:tcPr>
            <w:tcW w:w="608" w:type="pct"/>
            <w:noWrap/>
            <w:vAlign w:val="center"/>
          </w:tcPr>
          <w:p w14:paraId="54DA7AC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90171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366" w:type="pct"/>
            <w:vMerge w:val="continue"/>
            <w:noWrap/>
            <w:vAlign w:val="center"/>
          </w:tcPr>
          <w:p w14:paraId="557E5D97">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0816EF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261165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14F3F02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5.88E-06</w:t>
            </w:r>
          </w:p>
        </w:tc>
        <w:tc>
          <w:tcPr>
            <w:tcW w:w="749" w:type="pct"/>
            <w:noWrap/>
            <w:vAlign w:val="center"/>
          </w:tcPr>
          <w:p w14:paraId="25058EC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985FB2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24FCF044">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56CD4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366" w:type="pct"/>
            <w:vMerge w:val="restart"/>
            <w:noWrap/>
            <w:vAlign w:val="center"/>
          </w:tcPr>
          <w:p w14:paraId="03EBFF30">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60</w:t>
            </w:r>
          </w:p>
        </w:tc>
        <w:tc>
          <w:tcPr>
            <w:tcW w:w="1210" w:type="pct"/>
            <w:vMerge w:val="restart"/>
            <w:noWrap/>
            <w:vAlign w:val="center"/>
          </w:tcPr>
          <w:p w14:paraId="6E37964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绥芬河市中医医院</w:t>
            </w:r>
          </w:p>
        </w:tc>
        <w:tc>
          <w:tcPr>
            <w:tcW w:w="608" w:type="pct"/>
            <w:noWrap/>
            <w:vAlign w:val="center"/>
          </w:tcPr>
          <w:p w14:paraId="471660B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09F97B9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1.54E-03</w:t>
            </w:r>
          </w:p>
        </w:tc>
        <w:tc>
          <w:tcPr>
            <w:tcW w:w="749" w:type="pct"/>
            <w:noWrap/>
            <w:vAlign w:val="center"/>
          </w:tcPr>
          <w:p w14:paraId="2470338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24041107</w:t>
            </w:r>
          </w:p>
        </w:tc>
        <w:tc>
          <w:tcPr>
            <w:tcW w:w="588" w:type="pct"/>
            <w:noWrap/>
            <w:vAlign w:val="center"/>
          </w:tcPr>
          <w:p w14:paraId="7C0F578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0.62</w:t>
            </w:r>
          </w:p>
        </w:tc>
        <w:tc>
          <w:tcPr>
            <w:tcW w:w="608" w:type="pct"/>
            <w:noWrap/>
            <w:vAlign w:val="center"/>
          </w:tcPr>
          <w:p w14:paraId="2F3CC32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6B865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366" w:type="pct"/>
            <w:vMerge w:val="continue"/>
            <w:noWrap/>
            <w:vAlign w:val="center"/>
          </w:tcPr>
          <w:p w14:paraId="66E47BB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6A393E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63BA2FE">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13AB712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1.17E-04</w:t>
            </w:r>
          </w:p>
        </w:tc>
        <w:tc>
          <w:tcPr>
            <w:tcW w:w="749" w:type="pct"/>
            <w:noWrap/>
            <w:vAlign w:val="center"/>
          </w:tcPr>
          <w:p w14:paraId="767286B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3D805ABE">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0.12</w:t>
            </w:r>
          </w:p>
        </w:tc>
        <w:tc>
          <w:tcPr>
            <w:tcW w:w="608" w:type="pct"/>
            <w:noWrap/>
            <w:vAlign w:val="center"/>
          </w:tcPr>
          <w:p w14:paraId="5B0A6FDA">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D6635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366" w:type="pct"/>
            <w:vMerge w:val="continue"/>
            <w:noWrap/>
            <w:vAlign w:val="center"/>
          </w:tcPr>
          <w:p w14:paraId="5521CDD6">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9837333">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D39A8B9">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0A29A97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3.29E-06</w:t>
            </w:r>
          </w:p>
        </w:tc>
        <w:tc>
          <w:tcPr>
            <w:tcW w:w="749" w:type="pct"/>
            <w:noWrap/>
            <w:vAlign w:val="center"/>
          </w:tcPr>
          <w:p w14:paraId="07A7FAD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4811EB5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14199831">
            <w:pPr>
              <w:widowControl/>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F4B10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366" w:type="pct"/>
            <w:vMerge w:val="restart"/>
            <w:noWrap/>
            <w:vAlign w:val="center"/>
          </w:tcPr>
          <w:p w14:paraId="00B83016">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w:t>
            </w:r>
          </w:p>
        </w:tc>
        <w:tc>
          <w:tcPr>
            <w:tcW w:w="1210" w:type="pct"/>
            <w:vMerge w:val="restart"/>
            <w:noWrap/>
            <w:vAlign w:val="center"/>
          </w:tcPr>
          <w:p w14:paraId="0A6D96E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立银医院</w:t>
            </w:r>
          </w:p>
        </w:tc>
        <w:tc>
          <w:tcPr>
            <w:tcW w:w="608" w:type="pct"/>
            <w:noWrap/>
            <w:vAlign w:val="center"/>
          </w:tcPr>
          <w:p w14:paraId="17B20D2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1小时</w:t>
            </w:r>
          </w:p>
        </w:tc>
        <w:tc>
          <w:tcPr>
            <w:tcW w:w="867" w:type="pct"/>
            <w:noWrap/>
            <w:vAlign w:val="center"/>
          </w:tcPr>
          <w:p w14:paraId="1B025C0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3.55E-03</w:t>
            </w:r>
          </w:p>
        </w:tc>
        <w:tc>
          <w:tcPr>
            <w:tcW w:w="749" w:type="pct"/>
            <w:noWrap/>
            <w:vAlign w:val="center"/>
          </w:tcPr>
          <w:p w14:paraId="7E455896">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24111910</w:t>
            </w:r>
          </w:p>
        </w:tc>
        <w:tc>
          <w:tcPr>
            <w:tcW w:w="588" w:type="pct"/>
            <w:noWrap/>
            <w:vAlign w:val="center"/>
          </w:tcPr>
          <w:p w14:paraId="200AB68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1.42</w:t>
            </w:r>
          </w:p>
        </w:tc>
        <w:tc>
          <w:tcPr>
            <w:tcW w:w="608" w:type="pct"/>
            <w:noWrap/>
            <w:vAlign w:val="center"/>
          </w:tcPr>
          <w:p w14:paraId="6BD7BD9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0564A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366" w:type="pct"/>
            <w:vMerge w:val="continue"/>
            <w:noWrap/>
            <w:vAlign w:val="center"/>
          </w:tcPr>
          <w:p w14:paraId="4880C57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210" w:type="pct"/>
            <w:vMerge w:val="continue"/>
            <w:noWrap/>
            <w:vAlign w:val="center"/>
          </w:tcPr>
          <w:p w14:paraId="59CFE79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C179F8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867" w:type="pct"/>
            <w:noWrap/>
            <w:vAlign w:val="center"/>
          </w:tcPr>
          <w:p w14:paraId="479CB714">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4.11E-04</w:t>
            </w:r>
          </w:p>
        </w:tc>
        <w:tc>
          <w:tcPr>
            <w:tcW w:w="749" w:type="pct"/>
            <w:noWrap/>
            <w:vAlign w:val="center"/>
          </w:tcPr>
          <w:p w14:paraId="6308107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241119</w:t>
            </w:r>
          </w:p>
        </w:tc>
        <w:tc>
          <w:tcPr>
            <w:tcW w:w="588" w:type="pct"/>
            <w:noWrap/>
            <w:vAlign w:val="center"/>
          </w:tcPr>
          <w:p w14:paraId="4D1430B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0.41</w:t>
            </w:r>
          </w:p>
        </w:tc>
        <w:tc>
          <w:tcPr>
            <w:tcW w:w="608" w:type="pct"/>
            <w:noWrap/>
            <w:vAlign w:val="center"/>
          </w:tcPr>
          <w:p w14:paraId="506E04A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A6B60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vMerge w:val="continue"/>
            <w:noWrap/>
            <w:vAlign w:val="center"/>
          </w:tcPr>
          <w:p w14:paraId="4C8C9F4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210" w:type="pct"/>
            <w:vMerge w:val="continue"/>
            <w:noWrap/>
            <w:vAlign w:val="center"/>
          </w:tcPr>
          <w:p w14:paraId="220951B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FE1674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1E5EB80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3.04E-05</w:t>
            </w:r>
          </w:p>
        </w:tc>
        <w:tc>
          <w:tcPr>
            <w:tcW w:w="749" w:type="pct"/>
            <w:noWrap/>
            <w:vAlign w:val="center"/>
          </w:tcPr>
          <w:p w14:paraId="5D6AC83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75B5B20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608" w:type="pct"/>
            <w:noWrap/>
            <w:vAlign w:val="center"/>
          </w:tcPr>
          <w:p w14:paraId="4279AA9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F5EBE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vMerge w:val="restart"/>
            <w:noWrap/>
            <w:vAlign w:val="center"/>
          </w:tcPr>
          <w:p w14:paraId="42484698">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62</w:t>
            </w:r>
          </w:p>
        </w:tc>
        <w:tc>
          <w:tcPr>
            <w:tcW w:w="1210" w:type="pct"/>
            <w:vMerge w:val="restart"/>
            <w:noWrap/>
            <w:vAlign w:val="center"/>
          </w:tcPr>
          <w:p w14:paraId="0969526B">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绥芬河市传染病医院</w:t>
            </w:r>
          </w:p>
        </w:tc>
        <w:tc>
          <w:tcPr>
            <w:tcW w:w="1037" w:type="dxa"/>
            <w:noWrap/>
            <w:vAlign w:val="center"/>
          </w:tcPr>
          <w:p w14:paraId="005DA67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1小时</w:t>
            </w:r>
          </w:p>
        </w:tc>
        <w:tc>
          <w:tcPr>
            <w:tcW w:w="867" w:type="pct"/>
            <w:noWrap/>
            <w:vAlign w:val="center"/>
          </w:tcPr>
          <w:p w14:paraId="3B1F43B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6.39E-03</w:t>
            </w:r>
          </w:p>
        </w:tc>
        <w:tc>
          <w:tcPr>
            <w:tcW w:w="1278" w:type="dxa"/>
            <w:noWrap/>
            <w:vAlign w:val="center"/>
          </w:tcPr>
          <w:p w14:paraId="3F85D42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24111910</w:t>
            </w:r>
          </w:p>
        </w:tc>
        <w:tc>
          <w:tcPr>
            <w:tcW w:w="1003" w:type="dxa"/>
            <w:noWrap/>
            <w:vAlign w:val="center"/>
          </w:tcPr>
          <w:p w14:paraId="237A1F5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2.55</w:t>
            </w:r>
          </w:p>
        </w:tc>
        <w:tc>
          <w:tcPr>
            <w:tcW w:w="1037" w:type="dxa"/>
            <w:noWrap/>
            <w:vAlign w:val="center"/>
          </w:tcPr>
          <w:p w14:paraId="74B1EE9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5A40D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vMerge w:val="continue"/>
            <w:noWrap/>
            <w:vAlign w:val="center"/>
          </w:tcPr>
          <w:p w14:paraId="133668F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210" w:type="pct"/>
            <w:vMerge w:val="continue"/>
            <w:noWrap/>
            <w:vAlign w:val="center"/>
          </w:tcPr>
          <w:p w14:paraId="6F9D0A5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37" w:type="dxa"/>
            <w:noWrap/>
            <w:vAlign w:val="center"/>
          </w:tcPr>
          <w:p w14:paraId="0794A9A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867" w:type="pct"/>
            <w:noWrap/>
            <w:vAlign w:val="center"/>
          </w:tcPr>
          <w:p w14:paraId="156ACD9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5.32E-04</w:t>
            </w:r>
          </w:p>
        </w:tc>
        <w:tc>
          <w:tcPr>
            <w:tcW w:w="1278" w:type="dxa"/>
            <w:noWrap/>
            <w:vAlign w:val="center"/>
          </w:tcPr>
          <w:p w14:paraId="49B3B70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241119</w:t>
            </w:r>
          </w:p>
        </w:tc>
        <w:tc>
          <w:tcPr>
            <w:tcW w:w="1003" w:type="dxa"/>
            <w:noWrap/>
            <w:vAlign w:val="center"/>
          </w:tcPr>
          <w:p w14:paraId="7C1BBFE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0.53</w:t>
            </w:r>
          </w:p>
        </w:tc>
        <w:tc>
          <w:tcPr>
            <w:tcW w:w="1037" w:type="dxa"/>
            <w:noWrap/>
            <w:vAlign w:val="center"/>
          </w:tcPr>
          <w:p w14:paraId="71BCAEE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99ACB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vMerge w:val="continue"/>
            <w:noWrap/>
            <w:vAlign w:val="center"/>
          </w:tcPr>
          <w:p w14:paraId="1568AE4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210" w:type="pct"/>
            <w:vMerge w:val="continue"/>
            <w:noWrap/>
            <w:vAlign w:val="center"/>
          </w:tcPr>
          <w:p w14:paraId="6382E02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37" w:type="dxa"/>
            <w:noWrap/>
            <w:vAlign w:val="center"/>
          </w:tcPr>
          <w:p w14:paraId="051B3A0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39B6AD9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4.37E-05</w:t>
            </w:r>
          </w:p>
        </w:tc>
        <w:tc>
          <w:tcPr>
            <w:tcW w:w="1278" w:type="dxa"/>
            <w:noWrap/>
            <w:vAlign w:val="center"/>
          </w:tcPr>
          <w:p w14:paraId="065AB46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1003" w:type="dxa"/>
            <w:noWrap/>
            <w:vAlign w:val="center"/>
          </w:tcPr>
          <w:p w14:paraId="450AFDB8">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0.09</w:t>
            </w:r>
          </w:p>
        </w:tc>
        <w:tc>
          <w:tcPr>
            <w:tcW w:w="1037" w:type="dxa"/>
            <w:noWrap/>
            <w:vAlign w:val="center"/>
          </w:tcPr>
          <w:p w14:paraId="5C242AC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A4006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vMerge w:val="restart"/>
            <w:noWrap/>
            <w:vAlign w:val="center"/>
          </w:tcPr>
          <w:p w14:paraId="48FCB315">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63</w:t>
            </w:r>
          </w:p>
        </w:tc>
        <w:tc>
          <w:tcPr>
            <w:tcW w:w="1210" w:type="pct"/>
            <w:vMerge w:val="restart"/>
            <w:noWrap/>
            <w:vAlign w:val="center"/>
          </w:tcPr>
          <w:p w14:paraId="305D85FD">
            <w:pPr>
              <w:widowControl/>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网格</w:t>
            </w:r>
          </w:p>
        </w:tc>
        <w:tc>
          <w:tcPr>
            <w:tcW w:w="608" w:type="pct"/>
            <w:noWrap/>
            <w:vAlign w:val="center"/>
          </w:tcPr>
          <w:p w14:paraId="6A90192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1小时</w:t>
            </w:r>
          </w:p>
        </w:tc>
        <w:tc>
          <w:tcPr>
            <w:tcW w:w="867" w:type="pct"/>
            <w:noWrap/>
            <w:vAlign w:val="center"/>
          </w:tcPr>
          <w:p w14:paraId="7AF9FF51">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5.77E-03</w:t>
            </w:r>
          </w:p>
        </w:tc>
        <w:tc>
          <w:tcPr>
            <w:tcW w:w="749" w:type="pct"/>
            <w:noWrap/>
            <w:vAlign w:val="center"/>
          </w:tcPr>
          <w:p w14:paraId="101B6677">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24101411</w:t>
            </w:r>
          </w:p>
        </w:tc>
        <w:tc>
          <w:tcPr>
            <w:tcW w:w="588" w:type="pct"/>
            <w:noWrap/>
            <w:vAlign w:val="center"/>
          </w:tcPr>
          <w:p w14:paraId="246F858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2.31</w:t>
            </w:r>
          </w:p>
        </w:tc>
        <w:tc>
          <w:tcPr>
            <w:tcW w:w="608" w:type="pct"/>
            <w:noWrap/>
            <w:vAlign w:val="center"/>
          </w:tcPr>
          <w:p w14:paraId="4406553B">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22F8E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vMerge w:val="continue"/>
            <w:noWrap/>
            <w:vAlign w:val="center"/>
          </w:tcPr>
          <w:p w14:paraId="4812525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210" w:type="pct"/>
            <w:vMerge w:val="continue"/>
            <w:noWrap/>
            <w:vAlign w:val="center"/>
          </w:tcPr>
          <w:p w14:paraId="07B3ADFF">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65F5BC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867" w:type="pct"/>
            <w:noWrap/>
            <w:vAlign w:val="center"/>
          </w:tcPr>
          <w:p w14:paraId="0867F76A">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1.48E-03</w:t>
            </w:r>
          </w:p>
        </w:tc>
        <w:tc>
          <w:tcPr>
            <w:tcW w:w="749" w:type="pct"/>
            <w:noWrap/>
            <w:vAlign w:val="center"/>
          </w:tcPr>
          <w:p w14:paraId="399274E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240426</w:t>
            </w:r>
          </w:p>
        </w:tc>
        <w:tc>
          <w:tcPr>
            <w:tcW w:w="588" w:type="pct"/>
            <w:noWrap/>
            <w:vAlign w:val="center"/>
          </w:tcPr>
          <w:p w14:paraId="45F5C829">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1.48</w:t>
            </w:r>
          </w:p>
        </w:tc>
        <w:tc>
          <w:tcPr>
            <w:tcW w:w="608" w:type="pct"/>
            <w:noWrap/>
            <w:vAlign w:val="center"/>
          </w:tcPr>
          <w:p w14:paraId="5420B66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64775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vMerge w:val="continue"/>
            <w:noWrap/>
            <w:vAlign w:val="center"/>
          </w:tcPr>
          <w:p w14:paraId="65C5C77C">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210" w:type="pct"/>
            <w:vMerge w:val="continue"/>
            <w:noWrap/>
            <w:vAlign w:val="center"/>
          </w:tcPr>
          <w:p w14:paraId="358F825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D4FEA1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196950FD">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1.87E-04</w:t>
            </w:r>
          </w:p>
        </w:tc>
        <w:tc>
          <w:tcPr>
            <w:tcW w:w="749" w:type="pct"/>
            <w:noWrap/>
            <w:vAlign w:val="center"/>
          </w:tcPr>
          <w:p w14:paraId="12204C32">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509E38E5">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0.37</w:t>
            </w:r>
          </w:p>
        </w:tc>
        <w:tc>
          <w:tcPr>
            <w:tcW w:w="608" w:type="pct"/>
            <w:noWrap/>
            <w:vAlign w:val="center"/>
          </w:tcPr>
          <w:p w14:paraId="10E29340">
            <w:pPr>
              <w:widowControl/>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bl>
    <w:p w14:paraId="4057CFD2">
      <w:pPr>
        <w:ind w:firstLine="480"/>
        <w:rPr>
          <w:rFonts w:ascii="Times New Roman" w:hAnsi="Times New Roman"/>
          <w:color w:val="auto"/>
          <w:highlight w:val="none"/>
        </w:rPr>
      </w:pPr>
      <w:r>
        <w:rPr>
          <w:rFonts w:ascii="Times New Roman" w:hAnsi="Times New Roman"/>
          <w:color w:val="auto"/>
          <w:highlight w:val="none"/>
        </w:rPr>
        <w:t>本项目NO</w:t>
      </w:r>
      <w:r>
        <w:rPr>
          <w:rFonts w:ascii="Times New Roman" w:hAnsi="Times New Roman"/>
          <w:color w:val="auto"/>
          <w:highlight w:val="none"/>
          <w:vertAlign w:val="subscript"/>
        </w:rPr>
        <w:t>2</w:t>
      </w:r>
      <w:r>
        <w:rPr>
          <w:rFonts w:ascii="Times New Roman" w:hAnsi="Times New Roman"/>
          <w:color w:val="auto"/>
          <w:highlight w:val="none"/>
        </w:rPr>
        <w:t>短期贡献浓度占标率≤100%，年均浓度贡献浓度占标率≤30%。</w:t>
      </w:r>
    </w:p>
    <w:p w14:paraId="52FD63E7">
      <w:pPr>
        <w:ind w:firstLine="480"/>
        <w:rPr>
          <w:rFonts w:ascii="Times New Roman" w:hAnsi="Times New Roman"/>
          <w:color w:val="auto"/>
          <w:highlight w:val="none"/>
        </w:rPr>
      </w:pPr>
      <w:r>
        <w:rPr>
          <w:rFonts w:ascii="Times New Roman" w:hAnsi="Times New Roman"/>
          <w:color w:val="auto"/>
          <w:highlight w:val="none"/>
        </w:rPr>
        <w:t>（3）本项目PM</w:t>
      </w:r>
      <w:r>
        <w:rPr>
          <w:rFonts w:ascii="Times New Roman" w:hAnsi="Times New Roman"/>
          <w:color w:val="auto"/>
          <w:highlight w:val="none"/>
          <w:vertAlign w:val="subscript"/>
        </w:rPr>
        <w:t>10</w:t>
      </w:r>
      <w:r>
        <w:rPr>
          <w:rFonts w:ascii="Times New Roman" w:hAnsi="Times New Roman"/>
          <w:color w:val="auto"/>
          <w:highlight w:val="none"/>
        </w:rPr>
        <w:t>贡献浓度预测结果分析</w:t>
      </w:r>
    </w:p>
    <w:p w14:paraId="01A0F786">
      <w:pPr>
        <w:ind w:firstLine="480"/>
        <w:rPr>
          <w:rFonts w:ascii="Times New Roman" w:hAnsi="Times New Roman"/>
          <w:color w:val="auto"/>
          <w:highlight w:val="none"/>
        </w:rPr>
      </w:pPr>
      <w:r>
        <w:rPr>
          <w:rFonts w:ascii="Times New Roman" w:hAnsi="Times New Roman"/>
          <w:color w:val="auto"/>
          <w:highlight w:val="none"/>
        </w:rPr>
        <w:t>本项目PM</w:t>
      </w:r>
      <w:r>
        <w:rPr>
          <w:rFonts w:ascii="Times New Roman" w:hAnsi="Times New Roman"/>
          <w:color w:val="auto"/>
          <w:highlight w:val="none"/>
          <w:vertAlign w:val="subscript"/>
        </w:rPr>
        <w:t>10</w:t>
      </w:r>
      <w:r>
        <w:rPr>
          <w:rFonts w:ascii="Times New Roman" w:hAnsi="Times New Roman"/>
          <w:color w:val="auto"/>
          <w:highlight w:val="none"/>
        </w:rPr>
        <w:t>对环境空气敏感点及区域最大浓度点短期和长期贡献浓度值及占标率见表5.2-1</w:t>
      </w:r>
      <w:r>
        <w:rPr>
          <w:rFonts w:hint="eastAsia" w:ascii="Times New Roman" w:hAnsi="Times New Roman"/>
          <w:color w:val="auto"/>
          <w:highlight w:val="none"/>
          <w:lang w:val="en-US" w:eastAsia="zh-CN"/>
        </w:rPr>
        <w:t>4</w:t>
      </w:r>
      <w:r>
        <w:rPr>
          <w:rFonts w:ascii="Times New Roman" w:hAnsi="Times New Roman"/>
          <w:color w:val="auto"/>
          <w:highlight w:val="none"/>
        </w:rPr>
        <w:t>。</w:t>
      </w:r>
    </w:p>
    <w:p w14:paraId="6315C3A9">
      <w:pPr>
        <w:ind w:firstLine="0" w:firstLineChars="0"/>
        <w:jc w:val="center"/>
        <w:rPr>
          <w:rFonts w:ascii="Times New Roman" w:hAnsi="Times New Roman"/>
          <w:color w:val="auto"/>
          <w:highlight w:val="none"/>
        </w:rPr>
      </w:pPr>
      <w:r>
        <w:rPr>
          <w:rFonts w:hint="eastAsia" w:ascii="黑体" w:hAnsi="黑体" w:eastAsia="黑体" w:cs="黑体"/>
          <w:color w:val="auto"/>
          <w:highlight w:val="none"/>
        </w:rPr>
        <w:t>表</w:t>
      </w:r>
      <w:r>
        <w:rPr>
          <w:rFonts w:ascii="Times New Roman" w:hAnsi="Times New Roman"/>
          <w:color w:val="auto"/>
          <w:highlight w:val="none"/>
        </w:rPr>
        <w:t>5.2-1</w:t>
      </w:r>
      <w:r>
        <w:rPr>
          <w:rFonts w:hint="eastAsia" w:ascii="Times New Roman" w:hAnsi="Times New Roman"/>
          <w:color w:val="auto"/>
          <w:highlight w:val="none"/>
          <w:lang w:val="en-US" w:eastAsia="zh-CN"/>
        </w:rPr>
        <w:t>4</w:t>
      </w:r>
      <w:r>
        <w:rPr>
          <w:rFonts w:hint="eastAsia" w:ascii="黑体" w:hAnsi="黑体" w:eastAsia="黑体" w:cs="黑体"/>
          <w:color w:val="auto"/>
          <w:highlight w:val="none"/>
        </w:rPr>
        <w:t>本项目</w:t>
      </w:r>
      <w:r>
        <w:rPr>
          <w:rFonts w:ascii="Times New Roman" w:hAnsi="Times New Roman"/>
          <w:color w:val="auto"/>
          <w:highlight w:val="none"/>
        </w:rPr>
        <w:t>PM</w:t>
      </w:r>
      <w:r>
        <w:rPr>
          <w:rFonts w:ascii="Times New Roman" w:hAnsi="Times New Roman"/>
          <w:color w:val="auto"/>
          <w:highlight w:val="none"/>
          <w:vertAlign w:val="subscript"/>
        </w:rPr>
        <w:t>10</w:t>
      </w:r>
      <w:r>
        <w:rPr>
          <w:rFonts w:hint="eastAsia" w:ascii="黑体" w:hAnsi="黑体" w:eastAsia="黑体" w:cs="黑体"/>
          <w:color w:val="auto"/>
          <w:highlight w:val="none"/>
        </w:rPr>
        <w:t>贡献值预测结果</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5"/>
        <w:gridCol w:w="2064"/>
        <w:gridCol w:w="1037"/>
        <w:gridCol w:w="1478"/>
        <w:gridCol w:w="1278"/>
        <w:gridCol w:w="1003"/>
        <w:gridCol w:w="1037"/>
      </w:tblGrid>
      <w:tr w14:paraId="1F6AF7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noWrap/>
            <w:vAlign w:val="center"/>
          </w:tcPr>
          <w:p w14:paraId="1A5EE8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序号</w:t>
            </w:r>
          </w:p>
        </w:tc>
        <w:tc>
          <w:tcPr>
            <w:tcW w:w="1210" w:type="pct"/>
            <w:noWrap/>
            <w:vAlign w:val="center"/>
          </w:tcPr>
          <w:p w14:paraId="0501D3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点名称</w:t>
            </w:r>
          </w:p>
        </w:tc>
        <w:tc>
          <w:tcPr>
            <w:tcW w:w="608" w:type="pct"/>
            <w:noWrap/>
            <w:vAlign w:val="center"/>
          </w:tcPr>
          <w:p w14:paraId="52E0FD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浓度类型</w:t>
            </w:r>
          </w:p>
        </w:tc>
        <w:tc>
          <w:tcPr>
            <w:tcW w:w="867" w:type="pct"/>
            <w:noWrap/>
            <w:vAlign w:val="center"/>
          </w:tcPr>
          <w:p w14:paraId="571FF0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浓度增量(mg/m3)</w:t>
            </w:r>
          </w:p>
        </w:tc>
        <w:tc>
          <w:tcPr>
            <w:tcW w:w="749" w:type="pct"/>
            <w:noWrap/>
            <w:vAlign w:val="center"/>
          </w:tcPr>
          <w:p w14:paraId="2EDDCB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出现时间</w:t>
            </w:r>
          </w:p>
        </w:tc>
        <w:tc>
          <w:tcPr>
            <w:tcW w:w="588" w:type="pct"/>
            <w:noWrap/>
            <w:vAlign w:val="center"/>
          </w:tcPr>
          <w:p w14:paraId="29E469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占标率%</w:t>
            </w:r>
          </w:p>
        </w:tc>
        <w:tc>
          <w:tcPr>
            <w:tcW w:w="608" w:type="pct"/>
            <w:noWrap/>
            <w:vAlign w:val="center"/>
          </w:tcPr>
          <w:p w14:paraId="261134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是否超标</w:t>
            </w:r>
          </w:p>
        </w:tc>
      </w:tr>
      <w:tr w14:paraId="04FC81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restart"/>
            <w:noWrap/>
            <w:vAlign w:val="center"/>
          </w:tcPr>
          <w:p w14:paraId="34CD66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w:t>
            </w:r>
          </w:p>
        </w:tc>
        <w:tc>
          <w:tcPr>
            <w:tcW w:w="1210" w:type="pct"/>
            <w:vMerge w:val="restart"/>
            <w:noWrap/>
            <w:vAlign w:val="center"/>
          </w:tcPr>
          <w:p w14:paraId="26C563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bidi="ar"/>
              </w:rPr>
            </w:pPr>
            <w:r>
              <w:rPr>
                <w:rFonts w:hint="eastAsia" w:ascii="Times New Roman" w:hAnsi="Times New Roman" w:eastAsia="宋体" w:cs="Times New Roman"/>
                <w:kern w:val="0"/>
                <w:sz w:val="21"/>
                <w:highlight w:val="none"/>
                <w:lang w:val="en-US" w:eastAsia="zh-CN" w:bidi="ar"/>
              </w:rPr>
              <w:t>绥芬河市政府</w:t>
            </w:r>
          </w:p>
        </w:tc>
        <w:tc>
          <w:tcPr>
            <w:tcW w:w="608" w:type="pct"/>
            <w:noWrap/>
            <w:vAlign w:val="center"/>
          </w:tcPr>
          <w:p w14:paraId="4A3522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306D69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4.17E-04</w:t>
            </w:r>
          </w:p>
        </w:tc>
        <w:tc>
          <w:tcPr>
            <w:tcW w:w="749" w:type="pct"/>
            <w:noWrap/>
            <w:vAlign w:val="center"/>
          </w:tcPr>
          <w:p w14:paraId="1CA319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24071219</w:t>
            </w:r>
          </w:p>
        </w:tc>
        <w:tc>
          <w:tcPr>
            <w:tcW w:w="588" w:type="pct"/>
            <w:noWrap/>
            <w:vAlign w:val="center"/>
          </w:tcPr>
          <w:p w14:paraId="637B77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0.09</w:t>
            </w:r>
          </w:p>
        </w:tc>
        <w:tc>
          <w:tcPr>
            <w:tcW w:w="608" w:type="pct"/>
            <w:noWrap/>
            <w:vAlign w:val="center"/>
          </w:tcPr>
          <w:p w14:paraId="5EA495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35621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02F6E0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855B9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72E4C7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047AD8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9.70E-05</w:t>
            </w:r>
          </w:p>
        </w:tc>
        <w:tc>
          <w:tcPr>
            <w:tcW w:w="749" w:type="pct"/>
            <w:noWrap/>
            <w:vAlign w:val="center"/>
          </w:tcPr>
          <w:p w14:paraId="1A1F56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240423</w:t>
            </w:r>
          </w:p>
        </w:tc>
        <w:tc>
          <w:tcPr>
            <w:tcW w:w="588" w:type="pct"/>
            <w:noWrap/>
            <w:vAlign w:val="center"/>
          </w:tcPr>
          <w:p w14:paraId="25C76E8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4EBA7C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E34D1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6BA3CF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0D2E3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3E5758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18B63D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7.77E-06</w:t>
            </w:r>
          </w:p>
        </w:tc>
        <w:tc>
          <w:tcPr>
            <w:tcW w:w="749" w:type="pct"/>
            <w:noWrap/>
            <w:vAlign w:val="center"/>
          </w:tcPr>
          <w:p w14:paraId="3FFC8D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12A2EB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74AFBEE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D94DD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restart"/>
            <w:noWrap/>
            <w:vAlign w:val="center"/>
          </w:tcPr>
          <w:p w14:paraId="2CECEC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2</w:t>
            </w:r>
          </w:p>
        </w:tc>
        <w:tc>
          <w:tcPr>
            <w:tcW w:w="1210" w:type="pct"/>
            <w:vMerge w:val="restart"/>
            <w:noWrap/>
            <w:vAlign w:val="center"/>
          </w:tcPr>
          <w:p w14:paraId="52BB0B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绥芬河市人大</w:t>
            </w:r>
          </w:p>
        </w:tc>
        <w:tc>
          <w:tcPr>
            <w:tcW w:w="608" w:type="pct"/>
            <w:noWrap/>
            <w:vAlign w:val="center"/>
          </w:tcPr>
          <w:p w14:paraId="39C4B7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6CBC8A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2.59E-04</w:t>
            </w:r>
          </w:p>
        </w:tc>
        <w:tc>
          <w:tcPr>
            <w:tcW w:w="749" w:type="pct"/>
            <w:noWrap/>
            <w:vAlign w:val="center"/>
          </w:tcPr>
          <w:p w14:paraId="03710C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24041609</w:t>
            </w:r>
          </w:p>
        </w:tc>
        <w:tc>
          <w:tcPr>
            <w:tcW w:w="588" w:type="pct"/>
            <w:noWrap/>
            <w:vAlign w:val="center"/>
          </w:tcPr>
          <w:p w14:paraId="2A3E88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1B83CC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4856B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30FB9C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7826B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21CAF3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76600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3.97E-05</w:t>
            </w:r>
          </w:p>
        </w:tc>
        <w:tc>
          <w:tcPr>
            <w:tcW w:w="749" w:type="pct"/>
            <w:noWrap/>
            <w:vAlign w:val="center"/>
          </w:tcPr>
          <w:p w14:paraId="79CCC6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4AF8D7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3EB573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421B3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2B5C46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02FC5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56C6CA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29D60B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1.83E-06</w:t>
            </w:r>
          </w:p>
        </w:tc>
        <w:tc>
          <w:tcPr>
            <w:tcW w:w="749" w:type="pct"/>
            <w:noWrap/>
            <w:vAlign w:val="center"/>
          </w:tcPr>
          <w:p w14:paraId="395AD1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10131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1EB39A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1E1E7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restart"/>
            <w:noWrap/>
            <w:vAlign w:val="center"/>
          </w:tcPr>
          <w:p w14:paraId="4C7C3B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3</w:t>
            </w:r>
          </w:p>
        </w:tc>
        <w:tc>
          <w:tcPr>
            <w:tcW w:w="1210" w:type="pct"/>
            <w:vMerge w:val="restart"/>
            <w:noWrap/>
            <w:vAlign w:val="center"/>
          </w:tcPr>
          <w:p w14:paraId="6FA2E7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绥芬河市应急资源局</w:t>
            </w:r>
          </w:p>
        </w:tc>
        <w:tc>
          <w:tcPr>
            <w:tcW w:w="608" w:type="pct"/>
            <w:noWrap/>
            <w:vAlign w:val="center"/>
          </w:tcPr>
          <w:p w14:paraId="2DE657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C931B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3.55E-04</w:t>
            </w:r>
          </w:p>
        </w:tc>
        <w:tc>
          <w:tcPr>
            <w:tcW w:w="749" w:type="pct"/>
            <w:noWrap/>
            <w:vAlign w:val="center"/>
          </w:tcPr>
          <w:p w14:paraId="1F3F58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24042314</w:t>
            </w:r>
          </w:p>
        </w:tc>
        <w:tc>
          <w:tcPr>
            <w:tcW w:w="588" w:type="pct"/>
            <w:noWrap/>
            <w:vAlign w:val="center"/>
          </w:tcPr>
          <w:p w14:paraId="0DEAA4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0833D3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97CBD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0BF2E5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F4E36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68A552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FA023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1.04E-04</w:t>
            </w:r>
          </w:p>
        </w:tc>
        <w:tc>
          <w:tcPr>
            <w:tcW w:w="749" w:type="pct"/>
            <w:noWrap/>
            <w:vAlign w:val="center"/>
          </w:tcPr>
          <w:p w14:paraId="54F1C1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240423</w:t>
            </w:r>
          </w:p>
        </w:tc>
        <w:tc>
          <w:tcPr>
            <w:tcW w:w="588" w:type="pct"/>
            <w:noWrap/>
            <w:vAlign w:val="center"/>
          </w:tcPr>
          <w:p w14:paraId="7BB4D4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7AE234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B183E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0E69EB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41EF9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10EC8C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3CB052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4.86E-06</w:t>
            </w:r>
          </w:p>
        </w:tc>
        <w:tc>
          <w:tcPr>
            <w:tcW w:w="749" w:type="pct"/>
            <w:noWrap/>
            <w:vAlign w:val="center"/>
          </w:tcPr>
          <w:p w14:paraId="50B6F3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978EA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7E84DC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FB0C4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restart"/>
            <w:noWrap/>
            <w:vAlign w:val="center"/>
          </w:tcPr>
          <w:p w14:paraId="647478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4</w:t>
            </w:r>
          </w:p>
        </w:tc>
        <w:tc>
          <w:tcPr>
            <w:tcW w:w="1210" w:type="pct"/>
            <w:vMerge w:val="restart"/>
            <w:shd w:val="clear" w:color="auto" w:fill="auto"/>
            <w:noWrap/>
            <w:vAlign w:val="center"/>
          </w:tcPr>
          <w:p w14:paraId="1ED1C8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绥芬河市住房公积金中心</w:t>
            </w:r>
          </w:p>
        </w:tc>
        <w:tc>
          <w:tcPr>
            <w:tcW w:w="608" w:type="pct"/>
            <w:noWrap/>
            <w:vAlign w:val="center"/>
          </w:tcPr>
          <w:p w14:paraId="729A6E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0365FC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3.13E-04</w:t>
            </w:r>
          </w:p>
        </w:tc>
        <w:tc>
          <w:tcPr>
            <w:tcW w:w="749" w:type="pct"/>
            <w:noWrap/>
            <w:vAlign w:val="center"/>
          </w:tcPr>
          <w:p w14:paraId="1BAE58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24031913</w:t>
            </w:r>
          </w:p>
        </w:tc>
        <w:tc>
          <w:tcPr>
            <w:tcW w:w="588" w:type="pct"/>
            <w:noWrap/>
            <w:vAlign w:val="center"/>
          </w:tcPr>
          <w:p w14:paraId="2A59D8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116244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C3A36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47D288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BC6C5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37A962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49BC0D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4.49E-05</w:t>
            </w:r>
          </w:p>
        </w:tc>
        <w:tc>
          <w:tcPr>
            <w:tcW w:w="749" w:type="pct"/>
            <w:noWrap/>
            <w:vAlign w:val="center"/>
          </w:tcPr>
          <w:p w14:paraId="38FD10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467896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1F84DE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57894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01A8FC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180478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2DEF72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6B6E7C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1.61E-06</w:t>
            </w:r>
          </w:p>
        </w:tc>
        <w:tc>
          <w:tcPr>
            <w:tcW w:w="749" w:type="pct"/>
            <w:noWrap/>
            <w:vAlign w:val="center"/>
          </w:tcPr>
          <w:p w14:paraId="3BAF21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2E824E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4D3C6E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02031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restart"/>
            <w:noWrap/>
            <w:vAlign w:val="center"/>
          </w:tcPr>
          <w:p w14:paraId="67CA2A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5</w:t>
            </w:r>
          </w:p>
        </w:tc>
        <w:tc>
          <w:tcPr>
            <w:tcW w:w="1210" w:type="pct"/>
            <w:vMerge w:val="restart"/>
            <w:noWrap/>
            <w:vAlign w:val="center"/>
          </w:tcPr>
          <w:p w14:paraId="290BB6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绥芬河市房屋征收办公室</w:t>
            </w:r>
          </w:p>
        </w:tc>
        <w:tc>
          <w:tcPr>
            <w:tcW w:w="608" w:type="pct"/>
            <w:noWrap/>
            <w:vAlign w:val="center"/>
          </w:tcPr>
          <w:p w14:paraId="5C0447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782D7A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3.26E-04</w:t>
            </w:r>
          </w:p>
        </w:tc>
        <w:tc>
          <w:tcPr>
            <w:tcW w:w="749" w:type="pct"/>
            <w:noWrap/>
            <w:vAlign w:val="center"/>
          </w:tcPr>
          <w:p w14:paraId="089930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24042212</w:t>
            </w:r>
          </w:p>
        </w:tc>
        <w:tc>
          <w:tcPr>
            <w:tcW w:w="588" w:type="pct"/>
            <w:noWrap/>
            <w:vAlign w:val="center"/>
          </w:tcPr>
          <w:p w14:paraId="77A9AB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2D4DF5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50841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2AE385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46DCE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p>
        </w:tc>
        <w:tc>
          <w:tcPr>
            <w:tcW w:w="608" w:type="pct"/>
            <w:noWrap/>
            <w:vAlign w:val="center"/>
          </w:tcPr>
          <w:p w14:paraId="5BCDE8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2C4081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4.64E-05</w:t>
            </w:r>
          </w:p>
        </w:tc>
        <w:tc>
          <w:tcPr>
            <w:tcW w:w="749" w:type="pct"/>
            <w:noWrap/>
            <w:vAlign w:val="center"/>
          </w:tcPr>
          <w:p w14:paraId="49B1F7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0A7DE8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37F7BA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ECCA3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200565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D4EC1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p>
        </w:tc>
        <w:tc>
          <w:tcPr>
            <w:tcW w:w="608" w:type="pct"/>
            <w:noWrap/>
            <w:vAlign w:val="center"/>
          </w:tcPr>
          <w:p w14:paraId="29170C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3C5E8C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1.72E-06</w:t>
            </w:r>
          </w:p>
        </w:tc>
        <w:tc>
          <w:tcPr>
            <w:tcW w:w="749" w:type="pct"/>
            <w:noWrap/>
            <w:vAlign w:val="center"/>
          </w:tcPr>
          <w:p w14:paraId="0EF41B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3FD928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2AD2B0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343DD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restart"/>
            <w:noWrap/>
            <w:vAlign w:val="center"/>
          </w:tcPr>
          <w:p w14:paraId="63B314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6</w:t>
            </w:r>
          </w:p>
        </w:tc>
        <w:tc>
          <w:tcPr>
            <w:tcW w:w="1210" w:type="pct"/>
            <w:vMerge w:val="restart"/>
            <w:noWrap/>
            <w:vAlign w:val="center"/>
          </w:tcPr>
          <w:p w14:paraId="23FAA6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绥芬河镇人民政府</w:t>
            </w:r>
          </w:p>
        </w:tc>
        <w:tc>
          <w:tcPr>
            <w:tcW w:w="608" w:type="pct"/>
            <w:noWrap/>
            <w:vAlign w:val="center"/>
          </w:tcPr>
          <w:p w14:paraId="180688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1小时</w:t>
            </w:r>
          </w:p>
        </w:tc>
        <w:tc>
          <w:tcPr>
            <w:tcW w:w="867" w:type="pct"/>
            <w:noWrap/>
            <w:vAlign w:val="center"/>
          </w:tcPr>
          <w:p w14:paraId="2628E5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2.29E-04</w:t>
            </w:r>
          </w:p>
        </w:tc>
        <w:tc>
          <w:tcPr>
            <w:tcW w:w="749" w:type="pct"/>
            <w:noWrap/>
            <w:vAlign w:val="center"/>
          </w:tcPr>
          <w:p w14:paraId="581802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24031916</w:t>
            </w:r>
          </w:p>
        </w:tc>
        <w:tc>
          <w:tcPr>
            <w:tcW w:w="588" w:type="pct"/>
            <w:noWrap/>
            <w:vAlign w:val="center"/>
          </w:tcPr>
          <w:p w14:paraId="08C5AA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0683CB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达标</w:t>
            </w:r>
          </w:p>
        </w:tc>
      </w:tr>
      <w:tr w14:paraId="0ACC38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22DD12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73EE0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2082EC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日平均</w:t>
            </w:r>
          </w:p>
        </w:tc>
        <w:tc>
          <w:tcPr>
            <w:tcW w:w="867" w:type="pct"/>
            <w:noWrap/>
            <w:vAlign w:val="center"/>
          </w:tcPr>
          <w:p w14:paraId="6B56A9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1.51E-05</w:t>
            </w:r>
          </w:p>
        </w:tc>
        <w:tc>
          <w:tcPr>
            <w:tcW w:w="749" w:type="pct"/>
            <w:noWrap/>
            <w:vAlign w:val="center"/>
          </w:tcPr>
          <w:p w14:paraId="4B718E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351E0F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2D1BEC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达标</w:t>
            </w:r>
          </w:p>
        </w:tc>
      </w:tr>
      <w:tr w14:paraId="499873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0109AC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BBD26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4E6A18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年平均</w:t>
            </w:r>
          </w:p>
        </w:tc>
        <w:tc>
          <w:tcPr>
            <w:tcW w:w="867" w:type="pct"/>
            <w:noWrap/>
            <w:vAlign w:val="center"/>
          </w:tcPr>
          <w:p w14:paraId="6E1222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2.89E-07</w:t>
            </w:r>
          </w:p>
        </w:tc>
        <w:tc>
          <w:tcPr>
            <w:tcW w:w="749" w:type="pct"/>
            <w:noWrap/>
            <w:vAlign w:val="center"/>
          </w:tcPr>
          <w:p w14:paraId="2DFFCF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5E4C2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0D3C4D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达标</w:t>
            </w:r>
          </w:p>
        </w:tc>
      </w:tr>
      <w:tr w14:paraId="30FD82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restart"/>
            <w:noWrap/>
            <w:vAlign w:val="center"/>
          </w:tcPr>
          <w:p w14:paraId="27B35F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w:t>
            </w:r>
          </w:p>
        </w:tc>
        <w:tc>
          <w:tcPr>
            <w:tcW w:w="1210" w:type="pct"/>
            <w:vMerge w:val="restart"/>
            <w:noWrap/>
            <w:vAlign w:val="center"/>
          </w:tcPr>
          <w:p w14:paraId="36591B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绥芬河邮政管理局</w:t>
            </w:r>
          </w:p>
        </w:tc>
        <w:tc>
          <w:tcPr>
            <w:tcW w:w="608" w:type="pct"/>
            <w:noWrap/>
            <w:vAlign w:val="center"/>
          </w:tcPr>
          <w:p w14:paraId="289D71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1小时</w:t>
            </w:r>
          </w:p>
        </w:tc>
        <w:tc>
          <w:tcPr>
            <w:tcW w:w="867" w:type="pct"/>
            <w:noWrap/>
            <w:vAlign w:val="center"/>
          </w:tcPr>
          <w:p w14:paraId="7BE5E48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2.21E-04</w:t>
            </w:r>
          </w:p>
        </w:tc>
        <w:tc>
          <w:tcPr>
            <w:tcW w:w="749" w:type="pct"/>
            <w:noWrap/>
            <w:vAlign w:val="center"/>
          </w:tcPr>
          <w:p w14:paraId="5B78C3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24031916</w:t>
            </w:r>
          </w:p>
        </w:tc>
        <w:tc>
          <w:tcPr>
            <w:tcW w:w="588" w:type="pct"/>
            <w:noWrap/>
            <w:vAlign w:val="center"/>
          </w:tcPr>
          <w:p w14:paraId="4FEC79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381178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达标</w:t>
            </w:r>
          </w:p>
        </w:tc>
      </w:tr>
      <w:tr w14:paraId="56ED42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086350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EC23B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50BE01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日平均</w:t>
            </w:r>
          </w:p>
        </w:tc>
        <w:tc>
          <w:tcPr>
            <w:tcW w:w="867" w:type="pct"/>
            <w:noWrap/>
            <w:vAlign w:val="center"/>
          </w:tcPr>
          <w:p w14:paraId="654339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1.46E-05</w:t>
            </w:r>
          </w:p>
        </w:tc>
        <w:tc>
          <w:tcPr>
            <w:tcW w:w="749" w:type="pct"/>
            <w:noWrap/>
            <w:vAlign w:val="center"/>
          </w:tcPr>
          <w:p w14:paraId="29EDAC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4A2007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5FF14A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达标</w:t>
            </w:r>
          </w:p>
        </w:tc>
      </w:tr>
      <w:tr w14:paraId="3778C1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vMerge w:val="continue"/>
            <w:noWrap/>
            <w:vAlign w:val="center"/>
          </w:tcPr>
          <w:p w14:paraId="4D4932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3A788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608" w:type="pct"/>
            <w:noWrap/>
            <w:vAlign w:val="center"/>
          </w:tcPr>
          <w:p w14:paraId="154496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年平均</w:t>
            </w:r>
          </w:p>
        </w:tc>
        <w:tc>
          <w:tcPr>
            <w:tcW w:w="867" w:type="pct"/>
            <w:noWrap/>
            <w:vAlign w:val="center"/>
          </w:tcPr>
          <w:p w14:paraId="06F21F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3.31E-07</w:t>
            </w:r>
          </w:p>
        </w:tc>
        <w:tc>
          <w:tcPr>
            <w:tcW w:w="749" w:type="pct"/>
            <w:noWrap/>
            <w:vAlign w:val="center"/>
          </w:tcPr>
          <w:p w14:paraId="35F560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48EC07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15A3FC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达标</w:t>
            </w:r>
          </w:p>
        </w:tc>
      </w:tr>
      <w:tr w14:paraId="12EF24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vMerge w:val="restart"/>
            <w:noWrap/>
            <w:vAlign w:val="center"/>
          </w:tcPr>
          <w:p w14:paraId="5CFB04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w:t>
            </w:r>
          </w:p>
        </w:tc>
        <w:tc>
          <w:tcPr>
            <w:tcW w:w="1210" w:type="pct"/>
            <w:vMerge w:val="restart"/>
            <w:noWrap/>
            <w:vAlign w:val="center"/>
          </w:tcPr>
          <w:p w14:paraId="4FBAEE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绥芬河市教育局</w:t>
            </w:r>
          </w:p>
        </w:tc>
        <w:tc>
          <w:tcPr>
            <w:tcW w:w="608" w:type="pct"/>
            <w:noWrap/>
            <w:vAlign w:val="center"/>
          </w:tcPr>
          <w:p w14:paraId="4E2F28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16040C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2.42E-04</w:t>
            </w:r>
          </w:p>
        </w:tc>
        <w:tc>
          <w:tcPr>
            <w:tcW w:w="749" w:type="pct"/>
            <w:noWrap/>
            <w:vAlign w:val="center"/>
          </w:tcPr>
          <w:p w14:paraId="0E0639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24040909</w:t>
            </w:r>
          </w:p>
        </w:tc>
        <w:tc>
          <w:tcPr>
            <w:tcW w:w="588" w:type="pct"/>
            <w:noWrap/>
            <w:vAlign w:val="center"/>
          </w:tcPr>
          <w:p w14:paraId="445410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01CB05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EBC5E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366" w:type="pct"/>
            <w:vMerge w:val="continue"/>
            <w:noWrap/>
            <w:vAlign w:val="center"/>
          </w:tcPr>
          <w:p w14:paraId="56ECB8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FE32C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823F3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1C4379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1.21E-05</w:t>
            </w:r>
          </w:p>
        </w:tc>
        <w:tc>
          <w:tcPr>
            <w:tcW w:w="749" w:type="pct"/>
            <w:noWrap/>
            <w:vAlign w:val="center"/>
          </w:tcPr>
          <w:p w14:paraId="269E07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w:t>
            </w:r>
          </w:p>
        </w:tc>
        <w:tc>
          <w:tcPr>
            <w:tcW w:w="588" w:type="pct"/>
            <w:noWrap/>
            <w:vAlign w:val="center"/>
          </w:tcPr>
          <w:p w14:paraId="5E5D42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61C477E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C3A53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366" w:type="pct"/>
            <w:vMerge w:val="continue"/>
            <w:noWrap/>
            <w:vAlign w:val="center"/>
          </w:tcPr>
          <w:p w14:paraId="2A3550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FA886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C0D72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5D0171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3.38E-07</w:t>
            </w:r>
          </w:p>
        </w:tc>
        <w:tc>
          <w:tcPr>
            <w:tcW w:w="749" w:type="pct"/>
            <w:noWrap/>
            <w:vAlign w:val="center"/>
          </w:tcPr>
          <w:p w14:paraId="26B968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629FEA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51C22D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87DE4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366" w:type="pct"/>
            <w:vMerge w:val="restart"/>
            <w:noWrap/>
            <w:vAlign w:val="center"/>
          </w:tcPr>
          <w:p w14:paraId="4EA25D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9</w:t>
            </w:r>
          </w:p>
        </w:tc>
        <w:tc>
          <w:tcPr>
            <w:tcW w:w="1210" w:type="pct"/>
            <w:vMerge w:val="restart"/>
            <w:noWrap/>
            <w:vAlign w:val="center"/>
          </w:tcPr>
          <w:p w14:paraId="732FF9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绥芬河市自然资源局</w:t>
            </w:r>
          </w:p>
        </w:tc>
        <w:tc>
          <w:tcPr>
            <w:tcW w:w="608" w:type="pct"/>
            <w:noWrap/>
            <w:vAlign w:val="center"/>
          </w:tcPr>
          <w:p w14:paraId="782A30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684C84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2.61E-04</w:t>
            </w:r>
          </w:p>
        </w:tc>
        <w:tc>
          <w:tcPr>
            <w:tcW w:w="749" w:type="pct"/>
            <w:noWrap/>
            <w:vAlign w:val="center"/>
          </w:tcPr>
          <w:p w14:paraId="56019E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30487B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559DBD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5804F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366" w:type="pct"/>
            <w:vMerge w:val="continue"/>
            <w:noWrap/>
            <w:vAlign w:val="center"/>
          </w:tcPr>
          <w:p w14:paraId="798073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BC9B2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6D666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1C6ACD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1.88E-05</w:t>
            </w:r>
          </w:p>
        </w:tc>
        <w:tc>
          <w:tcPr>
            <w:tcW w:w="749" w:type="pct"/>
            <w:noWrap/>
            <w:vAlign w:val="center"/>
          </w:tcPr>
          <w:p w14:paraId="66CE99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711222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0244FD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3E89B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366" w:type="pct"/>
            <w:vMerge w:val="continue"/>
            <w:noWrap/>
            <w:vAlign w:val="center"/>
          </w:tcPr>
          <w:p w14:paraId="5E6621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4E8E5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88264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21B8C8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4.42E-07</w:t>
            </w:r>
          </w:p>
        </w:tc>
        <w:tc>
          <w:tcPr>
            <w:tcW w:w="749" w:type="pct"/>
            <w:noWrap/>
            <w:vAlign w:val="center"/>
          </w:tcPr>
          <w:p w14:paraId="3C576F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3D5D74C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74FEAF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04781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366" w:type="pct"/>
            <w:vMerge w:val="restart"/>
            <w:noWrap/>
            <w:vAlign w:val="center"/>
          </w:tcPr>
          <w:p w14:paraId="4A674A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w:t>
            </w:r>
          </w:p>
        </w:tc>
        <w:tc>
          <w:tcPr>
            <w:tcW w:w="1210" w:type="pct"/>
            <w:vMerge w:val="restart"/>
            <w:noWrap/>
            <w:vAlign w:val="center"/>
          </w:tcPr>
          <w:p w14:paraId="42C900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绥芬河海关</w:t>
            </w:r>
          </w:p>
        </w:tc>
        <w:tc>
          <w:tcPr>
            <w:tcW w:w="608" w:type="pct"/>
            <w:noWrap/>
            <w:vAlign w:val="center"/>
          </w:tcPr>
          <w:p w14:paraId="322DA2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B3F91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3.25E-04</w:t>
            </w:r>
          </w:p>
        </w:tc>
        <w:tc>
          <w:tcPr>
            <w:tcW w:w="749" w:type="pct"/>
            <w:noWrap/>
            <w:vAlign w:val="center"/>
          </w:tcPr>
          <w:p w14:paraId="781C30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24042818</w:t>
            </w:r>
          </w:p>
        </w:tc>
        <w:tc>
          <w:tcPr>
            <w:tcW w:w="588" w:type="pct"/>
            <w:noWrap/>
            <w:vAlign w:val="center"/>
          </w:tcPr>
          <w:p w14:paraId="2F5D3D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095282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AC4AE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366" w:type="pct"/>
            <w:vMerge w:val="continue"/>
            <w:noWrap/>
            <w:vAlign w:val="center"/>
          </w:tcPr>
          <w:p w14:paraId="7D9E24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4A074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77CDF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50757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1.68E-05</w:t>
            </w:r>
          </w:p>
        </w:tc>
        <w:tc>
          <w:tcPr>
            <w:tcW w:w="749" w:type="pct"/>
            <w:noWrap/>
            <w:vAlign w:val="center"/>
          </w:tcPr>
          <w:p w14:paraId="2950D2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5013F5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5CB4D1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F294F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366" w:type="pct"/>
            <w:vMerge w:val="continue"/>
            <w:noWrap/>
            <w:vAlign w:val="center"/>
          </w:tcPr>
          <w:p w14:paraId="3704C5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C8BE4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96159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0B01B7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7.56E-07</w:t>
            </w:r>
          </w:p>
        </w:tc>
        <w:tc>
          <w:tcPr>
            <w:tcW w:w="749" w:type="pct"/>
            <w:noWrap/>
            <w:vAlign w:val="center"/>
          </w:tcPr>
          <w:p w14:paraId="30D4F7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38EFC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76CBFA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FAF5A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366" w:type="pct"/>
            <w:vMerge w:val="restart"/>
            <w:noWrap/>
            <w:vAlign w:val="center"/>
          </w:tcPr>
          <w:p w14:paraId="1D4D84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w:t>
            </w:r>
          </w:p>
        </w:tc>
        <w:tc>
          <w:tcPr>
            <w:tcW w:w="1210" w:type="pct"/>
            <w:vMerge w:val="restart"/>
            <w:noWrap/>
            <w:vAlign w:val="center"/>
          </w:tcPr>
          <w:p w14:paraId="4D5489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国家外汇管理局绥芬河分局</w:t>
            </w:r>
          </w:p>
        </w:tc>
        <w:tc>
          <w:tcPr>
            <w:tcW w:w="608" w:type="pct"/>
            <w:noWrap/>
            <w:vAlign w:val="center"/>
          </w:tcPr>
          <w:p w14:paraId="74E6B4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56620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3.55E-04</w:t>
            </w:r>
          </w:p>
        </w:tc>
        <w:tc>
          <w:tcPr>
            <w:tcW w:w="749" w:type="pct"/>
            <w:noWrap/>
            <w:vAlign w:val="center"/>
          </w:tcPr>
          <w:p w14:paraId="456F39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24041711</w:t>
            </w:r>
          </w:p>
        </w:tc>
        <w:tc>
          <w:tcPr>
            <w:tcW w:w="588" w:type="pct"/>
            <w:noWrap/>
            <w:vAlign w:val="center"/>
          </w:tcPr>
          <w:p w14:paraId="33444E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315B8D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4953A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366" w:type="pct"/>
            <w:vMerge w:val="continue"/>
            <w:noWrap/>
            <w:vAlign w:val="center"/>
          </w:tcPr>
          <w:p w14:paraId="6E6971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48E0F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BC679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3BF670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7.48E-05</w:t>
            </w:r>
          </w:p>
        </w:tc>
        <w:tc>
          <w:tcPr>
            <w:tcW w:w="749" w:type="pct"/>
            <w:noWrap/>
            <w:vAlign w:val="center"/>
          </w:tcPr>
          <w:p w14:paraId="550C17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240430</w:t>
            </w:r>
          </w:p>
        </w:tc>
        <w:tc>
          <w:tcPr>
            <w:tcW w:w="588" w:type="pct"/>
            <w:noWrap/>
            <w:vAlign w:val="center"/>
          </w:tcPr>
          <w:p w14:paraId="56CF6E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6390FE8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1944C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66" w:type="pct"/>
            <w:vMerge w:val="continue"/>
            <w:noWrap/>
            <w:vAlign w:val="center"/>
          </w:tcPr>
          <w:p w14:paraId="06F18C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3B496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CB17B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6CE99D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7.48E-06</w:t>
            </w:r>
          </w:p>
        </w:tc>
        <w:tc>
          <w:tcPr>
            <w:tcW w:w="749" w:type="pct"/>
            <w:noWrap/>
            <w:vAlign w:val="center"/>
          </w:tcPr>
          <w:p w14:paraId="286945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347DFB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034B81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0CC65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366" w:type="pct"/>
            <w:vMerge w:val="restart"/>
            <w:noWrap/>
            <w:vAlign w:val="center"/>
          </w:tcPr>
          <w:p w14:paraId="133966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w:t>
            </w:r>
          </w:p>
        </w:tc>
        <w:tc>
          <w:tcPr>
            <w:tcW w:w="1210" w:type="pct"/>
            <w:vMerge w:val="restart"/>
            <w:noWrap/>
            <w:vAlign w:val="center"/>
          </w:tcPr>
          <w:p w14:paraId="03CAD9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绥芬河市生态环境局</w:t>
            </w:r>
          </w:p>
        </w:tc>
        <w:tc>
          <w:tcPr>
            <w:tcW w:w="608" w:type="pct"/>
            <w:noWrap/>
            <w:vAlign w:val="center"/>
          </w:tcPr>
          <w:p w14:paraId="5FA628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7BC90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2.78E-04</w:t>
            </w:r>
          </w:p>
        </w:tc>
        <w:tc>
          <w:tcPr>
            <w:tcW w:w="749" w:type="pct"/>
            <w:noWrap/>
            <w:vAlign w:val="center"/>
          </w:tcPr>
          <w:p w14:paraId="0EDC9C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24032012</w:t>
            </w:r>
          </w:p>
        </w:tc>
        <w:tc>
          <w:tcPr>
            <w:tcW w:w="588" w:type="pct"/>
            <w:noWrap/>
            <w:vAlign w:val="center"/>
          </w:tcPr>
          <w:p w14:paraId="2627EF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1D34B1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9AF75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366" w:type="pct"/>
            <w:vMerge w:val="continue"/>
            <w:noWrap/>
            <w:vAlign w:val="center"/>
          </w:tcPr>
          <w:p w14:paraId="26CB2D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256F6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1E27B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A8FEB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3.66E-05</w:t>
            </w:r>
          </w:p>
        </w:tc>
        <w:tc>
          <w:tcPr>
            <w:tcW w:w="749" w:type="pct"/>
            <w:noWrap/>
            <w:vAlign w:val="center"/>
          </w:tcPr>
          <w:p w14:paraId="19BB13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240325</w:t>
            </w:r>
          </w:p>
        </w:tc>
        <w:tc>
          <w:tcPr>
            <w:tcW w:w="588" w:type="pct"/>
            <w:noWrap/>
            <w:vAlign w:val="center"/>
          </w:tcPr>
          <w:p w14:paraId="22BC68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6381CA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33FB7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366" w:type="pct"/>
            <w:vMerge w:val="continue"/>
            <w:noWrap/>
            <w:vAlign w:val="center"/>
          </w:tcPr>
          <w:p w14:paraId="7039AF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7CD57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68C2B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7D6CE0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9.62E-07</w:t>
            </w:r>
          </w:p>
        </w:tc>
        <w:tc>
          <w:tcPr>
            <w:tcW w:w="749" w:type="pct"/>
            <w:noWrap/>
            <w:vAlign w:val="center"/>
          </w:tcPr>
          <w:p w14:paraId="59EE2B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6BBF88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7A9A2E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61FAC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366" w:type="pct"/>
            <w:vMerge w:val="restart"/>
            <w:noWrap/>
            <w:vAlign w:val="center"/>
          </w:tcPr>
          <w:p w14:paraId="740242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13</w:t>
            </w:r>
          </w:p>
        </w:tc>
        <w:tc>
          <w:tcPr>
            <w:tcW w:w="1210" w:type="pct"/>
            <w:vMerge w:val="restart"/>
            <w:noWrap/>
            <w:vAlign w:val="center"/>
          </w:tcPr>
          <w:p w14:paraId="33C2E3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绥芬河市民政局</w:t>
            </w:r>
          </w:p>
        </w:tc>
        <w:tc>
          <w:tcPr>
            <w:tcW w:w="608" w:type="pct"/>
            <w:noWrap/>
            <w:vAlign w:val="center"/>
          </w:tcPr>
          <w:p w14:paraId="2D554D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1FBC5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9.95E-05</w:t>
            </w:r>
          </w:p>
        </w:tc>
        <w:tc>
          <w:tcPr>
            <w:tcW w:w="749" w:type="pct"/>
            <w:noWrap/>
            <w:vAlign w:val="center"/>
          </w:tcPr>
          <w:p w14:paraId="046984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24022510</w:t>
            </w:r>
          </w:p>
        </w:tc>
        <w:tc>
          <w:tcPr>
            <w:tcW w:w="588" w:type="pct"/>
            <w:noWrap/>
            <w:vAlign w:val="center"/>
          </w:tcPr>
          <w:p w14:paraId="7F0B0C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413542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231C9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366" w:type="pct"/>
            <w:vMerge w:val="continue"/>
            <w:noWrap/>
            <w:vAlign w:val="center"/>
          </w:tcPr>
          <w:p w14:paraId="07F5CA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9EF59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E4F1E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0C7771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6.44E-06</w:t>
            </w:r>
          </w:p>
        </w:tc>
        <w:tc>
          <w:tcPr>
            <w:tcW w:w="749" w:type="pct"/>
            <w:noWrap/>
            <w:vAlign w:val="center"/>
          </w:tcPr>
          <w:p w14:paraId="7DB56A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038F4A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387147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F8D75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366" w:type="pct"/>
            <w:vMerge w:val="continue"/>
            <w:noWrap/>
            <w:vAlign w:val="center"/>
          </w:tcPr>
          <w:p w14:paraId="7ADB2A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C9D8B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E1331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2FACAC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1.27E-07</w:t>
            </w:r>
          </w:p>
        </w:tc>
        <w:tc>
          <w:tcPr>
            <w:tcW w:w="749" w:type="pct"/>
            <w:noWrap/>
            <w:vAlign w:val="center"/>
          </w:tcPr>
          <w:p w14:paraId="54B83A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8672E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6D8A47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0A62A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366" w:type="pct"/>
            <w:vMerge w:val="restart"/>
            <w:noWrap/>
            <w:vAlign w:val="center"/>
          </w:tcPr>
          <w:p w14:paraId="468389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w:t>
            </w:r>
          </w:p>
        </w:tc>
        <w:tc>
          <w:tcPr>
            <w:tcW w:w="1210" w:type="pct"/>
            <w:vMerge w:val="restart"/>
            <w:noWrap/>
            <w:vAlign w:val="center"/>
          </w:tcPr>
          <w:p w14:paraId="051B4F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绥芬河市公安局</w:t>
            </w:r>
          </w:p>
        </w:tc>
        <w:tc>
          <w:tcPr>
            <w:tcW w:w="608" w:type="pct"/>
            <w:noWrap/>
            <w:vAlign w:val="center"/>
          </w:tcPr>
          <w:p w14:paraId="126ECF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0CA419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1.54E-04</w:t>
            </w:r>
          </w:p>
        </w:tc>
        <w:tc>
          <w:tcPr>
            <w:tcW w:w="749" w:type="pct"/>
            <w:noWrap/>
            <w:vAlign w:val="center"/>
          </w:tcPr>
          <w:p w14:paraId="5D976C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24022510</w:t>
            </w:r>
          </w:p>
        </w:tc>
        <w:tc>
          <w:tcPr>
            <w:tcW w:w="588" w:type="pct"/>
            <w:noWrap/>
            <w:vAlign w:val="center"/>
          </w:tcPr>
          <w:p w14:paraId="68099B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7D651E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9E062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366" w:type="pct"/>
            <w:vMerge w:val="continue"/>
            <w:noWrap/>
            <w:vAlign w:val="center"/>
          </w:tcPr>
          <w:p w14:paraId="0C6429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882DD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75EC1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4B2C06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7.27E-06</w:t>
            </w:r>
          </w:p>
        </w:tc>
        <w:tc>
          <w:tcPr>
            <w:tcW w:w="749" w:type="pct"/>
            <w:noWrap/>
            <w:vAlign w:val="center"/>
          </w:tcPr>
          <w:p w14:paraId="321F54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240416</w:t>
            </w:r>
          </w:p>
        </w:tc>
        <w:tc>
          <w:tcPr>
            <w:tcW w:w="588" w:type="pct"/>
            <w:noWrap/>
            <w:vAlign w:val="center"/>
          </w:tcPr>
          <w:p w14:paraId="1EF5B2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680FE0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E5B66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366" w:type="pct"/>
            <w:vMerge w:val="continue"/>
            <w:noWrap/>
            <w:vAlign w:val="center"/>
          </w:tcPr>
          <w:p w14:paraId="42F06C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EA57D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CF4D8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491076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1.53E-07</w:t>
            </w:r>
          </w:p>
        </w:tc>
        <w:tc>
          <w:tcPr>
            <w:tcW w:w="749" w:type="pct"/>
            <w:noWrap/>
            <w:vAlign w:val="center"/>
          </w:tcPr>
          <w:p w14:paraId="7CAF65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23AF97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39C50A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5F0E6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366" w:type="pct"/>
            <w:vMerge w:val="restart"/>
            <w:noWrap/>
            <w:vAlign w:val="center"/>
          </w:tcPr>
          <w:p w14:paraId="5ED103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15</w:t>
            </w:r>
          </w:p>
        </w:tc>
        <w:tc>
          <w:tcPr>
            <w:tcW w:w="1210" w:type="pct"/>
            <w:vMerge w:val="restart"/>
            <w:noWrap/>
            <w:vAlign w:val="center"/>
          </w:tcPr>
          <w:p w14:paraId="7047B0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阜宁镇人民政府</w:t>
            </w:r>
          </w:p>
        </w:tc>
        <w:tc>
          <w:tcPr>
            <w:tcW w:w="608" w:type="pct"/>
            <w:noWrap/>
            <w:vAlign w:val="center"/>
          </w:tcPr>
          <w:p w14:paraId="0FD4D3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68ED1E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1.19E-04</w:t>
            </w:r>
          </w:p>
        </w:tc>
        <w:tc>
          <w:tcPr>
            <w:tcW w:w="749" w:type="pct"/>
            <w:noWrap/>
            <w:vAlign w:val="center"/>
          </w:tcPr>
          <w:p w14:paraId="6A6DF8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18F10B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1AAF3E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7BF16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366" w:type="pct"/>
            <w:vMerge w:val="continue"/>
            <w:noWrap/>
            <w:vAlign w:val="center"/>
          </w:tcPr>
          <w:p w14:paraId="491222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F94E6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66728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66CD30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5.05E-06</w:t>
            </w:r>
          </w:p>
        </w:tc>
        <w:tc>
          <w:tcPr>
            <w:tcW w:w="749" w:type="pct"/>
            <w:noWrap/>
            <w:vAlign w:val="center"/>
          </w:tcPr>
          <w:p w14:paraId="0AD275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w:t>
            </w:r>
          </w:p>
        </w:tc>
        <w:tc>
          <w:tcPr>
            <w:tcW w:w="588" w:type="pct"/>
            <w:noWrap/>
            <w:vAlign w:val="center"/>
          </w:tcPr>
          <w:p w14:paraId="5BD636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5B381A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76228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366" w:type="pct"/>
            <w:vMerge w:val="continue"/>
            <w:noWrap/>
            <w:vAlign w:val="center"/>
          </w:tcPr>
          <w:p w14:paraId="56F1FC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334DF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D7F46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5FAEE6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8.68E-08</w:t>
            </w:r>
          </w:p>
        </w:tc>
        <w:tc>
          <w:tcPr>
            <w:tcW w:w="749" w:type="pct"/>
            <w:noWrap/>
            <w:vAlign w:val="center"/>
          </w:tcPr>
          <w:p w14:paraId="3FF34A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20485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0E8E5D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245D8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366" w:type="pct"/>
            <w:vMerge w:val="restart"/>
            <w:noWrap/>
            <w:vAlign w:val="center"/>
          </w:tcPr>
          <w:p w14:paraId="03D10B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16</w:t>
            </w:r>
          </w:p>
        </w:tc>
        <w:tc>
          <w:tcPr>
            <w:tcW w:w="1210" w:type="pct"/>
            <w:vMerge w:val="restart"/>
            <w:noWrap/>
            <w:vAlign w:val="center"/>
          </w:tcPr>
          <w:p w14:paraId="39B4FC8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绥芬河市广播电视局</w:t>
            </w:r>
          </w:p>
        </w:tc>
        <w:tc>
          <w:tcPr>
            <w:tcW w:w="608" w:type="pct"/>
            <w:noWrap/>
            <w:vAlign w:val="center"/>
          </w:tcPr>
          <w:p w14:paraId="48F1C8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0D20F8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2.74E-04</w:t>
            </w:r>
          </w:p>
        </w:tc>
        <w:tc>
          <w:tcPr>
            <w:tcW w:w="749" w:type="pct"/>
            <w:noWrap/>
            <w:vAlign w:val="center"/>
          </w:tcPr>
          <w:p w14:paraId="1BC727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24110810</w:t>
            </w:r>
          </w:p>
        </w:tc>
        <w:tc>
          <w:tcPr>
            <w:tcW w:w="588" w:type="pct"/>
            <w:noWrap/>
            <w:vAlign w:val="center"/>
          </w:tcPr>
          <w:p w14:paraId="49B26A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3EA05B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99B45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366" w:type="pct"/>
            <w:vMerge w:val="continue"/>
            <w:noWrap/>
            <w:vAlign w:val="center"/>
          </w:tcPr>
          <w:p w14:paraId="0F8B4C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5E4D4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EFBFE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487719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1.87E-05</w:t>
            </w:r>
          </w:p>
        </w:tc>
        <w:tc>
          <w:tcPr>
            <w:tcW w:w="749" w:type="pct"/>
            <w:noWrap/>
            <w:vAlign w:val="center"/>
          </w:tcPr>
          <w:p w14:paraId="3E8509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7AAB03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22438CE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6DE57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366" w:type="pct"/>
            <w:vMerge w:val="continue"/>
            <w:noWrap/>
            <w:vAlign w:val="center"/>
          </w:tcPr>
          <w:p w14:paraId="614553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C290A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8A3B2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05D408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6.51E-07</w:t>
            </w:r>
          </w:p>
        </w:tc>
        <w:tc>
          <w:tcPr>
            <w:tcW w:w="749" w:type="pct"/>
            <w:noWrap/>
            <w:vAlign w:val="center"/>
          </w:tcPr>
          <w:p w14:paraId="7D711B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6261C6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2ED3E7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1E437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366" w:type="pct"/>
            <w:vMerge w:val="restart"/>
            <w:noWrap/>
            <w:vAlign w:val="center"/>
          </w:tcPr>
          <w:p w14:paraId="3E5811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17</w:t>
            </w:r>
          </w:p>
        </w:tc>
        <w:tc>
          <w:tcPr>
            <w:tcW w:w="1210" w:type="pct"/>
            <w:vMerge w:val="restart"/>
            <w:noWrap/>
            <w:vAlign w:val="center"/>
          </w:tcPr>
          <w:p w14:paraId="73D728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红太阳未来星幼儿园</w:t>
            </w:r>
          </w:p>
        </w:tc>
        <w:tc>
          <w:tcPr>
            <w:tcW w:w="608" w:type="pct"/>
            <w:noWrap/>
            <w:vAlign w:val="center"/>
          </w:tcPr>
          <w:p w14:paraId="5E67B3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0EE986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2.69E-04</w:t>
            </w:r>
          </w:p>
        </w:tc>
        <w:tc>
          <w:tcPr>
            <w:tcW w:w="749" w:type="pct"/>
            <w:noWrap/>
            <w:vAlign w:val="center"/>
          </w:tcPr>
          <w:p w14:paraId="4146F8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24042212</w:t>
            </w:r>
          </w:p>
        </w:tc>
        <w:tc>
          <w:tcPr>
            <w:tcW w:w="588" w:type="pct"/>
            <w:noWrap/>
            <w:vAlign w:val="center"/>
          </w:tcPr>
          <w:p w14:paraId="09AC01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217F76E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18F26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366" w:type="pct"/>
            <w:vMerge w:val="continue"/>
            <w:noWrap/>
            <w:vAlign w:val="center"/>
          </w:tcPr>
          <w:p w14:paraId="243294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BB054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6F1B2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444A5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4.07E-05</w:t>
            </w:r>
          </w:p>
        </w:tc>
        <w:tc>
          <w:tcPr>
            <w:tcW w:w="749" w:type="pct"/>
            <w:noWrap/>
            <w:vAlign w:val="center"/>
          </w:tcPr>
          <w:p w14:paraId="050555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22069A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509610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E79F6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366" w:type="pct"/>
            <w:vMerge w:val="continue"/>
            <w:noWrap/>
            <w:vAlign w:val="center"/>
          </w:tcPr>
          <w:p w14:paraId="155111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41833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F914B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3134DA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1.31E-06</w:t>
            </w:r>
          </w:p>
        </w:tc>
        <w:tc>
          <w:tcPr>
            <w:tcW w:w="749" w:type="pct"/>
            <w:noWrap/>
            <w:vAlign w:val="center"/>
          </w:tcPr>
          <w:p w14:paraId="650B1C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921E5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1DF03E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7FED2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366" w:type="pct"/>
            <w:vMerge w:val="restart"/>
            <w:noWrap/>
            <w:vAlign w:val="center"/>
          </w:tcPr>
          <w:p w14:paraId="5A480C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w:t>
            </w:r>
          </w:p>
        </w:tc>
        <w:tc>
          <w:tcPr>
            <w:tcW w:w="1210" w:type="pct"/>
            <w:vMerge w:val="restart"/>
            <w:noWrap/>
            <w:vAlign w:val="center"/>
          </w:tcPr>
          <w:p w14:paraId="11EFDA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金恒基小学</w:t>
            </w:r>
          </w:p>
        </w:tc>
        <w:tc>
          <w:tcPr>
            <w:tcW w:w="608" w:type="pct"/>
            <w:noWrap/>
            <w:vAlign w:val="center"/>
          </w:tcPr>
          <w:p w14:paraId="54ABAA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56B225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2.30E-04</w:t>
            </w:r>
          </w:p>
        </w:tc>
        <w:tc>
          <w:tcPr>
            <w:tcW w:w="749" w:type="pct"/>
            <w:noWrap/>
            <w:vAlign w:val="center"/>
          </w:tcPr>
          <w:p w14:paraId="2539DA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06461C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195D0C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CC149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366" w:type="pct"/>
            <w:vMerge w:val="continue"/>
            <w:noWrap/>
            <w:vAlign w:val="center"/>
          </w:tcPr>
          <w:p w14:paraId="22C61F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BDCDF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827F6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20A49A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2.61E-05</w:t>
            </w:r>
          </w:p>
        </w:tc>
        <w:tc>
          <w:tcPr>
            <w:tcW w:w="749" w:type="pct"/>
            <w:noWrap/>
            <w:vAlign w:val="center"/>
          </w:tcPr>
          <w:p w14:paraId="21EFF6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067106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230020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8001F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366" w:type="pct"/>
            <w:vMerge w:val="continue"/>
            <w:noWrap/>
            <w:vAlign w:val="center"/>
          </w:tcPr>
          <w:p w14:paraId="52C8DC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7BC06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B9FB3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0D40C1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4.41E-07</w:t>
            </w:r>
          </w:p>
        </w:tc>
        <w:tc>
          <w:tcPr>
            <w:tcW w:w="749" w:type="pct"/>
            <w:noWrap/>
            <w:vAlign w:val="center"/>
          </w:tcPr>
          <w:p w14:paraId="0EE067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1413BC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0148D3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892E3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366" w:type="pct"/>
            <w:vMerge w:val="restart"/>
            <w:noWrap/>
            <w:vAlign w:val="center"/>
          </w:tcPr>
          <w:p w14:paraId="6532CF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19</w:t>
            </w:r>
          </w:p>
        </w:tc>
        <w:tc>
          <w:tcPr>
            <w:tcW w:w="1210" w:type="pct"/>
            <w:vMerge w:val="restart"/>
            <w:noWrap/>
            <w:vAlign w:val="center"/>
          </w:tcPr>
          <w:p w14:paraId="023CC2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弘孟幼儿园</w:t>
            </w:r>
          </w:p>
        </w:tc>
        <w:tc>
          <w:tcPr>
            <w:tcW w:w="608" w:type="pct"/>
            <w:noWrap/>
            <w:vAlign w:val="center"/>
          </w:tcPr>
          <w:p w14:paraId="71ADD4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3AA62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2.10E-04</w:t>
            </w:r>
          </w:p>
        </w:tc>
        <w:tc>
          <w:tcPr>
            <w:tcW w:w="749" w:type="pct"/>
            <w:noWrap/>
            <w:vAlign w:val="center"/>
          </w:tcPr>
          <w:p w14:paraId="789D3D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69FABD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567DDE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5B21B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366" w:type="pct"/>
            <w:vMerge w:val="continue"/>
            <w:noWrap/>
            <w:vAlign w:val="center"/>
          </w:tcPr>
          <w:p w14:paraId="426B9A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FF326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A6422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41EB48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2.75E-05</w:t>
            </w:r>
          </w:p>
        </w:tc>
        <w:tc>
          <w:tcPr>
            <w:tcW w:w="749" w:type="pct"/>
            <w:noWrap/>
            <w:vAlign w:val="center"/>
          </w:tcPr>
          <w:p w14:paraId="661627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682717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1FA9B2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40BA7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366" w:type="pct"/>
            <w:vMerge w:val="continue"/>
            <w:noWrap/>
            <w:vAlign w:val="center"/>
          </w:tcPr>
          <w:p w14:paraId="0AAF2B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CDDDB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37188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477F16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4.63E-07</w:t>
            </w:r>
          </w:p>
        </w:tc>
        <w:tc>
          <w:tcPr>
            <w:tcW w:w="749" w:type="pct"/>
            <w:noWrap/>
            <w:vAlign w:val="center"/>
          </w:tcPr>
          <w:p w14:paraId="28C8E0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1E550B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70BC01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76452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366" w:type="pct"/>
            <w:vMerge w:val="restart"/>
            <w:noWrap/>
            <w:vAlign w:val="center"/>
          </w:tcPr>
          <w:p w14:paraId="7B22D3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20</w:t>
            </w:r>
          </w:p>
        </w:tc>
        <w:tc>
          <w:tcPr>
            <w:tcW w:w="1210" w:type="pct"/>
            <w:vMerge w:val="restart"/>
            <w:noWrap/>
            <w:vAlign w:val="center"/>
          </w:tcPr>
          <w:p w14:paraId="2FFE16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红太阳幼儿园</w:t>
            </w:r>
          </w:p>
        </w:tc>
        <w:tc>
          <w:tcPr>
            <w:tcW w:w="608" w:type="pct"/>
            <w:noWrap/>
            <w:vAlign w:val="center"/>
          </w:tcPr>
          <w:p w14:paraId="257F01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7EC1A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3.13E-04</w:t>
            </w:r>
          </w:p>
        </w:tc>
        <w:tc>
          <w:tcPr>
            <w:tcW w:w="749" w:type="pct"/>
            <w:noWrap/>
            <w:vAlign w:val="center"/>
          </w:tcPr>
          <w:p w14:paraId="0252B5E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24032514</w:t>
            </w:r>
          </w:p>
        </w:tc>
        <w:tc>
          <w:tcPr>
            <w:tcW w:w="588" w:type="pct"/>
            <w:noWrap/>
            <w:vAlign w:val="center"/>
          </w:tcPr>
          <w:p w14:paraId="2F31F9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06A285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044A2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366" w:type="pct"/>
            <w:vMerge w:val="continue"/>
            <w:noWrap/>
            <w:vAlign w:val="center"/>
          </w:tcPr>
          <w:p w14:paraId="31F26F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EE24F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353D5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14BFBA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5.16E-05</w:t>
            </w:r>
          </w:p>
        </w:tc>
        <w:tc>
          <w:tcPr>
            <w:tcW w:w="749" w:type="pct"/>
            <w:noWrap/>
            <w:vAlign w:val="center"/>
          </w:tcPr>
          <w:p w14:paraId="3634EF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240325</w:t>
            </w:r>
          </w:p>
        </w:tc>
        <w:tc>
          <w:tcPr>
            <w:tcW w:w="588" w:type="pct"/>
            <w:noWrap/>
            <w:vAlign w:val="center"/>
          </w:tcPr>
          <w:p w14:paraId="3130DC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4EDA1E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B9467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366" w:type="pct"/>
            <w:vMerge w:val="continue"/>
            <w:noWrap/>
            <w:vAlign w:val="center"/>
          </w:tcPr>
          <w:p w14:paraId="5E47698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5A944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4AC33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1F31C8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1.52E-06</w:t>
            </w:r>
          </w:p>
        </w:tc>
        <w:tc>
          <w:tcPr>
            <w:tcW w:w="749" w:type="pct"/>
            <w:noWrap/>
            <w:vAlign w:val="center"/>
          </w:tcPr>
          <w:p w14:paraId="6CCC62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396C15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47A4AE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53118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366" w:type="pct"/>
            <w:vMerge w:val="restart"/>
            <w:noWrap/>
            <w:vAlign w:val="center"/>
          </w:tcPr>
          <w:p w14:paraId="25C46EC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21</w:t>
            </w:r>
          </w:p>
        </w:tc>
        <w:tc>
          <w:tcPr>
            <w:tcW w:w="1210" w:type="pct"/>
            <w:vMerge w:val="restart"/>
            <w:noWrap/>
            <w:vAlign w:val="center"/>
          </w:tcPr>
          <w:p w14:paraId="56187D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千里幼稚园</w:t>
            </w:r>
          </w:p>
        </w:tc>
        <w:tc>
          <w:tcPr>
            <w:tcW w:w="608" w:type="pct"/>
            <w:noWrap/>
            <w:vAlign w:val="center"/>
          </w:tcPr>
          <w:p w14:paraId="7D02DD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63CC5C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3.67E-04</w:t>
            </w:r>
          </w:p>
        </w:tc>
        <w:tc>
          <w:tcPr>
            <w:tcW w:w="749" w:type="pct"/>
            <w:noWrap/>
            <w:vAlign w:val="center"/>
          </w:tcPr>
          <w:p w14:paraId="6BE277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24110810</w:t>
            </w:r>
          </w:p>
        </w:tc>
        <w:tc>
          <w:tcPr>
            <w:tcW w:w="588" w:type="pct"/>
            <w:noWrap/>
            <w:vAlign w:val="center"/>
          </w:tcPr>
          <w:p w14:paraId="469A10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6126A0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01193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366" w:type="pct"/>
            <w:vMerge w:val="continue"/>
            <w:noWrap/>
            <w:vAlign w:val="center"/>
          </w:tcPr>
          <w:p w14:paraId="77265A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5E3318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BFDAA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3B0169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4.22E-05</w:t>
            </w:r>
          </w:p>
        </w:tc>
        <w:tc>
          <w:tcPr>
            <w:tcW w:w="749" w:type="pct"/>
            <w:noWrap/>
            <w:vAlign w:val="center"/>
          </w:tcPr>
          <w:p w14:paraId="73FBEF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44BCE7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1370DA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F770E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366" w:type="pct"/>
            <w:vMerge w:val="continue"/>
            <w:noWrap/>
            <w:vAlign w:val="center"/>
          </w:tcPr>
          <w:p w14:paraId="522A57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20214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6189E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63050D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1.85E-06</w:t>
            </w:r>
          </w:p>
        </w:tc>
        <w:tc>
          <w:tcPr>
            <w:tcW w:w="749" w:type="pct"/>
            <w:noWrap/>
            <w:vAlign w:val="center"/>
          </w:tcPr>
          <w:p w14:paraId="5874F7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3339B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2C3513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EE3D7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 w:hRule="atLeast"/>
          <w:jc w:val="center"/>
        </w:trPr>
        <w:tc>
          <w:tcPr>
            <w:tcW w:w="366" w:type="pct"/>
            <w:vMerge w:val="restart"/>
            <w:noWrap/>
            <w:vAlign w:val="center"/>
          </w:tcPr>
          <w:p w14:paraId="7BBE77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22</w:t>
            </w:r>
          </w:p>
        </w:tc>
        <w:tc>
          <w:tcPr>
            <w:tcW w:w="1210" w:type="pct"/>
            <w:vMerge w:val="restart"/>
            <w:noWrap/>
            <w:vAlign w:val="center"/>
          </w:tcPr>
          <w:p w14:paraId="2EEDBA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绥芬河市第一中学</w:t>
            </w:r>
          </w:p>
        </w:tc>
        <w:tc>
          <w:tcPr>
            <w:tcW w:w="608" w:type="pct"/>
            <w:noWrap/>
            <w:vAlign w:val="center"/>
          </w:tcPr>
          <w:p w14:paraId="30E3FA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0B3ED9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2.94E-04</w:t>
            </w:r>
          </w:p>
        </w:tc>
        <w:tc>
          <w:tcPr>
            <w:tcW w:w="749" w:type="pct"/>
            <w:noWrap/>
            <w:vAlign w:val="center"/>
          </w:tcPr>
          <w:p w14:paraId="001D5F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24110810</w:t>
            </w:r>
          </w:p>
        </w:tc>
        <w:tc>
          <w:tcPr>
            <w:tcW w:w="588" w:type="pct"/>
            <w:noWrap/>
            <w:vAlign w:val="center"/>
          </w:tcPr>
          <w:p w14:paraId="4A9CE2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6829CCE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EBA1C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366" w:type="pct"/>
            <w:vMerge w:val="continue"/>
            <w:noWrap/>
            <w:vAlign w:val="center"/>
          </w:tcPr>
          <w:p w14:paraId="1FA6CF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EB19C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76DDB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67A57E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4.48E-05</w:t>
            </w:r>
          </w:p>
        </w:tc>
        <w:tc>
          <w:tcPr>
            <w:tcW w:w="749" w:type="pct"/>
            <w:noWrap/>
            <w:vAlign w:val="center"/>
          </w:tcPr>
          <w:p w14:paraId="62E53E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05A659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3F57BC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EB930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366" w:type="pct"/>
            <w:vMerge w:val="continue"/>
            <w:noWrap/>
            <w:vAlign w:val="center"/>
          </w:tcPr>
          <w:p w14:paraId="57021B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34577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70F77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1AA425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2.82E-06</w:t>
            </w:r>
          </w:p>
        </w:tc>
        <w:tc>
          <w:tcPr>
            <w:tcW w:w="749" w:type="pct"/>
            <w:noWrap/>
            <w:vAlign w:val="center"/>
          </w:tcPr>
          <w:p w14:paraId="014A58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4FCB0F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46C691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4410B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366" w:type="pct"/>
            <w:vMerge w:val="restart"/>
            <w:noWrap/>
            <w:vAlign w:val="center"/>
          </w:tcPr>
          <w:p w14:paraId="7E9CB3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23</w:t>
            </w:r>
          </w:p>
        </w:tc>
        <w:tc>
          <w:tcPr>
            <w:tcW w:w="1210" w:type="pct"/>
            <w:vMerge w:val="restart"/>
            <w:noWrap/>
            <w:vAlign w:val="center"/>
          </w:tcPr>
          <w:p w14:paraId="4C6203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商都幼儿园</w:t>
            </w:r>
          </w:p>
        </w:tc>
        <w:tc>
          <w:tcPr>
            <w:tcW w:w="608" w:type="pct"/>
            <w:noWrap/>
            <w:vAlign w:val="center"/>
          </w:tcPr>
          <w:p w14:paraId="765D81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774775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2.40E-04</w:t>
            </w:r>
          </w:p>
        </w:tc>
        <w:tc>
          <w:tcPr>
            <w:tcW w:w="749" w:type="pct"/>
            <w:noWrap/>
            <w:vAlign w:val="center"/>
          </w:tcPr>
          <w:p w14:paraId="44B37D8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24103110</w:t>
            </w:r>
          </w:p>
        </w:tc>
        <w:tc>
          <w:tcPr>
            <w:tcW w:w="588" w:type="pct"/>
            <w:noWrap/>
            <w:vAlign w:val="center"/>
          </w:tcPr>
          <w:p w14:paraId="240EA5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7483E9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37196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366" w:type="pct"/>
            <w:vMerge w:val="continue"/>
            <w:noWrap/>
            <w:vAlign w:val="center"/>
          </w:tcPr>
          <w:p w14:paraId="14AF91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41956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C85E3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360ABC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4.13E-05</w:t>
            </w:r>
          </w:p>
        </w:tc>
        <w:tc>
          <w:tcPr>
            <w:tcW w:w="749" w:type="pct"/>
            <w:noWrap/>
            <w:vAlign w:val="center"/>
          </w:tcPr>
          <w:p w14:paraId="20A6EC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240317</w:t>
            </w:r>
          </w:p>
        </w:tc>
        <w:tc>
          <w:tcPr>
            <w:tcW w:w="588" w:type="pct"/>
            <w:noWrap/>
            <w:vAlign w:val="center"/>
          </w:tcPr>
          <w:p w14:paraId="397DF1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219A42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34B98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366" w:type="pct"/>
            <w:vMerge w:val="continue"/>
            <w:noWrap/>
            <w:vAlign w:val="center"/>
          </w:tcPr>
          <w:p w14:paraId="4F0D23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121CF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6353F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3045DE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3.08E-06</w:t>
            </w:r>
          </w:p>
        </w:tc>
        <w:tc>
          <w:tcPr>
            <w:tcW w:w="749" w:type="pct"/>
            <w:noWrap/>
            <w:vAlign w:val="center"/>
          </w:tcPr>
          <w:p w14:paraId="56EBE4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224C0C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44FBFD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3833C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366" w:type="pct"/>
            <w:vMerge w:val="restart"/>
            <w:noWrap/>
            <w:vAlign w:val="center"/>
          </w:tcPr>
          <w:p w14:paraId="307C50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w:t>
            </w:r>
          </w:p>
        </w:tc>
        <w:tc>
          <w:tcPr>
            <w:tcW w:w="1210" w:type="pct"/>
            <w:vMerge w:val="restart"/>
            <w:noWrap/>
            <w:vAlign w:val="center"/>
          </w:tcPr>
          <w:p w14:paraId="1DB839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绥芬河市少年儿童业余体校</w:t>
            </w:r>
          </w:p>
        </w:tc>
        <w:tc>
          <w:tcPr>
            <w:tcW w:w="608" w:type="pct"/>
            <w:noWrap/>
            <w:vAlign w:val="center"/>
          </w:tcPr>
          <w:p w14:paraId="3A84A7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5A2DDA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1.50E-04</w:t>
            </w:r>
          </w:p>
        </w:tc>
        <w:tc>
          <w:tcPr>
            <w:tcW w:w="749" w:type="pct"/>
            <w:noWrap/>
            <w:vAlign w:val="center"/>
          </w:tcPr>
          <w:p w14:paraId="3AF349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7BC15C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585346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FDB76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366" w:type="pct"/>
            <w:vMerge w:val="continue"/>
            <w:noWrap/>
            <w:vAlign w:val="center"/>
          </w:tcPr>
          <w:p w14:paraId="068A2C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77A6D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D445C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6B86B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7.37E-06</w:t>
            </w:r>
          </w:p>
        </w:tc>
        <w:tc>
          <w:tcPr>
            <w:tcW w:w="749" w:type="pct"/>
            <w:noWrap/>
            <w:vAlign w:val="center"/>
          </w:tcPr>
          <w:p w14:paraId="6A2FCE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62E0A0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7365428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22C06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366" w:type="pct"/>
            <w:vMerge w:val="continue"/>
            <w:noWrap/>
            <w:vAlign w:val="center"/>
          </w:tcPr>
          <w:p w14:paraId="54DF32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1CA06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C74B6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6F219F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1.18E-07</w:t>
            </w:r>
          </w:p>
        </w:tc>
        <w:tc>
          <w:tcPr>
            <w:tcW w:w="749" w:type="pct"/>
            <w:noWrap/>
            <w:vAlign w:val="center"/>
          </w:tcPr>
          <w:p w14:paraId="7677DF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6CF21D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38B748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D7AD4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366" w:type="pct"/>
            <w:vMerge w:val="restart"/>
            <w:noWrap/>
            <w:vAlign w:val="center"/>
          </w:tcPr>
          <w:p w14:paraId="26EB13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25</w:t>
            </w:r>
          </w:p>
        </w:tc>
        <w:tc>
          <w:tcPr>
            <w:tcW w:w="1210" w:type="pct"/>
            <w:vMerge w:val="restart"/>
            <w:noWrap/>
            <w:vAlign w:val="center"/>
          </w:tcPr>
          <w:p w14:paraId="305826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绥芬河市第二中学</w:t>
            </w:r>
          </w:p>
        </w:tc>
        <w:tc>
          <w:tcPr>
            <w:tcW w:w="608" w:type="pct"/>
            <w:noWrap/>
            <w:vAlign w:val="center"/>
          </w:tcPr>
          <w:p w14:paraId="34904F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3194CB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1.39E-04</w:t>
            </w:r>
          </w:p>
        </w:tc>
        <w:tc>
          <w:tcPr>
            <w:tcW w:w="749" w:type="pct"/>
            <w:noWrap/>
            <w:vAlign w:val="center"/>
          </w:tcPr>
          <w:p w14:paraId="6D4009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42459E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32A1E2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D0C61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366" w:type="pct"/>
            <w:vMerge w:val="continue"/>
            <w:noWrap/>
            <w:vAlign w:val="center"/>
          </w:tcPr>
          <w:p w14:paraId="72B897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F041A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22A57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501021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5.82E-06</w:t>
            </w:r>
          </w:p>
        </w:tc>
        <w:tc>
          <w:tcPr>
            <w:tcW w:w="749" w:type="pct"/>
            <w:noWrap/>
            <w:vAlign w:val="center"/>
          </w:tcPr>
          <w:p w14:paraId="150CEA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w:t>
            </w:r>
          </w:p>
        </w:tc>
        <w:tc>
          <w:tcPr>
            <w:tcW w:w="588" w:type="pct"/>
            <w:noWrap/>
            <w:vAlign w:val="center"/>
          </w:tcPr>
          <w:p w14:paraId="6ACC2F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15A4EA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3DF1D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366" w:type="pct"/>
            <w:vMerge w:val="continue"/>
            <w:noWrap/>
            <w:vAlign w:val="center"/>
          </w:tcPr>
          <w:p w14:paraId="22A447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89D75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61486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1A6F89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9.62E-08</w:t>
            </w:r>
          </w:p>
        </w:tc>
        <w:tc>
          <w:tcPr>
            <w:tcW w:w="749" w:type="pct"/>
            <w:noWrap/>
            <w:vAlign w:val="center"/>
          </w:tcPr>
          <w:p w14:paraId="2A6AE7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965C5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1B7594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63477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366" w:type="pct"/>
            <w:vMerge w:val="restart"/>
            <w:noWrap/>
            <w:vAlign w:val="center"/>
          </w:tcPr>
          <w:p w14:paraId="7E24F6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26</w:t>
            </w:r>
          </w:p>
        </w:tc>
        <w:tc>
          <w:tcPr>
            <w:tcW w:w="1210" w:type="pct"/>
            <w:vMerge w:val="restart"/>
            <w:noWrap/>
            <w:vAlign w:val="center"/>
          </w:tcPr>
          <w:p w14:paraId="349156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绥芬河市第三中学</w:t>
            </w:r>
          </w:p>
        </w:tc>
        <w:tc>
          <w:tcPr>
            <w:tcW w:w="608" w:type="pct"/>
            <w:noWrap/>
            <w:vAlign w:val="center"/>
          </w:tcPr>
          <w:p w14:paraId="2E9E09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72457D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3.16E-04</w:t>
            </w:r>
          </w:p>
        </w:tc>
        <w:tc>
          <w:tcPr>
            <w:tcW w:w="749" w:type="pct"/>
            <w:noWrap/>
            <w:vAlign w:val="center"/>
          </w:tcPr>
          <w:p w14:paraId="70A014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24110810</w:t>
            </w:r>
          </w:p>
        </w:tc>
        <w:tc>
          <w:tcPr>
            <w:tcW w:w="588" w:type="pct"/>
            <w:noWrap/>
            <w:vAlign w:val="center"/>
          </w:tcPr>
          <w:p w14:paraId="2FE03D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610EE88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039B5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366" w:type="pct"/>
            <w:vMerge w:val="continue"/>
            <w:noWrap/>
            <w:vAlign w:val="center"/>
          </w:tcPr>
          <w:p w14:paraId="2AEA44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1F666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AFFCD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5ABE5D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2.29E-05</w:t>
            </w:r>
          </w:p>
        </w:tc>
        <w:tc>
          <w:tcPr>
            <w:tcW w:w="749" w:type="pct"/>
            <w:noWrap/>
            <w:vAlign w:val="center"/>
          </w:tcPr>
          <w:p w14:paraId="33E657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0195DB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43B872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64D9F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366" w:type="pct"/>
            <w:vMerge w:val="continue"/>
            <w:noWrap/>
            <w:vAlign w:val="center"/>
          </w:tcPr>
          <w:p w14:paraId="68C88A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DD551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CF181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1DB665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8.63E-07</w:t>
            </w:r>
          </w:p>
        </w:tc>
        <w:tc>
          <w:tcPr>
            <w:tcW w:w="749" w:type="pct"/>
            <w:noWrap/>
            <w:vAlign w:val="center"/>
          </w:tcPr>
          <w:p w14:paraId="6C8F81E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34348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37FFD7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2D3AC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366" w:type="pct"/>
            <w:vMerge w:val="restart"/>
            <w:noWrap/>
            <w:vAlign w:val="center"/>
          </w:tcPr>
          <w:p w14:paraId="214165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w:t>
            </w:r>
          </w:p>
        </w:tc>
        <w:tc>
          <w:tcPr>
            <w:tcW w:w="1210" w:type="pct"/>
            <w:vMerge w:val="restart"/>
            <w:noWrap/>
            <w:vAlign w:val="center"/>
          </w:tcPr>
          <w:p w14:paraId="2C5C50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旅游局家属楼</w:t>
            </w:r>
          </w:p>
        </w:tc>
        <w:tc>
          <w:tcPr>
            <w:tcW w:w="608" w:type="pct"/>
            <w:noWrap/>
            <w:vAlign w:val="center"/>
          </w:tcPr>
          <w:p w14:paraId="73D6C5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66AE6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4.10E-03</w:t>
            </w:r>
          </w:p>
        </w:tc>
        <w:tc>
          <w:tcPr>
            <w:tcW w:w="749" w:type="pct"/>
            <w:noWrap/>
            <w:vAlign w:val="center"/>
          </w:tcPr>
          <w:p w14:paraId="3147F2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24081206</w:t>
            </w:r>
          </w:p>
        </w:tc>
        <w:tc>
          <w:tcPr>
            <w:tcW w:w="588" w:type="pct"/>
            <w:noWrap/>
            <w:vAlign w:val="center"/>
          </w:tcPr>
          <w:p w14:paraId="6EE7CB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0.91</w:t>
            </w:r>
          </w:p>
        </w:tc>
        <w:tc>
          <w:tcPr>
            <w:tcW w:w="608" w:type="pct"/>
            <w:noWrap/>
            <w:vAlign w:val="center"/>
          </w:tcPr>
          <w:p w14:paraId="343D48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C82AA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366" w:type="pct"/>
            <w:vMerge w:val="continue"/>
            <w:noWrap/>
            <w:vAlign w:val="center"/>
          </w:tcPr>
          <w:p w14:paraId="6955BD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73EB6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929AE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236C1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2.13E-04</w:t>
            </w:r>
          </w:p>
        </w:tc>
        <w:tc>
          <w:tcPr>
            <w:tcW w:w="749" w:type="pct"/>
            <w:noWrap/>
            <w:vAlign w:val="center"/>
          </w:tcPr>
          <w:p w14:paraId="162768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68D4DC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0.14</w:t>
            </w:r>
          </w:p>
        </w:tc>
        <w:tc>
          <w:tcPr>
            <w:tcW w:w="608" w:type="pct"/>
            <w:noWrap/>
            <w:vAlign w:val="center"/>
          </w:tcPr>
          <w:p w14:paraId="2209B1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34C6B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366" w:type="pct"/>
            <w:vMerge w:val="continue"/>
            <w:noWrap/>
            <w:vAlign w:val="center"/>
          </w:tcPr>
          <w:p w14:paraId="4A11EE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B4A56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4316A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03CCA3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2.64E-05</w:t>
            </w:r>
          </w:p>
        </w:tc>
        <w:tc>
          <w:tcPr>
            <w:tcW w:w="749" w:type="pct"/>
            <w:noWrap/>
            <w:vAlign w:val="center"/>
          </w:tcPr>
          <w:p w14:paraId="3F6285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5CD4E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0.04</w:t>
            </w:r>
          </w:p>
        </w:tc>
        <w:tc>
          <w:tcPr>
            <w:tcW w:w="608" w:type="pct"/>
            <w:noWrap/>
            <w:vAlign w:val="center"/>
          </w:tcPr>
          <w:p w14:paraId="7EA9F4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AE82C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366" w:type="pct"/>
            <w:vMerge w:val="restart"/>
            <w:noWrap/>
            <w:vAlign w:val="center"/>
          </w:tcPr>
          <w:p w14:paraId="337AAD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w:t>
            </w:r>
          </w:p>
        </w:tc>
        <w:tc>
          <w:tcPr>
            <w:tcW w:w="1210" w:type="pct"/>
            <w:vMerge w:val="restart"/>
            <w:noWrap/>
            <w:vAlign w:val="center"/>
          </w:tcPr>
          <w:p w14:paraId="0FE3A0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新安幸福嘉园</w:t>
            </w:r>
          </w:p>
        </w:tc>
        <w:tc>
          <w:tcPr>
            <w:tcW w:w="608" w:type="pct"/>
            <w:noWrap/>
            <w:vAlign w:val="center"/>
          </w:tcPr>
          <w:p w14:paraId="2CFBAE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1320A4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7.84E-04</w:t>
            </w:r>
          </w:p>
        </w:tc>
        <w:tc>
          <w:tcPr>
            <w:tcW w:w="749" w:type="pct"/>
            <w:noWrap/>
            <w:vAlign w:val="center"/>
          </w:tcPr>
          <w:p w14:paraId="74E73B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24062319</w:t>
            </w:r>
          </w:p>
        </w:tc>
        <w:tc>
          <w:tcPr>
            <w:tcW w:w="588" w:type="pct"/>
            <w:noWrap/>
            <w:vAlign w:val="center"/>
          </w:tcPr>
          <w:p w14:paraId="19534C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0.17</w:t>
            </w:r>
          </w:p>
        </w:tc>
        <w:tc>
          <w:tcPr>
            <w:tcW w:w="608" w:type="pct"/>
            <w:noWrap/>
            <w:vAlign w:val="center"/>
          </w:tcPr>
          <w:p w14:paraId="69FFDF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01FB4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366" w:type="pct"/>
            <w:vMerge w:val="continue"/>
            <w:noWrap/>
            <w:vAlign w:val="center"/>
          </w:tcPr>
          <w:p w14:paraId="52E067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F5921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69896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1E880C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7.53E-05</w:t>
            </w:r>
          </w:p>
        </w:tc>
        <w:tc>
          <w:tcPr>
            <w:tcW w:w="749" w:type="pct"/>
            <w:noWrap/>
            <w:vAlign w:val="center"/>
          </w:tcPr>
          <w:p w14:paraId="7B3974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240819</w:t>
            </w:r>
          </w:p>
        </w:tc>
        <w:tc>
          <w:tcPr>
            <w:tcW w:w="588" w:type="pct"/>
            <w:noWrap/>
            <w:vAlign w:val="center"/>
          </w:tcPr>
          <w:p w14:paraId="5B2819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0C3799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5019E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 w:hRule="atLeast"/>
          <w:jc w:val="center"/>
        </w:trPr>
        <w:tc>
          <w:tcPr>
            <w:tcW w:w="366" w:type="pct"/>
            <w:vMerge w:val="continue"/>
            <w:noWrap/>
            <w:vAlign w:val="center"/>
          </w:tcPr>
          <w:p w14:paraId="2A5E82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7D6C8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900DC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7890ED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6.17E-06</w:t>
            </w:r>
          </w:p>
        </w:tc>
        <w:tc>
          <w:tcPr>
            <w:tcW w:w="749" w:type="pct"/>
            <w:noWrap/>
            <w:vAlign w:val="center"/>
          </w:tcPr>
          <w:p w14:paraId="21D84F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DFA3D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411A46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40614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366" w:type="pct"/>
            <w:vMerge w:val="restart"/>
            <w:noWrap/>
            <w:vAlign w:val="center"/>
          </w:tcPr>
          <w:p w14:paraId="2A339C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29</w:t>
            </w:r>
          </w:p>
        </w:tc>
        <w:tc>
          <w:tcPr>
            <w:tcW w:w="1210" w:type="pct"/>
            <w:vMerge w:val="restart"/>
            <w:noWrap/>
            <w:vAlign w:val="center"/>
          </w:tcPr>
          <w:p w14:paraId="3DF509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中兴小区</w:t>
            </w:r>
          </w:p>
        </w:tc>
        <w:tc>
          <w:tcPr>
            <w:tcW w:w="608" w:type="pct"/>
            <w:noWrap/>
            <w:vAlign w:val="center"/>
          </w:tcPr>
          <w:p w14:paraId="1276EE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606AAE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2.71E-04</w:t>
            </w:r>
          </w:p>
        </w:tc>
        <w:tc>
          <w:tcPr>
            <w:tcW w:w="749" w:type="pct"/>
            <w:noWrap/>
            <w:vAlign w:val="center"/>
          </w:tcPr>
          <w:p w14:paraId="5E683B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3C4FD8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6413F4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CE2E4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366" w:type="pct"/>
            <w:vMerge w:val="continue"/>
            <w:noWrap/>
            <w:vAlign w:val="center"/>
          </w:tcPr>
          <w:p w14:paraId="27B23B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296A1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F55B4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81E41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2.27E-05</w:t>
            </w:r>
          </w:p>
        </w:tc>
        <w:tc>
          <w:tcPr>
            <w:tcW w:w="749" w:type="pct"/>
            <w:noWrap/>
            <w:vAlign w:val="center"/>
          </w:tcPr>
          <w:p w14:paraId="59BF9C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1E3E90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2F0EB0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808BF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366" w:type="pct"/>
            <w:vMerge w:val="continue"/>
            <w:noWrap/>
            <w:vAlign w:val="center"/>
          </w:tcPr>
          <w:p w14:paraId="073626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C8FF3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F4B8D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33CCC4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7.11E-07</w:t>
            </w:r>
          </w:p>
        </w:tc>
        <w:tc>
          <w:tcPr>
            <w:tcW w:w="749" w:type="pct"/>
            <w:noWrap/>
            <w:vAlign w:val="center"/>
          </w:tcPr>
          <w:p w14:paraId="3200BB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1F656F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1E9215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572F3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366" w:type="pct"/>
            <w:vMerge w:val="restart"/>
            <w:noWrap/>
            <w:vAlign w:val="center"/>
          </w:tcPr>
          <w:p w14:paraId="0E133E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30</w:t>
            </w:r>
          </w:p>
        </w:tc>
        <w:tc>
          <w:tcPr>
            <w:tcW w:w="1210" w:type="pct"/>
            <w:vMerge w:val="restart"/>
            <w:noWrap/>
            <w:vAlign w:val="center"/>
          </w:tcPr>
          <w:p w14:paraId="0B8BA8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绥兴社区</w:t>
            </w:r>
          </w:p>
        </w:tc>
        <w:tc>
          <w:tcPr>
            <w:tcW w:w="608" w:type="pct"/>
            <w:noWrap/>
            <w:vAlign w:val="center"/>
          </w:tcPr>
          <w:p w14:paraId="492784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7F7001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2.77E-04</w:t>
            </w:r>
          </w:p>
        </w:tc>
        <w:tc>
          <w:tcPr>
            <w:tcW w:w="749" w:type="pct"/>
            <w:noWrap/>
            <w:vAlign w:val="center"/>
          </w:tcPr>
          <w:p w14:paraId="04C5AD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24031913</w:t>
            </w:r>
          </w:p>
        </w:tc>
        <w:tc>
          <w:tcPr>
            <w:tcW w:w="588" w:type="pct"/>
            <w:noWrap/>
            <w:vAlign w:val="center"/>
          </w:tcPr>
          <w:p w14:paraId="65099B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3D75CB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FEDD3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66" w:type="pct"/>
            <w:vMerge w:val="continue"/>
            <w:noWrap/>
            <w:vAlign w:val="center"/>
          </w:tcPr>
          <w:p w14:paraId="2B9CCE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5DC3B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9F503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183083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3.70E-05</w:t>
            </w:r>
          </w:p>
        </w:tc>
        <w:tc>
          <w:tcPr>
            <w:tcW w:w="749" w:type="pct"/>
            <w:noWrap/>
            <w:vAlign w:val="center"/>
          </w:tcPr>
          <w:p w14:paraId="2CA6C4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7631C4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7C1287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62157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366" w:type="pct"/>
            <w:vMerge w:val="continue"/>
            <w:noWrap/>
            <w:vAlign w:val="center"/>
          </w:tcPr>
          <w:p w14:paraId="2C65CD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D9BB9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AA2DA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612588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8.11E-07</w:t>
            </w:r>
          </w:p>
        </w:tc>
        <w:tc>
          <w:tcPr>
            <w:tcW w:w="749" w:type="pct"/>
            <w:noWrap/>
            <w:vAlign w:val="center"/>
          </w:tcPr>
          <w:p w14:paraId="141D9F8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155F50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2BBD2D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F6874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366" w:type="pct"/>
            <w:vMerge w:val="restart"/>
            <w:noWrap/>
            <w:vAlign w:val="center"/>
          </w:tcPr>
          <w:p w14:paraId="13A66B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w:t>
            </w:r>
          </w:p>
        </w:tc>
        <w:tc>
          <w:tcPr>
            <w:tcW w:w="1210" w:type="pct"/>
            <w:vMerge w:val="restart"/>
            <w:noWrap/>
            <w:vAlign w:val="center"/>
          </w:tcPr>
          <w:p w14:paraId="4C34F8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远东新天地小区</w:t>
            </w:r>
          </w:p>
        </w:tc>
        <w:tc>
          <w:tcPr>
            <w:tcW w:w="608" w:type="pct"/>
            <w:noWrap/>
            <w:vAlign w:val="center"/>
          </w:tcPr>
          <w:p w14:paraId="3B8570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59E0C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3.50E-04</w:t>
            </w:r>
          </w:p>
        </w:tc>
        <w:tc>
          <w:tcPr>
            <w:tcW w:w="749" w:type="pct"/>
            <w:noWrap/>
            <w:vAlign w:val="center"/>
          </w:tcPr>
          <w:p w14:paraId="38B473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24111911</w:t>
            </w:r>
          </w:p>
        </w:tc>
        <w:tc>
          <w:tcPr>
            <w:tcW w:w="588" w:type="pct"/>
            <w:noWrap/>
            <w:vAlign w:val="center"/>
          </w:tcPr>
          <w:p w14:paraId="5C2F0B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37AB4D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A5B86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366" w:type="pct"/>
            <w:vMerge w:val="continue"/>
            <w:noWrap/>
            <w:vAlign w:val="center"/>
          </w:tcPr>
          <w:p w14:paraId="3A27B9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127B9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8C69A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680E3B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1.06E-04</w:t>
            </w:r>
          </w:p>
        </w:tc>
        <w:tc>
          <w:tcPr>
            <w:tcW w:w="749" w:type="pct"/>
            <w:noWrap/>
            <w:vAlign w:val="center"/>
          </w:tcPr>
          <w:p w14:paraId="4C7828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240301</w:t>
            </w:r>
          </w:p>
        </w:tc>
        <w:tc>
          <w:tcPr>
            <w:tcW w:w="588" w:type="pct"/>
            <w:noWrap/>
            <w:vAlign w:val="center"/>
          </w:tcPr>
          <w:p w14:paraId="7E7F6F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55827F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618F6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366" w:type="pct"/>
            <w:vMerge w:val="continue"/>
            <w:noWrap/>
            <w:vAlign w:val="center"/>
          </w:tcPr>
          <w:p w14:paraId="49EBE4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694FE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63185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2DA2E1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1.41E-05</w:t>
            </w:r>
          </w:p>
        </w:tc>
        <w:tc>
          <w:tcPr>
            <w:tcW w:w="749" w:type="pct"/>
            <w:noWrap/>
            <w:vAlign w:val="center"/>
          </w:tcPr>
          <w:p w14:paraId="7619E8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A4C0A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7E9188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E442E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366" w:type="pct"/>
            <w:vMerge w:val="restart"/>
            <w:noWrap/>
            <w:vAlign w:val="center"/>
          </w:tcPr>
          <w:p w14:paraId="501568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32</w:t>
            </w:r>
          </w:p>
        </w:tc>
        <w:tc>
          <w:tcPr>
            <w:tcW w:w="1210" w:type="pct"/>
            <w:vMerge w:val="restart"/>
            <w:noWrap/>
            <w:vAlign w:val="center"/>
          </w:tcPr>
          <w:p w14:paraId="12F38B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凯丰小区</w:t>
            </w:r>
          </w:p>
        </w:tc>
        <w:tc>
          <w:tcPr>
            <w:tcW w:w="608" w:type="pct"/>
            <w:noWrap/>
            <w:vAlign w:val="center"/>
          </w:tcPr>
          <w:p w14:paraId="6B9286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1B1D5B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3.89E-04</w:t>
            </w:r>
          </w:p>
        </w:tc>
        <w:tc>
          <w:tcPr>
            <w:tcW w:w="749" w:type="pct"/>
            <w:noWrap/>
            <w:vAlign w:val="center"/>
          </w:tcPr>
          <w:p w14:paraId="140231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24042212</w:t>
            </w:r>
          </w:p>
        </w:tc>
        <w:tc>
          <w:tcPr>
            <w:tcW w:w="588" w:type="pct"/>
            <w:noWrap/>
            <w:vAlign w:val="center"/>
          </w:tcPr>
          <w:p w14:paraId="0436D0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0.09</w:t>
            </w:r>
          </w:p>
        </w:tc>
        <w:tc>
          <w:tcPr>
            <w:tcW w:w="608" w:type="pct"/>
            <w:noWrap/>
            <w:vAlign w:val="center"/>
          </w:tcPr>
          <w:p w14:paraId="0EE1ED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14A2B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366" w:type="pct"/>
            <w:vMerge w:val="continue"/>
            <w:noWrap/>
            <w:vAlign w:val="center"/>
          </w:tcPr>
          <w:p w14:paraId="73FF88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3FB96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D1D86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417D68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6.53E-05</w:t>
            </w:r>
          </w:p>
        </w:tc>
        <w:tc>
          <w:tcPr>
            <w:tcW w:w="749" w:type="pct"/>
            <w:noWrap/>
            <w:vAlign w:val="center"/>
          </w:tcPr>
          <w:p w14:paraId="6EAD3B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240422</w:t>
            </w:r>
          </w:p>
        </w:tc>
        <w:tc>
          <w:tcPr>
            <w:tcW w:w="588" w:type="pct"/>
            <w:noWrap/>
            <w:vAlign w:val="center"/>
          </w:tcPr>
          <w:p w14:paraId="200FD68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0.04</w:t>
            </w:r>
          </w:p>
        </w:tc>
        <w:tc>
          <w:tcPr>
            <w:tcW w:w="608" w:type="pct"/>
            <w:noWrap/>
            <w:vAlign w:val="center"/>
          </w:tcPr>
          <w:p w14:paraId="5D1942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79409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366" w:type="pct"/>
            <w:vMerge w:val="continue"/>
            <w:noWrap/>
            <w:vAlign w:val="center"/>
          </w:tcPr>
          <w:p w14:paraId="5B5C198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2D23D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0B5E8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1A1491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3.33E-06</w:t>
            </w:r>
          </w:p>
        </w:tc>
        <w:tc>
          <w:tcPr>
            <w:tcW w:w="749" w:type="pct"/>
            <w:noWrap/>
            <w:vAlign w:val="center"/>
          </w:tcPr>
          <w:p w14:paraId="457DCB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38B87E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6E066E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28E3F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366" w:type="pct"/>
            <w:vMerge w:val="restart"/>
            <w:noWrap/>
            <w:vAlign w:val="center"/>
          </w:tcPr>
          <w:p w14:paraId="66506B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33</w:t>
            </w:r>
          </w:p>
        </w:tc>
        <w:tc>
          <w:tcPr>
            <w:tcW w:w="1210" w:type="pct"/>
            <w:vMerge w:val="restart"/>
            <w:noWrap/>
            <w:vAlign w:val="center"/>
          </w:tcPr>
          <w:p w14:paraId="62ABEC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澳运阳光花园</w:t>
            </w:r>
          </w:p>
        </w:tc>
        <w:tc>
          <w:tcPr>
            <w:tcW w:w="608" w:type="pct"/>
            <w:noWrap/>
            <w:vAlign w:val="center"/>
          </w:tcPr>
          <w:p w14:paraId="3A1C19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0197E3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2.54E-04</w:t>
            </w:r>
          </w:p>
        </w:tc>
        <w:tc>
          <w:tcPr>
            <w:tcW w:w="749" w:type="pct"/>
            <w:noWrap/>
            <w:vAlign w:val="center"/>
          </w:tcPr>
          <w:p w14:paraId="0C15DE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24042017</w:t>
            </w:r>
          </w:p>
        </w:tc>
        <w:tc>
          <w:tcPr>
            <w:tcW w:w="588" w:type="pct"/>
            <w:noWrap/>
            <w:vAlign w:val="center"/>
          </w:tcPr>
          <w:p w14:paraId="41E767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26BCF9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DE045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366" w:type="pct"/>
            <w:vMerge w:val="continue"/>
            <w:noWrap/>
            <w:vAlign w:val="center"/>
          </w:tcPr>
          <w:p w14:paraId="64E911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536A8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AD04F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08128A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4.85E-05</w:t>
            </w:r>
          </w:p>
        </w:tc>
        <w:tc>
          <w:tcPr>
            <w:tcW w:w="749" w:type="pct"/>
            <w:noWrap/>
            <w:vAlign w:val="center"/>
          </w:tcPr>
          <w:p w14:paraId="3A81FC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240422</w:t>
            </w:r>
          </w:p>
        </w:tc>
        <w:tc>
          <w:tcPr>
            <w:tcW w:w="588" w:type="pct"/>
            <w:noWrap/>
            <w:vAlign w:val="center"/>
          </w:tcPr>
          <w:p w14:paraId="668D19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02C172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2809F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366" w:type="pct"/>
            <w:vMerge w:val="continue"/>
            <w:noWrap/>
            <w:vAlign w:val="center"/>
          </w:tcPr>
          <w:p w14:paraId="45489E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A5635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E8A1C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7ADF14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2.22E-06</w:t>
            </w:r>
          </w:p>
        </w:tc>
        <w:tc>
          <w:tcPr>
            <w:tcW w:w="749" w:type="pct"/>
            <w:noWrap/>
            <w:vAlign w:val="center"/>
          </w:tcPr>
          <w:p w14:paraId="6897A4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31022E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1A2453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E8D74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366" w:type="pct"/>
            <w:vMerge w:val="restart"/>
            <w:noWrap/>
            <w:vAlign w:val="center"/>
          </w:tcPr>
          <w:p w14:paraId="69B6F8C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34</w:t>
            </w:r>
          </w:p>
        </w:tc>
        <w:tc>
          <w:tcPr>
            <w:tcW w:w="1210" w:type="pct"/>
            <w:vMerge w:val="restart"/>
            <w:noWrap/>
            <w:vAlign w:val="center"/>
          </w:tcPr>
          <w:p w14:paraId="377DB6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朝阳村</w:t>
            </w:r>
          </w:p>
        </w:tc>
        <w:tc>
          <w:tcPr>
            <w:tcW w:w="608" w:type="pct"/>
            <w:noWrap/>
            <w:vAlign w:val="center"/>
          </w:tcPr>
          <w:p w14:paraId="78EE8F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0665C6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2.43E-04</w:t>
            </w:r>
          </w:p>
        </w:tc>
        <w:tc>
          <w:tcPr>
            <w:tcW w:w="749" w:type="pct"/>
            <w:noWrap/>
            <w:vAlign w:val="center"/>
          </w:tcPr>
          <w:p w14:paraId="39BCCE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24042107</w:t>
            </w:r>
          </w:p>
        </w:tc>
        <w:tc>
          <w:tcPr>
            <w:tcW w:w="588" w:type="pct"/>
            <w:noWrap/>
            <w:vAlign w:val="center"/>
          </w:tcPr>
          <w:p w14:paraId="5CF3A2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6088B2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42781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366" w:type="pct"/>
            <w:vMerge w:val="continue"/>
            <w:noWrap/>
            <w:vAlign w:val="center"/>
          </w:tcPr>
          <w:p w14:paraId="61BA0A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79A80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F9AF38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6368CC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4.04E-05</w:t>
            </w:r>
          </w:p>
        </w:tc>
        <w:tc>
          <w:tcPr>
            <w:tcW w:w="749" w:type="pct"/>
            <w:noWrap/>
            <w:vAlign w:val="center"/>
          </w:tcPr>
          <w:p w14:paraId="4E3435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240327</w:t>
            </w:r>
          </w:p>
        </w:tc>
        <w:tc>
          <w:tcPr>
            <w:tcW w:w="588" w:type="pct"/>
            <w:noWrap/>
            <w:vAlign w:val="center"/>
          </w:tcPr>
          <w:p w14:paraId="5C75E0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1C03B4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95E92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366" w:type="pct"/>
            <w:vMerge w:val="continue"/>
            <w:noWrap/>
            <w:vAlign w:val="center"/>
          </w:tcPr>
          <w:p w14:paraId="445A95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62218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5AEC7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720FB6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1.65E-06</w:t>
            </w:r>
          </w:p>
        </w:tc>
        <w:tc>
          <w:tcPr>
            <w:tcW w:w="749" w:type="pct"/>
            <w:noWrap/>
            <w:vAlign w:val="center"/>
          </w:tcPr>
          <w:p w14:paraId="05D6E5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1EFAF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76A6D7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89827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3" w:hRule="atLeast"/>
          <w:jc w:val="center"/>
        </w:trPr>
        <w:tc>
          <w:tcPr>
            <w:tcW w:w="366" w:type="pct"/>
            <w:vMerge w:val="restart"/>
            <w:noWrap/>
            <w:vAlign w:val="center"/>
          </w:tcPr>
          <w:p w14:paraId="0B2C4E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35</w:t>
            </w:r>
          </w:p>
        </w:tc>
        <w:tc>
          <w:tcPr>
            <w:tcW w:w="1210" w:type="pct"/>
            <w:vMerge w:val="restart"/>
            <w:noWrap/>
            <w:vAlign w:val="center"/>
          </w:tcPr>
          <w:p w14:paraId="53C6F1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宏隆花园</w:t>
            </w:r>
          </w:p>
        </w:tc>
        <w:tc>
          <w:tcPr>
            <w:tcW w:w="608" w:type="pct"/>
            <w:noWrap/>
            <w:vAlign w:val="center"/>
          </w:tcPr>
          <w:p w14:paraId="45CFCF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502770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2.69E-04</w:t>
            </w:r>
          </w:p>
        </w:tc>
        <w:tc>
          <w:tcPr>
            <w:tcW w:w="749" w:type="pct"/>
            <w:noWrap/>
            <w:vAlign w:val="center"/>
          </w:tcPr>
          <w:p w14:paraId="3FD624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24031909</w:t>
            </w:r>
          </w:p>
        </w:tc>
        <w:tc>
          <w:tcPr>
            <w:tcW w:w="588" w:type="pct"/>
            <w:noWrap/>
            <w:vAlign w:val="center"/>
          </w:tcPr>
          <w:p w14:paraId="12336C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5ACBE6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4E30A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366" w:type="pct"/>
            <w:vMerge w:val="continue"/>
            <w:noWrap/>
            <w:vAlign w:val="center"/>
          </w:tcPr>
          <w:p w14:paraId="3666A4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3A2F88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35F24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467A65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3.68E-05</w:t>
            </w:r>
          </w:p>
        </w:tc>
        <w:tc>
          <w:tcPr>
            <w:tcW w:w="749" w:type="pct"/>
            <w:noWrap/>
            <w:vAlign w:val="center"/>
          </w:tcPr>
          <w:p w14:paraId="65A1A3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36913B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25B32A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8E23F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 w:hRule="atLeast"/>
          <w:jc w:val="center"/>
        </w:trPr>
        <w:tc>
          <w:tcPr>
            <w:tcW w:w="366" w:type="pct"/>
            <w:vMerge w:val="continue"/>
            <w:noWrap/>
            <w:vAlign w:val="center"/>
          </w:tcPr>
          <w:p w14:paraId="4C6C87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90E5F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49731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3A2D34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8.70E-07</w:t>
            </w:r>
          </w:p>
        </w:tc>
        <w:tc>
          <w:tcPr>
            <w:tcW w:w="749" w:type="pct"/>
            <w:noWrap/>
            <w:vAlign w:val="center"/>
          </w:tcPr>
          <w:p w14:paraId="56A1AB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462894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78D3BB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CD959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2" w:hRule="atLeast"/>
          <w:jc w:val="center"/>
        </w:trPr>
        <w:tc>
          <w:tcPr>
            <w:tcW w:w="366" w:type="pct"/>
            <w:vMerge w:val="restart"/>
            <w:noWrap/>
            <w:vAlign w:val="center"/>
          </w:tcPr>
          <w:p w14:paraId="021B1A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36</w:t>
            </w:r>
          </w:p>
        </w:tc>
        <w:tc>
          <w:tcPr>
            <w:tcW w:w="1210" w:type="pct"/>
            <w:vMerge w:val="restart"/>
            <w:noWrap/>
            <w:vAlign w:val="center"/>
          </w:tcPr>
          <w:p w14:paraId="3EF8A1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中福名都花园</w:t>
            </w:r>
          </w:p>
        </w:tc>
        <w:tc>
          <w:tcPr>
            <w:tcW w:w="608" w:type="pct"/>
            <w:noWrap/>
            <w:vAlign w:val="center"/>
          </w:tcPr>
          <w:p w14:paraId="4B78A4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0B391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2.53E-04</w:t>
            </w:r>
          </w:p>
        </w:tc>
        <w:tc>
          <w:tcPr>
            <w:tcW w:w="749" w:type="pct"/>
            <w:noWrap/>
            <w:vAlign w:val="center"/>
          </w:tcPr>
          <w:p w14:paraId="0542CA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1EDD59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6ED5F4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AC5C4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366" w:type="pct"/>
            <w:vMerge w:val="continue"/>
            <w:noWrap/>
            <w:vAlign w:val="center"/>
          </w:tcPr>
          <w:p w14:paraId="6776B4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BB162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EDC45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2CF839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2.98E-05</w:t>
            </w:r>
          </w:p>
        </w:tc>
        <w:tc>
          <w:tcPr>
            <w:tcW w:w="749" w:type="pct"/>
            <w:noWrap/>
            <w:vAlign w:val="center"/>
          </w:tcPr>
          <w:p w14:paraId="38FC47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5120EE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0B379E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322C8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366" w:type="pct"/>
            <w:vMerge w:val="continue"/>
            <w:noWrap/>
            <w:vAlign w:val="center"/>
          </w:tcPr>
          <w:p w14:paraId="4D62DD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1047D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DBA8E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0C711C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5.81E-07</w:t>
            </w:r>
          </w:p>
        </w:tc>
        <w:tc>
          <w:tcPr>
            <w:tcW w:w="749" w:type="pct"/>
            <w:noWrap/>
            <w:vAlign w:val="center"/>
          </w:tcPr>
          <w:p w14:paraId="480F7D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01059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4F4E74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30C96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366" w:type="pct"/>
            <w:vMerge w:val="restart"/>
            <w:noWrap/>
            <w:vAlign w:val="center"/>
          </w:tcPr>
          <w:p w14:paraId="7E636F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37</w:t>
            </w:r>
          </w:p>
        </w:tc>
        <w:tc>
          <w:tcPr>
            <w:tcW w:w="1210" w:type="pct"/>
            <w:vMerge w:val="restart"/>
            <w:noWrap/>
            <w:vAlign w:val="center"/>
          </w:tcPr>
          <w:p w14:paraId="2A53D4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康健花园</w:t>
            </w:r>
          </w:p>
        </w:tc>
        <w:tc>
          <w:tcPr>
            <w:tcW w:w="608" w:type="pct"/>
            <w:noWrap/>
            <w:vAlign w:val="center"/>
          </w:tcPr>
          <w:p w14:paraId="0F06F2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114A80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2.43E-04</w:t>
            </w:r>
          </w:p>
        </w:tc>
        <w:tc>
          <w:tcPr>
            <w:tcW w:w="749" w:type="pct"/>
            <w:noWrap/>
            <w:vAlign w:val="center"/>
          </w:tcPr>
          <w:p w14:paraId="406560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588" w:type="pct"/>
            <w:noWrap/>
            <w:vAlign w:val="center"/>
          </w:tcPr>
          <w:p w14:paraId="41C0B9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302211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958D4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0" w:hRule="atLeast"/>
          <w:jc w:val="center"/>
        </w:trPr>
        <w:tc>
          <w:tcPr>
            <w:tcW w:w="366" w:type="pct"/>
            <w:vMerge w:val="continue"/>
            <w:noWrap/>
            <w:vAlign w:val="center"/>
          </w:tcPr>
          <w:p w14:paraId="718B3F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AE989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21380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56A722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3.32E-05</w:t>
            </w:r>
          </w:p>
        </w:tc>
        <w:tc>
          <w:tcPr>
            <w:tcW w:w="749" w:type="pct"/>
            <w:noWrap/>
            <w:vAlign w:val="center"/>
          </w:tcPr>
          <w:p w14:paraId="12087E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2D81CF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5428D3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A9887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366" w:type="pct"/>
            <w:vMerge w:val="continue"/>
            <w:noWrap/>
            <w:vAlign w:val="center"/>
          </w:tcPr>
          <w:p w14:paraId="046951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DD1E7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9DEDA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0046CF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2.59E-06</w:t>
            </w:r>
          </w:p>
        </w:tc>
        <w:tc>
          <w:tcPr>
            <w:tcW w:w="749" w:type="pct"/>
            <w:noWrap/>
            <w:vAlign w:val="center"/>
          </w:tcPr>
          <w:p w14:paraId="7BDBB2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7BAAF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68BD03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1707D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366" w:type="pct"/>
            <w:vMerge w:val="restart"/>
            <w:noWrap/>
            <w:vAlign w:val="center"/>
          </w:tcPr>
          <w:p w14:paraId="198E7A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38</w:t>
            </w:r>
          </w:p>
        </w:tc>
        <w:tc>
          <w:tcPr>
            <w:tcW w:w="1210" w:type="pct"/>
            <w:vMerge w:val="restart"/>
            <w:noWrap/>
            <w:vAlign w:val="center"/>
          </w:tcPr>
          <w:p w14:paraId="6756A8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海融安居里</w:t>
            </w:r>
          </w:p>
        </w:tc>
        <w:tc>
          <w:tcPr>
            <w:tcW w:w="608" w:type="pct"/>
            <w:noWrap/>
            <w:vAlign w:val="center"/>
          </w:tcPr>
          <w:p w14:paraId="27EB5D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15BDFE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4.68E-04</w:t>
            </w:r>
          </w:p>
        </w:tc>
        <w:tc>
          <w:tcPr>
            <w:tcW w:w="749" w:type="pct"/>
            <w:noWrap/>
            <w:vAlign w:val="center"/>
          </w:tcPr>
          <w:p w14:paraId="186299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588" w:type="pct"/>
            <w:noWrap/>
            <w:vAlign w:val="center"/>
          </w:tcPr>
          <w:p w14:paraId="34281A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0.10</w:t>
            </w:r>
          </w:p>
        </w:tc>
        <w:tc>
          <w:tcPr>
            <w:tcW w:w="608" w:type="pct"/>
            <w:noWrap/>
            <w:vAlign w:val="center"/>
          </w:tcPr>
          <w:p w14:paraId="6A0A01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19AFF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366" w:type="pct"/>
            <w:vMerge w:val="continue"/>
            <w:noWrap/>
            <w:vAlign w:val="center"/>
          </w:tcPr>
          <w:p w14:paraId="4AFE2F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0C069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44232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36CC08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4.28E-05</w:t>
            </w:r>
          </w:p>
        </w:tc>
        <w:tc>
          <w:tcPr>
            <w:tcW w:w="749" w:type="pct"/>
            <w:noWrap/>
            <w:vAlign w:val="center"/>
          </w:tcPr>
          <w:p w14:paraId="3EE92A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241122</w:t>
            </w:r>
          </w:p>
        </w:tc>
        <w:tc>
          <w:tcPr>
            <w:tcW w:w="588" w:type="pct"/>
            <w:noWrap/>
            <w:vAlign w:val="center"/>
          </w:tcPr>
          <w:p w14:paraId="31C111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112B75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AEC23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366" w:type="pct"/>
            <w:vMerge w:val="continue"/>
            <w:noWrap/>
            <w:vAlign w:val="center"/>
          </w:tcPr>
          <w:p w14:paraId="47C9B2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62F63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9CB2E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2F276E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3.67E-06</w:t>
            </w:r>
          </w:p>
        </w:tc>
        <w:tc>
          <w:tcPr>
            <w:tcW w:w="749" w:type="pct"/>
            <w:noWrap/>
            <w:vAlign w:val="center"/>
          </w:tcPr>
          <w:p w14:paraId="3EEAD3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E0434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509A36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0EAFF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366" w:type="pct"/>
            <w:vMerge w:val="restart"/>
            <w:noWrap/>
            <w:vAlign w:val="center"/>
          </w:tcPr>
          <w:p w14:paraId="528325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39</w:t>
            </w:r>
          </w:p>
        </w:tc>
        <w:tc>
          <w:tcPr>
            <w:tcW w:w="1210" w:type="pct"/>
            <w:vMerge w:val="restart"/>
            <w:noWrap/>
            <w:vAlign w:val="center"/>
          </w:tcPr>
          <w:p w14:paraId="24BABF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海融富华苑</w:t>
            </w:r>
          </w:p>
        </w:tc>
        <w:tc>
          <w:tcPr>
            <w:tcW w:w="608" w:type="pct"/>
            <w:noWrap/>
            <w:vAlign w:val="center"/>
          </w:tcPr>
          <w:p w14:paraId="291D7A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3458BD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1.14E-04</w:t>
            </w:r>
          </w:p>
        </w:tc>
        <w:tc>
          <w:tcPr>
            <w:tcW w:w="749" w:type="pct"/>
            <w:noWrap/>
            <w:vAlign w:val="center"/>
          </w:tcPr>
          <w:p w14:paraId="0EFC29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0D4E36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37B99B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65475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366" w:type="pct"/>
            <w:vMerge w:val="continue"/>
            <w:noWrap/>
            <w:vAlign w:val="center"/>
          </w:tcPr>
          <w:p w14:paraId="3904FF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C2765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FD88B8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335A07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6.10E-06</w:t>
            </w:r>
          </w:p>
        </w:tc>
        <w:tc>
          <w:tcPr>
            <w:tcW w:w="749" w:type="pct"/>
            <w:noWrap/>
            <w:vAlign w:val="center"/>
          </w:tcPr>
          <w:p w14:paraId="4FE8F6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00D15F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2632A8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25CD1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366" w:type="pct"/>
            <w:vMerge w:val="continue"/>
            <w:noWrap/>
            <w:vAlign w:val="center"/>
          </w:tcPr>
          <w:p w14:paraId="6D53BA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9586D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F6DB1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1F82D2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1.06E-07</w:t>
            </w:r>
          </w:p>
        </w:tc>
        <w:tc>
          <w:tcPr>
            <w:tcW w:w="749" w:type="pct"/>
            <w:noWrap/>
            <w:vAlign w:val="center"/>
          </w:tcPr>
          <w:p w14:paraId="5E4368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104D32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2B48F8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24E8B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366" w:type="pct"/>
            <w:vMerge w:val="restart"/>
            <w:noWrap/>
            <w:vAlign w:val="center"/>
          </w:tcPr>
          <w:p w14:paraId="461B7C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40</w:t>
            </w:r>
          </w:p>
        </w:tc>
        <w:tc>
          <w:tcPr>
            <w:tcW w:w="1210" w:type="pct"/>
            <w:vMerge w:val="restart"/>
            <w:noWrap/>
            <w:vAlign w:val="center"/>
          </w:tcPr>
          <w:p w14:paraId="6E424F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好景园小区</w:t>
            </w:r>
          </w:p>
        </w:tc>
        <w:tc>
          <w:tcPr>
            <w:tcW w:w="608" w:type="pct"/>
            <w:noWrap/>
            <w:vAlign w:val="center"/>
          </w:tcPr>
          <w:p w14:paraId="21D8E1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35F8FB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1.42E-04</w:t>
            </w:r>
          </w:p>
        </w:tc>
        <w:tc>
          <w:tcPr>
            <w:tcW w:w="749" w:type="pct"/>
            <w:noWrap/>
            <w:vAlign w:val="center"/>
          </w:tcPr>
          <w:p w14:paraId="536631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7E416B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4AE5D3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92CED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366" w:type="pct"/>
            <w:vMerge w:val="continue"/>
            <w:noWrap/>
            <w:vAlign w:val="center"/>
          </w:tcPr>
          <w:p w14:paraId="3340DE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B9FA8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290FD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61E07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6.56E-06</w:t>
            </w:r>
          </w:p>
        </w:tc>
        <w:tc>
          <w:tcPr>
            <w:tcW w:w="749" w:type="pct"/>
            <w:noWrap/>
            <w:vAlign w:val="center"/>
          </w:tcPr>
          <w:p w14:paraId="03072C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548894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65045D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BAC4B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366" w:type="pct"/>
            <w:vMerge w:val="continue"/>
            <w:noWrap/>
            <w:vAlign w:val="center"/>
          </w:tcPr>
          <w:p w14:paraId="1651E2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658A4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90794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7F7EE7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1.28E-07</w:t>
            </w:r>
          </w:p>
        </w:tc>
        <w:tc>
          <w:tcPr>
            <w:tcW w:w="749" w:type="pct"/>
            <w:noWrap/>
            <w:vAlign w:val="center"/>
          </w:tcPr>
          <w:p w14:paraId="78FA55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AF338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19C266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0A95C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jc w:val="center"/>
        </w:trPr>
        <w:tc>
          <w:tcPr>
            <w:tcW w:w="366" w:type="pct"/>
            <w:vMerge w:val="restart"/>
            <w:noWrap/>
            <w:vAlign w:val="center"/>
          </w:tcPr>
          <w:p w14:paraId="0EED3F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41</w:t>
            </w:r>
          </w:p>
        </w:tc>
        <w:tc>
          <w:tcPr>
            <w:tcW w:w="1210" w:type="pct"/>
            <w:vMerge w:val="restart"/>
            <w:noWrap/>
            <w:vAlign w:val="center"/>
          </w:tcPr>
          <w:p w14:paraId="0C70FB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旗苑家园</w:t>
            </w:r>
          </w:p>
        </w:tc>
        <w:tc>
          <w:tcPr>
            <w:tcW w:w="608" w:type="pct"/>
            <w:noWrap/>
            <w:vAlign w:val="center"/>
          </w:tcPr>
          <w:p w14:paraId="5892FC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553C23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1.24E-04</w:t>
            </w:r>
          </w:p>
        </w:tc>
        <w:tc>
          <w:tcPr>
            <w:tcW w:w="749" w:type="pct"/>
            <w:noWrap/>
            <w:vAlign w:val="center"/>
          </w:tcPr>
          <w:p w14:paraId="08AD3E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78A3F1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667C3F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625C7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366" w:type="pct"/>
            <w:vMerge w:val="continue"/>
            <w:noWrap/>
            <w:vAlign w:val="center"/>
          </w:tcPr>
          <w:p w14:paraId="14FEF6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2B74C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E2B80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ACF26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5.19E-06</w:t>
            </w:r>
          </w:p>
        </w:tc>
        <w:tc>
          <w:tcPr>
            <w:tcW w:w="749" w:type="pct"/>
            <w:noWrap/>
            <w:vAlign w:val="center"/>
          </w:tcPr>
          <w:p w14:paraId="601398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w:t>
            </w:r>
          </w:p>
        </w:tc>
        <w:tc>
          <w:tcPr>
            <w:tcW w:w="588" w:type="pct"/>
            <w:noWrap/>
            <w:vAlign w:val="center"/>
          </w:tcPr>
          <w:p w14:paraId="1DF314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6B9B65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8230E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 w:hRule="atLeast"/>
          <w:jc w:val="center"/>
        </w:trPr>
        <w:tc>
          <w:tcPr>
            <w:tcW w:w="366" w:type="pct"/>
            <w:vMerge w:val="continue"/>
            <w:noWrap/>
            <w:vAlign w:val="center"/>
          </w:tcPr>
          <w:p w14:paraId="7C9640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18B5F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2177C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7BA347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9.46E-08</w:t>
            </w:r>
          </w:p>
        </w:tc>
        <w:tc>
          <w:tcPr>
            <w:tcW w:w="749" w:type="pct"/>
            <w:noWrap/>
            <w:vAlign w:val="center"/>
          </w:tcPr>
          <w:p w14:paraId="67AD0F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305121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5FC89F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2BA53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2" w:hRule="atLeast"/>
          <w:jc w:val="center"/>
        </w:trPr>
        <w:tc>
          <w:tcPr>
            <w:tcW w:w="366" w:type="pct"/>
            <w:vMerge w:val="restart"/>
            <w:noWrap/>
            <w:vAlign w:val="center"/>
          </w:tcPr>
          <w:p w14:paraId="04B6C2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w:t>
            </w:r>
          </w:p>
        </w:tc>
        <w:tc>
          <w:tcPr>
            <w:tcW w:w="1210" w:type="pct"/>
            <w:vMerge w:val="restart"/>
            <w:noWrap/>
            <w:vAlign w:val="center"/>
          </w:tcPr>
          <w:p w14:paraId="2C6B49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兴达家园</w:t>
            </w:r>
          </w:p>
        </w:tc>
        <w:tc>
          <w:tcPr>
            <w:tcW w:w="608" w:type="pct"/>
            <w:noWrap/>
            <w:vAlign w:val="center"/>
          </w:tcPr>
          <w:p w14:paraId="2363C7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37E6AE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8.65E-05</w:t>
            </w:r>
          </w:p>
        </w:tc>
        <w:tc>
          <w:tcPr>
            <w:tcW w:w="749" w:type="pct"/>
            <w:noWrap/>
            <w:vAlign w:val="center"/>
          </w:tcPr>
          <w:p w14:paraId="2C1BAD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24040909</w:t>
            </w:r>
          </w:p>
        </w:tc>
        <w:tc>
          <w:tcPr>
            <w:tcW w:w="588" w:type="pct"/>
            <w:noWrap/>
            <w:vAlign w:val="center"/>
          </w:tcPr>
          <w:p w14:paraId="502027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1F3354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D2385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366" w:type="pct"/>
            <w:vMerge w:val="continue"/>
            <w:noWrap/>
            <w:vAlign w:val="center"/>
          </w:tcPr>
          <w:p w14:paraId="10EEB2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C6568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71616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2D5E9F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4.01E-06</w:t>
            </w:r>
          </w:p>
        </w:tc>
        <w:tc>
          <w:tcPr>
            <w:tcW w:w="749" w:type="pct"/>
            <w:noWrap/>
            <w:vAlign w:val="center"/>
          </w:tcPr>
          <w:p w14:paraId="701C3F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4A2D0C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7DD8C3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C1FB4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366" w:type="pct"/>
            <w:vMerge w:val="continue"/>
            <w:noWrap/>
            <w:vAlign w:val="center"/>
          </w:tcPr>
          <w:p w14:paraId="78A9DB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C36A6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54269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726A9C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1.37E-07</w:t>
            </w:r>
          </w:p>
        </w:tc>
        <w:tc>
          <w:tcPr>
            <w:tcW w:w="749" w:type="pct"/>
            <w:noWrap/>
            <w:vAlign w:val="center"/>
          </w:tcPr>
          <w:p w14:paraId="77A49F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6D55C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5068AA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49654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 w:hRule="atLeast"/>
          <w:jc w:val="center"/>
        </w:trPr>
        <w:tc>
          <w:tcPr>
            <w:tcW w:w="366" w:type="pct"/>
            <w:vMerge w:val="restart"/>
            <w:noWrap/>
            <w:vAlign w:val="center"/>
          </w:tcPr>
          <w:p w14:paraId="57A647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43</w:t>
            </w:r>
          </w:p>
        </w:tc>
        <w:tc>
          <w:tcPr>
            <w:tcW w:w="1210" w:type="pct"/>
            <w:vMerge w:val="restart"/>
            <w:noWrap/>
            <w:vAlign w:val="center"/>
          </w:tcPr>
          <w:p w14:paraId="496AFA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协会大厦</w:t>
            </w:r>
          </w:p>
        </w:tc>
        <w:tc>
          <w:tcPr>
            <w:tcW w:w="608" w:type="pct"/>
            <w:noWrap/>
            <w:vAlign w:val="center"/>
          </w:tcPr>
          <w:p w14:paraId="680593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7CC93B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7.13E-04</w:t>
            </w:r>
          </w:p>
        </w:tc>
        <w:tc>
          <w:tcPr>
            <w:tcW w:w="749" w:type="pct"/>
            <w:noWrap/>
            <w:vAlign w:val="center"/>
          </w:tcPr>
          <w:p w14:paraId="56DFFB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24042818</w:t>
            </w:r>
          </w:p>
        </w:tc>
        <w:tc>
          <w:tcPr>
            <w:tcW w:w="588" w:type="pct"/>
            <w:noWrap/>
            <w:vAlign w:val="center"/>
          </w:tcPr>
          <w:p w14:paraId="516B39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0.16</w:t>
            </w:r>
          </w:p>
        </w:tc>
        <w:tc>
          <w:tcPr>
            <w:tcW w:w="608" w:type="pct"/>
            <w:noWrap/>
            <w:vAlign w:val="center"/>
          </w:tcPr>
          <w:p w14:paraId="0EB7D2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D4ED6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366" w:type="pct"/>
            <w:vMerge w:val="continue"/>
            <w:noWrap/>
            <w:vAlign w:val="center"/>
          </w:tcPr>
          <w:p w14:paraId="2F3A77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E8FCA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2756D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513809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5.88E-05</w:t>
            </w:r>
          </w:p>
        </w:tc>
        <w:tc>
          <w:tcPr>
            <w:tcW w:w="749" w:type="pct"/>
            <w:noWrap/>
            <w:vAlign w:val="center"/>
          </w:tcPr>
          <w:p w14:paraId="0AA4E5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240507</w:t>
            </w:r>
          </w:p>
        </w:tc>
        <w:tc>
          <w:tcPr>
            <w:tcW w:w="588" w:type="pct"/>
            <w:noWrap/>
            <w:vAlign w:val="center"/>
          </w:tcPr>
          <w:p w14:paraId="59DAFD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0.04</w:t>
            </w:r>
          </w:p>
        </w:tc>
        <w:tc>
          <w:tcPr>
            <w:tcW w:w="608" w:type="pct"/>
            <w:noWrap/>
            <w:vAlign w:val="center"/>
          </w:tcPr>
          <w:p w14:paraId="62DF95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66A11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366" w:type="pct"/>
            <w:vMerge w:val="continue"/>
            <w:noWrap/>
            <w:vAlign w:val="center"/>
          </w:tcPr>
          <w:p w14:paraId="3D98BA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3714F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ACB2D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08BF24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1.83E-06</w:t>
            </w:r>
          </w:p>
        </w:tc>
        <w:tc>
          <w:tcPr>
            <w:tcW w:w="749" w:type="pct"/>
            <w:noWrap/>
            <w:vAlign w:val="center"/>
          </w:tcPr>
          <w:p w14:paraId="2AEBDB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3F1F31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024E71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349DB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3" w:hRule="atLeast"/>
          <w:jc w:val="center"/>
        </w:trPr>
        <w:tc>
          <w:tcPr>
            <w:tcW w:w="366" w:type="pct"/>
            <w:vMerge w:val="restart"/>
            <w:noWrap/>
            <w:vAlign w:val="center"/>
          </w:tcPr>
          <w:p w14:paraId="286E05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44</w:t>
            </w:r>
          </w:p>
        </w:tc>
        <w:tc>
          <w:tcPr>
            <w:tcW w:w="1210" w:type="pct"/>
            <w:vMerge w:val="restart"/>
            <w:noWrap/>
            <w:vAlign w:val="center"/>
          </w:tcPr>
          <w:p w14:paraId="11AF5D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数码港宾馆</w:t>
            </w:r>
          </w:p>
        </w:tc>
        <w:tc>
          <w:tcPr>
            <w:tcW w:w="608" w:type="pct"/>
            <w:noWrap/>
            <w:vAlign w:val="center"/>
          </w:tcPr>
          <w:p w14:paraId="0936F1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79E971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9.10E-04</w:t>
            </w:r>
          </w:p>
        </w:tc>
        <w:tc>
          <w:tcPr>
            <w:tcW w:w="749" w:type="pct"/>
            <w:noWrap/>
            <w:vAlign w:val="center"/>
          </w:tcPr>
          <w:p w14:paraId="196737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24081206</w:t>
            </w:r>
          </w:p>
        </w:tc>
        <w:tc>
          <w:tcPr>
            <w:tcW w:w="588" w:type="pct"/>
            <w:noWrap/>
            <w:vAlign w:val="center"/>
          </w:tcPr>
          <w:p w14:paraId="0D89B6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0.20</w:t>
            </w:r>
          </w:p>
        </w:tc>
        <w:tc>
          <w:tcPr>
            <w:tcW w:w="608" w:type="pct"/>
            <w:noWrap/>
            <w:vAlign w:val="center"/>
          </w:tcPr>
          <w:p w14:paraId="6237A0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B829D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366" w:type="pct"/>
            <w:vMerge w:val="continue"/>
            <w:noWrap/>
            <w:vAlign w:val="center"/>
          </w:tcPr>
          <w:p w14:paraId="587960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7EB63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423CD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6ACF0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7.54E-05</w:t>
            </w:r>
          </w:p>
        </w:tc>
        <w:tc>
          <w:tcPr>
            <w:tcW w:w="749" w:type="pct"/>
            <w:noWrap/>
            <w:vAlign w:val="center"/>
          </w:tcPr>
          <w:p w14:paraId="488966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0E362C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417C88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03113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366" w:type="pct"/>
            <w:vMerge w:val="continue"/>
            <w:noWrap/>
            <w:vAlign w:val="center"/>
          </w:tcPr>
          <w:p w14:paraId="3ABF52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B3398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C2C4F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1EEDDE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5.79E-06</w:t>
            </w:r>
          </w:p>
        </w:tc>
        <w:tc>
          <w:tcPr>
            <w:tcW w:w="749" w:type="pct"/>
            <w:noWrap/>
            <w:vAlign w:val="center"/>
          </w:tcPr>
          <w:p w14:paraId="08BAD6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165B45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648994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0B0C1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66" w:type="pct"/>
            <w:vMerge w:val="restart"/>
            <w:noWrap/>
            <w:vAlign w:val="center"/>
          </w:tcPr>
          <w:p w14:paraId="2C8DCE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45</w:t>
            </w:r>
          </w:p>
        </w:tc>
        <w:tc>
          <w:tcPr>
            <w:tcW w:w="1210" w:type="pct"/>
            <w:vMerge w:val="restart"/>
            <w:noWrap/>
            <w:vAlign w:val="center"/>
          </w:tcPr>
          <w:p w14:paraId="630510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山水国际</w:t>
            </w:r>
          </w:p>
        </w:tc>
        <w:tc>
          <w:tcPr>
            <w:tcW w:w="608" w:type="pct"/>
            <w:noWrap/>
            <w:vAlign w:val="center"/>
          </w:tcPr>
          <w:p w14:paraId="2F7F72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7AC4B8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4.17E-04</w:t>
            </w:r>
          </w:p>
        </w:tc>
        <w:tc>
          <w:tcPr>
            <w:tcW w:w="749" w:type="pct"/>
            <w:noWrap/>
            <w:vAlign w:val="center"/>
          </w:tcPr>
          <w:p w14:paraId="30545D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24102312</w:t>
            </w:r>
          </w:p>
        </w:tc>
        <w:tc>
          <w:tcPr>
            <w:tcW w:w="588" w:type="pct"/>
            <w:noWrap/>
            <w:vAlign w:val="center"/>
          </w:tcPr>
          <w:p w14:paraId="5CEFA8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0.09</w:t>
            </w:r>
          </w:p>
        </w:tc>
        <w:tc>
          <w:tcPr>
            <w:tcW w:w="608" w:type="pct"/>
            <w:noWrap/>
            <w:vAlign w:val="center"/>
          </w:tcPr>
          <w:p w14:paraId="669473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B67B7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366" w:type="pct"/>
            <w:vMerge w:val="continue"/>
            <w:noWrap/>
            <w:vAlign w:val="center"/>
          </w:tcPr>
          <w:p w14:paraId="73EC39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6911A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0A620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1D05A9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1.05E-04</w:t>
            </w:r>
          </w:p>
        </w:tc>
        <w:tc>
          <w:tcPr>
            <w:tcW w:w="749" w:type="pct"/>
            <w:noWrap/>
            <w:vAlign w:val="center"/>
          </w:tcPr>
          <w:p w14:paraId="1D66BD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240408</w:t>
            </w:r>
          </w:p>
        </w:tc>
        <w:tc>
          <w:tcPr>
            <w:tcW w:w="588" w:type="pct"/>
            <w:noWrap/>
            <w:vAlign w:val="center"/>
          </w:tcPr>
          <w:p w14:paraId="513F6B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2B9FD1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78690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366" w:type="pct"/>
            <w:vMerge w:val="continue"/>
            <w:noWrap/>
            <w:vAlign w:val="center"/>
          </w:tcPr>
          <w:p w14:paraId="0741F3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8393D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1973E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7FC15F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1.31E-05</w:t>
            </w:r>
          </w:p>
        </w:tc>
        <w:tc>
          <w:tcPr>
            <w:tcW w:w="749" w:type="pct"/>
            <w:noWrap/>
            <w:vAlign w:val="center"/>
          </w:tcPr>
          <w:p w14:paraId="46B965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17F1A9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501073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DE0EE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366" w:type="pct"/>
            <w:vMerge w:val="restart"/>
            <w:noWrap/>
            <w:vAlign w:val="center"/>
          </w:tcPr>
          <w:p w14:paraId="414091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46</w:t>
            </w:r>
          </w:p>
        </w:tc>
        <w:tc>
          <w:tcPr>
            <w:tcW w:w="1210" w:type="pct"/>
            <w:vMerge w:val="restart"/>
            <w:noWrap/>
            <w:vAlign w:val="center"/>
          </w:tcPr>
          <w:p w14:paraId="748ED6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湖畔花园小区</w:t>
            </w:r>
          </w:p>
        </w:tc>
        <w:tc>
          <w:tcPr>
            <w:tcW w:w="608" w:type="pct"/>
            <w:noWrap/>
            <w:vAlign w:val="center"/>
          </w:tcPr>
          <w:p w14:paraId="7E3FEF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3801F6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3.01E-04</w:t>
            </w:r>
          </w:p>
        </w:tc>
        <w:tc>
          <w:tcPr>
            <w:tcW w:w="749" w:type="pct"/>
            <w:noWrap/>
            <w:vAlign w:val="center"/>
          </w:tcPr>
          <w:p w14:paraId="139EA9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24032514</w:t>
            </w:r>
          </w:p>
        </w:tc>
        <w:tc>
          <w:tcPr>
            <w:tcW w:w="588" w:type="pct"/>
            <w:noWrap/>
            <w:vAlign w:val="center"/>
          </w:tcPr>
          <w:p w14:paraId="7B8FF8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79943A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C2757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jc w:val="center"/>
        </w:trPr>
        <w:tc>
          <w:tcPr>
            <w:tcW w:w="366" w:type="pct"/>
            <w:vMerge w:val="continue"/>
            <w:noWrap/>
            <w:vAlign w:val="center"/>
          </w:tcPr>
          <w:p w14:paraId="7BF171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0CE66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01404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6D1333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5.39E-05</w:t>
            </w:r>
          </w:p>
        </w:tc>
        <w:tc>
          <w:tcPr>
            <w:tcW w:w="749" w:type="pct"/>
            <w:noWrap/>
            <w:vAlign w:val="center"/>
          </w:tcPr>
          <w:p w14:paraId="5C5988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240325</w:t>
            </w:r>
          </w:p>
        </w:tc>
        <w:tc>
          <w:tcPr>
            <w:tcW w:w="588" w:type="pct"/>
            <w:noWrap/>
            <w:vAlign w:val="center"/>
          </w:tcPr>
          <w:p w14:paraId="409CBC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0.04</w:t>
            </w:r>
          </w:p>
        </w:tc>
        <w:tc>
          <w:tcPr>
            <w:tcW w:w="608" w:type="pct"/>
            <w:noWrap/>
            <w:vAlign w:val="center"/>
          </w:tcPr>
          <w:p w14:paraId="68B503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DCE35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366" w:type="pct"/>
            <w:vMerge w:val="continue"/>
            <w:noWrap/>
            <w:vAlign w:val="center"/>
          </w:tcPr>
          <w:p w14:paraId="3F7404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45280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33CF9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362E6E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1.92E-06</w:t>
            </w:r>
          </w:p>
        </w:tc>
        <w:tc>
          <w:tcPr>
            <w:tcW w:w="749" w:type="pct"/>
            <w:noWrap/>
            <w:vAlign w:val="center"/>
          </w:tcPr>
          <w:p w14:paraId="715B4C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03D3B1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292B56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042A5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366" w:type="pct"/>
            <w:vMerge w:val="restart"/>
            <w:noWrap/>
            <w:vAlign w:val="center"/>
          </w:tcPr>
          <w:p w14:paraId="30E4E0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47</w:t>
            </w:r>
          </w:p>
        </w:tc>
        <w:tc>
          <w:tcPr>
            <w:tcW w:w="1210" w:type="pct"/>
            <w:vMerge w:val="restart"/>
            <w:noWrap/>
            <w:vAlign w:val="center"/>
          </w:tcPr>
          <w:p w14:paraId="75BCBD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湖滨小区</w:t>
            </w:r>
          </w:p>
        </w:tc>
        <w:tc>
          <w:tcPr>
            <w:tcW w:w="608" w:type="pct"/>
            <w:noWrap/>
            <w:vAlign w:val="center"/>
          </w:tcPr>
          <w:p w14:paraId="1B7524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6490C7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2.86E-04</w:t>
            </w:r>
          </w:p>
        </w:tc>
        <w:tc>
          <w:tcPr>
            <w:tcW w:w="749" w:type="pct"/>
            <w:noWrap/>
            <w:vAlign w:val="center"/>
          </w:tcPr>
          <w:p w14:paraId="2E6DD8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24032012</w:t>
            </w:r>
          </w:p>
        </w:tc>
        <w:tc>
          <w:tcPr>
            <w:tcW w:w="588" w:type="pct"/>
            <w:noWrap/>
            <w:vAlign w:val="center"/>
          </w:tcPr>
          <w:p w14:paraId="64D467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76A15D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82EB1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366" w:type="pct"/>
            <w:vMerge w:val="continue"/>
            <w:noWrap/>
            <w:vAlign w:val="center"/>
          </w:tcPr>
          <w:p w14:paraId="2A0D3E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451AA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8EE4F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6F387D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4.23E-05</w:t>
            </w:r>
          </w:p>
        </w:tc>
        <w:tc>
          <w:tcPr>
            <w:tcW w:w="749" w:type="pct"/>
            <w:noWrap/>
            <w:vAlign w:val="center"/>
          </w:tcPr>
          <w:p w14:paraId="5AAA55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240325</w:t>
            </w:r>
          </w:p>
        </w:tc>
        <w:tc>
          <w:tcPr>
            <w:tcW w:w="588" w:type="pct"/>
            <w:noWrap/>
            <w:vAlign w:val="center"/>
          </w:tcPr>
          <w:p w14:paraId="27F105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516AE6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F9B0F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366" w:type="pct"/>
            <w:vMerge w:val="continue"/>
            <w:noWrap/>
            <w:vAlign w:val="center"/>
          </w:tcPr>
          <w:p w14:paraId="3E6024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7D750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FD9E1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0E4EF9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1.14E-06</w:t>
            </w:r>
          </w:p>
        </w:tc>
        <w:tc>
          <w:tcPr>
            <w:tcW w:w="749" w:type="pct"/>
            <w:noWrap/>
            <w:vAlign w:val="center"/>
          </w:tcPr>
          <w:p w14:paraId="26A83A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1F128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739D39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1BD55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366" w:type="pct"/>
            <w:vMerge w:val="restart"/>
            <w:noWrap/>
            <w:vAlign w:val="center"/>
          </w:tcPr>
          <w:p w14:paraId="00D209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48</w:t>
            </w:r>
          </w:p>
        </w:tc>
        <w:tc>
          <w:tcPr>
            <w:tcW w:w="1210" w:type="pct"/>
            <w:vMerge w:val="restart"/>
            <w:noWrap/>
            <w:vAlign w:val="center"/>
          </w:tcPr>
          <w:p w14:paraId="795CB3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吉祥小区</w:t>
            </w:r>
          </w:p>
        </w:tc>
        <w:tc>
          <w:tcPr>
            <w:tcW w:w="608" w:type="pct"/>
            <w:noWrap/>
            <w:vAlign w:val="center"/>
          </w:tcPr>
          <w:p w14:paraId="045F46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46DB3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9.57E-05</w:t>
            </w:r>
          </w:p>
        </w:tc>
        <w:tc>
          <w:tcPr>
            <w:tcW w:w="749" w:type="pct"/>
            <w:noWrap/>
            <w:vAlign w:val="center"/>
          </w:tcPr>
          <w:p w14:paraId="17B9C9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385110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0EFA93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1BF0D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366" w:type="pct"/>
            <w:vMerge w:val="continue"/>
            <w:noWrap/>
            <w:vAlign w:val="center"/>
          </w:tcPr>
          <w:p w14:paraId="78DC2B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9CBA9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59640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4F72E7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5.93E-06</w:t>
            </w:r>
          </w:p>
        </w:tc>
        <w:tc>
          <w:tcPr>
            <w:tcW w:w="749" w:type="pct"/>
            <w:noWrap/>
            <w:vAlign w:val="center"/>
          </w:tcPr>
          <w:p w14:paraId="38E88E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6799C7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67CF91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ABF4A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366" w:type="pct"/>
            <w:vMerge w:val="continue"/>
            <w:noWrap/>
            <w:vAlign w:val="center"/>
          </w:tcPr>
          <w:p w14:paraId="5F0C9A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C2D78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3592A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1EAB18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1.13E-07</w:t>
            </w:r>
          </w:p>
        </w:tc>
        <w:tc>
          <w:tcPr>
            <w:tcW w:w="749" w:type="pct"/>
            <w:noWrap/>
            <w:vAlign w:val="center"/>
          </w:tcPr>
          <w:p w14:paraId="6A3E75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20BAAB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50F95E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92336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366" w:type="pct"/>
            <w:vMerge w:val="restart"/>
            <w:noWrap/>
            <w:vAlign w:val="center"/>
          </w:tcPr>
          <w:p w14:paraId="2AA08C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49</w:t>
            </w:r>
          </w:p>
        </w:tc>
        <w:tc>
          <w:tcPr>
            <w:tcW w:w="1210" w:type="pct"/>
            <w:vMerge w:val="restart"/>
            <w:noWrap/>
            <w:vAlign w:val="center"/>
          </w:tcPr>
          <w:p w14:paraId="3A2D13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天佑国际</w:t>
            </w:r>
          </w:p>
        </w:tc>
        <w:tc>
          <w:tcPr>
            <w:tcW w:w="608" w:type="pct"/>
            <w:noWrap/>
            <w:vAlign w:val="center"/>
          </w:tcPr>
          <w:p w14:paraId="2D4849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7BE4D8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2.77E-04</w:t>
            </w:r>
          </w:p>
        </w:tc>
        <w:tc>
          <w:tcPr>
            <w:tcW w:w="749" w:type="pct"/>
            <w:noWrap/>
            <w:vAlign w:val="center"/>
          </w:tcPr>
          <w:p w14:paraId="3C09B3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588" w:type="pct"/>
            <w:noWrap/>
            <w:vAlign w:val="center"/>
          </w:tcPr>
          <w:p w14:paraId="5FF750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7DFE9C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7376E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366" w:type="pct"/>
            <w:vMerge w:val="continue"/>
            <w:noWrap/>
            <w:vAlign w:val="center"/>
          </w:tcPr>
          <w:p w14:paraId="26A7E38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EA9CE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2635F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071FAF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5.40E-05</w:t>
            </w:r>
          </w:p>
        </w:tc>
        <w:tc>
          <w:tcPr>
            <w:tcW w:w="749" w:type="pct"/>
            <w:noWrap/>
            <w:vAlign w:val="center"/>
          </w:tcPr>
          <w:p w14:paraId="2F6BFB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240317</w:t>
            </w:r>
          </w:p>
        </w:tc>
        <w:tc>
          <w:tcPr>
            <w:tcW w:w="588" w:type="pct"/>
            <w:noWrap/>
            <w:vAlign w:val="center"/>
          </w:tcPr>
          <w:p w14:paraId="7D2B18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0.04</w:t>
            </w:r>
          </w:p>
        </w:tc>
        <w:tc>
          <w:tcPr>
            <w:tcW w:w="608" w:type="pct"/>
            <w:noWrap/>
            <w:vAlign w:val="center"/>
          </w:tcPr>
          <w:p w14:paraId="56F617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A7BE5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366" w:type="pct"/>
            <w:vMerge w:val="continue"/>
            <w:noWrap/>
            <w:vAlign w:val="center"/>
          </w:tcPr>
          <w:p w14:paraId="044FB3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22A64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4560D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669EFD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3.85E-06</w:t>
            </w:r>
          </w:p>
        </w:tc>
        <w:tc>
          <w:tcPr>
            <w:tcW w:w="749" w:type="pct"/>
            <w:noWrap/>
            <w:vAlign w:val="center"/>
          </w:tcPr>
          <w:p w14:paraId="76DE33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1508DC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18B033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AAEAC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66" w:type="pct"/>
            <w:vMerge w:val="restart"/>
            <w:noWrap/>
            <w:vAlign w:val="center"/>
          </w:tcPr>
          <w:p w14:paraId="352AE7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50</w:t>
            </w:r>
          </w:p>
        </w:tc>
        <w:tc>
          <w:tcPr>
            <w:tcW w:w="1210" w:type="pct"/>
            <w:vMerge w:val="restart"/>
            <w:noWrap/>
            <w:vAlign w:val="center"/>
          </w:tcPr>
          <w:p w14:paraId="1E7177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前进社区</w:t>
            </w:r>
          </w:p>
        </w:tc>
        <w:tc>
          <w:tcPr>
            <w:tcW w:w="608" w:type="pct"/>
            <w:noWrap/>
            <w:vAlign w:val="center"/>
          </w:tcPr>
          <w:p w14:paraId="0CD004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3834B3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3.28E-04</w:t>
            </w:r>
          </w:p>
        </w:tc>
        <w:tc>
          <w:tcPr>
            <w:tcW w:w="749" w:type="pct"/>
            <w:noWrap/>
            <w:vAlign w:val="center"/>
          </w:tcPr>
          <w:p w14:paraId="5D67AA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24101108</w:t>
            </w:r>
          </w:p>
        </w:tc>
        <w:tc>
          <w:tcPr>
            <w:tcW w:w="588" w:type="pct"/>
            <w:noWrap/>
            <w:vAlign w:val="center"/>
          </w:tcPr>
          <w:p w14:paraId="3FCA79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2910F7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E20D3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366" w:type="pct"/>
            <w:vMerge w:val="continue"/>
            <w:noWrap/>
            <w:vAlign w:val="center"/>
          </w:tcPr>
          <w:p w14:paraId="44D29D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0E947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C72A7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0B02AB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2.62E-05</w:t>
            </w:r>
          </w:p>
        </w:tc>
        <w:tc>
          <w:tcPr>
            <w:tcW w:w="749" w:type="pct"/>
            <w:noWrap/>
            <w:vAlign w:val="center"/>
          </w:tcPr>
          <w:p w14:paraId="62D10E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5517FE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18F654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23104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366" w:type="pct"/>
            <w:vMerge w:val="continue"/>
            <w:noWrap/>
            <w:vAlign w:val="center"/>
          </w:tcPr>
          <w:p w14:paraId="1DD5FC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9824E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F5EED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0A6F6F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1.34E-06</w:t>
            </w:r>
          </w:p>
        </w:tc>
        <w:tc>
          <w:tcPr>
            <w:tcW w:w="749" w:type="pct"/>
            <w:noWrap/>
            <w:vAlign w:val="center"/>
          </w:tcPr>
          <w:p w14:paraId="3885D2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69FCAA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4ABA92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969D8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366" w:type="pct"/>
            <w:vMerge w:val="restart"/>
            <w:noWrap/>
            <w:vAlign w:val="center"/>
          </w:tcPr>
          <w:p w14:paraId="3846F8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51</w:t>
            </w:r>
          </w:p>
        </w:tc>
        <w:tc>
          <w:tcPr>
            <w:tcW w:w="1210" w:type="pct"/>
            <w:vMerge w:val="restart"/>
            <w:noWrap/>
            <w:vAlign w:val="center"/>
          </w:tcPr>
          <w:p w14:paraId="7F7EAB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幸福家园</w:t>
            </w:r>
          </w:p>
        </w:tc>
        <w:tc>
          <w:tcPr>
            <w:tcW w:w="608" w:type="pct"/>
            <w:noWrap/>
            <w:vAlign w:val="center"/>
          </w:tcPr>
          <w:p w14:paraId="6E18BE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67243F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4.69E-04</w:t>
            </w:r>
          </w:p>
        </w:tc>
        <w:tc>
          <w:tcPr>
            <w:tcW w:w="749" w:type="pct"/>
            <w:noWrap/>
            <w:vAlign w:val="center"/>
          </w:tcPr>
          <w:p w14:paraId="4FEDF9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588" w:type="pct"/>
            <w:noWrap/>
            <w:vAlign w:val="center"/>
          </w:tcPr>
          <w:p w14:paraId="7D32E1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0.10</w:t>
            </w:r>
          </w:p>
        </w:tc>
        <w:tc>
          <w:tcPr>
            <w:tcW w:w="608" w:type="pct"/>
            <w:noWrap/>
            <w:vAlign w:val="center"/>
          </w:tcPr>
          <w:p w14:paraId="2F6455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3FDB5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366" w:type="pct"/>
            <w:vMerge w:val="continue"/>
            <w:noWrap/>
            <w:vAlign w:val="center"/>
          </w:tcPr>
          <w:p w14:paraId="4126A9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4A4F9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784AC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4D97E5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5.57E-05</w:t>
            </w:r>
          </w:p>
        </w:tc>
        <w:tc>
          <w:tcPr>
            <w:tcW w:w="749" w:type="pct"/>
            <w:noWrap/>
            <w:vAlign w:val="center"/>
          </w:tcPr>
          <w:p w14:paraId="03E67C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241122</w:t>
            </w:r>
          </w:p>
        </w:tc>
        <w:tc>
          <w:tcPr>
            <w:tcW w:w="588" w:type="pct"/>
            <w:noWrap/>
            <w:vAlign w:val="center"/>
          </w:tcPr>
          <w:p w14:paraId="796A75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0.04</w:t>
            </w:r>
          </w:p>
        </w:tc>
        <w:tc>
          <w:tcPr>
            <w:tcW w:w="608" w:type="pct"/>
            <w:noWrap/>
            <w:vAlign w:val="center"/>
          </w:tcPr>
          <w:p w14:paraId="0BABDC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B0B62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 w:hRule="atLeast"/>
          <w:jc w:val="center"/>
        </w:trPr>
        <w:tc>
          <w:tcPr>
            <w:tcW w:w="366" w:type="pct"/>
            <w:vMerge w:val="continue"/>
            <w:noWrap/>
            <w:vAlign w:val="center"/>
          </w:tcPr>
          <w:p w14:paraId="3D060E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DA5BF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8648D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236366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5.00E-06</w:t>
            </w:r>
          </w:p>
        </w:tc>
        <w:tc>
          <w:tcPr>
            <w:tcW w:w="749" w:type="pct"/>
            <w:noWrap/>
            <w:vAlign w:val="center"/>
          </w:tcPr>
          <w:p w14:paraId="48CB59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23BA77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4C349E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68791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 w:hRule="atLeast"/>
          <w:jc w:val="center"/>
        </w:trPr>
        <w:tc>
          <w:tcPr>
            <w:tcW w:w="366" w:type="pct"/>
            <w:vMerge w:val="restart"/>
            <w:noWrap/>
            <w:vAlign w:val="center"/>
          </w:tcPr>
          <w:p w14:paraId="73BD0A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52</w:t>
            </w:r>
          </w:p>
        </w:tc>
        <w:tc>
          <w:tcPr>
            <w:tcW w:w="1210" w:type="pct"/>
            <w:vMerge w:val="restart"/>
            <w:noWrap/>
            <w:vAlign w:val="center"/>
          </w:tcPr>
          <w:p w14:paraId="32C532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盛世嘉园</w:t>
            </w:r>
          </w:p>
        </w:tc>
        <w:tc>
          <w:tcPr>
            <w:tcW w:w="608" w:type="pct"/>
            <w:noWrap/>
            <w:vAlign w:val="center"/>
          </w:tcPr>
          <w:p w14:paraId="7AE295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65FF7C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2.15E-04</w:t>
            </w:r>
          </w:p>
        </w:tc>
        <w:tc>
          <w:tcPr>
            <w:tcW w:w="749" w:type="pct"/>
            <w:noWrap/>
            <w:vAlign w:val="center"/>
          </w:tcPr>
          <w:p w14:paraId="01FB38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24031913</w:t>
            </w:r>
          </w:p>
        </w:tc>
        <w:tc>
          <w:tcPr>
            <w:tcW w:w="588" w:type="pct"/>
            <w:noWrap/>
            <w:vAlign w:val="center"/>
          </w:tcPr>
          <w:p w14:paraId="09A2A7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6DBA4E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F7D79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0" w:hRule="atLeast"/>
          <w:jc w:val="center"/>
        </w:trPr>
        <w:tc>
          <w:tcPr>
            <w:tcW w:w="366" w:type="pct"/>
            <w:vMerge w:val="continue"/>
            <w:noWrap/>
            <w:vAlign w:val="center"/>
          </w:tcPr>
          <w:p w14:paraId="4B408B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B0E95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45F88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1B9F7F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2.92E-05</w:t>
            </w:r>
          </w:p>
        </w:tc>
        <w:tc>
          <w:tcPr>
            <w:tcW w:w="749" w:type="pct"/>
            <w:noWrap/>
            <w:vAlign w:val="center"/>
          </w:tcPr>
          <w:p w14:paraId="0FC634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768AC6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098EA0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419F2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366" w:type="pct"/>
            <w:vMerge w:val="continue"/>
            <w:noWrap/>
            <w:vAlign w:val="center"/>
          </w:tcPr>
          <w:p w14:paraId="56F9F2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EAB34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404BA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29309A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5.26E-07</w:t>
            </w:r>
          </w:p>
        </w:tc>
        <w:tc>
          <w:tcPr>
            <w:tcW w:w="749" w:type="pct"/>
            <w:noWrap/>
            <w:vAlign w:val="center"/>
          </w:tcPr>
          <w:p w14:paraId="0CF0FA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6F7BB4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083419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303D9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366" w:type="pct"/>
            <w:vMerge w:val="restart"/>
            <w:noWrap/>
            <w:vAlign w:val="center"/>
          </w:tcPr>
          <w:p w14:paraId="3D15B1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53</w:t>
            </w:r>
          </w:p>
        </w:tc>
        <w:tc>
          <w:tcPr>
            <w:tcW w:w="1210" w:type="pct"/>
            <w:vMerge w:val="restart"/>
            <w:noWrap/>
            <w:vAlign w:val="center"/>
          </w:tcPr>
          <w:p w14:paraId="685FEC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兄弟花园</w:t>
            </w:r>
          </w:p>
        </w:tc>
        <w:tc>
          <w:tcPr>
            <w:tcW w:w="608" w:type="pct"/>
            <w:noWrap/>
            <w:vAlign w:val="center"/>
          </w:tcPr>
          <w:p w14:paraId="37F1E8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D203D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1.79E-04</w:t>
            </w:r>
          </w:p>
        </w:tc>
        <w:tc>
          <w:tcPr>
            <w:tcW w:w="749" w:type="pct"/>
            <w:noWrap/>
            <w:vAlign w:val="center"/>
          </w:tcPr>
          <w:p w14:paraId="572CB8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777578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0.04</w:t>
            </w:r>
          </w:p>
        </w:tc>
        <w:tc>
          <w:tcPr>
            <w:tcW w:w="608" w:type="pct"/>
            <w:noWrap/>
            <w:vAlign w:val="center"/>
          </w:tcPr>
          <w:p w14:paraId="1547EA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5AB01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366" w:type="pct"/>
            <w:vMerge w:val="continue"/>
            <w:noWrap/>
            <w:vAlign w:val="center"/>
          </w:tcPr>
          <w:p w14:paraId="7FF021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97D60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5F2B5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7A0F5C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2.36E-05</w:t>
            </w:r>
          </w:p>
        </w:tc>
        <w:tc>
          <w:tcPr>
            <w:tcW w:w="749" w:type="pct"/>
            <w:noWrap/>
            <w:vAlign w:val="center"/>
          </w:tcPr>
          <w:p w14:paraId="14C676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7F1E4A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564924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DA4D9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366" w:type="pct"/>
            <w:vMerge w:val="continue"/>
            <w:noWrap/>
            <w:vAlign w:val="center"/>
          </w:tcPr>
          <w:p w14:paraId="21E82D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25DD6E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280676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318B59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3.75E-07</w:t>
            </w:r>
          </w:p>
        </w:tc>
        <w:tc>
          <w:tcPr>
            <w:tcW w:w="749" w:type="pct"/>
            <w:noWrap/>
            <w:vAlign w:val="center"/>
          </w:tcPr>
          <w:p w14:paraId="3B14CC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3289CB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25F6E4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CAE07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366" w:type="pct"/>
            <w:vMerge w:val="restart"/>
            <w:noWrap/>
            <w:vAlign w:val="center"/>
          </w:tcPr>
          <w:p w14:paraId="0A8AB4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54</w:t>
            </w:r>
          </w:p>
        </w:tc>
        <w:tc>
          <w:tcPr>
            <w:tcW w:w="1210" w:type="pct"/>
            <w:vMerge w:val="restart"/>
            <w:noWrap/>
            <w:vAlign w:val="center"/>
          </w:tcPr>
          <w:p w14:paraId="76DCA9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同福嘉园</w:t>
            </w:r>
          </w:p>
        </w:tc>
        <w:tc>
          <w:tcPr>
            <w:tcW w:w="608" w:type="pct"/>
            <w:noWrap/>
            <w:vAlign w:val="center"/>
          </w:tcPr>
          <w:p w14:paraId="109289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FD8AA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2.23E-04</w:t>
            </w:r>
          </w:p>
        </w:tc>
        <w:tc>
          <w:tcPr>
            <w:tcW w:w="749" w:type="pct"/>
            <w:noWrap/>
            <w:vAlign w:val="center"/>
          </w:tcPr>
          <w:p w14:paraId="72D994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722BA7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2999C4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63433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366" w:type="pct"/>
            <w:vMerge w:val="continue"/>
            <w:noWrap/>
            <w:vAlign w:val="center"/>
          </w:tcPr>
          <w:p w14:paraId="545370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42F5B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6B685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5B114B8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2.17E-05</w:t>
            </w:r>
          </w:p>
        </w:tc>
        <w:tc>
          <w:tcPr>
            <w:tcW w:w="749" w:type="pct"/>
            <w:noWrap/>
            <w:vAlign w:val="center"/>
          </w:tcPr>
          <w:p w14:paraId="413EED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5F1F8E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7A3E3F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9DFA1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366" w:type="pct"/>
            <w:vMerge w:val="continue"/>
            <w:noWrap/>
            <w:vAlign w:val="center"/>
          </w:tcPr>
          <w:p w14:paraId="4A5557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CD94D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80A6B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774646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3.54E-07</w:t>
            </w:r>
          </w:p>
        </w:tc>
        <w:tc>
          <w:tcPr>
            <w:tcW w:w="749" w:type="pct"/>
            <w:noWrap/>
            <w:vAlign w:val="center"/>
          </w:tcPr>
          <w:p w14:paraId="5E702F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6AED2A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22E63E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FBEC3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366" w:type="pct"/>
            <w:vMerge w:val="restart"/>
            <w:noWrap/>
            <w:vAlign w:val="center"/>
          </w:tcPr>
          <w:p w14:paraId="6A08D6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55</w:t>
            </w:r>
          </w:p>
        </w:tc>
        <w:tc>
          <w:tcPr>
            <w:tcW w:w="1210" w:type="pct"/>
            <w:vMerge w:val="restart"/>
            <w:noWrap/>
            <w:vAlign w:val="center"/>
          </w:tcPr>
          <w:p w14:paraId="32C2E9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富邦名苑</w:t>
            </w:r>
          </w:p>
        </w:tc>
        <w:tc>
          <w:tcPr>
            <w:tcW w:w="608" w:type="pct"/>
            <w:noWrap/>
            <w:vAlign w:val="center"/>
          </w:tcPr>
          <w:p w14:paraId="546D98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17E889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2.27E-04</w:t>
            </w:r>
          </w:p>
        </w:tc>
        <w:tc>
          <w:tcPr>
            <w:tcW w:w="749" w:type="pct"/>
            <w:noWrap/>
            <w:vAlign w:val="center"/>
          </w:tcPr>
          <w:p w14:paraId="447036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24031916</w:t>
            </w:r>
          </w:p>
        </w:tc>
        <w:tc>
          <w:tcPr>
            <w:tcW w:w="588" w:type="pct"/>
            <w:noWrap/>
            <w:vAlign w:val="center"/>
          </w:tcPr>
          <w:p w14:paraId="4EFA2E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28C9B3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D010A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366" w:type="pct"/>
            <w:vMerge w:val="continue"/>
            <w:noWrap/>
            <w:vAlign w:val="center"/>
          </w:tcPr>
          <w:p w14:paraId="3E66B1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C5508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51750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285323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1.53E-05</w:t>
            </w:r>
          </w:p>
        </w:tc>
        <w:tc>
          <w:tcPr>
            <w:tcW w:w="749" w:type="pct"/>
            <w:noWrap/>
            <w:vAlign w:val="center"/>
          </w:tcPr>
          <w:p w14:paraId="6E4255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w:t>
            </w:r>
          </w:p>
        </w:tc>
        <w:tc>
          <w:tcPr>
            <w:tcW w:w="588" w:type="pct"/>
            <w:noWrap/>
            <w:vAlign w:val="center"/>
          </w:tcPr>
          <w:p w14:paraId="086F5E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53DEBB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F3145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jc w:val="center"/>
        </w:trPr>
        <w:tc>
          <w:tcPr>
            <w:tcW w:w="366" w:type="pct"/>
            <w:vMerge w:val="continue"/>
            <w:noWrap/>
            <w:vAlign w:val="center"/>
          </w:tcPr>
          <w:p w14:paraId="665901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67E29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977C9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456298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2.72E-07</w:t>
            </w:r>
          </w:p>
        </w:tc>
        <w:tc>
          <w:tcPr>
            <w:tcW w:w="749" w:type="pct"/>
            <w:noWrap/>
            <w:vAlign w:val="center"/>
          </w:tcPr>
          <w:p w14:paraId="0E469B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2DF3ED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79587F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F3045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366" w:type="pct"/>
            <w:vMerge w:val="restart"/>
            <w:noWrap/>
            <w:vAlign w:val="center"/>
          </w:tcPr>
          <w:p w14:paraId="67ABB8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56</w:t>
            </w:r>
          </w:p>
        </w:tc>
        <w:tc>
          <w:tcPr>
            <w:tcW w:w="1210" w:type="pct"/>
            <w:vMerge w:val="restart"/>
            <w:noWrap/>
            <w:vAlign w:val="center"/>
          </w:tcPr>
          <w:p w14:paraId="06A9C9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龙海世纪大酒店</w:t>
            </w:r>
          </w:p>
        </w:tc>
        <w:tc>
          <w:tcPr>
            <w:tcW w:w="608" w:type="pct"/>
            <w:noWrap/>
            <w:vAlign w:val="center"/>
          </w:tcPr>
          <w:p w14:paraId="5BEECC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69123A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3.61E-04</w:t>
            </w:r>
          </w:p>
        </w:tc>
        <w:tc>
          <w:tcPr>
            <w:tcW w:w="749" w:type="pct"/>
            <w:noWrap/>
            <w:vAlign w:val="center"/>
          </w:tcPr>
          <w:p w14:paraId="0BE759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24061219</w:t>
            </w:r>
          </w:p>
        </w:tc>
        <w:tc>
          <w:tcPr>
            <w:tcW w:w="588" w:type="pct"/>
            <w:noWrap/>
            <w:vAlign w:val="center"/>
          </w:tcPr>
          <w:p w14:paraId="5E4824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00992B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400E6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366" w:type="pct"/>
            <w:vMerge w:val="continue"/>
            <w:noWrap/>
            <w:vAlign w:val="center"/>
          </w:tcPr>
          <w:p w14:paraId="1AF404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4B0F6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EFBB9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383395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1.94E-05</w:t>
            </w:r>
          </w:p>
        </w:tc>
        <w:tc>
          <w:tcPr>
            <w:tcW w:w="749" w:type="pct"/>
            <w:noWrap/>
            <w:vAlign w:val="center"/>
          </w:tcPr>
          <w:p w14:paraId="784661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240507</w:t>
            </w:r>
          </w:p>
        </w:tc>
        <w:tc>
          <w:tcPr>
            <w:tcW w:w="588" w:type="pct"/>
            <w:noWrap/>
            <w:vAlign w:val="center"/>
          </w:tcPr>
          <w:p w14:paraId="608A32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77F01B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E0E32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366" w:type="pct"/>
            <w:vMerge w:val="continue"/>
            <w:noWrap/>
            <w:vAlign w:val="center"/>
          </w:tcPr>
          <w:p w14:paraId="32710C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7DD5C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FECC7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582D1D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7.49E-07</w:t>
            </w:r>
          </w:p>
        </w:tc>
        <w:tc>
          <w:tcPr>
            <w:tcW w:w="749" w:type="pct"/>
            <w:noWrap/>
            <w:vAlign w:val="center"/>
          </w:tcPr>
          <w:p w14:paraId="70BEDD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BE100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4CE8BA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1480E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366" w:type="pct"/>
            <w:vMerge w:val="restart"/>
            <w:noWrap/>
            <w:vAlign w:val="center"/>
          </w:tcPr>
          <w:p w14:paraId="06850C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57</w:t>
            </w:r>
          </w:p>
        </w:tc>
        <w:tc>
          <w:tcPr>
            <w:tcW w:w="1210" w:type="pct"/>
            <w:vMerge w:val="restart"/>
            <w:noWrap/>
            <w:vAlign w:val="center"/>
          </w:tcPr>
          <w:p w14:paraId="52179B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供电小区</w:t>
            </w:r>
          </w:p>
        </w:tc>
        <w:tc>
          <w:tcPr>
            <w:tcW w:w="608" w:type="pct"/>
            <w:noWrap/>
            <w:vAlign w:val="center"/>
          </w:tcPr>
          <w:p w14:paraId="1C52C0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598C18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3.18E-04</w:t>
            </w:r>
          </w:p>
        </w:tc>
        <w:tc>
          <w:tcPr>
            <w:tcW w:w="749" w:type="pct"/>
            <w:noWrap/>
            <w:vAlign w:val="center"/>
          </w:tcPr>
          <w:p w14:paraId="40A442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24110810</w:t>
            </w:r>
          </w:p>
        </w:tc>
        <w:tc>
          <w:tcPr>
            <w:tcW w:w="588" w:type="pct"/>
            <w:noWrap/>
            <w:vAlign w:val="center"/>
          </w:tcPr>
          <w:p w14:paraId="5D4630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4DA480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06981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366" w:type="pct"/>
            <w:vMerge w:val="continue"/>
            <w:noWrap/>
            <w:vAlign w:val="center"/>
          </w:tcPr>
          <w:p w14:paraId="39D3F8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127B2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D444A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4F3CE8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2.71E-05</w:t>
            </w:r>
          </w:p>
        </w:tc>
        <w:tc>
          <w:tcPr>
            <w:tcW w:w="749" w:type="pct"/>
            <w:noWrap/>
            <w:vAlign w:val="center"/>
          </w:tcPr>
          <w:p w14:paraId="7878E5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551AAC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6BD857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A5EFF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366" w:type="pct"/>
            <w:vMerge w:val="continue"/>
            <w:noWrap/>
            <w:vAlign w:val="center"/>
          </w:tcPr>
          <w:p w14:paraId="083624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D514D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80524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7FAA7D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9.51E-07</w:t>
            </w:r>
          </w:p>
        </w:tc>
        <w:tc>
          <w:tcPr>
            <w:tcW w:w="749" w:type="pct"/>
            <w:noWrap/>
            <w:vAlign w:val="center"/>
          </w:tcPr>
          <w:p w14:paraId="04DE1B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7C8068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6E6C06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B76C7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366" w:type="pct"/>
            <w:vMerge w:val="restart"/>
            <w:noWrap/>
            <w:vAlign w:val="center"/>
          </w:tcPr>
          <w:p w14:paraId="463DEC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58</w:t>
            </w:r>
          </w:p>
        </w:tc>
        <w:tc>
          <w:tcPr>
            <w:tcW w:w="1210" w:type="pct"/>
            <w:vMerge w:val="restart"/>
            <w:noWrap/>
            <w:vAlign w:val="center"/>
          </w:tcPr>
          <w:p w14:paraId="6272F1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九鹤堂医院</w:t>
            </w:r>
          </w:p>
        </w:tc>
        <w:tc>
          <w:tcPr>
            <w:tcW w:w="608" w:type="pct"/>
            <w:noWrap/>
            <w:vAlign w:val="center"/>
          </w:tcPr>
          <w:p w14:paraId="3C2340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760A42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3.32E-04</w:t>
            </w:r>
          </w:p>
        </w:tc>
        <w:tc>
          <w:tcPr>
            <w:tcW w:w="749" w:type="pct"/>
            <w:noWrap/>
            <w:vAlign w:val="center"/>
          </w:tcPr>
          <w:p w14:paraId="672D42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24110810</w:t>
            </w:r>
          </w:p>
        </w:tc>
        <w:tc>
          <w:tcPr>
            <w:tcW w:w="588" w:type="pct"/>
            <w:noWrap/>
            <w:vAlign w:val="center"/>
          </w:tcPr>
          <w:p w14:paraId="5BD261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1BA8FD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66055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366" w:type="pct"/>
            <w:vMerge w:val="continue"/>
            <w:noWrap/>
            <w:vAlign w:val="center"/>
          </w:tcPr>
          <w:p w14:paraId="7EDDEA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FE819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327564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5A4F598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4.84E-05</w:t>
            </w:r>
          </w:p>
        </w:tc>
        <w:tc>
          <w:tcPr>
            <w:tcW w:w="749" w:type="pct"/>
            <w:noWrap/>
            <w:vAlign w:val="center"/>
          </w:tcPr>
          <w:p w14:paraId="0688C2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1B2671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574AD9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78EE8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366" w:type="pct"/>
            <w:vMerge w:val="continue"/>
            <w:noWrap/>
            <w:vAlign w:val="center"/>
          </w:tcPr>
          <w:p w14:paraId="10342C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7312F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4648F6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4EE5D4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2.54E-06</w:t>
            </w:r>
          </w:p>
        </w:tc>
        <w:tc>
          <w:tcPr>
            <w:tcW w:w="749" w:type="pct"/>
            <w:noWrap/>
            <w:vAlign w:val="center"/>
          </w:tcPr>
          <w:p w14:paraId="28C398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BE5E0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47C38E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2E48E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366" w:type="pct"/>
            <w:vMerge w:val="restart"/>
            <w:noWrap/>
            <w:vAlign w:val="center"/>
          </w:tcPr>
          <w:p w14:paraId="5EB5C3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59</w:t>
            </w:r>
          </w:p>
        </w:tc>
        <w:tc>
          <w:tcPr>
            <w:tcW w:w="1210" w:type="pct"/>
            <w:vMerge w:val="restart"/>
            <w:noWrap/>
            <w:vAlign w:val="center"/>
          </w:tcPr>
          <w:p w14:paraId="27F0B2C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颐民敬老院卫生所</w:t>
            </w:r>
          </w:p>
        </w:tc>
        <w:tc>
          <w:tcPr>
            <w:tcW w:w="608" w:type="pct"/>
            <w:noWrap/>
            <w:vAlign w:val="center"/>
          </w:tcPr>
          <w:p w14:paraId="1604FD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58C1B4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7.20E-04</w:t>
            </w:r>
          </w:p>
        </w:tc>
        <w:tc>
          <w:tcPr>
            <w:tcW w:w="749" w:type="pct"/>
            <w:noWrap/>
            <w:vAlign w:val="center"/>
          </w:tcPr>
          <w:p w14:paraId="393487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24050506</w:t>
            </w:r>
          </w:p>
        </w:tc>
        <w:tc>
          <w:tcPr>
            <w:tcW w:w="588" w:type="pct"/>
            <w:noWrap/>
            <w:vAlign w:val="center"/>
          </w:tcPr>
          <w:p w14:paraId="5B708F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0.16</w:t>
            </w:r>
          </w:p>
        </w:tc>
        <w:tc>
          <w:tcPr>
            <w:tcW w:w="608" w:type="pct"/>
            <w:noWrap/>
            <w:vAlign w:val="center"/>
          </w:tcPr>
          <w:p w14:paraId="5B8312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90916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366" w:type="pct"/>
            <w:vMerge w:val="continue"/>
            <w:noWrap/>
            <w:vAlign w:val="center"/>
          </w:tcPr>
          <w:p w14:paraId="21CAC2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5CCC1D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162EE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117301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6.33E-05</w:t>
            </w:r>
          </w:p>
        </w:tc>
        <w:tc>
          <w:tcPr>
            <w:tcW w:w="749" w:type="pct"/>
            <w:noWrap/>
            <w:vAlign w:val="center"/>
          </w:tcPr>
          <w:p w14:paraId="64C561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240507</w:t>
            </w:r>
          </w:p>
        </w:tc>
        <w:tc>
          <w:tcPr>
            <w:tcW w:w="588" w:type="pct"/>
            <w:noWrap/>
            <w:vAlign w:val="center"/>
          </w:tcPr>
          <w:p w14:paraId="57C49C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0.04</w:t>
            </w:r>
          </w:p>
        </w:tc>
        <w:tc>
          <w:tcPr>
            <w:tcW w:w="608" w:type="pct"/>
            <w:noWrap/>
            <w:vAlign w:val="center"/>
          </w:tcPr>
          <w:p w14:paraId="71B29D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604D5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366" w:type="pct"/>
            <w:vMerge w:val="continue"/>
            <w:noWrap/>
            <w:vAlign w:val="center"/>
          </w:tcPr>
          <w:p w14:paraId="648DE7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6AA2E1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6F3F1C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4F56B4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3.81E-06</w:t>
            </w:r>
          </w:p>
        </w:tc>
        <w:tc>
          <w:tcPr>
            <w:tcW w:w="749" w:type="pct"/>
            <w:noWrap/>
            <w:vAlign w:val="center"/>
          </w:tcPr>
          <w:p w14:paraId="46157B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F67AA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171E93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A180B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366" w:type="pct"/>
            <w:vMerge w:val="restart"/>
            <w:noWrap/>
            <w:vAlign w:val="center"/>
          </w:tcPr>
          <w:p w14:paraId="7D4894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60</w:t>
            </w:r>
          </w:p>
        </w:tc>
        <w:tc>
          <w:tcPr>
            <w:tcW w:w="1210" w:type="pct"/>
            <w:vMerge w:val="restart"/>
            <w:noWrap/>
            <w:vAlign w:val="center"/>
          </w:tcPr>
          <w:p w14:paraId="7270E3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绥芬河市中医医院</w:t>
            </w:r>
          </w:p>
        </w:tc>
        <w:tc>
          <w:tcPr>
            <w:tcW w:w="608" w:type="pct"/>
            <w:noWrap/>
            <w:vAlign w:val="center"/>
          </w:tcPr>
          <w:p w14:paraId="3A9940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CA6A3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1.08E-04</w:t>
            </w:r>
          </w:p>
        </w:tc>
        <w:tc>
          <w:tcPr>
            <w:tcW w:w="749" w:type="pct"/>
            <w:noWrap/>
            <w:vAlign w:val="center"/>
          </w:tcPr>
          <w:p w14:paraId="2D1B52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24041107</w:t>
            </w:r>
          </w:p>
        </w:tc>
        <w:tc>
          <w:tcPr>
            <w:tcW w:w="588" w:type="pct"/>
            <w:noWrap/>
            <w:vAlign w:val="center"/>
          </w:tcPr>
          <w:p w14:paraId="289B03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201462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BB066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366" w:type="pct"/>
            <w:vMerge w:val="continue"/>
            <w:noWrap/>
            <w:vAlign w:val="center"/>
          </w:tcPr>
          <w:p w14:paraId="4B50D9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4360D9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5F91A2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3FEB0C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8.37E-06</w:t>
            </w:r>
          </w:p>
        </w:tc>
        <w:tc>
          <w:tcPr>
            <w:tcW w:w="749" w:type="pct"/>
            <w:noWrap/>
            <w:vAlign w:val="center"/>
          </w:tcPr>
          <w:p w14:paraId="554B75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1314B9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0.01</w:t>
            </w:r>
          </w:p>
        </w:tc>
        <w:tc>
          <w:tcPr>
            <w:tcW w:w="608" w:type="pct"/>
            <w:noWrap/>
            <w:vAlign w:val="center"/>
          </w:tcPr>
          <w:p w14:paraId="473BA7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0EFE2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366" w:type="pct"/>
            <w:vMerge w:val="continue"/>
            <w:noWrap/>
            <w:vAlign w:val="center"/>
          </w:tcPr>
          <w:p w14:paraId="03F0DC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F8EF9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C44A2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54327D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2.77E-07</w:t>
            </w:r>
          </w:p>
        </w:tc>
        <w:tc>
          <w:tcPr>
            <w:tcW w:w="749" w:type="pct"/>
            <w:noWrap/>
            <w:vAlign w:val="center"/>
          </w:tcPr>
          <w:p w14:paraId="0ECF33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6B12C2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7F7776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60598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366" w:type="pct"/>
            <w:vMerge w:val="restart"/>
            <w:noWrap/>
            <w:vAlign w:val="center"/>
          </w:tcPr>
          <w:p w14:paraId="0D85CB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w:t>
            </w:r>
          </w:p>
        </w:tc>
        <w:tc>
          <w:tcPr>
            <w:tcW w:w="1210" w:type="pct"/>
            <w:vMerge w:val="restart"/>
            <w:noWrap/>
            <w:vAlign w:val="center"/>
          </w:tcPr>
          <w:p w14:paraId="5472D5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立银医院</w:t>
            </w:r>
          </w:p>
        </w:tc>
        <w:tc>
          <w:tcPr>
            <w:tcW w:w="608" w:type="pct"/>
            <w:noWrap/>
            <w:vAlign w:val="center"/>
          </w:tcPr>
          <w:p w14:paraId="1BF839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0499F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4.69E-04</w:t>
            </w:r>
          </w:p>
        </w:tc>
        <w:tc>
          <w:tcPr>
            <w:tcW w:w="749" w:type="pct"/>
            <w:noWrap/>
            <w:vAlign w:val="center"/>
          </w:tcPr>
          <w:p w14:paraId="1C1531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588" w:type="pct"/>
            <w:noWrap/>
            <w:vAlign w:val="center"/>
          </w:tcPr>
          <w:p w14:paraId="786097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0.10</w:t>
            </w:r>
          </w:p>
        </w:tc>
        <w:tc>
          <w:tcPr>
            <w:tcW w:w="608" w:type="pct"/>
            <w:noWrap/>
            <w:vAlign w:val="center"/>
          </w:tcPr>
          <w:p w14:paraId="19A287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173E2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366" w:type="pct"/>
            <w:vMerge w:val="continue"/>
            <w:noWrap/>
            <w:vAlign w:val="center"/>
          </w:tcPr>
          <w:p w14:paraId="3078A4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24F9E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D4566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5FADEE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3.98E-05</w:t>
            </w:r>
          </w:p>
        </w:tc>
        <w:tc>
          <w:tcPr>
            <w:tcW w:w="749" w:type="pct"/>
            <w:noWrap/>
            <w:vAlign w:val="center"/>
          </w:tcPr>
          <w:p w14:paraId="02ACA1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w:t>
            </w:r>
          </w:p>
        </w:tc>
        <w:tc>
          <w:tcPr>
            <w:tcW w:w="588" w:type="pct"/>
            <w:noWrap/>
            <w:vAlign w:val="center"/>
          </w:tcPr>
          <w:p w14:paraId="5A6789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3B399C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3C397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vMerge w:val="continue"/>
            <w:noWrap/>
            <w:vAlign w:val="center"/>
          </w:tcPr>
          <w:p w14:paraId="66BC33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30AC48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1FA3B8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69A061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3.45E-06</w:t>
            </w:r>
          </w:p>
        </w:tc>
        <w:tc>
          <w:tcPr>
            <w:tcW w:w="749" w:type="pct"/>
            <w:noWrap/>
            <w:vAlign w:val="center"/>
          </w:tcPr>
          <w:p w14:paraId="4B842C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3842CC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025F6C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CC84E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vMerge w:val="restart"/>
            <w:noWrap/>
            <w:vAlign w:val="center"/>
          </w:tcPr>
          <w:p w14:paraId="0AAF61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cs="Times New Roman"/>
                <w:kern w:val="0"/>
                <w:sz w:val="21"/>
                <w:highlight w:val="none"/>
                <w:lang w:val="en-US" w:eastAsia="zh-CN" w:bidi="ar"/>
              </w:rPr>
              <w:t>62</w:t>
            </w:r>
          </w:p>
        </w:tc>
        <w:tc>
          <w:tcPr>
            <w:tcW w:w="1210" w:type="pct"/>
            <w:vMerge w:val="restart"/>
            <w:noWrap/>
            <w:vAlign w:val="center"/>
          </w:tcPr>
          <w:p w14:paraId="047BE4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cs="Times New Roman"/>
                <w:kern w:val="0"/>
                <w:sz w:val="21"/>
                <w:highlight w:val="none"/>
                <w:lang w:val="en-US" w:eastAsia="zh-CN" w:bidi="ar"/>
              </w:rPr>
              <w:t>绥芬河市传染病医院</w:t>
            </w:r>
          </w:p>
        </w:tc>
        <w:tc>
          <w:tcPr>
            <w:tcW w:w="1037" w:type="dxa"/>
            <w:noWrap/>
            <w:vAlign w:val="center"/>
          </w:tcPr>
          <w:p w14:paraId="3D28F4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4F1CB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4.66E-04</w:t>
            </w:r>
          </w:p>
        </w:tc>
        <w:tc>
          <w:tcPr>
            <w:tcW w:w="749" w:type="pct"/>
            <w:noWrap/>
            <w:vAlign w:val="center"/>
          </w:tcPr>
          <w:p w14:paraId="4F0FBF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588" w:type="pct"/>
            <w:noWrap/>
            <w:vAlign w:val="center"/>
          </w:tcPr>
          <w:p w14:paraId="19FD74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0.10</w:t>
            </w:r>
          </w:p>
        </w:tc>
        <w:tc>
          <w:tcPr>
            <w:tcW w:w="608" w:type="pct"/>
            <w:noWrap/>
            <w:vAlign w:val="center"/>
          </w:tcPr>
          <w:p w14:paraId="62672D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2763A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vMerge w:val="continue"/>
            <w:noWrap/>
            <w:vAlign w:val="center"/>
          </w:tcPr>
          <w:p w14:paraId="00EFEA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114C46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37" w:type="dxa"/>
            <w:noWrap/>
            <w:vAlign w:val="center"/>
          </w:tcPr>
          <w:p w14:paraId="6D605D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2684DF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3.96E-05</w:t>
            </w:r>
          </w:p>
        </w:tc>
        <w:tc>
          <w:tcPr>
            <w:tcW w:w="749" w:type="pct"/>
            <w:noWrap/>
            <w:vAlign w:val="center"/>
          </w:tcPr>
          <w:p w14:paraId="239531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w:t>
            </w:r>
          </w:p>
        </w:tc>
        <w:tc>
          <w:tcPr>
            <w:tcW w:w="588" w:type="pct"/>
            <w:noWrap/>
            <w:vAlign w:val="center"/>
          </w:tcPr>
          <w:p w14:paraId="2BE30E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7A41A5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F50EA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vMerge w:val="continue"/>
            <w:noWrap/>
            <w:vAlign w:val="center"/>
          </w:tcPr>
          <w:p w14:paraId="6A1D43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EB014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37" w:type="dxa"/>
            <w:noWrap/>
            <w:vAlign w:val="center"/>
          </w:tcPr>
          <w:p w14:paraId="165961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75DD08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3.31E-06</w:t>
            </w:r>
          </w:p>
        </w:tc>
        <w:tc>
          <w:tcPr>
            <w:tcW w:w="749" w:type="pct"/>
            <w:noWrap/>
            <w:vAlign w:val="center"/>
          </w:tcPr>
          <w:p w14:paraId="604B67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43960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43D5C4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5D9D2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vMerge w:val="restart"/>
            <w:noWrap/>
            <w:vAlign w:val="center"/>
          </w:tcPr>
          <w:p w14:paraId="0B1B9B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w:t>
            </w:r>
            <w:r>
              <w:rPr>
                <w:rFonts w:hint="eastAsia" w:ascii="Times New Roman" w:hAnsi="Times New Roman" w:cs="Times New Roman"/>
                <w:kern w:val="0"/>
                <w:sz w:val="21"/>
                <w:highlight w:val="none"/>
                <w:lang w:val="en-US" w:eastAsia="zh-CN" w:bidi="ar"/>
              </w:rPr>
              <w:t>3</w:t>
            </w:r>
          </w:p>
        </w:tc>
        <w:tc>
          <w:tcPr>
            <w:tcW w:w="1210" w:type="pct"/>
            <w:vMerge w:val="restart"/>
            <w:noWrap/>
            <w:vAlign w:val="center"/>
          </w:tcPr>
          <w:p w14:paraId="34722A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网格</w:t>
            </w:r>
          </w:p>
        </w:tc>
        <w:tc>
          <w:tcPr>
            <w:tcW w:w="608" w:type="pct"/>
            <w:noWrap/>
            <w:vAlign w:val="center"/>
          </w:tcPr>
          <w:p w14:paraId="19D937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09D035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2.50E-04</w:t>
            </w:r>
          </w:p>
        </w:tc>
        <w:tc>
          <w:tcPr>
            <w:tcW w:w="749" w:type="pct"/>
            <w:noWrap/>
            <w:vAlign w:val="center"/>
          </w:tcPr>
          <w:p w14:paraId="2382AD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24050506</w:t>
            </w:r>
          </w:p>
        </w:tc>
        <w:tc>
          <w:tcPr>
            <w:tcW w:w="588" w:type="pct"/>
            <w:noWrap/>
            <w:vAlign w:val="center"/>
          </w:tcPr>
          <w:p w14:paraId="1BF6BB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6EDA82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C3534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vMerge w:val="continue"/>
            <w:noWrap/>
            <w:vAlign w:val="center"/>
          </w:tcPr>
          <w:p w14:paraId="329223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792790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0AD7C4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日平均</w:t>
            </w:r>
          </w:p>
        </w:tc>
        <w:tc>
          <w:tcPr>
            <w:tcW w:w="867" w:type="pct"/>
            <w:noWrap/>
            <w:vAlign w:val="center"/>
          </w:tcPr>
          <w:p w14:paraId="17046D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3.05E-05</w:t>
            </w:r>
          </w:p>
        </w:tc>
        <w:tc>
          <w:tcPr>
            <w:tcW w:w="749" w:type="pct"/>
            <w:noWrap/>
            <w:vAlign w:val="center"/>
          </w:tcPr>
          <w:p w14:paraId="386FF2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241001</w:t>
            </w:r>
          </w:p>
        </w:tc>
        <w:tc>
          <w:tcPr>
            <w:tcW w:w="588" w:type="pct"/>
            <w:noWrap/>
            <w:vAlign w:val="center"/>
          </w:tcPr>
          <w:p w14:paraId="19E0EC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0.02</w:t>
            </w:r>
          </w:p>
        </w:tc>
        <w:tc>
          <w:tcPr>
            <w:tcW w:w="608" w:type="pct"/>
            <w:noWrap/>
            <w:vAlign w:val="center"/>
          </w:tcPr>
          <w:p w14:paraId="6C8B2D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0FA5A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vMerge w:val="continue"/>
            <w:noWrap/>
            <w:vAlign w:val="center"/>
          </w:tcPr>
          <w:p w14:paraId="130A39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p>
        </w:tc>
        <w:tc>
          <w:tcPr>
            <w:tcW w:w="1210" w:type="pct"/>
            <w:vMerge w:val="continue"/>
            <w:noWrap/>
            <w:vAlign w:val="center"/>
          </w:tcPr>
          <w:p w14:paraId="03CB14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608" w:type="pct"/>
            <w:noWrap/>
            <w:vAlign w:val="center"/>
          </w:tcPr>
          <w:p w14:paraId="7B29CF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年平均</w:t>
            </w:r>
          </w:p>
        </w:tc>
        <w:tc>
          <w:tcPr>
            <w:tcW w:w="867" w:type="pct"/>
            <w:noWrap/>
            <w:vAlign w:val="center"/>
          </w:tcPr>
          <w:p w14:paraId="42A634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2.47E-06</w:t>
            </w:r>
          </w:p>
        </w:tc>
        <w:tc>
          <w:tcPr>
            <w:tcW w:w="749" w:type="pct"/>
            <w:noWrap/>
            <w:vAlign w:val="center"/>
          </w:tcPr>
          <w:p w14:paraId="76ADDC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平均值</w:t>
            </w:r>
          </w:p>
        </w:tc>
        <w:tc>
          <w:tcPr>
            <w:tcW w:w="588" w:type="pct"/>
            <w:noWrap/>
            <w:vAlign w:val="center"/>
          </w:tcPr>
          <w:p w14:paraId="5936B5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0.00</w:t>
            </w:r>
          </w:p>
        </w:tc>
        <w:tc>
          <w:tcPr>
            <w:tcW w:w="608" w:type="pct"/>
            <w:noWrap/>
            <w:vAlign w:val="center"/>
          </w:tcPr>
          <w:p w14:paraId="642CDA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bl>
    <w:p w14:paraId="1F23707F">
      <w:pPr>
        <w:ind w:firstLine="480"/>
        <w:rPr>
          <w:rFonts w:ascii="Times New Roman" w:hAnsi="Times New Roman"/>
          <w:color w:val="auto"/>
          <w:highlight w:val="none"/>
        </w:rPr>
      </w:pPr>
      <w:r>
        <w:rPr>
          <w:rFonts w:ascii="Times New Roman" w:hAnsi="Times New Roman"/>
          <w:color w:val="auto"/>
          <w:highlight w:val="none"/>
        </w:rPr>
        <w:t>本项目PM</w:t>
      </w:r>
      <w:r>
        <w:rPr>
          <w:rFonts w:ascii="Times New Roman" w:hAnsi="Times New Roman"/>
          <w:color w:val="auto"/>
          <w:highlight w:val="none"/>
          <w:vertAlign w:val="subscript"/>
        </w:rPr>
        <w:t>10</w:t>
      </w:r>
      <w:r>
        <w:rPr>
          <w:rFonts w:ascii="Times New Roman" w:hAnsi="Times New Roman"/>
          <w:color w:val="auto"/>
          <w:highlight w:val="none"/>
        </w:rPr>
        <w:t>短期贡献浓度占标率≤100%，年均浓度贡献浓度占标率≤30%。</w:t>
      </w:r>
    </w:p>
    <w:p w14:paraId="2B8CD329">
      <w:pPr>
        <w:ind w:firstLine="480"/>
        <w:rPr>
          <w:rFonts w:ascii="Times New Roman" w:hAnsi="Times New Roman"/>
          <w:color w:val="auto"/>
          <w:highlight w:val="none"/>
        </w:rPr>
      </w:pPr>
      <w:r>
        <w:rPr>
          <w:rFonts w:ascii="Times New Roman" w:hAnsi="Times New Roman"/>
          <w:color w:val="auto"/>
          <w:highlight w:val="none"/>
        </w:rPr>
        <w:t>（</w:t>
      </w:r>
      <w:r>
        <w:rPr>
          <w:rFonts w:hint="eastAsia" w:ascii="Times New Roman" w:hAnsi="Times New Roman"/>
          <w:color w:val="auto"/>
          <w:highlight w:val="none"/>
          <w:lang w:val="en-US" w:eastAsia="zh-CN"/>
        </w:rPr>
        <w:t>4</w:t>
      </w:r>
      <w:r>
        <w:rPr>
          <w:rFonts w:ascii="Times New Roman" w:hAnsi="Times New Roman"/>
          <w:color w:val="auto"/>
          <w:highlight w:val="none"/>
        </w:rPr>
        <w:t>）本项目氨气贡献浓度预测结果分析</w:t>
      </w:r>
    </w:p>
    <w:p w14:paraId="6CF71328">
      <w:pPr>
        <w:ind w:firstLine="480"/>
        <w:rPr>
          <w:rFonts w:ascii="Times New Roman" w:hAnsi="Times New Roman"/>
          <w:color w:val="auto"/>
          <w:highlight w:val="none"/>
        </w:rPr>
      </w:pPr>
      <w:r>
        <w:rPr>
          <w:rFonts w:ascii="Times New Roman" w:hAnsi="Times New Roman"/>
          <w:color w:val="auto"/>
          <w:highlight w:val="none"/>
        </w:rPr>
        <w:t>本项目氨气对环境空气敏感点及区域最大浓度点短期贡献浓度值及占标率见表5.2-</w:t>
      </w:r>
      <w:r>
        <w:rPr>
          <w:rFonts w:hint="eastAsia" w:ascii="Times New Roman" w:hAnsi="Times New Roman"/>
          <w:color w:val="auto"/>
          <w:highlight w:val="none"/>
        </w:rPr>
        <w:t>1</w:t>
      </w:r>
      <w:r>
        <w:rPr>
          <w:rFonts w:hint="eastAsia" w:ascii="Times New Roman" w:hAnsi="Times New Roman"/>
          <w:color w:val="auto"/>
          <w:highlight w:val="none"/>
          <w:lang w:val="en-US" w:eastAsia="zh-CN"/>
        </w:rPr>
        <w:t>5</w:t>
      </w:r>
      <w:r>
        <w:rPr>
          <w:rFonts w:ascii="Times New Roman" w:hAnsi="Times New Roman"/>
          <w:color w:val="auto"/>
          <w:highlight w:val="none"/>
        </w:rPr>
        <w:t>。</w:t>
      </w:r>
    </w:p>
    <w:p w14:paraId="0CAB187F">
      <w:pPr>
        <w:ind w:firstLine="0" w:firstLineChars="0"/>
        <w:jc w:val="center"/>
        <w:rPr>
          <w:rFonts w:ascii="Times New Roman" w:hAnsi="Times New Roman"/>
          <w:color w:val="auto"/>
          <w:highlight w:val="none"/>
        </w:rPr>
      </w:pPr>
      <w:r>
        <w:rPr>
          <w:rFonts w:hint="eastAsia" w:ascii="黑体" w:hAnsi="黑体" w:eastAsia="黑体" w:cs="黑体"/>
          <w:color w:val="auto"/>
          <w:highlight w:val="none"/>
        </w:rPr>
        <w:t>表</w:t>
      </w:r>
      <w:r>
        <w:rPr>
          <w:rFonts w:ascii="Times New Roman" w:hAnsi="Times New Roman"/>
          <w:color w:val="auto"/>
          <w:highlight w:val="none"/>
        </w:rPr>
        <w:t>5</w:t>
      </w:r>
      <w:r>
        <w:rPr>
          <w:rFonts w:hint="eastAsia" w:ascii="Times New Roman" w:hAnsi="Times New Roman"/>
          <w:color w:val="auto"/>
          <w:highlight w:val="none"/>
          <w:lang w:val="en-US" w:eastAsia="zh-CN"/>
        </w:rPr>
        <w:t>.</w:t>
      </w:r>
      <w:r>
        <w:rPr>
          <w:rFonts w:ascii="Times New Roman" w:hAnsi="Times New Roman"/>
          <w:color w:val="auto"/>
          <w:highlight w:val="none"/>
        </w:rPr>
        <w:t>2-</w:t>
      </w:r>
      <w:r>
        <w:rPr>
          <w:rFonts w:hint="eastAsia" w:ascii="Times New Roman" w:hAnsi="Times New Roman"/>
          <w:color w:val="auto"/>
          <w:highlight w:val="none"/>
        </w:rPr>
        <w:t>1</w:t>
      </w:r>
      <w:r>
        <w:rPr>
          <w:rFonts w:hint="eastAsia" w:ascii="Times New Roman" w:hAnsi="Times New Roman"/>
          <w:color w:val="auto"/>
          <w:highlight w:val="none"/>
          <w:lang w:val="en-US" w:eastAsia="zh-CN"/>
        </w:rPr>
        <w:t>5</w:t>
      </w:r>
      <w:r>
        <w:rPr>
          <w:rFonts w:hint="eastAsia" w:ascii="黑体" w:hAnsi="黑体" w:eastAsia="黑体" w:cs="黑体"/>
          <w:color w:val="auto"/>
          <w:highlight w:val="none"/>
        </w:rPr>
        <w:t>本项目氨气贡献值预测结果</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5"/>
        <w:gridCol w:w="2064"/>
        <w:gridCol w:w="1037"/>
        <w:gridCol w:w="1478"/>
        <w:gridCol w:w="1278"/>
        <w:gridCol w:w="1003"/>
        <w:gridCol w:w="1037"/>
      </w:tblGrid>
      <w:tr w14:paraId="7D5AF0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noWrap/>
            <w:vAlign w:val="center"/>
          </w:tcPr>
          <w:p w14:paraId="4440A7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序号</w:t>
            </w:r>
          </w:p>
        </w:tc>
        <w:tc>
          <w:tcPr>
            <w:tcW w:w="1210" w:type="pct"/>
            <w:noWrap/>
            <w:vAlign w:val="center"/>
          </w:tcPr>
          <w:p w14:paraId="085817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点名称</w:t>
            </w:r>
          </w:p>
        </w:tc>
        <w:tc>
          <w:tcPr>
            <w:tcW w:w="608" w:type="pct"/>
            <w:noWrap/>
            <w:vAlign w:val="center"/>
          </w:tcPr>
          <w:p w14:paraId="72FAA5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浓度类型</w:t>
            </w:r>
          </w:p>
        </w:tc>
        <w:tc>
          <w:tcPr>
            <w:tcW w:w="867" w:type="pct"/>
            <w:noWrap/>
            <w:vAlign w:val="center"/>
          </w:tcPr>
          <w:p w14:paraId="08CC97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浓度增量(mg/m3)</w:t>
            </w:r>
          </w:p>
        </w:tc>
        <w:tc>
          <w:tcPr>
            <w:tcW w:w="749" w:type="pct"/>
            <w:noWrap/>
            <w:vAlign w:val="center"/>
          </w:tcPr>
          <w:p w14:paraId="736405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出现时间</w:t>
            </w:r>
          </w:p>
        </w:tc>
        <w:tc>
          <w:tcPr>
            <w:tcW w:w="588" w:type="pct"/>
            <w:noWrap/>
            <w:vAlign w:val="center"/>
          </w:tcPr>
          <w:p w14:paraId="0E616D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占标率%</w:t>
            </w:r>
          </w:p>
        </w:tc>
        <w:tc>
          <w:tcPr>
            <w:tcW w:w="608" w:type="pct"/>
            <w:noWrap/>
            <w:vAlign w:val="center"/>
          </w:tcPr>
          <w:p w14:paraId="799603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是否超标</w:t>
            </w:r>
          </w:p>
        </w:tc>
      </w:tr>
      <w:tr w14:paraId="4E14A0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noWrap/>
            <w:vAlign w:val="center"/>
          </w:tcPr>
          <w:p w14:paraId="18CCE0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w:t>
            </w:r>
          </w:p>
        </w:tc>
        <w:tc>
          <w:tcPr>
            <w:tcW w:w="1210" w:type="pct"/>
            <w:noWrap/>
            <w:vAlign w:val="center"/>
          </w:tcPr>
          <w:p w14:paraId="19D229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bidi="ar"/>
              </w:rPr>
            </w:pPr>
            <w:r>
              <w:rPr>
                <w:rFonts w:hint="eastAsia" w:ascii="Times New Roman" w:hAnsi="Times New Roman" w:eastAsia="宋体" w:cs="Times New Roman"/>
                <w:kern w:val="0"/>
                <w:sz w:val="21"/>
                <w:highlight w:val="none"/>
                <w:lang w:val="en-US" w:eastAsia="zh-CN" w:bidi="ar"/>
              </w:rPr>
              <w:t>绥芬河市政府</w:t>
            </w:r>
          </w:p>
        </w:tc>
        <w:tc>
          <w:tcPr>
            <w:tcW w:w="608" w:type="pct"/>
            <w:noWrap/>
            <w:vAlign w:val="center"/>
          </w:tcPr>
          <w:p w14:paraId="47A4B1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35D598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2.55E-04</w:t>
            </w:r>
          </w:p>
        </w:tc>
        <w:tc>
          <w:tcPr>
            <w:tcW w:w="749" w:type="pct"/>
            <w:noWrap/>
            <w:vAlign w:val="center"/>
          </w:tcPr>
          <w:p w14:paraId="0D893E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24041512</w:t>
            </w:r>
          </w:p>
        </w:tc>
        <w:tc>
          <w:tcPr>
            <w:tcW w:w="588" w:type="pct"/>
            <w:noWrap/>
            <w:vAlign w:val="center"/>
          </w:tcPr>
          <w:p w14:paraId="4497B2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0.13</w:t>
            </w:r>
          </w:p>
        </w:tc>
        <w:tc>
          <w:tcPr>
            <w:tcW w:w="608" w:type="pct"/>
            <w:noWrap/>
            <w:vAlign w:val="center"/>
          </w:tcPr>
          <w:p w14:paraId="7E66D5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C9E72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noWrap/>
            <w:vAlign w:val="center"/>
          </w:tcPr>
          <w:p w14:paraId="22016E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2</w:t>
            </w:r>
          </w:p>
        </w:tc>
        <w:tc>
          <w:tcPr>
            <w:tcW w:w="1210" w:type="pct"/>
            <w:noWrap/>
            <w:vAlign w:val="center"/>
          </w:tcPr>
          <w:p w14:paraId="3B1469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绥芬河市人大</w:t>
            </w:r>
          </w:p>
        </w:tc>
        <w:tc>
          <w:tcPr>
            <w:tcW w:w="608" w:type="pct"/>
            <w:noWrap/>
            <w:vAlign w:val="center"/>
          </w:tcPr>
          <w:p w14:paraId="35D205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CEB88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1.67E-04</w:t>
            </w:r>
          </w:p>
        </w:tc>
        <w:tc>
          <w:tcPr>
            <w:tcW w:w="749" w:type="pct"/>
            <w:noWrap/>
            <w:vAlign w:val="center"/>
          </w:tcPr>
          <w:p w14:paraId="1A9A7D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24041609</w:t>
            </w:r>
          </w:p>
        </w:tc>
        <w:tc>
          <w:tcPr>
            <w:tcW w:w="588" w:type="pct"/>
            <w:noWrap/>
            <w:vAlign w:val="center"/>
          </w:tcPr>
          <w:p w14:paraId="3604F4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267146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5FC02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noWrap/>
            <w:vAlign w:val="center"/>
          </w:tcPr>
          <w:p w14:paraId="0A9E06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3</w:t>
            </w:r>
          </w:p>
        </w:tc>
        <w:tc>
          <w:tcPr>
            <w:tcW w:w="1210" w:type="pct"/>
            <w:noWrap/>
            <w:vAlign w:val="center"/>
          </w:tcPr>
          <w:p w14:paraId="534FD0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绥芬河市应急资源局</w:t>
            </w:r>
          </w:p>
        </w:tc>
        <w:tc>
          <w:tcPr>
            <w:tcW w:w="608" w:type="pct"/>
            <w:noWrap/>
            <w:vAlign w:val="center"/>
          </w:tcPr>
          <w:p w14:paraId="048521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D58CB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2.67E-04</w:t>
            </w:r>
          </w:p>
        </w:tc>
        <w:tc>
          <w:tcPr>
            <w:tcW w:w="749" w:type="pct"/>
            <w:noWrap/>
            <w:vAlign w:val="center"/>
          </w:tcPr>
          <w:p w14:paraId="33FA2C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24042314</w:t>
            </w:r>
          </w:p>
        </w:tc>
        <w:tc>
          <w:tcPr>
            <w:tcW w:w="588" w:type="pct"/>
            <w:noWrap/>
            <w:vAlign w:val="center"/>
          </w:tcPr>
          <w:p w14:paraId="63D323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0.13</w:t>
            </w:r>
          </w:p>
        </w:tc>
        <w:tc>
          <w:tcPr>
            <w:tcW w:w="608" w:type="pct"/>
            <w:noWrap/>
            <w:vAlign w:val="center"/>
          </w:tcPr>
          <w:p w14:paraId="08CAAE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53BC7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noWrap/>
            <w:vAlign w:val="center"/>
          </w:tcPr>
          <w:p w14:paraId="495A3A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4</w:t>
            </w:r>
          </w:p>
        </w:tc>
        <w:tc>
          <w:tcPr>
            <w:tcW w:w="1210" w:type="pct"/>
            <w:shd w:val="clear" w:color="auto" w:fill="auto"/>
            <w:noWrap/>
            <w:vAlign w:val="center"/>
          </w:tcPr>
          <w:p w14:paraId="251D8F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绥芬河市住房公积金中心</w:t>
            </w:r>
          </w:p>
        </w:tc>
        <w:tc>
          <w:tcPr>
            <w:tcW w:w="608" w:type="pct"/>
            <w:noWrap/>
            <w:vAlign w:val="center"/>
          </w:tcPr>
          <w:p w14:paraId="1075B58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7678E3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2.25E-04</w:t>
            </w:r>
          </w:p>
        </w:tc>
        <w:tc>
          <w:tcPr>
            <w:tcW w:w="749" w:type="pct"/>
            <w:noWrap/>
            <w:vAlign w:val="center"/>
          </w:tcPr>
          <w:p w14:paraId="47584D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24031913</w:t>
            </w:r>
          </w:p>
        </w:tc>
        <w:tc>
          <w:tcPr>
            <w:tcW w:w="588" w:type="pct"/>
            <w:noWrap/>
            <w:vAlign w:val="center"/>
          </w:tcPr>
          <w:p w14:paraId="65D8DF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0.11</w:t>
            </w:r>
          </w:p>
        </w:tc>
        <w:tc>
          <w:tcPr>
            <w:tcW w:w="608" w:type="pct"/>
            <w:noWrap/>
            <w:vAlign w:val="center"/>
          </w:tcPr>
          <w:p w14:paraId="43AE99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E075A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noWrap/>
            <w:vAlign w:val="center"/>
          </w:tcPr>
          <w:p w14:paraId="19D2F7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5</w:t>
            </w:r>
          </w:p>
        </w:tc>
        <w:tc>
          <w:tcPr>
            <w:tcW w:w="1210" w:type="pct"/>
            <w:noWrap/>
            <w:vAlign w:val="center"/>
          </w:tcPr>
          <w:p w14:paraId="001367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绥芬河市房屋征收办公室</w:t>
            </w:r>
          </w:p>
        </w:tc>
        <w:tc>
          <w:tcPr>
            <w:tcW w:w="608" w:type="pct"/>
            <w:noWrap/>
            <w:vAlign w:val="center"/>
          </w:tcPr>
          <w:p w14:paraId="3A6300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2F741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2.42E-04</w:t>
            </w:r>
          </w:p>
        </w:tc>
        <w:tc>
          <w:tcPr>
            <w:tcW w:w="749" w:type="pct"/>
            <w:noWrap/>
            <w:vAlign w:val="center"/>
          </w:tcPr>
          <w:p w14:paraId="0C248E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24042212</w:t>
            </w:r>
          </w:p>
        </w:tc>
        <w:tc>
          <w:tcPr>
            <w:tcW w:w="588" w:type="pct"/>
            <w:noWrap/>
            <w:vAlign w:val="center"/>
          </w:tcPr>
          <w:p w14:paraId="7FCFC3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0.12</w:t>
            </w:r>
          </w:p>
        </w:tc>
        <w:tc>
          <w:tcPr>
            <w:tcW w:w="608" w:type="pct"/>
            <w:noWrap/>
            <w:vAlign w:val="center"/>
          </w:tcPr>
          <w:p w14:paraId="50C802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0FB01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noWrap/>
            <w:vAlign w:val="center"/>
          </w:tcPr>
          <w:p w14:paraId="557C26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6</w:t>
            </w:r>
          </w:p>
        </w:tc>
        <w:tc>
          <w:tcPr>
            <w:tcW w:w="1210" w:type="pct"/>
            <w:noWrap/>
            <w:vAlign w:val="center"/>
          </w:tcPr>
          <w:p w14:paraId="4998A5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绥芬河镇人民政府</w:t>
            </w:r>
          </w:p>
        </w:tc>
        <w:tc>
          <w:tcPr>
            <w:tcW w:w="608" w:type="pct"/>
            <w:noWrap/>
            <w:vAlign w:val="center"/>
          </w:tcPr>
          <w:p w14:paraId="0FCC1F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1小时</w:t>
            </w:r>
          </w:p>
        </w:tc>
        <w:tc>
          <w:tcPr>
            <w:tcW w:w="867" w:type="pct"/>
            <w:noWrap/>
            <w:vAlign w:val="center"/>
          </w:tcPr>
          <w:p w14:paraId="486D84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1.66E-04</w:t>
            </w:r>
          </w:p>
        </w:tc>
        <w:tc>
          <w:tcPr>
            <w:tcW w:w="749" w:type="pct"/>
            <w:noWrap/>
            <w:vAlign w:val="center"/>
          </w:tcPr>
          <w:p w14:paraId="00E32B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24031916</w:t>
            </w:r>
          </w:p>
        </w:tc>
        <w:tc>
          <w:tcPr>
            <w:tcW w:w="588" w:type="pct"/>
            <w:noWrap/>
            <w:vAlign w:val="center"/>
          </w:tcPr>
          <w:p w14:paraId="1A7887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2364BB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达标</w:t>
            </w:r>
          </w:p>
        </w:tc>
      </w:tr>
      <w:tr w14:paraId="75904C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noWrap/>
            <w:vAlign w:val="center"/>
          </w:tcPr>
          <w:p w14:paraId="5FBFDA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w:t>
            </w:r>
          </w:p>
        </w:tc>
        <w:tc>
          <w:tcPr>
            <w:tcW w:w="1210" w:type="pct"/>
            <w:noWrap/>
            <w:vAlign w:val="center"/>
          </w:tcPr>
          <w:p w14:paraId="656182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绥芬河邮政管理局</w:t>
            </w:r>
          </w:p>
        </w:tc>
        <w:tc>
          <w:tcPr>
            <w:tcW w:w="608" w:type="pct"/>
            <w:noWrap/>
            <w:vAlign w:val="center"/>
          </w:tcPr>
          <w:p w14:paraId="36B74F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1小时</w:t>
            </w:r>
          </w:p>
        </w:tc>
        <w:tc>
          <w:tcPr>
            <w:tcW w:w="867" w:type="pct"/>
            <w:noWrap/>
            <w:vAlign w:val="center"/>
          </w:tcPr>
          <w:p w14:paraId="6AAE79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1.58E-04</w:t>
            </w:r>
          </w:p>
        </w:tc>
        <w:tc>
          <w:tcPr>
            <w:tcW w:w="749" w:type="pct"/>
            <w:noWrap/>
            <w:vAlign w:val="center"/>
          </w:tcPr>
          <w:p w14:paraId="428641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24031916</w:t>
            </w:r>
          </w:p>
        </w:tc>
        <w:tc>
          <w:tcPr>
            <w:tcW w:w="588" w:type="pct"/>
            <w:noWrap/>
            <w:vAlign w:val="center"/>
          </w:tcPr>
          <w:p w14:paraId="4CE661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0CB68D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bidi="ar"/>
              </w:rPr>
              <w:t>达标</w:t>
            </w:r>
          </w:p>
        </w:tc>
      </w:tr>
      <w:tr w14:paraId="3C452B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noWrap/>
            <w:vAlign w:val="center"/>
          </w:tcPr>
          <w:p w14:paraId="1A58A8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w:t>
            </w:r>
          </w:p>
        </w:tc>
        <w:tc>
          <w:tcPr>
            <w:tcW w:w="1210" w:type="pct"/>
            <w:noWrap/>
            <w:vAlign w:val="center"/>
          </w:tcPr>
          <w:p w14:paraId="2960AA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绥芬河市教育局</w:t>
            </w:r>
          </w:p>
        </w:tc>
        <w:tc>
          <w:tcPr>
            <w:tcW w:w="608" w:type="pct"/>
            <w:noWrap/>
            <w:vAlign w:val="center"/>
          </w:tcPr>
          <w:p w14:paraId="28F08B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5E596B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1.80E-04</w:t>
            </w:r>
          </w:p>
        </w:tc>
        <w:tc>
          <w:tcPr>
            <w:tcW w:w="749" w:type="pct"/>
            <w:noWrap/>
            <w:vAlign w:val="center"/>
          </w:tcPr>
          <w:p w14:paraId="1C2D57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24040909</w:t>
            </w:r>
          </w:p>
        </w:tc>
        <w:tc>
          <w:tcPr>
            <w:tcW w:w="588" w:type="pct"/>
            <w:noWrap/>
            <w:vAlign w:val="center"/>
          </w:tcPr>
          <w:p w14:paraId="1BD450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0.09</w:t>
            </w:r>
          </w:p>
        </w:tc>
        <w:tc>
          <w:tcPr>
            <w:tcW w:w="608" w:type="pct"/>
            <w:noWrap/>
            <w:vAlign w:val="center"/>
          </w:tcPr>
          <w:p w14:paraId="1F3729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5D3D0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366" w:type="pct"/>
            <w:noWrap/>
            <w:vAlign w:val="center"/>
          </w:tcPr>
          <w:p w14:paraId="68837B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9</w:t>
            </w:r>
          </w:p>
        </w:tc>
        <w:tc>
          <w:tcPr>
            <w:tcW w:w="1210" w:type="pct"/>
            <w:noWrap/>
            <w:vAlign w:val="center"/>
          </w:tcPr>
          <w:p w14:paraId="259D70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绥芬河市自然资源局</w:t>
            </w:r>
          </w:p>
        </w:tc>
        <w:tc>
          <w:tcPr>
            <w:tcW w:w="608" w:type="pct"/>
            <w:noWrap/>
            <w:vAlign w:val="center"/>
          </w:tcPr>
          <w:p w14:paraId="065230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0EC1B1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1.82E-04</w:t>
            </w:r>
          </w:p>
        </w:tc>
        <w:tc>
          <w:tcPr>
            <w:tcW w:w="749" w:type="pct"/>
            <w:noWrap/>
            <w:vAlign w:val="center"/>
          </w:tcPr>
          <w:p w14:paraId="59A6EE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239329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0.09</w:t>
            </w:r>
          </w:p>
        </w:tc>
        <w:tc>
          <w:tcPr>
            <w:tcW w:w="608" w:type="pct"/>
            <w:noWrap/>
            <w:vAlign w:val="center"/>
          </w:tcPr>
          <w:p w14:paraId="6C7570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BB336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366" w:type="pct"/>
            <w:noWrap/>
            <w:vAlign w:val="center"/>
          </w:tcPr>
          <w:p w14:paraId="3EF65F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w:t>
            </w:r>
          </w:p>
        </w:tc>
        <w:tc>
          <w:tcPr>
            <w:tcW w:w="1210" w:type="pct"/>
            <w:noWrap/>
            <w:vAlign w:val="center"/>
          </w:tcPr>
          <w:p w14:paraId="24FCBD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绥芬河海关</w:t>
            </w:r>
          </w:p>
        </w:tc>
        <w:tc>
          <w:tcPr>
            <w:tcW w:w="608" w:type="pct"/>
            <w:noWrap/>
            <w:vAlign w:val="center"/>
          </w:tcPr>
          <w:p w14:paraId="5FFFEF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8E0B8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1.98E-04</w:t>
            </w:r>
          </w:p>
        </w:tc>
        <w:tc>
          <w:tcPr>
            <w:tcW w:w="749" w:type="pct"/>
            <w:noWrap/>
            <w:vAlign w:val="center"/>
          </w:tcPr>
          <w:p w14:paraId="5D5396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24040909</w:t>
            </w:r>
          </w:p>
        </w:tc>
        <w:tc>
          <w:tcPr>
            <w:tcW w:w="588" w:type="pct"/>
            <w:noWrap/>
            <w:vAlign w:val="center"/>
          </w:tcPr>
          <w:p w14:paraId="7B521E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0.10</w:t>
            </w:r>
          </w:p>
        </w:tc>
        <w:tc>
          <w:tcPr>
            <w:tcW w:w="608" w:type="pct"/>
            <w:noWrap/>
            <w:vAlign w:val="center"/>
          </w:tcPr>
          <w:p w14:paraId="17A7D9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EFE3E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366" w:type="pct"/>
            <w:noWrap/>
            <w:vAlign w:val="center"/>
          </w:tcPr>
          <w:p w14:paraId="2C23B1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w:t>
            </w:r>
          </w:p>
        </w:tc>
        <w:tc>
          <w:tcPr>
            <w:tcW w:w="1210" w:type="pct"/>
            <w:noWrap/>
            <w:vAlign w:val="center"/>
          </w:tcPr>
          <w:p w14:paraId="429579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国家外汇管理局绥芬河分局</w:t>
            </w:r>
          </w:p>
        </w:tc>
        <w:tc>
          <w:tcPr>
            <w:tcW w:w="608" w:type="pct"/>
            <w:noWrap/>
            <w:vAlign w:val="center"/>
          </w:tcPr>
          <w:p w14:paraId="3D98BD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AA689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2.47E-04</w:t>
            </w:r>
          </w:p>
        </w:tc>
        <w:tc>
          <w:tcPr>
            <w:tcW w:w="749" w:type="pct"/>
            <w:noWrap/>
            <w:vAlign w:val="center"/>
          </w:tcPr>
          <w:p w14:paraId="48C745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24041711</w:t>
            </w:r>
          </w:p>
        </w:tc>
        <w:tc>
          <w:tcPr>
            <w:tcW w:w="588" w:type="pct"/>
            <w:noWrap/>
            <w:vAlign w:val="center"/>
          </w:tcPr>
          <w:p w14:paraId="5EE6BC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0.12</w:t>
            </w:r>
          </w:p>
        </w:tc>
        <w:tc>
          <w:tcPr>
            <w:tcW w:w="608" w:type="pct"/>
            <w:noWrap/>
            <w:vAlign w:val="center"/>
          </w:tcPr>
          <w:p w14:paraId="1D6294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BB3CC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366" w:type="pct"/>
            <w:noWrap/>
            <w:vAlign w:val="center"/>
          </w:tcPr>
          <w:p w14:paraId="720E5B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w:t>
            </w:r>
          </w:p>
        </w:tc>
        <w:tc>
          <w:tcPr>
            <w:tcW w:w="1210" w:type="pct"/>
            <w:noWrap/>
            <w:vAlign w:val="center"/>
          </w:tcPr>
          <w:p w14:paraId="0C1022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绥芬河市生态环境局</w:t>
            </w:r>
          </w:p>
        </w:tc>
        <w:tc>
          <w:tcPr>
            <w:tcW w:w="608" w:type="pct"/>
            <w:noWrap/>
            <w:vAlign w:val="center"/>
          </w:tcPr>
          <w:p w14:paraId="6F13EA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389E59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2.10E-04</w:t>
            </w:r>
          </w:p>
        </w:tc>
        <w:tc>
          <w:tcPr>
            <w:tcW w:w="749" w:type="pct"/>
            <w:noWrap/>
            <w:vAlign w:val="center"/>
          </w:tcPr>
          <w:p w14:paraId="04ACDE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24032012</w:t>
            </w:r>
          </w:p>
        </w:tc>
        <w:tc>
          <w:tcPr>
            <w:tcW w:w="588" w:type="pct"/>
            <w:noWrap/>
            <w:vAlign w:val="center"/>
          </w:tcPr>
          <w:p w14:paraId="6EB10E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0.11</w:t>
            </w:r>
          </w:p>
        </w:tc>
        <w:tc>
          <w:tcPr>
            <w:tcW w:w="608" w:type="pct"/>
            <w:noWrap/>
            <w:vAlign w:val="center"/>
          </w:tcPr>
          <w:p w14:paraId="39FB12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9EFC7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366" w:type="pct"/>
            <w:noWrap/>
            <w:vAlign w:val="center"/>
          </w:tcPr>
          <w:p w14:paraId="0EF2B1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13</w:t>
            </w:r>
          </w:p>
        </w:tc>
        <w:tc>
          <w:tcPr>
            <w:tcW w:w="1210" w:type="pct"/>
            <w:noWrap/>
            <w:vAlign w:val="center"/>
          </w:tcPr>
          <w:p w14:paraId="74DD5A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绥芬河市民政局</w:t>
            </w:r>
          </w:p>
        </w:tc>
        <w:tc>
          <w:tcPr>
            <w:tcW w:w="608" w:type="pct"/>
            <w:noWrap/>
            <w:vAlign w:val="center"/>
          </w:tcPr>
          <w:p w14:paraId="57B05C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4D6C2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7.69E-05</w:t>
            </w:r>
          </w:p>
        </w:tc>
        <w:tc>
          <w:tcPr>
            <w:tcW w:w="749" w:type="pct"/>
            <w:noWrap/>
            <w:vAlign w:val="center"/>
          </w:tcPr>
          <w:p w14:paraId="28E783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24022510</w:t>
            </w:r>
          </w:p>
        </w:tc>
        <w:tc>
          <w:tcPr>
            <w:tcW w:w="588" w:type="pct"/>
            <w:noWrap/>
            <w:vAlign w:val="center"/>
          </w:tcPr>
          <w:p w14:paraId="25624D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0.04</w:t>
            </w:r>
          </w:p>
        </w:tc>
        <w:tc>
          <w:tcPr>
            <w:tcW w:w="608" w:type="pct"/>
            <w:noWrap/>
            <w:vAlign w:val="center"/>
          </w:tcPr>
          <w:p w14:paraId="1C68C4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CDF90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366" w:type="pct"/>
            <w:noWrap/>
            <w:vAlign w:val="center"/>
          </w:tcPr>
          <w:p w14:paraId="1DE1BA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w:t>
            </w:r>
          </w:p>
        </w:tc>
        <w:tc>
          <w:tcPr>
            <w:tcW w:w="1210" w:type="pct"/>
            <w:noWrap/>
            <w:vAlign w:val="center"/>
          </w:tcPr>
          <w:p w14:paraId="1C6FB3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绥芬河市公安局</w:t>
            </w:r>
          </w:p>
        </w:tc>
        <w:tc>
          <w:tcPr>
            <w:tcW w:w="608" w:type="pct"/>
            <w:noWrap/>
            <w:vAlign w:val="center"/>
          </w:tcPr>
          <w:p w14:paraId="08BDD2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6BF9C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1.15E-04</w:t>
            </w:r>
          </w:p>
        </w:tc>
        <w:tc>
          <w:tcPr>
            <w:tcW w:w="749" w:type="pct"/>
            <w:noWrap/>
            <w:vAlign w:val="center"/>
          </w:tcPr>
          <w:p w14:paraId="1D0316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24022510</w:t>
            </w:r>
          </w:p>
        </w:tc>
        <w:tc>
          <w:tcPr>
            <w:tcW w:w="588" w:type="pct"/>
            <w:noWrap/>
            <w:vAlign w:val="center"/>
          </w:tcPr>
          <w:p w14:paraId="296F51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0.06</w:t>
            </w:r>
          </w:p>
        </w:tc>
        <w:tc>
          <w:tcPr>
            <w:tcW w:w="608" w:type="pct"/>
            <w:noWrap/>
            <w:vAlign w:val="center"/>
          </w:tcPr>
          <w:p w14:paraId="23C7CE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16354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366" w:type="pct"/>
            <w:noWrap/>
            <w:vAlign w:val="center"/>
          </w:tcPr>
          <w:p w14:paraId="18D5F3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15</w:t>
            </w:r>
          </w:p>
        </w:tc>
        <w:tc>
          <w:tcPr>
            <w:tcW w:w="1210" w:type="pct"/>
            <w:noWrap/>
            <w:vAlign w:val="center"/>
          </w:tcPr>
          <w:p w14:paraId="335EB2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阜宁镇人民政府</w:t>
            </w:r>
          </w:p>
        </w:tc>
        <w:tc>
          <w:tcPr>
            <w:tcW w:w="608" w:type="pct"/>
            <w:noWrap/>
            <w:vAlign w:val="center"/>
          </w:tcPr>
          <w:p w14:paraId="46A464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55A3BB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8.89E-05</w:t>
            </w:r>
          </w:p>
        </w:tc>
        <w:tc>
          <w:tcPr>
            <w:tcW w:w="749" w:type="pct"/>
            <w:noWrap/>
            <w:vAlign w:val="center"/>
          </w:tcPr>
          <w:p w14:paraId="2338AF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2F37AC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0.04</w:t>
            </w:r>
          </w:p>
        </w:tc>
        <w:tc>
          <w:tcPr>
            <w:tcW w:w="608" w:type="pct"/>
            <w:noWrap/>
            <w:vAlign w:val="center"/>
          </w:tcPr>
          <w:p w14:paraId="027BE7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E9450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366" w:type="pct"/>
            <w:noWrap/>
            <w:vAlign w:val="center"/>
          </w:tcPr>
          <w:p w14:paraId="364F3A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16</w:t>
            </w:r>
          </w:p>
        </w:tc>
        <w:tc>
          <w:tcPr>
            <w:tcW w:w="1210" w:type="pct"/>
            <w:noWrap/>
            <w:vAlign w:val="center"/>
          </w:tcPr>
          <w:p w14:paraId="0E0C2B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绥芬河市广播电视局</w:t>
            </w:r>
          </w:p>
        </w:tc>
        <w:tc>
          <w:tcPr>
            <w:tcW w:w="608" w:type="pct"/>
            <w:noWrap/>
            <w:vAlign w:val="center"/>
          </w:tcPr>
          <w:p w14:paraId="15278A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6F60B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2.09E-04</w:t>
            </w:r>
          </w:p>
        </w:tc>
        <w:tc>
          <w:tcPr>
            <w:tcW w:w="749" w:type="pct"/>
            <w:noWrap/>
            <w:vAlign w:val="center"/>
          </w:tcPr>
          <w:p w14:paraId="50D40C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24110810</w:t>
            </w:r>
          </w:p>
        </w:tc>
        <w:tc>
          <w:tcPr>
            <w:tcW w:w="588" w:type="pct"/>
            <w:noWrap/>
            <w:vAlign w:val="center"/>
          </w:tcPr>
          <w:p w14:paraId="4EDE27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0.10</w:t>
            </w:r>
          </w:p>
        </w:tc>
        <w:tc>
          <w:tcPr>
            <w:tcW w:w="608" w:type="pct"/>
            <w:noWrap/>
            <w:vAlign w:val="center"/>
          </w:tcPr>
          <w:p w14:paraId="58518C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06782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366" w:type="pct"/>
            <w:noWrap/>
            <w:vAlign w:val="center"/>
          </w:tcPr>
          <w:p w14:paraId="340FDF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17</w:t>
            </w:r>
          </w:p>
        </w:tc>
        <w:tc>
          <w:tcPr>
            <w:tcW w:w="1210" w:type="pct"/>
            <w:noWrap/>
            <w:vAlign w:val="center"/>
          </w:tcPr>
          <w:p w14:paraId="301D7F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红太阳未来星幼儿园</w:t>
            </w:r>
          </w:p>
        </w:tc>
        <w:tc>
          <w:tcPr>
            <w:tcW w:w="608" w:type="pct"/>
            <w:noWrap/>
            <w:vAlign w:val="center"/>
          </w:tcPr>
          <w:p w14:paraId="29C130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F72D3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2.05E-04</w:t>
            </w:r>
          </w:p>
        </w:tc>
        <w:tc>
          <w:tcPr>
            <w:tcW w:w="749" w:type="pct"/>
            <w:noWrap/>
            <w:vAlign w:val="center"/>
          </w:tcPr>
          <w:p w14:paraId="6D5B73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24042212</w:t>
            </w:r>
          </w:p>
        </w:tc>
        <w:tc>
          <w:tcPr>
            <w:tcW w:w="588" w:type="pct"/>
            <w:noWrap/>
            <w:vAlign w:val="center"/>
          </w:tcPr>
          <w:p w14:paraId="1BCEBC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0.10</w:t>
            </w:r>
          </w:p>
        </w:tc>
        <w:tc>
          <w:tcPr>
            <w:tcW w:w="608" w:type="pct"/>
            <w:noWrap/>
            <w:vAlign w:val="center"/>
          </w:tcPr>
          <w:p w14:paraId="031752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0FFCB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366" w:type="pct"/>
            <w:noWrap/>
            <w:vAlign w:val="center"/>
          </w:tcPr>
          <w:p w14:paraId="5753B4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w:t>
            </w:r>
          </w:p>
        </w:tc>
        <w:tc>
          <w:tcPr>
            <w:tcW w:w="1210" w:type="pct"/>
            <w:noWrap/>
            <w:vAlign w:val="center"/>
          </w:tcPr>
          <w:p w14:paraId="554FDF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金恒基小学</w:t>
            </w:r>
          </w:p>
        </w:tc>
        <w:tc>
          <w:tcPr>
            <w:tcW w:w="608" w:type="pct"/>
            <w:noWrap/>
            <w:vAlign w:val="center"/>
          </w:tcPr>
          <w:p w14:paraId="079386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381929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1.67E-04</w:t>
            </w:r>
          </w:p>
        </w:tc>
        <w:tc>
          <w:tcPr>
            <w:tcW w:w="749" w:type="pct"/>
            <w:noWrap/>
            <w:vAlign w:val="center"/>
          </w:tcPr>
          <w:p w14:paraId="3EB216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027103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5F4558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60A54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366" w:type="pct"/>
            <w:noWrap/>
            <w:vAlign w:val="center"/>
          </w:tcPr>
          <w:p w14:paraId="6E8638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19</w:t>
            </w:r>
          </w:p>
        </w:tc>
        <w:tc>
          <w:tcPr>
            <w:tcW w:w="1210" w:type="pct"/>
            <w:noWrap/>
            <w:vAlign w:val="center"/>
          </w:tcPr>
          <w:p w14:paraId="2A6AD2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弘孟幼儿园</w:t>
            </w:r>
          </w:p>
        </w:tc>
        <w:tc>
          <w:tcPr>
            <w:tcW w:w="608" w:type="pct"/>
            <w:noWrap/>
            <w:vAlign w:val="center"/>
          </w:tcPr>
          <w:p w14:paraId="026BB3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05FA20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1.54E-04</w:t>
            </w:r>
          </w:p>
        </w:tc>
        <w:tc>
          <w:tcPr>
            <w:tcW w:w="749" w:type="pct"/>
            <w:noWrap/>
            <w:vAlign w:val="center"/>
          </w:tcPr>
          <w:p w14:paraId="351014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1F3C2B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09A808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C28DB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366" w:type="pct"/>
            <w:noWrap/>
            <w:vAlign w:val="center"/>
          </w:tcPr>
          <w:p w14:paraId="44AF4B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20</w:t>
            </w:r>
          </w:p>
        </w:tc>
        <w:tc>
          <w:tcPr>
            <w:tcW w:w="1210" w:type="pct"/>
            <w:noWrap/>
            <w:vAlign w:val="center"/>
          </w:tcPr>
          <w:p w14:paraId="49B567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红太阳幼儿园</w:t>
            </w:r>
          </w:p>
        </w:tc>
        <w:tc>
          <w:tcPr>
            <w:tcW w:w="608" w:type="pct"/>
            <w:noWrap/>
            <w:vAlign w:val="center"/>
          </w:tcPr>
          <w:p w14:paraId="087C7E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02E421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2.37E-04</w:t>
            </w:r>
          </w:p>
        </w:tc>
        <w:tc>
          <w:tcPr>
            <w:tcW w:w="749" w:type="pct"/>
            <w:noWrap/>
            <w:vAlign w:val="center"/>
          </w:tcPr>
          <w:p w14:paraId="506A98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24032514</w:t>
            </w:r>
          </w:p>
        </w:tc>
        <w:tc>
          <w:tcPr>
            <w:tcW w:w="588" w:type="pct"/>
            <w:noWrap/>
            <w:vAlign w:val="center"/>
          </w:tcPr>
          <w:p w14:paraId="46EC5D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0.12</w:t>
            </w:r>
          </w:p>
        </w:tc>
        <w:tc>
          <w:tcPr>
            <w:tcW w:w="608" w:type="pct"/>
            <w:noWrap/>
            <w:vAlign w:val="center"/>
          </w:tcPr>
          <w:p w14:paraId="7ECC81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A01C7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366" w:type="pct"/>
            <w:noWrap/>
            <w:vAlign w:val="center"/>
          </w:tcPr>
          <w:p w14:paraId="7B345F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21</w:t>
            </w:r>
          </w:p>
        </w:tc>
        <w:tc>
          <w:tcPr>
            <w:tcW w:w="1210" w:type="pct"/>
            <w:noWrap/>
            <w:vAlign w:val="center"/>
          </w:tcPr>
          <w:p w14:paraId="0E8A93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千里幼稚园</w:t>
            </w:r>
          </w:p>
        </w:tc>
        <w:tc>
          <w:tcPr>
            <w:tcW w:w="608" w:type="pct"/>
            <w:noWrap/>
            <w:vAlign w:val="center"/>
          </w:tcPr>
          <w:p w14:paraId="6380B4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D6A8C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2.71E-04</w:t>
            </w:r>
          </w:p>
        </w:tc>
        <w:tc>
          <w:tcPr>
            <w:tcW w:w="749" w:type="pct"/>
            <w:noWrap/>
            <w:vAlign w:val="center"/>
          </w:tcPr>
          <w:p w14:paraId="5DF3F5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24110810</w:t>
            </w:r>
          </w:p>
        </w:tc>
        <w:tc>
          <w:tcPr>
            <w:tcW w:w="588" w:type="pct"/>
            <w:noWrap/>
            <w:vAlign w:val="center"/>
          </w:tcPr>
          <w:p w14:paraId="1D020D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0.14</w:t>
            </w:r>
          </w:p>
        </w:tc>
        <w:tc>
          <w:tcPr>
            <w:tcW w:w="608" w:type="pct"/>
            <w:noWrap/>
            <w:vAlign w:val="center"/>
          </w:tcPr>
          <w:p w14:paraId="316D65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31241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 w:hRule="atLeast"/>
          <w:jc w:val="center"/>
        </w:trPr>
        <w:tc>
          <w:tcPr>
            <w:tcW w:w="366" w:type="pct"/>
            <w:noWrap/>
            <w:vAlign w:val="center"/>
          </w:tcPr>
          <w:p w14:paraId="3B9B4F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22</w:t>
            </w:r>
          </w:p>
        </w:tc>
        <w:tc>
          <w:tcPr>
            <w:tcW w:w="1210" w:type="pct"/>
            <w:noWrap/>
            <w:vAlign w:val="center"/>
          </w:tcPr>
          <w:p w14:paraId="6906AD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绥芬河市第一中学</w:t>
            </w:r>
          </w:p>
        </w:tc>
        <w:tc>
          <w:tcPr>
            <w:tcW w:w="608" w:type="pct"/>
            <w:noWrap/>
            <w:vAlign w:val="center"/>
          </w:tcPr>
          <w:p w14:paraId="32A54F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56D14A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2.23E-04</w:t>
            </w:r>
          </w:p>
        </w:tc>
        <w:tc>
          <w:tcPr>
            <w:tcW w:w="749" w:type="pct"/>
            <w:noWrap/>
            <w:vAlign w:val="center"/>
          </w:tcPr>
          <w:p w14:paraId="18D136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24110810</w:t>
            </w:r>
          </w:p>
        </w:tc>
        <w:tc>
          <w:tcPr>
            <w:tcW w:w="588" w:type="pct"/>
            <w:noWrap/>
            <w:vAlign w:val="center"/>
          </w:tcPr>
          <w:p w14:paraId="6BECF3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0.11</w:t>
            </w:r>
          </w:p>
        </w:tc>
        <w:tc>
          <w:tcPr>
            <w:tcW w:w="608" w:type="pct"/>
            <w:noWrap/>
            <w:vAlign w:val="center"/>
          </w:tcPr>
          <w:p w14:paraId="16730F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13DFB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366" w:type="pct"/>
            <w:noWrap/>
            <w:vAlign w:val="center"/>
          </w:tcPr>
          <w:p w14:paraId="1AB6D5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23</w:t>
            </w:r>
          </w:p>
        </w:tc>
        <w:tc>
          <w:tcPr>
            <w:tcW w:w="1210" w:type="pct"/>
            <w:noWrap/>
            <w:vAlign w:val="center"/>
          </w:tcPr>
          <w:p w14:paraId="1E56DB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商都幼儿园</w:t>
            </w:r>
          </w:p>
        </w:tc>
        <w:tc>
          <w:tcPr>
            <w:tcW w:w="608" w:type="pct"/>
            <w:noWrap/>
            <w:vAlign w:val="center"/>
          </w:tcPr>
          <w:p w14:paraId="284AE3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044C4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1.86E-04</w:t>
            </w:r>
          </w:p>
        </w:tc>
        <w:tc>
          <w:tcPr>
            <w:tcW w:w="749" w:type="pct"/>
            <w:noWrap/>
            <w:vAlign w:val="center"/>
          </w:tcPr>
          <w:p w14:paraId="071949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588" w:type="pct"/>
            <w:noWrap/>
            <w:vAlign w:val="center"/>
          </w:tcPr>
          <w:p w14:paraId="53ECAD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0.09</w:t>
            </w:r>
          </w:p>
        </w:tc>
        <w:tc>
          <w:tcPr>
            <w:tcW w:w="608" w:type="pct"/>
            <w:noWrap/>
            <w:vAlign w:val="center"/>
          </w:tcPr>
          <w:p w14:paraId="64C5DB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517BB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366" w:type="pct"/>
            <w:noWrap/>
            <w:vAlign w:val="center"/>
          </w:tcPr>
          <w:p w14:paraId="1CDA15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w:t>
            </w:r>
          </w:p>
        </w:tc>
        <w:tc>
          <w:tcPr>
            <w:tcW w:w="1210" w:type="pct"/>
            <w:noWrap/>
            <w:vAlign w:val="center"/>
          </w:tcPr>
          <w:p w14:paraId="78CC24E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绥芬河市少年儿童业余体校</w:t>
            </w:r>
          </w:p>
        </w:tc>
        <w:tc>
          <w:tcPr>
            <w:tcW w:w="608" w:type="pct"/>
            <w:noWrap/>
            <w:vAlign w:val="center"/>
          </w:tcPr>
          <w:p w14:paraId="18A31F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0EBEF2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1.09E-04</w:t>
            </w:r>
          </w:p>
        </w:tc>
        <w:tc>
          <w:tcPr>
            <w:tcW w:w="749" w:type="pct"/>
            <w:noWrap/>
            <w:vAlign w:val="center"/>
          </w:tcPr>
          <w:p w14:paraId="08E29B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64AA76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28F616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DB5CB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366" w:type="pct"/>
            <w:noWrap/>
            <w:vAlign w:val="center"/>
          </w:tcPr>
          <w:p w14:paraId="7FECDE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25</w:t>
            </w:r>
          </w:p>
        </w:tc>
        <w:tc>
          <w:tcPr>
            <w:tcW w:w="1210" w:type="pct"/>
            <w:noWrap/>
            <w:vAlign w:val="center"/>
          </w:tcPr>
          <w:p w14:paraId="541556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绥芬河市第二中学</w:t>
            </w:r>
          </w:p>
        </w:tc>
        <w:tc>
          <w:tcPr>
            <w:tcW w:w="608" w:type="pct"/>
            <w:noWrap/>
            <w:vAlign w:val="center"/>
          </w:tcPr>
          <w:p w14:paraId="7C4C3B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29902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1.02E-04</w:t>
            </w:r>
          </w:p>
        </w:tc>
        <w:tc>
          <w:tcPr>
            <w:tcW w:w="749" w:type="pct"/>
            <w:noWrap/>
            <w:vAlign w:val="center"/>
          </w:tcPr>
          <w:p w14:paraId="075F41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066371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354105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48CC8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366" w:type="pct"/>
            <w:noWrap/>
            <w:vAlign w:val="center"/>
          </w:tcPr>
          <w:p w14:paraId="26B847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26</w:t>
            </w:r>
          </w:p>
        </w:tc>
        <w:tc>
          <w:tcPr>
            <w:tcW w:w="1210" w:type="pct"/>
            <w:noWrap/>
            <w:vAlign w:val="center"/>
          </w:tcPr>
          <w:p w14:paraId="3EB2A4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绥芬河市第三中学</w:t>
            </w:r>
          </w:p>
        </w:tc>
        <w:tc>
          <w:tcPr>
            <w:tcW w:w="608" w:type="pct"/>
            <w:noWrap/>
            <w:vAlign w:val="center"/>
          </w:tcPr>
          <w:p w14:paraId="5E13AA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7C6EB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2.38E-04</w:t>
            </w:r>
          </w:p>
        </w:tc>
        <w:tc>
          <w:tcPr>
            <w:tcW w:w="749" w:type="pct"/>
            <w:noWrap/>
            <w:vAlign w:val="center"/>
          </w:tcPr>
          <w:p w14:paraId="4829B4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24110810</w:t>
            </w:r>
          </w:p>
        </w:tc>
        <w:tc>
          <w:tcPr>
            <w:tcW w:w="588" w:type="pct"/>
            <w:noWrap/>
            <w:vAlign w:val="center"/>
          </w:tcPr>
          <w:p w14:paraId="5BDC04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0.12</w:t>
            </w:r>
          </w:p>
        </w:tc>
        <w:tc>
          <w:tcPr>
            <w:tcW w:w="608" w:type="pct"/>
            <w:noWrap/>
            <w:vAlign w:val="center"/>
          </w:tcPr>
          <w:p w14:paraId="75B0CF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346E6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366" w:type="pct"/>
            <w:noWrap/>
            <w:vAlign w:val="center"/>
          </w:tcPr>
          <w:p w14:paraId="18A9E2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w:t>
            </w:r>
          </w:p>
        </w:tc>
        <w:tc>
          <w:tcPr>
            <w:tcW w:w="1210" w:type="pct"/>
            <w:noWrap/>
            <w:vAlign w:val="center"/>
          </w:tcPr>
          <w:p w14:paraId="564961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旅游局家属楼</w:t>
            </w:r>
          </w:p>
        </w:tc>
        <w:tc>
          <w:tcPr>
            <w:tcW w:w="608" w:type="pct"/>
            <w:noWrap/>
            <w:vAlign w:val="center"/>
          </w:tcPr>
          <w:p w14:paraId="1E571B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3FDB7A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9.41E-05</w:t>
            </w:r>
          </w:p>
        </w:tc>
        <w:tc>
          <w:tcPr>
            <w:tcW w:w="749" w:type="pct"/>
            <w:noWrap/>
            <w:vAlign w:val="center"/>
          </w:tcPr>
          <w:p w14:paraId="570090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24022814</w:t>
            </w:r>
          </w:p>
        </w:tc>
        <w:tc>
          <w:tcPr>
            <w:tcW w:w="588" w:type="pct"/>
            <w:noWrap/>
            <w:vAlign w:val="center"/>
          </w:tcPr>
          <w:p w14:paraId="6BE92C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3AD34A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E732B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366" w:type="pct"/>
            <w:noWrap/>
            <w:vAlign w:val="center"/>
          </w:tcPr>
          <w:p w14:paraId="069666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w:t>
            </w:r>
          </w:p>
        </w:tc>
        <w:tc>
          <w:tcPr>
            <w:tcW w:w="1210" w:type="pct"/>
            <w:noWrap/>
            <w:vAlign w:val="center"/>
          </w:tcPr>
          <w:p w14:paraId="6208F7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新安幸福嘉园</w:t>
            </w:r>
          </w:p>
        </w:tc>
        <w:tc>
          <w:tcPr>
            <w:tcW w:w="608" w:type="pct"/>
            <w:noWrap/>
            <w:vAlign w:val="center"/>
          </w:tcPr>
          <w:p w14:paraId="7CD0B8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A543C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1.59E-04</w:t>
            </w:r>
          </w:p>
        </w:tc>
        <w:tc>
          <w:tcPr>
            <w:tcW w:w="749" w:type="pct"/>
            <w:noWrap/>
            <w:vAlign w:val="center"/>
          </w:tcPr>
          <w:p w14:paraId="7CEEFBE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24031912</w:t>
            </w:r>
          </w:p>
        </w:tc>
        <w:tc>
          <w:tcPr>
            <w:tcW w:w="588" w:type="pct"/>
            <w:noWrap/>
            <w:vAlign w:val="center"/>
          </w:tcPr>
          <w:p w14:paraId="7C3B18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3011C9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FE049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366" w:type="pct"/>
            <w:noWrap/>
            <w:vAlign w:val="center"/>
          </w:tcPr>
          <w:p w14:paraId="5D4ADA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29</w:t>
            </w:r>
          </w:p>
        </w:tc>
        <w:tc>
          <w:tcPr>
            <w:tcW w:w="1210" w:type="pct"/>
            <w:noWrap/>
            <w:vAlign w:val="center"/>
          </w:tcPr>
          <w:p w14:paraId="387798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中兴小区</w:t>
            </w:r>
          </w:p>
        </w:tc>
        <w:tc>
          <w:tcPr>
            <w:tcW w:w="608" w:type="pct"/>
            <w:noWrap/>
            <w:vAlign w:val="center"/>
          </w:tcPr>
          <w:p w14:paraId="033B17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F11F3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1.62E-04</w:t>
            </w:r>
          </w:p>
        </w:tc>
        <w:tc>
          <w:tcPr>
            <w:tcW w:w="749" w:type="pct"/>
            <w:noWrap/>
            <w:vAlign w:val="center"/>
          </w:tcPr>
          <w:p w14:paraId="7AC140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5E249C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2194BF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3C4A5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366" w:type="pct"/>
            <w:noWrap/>
            <w:vAlign w:val="center"/>
          </w:tcPr>
          <w:p w14:paraId="073327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30</w:t>
            </w:r>
          </w:p>
        </w:tc>
        <w:tc>
          <w:tcPr>
            <w:tcW w:w="1210" w:type="pct"/>
            <w:noWrap/>
            <w:vAlign w:val="center"/>
          </w:tcPr>
          <w:p w14:paraId="631F67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绥兴社区</w:t>
            </w:r>
          </w:p>
        </w:tc>
        <w:tc>
          <w:tcPr>
            <w:tcW w:w="608" w:type="pct"/>
            <w:noWrap/>
            <w:vAlign w:val="center"/>
          </w:tcPr>
          <w:p w14:paraId="3A0E05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1A28F5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2.07E-04</w:t>
            </w:r>
          </w:p>
        </w:tc>
        <w:tc>
          <w:tcPr>
            <w:tcW w:w="749" w:type="pct"/>
            <w:noWrap/>
            <w:vAlign w:val="center"/>
          </w:tcPr>
          <w:p w14:paraId="0AEF85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24031913</w:t>
            </w:r>
          </w:p>
        </w:tc>
        <w:tc>
          <w:tcPr>
            <w:tcW w:w="588" w:type="pct"/>
            <w:noWrap/>
            <w:vAlign w:val="center"/>
          </w:tcPr>
          <w:p w14:paraId="57022A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0.10</w:t>
            </w:r>
          </w:p>
        </w:tc>
        <w:tc>
          <w:tcPr>
            <w:tcW w:w="608" w:type="pct"/>
            <w:noWrap/>
            <w:vAlign w:val="center"/>
          </w:tcPr>
          <w:p w14:paraId="09CCC8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EB0D6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366" w:type="pct"/>
            <w:noWrap/>
            <w:vAlign w:val="center"/>
          </w:tcPr>
          <w:p w14:paraId="4AB1FB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w:t>
            </w:r>
          </w:p>
        </w:tc>
        <w:tc>
          <w:tcPr>
            <w:tcW w:w="1210" w:type="pct"/>
            <w:noWrap/>
            <w:vAlign w:val="center"/>
          </w:tcPr>
          <w:p w14:paraId="568E1F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远东新天地小区</w:t>
            </w:r>
          </w:p>
        </w:tc>
        <w:tc>
          <w:tcPr>
            <w:tcW w:w="608" w:type="pct"/>
            <w:noWrap/>
            <w:vAlign w:val="center"/>
          </w:tcPr>
          <w:p w14:paraId="39896A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16EA16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2.62E-04</w:t>
            </w:r>
          </w:p>
        </w:tc>
        <w:tc>
          <w:tcPr>
            <w:tcW w:w="749" w:type="pct"/>
            <w:noWrap/>
            <w:vAlign w:val="center"/>
          </w:tcPr>
          <w:p w14:paraId="07D193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24111911</w:t>
            </w:r>
          </w:p>
        </w:tc>
        <w:tc>
          <w:tcPr>
            <w:tcW w:w="588" w:type="pct"/>
            <w:noWrap/>
            <w:vAlign w:val="center"/>
          </w:tcPr>
          <w:p w14:paraId="0667AE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0.13</w:t>
            </w:r>
          </w:p>
        </w:tc>
        <w:tc>
          <w:tcPr>
            <w:tcW w:w="608" w:type="pct"/>
            <w:noWrap/>
            <w:vAlign w:val="center"/>
          </w:tcPr>
          <w:p w14:paraId="2BBE68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AF940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366" w:type="pct"/>
            <w:noWrap/>
            <w:vAlign w:val="center"/>
          </w:tcPr>
          <w:p w14:paraId="4EA15E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32</w:t>
            </w:r>
          </w:p>
        </w:tc>
        <w:tc>
          <w:tcPr>
            <w:tcW w:w="1210" w:type="pct"/>
            <w:noWrap/>
            <w:vAlign w:val="center"/>
          </w:tcPr>
          <w:p w14:paraId="1EBCC2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凯丰小区</w:t>
            </w:r>
          </w:p>
        </w:tc>
        <w:tc>
          <w:tcPr>
            <w:tcW w:w="608" w:type="pct"/>
            <w:noWrap/>
            <w:vAlign w:val="center"/>
          </w:tcPr>
          <w:p w14:paraId="18C33E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32C9D9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2.87E-04</w:t>
            </w:r>
          </w:p>
        </w:tc>
        <w:tc>
          <w:tcPr>
            <w:tcW w:w="749" w:type="pct"/>
            <w:noWrap/>
            <w:vAlign w:val="center"/>
          </w:tcPr>
          <w:p w14:paraId="6E9FE5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24042212</w:t>
            </w:r>
          </w:p>
        </w:tc>
        <w:tc>
          <w:tcPr>
            <w:tcW w:w="588" w:type="pct"/>
            <w:noWrap/>
            <w:vAlign w:val="center"/>
          </w:tcPr>
          <w:p w14:paraId="08817E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0.14</w:t>
            </w:r>
          </w:p>
        </w:tc>
        <w:tc>
          <w:tcPr>
            <w:tcW w:w="608" w:type="pct"/>
            <w:noWrap/>
            <w:vAlign w:val="center"/>
          </w:tcPr>
          <w:p w14:paraId="7ADEC5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4B14A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366" w:type="pct"/>
            <w:noWrap/>
            <w:vAlign w:val="center"/>
          </w:tcPr>
          <w:p w14:paraId="215025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33</w:t>
            </w:r>
          </w:p>
        </w:tc>
        <w:tc>
          <w:tcPr>
            <w:tcW w:w="1210" w:type="pct"/>
            <w:noWrap/>
            <w:vAlign w:val="center"/>
          </w:tcPr>
          <w:p w14:paraId="162FA3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澳运阳光花园</w:t>
            </w:r>
          </w:p>
        </w:tc>
        <w:tc>
          <w:tcPr>
            <w:tcW w:w="608" w:type="pct"/>
            <w:noWrap/>
            <w:vAlign w:val="center"/>
          </w:tcPr>
          <w:p w14:paraId="5DB18CE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13A72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1.92E-04</w:t>
            </w:r>
          </w:p>
        </w:tc>
        <w:tc>
          <w:tcPr>
            <w:tcW w:w="749" w:type="pct"/>
            <w:noWrap/>
            <w:vAlign w:val="center"/>
          </w:tcPr>
          <w:p w14:paraId="3589D3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24042017</w:t>
            </w:r>
          </w:p>
        </w:tc>
        <w:tc>
          <w:tcPr>
            <w:tcW w:w="588" w:type="pct"/>
            <w:noWrap/>
            <w:vAlign w:val="center"/>
          </w:tcPr>
          <w:p w14:paraId="78819C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0.10</w:t>
            </w:r>
          </w:p>
        </w:tc>
        <w:tc>
          <w:tcPr>
            <w:tcW w:w="608" w:type="pct"/>
            <w:noWrap/>
            <w:vAlign w:val="center"/>
          </w:tcPr>
          <w:p w14:paraId="3A016E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B1AFE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366" w:type="pct"/>
            <w:noWrap/>
            <w:vAlign w:val="center"/>
          </w:tcPr>
          <w:p w14:paraId="3ECF68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34</w:t>
            </w:r>
          </w:p>
        </w:tc>
        <w:tc>
          <w:tcPr>
            <w:tcW w:w="1210" w:type="pct"/>
            <w:noWrap/>
            <w:vAlign w:val="center"/>
          </w:tcPr>
          <w:p w14:paraId="5CBFB3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朝阳村</w:t>
            </w:r>
          </w:p>
        </w:tc>
        <w:tc>
          <w:tcPr>
            <w:tcW w:w="608" w:type="pct"/>
            <w:noWrap/>
            <w:vAlign w:val="center"/>
          </w:tcPr>
          <w:p w14:paraId="6AA738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ECE86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1.88E-04</w:t>
            </w:r>
          </w:p>
        </w:tc>
        <w:tc>
          <w:tcPr>
            <w:tcW w:w="749" w:type="pct"/>
            <w:noWrap/>
            <w:vAlign w:val="center"/>
          </w:tcPr>
          <w:p w14:paraId="4CC210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24042107</w:t>
            </w:r>
          </w:p>
        </w:tc>
        <w:tc>
          <w:tcPr>
            <w:tcW w:w="588" w:type="pct"/>
            <w:noWrap/>
            <w:vAlign w:val="center"/>
          </w:tcPr>
          <w:p w14:paraId="2EEA97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0.09</w:t>
            </w:r>
          </w:p>
        </w:tc>
        <w:tc>
          <w:tcPr>
            <w:tcW w:w="608" w:type="pct"/>
            <w:noWrap/>
            <w:vAlign w:val="center"/>
          </w:tcPr>
          <w:p w14:paraId="7DBA3E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4D9D9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3" w:hRule="atLeast"/>
          <w:jc w:val="center"/>
        </w:trPr>
        <w:tc>
          <w:tcPr>
            <w:tcW w:w="366" w:type="pct"/>
            <w:noWrap/>
            <w:vAlign w:val="center"/>
          </w:tcPr>
          <w:p w14:paraId="7A1A2A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35</w:t>
            </w:r>
          </w:p>
        </w:tc>
        <w:tc>
          <w:tcPr>
            <w:tcW w:w="1210" w:type="pct"/>
            <w:noWrap/>
            <w:vAlign w:val="center"/>
          </w:tcPr>
          <w:p w14:paraId="7C5DFE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宏隆花园</w:t>
            </w:r>
          </w:p>
        </w:tc>
        <w:tc>
          <w:tcPr>
            <w:tcW w:w="608" w:type="pct"/>
            <w:noWrap/>
            <w:vAlign w:val="center"/>
          </w:tcPr>
          <w:p w14:paraId="4F2897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602985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2.00E-04</w:t>
            </w:r>
          </w:p>
        </w:tc>
        <w:tc>
          <w:tcPr>
            <w:tcW w:w="749" w:type="pct"/>
            <w:noWrap/>
            <w:vAlign w:val="center"/>
          </w:tcPr>
          <w:p w14:paraId="72785A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24031913</w:t>
            </w:r>
          </w:p>
        </w:tc>
        <w:tc>
          <w:tcPr>
            <w:tcW w:w="588" w:type="pct"/>
            <w:noWrap/>
            <w:vAlign w:val="center"/>
          </w:tcPr>
          <w:p w14:paraId="153239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0.10</w:t>
            </w:r>
          </w:p>
        </w:tc>
        <w:tc>
          <w:tcPr>
            <w:tcW w:w="608" w:type="pct"/>
            <w:noWrap/>
            <w:vAlign w:val="center"/>
          </w:tcPr>
          <w:p w14:paraId="7E4542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71F78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2" w:hRule="atLeast"/>
          <w:jc w:val="center"/>
        </w:trPr>
        <w:tc>
          <w:tcPr>
            <w:tcW w:w="366" w:type="pct"/>
            <w:noWrap/>
            <w:vAlign w:val="center"/>
          </w:tcPr>
          <w:p w14:paraId="4D17FD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36</w:t>
            </w:r>
          </w:p>
        </w:tc>
        <w:tc>
          <w:tcPr>
            <w:tcW w:w="1210" w:type="pct"/>
            <w:noWrap/>
            <w:vAlign w:val="center"/>
          </w:tcPr>
          <w:p w14:paraId="624138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中福名都花园</w:t>
            </w:r>
          </w:p>
        </w:tc>
        <w:tc>
          <w:tcPr>
            <w:tcW w:w="608" w:type="pct"/>
            <w:noWrap/>
            <w:vAlign w:val="center"/>
          </w:tcPr>
          <w:p w14:paraId="519659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31AABE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1.81E-04</w:t>
            </w:r>
          </w:p>
        </w:tc>
        <w:tc>
          <w:tcPr>
            <w:tcW w:w="749" w:type="pct"/>
            <w:noWrap/>
            <w:vAlign w:val="center"/>
          </w:tcPr>
          <w:p w14:paraId="39CF72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486BF4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0.09</w:t>
            </w:r>
          </w:p>
        </w:tc>
        <w:tc>
          <w:tcPr>
            <w:tcW w:w="608" w:type="pct"/>
            <w:noWrap/>
            <w:vAlign w:val="center"/>
          </w:tcPr>
          <w:p w14:paraId="2CB062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296A4E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366" w:type="pct"/>
            <w:noWrap/>
            <w:vAlign w:val="center"/>
          </w:tcPr>
          <w:p w14:paraId="1E34F5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37</w:t>
            </w:r>
          </w:p>
        </w:tc>
        <w:tc>
          <w:tcPr>
            <w:tcW w:w="1210" w:type="pct"/>
            <w:noWrap/>
            <w:vAlign w:val="center"/>
          </w:tcPr>
          <w:p w14:paraId="18EEC9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康健花园</w:t>
            </w:r>
          </w:p>
        </w:tc>
        <w:tc>
          <w:tcPr>
            <w:tcW w:w="608" w:type="pct"/>
            <w:noWrap/>
            <w:vAlign w:val="center"/>
          </w:tcPr>
          <w:p w14:paraId="65BDCE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0A4411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1.89E-04</w:t>
            </w:r>
          </w:p>
        </w:tc>
        <w:tc>
          <w:tcPr>
            <w:tcW w:w="749" w:type="pct"/>
            <w:noWrap/>
            <w:vAlign w:val="center"/>
          </w:tcPr>
          <w:p w14:paraId="3ECDBA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588" w:type="pct"/>
            <w:noWrap/>
            <w:vAlign w:val="center"/>
          </w:tcPr>
          <w:p w14:paraId="6C0DD7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0.09</w:t>
            </w:r>
          </w:p>
        </w:tc>
        <w:tc>
          <w:tcPr>
            <w:tcW w:w="608" w:type="pct"/>
            <w:noWrap/>
            <w:vAlign w:val="center"/>
          </w:tcPr>
          <w:p w14:paraId="039FF6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66016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366" w:type="pct"/>
            <w:noWrap/>
            <w:vAlign w:val="center"/>
          </w:tcPr>
          <w:p w14:paraId="32DB94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38</w:t>
            </w:r>
          </w:p>
        </w:tc>
        <w:tc>
          <w:tcPr>
            <w:tcW w:w="1210" w:type="pct"/>
            <w:noWrap/>
            <w:vAlign w:val="center"/>
          </w:tcPr>
          <w:p w14:paraId="3A281F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海融安居里</w:t>
            </w:r>
          </w:p>
        </w:tc>
        <w:tc>
          <w:tcPr>
            <w:tcW w:w="608" w:type="pct"/>
            <w:noWrap/>
            <w:vAlign w:val="center"/>
          </w:tcPr>
          <w:p w14:paraId="3A8F7F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090A0D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3.51E-04</w:t>
            </w:r>
          </w:p>
        </w:tc>
        <w:tc>
          <w:tcPr>
            <w:tcW w:w="749" w:type="pct"/>
            <w:noWrap/>
            <w:vAlign w:val="center"/>
          </w:tcPr>
          <w:p w14:paraId="144783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588" w:type="pct"/>
            <w:noWrap/>
            <w:vAlign w:val="center"/>
          </w:tcPr>
          <w:p w14:paraId="287DBF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0.18</w:t>
            </w:r>
          </w:p>
        </w:tc>
        <w:tc>
          <w:tcPr>
            <w:tcW w:w="608" w:type="pct"/>
            <w:noWrap/>
            <w:vAlign w:val="center"/>
          </w:tcPr>
          <w:p w14:paraId="44F9CA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610AC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366" w:type="pct"/>
            <w:noWrap/>
            <w:vAlign w:val="center"/>
          </w:tcPr>
          <w:p w14:paraId="179430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39</w:t>
            </w:r>
          </w:p>
        </w:tc>
        <w:tc>
          <w:tcPr>
            <w:tcW w:w="1210" w:type="pct"/>
            <w:noWrap/>
            <w:vAlign w:val="center"/>
          </w:tcPr>
          <w:p w14:paraId="07FBDF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海融富华苑</w:t>
            </w:r>
          </w:p>
        </w:tc>
        <w:tc>
          <w:tcPr>
            <w:tcW w:w="608" w:type="pct"/>
            <w:noWrap/>
            <w:vAlign w:val="center"/>
          </w:tcPr>
          <w:p w14:paraId="78EB6F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0F5F1D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8.57E-05</w:t>
            </w:r>
          </w:p>
        </w:tc>
        <w:tc>
          <w:tcPr>
            <w:tcW w:w="749" w:type="pct"/>
            <w:noWrap/>
            <w:vAlign w:val="center"/>
          </w:tcPr>
          <w:p w14:paraId="4E7FCD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1D80EF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0.04</w:t>
            </w:r>
          </w:p>
        </w:tc>
        <w:tc>
          <w:tcPr>
            <w:tcW w:w="608" w:type="pct"/>
            <w:noWrap/>
            <w:vAlign w:val="center"/>
          </w:tcPr>
          <w:p w14:paraId="1F96EA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94781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366" w:type="pct"/>
            <w:noWrap/>
            <w:vAlign w:val="center"/>
          </w:tcPr>
          <w:p w14:paraId="25063E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40</w:t>
            </w:r>
          </w:p>
        </w:tc>
        <w:tc>
          <w:tcPr>
            <w:tcW w:w="1210" w:type="pct"/>
            <w:noWrap/>
            <w:vAlign w:val="center"/>
          </w:tcPr>
          <w:p w14:paraId="2ABE09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好景园小区</w:t>
            </w:r>
          </w:p>
        </w:tc>
        <w:tc>
          <w:tcPr>
            <w:tcW w:w="608" w:type="pct"/>
            <w:noWrap/>
            <w:vAlign w:val="center"/>
          </w:tcPr>
          <w:p w14:paraId="721472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0FF976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1.04E-04</w:t>
            </w:r>
          </w:p>
        </w:tc>
        <w:tc>
          <w:tcPr>
            <w:tcW w:w="749" w:type="pct"/>
            <w:noWrap/>
            <w:vAlign w:val="center"/>
          </w:tcPr>
          <w:p w14:paraId="7A3948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398F38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38FB49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F0237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jc w:val="center"/>
        </w:trPr>
        <w:tc>
          <w:tcPr>
            <w:tcW w:w="366" w:type="pct"/>
            <w:noWrap/>
            <w:vAlign w:val="center"/>
          </w:tcPr>
          <w:p w14:paraId="681888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41</w:t>
            </w:r>
          </w:p>
        </w:tc>
        <w:tc>
          <w:tcPr>
            <w:tcW w:w="1210" w:type="pct"/>
            <w:noWrap/>
            <w:vAlign w:val="center"/>
          </w:tcPr>
          <w:p w14:paraId="44883D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旗苑家园</w:t>
            </w:r>
          </w:p>
        </w:tc>
        <w:tc>
          <w:tcPr>
            <w:tcW w:w="608" w:type="pct"/>
            <w:noWrap/>
            <w:vAlign w:val="center"/>
          </w:tcPr>
          <w:p w14:paraId="7BD299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75EAC9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9.27E-05</w:t>
            </w:r>
          </w:p>
        </w:tc>
        <w:tc>
          <w:tcPr>
            <w:tcW w:w="749" w:type="pct"/>
            <w:noWrap/>
            <w:vAlign w:val="center"/>
          </w:tcPr>
          <w:p w14:paraId="01E0DF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147767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0.05</w:t>
            </w:r>
          </w:p>
        </w:tc>
        <w:tc>
          <w:tcPr>
            <w:tcW w:w="608" w:type="pct"/>
            <w:noWrap/>
            <w:vAlign w:val="center"/>
          </w:tcPr>
          <w:p w14:paraId="374625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C6CEA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2" w:hRule="atLeast"/>
          <w:jc w:val="center"/>
        </w:trPr>
        <w:tc>
          <w:tcPr>
            <w:tcW w:w="366" w:type="pct"/>
            <w:noWrap/>
            <w:vAlign w:val="center"/>
          </w:tcPr>
          <w:p w14:paraId="59B076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w:t>
            </w:r>
          </w:p>
        </w:tc>
        <w:tc>
          <w:tcPr>
            <w:tcW w:w="1210" w:type="pct"/>
            <w:noWrap/>
            <w:vAlign w:val="center"/>
          </w:tcPr>
          <w:p w14:paraId="4B504B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兴达家园</w:t>
            </w:r>
          </w:p>
        </w:tc>
        <w:tc>
          <w:tcPr>
            <w:tcW w:w="608" w:type="pct"/>
            <w:noWrap/>
            <w:vAlign w:val="center"/>
          </w:tcPr>
          <w:p w14:paraId="5DA3DF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1F40B6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6.54E-05</w:t>
            </w:r>
          </w:p>
        </w:tc>
        <w:tc>
          <w:tcPr>
            <w:tcW w:w="749" w:type="pct"/>
            <w:noWrap/>
            <w:vAlign w:val="center"/>
          </w:tcPr>
          <w:p w14:paraId="45C7F4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24040909</w:t>
            </w:r>
          </w:p>
        </w:tc>
        <w:tc>
          <w:tcPr>
            <w:tcW w:w="588" w:type="pct"/>
            <w:noWrap/>
            <w:vAlign w:val="center"/>
          </w:tcPr>
          <w:p w14:paraId="793493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0.03</w:t>
            </w:r>
          </w:p>
        </w:tc>
        <w:tc>
          <w:tcPr>
            <w:tcW w:w="608" w:type="pct"/>
            <w:noWrap/>
            <w:vAlign w:val="center"/>
          </w:tcPr>
          <w:p w14:paraId="0AD32B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6A1AC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 w:hRule="atLeast"/>
          <w:jc w:val="center"/>
        </w:trPr>
        <w:tc>
          <w:tcPr>
            <w:tcW w:w="366" w:type="pct"/>
            <w:noWrap/>
            <w:vAlign w:val="center"/>
          </w:tcPr>
          <w:p w14:paraId="4C42A7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43</w:t>
            </w:r>
          </w:p>
        </w:tc>
        <w:tc>
          <w:tcPr>
            <w:tcW w:w="1210" w:type="pct"/>
            <w:noWrap/>
            <w:vAlign w:val="center"/>
          </w:tcPr>
          <w:p w14:paraId="6B7D40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协会大厦</w:t>
            </w:r>
          </w:p>
        </w:tc>
        <w:tc>
          <w:tcPr>
            <w:tcW w:w="608" w:type="pct"/>
            <w:noWrap/>
            <w:vAlign w:val="center"/>
          </w:tcPr>
          <w:p w14:paraId="0318C0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0E4F4A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1.42E-04</w:t>
            </w:r>
          </w:p>
        </w:tc>
        <w:tc>
          <w:tcPr>
            <w:tcW w:w="749" w:type="pct"/>
            <w:noWrap/>
            <w:vAlign w:val="center"/>
          </w:tcPr>
          <w:p w14:paraId="68E36C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24042110</w:t>
            </w:r>
          </w:p>
        </w:tc>
        <w:tc>
          <w:tcPr>
            <w:tcW w:w="588" w:type="pct"/>
            <w:noWrap/>
            <w:vAlign w:val="center"/>
          </w:tcPr>
          <w:p w14:paraId="19FAE2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1B079C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A9023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3" w:hRule="atLeast"/>
          <w:jc w:val="center"/>
        </w:trPr>
        <w:tc>
          <w:tcPr>
            <w:tcW w:w="366" w:type="pct"/>
            <w:noWrap/>
            <w:vAlign w:val="center"/>
          </w:tcPr>
          <w:p w14:paraId="1C5632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44</w:t>
            </w:r>
          </w:p>
        </w:tc>
        <w:tc>
          <w:tcPr>
            <w:tcW w:w="1210" w:type="pct"/>
            <w:noWrap/>
            <w:vAlign w:val="center"/>
          </w:tcPr>
          <w:p w14:paraId="3FE7EC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数码港宾馆</w:t>
            </w:r>
          </w:p>
        </w:tc>
        <w:tc>
          <w:tcPr>
            <w:tcW w:w="608" w:type="pct"/>
            <w:noWrap/>
            <w:vAlign w:val="center"/>
          </w:tcPr>
          <w:p w14:paraId="3D82FF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5468B1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2.32E-04</w:t>
            </w:r>
          </w:p>
        </w:tc>
        <w:tc>
          <w:tcPr>
            <w:tcW w:w="749" w:type="pct"/>
            <w:noWrap/>
            <w:vAlign w:val="center"/>
          </w:tcPr>
          <w:p w14:paraId="567930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24032513</w:t>
            </w:r>
          </w:p>
        </w:tc>
        <w:tc>
          <w:tcPr>
            <w:tcW w:w="588" w:type="pct"/>
            <w:noWrap/>
            <w:vAlign w:val="center"/>
          </w:tcPr>
          <w:p w14:paraId="078704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0.12</w:t>
            </w:r>
          </w:p>
        </w:tc>
        <w:tc>
          <w:tcPr>
            <w:tcW w:w="608" w:type="pct"/>
            <w:noWrap/>
            <w:vAlign w:val="center"/>
          </w:tcPr>
          <w:p w14:paraId="28D3BE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FA026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66" w:type="pct"/>
            <w:noWrap/>
            <w:vAlign w:val="center"/>
          </w:tcPr>
          <w:p w14:paraId="79A855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45</w:t>
            </w:r>
          </w:p>
        </w:tc>
        <w:tc>
          <w:tcPr>
            <w:tcW w:w="1210" w:type="pct"/>
            <w:noWrap/>
            <w:vAlign w:val="center"/>
          </w:tcPr>
          <w:p w14:paraId="200C04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山水国际</w:t>
            </w:r>
          </w:p>
        </w:tc>
        <w:tc>
          <w:tcPr>
            <w:tcW w:w="608" w:type="pct"/>
            <w:noWrap/>
            <w:vAlign w:val="center"/>
          </w:tcPr>
          <w:p w14:paraId="2B9A3C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769D55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3.06E-04</w:t>
            </w:r>
          </w:p>
        </w:tc>
        <w:tc>
          <w:tcPr>
            <w:tcW w:w="749" w:type="pct"/>
            <w:noWrap/>
            <w:vAlign w:val="center"/>
          </w:tcPr>
          <w:p w14:paraId="31A6D5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24041612</w:t>
            </w:r>
          </w:p>
        </w:tc>
        <w:tc>
          <w:tcPr>
            <w:tcW w:w="588" w:type="pct"/>
            <w:noWrap/>
            <w:vAlign w:val="center"/>
          </w:tcPr>
          <w:p w14:paraId="54DDC4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0.15</w:t>
            </w:r>
          </w:p>
        </w:tc>
        <w:tc>
          <w:tcPr>
            <w:tcW w:w="608" w:type="pct"/>
            <w:noWrap/>
            <w:vAlign w:val="center"/>
          </w:tcPr>
          <w:p w14:paraId="59038D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84E48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366" w:type="pct"/>
            <w:noWrap/>
            <w:vAlign w:val="center"/>
          </w:tcPr>
          <w:p w14:paraId="56EF1E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46</w:t>
            </w:r>
          </w:p>
        </w:tc>
        <w:tc>
          <w:tcPr>
            <w:tcW w:w="1210" w:type="pct"/>
            <w:noWrap/>
            <w:vAlign w:val="center"/>
          </w:tcPr>
          <w:p w14:paraId="61D2B8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湖畔花园小区</w:t>
            </w:r>
          </w:p>
        </w:tc>
        <w:tc>
          <w:tcPr>
            <w:tcW w:w="608" w:type="pct"/>
            <w:noWrap/>
            <w:vAlign w:val="center"/>
          </w:tcPr>
          <w:p w14:paraId="772EB4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60ECFA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2.29E-04</w:t>
            </w:r>
          </w:p>
        </w:tc>
        <w:tc>
          <w:tcPr>
            <w:tcW w:w="749" w:type="pct"/>
            <w:noWrap/>
            <w:vAlign w:val="center"/>
          </w:tcPr>
          <w:p w14:paraId="16F606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24032514</w:t>
            </w:r>
          </w:p>
        </w:tc>
        <w:tc>
          <w:tcPr>
            <w:tcW w:w="588" w:type="pct"/>
            <w:noWrap/>
            <w:vAlign w:val="center"/>
          </w:tcPr>
          <w:p w14:paraId="1AAB77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0.11</w:t>
            </w:r>
          </w:p>
        </w:tc>
        <w:tc>
          <w:tcPr>
            <w:tcW w:w="608" w:type="pct"/>
            <w:noWrap/>
            <w:vAlign w:val="center"/>
          </w:tcPr>
          <w:p w14:paraId="506236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0D307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366" w:type="pct"/>
            <w:noWrap/>
            <w:vAlign w:val="center"/>
          </w:tcPr>
          <w:p w14:paraId="35A46A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47</w:t>
            </w:r>
          </w:p>
        </w:tc>
        <w:tc>
          <w:tcPr>
            <w:tcW w:w="1210" w:type="pct"/>
            <w:noWrap/>
            <w:vAlign w:val="center"/>
          </w:tcPr>
          <w:p w14:paraId="75B05E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湖滨小区</w:t>
            </w:r>
          </w:p>
        </w:tc>
        <w:tc>
          <w:tcPr>
            <w:tcW w:w="608" w:type="pct"/>
            <w:noWrap/>
            <w:vAlign w:val="center"/>
          </w:tcPr>
          <w:p w14:paraId="29C899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14172E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2.16E-04</w:t>
            </w:r>
          </w:p>
        </w:tc>
        <w:tc>
          <w:tcPr>
            <w:tcW w:w="749" w:type="pct"/>
            <w:noWrap/>
            <w:vAlign w:val="center"/>
          </w:tcPr>
          <w:p w14:paraId="5152E9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24032012</w:t>
            </w:r>
          </w:p>
        </w:tc>
        <w:tc>
          <w:tcPr>
            <w:tcW w:w="588" w:type="pct"/>
            <w:noWrap/>
            <w:vAlign w:val="center"/>
          </w:tcPr>
          <w:p w14:paraId="525A67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0.11</w:t>
            </w:r>
          </w:p>
        </w:tc>
        <w:tc>
          <w:tcPr>
            <w:tcW w:w="608" w:type="pct"/>
            <w:noWrap/>
            <w:vAlign w:val="center"/>
          </w:tcPr>
          <w:p w14:paraId="4AD81F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35410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366" w:type="pct"/>
            <w:noWrap/>
            <w:vAlign w:val="center"/>
          </w:tcPr>
          <w:p w14:paraId="631F58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48</w:t>
            </w:r>
          </w:p>
        </w:tc>
        <w:tc>
          <w:tcPr>
            <w:tcW w:w="1210" w:type="pct"/>
            <w:noWrap/>
            <w:vAlign w:val="center"/>
          </w:tcPr>
          <w:p w14:paraId="187AB9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吉祥小区</w:t>
            </w:r>
          </w:p>
        </w:tc>
        <w:tc>
          <w:tcPr>
            <w:tcW w:w="608" w:type="pct"/>
            <w:noWrap/>
            <w:vAlign w:val="center"/>
          </w:tcPr>
          <w:p w14:paraId="766118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D65D1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7.30E-05</w:t>
            </w:r>
          </w:p>
        </w:tc>
        <w:tc>
          <w:tcPr>
            <w:tcW w:w="749" w:type="pct"/>
            <w:noWrap/>
            <w:vAlign w:val="center"/>
          </w:tcPr>
          <w:p w14:paraId="2E520E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24111312</w:t>
            </w:r>
          </w:p>
        </w:tc>
        <w:tc>
          <w:tcPr>
            <w:tcW w:w="588" w:type="pct"/>
            <w:noWrap/>
            <w:vAlign w:val="center"/>
          </w:tcPr>
          <w:p w14:paraId="005FAD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0.04</w:t>
            </w:r>
          </w:p>
        </w:tc>
        <w:tc>
          <w:tcPr>
            <w:tcW w:w="608" w:type="pct"/>
            <w:noWrap/>
            <w:vAlign w:val="center"/>
          </w:tcPr>
          <w:p w14:paraId="1D6860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1EFB6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366" w:type="pct"/>
            <w:noWrap/>
            <w:vAlign w:val="center"/>
          </w:tcPr>
          <w:p w14:paraId="2D3074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49</w:t>
            </w:r>
          </w:p>
        </w:tc>
        <w:tc>
          <w:tcPr>
            <w:tcW w:w="1210" w:type="pct"/>
            <w:noWrap/>
            <w:vAlign w:val="center"/>
          </w:tcPr>
          <w:p w14:paraId="00B280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天佑国际</w:t>
            </w:r>
          </w:p>
        </w:tc>
        <w:tc>
          <w:tcPr>
            <w:tcW w:w="608" w:type="pct"/>
            <w:noWrap/>
            <w:vAlign w:val="center"/>
          </w:tcPr>
          <w:p w14:paraId="5E6636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1DC4A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2.12E-04</w:t>
            </w:r>
          </w:p>
        </w:tc>
        <w:tc>
          <w:tcPr>
            <w:tcW w:w="749" w:type="pct"/>
            <w:noWrap/>
            <w:vAlign w:val="center"/>
          </w:tcPr>
          <w:p w14:paraId="555469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588" w:type="pct"/>
            <w:noWrap/>
            <w:vAlign w:val="center"/>
          </w:tcPr>
          <w:p w14:paraId="3267B6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0.11</w:t>
            </w:r>
          </w:p>
        </w:tc>
        <w:tc>
          <w:tcPr>
            <w:tcW w:w="608" w:type="pct"/>
            <w:noWrap/>
            <w:vAlign w:val="center"/>
          </w:tcPr>
          <w:p w14:paraId="662D12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42573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66" w:type="pct"/>
            <w:noWrap/>
            <w:vAlign w:val="center"/>
          </w:tcPr>
          <w:p w14:paraId="6CA122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50</w:t>
            </w:r>
          </w:p>
        </w:tc>
        <w:tc>
          <w:tcPr>
            <w:tcW w:w="1210" w:type="pct"/>
            <w:noWrap/>
            <w:vAlign w:val="center"/>
          </w:tcPr>
          <w:p w14:paraId="4A5716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前进社区</w:t>
            </w:r>
          </w:p>
        </w:tc>
        <w:tc>
          <w:tcPr>
            <w:tcW w:w="608" w:type="pct"/>
            <w:noWrap/>
            <w:vAlign w:val="center"/>
          </w:tcPr>
          <w:p w14:paraId="37E6D8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514153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2.34E-04</w:t>
            </w:r>
          </w:p>
        </w:tc>
        <w:tc>
          <w:tcPr>
            <w:tcW w:w="749" w:type="pct"/>
            <w:noWrap/>
            <w:vAlign w:val="center"/>
          </w:tcPr>
          <w:p w14:paraId="75153E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24101108</w:t>
            </w:r>
          </w:p>
        </w:tc>
        <w:tc>
          <w:tcPr>
            <w:tcW w:w="588" w:type="pct"/>
            <w:noWrap/>
            <w:vAlign w:val="center"/>
          </w:tcPr>
          <w:p w14:paraId="2A3A7D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0.12</w:t>
            </w:r>
          </w:p>
        </w:tc>
        <w:tc>
          <w:tcPr>
            <w:tcW w:w="608" w:type="pct"/>
            <w:noWrap/>
            <w:vAlign w:val="center"/>
          </w:tcPr>
          <w:p w14:paraId="39E6FB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ECB0C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366" w:type="pct"/>
            <w:noWrap/>
            <w:vAlign w:val="center"/>
          </w:tcPr>
          <w:p w14:paraId="1629AE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51</w:t>
            </w:r>
          </w:p>
        </w:tc>
        <w:tc>
          <w:tcPr>
            <w:tcW w:w="1210" w:type="pct"/>
            <w:noWrap/>
            <w:vAlign w:val="center"/>
          </w:tcPr>
          <w:p w14:paraId="53C924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幸福家园</w:t>
            </w:r>
          </w:p>
        </w:tc>
        <w:tc>
          <w:tcPr>
            <w:tcW w:w="608" w:type="pct"/>
            <w:noWrap/>
            <w:vAlign w:val="center"/>
          </w:tcPr>
          <w:p w14:paraId="79B760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6E325D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3.47E-04</w:t>
            </w:r>
          </w:p>
        </w:tc>
        <w:tc>
          <w:tcPr>
            <w:tcW w:w="749" w:type="pct"/>
            <w:noWrap/>
            <w:vAlign w:val="center"/>
          </w:tcPr>
          <w:p w14:paraId="7905A3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588" w:type="pct"/>
            <w:noWrap/>
            <w:vAlign w:val="center"/>
          </w:tcPr>
          <w:p w14:paraId="63311B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0.17</w:t>
            </w:r>
          </w:p>
        </w:tc>
        <w:tc>
          <w:tcPr>
            <w:tcW w:w="608" w:type="pct"/>
            <w:noWrap/>
            <w:vAlign w:val="center"/>
          </w:tcPr>
          <w:p w14:paraId="243AD0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603309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 w:hRule="atLeast"/>
          <w:jc w:val="center"/>
        </w:trPr>
        <w:tc>
          <w:tcPr>
            <w:tcW w:w="366" w:type="pct"/>
            <w:noWrap/>
            <w:vAlign w:val="center"/>
          </w:tcPr>
          <w:p w14:paraId="735F12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52</w:t>
            </w:r>
          </w:p>
        </w:tc>
        <w:tc>
          <w:tcPr>
            <w:tcW w:w="1210" w:type="pct"/>
            <w:noWrap/>
            <w:vAlign w:val="center"/>
          </w:tcPr>
          <w:p w14:paraId="607A39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盛世嘉园</w:t>
            </w:r>
          </w:p>
        </w:tc>
        <w:tc>
          <w:tcPr>
            <w:tcW w:w="608" w:type="pct"/>
            <w:noWrap/>
            <w:vAlign w:val="center"/>
          </w:tcPr>
          <w:p w14:paraId="7C662A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3F167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1.63E-04</w:t>
            </w:r>
          </w:p>
        </w:tc>
        <w:tc>
          <w:tcPr>
            <w:tcW w:w="749" w:type="pct"/>
            <w:noWrap/>
            <w:vAlign w:val="center"/>
          </w:tcPr>
          <w:p w14:paraId="13927A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24031913</w:t>
            </w:r>
          </w:p>
        </w:tc>
        <w:tc>
          <w:tcPr>
            <w:tcW w:w="588" w:type="pct"/>
            <w:noWrap/>
            <w:vAlign w:val="center"/>
          </w:tcPr>
          <w:p w14:paraId="0ECFEF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5ACB0B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1A2188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366" w:type="pct"/>
            <w:noWrap/>
            <w:vAlign w:val="center"/>
          </w:tcPr>
          <w:p w14:paraId="150F00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53</w:t>
            </w:r>
          </w:p>
        </w:tc>
        <w:tc>
          <w:tcPr>
            <w:tcW w:w="1210" w:type="pct"/>
            <w:noWrap/>
            <w:vAlign w:val="center"/>
          </w:tcPr>
          <w:p w14:paraId="04DC88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val="en-US" w:eastAsia="zh-CN" w:bidi="ar"/>
              </w:rPr>
              <w:t>兄弟花园</w:t>
            </w:r>
          </w:p>
        </w:tc>
        <w:tc>
          <w:tcPr>
            <w:tcW w:w="608" w:type="pct"/>
            <w:noWrap/>
            <w:vAlign w:val="center"/>
          </w:tcPr>
          <w:p w14:paraId="172B12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4FF396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1.32E-04</w:t>
            </w:r>
          </w:p>
        </w:tc>
        <w:tc>
          <w:tcPr>
            <w:tcW w:w="749" w:type="pct"/>
            <w:noWrap/>
            <w:vAlign w:val="center"/>
          </w:tcPr>
          <w:p w14:paraId="5BCC41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1386B1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0.07</w:t>
            </w:r>
          </w:p>
        </w:tc>
        <w:tc>
          <w:tcPr>
            <w:tcW w:w="608" w:type="pct"/>
            <w:noWrap/>
            <w:vAlign w:val="center"/>
          </w:tcPr>
          <w:p w14:paraId="733470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598D8E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366" w:type="pct"/>
            <w:noWrap/>
            <w:vAlign w:val="center"/>
          </w:tcPr>
          <w:p w14:paraId="494EF5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54</w:t>
            </w:r>
          </w:p>
        </w:tc>
        <w:tc>
          <w:tcPr>
            <w:tcW w:w="1210" w:type="pct"/>
            <w:noWrap/>
            <w:vAlign w:val="center"/>
          </w:tcPr>
          <w:p w14:paraId="27D4D5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同福嘉园</w:t>
            </w:r>
          </w:p>
        </w:tc>
        <w:tc>
          <w:tcPr>
            <w:tcW w:w="608" w:type="pct"/>
            <w:noWrap/>
            <w:vAlign w:val="center"/>
          </w:tcPr>
          <w:p w14:paraId="61922E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024018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1.62E-04</w:t>
            </w:r>
          </w:p>
        </w:tc>
        <w:tc>
          <w:tcPr>
            <w:tcW w:w="749" w:type="pct"/>
            <w:noWrap/>
            <w:vAlign w:val="center"/>
          </w:tcPr>
          <w:p w14:paraId="16676E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24032109</w:t>
            </w:r>
          </w:p>
        </w:tc>
        <w:tc>
          <w:tcPr>
            <w:tcW w:w="588" w:type="pct"/>
            <w:noWrap/>
            <w:vAlign w:val="center"/>
          </w:tcPr>
          <w:p w14:paraId="3C04C6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15BF82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9F3EF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366" w:type="pct"/>
            <w:noWrap/>
            <w:vAlign w:val="center"/>
          </w:tcPr>
          <w:p w14:paraId="5BC25B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55</w:t>
            </w:r>
          </w:p>
        </w:tc>
        <w:tc>
          <w:tcPr>
            <w:tcW w:w="1210" w:type="pct"/>
            <w:noWrap/>
            <w:vAlign w:val="center"/>
          </w:tcPr>
          <w:p w14:paraId="530242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富邦名苑</w:t>
            </w:r>
          </w:p>
        </w:tc>
        <w:tc>
          <w:tcPr>
            <w:tcW w:w="608" w:type="pct"/>
            <w:noWrap/>
            <w:vAlign w:val="center"/>
          </w:tcPr>
          <w:p w14:paraId="62276A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A1B8B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1.66E-04</w:t>
            </w:r>
          </w:p>
        </w:tc>
        <w:tc>
          <w:tcPr>
            <w:tcW w:w="749" w:type="pct"/>
            <w:noWrap/>
            <w:vAlign w:val="center"/>
          </w:tcPr>
          <w:p w14:paraId="44B6E7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24031916</w:t>
            </w:r>
          </w:p>
        </w:tc>
        <w:tc>
          <w:tcPr>
            <w:tcW w:w="588" w:type="pct"/>
            <w:noWrap/>
            <w:vAlign w:val="center"/>
          </w:tcPr>
          <w:p w14:paraId="6F1CBA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1CAF74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419C1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366" w:type="pct"/>
            <w:noWrap/>
            <w:vAlign w:val="center"/>
          </w:tcPr>
          <w:p w14:paraId="3DF89C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56</w:t>
            </w:r>
          </w:p>
        </w:tc>
        <w:tc>
          <w:tcPr>
            <w:tcW w:w="1210" w:type="pct"/>
            <w:noWrap/>
            <w:vAlign w:val="center"/>
          </w:tcPr>
          <w:p w14:paraId="465C12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龙海世纪大酒店</w:t>
            </w:r>
          </w:p>
        </w:tc>
        <w:tc>
          <w:tcPr>
            <w:tcW w:w="608" w:type="pct"/>
            <w:noWrap/>
            <w:vAlign w:val="center"/>
          </w:tcPr>
          <w:p w14:paraId="308189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942F5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1.66E-04</w:t>
            </w:r>
          </w:p>
        </w:tc>
        <w:tc>
          <w:tcPr>
            <w:tcW w:w="749" w:type="pct"/>
            <w:noWrap/>
            <w:vAlign w:val="center"/>
          </w:tcPr>
          <w:p w14:paraId="606B28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24040909</w:t>
            </w:r>
          </w:p>
        </w:tc>
        <w:tc>
          <w:tcPr>
            <w:tcW w:w="588" w:type="pct"/>
            <w:noWrap/>
            <w:vAlign w:val="center"/>
          </w:tcPr>
          <w:p w14:paraId="5A6A70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0.08</w:t>
            </w:r>
          </w:p>
        </w:tc>
        <w:tc>
          <w:tcPr>
            <w:tcW w:w="608" w:type="pct"/>
            <w:noWrap/>
            <w:vAlign w:val="center"/>
          </w:tcPr>
          <w:p w14:paraId="4FCBF7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04B7C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366" w:type="pct"/>
            <w:noWrap/>
            <w:vAlign w:val="center"/>
          </w:tcPr>
          <w:p w14:paraId="30EB42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57</w:t>
            </w:r>
          </w:p>
        </w:tc>
        <w:tc>
          <w:tcPr>
            <w:tcW w:w="1210" w:type="pct"/>
            <w:noWrap/>
            <w:vAlign w:val="center"/>
          </w:tcPr>
          <w:p w14:paraId="26EB1A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供电小区</w:t>
            </w:r>
          </w:p>
        </w:tc>
        <w:tc>
          <w:tcPr>
            <w:tcW w:w="608" w:type="pct"/>
            <w:noWrap/>
            <w:vAlign w:val="center"/>
          </w:tcPr>
          <w:p w14:paraId="77D04A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0A8A88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2.41E-04</w:t>
            </w:r>
          </w:p>
        </w:tc>
        <w:tc>
          <w:tcPr>
            <w:tcW w:w="749" w:type="pct"/>
            <w:noWrap/>
            <w:vAlign w:val="center"/>
          </w:tcPr>
          <w:p w14:paraId="305401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24110810</w:t>
            </w:r>
          </w:p>
        </w:tc>
        <w:tc>
          <w:tcPr>
            <w:tcW w:w="588" w:type="pct"/>
            <w:noWrap/>
            <w:vAlign w:val="center"/>
          </w:tcPr>
          <w:p w14:paraId="270C61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0.12</w:t>
            </w:r>
          </w:p>
        </w:tc>
        <w:tc>
          <w:tcPr>
            <w:tcW w:w="608" w:type="pct"/>
            <w:noWrap/>
            <w:vAlign w:val="center"/>
          </w:tcPr>
          <w:p w14:paraId="723488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2BEC8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366" w:type="pct"/>
            <w:noWrap/>
            <w:vAlign w:val="center"/>
          </w:tcPr>
          <w:p w14:paraId="37BF5B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58</w:t>
            </w:r>
          </w:p>
        </w:tc>
        <w:tc>
          <w:tcPr>
            <w:tcW w:w="1210" w:type="pct"/>
            <w:noWrap/>
            <w:vAlign w:val="center"/>
          </w:tcPr>
          <w:p w14:paraId="530B07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九鹤堂医院</w:t>
            </w:r>
          </w:p>
        </w:tc>
        <w:tc>
          <w:tcPr>
            <w:tcW w:w="608" w:type="pct"/>
            <w:noWrap/>
            <w:vAlign w:val="center"/>
          </w:tcPr>
          <w:p w14:paraId="585D7B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3C3FCC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2.47E-04</w:t>
            </w:r>
          </w:p>
        </w:tc>
        <w:tc>
          <w:tcPr>
            <w:tcW w:w="749" w:type="pct"/>
            <w:noWrap/>
            <w:vAlign w:val="center"/>
          </w:tcPr>
          <w:p w14:paraId="3C2FF2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24110810</w:t>
            </w:r>
          </w:p>
        </w:tc>
        <w:tc>
          <w:tcPr>
            <w:tcW w:w="588" w:type="pct"/>
            <w:noWrap/>
            <w:vAlign w:val="center"/>
          </w:tcPr>
          <w:p w14:paraId="328253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0.12</w:t>
            </w:r>
          </w:p>
        </w:tc>
        <w:tc>
          <w:tcPr>
            <w:tcW w:w="608" w:type="pct"/>
            <w:noWrap/>
            <w:vAlign w:val="center"/>
          </w:tcPr>
          <w:p w14:paraId="6C3BB8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17548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366" w:type="pct"/>
            <w:noWrap/>
            <w:vAlign w:val="center"/>
          </w:tcPr>
          <w:p w14:paraId="38DE98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59</w:t>
            </w:r>
          </w:p>
        </w:tc>
        <w:tc>
          <w:tcPr>
            <w:tcW w:w="1210" w:type="pct"/>
            <w:noWrap/>
            <w:vAlign w:val="center"/>
          </w:tcPr>
          <w:p w14:paraId="24220A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颐民敬老院卫生所</w:t>
            </w:r>
          </w:p>
        </w:tc>
        <w:tc>
          <w:tcPr>
            <w:tcW w:w="608" w:type="pct"/>
            <w:noWrap/>
            <w:vAlign w:val="center"/>
          </w:tcPr>
          <w:p w14:paraId="0A3308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19FA6D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1.73E-04</w:t>
            </w:r>
          </w:p>
        </w:tc>
        <w:tc>
          <w:tcPr>
            <w:tcW w:w="749" w:type="pct"/>
            <w:noWrap/>
            <w:vAlign w:val="center"/>
          </w:tcPr>
          <w:p w14:paraId="44EAF8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24042110</w:t>
            </w:r>
          </w:p>
        </w:tc>
        <w:tc>
          <w:tcPr>
            <w:tcW w:w="588" w:type="pct"/>
            <w:noWrap/>
            <w:vAlign w:val="center"/>
          </w:tcPr>
          <w:p w14:paraId="4F0764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0.09</w:t>
            </w:r>
          </w:p>
        </w:tc>
        <w:tc>
          <w:tcPr>
            <w:tcW w:w="608" w:type="pct"/>
            <w:noWrap/>
            <w:vAlign w:val="center"/>
          </w:tcPr>
          <w:p w14:paraId="618ACF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3A64AE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366" w:type="pct"/>
            <w:noWrap/>
            <w:vAlign w:val="center"/>
          </w:tcPr>
          <w:p w14:paraId="570607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60</w:t>
            </w:r>
          </w:p>
        </w:tc>
        <w:tc>
          <w:tcPr>
            <w:tcW w:w="1210" w:type="pct"/>
            <w:noWrap/>
            <w:vAlign w:val="center"/>
          </w:tcPr>
          <w:p w14:paraId="70A3A7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绥芬河市中医医院</w:t>
            </w:r>
          </w:p>
        </w:tc>
        <w:tc>
          <w:tcPr>
            <w:tcW w:w="608" w:type="pct"/>
            <w:noWrap/>
            <w:vAlign w:val="center"/>
          </w:tcPr>
          <w:p w14:paraId="54B0F6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ascii="Times New Roman" w:hAnsi="Times New Roman" w:eastAsia="宋体" w:cs="Times New Roman"/>
                <w:kern w:val="0"/>
                <w:sz w:val="21"/>
                <w:highlight w:val="none"/>
                <w:lang w:bidi="ar"/>
              </w:rPr>
              <w:t>1小时</w:t>
            </w:r>
          </w:p>
        </w:tc>
        <w:tc>
          <w:tcPr>
            <w:tcW w:w="867" w:type="pct"/>
            <w:noWrap/>
            <w:vAlign w:val="center"/>
          </w:tcPr>
          <w:p w14:paraId="24F328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8.44E-05</w:t>
            </w:r>
          </w:p>
        </w:tc>
        <w:tc>
          <w:tcPr>
            <w:tcW w:w="749" w:type="pct"/>
            <w:noWrap/>
            <w:vAlign w:val="center"/>
          </w:tcPr>
          <w:p w14:paraId="35E156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24041107</w:t>
            </w:r>
          </w:p>
        </w:tc>
        <w:tc>
          <w:tcPr>
            <w:tcW w:w="588" w:type="pct"/>
            <w:noWrap/>
            <w:vAlign w:val="center"/>
          </w:tcPr>
          <w:p w14:paraId="1AF50A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0.04</w:t>
            </w:r>
          </w:p>
        </w:tc>
        <w:tc>
          <w:tcPr>
            <w:tcW w:w="608" w:type="pct"/>
            <w:noWrap/>
            <w:vAlign w:val="center"/>
          </w:tcPr>
          <w:p w14:paraId="7E4EED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0432D5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366" w:type="pct"/>
            <w:noWrap/>
            <w:vAlign w:val="center"/>
          </w:tcPr>
          <w:p w14:paraId="721B2E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w:t>
            </w:r>
          </w:p>
        </w:tc>
        <w:tc>
          <w:tcPr>
            <w:tcW w:w="1210" w:type="pct"/>
            <w:noWrap/>
            <w:vAlign w:val="center"/>
          </w:tcPr>
          <w:p w14:paraId="69C175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立银医院</w:t>
            </w:r>
          </w:p>
        </w:tc>
        <w:tc>
          <w:tcPr>
            <w:tcW w:w="608" w:type="pct"/>
            <w:noWrap/>
            <w:vAlign w:val="center"/>
          </w:tcPr>
          <w:p w14:paraId="6FC609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1小时</w:t>
            </w:r>
          </w:p>
        </w:tc>
        <w:tc>
          <w:tcPr>
            <w:tcW w:w="867" w:type="pct"/>
            <w:noWrap/>
            <w:vAlign w:val="center"/>
          </w:tcPr>
          <w:p w14:paraId="6E2CBA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1.95E-04</w:t>
            </w:r>
          </w:p>
        </w:tc>
        <w:tc>
          <w:tcPr>
            <w:tcW w:w="749" w:type="pct"/>
            <w:noWrap/>
            <w:vAlign w:val="center"/>
          </w:tcPr>
          <w:p w14:paraId="3A129A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588" w:type="pct"/>
            <w:noWrap/>
            <w:vAlign w:val="center"/>
          </w:tcPr>
          <w:p w14:paraId="42966D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eastAsia="zh-CN" w:bidi="ar"/>
              </w:rPr>
            </w:pPr>
            <w:r>
              <w:rPr>
                <w:rFonts w:hint="eastAsia" w:ascii="Times New Roman" w:hAnsi="Times New Roman" w:eastAsia="宋体" w:cs="Times New Roman"/>
                <w:kern w:val="0"/>
                <w:sz w:val="21"/>
                <w:highlight w:val="none"/>
                <w:lang w:bidi="ar"/>
              </w:rPr>
              <w:t>0.1</w:t>
            </w:r>
            <w:r>
              <w:rPr>
                <w:rFonts w:hint="eastAsia" w:ascii="Times New Roman" w:hAnsi="Times New Roman" w:eastAsia="宋体" w:cs="Times New Roman"/>
                <w:kern w:val="0"/>
                <w:sz w:val="21"/>
                <w:highlight w:val="none"/>
                <w:lang w:val="en-US" w:eastAsia="zh-CN" w:bidi="ar"/>
              </w:rPr>
              <w:t>0</w:t>
            </w:r>
          </w:p>
        </w:tc>
        <w:tc>
          <w:tcPr>
            <w:tcW w:w="608" w:type="pct"/>
            <w:noWrap/>
            <w:vAlign w:val="center"/>
          </w:tcPr>
          <w:p w14:paraId="463CF9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4D43A2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366" w:type="pct"/>
            <w:noWrap/>
            <w:vAlign w:val="center"/>
          </w:tcPr>
          <w:p w14:paraId="21DA19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cs="Times New Roman"/>
                <w:kern w:val="0"/>
                <w:sz w:val="21"/>
                <w:highlight w:val="none"/>
                <w:lang w:val="en-US" w:eastAsia="zh-CN" w:bidi="ar"/>
              </w:rPr>
              <w:t>62</w:t>
            </w:r>
          </w:p>
        </w:tc>
        <w:tc>
          <w:tcPr>
            <w:tcW w:w="1210" w:type="pct"/>
            <w:noWrap/>
            <w:vAlign w:val="center"/>
          </w:tcPr>
          <w:p w14:paraId="06A40B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cs="Times New Roman"/>
                <w:kern w:val="0"/>
                <w:sz w:val="21"/>
                <w:highlight w:val="none"/>
                <w:lang w:val="en-US" w:eastAsia="zh-CN" w:bidi="ar"/>
              </w:rPr>
              <w:t>绥芬河市传染病医院</w:t>
            </w:r>
          </w:p>
        </w:tc>
        <w:tc>
          <w:tcPr>
            <w:tcW w:w="608" w:type="pct"/>
            <w:noWrap/>
            <w:vAlign w:val="center"/>
          </w:tcPr>
          <w:p w14:paraId="1C2350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cs="Times New Roman"/>
                <w:kern w:val="0"/>
                <w:sz w:val="21"/>
                <w:highlight w:val="none"/>
                <w:lang w:val="en-US" w:eastAsia="zh-CN" w:bidi="ar"/>
              </w:rPr>
              <w:t>1小时</w:t>
            </w:r>
          </w:p>
        </w:tc>
        <w:tc>
          <w:tcPr>
            <w:tcW w:w="867" w:type="pct"/>
            <w:noWrap/>
            <w:vAlign w:val="center"/>
          </w:tcPr>
          <w:p w14:paraId="261F2C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3.50E-04</w:t>
            </w:r>
          </w:p>
        </w:tc>
        <w:tc>
          <w:tcPr>
            <w:tcW w:w="1278" w:type="dxa"/>
            <w:noWrap/>
            <w:vAlign w:val="center"/>
          </w:tcPr>
          <w:p w14:paraId="593D2D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24111910</w:t>
            </w:r>
          </w:p>
        </w:tc>
        <w:tc>
          <w:tcPr>
            <w:tcW w:w="1003" w:type="dxa"/>
            <w:noWrap/>
            <w:vAlign w:val="center"/>
          </w:tcPr>
          <w:p w14:paraId="67CD37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0.17</w:t>
            </w:r>
          </w:p>
        </w:tc>
        <w:tc>
          <w:tcPr>
            <w:tcW w:w="608" w:type="pct"/>
            <w:noWrap/>
            <w:vAlign w:val="center"/>
          </w:tcPr>
          <w:p w14:paraId="2E5867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bidi="ar"/>
              </w:rPr>
            </w:pPr>
            <w:r>
              <w:rPr>
                <w:rFonts w:hint="eastAsia" w:ascii="Times New Roman" w:hAnsi="Times New Roman" w:eastAsia="宋体" w:cs="Times New Roman"/>
                <w:kern w:val="0"/>
                <w:sz w:val="21"/>
                <w:highlight w:val="none"/>
                <w:lang w:bidi="ar"/>
              </w:rPr>
              <w:t>达标</w:t>
            </w:r>
          </w:p>
        </w:tc>
      </w:tr>
      <w:tr w14:paraId="7FE19B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366" w:type="pct"/>
            <w:noWrap/>
            <w:vAlign w:val="center"/>
          </w:tcPr>
          <w:p w14:paraId="1317AC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w:t>
            </w:r>
            <w:r>
              <w:rPr>
                <w:rFonts w:hint="eastAsia" w:ascii="Times New Roman" w:hAnsi="Times New Roman" w:cs="Times New Roman"/>
                <w:kern w:val="0"/>
                <w:sz w:val="21"/>
                <w:highlight w:val="none"/>
                <w:lang w:val="en-US" w:eastAsia="zh-CN" w:bidi="ar"/>
              </w:rPr>
              <w:t>3</w:t>
            </w:r>
          </w:p>
        </w:tc>
        <w:tc>
          <w:tcPr>
            <w:tcW w:w="1210" w:type="pct"/>
            <w:noWrap/>
            <w:vAlign w:val="center"/>
          </w:tcPr>
          <w:p w14:paraId="306A33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网格</w:t>
            </w:r>
          </w:p>
        </w:tc>
        <w:tc>
          <w:tcPr>
            <w:tcW w:w="608" w:type="pct"/>
            <w:noWrap/>
            <w:vAlign w:val="center"/>
          </w:tcPr>
          <w:p w14:paraId="0A4B70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1小时</w:t>
            </w:r>
          </w:p>
        </w:tc>
        <w:tc>
          <w:tcPr>
            <w:tcW w:w="867" w:type="pct"/>
            <w:noWrap/>
            <w:vAlign w:val="center"/>
          </w:tcPr>
          <w:p w14:paraId="4598F1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3.16E-04</w:t>
            </w:r>
          </w:p>
        </w:tc>
        <w:tc>
          <w:tcPr>
            <w:tcW w:w="749" w:type="pct"/>
            <w:noWrap/>
            <w:vAlign w:val="center"/>
          </w:tcPr>
          <w:p w14:paraId="61339B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24101411</w:t>
            </w:r>
          </w:p>
        </w:tc>
        <w:tc>
          <w:tcPr>
            <w:tcW w:w="588" w:type="pct"/>
            <w:noWrap/>
            <w:vAlign w:val="center"/>
          </w:tcPr>
          <w:p w14:paraId="576BF8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0.16</w:t>
            </w:r>
          </w:p>
        </w:tc>
        <w:tc>
          <w:tcPr>
            <w:tcW w:w="608" w:type="pct"/>
            <w:noWrap/>
            <w:vAlign w:val="center"/>
          </w:tcPr>
          <w:p w14:paraId="549BDE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bl>
    <w:p w14:paraId="1DF9CDEA">
      <w:pPr>
        <w:ind w:firstLine="480"/>
        <w:rPr>
          <w:rFonts w:ascii="Times New Roman" w:hAnsi="Times New Roman"/>
          <w:color w:val="auto"/>
          <w:highlight w:val="none"/>
        </w:rPr>
      </w:pPr>
      <w:r>
        <w:rPr>
          <w:rFonts w:ascii="Times New Roman" w:hAnsi="Times New Roman"/>
          <w:color w:val="auto"/>
          <w:highlight w:val="none"/>
        </w:rPr>
        <w:t>本项目氨气短期贡献浓度占标率≤100%。</w:t>
      </w:r>
    </w:p>
    <w:p w14:paraId="2B2B67E8">
      <w:pPr>
        <w:ind w:firstLine="480"/>
        <w:rPr>
          <w:rFonts w:ascii="Times New Roman" w:hAnsi="Times New Roman"/>
          <w:color w:val="auto"/>
          <w:highlight w:val="none"/>
        </w:rPr>
      </w:pPr>
      <w:r>
        <w:rPr>
          <w:rFonts w:ascii="Times New Roman" w:hAnsi="Times New Roman"/>
          <w:color w:val="auto"/>
          <w:highlight w:val="none"/>
        </w:rPr>
        <w:t>（</w:t>
      </w:r>
      <w:r>
        <w:rPr>
          <w:rFonts w:hint="eastAsia" w:ascii="Times New Roman" w:hAnsi="Times New Roman"/>
          <w:color w:val="auto"/>
          <w:highlight w:val="none"/>
        </w:rPr>
        <w:t>6</w:t>
      </w:r>
      <w:r>
        <w:rPr>
          <w:rFonts w:ascii="Times New Roman" w:hAnsi="Times New Roman"/>
          <w:color w:val="auto"/>
          <w:highlight w:val="none"/>
        </w:rPr>
        <w:t>）本项目</w:t>
      </w:r>
      <w:r>
        <w:rPr>
          <w:rFonts w:hint="eastAsia" w:ascii="Times New Roman" w:hAnsi="Times New Roman"/>
          <w:color w:val="auto"/>
          <w:highlight w:val="none"/>
        </w:rPr>
        <w:t>汞</w:t>
      </w:r>
      <w:r>
        <w:rPr>
          <w:rFonts w:ascii="Times New Roman" w:hAnsi="Times New Roman"/>
          <w:color w:val="auto"/>
          <w:highlight w:val="none"/>
        </w:rPr>
        <w:t>贡献浓度预测结果分析</w:t>
      </w:r>
    </w:p>
    <w:p w14:paraId="70740D36">
      <w:pPr>
        <w:ind w:firstLine="480"/>
        <w:rPr>
          <w:rFonts w:ascii="Times New Roman" w:hAnsi="Times New Roman"/>
          <w:color w:val="auto"/>
          <w:highlight w:val="none"/>
        </w:rPr>
      </w:pPr>
      <w:r>
        <w:rPr>
          <w:rFonts w:ascii="Times New Roman" w:hAnsi="Times New Roman"/>
          <w:color w:val="auto"/>
          <w:highlight w:val="none"/>
        </w:rPr>
        <w:t>本项目</w:t>
      </w:r>
      <w:r>
        <w:rPr>
          <w:rFonts w:hint="eastAsia" w:ascii="Times New Roman" w:hAnsi="Times New Roman"/>
          <w:color w:val="auto"/>
          <w:highlight w:val="none"/>
        </w:rPr>
        <w:t>汞</w:t>
      </w:r>
      <w:r>
        <w:rPr>
          <w:rFonts w:ascii="Times New Roman" w:hAnsi="Times New Roman"/>
          <w:color w:val="auto"/>
          <w:highlight w:val="none"/>
        </w:rPr>
        <w:t>对环境空气敏感点及区域最大浓度点短期贡献浓度值及占标率见表5.2-</w:t>
      </w:r>
      <w:r>
        <w:rPr>
          <w:rFonts w:hint="eastAsia" w:ascii="Times New Roman" w:hAnsi="Times New Roman"/>
          <w:color w:val="auto"/>
          <w:highlight w:val="none"/>
        </w:rPr>
        <w:t>1</w:t>
      </w:r>
      <w:r>
        <w:rPr>
          <w:rFonts w:hint="eastAsia" w:ascii="Times New Roman" w:hAnsi="Times New Roman"/>
          <w:color w:val="auto"/>
          <w:highlight w:val="none"/>
          <w:lang w:val="en-US" w:eastAsia="zh-CN"/>
        </w:rPr>
        <w:t>6</w:t>
      </w:r>
      <w:r>
        <w:rPr>
          <w:rFonts w:ascii="Times New Roman" w:hAnsi="Times New Roman"/>
          <w:color w:val="auto"/>
          <w:highlight w:val="none"/>
        </w:rPr>
        <w:t>。</w:t>
      </w:r>
    </w:p>
    <w:p w14:paraId="5E45F138">
      <w:pPr>
        <w:ind w:firstLine="0" w:firstLineChars="0"/>
        <w:jc w:val="center"/>
        <w:rPr>
          <w:rFonts w:hint="eastAsia" w:ascii="黑体" w:hAnsi="黑体" w:eastAsia="黑体" w:cs="黑体"/>
          <w:color w:val="auto"/>
          <w:highlight w:val="none"/>
        </w:rPr>
      </w:pPr>
    </w:p>
    <w:p w14:paraId="33DA226C">
      <w:pPr>
        <w:ind w:firstLine="0" w:firstLineChars="0"/>
        <w:jc w:val="center"/>
        <w:rPr>
          <w:rFonts w:ascii="Times New Roman" w:hAnsi="Times New Roman"/>
          <w:color w:val="auto"/>
          <w:highlight w:val="none"/>
        </w:rPr>
      </w:pPr>
      <w:r>
        <w:rPr>
          <w:rFonts w:hint="eastAsia" w:ascii="黑体" w:hAnsi="黑体" w:eastAsia="黑体" w:cs="黑体"/>
          <w:color w:val="auto"/>
          <w:highlight w:val="none"/>
        </w:rPr>
        <w:t>表</w:t>
      </w:r>
      <w:r>
        <w:rPr>
          <w:rFonts w:ascii="Times New Roman" w:hAnsi="Times New Roman"/>
          <w:color w:val="auto"/>
          <w:highlight w:val="none"/>
        </w:rPr>
        <w:t>5</w:t>
      </w:r>
      <w:r>
        <w:rPr>
          <w:rFonts w:hint="eastAsia" w:ascii="Times New Roman" w:hAnsi="Times New Roman"/>
          <w:color w:val="auto"/>
          <w:highlight w:val="none"/>
        </w:rPr>
        <w:t>.2</w:t>
      </w:r>
      <w:r>
        <w:rPr>
          <w:rFonts w:ascii="Times New Roman" w:hAnsi="Times New Roman"/>
          <w:color w:val="auto"/>
          <w:highlight w:val="none"/>
        </w:rPr>
        <w:t>-</w:t>
      </w:r>
      <w:r>
        <w:rPr>
          <w:rFonts w:hint="eastAsia" w:ascii="Times New Roman" w:hAnsi="Times New Roman"/>
          <w:color w:val="auto"/>
          <w:highlight w:val="none"/>
        </w:rPr>
        <w:t>1</w:t>
      </w:r>
      <w:r>
        <w:rPr>
          <w:rFonts w:hint="eastAsia" w:ascii="Times New Roman" w:hAnsi="Times New Roman"/>
          <w:color w:val="auto"/>
          <w:highlight w:val="none"/>
          <w:lang w:val="en-US" w:eastAsia="zh-CN"/>
        </w:rPr>
        <w:t>6</w:t>
      </w:r>
      <w:r>
        <w:rPr>
          <w:rFonts w:hint="eastAsia" w:ascii="黑体" w:hAnsi="黑体" w:eastAsia="黑体" w:cs="黑体"/>
          <w:color w:val="auto"/>
          <w:highlight w:val="none"/>
        </w:rPr>
        <w:t>本项目汞贡献值预测结果</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5"/>
        <w:gridCol w:w="2064"/>
        <w:gridCol w:w="1037"/>
        <w:gridCol w:w="1478"/>
        <w:gridCol w:w="1278"/>
        <w:gridCol w:w="1003"/>
        <w:gridCol w:w="1037"/>
      </w:tblGrid>
      <w:tr w14:paraId="2803FF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6" w:type="pct"/>
            <w:noWrap/>
            <w:vAlign w:val="center"/>
          </w:tcPr>
          <w:p w14:paraId="240066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序号</w:t>
            </w:r>
          </w:p>
        </w:tc>
        <w:tc>
          <w:tcPr>
            <w:tcW w:w="1210" w:type="pct"/>
            <w:noWrap/>
            <w:vAlign w:val="center"/>
          </w:tcPr>
          <w:p w14:paraId="075C91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点名称</w:t>
            </w:r>
          </w:p>
        </w:tc>
        <w:tc>
          <w:tcPr>
            <w:tcW w:w="608" w:type="pct"/>
            <w:noWrap/>
            <w:vAlign w:val="center"/>
          </w:tcPr>
          <w:p w14:paraId="7725DB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浓度类型</w:t>
            </w:r>
          </w:p>
        </w:tc>
        <w:tc>
          <w:tcPr>
            <w:tcW w:w="867" w:type="pct"/>
            <w:noWrap/>
            <w:vAlign w:val="center"/>
          </w:tcPr>
          <w:p w14:paraId="0521DB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浓度增量(mg/m</w:t>
            </w:r>
            <w:r>
              <w:rPr>
                <w:rFonts w:hint="eastAsia" w:ascii="Times New Roman" w:hAnsi="Times New Roman" w:eastAsia="宋体" w:cs="Times New Roman"/>
                <w:kern w:val="0"/>
                <w:sz w:val="21"/>
                <w:highlight w:val="none"/>
                <w:vertAlign w:val="superscript"/>
                <w:lang w:val="en-US" w:eastAsia="zh-CN" w:bidi="ar"/>
              </w:rPr>
              <w:t>3</w:t>
            </w:r>
            <w:r>
              <w:rPr>
                <w:rFonts w:hint="eastAsia" w:ascii="Times New Roman" w:hAnsi="Times New Roman" w:eastAsia="宋体" w:cs="Times New Roman"/>
                <w:kern w:val="0"/>
                <w:sz w:val="21"/>
                <w:highlight w:val="none"/>
                <w:lang w:val="en-US" w:eastAsia="zh-CN" w:bidi="ar"/>
              </w:rPr>
              <w:t>)</w:t>
            </w:r>
          </w:p>
        </w:tc>
        <w:tc>
          <w:tcPr>
            <w:tcW w:w="749" w:type="pct"/>
            <w:noWrap/>
            <w:vAlign w:val="center"/>
          </w:tcPr>
          <w:p w14:paraId="574F94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出现时间</w:t>
            </w:r>
          </w:p>
        </w:tc>
        <w:tc>
          <w:tcPr>
            <w:tcW w:w="588" w:type="pct"/>
            <w:noWrap/>
            <w:vAlign w:val="center"/>
          </w:tcPr>
          <w:p w14:paraId="5AE841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占标率%</w:t>
            </w:r>
          </w:p>
        </w:tc>
        <w:tc>
          <w:tcPr>
            <w:tcW w:w="608" w:type="pct"/>
            <w:noWrap/>
            <w:vAlign w:val="center"/>
          </w:tcPr>
          <w:p w14:paraId="2E6708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是否超标</w:t>
            </w:r>
          </w:p>
        </w:tc>
      </w:tr>
      <w:tr w14:paraId="5D7CDC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25" w:type="dxa"/>
            <w:noWrap/>
            <w:vAlign w:val="center"/>
          </w:tcPr>
          <w:p w14:paraId="17910B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1</w:t>
            </w:r>
          </w:p>
        </w:tc>
        <w:tc>
          <w:tcPr>
            <w:tcW w:w="2064" w:type="dxa"/>
            <w:noWrap/>
            <w:vAlign w:val="center"/>
          </w:tcPr>
          <w:p w14:paraId="1EDA80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绥芬河市政府</w:t>
            </w:r>
          </w:p>
        </w:tc>
        <w:tc>
          <w:tcPr>
            <w:tcW w:w="608" w:type="pct"/>
            <w:noWrap/>
            <w:vAlign w:val="center"/>
          </w:tcPr>
          <w:p w14:paraId="7F44B4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6D64C4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1.00E-08</w:t>
            </w:r>
          </w:p>
        </w:tc>
        <w:tc>
          <w:tcPr>
            <w:tcW w:w="749" w:type="pct"/>
            <w:noWrap/>
            <w:vAlign w:val="center"/>
          </w:tcPr>
          <w:p w14:paraId="1C4A30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47D0EF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0.02</w:t>
            </w:r>
          </w:p>
        </w:tc>
        <w:tc>
          <w:tcPr>
            <w:tcW w:w="608" w:type="pct"/>
            <w:noWrap/>
            <w:vAlign w:val="center"/>
          </w:tcPr>
          <w:p w14:paraId="2A5729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FA516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25" w:type="dxa"/>
            <w:noWrap/>
            <w:vAlign w:val="center"/>
          </w:tcPr>
          <w:p w14:paraId="75F3FC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2</w:t>
            </w:r>
          </w:p>
        </w:tc>
        <w:tc>
          <w:tcPr>
            <w:tcW w:w="2064" w:type="dxa"/>
            <w:noWrap/>
            <w:vAlign w:val="center"/>
          </w:tcPr>
          <w:p w14:paraId="4C4051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绥芬河市人大</w:t>
            </w:r>
          </w:p>
        </w:tc>
        <w:tc>
          <w:tcPr>
            <w:tcW w:w="608" w:type="pct"/>
            <w:noWrap/>
            <w:vAlign w:val="center"/>
          </w:tcPr>
          <w:p w14:paraId="23931F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463AF2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27476E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3F8B40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04B170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E0ED0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25" w:type="dxa"/>
            <w:noWrap/>
            <w:vAlign w:val="center"/>
          </w:tcPr>
          <w:p w14:paraId="1CCDD8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3</w:t>
            </w:r>
          </w:p>
        </w:tc>
        <w:tc>
          <w:tcPr>
            <w:tcW w:w="2064" w:type="dxa"/>
            <w:noWrap/>
            <w:vAlign w:val="center"/>
          </w:tcPr>
          <w:p w14:paraId="052D37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绥芬河市应急资源局</w:t>
            </w:r>
          </w:p>
        </w:tc>
        <w:tc>
          <w:tcPr>
            <w:tcW w:w="608" w:type="pct"/>
            <w:noWrap/>
            <w:vAlign w:val="center"/>
          </w:tcPr>
          <w:p w14:paraId="505113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2CB32B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1.00E-08</w:t>
            </w:r>
          </w:p>
        </w:tc>
        <w:tc>
          <w:tcPr>
            <w:tcW w:w="749" w:type="pct"/>
            <w:noWrap/>
            <w:vAlign w:val="center"/>
          </w:tcPr>
          <w:p w14:paraId="052C45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2169AD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0.02</w:t>
            </w:r>
          </w:p>
        </w:tc>
        <w:tc>
          <w:tcPr>
            <w:tcW w:w="608" w:type="pct"/>
            <w:noWrap/>
            <w:vAlign w:val="center"/>
          </w:tcPr>
          <w:p w14:paraId="4E439A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E4E53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25" w:type="dxa"/>
            <w:noWrap/>
            <w:vAlign w:val="center"/>
          </w:tcPr>
          <w:p w14:paraId="3257FD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4</w:t>
            </w:r>
          </w:p>
        </w:tc>
        <w:tc>
          <w:tcPr>
            <w:tcW w:w="2064" w:type="dxa"/>
            <w:noWrap/>
            <w:vAlign w:val="center"/>
          </w:tcPr>
          <w:p w14:paraId="7836C5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绥芬河市住房公积金中心</w:t>
            </w:r>
          </w:p>
        </w:tc>
        <w:tc>
          <w:tcPr>
            <w:tcW w:w="608" w:type="pct"/>
            <w:noWrap/>
            <w:vAlign w:val="center"/>
          </w:tcPr>
          <w:p w14:paraId="3019F6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716921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742370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5B9B24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02336F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D8340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25" w:type="dxa"/>
            <w:noWrap/>
            <w:vAlign w:val="center"/>
          </w:tcPr>
          <w:p w14:paraId="53BEDB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ascii="Times New Roman" w:hAnsi="Times New Roman" w:eastAsia="宋体" w:cs="Times New Roman"/>
                <w:kern w:val="0"/>
                <w:sz w:val="21"/>
                <w:highlight w:val="none"/>
                <w:lang w:bidi="ar"/>
              </w:rPr>
              <w:t>5</w:t>
            </w:r>
          </w:p>
        </w:tc>
        <w:tc>
          <w:tcPr>
            <w:tcW w:w="2064" w:type="dxa"/>
            <w:noWrap/>
            <w:vAlign w:val="center"/>
          </w:tcPr>
          <w:p w14:paraId="0B8B70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绥芬河市房屋征收办公室</w:t>
            </w:r>
          </w:p>
        </w:tc>
        <w:tc>
          <w:tcPr>
            <w:tcW w:w="608" w:type="pct"/>
            <w:noWrap/>
            <w:vAlign w:val="center"/>
          </w:tcPr>
          <w:p w14:paraId="0E9E0C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2C3500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27A581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017190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416DEC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52527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25" w:type="dxa"/>
            <w:noWrap/>
            <w:vAlign w:val="center"/>
          </w:tcPr>
          <w:p w14:paraId="51B2BD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w:t>
            </w:r>
          </w:p>
        </w:tc>
        <w:tc>
          <w:tcPr>
            <w:tcW w:w="2064" w:type="dxa"/>
            <w:noWrap/>
            <w:vAlign w:val="center"/>
          </w:tcPr>
          <w:p w14:paraId="461A4E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绥芬河镇人民政府</w:t>
            </w:r>
          </w:p>
        </w:tc>
        <w:tc>
          <w:tcPr>
            <w:tcW w:w="608" w:type="pct"/>
            <w:noWrap/>
            <w:vAlign w:val="center"/>
          </w:tcPr>
          <w:p w14:paraId="1DEBCC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28E1E2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432A16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1B7FA6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6CD553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C366F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25" w:type="dxa"/>
            <w:noWrap/>
            <w:vAlign w:val="center"/>
          </w:tcPr>
          <w:p w14:paraId="7B0F18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w:t>
            </w:r>
          </w:p>
        </w:tc>
        <w:tc>
          <w:tcPr>
            <w:tcW w:w="2064" w:type="dxa"/>
            <w:noWrap/>
            <w:vAlign w:val="center"/>
          </w:tcPr>
          <w:p w14:paraId="099B62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绥芬河邮政管理局</w:t>
            </w:r>
          </w:p>
        </w:tc>
        <w:tc>
          <w:tcPr>
            <w:tcW w:w="608" w:type="pct"/>
            <w:noWrap/>
            <w:vAlign w:val="center"/>
          </w:tcPr>
          <w:p w14:paraId="065E14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1312EA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176B6C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2400D5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4C4CB9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07EEB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625" w:type="dxa"/>
            <w:noWrap/>
            <w:vAlign w:val="center"/>
          </w:tcPr>
          <w:p w14:paraId="1D887B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w:t>
            </w:r>
          </w:p>
        </w:tc>
        <w:tc>
          <w:tcPr>
            <w:tcW w:w="2064" w:type="dxa"/>
            <w:noWrap/>
            <w:vAlign w:val="center"/>
          </w:tcPr>
          <w:p w14:paraId="7B5140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绥芬河市教育局</w:t>
            </w:r>
          </w:p>
        </w:tc>
        <w:tc>
          <w:tcPr>
            <w:tcW w:w="608" w:type="pct"/>
            <w:noWrap/>
            <w:vAlign w:val="center"/>
          </w:tcPr>
          <w:p w14:paraId="2CEE26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7D953C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0CAA36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5DFE6E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5747A8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AA7CE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625" w:type="dxa"/>
            <w:noWrap/>
            <w:vAlign w:val="center"/>
          </w:tcPr>
          <w:p w14:paraId="4157B4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9</w:t>
            </w:r>
          </w:p>
        </w:tc>
        <w:tc>
          <w:tcPr>
            <w:tcW w:w="2064" w:type="dxa"/>
            <w:noWrap/>
            <w:vAlign w:val="center"/>
          </w:tcPr>
          <w:p w14:paraId="1EBDF7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绥芬河市自然资源局</w:t>
            </w:r>
          </w:p>
        </w:tc>
        <w:tc>
          <w:tcPr>
            <w:tcW w:w="608" w:type="pct"/>
            <w:noWrap/>
            <w:vAlign w:val="center"/>
          </w:tcPr>
          <w:p w14:paraId="4ECF53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49EBEA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2B495A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0DA388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2EE7C0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22823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625" w:type="dxa"/>
            <w:noWrap/>
            <w:vAlign w:val="center"/>
          </w:tcPr>
          <w:p w14:paraId="3C11D2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w:t>
            </w:r>
          </w:p>
        </w:tc>
        <w:tc>
          <w:tcPr>
            <w:tcW w:w="2064" w:type="dxa"/>
            <w:noWrap/>
            <w:vAlign w:val="center"/>
          </w:tcPr>
          <w:p w14:paraId="3ED8F9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绥芬河海关</w:t>
            </w:r>
          </w:p>
        </w:tc>
        <w:tc>
          <w:tcPr>
            <w:tcW w:w="608" w:type="pct"/>
            <w:noWrap/>
            <w:vAlign w:val="center"/>
          </w:tcPr>
          <w:p w14:paraId="0030CD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0488D1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483F1C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31E233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2E00FA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05571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625" w:type="dxa"/>
            <w:noWrap/>
            <w:vAlign w:val="center"/>
          </w:tcPr>
          <w:p w14:paraId="1A28BC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w:t>
            </w:r>
          </w:p>
        </w:tc>
        <w:tc>
          <w:tcPr>
            <w:tcW w:w="2064" w:type="dxa"/>
            <w:noWrap/>
            <w:vAlign w:val="center"/>
          </w:tcPr>
          <w:p w14:paraId="0C00F6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国家外汇管理局绥芬河分局</w:t>
            </w:r>
          </w:p>
        </w:tc>
        <w:tc>
          <w:tcPr>
            <w:tcW w:w="608" w:type="pct"/>
            <w:noWrap/>
            <w:vAlign w:val="center"/>
          </w:tcPr>
          <w:p w14:paraId="4D0404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2A174B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1.00E-08</w:t>
            </w:r>
          </w:p>
        </w:tc>
        <w:tc>
          <w:tcPr>
            <w:tcW w:w="749" w:type="pct"/>
            <w:noWrap/>
            <w:vAlign w:val="center"/>
          </w:tcPr>
          <w:p w14:paraId="496CE3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0B7B36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0.02</w:t>
            </w:r>
          </w:p>
        </w:tc>
        <w:tc>
          <w:tcPr>
            <w:tcW w:w="608" w:type="pct"/>
            <w:noWrap/>
            <w:vAlign w:val="center"/>
          </w:tcPr>
          <w:p w14:paraId="7DB75F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E24B9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625" w:type="dxa"/>
            <w:noWrap/>
            <w:vAlign w:val="center"/>
          </w:tcPr>
          <w:p w14:paraId="6F5451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w:t>
            </w:r>
          </w:p>
        </w:tc>
        <w:tc>
          <w:tcPr>
            <w:tcW w:w="2064" w:type="dxa"/>
            <w:noWrap/>
            <w:vAlign w:val="center"/>
          </w:tcPr>
          <w:p w14:paraId="017560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绥芬河市生态环境局</w:t>
            </w:r>
          </w:p>
        </w:tc>
        <w:tc>
          <w:tcPr>
            <w:tcW w:w="608" w:type="pct"/>
            <w:noWrap/>
            <w:vAlign w:val="center"/>
          </w:tcPr>
          <w:p w14:paraId="50C7E7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72D8FF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5E3F22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1523E1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47E089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8C52D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625" w:type="dxa"/>
            <w:noWrap/>
            <w:vAlign w:val="center"/>
          </w:tcPr>
          <w:p w14:paraId="371916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13</w:t>
            </w:r>
          </w:p>
        </w:tc>
        <w:tc>
          <w:tcPr>
            <w:tcW w:w="2064" w:type="dxa"/>
            <w:noWrap/>
            <w:vAlign w:val="center"/>
          </w:tcPr>
          <w:p w14:paraId="623F70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w:t>
            </w:r>
            <w:r>
              <w:rPr>
                <w:rFonts w:hint="eastAsia" w:ascii="Times New Roman" w:hAnsi="Times New Roman" w:cs="Times New Roman"/>
                <w:kern w:val="0"/>
                <w:sz w:val="21"/>
                <w:highlight w:val="none"/>
                <w:lang w:val="en-US" w:eastAsia="zh-CN" w:bidi="ar"/>
              </w:rPr>
              <w:t>市</w:t>
            </w:r>
            <w:r>
              <w:rPr>
                <w:rFonts w:hint="eastAsia" w:ascii="Times New Roman" w:hAnsi="Times New Roman" w:eastAsia="宋体" w:cs="Times New Roman"/>
                <w:kern w:val="0"/>
                <w:sz w:val="21"/>
                <w:highlight w:val="none"/>
                <w:lang w:val="en-US" w:eastAsia="zh-CN" w:bidi="ar"/>
              </w:rPr>
              <w:t>民政局</w:t>
            </w:r>
          </w:p>
        </w:tc>
        <w:tc>
          <w:tcPr>
            <w:tcW w:w="608" w:type="pct"/>
            <w:noWrap/>
            <w:vAlign w:val="center"/>
          </w:tcPr>
          <w:p w14:paraId="3CBF60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4F0E42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5F87E8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4E6302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0426AC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2802D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625" w:type="dxa"/>
            <w:noWrap/>
            <w:vAlign w:val="center"/>
          </w:tcPr>
          <w:p w14:paraId="32E19A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w:t>
            </w:r>
          </w:p>
        </w:tc>
        <w:tc>
          <w:tcPr>
            <w:tcW w:w="2064" w:type="dxa"/>
            <w:noWrap/>
            <w:vAlign w:val="center"/>
          </w:tcPr>
          <w:p w14:paraId="446113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绥芬河市公安局</w:t>
            </w:r>
          </w:p>
        </w:tc>
        <w:tc>
          <w:tcPr>
            <w:tcW w:w="608" w:type="pct"/>
            <w:noWrap/>
            <w:vAlign w:val="center"/>
          </w:tcPr>
          <w:p w14:paraId="26BF57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32FC55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2A6E6B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72E6E5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6448D6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99FB7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625" w:type="dxa"/>
            <w:noWrap/>
            <w:vAlign w:val="center"/>
          </w:tcPr>
          <w:p w14:paraId="2184E6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15</w:t>
            </w:r>
          </w:p>
        </w:tc>
        <w:tc>
          <w:tcPr>
            <w:tcW w:w="2064" w:type="dxa"/>
            <w:noWrap/>
            <w:vAlign w:val="center"/>
          </w:tcPr>
          <w:p w14:paraId="55DEC1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阜宁镇人民政府</w:t>
            </w:r>
          </w:p>
        </w:tc>
        <w:tc>
          <w:tcPr>
            <w:tcW w:w="608" w:type="pct"/>
            <w:noWrap/>
            <w:vAlign w:val="center"/>
          </w:tcPr>
          <w:p w14:paraId="4BC46B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09E2BE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4C88D1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0857EE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0F2DE7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489BD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625" w:type="dxa"/>
            <w:noWrap/>
            <w:vAlign w:val="center"/>
          </w:tcPr>
          <w:p w14:paraId="3BB415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16</w:t>
            </w:r>
          </w:p>
        </w:tc>
        <w:tc>
          <w:tcPr>
            <w:tcW w:w="2064" w:type="dxa"/>
            <w:noWrap/>
            <w:vAlign w:val="center"/>
          </w:tcPr>
          <w:p w14:paraId="599099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绥芬河市广播电视局</w:t>
            </w:r>
          </w:p>
        </w:tc>
        <w:tc>
          <w:tcPr>
            <w:tcW w:w="608" w:type="pct"/>
            <w:noWrap/>
            <w:vAlign w:val="center"/>
          </w:tcPr>
          <w:p w14:paraId="625456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2311D4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5607BA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6AC326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61A262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034DB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625" w:type="dxa"/>
            <w:noWrap/>
            <w:vAlign w:val="center"/>
          </w:tcPr>
          <w:p w14:paraId="703DC6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17</w:t>
            </w:r>
          </w:p>
        </w:tc>
        <w:tc>
          <w:tcPr>
            <w:tcW w:w="2064" w:type="dxa"/>
            <w:noWrap/>
            <w:vAlign w:val="center"/>
          </w:tcPr>
          <w:p w14:paraId="44737F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红太阳未来星幼儿园</w:t>
            </w:r>
          </w:p>
        </w:tc>
        <w:tc>
          <w:tcPr>
            <w:tcW w:w="608" w:type="pct"/>
            <w:noWrap/>
            <w:vAlign w:val="center"/>
          </w:tcPr>
          <w:p w14:paraId="4C2121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5A702D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0D87A1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3E6CA0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57C486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BE6DE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25" w:type="dxa"/>
            <w:noWrap/>
            <w:vAlign w:val="center"/>
          </w:tcPr>
          <w:p w14:paraId="065363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w:t>
            </w:r>
          </w:p>
        </w:tc>
        <w:tc>
          <w:tcPr>
            <w:tcW w:w="2064" w:type="dxa"/>
            <w:noWrap/>
            <w:vAlign w:val="center"/>
          </w:tcPr>
          <w:p w14:paraId="012DB7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金恒基小学</w:t>
            </w:r>
          </w:p>
        </w:tc>
        <w:tc>
          <w:tcPr>
            <w:tcW w:w="608" w:type="pct"/>
            <w:noWrap/>
            <w:vAlign w:val="center"/>
          </w:tcPr>
          <w:p w14:paraId="14FC67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5A722B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037E60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62D062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301CB9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F782A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625" w:type="dxa"/>
            <w:noWrap/>
            <w:vAlign w:val="center"/>
          </w:tcPr>
          <w:p w14:paraId="0F1996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19</w:t>
            </w:r>
          </w:p>
        </w:tc>
        <w:tc>
          <w:tcPr>
            <w:tcW w:w="2064" w:type="dxa"/>
            <w:noWrap/>
            <w:vAlign w:val="center"/>
          </w:tcPr>
          <w:p w14:paraId="3909D3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弘孟幼儿园</w:t>
            </w:r>
          </w:p>
        </w:tc>
        <w:tc>
          <w:tcPr>
            <w:tcW w:w="608" w:type="pct"/>
            <w:noWrap/>
            <w:vAlign w:val="center"/>
          </w:tcPr>
          <w:p w14:paraId="010146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09A599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4FFD30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26554D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19883F8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2091B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625" w:type="dxa"/>
            <w:noWrap/>
            <w:vAlign w:val="center"/>
          </w:tcPr>
          <w:p w14:paraId="19C753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20</w:t>
            </w:r>
          </w:p>
        </w:tc>
        <w:tc>
          <w:tcPr>
            <w:tcW w:w="2064" w:type="dxa"/>
            <w:noWrap/>
            <w:vAlign w:val="center"/>
          </w:tcPr>
          <w:p w14:paraId="24988D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红太阳幼儿园</w:t>
            </w:r>
          </w:p>
        </w:tc>
        <w:tc>
          <w:tcPr>
            <w:tcW w:w="608" w:type="pct"/>
            <w:noWrap/>
            <w:vAlign w:val="center"/>
          </w:tcPr>
          <w:p w14:paraId="72FC60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251443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6CDF9B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213BBC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60D56C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87EBF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625" w:type="dxa"/>
            <w:noWrap/>
            <w:vAlign w:val="center"/>
          </w:tcPr>
          <w:p w14:paraId="316ECB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21</w:t>
            </w:r>
          </w:p>
        </w:tc>
        <w:tc>
          <w:tcPr>
            <w:tcW w:w="2064" w:type="dxa"/>
            <w:noWrap/>
            <w:vAlign w:val="center"/>
          </w:tcPr>
          <w:p w14:paraId="6AE30B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千里幼稚园</w:t>
            </w:r>
          </w:p>
        </w:tc>
        <w:tc>
          <w:tcPr>
            <w:tcW w:w="608" w:type="pct"/>
            <w:noWrap/>
            <w:vAlign w:val="center"/>
          </w:tcPr>
          <w:p w14:paraId="63637E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5B5AF5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10A33F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23293A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5891E1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2CE5E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625" w:type="dxa"/>
            <w:noWrap/>
            <w:vAlign w:val="center"/>
          </w:tcPr>
          <w:p w14:paraId="437DFC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22</w:t>
            </w:r>
          </w:p>
        </w:tc>
        <w:tc>
          <w:tcPr>
            <w:tcW w:w="2064" w:type="dxa"/>
            <w:noWrap/>
            <w:vAlign w:val="center"/>
          </w:tcPr>
          <w:p w14:paraId="68828B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绥芬河市第一中学</w:t>
            </w:r>
          </w:p>
        </w:tc>
        <w:tc>
          <w:tcPr>
            <w:tcW w:w="608" w:type="pct"/>
            <w:noWrap/>
            <w:vAlign w:val="center"/>
          </w:tcPr>
          <w:p w14:paraId="6791D1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2FD27F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1.00E-08</w:t>
            </w:r>
          </w:p>
        </w:tc>
        <w:tc>
          <w:tcPr>
            <w:tcW w:w="749" w:type="pct"/>
            <w:noWrap/>
            <w:vAlign w:val="center"/>
          </w:tcPr>
          <w:p w14:paraId="21F4AC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6B0A26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0.02</w:t>
            </w:r>
          </w:p>
        </w:tc>
        <w:tc>
          <w:tcPr>
            <w:tcW w:w="608" w:type="pct"/>
            <w:noWrap/>
            <w:vAlign w:val="center"/>
          </w:tcPr>
          <w:p w14:paraId="4AF435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7E3F7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25" w:type="dxa"/>
            <w:noWrap/>
            <w:vAlign w:val="center"/>
          </w:tcPr>
          <w:p w14:paraId="378F12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23</w:t>
            </w:r>
          </w:p>
        </w:tc>
        <w:tc>
          <w:tcPr>
            <w:tcW w:w="2064" w:type="dxa"/>
            <w:noWrap/>
            <w:vAlign w:val="center"/>
          </w:tcPr>
          <w:p w14:paraId="1E23ED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商都幼儿园</w:t>
            </w:r>
          </w:p>
        </w:tc>
        <w:tc>
          <w:tcPr>
            <w:tcW w:w="608" w:type="pct"/>
            <w:noWrap/>
            <w:vAlign w:val="center"/>
          </w:tcPr>
          <w:p w14:paraId="31157A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004C1A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1.00E-08</w:t>
            </w:r>
          </w:p>
        </w:tc>
        <w:tc>
          <w:tcPr>
            <w:tcW w:w="749" w:type="pct"/>
            <w:noWrap/>
            <w:vAlign w:val="center"/>
          </w:tcPr>
          <w:p w14:paraId="71D66B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15ED49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0.02</w:t>
            </w:r>
          </w:p>
        </w:tc>
        <w:tc>
          <w:tcPr>
            <w:tcW w:w="608" w:type="pct"/>
            <w:noWrap/>
            <w:vAlign w:val="center"/>
          </w:tcPr>
          <w:p w14:paraId="143094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2DF1A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625" w:type="dxa"/>
            <w:noWrap/>
            <w:vAlign w:val="center"/>
          </w:tcPr>
          <w:p w14:paraId="374E55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w:t>
            </w:r>
          </w:p>
        </w:tc>
        <w:tc>
          <w:tcPr>
            <w:tcW w:w="2064" w:type="dxa"/>
            <w:noWrap/>
            <w:vAlign w:val="center"/>
          </w:tcPr>
          <w:p w14:paraId="329B81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绥芬河市少年儿童业余体校</w:t>
            </w:r>
          </w:p>
        </w:tc>
        <w:tc>
          <w:tcPr>
            <w:tcW w:w="608" w:type="pct"/>
            <w:noWrap/>
            <w:vAlign w:val="center"/>
          </w:tcPr>
          <w:p w14:paraId="6A462B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314E04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63A296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1217B4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008E21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78EC4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625" w:type="dxa"/>
            <w:noWrap/>
            <w:vAlign w:val="center"/>
          </w:tcPr>
          <w:p w14:paraId="2A2A31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25</w:t>
            </w:r>
          </w:p>
        </w:tc>
        <w:tc>
          <w:tcPr>
            <w:tcW w:w="2064" w:type="dxa"/>
            <w:noWrap/>
            <w:vAlign w:val="center"/>
          </w:tcPr>
          <w:p w14:paraId="52D875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绥芬河市第二中学</w:t>
            </w:r>
          </w:p>
        </w:tc>
        <w:tc>
          <w:tcPr>
            <w:tcW w:w="608" w:type="pct"/>
            <w:noWrap/>
            <w:vAlign w:val="center"/>
          </w:tcPr>
          <w:p w14:paraId="59AAF9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0C82AEC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63E5C3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5B27EA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684385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28ED6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625" w:type="dxa"/>
            <w:noWrap/>
            <w:vAlign w:val="center"/>
          </w:tcPr>
          <w:p w14:paraId="52AAE8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26</w:t>
            </w:r>
          </w:p>
        </w:tc>
        <w:tc>
          <w:tcPr>
            <w:tcW w:w="2064" w:type="dxa"/>
            <w:noWrap/>
            <w:vAlign w:val="center"/>
          </w:tcPr>
          <w:p w14:paraId="767EF7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绥芬河市第三中学</w:t>
            </w:r>
          </w:p>
        </w:tc>
        <w:tc>
          <w:tcPr>
            <w:tcW w:w="608" w:type="pct"/>
            <w:noWrap/>
            <w:vAlign w:val="center"/>
          </w:tcPr>
          <w:p w14:paraId="57C2E4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0D7808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6ED828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3F07F0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75FFA7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C4E99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625" w:type="dxa"/>
            <w:noWrap/>
            <w:vAlign w:val="center"/>
          </w:tcPr>
          <w:p w14:paraId="5E0805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w:t>
            </w:r>
          </w:p>
        </w:tc>
        <w:tc>
          <w:tcPr>
            <w:tcW w:w="2064" w:type="dxa"/>
            <w:noWrap/>
            <w:vAlign w:val="center"/>
          </w:tcPr>
          <w:p w14:paraId="4DE65A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旅游局家属楼</w:t>
            </w:r>
          </w:p>
        </w:tc>
        <w:tc>
          <w:tcPr>
            <w:tcW w:w="608" w:type="pct"/>
            <w:noWrap/>
            <w:vAlign w:val="center"/>
          </w:tcPr>
          <w:p w14:paraId="6D3A21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78E2BE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5BE701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1EB07A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498E9C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7D8DF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 w:hRule="atLeast"/>
          <w:jc w:val="center"/>
        </w:trPr>
        <w:tc>
          <w:tcPr>
            <w:tcW w:w="625" w:type="dxa"/>
            <w:noWrap/>
            <w:vAlign w:val="center"/>
          </w:tcPr>
          <w:p w14:paraId="127DAB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w:t>
            </w:r>
          </w:p>
        </w:tc>
        <w:tc>
          <w:tcPr>
            <w:tcW w:w="2064" w:type="dxa"/>
            <w:noWrap/>
            <w:vAlign w:val="center"/>
          </w:tcPr>
          <w:p w14:paraId="359A53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新安幸福嘉园</w:t>
            </w:r>
          </w:p>
        </w:tc>
        <w:tc>
          <w:tcPr>
            <w:tcW w:w="608" w:type="pct"/>
            <w:noWrap/>
            <w:vAlign w:val="center"/>
          </w:tcPr>
          <w:p w14:paraId="19814F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14618F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2D342E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1639C9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3AEBDD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AF855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25" w:type="dxa"/>
            <w:noWrap/>
            <w:vAlign w:val="center"/>
          </w:tcPr>
          <w:p w14:paraId="6F44A7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29</w:t>
            </w:r>
          </w:p>
        </w:tc>
        <w:tc>
          <w:tcPr>
            <w:tcW w:w="2064" w:type="dxa"/>
            <w:noWrap/>
            <w:vAlign w:val="center"/>
          </w:tcPr>
          <w:p w14:paraId="18E111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中兴小区</w:t>
            </w:r>
          </w:p>
        </w:tc>
        <w:tc>
          <w:tcPr>
            <w:tcW w:w="608" w:type="pct"/>
            <w:noWrap/>
            <w:vAlign w:val="center"/>
          </w:tcPr>
          <w:p w14:paraId="199FB3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36F5E3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44795B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6761F7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2B3D73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73F4F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625" w:type="dxa"/>
            <w:noWrap/>
            <w:vAlign w:val="center"/>
          </w:tcPr>
          <w:p w14:paraId="413694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30</w:t>
            </w:r>
          </w:p>
        </w:tc>
        <w:tc>
          <w:tcPr>
            <w:tcW w:w="2064" w:type="dxa"/>
            <w:noWrap/>
            <w:vAlign w:val="center"/>
          </w:tcPr>
          <w:p w14:paraId="274D83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绥兴社区</w:t>
            </w:r>
          </w:p>
        </w:tc>
        <w:tc>
          <w:tcPr>
            <w:tcW w:w="608" w:type="pct"/>
            <w:noWrap/>
            <w:vAlign w:val="center"/>
          </w:tcPr>
          <w:p w14:paraId="42F8FF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3BA1EE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7C7807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4E3A50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5AFA00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9E93C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625" w:type="dxa"/>
            <w:noWrap/>
            <w:vAlign w:val="center"/>
          </w:tcPr>
          <w:p w14:paraId="5E138A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w:t>
            </w:r>
          </w:p>
        </w:tc>
        <w:tc>
          <w:tcPr>
            <w:tcW w:w="2064" w:type="dxa"/>
            <w:noWrap/>
            <w:vAlign w:val="center"/>
          </w:tcPr>
          <w:p w14:paraId="601558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远东新天地小区</w:t>
            </w:r>
          </w:p>
        </w:tc>
        <w:tc>
          <w:tcPr>
            <w:tcW w:w="608" w:type="pct"/>
            <w:noWrap/>
            <w:vAlign w:val="center"/>
          </w:tcPr>
          <w:p w14:paraId="53C557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055E9A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3.00E-08</w:t>
            </w:r>
          </w:p>
        </w:tc>
        <w:tc>
          <w:tcPr>
            <w:tcW w:w="749" w:type="pct"/>
            <w:noWrap/>
            <w:vAlign w:val="center"/>
          </w:tcPr>
          <w:p w14:paraId="429994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71421E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608" w:type="pct"/>
            <w:noWrap/>
            <w:vAlign w:val="center"/>
          </w:tcPr>
          <w:p w14:paraId="0693B9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A3523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625" w:type="dxa"/>
            <w:noWrap/>
            <w:vAlign w:val="center"/>
          </w:tcPr>
          <w:p w14:paraId="1ABC6A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32</w:t>
            </w:r>
          </w:p>
        </w:tc>
        <w:tc>
          <w:tcPr>
            <w:tcW w:w="2064" w:type="dxa"/>
            <w:noWrap/>
            <w:vAlign w:val="center"/>
          </w:tcPr>
          <w:p w14:paraId="38B104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凯丰小区</w:t>
            </w:r>
          </w:p>
        </w:tc>
        <w:tc>
          <w:tcPr>
            <w:tcW w:w="608" w:type="pct"/>
            <w:noWrap/>
            <w:vAlign w:val="center"/>
          </w:tcPr>
          <w:p w14:paraId="61A13C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761DA1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0BBD7E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66CEB9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7DBC8B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6649A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625" w:type="dxa"/>
            <w:noWrap/>
            <w:vAlign w:val="center"/>
          </w:tcPr>
          <w:p w14:paraId="3251B0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33</w:t>
            </w:r>
          </w:p>
        </w:tc>
        <w:tc>
          <w:tcPr>
            <w:tcW w:w="2064" w:type="dxa"/>
            <w:noWrap/>
            <w:vAlign w:val="center"/>
          </w:tcPr>
          <w:p w14:paraId="68F96C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澳运阳光花园</w:t>
            </w:r>
          </w:p>
        </w:tc>
        <w:tc>
          <w:tcPr>
            <w:tcW w:w="608" w:type="pct"/>
            <w:noWrap/>
            <w:vAlign w:val="center"/>
          </w:tcPr>
          <w:p w14:paraId="19E789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3D5115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6E8931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763E48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5BF460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5100F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625" w:type="dxa"/>
            <w:noWrap/>
            <w:vAlign w:val="center"/>
          </w:tcPr>
          <w:p w14:paraId="0AAF36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34</w:t>
            </w:r>
          </w:p>
        </w:tc>
        <w:tc>
          <w:tcPr>
            <w:tcW w:w="2064" w:type="dxa"/>
            <w:noWrap/>
            <w:vAlign w:val="center"/>
          </w:tcPr>
          <w:p w14:paraId="1B1F03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朝阳村</w:t>
            </w:r>
          </w:p>
        </w:tc>
        <w:tc>
          <w:tcPr>
            <w:tcW w:w="608" w:type="pct"/>
            <w:noWrap/>
            <w:vAlign w:val="center"/>
          </w:tcPr>
          <w:p w14:paraId="318A59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1F9733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5D4C38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266489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70154C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B0759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 w:hRule="atLeast"/>
          <w:jc w:val="center"/>
        </w:trPr>
        <w:tc>
          <w:tcPr>
            <w:tcW w:w="625" w:type="dxa"/>
            <w:noWrap/>
            <w:vAlign w:val="center"/>
          </w:tcPr>
          <w:p w14:paraId="683D1A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35</w:t>
            </w:r>
          </w:p>
        </w:tc>
        <w:tc>
          <w:tcPr>
            <w:tcW w:w="2064" w:type="dxa"/>
            <w:noWrap/>
            <w:vAlign w:val="center"/>
          </w:tcPr>
          <w:p w14:paraId="14BB66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宏隆花园</w:t>
            </w:r>
          </w:p>
        </w:tc>
        <w:tc>
          <w:tcPr>
            <w:tcW w:w="608" w:type="pct"/>
            <w:noWrap/>
            <w:vAlign w:val="center"/>
          </w:tcPr>
          <w:p w14:paraId="30BC9D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1C31F3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209093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57EBEF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7D44CD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9FABF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625" w:type="dxa"/>
            <w:noWrap/>
            <w:vAlign w:val="center"/>
          </w:tcPr>
          <w:p w14:paraId="7D8C38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36</w:t>
            </w:r>
          </w:p>
        </w:tc>
        <w:tc>
          <w:tcPr>
            <w:tcW w:w="2064" w:type="dxa"/>
            <w:noWrap/>
            <w:vAlign w:val="center"/>
          </w:tcPr>
          <w:p w14:paraId="0D8D2E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中福名都花园</w:t>
            </w:r>
          </w:p>
        </w:tc>
        <w:tc>
          <w:tcPr>
            <w:tcW w:w="608" w:type="pct"/>
            <w:noWrap/>
            <w:vAlign w:val="center"/>
          </w:tcPr>
          <w:p w14:paraId="1E862F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7ABA94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24E77A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075426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5E56BE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75C2A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625" w:type="dxa"/>
            <w:noWrap/>
            <w:vAlign w:val="center"/>
          </w:tcPr>
          <w:p w14:paraId="47024D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37</w:t>
            </w:r>
          </w:p>
        </w:tc>
        <w:tc>
          <w:tcPr>
            <w:tcW w:w="2064" w:type="dxa"/>
            <w:noWrap/>
            <w:vAlign w:val="center"/>
          </w:tcPr>
          <w:p w14:paraId="36B5BA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康健花园</w:t>
            </w:r>
          </w:p>
        </w:tc>
        <w:tc>
          <w:tcPr>
            <w:tcW w:w="608" w:type="pct"/>
            <w:noWrap/>
            <w:vAlign w:val="center"/>
          </w:tcPr>
          <w:p w14:paraId="2CC9D0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1349C5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1.00E-08</w:t>
            </w:r>
          </w:p>
        </w:tc>
        <w:tc>
          <w:tcPr>
            <w:tcW w:w="749" w:type="pct"/>
            <w:noWrap/>
            <w:vAlign w:val="center"/>
          </w:tcPr>
          <w:p w14:paraId="7BF569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455E29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0.02</w:t>
            </w:r>
          </w:p>
        </w:tc>
        <w:tc>
          <w:tcPr>
            <w:tcW w:w="608" w:type="pct"/>
            <w:noWrap/>
            <w:vAlign w:val="center"/>
          </w:tcPr>
          <w:p w14:paraId="4DF1BF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975D1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25" w:type="dxa"/>
            <w:noWrap/>
            <w:vAlign w:val="center"/>
          </w:tcPr>
          <w:p w14:paraId="7FA161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38</w:t>
            </w:r>
          </w:p>
        </w:tc>
        <w:tc>
          <w:tcPr>
            <w:tcW w:w="2064" w:type="dxa"/>
            <w:noWrap/>
            <w:vAlign w:val="center"/>
          </w:tcPr>
          <w:p w14:paraId="239188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海融安居里</w:t>
            </w:r>
          </w:p>
        </w:tc>
        <w:tc>
          <w:tcPr>
            <w:tcW w:w="608" w:type="pct"/>
            <w:noWrap/>
            <w:vAlign w:val="center"/>
          </w:tcPr>
          <w:p w14:paraId="125D69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04C35C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1.00E-08</w:t>
            </w:r>
          </w:p>
        </w:tc>
        <w:tc>
          <w:tcPr>
            <w:tcW w:w="749" w:type="pct"/>
            <w:noWrap/>
            <w:vAlign w:val="center"/>
          </w:tcPr>
          <w:p w14:paraId="3F0710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7886FE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0.02</w:t>
            </w:r>
          </w:p>
        </w:tc>
        <w:tc>
          <w:tcPr>
            <w:tcW w:w="608" w:type="pct"/>
            <w:noWrap/>
            <w:vAlign w:val="center"/>
          </w:tcPr>
          <w:p w14:paraId="6AF95A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7E5E5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625" w:type="dxa"/>
            <w:noWrap/>
            <w:vAlign w:val="center"/>
          </w:tcPr>
          <w:p w14:paraId="1070FB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39</w:t>
            </w:r>
          </w:p>
        </w:tc>
        <w:tc>
          <w:tcPr>
            <w:tcW w:w="2064" w:type="dxa"/>
            <w:noWrap/>
            <w:vAlign w:val="center"/>
          </w:tcPr>
          <w:p w14:paraId="75869B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海融富华苑</w:t>
            </w:r>
          </w:p>
        </w:tc>
        <w:tc>
          <w:tcPr>
            <w:tcW w:w="608" w:type="pct"/>
            <w:noWrap/>
            <w:vAlign w:val="center"/>
          </w:tcPr>
          <w:p w14:paraId="421D8B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61A314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1DEB29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468791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2DFA59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0E295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625" w:type="dxa"/>
            <w:noWrap/>
            <w:vAlign w:val="center"/>
          </w:tcPr>
          <w:p w14:paraId="48264F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40</w:t>
            </w:r>
          </w:p>
        </w:tc>
        <w:tc>
          <w:tcPr>
            <w:tcW w:w="2064" w:type="dxa"/>
            <w:noWrap/>
            <w:vAlign w:val="center"/>
          </w:tcPr>
          <w:p w14:paraId="0CF99B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好景园小区</w:t>
            </w:r>
          </w:p>
        </w:tc>
        <w:tc>
          <w:tcPr>
            <w:tcW w:w="608" w:type="pct"/>
            <w:noWrap/>
            <w:vAlign w:val="center"/>
          </w:tcPr>
          <w:p w14:paraId="54E15D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3D0EE3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5E6502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7F8273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324B03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E6414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 w:hRule="atLeast"/>
          <w:jc w:val="center"/>
        </w:trPr>
        <w:tc>
          <w:tcPr>
            <w:tcW w:w="625" w:type="dxa"/>
            <w:noWrap/>
            <w:vAlign w:val="center"/>
          </w:tcPr>
          <w:p w14:paraId="675233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41</w:t>
            </w:r>
          </w:p>
        </w:tc>
        <w:tc>
          <w:tcPr>
            <w:tcW w:w="2064" w:type="dxa"/>
            <w:noWrap/>
            <w:vAlign w:val="center"/>
          </w:tcPr>
          <w:p w14:paraId="559036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旗苑家园</w:t>
            </w:r>
          </w:p>
        </w:tc>
        <w:tc>
          <w:tcPr>
            <w:tcW w:w="608" w:type="pct"/>
            <w:noWrap/>
            <w:vAlign w:val="center"/>
          </w:tcPr>
          <w:p w14:paraId="672EFB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1442AEC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18009A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037A95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565DE2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D723A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625" w:type="dxa"/>
            <w:noWrap/>
            <w:vAlign w:val="center"/>
          </w:tcPr>
          <w:p w14:paraId="0EB0DD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w:t>
            </w:r>
          </w:p>
        </w:tc>
        <w:tc>
          <w:tcPr>
            <w:tcW w:w="2064" w:type="dxa"/>
            <w:noWrap/>
            <w:vAlign w:val="center"/>
          </w:tcPr>
          <w:p w14:paraId="28D3CA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兴达家园</w:t>
            </w:r>
          </w:p>
        </w:tc>
        <w:tc>
          <w:tcPr>
            <w:tcW w:w="608" w:type="pct"/>
            <w:noWrap/>
            <w:vAlign w:val="center"/>
          </w:tcPr>
          <w:p w14:paraId="0B79C4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114247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1B98EC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6746DE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5425B5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6DA98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625" w:type="dxa"/>
            <w:noWrap/>
            <w:vAlign w:val="center"/>
          </w:tcPr>
          <w:p w14:paraId="61C6DA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43</w:t>
            </w:r>
          </w:p>
        </w:tc>
        <w:tc>
          <w:tcPr>
            <w:tcW w:w="2064" w:type="dxa"/>
            <w:noWrap/>
            <w:vAlign w:val="center"/>
          </w:tcPr>
          <w:p w14:paraId="3DCFD7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协会大厦</w:t>
            </w:r>
          </w:p>
        </w:tc>
        <w:tc>
          <w:tcPr>
            <w:tcW w:w="608" w:type="pct"/>
            <w:noWrap/>
            <w:vAlign w:val="center"/>
          </w:tcPr>
          <w:p w14:paraId="45EA9D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163796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0B4205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6E51B0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323793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5E016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625" w:type="dxa"/>
            <w:noWrap/>
            <w:vAlign w:val="center"/>
          </w:tcPr>
          <w:p w14:paraId="36ECFC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44</w:t>
            </w:r>
          </w:p>
        </w:tc>
        <w:tc>
          <w:tcPr>
            <w:tcW w:w="2064" w:type="dxa"/>
            <w:noWrap/>
            <w:vAlign w:val="center"/>
          </w:tcPr>
          <w:p w14:paraId="1537A5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数码港宾馆</w:t>
            </w:r>
          </w:p>
        </w:tc>
        <w:tc>
          <w:tcPr>
            <w:tcW w:w="608" w:type="pct"/>
            <w:noWrap/>
            <w:vAlign w:val="center"/>
          </w:tcPr>
          <w:p w14:paraId="7E1E7C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56B6DC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1.00E-08</w:t>
            </w:r>
          </w:p>
        </w:tc>
        <w:tc>
          <w:tcPr>
            <w:tcW w:w="749" w:type="pct"/>
            <w:noWrap/>
            <w:vAlign w:val="center"/>
          </w:tcPr>
          <w:p w14:paraId="30CC2A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128BF5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0.02</w:t>
            </w:r>
          </w:p>
        </w:tc>
        <w:tc>
          <w:tcPr>
            <w:tcW w:w="608" w:type="pct"/>
            <w:noWrap/>
            <w:vAlign w:val="center"/>
          </w:tcPr>
          <w:p w14:paraId="2AFC48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91786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625" w:type="dxa"/>
            <w:noWrap/>
            <w:vAlign w:val="center"/>
          </w:tcPr>
          <w:p w14:paraId="47FBD28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45</w:t>
            </w:r>
          </w:p>
        </w:tc>
        <w:tc>
          <w:tcPr>
            <w:tcW w:w="2064" w:type="dxa"/>
            <w:noWrap/>
            <w:vAlign w:val="center"/>
          </w:tcPr>
          <w:p w14:paraId="5AFF2A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山水国际</w:t>
            </w:r>
          </w:p>
        </w:tc>
        <w:tc>
          <w:tcPr>
            <w:tcW w:w="608" w:type="pct"/>
            <w:noWrap/>
            <w:vAlign w:val="center"/>
          </w:tcPr>
          <w:p w14:paraId="128F06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0982AD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2.00E-08</w:t>
            </w:r>
          </w:p>
        </w:tc>
        <w:tc>
          <w:tcPr>
            <w:tcW w:w="749" w:type="pct"/>
            <w:noWrap/>
            <w:vAlign w:val="center"/>
          </w:tcPr>
          <w:p w14:paraId="7E53B2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1D06EC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0.04</w:t>
            </w:r>
          </w:p>
        </w:tc>
        <w:tc>
          <w:tcPr>
            <w:tcW w:w="608" w:type="pct"/>
            <w:noWrap/>
            <w:vAlign w:val="center"/>
          </w:tcPr>
          <w:p w14:paraId="638BE1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93824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625" w:type="dxa"/>
            <w:noWrap/>
            <w:vAlign w:val="center"/>
          </w:tcPr>
          <w:p w14:paraId="030E87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46</w:t>
            </w:r>
          </w:p>
        </w:tc>
        <w:tc>
          <w:tcPr>
            <w:tcW w:w="2064" w:type="dxa"/>
            <w:noWrap/>
            <w:vAlign w:val="center"/>
          </w:tcPr>
          <w:p w14:paraId="7A7BBF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湖畔花园小区</w:t>
            </w:r>
          </w:p>
        </w:tc>
        <w:tc>
          <w:tcPr>
            <w:tcW w:w="608" w:type="pct"/>
            <w:noWrap/>
            <w:vAlign w:val="center"/>
          </w:tcPr>
          <w:p w14:paraId="3ACC55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21673D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4C2B84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092294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6D94AA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75456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625" w:type="dxa"/>
            <w:noWrap/>
            <w:vAlign w:val="center"/>
          </w:tcPr>
          <w:p w14:paraId="68653E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47</w:t>
            </w:r>
          </w:p>
        </w:tc>
        <w:tc>
          <w:tcPr>
            <w:tcW w:w="2064" w:type="dxa"/>
            <w:noWrap/>
            <w:vAlign w:val="center"/>
          </w:tcPr>
          <w:p w14:paraId="3B6892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湖滨小区</w:t>
            </w:r>
          </w:p>
        </w:tc>
        <w:tc>
          <w:tcPr>
            <w:tcW w:w="608" w:type="pct"/>
            <w:noWrap/>
            <w:vAlign w:val="center"/>
          </w:tcPr>
          <w:p w14:paraId="46015F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4D6A00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1189BA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2DBDCF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7899CF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E4418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625" w:type="dxa"/>
            <w:noWrap/>
            <w:vAlign w:val="center"/>
          </w:tcPr>
          <w:p w14:paraId="0A7CEA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48</w:t>
            </w:r>
          </w:p>
        </w:tc>
        <w:tc>
          <w:tcPr>
            <w:tcW w:w="2064" w:type="dxa"/>
            <w:noWrap/>
            <w:vAlign w:val="center"/>
          </w:tcPr>
          <w:p w14:paraId="70FA7B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吉祥小区</w:t>
            </w:r>
          </w:p>
        </w:tc>
        <w:tc>
          <w:tcPr>
            <w:tcW w:w="608" w:type="pct"/>
            <w:noWrap/>
            <w:vAlign w:val="center"/>
          </w:tcPr>
          <w:p w14:paraId="7585AA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706322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4E16AF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380AC5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69E6B4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DCDE0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625" w:type="dxa"/>
            <w:noWrap/>
            <w:vAlign w:val="center"/>
          </w:tcPr>
          <w:p w14:paraId="5811EE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49</w:t>
            </w:r>
          </w:p>
        </w:tc>
        <w:tc>
          <w:tcPr>
            <w:tcW w:w="2064" w:type="dxa"/>
            <w:noWrap/>
            <w:vAlign w:val="center"/>
          </w:tcPr>
          <w:p w14:paraId="4878C6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天佑国际</w:t>
            </w:r>
          </w:p>
        </w:tc>
        <w:tc>
          <w:tcPr>
            <w:tcW w:w="608" w:type="pct"/>
            <w:noWrap/>
            <w:vAlign w:val="center"/>
          </w:tcPr>
          <w:p w14:paraId="6A9CEF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1DDEFE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1.00E-08</w:t>
            </w:r>
          </w:p>
        </w:tc>
        <w:tc>
          <w:tcPr>
            <w:tcW w:w="749" w:type="pct"/>
            <w:noWrap/>
            <w:vAlign w:val="center"/>
          </w:tcPr>
          <w:p w14:paraId="1801D7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07D0C6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0.02</w:t>
            </w:r>
          </w:p>
        </w:tc>
        <w:tc>
          <w:tcPr>
            <w:tcW w:w="608" w:type="pct"/>
            <w:noWrap/>
            <w:vAlign w:val="center"/>
          </w:tcPr>
          <w:p w14:paraId="247B77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93795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625" w:type="dxa"/>
            <w:noWrap/>
            <w:vAlign w:val="center"/>
          </w:tcPr>
          <w:p w14:paraId="27A3BB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50</w:t>
            </w:r>
          </w:p>
        </w:tc>
        <w:tc>
          <w:tcPr>
            <w:tcW w:w="2064" w:type="dxa"/>
            <w:noWrap/>
            <w:vAlign w:val="center"/>
          </w:tcPr>
          <w:p w14:paraId="04D192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前进社区</w:t>
            </w:r>
          </w:p>
        </w:tc>
        <w:tc>
          <w:tcPr>
            <w:tcW w:w="608" w:type="pct"/>
            <w:noWrap/>
            <w:vAlign w:val="center"/>
          </w:tcPr>
          <w:p w14:paraId="1AF443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5DBEEA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641A43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73669A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4CF67F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1AA69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 w:hRule="atLeast"/>
          <w:jc w:val="center"/>
        </w:trPr>
        <w:tc>
          <w:tcPr>
            <w:tcW w:w="625" w:type="dxa"/>
            <w:noWrap/>
            <w:vAlign w:val="center"/>
          </w:tcPr>
          <w:p w14:paraId="51D608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51</w:t>
            </w:r>
          </w:p>
        </w:tc>
        <w:tc>
          <w:tcPr>
            <w:tcW w:w="2064" w:type="dxa"/>
            <w:noWrap/>
            <w:vAlign w:val="center"/>
          </w:tcPr>
          <w:p w14:paraId="6210478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幸福家园</w:t>
            </w:r>
          </w:p>
        </w:tc>
        <w:tc>
          <w:tcPr>
            <w:tcW w:w="608" w:type="pct"/>
            <w:noWrap/>
            <w:vAlign w:val="center"/>
          </w:tcPr>
          <w:p w14:paraId="77BDCB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0E08CE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1.00E-08</w:t>
            </w:r>
          </w:p>
        </w:tc>
        <w:tc>
          <w:tcPr>
            <w:tcW w:w="749" w:type="pct"/>
            <w:noWrap/>
            <w:vAlign w:val="center"/>
          </w:tcPr>
          <w:p w14:paraId="1ACA12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074DD4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0.02</w:t>
            </w:r>
          </w:p>
        </w:tc>
        <w:tc>
          <w:tcPr>
            <w:tcW w:w="608" w:type="pct"/>
            <w:noWrap/>
            <w:vAlign w:val="center"/>
          </w:tcPr>
          <w:p w14:paraId="645E79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9376A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625" w:type="dxa"/>
            <w:noWrap/>
            <w:vAlign w:val="center"/>
          </w:tcPr>
          <w:p w14:paraId="6D715E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52</w:t>
            </w:r>
          </w:p>
        </w:tc>
        <w:tc>
          <w:tcPr>
            <w:tcW w:w="2064" w:type="dxa"/>
            <w:noWrap/>
            <w:vAlign w:val="center"/>
          </w:tcPr>
          <w:p w14:paraId="3431FB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盛世嘉园</w:t>
            </w:r>
          </w:p>
        </w:tc>
        <w:tc>
          <w:tcPr>
            <w:tcW w:w="608" w:type="pct"/>
            <w:noWrap/>
            <w:vAlign w:val="center"/>
          </w:tcPr>
          <w:p w14:paraId="781354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536596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67A8FB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24CCED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3C26D1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14C66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625" w:type="dxa"/>
            <w:noWrap/>
            <w:vAlign w:val="center"/>
          </w:tcPr>
          <w:p w14:paraId="3B1E52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53</w:t>
            </w:r>
          </w:p>
        </w:tc>
        <w:tc>
          <w:tcPr>
            <w:tcW w:w="2064" w:type="dxa"/>
            <w:noWrap/>
            <w:vAlign w:val="center"/>
          </w:tcPr>
          <w:p w14:paraId="67DB0B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兄弟花园</w:t>
            </w:r>
          </w:p>
        </w:tc>
        <w:tc>
          <w:tcPr>
            <w:tcW w:w="608" w:type="pct"/>
            <w:noWrap/>
            <w:vAlign w:val="center"/>
          </w:tcPr>
          <w:p w14:paraId="6E95B0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54D0AE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1B4481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7365DC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4FCC36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F5FF6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625" w:type="dxa"/>
            <w:noWrap/>
            <w:vAlign w:val="center"/>
          </w:tcPr>
          <w:p w14:paraId="7F7D03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54</w:t>
            </w:r>
          </w:p>
        </w:tc>
        <w:tc>
          <w:tcPr>
            <w:tcW w:w="2064" w:type="dxa"/>
            <w:noWrap/>
            <w:vAlign w:val="center"/>
          </w:tcPr>
          <w:p w14:paraId="1274D5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同福嘉园</w:t>
            </w:r>
          </w:p>
        </w:tc>
        <w:tc>
          <w:tcPr>
            <w:tcW w:w="608" w:type="pct"/>
            <w:noWrap/>
            <w:vAlign w:val="center"/>
          </w:tcPr>
          <w:p w14:paraId="2307BE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6A28F7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57A5E5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14E199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20FFDD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28098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jc w:val="center"/>
        </w:trPr>
        <w:tc>
          <w:tcPr>
            <w:tcW w:w="625" w:type="dxa"/>
            <w:noWrap/>
            <w:vAlign w:val="center"/>
          </w:tcPr>
          <w:p w14:paraId="289223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55</w:t>
            </w:r>
          </w:p>
        </w:tc>
        <w:tc>
          <w:tcPr>
            <w:tcW w:w="2064" w:type="dxa"/>
            <w:noWrap/>
            <w:vAlign w:val="center"/>
          </w:tcPr>
          <w:p w14:paraId="7EAC77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富邦名苑</w:t>
            </w:r>
          </w:p>
        </w:tc>
        <w:tc>
          <w:tcPr>
            <w:tcW w:w="608" w:type="pct"/>
            <w:noWrap/>
            <w:vAlign w:val="center"/>
          </w:tcPr>
          <w:p w14:paraId="52EF2C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5BBB75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28B92E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0BC8AA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34B463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3B355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625" w:type="dxa"/>
            <w:noWrap/>
            <w:vAlign w:val="center"/>
          </w:tcPr>
          <w:p w14:paraId="65E414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56</w:t>
            </w:r>
          </w:p>
        </w:tc>
        <w:tc>
          <w:tcPr>
            <w:tcW w:w="2064" w:type="dxa"/>
            <w:noWrap/>
            <w:vAlign w:val="center"/>
          </w:tcPr>
          <w:p w14:paraId="344B8A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龙海世纪大酒店</w:t>
            </w:r>
          </w:p>
        </w:tc>
        <w:tc>
          <w:tcPr>
            <w:tcW w:w="608" w:type="pct"/>
            <w:noWrap/>
            <w:vAlign w:val="center"/>
          </w:tcPr>
          <w:p w14:paraId="335CB6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5A5C5E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7D3E39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10853A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06D87B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4A329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625" w:type="dxa"/>
            <w:noWrap/>
            <w:vAlign w:val="center"/>
          </w:tcPr>
          <w:p w14:paraId="79D29E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57</w:t>
            </w:r>
          </w:p>
        </w:tc>
        <w:tc>
          <w:tcPr>
            <w:tcW w:w="2064" w:type="dxa"/>
            <w:noWrap/>
            <w:vAlign w:val="center"/>
          </w:tcPr>
          <w:p w14:paraId="700A03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供电小区</w:t>
            </w:r>
          </w:p>
        </w:tc>
        <w:tc>
          <w:tcPr>
            <w:tcW w:w="608" w:type="pct"/>
            <w:noWrap/>
            <w:vAlign w:val="center"/>
          </w:tcPr>
          <w:p w14:paraId="0BC459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708325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0E37BE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682009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5CC6E7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C2DF0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625" w:type="dxa"/>
            <w:noWrap/>
            <w:vAlign w:val="center"/>
          </w:tcPr>
          <w:p w14:paraId="4672A2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58</w:t>
            </w:r>
          </w:p>
        </w:tc>
        <w:tc>
          <w:tcPr>
            <w:tcW w:w="2064" w:type="dxa"/>
            <w:noWrap/>
            <w:vAlign w:val="center"/>
          </w:tcPr>
          <w:p w14:paraId="47D633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九鹤堂医院</w:t>
            </w:r>
          </w:p>
        </w:tc>
        <w:tc>
          <w:tcPr>
            <w:tcW w:w="608" w:type="pct"/>
            <w:noWrap/>
            <w:vAlign w:val="center"/>
          </w:tcPr>
          <w:p w14:paraId="1025E2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6CACF4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55535C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447CB9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40A748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D5D14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625" w:type="dxa"/>
            <w:noWrap/>
            <w:vAlign w:val="center"/>
          </w:tcPr>
          <w:p w14:paraId="0EC219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59</w:t>
            </w:r>
          </w:p>
        </w:tc>
        <w:tc>
          <w:tcPr>
            <w:tcW w:w="2064" w:type="dxa"/>
            <w:noWrap/>
            <w:vAlign w:val="center"/>
          </w:tcPr>
          <w:p w14:paraId="641B3B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颐民敬老院卫生所</w:t>
            </w:r>
          </w:p>
        </w:tc>
        <w:tc>
          <w:tcPr>
            <w:tcW w:w="608" w:type="pct"/>
            <w:noWrap/>
            <w:vAlign w:val="center"/>
          </w:tcPr>
          <w:p w14:paraId="75C57A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356033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0773CD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1C7411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3708CF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85084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625" w:type="dxa"/>
            <w:noWrap/>
            <w:vAlign w:val="center"/>
          </w:tcPr>
          <w:p w14:paraId="260E33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60</w:t>
            </w:r>
          </w:p>
        </w:tc>
        <w:tc>
          <w:tcPr>
            <w:tcW w:w="2064" w:type="dxa"/>
            <w:noWrap/>
            <w:vAlign w:val="center"/>
          </w:tcPr>
          <w:p w14:paraId="641C3A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绥芬河市中医医院</w:t>
            </w:r>
          </w:p>
        </w:tc>
        <w:tc>
          <w:tcPr>
            <w:tcW w:w="608" w:type="pct"/>
            <w:noWrap/>
            <w:vAlign w:val="center"/>
          </w:tcPr>
          <w:p w14:paraId="0891B2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11C182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749" w:type="pct"/>
            <w:noWrap/>
            <w:vAlign w:val="center"/>
          </w:tcPr>
          <w:p w14:paraId="23E934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5873F4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w:t>
            </w:r>
          </w:p>
        </w:tc>
        <w:tc>
          <w:tcPr>
            <w:tcW w:w="608" w:type="pct"/>
            <w:noWrap/>
            <w:vAlign w:val="center"/>
          </w:tcPr>
          <w:p w14:paraId="61A05F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75FCD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625" w:type="dxa"/>
            <w:noWrap/>
            <w:vAlign w:val="center"/>
          </w:tcPr>
          <w:p w14:paraId="04B36B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w:t>
            </w:r>
          </w:p>
        </w:tc>
        <w:tc>
          <w:tcPr>
            <w:tcW w:w="2064" w:type="dxa"/>
            <w:noWrap/>
            <w:vAlign w:val="center"/>
          </w:tcPr>
          <w:p w14:paraId="645B26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立银医院</w:t>
            </w:r>
          </w:p>
        </w:tc>
        <w:tc>
          <w:tcPr>
            <w:tcW w:w="608" w:type="pct"/>
            <w:noWrap/>
            <w:vAlign w:val="center"/>
          </w:tcPr>
          <w:p w14:paraId="641513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1478" w:type="dxa"/>
            <w:noWrap/>
            <w:vAlign w:val="center"/>
          </w:tcPr>
          <w:p w14:paraId="202CB6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1278" w:type="dxa"/>
            <w:noWrap/>
            <w:vAlign w:val="center"/>
          </w:tcPr>
          <w:p w14:paraId="3A04D3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049519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w:t>
            </w:r>
            <w:r>
              <w:rPr>
                <w:rFonts w:hint="eastAsia" w:ascii="Times New Roman" w:hAnsi="Times New Roman" w:cs="Times New Roman"/>
                <w:kern w:val="0"/>
                <w:sz w:val="21"/>
                <w:highlight w:val="none"/>
                <w:lang w:val="en-US" w:eastAsia="zh-CN" w:bidi="ar"/>
              </w:rPr>
              <w:t>0</w:t>
            </w:r>
          </w:p>
        </w:tc>
        <w:tc>
          <w:tcPr>
            <w:tcW w:w="608" w:type="pct"/>
            <w:noWrap/>
            <w:vAlign w:val="center"/>
          </w:tcPr>
          <w:p w14:paraId="757686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E8380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625" w:type="dxa"/>
            <w:noWrap/>
            <w:vAlign w:val="center"/>
          </w:tcPr>
          <w:p w14:paraId="6C81D7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cs="Times New Roman"/>
                <w:kern w:val="0"/>
                <w:sz w:val="21"/>
                <w:highlight w:val="none"/>
                <w:lang w:val="en-US" w:eastAsia="zh-CN" w:bidi="ar"/>
              </w:rPr>
              <w:t>62</w:t>
            </w:r>
          </w:p>
        </w:tc>
        <w:tc>
          <w:tcPr>
            <w:tcW w:w="2064" w:type="dxa"/>
            <w:noWrap/>
            <w:vAlign w:val="center"/>
          </w:tcPr>
          <w:p w14:paraId="6F9DB8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cs="Times New Roman"/>
                <w:kern w:val="0"/>
                <w:sz w:val="21"/>
                <w:highlight w:val="none"/>
                <w:lang w:val="en-US" w:eastAsia="zh-CN" w:bidi="ar"/>
              </w:rPr>
              <w:t>绥芬河市传染病医院</w:t>
            </w:r>
          </w:p>
        </w:tc>
        <w:tc>
          <w:tcPr>
            <w:tcW w:w="608" w:type="pct"/>
            <w:noWrap/>
            <w:vAlign w:val="center"/>
          </w:tcPr>
          <w:p w14:paraId="1E5022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cs="Times New Roman"/>
                <w:kern w:val="0"/>
                <w:sz w:val="21"/>
                <w:highlight w:val="none"/>
                <w:lang w:val="en-US" w:eastAsia="zh-CN" w:bidi="ar"/>
              </w:rPr>
              <w:t>年平均</w:t>
            </w:r>
          </w:p>
        </w:tc>
        <w:tc>
          <w:tcPr>
            <w:tcW w:w="1478" w:type="dxa"/>
            <w:noWrap/>
            <w:vAlign w:val="center"/>
          </w:tcPr>
          <w:p w14:paraId="2CA534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1.00E-08</w:t>
            </w:r>
          </w:p>
        </w:tc>
        <w:tc>
          <w:tcPr>
            <w:tcW w:w="1278" w:type="dxa"/>
            <w:noWrap/>
            <w:vAlign w:val="center"/>
          </w:tcPr>
          <w:p w14:paraId="3327EE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1003" w:type="dxa"/>
            <w:noWrap/>
            <w:vAlign w:val="center"/>
          </w:tcPr>
          <w:p w14:paraId="2CF0A3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0.02</w:t>
            </w:r>
          </w:p>
        </w:tc>
        <w:tc>
          <w:tcPr>
            <w:tcW w:w="1037" w:type="dxa"/>
            <w:noWrap/>
            <w:vAlign w:val="center"/>
          </w:tcPr>
          <w:p w14:paraId="25B30C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D3130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625" w:type="dxa"/>
            <w:noWrap/>
            <w:vAlign w:val="center"/>
          </w:tcPr>
          <w:p w14:paraId="5EC3C1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w:t>
            </w:r>
            <w:r>
              <w:rPr>
                <w:rFonts w:hint="eastAsia" w:ascii="Times New Roman" w:hAnsi="Times New Roman" w:cs="Times New Roman"/>
                <w:kern w:val="0"/>
                <w:sz w:val="21"/>
                <w:highlight w:val="none"/>
                <w:lang w:val="en-US" w:eastAsia="zh-CN" w:bidi="ar"/>
              </w:rPr>
              <w:t>3</w:t>
            </w:r>
          </w:p>
        </w:tc>
        <w:tc>
          <w:tcPr>
            <w:tcW w:w="2064" w:type="dxa"/>
            <w:noWrap/>
            <w:vAlign w:val="center"/>
          </w:tcPr>
          <w:p w14:paraId="250FD4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网格</w:t>
            </w:r>
          </w:p>
        </w:tc>
        <w:tc>
          <w:tcPr>
            <w:tcW w:w="608" w:type="pct"/>
            <w:noWrap/>
            <w:vAlign w:val="center"/>
          </w:tcPr>
          <w:p w14:paraId="0FCEA8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867" w:type="pct"/>
            <w:noWrap/>
            <w:vAlign w:val="center"/>
          </w:tcPr>
          <w:p w14:paraId="67B4AA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3.00E-08</w:t>
            </w:r>
          </w:p>
        </w:tc>
        <w:tc>
          <w:tcPr>
            <w:tcW w:w="749" w:type="pct"/>
            <w:noWrap/>
            <w:vAlign w:val="center"/>
          </w:tcPr>
          <w:p w14:paraId="2B0987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588" w:type="pct"/>
            <w:noWrap/>
            <w:vAlign w:val="center"/>
          </w:tcPr>
          <w:p w14:paraId="15B5FB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w:t>
            </w:r>
            <w:r>
              <w:rPr>
                <w:rFonts w:hint="eastAsia" w:ascii="Times New Roman" w:hAnsi="Times New Roman" w:cs="Times New Roman"/>
                <w:kern w:val="0"/>
                <w:sz w:val="21"/>
                <w:highlight w:val="none"/>
                <w:lang w:val="en-US" w:eastAsia="zh-CN" w:bidi="ar"/>
              </w:rPr>
              <w:t>6</w:t>
            </w:r>
          </w:p>
        </w:tc>
        <w:tc>
          <w:tcPr>
            <w:tcW w:w="608" w:type="pct"/>
            <w:noWrap/>
            <w:vAlign w:val="center"/>
          </w:tcPr>
          <w:p w14:paraId="0744DB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bl>
    <w:p w14:paraId="3FD2F0AB">
      <w:pPr>
        <w:ind w:firstLine="480"/>
        <w:rPr>
          <w:rFonts w:ascii="Times New Roman" w:hAnsi="Times New Roman"/>
          <w:color w:val="auto"/>
          <w:highlight w:val="none"/>
        </w:rPr>
      </w:pPr>
      <w:r>
        <w:rPr>
          <w:rFonts w:ascii="Times New Roman" w:hAnsi="Times New Roman"/>
          <w:color w:val="auto"/>
          <w:highlight w:val="none"/>
        </w:rPr>
        <w:t>本项目</w:t>
      </w:r>
      <w:r>
        <w:rPr>
          <w:rFonts w:hint="eastAsia" w:ascii="Times New Roman" w:hAnsi="Times New Roman"/>
          <w:color w:val="auto"/>
          <w:highlight w:val="none"/>
        </w:rPr>
        <w:t>汞长</w:t>
      </w:r>
      <w:r>
        <w:rPr>
          <w:rFonts w:ascii="Times New Roman" w:hAnsi="Times New Roman"/>
          <w:color w:val="auto"/>
          <w:highlight w:val="none"/>
        </w:rPr>
        <w:t>期贡献浓度占标率≤100%。</w:t>
      </w:r>
    </w:p>
    <w:p w14:paraId="14D026D1">
      <w:pPr>
        <w:ind w:firstLine="480"/>
        <w:rPr>
          <w:rFonts w:ascii="Times New Roman" w:hAnsi="Times New Roman"/>
          <w:color w:val="auto"/>
          <w:highlight w:val="none"/>
        </w:rPr>
      </w:pPr>
      <w:r>
        <w:rPr>
          <w:rFonts w:ascii="Times New Roman" w:hAnsi="Times New Roman"/>
          <w:color w:val="auto"/>
          <w:highlight w:val="none"/>
        </w:rPr>
        <w:t>2、叠加后环境质量浓度预测结果</w:t>
      </w:r>
    </w:p>
    <w:p w14:paraId="66E74659">
      <w:pPr>
        <w:ind w:firstLine="480"/>
        <w:rPr>
          <w:rFonts w:ascii="Times New Roman" w:hAnsi="Times New Roman"/>
          <w:color w:val="auto"/>
          <w:highlight w:val="none"/>
        </w:rPr>
      </w:pPr>
      <w:r>
        <w:rPr>
          <w:rFonts w:ascii="Times New Roman" w:hAnsi="Times New Roman"/>
          <w:color w:val="auto"/>
          <w:highlight w:val="none"/>
        </w:rPr>
        <w:t>叠加背景浓度后环境空气保护目标和网格点主要污染物保证率日平均质量浓度和年平均质量浓度的达标情况见表5.2-</w:t>
      </w:r>
      <w:r>
        <w:rPr>
          <w:rFonts w:hint="eastAsia" w:ascii="Times New Roman" w:hAnsi="Times New Roman"/>
          <w:color w:val="auto"/>
          <w:highlight w:val="none"/>
          <w:lang w:val="en-US" w:eastAsia="zh-CN"/>
        </w:rPr>
        <w:t>17</w:t>
      </w:r>
      <w:r>
        <w:rPr>
          <w:rFonts w:ascii="Times New Roman" w:hAnsi="Times New Roman"/>
          <w:color w:val="auto"/>
          <w:highlight w:val="none"/>
        </w:rPr>
        <w:t>~表5.2-</w:t>
      </w:r>
      <w:r>
        <w:rPr>
          <w:rFonts w:hint="eastAsia" w:ascii="Times New Roman" w:hAnsi="Times New Roman"/>
          <w:color w:val="auto"/>
          <w:highlight w:val="none"/>
          <w:lang w:val="en-US" w:eastAsia="zh-CN"/>
        </w:rPr>
        <w:t>19</w:t>
      </w:r>
      <w:r>
        <w:rPr>
          <w:rFonts w:ascii="Times New Roman" w:hAnsi="Times New Roman"/>
          <w:color w:val="auto"/>
          <w:highlight w:val="none"/>
        </w:rPr>
        <w:t>。</w:t>
      </w:r>
    </w:p>
    <w:p w14:paraId="7934AFD8">
      <w:pPr>
        <w:ind w:firstLine="480"/>
        <w:rPr>
          <w:rFonts w:ascii="Times New Roman" w:hAnsi="Times New Roman"/>
          <w:color w:val="auto"/>
          <w:highlight w:val="none"/>
        </w:rPr>
      </w:pPr>
      <w:r>
        <w:rPr>
          <w:rFonts w:ascii="Times New Roman" w:hAnsi="Times New Roman"/>
          <w:color w:val="auto"/>
          <w:highlight w:val="none"/>
        </w:rPr>
        <w:t>根据《环境影响评价技术导则 大气环境》(HJ2. 2-2018)可知，对于保证率日平均质量浓度，首先按导则中8.81.1 或8812的方法计算叠加后预测点上的日平均质量浓度，然后对该预测点所有日平均质量浓度从小到大进行排序，根据各污染物日平均质量浓度的保证率 (p)，计算排在p百分位数的第m个序数，序数m对应的日平均质量浓度即为保证率日平均浓度Cm。其中序数m计算方法见下列公式。</w:t>
      </w:r>
    </w:p>
    <w:p w14:paraId="5A87D50B">
      <w:pPr>
        <w:ind w:firstLine="0" w:firstLineChars="0"/>
        <w:jc w:val="center"/>
        <w:rPr>
          <w:rFonts w:ascii="Times New Roman" w:hAnsi="Times New Roman"/>
          <w:color w:val="auto"/>
          <w:sz w:val="32"/>
          <w:highlight w:val="none"/>
        </w:rPr>
      </w:pPr>
      <w:r>
        <w:rPr>
          <w:rFonts w:ascii="Times New Roman" w:hAnsi="Times New Roman"/>
          <w:color w:val="auto"/>
          <w:sz w:val="32"/>
          <w:highlight w:val="none"/>
        </w:rPr>
        <w:t>m=1+（n-1）×P</w:t>
      </w:r>
    </w:p>
    <w:p w14:paraId="4DC32DF7">
      <w:pPr>
        <w:ind w:firstLine="480"/>
        <w:rPr>
          <w:rFonts w:ascii="Times New Roman" w:hAnsi="Times New Roman"/>
          <w:color w:val="auto"/>
          <w:highlight w:val="none"/>
        </w:rPr>
      </w:pPr>
      <w:r>
        <w:rPr>
          <w:rFonts w:ascii="Times New Roman" w:hAnsi="Times New Roman"/>
          <w:color w:val="auto"/>
          <w:highlight w:val="none"/>
        </w:rPr>
        <w:t>式中：</w:t>
      </w:r>
    </w:p>
    <w:p w14:paraId="6A18A105">
      <w:pPr>
        <w:ind w:firstLine="480"/>
        <w:rPr>
          <w:rFonts w:ascii="Times New Roman" w:hAnsi="Times New Roman"/>
          <w:color w:val="auto"/>
          <w:highlight w:val="none"/>
        </w:rPr>
      </w:pPr>
      <w:r>
        <w:rPr>
          <w:rFonts w:ascii="Times New Roman" w:hAnsi="Times New Roman"/>
          <w:color w:val="auto"/>
          <w:highlight w:val="none"/>
        </w:rPr>
        <w:t>p——该污染物日平均质量浓度的保证率，按HJ 663规定的对应污染物年评价中24h平均百分位数取值，%；</w:t>
      </w:r>
    </w:p>
    <w:p w14:paraId="1B07824A">
      <w:pPr>
        <w:ind w:firstLine="480"/>
        <w:rPr>
          <w:rFonts w:ascii="Times New Roman" w:hAnsi="Times New Roman"/>
          <w:color w:val="auto"/>
          <w:highlight w:val="none"/>
        </w:rPr>
      </w:pPr>
      <w:r>
        <w:rPr>
          <w:rFonts w:ascii="Times New Roman" w:hAnsi="Times New Roman"/>
          <w:color w:val="auto"/>
          <w:highlight w:val="none"/>
        </w:rPr>
        <w:t>n——1个日历年内单个预测点上的日平均质量浓度的所有数据个数，个；</w:t>
      </w:r>
    </w:p>
    <w:p w14:paraId="67486564">
      <w:pPr>
        <w:ind w:firstLine="480"/>
        <w:rPr>
          <w:rFonts w:ascii="Times New Roman" w:hAnsi="Times New Roman"/>
          <w:color w:val="auto"/>
          <w:highlight w:val="none"/>
        </w:rPr>
      </w:pPr>
      <w:r>
        <w:rPr>
          <w:rFonts w:ascii="Times New Roman" w:hAnsi="Times New Roman"/>
          <w:color w:val="auto"/>
          <w:highlight w:val="none"/>
        </w:rPr>
        <w:t>m——百分位数p对应的序数(第m个)，向上取整数。</w:t>
      </w:r>
    </w:p>
    <w:p w14:paraId="05F47F8D">
      <w:pPr>
        <w:ind w:firstLine="480"/>
        <w:rPr>
          <w:rFonts w:ascii="Times New Roman" w:hAnsi="Times New Roman"/>
          <w:color w:val="auto"/>
          <w:highlight w:val="none"/>
        </w:rPr>
      </w:pPr>
      <w:r>
        <w:rPr>
          <w:rFonts w:ascii="Times New Roman" w:hAnsi="Times New Roman"/>
          <w:color w:val="auto"/>
          <w:highlight w:val="none"/>
        </w:rPr>
        <w:t>（1）SO</w:t>
      </w:r>
      <w:r>
        <w:rPr>
          <w:rFonts w:ascii="Times New Roman" w:hAnsi="Times New Roman"/>
          <w:color w:val="auto"/>
          <w:highlight w:val="none"/>
          <w:vertAlign w:val="subscript"/>
        </w:rPr>
        <w:t>2</w:t>
      </w:r>
      <w:r>
        <w:rPr>
          <w:rFonts w:ascii="Times New Roman" w:hAnsi="Times New Roman"/>
          <w:color w:val="auto"/>
          <w:highlight w:val="none"/>
        </w:rPr>
        <w:t>叠加现状环境影响预测</w:t>
      </w:r>
    </w:p>
    <w:p w14:paraId="36BE5B05">
      <w:pPr>
        <w:ind w:firstLine="480"/>
        <w:rPr>
          <w:rFonts w:ascii="Times New Roman" w:hAnsi="Times New Roman"/>
          <w:color w:val="auto"/>
          <w:highlight w:val="none"/>
        </w:rPr>
      </w:pPr>
      <w:r>
        <w:rPr>
          <w:rFonts w:ascii="Times New Roman" w:hAnsi="Times New Roman"/>
          <w:color w:val="auto"/>
          <w:highlight w:val="none"/>
        </w:rPr>
        <w:t>各敏感点及区域SO</w:t>
      </w:r>
      <w:r>
        <w:rPr>
          <w:rFonts w:ascii="Times New Roman" w:hAnsi="Times New Roman"/>
          <w:color w:val="auto"/>
          <w:highlight w:val="none"/>
          <w:vertAlign w:val="subscript"/>
        </w:rPr>
        <w:t>2</w:t>
      </w:r>
      <w:r>
        <w:rPr>
          <w:rFonts w:ascii="Times New Roman" w:hAnsi="Times New Roman"/>
          <w:color w:val="auto"/>
          <w:highlight w:val="none"/>
        </w:rPr>
        <w:t>最大浓度点叠加背景浓度结果见表5.2-</w:t>
      </w:r>
      <w:r>
        <w:rPr>
          <w:rFonts w:hint="eastAsia" w:ascii="Times New Roman" w:hAnsi="Times New Roman"/>
          <w:color w:val="auto"/>
          <w:highlight w:val="none"/>
          <w:lang w:val="en-US" w:eastAsia="zh-CN"/>
        </w:rPr>
        <w:t>17</w:t>
      </w:r>
      <w:r>
        <w:rPr>
          <w:rFonts w:ascii="Times New Roman" w:hAnsi="Times New Roman"/>
          <w:color w:val="auto"/>
          <w:highlight w:val="none"/>
        </w:rPr>
        <w:t>。</w:t>
      </w:r>
    </w:p>
    <w:p w14:paraId="741F7C7C">
      <w:pPr>
        <w:ind w:right="480" w:firstLine="0" w:firstLineChars="0"/>
        <w:jc w:val="center"/>
        <w:rPr>
          <w:rFonts w:ascii="Times New Roman" w:hAnsi="Times New Roman"/>
          <w:color w:val="auto"/>
          <w:highlight w:val="none"/>
        </w:rPr>
      </w:pPr>
      <w:r>
        <w:rPr>
          <w:rFonts w:hint="eastAsia" w:ascii="黑体" w:hAnsi="黑体" w:eastAsia="黑体" w:cs="黑体"/>
          <w:color w:val="auto"/>
          <w:highlight w:val="none"/>
        </w:rPr>
        <w:t>表</w:t>
      </w:r>
      <w:r>
        <w:rPr>
          <w:rFonts w:ascii="Times New Roman" w:hAnsi="Times New Roman"/>
          <w:color w:val="auto"/>
          <w:highlight w:val="none"/>
        </w:rPr>
        <w:t>5.2-</w:t>
      </w:r>
      <w:r>
        <w:rPr>
          <w:rFonts w:hint="eastAsia" w:ascii="Times New Roman" w:hAnsi="Times New Roman"/>
          <w:color w:val="auto"/>
          <w:highlight w:val="none"/>
          <w:lang w:val="en-US" w:eastAsia="zh-CN"/>
        </w:rPr>
        <w:t>17</w:t>
      </w:r>
      <w:r>
        <w:rPr>
          <w:rFonts w:hint="eastAsia" w:ascii="黑体" w:hAnsi="黑体" w:eastAsia="黑体" w:cs="黑体"/>
          <w:color w:val="auto"/>
          <w:highlight w:val="none"/>
        </w:rPr>
        <w:t>二氧化硫预测结果叠加背景浓度结果</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4"/>
        <w:gridCol w:w="1648"/>
        <w:gridCol w:w="693"/>
        <w:gridCol w:w="1110"/>
        <w:gridCol w:w="902"/>
        <w:gridCol w:w="1110"/>
        <w:gridCol w:w="1110"/>
        <w:gridCol w:w="800"/>
        <w:gridCol w:w="695"/>
      </w:tblGrid>
      <w:tr w14:paraId="3EBE23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66" w:type="pct"/>
            <w:noWrap/>
            <w:vAlign w:val="center"/>
          </w:tcPr>
          <w:p w14:paraId="22E79D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序号</w:t>
            </w:r>
          </w:p>
        </w:tc>
        <w:tc>
          <w:tcPr>
            <w:tcW w:w="966" w:type="pct"/>
            <w:noWrap/>
            <w:vAlign w:val="center"/>
          </w:tcPr>
          <w:p w14:paraId="425BA0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点名称</w:t>
            </w:r>
          </w:p>
        </w:tc>
        <w:tc>
          <w:tcPr>
            <w:tcW w:w="406" w:type="pct"/>
            <w:noWrap/>
            <w:vAlign w:val="center"/>
          </w:tcPr>
          <w:p w14:paraId="11AC0A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浓度类型</w:t>
            </w:r>
          </w:p>
        </w:tc>
        <w:tc>
          <w:tcPr>
            <w:tcW w:w="651" w:type="pct"/>
            <w:noWrap/>
            <w:vAlign w:val="center"/>
          </w:tcPr>
          <w:p w14:paraId="0D7B72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浓度增量(mg/m3)</w:t>
            </w:r>
          </w:p>
        </w:tc>
        <w:tc>
          <w:tcPr>
            <w:tcW w:w="529" w:type="pct"/>
            <w:noWrap/>
            <w:vAlign w:val="center"/>
          </w:tcPr>
          <w:p w14:paraId="1294D3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出现时间</w:t>
            </w:r>
          </w:p>
        </w:tc>
        <w:tc>
          <w:tcPr>
            <w:tcW w:w="651" w:type="pct"/>
            <w:noWrap/>
            <w:vAlign w:val="center"/>
          </w:tcPr>
          <w:p w14:paraId="4A2091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背景浓度(mg/m3)</w:t>
            </w:r>
          </w:p>
        </w:tc>
        <w:tc>
          <w:tcPr>
            <w:tcW w:w="651" w:type="pct"/>
            <w:noWrap/>
            <w:vAlign w:val="center"/>
          </w:tcPr>
          <w:p w14:paraId="6FB355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叠加浓度(mg/m3)</w:t>
            </w:r>
          </w:p>
        </w:tc>
        <w:tc>
          <w:tcPr>
            <w:tcW w:w="469" w:type="pct"/>
            <w:noWrap/>
            <w:vAlign w:val="center"/>
          </w:tcPr>
          <w:p w14:paraId="36F025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占标率%</w:t>
            </w:r>
          </w:p>
        </w:tc>
        <w:tc>
          <w:tcPr>
            <w:tcW w:w="407" w:type="pct"/>
            <w:noWrap/>
            <w:vAlign w:val="center"/>
          </w:tcPr>
          <w:p w14:paraId="36C168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是否超标</w:t>
            </w:r>
          </w:p>
        </w:tc>
      </w:tr>
      <w:tr w14:paraId="1B20B8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66" w:type="pct"/>
            <w:vMerge w:val="restart"/>
            <w:noWrap/>
            <w:vAlign w:val="center"/>
          </w:tcPr>
          <w:p w14:paraId="3F6354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w:t>
            </w:r>
          </w:p>
        </w:tc>
        <w:tc>
          <w:tcPr>
            <w:tcW w:w="966" w:type="pct"/>
            <w:vMerge w:val="restart"/>
            <w:noWrap/>
            <w:vAlign w:val="center"/>
          </w:tcPr>
          <w:p w14:paraId="0772F6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绥芬河市政府</w:t>
            </w:r>
          </w:p>
        </w:tc>
        <w:tc>
          <w:tcPr>
            <w:tcW w:w="406" w:type="pct"/>
            <w:noWrap/>
            <w:vAlign w:val="center"/>
          </w:tcPr>
          <w:p w14:paraId="580402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7D32C1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3D57B2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33C5E8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2EA3FE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3D9B89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196276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29F99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66" w:type="pct"/>
            <w:vMerge w:val="continue"/>
            <w:noWrap/>
            <w:vAlign w:val="center"/>
          </w:tcPr>
          <w:p w14:paraId="3940F3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56C8A2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2B59FA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2CAA16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-2.62E-04</w:t>
            </w:r>
          </w:p>
        </w:tc>
        <w:tc>
          <w:tcPr>
            <w:tcW w:w="529" w:type="pct"/>
            <w:noWrap/>
            <w:vAlign w:val="center"/>
          </w:tcPr>
          <w:p w14:paraId="0FE9E0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430E4C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2D71FF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6.89E-03</w:t>
            </w:r>
          </w:p>
        </w:tc>
        <w:tc>
          <w:tcPr>
            <w:tcW w:w="469" w:type="pct"/>
            <w:noWrap/>
            <w:vAlign w:val="center"/>
          </w:tcPr>
          <w:p w14:paraId="0A4038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11.49</w:t>
            </w:r>
          </w:p>
        </w:tc>
        <w:tc>
          <w:tcPr>
            <w:tcW w:w="407" w:type="pct"/>
            <w:noWrap/>
            <w:vAlign w:val="center"/>
          </w:tcPr>
          <w:p w14:paraId="338CEC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C56F1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66" w:type="pct"/>
            <w:vMerge w:val="restart"/>
            <w:noWrap/>
            <w:vAlign w:val="center"/>
          </w:tcPr>
          <w:p w14:paraId="75D274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w:t>
            </w:r>
          </w:p>
        </w:tc>
        <w:tc>
          <w:tcPr>
            <w:tcW w:w="966" w:type="pct"/>
            <w:vMerge w:val="restart"/>
            <w:noWrap/>
            <w:vAlign w:val="center"/>
          </w:tcPr>
          <w:p w14:paraId="1B376C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绥芬河市人大</w:t>
            </w:r>
          </w:p>
        </w:tc>
        <w:tc>
          <w:tcPr>
            <w:tcW w:w="406" w:type="pct"/>
            <w:noWrap/>
            <w:vAlign w:val="center"/>
          </w:tcPr>
          <w:p w14:paraId="2170218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78D415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0FCAE7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39C841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2F8BA5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33E52C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016C5E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8D63B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66" w:type="pct"/>
            <w:vMerge w:val="continue"/>
            <w:noWrap/>
            <w:vAlign w:val="center"/>
          </w:tcPr>
          <w:p w14:paraId="1042C0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0CE3AF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060883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7D0138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-1.40E-04</w:t>
            </w:r>
          </w:p>
        </w:tc>
        <w:tc>
          <w:tcPr>
            <w:tcW w:w="529" w:type="pct"/>
            <w:noWrap/>
            <w:vAlign w:val="center"/>
          </w:tcPr>
          <w:p w14:paraId="6C81D5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025260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3C2F6B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7.02E-03</w:t>
            </w:r>
          </w:p>
        </w:tc>
        <w:tc>
          <w:tcPr>
            <w:tcW w:w="469" w:type="pct"/>
            <w:noWrap/>
            <w:vAlign w:val="center"/>
          </w:tcPr>
          <w:p w14:paraId="052CB5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11.69</w:t>
            </w:r>
          </w:p>
        </w:tc>
        <w:tc>
          <w:tcPr>
            <w:tcW w:w="407" w:type="pct"/>
            <w:noWrap/>
            <w:vAlign w:val="center"/>
          </w:tcPr>
          <w:p w14:paraId="168F55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79839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66" w:type="pct"/>
            <w:vMerge w:val="restart"/>
            <w:noWrap/>
            <w:vAlign w:val="center"/>
          </w:tcPr>
          <w:p w14:paraId="67C218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w:t>
            </w:r>
          </w:p>
        </w:tc>
        <w:tc>
          <w:tcPr>
            <w:tcW w:w="966" w:type="pct"/>
            <w:vMerge w:val="restart"/>
            <w:noWrap/>
            <w:vAlign w:val="center"/>
          </w:tcPr>
          <w:p w14:paraId="6E647E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绥芬河市应急资源局</w:t>
            </w:r>
          </w:p>
        </w:tc>
        <w:tc>
          <w:tcPr>
            <w:tcW w:w="406" w:type="pct"/>
            <w:noWrap/>
            <w:vAlign w:val="center"/>
          </w:tcPr>
          <w:p w14:paraId="681A60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671834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3721EA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34071A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570D75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4A2957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654E0B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32D9C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6" w:type="pct"/>
            <w:vMerge w:val="continue"/>
            <w:noWrap/>
            <w:vAlign w:val="center"/>
          </w:tcPr>
          <w:p w14:paraId="00D212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01A3C0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5F0017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6C8AF0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-3.08E-04</w:t>
            </w:r>
          </w:p>
        </w:tc>
        <w:tc>
          <w:tcPr>
            <w:tcW w:w="529" w:type="pct"/>
            <w:noWrap/>
            <w:vAlign w:val="center"/>
          </w:tcPr>
          <w:p w14:paraId="24F186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126CB6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10202F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6.85E-03</w:t>
            </w:r>
          </w:p>
        </w:tc>
        <w:tc>
          <w:tcPr>
            <w:tcW w:w="469" w:type="pct"/>
            <w:noWrap/>
            <w:vAlign w:val="center"/>
          </w:tcPr>
          <w:p w14:paraId="4FAB7A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11.41</w:t>
            </w:r>
          </w:p>
        </w:tc>
        <w:tc>
          <w:tcPr>
            <w:tcW w:w="407" w:type="pct"/>
            <w:noWrap/>
            <w:vAlign w:val="center"/>
          </w:tcPr>
          <w:p w14:paraId="1A1109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D8401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66" w:type="pct"/>
            <w:vMerge w:val="restart"/>
            <w:noWrap/>
            <w:vAlign w:val="center"/>
          </w:tcPr>
          <w:p w14:paraId="687DDF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w:t>
            </w:r>
          </w:p>
        </w:tc>
        <w:tc>
          <w:tcPr>
            <w:tcW w:w="966" w:type="pct"/>
            <w:vMerge w:val="restart"/>
            <w:noWrap/>
            <w:vAlign w:val="center"/>
          </w:tcPr>
          <w:p w14:paraId="6B437B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绥芬河市住房公积金中心</w:t>
            </w:r>
          </w:p>
        </w:tc>
        <w:tc>
          <w:tcPr>
            <w:tcW w:w="406" w:type="pct"/>
            <w:noWrap/>
            <w:vAlign w:val="center"/>
          </w:tcPr>
          <w:p w14:paraId="2364F1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68F321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4A9C52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077CA1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70F32B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17E24D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3E477E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3C4F3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66" w:type="pct"/>
            <w:vMerge w:val="continue"/>
            <w:noWrap/>
            <w:vAlign w:val="center"/>
          </w:tcPr>
          <w:p w14:paraId="032D5B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333809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221038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2A3829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-2.09E-04</w:t>
            </w:r>
          </w:p>
        </w:tc>
        <w:tc>
          <w:tcPr>
            <w:tcW w:w="529" w:type="pct"/>
            <w:noWrap/>
            <w:vAlign w:val="center"/>
          </w:tcPr>
          <w:p w14:paraId="10EDDD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10A58C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306EB5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6.95E-03</w:t>
            </w:r>
          </w:p>
        </w:tc>
        <w:tc>
          <w:tcPr>
            <w:tcW w:w="469" w:type="pct"/>
            <w:noWrap/>
            <w:vAlign w:val="center"/>
          </w:tcPr>
          <w:p w14:paraId="309D90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11.58</w:t>
            </w:r>
          </w:p>
        </w:tc>
        <w:tc>
          <w:tcPr>
            <w:tcW w:w="407" w:type="pct"/>
            <w:noWrap/>
            <w:vAlign w:val="center"/>
          </w:tcPr>
          <w:p w14:paraId="1F9A41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B2ACE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66" w:type="pct"/>
            <w:vMerge w:val="restart"/>
            <w:noWrap/>
            <w:vAlign w:val="center"/>
          </w:tcPr>
          <w:p w14:paraId="0BEAAF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w:t>
            </w:r>
          </w:p>
        </w:tc>
        <w:tc>
          <w:tcPr>
            <w:tcW w:w="966" w:type="pct"/>
            <w:vMerge w:val="restart"/>
            <w:noWrap/>
            <w:vAlign w:val="center"/>
          </w:tcPr>
          <w:p w14:paraId="61F5E2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绥芬河市房屋征收办公室</w:t>
            </w:r>
          </w:p>
        </w:tc>
        <w:tc>
          <w:tcPr>
            <w:tcW w:w="406" w:type="pct"/>
            <w:noWrap/>
            <w:vAlign w:val="center"/>
          </w:tcPr>
          <w:p w14:paraId="24BECA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41E1B0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7F032D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745DD4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60B78E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041D1D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770FA1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C9E6E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66" w:type="pct"/>
            <w:vMerge w:val="continue"/>
            <w:noWrap/>
            <w:vAlign w:val="center"/>
          </w:tcPr>
          <w:p w14:paraId="15B5BA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4EE25B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497C29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42FA39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-2.25E-04</w:t>
            </w:r>
          </w:p>
        </w:tc>
        <w:tc>
          <w:tcPr>
            <w:tcW w:w="529" w:type="pct"/>
            <w:noWrap/>
            <w:vAlign w:val="center"/>
          </w:tcPr>
          <w:p w14:paraId="3D0136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516C8E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3068AC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6.93E-03</w:t>
            </w:r>
          </w:p>
        </w:tc>
        <w:tc>
          <w:tcPr>
            <w:tcW w:w="469" w:type="pct"/>
            <w:noWrap/>
            <w:vAlign w:val="center"/>
          </w:tcPr>
          <w:p w14:paraId="3D71D5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11.55</w:t>
            </w:r>
          </w:p>
        </w:tc>
        <w:tc>
          <w:tcPr>
            <w:tcW w:w="407" w:type="pct"/>
            <w:noWrap/>
            <w:vAlign w:val="center"/>
          </w:tcPr>
          <w:p w14:paraId="3C67FF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12F82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66" w:type="pct"/>
            <w:vMerge w:val="restart"/>
            <w:noWrap/>
            <w:vAlign w:val="center"/>
          </w:tcPr>
          <w:p w14:paraId="1A7639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w:t>
            </w:r>
          </w:p>
        </w:tc>
        <w:tc>
          <w:tcPr>
            <w:tcW w:w="966" w:type="pct"/>
            <w:vMerge w:val="restart"/>
            <w:noWrap/>
            <w:vAlign w:val="center"/>
          </w:tcPr>
          <w:p w14:paraId="3348A2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绥芬河镇人民政府</w:t>
            </w:r>
          </w:p>
        </w:tc>
        <w:tc>
          <w:tcPr>
            <w:tcW w:w="406" w:type="pct"/>
            <w:noWrap/>
            <w:vAlign w:val="center"/>
          </w:tcPr>
          <w:p w14:paraId="7D4E07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582A88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7DDABD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73835B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6F2A9B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21186D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392989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FACCD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66" w:type="pct"/>
            <w:vMerge w:val="continue"/>
            <w:noWrap/>
            <w:vAlign w:val="center"/>
          </w:tcPr>
          <w:p w14:paraId="627C83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3B7267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250431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35D2A6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-3.41E-05</w:t>
            </w:r>
          </w:p>
        </w:tc>
        <w:tc>
          <w:tcPr>
            <w:tcW w:w="529" w:type="pct"/>
            <w:noWrap/>
            <w:vAlign w:val="center"/>
          </w:tcPr>
          <w:p w14:paraId="534558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673ED7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0A9167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7.12E-03</w:t>
            </w:r>
          </w:p>
        </w:tc>
        <w:tc>
          <w:tcPr>
            <w:tcW w:w="469" w:type="pct"/>
            <w:noWrap/>
            <w:vAlign w:val="center"/>
          </w:tcPr>
          <w:p w14:paraId="1C2F1A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11.87</w:t>
            </w:r>
          </w:p>
        </w:tc>
        <w:tc>
          <w:tcPr>
            <w:tcW w:w="407" w:type="pct"/>
            <w:noWrap/>
            <w:vAlign w:val="center"/>
          </w:tcPr>
          <w:p w14:paraId="1AA309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CA2C0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66" w:type="pct"/>
            <w:vMerge w:val="restart"/>
            <w:noWrap/>
            <w:vAlign w:val="center"/>
          </w:tcPr>
          <w:p w14:paraId="577A1F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w:t>
            </w:r>
          </w:p>
        </w:tc>
        <w:tc>
          <w:tcPr>
            <w:tcW w:w="966" w:type="pct"/>
            <w:vMerge w:val="restart"/>
            <w:noWrap/>
            <w:vAlign w:val="center"/>
          </w:tcPr>
          <w:p w14:paraId="6D8E55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绥芬河邮政管理局</w:t>
            </w:r>
          </w:p>
        </w:tc>
        <w:tc>
          <w:tcPr>
            <w:tcW w:w="406" w:type="pct"/>
            <w:noWrap/>
            <w:vAlign w:val="center"/>
          </w:tcPr>
          <w:p w14:paraId="54F447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5548DA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73FE93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3BE5BF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696149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40C04A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6268CC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2B88E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66" w:type="pct"/>
            <w:vMerge w:val="continue"/>
            <w:noWrap/>
            <w:vAlign w:val="center"/>
          </w:tcPr>
          <w:p w14:paraId="01249A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3CEDD9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696164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431262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-3.65E-05</w:t>
            </w:r>
          </w:p>
        </w:tc>
        <w:tc>
          <w:tcPr>
            <w:tcW w:w="529" w:type="pct"/>
            <w:noWrap/>
            <w:vAlign w:val="center"/>
          </w:tcPr>
          <w:p w14:paraId="10BA53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2FC26C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0C488B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7.12E-03</w:t>
            </w:r>
          </w:p>
        </w:tc>
        <w:tc>
          <w:tcPr>
            <w:tcW w:w="469" w:type="pct"/>
            <w:noWrap/>
            <w:vAlign w:val="center"/>
          </w:tcPr>
          <w:p w14:paraId="023637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11.87</w:t>
            </w:r>
          </w:p>
        </w:tc>
        <w:tc>
          <w:tcPr>
            <w:tcW w:w="407" w:type="pct"/>
            <w:noWrap/>
            <w:vAlign w:val="center"/>
          </w:tcPr>
          <w:p w14:paraId="1D254F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E4984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266" w:type="pct"/>
            <w:vMerge w:val="restart"/>
            <w:noWrap/>
            <w:vAlign w:val="center"/>
          </w:tcPr>
          <w:p w14:paraId="798444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w:t>
            </w:r>
          </w:p>
        </w:tc>
        <w:tc>
          <w:tcPr>
            <w:tcW w:w="966" w:type="pct"/>
            <w:vMerge w:val="restart"/>
            <w:noWrap/>
            <w:vAlign w:val="center"/>
          </w:tcPr>
          <w:p w14:paraId="0347ED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绥芬河市教育局</w:t>
            </w:r>
          </w:p>
        </w:tc>
        <w:tc>
          <w:tcPr>
            <w:tcW w:w="406" w:type="pct"/>
            <w:noWrap/>
            <w:vAlign w:val="center"/>
          </w:tcPr>
          <w:p w14:paraId="5D08A6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1A6897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30F0D1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156998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67D0B2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7B0F5D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4D2F1C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58FA7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266" w:type="pct"/>
            <w:vMerge w:val="continue"/>
            <w:noWrap/>
            <w:vAlign w:val="center"/>
          </w:tcPr>
          <w:p w14:paraId="51AF64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03EF60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481686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221AF8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-3.61E-05</w:t>
            </w:r>
          </w:p>
        </w:tc>
        <w:tc>
          <w:tcPr>
            <w:tcW w:w="529" w:type="pct"/>
            <w:noWrap/>
            <w:vAlign w:val="center"/>
          </w:tcPr>
          <w:p w14:paraId="2FC875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6C551A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0DB0BF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7.12E-03</w:t>
            </w:r>
          </w:p>
        </w:tc>
        <w:tc>
          <w:tcPr>
            <w:tcW w:w="469" w:type="pct"/>
            <w:noWrap/>
            <w:vAlign w:val="center"/>
          </w:tcPr>
          <w:p w14:paraId="5AB691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11.87</w:t>
            </w:r>
          </w:p>
        </w:tc>
        <w:tc>
          <w:tcPr>
            <w:tcW w:w="407" w:type="pct"/>
            <w:noWrap/>
            <w:vAlign w:val="center"/>
          </w:tcPr>
          <w:p w14:paraId="7E401B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EE121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266" w:type="pct"/>
            <w:vMerge w:val="restart"/>
            <w:noWrap/>
            <w:vAlign w:val="center"/>
          </w:tcPr>
          <w:p w14:paraId="3B7FB1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9</w:t>
            </w:r>
          </w:p>
        </w:tc>
        <w:tc>
          <w:tcPr>
            <w:tcW w:w="966" w:type="pct"/>
            <w:vMerge w:val="restart"/>
            <w:noWrap/>
            <w:vAlign w:val="center"/>
          </w:tcPr>
          <w:p w14:paraId="2D5A48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绥芬河市自然资源局</w:t>
            </w:r>
          </w:p>
        </w:tc>
        <w:tc>
          <w:tcPr>
            <w:tcW w:w="406" w:type="pct"/>
            <w:noWrap/>
            <w:vAlign w:val="center"/>
          </w:tcPr>
          <w:p w14:paraId="637DD0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020EB9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476D70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023E2D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3681AF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737A80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56C3FD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E236F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266" w:type="pct"/>
            <w:vMerge w:val="continue"/>
            <w:noWrap/>
            <w:vAlign w:val="center"/>
          </w:tcPr>
          <w:p w14:paraId="08A45C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132460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78A26C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4F7842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-4.11E-05</w:t>
            </w:r>
          </w:p>
        </w:tc>
        <w:tc>
          <w:tcPr>
            <w:tcW w:w="529" w:type="pct"/>
            <w:noWrap/>
            <w:vAlign w:val="center"/>
          </w:tcPr>
          <w:p w14:paraId="4FB347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18AF0E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495528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7.12E-03</w:t>
            </w:r>
          </w:p>
        </w:tc>
        <w:tc>
          <w:tcPr>
            <w:tcW w:w="469" w:type="pct"/>
            <w:noWrap/>
            <w:vAlign w:val="center"/>
          </w:tcPr>
          <w:p w14:paraId="0BD11F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11.86</w:t>
            </w:r>
          </w:p>
        </w:tc>
        <w:tc>
          <w:tcPr>
            <w:tcW w:w="407" w:type="pct"/>
            <w:noWrap/>
            <w:vAlign w:val="center"/>
          </w:tcPr>
          <w:p w14:paraId="0E3B82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C8CC5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266" w:type="pct"/>
            <w:vMerge w:val="restart"/>
            <w:noWrap/>
            <w:vAlign w:val="center"/>
          </w:tcPr>
          <w:p w14:paraId="388740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w:t>
            </w:r>
          </w:p>
        </w:tc>
        <w:tc>
          <w:tcPr>
            <w:tcW w:w="966" w:type="pct"/>
            <w:vMerge w:val="restart"/>
            <w:noWrap/>
            <w:vAlign w:val="center"/>
          </w:tcPr>
          <w:p w14:paraId="770DA1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绥芬河海关</w:t>
            </w:r>
          </w:p>
        </w:tc>
        <w:tc>
          <w:tcPr>
            <w:tcW w:w="406" w:type="pct"/>
            <w:noWrap/>
            <w:vAlign w:val="center"/>
          </w:tcPr>
          <w:p w14:paraId="72936D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4DC370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7BE6E6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2B21A6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02A869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51CF7D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6D0C7B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41FF1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266" w:type="pct"/>
            <w:vMerge w:val="continue"/>
            <w:noWrap/>
            <w:vAlign w:val="center"/>
          </w:tcPr>
          <w:p w14:paraId="75B794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328A2A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3CF809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7EF80C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-5.82E-05</w:t>
            </w:r>
          </w:p>
        </w:tc>
        <w:tc>
          <w:tcPr>
            <w:tcW w:w="529" w:type="pct"/>
            <w:noWrap/>
            <w:vAlign w:val="center"/>
          </w:tcPr>
          <w:p w14:paraId="5513C4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4BA600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2E978A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7.10E-03</w:t>
            </w:r>
          </w:p>
        </w:tc>
        <w:tc>
          <w:tcPr>
            <w:tcW w:w="469" w:type="pct"/>
            <w:noWrap/>
            <w:vAlign w:val="center"/>
          </w:tcPr>
          <w:p w14:paraId="03AB1B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11.83</w:t>
            </w:r>
          </w:p>
        </w:tc>
        <w:tc>
          <w:tcPr>
            <w:tcW w:w="407" w:type="pct"/>
            <w:noWrap/>
            <w:vAlign w:val="center"/>
          </w:tcPr>
          <w:p w14:paraId="178E10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EA4BB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266" w:type="pct"/>
            <w:vMerge w:val="restart"/>
            <w:noWrap/>
            <w:vAlign w:val="center"/>
          </w:tcPr>
          <w:p w14:paraId="49CA4F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w:t>
            </w:r>
          </w:p>
        </w:tc>
        <w:tc>
          <w:tcPr>
            <w:tcW w:w="966" w:type="pct"/>
            <w:vMerge w:val="restart"/>
            <w:noWrap/>
            <w:vAlign w:val="center"/>
          </w:tcPr>
          <w:p w14:paraId="66F9A0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国家外汇管理局绥芬河分局</w:t>
            </w:r>
          </w:p>
        </w:tc>
        <w:tc>
          <w:tcPr>
            <w:tcW w:w="406" w:type="pct"/>
            <w:noWrap/>
            <w:vAlign w:val="center"/>
          </w:tcPr>
          <w:p w14:paraId="5B28DD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25697C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-6.42E-05</w:t>
            </w:r>
          </w:p>
        </w:tc>
        <w:tc>
          <w:tcPr>
            <w:tcW w:w="529" w:type="pct"/>
            <w:noWrap/>
            <w:vAlign w:val="center"/>
          </w:tcPr>
          <w:p w14:paraId="4C3281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088F14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4CFF35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2.79E-02</w:t>
            </w:r>
          </w:p>
        </w:tc>
        <w:tc>
          <w:tcPr>
            <w:tcW w:w="469" w:type="pct"/>
            <w:noWrap/>
            <w:vAlign w:val="center"/>
          </w:tcPr>
          <w:p w14:paraId="313449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18.62</w:t>
            </w:r>
          </w:p>
        </w:tc>
        <w:tc>
          <w:tcPr>
            <w:tcW w:w="407" w:type="pct"/>
            <w:noWrap/>
            <w:vAlign w:val="center"/>
          </w:tcPr>
          <w:p w14:paraId="297E1D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B5FB7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266" w:type="pct"/>
            <w:vMerge w:val="continue"/>
            <w:noWrap/>
            <w:vAlign w:val="center"/>
          </w:tcPr>
          <w:p w14:paraId="7F2E30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01B8DA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689CAB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09613B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-4.15E-04</w:t>
            </w:r>
          </w:p>
        </w:tc>
        <w:tc>
          <w:tcPr>
            <w:tcW w:w="529" w:type="pct"/>
            <w:noWrap/>
            <w:vAlign w:val="center"/>
          </w:tcPr>
          <w:p w14:paraId="1F7185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70AD3D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073F11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6.74E-03</w:t>
            </w:r>
          </w:p>
        </w:tc>
        <w:tc>
          <w:tcPr>
            <w:tcW w:w="469" w:type="pct"/>
            <w:noWrap/>
            <w:vAlign w:val="center"/>
          </w:tcPr>
          <w:p w14:paraId="6EFF6A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11.24</w:t>
            </w:r>
          </w:p>
        </w:tc>
        <w:tc>
          <w:tcPr>
            <w:tcW w:w="407" w:type="pct"/>
            <w:noWrap/>
            <w:vAlign w:val="center"/>
          </w:tcPr>
          <w:p w14:paraId="5D1404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F5AFD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266" w:type="pct"/>
            <w:vMerge w:val="restart"/>
            <w:noWrap/>
            <w:vAlign w:val="center"/>
          </w:tcPr>
          <w:p w14:paraId="63F696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w:t>
            </w:r>
          </w:p>
        </w:tc>
        <w:tc>
          <w:tcPr>
            <w:tcW w:w="966" w:type="pct"/>
            <w:vMerge w:val="restart"/>
            <w:noWrap/>
            <w:vAlign w:val="center"/>
          </w:tcPr>
          <w:p w14:paraId="6B8247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绥芬河市生态环境局</w:t>
            </w:r>
          </w:p>
        </w:tc>
        <w:tc>
          <w:tcPr>
            <w:tcW w:w="406" w:type="pct"/>
            <w:noWrap/>
            <w:vAlign w:val="center"/>
          </w:tcPr>
          <w:p w14:paraId="0B9508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6E4DEA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36B6DC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53F5C4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148E5F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463F8F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11.67</w:t>
            </w:r>
          </w:p>
        </w:tc>
        <w:tc>
          <w:tcPr>
            <w:tcW w:w="407" w:type="pct"/>
            <w:noWrap/>
            <w:vAlign w:val="center"/>
          </w:tcPr>
          <w:p w14:paraId="34F6CF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C8F1B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266" w:type="pct"/>
            <w:vMerge w:val="continue"/>
            <w:noWrap/>
            <w:vAlign w:val="center"/>
          </w:tcPr>
          <w:p w14:paraId="02CE19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4B3E67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6F8629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28B34F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-6.28E-05</w:t>
            </w:r>
          </w:p>
        </w:tc>
        <w:tc>
          <w:tcPr>
            <w:tcW w:w="529" w:type="pct"/>
            <w:noWrap/>
            <w:vAlign w:val="center"/>
          </w:tcPr>
          <w:p w14:paraId="471B66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0FC8C0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3E5938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7.09E-03</w:t>
            </w:r>
          </w:p>
        </w:tc>
        <w:tc>
          <w:tcPr>
            <w:tcW w:w="469" w:type="pct"/>
            <w:noWrap/>
            <w:vAlign w:val="center"/>
          </w:tcPr>
          <w:p w14:paraId="3E04B9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11.82</w:t>
            </w:r>
          </w:p>
        </w:tc>
        <w:tc>
          <w:tcPr>
            <w:tcW w:w="407" w:type="pct"/>
            <w:noWrap/>
            <w:vAlign w:val="center"/>
          </w:tcPr>
          <w:p w14:paraId="3B2D6B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79890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266" w:type="pct"/>
            <w:vMerge w:val="restart"/>
            <w:noWrap/>
            <w:vAlign w:val="center"/>
          </w:tcPr>
          <w:p w14:paraId="274BD0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13</w:t>
            </w:r>
          </w:p>
        </w:tc>
        <w:tc>
          <w:tcPr>
            <w:tcW w:w="966" w:type="pct"/>
            <w:vMerge w:val="restart"/>
            <w:noWrap/>
            <w:vAlign w:val="center"/>
          </w:tcPr>
          <w:p w14:paraId="2501A2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绥芬河市民政局</w:t>
            </w:r>
          </w:p>
        </w:tc>
        <w:tc>
          <w:tcPr>
            <w:tcW w:w="406" w:type="pct"/>
            <w:noWrap/>
            <w:vAlign w:val="center"/>
          </w:tcPr>
          <w:p w14:paraId="6FCE9C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4CB388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560B37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090F72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7966B3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684377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0D5478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3B9BD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266" w:type="pct"/>
            <w:vMerge w:val="continue"/>
            <w:noWrap/>
            <w:vAlign w:val="center"/>
          </w:tcPr>
          <w:p w14:paraId="0BB71F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4EE6B4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56578F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782361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-1.15E-05</w:t>
            </w:r>
          </w:p>
        </w:tc>
        <w:tc>
          <w:tcPr>
            <w:tcW w:w="529" w:type="pct"/>
            <w:noWrap/>
            <w:vAlign w:val="center"/>
          </w:tcPr>
          <w:p w14:paraId="713F7C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0A4B72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08CDE1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7.14E-03</w:t>
            </w:r>
          </w:p>
        </w:tc>
        <w:tc>
          <w:tcPr>
            <w:tcW w:w="469" w:type="pct"/>
            <w:noWrap/>
            <w:vAlign w:val="center"/>
          </w:tcPr>
          <w:p w14:paraId="7CBD3E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11.91</w:t>
            </w:r>
          </w:p>
        </w:tc>
        <w:tc>
          <w:tcPr>
            <w:tcW w:w="407" w:type="pct"/>
            <w:noWrap/>
            <w:vAlign w:val="center"/>
          </w:tcPr>
          <w:p w14:paraId="0F3CFA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53E7B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266" w:type="pct"/>
            <w:vMerge w:val="restart"/>
            <w:noWrap/>
            <w:vAlign w:val="center"/>
          </w:tcPr>
          <w:p w14:paraId="76568F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w:t>
            </w:r>
          </w:p>
        </w:tc>
        <w:tc>
          <w:tcPr>
            <w:tcW w:w="966" w:type="pct"/>
            <w:vMerge w:val="restart"/>
            <w:noWrap/>
            <w:vAlign w:val="center"/>
          </w:tcPr>
          <w:p w14:paraId="3781AB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绥芬河市公安局</w:t>
            </w:r>
          </w:p>
        </w:tc>
        <w:tc>
          <w:tcPr>
            <w:tcW w:w="406" w:type="pct"/>
            <w:noWrap/>
            <w:vAlign w:val="center"/>
          </w:tcPr>
          <w:p w14:paraId="1D3D7C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273D8E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342042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469C39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6FAA50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4BA59A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00A97F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8C10C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266" w:type="pct"/>
            <w:vMerge w:val="continue"/>
            <w:noWrap/>
            <w:vAlign w:val="center"/>
          </w:tcPr>
          <w:p w14:paraId="039740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31C256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3711C8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29FBD6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-1.18E-05</w:t>
            </w:r>
          </w:p>
        </w:tc>
        <w:tc>
          <w:tcPr>
            <w:tcW w:w="529" w:type="pct"/>
            <w:noWrap/>
            <w:vAlign w:val="center"/>
          </w:tcPr>
          <w:p w14:paraId="39BEBC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45FABE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654F38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7.14E-03</w:t>
            </w:r>
          </w:p>
        </w:tc>
        <w:tc>
          <w:tcPr>
            <w:tcW w:w="469" w:type="pct"/>
            <w:noWrap/>
            <w:vAlign w:val="center"/>
          </w:tcPr>
          <w:p w14:paraId="566724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11.91</w:t>
            </w:r>
          </w:p>
        </w:tc>
        <w:tc>
          <w:tcPr>
            <w:tcW w:w="407" w:type="pct"/>
            <w:noWrap/>
            <w:vAlign w:val="center"/>
          </w:tcPr>
          <w:p w14:paraId="60EEC9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5B009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266" w:type="pct"/>
            <w:vMerge w:val="restart"/>
            <w:noWrap/>
            <w:vAlign w:val="center"/>
          </w:tcPr>
          <w:p w14:paraId="3EBD39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15</w:t>
            </w:r>
          </w:p>
        </w:tc>
        <w:tc>
          <w:tcPr>
            <w:tcW w:w="966" w:type="pct"/>
            <w:vMerge w:val="restart"/>
            <w:noWrap/>
            <w:vAlign w:val="center"/>
          </w:tcPr>
          <w:p w14:paraId="4A796F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阜宁镇人民政府</w:t>
            </w:r>
          </w:p>
        </w:tc>
        <w:tc>
          <w:tcPr>
            <w:tcW w:w="406" w:type="pct"/>
            <w:noWrap/>
            <w:vAlign w:val="center"/>
          </w:tcPr>
          <w:p w14:paraId="1ABFF1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4F5ED6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631917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0DA857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73FA3C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300110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4BA8DF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F6D3E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266" w:type="pct"/>
            <w:vMerge w:val="continue"/>
            <w:noWrap/>
            <w:vAlign w:val="center"/>
          </w:tcPr>
          <w:p w14:paraId="44A22A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4377E5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27CD3D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519EB2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-8.00E-06</w:t>
            </w:r>
          </w:p>
        </w:tc>
        <w:tc>
          <w:tcPr>
            <w:tcW w:w="529" w:type="pct"/>
            <w:noWrap/>
            <w:vAlign w:val="center"/>
          </w:tcPr>
          <w:p w14:paraId="4AABB0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788262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628031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7.15E-03</w:t>
            </w:r>
          </w:p>
        </w:tc>
        <w:tc>
          <w:tcPr>
            <w:tcW w:w="469" w:type="pct"/>
            <w:noWrap/>
            <w:vAlign w:val="center"/>
          </w:tcPr>
          <w:p w14:paraId="54BD35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11.91</w:t>
            </w:r>
          </w:p>
        </w:tc>
        <w:tc>
          <w:tcPr>
            <w:tcW w:w="407" w:type="pct"/>
            <w:noWrap/>
            <w:vAlign w:val="center"/>
          </w:tcPr>
          <w:p w14:paraId="2DDD73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C6BA5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266" w:type="pct"/>
            <w:vMerge w:val="restart"/>
            <w:noWrap/>
            <w:vAlign w:val="center"/>
          </w:tcPr>
          <w:p w14:paraId="43D88B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16</w:t>
            </w:r>
          </w:p>
        </w:tc>
        <w:tc>
          <w:tcPr>
            <w:tcW w:w="966" w:type="pct"/>
            <w:vMerge w:val="restart"/>
            <w:noWrap/>
            <w:vAlign w:val="center"/>
          </w:tcPr>
          <w:p w14:paraId="79A2E2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绥芬河市广播电视局</w:t>
            </w:r>
          </w:p>
        </w:tc>
        <w:tc>
          <w:tcPr>
            <w:tcW w:w="406" w:type="pct"/>
            <w:noWrap/>
            <w:vAlign w:val="center"/>
          </w:tcPr>
          <w:p w14:paraId="172B93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38B19A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3D023E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519053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369AFB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382432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6AC307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11A35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266" w:type="pct"/>
            <w:vMerge w:val="continue"/>
            <w:noWrap/>
            <w:vAlign w:val="center"/>
          </w:tcPr>
          <w:p w14:paraId="7775B7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31C3AB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5C0886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013952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-2.62E-05</w:t>
            </w:r>
          </w:p>
        </w:tc>
        <w:tc>
          <w:tcPr>
            <w:tcW w:w="529" w:type="pct"/>
            <w:noWrap/>
            <w:vAlign w:val="center"/>
          </w:tcPr>
          <w:p w14:paraId="7D3B53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75B224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29D6A7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7.13E-03</w:t>
            </w:r>
          </w:p>
        </w:tc>
        <w:tc>
          <w:tcPr>
            <w:tcW w:w="469" w:type="pct"/>
            <w:noWrap/>
            <w:vAlign w:val="center"/>
          </w:tcPr>
          <w:p w14:paraId="050335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11.88</w:t>
            </w:r>
          </w:p>
        </w:tc>
        <w:tc>
          <w:tcPr>
            <w:tcW w:w="407" w:type="pct"/>
            <w:noWrap/>
            <w:vAlign w:val="center"/>
          </w:tcPr>
          <w:p w14:paraId="53E778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17509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266" w:type="pct"/>
            <w:vMerge w:val="restart"/>
            <w:noWrap/>
            <w:vAlign w:val="center"/>
          </w:tcPr>
          <w:p w14:paraId="7FEF93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17</w:t>
            </w:r>
          </w:p>
        </w:tc>
        <w:tc>
          <w:tcPr>
            <w:tcW w:w="966" w:type="pct"/>
            <w:vMerge w:val="restart"/>
            <w:noWrap/>
            <w:vAlign w:val="center"/>
          </w:tcPr>
          <w:p w14:paraId="0AD44C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红太阳未来星幼儿园</w:t>
            </w:r>
          </w:p>
        </w:tc>
        <w:tc>
          <w:tcPr>
            <w:tcW w:w="406" w:type="pct"/>
            <w:noWrap/>
            <w:vAlign w:val="center"/>
          </w:tcPr>
          <w:p w14:paraId="1BA289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5061F9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315DD7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3F2534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033B33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207232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092A92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28706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266" w:type="pct"/>
            <w:vMerge w:val="continue"/>
            <w:noWrap/>
            <w:vAlign w:val="center"/>
          </w:tcPr>
          <w:p w14:paraId="2B543D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372903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166363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5A9B0C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-1.67E-04</w:t>
            </w:r>
          </w:p>
        </w:tc>
        <w:tc>
          <w:tcPr>
            <w:tcW w:w="529" w:type="pct"/>
            <w:noWrap/>
            <w:vAlign w:val="center"/>
          </w:tcPr>
          <w:p w14:paraId="350F2F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0514DD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6B2BFE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6.99E-03</w:t>
            </w:r>
          </w:p>
        </w:tc>
        <w:tc>
          <w:tcPr>
            <w:tcW w:w="469" w:type="pct"/>
            <w:noWrap/>
            <w:vAlign w:val="center"/>
          </w:tcPr>
          <w:p w14:paraId="6AA599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11.65</w:t>
            </w:r>
          </w:p>
        </w:tc>
        <w:tc>
          <w:tcPr>
            <w:tcW w:w="407" w:type="pct"/>
            <w:noWrap/>
            <w:vAlign w:val="center"/>
          </w:tcPr>
          <w:p w14:paraId="4C4FA2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19E4A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266" w:type="pct"/>
            <w:vMerge w:val="restart"/>
            <w:noWrap/>
            <w:vAlign w:val="center"/>
          </w:tcPr>
          <w:p w14:paraId="529B98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w:t>
            </w:r>
          </w:p>
        </w:tc>
        <w:tc>
          <w:tcPr>
            <w:tcW w:w="966" w:type="pct"/>
            <w:vMerge w:val="restart"/>
            <w:noWrap/>
            <w:vAlign w:val="center"/>
          </w:tcPr>
          <w:p w14:paraId="33CBA3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金恒基小学</w:t>
            </w:r>
          </w:p>
        </w:tc>
        <w:tc>
          <w:tcPr>
            <w:tcW w:w="406" w:type="pct"/>
            <w:noWrap/>
            <w:vAlign w:val="center"/>
          </w:tcPr>
          <w:p w14:paraId="38D11F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72DCAA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0E47A2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4F49FB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6267A8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15372D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28C0E4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6E36D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266" w:type="pct"/>
            <w:vMerge w:val="continue"/>
            <w:noWrap/>
            <w:vAlign w:val="center"/>
          </w:tcPr>
          <w:p w14:paraId="70FEF7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19C220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6C059E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6E4B7C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-6.85E-05</w:t>
            </w:r>
          </w:p>
        </w:tc>
        <w:tc>
          <w:tcPr>
            <w:tcW w:w="529" w:type="pct"/>
            <w:noWrap/>
            <w:vAlign w:val="center"/>
          </w:tcPr>
          <w:p w14:paraId="28D466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76FECF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41C1F4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7.09E-03</w:t>
            </w:r>
          </w:p>
        </w:tc>
        <w:tc>
          <w:tcPr>
            <w:tcW w:w="469" w:type="pct"/>
            <w:noWrap/>
            <w:vAlign w:val="center"/>
          </w:tcPr>
          <w:p w14:paraId="01834F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11.81</w:t>
            </w:r>
          </w:p>
        </w:tc>
        <w:tc>
          <w:tcPr>
            <w:tcW w:w="407" w:type="pct"/>
            <w:noWrap/>
            <w:vAlign w:val="center"/>
          </w:tcPr>
          <w:p w14:paraId="77015C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E419B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266" w:type="pct"/>
            <w:vMerge w:val="restart"/>
            <w:noWrap/>
            <w:vAlign w:val="center"/>
          </w:tcPr>
          <w:p w14:paraId="72C4AA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19</w:t>
            </w:r>
          </w:p>
        </w:tc>
        <w:tc>
          <w:tcPr>
            <w:tcW w:w="966" w:type="pct"/>
            <w:vMerge w:val="restart"/>
            <w:noWrap/>
            <w:vAlign w:val="center"/>
          </w:tcPr>
          <w:p w14:paraId="0AE7E1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弘孟幼儿园</w:t>
            </w:r>
          </w:p>
        </w:tc>
        <w:tc>
          <w:tcPr>
            <w:tcW w:w="406" w:type="pct"/>
            <w:noWrap/>
            <w:vAlign w:val="center"/>
          </w:tcPr>
          <w:p w14:paraId="554639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4B94AC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43845E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17F10C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746C46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414B41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50979E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FD5C0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266" w:type="pct"/>
            <w:vMerge w:val="continue"/>
            <w:noWrap/>
            <w:vAlign w:val="center"/>
          </w:tcPr>
          <w:p w14:paraId="7E49CE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0E9FC1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13C123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66ED0D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-7.33E-05</w:t>
            </w:r>
          </w:p>
        </w:tc>
        <w:tc>
          <w:tcPr>
            <w:tcW w:w="529" w:type="pct"/>
            <w:noWrap/>
            <w:vAlign w:val="center"/>
          </w:tcPr>
          <w:p w14:paraId="6DF6F5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410F9C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11E3BD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7.08E-03</w:t>
            </w:r>
          </w:p>
        </w:tc>
        <w:tc>
          <w:tcPr>
            <w:tcW w:w="469" w:type="pct"/>
            <w:noWrap/>
            <w:vAlign w:val="center"/>
          </w:tcPr>
          <w:p w14:paraId="0432FB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11.80</w:t>
            </w:r>
          </w:p>
        </w:tc>
        <w:tc>
          <w:tcPr>
            <w:tcW w:w="407" w:type="pct"/>
            <w:noWrap/>
            <w:vAlign w:val="center"/>
          </w:tcPr>
          <w:p w14:paraId="70F23A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2FFAB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266" w:type="pct"/>
            <w:vMerge w:val="restart"/>
            <w:noWrap/>
            <w:vAlign w:val="center"/>
          </w:tcPr>
          <w:p w14:paraId="1949EB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20</w:t>
            </w:r>
          </w:p>
        </w:tc>
        <w:tc>
          <w:tcPr>
            <w:tcW w:w="966" w:type="pct"/>
            <w:vMerge w:val="restart"/>
            <w:noWrap/>
            <w:vAlign w:val="center"/>
          </w:tcPr>
          <w:p w14:paraId="226DA1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红太阳幼儿园</w:t>
            </w:r>
          </w:p>
        </w:tc>
        <w:tc>
          <w:tcPr>
            <w:tcW w:w="406" w:type="pct"/>
            <w:noWrap/>
            <w:vAlign w:val="center"/>
          </w:tcPr>
          <w:p w14:paraId="6661F7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7CD52B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505BE5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69E9D2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24E9EB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33A241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3.41</w:t>
            </w:r>
          </w:p>
        </w:tc>
        <w:tc>
          <w:tcPr>
            <w:tcW w:w="407" w:type="pct"/>
            <w:noWrap/>
            <w:vAlign w:val="center"/>
          </w:tcPr>
          <w:p w14:paraId="5347D9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A5E7B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266" w:type="pct"/>
            <w:vMerge w:val="continue"/>
            <w:noWrap/>
            <w:vAlign w:val="center"/>
          </w:tcPr>
          <w:p w14:paraId="58385D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663232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1992B6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286DB2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-9.19E-05</w:t>
            </w:r>
          </w:p>
        </w:tc>
        <w:tc>
          <w:tcPr>
            <w:tcW w:w="529" w:type="pct"/>
            <w:noWrap/>
            <w:vAlign w:val="center"/>
          </w:tcPr>
          <w:p w14:paraId="71264E8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333331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73C7FB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7.06E-03</w:t>
            </w:r>
          </w:p>
        </w:tc>
        <w:tc>
          <w:tcPr>
            <w:tcW w:w="469" w:type="pct"/>
            <w:noWrap/>
            <w:vAlign w:val="center"/>
          </w:tcPr>
          <w:p w14:paraId="71667B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1C10B6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287D7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266" w:type="pct"/>
            <w:vMerge w:val="restart"/>
            <w:noWrap/>
            <w:vAlign w:val="center"/>
          </w:tcPr>
          <w:p w14:paraId="44EA5A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21</w:t>
            </w:r>
          </w:p>
        </w:tc>
        <w:tc>
          <w:tcPr>
            <w:tcW w:w="966" w:type="pct"/>
            <w:vMerge w:val="restart"/>
            <w:noWrap/>
            <w:vAlign w:val="center"/>
          </w:tcPr>
          <w:p w14:paraId="60853F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千里幼稚园</w:t>
            </w:r>
          </w:p>
        </w:tc>
        <w:tc>
          <w:tcPr>
            <w:tcW w:w="406" w:type="pct"/>
            <w:noWrap/>
            <w:vAlign w:val="center"/>
          </w:tcPr>
          <w:p w14:paraId="276DDC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088B13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45E325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6A42A1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3D70D7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354DBF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524C6C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0A1E9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266" w:type="pct"/>
            <w:vMerge w:val="continue"/>
            <w:noWrap/>
            <w:vAlign w:val="center"/>
          </w:tcPr>
          <w:p w14:paraId="17E15E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457A8F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7E2ED7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7EB159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-7.54E-05</w:t>
            </w:r>
          </w:p>
        </w:tc>
        <w:tc>
          <w:tcPr>
            <w:tcW w:w="529" w:type="pct"/>
            <w:noWrap/>
            <w:vAlign w:val="center"/>
          </w:tcPr>
          <w:p w14:paraId="4CE4C4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23918B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6A5298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7.08E-03</w:t>
            </w:r>
          </w:p>
        </w:tc>
        <w:tc>
          <w:tcPr>
            <w:tcW w:w="469" w:type="pct"/>
            <w:noWrap/>
            <w:vAlign w:val="center"/>
          </w:tcPr>
          <w:p w14:paraId="75D292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11.80</w:t>
            </w:r>
          </w:p>
        </w:tc>
        <w:tc>
          <w:tcPr>
            <w:tcW w:w="407" w:type="pct"/>
            <w:noWrap/>
            <w:vAlign w:val="center"/>
          </w:tcPr>
          <w:p w14:paraId="6A0F44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94D86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266" w:type="pct"/>
            <w:vMerge w:val="restart"/>
            <w:noWrap/>
            <w:vAlign w:val="center"/>
          </w:tcPr>
          <w:p w14:paraId="735F99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22</w:t>
            </w:r>
          </w:p>
        </w:tc>
        <w:tc>
          <w:tcPr>
            <w:tcW w:w="966" w:type="pct"/>
            <w:vMerge w:val="restart"/>
            <w:noWrap/>
            <w:vAlign w:val="center"/>
          </w:tcPr>
          <w:p w14:paraId="182800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绥芬河市第一中学</w:t>
            </w:r>
          </w:p>
        </w:tc>
        <w:tc>
          <w:tcPr>
            <w:tcW w:w="406" w:type="pct"/>
            <w:noWrap/>
            <w:vAlign w:val="center"/>
          </w:tcPr>
          <w:p w14:paraId="3E0971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22AB70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-1.13E-06</w:t>
            </w:r>
          </w:p>
        </w:tc>
        <w:tc>
          <w:tcPr>
            <w:tcW w:w="529" w:type="pct"/>
            <w:noWrap/>
            <w:vAlign w:val="center"/>
          </w:tcPr>
          <w:p w14:paraId="7A8579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318042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613370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0DD41F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10D120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AFE67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266" w:type="pct"/>
            <w:vMerge w:val="continue"/>
            <w:noWrap/>
            <w:vAlign w:val="center"/>
          </w:tcPr>
          <w:p w14:paraId="1FDBE3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7C3105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685021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5A7B22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-1.04E-04</w:t>
            </w:r>
          </w:p>
        </w:tc>
        <w:tc>
          <w:tcPr>
            <w:tcW w:w="529" w:type="pct"/>
            <w:noWrap/>
            <w:vAlign w:val="center"/>
          </w:tcPr>
          <w:p w14:paraId="57909A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6EE1D7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2F25E6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7.05E-03</w:t>
            </w:r>
          </w:p>
        </w:tc>
        <w:tc>
          <w:tcPr>
            <w:tcW w:w="469" w:type="pct"/>
            <w:noWrap/>
            <w:vAlign w:val="center"/>
          </w:tcPr>
          <w:p w14:paraId="5EF642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11.75</w:t>
            </w:r>
          </w:p>
        </w:tc>
        <w:tc>
          <w:tcPr>
            <w:tcW w:w="407" w:type="pct"/>
            <w:noWrap/>
            <w:vAlign w:val="center"/>
          </w:tcPr>
          <w:p w14:paraId="270D3C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BE6FF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266" w:type="pct"/>
            <w:vMerge w:val="restart"/>
            <w:noWrap/>
            <w:vAlign w:val="center"/>
          </w:tcPr>
          <w:p w14:paraId="2E0DAA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23</w:t>
            </w:r>
          </w:p>
        </w:tc>
        <w:tc>
          <w:tcPr>
            <w:tcW w:w="966" w:type="pct"/>
            <w:vMerge w:val="restart"/>
            <w:noWrap/>
            <w:vAlign w:val="center"/>
          </w:tcPr>
          <w:p w14:paraId="4AC7ED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商都幼儿园</w:t>
            </w:r>
          </w:p>
        </w:tc>
        <w:tc>
          <w:tcPr>
            <w:tcW w:w="406" w:type="pct"/>
            <w:noWrap/>
            <w:vAlign w:val="center"/>
          </w:tcPr>
          <w:p w14:paraId="6B3D8C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02E32D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-4.36E-06</w:t>
            </w:r>
          </w:p>
        </w:tc>
        <w:tc>
          <w:tcPr>
            <w:tcW w:w="529" w:type="pct"/>
            <w:noWrap/>
            <w:vAlign w:val="center"/>
          </w:tcPr>
          <w:p w14:paraId="1AD97D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155D7C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094639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05ECB0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18.66</w:t>
            </w:r>
          </w:p>
        </w:tc>
        <w:tc>
          <w:tcPr>
            <w:tcW w:w="407" w:type="pct"/>
            <w:noWrap/>
            <w:vAlign w:val="center"/>
          </w:tcPr>
          <w:p w14:paraId="1806BF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BC988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266" w:type="pct"/>
            <w:vMerge w:val="continue"/>
            <w:noWrap/>
            <w:vAlign w:val="center"/>
          </w:tcPr>
          <w:p w14:paraId="0051D9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42F5AA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7A0F5F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56D292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-1.05E-04</w:t>
            </w:r>
          </w:p>
        </w:tc>
        <w:tc>
          <w:tcPr>
            <w:tcW w:w="529" w:type="pct"/>
            <w:noWrap/>
            <w:vAlign w:val="center"/>
          </w:tcPr>
          <w:p w14:paraId="4094BC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64976F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4202DB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7.05E-03</w:t>
            </w:r>
          </w:p>
        </w:tc>
        <w:tc>
          <w:tcPr>
            <w:tcW w:w="469" w:type="pct"/>
            <w:noWrap/>
            <w:vAlign w:val="center"/>
          </w:tcPr>
          <w:p w14:paraId="1D034D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11.77</w:t>
            </w:r>
          </w:p>
        </w:tc>
        <w:tc>
          <w:tcPr>
            <w:tcW w:w="407" w:type="pct"/>
            <w:noWrap/>
            <w:vAlign w:val="center"/>
          </w:tcPr>
          <w:p w14:paraId="3CE10B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1FD8E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266" w:type="pct"/>
            <w:vMerge w:val="restart"/>
            <w:noWrap/>
            <w:vAlign w:val="center"/>
          </w:tcPr>
          <w:p w14:paraId="0D4FF4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w:t>
            </w:r>
          </w:p>
        </w:tc>
        <w:tc>
          <w:tcPr>
            <w:tcW w:w="966" w:type="pct"/>
            <w:vMerge w:val="restart"/>
            <w:noWrap/>
            <w:vAlign w:val="center"/>
          </w:tcPr>
          <w:p w14:paraId="1E53BE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绥芬河市少年儿童业余体校</w:t>
            </w:r>
          </w:p>
        </w:tc>
        <w:tc>
          <w:tcPr>
            <w:tcW w:w="406" w:type="pct"/>
            <w:noWrap/>
            <w:vAlign w:val="center"/>
          </w:tcPr>
          <w:p w14:paraId="385AF5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078DC0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769DAD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7BF871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56802C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4D2371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0AA1ED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02F7C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266" w:type="pct"/>
            <w:vMerge w:val="continue"/>
            <w:noWrap/>
            <w:vAlign w:val="center"/>
          </w:tcPr>
          <w:p w14:paraId="635C58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33B342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187E05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4A1A0F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-1.19E-05</w:t>
            </w:r>
          </w:p>
        </w:tc>
        <w:tc>
          <w:tcPr>
            <w:tcW w:w="529" w:type="pct"/>
            <w:noWrap/>
            <w:vAlign w:val="center"/>
          </w:tcPr>
          <w:p w14:paraId="7C3BAF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6D6F8B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7BBFF2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7.14E-03</w:t>
            </w:r>
          </w:p>
        </w:tc>
        <w:tc>
          <w:tcPr>
            <w:tcW w:w="469" w:type="pct"/>
            <w:noWrap/>
            <w:vAlign w:val="center"/>
          </w:tcPr>
          <w:p w14:paraId="127213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11.91</w:t>
            </w:r>
          </w:p>
        </w:tc>
        <w:tc>
          <w:tcPr>
            <w:tcW w:w="407" w:type="pct"/>
            <w:noWrap/>
            <w:vAlign w:val="center"/>
          </w:tcPr>
          <w:p w14:paraId="174FE2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656FD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266" w:type="pct"/>
            <w:vMerge w:val="restart"/>
            <w:noWrap/>
            <w:vAlign w:val="center"/>
          </w:tcPr>
          <w:p w14:paraId="1305AA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25</w:t>
            </w:r>
          </w:p>
        </w:tc>
        <w:tc>
          <w:tcPr>
            <w:tcW w:w="966" w:type="pct"/>
            <w:vMerge w:val="restart"/>
            <w:noWrap/>
            <w:vAlign w:val="center"/>
          </w:tcPr>
          <w:p w14:paraId="70DEF0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绥芬河市第二中学</w:t>
            </w:r>
          </w:p>
        </w:tc>
        <w:tc>
          <w:tcPr>
            <w:tcW w:w="406" w:type="pct"/>
            <w:noWrap/>
            <w:vAlign w:val="center"/>
          </w:tcPr>
          <w:p w14:paraId="1E2C0D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5FD1E9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0D3BE6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265341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1832CB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1E2A56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4B2B47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25EBC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266" w:type="pct"/>
            <w:vMerge w:val="continue"/>
            <w:noWrap/>
            <w:vAlign w:val="center"/>
          </w:tcPr>
          <w:p w14:paraId="6A6BAF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5A0563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7E9D09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7B58A5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-9.03E-06</w:t>
            </w:r>
          </w:p>
        </w:tc>
        <w:tc>
          <w:tcPr>
            <w:tcW w:w="529" w:type="pct"/>
            <w:noWrap/>
            <w:vAlign w:val="center"/>
          </w:tcPr>
          <w:p w14:paraId="460D9C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149DA4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611CBD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7.15E-03</w:t>
            </w:r>
          </w:p>
        </w:tc>
        <w:tc>
          <w:tcPr>
            <w:tcW w:w="469" w:type="pct"/>
            <w:noWrap/>
            <w:vAlign w:val="center"/>
          </w:tcPr>
          <w:p w14:paraId="020BBD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11.67</w:t>
            </w:r>
          </w:p>
        </w:tc>
        <w:tc>
          <w:tcPr>
            <w:tcW w:w="407" w:type="pct"/>
            <w:noWrap/>
            <w:vAlign w:val="center"/>
          </w:tcPr>
          <w:p w14:paraId="7C05A4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C9B12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266" w:type="pct"/>
            <w:vMerge w:val="restart"/>
            <w:noWrap/>
            <w:vAlign w:val="center"/>
          </w:tcPr>
          <w:p w14:paraId="2E2DE4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26</w:t>
            </w:r>
          </w:p>
        </w:tc>
        <w:tc>
          <w:tcPr>
            <w:tcW w:w="966" w:type="pct"/>
            <w:vMerge w:val="restart"/>
            <w:noWrap/>
            <w:vAlign w:val="center"/>
          </w:tcPr>
          <w:p w14:paraId="15E06F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绥芬河市第三中学</w:t>
            </w:r>
          </w:p>
        </w:tc>
        <w:tc>
          <w:tcPr>
            <w:tcW w:w="406" w:type="pct"/>
            <w:noWrap/>
            <w:vAlign w:val="center"/>
          </w:tcPr>
          <w:p w14:paraId="0BA986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73C1FB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64DD71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70137B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31B14F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13FDA4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609EB3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15722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266" w:type="pct"/>
            <w:vMerge w:val="continue"/>
            <w:noWrap/>
            <w:vAlign w:val="center"/>
          </w:tcPr>
          <w:p w14:paraId="59B4F9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73282D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721A40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724538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529" w:type="pct"/>
            <w:noWrap/>
            <w:vAlign w:val="center"/>
          </w:tcPr>
          <w:p w14:paraId="368456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29A441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30EC46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7.13E-03</w:t>
            </w:r>
          </w:p>
        </w:tc>
        <w:tc>
          <w:tcPr>
            <w:tcW w:w="469" w:type="pct"/>
            <w:noWrap/>
            <w:vAlign w:val="center"/>
          </w:tcPr>
          <w:p w14:paraId="1D2B2C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11.88</w:t>
            </w:r>
          </w:p>
        </w:tc>
        <w:tc>
          <w:tcPr>
            <w:tcW w:w="407" w:type="pct"/>
            <w:noWrap/>
            <w:vAlign w:val="center"/>
          </w:tcPr>
          <w:p w14:paraId="2DC435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0CB6A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266" w:type="pct"/>
            <w:vMerge w:val="restart"/>
            <w:noWrap/>
            <w:vAlign w:val="center"/>
          </w:tcPr>
          <w:p w14:paraId="271705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w:t>
            </w:r>
          </w:p>
        </w:tc>
        <w:tc>
          <w:tcPr>
            <w:tcW w:w="966" w:type="pct"/>
            <w:vMerge w:val="restart"/>
            <w:noWrap/>
            <w:vAlign w:val="center"/>
          </w:tcPr>
          <w:p w14:paraId="5B9556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旅游局家属楼</w:t>
            </w:r>
          </w:p>
        </w:tc>
        <w:tc>
          <w:tcPr>
            <w:tcW w:w="406" w:type="pct"/>
            <w:noWrap/>
            <w:vAlign w:val="center"/>
          </w:tcPr>
          <w:p w14:paraId="002224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3A06A2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-2.01E-06</w:t>
            </w:r>
          </w:p>
        </w:tc>
        <w:tc>
          <w:tcPr>
            <w:tcW w:w="529" w:type="pct"/>
            <w:noWrap/>
            <w:vAlign w:val="center"/>
          </w:tcPr>
          <w:p w14:paraId="62116E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304F56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099E66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74A974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734AA1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E8531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266" w:type="pct"/>
            <w:vMerge w:val="continue"/>
            <w:noWrap/>
            <w:vAlign w:val="center"/>
          </w:tcPr>
          <w:p w14:paraId="0EEC3A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0CF8F8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586B73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6C31AE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-4.92E-05</w:t>
            </w:r>
          </w:p>
        </w:tc>
        <w:tc>
          <w:tcPr>
            <w:tcW w:w="529" w:type="pct"/>
            <w:noWrap/>
            <w:vAlign w:val="center"/>
          </w:tcPr>
          <w:p w14:paraId="1B1ADD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26EA9B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3D54CE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7.11E-03</w:t>
            </w:r>
          </w:p>
        </w:tc>
        <w:tc>
          <w:tcPr>
            <w:tcW w:w="469" w:type="pct"/>
            <w:noWrap/>
            <w:vAlign w:val="center"/>
          </w:tcPr>
          <w:p w14:paraId="0061C2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11.84</w:t>
            </w:r>
          </w:p>
        </w:tc>
        <w:tc>
          <w:tcPr>
            <w:tcW w:w="407" w:type="pct"/>
            <w:noWrap/>
            <w:vAlign w:val="center"/>
          </w:tcPr>
          <w:p w14:paraId="322B37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EB3D6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266" w:type="pct"/>
            <w:vMerge w:val="restart"/>
            <w:noWrap/>
            <w:vAlign w:val="center"/>
          </w:tcPr>
          <w:p w14:paraId="55CEE8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w:t>
            </w:r>
          </w:p>
        </w:tc>
        <w:tc>
          <w:tcPr>
            <w:tcW w:w="966" w:type="pct"/>
            <w:vMerge w:val="restart"/>
            <w:noWrap/>
            <w:vAlign w:val="center"/>
          </w:tcPr>
          <w:p w14:paraId="4FB992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新安幸福嘉园</w:t>
            </w:r>
          </w:p>
        </w:tc>
        <w:tc>
          <w:tcPr>
            <w:tcW w:w="406" w:type="pct"/>
            <w:noWrap/>
            <w:vAlign w:val="center"/>
          </w:tcPr>
          <w:p w14:paraId="62A200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17E83A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66330E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3C6CBD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1E9D3C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342935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68C28B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405C6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 w:hRule="atLeast"/>
          <w:jc w:val="center"/>
        </w:trPr>
        <w:tc>
          <w:tcPr>
            <w:tcW w:w="266" w:type="pct"/>
            <w:vMerge w:val="continue"/>
            <w:noWrap/>
            <w:vAlign w:val="center"/>
          </w:tcPr>
          <w:p w14:paraId="7A9485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67E60D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5D7CF9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1118AE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-3.27E-05</w:t>
            </w:r>
          </w:p>
        </w:tc>
        <w:tc>
          <w:tcPr>
            <w:tcW w:w="529" w:type="pct"/>
            <w:noWrap/>
            <w:vAlign w:val="center"/>
          </w:tcPr>
          <w:p w14:paraId="58C290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0A444D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1E0F26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7.12E-03</w:t>
            </w:r>
          </w:p>
        </w:tc>
        <w:tc>
          <w:tcPr>
            <w:tcW w:w="469" w:type="pct"/>
            <w:noWrap/>
            <w:vAlign w:val="center"/>
          </w:tcPr>
          <w:p w14:paraId="5487E2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11.87</w:t>
            </w:r>
          </w:p>
        </w:tc>
        <w:tc>
          <w:tcPr>
            <w:tcW w:w="407" w:type="pct"/>
            <w:noWrap/>
            <w:vAlign w:val="center"/>
          </w:tcPr>
          <w:p w14:paraId="4582B5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9A21B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266" w:type="pct"/>
            <w:vMerge w:val="restart"/>
            <w:noWrap/>
            <w:vAlign w:val="center"/>
          </w:tcPr>
          <w:p w14:paraId="74DEF8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29</w:t>
            </w:r>
          </w:p>
        </w:tc>
        <w:tc>
          <w:tcPr>
            <w:tcW w:w="966" w:type="pct"/>
            <w:vMerge w:val="restart"/>
            <w:noWrap/>
            <w:vAlign w:val="center"/>
          </w:tcPr>
          <w:p w14:paraId="0182C18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中兴小区</w:t>
            </w:r>
          </w:p>
        </w:tc>
        <w:tc>
          <w:tcPr>
            <w:tcW w:w="406" w:type="pct"/>
            <w:noWrap/>
            <w:vAlign w:val="center"/>
          </w:tcPr>
          <w:p w14:paraId="777E4F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4AD9F8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112F97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5B6EB8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67F807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5CF80B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40C223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3D7F4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266" w:type="pct"/>
            <w:vMerge w:val="continue"/>
            <w:noWrap/>
            <w:vAlign w:val="center"/>
          </w:tcPr>
          <w:p w14:paraId="133772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289262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52C984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22DC51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-2.91E-05</w:t>
            </w:r>
          </w:p>
        </w:tc>
        <w:tc>
          <w:tcPr>
            <w:tcW w:w="529" w:type="pct"/>
            <w:noWrap/>
            <w:vAlign w:val="center"/>
          </w:tcPr>
          <w:p w14:paraId="26869E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433DDF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521E27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7.13E-03</w:t>
            </w:r>
          </w:p>
        </w:tc>
        <w:tc>
          <w:tcPr>
            <w:tcW w:w="469" w:type="pct"/>
            <w:noWrap/>
            <w:vAlign w:val="center"/>
          </w:tcPr>
          <w:p w14:paraId="78366B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11.88</w:t>
            </w:r>
          </w:p>
        </w:tc>
        <w:tc>
          <w:tcPr>
            <w:tcW w:w="407" w:type="pct"/>
            <w:noWrap/>
            <w:vAlign w:val="center"/>
          </w:tcPr>
          <w:p w14:paraId="701B7C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5AA24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266" w:type="pct"/>
            <w:vMerge w:val="restart"/>
            <w:noWrap/>
            <w:vAlign w:val="center"/>
          </w:tcPr>
          <w:p w14:paraId="1BC478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30</w:t>
            </w:r>
          </w:p>
        </w:tc>
        <w:tc>
          <w:tcPr>
            <w:tcW w:w="966" w:type="pct"/>
            <w:vMerge w:val="restart"/>
            <w:noWrap/>
            <w:vAlign w:val="center"/>
          </w:tcPr>
          <w:p w14:paraId="17108A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绥兴社区</w:t>
            </w:r>
          </w:p>
        </w:tc>
        <w:tc>
          <w:tcPr>
            <w:tcW w:w="406" w:type="pct"/>
            <w:noWrap/>
            <w:vAlign w:val="center"/>
          </w:tcPr>
          <w:p w14:paraId="61657E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5B7DD5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0076AE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6CD41A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0BAB0A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13D38E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6F7ADB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9186E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266" w:type="pct"/>
            <w:vMerge w:val="continue"/>
            <w:noWrap/>
            <w:vAlign w:val="center"/>
          </w:tcPr>
          <w:p w14:paraId="26BBB4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2F495B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0C45EC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4AB566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-1.23E-04</w:t>
            </w:r>
          </w:p>
        </w:tc>
        <w:tc>
          <w:tcPr>
            <w:tcW w:w="529" w:type="pct"/>
            <w:noWrap/>
            <w:vAlign w:val="center"/>
          </w:tcPr>
          <w:p w14:paraId="0A111B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45BEB2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09BEC7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7.03E-03</w:t>
            </w:r>
          </w:p>
        </w:tc>
        <w:tc>
          <w:tcPr>
            <w:tcW w:w="469" w:type="pct"/>
            <w:noWrap/>
            <w:vAlign w:val="center"/>
          </w:tcPr>
          <w:p w14:paraId="039423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11.72</w:t>
            </w:r>
          </w:p>
        </w:tc>
        <w:tc>
          <w:tcPr>
            <w:tcW w:w="407" w:type="pct"/>
            <w:noWrap/>
            <w:vAlign w:val="center"/>
          </w:tcPr>
          <w:p w14:paraId="22FE2D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9302B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266" w:type="pct"/>
            <w:vMerge w:val="restart"/>
            <w:noWrap/>
            <w:vAlign w:val="center"/>
          </w:tcPr>
          <w:p w14:paraId="7D122F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w:t>
            </w:r>
          </w:p>
        </w:tc>
        <w:tc>
          <w:tcPr>
            <w:tcW w:w="966" w:type="pct"/>
            <w:vMerge w:val="restart"/>
            <w:noWrap/>
            <w:vAlign w:val="center"/>
          </w:tcPr>
          <w:p w14:paraId="5AF480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远东新天地小区</w:t>
            </w:r>
          </w:p>
        </w:tc>
        <w:tc>
          <w:tcPr>
            <w:tcW w:w="406" w:type="pct"/>
            <w:noWrap/>
            <w:vAlign w:val="center"/>
          </w:tcPr>
          <w:p w14:paraId="656691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7C7C64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-3.07E-04</w:t>
            </w:r>
          </w:p>
        </w:tc>
        <w:tc>
          <w:tcPr>
            <w:tcW w:w="529" w:type="pct"/>
            <w:noWrap/>
            <w:vAlign w:val="center"/>
          </w:tcPr>
          <w:p w14:paraId="03629D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3E5433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3AB266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2.77E-02</w:t>
            </w:r>
          </w:p>
        </w:tc>
        <w:tc>
          <w:tcPr>
            <w:tcW w:w="469" w:type="pct"/>
            <w:noWrap/>
            <w:vAlign w:val="center"/>
          </w:tcPr>
          <w:p w14:paraId="26345D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18.46</w:t>
            </w:r>
          </w:p>
        </w:tc>
        <w:tc>
          <w:tcPr>
            <w:tcW w:w="407" w:type="pct"/>
            <w:noWrap/>
            <w:vAlign w:val="center"/>
          </w:tcPr>
          <w:p w14:paraId="7579A8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99DA7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266" w:type="pct"/>
            <w:vMerge w:val="continue"/>
            <w:noWrap/>
            <w:vAlign w:val="center"/>
          </w:tcPr>
          <w:p w14:paraId="48F62E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3430FF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3133A7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538595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-3.27E-04</w:t>
            </w:r>
          </w:p>
        </w:tc>
        <w:tc>
          <w:tcPr>
            <w:tcW w:w="529" w:type="pct"/>
            <w:noWrap/>
            <w:vAlign w:val="center"/>
          </w:tcPr>
          <w:p w14:paraId="45013A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64E922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1292F5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6.83E-03</w:t>
            </w:r>
          </w:p>
        </w:tc>
        <w:tc>
          <w:tcPr>
            <w:tcW w:w="469" w:type="pct"/>
            <w:noWrap/>
            <w:vAlign w:val="center"/>
          </w:tcPr>
          <w:p w14:paraId="6ADF2D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11.38</w:t>
            </w:r>
          </w:p>
        </w:tc>
        <w:tc>
          <w:tcPr>
            <w:tcW w:w="407" w:type="pct"/>
            <w:noWrap/>
            <w:vAlign w:val="center"/>
          </w:tcPr>
          <w:p w14:paraId="3624B4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51BAF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266" w:type="pct"/>
            <w:vMerge w:val="restart"/>
            <w:noWrap/>
            <w:vAlign w:val="center"/>
          </w:tcPr>
          <w:p w14:paraId="471E65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32</w:t>
            </w:r>
          </w:p>
        </w:tc>
        <w:tc>
          <w:tcPr>
            <w:tcW w:w="966" w:type="pct"/>
            <w:vMerge w:val="restart"/>
            <w:noWrap/>
            <w:vAlign w:val="center"/>
          </w:tcPr>
          <w:p w14:paraId="5D14EE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凯丰小区</w:t>
            </w:r>
          </w:p>
        </w:tc>
        <w:tc>
          <w:tcPr>
            <w:tcW w:w="406" w:type="pct"/>
            <w:noWrap/>
            <w:vAlign w:val="center"/>
          </w:tcPr>
          <w:p w14:paraId="61B1AA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440E9E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33549A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415162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375171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4B4EC6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5BC2BA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07347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266" w:type="pct"/>
            <w:vMerge w:val="continue"/>
            <w:noWrap/>
            <w:vAlign w:val="center"/>
          </w:tcPr>
          <w:p w14:paraId="39DA08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236651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154C10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0296FB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-3.20E-04</w:t>
            </w:r>
          </w:p>
        </w:tc>
        <w:tc>
          <w:tcPr>
            <w:tcW w:w="529" w:type="pct"/>
            <w:noWrap/>
            <w:vAlign w:val="center"/>
          </w:tcPr>
          <w:p w14:paraId="501492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6CE415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749F0B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6.84E-03</w:t>
            </w:r>
          </w:p>
        </w:tc>
        <w:tc>
          <w:tcPr>
            <w:tcW w:w="469" w:type="pct"/>
            <w:noWrap/>
            <w:vAlign w:val="center"/>
          </w:tcPr>
          <w:p w14:paraId="4C6CD7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11.39</w:t>
            </w:r>
          </w:p>
        </w:tc>
        <w:tc>
          <w:tcPr>
            <w:tcW w:w="407" w:type="pct"/>
            <w:noWrap/>
            <w:vAlign w:val="center"/>
          </w:tcPr>
          <w:p w14:paraId="363097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D783A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266" w:type="pct"/>
            <w:vMerge w:val="restart"/>
            <w:noWrap/>
            <w:vAlign w:val="center"/>
          </w:tcPr>
          <w:p w14:paraId="15A745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33</w:t>
            </w:r>
          </w:p>
        </w:tc>
        <w:tc>
          <w:tcPr>
            <w:tcW w:w="966" w:type="pct"/>
            <w:vMerge w:val="restart"/>
            <w:noWrap/>
            <w:vAlign w:val="center"/>
          </w:tcPr>
          <w:p w14:paraId="57205E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澳运阳光花园</w:t>
            </w:r>
          </w:p>
        </w:tc>
        <w:tc>
          <w:tcPr>
            <w:tcW w:w="406" w:type="pct"/>
            <w:noWrap/>
            <w:vAlign w:val="center"/>
          </w:tcPr>
          <w:p w14:paraId="4BBF8E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4D0F56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52E233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4F0703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147D91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549B94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2DB584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BB033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66" w:type="pct"/>
            <w:vMerge w:val="continue"/>
            <w:noWrap/>
            <w:vAlign w:val="center"/>
          </w:tcPr>
          <w:p w14:paraId="70DD11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00E631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034248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0B042A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-1.52E-04</w:t>
            </w:r>
          </w:p>
        </w:tc>
        <w:tc>
          <w:tcPr>
            <w:tcW w:w="529" w:type="pct"/>
            <w:noWrap/>
            <w:vAlign w:val="center"/>
          </w:tcPr>
          <w:p w14:paraId="3DA941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4F2D9F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224B65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7.00E-03</w:t>
            </w:r>
          </w:p>
        </w:tc>
        <w:tc>
          <w:tcPr>
            <w:tcW w:w="469" w:type="pct"/>
            <w:noWrap/>
            <w:vAlign w:val="center"/>
          </w:tcPr>
          <w:p w14:paraId="231B99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11.67</w:t>
            </w:r>
          </w:p>
        </w:tc>
        <w:tc>
          <w:tcPr>
            <w:tcW w:w="407" w:type="pct"/>
            <w:noWrap/>
            <w:vAlign w:val="center"/>
          </w:tcPr>
          <w:p w14:paraId="349B47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10C6C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266" w:type="pct"/>
            <w:vMerge w:val="restart"/>
            <w:noWrap/>
            <w:vAlign w:val="center"/>
          </w:tcPr>
          <w:p w14:paraId="2CBA45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34</w:t>
            </w:r>
          </w:p>
        </w:tc>
        <w:tc>
          <w:tcPr>
            <w:tcW w:w="966" w:type="pct"/>
            <w:vMerge w:val="restart"/>
            <w:noWrap/>
            <w:vAlign w:val="center"/>
          </w:tcPr>
          <w:p w14:paraId="6C71FA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朝阳村</w:t>
            </w:r>
          </w:p>
        </w:tc>
        <w:tc>
          <w:tcPr>
            <w:tcW w:w="406" w:type="pct"/>
            <w:noWrap/>
            <w:vAlign w:val="center"/>
          </w:tcPr>
          <w:p w14:paraId="40A50E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475C83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30FEA5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1DB1FD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7F9B3DE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2ADC5E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38FA2C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75678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266" w:type="pct"/>
            <w:vMerge w:val="continue"/>
            <w:noWrap/>
            <w:vAlign w:val="center"/>
          </w:tcPr>
          <w:p w14:paraId="365823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5BD3BA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0E9EFB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1983C7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-6.62E-05</w:t>
            </w:r>
          </w:p>
        </w:tc>
        <w:tc>
          <w:tcPr>
            <w:tcW w:w="529" w:type="pct"/>
            <w:noWrap/>
            <w:vAlign w:val="center"/>
          </w:tcPr>
          <w:p w14:paraId="138897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1332C6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3BB0B9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7.09E-03</w:t>
            </w:r>
          </w:p>
        </w:tc>
        <w:tc>
          <w:tcPr>
            <w:tcW w:w="469" w:type="pct"/>
            <w:noWrap/>
            <w:vAlign w:val="center"/>
          </w:tcPr>
          <w:p w14:paraId="79F9D8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11.82</w:t>
            </w:r>
          </w:p>
        </w:tc>
        <w:tc>
          <w:tcPr>
            <w:tcW w:w="407" w:type="pct"/>
            <w:noWrap/>
            <w:vAlign w:val="center"/>
          </w:tcPr>
          <w:p w14:paraId="7BADBD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AAE84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266" w:type="pct"/>
            <w:vMerge w:val="restart"/>
            <w:noWrap/>
            <w:vAlign w:val="center"/>
          </w:tcPr>
          <w:p w14:paraId="176DB4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35</w:t>
            </w:r>
          </w:p>
        </w:tc>
        <w:tc>
          <w:tcPr>
            <w:tcW w:w="966" w:type="pct"/>
            <w:vMerge w:val="restart"/>
            <w:noWrap/>
            <w:vAlign w:val="center"/>
          </w:tcPr>
          <w:p w14:paraId="649AA7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宏隆花园</w:t>
            </w:r>
          </w:p>
        </w:tc>
        <w:tc>
          <w:tcPr>
            <w:tcW w:w="406" w:type="pct"/>
            <w:noWrap/>
            <w:vAlign w:val="center"/>
          </w:tcPr>
          <w:p w14:paraId="0002C4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7A93DD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780F61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30682C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556AFE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716FFF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7243EE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2E09F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 w:hRule="atLeast"/>
          <w:jc w:val="center"/>
        </w:trPr>
        <w:tc>
          <w:tcPr>
            <w:tcW w:w="266" w:type="pct"/>
            <w:vMerge w:val="continue"/>
            <w:noWrap/>
            <w:vAlign w:val="center"/>
          </w:tcPr>
          <w:p w14:paraId="679BAD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178C61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40CE80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0AE2BE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-1.24E-04</w:t>
            </w:r>
          </w:p>
        </w:tc>
        <w:tc>
          <w:tcPr>
            <w:tcW w:w="529" w:type="pct"/>
            <w:noWrap/>
            <w:vAlign w:val="center"/>
          </w:tcPr>
          <w:p w14:paraId="330220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29AE39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0A6CD3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7.03E-03</w:t>
            </w:r>
          </w:p>
        </w:tc>
        <w:tc>
          <w:tcPr>
            <w:tcW w:w="469" w:type="pct"/>
            <w:noWrap/>
            <w:vAlign w:val="center"/>
          </w:tcPr>
          <w:p w14:paraId="4432E2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11.72</w:t>
            </w:r>
          </w:p>
        </w:tc>
        <w:tc>
          <w:tcPr>
            <w:tcW w:w="407" w:type="pct"/>
            <w:noWrap/>
            <w:vAlign w:val="center"/>
          </w:tcPr>
          <w:p w14:paraId="298251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634BD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266" w:type="pct"/>
            <w:vMerge w:val="restart"/>
            <w:noWrap/>
            <w:vAlign w:val="center"/>
          </w:tcPr>
          <w:p w14:paraId="1A0902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36</w:t>
            </w:r>
          </w:p>
        </w:tc>
        <w:tc>
          <w:tcPr>
            <w:tcW w:w="966" w:type="pct"/>
            <w:vMerge w:val="restart"/>
            <w:noWrap/>
            <w:vAlign w:val="center"/>
          </w:tcPr>
          <w:p w14:paraId="4FA6B7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中福名都花园</w:t>
            </w:r>
          </w:p>
        </w:tc>
        <w:tc>
          <w:tcPr>
            <w:tcW w:w="406" w:type="pct"/>
            <w:noWrap/>
            <w:vAlign w:val="center"/>
          </w:tcPr>
          <w:p w14:paraId="225A95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23D4A0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5E6921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3DD899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2F402E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0AF3B8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542884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D2F39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266" w:type="pct"/>
            <w:vMerge w:val="continue"/>
            <w:noWrap/>
            <w:vAlign w:val="center"/>
          </w:tcPr>
          <w:p w14:paraId="5ECF05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2447D8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60F3BD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08E004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-8.68E-05</w:t>
            </w:r>
          </w:p>
        </w:tc>
        <w:tc>
          <w:tcPr>
            <w:tcW w:w="529" w:type="pct"/>
            <w:noWrap/>
            <w:vAlign w:val="center"/>
          </w:tcPr>
          <w:p w14:paraId="148225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63193C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10DE61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7.07E-03</w:t>
            </w:r>
          </w:p>
        </w:tc>
        <w:tc>
          <w:tcPr>
            <w:tcW w:w="469" w:type="pct"/>
            <w:noWrap/>
            <w:vAlign w:val="center"/>
          </w:tcPr>
          <w:p w14:paraId="043B06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11.78</w:t>
            </w:r>
          </w:p>
        </w:tc>
        <w:tc>
          <w:tcPr>
            <w:tcW w:w="407" w:type="pct"/>
            <w:noWrap/>
            <w:vAlign w:val="center"/>
          </w:tcPr>
          <w:p w14:paraId="396EF1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795A1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0" w:hRule="atLeast"/>
          <w:jc w:val="center"/>
        </w:trPr>
        <w:tc>
          <w:tcPr>
            <w:tcW w:w="266" w:type="pct"/>
            <w:vMerge w:val="restart"/>
            <w:noWrap/>
            <w:vAlign w:val="center"/>
          </w:tcPr>
          <w:p w14:paraId="422C90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37</w:t>
            </w:r>
          </w:p>
        </w:tc>
        <w:tc>
          <w:tcPr>
            <w:tcW w:w="966" w:type="pct"/>
            <w:vMerge w:val="restart"/>
            <w:noWrap/>
            <w:vAlign w:val="center"/>
          </w:tcPr>
          <w:p w14:paraId="11D01C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康健花园</w:t>
            </w:r>
          </w:p>
        </w:tc>
        <w:tc>
          <w:tcPr>
            <w:tcW w:w="406" w:type="pct"/>
            <w:noWrap/>
            <w:vAlign w:val="center"/>
          </w:tcPr>
          <w:p w14:paraId="10B75E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384A71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-2.63E-06</w:t>
            </w:r>
          </w:p>
        </w:tc>
        <w:tc>
          <w:tcPr>
            <w:tcW w:w="529" w:type="pct"/>
            <w:noWrap/>
            <w:vAlign w:val="center"/>
          </w:tcPr>
          <w:p w14:paraId="619C8F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235555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0947A8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368193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18.66</w:t>
            </w:r>
          </w:p>
        </w:tc>
        <w:tc>
          <w:tcPr>
            <w:tcW w:w="407" w:type="pct"/>
            <w:noWrap/>
            <w:vAlign w:val="center"/>
          </w:tcPr>
          <w:p w14:paraId="757398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E73FE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266" w:type="pct"/>
            <w:vMerge w:val="continue"/>
            <w:noWrap/>
            <w:vAlign w:val="center"/>
          </w:tcPr>
          <w:p w14:paraId="1A7892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5CD931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6FF00B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0EFFBD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-8.17E-05</w:t>
            </w:r>
          </w:p>
        </w:tc>
        <w:tc>
          <w:tcPr>
            <w:tcW w:w="529" w:type="pct"/>
            <w:noWrap/>
            <w:vAlign w:val="center"/>
          </w:tcPr>
          <w:p w14:paraId="63502D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5C9643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1AB1EA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7.07E-03</w:t>
            </w:r>
          </w:p>
        </w:tc>
        <w:tc>
          <w:tcPr>
            <w:tcW w:w="469" w:type="pct"/>
            <w:noWrap/>
            <w:vAlign w:val="center"/>
          </w:tcPr>
          <w:p w14:paraId="77301FE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11.79</w:t>
            </w:r>
          </w:p>
        </w:tc>
        <w:tc>
          <w:tcPr>
            <w:tcW w:w="407" w:type="pct"/>
            <w:noWrap/>
            <w:vAlign w:val="center"/>
          </w:tcPr>
          <w:p w14:paraId="1F05C3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ECA28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266" w:type="pct"/>
            <w:vMerge w:val="restart"/>
            <w:noWrap/>
            <w:vAlign w:val="center"/>
          </w:tcPr>
          <w:p w14:paraId="6C359D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38</w:t>
            </w:r>
          </w:p>
        </w:tc>
        <w:tc>
          <w:tcPr>
            <w:tcW w:w="966" w:type="pct"/>
            <w:vMerge w:val="restart"/>
            <w:noWrap/>
            <w:vAlign w:val="center"/>
          </w:tcPr>
          <w:p w14:paraId="6A0529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海融安居里</w:t>
            </w:r>
          </w:p>
        </w:tc>
        <w:tc>
          <w:tcPr>
            <w:tcW w:w="406" w:type="pct"/>
            <w:noWrap/>
            <w:vAlign w:val="center"/>
          </w:tcPr>
          <w:p w14:paraId="1888BF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4C788E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-6.33E-05</w:t>
            </w:r>
          </w:p>
        </w:tc>
        <w:tc>
          <w:tcPr>
            <w:tcW w:w="529" w:type="pct"/>
            <w:noWrap/>
            <w:vAlign w:val="center"/>
          </w:tcPr>
          <w:p w14:paraId="0E8D57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6A881E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09CF62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2.79E-02</w:t>
            </w:r>
          </w:p>
        </w:tc>
        <w:tc>
          <w:tcPr>
            <w:tcW w:w="469" w:type="pct"/>
            <w:noWrap/>
            <w:vAlign w:val="center"/>
          </w:tcPr>
          <w:p w14:paraId="3ECC6C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18.62</w:t>
            </w:r>
          </w:p>
        </w:tc>
        <w:tc>
          <w:tcPr>
            <w:tcW w:w="407" w:type="pct"/>
            <w:noWrap/>
            <w:vAlign w:val="center"/>
          </w:tcPr>
          <w:p w14:paraId="6C9CFC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5DB58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266" w:type="pct"/>
            <w:vMerge w:val="continue"/>
            <w:noWrap/>
            <w:vAlign w:val="center"/>
          </w:tcPr>
          <w:p w14:paraId="556B12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34E6E8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6BD60A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275EA3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-1.09E-04</w:t>
            </w:r>
          </w:p>
        </w:tc>
        <w:tc>
          <w:tcPr>
            <w:tcW w:w="529" w:type="pct"/>
            <w:noWrap/>
            <w:vAlign w:val="center"/>
          </w:tcPr>
          <w:p w14:paraId="5BC3E7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12BBFE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7D7159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7.05E-03</w:t>
            </w:r>
          </w:p>
        </w:tc>
        <w:tc>
          <w:tcPr>
            <w:tcW w:w="469" w:type="pct"/>
            <w:noWrap/>
            <w:vAlign w:val="center"/>
          </w:tcPr>
          <w:p w14:paraId="67C4D5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11.75</w:t>
            </w:r>
          </w:p>
        </w:tc>
        <w:tc>
          <w:tcPr>
            <w:tcW w:w="407" w:type="pct"/>
            <w:noWrap/>
            <w:vAlign w:val="center"/>
          </w:tcPr>
          <w:p w14:paraId="297DD6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DA1A6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266" w:type="pct"/>
            <w:vMerge w:val="restart"/>
            <w:noWrap/>
            <w:vAlign w:val="center"/>
          </w:tcPr>
          <w:p w14:paraId="47AD84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39</w:t>
            </w:r>
          </w:p>
        </w:tc>
        <w:tc>
          <w:tcPr>
            <w:tcW w:w="966" w:type="pct"/>
            <w:vMerge w:val="restart"/>
            <w:noWrap/>
            <w:vAlign w:val="center"/>
          </w:tcPr>
          <w:p w14:paraId="695943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海融富华苑</w:t>
            </w:r>
          </w:p>
        </w:tc>
        <w:tc>
          <w:tcPr>
            <w:tcW w:w="406" w:type="pct"/>
            <w:noWrap/>
            <w:vAlign w:val="center"/>
          </w:tcPr>
          <w:p w14:paraId="01CEA0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5D450C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250AFC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18281C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1A23F2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0E82DE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502CF2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BD128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266" w:type="pct"/>
            <w:vMerge w:val="continue"/>
            <w:noWrap/>
            <w:vAlign w:val="center"/>
          </w:tcPr>
          <w:p w14:paraId="6DD799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03CBED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48AC67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3CC405E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-1.02E-05</w:t>
            </w:r>
          </w:p>
        </w:tc>
        <w:tc>
          <w:tcPr>
            <w:tcW w:w="529" w:type="pct"/>
            <w:noWrap/>
            <w:vAlign w:val="center"/>
          </w:tcPr>
          <w:p w14:paraId="108294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48A43C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70284A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7.15E-03</w:t>
            </w:r>
          </w:p>
        </w:tc>
        <w:tc>
          <w:tcPr>
            <w:tcW w:w="469" w:type="pct"/>
            <w:noWrap/>
            <w:vAlign w:val="center"/>
          </w:tcPr>
          <w:p w14:paraId="4FD5F3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11.91</w:t>
            </w:r>
          </w:p>
        </w:tc>
        <w:tc>
          <w:tcPr>
            <w:tcW w:w="407" w:type="pct"/>
            <w:noWrap/>
            <w:vAlign w:val="center"/>
          </w:tcPr>
          <w:p w14:paraId="5F6BFF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D19C0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266" w:type="pct"/>
            <w:vMerge w:val="restart"/>
            <w:noWrap/>
            <w:vAlign w:val="center"/>
          </w:tcPr>
          <w:p w14:paraId="631746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40</w:t>
            </w:r>
          </w:p>
        </w:tc>
        <w:tc>
          <w:tcPr>
            <w:tcW w:w="966" w:type="pct"/>
            <w:vMerge w:val="restart"/>
            <w:noWrap/>
            <w:vAlign w:val="center"/>
          </w:tcPr>
          <w:p w14:paraId="190D21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好景园小区</w:t>
            </w:r>
          </w:p>
        </w:tc>
        <w:tc>
          <w:tcPr>
            <w:tcW w:w="406" w:type="pct"/>
            <w:noWrap/>
            <w:vAlign w:val="center"/>
          </w:tcPr>
          <w:p w14:paraId="08E63B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6AA58A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28591B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729FF0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3B0C0E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78F26D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722A59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1B3A2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266" w:type="pct"/>
            <w:vMerge w:val="continue"/>
            <w:noWrap/>
            <w:vAlign w:val="center"/>
          </w:tcPr>
          <w:p w14:paraId="29405A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085B95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08B4B7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7B9767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-1.17E-05</w:t>
            </w:r>
          </w:p>
        </w:tc>
        <w:tc>
          <w:tcPr>
            <w:tcW w:w="529" w:type="pct"/>
            <w:noWrap/>
            <w:vAlign w:val="center"/>
          </w:tcPr>
          <w:p w14:paraId="526F8D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7E6129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0F9EBD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7.14E-03</w:t>
            </w:r>
          </w:p>
        </w:tc>
        <w:tc>
          <w:tcPr>
            <w:tcW w:w="469" w:type="pct"/>
            <w:noWrap/>
            <w:vAlign w:val="center"/>
          </w:tcPr>
          <w:p w14:paraId="238539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11.91</w:t>
            </w:r>
          </w:p>
        </w:tc>
        <w:tc>
          <w:tcPr>
            <w:tcW w:w="407" w:type="pct"/>
            <w:noWrap/>
            <w:vAlign w:val="center"/>
          </w:tcPr>
          <w:p w14:paraId="4D2804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275D7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266" w:type="pct"/>
            <w:vMerge w:val="restart"/>
            <w:noWrap/>
            <w:vAlign w:val="center"/>
          </w:tcPr>
          <w:p w14:paraId="319CF9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41</w:t>
            </w:r>
          </w:p>
        </w:tc>
        <w:tc>
          <w:tcPr>
            <w:tcW w:w="966" w:type="pct"/>
            <w:vMerge w:val="restart"/>
            <w:noWrap/>
            <w:vAlign w:val="center"/>
          </w:tcPr>
          <w:p w14:paraId="7F7345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旗苑家园</w:t>
            </w:r>
          </w:p>
        </w:tc>
        <w:tc>
          <w:tcPr>
            <w:tcW w:w="406" w:type="pct"/>
            <w:noWrap/>
            <w:vAlign w:val="center"/>
          </w:tcPr>
          <w:p w14:paraId="06D305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2B8FE4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6653D2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0B1966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137278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5E2C7D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4F1EC8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DC28B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 w:hRule="atLeast"/>
          <w:jc w:val="center"/>
        </w:trPr>
        <w:tc>
          <w:tcPr>
            <w:tcW w:w="266" w:type="pct"/>
            <w:vMerge w:val="continue"/>
            <w:noWrap/>
            <w:vAlign w:val="center"/>
          </w:tcPr>
          <w:p w14:paraId="58CC5F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1F5C80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1F1D3B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4C3C60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-7.58E-06</w:t>
            </w:r>
          </w:p>
        </w:tc>
        <w:tc>
          <w:tcPr>
            <w:tcW w:w="529" w:type="pct"/>
            <w:noWrap/>
            <w:vAlign w:val="center"/>
          </w:tcPr>
          <w:p w14:paraId="0AB0E1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06CFAD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187B1D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7.15E-03</w:t>
            </w:r>
          </w:p>
        </w:tc>
        <w:tc>
          <w:tcPr>
            <w:tcW w:w="469" w:type="pct"/>
            <w:noWrap/>
            <w:vAlign w:val="center"/>
          </w:tcPr>
          <w:p w14:paraId="3E60A5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11.91</w:t>
            </w:r>
          </w:p>
        </w:tc>
        <w:tc>
          <w:tcPr>
            <w:tcW w:w="407" w:type="pct"/>
            <w:noWrap/>
            <w:vAlign w:val="center"/>
          </w:tcPr>
          <w:p w14:paraId="77F5C4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3E43D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266" w:type="pct"/>
            <w:vMerge w:val="restart"/>
            <w:noWrap/>
            <w:vAlign w:val="center"/>
          </w:tcPr>
          <w:p w14:paraId="7B0C57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w:t>
            </w:r>
          </w:p>
        </w:tc>
        <w:tc>
          <w:tcPr>
            <w:tcW w:w="966" w:type="pct"/>
            <w:vMerge w:val="restart"/>
            <w:noWrap/>
            <w:vAlign w:val="center"/>
          </w:tcPr>
          <w:p w14:paraId="352576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兴达家园</w:t>
            </w:r>
          </w:p>
        </w:tc>
        <w:tc>
          <w:tcPr>
            <w:tcW w:w="406" w:type="pct"/>
            <w:noWrap/>
            <w:vAlign w:val="center"/>
          </w:tcPr>
          <w:p w14:paraId="4AE377C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7B4FCC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496F04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7C6A0E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02F5B4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0CEC0E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7047C9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45AEB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266" w:type="pct"/>
            <w:vMerge w:val="continue"/>
            <w:noWrap/>
            <w:vAlign w:val="center"/>
          </w:tcPr>
          <w:p w14:paraId="03646F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754C5F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09E42E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7A18F1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-1.19E-05</w:t>
            </w:r>
          </w:p>
        </w:tc>
        <w:tc>
          <w:tcPr>
            <w:tcW w:w="529" w:type="pct"/>
            <w:noWrap/>
            <w:vAlign w:val="center"/>
          </w:tcPr>
          <w:p w14:paraId="519981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6DBDC3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616AC7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7.14E-03</w:t>
            </w:r>
          </w:p>
        </w:tc>
        <w:tc>
          <w:tcPr>
            <w:tcW w:w="469" w:type="pct"/>
            <w:noWrap/>
            <w:vAlign w:val="center"/>
          </w:tcPr>
          <w:p w14:paraId="434862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11.91</w:t>
            </w:r>
          </w:p>
        </w:tc>
        <w:tc>
          <w:tcPr>
            <w:tcW w:w="407" w:type="pct"/>
            <w:noWrap/>
            <w:vAlign w:val="center"/>
          </w:tcPr>
          <w:p w14:paraId="7EFF9FE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6F7B6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66" w:type="pct"/>
            <w:vMerge w:val="restart"/>
            <w:noWrap/>
            <w:vAlign w:val="center"/>
          </w:tcPr>
          <w:p w14:paraId="60765D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43</w:t>
            </w:r>
          </w:p>
        </w:tc>
        <w:tc>
          <w:tcPr>
            <w:tcW w:w="966" w:type="pct"/>
            <w:vMerge w:val="restart"/>
            <w:noWrap/>
            <w:vAlign w:val="center"/>
          </w:tcPr>
          <w:p w14:paraId="58F4F2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协会大厦</w:t>
            </w:r>
          </w:p>
        </w:tc>
        <w:tc>
          <w:tcPr>
            <w:tcW w:w="406" w:type="pct"/>
            <w:noWrap/>
            <w:vAlign w:val="center"/>
          </w:tcPr>
          <w:p w14:paraId="1DBE4E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7BAA97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58A93A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42BE82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602984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3B9060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152AC3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09550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266" w:type="pct"/>
            <w:vMerge w:val="continue"/>
            <w:noWrap/>
            <w:vAlign w:val="center"/>
          </w:tcPr>
          <w:p w14:paraId="0136D2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09F5B0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6173B2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12AD96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-2.51E-05</w:t>
            </w:r>
          </w:p>
        </w:tc>
        <w:tc>
          <w:tcPr>
            <w:tcW w:w="529" w:type="pct"/>
            <w:noWrap/>
            <w:vAlign w:val="center"/>
          </w:tcPr>
          <w:p w14:paraId="6780B4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17ACDE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6C6E53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7.13E-03</w:t>
            </w:r>
          </w:p>
        </w:tc>
        <w:tc>
          <w:tcPr>
            <w:tcW w:w="469" w:type="pct"/>
            <w:noWrap/>
            <w:vAlign w:val="center"/>
          </w:tcPr>
          <w:p w14:paraId="42495A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11.91</w:t>
            </w:r>
          </w:p>
        </w:tc>
        <w:tc>
          <w:tcPr>
            <w:tcW w:w="407" w:type="pct"/>
            <w:noWrap/>
            <w:vAlign w:val="center"/>
          </w:tcPr>
          <w:p w14:paraId="778001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CDC2E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266" w:type="pct"/>
            <w:vMerge w:val="restart"/>
            <w:noWrap/>
            <w:vAlign w:val="center"/>
          </w:tcPr>
          <w:p w14:paraId="5DD225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44</w:t>
            </w:r>
          </w:p>
        </w:tc>
        <w:tc>
          <w:tcPr>
            <w:tcW w:w="966" w:type="pct"/>
            <w:vMerge w:val="restart"/>
            <w:noWrap/>
            <w:vAlign w:val="center"/>
          </w:tcPr>
          <w:p w14:paraId="7F066A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数码港宾馆</w:t>
            </w:r>
          </w:p>
        </w:tc>
        <w:tc>
          <w:tcPr>
            <w:tcW w:w="406" w:type="pct"/>
            <w:noWrap/>
            <w:vAlign w:val="center"/>
          </w:tcPr>
          <w:p w14:paraId="66A52D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043675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-1.70E-05</w:t>
            </w:r>
          </w:p>
        </w:tc>
        <w:tc>
          <w:tcPr>
            <w:tcW w:w="529" w:type="pct"/>
            <w:noWrap/>
            <w:vAlign w:val="center"/>
          </w:tcPr>
          <w:p w14:paraId="002233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35452F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7CA490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5D8C15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18.66</w:t>
            </w:r>
          </w:p>
        </w:tc>
        <w:tc>
          <w:tcPr>
            <w:tcW w:w="407" w:type="pct"/>
            <w:noWrap/>
            <w:vAlign w:val="center"/>
          </w:tcPr>
          <w:p w14:paraId="6005DA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6BADA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266" w:type="pct"/>
            <w:vMerge w:val="continue"/>
            <w:noWrap/>
            <w:vAlign w:val="center"/>
          </w:tcPr>
          <w:p w14:paraId="7305C28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457C9F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483E94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1EF7A7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-2.95E-04</w:t>
            </w:r>
          </w:p>
        </w:tc>
        <w:tc>
          <w:tcPr>
            <w:tcW w:w="529" w:type="pct"/>
            <w:noWrap/>
            <w:vAlign w:val="center"/>
          </w:tcPr>
          <w:p w14:paraId="629ACE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515A78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4E49A5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6.86E-03</w:t>
            </w:r>
          </w:p>
        </w:tc>
        <w:tc>
          <w:tcPr>
            <w:tcW w:w="469" w:type="pct"/>
            <w:noWrap/>
            <w:vAlign w:val="center"/>
          </w:tcPr>
          <w:p w14:paraId="1B2881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11.43</w:t>
            </w:r>
          </w:p>
        </w:tc>
        <w:tc>
          <w:tcPr>
            <w:tcW w:w="407" w:type="pct"/>
            <w:noWrap/>
            <w:vAlign w:val="center"/>
          </w:tcPr>
          <w:p w14:paraId="537664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72941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266" w:type="pct"/>
            <w:vMerge w:val="restart"/>
            <w:noWrap/>
            <w:vAlign w:val="center"/>
          </w:tcPr>
          <w:p w14:paraId="7722BB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45</w:t>
            </w:r>
          </w:p>
        </w:tc>
        <w:tc>
          <w:tcPr>
            <w:tcW w:w="966" w:type="pct"/>
            <w:vMerge w:val="restart"/>
            <w:noWrap/>
            <w:vAlign w:val="center"/>
          </w:tcPr>
          <w:p w14:paraId="733D82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山水国际</w:t>
            </w:r>
          </w:p>
        </w:tc>
        <w:tc>
          <w:tcPr>
            <w:tcW w:w="406" w:type="pct"/>
            <w:noWrap/>
            <w:vAlign w:val="center"/>
          </w:tcPr>
          <w:p w14:paraId="19B3CF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6922D2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-2.42E-04</w:t>
            </w:r>
          </w:p>
        </w:tc>
        <w:tc>
          <w:tcPr>
            <w:tcW w:w="529" w:type="pct"/>
            <w:noWrap/>
            <w:vAlign w:val="center"/>
          </w:tcPr>
          <w:p w14:paraId="5DB56F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2396A7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33DEE4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2.78E-02</w:t>
            </w:r>
          </w:p>
        </w:tc>
        <w:tc>
          <w:tcPr>
            <w:tcW w:w="469" w:type="pct"/>
            <w:noWrap/>
            <w:vAlign w:val="center"/>
          </w:tcPr>
          <w:p w14:paraId="507E5F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18.51</w:t>
            </w:r>
          </w:p>
        </w:tc>
        <w:tc>
          <w:tcPr>
            <w:tcW w:w="407" w:type="pct"/>
            <w:noWrap/>
            <w:vAlign w:val="center"/>
          </w:tcPr>
          <w:p w14:paraId="6DFAD5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9F431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266" w:type="pct"/>
            <w:vMerge w:val="continue"/>
            <w:noWrap/>
            <w:vAlign w:val="center"/>
          </w:tcPr>
          <w:p w14:paraId="27F591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1D3D55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2579FB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72633CC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-5.43E-04</w:t>
            </w:r>
          </w:p>
        </w:tc>
        <w:tc>
          <w:tcPr>
            <w:tcW w:w="529" w:type="pct"/>
            <w:noWrap/>
            <w:vAlign w:val="center"/>
          </w:tcPr>
          <w:p w14:paraId="762A8F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51080D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1BDE30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6.61E-03</w:t>
            </w:r>
          </w:p>
        </w:tc>
        <w:tc>
          <w:tcPr>
            <w:tcW w:w="469" w:type="pct"/>
            <w:noWrap/>
            <w:vAlign w:val="center"/>
          </w:tcPr>
          <w:p w14:paraId="215FB1E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11.02</w:t>
            </w:r>
          </w:p>
        </w:tc>
        <w:tc>
          <w:tcPr>
            <w:tcW w:w="407" w:type="pct"/>
            <w:noWrap/>
            <w:vAlign w:val="center"/>
          </w:tcPr>
          <w:p w14:paraId="5B7D44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FA939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66" w:type="pct"/>
            <w:vMerge w:val="restart"/>
            <w:noWrap/>
            <w:vAlign w:val="center"/>
          </w:tcPr>
          <w:p w14:paraId="7E0A26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46</w:t>
            </w:r>
          </w:p>
        </w:tc>
        <w:tc>
          <w:tcPr>
            <w:tcW w:w="966" w:type="pct"/>
            <w:vMerge w:val="restart"/>
            <w:noWrap/>
            <w:vAlign w:val="center"/>
          </w:tcPr>
          <w:p w14:paraId="5E0460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湖畔花园小区</w:t>
            </w:r>
          </w:p>
        </w:tc>
        <w:tc>
          <w:tcPr>
            <w:tcW w:w="406" w:type="pct"/>
            <w:noWrap/>
            <w:vAlign w:val="center"/>
          </w:tcPr>
          <w:p w14:paraId="36A9C4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12DA64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24DEC6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25705C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0AD2DA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6EB071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6B5BAA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CEA5A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266" w:type="pct"/>
            <w:vMerge w:val="continue"/>
            <w:noWrap/>
            <w:vAlign w:val="center"/>
          </w:tcPr>
          <w:p w14:paraId="69AD01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466F7F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64A3AD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118A4E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-1.07E-04</w:t>
            </w:r>
          </w:p>
        </w:tc>
        <w:tc>
          <w:tcPr>
            <w:tcW w:w="529" w:type="pct"/>
            <w:noWrap/>
            <w:vAlign w:val="center"/>
          </w:tcPr>
          <w:p w14:paraId="541D67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730511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1AAE6B8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7.05E-03</w:t>
            </w:r>
          </w:p>
        </w:tc>
        <w:tc>
          <w:tcPr>
            <w:tcW w:w="469" w:type="pct"/>
            <w:noWrap/>
            <w:vAlign w:val="center"/>
          </w:tcPr>
          <w:p w14:paraId="6C5594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11.75</w:t>
            </w:r>
          </w:p>
        </w:tc>
        <w:tc>
          <w:tcPr>
            <w:tcW w:w="407" w:type="pct"/>
            <w:noWrap/>
            <w:vAlign w:val="center"/>
          </w:tcPr>
          <w:p w14:paraId="7DBD69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4CF70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266" w:type="pct"/>
            <w:vMerge w:val="restart"/>
            <w:noWrap/>
            <w:vAlign w:val="center"/>
          </w:tcPr>
          <w:p w14:paraId="464F5C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47</w:t>
            </w:r>
          </w:p>
        </w:tc>
        <w:tc>
          <w:tcPr>
            <w:tcW w:w="966" w:type="pct"/>
            <w:vMerge w:val="restart"/>
            <w:noWrap/>
            <w:vAlign w:val="center"/>
          </w:tcPr>
          <w:p w14:paraId="617CFB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湖滨小区</w:t>
            </w:r>
          </w:p>
        </w:tc>
        <w:tc>
          <w:tcPr>
            <w:tcW w:w="406" w:type="pct"/>
            <w:noWrap/>
            <w:vAlign w:val="center"/>
          </w:tcPr>
          <w:p w14:paraId="4CCCBB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416067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5EA59C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629C3A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1C2454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3F5BEF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376885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8FAB8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266" w:type="pct"/>
            <w:vMerge w:val="continue"/>
            <w:noWrap/>
            <w:vAlign w:val="center"/>
          </w:tcPr>
          <w:p w14:paraId="047C56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5A4AAC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1289B9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0C829D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-7.20E-05</w:t>
            </w:r>
          </w:p>
        </w:tc>
        <w:tc>
          <w:tcPr>
            <w:tcW w:w="529" w:type="pct"/>
            <w:noWrap/>
            <w:vAlign w:val="center"/>
          </w:tcPr>
          <w:p w14:paraId="671B1F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4BD685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191348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7.08E-03</w:t>
            </w:r>
          </w:p>
        </w:tc>
        <w:tc>
          <w:tcPr>
            <w:tcW w:w="469" w:type="pct"/>
            <w:noWrap/>
            <w:vAlign w:val="center"/>
          </w:tcPr>
          <w:p w14:paraId="5857F4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11.81</w:t>
            </w:r>
          </w:p>
        </w:tc>
        <w:tc>
          <w:tcPr>
            <w:tcW w:w="407" w:type="pct"/>
            <w:noWrap/>
            <w:vAlign w:val="center"/>
          </w:tcPr>
          <w:p w14:paraId="1B4481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69D87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266" w:type="pct"/>
            <w:vMerge w:val="restart"/>
            <w:noWrap/>
            <w:vAlign w:val="center"/>
          </w:tcPr>
          <w:p w14:paraId="647543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48</w:t>
            </w:r>
          </w:p>
        </w:tc>
        <w:tc>
          <w:tcPr>
            <w:tcW w:w="966" w:type="pct"/>
            <w:vMerge w:val="restart"/>
            <w:noWrap/>
            <w:vAlign w:val="center"/>
          </w:tcPr>
          <w:p w14:paraId="07C75E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吉祥小区</w:t>
            </w:r>
          </w:p>
        </w:tc>
        <w:tc>
          <w:tcPr>
            <w:tcW w:w="406" w:type="pct"/>
            <w:noWrap/>
            <w:vAlign w:val="center"/>
          </w:tcPr>
          <w:p w14:paraId="638F56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5972B7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3E599A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0C1E69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657DAA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1D2A9C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571FD5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87D9E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266" w:type="pct"/>
            <w:vMerge w:val="continue"/>
            <w:noWrap/>
            <w:vAlign w:val="center"/>
          </w:tcPr>
          <w:p w14:paraId="750E98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0E9DD7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728E63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36DF9B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-1.03E-05</w:t>
            </w:r>
          </w:p>
        </w:tc>
        <w:tc>
          <w:tcPr>
            <w:tcW w:w="529" w:type="pct"/>
            <w:noWrap/>
            <w:vAlign w:val="center"/>
          </w:tcPr>
          <w:p w14:paraId="5E6AB6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748FCD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7F69B7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7.15E-03</w:t>
            </w:r>
          </w:p>
        </w:tc>
        <w:tc>
          <w:tcPr>
            <w:tcW w:w="469" w:type="pct"/>
            <w:noWrap/>
            <w:vAlign w:val="center"/>
          </w:tcPr>
          <w:p w14:paraId="5662F9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11.91</w:t>
            </w:r>
          </w:p>
        </w:tc>
        <w:tc>
          <w:tcPr>
            <w:tcW w:w="407" w:type="pct"/>
            <w:noWrap/>
            <w:vAlign w:val="center"/>
          </w:tcPr>
          <w:p w14:paraId="6A2E59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E9F53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266" w:type="pct"/>
            <w:vMerge w:val="restart"/>
            <w:noWrap/>
            <w:vAlign w:val="center"/>
          </w:tcPr>
          <w:p w14:paraId="507F66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49</w:t>
            </w:r>
          </w:p>
        </w:tc>
        <w:tc>
          <w:tcPr>
            <w:tcW w:w="966" w:type="pct"/>
            <w:vMerge w:val="restart"/>
            <w:noWrap/>
            <w:vAlign w:val="center"/>
          </w:tcPr>
          <w:p w14:paraId="562F7A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天佑国际</w:t>
            </w:r>
          </w:p>
        </w:tc>
        <w:tc>
          <w:tcPr>
            <w:tcW w:w="406" w:type="pct"/>
            <w:noWrap/>
            <w:vAlign w:val="center"/>
          </w:tcPr>
          <w:p w14:paraId="220B22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666980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-1.18E-05</w:t>
            </w:r>
          </w:p>
        </w:tc>
        <w:tc>
          <w:tcPr>
            <w:tcW w:w="529" w:type="pct"/>
            <w:noWrap/>
            <w:vAlign w:val="center"/>
          </w:tcPr>
          <w:p w14:paraId="7419B6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7E62FF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46596C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1FA059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18.66</w:t>
            </w:r>
          </w:p>
        </w:tc>
        <w:tc>
          <w:tcPr>
            <w:tcW w:w="407" w:type="pct"/>
            <w:noWrap/>
            <w:vAlign w:val="center"/>
          </w:tcPr>
          <w:p w14:paraId="04BD17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5885C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266" w:type="pct"/>
            <w:vMerge w:val="continue"/>
            <w:noWrap/>
            <w:vAlign w:val="center"/>
          </w:tcPr>
          <w:p w14:paraId="55CC11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1D0F04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4C1F0B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246E55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-1.40E-04</w:t>
            </w:r>
          </w:p>
        </w:tc>
        <w:tc>
          <w:tcPr>
            <w:tcW w:w="529" w:type="pct"/>
            <w:noWrap/>
            <w:vAlign w:val="center"/>
          </w:tcPr>
          <w:p w14:paraId="5B6DEE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0981A9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38E69A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7.02E-03</w:t>
            </w:r>
          </w:p>
        </w:tc>
        <w:tc>
          <w:tcPr>
            <w:tcW w:w="469" w:type="pct"/>
            <w:noWrap/>
            <w:vAlign w:val="center"/>
          </w:tcPr>
          <w:p w14:paraId="14E322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11.69</w:t>
            </w:r>
          </w:p>
        </w:tc>
        <w:tc>
          <w:tcPr>
            <w:tcW w:w="407" w:type="pct"/>
            <w:noWrap/>
            <w:vAlign w:val="center"/>
          </w:tcPr>
          <w:p w14:paraId="26F3F8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BB0CD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266" w:type="pct"/>
            <w:vMerge w:val="restart"/>
            <w:noWrap/>
            <w:vAlign w:val="center"/>
          </w:tcPr>
          <w:p w14:paraId="28DB19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50</w:t>
            </w:r>
          </w:p>
        </w:tc>
        <w:tc>
          <w:tcPr>
            <w:tcW w:w="966" w:type="pct"/>
            <w:vMerge w:val="restart"/>
            <w:noWrap/>
            <w:vAlign w:val="center"/>
          </w:tcPr>
          <w:p w14:paraId="45172E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前进社区</w:t>
            </w:r>
          </w:p>
        </w:tc>
        <w:tc>
          <w:tcPr>
            <w:tcW w:w="406" w:type="pct"/>
            <w:noWrap/>
            <w:vAlign w:val="center"/>
          </w:tcPr>
          <w:p w14:paraId="7A486C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1993C1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28BA18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1536D9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14EAD7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451022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099B55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F542D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266" w:type="pct"/>
            <w:vMerge w:val="continue"/>
            <w:noWrap/>
            <w:vAlign w:val="center"/>
          </w:tcPr>
          <w:p w14:paraId="57089B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55D7A88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5593BF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42D458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-3.99E-05</w:t>
            </w:r>
          </w:p>
        </w:tc>
        <w:tc>
          <w:tcPr>
            <w:tcW w:w="529" w:type="pct"/>
            <w:noWrap/>
            <w:vAlign w:val="center"/>
          </w:tcPr>
          <w:p w14:paraId="123140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0689C9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5F411D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7.12E-03</w:t>
            </w:r>
          </w:p>
        </w:tc>
        <w:tc>
          <w:tcPr>
            <w:tcW w:w="469" w:type="pct"/>
            <w:noWrap/>
            <w:vAlign w:val="center"/>
          </w:tcPr>
          <w:p w14:paraId="536236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11.86</w:t>
            </w:r>
          </w:p>
        </w:tc>
        <w:tc>
          <w:tcPr>
            <w:tcW w:w="407" w:type="pct"/>
            <w:noWrap/>
            <w:vAlign w:val="center"/>
          </w:tcPr>
          <w:p w14:paraId="63EEF9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23254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266" w:type="pct"/>
            <w:vMerge w:val="restart"/>
            <w:noWrap/>
            <w:vAlign w:val="center"/>
          </w:tcPr>
          <w:p w14:paraId="38E9DC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51</w:t>
            </w:r>
          </w:p>
        </w:tc>
        <w:tc>
          <w:tcPr>
            <w:tcW w:w="966" w:type="pct"/>
            <w:vMerge w:val="restart"/>
            <w:noWrap/>
            <w:vAlign w:val="center"/>
          </w:tcPr>
          <w:p w14:paraId="0E4498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幸福家园</w:t>
            </w:r>
          </w:p>
        </w:tc>
        <w:tc>
          <w:tcPr>
            <w:tcW w:w="406" w:type="pct"/>
            <w:noWrap/>
            <w:vAlign w:val="center"/>
          </w:tcPr>
          <w:p w14:paraId="3B5D7C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7DB809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-8.43E-05</w:t>
            </w:r>
          </w:p>
        </w:tc>
        <w:tc>
          <w:tcPr>
            <w:tcW w:w="529" w:type="pct"/>
            <w:noWrap/>
            <w:vAlign w:val="center"/>
          </w:tcPr>
          <w:p w14:paraId="6AB2A0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499834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7929A1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2.79E-02</w:t>
            </w:r>
          </w:p>
        </w:tc>
        <w:tc>
          <w:tcPr>
            <w:tcW w:w="469" w:type="pct"/>
            <w:noWrap/>
            <w:vAlign w:val="center"/>
          </w:tcPr>
          <w:p w14:paraId="1A6CC8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18.61</w:t>
            </w:r>
          </w:p>
        </w:tc>
        <w:tc>
          <w:tcPr>
            <w:tcW w:w="407" w:type="pct"/>
            <w:noWrap/>
            <w:vAlign w:val="center"/>
          </w:tcPr>
          <w:p w14:paraId="0801B3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77BBA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 w:hRule="atLeast"/>
          <w:jc w:val="center"/>
        </w:trPr>
        <w:tc>
          <w:tcPr>
            <w:tcW w:w="266" w:type="pct"/>
            <w:vMerge w:val="continue"/>
            <w:noWrap/>
            <w:vAlign w:val="center"/>
          </w:tcPr>
          <w:p w14:paraId="7362B8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2A3D6B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601EF7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2EECC0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-1.66E-04</w:t>
            </w:r>
          </w:p>
        </w:tc>
        <w:tc>
          <w:tcPr>
            <w:tcW w:w="529" w:type="pct"/>
            <w:noWrap/>
            <w:vAlign w:val="center"/>
          </w:tcPr>
          <w:p w14:paraId="1AE33A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3A03EC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48FDBC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6.99E-03</w:t>
            </w:r>
          </w:p>
        </w:tc>
        <w:tc>
          <w:tcPr>
            <w:tcW w:w="469" w:type="pct"/>
            <w:noWrap/>
            <w:vAlign w:val="center"/>
          </w:tcPr>
          <w:p w14:paraId="26897E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11.65</w:t>
            </w:r>
          </w:p>
        </w:tc>
        <w:tc>
          <w:tcPr>
            <w:tcW w:w="407" w:type="pct"/>
            <w:noWrap/>
            <w:vAlign w:val="center"/>
          </w:tcPr>
          <w:p w14:paraId="0F1282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C53FD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0" w:hRule="atLeast"/>
          <w:jc w:val="center"/>
        </w:trPr>
        <w:tc>
          <w:tcPr>
            <w:tcW w:w="266" w:type="pct"/>
            <w:vMerge w:val="restart"/>
            <w:noWrap/>
            <w:vAlign w:val="center"/>
          </w:tcPr>
          <w:p w14:paraId="200DD7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52</w:t>
            </w:r>
          </w:p>
        </w:tc>
        <w:tc>
          <w:tcPr>
            <w:tcW w:w="966" w:type="pct"/>
            <w:vMerge w:val="restart"/>
            <w:noWrap/>
            <w:vAlign w:val="center"/>
          </w:tcPr>
          <w:p w14:paraId="1D32F8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盛世嘉园</w:t>
            </w:r>
          </w:p>
        </w:tc>
        <w:tc>
          <w:tcPr>
            <w:tcW w:w="406" w:type="pct"/>
            <w:noWrap/>
            <w:vAlign w:val="center"/>
          </w:tcPr>
          <w:p w14:paraId="233FA0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1683EE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2ACB99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5A4C1A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36AE1D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18C15A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1BCCC6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23600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266" w:type="pct"/>
            <w:vMerge w:val="continue"/>
            <w:noWrap/>
            <w:vAlign w:val="center"/>
          </w:tcPr>
          <w:p w14:paraId="2C8F74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0F7524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00FCB7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588276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-8.01E-05</w:t>
            </w:r>
          </w:p>
        </w:tc>
        <w:tc>
          <w:tcPr>
            <w:tcW w:w="529" w:type="pct"/>
            <w:noWrap/>
            <w:vAlign w:val="center"/>
          </w:tcPr>
          <w:p w14:paraId="43F09C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35CAC5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6B1EA2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7.08E-03</w:t>
            </w:r>
          </w:p>
        </w:tc>
        <w:tc>
          <w:tcPr>
            <w:tcW w:w="469" w:type="pct"/>
            <w:noWrap/>
            <w:vAlign w:val="center"/>
          </w:tcPr>
          <w:p w14:paraId="52E198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11.79</w:t>
            </w:r>
          </w:p>
        </w:tc>
        <w:tc>
          <w:tcPr>
            <w:tcW w:w="407" w:type="pct"/>
            <w:noWrap/>
            <w:vAlign w:val="center"/>
          </w:tcPr>
          <w:p w14:paraId="6FC583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9C955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266" w:type="pct"/>
            <w:vMerge w:val="restart"/>
            <w:noWrap/>
            <w:vAlign w:val="center"/>
          </w:tcPr>
          <w:p w14:paraId="61B2C3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53</w:t>
            </w:r>
          </w:p>
        </w:tc>
        <w:tc>
          <w:tcPr>
            <w:tcW w:w="966" w:type="pct"/>
            <w:vMerge w:val="restart"/>
            <w:noWrap/>
            <w:vAlign w:val="center"/>
          </w:tcPr>
          <w:p w14:paraId="7CA12D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兄弟花园</w:t>
            </w:r>
          </w:p>
        </w:tc>
        <w:tc>
          <w:tcPr>
            <w:tcW w:w="406" w:type="pct"/>
            <w:noWrap/>
            <w:vAlign w:val="center"/>
          </w:tcPr>
          <w:p w14:paraId="6B1AD7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339A50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4EDDE7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12E54D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380AF5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281268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70A016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D629F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266" w:type="pct"/>
            <w:vMerge w:val="continue"/>
            <w:noWrap/>
            <w:vAlign w:val="center"/>
          </w:tcPr>
          <w:p w14:paraId="45CE9C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14E44F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019D09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6BE937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-5.72E-05</w:t>
            </w:r>
          </w:p>
        </w:tc>
        <w:tc>
          <w:tcPr>
            <w:tcW w:w="529" w:type="pct"/>
            <w:noWrap/>
            <w:vAlign w:val="center"/>
          </w:tcPr>
          <w:p w14:paraId="248043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06AFCF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571EE0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7.10E-03</w:t>
            </w:r>
          </w:p>
        </w:tc>
        <w:tc>
          <w:tcPr>
            <w:tcW w:w="469" w:type="pct"/>
            <w:noWrap/>
            <w:vAlign w:val="center"/>
          </w:tcPr>
          <w:p w14:paraId="713ED1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11.83</w:t>
            </w:r>
          </w:p>
        </w:tc>
        <w:tc>
          <w:tcPr>
            <w:tcW w:w="407" w:type="pct"/>
            <w:noWrap/>
            <w:vAlign w:val="center"/>
          </w:tcPr>
          <w:p w14:paraId="62D60D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A5E69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266" w:type="pct"/>
            <w:vMerge w:val="restart"/>
            <w:noWrap/>
            <w:vAlign w:val="center"/>
          </w:tcPr>
          <w:p w14:paraId="1A16DF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54</w:t>
            </w:r>
          </w:p>
        </w:tc>
        <w:tc>
          <w:tcPr>
            <w:tcW w:w="966" w:type="pct"/>
            <w:vMerge w:val="restart"/>
            <w:noWrap/>
            <w:vAlign w:val="center"/>
          </w:tcPr>
          <w:p w14:paraId="1416B0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同福嘉园</w:t>
            </w:r>
          </w:p>
        </w:tc>
        <w:tc>
          <w:tcPr>
            <w:tcW w:w="406" w:type="pct"/>
            <w:noWrap/>
            <w:vAlign w:val="center"/>
          </w:tcPr>
          <w:p w14:paraId="37ECE1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65A877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13A3A8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2093E9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76D782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529D32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3A35E0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90F58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66" w:type="pct"/>
            <w:vMerge w:val="continue"/>
            <w:noWrap/>
            <w:vAlign w:val="center"/>
          </w:tcPr>
          <w:p w14:paraId="00D8A5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54C1FF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217E6A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5DCCE5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-5.16E-05</w:t>
            </w:r>
          </w:p>
        </w:tc>
        <w:tc>
          <w:tcPr>
            <w:tcW w:w="529" w:type="pct"/>
            <w:noWrap/>
            <w:vAlign w:val="center"/>
          </w:tcPr>
          <w:p w14:paraId="5CE756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6E0BF4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4CFF8A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7.10E-03</w:t>
            </w:r>
          </w:p>
        </w:tc>
        <w:tc>
          <w:tcPr>
            <w:tcW w:w="469" w:type="pct"/>
            <w:noWrap/>
            <w:vAlign w:val="center"/>
          </w:tcPr>
          <w:p w14:paraId="2C1330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11.84</w:t>
            </w:r>
          </w:p>
        </w:tc>
        <w:tc>
          <w:tcPr>
            <w:tcW w:w="407" w:type="pct"/>
            <w:noWrap/>
            <w:vAlign w:val="center"/>
          </w:tcPr>
          <w:p w14:paraId="557820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60286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266" w:type="pct"/>
            <w:vMerge w:val="restart"/>
            <w:noWrap/>
            <w:vAlign w:val="center"/>
          </w:tcPr>
          <w:p w14:paraId="51F299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55</w:t>
            </w:r>
          </w:p>
        </w:tc>
        <w:tc>
          <w:tcPr>
            <w:tcW w:w="966" w:type="pct"/>
            <w:vMerge w:val="restart"/>
            <w:noWrap/>
            <w:vAlign w:val="center"/>
          </w:tcPr>
          <w:p w14:paraId="796E78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富邦名苑</w:t>
            </w:r>
          </w:p>
        </w:tc>
        <w:tc>
          <w:tcPr>
            <w:tcW w:w="406" w:type="pct"/>
            <w:noWrap/>
            <w:vAlign w:val="center"/>
          </w:tcPr>
          <w:p w14:paraId="6D8DFF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1E548B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3765F6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1EFB87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5E2F20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667401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7941D8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659C1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jc w:val="center"/>
        </w:trPr>
        <w:tc>
          <w:tcPr>
            <w:tcW w:w="266" w:type="pct"/>
            <w:vMerge w:val="continue"/>
            <w:noWrap/>
            <w:vAlign w:val="center"/>
          </w:tcPr>
          <w:p w14:paraId="32BFBC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57E617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72395E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2F0AA7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-3.29E-05</w:t>
            </w:r>
          </w:p>
        </w:tc>
        <w:tc>
          <w:tcPr>
            <w:tcW w:w="529" w:type="pct"/>
            <w:noWrap/>
            <w:vAlign w:val="center"/>
          </w:tcPr>
          <w:p w14:paraId="588061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5F5998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764F66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7.12E-03</w:t>
            </w:r>
          </w:p>
        </w:tc>
        <w:tc>
          <w:tcPr>
            <w:tcW w:w="469" w:type="pct"/>
            <w:noWrap/>
            <w:vAlign w:val="center"/>
          </w:tcPr>
          <w:p w14:paraId="2EF835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11.87</w:t>
            </w:r>
          </w:p>
        </w:tc>
        <w:tc>
          <w:tcPr>
            <w:tcW w:w="407" w:type="pct"/>
            <w:noWrap/>
            <w:vAlign w:val="center"/>
          </w:tcPr>
          <w:p w14:paraId="762B72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19D0E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266" w:type="pct"/>
            <w:vMerge w:val="restart"/>
            <w:noWrap/>
            <w:vAlign w:val="center"/>
          </w:tcPr>
          <w:p w14:paraId="4E90F4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56</w:t>
            </w:r>
          </w:p>
        </w:tc>
        <w:tc>
          <w:tcPr>
            <w:tcW w:w="966" w:type="pct"/>
            <w:vMerge w:val="restart"/>
            <w:noWrap/>
            <w:vAlign w:val="center"/>
          </w:tcPr>
          <w:p w14:paraId="3FE66B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龙海世纪大酒店</w:t>
            </w:r>
          </w:p>
        </w:tc>
        <w:tc>
          <w:tcPr>
            <w:tcW w:w="406" w:type="pct"/>
            <w:noWrap/>
            <w:vAlign w:val="center"/>
          </w:tcPr>
          <w:p w14:paraId="69D60A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2EEB53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153C4A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369DDB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0018AD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738793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404B4D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0B00D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266" w:type="pct"/>
            <w:vMerge w:val="continue"/>
            <w:noWrap/>
            <w:vAlign w:val="center"/>
          </w:tcPr>
          <w:p w14:paraId="392CDC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201374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64E5D7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305406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-3.15E-05</w:t>
            </w:r>
          </w:p>
        </w:tc>
        <w:tc>
          <w:tcPr>
            <w:tcW w:w="529" w:type="pct"/>
            <w:noWrap/>
            <w:vAlign w:val="center"/>
          </w:tcPr>
          <w:p w14:paraId="16CCB6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2E4780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2AC43F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7.12E-03</w:t>
            </w:r>
          </w:p>
        </w:tc>
        <w:tc>
          <w:tcPr>
            <w:tcW w:w="469" w:type="pct"/>
            <w:noWrap/>
            <w:vAlign w:val="center"/>
          </w:tcPr>
          <w:p w14:paraId="756727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11.87</w:t>
            </w:r>
          </w:p>
        </w:tc>
        <w:tc>
          <w:tcPr>
            <w:tcW w:w="407" w:type="pct"/>
            <w:noWrap/>
            <w:vAlign w:val="center"/>
          </w:tcPr>
          <w:p w14:paraId="54E319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5CE6C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266" w:type="pct"/>
            <w:vMerge w:val="restart"/>
            <w:noWrap/>
            <w:vAlign w:val="center"/>
          </w:tcPr>
          <w:p w14:paraId="316061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57</w:t>
            </w:r>
          </w:p>
        </w:tc>
        <w:tc>
          <w:tcPr>
            <w:tcW w:w="966" w:type="pct"/>
            <w:vMerge w:val="restart"/>
            <w:noWrap/>
            <w:vAlign w:val="center"/>
          </w:tcPr>
          <w:p w14:paraId="3726C2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供电小区</w:t>
            </w:r>
          </w:p>
        </w:tc>
        <w:tc>
          <w:tcPr>
            <w:tcW w:w="406" w:type="pct"/>
            <w:noWrap/>
            <w:vAlign w:val="center"/>
          </w:tcPr>
          <w:p w14:paraId="0E9786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4EC442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389644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128415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0505A6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3632B2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14A613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D2244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266" w:type="pct"/>
            <w:vMerge w:val="continue"/>
            <w:noWrap/>
            <w:vAlign w:val="center"/>
          </w:tcPr>
          <w:p w14:paraId="3080FB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7AC45C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1D14CA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419755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-4.31E-05</w:t>
            </w:r>
          </w:p>
        </w:tc>
        <w:tc>
          <w:tcPr>
            <w:tcW w:w="529" w:type="pct"/>
            <w:noWrap/>
            <w:vAlign w:val="center"/>
          </w:tcPr>
          <w:p w14:paraId="75D5E5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61DF59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1661E7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7.11E-03</w:t>
            </w:r>
          </w:p>
        </w:tc>
        <w:tc>
          <w:tcPr>
            <w:tcW w:w="469" w:type="pct"/>
            <w:noWrap/>
            <w:vAlign w:val="center"/>
          </w:tcPr>
          <w:p w14:paraId="3F3959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11.86</w:t>
            </w:r>
          </w:p>
        </w:tc>
        <w:tc>
          <w:tcPr>
            <w:tcW w:w="407" w:type="pct"/>
            <w:noWrap/>
            <w:vAlign w:val="center"/>
          </w:tcPr>
          <w:p w14:paraId="658765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39ED4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266" w:type="pct"/>
            <w:vMerge w:val="restart"/>
            <w:noWrap/>
            <w:vAlign w:val="center"/>
          </w:tcPr>
          <w:p w14:paraId="0C69B4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58</w:t>
            </w:r>
          </w:p>
        </w:tc>
        <w:tc>
          <w:tcPr>
            <w:tcW w:w="966" w:type="pct"/>
            <w:vMerge w:val="restart"/>
            <w:noWrap/>
            <w:vAlign w:val="center"/>
          </w:tcPr>
          <w:p w14:paraId="288E7D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九鹤堂医院</w:t>
            </w:r>
          </w:p>
        </w:tc>
        <w:tc>
          <w:tcPr>
            <w:tcW w:w="406" w:type="pct"/>
            <w:noWrap/>
            <w:vAlign w:val="center"/>
          </w:tcPr>
          <w:p w14:paraId="1EE105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1056BF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-2.99E-07</w:t>
            </w:r>
          </w:p>
        </w:tc>
        <w:tc>
          <w:tcPr>
            <w:tcW w:w="529" w:type="pct"/>
            <w:noWrap/>
            <w:vAlign w:val="center"/>
          </w:tcPr>
          <w:p w14:paraId="41EB27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11B96C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3CEB36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31DE17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4F31DA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4E713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266" w:type="pct"/>
            <w:vMerge w:val="continue"/>
            <w:noWrap/>
            <w:vAlign w:val="center"/>
          </w:tcPr>
          <w:p w14:paraId="115AF7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41DB14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4CDE38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07F324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-1.02E-04</w:t>
            </w:r>
          </w:p>
        </w:tc>
        <w:tc>
          <w:tcPr>
            <w:tcW w:w="529" w:type="pct"/>
            <w:noWrap/>
            <w:vAlign w:val="center"/>
          </w:tcPr>
          <w:p w14:paraId="5555E7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43BBD4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487B24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7.05E-03</w:t>
            </w:r>
          </w:p>
        </w:tc>
        <w:tc>
          <w:tcPr>
            <w:tcW w:w="469" w:type="pct"/>
            <w:noWrap/>
            <w:vAlign w:val="center"/>
          </w:tcPr>
          <w:p w14:paraId="20FA67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11.76</w:t>
            </w:r>
          </w:p>
        </w:tc>
        <w:tc>
          <w:tcPr>
            <w:tcW w:w="407" w:type="pct"/>
            <w:noWrap/>
            <w:vAlign w:val="center"/>
          </w:tcPr>
          <w:p w14:paraId="3702D3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C2D73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266" w:type="pct"/>
            <w:vMerge w:val="restart"/>
            <w:noWrap/>
            <w:vAlign w:val="center"/>
          </w:tcPr>
          <w:p w14:paraId="2ABAE5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59</w:t>
            </w:r>
          </w:p>
        </w:tc>
        <w:tc>
          <w:tcPr>
            <w:tcW w:w="966" w:type="pct"/>
            <w:vMerge w:val="restart"/>
            <w:noWrap/>
            <w:vAlign w:val="center"/>
          </w:tcPr>
          <w:p w14:paraId="5F8972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颐民敬老院卫生所</w:t>
            </w:r>
          </w:p>
        </w:tc>
        <w:tc>
          <w:tcPr>
            <w:tcW w:w="406" w:type="pct"/>
            <w:noWrap/>
            <w:vAlign w:val="center"/>
          </w:tcPr>
          <w:p w14:paraId="623974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29B9DA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-2.29E-08</w:t>
            </w:r>
          </w:p>
        </w:tc>
        <w:tc>
          <w:tcPr>
            <w:tcW w:w="529" w:type="pct"/>
            <w:noWrap/>
            <w:vAlign w:val="center"/>
          </w:tcPr>
          <w:p w14:paraId="245EE0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54A565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7FA265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3DAEAC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06B1B2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2FE75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266" w:type="pct"/>
            <w:vMerge w:val="continue"/>
            <w:noWrap/>
            <w:vAlign w:val="center"/>
          </w:tcPr>
          <w:p w14:paraId="1F8734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7DD7AA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0DACB8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595255C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-6.00E-05</w:t>
            </w:r>
          </w:p>
        </w:tc>
        <w:tc>
          <w:tcPr>
            <w:tcW w:w="529" w:type="pct"/>
            <w:noWrap/>
            <w:vAlign w:val="center"/>
          </w:tcPr>
          <w:p w14:paraId="58F99F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6C2D09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4D84F5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7.10E-03</w:t>
            </w:r>
          </w:p>
        </w:tc>
        <w:tc>
          <w:tcPr>
            <w:tcW w:w="469" w:type="pct"/>
            <w:noWrap/>
            <w:vAlign w:val="center"/>
          </w:tcPr>
          <w:p w14:paraId="5199E9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11.83</w:t>
            </w:r>
          </w:p>
        </w:tc>
        <w:tc>
          <w:tcPr>
            <w:tcW w:w="407" w:type="pct"/>
            <w:noWrap/>
            <w:vAlign w:val="center"/>
          </w:tcPr>
          <w:p w14:paraId="17D2DE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D8713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266" w:type="pct"/>
            <w:vMerge w:val="restart"/>
            <w:noWrap/>
            <w:vAlign w:val="center"/>
          </w:tcPr>
          <w:p w14:paraId="5DAA7E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60</w:t>
            </w:r>
          </w:p>
        </w:tc>
        <w:tc>
          <w:tcPr>
            <w:tcW w:w="966" w:type="pct"/>
            <w:vMerge w:val="restart"/>
            <w:noWrap/>
            <w:vAlign w:val="center"/>
          </w:tcPr>
          <w:p w14:paraId="788327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绥芬河市中医医院</w:t>
            </w:r>
          </w:p>
        </w:tc>
        <w:tc>
          <w:tcPr>
            <w:tcW w:w="406" w:type="pct"/>
            <w:noWrap/>
            <w:vAlign w:val="center"/>
          </w:tcPr>
          <w:p w14:paraId="2CA3D7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18A9F1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53B733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722316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5FC36F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337596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482D8E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59E87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266" w:type="pct"/>
            <w:vMerge w:val="continue"/>
            <w:noWrap/>
            <w:vAlign w:val="center"/>
          </w:tcPr>
          <w:p w14:paraId="6AA30D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517B5F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0C5DA5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0048EC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-1.62E-05</w:t>
            </w:r>
          </w:p>
        </w:tc>
        <w:tc>
          <w:tcPr>
            <w:tcW w:w="529" w:type="pct"/>
            <w:noWrap/>
            <w:vAlign w:val="center"/>
          </w:tcPr>
          <w:p w14:paraId="1AE80A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07A84C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3DB7AC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7.14E-03</w:t>
            </w:r>
          </w:p>
        </w:tc>
        <w:tc>
          <w:tcPr>
            <w:tcW w:w="469" w:type="pct"/>
            <w:noWrap/>
            <w:vAlign w:val="center"/>
          </w:tcPr>
          <w:p w14:paraId="005ED3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11.90</w:t>
            </w:r>
          </w:p>
        </w:tc>
        <w:tc>
          <w:tcPr>
            <w:tcW w:w="407" w:type="pct"/>
            <w:noWrap/>
            <w:vAlign w:val="center"/>
          </w:tcPr>
          <w:p w14:paraId="0AE185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FBC07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266" w:type="pct"/>
            <w:vMerge w:val="restart"/>
            <w:noWrap/>
            <w:vAlign w:val="center"/>
          </w:tcPr>
          <w:p w14:paraId="7015C2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w:t>
            </w:r>
          </w:p>
        </w:tc>
        <w:tc>
          <w:tcPr>
            <w:tcW w:w="966" w:type="pct"/>
            <w:vMerge w:val="restart"/>
            <w:noWrap/>
            <w:vAlign w:val="center"/>
          </w:tcPr>
          <w:p w14:paraId="1240B5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立银医院</w:t>
            </w:r>
          </w:p>
        </w:tc>
        <w:tc>
          <w:tcPr>
            <w:tcW w:w="406" w:type="pct"/>
            <w:noWrap/>
            <w:vAlign w:val="center"/>
          </w:tcPr>
          <w:p w14:paraId="786D6B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257100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-2.69E-06</w:t>
            </w:r>
          </w:p>
        </w:tc>
        <w:tc>
          <w:tcPr>
            <w:tcW w:w="529" w:type="pct"/>
            <w:noWrap/>
            <w:vAlign w:val="center"/>
          </w:tcPr>
          <w:p w14:paraId="3CABC7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00D896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1A1C15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53B798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18.66</w:t>
            </w:r>
          </w:p>
        </w:tc>
        <w:tc>
          <w:tcPr>
            <w:tcW w:w="407" w:type="pct"/>
            <w:noWrap/>
            <w:vAlign w:val="center"/>
          </w:tcPr>
          <w:p w14:paraId="75A64B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D6205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266" w:type="pct"/>
            <w:vMerge w:val="continue"/>
            <w:noWrap/>
            <w:vAlign w:val="center"/>
          </w:tcPr>
          <w:p w14:paraId="2BE1D4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2DC26D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47665E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451764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-7.51E-05</w:t>
            </w:r>
          </w:p>
        </w:tc>
        <w:tc>
          <w:tcPr>
            <w:tcW w:w="529" w:type="pct"/>
            <w:noWrap/>
            <w:vAlign w:val="center"/>
          </w:tcPr>
          <w:p w14:paraId="5730C1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2EEDA8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6EBE54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7.08E-03</w:t>
            </w:r>
          </w:p>
        </w:tc>
        <w:tc>
          <w:tcPr>
            <w:tcW w:w="469" w:type="pct"/>
            <w:noWrap/>
            <w:vAlign w:val="center"/>
          </w:tcPr>
          <w:p w14:paraId="5294F1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11.80</w:t>
            </w:r>
          </w:p>
        </w:tc>
        <w:tc>
          <w:tcPr>
            <w:tcW w:w="407" w:type="pct"/>
            <w:noWrap/>
            <w:vAlign w:val="center"/>
          </w:tcPr>
          <w:p w14:paraId="76F14B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B9EA6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266" w:type="pct"/>
            <w:vMerge w:val="restart"/>
            <w:noWrap/>
            <w:vAlign w:val="center"/>
          </w:tcPr>
          <w:p w14:paraId="45D99C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62</w:t>
            </w:r>
          </w:p>
        </w:tc>
        <w:tc>
          <w:tcPr>
            <w:tcW w:w="966" w:type="pct"/>
            <w:vMerge w:val="restart"/>
            <w:noWrap/>
            <w:vAlign w:val="center"/>
          </w:tcPr>
          <w:p w14:paraId="19D49D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绥芬河市传染病医院</w:t>
            </w:r>
          </w:p>
        </w:tc>
        <w:tc>
          <w:tcPr>
            <w:tcW w:w="406" w:type="pct"/>
            <w:noWrap/>
            <w:vAlign w:val="center"/>
          </w:tcPr>
          <w:p w14:paraId="42111C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242BFA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-8.78E-05</w:t>
            </w:r>
          </w:p>
        </w:tc>
        <w:tc>
          <w:tcPr>
            <w:tcW w:w="529" w:type="pct"/>
            <w:noWrap/>
            <w:vAlign w:val="center"/>
          </w:tcPr>
          <w:p w14:paraId="655A90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77473D8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556E56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2.79E-02</w:t>
            </w:r>
          </w:p>
        </w:tc>
        <w:tc>
          <w:tcPr>
            <w:tcW w:w="469" w:type="pct"/>
            <w:noWrap/>
            <w:vAlign w:val="center"/>
          </w:tcPr>
          <w:p w14:paraId="2AB1BD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18.61</w:t>
            </w:r>
          </w:p>
        </w:tc>
        <w:tc>
          <w:tcPr>
            <w:tcW w:w="407" w:type="pct"/>
            <w:noWrap/>
            <w:vAlign w:val="center"/>
          </w:tcPr>
          <w:p w14:paraId="143CAA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E4390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266" w:type="pct"/>
            <w:vMerge w:val="continue"/>
            <w:noWrap/>
            <w:vAlign w:val="center"/>
          </w:tcPr>
          <w:p w14:paraId="4A20F3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5CB467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767814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77F32E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-9.56E-05</w:t>
            </w:r>
          </w:p>
        </w:tc>
        <w:tc>
          <w:tcPr>
            <w:tcW w:w="529" w:type="pct"/>
            <w:noWrap/>
            <w:vAlign w:val="center"/>
          </w:tcPr>
          <w:p w14:paraId="17AE03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6C8B25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0486A7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7.06E-03</w:t>
            </w:r>
          </w:p>
        </w:tc>
        <w:tc>
          <w:tcPr>
            <w:tcW w:w="469" w:type="pct"/>
            <w:noWrap/>
            <w:vAlign w:val="center"/>
          </w:tcPr>
          <w:p w14:paraId="28E37E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11.77</w:t>
            </w:r>
          </w:p>
        </w:tc>
        <w:tc>
          <w:tcPr>
            <w:tcW w:w="407" w:type="pct"/>
            <w:noWrap/>
            <w:vAlign w:val="center"/>
          </w:tcPr>
          <w:p w14:paraId="566320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3D698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266" w:type="pct"/>
            <w:vMerge w:val="restart"/>
            <w:noWrap/>
            <w:vAlign w:val="center"/>
          </w:tcPr>
          <w:p w14:paraId="229286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63</w:t>
            </w:r>
          </w:p>
        </w:tc>
        <w:tc>
          <w:tcPr>
            <w:tcW w:w="966" w:type="pct"/>
            <w:vMerge w:val="restart"/>
            <w:noWrap/>
            <w:vAlign w:val="center"/>
          </w:tcPr>
          <w:p w14:paraId="6A7911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网格</w:t>
            </w:r>
          </w:p>
        </w:tc>
        <w:tc>
          <w:tcPr>
            <w:tcW w:w="406" w:type="pct"/>
            <w:noWrap/>
            <w:vAlign w:val="center"/>
          </w:tcPr>
          <w:p w14:paraId="1BACC4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51" w:type="pct"/>
            <w:noWrap/>
            <w:vAlign w:val="center"/>
          </w:tcPr>
          <w:p w14:paraId="356401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529" w:type="pct"/>
            <w:noWrap/>
            <w:vAlign w:val="center"/>
          </w:tcPr>
          <w:p w14:paraId="4135EF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240210</w:t>
            </w:r>
          </w:p>
        </w:tc>
        <w:tc>
          <w:tcPr>
            <w:tcW w:w="651" w:type="pct"/>
            <w:noWrap/>
            <w:vAlign w:val="center"/>
          </w:tcPr>
          <w:p w14:paraId="7848268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651" w:type="pct"/>
            <w:noWrap/>
            <w:vAlign w:val="center"/>
          </w:tcPr>
          <w:p w14:paraId="773E67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2.80E-02</w:t>
            </w:r>
          </w:p>
        </w:tc>
        <w:tc>
          <w:tcPr>
            <w:tcW w:w="469" w:type="pct"/>
            <w:noWrap/>
            <w:vAlign w:val="center"/>
          </w:tcPr>
          <w:p w14:paraId="224176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18.67</w:t>
            </w:r>
          </w:p>
        </w:tc>
        <w:tc>
          <w:tcPr>
            <w:tcW w:w="407" w:type="pct"/>
            <w:noWrap/>
            <w:vAlign w:val="center"/>
          </w:tcPr>
          <w:p w14:paraId="56DDD5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DE0B7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266" w:type="pct"/>
            <w:vMerge w:val="continue"/>
            <w:noWrap/>
            <w:vAlign w:val="center"/>
          </w:tcPr>
          <w:p w14:paraId="50E7FD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966" w:type="pct"/>
            <w:vMerge w:val="continue"/>
            <w:noWrap/>
            <w:vAlign w:val="center"/>
          </w:tcPr>
          <w:p w14:paraId="240214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06" w:type="pct"/>
            <w:noWrap/>
            <w:vAlign w:val="center"/>
          </w:tcPr>
          <w:p w14:paraId="58B32D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51" w:type="pct"/>
            <w:noWrap/>
            <w:vAlign w:val="center"/>
          </w:tcPr>
          <w:p w14:paraId="5B885D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-3.24E-06</w:t>
            </w:r>
          </w:p>
        </w:tc>
        <w:tc>
          <w:tcPr>
            <w:tcW w:w="529" w:type="pct"/>
            <w:noWrap/>
            <w:vAlign w:val="center"/>
          </w:tcPr>
          <w:p w14:paraId="15039B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51" w:type="pct"/>
            <w:noWrap/>
            <w:vAlign w:val="center"/>
          </w:tcPr>
          <w:p w14:paraId="0370C0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7.16E-03</w:t>
            </w:r>
          </w:p>
        </w:tc>
        <w:tc>
          <w:tcPr>
            <w:tcW w:w="651" w:type="pct"/>
            <w:noWrap/>
            <w:vAlign w:val="center"/>
          </w:tcPr>
          <w:p w14:paraId="00C7B7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7.15E-03</w:t>
            </w:r>
          </w:p>
        </w:tc>
        <w:tc>
          <w:tcPr>
            <w:tcW w:w="469" w:type="pct"/>
            <w:noWrap/>
            <w:vAlign w:val="center"/>
          </w:tcPr>
          <w:p w14:paraId="5F7264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11.92</w:t>
            </w:r>
          </w:p>
        </w:tc>
        <w:tc>
          <w:tcPr>
            <w:tcW w:w="407" w:type="pct"/>
            <w:noWrap/>
            <w:vAlign w:val="center"/>
          </w:tcPr>
          <w:p w14:paraId="79D53A8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bl>
    <w:p w14:paraId="316D5DD0">
      <w:pPr>
        <w:ind w:firstLine="0" w:firstLineChars="0"/>
        <w:rPr>
          <w:rFonts w:ascii="Times New Roman" w:hAnsi="Times New Roman"/>
          <w:color w:val="auto"/>
          <w:sz w:val="21"/>
          <w:highlight w:val="none"/>
        </w:rPr>
      </w:pPr>
      <w:r>
        <w:rPr>
          <w:rFonts w:ascii="Times New Roman" w:hAnsi="Times New Roman"/>
          <w:color w:val="auto"/>
          <w:sz w:val="21"/>
          <w:highlight w:val="none"/>
        </w:rPr>
        <w:t>注：叠加浓度=本项目贡献浓度-区域削减污染源+</w:t>
      </w:r>
      <w:r>
        <w:rPr>
          <w:rFonts w:hint="eastAsia" w:ascii="Times New Roman" w:hAnsi="Times New Roman"/>
          <w:color w:val="auto"/>
          <w:sz w:val="21"/>
          <w:highlight w:val="none"/>
        </w:rPr>
        <w:t>拟在建</w:t>
      </w:r>
      <w:r>
        <w:rPr>
          <w:rFonts w:ascii="Times New Roman" w:hAnsi="Times New Roman"/>
          <w:color w:val="auto"/>
          <w:sz w:val="21"/>
          <w:highlight w:val="none"/>
        </w:rPr>
        <w:t>污染源</w:t>
      </w:r>
      <w:r>
        <w:rPr>
          <w:rFonts w:hint="eastAsia" w:ascii="Times New Roman" w:hAnsi="Times New Roman"/>
          <w:color w:val="auto"/>
          <w:sz w:val="21"/>
          <w:highlight w:val="none"/>
        </w:rPr>
        <w:t>+</w:t>
      </w:r>
      <w:r>
        <w:rPr>
          <w:rFonts w:ascii="Times New Roman" w:hAnsi="Times New Roman"/>
          <w:color w:val="auto"/>
          <w:sz w:val="21"/>
          <w:highlight w:val="none"/>
        </w:rPr>
        <w:t>背景浓度</w:t>
      </w:r>
    </w:p>
    <w:p w14:paraId="2B761923">
      <w:pPr>
        <w:ind w:left="0" w:leftChars="0" w:firstLine="0" w:firstLineChars="0"/>
        <w:jc w:val="center"/>
        <w:rPr>
          <w:rFonts w:ascii="Times New Roman" w:hAnsi="Times New Roman"/>
          <w:color w:val="auto"/>
          <w:highlight w:val="none"/>
        </w:rPr>
      </w:pPr>
      <w:r>
        <w:rPr>
          <w:highlight w:val="none"/>
        </w:rPr>
        <w:drawing>
          <wp:inline distT="0" distB="0" distL="114300" distR="114300">
            <wp:extent cx="5271770" cy="2611120"/>
            <wp:effectExtent l="0" t="0" r="5080" b="17780"/>
            <wp:docPr id="8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5"/>
                    <pic:cNvPicPr>
                      <a:picLocks noChangeAspect="1"/>
                    </pic:cNvPicPr>
                  </pic:nvPicPr>
                  <pic:blipFill>
                    <a:blip r:embed="rId41"/>
                    <a:stretch>
                      <a:fillRect/>
                    </a:stretch>
                  </pic:blipFill>
                  <pic:spPr>
                    <a:xfrm>
                      <a:off x="0" y="0"/>
                      <a:ext cx="5271770" cy="2611120"/>
                    </a:xfrm>
                    <a:prstGeom prst="rect">
                      <a:avLst/>
                    </a:prstGeom>
                    <a:noFill/>
                    <a:ln>
                      <a:noFill/>
                    </a:ln>
                  </pic:spPr>
                </pic:pic>
              </a:graphicData>
            </a:graphic>
          </wp:inline>
        </w:drawing>
      </w:r>
    </w:p>
    <w:p w14:paraId="6AC49372">
      <w:pPr>
        <w:ind w:left="0" w:leftChars="0" w:firstLine="0" w:firstLineChars="0"/>
        <w:jc w:val="center"/>
        <w:rPr>
          <w:rFonts w:hint="eastAsia" w:ascii="Times New Roman" w:hAnsi="Times New Roman"/>
          <w:color w:val="auto"/>
          <w:highlight w:val="none"/>
        </w:rPr>
      </w:pPr>
      <w:r>
        <w:rPr>
          <w:rFonts w:hint="eastAsia" w:ascii="黑体" w:hAnsi="黑体" w:eastAsia="黑体" w:cs="黑体"/>
          <w:color w:val="auto"/>
          <w:highlight w:val="none"/>
        </w:rPr>
        <w:t>图</w:t>
      </w:r>
      <w:r>
        <w:rPr>
          <w:rFonts w:hint="eastAsia" w:ascii="Times New Roman" w:hAnsi="Times New Roman"/>
          <w:color w:val="auto"/>
          <w:highlight w:val="none"/>
        </w:rPr>
        <w:t>5</w:t>
      </w:r>
      <w:r>
        <w:rPr>
          <w:rFonts w:hint="eastAsia" w:ascii="Times New Roman" w:hAnsi="Times New Roman"/>
          <w:color w:val="auto"/>
          <w:highlight w:val="none"/>
          <w:lang w:val="en-US" w:eastAsia="zh-CN"/>
        </w:rPr>
        <w:t>.</w:t>
      </w:r>
      <w:r>
        <w:rPr>
          <w:rFonts w:hint="eastAsia" w:ascii="Times New Roman" w:hAnsi="Times New Roman"/>
          <w:color w:val="auto"/>
          <w:highlight w:val="none"/>
        </w:rPr>
        <w:t>2-</w:t>
      </w:r>
      <w:r>
        <w:rPr>
          <w:rFonts w:hint="eastAsia" w:ascii="Times New Roman" w:hAnsi="Times New Roman"/>
          <w:color w:val="auto"/>
          <w:highlight w:val="none"/>
          <w:lang w:val="en-US" w:eastAsia="zh-CN"/>
        </w:rPr>
        <w:t>1</w:t>
      </w:r>
      <w:r>
        <w:rPr>
          <w:rFonts w:hint="eastAsia" w:ascii="黑体" w:hAnsi="黑体" w:eastAsia="黑体" w:cs="黑体"/>
          <w:color w:val="auto"/>
          <w:highlight w:val="none"/>
        </w:rPr>
        <w:t>本项目</w:t>
      </w:r>
      <w:r>
        <w:rPr>
          <w:rFonts w:hint="eastAsia" w:ascii="Times New Roman" w:hAnsi="Times New Roman"/>
          <w:color w:val="auto"/>
          <w:highlight w:val="none"/>
        </w:rPr>
        <w:t>SO</w:t>
      </w:r>
      <w:r>
        <w:rPr>
          <w:rFonts w:hint="eastAsia" w:ascii="Times New Roman" w:hAnsi="Times New Roman"/>
          <w:color w:val="auto"/>
          <w:highlight w:val="none"/>
          <w:vertAlign w:val="subscript"/>
        </w:rPr>
        <w:t>2</w:t>
      </w:r>
      <w:r>
        <w:rPr>
          <w:rFonts w:hint="eastAsia" w:ascii="黑体" w:hAnsi="黑体" w:eastAsia="黑体" w:cs="黑体"/>
          <w:color w:val="auto"/>
          <w:highlight w:val="none"/>
        </w:rPr>
        <w:t>保证率日平均质量浓度分布图</w:t>
      </w:r>
      <w:r>
        <w:rPr>
          <w:rFonts w:hint="eastAsia" w:ascii="Times New Roman" w:hAnsi="Times New Roman"/>
          <w:color w:val="auto"/>
          <w:highlight w:val="none"/>
        </w:rPr>
        <w:t>（</w:t>
      </w:r>
      <w:r>
        <w:rPr>
          <w:rFonts w:hint="eastAsia" w:ascii="Times New Roman" w:hAnsi="Times New Roman"/>
          <w:color w:val="auto"/>
          <w:highlight w:val="none"/>
          <w:lang w:val="en-US" w:eastAsia="zh-CN"/>
        </w:rPr>
        <w:t>m</w:t>
      </w:r>
      <w:r>
        <w:rPr>
          <w:rFonts w:hint="eastAsia" w:ascii="Times New Roman" w:hAnsi="Times New Roman"/>
          <w:color w:val="auto"/>
          <w:highlight w:val="none"/>
        </w:rPr>
        <w:t>g/m</w:t>
      </w:r>
      <w:r>
        <w:rPr>
          <w:rFonts w:hint="eastAsia" w:ascii="Times New Roman" w:hAnsi="Times New Roman"/>
          <w:color w:val="auto"/>
          <w:highlight w:val="none"/>
          <w:vertAlign w:val="superscript"/>
        </w:rPr>
        <w:t>3</w:t>
      </w:r>
      <w:r>
        <w:rPr>
          <w:rFonts w:hint="eastAsia" w:ascii="Times New Roman" w:hAnsi="Times New Roman"/>
          <w:color w:val="auto"/>
          <w:highlight w:val="none"/>
        </w:rPr>
        <w:t>）</w:t>
      </w:r>
    </w:p>
    <w:p w14:paraId="298DBB90">
      <w:pPr>
        <w:pStyle w:val="15"/>
        <w:ind w:left="0" w:leftChars="0" w:firstLine="0" w:firstLineChars="0"/>
        <w:jc w:val="center"/>
        <w:rPr>
          <w:color w:val="auto"/>
          <w:highlight w:val="none"/>
        </w:rPr>
      </w:pPr>
      <w:r>
        <w:rPr>
          <w:highlight w:val="none"/>
        </w:rPr>
        <w:drawing>
          <wp:inline distT="0" distB="0" distL="114300" distR="114300">
            <wp:extent cx="5269865" cy="2736215"/>
            <wp:effectExtent l="0" t="0" r="6985" b="6985"/>
            <wp:docPr id="8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6"/>
                    <pic:cNvPicPr>
                      <a:picLocks noChangeAspect="1"/>
                    </pic:cNvPicPr>
                  </pic:nvPicPr>
                  <pic:blipFill>
                    <a:blip r:embed="rId42"/>
                    <a:stretch>
                      <a:fillRect/>
                    </a:stretch>
                  </pic:blipFill>
                  <pic:spPr>
                    <a:xfrm>
                      <a:off x="0" y="0"/>
                      <a:ext cx="5269865" cy="2736215"/>
                    </a:xfrm>
                    <a:prstGeom prst="rect">
                      <a:avLst/>
                    </a:prstGeom>
                    <a:noFill/>
                    <a:ln>
                      <a:noFill/>
                    </a:ln>
                  </pic:spPr>
                </pic:pic>
              </a:graphicData>
            </a:graphic>
          </wp:inline>
        </w:drawing>
      </w:r>
    </w:p>
    <w:p w14:paraId="77252567">
      <w:pPr>
        <w:ind w:left="0" w:leftChars="0" w:firstLine="0" w:firstLineChars="0"/>
        <w:jc w:val="center"/>
        <w:rPr>
          <w:color w:val="auto"/>
          <w:highlight w:val="none"/>
        </w:rPr>
      </w:pPr>
      <w:r>
        <w:rPr>
          <w:rFonts w:hint="eastAsia" w:ascii="黑体" w:hAnsi="黑体" w:eastAsia="黑体" w:cs="黑体"/>
          <w:color w:val="auto"/>
          <w:highlight w:val="none"/>
        </w:rPr>
        <w:t>图</w:t>
      </w:r>
      <w:r>
        <w:rPr>
          <w:rFonts w:hint="eastAsia" w:ascii="Times New Roman" w:hAnsi="Times New Roman"/>
          <w:color w:val="auto"/>
          <w:highlight w:val="none"/>
        </w:rPr>
        <w:t>5</w:t>
      </w:r>
      <w:r>
        <w:rPr>
          <w:rFonts w:hint="eastAsia" w:ascii="Times New Roman" w:hAnsi="Times New Roman"/>
          <w:color w:val="auto"/>
          <w:highlight w:val="none"/>
          <w:lang w:val="en-US" w:eastAsia="zh-CN"/>
        </w:rPr>
        <w:t>.</w:t>
      </w:r>
      <w:r>
        <w:rPr>
          <w:rFonts w:hint="eastAsia" w:ascii="Times New Roman" w:hAnsi="Times New Roman"/>
          <w:color w:val="auto"/>
          <w:highlight w:val="none"/>
        </w:rPr>
        <w:t>2-</w:t>
      </w:r>
      <w:r>
        <w:rPr>
          <w:rFonts w:hint="eastAsia" w:ascii="Times New Roman" w:hAnsi="Times New Roman"/>
          <w:color w:val="auto"/>
          <w:highlight w:val="none"/>
          <w:lang w:val="en-US" w:eastAsia="zh-CN"/>
        </w:rPr>
        <w:t>2</w:t>
      </w:r>
      <w:r>
        <w:rPr>
          <w:rFonts w:hint="eastAsia" w:ascii="黑体" w:hAnsi="黑体" w:eastAsia="黑体" w:cs="黑体"/>
          <w:color w:val="auto"/>
          <w:highlight w:val="none"/>
        </w:rPr>
        <w:t>本项目</w:t>
      </w:r>
      <w:r>
        <w:rPr>
          <w:rFonts w:hint="eastAsia" w:ascii="Times New Roman" w:hAnsi="Times New Roman"/>
          <w:color w:val="auto"/>
          <w:highlight w:val="none"/>
        </w:rPr>
        <w:t>SO</w:t>
      </w:r>
      <w:r>
        <w:rPr>
          <w:rFonts w:hint="eastAsia" w:ascii="Times New Roman" w:hAnsi="Times New Roman"/>
          <w:color w:val="auto"/>
          <w:highlight w:val="none"/>
          <w:vertAlign w:val="subscript"/>
        </w:rPr>
        <w:t>2</w:t>
      </w:r>
      <w:r>
        <w:rPr>
          <w:rFonts w:hint="eastAsia" w:ascii="黑体" w:hAnsi="黑体" w:eastAsia="黑体" w:cs="黑体"/>
          <w:color w:val="auto"/>
          <w:highlight w:val="none"/>
        </w:rPr>
        <w:t>保证率</w:t>
      </w:r>
      <w:r>
        <w:rPr>
          <w:rFonts w:hint="eastAsia" w:ascii="黑体" w:hAnsi="黑体" w:eastAsia="黑体" w:cs="黑体"/>
          <w:color w:val="auto"/>
          <w:highlight w:val="none"/>
          <w:lang w:val="en-US" w:eastAsia="zh-CN"/>
        </w:rPr>
        <w:t>年</w:t>
      </w:r>
      <w:r>
        <w:rPr>
          <w:rFonts w:hint="eastAsia" w:ascii="黑体" w:hAnsi="黑体" w:eastAsia="黑体" w:cs="黑体"/>
          <w:color w:val="auto"/>
          <w:highlight w:val="none"/>
        </w:rPr>
        <w:t>平均质量浓度分布图</w:t>
      </w:r>
      <w:r>
        <w:rPr>
          <w:rFonts w:hint="eastAsia" w:ascii="Times New Roman" w:hAnsi="Times New Roman"/>
          <w:color w:val="auto"/>
          <w:highlight w:val="none"/>
        </w:rPr>
        <w:t>（</w:t>
      </w:r>
      <w:r>
        <w:rPr>
          <w:rFonts w:hint="eastAsia" w:ascii="Times New Roman" w:hAnsi="Times New Roman"/>
          <w:color w:val="auto"/>
          <w:highlight w:val="none"/>
          <w:lang w:val="en-US" w:eastAsia="zh-CN"/>
        </w:rPr>
        <w:t>m</w:t>
      </w:r>
      <w:r>
        <w:rPr>
          <w:rFonts w:hint="eastAsia" w:ascii="Times New Roman" w:hAnsi="Times New Roman"/>
          <w:color w:val="auto"/>
          <w:highlight w:val="none"/>
        </w:rPr>
        <w:t>g/m</w:t>
      </w:r>
      <w:r>
        <w:rPr>
          <w:rFonts w:hint="eastAsia" w:ascii="Times New Roman" w:hAnsi="Times New Roman"/>
          <w:color w:val="auto"/>
          <w:highlight w:val="none"/>
          <w:vertAlign w:val="superscript"/>
        </w:rPr>
        <w:t>3</w:t>
      </w:r>
      <w:r>
        <w:rPr>
          <w:rFonts w:hint="eastAsia" w:ascii="Times New Roman" w:hAnsi="Times New Roman"/>
          <w:color w:val="auto"/>
          <w:highlight w:val="none"/>
        </w:rPr>
        <w:t>）</w:t>
      </w:r>
    </w:p>
    <w:p w14:paraId="218EEE71">
      <w:pPr>
        <w:ind w:firstLine="480"/>
        <w:rPr>
          <w:rFonts w:ascii="Times New Roman" w:hAnsi="Times New Roman"/>
          <w:color w:val="auto"/>
          <w:highlight w:val="none"/>
        </w:rPr>
      </w:pPr>
      <w:r>
        <w:rPr>
          <w:rFonts w:ascii="Times New Roman" w:hAnsi="Times New Roman"/>
          <w:color w:val="auto"/>
          <w:highlight w:val="none"/>
        </w:rPr>
        <w:t>叠加后，污染物SO</w:t>
      </w:r>
      <w:r>
        <w:rPr>
          <w:rFonts w:ascii="Times New Roman" w:hAnsi="Times New Roman"/>
          <w:color w:val="auto"/>
          <w:highlight w:val="none"/>
          <w:vertAlign w:val="subscript"/>
        </w:rPr>
        <w:t>2</w:t>
      </w:r>
      <w:r>
        <w:rPr>
          <w:rFonts w:ascii="Times New Roman" w:hAnsi="Times New Roman"/>
          <w:color w:val="auto"/>
          <w:highlight w:val="none"/>
        </w:rPr>
        <w:t>保证率（98%）日平均质量浓度和年平均质量浓度均符合《环境空气质量标准》（GB3095-2012）及修改单中二级标准。</w:t>
      </w:r>
    </w:p>
    <w:p w14:paraId="58026714">
      <w:pPr>
        <w:ind w:firstLine="480"/>
        <w:rPr>
          <w:rFonts w:ascii="Times New Roman" w:hAnsi="Times New Roman"/>
          <w:color w:val="auto"/>
          <w:highlight w:val="none"/>
        </w:rPr>
      </w:pPr>
      <w:r>
        <w:rPr>
          <w:rFonts w:ascii="Times New Roman" w:hAnsi="Times New Roman"/>
          <w:color w:val="auto"/>
          <w:highlight w:val="none"/>
        </w:rPr>
        <w:t>（2）NO</w:t>
      </w:r>
      <w:r>
        <w:rPr>
          <w:rFonts w:ascii="Times New Roman" w:hAnsi="Times New Roman"/>
          <w:color w:val="auto"/>
          <w:highlight w:val="none"/>
          <w:vertAlign w:val="subscript"/>
        </w:rPr>
        <w:t>2</w:t>
      </w:r>
      <w:r>
        <w:rPr>
          <w:rFonts w:ascii="Times New Roman" w:hAnsi="Times New Roman"/>
          <w:color w:val="auto"/>
          <w:highlight w:val="none"/>
        </w:rPr>
        <w:t>叠加现状环境影响预测</w:t>
      </w:r>
    </w:p>
    <w:p w14:paraId="528D9FE7">
      <w:pPr>
        <w:ind w:firstLine="480"/>
        <w:rPr>
          <w:rFonts w:ascii="Times New Roman" w:hAnsi="Times New Roman"/>
          <w:color w:val="auto"/>
          <w:highlight w:val="none"/>
        </w:rPr>
      </w:pPr>
      <w:r>
        <w:rPr>
          <w:rFonts w:ascii="Times New Roman" w:hAnsi="Times New Roman"/>
          <w:color w:val="auto"/>
          <w:highlight w:val="none"/>
        </w:rPr>
        <w:t>各敏感点及区域NO</w:t>
      </w:r>
      <w:r>
        <w:rPr>
          <w:rFonts w:ascii="Times New Roman" w:hAnsi="Times New Roman"/>
          <w:color w:val="auto"/>
          <w:highlight w:val="none"/>
          <w:vertAlign w:val="subscript"/>
        </w:rPr>
        <w:t>2</w:t>
      </w:r>
      <w:r>
        <w:rPr>
          <w:rFonts w:ascii="Times New Roman" w:hAnsi="Times New Roman"/>
          <w:color w:val="auto"/>
          <w:highlight w:val="none"/>
        </w:rPr>
        <w:t>最大浓度点叠加背景浓度结果见表5.2-</w:t>
      </w:r>
      <w:r>
        <w:rPr>
          <w:rFonts w:hint="eastAsia" w:ascii="Times New Roman" w:hAnsi="Times New Roman"/>
          <w:color w:val="auto"/>
          <w:highlight w:val="none"/>
          <w:lang w:val="en-US" w:eastAsia="zh-CN"/>
        </w:rPr>
        <w:t>18</w:t>
      </w:r>
      <w:r>
        <w:rPr>
          <w:rFonts w:ascii="Times New Roman" w:hAnsi="Times New Roman"/>
          <w:color w:val="auto"/>
          <w:highlight w:val="none"/>
        </w:rPr>
        <w:t>。</w:t>
      </w:r>
    </w:p>
    <w:p w14:paraId="572C6500">
      <w:pPr>
        <w:ind w:firstLine="0" w:firstLineChars="0"/>
        <w:jc w:val="center"/>
        <w:rPr>
          <w:rFonts w:ascii="Times New Roman" w:hAnsi="Times New Roman"/>
          <w:color w:val="auto"/>
          <w:highlight w:val="none"/>
        </w:rPr>
      </w:pPr>
      <w:r>
        <w:rPr>
          <w:rFonts w:hint="eastAsia" w:ascii="黑体" w:hAnsi="黑体" w:eastAsia="黑体" w:cs="黑体"/>
          <w:color w:val="auto"/>
          <w:highlight w:val="none"/>
        </w:rPr>
        <w:t>表</w:t>
      </w:r>
      <w:r>
        <w:rPr>
          <w:rFonts w:ascii="Times New Roman" w:hAnsi="Times New Roman"/>
          <w:color w:val="auto"/>
          <w:highlight w:val="none"/>
        </w:rPr>
        <w:t>5.2-</w:t>
      </w:r>
      <w:r>
        <w:rPr>
          <w:rFonts w:hint="eastAsia" w:ascii="Times New Roman" w:hAnsi="Times New Roman"/>
          <w:color w:val="auto"/>
          <w:highlight w:val="none"/>
          <w:lang w:val="en-US" w:eastAsia="zh-CN"/>
        </w:rPr>
        <w:t>18</w:t>
      </w:r>
      <w:r>
        <w:rPr>
          <w:rFonts w:hint="eastAsia" w:ascii="黑体" w:hAnsi="黑体" w:eastAsia="黑体" w:cs="黑体"/>
          <w:color w:val="auto"/>
          <w:highlight w:val="none"/>
        </w:rPr>
        <w:t>二氧化氮预测结果叠加背景浓度结果</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9"/>
        <w:gridCol w:w="1740"/>
        <w:gridCol w:w="723"/>
        <w:gridCol w:w="1147"/>
        <w:gridCol w:w="723"/>
        <w:gridCol w:w="1147"/>
        <w:gridCol w:w="1147"/>
        <w:gridCol w:w="703"/>
        <w:gridCol w:w="723"/>
      </w:tblGrid>
      <w:tr w14:paraId="67758A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noWrap/>
            <w:vAlign w:val="center"/>
          </w:tcPr>
          <w:p w14:paraId="712FCC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序号</w:t>
            </w:r>
          </w:p>
        </w:tc>
        <w:tc>
          <w:tcPr>
            <w:tcW w:w="1020" w:type="pct"/>
            <w:noWrap/>
            <w:vAlign w:val="center"/>
          </w:tcPr>
          <w:p w14:paraId="6F007A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点名称</w:t>
            </w:r>
          </w:p>
        </w:tc>
        <w:tc>
          <w:tcPr>
            <w:tcW w:w="424" w:type="pct"/>
            <w:noWrap/>
            <w:vAlign w:val="center"/>
          </w:tcPr>
          <w:p w14:paraId="51E8FD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浓度类型</w:t>
            </w:r>
          </w:p>
        </w:tc>
        <w:tc>
          <w:tcPr>
            <w:tcW w:w="672" w:type="pct"/>
            <w:noWrap/>
            <w:vAlign w:val="center"/>
          </w:tcPr>
          <w:p w14:paraId="74977A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浓度增量(mg/m3)</w:t>
            </w:r>
          </w:p>
        </w:tc>
        <w:tc>
          <w:tcPr>
            <w:tcW w:w="424" w:type="pct"/>
            <w:noWrap/>
            <w:vAlign w:val="center"/>
          </w:tcPr>
          <w:p w14:paraId="7B4E60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出现时间</w:t>
            </w:r>
          </w:p>
        </w:tc>
        <w:tc>
          <w:tcPr>
            <w:tcW w:w="672" w:type="pct"/>
            <w:noWrap/>
            <w:vAlign w:val="center"/>
          </w:tcPr>
          <w:p w14:paraId="3F06EC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背景浓度(mg/m3)</w:t>
            </w:r>
          </w:p>
        </w:tc>
        <w:tc>
          <w:tcPr>
            <w:tcW w:w="672" w:type="pct"/>
            <w:noWrap/>
            <w:vAlign w:val="center"/>
          </w:tcPr>
          <w:p w14:paraId="5751A1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叠加浓度(mg/m3)</w:t>
            </w:r>
          </w:p>
        </w:tc>
        <w:tc>
          <w:tcPr>
            <w:tcW w:w="412" w:type="pct"/>
            <w:noWrap/>
            <w:vAlign w:val="center"/>
          </w:tcPr>
          <w:p w14:paraId="5BC1D7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占标率%</w:t>
            </w:r>
          </w:p>
        </w:tc>
        <w:tc>
          <w:tcPr>
            <w:tcW w:w="424" w:type="pct"/>
            <w:noWrap/>
            <w:vAlign w:val="center"/>
          </w:tcPr>
          <w:p w14:paraId="686792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是否超标</w:t>
            </w:r>
          </w:p>
        </w:tc>
      </w:tr>
      <w:tr w14:paraId="6FB9F2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restart"/>
            <w:noWrap/>
            <w:vAlign w:val="center"/>
          </w:tcPr>
          <w:p w14:paraId="3E0B44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w:t>
            </w:r>
          </w:p>
        </w:tc>
        <w:tc>
          <w:tcPr>
            <w:tcW w:w="1020" w:type="pct"/>
            <w:vMerge w:val="restart"/>
            <w:noWrap/>
            <w:vAlign w:val="center"/>
          </w:tcPr>
          <w:p w14:paraId="61FA2C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绥芬河市政府</w:t>
            </w:r>
          </w:p>
        </w:tc>
        <w:tc>
          <w:tcPr>
            <w:tcW w:w="424" w:type="pct"/>
            <w:noWrap/>
            <w:vAlign w:val="center"/>
          </w:tcPr>
          <w:p w14:paraId="5CF28B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6BDBBC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1.07E-03</w:t>
            </w:r>
          </w:p>
        </w:tc>
        <w:tc>
          <w:tcPr>
            <w:tcW w:w="424" w:type="pct"/>
            <w:noWrap/>
            <w:vAlign w:val="center"/>
          </w:tcPr>
          <w:p w14:paraId="6C8B15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240423</w:t>
            </w:r>
          </w:p>
        </w:tc>
        <w:tc>
          <w:tcPr>
            <w:tcW w:w="672" w:type="pct"/>
            <w:noWrap/>
            <w:vAlign w:val="center"/>
          </w:tcPr>
          <w:p w14:paraId="210811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038F87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1.10E-03</w:t>
            </w:r>
          </w:p>
        </w:tc>
        <w:tc>
          <w:tcPr>
            <w:tcW w:w="412" w:type="pct"/>
            <w:noWrap/>
            <w:vAlign w:val="center"/>
          </w:tcPr>
          <w:p w14:paraId="30CAB5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1.10</w:t>
            </w:r>
          </w:p>
        </w:tc>
        <w:tc>
          <w:tcPr>
            <w:tcW w:w="424" w:type="pct"/>
            <w:noWrap/>
            <w:vAlign w:val="center"/>
          </w:tcPr>
          <w:p w14:paraId="3F9236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77187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continue"/>
            <w:noWrap/>
            <w:vAlign w:val="center"/>
          </w:tcPr>
          <w:p w14:paraId="4C691A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2BABB9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69F3E3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7FA2BE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3.65E-05</w:t>
            </w:r>
          </w:p>
        </w:tc>
        <w:tc>
          <w:tcPr>
            <w:tcW w:w="424" w:type="pct"/>
            <w:noWrap/>
            <w:vAlign w:val="center"/>
          </w:tcPr>
          <w:p w14:paraId="0D33AE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3FD781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0AE303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6.39E-05</w:t>
            </w:r>
          </w:p>
        </w:tc>
        <w:tc>
          <w:tcPr>
            <w:tcW w:w="412" w:type="pct"/>
            <w:noWrap/>
            <w:vAlign w:val="center"/>
          </w:tcPr>
          <w:p w14:paraId="359897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0.13</w:t>
            </w:r>
          </w:p>
        </w:tc>
        <w:tc>
          <w:tcPr>
            <w:tcW w:w="424" w:type="pct"/>
            <w:noWrap/>
            <w:vAlign w:val="center"/>
          </w:tcPr>
          <w:p w14:paraId="31A2B7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6DEC1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restart"/>
            <w:noWrap/>
            <w:vAlign w:val="center"/>
          </w:tcPr>
          <w:p w14:paraId="2C1BF6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w:t>
            </w:r>
          </w:p>
        </w:tc>
        <w:tc>
          <w:tcPr>
            <w:tcW w:w="1020" w:type="pct"/>
            <w:vMerge w:val="restart"/>
            <w:noWrap/>
            <w:vAlign w:val="center"/>
          </w:tcPr>
          <w:p w14:paraId="7C79EA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绥芬河市人大</w:t>
            </w:r>
          </w:p>
        </w:tc>
        <w:tc>
          <w:tcPr>
            <w:tcW w:w="424" w:type="pct"/>
            <w:noWrap/>
            <w:vAlign w:val="center"/>
          </w:tcPr>
          <w:p w14:paraId="13B22E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271539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4.29E-04</w:t>
            </w:r>
          </w:p>
        </w:tc>
        <w:tc>
          <w:tcPr>
            <w:tcW w:w="424" w:type="pct"/>
            <w:noWrap/>
            <w:vAlign w:val="center"/>
          </w:tcPr>
          <w:p w14:paraId="0E926D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07EA77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5B8646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4.60E-04</w:t>
            </w:r>
          </w:p>
        </w:tc>
        <w:tc>
          <w:tcPr>
            <w:tcW w:w="412" w:type="pct"/>
            <w:noWrap/>
            <w:vAlign w:val="center"/>
          </w:tcPr>
          <w:p w14:paraId="50BB40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0.46</w:t>
            </w:r>
          </w:p>
        </w:tc>
        <w:tc>
          <w:tcPr>
            <w:tcW w:w="424" w:type="pct"/>
            <w:noWrap/>
            <w:vAlign w:val="center"/>
          </w:tcPr>
          <w:p w14:paraId="52B029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E0094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continue"/>
            <w:noWrap/>
            <w:vAlign w:val="center"/>
          </w:tcPr>
          <w:p w14:paraId="1DB2EB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079F4F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07ECBF8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79DE52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9.58E-06</w:t>
            </w:r>
          </w:p>
        </w:tc>
        <w:tc>
          <w:tcPr>
            <w:tcW w:w="424" w:type="pct"/>
            <w:noWrap/>
            <w:vAlign w:val="center"/>
          </w:tcPr>
          <w:p w14:paraId="6B2114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5A38F7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1F1634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3.70E-05</w:t>
            </w:r>
          </w:p>
        </w:tc>
        <w:tc>
          <w:tcPr>
            <w:tcW w:w="412" w:type="pct"/>
            <w:noWrap/>
            <w:vAlign w:val="center"/>
          </w:tcPr>
          <w:p w14:paraId="60F5D8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0.07</w:t>
            </w:r>
          </w:p>
        </w:tc>
        <w:tc>
          <w:tcPr>
            <w:tcW w:w="424" w:type="pct"/>
            <w:noWrap/>
            <w:vAlign w:val="center"/>
          </w:tcPr>
          <w:p w14:paraId="3B35FAE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5FF34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restart"/>
            <w:noWrap/>
            <w:vAlign w:val="center"/>
          </w:tcPr>
          <w:p w14:paraId="73EE43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w:t>
            </w:r>
          </w:p>
        </w:tc>
        <w:tc>
          <w:tcPr>
            <w:tcW w:w="1020" w:type="pct"/>
            <w:vMerge w:val="restart"/>
            <w:noWrap/>
            <w:vAlign w:val="center"/>
          </w:tcPr>
          <w:p w14:paraId="71F7C0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绥芬河市应急资源局</w:t>
            </w:r>
          </w:p>
        </w:tc>
        <w:tc>
          <w:tcPr>
            <w:tcW w:w="424" w:type="pct"/>
            <w:noWrap/>
            <w:vAlign w:val="center"/>
          </w:tcPr>
          <w:p w14:paraId="7CCCF3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5D15D1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1.40E-03</w:t>
            </w:r>
          </w:p>
        </w:tc>
        <w:tc>
          <w:tcPr>
            <w:tcW w:w="424" w:type="pct"/>
            <w:noWrap/>
            <w:vAlign w:val="center"/>
          </w:tcPr>
          <w:p w14:paraId="69F71F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240423</w:t>
            </w:r>
          </w:p>
        </w:tc>
        <w:tc>
          <w:tcPr>
            <w:tcW w:w="672" w:type="pct"/>
            <w:noWrap/>
            <w:vAlign w:val="center"/>
          </w:tcPr>
          <w:p w14:paraId="1E6A30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03FF7F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1.43E-03</w:t>
            </w:r>
          </w:p>
        </w:tc>
        <w:tc>
          <w:tcPr>
            <w:tcW w:w="412" w:type="pct"/>
            <w:noWrap/>
            <w:vAlign w:val="center"/>
          </w:tcPr>
          <w:p w14:paraId="31673B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1.43</w:t>
            </w:r>
          </w:p>
        </w:tc>
        <w:tc>
          <w:tcPr>
            <w:tcW w:w="424" w:type="pct"/>
            <w:noWrap/>
            <w:vAlign w:val="center"/>
          </w:tcPr>
          <w:p w14:paraId="060C6A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D25D6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5" w:type="pct"/>
            <w:vMerge w:val="continue"/>
            <w:noWrap/>
            <w:vAlign w:val="center"/>
          </w:tcPr>
          <w:p w14:paraId="3AE0FA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424342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087364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12BAE9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4.97E-05</w:t>
            </w:r>
          </w:p>
        </w:tc>
        <w:tc>
          <w:tcPr>
            <w:tcW w:w="424" w:type="pct"/>
            <w:noWrap/>
            <w:vAlign w:val="center"/>
          </w:tcPr>
          <w:p w14:paraId="625E52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2B0740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12E1DC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7.71E-05</w:t>
            </w:r>
          </w:p>
        </w:tc>
        <w:tc>
          <w:tcPr>
            <w:tcW w:w="412" w:type="pct"/>
            <w:noWrap/>
            <w:vAlign w:val="center"/>
          </w:tcPr>
          <w:p w14:paraId="36DD89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0.15</w:t>
            </w:r>
          </w:p>
        </w:tc>
        <w:tc>
          <w:tcPr>
            <w:tcW w:w="424" w:type="pct"/>
            <w:noWrap/>
            <w:vAlign w:val="center"/>
          </w:tcPr>
          <w:p w14:paraId="7C380E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8B92E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restart"/>
            <w:noWrap/>
            <w:vAlign w:val="center"/>
          </w:tcPr>
          <w:p w14:paraId="2451CE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w:t>
            </w:r>
          </w:p>
        </w:tc>
        <w:tc>
          <w:tcPr>
            <w:tcW w:w="1020" w:type="pct"/>
            <w:vMerge w:val="restart"/>
            <w:noWrap/>
            <w:vAlign w:val="center"/>
          </w:tcPr>
          <w:p w14:paraId="19BF9F8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绥芬河市住房公积金中心</w:t>
            </w:r>
          </w:p>
        </w:tc>
        <w:tc>
          <w:tcPr>
            <w:tcW w:w="424" w:type="pct"/>
            <w:noWrap/>
            <w:vAlign w:val="center"/>
          </w:tcPr>
          <w:p w14:paraId="390E45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10B274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5.77E-04</w:t>
            </w:r>
          </w:p>
        </w:tc>
        <w:tc>
          <w:tcPr>
            <w:tcW w:w="424" w:type="pct"/>
            <w:noWrap/>
            <w:vAlign w:val="center"/>
          </w:tcPr>
          <w:p w14:paraId="124946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01833E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2B358D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1.00E-01</w:t>
            </w:r>
          </w:p>
        </w:tc>
        <w:tc>
          <w:tcPr>
            <w:tcW w:w="412" w:type="pct"/>
            <w:noWrap/>
            <w:vAlign w:val="center"/>
          </w:tcPr>
          <w:p w14:paraId="163846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0.61</w:t>
            </w:r>
          </w:p>
        </w:tc>
        <w:tc>
          <w:tcPr>
            <w:tcW w:w="424" w:type="pct"/>
            <w:noWrap/>
            <w:vAlign w:val="center"/>
          </w:tcPr>
          <w:p w14:paraId="788B89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67B81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continue"/>
            <w:noWrap/>
            <w:vAlign w:val="center"/>
          </w:tcPr>
          <w:p w14:paraId="53A805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0D817F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02E0AE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01BC25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1.44E-05</w:t>
            </w:r>
          </w:p>
        </w:tc>
        <w:tc>
          <w:tcPr>
            <w:tcW w:w="424" w:type="pct"/>
            <w:noWrap/>
            <w:vAlign w:val="center"/>
          </w:tcPr>
          <w:p w14:paraId="664235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1B16E6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19934D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5.00E-02</w:t>
            </w:r>
          </w:p>
        </w:tc>
        <w:tc>
          <w:tcPr>
            <w:tcW w:w="412" w:type="pct"/>
            <w:noWrap/>
            <w:vAlign w:val="center"/>
          </w:tcPr>
          <w:p w14:paraId="0324AC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0.08</w:t>
            </w:r>
          </w:p>
        </w:tc>
        <w:tc>
          <w:tcPr>
            <w:tcW w:w="424" w:type="pct"/>
            <w:noWrap/>
            <w:vAlign w:val="center"/>
          </w:tcPr>
          <w:p w14:paraId="2EEA45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03FE5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restart"/>
            <w:noWrap/>
            <w:vAlign w:val="center"/>
          </w:tcPr>
          <w:p w14:paraId="50A887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w:t>
            </w:r>
          </w:p>
        </w:tc>
        <w:tc>
          <w:tcPr>
            <w:tcW w:w="1020" w:type="pct"/>
            <w:vMerge w:val="restart"/>
            <w:noWrap/>
            <w:vAlign w:val="center"/>
          </w:tcPr>
          <w:p w14:paraId="6F1FFA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绥芬河市房屋征收办公室</w:t>
            </w:r>
          </w:p>
        </w:tc>
        <w:tc>
          <w:tcPr>
            <w:tcW w:w="424" w:type="pct"/>
            <w:noWrap/>
            <w:vAlign w:val="center"/>
          </w:tcPr>
          <w:p w14:paraId="498E7B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728AA0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6.07E-04</w:t>
            </w:r>
          </w:p>
        </w:tc>
        <w:tc>
          <w:tcPr>
            <w:tcW w:w="424" w:type="pct"/>
            <w:noWrap/>
            <w:vAlign w:val="center"/>
          </w:tcPr>
          <w:p w14:paraId="702B44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24DC72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4AB98D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6.38E-04</w:t>
            </w:r>
          </w:p>
        </w:tc>
        <w:tc>
          <w:tcPr>
            <w:tcW w:w="412" w:type="pct"/>
            <w:noWrap/>
            <w:vAlign w:val="center"/>
          </w:tcPr>
          <w:p w14:paraId="3D7245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0.64</w:t>
            </w:r>
          </w:p>
        </w:tc>
        <w:tc>
          <w:tcPr>
            <w:tcW w:w="424" w:type="pct"/>
            <w:noWrap/>
            <w:vAlign w:val="center"/>
          </w:tcPr>
          <w:p w14:paraId="6A7849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70DB4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continue"/>
            <w:noWrap/>
            <w:vAlign w:val="center"/>
          </w:tcPr>
          <w:p w14:paraId="411DD0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5C8F2B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0CDA5D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12923A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1.65E-05</w:t>
            </w:r>
          </w:p>
        </w:tc>
        <w:tc>
          <w:tcPr>
            <w:tcW w:w="424" w:type="pct"/>
            <w:noWrap/>
            <w:vAlign w:val="center"/>
          </w:tcPr>
          <w:p w14:paraId="6B2D8C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1CE95B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7AF683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4.39E-05</w:t>
            </w:r>
          </w:p>
        </w:tc>
        <w:tc>
          <w:tcPr>
            <w:tcW w:w="412" w:type="pct"/>
            <w:noWrap/>
            <w:vAlign w:val="center"/>
          </w:tcPr>
          <w:p w14:paraId="108409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0.09</w:t>
            </w:r>
          </w:p>
        </w:tc>
        <w:tc>
          <w:tcPr>
            <w:tcW w:w="424" w:type="pct"/>
            <w:noWrap/>
            <w:vAlign w:val="center"/>
          </w:tcPr>
          <w:p w14:paraId="7E1936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2233F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restart"/>
            <w:noWrap/>
            <w:vAlign w:val="center"/>
          </w:tcPr>
          <w:p w14:paraId="5D796E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w:t>
            </w:r>
          </w:p>
        </w:tc>
        <w:tc>
          <w:tcPr>
            <w:tcW w:w="1020" w:type="pct"/>
            <w:vMerge w:val="restart"/>
            <w:noWrap/>
            <w:vAlign w:val="center"/>
          </w:tcPr>
          <w:p w14:paraId="6083B8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绥芬河镇人民政府</w:t>
            </w:r>
          </w:p>
        </w:tc>
        <w:tc>
          <w:tcPr>
            <w:tcW w:w="424" w:type="pct"/>
            <w:noWrap/>
            <w:vAlign w:val="center"/>
          </w:tcPr>
          <w:p w14:paraId="7F2632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0EBB06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2.03E-04</w:t>
            </w:r>
          </w:p>
        </w:tc>
        <w:tc>
          <w:tcPr>
            <w:tcW w:w="424" w:type="pct"/>
            <w:noWrap/>
            <w:vAlign w:val="center"/>
          </w:tcPr>
          <w:p w14:paraId="7FB34A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09D1C0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63626E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2.34E-04</w:t>
            </w:r>
          </w:p>
        </w:tc>
        <w:tc>
          <w:tcPr>
            <w:tcW w:w="412" w:type="pct"/>
            <w:noWrap/>
            <w:vAlign w:val="center"/>
          </w:tcPr>
          <w:p w14:paraId="499412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0.23</w:t>
            </w:r>
          </w:p>
        </w:tc>
        <w:tc>
          <w:tcPr>
            <w:tcW w:w="424" w:type="pct"/>
            <w:noWrap/>
            <w:vAlign w:val="center"/>
          </w:tcPr>
          <w:p w14:paraId="0A1BA2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DD29B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continue"/>
            <w:noWrap/>
            <w:vAlign w:val="center"/>
          </w:tcPr>
          <w:p w14:paraId="772AA3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389175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30A6D4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5B9A47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2.88E-06</w:t>
            </w:r>
          </w:p>
        </w:tc>
        <w:tc>
          <w:tcPr>
            <w:tcW w:w="424" w:type="pct"/>
            <w:noWrap/>
            <w:vAlign w:val="center"/>
          </w:tcPr>
          <w:p w14:paraId="5037E7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0FA356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102590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3.03E-05</w:t>
            </w:r>
          </w:p>
        </w:tc>
        <w:tc>
          <w:tcPr>
            <w:tcW w:w="412" w:type="pct"/>
            <w:noWrap/>
            <w:vAlign w:val="center"/>
          </w:tcPr>
          <w:p w14:paraId="4670E3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424" w:type="pct"/>
            <w:noWrap/>
            <w:vAlign w:val="center"/>
          </w:tcPr>
          <w:p w14:paraId="042A8F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F40E3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restart"/>
            <w:noWrap/>
            <w:vAlign w:val="center"/>
          </w:tcPr>
          <w:p w14:paraId="3FF529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w:t>
            </w:r>
          </w:p>
        </w:tc>
        <w:tc>
          <w:tcPr>
            <w:tcW w:w="1020" w:type="pct"/>
            <w:vMerge w:val="restart"/>
            <w:noWrap/>
            <w:vAlign w:val="center"/>
          </w:tcPr>
          <w:p w14:paraId="5B0F9C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绥芬河邮政管理局</w:t>
            </w:r>
          </w:p>
        </w:tc>
        <w:tc>
          <w:tcPr>
            <w:tcW w:w="424" w:type="pct"/>
            <w:noWrap/>
            <w:vAlign w:val="center"/>
          </w:tcPr>
          <w:p w14:paraId="1622E7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008D17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1.92E-04</w:t>
            </w:r>
          </w:p>
        </w:tc>
        <w:tc>
          <w:tcPr>
            <w:tcW w:w="424" w:type="pct"/>
            <w:noWrap/>
            <w:vAlign w:val="center"/>
          </w:tcPr>
          <w:p w14:paraId="6C3610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423DA5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1AF450E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2.23E-04</w:t>
            </w:r>
          </w:p>
        </w:tc>
        <w:tc>
          <w:tcPr>
            <w:tcW w:w="412" w:type="pct"/>
            <w:noWrap/>
            <w:vAlign w:val="center"/>
          </w:tcPr>
          <w:p w14:paraId="213A0F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0.22</w:t>
            </w:r>
          </w:p>
        </w:tc>
        <w:tc>
          <w:tcPr>
            <w:tcW w:w="424" w:type="pct"/>
            <w:noWrap/>
            <w:vAlign w:val="center"/>
          </w:tcPr>
          <w:p w14:paraId="4B7BE4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B9F8D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continue"/>
            <w:noWrap/>
            <w:vAlign w:val="center"/>
          </w:tcPr>
          <w:p w14:paraId="4AFBF9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23F1F1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2F635B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628065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3.10E-06</w:t>
            </w:r>
          </w:p>
        </w:tc>
        <w:tc>
          <w:tcPr>
            <w:tcW w:w="424" w:type="pct"/>
            <w:noWrap/>
            <w:vAlign w:val="center"/>
          </w:tcPr>
          <w:p w14:paraId="1E632D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6CA0E4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57ACAC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3.05E-05</w:t>
            </w:r>
          </w:p>
        </w:tc>
        <w:tc>
          <w:tcPr>
            <w:tcW w:w="412" w:type="pct"/>
            <w:noWrap/>
            <w:vAlign w:val="center"/>
          </w:tcPr>
          <w:p w14:paraId="0293EA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424" w:type="pct"/>
            <w:noWrap/>
            <w:vAlign w:val="center"/>
          </w:tcPr>
          <w:p w14:paraId="4A62AA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BD650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275" w:type="pct"/>
            <w:vMerge w:val="restart"/>
            <w:noWrap/>
            <w:vAlign w:val="center"/>
          </w:tcPr>
          <w:p w14:paraId="5155BF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w:t>
            </w:r>
          </w:p>
        </w:tc>
        <w:tc>
          <w:tcPr>
            <w:tcW w:w="1020" w:type="pct"/>
            <w:vMerge w:val="restart"/>
            <w:noWrap/>
            <w:vAlign w:val="center"/>
          </w:tcPr>
          <w:p w14:paraId="665D38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绥芬河市教育局</w:t>
            </w:r>
          </w:p>
        </w:tc>
        <w:tc>
          <w:tcPr>
            <w:tcW w:w="424" w:type="pct"/>
            <w:noWrap/>
            <w:vAlign w:val="center"/>
          </w:tcPr>
          <w:p w14:paraId="0AABDB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2EC3A9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1.67E-04</w:t>
            </w:r>
          </w:p>
        </w:tc>
        <w:tc>
          <w:tcPr>
            <w:tcW w:w="424" w:type="pct"/>
            <w:noWrap/>
            <w:vAlign w:val="center"/>
          </w:tcPr>
          <w:p w14:paraId="73C562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240321</w:t>
            </w:r>
          </w:p>
        </w:tc>
        <w:tc>
          <w:tcPr>
            <w:tcW w:w="672" w:type="pct"/>
            <w:noWrap/>
            <w:vAlign w:val="center"/>
          </w:tcPr>
          <w:p w14:paraId="64B540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4A0822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1.98E-04</w:t>
            </w:r>
          </w:p>
        </w:tc>
        <w:tc>
          <w:tcPr>
            <w:tcW w:w="412" w:type="pct"/>
            <w:noWrap/>
            <w:vAlign w:val="center"/>
          </w:tcPr>
          <w:p w14:paraId="436FB4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0.20</w:t>
            </w:r>
          </w:p>
        </w:tc>
        <w:tc>
          <w:tcPr>
            <w:tcW w:w="424" w:type="pct"/>
            <w:noWrap/>
            <w:vAlign w:val="center"/>
          </w:tcPr>
          <w:p w14:paraId="67096A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1575D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275" w:type="pct"/>
            <w:vMerge w:val="continue"/>
            <w:noWrap/>
            <w:vAlign w:val="center"/>
          </w:tcPr>
          <w:p w14:paraId="4F8990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020AEE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2E3309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3581DE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3.12E-06</w:t>
            </w:r>
          </w:p>
        </w:tc>
        <w:tc>
          <w:tcPr>
            <w:tcW w:w="424" w:type="pct"/>
            <w:noWrap/>
            <w:vAlign w:val="center"/>
          </w:tcPr>
          <w:p w14:paraId="400697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2251BD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4D5FD6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3.06E-05</w:t>
            </w:r>
          </w:p>
        </w:tc>
        <w:tc>
          <w:tcPr>
            <w:tcW w:w="412" w:type="pct"/>
            <w:noWrap/>
            <w:vAlign w:val="center"/>
          </w:tcPr>
          <w:p w14:paraId="37EF48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424" w:type="pct"/>
            <w:noWrap/>
            <w:vAlign w:val="center"/>
          </w:tcPr>
          <w:p w14:paraId="53FBCF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0F98D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275" w:type="pct"/>
            <w:vMerge w:val="restart"/>
            <w:noWrap/>
            <w:vAlign w:val="center"/>
          </w:tcPr>
          <w:p w14:paraId="41E763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9</w:t>
            </w:r>
          </w:p>
        </w:tc>
        <w:tc>
          <w:tcPr>
            <w:tcW w:w="1020" w:type="pct"/>
            <w:vMerge w:val="restart"/>
            <w:noWrap/>
            <w:vAlign w:val="center"/>
          </w:tcPr>
          <w:p w14:paraId="256108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绥芬河市自然资源局</w:t>
            </w:r>
          </w:p>
        </w:tc>
        <w:tc>
          <w:tcPr>
            <w:tcW w:w="424" w:type="pct"/>
            <w:noWrap/>
            <w:vAlign w:val="center"/>
          </w:tcPr>
          <w:p w14:paraId="014D1D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057BD6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2.30E-04</w:t>
            </w:r>
          </w:p>
        </w:tc>
        <w:tc>
          <w:tcPr>
            <w:tcW w:w="424" w:type="pct"/>
            <w:noWrap/>
            <w:vAlign w:val="center"/>
          </w:tcPr>
          <w:p w14:paraId="08F04F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34E2E4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7542BF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1.00E-01</w:t>
            </w:r>
          </w:p>
        </w:tc>
        <w:tc>
          <w:tcPr>
            <w:tcW w:w="412" w:type="pct"/>
            <w:noWrap/>
            <w:vAlign w:val="center"/>
          </w:tcPr>
          <w:p w14:paraId="06B658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0.26</w:t>
            </w:r>
          </w:p>
        </w:tc>
        <w:tc>
          <w:tcPr>
            <w:tcW w:w="424" w:type="pct"/>
            <w:noWrap/>
            <w:vAlign w:val="center"/>
          </w:tcPr>
          <w:p w14:paraId="085822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42887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275" w:type="pct"/>
            <w:vMerge w:val="continue"/>
            <w:noWrap/>
            <w:vAlign w:val="center"/>
          </w:tcPr>
          <w:p w14:paraId="2DC386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2D76BE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06A7AC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5EE1C2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3.39E-06</w:t>
            </w:r>
          </w:p>
        </w:tc>
        <w:tc>
          <w:tcPr>
            <w:tcW w:w="424" w:type="pct"/>
            <w:noWrap/>
            <w:vAlign w:val="center"/>
          </w:tcPr>
          <w:p w14:paraId="5E42C4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734C39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02082D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5.00E-02</w:t>
            </w:r>
          </w:p>
        </w:tc>
        <w:tc>
          <w:tcPr>
            <w:tcW w:w="412" w:type="pct"/>
            <w:noWrap/>
            <w:vAlign w:val="center"/>
          </w:tcPr>
          <w:p w14:paraId="23BB4C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424" w:type="pct"/>
            <w:noWrap/>
            <w:vAlign w:val="center"/>
          </w:tcPr>
          <w:p w14:paraId="33356E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CA272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275" w:type="pct"/>
            <w:vMerge w:val="restart"/>
            <w:noWrap/>
            <w:vAlign w:val="center"/>
          </w:tcPr>
          <w:p w14:paraId="638285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w:t>
            </w:r>
          </w:p>
        </w:tc>
        <w:tc>
          <w:tcPr>
            <w:tcW w:w="1020" w:type="pct"/>
            <w:vMerge w:val="restart"/>
            <w:noWrap/>
            <w:vAlign w:val="center"/>
          </w:tcPr>
          <w:p w14:paraId="21686F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绥芬河海关</w:t>
            </w:r>
          </w:p>
        </w:tc>
        <w:tc>
          <w:tcPr>
            <w:tcW w:w="424" w:type="pct"/>
            <w:noWrap/>
            <w:vAlign w:val="center"/>
          </w:tcPr>
          <w:p w14:paraId="458554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129A94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2.21E-04</w:t>
            </w:r>
          </w:p>
        </w:tc>
        <w:tc>
          <w:tcPr>
            <w:tcW w:w="424" w:type="pct"/>
            <w:noWrap/>
            <w:vAlign w:val="center"/>
          </w:tcPr>
          <w:p w14:paraId="42228E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241001</w:t>
            </w:r>
          </w:p>
        </w:tc>
        <w:tc>
          <w:tcPr>
            <w:tcW w:w="672" w:type="pct"/>
            <w:noWrap/>
            <w:vAlign w:val="center"/>
          </w:tcPr>
          <w:p w14:paraId="53FD0B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6FEA92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2.52E-04</w:t>
            </w:r>
          </w:p>
        </w:tc>
        <w:tc>
          <w:tcPr>
            <w:tcW w:w="412" w:type="pct"/>
            <w:noWrap/>
            <w:vAlign w:val="center"/>
          </w:tcPr>
          <w:p w14:paraId="6A796C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0.25</w:t>
            </w:r>
          </w:p>
        </w:tc>
        <w:tc>
          <w:tcPr>
            <w:tcW w:w="424" w:type="pct"/>
            <w:noWrap/>
            <w:vAlign w:val="center"/>
          </w:tcPr>
          <w:p w14:paraId="17CAB7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67A0A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275" w:type="pct"/>
            <w:vMerge w:val="continue"/>
            <w:noWrap/>
            <w:vAlign w:val="center"/>
          </w:tcPr>
          <w:p w14:paraId="7C72AE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44FFDC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556D3F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2CD74B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5.57E-06</w:t>
            </w:r>
          </w:p>
        </w:tc>
        <w:tc>
          <w:tcPr>
            <w:tcW w:w="424" w:type="pct"/>
            <w:noWrap/>
            <w:vAlign w:val="center"/>
          </w:tcPr>
          <w:p w14:paraId="5955C4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0A6C8C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6EAC79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3.30E-05</w:t>
            </w:r>
          </w:p>
        </w:tc>
        <w:tc>
          <w:tcPr>
            <w:tcW w:w="412" w:type="pct"/>
            <w:noWrap/>
            <w:vAlign w:val="center"/>
          </w:tcPr>
          <w:p w14:paraId="32E6A0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0.07</w:t>
            </w:r>
          </w:p>
        </w:tc>
        <w:tc>
          <w:tcPr>
            <w:tcW w:w="424" w:type="pct"/>
            <w:noWrap/>
            <w:vAlign w:val="center"/>
          </w:tcPr>
          <w:p w14:paraId="7BBA63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7CEAE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275" w:type="pct"/>
            <w:vMerge w:val="restart"/>
            <w:noWrap/>
            <w:vAlign w:val="center"/>
          </w:tcPr>
          <w:p w14:paraId="1F9A8B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w:t>
            </w:r>
          </w:p>
        </w:tc>
        <w:tc>
          <w:tcPr>
            <w:tcW w:w="1020" w:type="pct"/>
            <w:vMerge w:val="restart"/>
            <w:noWrap/>
            <w:vAlign w:val="center"/>
          </w:tcPr>
          <w:p w14:paraId="48E141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国家外汇管理局绥芬河分局</w:t>
            </w:r>
          </w:p>
        </w:tc>
        <w:tc>
          <w:tcPr>
            <w:tcW w:w="424" w:type="pct"/>
            <w:noWrap/>
            <w:vAlign w:val="center"/>
          </w:tcPr>
          <w:p w14:paraId="5513B4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7677FC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9.56E-04</w:t>
            </w:r>
          </w:p>
        </w:tc>
        <w:tc>
          <w:tcPr>
            <w:tcW w:w="424" w:type="pct"/>
            <w:noWrap/>
            <w:vAlign w:val="center"/>
          </w:tcPr>
          <w:p w14:paraId="013BAE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240430</w:t>
            </w:r>
          </w:p>
        </w:tc>
        <w:tc>
          <w:tcPr>
            <w:tcW w:w="672" w:type="pct"/>
            <w:noWrap/>
            <w:vAlign w:val="center"/>
          </w:tcPr>
          <w:p w14:paraId="16BE09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2A4258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9.87E-04</w:t>
            </w:r>
          </w:p>
        </w:tc>
        <w:tc>
          <w:tcPr>
            <w:tcW w:w="412" w:type="pct"/>
            <w:noWrap/>
            <w:vAlign w:val="center"/>
          </w:tcPr>
          <w:p w14:paraId="68F351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0.99</w:t>
            </w:r>
          </w:p>
        </w:tc>
        <w:tc>
          <w:tcPr>
            <w:tcW w:w="424" w:type="pct"/>
            <w:noWrap/>
            <w:vAlign w:val="center"/>
          </w:tcPr>
          <w:p w14:paraId="11E60C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37A8F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275" w:type="pct"/>
            <w:vMerge w:val="continue"/>
            <w:noWrap/>
            <w:vAlign w:val="center"/>
          </w:tcPr>
          <w:p w14:paraId="6BC3D2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74B5CC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3FB774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2A12CF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6.19E-05</w:t>
            </w:r>
          </w:p>
        </w:tc>
        <w:tc>
          <w:tcPr>
            <w:tcW w:w="424" w:type="pct"/>
            <w:noWrap/>
            <w:vAlign w:val="center"/>
          </w:tcPr>
          <w:p w14:paraId="0256D8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6056E1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103AA4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8.93E-05</w:t>
            </w:r>
          </w:p>
        </w:tc>
        <w:tc>
          <w:tcPr>
            <w:tcW w:w="412" w:type="pct"/>
            <w:noWrap/>
            <w:vAlign w:val="center"/>
          </w:tcPr>
          <w:p w14:paraId="1C8187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0.18</w:t>
            </w:r>
          </w:p>
        </w:tc>
        <w:tc>
          <w:tcPr>
            <w:tcW w:w="424" w:type="pct"/>
            <w:noWrap/>
            <w:vAlign w:val="center"/>
          </w:tcPr>
          <w:p w14:paraId="0D5A55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6970C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275" w:type="pct"/>
            <w:vMerge w:val="restart"/>
            <w:noWrap/>
            <w:vAlign w:val="center"/>
          </w:tcPr>
          <w:p w14:paraId="4CAEE1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w:t>
            </w:r>
          </w:p>
        </w:tc>
        <w:tc>
          <w:tcPr>
            <w:tcW w:w="1020" w:type="pct"/>
            <w:vMerge w:val="restart"/>
            <w:noWrap/>
            <w:vAlign w:val="center"/>
          </w:tcPr>
          <w:p w14:paraId="50F810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绥芬河市生态环境局</w:t>
            </w:r>
          </w:p>
        </w:tc>
        <w:tc>
          <w:tcPr>
            <w:tcW w:w="424" w:type="pct"/>
            <w:noWrap/>
            <w:vAlign w:val="center"/>
          </w:tcPr>
          <w:p w14:paraId="70A55B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55157C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5.07E-04</w:t>
            </w:r>
          </w:p>
        </w:tc>
        <w:tc>
          <w:tcPr>
            <w:tcW w:w="424" w:type="pct"/>
            <w:noWrap/>
            <w:vAlign w:val="center"/>
          </w:tcPr>
          <w:p w14:paraId="377953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240325</w:t>
            </w:r>
          </w:p>
        </w:tc>
        <w:tc>
          <w:tcPr>
            <w:tcW w:w="672" w:type="pct"/>
            <w:noWrap/>
            <w:vAlign w:val="center"/>
          </w:tcPr>
          <w:p w14:paraId="789BC7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7FA354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5.38E-04</w:t>
            </w:r>
          </w:p>
        </w:tc>
        <w:tc>
          <w:tcPr>
            <w:tcW w:w="412" w:type="pct"/>
            <w:noWrap/>
            <w:vAlign w:val="center"/>
          </w:tcPr>
          <w:p w14:paraId="662AD9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0.54</w:t>
            </w:r>
          </w:p>
        </w:tc>
        <w:tc>
          <w:tcPr>
            <w:tcW w:w="424" w:type="pct"/>
            <w:noWrap/>
            <w:vAlign w:val="center"/>
          </w:tcPr>
          <w:p w14:paraId="09B667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E2397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275" w:type="pct"/>
            <w:vMerge w:val="continue"/>
            <w:noWrap/>
            <w:vAlign w:val="center"/>
          </w:tcPr>
          <w:p w14:paraId="213C6F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0C1F12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43E253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28E6E2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1.15E-05</w:t>
            </w:r>
          </w:p>
        </w:tc>
        <w:tc>
          <w:tcPr>
            <w:tcW w:w="424" w:type="pct"/>
            <w:noWrap/>
            <w:vAlign w:val="center"/>
          </w:tcPr>
          <w:p w14:paraId="1F687B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55604E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1E3981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3.90E-05</w:t>
            </w:r>
          </w:p>
        </w:tc>
        <w:tc>
          <w:tcPr>
            <w:tcW w:w="412" w:type="pct"/>
            <w:noWrap/>
            <w:vAlign w:val="center"/>
          </w:tcPr>
          <w:p w14:paraId="6FE922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0.08</w:t>
            </w:r>
          </w:p>
        </w:tc>
        <w:tc>
          <w:tcPr>
            <w:tcW w:w="424" w:type="pct"/>
            <w:noWrap/>
            <w:vAlign w:val="center"/>
          </w:tcPr>
          <w:p w14:paraId="45EA12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C896C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275" w:type="pct"/>
            <w:vMerge w:val="restart"/>
            <w:noWrap/>
            <w:vAlign w:val="center"/>
          </w:tcPr>
          <w:p w14:paraId="5F3546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13</w:t>
            </w:r>
          </w:p>
        </w:tc>
        <w:tc>
          <w:tcPr>
            <w:tcW w:w="1020" w:type="pct"/>
            <w:vMerge w:val="restart"/>
            <w:noWrap/>
            <w:vAlign w:val="center"/>
          </w:tcPr>
          <w:p w14:paraId="154098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绥芬河市民政局</w:t>
            </w:r>
          </w:p>
        </w:tc>
        <w:tc>
          <w:tcPr>
            <w:tcW w:w="424" w:type="pct"/>
            <w:noWrap/>
            <w:vAlign w:val="center"/>
          </w:tcPr>
          <w:p w14:paraId="19097C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543A80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8.95E-05</w:t>
            </w:r>
          </w:p>
        </w:tc>
        <w:tc>
          <w:tcPr>
            <w:tcW w:w="424" w:type="pct"/>
            <w:noWrap/>
            <w:vAlign w:val="center"/>
          </w:tcPr>
          <w:p w14:paraId="7CC12E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559401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4CBCA4C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1.21E-04</w:t>
            </w:r>
          </w:p>
        </w:tc>
        <w:tc>
          <w:tcPr>
            <w:tcW w:w="412" w:type="pct"/>
            <w:noWrap/>
            <w:vAlign w:val="center"/>
          </w:tcPr>
          <w:p w14:paraId="1AB5C4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0.12</w:t>
            </w:r>
          </w:p>
        </w:tc>
        <w:tc>
          <w:tcPr>
            <w:tcW w:w="424" w:type="pct"/>
            <w:noWrap/>
            <w:vAlign w:val="center"/>
          </w:tcPr>
          <w:p w14:paraId="1EF038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47B97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275" w:type="pct"/>
            <w:vMerge w:val="continue"/>
            <w:noWrap/>
            <w:vAlign w:val="center"/>
          </w:tcPr>
          <w:p w14:paraId="02B831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16E8D3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1363C7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5A7C1B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1.59E-06</w:t>
            </w:r>
          </w:p>
        </w:tc>
        <w:tc>
          <w:tcPr>
            <w:tcW w:w="424" w:type="pct"/>
            <w:noWrap/>
            <w:vAlign w:val="center"/>
          </w:tcPr>
          <w:p w14:paraId="137DAE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70C76A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2FD8DE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2.90E-05</w:t>
            </w:r>
          </w:p>
        </w:tc>
        <w:tc>
          <w:tcPr>
            <w:tcW w:w="412" w:type="pct"/>
            <w:noWrap/>
            <w:vAlign w:val="center"/>
          </w:tcPr>
          <w:p w14:paraId="361435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424" w:type="pct"/>
            <w:noWrap/>
            <w:vAlign w:val="center"/>
          </w:tcPr>
          <w:p w14:paraId="070184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B7DB9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275" w:type="pct"/>
            <w:vMerge w:val="restart"/>
            <w:noWrap/>
            <w:vAlign w:val="center"/>
          </w:tcPr>
          <w:p w14:paraId="3E08DB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w:t>
            </w:r>
          </w:p>
        </w:tc>
        <w:tc>
          <w:tcPr>
            <w:tcW w:w="1020" w:type="pct"/>
            <w:vMerge w:val="restart"/>
            <w:noWrap/>
            <w:vAlign w:val="center"/>
          </w:tcPr>
          <w:p w14:paraId="02A5FE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绥芬河市公安局</w:t>
            </w:r>
          </w:p>
        </w:tc>
        <w:tc>
          <w:tcPr>
            <w:tcW w:w="424" w:type="pct"/>
            <w:noWrap/>
            <w:vAlign w:val="center"/>
          </w:tcPr>
          <w:p w14:paraId="317797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0F383C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1.03E-04</w:t>
            </w:r>
          </w:p>
        </w:tc>
        <w:tc>
          <w:tcPr>
            <w:tcW w:w="424" w:type="pct"/>
            <w:noWrap/>
            <w:vAlign w:val="center"/>
          </w:tcPr>
          <w:p w14:paraId="02F553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240416</w:t>
            </w:r>
          </w:p>
        </w:tc>
        <w:tc>
          <w:tcPr>
            <w:tcW w:w="672" w:type="pct"/>
            <w:noWrap/>
            <w:vAlign w:val="center"/>
          </w:tcPr>
          <w:p w14:paraId="3114D7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6F162F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1.34E-04</w:t>
            </w:r>
          </w:p>
        </w:tc>
        <w:tc>
          <w:tcPr>
            <w:tcW w:w="412" w:type="pct"/>
            <w:noWrap/>
            <w:vAlign w:val="center"/>
          </w:tcPr>
          <w:p w14:paraId="6B1287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0.13</w:t>
            </w:r>
          </w:p>
        </w:tc>
        <w:tc>
          <w:tcPr>
            <w:tcW w:w="424" w:type="pct"/>
            <w:noWrap/>
            <w:vAlign w:val="center"/>
          </w:tcPr>
          <w:p w14:paraId="3ADB70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C23EA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275" w:type="pct"/>
            <w:vMerge w:val="continue"/>
            <w:noWrap/>
            <w:vAlign w:val="center"/>
          </w:tcPr>
          <w:p w14:paraId="1042FB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44128D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2C0F4E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73E9DE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1.93E-06</w:t>
            </w:r>
          </w:p>
        </w:tc>
        <w:tc>
          <w:tcPr>
            <w:tcW w:w="424" w:type="pct"/>
            <w:noWrap/>
            <w:vAlign w:val="center"/>
          </w:tcPr>
          <w:p w14:paraId="22E4F3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0E6A34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57E562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2.94E-05</w:t>
            </w:r>
          </w:p>
        </w:tc>
        <w:tc>
          <w:tcPr>
            <w:tcW w:w="412" w:type="pct"/>
            <w:noWrap/>
            <w:vAlign w:val="center"/>
          </w:tcPr>
          <w:p w14:paraId="3419E9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424" w:type="pct"/>
            <w:noWrap/>
            <w:vAlign w:val="center"/>
          </w:tcPr>
          <w:p w14:paraId="63B203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1310F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275" w:type="pct"/>
            <w:vMerge w:val="restart"/>
            <w:noWrap/>
            <w:vAlign w:val="center"/>
          </w:tcPr>
          <w:p w14:paraId="52654D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15</w:t>
            </w:r>
          </w:p>
        </w:tc>
        <w:tc>
          <w:tcPr>
            <w:tcW w:w="1020" w:type="pct"/>
            <w:vMerge w:val="restart"/>
            <w:noWrap/>
            <w:vAlign w:val="center"/>
          </w:tcPr>
          <w:p w14:paraId="4FFC03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阜宁镇人民政府</w:t>
            </w:r>
          </w:p>
        </w:tc>
        <w:tc>
          <w:tcPr>
            <w:tcW w:w="424" w:type="pct"/>
            <w:noWrap/>
            <w:vAlign w:val="center"/>
          </w:tcPr>
          <w:p w14:paraId="3E98C0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0A799A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6.96E-05</w:t>
            </w:r>
          </w:p>
        </w:tc>
        <w:tc>
          <w:tcPr>
            <w:tcW w:w="424" w:type="pct"/>
            <w:noWrap/>
            <w:vAlign w:val="center"/>
          </w:tcPr>
          <w:p w14:paraId="1C0793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0BA4BC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104099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1.01E-04</w:t>
            </w:r>
          </w:p>
        </w:tc>
        <w:tc>
          <w:tcPr>
            <w:tcW w:w="412" w:type="pct"/>
            <w:noWrap/>
            <w:vAlign w:val="center"/>
          </w:tcPr>
          <w:p w14:paraId="476ECA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0.10</w:t>
            </w:r>
          </w:p>
        </w:tc>
        <w:tc>
          <w:tcPr>
            <w:tcW w:w="424" w:type="pct"/>
            <w:noWrap/>
            <w:vAlign w:val="center"/>
          </w:tcPr>
          <w:p w14:paraId="26E7B6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6676A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275" w:type="pct"/>
            <w:vMerge w:val="continue"/>
            <w:noWrap/>
            <w:vAlign w:val="center"/>
          </w:tcPr>
          <w:p w14:paraId="196FBC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12021A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530617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18A32C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1.07E-06</w:t>
            </w:r>
          </w:p>
        </w:tc>
        <w:tc>
          <w:tcPr>
            <w:tcW w:w="424" w:type="pct"/>
            <w:noWrap/>
            <w:vAlign w:val="center"/>
          </w:tcPr>
          <w:p w14:paraId="0F68A8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7CE2B3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606051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2.85E-05</w:t>
            </w:r>
          </w:p>
        </w:tc>
        <w:tc>
          <w:tcPr>
            <w:tcW w:w="412" w:type="pct"/>
            <w:noWrap/>
            <w:vAlign w:val="center"/>
          </w:tcPr>
          <w:p w14:paraId="2DFC88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424" w:type="pct"/>
            <w:noWrap/>
            <w:vAlign w:val="center"/>
          </w:tcPr>
          <w:p w14:paraId="1B548F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EF75F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275" w:type="pct"/>
            <w:vMerge w:val="restart"/>
            <w:noWrap/>
            <w:vAlign w:val="center"/>
          </w:tcPr>
          <w:p w14:paraId="17E93A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16</w:t>
            </w:r>
          </w:p>
        </w:tc>
        <w:tc>
          <w:tcPr>
            <w:tcW w:w="1020" w:type="pct"/>
            <w:vMerge w:val="restart"/>
            <w:noWrap/>
            <w:vAlign w:val="center"/>
          </w:tcPr>
          <w:p w14:paraId="30F3E9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绥芬河市广播电视局</w:t>
            </w:r>
          </w:p>
        </w:tc>
        <w:tc>
          <w:tcPr>
            <w:tcW w:w="424" w:type="pct"/>
            <w:noWrap/>
            <w:vAlign w:val="center"/>
          </w:tcPr>
          <w:p w14:paraId="592FBC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03CF05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2.59E-04</w:t>
            </w:r>
          </w:p>
        </w:tc>
        <w:tc>
          <w:tcPr>
            <w:tcW w:w="424" w:type="pct"/>
            <w:noWrap/>
            <w:vAlign w:val="center"/>
          </w:tcPr>
          <w:p w14:paraId="0811EB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241001</w:t>
            </w:r>
          </w:p>
        </w:tc>
        <w:tc>
          <w:tcPr>
            <w:tcW w:w="672" w:type="pct"/>
            <w:noWrap/>
            <w:vAlign w:val="center"/>
          </w:tcPr>
          <w:p w14:paraId="5E1835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064A28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2.90E-04</w:t>
            </w:r>
          </w:p>
        </w:tc>
        <w:tc>
          <w:tcPr>
            <w:tcW w:w="412" w:type="pct"/>
            <w:noWrap/>
            <w:vAlign w:val="center"/>
          </w:tcPr>
          <w:p w14:paraId="076472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0.29</w:t>
            </w:r>
          </w:p>
        </w:tc>
        <w:tc>
          <w:tcPr>
            <w:tcW w:w="424" w:type="pct"/>
            <w:noWrap/>
            <w:vAlign w:val="center"/>
          </w:tcPr>
          <w:p w14:paraId="66B9DB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C2C39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275" w:type="pct"/>
            <w:vMerge w:val="continue"/>
            <w:noWrap/>
            <w:vAlign w:val="center"/>
          </w:tcPr>
          <w:p w14:paraId="166E21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1A4B18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4FD5E2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2AE404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8.25E-06</w:t>
            </w:r>
          </w:p>
        </w:tc>
        <w:tc>
          <w:tcPr>
            <w:tcW w:w="424" w:type="pct"/>
            <w:noWrap/>
            <w:vAlign w:val="center"/>
          </w:tcPr>
          <w:p w14:paraId="73E9AF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780597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324CE6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3.57E-05</w:t>
            </w:r>
          </w:p>
        </w:tc>
        <w:tc>
          <w:tcPr>
            <w:tcW w:w="412" w:type="pct"/>
            <w:noWrap/>
            <w:vAlign w:val="center"/>
          </w:tcPr>
          <w:p w14:paraId="26B3B5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0.07</w:t>
            </w:r>
          </w:p>
        </w:tc>
        <w:tc>
          <w:tcPr>
            <w:tcW w:w="424" w:type="pct"/>
            <w:noWrap/>
            <w:vAlign w:val="center"/>
          </w:tcPr>
          <w:p w14:paraId="19C349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20850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275" w:type="pct"/>
            <w:vMerge w:val="restart"/>
            <w:noWrap/>
            <w:vAlign w:val="center"/>
          </w:tcPr>
          <w:p w14:paraId="57EE3C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17</w:t>
            </w:r>
          </w:p>
        </w:tc>
        <w:tc>
          <w:tcPr>
            <w:tcW w:w="1020" w:type="pct"/>
            <w:vMerge w:val="restart"/>
            <w:noWrap/>
            <w:vAlign w:val="center"/>
          </w:tcPr>
          <w:p w14:paraId="0663E8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红太阳未来星幼儿园</w:t>
            </w:r>
          </w:p>
        </w:tc>
        <w:tc>
          <w:tcPr>
            <w:tcW w:w="424" w:type="pct"/>
            <w:noWrap/>
            <w:vAlign w:val="center"/>
          </w:tcPr>
          <w:p w14:paraId="46027F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47103C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5.53E-04</w:t>
            </w:r>
          </w:p>
        </w:tc>
        <w:tc>
          <w:tcPr>
            <w:tcW w:w="424" w:type="pct"/>
            <w:noWrap/>
            <w:vAlign w:val="center"/>
          </w:tcPr>
          <w:p w14:paraId="1F0B77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6B77DB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3EDDAC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5.84E-04</w:t>
            </w:r>
          </w:p>
        </w:tc>
        <w:tc>
          <w:tcPr>
            <w:tcW w:w="412" w:type="pct"/>
            <w:noWrap/>
            <w:vAlign w:val="center"/>
          </w:tcPr>
          <w:p w14:paraId="6FB585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0.58</w:t>
            </w:r>
          </w:p>
        </w:tc>
        <w:tc>
          <w:tcPr>
            <w:tcW w:w="424" w:type="pct"/>
            <w:noWrap/>
            <w:vAlign w:val="center"/>
          </w:tcPr>
          <w:p w14:paraId="5D3E9C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98203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275" w:type="pct"/>
            <w:vMerge w:val="continue"/>
            <w:noWrap/>
            <w:vAlign w:val="center"/>
          </w:tcPr>
          <w:p w14:paraId="013CFC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6FCE10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6CE1AF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4E7E8E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1.49E-05</w:t>
            </w:r>
          </w:p>
        </w:tc>
        <w:tc>
          <w:tcPr>
            <w:tcW w:w="424" w:type="pct"/>
            <w:noWrap/>
            <w:vAlign w:val="center"/>
          </w:tcPr>
          <w:p w14:paraId="1D5920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519C2B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16D029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4.23E-05</w:t>
            </w:r>
          </w:p>
        </w:tc>
        <w:tc>
          <w:tcPr>
            <w:tcW w:w="412" w:type="pct"/>
            <w:noWrap/>
            <w:vAlign w:val="center"/>
          </w:tcPr>
          <w:p w14:paraId="69B3AA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0.08</w:t>
            </w:r>
          </w:p>
        </w:tc>
        <w:tc>
          <w:tcPr>
            <w:tcW w:w="424" w:type="pct"/>
            <w:noWrap/>
            <w:vAlign w:val="center"/>
          </w:tcPr>
          <w:p w14:paraId="1405E8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9AA75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275" w:type="pct"/>
            <w:vMerge w:val="restart"/>
            <w:noWrap/>
            <w:vAlign w:val="center"/>
          </w:tcPr>
          <w:p w14:paraId="48C6CE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w:t>
            </w:r>
          </w:p>
        </w:tc>
        <w:tc>
          <w:tcPr>
            <w:tcW w:w="1020" w:type="pct"/>
            <w:vMerge w:val="restart"/>
            <w:noWrap/>
            <w:vAlign w:val="center"/>
          </w:tcPr>
          <w:p w14:paraId="3A0742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金恒基小学</w:t>
            </w:r>
          </w:p>
        </w:tc>
        <w:tc>
          <w:tcPr>
            <w:tcW w:w="424" w:type="pct"/>
            <w:noWrap/>
            <w:vAlign w:val="center"/>
          </w:tcPr>
          <w:p w14:paraId="038377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651A65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3.54E-04</w:t>
            </w:r>
          </w:p>
        </w:tc>
        <w:tc>
          <w:tcPr>
            <w:tcW w:w="424" w:type="pct"/>
            <w:noWrap/>
            <w:vAlign w:val="center"/>
          </w:tcPr>
          <w:p w14:paraId="71A2A4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739C4D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1D26CD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3.85E-04</w:t>
            </w:r>
          </w:p>
        </w:tc>
        <w:tc>
          <w:tcPr>
            <w:tcW w:w="412" w:type="pct"/>
            <w:noWrap/>
            <w:vAlign w:val="center"/>
          </w:tcPr>
          <w:p w14:paraId="0C4636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0.39</w:t>
            </w:r>
          </w:p>
        </w:tc>
        <w:tc>
          <w:tcPr>
            <w:tcW w:w="424" w:type="pct"/>
            <w:noWrap/>
            <w:vAlign w:val="center"/>
          </w:tcPr>
          <w:p w14:paraId="6AE2AF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EBAF1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275" w:type="pct"/>
            <w:vMerge w:val="continue"/>
            <w:noWrap/>
            <w:vAlign w:val="center"/>
          </w:tcPr>
          <w:p w14:paraId="5D2D37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03A993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66DB24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56D05E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4.60E-06</w:t>
            </w:r>
          </w:p>
        </w:tc>
        <w:tc>
          <w:tcPr>
            <w:tcW w:w="424" w:type="pct"/>
            <w:noWrap/>
            <w:vAlign w:val="center"/>
          </w:tcPr>
          <w:p w14:paraId="12B2AA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72C494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4FD52A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3.20E-05</w:t>
            </w:r>
          </w:p>
        </w:tc>
        <w:tc>
          <w:tcPr>
            <w:tcW w:w="412" w:type="pct"/>
            <w:noWrap/>
            <w:vAlign w:val="center"/>
          </w:tcPr>
          <w:p w14:paraId="3E3775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424" w:type="pct"/>
            <w:noWrap/>
            <w:vAlign w:val="center"/>
          </w:tcPr>
          <w:p w14:paraId="5D6E1F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8CD42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275" w:type="pct"/>
            <w:vMerge w:val="restart"/>
            <w:noWrap/>
            <w:vAlign w:val="center"/>
          </w:tcPr>
          <w:p w14:paraId="5493A1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19</w:t>
            </w:r>
          </w:p>
        </w:tc>
        <w:tc>
          <w:tcPr>
            <w:tcW w:w="1020" w:type="pct"/>
            <w:vMerge w:val="restart"/>
            <w:noWrap/>
            <w:vAlign w:val="center"/>
          </w:tcPr>
          <w:p w14:paraId="3C06C3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弘孟幼儿园</w:t>
            </w:r>
          </w:p>
        </w:tc>
        <w:tc>
          <w:tcPr>
            <w:tcW w:w="424" w:type="pct"/>
            <w:noWrap/>
            <w:vAlign w:val="center"/>
          </w:tcPr>
          <w:p w14:paraId="2E9D45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32020D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3.75E-04</w:t>
            </w:r>
          </w:p>
        </w:tc>
        <w:tc>
          <w:tcPr>
            <w:tcW w:w="424" w:type="pct"/>
            <w:noWrap/>
            <w:vAlign w:val="center"/>
          </w:tcPr>
          <w:p w14:paraId="21677D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431C27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095D09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4.06E-04</w:t>
            </w:r>
          </w:p>
        </w:tc>
        <w:tc>
          <w:tcPr>
            <w:tcW w:w="412" w:type="pct"/>
            <w:noWrap/>
            <w:vAlign w:val="center"/>
          </w:tcPr>
          <w:p w14:paraId="227C41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0.41</w:t>
            </w:r>
          </w:p>
        </w:tc>
        <w:tc>
          <w:tcPr>
            <w:tcW w:w="424" w:type="pct"/>
            <w:noWrap/>
            <w:vAlign w:val="center"/>
          </w:tcPr>
          <w:p w14:paraId="3A78FB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128A7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275" w:type="pct"/>
            <w:vMerge w:val="continue"/>
            <w:noWrap/>
            <w:vAlign w:val="center"/>
          </w:tcPr>
          <w:p w14:paraId="1C58A4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2873FE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6495A9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19CDAF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5.04E-06</w:t>
            </w:r>
          </w:p>
        </w:tc>
        <w:tc>
          <w:tcPr>
            <w:tcW w:w="424" w:type="pct"/>
            <w:noWrap/>
            <w:vAlign w:val="center"/>
          </w:tcPr>
          <w:p w14:paraId="0176DC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27CA8E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4D32D7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3.25E-05</w:t>
            </w:r>
          </w:p>
        </w:tc>
        <w:tc>
          <w:tcPr>
            <w:tcW w:w="412" w:type="pct"/>
            <w:noWrap/>
            <w:vAlign w:val="center"/>
          </w:tcPr>
          <w:p w14:paraId="4E1A04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424" w:type="pct"/>
            <w:noWrap/>
            <w:vAlign w:val="center"/>
          </w:tcPr>
          <w:p w14:paraId="168A48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47522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275" w:type="pct"/>
            <w:vMerge w:val="restart"/>
            <w:noWrap/>
            <w:vAlign w:val="center"/>
          </w:tcPr>
          <w:p w14:paraId="1F0ED3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20</w:t>
            </w:r>
          </w:p>
        </w:tc>
        <w:tc>
          <w:tcPr>
            <w:tcW w:w="1020" w:type="pct"/>
            <w:vMerge w:val="restart"/>
            <w:noWrap/>
            <w:vAlign w:val="center"/>
          </w:tcPr>
          <w:p w14:paraId="4CF0C6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红太阳幼儿园</w:t>
            </w:r>
          </w:p>
        </w:tc>
        <w:tc>
          <w:tcPr>
            <w:tcW w:w="424" w:type="pct"/>
            <w:noWrap/>
            <w:vAlign w:val="center"/>
          </w:tcPr>
          <w:p w14:paraId="2E6E2D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259857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7.14E-04</w:t>
            </w:r>
          </w:p>
        </w:tc>
        <w:tc>
          <w:tcPr>
            <w:tcW w:w="424" w:type="pct"/>
            <w:noWrap/>
            <w:vAlign w:val="center"/>
          </w:tcPr>
          <w:p w14:paraId="72B31F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240325</w:t>
            </w:r>
          </w:p>
        </w:tc>
        <w:tc>
          <w:tcPr>
            <w:tcW w:w="672" w:type="pct"/>
            <w:noWrap/>
            <w:vAlign w:val="center"/>
          </w:tcPr>
          <w:p w14:paraId="20420B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59BB64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7.45E-04</w:t>
            </w:r>
          </w:p>
        </w:tc>
        <w:tc>
          <w:tcPr>
            <w:tcW w:w="412" w:type="pct"/>
            <w:noWrap/>
            <w:vAlign w:val="center"/>
          </w:tcPr>
          <w:p w14:paraId="3B6242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0.74</w:t>
            </w:r>
          </w:p>
        </w:tc>
        <w:tc>
          <w:tcPr>
            <w:tcW w:w="424" w:type="pct"/>
            <w:noWrap/>
            <w:vAlign w:val="center"/>
          </w:tcPr>
          <w:p w14:paraId="528435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87CCD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275" w:type="pct"/>
            <w:vMerge w:val="continue"/>
            <w:noWrap/>
            <w:vAlign w:val="center"/>
          </w:tcPr>
          <w:p w14:paraId="7486F4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75E2DA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38CA76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4913E8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1.80E-05</w:t>
            </w:r>
          </w:p>
        </w:tc>
        <w:tc>
          <w:tcPr>
            <w:tcW w:w="424" w:type="pct"/>
            <w:noWrap/>
            <w:vAlign w:val="center"/>
          </w:tcPr>
          <w:p w14:paraId="018800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5AE41E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6991C0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4.55E-05</w:t>
            </w:r>
          </w:p>
        </w:tc>
        <w:tc>
          <w:tcPr>
            <w:tcW w:w="412" w:type="pct"/>
            <w:noWrap/>
            <w:vAlign w:val="center"/>
          </w:tcPr>
          <w:p w14:paraId="16B31B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0.09</w:t>
            </w:r>
          </w:p>
        </w:tc>
        <w:tc>
          <w:tcPr>
            <w:tcW w:w="424" w:type="pct"/>
            <w:noWrap/>
            <w:vAlign w:val="center"/>
          </w:tcPr>
          <w:p w14:paraId="1EAE35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5A46D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275" w:type="pct"/>
            <w:vMerge w:val="restart"/>
            <w:noWrap/>
            <w:vAlign w:val="center"/>
          </w:tcPr>
          <w:p w14:paraId="00B17B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21</w:t>
            </w:r>
          </w:p>
        </w:tc>
        <w:tc>
          <w:tcPr>
            <w:tcW w:w="1020" w:type="pct"/>
            <w:vMerge w:val="restart"/>
            <w:noWrap/>
            <w:vAlign w:val="center"/>
          </w:tcPr>
          <w:p w14:paraId="3E220D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千里幼稚园</w:t>
            </w:r>
          </w:p>
        </w:tc>
        <w:tc>
          <w:tcPr>
            <w:tcW w:w="424" w:type="pct"/>
            <w:noWrap/>
            <w:vAlign w:val="center"/>
          </w:tcPr>
          <w:p w14:paraId="7D2BA6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470D5D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5.69E-04</w:t>
            </w:r>
          </w:p>
        </w:tc>
        <w:tc>
          <w:tcPr>
            <w:tcW w:w="424" w:type="pct"/>
            <w:noWrap/>
            <w:vAlign w:val="center"/>
          </w:tcPr>
          <w:p w14:paraId="05E382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241001</w:t>
            </w:r>
          </w:p>
        </w:tc>
        <w:tc>
          <w:tcPr>
            <w:tcW w:w="672" w:type="pct"/>
            <w:noWrap/>
            <w:vAlign w:val="center"/>
          </w:tcPr>
          <w:p w14:paraId="704D1C8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7906BA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6.00E-04</w:t>
            </w:r>
          </w:p>
        </w:tc>
        <w:tc>
          <w:tcPr>
            <w:tcW w:w="412" w:type="pct"/>
            <w:noWrap/>
            <w:vAlign w:val="center"/>
          </w:tcPr>
          <w:p w14:paraId="087A37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0.60</w:t>
            </w:r>
          </w:p>
        </w:tc>
        <w:tc>
          <w:tcPr>
            <w:tcW w:w="424" w:type="pct"/>
            <w:noWrap/>
            <w:vAlign w:val="center"/>
          </w:tcPr>
          <w:p w14:paraId="683C61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C5400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275" w:type="pct"/>
            <w:vMerge w:val="continue"/>
            <w:noWrap/>
            <w:vAlign w:val="center"/>
          </w:tcPr>
          <w:p w14:paraId="2110B7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7CEC77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1663A2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2CDB04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2.26E-05</w:t>
            </w:r>
          </w:p>
        </w:tc>
        <w:tc>
          <w:tcPr>
            <w:tcW w:w="424" w:type="pct"/>
            <w:noWrap/>
            <w:vAlign w:val="center"/>
          </w:tcPr>
          <w:p w14:paraId="032FE4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5A489C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298010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5.01E-05</w:t>
            </w:r>
          </w:p>
        </w:tc>
        <w:tc>
          <w:tcPr>
            <w:tcW w:w="412" w:type="pct"/>
            <w:noWrap/>
            <w:vAlign w:val="center"/>
          </w:tcPr>
          <w:p w14:paraId="076D93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0.10</w:t>
            </w:r>
          </w:p>
        </w:tc>
        <w:tc>
          <w:tcPr>
            <w:tcW w:w="424" w:type="pct"/>
            <w:noWrap/>
            <w:vAlign w:val="center"/>
          </w:tcPr>
          <w:p w14:paraId="5CAA47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FBB8C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275" w:type="pct"/>
            <w:vMerge w:val="restart"/>
            <w:noWrap/>
            <w:vAlign w:val="center"/>
          </w:tcPr>
          <w:p w14:paraId="6C90B5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22</w:t>
            </w:r>
          </w:p>
        </w:tc>
        <w:tc>
          <w:tcPr>
            <w:tcW w:w="1020" w:type="pct"/>
            <w:vMerge w:val="restart"/>
            <w:noWrap/>
            <w:vAlign w:val="center"/>
          </w:tcPr>
          <w:p w14:paraId="77B584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绥芬河市第一中学</w:t>
            </w:r>
          </w:p>
        </w:tc>
        <w:tc>
          <w:tcPr>
            <w:tcW w:w="424" w:type="pct"/>
            <w:noWrap/>
            <w:vAlign w:val="center"/>
          </w:tcPr>
          <w:p w14:paraId="0EDE4F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788ECE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6.02E-04</w:t>
            </w:r>
          </w:p>
        </w:tc>
        <w:tc>
          <w:tcPr>
            <w:tcW w:w="424" w:type="pct"/>
            <w:noWrap/>
            <w:vAlign w:val="center"/>
          </w:tcPr>
          <w:p w14:paraId="77BC19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241001</w:t>
            </w:r>
          </w:p>
        </w:tc>
        <w:tc>
          <w:tcPr>
            <w:tcW w:w="672" w:type="pct"/>
            <w:noWrap/>
            <w:vAlign w:val="center"/>
          </w:tcPr>
          <w:p w14:paraId="446A45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08F854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6.33E-04</w:t>
            </w:r>
          </w:p>
        </w:tc>
        <w:tc>
          <w:tcPr>
            <w:tcW w:w="412" w:type="pct"/>
            <w:noWrap/>
            <w:vAlign w:val="center"/>
          </w:tcPr>
          <w:p w14:paraId="6B4D24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0.63</w:t>
            </w:r>
          </w:p>
        </w:tc>
        <w:tc>
          <w:tcPr>
            <w:tcW w:w="424" w:type="pct"/>
            <w:noWrap/>
            <w:vAlign w:val="center"/>
          </w:tcPr>
          <w:p w14:paraId="61418A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19850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275" w:type="pct"/>
            <w:vMerge w:val="continue"/>
            <w:noWrap/>
            <w:vAlign w:val="center"/>
          </w:tcPr>
          <w:p w14:paraId="322BEF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329C8C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5637D0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35EB90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3.39E-05</w:t>
            </w:r>
          </w:p>
        </w:tc>
        <w:tc>
          <w:tcPr>
            <w:tcW w:w="424" w:type="pct"/>
            <w:noWrap/>
            <w:vAlign w:val="center"/>
          </w:tcPr>
          <w:p w14:paraId="2E6FF7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4FCB96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5CFFBD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6.13E-05</w:t>
            </w:r>
          </w:p>
        </w:tc>
        <w:tc>
          <w:tcPr>
            <w:tcW w:w="412" w:type="pct"/>
            <w:noWrap/>
            <w:vAlign w:val="center"/>
          </w:tcPr>
          <w:p w14:paraId="29F9E9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0.12</w:t>
            </w:r>
          </w:p>
        </w:tc>
        <w:tc>
          <w:tcPr>
            <w:tcW w:w="424" w:type="pct"/>
            <w:noWrap/>
            <w:vAlign w:val="center"/>
          </w:tcPr>
          <w:p w14:paraId="291C87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D7DF5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275" w:type="pct"/>
            <w:vMerge w:val="restart"/>
            <w:noWrap/>
            <w:vAlign w:val="center"/>
          </w:tcPr>
          <w:p w14:paraId="57E036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23</w:t>
            </w:r>
          </w:p>
        </w:tc>
        <w:tc>
          <w:tcPr>
            <w:tcW w:w="1020" w:type="pct"/>
            <w:vMerge w:val="restart"/>
            <w:noWrap/>
            <w:vAlign w:val="center"/>
          </w:tcPr>
          <w:p w14:paraId="5A08B7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商都幼儿园</w:t>
            </w:r>
          </w:p>
        </w:tc>
        <w:tc>
          <w:tcPr>
            <w:tcW w:w="424" w:type="pct"/>
            <w:noWrap/>
            <w:vAlign w:val="center"/>
          </w:tcPr>
          <w:p w14:paraId="7CF1CB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18F3C3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5.66E-04</w:t>
            </w:r>
          </w:p>
        </w:tc>
        <w:tc>
          <w:tcPr>
            <w:tcW w:w="424" w:type="pct"/>
            <w:noWrap/>
            <w:vAlign w:val="center"/>
          </w:tcPr>
          <w:p w14:paraId="0A5ECF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240317</w:t>
            </w:r>
          </w:p>
        </w:tc>
        <w:tc>
          <w:tcPr>
            <w:tcW w:w="672" w:type="pct"/>
            <w:noWrap/>
            <w:vAlign w:val="center"/>
          </w:tcPr>
          <w:p w14:paraId="1AAED8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6519AD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5.97E-04</w:t>
            </w:r>
          </w:p>
        </w:tc>
        <w:tc>
          <w:tcPr>
            <w:tcW w:w="412" w:type="pct"/>
            <w:noWrap/>
            <w:vAlign w:val="center"/>
          </w:tcPr>
          <w:p w14:paraId="1D98AE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0.59</w:t>
            </w:r>
          </w:p>
        </w:tc>
        <w:tc>
          <w:tcPr>
            <w:tcW w:w="424" w:type="pct"/>
            <w:noWrap/>
            <w:vAlign w:val="center"/>
          </w:tcPr>
          <w:p w14:paraId="319E3F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097A9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275" w:type="pct"/>
            <w:vMerge w:val="continue"/>
            <w:noWrap/>
            <w:vAlign w:val="center"/>
          </w:tcPr>
          <w:p w14:paraId="3C442C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401BCF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09AF55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49E603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3.75E-05</w:t>
            </w:r>
          </w:p>
        </w:tc>
        <w:tc>
          <w:tcPr>
            <w:tcW w:w="424" w:type="pct"/>
            <w:noWrap/>
            <w:vAlign w:val="center"/>
          </w:tcPr>
          <w:p w14:paraId="36B90E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432D72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552ED8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6.50E-05</w:t>
            </w:r>
          </w:p>
        </w:tc>
        <w:tc>
          <w:tcPr>
            <w:tcW w:w="412" w:type="pct"/>
            <w:noWrap/>
            <w:vAlign w:val="center"/>
          </w:tcPr>
          <w:p w14:paraId="0DBD7B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0.13</w:t>
            </w:r>
          </w:p>
        </w:tc>
        <w:tc>
          <w:tcPr>
            <w:tcW w:w="424" w:type="pct"/>
            <w:noWrap/>
            <w:vAlign w:val="center"/>
          </w:tcPr>
          <w:p w14:paraId="6484CE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B1CF7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275" w:type="pct"/>
            <w:vMerge w:val="restart"/>
            <w:noWrap/>
            <w:vAlign w:val="center"/>
          </w:tcPr>
          <w:p w14:paraId="6E83ED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w:t>
            </w:r>
          </w:p>
        </w:tc>
        <w:tc>
          <w:tcPr>
            <w:tcW w:w="1020" w:type="pct"/>
            <w:vMerge w:val="restart"/>
            <w:noWrap/>
            <w:vAlign w:val="center"/>
          </w:tcPr>
          <w:p w14:paraId="6D344A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绥芬河市少年儿童业余体校</w:t>
            </w:r>
          </w:p>
        </w:tc>
        <w:tc>
          <w:tcPr>
            <w:tcW w:w="424" w:type="pct"/>
            <w:noWrap/>
            <w:vAlign w:val="center"/>
          </w:tcPr>
          <w:p w14:paraId="7B3C7B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114289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1.02E-04</w:t>
            </w:r>
          </w:p>
        </w:tc>
        <w:tc>
          <w:tcPr>
            <w:tcW w:w="424" w:type="pct"/>
            <w:noWrap/>
            <w:vAlign w:val="center"/>
          </w:tcPr>
          <w:p w14:paraId="7762D3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69A119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7ADE18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1.32E-04</w:t>
            </w:r>
          </w:p>
        </w:tc>
        <w:tc>
          <w:tcPr>
            <w:tcW w:w="412" w:type="pct"/>
            <w:noWrap/>
            <w:vAlign w:val="center"/>
          </w:tcPr>
          <w:p w14:paraId="5A07A4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0.13</w:t>
            </w:r>
          </w:p>
        </w:tc>
        <w:tc>
          <w:tcPr>
            <w:tcW w:w="424" w:type="pct"/>
            <w:noWrap/>
            <w:vAlign w:val="center"/>
          </w:tcPr>
          <w:p w14:paraId="38A6CB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824A2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275" w:type="pct"/>
            <w:vMerge w:val="continue"/>
            <w:noWrap/>
            <w:vAlign w:val="center"/>
          </w:tcPr>
          <w:p w14:paraId="0363D4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0278A3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5175A8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1503E3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1.35E-06</w:t>
            </w:r>
          </w:p>
        </w:tc>
        <w:tc>
          <w:tcPr>
            <w:tcW w:w="424" w:type="pct"/>
            <w:noWrap/>
            <w:vAlign w:val="center"/>
          </w:tcPr>
          <w:p w14:paraId="7DE863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331446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34B7FD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2.88E-05</w:t>
            </w:r>
          </w:p>
        </w:tc>
        <w:tc>
          <w:tcPr>
            <w:tcW w:w="412" w:type="pct"/>
            <w:noWrap/>
            <w:vAlign w:val="center"/>
          </w:tcPr>
          <w:p w14:paraId="688D2B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424" w:type="pct"/>
            <w:noWrap/>
            <w:vAlign w:val="center"/>
          </w:tcPr>
          <w:p w14:paraId="2C8A94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94AA6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275" w:type="pct"/>
            <w:vMerge w:val="restart"/>
            <w:noWrap/>
            <w:vAlign w:val="center"/>
          </w:tcPr>
          <w:p w14:paraId="0A2B98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25</w:t>
            </w:r>
          </w:p>
        </w:tc>
        <w:tc>
          <w:tcPr>
            <w:tcW w:w="1020" w:type="pct"/>
            <w:vMerge w:val="restart"/>
            <w:noWrap/>
            <w:vAlign w:val="center"/>
          </w:tcPr>
          <w:p w14:paraId="3106EC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绥芬河市第二中学</w:t>
            </w:r>
          </w:p>
        </w:tc>
        <w:tc>
          <w:tcPr>
            <w:tcW w:w="424" w:type="pct"/>
            <w:noWrap/>
            <w:vAlign w:val="center"/>
          </w:tcPr>
          <w:p w14:paraId="5BD88C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1730CC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8.02E-05</w:t>
            </w:r>
          </w:p>
        </w:tc>
        <w:tc>
          <w:tcPr>
            <w:tcW w:w="424" w:type="pct"/>
            <w:noWrap/>
            <w:vAlign w:val="center"/>
          </w:tcPr>
          <w:p w14:paraId="39A51E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6EB150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29F3FD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1.11E-04</w:t>
            </w:r>
          </w:p>
        </w:tc>
        <w:tc>
          <w:tcPr>
            <w:tcW w:w="412" w:type="pct"/>
            <w:noWrap/>
            <w:vAlign w:val="center"/>
          </w:tcPr>
          <w:p w14:paraId="250216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0.76</w:t>
            </w:r>
          </w:p>
        </w:tc>
        <w:tc>
          <w:tcPr>
            <w:tcW w:w="424" w:type="pct"/>
            <w:noWrap/>
            <w:vAlign w:val="center"/>
          </w:tcPr>
          <w:p w14:paraId="247BC9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B1F67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275" w:type="pct"/>
            <w:vMerge w:val="continue"/>
            <w:noWrap/>
            <w:vAlign w:val="center"/>
          </w:tcPr>
          <w:p w14:paraId="26C75D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15F588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68E228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437118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1.13E-06</w:t>
            </w:r>
          </w:p>
        </w:tc>
        <w:tc>
          <w:tcPr>
            <w:tcW w:w="424" w:type="pct"/>
            <w:noWrap/>
            <w:vAlign w:val="center"/>
          </w:tcPr>
          <w:p w14:paraId="0399E9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5C092D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2D58DA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2.86E-05</w:t>
            </w:r>
          </w:p>
        </w:tc>
        <w:tc>
          <w:tcPr>
            <w:tcW w:w="412" w:type="pct"/>
            <w:noWrap/>
            <w:vAlign w:val="center"/>
          </w:tcPr>
          <w:p w14:paraId="50BEED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0.11</w:t>
            </w:r>
          </w:p>
        </w:tc>
        <w:tc>
          <w:tcPr>
            <w:tcW w:w="424" w:type="pct"/>
            <w:noWrap/>
            <w:vAlign w:val="center"/>
          </w:tcPr>
          <w:p w14:paraId="456452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584D7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275" w:type="pct"/>
            <w:vMerge w:val="restart"/>
            <w:noWrap/>
            <w:vAlign w:val="center"/>
          </w:tcPr>
          <w:p w14:paraId="16253F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26</w:t>
            </w:r>
          </w:p>
        </w:tc>
        <w:tc>
          <w:tcPr>
            <w:tcW w:w="1020" w:type="pct"/>
            <w:vMerge w:val="restart"/>
            <w:noWrap/>
            <w:vAlign w:val="center"/>
          </w:tcPr>
          <w:p w14:paraId="0426D6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绥芬河市第三中学</w:t>
            </w:r>
          </w:p>
        </w:tc>
        <w:tc>
          <w:tcPr>
            <w:tcW w:w="424" w:type="pct"/>
            <w:noWrap/>
            <w:vAlign w:val="center"/>
          </w:tcPr>
          <w:p w14:paraId="4766AE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00CCE6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3.15E-04</w:t>
            </w:r>
          </w:p>
        </w:tc>
        <w:tc>
          <w:tcPr>
            <w:tcW w:w="424" w:type="pct"/>
            <w:noWrap/>
            <w:vAlign w:val="center"/>
          </w:tcPr>
          <w:p w14:paraId="2DEF94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241001</w:t>
            </w:r>
          </w:p>
        </w:tc>
        <w:tc>
          <w:tcPr>
            <w:tcW w:w="672" w:type="pct"/>
            <w:noWrap/>
            <w:vAlign w:val="center"/>
          </w:tcPr>
          <w:p w14:paraId="651765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607F89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3.46E-04</w:t>
            </w:r>
          </w:p>
        </w:tc>
        <w:tc>
          <w:tcPr>
            <w:tcW w:w="412" w:type="pct"/>
            <w:noWrap/>
            <w:vAlign w:val="center"/>
          </w:tcPr>
          <w:p w14:paraId="13777E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0.35</w:t>
            </w:r>
          </w:p>
        </w:tc>
        <w:tc>
          <w:tcPr>
            <w:tcW w:w="424" w:type="pct"/>
            <w:noWrap/>
            <w:vAlign w:val="center"/>
          </w:tcPr>
          <w:p w14:paraId="17BBFA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54BA1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275" w:type="pct"/>
            <w:vMerge w:val="continue"/>
            <w:noWrap/>
            <w:vAlign w:val="center"/>
          </w:tcPr>
          <w:p w14:paraId="1113DA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525E22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02EC77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212253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1.09E-05</w:t>
            </w:r>
          </w:p>
        </w:tc>
        <w:tc>
          <w:tcPr>
            <w:tcW w:w="424" w:type="pct"/>
            <w:noWrap/>
            <w:vAlign w:val="center"/>
          </w:tcPr>
          <w:p w14:paraId="2741C68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727F46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3B4FE3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3.83E-05</w:t>
            </w:r>
          </w:p>
        </w:tc>
        <w:tc>
          <w:tcPr>
            <w:tcW w:w="412" w:type="pct"/>
            <w:noWrap/>
            <w:vAlign w:val="center"/>
          </w:tcPr>
          <w:p w14:paraId="616D2B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0.08</w:t>
            </w:r>
          </w:p>
        </w:tc>
        <w:tc>
          <w:tcPr>
            <w:tcW w:w="424" w:type="pct"/>
            <w:noWrap/>
            <w:vAlign w:val="center"/>
          </w:tcPr>
          <w:p w14:paraId="72C230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8624E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275" w:type="pct"/>
            <w:vMerge w:val="restart"/>
            <w:noWrap/>
            <w:vAlign w:val="center"/>
          </w:tcPr>
          <w:p w14:paraId="7CBCB8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w:t>
            </w:r>
          </w:p>
        </w:tc>
        <w:tc>
          <w:tcPr>
            <w:tcW w:w="1020" w:type="pct"/>
            <w:vMerge w:val="restart"/>
            <w:noWrap/>
            <w:vAlign w:val="center"/>
          </w:tcPr>
          <w:p w14:paraId="427CFC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旅游局家属楼</w:t>
            </w:r>
          </w:p>
        </w:tc>
        <w:tc>
          <w:tcPr>
            <w:tcW w:w="424" w:type="pct"/>
            <w:noWrap/>
            <w:vAlign w:val="center"/>
          </w:tcPr>
          <w:p w14:paraId="33677C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3EE60F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7.18E-05</w:t>
            </w:r>
          </w:p>
        </w:tc>
        <w:tc>
          <w:tcPr>
            <w:tcW w:w="424" w:type="pct"/>
            <w:noWrap/>
            <w:vAlign w:val="center"/>
          </w:tcPr>
          <w:p w14:paraId="76D19E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240228</w:t>
            </w:r>
          </w:p>
        </w:tc>
        <w:tc>
          <w:tcPr>
            <w:tcW w:w="672" w:type="pct"/>
            <w:noWrap/>
            <w:vAlign w:val="center"/>
          </w:tcPr>
          <w:p w14:paraId="757502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791A77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1.03E-04</w:t>
            </w:r>
          </w:p>
        </w:tc>
        <w:tc>
          <w:tcPr>
            <w:tcW w:w="412" w:type="pct"/>
            <w:noWrap/>
            <w:vAlign w:val="center"/>
          </w:tcPr>
          <w:p w14:paraId="1CEDFC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0.10</w:t>
            </w:r>
          </w:p>
        </w:tc>
        <w:tc>
          <w:tcPr>
            <w:tcW w:w="424" w:type="pct"/>
            <w:noWrap/>
            <w:vAlign w:val="center"/>
          </w:tcPr>
          <w:p w14:paraId="0DE100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BA9A4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275" w:type="pct"/>
            <w:vMerge w:val="continue"/>
            <w:noWrap/>
            <w:vAlign w:val="center"/>
          </w:tcPr>
          <w:p w14:paraId="2AD015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42C1DA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19023B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0373F6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1.40E-06</w:t>
            </w:r>
          </w:p>
        </w:tc>
        <w:tc>
          <w:tcPr>
            <w:tcW w:w="424" w:type="pct"/>
            <w:noWrap/>
            <w:vAlign w:val="center"/>
          </w:tcPr>
          <w:p w14:paraId="0C2796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117F51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382CAA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2.88E-05</w:t>
            </w:r>
          </w:p>
        </w:tc>
        <w:tc>
          <w:tcPr>
            <w:tcW w:w="412" w:type="pct"/>
            <w:noWrap/>
            <w:vAlign w:val="center"/>
          </w:tcPr>
          <w:p w14:paraId="578AC5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424" w:type="pct"/>
            <w:noWrap/>
            <w:vAlign w:val="center"/>
          </w:tcPr>
          <w:p w14:paraId="5B3AED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48AB5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275" w:type="pct"/>
            <w:vMerge w:val="restart"/>
            <w:noWrap/>
            <w:vAlign w:val="center"/>
          </w:tcPr>
          <w:p w14:paraId="7A7A9E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w:t>
            </w:r>
          </w:p>
        </w:tc>
        <w:tc>
          <w:tcPr>
            <w:tcW w:w="1020" w:type="pct"/>
            <w:vMerge w:val="restart"/>
            <w:noWrap/>
            <w:vAlign w:val="center"/>
          </w:tcPr>
          <w:p w14:paraId="4CE2EF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新安幸福嘉园</w:t>
            </w:r>
          </w:p>
        </w:tc>
        <w:tc>
          <w:tcPr>
            <w:tcW w:w="424" w:type="pct"/>
            <w:noWrap/>
            <w:vAlign w:val="center"/>
          </w:tcPr>
          <w:p w14:paraId="7E2D47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63A960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2.09E-04</w:t>
            </w:r>
          </w:p>
        </w:tc>
        <w:tc>
          <w:tcPr>
            <w:tcW w:w="424" w:type="pct"/>
            <w:noWrap/>
            <w:vAlign w:val="center"/>
          </w:tcPr>
          <w:p w14:paraId="2DE59C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56FA7E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787E6D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2.40E-04</w:t>
            </w:r>
          </w:p>
        </w:tc>
        <w:tc>
          <w:tcPr>
            <w:tcW w:w="412" w:type="pct"/>
            <w:noWrap/>
            <w:vAlign w:val="center"/>
          </w:tcPr>
          <w:p w14:paraId="45479A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0.24</w:t>
            </w:r>
          </w:p>
        </w:tc>
        <w:tc>
          <w:tcPr>
            <w:tcW w:w="424" w:type="pct"/>
            <w:noWrap/>
            <w:vAlign w:val="center"/>
          </w:tcPr>
          <w:p w14:paraId="6C06B8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9BF0D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 w:hRule="atLeast"/>
          <w:jc w:val="center"/>
        </w:trPr>
        <w:tc>
          <w:tcPr>
            <w:tcW w:w="275" w:type="pct"/>
            <w:vMerge w:val="continue"/>
            <w:noWrap/>
            <w:vAlign w:val="center"/>
          </w:tcPr>
          <w:p w14:paraId="02931B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3527C4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1FB6DA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44995F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4.36E-06</w:t>
            </w:r>
          </w:p>
        </w:tc>
        <w:tc>
          <w:tcPr>
            <w:tcW w:w="424" w:type="pct"/>
            <w:noWrap/>
            <w:vAlign w:val="center"/>
          </w:tcPr>
          <w:p w14:paraId="1907E3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173054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4320FA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3.18E-05</w:t>
            </w:r>
          </w:p>
        </w:tc>
        <w:tc>
          <w:tcPr>
            <w:tcW w:w="412" w:type="pct"/>
            <w:noWrap/>
            <w:vAlign w:val="center"/>
          </w:tcPr>
          <w:p w14:paraId="6D62D3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424" w:type="pct"/>
            <w:noWrap/>
            <w:vAlign w:val="center"/>
          </w:tcPr>
          <w:p w14:paraId="0E3E33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26E1F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275" w:type="pct"/>
            <w:vMerge w:val="restart"/>
            <w:noWrap/>
            <w:vAlign w:val="center"/>
          </w:tcPr>
          <w:p w14:paraId="079FC2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29</w:t>
            </w:r>
          </w:p>
        </w:tc>
        <w:tc>
          <w:tcPr>
            <w:tcW w:w="1020" w:type="pct"/>
            <w:vMerge w:val="restart"/>
            <w:noWrap/>
            <w:vAlign w:val="center"/>
          </w:tcPr>
          <w:p w14:paraId="2A58FD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中兴小区</w:t>
            </w:r>
          </w:p>
        </w:tc>
        <w:tc>
          <w:tcPr>
            <w:tcW w:w="424" w:type="pct"/>
            <w:noWrap/>
            <w:vAlign w:val="center"/>
          </w:tcPr>
          <w:p w14:paraId="19E81F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200C58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2.21E-04</w:t>
            </w:r>
          </w:p>
        </w:tc>
        <w:tc>
          <w:tcPr>
            <w:tcW w:w="424" w:type="pct"/>
            <w:noWrap/>
            <w:vAlign w:val="center"/>
          </w:tcPr>
          <w:p w14:paraId="515998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152C76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583FE1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2.52E-04</w:t>
            </w:r>
          </w:p>
        </w:tc>
        <w:tc>
          <w:tcPr>
            <w:tcW w:w="412" w:type="pct"/>
            <w:noWrap/>
            <w:vAlign w:val="center"/>
          </w:tcPr>
          <w:p w14:paraId="12BCCA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0.25</w:t>
            </w:r>
          </w:p>
        </w:tc>
        <w:tc>
          <w:tcPr>
            <w:tcW w:w="424" w:type="pct"/>
            <w:noWrap/>
            <w:vAlign w:val="center"/>
          </w:tcPr>
          <w:p w14:paraId="2A63E6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E51EE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275" w:type="pct"/>
            <w:vMerge w:val="continue"/>
            <w:noWrap/>
            <w:vAlign w:val="center"/>
          </w:tcPr>
          <w:p w14:paraId="6E8DAB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1850FA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0D0E53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6201F0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3.20E-06</w:t>
            </w:r>
          </w:p>
        </w:tc>
        <w:tc>
          <w:tcPr>
            <w:tcW w:w="424" w:type="pct"/>
            <w:noWrap/>
            <w:vAlign w:val="center"/>
          </w:tcPr>
          <w:p w14:paraId="7BE123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26987C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28EBE5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3.06E-05</w:t>
            </w:r>
          </w:p>
        </w:tc>
        <w:tc>
          <w:tcPr>
            <w:tcW w:w="412" w:type="pct"/>
            <w:noWrap/>
            <w:vAlign w:val="center"/>
          </w:tcPr>
          <w:p w14:paraId="11E6ED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424" w:type="pct"/>
            <w:noWrap/>
            <w:vAlign w:val="center"/>
          </w:tcPr>
          <w:p w14:paraId="08426E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A5BCB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275" w:type="pct"/>
            <w:vMerge w:val="restart"/>
            <w:noWrap/>
            <w:vAlign w:val="center"/>
          </w:tcPr>
          <w:p w14:paraId="7A0420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30</w:t>
            </w:r>
          </w:p>
        </w:tc>
        <w:tc>
          <w:tcPr>
            <w:tcW w:w="1020" w:type="pct"/>
            <w:vMerge w:val="restart"/>
            <w:noWrap/>
            <w:vAlign w:val="center"/>
          </w:tcPr>
          <w:p w14:paraId="07A1F4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绥兴社区</w:t>
            </w:r>
          </w:p>
        </w:tc>
        <w:tc>
          <w:tcPr>
            <w:tcW w:w="424" w:type="pct"/>
            <w:noWrap/>
            <w:vAlign w:val="center"/>
          </w:tcPr>
          <w:p w14:paraId="671F47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651D3A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5.00E-04</w:t>
            </w:r>
          </w:p>
        </w:tc>
        <w:tc>
          <w:tcPr>
            <w:tcW w:w="424" w:type="pct"/>
            <w:noWrap/>
            <w:vAlign w:val="center"/>
          </w:tcPr>
          <w:p w14:paraId="4DC741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04E7D0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247A1F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5.31E-04</w:t>
            </w:r>
          </w:p>
        </w:tc>
        <w:tc>
          <w:tcPr>
            <w:tcW w:w="412" w:type="pct"/>
            <w:noWrap/>
            <w:vAlign w:val="center"/>
          </w:tcPr>
          <w:p w14:paraId="498543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0.53</w:t>
            </w:r>
          </w:p>
        </w:tc>
        <w:tc>
          <w:tcPr>
            <w:tcW w:w="424" w:type="pct"/>
            <w:noWrap/>
            <w:vAlign w:val="center"/>
          </w:tcPr>
          <w:p w14:paraId="005C06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8FBF7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275" w:type="pct"/>
            <w:vMerge w:val="continue"/>
            <w:noWrap/>
            <w:vAlign w:val="center"/>
          </w:tcPr>
          <w:p w14:paraId="1B5552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3A63C6C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75D630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32BAEC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8.84E-06</w:t>
            </w:r>
          </w:p>
        </w:tc>
        <w:tc>
          <w:tcPr>
            <w:tcW w:w="424" w:type="pct"/>
            <w:noWrap/>
            <w:vAlign w:val="center"/>
          </w:tcPr>
          <w:p w14:paraId="409EAE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3DAA73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4701DD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3.63E-05</w:t>
            </w:r>
          </w:p>
        </w:tc>
        <w:tc>
          <w:tcPr>
            <w:tcW w:w="412" w:type="pct"/>
            <w:noWrap/>
            <w:vAlign w:val="center"/>
          </w:tcPr>
          <w:p w14:paraId="160EA5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0.07</w:t>
            </w:r>
          </w:p>
        </w:tc>
        <w:tc>
          <w:tcPr>
            <w:tcW w:w="424" w:type="pct"/>
            <w:noWrap/>
            <w:vAlign w:val="center"/>
          </w:tcPr>
          <w:p w14:paraId="2B7B8B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9F16A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275" w:type="pct"/>
            <w:vMerge w:val="restart"/>
            <w:noWrap/>
            <w:vAlign w:val="center"/>
          </w:tcPr>
          <w:p w14:paraId="273F82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w:t>
            </w:r>
          </w:p>
        </w:tc>
        <w:tc>
          <w:tcPr>
            <w:tcW w:w="1020" w:type="pct"/>
            <w:vMerge w:val="restart"/>
            <w:noWrap/>
            <w:vAlign w:val="center"/>
          </w:tcPr>
          <w:p w14:paraId="40F695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远东新天地小区</w:t>
            </w:r>
          </w:p>
        </w:tc>
        <w:tc>
          <w:tcPr>
            <w:tcW w:w="424" w:type="pct"/>
            <w:noWrap/>
            <w:vAlign w:val="center"/>
          </w:tcPr>
          <w:p w14:paraId="745BA9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592F9B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1.41E-03</w:t>
            </w:r>
          </w:p>
        </w:tc>
        <w:tc>
          <w:tcPr>
            <w:tcW w:w="424" w:type="pct"/>
            <w:noWrap/>
            <w:vAlign w:val="center"/>
          </w:tcPr>
          <w:p w14:paraId="0F3FE3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240301</w:t>
            </w:r>
          </w:p>
        </w:tc>
        <w:tc>
          <w:tcPr>
            <w:tcW w:w="672" w:type="pct"/>
            <w:noWrap/>
            <w:vAlign w:val="center"/>
          </w:tcPr>
          <w:p w14:paraId="4AD506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7F9CAA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1.44E-03</w:t>
            </w:r>
          </w:p>
        </w:tc>
        <w:tc>
          <w:tcPr>
            <w:tcW w:w="412" w:type="pct"/>
            <w:noWrap/>
            <w:vAlign w:val="center"/>
          </w:tcPr>
          <w:p w14:paraId="59153C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1.44</w:t>
            </w:r>
          </w:p>
        </w:tc>
        <w:tc>
          <w:tcPr>
            <w:tcW w:w="424" w:type="pct"/>
            <w:noWrap/>
            <w:vAlign w:val="center"/>
          </w:tcPr>
          <w:p w14:paraId="2B9044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B6DBC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275" w:type="pct"/>
            <w:vMerge w:val="continue"/>
            <w:noWrap/>
            <w:vAlign w:val="center"/>
          </w:tcPr>
          <w:p w14:paraId="4BEF18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2DBDBA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54C92A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7A0C83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1.59E-04</w:t>
            </w:r>
          </w:p>
        </w:tc>
        <w:tc>
          <w:tcPr>
            <w:tcW w:w="424" w:type="pct"/>
            <w:noWrap/>
            <w:vAlign w:val="center"/>
          </w:tcPr>
          <w:p w14:paraId="0E9FFF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16E7FB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568803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1.87E-04</w:t>
            </w:r>
          </w:p>
        </w:tc>
        <w:tc>
          <w:tcPr>
            <w:tcW w:w="412" w:type="pct"/>
            <w:noWrap/>
            <w:vAlign w:val="center"/>
          </w:tcPr>
          <w:p w14:paraId="76DEDC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0.37</w:t>
            </w:r>
          </w:p>
        </w:tc>
        <w:tc>
          <w:tcPr>
            <w:tcW w:w="424" w:type="pct"/>
            <w:noWrap/>
            <w:vAlign w:val="center"/>
          </w:tcPr>
          <w:p w14:paraId="6CAC0F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F889D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275" w:type="pct"/>
            <w:vMerge w:val="restart"/>
            <w:noWrap/>
            <w:vAlign w:val="center"/>
          </w:tcPr>
          <w:p w14:paraId="434ED1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32</w:t>
            </w:r>
          </w:p>
        </w:tc>
        <w:tc>
          <w:tcPr>
            <w:tcW w:w="1020" w:type="pct"/>
            <w:vMerge w:val="restart"/>
            <w:noWrap/>
            <w:vAlign w:val="center"/>
          </w:tcPr>
          <w:p w14:paraId="0B08BE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凯丰小区</w:t>
            </w:r>
          </w:p>
        </w:tc>
        <w:tc>
          <w:tcPr>
            <w:tcW w:w="424" w:type="pct"/>
            <w:noWrap/>
            <w:vAlign w:val="center"/>
          </w:tcPr>
          <w:p w14:paraId="38DC7F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78E0D1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8.64E-04</w:t>
            </w:r>
          </w:p>
        </w:tc>
        <w:tc>
          <w:tcPr>
            <w:tcW w:w="424" w:type="pct"/>
            <w:noWrap/>
            <w:vAlign w:val="center"/>
          </w:tcPr>
          <w:p w14:paraId="17BEBE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5405A1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341837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8.95E-04</w:t>
            </w:r>
          </w:p>
        </w:tc>
        <w:tc>
          <w:tcPr>
            <w:tcW w:w="412" w:type="pct"/>
            <w:noWrap/>
            <w:vAlign w:val="center"/>
          </w:tcPr>
          <w:p w14:paraId="5A0E80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0.90</w:t>
            </w:r>
          </w:p>
        </w:tc>
        <w:tc>
          <w:tcPr>
            <w:tcW w:w="424" w:type="pct"/>
            <w:noWrap/>
            <w:vAlign w:val="center"/>
          </w:tcPr>
          <w:p w14:paraId="781240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0AE6E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275" w:type="pct"/>
            <w:vMerge w:val="continue"/>
            <w:noWrap/>
            <w:vAlign w:val="center"/>
          </w:tcPr>
          <w:p w14:paraId="497F2D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1469BA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13344A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40E27E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3.08E-05</w:t>
            </w:r>
          </w:p>
        </w:tc>
        <w:tc>
          <w:tcPr>
            <w:tcW w:w="424" w:type="pct"/>
            <w:noWrap/>
            <w:vAlign w:val="center"/>
          </w:tcPr>
          <w:p w14:paraId="3621A3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6E1621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23E033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5.82E-05</w:t>
            </w:r>
          </w:p>
        </w:tc>
        <w:tc>
          <w:tcPr>
            <w:tcW w:w="412" w:type="pct"/>
            <w:noWrap/>
            <w:vAlign w:val="center"/>
          </w:tcPr>
          <w:p w14:paraId="2CE37E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0.12</w:t>
            </w:r>
          </w:p>
        </w:tc>
        <w:tc>
          <w:tcPr>
            <w:tcW w:w="424" w:type="pct"/>
            <w:noWrap/>
            <w:vAlign w:val="center"/>
          </w:tcPr>
          <w:p w14:paraId="1F7A12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29321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275" w:type="pct"/>
            <w:vMerge w:val="restart"/>
            <w:noWrap/>
            <w:vAlign w:val="center"/>
          </w:tcPr>
          <w:p w14:paraId="04E8ED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33</w:t>
            </w:r>
          </w:p>
        </w:tc>
        <w:tc>
          <w:tcPr>
            <w:tcW w:w="1020" w:type="pct"/>
            <w:vMerge w:val="restart"/>
            <w:noWrap/>
            <w:vAlign w:val="center"/>
          </w:tcPr>
          <w:p w14:paraId="3EE80E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澳运阳光花园</w:t>
            </w:r>
          </w:p>
        </w:tc>
        <w:tc>
          <w:tcPr>
            <w:tcW w:w="424" w:type="pct"/>
            <w:noWrap/>
            <w:vAlign w:val="center"/>
          </w:tcPr>
          <w:p w14:paraId="0F7CCE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731D3F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6.70E-04</w:t>
            </w:r>
          </w:p>
        </w:tc>
        <w:tc>
          <w:tcPr>
            <w:tcW w:w="424" w:type="pct"/>
            <w:noWrap/>
            <w:vAlign w:val="center"/>
          </w:tcPr>
          <w:p w14:paraId="400A36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57FCA5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531EE0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7.01E-04</w:t>
            </w:r>
          </w:p>
        </w:tc>
        <w:tc>
          <w:tcPr>
            <w:tcW w:w="412" w:type="pct"/>
            <w:noWrap/>
            <w:vAlign w:val="center"/>
          </w:tcPr>
          <w:p w14:paraId="2DBBDB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0.70</w:t>
            </w:r>
          </w:p>
        </w:tc>
        <w:tc>
          <w:tcPr>
            <w:tcW w:w="424" w:type="pct"/>
            <w:noWrap/>
            <w:vAlign w:val="center"/>
          </w:tcPr>
          <w:p w14:paraId="627924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8A1BB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75" w:type="pct"/>
            <w:vMerge w:val="continue"/>
            <w:noWrap/>
            <w:vAlign w:val="center"/>
          </w:tcPr>
          <w:p w14:paraId="5404D3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58F192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190DB9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467D89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2.61E-05</w:t>
            </w:r>
          </w:p>
        </w:tc>
        <w:tc>
          <w:tcPr>
            <w:tcW w:w="424" w:type="pct"/>
            <w:noWrap/>
            <w:vAlign w:val="center"/>
          </w:tcPr>
          <w:p w14:paraId="1F0FF6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5E0F42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6AA42E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5.35E-05</w:t>
            </w:r>
          </w:p>
        </w:tc>
        <w:tc>
          <w:tcPr>
            <w:tcW w:w="412" w:type="pct"/>
            <w:noWrap/>
            <w:vAlign w:val="center"/>
          </w:tcPr>
          <w:p w14:paraId="120F99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0.11</w:t>
            </w:r>
          </w:p>
        </w:tc>
        <w:tc>
          <w:tcPr>
            <w:tcW w:w="424" w:type="pct"/>
            <w:noWrap/>
            <w:vAlign w:val="center"/>
          </w:tcPr>
          <w:p w14:paraId="313454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904BA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275" w:type="pct"/>
            <w:vMerge w:val="restart"/>
            <w:noWrap/>
            <w:vAlign w:val="center"/>
          </w:tcPr>
          <w:p w14:paraId="291A35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34</w:t>
            </w:r>
          </w:p>
        </w:tc>
        <w:tc>
          <w:tcPr>
            <w:tcW w:w="1020" w:type="pct"/>
            <w:vMerge w:val="restart"/>
            <w:noWrap/>
            <w:vAlign w:val="center"/>
          </w:tcPr>
          <w:p w14:paraId="0943DA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朝阳村</w:t>
            </w:r>
          </w:p>
        </w:tc>
        <w:tc>
          <w:tcPr>
            <w:tcW w:w="424" w:type="pct"/>
            <w:noWrap/>
            <w:vAlign w:val="center"/>
          </w:tcPr>
          <w:p w14:paraId="6B93B1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003761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5.55E-04</w:t>
            </w:r>
          </w:p>
        </w:tc>
        <w:tc>
          <w:tcPr>
            <w:tcW w:w="424" w:type="pct"/>
            <w:noWrap/>
            <w:vAlign w:val="center"/>
          </w:tcPr>
          <w:p w14:paraId="0BBAB0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240327</w:t>
            </w:r>
          </w:p>
        </w:tc>
        <w:tc>
          <w:tcPr>
            <w:tcW w:w="672" w:type="pct"/>
            <w:noWrap/>
            <w:vAlign w:val="center"/>
          </w:tcPr>
          <w:p w14:paraId="7C31FA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6E5ABC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5.86E-04</w:t>
            </w:r>
          </w:p>
        </w:tc>
        <w:tc>
          <w:tcPr>
            <w:tcW w:w="412" w:type="pct"/>
            <w:noWrap/>
            <w:vAlign w:val="center"/>
          </w:tcPr>
          <w:p w14:paraId="2CF043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0.59</w:t>
            </w:r>
          </w:p>
        </w:tc>
        <w:tc>
          <w:tcPr>
            <w:tcW w:w="424" w:type="pct"/>
            <w:noWrap/>
            <w:vAlign w:val="center"/>
          </w:tcPr>
          <w:p w14:paraId="14D629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5768F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275" w:type="pct"/>
            <w:vMerge w:val="continue"/>
            <w:noWrap/>
            <w:vAlign w:val="center"/>
          </w:tcPr>
          <w:p w14:paraId="4702B6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3AB251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724117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3958D2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2.12E-05</w:t>
            </w:r>
          </w:p>
        </w:tc>
        <w:tc>
          <w:tcPr>
            <w:tcW w:w="424" w:type="pct"/>
            <w:noWrap/>
            <w:vAlign w:val="center"/>
          </w:tcPr>
          <w:p w14:paraId="5B425E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0E7802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5F0062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4.86E-05</w:t>
            </w:r>
          </w:p>
        </w:tc>
        <w:tc>
          <w:tcPr>
            <w:tcW w:w="412" w:type="pct"/>
            <w:noWrap/>
            <w:vAlign w:val="center"/>
          </w:tcPr>
          <w:p w14:paraId="261806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0.10</w:t>
            </w:r>
          </w:p>
        </w:tc>
        <w:tc>
          <w:tcPr>
            <w:tcW w:w="424" w:type="pct"/>
            <w:noWrap/>
            <w:vAlign w:val="center"/>
          </w:tcPr>
          <w:p w14:paraId="5BAE3B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50D2E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275" w:type="pct"/>
            <w:vMerge w:val="restart"/>
            <w:noWrap/>
            <w:vAlign w:val="center"/>
          </w:tcPr>
          <w:p w14:paraId="4BA095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35</w:t>
            </w:r>
          </w:p>
        </w:tc>
        <w:tc>
          <w:tcPr>
            <w:tcW w:w="1020" w:type="pct"/>
            <w:vMerge w:val="restart"/>
            <w:noWrap/>
            <w:vAlign w:val="center"/>
          </w:tcPr>
          <w:p w14:paraId="5E5B21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宏隆花园</w:t>
            </w:r>
          </w:p>
        </w:tc>
        <w:tc>
          <w:tcPr>
            <w:tcW w:w="424" w:type="pct"/>
            <w:noWrap/>
            <w:vAlign w:val="center"/>
          </w:tcPr>
          <w:p w14:paraId="36CAEC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654792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5.00E-04</w:t>
            </w:r>
          </w:p>
        </w:tc>
        <w:tc>
          <w:tcPr>
            <w:tcW w:w="424" w:type="pct"/>
            <w:noWrap/>
            <w:vAlign w:val="center"/>
          </w:tcPr>
          <w:p w14:paraId="15F92B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62487E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3BF09E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5.31E-04</w:t>
            </w:r>
          </w:p>
        </w:tc>
        <w:tc>
          <w:tcPr>
            <w:tcW w:w="412" w:type="pct"/>
            <w:noWrap/>
            <w:vAlign w:val="center"/>
          </w:tcPr>
          <w:p w14:paraId="2D2D39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0.53</w:t>
            </w:r>
          </w:p>
        </w:tc>
        <w:tc>
          <w:tcPr>
            <w:tcW w:w="424" w:type="pct"/>
            <w:noWrap/>
            <w:vAlign w:val="center"/>
          </w:tcPr>
          <w:p w14:paraId="7C1FDE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6A1BD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 w:hRule="atLeast"/>
          <w:jc w:val="center"/>
        </w:trPr>
        <w:tc>
          <w:tcPr>
            <w:tcW w:w="275" w:type="pct"/>
            <w:vMerge w:val="continue"/>
            <w:noWrap/>
            <w:vAlign w:val="center"/>
          </w:tcPr>
          <w:p w14:paraId="2AFDDA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16B4F2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27A8CE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4DDE1A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9.83E-06</w:t>
            </w:r>
          </w:p>
        </w:tc>
        <w:tc>
          <w:tcPr>
            <w:tcW w:w="424" w:type="pct"/>
            <w:noWrap/>
            <w:vAlign w:val="center"/>
          </w:tcPr>
          <w:p w14:paraId="05C0C2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60DC25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4C9D87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3.73E-05</w:t>
            </w:r>
          </w:p>
        </w:tc>
        <w:tc>
          <w:tcPr>
            <w:tcW w:w="412" w:type="pct"/>
            <w:noWrap/>
            <w:vAlign w:val="center"/>
          </w:tcPr>
          <w:p w14:paraId="714D3D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0.07</w:t>
            </w:r>
          </w:p>
        </w:tc>
        <w:tc>
          <w:tcPr>
            <w:tcW w:w="424" w:type="pct"/>
            <w:noWrap/>
            <w:vAlign w:val="center"/>
          </w:tcPr>
          <w:p w14:paraId="50C707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C47DF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275" w:type="pct"/>
            <w:vMerge w:val="restart"/>
            <w:noWrap/>
            <w:vAlign w:val="center"/>
          </w:tcPr>
          <w:p w14:paraId="11B2BB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36</w:t>
            </w:r>
          </w:p>
        </w:tc>
        <w:tc>
          <w:tcPr>
            <w:tcW w:w="1020" w:type="pct"/>
            <w:vMerge w:val="restart"/>
            <w:noWrap/>
            <w:vAlign w:val="center"/>
          </w:tcPr>
          <w:p w14:paraId="3CA42A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中福名都花园</w:t>
            </w:r>
          </w:p>
        </w:tc>
        <w:tc>
          <w:tcPr>
            <w:tcW w:w="424" w:type="pct"/>
            <w:noWrap/>
            <w:vAlign w:val="center"/>
          </w:tcPr>
          <w:p w14:paraId="37F08B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737117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3.94E-04</w:t>
            </w:r>
          </w:p>
        </w:tc>
        <w:tc>
          <w:tcPr>
            <w:tcW w:w="424" w:type="pct"/>
            <w:noWrap/>
            <w:vAlign w:val="center"/>
          </w:tcPr>
          <w:p w14:paraId="6FBB3B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6B3781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47D4B1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4.25E-04</w:t>
            </w:r>
          </w:p>
        </w:tc>
        <w:tc>
          <w:tcPr>
            <w:tcW w:w="412" w:type="pct"/>
            <w:noWrap/>
            <w:vAlign w:val="center"/>
          </w:tcPr>
          <w:p w14:paraId="47313B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0.43</w:t>
            </w:r>
          </w:p>
        </w:tc>
        <w:tc>
          <w:tcPr>
            <w:tcW w:w="424" w:type="pct"/>
            <w:noWrap/>
            <w:vAlign w:val="center"/>
          </w:tcPr>
          <w:p w14:paraId="0855B5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ED517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275" w:type="pct"/>
            <w:vMerge w:val="continue"/>
            <w:noWrap/>
            <w:vAlign w:val="center"/>
          </w:tcPr>
          <w:p w14:paraId="1221F6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661397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2FB1A0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57D3A8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5.55E-06</w:t>
            </w:r>
          </w:p>
        </w:tc>
        <w:tc>
          <w:tcPr>
            <w:tcW w:w="424" w:type="pct"/>
            <w:noWrap/>
            <w:vAlign w:val="center"/>
          </w:tcPr>
          <w:p w14:paraId="2CE247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466E18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4F03A4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3.30E-05</w:t>
            </w:r>
          </w:p>
        </w:tc>
        <w:tc>
          <w:tcPr>
            <w:tcW w:w="412" w:type="pct"/>
            <w:noWrap/>
            <w:vAlign w:val="center"/>
          </w:tcPr>
          <w:p w14:paraId="59333D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0.07</w:t>
            </w:r>
          </w:p>
        </w:tc>
        <w:tc>
          <w:tcPr>
            <w:tcW w:w="424" w:type="pct"/>
            <w:noWrap/>
            <w:vAlign w:val="center"/>
          </w:tcPr>
          <w:p w14:paraId="7DE457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3F72A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0" w:hRule="atLeast"/>
          <w:jc w:val="center"/>
        </w:trPr>
        <w:tc>
          <w:tcPr>
            <w:tcW w:w="275" w:type="pct"/>
            <w:vMerge w:val="restart"/>
            <w:noWrap/>
            <w:vAlign w:val="center"/>
          </w:tcPr>
          <w:p w14:paraId="3D666A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37</w:t>
            </w:r>
          </w:p>
        </w:tc>
        <w:tc>
          <w:tcPr>
            <w:tcW w:w="1020" w:type="pct"/>
            <w:vMerge w:val="restart"/>
            <w:noWrap/>
            <w:vAlign w:val="center"/>
          </w:tcPr>
          <w:p w14:paraId="7507E0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康健花园</w:t>
            </w:r>
          </w:p>
        </w:tc>
        <w:tc>
          <w:tcPr>
            <w:tcW w:w="424" w:type="pct"/>
            <w:noWrap/>
            <w:vAlign w:val="center"/>
          </w:tcPr>
          <w:p w14:paraId="0F5855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103016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4.48E-04</w:t>
            </w:r>
          </w:p>
        </w:tc>
        <w:tc>
          <w:tcPr>
            <w:tcW w:w="424" w:type="pct"/>
            <w:noWrap/>
            <w:vAlign w:val="center"/>
          </w:tcPr>
          <w:p w14:paraId="5E6413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241001</w:t>
            </w:r>
          </w:p>
        </w:tc>
        <w:tc>
          <w:tcPr>
            <w:tcW w:w="672" w:type="pct"/>
            <w:noWrap/>
            <w:vAlign w:val="center"/>
          </w:tcPr>
          <w:p w14:paraId="7AF9E2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568E69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4.79E-04</w:t>
            </w:r>
          </w:p>
        </w:tc>
        <w:tc>
          <w:tcPr>
            <w:tcW w:w="412" w:type="pct"/>
            <w:noWrap/>
            <w:vAlign w:val="center"/>
          </w:tcPr>
          <w:p w14:paraId="59DE8E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0.48</w:t>
            </w:r>
          </w:p>
        </w:tc>
        <w:tc>
          <w:tcPr>
            <w:tcW w:w="424" w:type="pct"/>
            <w:noWrap/>
            <w:vAlign w:val="center"/>
          </w:tcPr>
          <w:p w14:paraId="45C61B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8B3A1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275" w:type="pct"/>
            <w:vMerge w:val="continue"/>
            <w:noWrap/>
            <w:vAlign w:val="center"/>
          </w:tcPr>
          <w:p w14:paraId="7755F2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533975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760C64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305A07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3.18E-05</w:t>
            </w:r>
          </w:p>
        </w:tc>
        <w:tc>
          <w:tcPr>
            <w:tcW w:w="424" w:type="pct"/>
            <w:noWrap/>
            <w:vAlign w:val="center"/>
          </w:tcPr>
          <w:p w14:paraId="2A08F5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0A1124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7EE577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5.92E-05</w:t>
            </w:r>
          </w:p>
        </w:tc>
        <w:tc>
          <w:tcPr>
            <w:tcW w:w="412" w:type="pct"/>
            <w:noWrap/>
            <w:vAlign w:val="center"/>
          </w:tcPr>
          <w:p w14:paraId="20A3B5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0.12</w:t>
            </w:r>
          </w:p>
        </w:tc>
        <w:tc>
          <w:tcPr>
            <w:tcW w:w="424" w:type="pct"/>
            <w:noWrap/>
            <w:vAlign w:val="center"/>
          </w:tcPr>
          <w:p w14:paraId="1452E1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B579A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275" w:type="pct"/>
            <w:vMerge w:val="restart"/>
            <w:noWrap/>
            <w:vAlign w:val="center"/>
          </w:tcPr>
          <w:p w14:paraId="4A8581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38</w:t>
            </w:r>
          </w:p>
        </w:tc>
        <w:tc>
          <w:tcPr>
            <w:tcW w:w="1020" w:type="pct"/>
            <w:vMerge w:val="restart"/>
            <w:noWrap/>
            <w:vAlign w:val="center"/>
          </w:tcPr>
          <w:p w14:paraId="0B5763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海融安居里</w:t>
            </w:r>
          </w:p>
        </w:tc>
        <w:tc>
          <w:tcPr>
            <w:tcW w:w="424" w:type="pct"/>
            <w:noWrap/>
            <w:vAlign w:val="center"/>
          </w:tcPr>
          <w:p w14:paraId="5E07CD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484DA2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5.50E-04</w:t>
            </w:r>
          </w:p>
        </w:tc>
        <w:tc>
          <w:tcPr>
            <w:tcW w:w="424" w:type="pct"/>
            <w:noWrap/>
            <w:vAlign w:val="center"/>
          </w:tcPr>
          <w:p w14:paraId="27DC77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241122</w:t>
            </w:r>
          </w:p>
        </w:tc>
        <w:tc>
          <w:tcPr>
            <w:tcW w:w="672" w:type="pct"/>
            <w:noWrap/>
            <w:vAlign w:val="center"/>
          </w:tcPr>
          <w:p w14:paraId="4D18CA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242230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5.81E-04</w:t>
            </w:r>
          </w:p>
        </w:tc>
        <w:tc>
          <w:tcPr>
            <w:tcW w:w="412" w:type="pct"/>
            <w:noWrap/>
            <w:vAlign w:val="center"/>
          </w:tcPr>
          <w:p w14:paraId="761807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0.58</w:t>
            </w:r>
          </w:p>
        </w:tc>
        <w:tc>
          <w:tcPr>
            <w:tcW w:w="424" w:type="pct"/>
            <w:noWrap/>
            <w:vAlign w:val="center"/>
          </w:tcPr>
          <w:p w14:paraId="50D0CB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10CDA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275" w:type="pct"/>
            <w:vMerge w:val="continue"/>
            <w:noWrap/>
            <w:vAlign w:val="center"/>
          </w:tcPr>
          <w:p w14:paraId="43F463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5F6E1C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496568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090E87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4.66E-05</w:t>
            </w:r>
          </w:p>
        </w:tc>
        <w:tc>
          <w:tcPr>
            <w:tcW w:w="424" w:type="pct"/>
            <w:noWrap/>
            <w:vAlign w:val="center"/>
          </w:tcPr>
          <w:p w14:paraId="36DB0B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41253C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2640BD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7.41E-05</w:t>
            </w:r>
          </w:p>
        </w:tc>
        <w:tc>
          <w:tcPr>
            <w:tcW w:w="412" w:type="pct"/>
            <w:noWrap/>
            <w:vAlign w:val="center"/>
          </w:tcPr>
          <w:p w14:paraId="083A6A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0.15</w:t>
            </w:r>
          </w:p>
        </w:tc>
        <w:tc>
          <w:tcPr>
            <w:tcW w:w="424" w:type="pct"/>
            <w:noWrap/>
            <w:vAlign w:val="center"/>
          </w:tcPr>
          <w:p w14:paraId="1A7164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2D9B4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275" w:type="pct"/>
            <w:vMerge w:val="restart"/>
            <w:noWrap/>
            <w:vAlign w:val="center"/>
          </w:tcPr>
          <w:p w14:paraId="1E4756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39</w:t>
            </w:r>
          </w:p>
        </w:tc>
        <w:tc>
          <w:tcPr>
            <w:tcW w:w="1020" w:type="pct"/>
            <w:vMerge w:val="restart"/>
            <w:noWrap/>
            <w:vAlign w:val="center"/>
          </w:tcPr>
          <w:p w14:paraId="6882B1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海融富华苑</w:t>
            </w:r>
          </w:p>
        </w:tc>
        <w:tc>
          <w:tcPr>
            <w:tcW w:w="424" w:type="pct"/>
            <w:noWrap/>
            <w:vAlign w:val="center"/>
          </w:tcPr>
          <w:p w14:paraId="2AAB57E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32A6A5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8.50E-05</w:t>
            </w:r>
          </w:p>
        </w:tc>
        <w:tc>
          <w:tcPr>
            <w:tcW w:w="424" w:type="pct"/>
            <w:noWrap/>
            <w:vAlign w:val="center"/>
          </w:tcPr>
          <w:p w14:paraId="7DD17F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2465C4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6EB4FC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1.16E-04</w:t>
            </w:r>
          </w:p>
        </w:tc>
        <w:tc>
          <w:tcPr>
            <w:tcW w:w="412" w:type="pct"/>
            <w:noWrap/>
            <w:vAlign w:val="center"/>
          </w:tcPr>
          <w:p w14:paraId="57D6A1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0.12</w:t>
            </w:r>
          </w:p>
        </w:tc>
        <w:tc>
          <w:tcPr>
            <w:tcW w:w="424" w:type="pct"/>
            <w:noWrap/>
            <w:vAlign w:val="center"/>
          </w:tcPr>
          <w:p w14:paraId="6C8527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A6B17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275" w:type="pct"/>
            <w:vMerge w:val="continue"/>
            <w:noWrap/>
            <w:vAlign w:val="center"/>
          </w:tcPr>
          <w:p w14:paraId="77B33D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53BFCD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358378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64E30B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1.32E-06</w:t>
            </w:r>
          </w:p>
        </w:tc>
        <w:tc>
          <w:tcPr>
            <w:tcW w:w="424" w:type="pct"/>
            <w:noWrap/>
            <w:vAlign w:val="center"/>
          </w:tcPr>
          <w:p w14:paraId="09C04A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6EBE39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1CDF73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2.87E-05</w:t>
            </w:r>
          </w:p>
        </w:tc>
        <w:tc>
          <w:tcPr>
            <w:tcW w:w="412" w:type="pct"/>
            <w:noWrap/>
            <w:vAlign w:val="center"/>
          </w:tcPr>
          <w:p w14:paraId="5A88A3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424" w:type="pct"/>
            <w:noWrap/>
            <w:vAlign w:val="center"/>
          </w:tcPr>
          <w:p w14:paraId="31A974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2C11D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275" w:type="pct"/>
            <w:vMerge w:val="restart"/>
            <w:noWrap/>
            <w:vAlign w:val="center"/>
          </w:tcPr>
          <w:p w14:paraId="301A33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40</w:t>
            </w:r>
          </w:p>
        </w:tc>
        <w:tc>
          <w:tcPr>
            <w:tcW w:w="1020" w:type="pct"/>
            <w:vMerge w:val="restart"/>
            <w:noWrap/>
            <w:vAlign w:val="center"/>
          </w:tcPr>
          <w:p w14:paraId="4FB2EC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好景园小区</w:t>
            </w:r>
          </w:p>
        </w:tc>
        <w:tc>
          <w:tcPr>
            <w:tcW w:w="424" w:type="pct"/>
            <w:noWrap/>
            <w:vAlign w:val="center"/>
          </w:tcPr>
          <w:p w14:paraId="508AAE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149BA6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9.02E-05</w:t>
            </w:r>
          </w:p>
        </w:tc>
        <w:tc>
          <w:tcPr>
            <w:tcW w:w="424" w:type="pct"/>
            <w:noWrap/>
            <w:vAlign w:val="center"/>
          </w:tcPr>
          <w:p w14:paraId="6A2DFC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6F0FEB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659804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1.21E-04</w:t>
            </w:r>
          </w:p>
        </w:tc>
        <w:tc>
          <w:tcPr>
            <w:tcW w:w="412" w:type="pct"/>
            <w:noWrap/>
            <w:vAlign w:val="center"/>
          </w:tcPr>
          <w:p w14:paraId="6D2F4D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0.12</w:t>
            </w:r>
          </w:p>
        </w:tc>
        <w:tc>
          <w:tcPr>
            <w:tcW w:w="424" w:type="pct"/>
            <w:noWrap/>
            <w:vAlign w:val="center"/>
          </w:tcPr>
          <w:p w14:paraId="0B10D5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8F821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275" w:type="pct"/>
            <w:vMerge w:val="continue"/>
            <w:noWrap/>
            <w:vAlign w:val="center"/>
          </w:tcPr>
          <w:p w14:paraId="4FBE46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486B5C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0966BE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6ED29C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1.40E-06</w:t>
            </w:r>
          </w:p>
        </w:tc>
        <w:tc>
          <w:tcPr>
            <w:tcW w:w="424" w:type="pct"/>
            <w:noWrap/>
            <w:vAlign w:val="center"/>
          </w:tcPr>
          <w:p w14:paraId="5C8C4E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402287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2FE044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2.88E-05</w:t>
            </w:r>
          </w:p>
        </w:tc>
        <w:tc>
          <w:tcPr>
            <w:tcW w:w="412" w:type="pct"/>
            <w:noWrap/>
            <w:vAlign w:val="center"/>
          </w:tcPr>
          <w:p w14:paraId="6BD7A5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424" w:type="pct"/>
            <w:noWrap/>
            <w:vAlign w:val="center"/>
          </w:tcPr>
          <w:p w14:paraId="5A7C78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9CC52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275" w:type="pct"/>
            <w:vMerge w:val="restart"/>
            <w:noWrap/>
            <w:vAlign w:val="center"/>
          </w:tcPr>
          <w:p w14:paraId="608155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41</w:t>
            </w:r>
          </w:p>
        </w:tc>
        <w:tc>
          <w:tcPr>
            <w:tcW w:w="1020" w:type="pct"/>
            <w:vMerge w:val="restart"/>
            <w:noWrap/>
            <w:vAlign w:val="center"/>
          </w:tcPr>
          <w:p w14:paraId="270D8C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旗苑家园</w:t>
            </w:r>
          </w:p>
        </w:tc>
        <w:tc>
          <w:tcPr>
            <w:tcW w:w="424" w:type="pct"/>
            <w:noWrap/>
            <w:vAlign w:val="center"/>
          </w:tcPr>
          <w:p w14:paraId="207AD3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7322CC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7.05E-05</w:t>
            </w:r>
          </w:p>
        </w:tc>
        <w:tc>
          <w:tcPr>
            <w:tcW w:w="424" w:type="pct"/>
            <w:noWrap/>
            <w:vAlign w:val="center"/>
          </w:tcPr>
          <w:p w14:paraId="44AD72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241113</w:t>
            </w:r>
          </w:p>
        </w:tc>
        <w:tc>
          <w:tcPr>
            <w:tcW w:w="672" w:type="pct"/>
            <w:noWrap/>
            <w:vAlign w:val="center"/>
          </w:tcPr>
          <w:p w14:paraId="321D90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0C359C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1.01E-04</w:t>
            </w:r>
          </w:p>
        </w:tc>
        <w:tc>
          <w:tcPr>
            <w:tcW w:w="412" w:type="pct"/>
            <w:noWrap/>
            <w:vAlign w:val="center"/>
          </w:tcPr>
          <w:p w14:paraId="0090E4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0.10</w:t>
            </w:r>
          </w:p>
        </w:tc>
        <w:tc>
          <w:tcPr>
            <w:tcW w:w="424" w:type="pct"/>
            <w:noWrap/>
            <w:vAlign w:val="center"/>
          </w:tcPr>
          <w:p w14:paraId="14A7B2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FC786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 w:hRule="atLeast"/>
          <w:jc w:val="center"/>
        </w:trPr>
        <w:tc>
          <w:tcPr>
            <w:tcW w:w="275" w:type="pct"/>
            <w:vMerge w:val="continue"/>
            <w:noWrap/>
            <w:vAlign w:val="center"/>
          </w:tcPr>
          <w:p w14:paraId="677CA0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6CACAD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428A03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7F0899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1.04E-06</w:t>
            </w:r>
          </w:p>
        </w:tc>
        <w:tc>
          <w:tcPr>
            <w:tcW w:w="424" w:type="pct"/>
            <w:noWrap/>
            <w:vAlign w:val="center"/>
          </w:tcPr>
          <w:p w14:paraId="4AE74B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0F0268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355383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2.85E-05</w:t>
            </w:r>
          </w:p>
        </w:tc>
        <w:tc>
          <w:tcPr>
            <w:tcW w:w="412" w:type="pct"/>
            <w:noWrap/>
            <w:vAlign w:val="center"/>
          </w:tcPr>
          <w:p w14:paraId="0281D7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424" w:type="pct"/>
            <w:noWrap/>
            <w:vAlign w:val="center"/>
          </w:tcPr>
          <w:p w14:paraId="74FB89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E58BE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275" w:type="pct"/>
            <w:vMerge w:val="restart"/>
            <w:noWrap/>
            <w:vAlign w:val="center"/>
          </w:tcPr>
          <w:p w14:paraId="4901BA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w:t>
            </w:r>
          </w:p>
        </w:tc>
        <w:tc>
          <w:tcPr>
            <w:tcW w:w="1020" w:type="pct"/>
            <w:vMerge w:val="restart"/>
            <w:noWrap/>
            <w:vAlign w:val="center"/>
          </w:tcPr>
          <w:p w14:paraId="35BCBE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兴达家园</w:t>
            </w:r>
          </w:p>
        </w:tc>
        <w:tc>
          <w:tcPr>
            <w:tcW w:w="424" w:type="pct"/>
            <w:noWrap/>
            <w:vAlign w:val="center"/>
          </w:tcPr>
          <w:p w14:paraId="41AFAB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2E97DA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5.59E-05</w:t>
            </w:r>
          </w:p>
        </w:tc>
        <w:tc>
          <w:tcPr>
            <w:tcW w:w="424" w:type="pct"/>
            <w:noWrap/>
            <w:vAlign w:val="center"/>
          </w:tcPr>
          <w:p w14:paraId="475802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241001</w:t>
            </w:r>
          </w:p>
        </w:tc>
        <w:tc>
          <w:tcPr>
            <w:tcW w:w="672" w:type="pct"/>
            <w:noWrap/>
            <w:vAlign w:val="center"/>
          </w:tcPr>
          <w:p w14:paraId="30D3FC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51D724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8.69E-05</w:t>
            </w:r>
          </w:p>
        </w:tc>
        <w:tc>
          <w:tcPr>
            <w:tcW w:w="412" w:type="pct"/>
            <w:noWrap/>
            <w:vAlign w:val="center"/>
          </w:tcPr>
          <w:p w14:paraId="42ED78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0.09</w:t>
            </w:r>
          </w:p>
        </w:tc>
        <w:tc>
          <w:tcPr>
            <w:tcW w:w="424" w:type="pct"/>
            <w:noWrap/>
            <w:vAlign w:val="center"/>
          </w:tcPr>
          <w:p w14:paraId="593E03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9D51C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275" w:type="pct"/>
            <w:vMerge w:val="continue"/>
            <w:noWrap/>
            <w:vAlign w:val="center"/>
          </w:tcPr>
          <w:p w14:paraId="68EF7A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4D91E4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39BA53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7DA390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1.48E-06</w:t>
            </w:r>
          </w:p>
        </w:tc>
        <w:tc>
          <w:tcPr>
            <w:tcW w:w="424" w:type="pct"/>
            <w:noWrap/>
            <w:vAlign w:val="center"/>
          </w:tcPr>
          <w:p w14:paraId="2B9FCC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4117C4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673D64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2.89E-05</w:t>
            </w:r>
          </w:p>
        </w:tc>
        <w:tc>
          <w:tcPr>
            <w:tcW w:w="412" w:type="pct"/>
            <w:noWrap/>
            <w:vAlign w:val="center"/>
          </w:tcPr>
          <w:p w14:paraId="4CB535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424" w:type="pct"/>
            <w:noWrap/>
            <w:vAlign w:val="center"/>
          </w:tcPr>
          <w:p w14:paraId="6DD51A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08395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75" w:type="pct"/>
            <w:vMerge w:val="restart"/>
            <w:noWrap/>
            <w:vAlign w:val="center"/>
          </w:tcPr>
          <w:p w14:paraId="6A388C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43</w:t>
            </w:r>
          </w:p>
        </w:tc>
        <w:tc>
          <w:tcPr>
            <w:tcW w:w="1020" w:type="pct"/>
            <w:vMerge w:val="restart"/>
            <w:noWrap/>
            <w:vAlign w:val="center"/>
          </w:tcPr>
          <w:p w14:paraId="0AB47A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协会大厦</w:t>
            </w:r>
          </w:p>
        </w:tc>
        <w:tc>
          <w:tcPr>
            <w:tcW w:w="424" w:type="pct"/>
            <w:noWrap/>
            <w:vAlign w:val="center"/>
          </w:tcPr>
          <w:p w14:paraId="5F7DC2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5C2670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1.65E-04</w:t>
            </w:r>
          </w:p>
        </w:tc>
        <w:tc>
          <w:tcPr>
            <w:tcW w:w="424" w:type="pct"/>
            <w:noWrap/>
            <w:vAlign w:val="center"/>
          </w:tcPr>
          <w:p w14:paraId="303DC7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241001</w:t>
            </w:r>
          </w:p>
        </w:tc>
        <w:tc>
          <w:tcPr>
            <w:tcW w:w="672" w:type="pct"/>
            <w:noWrap/>
            <w:vAlign w:val="center"/>
          </w:tcPr>
          <w:p w14:paraId="0C287D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7BA922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1.96E-04</w:t>
            </w:r>
          </w:p>
        </w:tc>
        <w:tc>
          <w:tcPr>
            <w:tcW w:w="412" w:type="pct"/>
            <w:noWrap/>
            <w:vAlign w:val="center"/>
          </w:tcPr>
          <w:p w14:paraId="719B48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0.20</w:t>
            </w:r>
          </w:p>
        </w:tc>
        <w:tc>
          <w:tcPr>
            <w:tcW w:w="424" w:type="pct"/>
            <w:noWrap/>
            <w:vAlign w:val="center"/>
          </w:tcPr>
          <w:p w14:paraId="707C6A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ADB51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275" w:type="pct"/>
            <w:vMerge w:val="continue"/>
            <w:noWrap/>
            <w:vAlign w:val="center"/>
          </w:tcPr>
          <w:p w14:paraId="2E3029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713699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173604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50EB68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3.46E-06</w:t>
            </w:r>
          </w:p>
        </w:tc>
        <w:tc>
          <w:tcPr>
            <w:tcW w:w="424" w:type="pct"/>
            <w:noWrap/>
            <w:vAlign w:val="center"/>
          </w:tcPr>
          <w:p w14:paraId="35054F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36F251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79DC45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3.09E-05</w:t>
            </w:r>
          </w:p>
        </w:tc>
        <w:tc>
          <w:tcPr>
            <w:tcW w:w="412" w:type="pct"/>
            <w:noWrap/>
            <w:vAlign w:val="center"/>
          </w:tcPr>
          <w:p w14:paraId="17B400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424" w:type="pct"/>
            <w:noWrap/>
            <w:vAlign w:val="center"/>
          </w:tcPr>
          <w:p w14:paraId="175AEF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C60E4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275" w:type="pct"/>
            <w:vMerge w:val="restart"/>
            <w:noWrap/>
            <w:vAlign w:val="center"/>
          </w:tcPr>
          <w:p w14:paraId="4F6ABB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44</w:t>
            </w:r>
          </w:p>
        </w:tc>
        <w:tc>
          <w:tcPr>
            <w:tcW w:w="1020" w:type="pct"/>
            <w:vMerge w:val="restart"/>
            <w:noWrap/>
            <w:vAlign w:val="center"/>
          </w:tcPr>
          <w:p w14:paraId="34B65E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数码港宾馆</w:t>
            </w:r>
          </w:p>
        </w:tc>
        <w:tc>
          <w:tcPr>
            <w:tcW w:w="424" w:type="pct"/>
            <w:noWrap/>
            <w:vAlign w:val="center"/>
          </w:tcPr>
          <w:p w14:paraId="499C95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0B5EA4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8.42E-04</w:t>
            </w:r>
          </w:p>
        </w:tc>
        <w:tc>
          <w:tcPr>
            <w:tcW w:w="424" w:type="pct"/>
            <w:noWrap/>
            <w:vAlign w:val="center"/>
          </w:tcPr>
          <w:p w14:paraId="18EB90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241001</w:t>
            </w:r>
          </w:p>
        </w:tc>
        <w:tc>
          <w:tcPr>
            <w:tcW w:w="672" w:type="pct"/>
            <w:noWrap/>
            <w:vAlign w:val="center"/>
          </w:tcPr>
          <w:p w14:paraId="4AB4B9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5D8836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8.73E-04</w:t>
            </w:r>
          </w:p>
        </w:tc>
        <w:tc>
          <w:tcPr>
            <w:tcW w:w="412" w:type="pct"/>
            <w:noWrap/>
            <w:vAlign w:val="center"/>
          </w:tcPr>
          <w:p w14:paraId="62F12D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0.87</w:t>
            </w:r>
          </w:p>
        </w:tc>
        <w:tc>
          <w:tcPr>
            <w:tcW w:w="424" w:type="pct"/>
            <w:noWrap/>
            <w:vAlign w:val="center"/>
          </w:tcPr>
          <w:p w14:paraId="6E8CC6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8F26F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275" w:type="pct"/>
            <w:vMerge w:val="continue"/>
            <w:noWrap/>
            <w:vAlign w:val="center"/>
          </w:tcPr>
          <w:p w14:paraId="79BE20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5DE064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31CD0F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1D2496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3.67E-05</w:t>
            </w:r>
          </w:p>
        </w:tc>
        <w:tc>
          <w:tcPr>
            <w:tcW w:w="424" w:type="pct"/>
            <w:noWrap/>
            <w:vAlign w:val="center"/>
          </w:tcPr>
          <w:p w14:paraId="5A3E0E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3FACCA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596FA8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6.42E-05</w:t>
            </w:r>
          </w:p>
        </w:tc>
        <w:tc>
          <w:tcPr>
            <w:tcW w:w="412" w:type="pct"/>
            <w:noWrap/>
            <w:vAlign w:val="center"/>
          </w:tcPr>
          <w:p w14:paraId="1CEE29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0.13</w:t>
            </w:r>
          </w:p>
        </w:tc>
        <w:tc>
          <w:tcPr>
            <w:tcW w:w="424" w:type="pct"/>
            <w:noWrap/>
            <w:vAlign w:val="center"/>
          </w:tcPr>
          <w:p w14:paraId="49287B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B9F28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275" w:type="pct"/>
            <w:vMerge w:val="restart"/>
            <w:noWrap/>
            <w:vAlign w:val="center"/>
          </w:tcPr>
          <w:p w14:paraId="089DCA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45</w:t>
            </w:r>
          </w:p>
        </w:tc>
        <w:tc>
          <w:tcPr>
            <w:tcW w:w="1020" w:type="pct"/>
            <w:vMerge w:val="restart"/>
            <w:noWrap/>
            <w:vAlign w:val="center"/>
          </w:tcPr>
          <w:p w14:paraId="36D3AF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山水国际</w:t>
            </w:r>
          </w:p>
        </w:tc>
        <w:tc>
          <w:tcPr>
            <w:tcW w:w="424" w:type="pct"/>
            <w:noWrap/>
            <w:vAlign w:val="center"/>
          </w:tcPr>
          <w:p w14:paraId="685DA3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76E071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1.38E-03</w:t>
            </w:r>
          </w:p>
        </w:tc>
        <w:tc>
          <w:tcPr>
            <w:tcW w:w="424" w:type="pct"/>
            <w:noWrap/>
            <w:vAlign w:val="center"/>
          </w:tcPr>
          <w:p w14:paraId="1F158B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240408</w:t>
            </w:r>
          </w:p>
        </w:tc>
        <w:tc>
          <w:tcPr>
            <w:tcW w:w="672" w:type="pct"/>
            <w:noWrap/>
            <w:vAlign w:val="center"/>
          </w:tcPr>
          <w:p w14:paraId="63EFE2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52D76F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1.41E-03</w:t>
            </w:r>
          </w:p>
        </w:tc>
        <w:tc>
          <w:tcPr>
            <w:tcW w:w="412" w:type="pct"/>
            <w:noWrap/>
            <w:vAlign w:val="center"/>
          </w:tcPr>
          <w:p w14:paraId="764808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1.41</w:t>
            </w:r>
          </w:p>
        </w:tc>
        <w:tc>
          <w:tcPr>
            <w:tcW w:w="424" w:type="pct"/>
            <w:noWrap/>
            <w:vAlign w:val="center"/>
          </w:tcPr>
          <w:p w14:paraId="7FAB83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D2049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275" w:type="pct"/>
            <w:vMerge w:val="continue"/>
            <w:noWrap/>
            <w:vAlign w:val="center"/>
          </w:tcPr>
          <w:p w14:paraId="29477F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4685A8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2B9D87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44CA07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1.37E-04</w:t>
            </w:r>
          </w:p>
        </w:tc>
        <w:tc>
          <w:tcPr>
            <w:tcW w:w="424" w:type="pct"/>
            <w:noWrap/>
            <w:vAlign w:val="center"/>
          </w:tcPr>
          <w:p w14:paraId="6E5C21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162F81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2C16E8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1.65E-04</w:t>
            </w:r>
          </w:p>
        </w:tc>
        <w:tc>
          <w:tcPr>
            <w:tcW w:w="412" w:type="pct"/>
            <w:noWrap/>
            <w:vAlign w:val="center"/>
          </w:tcPr>
          <w:p w14:paraId="0E92CE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0.33</w:t>
            </w:r>
          </w:p>
        </w:tc>
        <w:tc>
          <w:tcPr>
            <w:tcW w:w="424" w:type="pct"/>
            <w:noWrap/>
            <w:vAlign w:val="center"/>
          </w:tcPr>
          <w:p w14:paraId="2B8EDA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CC879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75" w:type="pct"/>
            <w:vMerge w:val="restart"/>
            <w:noWrap/>
            <w:vAlign w:val="center"/>
          </w:tcPr>
          <w:p w14:paraId="25F20E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46</w:t>
            </w:r>
          </w:p>
        </w:tc>
        <w:tc>
          <w:tcPr>
            <w:tcW w:w="1020" w:type="pct"/>
            <w:vMerge w:val="restart"/>
            <w:noWrap/>
            <w:vAlign w:val="center"/>
          </w:tcPr>
          <w:p w14:paraId="63014C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湖畔花园小区</w:t>
            </w:r>
          </w:p>
        </w:tc>
        <w:tc>
          <w:tcPr>
            <w:tcW w:w="424" w:type="pct"/>
            <w:noWrap/>
            <w:vAlign w:val="center"/>
          </w:tcPr>
          <w:p w14:paraId="314483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2DEF72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7.45E-04</w:t>
            </w:r>
          </w:p>
        </w:tc>
        <w:tc>
          <w:tcPr>
            <w:tcW w:w="424" w:type="pct"/>
            <w:noWrap/>
            <w:vAlign w:val="center"/>
          </w:tcPr>
          <w:p w14:paraId="357410E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240325</w:t>
            </w:r>
          </w:p>
        </w:tc>
        <w:tc>
          <w:tcPr>
            <w:tcW w:w="672" w:type="pct"/>
            <w:noWrap/>
            <w:vAlign w:val="center"/>
          </w:tcPr>
          <w:p w14:paraId="02EA54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072E46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7.76E-04</w:t>
            </w:r>
          </w:p>
        </w:tc>
        <w:tc>
          <w:tcPr>
            <w:tcW w:w="412" w:type="pct"/>
            <w:noWrap/>
            <w:vAlign w:val="center"/>
          </w:tcPr>
          <w:p w14:paraId="594D92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0.78</w:t>
            </w:r>
          </w:p>
        </w:tc>
        <w:tc>
          <w:tcPr>
            <w:tcW w:w="424" w:type="pct"/>
            <w:noWrap/>
            <w:vAlign w:val="center"/>
          </w:tcPr>
          <w:p w14:paraId="0141AE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D7745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275" w:type="pct"/>
            <w:vMerge w:val="continue"/>
            <w:noWrap/>
            <w:vAlign w:val="center"/>
          </w:tcPr>
          <w:p w14:paraId="7FC7FD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31770B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36661A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2B3C0C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2.27E-05</w:t>
            </w:r>
          </w:p>
        </w:tc>
        <w:tc>
          <w:tcPr>
            <w:tcW w:w="424" w:type="pct"/>
            <w:noWrap/>
            <w:vAlign w:val="center"/>
          </w:tcPr>
          <w:p w14:paraId="67C409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645428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61F908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5.01E-05</w:t>
            </w:r>
          </w:p>
        </w:tc>
        <w:tc>
          <w:tcPr>
            <w:tcW w:w="412" w:type="pct"/>
            <w:noWrap/>
            <w:vAlign w:val="center"/>
          </w:tcPr>
          <w:p w14:paraId="575AEF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0.10</w:t>
            </w:r>
          </w:p>
        </w:tc>
        <w:tc>
          <w:tcPr>
            <w:tcW w:w="424" w:type="pct"/>
            <w:noWrap/>
            <w:vAlign w:val="center"/>
          </w:tcPr>
          <w:p w14:paraId="067297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4A18C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275" w:type="pct"/>
            <w:vMerge w:val="restart"/>
            <w:noWrap/>
            <w:vAlign w:val="center"/>
          </w:tcPr>
          <w:p w14:paraId="20F747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47</w:t>
            </w:r>
          </w:p>
        </w:tc>
        <w:tc>
          <w:tcPr>
            <w:tcW w:w="1020" w:type="pct"/>
            <w:vMerge w:val="restart"/>
            <w:noWrap/>
            <w:vAlign w:val="center"/>
          </w:tcPr>
          <w:p w14:paraId="4BF701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湖滨小区</w:t>
            </w:r>
          </w:p>
        </w:tc>
        <w:tc>
          <w:tcPr>
            <w:tcW w:w="424" w:type="pct"/>
            <w:noWrap/>
            <w:vAlign w:val="center"/>
          </w:tcPr>
          <w:p w14:paraId="598075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663CC5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5.86E-04</w:t>
            </w:r>
          </w:p>
        </w:tc>
        <w:tc>
          <w:tcPr>
            <w:tcW w:w="424" w:type="pct"/>
            <w:noWrap/>
            <w:vAlign w:val="center"/>
          </w:tcPr>
          <w:p w14:paraId="309B9D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240325</w:t>
            </w:r>
          </w:p>
        </w:tc>
        <w:tc>
          <w:tcPr>
            <w:tcW w:w="672" w:type="pct"/>
            <w:noWrap/>
            <w:vAlign w:val="center"/>
          </w:tcPr>
          <w:p w14:paraId="4C2A6C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3F5540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6.17E-04</w:t>
            </w:r>
          </w:p>
        </w:tc>
        <w:tc>
          <w:tcPr>
            <w:tcW w:w="412" w:type="pct"/>
            <w:noWrap/>
            <w:vAlign w:val="center"/>
          </w:tcPr>
          <w:p w14:paraId="669CD6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0.62</w:t>
            </w:r>
          </w:p>
        </w:tc>
        <w:tc>
          <w:tcPr>
            <w:tcW w:w="424" w:type="pct"/>
            <w:noWrap/>
            <w:vAlign w:val="center"/>
          </w:tcPr>
          <w:p w14:paraId="338F11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712E2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275" w:type="pct"/>
            <w:vMerge w:val="continue"/>
            <w:noWrap/>
            <w:vAlign w:val="center"/>
          </w:tcPr>
          <w:p w14:paraId="03667F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49FA70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3030E5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6B9080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1.36E-05</w:t>
            </w:r>
          </w:p>
        </w:tc>
        <w:tc>
          <w:tcPr>
            <w:tcW w:w="424" w:type="pct"/>
            <w:noWrap/>
            <w:vAlign w:val="center"/>
          </w:tcPr>
          <w:p w14:paraId="7CA8E4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578FDE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19E114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4.10E-05</w:t>
            </w:r>
          </w:p>
        </w:tc>
        <w:tc>
          <w:tcPr>
            <w:tcW w:w="412" w:type="pct"/>
            <w:noWrap/>
            <w:vAlign w:val="center"/>
          </w:tcPr>
          <w:p w14:paraId="2E279A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0.08</w:t>
            </w:r>
          </w:p>
        </w:tc>
        <w:tc>
          <w:tcPr>
            <w:tcW w:w="424" w:type="pct"/>
            <w:noWrap/>
            <w:vAlign w:val="center"/>
          </w:tcPr>
          <w:p w14:paraId="3FFE19E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B0593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275" w:type="pct"/>
            <w:vMerge w:val="restart"/>
            <w:noWrap/>
            <w:vAlign w:val="center"/>
          </w:tcPr>
          <w:p w14:paraId="5167B0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48</w:t>
            </w:r>
          </w:p>
        </w:tc>
        <w:tc>
          <w:tcPr>
            <w:tcW w:w="1020" w:type="pct"/>
            <w:vMerge w:val="restart"/>
            <w:noWrap/>
            <w:vAlign w:val="center"/>
          </w:tcPr>
          <w:p w14:paraId="0546B3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吉祥小区</w:t>
            </w:r>
          </w:p>
        </w:tc>
        <w:tc>
          <w:tcPr>
            <w:tcW w:w="424" w:type="pct"/>
            <w:noWrap/>
            <w:vAlign w:val="center"/>
          </w:tcPr>
          <w:p w14:paraId="1C7682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1224A5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8.25E-05</w:t>
            </w:r>
          </w:p>
        </w:tc>
        <w:tc>
          <w:tcPr>
            <w:tcW w:w="424" w:type="pct"/>
            <w:noWrap/>
            <w:vAlign w:val="center"/>
          </w:tcPr>
          <w:p w14:paraId="543FD2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1C4D73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7ED7C5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1.13E-04</w:t>
            </w:r>
          </w:p>
        </w:tc>
        <w:tc>
          <w:tcPr>
            <w:tcW w:w="412" w:type="pct"/>
            <w:noWrap/>
            <w:vAlign w:val="center"/>
          </w:tcPr>
          <w:p w14:paraId="337466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0.11</w:t>
            </w:r>
          </w:p>
        </w:tc>
        <w:tc>
          <w:tcPr>
            <w:tcW w:w="424" w:type="pct"/>
            <w:noWrap/>
            <w:vAlign w:val="center"/>
          </w:tcPr>
          <w:p w14:paraId="40DA5E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49336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275" w:type="pct"/>
            <w:vMerge w:val="continue"/>
            <w:noWrap/>
            <w:vAlign w:val="center"/>
          </w:tcPr>
          <w:p w14:paraId="78EE9A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3B2846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29D31A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7F3D18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1.42E-06</w:t>
            </w:r>
          </w:p>
        </w:tc>
        <w:tc>
          <w:tcPr>
            <w:tcW w:w="424" w:type="pct"/>
            <w:noWrap/>
            <w:vAlign w:val="center"/>
          </w:tcPr>
          <w:p w14:paraId="21ADD5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36BE2F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53840C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2.89E-05</w:t>
            </w:r>
          </w:p>
        </w:tc>
        <w:tc>
          <w:tcPr>
            <w:tcW w:w="412" w:type="pct"/>
            <w:noWrap/>
            <w:vAlign w:val="center"/>
          </w:tcPr>
          <w:p w14:paraId="62A49E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424" w:type="pct"/>
            <w:noWrap/>
            <w:vAlign w:val="center"/>
          </w:tcPr>
          <w:p w14:paraId="073E20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19EA4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275" w:type="pct"/>
            <w:vMerge w:val="restart"/>
            <w:noWrap/>
            <w:vAlign w:val="center"/>
          </w:tcPr>
          <w:p w14:paraId="731451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49</w:t>
            </w:r>
          </w:p>
        </w:tc>
        <w:tc>
          <w:tcPr>
            <w:tcW w:w="1020" w:type="pct"/>
            <w:vMerge w:val="restart"/>
            <w:noWrap/>
            <w:vAlign w:val="center"/>
          </w:tcPr>
          <w:p w14:paraId="6C7113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天佑国际</w:t>
            </w:r>
          </w:p>
        </w:tc>
        <w:tc>
          <w:tcPr>
            <w:tcW w:w="424" w:type="pct"/>
            <w:noWrap/>
            <w:vAlign w:val="center"/>
          </w:tcPr>
          <w:p w14:paraId="6EF0F6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15403E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7.45E-04</w:t>
            </w:r>
          </w:p>
        </w:tc>
        <w:tc>
          <w:tcPr>
            <w:tcW w:w="424" w:type="pct"/>
            <w:noWrap/>
            <w:vAlign w:val="center"/>
          </w:tcPr>
          <w:p w14:paraId="7FB745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240317</w:t>
            </w:r>
          </w:p>
        </w:tc>
        <w:tc>
          <w:tcPr>
            <w:tcW w:w="672" w:type="pct"/>
            <w:noWrap/>
            <w:vAlign w:val="center"/>
          </w:tcPr>
          <w:p w14:paraId="67B89E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13B407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7.76E-04</w:t>
            </w:r>
          </w:p>
        </w:tc>
        <w:tc>
          <w:tcPr>
            <w:tcW w:w="412" w:type="pct"/>
            <w:noWrap/>
            <w:vAlign w:val="center"/>
          </w:tcPr>
          <w:p w14:paraId="35800A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0.78</w:t>
            </w:r>
          </w:p>
        </w:tc>
        <w:tc>
          <w:tcPr>
            <w:tcW w:w="424" w:type="pct"/>
            <w:noWrap/>
            <w:vAlign w:val="center"/>
          </w:tcPr>
          <w:p w14:paraId="1F684E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5B91B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275" w:type="pct"/>
            <w:vMerge w:val="continue"/>
            <w:noWrap/>
            <w:vAlign w:val="center"/>
          </w:tcPr>
          <w:p w14:paraId="2C4063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12AB65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6DD870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66ACCE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4.71E-05</w:t>
            </w:r>
          </w:p>
        </w:tc>
        <w:tc>
          <w:tcPr>
            <w:tcW w:w="424" w:type="pct"/>
            <w:noWrap/>
            <w:vAlign w:val="center"/>
          </w:tcPr>
          <w:p w14:paraId="3AAEFD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60E65D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2E9B2C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7.45E-05</w:t>
            </w:r>
          </w:p>
        </w:tc>
        <w:tc>
          <w:tcPr>
            <w:tcW w:w="412" w:type="pct"/>
            <w:noWrap/>
            <w:vAlign w:val="center"/>
          </w:tcPr>
          <w:p w14:paraId="56C0D0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0.15</w:t>
            </w:r>
          </w:p>
        </w:tc>
        <w:tc>
          <w:tcPr>
            <w:tcW w:w="424" w:type="pct"/>
            <w:noWrap/>
            <w:vAlign w:val="center"/>
          </w:tcPr>
          <w:p w14:paraId="4380B0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9251A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275" w:type="pct"/>
            <w:vMerge w:val="restart"/>
            <w:noWrap/>
            <w:vAlign w:val="center"/>
          </w:tcPr>
          <w:p w14:paraId="155460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50</w:t>
            </w:r>
          </w:p>
        </w:tc>
        <w:tc>
          <w:tcPr>
            <w:tcW w:w="1020" w:type="pct"/>
            <w:vMerge w:val="restart"/>
            <w:noWrap/>
            <w:vAlign w:val="center"/>
          </w:tcPr>
          <w:p w14:paraId="353AED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前进社区</w:t>
            </w:r>
          </w:p>
        </w:tc>
        <w:tc>
          <w:tcPr>
            <w:tcW w:w="424" w:type="pct"/>
            <w:noWrap/>
            <w:vAlign w:val="center"/>
          </w:tcPr>
          <w:p w14:paraId="1E0C58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61009B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3.57E-04</w:t>
            </w:r>
          </w:p>
        </w:tc>
        <w:tc>
          <w:tcPr>
            <w:tcW w:w="424" w:type="pct"/>
            <w:noWrap/>
            <w:vAlign w:val="center"/>
          </w:tcPr>
          <w:p w14:paraId="020DCA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241001</w:t>
            </w:r>
          </w:p>
        </w:tc>
        <w:tc>
          <w:tcPr>
            <w:tcW w:w="672" w:type="pct"/>
            <w:noWrap/>
            <w:vAlign w:val="center"/>
          </w:tcPr>
          <w:p w14:paraId="722972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70010C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3.88E-04</w:t>
            </w:r>
          </w:p>
        </w:tc>
        <w:tc>
          <w:tcPr>
            <w:tcW w:w="412" w:type="pct"/>
            <w:noWrap/>
            <w:vAlign w:val="center"/>
          </w:tcPr>
          <w:p w14:paraId="774CEF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0.39</w:t>
            </w:r>
          </w:p>
        </w:tc>
        <w:tc>
          <w:tcPr>
            <w:tcW w:w="424" w:type="pct"/>
            <w:noWrap/>
            <w:vAlign w:val="center"/>
          </w:tcPr>
          <w:p w14:paraId="329571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6EC28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275" w:type="pct"/>
            <w:vMerge w:val="continue"/>
            <w:noWrap/>
            <w:vAlign w:val="center"/>
          </w:tcPr>
          <w:p w14:paraId="660C7A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13322D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2AA358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002208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1.67E-05</w:t>
            </w:r>
          </w:p>
        </w:tc>
        <w:tc>
          <w:tcPr>
            <w:tcW w:w="424" w:type="pct"/>
            <w:noWrap/>
            <w:vAlign w:val="center"/>
          </w:tcPr>
          <w:p w14:paraId="4D209D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673557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25E709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4.41E-05</w:t>
            </w:r>
          </w:p>
        </w:tc>
        <w:tc>
          <w:tcPr>
            <w:tcW w:w="412" w:type="pct"/>
            <w:noWrap/>
            <w:vAlign w:val="center"/>
          </w:tcPr>
          <w:p w14:paraId="5DC24A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0.09</w:t>
            </w:r>
          </w:p>
        </w:tc>
        <w:tc>
          <w:tcPr>
            <w:tcW w:w="424" w:type="pct"/>
            <w:noWrap/>
            <w:vAlign w:val="center"/>
          </w:tcPr>
          <w:p w14:paraId="417C54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0D2DC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275" w:type="pct"/>
            <w:vMerge w:val="restart"/>
            <w:noWrap/>
            <w:vAlign w:val="center"/>
          </w:tcPr>
          <w:p w14:paraId="16A7D8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51</w:t>
            </w:r>
          </w:p>
        </w:tc>
        <w:tc>
          <w:tcPr>
            <w:tcW w:w="1020" w:type="pct"/>
            <w:vMerge w:val="restart"/>
            <w:noWrap/>
            <w:vAlign w:val="center"/>
          </w:tcPr>
          <w:p w14:paraId="019E65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幸福家园</w:t>
            </w:r>
          </w:p>
        </w:tc>
        <w:tc>
          <w:tcPr>
            <w:tcW w:w="424" w:type="pct"/>
            <w:noWrap/>
            <w:vAlign w:val="center"/>
          </w:tcPr>
          <w:p w14:paraId="5EC567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6CE681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7.00E-04</w:t>
            </w:r>
          </w:p>
        </w:tc>
        <w:tc>
          <w:tcPr>
            <w:tcW w:w="424" w:type="pct"/>
            <w:noWrap/>
            <w:vAlign w:val="center"/>
          </w:tcPr>
          <w:p w14:paraId="62CBE0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241122</w:t>
            </w:r>
          </w:p>
        </w:tc>
        <w:tc>
          <w:tcPr>
            <w:tcW w:w="672" w:type="pct"/>
            <w:noWrap/>
            <w:vAlign w:val="center"/>
          </w:tcPr>
          <w:p w14:paraId="6D68CA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41C1E3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7.31E-04</w:t>
            </w:r>
          </w:p>
        </w:tc>
        <w:tc>
          <w:tcPr>
            <w:tcW w:w="412" w:type="pct"/>
            <w:noWrap/>
            <w:vAlign w:val="center"/>
          </w:tcPr>
          <w:p w14:paraId="25882C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0.73</w:t>
            </w:r>
          </w:p>
        </w:tc>
        <w:tc>
          <w:tcPr>
            <w:tcW w:w="424" w:type="pct"/>
            <w:noWrap/>
            <w:vAlign w:val="center"/>
          </w:tcPr>
          <w:p w14:paraId="1B5D83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E3540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 w:hRule="atLeast"/>
          <w:jc w:val="center"/>
        </w:trPr>
        <w:tc>
          <w:tcPr>
            <w:tcW w:w="275" w:type="pct"/>
            <w:vMerge w:val="continue"/>
            <w:noWrap/>
            <w:vAlign w:val="center"/>
          </w:tcPr>
          <w:p w14:paraId="5A9F36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5C5756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06DE46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1D0506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6.32E-05</w:t>
            </w:r>
          </w:p>
        </w:tc>
        <w:tc>
          <w:tcPr>
            <w:tcW w:w="424" w:type="pct"/>
            <w:noWrap/>
            <w:vAlign w:val="center"/>
          </w:tcPr>
          <w:p w14:paraId="6C5BD6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54351A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68E127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9.06E-05</w:t>
            </w:r>
          </w:p>
        </w:tc>
        <w:tc>
          <w:tcPr>
            <w:tcW w:w="412" w:type="pct"/>
            <w:noWrap/>
            <w:vAlign w:val="center"/>
          </w:tcPr>
          <w:p w14:paraId="206645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0.18</w:t>
            </w:r>
          </w:p>
        </w:tc>
        <w:tc>
          <w:tcPr>
            <w:tcW w:w="424" w:type="pct"/>
            <w:noWrap/>
            <w:vAlign w:val="center"/>
          </w:tcPr>
          <w:p w14:paraId="5F41C6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31001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0" w:hRule="atLeast"/>
          <w:jc w:val="center"/>
        </w:trPr>
        <w:tc>
          <w:tcPr>
            <w:tcW w:w="275" w:type="pct"/>
            <w:vMerge w:val="restart"/>
            <w:noWrap/>
            <w:vAlign w:val="center"/>
          </w:tcPr>
          <w:p w14:paraId="79E016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52</w:t>
            </w:r>
          </w:p>
        </w:tc>
        <w:tc>
          <w:tcPr>
            <w:tcW w:w="1020" w:type="pct"/>
            <w:vMerge w:val="restart"/>
            <w:noWrap/>
            <w:vAlign w:val="center"/>
          </w:tcPr>
          <w:p w14:paraId="4F3665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盛世嘉园</w:t>
            </w:r>
          </w:p>
        </w:tc>
        <w:tc>
          <w:tcPr>
            <w:tcW w:w="424" w:type="pct"/>
            <w:noWrap/>
            <w:vAlign w:val="center"/>
          </w:tcPr>
          <w:p w14:paraId="0B4FCC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570D32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4.00E-04</w:t>
            </w:r>
          </w:p>
        </w:tc>
        <w:tc>
          <w:tcPr>
            <w:tcW w:w="424" w:type="pct"/>
            <w:noWrap/>
            <w:vAlign w:val="center"/>
          </w:tcPr>
          <w:p w14:paraId="5D60E2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19A38B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1BE597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4.31E-04</w:t>
            </w:r>
          </w:p>
        </w:tc>
        <w:tc>
          <w:tcPr>
            <w:tcW w:w="412" w:type="pct"/>
            <w:noWrap/>
            <w:vAlign w:val="center"/>
          </w:tcPr>
          <w:p w14:paraId="3FF5B1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0.43</w:t>
            </w:r>
          </w:p>
        </w:tc>
        <w:tc>
          <w:tcPr>
            <w:tcW w:w="424" w:type="pct"/>
            <w:noWrap/>
            <w:vAlign w:val="center"/>
          </w:tcPr>
          <w:p w14:paraId="360BFC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27DED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275" w:type="pct"/>
            <w:vMerge w:val="continue"/>
            <w:noWrap/>
            <w:vAlign w:val="center"/>
          </w:tcPr>
          <w:p w14:paraId="48F5F5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48686C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3E64F6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0482AE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5.98E-06</w:t>
            </w:r>
          </w:p>
        </w:tc>
        <w:tc>
          <w:tcPr>
            <w:tcW w:w="424" w:type="pct"/>
            <w:noWrap/>
            <w:vAlign w:val="center"/>
          </w:tcPr>
          <w:p w14:paraId="698CDE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7A265C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2967B5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3.34E-05</w:t>
            </w:r>
          </w:p>
        </w:tc>
        <w:tc>
          <w:tcPr>
            <w:tcW w:w="412" w:type="pct"/>
            <w:noWrap/>
            <w:vAlign w:val="center"/>
          </w:tcPr>
          <w:p w14:paraId="3EE453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0.07</w:t>
            </w:r>
          </w:p>
        </w:tc>
        <w:tc>
          <w:tcPr>
            <w:tcW w:w="424" w:type="pct"/>
            <w:noWrap/>
            <w:vAlign w:val="center"/>
          </w:tcPr>
          <w:p w14:paraId="70C64C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BCF99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275" w:type="pct"/>
            <w:vMerge w:val="restart"/>
            <w:noWrap/>
            <w:vAlign w:val="center"/>
          </w:tcPr>
          <w:p w14:paraId="6A3688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53</w:t>
            </w:r>
          </w:p>
        </w:tc>
        <w:tc>
          <w:tcPr>
            <w:tcW w:w="1020" w:type="pct"/>
            <w:vMerge w:val="restart"/>
            <w:noWrap/>
            <w:vAlign w:val="center"/>
          </w:tcPr>
          <w:p w14:paraId="5C6B95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兄弟花园</w:t>
            </w:r>
          </w:p>
        </w:tc>
        <w:tc>
          <w:tcPr>
            <w:tcW w:w="424" w:type="pct"/>
            <w:noWrap/>
            <w:vAlign w:val="center"/>
          </w:tcPr>
          <w:p w14:paraId="36A9F6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60F74B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3.25E-04</w:t>
            </w:r>
          </w:p>
        </w:tc>
        <w:tc>
          <w:tcPr>
            <w:tcW w:w="424" w:type="pct"/>
            <w:noWrap/>
            <w:vAlign w:val="center"/>
          </w:tcPr>
          <w:p w14:paraId="17EEED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3A921B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0D1228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3.56E-04</w:t>
            </w:r>
          </w:p>
        </w:tc>
        <w:tc>
          <w:tcPr>
            <w:tcW w:w="412" w:type="pct"/>
            <w:noWrap/>
            <w:vAlign w:val="center"/>
          </w:tcPr>
          <w:p w14:paraId="65DF8D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0.35</w:t>
            </w:r>
          </w:p>
        </w:tc>
        <w:tc>
          <w:tcPr>
            <w:tcW w:w="424" w:type="pct"/>
            <w:noWrap/>
            <w:vAlign w:val="center"/>
          </w:tcPr>
          <w:p w14:paraId="56D855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54976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275" w:type="pct"/>
            <w:vMerge w:val="continue"/>
            <w:noWrap/>
            <w:vAlign w:val="center"/>
          </w:tcPr>
          <w:p w14:paraId="448D15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353025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5CF51D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67DA73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4.27E-06</w:t>
            </w:r>
          </w:p>
        </w:tc>
        <w:tc>
          <w:tcPr>
            <w:tcW w:w="424" w:type="pct"/>
            <w:noWrap/>
            <w:vAlign w:val="center"/>
          </w:tcPr>
          <w:p w14:paraId="0DB2DE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210897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55F2B2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3.17E-05</w:t>
            </w:r>
          </w:p>
        </w:tc>
        <w:tc>
          <w:tcPr>
            <w:tcW w:w="412" w:type="pct"/>
            <w:noWrap/>
            <w:vAlign w:val="center"/>
          </w:tcPr>
          <w:p w14:paraId="34FA05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424" w:type="pct"/>
            <w:noWrap/>
            <w:vAlign w:val="center"/>
          </w:tcPr>
          <w:p w14:paraId="78D7C9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EC46E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275" w:type="pct"/>
            <w:vMerge w:val="restart"/>
            <w:noWrap/>
            <w:vAlign w:val="center"/>
          </w:tcPr>
          <w:p w14:paraId="4949BD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54</w:t>
            </w:r>
          </w:p>
        </w:tc>
        <w:tc>
          <w:tcPr>
            <w:tcW w:w="1020" w:type="pct"/>
            <w:vMerge w:val="restart"/>
            <w:noWrap/>
            <w:vAlign w:val="center"/>
          </w:tcPr>
          <w:p w14:paraId="7B5616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同福嘉园</w:t>
            </w:r>
          </w:p>
        </w:tc>
        <w:tc>
          <w:tcPr>
            <w:tcW w:w="424" w:type="pct"/>
            <w:noWrap/>
            <w:vAlign w:val="center"/>
          </w:tcPr>
          <w:p w14:paraId="05B5C9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57167C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2.94E-04</w:t>
            </w:r>
          </w:p>
        </w:tc>
        <w:tc>
          <w:tcPr>
            <w:tcW w:w="424" w:type="pct"/>
            <w:noWrap/>
            <w:vAlign w:val="center"/>
          </w:tcPr>
          <w:p w14:paraId="2992A2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161264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0EA674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3.25E-04</w:t>
            </w:r>
          </w:p>
        </w:tc>
        <w:tc>
          <w:tcPr>
            <w:tcW w:w="412" w:type="pct"/>
            <w:noWrap/>
            <w:vAlign w:val="center"/>
          </w:tcPr>
          <w:p w14:paraId="341642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0.32</w:t>
            </w:r>
          </w:p>
        </w:tc>
        <w:tc>
          <w:tcPr>
            <w:tcW w:w="424" w:type="pct"/>
            <w:noWrap/>
            <w:vAlign w:val="center"/>
          </w:tcPr>
          <w:p w14:paraId="609416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A82C2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75" w:type="pct"/>
            <w:vMerge w:val="continue"/>
            <w:noWrap/>
            <w:vAlign w:val="center"/>
          </w:tcPr>
          <w:p w14:paraId="2BFA29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06C419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7DC4B6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20DFE6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3.65E-06</w:t>
            </w:r>
          </w:p>
        </w:tc>
        <w:tc>
          <w:tcPr>
            <w:tcW w:w="424" w:type="pct"/>
            <w:noWrap/>
            <w:vAlign w:val="center"/>
          </w:tcPr>
          <w:p w14:paraId="011BB3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14ADD2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04ACF7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3.11E-05</w:t>
            </w:r>
          </w:p>
        </w:tc>
        <w:tc>
          <w:tcPr>
            <w:tcW w:w="412" w:type="pct"/>
            <w:noWrap/>
            <w:vAlign w:val="center"/>
          </w:tcPr>
          <w:p w14:paraId="752FF4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424" w:type="pct"/>
            <w:noWrap/>
            <w:vAlign w:val="center"/>
          </w:tcPr>
          <w:p w14:paraId="5AE6C3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919CE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275" w:type="pct"/>
            <w:vMerge w:val="restart"/>
            <w:noWrap/>
            <w:vAlign w:val="center"/>
          </w:tcPr>
          <w:p w14:paraId="41D2A2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55</w:t>
            </w:r>
          </w:p>
        </w:tc>
        <w:tc>
          <w:tcPr>
            <w:tcW w:w="1020" w:type="pct"/>
            <w:vMerge w:val="restart"/>
            <w:noWrap/>
            <w:vAlign w:val="center"/>
          </w:tcPr>
          <w:p w14:paraId="2E21FE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富邦名苑</w:t>
            </w:r>
          </w:p>
        </w:tc>
        <w:tc>
          <w:tcPr>
            <w:tcW w:w="424" w:type="pct"/>
            <w:noWrap/>
            <w:vAlign w:val="center"/>
          </w:tcPr>
          <w:p w14:paraId="0C78B4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709E11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2.06E-04</w:t>
            </w:r>
          </w:p>
        </w:tc>
        <w:tc>
          <w:tcPr>
            <w:tcW w:w="424" w:type="pct"/>
            <w:noWrap/>
            <w:vAlign w:val="center"/>
          </w:tcPr>
          <w:p w14:paraId="2E67DE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240319</w:t>
            </w:r>
          </w:p>
        </w:tc>
        <w:tc>
          <w:tcPr>
            <w:tcW w:w="672" w:type="pct"/>
            <w:noWrap/>
            <w:vAlign w:val="center"/>
          </w:tcPr>
          <w:p w14:paraId="12CDCB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747564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2.37E-04</w:t>
            </w:r>
          </w:p>
        </w:tc>
        <w:tc>
          <w:tcPr>
            <w:tcW w:w="412" w:type="pct"/>
            <w:noWrap/>
            <w:vAlign w:val="center"/>
          </w:tcPr>
          <w:p w14:paraId="58B914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0.24</w:t>
            </w:r>
          </w:p>
        </w:tc>
        <w:tc>
          <w:tcPr>
            <w:tcW w:w="424" w:type="pct"/>
            <w:noWrap/>
            <w:vAlign w:val="center"/>
          </w:tcPr>
          <w:p w14:paraId="63AA9D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00E02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jc w:val="center"/>
        </w:trPr>
        <w:tc>
          <w:tcPr>
            <w:tcW w:w="275" w:type="pct"/>
            <w:vMerge w:val="continue"/>
            <w:noWrap/>
            <w:vAlign w:val="center"/>
          </w:tcPr>
          <w:p w14:paraId="3DA10D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211F1A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74AA44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7C63CC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2.78E-06</w:t>
            </w:r>
          </w:p>
        </w:tc>
        <w:tc>
          <w:tcPr>
            <w:tcW w:w="424" w:type="pct"/>
            <w:noWrap/>
            <w:vAlign w:val="center"/>
          </w:tcPr>
          <w:p w14:paraId="417DE0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42121D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2E55FA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3.02E-05</w:t>
            </w:r>
          </w:p>
        </w:tc>
        <w:tc>
          <w:tcPr>
            <w:tcW w:w="412" w:type="pct"/>
            <w:noWrap/>
            <w:vAlign w:val="center"/>
          </w:tcPr>
          <w:p w14:paraId="32AF8F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424" w:type="pct"/>
            <w:noWrap/>
            <w:vAlign w:val="center"/>
          </w:tcPr>
          <w:p w14:paraId="78259A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42D1A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275" w:type="pct"/>
            <w:vMerge w:val="restart"/>
            <w:noWrap/>
            <w:vAlign w:val="center"/>
          </w:tcPr>
          <w:p w14:paraId="527548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56</w:t>
            </w:r>
          </w:p>
        </w:tc>
        <w:tc>
          <w:tcPr>
            <w:tcW w:w="1020" w:type="pct"/>
            <w:vMerge w:val="restart"/>
            <w:noWrap/>
            <w:vAlign w:val="center"/>
          </w:tcPr>
          <w:p w14:paraId="59D3B6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龙海世纪大酒店</w:t>
            </w:r>
          </w:p>
        </w:tc>
        <w:tc>
          <w:tcPr>
            <w:tcW w:w="424" w:type="pct"/>
            <w:noWrap/>
            <w:vAlign w:val="center"/>
          </w:tcPr>
          <w:p w14:paraId="420FEA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1B367A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1.43E-04</w:t>
            </w:r>
          </w:p>
        </w:tc>
        <w:tc>
          <w:tcPr>
            <w:tcW w:w="424" w:type="pct"/>
            <w:noWrap/>
            <w:vAlign w:val="center"/>
          </w:tcPr>
          <w:p w14:paraId="55295D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240321</w:t>
            </w:r>
          </w:p>
        </w:tc>
        <w:tc>
          <w:tcPr>
            <w:tcW w:w="672" w:type="pct"/>
            <w:noWrap/>
            <w:vAlign w:val="center"/>
          </w:tcPr>
          <w:p w14:paraId="3F3559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79AC82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1.74E-04</w:t>
            </w:r>
          </w:p>
        </w:tc>
        <w:tc>
          <w:tcPr>
            <w:tcW w:w="412" w:type="pct"/>
            <w:noWrap/>
            <w:vAlign w:val="center"/>
          </w:tcPr>
          <w:p w14:paraId="7A9AD1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0.17</w:t>
            </w:r>
          </w:p>
        </w:tc>
        <w:tc>
          <w:tcPr>
            <w:tcW w:w="424" w:type="pct"/>
            <w:noWrap/>
            <w:vAlign w:val="center"/>
          </w:tcPr>
          <w:p w14:paraId="602791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A90A1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275" w:type="pct"/>
            <w:vMerge w:val="continue"/>
            <w:noWrap/>
            <w:vAlign w:val="center"/>
          </w:tcPr>
          <w:p w14:paraId="41B111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733C56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564A6A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44E4B8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3.70E-06</w:t>
            </w:r>
          </w:p>
        </w:tc>
        <w:tc>
          <w:tcPr>
            <w:tcW w:w="424" w:type="pct"/>
            <w:noWrap/>
            <w:vAlign w:val="center"/>
          </w:tcPr>
          <w:p w14:paraId="1D121F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5092B2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04A863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3.11E-05</w:t>
            </w:r>
          </w:p>
        </w:tc>
        <w:tc>
          <w:tcPr>
            <w:tcW w:w="412" w:type="pct"/>
            <w:noWrap/>
            <w:vAlign w:val="center"/>
          </w:tcPr>
          <w:p w14:paraId="042866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424" w:type="pct"/>
            <w:noWrap/>
            <w:vAlign w:val="center"/>
          </w:tcPr>
          <w:p w14:paraId="07B381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C25CB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275" w:type="pct"/>
            <w:vMerge w:val="restart"/>
            <w:noWrap/>
            <w:vAlign w:val="center"/>
          </w:tcPr>
          <w:p w14:paraId="47C9D3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57</w:t>
            </w:r>
          </w:p>
        </w:tc>
        <w:tc>
          <w:tcPr>
            <w:tcW w:w="1020" w:type="pct"/>
            <w:vMerge w:val="restart"/>
            <w:noWrap/>
            <w:vAlign w:val="center"/>
          </w:tcPr>
          <w:p w14:paraId="6C8C80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供电小区</w:t>
            </w:r>
          </w:p>
        </w:tc>
        <w:tc>
          <w:tcPr>
            <w:tcW w:w="424" w:type="pct"/>
            <w:noWrap/>
            <w:vAlign w:val="center"/>
          </w:tcPr>
          <w:p w14:paraId="04EDAB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4BFBD0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3.74E-04</w:t>
            </w:r>
          </w:p>
        </w:tc>
        <w:tc>
          <w:tcPr>
            <w:tcW w:w="424" w:type="pct"/>
            <w:noWrap/>
            <w:vAlign w:val="center"/>
          </w:tcPr>
          <w:p w14:paraId="2FBDF3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241001</w:t>
            </w:r>
          </w:p>
        </w:tc>
        <w:tc>
          <w:tcPr>
            <w:tcW w:w="672" w:type="pct"/>
            <w:noWrap/>
            <w:vAlign w:val="center"/>
          </w:tcPr>
          <w:p w14:paraId="7B8D53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44D1D2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4.05E-04</w:t>
            </w:r>
          </w:p>
        </w:tc>
        <w:tc>
          <w:tcPr>
            <w:tcW w:w="412" w:type="pct"/>
            <w:noWrap/>
            <w:vAlign w:val="center"/>
          </w:tcPr>
          <w:p w14:paraId="7C9EB9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0.40</w:t>
            </w:r>
          </w:p>
        </w:tc>
        <w:tc>
          <w:tcPr>
            <w:tcW w:w="424" w:type="pct"/>
            <w:noWrap/>
            <w:vAlign w:val="center"/>
          </w:tcPr>
          <w:p w14:paraId="5A3651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95B01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275" w:type="pct"/>
            <w:vMerge w:val="continue"/>
            <w:noWrap/>
            <w:vAlign w:val="center"/>
          </w:tcPr>
          <w:p w14:paraId="3C09F7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10AF81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5F7D15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6C162F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1.19E-05</w:t>
            </w:r>
          </w:p>
        </w:tc>
        <w:tc>
          <w:tcPr>
            <w:tcW w:w="424" w:type="pct"/>
            <w:noWrap/>
            <w:vAlign w:val="center"/>
          </w:tcPr>
          <w:p w14:paraId="61D75C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1A2912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61DE55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3.93E-05</w:t>
            </w:r>
          </w:p>
        </w:tc>
        <w:tc>
          <w:tcPr>
            <w:tcW w:w="412" w:type="pct"/>
            <w:noWrap/>
            <w:vAlign w:val="center"/>
          </w:tcPr>
          <w:p w14:paraId="790B6D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0.08</w:t>
            </w:r>
          </w:p>
        </w:tc>
        <w:tc>
          <w:tcPr>
            <w:tcW w:w="424" w:type="pct"/>
            <w:noWrap/>
            <w:vAlign w:val="center"/>
          </w:tcPr>
          <w:p w14:paraId="772F48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378FC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275" w:type="pct"/>
            <w:vMerge w:val="restart"/>
            <w:noWrap/>
            <w:vAlign w:val="center"/>
          </w:tcPr>
          <w:p w14:paraId="0A80EF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58</w:t>
            </w:r>
          </w:p>
        </w:tc>
        <w:tc>
          <w:tcPr>
            <w:tcW w:w="1020" w:type="pct"/>
            <w:vMerge w:val="restart"/>
            <w:noWrap/>
            <w:vAlign w:val="center"/>
          </w:tcPr>
          <w:p w14:paraId="598AF3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九鹤堂医院</w:t>
            </w:r>
          </w:p>
        </w:tc>
        <w:tc>
          <w:tcPr>
            <w:tcW w:w="424" w:type="pct"/>
            <w:noWrap/>
            <w:vAlign w:val="center"/>
          </w:tcPr>
          <w:p w14:paraId="1E7B00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0C1BC8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6.48E-04</w:t>
            </w:r>
          </w:p>
        </w:tc>
        <w:tc>
          <w:tcPr>
            <w:tcW w:w="424" w:type="pct"/>
            <w:noWrap/>
            <w:vAlign w:val="center"/>
          </w:tcPr>
          <w:p w14:paraId="701A70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241001</w:t>
            </w:r>
          </w:p>
        </w:tc>
        <w:tc>
          <w:tcPr>
            <w:tcW w:w="672" w:type="pct"/>
            <w:noWrap/>
            <w:vAlign w:val="center"/>
          </w:tcPr>
          <w:p w14:paraId="271161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6778B3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6.79E-04</w:t>
            </w:r>
          </w:p>
        </w:tc>
        <w:tc>
          <w:tcPr>
            <w:tcW w:w="412" w:type="pct"/>
            <w:noWrap/>
            <w:vAlign w:val="center"/>
          </w:tcPr>
          <w:p w14:paraId="08D99D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0.68</w:t>
            </w:r>
          </w:p>
        </w:tc>
        <w:tc>
          <w:tcPr>
            <w:tcW w:w="424" w:type="pct"/>
            <w:noWrap/>
            <w:vAlign w:val="center"/>
          </w:tcPr>
          <w:p w14:paraId="050806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427A5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275" w:type="pct"/>
            <w:vMerge w:val="continue"/>
            <w:noWrap/>
            <w:vAlign w:val="center"/>
          </w:tcPr>
          <w:p w14:paraId="28FD3E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0BA1E0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1B57CA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582A17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3.05E-05</w:t>
            </w:r>
          </w:p>
        </w:tc>
        <w:tc>
          <w:tcPr>
            <w:tcW w:w="424" w:type="pct"/>
            <w:noWrap/>
            <w:vAlign w:val="center"/>
          </w:tcPr>
          <w:p w14:paraId="28C032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39E3C2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5DFEA0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5.79E-05</w:t>
            </w:r>
          </w:p>
        </w:tc>
        <w:tc>
          <w:tcPr>
            <w:tcW w:w="412" w:type="pct"/>
            <w:noWrap/>
            <w:vAlign w:val="center"/>
          </w:tcPr>
          <w:p w14:paraId="029DAA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0.12</w:t>
            </w:r>
          </w:p>
        </w:tc>
        <w:tc>
          <w:tcPr>
            <w:tcW w:w="424" w:type="pct"/>
            <w:noWrap/>
            <w:vAlign w:val="center"/>
          </w:tcPr>
          <w:p w14:paraId="38277C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67D2D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275" w:type="pct"/>
            <w:vMerge w:val="restart"/>
            <w:noWrap/>
            <w:vAlign w:val="center"/>
          </w:tcPr>
          <w:p w14:paraId="788DFC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59</w:t>
            </w:r>
          </w:p>
        </w:tc>
        <w:tc>
          <w:tcPr>
            <w:tcW w:w="1020" w:type="pct"/>
            <w:vMerge w:val="restart"/>
            <w:noWrap/>
            <w:vAlign w:val="center"/>
          </w:tcPr>
          <w:p w14:paraId="1F09D0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颐民敬老院卫生所</w:t>
            </w:r>
          </w:p>
        </w:tc>
        <w:tc>
          <w:tcPr>
            <w:tcW w:w="424" w:type="pct"/>
            <w:noWrap/>
            <w:vAlign w:val="center"/>
          </w:tcPr>
          <w:p w14:paraId="28F45A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427904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3.19E-04</w:t>
            </w:r>
          </w:p>
        </w:tc>
        <w:tc>
          <w:tcPr>
            <w:tcW w:w="424" w:type="pct"/>
            <w:noWrap/>
            <w:vAlign w:val="center"/>
          </w:tcPr>
          <w:p w14:paraId="740735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241001</w:t>
            </w:r>
          </w:p>
        </w:tc>
        <w:tc>
          <w:tcPr>
            <w:tcW w:w="672" w:type="pct"/>
            <w:noWrap/>
            <w:vAlign w:val="center"/>
          </w:tcPr>
          <w:p w14:paraId="15EA8D8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5265C3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3.50E-04</w:t>
            </w:r>
          </w:p>
        </w:tc>
        <w:tc>
          <w:tcPr>
            <w:tcW w:w="412" w:type="pct"/>
            <w:noWrap/>
            <w:vAlign w:val="center"/>
          </w:tcPr>
          <w:p w14:paraId="075AD8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0.35</w:t>
            </w:r>
          </w:p>
        </w:tc>
        <w:tc>
          <w:tcPr>
            <w:tcW w:w="424" w:type="pct"/>
            <w:noWrap/>
            <w:vAlign w:val="center"/>
          </w:tcPr>
          <w:p w14:paraId="64C381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E4264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275" w:type="pct"/>
            <w:vMerge w:val="continue"/>
            <w:noWrap/>
            <w:vAlign w:val="center"/>
          </w:tcPr>
          <w:p w14:paraId="52E557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38B310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254551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7BC006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5.88E-06</w:t>
            </w:r>
          </w:p>
        </w:tc>
        <w:tc>
          <w:tcPr>
            <w:tcW w:w="424" w:type="pct"/>
            <w:noWrap/>
            <w:vAlign w:val="center"/>
          </w:tcPr>
          <w:p w14:paraId="3C8F5B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6AAB72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6A8983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3.33E-05</w:t>
            </w:r>
          </w:p>
        </w:tc>
        <w:tc>
          <w:tcPr>
            <w:tcW w:w="412" w:type="pct"/>
            <w:noWrap/>
            <w:vAlign w:val="center"/>
          </w:tcPr>
          <w:p w14:paraId="035056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0.07</w:t>
            </w:r>
          </w:p>
        </w:tc>
        <w:tc>
          <w:tcPr>
            <w:tcW w:w="424" w:type="pct"/>
            <w:noWrap/>
            <w:vAlign w:val="center"/>
          </w:tcPr>
          <w:p w14:paraId="316BAC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22E5A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275" w:type="pct"/>
            <w:vMerge w:val="restart"/>
            <w:noWrap/>
            <w:vAlign w:val="center"/>
          </w:tcPr>
          <w:p w14:paraId="2CFC8F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60</w:t>
            </w:r>
          </w:p>
        </w:tc>
        <w:tc>
          <w:tcPr>
            <w:tcW w:w="1020" w:type="pct"/>
            <w:vMerge w:val="restart"/>
            <w:noWrap/>
            <w:vAlign w:val="center"/>
          </w:tcPr>
          <w:p w14:paraId="23918A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绥芬河市中医医院</w:t>
            </w:r>
          </w:p>
        </w:tc>
        <w:tc>
          <w:tcPr>
            <w:tcW w:w="424" w:type="pct"/>
            <w:noWrap/>
            <w:vAlign w:val="center"/>
          </w:tcPr>
          <w:p w14:paraId="1CB491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4054BC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1.17E-04</w:t>
            </w:r>
          </w:p>
        </w:tc>
        <w:tc>
          <w:tcPr>
            <w:tcW w:w="424" w:type="pct"/>
            <w:noWrap/>
            <w:vAlign w:val="center"/>
          </w:tcPr>
          <w:p w14:paraId="460C9F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241001</w:t>
            </w:r>
          </w:p>
        </w:tc>
        <w:tc>
          <w:tcPr>
            <w:tcW w:w="672" w:type="pct"/>
            <w:noWrap/>
            <w:vAlign w:val="center"/>
          </w:tcPr>
          <w:p w14:paraId="2E1B5D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023153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1.48E-04</w:t>
            </w:r>
          </w:p>
        </w:tc>
        <w:tc>
          <w:tcPr>
            <w:tcW w:w="412" w:type="pct"/>
            <w:noWrap/>
            <w:vAlign w:val="center"/>
          </w:tcPr>
          <w:p w14:paraId="4D656F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0.15</w:t>
            </w:r>
          </w:p>
        </w:tc>
        <w:tc>
          <w:tcPr>
            <w:tcW w:w="424" w:type="pct"/>
            <w:noWrap/>
            <w:vAlign w:val="center"/>
          </w:tcPr>
          <w:p w14:paraId="417FB9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DC179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275" w:type="pct"/>
            <w:vMerge w:val="continue"/>
            <w:noWrap/>
            <w:vAlign w:val="center"/>
          </w:tcPr>
          <w:p w14:paraId="665F84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37A0DD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507EAE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51716B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3.29E-06</w:t>
            </w:r>
          </w:p>
        </w:tc>
        <w:tc>
          <w:tcPr>
            <w:tcW w:w="424" w:type="pct"/>
            <w:noWrap/>
            <w:vAlign w:val="center"/>
          </w:tcPr>
          <w:p w14:paraId="02A07F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6961EA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3C9CAF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3.07E-05</w:t>
            </w:r>
          </w:p>
        </w:tc>
        <w:tc>
          <w:tcPr>
            <w:tcW w:w="412" w:type="pct"/>
            <w:noWrap/>
            <w:vAlign w:val="center"/>
          </w:tcPr>
          <w:p w14:paraId="0A9336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0.06</w:t>
            </w:r>
          </w:p>
        </w:tc>
        <w:tc>
          <w:tcPr>
            <w:tcW w:w="424" w:type="pct"/>
            <w:noWrap/>
            <w:vAlign w:val="center"/>
          </w:tcPr>
          <w:p w14:paraId="117120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2AB85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275" w:type="pct"/>
            <w:vMerge w:val="restart"/>
            <w:noWrap/>
            <w:vAlign w:val="center"/>
          </w:tcPr>
          <w:p w14:paraId="7C107F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w:t>
            </w:r>
          </w:p>
        </w:tc>
        <w:tc>
          <w:tcPr>
            <w:tcW w:w="1020" w:type="pct"/>
            <w:vMerge w:val="restart"/>
            <w:noWrap/>
            <w:vAlign w:val="center"/>
          </w:tcPr>
          <w:p w14:paraId="6C01F2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立银医院</w:t>
            </w:r>
          </w:p>
        </w:tc>
        <w:tc>
          <w:tcPr>
            <w:tcW w:w="424" w:type="pct"/>
            <w:noWrap/>
            <w:vAlign w:val="center"/>
          </w:tcPr>
          <w:p w14:paraId="4BA506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50E41B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4.11E-04</w:t>
            </w:r>
          </w:p>
        </w:tc>
        <w:tc>
          <w:tcPr>
            <w:tcW w:w="424" w:type="pct"/>
            <w:noWrap/>
            <w:vAlign w:val="center"/>
          </w:tcPr>
          <w:p w14:paraId="16D412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241001</w:t>
            </w:r>
          </w:p>
        </w:tc>
        <w:tc>
          <w:tcPr>
            <w:tcW w:w="672" w:type="pct"/>
            <w:noWrap/>
            <w:vAlign w:val="center"/>
          </w:tcPr>
          <w:p w14:paraId="50593C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360ECF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4.42E-04</w:t>
            </w:r>
          </w:p>
        </w:tc>
        <w:tc>
          <w:tcPr>
            <w:tcW w:w="412" w:type="pct"/>
            <w:noWrap/>
            <w:vAlign w:val="center"/>
          </w:tcPr>
          <w:p w14:paraId="5525CB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0.44</w:t>
            </w:r>
          </w:p>
        </w:tc>
        <w:tc>
          <w:tcPr>
            <w:tcW w:w="424" w:type="pct"/>
            <w:noWrap/>
            <w:vAlign w:val="center"/>
          </w:tcPr>
          <w:p w14:paraId="7B2ABD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421FB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275" w:type="pct"/>
            <w:vMerge w:val="continue"/>
            <w:noWrap/>
            <w:vAlign w:val="center"/>
          </w:tcPr>
          <w:p w14:paraId="0D5E76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2EC72B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63EDA6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2AE215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3.04E-05</w:t>
            </w:r>
          </w:p>
        </w:tc>
        <w:tc>
          <w:tcPr>
            <w:tcW w:w="424" w:type="pct"/>
            <w:noWrap/>
            <w:vAlign w:val="center"/>
          </w:tcPr>
          <w:p w14:paraId="50CFEC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076C1A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3DAC90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5.78E-05</w:t>
            </w:r>
          </w:p>
        </w:tc>
        <w:tc>
          <w:tcPr>
            <w:tcW w:w="412" w:type="pct"/>
            <w:noWrap/>
            <w:vAlign w:val="center"/>
          </w:tcPr>
          <w:p w14:paraId="4050BF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0.12</w:t>
            </w:r>
          </w:p>
        </w:tc>
        <w:tc>
          <w:tcPr>
            <w:tcW w:w="424" w:type="pct"/>
            <w:noWrap/>
            <w:vAlign w:val="center"/>
          </w:tcPr>
          <w:p w14:paraId="647B11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ED725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275" w:type="pct"/>
            <w:vMerge w:val="restart"/>
            <w:noWrap/>
            <w:vAlign w:val="center"/>
          </w:tcPr>
          <w:p w14:paraId="3D1224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62</w:t>
            </w:r>
          </w:p>
        </w:tc>
        <w:tc>
          <w:tcPr>
            <w:tcW w:w="1020" w:type="pct"/>
            <w:vMerge w:val="restart"/>
            <w:noWrap/>
            <w:vAlign w:val="center"/>
          </w:tcPr>
          <w:p w14:paraId="4527EB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绥芬河市传染病医院</w:t>
            </w:r>
          </w:p>
        </w:tc>
        <w:tc>
          <w:tcPr>
            <w:tcW w:w="723" w:type="dxa"/>
            <w:noWrap/>
            <w:vAlign w:val="center"/>
          </w:tcPr>
          <w:p w14:paraId="3D25A9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7FBAF8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5.32E-04</w:t>
            </w:r>
          </w:p>
        </w:tc>
        <w:tc>
          <w:tcPr>
            <w:tcW w:w="424" w:type="pct"/>
            <w:noWrap/>
            <w:vAlign w:val="center"/>
          </w:tcPr>
          <w:p w14:paraId="7E00D6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241119</w:t>
            </w:r>
          </w:p>
        </w:tc>
        <w:tc>
          <w:tcPr>
            <w:tcW w:w="672" w:type="pct"/>
            <w:noWrap/>
            <w:vAlign w:val="center"/>
          </w:tcPr>
          <w:p w14:paraId="2CD494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55439D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5.63E-04</w:t>
            </w:r>
          </w:p>
        </w:tc>
        <w:tc>
          <w:tcPr>
            <w:tcW w:w="412" w:type="pct"/>
            <w:noWrap/>
            <w:vAlign w:val="center"/>
          </w:tcPr>
          <w:p w14:paraId="376AB4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5.32E-04</w:t>
            </w:r>
          </w:p>
        </w:tc>
        <w:tc>
          <w:tcPr>
            <w:tcW w:w="723" w:type="dxa"/>
            <w:noWrap/>
            <w:vAlign w:val="center"/>
          </w:tcPr>
          <w:p w14:paraId="63807A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98D65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275" w:type="pct"/>
            <w:vMerge w:val="continue"/>
            <w:noWrap/>
            <w:vAlign w:val="center"/>
          </w:tcPr>
          <w:p w14:paraId="514883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1107C1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23" w:type="dxa"/>
            <w:noWrap/>
            <w:vAlign w:val="center"/>
          </w:tcPr>
          <w:p w14:paraId="3BB200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3CCA69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4.37E-05</w:t>
            </w:r>
          </w:p>
        </w:tc>
        <w:tc>
          <w:tcPr>
            <w:tcW w:w="424" w:type="pct"/>
            <w:noWrap/>
            <w:vAlign w:val="center"/>
          </w:tcPr>
          <w:p w14:paraId="66C9B7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451535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551C1A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7.11E-05</w:t>
            </w:r>
          </w:p>
        </w:tc>
        <w:tc>
          <w:tcPr>
            <w:tcW w:w="412" w:type="pct"/>
            <w:noWrap/>
            <w:vAlign w:val="center"/>
          </w:tcPr>
          <w:p w14:paraId="4DF209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4.37E-05</w:t>
            </w:r>
          </w:p>
        </w:tc>
        <w:tc>
          <w:tcPr>
            <w:tcW w:w="723" w:type="dxa"/>
            <w:noWrap/>
            <w:vAlign w:val="center"/>
          </w:tcPr>
          <w:p w14:paraId="13933B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2A2D3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275" w:type="pct"/>
            <w:vMerge w:val="restart"/>
            <w:noWrap/>
            <w:vAlign w:val="center"/>
          </w:tcPr>
          <w:p w14:paraId="4CEA9A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62</w:t>
            </w:r>
          </w:p>
        </w:tc>
        <w:tc>
          <w:tcPr>
            <w:tcW w:w="1020" w:type="pct"/>
            <w:vMerge w:val="restart"/>
            <w:noWrap/>
            <w:vAlign w:val="center"/>
          </w:tcPr>
          <w:p w14:paraId="7DEA48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网格</w:t>
            </w:r>
          </w:p>
        </w:tc>
        <w:tc>
          <w:tcPr>
            <w:tcW w:w="424" w:type="pct"/>
            <w:noWrap/>
            <w:vAlign w:val="center"/>
          </w:tcPr>
          <w:p w14:paraId="7A20DC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72" w:type="pct"/>
            <w:noWrap/>
            <w:vAlign w:val="center"/>
          </w:tcPr>
          <w:p w14:paraId="4CBC56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1.48E-03</w:t>
            </w:r>
          </w:p>
        </w:tc>
        <w:tc>
          <w:tcPr>
            <w:tcW w:w="424" w:type="pct"/>
            <w:noWrap/>
            <w:vAlign w:val="center"/>
          </w:tcPr>
          <w:p w14:paraId="4C9A30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240426</w:t>
            </w:r>
          </w:p>
        </w:tc>
        <w:tc>
          <w:tcPr>
            <w:tcW w:w="672" w:type="pct"/>
            <w:noWrap/>
            <w:vAlign w:val="center"/>
          </w:tcPr>
          <w:p w14:paraId="6EBD95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3.10E-05</w:t>
            </w:r>
          </w:p>
        </w:tc>
        <w:tc>
          <w:tcPr>
            <w:tcW w:w="672" w:type="pct"/>
            <w:noWrap/>
            <w:vAlign w:val="center"/>
          </w:tcPr>
          <w:p w14:paraId="48B522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1.51E-03</w:t>
            </w:r>
          </w:p>
        </w:tc>
        <w:tc>
          <w:tcPr>
            <w:tcW w:w="412" w:type="pct"/>
            <w:noWrap/>
            <w:vAlign w:val="center"/>
          </w:tcPr>
          <w:p w14:paraId="182810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1.51</w:t>
            </w:r>
          </w:p>
        </w:tc>
        <w:tc>
          <w:tcPr>
            <w:tcW w:w="424" w:type="pct"/>
            <w:noWrap/>
            <w:vAlign w:val="center"/>
          </w:tcPr>
          <w:p w14:paraId="1DCE81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FE060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275" w:type="pct"/>
            <w:vMerge w:val="continue"/>
            <w:noWrap/>
            <w:vAlign w:val="center"/>
          </w:tcPr>
          <w:p w14:paraId="505963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1020" w:type="pct"/>
            <w:vMerge w:val="continue"/>
            <w:noWrap/>
            <w:vAlign w:val="center"/>
          </w:tcPr>
          <w:p w14:paraId="0B8877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424" w:type="pct"/>
            <w:noWrap/>
            <w:vAlign w:val="center"/>
          </w:tcPr>
          <w:p w14:paraId="7BBA7A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72" w:type="pct"/>
            <w:noWrap/>
            <w:vAlign w:val="center"/>
          </w:tcPr>
          <w:p w14:paraId="63CB5B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1.87E-04</w:t>
            </w:r>
          </w:p>
        </w:tc>
        <w:tc>
          <w:tcPr>
            <w:tcW w:w="424" w:type="pct"/>
            <w:noWrap/>
            <w:vAlign w:val="center"/>
          </w:tcPr>
          <w:p w14:paraId="04A8D8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3CACA5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2.74E-05</w:t>
            </w:r>
          </w:p>
        </w:tc>
        <w:tc>
          <w:tcPr>
            <w:tcW w:w="672" w:type="pct"/>
            <w:noWrap/>
            <w:vAlign w:val="center"/>
          </w:tcPr>
          <w:p w14:paraId="062E2B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2.14E-04</w:t>
            </w:r>
          </w:p>
        </w:tc>
        <w:tc>
          <w:tcPr>
            <w:tcW w:w="412" w:type="pct"/>
            <w:noWrap/>
            <w:vAlign w:val="center"/>
          </w:tcPr>
          <w:p w14:paraId="03E47F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0.43</w:t>
            </w:r>
          </w:p>
        </w:tc>
        <w:tc>
          <w:tcPr>
            <w:tcW w:w="424" w:type="pct"/>
            <w:noWrap/>
            <w:vAlign w:val="center"/>
          </w:tcPr>
          <w:p w14:paraId="3A4040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bl>
    <w:p w14:paraId="448FBF95">
      <w:pPr>
        <w:ind w:firstLine="0" w:firstLineChars="0"/>
        <w:rPr>
          <w:rFonts w:ascii="Times New Roman" w:hAnsi="Times New Roman"/>
          <w:color w:val="auto"/>
          <w:sz w:val="21"/>
          <w:highlight w:val="none"/>
        </w:rPr>
      </w:pPr>
      <w:r>
        <w:rPr>
          <w:rFonts w:ascii="Times New Roman" w:hAnsi="Times New Roman"/>
          <w:color w:val="auto"/>
          <w:sz w:val="21"/>
          <w:highlight w:val="none"/>
        </w:rPr>
        <w:t>注：叠加浓度=本项目贡献浓度-区域削减污染源+区域在建+</w:t>
      </w:r>
      <w:r>
        <w:rPr>
          <w:rFonts w:hint="eastAsia" w:ascii="Times New Roman" w:hAnsi="Times New Roman"/>
          <w:color w:val="auto"/>
          <w:sz w:val="21"/>
          <w:highlight w:val="none"/>
        </w:rPr>
        <w:t>拟在建</w:t>
      </w:r>
      <w:r>
        <w:rPr>
          <w:rFonts w:ascii="Times New Roman" w:hAnsi="Times New Roman"/>
          <w:color w:val="auto"/>
          <w:sz w:val="21"/>
          <w:highlight w:val="none"/>
        </w:rPr>
        <w:t>污染源+背景浓度</w:t>
      </w:r>
    </w:p>
    <w:p w14:paraId="089F076A">
      <w:pPr>
        <w:ind w:left="0" w:leftChars="0" w:firstLine="0" w:firstLineChars="0"/>
        <w:jc w:val="center"/>
        <w:rPr>
          <w:rFonts w:hint="eastAsia" w:ascii="Times New Roman" w:hAnsi="Times New Roman" w:eastAsia="宋体"/>
          <w:color w:val="auto"/>
          <w:highlight w:val="none"/>
          <w:lang w:eastAsia="zh-CN"/>
        </w:rPr>
      </w:pPr>
      <w:r>
        <w:rPr>
          <w:highlight w:val="none"/>
        </w:rPr>
        <w:drawing>
          <wp:inline distT="0" distB="0" distL="114300" distR="114300">
            <wp:extent cx="5271135" cy="2412365"/>
            <wp:effectExtent l="0" t="0" r="5715" b="6985"/>
            <wp:docPr id="15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7"/>
                    <pic:cNvPicPr>
                      <a:picLocks noChangeAspect="1"/>
                    </pic:cNvPicPr>
                  </pic:nvPicPr>
                  <pic:blipFill>
                    <a:blip r:embed="rId43"/>
                    <a:stretch>
                      <a:fillRect/>
                    </a:stretch>
                  </pic:blipFill>
                  <pic:spPr>
                    <a:xfrm>
                      <a:off x="0" y="0"/>
                      <a:ext cx="5271135" cy="2412365"/>
                    </a:xfrm>
                    <a:prstGeom prst="rect">
                      <a:avLst/>
                    </a:prstGeom>
                    <a:noFill/>
                    <a:ln>
                      <a:noFill/>
                    </a:ln>
                  </pic:spPr>
                </pic:pic>
              </a:graphicData>
            </a:graphic>
          </wp:inline>
        </w:drawing>
      </w:r>
    </w:p>
    <w:p w14:paraId="6ADAF392">
      <w:pPr>
        <w:ind w:left="0" w:leftChars="0" w:firstLine="0" w:firstLineChars="0"/>
        <w:jc w:val="center"/>
        <w:rPr>
          <w:rFonts w:hint="eastAsia" w:ascii="Times New Roman" w:hAnsi="Times New Roman"/>
          <w:color w:val="auto"/>
          <w:highlight w:val="none"/>
        </w:rPr>
      </w:pPr>
      <w:r>
        <w:rPr>
          <w:rFonts w:hint="eastAsia" w:ascii="黑体" w:hAnsi="黑体" w:eastAsia="黑体" w:cs="黑体"/>
          <w:color w:val="auto"/>
          <w:highlight w:val="none"/>
        </w:rPr>
        <w:t>图</w:t>
      </w:r>
      <w:r>
        <w:rPr>
          <w:rFonts w:hint="eastAsia" w:ascii="Times New Roman" w:hAnsi="Times New Roman"/>
          <w:color w:val="auto"/>
          <w:highlight w:val="none"/>
        </w:rPr>
        <w:t>5</w:t>
      </w:r>
      <w:r>
        <w:rPr>
          <w:rFonts w:hint="eastAsia" w:ascii="Times New Roman" w:hAnsi="Times New Roman"/>
          <w:color w:val="auto"/>
          <w:highlight w:val="none"/>
          <w:lang w:val="en-US" w:eastAsia="zh-CN"/>
        </w:rPr>
        <w:t>.</w:t>
      </w:r>
      <w:r>
        <w:rPr>
          <w:rFonts w:hint="eastAsia" w:ascii="Times New Roman" w:hAnsi="Times New Roman"/>
          <w:color w:val="auto"/>
          <w:highlight w:val="none"/>
        </w:rPr>
        <w:t>2-3</w:t>
      </w:r>
      <w:r>
        <w:rPr>
          <w:rFonts w:hint="eastAsia" w:ascii="黑体" w:hAnsi="黑体" w:eastAsia="黑体" w:cs="黑体"/>
          <w:color w:val="auto"/>
          <w:highlight w:val="none"/>
        </w:rPr>
        <w:t>本项目</w:t>
      </w:r>
      <w:r>
        <w:rPr>
          <w:rFonts w:ascii="Times New Roman" w:hAnsi="Times New Roman"/>
          <w:color w:val="auto"/>
          <w:highlight w:val="none"/>
        </w:rPr>
        <w:t>NO</w:t>
      </w:r>
      <w:r>
        <w:rPr>
          <w:rFonts w:ascii="Times New Roman" w:hAnsi="Times New Roman"/>
          <w:color w:val="auto"/>
          <w:highlight w:val="none"/>
          <w:vertAlign w:val="subscript"/>
        </w:rPr>
        <w:t>2</w:t>
      </w:r>
      <w:r>
        <w:rPr>
          <w:rFonts w:hint="eastAsia" w:ascii="黑体" w:hAnsi="黑体" w:eastAsia="黑体" w:cs="黑体"/>
          <w:color w:val="auto"/>
          <w:highlight w:val="none"/>
        </w:rPr>
        <w:t>保证率日平均质量浓度分布图</w:t>
      </w:r>
      <w:r>
        <w:rPr>
          <w:rFonts w:hint="eastAsia" w:ascii="Times New Roman" w:hAnsi="Times New Roman"/>
          <w:color w:val="auto"/>
          <w:highlight w:val="none"/>
        </w:rPr>
        <w:t>（</w:t>
      </w:r>
      <w:r>
        <w:rPr>
          <w:rFonts w:hint="eastAsia" w:ascii="Times New Roman" w:hAnsi="Times New Roman"/>
          <w:color w:val="auto"/>
          <w:highlight w:val="none"/>
          <w:lang w:val="en-US" w:eastAsia="zh-CN"/>
        </w:rPr>
        <w:t>m</w:t>
      </w:r>
      <w:r>
        <w:rPr>
          <w:rFonts w:hint="eastAsia" w:ascii="Times New Roman" w:hAnsi="Times New Roman"/>
          <w:color w:val="auto"/>
          <w:highlight w:val="none"/>
        </w:rPr>
        <w:t>g/m</w:t>
      </w:r>
      <w:r>
        <w:rPr>
          <w:rFonts w:hint="eastAsia" w:ascii="Times New Roman" w:hAnsi="Times New Roman"/>
          <w:color w:val="auto"/>
          <w:highlight w:val="none"/>
          <w:vertAlign w:val="superscript"/>
        </w:rPr>
        <w:t>3</w:t>
      </w:r>
      <w:r>
        <w:rPr>
          <w:rFonts w:hint="eastAsia" w:ascii="Times New Roman" w:hAnsi="Times New Roman"/>
          <w:color w:val="auto"/>
          <w:highlight w:val="none"/>
        </w:rPr>
        <w:t>）</w:t>
      </w:r>
    </w:p>
    <w:p w14:paraId="332F72BE">
      <w:pPr>
        <w:pStyle w:val="15"/>
        <w:ind w:left="0" w:leftChars="0" w:firstLine="0" w:firstLineChars="0"/>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272405" cy="2693035"/>
            <wp:effectExtent l="0" t="0" r="4445" b="12065"/>
            <wp:docPr id="85" name="图片 85" descr="9f302cc826bc32f621073d63b191d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9f302cc826bc32f621073d63b191d030"/>
                    <pic:cNvPicPr>
                      <a:picLocks noChangeAspect="1"/>
                    </pic:cNvPicPr>
                  </pic:nvPicPr>
                  <pic:blipFill>
                    <a:blip r:embed="rId44"/>
                    <a:stretch>
                      <a:fillRect/>
                    </a:stretch>
                  </pic:blipFill>
                  <pic:spPr>
                    <a:xfrm>
                      <a:off x="0" y="0"/>
                      <a:ext cx="5272405" cy="2693035"/>
                    </a:xfrm>
                    <a:prstGeom prst="rect">
                      <a:avLst/>
                    </a:prstGeom>
                  </pic:spPr>
                </pic:pic>
              </a:graphicData>
            </a:graphic>
          </wp:inline>
        </w:drawing>
      </w:r>
    </w:p>
    <w:p w14:paraId="4D3170C9">
      <w:pPr>
        <w:ind w:left="0" w:leftChars="0" w:firstLine="0" w:firstLineChars="0"/>
        <w:jc w:val="center"/>
        <w:rPr>
          <w:color w:val="auto"/>
          <w:highlight w:val="none"/>
        </w:rPr>
      </w:pPr>
      <w:r>
        <w:rPr>
          <w:rFonts w:hint="eastAsia" w:ascii="黑体" w:hAnsi="黑体" w:eastAsia="黑体" w:cs="黑体"/>
          <w:color w:val="auto"/>
          <w:highlight w:val="none"/>
        </w:rPr>
        <w:t>图</w:t>
      </w:r>
      <w:r>
        <w:rPr>
          <w:rFonts w:hint="eastAsia" w:ascii="Times New Roman" w:hAnsi="Times New Roman"/>
          <w:color w:val="auto"/>
          <w:highlight w:val="none"/>
        </w:rPr>
        <w:t>5</w:t>
      </w:r>
      <w:r>
        <w:rPr>
          <w:rFonts w:hint="eastAsia" w:ascii="Times New Roman" w:hAnsi="Times New Roman"/>
          <w:color w:val="auto"/>
          <w:highlight w:val="none"/>
          <w:lang w:val="en-US" w:eastAsia="zh-CN"/>
        </w:rPr>
        <w:t>.</w:t>
      </w:r>
      <w:r>
        <w:rPr>
          <w:rFonts w:hint="eastAsia" w:ascii="Times New Roman" w:hAnsi="Times New Roman"/>
          <w:color w:val="auto"/>
          <w:highlight w:val="none"/>
        </w:rPr>
        <w:t>2-4</w:t>
      </w:r>
      <w:r>
        <w:rPr>
          <w:rFonts w:hint="eastAsia" w:ascii="黑体" w:hAnsi="黑体" w:eastAsia="黑体" w:cs="黑体"/>
          <w:color w:val="auto"/>
          <w:highlight w:val="none"/>
        </w:rPr>
        <w:t>本项目</w:t>
      </w:r>
      <w:r>
        <w:rPr>
          <w:rFonts w:ascii="Times New Roman" w:hAnsi="Times New Roman"/>
          <w:color w:val="auto"/>
          <w:highlight w:val="none"/>
        </w:rPr>
        <w:t>NO</w:t>
      </w:r>
      <w:r>
        <w:rPr>
          <w:rFonts w:ascii="Times New Roman" w:hAnsi="Times New Roman"/>
          <w:color w:val="auto"/>
          <w:highlight w:val="none"/>
          <w:vertAlign w:val="subscript"/>
        </w:rPr>
        <w:t>2</w:t>
      </w:r>
      <w:r>
        <w:rPr>
          <w:rFonts w:hint="eastAsia" w:ascii="黑体" w:hAnsi="黑体" w:eastAsia="黑体" w:cs="黑体"/>
          <w:color w:val="auto"/>
          <w:highlight w:val="none"/>
        </w:rPr>
        <w:t>年平均质量浓度分布图</w:t>
      </w:r>
      <w:r>
        <w:rPr>
          <w:rFonts w:hint="eastAsia"/>
          <w:color w:val="auto"/>
          <w:highlight w:val="none"/>
        </w:rPr>
        <w:t>（</w:t>
      </w:r>
      <w:r>
        <w:rPr>
          <w:rFonts w:hint="eastAsia" w:ascii="Times New Roman" w:hAnsi="Times New Roman"/>
          <w:color w:val="auto"/>
          <w:highlight w:val="none"/>
          <w:lang w:val="en-US" w:eastAsia="zh-CN"/>
        </w:rPr>
        <w:t>m</w:t>
      </w:r>
      <w:r>
        <w:rPr>
          <w:rFonts w:hint="eastAsia" w:ascii="Times New Roman" w:hAnsi="Times New Roman"/>
          <w:color w:val="auto"/>
          <w:highlight w:val="none"/>
        </w:rPr>
        <w:t>g/m</w:t>
      </w:r>
      <w:r>
        <w:rPr>
          <w:rFonts w:hint="eastAsia" w:ascii="Times New Roman" w:hAnsi="Times New Roman"/>
          <w:color w:val="auto"/>
          <w:highlight w:val="none"/>
          <w:vertAlign w:val="superscript"/>
        </w:rPr>
        <w:t>3</w:t>
      </w:r>
      <w:r>
        <w:rPr>
          <w:rFonts w:hint="eastAsia"/>
          <w:color w:val="auto"/>
          <w:highlight w:val="none"/>
        </w:rPr>
        <w:t>）</w:t>
      </w:r>
    </w:p>
    <w:p w14:paraId="7173F572">
      <w:pPr>
        <w:ind w:firstLine="480"/>
        <w:rPr>
          <w:rFonts w:ascii="Times New Roman" w:hAnsi="Times New Roman"/>
          <w:color w:val="auto"/>
          <w:highlight w:val="none"/>
          <w:u w:val="none"/>
        </w:rPr>
      </w:pPr>
      <w:r>
        <w:rPr>
          <w:rFonts w:ascii="Times New Roman" w:hAnsi="Times New Roman"/>
          <w:color w:val="auto"/>
          <w:highlight w:val="none"/>
          <w:u w:val="none"/>
        </w:rPr>
        <w:t>叠加后，污染物NO</w:t>
      </w:r>
      <w:r>
        <w:rPr>
          <w:rFonts w:ascii="Times New Roman" w:hAnsi="Times New Roman"/>
          <w:color w:val="auto"/>
          <w:highlight w:val="none"/>
          <w:u w:val="none"/>
          <w:vertAlign w:val="subscript"/>
        </w:rPr>
        <w:t>2</w:t>
      </w:r>
      <w:r>
        <w:rPr>
          <w:rFonts w:ascii="Times New Roman" w:hAnsi="Times New Roman"/>
          <w:color w:val="auto"/>
          <w:highlight w:val="none"/>
          <w:u w:val="none"/>
        </w:rPr>
        <w:t>保证率（98%）日平均质量浓度和年平均质量浓度均符合《环境空气质量标准》（GB3095-2012）及修改单中二级标准。</w:t>
      </w:r>
    </w:p>
    <w:p w14:paraId="70A78461">
      <w:pPr>
        <w:ind w:firstLine="480"/>
        <w:rPr>
          <w:rFonts w:ascii="Times New Roman" w:hAnsi="Times New Roman"/>
          <w:color w:val="auto"/>
          <w:highlight w:val="none"/>
        </w:rPr>
      </w:pPr>
      <w:r>
        <w:rPr>
          <w:rFonts w:ascii="Times New Roman" w:hAnsi="Times New Roman"/>
          <w:color w:val="auto"/>
          <w:highlight w:val="none"/>
        </w:rPr>
        <w:t>（3）PM</w:t>
      </w:r>
      <w:r>
        <w:rPr>
          <w:rFonts w:ascii="Times New Roman" w:hAnsi="Times New Roman"/>
          <w:color w:val="auto"/>
          <w:highlight w:val="none"/>
          <w:vertAlign w:val="subscript"/>
        </w:rPr>
        <w:t>10</w:t>
      </w:r>
      <w:r>
        <w:rPr>
          <w:rFonts w:ascii="Times New Roman" w:hAnsi="Times New Roman"/>
          <w:color w:val="auto"/>
          <w:highlight w:val="none"/>
        </w:rPr>
        <w:t>叠加现状环境影响预测</w:t>
      </w:r>
    </w:p>
    <w:p w14:paraId="5B065C32">
      <w:pPr>
        <w:ind w:firstLine="480"/>
        <w:rPr>
          <w:rFonts w:ascii="Times New Roman" w:hAnsi="Times New Roman"/>
          <w:color w:val="auto"/>
          <w:highlight w:val="none"/>
        </w:rPr>
      </w:pPr>
      <w:r>
        <w:rPr>
          <w:rFonts w:ascii="Times New Roman" w:hAnsi="Times New Roman"/>
          <w:color w:val="auto"/>
          <w:highlight w:val="none"/>
        </w:rPr>
        <w:t>各敏感点及区域PM</w:t>
      </w:r>
      <w:r>
        <w:rPr>
          <w:rFonts w:ascii="Times New Roman" w:hAnsi="Times New Roman"/>
          <w:color w:val="auto"/>
          <w:highlight w:val="none"/>
          <w:vertAlign w:val="subscript"/>
        </w:rPr>
        <w:t>10</w:t>
      </w:r>
      <w:r>
        <w:rPr>
          <w:rFonts w:ascii="Times New Roman" w:hAnsi="Times New Roman"/>
          <w:color w:val="auto"/>
          <w:highlight w:val="none"/>
        </w:rPr>
        <w:t>最大浓度点叠加背景浓度结果见表5.2-</w:t>
      </w:r>
      <w:r>
        <w:rPr>
          <w:rFonts w:hint="eastAsia" w:ascii="Times New Roman" w:hAnsi="Times New Roman"/>
          <w:color w:val="auto"/>
          <w:highlight w:val="none"/>
          <w:lang w:val="en-US" w:eastAsia="zh-CN"/>
        </w:rPr>
        <w:t>19</w:t>
      </w:r>
      <w:r>
        <w:rPr>
          <w:rFonts w:ascii="Times New Roman" w:hAnsi="Times New Roman"/>
          <w:color w:val="auto"/>
          <w:highlight w:val="none"/>
        </w:rPr>
        <w:t>。</w:t>
      </w:r>
    </w:p>
    <w:p w14:paraId="719E499A">
      <w:pPr>
        <w:ind w:firstLine="0" w:firstLineChars="0"/>
        <w:jc w:val="center"/>
        <w:rPr>
          <w:rFonts w:ascii="Times New Roman" w:hAnsi="Times New Roman"/>
          <w:color w:val="auto"/>
          <w:highlight w:val="none"/>
        </w:rPr>
      </w:pPr>
      <w:r>
        <w:rPr>
          <w:rFonts w:hint="eastAsia" w:ascii="黑体" w:hAnsi="黑体" w:eastAsia="黑体" w:cs="黑体"/>
          <w:color w:val="auto"/>
          <w:highlight w:val="none"/>
        </w:rPr>
        <w:t>表</w:t>
      </w:r>
      <w:r>
        <w:rPr>
          <w:rFonts w:ascii="Times New Roman" w:hAnsi="Times New Roman"/>
          <w:color w:val="auto"/>
          <w:highlight w:val="none"/>
        </w:rPr>
        <w:t>5.2-</w:t>
      </w:r>
      <w:r>
        <w:rPr>
          <w:rFonts w:hint="eastAsia" w:ascii="Times New Roman" w:hAnsi="Times New Roman"/>
          <w:color w:val="auto"/>
          <w:highlight w:val="none"/>
          <w:lang w:val="en-US" w:eastAsia="zh-CN"/>
        </w:rPr>
        <w:t>19</w:t>
      </w:r>
      <w:r>
        <w:rPr>
          <w:rFonts w:hint="eastAsia" w:ascii="Times New Roman" w:hAnsi="Times New Roman"/>
          <w:color w:val="auto"/>
          <w:highlight w:val="none"/>
        </w:rPr>
        <w:t xml:space="preserve">  </w:t>
      </w:r>
      <w:r>
        <w:rPr>
          <w:rFonts w:ascii="Times New Roman" w:hAnsi="Times New Roman"/>
          <w:color w:val="auto"/>
          <w:highlight w:val="none"/>
        </w:rPr>
        <w:t>PM</w:t>
      </w:r>
      <w:r>
        <w:rPr>
          <w:rFonts w:ascii="Times New Roman" w:hAnsi="Times New Roman"/>
          <w:color w:val="auto"/>
          <w:highlight w:val="none"/>
          <w:vertAlign w:val="subscript"/>
        </w:rPr>
        <w:t>10</w:t>
      </w:r>
      <w:r>
        <w:rPr>
          <w:rFonts w:hint="eastAsia" w:ascii="黑体" w:hAnsi="黑体" w:eastAsia="黑体" w:cs="黑体"/>
          <w:color w:val="auto"/>
          <w:highlight w:val="none"/>
        </w:rPr>
        <w:t>预测结果叠加背景浓度结果</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9"/>
        <w:gridCol w:w="1307"/>
        <w:gridCol w:w="878"/>
        <w:gridCol w:w="1039"/>
        <w:gridCol w:w="793"/>
        <w:gridCol w:w="1146"/>
        <w:gridCol w:w="1329"/>
        <w:gridCol w:w="837"/>
        <w:gridCol w:w="724"/>
      </w:tblGrid>
      <w:tr w14:paraId="42CB51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noWrap/>
            <w:vAlign w:val="center"/>
          </w:tcPr>
          <w:p w14:paraId="1F8F56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序号</w:t>
            </w:r>
          </w:p>
        </w:tc>
        <w:tc>
          <w:tcPr>
            <w:tcW w:w="766" w:type="pct"/>
            <w:noWrap/>
            <w:vAlign w:val="center"/>
          </w:tcPr>
          <w:p w14:paraId="07BBAC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点名称</w:t>
            </w:r>
          </w:p>
        </w:tc>
        <w:tc>
          <w:tcPr>
            <w:tcW w:w="515" w:type="pct"/>
            <w:noWrap/>
            <w:vAlign w:val="center"/>
          </w:tcPr>
          <w:p w14:paraId="4F947D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浓度类型</w:t>
            </w:r>
          </w:p>
        </w:tc>
        <w:tc>
          <w:tcPr>
            <w:tcW w:w="609" w:type="pct"/>
            <w:noWrap/>
            <w:vAlign w:val="center"/>
          </w:tcPr>
          <w:p w14:paraId="430A13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浓度增量(mg/m</w:t>
            </w:r>
            <w:r>
              <w:rPr>
                <w:rFonts w:hint="eastAsia" w:ascii="Times New Roman" w:hAnsi="Times New Roman" w:eastAsia="宋体" w:cs="Times New Roman"/>
                <w:kern w:val="0"/>
                <w:sz w:val="21"/>
                <w:highlight w:val="none"/>
                <w:vertAlign w:val="superscript"/>
                <w:lang w:val="en-US" w:eastAsia="zh-CN" w:bidi="ar"/>
              </w:rPr>
              <w:t>3</w:t>
            </w:r>
            <w:r>
              <w:rPr>
                <w:rFonts w:hint="eastAsia" w:ascii="Times New Roman" w:hAnsi="Times New Roman" w:eastAsia="宋体" w:cs="Times New Roman"/>
                <w:kern w:val="0"/>
                <w:sz w:val="21"/>
                <w:highlight w:val="none"/>
                <w:lang w:val="en-US" w:eastAsia="zh-CN" w:bidi="ar"/>
              </w:rPr>
              <w:t>)</w:t>
            </w:r>
          </w:p>
        </w:tc>
        <w:tc>
          <w:tcPr>
            <w:tcW w:w="465" w:type="pct"/>
            <w:noWrap/>
            <w:vAlign w:val="center"/>
          </w:tcPr>
          <w:p w14:paraId="68223B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出现时间</w:t>
            </w:r>
          </w:p>
        </w:tc>
        <w:tc>
          <w:tcPr>
            <w:tcW w:w="672" w:type="pct"/>
            <w:noWrap/>
            <w:vAlign w:val="center"/>
          </w:tcPr>
          <w:p w14:paraId="25C8338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背景浓度(mg/m</w:t>
            </w:r>
            <w:r>
              <w:rPr>
                <w:rFonts w:hint="eastAsia" w:ascii="Times New Roman" w:hAnsi="Times New Roman" w:eastAsia="宋体" w:cs="Times New Roman"/>
                <w:kern w:val="0"/>
                <w:sz w:val="21"/>
                <w:highlight w:val="none"/>
                <w:vertAlign w:val="superscript"/>
                <w:lang w:val="en-US" w:eastAsia="zh-CN" w:bidi="ar"/>
              </w:rPr>
              <w:t>3</w:t>
            </w:r>
            <w:r>
              <w:rPr>
                <w:rFonts w:hint="eastAsia" w:ascii="Times New Roman" w:hAnsi="Times New Roman" w:eastAsia="宋体" w:cs="Times New Roman"/>
                <w:kern w:val="0"/>
                <w:sz w:val="21"/>
                <w:highlight w:val="none"/>
                <w:lang w:val="en-US" w:eastAsia="zh-CN" w:bidi="ar"/>
              </w:rPr>
              <w:t>)</w:t>
            </w:r>
          </w:p>
        </w:tc>
        <w:tc>
          <w:tcPr>
            <w:tcW w:w="779" w:type="pct"/>
            <w:noWrap/>
            <w:vAlign w:val="center"/>
          </w:tcPr>
          <w:p w14:paraId="76404F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叠加浓度(mg/m</w:t>
            </w:r>
            <w:r>
              <w:rPr>
                <w:rFonts w:hint="eastAsia" w:ascii="Times New Roman" w:hAnsi="Times New Roman" w:eastAsia="宋体" w:cs="Times New Roman"/>
                <w:kern w:val="0"/>
                <w:sz w:val="21"/>
                <w:highlight w:val="none"/>
                <w:vertAlign w:val="superscript"/>
                <w:lang w:val="en-US" w:eastAsia="zh-CN" w:bidi="ar"/>
              </w:rPr>
              <w:t>3</w:t>
            </w:r>
            <w:r>
              <w:rPr>
                <w:rFonts w:hint="eastAsia" w:ascii="Times New Roman" w:hAnsi="Times New Roman" w:eastAsia="宋体" w:cs="Times New Roman"/>
                <w:kern w:val="0"/>
                <w:sz w:val="21"/>
                <w:highlight w:val="none"/>
                <w:lang w:val="en-US" w:eastAsia="zh-CN" w:bidi="ar"/>
              </w:rPr>
              <w:t>)</w:t>
            </w:r>
          </w:p>
        </w:tc>
        <w:tc>
          <w:tcPr>
            <w:tcW w:w="491" w:type="pct"/>
            <w:noWrap/>
            <w:vAlign w:val="center"/>
          </w:tcPr>
          <w:p w14:paraId="4C3A4F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占标率%</w:t>
            </w:r>
          </w:p>
        </w:tc>
        <w:tc>
          <w:tcPr>
            <w:tcW w:w="424" w:type="pct"/>
            <w:noWrap/>
            <w:vAlign w:val="center"/>
          </w:tcPr>
          <w:p w14:paraId="78ED05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是否超标</w:t>
            </w:r>
          </w:p>
        </w:tc>
      </w:tr>
      <w:tr w14:paraId="39AD40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restart"/>
            <w:noWrap/>
            <w:vAlign w:val="center"/>
          </w:tcPr>
          <w:p w14:paraId="45F4B4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w:t>
            </w:r>
          </w:p>
        </w:tc>
        <w:tc>
          <w:tcPr>
            <w:tcW w:w="766" w:type="pct"/>
            <w:vMerge w:val="restart"/>
            <w:noWrap/>
            <w:vAlign w:val="center"/>
          </w:tcPr>
          <w:p w14:paraId="49AE68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绥芬河市政府</w:t>
            </w:r>
          </w:p>
        </w:tc>
        <w:tc>
          <w:tcPr>
            <w:tcW w:w="515" w:type="pct"/>
            <w:noWrap/>
            <w:vAlign w:val="center"/>
          </w:tcPr>
          <w:p w14:paraId="67DD0F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3728CF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-6.04E-05</w:t>
            </w:r>
          </w:p>
        </w:tc>
        <w:tc>
          <w:tcPr>
            <w:tcW w:w="465" w:type="pct"/>
            <w:noWrap/>
            <w:vAlign w:val="center"/>
          </w:tcPr>
          <w:p w14:paraId="3A1A41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6E4FC2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18621F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11D125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82.63</w:t>
            </w:r>
          </w:p>
        </w:tc>
        <w:tc>
          <w:tcPr>
            <w:tcW w:w="424" w:type="pct"/>
            <w:noWrap/>
            <w:vAlign w:val="center"/>
          </w:tcPr>
          <w:p w14:paraId="5360D6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844C6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continue"/>
            <w:noWrap/>
            <w:vAlign w:val="center"/>
          </w:tcPr>
          <w:p w14:paraId="03FC82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06E27F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104432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71C8FF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201F34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4A6F8A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3829BC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6B9283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03A589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44608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restart"/>
            <w:noWrap/>
            <w:vAlign w:val="center"/>
          </w:tcPr>
          <w:p w14:paraId="580639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w:t>
            </w:r>
          </w:p>
        </w:tc>
        <w:tc>
          <w:tcPr>
            <w:tcW w:w="766" w:type="pct"/>
            <w:vMerge w:val="restart"/>
            <w:noWrap/>
            <w:vAlign w:val="center"/>
          </w:tcPr>
          <w:p w14:paraId="4E9B3D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绥芬河市人大</w:t>
            </w:r>
          </w:p>
        </w:tc>
        <w:tc>
          <w:tcPr>
            <w:tcW w:w="515" w:type="pct"/>
            <w:noWrap/>
            <w:vAlign w:val="center"/>
          </w:tcPr>
          <w:p w14:paraId="083E03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3955F5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-1.34E-04</w:t>
            </w:r>
          </w:p>
        </w:tc>
        <w:tc>
          <w:tcPr>
            <w:tcW w:w="465" w:type="pct"/>
            <w:noWrap/>
            <w:vAlign w:val="center"/>
          </w:tcPr>
          <w:p w14:paraId="491D10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3B4AE7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49D1E6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7D1813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82.58</w:t>
            </w:r>
          </w:p>
        </w:tc>
        <w:tc>
          <w:tcPr>
            <w:tcW w:w="424" w:type="pct"/>
            <w:noWrap/>
            <w:vAlign w:val="center"/>
          </w:tcPr>
          <w:p w14:paraId="7F0844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23BE1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continue"/>
            <w:noWrap/>
            <w:vAlign w:val="center"/>
          </w:tcPr>
          <w:p w14:paraId="62256C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6D96F6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455BA0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276BB8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5F0102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39302A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32BFE5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0173B8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5EBF41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2A0EF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restart"/>
            <w:noWrap/>
            <w:vAlign w:val="center"/>
          </w:tcPr>
          <w:p w14:paraId="784059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w:t>
            </w:r>
          </w:p>
        </w:tc>
        <w:tc>
          <w:tcPr>
            <w:tcW w:w="766" w:type="pct"/>
            <w:vMerge w:val="restart"/>
            <w:noWrap/>
            <w:vAlign w:val="center"/>
          </w:tcPr>
          <w:p w14:paraId="2B27E6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绥芬河市应急资源局</w:t>
            </w:r>
          </w:p>
        </w:tc>
        <w:tc>
          <w:tcPr>
            <w:tcW w:w="515" w:type="pct"/>
            <w:noWrap/>
            <w:vAlign w:val="center"/>
          </w:tcPr>
          <w:p w14:paraId="4C866D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526F34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-3.99E-04</w:t>
            </w:r>
          </w:p>
        </w:tc>
        <w:tc>
          <w:tcPr>
            <w:tcW w:w="465" w:type="pct"/>
            <w:noWrap/>
            <w:vAlign w:val="center"/>
          </w:tcPr>
          <w:p w14:paraId="3EBBDE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202907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14FB57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183999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82.40</w:t>
            </w:r>
          </w:p>
        </w:tc>
        <w:tc>
          <w:tcPr>
            <w:tcW w:w="424" w:type="pct"/>
            <w:noWrap/>
            <w:vAlign w:val="center"/>
          </w:tcPr>
          <w:p w14:paraId="0C7C2B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359F0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5" w:type="pct"/>
            <w:vMerge w:val="continue"/>
            <w:noWrap/>
            <w:vAlign w:val="center"/>
          </w:tcPr>
          <w:p w14:paraId="2AF943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256BA78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513148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7E18E4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436F72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2C6FB3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4CF5A3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37A4BB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49D6BE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1B692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restart"/>
            <w:noWrap/>
            <w:vAlign w:val="center"/>
          </w:tcPr>
          <w:p w14:paraId="787E10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w:t>
            </w:r>
          </w:p>
        </w:tc>
        <w:tc>
          <w:tcPr>
            <w:tcW w:w="766" w:type="pct"/>
            <w:vMerge w:val="restart"/>
            <w:noWrap/>
            <w:vAlign w:val="center"/>
          </w:tcPr>
          <w:p w14:paraId="541DD7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绥芬河市住房公积金中心</w:t>
            </w:r>
          </w:p>
        </w:tc>
        <w:tc>
          <w:tcPr>
            <w:tcW w:w="515" w:type="pct"/>
            <w:noWrap/>
            <w:vAlign w:val="center"/>
          </w:tcPr>
          <w:p w14:paraId="3310B9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35CBAC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-2.86E-04</w:t>
            </w:r>
          </w:p>
        </w:tc>
        <w:tc>
          <w:tcPr>
            <w:tcW w:w="465" w:type="pct"/>
            <w:noWrap/>
            <w:vAlign w:val="center"/>
          </w:tcPr>
          <w:p w14:paraId="44B830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0B159C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2B71A6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1BB515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82.48</w:t>
            </w:r>
          </w:p>
        </w:tc>
        <w:tc>
          <w:tcPr>
            <w:tcW w:w="424" w:type="pct"/>
            <w:noWrap/>
            <w:vAlign w:val="center"/>
          </w:tcPr>
          <w:p w14:paraId="2878BB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41573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continue"/>
            <w:noWrap/>
            <w:vAlign w:val="center"/>
          </w:tcPr>
          <w:p w14:paraId="4E5688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6D46EA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5F0D73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1CCE79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25F94B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23297A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606C69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21A5F3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4A1F51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17702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restart"/>
            <w:noWrap/>
            <w:vAlign w:val="center"/>
          </w:tcPr>
          <w:p w14:paraId="568EDB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w:t>
            </w:r>
          </w:p>
        </w:tc>
        <w:tc>
          <w:tcPr>
            <w:tcW w:w="766" w:type="pct"/>
            <w:vMerge w:val="restart"/>
            <w:noWrap/>
            <w:vAlign w:val="center"/>
          </w:tcPr>
          <w:p w14:paraId="324703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绥芬河市房屋征收办公室</w:t>
            </w:r>
          </w:p>
        </w:tc>
        <w:tc>
          <w:tcPr>
            <w:tcW w:w="515" w:type="pct"/>
            <w:noWrap/>
            <w:vAlign w:val="center"/>
          </w:tcPr>
          <w:p w14:paraId="610BC6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39BE3A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-3.31E-04</w:t>
            </w:r>
          </w:p>
        </w:tc>
        <w:tc>
          <w:tcPr>
            <w:tcW w:w="465" w:type="pct"/>
            <w:noWrap/>
            <w:vAlign w:val="center"/>
          </w:tcPr>
          <w:p w14:paraId="19B6F4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1E3211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27D339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1CA565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82.45</w:t>
            </w:r>
          </w:p>
        </w:tc>
        <w:tc>
          <w:tcPr>
            <w:tcW w:w="424" w:type="pct"/>
            <w:noWrap/>
            <w:vAlign w:val="center"/>
          </w:tcPr>
          <w:p w14:paraId="4D4BF7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F1354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continue"/>
            <w:noWrap/>
            <w:vAlign w:val="center"/>
          </w:tcPr>
          <w:p w14:paraId="0DFF2E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5589FE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08FB2F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6D7545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4FB6BA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336765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3D699E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547C39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4474BA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7AC18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restart"/>
            <w:noWrap/>
            <w:vAlign w:val="center"/>
          </w:tcPr>
          <w:p w14:paraId="181B0D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w:t>
            </w:r>
          </w:p>
        </w:tc>
        <w:tc>
          <w:tcPr>
            <w:tcW w:w="766" w:type="pct"/>
            <w:vMerge w:val="restart"/>
            <w:noWrap/>
            <w:vAlign w:val="center"/>
          </w:tcPr>
          <w:p w14:paraId="05A175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绥芬河镇人民政府</w:t>
            </w:r>
          </w:p>
        </w:tc>
        <w:tc>
          <w:tcPr>
            <w:tcW w:w="515" w:type="pct"/>
            <w:noWrap/>
            <w:vAlign w:val="center"/>
          </w:tcPr>
          <w:p w14:paraId="2ED375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632AB1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362691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21F5CC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485164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0981C4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264B6A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D086D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continue"/>
            <w:noWrap/>
            <w:vAlign w:val="center"/>
          </w:tcPr>
          <w:p w14:paraId="25BCFF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5D7571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666C12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43DE44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29B96C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2E441B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0B81D9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656CBBE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7321B3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1087A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restart"/>
            <w:noWrap/>
            <w:vAlign w:val="center"/>
          </w:tcPr>
          <w:p w14:paraId="643F3C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w:t>
            </w:r>
          </w:p>
        </w:tc>
        <w:tc>
          <w:tcPr>
            <w:tcW w:w="766" w:type="pct"/>
            <w:vMerge w:val="restart"/>
            <w:noWrap/>
            <w:vAlign w:val="center"/>
          </w:tcPr>
          <w:p w14:paraId="0710FD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绥芬河邮政管理局</w:t>
            </w:r>
          </w:p>
        </w:tc>
        <w:tc>
          <w:tcPr>
            <w:tcW w:w="515" w:type="pct"/>
            <w:noWrap/>
            <w:vAlign w:val="center"/>
          </w:tcPr>
          <w:p w14:paraId="0A489D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6E4D34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53A628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0DC54D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1FF84B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61C1CC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14CDD6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DD1BF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5" w:type="pct"/>
            <w:vMerge w:val="continue"/>
            <w:noWrap/>
            <w:vAlign w:val="center"/>
          </w:tcPr>
          <w:p w14:paraId="3588D6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0BA468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71C79A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14821F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28615A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185C54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3C1089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312467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311858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4B8A5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275" w:type="pct"/>
            <w:vMerge w:val="restart"/>
            <w:noWrap/>
            <w:vAlign w:val="center"/>
          </w:tcPr>
          <w:p w14:paraId="273597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w:t>
            </w:r>
          </w:p>
        </w:tc>
        <w:tc>
          <w:tcPr>
            <w:tcW w:w="766" w:type="pct"/>
            <w:vMerge w:val="restart"/>
            <w:noWrap/>
            <w:vAlign w:val="center"/>
          </w:tcPr>
          <w:p w14:paraId="7CF706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绥芬河市教育局</w:t>
            </w:r>
          </w:p>
        </w:tc>
        <w:tc>
          <w:tcPr>
            <w:tcW w:w="515" w:type="pct"/>
            <w:noWrap/>
            <w:vAlign w:val="center"/>
          </w:tcPr>
          <w:p w14:paraId="2E3B58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14D70D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7345FA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331A86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2F1C19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745511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2E4E35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C2ABB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275" w:type="pct"/>
            <w:vMerge w:val="continue"/>
            <w:noWrap/>
            <w:vAlign w:val="center"/>
          </w:tcPr>
          <w:p w14:paraId="3F3F92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0B4EFD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160C15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0F4B46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655E9B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24D18F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0FE047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22DBCE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158EA1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68E80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275" w:type="pct"/>
            <w:vMerge w:val="restart"/>
            <w:noWrap/>
            <w:vAlign w:val="center"/>
          </w:tcPr>
          <w:p w14:paraId="434863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9</w:t>
            </w:r>
          </w:p>
        </w:tc>
        <w:tc>
          <w:tcPr>
            <w:tcW w:w="766" w:type="pct"/>
            <w:vMerge w:val="restart"/>
            <w:noWrap/>
            <w:vAlign w:val="center"/>
          </w:tcPr>
          <w:p w14:paraId="157241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绥芬河市自然资源局</w:t>
            </w:r>
          </w:p>
        </w:tc>
        <w:tc>
          <w:tcPr>
            <w:tcW w:w="515" w:type="pct"/>
            <w:noWrap/>
            <w:vAlign w:val="center"/>
          </w:tcPr>
          <w:p w14:paraId="7C7BD6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17BAEC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-9.92E-08</w:t>
            </w:r>
          </w:p>
        </w:tc>
        <w:tc>
          <w:tcPr>
            <w:tcW w:w="465" w:type="pct"/>
            <w:noWrap/>
            <w:vAlign w:val="center"/>
          </w:tcPr>
          <w:p w14:paraId="400804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23091A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72EDF8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3ECF3E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17E252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80C68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275" w:type="pct"/>
            <w:vMerge w:val="continue"/>
            <w:noWrap/>
            <w:vAlign w:val="center"/>
          </w:tcPr>
          <w:p w14:paraId="3B7081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64153F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043CB4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4E9442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5D78C1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07DA4B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7F7C42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474002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708C6C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AF31C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275" w:type="pct"/>
            <w:vMerge w:val="restart"/>
            <w:noWrap/>
            <w:vAlign w:val="center"/>
          </w:tcPr>
          <w:p w14:paraId="266A1D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w:t>
            </w:r>
          </w:p>
        </w:tc>
        <w:tc>
          <w:tcPr>
            <w:tcW w:w="766" w:type="pct"/>
            <w:vMerge w:val="restart"/>
            <w:noWrap/>
            <w:vAlign w:val="center"/>
          </w:tcPr>
          <w:p w14:paraId="13265B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绥芬河海关</w:t>
            </w:r>
          </w:p>
        </w:tc>
        <w:tc>
          <w:tcPr>
            <w:tcW w:w="515" w:type="pct"/>
            <w:noWrap/>
            <w:vAlign w:val="center"/>
          </w:tcPr>
          <w:p w14:paraId="57AF60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2DD2C5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3CB532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11FC0F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465BA8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3CEE33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15B695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5C6B7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275" w:type="pct"/>
            <w:vMerge w:val="continue"/>
            <w:noWrap/>
            <w:vAlign w:val="center"/>
          </w:tcPr>
          <w:p w14:paraId="109E9D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6B869B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78930C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73A04A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3EBA01E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30680A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061BB7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38F746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28F89D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908F5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275" w:type="pct"/>
            <w:vMerge w:val="restart"/>
            <w:noWrap/>
            <w:vAlign w:val="center"/>
          </w:tcPr>
          <w:p w14:paraId="0262C0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11</w:t>
            </w:r>
          </w:p>
        </w:tc>
        <w:tc>
          <w:tcPr>
            <w:tcW w:w="766" w:type="pct"/>
            <w:vMerge w:val="restart"/>
            <w:noWrap/>
            <w:vAlign w:val="center"/>
          </w:tcPr>
          <w:p w14:paraId="3808E2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国家外汇管理局绥芬河分局</w:t>
            </w:r>
          </w:p>
        </w:tc>
        <w:tc>
          <w:tcPr>
            <w:tcW w:w="515" w:type="pct"/>
            <w:noWrap/>
            <w:vAlign w:val="center"/>
          </w:tcPr>
          <w:p w14:paraId="75D24E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413D09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01BDDB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0C5F6D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256B41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697006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298959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C9CEB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275" w:type="pct"/>
            <w:vMerge w:val="continue"/>
            <w:noWrap/>
            <w:vAlign w:val="center"/>
          </w:tcPr>
          <w:p w14:paraId="52BAA9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45C90D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644564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5FA233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7C064D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652A1E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3DDAED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0E5EA7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576DD1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48EA4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275" w:type="pct"/>
            <w:vMerge w:val="restart"/>
            <w:noWrap/>
            <w:vAlign w:val="center"/>
          </w:tcPr>
          <w:p w14:paraId="61195B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w:t>
            </w:r>
          </w:p>
        </w:tc>
        <w:tc>
          <w:tcPr>
            <w:tcW w:w="766" w:type="pct"/>
            <w:vMerge w:val="restart"/>
            <w:noWrap/>
            <w:vAlign w:val="center"/>
          </w:tcPr>
          <w:p w14:paraId="62D5FF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绥芬河市生态环境局</w:t>
            </w:r>
          </w:p>
        </w:tc>
        <w:tc>
          <w:tcPr>
            <w:tcW w:w="515" w:type="pct"/>
            <w:noWrap/>
            <w:vAlign w:val="center"/>
          </w:tcPr>
          <w:p w14:paraId="243374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0F36C7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4EAC52E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65B669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14141D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542FD1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54F6EA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46982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275" w:type="pct"/>
            <w:vMerge w:val="continue"/>
            <w:noWrap/>
            <w:vAlign w:val="center"/>
          </w:tcPr>
          <w:p w14:paraId="4A1B25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78AA9D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533D33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20578A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08A16A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65FC26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325DE0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6AF12A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6E69D3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544EA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275" w:type="pct"/>
            <w:vMerge w:val="restart"/>
            <w:noWrap/>
            <w:vAlign w:val="center"/>
          </w:tcPr>
          <w:p w14:paraId="660670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13</w:t>
            </w:r>
          </w:p>
        </w:tc>
        <w:tc>
          <w:tcPr>
            <w:tcW w:w="766" w:type="pct"/>
            <w:vMerge w:val="restart"/>
            <w:noWrap/>
            <w:vAlign w:val="center"/>
          </w:tcPr>
          <w:p w14:paraId="694B73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绥芬河市民政局</w:t>
            </w:r>
          </w:p>
        </w:tc>
        <w:tc>
          <w:tcPr>
            <w:tcW w:w="515" w:type="pct"/>
            <w:noWrap/>
            <w:vAlign w:val="center"/>
          </w:tcPr>
          <w:p w14:paraId="4C8C08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34B961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-1.89E-06</w:t>
            </w:r>
          </w:p>
        </w:tc>
        <w:tc>
          <w:tcPr>
            <w:tcW w:w="465" w:type="pct"/>
            <w:noWrap/>
            <w:vAlign w:val="center"/>
          </w:tcPr>
          <w:p w14:paraId="2FE6E4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5177FF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1C2075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0226AB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75130A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499E6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275" w:type="pct"/>
            <w:vMerge w:val="continue"/>
            <w:noWrap/>
            <w:vAlign w:val="center"/>
          </w:tcPr>
          <w:p w14:paraId="0E518D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0E2A98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313CF0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2D4F60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21A45C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355123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127C83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623DA3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530003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6CB76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275" w:type="pct"/>
            <w:vMerge w:val="restart"/>
            <w:noWrap/>
            <w:vAlign w:val="center"/>
          </w:tcPr>
          <w:p w14:paraId="5645B6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w:t>
            </w:r>
          </w:p>
        </w:tc>
        <w:tc>
          <w:tcPr>
            <w:tcW w:w="766" w:type="pct"/>
            <w:vMerge w:val="restart"/>
            <w:noWrap/>
            <w:vAlign w:val="center"/>
          </w:tcPr>
          <w:p w14:paraId="3AA269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绥芬河市公安局</w:t>
            </w:r>
          </w:p>
        </w:tc>
        <w:tc>
          <w:tcPr>
            <w:tcW w:w="515" w:type="pct"/>
            <w:noWrap/>
            <w:vAlign w:val="center"/>
          </w:tcPr>
          <w:p w14:paraId="60EF94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07F1D1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-3.82E-06</w:t>
            </w:r>
          </w:p>
        </w:tc>
        <w:tc>
          <w:tcPr>
            <w:tcW w:w="465" w:type="pct"/>
            <w:noWrap/>
            <w:vAlign w:val="center"/>
          </w:tcPr>
          <w:p w14:paraId="786382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62AE72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22CEDA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40A44F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82.66</w:t>
            </w:r>
          </w:p>
        </w:tc>
        <w:tc>
          <w:tcPr>
            <w:tcW w:w="424" w:type="pct"/>
            <w:noWrap/>
            <w:vAlign w:val="center"/>
          </w:tcPr>
          <w:p w14:paraId="1F1297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A78ED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275" w:type="pct"/>
            <w:vMerge w:val="continue"/>
            <w:noWrap/>
            <w:vAlign w:val="center"/>
          </w:tcPr>
          <w:p w14:paraId="5B38B1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293340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579C6E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180B84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4D0B1B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0B18C6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08E773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0A7BC4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11757A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F7369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275" w:type="pct"/>
            <w:vMerge w:val="restart"/>
            <w:noWrap/>
            <w:vAlign w:val="center"/>
          </w:tcPr>
          <w:p w14:paraId="59D615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15</w:t>
            </w:r>
          </w:p>
        </w:tc>
        <w:tc>
          <w:tcPr>
            <w:tcW w:w="766" w:type="pct"/>
            <w:vMerge w:val="restart"/>
            <w:noWrap/>
            <w:vAlign w:val="center"/>
          </w:tcPr>
          <w:p w14:paraId="05AB88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阜宁镇人民政府</w:t>
            </w:r>
          </w:p>
        </w:tc>
        <w:tc>
          <w:tcPr>
            <w:tcW w:w="515" w:type="pct"/>
            <w:noWrap/>
            <w:vAlign w:val="center"/>
          </w:tcPr>
          <w:p w14:paraId="54D3BA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67A7B1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-2.44E-07</w:t>
            </w:r>
          </w:p>
        </w:tc>
        <w:tc>
          <w:tcPr>
            <w:tcW w:w="465" w:type="pct"/>
            <w:noWrap/>
            <w:vAlign w:val="center"/>
          </w:tcPr>
          <w:p w14:paraId="21E12E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292946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5D5F0D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219D49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3FEE1B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80673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275" w:type="pct"/>
            <w:vMerge w:val="continue"/>
            <w:noWrap/>
            <w:vAlign w:val="center"/>
          </w:tcPr>
          <w:p w14:paraId="6AA3CF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1BF79B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0F7AB3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2B2679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4021F3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1BAE5D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12B707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491160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5C62A9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098D3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275" w:type="pct"/>
            <w:vMerge w:val="restart"/>
            <w:noWrap/>
            <w:vAlign w:val="center"/>
          </w:tcPr>
          <w:p w14:paraId="5D3A66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16</w:t>
            </w:r>
          </w:p>
        </w:tc>
        <w:tc>
          <w:tcPr>
            <w:tcW w:w="766" w:type="pct"/>
            <w:vMerge w:val="restart"/>
            <w:noWrap/>
            <w:vAlign w:val="center"/>
          </w:tcPr>
          <w:p w14:paraId="39B07C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绥芬河市广播电视局</w:t>
            </w:r>
          </w:p>
        </w:tc>
        <w:tc>
          <w:tcPr>
            <w:tcW w:w="515" w:type="pct"/>
            <w:noWrap/>
            <w:vAlign w:val="center"/>
          </w:tcPr>
          <w:p w14:paraId="76A2C2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172666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4C405F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4A0B97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335DBC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3F402E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4068BA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ED477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275" w:type="pct"/>
            <w:vMerge w:val="continue"/>
            <w:noWrap/>
            <w:vAlign w:val="center"/>
          </w:tcPr>
          <w:p w14:paraId="0DE671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164FD9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0388B0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3C4427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7F8D02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067DF3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171699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2C2F99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042022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3C807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275" w:type="pct"/>
            <w:vMerge w:val="restart"/>
            <w:noWrap/>
            <w:vAlign w:val="center"/>
          </w:tcPr>
          <w:p w14:paraId="4AE657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17</w:t>
            </w:r>
          </w:p>
        </w:tc>
        <w:tc>
          <w:tcPr>
            <w:tcW w:w="766" w:type="pct"/>
            <w:vMerge w:val="restart"/>
            <w:noWrap/>
            <w:vAlign w:val="center"/>
          </w:tcPr>
          <w:p w14:paraId="4CF2BB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红太阳未来星幼儿园</w:t>
            </w:r>
          </w:p>
        </w:tc>
        <w:tc>
          <w:tcPr>
            <w:tcW w:w="515" w:type="pct"/>
            <w:noWrap/>
            <w:vAlign w:val="center"/>
          </w:tcPr>
          <w:p w14:paraId="23A2EE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0604B0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-2.34E-04</w:t>
            </w:r>
          </w:p>
        </w:tc>
        <w:tc>
          <w:tcPr>
            <w:tcW w:w="465" w:type="pct"/>
            <w:noWrap/>
            <w:vAlign w:val="center"/>
          </w:tcPr>
          <w:p w14:paraId="750270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5AAC26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66A891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1AB20B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82.51</w:t>
            </w:r>
          </w:p>
        </w:tc>
        <w:tc>
          <w:tcPr>
            <w:tcW w:w="424" w:type="pct"/>
            <w:noWrap/>
            <w:vAlign w:val="center"/>
          </w:tcPr>
          <w:p w14:paraId="1B42DF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A5218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275" w:type="pct"/>
            <w:vMerge w:val="continue"/>
            <w:noWrap/>
            <w:vAlign w:val="center"/>
          </w:tcPr>
          <w:p w14:paraId="7E56C7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5EEF8F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02D18B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33C831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6BDFAD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1EF0D5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41DACE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6FCB15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6521E2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A9C44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275" w:type="pct"/>
            <w:vMerge w:val="restart"/>
            <w:noWrap/>
            <w:vAlign w:val="center"/>
          </w:tcPr>
          <w:p w14:paraId="0B8D37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18</w:t>
            </w:r>
          </w:p>
        </w:tc>
        <w:tc>
          <w:tcPr>
            <w:tcW w:w="766" w:type="pct"/>
            <w:vMerge w:val="restart"/>
            <w:noWrap/>
            <w:vAlign w:val="center"/>
          </w:tcPr>
          <w:p w14:paraId="461DA8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金恒基小学</w:t>
            </w:r>
          </w:p>
        </w:tc>
        <w:tc>
          <w:tcPr>
            <w:tcW w:w="515" w:type="pct"/>
            <w:noWrap/>
            <w:vAlign w:val="center"/>
          </w:tcPr>
          <w:p w14:paraId="47EAB9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05718E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-1.36E-05</w:t>
            </w:r>
          </w:p>
        </w:tc>
        <w:tc>
          <w:tcPr>
            <w:tcW w:w="465" w:type="pct"/>
            <w:noWrap/>
            <w:vAlign w:val="center"/>
          </w:tcPr>
          <w:p w14:paraId="195638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502355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18F69A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384996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82.66</w:t>
            </w:r>
          </w:p>
        </w:tc>
        <w:tc>
          <w:tcPr>
            <w:tcW w:w="424" w:type="pct"/>
            <w:noWrap/>
            <w:vAlign w:val="center"/>
          </w:tcPr>
          <w:p w14:paraId="7A3147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B79BA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275" w:type="pct"/>
            <w:vMerge w:val="continue"/>
            <w:noWrap/>
            <w:vAlign w:val="center"/>
          </w:tcPr>
          <w:p w14:paraId="698EA8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7DEBE2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4E6FC2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7BBC01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2A7A42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795ECC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55ADD7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50257A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100AD3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42136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275" w:type="pct"/>
            <w:vMerge w:val="restart"/>
            <w:noWrap/>
            <w:vAlign w:val="center"/>
          </w:tcPr>
          <w:p w14:paraId="077633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19</w:t>
            </w:r>
          </w:p>
        </w:tc>
        <w:tc>
          <w:tcPr>
            <w:tcW w:w="766" w:type="pct"/>
            <w:vMerge w:val="restart"/>
            <w:noWrap/>
            <w:vAlign w:val="center"/>
          </w:tcPr>
          <w:p w14:paraId="1866B5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弘孟幼儿园</w:t>
            </w:r>
          </w:p>
        </w:tc>
        <w:tc>
          <w:tcPr>
            <w:tcW w:w="515" w:type="pct"/>
            <w:noWrap/>
            <w:vAlign w:val="center"/>
          </w:tcPr>
          <w:p w14:paraId="2643F3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156F77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-2.21E-05</w:t>
            </w:r>
          </w:p>
        </w:tc>
        <w:tc>
          <w:tcPr>
            <w:tcW w:w="465" w:type="pct"/>
            <w:noWrap/>
            <w:vAlign w:val="center"/>
          </w:tcPr>
          <w:p w14:paraId="6F9804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595754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7C0426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44011E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82.65</w:t>
            </w:r>
          </w:p>
        </w:tc>
        <w:tc>
          <w:tcPr>
            <w:tcW w:w="424" w:type="pct"/>
            <w:noWrap/>
            <w:vAlign w:val="center"/>
          </w:tcPr>
          <w:p w14:paraId="487334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F53A0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275" w:type="pct"/>
            <w:vMerge w:val="continue"/>
            <w:noWrap/>
            <w:vAlign w:val="center"/>
          </w:tcPr>
          <w:p w14:paraId="2D3FF0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06CD33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354231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0CA529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5F7925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576F08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514689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6015DA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1C699A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128E9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275" w:type="pct"/>
            <w:vMerge w:val="restart"/>
            <w:noWrap/>
            <w:vAlign w:val="center"/>
          </w:tcPr>
          <w:p w14:paraId="3D17A3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20</w:t>
            </w:r>
          </w:p>
        </w:tc>
        <w:tc>
          <w:tcPr>
            <w:tcW w:w="766" w:type="pct"/>
            <w:vMerge w:val="restart"/>
            <w:noWrap/>
            <w:vAlign w:val="center"/>
          </w:tcPr>
          <w:p w14:paraId="323F34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红太阳幼儿园</w:t>
            </w:r>
          </w:p>
        </w:tc>
        <w:tc>
          <w:tcPr>
            <w:tcW w:w="515" w:type="pct"/>
            <w:noWrap/>
            <w:vAlign w:val="center"/>
          </w:tcPr>
          <w:p w14:paraId="152CCD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67E11D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118C48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7E2C6A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430F82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165E63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61AFEF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2C7AE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275" w:type="pct"/>
            <w:vMerge w:val="continue"/>
            <w:noWrap/>
            <w:vAlign w:val="center"/>
          </w:tcPr>
          <w:p w14:paraId="08C9D9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18C763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248FA1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4AF829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3F3D82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46AC92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402278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133CB9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46987B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44F70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275" w:type="pct"/>
            <w:vMerge w:val="restart"/>
            <w:noWrap/>
            <w:vAlign w:val="center"/>
          </w:tcPr>
          <w:p w14:paraId="644DE6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21</w:t>
            </w:r>
          </w:p>
        </w:tc>
        <w:tc>
          <w:tcPr>
            <w:tcW w:w="766" w:type="pct"/>
            <w:vMerge w:val="restart"/>
            <w:noWrap/>
            <w:vAlign w:val="center"/>
          </w:tcPr>
          <w:p w14:paraId="648B70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千里幼稚园</w:t>
            </w:r>
          </w:p>
        </w:tc>
        <w:tc>
          <w:tcPr>
            <w:tcW w:w="515" w:type="pct"/>
            <w:noWrap/>
            <w:vAlign w:val="center"/>
          </w:tcPr>
          <w:p w14:paraId="34202F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273B43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670E43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55C483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00290C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42E6FB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30581B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468E2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275" w:type="pct"/>
            <w:vMerge w:val="continue"/>
            <w:noWrap/>
            <w:vAlign w:val="center"/>
          </w:tcPr>
          <w:p w14:paraId="0CB6E9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5CCC26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5C00BF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16017A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6C1446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3CF061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166AD7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3A1525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31323C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06E35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275" w:type="pct"/>
            <w:vMerge w:val="restart"/>
            <w:noWrap/>
            <w:vAlign w:val="center"/>
          </w:tcPr>
          <w:p w14:paraId="4851B4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22</w:t>
            </w:r>
          </w:p>
        </w:tc>
        <w:tc>
          <w:tcPr>
            <w:tcW w:w="766" w:type="pct"/>
            <w:vMerge w:val="restart"/>
            <w:noWrap/>
            <w:vAlign w:val="center"/>
          </w:tcPr>
          <w:p w14:paraId="63E191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绥芬河市第一中学</w:t>
            </w:r>
          </w:p>
        </w:tc>
        <w:tc>
          <w:tcPr>
            <w:tcW w:w="515" w:type="pct"/>
            <w:noWrap/>
            <w:vAlign w:val="center"/>
          </w:tcPr>
          <w:p w14:paraId="17608E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7713AF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3C51DE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36AF71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260E148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62AE28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467ADE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8031F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275" w:type="pct"/>
            <w:vMerge w:val="continue"/>
            <w:noWrap/>
            <w:vAlign w:val="center"/>
          </w:tcPr>
          <w:p w14:paraId="79F726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4B019E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6247BD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297F7E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20C443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76EFA7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536A50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127510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578549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025F6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275" w:type="pct"/>
            <w:vMerge w:val="restart"/>
            <w:noWrap/>
            <w:vAlign w:val="center"/>
          </w:tcPr>
          <w:p w14:paraId="666663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23</w:t>
            </w:r>
          </w:p>
        </w:tc>
        <w:tc>
          <w:tcPr>
            <w:tcW w:w="766" w:type="pct"/>
            <w:vMerge w:val="restart"/>
            <w:noWrap/>
            <w:vAlign w:val="center"/>
          </w:tcPr>
          <w:p w14:paraId="067DF8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商都幼儿园</w:t>
            </w:r>
          </w:p>
        </w:tc>
        <w:tc>
          <w:tcPr>
            <w:tcW w:w="515" w:type="pct"/>
            <w:noWrap/>
            <w:vAlign w:val="center"/>
          </w:tcPr>
          <w:p w14:paraId="26F66C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1B9F08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38B962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400043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54E793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2F9629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367AAE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67CE2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275" w:type="pct"/>
            <w:vMerge w:val="continue"/>
            <w:noWrap/>
            <w:vAlign w:val="center"/>
          </w:tcPr>
          <w:p w14:paraId="49DE6C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2EA937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2FC706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63D3C4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5B7DC1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25A01A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1D6CE4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1873CF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033F03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5D5CA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275" w:type="pct"/>
            <w:vMerge w:val="restart"/>
            <w:noWrap/>
            <w:vAlign w:val="center"/>
          </w:tcPr>
          <w:p w14:paraId="0F0E53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w:t>
            </w:r>
          </w:p>
        </w:tc>
        <w:tc>
          <w:tcPr>
            <w:tcW w:w="766" w:type="pct"/>
            <w:vMerge w:val="restart"/>
            <w:noWrap/>
            <w:vAlign w:val="center"/>
          </w:tcPr>
          <w:p w14:paraId="6931E7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绥芬河市少年儿童业余体校</w:t>
            </w:r>
          </w:p>
        </w:tc>
        <w:tc>
          <w:tcPr>
            <w:tcW w:w="515" w:type="pct"/>
            <w:noWrap/>
            <w:vAlign w:val="center"/>
          </w:tcPr>
          <w:p w14:paraId="46C086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76202C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-6.87E-08</w:t>
            </w:r>
          </w:p>
        </w:tc>
        <w:tc>
          <w:tcPr>
            <w:tcW w:w="465" w:type="pct"/>
            <w:noWrap/>
            <w:vAlign w:val="center"/>
          </w:tcPr>
          <w:p w14:paraId="712393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20BE99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690ACC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290BEB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6E61CF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B0B4E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275" w:type="pct"/>
            <w:vMerge w:val="continue"/>
            <w:noWrap/>
            <w:vAlign w:val="center"/>
          </w:tcPr>
          <w:p w14:paraId="5FE84B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226BDB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35EF2E8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16B32F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7B0DCE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788BDF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03A55D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27108F8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27CCE3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185A4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275" w:type="pct"/>
            <w:vMerge w:val="restart"/>
            <w:noWrap/>
            <w:vAlign w:val="center"/>
          </w:tcPr>
          <w:p w14:paraId="021976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25</w:t>
            </w:r>
          </w:p>
        </w:tc>
        <w:tc>
          <w:tcPr>
            <w:tcW w:w="766" w:type="pct"/>
            <w:vMerge w:val="restart"/>
            <w:noWrap/>
            <w:vAlign w:val="center"/>
          </w:tcPr>
          <w:p w14:paraId="0B6FBF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绥芬河市第二中学</w:t>
            </w:r>
          </w:p>
        </w:tc>
        <w:tc>
          <w:tcPr>
            <w:tcW w:w="515" w:type="pct"/>
            <w:noWrap/>
            <w:vAlign w:val="center"/>
          </w:tcPr>
          <w:p w14:paraId="031D1D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7A722E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-6.10E-08</w:t>
            </w:r>
          </w:p>
        </w:tc>
        <w:tc>
          <w:tcPr>
            <w:tcW w:w="465" w:type="pct"/>
            <w:noWrap/>
            <w:vAlign w:val="center"/>
          </w:tcPr>
          <w:p w14:paraId="025252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18AD46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77A92E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349EC8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21D210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3C904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275" w:type="pct"/>
            <w:vMerge w:val="continue"/>
            <w:noWrap/>
            <w:vAlign w:val="center"/>
          </w:tcPr>
          <w:p w14:paraId="6762B6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1A6EAA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7E85F9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38D4EC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5933DD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7FAE45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213D1E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741A52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6A0B0E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FB6E8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275" w:type="pct"/>
            <w:vMerge w:val="restart"/>
            <w:noWrap/>
            <w:vAlign w:val="center"/>
          </w:tcPr>
          <w:p w14:paraId="135513C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26</w:t>
            </w:r>
          </w:p>
        </w:tc>
        <w:tc>
          <w:tcPr>
            <w:tcW w:w="766" w:type="pct"/>
            <w:vMerge w:val="restart"/>
            <w:noWrap/>
            <w:vAlign w:val="center"/>
          </w:tcPr>
          <w:p w14:paraId="02150C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绥芬河市第三中学</w:t>
            </w:r>
          </w:p>
        </w:tc>
        <w:tc>
          <w:tcPr>
            <w:tcW w:w="515" w:type="pct"/>
            <w:noWrap/>
            <w:vAlign w:val="center"/>
          </w:tcPr>
          <w:p w14:paraId="30D2D8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2CCF8B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1BCD07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511A3D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3FEDE6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6D06AA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78A3E1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AAEC0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275" w:type="pct"/>
            <w:vMerge w:val="continue"/>
            <w:noWrap/>
            <w:vAlign w:val="center"/>
          </w:tcPr>
          <w:p w14:paraId="7ACBFF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340B4F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290F52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40BE63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1989E0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441A2F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48362A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52B133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6AE874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46746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275" w:type="pct"/>
            <w:vMerge w:val="restart"/>
            <w:noWrap/>
            <w:vAlign w:val="center"/>
          </w:tcPr>
          <w:p w14:paraId="30D8D1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27</w:t>
            </w:r>
          </w:p>
        </w:tc>
        <w:tc>
          <w:tcPr>
            <w:tcW w:w="766" w:type="pct"/>
            <w:vMerge w:val="restart"/>
            <w:noWrap/>
            <w:vAlign w:val="center"/>
          </w:tcPr>
          <w:p w14:paraId="62F979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旅游局家属楼</w:t>
            </w:r>
          </w:p>
        </w:tc>
        <w:tc>
          <w:tcPr>
            <w:tcW w:w="515" w:type="pct"/>
            <w:noWrap/>
            <w:vAlign w:val="center"/>
          </w:tcPr>
          <w:p w14:paraId="1319D7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6688BC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02B190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21BD9D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614260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0B8FA6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6380DA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0671F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275" w:type="pct"/>
            <w:vMerge w:val="continue"/>
            <w:noWrap/>
            <w:vAlign w:val="center"/>
          </w:tcPr>
          <w:p w14:paraId="68236F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13D488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3F23ED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66C75C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12DFBB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7D07AB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3E6D6F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47FC4F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33FF63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F5527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275" w:type="pct"/>
            <w:vMerge w:val="restart"/>
            <w:noWrap/>
            <w:vAlign w:val="center"/>
          </w:tcPr>
          <w:p w14:paraId="207203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28</w:t>
            </w:r>
          </w:p>
        </w:tc>
        <w:tc>
          <w:tcPr>
            <w:tcW w:w="766" w:type="pct"/>
            <w:vMerge w:val="restart"/>
            <w:noWrap/>
            <w:vAlign w:val="center"/>
          </w:tcPr>
          <w:p w14:paraId="0D8FAB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新安幸福嘉园</w:t>
            </w:r>
          </w:p>
        </w:tc>
        <w:tc>
          <w:tcPr>
            <w:tcW w:w="515" w:type="pct"/>
            <w:noWrap/>
            <w:vAlign w:val="center"/>
          </w:tcPr>
          <w:p w14:paraId="7B603D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0DD0CB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2.25E-05</w:t>
            </w:r>
          </w:p>
        </w:tc>
        <w:tc>
          <w:tcPr>
            <w:tcW w:w="465" w:type="pct"/>
            <w:noWrap/>
            <w:vAlign w:val="center"/>
          </w:tcPr>
          <w:p w14:paraId="28E5E5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6A1DA3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05C7C5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792FF2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82.68</w:t>
            </w:r>
          </w:p>
        </w:tc>
        <w:tc>
          <w:tcPr>
            <w:tcW w:w="424" w:type="pct"/>
            <w:noWrap/>
            <w:vAlign w:val="center"/>
          </w:tcPr>
          <w:p w14:paraId="6BA099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0B254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 w:hRule="atLeast"/>
          <w:jc w:val="center"/>
        </w:trPr>
        <w:tc>
          <w:tcPr>
            <w:tcW w:w="275" w:type="pct"/>
            <w:vMerge w:val="continue"/>
            <w:noWrap/>
            <w:vAlign w:val="center"/>
          </w:tcPr>
          <w:p w14:paraId="56E0B0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236FF6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1563D2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563C08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00145C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093A16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55033B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215171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09E626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31E0E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275" w:type="pct"/>
            <w:vMerge w:val="restart"/>
            <w:noWrap/>
            <w:vAlign w:val="center"/>
          </w:tcPr>
          <w:p w14:paraId="2E78E8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29</w:t>
            </w:r>
          </w:p>
        </w:tc>
        <w:tc>
          <w:tcPr>
            <w:tcW w:w="766" w:type="pct"/>
            <w:vMerge w:val="restart"/>
            <w:noWrap/>
            <w:vAlign w:val="center"/>
          </w:tcPr>
          <w:p w14:paraId="5477A5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中兴小区</w:t>
            </w:r>
          </w:p>
        </w:tc>
        <w:tc>
          <w:tcPr>
            <w:tcW w:w="515" w:type="pct"/>
            <w:noWrap/>
            <w:vAlign w:val="center"/>
          </w:tcPr>
          <w:p w14:paraId="6DB860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0FC296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-4.27E-07</w:t>
            </w:r>
          </w:p>
        </w:tc>
        <w:tc>
          <w:tcPr>
            <w:tcW w:w="465" w:type="pct"/>
            <w:noWrap/>
            <w:vAlign w:val="center"/>
          </w:tcPr>
          <w:p w14:paraId="114EF5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66FE9D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39CADD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6B96CF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19740D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01C9B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275" w:type="pct"/>
            <w:vMerge w:val="continue"/>
            <w:noWrap/>
            <w:vAlign w:val="center"/>
          </w:tcPr>
          <w:p w14:paraId="2CA225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4F8D78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28C8D3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6A9EDA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0519A0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3EACF5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7EDA87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02AEF8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16D1B3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E2A76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275" w:type="pct"/>
            <w:vMerge w:val="restart"/>
            <w:noWrap/>
            <w:vAlign w:val="center"/>
          </w:tcPr>
          <w:p w14:paraId="294D5C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30</w:t>
            </w:r>
          </w:p>
        </w:tc>
        <w:tc>
          <w:tcPr>
            <w:tcW w:w="766" w:type="pct"/>
            <w:vMerge w:val="restart"/>
            <w:noWrap/>
            <w:vAlign w:val="center"/>
          </w:tcPr>
          <w:p w14:paraId="054BAE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绥兴社区</w:t>
            </w:r>
          </w:p>
        </w:tc>
        <w:tc>
          <w:tcPr>
            <w:tcW w:w="515" w:type="pct"/>
            <w:noWrap/>
            <w:vAlign w:val="center"/>
          </w:tcPr>
          <w:p w14:paraId="3BB33E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7EA65B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-1.04E-04</w:t>
            </w:r>
          </w:p>
        </w:tc>
        <w:tc>
          <w:tcPr>
            <w:tcW w:w="465" w:type="pct"/>
            <w:noWrap/>
            <w:vAlign w:val="center"/>
          </w:tcPr>
          <w:p w14:paraId="5AB7DF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721E3C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6E2ABE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229237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82.60</w:t>
            </w:r>
          </w:p>
        </w:tc>
        <w:tc>
          <w:tcPr>
            <w:tcW w:w="424" w:type="pct"/>
            <w:noWrap/>
            <w:vAlign w:val="center"/>
          </w:tcPr>
          <w:p w14:paraId="608BFE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6CDBA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275" w:type="pct"/>
            <w:vMerge w:val="continue"/>
            <w:noWrap/>
            <w:vAlign w:val="center"/>
          </w:tcPr>
          <w:p w14:paraId="5996E2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1064FF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614FE2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578672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511898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567025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3AE716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3D67D0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5F65EF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EF3BC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275" w:type="pct"/>
            <w:vMerge w:val="restart"/>
            <w:noWrap/>
            <w:vAlign w:val="center"/>
          </w:tcPr>
          <w:p w14:paraId="1AE002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31</w:t>
            </w:r>
          </w:p>
        </w:tc>
        <w:tc>
          <w:tcPr>
            <w:tcW w:w="766" w:type="pct"/>
            <w:vMerge w:val="restart"/>
            <w:noWrap/>
            <w:vAlign w:val="center"/>
          </w:tcPr>
          <w:p w14:paraId="540EFC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远东新天地小区</w:t>
            </w:r>
          </w:p>
        </w:tc>
        <w:tc>
          <w:tcPr>
            <w:tcW w:w="515" w:type="pct"/>
            <w:noWrap/>
            <w:vAlign w:val="center"/>
          </w:tcPr>
          <w:p w14:paraId="3594CB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44A728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008712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479F7E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01F1DB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2CC6C2E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183184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AF6AB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275" w:type="pct"/>
            <w:vMerge w:val="continue"/>
            <w:noWrap/>
            <w:vAlign w:val="center"/>
          </w:tcPr>
          <w:p w14:paraId="612DAE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62A594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0CEE21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6D039A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2A7281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1B904D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613069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0C4960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35A8B9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7E9B8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275" w:type="pct"/>
            <w:vMerge w:val="restart"/>
            <w:noWrap/>
            <w:vAlign w:val="center"/>
          </w:tcPr>
          <w:p w14:paraId="588CB1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32</w:t>
            </w:r>
          </w:p>
        </w:tc>
        <w:tc>
          <w:tcPr>
            <w:tcW w:w="766" w:type="pct"/>
            <w:vMerge w:val="restart"/>
            <w:noWrap/>
            <w:vAlign w:val="center"/>
          </w:tcPr>
          <w:p w14:paraId="578468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凯丰小区</w:t>
            </w:r>
          </w:p>
        </w:tc>
        <w:tc>
          <w:tcPr>
            <w:tcW w:w="515" w:type="pct"/>
            <w:noWrap/>
            <w:vAlign w:val="center"/>
          </w:tcPr>
          <w:p w14:paraId="312E67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75B1E2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-5.26E-04</w:t>
            </w:r>
          </w:p>
        </w:tc>
        <w:tc>
          <w:tcPr>
            <w:tcW w:w="465" w:type="pct"/>
            <w:noWrap/>
            <w:vAlign w:val="center"/>
          </w:tcPr>
          <w:p w14:paraId="0C26D5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696DD0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235055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2CA527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82.32</w:t>
            </w:r>
          </w:p>
        </w:tc>
        <w:tc>
          <w:tcPr>
            <w:tcW w:w="424" w:type="pct"/>
            <w:noWrap/>
            <w:vAlign w:val="center"/>
          </w:tcPr>
          <w:p w14:paraId="06BB9F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1C981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275" w:type="pct"/>
            <w:vMerge w:val="continue"/>
            <w:noWrap/>
            <w:vAlign w:val="center"/>
          </w:tcPr>
          <w:p w14:paraId="4EBB14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248869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7455F1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52BFCF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090AAD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71BC90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74136C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0277EC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28E8158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DBDAE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275" w:type="pct"/>
            <w:vMerge w:val="restart"/>
            <w:noWrap/>
            <w:vAlign w:val="center"/>
          </w:tcPr>
          <w:p w14:paraId="549B37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33</w:t>
            </w:r>
          </w:p>
        </w:tc>
        <w:tc>
          <w:tcPr>
            <w:tcW w:w="766" w:type="pct"/>
            <w:vMerge w:val="restart"/>
            <w:noWrap/>
            <w:vAlign w:val="center"/>
          </w:tcPr>
          <w:p w14:paraId="7B3C90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澳运阳光花园</w:t>
            </w:r>
          </w:p>
        </w:tc>
        <w:tc>
          <w:tcPr>
            <w:tcW w:w="515" w:type="pct"/>
            <w:noWrap/>
            <w:vAlign w:val="center"/>
          </w:tcPr>
          <w:p w14:paraId="31CEA3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7CB425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-2.92E-04</w:t>
            </w:r>
          </w:p>
        </w:tc>
        <w:tc>
          <w:tcPr>
            <w:tcW w:w="465" w:type="pct"/>
            <w:noWrap/>
            <w:vAlign w:val="center"/>
          </w:tcPr>
          <w:p w14:paraId="564228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5F6D36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3F1FFA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749C28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82.47</w:t>
            </w:r>
          </w:p>
        </w:tc>
        <w:tc>
          <w:tcPr>
            <w:tcW w:w="424" w:type="pct"/>
            <w:noWrap/>
            <w:vAlign w:val="center"/>
          </w:tcPr>
          <w:p w14:paraId="19405D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156C6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75" w:type="pct"/>
            <w:vMerge w:val="continue"/>
            <w:noWrap/>
            <w:vAlign w:val="center"/>
          </w:tcPr>
          <w:p w14:paraId="1DF831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33CA54E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53752F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7DB0F6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7420EF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7EAD2C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19A7AA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5B616D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33EF05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42D49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275" w:type="pct"/>
            <w:vMerge w:val="restart"/>
            <w:noWrap/>
            <w:vAlign w:val="center"/>
          </w:tcPr>
          <w:p w14:paraId="42A764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34</w:t>
            </w:r>
          </w:p>
        </w:tc>
        <w:tc>
          <w:tcPr>
            <w:tcW w:w="766" w:type="pct"/>
            <w:vMerge w:val="restart"/>
            <w:noWrap/>
            <w:vAlign w:val="center"/>
          </w:tcPr>
          <w:p w14:paraId="5BD659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朝阳村</w:t>
            </w:r>
          </w:p>
        </w:tc>
        <w:tc>
          <w:tcPr>
            <w:tcW w:w="515" w:type="pct"/>
            <w:noWrap/>
            <w:vAlign w:val="center"/>
          </w:tcPr>
          <w:p w14:paraId="54E090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62A670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1.43E-05</w:t>
            </w:r>
          </w:p>
        </w:tc>
        <w:tc>
          <w:tcPr>
            <w:tcW w:w="465" w:type="pct"/>
            <w:noWrap/>
            <w:vAlign w:val="center"/>
          </w:tcPr>
          <w:p w14:paraId="5BC41F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5A235E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7A7BC6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24756FE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82.68</w:t>
            </w:r>
          </w:p>
        </w:tc>
        <w:tc>
          <w:tcPr>
            <w:tcW w:w="424" w:type="pct"/>
            <w:noWrap/>
            <w:vAlign w:val="center"/>
          </w:tcPr>
          <w:p w14:paraId="37EC57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08C28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275" w:type="pct"/>
            <w:vMerge w:val="continue"/>
            <w:noWrap/>
            <w:vAlign w:val="center"/>
          </w:tcPr>
          <w:p w14:paraId="2F53D3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6F067F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1308E2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0A4C01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1CAAAF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32C6A8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701D12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23F099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16E77C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BDE47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275" w:type="pct"/>
            <w:vMerge w:val="restart"/>
            <w:noWrap/>
            <w:vAlign w:val="center"/>
          </w:tcPr>
          <w:p w14:paraId="1BB918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35</w:t>
            </w:r>
          </w:p>
        </w:tc>
        <w:tc>
          <w:tcPr>
            <w:tcW w:w="766" w:type="pct"/>
            <w:vMerge w:val="restart"/>
            <w:noWrap/>
            <w:vAlign w:val="center"/>
          </w:tcPr>
          <w:p w14:paraId="0F5740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宏隆花园</w:t>
            </w:r>
          </w:p>
        </w:tc>
        <w:tc>
          <w:tcPr>
            <w:tcW w:w="515" w:type="pct"/>
            <w:noWrap/>
            <w:vAlign w:val="center"/>
          </w:tcPr>
          <w:p w14:paraId="008B5E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75B83E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1.23E-05</w:t>
            </w:r>
          </w:p>
        </w:tc>
        <w:tc>
          <w:tcPr>
            <w:tcW w:w="465" w:type="pct"/>
            <w:noWrap/>
            <w:vAlign w:val="center"/>
          </w:tcPr>
          <w:p w14:paraId="435345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67F6B0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225441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445DD2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670730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FA076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 w:hRule="atLeast"/>
          <w:jc w:val="center"/>
        </w:trPr>
        <w:tc>
          <w:tcPr>
            <w:tcW w:w="275" w:type="pct"/>
            <w:vMerge w:val="continue"/>
            <w:noWrap/>
            <w:vAlign w:val="center"/>
          </w:tcPr>
          <w:p w14:paraId="0A40C4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6ACD11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1D0CC2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3615E9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158AF4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6E5CFC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43ABB7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787991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190790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FD7CB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275" w:type="pct"/>
            <w:vMerge w:val="restart"/>
            <w:noWrap/>
            <w:vAlign w:val="center"/>
          </w:tcPr>
          <w:p w14:paraId="529829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36</w:t>
            </w:r>
          </w:p>
        </w:tc>
        <w:tc>
          <w:tcPr>
            <w:tcW w:w="766" w:type="pct"/>
            <w:vMerge w:val="restart"/>
            <w:noWrap/>
            <w:vAlign w:val="center"/>
          </w:tcPr>
          <w:p w14:paraId="64CEBD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中福名都花园</w:t>
            </w:r>
          </w:p>
        </w:tc>
        <w:tc>
          <w:tcPr>
            <w:tcW w:w="515" w:type="pct"/>
            <w:noWrap/>
            <w:vAlign w:val="center"/>
          </w:tcPr>
          <w:p w14:paraId="4A1A67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6A8406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-5.89E-05</w:t>
            </w:r>
          </w:p>
        </w:tc>
        <w:tc>
          <w:tcPr>
            <w:tcW w:w="465" w:type="pct"/>
            <w:noWrap/>
            <w:vAlign w:val="center"/>
          </w:tcPr>
          <w:p w14:paraId="35F218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3E1594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43A843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4C91C6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82.63</w:t>
            </w:r>
          </w:p>
        </w:tc>
        <w:tc>
          <w:tcPr>
            <w:tcW w:w="424" w:type="pct"/>
            <w:noWrap/>
            <w:vAlign w:val="center"/>
          </w:tcPr>
          <w:p w14:paraId="4409A3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46E3A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275" w:type="pct"/>
            <w:vMerge w:val="continue"/>
            <w:noWrap/>
            <w:vAlign w:val="center"/>
          </w:tcPr>
          <w:p w14:paraId="45DEB9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6CC54F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7BE353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25B26E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565A5C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53D9F3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5987B4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3FD65C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2A12F4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1FFD3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0" w:hRule="atLeast"/>
          <w:jc w:val="center"/>
        </w:trPr>
        <w:tc>
          <w:tcPr>
            <w:tcW w:w="275" w:type="pct"/>
            <w:vMerge w:val="restart"/>
            <w:noWrap/>
            <w:vAlign w:val="center"/>
          </w:tcPr>
          <w:p w14:paraId="73CF82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37</w:t>
            </w:r>
          </w:p>
        </w:tc>
        <w:tc>
          <w:tcPr>
            <w:tcW w:w="766" w:type="pct"/>
            <w:vMerge w:val="restart"/>
            <w:noWrap/>
            <w:vAlign w:val="center"/>
          </w:tcPr>
          <w:p w14:paraId="647121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康健花园</w:t>
            </w:r>
          </w:p>
        </w:tc>
        <w:tc>
          <w:tcPr>
            <w:tcW w:w="515" w:type="pct"/>
            <w:noWrap/>
            <w:vAlign w:val="center"/>
          </w:tcPr>
          <w:p w14:paraId="7219E8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6B4C0E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01F176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48A163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4D0278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7DA808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608D0B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39048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275" w:type="pct"/>
            <w:vMerge w:val="continue"/>
            <w:noWrap/>
            <w:vAlign w:val="center"/>
          </w:tcPr>
          <w:p w14:paraId="2A838A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36FA87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3C6A07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66711D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65EFFF8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7B8E02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0E80F6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0FEC37C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215153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50FC1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275" w:type="pct"/>
            <w:vMerge w:val="restart"/>
            <w:noWrap/>
            <w:vAlign w:val="center"/>
          </w:tcPr>
          <w:p w14:paraId="174EEE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38</w:t>
            </w:r>
          </w:p>
        </w:tc>
        <w:tc>
          <w:tcPr>
            <w:tcW w:w="766" w:type="pct"/>
            <w:vMerge w:val="restart"/>
            <w:noWrap/>
            <w:vAlign w:val="center"/>
          </w:tcPr>
          <w:p w14:paraId="2E4FCB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海融安居里</w:t>
            </w:r>
          </w:p>
        </w:tc>
        <w:tc>
          <w:tcPr>
            <w:tcW w:w="515" w:type="pct"/>
            <w:noWrap/>
            <w:vAlign w:val="center"/>
          </w:tcPr>
          <w:p w14:paraId="698BAB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3A1B08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49528D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45558F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70C4AE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39FF55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563E27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216A2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275" w:type="pct"/>
            <w:vMerge w:val="continue"/>
            <w:noWrap/>
            <w:vAlign w:val="center"/>
          </w:tcPr>
          <w:p w14:paraId="332005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449528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4563B8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3446FF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54ECD2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62E772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1F9668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18E3DA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7A0540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2282F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275" w:type="pct"/>
            <w:vMerge w:val="restart"/>
            <w:noWrap/>
            <w:vAlign w:val="center"/>
          </w:tcPr>
          <w:p w14:paraId="0E4E88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39</w:t>
            </w:r>
          </w:p>
        </w:tc>
        <w:tc>
          <w:tcPr>
            <w:tcW w:w="766" w:type="pct"/>
            <w:vMerge w:val="restart"/>
            <w:noWrap/>
            <w:vAlign w:val="center"/>
          </w:tcPr>
          <w:p w14:paraId="153D7F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海融富华苑</w:t>
            </w:r>
          </w:p>
        </w:tc>
        <w:tc>
          <w:tcPr>
            <w:tcW w:w="515" w:type="pct"/>
            <w:noWrap/>
            <w:vAlign w:val="center"/>
          </w:tcPr>
          <w:p w14:paraId="5F0C9D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598A6F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-7.02E-07</w:t>
            </w:r>
          </w:p>
        </w:tc>
        <w:tc>
          <w:tcPr>
            <w:tcW w:w="465" w:type="pct"/>
            <w:noWrap/>
            <w:vAlign w:val="center"/>
          </w:tcPr>
          <w:p w14:paraId="546BE6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07828B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14A1A5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00F3CA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35D02B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920A4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275" w:type="pct"/>
            <w:vMerge w:val="continue"/>
            <w:noWrap/>
            <w:vAlign w:val="center"/>
          </w:tcPr>
          <w:p w14:paraId="3AE335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3F43B4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6AD54A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00A7A2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70D6F9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02F0C5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680BC0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07F365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333CAF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3BE4A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275" w:type="pct"/>
            <w:vMerge w:val="restart"/>
            <w:noWrap/>
            <w:vAlign w:val="center"/>
          </w:tcPr>
          <w:p w14:paraId="4B2038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40</w:t>
            </w:r>
          </w:p>
        </w:tc>
        <w:tc>
          <w:tcPr>
            <w:tcW w:w="766" w:type="pct"/>
            <w:vMerge w:val="restart"/>
            <w:noWrap/>
            <w:vAlign w:val="center"/>
          </w:tcPr>
          <w:p w14:paraId="7127C18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好景园小区</w:t>
            </w:r>
          </w:p>
        </w:tc>
        <w:tc>
          <w:tcPr>
            <w:tcW w:w="515" w:type="pct"/>
            <w:noWrap/>
            <w:vAlign w:val="center"/>
          </w:tcPr>
          <w:p w14:paraId="2E3B41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0351BE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438205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7B1069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6B31E4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46F475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238DAD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50819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275" w:type="pct"/>
            <w:vMerge w:val="continue"/>
            <w:noWrap/>
            <w:vAlign w:val="center"/>
          </w:tcPr>
          <w:p w14:paraId="470372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176CBE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52C96F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5CD386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5C060B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6E3A11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2E5F77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5E4F28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12FC08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578ED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275" w:type="pct"/>
            <w:vMerge w:val="restart"/>
            <w:noWrap/>
            <w:vAlign w:val="center"/>
          </w:tcPr>
          <w:p w14:paraId="78D352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41</w:t>
            </w:r>
          </w:p>
        </w:tc>
        <w:tc>
          <w:tcPr>
            <w:tcW w:w="766" w:type="pct"/>
            <w:vMerge w:val="restart"/>
            <w:noWrap/>
            <w:vAlign w:val="center"/>
          </w:tcPr>
          <w:p w14:paraId="61C1AA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旗苑家园</w:t>
            </w:r>
          </w:p>
        </w:tc>
        <w:tc>
          <w:tcPr>
            <w:tcW w:w="515" w:type="pct"/>
            <w:noWrap/>
            <w:vAlign w:val="center"/>
          </w:tcPr>
          <w:p w14:paraId="1691FD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259144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2DA501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63CACB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339D0E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4F21A8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3604B4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3CD92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 w:hRule="atLeast"/>
          <w:jc w:val="center"/>
        </w:trPr>
        <w:tc>
          <w:tcPr>
            <w:tcW w:w="275" w:type="pct"/>
            <w:vMerge w:val="continue"/>
            <w:noWrap/>
            <w:vAlign w:val="center"/>
          </w:tcPr>
          <w:p w14:paraId="0158AD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1BFFA9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7CF7E7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2BC2F2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0F487E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63BF88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608591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2480A6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4516B9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135CF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275" w:type="pct"/>
            <w:vMerge w:val="restart"/>
            <w:noWrap/>
            <w:vAlign w:val="center"/>
          </w:tcPr>
          <w:p w14:paraId="373A22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w:t>
            </w:r>
          </w:p>
        </w:tc>
        <w:tc>
          <w:tcPr>
            <w:tcW w:w="766" w:type="pct"/>
            <w:vMerge w:val="restart"/>
            <w:noWrap/>
            <w:vAlign w:val="center"/>
          </w:tcPr>
          <w:p w14:paraId="30FF9E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兴达家园</w:t>
            </w:r>
          </w:p>
        </w:tc>
        <w:tc>
          <w:tcPr>
            <w:tcW w:w="515" w:type="pct"/>
            <w:noWrap/>
            <w:vAlign w:val="center"/>
          </w:tcPr>
          <w:p w14:paraId="3E990E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14DC2F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7C410A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5363B8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0F79F6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67B1F2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0082E6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87819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275" w:type="pct"/>
            <w:vMerge w:val="continue"/>
            <w:noWrap/>
            <w:vAlign w:val="center"/>
          </w:tcPr>
          <w:p w14:paraId="7AD0B7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23DE94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2A0EE5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45C937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30DDD6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093C91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6D4E8A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429410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5C7D98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E9E05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75" w:type="pct"/>
            <w:vMerge w:val="restart"/>
            <w:noWrap/>
            <w:vAlign w:val="center"/>
          </w:tcPr>
          <w:p w14:paraId="0F86FD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43</w:t>
            </w:r>
          </w:p>
        </w:tc>
        <w:tc>
          <w:tcPr>
            <w:tcW w:w="766" w:type="pct"/>
            <w:vMerge w:val="restart"/>
            <w:noWrap/>
            <w:vAlign w:val="center"/>
          </w:tcPr>
          <w:p w14:paraId="6513E4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协会大厦</w:t>
            </w:r>
          </w:p>
        </w:tc>
        <w:tc>
          <w:tcPr>
            <w:tcW w:w="515" w:type="pct"/>
            <w:noWrap/>
            <w:vAlign w:val="center"/>
          </w:tcPr>
          <w:p w14:paraId="4DA98E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2BA6BE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6E4A95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0AF085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293374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0B085D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6945BE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C18AB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275" w:type="pct"/>
            <w:vMerge w:val="continue"/>
            <w:noWrap/>
            <w:vAlign w:val="center"/>
          </w:tcPr>
          <w:p w14:paraId="77FD69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2CF2A5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0EC209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54A758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72C054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2513F5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4C3BDC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31FFA0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0519D7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A9B22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275" w:type="pct"/>
            <w:vMerge w:val="restart"/>
            <w:noWrap/>
            <w:vAlign w:val="center"/>
          </w:tcPr>
          <w:p w14:paraId="3EEF9A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44</w:t>
            </w:r>
          </w:p>
        </w:tc>
        <w:tc>
          <w:tcPr>
            <w:tcW w:w="766" w:type="pct"/>
            <w:vMerge w:val="restart"/>
            <w:noWrap/>
            <w:vAlign w:val="center"/>
          </w:tcPr>
          <w:p w14:paraId="71186D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数码港宾馆</w:t>
            </w:r>
          </w:p>
        </w:tc>
        <w:tc>
          <w:tcPr>
            <w:tcW w:w="515" w:type="pct"/>
            <w:noWrap/>
            <w:vAlign w:val="center"/>
          </w:tcPr>
          <w:p w14:paraId="2C6CB4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41D8E1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1D7A17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143A44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064E5C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4F17C4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623CB0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43F7F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275" w:type="pct"/>
            <w:vMerge w:val="continue"/>
            <w:noWrap/>
            <w:vAlign w:val="center"/>
          </w:tcPr>
          <w:p w14:paraId="2364EB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34028A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0E33D2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27EF75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7771DF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39C351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2C6435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0022B5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412ECD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5A428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275" w:type="pct"/>
            <w:vMerge w:val="restart"/>
            <w:noWrap/>
            <w:vAlign w:val="center"/>
          </w:tcPr>
          <w:p w14:paraId="2C7015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45</w:t>
            </w:r>
          </w:p>
        </w:tc>
        <w:tc>
          <w:tcPr>
            <w:tcW w:w="766" w:type="pct"/>
            <w:vMerge w:val="restart"/>
            <w:noWrap/>
            <w:vAlign w:val="center"/>
          </w:tcPr>
          <w:p w14:paraId="27DB3A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山水国际</w:t>
            </w:r>
          </w:p>
        </w:tc>
        <w:tc>
          <w:tcPr>
            <w:tcW w:w="515" w:type="pct"/>
            <w:noWrap/>
            <w:vAlign w:val="center"/>
          </w:tcPr>
          <w:p w14:paraId="7EF27E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2E72E8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248652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04C25F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71D86C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5DF887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7196A0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8C954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275" w:type="pct"/>
            <w:vMerge w:val="continue"/>
            <w:noWrap/>
            <w:vAlign w:val="center"/>
          </w:tcPr>
          <w:p w14:paraId="3DF849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6E8F29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523CCC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530E4C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74059C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6DF4A7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199491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24B6C8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1A73C3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243BD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75" w:type="pct"/>
            <w:vMerge w:val="restart"/>
            <w:noWrap/>
            <w:vAlign w:val="center"/>
          </w:tcPr>
          <w:p w14:paraId="6CEBB3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46</w:t>
            </w:r>
          </w:p>
        </w:tc>
        <w:tc>
          <w:tcPr>
            <w:tcW w:w="766" w:type="pct"/>
            <w:vMerge w:val="restart"/>
            <w:noWrap/>
            <w:vAlign w:val="center"/>
          </w:tcPr>
          <w:p w14:paraId="067B18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湖畔花园小区</w:t>
            </w:r>
          </w:p>
        </w:tc>
        <w:tc>
          <w:tcPr>
            <w:tcW w:w="515" w:type="pct"/>
            <w:noWrap/>
            <w:vAlign w:val="center"/>
          </w:tcPr>
          <w:p w14:paraId="6E2BA4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5AC286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3A475C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68A6C7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401FCD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2CFA40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27EF48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D1882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275" w:type="pct"/>
            <w:vMerge w:val="continue"/>
            <w:noWrap/>
            <w:vAlign w:val="center"/>
          </w:tcPr>
          <w:p w14:paraId="48CA9B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3D6BA0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10213F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0E0503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765AF3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43C741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35ED9C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3B3FFA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45A072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DA80D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275" w:type="pct"/>
            <w:vMerge w:val="restart"/>
            <w:noWrap/>
            <w:vAlign w:val="center"/>
          </w:tcPr>
          <w:p w14:paraId="7B0B70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47</w:t>
            </w:r>
          </w:p>
        </w:tc>
        <w:tc>
          <w:tcPr>
            <w:tcW w:w="766" w:type="pct"/>
            <w:vMerge w:val="restart"/>
            <w:noWrap/>
            <w:vAlign w:val="center"/>
          </w:tcPr>
          <w:p w14:paraId="3D48EE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湖滨小区</w:t>
            </w:r>
          </w:p>
        </w:tc>
        <w:tc>
          <w:tcPr>
            <w:tcW w:w="515" w:type="pct"/>
            <w:noWrap/>
            <w:vAlign w:val="center"/>
          </w:tcPr>
          <w:p w14:paraId="080D06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375BF9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485421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6E24FC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5514DE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320BAF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20736D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57CA5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275" w:type="pct"/>
            <w:vMerge w:val="continue"/>
            <w:noWrap/>
            <w:vAlign w:val="center"/>
          </w:tcPr>
          <w:p w14:paraId="6BFCA6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7F3E16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61BE48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3164C6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32BDBB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534880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6508CB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20EE38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5CEEFB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00498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275" w:type="pct"/>
            <w:vMerge w:val="restart"/>
            <w:noWrap/>
            <w:vAlign w:val="center"/>
          </w:tcPr>
          <w:p w14:paraId="4D6EDC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48</w:t>
            </w:r>
          </w:p>
        </w:tc>
        <w:tc>
          <w:tcPr>
            <w:tcW w:w="766" w:type="pct"/>
            <w:vMerge w:val="restart"/>
            <w:noWrap/>
            <w:vAlign w:val="center"/>
          </w:tcPr>
          <w:p w14:paraId="4C99A8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吉祥小区</w:t>
            </w:r>
          </w:p>
        </w:tc>
        <w:tc>
          <w:tcPr>
            <w:tcW w:w="515" w:type="pct"/>
            <w:noWrap/>
            <w:vAlign w:val="center"/>
          </w:tcPr>
          <w:p w14:paraId="04BA31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76F1ED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-1.30E-06</w:t>
            </w:r>
          </w:p>
        </w:tc>
        <w:tc>
          <w:tcPr>
            <w:tcW w:w="465" w:type="pct"/>
            <w:noWrap/>
            <w:vAlign w:val="center"/>
          </w:tcPr>
          <w:p w14:paraId="5708FF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1D283E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0EA2EF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2971E4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039F98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E2853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275" w:type="pct"/>
            <w:vMerge w:val="continue"/>
            <w:noWrap/>
            <w:vAlign w:val="center"/>
          </w:tcPr>
          <w:p w14:paraId="4914B5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750071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318828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307C9D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0539A7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628136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461D7B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31A873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2A340A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7048E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275" w:type="pct"/>
            <w:vMerge w:val="restart"/>
            <w:noWrap/>
            <w:vAlign w:val="center"/>
          </w:tcPr>
          <w:p w14:paraId="708A71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49</w:t>
            </w:r>
          </w:p>
        </w:tc>
        <w:tc>
          <w:tcPr>
            <w:tcW w:w="766" w:type="pct"/>
            <w:vMerge w:val="restart"/>
            <w:noWrap/>
            <w:vAlign w:val="center"/>
          </w:tcPr>
          <w:p w14:paraId="1B0198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天佑国际</w:t>
            </w:r>
          </w:p>
        </w:tc>
        <w:tc>
          <w:tcPr>
            <w:tcW w:w="515" w:type="pct"/>
            <w:noWrap/>
            <w:vAlign w:val="center"/>
          </w:tcPr>
          <w:p w14:paraId="160750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01B017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6150ED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4EF625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2B3D28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366081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5A6826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40ED6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275" w:type="pct"/>
            <w:vMerge w:val="continue"/>
            <w:noWrap/>
            <w:vAlign w:val="center"/>
          </w:tcPr>
          <w:p w14:paraId="0E96CD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487298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7813F9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77B1BE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39F391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0AA99A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2551BB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498126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20ECD8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0321D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275" w:type="pct"/>
            <w:vMerge w:val="restart"/>
            <w:noWrap/>
            <w:vAlign w:val="center"/>
          </w:tcPr>
          <w:p w14:paraId="302718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50</w:t>
            </w:r>
          </w:p>
        </w:tc>
        <w:tc>
          <w:tcPr>
            <w:tcW w:w="766" w:type="pct"/>
            <w:vMerge w:val="restart"/>
            <w:noWrap/>
            <w:vAlign w:val="center"/>
          </w:tcPr>
          <w:p w14:paraId="2CE0C0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前进社区</w:t>
            </w:r>
          </w:p>
        </w:tc>
        <w:tc>
          <w:tcPr>
            <w:tcW w:w="515" w:type="pct"/>
            <w:noWrap/>
            <w:vAlign w:val="center"/>
          </w:tcPr>
          <w:p w14:paraId="10F8E1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17A25B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5E7888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7D15E0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6B4D18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154914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2FB0CF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B059F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275" w:type="pct"/>
            <w:vMerge w:val="continue"/>
            <w:noWrap/>
            <w:vAlign w:val="center"/>
          </w:tcPr>
          <w:p w14:paraId="43EB94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238C4E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5FB643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2747B8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460910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77641E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264CB6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11A90C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447086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2A8A9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275" w:type="pct"/>
            <w:vMerge w:val="restart"/>
            <w:noWrap/>
            <w:vAlign w:val="center"/>
          </w:tcPr>
          <w:p w14:paraId="6B1522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51</w:t>
            </w:r>
          </w:p>
        </w:tc>
        <w:tc>
          <w:tcPr>
            <w:tcW w:w="766" w:type="pct"/>
            <w:vMerge w:val="restart"/>
            <w:noWrap/>
            <w:vAlign w:val="center"/>
          </w:tcPr>
          <w:p w14:paraId="039EB0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幸福家园</w:t>
            </w:r>
          </w:p>
        </w:tc>
        <w:tc>
          <w:tcPr>
            <w:tcW w:w="515" w:type="pct"/>
            <w:noWrap/>
            <w:vAlign w:val="center"/>
          </w:tcPr>
          <w:p w14:paraId="5D5EB6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775EBC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71B6F8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33BCC5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5336DF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6D7266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475599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12728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 w:hRule="atLeast"/>
          <w:jc w:val="center"/>
        </w:trPr>
        <w:tc>
          <w:tcPr>
            <w:tcW w:w="275" w:type="pct"/>
            <w:vMerge w:val="continue"/>
            <w:noWrap/>
            <w:vAlign w:val="center"/>
          </w:tcPr>
          <w:p w14:paraId="436998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498457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652749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64C118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238065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04FEA4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620E1C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3308A9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0B4E5F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6B6A3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0" w:hRule="atLeast"/>
          <w:jc w:val="center"/>
        </w:trPr>
        <w:tc>
          <w:tcPr>
            <w:tcW w:w="275" w:type="pct"/>
            <w:vMerge w:val="restart"/>
            <w:noWrap/>
            <w:vAlign w:val="center"/>
          </w:tcPr>
          <w:p w14:paraId="69BE9A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52</w:t>
            </w:r>
          </w:p>
        </w:tc>
        <w:tc>
          <w:tcPr>
            <w:tcW w:w="766" w:type="pct"/>
            <w:vMerge w:val="restart"/>
            <w:noWrap/>
            <w:vAlign w:val="center"/>
          </w:tcPr>
          <w:p w14:paraId="0AD7BA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盛世嘉园</w:t>
            </w:r>
          </w:p>
        </w:tc>
        <w:tc>
          <w:tcPr>
            <w:tcW w:w="515" w:type="pct"/>
            <w:noWrap/>
            <w:vAlign w:val="center"/>
          </w:tcPr>
          <w:p w14:paraId="62F93F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7C6A8E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-4.02E-05</w:t>
            </w:r>
          </w:p>
        </w:tc>
        <w:tc>
          <w:tcPr>
            <w:tcW w:w="465" w:type="pct"/>
            <w:noWrap/>
            <w:vAlign w:val="center"/>
          </w:tcPr>
          <w:p w14:paraId="6A60FF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2660E0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4AC76C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7ED215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82.64</w:t>
            </w:r>
          </w:p>
        </w:tc>
        <w:tc>
          <w:tcPr>
            <w:tcW w:w="424" w:type="pct"/>
            <w:noWrap/>
            <w:vAlign w:val="center"/>
          </w:tcPr>
          <w:p w14:paraId="699EBF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52392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275" w:type="pct"/>
            <w:vMerge w:val="continue"/>
            <w:noWrap/>
            <w:vAlign w:val="center"/>
          </w:tcPr>
          <w:p w14:paraId="69AD35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092B80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323386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4E98E5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1E12F8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7D25DC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18241C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50C049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7FE044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9C602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275" w:type="pct"/>
            <w:vMerge w:val="restart"/>
            <w:noWrap/>
            <w:vAlign w:val="center"/>
          </w:tcPr>
          <w:p w14:paraId="08158C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53</w:t>
            </w:r>
          </w:p>
        </w:tc>
        <w:tc>
          <w:tcPr>
            <w:tcW w:w="766" w:type="pct"/>
            <w:vMerge w:val="restart"/>
            <w:noWrap/>
            <w:vAlign w:val="center"/>
          </w:tcPr>
          <w:p w14:paraId="1D8ABE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兄弟花园</w:t>
            </w:r>
          </w:p>
        </w:tc>
        <w:tc>
          <w:tcPr>
            <w:tcW w:w="515" w:type="pct"/>
            <w:noWrap/>
            <w:vAlign w:val="center"/>
          </w:tcPr>
          <w:p w14:paraId="2A71E4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0F682B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-1.39E-05</w:t>
            </w:r>
          </w:p>
        </w:tc>
        <w:tc>
          <w:tcPr>
            <w:tcW w:w="465" w:type="pct"/>
            <w:noWrap/>
            <w:vAlign w:val="center"/>
          </w:tcPr>
          <w:p w14:paraId="18895F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3F959D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5D7E93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2878A4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82.66</w:t>
            </w:r>
          </w:p>
        </w:tc>
        <w:tc>
          <w:tcPr>
            <w:tcW w:w="424" w:type="pct"/>
            <w:noWrap/>
            <w:vAlign w:val="center"/>
          </w:tcPr>
          <w:p w14:paraId="31C3F8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57F9A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275" w:type="pct"/>
            <w:vMerge w:val="continue"/>
            <w:noWrap/>
            <w:vAlign w:val="center"/>
          </w:tcPr>
          <w:p w14:paraId="046A35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46901E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6CAB88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41A31D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2C9887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314E0A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312FAD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62B2F6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600D0A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200F5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275" w:type="pct"/>
            <w:vMerge w:val="restart"/>
            <w:noWrap/>
            <w:vAlign w:val="center"/>
          </w:tcPr>
          <w:p w14:paraId="327F8A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54</w:t>
            </w:r>
          </w:p>
        </w:tc>
        <w:tc>
          <w:tcPr>
            <w:tcW w:w="766" w:type="pct"/>
            <w:vMerge w:val="restart"/>
            <w:noWrap/>
            <w:vAlign w:val="center"/>
          </w:tcPr>
          <w:p w14:paraId="54BF4D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同福嘉园</w:t>
            </w:r>
          </w:p>
        </w:tc>
        <w:tc>
          <w:tcPr>
            <w:tcW w:w="515" w:type="pct"/>
            <w:noWrap/>
            <w:vAlign w:val="center"/>
          </w:tcPr>
          <w:p w14:paraId="57ADF9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19D433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-3.37E-06</w:t>
            </w:r>
          </w:p>
        </w:tc>
        <w:tc>
          <w:tcPr>
            <w:tcW w:w="465" w:type="pct"/>
            <w:noWrap/>
            <w:vAlign w:val="center"/>
          </w:tcPr>
          <w:p w14:paraId="5790F6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44C4DF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053483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7F023C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82.66</w:t>
            </w:r>
          </w:p>
        </w:tc>
        <w:tc>
          <w:tcPr>
            <w:tcW w:w="424" w:type="pct"/>
            <w:noWrap/>
            <w:vAlign w:val="center"/>
          </w:tcPr>
          <w:p w14:paraId="53AF92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FEEAE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75" w:type="pct"/>
            <w:vMerge w:val="continue"/>
            <w:noWrap/>
            <w:vAlign w:val="center"/>
          </w:tcPr>
          <w:p w14:paraId="320C17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4ED1C3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219EBD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5994AE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2CC498E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7E2681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556E0D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648FAE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24BE1E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F9ABC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275" w:type="pct"/>
            <w:vMerge w:val="restart"/>
            <w:noWrap/>
            <w:vAlign w:val="center"/>
          </w:tcPr>
          <w:p w14:paraId="200BD9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55</w:t>
            </w:r>
          </w:p>
        </w:tc>
        <w:tc>
          <w:tcPr>
            <w:tcW w:w="766" w:type="pct"/>
            <w:vMerge w:val="restart"/>
            <w:noWrap/>
            <w:vAlign w:val="center"/>
          </w:tcPr>
          <w:p w14:paraId="08F916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富邦名苑</w:t>
            </w:r>
          </w:p>
        </w:tc>
        <w:tc>
          <w:tcPr>
            <w:tcW w:w="515" w:type="pct"/>
            <w:noWrap/>
            <w:vAlign w:val="center"/>
          </w:tcPr>
          <w:p w14:paraId="3A1DCA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22A363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-5.34E-08</w:t>
            </w:r>
          </w:p>
        </w:tc>
        <w:tc>
          <w:tcPr>
            <w:tcW w:w="465" w:type="pct"/>
            <w:noWrap/>
            <w:vAlign w:val="center"/>
          </w:tcPr>
          <w:p w14:paraId="3A9A07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11695B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5E6AE0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1EC35D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7E7B81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B531B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jc w:val="center"/>
        </w:trPr>
        <w:tc>
          <w:tcPr>
            <w:tcW w:w="275" w:type="pct"/>
            <w:vMerge w:val="continue"/>
            <w:noWrap/>
            <w:vAlign w:val="center"/>
          </w:tcPr>
          <w:p w14:paraId="68765A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4A77E2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1C00BD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6C562C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72238F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5524B6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092731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1D38F2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23A0A5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B7D35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275" w:type="pct"/>
            <w:vMerge w:val="restart"/>
            <w:noWrap/>
            <w:vAlign w:val="center"/>
          </w:tcPr>
          <w:p w14:paraId="249B8F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56</w:t>
            </w:r>
          </w:p>
        </w:tc>
        <w:tc>
          <w:tcPr>
            <w:tcW w:w="766" w:type="pct"/>
            <w:vMerge w:val="restart"/>
            <w:noWrap/>
            <w:vAlign w:val="center"/>
          </w:tcPr>
          <w:p w14:paraId="7DF2EB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龙海世纪大酒店</w:t>
            </w:r>
          </w:p>
        </w:tc>
        <w:tc>
          <w:tcPr>
            <w:tcW w:w="515" w:type="pct"/>
            <w:noWrap/>
            <w:vAlign w:val="center"/>
          </w:tcPr>
          <w:p w14:paraId="7A81C3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56C697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24A890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2A0C15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3DD435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534743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0E8595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DB03E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275" w:type="pct"/>
            <w:vMerge w:val="continue"/>
            <w:noWrap/>
            <w:vAlign w:val="center"/>
          </w:tcPr>
          <w:p w14:paraId="6BDB02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131138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3B3A25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4B68798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0A8587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69C827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45DED2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7F7A9F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2D374A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A6DE0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275" w:type="pct"/>
            <w:vMerge w:val="restart"/>
            <w:noWrap/>
            <w:vAlign w:val="center"/>
          </w:tcPr>
          <w:p w14:paraId="6A360E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57</w:t>
            </w:r>
          </w:p>
        </w:tc>
        <w:tc>
          <w:tcPr>
            <w:tcW w:w="766" w:type="pct"/>
            <w:vMerge w:val="restart"/>
            <w:noWrap/>
            <w:vAlign w:val="center"/>
          </w:tcPr>
          <w:p w14:paraId="445F7A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供电小区</w:t>
            </w:r>
          </w:p>
        </w:tc>
        <w:tc>
          <w:tcPr>
            <w:tcW w:w="515" w:type="pct"/>
            <w:noWrap/>
            <w:vAlign w:val="center"/>
          </w:tcPr>
          <w:p w14:paraId="1C545C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76D77B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620868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642253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4D606E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00EE8D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5EC110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BBDBA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275" w:type="pct"/>
            <w:vMerge w:val="continue"/>
            <w:noWrap/>
            <w:vAlign w:val="center"/>
          </w:tcPr>
          <w:p w14:paraId="280340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4A416C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09546E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1A73EE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250992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594425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0463BA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7983F8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75B6C6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6CCCE2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275" w:type="pct"/>
            <w:vMerge w:val="restart"/>
            <w:noWrap/>
            <w:vAlign w:val="center"/>
          </w:tcPr>
          <w:p w14:paraId="64643C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58</w:t>
            </w:r>
          </w:p>
        </w:tc>
        <w:tc>
          <w:tcPr>
            <w:tcW w:w="766" w:type="pct"/>
            <w:vMerge w:val="restart"/>
            <w:noWrap/>
            <w:vAlign w:val="center"/>
          </w:tcPr>
          <w:p w14:paraId="7215FC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九鹤堂医院</w:t>
            </w:r>
          </w:p>
        </w:tc>
        <w:tc>
          <w:tcPr>
            <w:tcW w:w="515" w:type="pct"/>
            <w:noWrap/>
            <w:vAlign w:val="center"/>
          </w:tcPr>
          <w:p w14:paraId="725BA6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327A81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2D8941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3DAFC3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38949B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5F3268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67F114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BDA6D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275" w:type="pct"/>
            <w:vMerge w:val="continue"/>
            <w:noWrap/>
            <w:vAlign w:val="center"/>
          </w:tcPr>
          <w:p w14:paraId="3E18FB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263119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4A727E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508137E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623BAE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2334C3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4DE9E8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41B0B4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15547C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0F79F2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275" w:type="pct"/>
            <w:vMerge w:val="restart"/>
            <w:noWrap/>
            <w:vAlign w:val="center"/>
          </w:tcPr>
          <w:p w14:paraId="29709F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59</w:t>
            </w:r>
          </w:p>
        </w:tc>
        <w:tc>
          <w:tcPr>
            <w:tcW w:w="766" w:type="pct"/>
            <w:vMerge w:val="restart"/>
            <w:noWrap/>
            <w:vAlign w:val="center"/>
          </w:tcPr>
          <w:p w14:paraId="303395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颐民敬老院卫生所</w:t>
            </w:r>
          </w:p>
        </w:tc>
        <w:tc>
          <w:tcPr>
            <w:tcW w:w="515" w:type="pct"/>
            <w:noWrap/>
            <w:vAlign w:val="center"/>
          </w:tcPr>
          <w:p w14:paraId="067EDC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4D9DEE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3AE1DB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64A2F4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4E7B64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136A5D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778D4C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8E33D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275" w:type="pct"/>
            <w:vMerge w:val="continue"/>
            <w:noWrap/>
            <w:vAlign w:val="center"/>
          </w:tcPr>
          <w:p w14:paraId="4D8F0D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1CA0DB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532C3C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6CE089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7C6103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296CFF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6CF7B5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178509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5249EE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22966D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275" w:type="pct"/>
            <w:vMerge w:val="restart"/>
            <w:noWrap/>
            <w:vAlign w:val="center"/>
          </w:tcPr>
          <w:p w14:paraId="5B9624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60</w:t>
            </w:r>
          </w:p>
        </w:tc>
        <w:tc>
          <w:tcPr>
            <w:tcW w:w="766" w:type="pct"/>
            <w:vMerge w:val="restart"/>
            <w:noWrap/>
            <w:vAlign w:val="center"/>
          </w:tcPr>
          <w:p w14:paraId="4C80F4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绥芬河市中医医院</w:t>
            </w:r>
          </w:p>
        </w:tc>
        <w:tc>
          <w:tcPr>
            <w:tcW w:w="515" w:type="pct"/>
            <w:noWrap/>
            <w:vAlign w:val="center"/>
          </w:tcPr>
          <w:p w14:paraId="221E93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775B55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03BA4E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6358F0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2A5254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6EA10F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6F23EE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1620E2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275" w:type="pct"/>
            <w:vMerge w:val="continue"/>
            <w:noWrap/>
            <w:vAlign w:val="center"/>
          </w:tcPr>
          <w:p w14:paraId="0FD3A9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7D476A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248947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04EED9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582239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078CD9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29F768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3FCE13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1A2BAB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4746A8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275" w:type="pct"/>
            <w:vMerge w:val="restart"/>
            <w:noWrap/>
            <w:vAlign w:val="center"/>
          </w:tcPr>
          <w:p w14:paraId="288EA5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w:t>
            </w:r>
          </w:p>
        </w:tc>
        <w:tc>
          <w:tcPr>
            <w:tcW w:w="766" w:type="pct"/>
            <w:vMerge w:val="restart"/>
            <w:noWrap/>
            <w:vAlign w:val="center"/>
          </w:tcPr>
          <w:p w14:paraId="4A3292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立银医院</w:t>
            </w:r>
          </w:p>
        </w:tc>
        <w:tc>
          <w:tcPr>
            <w:tcW w:w="515" w:type="pct"/>
            <w:noWrap/>
            <w:vAlign w:val="center"/>
          </w:tcPr>
          <w:p w14:paraId="0AAEE0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44959E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4ACAD1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2A8D6A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6ADFF2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1CA0A6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5C3300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3B47FF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275" w:type="pct"/>
            <w:vMerge w:val="continue"/>
            <w:noWrap/>
            <w:vAlign w:val="center"/>
          </w:tcPr>
          <w:p w14:paraId="245C53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6EC17C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55AB49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317205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2AF434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0E5320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3A2BF0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790E7E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3A9CC0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5119FE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275" w:type="pct"/>
            <w:vMerge w:val="restart"/>
            <w:noWrap/>
            <w:vAlign w:val="center"/>
          </w:tcPr>
          <w:p w14:paraId="1F7597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62</w:t>
            </w:r>
          </w:p>
        </w:tc>
        <w:tc>
          <w:tcPr>
            <w:tcW w:w="766" w:type="pct"/>
            <w:vMerge w:val="restart"/>
            <w:noWrap/>
            <w:vAlign w:val="center"/>
          </w:tcPr>
          <w:p w14:paraId="47BB0A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绥芬河市传染病医院</w:t>
            </w:r>
          </w:p>
        </w:tc>
        <w:tc>
          <w:tcPr>
            <w:tcW w:w="878" w:type="dxa"/>
            <w:noWrap/>
            <w:vAlign w:val="center"/>
          </w:tcPr>
          <w:p w14:paraId="382D1C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3B626A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1D1DD0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598543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73E40C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837" w:type="dxa"/>
            <w:noWrap/>
            <w:vAlign w:val="center"/>
          </w:tcPr>
          <w:p w14:paraId="3FF631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53376C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r>
      <w:tr w14:paraId="5D2640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275" w:type="pct"/>
            <w:vMerge w:val="continue"/>
            <w:noWrap/>
            <w:vAlign w:val="center"/>
          </w:tcPr>
          <w:p w14:paraId="300D03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155D36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878" w:type="dxa"/>
            <w:noWrap/>
            <w:vAlign w:val="center"/>
          </w:tcPr>
          <w:p w14:paraId="109986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255E49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4BFDE0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358AD8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5B0792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837" w:type="dxa"/>
            <w:noWrap/>
            <w:vAlign w:val="center"/>
          </w:tcPr>
          <w:p w14:paraId="0FE7A3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09E1C9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r>
      <w:tr w14:paraId="3E0425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275" w:type="pct"/>
            <w:vMerge w:val="restart"/>
            <w:noWrap/>
            <w:vAlign w:val="center"/>
          </w:tcPr>
          <w:p w14:paraId="194E8A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62</w:t>
            </w:r>
          </w:p>
        </w:tc>
        <w:tc>
          <w:tcPr>
            <w:tcW w:w="766" w:type="pct"/>
            <w:vMerge w:val="restart"/>
            <w:noWrap/>
            <w:vAlign w:val="center"/>
          </w:tcPr>
          <w:p w14:paraId="50AE31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网格</w:t>
            </w:r>
          </w:p>
        </w:tc>
        <w:tc>
          <w:tcPr>
            <w:tcW w:w="515" w:type="pct"/>
            <w:noWrap/>
            <w:vAlign w:val="center"/>
          </w:tcPr>
          <w:p w14:paraId="686F05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日平均</w:t>
            </w:r>
          </w:p>
        </w:tc>
        <w:tc>
          <w:tcPr>
            <w:tcW w:w="609" w:type="pct"/>
            <w:noWrap/>
            <w:vAlign w:val="center"/>
          </w:tcPr>
          <w:p w14:paraId="7FFD51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7.63E-09</w:t>
            </w:r>
          </w:p>
        </w:tc>
        <w:tc>
          <w:tcPr>
            <w:tcW w:w="465" w:type="pct"/>
            <w:noWrap/>
            <w:vAlign w:val="center"/>
          </w:tcPr>
          <w:p w14:paraId="656370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240422</w:t>
            </w:r>
          </w:p>
        </w:tc>
        <w:tc>
          <w:tcPr>
            <w:tcW w:w="672" w:type="pct"/>
            <w:noWrap/>
            <w:vAlign w:val="center"/>
          </w:tcPr>
          <w:p w14:paraId="112C5C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779" w:type="pct"/>
            <w:noWrap/>
            <w:vAlign w:val="center"/>
          </w:tcPr>
          <w:p w14:paraId="07B605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1.24E-01</w:t>
            </w:r>
          </w:p>
        </w:tc>
        <w:tc>
          <w:tcPr>
            <w:tcW w:w="491" w:type="pct"/>
            <w:noWrap/>
            <w:vAlign w:val="center"/>
          </w:tcPr>
          <w:p w14:paraId="45D678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82.67</w:t>
            </w:r>
          </w:p>
        </w:tc>
        <w:tc>
          <w:tcPr>
            <w:tcW w:w="424" w:type="pct"/>
            <w:noWrap/>
            <w:vAlign w:val="center"/>
          </w:tcPr>
          <w:p w14:paraId="1715E2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r w14:paraId="78E6A0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275" w:type="pct"/>
            <w:vMerge w:val="continue"/>
            <w:noWrap/>
            <w:vAlign w:val="center"/>
          </w:tcPr>
          <w:p w14:paraId="1EDC9B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766" w:type="pct"/>
            <w:vMerge w:val="continue"/>
            <w:noWrap/>
            <w:vAlign w:val="center"/>
          </w:tcPr>
          <w:p w14:paraId="0B63E5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p>
        </w:tc>
        <w:tc>
          <w:tcPr>
            <w:tcW w:w="515" w:type="pct"/>
            <w:noWrap/>
            <w:vAlign w:val="center"/>
          </w:tcPr>
          <w:p w14:paraId="252DA4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年平均</w:t>
            </w:r>
          </w:p>
        </w:tc>
        <w:tc>
          <w:tcPr>
            <w:tcW w:w="609" w:type="pct"/>
            <w:noWrap/>
            <w:vAlign w:val="center"/>
          </w:tcPr>
          <w:p w14:paraId="529D58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0.00E+00</w:t>
            </w:r>
          </w:p>
        </w:tc>
        <w:tc>
          <w:tcPr>
            <w:tcW w:w="465" w:type="pct"/>
            <w:noWrap/>
            <w:vAlign w:val="center"/>
          </w:tcPr>
          <w:p w14:paraId="6FAB83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平均值</w:t>
            </w:r>
          </w:p>
        </w:tc>
        <w:tc>
          <w:tcPr>
            <w:tcW w:w="672" w:type="pct"/>
            <w:noWrap/>
            <w:vAlign w:val="center"/>
          </w:tcPr>
          <w:p w14:paraId="73B6C5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779" w:type="pct"/>
            <w:noWrap/>
            <w:vAlign w:val="center"/>
          </w:tcPr>
          <w:p w14:paraId="0A9A78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4.29E-02</w:t>
            </w:r>
          </w:p>
        </w:tc>
        <w:tc>
          <w:tcPr>
            <w:tcW w:w="491" w:type="pct"/>
            <w:noWrap/>
            <w:vAlign w:val="center"/>
          </w:tcPr>
          <w:p w14:paraId="06CB23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61.23</w:t>
            </w:r>
          </w:p>
        </w:tc>
        <w:tc>
          <w:tcPr>
            <w:tcW w:w="424" w:type="pct"/>
            <w:noWrap/>
            <w:vAlign w:val="center"/>
          </w:tcPr>
          <w:p w14:paraId="6836B7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kern w:val="0"/>
                <w:sz w:val="21"/>
                <w:highlight w:val="none"/>
                <w:lang w:val="en-US" w:eastAsia="zh-CN" w:bidi="ar"/>
              </w:rPr>
            </w:pPr>
            <w:r>
              <w:rPr>
                <w:rFonts w:hint="eastAsia" w:ascii="Times New Roman" w:hAnsi="Times New Roman" w:eastAsia="宋体" w:cs="Times New Roman"/>
                <w:kern w:val="0"/>
                <w:sz w:val="21"/>
                <w:highlight w:val="none"/>
                <w:lang w:val="en-US" w:eastAsia="zh-CN" w:bidi="ar"/>
              </w:rPr>
              <w:t>达标</w:t>
            </w:r>
          </w:p>
        </w:tc>
      </w:tr>
    </w:tbl>
    <w:p w14:paraId="7AC01E10">
      <w:pPr>
        <w:ind w:left="0" w:leftChars="0" w:firstLine="0" w:firstLineChars="0"/>
        <w:rPr>
          <w:rFonts w:ascii="Times New Roman" w:hAnsi="Times New Roman"/>
          <w:color w:val="auto"/>
          <w:highlight w:val="none"/>
        </w:rPr>
      </w:pPr>
      <w:r>
        <w:rPr>
          <w:rFonts w:ascii="Times New Roman" w:hAnsi="Times New Roman"/>
          <w:color w:val="auto"/>
          <w:highlight w:val="none"/>
        </w:rPr>
        <w:t>注：叠加浓度=本项目PM</w:t>
      </w:r>
      <w:r>
        <w:rPr>
          <w:rFonts w:ascii="Times New Roman" w:hAnsi="Times New Roman"/>
          <w:color w:val="auto"/>
          <w:highlight w:val="none"/>
          <w:vertAlign w:val="subscript"/>
        </w:rPr>
        <w:t>10</w:t>
      </w:r>
      <w:r>
        <w:rPr>
          <w:rFonts w:ascii="Times New Roman" w:hAnsi="Times New Roman"/>
          <w:color w:val="auto"/>
          <w:highlight w:val="none"/>
        </w:rPr>
        <w:t>献浓度-区域削减污染源</w:t>
      </w:r>
      <w:r>
        <w:rPr>
          <w:rFonts w:ascii="Times New Roman" w:hAnsi="Times New Roman"/>
          <w:color w:val="auto"/>
          <w:sz w:val="21"/>
          <w:highlight w:val="none"/>
        </w:rPr>
        <w:t>+</w:t>
      </w:r>
      <w:r>
        <w:rPr>
          <w:rFonts w:hint="eastAsia" w:ascii="Times New Roman" w:hAnsi="Times New Roman"/>
          <w:color w:val="auto"/>
          <w:highlight w:val="none"/>
        </w:rPr>
        <w:t>拟在建</w:t>
      </w:r>
      <w:r>
        <w:rPr>
          <w:rFonts w:ascii="Times New Roman" w:hAnsi="Times New Roman"/>
          <w:color w:val="auto"/>
          <w:highlight w:val="none"/>
        </w:rPr>
        <w:t>污染源+背景浓度</w:t>
      </w:r>
    </w:p>
    <w:p w14:paraId="7B910D81">
      <w:pPr>
        <w:bidi w:val="0"/>
        <w:ind w:left="0" w:leftChars="0" w:firstLine="0" w:firstLineChars="0"/>
        <w:rPr>
          <w:rFonts w:ascii="Times New Roman" w:hAnsi="Times New Roman"/>
          <w:color w:val="auto"/>
          <w:highlight w:val="none"/>
        </w:rPr>
      </w:pPr>
      <w:r>
        <w:rPr>
          <w:highlight w:val="none"/>
        </w:rPr>
        <w:drawing>
          <wp:inline distT="0" distB="0" distL="114300" distR="114300">
            <wp:extent cx="5270500" cy="2502535"/>
            <wp:effectExtent l="0" t="0" r="6350" b="12065"/>
            <wp:docPr id="16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
                    <pic:cNvPicPr>
                      <a:picLocks noChangeAspect="1"/>
                    </pic:cNvPicPr>
                  </pic:nvPicPr>
                  <pic:blipFill>
                    <a:blip r:embed="rId45"/>
                    <a:stretch>
                      <a:fillRect/>
                    </a:stretch>
                  </pic:blipFill>
                  <pic:spPr>
                    <a:xfrm>
                      <a:off x="0" y="0"/>
                      <a:ext cx="5270500" cy="2502535"/>
                    </a:xfrm>
                    <a:prstGeom prst="rect">
                      <a:avLst/>
                    </a:prstGeom>
                    <a:noFill/>
                    <a:ln>
                      <a:noFill/>
                    </a:ln>
                  </pic:spPr>
                </pic:pic>
              </a:graphicData>
            </a:graphic>
          </wp:inline>
        </w:drawing>
      </w:r>
    </w:p>
    <w:p w14:paraId="4D568ECF">
      <w:pPr>
        <w:pStyle w:val="15"/>
        <w:ind w:left="0" w:leftChars="0" w:firstLine="0" w:firstLineChars="0"/>
        <w:jc w:val="center"/>
        <w:rPr>
          <w:rFonts w:cs="Times New Roman"/>
          <w:color w:val="auto"/>
          <w:highlight w:val="none"/>
        </w:rPr>
      </w:pPr>
      <w:r>
        <w:rPr>
          <w:rFonts w:hint="eastAsia" w:ascii="黑体" w:hAnsi="黑体" w:eastAsia="黑体" w:cs="黑体"/>
          <w:color w:val="auto"/>
          <w:highlight w:val="none"/>
        </w:rPr>
        <w:t>图</w:t>
      </w:r>
      <w:r>
        <w:rPr>
          <w:rFonts w:hint="eastAsia" w:ascii="Times New Roman" w:hAnsi="Times New Roman"/>
          <w:color w:val="auto"/>
          <w:highlight w:val="none"/>
        </w:rPr>
        <w:t>5</w:t>
      </w:r>
      <w:r>
        <w:rPr>
          <w:rFonts w:hint="eastAsia" w:ascii="Times New Roman" w:hAnsi="Times New Roman"/>
          <w:color w:val="auto"/>
          <w:highlight w:val="none"/>
          <w:lang w:val="en-US" w:eastAsia="zh-CN"/>
        </w:rPr>
        <w:t>.</w:t>
      </w:r>
      <w:r>
        <w:rPr>
          <w:rFonts w:hint="eastAsia" w:ascii="Times New Roman" w:hAnsi="Times New Roman"/>
          <w:color w:val="auto"/>
          <w:highlight w:val="none"/>
        </w:rPr>
        <w:t>2-</w:t>
      </w:r>
      <w:r>
        <w:rPr>
          <w:rFonts w:hint="eastAsia" w:ascii="Times New Roman" w:hAnsi="Times New Roman"/>
          <w:color w:val="auto"/>
          <w:highlight w:val="none"/>
          <w:lang w:val="en-US" w:eastAsia="zh-CN"/>
        </w:rPr>
        <w:t>5</w:t>
      </w:r>
      <w:r>
        <w:rPr>
          <w:rFonts w:hint="eastAsia" w:ascii="黑体" w:hAnsi="黑体" w:eastAsia="黑体" w:cs="黑体"/>
          <w:color w:val="auto"/>
          <w:highlight w:val="none"/>
        </w:rPr>
        <w:t>本项目</w:t>
      </w:r>
      <w:r>
        <w:rPr>
          <w:rFonts w:ascii="Times New Roman" w:hAnsi="Times New Roman"/>
          <w:color w:val="auto"/>
          <w:highlight w:val="none"/>
        </w:rPr>
        <w:t>PM</w:t>
      </w:r>
      <w:r>
        <w:rPr>
          <w:rFonts w:ascii="Times New Roman" w:hAnsi="Times New Roman"/>
          <w:color w:val="auto"/>
          <w:highlight w:val="none"/>
          <w:vertAlign w:val="subscript"/>
        </w:rPr>
        <w:t>1</w:t>
      </w:r>
      <w:r>
        <w:rPr>
          <w:rFonts w:hint="eastAsia" w:ascii="Times New Roman" w:hAnsi="Times New Roman"/>
          <w:color w:val="auto"/>
          <w:highlight w:val="none"/>
          <w:vertAlign w:val="subscript"/>
          <w:lang w:val="en-US" w:eastAsia="zh-CN"/>
        </w:rPr>
        <w:t>0</w:t>
      </w:r>
      <w:r>
        <w:rPr>
          <w:rFonts w:hint="eastAsia" w:ascii="黑体" w:hAnsi="黑体" w:eastAsia="黑体" w:cs="黑体"/>
          <w:color w:val="auto"/>
          <w:highlight w:val="none"/>
        </w:rPr>
        <w:t>保证率日平均质量浓度分布图</w:t>
      </w:r>
      <w:r>
        <w:rPr>
          <w:rFonts w:hint="eastAsia" w:ascii="Times New Roman" w:hAnsi="Times New Roman"/>
          <w:color w:val="auto"/>
          <w:highlight w:val="none"/>
        </w:rPr>
        <w:t>（</w:t>
      </w:r>
      <w:r>
        <w:rPr>
          <w:rFonts w:hint="eastAsia" w:ascii="Times New Roman" w:hAnsi="Times New Roman"/>
          <w:color w:val="auto"/>
          <w:highlight w:val="none"/>
          <w:lang w:val="en-US" w:eastAsia="zh-CN"/>
        </w:rPr>
        <w:t>m</w:t>
      </w:r>
      <w:r>
        <w:rPr>
          <w:rFonts w:hint="eastAsia" w:ascii="Times New Roman" w:hAnsi="Times New Roman"/>
          <w:color w:val="auto"/>
          <w:highlight w:val="none"/>
        </w:rPr>
        <w:t>g/m</w:t>
      </w:r>
      <w:r>
        <w:rPr>
          <w:rFonts w:hint="eastAsia" w:ascii="Times New Roman" w:hAnsi="Times New Roman"/>
          <w:color w:val="auto"/>
          <w:highlight w:val="none"/>
          <w:vertAlign w:val="superscript"/>
        </w:rPr>
        <w:t>3</w:t>
      </w:r>
      <w:r>
        <w:rPr>
          <w:rFonts w:hint="eastAsia" w:ascii="Times New Roman" w:hAnsi="Times New Roman"/>
          <w:color w:val="auto"/>
          <w:highlight w:val="none"/>
        </w:rPr>
        <w:t>）</w:t>
      </w:r>
    </w:p>
    <w:p w14:paraId="5A704A37">
      <w:pPr>
        <w:pStyle w:val="15"/>
        <w:ind w:left="0" w:leftChars="0" w:firstLine="0" w:firstLineChars="0"/>
        <w:jc w:val="center"/>
        <w:rPr>
          <w:rFonts w:cs="Times New Roman"/>
          <w:color w:val="auto"/>
          <w:highlight w:val="none"/>
        </w:rPr>
      </w:pPr>
      <w:r>
        <w:rPr>
          <w:highlight w:val="none"/>
        </w:rPr>
        <w:drawing>
          <wp:inline distT="0" distB="0" distL="114300" distR="114300">
            <wp:extent cx="5270500" cy="2519045"/>
            <wp:effectExtent l="0" t="0" r="6350" b="14605"/>
            <wp:docPr id="16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7"/>
                    <pic:cNvPicPr>
                      <a:picLocks noChangeAspect="1"/>
                    </pic:cNvPicPr>
                  </pic:nvPicPr>
                  <pic:blipFill>
                    <a:blip r:embed="rId46"/>
                    <a:stretch>
                      <a:fillRect/>
                    </a:stretch>
                  </pic:blipFill>
                  <pic:spPr>
                    <a:xfrm>
                      <a:off x="0" y="0"/>
                      <a:ext cx="5270500" cy="2519045"/>
                    </a:xfrm>
                    <a:prstGeom prst="rect">
                      <a:avLst/>
                    </a:prstGeom>
                    <a:noFill/>
                    <a:ln>
                      <a:noFill/>
                    </a:ln>
                  </pic:spPr>
                </pic:pic>
              </a:graphicData>
            </a:graphic>
          </wp:inline>
        </w:drawing>
      </w:r>
    </w:p>
    <w:p w14:paraId="47927C9E">
      <w:pPr>
        <w:pStyle w:val="15"/>
        <w:ind w:left="0" w:leftChars="0" w:firstLine="0" w:firstLineChars="0"/>
        <w:jc w:val="center"/>
        <w:rPr>
          <w:color w:val="auto"/>
          <w:highlight w:val="none"/>
        </w:rPr>
      </w:pPr>
      <w:r>
        <w:rPr>
          <w:rFonts w:hint="eastAsia" w:ascii="黑体" w:hAnsi="黑体" w:eastAsia="黑体" w:cs="黑体"/>
          <w:color w:val="auto"/>
          <w:highlight w:val="none"/>
        </w:rPr>
        <w:t>图</w:t>
      </w:r>
      <w:r>
        <w:rPr>
          <w:rFonts w:hint="eastAsia" w:ascii="Times New Roman" w:hAnsi="Times New Roman"/>
          <w:color w:val="auto"/>
          <w:highlight w:val="none"/>
        </w:rPr>
        <w:t>5</w:t>
      </w:r>
      <w:r>
        <w:rPr>
          <w:rFonts w:hint="eastAsia" w:ascii="Times New Roman" w:hAnsi="Times New Roman"/>
          <w:color w:val="auto"/>
          <w:highlight w:val="none"/>
          <w:lang w:val="en-US" w:eastAsia="zh-CN"/>
        </w:rPr>
        <w:t>.</w:t>
      </w:r>
      <w:r>
        <w:rPr>
          <w:rFonts w:hint="eastAsia" w:ascii="Times New Roman" w:hAnsi="Times New Roman"/>
          <w:color w:val="auto"/>
          <w:highlight w:val="none"/>
        </w:rPr>
        <w:t xml:space="preserve">2-6 </w:t>
      </w:r>
      <w:r>
        <w:rPr>
          <w:rFonts w:hint="eastAsia" w:ascii="黑体" w:hAnsi="黑体" w:eastAsia="黑体" w:cs="黑体"/>
          <w:color w:val="auto"/>
          <w:highlight w:val="none"/>
        </w:rPr>
        <w:t>本项目</w:t>
      </w:r>
      <w:r>
        <w:rPr>
          <w:rFonts w:ascii="Times New Roman" w:hAnsi="Times New Roman"/>
          <w:color w:val="auto"/>
          <w:highlight w:val="none"/>
        </w:rPr>
        <w:t>PM</w:t>
      </w:r>
      <w:r>
        <w:rPr>
          <w:rFonts w:ascii="Times New Roman" w:hAnsi="Times New Roman"/>
          <w:color w:val="auto"/>
          <w:highlight w:val="none"/>
          <w:vertAlign w:val="subscript"/>
        </w:rPr>
        <w:t>1</w:t>
      </w:r>
      <w:r>
        <w:rPr>
          <w:rFonts w:hint="eastAsia" w:ascii="Times New Roman" w:hAnsi="Times New Roman"/>
          <w:color w:val="auto"/>
          <w:highlight w:val="none"/>
          <w:vertAlign w:val="subscript"/>
          <w:lang w:val="en-US" w:eastAsia="zh-CN"/>
        </w:rPr>
        <w:t>0</w:t>
      </w:r>
      <w:r>
        <w:rPr>
          <w:rFonts w:hint="eastAsia" w:ascii="黑体" w:hAnsi="黑体" w:eastAsia="黑体" w:cs="黑体"/>
          <w:color w:val="auto"/>
          <w:highlight w:val="none"/>
        </w:rPr>
        <w:t>年平均质量浓度分布图</w:t>
      </w:r>
      <w:r>
        <w:rPr>
          <w:rFonts w:cs="Times New Roman"/>
          <w:color w:val="auto"/>
          <w:highlight w:val="none"/>
        </w:rPr>
        <w:t>（</w:t>
      </w:r>
      <w:r>
        <w:rPr>
          <w:rFonts w:hint="eastAsia" w:ascii="Times New Roman" w:hAnsi="Times New Roman"/>
          <w:color w:val="auto"/>
          <w:highlight w:val="none"/>
          <w:lang w:val="en-US" w:eastAsia="zh-CN"/>
        </w:rPr>
        <w:t>mg/m</w:t>
      </w:r>
      <w:r>
        <w:rPr>
          <w:rFonts w:hint="eastAsia" w:ascii="Times New Roman" w:hAnsi="Times New Roman"/>
          <w:color w:val="auto"/>
          <w:highlight w:val="none"/>
          <w:vertAlign w:val="superscript"/>
          <w:lang w:val="en-US" w:eastAsia="zh-CN"/>
        </w:rPr>
        <w:t>3</w:t>
      </w:r>
      <w:r>
        <w:rPr>
          <w:rFonts w:cs="Times New Roman"/>
          <w:color w:val="auto"/>
          <w:highlight w:val="none"/>
        </w:rPr>
        <w:t>）</w:t>
      </w:r>
    </w:p>
    <w:p w14:paraId="5C4BC5C6">
      <w:pPr>
        <w:ind w:firstLine="480"/>
        <w:rPr>
          <w:rFonts w:ascii="Times New Roman" w:hAnsi="Times New Roman"/>
          <w:color w:val="auto"/>
          <w:highlight w:val="none"/>
        </w:rPr>
      </w:pPr>
      <w:r>
        <w:rPr>
          <w:rFonts w:ascii="Times New Roman" w:hAnsi="Times New Roman"/>
          <w:color w:val="auto"/>
          <w:highlight w:val="none"/>
        </w:rPr>
        <w:t>叠加后，污染物PM</w:t>
      </w:r>
      <w:r>
        <w:rPr>
          <w:rFonts w:ascii="Times New Roman" w:hAnsi="Times New Roman"/>
          <w:color w:val="auto"/>
          <w:highlight w:val="none"/>
          <w:vertAlign w:val="subscript"/>
        </w:rPr>
        <w:t>10</w:t>
      </w:r>
      <w:r>
        <w:rPr>
          <w:rFonts w:ascii="Times New Roman" w:hAnsi="Times New Roman"/>
          <w:color w:val="auto"/>
          <w:highlight w:val="none"/>
        </w:rPr>
        <w:t>保证率（95%）日平均质量浓度和年平均质量浓度均符合《环境空气质量标准》（GB3095-2012）及修改单中二级标准。</w:t>
      </w:r>
    </w:p>
    <w:p w14:paraId="62675766">
      <w:pPr>
        <w:ind w:firstLine="480"/>
        <w:rPr>
          <w:rFonts w:ascii="Times New Roman" w:hAnsi="Times New Roman"/>
          <w:color w:val="auto"/>
          <w:highlight w:val="none"/>
        </w:rPr>
      </w:pPr>
      <w:r>
        <w:rPr>
          <w:rFonts w:ascii="Times New Roman" w:hAnsi="Times New Roman"/>
          <w:color w:val="auto"/>
          <w:highlight w:val="none"/>
        </w:rPr>
        <w:t>3、非正常工况预测</w:t>
      </w:r>
    </w:p>
    <w:p w14:paraId="513B9A57">
      <w:pPr>
        <w:ind w:firstLine="480"/>
        <w:rPr>
          <w:rFonts w:ascii="Times New Roman" w:hAnsi="Times New Roman"/>
          <w:color w:val="auto"/>
          <w:highlight w:val="none"/>
        </w:rPr>
      </w:pPr>
      <w:r>
        <w:rPr>
          <w:rFonts w:ascii="Times New Roman" w:hAnsi="Times New Roman"/>
          <w:color w:val="auto"/>
          <w:highlight w:val="none"/>
        </w:rPr>
        <w:t>本项目非正常工况下贡献质量浓度预测结果表见表5.2-</w:t>
      </w:r>
      <w:r>
        <w:rPr>
          <w:rFonts w:hint="eastAsia" w:ascii="Times New Roman" w:hAnsi="Times New Roman"/>
          <w:color w:val="auto"/>
          <w:highlight w:val="none"/>
          <w:lang w:val="en-US" w:eastAsia="zh-CN"/>
        </w:rPr>
        <w:t>20</w:t>
      </w:r>
      <w:r>
        <w:rPr>
          <w:rFonts w:ascii="Times New Roman" w:hAnsi="Times New Roman"/>
          <w:color w:val="auto"/>
          <w:highlight w:val="none"/>
        </w:rPr>
        <w:t>。</w:t>
      </w:r>
    </w:p>
    <w:p w14:paraId="737A2FA1">
      <w:pPr>
        <w:ind w:firstLine="0" w:firstLineChars="0"/>
        <w:jc w:val="center"/>
        <w:rPr>
          <w:rFonts w:ascii="Times New Roman" w:hAnsi="Times New Roman"/>
          <w:color w:val="auto"/>
          <w:highlight w:val="none"/>
        </w:rPr>
      </w:pPr>
      <w:r>
        <w:rPr>
          <w:rFonts w:hint="eastAsia" w:ascii="黑体" w:hAnsi="黑体" w:eastAsia="黑体" w:cs="黑体"/>
          <w:color w:val="auto"/>
          <w:highlight w:val="none"/>
        </w:rPr>
        <w:t>表</w:t>
      </w:r>
      <w:r>
        <w:rPr>
          <w:rFonts w:ascii="Times New Roman" w:hAnsi="Times New Roman"/>
          <w:color w:val="auto"/>
          <w:highlight w:val="none"/>
        </w:rPr>
        <w:t>5.2-</w:t>
      </w:r>
      <w:r>
        <w:rPr>
          <w:rFonts w:hint="eastAsia" w:ascii="Times New Roman" w:hAnsi="Times New Roman"/>
          <w:color w:val="auto"/>
          <w:highlight w:val="none"/>
          <w:lang w:val="en-US" w:eastAsia="zh-CN"/>
        </w:rPr>
        <w:t>20</w:t>
      </w:r>
      <w:r>
        <w:rPr>
          <w:rFonts w:hint="eastAsia" w:ascii="黑体" w:hAnsi="黑体" w:eastAsia="黑体" w:cs="黑体"/>
          <w:color w:val="auto"/>
          <w:highlight w:val="none"/>
        </w:rPr>
        <w:t>非正常工况贡献质量浓度预测结果表</w:t>
      </w:r>
    </w:p>
    <w:tbl>
      <w:tblPr>
        <w:tblStyle w:val="1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96"/>
        <w:gridCol w:w="1756"/>
        <w:gridCol w:w="2344"/>
        <w:gridCol w:w="1470"/>
        <w:gridCol w:w="1553"/>
      </w:tblGrid>
      <w:tr w14:paraId="411225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19" w:type="pct"/>
            <w:noWrap w:val="0"/>
            <w:vAlign w:val="center"/>
          </w:tcPr>
          <w:p w14:paraId="622ACFFC">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污染物</w:t>
            </w:r>
          </w:p>
        </w:tc>
        <w:tc>
          <w:tcPr>
            <w:tcW w:w="1030" w:type="pct"/>
            <w:noWrap/>
            <w:vAlign w:val="center"/>
          </w:tcPr>
          <w:p w14:paraId="10AD0BBE">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浓度类型</w:t>
            </w:r>
          </w:p>
        </w:tc>
        <w:tc>
          <w:tcPr>
            <w:tcW w:w="1375" w:type="pct"/>
            <w:noWrap/>
            <w:vAlign w:val="center"/>
          </w:tcPr>
          <w:p w14:paraId="7A16E330">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浓度增量(μg/m</w:t>
            </w:r>
            <w:r>
              <w:rPr>
                <w:rFonts w:ascii="Times New Roman" w:hAnsi="Times New Roman"/>
                <w:color w:val="auto"/>
                <w:sz w:val="21"/>
                <w:szCs w:val="21"/>
                <w:highlight w:val="none"/>
                <w:vertAlign w:val="superscript"/>
              </w:rPr>
              <w:t>3</w:t>
            </w:r>
            <w:r>
              <w:rPr>
                <w:rFonts w:ascii="Times New Roman" w:hAnsi="Times New Roman"/>
                <w:color w:val="auto"/>
                <w:sz w:val="21"/>
                <w:szCs w:val="21"/>
                <w:highlight w:val="none"/>
              </w:rPr>
              <w:t>)</w:t>
            </w:r>
          </w:p>
        </w:tc>
        <w:tc>
          <w:tcPr>
            <w:tcW w:w="862" w:type="pct"/>
            <w:noWrap/>
            <w:vAlign w:val="center"/>
          </w:tcPr>
          <w:p w14:paraId="3FBD1A82">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占标率%</w:t>
            </w:r>
          </w:p>
        </w:tc>
        <w:tc>
          <w:tcPr>
            <w:tcW w:w="911" w:type="pct"/>
            <w:noWrap/>
            <w:vAlign w:val="center"/>
          </w:tcPr>
          <w:p w14:paraId="70667EEE">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是否超标</w:t>
            </w:r>
          </w:p>
        </w:tc>
      </w:tr>
      <w:tr w14:paraId="5B6CF1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19" w:type="pct"/>
            <w:noWrap w:val="0"/>
            <w:vAlign w:val="center"/>
          </w:tcPr>
          <w:p w14:paraId="1B93A5C3">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SO</w:t>
            </w:r>
            <w:r>
              <w:rPr>
                <w:rFonts w:ascii="Times New Roman" w:hAnsi="Times New Roman"/>
                <w:color w:val="auto"/>
                <w:sz w:val="21"/>
                <w:szCs w:val="21"/>
                <w:highlight w:val="none"/>
                <w:vertAlign w:val="subscript"/>
              </w:rPr>
              <w:t>2</w:t>
            </w:r>
          </w:p>
        </w:tc>
        <w:tc>
          <w:tcPr>
            <w:tcW w:w="1030" w:type="pct"/>
            <w:noWrap/>
            <w:vAlign w:val="center"/>
          </w:tcPr>
          <w:p w14:paraId="2F483D52">
            <w:pPr>
              <w:spacing w:line="240" w:lineRule="auto"/>
              <w:ind w:firstLine="0" w:firstLineChars="0"/>
              <w:jc w:val="center"/>
              <w:rPr>
                <w:rFonts w:ascii="Times New Roman" w:hAnsi="Times New Roman"/>
                <w:color w:val="auto"/>
                <w:sz w:val="21"/>
                <w:szCs w:val="21"/>
                <w:highlight w:val="none"/>
              </w:rPr>
            </w:pPr>
            <w:r>
              <w:rPr>
                <w:rFonts w:hint="eastAsia" w:ascii="Times New Roman" w:hAnsi="Times New Roman"/>
                <w:color w:val="auto"/>
                <w:sz w:val="21"/>
                <w:szCs w:val="21"/>
                <w:highlight w:val="none"/>
                <w:lang w:val="en-US" w:eastAsia="zh-CN"/>
              </w:rPr>
              <w:t>24</w:t>
            </w:r>
            <w:r>
              <w:rPr>
                <w:rFonts w:ascii="Times New Roman" w:hAnsi="Times New Roman"/>
                <w:color w:val="auto"/>
                <w:sz w:val="21"/>
                <w:szCs w:val="21"/>
                <w:highlight w:val="none"/>
              </w:rPr>
              <w:t>小时</w:t>
            </w:r>
          </w:p>
        </w:tc>
        <w:tc>
          <w:tcPr>
            <w:tcW w:w="1375" w:type="pct"/>
            <w:noWrap/>
            <w:vAlign w:val="center"/>
          </w:tcPr>
          <w:p w14:paraId="3B8C642D">
            <w:pPr>
              <w:spacing w:line="240" w:lineRule="auto"/>
              <w:ind w:firstLine="0" w:firstLineChars="0"/>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33.7</w:t>
            </w:r>
          </w:p>
        </w:tc>
        <w:tc>
          <w:tcPr>
            <w:tcW w:w="862" w:type="pct"/>
            <w:noWrap/>
            <w:vAlign w:val="center"/>
          </w:tcPr>
          <w:p w14:paraId="4EC4FB98">
            <w:pPr>
              <w:spacing w:line="240" w:lineRule="auto"/>
              <w:ind w:firstLine="0" w:firstLineChars="0"/>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6.74</w:t>
            </w:r>
          </w:p>
        </w:tc>
        <w:tc>
          <w:tcPr>
            <w:tcW w:w="911" w:type="pct"/>
            <w:noWrap/>
            <w:vAlign w:val="center"/>
          </w:tcPr>
          <w:p w14:paraId="3A8764C2">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达标</w:t>
            </w:r>
          </w:p>
        </w:tc>
      </w:tr>
      <w:tr w14:paraId="6A958D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19" w:type="pct"/>
            <w:noWrap w:val="0"/>
            <w:vAlign w:val="center"/>
          </w:tcPr>
          <w:p w14:paraId="467ADB46">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NO</w:t>
            </w:r>
            <w:r>
              <w:rPr>
                <w:rFonts w:ascii="Times New Roman" w:hAnsi="Times New Roman"/>
                <w:color w:val="auto"/>
                <w:sz w:val="21"/>
                <w:szCs w:val="21"/>
                <w:highlight w:val="none"/>
                <w:vertAlign w:val="subscript"/>
              </w:rPr>
              <w:t>2</w:t>
            </w:r>
          </w:p>
        </w:tc>
        <w:tc>
          <w:tcPr>
            <w:tcW w:w="1030" w:type="pct"/>
            <w:noWrap/>
            <w:vAlign w:val="center"/>
          </w:tcPr>
          <w:p w14:paraId="66C01C00">
            <w:pPr>
              <w:spacing w:line="240" w:lineRule="auto"/>
              <w:ind w:firstLine="0" w:firstLineChars="0"/>
              <w:jc w:val="center"/>
              <w:rPr>
                <w:rFonts w:ascii="Times New Roman" w:hAnsi="Times New Roman"/>
                <w:color w:val="auto"/>
                <w:sz w:val="21"/>
                <w:szCs w:val="21"/>
                <w:highlight w:val="none"/>
              </w:rPr>
            </w:pPr>
            <w:r>
              <w:rPr>
                <w:rFonts w:hint="eastAsia" w:ascii="Times New Roman" w:hAnsi="Times New Roman"/>
                <w:color w:val="auto"/>
                <w:sz w:val="21"/>
                <w:szCs w:val="21"/>
                <w:highlight w:val="none"/>
                <w:lang w:val="en-US" w:eastAsia="zh-CN"/>
              </w:rPr>
              <w:t>24</w:t>
            </w:r>
            <w:r>
              <w:rPr>
                <w:rFonts w:ascii="Times New Roman" w:hAnsi="Times New Roman"/>
                <w:color w:val="auto"/>
                <w:sz w:val="21"/>
                <w:szCs w:val="21"/>
                <w:highlight w:val="none"/>
              </w:rPr>
              <w:t>小时</w:t>
            </w:r>
          </w:p>
        </w:tc>
        <w:tc>
          <w:tcPr>
            <w:tcW w:w="1375" w:type="pct"/>
            <w:noWrap/>
            <w:vAlign w:val="center"/>
          </w:tcPr>
          <w:p w14:paraId="431579D3">
            <w:pPr>
              <w:spacing w:line="240" w:lineRule="auto"/>
              <w:ind w:firstLine="0" w:firstLineChars="0"/>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37.5</w:t>
            </w:r>
          </w:p>
        </w:tc>
        <w:tc>
          <w:tcPr>
            <w:tcW w:w="862" w:type="pct"/>
            <w:noWrap/>
            <w:vAlign w:val="center"/>
          </w:tcPr>
          <w:p w14:paraId="2EE27C42">
            <w:pPr>
              <w:spacing w:line="240" w:lineRule="auto"/>
              <w:ind w:firstLine="0" w:firstLineChars="0"/>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15</w:t>
            </w:r>
          </w:p>
        </w:tc>
        <w:tc>
          <w:tcPr>
            <w:tcW w:w="911" w:type="pct"/>
            <w:noWrap/>
            <w:vAlign w:val="center"/>
          </w:tcPr>
          <w:p w14:paraId="31D4C9E0">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达标</w:t>
            </w:r>
          </w:p>
        </w:tc>
      </w:tr>
      <w:tr w14:paraId="38CC52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19" w:type="pct"/>
            <w:noWrap w:val="0"/>
            <w:vAlign w:val="center"/>
          </w:tcPr>
          <w:p w14:paraId="047CE0AE">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PM</w:t>
            </w:r>
            <w:r>
              <w:rPr>
                <w:rFonts w:ascii="Times New Roman" w:hAnsi="Times New Roman"/>
                <w:color w:val="auto"/>
                <w:sz w:val="21"/>
                <w:szCs w:val="21"/>
                <w:highlight w:val="none"/>
                <w:vertAlign w:val="subscript"/>
              </w:rPr>
              <w:t>10</w:t>
            </w:r>
          </w:p>
        </w:tc>
        <w:tc>
          <w:tcPr>
            <w:tcW w:w="1030" w:type="pct"/>
            <w:noWrap/>
            <w:vAlign w:val="center"/>
          </w:tcPr>
          <w:p w14:paraId="6BCBA1CA">
            <w:pPr>
              <w:spacing w:line="240" w:lineRule="auto"/>
              <w:ind w:firstLine="0" w:firstLineChars="0"/>
              <w:jc w:val="center"/>
              <w:rPr>
                <w:rFonts w:ascii="Times New Roman" w:hAnsi="Times New Roman"/>
                <w:color w:val="auto"/>
                <w:sz w:val="21"/>
                <w:szCs w:val="21"/>
                <w:highlight w:val="none"/>
              </w:rPr>
            </w:pPr>
            <w:r>
              <w:rPr>
                <w:rFonts w:hint="eastAsia" w:ascii="Times New Roman" w:hAnsi="Times New Roman"/>
                <w:color w:val="auto"/>
                <w:sz w:val="21"/>
                <w:szCs w:val="21"/>
                <w:highlight w:val="none"/>
                <w:lang w:val="en-US" w:eastAsia="zh-CN"/>
              </w:rPr>
              <w:t>24</w:t>
            </w:r>
            <w:r>
              <w:rPr>
                <w:rFonts w:ascii="Times New Roman" w:hAnsi="Times New Roman"/>
                <w:color w:val="auto"/>
                <w:sz w:val="21"/>
                <w:szCs w:val="21"/>
                <w:highlight w:val="none"/>
              </w:rPr>
              <w:t>小时</w:t>
            </w:r>
          </w:p>
        </w:tc>
        <w:tc>
          <w:tcPr>
            <w:tcW w:w="1375" w:type="pct"/>
            <w:noWrap/>
            <w:vAlign w:val="center"/>
          </w:tcPr>
          <w:p w14:paraId="5446FBE0">
            <w:pPr>
              <w:spacing w:line="240" w:lineRule="auto"/>
              <w:ind w:firstLine="0" w:firstLineChars="0"/>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13.3</w:t>
            </w:r>
          </w:p>
        </w:tc>
        <w:tc>
          <w:tcPr>
            <w:tcW w:w="862" w:type="pct"/>
            <w:noWrap/>
            <w:vAlign w:val="center"/>
          </w:tcPr>
          <w:p w14:paraId="2890FCD3">
            <w:pPr>
              <w:spacing w:line="240" w:lineRule="auto"/>
              <w:ind w:firstLine="0" w:firstLineChars="0"/>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2.95</w:t>
            </w:r>
          </w:p>
        </w:tc>
        <w:tc>
          <w:tcPr>
            <w:tcW w:w="911" w:type="pct"/>
            <w:noWrap/>
            <w:vAlign w:val="center"/>
          </w:tcPr>
          <w:p w14:paraId="1D4414ED">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达标</w:t>
            </w:r>
          </w:p>
        </w:tc>
      </w:tr>
    </w:tbl>
    <w:p w14:paraId="54DFEFF9">
      <w:pPr>
        <w:ind w:firstLine="480"/>
        <w:rPr>
          <w:rFonts w:ascii="Times New Roman" w:hAnsi="Times New Roman"/>
          <w:color w:val="auto"/>
          <w:highlight w:val="none"/>
        </w:rPr>
      </w:pPr>
      <w:r>
        <w:rPr>
          <w:rFonts w:ascii="Times New Roman" w:hAnsi="Times New Roman"/>
          <w:color w:val="auto"/>
          <w:highlight w:val="none"/>
        </w:rPr>
        <w:t>由表5.2-</w:t>
      </w:r>
      <w:r>
        <w:rPr>
          <w:rFonts w:hint="eastAsia" w:ascii="Times New Roman" w:hAnsi="Times New Roman"/>
          <w:color w:val="auto"/>
          <w:highlight w:val="none"/>
          <w:lang w:val="en-US" w:eastAsia="zh-CN"/>
        </w:rPr>
        <w:t>20</w:t>
      </w:r>
      <w:r>
        <w:rPr>
          <w:rFonts w:ascii="Times New Roman" w:hAnsi="Times New Roman"/>
          <w:color w:val="auto"/>
          <w:highlight w:val="none"/>
        </w:rPr>
        <w:t>可知，在除尘器布袋破损、脱硫塔设备故障及脱硝系统不能投运的非正常工况下，污染物区域最大浓度点标贡献浓度占标率均小于100%，可以达到《环境空气质量标准》（GB3095-2012）及修改单中限值要求。要求企业也应时刻关注环保设施的运行状况，避免非正常工况的发生。</w:t>
      </w:r>
    </w:p>
    <w:p w14:paraId="0045779E">
      <w:pPr>
        <w:ind w:firstLine="480"/>
        <w:rPr>
          <w:rFonts w:ascii="Times New Roman" w:hAnsi="Times New Roman"/>
          <w:color w:val="auto"/>
          <w:highlight w:val="none"/>
        </w:rPr>
      </w:pPr>
      <w:r>
        <w:rPr>
          <w:rFonts w:ascii="Times New Roman" w:hAnsi="Times New Roman"/>
          <w:color w:val="auto"/>
          <w:highlight w:val="none"/>
        </w:rPr>
        <w:t>4、大气环境防护距离</w:t>
      </w:r>
    </w:p>
    <w:p w14:paraId="7649DB19">
      <w:pPr>
        <w:ind w:firstLine="480"/>
        <w:rPr>
          <w:rFonts w:ascii="Times New Roman" w:hAnsi="Times New Roman"/>
          <w:color w:val="auto"/>
          <w:highlight w:val="none"/>
        </w:rPr>
      </w:pPr>
      <w:r>
        <w:rPr>
          <w:rFonts w:ascii="Times New Roman" w:hAnsi="Times New Roman"/>
          <w:color w:val="auto"/>
          <w:highlight w:val="none"/>
        </w:rPr>
        <w:t>根据《环境影响评价技术导则 大气环境》(HJ2.2-2018)，采用其中规定的进一步预测模型计算</w:t>
      </w:r>
      <w:r>
        <w:rPr>
          <w:rFonts w:hint="eastAsia" w:ascii="Times New Roman" w:hAnsi="Times New Roman"/>
          <w:color w:val="auto"/>
          <w:highlight w:val="none"/>
        </w:rPr>
        <w:t>全厂</w:t>
      </w:r>
      <w:r>
        <w:rPr>
          <w:rFonts w:ascii="Times New Roman" w:hAnsi="Times New Roman"/>
          <w:color w:val="auto"/>
          <w:highlight w:val="none"/>
        </w:rPr>
        <w:t>所有污染源短期贡献浓度，</w:t>
      </w:r>
      <w:r>
        <w:rPr>
          <w:rFonts w:hint="eastAsia" w:ascii="Times New Roman" w:hAnsi="Times New Roman"/>
          <w:color w:val="auto"/>
          <w:highlight w:val="none"/>
          <w:lang w:val="en-US" w:eastAsia="zh-CN"/>
        </w:rPr>
        <w:t>通过软件</w:t>
      </w:r>
      <w:r>
        <w:rPr>
          <w:rFonts w:ascii="Times New Roman" w:hAnsi="Times New Roman"/>
          <w:color w:val="auto"/>
          <w:highlight w:val="none"/>
        </w:rPr>
        <w:t>计算结果表明，本项目所有污染源短期贡献浓度无超标点，不需设置大气环境防护距离。</w:t>
      </w:r>
    </w:p>
    <w:p w14:paraId="624C6108">
      <w:pPr>
        <w:ind w:firstLine="480"/>
        <w:rPr>
          <w:rFonts w:ascii="Times New Roman" w:hAnsi="Times New Roman"/>
          <w:color w:val="auto"/>
          <w:highlight w:val="none"/>
        </w:rPr>
      </w:pPr>
      <w:r>
        <w:rPr>
          <w:rFonts w:ascii="Times New Roman" w:hAnsi="Times New Roman"/>
          <w:color w:val="auto"/>
          <w:highlight w:val="none"/>
        </w:rPr>
        <w:t>5、氨逃逸环境影响分析</w:t>
      </w:r>
    </w:p>
    <w:p w14:paraId="0D421D20">
      <w:pPr>
        <w:ind w:firstLine="480"/>
        <w:rPr>
          <w:rFonts w:ascii="Times New Roman" w:hAnsi="Times New Roman"/>
          <w:color w:val="auto"/>
          <w:highlight w:val="none"/>
        </w:rPr>
      </w:pPr>
      <w:r>
        <w:rPr>
          <w:rFonts w:ascii="Times New Roman" w:hAnsi="Times New Roman"/>
          <w:color w:val="auto"/>
          <w:highlight w:val="none"/>
        </w:rPr>
        <w:t>根据《火电厂脱硝工程技术规范选择性催化还原法》要求脱硝系统氨逃逸质量浓度应分别控制在2.5mg/m</w:t>
      </w:r>
      <w:r>
        <w:rPr>
          <w:rFonts w:ascii="Times New Roman" w:hAnsi="Times New Roman"/>
          <w:color w:val="auto"/>
          <w:highlight w:val="none"/>
          <w:vertAlign w:val="superscript"/>
        </w:rPr>
        <w:t>3</w:t>
      </w:r>
      <w:r>
        <w:rPr>
          <w:rFonts w:ascii="Times New Roman" w:hAnsi="Times New Roman"/>
          <w:color w:val="auto"/>
          <w:highlight w:val="none"/>
        </w:rPr>
        <w:t>以下，可保证厂界氨的浓度可以满足《恶臭污染物排放标准》（GB14554-93）中厂界标准二级（新扩改建）限值1.5mg/m</w:t>
      </w:r>
      <w:r>
        <w:rPr>
          <w:rFonts w:ascii="Times New Roman" w:hAnsi="Times New Roman"/>
          <w:color w:val="auto"/>
          <w:highlight w:val="none"/>
          <w:vertAlign w:val="superscript"/>
        </w:rPr>
        <w:t>3</w:t>
      </w:r>
      <w:r>
        <w:rPr>
          <w:rFonts w:ascii="Times New Roman" w:hAnsi="Times New Roman"/>
          <w:color w:val="auto"/>
          <w:highlight w:val="none"/>
        </w:rPr>
        <w:t>的要求，因此本项目产生的氨逃逸不会对周围环境产生影响。</w:t>
      </w:r>
    </w:p>
    <w:p w14:paraId="01285A15">
      <w:pPr>
        <w:ind w:firstLine="480"/>
        <w:rPr>
          <w:rFonts w:ascii="Times New Roman" w:hAnsi="Times New Roman"/>
          <w:color w:val="auto"/>
          <w:highlight w:val="none"/>
        </w:rPr>
      </w:pPr>
      <w:r>
        <w:rPr>
          <w:rFonts w:ascii="Times New Roman" w:hAnsi="Times New Roman"/>
          <w:color w:val="auto"/>
          <w:highlight w:val="none"/>
        </w:rPr>
        <w:t>6、区域环境质量变化评价</w:t>
      </w:r>
    </w:p>
    <w:p w14:paraId="5E5CD186">
      <w:pPr>
        <w:ind w:firstLine="480"/>
        <w:rPr>
          <w:rFonts w:ascii="Times New Roman" w:hAnsi="Times New Roman"/>
          <w:color w:val="auto"/>
          <w:highlight w:val="none"/>
        </w:rPr>
      </w:pPr>
      <w:r>
        <w:rPr>
          <w:rFonts w:ascii="Times New Roman" w:hAnsi="Times New Roman"/>
          <w:color w:val="auto"/>
          <w:highlight w:val="none"/>
        </w:rPr>
        <w:t>本项目</w:t>
      </w:r>
      <w:r>
        <w:rPr>
          <w:rFonts w:hint="eastAsia" w:ascii="Times New Roman" w:hAnsi="Times New Roman"/>
          <w:color w:val="auto"/>
          <w:highlight w:val="none"/>
          <w:lang w:val="en-US" w:eastAsia="zh-CN"/>
        </w:rPr>
        <w:t>无</w:t>
      </w:r>
      <w:r>
        <w:rPr>
          <w:rFonts w:ascii="Times New Roman" w:hAnsi="Times New Roman"/>
          <w:color w:val="auto"/>
          <w:highlight w:val="none"/>
        </w:rPr>
        <w:t>区域削减</w:t>
      </w:r>
      <w:r>
        <w:rPr>
          <w:rFonts w:hint="eastAsia" w:ascii="Times New Roman" w:hAnsi="Times New Roman"/>
          <w:color w:val="auto"/>
          <w:highlight w:val="none"/>
          <w:lang w:val="en-US" w:eastAsia="zh-CN"/>
        </w:rPr>
        <w:t>污染源</w:t>
      </w:r>
      <w:r>
        <w:rPr>
          <w:rFonts w:ascii="Times New Roman" w:hAnsi="Times New Roman"/>
          <w:color w:val="auto"/>
          <w:highlight w:val="none"/>
        </w:rPr>
        <w:t>。</w:t>
      </w:r>
      <w:r>
        <w:rPr>
          <w:rFonts w:hint="eastAsia" w:ascii="Times New Roman" w:hAnsi="Times New Roman"/>
          <w:color w:val="auto"/>
          <w:highlight w:val="none"/>
          <w:lang w:val="en-US" w:eastAsia="zh-CN"/>
        </w:rPr>
        <w:t>本项目已执行超低排放改造</w:t>
      </w:r>
      <w:r>
        <w:rPr>
          <w:rFonts w:ascii="Times New Roman" w:hAnsi="Times New Roman"/>
          <w:color w:val="auto"/>
          <w:highlight w:val="none"/>
        </w:rPr>
        <w:t>，可判定项目建设后区域环境质量得到整体改善。</w:t>
      </w:r>
    </w:p>
    <w:p w14:paraId="4D94DA2B">
      <w:pPr>
        <w:ind w:firstLine="480"/>
        <w:rPr>
          <w:rFonts w:ascii="Times New Roman" w:hAnsi="Times New Roman"/>
          <w:color w:val="auto"/>
          <w:highlight w:val="none"/>
        </w:rPr>
      </w:pPr>
      <w:r>
        <w:rPr>
          <w:rFonts w:ascii="Times New Roman" w:hAnsi="Times New Roman"/>
          <w:color w:val="auto"/>
          <w:highlight w:val="none"/>
        </w:rPr>
        <w:t>三、污染物排放量核算</w:t>
      </w:r>
    </w:p>
    <w:p w14:paraId="532AF9F0">
      <w:pPr>
        <w:ind w:firstLine="480"/>
        <w:rPr>
          <w:rFonts w:ascii="Times New Roman" w:hAnsi="Times New Roman"/>
          <w:color w:val="auto"/>
          <w:highlight w:val="none"/>
        </w:rPr>
      </w:pPr>
      <w:r>
        <w:rPr>
          <w:rFonts w:ascii="Times New Roman" w:hAnsi="Times New Roman"/>
          <w:color w:val="auto"/>
          <w:highlight w:val="none"/>
        </w:rPr>
        <w:t>本项目污染物排放量核算情况见表5.2-</w:t>
      </w:r>
      <w:r>
        <w:rPr>
          <w:rFonts w:hint="eastAsia" w:ascii="Times New Roman" w:hAnsi="Times New Roman"/>
          <w:color w:val="auto"/>
          <w:highlight w:val="none"/>
        </w:rPr>
        <w:t>2</w:t>
      </w:r>
      <w:r>
        <w:rPr>
          <w:rFonts w:hint="eastAsia" w:ascii="Times New Roman" w:hAnsi="Times New Roman"/>
          <w:color w:val="auto"/>
          <w:highlight w:val="none"/>
          <w:lang w:val="en-US" w:eastAsia="zh-CN"/>
        </w:rPr>
        <w:t>1</w:t>
      </w:r>
      <w:r>
        <w:rPr>
          <w:rFonts w:ascii="Times New Roman" w:hAnsi="Times New Roman"/>
          <w:color w:val="auto"/>
          <w:highlight w:val="none"/>
        </w:rPr>
        <w:t>至表5.2-</w:t>
      </w:r>
      <w:r>
        <w:rPr>
          <w:rFonts w:hint="eastAsia" w:ascii="Times New Roman" w:hAnsi="Times New Roman"/>
          <w:color w:val="auto"/>
          <w:highlight w:val="none"/>
        </w:rPr>
        <w:t>2</w:t>
      </w:r>
      <w:r>
        <w:rPr>
          <w:rFonts w:hint="eastAsia" w:ascii="Times New Roman" w:hAnsi="Times New Roman"/>
          <w:color w:val="auto"/>
          <w:highlight w:val="none"/>
          <w:lang w:val="en-US" w:eastAsia="zh-CN"/>
        </w:rPr>
        <w:t>3</w:t>
      </w:r>
      <w:r>
        <w:rPr>
          <w:rFonts w:hint="eastAsia" w:ascii="Times New Roman" w:hAnsi="Times New Roman"/>
          <w:color w:val="auto"/>
          <w:highlight w:val="none"/>
        </w:rPr>
        <w:t>。</w:t>
      </w:r>
    </w:p>
    <w:p w14:paraId="67ED8E55">
      <w:pPr>
        <w:ind w:firstLine="0" w:firstLineChars="0"/>
        <w:jc w:val="center"/>
        <w:rPr>
          <w:rFonts w:ascii="Times New Roman" w:hAnsi="Times New Roman"/>
          <w:color w:val="auto"/>
          <w:highlight w:val="none"/>
        </w:rPr>
      </w:pPr>
      <w:r>
        <w:rPr>
          <w:rFonts w:hint="eastAsia" w:ascii="黑体" w:hAnsi="黑体" w:eastAsia="黑体" w:cs="黑体"/>
          <w:color w:val="auto"/>
          <w:highlight w:val="none"/>
        </w:rPr>
        <w:t>表</w:t>
      </w:r>
      <w:r>
        <w:rPr>
          <w:rFonts w:ascii="Times New Roman" w:hAnsi="Times New Roman"/>
          <w:color w:val="auto"/>
          <w:highlight w:val="none"/>
        </w:rPr>
        <w:t>5.2-</w:t>
      </w:r>
      <w:r>
        <w:rPr>
          <w:rFonts w:hint="eastAsia" w:ascii="Times New Roman" w:hAnsi="Times New Roman"/>
          <w:color w:val="auto"/>
          <w:highlight w:val="none"/>
        </w:rPr>
        <w:t>2</w:t>
      </w:r>
      <w:r>
        <w:rPr>
          <w:rFonts w:hint="eastAsia" w:ascii="Times New Roman" w:hAnsi="Times New Roman"/>
          <w:color w:val="auto"/>
          <w:highlight w:val="none"/>
          <w:lang w:val="en-US" w:eastAsia="zh-CN"/>
        </w:rPr>
        <w:t>1</w:t>
      </w:r>
      <w:r>
        <w:rPr>
          <w:rFonts w:hint="eastAsia" w:ascii="黑体" w:hAnsi="黑体" w:eastAsia="黑体" w:cs="黑体"/>
          <w:color w:val="auto"/>
          <w:highlight w:val="none"/>
        </w:rPr>
        <w:t>本项目大气污染物有组织排放量核算表</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31"/>
        <w:gridCol w:w="2083"/>
        <w:gridCol w:w="1251"/>
        <w:gridCol w:w="1421"/>
        <w:gridCol w:w="1421"/>
        <w:gridCol w:w="1415"/>
      </w:tblGrid>
      <w:tr w14:paraId="417687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6" w:type="pct"/>
            <w:noWrap w:val="0"/>
            <w:vAlign w:val="center"/>
          </w:tcPr>
          <w:p w14:paraId="3CBFA8D4">
            <w:pPr>
              <w:adjustRightInd w:val="0"/>
              <w:snapToGrid w:val="0"/>
              <w:spacing w:line="240" w:lineRule="auto"/>
              <w:ind w:firstLine="0" w:firstLineChars="0"/>
              <w:jc w:val="center"/>
              <w:rPr>
                <w:rFonts w:ascii="Times New Roman" w:hAnsi="Times New Roman"/>
                <w:bCs/>
                <w:color w:val="auto"/>
                <w:kern w:val="0"/>
                <w:sz w:val="21"/>
                <w:szCs w:val="21"/>
                <w:highlight w:val="none"/>
              </w:rPr>
            </w:pPr>
            <w:r>
              <w:rPr>
                <w:rFonts w:ascii="Times New Roman" w:hAnsi="Times New Roman"/>
                <w:bCs/>
                <w:color w:val="auto"/>
                <w:kern w:val="0"/>
                <w:sz w:val="21"/>
                <w:szCs w:val="21"/>
                <w:highlight w:val="none"/>
              </w:rPr>
              <w:t>序号</w:t>
            </w:r>
          </w:p>
        </w:tc>
        <w:tc>
          <w:tcPr>
            <w:tcW w:w="1222" w:type="pct"/>
            <w:noWrap w:val="0"/>
            <w:vAlign w:val="center"/>
          </w:tcPr>
          <w:p w14:paraId="46AA8C79">
            <w:pPr>
              <w:adjustRightInd w:val="0"/>
              <w:snapToGrid w:val="0"/>
              <w:spacing w:line="240" w:lineRule="auto"/>
              <w:ind w:firstLine="0" w:firstLineChars="0"/>
              <w:jc w:val="center"/>
              <w:rPr>
                <w:rFonts w:ascii="Times New Roman" w:hAnsi="Times New Roman"/>
                <w:bCs/>
                <w:color w:val="auto"/>
                <w:kern w:val="0"/>
                <w:sz w:val="21"/>
                <w:szCs w:val="21"/>
                <w:highlight w:val="none"/>
              </w:rPr>
            </w:pPr>
            <w:r>
              <w:rPr>
                <w:rFonts w:ascii="Times New Roman" w:hAnsi="Times New Roman"/>
                <w:bCs/>
                <w:color w:val="auto"/>
                <w:kern w:val="0"/>
                <w:sz w:val="21"/>
                <w:szCs w:val="21"/>
                <w:highlight w:val="none"/>
              </w:rPr>
              <w:t>排放口编号</w:t>
            </w:r>
          </w:p>
        </w:tc>
        <w:tc>
          <w:tcPr>
            <w:tcW w:w="734" w:type="pct"/>
            <w:noWrap w:val="0"/>
            <w:vAlign w:val="center"/>
          </w:tcPr>
          <w:p w14:paraId="73C36368">
            <w:pPr>
              <w:adjustRightInd w:val="0"/>
              <w:snapToGrid w:val="0"/>
              <w:spacing w:line="240" w:lineRule="auto"/>
              <w:ind w:firstLine="0" w:firstLineChars="0"/>
              <w:jc w:val="center"/>
              <w:rPr>
                <w:rFonts w:ascii="Times New Roman" w:hAnsi="Times New Roman"/>
                <w:bCs/>
                <w:color w:val="auto"/>
                <w:kern w:val="0"/>
                <w:sz w:val="21"/>
                <w:szCs w:val="21"/>
                <w:highlight w:val="none"/>
              </w:rPr>
            </w:pPr>
            <w:r>
              <w:rPr>
                <w:rFonts w:ascii="Times New Roman" w:hAnsi="Times New Roman"/>
                <w:bCs/>
                <w:color w:val="auto"/>
                <w:kern w:val="0"/>
                <w:sz w:val="21"/>
                <w:szCs w:val="21"/>
                <w:highlight w:val="none"/>
              </w:rPr>
              <w:t>污染物</w:t>
            </w:r>
          </w:p>
        </w:tc>
        <w:tc>
          <w:tcPr>
            <w:tcW w:w="834" w:type="pct"/>
            <w:noWrap w:val="0"/>
            <w:vAlign w:val="center"/>
          </w:tcPr>
          <w:p w14:paraId="6509E535">
            <w:pPr>
              <w:adjustRightInd w:val="0"/>
              <w:snapToGrid w:val="0"/>
              <w:spacing w:line="240" w:lineRule="auto"/>
              <w:ind w:firstLine="0" w:firstLineChars="0"/>
              <w:jc w:val="center"/>
              <w:rPr>
                <w:rFonts w:ascii="Times New Roman" w:hAnsi="Times New Roman"/>
                <w:bCs/>
                <w:color w:val="auto"/>
                <w:kern w:val="0"/>
                <w:sz w:val="21"/>
                <w:szCs w:val="21"/>
                <w:highlight w:val="none"/>
              </w:rPr>
            </w:pPr>
            <w:r>
              <w:rPr>
                <w:rFonts w:ascii="Times New Roman" w:hAnsi="Times New Roman"/>
                <w:bCs/>
                <w:color w:val="auto"/>
                <w:kern w:val="0"/>
                <w:sz w:val="21"/>
                <w:szCs w:val="21"/>
                <w:highlight w:val="none"/>
              </w:rPr>
              <w:t>核算排放浓度/（mg/m</w:t>
            </w:r>
            <w:r>
              <w:rPr>
                <w:rFonts w:ascii="Times New Roman" w:hAnsi="Times New Roman"/>
                <w:bCs/>
                <w:color w:val="auto"/>
                <w:kern w:val="0"/>
                <w:sz w:val="21"/>
                <w:szCs w:val="21"/>
                <w:highlight w:val="none"/>
                <w:vertAlign w:val="superscript"/>
              </w:rPr>
              <w:t>3</w:t>
            </w:r>
            <w:r>
              <w:rPr>
                <w:rFonts w:ascii="Times New Roman" w:hAnsi="Times New Roman"/>
                <w:bCs/>
                <w:color w:val="auto"/>
                <w:kern w:val="0"/>
                <w:sz w:val="21"/>
                <w:szCs w:val="21"/>
                <w:highlight w:val="none"/>
              </w:rPr>
              <w:t>）</w:t>
            </w:r>
          </w:p>
        </w:tc>
        <w:tc>
          <w:tcPr>
            <w:tcW w:w="834" w:type="pct"/>
            <w:noWrap w:val="0"/>
            <w:vAlign w:val="center"/>
          </w:tcPr>
          <w:p w14:paraId="24034ECA">
            <w:pPr>
              <w:adjustRightInd w:val="0"/>
              <w:snapToGrid w:val="0"/>
              <w:spacing w:line="240" w:lineRule="auto"/>
              <w:ind w:firstLine="0" w:firstLineChars="0"/>
              <w:jc w:val="center"/>
              <w:rPr>
                <w:rFonts w:ascii="Times New Roman" w:hAnsi="Times New Roman"/>
                <w:bCs/>
                <w:color w:val="auto"/>
                <w:kern w:val="0"/>
                <w:sz w:val="21"/>
                <w:szCs w:val="21"/>
                <w:highlight w:val="none"/>
              </w:rPr>
            </w:pPr>
            <w:r>
              <w:rPr>
                <w:rFonts w:ascii="Times New Roman" w:hAnsi="Times New Roman"/>
                <w:bCs/>
                <w:color w:val="auto"/>
                <w:kern w:val="0"/>
                <w:sz w:val="21"/>
                <w:szCs w:val="21"/>
                <w:highlight w:val="none"/>
              </w:rPr>
              <w:t>核算排放速率/（kg/h）</w:t>
            </w:r>
          </w:p>
        </w:tc>
        <w:tc>
          <w:tcPr>
            <w:tcW w:w="830" w:type="pct"/>
            <w:noWrap w:val="0"/>
            <w:vAlign w:val="center"/>
          </w:tcPr>
          <w:p w14:paraId="6D7A6A65">
            <w:pPr>
              <w:adjustRightInd w:val="0"/>
              <w:snapToGrid w:val="0"/>
              <w:spacing w:line="240" w:lineRule="auto"/>
              <w:ind w:firstLine="0" w:firstLineChars="0"/>
              <w:jc w:val="center"/>
              <w:rPr>
                <w:rFonts w:ascii="Times New Roman" w:hAnsi="Times New Roman"/>
                <w:bCs/>
                <w:color w:val="auto"/>
                <w:kern w:val="0"/>
                <w:sz w:val="21"/>
                <w:szCs w:val="21"/>
                <w:highlight w:val="none"/>
              </w:rPr>
            </w:pPr>
            <w:r>
              <w:rPr>
                <w:rFonts w:ascii="Times New Roman" w:hAnsi="Times New Roman"/>
                <w:bCs/>
                <w:color w:val="auto"/>
                <w:kern w:val="0"/>
                <w:sz w:val="21"/>
                <w:szCs w:val="21"/>
                <w:highlight w:val="none"/>
              </w:rPr>
              <w:t>核算年排放量/（t/a）</w:t>
            </w:r>
          </w:p>
        </w:tc>
      </w:tr>
      <w:tr w14:paraId="682D0A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noWrap w:val="0"/>
            <w:vAlign w:val="center"/>
          </w:tcPr>
          <w:p w14:paraId="4ACAEF9F">
            <w:pPr>
              <w:adjustRightInd w:val="0"/>
              <w:snapToGrid w:val="0"/>
              <w:spacing w:line="240" w:lineRule="auto"/>
              <w:ind w:firstLine="0" w:firstLineChars="0"/>
              <w:jc w:val="center"/>
              <w:rPr>
                <w:rFonts w:ascii="Times New Roman" w:hAnsi="Times New Roman"/>
                <w:bCs/>
                <w:color w:val="auto"/>
                <w:kern w:val="0"/>
                <w:sz w:val="21"/>
                <w:szCs w:val="21"/>
                <w:highlight w:val="none"/>
              </w:rPr>
            </w:pPr>
            <w:r>
              <w:rPr>
                <w:rFonts w:ascii="Times New Roman" w:hAnsi="Times New Roman"/>
                <w:bCs/>
                <w:color w:val="auto"/>
                <w:kern w:val="0"/>
                <w:sz w:val="21"/>
                <w:szCs w:val="21"/>
                <w:highlight w:val="none"/>
              </w:rPr>
              <w:t>主要排放口</w:t>
            </w:r>
          </w:p>
        </w:tc>
      </w:tr>
      <w:tr w14:paraId="5C3337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6" w:type="pct"/>
            <w:noWrap w:val="0"/>
            <w:vAlign w:val="center"/>
          </w:tcPr>
          <w:p w14:paraId="56E0390A">
            <w:pPr>
              <w:adjustRightInd w:val="0"/>
              <w:snapToGrid w:val="0"/>
              <w:spacing w:line="240" w:lineRule="auto"/>
              <w:ind w:firstLine="0" w:firstLineChars="0"/>
              <w:jc w:val="center"/>
              <w:rPr>
                <w:rFonts w:ascii="Times New Roman" w:hAnsi="Times New Roman"/>
                <w:bCs/>
                <w:color w:val="auto"/>
                <w:kern w:val="0"/>
                <w:sz w:val="21"/>
                <w:szCs w:val="21"/>
                <w:highlight w:val="none"/>
              </w:rPr>
            </w:pPr>
            <w:r>
              <w:rPr>
                <w:rFonts w:ascii="Times New Roman" w:hAnsi="Times New Roman"/>
                <w:bCs/>
                <w:color w:val="auto"/>
                <w:kern w:val="0"/>
                <w:sz w:val="21"/>
                <w:szCs w:val="21"/>
                <w:highlight w:val="none"/>
              </w:rPr>
              <w:t>1</w:t>
            </w:r>
          </w:p>
        </w:tc>
        <w:tc>
          <w:tcPr>
            <w:tcW w:w="1222" w:type="pct"/>
            <w:vMerge w:val="restart"/>
            <w:noWrap w:val="0"/>
            <w:vAlign w:val="center"/>
          </w:tcPr>
          <w:p w14:paraId="1D646605">
            <w:pPr>
              <w:adjustRightInd w:val="0"/>
              <w:snapToGrid w:val="0"/>
              <w:spacing w:line="240" w:lineRule="auto"/>
              <w:ind w:firstLine="0" w:firstLineChars="0"/>
              <w:jc w:val="center"/>
              <w:rPr>
                <w:rFonts w:ascii="Times New Roman" w:hAnsi="Times New Roman"/>
                <w:bCs/>
                <w:color w:val="auto"/>
                <w:kern w:val="0"/>
                <w:sz w:val="21"/>
                <w:szCs w:val="21"/>
                <w:highlight w:val="none"/>
              </w:rPr>
            </w:pPr>
            <w:r>
              <w:rPr>
                <w:rFonts w:ascii="Times New Roman" w:hAnsi="Times New Roman"/>
                <w:bCs/>
                <w:color w:val="auto"/>
                <w:kern w:val="0"/>
                <w:sz w:val="21"/>
                <w:szCs w:val="21"/>
                <w:highlight w:val="none"/>
              </w:rPr>
              <w:t>DA00</w:t>
            </w:r>
            <w:r>
              <w:rPr>
                <w:rFonts w:hint="eastAsia" w:ascii="Times New Roman" w:hAnsi="Times New Roman"/>
                <w:bCs/>
                <w:color w:val="auto"/>
                <w:kern w:val="0"/>
                <w:sz w:val="21"/>
                <w:szCs w:val="21"/>
                <w:highlight w:val="none"/>
                <w:lang w:val="en-US" w:eastAsia="zh-CN"/>
              </w:rPr>
              <w:t>1</w:t>
            </w:r>
            <w:r>
              <w:rPr>
                <w:rFonts w:ascii="Times New Roman" w:hAnsi="Times New Roman"/>
                <w:bCs/>
                <w:color w:val="auto"/>
                <w:kern w:val="0"/>
                <w:sz w:val="21"/>
                <w:szCs w:val="21"/>
                <w:highlight w:val="none"/>
              </w:rPr>
              <w:t>（烟囱）</w:t>
            </w:r>
          </w:p>
        </w:tc>
        <w:tc>
          <w:tcPr>
            <w:tcW w:w="734" w:type="pct"/>
            <w:noWrap w:val="0"/>
            <w:vAlign w:val="center"/>
          </w:tcPr>
          <w:p w14:paraId="51AE1166">
            <w:pPr>
              <w:adjustRightInd w:val="0"/>
              <w:snapToGrid w:val="0"/>
              <w:spacing w:line="240" w:lineRule="auto"/>
              <w:ind w:firstLine="0" w:firstLineChars="0"/>
              <w:jc w:val="center"/>
              <w:rPr>
                <w:rFonts w:ascii="Times New Roman" w:hAnsi="Times New Roman"/>
                <w:bCs/>
                <w:color w:val="auto"/>
                <w:kern w:val="0"/>
                <w:sz w:val="21"/>
                <w:szCs w:val="21"/>
                <w:highlight w:val="none"/>
              </w:rPr>
            </w:pPr>
            <w:r>
              <w:rPr>
                <w:rFonts w:ascii="Times New Roman" w:hAnsi="Times New Roman"/>
                <w:bCs/>
                <w:color w:val="auto"/>
                <w:kern w:val="0"/>
                <w:sz w:val="21"/>
                <w:szCs w:val="21"/>
                <w:highlight w:val="none"/>
              </w:rPr>
              <w:t>烟尘</w:t>
            </w:r>
          </w:p>
        </w:tc>
        <w:tc>
          <w:tcPr>
            <w:tcW w:w="834" w:type="pct"/>
            <w:noWrap w:val="0"/>
            <w:vAlign w:val="center"/>
          </w:tcPr>
          <w:p w14:paraId="487EB650">
            <w:pPr>
              <w:spacing w:line="240" w:lineRule="auto"/>
              <w:ind w:firstLine="0" w:firstLineChars="0"/>
              <w:jc w:val="center"/>
              <w:rPr>
                <w:rFonts w:ascii="Times New Roman" w:hAnsi="Times New Roman"/>
                <w:color w:val="auto"/>
                <w:kern w:val="0"/>
                <w:sz w:val="21"/>
                <w:szCs w:val="21"/>
                <w:highlight w:val="none"/>
              </w:rPr>
            </w:pPr>
            <w:r>
              <w:rPr>
                <w:rFonts w:hint="eastAsia" w:ascii="Times New Roman" w:hAnsi="Times New Roman"/>
                <w:color w:val="auto"/>
                <w:sz w:val="21"/>
                <w:szCs w:val="21"/>
                <w:highlight w:val="none"/>
              </w:rPr>
              <w:t>10</w:t>
            </w:r>
          </w:p>
        </w:tc>
        <w:tc>
          <w:tcPr>
            <w:tcW w:w="1421" w:type="dxa"/>
            <w:noWrap w:val="0"/>
            <w:vAlign w:val="center"/>
          </w:tcPr>
          <w:p w14:paraId="03A9EF8F">
            <w:pPr>
              <w:adjustRightInd w:val="0"/>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1.57</w:t>
            </w:r>
          </w:p>
        </w:tc>
        <w:tc>
          <w:tcPr>
            <w:tcW w:w="830" w:type="pct"/>
            <w:noWrap w:val="0"/>
            <w:vAlign w:val="center"/>
          </w:tcPr>
          <w:p w14:paraId="1A9DF607">
            <w:pPr>
              <w:adjustRightInd w:val="0"/>
              <w:spacing w:line="240" w:lineRule="auto"/>
              <w:ind w:firstLine="0" w:firstLineChars="0"/>
              <w:jc w:val="center"/>
              <w:textAlignment w:val="center"/>
              <w:rPr>
                <w:rFonts w:hint="default" w:ascii="Times New Roman" w:hAnsi="Times New Roman" w:eastAsia="宋体"/>
                <w:bCs/>
                <w:color w:val="auto"/>
                <w:kern w:val="0"/>
                <w:sz w:val="21"/>
                <w:szCs w:val="21"/>
                <w:highlight w:val="none"/>
                <w:lang w:val="en-US" w:eastAsia="zh-CN"/>
              </w:rPr>
            </w:pPr>
            <w:r>
              <w:rPr>
                <w:rFonts w:hint="eastAsia" w:ascii="Times New Roman" w:hAnsi="Times New Roman"/>
                <w:color w:val="auto"/>
                <w:sz w:val="21"/>
                <w:szCs w:val="21"/>
                <w:highlight w:val="none"/>
                <w:lang w:val="en-US" w:eastAsia="zh-CN"/>
              </w:rPr>
              <w:t>7.902</w:t>
            </w:r>
          </w:p>
        </w:tc>
      </w:tr>
      <w:tr w14:paraId="26AC04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6" w:type="pct"/>
            <w:noWrap w:val="0"/>
            <w:vAlign w:val="center"/>
          </w:tcPr>
          <w:p w14:paraId="00B48689">
            <w:pPr>
              <w:adjustRightInd w:val="0"/>
              <w:snapToGrid w:val="0"/>
              <w:spacing w:line="240" w:lineRule="auto"/>
              <w:ind w:firstLine="0" w:firstLineChars="0"/>
              <w:jc w:val="center"/>
              <w:rPr>
                <w:rFonts w:ascii="Times New Roman" w:hAnsi="Times New Roman"/>
                <w:bCs/>
                <w:color w:val="auto"/>
                <w:kern w:val="0"/>
                <w:sz w:val="21"/>
                <w:szCs w:val="21"/>
                <w:highlight w:val="none"/>
              </w:rPr>
            </w:pPr>
            <w:r>
              <w:rPr>
                <w:rFonts w:ascii="Times New Roman" w:hAnsi="Times New Roman"/>
                <w:bCs/>
                <w:color w:val="auto"/>
                <w:kern w:val="0"/>
                <w:sz w:val="21"/>
                <w:szCs w:val="21"/>
                <w:highlight w:val="none"/>
              </w:rPr>
              <w:t>2</w:t>
            </w:r>
          </w:p>
        </w:tc>
        <w:tc>
          <w:tcPr>
            <w:tcW w:w="1222" w:type="pct"/>
            <w:vMerge w:val="continue"/>
            <w:noWrap w:val="0"/>
            <w:vAlign w:val="center"/>
          </w:tcPr>
          <w:p w14:paraId="2AA1468C">
            <w:pPr>
              <w:adjustRightInd w:val="0"/>
              <w:snapToGrid w:val="0"/>
              <w:spacing w:line="240" w:lineRule="auto"/>
              <w:ind w:firstLine="0" w:firstLineChars="0"/>
              <w:jc w:val="center"/>
              <w:rPr>
                <w:rFonts w:ascii="Times New Roman" w:hAnsi="Times New Roman"/>
                <w:bCs/>
                <w:color w:val="auto"/>
                <w:kern w:val="0"/>
                <w:sz w:val="21"/>
                <w:szCs w:val="21"/>
                <w:highlight w:val="none"/>
              </w:rPr>
            </w:pPr>
          </w:p>
        </w:tc>
        <w:tc>
          <w:tcPr>
            <w:tcW w:w="734" w:type="pct"/>
            <w:noWrap w:val="0"/>
            <w:vAlign w:val="center"/>
          </w:tcPr>
          <w:p w14:paraId="63265426">
            <w:pPr>
              <w:adjustRightInd w:val="0"/>
              <w:snapToGrid w:val="0"/>
              <w:spacing w:line="240" w:lineRule="auto"/>
              <w:ind w:firstLine="0" w:firstLineChars="0"/>
              <w:jc w:val="center"/>
              <w:rPr>
                <w:rFonts w:ascii="Times New Roman" w:hAnsi="Times New Roman"/>
                <w:bCs/>
                <w:color w:val="auto"/>
                <w:kern w:val="0"/>
                <w:sz w:val="21"/>
                <w:szCs w:val="21"/>
                <w:highlight w:val="none"/>
              </w:rPr>
            </w:pPr>
            <w:r>
              <w:rPr>
                <w:rFonts w:ascii="Times New Roman" w:hAnsi="Times New Roman"/>
                <w:bCs/>
                <w:color w:val="auto"/>
                <w:kern w:val="0"/>
                <w:sz w:val="21"/>
                <w:szCs w:val="21"/>
                <w:highlight w:val="none"/>
              </w:rPr>
              <w:t>SO</w:t>
            </w:r>
            <w:r>
              <w:rPr>
                <w:rFonts w:ascii="Times New Roman" w:hAnsi="Times New Roman"/>
                <w:bCs/>
                <w:color w:val="auto"/>
                <w:kern w:val="0"/>
                <w:sz w:val="21"/>
                <w:szCs w:val="21"/>
                <w:highlight w:val="none"/>
                <w:vertAlign w:val="subscript"/>
              </w:rPr>
              <w:t>2</w:t>
            </w:r>
          </w:p>
        </w:tc>
        <w:tc>
          <w:tcPr>
            <w:tcW w:w="834" w:type="pct"/>
            <w:noWrap w:val="0"/>
            <w:vAlign w:val="center"/>
          </w:tcPr>
          <w:p w14:paraId="655FD96E">
            <w:pPr>
              <w:spacing w:line="240" w:lineRule="auto"/>
              <w:ind w:firstLine="0" w:firstLineChars="0"/>
              <w:jc w:val="center"/>
              <w:rPr>
                <w:rFonts w:ascii="Times New Roman" w:hAnsi="Times New Roman"/>
                <w:color w:val="auto"/>
                <w:kern w:val="0"/>
                <w:sz w:val="21"/>
                <w:szCs w:val="21"/>
                <w:highlight w:val="none"/>
              </w:rPr>
            </w:pPr>
            <w:r>
              <w:rPr>
                <w:rFonts w:hint="eastAsia" w:ascii="Times New Roman" w:hAnsi="Times New Roman"/>
                <w:color w:val="auto"/>
                <w:kern w:val="0"/>
                <w:sz w:val="21"/>
                <w:szCs w:val="21"/>
                <w:highlight w:val="none"/>
              </w:rPr>
              <w:t>35</w:t>
            </w:r>
          </w:p>
        </w:tc>
        <w:tc>
          <w:tcPr>
            <w:tcW w:w="1421" w:type="dxa"/>
            <w:noWrap w:val="0"/>
            <w:vAlign w:val="center"/>
          </w:tcPr>
          <w:p w14:paraId="4209D758">
            <w:pPr>
              <w:adjustRightInd w:val="0"/>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5.49</w:t>
            </w:r>
          </w:p>
        </w:tc>
        <w:tc>
          <w:tcPr>
            <w:tcW w:w="830" w:type="pct"/>
            <w:noWrap w:val="0"/>
            <w:vAlign w:val="center"/>
          </w:tcPr>
          <w:p w14:paraId="2C911666">
            <w:pPr>
              <w:adjustRightInd w:val="0"/>
              <w:spacing w:line="240" w:lineRule="auto"/>
              <w:ind w:firstLine="0" w:firstLineChars="0"/>
              <w:jc w:val="center"/>
              <w:textAlignment w:val="center"/>
              <w:rPr>
                <w:rFonts w:hint="default" w:ascii="Times New Roman" w:hAnsi="Times New Roman" w:eastAsia="宋体"/>
                <w:bCs/>
                <w:color w:val="auto"/>
                <w:kern w:val="0"/>
                <w:sz w:val="21"/>
                <w:szCs w:val="21"/>
                <w:highlight w:val="none"/>
                <w:lang w:val="en-US" w:eastAsia="zh-CN"/>
              </w:rPr>
            </w:pPr>
            <w:r>
              <w:rPr>
                <w:rFonts w:hint="eastAsia" w:ascii="Times New Roman" w:hAnsi="Times New Roman" w:eastAsia="黑体"/>
                <w:color w:val="auto"/>
                <w:kern w:val="0"/>
                <w:sz w:val="21"/>
                <w:szCs w:val="21"/>
                <w:highlight w:val="none"/>
                <w:lang w:val="en-US" w:eastAsia="zh-CN"/>
              </w:rPr>
              <w:t>27.658</w:t>
            </w:r>
          </w:p>
        </w:tc>
      </w:tr>
      <w:tr w14:paraId="0BD42A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6" w:type="pct"/>
            <w:noWrap w:val="0"/>
            <w:vAlign w:val="center"/>
          </w:tcPr>
          <w:p w14:paraId="7CF4B78F">
            <w:pPr>
              <w:adjustRightInd w:val="0"/>
              <w:snapToGrid w:val="0"/>
              <w:spacing w:line="240" w:lineRule="auto"/>
              <w:ind w:firstLine="0" w:firstLineChars="0"/>
              <w:jc w:val="center"/>
              <w:rPr>
                <w:rFonts w:ascii="Times New Roman" w:hAnsi="Times New Roman"/>
                <w:bCs/>
                <w:color w:val="auto"/>
                <w:kern w:val="0"/>
                <w:sz w:val="21"/>
                <w:szCs w:val="21"/>
                <w:highlight w:val="none"/>
              </w:rPr>
            </w:pPr>
            <w:r>
              <w:rPr>
                <w:rFonts w:ascii="Times New Roman" w:hAnsi="Times New Roman"/>
                <w:bCs/>
                <w:color w:val="auto"/>
                <w:kern w:val="0"/>
                <w:sz w:val="21"/>
                <w:szCs w:val="21"/>
                <w:highlight w:val="none"/>
              </w:rPr>
              <w:t>3</w:t>
            </w:r>
          </w:p>
        </w:tc>
        <w:tc>
          <w:tcPr>
            <w:tcW w:w="1222" w:type="pct"/>
            <w:vMerge w:val="continue"/>
            <w:noWrap w:val="0"/>
            <w:vAlign w:val="center"/>
          </w:tcPr>
          <w:p w14:paraId="1B39096E">
            <w:pPr>
              <w:adjustRightInd w:val="0"/>
              <w:snapToGrid w:val="0"/>
              <w:spacing w:line="240" w:lineRule="auto"/>
              <w:ind w:firstLine="0" w:firstLineChars="0"/>
              <w:jc w:val="center"/>
              <w:rPr>
                <w:rFonts w:ascii="Times New Roman" w:hAnsi="Times New Roman"/>
                <w:bCs/>
                <w:color w:val="auto"/>
                <w:kern w:val="0"/>
                <w:sz w:val="21"/>
                <w:szCs w:val="21"/>
                <w:highlight w:val="none"/>
              </w:rPr>
            </w:pPr>
          </w:p>
        </w:tc>
        <w:tc>
          <w:tcPr>
            <w:tcW w:w="734" w:type="pct"/>
            <w:noWrap w:val="0"/>
            <w:vAlign w:val="center"/>
          </w:tcPr>
          <w:p w14:paraId="58DB14B4">
            <w:pPr>
              <w:adjustRightInd w:val="0"/>
              <w:snapToGrid w:val="0"/>
              <w:spacing w:line="240" w:lineRule="auto"/>
              <w:ind w:firstLine="0" w:firstLineChars="0"/>
              <w:jc w:val="center"/>
              <w:rPr>
                <w:rFonts w:ascii="Times New Roman" w:hAnsi="Times New Roman"/>
                <w:bCs/>
                <w:color w:val="auto"/>
                <w:kern w:val="0"/>
                <w:sz w:val="21"/>
                <w:szCs w:val="21"/>
                <w:highlight w:val="none"/>
              </w:rPr>
            </w:pPr>
            <w:r>
              <w:rPr>
                <w:rFonts w:ascii="Times New Roman" w:hAnsi="Times New Roman"/>
                <w:bCs/>
                <w:color w:val="auto"/>
                <w:kern w:val="0"/>
                <w:sz w:val="21"/>
                <w:szCs w:val="21"/>
                <w:highlight w:val="none"/>
              </w:rPr>
              <w:t>NOx</w:t>
            </w:r>
          </w:p>
        </w:tc>
        <w:tc>
          <w:tcPr>
            <w:tcW w:w="834" w:type="pct"/>
            <w:noWrap w:val="0"/>
            <w:vAlign w:val="center"/>
          </w:tcPr>
          <w:p w14:paraId="1AEACA61">
            <w:pPr>
              <w:spacing w:line="240" w:lineRule="auto"/>
              <w:ind w:firstLine="0" w:firstLineChars="0"/>
              <w:jc w:val="center"/>
              <w:rPr>
                <w:rFonts w:ascii="Times New Roman" w:hAnsi="Times New Roman"/>
                <w:color w:val="auto"/>
                <w:kern w:val="0"/>
                <w:sz w:val="21"/>
                <w:szCs w:val="21"/>
                <w:highlight w:val="none"/>
              </w:rPr>
            </w:pPr>
            <w:r>
              <w:rPr>
                <w:rFonts w:hint="eastAsia" w:ascii="Times New Roman" w:hAnsi="Times New Roman"/>
                <w:color w:val="auto"/>
                <w:sz w:val="21"/>
                <w:szCs w:val="21"/>
                <w:highlight w:val="none"/>
              </w:rPr>
              <w:t>50</w:t>
            </w:r>
          </w:p>
        </w:tc>
        <w:tc>
          <w:tcPr>
            <w:tcW w:w="1421" w:type="dxa"/>
            <w:noWrap w:val="0"/>
            <w:vAlign w:val="center"/>
          </w:tcPr>
          <w:p w14:paraId="4B39B181">
            <w:pPr>
              <w:adjustRightInd w:val="0"/>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7.84</w:t>
            </w:r>
          </w:p>
        </w:tc>
        <w:tc>
          <w:tcPr>
            <w:tcW w:w="830" w:type="pct"/>
            <w:noWrap w:val="0"/>
            <w:vAlign w:val="center"/>
          </w:tcPr>
          <w:p w14:paraId="6D221975">
            <w:pPr>
              <w:adjustRightInd w:val="0"/>
              <w:spacing w:line="240" w:lineRule="auto"/>
              <w:ind w:firstLine="0" w:firstLineChars="0"/>
              <w:jc w:val="center"/>
              <w:textAlignment w:val="center"/>
              <w:rPr>
                <w:rFonts w:hint="default" w:ascii="Times New Roman" w:hAnsi="Times New Roman" w:eastAsia="宋体"/>
                <w:bCs/>
                <w:color w:val="auto"/>
                <w:kern w:val="0"/>
                <w:sz w:val="21"/>
                <w:szCs w:val="21"/>
                <w:highlight w:val="none"/>
                <w:lang w:val="en-US" w:eastAsia="zh-CN"/>
              </w:rPr>
            </w:pPr>
            <w:r>
              <w:rPr>
                <w:rFonts w:hint="eastAsia" w:ascii="Times New Roman" w:hAnsi="Times New Roman"/>
                <w:color w:val="auto"/>
                <w:sz w:val="21"/>
                <w:szCs w:val="21"/>
                <w:highlight w:val="none"/>
                <w:lang w:val="en-US" w:eastAsia="zh-CN"/>
              </w:rPr>
              <w:t>39.511</w:t>
            </w:r>
          </w:p>
        </w:tc>
      </w:tr>
      <w:tr w14:paraId="14AF92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6" w:type="pct"/>
            <w:noWrap w:val="0"/>
            <w:vAlign w:val="center"/>
          </w:tcPr>
          <w:p w14:paraId="38F8DCD9">
            <w:pPr>
              <w:adjustRightInd w:val="0"/>
              <w:snapToGrid w:val="0"/>
              <w:spacing w:line="240" w:lineRule="auto"/>
              <w:ind w:firstLine="0" w:firstLineChars="0"/>
              <w:jc w:val="center"/>
              <w:rPr>
                <w:rFonts w:ascii="Times New Roman" w:hAnsi="Times New Roman"/>
                <w:bCs/>
                <w:color w:val="auto"/>
                <w:kern w:val="0"/>
                <w:sz w:val="21"/>
                <w:szCs w:val="21"/>
                <w:highlight w:val="none"/>
              </w:rPr>
            </w:pPr>
            <w:r>
              <w:rPr>
                <w:rFonts w:ascii="Times New Roman" w:hAnsi="Times New Roman"/>
                <w:bCs/>
                <w:color w:val="auto"/>
                <w:kern w:val="0"/>
                <w:sz w:val="21"/>
                <w:szCs w:val="21"/>
                <w:highlight w:val="none"/>
              </w:rPr>
              <w:t>4</w:t>
            </w:r>
          </w:p>
        </w:tc>
        <w:tc>
          <w:tcPr>
            <w:tcW w:w="1222" w:type="pct"/>
            <w:vMerge w:val="continue"/>
            <w:noWrap w:val="0"/>
            <w:vAlign w:val="center"/>
          </w:tcPr>
          <w:p w14:paraId="2A655493">
            <w:pPr>
              <w:adjustRightInd w:val="0"/>
              <w:snapToGrid w:val="0"/>
              <w:spacing w:line="240" w:lineRule="auto"/>
              <w:ind w:firstLine="0" w:firstLineChars="0"/>
              <w:jc w:val="center"/>
              <w:rPr>
                <w:rFonts w:ascii="Times New Roman" w:hAnsi="Times New Roman"/>
                <w:bCs/>
                <w:color w:val="auto"/>
                <w:kern w:val="0"/>
                <w:sz w:val="21"/>
                <w:szCs w:val="21"/>
                <w:highlight w:val="none"/>
              </w:rPr>
            </w:pPr>
          </w:p>
        </w:tc>
        <w:tc>
          <w:tcPr>
            <w:tcW w:w="734" w:type="pct"/>
            <w:noWrap w:val="0"/>
            <w:vAlign w:val="center"/>
          </w:tcPr>
          <w:p w14:paraId="16D8AB54">
            <w:pPr>
              <w:adjustRightInd w:val="0"/>
              <w:snapToGrid w:val="0"/>
              <w:spacing w:line="240" w:lineRule="auto"/>
              <w:ind w:firstLine="0" w:firstLineChars="0"/>
              <w:jc w:val="center"/>
              <w:rPr>
                <w:rFonts w:ascii="Times New Roman" w:hAnsi="Times New Roman"/>
                <w:bCs/>
                <w:color w:val="auto"/>
                <w:kern w:val="0"/>
                <w:sz w:val="21"/>
                <w:szCs w:val="21"/>
                <w:highlight w:val="none"/>
              </w:rPr>
            </w:pPr>
            <w:r>
              <w:rPr>
                <w:rFonts w:ascii="Times New Roman" w:hAnsi="Times New Roman"/>
                <w:bCs/>
                <w:color w:val="auto"/>
                <w:kern w:val="0"/>
                <w:sz w:val="21"/>
                <w:szCs w:val="21"/>
                <w:highlight w:val="none"/>
              </w:rPr>
              <w:t>汞及其化合物</w:t>
            </w:r>
          </w:p>
        </w:tc>
        <w:tc>
          <w:tcPr>
            <w:tcW w:w="834" w:type="pct"/>
            <w:noWrap w:val="0"/>
            <w:vAlign w:val="center"/>
          </w:tcPr>
          <w:p w14:paraId="619529F0">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0.002</w:t>
            </w:r>
          </w:p>
        </w:tc>
        <w:tc>
          <w:tcPr>
            <w:tcW w:w="1421" w:type="dxa"/>
            <w:noWrap w:val="0"/>
            <w:vAlign w:val="center"/>
          </w:tcPr>
          <w:p w14:paraId="5BA9B5F4">
            <w:pPr>
              <w:adjustRightInd w:val="0"/>
              <w:spacing w:line="240" w:lineRule="auto"/>
              <w:ind w:firstLine="0" w:firstLineChars="0"/>
              <w:jc w:val="center"/>
              <w:textAlignment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w:t>
            </w:r>
          </w:p>
        </w:tc>
        <w:tc>
          <w:tcPr>
            <w:tcW w:w="830" w:type="pct"/>
            <w:noWrap w:val="0"/>
            <w:vAlign w:val="center"/>
          </w:tcPr>
          <w:p w14:paraId="204208CE">
            <w:pPr>
              <w:adjustRightIn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ascii="Times New Roman" w:hAnsi="Times New Roman"/>
                <w:color w:val="auto"/>
                <w:sz w:val="21"/>
                <w:szCs w:val="21"/>
                <w:highlight w:val="none"/>
              </w:rPr>
              <w:t>0.00</w:t>
            </w:r>
            <w:r>
              <w:rPr>
                <w:rFonts w:hint="eastAsia" w:ascii="Times New Roman" w:hAnsi="Times New Roman"/>
                <w:color w:val="auto"/>
                <w:sz w:val="21"/>
                <w:szCs w:val="21"/>
                <w:highlight w:val="none"/>
                <w:lang w:val="en-US" w:eastAsia="zh-CN"/>
              </w:rPr>
              <w:t>16</w:t>
            </w:r>
          </w:p>
        </w:tc>
      </w:tr>
      <w:tr w14:paraId="7234A3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6" w:type="pct"/>
            <w:noWrap w:val="0"/>
            <w:vAlign w:val="center"/>
          </w:tcPr>
          <w:p w14:paraId="7F73BF4C">
            <w:pPr>
              <w:adjustRightInd w:val="0"/>
              <w:snapToGrid w:val="0"/>
              <w:spacing w:line="240" w:lineRule="auto"/>
              <w:ind w:firstLine="0" w:firstLineChars="0"/>
              <w:jc w:val="center"/>
              <w:rPr>
                <w:rFonts w:ascii="Times New Roman" w:hAnsi="Times New Roman"/>
                <w:bCs/>
                <w:color w:val="auto"/>
                <w:kern w:val="0"/>
                <w:sz w:val="21"/>
                <w:szCs w:val="21"/>
                <w:highlight w:val="none"/>
              </w:rPr>
            </w:pPr>
            <w:r>
              <w:rPr>
                <w:rFonts w:ascii="Times New Roman" w:hAnsi="Times New Roman"/>
                <w:bCs/>
                <w:color w:val="auto"/>
                <w:kern w:val="0"/>
                <w:sz w:val="21"/>
                <w:szCs w:val="21"/>
                <w:highlight w:val="none"/>
              </w:rPr>
              <w:t>5</w:t>
            </w:r>
          </w:p>
        </w:tc>
        <w:tc>
          <w:tcPr>
            <w:tcW w:w="1222" w:type="pct"/>
            <w:vMerge w:val="continue"/>
            <w:noWrap w:val="0"/>
            <w:vAlign w:val="center"/>
          </w:tcPr>
          <w:p w14:paraId="32D727D5">
            <w:pPr>
              <w:adjustRightInd w:val="0"/>
              <w:snapToGrid w:val="0"/>
              <w:spacing w:line="240" w:lineRule="auto"/>
              <w:ind w:firstLine="0" w:firstLineChars="0"/>
              <w:jc w:val="center"/>
              <w:rPr>
                <w:rFonts w:ascii="Times New Roman" w:hAnsi="Times New Roman"/>
                <w:bCs/>
                <w:color w:val="auto"/>
                <w:kern w:val="0"/>
                <w:sz w:val="21"/>
                <w:szCs w:val="21"/>
                <w:highlight w:val="none"/>
              </w:rPr>
            </w:pPr>
          </w:p>
        </w:tc>
        <w:tc>
          <w:tcPr>
            <w:tcW w:w="734" w:type="pct"/>
            <w:noWrap w:val="0"/>
            <w:vAlign w:val="center"/>
          </w:tcPr>
          <w:p w14:paraId="00E4D9F5">
            <w:pPr>
              <w:adjustRightInd w:val="0"/>
              <w:snapToGrid w:val="0"/>
              <w:spacing w:line="240" w:lineRule="auto"/>
              <w:ind w:firstLine="0" w:firstLineChars="0"/>
              <w:jc w:val="center"/>
              <w:rPr>
                <w:rFonts w:ascii="Times New Roman" w:hAnsi="Times New Roman"/>
                <w:bCs/>
                <w:color w:val="auto"/>
                <w:kern w:val="0"/>
                <w:sz w:val="21"/>
                <w:szCs w:val="21"/>
                <w:highlight w:val="none"/>
              </w:rPr>
            </w:pPr>
            <w:r>
              <w:rPr>
                <w:rFonts w:ascii="Times New Roman" w:hAnsi="Times New Roman"/>
                <w:bCs/>
                <w:color w:val="auto"/>
                <w:kern w:val="0"/>
                <w:sz w:val="21"/>
                <w:szCs w:val="21"/>
                <w:highlight w:val="none"/>
              </w:rPr>
              <w:t>氨</w:t>
            </w:r>
          </w:p>
        </w:tc>
        <w:tc>
          <w:tcPr>
            <w:tcW w:w="834" w:type="pct"/>
            <w:noWrap w:val="0"/>
            <w:vAlign w:val="center"/>
          </w:tcPr>
          <w:p w14:paraId="3220FD88">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2.5</w:t>
            </w:r>
          </w:p>
        </w:tc>
        <w:tc>
          <w:tcPr>
            <w:tcW w:w="1421" w:type="dxa"/>
            <w:noWrap w:val="0"/>
            <w:vAlign w:val="center"/>
          </w:tcPr>
          <w:p w14:paraId="765DE50A">
            <w:pPr>
              <w:adjustRightInd w:val="0"/>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0.39</w:t>
            </w:r>
          </w:p>
        </w:tc>
        <w:tc>
          <w:tcPr>
            <w:tcW w:w="830" w:type="pct"/>
            <w:noWrap w:val="0"/>
            <w:vAlign w:val="center"/>
          </w:tcPr>
          <w:p w14:paraId="08D8363A">
            <w:pPr>
              <w:adjustRightIn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1.96</w:t>
            </w:r>
          </w:p>
        </w:tc>
      </w:tr>
    </w:tbl>
    <w:p w14:paraId="3B659D3E">
      <w:pPr>
        <w:ind w:firstLine="0" w:firstLineChars="0"/>
        <w:jc w:val="center"/>
        <w:rPr>
          <w:rFonts w:ascii="Times New Roman" w:hAnsi="Times New Roman"/>
          <w:color w:val="auto"/>
          <w:highlight w:val="none"/>
        </w:rPr>
      </w:pPr>
      <w:r>
        <w:rPr>
          <w:rFonts w:hint="eastAsia" w:ascii="黑体" w:hAnsi="黑体" w:eastAsia="黑体" w:cs="黑体"/>
          <w:color w:val="auto"/>
          <w:highlight w:val="none"/>
        </w:rPr>
        <w:t>表</w:t>
      </w:r>
      <w:r>
        <w:rPr>
          <w:rFonts w:ascii="Times New Roman" w:hAnsi="Times New Roman"/>
          <w:color w:val="auto"/>
          <w:highlight w:val="none"/>
        </w:rPr>
        <w:t>5.2-</w:t>
      </w:r>
      <w:r>
        <w:rPr>
          <w:rFonts w:hint="eastAsia" w:ascii="Times New Roman" w:hAnsi="Times New Roman"/>
          <w:color w:val="auto"/>
          <w:highlight w:val="none"/>
          <w:lang w:val="en-US" w:eastAsia="zh-CN"/>
        </w:rPr>
        <w:t>22</w:t>
      </w:r>
      <w:r>
        <w:rPr>
          <w:rFonts w:hint="eastAsia" w:ascii="黑体" w:hAnsi="黑体" w:eastAsia="黑体" w:cs="黑体"/>
          <w:color w:val="auto"/>
          <w:highlight w:val="none"/>
        </w:rPr>
        <w:t>大气污染物无组织排放量核算表</w:t>
      </w:r>
    </w:p>
    <w:tbl>
      <w:tblPr>
        <w:tblStyle w:val="17"/>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75"/>
        <w:gridCol w:w="709"/>
        <w:gridCol w:w="851"/>
        <w:gridCol w:w="283"/>
        <w:gridCol w:w="1134"/>
        <w:gridCol w:w="1843"/>
        <w:gridCol w:w="1417"/>
        <w:gridCol w:w="709"/>
        <w:gridCol w:w="901"/>
      </w:tblGrid>
      <w:tr w14:paraId="47FE72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restart"/>
            <w:noWrap w:val="0"/>
            <w:vAlign w:val="center"/>
          </w:tcPr>
          <w:p w14:paraId="0B0B7AD7">
            <w:pPr>
              <w:pStyle w:val="7"/>
              <w:spacing w:after="0"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序号</w:t>
            </w:r>
          </w:p>
        </w:tc>
        <w:tc>
          <w:tcPr>
            <w:tcW w:w="709" w:type="dxa"/>
            <w:vMerge w:val="restart"/>
            <w:noWrap w:val="0"/>
            <w:vAlign w:val="center"/>
          </w:tcPr>
          <w:p w14:paraId="50BBDDA7">
            <w:pPr>
              <w:pStyle w:val="7"/>
              <w:spacing w:after="0"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排放口编号</w:t>
            </w:r>
          </w:p>
        </w:tc>
        <w:tc>
          <w:tcPr>
            <w:tcW w:w="1134" w:type="dxa"/>
            <w:gridSpan w:val="2"/>
            <w:vMerge w:val="restart"/>
            <w:noWrap w:val="0"/>
            <w:vAlign w:val="center"/>
          </w:tcPr>
          <w:p w14:paraId="640286A8">
            <w:pPr>
              <w:pStyle w:val="7"/>
              <w:spacing w:after="0"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排放源</w:t>
            </w:r>
          </w:p>
        </w:tc>
        <w:tc>
          <w:tcPr>
            <w:tcW w:w="1134" w:type="dxa"/>
            <w:vMerge w:val="restart"/>
            <w:noWrap w:val="0"/>
            <w:vAlign w:val="center"/>
          </w:tcPr>
          <w:p w14:paraId="67F6A41C">
            <w:pPr>
              <w:pStyle w:val="7"/>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污染物</w:t>
            </w:r>
          </w:p>
        </w:tc>
        <w:tc>
          <w:tcPr>
            <w:tcW w:w="1843" w:type="dxa"/>
            <w:vMerge w:val="restart"/>
            <w:noWrap w:val="0"/>
            <w:vAlign w:val="center"/>
          </w:tcPr>
          <w:p w14:paraId="268E334C">
            <w:pPr>
              <w:pStyle w:val="7"/>
              <w:spacing w:after="0"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主要防治措施</w:t>
            </w:r>
          </w:p>
        </w:tc>
        <w:tc>
          <w:tcPr>
            <w:tcW w:w="2126" w:type="dxa"/>
            <w:gridSpan w:val="2"/>
            <w:noWrap w:val="0"/>
            <w:vAlign w:val="center"/>
          </w:tcPr>
          <w:p w14:paraId="2345CFA5">
            <w:pPr>
              <w:pStyle w:val="7"/>
              <w:spacing w:after="0"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国家或地方标准排放限值</w:t>
            </w:r>
          </w:p>
        </w:tc>
        <w:tc>
          <w:tcPr>
            <w:tcW w:w="901" w:type="dxa"/>
            <w:vMerge w:val="restart"/>
            <w:noWrap w:val="0"/>
            <w:vAlign w:val="center"/>
          </w:tcPr>
          <w:p w14:paraId="56C050E2">
            <w:pPr>
              <w:pStyle w:val="7"/>
              <w:spacing w:after="0"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年排放量(t/a)</w:t>
            </w:r>
          </w:p>
        </w:tc>
      </w:tr>
      <w:tr w14:paraId="126EB4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continue"/>
            <w:noWrap w:val="0"/>
            <w:vAlign w:val="center"/>
          </w:tcPr>
          <w:p w14:paraId="741840B2">
            <w:pPr>
              <w:pStyle w:val="7"/>
              <w:spacing w:after="0" w:line="240" w:lineRule="auto"/>
              <w:ind w:firstLine="0" w:firstLineChars="0"/>
              <w:jc w:val="center"/>
              <w:rPr>
                <w:rFonts w:ascii="Times New Roman" w:hAnsi="Times New Roman"/>
                <w:color w:val="auto"/>
                <w:sz w:val="21"/>
                <w:szCs w:val="21"/>
                <w:highlight w:val="none"/>
              </w:rPr>
            </w:pPr>
          </w:p>
        </w:tc>
        <w:tc>
          <w:tcPr>
            <w:tcW w:w="709" w:type="dxa"/>
            <w:vMerge w:val="continue"/>
            <w:noWrap w:val="0"/>
            <w:vAlign w:val="center"/>
          </w:tcPr>
          <w:p w14:paraId="5356CA86">
            <w:pPr>
              <w:pStyle w:val="7"/>
              <w:spacing w:after="0" w:line="240" w:lineRule="auto"/>
              <w:ind w:firstLine="0" w:firstLineChars="0"/>
              <w:jc w:val="center"/>
              <w:rPr>
                <w:rFonts w:ascii="Times New Roman" w:hAnsi="Times New Roman"/>
                <w:color w:val="auto"/>
                <w:sz w:val="21"/>
                <w:szCs w:val="21"/>
                <w:highlight w:val="none"/>
              </w:rPr>
            </w:pPr>
          </w:p>
        </w:tc>
        <w:tc>
          <w:tcPr>
            <w:tcW w:w="1134" w:type="dxa"/>
            <w:gridSpan w:val="2"/>
            <w:vMerge w:val="continue"/>
            <w:noWrap w:val="0"/>
            <w:vAlign w:val="center"/>
          </w:tcPr>
          <w:p w14:paraId="009F4C03">
            <w:pPr>
              <w:pStyle w:val="7"/>
              <w:spacing w:after="0" w:line="240" w:lineRule="auto"/>
              <w:ind w:firstLine="0" w:firstLineChars="0"/>
              <w:jc w:val="center"/>
              <w:rPr>
                <w:rFonts w:ascii="Times New Roman" w:hAnsi="Times New Roman"/>
                <w:color w:val="auto"/>
                <w:sz w:val="21"/>
                <w:szCs w:val="21"/>
                <w:highlight w:val="none"/>
              </w:rPr>
            </w:pPr>
          </w:p>
        </w:tc>
        <w:tc>
          <w:tcPr>
            <w:tcW w:w="1134" w:type="dxa"/>
            <w:vMerge w:val="continue"/>
            <w:noWrap w:val="0"/>
            <w:vAlign w:val="center"/>
          </w:tcPr>
          <w:p w14:paraId="757694BD">
            <w:pPr>
              <w:pStyle w:val="7"/>
              <w:spacing w:after="0" w:line="240" w:lineRule="auto"/>
              <w:ind w:firstLine="0" w:firstLineChars="0"/>
              <w:jc w:val="center"/>
              <w:rPr>
                <w:rFonts w:ascii="Times New Roman" w:hAnsi="Times New Roman"/>
                <w:color w:val="auto"/>
                <w:sz w:val="21"/>
                <w:szCs w:val="21"/>
                <w:highlight w:val="none"/>
              </w:rPr>
            </w:pPr>
          </w:p>
        </w:tc>
        <w:tc>
          <w:tcPr>
            <w:tcW w:w="1843" w:type="dxa"/>
            <w:vMerge w:val="continue"/>
            <w:noWrap w:val="0"/>
            <w:vAlign w:val="center"/>
          </w:tcPr>
          <w:p w14:paraId="5FA04609">
            <w:pPr>
              <w:pStyle w:val="7"/>
              <w:spacing w:after="0" w:line="240" w:lineRule="auto"/>
              <w:ind w:firstLine="0" w:firstLineChars="0"/>
              <w:jc w:val="center"/>
              <w:rPr>
                <w:rFonts w:ascii="Times New Roman" w:hAnsi="Times New Roman"/>
                <w:color w:val="auto"/>
                <w:sz w:val="21"/>
                <w:szCs w:val="21"/>
                <w:highlight w:val="none"/>
              </w:rPr>
            </w:pPr>
          </w:p>
        </w:tc>
        <w:tc>
          <w:tcPr>
            <w:tcW w:w="1417" w:type="dxa"/>
            <w:noWrap w:val="0"/>
            <w:vAlign w:val="center"/>
          </w:tcPr>
          <w:p w14:paraId="3F892699">
            <w:pPr>
              <w:pStyle w:val="7"/>
              <w:spacing w:after="0"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标准名称</w:t>
            </w:r>
          </w:p>
        </w:tc>
        <w:tc>
          <w:tcPr>
            <w:tcW w:w="709" w:type="dxa"/>
            <w:noWrap w:val="0"/>
            <w:vAlign w:val="center"/>
          </w:tcPr>
          <w:p w14:paraId="6E55F519">
            <w:pPr>
              <w:pStyle w:val="7"/>
              <w:spacing w:after="0"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浓度限值(mg/m</w:t>
            </w:r>
            <w:r>
              <w:rPr>
                <w:rFonts w:ascii="Times New Roman" w:hAnsi="Times New Roman"/>
                <w:color w:val="auto"/>
                <w:sz w:val="21"/>
                <w:szCs w:val="21"/>
                <w:highlight w:val="none"/>
                <w:vertAlign w:val="superscript"/>
              </w:rPr>
              <w:t>3</w:t>
            </w:r>
            <w:r>
              <w:rPr>
                <w:rFonts w:ascii="Times New Roman" w:hAnsi="Times New Roman"/>
                <w:color w:val="auto"/>
                <w:sz w:val="21"/>
                <w:szCs w:val="21"/>
                <w:highlight w:val="none"/>
              </w:rPr>
              <w:t>)</w:t>
            </w:r>
          </w:p>
        </w:tc>
        <w:tc>
          <w:tcPr>
            <w:tcW w:w="901" w:type="dxa"/>
            <w:vMerge w:val="continue"/>
            <w:noWrap w:val="0"/>
            <w:vAlign w:val="center"/>
          </w:tcPr>
          <w:p w14:paraId="68C774BD">
            <w:pPr>
              <w:pStyle w:val="7"/>
              <w:spacing w:after="0" w:line="240" w:lineRule="auto"/>
              <w:ind w:firstLine="0" w:firstLineChars="0"/>
              <w:jc w:val="center"/>
              <w:rPr>
                <w:rFonts w:ascii="Times New Roman" w:hAnsi="Times New Roman"/>
                <w:color w:val="auto"/>
                <w:sz w:val="21"/>
                <w:szCs w:val="21"/>
                <w:highlight w:val="none"/>
              </w:rPr>
            </w:pPr>
          </w:p>
        </w:tc>
      </w:tr>
      <w:tr w14:paraId="0F049C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2" w:hRule="atLeast"/>
          <w:jc w:val="center"/>
        </w:trPr>
        <w:tc>
          <w:tcPr>
            <w:tcW w:w="675" w:type="dxa"/>
            <w:noWrap w:val="0"/>
            <w:vAlign w:val="center"/>
          </w:tcPr>
          <w:p w14:paraId="4326A352">
            <w:pPr>
              <w:adjustRightInd w:val="0"/>
              <w:spacing w:line="240" w:lineRule="auto"/>
              <w:ind w:firstLine="0" w:firstLineChars="0"/>
              <w:jc w:val="center"/>
              <w:textAlignment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1</w:t>
            </w:r>
          </w:p>
        </w:tc>
        <w:tc>
          <w:tcPr>
            <w:tcW w:w="709" w:type="dxa"/>
            <w:noWrap w:val="0"/>
            <w:vAlign w:val="center"/>
          </w:tcPr>
          <w:p w14:paraId="0BC02905">
            <w:pPr>
              <w:adjustRightInd w:val="0"/>
              <w:spacing w:line="240" w:lineRule="auto"/>
              <w:ind w:firstLine="0" w:firstLineChars="0"/>
              <w:jc w:val="center"/>
              <w:textAlignment w:val="center"/>
              <w:rPr>
                <w:rFonts w:hint="eastAsia" w:ascii="Times New Roman" w:hAnsi="Times New Roman"/>
                <w:color w:val="auto"/>
                <w:sz w:val="21"/>
                <w:szCs w:val="21"/>
                <w:highlight w:val="none"/>
              </w:rPr>
            </w:pPr>
            <w:r>
              <w:rPr>
                <w:rFonts w:hint="eastAsia" w:ascii="Times New Roman" w:hAnsi="Times New Roman"/>
                <w:color w:val="auto"/>
                <w:sz w:val="21"/>
                <w:szCs w:val="21"/>
                <w:highlight w:val="none"/>
              </w:rPr>
              <w:t>A1</w:t>
            </w:r>
          </w:p>
        </w:tc>
        <w:tc>
          <w:tcPr>
            <w:tcW w:w="1134" w:type="dxa"/>
            <w:gridSpan w:val="2"/>
            <w:noWrap w:val="0"/>
            <w:vAlign w:val="center"/>
          </w:tcPr>
          <w:p w14:paraId="2CE40642">
            <w:pPr>
              <w:adjustRightInd w:val="0"/>
              <w:spacing w:line="240" w:lineRule="auto"/>
              <w:ind w:firstLine="0" w:firstLineChars="0"/>
              <w:jc w:val="center"/>
              <w:textAlignment w:val="center"/>
              <w:rPr>
                <w:rFonts w:ascii="Times New Roman" w:hAnsi="Times New Roman"/>
                <w:color w:val="auto"/>
                <w:sz w:val="21"/>
                <w:szCs w:val="21"/>
                <w:highlight w:val="none"/>
              </w:rPr>
            </w:pPr>
            <w:r>
              <w:rPr>
                <w:rFonts w:hint="eastAsia" w:ascii="Times New Roman" w:hAnsi="Times New Roman"/>
                <w:color w:val="auto"/>
                <w:sz w:val="21"/>
                <w:szCs w:val="21"/>
                <w:highlight w:val="none"/>
              </w:rPr>
              <w:t>灰仓</w:t>
            </w:r>
          </w:p>
        </w:tc>
        <w:tc>
          <w:tcPr>
            <w:tcW w:w="1134" w:type="dxa"/>
            <w:tcBorders>
              <w:bottom w:val="single" w:color="auto" w:sz="4" w:space="0"/>
            </w:tcBorders>
            <w:noWrap w:val="0"/>
            <w:vAlign w:val="center"/>
          </w:tcPr>
          <w:p w14:paraId="303951F1">
            <w:pPr>
              <w:adjustRightInd w:val="0"/>
              <w:spacing w:line="240" w:lineRule="auto"/>
              <w:ind w:firstLine="0" w:firstLineChars="0"/>
              <w:jc w:val="center"/>
              <w:textAlignment w:val="center"/>
              <w:rPr>
                <w:rFonts w:hint="eastAsia" w:ascii="Times New Roman" w:hAnsi="Times New Roman"/>
                <w:color w:val="auto"/>
                <w:sz w:val="21"/>
                <w:szCs w:val="21"/>
                <w:highlight w:val="none"/>
              </w:rPr>
            </w:pPr>
            <w:r>
              <w:rPr>
                <w:rFonts w:hint="eastAsia" w:ascii="Times New Roman" w:hAnsi="Times New Roman"/>
                <w:color w:val="auto"/>
                <w:sz w:val="21"/>
                <w:szCs w:val="21"/>
                <w:highlight w:val="none"/>
              </w:rPr>
              <w:t>工业粉尘</w:t>
            </w:r>
          </w:p>
        </w:tc>
        <w:tc>
          <w:tcPr>
            <w:tcW w:w="1843" w:type="dxa"/>
            <w:vMerge w:val="restart"/>
            <w:noWrap w:val="0"/>
            <w:vAlign w:val="center"/>
          </w:tcPr>
          <w:p w14:paraId="17CB91DA">
            <w:pPr>
              <w:adjustRightInd w:val="0"/>
              <w:spacing w:line="240" w:lineRule="auto"/>
              <w:ind w:firstLine="0" w:firstLineChars="0"/>
              <w:jc w:val="center"/>
              <w:textAlignment w:val="center"/>
              <w:rPr>
                <w:rFonts w:hint="eastAsia" w:ascii="Times New Roman" w:hAnsi="Times New Roman"/>
                <w:color w:val="auto"/>
                <w:sz w:val="21"/>
                <w:szCs w:val="21"/>
                <w:highlight w:val="none"/>
              </w:rPr>
            </w:pPr>
            <w:r>
              <w:rPr>
                <w:rFonts w:hint="eastAsia" w:ascii="Times New Roman" w:hAnsi="Times New Roman"/>
                <w:color w:val="auto"/>
                <w:sz w:val="21"/>
                <w:szCs w:val="21"/>
                <w:highlight w:val="none"/>
              </w:rPr>
              <w:t>密闭+脉冲布袋除尘器</w:t>
            </w:r>
          </w:p>
        </w:tc>
        <w:tc>
          <w:tcPr>
            <w:tcW w:w="1417" w:type="dxa"/>
            <w:vMerge w:val="restart"/>
            <w:noWrap w:val="0"/>
            <w:vAlign w:val="center"/>
          </w:tcPr>
          <w:p w14:paraId="0ADAB235">
            <w:pPr>
              <w:adjustRightInd w:val="0"/>
              <w:spacing w:line="240" w:lineRule="auto"/>
              <w:ind w:firstLine="0" w:firstLineChars="0"/>
              <w:jc w:val="center"/>
              <w:textAlignment w:val="center"/>
              <w:rPr>
                <w:rFonts w:hint="eastAsia" w:ascii="Times New Roman" w:hAnsi="Times New Roman"/>
                <w:color w:val="auto"/>
                <w:sz w:val="21"/>
                <w:szCs w:val="21"/>
                <w:highlight w:val="none"/>
              </w:rPr>
            </w:pPr>
            <w:r>
              <w:rPr>
                <w:rFonts w:hint="eastAsia" w:ascii="Times New Roman" w:hAnsi="Times New Roman"/>
                <w:color w:val="auto"/>
                <w:sz w:val="21"/>
                <w:szCs w:val="21"/>
                <w:highlight w:val="none"/>
              </w:rPr>
              <w:t>《大气污染物综合排放标准》（GB16297-1996）</w:t>
            </w:r>
          </w:p>
        </w:tc>
        <w:tc>
          <w:tcPr>
            <w:tcW w:w="709" w:type="dxa"/>
            <w:vMerge w:val="restart"/>
            <w:noWrap w:val="0"/>
            <w:vAlign w:val="center"/>
          </w:tcPr>
          <w:p w14:paraId="5241590E">
            <w:pPr>
              <w:adjustRightInd w:val="0"/>
              <w:spacing w:line="240" w:lineRule="auto"/>
              <w:ind w:firstLine="0" w:firstLineChars="0"/>
              <w:jc w:val="center"/>
              <w:textAlignment w:val="center"/>
              <w:rPr>
                <w:rFonts w:hint="eastAsia" w:ascii="Times New Roman" w:hAnsi="Times New Roman"/>
                <w:color w:val="auto"/>
                <w:sz w:val="21"/>
                <w:szCs w:val="21"/>
                <w:highlight w:val="none"/>
              </w:rPr>
            </w:pPr>
            <w:r>
              <w:rPr>
                <w:rFonts w:hint="eastAsia" w:ascii="Times New Roman" w:hAnsi="Times New Roman"/>
                <w:color w:val="auto"/>
                <w:sz w:val="21"/>
                <w:szCs w:val="21"/>
                <w:highlight w:val="none"/>
              </w:rPr>
              <w:t>1.0</w:t>
            </w:r>
          </w:p>
        </w:tc>
        <w:tc>
          <w:tcPr>
            <w:tcW w:w="901" w:type="dxa"/>
            <w:noWrap w:val="0"/>
            <w:vAlign w:val="center"/>
          </w:tcPr>
          <w:p w14:paraId="7F9402B1">
            <w:pPr>
              <w:adjustRightIn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0.0605</w:t>
            </w:r>
          </w:p>
        </w:tc>
      </w:tr>
      <w:tr w14:paraId="6916BC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42" w:hRule="atLeast"/>
          <w:jc w:val="center"/>
        </w:trPr>
        <w:tc>
          <w:tcPr>
            <w:tcW w:w="675" w:type="dxa"/>
            <w:noWrap w:val="0"/>
            <w:vAlign w:val="center"/>
          </w:tcPr>
          <w:p w14:paraId="3E536873">
            <w:pPr>
              <w:pStyle w:val="7"/>
              <w:spacing w:after="0" w:line="240" w:lineRule="auto"/>
              <w:ind w:firstLine="0" w:firstLineChars="0"/>
              <w:jc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2</w:t>
            </w:r>
          </w:p>
        </w:tc>
        <w:tc>
          <w:tcPr>
            <w:tcW w:w="709" w:type="dxa"/>
            <w:noWrap w:val="0"/>
            <w:vAlign w:val="center"/>
          </w:tcPr>
          <w:p w14:paraId="72DD8E9D">
            <w:pPr>
              <w:pStyle w:val="7"/>
              <w:spacing w:after="0" w:line="240" w:lineRule="auto"/>
              <w:ind w:firstLine="0" w:firstLineChars="0"/>
              <w:jc w:val="center"/>
              <w:rPr>
                <w:rFonts w:hint="eastAsia" w:ascii="Times New Roman" w:hAnsi="Times New Roman" w:eastAsia="宋体"/>
                <w:color w:val="auto"/>
                <w:sz w:val="21"/>
                <w:szCs w:val="21"/>
                <w:highlight w:val="none"/>
                <w:lang w:eastAsia="zh-CN"/>
              </w:rPr>
            </w:pPr>
            <w:r>
              <w:rPr>
                <w:rFonts w:ascii="Times New Roman" w:hAnsi="Times New Roman"/>
                <w:color w:val="auto"/>
                <w:sz w:val="21"/>
                <w:szCs w:val="21"/>
                <w:highlight w:val="none"/>
              </w:rPr>
              <w:t>A</w:t>
            </w:r>
            <w:r>
              <w:rPr>
                <w:rFonts w:hint="eastAsia" w:ascii="Times New Roman" w:hAnsi="Times New Roman"/>
                <w:color w:val="auto"/>
                <w:sz w:val="21"/>
                <w:szCs w:val="21"/>
                <w:highlight w:val="none"/>
                <w:lang w:val="en-US" w:eastAsia="zh-CN"/>
              </w:rPr>
              <w:t>2</w:t>
            </w:r>
          </w:p>
        </w:tc>
        <w:tc>
          <w:tcPr>
            <w:tcW w:w="1134" w:type="dxa"/>
            <w:gridSpan w:val="2"/>
            <w:noWrap w:val="0"/>
            <w:vAlign w:val="center"/>
          </w:tcPr>
          <w:p w14:paraId="7768A427">
            <w:pPr>
              <w:pStyle w:val="7"/>
              <w:spacing w:after="0" w:line="240" w:lineRule="auto"/>
              <w:ind w:firstLine="0" w:firstLineChars="0"/>
              <w:jc w:val="center"/>
              <w:rPr>
                <w:rFonts w:ascii="Times New Roman" w:hAnsi="Times New Roman"/>
                <w:color w:val="auto"/>
                <w:sz w:val="21"/>
                <w:szCs w:val="21"/>
                <w:highlight w:val="none"/>
              </w:rPr>
            </w:pPr>
            <w:r>
              <w:rPr>
                <w:rFonts w:hint="eastAsia" w:ascii="Times New Roman" w:hAnsi="Times New Roman"/>
                <w:color w:val="auto"/>
                <w:sz w:val="21"/>
                <w:szCs w:val="21"/>
                <w:highlight w:val="none"/>
                <w:lang w:val="en-US" w:eastAsia="zh-CN"/>
              </w:rPr>
              <w:t>石灰石粉</w:t>
            </w:r>
            <w:r>
              <w:rPr>
                <w:rFonts w:hint="eastAsia" w:ascii="Times New Roman" w:hAnsi="Times New Roman"/>
                <w:color w:val="auto"/>
                <w:sz w:val="21"/>
                <w:szCs w:val="21"/>
                <w:highlight w:val="none"/>
              </w:rPr>
              <w:t>仓</w:t>
            </w:r>
          </w:p>
        </w:tc>
        <w:tc>
          <w:tcPr>
            <w:tcW w:w="1134" w:type="dxa"/>
            <w:tcBorders>
              <w:top w:val="single" w:color="auto" w:sz="4" w:space="0"/>
            </w:tcBorders>
            <w:noWrap w:val="0"/>
            <w:vAlign w:val="center"/>
          </w:tcPr>
          <w:p w14:paraId="72B038EC">
            <w:pPr>
              <w:spacing w:line="240" w:lineRule="auto"/>
              <w:ind w:firstLine="0" w:firstLineChars="0"/>
              <w:jc w:val="center"/>
              <w:rPr>
                <w:rFonts w:ascii="Times New Roman" w:hAnsi="Times New Roman"/>
                <w:color w:val="auto"/>
                <w:kern w:val="0"/>
                <w:sz w:val="21"/>
                <w:szCs w:val="21"/>
                <w:highlight w:val="none"/>
                <w:lang w:bidi="ar"/>
              </w:rPr>
            </w:pPr>
            <w:r>
              <w:rPr>
                <w:rFonts w:ascii="Times New Roman" w:hAnsi="Times New Roman"/>
                <w:color w:val="auto"/>
                <w:kern w:val="0"/>
                <w:sz w:val="21"/>
                <w:szCs w:val="21"/>
                <w:highlight w:val="none"/>
                <w:lang w:bidi="ar"/>
              </w:rPr>
              <w:t>工业粉尘</w:t>
            </w:r>
          </w:p>
        </w:tc>
        <w:tc>
          <w:tcPr>
            <w:tcW w:w="1843" w:type="dxa"/>
            <w:vMerge w:val="continue"/>
            <w:tcBorders>
              <w:bottom w:val="single" w:color="auto" w:sz="4" w:space="0"/>
            </w:tcBorders>
            <w:noWrap w:val="0"/>
            <w:vAlign w:val="center"/>
          </w:tcPr>
          <w:p w14:paraId="5085DA65">
            <w:pPr>
              <w:pStyle w:val="7"/>
              <w:spacing w:after="0" w:line="240" w:lineRule="auto"/>
              <w:ind w:firstLine="0" w:firstLineChars="0"/>
              <w:jc w:val="center"/>
              <w:rPr>
                <w:rFonts w:ascii="Times New Roman" w:hAnsi="Times New Roman"/>
                <w:color w:val="auto"/>
                <w:sz w:val="21"/>
                <w:szCs w:val="21"/>
                <w:highlight w:val="none"/>
              </w:rPr>
            </w:pPr>
          </w:p>
        </w:tc>
        <w:tc>
          <w:tcPr>
            <w:tcW w:w="1417" w:type="dxa"/>
            <w:vMerge w:val="continue"/>
            <w:noWrap w:val="0"/>
            <w:vAlign w:val="center"/>
          </w:tcPr>
          <w:p w14:paraId="46F1074C">
            <w:pPr>
              <w:pStyle w:val="7"/>
              <w:spacing w:after="0" w:line="240" w:lineRule="auto"/>
              <w:ind w:firstLine="0" w:firstLineChars="0"/>
              <w:jc w:val="center"/>
              <w:rPr>
                <w:rFonts w:ascii="Times New Roman" w:hAnsi="Times New Roman"/>
                <w:color w:val="auto"/>
                <w:sz w:val="21"/>
                <w:szCs w:val="21"/>
                <w:highlight w:val="none"/>
              </w:rPr>
            </w:pPr>
          </w:p>
        </w:tc>
        <w:tc>
          <w:tcPr>
            <w:tcW w:w="709" w:type="dxa"/>
            <w:vMerge w:val="continue"/>
            <w:noWrap w:val="0"/>
            <w:vAlign w:val="center"/>
          </w:tcPr>
          <w:p w14:paraId="1FA9B738">
            <w:pPr>
              <w:pStyle w:val="7"/>
              <w:spacing w:after="0" w:line="240" w:lineRule="auto"/>
              <w:ind w:firstLine="0" w:firstLineChars="0"/>
              <w:jc w:val="center"/>
              <w:rPr>
                <w:rFonts w:ascii="Times New Roman" w:hAnsi="Times New Roman"/>
                <w:color w:val="auto"/>
                <w:sz w:val="21"/>
                <w:szCs w:val="21"/>
                <w:highlight w:val="none"/>
              </w:rPr>
            </w:pPr>
          </w:p>
        </w:tc>
        <w:tc>
          <w:tcPr>
            <w:tcW w:w="901" w:type="dxa"/>
            <w:noWrap w:val="0"/>
            <w:vAlign w:val="center"/>
          </w:tcPr>
          <w:p w14:paraId="737F70CE">
            <w:pPr>
              <w:adjustRightInd w:val="0"/>
              <w:spacing w:line="240" w:lineRule="auto"/>
              <w:ind w:firstLine="0" w:firstLineChars="0"/>
              <w:jc w:val="center"/>
              <w:textAlignment w:val="center"/>
              <w:rPr>
                <w:rFonts w:hint="default" w:ascii="Times New Roman" w:hAnsi="Times New Roman"/>
                <w:color w:val="auto"/>
                <w:sz w:val="21"/>
                <w:szCs w:val="21"/>
                <w:highlight w:val="none"/>
                <w:lang w:val="en-US"/>
              </w:rPr>
            </w:pPr>
            <w:r>
              <w:rPr>
                <w:rFonts w:hint="eastAsia" w:ascii="Times New Roman" w:hAnsi="Times New Roman"/>
                <w:color w:val="auto"/>
                <w:sz w:val="21"/>
                <w:szCs w:val="21"/>
                <w:highlight w:val="none"/>
                <w:lang w:val="en-US" w:eastAsia="zh-CN"/>
              </w:rPr>
              <w:t>0.02592</w:t>
            </w:r>
          </w:p>
        </w:tc>
      </w:tr>
      <w:tr w14:paraId="6F6C4E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noWrap w:val="0"/>
            <w:vAlign w:val="center"/>
          </w:tcPr>
          <w:p w14:paraId="09D0A354">
            <w:pPr>
              <w:pStyle w:val="7"/>
              <w:spacing w:after="0" w:line="240" w:lineRule="auto"/>
              <w:ind w:firstLine="0" w:firstLineChars="0"/>
              <w:jc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3</w:t>
            </w:r>
          </w:p>
        </w:tc>
        <w:tc>
          <w:tcPr>
            <w:tcW w:w="709" w:type="dxa"/>
            <w:noWrap w:val="0"/>
            <w:vAlign w:val="center"/>
          </w:tcPr>
          <w:p w14:paraId="30A39543">
            <w:pPr>
              <w:pStyle w:val="7"/>
              <w:spacing w:after="0" w:line="240" w:lineRule="auto"/>
              <w:ind w:firstLine="0" w:firstLineChars="0"/>
              <w:jc w:val="center"/>
              <w:rPr>
                <w:rFonts w:hint="eastAsia" w:ascii="Times New Roman" w:hAnsi="Times New Roman" w:eastAsia="宋体"/>
                <w:color w:val="auto"/>
                <w:sz w:val="21"/>
                <w:szCs w:val="21"/>
                <w:highlight w:val="none"/>
                <w:lang w:eastAsia="zh-CN"/>
              </w:rPr>
            </w:pPr>
            <w:r>
              <w:rPr>
                <w:rFonts w:ascii="Times New Roman" w:hAnsi="Times New Roman"/>
                <w:color w:val="auto"/>
                <w:sz w:val="21"/>
                <w:szCs w:val="21"/>
                <w:highlight w:val="none"/>
              </w:rPr>
              <w:t>A</w:t>
            </w:r>
            <w:r>
              <w:rPr>
                <w:rFonts w:hint="eastAsia" w:ascii="Times New Roman" w:hAnsi="Times New Roman"/>
                <w:color w:val="auto"/>
                <w:sz w:val="21"/>
                <w:szCs w:val="21"/>
                <w:highlight w:val="none"/>
                <w:lang w:val="en-US" w:eastAsia="zh-CN"/>
              </w:rPr>
              <w:t>3</w:t>
            </w:r>
          </w:p>
        </w:tc>
        <w:tc>
          <w:tcPr>
            <w:tcW w:w="1134" w:type="dxa"/>
            <w:gridSpan w:val="2"/>
            <w:noWrap w:val="0"/>
            <w:vAlign w:val="center"/>
          </w:tcPr>
          <w:p w14:paraId="07947188">
            <w:pPr>
              <w:pStyle w:val="7"/>
              <w:spacing w:after="0" w:line="240" w:lineRule="auto"/>
              <w:ind w:firstLine="0" w:firstLineChars="0"/>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渣仓</w:t>
            </w:r>
          </w:p>
        </w:tc>
        <w:tc>
          <w:tcPr>
            <w:tcW w:w="1134" w:type="dxa"/>
            <w:tcBorders>
              <w:right w:val="single" w:color="auto" w:sz="4" w:space="0"/>
            </w:tcBorders>
            <w:noWrap w:val="0"/>
            <w:vAlign w:val="center"/>
          </w:tcPr>
          <w:p w14:paraId="010944F7">
            <w:pPr>
              <w:spacing w:line="240" w:lineRule="auto"/>
              <w:ind w:firstLine="0" w:firstLineChars="0"/>
              <w:jc w:val="center"/>
              <w:rPr>
                <w:rFonts w:ascii="Times New Roman" w:hAnsi="Times New Roman"/>
                <w:color w:val="auto"/>
                <w:kern w:val="0"/>
                <w:sz w:val="21"/>
                <w:szCs w:val="21"/>
                <w:highlight w:val="none"/>
                <w:lang w:bidi="ar"/>
              </w:rPr>
            </w:pPr>
            <w:r>
              <w:rPr>
                <w:rFonts w:ascii="Times New Roman" w:hAnsi="Times New Roman"/>
                <w:color w:val="auto"/>
                <w:kern w:val="0"/>
                <w:sz w:val="21"/>
                <w:szCs w:val="21"/>
                <w:highlight w:val="none"/>
                <w:lang w:bidi="ar"/>
              </w:rPr>
              <w:t>工业粉尘</w:t>
            </w:r>
          </w:p>
        </w:tc>
        <w:tc>
          <w:tcPr>
            <w:tcW w:w="1843" w:type="dxa"/>
            <w:vMerge w:val="restart"/>
            <w:tcBorders>
              <w:top w:val="single" w:color="auto" w:sz="4" w:space="0"/>
              <w:left w:val="single" w:color="auto" w:sz="4" w:space="0"/>
            </w:tcBorders>
            <w:noWrap w:val="0"/>
            <w:vAlign w:val="center"/>
          </w:tcPr>
          <w:p w14:paraId="3FFF1DD4">
            <w:pPr>
              <w:pStyle w:val="7"/>
              <w:spacing w:after="0" w:line="240" w:lineRule="auto"/>
              <w:ind w:firstLine="0" w:firstLineChars="0"/>
              <w:jc w:val="center"/>
              <w:rPr>
                <w:rFonts w:ascii="Times New Roman" w:hAnsi="Times New Roman"/>
                <w:color w:val="auto"/>
                <w:sz w:val="21"/>
                <w:szCs w:val="21"/>
                <w:highlight w:val="none"/>
              </w:rPr>
            </w:pPr>
            <w:r>
              <w:rPr>
                <w:rFonts w:hint="eastAsia" w:ascii="Times New Roman" w:hAnsi="Times New Roman"/>
                <w:sz w:val="21"/>
                <w:szCs w:val="21"/>
                <w:highlight w:val="none"/>
              </w:rPr>
              <w:t>密闭+布袋除尘器</w:t>
            </w:r>
          </w:p>
        </w:tc>
        <w:tc>
          <w:tcPr>
            <w:tcW w:w="1417" w:type="dxa"/>
            <w:vMerge w:val="continue"/>
            <w:noWrap w:val="0"/>
            <w:vAlign w:val="center"/>
          </w:tcPr>
          <w:p w14:paraId="6EA71168">
            <w:pPr>
              <w:pStyle w:val="7"/>
              <w:spacing w:after="0" w:line="240" w:lineRule="auto"/>
              <w:ind w:firstLine="0" w:firstLineChars="0"/>
              <w:jc w:val="center"/>
              <w:rPr>
                <w:rFonts w:ascii="Times New Roman" w:hAnsi="Times New Roman"/>
                <w:color w:val="auto"/>
                <w:sz w:val="21"/>
                <w:szCs w:val="21"/>
                <w:highlight w:val="none"/>
              </w:rPr>
            </w:pPr>
          </w:p>
        </w:tc>
        <w:tc>
          <w:tcPr>
            <w:tcW w:w="709" w:type="dxa"/>
            <w:vMerge w:val="continue"/>
            <w:noWrap w:val="0"/>
            <w:vAlign w:val="center"/>
          </w:tcPr>
          <w:p w14:paraId="57BAD5B6">
            <w:pPr>
              <w:pStyle w:val="7"/>
              <w:spacing w:after="0" w:line="240" w:lineRule="auto"/>
              <w:ind w:firstLine="0" w:firstLineChars="0"/>
              <w:jc w:val="center"/>
              <w:rPr>
                <w:rFonts w:ascii="Times New Roman" w:hAnsi="Times New Roman"/>
                <w:color w:val="auto"/>
                <w:sz w:val="21"/>
                <w:szCs w:val="21"/>
                <w:highlight w:val="none"/>
              </w:rPr>
            </w:pPr>
          </w:p>
        </w:tc>
        <w:tc>
          <w:tcPr>
            <w:tcW w:w="901" w:type="dxa"/>
            <w:noWrap w:val="0"/>
            <w:vAlign w:val="center"/>
          </w:tcPr>
          <w:p w14:paraId="5A0D84E4">
            <w:pPr>
              <w:adjustRightIn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rPr>
              <w:t>0.</w:t>
            </w:r>
            <w:r>
              <w:rPr>
                <w:rFonts w:hint="eastAsia" w:ascii="Times New Roman" w:hAnsi="Times New Roman"/>
                <w:color w:val="auto"/>
                <w:sz w:val="21"/>
                <w:szCs w:val="21"/>
                <w:highlight w:val="none"/>
                <w:lang w:val="en-US" w:eastAsia="zh-CN"/>
              </w:rPr>
              <w:t>003</w:t>
            </w:r>
          </w:p>
        </w:tc>
      </w:tr>
      <w:tr w14:paraId="656187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noWrap w:val="0"/>
            <w:vAlign w:val="center"/>
          </w:tcPr>
          <w:p w14:paraId="7D7C221D">
            <w:pPr>
              <w:pStyle w:val="7"/>
              <w:spacing w:after="0" w:line="240" w:lineRule="auto"/>
              <w:ind w:firstLine="0" w:firstLineChars="0"/>
              <w:jc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4</w:t>
            </w:r>
          </w:p>
        </w:tc>
        <w:tc>
          <w:tcPr>
            <w:tcW w:w="709" w:type="dxa"/>
            <w:noWrap w:val="0"/>
            <w:vAlign w:val="center"/>
          </w:tcPr>
          <w:p w14:paraId="7C0264A7">
            <w:pPr>
              <w:pStyle w:val="7"/>
              <w:spacing w:after="0" w:line="240" w:lineRule="auto"/>
              <w:ind w:firstLine="0" w:firstLineChars="0"/>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A4</w:t>
            </w:r>
          </w:p>
        </w:tc>
        <w:tc>
          <w:tcPr>
            <w:tcW w:w="1134" w:type="dxa"/>
            <w:gridSpan w:val="2"/>
            <w:noWrap w:val="0"/>
            <w:vAlign w:val="center"/>
          </w:tcPr>
          <w:p w14:paraId="776544FE">
            <w:pPr>
              <w:pStyle w:val="7"/>
              <w:spacing w:after="0" w:line="240" w:lineRule="auto"/>
              <w:ind w:firstLine="0" w:firstLineChars="0"/>
              <w:jc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碎煤机室</w:t>
            </w:r>
          </w:p>
        </w:tc>
        <w:tc>
          <w:tcPr>
            <w:tcW w:w="1134" w:type="dxa"/>
            <w:noWrap w:val="0"/>
            <w:vAlign w:val="center"/>
          </w:tcPr>
          <w:p w14:paraId="524AEA91">
            <w:pPr>
              <w:spacing w:line="240" w:lineRule="auto"/>
              <w:ind w:firstLine="0" w:firstLineChars="0"/>
              <w:jc w:val="center"/>
              <w:rPr>
                <w:rFonts w:hint="default" w:ascii="Times New Roman" w:hAnsi="Times New Roman" w:eastAsia="宋体"/>
                <w:color w:val="auto"/>
                <w:kern w:val="0"/>
                <w:sz w:val="21"/>
                <w:szCs w:val="21"/>
                <w:highlight w:val="none"/>
                <w:lang w:val="en-US" w:eastAsia="zh-CN" w:bidi="ar"/>
              </w:rPr>
            </w:pPr>
            <w:r>
              <w:rPr>
                <w:rFonts w:hint="eastAsia" w:ascii="Times New Roman" w:hAnsi="Times New Roman"/>
                <w:color w:val="auto"/>
                <w:kern w:val="0"/>
                <w:sz w:val="21"/>
                <w:szCs w:val="21"/>
                <w:highlight w:val="none"/>
                <w:lang w:val="en-US" w:eastAsia="zh-CN" w:bidi="ar"/>
              </w:rPr>
              <w:t>工业粉尘</w:t>
            </w:r>
          </w:p>
        </w:tc>
        <w:tc>
          <w:tcPr>
            <w:tcW w:w="1843" w:type="dxa"/>
            <w:vMerge w:val="continue"/>
            <w:tcBorders>
              <w:left w:val="single" w:color="auto" w:sz="4" w:space="0"/>
            </w:tcBorders>
            <w:noWrap w:val="0"/>
            <w:vAlign w:val="center"/>
          </w:tcPr>
          <w:p w14:paraId="43F3A8DA">
            <w:pPr>
              <w:pStyle w:val="7"/>
              <w:spacing w:after="0" w:line="240" w:lineRule="auto"/>
              <w:ind w:firstLine="0" w:firstLineChars="0"/>
              <w:jc w:val="center"/>
              <w:rPr>
                <w:rFonts w:ascii="Times New Roman" w:hAnsi="Times New Roman"/>
                <w:color w:val="auto"/>
                <w:sz w:val="21"/>
                <w:szCs w:val="21"/>
                <w:highlight w:val="none"/>
              </w:rPr>
            </w:pPr>
          </w:p>
        </w:tc>
        <w:tc>
          <w:tcPr>
            <w:tcW w:w="1417" w:type="dxa"/>
            <w:vMerge w:val="continue"/>
            <w:noWrap w:val="0"/>
            <w:vAlign w:val="center"/>
          </w:tcPr>
          <w:p w14:paraId="4C7CEED4">
            <w:pPr>
              <w:pStyle w:val="7"/>
              <w:spacing w:after="0" w:line="240" w:lineRule="auto"/>
              <w:ind w:firstLine="0" w:firstLineChars="0"/>
              <w:jc w:val="center"/>
              <w:rPr>
                <w:rFonts w:ascii="Times New Roman" w:hAnsi="Times New Roman"/>
                <w:color w:val="auto"/>
                <w:sz w:val="21"/>
                <w:szCs w:val="21"/>
                <w:highlight w:val="none"/>
              </w:rPr>
            </w:pPr>
          </w:p>
        </w:tc>
        <w:tc>
          <w:tcPr>
            <w:tcW w:w="709" w:type="dxa"/>
            <w:vMerge w:val="continue"/>
            <w:noWrap w:val="0"/>
            <w:vAlign w:val="center"/>
          </w:tcPr>
          <w:p w14:paraId="50CA6317">
            <w:pPr>
              <w:pStyle w:val="7"/>
              <w:spacing w:after="0" w:line="240" w:lineRule="auto"/>
              <w:ind w:firstLine="0" w:firstLineChars="0"/>
              <w:jc w:val="center"/>
              <w:rPr>
                <w:rFonts w:ascii="Times New Roman" w:hAnsi="Times New Roman"/>
                <w:color w:val="auto"/>
                <w:sz w:val="21"/>
                <w:szCs w:val="21"/>
                <w:highlight w:val="none"/>
              </w:rPr>
            </w:pPr>
          </w:p>
        </w:tc>
        <w:tc>
          <w:tcPr>
            <w:tcW w:w="901" w:type="dxa"/>
            <w:noWrap w:val="0"/>
            <w:vAlign w:val="center"/>
          </w:tcPr>
          <w:p w14:paraId="1F59369C">
            <w:pPr>
              <w:adjustRightIn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0.0081</w:t>
            </w:r>
          </w:p>
        </w:tc>
      </w:tr>
      <w:tr w14:paraId="09BF9B0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522" w:type="dxa"/>
            <w:gridSpan w:val="9"/>
            <w:noWrap w:val="0"/>
            <w:vAlign w:val="center"/>
          </w:tcPr>
          <w:p w14:paraId="2FFCF577">
            <w:pPr>
              <w:pStyle w:val="7"/>
              <w:spacing w:after="0"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无组织排放总计</w:t>
            </w:r>
          </w:p>
        </w:tc>
      </w:tr>
      <w:tr w14:paraId="22C96D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54" w:hRule="atLeast"/>
          <w:jc w:val="center"/>
        </w:trPr>
        <w:tc>
          <w:tcPr>
            <w:tcW w:w="2235" w:type="dxa"/>
            <w:gridSpan w:val="3"/>
            <w:noWrap w:val="0"/>
            <w:vAlign w:val="center"/>
          </w:tcPr>
          <w:p w14:paraId="2905999B">
            <w:pPr>
              <w:pStyle w:val="7"/>
              <w:spacing w:after="0"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无组织排放总计</w:t>
            </w:r>
          </w:p>
        </w:tc>
        <w:tc>
          <w:tcPr>
            <w:tcW w:w="5386" w:type="dxa"/>
            <w:gridSpan w:val="5"/>
            <w:noWrap w:val="0"/>
            <w:vAlign w:val="center"/>
          </w:tcPr>
          <w:p w14:paraId="79291283">
            <w:pPr>
              <w:pStyle w:val="7"/>
              <w:spacing w:after="0"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工业粉尘</w:t>
            </w:r>
          </w:p>
        </w:tc>
        <w:tc>
          <w:tcPr>
            <w:tcW w:w="901" w:type="dxa"/>
            <w:noWrap w:val="0"/>
            <w:vAlign w:val="center"/>
          </w:tcPr>
          <w:p w14:paraId="399FB723">
            <w:pPr>
              <w:pStyle w:val="7"/>
              <w:spacing w:after="0" w:line="240" w:lineRule="auto"/>
              <w:ind w:firstLine="0" w:firstLineChars="0"/>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0.098</w:t>
            </w:r>
          </w:p>
        </w:tc>
      </w:tr>
    </w:tbl>
    <w:p w14:paraId="16406348">
      <w:pPr>
        <w:ind w:firstLine="0" w:firstLineChars="0"/>
        <w:jc w:val="center"/>
        <w:rPr>
          <w:rFonts w:ascii="Times New Roman" w:hAnsi="Times New Roman"/>
          <w:color w:val="auto"/>
          <w:highlight w:val="none"/>
        </w:rPr>
      </w:pPr>
      <w:r>
        <w:rPr>
          <w:rFonts w:hint="eastAsia" w:ascii="黑体" w:hAnsi="黑体" w:eastAsia="黑体" w:cs="黑体"/>
          <w:color w:val="auto"/>
          <w:highlight w:val="none"/>
        </w:rPr>
        <w:t>表</w:t>
      </w:r>
      <w:r>
        <w:rPr>
          <w:rFonts w:ascii="Times New Roman" w:hAnsi="Times New Roman"/>
          <w:color w:val="auto"/>
          <w:highlight w:val="none"/>
        </w:rPr>
        <w:t>5.2-</w:t>
      </w:r>
      <w:r>
        <w:rPr>
          <w:rFonts w:hint="eastAsia" w:ascii="Times New Roman" w:hAnsi="Times New Roman"/>
          <w:color w:val="auto"/>
          <w:highlight w:val="none"/>
        </w:rPr>
        <w:t>2</w:t>
      </w:r>
      <w:r>
        <w:rPr>
          <w:rFonts w:hint="eastAsia" w:ascii="Times New Roman" w:hAnsi="Times New Roman"/>
          <w:color w:val="auto"/>
          <w:highlight w:val="none"/>
          <w:lang w:val="en-US" w:eastAsia="zh-CN"/>
        </w:rPr>
        <w:t>3</w:t>
      </w:r>
      <w:r>
        <w:rPr>
          <w:rFonts w:hint="eastAsia" w:ascii="黑体" w:hAnsi="黑体" w:eastAsia="黑体" w:cs="黑体"/>
          <w:color w:val="auto"/>
          <w:highlight w:val="none"/>
        </w:rPr>
        <w:t>本项目大气污染物年排放量核算表</w:t>
      </w:r>
    </w:p>
    <w:tbl>
      <w:tblPr>
        <w:tblStyle w:val="17"/>
        <w:tblW w:w="5000" w:type="pct"/>
        <w:jc w:val="center"/>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0668DD22">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tcBorders>
              <w:top w:val="single" w:color="auto" w:sz="12" w:space="0"/>
              <w:left w:val="nil"/>
              <w:bottom w:val="single" w:color="auto" w:sz="4" w:space="0"/>
              <w:right w:val="single" w:color="auto" w:sz="4" w:space="0"/>
            </w:tcBorders>
            <w:noWrap w:val="0"/>
            <w:vAlign w:val="center"/>
          </w:tcPr>
          <w:p w14:paraId="65F9739D">
            <w:pP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lang w:bidi="ar"/>
              </w:rPr>
              <w:t>序号</w:t>
            </w:r>
          </w:p>
        </w:tc>
        <w:tc>
          <w:tcPr>
            <w:tcW w:w="1667" w:type="pct"/>
            <w:tcBorders>
              <w:top w:val="single" w:color="auto" w:sz="12" w:space="0"/>
              <w:left w:val="single" w:color="auto" w:sz="4" w:space="0"/>
              <w:bottom w:val="single" w:color="auto" w:sz="4" w:space="0"/>
              <w:right w:val="single" w:color="auto" w:sz="4" w:space="0"/>
            </w:tcBorders>
            <w:noWrap w:val="0"/>
            <w:vAlign w:val="center"/>
          </w:tcPr>
          <w:p w14:paraId="4C0EF797">
            <w:pP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lang w:bidi="ar"/>
              </w:rPr>
              <w:t>污染物</w:t>
            </w:r>
          </w:p>
        </w:tc>
        <w:tc>
          <w:tcPr>
            <w:tcW w:w="1667" w:type="pct"/>
            <w:tcBorders>
              <w:top w:val="single" w:color="auto" w:sz="12" w:space="0"/>
              <w:left w:val="single" w:color="auto" w:sz="4" w:space="0"/>
              <w:bottom w:val="single" w:color="auto" w:sz="4" w:space="0"/>
              <w:right w:val="nil"/>
            </w:tcBorders>
            <w:noWrap w:val="0"/>
            <w:vAlign w:val="center"/>
          </w:tcPr>
          <w:p w14:paraId="638C8895">
            <w:pP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lang w:bidi="ar"/>
              </w:rPr>
              <w:t>年排放量/（t/a）</w:t>
            </w:r>
          </w:p>
        </w:tc>
      </w:tr>
      <w:tr w14:paraId="51194A45">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tcBorders>
              <w:top w:val="single" w:color="auto" w:sz="4" w:space="0"/>
              <w:left w:val="nil"/>
              <w:bottom w:val="single" w:color="auto" w:sz="4" w:space="0"/>
              <w:right w:val="single" w:color="auto" w:sz="4" w:space="0"/>
            </w:tcBorders>
            <w:noWrap w:val="0"/>
            <w:vAlign w:val="center"/>
          </w:tcPr>
          <w:p w14:paraId="7202A590">
            <w:pP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lang w:bidi="ar"/>
              </w:rPr>
              <w:t>1</w:t>
            </w:r>
          </w:p>
        </w:tc>
        <w:tc>
          <w:tcPr>
            <w:tcW w:w="1667" w:type="pct"/>
            <w:tcBorders>
              <w:top w:val="single" w:color="auto" w:sz="4" w:space="0"/>
              <w:left w:val="single" w:color="auto" w:sz="4" w:space="0"/>
              <w:bottom w:val="single" w:color="auto" w:sz="4" w:space="0"/>
              <w:right w:val="single" w:color="auto" w:sz="4" w:space="0"/>
            </w:tcBorders>
            <w:noWrap w:val="0"/>
            <w:vAlign w:val="center"/>
          </w:tcPr>
          <w:p w14:paraId="3BA82E46">
            <w:pP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lang w:bidi="ar"/>
              </w:rPr>
              <w:t>烟尘</w:t>
            </w:r>
          </w:p>
        </w:tc>
        <w:tc>
          <w:tcPr>
            <w:tcW w:w="2841" w:type="dxa"/>
            <w:tcBorders>
              <w:top w:val="single" w:color="auto" w:sz="4" w:space="0"/>
              <w:left w:val="single" w:color="auto" w:sz="4" w:space="0"/>
              <w:bottom w:val="single" w:color="auto" w:sz="4" w:space="0"/>
              <w:right w:val="nil"/>
            </w:tcBorders>
            <w:noWrap w:val="0"/>
            <w:vAlign w:val="center"/>
          </w:tcPr>
          <w:p w14:paraId="27B4FF34">
            <w:pPr>
              <w:adjustRightInd w:val="0"/>
              <w:spacing w:line="240" w:lineRule="auto"/>
              <w:ind w:firstLine="0" w:firstLineChars="0"/>
              <w:jc w:val="center"/>
              <w:textAlignment w:val="center"/>
              <w:rPr>
                <w:rFonts w:hint="default" w:ascii="Times New Roman" w:hAnsi="Times New Roman"/>
                <w:bCs/>
                <w:color w:val="auto"/>
                <w:kern w:val="0"/>
                <w:sz w:val="21"/>
                <w:szCs w:val="21"/>
                <w:highlight w:val="none"/>
                <w:lang w:val="en-US"/>
              </w:rPr>
            </w:pPr>
            <w:r>
              <w:rPr>
                <w:rFonts w:hint="eastAsia" w:ascii="Times New Roman" w:hAnsi="Times New Roman"/>
                <w:color w:val="auto"/>
                <w:sz w:val="21"/>
                <w:szCs w:val="21"/>
                <w:highlight w:val="none"/>
                <w:lang w:val="en-US" w:eastAsia="zh-CN"/>
              </w:rPr>
              <w:t>7.902</w:t>
            </w:r>
          </w:p>
        </w:tc>
      </w:tr>
      <w:tr w14:paraId="3FAF7F21">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tcBorders>
              <w:top w:val="single" w:color="auto" w:sz="4" w:space="0"/>
              <w:left w:val="nil"/>
              <w:bottom w:val="single" w:color="auto" w:sz="4" w:space="0"/>
              <w:right w:val="single" w:color="auto" w:sz="4" w:space="0"/>
            </w:tcBorders>
            <w:noWrap w:val="0"/>
            <w:vAlign w:val="center"/>
          </w:tcPr>
          <w:p w14:paraId="132EB4BA">
            <w:pP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lang w:bidi="ar"/>
              </w:rPr>
              <w:t>2</w:t>
            </w:r>
          </w:p>
        </w:tc>
        <w:tc>
          <w:tcPr>
            <w:tcW w:w="1667" w:type="pct"/>
            <w:tcBorders>
              <w:top w:val="single" w:color="auto" w:sz="4" w:space="0"/>
              <w:left w:val="single" w:color="auto" w:sz="4" w:space="0"/>
              <w:bottom w:val="single" w:color="auto" w:sz="4" w:space="0"/>
              <w:right w:val="single" w:color="auto" w:sz="4" w:space="0"/>
            </w:tcBorders>
            <w:noWrap w:val="0"/>
            <w:vAlign w:val="center"/>
          </w:tcPr>
          <w:p w14:paraId="2F37382E">
            <w:pP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lang w:bidi="ar"/>
              </w:rPr>
              <w:t>SO</w:t>
            </w:r>
            <w:r>
              <w:rPr>
                <w:rFonts w:ascii="Times New Roman" w:hAnsi="Times New Roman"/>
                <w:color w:val="auto"/>
                <w:kern w:val="0"/>
                <w:sz w:val="21"/>
                <w:szCs w:val="21"/>
                <w:highlight w:val="none"/>
                <w:vertAlign w:val="subscript"/>
                <w:lang w:bidi="ar"/>
              </w:rPr>
              <w:t>2</w:t>
            </w:r>
          </w:p>
        </w:tc>
        <w:tc>
          <w:tcPr>
            <w:tcW w:w="2841" w:type="dxa"/>
            <w:tcBorders>
              <w:top w:val="single" w:color="auto" w:sz="4" w:space="0"/>
              <w:left w:val="single" w:color="auto" w:sz="4" w:space="0"/>
              <w:bottom w:val="single" w:color="auto" w:sz="4" w:space="0"/>
              <w:right w:val="nil"/>
            </w:tcBorders>
            <w:noWrap w:val="0"/>
            <w:vAlign w:val="center"/>
          </w:tcPr>
          <w:p w14:paraId="2B048FCF">
            <w:pPr>
              <w:adjustRightInd w:val="0"/>
              <w:spacing w:line="240" w:lineRule="auto"/>
              <w:ind w:firstLine="0" w:firstLineChars="0"/>
              <w:jc w:val="center"/>
              <w:textAlignment w:val="center"/>
              <w:rPr>
                <w:rFonts w:hint="default" w:ascii="Times New Roman" w:hAnsi="Times New Roman"/>
                <w:bCs/>
                <w:color w:val="auto"/>
                <w:kern w:val="0"/>
                <w:sz w:val="21"/>
                <w:szCs w:val="21"/>
                <w:highlight w:val="none"/>
                <w:lang w:val="en-US"/>
              </w:rPr>
            </w:pPr>
            <w:r>
              <w:rPr>
                <w:rFonts w:hint="eastAsia" w:ascii="Times New Roman" w:hAnsi="Times New Roman" w:eastAsia="黑体"/>
                <w:color w:val="auto"/>
                <w:kern w:val="0"/>
                <w:sz w:val="21"/>
                <w:szCs w:val="21"/>
                <w:highlight w:val="none"/>
                <w:lang w:val="en-US" w:eastAsia="zh-CN"/>
              </w:rPr>
              <w:t>27.658</w:t>
            </w:r>
          </w:p>
        </w:tc>
      </w:tr>
      <w:tr w14:paraId="6DC1DDB6">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tcBorders>
              <w:top w:val="single" w:color="auto" w:sz="4" w:space="0"/>
              <w:left w:val="nil"/>
              <w:bottom w:val="single" w:color="auto" w:sz="4" w:space="0"/>
              <w:right w:val="single" w:color="auto" w:sz="4" w:space="0"/>
            </w:tcBorders>
            <w:noWrap w:val="0"/>
            <w:vAlign w:val="center"/>
          </w:tcPr>
          <w:p w14:paraId="6B527D94">
            <w:pP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lang w:bidi="ar"/>
              </w:rPr>
              <w:t>3</w:t>
            </w:r>
          </w:p>
        </w:tc>
        <w:tc>
          <w:tcPr>
            <w:tcW w:w="1667" w:type="pct"/>
            <w:tcBorders>
              <w:top w:val="single" w:color="auto" w:sz="4" w:space="0"/>
              <w:left w:val="single" w:color="auto" w:sz="4" w:space="0"/>
              <w:bottom w:val="single" w:color="auto" w:sz="4" w:space="0"/>
              <w:right w:val="single" w:color="auto" w:sz="4" w:space="0"/>
            </w:tcBorders>
            <w:noWrap w:val="0"/>
            <w:vAlign w:val="center"/>
          </w:tcPr>
          <w:p w14:paraId="010E97B3">
            <w:pP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lang w:bidi="ar"/>
              </w:rPr>
              <w:t>NOx</w:t>
            </w:r>
          </w:p>
        </w:tc>
        <w:tc>
          <w:tcPr>
            <w:tcW w:w="2841" w:type="dxa"/>
            <w:tcBorders>
              <w:top w:val="single" w:color="auto" w:sz="4" w:space="0"/>
              <w:left w:val="single" w:color="auto" w:sz="4" w:space="0"/>
              <w:bottom w:val="single" w:color="auto" w:sz="4" w:space="0"/>
              <w:right w:val="nil"/>
            </w:tcBorders>
            <w:noWrap w:val="0"/>
            <w:vAlign w:val="center"/>
          </w:tcPr>
          <w:p w14:paraId="4704AF57">
            <w:pPr>
              <w:adjustRightInd w:val="0"/>
              <w:spacing w:line="240" w:lineRule="auto"/>
              <w:ind w:firstLine="0" w:firstLineChars="0"/>
              <w:jc w:val="center"/>
              <w:textAlignment w:val="center"/>
              <w:rPr>
                <w:rFonts w:hint="default" w:ascii="Times New Roman" w:hAnsi="Times New Roman"/>
                <w:bCs/>
                <w:color w:val="auto"/>
                <w:kern w:val="0"/>
                <w:sz w:val="21"/>
                <w:szCs w:val="21"/>
                <w:highlight w:val="none"/>
                <w:lang w:val="en-US"/>
              </w:rPr>
            </w:pPr>
            <w:r>
              <w:rPr>
                <w:rFonts w:hint="eastAsia" w:ascii="Times New Roman" w:hAnsi="Times New Roman"/>
                <w:color w:val="auto"/>
                <w:sz w:val="21"/>
                <w:szCs w:val="21"/>
                <w:highlight w:val="none"/>
                <w:lang w:val="en-US" w:eastAsia="zh-CN"/>
              </w:rPr>
              <w:t>39.511</w:t>
            </w:r>
          </w:p>
        </w:tc>
      </w:tr>
      <w:tr w14:paraId="238D387B">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tcBorders>
              <w:top w:val="single" w:color="auto" w:sz="4" w:space="0"/>
              <w:left w:val="nil"/>
              <w:bottom w:val="single" w:color="auto" w:sz="4" w:space="0"/>
              <w:right w:val="single" w:color="auto" w:sz="4" w:space="0"/>
            </w:tcBorders>
            <w:noWrap w:val="0"/>
            <w:vAlign w:val="center"/>
          </w:tcPr>
          <w:p w14:paraId="2FFD8EA9">
            <w:pPr>
              <w:spacing w:line="240" w:lineRule="auto"/>
              <w:ind w:firstLine="0" w:firstLineChars="0"/>
              <w:jc w:val="center"/>
              <w:rPr>
                <w:rFonts w:ascii="Times New Roman" w:hAnsi="Times New Roman"/>
                <w:color w:val="auto"/>
                <w:kern w:val="0"/>
                <w:sz w:val="21"/>
                <w:szCs w:val="21"/>
                <w:highlight w:val="none"/>
                <w:lang w:bidi="ar"/>
              </w:rPr>
            </w:pPr>
            <w:r>
              <w:rPr>
                <w:rFonts w:ascii="Times New Roman" w:hAnsi="Times New Roman"/>
                <w:color w:val="auto"/>
                <w:kern w:val="0"/>
                <w:sz w:val="21"/>
                <w:szCs w:val="21"/>
                <w:highlight w:val="none"/>
                <w:lang w:bidi="ar"/>
              </w:rPr>
              <w:t>4</w:t>
            </w:r>
          </w:p>
        </w:tc>
        <w:tc>
          <w:tcPr>
            <w:tcW w:w="1667" w:type="pct"/>
            <w:tcBorders>
              <w:top w:val="single" w:color="auto" w:sz="4" w:space="0"/>
              <w:left w:val="single" w:color="auto" w:sz="4" w:space="0"/>
              <w:bottom w:val="single" w:color="auto" w:sz="4" w:space="0"/>
              <w:right w:val="single" w:color="auto" w:sz="4" w:space="0"/>
            </w:tcBorders>
            <w:noWrap w:val="0"/>
            <w:vAlign w:val="center"/>
          </w:tcPr>
          <w:p w14:paraId="11E99AC6">
            <w:pPr>
              <w:spacing w:line="240" w:lineRule="auto"/>
              <w:ind w:firstLine="0" w:firstLineChars="0"/>
              <w:jc w:val="center"/>
              <w:rPr>
                <w:rFonts w:ascii="Times New Roman" w:hAnsi="Times New Roman"/>
                <w:color w:val="auto"/>
                <w:kern w:val="0"/>
                <w:sz w:val="21"/>
                <w:szCs w:val="21"/>
                <w:highlight w:val="none"/>
                <w:lang w:bidi="ar"/>
              </w:rPr>
            </w:pPr>
            <w:r>
              <w:rPr>
                <w:rFonts w:ascii="Times New Roman" w:hAnsi="Times New Roman"/>
                <w:color w:val="auto"/>
                <w:kern w:val="0"/>
                <w:sz w:val="21"/>
                <w:szCs w:val="21"/>
                <w:highlight w:val="none"/>
                <w:lang w:bidi="ar"/>
              </w:rPr>
              <w:t>汞及其化合物</w:t>
            </w:r>
          </w:p>
        </w:tc>
        <w:tc>
          <w:tcPr>
            <w:tcW w:w="2841" w:type="dxa"/>
            <w:tcBorders>
              <w:top w:val="single" w:color="auto" w:sz="4" w:space="0"/>
              <w:left w:val="single" w:color="auto" w:sz="4" w:space="0"/>
              <w:bottom w:val="single" w:color="auto" w:sz="4" w:space="0"/>
              <w:right w:val="nil"/>
            </w:tcBorders>
            <w:noWrap w:val="0"/>
            <w:vAlign w:val="center"/>
          </w:tcPr>
          <w:p w14:paraId="3DC1CC54">
            <w:pPr>
              <w:adjustRightInd w:val="0"/>
              <w:spacing w:line="240" w:lineRule="auto"/>
              <w:ind w:firstLine="0" w:firstLineChars="0"/>
              <w:jc w:val="center"/>
              <w:textAlignment w:val="center"/>
              <w:rPr>
                <w:rFonts w:ascii="Times New Roman" w:hAnsi="Times New Roman"/>
                <w:color w:val="auto"/>
                <w:sz w:val="21"/>
                <w:szCs w:val="21"/>
                <w:highlight w:val="none"/>
              </w:rPr>
            </w:pPr>
            <w:r>
              <w:rPr>
                <w:rFonts w:ascii="Times New Roman" w:hAnsi="Times New Roman"/>
                <w:color w:val="auto"/>
                <w:sz w:val="21"/>
                <w:szCs w:val="21"/>
                <w:highlight w:val="none"/>
              </w:rPr>
              <w:t>0.00</w:t>
            </w:r>
            <w:r>
              <w:rPr>
                <w:rFonts w:hint="eastAsia" w:ascii="Times New Roman" w:hAnsi="Times New Roman"/>
                <w:color w:val="auto"/>
                <w:sz w:val="21"/>
                <w:szCs w:val="21"/>
                <w:highlight w:val="none"/>
                <w:lang w:val="en-US" w:eastAsia="zh-CN"/>
              </w:rPr>
              <w:t>16</w:t>
            </w:r>
          </w:p>
        </w:tc>
      </w:tr>
      <w:tr w14:paraId="26EE8A26">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tcBorders>
              <w:top w:val="single" w:color="auto" w:sz="4" w:space="0"/>
              <w:left w:val="nil"/>
              <w:bottom w:val="single" w:color="auto" w:sz="4" w:space="0"/>
              <w:right w:val="single" w:color="auto" w:sz="4" w:space="0"/>
            </w:tcBorders>
            <w:noWrap w:val="0"/>
            <w:vAlign w:val="center"/>
          </w:tcPr>
          <w:p w14:paraId="4DC5EDD0">
            <w:pPr>
              <w:spacing w:line="240" w:lineRule="auto"/>
              <w:ind w:firstLine="0" w:firstLineChars="0"/>
              <w:jc w:val="center"/>
              <w:rPr>
                <w:rFonts w:ascii="Times New Roman" w:hAnsi="Times New Roman"/>
                <w:color w:val="auto"/>
                <w:kern w:val="0"/>
                <w:sz w:val="21"/>
                <w:szCs w:val="21"/>
                <w:highlight w:val="none"/>
                <w:lang w:bidi="ar"/>
              </w:rPr>
            </w:pPr>
            <w:r>
              <w:rPr>
                <w:rFonts w:ascii="Times New Roman" w:hAnsi="Times New Roman"/>
                <w:color w:val="auto"/>
                <w:kern w:val="0"/>
                <w:sz w:val="21"/>
                <w:szCs w:val="21"/>
                <w:highlight w:val="none"/>
                <w:lang w:bidi="ar"/>
              </w:rPr>
              <w:t>5</w:t>
            </w:r>
          </w:p>
        </w:tc>
        <w:tc>
          <w:tcPr>
            <w:tcW w:w="1667" w:type="pct"/>
            <w:tcBorders>
              <w:top w:val="single" w:color="auto" w:sz="4" w:space="0"/>
              <w:left w:val="single" w:color="auto" w:sz="4" w:space="0"/>
              <w:bottom w:val="single" w:color="auto" w:sz="4" w:space="0"/>
              <w:right w:val="single" w:color="auto" w:sz="4" w:space="0"/>
            </w:tcBorders>
            <w:noWrap w:val="0"/>
            <w:vAlign w:val="center"/>
          </w:tcPr>
          <w:p w14:paraId="2C1C1662">
            <w:pPr>
              <w:spacing w:line="240" w:lineRule="auto"/>
              <w:ind w:firstLine="0" w:firstLineChars="0"/>
              <w:jc w:val="center"/>
              <w:rPr>
                <w:rFonts w:ascii="Times New Roman" w:hAnsi="Times New Roman"/>
                <w:color w:val="auto"/>
                <w:kern w:val="0"/>
                <w:sz w:val="21"/>
                <w:szCs w:val="21"/>
                <w:highlight w:val="none"/>
                <w:lang w:bidi="ar"/>
              </w:rPr>
            </w:pPr>
            <w:r>
              <w:rPr>
                <w:rFonts w:ascii="Times New Roman" w:hAnsi="Times New Roman"/>
                <w:color w:val="auto"/>
                <w:kern w:val="0"/>
                <w:sz w:val="21"/>
                <w:szCs w:val="21"/>
                <w:highlight w:val="none"/>
                <w:lang w:bidi="ar"/>
              </w:rPr>
              <w:t>氨</w:t>
            </w:r>
          </w:p>
        </w:tc>
        <w:tc>
          <w:tcPr>
            <w:tcW w:w="2841" w:type="dxa"/>
            <w:tcBorders>
              <w:top w:val="single" w:color="auto" w:sz="4" w:space="0"/>
              <w:left w:val="single" w:color="auto" w:sz="4" w:space="0"/>
              <w:bottom w:val="single" w:color="auto" w:sz="4" w:space="0"/>
              <w:right w:val="nil"/>
            </w:tcBorders>
            <w:noWrap w:val="0"/>
            <w:vAlign w:val="center"/>
          </w:tcPr>
          <w:p w14:paraId="6242EFBB">
            <w:pPr>
              <w:adjustRightInd w:val="0"/>
              <w:spacing w:line="240" w:lineRule="auto"/>
              <w:ind w:firstLine="0" w:firstLineChars="0"/>
              <w:jc w:val="center"/>
              <w:textAlignment w:val="center"/>
              <w:rPr>
                <w:rFonts w:hint="default" w:ascii="Times New Roman" w:hAnsi="Times New Roman"/>
                <w:color w:val="auto"/>
                <w:sz w:val="21"/>
                <w:szCs w:val="21"/>
                <w:highlight w:val="none"/>
                <w:lang w:val="en-US"/>
              </w:rPr>
            </w:pPr>
            <w:r>
              <w:rPr>
                <w:rFonts w:hint="eastAsia" w:ascii="Times New Roman" w:hAnsi="Times New Roman"/>
                <w:color w:val="auto"/>
                <w:sz w:val="21"/>
                <w:szCs w:val="21"/>
                <w:highlight w:val="none"/>
                <w:lang w:val="en-US" w:eastAsia="zh-CN"/>
              </w:rPr>
              <w:t>1.96</w:t>
            </w:r>
          </w:p>
        </w:tc>
      </w:tr>
      <w:tr w14:paraId="23B145F5">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tcBorders>
              <w:top w:val="single" w:color="auto" w:sz="4" w:space="0"/>
              <w:left w:val="nil"/>
              <w:bottom w:val="single" w:color="auto" w:sz="12" w:space="0"/>
              <w:right w:val="single" w:color="auto" w:sz="4" w:space="0"/>
            </w:tcBorders>
            <w:noWrap w:val="0"/>
            <w:vAlign w:val="center"/>
          </w:tcPr>
          <w:p w14:paraId="21B3196A">
            <w:pPr>
              <w:spacing w:line="240" w:lineRule="auto"/>
              <w:ind w:firstLine="0" w:firstLineChars="0"/>
              <w:jc w:val="center"/>
              <w:rPr>
                <w:rFonts w:ascii="Times New Roman" w:hAnsi="Times New Roman"/>
                <w:color w:val="auto"/>
                <w:kern w:val="0"/>
                <w:sz w:val="21"/>
                <w:szCs w:val="21"/>
                <w:highlight w:val="none"/>
                <w:lang w:bidi="ar"/>
              </w:rPr>
            </w:pPr>
            <w:r>
              <w:rPr>
                <w:rFonts w:ascii="Times New Roman" w:hAnsi="Times New Roman"/>
                <w:color w:val="auto"/>
                <w:kern w:val="0"/>
                <w:sz w:val="21"/>
                <w:szCs w:val="21"/>
                <w:highlight w:val="none"/>
                <w:lang w:bidi="ar"/>
              </w:rPr>
              <w:t>6</w:t>
            </w:r>
          </w:p>
        </w:tc>
        <w:tc>
          <w:tcPr>
            <w:tcW w:w="1667" w:type="pct"/>
            <w:tcBorders>
              <w:top w:val="single" w:color="auto" w:sz="4" w:space="0"/>
              <w:left w:val="single" w:color="auto" w:sz="4" w:space="0"/>
              <w:bottom w:val="single" w:color="auto" w:sz="12" w:space="0"/>
              <w:right w:val="single" w:color="auto" w:sz="4" w:space="0"/>
            </w:tcBorders>
            <w:noWrap w:val="0"/>
            <w:vAlign w:val="center"/>
          </w:tcPr>
          <w:p w14:paraId="4C281B50">
            <w:pPr>
              <w:spacing w:line="240" w:lineRule="auto"/>
              <w:ind w:firstLine="0" w:firstLineChars="0"/>
              <w:jc w:val="center"/>
              <w:rPr>
                <w:rFonts w:ascii="Times New Roman" w:hAnsi="Times New Roman"/>
                <w:color w:val="auto"/>
                <w:kern w:val="0"/>
                <w:sz w:val="21"/>
                <w:szCs w:val="21"/>
                <w:highlight w:val="none"/>
                <w:lang w:bidi="ar"/>
              </w:rPr>
            </w:pPr>
            <w:r>
              <w:rPr>
                <w:rFonts w:ascii="Times New Roman" w:hAnsi="Times New Roman"/>
                <w:color w:val="auto"/>
                <w:kern w:val="0"/>
                <w:sz w:val="21"/>
                <w:szCs w:val="21"/>
                <w:highlight w:val="none"/>
                <w:lang w:bidi="ar"/>
              </w:rPr>
              <w:t>工业粉尘</w:t>
            </w:r>
          </w:p>
        </w:tc>
        <w:tc>
          <w:tcPr>
            <w:tcW w:w="1667" w:type="pct"/>
            <w:tcBorders>
              <w:top w:val="single" w:color="auto" w:sz="4" w:space="0"/>
              <w:left w:val="single" w:color="auto" w:sz="4" w:space="0"/>
              <w:bottom w:val="single" w:color="auto" w:sz="12" w:space="0"/>
              <w:right w:val="nil"/>
            </w:tcBorders>
            <w:noWrap w:val="0"/>
            <w:vAlign w:val="center"/>
          </w:tcPr>
          <w:p w14:paraId="35107027">
            <w:pPr>
              <w:adjustRightInd w:val="0"/>
              <w:spacing w:line="240" w:lineRule="auto"/>
              <w:ind w:firstLine="0" w:firstLineChars="0"/>
              <w:jc w:val="center"/>
              <w:textAlignment w:val="center"/>
              <w:rPr>
                <w:rFonts w:hint="default" w:ascii="Times New Roman" w:hAnsi="Times New Roman"/>
                <w:color w:val="auto"/>
                <w:sz w:val="21"/>
                <w:szCs w:val="21"/>
                <w:highlight w:val="none"/>
                <w:lang w:val="en-US"/>
              </w:rPr>
            </w:pPr>
            <w:r>
              <w:rPr>
                <w:rFonts w:hint="eastAsia" w:ascii="Times New Roman" w:hAnsi="Times New Roman"/>
                <w:color w:val="auto"/>
                <w:sz w:val="21"/>
                <w:szCs w:val="21"/>
                <w:highlight w:val="none"/>
                <w:lang w:val="en-US" w:eastAsia="zh-CN"/>
              </w:rPr>
              <w:t>0.098</w:t>
            </w:r>
          </w:p>
        </w:tc>
      </w:tr>
    </w:tbl>
    <w:p w14:paraId="6DDE9B04">
      <w:pPr>
        <w:ind w:firstLine="480"/>
        <w:rPr>
          <w:rFonts w:ascii="Times New Roman" w:hAnsi="Times New Roman"/>
          <w:color w:val="auto"/>
          <w:highlight w:val="none"/>
        </w:rPr>
      </w:pPr>
      <w:r>
        <w:rPr>
          <w:rFonts w:ascii="Times New Roman" w:hAnsi="Times New Roman"/>
          <w:color w:val="auto"/>
          <w:highlight w:val="none"/>
        </w:rPr>
        <w:t>四、大气环境影响评价结论</w:t>
      </w:r>
    </w:p>
    <w:p w14:paraId="2623CBDE">
      <w:pPr>
        <w:ind w:firstLine="480"/>
        <w:rPr>
          <w:rFonts w:ascii="Times New Roman" w:hAnsi="Times New Roman"/>
          <w:color w:val="auto"/>
          <w:highlight w:val="none"/>
        </w:rPr>
      </w:pPr>
      <w:r>
        <w:rPr>
          <w:rFonts w:ascii="Times New Roman" w:hAnsi="Times New Roman"/>
          <w:color w:val="auto"/>
          <w:highlight w:val="none"/>
        </w:rPr>
        <w:t>项目位于环境空气二类区的环境空气质量达标区。评价范围</w:t>
      </w:r>
      <w:r>
        <w:rPr>
          <w:rFonts w:hint="eastAsia" w:ascii="Times New Roman" w:hAnsi="Times New Roman"/>
          <w:color w:val="auto"/>
          <w:highlight w:val="none"/>
          <w:lang w:val="en-US" w:eastAsia="zh-CN"/>
        </w:rPr>
        <w:t>二</w:t>
      </w:r>
      <w:r>
        <w:rPr>
          <w:rFonts w:ascii="Times New Roman" w:hAnsi="Times New Roman"/>
          <w:color w:val="auto"/>
          <w:highlight w:val="none"/>
        </w:rPr>
        <w:t>类区的环境空气质量</w:t>
      </w:r>
      <w:r>
        <w:rPr>
          <w:rFonts w:hint="eastAsia" w:ascii="Times New Roman" w:hAnsi="Times New Roman"/>
          <w:color w:val="auto"/>
          <w:highlight w:val="none"/>
          <w:lang w:val="en-US" w:eastAsia="zh-CN"/>
        </w:rPr>
        <w:t>为</w:t>
      </w:r>
      <w:r>
        <w:rPr>
          <w:rFonts w:ascii="Times New Roman" w:hAnsi="Times New Roman"/>
          <w:color w:val="auto"/>
          <w:highlight w:val="none"/>
        </w:rPr>
        <w:t>达标区</w:t>
      </w:r>
      <w:r>
        <w:rPr>
          <w:rFonts w:hint="eastAsia" w:ascii="Times New Roman" w:hAnsi="Times New Roman"/>
          <w:color w:val="auto"/>
          <w:highlight w:val="none"/>
          <w:lang w:eastAsia="zh-CN"/>
        </w:rPr>
        <w:t>。</w:t>
      </w:r>
      <w:r>
        <w:rPr>
          <w:rFonts w:ascii="Times New Roman" w:hAnsi="Times New Roman"/>
          <w:color w:val="auto"/>
          <w:highlight w:val="none"/>
        </w:rPr>
        <w:t>大气环境影响评价结论如下：</w:t>
      </w:r>
    </w:p>
    <w:p w14:paraId="28BE12D5">
      <w:pPr>
        <w:ind w:firstLine="480"/>
        <w:rPr>
          <w:rFonts w:ascii="Times New Roman" w:hAnsi="Times New Roman"/>
          <w:color w:val="auto"/>
          <w:highlight w:val="none"/>
        </w:rPr>
      </w:pPr>
      <w:r>
        <w:rPr>
          <w:rFonts w:ascii="Times New Roman" w:hAnsi="Times New Roman"/>
          <w:color w:val="auto"/>
          <w:highlight w:val="none"/>
        </w:rPr>
        <w:t>（1）新增污染源正常排放下最大落地浓度点及敏感点PM</w:t>
      </w:r>
      <w:r>
        <w:rPr>
          <w:rFonts w:ascii="Times New Roman" w:hAnsi="Times New Roman"/>
          <w:color w:val="auto"/>
          <w:highlight w:val="none"/>
          <w:vertAlign w:val="subscript"/>
        </w:rPr>
        <w:t>10</w:t>
      </w:r>
      <w:r>
        <w:rPr>
          <w:rFonts w:ascii="Times New Roman" w:hAnsi="Times New Roman"/>
          <w:color w:val="auto"/>
          <w:highlight w:val="none"/>
        </w:rPr>
        <w:t>、SO</w:t>
      </w:r>
      <w:r>
        <w:rPr>
          <w:rFonts w:ascii="Times New Roman" w:hAnsi="Times New Roman"/>
          <w:color w:val="auto"/>
          <w:highlight w:val="none"/>
          <w:vertAlign w:val="subscript"/>
        </w:rPr>
        <w:t>2</w:t>
      </w:r>
      <w:r>
        <w:rPr>
          <w:rFonts w:ascii="Times New Roman" w:hAnsi="Times New Roman"/>
          <w:color w:val="auto"/>
          <w:highlight w:val="none"/>
        </w:rPr>
        <w:t>、NO</w:t>
      </w:r>
      <w:r>
        <w:rPr>
          <w:rFonts w:ascii="Times New Roman" w:hAnsi="Times New Roman"/>
          <w:color w:val="auto"/>
          <w:highlight w:val="none"/>
          <w:vertAlign w:val="subscript"/>
        </w:rPr>
        <w:t>2</w:t>
      </w:r>
      <w:r>
        <w:rPr>
          <w:rFonts w:ascii="Times New Roman" w:hAnsi="Times New Roman"/>
          <w:color w:val="auto"/>
          <w:highlight w:val="none"/>
        </w:rPr>
        <w:t>、氨气短期浓度贡献值的最大落地浓度占标均≤100%。</w:t>
      </w:r>
    </w:p>
    <w:p w14:paraId="0B045462">
      <w:pPr>
        <w:ind w:firstLine="480"/>
        <w:rPr>
          <w:rFonts w:ascii="Times New Roman" w:hAnsi="Times New Roman"/>
          <w:color w:val="auto"/>
          <w:highlight w:val="none"/>
        </w:rPr>
      </w:pPr>
      <w:r>
        <w:rPr>
          <w:rFonts w:ascii="Times New Roman" w:hAnsi="Times New Roman"/>
          <w:color w:val="auto"/>
          <w:highlight w:val="none"/>
        </w:rPr>
        <w:t>（2）新增污染源正常排放下最大落地浓度点及敏感点PM</w:t>
      </w:r>
      <w:r>
        <w:rPr>
          <w:rFonts w:ascii="Times New Roman" w:hAnsi="Times New Roman"/>
          <w:color w:val="auto"/>
          <w:highlight w:val="none"/>
          <w:vertAlign w:val="subscript"/>
        </w:rPr>
        <w:t>10</w:t>
      </w:r>
      <w:r>
        <w:rPr>
          <w:rFonts w:ascii="Times New Roman" w:hAnsi="Times New Roman"/>
          <w:color w:val="auto"/>
          <w:highlight w:val="none"/>
        </w:rPr>
        <w:t>、SO</w:t>
      </w:r>
      <w:r>
        <w:rPr>
          <w:rFonts w:ascii="Times New Roman" w:hAnsi="Times New Roman"/>
          <w:color w:val="auto"/>
          <w:highlight w:val="none"/>
          <w:vertAlign w:val="subscript"/>
        </w:rPr>
        <w:t>2</w:t>
      </w:r>
      <w:r>
        <w:rPr>
          <w:rFonts w:ascii="Times New Roman" w:hAnsi="Times New Roman"/>
          <w:color w:val="auto"/>
          <w:highlight w:val="none"/>
        </w:rPr>
        <w:t>、NO</w:t>
      </w:r>
      <w:r>
        <w:rPr>
          <w:rFonts w:ascii="Times New Roman" w:hAnsi="Times New Roman"/>
          <w:color w:val="auto"/>
          <w:highlight w:val="none"/>
          <w:vertAlign w:val="subscript"/>
        </w:rPr>
        <w:t>2</w:t>
      </w:r>
      <w:r>
        <w:rPr>
          <w:rFonts w:ascii="Times New Roman" w:hAnsi="Times New Roman"/>
          <w:color w:val="auto"/>
          <w:highlight w:val="none"/>
        </w:rPr>
        <w:t>、Hg年浓度贡献值的最大落地浓度占标均≤30%。</w:t>
      </w:r>
    </w:p>
    <w:p w14:paraId="76B60D0A">
      <w:pPr>
        <w:ind w:firstLine="480"/>
        <w:rPr>
          <w:rFonts w:ascii="Times New Roman" w:hAnsi="Times New Roman"/>
          <w:color w:val="auto"/>
          <w:highlight w:val="none"/>
        </w:rPr>
      </w:pPr>
      <w:r>
        <w:rPr>
          <w:rFonts w:ascii="Times New Roman" w:hAnsi="Times New Roman"/>
          <w:color w:val="auto"/>
          <w:highlight w:val="none"/>
        </w:rPr>
        <w:t>（3）项目环境影响符合区域环境功能区划。</w:t>
      </w:r>
    </w:p>
    <w:p w14:paraId="26642B3C">
      <w:pPr>
        <w:ind w:firstLine="480"/>
        <w:rPr>
          <w:rFonts w:ascii="Times New Roman" w:hAnsi="Times New Roman"/>
          <w:color w:val="auto"/>
          <w:highlight w:val="none"/>
        </w:rPr>
      </w:pPr>
      <w:r>
        <w:rPr>
          <w:rFonts w:ascii="Times New Roman" w:hAnsi="Times New Roman"/>
          <w:color w:val="auto"/>
          <w:highlight w:val="none"/>
        </w:rPr>
        <w:t>（4）叠加现状浓度、</w:t>
      </w:r>
      <w:r>
        <w:rPr>
          <w:rFonts w:hint="eastAsia" w:ascii="Times New Roman" w:hAnsi="Times New Roman"/>
          <w:color w:val="auto"/>
          <w:highlight w:val="none"/>
        </w:rPr>
        <w:t>拟在建浓度、</w:t>
      </w:r>
      <w:r>
        <w:rPr>
          <w:rFonts w:ascii="Times New Roman" w:hAnsi="Times New Roman"/>
          <w:color w:val="auto"/>
          <w:highlight w:val="none"/>
        </w:rPr>
        <w:t>区域削减浓度的环境影响后，最大落地浓度点及敏感点PM</w:t>
      </w:r>
      <w:r>
        <w:rPr>
          <w:rFonts w:ascii="Times New Roman" w:hAnsi="Times New Roman"/>
          <w:color w:val="auto"/>
          <w:highlight w:val="none"/>
          <w:vertAlign w:val="subscript"/>
        </w:rPr>
        <w:t>10</w:t>
      </w:r>
      <w:r>
        <w:rPr>
          <w:rFonts w:ascii="Times New Roman" w:hAnsi="Times New Roman"/>
          <w:color w:val="auto"/>
          <w:highlight w:val="none"/>
        </w:rPr>
        <w:t>、SO</w:t>
      </w:r>
      <w:r>
        <w:rPr>
          <w:rFonts w:ascii="Times New Roman" w:hAnsi="Times New Roman"/>
          <w:color w:val="auto"/>
          <w:highlight w:val="none"/>
          <w:vertAlign w:val="subscript"/>
        </w:rPr>
        <w:t>2</w:t>
      </w:r>
      <w:r>
        <w:rPr>
          <w:rFonts w:ascii="Times New Roman" w:hAnsi="Times New Roman"/>
          <w:color w:val="auto"/>
          <w:highlight w:val="none"/>
        </w:rPr>
        <w:t>、NO</w:t>
      </w:r>
      <w:r>
        <w:rPr>
          <w:rFonts w:ascii="Times New Roman" w:hAnsi="Times New Roman"/>
          <w:color w:val="auto"/>
          <w:highlight w:val="none"/>
          <w:vertAlign w:val="subscript"/>
        </w:rPr>
        <w:t>2</w:t>
      </w:r>
      <w:r>
        <w:rPr>
          <w:rFonts w:hint="eastAsia" w:ascii="Times New Roman" w:hAnsi="Times New Roman"/>
          <w:color w:val="auto"/>
          <w:highlight w:val="none"/>
          <w:vertAlign w:val="subscript"/>
        </w:rPr>
        <w:t>、</w:t>
      </w:r>
      <w:r>
        <w:rPr>
          <w:rFonts w:hint="eastAsia" w:ascii="Times New Roman" w:hAnsi="Times New Roman"/>
          <w:color w:val="auto"/>
          <w:highlight w:val="none"/>
        </w:rPr>
        <w:t>氨的小时值、</w:t>
      </w:r>
      <w:r>
        <w:rPr>
          <w:rFonts w:ascii="Times New Roman" w:hAnsi="Times New Roman"/>
          <w:color w:val="auto"/>
          <w:highlight w:val="none"/>
        </w:rPr>
        <w:t>保证率日平均质量浓度和年平均质量浓度均符合《环境空气质量标准》（GB3095-2012）。</w:t>
      </w:r>
    </w:p>
    <w:p w14:paraId="3C1EF96F">
      <w:pPr>
        <w:ind w:firstLine="480"/>
        <w:rPr>
          <w:rFonts w:ascii="Times New Roman" w:hAnsi="Times New Roman"/>
          <w:color w:val="auto"/>
          <w:highlight w:val="none"/>
        </w:rPr>
      </w:pPr>
      <w:r>
        <w:rPr>
          <w:rFonts w:ascii="Times New Roman" w:hAnsi="Times New Roman"/>
          <w:color w:val="auto"/>
          <w:highlight w:val="none"/>
        </w:rPr>
        <w:t>（5）本项目</w:t>
      </w:r>
      <w:r>
        <w:rPr>
          <w:rFonts w:hint="eastAsia" w:ascii="Times New Roman" w:hAnsi="Times New Roman"/>
          <w:color w:val="auto"/>
          <w:highlight w:val="none"/>
          <w:lang w:val="en-US" w:eastAsia="zh-CN"/>
        </w:rPr>
        <w:t>无</w:t>
      </w:r>
      <w:r>
        <w:rPr>
          <w:rFonts w:ascii="Times New Roman" w:hAnsi="Times New Roman"/>
          <w:color w:val="auto"/>
          <w:highlight w:val="none"/>
        </w:rPr>
        <w:t>区域削减</w:t>
      </w:r>
      <w:r>
        <w:rPr>
          <w:rFonts w:hint="eastAsia" w:ascii="Times New Roman" w:hAnsi="Times New Roman"/>
          <w:color w:val="auto"/>
          <w:highlight w:val="none"/>
          <w:lang w:val="en-US" w:eastAsia="zh-CN"/>
        </w:rPr>
        <w:t>污染源</w:t>
      </w:r>
      <w:r>
        <w:rPr>
          <w:rFonts w:ascii="Times New Roman" w:hAnsi="Times New Roman"/>
          <w:color w:val="auto"/>
          <w:highlight w:val="none"/>
        </w:rPr>
        <w:t>。</w:t>
      </w:r>
      <w:r>
        <w:rPr>
          <w:rFonts w:hint="eastAsia" w:ascii="Times New Roman" w:hAnsi="Times New Roman"/>
          <w:color w:val="auto"/>
          <w:highlight w:val="none"/>
          <w:lang w:val="en-US" w:eastAsia="zh-CN"/>
        </w:rPr>
        <w:t>本项目已执行超低排放改造</w:t>
      </w:r>
      <w:r>
        <w:rPr>
          <w:rFonts w:ascii="Times New Roman" w:hAnsi="Times New Roman"/>
          <w:color w:val="auto"/>
          <w:highlight w:val="none"/>
        </w:rPr>
        <w:t>，可判定项目建设后区域环境质量得到整体改善。</w:t>
      </w:r>
    </w:p>
    <w:p w14:paraId="76270E91">
      <w:pPr>
        <w:ind w:firstLine="480"/>
        <w:rPr>
          <w:rFonts w:ascii="Times New Roman" w:hAnsi="Times New Roman"/>
          <w:color w:val="auto"/>
          <w:highlight w:val="none"/>
        </w:rPr>
      </w:pPr>
      <w:r>
        <w:rPr>
          <w:rFonts w:ascii="Times New Roman" w:hAnsi="Times New Roman"/>
          <w:color w:val="auto"/>
          <w:highlight w:val="none"/>
        </w:rPr>
        <w:t>（6）根据EIApro2018大气软件的环境防护区域预测模式的计算结果，项目各污染物小时贡献浓度、日均贡献浓度均无超标点，无需设置大气环境防护距离。</w:t>
      </w:r>
    </w:p>
    <w:p w14:paraId="748F4692">
      <w:pPr>
        <w:ind w:firstLine="480"/>
        <w:rPr>
          <w:rFonts w:hint="default" w:ascii="Times New Roman" w:hAnsi="Times New Roman" w:eastAsia="宋体"/>
          <w:color w:val="auto"/>
          <w:highlight w:val="none"/>
          <w:lang w:val="en-US" w:eastAsia="zh-CN"/>
        </w:rPr>
      </w:pPr>
      <w:r>
        <w:rPr>
          <w:rFonts w:ascii="Times New Roman" w:hAnsi="Times New Roman"/>
          <w:color w:val="auto"/>
          <w:highlight w:val="none"/>
        </w:rPr>
        <w:t>（7）本项目厂界颗粒物浓度能够满足《大气污染物综合排放标准》（GB16297-1996）表2无组织排放监控浓度限值。根据《火电厂脱硝工程技术规范选择性非催化还原法》要求脱硝系统氨逃逸质量浓度应分别控制在2.5mg/m</w:t>
      </w:r>
      <w:r>
        <w:rPr>
          <w:rFonts w:ascii="Times New Roman" w:hAnsi="Times New Roman"/>
          <w:color w:val="auto"/>
          <w:highlight w:val="none"/>
          <w:vertAlign w:val="superscript"/>
        </w:rPr>
        <w:t>3</w:t>
      </w:r>
      <w:r>
        <w:rPr>
          <w:rFonts w:ascii="Times New Roman" w:hAnsi="Times New Roman"/>
          <w:color w:val="auto"/>
          <w:highlight w:val="none"/>
        </w:rPr>
        <w:t>以下。可保证厂界氨的浓度满足《恶臭污染物排放标准》（GB14554-93）中表1二级标准值要求。</w:t>
      </w:r>
    </w:p>
    <w:p w14:paraId="124635EF">
      <w:pPr>
        <w:ind w:firstLine="480"/>
        <w:rPr>
          <w:rFonts w:ascii="Times New Roman" w:hAnsi="Times New Roman"/>
          <w:color w:val="auto"/>
          <w:highlight w:val="none"/>
        </w:rPr>
      </w:pPr>
      <w:r>
        <w:rPr>
          <w:rFonts w:ascii="Times New Roman" w:hAnsi="Times New Roman"/>
          <w:color w:val="auto"/>
          <w:highlight w:val="none"/>
        </w:rPr>
        <w:t>（8）在除尘器布袋破损、脱硫塔设备故障及脱硝系统不能投运的非正常工况下，区域最大浓度点及各敏感目标贡献浓度占标率均小于100%，可以达到《环境空气质量标准》（GB3095-2012）中限值要求，不会对环境空气产生影响，但企业也应时刻关注环保设施的运行状况，避免非正常工况的发生。</w:t>
      </w:r>
    </w:p>
    <w:p w14:paraId="377CB27A">
      <w:pPr>
        <w:ind w:firstLine="480"/>
        <w:rPr>
          <w:rFonts w:ascii="Times New Roman" w:hAnsi="Times New Roman"/>
          <w:color w:val="auto"/>
          <w:highlight w:val="none"/>
        </w:rPr>
      </w:pPr>
      <w:r>
        <w:rPr>
          <w:rFonts w:ascii="Times New Roman" w:hAnsi="Times New Roman"/>
          <w:color w:val="auto"/>
          <w:highlight w:val="none"/>
        </w:rPr>
        <w:t>因此，本项目建成后，大气环境影响可接受，项目大气污染物排放方案可行。</w:t>
      </w:r>
    </w:p>
    <w:p w14:paraId="5996E626">
      <w:pPr>
        <w:pStyle w:val="4"/>
        <w:bidi w:val="0"/>
        <w:ind w:left="0" w:leftChars="0" w:firstLine="0" w:firstLineChars="0"/>
        <w:rPr>
          <w:rFonts w:hint="default"/>
          <w:highlight w:val="none"/>
          <w:lang w:val="en-US" w:eastAsia="zh-CN"/>
        </w:rPr>
      </w:pPr>
      <w:bookmarkStart w:id="130" w:name="_Toc30560"/>
      <w:r>
        <w:rPr>
          <w:rFonts w:hint="default" w:ascii="Times New Roman" w:hAnsi="Times New Roman" w:cs="Times New Roman"/>
          <w:highlight w:val="none"/>
          <w:lang w:val="en-US" w:eastAsia="zh-CN"/>
        </w:rPr>
        <w:t>5.3</w:t>
      </w:r>
      <w:r>
        <w:rPr>
          <w:rFonts w:hint="eastAsia"/>
          <w:highlight w:val="none"/>
          <w:lang w:val="en-US" w:eastAsia="zh-CN"/>
        </w:rPr>
        <w:t>地表水环境影响分析</w:t>
      </w:r>
      <w:bookmarkEnd w:id="130"/>
    </w:p>
    <w:p w14:paraId="40CB2552">
      <w:pPr>
        <w:ind w:firstLine="480"/>
        <w:rPr>
          <w:rFonts w:ascii="Times New Roman" w:hAnsi="Times New Roman"/>
          <w:highlight w:val="none"/>
        </w:rPr>
      </w:pPr>
      <w:r>
        <w:rPr>
          <w:rFonts w:ascii="Times New Roman" w:hAnsi="Times New Roman"/>
          <w:highlight w:val="none"/>
        </w:rPr>
        <w:t>本工程在运行过程中废水主要为生产废水，生产废水主要为锅炉排污水、脱硫废水，处理后全部回收利用不外排。本项目工作人员</w:t>
      </w:r>
      <w:r>
        <w:rPr>
          <w:rFonts w:hint="eastAsia" w:ascii="Times New Roman" w:hAnsi="Times New Roman"/>
          <w:highlight w:val="none"/>
          <w:lang w:val="en-US" w:eastAsia="zh-CN"/>
        </w:rPr>
        <w:t>175</w:t>
      </w:r>
      <w:r>
        <w:rPr>
          <w:rFonts w:ascii="Times New Roman" w:hAnsi="Times New Roman"/>
          <w:highlight w:val="none"/>
        </w:rPr>
        <w:t>人。</w:t>
      </w:r>
    </w:p>
    <w:p w14:paraId="06D6461D">
      <w:pPr>
        <w:ind w:firstLine="480"/>
        <w:rPr>
          <w:rFonts w:ascii="Times New Roman" w:hAnsi="Times New Roman"/>
          <w:highlight w:val="none"/>
        </w:rPr>
      </w:pPr>
      <w:r>
        <w:rPr>
          <w:rFonts w:ascii="Times New Roman" w:hAnsi="Times New Roman"/>
          <w:highlight w:val="none"/>
        </w:rPr>
        <w:t>厂区内排水系统采用分流制：雨水排水系统。生产废水主要有锅炉排污水、脱硫废水等，锅炉排污水、脱硫废水回用于生产，不外排。本项目不设置化学实验室，无实验室废液。</w:t>
      </w:r>
    </w:p>
    <w:p w14:paraId="69542CAE">
      <w:pPr>
        <w:pStyle w:val="7"/>
        <w:ind w:firstLine="480"/>
        <w:rPr>
          <w:rFonts w:ascii="Times New Roman" w:hAnsi="Times New Roman"/>
          <w:szCs w:val="24"/>
          <w:highlight w:val="none"/>
        </w:rPr>
      </w:pPr>
      <w:r>
        <w:rPr>
          <w:rFonts w:ascii="Times New Roman" w:hAnsi="Times New Roman"/>
          <w:szCs w:val="24"/>
          <w:highlight w:val="none"/>
        </w:rPr>
        <w:t>锅炉排污水回用于</w:t>
      </w:r>
      <w:r>
        <w:rPr>
          <w:rFonts w:hint="eastAsia" w:ascii="Times New Roman" w:hAnsi="Times New Roman"/>
          <w:szCs w:val="24"/>
          <w:highlight w:val="none"/>
        </w:rPr>
        <w:t>用于冷渣器冷却水系统补水（</w:t>
      </w:r>
      <w:r>
        <w:rPr>
          <w:rFonts w:hint="eastAsia" w:ascii="Times New Roman" w:hAnsi="Times New Roman"/>
          <w:szCs w:val="24"/>
          <w:highlight w:val="none"/>
          <w:lang w:val="en-US" w:eastAsia="zh-CN"/>
        </w:rPr>
        <w:t>6m³/h，30240</w:t>
      </w:r>
      <w:r>
        <w:rPr>
          <w:rFonts w:hint="eastAsia" w:ascii="Times New Roman" w:hAnsi="Times New Roman"/>
          <w:highlight w:val="none"/>
          <w:lang w:val="en-US" w:eastAsia="zh-CN"/>
        </w:rPr>
        <w:t>t/a</w:t>
      </w:r>
      <w:r>
        <w:rPr>
          <w:rFonts w:hint="eastAsia" w:ascii="Times New Roman" w:hAnsi="Times New Roman"/>
          <w:szCs w:val="24"/>
          <w:highlight w:val="none"/>
        </w:rPr>
        <w:t>）</w:t>
      </w:r>
      <w:r>
        <w:rPr>
          <w:rFonts w:ascii="Times New Roman" w:hAnsi="Times New Roman"/>
          <w:szCs w:val="24"/>
          <w:highlight w:val="none"/>
        </w:rPr>
        <w:t>。脱硫废水采用回流水池→一体化污水处理装置→高效旋流分离器→生物净化装置→多介质净化装置→多功能处理剂→净水箱处理工艺，回用于灰渣加湿</w:t>
      </w:r>
      <w:r>
        <w:rPr>
          <w:rFonts w:hint="eastAsia" w:ascii="Times New Roman" w:hAnsi="Times New Roman"/>
          <w:szCs w:val="24"/>
          <w:highlight w:val="none"/>
        </w:rPr>
        <w:t>（</w:t>
      </w:r>
      <w:r>
        <w:rPr>
          <w:rFonts w:hint="eastAsia" w:ascii="Times New Roman" w:hAnsi="Times New Roman"/>
          <w:szCs w:val="24"/>
          <w:highlight w:val="none"/>
          <w:lang w:val="en-US" w:eastAsia="zh-CN"/>
        </w:rPr>
        <w:t>2</w:t>
      </w:r>
      <w:r>
        <w:rPr>
          <w:rFonts w:hint="eastAsia" w:ascii="Times New Roman" w:hAnsi="Times New Roman"/>
          <w:szCs w:val="24"/>
          <w:highlight w:val="none"/>
        </w:rPr>
        <w:t>m</w:t>
      </w:r>
      <w:r>
        <w:rPr>
          <w:rFonts w:hint="eastAsia" w:ascii="Times New Roman" w:hAnsi="Times New Roman"/>
          <w:szCs w:val="24"/>
          <w:highlight w:val="none"/>
          <w:vertAlign w:val="superscript"/>
        </w:rPr>
        <w:t>3</w:t>
      </w:r>
      <w:r>
        <w:rPr>
          <w:rFonts w:hint="eastAsia" w:ascii="Times New Roman" w:hAnsi="Times New Roman"/>
          <w:szCs w:val="24"/>
          <w:highlight w:val="none"/>
        </w:rPr>
        <w:t>/h</w:t>
      </w:r>
      <w:r>
        <w:rPr>
          <w:rFonts w:hint="eastAsia" w:ascii="Times New Roman" w:hAnsi="Times New Roman"/>
          <w:szCs w:val="24"/>
          <w:highlight w:val="none"/>
          <w:lang w:eastAsia="zh-CN"/>
        </w:rPr>
        <w:t>，</w:t>
      </w:r>
      <w:r>
        <w:rPr>
          <w:rFonts w:hint="eastAsia" w:ascii="Times New Roman" w:hAnsi="Times New Roman"/>
          <w:szCs w:val="24"/>
          <w:highlight w:val="none"/>
          <w:lang w:val="en-US" w:eastAsia="zh-CN"/>
        </w:rPr>
        <w:t>10080t/a</w:t>
      </w:r>
      <w:r>
        <w:rPr>
          <w:rFonts w:hint="eastAsia" w:ascii="Times New Roman" w:hAnsi="Times New Roman"/>
          <w:szCs w:val="24"/>
          <w:highlight w:val="none"/>
        </w:rPr>
        <w:t>）、煤场洒水降尘（</w:t>
      </w:r>
      <w:r>
        <w:rPr>
          <w:rFonts w:hint="eastAsia" w:ascii="Times New Roman" w:hAnsi="Times New Roman"/>
          <w:szCs w:val="24"/>
          <w:highlight w:val="none"/>
          <w:lang w:val="en-US" w:eastAsia="zh-CN"/>
        </w:rPr>
        <w:t>3</w:t>
      </w:r>
      <w:r>
        <w:rPr>
          <w:rFonts w:hint="eastAsia" w:ascii="Times New Roman" w:hAnsi="Times New Roman"/>
          <w:szCs w:val="24"/>
          <w:highlight w:val="none"/>
        </w:rPr>
        <w:t>m</w:t>
      </w:r>
      <w:r>
        <w:rPr>
          <w:rFonts w:hint="eastAsia" w:ascii="Times New Roman" w:hAnsi="Times New Roman"/>
          <w:szCs w:val="24"/>
          <w:highlight w:val="none"/>
          <w:vertAlign w:val="superscript"/>
        </w:rPr>
        <w:t>3</w:t>
      </w:r>
      <w:r>
        <w:rPr>
          <w:rFonts w:hint="eastAsia" w:ascii="Times New Roman" w:hAnsi="Times New Roman"/>
          <w:szCs w:val="24"/>
          <w:highlight w:val="none"/>
        </w:rPr>
        <w:t>/h</w:t>
      </w:r>
      <w:r>
        <w:rPr>
          <w:rFonts w:hint="eastAsia" w:ascii="Times New Roman" w:hAnsi="Times New Roman"/>
          <w:szCs w:val="24"/>
          <w:highlight w:val="none"/>
          <w:lang w:eastAsia="zh-CN"/>
        </w:rPr>
        <w:t>，</w:t>
      </w:r>
      <w:r>
        <w:rPr>
          <w:rFonts w:hint="eastAsia" w:ascii="Times New Roman" w:hAnsi="Times New Roman"/>
          <w:szCs w:val="24"/>
          <w:highlight w:val="none"/>
          <w:lang w:val="en-US" w:eastAsia="zh-CN"/>
        </w:rPr>
        <w:t>15069.75t/a</w:t>
      </w:r>
      <w:r>
        <w:rPr>
          <w:rFonts w:hint="eastAsia" w:ascii="Times New Roman" w:hAnsi="Times New Roman"/>
          <w:szCs w:val="24"/>
          <w:highlight w:val="none"/>
        </w:rPr>
        <w:t>）。生活污水（</w:t>
      </w:r>
      <w:r>
        <w:rPr>
          <w:rFonts w:hint="eastAsia" w:ascii="Times New Roman" w:hAnsi="Times New Roman"/>
          <w:szCs w:val="24"/>
          <w:highlight w:val="none"/>
          <w:lang w:val="en-US" w:eastAsia="zh-CN"/>
        </w:rPr>
        <w:t>0.464</w:t>
      </w:r>
      <w:r>
        <w:rPr>
          <w:rFonts w:hint="eastAsia" w:ascii="Times New Roman" w:hAnsi="Times New Roman"/>
          <w:szCs w:val="24"/>
          <w:highlight w:val="none"/>
        </w:rPr>
        <w:t>m</w:t>
      </w:r>
      <w:r>
        <w:rPr>
          <w:rFonts w:hint="eastAsia" w:ascii="Times New Roman" w:hAnsi="Times New Roman"/>
          <w:szCs w:val="24"/>
          <w:highlight w:val="none"/>
          <w:vertAlign w:val="superscript"/>
        </w:rPr>
        <w:t>3</w:t>
      </w:r>
      <w:r>
        <w:rPr>
          <w:rFonts w:hint="eastAsia" w:ascii="Times New Roman" w:hAnsi="Times New Roman"/>
          <w:szCs w:val="24"/>
          <w:highlight w:val="none"/>
        </w:rPr>
        <w:t>/h</w:t>
      </w:r>
      <w:r>
        <w:rPr>
          <w:rFonts w:hint="eastAsia" w:ascii="Times New Roman" w:hAnsi="Times New Roman"/>
          <w:szCs w:val="24"/>
          <w:highlight w:val="none"/>
          <w:lang w:eastAsia="zh-CN"/>
        </w:rPr>
        <w:t>，</w:t>
      </w:r>
      <w:r>
        <w:rPr>
          <w:rFonts w:hint="eastAsia" w:ascii="Times New Roman" w:hAnsi="Times New Roman"/>
          <w:szCs w:val="24"/>
          <w:highlight w:val="none"/>
          <w:lang w:val="en-US" w:eastAsia="zh-CN"/>
        </w:rPr>
        <w:t>2352t/a</w:t>
      </w:r>
      <w:r>
        <w:rPr>
          <w:rFonts w:hint="eastAsia" w:ascii="Times New Roman" w:hAnsi="Times New Roman"/>
          <w:szCs w:val="24"/>
          <w:highlight w:val="none"/>
        </w:rPr>
        <w:t>）排入化粪池处理后排入市政管网（食堂废水经隔油池处理后与生活污水一同排入化粪池），</w:t>
      </w:r>
      <w:r>
        <w:rPr>
          <w:rFonts w:hint="eastAsia" w:ascii="Times New Roman" w:hAnsi="Times New Roman"/>
          <w:szCs w:val="24"/>
          <w:highlight w:val="none"/>
          <w:lang w:val="en-US" w:eastAsia="zh-CN"/>
        </w:rPr>
        <w:t>经污水管网排入绥芬河中环污水处理有限公司，处理达到《城镇污水处理厂污染物排放标准》(GB18918—2002)一级B标准后最终汇入小绥芬河。</w:t>
      </w:r>
    </w:p>
    <w:p w14:paraId="0DB13CA5">
      <w:pPr>
        <w:rPr>
          <w:rFonts w:ascii="Times New Roman" w:hAnsi="Times New Roman"/>
          <w:highlight w:val="none"/>
        </w:rPr>
      </w:pPr>
      <w:r>
        <w:rPr>
          <w:rFonts w:ascii="Times New Roman" w:hAnsi="Times New Roman"/>
          <w:highlight w:val="none"/>
        </w:rPr>
        <w:t>根据以上分析，本项目投产运行后，对地表水环境的影响较小。</w:t>
      </w:r>
    </w:p>
    <w:p w14:paraId="62EE97CC">
      <w:pPr>
        <w:pStyle w:val="4"/>
        <w:bidi w:val="0"/>
        <w:ind w:left="0" w:leftChars="0" w:firstLine="0" w:firstLineChars="0"/>
        <w:rPr>
          <w:rFonts w:hint="eastAsia"/>
          <w:highlight w:val="none"/>
          <w:lang w:val="en-US" w:eastAsia="zh-CN"/>
        </w:rPr>
      </w:pPr>
      <w:bookmarkStart w:id="131" w:name="_Toc19557"/>
      <w:r>
        <w:rPr>
          <w:rFonts w:hint="default" w:ascii="Times New Roman" w:hAnsi="Times New Roman" w:cs="Times New Roman"/>
          <w:highlight w:val="none"/>
          <w:lang w:val="en-US" w:eastAsia="zh-CN"/>
        </w:rPr>
        <w:t>5.4</w:t>
      </w:r>
      <w:r>
        <w:rPr>
          <w:rFonts w:hint="eastAsia"/>
          <w:highlight w:val="none"/>
          <w:lang w:val="en-US" w:eastAsia="zh-CN"/>
        </w:rPr>
        <w:t>声环境影响预测与评价</w:t>
      </w:r>
      <w:bookmarkEnd w:id="131"/>
    </w:p>
    <w:p w14:paraId="3C0CDC95">
      <w:pPr>
        <w:pStyle w:val="5"/>
        <w:bidi w:val="0"/>
        <w:ind w:left="0" w:leftChars="0" w:firstLine="0" w:firstLineChars="0"/>
        <w:rPr>
          <w:rFonts w:hint="eastAsia"/>
          <w:sz w:val="30"/>
          <w:szCs w:val="30"/>
          <w:highlight w:val="none"/>
          <w:lang w:val="en-US" w:eastAsia="zh-CN"/>
        </w:rPr>
      </w:pPr>
      <w:bookmarkStart w:id="132" w:name="_Toc8766"/>
      <w:r>
        <w:rPr>
          <w:rFonts w:hint="default" w:ascii="Times New Roman" w:hAnsi="Times New Roman" w:cs="Times New Roman"/>
          <w:sz w:val="30"/>
          <w:szCs w:val="30"/>
          <w:highlight w:val="none"/>
          <w:lang w:val="en-US" w:eastAsia="zh-CN"/>
        </w:rPr>
        <w:t>5.4.1</w:t>
      </w:r>
      <w:r>
        <w:rPr>
          <w:rFonts w:hint="eastAsia"/>
          <w:sz w:val="30"/>
          <w:szCs w:val="30"/>
          <w:highlight w:val="none"/>
          <w:lang w:val="en-US" w:eastAsia="zh-CN"/>
        </w:rPr>
        <w:t>预测因子</w:t>
      </w:r>
      <w:bookmarkEnd w:id="132"/>
    </w:p>
    <w:p w14:paraId="6035400A">
      <w:pPr>
        <w:rPr>
          <w:rFonts w:ascii="Times New Roman" w:hAnsi="Times New Roman"/>
          <w:highlight w:val="none"/>
        </w:rPr>
      </w:pPr>
      <w:r>
        <w:rPr>
          <w:rFonts w:ascii="Times New Roman" w:hAnsi="Times New Roman"/>
          <w:highlight w:val="none"/>
        </w:rPr>
        <w:t>昼间等效连续A声级Ld、夜间等效连续A声级Ln。</w:t>
      </w:r>
    </w:p>
    <w:p w14:paraId="331AAC3E">
      <w:pPr>
        <w:pStyle w:val="5"/>
        <w:bidi w:val="0"/>
        <w:ind w:left="0" w:leftChars="0" w:firstLine="0" w:firstLineChars="0"/>
        <w:rPr>
          <w:rFonts w:hint="default" w:ascii="Times New Roman" w:hAnsi="Times New Roman" w:eastAsia="宋体" w:cs="Times New Roman"/>
          <w:sz w:val="30"/>
          <w:szCs w:val="30"/>
          <w:highlight w:val="none"/>
          <w:lang w:val="en-US" w:eastAsia="zh-CN"/>
        </w:rPr>
      </w:pPr>
      <w:bookmarkStart w:id="133" w:name="_Toc19563"/>
      <w:r>
        <w:rPr>
          <w:rFonts w:hint="eastAsia" w:ascii="Times New Roman" w:hAnsi="Times New Roman" w:eastAsia="宋体" w:cs="Times New Roman"/>
          <w:sz w:val="30"/>
          <w:szCs w:val="30"/>
          <w:highlight w:val="none"/>
          <w:lang w:val="en-US" w:eastAsia="zh-CN"/>
        </w:rPr>
        <w:t>5.4.2预测范围</w:t>
      </w:r>
      <w:bookmarkEnd w:id="133"/>
    </w:p>
    <w:p w14:paraId="6A73D954">
      <w:pPr>
        <w:pStyle w:val="23"/>
        <w:rPr>
          <w:rFonts w:ascii="Times New Roman" w:hAnsi="Times New Roman"/>
          <w:highlight w:val="none"/>
        </w:rPr>
      </w:pPr>
      <w:r>
        <w:rPr>
          <w:rFonts w:ascii="Times New Roman" w:hAnsi="Times New Roman"/>
          <w:highlight w:val="none"/>
        </w:rPr>
        <w:t>建设项目厂界向外200m。</w:t>
      </w:r>
    </w:p>
    <w:p w14:paraId="01E5A8FE">
      <w:pPr>
        <w:pStyle w:val="5"/>
        <w:bidi w:val="0"/>
        <w:ind w:left="0" w:leftChars="0" w:firstLine="0" w:firstLineChars="0"/>
        <w:rPr>
          <w:rFonts w:hint="default" w:ascii="Times New Roman" w:hAnsi="Times New Roman" w:eastAsia="宋体" w:cs="Times New Roman"/>
          <w:sz w:val="30"/>
          <w:szCs w:val="30"/>
          <w:highlight w:val="none"/>
          <w:lang w:val="en-US" w:eastAsia="zh-CN"/>
        </w:rPr>
      </w:pPr>
      <w:bookmarkStart w:id="134" w:name="_Toc2921"/>
      <w:r>
        <w:rPr>
          <w:rFonts w:hint="eastAsia" w:ascii="Times New Roman" w:hAnsi="Times New Roman" w:eastAsia="宋体" w:cs="Times New Roman"/>
          <w:sz w:val="30"/>
          <w:szCs w:val="30"/>
          <w:highlight w:val="none"/>
          <w:lang w:val="en-US" w:eastAsia="zh-CN"/>
        </w:rPr>
        <w:t>5.4.3噪声源资料</w:t>
      </w:r>
      <w:bookmarkEnd w:id="134"/>
    </w:p>
    <w:p w14:paraId="6D29945F">
      <w:pPr>
        <w:rPr>
          <w:rFonts w:ascii="Times New Roman" w:hAnsi="Times New Roman"/>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highlight w:val="none"/>
        </w:rPr>
        <w:t>项目产生噪声的噪声源强调查清单见表5.4-1、表5.4-2。噪声源分布见图5.4-1</w:t>
      </w:r>
      <w:r>
        <w:rPr>
          <w:rFonts w:ascii="Times New Roman" w:hAnsi="Times New Roman"/>
          <w:highlight w:val="none"/>
        </w:rPr>
        <w:t>。</w:t>
      </w:r>
    </w:p>
    <w:p w14:paraId="1FF65E6C">
      <w:pPr>
        <w:pStyle w:val="15"/>
        <w:ind w:left="0" w:leftChars="0" w:firstLine="0" w:firstLineChars="0"/>
        <w:jc w:val="center"/>
        <w:rPr>
          <w:highlight w:val="none"/>
        </w:rPr>
      </w:pPr>
      <w:r>
        <w:rPr>
          <w:rFonts w:hint="eastAsia" w:ascii="黑体" w:hAnsi="黑体" w:eastAsia="黑体" w:cs="黑体"/>
          <w:highlight w:val="none"/>
        </w:rPr>
        <w:t>表</w:t>
      </w:r>
      <w:r>
        <w:rPr>
          <w:rFonts w:hint="eastAsia"/>
          <w:highlight w:val="none"/>
        </w:rPr>
        <w:t>5.4-1</w:t>
      </w:r>
      <w:r>
        <w:rPr>
          <w:rFonts w:hint="eastAsia" w:ascii="黑体" w:hAnsi="黑体" w:eastAsia="黑体" w:cs="黑体"/>
          <w:highlight w:val="none"/>
        </w:rPr>
        <w:t>工业企业噪声源强调查清单（室外声源）</w:t>
      </w:r>
    </w:p>
    <w:tbl>
      <w:tblPr>
        <w:tblStyle w:val="17"/>
        <w:tblW w:w="500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665"/>
        <w:gridCol w:w="1743"/>
        <w:gridCol w:w="989"/>
        <w:gridCol w:w="833"/>
        <w:gridCol w:w="933"/>
        <w:gridCol w:w="3909"/>
        <w:gridCol w:w="3570"/>
        <w:gridCol w:w="1316"/>
      </w:tblGrid>
      <w:tr w14:paraId="4269EC3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238" w:type="pct"/>
            <w:vMerge w:val="restart"/>
            <w:noWrap w:val="0"/>
            <w:vAlign w:val="center"/>
          </w:tcPr>
          <w:p w14:paraId="470DD684">
            <w:pPr>
              <w:autoSpaceDE w:val="0"/>
              <w:autoSpaceDN w:val="0"/>
              <w:spacing w:line="240" w:lineRule="auto"/>
              <w:ind w:firstLine="0" w:firstLineChars="0"/>
              <w:jc w:val="center"/>
              <w:rPr>
                <w:sz w:val="21"/>
                <w:szCs w:val="21"/>
                <w:highlight w:val="none"/>
                <w:lang w:eastAsia="en-US"/>
              </w:rPr>
            </w:pPr>
            <w:r>
              <w:rPr>
                <w:sz w:val="21"/>
                <w:szCs w:val="21"/>
                <w:highlight w:val="none"/>
                <w:lang w:eastAsia="en-US"/>
              </w:rPr>
              <w:t>序号</w:t>
            </w:r>
          </w:p>
        </w:tc>
        <w:tc>
          <w:tcPr>
            <w:tcW w:w="624" w:type="pct"/>
            <w:vMerge w:val="restart"/>
            <w:noWrap w:val="0"/>
            <w:vAlign w:val="center"/>
          </w:tcPr>
          <w:p w14:paraId="6DE3BD7E">
            <w:pPr>
              <w:autoSpaceDE w:val="0"/>
              <w:autoSpaceDN w:val="0"/>
              <w:spacing w:line="240" w:lineRule="auto"/>
              <w:ind w:firstLine="0" w:firstLineChars="0"/>
              <w:jc w:val="center"/>
              <w:rPr>
                <w:sz w:val="21"/>
                <w:szCs w:val="21"/>
                <w:highlight w:val="none"/>
                <w:lang w:eastAsia="en-US"/>
              </w:rPr>
            </w:pPr>
            <w:r>
              <w:rPr>
                <w:sz w:val="21"/>
                <w:szCs w:val="21"/>
                <w:highlight w:val="none"/>
                <w:lang w:eastAsia="en-US"/>
              </w:rPr>
              <w:t>声源名称</w:t>
            </w:r>
          </w:p>
        </w:tc>
        <w:tc>
          <w:tcPr>
            <w:tcW w:w="986" w:type="pct"/>
            <w:gridSpan w:val="3"/>
            <w:noWrap w:val="0"/>
            <w:vAlign w:val="center"/>
          </w:tcPr>
          <w:p w14:paraId="459F93EA">
            <w:pPr>
              <w:autoSpaceDE w:val="0"/>
              <w:autoSpaceDN w:val="0"/>
              <w:spacing w:line="240" w:lineRule="auto"/>
              <w:ind w:firstLine="0" w:firstLineChars="0"/>
              <w:jc w:val="center"/>
              <w:rPr>
                <w:sz w:val="21"/>
                <w:szCs w:val="21"/>
                <w:highlight w:val="none"/>
                <w:lang w:eastAsia="en-US"/>
              </w:rPr>
            </w:pPr>
            <w:r>
              <w:rPr>
                <w:sz w:val="21"/>
                <w:szCs w:val="21"/>
                <w:highlight w:val="none"/>
                <w:lang w:eastAsia="en-US"/>
              </w:rPr>
              <w:t>空间相对位置/m</w:t>
            </w:r>
          </w:p>
        </w:tc>
        <w:tc>
          <w:tcPr>
            <w:tcW w:w="1399" w:type="pct"/>
            <w:noWrap w:val="0"/>
            <w:vAlign w:val="center"/>
          </w:tcPr>
          <w:p w14:paraId="30BA32A8">
            <w:pPr>
              <w:autoSpaceDE w:val="0"/>
              <w:autoSpaceDN w:val="0"/>
              <w:spacing w:line="240" w:lineRule="auto"/>
              <w:ind w:firstLine="0" w:firstLineChars="0"/>
              <w:jc w:val="center"/>
              <w:rPr>
                <w:sz w:val="21"/>
                <w:szCs w:val="21"/>
                <w:highlight w:val="none"/>
                <w:lang w:eastAsia="en-US"/>
              </w:rPr>
            </w:pPr>
            <w:r>
              <w:rPr>
                <w:sz w:val="21"/>
                <w:szCs w:val="21"/>
                <w:highlight w:val="none"/>
                <w:lang w:eastAsia="en-US"/>
              </w:rPr>
              <w:t>声源源强</w:t>
            </w:r>
          </w:p>
        </w:tc>
        <w:tc>
          <w:tcPr>
            <w:tcW w:w="1278" w:type="pct"/>
            <w:vMerge w:val="restart"/>
            <w:noWrap w:val="0"/>
            <w:vAlign w:val="center"/>
          </w:tcPr>
          <w:p w14:paraId="75083133">
            <w:pPr>
              <w:autoSpaceDE w:val="0"/>
              <w:autoSpaceDN w:val="0"/>
              <w:spacing w:line="240" w:lineRule="auto"/>
              <w:ind w:firstLine="0" w:firstLineChars="0"/>
              <w:jc w:val="center"/>
              <w:rPr>
                <w:sz w:val="21"/>
                <w:szCs w:val="21"/>
                <w:highlight w:val="none"/>
                <w:lang w:eastAsia="en-US"/>
              </w:rPr>
            </w:pPr>
            <w:r>
              <w:rPr>
                <w:sz w:val="21"/>
                <w:szCs w:val="21"/>
                <w:highlight w:val="none"/>
                <w:lang w:eastAsia="en-US"/>
              </w:rPr>
              <w:t>声源控制措施</w:t>
            </w:r>
          </w:p>
        </w:tc>
        <w:tc>
          <w:tcPr>
            <w:tcW w:w="471" w:type="pct"/>
            <w:vMerge w:val="restart"/>
            <w:noWrap w:val="0"/>
            <w:vAlign w:val="center"/>
          </w:tcPr>
          <w:p w14:paraId="0839D888">
            <w:pPr>
              <w:autoSpaceDE w:val="0"/>
              <w:autoSpaceDN w:val="0"/>
              <w:spacing w:line="240" w:lineRule="auto"/>
              <w:ind w:firstLine="0" w:firstLineChars="0"/>
              <w:jc w:val="center"/>
              <w:rPr>
                <w:sz w:val="21"/>
                <w:szCs w:val="21"/>
                <w:highlight w:val="none"/>
                <w:lang w:eastAsia="en-US"/>
              </w:rPr>
            </w:pPr>
            <w:r>
              <w:rPr>
                <w:sz w:val="21"/>
                <w:szCs w:val="21"/>
                <w:highlight w:val="none"/>
                <w:lang w:eastAsia="en-US"/>
              </w:rPr>
              <w:t>运行时段</w:t>
            </w:r>
          </w:p>
        </w:tc>
      </w:tr>
      <w:tr w14:paraId="1D73BEE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238" w:type="pct"/>
            <w:vMerge w:val="continue"/>
            <w:noWrap w:val="0"/>
            <w:vAlign w:val="center"/>
          </w:tcPr>
          <w:p w14:paraId="56E1B8DB">
            <w:pPr>
              <w:autoSpaceDE w:val="0"/>
              <w:autoSpaceDN w:val="0"/>
              <w:spacing w:line="240" w:lineRule="auto"/>
              <w:ind w:firstLine="0" w:firstLineChars="0"/>
              <w:jc w:val="center"/>
              <w:rPr>
                <w:sz w:val="21"/>
                <w:szCs w:val="21"/>
                <w:highlight w:val="none"/>
                <w:lang w:eastAsia="en-US"/>
              </w:rPr>
            </w:pPr>
          </w:p>
        </w:tc>
        <w:tc>
          <w:tcPr>
            <w:tcW w:w="624" w:type="pct"/>
            <w:vMerge w:val="continue"/>
            <w:noWrap w:val="0"/>
            <w:vAlign w:val="center"/>
          </w:tcPr>
          <w:p w14:paraId="4605C632">
            <w:pPr>
              <w:autoSpaceDE w:val="0"/>
              <w:autoSpaceDN w:val="0"/>
              <w:spacing w:line="240" w:lineRule="auto"/>
              <w:ind w:firstLine="0" w:firstLineChars="0"/>
              <w:jc w:val="center"/>
              <w:rPr>
                <w:sz w:val="21"/>
                <w:szCs w:val="21"/>
                <w:highlight w:val="none"/>
                <w:lang w:eastAsia="en-US"/>
              </w:rPr>
            </w:pPr>
          </w:p>
        </w:tc>
        <w:tc>
          <w:tcPr>
            <w:tcW w:w="354" w:type="pct"/>
            <w:noWrap w:val="0"/>
            <w:vAlign w:val="center"/>
          </w:tcPr>
          <w:p w14:paraId="3DCE5ADA">
            <w:pPr>
              <w:autoSpaceDE w:val="0"/>
              <w:autoSpaceDN w:val="0"/>
              <w:spacing w:line="240" w:lineRule="auto"/>
              <w:ind w:firstLine="0" w:firstLineChars="0"/>
              <w:jc w:val="center"/>
              <w:rPr>
                <w:sz w:val="21"/>
                <w:szCs w:val="21"/>
                <w:highlight w:val="none"/>
                <w:lang w:eastAsia="en-US"/>
              </w:rPr>
            </w:pPr>
            <w:r>
              <w:rPr>
                <w:sz w:val="21"/>
                <w:szCs w:val="21"/>
                <w:highlight w:val="none"/>
                <w:lang w:eastAsia="en-US"/>
              </w:rPr>
              <w:t>X</w:t>
            </w:r>
          </w:p>
        </w:tc>
        <w:tc>
          <w:tcPr>
            <w:tcW w:w="298" w:type="pct"/>
            <w:noWrap w:val="0"/>
            <w:vAlign w:val="center"/>
          </w:tcPr>
          <w:p w14:paraId="73E41C90">
            <w:pPr>
              <w:autoSpaceDE w:val="0"/>
              <w:autoSpaceDN w:val="0"/>
              <w:spacing w:line="240" w:lineRule="auto"/>
              <w:ind w:firstLine="0" w:firstLineChars="0"/>
              <w:jc w:val="center"/>
              <w:rPr>
                <w:sz w:val="21"/>
                <w:szCs w:val="21"/>
                <w:highlight w:val="none"/>
                <w:lang w:eastAsia="en-US"/>
              </w:rPr>
            </w:pPr>
            <w:r>
              <w:rPr>
                <w:sz w:val="21"/>
                <w:szCs w:val="21"/>
                <w:highlight w:val="none"/>
                <w:lang w:eastAsia="en-US"/>
              </w:rPr>
              <w:t>Y</w:t>
            </w:r>
          </w:p>
        </w:tc>
        <w:tc>
          <w:tcPr>
            <w:tcW w:w="333" w:type="pct"/>
            <w:noWrap w:val="0"/>
            <w:vAlign w:val="center"/>
          </w:tcPr>
          <w:p w14:paraId="6C5BEE4D">
            <w:pPr>
              <w:autoSpaceDE w:val="0"/>
              <w:autoSpaceDN w:val="0"/>
              <w:spacing w:line="240" w:lineRule="auto"/>
              <w:ind w:firstLine="0" w:firstLineChars="0"/>
              <w:jc w:val="center"/>
              <w:rPr>
                <w:sz w:val="21"/>
                <w:szCs w:val="21"/>
                <w:highlight w:val="none"/>
                <w:lang w:eastAsia="en-US"/>
              </w:rPr>
            </w:pPr>
            <w:r>
              <w:rPr>
                <w:sz w:val="21"/>
                <w:szCs w:val="21"/>
                <w:highlight w:val="none"/>
                <w:lang w:eastAsia="en-US"/>
              </w:rPr>
              <w:t>Z</w:t>
            </w:r>
          </w:p>
        </w:tc>
        <w:tc>
          <w:tcPr>
            <w:tcW w:w="1399" w:type="pct"/>
            <w:noWrap w:val="0"/>
            <w:vAlign w:val="center"/>
          </w:tcPr>
          <w:p w14:paraId="1EB6FB00">
            <w:pPr>
              <w:autoSpaceDE w:val="0"/>
              <w:autoSpaceDN w:val="0"/>
              <w:spacing w:line="240" w:lineRule="auto"/>
              <w:ind w:firstLine="0" w:firstLineChars="0"/>
              <w:jc w:val="center"/>
              <w:rPr>
                <w:sz w:val="21"/>
                <w:szCs w:val="21"/>
                <w:highlight w:val="none"/>
                <w:lang w:eastAsia="en-US"/>
              </w:rPr>
            </w:pPr>
            <w:r>
              <w:rPr>
                <w:sz w:val="21"/>
                <w:szCs w:val="21"/>
                <w:highlight w:val="none"/>
                <w:lang w:eastAsia="en-US"/>
              </w:rPr>
              <w:t>（声压级/距声源距离）/（dB(A)/m）</w:t>
            </w:r>
          </w:p>
        </w:tc>
        <w:tc>
          <w:tcPr>
            <w:tcW w:w="1278" w:type="pct"/>
            <w:vMerge w:val="continue"/>
            <w:noWrap w:val="0"/>
            <w:vAlign w:val="center"/>
          </w:tcPr>
          <w:p w14:paraId="2B1537E0">
            <w:pPr>
              <w:autoSpaceDE w:val="0"/>
              <w:autoSpaceDN w:val="0"/>
              <w:spacing w:line="240" w:lineRule="auto"/>
              <w:ind w:firstLine="0" w:firstLineChars="0"/>
              <w:jc w:val="center"/>
              <w:rPr>
                <w:sz w:val="21"/>
                <w:szCs w:val="21"/>
                <w:highlight w:val="none"/>
                <w:lang w:eastAsia="en-US"/>
              </w:rPr>
            </w:pPr>
          </w:p>
        </w:tc>
        <w:tc>
          <w:tcPr>
            <w:tcW w:w="471" w:type="pct"/>
            <w:vMerge w:val="continue"/>
            <w:noWrap w:val="0"/>
            <w:vAlign w:val="center"/>
          </w:tcPr>
          <w:p w14:paraId="10B94D22">
            <w:pPr>
              <w:autoSpaceDE w:val="0"/>
              <w:autoSpaceDN w:val="0"/>
              <w:spacing w:line="240" w:lineRule="auto"/>
              <w:ind w:firstLine="0" w:firstLineChars="0"/>
              <w:jc w:val="center"/>
              <w:rPr>
                <w:sz w:val="21"/>
                <w:szCs w:val="21"/>
                <w:highlight w:val="none"/>
                <w:lang w:eastAsia="en-US"/>
              </w:rPr>
            </w:pPr>
          </w:p>
        </w:tc>
      </w:tr>
      <w:tr w14:paraId="08647D5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238" w:type="pct"/>
            <w:noWrap w:val="0"/>
            <w:vAlign w:val="center"/>
          </w:tcPr>
          <w:p w14:paraId="22F8D807">
            <w:pPr>
              <w:autoSpaceDE w:val="0"/>
              <w:autoSpaceDN w:val="0"/>
              <w:spacing w:line="240" w:lineRule="auto"/>
              <w:ind w:firstLine="0" w:firstLineChars="0"/>
              <w:jc w:val="center"/>
              <w:rPr>
                <w:sz w:val="21"/>
                <w:szCs w:val="21"/>
                <w:highlight w:val="none"/>
                <w:lang w:eastAsia="en-US"/>
              </w:rPr>
            </w:pPr>
            <w:r>
              <w:rPr>
                <w:sz w:val="21"/>
                <w:szCs w:val="21"/>
                <w:highlight w:val="none"/>
                <w:lang w:eastAsia="en-US"/>
              </w:rPr>
              <w:t>1</w:t>
            </w:r>
          </w:p>
        </w:tc>
        <w:tc>
          <w:tcPr>
            <w:tcW w:w="624" w:type="pct"/>
            <w:noWrap w:val="0"/>
            <w:vAlign w:val="center"/>
          </w:tcPr>
          <w:p w14:paraId="3D8BF903">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一次风机1#</w:t>
            </w:r>
          </w:p>
        </w:tc>
        <w:tc>
          <w:tcPr>
            <w:tcW w:w="354" w:type="pct"/>
            <w:noWrap w:val="0"/>
            <w:vAlign w:val="center"/>
          </w:tcPr>
          <w:p w14:paraId="2BA5E9E1">
            <w:pPr>
              <w:autoSpaceDE w:val="0"/>
              <w:autoSpaceDN w:val="0"/>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-5.04</w:t>
            </w:r>
          </w:p>
        </w:tc>
        <w:tc>
          <w:tcPr>
            <w:tcW w:w="298" w:type="pct"/>
            <w:noWrap w:val="0"/>
            <w:vAlign w:val="center"/>
          </w:tcPr>
          <w:p w14:paraId="58A60B7D">
            <w:pPr>
              <w:autoSpaceDE w:val="0"/>
              <w:autoSpaceDN w:val="0"/>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-32.49</w:t>
            </w:r>
          </w:p>
        </w:tc>
        <w:tc>
          <w:tcPr>
            <w:tcW w:w="333" w:type="pct"/>
            <w:noWrap w:val="0"/>
            <w:vAlign w:val="center"/>
          </w:tcPr>
          <w:p w14:paraId="75C61293">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1</w:t>
            </w:r>
          </w:p>
        </w:tc>
        <w:tc>
          <w:tcPr>
            <w:tcW w:w="1399" w:type="pct"/>
            <w:noWrap w:val="0"/>
            <w:vAlign w:val="center"/>
          </w:tcPr>
          <w:p w14:paraId="432A8D6D">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95 dB(A)/吸风口外3m</w:t>
            </w:r>
          </w:p>
        </w:tc>
        <w:tc>
          <w:tcPr>
            <w:tcW w:w="1278" w:type="pct"/>
            <w:noWrap w:val="0"/>
            <w:vAlign w:val="center"/>
          </w:tcPr>
          <w:p w14:paraId="1D90A164">
            <w:pPr>
              <w:autoSpaceDE w:val="0"/>
              <w:autoSpaceDN w:val="0"/>
              <w:spacing w:line="240" w:lineRule="auto"/>
              <w:ind w:firstLine="0" w:firstLineChars="0"/>
              <w:jc w:val="center"/>
              <w:rPr>
                <w:sz w:val="21"/>
                <w:szCs w:val="21"/>
                <w:highlight w:val="none"/>
              </w:rPr>
            </w:pPr>
            <w:r>
              <w:rPr>
                <w:rFonts w:hint="eastAsia"/>
                <w:sz w:val="21"/>
                <w:szCs w:val="21"/>
                <w:highlight w:val="none"/>
              </w:rPr>
              <w:t>进风口消声器、管道外壳阻尼</w:t>
            </w:r>
          </w:p>
        </w:tc>
        <w:tc>
          <w:tcPr>
            <w:tcW w:w="471" w:type="pct"/>
            <w:vMerge w:val="restart"/>
            <w:noWrap w:val="0"/>
            <w:vAlign w:val="center"/>
          </w:tcPr>
          <w:p w14:paraId="4F6B670F">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昼间、夜间</w:t>
            </w:r>
          </w:p>
        </w:tc>
      </w:tr>
      <w:tr w14:paraId="719EBD7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238" w:type="pct"/>
            <w:noWrap w:val="0"/>
            <w:vAlign w:val="center"/>
          </w:tcPr>
          <w:p w14:paraId="0583C814">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2</w:t>
            </w:r>
          </w:p>
        </w:tc>
        <w:tc>
          <w:tcPr>
            <w:tcW w:w="624" w:type="pct"/>
            <w:noWrap w:val="0"/>
            <w:vAlign w:val="center"/>
          </w:tcPr>
          <w:p w14:paraId="0877453C">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二次风机1#</w:t>
            </w:r>
          </w:p>
        </w:tc>
        <w:tc>
          <w:tcPr>
            <w:tcW w:w="354" w:type="pct"/>
            <w:noWrap w:val="0"/>
            <w:vAlign w:val="center"/>
          </w:tcPr>
          <w:p w14:paraId="068B9636">
            <w:pPr>
              <w:autoSpaceDE w:val="0"/>
              <w:autoSpaceDN w:val="0"/>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-5.92</w:t>
            </w:r>
          </w:p>
        </w:tc>
        <w:tc>
          <w:tcPr>
            <w:tcW w:w="298" w:type="pct"/>
            <w:noWrap w:val="0"/>
            <w:vAlign w:val="center"/>
          </w:tcPr>
          <w:p w14:paraId="3989F806">
            <w:pPr>
              <w:autoSpaceDE w:val="0"/>
              <w:autoSpaceDN w:val="0"/>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-33.4</w:t>
            </w:r>
          </w:p>
        </w:tc>
        <w:tc>
          <w:tcPr>
            <w:tcW w:w="333" w:type="pct"/>
            <w:noWrap w:val="0"/>
            <w:vAlign w:val="center"/>
          </w:tcPr>
          <w:p w14:paraId="45E1F614">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1</w:t>
            </w:r>
          </w:p>
        </w:tc>
        <w:tc>
          <w:tcPr>
            <w:tcW w:w="1399" w:type="pct"/>
            <w:noWrap w:val="0"/>
            <w:vAlign w:val="center"/>
          </w:tcPr>
          <w:p w14:paraId="70CBA1F4">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95 dB(A)/吸风口外3m</w:t>
            </w:r>
          </w:p>
        </w:tc>
        <w:tc>
          <w:tcPr>
            <w:tcW w:w="1278" w:type="pct"/>
            <w:noWrap w:val="0"/>
            <w:vAlign w:val="center"/>
          </w:tcPr>
          <w:p w14:paraId="0B2CA4C2">
            <w:pPr>
              <w:autoSpaceDE w:val="0"/>
              <w:autoSpaceDN w:val="0"/>
              <w:spacing w:line="240" w:lineRule="auto"/>
              <w:ind w:firstLine="0" w:firstLineChars="0"/>
              <w:jc w:val="center"/>
              <w:rPr>
                <w:sz w:val="21"/>
                <w:szCs w:val="21"/>
                <w:highlight w:val="none"/>
              </w:rPr>
            </w:pPr>
            <w:r>
              <w:rPr>
                <w:rFonts w:hint="eastAsia"/>
                <w:sz w:val="21"/>
                <w:szCs w:val="21"/>
                <w:highlight w:val="none"/>
              </w:rPr>
              <w:t>进风口消声器、管道外壳阻尼</w:t>
            </w:r>
          </w:p>
        </w:tc>
        <w:tc>
          <w:tcPr>
            <w:tcW w:w="471" w:type="pct"/>
            <w:vMerge w:val="continue"/>
            <w:noWrap w:val="0"/>
            <w:vAlign w:val="center"/>
          </w:tcPr>
          <w:p w14:paraId="69041840">
            <w:pPr>
              <w:autoSpaceDE w:val="0"/>
              <w:autoSpaceDN w:val="0"/>
              <w:spacing w:line="240" w:lineRule="auto"/>
              <w:ind w:firstLine="0" w:firstLineChars="0"/>
              <w:jc w:val="center"/>
              <w:rPr>
                <w:sz w:val="21"/>
                <w:szCs w:val="21"/>
                <w:highlight w:val="none"/>
              </w:rPr>
            </w:pPr>
          </w:p>
        </w:tc>
      </w:tr>
      <w:tr w14:paraId="7B60C98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238" w:type="pct"/>
            <w:noWrap w:val="0"/>
            <w:vAlign w:val="center"/>
          </w:tcPr>
          <w:p w14:paraId="2249C9B3">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3</w:t>
            </w:r>
          </w:p>
        </w:tc>
        <w:tc>
          <w:tcPr>
            <w:tcW w:w="624" w:type="pct"/>
            <w:noWrap w:val="0"/>
            <w:vAlign w:val="center"/>
          </w:tcPr>
          <w:p w14:paraId="02DF255B">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一次风机</w:t>
            </w:r>
            <w:r>
              <w:rPr>
                <w:rFonts w:hint="eastAsia"/>
                <w:sz w:val="21"/>
                <w:szCs w:val="21"/>
                <w:highlight w:val="none"/>
              </w:rPr>
              <w:t>2</w:t>
            </w:r>
            <w:r>
              <w:rPr>
                <w:rFonts w:hint="eastAsia"/>
                <w:sz w:val="21"/>
                <w:szCs w:val="21"/>
                <w:highlight w:val="none"/>
                <w:lang w:eastAsia="en-US"/>
              </w:rPr>
              <w:t>#</w:t>
            </w:r>
          </w:p>
        </w:tc>
        <w:tc>
          <w:tcPr>
            <w:tcW w:w="354" w:type="pct"/>
            <w:noWrap w:val="0"/>
            <w:vAlign w:val="center"/>
          </w:tcPr>
          <w:p w14:paraId="0474298F">
            <w:pPr>
              <w:autoSpaceDE w:val="0"/>
              <w:autoSpaceDN w:val="0"/>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1.36</w:t>
            </w:r>
          </w:p>
        </w:tc>
        <w:tc>
          <w:tcPr>
            <w:tcW w:w="298" w:type="pct"/>
            <w:noWrap w:val="0"/>
            <w:vAlign w:val="center"/>
          </w:tcPr>
          <w:p w14:paraId="534EB503">
            <w:pPr>
              <w:autoSpaceDE w:val="0"/>
              <w:autoSpaceDN w:val="0"/>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-28.06</w:t>
            </w:r>
          </w:p>
        </w:tc>
        <w:tc>
          <w:tcPr>
            <w:tcW w:w="333" w:type="pct"/>
            <w:noWrap w:val="0"/>
            <w:vAlign w:val="center"/>
          </w:tcPr>
          <w:p w14:paraId="2F5D285F">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1</w:t>
            </w:r>
          </w:p>
        </w:tc>
        <w:tc>
          <w:tcPr>
            <w:tcW w:w="1399" w:type="pct"/>
            <w:noWrap w:val="0"/>
            <w:vAlign w:val="center"/>
          </w:tcPr>
          <w:p w14:paraId="037E9727">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95 dB(A)/吸风口外3m</w:t>
            </w:r>
          </w:p>
        </w:tc>
        <w:tc>
          <w:tcPr>
            <w:tcW w:w="1278" w:type="pct"/>
            <w:noWrap w:val="0"/>
            <w:vAlign w:val="center"/>
          </w:tcPr>
          <w:p w14:paraId="058945F8">
            <w:pPr>
              <w:autoSpaceDE w:val="0"/>
              <w:autoSpaceDN w:val="0"/>
              <w:spacing w:line="240" w:lineRule="auto"/>
              <w:ind w:firstLine="0" w:firstLineChars="0"/>
              <w:jc w:val="center"/>
              <w:rPr>
                <w:sz w:val="21"/>
                <w:szCs w:val="21"/>
                <w:highlight w:val="none"/>
              </w:rPr>
            </w:pPr>
            <w:r>
              <w:rPr>
                <w:rFonts w:hint="eastAsia"/>
                <w:sz w:val="21"/>
                <w:szCs w:val="21"/>
                <w:highlight w:val="none"/>
              </w:rPr>
              <w:t>进风口消声器、管道外壳阻尼</w:t>
            </w:r>
          </w:p>
        </w:tc>
        <w:tc>
          <w:tcPr>
            <w:tcW w:w="471" w:type="pct"/>
            <w:vMerge w:val="continue"/>
            <w:noWrap w:val="0"/>
            <w:vAlign w:val="center"/>
          </w:tcPr>
          <w:p w14:paraId="43ACBE2F">
            <w:pPr>
              <w:autoSpaceDE w:val="0"/>
              <w:autoSpaceDN w:val="0"/>
              <w:spacing w:line="240" w:lineRule="auto"/>
              <w:ind w:firstLine="0" w:firstLineChars="0"/>
              <w:jc w:val="center"/>
              <w:rPr>
                <w:sz w:val="21"/>
                <w:szCs w:val="21"/>
                <w:highlight w:val="none"/>
              </w:rPr>
            </w:pPr>
          </w:p>
        </w:tc>
      </w:tr>
      <w:tr w14:paraId="3FFB660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238" w:type="pct"/>
            <w:noWrap w:val="0"/>
            <w:vAlign w:val="center"/>
          </w:tcPr>
          <w:p w14:paraId="68237B6F">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4</w:t>
            </w:r>
          </w:p>
        </w:tc>
        <w:tc>
          <w:tcPr>
            <w:tcW w:w="624" w:type="pct"/>
            <w:noWrap w:val="0"/>
            <w:vAlign w:val="center"/>
          </w:tcPr>
          <w:p w14:paraId="4C5D2355">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二次风机</w:t>
            </w:r>
            <w:r>
              <w:rPr>
                <w:rFonts w:hint="eastAsia"/>
                <w:sz w:val="21"/>
                <w:szCs w:val="21"/>
                <w:highlight w:val="none"/>
              </w:rPr>
              <w:t>2</w:t>
            </w:r>
            <w:r>
              <w:rPr>
                <w:rFonts w:hint="eastAsia"/>
                <w:sz w:val="21"/>
                <w:szCs w:val="21"/>
                <w:highlight w:val="none"/>
                <w:lang w:eastAsia="en-US"/>
              </w:rPr>
              <w:t>#</w:t>
            </w:r>
          </w:p>
        </w:tc>
        <w:tc>
          <w:tcPr>
            <w:tcW w:w="354" w:type="pct"/>
            <w:noWrap w:val="0"/>
            <w:vAlign w:val="center"/>
          </w:tcPr>
          <w:p w14:paraId="52AE2B5E">
            <w:pPr>
              <w:autoSpaceDE w:val="0"/>
              <w:autoSpaceDN w:val="0"/>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1.36</w:t>
            </w:r>
          </w:p>
        </w:tc>
        <w:tc>
          <w:tcPr>
            <w:tcW w:w="298" w:type="pct"/>
            <w:noWrap w:val="0"/>
            <w:vAlign w:val="center"/>
          </w:tcPr>
          <w:p w14:paraId="1ED72BA5">
            <w:pPr>
              <w:autoSpaceDE w:val="0"/>
              <w:autoSpaceDN w:val="0"/>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-30.14</w:t>
            </w:r>
          </w:p>
        </w:tc>
        <w:tc>
          <w:tcPr>
            <w:tcW w:w="333" w:type="pct"/>
            <w:noWrap w:val="0"/>
            <w:vAlign w:val="center"/>
          </w:tcPr>
          <w:p w14:paraId="2F93C94E">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1</w:t>
            </w:r>
          </w:p>
        </w:tc>
        <w:tc>
          <w:tcPr>
            <w:tcW w:w="1399" w:type="pct"/>
            <w:noWrap w:val="0"/>
            <w:vAlign w:val="center"/>
          </w:tcPr>
          <w:p w14:paraId="741197DB">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95 dB(A)/吸风口外3m</w:t>
            </w:r>
          </w:p>
        </w:tc>
        <w:tc>
          <w:tcPr>
            <w:tcW w:w="1278" w:type="pct"/>
            <w:noWrap w:val="0"/>
            <w:vAlign w:val="center"/>
          </w:tcPr>
          <w:p w14:paraId="6D7041BA">
            <w:pPr>
              <w:autoSpaceDE w:val="0"/>
              <w:autoSpaceDN w:val="0"/>
              <w:spacing w:line="240" w:lineRule="auto"/>
              <w:ind w:firstLine="0" w:firstLineChars="0"/>
              <w:jc w:val="center"/>
              <w:rPr>
                <w:sz w:val="21"/>
                <w:szCs w:val="21"/>
                <w:highlight w:val="none"/>
              </w:rPr>
            </w:pPr>
            <w:r>
              <w:rPr>
                <w:rFonts w:hint="eastAsia"/>
                <w:sz w:val="21"/>
                <w:szCs w:val="21"/>
                <w:highlight w:val="none"/>
              </w:rPr>
              <w:t>进风口消声器、管道外壳阻尼</w:t>
            </w:r>
          </w:p>
        </w:tc>
        <w:tc>
          <w:tcPr>
            <w:tcW w:w="471" w:type="pct"/>
            <w:vMerge w:val="continue"/>
            <w:noWrap w:val="0"/>
            <w:vAlign w:val="center"/>
          </w:tcPr>
          <w:p w14:paraId="6C813720">
            <w:pPr>
              <w:autoSpaceDE w:val="0"/>
              <w:autoSpaceDN w:val="0"/>
              <w:spacing w:line="240" w:lineRule="auto"/>
              <w:ind w:firstLine="0" w:firstLineChars="0"/>
              <w:jc w:val="center"/>
              <w:rPr>
                <w:sz w:val="21"/>
                <w:szCs w:val="21"/>
                <w:highlight w:val="none"/>
              </w:rPr>
            </w:pPr>
          </w:p>
        </w:tc>
      </w:tr>
      <w:tr w14:paraId="6AC1B3D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238" w:type="pct"/>
            <w:noWrap w:val="0"/>
            <w:vAlign w:val="center"/>
          </w:tcPr>
          <w:p w14:paraId="4D173282">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5</w:t>
            </w:r>
          </w:p>
        </w:tc>
        <w:tc>
          <w:tcPr>
            <w:tcW w:w="624" w:type="pct"/>
            <w:noWrap w:val="0"/>
            <w:vAlign w:val="center"/>
          </w:tcPr>
          <w:p w14:paraId="442E55EF">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一次风机</w:t>
            </w:r>
            <w:r>
              <w:rPr>
                <w:rFonts w:hint="eastAsia"/>
                <w:sz w:val="21"/>
                <w:szCs w:val="21"/>
                <w:highlight w:val="none"/>
              </w:rPr>
              <w:t>3</w:t>
            </w:r>
            <w:r>
              <w:rPr>
                <w:rFonts w:hint="eastAsia"/>
                <w:sz w:val="21"/>
                <w:szCs w:val="21"/>
                <w:highlight w:val="none"/>
                <w:lang w:eastAsia="en-US"/>
              </w:rPr>
              <w:t>#</w:t>
            </w:r>
          </w:p>
        </w:tc>
        <w:tc>
          <w:tcPr>
            <w:tcW w:w="354" w:type="pct"/>
            <w:noWrap w:val="0"/>
            <w:vAlign w:val="center"/>
          </w:tcPr>
          <w:p w14:paraId="7AB6090E">
            <w:pPr>
              <w:autoSpaceDE w:val="0"/>
              <w:autoSpaceDN w:val="0"/>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13.54</w:t>
            </w:r>
          </w:p>
        </w:tc>
        <w:tc>
          <w:tcPr>
            <w:tcW w:w="298" w:type="pct"/>
            <w:noWrap w:val="0"/>
            <w:vAlign w:val="center"/>
          </w:tcPr>
          <w:p w14:paraId="074A69F4">
            <w:pPr>
              <w:autoSpaceDE w:val="0"/>
              <w:autoSpaceDN w:val="0"/>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-28.65</w:t>
            </w:r>
          </w:p>
        </w:tc>
        <w:tc>
          <w:tcPr>
            <w:tcW w:w="333" w:type="pct"/>
            <w:noWrap w:val="0"/>
            <w:vAlign w:val="center"/>
          </w:tcPr>
          <w:p w14:paraId="704FF6A9">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1</w:t>
            </w:r>
          </w:p>
        </w:tc>
        <w:tc>
          <w:tcPr>
            <w:tcW w:w="1399" w:type="pct"/>
            <w:noWrap w:val="0"/>
            <w:vAlign w:val="center"/>
          </w:tcPr>
          <w:p w14:paraId="15A57478">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95 dB(A)/吸风口外3m</w:t>
            </w:r>
          </w:p>
        </w:tc>
        <w:tc>
          <w:tcPr>
            <w:tcW w:w="1278" w:type="pct"/>
            <w:noWrap w:val="0"/>
            <w:vAlign w:val="center"/>
          </w:tcPr>
          <w:p w14:paraId="52E73DFE">
            <w:pPr>
              <w:autoSpaceDE w:val="0"/>
              <w:autoSpaceDN w:val="0"/>
              <w:spacing w:line="240" w:lineRule="auto"/>
              <w:ind w:firstLine="0" w:firstLineChars="0"/>
              <w:jc w:val="center"/>
              <w:rPr>
                <w:sz w:val="21"/>
                <w:szCs w:val="21"/>
                <w:highlight w:val="none"/>
              </w:rPr>
            </w:pPr>
            <w:r>
              <w:rPr>
                <w:rFonts w:hint="eastAsia"/>
                <w:sz w:val="21"/>
                <w:szCs w:val="21"/>
                <w:highlight w:val="none"/>
              </w:rPr>
              <w:t>进风口消声器、管道外壳阻尼</w:t>
            </w:r>
          </w:p>
        </w:tc>
        <w:tc>
          <w:tcPr>
            <w:tcW w:w="471" w:type="pct"/>
            <w:vMerge w:val="continue"/>
            <w:noWrap w:val="0"/>
            <w:vAlign w:val="center"/>
          </w:tcPr>
          <w:p w14:paraId="454AA303">
            <w:pPr>
              <w:autoSpaceDE w:val="0"/>
              <w:autoSpaceDN w:val="0"/>
              <w:spacing w:line="240" w:lineRule="auto"/>
              <w:ind w:firstLine="0" w:firstLineChars="0"/>
              <w:jc w:val="center"/>
              <w:rPr>
                <w:sz w:val="21"/>
                <w:szCs w:val="21"/>
                <w:highlight w:val="none"/>
              </w:rPr>
            </w:pPr>
          </w:p>
        </w:tc>
      </w:tr>
      <w:tr w14:paraId="204C25C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238" w:type="pct"/>
            <w:noWrap w:val="0"/>
            <w:vAlign w:val="center"/>
          </w:tcPr>
          <w:p w14:paraId="78E0B492">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6</w:t>
            </w:r>
          </w:p>
        </w:tc>
        <w:tc>
          <w:tcPr>
            <w:tcW w:w="624" w:type="pct"/>
            <w:noWrap w:val="0"/>
            <w:vAlign w:val="center"/>
          </w:tcPr>
          <w:p w14:paraId="223992A6">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二次风机</w:t>
            </w:r>
            <w:r>
              <w:rPr>
                <w:rFonts w:hint="eastAsia"/>
                <w:sz w:val="21"/>
                <w:szCs w:val="21"/>
                <w:highlight w:val="none"/>
              </w:rPr>
              <w:t>3</w:t>
            </w:r>
            <w:r>
              <w:rPr>
                <w:rFonts w:hint="eastAsia"/>
                <w:sz w:val="21"/>
                <w:szCs w:val="21"/>
                <w:highlight w:val="none"/>
                <w:lang w:eastAsia="en-US"/>
              </w:rPr>
              <w:t>#</w:t>
            </w:r>
          </w:p>
        </w:tc>
        <w:tc>
          <w:tcPr>
            <w:tcW w:w="354" w:type="pct"/>
            <w:noWrap w:val="0"/>
            <w:vAlign w:val="center"/>
          </w:tcPr>
          <w:p w14:paraId="7C8F8EFF">
            <w:pPr>
              <w:autoSpaceDE w:val="0"/>
              <w:autoSpaceDN w:val="0"/>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13.54</w:t>
            </w:r>
          </w:p>
        </w:tc>
        <w:tc>
          <w:tcPr>
            <w:tcW w:w="298" w:type="pct"/>
            <w:noWrap w:val="0"/>
            <w:vAlign w:val="center"/>
          </w:tcPr>
          <w:p w14:paraId="0A9779E6">
            <w:pPr>
              <w:autoSpaceDE w:val="0"/>
              <w:autoSpaceDN w:val="0"/>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-25.68</w:t>
            </w:r>
          </w:p>
        </w:tc>
        <w:tc>
          <w:tcPr>
            <w:tcW w:w="333" w:type="pct"/>
            <w:noWrap w:val="0"/>
            <w:vAlign w:val="center"/>
          </w:tcPr>
          <w:p w14:paraId="32800DC6">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1</w:t>
            </w:r>
          </w:p>
        </w:tc>
        <w:tc>
          <w:tcPr>
            <w:tcW w:w="1399" w:type="pct"/>
            <w:noWrap w:val="0"/>
            <w:vAlign w:val="center"/>
          </w:tcPr>
          <w:p w14:paraId="23DD91FD">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95 dB(A)/吸风口外3m</w:t>
            </w:r>
          </w:p>
        </w:tc>
        <w:tc>
          <w:tcPr>
            <w:tcW w:w="1278" w:type="pct"/>
            <w:noWrap w:val="0"/>
            <w:vAlign w:val="center"/>
          </w:tcPr>
          <w:p w14:paraId="35DB684B">
            <w:pPr>
              <w:autoSpaceDE w:val="0"/>
              <w:autoSpaceDN w:val="0"/>
              <w:spacing w:line="240" w:lineRule="auto"/>
              <w:ind w:firstLine="0" w:firstLineChars="0"/>
              <w:jc w:val="center"/>
              <w:rPr>
                <w:sz w:val="21"/>
                <w:szCs w:val="21"/>
                <w:highlight w:val="none"/>
              </w:rPr>
            </w:pPr>
            <w:r>
              <w:rPr>
                <w:rFonts w:hint="eastAsia"/>
                <w:sz w:val="21"/>
                <w:szCs w:val="21"/>
                <w:highlight w:val="none"/>
              </w:rPr>
              <w:t>进风口消声器、管道外壳阻尼</w:t>
            </w:r>
          </w:p>
        </w:tc>
        <w:tc>
          <w:tcPr>
            <w:tcW w:w="471" w:type="pct"/>
            <w:vMerge w:val="continue"/>
            <w:noWrap w:val="0"/>
            <w:vAlign w:val="center"/>
          </w:tcPr>
          <w:p w14:paraId="2D91F1E0">
            <w:pPr>
              <w:autoSpaceDE w:val="0"/>
              <w:autoSpaceDN w:val="0"/>
              <w:spacing w:line="240" w:lineRule="auto"/>
              <w:ind w:firstLine="0" w:firstLineChars="0"/>
              <w:jc w:val="center"/>
              <w:rPr>
                <w:sz w:val="21"/>
                <w:szCs w:val="21"/>
                <w:highlight w:val="none"/>
              </w:rPr>
            </w:pPr>
          </w:p>
        </w:tc>
      </w:tr>
      <w:tr w14:paraId="2542EDA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238" w:type="pct"/>
            <w:noWrap w:val="0"/>
            <w:vAlign w:val="center"/>
          </w:tcPr>
          <w:p w14:paraId="14AE5263">
            <w:pPr>
              <w:autoSpaceDE w:val="0"/>
              <w:autoSpaceDN w:val="0"/>
              <w:spacing w:line="240" w:lineRule="auto"/>
              <w:ind w:firstLine="0" w:firstLineChars="0"/>
              <w:jc w:val="center"/>
              <w:rPr>
                <w:rFonts w:hint="eastAsia"/>
                <w:sz w:val="21"/>
                <w:szCs w:val="21"/>
                <w:highlight w:val="none"/>
              </w:rPr>
            </w:pPr>
            <w:r>
              <w:rPr>
                <w:rFonts w:hint="eastAsia"/>
                <w:sz w:val="21"/>
                <w:szCs w:val="21"/>
                <w:highlight w:val="none"/>
              </w:rPr>
              <w:t>7</w:t>
            </w:r>
          </w:p>
        </w:tc>
        <w:tc>
          <w:tcPr>
            <w:tcW w:w="624" w:type="pct"/>
            <w:noWrap w:val="0"/>
            <w:vAlign w:val="center"/>
          </w:tcPr>
          <w:p w14:paraId="73992985">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氧化风机1#</w:t>
            </w:r>
          </w:p>
        </w:tc>
        <w:tc>
          <w:tcPr>
            <w:tcW w:w="354" w:type="pct"/>
            <w:noWrap w:val="0"/>
            <w:vAlign w:val="center"/>
          </w:tcPr>
          <w:p w14:paraId="5FB56DAE">
            <w:pPr>
              <w:autoSpaceDE w:val="0"/>
              <w:autoSpaceDN w:val="0"/>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-6.81</w:t>
            </w:r>
          </w:p>
        </w:tc>
        <w:tc>
          <w:tcPr>
            <w:tcW w:w="298" w:type="pct"/>
            <w:noWrap w:val="0"/>
            <w:vAlign w:val="center"/>
          </w:tcPr>
          <w:p w14:paraId="6C917872">
            <w:pPr>
              <w:autoSpaceDE w:val="0"/>
              <w:autoSpaceDN w:val="0"/>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-34</w:t>
            </w:r>
          </w:p>
        </w:tc>
        <w:tc>
          <w:tcPr>
            <w:tcW w:w="333" w:type="pct"/>
            <w:noWrap w:val="0"/>
            <w:vAlign w:val="center"/>
          </w:tcPr>
          <w:p w14:paraId="14D8B70D">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1</w:t>
            </w:r>
          </w:p>
        </w:tc>
        <w:tc>
          <w:tcPr>
            <w:tcW w:w="1399" w:type="pct"/>
            <w:noWrap w:val="0"/>
            <w:vAlign w:val="center"/>
          </w:tcPr>
          <w:p w14:paraId="372FA499">
            <w:pPr>
              <w:autoSpaceDE w:val="0"/>
              <w:autoSpaceDN w:val="0"/>
              <w:spacing w:line="240" w:lineRule="auto"/>
              <w:ind w:firstLine="0" w:firstLineChars="0"/>
              <w:jc w:val="center"/>
              <w:rPr>
                <w:sz w:val="21"/>
                <w:szCs w:val="21"/>
                <w:highlight w:val="none"/>
                <w:lang w:eastAsia="en-US"/>
              </w:rPr>
            </w:pPr>
            <w:r>
              <w:rPr>
                <w:sz w:val="21"/>
                <w:szCs w:val="21"/>
                <w:highlight w:val="none"/>
                <w:lang w:eastAsia="en-US"/>
              </w:rPr>
              <w:t>95</w:t>
            </w:r>
            <w:r>
              <w:rPr>
                <w:rFonts w:hint="eastAsia"/>
                <w:sz w:val="21"/>
                <w:szCs w:val="21"/>
                <w:highlight w:val="none"/>
                <w:lang w:eastAsia="en-US"/>
              </w:rPr>
              <w:t xml:space="preserve"> dB(A)/设备外1m</w:t>
            </w:r>
          </w:p>
        </w:tc>
        <w:tc>
          <w:tcPr>
            <w:tcW w:w="1278" w:type="pct"/>
            <w:noWrap w:val="0"/>
            <w:vAlign w:val="center"/>
          </w:tcPr>
          <w:p w14:paraId="3B04E91B">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进风口消声器</w:t>
            </w:r>
          </w:p>
        </w:tc>
        <w:tc>
          <w:tcPr>
            <w:tcW w:w="471" w:type="pct"/>
            <w:vMerge w:val="continue"/>
            <w:noWrap w:val="0"/>
            <w:vAlign w:val="center"/>
          </w:tcPr>
          <w:p w14:paraId="08135E7D">
            <w:pPr>
              <w:autoSpaceDE w:val="0"/>
              <w:autoSpaceDN w:val="0"/>
              <w:spacing w:line="240" w:lineRule="auto"/>
              <w:ind w:firstLine="0" w:firstLineChars="0"/>
              <w:jc w:val="center"/>
              <w:rPr>
                <w:sz w:val="21"/>
                <w:szCs w:val="21"/>
                <w:highlight w:val="none"/>
                <w:lang w:eastAsia="en-US"/>
              </w:rPr>
            </w:pPr>
          </w:p>
        </w:tc>
      </w:tr>
      <w:tr w14:paraId="113281A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238" w:type="pct"/>
            <w:noWrap w:val="0"/>
            <w:vAlign w:val="center"/>
          </w:tcPr>
          <w:p w14:paraId="32CF91EE">
            <w:pPr>
              <w:autoSpaceDE w:val="0"/>
              <w:autoSpaceDN w:val="0"/>
              <w:spacing w:line="240" w:lineRule="auto"/>
              <w:ind w:firstLine="0" w:firstLineChars="0"/>
              <w:jc w:val="center"/>
              <w:rPr>
                <w:rFonts w:hint="eastAsia"/>
                <w:sz w:val="21"/>
                <w:szCs w:val="21"/>
                <w:highlight w:val="none"/>
              </w:rPr>
            </w:pPr>
            <w:r>
              <w:rPr>
                <w:rFonts w:hint="eastAsia"/>
                <w:sz w:val="21"/>
                <w:szCs w:val="21"/>
                <w:highlight w:val="none"/>
              </w:rPr>
              <w:t>8</w:t>
            </w:r>
          </w:p>
        </w:tc>
        <w:tc>
          <w:tcPr>
            <w:tcW w:w="624" w:type="pct"/>
            <w:noWrap w:val="0"/>
            <w:vAlign w:val="center"/>
          </w:tcPr>
          <w:p w14:paraId="6C0B9D81">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氧化风机</w:t>
            </w:r>
            <w:r>
              <w:rPr>
                <w:rFonts w:hint="eastAsia"/>
                <w:sz w:val="21"/>
                <w:szCs w:val="21"/>
                <w:highlight w:val="none"/>
              </w:rPr>
              <w:t>2</w:t>
            </w:r>
            <w:r>
              <w:rPr>
                <w:rFonts w:hint="eastAsia"/>
                <w:sz w:val="21"/>
                <w:szCs w:val="21"/>
                <w:highlight w:val="none"/>
                <w:lang w:eastAsia="en-US"/>
              </w:rPr>
              <w:t>#</w:t>
            </w:r>
          </w:p>
        </w:tc>
        <w:tc>
          <w:tcPr>
            <w:tcW w:w="354" w:type="pct"/>
            <w:noWrap w:val="0"/>
            <w:vAlign w:val="center"/>
          </w:tcPr>
          <w:p w14:paraId="4AB98B9A">
            <w:pPr>
              <w:autoSpaceDE w:val="0"/>
              <w:autoSpaceDN w:val="0"/>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1.5</w:t>
            </w:r>
          </w:p>
        </w:tc>
        <w:tc>
          <w:tcPr>
            <w:tcW w:w="298" w:type="pct"/>
            <w:noWrap w:val="0"/>
            <w:vAlign w:val="center"/>
          </w:tcPr>
          <w:p w14:paraId="6C82391D">
            <w:pPr>
              <w:autoSpaceDE w:val="0"/>
              <w:autoSpaceDN w:val="0"/>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-31.62</w:t>
            </w:r>
          </w:p>
        </w:tc>
        <w:tc>
          <w:tcPr>
            <w:tcW w:w="333" w:type="pct"/>
            <w:noWrap w:val="0"/>
            <w:vAlign w:val="center"/>
          </w:tcPr>
          <w:p w14:paraId="5ACE7CDF">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1</w:t>
            </w:r>
          </w:p>
        </w:tc>
        <w:tc>
          <w:tcPr>
            <w:tcW w:w="1399" w:type="pct"/>
            <w:noWrap w:val="0"/>
            <w:vAlign w:val="center"/>
          </w:tcPr>
          <w:p w14:paraId="0D74CD6C">
            <w:pPr>
              <w:autoSpaceDE w:val="0"/>
              <w:autoSpaceDN w:val="0"/>
              <w:spacing w:line="240" w:lineRule="auto"/>
              <w:ind w:firstLine="0" w:firstLineChars="0"/>
              <w:jc w:val="center"/>
              <w:rPr>
                <w:sz w:val="21"/>
                <w:szCs w:val="21"/>
                <w:highlight w:val="none"/>
                <w:lang w:eastAsia="en-US"/>
              </w:rPr>
            </w:pPr>
            <w:r>
              <w:rPr>
                <w:sz w:val="21"/>
                <w:szCs w:val="21"/>
                <w:highlight w:val="none"/>
                <w:lang w:eastAsia="en-US"/>
              </w:rPr>
              <w:t>95</w:t>
            </w:r>
            <w:r>
              <w:rPr>
                <w:rFonts w:hint="eastAsia"/>
                <w:sz w:val="21"/>
                <w:szCs w:val="21"/>
                <w:highlight w:val="none"/>
                <w:lang w:eastAsia="en-US"/>
              </w:rPr>
              <w:t xml:space="preserve"> dB(A)/设备外1m</w:t>
            </w:r>
          </w:p>
        </w:tc>
        <w:tc>
          <w:tcPr>
            <w:tcW w:w="1278" w:type="pct"/>
            <w:noWrap w:val="0"/>
            <w:vAlign w:val="top"/>
          </w:tcPr>
          <w:p w14:paraId="1C0D1969">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进风口消声器</w:t>
            </w:r>
          </w:p>
        </w:tc>
        <w:tc>
          <w:tcPr>
            <w:tcW w:w="471" w:type="pct"/>
            <w:vMerge w:val="continue"/>
            <w:noWrap w:val="0"/>
            <w:vAlign w:val="center"/>
          </w:tcPr>
          <w:p w14:paraId="678351B1">
            <w:pPr>
              <w:autoSpaceDE w:val="0"/>
              <w:autoSpaceDN w:val="0"/>
              <w:spacing w:line="240" w:lineRule="auto"/>
              <w:ind w:firstLine="0" w:firstLineChars="0"/>
              <w:jc w:val="center"/>
              <w:rPr>
                <w:sz w:val="21"/>
                <w:szCs w:val="21"/>
                <w:highlight w:val="none"/>
                <w:lang w:eastAsia="en-US"/>
              </w:rPr>
            </w:pPr>
          </w:p>
        </w:tc>
      </w:tr>
      <w:tr w14:paraId="2ABE602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238" w:type="pct"/>
            <w:noWrap w:val="0"/>
            <w:vAlign w:val="center"/>
          </w:tcPr>
          <w:p w14:paraId="5FE943EE">
            <w:pPr>
              <w:autoSpaceDE w:val="0"/>
              <w:autoSpaceDN w:val="0"/>
              <w:spacing w:line="240" w:lineRule="auto"/>
              <w:ind w:firstLine="0" w:firstLineChars="0"/>
              <w:jc w:val="center"/>
              <w:rPr>
                <w:rFonts w:hint="eastAsia"/>
                <w:sz w:val="21"/>
                <w:szCs w:val="21"/>
                <w:highlight w:val="none"/>
              </w:rPr>
            </w:pPr>
            <w:r>
              <w:rPr>
                <w:rFonts w:hint="eastAsia"/>
                <w:sz w:val="21"/>
                <w:szCs w:val="21"/>
                <w:highlight w:val="none"/>
              </w:rPr>
              <w:t>9</w:t>
            </w:r>
          </w:p>
        </w:tc>
        <w:tc>
          <w:tcPr>
            <w:tcW w:w="624" w:type="pct"/>
            <w:noWrap w:val="0"/>
            <w:vAlign w:val="center"/>
          </w:tcPr>
          <w:p w14:paraId="7D8D3267">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氧化风机</w:t>
            </w:r>
            <w:r>
              <w:rPr>
                <w:rFonts w:hint="eastAsia"/>
                <w:sz w:val="21"/>
                <w:szCs w:val="21"/>
                <w:highlight w:val="none"/>
              </w:rPr>
              <w:t>3</w:t>
            </w:r>
            <w:r>
              <w:rPr>
                <w:rFonts w:hint="eastAsia"/>
                <w:sz w:val="21"/>
                <w:szCs w:val="21"/>
                <w:highlight w:val="none"/>
                <w:lang w:eastAsia="en-US"/>
              </w:rPr>
              <w:t>#</w:t>
            </w:r>
          </w:p>
        </w:tc>
        <w:tc>
          <w:tcPr>
            <w:tcW w:w="354" w:type="pct"/>
            <w:noWrap w:val="0"/>
            <w:vAlign w:val="center"/>
          </w:tcPr>
          <w:p w14:paraId="6739A196">
            <w:pPr>
              <w:autoSpaceDE w:val="0"/>
              <w:autoSpaceDN w:val="0"/>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13.84</w:t>
            </w:r>
          </w:p>
        </w:tc>
        <w:tc>
          <w:tcPr>
            <w:tcW w:w="298" w:type="pct"/>
            <w:noWrap w:val="0"/>
            <w:vAlign w:val="center"/>
          </w:tcPr>
          <w:p w14:paraId="04F048E1">
            <w:pPr>
              <w:autoSpaceDE w:val="0"/>
              <w:autoSpaceDN w:val="0"/>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-24.05</w:t>
            </w:r>
          </w:p>
        </w:tc>
        <w:tc>
          <w:tcPr>
            <w:tcW w:w="333" w:type="pct"/>
            <w:noWrap w:val="0"/>
            <w:vAlign w:val="center"/>
          </w:tcPr>
          <w:p w14:paraId="7DDB5956">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1</w:t>
            </w:r>
          </w:p>
        </w:tc>
        <w:tc>
          <w:tcPr>
            <w:tcW w:w="1399" w:type="pct"/>
            <w:noWrap w:val="0"/>
            <w:vAlign w:val="center"/>
          </w:tcPr>
          <w:p w14:paraId="75ECDA83">
            <w:pPr>
              <w:autoSpaceDE w:val="0"/>
              <w:autoSpaceDN w:val="0"/>
              <w:spacing w:line="240" w:lineRule="auto"/>
              <w:ind w:firstLine="0" w:firstLineChars="0"/>
              <w:jc w:val="center"/>
              <w:rPr>
                <w:sz w:val="21"/>
                <w:szCs w:val="21"/>
                <w:highlight w:val="none"/>
                <w:lang w:eastAsia="en-US"/>
              </w:rPr>
            </w:pPr>
            <w:r>
              <w:rPr>
                <w:sz w:val="21"/>
                <w:szCs w:val="21"/>
                <w:highlight w:val="none"/>
                <w:lang w:eastAsia="en-US"/>
              </w:rPr>
              <w:t>95</w:t>
            </w:r>
            <w:r>
              <w:rPr>
                <w:rFonts w:hint="eastAsia"/>
                <w:sz w:val="21"/>
                <w:szCs w:val="21"/>
                <w:highlight w:val="none"/>
                <w:lang w:eastAsia="en-US"/>
              </w:rPr>
              <w:t xml:space="preserve"> dB(A)/设备外1m</w:t>
            </w:r>
          </w:p>
        </w:tc>
        <w:tc>
          <w:tcPr>
            <w:tcW w:w="1278" w:type="pct"/>
            <w:noWrap w:val="0"/>
            <w:vAlign w:val="top"/>
          </w:tcPr>
          <w:p w14:paraId="2CFC3A1C">
            <w:pPr>
              <w:autoSpaceDE w:val="0"/>
              <w:autoSpaceDN w:val="0"/>
              <w:spacing w:line="240" w:lineRule="auto"/>
              <w:ind w:firstLine="0" w:firstLineChars="0"/>
              <w:jc w:val="center"/>
              <w:rPr>
                <w:sz w:val="21"/>
                <w:szCs w:val="21"/>
                <w:highlight w:val="none"/>
                <w:lang w:eastAsia="en-US"/>
              </w:rPr>
            </w:pPr>
            <w:r>
              <w:rPr>
                <w:rFonts w:hint="eastAsia"/>
                <w:sz w:val="21"/>
                <w:szCs w:val="21"/>
                <w:highlight w:val="none"/>
                <w:lang w:eastAsia="en-US"/>
              </w:rPr>
              <w:t>进风口消声器</w:t>
            </w:r>
          </w:p>
        </w:tc>
        <w:tc>
          <w:tcPr>
            <w:tcW w:w="471" w:type="pct"/>
            <w:vMerge w:val="continue"/>
            <w:noWrap w:val="0"/>
            <w:vAlign w:val="center"/>
          </w:tcPr>
          <w:p w14:paraId="0D1E6A76">
            <w:pPr>
              <w:autoSpaceDE w:val="0"/>
              <w:autoSpaceDN w:val="0"/>
              <w:spacing w:line="240" w:lineRule="auto"/>
              <w:ind w:firstLine="0" w:firstLineChars="0"/>
              <w:jc w:val="center"/>
              <w:rPr>
                <w:sz w:val="21"/>
                <w:szCs w:val="21"/>
                <w:highlight w:val="none"/>
                <w:lang w:eastAsia="en-US"/>
              </w:rPr>
            </w:pPr>
          </w:p>
        </w:tc>
      </w:tr>
    </w:tbl>
    <w:p w14:paraId="4B6CFABB">
      <w:pPr>
        <w:pStyle w:val="15"/>
        <w:ind w:left="0" w:leftChars="0" w:firstLine="0" w:firstLineChars="0"/>
        <w:jc w:val="center"/>
        <w:rPr>
          <w:highlight w:val="none"/>
        </w:rPr>
      </w:pPr>
      <w:r>
        <w:rPr>
          <w:rFonts w:hint="eastAsia" w:ascii="黑体" w:hAnsi="黑体" w:eastAsia="黑体" w:cs="黑体"/>
          <w:highlight w:val="none"/>
        </w:rPr>
        <w:t>表</w:t>
      </w:r>
      <w:r>
        <w:rPr>
          <w:rFonts w:hint="eastAsia"/>
          <w:highlight w:val="none"/>
        </w:rPr>
        <w:t>5.4-2</w:t>
      </w:r>
      <w:r>
        <w:rPr>
          <w:rFonts w:hint="eastAsia" w:ascii="黑体" w:hAnsi="黑体" w:eastAsia="黑体" w:cs="黑体"/>
          <w:highlight w:val="none"/>
        </w:rPr>
        <w:t>工业企业噪声源强调查清单（室内声源）</w:t>
      </w:r>
    </w:p>
    <w:tbl>
      <w:tblPr>
        <w:tblStyle w:val="17"/>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08"/>
        <w:gridCol w:w="802"/>
        <w:gridCol w:w="1358"/>
        <w:gridCol w:w="508"/>
        <w:gridCol w:w="984"/>
        <w:gridCol w:w="1395"/>
        <w:gridCol w:w="2041"/>
        <w:gridCol w:w="1015"/>
        <w:gridCol w:w="1012"/>
        <w:gridCol w:w="695"/>
        <w:gridCol w:w="862"/>
        <w:gridCol w:w="970"/>
        <w:gridCol w:w="1018"/>
        <w:gridCol w:w="995"/>
      </w:tblGrid>
      <w:tr w14:paraId="6B0CBA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9" w:type="pct"/>
            <w:vMerge w:val="restart"/>
            <w:noWrap w:val="0"/>
            <w:vAlign w:val="center"/>
          </w:tcPr>
          <w:p w14:paraId="398CC408">
            <w:pPr>
              <w:spacing w:line="240" w:lineRule="auto"/>
              <w:ind w:firstLine="0" w:firstLineChars="0"/>
              <w:jc w:val="center"/>
              <w:rPr>
                <w:sz w:val="21"/>
                <w:szCs w:val="21"/>
                <w:highlight w:val="none"/>
              </w:rPr>
            </w:pPr>
            <w:r>
              <w:rPr>
                <w:rFonts w:hint="eastAsia"/>
                <w:sz w:val="21"/>
                <w:szCs w:val="21"/>
                <w:highlight w:val="none"/>
              </w:rPr>
              <w:t>工序/生产线</w:t>
            </w:r>
          </w:p>
        </w:tc>
        <w:tc>
          <w:tcPr>
            <w:tcW w:w="283" w:type="pct"/>
            <w:vMerge w:val="restart"/>
            <w:noWrap w:val="0"/>
            <w:vAlign w:val="center"/>
          </w:tcPr>
          <w:p w14:paraId="6C276A75">
            <w:pPr>
              <w:spacing w:line="240" w:lineRule="auto"/>
              <w:ind w:firstLine="0" w:firstLineChars="0"/>
              <w:jc w:val="center"/>
              <w:rPr>
                <w:sz w:val="21"/>
                <w:szCs w:val="21"/>
                <w:highlight w:val="none"/>
              </w:rPr>
            </w:pPr>
            <w:r>
              <w:rPr>
                <w:rFonts w:hint="eastAsia"/>
                <w:sz w:val="21"/>
                <w:szCs w:val="21"/>
                <w:highlight w:val="none"/>
              </w:rPr>
              <w:t>建筑物名称</w:t>
            </w:r>
          </w:p>
        </w:tc>
        <w:tc>
          <w:tcPr>
            <w:tcW w:w="479" w:type="pct"/>
            <w:vMerge w:val="restart"/>
            <w:noWrap w:val="0"/>
            <w:vAlign w:val="center"/>
          </w:tcPr>
          <w:p w14:paraId="7E479D08">
            <w:pPr>
              <w:spacing w:line="240" w:lineRule="auto"/>
              <w:ind w:firstLine="0" w:firstLineChars="0"/>
              <w:jc w:val="center"/>
              <w:rPr>
                <w:sz w:val="21"/>
                <w:szCs w:val="21"/>
                <w:highlight w:val="none"/>
              </w:rPr>
            </w:pPr>
            <w:r>
              <w:rPr>
                <w:rFonts w:hint="eastAsia"/>
                <w:sz w:val="21"/>
                <w:szCs w:val="21"/>
                <w:highlight w:val="none"/>
              </w:rPr>
              <w:t>声源名称</w:t>
            </w:r>
          </w:p>
        </w:tc>
        <w:tc>
          <w:tcPr>
            <w:tcW w:w="179" w:type="pct"/>
            <w:vMerge w:val="restart"/>
            <w:noWrap w:val="0"/>
            <w:vAlign w:val="center"/>
          </w:tcPr>
          <w:p w14:paraId="0ECCBCB5">
            <w:pPr>
              <w:spacing w:line="240" w:lineRule="auto"/>
              <w:ind w:firstLine="0" w:firstLineChars="0"/>
              <w:jc w:val="center"/>
              <w:rPr>
                <w:sz w:val="21"/>
                <w:szCs w:val="21"/>
                <w:highlight w:val="none"/>
              </w:rPr>
            </w:pPr>
            <w:r>
              <w:rPr>
                <w:rFonts w:hint="eastAsia"/>
                <w:sz w:val="21"/>
                <w:szCs w:val="21"/>
                <w:highlight w:val="none"/>
              </w:rPr>
              <w:t>数量</w:t>
            </w:r>
          </w:p>
        </w:tc>
        <w:tc>
          <w:tcPr>
            <w:tcW w:w="839" w:type="pct"/>
            <w:gridSpan w:val="2"/>
            <w:noWrap w:val="0"/>
            <w:vAlign w:val="center"/>
          </w:tcPr>
          <w:p w14:paraId="2809989C">
            <w:pPr>
              <w:spacing w:line="240" w:lineRule="auto"/>
              <w:ind w:firstLine="0" w:firstLineChars="0"/>
              <w:jc w:val="center"/>
              <w:rPr>
                <w:sz w:val="21"/>
                <w:szCs w:val="21"/>
                <w:highlight w:val="none"/>
              </w:rPr>
            </w:pPr>
            <w:r>
              <w:rPr>
                <w:rFonts w:hint="eastAsia"/>
                <w:sz w:val="21"/>
                <w:szCs w:val="21"/>
                <w:highlight w:val="none"/>
              </w:rPr>
              <w:t>声源源强</w:t>
            </w:r>
          </w:p>
        </w:tc>
        <w:tc>
          <w:tcPr>
            <w:tcW w:w="720" w:type="pct"/>
            <w:noWrap w:val="0"/>
            <w:vAlign w:val="center"/>
          </w:tcPr>
          <w:p w14:paraId="5136325C">
            <w:pPr>
              <w:spacing w:line="240" w:lineRule="auto"/>
              <w:ind w:firstLine="0" w:firstLineChars="0"/>
              <w:jc w:val="center"/>
              <w:rPr>
                <w:sz w:val="21"/>
                <w:szCs w:val="21"/>
                <w:highlight w:val="none"/>
              </w:rPr>
            </w:pPr>
            <w:r>
              <w:rPr>
                <w:rFonts w:hint="eastAsia"/>
                <w:sz w:val="21"/>
                <w:szCs w:val="21"/>
                <w:highlight w:val="none"/>
              </w:rPr>
              <w:t>声源控制措施</w:t>
            </w:r>
          </w:p>
        </w:tc>
        <w:tc>
          <w:tcPr>
            <w:tcW w:w="960" w:type="pct"/>
            <w:gridSpan w:val="3"/>
            <w:noWrap w:val="0"/>
            <w:vAlign w:val="center"/>
          </w:tcPr>
          <w:p w14:paraId="7FB1DCD1">
            <w:pPr>
              <w:spacing w:line="240" w:lineRule="auto"/>
              <w:ind w:firstLine="0" w:firstLineChars="0"/>
              <w:jc w:val="center"/>
              <w:rPr>
                <w:sz w:val="21"/>
                <w:szCs w:val="21"/>
                <w:highlight w:val="none"/>
              </w:rPr>
            </w:pPr>
            <w:r>
              <w:rPr>
                <w:rFonts w:hint="eastAsia"/>
                <w:sz w:val="21"/>
                <w:szCs w:val="21"/>
                <w:highlight w:val="none"/>
              </w:rPr>
              <w:t>空间相对位置/m</w:t>
            </w:r>
          </w:p>
        </w:tc>
        <w:tc>
          <w:tcPr>
            <w:tcW w:w="304" w:type="pct"/>
            <w:vMerge w:val="restart"/>
            <w:noWrap w:val="0"/>
            <w:vAlign w:val="center"/>
          </w:tcPr>
          <w:p w14:paraId="7FE19FCE">
            <w:pPr>
              <w:spacing w:line="240" w:lineRule="auto"/>
              <w:ind w:firstLine="0" w:firstLineChars="0"/>
              <w:jc w:val="center"/>
              <w:rPr>
                <w:sz w:val="21"/>
                <w:szCs w:val="21"/>
                <w:highlight w:val="none"/>
              </w:rPr>
            </w:pPr>
            <w:r>
              <w:rPr>
                <w:rFonts w:hint="eastAsia"/>
                <w:sz w:val="21"/>
                <w:szCs w:val="21"/>
                <w:highlight w:val="none"/>
              </w:rPr>
              <w:t>运行时段</w:t>
            </w:r>
          </w:p>
        </w:tc>
        <w:tc>
          <w:tcPr>
            <w:tcW w:w="342" w:type="pct"/>
            <w:vMerge w:val="restart"/>
            <w:noWrap w:val="0"/>
            <w:vAlign w:val="center"/>
          </w:tcPr>
          <w:p w14:paraId="3E67F920">
            <w:pPr>
              <w:spacing w:line="240" w:lineRule="auto"/>
              <w:ind w:firstLine="0" w:firstLineChars="0"/>
              <w:jc w:val="center"/>
              <w:rPr>
                <w:sz w:val="21"/>
                <w:szCs w:val="21"/>
                <w:highlight w:val="none"/>
              </w:rPr>
            </w:pPr>
            <w:r>
              <w:rPr>
                <w:rFonts w:hint="eastAsia"/>
                <w:sz w:val="21"/>
                <w:szCs w:val="21"/>
                <w:highlight w:val="none"/>
              </w:rPr>
              <w:t>建筑物插入损失/dB(A)</w:t>
            </w:r>
          </w:p>
        </w:tc>
        <w:tc>
          <w:tcPr>
            <w:tcW w:w="710" w:type="pct"/>
            <w:gridSpan w:val="2"/>
            <w:noWrap w:val="0"/>
            <w:vAlign w:val="center"/>
          </w:tcPr>
          <w:p w14:paraId="4A56C221">
            <w:pPr>
              <w:spacing w:line="240" w:lineRule="auto"/>
              <w:ind w:firstLine="0" w:firstLineChars="0"/>
              <w:jc w:val="center"/>
              <w:rPr>
                <w:sz w:val="21"/>
                <w:szCs w:val="21"/>
                <w:highlight w:val="none"/>
              </w:rPr>
            </w:pPr>
            <w:r>
              <w:rPr>
                <w:rFonts w:hint="eastAsia"/>
                <w:sz w:val="21"/>
                <w:szCs w:val="21"/>
                <w:highlight w:val="none"/>
              </w:rPr>
              <w:t>建筑物外噪声</w:t>
            </w:r>
          </w:p>
        </w:tc>
      </w:tr>
      <w:tr w14:paraId="32E845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79" w:type="pct"/>
            <w:vMerge w:val="continue"/>
            <w:noWrap w:val="0"/>
            <w:vAlign w:val="center"/>
          </w:tcPr>
          <w:p w14:paraId="2BC8B0D2">
            <w:pPr>
              <w:spacing w:line="240" w:lineRule="auto"/>
              <w:ind w:firstLine="0" w:firstLineChars="0"/>
              <w:jc w:val="center"/>
              <w:rPr>
                <w:sz w:val="21"/>
                <w:szCs w:val="21"/>
                <w:highlight w:val="none"/>
              </w:rPr>
            </w:pPr>
          </w:p>
        </w:tc>
        <w:tc>
          <w:tcPr>
            <w:tcW w:w="283" w:type="pct"/>
            <w:vMerge w:val="continue"/>
            <w:noWrap w:val="0"/>
            <w:vAlign w:val="center"/>
          </w:tcPr>
          <w:p w14:paraId="0C4AAB40">
            <w:pPr>
              <w:spacing w:line="240" w:lineRule="auto"/>
              <w:ind w:firstLine="0" w:firstLineChars="0"/>
              <w:jc w:val="center"/>
              <w:rPr>
                <w:sz w:val="21"/>
                <w:szCs w:val="21"/>
                <w:highlight w:val="none"/>
              </w:rPr>
            </w:pPr>
          </w:p>
        </w:tc>
        <w:tc>
          <w:tcPr>
            <w:tcW w:w="479" w:type="pct"/>
            <w:vMerge w:val="continue"/>
            <w:noWrap w:val="0"/>
            <w:vAlign w:val="center"/>
          </w:tcPr>
          <w:p w14:paraId="50D70B2A">
            <w:pPr>
              <w:spacing w:line="240" w:lineRule="auto"/>
              <w:ind w:firstLine="0" w:firstLineChars="0"/>
              <w:jc w:val="center"/>
              <w:rPr>
                <w:sz w:val="21"/>
                <w:szCs w:val="21"/>
                <w:highlight w:val="none"/>
              </w:rPr>
            </w:pPr>
          </w:p>
        </w:tc>
        <w:tc>
          <w:tcPr>
            <w:tcW w:w="179" w:type="pct"/>
            <w:vMerge w:val="continue"/>
            <w:noWrap w:val="0"/>
            <w:vAlign w:val="center"/>
          </w:tcPr>
          <w:p w14:paraId="08B5D3E0">
            <w:pPr>
              <w:spacing w:line="240" w:lineRule="auto"/>
              <w:ind w:firstLine="0" w:firstLineChars="0"/>
              <w:jc w:val="center"/>
              <w:rPr>
                <w:sz w:val="21"/>
                <w:szCs w:val="21"/>
                <w:highlight w:val="none"/>
              </w:rPr>
            </w:pPr>
          </w:p>
        </w:tc>
        <w:tc>
          <w:tcPr>
            <w:tcW w:w="839" w:type="pct"/>
            <w:gridSpan w:val="2"/>
            <w:noWrap w:val="0"/>
            <w:vAlign w:val="center"/>
          </w:tcPr>
          <w:p w14:paraId="0A5ED15B">
            <w:pPr>
              <w:spacing w:line="240" w:lineRule="auto"/>
              <w:ind w:firstLine="0" w:firstLineChars="0"/>
              <w:jc w:val="center"/>
              <w:rPr>
                <w:sz w:val="21"/>
                <w:szCs w:val="21"/>
                <w:highlight w:val="none"/>
              </w:rPr>
            </w:pPr>
            <w:r>
              <w:rPr>
                <w:rFonts w:hint="eastAsia"/>
                <w:sz w:val="21"/>
                <w:szCs w:val="21"/>
                <w:highlight w:val="none"/>
              </w:rPr>
              <w:t>（声压级/距声源距离）/（dB(A)/m）</w:t>
            </w:r>
          </w:p>
        </w:tc>
        <w:tc>
          <w:tcPr>
            <w:tcW w:w="720" w:type="pct"/>
            <w:noWrap w:val="0"/>
            <w:vAlign w:val="center"/>
          </w:tcPr>
          <w:p w14:paraId="6D15CC11">
            <w:pPr>
              <w:spacing w:line="240" w:lineRule="auto"/>
              <w:ind w:firstLine="0" w:firstLineChars="0"/>
              <w:jc w:val="center"/>
              <w:rPr>
                <w:sz w:val="21"/>
                <w:szCs w:val="21"/>
                <w:highlight w:val="none"/>
              </w:rPr>
            </w:pPr>
            <w:r>
              <w:rPr>
                <w:rFonts w:hint="eastAsia"/>
                <w:sz w:val="21"/>
                <w:szCs w:val="21"/>
                <w:highlight w:val="none"/>
              </w:rPr>
              <w:t>工艺</w:t>
            </w:r>
          </w:p>
        </w:tc>
        <w:tc>
          <w:tcPr>
            <w:tcW w:w="358" w:type="pct"/>
            <w:noWrap w:val="0"/>
            <w:vAlign w:val="center"/>
          </w:tcPr>
          <w:p w14:paraId="06C3590D">
            <w:pPr>
              <w:spacing w:line="240" w:lineRule="auto"/>
              <w:ind w:firstLine="0" w:firstLineChars="0"/>
              <w:jc w:val="center"/>
              <w:rPr>
                <w:sz w:val="21"/>
                <w:szCs w:val="21"/>
                <w:highlight w:val="none"/>
              </w:rPr>
            </w:pPr>
            <w:r>
              <w:rPr>
                <w:rFonts w:hint="eastAsia"/>
                <w:sz w:val="21"/>
                <w:szCs w:val="21"/>
                <w:highlight w:val="none"/>
              </w:rPr>
              <w:t>X</w:t>
            </w:r>
          </w:p>
        </w:tc>
        <w:tc>
          <w:tcPr>
            <w:tcW w:w="357" w:type="pct"/>
            <w:noWrap w:val="0"/>
            <w:vAlign w:val="center"/>
          </w:tcPr>
          <w:p w14:paraId="5EBB650A">
            <w:pPr>
              <w:spacing w:line="240" w:lineRule="auto"/>
              <w:ind w:firstLine="0" w:firstLineChars="0"/>
              <w:jc w:val="center"/>
              <w:rPr>
                <w:sz w:val="21"/>
                <w:szCs w:val="21"/>
                <w:highlight w:val="none"/>
              </w:rPr>
            </w:pPr>
            <w:r>
              <w:rPr>
                <w:rFonts w:hint="eastAsia"/>
                <w:sz w:val="21"/>
                <w:szCs w:val="21"/>
                <w:highlight w:val="none"/>
              </w:rPr>
              <w:t>Y</w:t>
            </w:r>
          </w:p>
        </w:tc>
        <w:tc>
          <w:tcPr>
            <w:tcW w:w="245" w:type="pct"/>
            <w:noWrap w:val="0"/>
            <w:vAlign w:val="center"/>
          </w:tcPr>
          <w:p w14:paraId="7D295AFA">
            <w:pPr>
              <w:spacing w:line="240" w:lineRule="auto"/>
              <w:ind w:firstLine="0" w:firstLineChars="0"/>
              <w:jc w:val="center"/>
              <w:rPr>
                <w:sz w:val="21"/>
                <w:szCs w:val="21"/>
                <w:highlight w:val="none"/>
              </w:rPr>
            </w:pPr>
            <w:r>
              <w:rPr>
                <w:rFonts w:hint="eastAsia"/>
                <w:sz w:val="21"/>
                <w:szCs w:val="21"/>
                <w:highlight w:val="none"/>
              </w:rPr>
              <w:t>Z</w:t>
            </w:r>
          </w:p>
        </w:tc>
        <w:tc>
          <w:tcPr>
            <w:tcW w:w="304" w:type="pct"/>
            <w:vMerge w:val="continue"/>
            <w:noWrap w:val="0"/>
            <w:vAlign w:val="center"/>
          </w:tcPr>
          <w:p w14:paraId="78927EAB">
            <w:pPr>
              <w:spacing w:line="240" w:lineRule="auto"/>
              <w:ind w:firstLine="0" w:firstLineChars="0"/>
              <w:jc w:val="center"/>
              <w:rPr>
                <w:sz w:val="21"/>
                <w:szCs w:val="21"/>
                <w:highlight w:val="none"/>
              </w:rPr>
            </w:pPr>
          </w:p>
        </w:tc>
        <w:tc>
          <w:tcPr>
            <w:tcW w:w="342" w:type="pct"/>
            <w:vMerge w:val="continue"/>
            <w:noWrap w:val="0"/>
            <w:vAlign w:val="center"/>
          </w:tcPr>
          <w:p w14:paraId="754C6475">
            <w:pPr>
              <w:spacing w:line="240" w:lineRule="auto"/>
              <w:ind w:firstLine="0" w:firstLineChars="0"/>
              <w:jc w:val="center"/>
              <w:rPr>
                <w:sz w:val="21"/>
                <w:szCs w:val="21"/>
                <w:highlight w:val="none"/>
              </w:rPr>
            </w:pPr>
          </w:p>
        </w:tc>
        <w:tc>
          <w:tcPr>
            <w:tcW w:w="359" w:type="pct"/>
            <w:noWrap w:val="0"/>
            <w:vAlign w:val="center"/>
          </w:tcPr>
          <w:p w14:paraId="271831D4">
            <w:pPr>
              <w:spacing w:line="240" w:lineRule="auto"/>
              <w:ind w:firstLine="0" w:firstLineChars="0"/>
              <w:jc w:val="center"/>
              <w:rPr>
                <w:sz w:val="21"/>
                <w:szCs w:val="21"/>
                <w:highlight w:val="none"/>
              </w:rPr>
            </w:pPr>
            <w:r>
              <w:rPr>
                <w:rFonts w:hint="eastAsia"/>
                <w:sz w:val="21"/>
                <w:szCs w:val="21"/>
                <w:highlight w:val="none"/>
              </w:rPr>
              <w:t>声压级</w:t>
            </w:r>
          </w:p>
          <w:p w14:paraId="43EFD3D6">
            <w:pPr>
              <w:spacing w:line="240" w:lineRule="auto"/>
              <w:ind w:firstLine="0" w:firstLineChars="0"/>
              <w:jc w:val="center"/>
              <w:rPr>
                <w:sz w:val="21"/>
                <w:szCs w:val="21"/>
                <w:highlight w:val="none"/>
              </w:rPr>
            </w:pPr>
            <w:r>
              <w:rPr>
                <w:sz w:val="21"/>
                <w:szCs w:val="21"/>
                <w:highlight w:val="none"/>
              </w:rPr>
              <w:t>/dB(A)</w:t>
            </w:r>
          </w:p>
        </w:tc>
        <w:tc>
          <w:tcPr>
            <w:tcW w:w="351" w:type="pct"/>
            <w:noWrap w:val="0"/>
            <w:vAlign w:val="center"/>
          </w:tcPr>
          <w:p w14:paraId="3C0E74BD">
            <w:pPr>
              <w:spacing w:line="240" w:lineRule="auto"/>
              <w:ind w:firstLine="0" w:firstLineChars="0"/>
              <w:jc w:val="center"/>
              <w:rPr>
                <w:sz w:val="21"/>
                <w:szCs w:val="21"/>
                <w:highlight w:val="none"/>
              </w:rPr>
            </w:pPr>
            <w:r>
              <w:rPr>
                <w:rFonts w:hint="eastAsia"/>
                <w:sz w:val="21"/>
                <w:szCs w:val="21"/>
                <w:highlight w:val="none"/>
              </w:rPr>
              <w:t>建筑物外距离（m）</w:t>
            </w:r>
          </w:p>
        </w:tc>
      </w:tr>
      <w:tr w14:paraId="71E36C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18" w:hRule="atLeast"/>
          <w:jc w:val="center"/>
        </w:trPr>
        <w:tc>
          <w:tcPr>
            <w:tcW w:w="179" w:type="pct"/>
            <w:vMerge w:val="restart"/>
            <w:noWrap w:val="0"/>
            <w:vAlign w:val="center"/>
          </w:tcPr>
          <w:p w14:paraId="7EB04790">
            <w:pPr>
              <w:spacing w:line="240" w:lineRule="auto"/>
              <w:ind w:firstLine="0" w:firstLineChars="0"/>
              <w:jc w:val="center"/>
              <w:rPr>
                <w:sz w:val="21"/>
                <w:szCs w:val="21"/>
                <w:highlight w:val="none"/>
              </w:rPr>
            </w:pPr>
            <w:r>
              <w:rPr>
                <w:rFonts w:hint="eastAsia"/>
                <w:sz w:val="21"/>
                <w:szCs w:val="21"/>
                <w:highlight w:val="none"/>
              </w:rPr>
              <w:t>热源厂</w:t>
            </w:r>
          </w:p>
        </w:tc>
        <w:tc>
          <w:tcPr>
            <w:tcW w:w="283" w:type="pct"/>
            <w:vMerge w:val="restart"/>
            <w:noWrap w:val="0"/>
            <w:vAlign w:val="center"/>
          </w:tcPr>
          <w:p w14:paraId="3DDEEBAE">
            <w:pPr>
              <w:spacing w:line="240" w:lineRule="auto"/>
              <w:ind w:firstLine="0" w:firstLineChars="0"/>
              <w:jc w:val="center"/>
              <w:rPr>
                <w:sz w:val="21"/>
                <w:szCs w:val="21"/>
                <w:highlight w:val="none"/>
              </w:rPr>
            </w:pPr>
            <w:r>
              <w:rPr>
                <w:rFonts w:hint="eastAsia"/>
                <w:sz w:val="21"/>
                <w:szCs w:val="21"/>
                <w:highlight w:val="none"/>
              </w:rPr>
              <w:t>锅炉间</w:t>
            </w:r>
          </w:p>
        </w:tc>
        <w:tc>
          <w:tcPr>
            <w:tcW w:w="479" w:type="pct"/>
            <w:vMerge w:val="restart"/>
            <w:noWrap w:val="0"/>
            <w:vAlign w:val="center"/>
          </w:tcPr>
          <w:p w14:paraId="56D8510C">
            <w:pPr>
              <w:spacing w:line="240" w:lineRule="auto"/>
              <w:ind w:firstLine="0" w:firstLineChars="0"/>
              <w:jc w:val="center"/>
              <w:rPr>
                <w:sz w:val="21"/>
                <w:szCs w:val="21"/>
                <w:highlight w:val="none"/>
              </w:rPr>
            </w:pPr>
            <w:r>
              <w:rPr>
                <w:rFonts w:hint="eastAsia"/>
                <w:sz w:val="21"/>
                <w:szCs w:val="21"/>
                <w:highlight w:val="none"/>
              </w:rPr>
              <w:t>锅炉给水泵</w:t>
            </w:r>
          </w:p>
        </w:tc>
        <w:tc>
          <w:tcPr>
            <w:tcW w:w="179" w:type="pct"/>
            <w:noWrap w:val="0"/>
            <w:vAlign w:val="center"/>
          </w:tcPr>
          <w:p w14:paraId="35027A2D">
            <w:pPr>
              <w:spacing w:line="240" w:lineRule="auto"/>
              <w:ind w:firstLine="0" w:firstLineChars="0"/>
              <w:jc w:val="center"/>
              <w:rPr>
                <w:rFonts w:hint="eastAsia"/>
                <w:sz w:val="21"/>
                <w:szCs w:val="21"/>
                <w:highlight w:val="none"/>
              </w:rPr>
            </w:pPr>
            <w:r>
              <w:rPr>
                <w:rFonts w:hint="eastAsia"/>
                <w:sz w:val="21"/>
                <w:szCs w:val="21"/>
                <w:highlight w:val="none"/>
              </w:rPr>
              <w:t>1</w:t>
            </w:r>
          </w:p>
        </w:tc>
        <w:tc>
          <w:tcPr>
            <w:tcW w:w="347" w:type="pct"/>
            <w:noWrap w:val="0"/>
            <w:vAlign w:val="center"/>
          </w:tcPr>
          <w:p w14:paraId="461117A8">
            <w:pPr>
              <w:spacing w:line="240" w:lineRule="auto"/>
              <w:ind w:firstLine="0" w:firstLineChars="0"/>
              <w:jc w:val="center"/>
              <w:rPr>
                <w:sz w:val="21"/>
                <w:szCs w:val="21"/>
                <w:highlight w:val="none"/>
              </w:rPr>
            </w:pPr>
            <w:r>
              <w:rPr>
                <w:rFonts w:hint="eastAsia"/>
                <w:sz w:val="21"/>
                <w:szCs w:val="21"/>
                <w:highlight w:val="none"/>
              </w:rPr>
              <w:t>90</w:t>
            </w:r>
          </w:p>
        </w:tc>
        <w:tc>
          <w:tcPr>
            <w:tcW w:w="492" w:type="pct"/>
            <w:noWrap w:val="0"/>
            <w:vAlign w:val="center"/>
          </w:tcPr>
          <w:p w14:paraId="46BEEDDF">
            <w:pPr>
              <w:spacing w:line="240" w:lineRule="auto"/>
              <w:ind w:firstLine="0" w:firstLineChars="0"/>
              <w:jc w:val="center"/>
              <w:rPr>
                <w:sz w:val="21"/>
                <w:szCs w:val="21"/>
                <w:highlight w:val="none"/>
              </w:rPr>
            </w:pPr>
            <w:r>
              <w:rPr>
                <w:sz w:val="21"/>
                <w:szCs w:val="21"/>
                <w:highlight w:val="none"/>
              </w:rPr>
              <w:t>设备外1m</w:t>
            </w:r>
          </w:p>
        </w:tc>
        <w:tc>
          <w:tcPr>
            <w:tcW w:w="720" w:type="pct"/>
            <w:noWrap w:val="0"/>
            <w:vAlign w:val="center"/>
          </w:tcPr>
          <w:p w14:paraId="6A614E12">
            <w:pPr>
              <w:spacing w:line="240" w:lineRule="auto"/>
              <w:ind w:firstLine="0" w:firstLineChars="0"/>
              <w:jc w:val="center"/>
              <w:rPr>
                <w:sz w:val="21"/>
                <w:szCs w:val="21"/>
                <w:highlight w:val="none"/>
              </w:rPr>
            </w:pPr>
            <w:r>
              <w:rPr>
                <w:rFonts w:hint="eastAsia"/>
                <w:sz w:val="21"/>
                <w:szCs w:val="21"/>
                <w:highlight w:val="none"/>
              </w:rPr>
              <w:t>隔声罩壳、厂房隔声</w:t>
            </w:r>
          </w:p>
        </w:tc>
        <w:tc>
          <w:tcPr>
            <w:tcW w:w="358" w:type="pct"/>
            <w:noWrap w:val="0"/>
            <w:vAlign w:val="center"/>
          </w:tcPr>
          <w:p w14:paraId="3ABFA866">
            <w:pPr>
              <w:spacing w:line="240" w:lineRule="auto"/>
              <w:ind w:firstLine="0" w:firstLineChars="0"/>
              <w:jc w:val="center"/>
              <w:rPr>
                <w:rFonts w:hint="default" w:eastAsia="宋体"/>
                <w:sz w:val="21"/>
                <w:szCs w:val="21"/>
                <w:highlight w:val="none"/>
                <w:lang w:val="en-US" w:eastAsia="zh-CN"/>
              </w:rPr>
            </w:pPr>
            <w:r>
              <w:rPr>
                <w:rFonts w:hint="eastAsia" w:eastAsia="等线"/>
                <w:sz w:val="21"/>
                <w:szCs w:val="21"/>
                <w:highlight w:val="none"/>
                <w:lang w:val="en-US" w:eastAsia="zh-CN"/>
              </w:rPr>
              <w:t>-19.28</w:t>
            </w:r>
          </w:p>
        </w:tc>
        <w:tc>
          <w:tcPr>
            <w:tcW w:w="357" w:type="pct"/>
            <w:noWrap w:val="0"/>
            <w:vAlign w:val="center"/>
          </w:tcPr>
          <w:p w14:paraId="65E91469">
            <w:pPr>
              <w:spacing w:line="240" w:lineRule="auto"/>
              <w:ind w:firstLine="0" w:firstLineChars="0"/>
              <w:jc w:val="center"/>
              <w:rPr>
                <w:rFonts w:hint="default" w:eastAsia="宋体"/>
                <w:sz w:val="21"/>
                <w:szCs w:val="21"/>
                <w:highlight w:val="none"/>
                <w:lang w:val="en-US" w:eastAsia="zh-CN"/>
              </w:rPr>
            </w:pPr>
            <w:r>
              <w:rPr>
                <w:rFonts w:hint="eastAsia" w:eastAsia="等线"/>
                <w:sz w:val="21"/>
                <w:szCs w:val="21"/>
                <w:highlight w:val="none"/>
                <w:lang w:val="en-US" w:eastAsia="zh-CN"/>
              </w:rPr>
              <w:t>-28.92</w:t>
            </w:r>
          </w:p>
        </w:tc>
        <w:tc>
          <w:tcPr>
            <w:tcW w:w="245" w:type="pct"/>
            <w:noWrap w:val="0"/>
            <w:vAlign w:val="center"/>
          </w:tcPr>
          <w:p w14:paraId="78CC70D3">
            <w:pPr>
              <w:spacing w:line="240" w:lineRule="auto"/>
              <w:ind w:firstLine="0" w:firstLineChars="0"/>
              <w:jc w:val="center"/>
              <w:rPr>
                <w:sz w:val="21"/>
                <w:szCs w:val="21"/>
                <w:highlight w:val="none"/>
              </w:rPr>
            </w:pPr>
            <w:r>
              <w:rPr>
                <w:rFonts w:hint="eastAsia" w:eastAsia="等线"/>
                <w:sz w:val="21"/>
                <w:szCs w:val="21"/>
                <w:highlight w:val="none"/>
              </w:rPr>
              <w:t>1</w:t>
            </w:r>
          </w:p>
        </w:tc>
        <w:tc>
          <w:tcPr>
            <w:tcW w:w="304" w:type="pct"/>
            <w:vMerge w:val="restart"/>
            <w:noWrap w:val="0"/>
            <w:vAlign w:val="center"/>
          </w:tcPr>
          <w:p w14:paraId="30D30B91">
            <w:pPr>
              <w:spacing w:line="240" w:lineRule="auto"/>
              <w:ind w:firstLine="0" w:firstLineChars="0"/>
              <w:jc w:val="center"/>
              <w:rPr>
                <w:sz w:val="21"/>
                <w:szCs w:val="21"/>
                <w:highlight w:val="none"/>
              </w:rPr>
            </w:pPr>
            <w:r>
              <w:rPr>
                <w:rFonts w:hint="eastAsia"/>
                <w:sz w:val="21"/>
                <w:szCs w:val="21"/>
                <w:highlight w:val="none"/>
              </w:rPr>
              <w:t>昼间、夜间</w:t>
            </w:r>
          </w:p>
        </w:tc>
        <w:tc>
          <w:tcPr>
            <w:tcW w:w="342" w:type="pct"/>
            <w:noWrap w:val="0"/>
            <w:vAlign w:val="center"/>
          </w:tcPr>
          <w:p w14:paraId="46C51598">
            <w:pPr>
              <w:spacing w:line="240" w:lineRule="auto"/>
              <w:ind w:firstLine="0" w:firstLineChars="0"/>
              <w:jc w:val="center"/>
              <w:rPr>
                <w:rFonts w:hint="default" w:eastAsia="宋体"/>
                <w:sz w:val="21"/>
                <w:szCs w:val="21"/>
                <w:highlight w:val="none"/>
                <w:lang w:val="en-US" w:eastAsia="zh-CN"/>
              </w:rPr>
            </w:pPr>
            <w:r>
              <w:rPr>
                <w:rFonts w:hint="eastAsia" w:eastAsia="等线"/>
                <w:sz w:val="21"/>
                <w:szCs w:val="21"/>
                <w:highlight w:val="none"/>
                <w:lang w:val="en-US" w:eastAsia="zh-CN"/>
              </w:rPr>
              <w:t>25</w:t>
            </w:r>
          </w:p>
        </w:tc>
        <w:tc>
          <w:tcPr>
            <w:tcW w:w="359" w:type="pct"/>
            <w:noWrap w:val="0"/>
            <w:vAlign w:val="center"/>
          </w:tcPr>
          <w:p w14:paraId="701427A9">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65</w:t>
            </w:r>
          </w:p>
        </w:tc>
        <w:tc>
          <w:tcPr>
            <w:tcW w:w="351" w:type="pct"/>
            <w:noWrap w:val="0"/>
            <w:vAlign w:val="center"/>
          </w:tcPr>
          <w:p w14:paraId="65A59044">
            <w:pPr>
              <w:spacing w:line="240" w:lineRule="auto"/>
              <w:ind w:firstLine="0" w:firstLineChars="0"/>
              <w:jc w:val="center"/>
              <w:rPr>
                <w:sz w:val="21"/>
                <w:szCs w:val="21"/>
                <w:highlight w:val="none"/>
              </w:rPr>
            </w:pPr>
            <w:r>
              <w:rPr>
                <w:rFonts w:hint="eastAsia"/>
                <w:sz w:val="21"/>
                <w:szCs w:val="21"/>
                <w:highlight w:val="none"/>
              </w:rPr>
              <w:t>1</w:t>
            </w:r>
          </w:p>
        </w:tc>
      </w:tr>
      <w:tr w14:paraId="119AF6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18" w:hRule="atLeast"/>
          <w:jc w:val="center"/>
        </w:trPr>
        <w:tc>
          <w:tcPr>
            <w:tcW w:w="179" w:type="pct"/>
            <w:vMerge w:val="continue"/>
            <w:noWrap w:val="0"/>
            <w:vAlign w:val="center"/>
          </w:tcPr>
          <w:p w14:paraId="45845C8C">
            <w:pPr>
              <w:spacing w:line="240" w:lineRule="auto"/>
              <w:ind w:firstLine="0" w:firstLineChars="0"/>
              <w:jc w:val="center"/>
              <w:rPr>
                <w:rFonts w:hint="eastAsia"/>
                <w:sz w:val="21"/>
                <w:szCs w:val="21"/>
                <w:highlight w:val="none"/>
              </w:rPr>
            </w:pPr>
          </w:p>
        </w:tc>
        <w:tc>
          <w:tcPr>
            <w:tcW w:w="283" w:type="pct"/>
            <w:vMerge w:val="continue"/>
            <w:noWrap w:val="0"/>
            <w:vAlign w:val="center"/>
          </w:tcPr>
          <w:p w14:paraId="10EE554D">
            <w:pPr>
              <w:spacing w:line="240" w:lineRule="auto"/>
              <w:ind w:firstLine="0" w:firstLineChars="0"/>
              <w:jc w:val="center"/>
              <w:rPr>
                <w:rFonts w:hint="eastAsia"/>
                <w:sz w:val="21"/>
                <w:szCs w:val="21"/>
                <w:highlight w:val="none"/>
              </w:rPr>
            </w:pPr>
          </w:p>
        </w:tc>
        <w:tc>
          <w:tcPr>
            <w:tcW w:w="479" w:type="pct"/>
            <w:vMerge w:val="continue"/>
            <w:noWrap w:val="0"/>
            <w:vAlign w:val="center"/>
          </w:tcPr>
          <w:p w14:paraId="745F5DD6">
            <w:pPr>
              <w:spacing w:line="240" w:lineRule="auto"/>
              <w:ind w:firstLine="0" w:firstLineChars="0"/>
              <w:jc w:val="center"/>
              <w:rPr>
                <w:rFonts w:hint="eastAsia"/>
                <w:sz w:val="21"/>
                <w:szCs w:val="21"/>
                <w:highlight w:val="none"/>
              </w:rPr>
            </w:pPr>
          </w:p>
        </w:tc>
        <w:tc>
          <w:tcPr>
            <w:tcW w:w="179" w:type="pct"/>
            <w:noWrap w:val="0"/>
            <w:vAlign w:val="center"/>
          </w:tcPr>
          <w:p w14:paraId="217C8D9B">
            <w:pPr>
              <w:spacing w:line="240" w:lineRule="auto"/>
              <w:ind w:firstLine="0" w:firstLineChars="0"/>
              <w:jc w:val="center"/>
              <w:rPr>
                <w:rFonts w:hint="eastAsia"/>
                <w:sz w:val="21"/>
                <w:szCs w:val="21"/>
                <w:highlight w:val="none"/>
              </w:rPr>
            </w:pPr>
            <w:r>
              <w:rPr>
                <w:rFonts w:hint="eastAsia"/>
                <w:sz w:val="21"/>
                <w:szCs w:val="21"/>
                <w:highlight w:val="none"/>
              </w:rPr>
              <w:t>1</w:t>
            </w:r>
          </w:p>
        </w:tc>
        <w:tc>
          <w:tcPr>
            <w:tcW w:w="347" w:type="pct"/>
            <w:noWrap w:val="0"/>
            <w:vAlign w:val="center"/>
          </w:tcPr>
          <w:p w14:paraId="714D5A14">
            <w:pPr>
              <w:spacing w:line="240" w:lineRule="auto"/>
              <w:ind w:firstLine="0" w:firstLineChars="0"/>
              <w:jc w:val="center"/>
              <w:rPr>
                <w:rFonts w:hint="eastAsia"/>
                <w:sz w:val="21"/>
                <w:szCs w:val="21"/>
                <w:highlight w:val="none"/>
              </w:rPr>
            </w:pPr>
            <w:r>
              <w:rPr>
                <w:rFonts w:hint="eastAsia"/>
                <w:sz w:val="21"/>
                <w:szCs w:val="21"/>
                <w:highlight w:val="none"/>
              </w:rPr>
              <w:t>90</w:t>
            </w:r>
          </w:p>
        </w:tc>
        <w:tc>
          <w:tcPr>
            <w:tcW w:w="492" w:type="pct"/>
            <w:noWrap w:val="0"/>
            <w:vAlign w:val="center"/>
          </w:tcPr>
          <w:p w14:paraId="0EACFEEE">
            <w:pPr>
              <w:spacing w:line="240" w:lineRule="auto"/>
              <w:ind w:firstLine="0" w:firstLineChars="0"/>
              <w:jc w:val="center"/>
              <w:rPr>
                <w:sz w:val="21"/>
                <w:szCs w:val="21"/>
                <w:highlight w:val="none"/>
              </w:rPr>
            </w:pPr>
            <w:r>
              <w:rPr>
                <w:sz w:val="21"/>
                <w:szCs w:val="21"/>
                <w:highlight w:val="none"/>
              </w:rPr>
              <w:t>设备外1m</w:t>
            </w:r>
          </w:p>
        </w:tc>
        <w:tc>
          <w:tcPr>
            <w:tcW w:w="720" w:type="pct"/>
            <w:noWrap w:val="0"/>
            <w:vAlign w:val="center"/>
          </w:tcPr>
          <w:p w14:paraId="56172141">
            <w:pPr>
              <w:spacing w:line="240" w:lineRule="auto"/>
              <w:ind w:firstLine="0" w:firstLineChars="0"/>
              <w:jc w:val="center"/>
              <w:rPr>
                <w:rFonts w:hint="eastAsia"/>
                <w:sz w:val="21"/>
                <w:szCs w:val="21"/>
                <w:highlight w:val="none"/>
              </w:rPr>
            </w:pPr>
            <w:r>
              <w:rPr>
                <w:rFonts w:hint="eastAsia"/>
                <w:sz w:val="21"/>
                <w:szCs w:val="21"/>
                <w:highlight w:val="none"/>
              </w:rPr>
              <w:t>隔声罩壳、厂房隔声</w:t>
            </w:r>
          </w:p>
        </w:tc>
        <w:tc>
          <w:tcPr>
            <w:tcW w:w="358" w:type="pct"/>
            <w:noWrap w:val="0"/>
            <w:vAlign w:val="center"/>
          </w:tcPr>
          <w:p w14:paraId="33415944">
            <w:pPr>
              <w:spacing w:line="240" w:lineRule="auto"/>
              <w:ind w:firstLine="0" w:firstLineChars="0"/>
              <w:jc w:val="center"/>
              <w:rPr>
                <w:rFonts w:hint="default" w:eastAsia="等线"/>
                <w:sz w:val="21"/>
                <w:szCs w:val="21"/>
                <w:highlight w:val="none"/>
                <w:lang w:val="en-US" w:eastAsia="zh-CN"/>
              </w:rPr>
            </w:pPr>
            <w:r>
              <w:rPr>
                <w:rFonts w:hint="eastAsia" w:eastAsia="等线"/>
                <w:sz w:val="21"/>
                <w:szCs w:val="21"/>
                <w:highlight w:val="none"/>
                <w:lang w:val="en-US" w:eastAsia="zh-CN"/>
              </w:rPr>
              <w:t>-19.83</w:t>
            </w:r>
          </w:p>
        </w:tc>
        <w:tc>
          <w:tcPr>
            <w:tcW w:w="357" w:type="pct"/>
            <w:noWrap w:val="0"/>
            <w:vAlign w:val="center"/>
          </w:tcPr>
          <w:p w14:paraId="3FB7A51A">
            <w:pPr>
              <w:spacing w:line="240" w:lineRule="auto"/>
              <w:ind w:firstLine="0" w:firstLineChars="0"/>
              <w:jc w:val="center"/>
              <w:rPr>
                <w:rFonts w:eastAsia="等线"/>
                <w:sz w:val="21"/>
                <w:szCs w:val="21"/>
                <w:highlight w:val="none"/>
              </w:rPr>
            </w:pPr>
            <w:r>
              <w:rPr>
                <w:rFonts w:eastAsia="等线"/>
                <w:sz w:val="21"/>
                <w:szCs w:val="21"/>
                <w:highlight w:val="none"/>
              </w:rPr>
              <w:t>47.04</w:t>
            </w:r>
          </w:p>
        </w:tc>
        <w:tc>
          <w:tcPr>
            <w:tcW w:w="245" w:type="pct"/>
            <w:noWrap w:val="0"/>
            <w:vAlign w:val="center"/>
          </w:tcPr>
          <w:p w14:paraId="2C66E773">
            <w:pPr>
              <w:spacing w:line="240" w:lineRule="auto"/>
              <w:ind w:firstLine="0" w:firstLineChars="0"/>
              <w:jc w:val="center"/>
              <w:rPr>
                <w:rFonts w:hint="eastAsia" w:eastAsia="等线"/>
                <w:sz w:val="21"/>
                <w:szCs w:val="21"/>
                <w:highlight w:val="none"/>
              </w:rPr>
            </w:pPr>
            <w:r>
              <w:rPr>
                <w:rFonts w:hint="eastAsia" w:eastAsia="等线"/>
                <w:sz w:val="21"/>
                <w:szCs w:val="21"/>
                <w:highlight w:val="none"/>
              </w:rPr>
              <w:t>1</w:t>
            </w:r>
          </w:p>
        </w:tc>
        <w:tc>
          <w:tcPr>
            <w:tcW w:w="304" w:type="pct"/>
            <w:vMerge w:val="continue"/>
            <w:noWrap w:val="0"/>
            <w:vAlign w:val="center"/>
          </w:tcPr>
          <w:p w14:paraId="4BB217ED">
            <w:pPr>
              <w:spacing w:line="240" w:lineRule="auto"/>
              <w:ind w:firstLine="0" w:firstLineChars="0"/>
              <w:jc w:val="center"/>
              <w:rPr>
                <w:rFonts w:hint="eastAsia"/>
                <w:sz w:val="21"/>
                <w:szCs w:val="21"/>
                <w:highlight w:val="none"/>
              </w:rPr>
            </w:pPr>
          </w:p>
        </w:tc>
        <w:tc>
          <w:tcPr>
            <w:tcW w:w="342" w:type="pct"/>
            <w:noWrap w:val="0"/>
            <w:vAlign w:val="center"/>
          </w:tcPr>
          <w:p w14:paraId="6A63A6BD">
            <w:pPr>
              <w:spacing w:line="240" w:lineRule="auto"/>
              <w:ind w:firstLine="0" w:firstLineChars="0"/>
              <w:jc w:val="center"/>
              <w:rPr>
                <w:rFonts w:hint="eastAsia" w:eastAsia="等线"/>
                <w:sz w:val="21"/>
                <w:szCs w:val="21"/>
                <w:highlight w:val="none"/>
                <w:lang w:val="en-US" w:eastAsia="zh-CN"/>
              </w:rPr>
            </w:pPr>
            <w:r>
              <w:rPr>
                <w:rFonts w:hint="eastAsia" w:eastAsia="等线"/>
                <w:sz w:val="21"/>
                <w:szCs w:val="21"/>
                <w:highlight w:val="none"/>
              </w:rPr>
              <w:t>2</w:t>
            </w:r>
            <w:r>
              <w:rPr>
                <w:rFonts w:hint="eastAsia" w:eastAsia="等线"/>
                <w:sz w:val="21"/>
                <w:szCs w:val="21"/>
                <w:highlight w:val="none"/>
                <w:lang w:val="en-US" w:eastAsia="zh-CN"/>
              </w:rPr>
              <w:t>5</w:t>
            </w:r>
          </w:p>
        </w:tc>
        <w:tc>
          <w:tcPr>
            <w:tcW w:w="359" w:type="pct"/>
            <w:noWrap w:val="0"/>
            <w:vAlign w:val="center"/>
          </w:tcPr>
          <w:p w14:paraId="1FB64146">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65</w:t>
            </w:r>
          </w:p>
        </w:tc>
        <w:tc>
          <w:tcPr>
            <w:tcW w:w="351" w:type="pct"/>
            <w:noWrap w:val="0"/>
            <w:vAlign w:val="center"/>
          </w:tcPr>
          <w:p w14:paraId="327D7D53">
            <w:pPr>
              <w:spacing w:line="240" w:lineRule="auto"/>
              <w:ind w:firstLine="0" w:firstLineChars="0"/>
              <w:jc w:val="center"/>
              <w:rPr>
                <w:rFonts w:hint="eastAsia"/>
                <w:sz w:val="21"/>
                <w:szCs w:val="21"/>
                <w:highlight w:val="none"/>
              </w:rPr>
            </w:pPr>
            <w:r>
              <w:rPr>
                <w:rFonts w:hint="eastAsia"/>
                <w:sz w:val="21"/>
                <w:szCs w:val="21"/>
                <w:highlight w:val="none"/>
              </w:rPr>
              <w:t>1</w:t>
            </w:r>
          </w:p>
        </w:tc>
      </w:tr>
      <w:tr w14:paraId="588A9F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9" w:type="pct"/>
            <w:vMerge w:val="continue"/>
            <w:noWrap w:val="0"/>
            <w:vAlign w:val="center"/>
          </w:tcPr>
          <w:p w14:paraId="39E4323F">
            <w:pPr>
              <w:spacing w:line="240" w:lineRule="auto"/>
              <w:ind w:firstLine="0" w:firstLineChars="0"/>
              <w:jc w:val="center"/>
              <w:rPr>
                <w:sz w:val="21"/>
                <w:szCs w:val="21"/>
                <w:highlight w:val="none"/>
              </w:rPr>
            </w:pPr>
          </w:p>
        </w:tc>
        <w:tc>
          <w:tcPr>
            <w:tcW w:w="283" w:type="pct"/>
            <w:vMerge w:val="continue"/>
            <w:noWrap w:val="0"/>
            <w:vAlign w:val="center"/>
          </w:tcPr>
          <w:p w14:paraId="296DB029">
            <w:pPr>
              <w:spacing w:line="240" w:lineRule="auto"/>
              <w:ind w:firstLine="0" w:firstLineChars="0"/>
              <w:jc w:val="center"/>
              <w:rPr>
                <w:sz w:val="21"/>
                <w:szCs w:val="21"/>
                <w:highlight w:val="none"/>
              </w:rPr>
            </w:pPr>
          </w:p>
        </w:tc>
        <w:tc>
          <w:tcPr>
            <w:tcW w:w="479" w:type="pct"/>
            <w:vMerge w:val="restart"/>
            <w:noWrap w:val="0"/>
            <w:vAlign w:val="center"/>
          </w:tcPr>
          <w:p w14:paraId="45E069E8">
            <w:pPr>
              <w:spacing w:line="240" w:lineRule="auto"/>
              <w:ind w:firstLine="0" w:firstLineChars="0"/>
              <w:jc w:val="center"/>
              <w:rPr>
                <w:sz w:val="21"/>
                <w:szCs w:val="21"/>
                <w:highlight w:val="none"/>
              </w:rPr>
            </w:pPr>
            <w:r>
              <w:rPr>
                <w:rFonts w:hint="eastAsia"/>
                <w:sz w:val="21"/>
                <w:szCs w:val="21"/>
                <w:highlight w:val="none"/>
              </w:rPr>
              <w:t>引风机</w:t>
            </w:r>
          </w:p>
        </w:tc>
        <w:tc>
          <w:tcPr>
            <w:tcW w:w="179" w:type="pct"/>
            <w:noWrap w:val="0"/>
            <w:vAlign w:val="center"/>
          </w:tcPr>
          <w:p w14:paraId="45B400C9">
            <w:pPr>
              <w:spacing w:line="240" w:lineRule="auto"/>
              <w:ind w:firstLine="0" w:firstLineChars="0"/>
              <w:jc w:val="center"/>
              <w:rPr>
                <w:rFonts w:hint="eastAsia"/>
                <w:sz w:val="21"/>
                <w:szCs w:val="21"/>
                <w:highlight w:val="none"/>
              </w:rPr>
            </w:pPr>
            <w:r>
              <w:rPr>
                <w:rFonts w:hint="eastAsia"/>
                <w:sz w:val="21"/>
                <w:szCs w:val="21"/>
                <w:highlight w:val="none"/>
              </w:rPr>
              <w:t>1</w:t>
            </w:r>
          </w:p>
        </w:tc>
        <w:tc>
          <w:tcPr>
            <w:tcW w:w="347" w:type="pct"/>
            <w:noWrap w:val="0"/>
            <w:vAlign w:val="center"/>
          </w:tcPr>
          <w:p w14:paraId="59A02583">
            <w:pPr>
              <w:spacing w:line="240" w:lineRule="auto"/>
              <w:ind w:firstLine="0" w:firstLineChars="0"/>
              <w:jc w:val="center"/>
              <w:rPr>
                <w:sz w:val="21"/>
                <w:szCs w:val="21"/>
                <w:highlight w:val="none"/>
              </w:rPr>
            </w:pPr>
            <w:r>
              <w:rPr>
                <w:rFonts w:hint="eastAsia"/>
                <w:sz w:val="21"/>
                <w:szCs w:val="21"/>
                <w:highlight w:val="none"/>
              </w:rPr>
              <w:t>90</w:t>
            </w:r>
          </w:p>
        </w:tc>
        <w:tc>
          <w:tcPr>
            <w:tcW w:w="492" w:type="pct"/>
            <w:noWrap w:val="0"/>
            <w:vAlign w:val="center"/>
          </w:tcPr>
          <w:p w14:paraId="4C3F4BA0">
            <w:pPr>
              <w:spacing w:line="240" w:lineRule="auto"/>
              <w:ind w:firstLine="0" w:firstLineChars="0"/>
              <w:jc w:val="center"/>
              <w:rPr>
                <w:rFonts w:eastAsia="等线"/>
                <w:sz w:val="21"/>
                <w:szCs w:val="21"/>
                <w:highlight w:val="none"/>
              </w:rPr>
            </w:pPr>
            <w:r>
              <w:rPr>
                <w:sz w:val="21"/>
                <w:szCs w:val="21"/>
                <w:highlight w:val="none"/>
              </w:rPr>
              <w:t>罩壳外1m</w:t>
            </w:r>
          </w:p>
        </w:tc>
        <w:tc>
          <w:tcPr>
            <w:tcW w:w="720" w:type="pct"/>
            <w:noWrap w:val="0"/>
            <w:vAlign w:val="center"/>
          </w:tcPr>
          <w:p w14:paraId="70F8FA2B">
            <w:pPr>
              <w:spacing w:line="240" w:lineRule="auto"/>
              <w:ind w:firstLine="0" w:firstLineChars="0"/>
              <w:jc w:val="center"/>
              <w:rPr>
                <w:sz w:val="21"/>
                <w:szCs w:val="21"/>
                <w:highlight w:val="none"/>
              </w:rPr>
            </w:pPr>
            <w:r>
              <w:rPr>
                <w:rFonts w:hint="eastAsia"/>
                <w:sz w:val="21"/>
                <w:szCs w:val="21"/>
                <w:highlight w:val="none"/>
              </w:rPr>
              <w:t>隔声罩壳、管道外壳阻尼</w:t>
            </w:r>
          </w:p>
        </w:tc>
        <w:tc>
          <w:tcPr>
            <w:tcW w:w="358" w:type="pct"/>
            <w:noWrap w:val="0"/>
            <w:vAlign w:val="center"/>
          </w:tcPr>
          <w:p w14:paraId="01BC4F65">
            <w:pPr>
              <w:spacing w:line="240" w:lineRule="auto"/>
              <w:ind w:firstLine="0" w:firstLineChars="0"/>
              <w:jc w:val="center"/>
              <w:rPr>
                <w:rFonts w:hint="default" w:eastAsia="等线"/>
                <w:sz w:val="21"/>
                <w:szCs w:val="21"/>
                <w:highlight w:val="none"/>
                <w:lang w:val="en-US" w:eastAsia="zh-CN"/>
              </w:rPr>
            </w:pPr>
            <w:r>
              <w:rPr>
                <w:rFonts w:hint="eastAsia" w:eastAsia="等线"/>
                <w:sz w:val="21"/>
                <w:szCs w:val="21"/>
                <w:highlight w:val="none"/>
                <w:lang w:val="en-US" w:eastAsia="zh-CN"/>
              </w:rPr>
              <w:t>-9.88</w:t>
            </w:r>
          </w:p>
        </w:tc>
        <w:tc>
          <w:tcPr>
            <w:tcW w:w="357" w:type="pct"/>
            <w:noWrap w:val="0"/>
            <w:vAlign w:val="center"/>
          </w:tcPr>
          <w:p w14:paraId="59A986A2">
            <w:pPr>
              <w:spacing w:line="240" w:lineRule="auto"/>
              <w:ind w:firstLine="0" w:firstLineChars="0"/>
              <w:jc w:val="center"/>
              <w:rPr>
                <w:rFonts w:hint="default" w:eastAsia="等线"/>
                <w:sz w:val="21"/>
                <w:szCs w:val="21"/>
                <w:highlight w:val="none"/>
                <w:lang w:val="en-US" w:eastAsia="zh-CN"/>
              </w:rPr>
            </w:pPr>
            <w:r>
              <w:rPr>
                <w:rFonts w:hint="eastAsia" w:eastAsia="等线"/>
                <w:sz w:val="21"/>
                <w:szCs w:val="21"/>
                <w:highlight w:val="none"/>
                <w:lang w:val="en-US" w:eastAsia="zh-CN"/>
              </w:rPr>
              <w:t>-22.83</w:t>
            </w:r>
          </w:p>
        </w:tc>
        <w:tc>
          <w:tcPr>
            <w:tcW w:w="245" w:type="pct"/>
            <w:noWrap w:val="0"/>
            <w:vAlign w:val="center"/>
          </w:tcPr>
          <w:p w14:paraId="1C45955C">
            <w:pPr>
              <w:spacing w:line="240" w:lineRule="auto"/>
              <w:ind w:firstLine="0" w:firstLineChars="0"/>
              <w:jc w:val="center"/>
              <w:rPr>
                <w:rFonts w:eastAsia="等线"/>
                <w:sz w:val="21"/>
                <w:szCs w:val="21"/>
                <w:highlight w:val="none"/>
              </w:rPr>
            </w:pPr>
            <w:r>
              <w:rPr>
                <w:rFonts w:hint="eastAsia" w:eastAsia="等线"/>
                <w:sz w:val="21"/>
                <w:szCs w:val="21"/>
                <w:highlight w:val="none"/>
              </w:rPr>
              <w:t>1</w:t>
            </w:r>
          </w:p>
        </w:tc>
        <w:tc>
          <w:tcPr>
            <w:tcW w:w="304" w:type="pct"/>
            <w:vMerge w:val="continue"/>
            <w:noWrap w:val="0"/>
            <w:vAlign w:val="center"/>
          </w:tcPr>
          <w:p w14:paraId="3205E28E">
            <w:pPr>
              <w:spacing w:line="240" w:lineRule="auto"/>
              <w:ind w:firstLine="0" w:firstLineChars="0"/>
              <w:jc w:val="center"/>
              <w:rPr>
                <w:rFonts w:eastAsia="等线"/>
                <w:sz w:val="21"/>
                <w:szCs w:val="21"/>
                <w:highlight w:val="none"/>
              </w:rPr>
            </w:pPr>
          </w:p>
        </w:tc>
        <w:tc>
          <w:tcPr>
            <w:tcW w:w="342" w:type="pct"/>
            <w:noWrap w:val="0"/>
            <w:vAlign w:val="center"/>
          </w:tcPr>
          <w:p w14:paraId="561BD93C">
            <w:pPr>
              <w:spacing w:line="240" w:lineRule="auto"/>
              <w:ind w:firstLine="0" w:firstLineChars="0"/>
              <w:jc w:val="center"/>
              <w:rPr>
                <w:rFonts w:hint="eastAsia" w:eastAsia="等线"/>
                <w:sz w:val="21"/>
                <w:szCs w:val="21"/>
                <w:highlight w:val="none"/>
                <w:lang w:val="en-US" w:eastAsia="zh-CN"/>
              </w:rPr>
            </w:pPr>
            <w:r>
              <w:rPr>
                <w:rFonts w:hint="eastAsia" w:eastAsia="等线"/>
                <w:sz w:val="21"/>
                <w:szCs w:val="21"/>
                <w:highlight w:val="none"/>
              </w:rPr>
              <w:t>2</w:t>
            </w:r>
            <w:r>
              <w:rPr>
                <w:rFonts w:hint="eastAsia" w:eastAsia="等线"/>
                <w:sz w:val="21"/>
                <w:szCs w:val="21"/>
                <w:highlight w:val="none"/>
                <w:lang w:val="en-US" w:eastAsia="zh-CN"/>
              </w:rPr>
              <w:t>5</w:t>
            </w:r>
          </w:p>
        </w:tc>
        <w:tc>
          <w:tcPr>
            <w:tcW w:w="359" w:type="pct"/>
            <w:noWrap w:val="0"/>
            <w:vAlign w:val="center"/>
          </w:tcPr>
          <w:p w14:paraId="5125F245">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eastAsia="zh-CN"/>
              </w:rPr>
              <w:t>6</w:t>
            </w:r>
            <w:r>
              <w:rPr>
                <w:rFonts w:hint="eastAsia"/>
                <w:sz w:val="21"/>
                <w:szCs w:val="21"/>
                <w:highlight w:val="none"/>
                <w:lang w:val="en-US" w:eastAsia="zh-CN"/>
              </w:rPr>
              <w:t>5</w:t>
            </w:r>
          </w:p>
        </w:tc>
        <w:tc>
          <w:tcPr>
            <w:tcW w:w="351" w:type="pct"/>
            <w:noWrap w:val="0"/>
            <w:vAlign w:val="center"/>
          </w:tcPr>
          <w:p w14:paraId="47F21DA6">
            <w:pPr>
              <w:spacing w:line="240" w:lineRule="auto"/>
              <w:ind w:firstLine="0" w:firstLineChars="0"/>
              <w:jc w:val="center"/>
              <w:rPr>
                <w:sz w:val="21"/>
                <w:szCs w:val="21"/>
                <w:highlight w:val="none"/>
              </w:rPr>
            </w:pPr>
            <w:r>
              <w:rPr>
                <w:rFonts w:hint="eastAsia"/>
                <w:sz w:val="21"/>
                <w:szCs w:val="21"/>
                <w:highlight w:val="none"/>
              </w:rPr>
              <w:t>1</w:t>
            </w:r>
          </w:p>
        </w:tc>
      </w:tr>
      <w:tr w14:paraId="01C1CD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9" w:type="pct"/>
            <w:vMerge w:val="continue"/>
            <w:noWrap w:val="0"/>
            <w:vAlign w:val="center"/>
          </w:tcPr>
          <w:p w14:paraId="0437E70D">
            <w:pPr>
              <w:spacing w:line="240" w:lineRule="auto"/>
              <w:ind w:firstLine="0" w:firstLineChars="0"/>
              <w:jc w:val="center"/>
              <w:rPr>
                <w:sz w:val="21"/>
                <w:szCs w:val="21"/>
                <w:highlight w:val="none"/>
              </w:rPr>
            </w:pPr>
          </w:p>
        </w:tc>
        <w:tc>
          <w:tcPr>
            <w:tcW w:w="283" w:type="pct"/>
            <w:vMerge w:val="continue"/>
            <w:noWrap w:val="0"/>
            <w:vAlign w:val="center"/>
          </w:tcPr>
          <w:p w14:paraId="063D3C7A">
            <w:pPr>
              <w:spacing w:line="240" w:lineRule="auto"/>
              <w:ind w:firstLine="0" w:firstLineChars="0"/>
              <w:jc w:val="center"/>
              <w:rPr>
                <w:sz w:val="21"/>
                <w:szCs w:val="21"/>
                <w:highlight w:val="none"/>
              </w:rPr>
            </w:pPr>
          </w:p>
        </w:tc>
        <w:tc>
          <w:tcPr>
            <w:tcW w:w="479" w:type="pct"/>
            <w:vMerge w:val="continue"/>
            <w:noWrap w:val="0"/>
            <w:vAlign w:val="center"/>
          </w:tcPr>
          <w:p w14:paraId="0761AAAC">
            <w:pPr>
              <w:spacing w:line="240" w:lineRule="auto"/>
              <w:ind w:firstLine="0" w:firstLineChars="0"/>
              <w:jc w:val="center"/>
              <w:rPr>
                <w:rFonts w:hint="eastAsia"/>
                <w:sz w:val="21"/>
                <w:szCs w:val="21"/>
                <w:highlight w:val="none"/>
              </w:rPr>
            </w:pPr>
          </w:p>
        </w:tc>
        <w:tc>
          <w:tcPr>
            <w:tcW w:w="179" w:type="pct"/>
            <w:noWrap w:val="0"/>
            <w:vAlign w:val="center"/>
          </w:tcPr>
          <w:p w14:paraId="3032DB07">
            <w:pPr>
              <w:spacing w:line="240" w:lineRule="auto"/>
              <w:ind w:firstLine="0" w:firstLineChars="0"/>
              <w:jc w:val="center"/>
              <w:rPr>
                <w:rFonts w:hint="eastAsia"/>
                <w:sz w:val="21"/>
                <w:szCs w:val="21"/>
                <w:highlight w:val="none"/>
              </w:rPr>
            </w:pPr>
            <w:r>
              <w:rPr>
                <w:rFonts w:hint="eastAsia"/>
                <w:sz w:val="21"/>
                <w:szCs w:val="21"/>
                <w:highlight w:val="none"/>
              </w:rPr>
              <w:t>1</w:t>
            </w:r>
          </w:p>
        </w:tc>
        <w:tc>
          <w:tcPr>
            <w:tcW w:w="347" w:type="pct"/>
            <w:noWrap w:val="0"/>
            <w:vAlign w:val="center"/>
          </w:tcPr>
          <w:p w14:paraId="1FC33BB9">
            <w:pPr>
              <w:spacing w:line="240" w:lineRule="auto"/>
              <w:ind w:firstLine="0" w:firstLineChars="0"/>
              <w:jc w:val="center"/>
              <w:rPr>
                <w:rFonts w:hint="eastAsia"/>
                <w:sz w:val="21"/>
                <w:szCs w:val="21"/>
                <w:highlight w:val="none"/>
              </w:rPr>
            </w:pPr>
            <w:r>
              <w:rPr>
                <w:rFonts w:hint="eastAsia"/>
                <w:sz w:val="21"/>
                <w:szCs w:val="21"/>
                <w:highlight w:val="none"/>
              </w:rPr>
              <w:t>90</w:t>
            </w:r>
          </w:p>
        </w:tc>
        <w:tc>
          <w:tcPr>
            <w:tcW w:w="492" w:type="pct"/>
            <w:noWrap w:val="0"/>
            <w:vAlign w:val="center"/>
          </w:tcPr>
          <w:p w14:paraId="001A7C9E">
            <w:pPr>
              <w:spacing w:line="240" w:lineRule="auto"/>
              <w:ind w:firstLine="0" w:firstLineChars="0"/>
              <w:jc w:val="center"/>
              <w:rPr>
                <w:sz w:val="21"/>
                <w:szCs w:val="21"/>
                <w:highlight w:val="none"/>
              </w:rPr>
            </w:pPr>
            <w:r>
              <w:rPr>
                <w:sz w:val="21"/>
                <w:szCs w:val="21"/>
                <w:highlight w:val="none"/>
              </w:rPr>
              <w:t>罩壳外1m</w:t>
            </w:r>
          </w:p>
        </w:tc>
        <w:tc>
          <w:tcPr>
            <w:tcW w:w="720" w:type="pct"/>
            <w:noWrap w:val="0"/>
            <w:vAlign w:val="center"/>
          </w:tcPr>
          <w:p w14:paraId="555AEFDC">
            <w:pPr>
              <w:spacing w:line="240" w:lineRule="auto"/>
              <w:ind w:firstLine="0" w:firstLineChars="0"/>
              <w:jc w:val="center"/>
              <w:rPr>
                <w:rFonts w:hint="eastAsia"/>
                <w:sz w:val="21"/>
                <w:szCs w:val="21"/>
                <w:highlight w:val="none"/>
              </w:rPr>
            </w:pPr>
            <w:r>
              <w:rPr>
                <w:rFonts w:hint="eastAsia"/>
                <w:sz w:val="21"/>
                <w:szCs w:val="21"/>
                <w:highlight w:val="none"/>
              </w:rPr>
              <w:t>隔声罩壳、管道外壳阻尼</w:t>
            </w:r>
          </w:p>
        </w:tc>
        <w:tc>
          <w:tcPr>
            <w:tcW w:w="358" w:type="pct"/>
            <w:noWrap w:val="0"/>
            <w:vAlign w:val="center"/>
          </w:tcPr>
          <w:p w14:paraId="4F8AB5E1">
            <w:pPr>
              <w:spacing w:line="240" w:lineRule="auto"/>
              <w:ind w:firstLine="0" w:firstLineChars="0"/>
              <w:jc w:val="center"/>
              <w:rPr>
                <w:rFonts w:hint="default" w:eastAsia="等线"/>
                <w:sz w:val="21"/>
                <w:szCs w:val="21"/>
                <w:highlight w:val="none"/>
                <w:lang w:val="en-US" w:eastAsia="zh-CN"/>
              </w:rPr>
            </w:pPr>
            <w:r>
              <w:rPr>
                <w:rFonts w:hint="eastAsia" w:eastAsia="等线"/>
                <w:sz w:val="21"/>
                <w:szCs w:val="21"/>
                <w:highlight w:val="none"/>
                <w:lang w:val="en-US" w:eastAsia="zh-CN"/>
              </w:rPr>
              <w:t>1.18</w:t>
            </w:r>
          </w:p>
        </w:tc>
        <w:tc>
          <w:tcPr>
            <w:tcW w:w="357" w:type="pct"/>
            <w:noWrap w:val="0"/>
            <w:vAlign w:val="center"/>
          </w:tcPr>
          <w:p w14:paraId="1BB3F6C1">
            <w:pPr>
              <w:spacing w:line="240" w:lineRule="auto"/>
              <w:ind w:firstLine="0" w:firstLineChars="0"/>
              <w:jc w:val="center"/>
              <w:rPr>
                <w:rFonts w:hint="default" w:eastAsia="等线"/>
                <w:sz w:val="21"/>
                <w:szCs w:val="21"/>
                <w:highlight w:val="none"/>
                <w:lang w:val="en-US" w:eastAsia="zh-CN"/>
              </w:rPr>
            </w:pPr>
            <w:r>
              <w:rPr>
                <w:rFonts w:hint="eastAsia" w:eastAsia="等线"/>
                <w:sz w:val="21"/>
                <w:szCs w:val="21"/>
                <w:highlight w:val="none"/>
                <w:lang w:val="en-US" w:eastAsia="zh-CN"/>
              </w:rPr>
              <w:t>-22.83</w:t>
            </w:r>
          </w:p>
        </w:tc>
        <w:tc>
          <w:tcPr>
            <w:tcW w:w="245" w:type="pct"/>
            <w:noWrap w:val="0"/>
            <w:vAlign w:val="center"/>
          </w:tcPr>
          <w:p w14:paraId="036A8348">
            <w:pPr>
              <w:spacing w:line="240" w:lineRule="auto"/>
              <w:ind w:firstLine="0" w:firstLineChars="0"/>
              <w:jc w:val="center"/>
              <w:rPr>
                <w:rFonts w:hint="eastAsia" w:eastAsia="等线"/>
                <w:sz w:val="21"/>
                <w:szCs w:val="21"/>
                <w:highlight w:val="none"/>
              </w:rPr>
            </w:pPr>
            <w:r>
              <w:rPr>
                <w:rFonts w:hint="eastAsia" w:eastAsia="等线"/>
                <w:sz w:val="21"/>
                <w:szCs w:val="21"/>
                <w:highlight w:val="none"/>
              </w:rPr>
              <w:t>1</w:t>
            </w:r>
          </w:p>
        </w:tc>
        <w:tc>
          <w:tcPr>
            <w:tcW w:w="304" w:type="pct"/>
            <w:vMerge w:val="continue"/>
            <w:noWrap w:val="0"/>
            <w:vAlign w:val="center"/>
          </w:tcPr>
          <w:p w14:paraId="083EA3CD">
            <w:pPr>
              <w:spacing w:line="240" w:lineRule="auto"/>
              <w:ind w:firstLine="0" w:firstLineChars="0"/>
              <w:jc w:val="center"/>
              <w:rPr>
                <w:rFonts w:eastAsia="等线"/>
                <w:sz w:val="21"/>
                <w:szCs w:val="21"/>
                <w:highlight w:val="none"/>
              </w:rPr>
            </w:pPr>
          </w:p>
        </w:tc>
        <w:tc>
          <w:tcPr>
            <w:tcW w:w="342" w:type="pct"/>
            <w:noWrap w:val="0"/>
            <w:vAlign w:val="center"/>
          </w:tcPr>
          <w:p w14:paraId="31436567">
            <w:pPr>
              <w:spacing w:line="240" w:lineRule="auto"/>
              <w:ind w:firstLine="0" w:firstLineChars="0"/>
              <w:jc w:val="center"/>
              <w:rPr>
                <w:rFonts w:hint="eastAsia" w:eastAsia="等线"/>
                <w:sz w:val="21"/>
                <w:szCs w:val="21"/>
                <w:highlight w:val="none"/>
                <w:lang w:val="en-US" w:eastAsia="zh-CN"/>
              </w:rPr>
            </w:pPr>
            <w:r>
              <w:rPr>
                <w:rFonts w:hint="eastAsia" w:eastAsia="等线"/>
                <w:sz w:val="21"/>
                <w:szCs w:val="21"/>
                <w:highlight w:val="none"/>
              </w:rPr>
              <w:t>2</w:t>
            </w:r>
            <w:r>
              <w:rPr>
                <w:rFonts w:hint="eastAsia" w:eastAsia="等线"/>
                <w:sz w:val="21"/>
                <w:szCs w:val="21"/>
                <w:highlight w:val="none"/>
                <w:lang w:val="en-US" w:eastAsia="zh-CN"/>
              </w:rPr>
              <w:t>5</w:t>
            </w:r>
          </w:p>
        </w:tc>
        <w:tc>
          <w:tcPr>
            <w:tcW w:w="359" w:type="pct"/>
            <w:noWrap w:val="0"/>
            <w:vAlign w:val="center"/>
          </w:tcPr>
          <w:p w14:paraId="109A8ADA">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65</w:t>
            </w:r>
          </w:p>
        </w:tc>
        <w:tc>
          <w:tcPr>
            <w:tcW w:w="351" w:type="pct"/>
            <w:noWrap w:val="0"/>
            <w:vAlign w:val="center"/>
          </w:tcPr>
          <w:p w14:paraId="55AE85DC">
            <w:pPr>
              <w:spacing w:line="240" w:lineRule="auto"/>
              <w:ind w:firstLine="0" w:firstLineChars="0"/>
              <w:jc w:val="center"/>
              <w:rPr>
                <w:sz w:val="21"/>
                <w:szCs w:val="21"/>
                <w:highlight w:val="none"/>
              </w:rPr>
            </w:pPr>
            <w:r>
              <w:rPr>
                <w:rFonts w:hint="eastAsia"/>
                <w:sz w:val="21"/>
                <w:szCs w:val="21"/>
                <w:highlight w:val="none"/>
              </w:rPr>
              <w:t>1</w:t>
            </w:r>
          </w:p>
        </w:tc>
      </w:tr>
      <w:tr w14:paraId="75C927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179" w:type="pct"/>
            <w:vMerge w:val="continue"/>
            <w:noWrap w:val="0"/>
            <w:vAlign w:val="center"/>
          </w:tcPr>
          <w:p w14:paraId="052DB36A">
            <w:pPr>
              <w:spacing w:line="240" w:lineRule="auto"/>
              <w:ind w:firstLine="0" w:firstLineChars="0"/>
              <w:jc w:val="center"/>
              <w:rPr>
                <w:sz w:val="21"/>
                <w:szCs w:val="21"/>
                <w:highlight w:val="none"/>
              </w:rPr>
            </w:pPr>
          </w:p>
        </w:tc>
        <w:tc>
          <w:tcPr>
            <w:tcW w:w="283" w:type="pct"/>
            <w:vMerge w:val="continue"/>
            <w:noWrap w:val="0"/>
            <w:vAlign w:val="center"/>
          </w:tcPr>
          <w:p w14:paraId="3589202A">
            <w:pPr>
              <w:spacing w:line="240" w:lineRule="auto"/>
              <w:ind w:firstLine="0" w:firstLineChars="0"/>
              <w:jc w:val="center"/>
              <w:rPr>
                <w:sz w:val="21"/>
                <w:szCs w:val="21"/>
                <w:highlight w:val="none"/>
              </w:rPr>
            </w:pPr>
          </w:p>
        </w:tc>
        <w:tc>
          <w:tcPr>
            <w:tcW w:w="479" w:type="pct"/>
            <w:vMerge w:val="continue"/>
            <w:noWrap w:val="0"/>
            <w:vAlign w:val="center"/>
          </w:tcPr>
          <w:p w14:paraId="7E41D0B5">
            <w:pPr>
              <w:spacing w:line="240" w:lineRule="auto"/>
              <w:ind w:firstLine="0" w:firstLineChars="0"/>
              <w:jc w:val="center"/>
              <w:rPr>
                <w:rFonts w:hint="eastAsia"/>
                <w:sz w:val="21"/>
                <w:szCs w:val="21"/>
                <w:highlight w:val="none"/>
              </w:rPr>
            </w:pPr>
          </w:p>
        </w:tc>
        <w:tc>
          <w:tcPr>
            <w:tcW w:w="179" w:type="pct"/>
            <w:noWrap w:val="0"/>
            <w:vAlign w:val="center"/>
          </w:tcPr>
          <w:p w14:paraId="075A3B53">
            <w:pPr>
              <w:spacing w:line="240" w:lineRule="auto"/>
              <w:ind w:firstLine="0" w:firstLineChars="0"/>
              <w:jc w:val="center"/>
              <w:rPr>
                <w:rFonts w:hint="eastAsia"/>
                <w:sz w:val="21"/>
                <w:szCs w:val="21"/>
                <w:highlight w:val="none"/>
              </w:rPr>
            </w:pPr>
            <w:r>
              <w:rPr>
                <w:rFonts w:hint="eastAsia"/>
                <w:sz w:val="21"/>
                <w:szCs w:val="21"/>
                <w:highlight w:val="none"/>
              </w:rPr>
              <w:t>1</w:t>
            </w:r>
          </w:p>
        </w:tc>
        <w:tc>
          <w:tcPr>
            <w:tcW w:w="347" w:type="pct"/>
            <w:noWrap w:val="0"/>
            <w:vAlign w:val="center"/>
          </w:tcPr>
          <w:p w14:paraId="0C3F41E8">
            <w:pPr>
              <w:spacing w:line="240" w:lineRule="auto"/>
              <w:ind w:firstLine="0" w:firstLineChars="0"/>
              <w:jc w:val="center"/>
              <w:rPr>
                <w:rFonts w:hint="eastAsia"/>
                <w:sz w:val="21"/>
                <w:szCs w:val="21"/>
                <w:highlight w:val="none"/>
              </w:rPr>
            </w:pPr>
            <w:r>
              <w:rPr>
                <w:rFonts w:hint="eastAsia"/>
                <w:sz w:val="21"/>
                <w:szCs w:val="21"/>
                <w:highlight w:val="none"/>
              </w:rPr>
              <w:t>90</w:t>
            </w:r>
          </w:p>
        </w:tc>
        <w:tc>
          <w:tcPr>
            <w:tcW w:w="492" w:type="pct"/>
            <w:noWrap w:val="0"/>
            <w:vAlign w:val="center"/>
          </w:tcPr>
          <w:p w14:paraId="0244FF59">
            <w:pPr>
              <w:spacing w:line="240" w:lineRule="auto"/>
              <w:ind w:firstLine="0" w:firstLineChars="0"/>
              <w:jc w:val="center"/>
              <w:rPr>
                <w:sz w:val="21"/>
                <w:szCs w:val="21"/>
                <w:highlight w:val="none"/>
              </w:rPr>
            </w:pPr>
            <w:r>
              <w:rPr>
                <w:sz w:val="21"/>
                <w:szCs w:val="21"/>
                <w:highlight w:val="none"/>
              </w:rPr>
              <w:t>罩壳外1m</w:t>
            </w:r>
          </w:p>
        </w:tc>
        <w:tc>
          <w:tcPr>
            <w:tcW w:w="720" w:type="pct"/>
            <w:noWrap w:val="0"/>
            <w:vAlign w:val="center"/>
          </w:tcPr>
          <w:p w14:paraId="0C1E8383">
            <w:pPr>
              <w:spacing w:line="240" w:lineRule="auto"/>
              <w:ind w:firstLine="0" w:firstLineChars="0"/>
              <w:jc w:val="center"/>
              <w:rPr>
                <w:rFonts w:hint="eastAsia"/>
                <w:sz w:val="21"/>
                <w:szCs w:val="21"/>
                <w:highlight w:val="none"/>
              </w:rPr>
            </w:pPr>
            <w:r>
              <w:rPr>
                <w:rFonts w:hint="eastAsia"/>
                <w:sz w:val="21"/>
                <w:szCs w:val="21"/>
                <w:highlight w:val="none"/>
              </w:rPr>
              <w:t>隔声罩壳、管道外壳阻尼</w:t>
            </w:r>
          </w:p>
        </w:tc>
        <w:tc>
          <w:tcPr>
            <w:tcW w:w="358" w:type="pct"/>
            <w:noWrap w:val="0"/>
            <w:vAlign w:val="center"/>
          </w:tcPr>
          <w:p w14:paraId="1D24D5EB">
            <w:pPr>
              <w:spacing w:line="240" w:lineRule="auto"/>
              <w:ind w:firstLine="0" w:firstLineChars="0"/>
              <w:jc w:val="center"/>
              <w:rPr>
                <w:rFonts w:hint="default" w:eastAsia="等线"/>
                <w:sz w:val="21"/>
                <w:szCs w:val="21"/>
                <w:highlight w:val="none"/>
                <w:lang w:val="en-US" w:eastAsia="zh-CN"/>
              </w:rPr>
            </w:pPr>
            <w:r>
              <w:rPr>
                <w:rFonts w:hint="eastAsia" w:eastAsia="等线"/>
                <w:sz w:val="21"/>
                <w:szCs w:val="21"/>
                <w:highlight w:val="none"/>
                <w:lang w:val="en-US" w:eastAsia="zh-CN"/>
              </w:rPr>
              <w:t>13.35</w:t>
            </w:r>
          </w:p>
        </w:tc>
        <w:tc>
          <w:tcPr>
            <w:tcW w:w="357" w:type="pct"/>
            <w:noWrap w:val="0"/>
            <w:vAlign w:val="center"/>
          </w:tcPr>
          <w:p w14:paraId="4ABBE782">
            <w:pPr>
              <w:spacing w:line="240" w:lineRule="auto"/>
              <w:ind w:firstLine="0" w:firstLineChars="0"/>
              <w:jc w:val="center"/>
              <w:rPr>
                <w:rFonts w:hint="default" w:eastAsia="等线"/>
                <w:sz w:val="21"/>
                <w:szCs w:val="21"/>
                <w:highlight w:val="none"/>
                <w:lang w:val="en-US" w:eastAsia="zh-CN"/>
              </w:rPr>
            </w:pPr>
            <w:r>
              <w:rPr>
                <w:rFonts w:hint="eastAsia" w:eastAsia="等线"/>
                <w:sz w:val="21"/>
                <w:szCs w:val="21"/>
                <w:highlight w:val="none"/>
                <w:lang w:val="en-US" w:eastAsia="zh-CN"/>
              </w:rPr>
              <w:t>-27.81</w:t>
            </w:r>
          </w:p>
        </w:tc>
        <w:tc>
          <w:tcPr>
            <w:tcW w:w="245" w:type="pct"/>
            <w:noWrap w:val="0"/>
            <w:vAlign w:val="center"/>
          </w:tcPr>
          <w:p w14:paraId="1003CED6">
            <w:pPr>
              <w:spacing w:line="240" w:lineRule="auto"/>
              <w:ind w:firstLine="0" w:firstLineChars="0"/>
              <w:jc w:val="center"/>
              <w:rPr>
                <w:rFonts w:hint="eastAsia" w:eastAsia="等线"/>
                <w:sz w:val="21"/>
                <w:szCs w:val="21"/>
                <w:highlight w:val="none"/>
              </w:rPr>
            </w:pPr>
            <w:r>
              <w:rPr>
                <w:rFonts w:hint="eastAsia" w:eastAsia="等线"/>
                <w:sz w:val="21"/>
                <w:szCs w:val="21"/>
                <w:highlight w:val="none"/>
              </w:rPr>
              <w:t>1</w:t>
            </w:r>
          </w:p>
        </w:tc>
        <w:tc>
          <w:tcPr>
            <w:tcW w:w="304" w:type="pct"/>
            <w:vMerge w:val="continue"/>
            <w:noWrap w:val="0"/>
            <w:vAlign w:val="center"/>
          </w:tcPr>
          <w:p w14:paraId="012538F5">
            <w:pPr>
              <w:spacing w:line="240" w:lineRule="auto"/>
              <w:ind w:firstLine="0" w:firstLineChars="0"/>
              <w:jc w:val="center"/>
              <w:rPr>
                <w:rFonts w:eastAsia="等线"/>
                <w:sz w:val="21"/>
                <w:szCs w:val="21"/>
                <w:highlight w:val="none"/>
              </w:rPr>
            </w:pPr>
          </w:p>
        </w:tc>
        <w:tc>
          <w:tcPr>
            <w:tcW w:w="342" w:type="pct"/>
            <w:noWrap w:val="0"/>
            <w:vAlign w:val="center"/>
          </w:tcPr>
          <w:p w14:paraId="18E24CC7">
            <w:pPr>
              <w:spacing w:line="240" w:lineRule="auto"/>
              <w:ind w:firstLine="0" w:firstLineChars="0"/>
              <w:jc w:val="center"/>
              <w:rPr>
                <w:rFonts w:hint="eastAsia" w:eastAsia="等线"/>
                <w:sz w:val="21"/>
                <w:szCs w:val="21"/>
                <w:highlight w:val="none"/>
                <w:lang w:val="en-US" w:eastAsia="zh-CN"/>
              </w:rPr>
            </w:pPr>
            <w:r>
              <w:rPr>
                <w:rFonts w:hint="eastAsia" w:eastAsia="等线"/>
                <w:sz w:val="21"/>
                <w:szCs w:val="21"/>
                <w:highlight w:val="none"/>
              </w:rPr>
              <w:t>2</w:t>
            </w:r>
            <w:r>
              <w:rPr>
                <w:rFonts w:hint="eastAsia" w:eastAsia="等线"/>
                <w:sz w:val="21"/>
                <w:szCs w:val="21"/>
                <w:highlight w:val="none"/>
                <w:lang w:val="en-US" w:eastAsia="zh-CN"/>
              </w:rPr>
              <w:t>5</w:t>
            </w:r>
          </w:p>
        </w:tc>
        <w:tc>
          <w:tcPr>
            <w:tcW w:w="359" w:type="pct"/>
            <w:noWrap w:val="0"/>
            <w:vAlign w:val="center"/>
          </w:tcPr>
          <w:p w14:paraId="0E9E416F">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65</w:t>
            </w:r>
          </w:p>
        </w:tc>
        <w:tc>
          <w:tcPr>
            <w:tcW w:w="351" w:type="pct"/>
            <w:noWrap w:val="0"/>
            <w:vAlign w:val="center"/>
          </w:tcPr>
          <w:p w14:paraId="08CA7180">
            <w:pPr>
              <w:spacing w:line="240" w:lineRule="auto"/>
              <w:ind w:firstLine="0" w:firstLineChars="0"/>
              <w:jc w:val="center"/>
              <w:rPr>
                <w:sz w:val="21"/>
                <w:szCs w:val="21"/>
                <w:highlight w:val="none"/>
              </w:rPr>
            </w:pPr>
            <w:r>
              <w:rPr>
                <w:rFonts w:hint="eastAsia"/>
                <w:sz w:val="21"/>
                <w:szCs w:val="21"/>
                <w:highlight w:val="none"/>
              </w:rPr>
              <w:t>1</w:t>
            </w:r>
          </w:p>
        </w:tc>
      </w:tr>
      <w:tr w14:paraId="1DF479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9" w:type="pct"/>
            <w:vMerge w:val="continue"/>
            <w:noWrap w:val="0"/>
            <w:vAlign w:val="center"/>
          </w:tcPr>
          <w:p w14:paraId="3FD0E903">
            <w:pPr>
              <w:spacing w:line="240" w:lineRule="auto"/>
              <w:ind w:firstLine="0" w:firstLineChars="0"/>
              <w:jc w:val="center"/>
              <w:rPr>
                <w:sz w:val="21"/>
                <w:szCs w:val="21"/>
                <w:highlight w:val="none"/>
              </w:rPr>
            </w:pPr>
          </w:p>
        </w:tc>
        <w:tc>
          <w:tcPr>
            <w:tcW w:w="283" w:type="pct"/>
            <w:vMerge w:val="continue"/>
            <w:noWrap w:val="0"/>
            <w:vAlign w:val="center"/>
          </w:tcPr>
          <w:p w14:paraId="57F4B2A8">
            <w:pPr>
              <w:spacing w:line="240" w:lineRule="auto"/>
              <w:ind w:firstLine="0" w:firstLineChars="0"/>
              <w:jc w:val="center"/>
              <w:rPr>
                <w:sz w:val="21"/>
                <w:szCs w:val="21"/>
                <w:highlight w:val="none"/>
              </w:rPr>
            </w:pPr>
          </w:p>
        </w:tc>
        <w:tc>
          <w:tcPr>
            <w:tcW w:w="479" w:type="pct"/>
            <w:noWrap w:val="0"/>
            <w:vAlign w:val="center"/>
          </w:tcPr>
          <w:p w14:paraId="52486459">
            <w:pPr>
              <w:spacing w:line="240" w:lineRule="auto"/>
              <w:ind w:firstLine="0" w:firstLineChars="0"/>
              <w:jc w:val="center"/>
              <w:rPr>
                <w:sz w:val="21"/>
                <w:szCs w:val="21"/>
                <w:highlight w:val="none"/>
              </w:rPr>
            </w:pPr>
            <w:r>
              <w:rPr>
                <w:rFonts w:hint="eastAsia"/>
                <w:sz w:val="21"/>
                <w:szCs w:val="21"/>
                <w:highlight w:val="none"/>
              </w:rPr>
              <w:t>给煤机</w:t>
            </w:r>
          </w:p>
        </w:tc>
        <w:tc>
          <w:tcPr>
            <w:tcW w:w="179" w:type="pct"/>
            <w:noWrap w:val="0"/>
            <w:vAlign w:val="center"/>
          </w:tcPr>
          <w:p w14:paraId="5BD625A9">
            <w:pPr>
              <w:spacing w:line="240" w:lineRule="auto"/>
              <w:ind w:firstLine="0" w:firstLineChars="0"/>
              <w:jc w:val="center"/>
              <w:rPr>
                <w:sz w:val="21"/>
                <w:szCs w:val="21"/>
                <w:highlight w:val="none"/>
              </w:rPr>
            </w:pPr>
            <w:r>
              <w:rPr>
                <w:rFonts w:hint="eastAsia"/>
                <w:sz w:val="21"/>
                <w:szCs w:val="21"/>
                <w:highlight w:val="none"/>
              </w:rPr>
              <w:t>1</w:t>
            </w:r>
          </w:p>
        </w:tc>
        <w:tc>
          <w:tcPr>
            <w:tcW w:w="347" w:type="pct"/>
            <w:noWrap w:val="0"/>
            <w:vAlign w:val="center"/>
          </w:tcPr>
          <w:p w14:paraId="422759C9">
            <w:pPr>
              <w:spacing w:line="240" w:lineRule="auto"/>
              <w:ind w:firstLine="0" w:firstLineChars="0"/>
              <w:jc w:val="center"/>
              <w:rPr>
                <w:sz w:val="21"/>
                <w:szCs w:val="21"/>
                <w:highlight w:val="none"/>
              </w:rPr>
            </w:pPr>
            <w:r>
              <w:rPr>
                <w:rFonts w:hint="eastAsia"/>
                <w:sz w:val="21"/>
                <w:szCs w:val="21"/>
                <w:highlight w:val="none"/>
              </w:rPr>
              <w:t>90</w:t>
            </w:r>
          </w:p>
        </w:tc>
        <w:tc>
          <w:tcPr>
            <w:tcW w:w="492" w:type="pct"/>
            <w:noWrap w:val="0"/>
            <w:vAlign w:val="center"/>
          </w:tcPr>
          <w:p w14:paraId="1CF1A441">
            <w:pPr>
              <w:spacing w:line="240" w:lineRule="auto"/>
              <w:ind w:firstLine="0" w:firstLineChars="0"/>
              <w:jc w:val="center"/>
              <w:rPr>
                <w:rFonts w:eastAsia="等线"/>
                <w:sz w:val="21"/>
                <w:szCs w:val="21"/>
                <w:highlight w:val="none"/>
              </w:rPr>
            </w:pPr>
            <w:r>
              <w:rPr>
                <w:sz w:val="21"/>
                <w:szCs w:val="21"/>
                <w:highlight w:val="none"/>
              </w:rPr>
              <w:t>设备外1m</w:t>
            </w:r>
          </w:p>
        </w:tc>
        <w:tc>
          <w:tcPr>
            <w:tcW w:w="720" w:type="pct"/>
            <w:noWrap w:val="0"/>
            <w:vAlign w:val="center"/>
          </w:tcPr>
          <w:p w14:paraId="1BC3CDA2">
            <w:pPr>
              <w:spacing w:line="240" w:lineRule="auto"/>
              <w:ind w:firstLine="0" w:firstLineChars="0"/>
              <w:jc w:val="center"/>
              <w:rPr>
                <w:sz w:val="21"/>
                <w:szCs w:val="21"/>
                <w:highlight w:val="none"/>
              </w:rPr>
            </w:pPr>
            <w:r>
              <w:rPr>
                <w:rFonts w:hint="eastAsia"/>
                <w:sz w:val="21"/>
                <w:szCs w:val="21"/>
                <w:highlight w:val="none"/>
              </w:rPr>
              <w:t>隔声罩壳、厂房隔声</w:t>
            </w:r>
          </w:p>
        </w:tc>
        <w:tc>
          <w:tcPr>
            <w:tcW w:w="358" w:type="pct"/>
            <w:noWrap w:val="0"/>
            <w:vAlign w:val="center"/>
          </w:tcPr>
          <w:p w14:paraId="5622D4DE">
            <w:pPr>
              <w:spacing w:line="240" w:lineRule="auto"/>
              <w:ind w:firstLine="0" w:firstLineChars="0"/>
              <w:jc w:val="center"/>
              <w:rPr>
                <w:rFonts w:hint="default" w:eastAsia="等线"/>
                <w:sz w:val="21"/>
                <w:szCs w:val="21"/>
                <w:highlight w:val="none"/>
                <w:lang w:val="en-US" w:eastAsia="zh-CN"/>
              </w:rPr>
            </w:pPr>
            <w:r>
              <w:rPr>
                <w:rFonts w:hint="eastAsia" w:eastAsia="等线"/>
                <w:sz w:val="21"/>
                <w:szCs w:val="21"/>
                <w:highlight w:val="none"/>
                <w:lang w:val="en-US" w:eastAsia="zh-CN"/>
              </w:rPr>
              <w:t>-6.01</w:t>
            </w:r>
          </w:p>
        </w:tc>
        <w:tc>
          <w:tcPr>
            <w:tcW w:w="357" w:type="pct"/>
            <w:noWrap w:val="0"/>
            <w:vAlign w:val="center"/>
          </w:tcPr>
          <w:p w14:paraId="1FA306F5">
            <w:pPr>
              <w:spacing w:line="240" w:lineRule="auto"/>
              <w:ind w:firstLine="0" w:firstLineChars="0"/>
              <w:jc w:val="center"/>
              <w:rPr>
                <w:rFonts w:hint="default" w:eastAsia="等线"/>
                <w:sz w:val="21"/>
                <w:szCs w:val="21"/>
                <w:highlight w:val="none"/>
                <w:lang w:val="en-US" w:eastAsia="zh-CN"/>
              </w:rPr>
            </w:pPr>
            <w:r>
              <w:rPr>
                <w:rFonts w:hint="eastAsia" w:eastAsia="等线"/>
                <w:sz w:val="21"/>
                <w:szCs w:val="21"/>
                <w:highlight w:val="none"/>
                <w:lang w:val="en-US" w:eastAsia="zh-CN"/>
              </w:rPr>
              <w:t>-31.13</w:t>
            </w:r>
          </w:p>
        </w:tc>
        <w:tc>
          <w:tcPr>
            <w:tcW w:w="245" w:type="pct"/>
            <w:noWrap w:val="0"/>
            <w:vAlign w:val="center"/>
          </w:tcPr>
          <w:p w14:paraId="16E00324">
            <w:pPr>
              <w:spacing w:line="240" w:lineRule="auto"/>
              <w:ind w:firstLine="0" w:firstLineChars="0"/>
              <w:jc w:val="center"/>
              <w:rPr>
                <w:rFonts w:eastAsia="等线"/>
                <w:sz w:val="21"/>
                <w:szCs w:val="21"/>
                <w:highlight w:val="none"/>
              </w:rPr>
            </w:pPr>
            <w:r>
              <w:rPr>
                <w:rFonts w:hint="eastAsia" w:eastAsia="等线"/>
                <w:sz w:val="21"/>
                <w:szCs w:val="21"/>
                <w:highlight w:val="none"/>
              </w:rPr>
              <w:t>1</w:t>
            </w:r>
          </w:p>
        </w:tc>
        <w:tc>
          <w:tcPr>
            <w:tcW w:w="304" w:type="pct"/>
            <w:vMerge w:val="continue"/>
            <w:noWrap w:val="0"/>
            <w:vAlign w:val="center"/>
          </w:tcPr>
          <w:p w14:paraId="75D038E7">
            <w:pPr>
              <w:spacing w:line="240" w:lineRule="auto"/>
              <w:ind w:firstLine="0" w:firstLineChars="0"/>
              <w:jc w:val="center"/>
              <w:rPr>
                <w:rFonts w:eastAsia="等线"/>
                <w:sz w:val="21"/>
                <w:szCs w:val="21"/>
                <w:highlight w:val="none"/>
              </w:rPr>
            </w:pPr>
          </w:p>
        </w:tc>
        <w:tc>
          <w:tcPr>
            <w:tcW w:w="342" w:type="pct"/>
            <w:noWrap w:val="0"/>
            <w:vAlign w:val="center"/>
          </w:tcPr>
          <w:p w14:paraId="1D6A96B9">
            <w:pPr>
              <w:spacing w:line="240" w:lineRule="auto"/>
              <w:ind w:firstLine="0" w:firstLineChars="0"/>
              <w:jc w:val="center"/>
              <w:rPr>
                <w:rFonts w:hint="eastAsia" w:eastAsia="等线"/>
                <w:sz w:val="21"/>
                <w:szCs w:val="21"/>
                <w:highlight w:val="none"/>
                <w:lang w:val="en-US" w:eastAsia="zh-CN"/>
              </w:rPr>
            </w:pPr>
            <w:r>
              <w:rPr>
                <w:rFonts w:hint="eastAsia" w:eastAsia="等线"/>
                <w:sz w:val="21"/>
                <w:szCs w:val="21"/>
                <w:highlight w:val="none"/>
              </w:rPr>
              <w:t>2</w:t>
            </w:r>
            <w:r>
              <w:rPr>
                <w:rFonts w:hint="eastAsia" w:eastAsia="等线"/>
                <w:sz w:val="21"/>
                <w:szCs w:val="21"/>
                <w:highlight w:val="none"/>
                <w:lang w:val="en-US" w:eastAsia="zh-CN"/>
              </w:rPr>
              <w:t>5</w:t>
            </w:r>
          </w:p>
        </w:tc>
        <w:tc>
          <w:tcPr>
            <w:tcW w:w="359" w:type="pct"/>
            <w:noWrap w:val="0"/>
            <w:vAlign w:val="center"/>
          </w:tcPr>
          <w:p w14:paraId="4A52D2B4">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65</w:t>
            </w:r>
          </w:p>
        </w:tc>
        <w:tc>
          <w:tcPr>
            <w:tcW w:w="351" w:type="pct"/>
            <w:noWrap w:val="0"/>
            <w:vAlign w:val="center"/>
          </w:tcPr>
          <w:p w14:paraId="50F1EDDC">
            <w:pPr>
              <w:spacing w:line="240" w:lineRule="auto"/>
              <w:ind w:firstLine="0" w:firstLineChars="0"/>
              <w:jc w:val="center"/>
              <w:rPr>
                <w:sz w:val="21"/>
                <w:szCs w:val="21"/>
                <w:highlight w:val="none"/>
              </w:rPr>
            </w:pPr>
            <w:r>
              <w:rPr>
                <w:rFonts w:hint="eastAsia"/>
                <w:sz w:val="21"/>
                <w:szCs w:val="21"/>
                <w:highlight w:val="none"/>
              </w:rPr>
              <w:t>1</w:t>
            </w:r>
          </w:p>
        </w:tc>
      </w:tr>
      <w:tr w14:paraId="4D3855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9" w:type="pct"/>
            <w:vMerge w:val="continue"/>
            <w:noWrap w:val="0"/>
            <w:vAlign w:val="center"/>
          </w:tcPr>
          <w:p w14:paraId="482EBEEC">
            <w:pPr>
              <w:spacing w:line="240" w:lineRule="auto"/>
              <w:ind w:firstLine="0" w:firstLineChars="0"/>
              <w:jc w:val="center"/>
              <w:rPr>
                <w:sz w:val="21"/>
                <w:szCs w:val="21"/>
                <w:highlight w:val="none"/>
              </w:rPr>
            </w:pPr>
          </w:p>
        </w:tc>
        <w:tc>
          <w:tcPr>
            <w:tcW w:w="283" w:type="pct"/>
            <w:vMerge w:val="restart"/>
            <w:noWrap w:val="0"/>
            <w:vAlign w:val="center"/>
          </w:tcPr>
          <w:p w14:paraId="42AB5A01">
            <w:pPr>
              <w:spacing w:line="240" w:lineRule="auto"/>
              <w:ind w:firstLine="0" w:firstLineChars="0"/>
              <w:jc w:val="center"/>
              <w:rPr>
                <w:sz w:val="21"/>
                <w:szCs w:val="21"/>
                <w:highlight w:val="none"/>
              </w:rPr>
            </w:pPr>
            <w:r>
              <w:rPr>
                <w:rFonts w:hint="eastAsia"/>
                <w:sz w:val="21"/>
                <w:szCs w:val="21"/>
                <w:highlight w:val="none"/>
              </w:rPr>
              <w:t>碎煤机室</w:t>
            </w:r>
          </w:p>
        </w:tc>
        <w:tc>
          <w:tcPr>
            <w:tcW w:w="479" w:type="pct"/>
            <w:noWrap w:val="0"/>
            <w:vAlign w:val="center"/>
          </w:tcPr>
          <w:p w14:paraId="5B10AF16">
            <w:pPr>
              <w:spacing w:line="240" w:lineRule="auto"/>
              <w:ind w:firstLine="0" w:firstLineChars="0"/>
              <w:jc w:val="center"/>
              <w:rPr>
                <w:sz w:val="21"/>
                <w:szCs w:val="21"/>
                <w:highlight w:val="none"/>
              </w:rPr>
            </w:pPr>
            <w:r>
              <w:rPr>
                <w:rFonts w:hint="eastAsia"/>
                <w:sz w:val="21"/>
                <w:szCs w:val="21"/>
                <w:highlight w:val="none"/>
              </w:rPr>
              <w:t>分级筛1#</w:t>
            </w:r>
          </w:p>
        </w:tc>
        <w:tc>
          <w:tcPr>
            <w:tcW w:w="179" w:type="pct"/>
            <w:noWrap w:val="0"/>
            <w:vAlign w:val="center"/>
          </w:tcPr>
          <w:p w14:paraId="5B0B46A3">
            <w:pPr>
              <w:spacing w:line="240" w:lineRule="auto"/>
              <w:ind w:firstLine="0" w:firstLineChars="0"/>
              <w:jc w:val="center"/>
              <w:rPr>
                <w:rFonts w:hint="eastAsia"/>
                <w:sz w:val="21"/>
                <w:szCs w:val="21"/>
                <w:highlight w:val="none"/>
              </w:rPr>
            </w:pPr>
            <w:r>
              <w:rPr>
                <w:rFonts w:hint="eastAsia"/>
                <w:sz w:val="21"/>
                <w:szCs w:val="21"/>
                <w:highlight w:val="none"/>
              </w:rPr>
              <w:t>1</w:t>
            </w:r>
          </w:p>
        </w:tc>
        <w:tc>
          <w:tcPr>
            <w:tcW w:w="347" w:type="pct"/>
            <w:noWrap w:val="0"/>
            <w:vAlign w:val="center"/>
          </w:tcPr>
          <w:p w14:paraId="47C1C96A">
            <w:pPr>
              <w:spacing w:line="240" w:lineRule="auto"/>
              <w:ind w:firstLine="0" w:firstLineChars="0"/>
              <w:jc w:val="center"/>
              <w:rPr>
                <w:rFonts w:eastAsia="等线"/>
                <w:sz w:val="21"/>
                <w:szCs w:val="21"/>
                <w:highlight w:val="none"/>
              </w:rPr>
            </w:pPr>
            <w:r>
              <w:rPr>
                <w:rFonts w:hint="eastAsia"/>
                <w:sz w:val="21"/>
                <w:szCs w:val="21"/>
                <w:highlight w:val="none"/>
              </w:rPr>
              <w:t>90</w:t>
            </w:r>
          </w:p>
        </w:tc>
        <w:tc>
          <w:tcPr>
            <w:tcW w:w="492" w:type="pct"/>
            <w:noWrap w:val="0"/>
            <w:vAlign w:val="center"/>
          </w:tcPr>
          <w:p w14:paraId="10641E0A">
            <w:pPr>
              <w:spacing w:line="240" w:lineRule="auto"/>
              <w:ind w:firstLine="0" w:firstLineChars="0"/>
              <w:jc w:val="center"/>
              <w:rPr>
                <w:sz w:val="21"/>
                <w:szCs w:val="21"/>
                <w:highlight w:val="none"/>
              </w:rPr>
            </w:pPr>
            <w:r>
              <w:rPr>
                <w:sz w:val="21"/>
                <w:szCs w:val="21"/>
                <w:highlight w:val="none"/>
              </w:rPr>
              <w:t>设备外1m</w:t>
            </w:r>
          </w:p>
        </w:tc>
        <w:tc>
          <w:tcPr>
            <w:tcW w:w="720" w:type="pct"/>
            <w:noWrap w:val="0"/>
            <w:vAlign w:val="center"/>
          </w:tcPr>
          <w:p w14:paraId="6C43A655">
            <w:pPr>
              <w:spacing w:line="240" w:lineRule="auto"/>
              <w:ind w:firstLine="0" w:firstLineChars="0"/>
              <w:jc w:val="center"/>
              <w:rPr>
                <w:sz w:val="21"/>
                <w:szCs w:val="21"/>
                <w:highlight w:val="none"/>
              </w:rPr>
            </w:pPr>
            <w:r>
              <w:rPr>
                <w:rFonts w:hint="eastAsia"/>
                <w:sz w:val="21"/>
                <w:szCs w:val="21"/>
                <w:highlight w:val="none"/>
              </w:rPr>
              <w:t>隔声罩壳、厂房隔声</w:t>
            </w:r>
          </w:p>
        </w:tc>
        <w:tc>
          <w:tcPr>
            <w:tcW w:w="358" w:type="pct"/>
            <w:noWrap w:val="0"/>
            <w:vAlign w:val="center"/>
          </w:tcPr>
          <w:p w14:paraId="175690FD">
            <w:pPr>
              <w:spacing w:line="240" w:lineRule="auto"/>
              <w:ind w:firstLine="0" w:firstLineChars="0"/>
              <w:jc w:val="center"/>
              <w:rPr>
                <w:rFonts w:eastAsia="等线"/>
                <w:sz w:val="21"/>
                <w:szCs w:val="21"/>
                <w:highlight w:val="none"/>
              </w:rPr>
            </w:pPr>
            <w:r>
              <w:rPr>
                <w:rFonts w:hint="eastAsia" w:eastAsia="等线"/>
                <w:sz w:val="21"/>
                <w:szCs w:val="21"/>
                <w:highlight w:val="none"/>
                <w:lang w:val="en-US" w:eastAsia="zh-CN"/>
              </w:rPr>
              <w:t>-22.05</w:t>
            </w:r>
          </w:p>
        </w:tc>
        <w:tc>
          <w:tcPr>
            <w:tcW w:w="357" w:type="pct"/>
            <w:noWrap w:val="0"/>
            <w:vAlign w:val="center"/>
          </w:tcPr>
          <w:p w14:paraId="038A950E">
            <w:pPr>
              <w:spacing w:line="240" w:lineRule="auto"/>
              <w:ind w:firstLine="0" w:firstLineChars="0"/>
              <w:jc w:val="center"/>
              <w:rPr>
                <w:rFonts w:eastAsia="等线"/>
                <w:sz w:val="21"/>
                <w:szCs w:val="21"/>
                <w:highlight w:val="none"/>
              </w:rPr>
            </w:pPr>
            <w:r>
              <w:rPr>
                <w:rFonts w:hint="eastAsia" w:eastAsia="等线"/>
                <w:sz w:val="21"/>
                <w:szCs w:val="21"/>
                <w:highlight w:val="none"/>
                <w:lang w:val="en-US" w:eastAsia="zh-CN"/>
              </w:rPr>
              <w:t>5.93</w:t>
            </w:r>
          </w:p>
        </w:tc>
        <w:tc>
          <w:tcPr>
            <w:tcW w:w="245" w:type="pct"/>
            <w:noWrap w:val="0"/>
            <w:vAlign w:val="center"/>
          </w:tcPr>
          <w:p w14:paraId="1DC433A0">
            <w:pPr>
              <w:spacing w:line="240" w:lineRule="auto"/>
              <w:ind w:firstLine="0" w:firstLineChars="0"/>
              <w:jc w:val="center"/>
              <w:rPr>
                <w:rFonts w:eastAsia="等线"/>
                <w:sz w:val="21"/>
                <w:szCs w:val="21"/>
                <w:highlight w:val="none"/>
              </w:rPr>
            </w:pPr>
            <w:r>
              <w:rPr>
                <w:rFonts w:hint="eastAsia" w:eastAsia="等线"/>
                <w:sz w:val="21"/>
                <w:szCs w:val="21"/>
                <w:highlight w:val="none"/>
              </w:rPr>
              <w:t>10</w:t>
            </w:r>
          </w:p>
        </w:tc>
        <w:tc>
          <w:tcPr>
            <w:tcW w:w="304" w:type="pct"/>
            <w:vMerge w:val="continue"/>
            <w:noWrap w:val="0"/>
            <w:vAlign w:val="center"/>
          </w:tcPr>
          <w:p w14:paraId="3973D06B">
            <w:pPr>
              <w:spacing w:line="240" w:lineRule="auto"/>
              <w:ind w:firstLine="0" w:firstLineChars="0"/>
              <w:jc w:val="center"/>
              <w:rPr>
                <w:rFonts w:eastAsia="等线"/>
                <w:sz w:val="21"/>
                <w:szCs w:val="21"/>
                <w:highlight w:val="none"/>
              </w:rPr>
            </w:pPr>
          </w:p>
        </w:tc>
        <w:tc>
          <w:tcPr>
            <w:tcW w:w="342" w:type="pct"/>
            <w:noWrap w:val="0"/>
            <w:vAlign w:val="center"/>
          </w:tcPr>
          <w:p w14:paraId="1D76DB0C">
            <w:pPr>
              <w:spacing w:line="240" w:lineRule="auto"/>
              <w:ind w:firstLine="0" w:firstLineChars="0"/>
              <w:jc w:val="center"/>
              <w:rPr>
                <w:rFonts w:hint="eastAsia" w:eastAsia="等线"/>
                <w:sz w:val="21"/>
                <w:szCs w:val="21"/>
                <w:highlight w:val="none"/>
                <w:lang w:val="en-US" w:eastAsia="zh-CN"/>
              </w:rPr>
            </w:pPr>
            <w:r>
              <w:rPr>
                <w:rFonts w:hint="eastAsia" w:eastAsia="等线"/>
                <w:sz w:val="21"/>
                <w:szCs w:val="21"/>
                <w:highlight w:val="none"/>
              </w:rPr>
              <w:t>2</w:t>
            </w:r>
            <w:r>
              <w:rPr>
                <w:rFonts w:hint="eastAsia" w:eastAsia="等线"/>
                <w:sz w:val="21"/>
                <w:szCs w:val="21"/>
                <w:highlight w:val="none"/>
                <w:lang w:val="en-US" w:eastAsia="zh-CN"/>
              </w:rPr>
              <w:t>5</w:t>
            </w:r>
          </w:p>
        </w:tc>
        <w:tc>
          <w:tcPr>
            <w:tcW w:w="359" w:type="pct"/>
            <w:noWrap w:val="0"/>
            <w:vAlign w:val="center"/>
          </w:tcPr>
          <w:p w14:paraId="3FFBAFE2">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65</w:t>
            </w:r>
          </w:p>
        </w:tc>
        <w:tc>
          <w:tcPr>
            <w:tcW w:w="351" w:type="pct"/>
            <w:noWrap w:val="0"/>
            <w:vAlign w:val="center"/>
          </w:tcPr>
          <w:p w14:paraId="376C537F">
            <w:pPr>
              <w:spacing w:line="240" w:lineRule="auto"/>
              <w:ind w:firstLine="0" w:firstLineChars="0"/>
              <w:jc w:val="center"/>
              <w:rPr>
                <w:sz w:val="21"/>
                <w:szCs w:val="21"/>
                <w:highlight w:val="none"/>
              </w:rPr>
            </w:pPr>
            <w:r>
              <w:rPr>
                <w:rFonts w:hint="eastAsia"/>
                <w:sz w:val="21"/>
                <w:szCs w:val="21"/>
                <w:highlight w:val="none"/>
              </w:rPr>
              <w:t>1</w:t>
            </w:r>
          </w:p>
        </w:tc>
      </w:tr>
      <w:tr w14:paraId="48EFBB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9" w:type="pct"/>
            <w:vMerge w:val="continue"/>
            <w:noWrap w:val="0"/>
            <w:vAlign w:val="center"/>
          </w:tcPr>
          <w:p w14:paraId="2A6A146C">
            <w:pPr>
              <w:spacing w:line="240" w:lineRule="auto"/>
              <w:ind w:firstLine="0" w:firstLineChars="0"/>
              <w:jc w:val="center"/>
              <w:rPr>
                <w:sz w:val="21"/>
                <w:szCs w:val="21"/>
                <w:highlight w:val="none"/>
              </w:rPr>
            </w:pPr>
          </w:p>
        </w:tc>
        <w:tc>
          <w:tcPr>
            <w:tcW w:w="283" w:type="pct"/>
            <w:vMerge w:val="continue"/>
            <w:noWrap w:val="0"/>
            <w:vAlign w:val="center"/>
          </w:tcPr>
          <w:p w14:paraId="5F7302F4">
            <w:pPr>
              <w:spacing w:line="240" w:lineRule="auto"/>
              <w:ind w:firstLine="0" w:firstLineChars="0"/>
              <w:jc w:val="center"/>
              <w:rPr>
                <w:sz w:val="21"/>
                <w:szCs w:val="21"/>
                <w:highlight w:val="none"/>
              </w:rPr>
            </w:pPr>
          </w:p>
        </w:tc>
        <w:tc>
          <w:tcPr>
            <w:tcW w:w="479" w:type="pct"/>
            <w:noWrap w:val="0"/>
            <w:vAlign w:val="center"/>
          </w:tcPr>
          <w:p w14:paraId="3AC34ABC">
            <w:pPr>
              <w:spacing w:line="240" w:lineRule="auto"/>
              <w:ind w:firstLine="0" w:firstLineChars="0"/>
              <w:jc w:val="center"/>
              <w:rPr>
                <w:sz w:val="21"/>
                <w:szCs w:val="21"/>
                <w:highlight w:val="none"/>
              </w:rPr>
            </w:pPr>
            <w:r>
              <w:rPr>
                <w:rFonts w:hint="eastAsia"/>
                <w:sz w:val="21"/>
                <w:szCs w:val="21"/>
                <w:highlight w:val="none"/>
              </w:rPr>
              <w:t>碎煤机1#</w:t>
            </w:r>
          </w:p>
        </w:tc>
        <w:tc>
          <w:tcPr>
            <w:tcW w:w="179" w:type="pct"/>
            <w:noWrap w:val="0"/>
            <w:vAlign w:val="center"/>
          </w:tcPr>
          <w:p w14:paraId="295482B6">
            <w:pPr>
              <w:spacing w:line="240" w:lineRule="auto"/>
              <w:ind w:firstLine="0" w:firstLineChars="0"/>
              <w:jc w:val="center"/>
              <w:rPr>
                <w:rFonts w:hint="eastAsia"/>
                <w:sz w:val="21"/>
                <w:szCs w:val="21"/>
                <w:highlight w:val="none"/>
              </w:rPr>
            </w:pPr>
            <w:r>
              <w:rPr>
                <w:rFonts w:hint="eastAsia"/>
                <w:sz w:val="21"/>
                <w:szCs w:val="21"/>
                <w:highlight w:val="none"/>
              </w:rPr>
              <w:t>1</w:t>
            </w:r>
          </w:p>
        </w:tc>
        <w:tc>
          <w:tcPr>
            <w:tcW w:w="347" w:type="pct"/>
            <w:noWrap w:val="0"/>
            <w:vAlign w:val="center"/>
          </w:tcPr>
          <w:p w14:paraId="1D22577F">
            <w:pPr>
              <w:spacing w:line="240" w:lineRule="auto"/>
              <w:ind w:firstLine="0" w:firstLineChars="0"/>
              <w:jc w:val="center"/>
              <w:rPr>
                <w:rFonts w:eastAsia="等线"/>
                <w:sz w:val="21"/>
                <w:szCs w:val="21"/>
                <w:highlight w:val="none"/>
              </w:rPr>
            </w:pPr>
            <w:r>
              <w:rPr>
                <w:rFonts w:hint="eastAsia"/>
                <w:sz w:val="21"/>
                <w:szCs w:val="21"/>
                <w:highlight w:val="none"/>
              </w:rPr>
              <w:t>90</w:t>
            </w:r>
          </w:p>
        </w:tc>
        <w:tc>
          <w:tcPr>
            <w:tcW w:w="492" w:type="pct"/>
            <w:noWrap w:val="0"/>
            <w:vAlign w:val="center"/>
          </w:tcPr>
          <w:p w14:paraId="5BFFC5CC">
            <w:pPr>
              <w:spacing w:line="240" w:lineRule="auto"/>
              <w:ind w:firstLine="0" w:firstLineChars="0"/>
              <w:jc w:val="center"/>
              <w:rPr>
                <w:sz w:val="21"/>
                <w:szCs w:val="21"/>
                <w:highlight w:val="none"/>
              </w:rPr>
            </w:pPr>
            <w:r>
              <w:rPr>
                <w:sz w:val="21"/>
                <w:szCs w:val="21"/>
                <w:highlight w:val="none"/>
              </w:rPr>
              <w:t>设备外1m</w:t>
            </w:r>
          </w:p>
        </w:tc>
        <w:tc>
          <w:tcPr>
            <w:tcW w:w="720" w:type="pct"/>
            <w:noWrap w:val="0"/>
            <w:vAlign w:val="center"/>
          </w:tcPr>
          <w:p w14:paraId="569C4E03">
            <w:pPr>
              <w:spacing w:line="240" w:lineRule="auto"/>
              <w:ind w:firstLine="0" w:firstLineChars="0"/>
              <w:jc w:val="center"/>
              <w:rPr>
                <w:sz w:val="21"/>
                <w:szCs w:val="21"/>
                <w:highlight w:val="none"/>
              </w:rPr>
            </w:pPr>
            <w:r>
              <w:rPr>
                <w:rFonts w:hint="eastAsia"/>
                <w:sz w:val="21"/>
                <w:szCs w:val="21"/>
                <w:highlight w:val="none"/>
              </w:rPr>
              <w:t>隔声罩壳、厂房隔声</w:t>
            </w:r>
          </w:p>
        </w:tc>
        <w:tc>
          <w:tcPr>
            <w:tcW w:w="358" w:type="pct"/>
            <w:noWrap w:val="0"/>
            <w:vAlign w:val="center"/>
          </w:tcPr>
          <w:p w14:paraId="38289EB6">
            <w:pPr>
              <w:spacing w:line="240" w:lineRule="auto"/>
              <w:ind w:firstLine="0" w:firstLineChars="0"/>
              <w:jc w:val="center"/>
              <w:rPr>
                <w:rFonts w:hint="default" w:eastAsia="等线"/>
                <w:sz w:val="21"/>
                <w:szCs w:val="21"/>
                <w:highlight w:val="none"/>
                <w:lang w:val="en-US" w:eastAsia="zh-CN"/>
              </w:rPr>
            </w:pPr>
            <w:r>
              <w:rPr>
                <w:rFonts w:hint="eastAsia" w:eastAsia="等线"/>
                <w:sz w:val="21"/>
                <w:szCs w:val="21"/>
                <w:highlight w:val="none"/>
                <w:lang w:val="en-US" w:eastAsia="zh-CN"/>
              </w:rPr>
              <w:t>-21.49</w:t>
            </w:r>
          </w:p>
        </w:tc>
        <w:tc>
          <w:tcPr>
            <w:tcW w:w="357" w:type="pct"/>
            <w:noWrap w:val="0"/>
            <w:vAlign w:val="center"/>
          </w:tcPr>
          <w:p w14:paraId="2B05DFF5">
            <w:pPr>
              <w:spacing w:line="240" w:lineRule="auto"/>
              <w:ind w:firstLine="0" w:firstLineChars="0"/>
              <w:jc w:val="center"/>
              <w:rPr>
                <w:rFonts w:hint="default" w:eastAsia="等线"/>
                <w:sz w:val="21"/>
                <w:szCs w:val="21"/>
                <w:highlight w:val="none"/>
                <w:lang w:val="en-US" w:eastAsia="zh-CN"/>
              </w:rPr>
            </w:pPr>
            <w:r>
              <w:rPr>
                <w:rFonts w:hint="eastAsia" w:eastAsia="等线"/>
                <w:sz w:val="21"/>
                <w:szCs w:val="21"/>
                <w:highlight w:val="none"/>
                <w:lang w:val="en-US" w:eastAsia="zh-CN"/>
              </w:rPr>
              <w:t>2.61</w:t>
            </w:r>
          </w:p>
        </w:tc>
        <w:tc>
          <w:tcPr>
            <w:tcW w:w="245" w:type="pct"/>
            <w:noWrap w:val="0"/>
            <w:vAlign w:val="center"/>
          </w:tcPr>
          <w:p w14:paraId="04D33929">
            <w:pPr>
              <w:spacing w:line="240" w:lineRule="auto"/>
              <w:ind w:firstLine="0" w:firstLineChars="0"/>
              <w:jc w:val="center"/>
              <w:rPr>
                <w:rFonts w:eastAsia="等线"/>
                <w:sz w:val="21"/>
                <w:szCs w:val="21"/>
                <w:highlight w:val="none"/>
              </w:rPr>
            </w:pPr>
            <w:r>
              <w:rPr>
                <w:rFonts w:hint="eastAsia" w:eastAsia="等线"/>
                <w:sz w:val="21"/>
                <w:szCs w:val="21"/>
                <w:highlight w:val="none"/>
              </w:rPr>
              <w:t>10</w:t>
            </w:r>
          </w:p>
        </w:tc>
        <w:tc>
          <w:tcPr>
            <w:tcW w:w="304" w:type="pct"/>
            <w:vMerge w:val="continue"/>
            <w:noWrap w:val="0"/>
            <w:vAlign w:val="center"/>
          </w:tcPr>
          <w:p w14:paraId="241831C7">
            <w:pPr>
              <w:spacing w:line="240" w:lineRule="auto"/>
              <w:ind w:firstLine="0" w:firstLineChars="0"/>
              <w:jc w:val="center"/>
              <w:rPr>
                <w:rFonts w:eastAsia="等线"/>
                <w:sz w:val="21"/>
                <w:szCs w:val="21"/>
                <w:highlight w:val="none"/>
              </w:rPr>
            </w:pPr>
          </w:p>
        </w:tc>
        <w:tc>
          <w:tcPr>
            <w:tcW w:w="342" w:type="pct"/>
            <w:noWrap w:val="0"/>
            <w:vAlign w:val="center"/>
          </w:tcPr>
          <w:p w14:paraId="594ED004">
            <w:pPr>
              <w:spacing w:line="240" w:lineRule="auto"/>
              <w:ind w:firstLine="0" w:firstLineChars="0"/>
              <w:jc w:val="center"/>
              <w:rPr>
                <w:rFonts w:hint="eastAsia" w:eastAsia="等线"/>
                <w:sz w:val="21"/>
                <w:szCs w:val="21"/>
                <w:highlight w:val="none"/>
                <w:lang w:val="en-US" w:eastAsia="zh-CN"/>
              </w:rPr>
            </w:pPr>
            <w:r>
              <w:rPr>
                <w:rFonts w:hint="eastAsia" w:eastAsia="等线"/>
                <w:sz w:val="21"/>
                <w:szCs w:val="21"/>
                <w:highlight w:val="none"/>
              </w:rPr>
              <w:t>2</w:t>
            </w:r>
            <w:r>
              <w:rPr>
                <w:rFonts w:hint="eastAsia" w:eastAsia="等线"/>
                <w:sz w:val="21"/>
                <w:szCs w:val="21"/>
                <w:highlight w:val="none"/>
                <w:lang w:val="en-US" w:eastAsia="zh-CN"/>
              </w:rPr>
              <w:t>5</w:t>
            </w:r>
          </w:p>
        </w:tc>
        <w:tc>
          <w:tcPr>
            <w:tcW w:w="359" w:type="pct"/>
            <w:noWrap w:val="0"/>
            <w:vAlign w:val="center"/>
          </w:tcPr>
          <w:p w14:paraId="77D86D7F">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65</w:t>
            </w:r>
          </w:p>
        </w:tc>
        <w:tc>
          <w:tcPr>
            <w:tcW w:w="351" w:type="pct"/>
            <w:noWrap w:val="0"/>
            <w:vAlign w:val="center"/>
          </w:tcPr>
          <w:p w14:paraId="1B1F1E33">
            <w:pPr>
              <w:spacing w:line="240" w:lineRule="auto"/>
              <w:ind w:firstLine="0" w:firstLineChars="0"/>
              <w:jc w:val="center"/>
              <w:rPr>
                <w:sz w:val="21"/>
                <w:szCs w:val="21"/>
                <w:highlight w:val="none"/>
              </w:rPr>
            </w:pPr>
            <w:r>
              <w:rPr>
                <w:rFonts w:hint="eastAsia"/>
                <w:sz w:val="21"/>
                <w:szCs w:val="21"/>
                <w:highlight w:val="none"/>
              </w:rPr>
              <w:t>1</w:t>
            </w:r>
          </w:p>
        </w:tc>
      </w:tr>
      <w:tr w14:paraId="10DACD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9" w:type="pct"/>
            <w:vMerge w:val="continue"/>
            <w:noWrap w:val="0"/>
            <w:vAlign w:val="center"/>
          </w:tcPr>
          <w:p w14:paraId="32F89CCB">
            <w:pPr>
              <w:spacing w:line="240" w:lineRule="auto"/>
              <w:ind w:firstLine="0" w:firstLineChars="0"/>
              <w:jc w:val="center"/>
              <w:rPr>
                <w:sz w:val="21"/>
                <w:szCs w:val="21"/>
                <w:highlight w:val="none"/>
              </w:rPr>
            </w:pPr>
          </w:p>
        </w:tc>
        <w:tc>
          <w:tcPr>
            <w:tcW w:w="283" w:type="pct"/>
            <w:vMerge w:val="restart"/>
            <w:noWrap w:val="0"/>
            <w:vAlign w:val="center"/>
          </w:tcPr>
          <w:p w14:paraId="60D1479F">
            <w:pPr>
              <w:spacing w:line="240" w:lineRule="auto"/>
              <w:ind w:firstLine="0" w:firstLineChars="0"/>
              <w:jc w:val="center"/>
              <w:rPr>
                <w:sz w:val="21"/>
                <w:szCs w:val="21"/>
                <w:highlight w:val="none"/>
              </w:rPr>
            </w:pPr>
            <w:r>
              <w:rPr>
                <w:rFonts w:hint="eastAsia"/>
                <w:sz w:val="21"/>
                <w:szCs w:val="21"/>
                <w:highlight w:val="none"/>
              </w:rPr>
              <w:t>水处理间</w:t>
            </w:r>
          </w:p>
        </w:tc>
        <w:tc>
          <w:tcPr>
            <w:tcW w:w="479" w:type="pct"/>
            <w:noWrap w:val="0"/>
            <w:vAlign w:val="center"/>
          </w:tcPr>
          <w:p w14:paraId="386585C0">
            <w:pPr>
              <w:spacing w:line="240" w:lineRule="auto"/>
              <w:ind w:firstLine="0" w:firstLineChars="0"/>
              <w:jc w:val="center"/>
              <w:rPr>
                <w:sz w:val="21"/>
                <w:szCs w:val="21"/>
                <w:highlight w:val="none"/>
              </w:rPr>
            </w:pPr>
            <w:r>
              <w:rPr>
                <w:rFonts w:hint="eastAsia"/>
                <w:sz w:val="21"/>
                <w:szCs w:val="21"/>
                <w:highlight w:val="none"/>
              </w:rPr>
              <w:t>水泵1#</w:t>
            </w:r>
          </w:p>
        </w:tc>
        <w:tc>
          <w:tcPr>
            <w:tcW w:w="179" w:type="pct"/>
            <w:noWrap w:val="0"/>
            <w:vAlign w:val="center"/>
          </w:tcPr>
          <w:p w14:paraId="5095D2A5">
            <w:pPr>
              <w:spacing w:line="240" w:lineRule="auto"/>
              <w:ind w:firstLine="0" w:firstLineChars="0"/>
              <w:jc w:val="center"/>
              <w:rPr>
                <w:sz w:val="21"/>
                <w:szCs w:val="21"/>
                <w:highlight w:val="none"/>
              </w:rPr>
            </w:pPr>
            <w:r>
              <w:rPr>
                <w:rFonts w:hint="eastAsia"/>
                <w:sz w:val="21"/>
                <w:szCs w:val="21"/>
                <w:highlight w:val="none"/>
              </w:rPr>
              <w:t>1</w:t>
            </w:r>
          </w:p>
        </w:tc>
        <w:tc>
          <w:tcPr>
            <w:tcW w:w="347" w:type="pct"/>
            <w:noWrap w:val="0"/>
            <w:vAlign w:val="center"/>
          </w:tcPr>
          <w:p w14:paraId="12D00737">
            <w:pPr>
              <w:spacing w:line="240" w:lineRule="auto"/>
              <w:ind w:firstLine="0" w:firstLineChars="0"/>
              <w:jc w:val="center"/>
              <w:rPr>
                <w:rFonts w:eastAsia="等线"/>
                <w:sz w:val="21"/>
                <w:szCs w:val="21"/>
                <w:highlight w:val="none"/>
              </w:rPr>
            </w:pPr>
            <w:r>
              <w:rPr>
                <w:rFonts w:eastAsia="等线"/>
                <w:sz w:val="21"/>
                <w:szCs w:val="21"/>
                <w:highlight w:val="none"/>
              </w:rPr>
              <w:t>9</w:t>
            </w:r>
            <w:r>
              <w:rPr>
                <w:rFonts w:hint="eastAsia" w:eastAsia="等线"/>
                <w:sz w:val="21"/>
                <w:szCs w:val="21"/>
                <w:highlight w:val="none"/>
              </w:rPr>
              <w:t>0</w:t>
            </w:r>
          </w:p>
        </w:tc>
        <w:tc>
          <w:tcPr>
            <w:tcW w:w="492" w:type="pct"/>
            <w:noWrap w:val="0"/>
            <w:vAlign w:val="center"/>
          </w:tcPr>
          <w:p w14:paraId="01C7D9EE">
            <w:pPr>
              <w:spacing w:line="240" w:lineRule="auto"/>
              <w:ind w:firstLine="0" w:firstLineChars="0"/>
              <w:jc w:val="center"/>
              <w:rPr>
                <w:sz w:val="21"/>
                <w:szCs w:val="21"/>
                <w:highlight w:val="none"/>
              </w:rPr>
            </w:pPr>
            <w:r>
              <w:rPr>
                <w:sz w:val="21"/>
                <w:szCs w:val="21"/>
                <w:highlight w:val="none"/>
              </w:rPr>
              <w:t>设备外1m</w:t>
            </w:r>
          </w:p>
        </w:tc>
        <w:tc>
          <w:tcPr>
            <w:tcW w:w="720" w:type="pct"/>
            <w:noWrap w:val="0"/>
            <w:vAlign w:val="center"/>
          </w:tcPr>
          <w:p w14:paraId="208D527F">
            <w:pPr>
              <w:spacing w:line="240" w:lineRule="auto"/>
              <w:ind w:firstLine="0" w:firstLineChars="0"/>
              <w:jc w:val="center"/>
              <w:rPr>
                <w:sz w:val="21"/>
                <w:szCs w:val="21"/>
                <w:highlight w:val="none"/>
              </w:rPr>
            </w:pPr>
            <w:r>
              <w:rPr>
                <w:rFonts w:hint="eastAsia"/>
                <w:sz w:val="21"/>
                <w:szCs w:val="21"/>
                <w:highlight w:val="none"/>
              </w:rPr>
              <w:t>隔声罩壳、厂房隔声</w:t>
            </w:r>
          </w:p>
        </w:tc>
        <w:tc>
          <w:tcPr>
            <w:tcW w:w="358" w:type="pct"/>
            <w:noWrap w:val="0"/>
            <w:vAlign w:val="center"/>
          </w:tcPr>
          <w:p w14:paraId="7280D5D0">
            <w:pPr>
              <w:spacing w:line="240" w:lineRule="auto"/>
              <w:ind w:firstLine="0" w:firstLineChars="0"/>
              <w:jc w:val="center"/>
              <w:rPr>
                <w:rFonts w:hint="default" w:eastAsia="等线"/>
                <w:sz w:val="21"/>
                <w:szCs w:val="21"/>
                <w:highlight w:val="none"/>
                <w:lang w:val="en-US" w:eastAsia="zh-CN"/>
              </w:rPr>
            </w:pPr>
            <w:r>
              <w:rPr>
                <w:rFonts w:hint="eastAsia" w:eastAsia="等线"/>
                <w:sz w:val="21"/>
                <w:szCs w:val="21"/>
                <w:highlight w:val="none"/>
                <w:lang w:val="en-US" w:eastAsia="zh-CN"/>
              </w:rPr>
              <w:t>-15.61</w:t>
            </w:r>
          </w:p>
        </w:tc>
        <w:tc>
          <w:tcPr>
            <w:tcW w:w="357" w:type="pct"/>
            <w:noWrap w:val="0"/>
            <w:vAlign w:val="center"/>
          </w:tcPr>
          <w:p w14:paraId="25EEF22E">
            <w:pPr>
              <w:spacing w:line="240" w:lineRule="auto"/>
              <w:ind w:firstLine="0" w:firstLineChars="0"/>
              <w:jc w:val="center"/>
              <w:rPr>
                <w:rFonts w:hint="default" w:eastAsia="等线"/>
                <w:sz w:val="21"/>
                <w:szCs w:val="21"/>
                <w:highlight w:val="none"/>
                <w:lang w:val="en-US" w:eastAsia="zh-CN"/>
              </w:rPr>
            </w:pPr>
            <w:r>
              <w:rPr>
                <w:rFonts w:hint="eastAsia" w:eastAsia="等线"/>
                <w:sz w:val="21"/>
                <w:szCs w:val="21"/>
                <w:highlight w:val="none"/>
                <w:lang w:val="en-US" w:eastAsia="zh-CN"/>
              </w:rPr>
              <w:t>-28.5</w:t>
            </w:r>
          </w:p>
        </w:tc>
        <w:tc>
          <w:tcPr>
            <w:tcW w:w="245" w:type="pct"/>
            <w:noWrap w:val="0"/>
            <w:vAlign w:val="center"/>
          </w:tcPr>
          <w:p w14:paraId="7DEC1A57">
            <w:pPr>
              <w:spacing w:line="240" w:lineRule="auto"/>
              <w:ind w:firstLine="0" w:firstLineChars="0"/>
              <w:jc w:val="center"/>
              <w:rPr>
                <w:rFonts w:eastAsia="等线"/>
                <w:sz w:val="21"/>
                <w:szCs w:val="21"/>
                <w:highlight w:val="none"/>
              </w:rPr>
            </w:pPr>
            <w:r>
              <w:rPr>
                <w:rFonts w:hint="eastAsia" w:eastAsia="等线"/>
                <w:sz w:val="21"/>
                <w:szCs w:val="21"/>
                <w:highlight w:val="none"/>
              </w:rPr>
              <w:t>1</w:t>
            </w:r>
          </w:p>
        </w:tc>
        <w:tc>
          <w:tcPr>
            <w:tcW w:w="304" w:type="pct"/>
            <w:vMerge w:val="continue"/>
            <w:noWrap w:val="0"/>
            <w:vAlign w:val="center"/>
          </w:tcPr>
          <w:p w14:paraId="3DDDFE65">
            <w:pPr>
              <w:spacing w:line="240" w:lineRule="auto"/>
              <w:ind w:firstLine="0" w:firstLineChars="0"/>
              <w:jc w:val="center"/>
              <w:rPr>
                <w:rFonts w:eastAsia="等线"/>
                <w:sz w:val="21"/>
                <w:szCs w:val="21"/>
                <w:highlight w:val="none"/>
              </w:rPr>
            </w:pPr>
          </w:p>
        </w:tc>
        <w:tc>
          <w:tcPr>
            <w:tcW w:w="342" w:type="pct"/>
            <w:noWrap w:val="0"/>
            <w:vAlign w:val="center"/>
          </w:tcPr>
          <w:p w14:paraId="63C3D614">
            <w:pPr>
              <w:spacing w:line="240" w:lineRule="auto"/>
              <w:ind w:firstLine="0" w:firstLineChars="0"/>
              <w:jc w:val="center"/>
              <w:rPr>
                <w:rFonts w:hint="eastAsia" w:eastAsia="等线"/>
                <w:sz w:val="21"/>
                <w:szCs w:val="21"/>
                <w:highlight w:val="none"/>
                <w:lang w:val="en-US" w:eastAsia="zh-CN"/>
              </w:rPr>
            </w:pPr>
            <w:r>
              <w:rPr>
                <w:rFonts w:hint="eastAsia" w:eastAsia="等线"/>
                <w:sz w:val="21"/>
                <w:szCs w:val="21"/>
                <w:highlight w:val="none"/>
              </w:rPr>
              <w:t>2</w:t>
            </w:r>
            <w:r>
              <w:rPr>
                <w:rFonts w:hint="eastAsia" w:eastAsia="等线"/>
                <w:sz w:val="21"/>
                <w:szCs w:val="21"/>
                <w:highlight w:val="none"/>
                <w:lang w:val="en-US" w:eastAsia="zh-CN"/>
              </w:rPr>
              <w:t>5</w:t>
            </w:r>
          </w:p>
        </w:tc>
        <w:tc>
          <w:tcPr>
            <w:tcW w:w="359" w:type="pct"/>
            <w:noWrap w:val="0"/>
            <w:vAlign w:val="center"/>
          </w:tcPr>
          <w:p w14:paraId="06D84676">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65</w:t>
            </w:r>
          </w:p>
        </w:tc>
        <w:tc>
          <w:tcPr>
            <w:tcW w:w="351" w:type="pct"/>
            <w:noWrap w:val="0"/>
            <w:vAlign w:val="center"/>
          </w:tcPr>
          <w:p w14:paraId="006F3A81">
            <w:pPr>
              <w:spacing w:line="240" w:lineRule="auto"/>
              <w:ind w:firstLine="0" w:firstLineChars="0"/>
              <w:jc w:val="center"/>
              <w:rPr>
                <w:sz w:val="21"/>
                <w:szCs w:val="21"/>
                <w:highlight w:val="none"/>
              </w:rPr>
            </w:pPr>
            <w:r>
              <w:rPr>
                <w:rFonts w:hint="eastAsia"/>
                <w:sz w:val="21"/>
                <w:szCs w:val="21"/>
                <w:highlight w:val="none"/>
              </w:rPr>
              <w:t>1</w:t>
            </w:r>
          </w:p>
        </w:tc>
      </w:tr>
      <w:tr w14:paraId="634F59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9" w:type="pct"/>
            <w:vMerge w:val="continue"/>
            <w:noWrap w:val="0"/>
            <w:vAlign w:val="center"/>
          </w:tcPr>
          <w:p w14:paraId="353A7517">
            <w:pPr>
              <w:spacing w:line="240" w:lineRule="auto"/>
              <w:ind w:firstLine="0" w:firstLineChars="0"/>
              <w:jc w:val="center"/>
              <w:rPr>
                <w:sz w:val="21"/>
                <w:szCs w:val="21"/>
                <w:highlight w:val="none"/>
              </w:rPr>
            </w:pPr>
          </w:p>
        </w:tc>
        <w:tc>
          <w:tcPr>
            <w:tcW w:w="283" w:type="pct"/>
            <w:vMerge w:val="continue"/>
            <w:noWrap w:val="0"/>
            <w:vAlign w:val="center"/>
          </w:tcPr>
          <w:p w14:paraId="7B8F5147">
            <w:pPr>
              <w:spacing w:line="240" w:lineRule="auto"/>
              <w:ind w:firstLine="0" w:firstLineChars="0"/>
              <w:jc w:val="center"/>
              <w:rPr>
                <w:sz w:val="21"/>
                <w:szCs w:val="21"/>
                <w:highlight w:val="none"/>
              </w:rPr>
            </w:pPr>
          </w:p>
        </w:tc>
        <w:tc>
          <w:tcPr>
            <w:tcW w:w="479" w:type="pct"/>
            <w:noWrap w:val="0"/>
            <w:vAlign w:val="center"/>
          </w:tcPr>
          <w:p w14:paraId="48DEF572">
            <w:pPr>
              <w:spacing w:line="240" w:lineRule="auto"/>
              <w:ind w:firstLine="0" w:firstLineChars="0"/>
              <w:jc w:val="center"/>
              <w:rPr>
                <w:sz w:val="21"/>
                <w:szCs w:val="21"/>
                <w:highlight w:val="none"/>
              </w:rPr>
            </w:pPr>
            <w:r>
              <w:rPr>
                <w:rFonts w:hint="eastAsia"/>
                <w:sz w:val="21"/>
                <w:szCs w:val="21"/>
                <w:highlight w:val="none"/>
              </w:rPr>
              <w:t>水泵2#</w:t>
            </w:r>
          </w:p>
        </w:tc>
        <w:tc>
          <w:tcPr>
            <w:tcW w:w="179" w:type="pct"/>
            <w:noWrap w:val="0"/>
            <w:vAlign w:val="center"/>
          </w:tcPr>
          <w:p w14:paraId="753BB052">
            <w:pPr>
              <w:spacing w:line="240" w:lineRule="auto"/>
              <w:ind w:firstLine="0" w:firstLineChars="0"/>
              <w:jc w:val="center"/>
              <w:rPr>
                <w:sz w:val="21"/>
                <w:szCs w:val="21"/>
                <w:highlight w:val="none"/>
              </w:rPr>
            </w:pPr>
            <w:r>
              <w:rPr>
                <w:rFonts w:hint="eastAsia"/>
                <w:sz w:val="21"/>
                <w:szCs w:val="21"/>
                <w:highlight w:val="none"/>
              </w:rPr>
              <w:t>1</w:t>
            </w:r>
          </w:p>
        </w:tc>
        <w:tc>
          <w:tcPr>
            <w:tcW w:w="347" w:type="pct"/>
            <w:noWrap w:val="0"/>
            <w:vAlign w:val="center"/>
          </w:tcPr>
          <w:p w14:paraId="0C7191C5">
            <w:pPr>
              <w:spacing w:line="240" w:lineRule="auto"/>
              <w:ind w:firstLine="0" w:firstLineChars="0"/>
              <w:jc w:val="center"/>
              <w:rPr>
                <w:rFonts w:eastAsia="等线"/>
                <w:sz w:val="21"/>
                <w:szCs w:val="21"/>
                <w:highlight w:val="none"/>
              </w:rPr>
            </w:pPr>
            <w:r>
              <w:rPr>
                <w:rFonts w:eastAsia="等线"/>
                <w:sz w:val="21"/>
                <w:szCs w:val="21"/>
                <w:highlight w:val="none"/>
              </w:rPr>
              <w:t>9</w:t>
            </w:r>
            <w:r>
              <w:rPr>
                <w:rFonts w:hint="eastAsia" w:eastAsia="等线"/>
                <w:sz w:val="21"/>
                <w:szCs w:val="21"/>
                <w:highlight w:val="none"/>
              </w:rPr>
              <w:t>0</w:t>
            </w:r>
          </w:p>
        </w:tc>
        <w:tc>
          <w:tcPr>
            <w:tcW w:w="492" w:type="pct"/>
            <w:noWrap w:val="0"/>
            <w:vAlign w:val="center"/>
          </w:tcPr>
          <w:p w14:paraId="458D3FA0">
            <w:pPr>
              <w:spacing w:line="240" w:lineRule="auto"/>
              <w:ind w:firstLine="0" w:firstLineChars="0"/>
              <w:jc w:val="center"/>
              <w:rPr>
                <w:sz w:val="21"/>
                <w:szCs w:val="21"/>
                <w:highlight w:val="none"/>
              </w:rPr>
            </w:pPr>
            <w:r>
              <w:rPr>
                <w:sz w:val="21"/>
                <w:szCs w:val="21"/>
                <w:highlight w:val="none"/>
              </w:rPr>
              <w:t>设备外1m</w:t>
            </w:r>
          </w:p>
        </w:tc>
        <w:tc>
          <w:tcPr>
            <w:tcW w:w="720" w:type="pct"/>
            <w:noWrap w:val="0"/>
            <w:vAlign w:val="center"/>
          </w:tcPr>
          <w:p w14:paraId="4196C9DA">
            <w:pPr>
              <w:spacing w:line="240" w:lineRule="auto"/>
              <w:ind w:firstLine="0" w:firstLineChars="0"/>
              <w:jc w:val="center"/>
              <w:rPr>
                <w:sz w:val="21"/>
                <w:szCs w:val="21"/>
                <w:highlight w:val="none"/>
              </w:rPr>
            </w:pPr>
            <w:r>
              <w:rPr>
                <w:rFonts w:hint="eastAsia"/>
                <w:sz w:val="21"/>
                <w:szCs w:val="21"/>
                <w:highlight w:val="none"/>
              </w:rPr>
              <w:t>隔声罩壳、厂房隔声</w:t>
            </w:r>
          </w:p>
        </w:tc>
        <w:tc>
          <w:tcPr>
            <w:tcW w:w="358" w:type="pct"/>
            <w:noWrap w:val="0"/>
            <w:vAlign w:val="center"/>
          </w:tcPr>
          <w:p w14:paraId="78E95AC6">
            <w:pPr>
              <w:spacing w:line="240" w:lineRule="auto"/>
              <w:ind w:firstLine="0" w:firstLineChars="0"/>
              <w:jc w:val="center"/>
              <w:rPr>
                <w:rFonts w:hint="default" w:eastAsia="等线"/>
                <w:sz w:val="21"/>
                <w:szCs w:val="21"/>
                <w:highlight w:val="none"/>
                <w:lang w:val="en-US" w:eastAsia="zh-CN"/>
              </w:rPr>
            </w:pPr>
            <w:r>
              <w:rPr>
                <w:rFonts w:hint="eastAsia" w:eastAsia="等线"/>
                <w:sz w:val="21"/>
                <w:szCs w:val="21"/>
                <w:highlight w:val="none"/>
                <w:lang w:val="en-US" w:eastAsia="zh-CN"/>
              </w:rPr>
              <w:t>-15.61</w:t>
            </w:r>
          </w:p>
        </w:tc>
        <w:tc>
          <w:tcPr>
            <w:tcW w:w="357" w:type="pct"/>
            <w:noWrap w:val="0"/>
            <w:vAlign w:val="center"/>
          </w:tcPr>
          <w:p w14:paraId="7EEC8358">
            <w:pPr>
              <w:spacing w:line="240" w:lineRule="auto"/>
              <w:ind w:firstLine="0" w:firstLineChars="0"/>
              <w:jc w:val="center"/>
              <w:rPr>
                <w:rFonts w:hint="default" w:eastAsia="等线"/>
                <w:sz w:val="21"/>
                <w:szCs w:val="21"/>
                <w:highlight w:val="none"/>
                <w:lang w:val="en-US"/>
              </w:rPr>
            </w:pPr>
            <w:r>
              <w:rPr>
                <w:rFonts w:hint="eastAsia" w:eastAsia="等线"/>
                <w:sz w:val="21"/>
                <w:szCs w:val="21"/>
                <w:highlight w:val="none"/>
                <w:lang w:val="en-US" w:eastAsia="zh-CN"/>
              </w:rPr>
              <w:t>-33.49</w:t>
            </w:r>
          </w:p>
        </w:tc>
        <w:tc>
          <w:tcPr>
            <w:tcW w:w="245" w:type="pct"/>
            <w:noWrap w:val="0"/>
            <w:vAlign w:val="center"/>
          </w:tcPr>
          <w:p w14:paraId="3723EA48">
            <w:pPr>
              <w:spacing w:line="240" w:lineRule="auto"/>
              <w:ind w:firstLine="0" w:firstLineChars="0"/>
              <w:jc w:val="center"/>
              <w:rPr>
                <w:rFonts w:eastAsia="等线"/>
                <w:sz w:val="21"/>
                <w:szCs w:val="21"/>
                <w:highlight w:val="none"/>
              </w:rPr>
            </w:pPr>
            <w:r>
              <w:rPr>
                <w:rFonts w:hint="eastAsia" w:eastAsia="等线"/>
                <w:sz w:val="21"/>
                <w:szCs w:val="21"/>
                <w:highlight w:val="none"/>
              </w:rPr>
              <w:t>1</w:t>
            </w:r>
          </w:p>
        </w:tc>
        <w:tc>
          <w:tcPr>
            <w:tcW w:w="304" w:type="pct"/>
            <w:vMerge w:val="continue"/>
            <w:noWrap w:val="0"/>
            <w:vAlign w:val="center"/>
          </w:tcPr>
          <w:p w14:paraId="231B7B2D">
            <w:pPr>
              <w:spacing w:line="240" w:lineRule="auto"/>
              <w:ind w:firstLine="0" w:firstLineChars="0"/>
              <w:jc w:val="center"/>
              <w:rPr>
                <w:rFonts w:eastAsia="等线"/>
                <w:sz w:val="21"/>
                <w:szCs w:val="21"/>
                <w:highlight w:val="none"/>
              </w:rPr>
            </w:pPr>
          </w:p>
        </w:tc>
        <w:tc>
          <w:tcPr>
            <w:tcW w:w="342" w:type="pct"/>
            <w:noWrap w:val="0"/>
            <w:vAlign w:val="center"/>
          </w:tcPr>
          <w:p w14:paraId="7E3AE218">
            <w:pPr>
              <w:spacing w:line="240" w:lineRule="auto"/>
              <w:ind w:firstLine="0" w:firstLineChars="0"/>
              <w:jc w:val="center"/>
              <w:rPr>
                <w:rFonts w:hint="eastAsia" w:eastAsia="等线"/>
                <w:sz w:val="21"/>
                <w:szCs w:val="21"/>
                <w:highlight w:val="none"/>
                <w:lang w:val="en-US" w:eastAsia="zh-CN"/>
              </w:rPr>
            </w:pPr>
            <w:r>
              <w:rPr>
                <w:rFonts w:hint="eastAsia" w:eastAsia="等线"/>
                <w:sz w:val="21"/>
                <w:szCs w:val="21"/>
                <w:highlight w:val="none"/>
              </w:rPr>
              <w:t>2</w:t>
            </w:r>
            <w:r>
              <w:rPr>
                <w:rFonts w:hint="eastAsia" w:eastAsia="等线"/>
                <w:sz w:val="21"/>
                <w:szCs w:val="21"/>
                <w:highlight w:val="none"/>
                <w:lang w:val="en-US" w:eastAsia="zh-CN"/>
              </w:rPr>
              <w:t>5</w:t>
            </w:r>
          </w:p>
        </w:tc>
        <w:tc>
          <w:tcPr>
            <w:tcW w:w="359" w:type="pct"/>
            <w:noWrap w:val="0"/>
            <w:vAlign w:val="center"/>
          </w:tcPr>
          <w:p w14:paraId="68448349">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65</w:t>
            </w:r>
          </w:p>
        </w:tc>
        <w:tc>
          <w:tcPr>
            <w:tcW w:w="351" w:type="pct"/>
            <w:noWrap w:val="0"/>
            <w:vAlign w:val="center"/>
          </w:tcPr>
          <w:p w14:paraId="1A8CDD2C">
            <w:pPr>
              <w:spacing w:line="240" w:lineRule="auto"/>
              <w:ind w:firstLine="0" w:firstLineChars="0"/>
              <w:jc w:val="center"/>
              <w:rPr>
                <w:sz w:val="21"/>
                <w:szCs w:val="21"/>
                <w:highlight w:val="none"/>
              </w:rPr>
            </w:pPr>
            <w:r>
              <w:rPr>
                <w:rFonts w:hint="eastAsia"/>
                <w:sz w:val="21"/>
                <w:szCs w:val="21"/>
                <w:highlight w:val="none"/>
              </w:rPr>
              <w:t>1</w:t>
            </w:r>
          </w:p>
        </w:tc>
      </w:tr>
      <w:tr w14:paraId="62755E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9" w:type="pct"/>
            <w:vMerge w:val="continue"/>
            <w:noWrap w:val="0"/>
            <w:vAlign w:val="center"/>
          </w:tcPr>
          <w:p w14:paraId="024FB1EA">
            <w:pPr>
              <w:spacing w:line="240" w:lineRule="auto"/>
              <w:ind w:firstLine="0" w:firstLineChars="0"/>
              <w:jc w:val="center"/>
              <w:rPr>
                <w:sz w:val="21"/>
                <w:szCs w:val="21"/>
                <w:highlight w:val="none"/>
              </w:rPr>
            </w:pPr>
          </w:p>
        </w:tc>
        <w:tc>
          <w:tcPr>
            <w:tcW w:w="283" w:type="pct"/>
            <w:vMerge w:val="restart"/>
            <w:noWrap w:val="0"/>
            <w:vAlign w:val="center"/>
          </w:tcPr>
          <w:p w14:paraId="400EAB55">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变压器房</w:t>
            </w:r>
          </w:p>
        </w:tc>
        <w:tc>
          <w:tcPr>
            <w:tcW w:w="479" w:type="pct"/>
            <w:noWrap w:val="0"/>
            <w:vAlign w:val="center"/>
          </w:tcPr>
          <w:p w14:paraId="404300C4">
            <w:pPr>
              <w:spacing w:line="240" w:lineRule="auto"/>
              <w:ind w:firstLine="0" w:firstLineChars="0"/>
              <w:jc w:val="center"/>
              <w:rPr>
                <w:sz w:val="21"/>
                <w:szCs w:val="21"/>
                <w:highlight w:val="none"/>
              </w:rPr>
            </w:pPr>
            <w:r>
              <w:rPr>
                <w:rFonts w:hint="eastAsia"/>
                <w:sz w:val="21"/>
                <w:szCs w:val="21"/>
                <w:highlight w:val="none"/>
              </w:rPr>
              <w:t>空压机</w:t>
            </w:r>
          </w:p>
        </w:tc>
        <w:tc>
          <w:tcPr>
            <w:tcW w:w="179" w:type="pct"/>
            <w:noWrap w:val="0"/>
            <w:vAlign w:val="center"/>
          </w:tcPr>
          <w:p w14:paraId="63259480">
            <w:pPr>
              <w:spacing w:line="240" w:lineRule="auto"/>
              <w:ind w:firstLine="0" w:firstLineChars="0"/>
              <w:jc w:val="center"/>
              <w:rPr>
                <w:rFonts w:hint="eastAsia"/>
                <w:sz w:val="21"/>
                <w:szCs w:val="21"/>
                <w:highlight w:val="none"/>
              </w:rPr>
            </w:pPr>
            <w:r>
              <w:rPr>
                <w:rFonts w:hint="eastAsia"/>
                <w:sz w:val="21"/>
                <w:szCs w:val="21"/>
                <w:highlight w:val="none"/>
              </w:rPr>
              <w:t>1</w:t>
            </w:r>
          </w:p>
        </w:tc>
        <w:tc>
          <w:tcPr>
            <w:tcW w:w="347" w:type="pct"/>
            <w:noWrap w:val="0"/>
            <w:vAlign w:val="center"/>
          </w:tcPr>
          <w:p w14:paraId="3BE285C6">
            <w:pPr>
              <w:spacing w:line="240" w:lineRule="auto"/>
              <w:ind w:firstLine="0" w:firstLineChars="0"/>
              <w:jc w:val="center"/>
              <w:rPr>
                <w:rFonts w:hint="default" w:eastAsia="宋体"/>
                <w:sz w:val="21"/>
                <w:szCs w:val="21"/>
                <w:highlight w:val="none"/>
                <w:lang w:val="en-US" w:eastAsia="zh-CN"/>
              </w:rPr>
            </w:pPr>
            <w:r>
              <w:rPr>
                <w:rFonts w:hint="eastAsia" w:eastAsia="等线"/>
                <w:sz w:val="21"/>
                <w:szCs w:val="21"/>
                <w:highlight w:val="none"/>
                <w:lang w:val="en-US" w:eastAsia="zh-CN"/>
              </w:rPr>
              <w:t>90</w:t>
            </w:r>
          </w:p>
        </w:tc>
        <w:tc>
          <w:tcPr>
            <w:tcW w:w="492" w:type="pct"/>
            <w:noWrap w:val="0"/>
            <w:vAlign w:val="center"/>
          </w:tcPr>
          <w:p w14:paraId="53D0DA06">
            <w:pPr>
              <w:spacing w:line="240" w:lineRule="auto"/>
              <w:ind w:firstLine="0" w:firstLineChars="0"/>
              <w:jc w:val="center"/>
              <w:rPr>
                <w:rFonts w:eastAsia="等线"/>
                <w:sz w:val="21"/>
                <w:szCs w:val="21"/>
                <w:highlight w:val="none"/>
              </w:rPr>
            </w:pPr>
            <w:r>
              <w:rPr>
                <w:rFonts w:hint="eastAsia"/>
                <w:sz w:val="21"/>
                <w:szCs w:val="21"/>
                <w:highlight w:val="none"/>
              </w:rPr>
              <w:t>吸风口外</w:t>
            </w:r>
            <w:r>
              <w:rPr>
                <w:sz w:val="21"/>
                <w:szCs w:val="21"/>
                <w:highlight w:val="none"/>
              </w:rPr>
              <w:t>1</w:t>
            </w:r>
            <w:r>
              <w:rPr>
                <w:rFonts w:hint="eastAsia"/>
                <w:sz w:val="21"/>
                <w:szCs w:val="21"/>
                <w:highlight w:val="none"/>
              </w:rPr>
              <w:t>m</w:t>
            </w:r>
          </w:p>
        </w:tc>
        <w:tc>
          <w:tcPr>
            <w:tcW w:w="720" w:type="pct"/>
            <w:noWrap w:val="0"/>
            <w:vAlign w:val="center"/>
          </w:tcPr>
          <w:p w14:paraId="638A75B0">
            <w:pPr>
              <w:spacing w:line="240" w:lineRule="auto"/>
              <w:ind w:firstLine="0" w:firstLineChars="0"/>
              <w:jc w:val="center"/>
              <w:rPr>
                <w:sz w:val="21"/>
                <w:szCs w:val="21"/>
                <w:highlight w:val="none"/>
              </w:rPr>
            </w:pPr>
            <w:r>
              <w:rPr>
                <w:rFonts w:hint="eastAsia"/>
                <w:sz w:val="21"/>
                <w:szCs w:val="21"/>
                <w:highlight w:val="none"/>
              </w:rPr>
              <w:t>厂房隔声、进风口消声器</w:t>
            </w:r>
          </w:p>
        </w:tc>
        <w:tc>
          <w:tcPr>
            <w:tcW w:w="358" w:type="pct"/>
            <w:noWrap w:val="0"/>
            <w:vAlign w:val="center"/>
          </w:tcPr>
          <w:p w14:paraId="2D7E994E">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-15.96</w:t>
            </w:r>
          </w:p>
        </w:tc>
        <w:tc>
          <w:tcPr>
            <w:tcW w:w="357" w:type="pct"/>
            <w:noWrap w:val="0"/>
            <w:vAlign w:val="center"/>
          </w:tcPr>
          <w:p w14:paraId="2145DDCB">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-13.43</w:t>
            </w:r>
          </w:p>
        </w:tc>
        <w:tc>
          <w:tcPr>
            <w:tcW w:w="245" w:type="pct"/>
            <w:noWrap w:val="0"/>
            <w:vAlign w:val="center"/>
          </w:tcPr>
          <w:p w14:paraId="0CF26729">
            <w:pPr>
              <w:spacing w:line="240" w:lineRule="auto"/>
              <w:ind w:firstLine="0" w:firstLineChars="0"/>
              <w:jc w:val="center"/>
              <w:rPr>
                <w:sz w:val="21"/>
                <w:szCs w:val="21"/>
                <w:highlight w:val="none"/>
              </w:rPr>
            </w:pPr>
            <w:r>
              <w:rPr>
                <w:rFonts w:hint="eastAsia"/>
                <w:sz w:val="21"/>
                <w:szCs w:val="21"/>
                <w:highlight w:val="none"/>
              </w:rPr>
              <w:t>1</w:t>
            </w:r>
          </w:p>
        </w:tc>
        <w:tc>
          <w:tcPr>
            <w:tcW w:w="304" w:type="pct"/>
            <w:vMerge w:val="continue"/>
            <w:noWrap w:val="0"/>
            <w:vAlign w:val="center"/>
          </w:tcPr>
          <w:p w14:paraId="57C7F9E6">
            <w:pPr>
              <w:spacing w:line="240" w:lineRule="auto"/>
              <w:ind w:firstLine="0" w:firstLineChars="0"/>
              <w:jc w:val="center"/>
              <w:rPr>
                <w:sz w:val="21"/>
                <w:szCs w:val="21"/>
                <w:highlight w:val="none"/>
              </w:rPr>
            </w:pPr>
          </w:p>
        </w:tc>
        <w:tc>
          <w:tcPr>
            <w:tcW w:w="342" w:type="pct"/>
            <w:noWrap w:val="0"/>
            <w:vAlign w:val="center"/>
          </w:tcPr>
          <w:p w14:paraId="1FD3470B">
            <w:pPr>
              <w:spacing w:line="240" w:lineRule="auto"/>
              <w:ind w:firstLine="0" w:firstLineChars="0"/>
              <w:jc w:val="center"/>
              <w:rPr>
                <w:rFonts w:hint="eastAsia" w:eastAsia="宋体"/>
                <w:sz w:val="21"/>
                <w:szCs w:val="21"/>
                <w:highlight w:val="none"/>
                <w:lang w:val="en-US" w:eastAsia="zh-CN"/>
              </w:rPr>
            </w:pPr>
            <w:r>
              <w:rPr>
                <w:rFonts w:hint="eastAsia"/>
                <w:sz w:val="21"/>
                <w:szCs w:val="21"/>
                <w:highlight w:val="none"/>
              </w:rPr>
              <w:t>2</w:t>
            </w:r>
            <w:r>
              <w:rPr>
                <w:rFonts w:hint="eastAsia"/>
                <w:sz w:val="21"/>
                <w:szCs w:val="21"/>
                <w:highlight w:val="none"/>
                <w:lang w:val="en-US" w:eastAsia="zh-CN"/>
              </w:rPr>
              <w:t>5</w:t>
            </w:r>
          </w:p>
        </w:tc>
        <w:tc>
          <w:tcPr>
            <w:tcW w:w="359" w:type="pct"/>
            <w:noWrap w:val="0"/>
            <w:vAlign w:val="center"/>
          </w:tcPr>
          <w:p w14:paraId="4421C1C8">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65</w:t>
            </w:r>
          </w:p>
        </w:tc>
        <w:tc>
          <w:tcPr>
            <w:tcW w:w="351" w:type="pct"/>
            <w:noWrap w:val="0"/>
            <w:vAlign w:val="center"/>
          </w:tcPr>
          <w:p w14:paraId="4B6909ED">
            <w:pPr>
              <w:spacing w:line="240" w:lineRule="auto"/>
              <w:ind w:firstLine="0" w:firstLineChars="0"/>
              <w:jc w:val="center"/>
              <w:rPr>
                <w:sz w:val="21"/>
                <w:szCs w:val="21"/>
                <w:highlight w:val="none"/>
              </w:rPr>
            </w:pPr>
            <w:r>
              <w:rPr>
                <w:rFonts w:hint="eastAsia"/>
                <w:sz w:val="21"/>
                <w:szCs w:val="21"/>
                <w:highlight w:val="none"/>
              </w:rPr>
              <w:t>1</w:t>
            </w:r>
          </w:p>
        </w:tc>
      </w:tr>
      <w:tr w14:paraId="74E4EE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9" w:type="pct"/>
            <w:vMerge w:val="continue"/>
            <w:noWrap w:val="0"/>
            <w:vAlign w:val="center"/>
          </w:tcPr>
          <w:p w14:paraId="5A857315">
            <w:pPr>
              <w:spacing w:line="240" w:lineRule="auto"/>
              <w:ind w:firstLine="0" w:firstLineChars="0"/>
              <w:jc w:val="center"/>
              <w:rPr>
                <w:sz w:val="21"/>
                <w:szCs w:val="21"/>
                <w:highlight w:val="none"/>
              </w:rPr>
            </w:pPr>
          </w:p>
        </w:tc>
        <w:tc>
          <w:tcPr>
            <w:tcW w:w="283" w:type="pct"/>
            <w:vMerge w:val="continue"/>
            <w:noWrap w:val="0"/>
            <w:vAlign w:val="center"/>
          </w:tcPr>
          <w:p w14:paraId="23DC747E">
            <w:pPr>
              <w:spacing w:line="240" w:lineRule="auto"/>
              <w:ind w:firstLine="0" w:firstLineChars="0"/>
              <w:jc w:val="center"/>
              <w:rPr>
                <w:rFonts w:hint="eastAsia"/>
                <w:sz w:val="21"/>
                <w:szCs w:val="21"/>
                <w:highlight w:val="none"/>
                <w:lang w:val="en-US" w:eastAsia="zh-CN"/>
              </w:rPr>
            </w:pPr>
          </w:p>
        </w:tc>
        <w:tc>
          <w:tcPr>
            <w:tcW w:w="479" w:type="pct"/>
            <w:noWrap w:val="0"/>
            <w:vAlign w:val="center"/>
          </w:tcPr>
          <w:p w14:paraId="2142545E">
            <w:pPr>
              <w:spacing w:line="240" w:lineRule="auto"/>
              <w:ind w:firstLine="0" w:firstLineChars="0"/>
              <w:jc w:val="center"/>
              <w:rPr>
                <w:rFonts w:hint="eastAsia" w:eastAsia="宋体"/>
                <w:sz w:val="21"/>
                <w:szCs w:val="21"/>
                <w:highlight w:val="none"/>
                <w:lang w:val="en-US" w:eastAsia="zh-CN"/>
              </w:rPr>
            </w:pPr>
            <w:r>
              <w:rPr>
                <w:rFonts w:hint="eastAsia"/>
                <w:sz w:val="21"/>
                <w:szCs w:val="21"/>
                <w:highlight w:val="none"/>
                <w:lang w:val="en-US" w:eastAsia="zh-CN"/>
              </w:rPr>
              <w:t>变压器</w:t>
            </w:r>
          </w:p>
        </w:tc>
        <w:tc>
          <w:tcPr>
            <w:tcW w:w="179" w:type="pct"/>
            <w:noWrap w:val="0"/>
            <w:vAlign w:val="center"/>
          </w:tcPr>
          <w:p w14:paraId="6C070318">
            <w:pPr>
              <w:spacing w:line="240" w:lineRule="auto"/>
              <w:ind w:firstLine="0" w:firstLineChars="0"/>
              <w:jc w:val="center"/>
              <w:rPr>
                <w:rFonts w:hint="eastAsia" w:eastAsia="宋体"/>
                <w:sz w:val="21"/>
                <w:szCs w:val="21"/>
                <w:highlight w:val="none"/>
                <w:lang w:val="en-US" w:eastAsia="zh-CN"/>
              </w:rPr>
            </w:pPr>
            <w:r>
              <w:rPr>
                <w:rFonts w:hint="eastAsia"/>
                <w:sz w:val="21"/>
                <w:szCs w:val="21"/>
                <w:highlight w:val="none"/>
                <w:lang w:val="en-US" w:eastAsia="zh-CN"/>
              </w:rPr>
              <w:t>1</w:t>
            </w:r>
          </w:p>
        </w:tc>
        <w:tc>
          <w:tcPr>
            <w:tcW w:w="347" w:type="pct"/>
            <w:noWrap w:val="0"/>
            <w:vAlign w:val="center"/>
          </w:tcPr>
          <w:p w14:paraId="77C0C79D">
            <w:pPr>
              <w:spacing w:line="240" w:lineRule="auto"/>
              <w:ind w:firstLine="0" w:firstLineChars="0"/>
              <w:jc w:val="center"/>
              <w:rPr>
                <w:rFonts w:hint="default" w:eastAsia="等线"/>
                <w:sz w:val="21"/>
                <w:szCs w:val="21"/>
                <w:highlight w:val="none"/>
                <w:lang w:val="en-US" w:eastAsia="zh-CN"/>
              </w:rPr>
            </w:pPr>
            <w:r>
              <w:rPr>
                <w:rFonts w:hint="eastAsia" w:eastAsia="等线"/>
                <w:sz w:val="21"/>
                <w:szCs w:val="21"/>
                <w:highlight w:val="none"/>
                <w:lang w:val="en-US" w:eastAsia="zh-CN"/>
              </w:rPr>
              <w:t>90</w:t>
            </w:r>
          </w:p>
        </w:tc>
        <w:tc>
          <w:tcPr>
            <w:tcW w:w="492" w:type="pct"/>
            <w:noWrap w:val="0"/>
            <w:vAlign w:val="center"/>
          </w:tcPr>
          <w:p w14:paraId="553454DE">
            <w:pPr>
              <w:spacing w:line="240" w:lineRule="auto"/>
              <w:ind w:firstLine="0" w:firstLineChars="0"/>
              <w:jc w:val="center"/>
              <w:rPr>
                <w:rFonts w:hint="eastAsia"/>
                <w:sz w:val="21"/>
                <w:szCs w:val="21"/>
                <w:highlight w:val="none"/>
              </w:rPr>
            </w:pPr>
            <w:r>
              <w:rPr>
                <w:rFonts w:hint="eastAsia"/>
                <w:sz w:val="21"/>
                <w:szCs w:val="21"/>
                <w:highlight w:val="none"/>
              </w:rPr>
              <w:t>吸风口外</w:t>
            </w:r>
            <w:r>
              <w:rPr>
                <w:sz w:val="21"/>
                <w:szCs w:val="21"/>
                <w:highlight w:val="none"/>
              </w:rPr>
              <w:t>1</w:t>
            </w:r>
            <w:r>
              <w:rPr>
                <w:rFonts w:hint="eastAsia"/>
                <w:sz w:val="21"/>
                <w:szCs w:val="21"/>
                <w:highlight w:val="none"/>
              </w:rPr>
              <w:t>m</w:t>
            </w:r>
          </w:p>
        </w:tc>
        <w:tc>
          <w:tcPr>
            <w:tcW w:w="720" w:type="pct"/>
            <w:noWrap w:val="0"/>
            <w:vAlign w:val="center"/>
          </w:tcPr>
          <w:p w14:paraId="453E3654">
            <w:pPr>
              <w:spacing w:line="240" w:lineRule="auto"/>
              <w:ind w:firstLine="0" w:firstLineChars="0"/>
              <w:jc w:val="center"/>
              <w:rPr>
                <w:rFonts w:hint="eastAsia"/>
                <w:sz w:val="21"/>
                <w:szCs w:val="21"/>
                <w:highlight w:val="none"/>
              </w:rPr>
            </w:pPr>
            <w:r>
              <w:rPr>
                <w:rFonts w:hint="eastAsia"/>
                <w:sz w:val="21"/>
                <w:szCs w:val="21"/>
                <w:highlight w:val="none"/>
              </w:rPr>
              <w:t>厂房隔声、进风口消声器</w:t>
            </w:r>
          </w:p>
        </w:tc>
        <w:tc>
          <w:tcPr>
            <w:tcW w:w="358" w:type="pct"/>
            <w:noWrap w:val="0"/>
            <w:vAlign w:val="center"/>
          </w:tcPr>
          <w:p w14:paraId="50C15C18">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-13.75</w:t>
            </w:r>
          </w:p>
        </w:tc>
        <w:tc>
          <w:tcPr>
            <w:tcW w:w="357" w:type="pct"/>
            <w:noWrap w:val="0"/>
            <w:vAlign w:val="center"/>
          </w:tcPr>
          <w:p w14:paraId="710FB07E">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-6.79</w:t>
            </w:r>
          </w:p>
        </w:tc>
        <w:tc>
          <w:tcPr>
            <w:tcW w:w="245" w:type="pct"/>
            <w:noWrap w:val="0"/>
            <w:vAlign w:val="center"/>
          </w:tcPr>
          <w:p w14:paraId="483E83F2">
            <w:pPr>
              <w:spacing w:line="240" w:lineRule="auto"/>
              <w:ind w:firstLine="0" w:firstLineChars="0"/>
              <w:jc w:val="center"/>
              <w:rPr>
                <w:rFonts w:hint="eastAsia" w:eastAsia="宋体"/>
                <w:sz w:val="21"/>
                <w:szCs w:val="21"/>
                <w:highlight w:val="none"/>
                <w:lang w:val="en-US" w:eastAsia="zh-CN"/>
              </w:rPr>
            </w:pPr>
            <w:r>
              <w:rPr>
                <w:rFonts w:hint="eastAsia"/>
                <w:sz w:val="21"/>
                <w:szCs w:val="21"/>
                <w:highlight w:val="none"/>
                <w:lang w:val="en-US" w:eastAsia="zh-CN"/>
              </w:rPr>
              <w:t>1</w:t>
            </w:r>
          </w:p>
        </w:tc>
        <w:tc>
          <w:tcPr>
            <w:tcW w:w="304" w:type="pct"/>
            <w:vMerge w:val="continue"/>
            <w:noWrap w:val="0"/>
            <w:vAlign w:val="center"/>
          </w:tcPr>
          <w:p w14:paraId="6C3B908C">
            <w:pPr>
              <w:spacing w:line="240" w:lineRule="auto"/>
              <w:ind w:firstLine="0" w:firstLineChars="0"/>
              <w:jc w:val="center"/>
              <w:rPr>
                <w:sz w:val="21"/>
                <w:szCs w:val="21"/>
                <w:highlight w:val="none"/>
              </w:rPr>
            </w:pPr>
          </w:p>
        </w:tc>
        <w:tc>
          <w:tcPr>
            <w:tcW w:w="342" w:type="pct"/>
            <w:noWrap w:val="0"/>
            <w:vAlign w:val="center"/>
          </w:tcPr>
          <w:p w14:paraId="02AD6FFF">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25</w:t>
            </w:r>
          </w:p>
        </w:tc>
        <w:tc>
          <w:tcPr>
            <w:tcW w:w="359" w:type="pct"/>
            <w:noWrap w:val="0"/>
            <w:vAlign w:val="center"/>
          </w:tcPr>
          <w:p w14:paraId="1278DEA2">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65</w:t>
            </w:r>
          </w:p>
        </w:tc>
        <w:tc>
          <w:tcPr>
            <w:tcW w:w="351" w:type="pct"/>
            <w:noWrap w:val="0"/>
            <w:vAlign w:val="center"/>
          </w:tcPr>
          <w:p w14:paraId="4E5BE3AB">
            <w:pPr>
              <w:spacing w:line="240" w:lineRule="auto"/>
              <w:ind w:firstLine="0" w:firstLineChars="0"/>
              <w:jc w:val="center"/>
              <w:rPr>
                <w:rFonts w:hint="eastAsia"/>
                <w:sz w:val="21"/>
                <w:szCs w:val="21"/>
                <w:highlight w:val="none"/>
              </w:rPr>
            </w:pPr>
          </w:p>
        </w:tc>
      </w:tr>
      <w:tr w14:paraId="1F9275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179" w:type="pct"/>
            <w:vMerge w:val="continue"/>
            <w:noWrap w:val="0"/>
            <w:vAlign w:val="center"/>
          </w:tcPr>
          <w:p w14:paraId="53ACABDA">
            <w:pPr>
              <w:spacing w:line="240" w:lineRule="auto"/>
              <w:ind w:firstLine="0" w:firstLineChars="0"/>
              <w:jc w:val="center"/>
              <w:rPr>
                <w:sz w:val="21"/>
                <w:szCs w:val="21"/>
                <w:highlight w:val="none"/>
              </w:rPr>
            </w:pPr>
          </w:p>
        </w:tc>
        <w:tc>
          <w:tcPr>
            <w:tcW w:w="283" w:type="pct"/>
            <w:vMerge w:val="restart"/>
            <w:noWrap w:val="0"/>
            <w:vAlign w:val="center"/>
          </w:tcPr>
          <w:p w14:paraId="393629CB">
            <w:pPr>
              <w:spacing w:line="240" w:lineRule="auto"/>
              <w:ind w:firstLine="0" w:firstLineChars="0"/>
              <w:jc w:val="center"/>
              <w:rPr>
                <w:sz w:val="21"/>
                <w:szCs w:val="21"/>
                <w:highlight w:val="none"/>
              </w:rPr>
            </w:pPr>
            <w:r>
              <w:rPr>
                <w:rFonts w:hint="eastAsia"/>
                <w:sz w:val="21"/>
                <w:szCs w:val="21"/>
                <w:highlight w:val="none"/>
              </w:rPr>
              <w:t>脱硫系统</w:t>
            </w:r>
          </w:p>
        </w:tc>
        <w:tc>
          <w:tcPr>
            <w:tcW w:w="479" w:type="pct"/>
            <w:vMerge w:val="restart"/>
            <w:noWrap w:val="0"/>
            <w:vAlign w:val="center"/>
          </w:tcPr>
          <w:p w14:paraId="4E9A686E">
            <w:pPr>
              <w:spacing w:line="240" w:lineRule="auto"/>
              <w:ind w:firstLine="0" w:firstLineChars="0"/>
              <w:jc w:val="center"/>
              <w:rPr>
                <w:sz w:val="21"/>
                <w:szCs w:val="21"/>
                <w:highlight w:val="none"/>
              </w:rPr>
            </w:pPr>
            <w:r>
              <w:rPr>
                <w:rFonts w:hint="eastAsia"/>
                <w:sz w:val="21"/>
                <w:szCs w:val="21"/>
                <w:highlight w:val="none"/>
              </w:rPr>
              <w:t>浆液循环泵</w:t>
            </w:r>
          </w:p>
        </w:tc>
        <w:tc>
          <w:tcPr>
            <w:tcW w:w="179" w:type="pct"/>
            <w:noWrap w:val="0"/>
            <w:vAlign w:val="center"/>
          </w:tcPr>
          <w:p w14:paraId="311E584D">
            <w:pPr>
              <w:spacing w:line="240" w:lineRule="auto"/>
              <w:ind w:firstLine="0" w:firstLineChars="0"/>
              <w:jc w:val="center"/>
              <w:rPr>
                <w:sz w:val="21"/>
                <w:szCs w:val="21"/>
                <w:highlight w:val="none"/>
              </w:rPr>
            </w:pPr>
            <w:r>
              <w:rPr>
                <w:rFonts w:hint="eastAsia"/>
                <w:sz w:val="21"/>
                <w:szCs w:val="21"/>
                <w:highlight w:val="none"/>
              </w:rPr>
              <w:t>1</w:t>
            </w:r>
          </w:p>
        </w:tc>
        <w:tc>
          <w:tcPr>
            <w:tcW w:w="347" w:type="pct"/>
            <w:noWrap w:val="0"/>
            <w:vAlign w:val="center"/>
          </w:tcPr>
          <w:p w14:paraId="25FAEA17">
            <w:pPr>
              <w:spacing w:line="240" w:lineRule="auto"/>
              <w:ind w:firstLine="0" w:firstLineChars="0"/>
              <w:jc w:val="center"/>
              <w:rPr>
                <w:rFonts w:hint="default" w:eastAsia="等线"/>
                <w:sz w:val="21"/>
                <w:szCs w:val="21"/>
                <w:highlight w:val="none"/>
                <w:lang w:val="en-US" w:eastAsia="zh-CN"/>
              </w:rPr>
            </w:pPr>
            <w:r>
              <w:rPr>
                <w:rFonts w:hint="eastAsia" w:eastAsia="等线"/>
                <w:sz w:val="21"/>
                <w:szCs w:val="21"/>
                <w:highlight w:val="none"/>
                <w:lang w:val="en-US" w:eastAsia="zh-CN"/>
              </w:rPr>
              <w:t>90</w:t>
            </w:r>
          </w:p>
        </w:tc>
        <w:tc>
          <w:tcPr>
            <w:tcW w:w="492" w:type="pct"/>
            <w:noWrap w:val="0"/>
            <w:vAlign w:val="center"/>
          </w:tcPr>
          <w:p w14:paraId="3381C30B">
            <w:pPr>
              <w:spacing w:line="240" w:lineRule="auto"/>
              <w:ind w:firstLine="0" w:firstLineChars="0"/>
              <w:jc w:val="center"/>
              <w:rPr>
                <w:sz w:val="21"/>
                <w:szCs w:val="21"/>
                <w:highlight w:val="none"/>
              </w:rPr>
            </w:pPr>
            <w:r>
              <w:rPr>
                <w:sz w:val="21"/>
                <w:szCs w:val="21"/>
                <w:highlight w:val="none"/>
              </w:rPr>
              <w:t>设备外1m</w:t>
            </w:r>
          </w:p>
        </w:tc>
        <w:tc>
          <w:tcPr>
            <w:tcW w:w="720" w:type="pct"/>
            <w:noWrap w:val="0"/>
            <w:vAlign w:val="center"/>
          </w:tcPr>
          <w:p w14:paraId="383EF8D2">
            <w:pPr>
              <w:spacing w:line="240" w:lineRule="auto"/>
              <w:ind w:firstLine="0" w:firstLineChars="0"/>
              <w:jc w:val="center"/>
              <w:rPr>
                <w:sz w:val="21"/>
                <w:szCs w:val="21"/>
                <w:highlight w:val="none"/>
              </w:rPr>
            </w:pPr>
            <w:r>
              <w:rPr>
                <w:rFonts w:hint="eastAsia"/>
                <w:sz w:val="21"/>
                <w:szCs w:val="21"/>
                <w:highlight w:val="none"/>
              </w:rPr>
              <w:t>隔声罩壳、厂房隔声</w:t>
            </w:r>
          </w:p>
        </w:tc>
        <w:tc>
          <w:tcPr>
            <w:tcW w:w="358" w:type="pct"/>
            <w:noWrap w:val="0"/>
            <w:vAlign w:val="center"/>
          </w:tcPr>
          <w:p w14:paraId="2124B696">
            <w:pPr>
              <w:spacing w:line="240" w:lineRule="auto"/>
              <w:ind w:firstLine="0" w:firstLineChars="0"/>
              <w:jc w:val="center"/>
              <w:rPr>
                <w:rFonts w:hint="default" w:eastAsia="等线"/>
                <w:sz w:val="21"/>
                <w:szCs w:val="21"/>
                <w:highlight w:val="none"/>
                <w:lang w:val="en-US" w:eastAsia="zh-CN"/>
              </w:rPr>
            </w:pPr>
            <w:r>
              <w:rPr>
                <w:rFonts w:hint="eastAsia" w:eastAsia="等线"/>
                <w:sz w:val="21"/>
                <w:szCs w:val="21"/>
                <w:highlight w:val="none"/>
                <w:lang w:val="en-US" w:eastAsia="zh-CN"/>
              </w:rPr>
              <w:t>22.1</w:t>
            </w:r>
          </w:p>
        </w:tc>
        <w:tc>
          <w:tcPr>
            <w:tcW w:w="357" w:type="pct"/>
            <w:noWrap w:val="0"/>
            <w:vAlign w:val="center"/>
          </w:tcPr>
          <w:p w14:paraId="6D5716D4">
            <w:pPr>
              <w:spacing w:line="240" w:lineRule="auto"/>
              <w:ind w:firstLine="0" w:firstLineChars="0"/>
              <w:jc w:val="center"/>
              <w:rPr>
                <w:rFonts w:hint="default" w:eastAsia="等线"/>
                <w:sz w:val="21"/>
                <w:szCs w:val="21"/>
                <w:highlight w:val="none"/>
                <w:lang w:val="en-US" w:eastAsia="zh-CN"/>
              </w:rPr>
            </w:pPr>
            <w:r>
              <w:rPr>
                <w:rFonts w:hint="eastAsia" w:eastAsia="等线"/>
                <w:sz w:val="21"/>
                <w:szCs w:val="21"/>
                <w:highlight w:val="none"/>
                <w:lang w:val="en-US" w:eastAsia="zh-CN"/>
              </w:rPr>
              <w:t>-0.85</w:t>
            </w:r>
          </w:p>
        </w:tc>
        <w:tc>
          <w:tcPr>
            <w:tcW w:w="245" w:type="pct"/>
            <w:noWrap w:val="0"/>
            <w:vAlign w:val="center"/>
          </w:tcPr>
          <w:p w14:paraId="40A10382">
            <w:pPr>
              <w:spacing w:line="240" w:lineRule="auto"/>
              <w:ind w:firstLine="0" w:firstLineChars="0"/>
              <w:jc w:val="center"/>
              <w:rPr>
                <w:rFonts w:eastAsia="等线"/>
                <w:sz w:val="21"/>
                <w:szCs w:val="21"/>
                <w:highlight w:val="none"/>
              </w:rPr>
            </w:pPr>
            <w:r>
              <w:rPr>
                <w:rFonts w:hint="eastAsia" w:eastAsia="等线"/>
                <w:sz w:val="21"/>
                <w:szCs w:val="21"/>
                <w:highlight w:val="none"/>
              </w:rPr>
              <w:t>1</w:t>
            </w:r>
          </w:p>
        </w:tc>
        <w:tc>
          <w:tcPr>
            <w:tcW w:w="304" w:type="pct"/>
            <w:vMerge w:val="continue"/>
            <w:noWrap w:val="0"/>
            <w:vAlign w:val="center"/>
          </w:tcPr>
          <w:p w14:paraId="701DE425">
            <w:pPr>
              <w:spacing w:line="240" w:lineRule="auto"/>
              <w:ind w:firstLine="0" w:firstLineChars="0"/>
              <w:jc w:val="center"/>
              <w:rPr>
                <w:rFonts w:eastAsia="等线"/>
                <w:sz w:val="21"/>
                <w:szCs w:val="21"/>
                <w:highlight w:val="none"/>
              </w:rPr>
            </w:pPr>
          </w:p>
        </w:tc>
        <w:tc>
          <w:tcPr>
            <w:tcW w:w="342" w:type="pct"/>
            <w:noWrap w:val="0"/>
            <w:vAlign w:val="center"/>
          </w:tcPr>
          <w:p w14:paraId="67C28360">
            <w:pPr>
              <w:spacing w:line="240" w:lineRule="auto"/>
              <w:ind w:firstLine="0" w:firstLineChars="0"/>
              <w:jc w:val="center"/>
              <w:rPr>
                <w:rFonts w:hint="eastAsia" w:eastAsia="等线"/>
                <w:sz w:val="21"/>
                <w:szCs w:val="21"/>
                <w:highlight w:val="none"/>
                <w:lang w:val="en-US" w:eastAsia="zh-CN"/>
              </w:rPr>
            </w:pPr>
            <w:r>
              <w:rPr>
                <w:rFonts w:hint="eastAsia" w:eastAsia="等线"/>
                <w:sz w:val="21"/>
                <w:szCs w:val="21"/>
                <w:highlight w:val="none"/>
              </w:rPr>
              <w:t>2</w:t>
            </w:r>
            <w:r>
              <w:rPr>
                <w:rFonts w:hint="eastAsia" w:eastAsia="等线"/>
                <w:sz w:val="21"/>
                <w:szCs w:val="21"/>
                <w:highlight w:val="none"/>
                <w:lang w:val="en-US" w:eastAsia="zh-CN"/>
              </w:rPr>
              <w:t>5</w:t>
            </w:r>
          </w:p>
        </w:tc>
        <w:tc>
          <w:tcPr>
            <w:tcW w:w="359" w:type="pct"/>
            <w:noWrap w:val="0"/>
            <w:vAlign w:val="center"/>
          </w:tcPr>
          <w:p w14:paraId="304E473E">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65</w:t>
            </w:r>
          </w:p>
        </w:tc>
        <w:tc>
          <w:tcPr>
            <w:tcW w:w="351" w:type="pct"/>
            <w:noWrap w:val="0"/>
            <w:vAlign w:val="center"/>
          </w:tcPr>
          <w:p w14:paraId="46072AE0">
            <w:pPr>
              <w:spacing w:line="240" w:lineRule="auto"/>
              <w:ind w:firstLine="0" w:firstLineChars="0"/>
              <w:jc w:val="center"/>
              <w:rPr>
                <w:sz w:val="21"/>
                <w:szCs w:val="21"/>
                <w:highlight w:val="none"/>
              </w:rPr>
            </w:pPr>
            <w:r>
              <w:rPr>
                <w:rFonts w:hint="eastAsia"/>
                <w:sz w:val="21"/>
                <w:szCs w:val="21"/>
                <w:highlight w:val="none"/>
              </w:rPr>
              <w:t>1</w:t>
            </w:r>
          </w:p>
        </w:tc>
      </w:tr>
      <w:tr w14:paraId="7CBA10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79" w:type="pct"/>
            <w:vMerge w:val="continue"/>
            <w:noWrap w:val="0"/>
            <w:vAlign w:val="center"/>
          </w:tcPr>
          <w:p w14:paraId="3B8234C5">
            <w:pPr>
              <w:spacing w:line="240" w:lineRule="auto"/>
              <w:ind w:firstLine="0" w:firstLineChars="0"/>
              <w:jc w:val="center"/>
              <w:rPr>
                <w:sz w:val="21"/>
                <w:szCs w:val="21"/>
                <w:highlight w:val="none"/>
              </w:rPr>
            </w:pPr>
          </w:p>
        </w:tc>
        <w:tc>
          <w:tcPr>
            <w:tcW w:w="283" w:type="pct"/>
            <w:vMerge w:val="continue"/>
            <w:noWrap w:val="0"/>
            <w:vAlign w:val="center"/>
          </w:tcPr>
          <w:p w14:paraId="0063E4BE">
            <w:pPr>
              <w:spacing w:line="240" w:lineRule="auto"/>
              <w:ind w:firstLine="0" w:firstLineChars="0"/>
              <w:jc w:val="center"/>
              <w:rPr>
                <w:rFonts w:hint="eastAsia"/>
                <w:sz w:val="21"/>
                <w:szCs w:val="21"/>
                <w:highlight w:val="none"/>
              </w:rPr>
            </w:pPr>
          </w:p>
        </w:tc>
        <w:tc>
          <w:tcPr>
            <w:tcW w:w="479" w:type="pct"/>
            <w:vMerge w:val="continue"/>
            <w:noWrap w:val="0"/>
            <w:vAlign w:val="center"/>
          </w:tcPr>
          <w:p w14:paraId="50131F34">
            <w:pPr>
              <w:spacing w:line="240" w:lineRule="auto"/>
              <w:ind w:firstLine="0" w:firstLineChars="0"/>
              <w:jc w:val="center"/>
              <w:rPr>
                <w:rFonts w:hint="eastAsia"/>
                <w:sz w:val="21"/>
                <w:szCs w:val="21"/>
                <w:highlight w:val="none"/>
              </w:rPr>
            </w:pPr>
          </w:p>
        </w:tc>
        <w:tc>
          <w:tcPr>
            <w:tcW w:w="179" w:type="pct"/>
            <w:noWrap w:val="0"/>
            <w:vAlign w:val="center"/>
          </w:tcPr>
          <w:p w14:paraId="5D4E0169">
            <w:pPr>
              <w:spacing w:line="240" w:lineRule="auto"/>
              <w:ind w:firstLine="0" w:firstLineChars="0"/>
              <w:jc w:val="center"/>
              <w:rPr>
                <w:rFonts w:hint="eastAsia"/>
                <w:sz w:val="21"/>
                <w:szCs w:val="21"/>
                <w:highlight w:val="none"/>
              </w:rPr>
            </w:pPr>
            <w:r>
              <w:rPr>
                <w:rFonts w:hint="eastAsia"/>
                <w:sz w:val="21"/>
                <w:szCs w:val="21"/>
                <w:highlight w:val="none"/>
              </w:rPr>
              <w:t>1</w:t>
            </w:r>
          </w:p>
        </w:tc>
        <w:tc>
          <w:tcPr>
            <w:tcW w:w="347" w:type="pct"/>
            <w:noWrap w:val="0"/>
            <w:vAlign w:val="center"/>
          </w:tcPr>
          <w:p w14:paraId="46C9C8B0">
            <w:pPr>
              <w:spacing w:line="240" w:lineRule="auto"/>
              <w:ind w:firstLine="0" w:firstLineChars="0"/>
              <w:jc w:val="center"/>
              <w:rPr>
                <w:rFonts w:hint="default" w:eastAsia="等线"/>
                <w:sz w:val="21"/>
                <w:szCs w:val="21"/>
                <w:highlight w:val="none"/>
                <w:lang w:val="en-US" w:eastAsia="zh-CN"/>
              </w:rPr>
            </w:pPr>
            <w:r>
              <w:rPr>
                <w:rFonts w:hint="eastAsia" w:eastAsia="等线"/>
                <w:sz w:val="21"/>
                <w:szCs w:val="21"/>
                <w:highlight w:val="none"/>
                <w:lang w:val="en-US" w:eastAsia="zh-CN"/>
              </w:rPr>
              <w:t>90</w:t>
            </w:r>
          </w:p>
        </w:tc>
        <w:tc>
          <w:tcPr>
            <w:tcW w:w="492" w:type="pct"/>
            <w:noWrap w:val="0"/>
            <w:vAlign w:val="center"/>
          </w:tcPr>
          <w:p w14:paraId="241C900C">
            <w:pPr>
              <w:spacing w:line="240" w:lineRule="auto"/>
              <w:ind w:firstLine="0" w:firstLineChars="0"/>
              <w:jc w:val="center"/>
              <w:rPr>
                <w:sz w:val="21"/>
                <w:szCs w:val="21"/>
                <w:highlight w:val="none"/>
              </w:rPr>
            </w:pPr>
            <w:r>
              <w:rPr>
                <w:sz w:val="21"/>
                <w:szCs w:val="21"/>
                <w:highlight w:val="none"/>
              </w:rPr>
              <w:t>设备外1m</w:t>
            </w:r>
          </w:p>
        </w:tc>
        <w:tc>
          <w:tcPr>
            <w:tcW w:w="720" w:type="pct"/>
            <w:noWrap w:val="0"/>
            <w:vAlign w:val="center"/>
          </w:tcPr>
          <w:p w14:paraId="6538B048">
            <w:pPr>
              <w:spacing w:line="240" w:lineRule="auto"/>
              <w:ind w:firstLine="0" w:firstLineChars="0"/>
              <w:jc w:val="center"/>
              <w:rPr>
                <w:rFonts w:hint="eastAsia"/>
                <w:sz w:val="21"/>
                <w:szCs w:val="21"/>
                <w:highlight w:val="none"/>
              </w:rPr>
            </w:pPr>
            <w:r>
              <w:rPr>
                <w:rFonts w:hint="eastAsia"/>
                <w:sz w:val="21"/>
                <w:szCs w:val="21"/>
                <w:highlight w:val="none"/>
              </w:rPr>
              <w:t>隔声罩壳、厂房隔声</w:t>
            </w:r>
          </w:p>
        </w:tc>
        <w:tc>
          <w:tcPr>
            <w:tcW w:w="358" w:type="pct"/>
            <w:noWrap w:val="0"/>
            <w:vAlign w:val="center"/>
          </w:tcPr>
          <w:p w14:paraId="17D66972">
            <w:pPr>
              <w:spacing w:line="240" w:lineRule="auto"/>
              <w:ind w:firstLine="0" w:firstLineChars="0"/>
              <w:jc w:val="center"/>
              <w:rPr>
                <w:rFonts w:hint="default" w:eastAsia="等线"/>
                <w:sz w:val="21"/>
                <w:szCs w:val="21"/>
                <w:highlight w:val="none"/>
                <w:lang w:val="en-US" w:eastAsia="zh-CN"/>
              </w:rPr>
            </w:pPr>
            <w:r>
              <w:rPr>
                <w:rFonts w:hint="eastAsia" w:eastAsia="等线"/>
                <w:sz w:val="21"/>
                <w:szCs w:val="21"/>
                <w:highlight w:val="none"/>
                <w:lang w:val="en-US" w:eastAsia="zh-CN"/>
              </w:rPr>
              <w:t>25.37</w:t>
            </w:r>
          </w:p>
        </w:tc>
        <w:tc>
          <w:tcPr>
            <w:tcW w:w="357" w:type="pct"/>
            <w:noWrap w:val="0"/>
            <w:vAlign w:val="center"/>
          </w:tcPr>
          <w:p w14:paraId="773FDC89">
            <w:pPr>
              <w:spacing w:line="240" w:lineRule="auto"/>
              <w:ind w:firstLine="0" w:firstLineChars="0"/>
              <w:jc w:val="center"/>
              <w:rPr>
                <w:rFonts w:hint="default" w:eastAsia="等线"/>
                <w:sz w:val="21"/>
                <w:szCs w:val="21"/>
                <w:highlight w:val="none"/>
                <w:lang w:val="en-US" w:eastAsia="zh-CN"/>
              </w:rPr>
            </w:pPr>
            <w:r>
              <w:rPr>
                <w:rFonts w:hint="eastAsia" w:eastAsia="等线"/>
                <w:sz w:val="21"/>
                <w:szCs w:val="21"/>
                <w:highlight w:val="none"/>
                <w:lang w:val="en-US" w:eastAsia="zh-CN"/>
              </w:rPr>
              <w:t>-2.49</w:t>
            </w:r>
          </w:p>
        </w:tc>
        <w:tc>
          <w:tcPr>
            <w:tcW w:w="245" w:type="pct"/>
            <w:noWrap w:val="0"/>
            <w:vAlign w:val="center"/>
          </w:tcPr>
          <w:p w14:paraId="3F7861DE">
            <w:pPr>
              <w:spacing w:line="240" w:lineRule="auto"/>
              <w:ind w:firstLine="0" w:firstLineChars="0"/>
              <w:jc w:val="center"/>
              <w:rPr>
                <w:rFonts w:hint="eastAsia" w:eastAsia="等线"/>
                <w:sz w:val="21"/>
                <w:szCs w:val="21"/>
                <w:highlight w:val="none"/>
              </w:rPr>
            </w:pPr>
            <w:r>
              <w:rPr>
                <w:rFonts w:hint="eastAsia" w:eastAsia="等线"/>
                <w:sz w:val="21"/>
                <w:szCs w:val="21"/>
                <w:highlight w:val="none"/>
              </w:rPr>
              <w:t>1</w:t>
            </w:r>
          </w:p>
        </w:tc>
        <w:tc>
          <w:tcPr>
            <w:tcW w:w="304" w:type="pct"/>
            <w:vMerge w:val="continue"/>
            <w:noWrap w:val="0"/>
            <w:vAlign w:val="center"/>
          </w:tcPr>
          <w:p w14:paraId="23056E1F">
            <w:pPr>
              <w:spacing w:line="240" w:lineRule="auto"/>
              <w:ind w:firstLine="0" w:firstLineChars="0"/>
              <w:jc w:val="center"/>
              <w:rPr>
                <w:rFonts w:eastAsia="等线"/>
                <w:sz w:val="21"/>
                <w:szCs w:val="21"/>
                <w:highlight w:val="none"/>
              </w:rPr>
            </w:pPr>
          </w:p>
        </w:tc>
        <w:tc>
          <w:tcPr>
            <w:tcW w:w="342" w:type="pct"/>
            <w:noWrap w:val="0"/>
            <w:vAlign w:val="center"/>
          </w:tcPr>
          <w:p w14:paraId="7BFA8C05">
            <w:pPr>
              <w:spacing w:line="240" w:lineRule="auto"/>
              <w:ind w:firstLine="0" w:firstLineChars="0"/>
              <w:jc w:val="center"/>
              <w:rPr>
                <w:rFonts w:hint="eastAsia" w:eastAsia="等线"/>
                <w:sz w:val="21"/>
                <w:szCs w:val="21"/>
                <w:highlight w:val="none"/>
                <w:lang w:val="en-US" w:eastAsia="zh-CN"/>
              </w:rPr>
            </w:pPr>
            <w:r>
              <w:rPr>
                <w:rFonts w:hint="eastAsia" w:eastAsia="等线"/>
                <w:sz w:val="21"/>
                <w:szCs w:val="21"/>
                <w:highlight w:val="none"/>
              </w:rPr>
              <w:t>2</w:t>
            </w:r>
            <w:r>
              <w:rPr>
                <w:rFonts w:hint="eastAsia" w:eastAsia="等线"/>
                <w:sz w:val="21"/>
                <w:szCs w:val="21"/>
                <w:highlight w:val="none"/>
                <w:lang w:val="en-US" w:eastAsia="zh-CN"/>
              </w:rPr>
              <w:t>5</w:t>
            </w:r>
          </w:p>
        </w:tc>
        <w:tc>
          <w:tcPr>
            <w:tcW w:w="359" w:type="pct"/>
            <w:noWrap w:val="0"/>
            <w:vAlign w:val="center"/>
          </w:tcPr>
          <w:p w14:paraId="5D191525">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65</w:t>
            </w:r>
          </w:p>
        </w:tc>
        <w:tc>
          <w:tcPr>
            <w:tcW w:w="351" w:type="pct"/>
            <w:noWrap w:val="0"/>
            <w:vAlign w:val="center"/>
          </w:tcPr>
          <w:p w14:paraId="5C02E5A4">
            <w:pPr>
              <w:spacing w:line="240" w:lineRule="auto"/>
              <w:ind w:firstLine="0" w:firstLineChars="0"/>
              <w:jc w:val="center"/>
              <w:rPr>
                <w:rFonts w:hint="eastAsia"/>
                <w:sz w:val="21"/>
                <w:szCs w:val="21"/>
                <w:highlight w:val="none"/>
              </w:rPr>
            </w:pPr>
            <w:r>
              <w:rPr>
                <w:rFonts w:hint="eastAsia"/>
                <w:sz w:val="21"/>
                <w:szCs w:val="21"/>
                <w:highlight w:val="none"/>
              </w:rPr>
              <w:t>1</w:t>
            </w:r>
          </w:p>
        </w:tc>
      </w:tr>
    </w:tbl>
    <w:p w14:paraId="2556FF62">
      <w:pPr>
        <w:pStyle w:val="23"/>
        <w:rPr>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6B252C49">
      <w:pPr>
        <w:pStyle w:val="5"/>
        <w:bidi w:val="0"/>
        <w:ind w:left="0" w:leftChars="0" w:firstLine="0" w:firstLineChars="0"/>
        <w:rPr>
          <w:rFonts w:hint="default" w:ascii="Times New Roman" w:hAnsi="Times New Roman" w:eastAsia="宋体" w:cs="Times New Roman"/>
          <w:sz w:val="30"/>
          <w:szCs w:val="30"/>
          <w:highlight w:val="none"/>
          <w:lang w:val="en-US" w:eastAsia="zh-CN"/>
        </w:rPr>
      </w:pPr>
      <w:bookmarkStart w:id="135" w:name="_Toc5069"/>
      <w:r>
        <w:rPr>
          <w:rFonts w:hint="eastAsia" w:ascii="Times New Roman" w:hAnsi="Times New Roman" w:eastAsia="宋体" w:cs="Times New Roman"/>
          <w:sz w:val="30"/>
          <w:szCs w:val="30"/>
          <w:highlight w:val="none"/>
          <w:lang w:val="en-US" w:eastAsia="zh-CN"/>
        </w:rPr>
        <w:t>5.4.4预测模式</w:t>
      </w:r>
      <w:bookmarkEnd w:id="135"/>
    </w:p>
    <w:p w14:paraId="0DD33B44">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预测模式选用《环境影响评价技术导则 声环境》（HJ2.4-2021）推荐的模式，噪声预测计算的基本公式如下：</w:t>
      </w:r>
    </w:p>
    <w:p w14:paraId="2B497C74">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①室内声源等效室外声源的计算方法：</w:t>
      </w:r>
    </w:p>
    <w:p w14:paraId="6E82F382">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某一室内声源靠近围护结构处产生的倍频带声压级：</w:t>
      </w:r>
    </w:p>
    <w:p w14:paraId="62B567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Times New Roman" w:cs="Times New Roman"/>
          <w:color w:val="auto"/>
          <w:highlight w:val="none"/>
        </w:rPr>
      </w:pPr>
      <w:r>
        <w:rPr>
          <w:color w:val="auto"/>
          <w:position w:val="-28"/>
          <w:sz w:val="24"/>
          <w:szCs w:val="24"/>
          <w:highlight w:val="none"/>
        </w:rPr>
        <w:object>
          <v:shape id="_x0000_i1027" o:spt="75" type="#_x0000_t75" style="height:46.65pt;width:151.55pt;" o:ole="t" filled="f" o:preferrelative="t" stroked="f" coordsize="21600,21600">
            <v:path/>
            <v:fill on="f" focussize="0,0"/>
            <v:stroke on="f"/>
            <v:imagedata r:id="rId48" o:title=""/>
            <o:lock v:ext="edit" aspectratio="t"/>
            <w10:wrap type="none"/>
            <w10:anchorlock/>
          </v:shape>
          <o:OLEObject Type="Embed" ProgID="Equation.3" ShapeID="_x0000_i1027" DrawAspect="Content" ObjectID="_1468075727" r:id="rId47">
            <o:LockedField>false</o:LockedField>
          </o:OLEObject>
        </w:object>
      </w:r>
    </w:p>
    <w:p w14:paraId="133598E9">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式中：L</w:t>
      </w:r>
      <w:r>
        <w:rPr>
          <w:rFonts w:hint="default" w:ascii="Times New Roman" w:hAnsi="Times New Roman" w:eastAsia="宋体" w:cs="Times New Roman"/>
          <w:color w:val="auto"/>
          <w:sz w:val="24"/>
          <w:highlight w:val="none"/>
          <w:vertAlign w:val="subscript"/>
          <w:lang w:val="en-US" w:eastAsia="zh-CN" w:bidi="ar-SA"/>
        </w:rPr>
        <w:t>p</w:t>
      </w:r>
      <w:bookmarkStart w:id="136" w:name="_Hlk109558394"/>
      <w:r>
        <w:rPr>
          <w:rFonts w:hint="default" w:ascii="Times New Roman" w:hAnsi="Times New Roman" w:eastAsia="宋体" w:cs="Times New Roman"/>
          <w:color w:val="auto"/>
          <w:sz w:val="24"/>
          <w:highlight w:val="none"/>
          <w:vertAlign w:val="subscript"/>
          <w:lang w:val="en-US" w:eastAsia="zh-CN" w:bidi="ar-SA"/>
        </w:rPr>
        <w:t>1</w:t>
      </w:r>
      <w:r>
        <w:rPr>
          <w:rFonts w:hint="default" w:ascii="Times New Roman" w:hAnsi="Times New Roman" w:eastAsia="宋体" w:cs="Times New Roman"/>
          <w:color w:val="auto"/>
          <w:sz w:val="24"/>
          <w:highlight w:val="none"/>
          <w:lang w:val="en-US" w:eastAsia="zh-CN" w:bidi="ar-SA"/>
        </w:rPr>
        <w:t>—</w:t>
      </w:r>
      <w:bookmarkEnd w:id="136"/>
      <w:r>
        <w:rPr>
          <w:rFonts w:hint="default" w:ascii="Times New Roman" w:hAnsi="Times New Roman" w:eastAsia="宋体" w:cs="Times New Roman"/>
          <w:color w:val="auto"/>
          <w:sz w:val="24"/>
          <w:highlight w:val="none"/>
          <w:lang w:val="en-US" w:eastAsia="zh-CN" w:bidi="ar-SA"/>
        </w:rPr>
        <w:t>室内某倍频带的声压级或A声级，dB；</w:t>
      </w:r>
    </w:p>
    <w:p w14:paraId="1066CF76">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L</w:t>
      </w:r>
      <w:r>
        <w:rPr>
          <w:rFonts w:hint="default" w:ascii="Times New Roman" w:hAnsi="Times New Roman" w:eastAsia="宋体" w:cs="Times New Roman"/>
          <w:color w:val="auto"/>
          <w:sz w:val="24"/>
          <w:highlight w:val="none"/>
          <w:vertAlign w:val="subscript"/>
          <w:lang w:val="en-US" w:eastAsia="zh-CN" w:bidi="ar-SA"/>
        </w:rPr>
        <w:t>w</w:t>
      </w:r>
      <w:r>
        <w:rPr>
          <w:rFonts w:hint="default" w:ascii="Times New Roman" w:hAnsi="Times New Roman" w:eastAsia="宋体" w:cs="Times New Roman"/>
          <w:color w:val="auto"/>
          <w:sz w:val="24"/>
          <w:highlight w:val="none"/>
          <w:lang w:val="en-US" w:eastAsia="zh-CN" w:bidi="ar-SA"/>
        </w:rPr>
        <w:t>—点声源声功率级（A计权或倍频带），dB；</w:t>
      </w:r>
    </w:p>
    <w:p w14:paraId="44C03B33">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r—声源到靠近围护结构某点处的距离，m；</w:t>
      </w:r>
    </w:p>
    <w:p w14:paraId="6CB5DC6E">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Q—指向性因数，通常对无指向性声源，当声源放在房间中心时，Q=1，当放在一面墙的中心时，Q=2；当放在两面墙夹角处时，Q=4，当放在三面墙夹角处时，Q=8；</w:t>
      </w:r>
    </w:p>
    <w:p w14:paraId="73093AB5">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R</w:t>
      </w:r>
      <w:bookmarkStart w:id="137" w:name="_Hlk109558467"/>
      <w:r>
        <w:rPr>
          <w:rFonts w:hint="default" w:ascii="Times New Roman" w:hAnsi="Times New Roman" w:eastAsia="宋体" w:cs="Times New Roman"/>
          <w:color w:val="auto"/>
          <w:sz w:val="24"/>
          <w:highlight w:val="none"/>
          <w:lang w:val="en-US" w:eastAsia="zh-CN" w:bidi="ar-SA"/>
        </w:rPr>
        <w:t>—</w:t>
      </w:r>
      <w:bookmarkEnd w:id="137"/>
      <w:r>
        <w:rPr>
          <w:rFonts w:hint="default" w:ascii="Times New Roman" w:hAnsi="Times New Roman" w:eastAsia="宋体" w:cs="Times New Roman"/>
          <w:color w:val="auto"/>
          <w:sz w:val="24"/>
          <w:highlight w:val="none"/>
          <w:lang w:val="en-US" w:eastAsia="zh-CN" w:bidi="ar-SA"/>
        </w:rPr>
        <w:t>房间常数，R=Sα/(1−α)，S为房间内表面面积，m</w:t>
      </w:r>
      <w:r>
        <w:rPr>
          <w:rFonts w:hint="default" w:ascii="Times New Roman" w:hAnsi="Times New Roman" w:eastAsia="宋体" w:cs="Times New Roman"/>
          <w:color w:val="auto"/>
          <w:sz w:val="24"/>
          <w:highlight w:val="none"/>
          <w:vertAlign w:val="superscript"/>
          <w:lang w:val="en-US" w:eastAsia="zh-CN" w:bidi="ar-SA"/>
        </w:rPr>
        <w:t>2</w:t>
      </w:r>
      <w:r>
        <w:rPr>
          <w:rFonts w:hint="default" w:ascii="Times New Roman" w:hAnsi="Times New Roman" w:eastAsia="宋体" w:cs="Times New Roman"/>
          <w:color w:val="auto"/>
          <w:sz w:val="24"/>
          <w:highlight w:val="none"/>
          <w:lang w:val="en-US" w:eastAsia="zh-CN" w:bidi="ar-SA"/>
        </w:rPr>
        <w:t>，α为平均吸声系数，取0.1；</w:t>
      </w:r>
    </w:p>
    <w:p w14:paraId="7966D2E2">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②室内所有声源在靠近围护结构处的合成声压级</w:t>
      </w:r>
    </w:p>
    <w:p w14:paraId="5BEB6E0F">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center"/>
        <w:textAlignment w:val="auto"/>
        <w:rPr>
          <w:rFonts w:hint="default" w:ascii="Times New Roman" w:hAnsi="Times New Roman" w:eastAsia="Times New Roman" w:cs="Times New Roman"/>
          <w:color w:val="auto"/>
          <w:sz w:val="24"/>
          <w:szCs w:val="24"/>
          <w:highlight w:val="none"/>
        </w:rPr>
      </w:pPr>
      <m:oMathPara>
        <m:oMath>
          <m:sSub>
            <m:sSubPr>
              <m:ctrlPr>
                <w:rPr>
                  <w:rFonts w:hint="default" w:ascii="Cambria Math" w:hAnsi="Cambria Math"/>
                  <w:i/>
                  <w:sz w:val="24"/>
                  <w:szCs w:val="24"/>
                  <w:highlight w:val="none"/>
                </w:rPr>
              </m:ctrlPr>
            </m:sSubPr>
            <m:e>
              <m:r>
                <m:rPr/>
                <w:rPr>
                  <w:rFonts w:hint="default" w:ascii="Cambria Math"/>
                  <w:sz w:val="24"/>
                  <w:szCs w:val="24"/>
                  <w:highlight w:val="none"/>
                </w:rPr>
                <m:t>L</m:t>
              </m:r>
              <m:ctrlPr>
                <w:rPr>
                  <w:rFonts w:hint="default" w:ascii="Cambria Math" w:hAnsi="Cambria Math"/>
                  <w:i/>
                  <w:sz w:val="24"/>
                  <w:szCs w:val="24"/>
                  <w:highlight w:val="none"/>
                </w:rPr>
              </m:ctrlPr>
            </m:e>
            <m:sub>
              <m:r>
                <m:rPr/>
                <w:rPr>
                  <w:rFonts w:hint="eastAsia" w:ascii="Cambria Math"/>
                  <w:sz w:val="24"/>
                  <w:szCs w:val="24"/>
                  <w:highlight w:val="none"/>
                </w:rPr>
                <m:t>p</m:t>
              </m:r>
              <m:r>
                <m:rPr/>
                <w:rPr>
                  <w:rFonts w:hint="default" w:ascii="Cambria Math"/>
                  <w:sz w:val="24"/>
                  <w:szCs w:val="24"/>
                  <w:highlight w:val="none"/>
                </w:rPr>
                <m:t>1i</m:t>
              </m:r>
              <m:ctrlPr>
                <w:rPr>
                  <w:rFonts w:hint="default" w:ascii="Cambria Math" w:hAnsi="Cambria Math"/>
                  <w:i/>
                  <w:sz w:val="24"/>
                  <w:szCs w:val="24"/>
                  <w:highlight w:val="none"/>
                </w:rPr>
              </m:ctrlPr>
            </m:sub>
          </m:sSub>
          <m:r>
            <m:rPr/>
            <w:rPr>
              <w:rFonts w:hint="default" w:ascii="Cambria Math"/>
              <w:sz w:val="24"/>
              <w:szCs w:val="24"/>
              <w:highlight w:val="none"/>
            </w:rPr>
            <m:t>=10</m:t>
          </m:r>
          <m:func>
            <m:funcPr>
              <m:ctrlPr>
                <w:rPr>
                  <w:rFonts w:hint="default" w:ascii="Cambria Math" w:hAnsi="Cambria Math"/>
                  <w:i/>
                  <w:sz w:val="24"/>
                  <w:szCs w:val="24"/>
                  <w:highlight w:val="none"/>
                </w:rPr>
              </m:ctrlPr>
            </m:funcPr>
            <m:fName>
              <m:r>
                <m:rPr/>
                <w:rPr>
                  <w:rFonts w:hint="default" w:ascii="Cambria Math"/>
                  <w:sz w:val="24"/>
                  <w:szCs w:val="24"/>
                  <w:highlight w:val="none"/>
                </w:rPr>
                <m:t>lg</m:t>
              </m:r>
              <m:ctrlPr>
                <w:rPr>
                  <w:rFonts w:hint="default" w:ascii="Cambria Math" w:hAnsi="Cambria Math"/>
                  <w:i/>
                  <w:sz w:val="24"/>
                  <w:szCs w:val="24"/>
                  <w:highlight w:val="none"/>
                </w:rPr>
              </m:ctrlPr>
            </m:fName>
            <m:e>
              <m:d>
                <m:dPr>
                  <m:ctrlPr>
                    <w:rPr>
                      <w:rFonts w:hint="default" w:ascii="Cambria Math" w:hAnsi="Cambria Math"/>
                      <w:i/>
                      <w:sz w:val="24"/>
                      <w:szCs w:val="24"/>
                      <w:highlight w:val="none"/>
                    </w:rPr>
                  </m:ctrlPr>
                </m:dPr>
                <m:e>
                  <m:sSup>
                    <m:sSupPr>
                      <m:ctrlPr>
                        <w:rPr>
                          <w:rFonts w:hint="default" w:ascii="Cambria Math" w:hAnsi="Cambria Math"/>
                          <w:i/>
                          <w:sz w:val="24"/>
                          <w:szCs w:val="24"/>
                          <w:highlight w:val="none"/>
                        </w:rPr>
                      </m:ctrlPr>
                    </m:sSupPr>
                    <m:e>
                      <m:nary>
                        <m:naryPr>
                          <m:chr m:val="∑"/>
                          <m:ctrlPr>
                            <w:rPr>
                              <w:rFonts w:hint="default" w:ascii="Cambria Math" w:hAnsi="Cambria Math"/>
                              <w:i/>
                              <w:sz w:val="24"/>
                              <w:szCs w:val="24"/>
                              <w:highlight w:val="none"/>
                            </w:rPr>
                          </m:ctrlPr>
                        </m:naryPr>
                        <m:sub>
                          <m:r>
                            <m:rPr/>
                            <w:rPr>
                              <w:rFonts w:hint="default" w:ascii="Cambria Math"/>
                              <w:sz w:val="24"/>
                              <w:szCs w:val="24"/>
                              <w:highlight w:val="none"/>
                            </w:rPr>
                            <m:t>j=1</m:t>
                          </m:r>
                          <m:ctrlPr>
                            <w:rPr>
                              <w:rFonts w:hint="default" w:ascii="Cambria Math" w:hAnsi="Cambria Math"/>
                              <w:i/>
                              <w:sz w:val="24"/>
                              <w:szCs w:val="24"/>
                              <w:highlight w:val="none"/>
                            </w:rPr>
                          </m:ctrlPr>
                        </m:sub>
                        <m:sup>
                          <m:r>
                            <m:rPr/>
                            <w:rPr>
                              <w:rFonts w:hint="default" w:ascii="Cambria Math"/>
                              <w:sz w:val="24"/>
                              <w:szCs w:val="24"/>
                              <w:highlight w:val="none"/>
                            </w:rPr>
                            <m:t>N</m:t>
                          </m:r>
                          <m:ctrlPr>
                            <w:rPr>
                              <w:rFonts w:hint="default" w:ascii="Cambria Math" w:hAnsi="Cambria Math"/>
                              <w:i/>
                              <w:sz w:val="24"/>
                              <w:szCs w:val="24"/>
                              <w:highlight w:val="none"/>
                            </w:rPr>
                          </m:ctrlPr>
                        </m:sup>
                        <m:e>
                          <m:r>
                            <m:rPr/>
                            <w:rPr>
                              <w:rFonts w:hint="default" w:ascii="Cambria Math"/>
                              <w:sz w:val="24"/>
                              <w:szCs w:val="24"/>
                              <w:highlight w:val="none"/>
                            </w:rPr>
                            <m:t>10</m:t>
                          </m:r>
                          <m:ctrlPr>
                            <w:rPr>
                              <w:rFonts w:hint="default" w:ascii="Cambria Math" w:hAnsi="Cambria Math"/>
                              <w:i/>
                              <w:sz w:val="24"/>
                              <w:szCs w:val="24"/>
                              <w:highlight w:val="none"/>
                            </w:rPr>
                          </m:ctrlPr>
                        </m:e>
                      </m:nary>
                      <m:ctrlPr>
                        <w:rPr>
                          <w:rFonts w:hint="default" w:ascii="Cambria Math" w:hAnsi="Cambria Math"/>
                          <w:i/>
                          <w:sz w:val="24"/>
                          <w:szCs w:val="24"/>
                          <w:highlight w:val="none"/>
                        </w:rPr>
                      </m:ctrlPr>
                    </m:e>
                    <m:sup>
                      <m:r>
                        <m:rPr/>
                        <w:rPr>
                          <w:rFonts w:hint="default" w:ascii="Cambria Math"/>
                          <w:sz w:val="24"/>
                          <w:szCs w:val="24"/>
                          <w:highlight w:val="none"/>
                        </w:rPr>
                        <m:t>0.1</m:t>
                      </m:r>
                      <m:sSub>
                        <m:sSubPr>
                          <m:ctrlPr>
                            <w:rPr>
                              <w:rFonts w:hint="default" w:ascii="Cambria Math" w:hAnsi="Cambria Math"/>
                              <w:i/>
                              <w:sz w:val="24"/>
                              <w:szCs w:val="24"/>
                              <w:highlight w:val="none"/>
                            </w:rPr>
                          </m:ctrlPr>
                        </m:sSubPr>
                        <m:e>
                          <m:r>
                            <m:rPr/>
                            <w:rPr>
                              <w:rFonts w:hint="default" w:ascii="Cambria Math"/>
                              <w:sz w:val="24"/>
                              <w:szCs w:val="24"/>
                              <w:highlight w:val="none"/>
                            </w:rPr>
                            <m:t>L</m:t>
                          </m:r>
                          <m:ctrlPr>
                            <w:rPr>
                              <w:rFonts w:hint="default" w:ascii="Cambria Math" w:hAnsi="Cambria Math"/>
                              <w:i/>
                              <w:sz w:val="24"/>
                              <w:szCs w:val="24"/>
                              <w:highlight w:val="none"/>
                            </w:rPr>
                          </m:ctrlPr>
                        </m:e>
                        <m:sub>
                          <m:r>
                            <m:rPr/>
                            <w:rPr>
                              <w:rFonts w:hint="default" w:ascii="Cambria Math"/>
                              <w:sz w:val="24"/>
                              <w:szCs w:val="24"/>
                              <w:highlight w:val="none"/>
                            </w:rPr>
                            <m:t>p1ij</m:t>
                          </m:r>
                          <m:ctrlPr>
                            <w:rPr>
                              <w:rFonts w:hint="default" w:ascii="Cambria Math" w:hAnsi="Cambria Math"/>
                              <w:i/>
                              <w:sz w:val="24"/>
                              <w:szCs w:val="24"/>
                              <w:highlight w:val="none"/>
                            </w:rPr>
                          </m:ctrlPr>
                        </m:sub>
                      </m:sSub>
                      <m:ctrlPr>
                        <w:rPr>
                          <w:rFonts w:hint="default" w:ascii="Cambria Math" w:hAnsi="Cambria Math"/>
                          <w:i/>
                          <w:sz w:val="24"/>
                          <w:szCs w:val="24"/>
                          <w:highlight w:val="none"/>
                        </w:rPr>
                      </m:ctrlPr>
                    </m:sup>
                  </m:sSup>
                  <m:ctrlPr>
                    <w:rPr>
                      <w:rFonts w:hint="default" w:ascii="Cambria Math" w:hAnsi="Cambria Math"/>
                      <w:i/>
                      <w:sz w:val="24"/>
                      <w:szCs w:val="24"/>
                      <w:highlight w:val="none"/>
                    </w:rPr>
                  </m:ctrlPr>
                </m:e>
              </m:d>
              <m:ctrlPr>
                <w:rPr>
                  <w:rFonts w:hint="default" w:ascii="Cambria Math" w:hAnsi="Cambria Math"/>
                  <w:i/>
                  <w:sz w:val="24"/>
                  <w:szCs w:val="24"/>
                  <w:highlight w:val="none"/>
                </w:rPr>
              </m:ctrlPr>
            </m:e>
          </m:func>
        </m:oMath>
      </m:oMathPara>
    </w:p>
    <w:p w14:paraId="58A0BF5B">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式中：N—室内声源总数。</w:t>
      </w:r>
    </w:p>
    <w:p w14:paraId="64B0E025">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③外靠近围护结构处的声压级（L2）</w:t>
      </w:r>
    </w:p>
    <w:p w14:paraId="6C1E1DFE">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center"/>
        <w:textAlignment w:val="auto"/>
        <w:rPr>
          <w:rFonts w:hint="default" w:ascii="Times New Roman" w:hAnsi="Times New Roman" w:eastAsia="Times New Roman" w:cs="Times New Roman"/>
          <w:color w:val="auto"/>
          <w:sz w:val="24"/>
          <w:szCs w:val="24"/>
          <w:highlight w:val="none"/>
        </w:rPr>
      </w:pPr>
      <w:r>
        <w:rPr>
          <w:rFonts w:hint="default" w:ascii="Times New Roman" w:hAnsi="Times New Roman" w:eastAsia="Times New Roman" w:cs="Times New Roman"/>
          <w:color w:val="auto"/>
          <w:sz w:val="24"/>
          <w:szCs w:val="24"/>
          <w:highlight w:val="none"/>
        </w:rPr>
        <w:t>L</w:t>
      </w:r>
      <w:r>
        <w:rPr>
          <w:rFonts w:hint="default" w:ascii="Times New Roman" w:hAnsi="Times New Roman" w:eastAsia="Times New Roman" w:cs="Times New Roman"/>
          <w:color w:val="auto"/>
          <w:sz w:val="24"/>
          <w:szCs w:val="24"/>
          <w:highlight w:val="none"/>
          <w:vertAlign w:val="subscript"/>
        </w:rPr>
        <w:t>p2</w:t>
      </w:r>
      <w:r>
        <w:rPr>
          <w:rFonts w:hint="default" w:ascii="Times New Roman" w:hAnsi="Times New Roman" w:eastAsia="Times New Roman" w:cs="Times New Roman"/>
          <w:color w:val="auto"/>
          <w:sz w:val="24"/>
          <w:szCs w:val="24"/>
          <w:highlight w:val="none"/>
        </w:rPr>
        <w:t>=L</w:t>
      </w:r>
      <w:r>
        <w:rPr>
          <w:rFonts w:hint="default" w:ascii="Times New Roman" w:hAnsi="Times New Roman" w:eastAsia="Times New Roman" w:cs="Times New Roman"/>
          <w:color w:val="auto"/>
          <w:sz w:val="24"/>
          <w:szCs w:val="24"/>
          <w:highlight w:val="none"/>
          <w:vertAlign w:val="subscript"/>
        </w:rPr>
        <w:t>p1</w:t>
      </w:r>
      <w:r>
        <w:rPr>
          <w:rFonts w:hint="default" w:ascii="Times New Roman" w:hAnsi="Times New Roman" w:eastAsia="Times New Roman" w:cs="Times New Roman"/>
          <w:color w:val="auto"/>
          <w:sz w:val="24"/>
          <w:szCs w:val="24"/>
          <w:highlight w:val="none"/>
        </w:rPr>
        <w:t>-(TL+6)</w:t>
      </w:r>
    </w:p>
    <w:p w14:paraId="544B818F">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式中：TL—隔墙倍频带或A声级的隔声量。</w:t>
      </w:r>
    </w:p>
    <w:p w14:paraId="775B8433">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④将室外声级和透过面积换算成等效的室外声源，计算出中心位置位于透声面积（S）处的等效声源的倍频带声功率级，公式如下：</w:t>
      </w:r>
    </w:p>
    <w:p w14:paraId="324723EC">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center"/>
        <w:textAlignment w:val="auto"/>
        <w:rPr>
          <w:rFonts w:hint="default" w:ascii="Times New Roman" w:hAnsi="Times New Roman" w:eastAsia="Times New Roman" w:cs="Times New Roman"/>
          <w:color w:val="auto"/>
          <w:sz w:val="24"/>
          <w:szCs w:val="24"/>
          <w:highlight w:val="none"/>
        </w:rPr>
      </w:pPr>
      <w:r>
        <w:rPr>
          <w:rFonts w:hint="default" w:ascii="Times New Roman" w:hAnsi="Times New Roman" w:eastAsia="Times New Roman" w:cs="Times New Roman"/>
          <w:color w:val="auto"/>
          <w:sz w:val="24"/>
          <w:szCs w:val="24"/>
          <w:highlight w:val="none"/>
        </w:rPr>
        <w:t>L</w:t>
      </w:r>
      <w:r>
        <w:rPr>
          <w:rFonts w:hint="default" w:ascii="Times New Roman" w:hAnsi="Times New Roman" w:eastAsia="Times New Roman" w:cs="Times New Roman"/>
          <w:color w:val="auto"/>
          <w:sz w:val="24"/>
          <w:szCs w:val="24"/>
          <w:highlight w:val="none"/>
          <w:vertAlign w:val="subscript"/>
        </w:rPr>
        <w:t>w</w:t>
      </w:r>
      <w:r>
        <w:rPr>
          <w:rFonts w:hint="default" w:ascii="Times New Roman" w:hAnsi="Times New Roman" w:eastAsia="Times New Roman" w:cs="Times New Roman"/>
          <w:color w:val="auto"/>
          <w:sz w:val="24"/>
          <w:szCs w:val="24"/>
          <w:highlight w:val="none"/>
        </w:rPr>
        <w:t>=L</w:t>
      </w:r>
      <w:r>
        <w:rPr>
          <w:rFonts w:hint="default" w:ascii="Times New Roman" w:hAnsi="Times New Roman" w:eastAsia="Times New Roman" w:cs="Times New Roman"/>
          <w:color w:val="auto"/>
          <w:sz w:val="24"/>
          <w:szCs w:val="24"/>
          <w:highlight w:val="none"/>
          <w:vertAlign w:val="subscript"/>
        </w:rPr>
        <w:t>p2</w:t>
      </w:r>
      <w:r>
        <w:rPr>
          <w:rFonts w:hint="default" w:ascii="Times New Roman" w:hAnsi="Times New Roman" w:eastAsia="Times New Roman" w:cs="Times New Roman"/>
          <w:color w:val="auto"/>
          <w:sz w:val="24"/>
          <w:szCs w:val="24"/>
          <w:highlight w:val="none"/>
        </w:rPr>
        <w:t>（T）+10lgS</w:t>
      </w:r>
    </w:p>
    <w:p w14:paraId="48FE23B7">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⑤计算等效室外声源传播到预测点的声压级（Li）</w:t>
      </w:r>
    </w:p>
    <w:p w14:paraId="604A2926">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center"/>
        <w:textAlignment w:val="auto"/>
        <w:rPr>
          <w:rFonts w:hint="default" w:ascii="Times New Roman" w:hAnsi="Times New Roman" w:eastAsia="Times New Roman" w:cs="Times New Roman"/>
          <w:color w:val="auto"/>
          <w:sz w:val="24"/>
          <w:szCs w:val="24"/>
          <w:highlight w:val="none"/>
        </w:rPr>
      </w:pPr>
      <w:r>
        <w:rPr>
          <w:rFonts w:hint="default" w:ascii="Times New Roman" w:hAnsi="Times New Roman" w:eastAsia="Times New Roman" w:cs="Times New Roman"/>
          <w:color w:val="auto"/>
          <w:sz w:val="24"/>
          <w:szCs w:val="24"/>
          <w:highlight w:val="none"/>
        </w:rPr>
        <w:t>Lp（r）=L</w:t>
      </w:r>
      <w:r>
        <w:rPr>
          <w:rFonts w:hint="default" w:ascii="Times New Roman" w:hAnsi="Times New Roman" w:eastAsia="Times New Roman" w:cs="Times New Roman"/>
          <w:color w:val="auto"/>
          <w:sz w:val="24"/>
          <w:szCs w:val="24"/>
          <w:highlight w:val="none"/>
          <w:vertAlign w:val="subscript"/>
        </w:rPr>
        <w:t>W</w:t>
      </w:r>
      <w:r>
        <w:rPr>
          <w:rFonts w:hint="default" w:ascii="Times New Roman" w:hAnsi="Times New Roman" w:eastAsia="Times New Roman" w:cs="Times New Roman"/>
          <w:color w:val="auto"/>
          <w:sz w:val="24"/>
          <w:szCs w:val="24"/>
          <w:highlight w:val="none"/>
        </w:rPr>
        <w:t>+D</w:t>
      </w:r>
      <w:r>
        <w:rPr>
          <w:rFonts w:hint="default" w:ascii="Times New Roman" w:hAnsi="Times New Roman" w:eastAsia="Times New Roman" w:cs="Times New Roman"/>
          <w:color w:val="auto"/>
          <w:sz w:val="24"/>
          <w:szCs w:val="24"/>
          <w:highlight w:val="none"/>
          <w:vertAlign w:val="subscript"/>
        </w:rPr>
        <w:t>C</w:t>
      </w:r>
      <w:r>
        <w:rPr>
          <w:rFonts w:hint="default" w:ascii="Times New Roman" w:hAnsi="Times New Roman" w:eastAsia="Times New Roman" w:cs="Times New Roman"/>
          <w:color w:val="auto"/>
          <w:sz w:val="24"/>
          <w:szCs w:val="24"/>
          <w:highlight w:val="none"/>
        </w:rPr>
        <w:t>-（A</w:t>
      </w:r>
      <w:r>
        <w:rPr>
          <w:rFonts w:hint="default" w:ascii="Times New Roman" w:hAnsi="Times New Roman" w:eastAsia="Times New Roman" w:cs="Times New Roman"/>
          <w:color w:val="auto"/>
          <w:sz w:val="24"/>
          <w:szCs w:val="24"/>
          <w:highlight w:val="none"/>
          <w:vertAlign w:val="subscript"/>
        </w:rPr>
        <w:t>div</w:t>
      </w:r>
      <w:r>
        <w:rPr>
          <w:rFonts w:hint="default" w:ascii="Times New Roman" w:hAnsi="Times New Roman" w:eastAsia="Times New Roman" w:cs="Times New Roman"/>
          <w:color w:val="auto"/>
          <w:sz w:val="24"/>
          <w:szCs w:val="24"/>
          <w:highlight w:val="none"/>
        </w:rPr>
        <w:t>+A</w:t>
      </w:r>
      <w:r>
        <w:rPr>
          <w:rFonts w:hint="default" w:ascii="Times New Roman" w:hAnsi="Times New Roman" w:eastAsia="Times New Roman" w:cs="Times New Roman"/>
          <w:color w:val="auto"/>
          <w:sz w:val="24"/>
          <w:szCs w:val="24"/>
          <w:highlight w:val="none"/>
          <w:vertAlign w:val="subscript"/>
        </w:rPr>
        <w:t>bar</w:t>
      </w:r>
      <w:r>
        <w:rPr>
          <w:rFonts w:hint="default" w:ascii="Times New Roman" w:hAnsi="Times New Roman" w:eastAsia="Times New Roman" w:cs="Times New Roman"/>
          <w:color w:val="auto"/>
          <w:sz w:val="24"/>
          <w:szCs w:val="24"/>
          <w:highlight w:val="none"/>
        </w:rPr>
        <w:t>+A</w:t>
      </w:r>
      <w:r>
        <w:rPr>
          <w:rFonts w:hint="default" w:ascii="Times New Roman" w:hAnsi="Times New Roman" w:eastAsia="Times New Roman" w:cs="Times New Roman"/>
          <w:color w:val="auto"/>
          <w:sz w:val="24"/>
          <w:szCs w:val="24"/>
          <w:highlight w:val="none"/>
          <w:vertAlign w:val="subscript"/>
        </w:rPr>
        <w:t>atm</w:t>
      </w:r>
      <w:r>
        <w:rPr>
          <w:rFonts w:hint="default" w:ascii="Times New Roman" w:hAnsi="Times New Roman" w:eastAsia="Times New Roman" w:cs="Times New Roman"/>
          <w:color w:val="auto"/>
          <w:sz w:val="24"/>
          <w:szCs w:val="24"/>
          <w:highlight w:val="none"/>
        </w:rPr>
        <w:t>+A</w:t>
      </w:r>
      <w:r>
        <w:rPr>
          <w:rFonts w:hint="default" w:ascii="Times New Roman" w:hAnsi="Times New Roman" w:eastAsia="Times New Roman" w:cs="Times New Roman"/>
          <w:color w:val="auto"/>
          <w:sz w:val="24"/>
          <w:szCs w:val="24"/>
          <w:highlight w:val="none"/>
          <w:vertAlign w:val="subscript"/>
        </w:rPr>
        <w:t>gr</w:t>
      </w:r>
      <w:r>
        <w:rPr>
          <w:rFonts w:hint="default" w:ascii="Times New Roman" w:hAnsi="Times New Roman" w:eastAsia="Times New Roman" w:cs="Times New Roman"/>
          <w:color w:val="auto"/>
          <w:sz w:val="24"/>
          <w:szCs w:val="24"/>
          <w:highlight w:val="none"/>
        </w:rPr>
        <w:t>+A</w:t>
      </w:r>
      <w:r>
        <w:rPr>
          <w:rFonts w:hint="default" w:ascii="Times New Roman" w:hAnsi="Times New Roman" w:eastAsia="Times New Roman" w:cs="Times New Roman"/>
          <w:color w:val="auto"/>
          <w:sz w:val="24"/>
          <w:szCs w:val="24"/>
          <w:highlight w:val="none"/>
          <w:vertAlign w:val="subscript"/>
        </w:rPr>
        <w:t>misc</w:t>
      </w:r>
      <w:r>
        <w:rPr>
          <w:rFonts w:hint="default" w:ascii="Times New Roman" w:hAnsi="Times New Roman" w:eastAsia="Times New Roman" w:cs="Times New Roman"/>
          <w:color w:val="auto"/>
          <w:sz w:val="24"/>
          <w:szCs w:val="24"/>
          <w:highlight w:val="none"/>
        </w:rPr>
        <w:t>）</w:t>
      </w:r>
    </w:p>
    <w:p w14:paraId="5A08A964">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center"/>
        <w:textAlignment w:val="auto"/>
        <w:rPr>
          <w:rFonts w:hint="default" w:ascii="Times New Roman" w:hAnsi="Times New Roman" w:eastAsia="Times New Roman" w:cs="Times New Roman"/>
          <w:color w:val="auto"/>
          <w:sz w:val="24"/>
          <w:szCs w:val="24"/>
          <w:highlight w:val="none"/>
        </w:rPr>
      </w:pPr>
      <w:r>
        <w:rPr>
          <w:rFonts w:hint="default" w:ascii="Times New Roman" w:hAnsi="Times New Roman" w:eastAsia="Times New Roman" w:cs="Times New Roman"/>
          <w:color w:val="auto"/>
          <w:sz w:val="24"/>
          <w:szCs w:val="24"/>
          <w:highlight w:val="none"/>
        </w:rPr>
        <w:t>A</w:t>
      </w:r>
      <w:r>
        <w:rPr>
          <w:rFonts w:hint="default" w:ascii="Times New Roman" w:hAnsi="Times New Roman" w:eastAsia="Times New Roman" w:cs="Times New Roman"/>
          <w:color w:val="auto"/>
          <w:sz w:val="24"/>
          <w:szCs w:val="24"/>
          <w:highlight w:val="none"/>
          <w:vertAlign w:val="subscript"/>
        </w:rPr>
        <w:t>div</w:t>
      </w:r>
      <w:r>
        <w:rPr>
          <w:rFonts w:hint="default" w:ascii="Times New Roman" w:hAnsi="Times New Roman" w:eastAsia="Times New Roman" w:cs="Times New Roman"/>
          <w:color w:val="auto"/>
          <w:sz w:val="24"/>
          <w:szCs w:val="24"/>
          <w:highlight w:val="none"/>
        </w:rPr>
        <w:t>=20lg（r/r</w:t>
      </w:r>
      <w:r>
        <w:rPr>
          <w:rFonts w:hint="default" w:ascii="Times New Roman" w:hAnsi="Times New Roman" w:eastAsia="Times New Roman" w:cs="Times New Roman"/>
          <w:color w:val="auto"/>
          <w:sz w:val="24"/>
          <w:szCs w:val="24"/>
          <w:highlight w:val="none"/>
          <w:vertAlign w:val="subscript"/>
        </w:rPr>
        <w:t>0</w:t>
      </w:r>
      <w:r>
        <w:rPr>
          <w:rFonts w:hint="default" w:ascii="Times New Roman" w:hAnsi="Times New Roman" w:eastAsia="Times New Roman" w:cs="Times New Roman"/>
          <w:color w:val="auto"/>
          <w:sz w:val="24"/>
          <w:szCs w:val="24"/>
          <w:highlight w:val="none"/>
        </w:rPr>
        <w:t>）</w:t>
      </w:r>
    </w:p>
    <w:p w14:paraId="0118BDC5">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bidi="ar-SA"/>
        </w:rPr>
        <w:t>式中：Lp（r）—预测点处声压级，dB；</w:t>
      </w:r>
    </w:p>
    <w:p w14:paraId="017575E9">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L</w:t>
      </w:r>
      <w:r>
        <w:rPr>
          <w:rFonts w:hint="default" w:ascii="Times New Roman" w:hAnsi="Times New Roman" w:eastAsia="宋体" w:cs="Times New Roman"/>
          <w:color w:val="auto"/>
          <w:sz w:val="24"/>
          <w:highlight w:val="none"/>
          <w:vertAlign w:val="subscript"/>
          <w:lang w:val="en-US" w:eastAsia="zh-CN" w:bidi="ar-SA"/>
        </w:rPr>
        <w:t>W</w:t>
      </w:r>
      <w:r>
        <w:rPr>
          <w:rFonts w:hint="default" w:ascii="Times New Roman" w:hAnsi="Times New Roman" w:eastAsia="宋体" w:cs="Times New Roman"/>
          <w:color w:val="auto"/>
          <w:sz w:val="24"/>
          <w:highlight w:val="none"/>
          <w:lang w:val="en-US" w:eastAsia="zh-CN" w:bidi="ar-SA"/>
        </w:rPr>
        <w:t>—由点声源产生的声功率级（A计权或倍频带），dB；</w:t>
      </w:r>
    </w:p>
    <w:p w14:paraId="634E11F6">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D</w:t>
      </w:r>
      <w:r>
        <w:rPr>
          <w:rFonts w:hint="default" w:ascii="Times New Roman" w:hAnsi="Times New Roman" w:eastAsia="宋体" w:cs="Times New Roman"/>
          <w:color w:val="auto"/>
          <w:sz w:val="24"/>
          <w:highlight w:val="none"/>
          <w:vertAlign w:val="subscript"/>
          <w:lang w:val="en-US" w:eastAsia="zh-CN" w:bidi="ar-SA"/>
        </w:rPr>
        <w:t>C</w:t>
      </w:r>
      <w:r>
        <w:rPr>
          <w:rFonts w:hint="default" w:ascii="Times New Roman" w:hAnsi="Times New Roman" w:eastAsia="宋体" w:cs="Times New Roman"/>
          <w:color w:val="auto"/>
          <w:sz w:val="24"/>
          <w:highlight w:val="none"/>
          <w:lang w:val="en-US" w:eastAsia="zh-CN" w:bidi="ar-SA"/>
        </w:rPr>
        <w:t>—指向性校正，它描述点声源的等效连续声压级与产生声功率级LW的全向点声源在规定方向的声级的偏差程度，dB；</w:t>
      </w:r>
    </w:p>
    <w:p w14:paraId="55E013C1">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A</w:t>
      </w:r>
      <w:r>
        <w:rPr>
          <w:rFonts w:hint="default" w:ascii="Times New Roman" w:hAnsi="Times New Roman" w:eastAsia="宋体" w:cs="Times New Roman"/>
          <w:color w:val="auto"/>
          <w:sz w:val="24"/>
          <w:highlight w:val="none"/>
          <w:vertAlign w:val="subscript"/>
          <w:lang w:val="en-US" w:eastAsia="zh-CN" w:bidi="ar-SA"/>
        </w:rPr>
        <w:t>div</w:t>
      </w:r>
      <w:r>
        <w:rPr>
          <w:rFonts w:hint="default" w:ascii="Times New Roman" w:hAnsi="Times New Roman" w:eastAsia="宋体" w:cs="Times New Roman"/>
          <w:color w:val="auto"/>
          <w:sz w:val="24"/>
          <w:highlight w:val="none"/>
          <w:lang w:val="en-US" w:eastAsia="zh-CN" w:bidi="ar-SA"/>
        </w:rPr>
        <w:t>—几何发散引起的衰减，dB；</w:t>
      </w:r>
    </w:p>
    <w:p w14:paraId="09C9B93E">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A</w:t>
      </w:r>
      <w:r>
        <w:rPr>
          <w:rFonts w:hint="default" w:ascii="Times New Roman" w:hAnsi="Times New Roman" w:eastAsia="宋体" w:cs="Times New Roman"/>
          <w:color w:val="auto"/>
          <w:sz w:val="24"/>
          <w:highlight w:val="none"/>
          <w:vertAlign w:val="subscript"/>
          <w:lang w:val="en-US" w:eastAsia="zh-CN" w:bidi="ar-SA"/>
        </w:rPr>
        <w:t>bar</w:t>
      </w:r>
      <w:r>
        <w:rPr>
          <w:rFonts w:hint="default" w:ascii="Times New Roman" w:hAnsi="Times New Roman" w:eastAsia="宋体" w:cs="Times New Roman"/>
          <w:color w:val="auto"/>
          <w:sz w:val="24"/>
          <w:highlight w:val="none"/>
          <w:lang w:val="en-US" w:eastAsia="zh-CN" w:bidi="ar-SA"/>
        </w:rPr>
        <w:t>—障碍物屏障引起的衰减，dB，本项目墙、门窗等维护结构按薄屏障考虑，衰减取20dB；</w:t>
      </w:r>
    </w:p>
    <w:p w14:paraId="45019FBD">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A</w:t>
      </w:r>
      <w:r>
        <w:rPr>
          <w:rFonts w:hint="default" w:ascii="Times New Roman" w:hAnsi="Times New Roman" w:eastAsia="宋体" w:cs="Times New Roman"/>
          <w:color w:val="auto"/>
          <w:sz w:val="24"/>
          <w:highlight w:val="none"/>
          <w:vertAlign w:val="subscript"/>
          <w:lang w:val="en-US" w:eastAsia="zh-CN" w:bidi="ar-SA"/>
        </w:rPr>
        <w:t>atm</w:t>
      </w:r>
      <w:r>
        <w:rPr>
          <w:rFonts w:hint="default" w:ascii="Times New Roman" w:hAnsi="Times New Roman" w:eastAsia="宋体" w:cs="Times New Roman"/>
          <w:color w:val="auto"/>
          <w:sz w:val="24"/>
          <w:highlight w:val="none"/>
          <w:lang w:val="en-US" w:eastAsia="zh-CN" w:bidi="ar-SA"/>
        </w:rPr>
        <w:t>—大气吸收引起的衰减，dB；</w:t>
      </w:r>
    </w:p>
    <w:p w14:paraId="1A37FE99">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A</w:t>
      </w:r>
      <w:r>
        <w:rPr>
          <w:rFonts w:hint="default" w:ascii="Times New Roman" w:hAnsi="Times New Roman" w:eastAsia="宋体" w:cs="Times New Roman"/>
          <w:color w:val="auto"/>
          <w:sz w:val="24"/>
          <w:highlight w:val="none"/>
          <w:vertAlign w:val="subscript"/>
          <w:lang w:val="en-US" w:eastAsia="zh-CN" w:bidi="ar-SA"/>
        </w:rPr>
        <w:t>gr</w:t>
      </w:r>
      <w:r>
        <w:rPr>
          <w:rFonts w:hint="default" w:ascii="Times New Roman" w:hAnsi="Times New Roman" w:eastAsia="宋体" w:cs="Times New Roman"/>
          <w:color w:val="auto"/>
          <w:sz w:val="24"/>
          <w:highlight w:val="none"/>
          <w:lang w:val="en-US" w:eastAsia="zh-CN" w:bidi="ar-SA"/>
        </w:rPr>
        <w:t>—地面效应引起的衰减，dB；</w:t>
      </w:r>
    </w:p>
    <w:p w14:paraId="6EA9AC9A">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A</w:t>
      </w:r>
      <w:r>
        <w:rPr>
          <w:rFonts w:hint="default" w:ascii="Times New Roman" w:hAnsi="Times New Roman" w:eastAsia="宋体" w:cs="Times New Roman"/>
          <w:color w:val="auto"/>
          <w:sz w:val="24"/>
          <w:highlight w:val="none"/>
          <w:vertAlign w:val="subscript"/>
          <w:lang w:val="en-US" w:eastAsia="zh-CN" w:bidi="ar-SA"/>
        </w:rPr>
        <w:t>exc</w:t>
      </w:r>
      <w:r>
        <w:rPr>
          <w:rFonts w:hint="default" w:ascii="Times New Roman" w:hAnsi="Times New Roman" w:eastAsia="宋体" w:cs="Times New Roman"/>
          <w:color w:val="auto"/>
          <w:sz w:val="24"/>
          <w:highlight w:val="none"/>
          <w:lang w:val="en-US" w:eastAsia="zh-CN" w:bidi="ar-SA"/>
        </w:rPr>
        <w:t>—其他多方面效应引起的衰减，dB；</w:t>
      </w:r>
    </w:p>
    <w:p w14:paraId="0B9AEACE">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r—预测点距声源的距离；</w:t>
      </w:r>
    </w:p>
    <w:p w14:paraId="0FD0534A">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r</w:t>
      </w:r>
      <w:r>
        <w:rPr>
          <w:rFonts w:hint="default" w:ascii="Times New Roman" w:hAnsi="Times New Roman" w:eastAsia="宋体" w:cs="Times New Roman"/>
          <w:color w:val="auto"/>
          <w:sz w:val="24"/>
          <w:highlight w:val="none"/>
          <w:vertAlign w:val="subscript"/>
          <w:lang w:val="en-US" w:eastAsia="zh-CN" w:bidi="ar-SA"/>
        </w:rPr>
        <w:t>0</w:t>
      </w:r>
      <w:r>
        <w:rPr>
          <w:rFonts w:hint="default" w:ascii="Times New Roman" w:hAnsi="Times New Roman" w:eastAsia="宋体" w:cs="Times New Roman"/>
          <w:color w:val="auto"/>
          <w:sz w:val="24"/>
          <w:highlight w:val="none"/>
          <w:lang w:val="en-US" w:eastAsia="zh-CN" w:bidi="ar-SA"/>
        </w:rPr>
        <w:t>—参考位置距声源的距离。</w:t>
      </w:r>
    </w:p>
    <w:p w14:paraId="70779931">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根据本评价的实际情况，仅考虑几何发散和屏障。</w:t>
      </w:r>
    </w:p>
    <w:p w14:paraId="0172210F">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⑥计算等效室外声源在预测点产生的等效声级贡献值(Leqg)计算公式：</w:t>
      </w:r>
    </w:p>
    <w:p w14:paraId="4D5DDEBA">
      <w:pPr>
        <w:snapToGrid w:val="0"/>
        <w:spacing w:line="360" w:lineRule="auto"/>
        <w:ind w:firstLine="1320" w:firstLineChars="550"/>
        <w:jc w:val="center"/>
        <w:rPr>
          <w:rFonts w:hint="default" w:ascii="Times New Roman" w:hAnsi="Times New Roman" w:cs="Times New Roman"/>
          <w:color w:val="auto"/>
          <w:highlight w:val="none"/>
        </w:rPr>
      </w:pPr>
      <w:r>
        <w:rPr>
          <w:rFonts w:hint="default" w:ascii="Times New Roman" w:hAnsi="Times New Roman" w:cs="Times New Roman"/>
          <w:color w:val="auto"/>
          <w:position w:val="-34"/>
          <w:highlight w:val="none"/>
        </w:rPr>
        <w:object>
          <v:shape id="_x0000_i1028" o:spt="75" type="#_x0000_t75" style="height:41.35pt;width:204.75pt;" o:ole="t" filled="f" o:preferrelative="t" stroked="f" coordsize="21600,21600">
            <v:path/>
            <v:fill on="f" focussize="0,0"/>
            <v:stroke on="f" joinstyle="miter"/>
            <v:imagedata r:id="rId50" o:title=""/>
            <o:lock v:ext="edit" aspectratio="t"/>
            <w10:wrap type="none"/>
            <w10:anchorlock/>
          </v:shape>
          <o:OLEObject Type="Embed" ProgID="Equation.3" ShapeID="_x0000_i1028" DrawAspect="Content" ObjectID="_1468075728" r:id="rId49">
            <o:LockedField>false</o:LockedField>
          </o:OLEObject>
        </w:object>
      </w:r>
    </w:p>
    <w:p w14:paraId="2A78D925">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式中：L</w:t>
      </w:r>
      <w:r>
        <w:rPr>
          <w:rFonts w:hint="default" w:ascii="Times New Roman" w:hAnsi="Times New Roman" w:eastAsia="宋体" w:cs="Times New Roman"/>
          <w:color w:val="auto"/>
          <w:sz w:val="24"/>
          <w:highlight w:val="none"/>
          <w:vertAlign w:val="subscript"/>
          <w:lang w:val="en-US" w:eastAsia="zh-CN" w:bidi="ar-SA"/>
        </w:rPr>
        <w:t>eqg</w:t>
      </w:r>
      <w:r>
        <w:rPr>
          <w:rFonts w:hint="default" w:ascii="Times New Roman" w:hAnsi="Times New Roman" w:eastAsia="宋体" w:cs="Times New Roman"/>
          <w:color w:val="auto"/>
          <w:sz w:val="24"/>
          <w:highlight w:val="none"/>
          <w:lang w:val="en-US" w:eastAsia="zh-CN" w:bidi="ar-SA"/>
        </w:rPr>
        <w:t>—建设项目声源在预测点产生的噪声贡献值，dB(A)；</w:t>
      </w:r>
    </w:p>
    <w:p w14:paraId="7C55B34D">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T—用于计算等效声级的时间，s；</w:t>
      </w:r>
    </w:p>
    <w:p w14:paraId="008ACD4D">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t</w:t>
      </w:r>
      <w:r>
        <w:rPr>
          <w:rFonts w:hint="default" w:ascii="Times New Roman" w:hAnsi="Times New Roman" w:eastAsia="宋体" w:cs="Times New Roman"/>
          <w:color w:val="auto"/>
          <w:sz w:val="24"/>
          <w:highlight w:val="none"/>
          <w:vertAlign w:val="subscript"/>
          <w:lang w:val="en-US" w:eastAsia="zh-CN" w:bidi="ar-SA"/>
        </w:rPr>
        <w:t>i</w:t>
      </w:r>
      <w:r>
        <w:rPr>
          <w:rFonts w:hint="default" w:ascii="Times New Roman" w:hAnsi="Times New Roman" w:eastAsia="宋体" w:cs="Times New Roman"/>
          <w:color w:val="auto"/>
          <w:sz w:val="24"/>
          <w:highlight w:val="none"/>
          <w:lang w:val="en-US" w:eastAsia="zh-CN" w:bidi="ar-SA"/>
        </w:rPr>
        <w:t>—在T时间内i声源工作时间，s；</w:t>
      </w:r>
    </w:p>
    <w:p w14:paraId="1EF53826">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olor w:val="auto"/>
          <w:sz w:val="24"/>
          <w:highlight w:val="none"/>
          <w:lang w:val="en-US" w:eastAsia="zh-CN" w:bidi="ar-SA"/>
        </w:rPr>
      </w:pPr>
      <w:r>
        <w:rPr>
          <w:rFonts w:hint="default" w:ascii="Times New Roman" w:hAnsi="Times New Roman" w:eastAsia="宋体" w:cs="Times New Roman"/>
          <w:color w:val="auto"/>
          <w:sz w:val="24"/>
          <w:highlight w:val="none"/>
          <w:lang w:val="en-US" w:eastAsia="zh-CN" w:bidi="ar-SA"/>
        </w:rPr>
        <w:t>t</w:t>
      </w:r>
      <w:r>
        <w:rPr>
          <w:rFonts w:hint="default" w:ascii="Times New Roman" w:hAnsi="Times New Roman" w:eastAsia="宋体" w:cs="Times New Roman"/>
          <w:color w:val="auto"/>
          <w:sz w:val="24"/>
          <w:highlight w:val="none"/>
          <w:vertAlign w:val="subscript"/>
          <w:lang w:val="en-US" w:eastAsia="zh-CN" w:bidi="ar-SA"/>
        </w:rPr>
        <w:t>j</w:t>
      </w:r>
      <w:r>
        <w:rPr>
          <w:rFonts w:hint="default" w:ascii="Times New Roman" w:hAnsi="Times New Roman" w:eastAsia="宋体" w:cs="Times New Roman"/>
          <w:color w:val="auto"/>
          <w:sz w:val="24"/>
          <w:highlight w:val="none"/>
          <w:lang w:val="en-US" w:eastAsia="zh-CN" w:bidi="ar-SA"/>
        </w:rPr>
        <w:t>—在T时间内j声源工作时间，s；</w:t>
      </w:r>
    </w:p>
    <w:p w14:paraId="28C938BE">
      <w:pPr>
        <w:bidi w:val="0"/>
        <w:ind w:firstLine="1200" w:firstLineChars="500"/>
        <w:rPr>
          <w:rFonts w:hint="default"/>
          <w:highlight w:val="none"/>
          <w:lang w:val="en-US" w:eastAsia="zh-CN"/>
        </w:rPr>
      </w:pPr>
      <w:r>
        <w:rPr>
          <w:rFonts w:hint="default"/>
          <w:highlight w:val="none"/>
          <w:lang w:val="en-US" w:eastAsia="zh-CN"/>
        </w:rPr>
        <w:t>M—等效室外声源个数。</w:t>
      </w:r>
    </w:p>
    <w:p w14:paraId="3F02D98F">
      <w:pPr>
        <w:pStyle w:val="5"/>
        <w:bidi w:val="0"/>
        <w:ind w:left="0" w:leftChars="0" w:firstLine="0" w:firstLineChars="0"/>
        <w:rPr>
          <w:rFonts w:hint="eastAsia" w:ascii="Times New Roman" w:hAnsi="Times New Roman" w:cs="Times New Roman"/>
          <w:sz w:val="30"/>
          <w:szCs w:val="30"/>
          <w:highlight w:val="none"/>
          <w:lang w:val="en-US" w:eastAsia="zh-CN"/>
        </w:rPr>
      </w:pPr>
      <w:bookmarkStart w:id="138" w:name="_Toc28861"/>
      <w:r>
        <w:rPr>
          <w:rFonts w:hint="eastAsia" w:ascii="Times New Roman" w:hAnsi="Times New Roman" w:eastAsia="宋体" w:cs="Times New Roman"/>
          <w:sz w:val="30"/>
          <w:szCs w:val="30"/>
          <w:highlight w:val="none"/>
          <w:lang w:val="en-US" w:eastAsia="zh-CN"/>
        </w:rPr>
        <w:t>5.4.5预测</w:t>
      </w:r>
      <w:r>
        <w:rPr>
          <w:rFonts w:hint="eastAsia" w:ascii="Times New Roman" w:hAnsi="Times New Roman" w:cs="Times New Roman"/>
          <w:sz w:val="30"/>
          <w:szCs w:val="30"/>
          <w:highlight w:val="none"/>
          <w:lang w:val="en-US" w:eastAsia="zh-CN"/>
        </w:rPr>
        <w:t>结果及分析</w:t>
      </w:r>
      <w:bookmarkEnd w:id="138"/>
    </w:p>
    <w:p w14:paraId="0E015460">
      <w:pPr>
        <w:ind w:firstLine="480"/>
        <w:rPr>
          <w:rFonts w:ascii="Times New Roman" w:hAnsi="Times New Roman"/>
          <w:highlight w:val="none"/>
        </w:rPr>
      </w:pPr>
      <w:r>
        <w:rPr>
          <w:rFonts w:ascii="Times New Roman" w:hAnsi="Times New Roman"/>
          <w:highlight w:val="none"/>
        </w:rPr>
        <w:t>噪声预测采用网格布点法，建立直角坐标系，以10m×10m间距为步长，厂界噪声预测结果及环境敏感目标预测结果分别见表5.</w:t>
      </w:r>
      <w:r>
        <w:rPr>
          <w:rFonts w:hint="eastAsia" w:ascii="Times New Roman" w:hAnsi="Times New Roman"/>
          <w:highlight w:val="none"/>
        </w:rPr>
        <w:t>4</w:t>
      </w:r>
      <w:r>
        <w:rPr>
          <w:rFonts w:ascii="Times New Roman" w:hAnsi="Times New Roman"/>
          <w:highlight w:val="none"/>
        </w:rPr>
        <w:t>-</w:t>
      </w:r>
      <w:r>
        <w:rPr>
          <w:rFonts w:hint="eastAsia" w:ascii="Times New Roman" w:hAnsi="Times New Roman"/>
          <w:highlight w:val="none"/>
          <w:lang w:val="en-US" w:eastAsia="zh-CN"/>
        </w:rPr>
        <w:t>3</w:t>
      </w:r>
      <w:r>
        <w:rPr>
          <w:rFonts w:ascii="Times New Roman" w:hAnsi="Times New Roman"/>
          <w:highlight w:val="none"/>
        </w:rPr>
        <w:t>。</w:t>
      </w:r>
    </w:p>
    <w:p w14:paraId="701DB111">
      <w:pPr>
        <w:ind w:firstLine="0" w:firstLineChars="0"/>
        <w:jc w:val="center"/>
        <w:rPr>
          <w:rFonts w:ascii="Times New Roman" w:hAnsi="Times New Roman"/>
          <w:highlight w:val="none"/>
        </w:rPr>
      </w:pPr>
    </w:p>
    <w:p w14:paraId="507C7F4E">
      <w:pPr>
        <w:ind w:firstLine="0" w:firstLineChars="0"/>
        <w:jc w:val="center"/>
        <w:rPr>
          <w:rFonts w:ascii="Times New Roman" w:hAnsi="Times New Roman"/>
          <w:highlight w:val="none"/>
        </w:rPr>
      </w:pPr>
    </w:p>
    <w:p w14:paraId="7BCB41AE">
      <w:pPr>
        <w:ind w:firstLine="0" w:firstLineChars="0"/>
        <w:jc w:val="center"/>
        <w:rPr>
          <w:rFonts w:ascii="Times New Roman" w:hAnsi="Times New Roman"/>
          <w:highlight w:val="none"/>
        </w:rPr>
      </w:pPr>
      <w:r>
        <w:rPr>
          <w:rFonts w:hint="eastAsia" w:ascii="黑体" w:hAnsi="黑体" w:eastAsia="黑体" w:cs="黑体"/>
          <w:highlight w:val="none"/>
        </w:rPr>
        <w:t>表</w:t>
      </w:r>
      <w:r>
        <w:rPr>
          <w:rFonts w:ascii="Times New Roman" w:hAnsi="Times New Roman"/>
          <w:highlight w:val="none"/>
        </w:rPr>
        <w:t>5.</w:t>
      </w:r>
      <w:r>
        <w:rPr>
          <w:rFonts w:hint="eastAsia" w:ascii="Times New Roman" w:hAnsi="Times New Roman"/>
          <w:highlight w:val="none"/>
        </w:rPr>
        <w:t>4</w:t>
      </w:r>
      <w:r>
        <w:rPr>
          <w:rFonts w:ascii="Times New Roman" w:hAnsi="Times New Roman"/>
          <w:highlight w:val="none"/>
        </w:rPr>
        <w:t>-</w:t>
      </w:r>
      <w:r>
        <w:rPr>
          <w:rFonts w:hint="eastAsia" w:ascii="Times New Roman" w:hAnsi="Times New Roman"/>
          <w:highlight w:val="none"/>
          <w:lang w:val="en-US" w:eastAsia="zh-CN"/>
        </w:rPr>
        <w:t>3</w:t>
      </w:r>
      <w:r>
        <w:rPr>
          <w:rFonts w:hint="eastAsia" w:ascii="黑体" w:hAnsi="黑体" w:eastAsia="黑体" w:cs="黑体"/>
          <w:highlight w:val="none"/>
        </w:rPr>
        <w:t>噪声贡献值一览表 单位</w:t>
      </w:r>
      <w:r>
        <w:rPr>
          <w:rFonts w:ascii="Times New Roman" w:hAnsi="Times New Roman"/>
          <w:highlight w:val="none"/>
        </w:rPr>
        <w:t>：dB（A）</w:t>
      </w:r>
    </w:p>
    <w:tbl>
      <w:tblPr>
        <w:tblStyle w:val="17"/>
        <w:tblW w:w="0" w:type="auto"/>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526"/>
        <w:gridCol w:w="709"/>
        <w:gridCol w:w="850"/>
        <w:gridCol w:w="851"/>
        <w:gridCol w:w="850"/>
        <w:gridCol w:w="851"/>
        <w:gridCol w:w="708"/>
        <w:gridCol w:w="2177"/>
      </w:tblGrid>
      <w:tr w14:paraId="2370E49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32" w:hRule="atLeast"/>
          <w:jc w:val="center"/>
        </w:trPr>
        <w:tc>
          <w:tcPr>
            <w:tcW w:w="1526" w:type="dxa"/>
            <w:vMerge w:val="restart"/>
            <w:noWrap w:val="0"/>
            <w:vAlign w:val="center"/>
          </w:tcPr>
          <w:p w14:paraId="4CE56FC6">
            <w:pPr>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厂界</w:t>
            </w:r>
          </w:p>
        </w:tc>
        <w:tc>
          <w:tcPr>
            <w:tcW w:w="1559" w:type="dxa"/>
            <w:gridSpan w:val="2"/>
            <w:noWrap w:val="0"/>
            <w:vAlign w:val="center"/>
          </w:tcPr>
          <w:p w14:paraId="2284814E">
            <w:pPr>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贡献值</w:t>
            </w:r>
          </w:p>
        </w:tc>
        <w:tc>
          <w:tcPr>
            <w:tcW w:w="1701" w:type="dxa"/>
            <w:gridSpan w:val="2"/>
            <w:noWrap w:val="0"/>
            <w:vAlign w:val="center"/>
          </w:tcPr>
          <w:p w14:paraId="7D7514ED">
            <w:pPr>
              <w:spacing w:line="240" w:lineRule="auto"/>
              <w:ind w:firstLine="0" w:firstLineChars="0"/>
              <w:jc w:val="center"/>
              <w:rPr>
                <w:rFonts w:hint="eastAsia" w:ascii="Times New Roman" w:hAnsi="Times New Roman"/>
                <w:bCs/>
                <w:sz w:val="21"/>
                <w:highlight w:val="none"/>
              </w:rPr>
            </w:pPr>
            <w:r>
              <w:rPr>
                <w:rFonts w:hint="eastAsia" w:ascii="Times New Roman" w:hAnsi="Times New Roman"/>
                <w:bCs/>
                <w:sz w:val="21"/>
                <w:highlight w:val="none"/>
              </w:rPr>
              <w:t>背景值</w:t>
            </w:r>
          </w:p>
        </w:tc>
        <w:tc>
          <w:tcPr>
            <w:tcW w:w="1559" w:type="dxa"/>
            <w:gridSpan w:val="2"/>
            <w:noWrap w:val="0"/>
            <w:vAlign w:val="center"/>
          </w:tcPr>
          <w:p w14:paraId="2E9D3ECB">
            <w:pPr>
              <w:spacing w:line="240" w:lineRule="auto"/>
              <w:ind w:firstLine="0" w:firstLineChars="0"/>
              <w:jc w:val="center"/>
              <w:rPr>
                <w:rFonts w:ascii="Times New Roman" w:hAnsi="Times New Roman"/>
                <w:bCs/>
                <w:sz w:val="21"/>
                <w:highlight w:val="none"/>
              </w:rPr>
            </w:pPr>
            <w:r>
              <w:rPr>
                <w:rFonts w:hint="eastAsia" w:ascii="Times New Roman" w:hAnsi="Times New Roman"/>
                <w:bCs/>
                <w:sz w:val="21"/>
                <w:highlight w:val="none"/>
                <w:lang w:val="en-US" w:eastAsia="zh-CN"/>
              </w:rPr>
              <w:t>标准</w:t>
            </w:r>
            <w:r>
              <w:rPr>
                <w:rFonts w:hint="eastAsia" w:ascii="Times New Roman" w:hAnsi="Times New Roman"/>
                <w:bCs/>
                <w:sz w:val="21"/>
                <w:highlight w:val="none"/>
              </w:rPr>
              <w:t>值</w:t>
            </w:r>
          </w:p>
        </w:tc>
        <w:tc>
          <w:tcPr>
            <w:tcW w:w="2177" w:type="dxa"/>
            <w:tcBorders>
              <w:bottom w:val="single" w:color="auto" w:sz="4" w:space="0"/>
            </w:tcBorders>
            <w:noWrap w:val="0"/>
            <w:vAlign w:val="center"/>
          </w:tcPr>
          <w:p w14:paraId="2389885A">
            <w:pPr>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执行标准</w:t>
            </w:r>
          </w:p>
        </w:tc>
      </w:tr>
      <w:tr w14:paraId="61C6E73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33" w:hRule="atLeast"/>
          <w:jc w:val="center"/>
        </w:trPr>
        <w:tc>
          <w:tcPr>
            <w:tcW w:w="1526" w:type="dxa"/>
            <w:vMerge w:val="continue"/>
            <w:noWrap w:val="0"/>
            <w:vAlign w:val="center"/>
          </w:tcPr>
          <w:p w14:paraId="208BEEA1">
            <w:pPr>
              <w:spacing w:line="240" w:lineRule="auto"/>
              <w:ind w:firstLine="0" w:firstLineChars="0"/>
              <w:jc w:val="center"/>
              <w:rPr>
                <w:rFonts w:ascii="Times New Roman" w:hAnsi="Times New Roman"/>
                <w:bCs/>
                <w:sz w:val="21"/>
                <w:highlight w:val="none"/>
              </w:rPr>
            </w:pPr>
          </w:p>
        </w:tc>
        <w:tc>
          <w:tcPr>
            <w:tcW w:w="709" w:type="dxa"/>
            <w:noWrap w:val="0"/>
            <w:vAlign w:val="center"/>
          </w:tcPr>
          <w:p w14:paraId="24E213C5">
            <w:pPr>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昼间</w:t>
            </w:r>
          </w:p>
        </w:tc>
        <w:tc>
          <w:tcPr>
            <w:tcW w:w="850" w:type="dxa"/>
            <w:noWrap w:val="0"/>
            <w:vAlign w:val="center"/>
          </w:tcPr>
          <w:p w14:paraId="3752A5C7">
            <w:pPr>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夜间</w:t>
            </w:r>
          </w:p>
        </w:tc>
        <w:tc>
          <w:tcPr>
            <w:tcW w:w="851" w:type="dxa"/>
            <w:noWrap w:val="0"/>
            <w:vAlign w:val="center"/>
          </w:tcPr>
          <w:p w14:paraId="32027CB3">
            <w:pPr>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昼间</w:t>
            </w:r>
          </w:p>
        </w:tc>
        <w:tc>
          <w:tcPr>
            <w:tcW w:w="850" w:type="dxa"/>
            <w:noWrap w:val="0"/>
            <w:vAlign w:val="center"/>
          </w:tcPr>
          <w:p w14:paraId="7EC6111B">
            <w:pPr>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夜间</w:t>
            </w:r>
          </w:p>
        </w:tc>
        <w:tc>
          <w:tcPr>
            <w:tcW w:w="851" w:type="dxa"/>
            <w:noWrap w:val="0"/>
            <w:vAlign w:val="center"/>
          </w:tcPr>
          <w:p w14:paraId="3A8CF5DC">
            <w:pPr>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昼间</w:t>
            </w:r>
          </w:p>
        </w:tc>
        <w:tc>
          <w:tcPr>
            <w:tcW w:w="708" w:type="dxa"/>
            <w:noWrap w:val="0"/>
            <w:vAlign w:val="center"/>
          </w:tcPr>
          <w:p w14:paraId="4B73417B">
            <w:pPr>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夜间</w:t>
            </w:r>
          </w:p>
        </w:tc>
        <w:tc>
          <w:tcPr>
            <w:tcW w:w="2177" w:type="dxa"/>
            <w:vMerge w:val="restart"/>
            <w:tcBorders>
              <w:top w:val="single" w:color="auto" w:sz="4" w:space="0"/>
            </w:tcBorders>
            <w:noWrap w:val="0"/>
            <w:vAlign w:val="center"/>
          </w:tcPr>
          <w:p w14:paraId="2868B64E">
            <w:pPr>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《工业企业厂界环境噪声排放标准》（GB12348-2008）中</w:t>
            </w:r>
            <w:r>
              <w:rPr>
                <w:rFonts w:hint="eastAsia" w:ascii="Times New Roman" w:hAnsi="Times New Roman"/>
                <w:bCs/>
                <w:sz w:val="21"/>
                <w:highlight w:val="none"/>
                <w:lang w:val="en-US" w:eastAsia="zh-CN"/>
              </w:rPr>
              <w:t>4</w:t>
            </w:r>
            <w:r>
              <w:rPr>
                <w:rFonts w:ascii="Times New Roman" w:hAnsi="Times New Roman"/>
                <w:bCs/>
                <w:sz w:val="21"/>
                <w:highlight w:val="none"/>
              </w:rPr>
              <w:t>类标准</w:t>
            </w:r>
          </w:p>
        </w:tc>
      </w:tr>
      <w:tr w14:paraId="5A68968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72" w:hRule="atLeast"/>
          <w:jc w:val="center"/>
        </w:trPr>
        <w:tc>
          <w:tcPr>
            <w:tcW w:w="1526" w:type="dxa"/>
            <w:noWrap w:val="0"/>
            <w:vAlign w:val="center"/>
          </w:tcPr>
          <w:p w14:paraId="64E10755">
            <w:pPr>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东厂界</w:t>
            </w:r>
          </w:p>
        </w:tc>
        <w:tc>
          <w:tcPr>
            <w:tcW w:w="709" w:type="dxa"/>
            <w:noWrap w:val="0"/>
            <w:vAlign w:val="center"/>
          </w:tcPr>
          <w:p w14:paraId="6436CFC6">
            <w:pPr>
              <w:pStyle w:val="8"/>
              <w:spacing w:after="0" w:line="240" w:lineRule="auto"/>
              <w:ind w:left="0" w:leftChars="0" w:firstLine="0" w:firstLineChars="0"/>
              <w:jc w:val="center"/>
              <w:rPr>
                <w:rFonts w:hint="default" w:ascii="Times New Roman" w:hAnsi="Times New Roman" w:eastAsia="宋体"/>
                <w:bCs/>
                <w:sz w:val="21"/>
                <w:highlight w:val="none"/>
                <w:lang w:val="en-US" w:eastAsia="zh-CN"/>
              </w:rPr>
            </w:pPr>
            <w:r>
              <w:rPr>
                <w:rFonts w:hint="eastAsia" w:ascii="Times New Roman" w:hAnsi="Times New Roman"/>
                <w:bCs/>
                <w:sz w:val="21"/>
                <w:highlight w:val="none"/>
                <w:lang w:val="en-US" w:eastAsia="zh-CN"/>
              </w:rPr>
              <w:t>52.68</w:t>
            </w:r>
          </w:p>
        </w:tc>
        <w:tc>
          <w:tcPr>
            <w:tcW w:w="850" w:type="dxa"/>
            <w:noWrap w:val="0"/>
            <w:vAlign w:val="center"/>
          </w:tcPr>
          <w:p w14:paraId="2F08D724">
            <w:pPr>
              <w:pStyle w:val="8"/>
              <w:spacing w:after="0" w:line="240" w:lineRule="auto"/>
              <w:ind w:left="0" w:leftChars="0" w:firstLine="0" w:firstLineChars="0"/>
              <w:jc w:val="center"/>
              <w:rPr>
                <w:rFonts w:hint="default" w:ascii="Times New Roman" w:hAnsi="Times New Roman" w:eastAsia="宋体"/>
                <w:bCs/>
                <w:sz w:val="21"/>
                <w:highlight w:val="none"/>
                <w:lang w:val="en-US" w:eastAsia="zh-CN"/>
              </w:rPr>
            </w:pPr>
            <w:r>
              <w:rPr>
                <w:rFonts w:hint="eastAsia" w:ascii="Times New Roman" w:hAnsi="Times New Roman"/>
                <w:bCs/>
                <w:sz w:val="21"/>
                <w:highlight w:val="none"/>
                <w:lang w:val="en-US" w:eastAsia="zh-CN"/>
              </w:rPr>
              <w:t>52.68</w:t>
            </w:r>
          </w:p>
        </w:tc>
        <w:tc>
          <w:tcPr>
            <w:tcW w:w="851" w:type="dxa"/>
            <w:noWrap w:val="0"/>
            <w:vAlign w:val="center"/>
          </w:tcPr>
          <w:p w14:paraId="607C26A3">
            <w:pPr>
              <w:pStyle w:val="8"/>
              <w:spacing w:after="0" w:line="240" w:lineRule="auto"/>
              <w:ind w:left="0" w:leftChars="0" w:firstLine="0" w:firstLineChars="0"/>
              <w:jc w:val="center"/>
              <w:rPr>
                <w:rFonts w:hint="default" w:ascii="Times New Roman" w:hAnsi="Times New Roman" w:eastAsia="宋体"/>
                <w:bCs/>
                <w:sz w:val="21"/>
                <w:highlight w:val="none"/>
                <w:lang w:val="en-US" w:eastAsia="zh-CN"/>
              </w:rPr>
            </w:pPr>
            <w:r>
              <w:rPr>
                <w:rFonts w:hint="eastAsia" w:ascii="Times New Roman" w:hAnsi="Times New Roman"/>
                <w:bCs/>
                <w:sz w:val="21"/>
                <w:highlight w:val="none"/>
                <w:lang w:val="en-US" w:eastAsia="zh-CN"/>
              </w:rPr>
              <w:t>66</w:t>
            </w:r>
          </w:p>
        </w:tc>
        <w:tc>
          <w:tcPr>
            <w:tcW w:w="850" w:type="dxa"/>
            <w:noWrap w:val="0"/>
            <w:vAlign w:val="center"/>
          </w:tcPr>
          <w:p w14:paraId="5BA300A2">
            <w:pPr>
              <w:pStyle w:val="8"/>
              <w:spacing w:after="0" w:line="240" w:lineRule="auto"/>
              <w:ind w:left="0" w:leftChars="0" w:firstLine="0" w:firstLineChars="0"/>
              <w:jc w:val="center"/>
              <w:rPr>
                <w:rFonts w:hint="default" w:ascii="Times New Roman" w:hAnsi="Times New Roman" w:eastAsia="宋体"/>
                <w:bCs/>
                <w:sz w:val="21"/>
                <w:highlight w:val="none"/>
                <w:lang w:val="en-US" w:eastAsia="zh-CN"/>
              </w:rPr>
            </w:pPr>
            <w:r>
              <w:rPr>
                <w:rFonts w:hint="eastAsia" w:ascii="Times New Roman" w:hAnsi="Times New Roman"/>
                <w:bCs/>
                <w:sz w:val="21"/>
                <w:highlight w:val="none"/>
                <w:lang w:val="en-US" w:eastAsia="zh-CN"/>
              </w:rPr>
              <w:t>52</w:t>
            </w:r>
          </w:p>
        </w:tc>
        <w:tc>
          <w:tcPr>
            <w:tcW w:w="851" w:type="dxa"/>
            <w:noWrap w:val="0"/>
            <w:vAlign w:val="center"/>
          </w:tcPr>
          <w:p w14:paraId="4CEF4663">
            <w:pPr>
              <w:pStyle w:val="8"/>
              <w:spacing w:after="0" w:line="240" w:lineRule="auto"/>
              <w:ind w:left="0" w:leftChars="0" w:firstLine="0" w:firstLineChars="0"/>
              <w:jc w:val="center"/>
              <w:rPr>
                <w:rFonts w:hint="default" w:ascii="Times New Roman" w:hAnsi="Times New Roman" w:eastAsia="宋体"/>
                <w:bCs/>
                <w:sz w:val="21"/>
                <w:highlight w:val="none"/>
                <w:lang w:val="en-US" w:eastAsia="zh-CN"/>
              </w:rPr>
            </w:pPr>
            <w:r>
              <w:rPr>
                <w:rFonts w:hint="eastAsia" w:ascii="Times New Roman" w:hAnsi="Times New Roman"/>
                <w:bCs/>
                <w:sz w:val="21"/>
                <w:highlight w:val="none"/>
                <w:lang w:val="en-US" w:eastAsia="zh-CN"/>
              </w:rPr>
              <w:t>70</w:t>
            </w:r>
          </w:p>
        </w:tc>
        <w:tc>
          <w:tcPr>
            <w:tcW w:w="708" w:type="dxa"/>
            <w:noWrap w:val="0"/>
            <w:vAlign w:val="center"/>
          </w:tcPr>
          <w:p w14:paraId="119F5D21">
            <w:pPr>
              <w:pStyle w:val="8"/>
              <w:spacing w:after="0" w:line="240" w:lineRule="auto"/>
              <w:ind w:left="0" w:leftChars="0" w:firstLine="0" w:firstLineChars="0"/>
              <w:jc w:val="center"/>
              <w:rPr>
                <w:rFonts w:hint="default" w:ascii="Times New Roman" w:hAnsi="Times New Roman" w:eastAsia="宋体"/>
                <w:bCs/>
                <w:sz w:val="21"/>
                <w:highlight w:val="none"/>
                <w:lang w:val="en-US" w:eastAsia="zh-CN"/>
              </w:rPr>
            </w:pPr>
            <w:r>
              <w:rPr>
                <w:rFonts w:hint="eastAsia" w:ascii="Times New Roman" w:hAnsi="Times New Roman"/>
                <w:bCs/>
                <w:sz w:val="21"/>
                <w:highlight w:val="none"/>
                <w:lang w:val="en-US" w:eastAsia="zh-CN"/>
              </w:rPr>
              <w:t>55</w:t>
            </w:r>
          </w:p>
        </w:tc>
        <w:tc>
          <w:tcPr>
            <w:tcW w:w="2177" w:type="dxa"/>
            <w:vMerge w:val="continue"/>
            <w:noWrap w:val="0"/>
            <w:vAlign w:val="center"/>
          </w:tcPr>
          <w:p w14:paraId="2568F568">
            <w:pPr>
              <w:pStyle w:val="8"/>
              <w:spacing w:after="0" w:line="240" w:lineRule="auto"/>
              <w:ind w:left="0" w:leftChars="0" w:firstLine="0" w:firstLineChars="0"/>
              <w:jc w:val="center"/>
              <w:rPr>
                <w:rFonts w:ascii="Times New Roman" w:hAnsi="Times New Roman"/>
                <w:bCs/>
                <w:sz w:val="21"/>
                <w:highlight w:val="none"/>
              </w:rPr>
            </w:pPr>
          </w:p>
        </w:tc>
      </w:tr>
      <w:tr w14:paraId="57CB6A8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72" w:hRule="atLeast"/>
          <w:jc w:val="center"/>
        </w:trPr>
        <w:tc>
          <w:tcPr>
            <w:tcW w:w="1526" w:type="dxa"/>
            <w:noWrap w:val="0"/>
            <w:vAlign w:val="center"/>
          </w:tcPr>
          <w:p w14:paraId="065FFB1D">
            <w:pPr>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南厂界</w:t>
            </w:r>
          </w:p>
        </w:tc>
        <w:tc>
          <w:tcPr>
            <w:tcW w:w="709" w:type="dxa"/>
            <w:noWrap w:val="0"/>
            <w:vAlign w:val="center"/>
          </w:tcPr>
          <w:p w14:paraId="51BC2DB9">
            <w:pPr>
              <w:pStyle w:val="8"/>
              <w:spacing w:after="0" w:line="240" w:lineRule="auto"/>
              <w:ind w:left="0" w:leftChars="0" w:firstLine="0" w:firstLineChars="0"/>
              <w:jc w:val="center"/>
              <w:rPr>
                <w:rFonts w:hint="default" w:ascii="Times New Roman" w:hAnsi="Times New Roman" w:eastAsia="宋体"/>
                <w:bCs/>
                <w:sz w:val="21"/>
                <w:highlight w:val="none"/>
                <w:lang w:val="en-US" w:eastAsia="zh-CN"/>
              </w:rPr>
            </w:pPr>
            <w:r>
              <w:rPr>
                <w:rFonts w:hint="eastAsia" w:ascii="Times New Roman" w:hAnsi="Times New Roman"/>
                <w:bCs/>
                <w:sz w:val="21"/>
                <w:highlight w:val="none"/>
                <w:lang w:val="en-US" w:eastAsia="zh-CN"/>
              </w:rPr>
              <w:t>50.95</w:t>
            </w:r>
          </w:p>
        </w:tc>
        <w:tc>
          <w:tcPr>
            <w:tcW w:w="850" w:type="dxa"/>
            <w:noWrap w:val="0"/>
            <w:vAlign w:val="center"/>
          </w:tcPr>
          <w:p w14:paraId="568F6C6F">
            <w:pPr>
              <w:pStyle w:val="8"/>
              <w:spacing w:after="0" w:line="240" w:lineRule="auto"/>
              <w:ind w:left="0" w:leftChars="0" w:firstLine="0" w:firstLineChars="0"/>
              <w:jc w:val="center"/>
              <w:rPr>
                <w:rFonts w:hint="default" w:ascii="Times New Roman" w:hAnsi="Times New Roman" w:eastAsia="宋体"/>
                <w:bCs/>
                <w:sz w:val="21"/>
                <w:highlight w:val="none"/>
                <w:lang w:val="en-US" w:eastAsia="zh-CN"/>
              </w:rPr>
            </w:pPr>
            <w:r>
              <w:rPr>
                <w:rFonts w:hint="eastAsia" w:ascii="Times New Roman" w:hAnsi="Times New Roman"/>
                <w:bCs/>
                <w:sz w:val="21"/>
                <w:highlight w:val="none"/>
                <w:lang w:val="en-US" w:eastAsia="zh-CN"/>
              </w:rPr>
              <w:t>50.95</w:t>
            </w:r>
          </w:p>
        </w:tc>
        <w:tc>
          <w:tcPr>
            <w:tcW w:w="851" w:type="dxa"/>
            <w:noWrap w:val="0"/>
            <w:vAlign w:val="center"/>
          </w:tcPr>
          <w:p w14:paraId="756C0C1A">
            <w:pPr>
              <w:pStyle w:val="8"/>
              <w:spacing w:after="0" w:line="240" w:lineRule="auto"/>
              <w:ind w:left="0" w:leftChars="0" w:firstLine="0" w:firstLineChars="0"/>
              <w:jc w:val="center"/>
              <w:rPr>
                <w:rFonts w:hint="default" w:ascii="Times New Roman" w:hAnsi="Times New Roman" w:eastAsia="宋体"/>
                <w:bCs/>
                <w:sz w:val="21"/>
                <w:highlight w:val="none"/>
                <w:lang w:val="en-US" w:eastAsia="zh-CN"/>
              </w:rPr>
            </w:pPr>
            <w:r>
              <w:rPr>
                <w:rFonts w:hint="eastAsia" w:ascii="Times New Roman" w:hAnsi="Times New Roman"/>
                <w:bCs/>
                <w:sz w:val="21"/>
                <w:highlight w:val="none"/>
                <w:lang w:val="en-US" w:eastAsia="zh-CN"/>
              </w:rPr>
              <w:t>68</w:t>
            </w:r>
          </w:p>
        </w:tc>
        <w:tc>
          <w:tcPr>
            <w:tcW w:w="850" w:type="dxa"/>
            <w:noWrap w:val="0"/>
            <w:vAlign w:val="center"/>
          </w:tcPr>
          <w:p w14:paraId="183D765E">
            <w:pPr>
              <w:pStyle w:val="8"/>
              <w:spacing w:after="0" w:line="240" w:lineRule="auto"/>
              <w:ind w:left="0" w:leftChars="0" w:firstLine="0" w:firstLineChars="0"/>
              <w:jc w:val="center"/>
              <w:rPr>
                <w:rFonts w:hint="default" w:ascii="Times New Roman" w:hAnsi="Times New Roman" w:eastAsia="宋体"/>
                <w:bCs/>
                <w:sz w:val="21"/>
                <w:highlight w:val="none"/>
                <w:lang w:val="en-US" w:eastAsia="zh-CN"/>
              </w:rPr>
            </w:pPr>
            <w:r>
              <w:rPr>
                <w:rFonts w:hint="eastAsia" w:ascii="Times New Roman" w:hAnsi="Times New Roman"/>
                <w:bCs/>
                <w:sz w:val="21"/>
                <w:highlight w:val="none"/>
                <w:lang w:val="en-US" w:eastAsia="zh-CN"/>
              </w:rPr>
              <w:t>53</w:t>
            </w:r>
          </w:p>
        </w:tc>
        <w:tc>
          <w:tcPr>
            <w:tcW w:w="851" w:type="dxa"/>
            <w:noWrap w:val="0"/>
            <w:vAlign w:val="center"/>
          </w:tcPr>
          <w:p w14:paraId="37076893">
            <w:pPr>
              <w:pStyle w:val="8"/>
              <w:spacing w:after="0" w:line="240" w:lineRule="auto"/>
              <w:ind w:left="0" w:leftChars="0" w:firstLine="0" w:firstLineChars="0"/>
              <w:jc w:val="center"/>
              <w:rPr>
                <w:rFonts w:hint="default" w:ascii="Times New Roman" w:hAnsi="Times New Roman" w:eastAsia="宋体"/>
                <w:bCs/>
                <w:sz w:val="21"/>
                <w:highlight w:val="none"/>
                <w:lang w:val="en-US" w:eastAsia="zh-CN"/>
              </w:rPr>
            </w:pPr>
            <w:r>
              <w:rPr>
                <w:rFonts w:hint="eastAsia" w:ascii="Times New Roman" w:hAnsi="Times New Roman"/>
                <w:bCs/>
                <w:sz w:val="21"/>
                <w:highlight w:val="none"/>
                <w:lang w:val="en-US" w:eastAsia="zh-CN"/>
              </w:rPr>
              <w:t>70</w:t>
            </w:r>
          </w:p>
        </w:tc>
        <w:tc>
          <w:tcPr>
            <w:tcW w:w="708" w:type="dxa"/>
            <w:tcBorders>
              <w:bottom w:val="single" w:color="auto" w:sz="4" w:space="0"/>
            </w:tcBorders>
            <w:noWrap w:val="0"/>
            <w:vAlign w:val="center"/>
          </w:tcPr>
          <w:p w14:paraId="515089DA">
            <w:pPr>
              <w:pStyle w:val="8"/>
              <w:spacing w:after="0" w:line="240" w:lineRule="auto"/>
              <w:ind w:left="0" w:leftChars="0" w:firstLine="0" w:firstLineChars="0"/>
              <w:jc w:val="center"/>
              <w:rPr>
                <w:rFonts w:hint="default" w:ascii="Times New Roman" w:hAnsi="Times New Roman" w:eastAsia="宋体"/>
                <w:bCs/>
                <w:sz w:val="21"/>
                <w:highlight w:val="none"/>
                <w:lang w:val="en-US" w:eastAsia="zh-CN"/>
              </w:rPr>
            </w:pPr>
            <w:r>
              <w:rPr>
                <w:rFonts w:hint="eastAsia" w:ascii="Times New Roman" w:hAnsi="Times New Roman"/>
                <w:bCs/>
                <w:sz w:val="21"/>
                <w:highlight w:val="none"/>
                <w:lang w:val="en-US" w:eastAsia="zh-CN"/>
              </w:rPr>
              <w:t>55</w:t>
            </w:r>
          </w:p>
        </w:tc>
        <w:tc>
          <w:tcPr>
            <w:tcW w:w="2177" w:type="dxa"/>
            <w:vMerge w:val="continue"/>
            <w:tcBorders>
              <w:bottom w:val="single" w:color="auto" w:sz="4" w:space="0"/>
            </w:tcBorders>
            <w:noWrap w:val="0"/>
            <w:vAlign w:val="center"/>
          </w:tcPr>
          <w:p w14:paraId="34688C70">
            <w:pPr>
              <w:pStyle w:val="8"/>
              <w:spacing w:after="0" w:line="240" w:lineRule="auto"/>
              <w:ind w:left="0" w:leftChars="0" w:firstLine="0" w:firstLineChars="0"/>
              <w:jc w:val="center"/>
              <w:rPr>
                <w:rFonts w:ascii="Times New Roman" w:hAnsi="Times New Roman"/>
                <w:bCs/>
                <w:sz w:val="21"/>
                <w:highlight w:val="none"/>
              </w:rPr>
            </w:pPr>
          </w:p>
        </w:tc>
      </w:tr>
      <w:tr w14:paraId="36D88D1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7" w:hRule="atLeast"/>
          <w:jc w:val="center"/>
        </w:trPr>
        <w:tc>
          <w:tcPr>
            <w:tcW w:w="1526" w:type="dxa"/>
            <w:noWrap w:val="0"/>
            <w:vAlign w:val="center"/>
          </w:tcPr>
          <w:p w14:paraId="63844FE5">
            <w:pPr>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西厂界</w:t>
            </w:r>
          </w:p>
        </w:tc>
        <w:tc>
          <w:tcPr>
            <w:tcW w:w="709" w:type="dxa"/>
            <w:noWrap w:val="0"/>
            <w:vAlign w:val="center"/>
          </w:tcPr>
          <w:p w14:paraId="6FAC5748">
            <w:pPr>
              <w:pStyle w:val="8"/>
              <w:spacing w:after="0" w:line="240" w:lineRule="auto"/>
              <w:ind w:left="0" w:leftChars="0" w:firstLine="0" w:firstLineChars="0"/>
              <w:jc w:val="center"/>
              <w:rPr>
                <w:rFonts w:hint="default" w:ascii="Times New Roman" w:hAnsi="Times New Roman" w:eastAsia="宋体"/>
                <w:bCs/>
                <w:sz w:val="21"/>
                <w:highlight w:val="none"/>
                <w:lang w:val="en-US" w:eastAsia="zh-CN"/>
              </w:rPr>
            </w:pPr>
            <w:r>
              <w:rPr>
                <w:rFonts w:hint="eastAsia" w:ascii="Times New Roman" w:hAnsi="Times New Roman"/>
                <w:bCs/>
                <w:sz w:val="21"/>
                <w:highlight w:val="none"/>
                <w:lang w:val="en-US" w:eastAsia="zh-CN"/>
              </w:rPr>
              <w:t>47.77</w:t>
            </w:r>
          </w:p>
        </w:tc>
        <w:tc>
          <w:tcPr>
            <w:tcW w:w="850" w:type="dxa"/>
            <w:noWrap w:val="0"/>
            <w:vAlign w:val="center"/>
          </w:tcPr>
          <w:p w14:paraId="072D3110">
            <w:pPr>
              <w:pStyle w:val="8"/>
              <w:spacing w:after="0" w:line="240" w:lineRule="auto"/>
              <w:ind w:left="0" w:leftChars="0" w:firstLine="0" w:firstLineChars="0"/>
              <w:jc w:val="center"/>
              <w:rPr>
                <w:rFonts w:hint="default" w:ascii="Times New Roman" w:hAnsi="Times New Roman" w:eastAsia="宋体"/>
                <w:bCs/>
                <w:sz w:val="21"/>
                <w:highlight w:val="none"/>
                <w:lang w:val="en-US" w:eastAsia="zh-CN"/>
              </w:rPr>
            </w:pPr>
            <w:r>
              <w:rPr>
                <w:rFonts w:hint="eastAsia" w:ascii="Times New Roman" w:hAnsi="Times New Roman"/>
                <w:bCs/>
                <w:sz w:val="21"/>
                <w:highlight w:val="none"/>
                <w:lang w:val="en-US" w:eastAsia="zh-CN"/>
              </w:rPr>
              <w:t>47.77</w:t>
            </w:r>
          </w:p>
        </w:tc>
        <w:tc>
          <w:tcPr>
            <w:tcW w:w="851" w:type="dxa"/>
            <w:noWrap w:val="0"/>
            <w:vAlign w:val="center"/>
          </w:tcPr>
          <w:p w14:paraId="23DCC2E2">
            <w:pPr>
              <w:pStyle w:val="8"/>
              <w:spacing w:after="0" w:line="240" w:lineRule="auto"/>
              <w:ind w:left="0" w:leftChars="0" w:firstLine="0" w:firstLineChars="0"/>
              <w:jc w:val="center"/>
              <w:rPr>
                <w:rFonts w:hint="default" w:ascii="Times New Roman" w:hAnsi="Times New Roman" w:eastAsia="宋体"/>
                <w:bCs/>
                <w:sz w:val="21"/>
                <w:highlight w:val="none"/>
                <w:lang w:val="en-US" w:eastAsia="zh-CN"/>
              </w:rPr>
            </w:pPr>
            <w:r>
              <w:rPr>
                <w:rFonts w:hint="eastAsia" w:ascii="Times New Roman" w:hAnsi="Times New Roman"/>
                <w:bCs/>
                <w:sz w:val="21"/>
                <w:highlight w:val="none"/>
                <w:lang w:val="en-US" w:eastAsia="zh-CN"/>
              </w:rPr>
              <w:t>55</w:t>
            </w:r>
          </w:p>
        </w:tc>
        <w:tc>
          <w:tcPr>
            <w:tcW w:w="850" w:type="dxa"/>
            <w:noWrap w:val="0"/>
            <w:vAlign w:val="center"/>
          </w:tcPr>
          <w:p w14:paraId="19968602">
            <w:pPr>
              <w:pStyle w:val="8"/>
              <w:spacing w:after="0" w:line="240" w:lineRule="auto"/>
              <w:ind w:left="0" w:leftChars="0" w:firstLine="0" w:firstLineChars="0"/>
              <w:jc w:val="center"/>
              <w:rPr>
                <w:rFonts w:hint="default" w:ascii="Times New Roman" w:hAnsi="Times New Roman" w:eastAsia="宋体"/>
                <w:bCs/>
                <w:sz w:val="21"/>
                <w:highlight w:val="none"/>
                <w:lang w:val="en-US" w:eastAsia="zh-CN"/>
              </w:rPr>
            </w:pPr>
            <w:r>
              <w:rPr>
                <w:rFonts w:hint="eastAsia" w:ascii="Times New Roman" w:hAnsi="Times New Roman"/>
                <w:bCs/>
                <w:sz w:val="21"/>
                <w:highlight w:val="none"/>
                <w:lang w:val="en-US" w:eastAsia="zh-CN"/>
              </w:rPr>
              <w:t>45</w:t>
            </w:r>
          </w:p>
        </w:tc>
        <w:tc>
          <w:tcPr>
            <w:tcW w:w="851" w:type="dxa"/>
            <w:noWrap w:val="0"/>
            <w:vAlign w:val="center"/>
          </w:tcPr>
          <w:p w14:paraId="74634527">
            <w:pPr>
              <w:pStyle w:val="8"/>
              <w:spacing w:after="0" w:line="240" w:lineRule="auto"/>
              <w:ind w:left="0" w:leftChars="0" w:firstLine="0" w:firstLineChars="0"/>
              <w:jc w:val="center"/>
              <w:rPr>
                <w:rFonts w:hint="default" w:ascii="Times New Roman" w:hAnsi="Times New Roman" w:eastAsia="宋体"/>
                <w:bCs/>
                <w:sz w:val="21"/>
                <w:highlight w:val="none"/>
                <w:lang w:val="en-US" w:eastAsia="zh-CN"/>
              </w:rPr>
            </w:pPr>
            <w:r>
              <w:rPr>
                <w:rFonts w:hint="eastAsia" w:ascii="Times New Roman" w:hAnsi="Times New Roman"/>
                <w:bCs/>
                <w:sz w:val="21"/>
                <w:highlight w:val="none"/>
                <w:lang w:eastAsia="zh-CN"/>
              </w:rPr>
              <w:t>6</w:t>
            </w:r>
            <w:r>
              <w:rPr>
                <w:rFonts w:hint="eastAsia" w:ascii="Times New Roman" w:hAnsi="Times New Roman"/>
                <w:bCs/>
                <w:sz w:val="21"/>
                <w:highlight w:val="none"/>
                <w:lang w:val="en-US" w:eastAsia="zh-CN"/>
              </w:rPr>
              <w:t>0</w:t>
            </w:r>
          </w:p>
        </w:tc>
        <w:tc>
          <w:tcPr>
            <w:tcW w:w="708" w:type="dxa"/>
            <w:tcBorders>
              <w:top w:val="single" w:color="auto" w:sz="4" w:space="0"/>
            </w:tcBorders>
            <w:noWrap w:val="0"/>
            <w:vAlign w:val="center"/>
          </w:tcPr>
          <w:p w14:paraId="7CCF6D50">
            <w:pPr>
              <w:pStyle w:val="8"/>
              <w:spacing w:after="0" w:line="240" w:lineRule="auto"/>
              <w:ind w:left="0" w:leftChars="0" w:firstLine="0" w:firstLineChars="0"/>
              <w:jc w:val="center"/>
              <w:rPr>
                <w:rFonts w:ascii="Times New Roman" w:hAnsi="Times New Roman"/>
                <w:bCs/>
                <w:sz w:val="21"/>
                <w:highlight w:val="none"/>
              </w:rPr>
            </w:pPr>
            <w:r>
              <w:rPr>
                <w:rFonts w:hint="eastAsia" w:ascii="Times New Roman" w:hAnsi="Times New Roman"/>
                <w:bCs/>
                <w:sz w:val="21"/>
                <w:highlight w:val="none"/>
                <w:lang w:val="en-US" w:eastAsia="zh-CN"/>
              </w:rPr>
              <w:t>50</w:t>
            </w:r>
          </w:p>
        </w:tc>
        <w:tc>
          <w:tcPr>
            <w:tcW w:w="2177" w:type="dxa"/>
            <w:vMerge w:val="restart"/>
            <w:tcBorders>
              <w:top w:val="single" w:color="auto" w:sz="4" w:space="0"/>
            </w:tcBorders>
            <w:noWrap w:val="0"/>
            <w:vAlign w:val="center"/>
          </w:tcPr>
          <w:p w14:paraId="082A07E5">
            <w:pPr>
              <w:pStyle w:val="8"/>
              <w:spacing w:after="0" w:line="240" w:lineRule="auto"/>
              <w:ind w:left="0" w:leftChars="0" w:firstLine="0" w:firstLineChars="0"/>
              <w:jc w:val="center"/>
              <w:rPr>
                <w:rFonts w:ascii="Times New Roman" w:hAnsi="Times New Roman"/>
                <w:bCs/>
                <w:sz w:val="21"/>
                <w:highlight w:val="none"/>
              </w:rPr>
            </w:pPr>
            <w:r>
              <w:rPr>
                <w:rFonts w:ascii="Times New Roman" w:hAnsi="Times New Roman"/>
                <w:bCs/>
                <w:sz w:val="21"/>
                <w:highlight w:val="none"/>
              </w:rPr>
              <w:t>《工业企业厂界环境噪声排放标准》（GB12348-2008）中</w:t>
            </w:r>
            <w:r>
              <w:rPr>
                <w:rFonts w:hint="eastAsia" w:ascii="Times New Roman" w:hAnsi="Times New Roman"/>
                <w:bCs/>
                <w:sz w:val="21"/>
                <w:highlight w:val="none"/>
                <w:lang w:val="en-US" w:eastAsia="zh-CN"/>
              </w:rPr>
              <w:t>2</w:t>
            </w:r>
            <w:r>
              <w:rPr>
                <w:rFonts w:ascii="Times New Roman" w:hAnsi="Times New Roman"/>
                <w:bCs/>
                <w:sz w:val="21"/>
                <w:highlight w:val="none"/>
              </w:rPr>
              <w:t>类标准</w:t>
            </w:r>
          </w:p>
        </w:tc>
      </w:tr>
      <w:tr w14:paraId="3FA5E83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7" w:hRule="atLeast"/>
          <w:jc w:val="center"/>
        </w:trPr>
        <w:tc>
          <w:tcPr>
            <w:tcW w:w="1526" w:type="dxa"/>
            <w:noWrap w:val="0"/>
            <w:vAlign w:val="center"/>
          </w:tcPr>
          <w:p w14:paraId="1651A051">
            <w:pPr>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北厂界</w:t>
            </w:r>
          </w:p>
        </w:tc>
        <w:tc>
          <w:tcPr>
            <w:tcW w:w="709" w:type="dxa"/>
            <w:noWrap w:val="0"/>
            <w:vAlign w:val="center"/>
          </w:tcPr>
          <w:p w14:paraId="77F76D4E">
            <w:pPr>
              <w:pStyle w:val="8"/>
              <w:spacing w:after="0" w:line="240" w:lineRule="auto"/>
              <w:ind w:left="0" w:leftChars="0" w:firstLine="0" w:firstLineChars="0"/>
              <w:jc w:val="center"/>
              <w:rPr>
                <w:rFonts w:hint="default" w:ascii="Times New Roman" w:hAnsi="Times New Roman"/>
                <w:bCs/>
                <w:sz w:val="21"/>
                <w:highlight w:val="none"/>
                <w:lang w:val="en-US" w:eastAsia="zh-CN"/>
              </w:rPr>
            </w:pPr>
            <w:r>
              <w:rPr>
                <w:rFonts w:hint="eastAsia" w:ascii="Times New Roman" w:hAnsi="Times New Roman"/>
                <w:bCs/>
                <w:sz w:val="21"/>
                <w:highlight w:val="none"/>
                <w:lang w:val="en-US" w:eastAsia="zh-CN"/>
              </w:rPr>
              <w:t>35.47</w:t>
            </w:r>
          </w:p>
        </w:tc>
        <w:tc>
          <w:tcPr>
            <w:tcW w:w="850" w:type="dxa"/>
            <w:noWrap w:val="0"/>
            <w:vAlign w:val="center"/>
          </w:tcPr>
          <w:p w14:paraId="51710BF3">
            <w:pPr>
              <w:pStyle w:val="8"/>
              <w:spacing w:after="0" w:line="240" w:lineRule="auto"/>
              <w:ind w:left="0" w:leftChars="0" w:firstLine="0" w:firstLineChars="0"/>
              <w:jc w:val="center"/>
              <w:rPr>
                <w:rFonts w:hint="default" w:ascii="Times New Roman" w:hAnsi="Times New Roman"/>
                <w:bCs/>
                <w:sz w:val="21"/>
                <w:highlight w:val="none"/>
                <w:lang w:val="en-US" w:eastAsia="zh-CN"/>
              </w:rPr>
            </w:pPr>
            <w:r>
              <w:rPr>
                <w:rFonts w:hint="eastAsia" w:ascii="Times New Roman" w:hAnsi="Times New Roman"/>
                <w:bCs/>
                <w:sz w:val="21"/>
                <w:highlight w:val="none"/>
                <w:lang w:val="en-US" w:eastAsia="zh-CN"/>
              </w:rPr>
              <w:t>35.47</w:t>
            </w:r>
          </w:p>
        </w:tc>
        <w:tc>
          <w:tcPr>
            <w:tcW w:w="851" w:type="dxa"/>
            <w:noWrap w:val="0"/>
            <w:vAlign w:val="center"/>
          </w:tcPr>
          <w:p w14:paraId="382ACE7C">
            <w:pPr>
              <w:spacing w:line="240" w:lineRule="auto"/>
              <w:ind w:firstLine="0" w:firstLineChars="0"/>
              <w:jc w:val="center"/>
              <w:rPr>
                <w:rFonts w:hint="default" w:ascii="Times New Roman" w:hAnsi="Times New Roman" w:eastAsia="宋体"/>
                <w:bCs/>
                <w:sz w:val="21"/>
                <w:highlight w:val="none"/>
                <w:lang w:val="en-US" w:eastAsia="zh-CN"/>
              </w:rPr>
            </w:pPr>
            <w:r>
              <w:rPr>
                <w:rFonts w:hint="eastAsia" w:ascii="Times New Roman" w:hAnsi="Times New Roman"/>
                <w:bCs/>
                <w:sz w:val="21"/>
                <w:highlight w:val="none"/>
                <w:lang w:val="en-US" w:eastAsia="zh-CN"/>
              </w:rPr>
              <w:t>56</w:t>
            </w:r>
          </w:p>
        </w:tc>
        <w:tc>
          <w:tcPr>
            <w:tcW w:w="850" w:type="dxa"/>
            <w:noWrap w:val="0"/>
            <w:vAlign w:val="center"/>
          </w:tcPr>
          <w:p w14:paraId="75D62A1B">
            <w:pPr>
              <w:spacing w:line="240" w:lineRule="auto"/>
              <w:ind w:firstLine="0" w:firstLineChars="0"/>
              <w:jc w:val="center"/>
              <w:rPr>
                <w:rFonts w:hint="default" w:ascii="Times New Roman" w:hAnsi="Times New Roman" w:eastAsia="宋体"/>
                <w:bCs/>
                <w:sz w:val="21"/>
                <w:highlight w:val="none"/>
                <w:lang w:val="en-US" w:eastAsia="zh-CN"/>
              </w:rPr>
            </w:pPr>
            <w:r>
              <w:rPr>
                <w:rFonts w:hint="eastAsia" w:ascii="Times New Roman" w:hAnsi="Times New Roman"/>
                <w:bCs/>
                <w:sz w:val="21"/>
                <w:highlight w:val="none"/>
                <w:lang w:val="en-US" w:eastAsia="zh-CN"/>
              </w:rPr>
              <w:t>43</w:t>
            </w:r>
          </w:p>
        </w:tc>
        <w:tc>
          <w:tcPr>
            <w:tcW w:w="851" w:type="dxa"/>
            <w:noWrap w:val="0"/>
            <w:vAlign w:val="center"/>
          </w:tcPr>
          <w:p w14:paraId="14251E03">
            <w:pPr>
              <w:pStyle w:val="8"/>
              <w:spacing w:after="0" w:line="240" w:lineRule="auto"/>
              <w:ind w:left="0" w:leftChars="0" w:firstLine="0" w:firstLineChars="0"/>
              <w:jc w:val="center"/>
              <w:rPr>
                <w:rFonts w:hint="default" w:ascii="Times New Roman" w:hAnsi="Times New Roman"/>
                <w:bCs/>
                <w:sz w:val="21"/>
                <w:highlight w:val="none"/>
                <w:lang w:val="en-US"/>
              </w:rPr>
            </w:pPr>
            <w:r>
              <w:rPr>
                <w:rFonts w:hint="eastAsia" w:ascii="Times New Roman" w:hAnsi="Times New Roman"/>
                <w:bCs/>
                <w:sz w:val="21"/>
                <w:highlight w:val="none"/>
                <w:lang w:eastAsia="zh-CN"/>
              </w:rPr>
              <w:t>6</w:t>
            </w:r>
            <w:r>
              <w:rPr>
                <w:rFonts w:hint="eastAsia" w:ascii="Times New Roman" w:hAnsi="Times New Roman"/>
                <w:bCs/>
                <w:sz w:val="21"/>
                <w:highlight w:val="none"/>
                <w:lang w:val="en-US" w:eastAsia="zh-CN"/>
              </w:rPr>
              <w:t>0</w:t>
            </w:r>
          </w:p>
        </w:tc>
        <w:tc>
          <w:tcPr>
            <w:tcW w:w="708" w:type="dxa"/>
            <w:noWrap w:val="0"/>
            <w:vAlign w:val="center"/>
          </w:tcPr>
          <w:p w14:paraId="380F8208">
            <w:pPr>
              <w:pStyle w:val="8"/>
              <w:spacing w:after="0" w:line="240" w:lineRule="auto"/>
              <w:ind w:left="0" w:leftChars="0" w:firstLine="0" w:firstLineChars="0"/>
              <w:jc w:val="center"/>
              <w:rPr>
                <w:rFonts w:ascii="Times New Roman" w:hAnsi="Times New Roman"/>
                <w:bCs/>
                <w:sz w:val="21"/>
                <w:highlight w:val="none"/>
              </w:rPr>
            </w:pPr>
            <w:r>
              <w:rPr>
                <w:rFonts w:hint="eastAsia" w:ascii="Times New Roman" w:hAnsi="Times New Roman"/>
                <w:bCs/>
                <w:sz w:val="21"/>
                <w:highlight w:val="none"/>
                <w:lang w:val="en-US" w:eastAsia="zh-CN"/>
              </w:rPr>
              <w:t>50</w:t>
            </w:r>
          </w:p>
        </w:tc>
        <w:tc>
          <w:tcPr>
            <w:tcW w:w="2177" w:type="dxa"/>
            <w:vMerge w:val="continue"/>
            <w:noWrap w:val="0"/>
            <w:vAlign w:val="center"/>
          </w:tcPr>
          <w:p w14:paraId="7016D050">
            <w:pPr>
              <w:pStyle w:val="8"/>
              <w:spacing w:after="0" w:line="240" w:lineRule="auto"/>
              <w:ind w:left="0" w:leftChars="0" w:firstLine="0" w:firstLineChars="0"/>
              <w:jc w:val="center"/>
              <w:rPr>
                <w:rFonts w:ascii="Times New Roman" w:hAnsi="Times New Roman"/>
                <w:bCs/>
                <w:sz w:val="21"/>
                <w:highlight w:val="none"/>
              </w:rPr>
            </w:pPr>
          </w:p>
        </w:tc>
      </w:tr>
    </w:tbl>
    <w:p w14:paraId="07F8C6F2">
      <w:pPr>
        <w:ind w:firstLine="0" w:firstLineChars="0"/>
        <w:jc w:val="center"/>
        <w:rPr>
          <w:rFonts w:ascii="Times New Roman" w:hAnsi="Times New Roman"/>
          <w:highlight w:val="none"/>
        </w:rPr>
      </w:pPr>
      <w:r>
        <w:rPr>
          <w:rFonts w:hint="eastAsia" w:ascii="黑体" w:hAnsi="黑体" w:eastAsia="黑体" w:cs="黑体"/>
          <w:highlight w:val="none"/>
        </w:rPr>
        <w:t>表</w:t>
      </w:r>
      <w:r>
        <w:rPr>
          <w:rFonts w:ascii="Times New Roman" w:hAnsi="Times New Roman"/>
          <w:highlight w:val="none"/>
        </w:rPr>
        <w:t>5.</w:t>
      </w:r>
      <w:r>
        <w:rPr>
          <w:rFonts w:hint="eastAsia" w:ascii="Times New Roman" w:hAnsi="Times New Roman"/>
          <w:highlight w:val="none"/>
        </w:rPr>
        <w:t>4</w:t>
      </w:r>
      <w:r>
        <w:rPr>
          <w:rFonts w:ascii="Times New Roman" w:hAnsi="Times New Roman"/>
          <w:highlight w:val="none"/>
        </w:rPr>
        <w:t>-</w:t>
      </w:r>
      <w:r>
        <w:rPr>
          <w:rFonts w:hint="eastAsia" w:ascii="Times New Roman" w:hAnsi="Times New Roman"/>
          <w:highlight w:val="none"/>
          <w:lang w:val="en-US" w:eastAsia="zh-CN"/>
        </w:rPr>
        <w:t>4</w:t>
      </w:r>
      <w:r>
        <w:rPr>
          <w:rFonts w:hint="eastAsia" w:ascii="黑体" w:hAnsi="黑体" w:eastAsia="黑体" w:cs="黑体"/>
          <w:highlight w:val="none"/>
          <w:lang w:val="en-US" w:eastAsia="zh-CN"/>
        </w:rPr>
        <w:t>敏感点噪声预测</w:t>
      </w:r>
      <w:r>
        <w:rPr>
          <w:rFonts w:hint="eastAsia" w:ascii="黑体" w:hAnsi="黑体" w:eastAsia="黑体" w:cs="黑体"/>
          <w:highlight w:val="none"/>
        </w:rPr>
        <w:t>值一览表 单位</w:t>
      </w:r>
      <w:r>
        <w:rPr>
          <w:rFonts w:ascii="Times New Roman" w:hAnsi="Times New Roman"/>
          <w:highlight w:val="none"/>
        </w:rPr>
        <w:t>：dB（A）</w:t>
      </w:r>
    </w:p>
    <w:tbl>
      <w:tblPr>
        <w:tblStyle w:val="17"/>
        <w:tblW w:w="0" w:type="auto"/>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522"/>
        <w:gridCol w:w="709"/>
        <w:gridCol w:w="849"/>
        <w:gridCol w:w="639"/>
        <w:gridCol w:w="703"/>
        <w:gridCol w:w="704"/>
        <w:gridCol w:w="689"/>
        <w:gridCol w:w="2707"/>
      </w:tblGrid>
      <w:tr w14:paraId="539D6D7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32" w:hRule="atLeast"/>
          <w:jc w:val="center"/>
        </w:trPr>
        <w:tc>
          <w:tcPr>
            <w:tcW w:w="1526" w:type="dxa"/>
            <w:vMerge w:val="restart"/>
            <w:noWrap w:val="0"/>
            <w:vAlign w:val="center"/>
          </w:tcPr>
          <w:p w14:paraId="2FF973B6">
            <w:pPr>
              <w:spacing w:line="240" w:lineRule="auto"/>
              <w:ind w:firstLine="0" w:firstLineChars="0"/>
              <w:jc w:val="center"/>
              <w:rPr>
                <w:rFonts w:ascii="Times New Roman" w:hAnsi="Times New Roman"/>
                <w:bCs/>
                <w:color w:val="auto"/>
                <w:sz w:val="21"/>
                <w:highlight w:val="none"/>
              </w:rPr>
            </w:pPr>
            <w:r>
              <w:rPr>
                <w:rFonts w:ascii="Times New Roman" w:hAnsi="Times New Roman"/>
                <w:bCs/>
                <w:color w:val="auto"/>
                <w:sz w:val="21"/>
                <w:highlight w:val="none"/>
              </w:rPr>
              <w:t>厂界</w:t>
            </w:r>
          </w:p>
        </w:tc>
        <w:tc>
          <w:tcPr>
            <w:tcW w:w="1559" w:type="dxa"/>
            <w:gridSpan w:val="2"/>
            <w:noWrap w:val="0"/>
            <w:vAlign w:val="center"/>
          </w:tcPr>
          <w:p w14:paraId="7D25C4E3">
            <w:pPr>
              <w:spacing w:line="240" w:lineRule="auto"/>
              <w:ind w:firstLine="0" w:firstLineChars="0"/>
              <w:jc w:val="center"/>
              <w:rPr>
                <w:rFonts w:ascii="Times New Roman" w:hAnsi="Times New Roman"/>
                <w:bCs/>
                <w:color w:val="auto"/>
                <w:sz w:val="21"/>
                <w:highlight w:val="none"/>
              </w:rPr>
            </w:pPr>
            <w:r>
              <w:rPr>
                <w:rFonts w:hint="eastAsia" w:ascii="Times New Roman" w:hAnsi="Times New Roman"/>
                <w:bCs/>
                <w:color w:val="auto"/>
                <w:sz w:val="21"/>
                <w:highlight w:val="none"/>
                <w:lang w:eastAsia="zh-CN"/>
              </w:rPr>
              <w:t>本项目</w:t>
            </w:r>
            <w:r>
              <w:rPr>
                <w:rFonts w:ascii="Times New Roman" w:hAnsi="Times New Roman"/>
                <w:bCs/>
                <w:color w:val="auto"/>
                <w:sz w:val="21"/>
                <w:highlight w:val="none"/>
              </w:rPr>
              <w:t>贡献值</w:t>
            </w:r>
          </w:p>
        </w:tc>
        <w:tc>
          <w:tcPr>
            <w:tcW w:w="1344" w:type="dxa"/>
            <w:gridSpan w:val="2"/>
            <w:noWrap w:val="0"/>
            <w:vAlign w:val="center"/>
          </w:tcPr>
          <w:p w14:paraId="43FB89DD">
            <w:pPr>
              <w:spacing w:line="240" w:lineRule="auto"/>
              <w:ind w:firstLine="0" w:firstLineChars="0"/>
              <w:jc w:val="center"/>
              <w:rPr>
                <w:rFonts w:hint="eastAsia" w:ascii="Times New Roman" w:hAnsi="Times New Roman"/>
                <w:bCs/>
                <w:color w:val="auto"/>
                <w:sz w:val="21"/>
                <w:highlight w:val="none"/>
              </w:rPr>
            </w:pPr>
            <w:r>
              <w:rPr>
                <w:rFonts w:hint="eastAsia" w:ascii="Times New Roman" w:hAnsi="Times New Roman"/>
                <w:bCs/>
                <w:color w:val="auto"/>
                <w:sz w:val="21"/>
                <w:highlight w:val="none"/>
              </w:rPr>
              <w:t>背景值</w:t>
            </w:r>
          </w:p>
        </w:tc>
        <w:tc>
          <w:tcPr>
            <w:tcW w:w="1384" w:type="dxa"/>
            <w:gridSpan w:val="2"/>
            <w:noWrap w:val="0"/>
            <w:vAlign w:val="center"/>
          </w:tcPr>
          <w:p w14:paraId="339E5137">
            <w:pPr>
              <w:spacing w:line="240" w:lineRule="auto"/>
              <w:ind w:firstLine="0" w:firstLineChars="0"/>
              <w:jc w:val="center"/>
              <w:rPr>
                <w:rFonts w:ascii="Times New Roman" w:hAnsi="Times New Roman"/>
                <w:bCs/>
                <w:color w:val="auto"/>
                <w:sz w:val="21"/>
                <w:highlight w:val="none"/>
              </w:rPr>
            </w:pPr>
            <w:r>
              <w:rPr>
                <w:rFonts w:hint="eastAsia" w:ascii="Times New Roman" w:hAnsi="Times New Roman"/>
                <w:bCs/>
                <w:color w:val="auto"/>
                <w:sz w:val="21"/>
                <w:highlight w:val="none"/>
              </w:rPr>
              <w:t>叠加值</w:t>
            </w:r>
          </w:p>
        </w:tc>
        <w:tc>
          <w:tcPr>
            <w:tcW w:w="2709" w:type="dxa"/>
            <w:vMerge w:val="restart"/>
            <w:noWrap w:val="0"/>
            <w:vAlign w:val="center"/>
          </w:tcPr>
          <w:p w14:paraId="3FFBA382">
            <w:pPr>
              <w:spacing w:line="240" w:lineRule="auto"/>
              <w:ind w:firstLine="0" w:firstLineChars="0"/>
              <w:jc w:val="center"/>
              <w:rPr>
                <w:rFonts w:ascii="Times New Roman" w:hAnsi="Times New Roman"/>
                <w:bCs/>
                <w:color w:val="auto"/>
                <w:sz w:val="21"/>
                <w:highlight w:val="none"/>
              </w:rPr>
            </w:pPr>
            <w:r>
              <w:rPr>
                <w:rFonts w:ascii="Times New Roman" w:hAnsi="Times New Roman"/>
                <w:bCs/>
                <w:color w:val="auto"/>
                <w:sz w:val="21"/>
                <w:highlight w:val="none"/>
              </w:rPr>
              <w:t>执行标准</w:t>
            </w:r>
          </w:p>
        </w:tc>
      </w:tr>
      <w:tr w14:paraId="3F7061B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33" w:hRule="atLeast"/>
          <w:jc w:val="center"/>
        </w:trPr>
        <w:tc>
          <w:tcPr>
            <w:tcW w:w="1526" w:type="dxa"/>
            <w:vMerge w:val="continue"/>
            <w:noWrap w:val="0"/>
            <w:vAlign w:val="center"/>
          </w:tcPr>
          <w:p w14:paraId="3C767EA0">
            <w:pPr>
              <w:spacing w:line="240" w:lineRule="auto"/>
              <w:ind w:firstLine="0" w:firstLineChars="0"/>
              <w:jc w:val="center"/>
              <w:rPr>
                <w:rFonts w:ascii="Times New Roman" w:hAnsi="Times New Roman"/>
                <w:bCs/>
                <w:color w:val="auto"/>
                <w:sz w:val="21"/>
                <w:highlight w:val="none"/>
              </w:rPr>
            </w:pPr>
          </w:p>
        </w:tc>
        <w:tc>
          <w:tcPr>
            <w:tcW w:w="709" w:type="dxa"/>
            <w:noWrap w:val="0"/>
            <w:vAlign w:val="center"/>
          </w:tcPr>
          <w:p w14:paraId="5B01EF62">
            <w:pPr>
              <w:spacing w:line="240" w:lineRule="auto"/>
              <w:ind w:firstLine="0" w:firstLineChars="0"/>
              <w:jc w:val="center"/>
              <w:rPr>
                <w:rFonts w:ascii="Times New Roman" w:hAnsi="Times New Roman"/>
                <w:bCs/>
                <w:color w:val="auto"/>
                <w:sz w:val="21"/>
                <w:highlight w:val="none"/>
              </w:rPr>
            </w:pPr>
            <w:r>
              <w:rPr>
                <w:rFonts w:ascii="Times New Roman" w:hAnsi="Times New Roman"/>
                <w:bCs/>
                <w:color w:val="auto"/>
                <w:sz w:val="21"/>
                <w:highlight w:val="none"/>
              </w:rPr>
              <w:t>昼间</w:t>
            </w:r>
          </w:p>
        </w:tc>
        <w:tc>
          <w:tcPr>
            <w:tcW w:w="850" w:type="dxa"/>
            <w:noWrap w:val="0"/>
            <w:vAlign w:val="center"/>
          </w:tcPr>
          <w:p w14:paraId="23A1B455">
            <w:pPr>
              <w:spacing w:line="240" w:lineRule="auto"/>
              <w:ind w:firstLine="0" w:firstLineChars="0"/>
              <w:jc w:val="center"/>
              <w:rPr>
                <w:rFonts w:ascii="Times New Roman" w:hAnsi="Times New Roman"/>
                <w:bCs/>
                <w:color w:val="auto"/>
                <w:sz w:val="21"/>
                <w:highlight w:val="none"/>
              </w:rPr>
            </w:pPr>
            <w:r>
              <w:rPr>
                <w:rFonts w:ascii="Times New Roman" w:hAnsi="Times New Roman"/>
                <w:bCs/>
                <w:color w:val="auto"/>
                <w:sz w:val="21"/>
                <w:highlight w:val="none"/>
              </w:rPr>
              <w:t>夜间</w:t>
            </w:r>
          </w:p>
        </w:tc>
        <w:tc>
          <w:tcPr>
            <w:tcW w:w="640" w:type="dxa"/>
            <w:noWrap w:val="0"/>
            <w:vAlign w:val="center"/>
          </w:tcPr>
          <w:p w14:paraId="1D158BBE">
            <w:pPr>
              <w:spacing w:line="240" w:lineRule="auto"/>
              <w:ind w:firstLine="0" w:firstLineChars="0"/>
              <w:jc w:val="center"/>
              <w:rPr>
                <w:rFonts w:ascii="Times New Roman" w:hAnsi="Times New Roman"/>
                <w:bCs/>
                <w:color w:val="auto"/>
                <w:sz w:val="21"/>
                <w:highlight w:val="none"/>
              </w:rPr>
            </w:pPr>
            <w:r>
              <w:rPr>
                <w:rFonts w:ascii="Times New Roman" w:hAnsi="Times New Roman"/>
                <w:bCs/>
                <w:color w:val="auto"/>
                <w:sz w:val="21"/>
                <w:highlight w:val="none"/>
              </w:rPr>
              <w:t>昼间</w:t>
            </w:r>
          </w:p>
        </w:tc>
        <w:tc>
          <w:tcPr>
            <w:tcW w:w="704" w:type="dxa"/>
            <w:noWrap w:val="0"/>
            <w:vAlign w:val="center"/>
          </w:tcPr>
          <w:p w14:paraId="04F118D3">
            <w:pPr>
              <w:spacing w:line="240" w:lineRule="auto"/>
              <w:ind w:firstLine="0" w:firstLineChars="0"/>
              <w:jc w:val="center"/>
              <w:rPr>
                <w:rFonts w:ascii="Times New Roman" w:hAnsi="Times New Roman"/>
                <w:bCs/>
                <w:color w:val="auto"/>
                <w:sz w:val="21"/>
                <w:highlight w:val="none"/>
              </w:rPr>
            </w:pPr>
            <w:r>
              <w:rPr>
                <w:rFonts w:ascii="Times New Roman" w:hAnsi="Times New Roman"/>
                <w:bCs/>
                <w:color w:val="auto"/>
                <w:sz w:val="21"/>
                <w:highlight w:val="none"/>
              </w:rPr>
              <w:t>夜间</w:t>
            </w:r>
          </w:p>
        </w:tc>
        <w:tc>
          <w:tcPr>
            <w:tcW w:w="704" w:type="dxa"/>
            <w:noWrap w:val="0"/>
            <w:vAlign w:val="center"/>
          </w:tcPr>
          <w:p w14:paraId="68AAD816">
            <w:pPr>
              <w:spacing w:line="240" w:lineRule="auto"/>
              <w:ind w:firstLine="0" w:firstLineChars="0"/>
              <w:jc w:val="center"/>
              <w:rPr>
                <w:rFonts w:ascii="Times New Roman" w:hAnsi="Times New Roman"/>
                <w:bCs/>
                <w:color w:val="auto"/>
                <w:sz w:val="21"/>
                <w:highlight w:val="none"/>
              </w:rPr>
            </w:pPr>
            <w:r>
              <w:rPr>
                <w:rFonts w:ascii="Times New Roman" w:hAnsi="Times New Roman"/>
                <w:bCs/>
                <w:color w:val="auto"/>
                <w:sz w:val="21"/>
                <w:highlight w:val="none"/>
              </w:rPr>
              <w:t>昼间</w:t>
            </w:r>
          </w:p>
        </w:tc>
        <w:tc>
          <w:tcPr>
            <w:tcW w:w="680" w:type="dxa"/>
            <w:noWrap w:val="0"/>
            <w:vAlign w:val="center"/>
          </w:tcPr>
          <w:p w14:paraId="5EFD7C06">
            <w:pPr>
              <w:spacing w:line="240" w:lineRule="auto"/>
              <w:ind w:firstLine="0" w:firstLineChars="0"/>
              <w:jc w:val="center"/>
              <w:rPr>
                <w:rFonts w:ascii="Times New Roman" w:hAnsi="Times New Roman"/>
                <w:bCs/>
                <w:color w:val="auto"/>
                <w:sz w:val="21"/>
                <w:highlight w:val="none"/>
              </w:rPr>
            </w:pPr>
            <w:r>
              <w:rPr>
                <w:rFonts w:ascii="Times New Roman" w:hAnsi="Times New Roman"/>
                <w:bCs/>
                <w:color w:val="auto"/>
                <w:sz w:val="21"/>
                <w:highlight w:val="none"/>
              </w:rPr>
              <w:t>夜间</w:t>
            </w:r>
          </w:p>
        </w:tc>
        <w:tc>
          <w:tcPr>
            <w:tcW w:w="2709" w:type="dxa"/>
            <w:vMerge w:val="continue"/>
            <w:noWrap w:val="0"/>
            <w:vAlign w:val="center"/>
          </w:tcPr>
          <w:p w14:paraId="3A6BA04E">
            <w:pPr>
              <w:spacing w:line="240" w:lineRule="auto"/>
              <w:ind w:firstLine="0" w:firstLineChars="0"/>
              <w:jc w:val="center"/>
              <w:rPr>
                <w:rFonts w:ascii="Times New Roman" w:hAnsi="Times New Roman"/>
                <w:bCs/>
                <w:color w:val="auto"/>
                <w:sz w:val="21"/>
                <w:highlight w:val="none"/>
              </w:rPr>
            </w:pPr>
          </w:p>
        </w:tc>
      </w:tr>
      <w:tr w14:paraId="1364307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7" w:hRule="atLeast"/>
          <w:jc w:val="center"/>
        </w:trPr>
        <w:tc>
          <w:tcPr>
            <w:tcW w:w="1526" w:type="dxa"/>
            <w:noWrap w:val="0"/>
            <w:vAlign w:val="center"/>
          </w:tcPr>
          <w:p w14:paraId="2654BC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bCs/>
                <w:color w:val="auto"/>
                <w:sz w:val="21"/>
                <w:highlight w:val="none"/>
                <w:lang w:eastAsia="zh-CN"/>
              </w:rPr>
            </w:pPr>
            <w:r>
              <w:rPr>
                <w:rFonts w:hint="eastAsia" w:ascii="Times New Roman" w:hAnsi="Times New Roman" w:cs="Times New Roman"/>
                <w:sz w:val="21"/>
                <w:szCs w:val="21"/>
                <w:highlight w:val="none"/>
                <w:vertAlign w:val="baseline"/>
                <w:lang w:val="en-US" w:eastAsia="zh-CN"/>
              </w:rPr>
              <w:t>旅游局家属楼1楼</w:t>
            </w:r>
          </w:p>
        </w:tc>
        <w:tc>
          <w:tcPr>
            <w:tcW w:w="709" w:type="dxa"/>
            <w:noWrap w:val="0"/>
            <w:vAlign w:val="center"/>
          </w:tcPr>
          <w:p w14:paraId="2A9E0DD0">
            <w:pPr>
              <w:pStyle w:val="8"/>
              <w:spacing w:after="0" w:line="240" w:lineRule="auto"/>
              <w:ind w:left="0" w:leftChars="0" w:firstLine="0" w:firstLineChars="0"/>
              <w:jc w:val="center"/>
              <w:rPr>
                <w:rFonts w:hint="default" w:ascii="Times New Roman" w:hAnsi="Times New Roman" w:eastAsia="宋体"/>
                <w:bCs/>
                <w:color w:val="auto"/>
                <w:sz w:val="21"/>
                <w:highlight w:val="none"/>
                <w:lang w:val="en-US" w:eastAsia="zh-CN"/>
              </w:rPr>
            </w:pPr>
            <w:r>
              <w:rPr>
                <w:rFonts w:hint="eastAsia" w:ascii="Times New Roman" w:hAnsi="Times New Roman" w:eastAsia="宋体"/>
                <w:bCs/>
                <w:color w:val="auto"/>
                <w:sz w:val="21"/>
                <w:highlight w:val="none"/>
                <w:lang w:val="en-US" w:eastAsia="zh-CN"/>
              </w:rPr>
              <w:t>44.73</w:t>
            </w:r>
          </w:p>
        </w:tc>
        <w:tc>
          <w:tcPr>
            <w:tcW w:w="850" w:type="dxa"/>
            <w:noWrap w:val="0"/>
            <w:vAlign w:val="center"/>
          </w:tcPr>
          <w:p w14:paraId="63FE1EE1">
            <w:pPr>
              <w:pStyle w:val="8"/>
              <w:spacing w:after="0" w:line="240" w:lineRule="auto"/>
              <w:ind w:left="0" w:leftChars="0" w:firstLine="0" w:firstLineChars="0"/>
              <w:jc w:val="center"/>
              <w:rPr>
                <w:rFonts w:hint="default" w:ascii="Times New Roman" w:hAnsi="Times New Roman" w:eastAsia="宋体"/>
                <w:bCs/>
                <w:color w:val="auto"/>
                <w:kern w:val="2"/>
                <w:sz w:val="21"/>
                <w:szCs w:val="22"/>
                <w:highlight w:val="none"/>
                <w:lang w:val="en-US" w:eastAsia="zh-CN" w:bidi="ar-SA"/>
              </w:rPr>
            </w:pPr>
            <w:r>
              <w:rPr>
                <w:rFonts w:hint="eastAsia" w:ascii="Times New Roman" w:hAnsi="Times New Roman" w:eastAsia="宋体"/>
                <w:bCs/>
                <w:color w:val="auto"/>
                <w:kern w:val="2"/>
                <w:sz w:val="21"/>
                <w:szCs w:val="22"/>
                <w:highlight w:val="none"/>
                <w:lang w:val="en-US" w:eastAsia="zh-CN" w:bidi="ar-SA"/>
              </w:rPr>
              <w:t>44.73</w:t>
            </w:r>
          </w:p>
        </w:tc>
        <w:tc>
          <w:tcPr>
            <w:tcW w:w="640" w:type="dxa"/>
            <w:noWrap w:val="0"/>
            <w:vAlign w:val="center"/>
          </w:tcPr>
          <w:p w14:paraId="76F15D52">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default" w:ascii="Times New Roman" w:hAnsi="Times New Roman" w:eastAsia="宋体"/>
                <w:bCs/>
                <w:color w:val="auto"/>
                <w:sz w:val="21"/>
                <w:highlight w:val="none"/>
                <w:lang w:val="en-US" w:eastAsia="zh-CN"/>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52</w:t>
            </w:r>
          </w:p>
        </w:tc>
        <w:tc>
          <w:tcPr>
            <w:tcW w:w="704" w:type="dxa"/>
            <w:noWrap w:val="0"/>
            <w:vAlign w:val="center"/>
          </w:tcPr>
          <w:p w14:paraId="2542F79A">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default" w:ascii="Times New Roman" w:hAnsi="Times New Roman" w:eastAsia="宋体"/>
                <w:bCs/>
                <w:color w:val="auto"/>
                <w:sz w:val="21"/>
                <w:highlight w:val="none"/>
                <w:lang w:val="en-US" w:eastAsia="zh-CN"/>
              </w:rPr>
            </w:pPr>
            <w:r>
              <w:rPr>
                <w:rFonts w:hint="eastAsia" w:ascii="Times New Roman" w:eastAsia="宋体"/>
                <w:color w:val="auto"/>
                <w:sz w:val="21"/>
                <w:szCs w:val="21"/>
                <w:highlight w:val="none"/>
                <w:lang w:val="en-US" w:eastAsia="zh-CN"/>
              </w:rPr>
              <w:t>42</w:t>
            </w:r>
          </w:p>
        </w:tc>
        <w:tc>
          <w:tcPr>
            <w:tcW w:w="704" w:type="dxa"/>
            <w:noWrap w:val="0"/>
            <w:vAlign w:val="center"/>
          </w:tcPr>
          <w:p w14:paraId="56D59B3E">
            <w:pPr>
              <w:pStyle w:val="8"/>
              <w:spacing w:after="0" w:line="240" w:lineRule="auto"/>
              <w:ind w:left="0" w:leftChars="0" w:firstLine="0" w:firstLineChars="0"/>
              <w:jc w:val="center"/>
              <w:rPr>
                <w:rFonts w:hint="default" w:ascii="Times New Roman" w:hAnsi="Times New Roman" w:eastAsia="宋体"/>
                <w:bCs/>
                <w:color w:val="auto"/>
                <w:sz w:val="21"/>
                <w:highlight w:val="none"/>
                <w:lang w:val="en-US" w:eastAsia="zh-CN"/>
              </w:rPr>
            </w:pPr>
            <w:r>
              <w:rPr>
                <w:rFonts w:hint="eastAsia" w:ascii="Times New Roman" w:hAnsi="Times New Roman" w:eastAsia="宋体"/>
                <w:bCs/>
                <w:color w:val="auto"/>
                <w:sz w:val="21"/>
                <w:highlight w:val="none"/>
                <w:lang w:val="en-US" w:eastAsia="zh-CN"/>
              </w:rPr>
              <w:t>52.75</w:t>
            </w:r>
          </w:p>
        </w:tc>
        <w:tc>
          <w:tcPr>
            <w:tcW w:w="680" w:type="dxa"/>
            <w:noWrap w:val="0"/>
            <w:vAlign w:val="center"/>
          </w:tcPr>
          <w:p w14:paraId="45F36008">
            <w:pPr>
              <w:pStyle w:val="8"/>
              <w:spacing w:after="0" w:line="240" w:lineRule="auto"/>
              <w:ind w:left="0" w:leftChars="0" w:firstLine="0" w:firstLineChars="0"/>
              <w:jc w:val="center"/>
              <w:rPr>
                <w:rFonts w:hint="default" w:ascii="Times New Roman" w:hAnsi="Times New Roman" w:eastAsia="宋体"/>
                <w:bCs/>
                <w:color w:val="auto"/>
                <w:sz w:val="21"/>
                <w:highlight w:val="none"/>
                <w:lang w:val="en-US" w:eastAsia="zh-CN"/>
              </w:rPr>
            </w:pPr>
            <w:r>
              <w:rPr>
                <w:rFonts w:hint="eastAsia" w:ascii="Times New Roman" w:hAnsi="Times New Roman"/>
                <w:bCs/>
                <w:color w:val="auto"/>
                <w:sz w:val="21"/>
                <w:highlight w:val="none"/>
                <w:lang w:val="en-US" w:eastAsia="zh-CN"/>
              </w:rPr>
              <w:t>46.59</w:t>
            </w:r>
          </w:p>
        </w:tc>
        <w:tc>
          <w:tcPr>
            <w:tcW w:w="2709" w:type="dxa"/>
            <w:vMerge w:val="restart"/>
            <w:noWrap w:val="0"/>
            <w:vAlign w:val="center"/>
          </w:tcPr>
          <w:p w14:paraId="6F052114">
            <w:pPr>
              <w:pStyle w:val="8"/>
              <w:spacing w:after="0" w:line="240" w:lineRule="auto"/>
              <w:ind w:left="0" w:leftChars="0" w:firstLine="0" w:firstLineChars="0"/>
              <w:jc w:val="center"/>
              <w:rPr>
                <w:rFonts w:ascii="Times New Roman" w:hAnsi="Times New Roman"/>
                <w:bCs/>
                <w:color w:val="auto"/>
                <w:sz w:val="21"/>
                <w:highlight w:val="none"/>
              </w:rPr>
            </w:pPr>
            <w:r>
              <w:rPr>
                <w:rFonts w:hint="eastAsia" w:ascii="Times New Roman" w:hAnsi="Times New Roman" w:eastAsia="宋体" w:cs="Times New Roman"/>
                <w:bCs/>
                <w:color w:val="auto"/>
                <w:sz w:val="21"/>
                <w:highlight w:val="none"/>
              </w:rPr>
              <w:t>《声环境质量标准》（GB3096-2008）</w:t>
            </w:r>
            <w:r>
              <w:rPr>
                <w:rFonts w:hint="eastAsia" w:ascii="Times New Roman" w:hAnsi="Times New Roman" w:eastAsia="宋体" w:cs="Times New Roman"/>
                <w:bCs/>
                <w:color w:val="auto"/>
                <w:sz w:val="21"/>
                <w:highlight w:val="none"/>
                <w:lang w:val="en-US" w:eastAsia="zh-CN"/>
              </w:rPr>
              <w:t>2</w:t>
            </w:r>
            <w:r>
              <w:rPr>
                <w:rFonts w:hint="eastAsia" w:ascii="Times New Roman" w:hAnsi="Times New Roman" w:eastAsia="宋体" w:cs="Times New Roman"/>
                <w:bCs/>
                <w:color w:val="auto"/>
                <w:sz w:val="21"/>
                <w:highlight w:val="none"/>
              </w:rPr>
              <w:t>类标准</w:t>
            </w:r>
          </w:p>
        </w:tc>
      </w:tr>
      <w:tr w14:paraId="41CEC62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7" w:hRule="atLeast"/>
          <w:jc w:val="center"/>
        </w:trPr>
        <w:tc>
          <w:tcPr>
            <w:tcW w:w="1526" w:type="dxa"/>
            <w:noWrap w:val="0"/>
            <w:vAlign w:val="center"/>
          </w:tcPr>
          <w:p w14:paraId="1DCDB1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bCs/>
                <w:color w:val="auto"/>
                <w:sz w:val="21"/>
                <w:highlight w:val="none"/>
                <w:lang w:val="en-US" w:eastAsia="zh-CN"/>
              </w:rPr>
            </w:pPr>
            <w:r>
              <w:rPr>
                <w:rFonts w:hint="eastAsia" w:ascii="Times New Roman" w:hAnsi="Times New Roman" w:cs="Times New Roman"/>
                <w:sz w:val="21"/>
                <w:szCs w:val="21"/>
                <w:highlight w:val="none"/>
                <w:vertAlign w:val="baseline"/>
                <w:lang w:val="en-US" w:eastAsia="zh-CN"/>
              </w:rPr>
              <w:t>旅游局家属楼3楼</w:t>
            </w:r>
          </w:p>
        </w:tc>
        <w:tc>
          <w:tcPr>
            <w:tcW w:w="709" w:type="dxa"/>
            <w:noWrap w:val="0"/>
            <w:vAlign w:val="center"/>
          </w:tcPr>
          <w:p w14:paraId="6739C435">
            <w:pPr>
              <w:pStyle w:val="8"/>
              <w:spacing w:after="0" w:line="240" w:lineRule="auto"/>
              <w:ind w:left="0" w:leftChars="0" w:firstLine="0" w:firstLineChars="0"/>
              <w:jc w:val="center"/>
              <w:rPr>
                <w:rFonts w:hint="eastAsia" w:ascii="Times New Roman" w:hAnsi="Times New Roman"/>
                <w:bCs/>
                <w:color w:val="auto"/>
                <w:sz w:val="21"/>
                <w:highlight w:val="none"/>
                <w:lang w:val="en-US" w:eastAsia="zh-CN"/>
              </w:rPr>
            </w:pPr>
            <w:r>
              <w:rPr>
                <w:rFonts w:hint="eastAsia" w:ascii="Times New Roman" w:hAnsi="Times New Roman" w:eastAsia="宋体"/>
                <w:bCs/>
                <w:color w:val="auto"/>
                <w:sz w:val="21"/>
                <w:highlight w:val="none"/>
                <w:lang w:val="en-US" w:eastAsia="zh-CN"/>
              </w:rPr>
              <w:t>44.73</w:t>
            </w:r>
          </w:p>
        </w:tc>
        <w:tc>
          <w:tcPr>
            <w:tcW w:w="850" w:type="dxa"/>
            <w:noWrap w:val="0"/>
            <w:vAlign w:val="center"/>
          </w:tcPr>
          <w:p w14:paraId="1DF775F6">
            <w:pPr>
              <w:pStyle w:val="8"/>
              <w:spacing w:after="0" w:line="240" w:lineRule="auto"/>
              <w:ind w:left="0" w:leftChars="0" w:firstLine="0" w:firstLineChars="0"/>
              <w:jc w:val="center"/>
              <w:rPr>
                <w:rFonts w:hint="eastAsia" w:ascii="Times New Roman" w:hAnsi="Times New Roman"/>
                <w:bCs/>
                <w:color w:val="auto"/>
                <w:sz w:val="21"/>
                <w:highlight w:val="none"/>
                <w:lang w:val="en-US" w:eastAsia="zh-CN"/>
              </w:rPr>
            </w:pPr>
            <w:r>
              <w:rPr>
                <w:rFonts w:hint="eastAsia" w:ascii="Times New Roman" w:hAnsi="Times New Roman" w:eastAsia="宋体"/>
                <w:bCs/>
                <w:color w:val="auto"/>
                <w:kern w:val="2"/>
                <w:sz w:val="21"/>
                <w:szCs w:val="22"/>
                <w:highlight w:val="none"/>
                <w:lang w:val="en-US" w:eastAsia="zh-CN" w:bidi="ar-SA"/>
              </w:rPr>
              <w:t>44.73</w:t>
            </w:r>
          </w:p>
        </w:tc>
        <w:tc>
          <w:tcPr>
            <w:tcW w:w="640" w:type="dxa"/>
            <w:noWrap w:val="0"/>
            <w:vAlign w:val="center"/>
          </w:tcPr>
          <w:p w14:paraId="01C1D678">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default" w:ascii="Times New Roman" w:hAnsi="Times New Roman"/>
                <w:bCs/>
                <w:color w:val="auto"/>
                <w:sz w:val="21"/>
                <w:highlight w:val="none"/>
                <w:lang w:val="en-US" w:eastAsia="zh-CN"/>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51</w:t>
            </w:r>
          </w:p>
        </w:tc>
        <w:tc>
          <w:tcPr>
            <w:tcW w:w="704" w:type="dxa"/>
            <w:noWrap w:val="0"/>
            <w:vAlign w:val="center"/>
          </w:tcPr>
          <w:p w14:paraId="766FEB05">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default" w:ascii="Times New Roman" w:hAnsi="Times New Roman" w:eastAsia="宋体"/>
                <w:bCs/>
                <w:color w:val="auto"/>
                <w:sz w:val="21"/>
                <w:highlight w:val="none"/>
                <w:lang w:val="en-US" w:eastAsia="zh-CN"/>
              </w:rPr>
            </w:pPr>
            <w:r>
              <w:rPr>
                <w:rFonts w:hint="eastAsia" w:ascii="Times New Roman" w:eastAsia="宋体"/>
                <w:color w:val="auto"/>
                <w:sz w:val="21"/>
                <w:szCs w:val="21"/>
                <w:highlight w:val="none"/>
                <w:lang w:val="en-US" w:eastAsia="zh-CN"/>
              </w:rPr>
              <w:t>43</w:t>
            </w:r>
          </w:p>
        </w:tc>
        <w:tc>
          <w:tcPr>
            <w:tcW w:w="704" w:type="dxa"/>
            <w:noWrap w:val="0"/>
            <w:vAlign w:val="center"/>
          </w:tcPr>
          <w:p w14:paraId="5FB543BA">
            <w:pPr>
              <w:pStyle w:val="8"/>
              <w:spacing w:after="0" w:line="240" w:lineRule="auto"/>
              <w:ind w:left="0" w:leftChars="0" w:firstLine="0" w:firstLineChars="0"/>
              <w:jc w:val="center"/>
              <w:rPr>
                <w:rFonts w:hint="eastAsia"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46</w:t>
            </w:r>
          </w:p>
        </w:tc>
        <w:tc>
          <w:tcPr>
            <w:tcW w:w="680" w:type="dxa"/>
            <w:noWrap w:val="0"/>
            <w:vAlign w:val="center"/>
          </w:tcPr>
          <w:p w14:paraId="2BFD0974">
            <w:pPr>
              <w:pStyle w:val="8"/>
              <w:spacing w:after="0" w:line="240" w:lineRule="auto"/>
              <w:ind w:left="0" w:leftChars="0" w:firstLine="0" w:firstLineChars="0"/>
              <w:jc w:val="center"/>
              <w:rPr>
                <w:rFonts w:ascii="Times New Roman" w:hAnsi="Times New Roman"/>
                <w:bCs/>
                <w:color w:val="auto"/>
                <w:sz w:val="21"/>
                <w:highlight w:val="none"/>
              </w:rPr>
            </w:pPr>
            <w:r>
              <w:rPr>
                <w:rFonts w:hint="eastAsia" w:ascii="Times New Roman" w:hAnsi="Times New Roman"/>
                <w:bCs/>
                <w:color w:val="auto"/>
                <w:sz w:val="21"/>
                <w:highlight w:val="none"/>
              </w:rPr>
              <w:t>41</w:t>
            </w:r>
          </w:p>
        </w:tc>
        <w:tc>
          <w:tcPr>
            <w:tcW w:w="2709" w:type="dxa"/>
            <w:vMerge w:val="continue"/>
            <w:noWrap w:val="0"/>
            <w:vAlign w:val="center"/>
          </w:tcPr>
          <w:p w14:paraId="6CBBE7A5">
            <w:pPr>
              <w:pStyle w:val="8"/>
              <w:spacing w:after="0" w:line="240" w:lineRule="auto"/>
              <w:ind w:left="0" w:leftChars="0" w:firstLine="0" w:firstLineChars="0"/>
              <w:jc w:val="center"/>
              <w:rPr>
                <w:rFonts w:hint="eastAsia" w:ascii="Times New Roman" w:hAnsi="Times New Roman" w:eastAsia="宋体" w:cs="Times New Roman"/>
                <w:bCs/>
                <w:color w:val="auto"/>
                <w:sz w:val="21"/>
                <w:highlight w:val="none"/>
              </w:rPr>
            </w:pPr>
          </w:p>
        </w:tc>
      </w:tr>
      <w:tr w14:paraId="0A4C9D4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7" w:hRule="atLeast"/>
          <w:jc w:val="center"/>
        </w:trPr>
        <w:tc>
          <w:tcPr>
            <w:tcW w:w="1526" w:type="dxa"/>
            <w:noWrap w:val="0"/>
            <w:vAlign w:val="center"/>
          </w:tcPr>
          <w:p w14:paraId="4C0C4A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bCs/>
                <w:color w:val="auto"/>
                <w:sz w:val="21"/>
                <w:highlight w:val="none"/>
                <w:lang w:val="en-US" w:eastAsia="zh-CN"/>
              </w:rPr>
            </w:pPr>
            <w:r>
              <w:rPr>
                <w:rFonts w:hint="eastAsia" w:ascii="Times New Roman" w:hAnsi="Times New Roman" w:cs="Times New Roman"/>
                <w:sz w:val="21"/>
                <w:szCs w:val="21"/>
                <w:highlight w:val="none"/>
                <w:vertAlign w:val="baseline"/>
                <w:lang w:val="en-US" w:eastAsia="zh-CN"/>
              </w:rPr>
              <w:t>旅游局家属楼5楼</w:t>
            </w:r>
          </w:p>
        </w:tc>
        <w:tc>
          <w:tcPr>
            <w:tcW w:w="709" w:type="dxa"/>
            <w:noWrap w:val="0"/>
            <w:vAlign w:val="center"/>
          </w:tcPr>
          <w:p w14:paraId="6EF2BFCF">
            <w:pPr>
              <w:pStyle w:val="8"/>
              <w:spacing w:after="0" w:line="240" w:lineRule="auto"/>
              <w:ind w:left="0" w:leftChars="0" w:firstLine="0" w:firstLineChars="0"/>
              <w:jc w:val="center"/>
              <w:rPr>
                <w:rFonts w:hint="eastAsia" w:ascii="Times New Roman" w:hAnsi="Times New Roman"/>
                <w:bCs/>
                <w:color w:val="auto"/>
                <w:sz w:val="21"/>
                <w:highlight w:val="none"/>
                <w:lang w:val="en-US" w:eastAsia="zh-CN"/>
              </w:rPr>
            </w:pPr>
            <w:r>
              <w:rPr>
                <w:rFonts w:hint="eastAsia" w:ascii="Times New Roman" w:hAnsi="Times New Roman" w:eastAsia="宋体"/>
                <w:bCs/>
                <w:color w:val="auto"/>
                <w:sz w:val="21"/>
                <w:highlight w:val="none"/>
                <w:lang w:val="en-US" w:eastAsia="zh-CN"/>
              </w:rPr>
              <w:t>44.73</w:t>
            </w:r>
          </w:p>
        </w:tc>
        <w:tc>
          <w:tcPr>
            <w:tcW w:w="850" w:type="dxa"/>
            <w:noWrap w:val="0"/>
            <w:vAlign w:val="center"/>
          </w:tcPr>
          <w:p w14:paraId="348E7403">
            <w:pPr>
              <w:pStyle w:val="8"/>
              <w:spacing w:after="0" w:line="240" w:lineRule="auto"/>
              <w:ind w:left="0" w:leftChars="0" w:firstLine="0" w:firstLineChars="0"/>
              <w:jc w:val="center"/>
              <w:rPr>
                <w:rFonts w:hint="eastAsia" w:ascii="Times New Roman" w:hAnsi="Times New Roman"/>
                <w:bCs/>
                <w:color w:val="auto"/>
                <w:sz w:val="21"/>
                <w:highlight w:val="none"/>
                <w:lang w:val="en-US" w:eastAsia="zh-CN"/>
              </w:rPr>
            </w:pPr>
            <w:r>
              <w:rPr>
                <w:rFonts w:hint="eastAsia" w:ascii="Times New Roman" w:hAnsi="Times New Roman" w:eastAsia="宋体"/>
                <w:bCs/>
                <w:color w:val="auto"/>
                <w:kern w:val="2"/>
                <w:sz w:val="21"/>
                <w:szCs w:val="22"/>
                <w:highlight w:val="none"/>
                <w:lang w:val="en-US" w:eastAsia="zh-CN" w:bidi="ar-SA"/>
              </w:rPr>
              <w:t>44.73</w:t>
            </w:r>
          </w:p>
        </w:tc>
        <w:tc>
          <w:tcPr>
            <w:tcW w:w="640" w:type="dxa"/>
            <w:noWrap w:val="0"/>
            <w:vAlign w:val="center"/>
          </w:tcPr>
          <w:p w14:paraId="67759460">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eastAsia" w:ascii="Times New Roman" w:hAnsi="Times New Roman"/>
                <w:bCs/>
                <w:color w:val="auto"/>
                <w:sz w:val="21"/>
                <w:highlight w:val="none"/>
                <w:lang w:val="en-US" w:eastAsia="zh-CN"/>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50</w:t>
            </w:r>
          </w:p>
        </w:tc>
        <w:tc>
          <w:tcPr>
            <w:tcW w:w="704" w:type="dxa"/>
            <w:noWrap w:val="0"/>
            <w:vAlign w:val="center"/>
          </w:tcPr>
          <w:p w14:paraId="7DA6C99F">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eastAsia" w:ascii="Times New Roman" w:hAnsi="Times New Roman"/>
                <w:bCs/>
                <w:color w:val="auto"/>
                <w:sz w:val="21"/>
                <w:highlight w:val="none"/>
                <w:lang w:val="en-US" w:eastAsia="zh-CN"/>
              </w:rPr>
            </w:pPr>
            <w:r>
              <w:rPr>
                <w:rFonts w:hint="eastAsia" w:ascii="Times New Roman" w:eastAsia="宋体"/>
                <w:color w:val="auto"/>
                <w:sz w:val="21"/>
                <w:szCs w:val="21"/>
                <w:highlight w:val="none"/>
                <w:lang w:val="en-US" w:eastAsia="zh-CN"/>
              </w:rPr>
              <w:t>42</w:t>
            </w:r>
          </w:p>
        </w:tc>
        <w:tc>
          <w:tcPr>
            <w:tcW w:w="704" w:type="dxa"/>
            <w:noWrap w:val="0"/>
            <w:vAlign w:val="center"/>
          </w:tcPr>
          <w:p w14:paraId="786E5807">
            <w:pPr>
              <w:pStyle w:val="8"/>
              <w:spacing w:after="0" w:line="240" w:lineRule="auto"/>
              <w:ind w:left="0" w:leftChars="0" w:firstLine="0" w:firstLineChars="0"/>
              <w:jc w:val="center"/>
              <w:rPr>
                <w:rFonts w:hint="default"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51.92</w:t>
            </w:r>
          </w:p>
        </w:tc>
        <w:tc>
          <w:tcPr>
            <w:tcW w:w="680" w:type="dxa"/>
            <w:noWrap w:val="0"/>
            <w:vAlign w:val="center"/>
          </w:tcPr>
          <w:p w14:paraId="5B20E284">
            <w:pPr>
              <w:pStyle w:val="8"/>
              <w:spacing w:after="0" w:line="240" w:lineRule="auto"/>
              <w:ind w:left="0" w:leftChars="0" w:firstLine="0" w:firstLineChars="0"/>
              <w:jc w:val="center"/>
              <w:rPr>
                <w:rFonts w:hint="default" w:ascii="Times New Roman" w:hAnsi="Times New Roman" w:eastAsia="宋体"/>
                <w:bCs/>
                <w:color w:val="auto"/>
                <w:sz w:val="21"/>
                <w:highlight w:val="none"/>
                <w:lang w:val="en-US" w:eastAsia="zh-CN"/>
              </w:rPr>
            </w:pPr>
            <w:r>
              <w:rPr>
                <w:rFonts w:hint="eastAsia" w:ascii="Times New Roman" w:hAnsi="Times New Roman"/>
                <w:bCs/>
                <w:color w:val="auto"/>
                <w:sz w:val="21"/>
                <w:highlight w:val="none"/>
                <w:lang w:val="en-US" w:eastAsia="zh-CN"/>
              </w:rPr>
              <w:t>46.59</w:t>
            </w:r>
          </w:p>
        </w:tc>
        <w:tc>
          <w:tcPr>
            <w:tcW w:w="2709" w:type="dxa"/>
            <w:vMerge w:val="continue"/>
            <w:noWrap w:val="0"/>
            <w:vAlign w:val="center"/>
          </w:tcPr>
          <w:p w14:paraId="1FBE1A8E">
            <w:pPr>
              <w:pStyle w:val="8"/>
              <w:spacing w:after="0" w:line="240" w:lineRule="auto"/>
              <w:ind w:left="0" w:leftChars="0" w:firstLine="0" w:firstLineChars="0"/>
              <w:jc w:val="center"/>
              <w:rPr>
                <w:rFonts w:hint="eastAsia" w:ascii="Times New Roman" w:hAnsi="Times New Roman" w:eastAsia="宋体" w:cs="Times New Roman"/>
                <w:bCs/>
                <w:color w:val="auto"/>
                <w:sz w:val="21"/>
                <w:highlight w:val="none"/>
              </w:rPr>
            </w:pPr>
          </w:p>
        </w:tc>
      </w:tr>
      <w:tr w14:paraId="1411049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7" w:hRule="atLeast"/>
          <w:jc w:val="center"/>
        </w:trPr>
        <w:tc>
          <w:tcPr>
            <w:tcW w:w="1526" w:type="dxa"/>
            <w:noWrap w:val="0"/>
            <w:vAlign w:val="center"/>
          </w:tcPr>
          <w:p w14:paraId="6713B2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bCs/>
                <w:color w:val="auto"/>
                <w:sz w:val="21"/>
                <w:highlight w:val="none"/>
                <w:lang w:val="en-US" w:eastAsia="zh-CN"/>
              </w:rPr>
            </w:pPr>
            <w:r>
              <w:rPr>
                <w:rFonts w:hint="eastAsia" w:ascii="Times New Roman" w:hAnsi="Times New Roman" w:cs="Times New Roman"/>
                <w:sz w:val="21"/>
                <w:szCs w:val="21"/>
                <w:highlight w:val="none"/>
                <w:vertAlign w:val="baseline"/>
                <w:lang w:val="en-US" w:eastAsia="zh-CN"/>
              </w:rPr>
              <w:t>新安幸福嘉园1楼</w:t>
            </w:r>
          </w:p>
        </w:tc>
        <w:tc>
          <w:tcPr>
            <w:tcW w:w="709" w:type="dxa"/>
            <w:noWrap w:val="0"/>
            <w:vAlign w:val="center"/>
          </w:tcPr>
          <w:p w14:paraId="7E2D66FE">
            <w:pPr>
              <w:pStyle w:val="8"/>
              <w:spacing w:after="0" w:line="240" w:lineRule="auto"/>
              <w:ind w:left="0" w:leftChars="0" w:firstLine="0" w:firstLineChars="0"/>
              <w:jc w:val="center"/>
              <w:rPr>
                <w:rFonts w:hint="default"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43.40</w:t>
            </w:r>
          </w:p>
        </w:tc>
        <w:tc>
          <w:tcPr>
            <w:tcW w:w="850" w:type="dxa"/>
            <w:noWrap w:val="0"/>
            <w:vAlign w:val="center"/>
          </w:tcPr>
          <w:p w14:paraId="6717F10A">
            <w:pPr>
              <w:pStyle w:val="8"/>
              <w:spacing w:after="0" w:line="240" w:lineRule="auto"/>
              <w:ind w:left="0" w:leftChars="0" w:firstLine="0" w:firstLineChars="0"/>
              <w:jc w:val="center"/>
              <w:rPr>
                <w:rFonts w:hint="default"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43.40</w:t>
            </w:r>
          </w:p>
        </w:tc>
        <w:tc>
          <w:tcPr>
            <w:tcW w:w="640" w:type="dxa"/>
            <w:noWrap w:val="0"/>
            <w:vAlign w:val="center"/>
          </w:tcPr>
          <w:p w14:paraId="74FA613E">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eastAsia" w:ascii="Times New Roman" w:hAnsi="Times New Roman"/>
                <w:bCs/>
                <w:color w:val="auto"/>
                <w:sz w:val="21"/>
                <w:highlight w:val="none"/>
                <w:lang w:val="en-US" w:eastAsia="zh-CN"/>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54</w:t>
            </w:r>
          </w:p>
        </w:tc>
        <w:tc>
          <w:tcPr>
            <w:tcW w:w="704" w:type="dxa"/>
            <w:noWrap w:val="0"/>
            <w:vAlign w:val="center"/>
          </w:tcPr>
          <w:p w14:paraId="7B81ED64">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eastAsia" w:ascii="Times New Roman" w:hAnsi="Times New Roman"/>
                <w:bCs/>
                <w:color w:val="auto"/>
                <w:sz w:val="21"/>
                <w:highlight w:val="none"/>
                <w:lang w:val="en-US" w:eastAsia="zh-CN"/>
              </w:rPr>
            </w:pPr>
            <w:r>
              <w:rPr>
                <w:rFonts w:hint="eastAsia" w:ascii="Times New Roman" w:eastAsia="宋体"/>
                <w:color w:val="auto"/>
                <w:sz w:val="21"/>
                <w:szCs w:val="21"/>
                <w:highlight w:val="none"/>
                <w:lang w:val="en-US" w:eastAsia="zh-CN"/>
              </w:rPr>
              <w:t>44</w:t>
            </w:r>
          </w:p>
        </w:tc>
        <w:tc>
          <w:tcPr>
            <w:tcW w:w="704" w:type="dxa"/>
            <w:noWrap w:val="0"/>
            <w:vAlign w:val="center"/>
          </w:tcPr>
          <w:p w14:paraId="141C4B9F">
            <w:pPr>
              <w:pStyle w:val="8"/>
              <w:spacing w:after="0" w:line="240" w:lineRule="auto"/>
              <w:ind w:left="0" w:leftChars="0" w:firstLine="0" w:firstLineChars="0"/>
              <w:jc w:val="center"/>
              <w:rPr>
                <w:rFonts w:hint="default"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54.36</w:t>
            </w:r>
          </w:p>
        </w:tc>
        <w:tc>
          <w:tcPr>
            <w:tcW w:w="680" w:type="dxa"/>
            <w:noWrap w:val="0"/>
            <w:vAlign w:val="center"/>
          </w:tcPr>
          <w:p w14:paraId="037936E0">
            <w:pPr>
              <w:pStyle w:val="8"/>
              <w:spacing w:after="0" w:line="240" w:lineRule="auto"/>
              <w:ind w:left="0" w:leftChars="0" w:firstLine="0" w:firstLineChars="0"/>
              <w:jc w:val="center"/>
              <w:rPr>
                <w:rFonts w:hint="default" w:ascii="Times New Roman" w:hAnsi="Times New Roman" w:eastAsia="宋体"/>
                <w:bCs/>
                <w:color w:val="auto"/>
                <w:sz w:val="21"/>
                <w:highlight w:val="none"/>
                <w:lang w:val="en-US" w:eastAsia="zh-CN"/>
              </w:rPr>
            </w:pPr>
            <w:r>
              <w:rPr>
                <w:rFonts w:hint="eastAsia" w:ascii="Times New Roman" w:hAnsi="Times New Roman"/>
                <w:bCs/>
                <w:color w:val="auto"/>
                <w:sz w:val="21"/>
                <w:highlight w:val="none"/>
                <w:lang w:val="en-US" w:eastAsia="zh-CN"/>
              </w:rPr>
              <w:t>46.72</w:t>
            </w:r>
          </w:p>
        </w:tc>
        <w:tc>
          <w:tcPr>
            <w:tcW w:w="2709" w:type="dxa"/>
            <w:vMerge w:val="continue"/>
            <w:noWrap w:val="0"/>
            <w:vAlign w:val="center"/>
          </w:tcPr>
          <w:p w14:paraId="75C30965">
            <w:pPr>
              <w:pStyle w:val="8"/>
              <w:spacing w:after="0" w:line="240" w:lineRule="auto"/>
              <w:ind w:left="0" w:leftChars="0" w:firstLine="0" w:firstLineChars="0"/>
              <w:jc w:val="center"/>
              <w:rPr>
                <w:rFonts w:hint="eastAsia" w:ascii="Times New Roman" w:hAnsi="Times New Roman" w:eastAsia="宋体" w:cs="Times New Roman"/>
                <w:bCs/>
                <w:color w:val="auto"/>
                <w:sz w:val="21"/>
                <w:highlight w:val="none"/>
              </w:rPr>
            </w:pPr>
          </w:p>
        </w:tc>
      </w:tr>
      <w:tr w14:paraId="213773E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7" w:hRule="atLeast"/>
          <w:jc w:val="center"/>
        </w:trPr>
        <w:tc>
          <w:tcPr>
            <w:tcW w:w="1526" w:type="dxa"/>
            <w:noWrap w:val="0"/>
            <w:vAlign w:val="center"/>
          </w:tcPr>
          <w:p w14:paraId="4B8EE5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bCs/>
                <w:color w:val="auto"/>
                <w:sz w:val="21"/>
                <w:highlight w:val="none"/>
                <w:lang w:val="en-US" w:eastAsia="zh-CN"/>
              </w:rPr>
            </w:pPr>
            <w:r>
              <w:rPr>
                <w:rFonts w:hint="eastAsia" w:ascii="Times New Roman" w:hAnsi="Times New Roman" w:cs="Times New Roman"/>
                <w:sz w:val="21"/>
                <w:szCs w:val="21"/>
                <w:highlight w:val="none"/>
                <w:vertAlign w:val="baseline"/>
                <w:lang w:val="en-US" w:eastAsia="zh-CN"/>
              </w:rPr>
              <w:t>新安幸福嘉园3楼</w:t>
            </w:r>
          </w:p>
        </w:tc>
        <w:tc>
          <w:tcPr>
            <w:tcW w:w="709" w:type="dxa"/>
            <w:noWrap w:val="0"/>
            <w:vAlign w:val="center"/>
          </w:tcPr>
          <w:p w14:paraId="632E53E4">
            <w:pPr>
              <w:pStyle w:val="8"/>
              <w:spacing w:after="0" w:line="240" w:lineRule="auto"/>
              <w:ind w:left="0" w:leftChars="0" w:firstLine="0" w:firstLineChars="0"/>
              <w:jc w:val="center"/>
              <w:rPr>
                <w:rFonts w:hint="eastAsia"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43.40</w:t>
            </w:r>
          </w:p>
        </w:tc>
        <w:tc>
          <w:tcPr>
            <w:tcW w:w="850" w:type="dxa"/>
            <w:noWrap w:val="0"/>
            <w:vAlign w:val="center"/>
          </w:tcPr>
          <w:p w14:paraId="39658253">
            <w:pPr>
              <w:pStyle w:val="8"/>
              <w:spacing w:after="0" w:line="240" w:lineRule="auto"/>
              <w:ind w:left="0" w:leftChars="0" w:firstLine="0" w:firstLineChars="0"/>
              <w:jc w:val="center"/>
              <w:rPr>
                <w:rFonts w:hint="eastAsia"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43.40</w:t>
            </w:r>
          </w:p>
        </w:tc>
        <w:tc>
          <w:tcPr>
            <w:tcW w:w="640" w:type="dxa"/>
            <w:noWrap w:val="0"/>
            <w:vAlign w:val="center"/>
          </w:tcPr>
          <w:p w14:paraId="4FB7C9A9">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eastAsia" w:ascii="Times New Roman" w:hAnsi="Times New Roman"/>
                <w:bCs/>
                <w:color w:val="auto"/>
                <w:sz w:val="21"/>
                <w:highlight w:val="none"/>
                <w:lang w:val="en-US" w:eastAsia="zh-CN"/>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53</w:t>
            </w:r>
          </w:p>
        </w:tc>
        <w:tc>
          <w:tcPr>
            <w:tcW w:w="704" w:type="dxa"/>
            <w:noWrap w:val="0"/>
            <w:vAlign w:val="center"/>
          </w:tcPr>
          <w:p w14:paraId="07BFC155">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eastAsia" w:ascii="Times New Roman" w:hAnsi="Times New Roman"/>
                <w:bCs/>
                <w:color w:val="auto"/>
                <w:sz w:val="21"/>
                <w:highlight w:val="none"/>
                <w:lang w:val="en-US" w:eastAsia="zh-CN"/>
              </w:rPr>
            </w:pPr>
            <w:r>
              <w:rPr>
                <w:rFonts w:hint="eastAsia" w:ascii="Times New Roman" w:eastAsia="宋体"/>
                <w:color w:val="auto"/>
                <w:sz w:val="21"/>
                <w:szCs w:val="21"/>
                <w:highlight w:val="none"/>
                <w:lang w:val="en-US" w:eastAsia="zh-CN"/>
              </w:rPr>
              <w:t>43</w:t>
            </w:r>
          </w:p>
        </w:tc>
        <w:tc>
          <w:tcPr>
            <w:tcW w:w="704" w:type="dxa"/>
            <w:noWrap w:val="0"/>
            <w:vAlign w:val="center"/>
          </w:tcPr>
          <w:p w14:paraId="6DE75C96">
            <w:pPr>
              <w:pStyle w:val="8"/>
              <w:spacing w:after="0" w:line="240" w:lineRule="auto"/>
              <w:ind w:left="0" w:leftChars="0" w:firstLine="0" w:firstLineChars="0"/>
              <w:jc w:val="center"/>
              <w:rPr>
                <w:rFonts w:hint="default"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53.45</w:t>
            </w:r>
          </w:p>
        </w:tc>
        <w:tc>
          <w:tcPr>
            <w:tcW w:w="680" w:type="dxa"/>
            <w:noWrap w:val="0"/>
            <w:vAlign w:val="center"/>
          </w:tcPr>
          <w:p w14:paraId="40BB156A">
            <w:pPr>
              <w:pStyle w:val="8"/>
              <w:spacing w:after="0" w:line="240" w:lineRule="auto"/>
              <w:ind w:left="0" w:leftChars="0" w:firstLine="0" w:firstLineChars="0"/>
              <w:jc w:val="center"/>
              <w:rPr>
                <w:rFonts w:hint="default" w:ascii="Times New Roman" w:hAnsi="Times New Roman" w:eastAsia="宋体"/>
                <w:bCs/>
                <w:color w:val="auto"/>
                <w:sz w:val="21"/>
                <w:highlight w:val="none"/>
                <w:lang w:val="en-US" w:eastAsia="zh-CN"/>
              </w:rPr>
            </w:pPr>
            <w:r>
              <w:rPr>
                <w:rFonts w:hint="eastAsia" w:ascii="Times New Roman" w:hAnsi="Times New Roman"/>
                <w:bCs/>
                <w:color w:val="auto"/>
                <w:sz w:val="21"/>
                <w:highlight w:val="none"/>
                <w:lang w:val="en-US" w:eastAsia="zh-CN"/>
              </w:rPr>
              <w:t>46.21</w:t>
            </w:r>
          </w:p>
        </w:tc>
        <w:tc>
          <w:tcPr>
            <w:tcW w:w="2709" w:type="dxa"/>
            <w:vMerge w:val="continue"/>
            <w:noWrap w:val="0"/>
            <w:vAlign w:val="center"/>
          </w:tcPr>
          <w:p w14:paraId="6605227D">
            <w:pPr>
              <w:pStyle w:val="8"/>
              <w:spacing w:after="0" w:line="240" w:lineRule="auto"/>
              <w:ind w:left="0" w:leftChars="0" w:firstLine="0" w:firstLineChars="0"/>
              <w:jc w:val="center"/>
              <w:rPr>
                <w:rFonts w:hint="eastAsia" w:ascii="Times New Roman" w:hAnsi="Times New Roman" w:eastAsia="宋体" w:cs="Times New Roman"/>
                <w:bCs/>
                <w:color w:val="auto"/>
                <w:sz w:val="21"/>
                <w:highlight w:val="none"/>
              </w:rPr>
            </w:pPr>
          </w:p>
        </w:tc>
      </w:tr>
      <w:tr w14:paraId="35304A7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7" w:hRule="atLeast"/>
          <w:jc w:val="center"/>
        </w:trPr>
        <w:tc>
          <w:tcPr>
            <w:tcW w:w="1526" w:type="dxa"/>
            <w:noWrap w:val="0"/>
            <w:vAlign w:val="center"/>
          </w:tcPr>
          <w:p w14:paraId="2C5404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bCs/>
                <w:color w:val="auto"/>
                <w:sz w:val="21"/>
                <w:highlight w:val="none"/>
                <w:lang w:val="en-US" w:eastAsia="zh-CN"/>
              </w:rPr>
            </w:pPr>
            <w:r>
              <w:rPr>
                <w:rFonts w:hint="eastAsia" w:ascii="Times New Roman" w:hAnsi="Times New Roman" w:cs="Times New Roman"/>
                <w:sz w:val="21"/>
                <w:szCs w:val="21"/>
                <w:highlight w:val="none"/>
                <w:vertAlign w:val="baseline"/>
                <w:lang w:val="en-US" w:eastAsia="zh-CN"/>
              </w:rPr>
              <w:t>新安幸福嘉园5楼</w:t>
            </w:r>
          </w:p>
        </w:tc>
        <w:tc>
          <w:tcPr>
            <w:tcW w:w="709" w:type="dxa"/>
            <w:noWrap w:val="0"/>
            <w:vAlign w:val="center"/>
          </w:tcPr>
          <w:p w14:paraId="70A51DF9">
            <w:pPr>
              <w:pStyle w:val="8"/>
              <w:spacing w:after="0" w:line="240" w:lineRule="auto"/>
              <w:ind w:left="0" w:leftChars="0" w:firstLine="0" w:firstLineChars="0"/>
              <w:jc w:val="center"/>
              <w:rPr>
                <w:rFonts w:hint="eastAsia"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43.40</w:t>
            </w:r>
          </w:p>
        </w:tc>
        <w:tc>
          <w:tcPr>
            <w:tcW w:w="850" w:type="dxa"/>
            <w:noWrap w:val="0"/>
            <w:vAlign w:val="center"/>
          </w:tcPr>
          <w:p w14:paraId="350A7DBF">
            <w:pPr>
              <w:pStyle w:val="8"/>
              <w:spacing w:after="0" w:line="240" w:lineRule="auto"/>
              <w:ind w:left="0" w:leftChars="0" w:firstLine="0" w:firstLineChars="0"/>
              <w:jc w:val="center"/>
              <w:rPr>
                <w:rFonts w:hint="eastAsia"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43.40</w:t>
            </w:r>
          </w:p>
        </w:tc>
        <w:tc>
          <w:tcPr>
            <w:tcW w:w="640" w:type="dxa"/>
            <w:noWrap w:val="0"/>
            <w:vAlign w:val="center"/>
          </w:tcPr>
          <w:p w14:paraId="70AA6D5C">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eastAsia" w:ascii="Times New Roman" w:hAnsi="Times New Roman"/>
                <w:bCs/>
                <w:color w:val="auto"/>
                <w:sz w:val="21"/>
                <w:highlight w:val="none"/>
                <w:lang w:val="en-US" w:eastAsia="zh-CN"/>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55</w:t>
            </w:r>
          </w:p>
        </w:tc>
        <w:tc>
          <w:tcPr>
            <w:tcW w:w="704" w:type="dxa"/>
            <w:noWrap w:val="0"/>
            <w:vAlign w:val="center"/>
          </w:tcPr>
          <w:p w14:paraId="35B92A07">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eastAsia" w:ascii="Times New Roman" w:hAnsi="Times New Roman"/>
                <w:bCs/>
                <w:color w:val="auto"/>
                <w:sz w:val="21"/>
                <w:highlight w:val="none"/>
                <w:lang w:val="en-US" w:eastAsia="zh-CN"/>
              </w:rPr>
            </w:pPr>
            <w:r>
              <w:rPr>
                <w:rFonts w:hint="eastAsia" w:ascii="Times New Roman" w:eastAsia="宋体"/>
                <w:color w:val="auto"/>
                <w:sz w:val="21"/>
                <w:szCs w:val="21"/>
                <w:highlight w:val="none"/>
                <w:lang w:val="en-US" w:eastAsia="zh-CN"/>
              </w:rPr>
              <w:t>45</w:t>
            </w:r>
          </w:p>
        </w:tc>
        <w:tc>
          <w:tcPr>
            <w:tcW w:w="704" w:type="dxa"/>
            <w:noWrap w:val="0"/>
            <w:vAlign w:val="center"/>
          </w:tcPr>
          <w:p w14:paraId="22616592">
            <w:pPr>
              <w:pStyle w:val="8"/>
              <w:spacing w:after="0" w:line="240" w:lineRule="auto"/>
              <w:ind w:left="0" w:leftChars="0" w:firstLine="0" w:firstLineChars="0"/>
              <w:jc w:val="center"/>
              <w:rPr>
                <w:rFonts w:hint="default"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55.29</w:t>
            </w:r>
          </w:p>
        </w:tc>
        <w:tc>
          <w:tcPr>
            <w:tcW w:w="680" w:type="dxa"/>
            <w:noWrap w:val="0"/>
            <w:vAlign w:val="center"/>
          </w:tcPr>
          <w:p w14:paraId="0DC7A510">
            <w:pPr>
              <w:pStyle w:val="8"/>
              <w:spacing w:after="0" w:line="240" w:lineRule="auto"/>
              <w:ind w:left="0" w:leftChars="0" w:firstLine="0" w:firstLineChars="0"/>
              <w:jc w:val="center"/>
              <w:rPr>
                <w:rFonts w:hint="default" w:ascii="Times New Roman" w:hAnsi="Times New Roman" w:eastAsia="宋体"/>
                <w:bCs/>
                <w:color w:val="auto"/>
                <w:sz w:val="21"/>
                <w:highlight w:val="none"/>
                <w:lang w:val="en-US" w:eastAsia="zh-CN"/>
              </w:rPr>
            </w:pPr>
            <w:r>
              <w:rPr>
                <w:rFonts w:hint="eastAsia" w:ascii="Times New Roman" w:hAnsi="Times New Roman"/>
                <w:bCs/>
                <w:color w:val="auto"/>
                <w:sz w:val="21"/>
                <w:highlight w:val="none"/>
                <w:lang w:val="en-US" w:eastAsia="zh-CN"/>
              </w:rPr>
              <w:t>47.28</w:t>
            </w:r>
          </w:p>
        </w:tc>
        <w:tc>
          <w:tcPr>
            <w:tcW w:w="2709" w:type="dxa"/>
            <w:vMerge w:val="continue"/>
            <w:noWrap w:val="0"/>
            <w:vAlign w:val="center"/>
          </w:tcPr>
          <w:p w14:paraId="7597B195">
            <w:pPr>
              <w:pStyle w:val="8"/>
              <w:spacing w:after="0" w:line="240" w:lineRule="auto"/>
              <w:ind w:left="0" w:leftChars="0" w:firstLine="0" w:firstLineChars="0"/>
              <w:jc w:val="center"/>
              <w:rPr>
                <w:rFonts w:hint="eastAsia" w:ascii="Times New Roman" w:hAnsi="Times New Roman" w:eastAsia="宋体" w:cs="Times New Roman"/>
                <w:bCs/>
                <w:color w:val="auto"/>
                <w:sz w:val="21"/>
                <w:highlight w:val="none"/>
              </w:rPr>
            </w:pPr>
          </w:p>
        </w:tc>
      </w:tr>
      <w:tr w14:paraId="608EF3D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trHeight w:val="407" w:hRule="atLeast"/>
          <w:jc w:val="center"/>
        </w:trPr>
        <w:tc>
          <w:tcPr>
            <w:tcW w:w="1526" w:type="dxa"/>
            <w:noWrap w:val="0"/>
            <w:vAlign w:val="center"/>
          </w:tcPr>
          <w:p w14:paraId="7526FB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bCs/>
                <w:color w:val="auto"/>
                <w:sz w:val="21"/>
                <w:highlight w:val="none"/>
                <w:lang w:val="en-US" w:eastAsia="zh-CN"/>
              </w:rPr>
            </w:pPr>
            <w:r>
              <w:rPr>
                <w:rFonts w:hint="eastAsia" w:ascii="Times New Roman" w:hAnsi="Times New Roman" w:cs="Times New Roman"/>
                <w:sz w:val="21"/>
                <w:szCs w:val="21"/>
                <w:highlight w:val="none"/>
                <w:vertAlign w:val="baseline"/>
                <w:lang w:val="en-US" w:eastAsia="zh-CN"/>
              </w:rPr>
              <w:t>新安幸福嘉园7楼</w:t>
            </w:r>
          </w:p>
        </w:tc>
        <w:tc>
          <w:tcPr>
            <w:tcW w:w="709" w:type="dxa"/>
            <w:noWrap w:val="0"/>
            <w:vAlign w:val="center"/>
          </w:tcPr>
          <w:p w14:paraId="69635553">
            <w:pPr>
              <w:pStyle w:val="8"/>
              <w:spacing w:after="0" w:line="240" w:lineRule="auto"/>
              <w:ind w:left="0" w:leftChars="0" w:firstLine="0" w:firstLineChars="0"/>
              <w:jc w:val="center"/>
              <w:rPr>
                <w:rFonts w:hint="eastAsia"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43.40</w:t>
            </w:r>
          </w:p>
        </w:tc>
        <w:tc>
          <w:tcPr>
            <w:tcW w:w="850" w:type="dxa"/>
            <w:noWrap w:val="0"/>
            <w:vAlign w:val="center"/>
          </w:tcPr>
          <w:p w14:paraId="4B270AD0">
            <w:pPr>
              <w:pStyle w:val="8"/>
              <w:spacing w:after="0" w:line="240" w:lineRule="auto"/>
              <w:ind w:left="0" w:leftChars="0" w:firstLine="0" w:firstLineChars="0"/>
              <w:jc w:val="center"/>
              <w:rPr>
                <w:rFonts w:hint="eastAsia"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43.40</w:t>
            </w:r>
          </w:p>
        </w:tc>
        <w:tc>
          <w:tcPr>
            <w:tcW w:w="640" w:type="dxa"/>
            <w:noWrap w:val="0"/>
            <w:vAlign w:val="center"/>
          </w:tcPr>
          <w:p w14:paraId="660066F2">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eastAsia" w:ascii="Times New Roman" w:hAnsi="Times New Roman"/>
                <w:bCs/>
                <w:color w:val="auto"/>
                <w:sz w:val="21"/>
                <w:highlight w:val="none"/>
                <w:lang w:val="en-US" w:eastAsia="zh-CN"/>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52</w:t>
            </w:r>
          </w:p>
        </w:tc>
        <w:tc>
          <w:tcPr>
            <w:tcW w:w="704" w:type="dxa"/>
            <w:noWrap w:val="0"/>
            <w:vAlign w:val="center"/>
          </w:tcPr>
          <w:p w14:paraId="2F780A6E">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eastAsia" w:ascii="Times New Roman" w:hAnsi="Times New Roman"/>
                <w:bCs/>
                <w:color w:val="auto"/>
                <w:sz w:val="21"/>
                <w:highlight w:val="none"/>
                <w:lang w:val="en-US" w:eastAsia="zh-CN"/>
              </w:rPr>
            </w:pPr>
            <w:r>
              <w:rPr>
                <w:rFonts w:hint="eastAsia" w:ascii="Times New Roman" w:eastAsia="宋体"/>
                <w:color w:val="auto"/>
                <w:sz w:val="21"/>
                <w:szCs w:val="21"/>
                <w:highlight w:val="none"/>
                <w:lang w:val="en-US" w:eastAsia="zh-CN"/>
              </w:rPr>
              <w:t>42</w:t>
            </w:r>
          </w:p>
        </w:tc>
        <w:tc>
          <w:tcPr>
            <w:tcW w:w="704" w:type="dxa"/>
            <w:noWrap w:val="0"/>
            <w:vAlign w:val="center"/>
          </w:tcPr>
          <w:p w14:paraId="6ADC79BE">
            <w:pPr>
              <w:pStyle w:val="8"/>
              <w:spacing w:after="0" w:line="240" w:lineRule="auto"/>
              <w:ind w:left="0" w:leftChars="0" w:firstLine="0" w:firstLineChars="0"/>
              <w:jc w:val="center"/>
              <w:rPr>
                <w:rFonts w:hint="default"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52.56</w:t>
            </w:r>
          </w:p>
        </w:tc>
        <w:tc>
          <w:tcPr>
            <w:tcW w:w="680" w:type="dxa"/>
            <w:noWrap w:val="0"/>
            <w:vAlign w:val="center"/>
          </w:tcPr>
          <w:p w14:paraId="17787FA2">
            <w:pPr>
              <w:pStyle w:val="8"/>
              <w:spacing w:after="0" w:line="240" w:lineRule="auto"/>
              <w:ind w:left="0" w:leftChars="0" w:firstLine="0" w:firstLineChars="0"/>
              <w:jc w:val="center"/>
              <w:rPr>
                <w:rFonts w:hint="default" w:ascii="Times New Roman" w:hAnsi="Times New Roman" w:eastAsia="宋体"/>
                <w:bCs/>
                <w:color w:val="auto"/>
                <w:sz w:val="21"/>
                <w:highlight w:val="none"/>
                <w:lang w:val="en-US" w:eastAsia="zh-CN"/>
              </w:rPr>
            </w:pPr>
            <w:r>
              <w:rPr>
                <w:rFonts w:hint="eastAsia" w:ascii="Times New Roman" w:hAnsi="Times New Roman"/>
                <w:bCs/>
                <w:color w:val="auto"/>
                <w:sz w:val="21"/>
                <w:highlight w:val="none"/>
                <w:lang w:val="en-US" w:eastAsia="zh-CN"/>
              </w:rPr>
              <w:t>45.77</w:t>
            </w:r>
          </w:p>
        </w:tc>
        <w:tc>
          <w:tcPr>
            <w:tcW w:w="2709" w:type="dxa"/>
            <w:vMerge w:val="continue"/>
            <w:noWrap w:val="0"/>
            <w:vAlign w:val="center"/>
          </w:tcPr>
          <w:p w14:paraId="3FABB441">
            <w:pPr>
              <w:pStyle w:val="8"/>
              <w:spacing w:after="0" w:line="240" w:lineRule="auto"/>
              <w:ind w:left="0" w:leftChars="0" w:firstLine="0" w:firstLineChars="0"/>
              <w:jc w:val="center"/>
              <w:rPr>
                <w:rFonts w:hint="eastAsia" w:ascii="Times New Roman" w:hAnsi="Times New Roman" w:eastAsia="宋体" w:cs="Times New Roman"/>
                <w:bCs/>
                <w:color w:val="auto"/>
                <w:sz w:val="21"/>
                <w:highlight w:val="none"/>
              </w:rPr>
            </w:pPr>
          </w:p>
        </w:tc>
      </w:tr>
      <w:tr w14:paraId="156BBE2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7" w:hRule="atLeast"/>
          <w:jc w:val="center"/>
        </w:trPr>
        <w:tc>
          <w:tcPr>
            <w:tcW w:w="1526" w:type="dxa"/>
            <w:noWrap w:val="0"/>
            <w:vAlign w:val="center"/>
          </w:tcPr>
          <w:p w14:paraId="7F5738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bCs/>
                <w:color w:val="auto"/>
                <w:sz w:val="21"/>
                <w:highlight w:val="none"/>
                <w:lang w:val="en-US" w:eastAsia="zh-CN"/>
              </w:rPr>
            </w:pPr>
            <w:r>
              <w:rPr>
                <w:rFonts w:hint="eastAsia" w:ascii="Times New Roman" w:hAnsi="Times New Roman" w:cs="Times New Roman"/>
                <w:sz w:val="21"/>
                <w:szCs w:val="21"/>
                <w:highlight w:val="none"/>
                <w:vertAlign w:val="baseline"/>
                <w:lang w:val="en-US" w:eastAsia="zh-CN"/>
              </w:rPr>
              <w:t>新安幸福嘉园9楼</w:t>
            </w:r>
          </w:p>
        </w:tc>
        <w:tc>
          <w:tcPr>
            <w:tcW w:w="709" w:type="dxa"/>
            <w:noWrap w:val="0"/>
            <w:vAlign w:val="center"/>
          </w:tcPr>
          <w:p w14:paraId="66CEE509">
            <w:pPr>
              <w:pStyle w:val="8"/>
              <w:spacing w:after="0" w:line="240" w:lineRule="auto"/>
              <w:ind w:left="0" w:leftChars="0" w:firstLine="0" w:firstLineChars="0"/>
              <w:jc w:val="center"/>
              <w:rPr>
                <w:rFonts w:hint="eastAsia"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43.40</w:t>
            </w:r>
          </w:p>
        </w:tc>
        <w:tc>
          <w:tcPr>
            <w:tcW w:w="850" w:type="dxa"/>
            <w:noWrap w:val="0"/>
            <w:vAlign w:val="center"/>
          </w:tcPr>
          <w:p w14:paraId="1588E45B">
            <w:pPr>
              <w:pStyle w:val="8"/>
              <w:spacing w:after="0" w:line="240" w:lineRule="auto"/>
              <w:ind w:left="0" w:leftChars="0" w:firstLine="0" w:firstLineChars="0"/>
              <w:jc w:val="center"/>
              <w:rPr>
                <w:rFonts w:hint="eastAsia"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43.40</w:t>
            </w:r>
          </w:p>
        </w:tc>
        <w:tc>
          <w:tcPr>
            <w:tcW w:w="640" w:type="dxa"/>
            <w:noWrap w:val="0"/>
            <w:vAlign w:val="center"/>
          </w:tcPr>
          <w:p w14:paraId="073290B0">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eastAsia" w:ascii="Times New Roman" w:hAnsi="Times New Roman"/>
                <w:bCs/>
                <w:color w:val="auto"/>
                <w:sz w:val="21"/>
                <w:highlight w:val="none"/>
                <w:lang w:val="en-US" w:eastAsia="zh-CN"/>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51</w:t>
            </w:r>
          </w:p>
        </w:tc>
        <w:tc>
          <w:tcPr>
            <w:tcW w:w="704" w:type="dxa"/>
            <w:noWrap w:val="0"/>
            <w:vAlign w:val="center"/>
          </w:tcPr>
          <w:p w14:paraId="64E43AF7">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eastAsia" w:ascii="Times New Roman" w:hAnsi="Times New Roman"/>
                <w:bCs/>
                <w:color w:val="auto"/>
                <w:sz w:val="21"/>
                <w:highlight w:val="none"/>
                <w:lang w:val="en-US" w:eastAsia="zh-CN"/>
              </w:rPr>
            </w:pPr>
            <w:r>
              <w:rPr>
                <w:rFonts w:hint="eastAsia" w:ascii="Times New Roman" w:eastAsia="宋体"/>
                <w:color w:val="auto"/>
                <w:sz w:val="21"/>
                <w:szCs w:val="21"/>
                <w:highlight w:val="none"/>
                <w:lang w:val="en-US" w:eastAsia="zh-CN"/>
              </w:rPr>
              <w:t>44</w:t>
            </w:r>
          </w:p>
        </w:tc>
        <w:tc>
          <w:tcPr>
            <w:tcW w:w="704" w:type="dxa"/>
            <w:noWrap w:val="0"/>
            <w:vAlign w:val="center"/>
          </w:tcPr>
          <w:p w14:paraId="1A63032B">
            <w:pPr>
              <w:pStyle w:val="8"/>
              <w:spacing w:after="0" w:line="240" w:lineRule="auto"/>
              <w:ind w:left="0" w:leftChars="0" w:firstLine="0" w:firstLineChars="0"/>
              <w:jc w:val="center"/>
              <w:rPr>
                <w:rFonts w:hint="default"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51.69</w:t>
            </w:r>
          </w:p>
        </w:tc>
        <w:tc>
          <w:tcPr>
            <w:tcW w:w="680" w:type="dxa"/>
            <w:noWrap w:val="0"/>
            <w:vAlign w:val="center"/>
          </w:tcPr>
          <w:p w14:paraId="25F0BE14">
            <w:pPr>
              <w:pStyle w:val="8"/>
              <w:spacing w:after="0" w:line="240" w:lineRule="auto"/>
              <w:ind w:left="0" w:leftChars="0" w:firstLine="0" w:firstLineChars="0"/>
              <w:jc w:val="center"/>
              <w:rPr>
                <w:rFonts w:hint="default" w:ascii="Times New Roman" w:hAnsi="Times New Roman" w:eastAsia="宋体"/>
                <w:bCs/>
                <w:color w:val="auto"/>
                <w:sz w:val="21"/>
                <w:highlight w:val="none"/>
                <w:lang w:val="en-US" w:eastAsia="zh-CN"/>
              </w:rPr>
            </w:pPr>
            <w:r>
              <w:rPr>
                <w:rFonts w:hint="eastAsia" w:ascii="Times New Roman" w:hAnsi="Times New Roman"/>
                <w:bCs/>
                <w:color w:val="auto"/>
                <w:sz w:val="21"/>
                <w:highlight w:val="none"/>
                <w:lang w:val="en-US" w:eastAsia="zh-CN"/>
              </w:rPr>
              <w:t>46.72</w:t>
            </w:r>
          </w:p>
        </w:tc>
        <w:tc>
          <w:tcPr>
            <w:tcW w:w="2709" w:type="dxa"/>
            <w:vMerge w:val="continue"/>
            <w:noWrap w:val="0"/>
            <w:vAlign w:val="center"/>
          </w:tcPr>
          <w:p w14:paraId="5368036A">
            <w:pPr>
              <w:pStyle w:val="8"/>
              <w:spacing w:after="0" w:line="240" w:lineRule="auto"/>
              <w:ind w:left="0" w:leftChars="0" w:firstLine="0" w:firstLineChars="0"/>
              <w:jc w:val="center"/>
              <w:rPr>
                <w:rFonts w:hint="eastAsia" w:ascii="Times New Roman" w:hAnsi="Times New Roman" w:eastAsia="宋体" w:cs="Times New Roman"/>
                <w:bCs/>
                <w:color w:val="auto"/>
                <w:sz w:val="21"/>
                <w:highlight w:val="none"/>
              </w:rPr>
            </w:pPr>
          </w:p>
        </w:tc>
      </w:tr>
      <w:tr w14:paraId="57E0321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7" w:hRule="atLeast"/>
          <w:jc w:val="center"/>
        </w:trPr>
        <w:tc>
          <w:tcPr>
            <w:tcW w:w="1526" w:type="dxa"/>
            <w:noWrap w:val="0"/>
            <w:vAlign w:val="center"/>
          </w:tcPr>
          <w:p w14:paraId="12D839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bCs/>
                <w:color w:val="auto"/>
                <w:sz w:val="21"/>
                <w:highlight w:val="none"/>
                <w:lang w:val="en-US" w:eastAsia="zh-CN"/>
              </w:rPr>
            </w:pPr>
            <w:r>
              <w:rPr>
                <w:rFonts w:hint="eastAsia" w:ascii="Times New Roman" w:hAnsi="Times New Roman" w:cs="Times New Roman"/>
                <w:sz w:val="21"/>
                <w:szCs w:val="21"/>
                <w:highlight w:val="none"/>
                <w:vertAlign w:val="baseline"/>
                <w:lang w:val="en-US" w:eastAsia="zh-CN"/>
              </w:rPr>
              <w:t>新安幸福嘉园11楼</w:t>
            </w:r>
          </w:p>
        </w:tc>
        <w:tc>
          <w:tcPr>
            <w:tcW w:w="709" w:type="dxa"/>
            <w:noWrap w:val="0"/>
            <w:vAlign w:val="center"/>
          </w:tcPr>
          <w:p w14:paraId="24993413">
            <w:pPr>
              <w:pStyle w:val="8"/>
              <w:spacing w:after="0" w:line="240" w:lineRule="auto"/>
              <w:ind w:left="0" w:leftChars="0" w:firstLine="0" w:firstLineChars="0"/>
              <w:jc w:val="center"/>
              <w:rPr>
                <w:rFonts w:hint="eastAsia"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43.40</w:t>
            </w:r>
          </w:p>
        </w:tc>
        <w:tc>
          <w:tcPr>
            <w:tcW w:w="850" w:type="dxa"/>
            <w:noWrap w:val="0"/>
            <w:vAlign w:val="center"/>
          </w:tcPr>
          <w:p w14:paraId="1D4A3D7E">
            <w:pPr>
              <w:pStyle w:val="8"/>
              <w:spacing w:after="0" w:line="240" w:lineRule="auto"/>
              <w:ind w:left="0" w:leftChars="0" w:firstLine="0" w:firstLineChars="0"/>
              <w:jc w:val="center"/>
              <w:rPr>
                <w:rFonts w:hint="eastAsia"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43.40</w:t>
            </w:r>
          </w:p>
        </w:tc>
        <w:tc>
          <w:tcPr>
            <w:tcW w:w="640" w:type="dxa"/>
            <w:noWrap w:val="0"/>
            <w:vAlign w:val="center"/>
          </w:tcPr>
          <w:p w14:paraId="20C9ED41">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eastAsia" w:ascii="Times New Roman" w:hAnsi="Times New Roman"/>
                <w:bCs/>
                <w:color w:val="auto"/>
                <w:sz w:val="21"/>
                <w:highlight w:val="none"/>
                <w:lang w:val="en-US" w:eastAsia="zh-CN"/>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54</w:t>
            </w:r>
          </w:p>
        </w:tc>
        <w:tc>
          <w:tcPr>
            <w:tcW w:w="704" w:type="dxa"/>
            <w:noWrap w:val="0"/>
            <w:vAlign w:val="center"/>
          </w:tcPr>
          <w:p w14:paraId="1E068867">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eastAsia" w:ascii="Times New Roman" w:hAnsi="Times New Roman"/>
                <w:bCs/>
                <w:color w:val="auto"/>
                <w:sz w:val="21"/>
                <w:highlight w:val="none"/>
                <w:lang w:val="en-US" w:eastAsia="zh-CN"/>
              </w:rPr>
            </w:pPr>
            <w:r>
              <w:rPr>
                <w:rFonts w:hint="eastAsia" w:ascii="Times New Roman" w:eastAsia="宋体"/>
                <w:color w:val="auto"/>
                <w:sz w:val="21"/>
                <w:szCs w:val="21"/>
                <w:highlight w:val="none"/>
                <w:lang w:val="en-US" w:eastAsia="zh-CN"/>
              </w:rPr>
              <w:t>43</w:t>
            </w:r>
          </w:p>
        </w:tc>
        <w:tc>
          <w:tcPr>
            <w:tcW w:w="704" w:type="dxa"/>
            <w:noWrap w:val="0"/>
            <w:vAlign w:val="center"/>
          </w:tcPr>
          <w:p w14:paraId="7A97712E">
            <w:pPr>
              <w:pStyle w:val="8"/>
              <w:spacing w:after="0" w:line="240" w:lineRule="auto"/>
              <w:ind w:left="0" w:leftChars="0" w:firstLine="0" w:firstLineChars="0"/>
              <w:jc w:val="center"/>
              <w:rPr>
                <w:rFonts w:hint="default"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54.36</w:t>
            </w:r>
          </w:p>
        </w:tc>
        <w:tc>
          <w:tcPr>
            <w:tcW w:w="680" w:type="dxa"/>
            <w:noWrap w:val="0"/>
            <w:vAlign w:val="center"/>
          </w:tcPr>
          <w:p w14:paraId="6EBC2CCC">
            <w:pPr>
              <w:pStyle w:val="8"/>
              <w:spacing w:after="0" w:line="240" w:lineRule="auto"/>
              <w:ind w:left="0" w:leftChars="0" w:firstLine="0" w:firstLineChars="0"/>
              <w:jc w:val="center"/>
              <w:rPr>
                <w:rFonts w:hint="default" w:ascii="Times New Roman" w:hAnsi="Times New Roman" w:eastAsia="宋体"/>
                <w:bCs/>
                <w:color w:val="auto"/>
                <w:sz w:val="21"/>
                <w:highlight w:val="none"/>
                <w:lang w:val="en-US" w:eastAsia="zh-CN"/>
              </w:rPr>
            </w:pPr>
            <w:r>
              <w:rPr>
                <w:rFonts w:hint="eastAsia" w:ascii="Times New Roman" w:hAnsi="Times New Roman"/>
                <w:bCs/>
                <w:color w:val="auto"/>
                <w:sz w:val="21"/>
                <w:highlight w:val="none"/>
                <w:lang w:val="en-US" w:eastAsia="zh-CN"/>
              </w:rPr>
              <w:t>46.21</w:t>
            </w:r>
          </w:p>
        </w:tc>
        <w:tc>
          <w:tcPr>
            <w:tcW w:w="2709" w:type="dxa"/>
            <w:vMerge w:val="continue"/>
            <w:noWrap w:val="0"/>
            <w:vAlign w:val="center"/>
          </w:tcPr>
          <w:p w14:paraId="0DB9CC94">
            <w:pPr>
              <w:pStyle w:val="8"/>
              <w:spacing w:after="0" w:line="240" w:lineRule="auto"/>
              <w:ind w:left="0" w:leftChars="0" w:firstLine="0" w:firstLineChars="0"/>
              <w:jc w:val="center"/>
              <w:rPr>
                <w:rFonts w:hint="eastAsia" w:ascii="Times New Roman" w:hAnsi="Times New Roman" w:eastAsia="宋体" w:cs="Times New Roman"/>
                <w:bCs/>
                <w:color w:val="auto"/>
                <w:sz w:val="21"/>
                <w:highlight w:val="none"/>
              </w:rPr>
            </w:pPr>
          </w:p>
        </w:tc>
      </w:tr>
      <w:tr w14:paraId="61B3D95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trHeight w:val="407" w:hRule="atLeast"/>
          <w:jc w:val="center"/>
        </w:trPr>
        <w:tc>
          <w:tcPr>
            <w:tcW w:w="1526" w:type="dxa"/>
            <w:noWrap w:val="0"/>
            <w:vAlign w:val="center"/>
          </w:tcPr>
          <w:p w14:paraId="6D1962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bCs/>
                <w:color w:val="auto"/>
                <w:sz w:val="21"/>
                <w:highlight w:val="none"/>
                <w:lang w:val="en-US" w:eastAsia="zh-CN"/>
              </w:rPr>
            </w:pPr>
            <w:r>
              <w:rPr>
                <w:rFonts w:hint="eastAsia" w:ascii="Times New Roman" w:hAnsi="Times New Roman" w:cs="Times New Roman"/>
                <w:sz w:val="21"/>
                <w:szCs w:val="21"/>
                <w:highlight w:val="none"/>
                <w:vertAlign w:val="baseline"/>
                <w:lang w:val="en-US" w:eastAsia="zh-CN"/>
              </w:rPr>
              <w:t>绥芬河市人大</w:t>
            </w:r>
          </w:p>
        </w:tc>
        <w:tc>
          <w:tcPr>
            <w:tcW w:w="709" w:type="dxa"/>
            <w:noWrap w:val="0"/>
            <w:vAlign w:val="center"/>
          </w:tcPr>
          <w:p w14:paraId="24F31C39">
            <w:pPr>
              <w:pStyle w:val="8"/>
              <w:spacing w:after="0" w:line="240" w:lineRule="auto"/>
              <w:ind w:left="0" w:leftChars="0" w:firstLine="0" w:firstLineChars="0"/>
              <w:jc w:val="center"/>
              <w:rPr>
                <w:rFonts w:hint="default"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30.16</w:t>
            </w:r>
          </w:p>
        </w:tc>
        <w:tc>
          <w:tcPr>
            <w:tcW w:w="850" w:type="dxa"/>
            <w:noWrap w:val="0"/>
            <w:vAlign w:val="center"/>
          </w:tcPr>
          <w:p w14:paraId="11F5C995">
            <w:pPr>
              <w:pStyle w:val="8"/>
              <w:spacing w:after="0" w:line="240" w:lineRule="auto"/>
              <w:ind w:left="0" w:leftChars="0" w:firstLine="0" w:firstLineChars="0"/>
              <w:jc w:val="center"/>
              <w:rPr>
                <w:rFonts w:hint="default"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30.16</w:t>
            </w:r>
          </w:p>
        </w:tc>
        <w:tc>
          <w:tcPr>
            <w:tcW w:w="640" w:type="dxa"/>
            <w:noWrap w:val="0"/>
            <w:vAlign w:val="center"/>
          </w:tcPr>
          <w:p w14:paraId="666F032C">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eastAsia" w:ascii="Times New Roman" w:hAnsi="Times New Roman"/>
                <w:bCs/>
                <w:color w:val="auto"/>
                <w:sz w:val="21"/>
                <w:highlight w:val="none"/>
                <w:lang w:val="en-US" w:eastAsia="zh-CN"/>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53</w:t>
            </w:r>
          </w:p>
        </w:tc>
        <w:tc>
          <w:tcPr>
            <w:tcW w:w="704" w:type="dxa"/>
            <w:noWrap w:val="0"/>
            <w:vAlign w:val="center"/>
          </w:tcPr>
          <w:p w14:paraId="446B1E6E">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eastAsia" w:ascii="Times New Roman" w:hAnsi="Times New Roman"/>
                <w:bCs/>
                <w:color w:val="auto"/>
                <w:sz w:val="21"/>
                <w:highlight w:val="none"/>
                <w:lang w:val="en-US" w:eastAsia="zh-CN"/>
              </w:rPr>
            </w:pPr>
            <w:r>
              <w:rPr>
                <w:rFonts w:hint="eastAsia" w:ascii="Times New Roman" w:eastAsia="宋体"/>
                <w:color w:val="auto"/>
                <w:sz w:val="21"/>
                <w:szCs w:val="21"/>
                <w:highlight w:val="none"/>
                <w:lang w:val="en-US" w:eastAsia="zh-CN"/>
              </w:rPr>
              <w:t>45</w:t>
            </w:r>
          </w:p>
        </w:tc>
        <w:tc>
          <w:tcPr>
            <w:tcW w:w="704" w:type="dxa"/>
            <w:noWrap w:val="0"/>
            <w:vAlign w:val="center"/>
          </w:tcPr>
          <w:p w14:paraId="5914E61D">
            <w:pPr>
              <w:pStyle w:val="8"/>
              <w:spacing w:after="0" w:line="240" w:lineRule="auto"/>
              <w:ind w:left="0" w:leftChars="0" w:firstLine="0" w:firstLineChars="0"/>
              <w:jc w:val="center"/>
              <w:rPr>
                <w:rFonts w:hint="default"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53.02</w:t>
            </w:r>
          </w:p>
        </w:tc>
        <w:tc>
          <w:tcPr>
            <w:tcW w:w="680" w:type="dxa"/>
            <w:noWrap w:val="0"/>
            <w:vAlign w:val="center"/>
          </w:tcPr>
          <w:p w14:paraId="65DC8C69">
            <w:pPr>
              <w:pStyle w:val="8"/>
              <w:spacing w:after="0" w:line="240" w:lineRule="auto"/>
              <w:ind w:left="0" w:leftChars="0" w:firstLine="0" w:firstLineChars="0"/>
              <w:jc w:val="center"/>
              <w:rPr>
                <w:rFonts w:hint="default" w:ascii="Times New Roman" w:hAnsi="Times New Roman" w:eastAsia="宋体"/>
                <w:bCs/>
                <w:color w:val="auto"/>
                <w:sz w:val="21"/>
                <w:highlight w:val="none"/>
                <w:lang w:val="en-US" w:eastAsia="zh-CN"/>
              </w:rPr>
            </w:pPr>
            <w:r>
              <w:rPr>
                <w:rFonts w:hint="eastAsia" w:ascii="Times New Roman" w:hAnsi="Times New Roman"/>
                <w:bCs/>
                <w:color w:val="auto"/>
                <w:sz w:val="21"/>
                <w:highlight w:val="none"/>
                <w:lang w:val="en-US" w:eastAsia="zh-CN"/>
              </w:rPr>
              <w:t>45.14</w:t>
            </w:r>
          </w:p>
        </w:tc>
        <w:tc>
          <w:tcPr>
            <w:tcW w:w="2709" w:type="dxa"/>
            <w:vMerge w:val="continue"/>
            <w:noWrap w:val="0"/>
            <w:vAlign w:val="center"/>
          </w:tcPr>
          <w:p w14:paraId="5F4D12E8">
            <w:pPr>
              <w:pStyle w:val="8"/>
              <w:spacing w:after="0" w:line="240" w:lineRule="auto"/>
              <w:ind w:left="0" w:leftChars="0" w:firstLine="0" w:firstLineChars="0"/>
              <w:jc w:val="center"/>
              <w:rPr>
                <w:rFonts w:hint="eastAsia" w:ascii="Times New Roman" w:hAnsi="Times New Roman" w:eastAsia="宋体" w:cs="Times New Roman"/>
                <w:bCs/>
                <w:color w:val="auto"/>
                <w:sz w:val="21"/>
                <w:highlight w:val="none"/>
              </w:rPr>
            </w:pPr>
          </w:p>
        </w:tc>
      </w:tr>
      <w:tr w14:paraId="5388159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7" w:hRule="atLeast"/>
          <w:jc w:val="center"/>
        </w:trPr>
        <w:tc>
          <w:tcPr>
            <w:tcW w:w="1526" w:type="dxa"/>
            <w:noWrap w:val="0"/>
            <w:vAlign w:val="center"/>
          </w:tcPr>
          <w:p w14:paraId="13E2C1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bCs/>
                <w:color w:val="auto"/>
                <w:sz w:val="21"/>
                <w:highlight w:val="none"/>
                <w:lang w:val="en-US" w:eastAsia="zh-CN"/>
              </w:rPr>
            </w:pPr>
            <w:r>
              <w:rPr>
                <w:rFonts w:hint="eastAsia" w:ascii="Times New Roman" w:hAnsi="Times New Roman" w:cs="Times New Roman"/>
                <w:sz w:val="21"/>
                <w:szCs w:val="21"/>
                <w:highlight w:val="none"/>
                <w:vertAlign w:val="baseline"/>
                <w:lang w:val="en-US" w:eastAsia="zh-CN"/>
              </w:rPr>
              <w:t>中兴小区东侧</w:t>
            </w:r>
          </w:p>
        </w:tc>
        <w:tc>
          <w:tcPr>
            <w:tcW w:w="709" w:type="dxa"/>
            <w:noWrap w:val="0"/>
            <w:vAlign w:val="center"/>
          </w:tcPr>
          <w:p w14:paraId="45852BF5">
            <w:pPr>
              <w:pStyle w:val="8"/>
              <w:spacing w:after="0" w:line="240" w:lineRule="auto"/>
              <w:ind w:left="0" w:leftChars="0" w:firstLine="0" w:firstLineChars="0"/>
              <w:jc w:val="center"/>
              <w:rPr>
                <w:rFonts w:hint="default"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30.28</w:t>
            </w:r>
          </w:p>
        </w:tc>
        <w:tc>
          <w:tcPr>
            <w:tcW w:w="850" w:type="dxa"/>
            <w:noWrap w:val="0"/>
            <w:vAlign w:val="center"/>
          </w:tcPr>
          <w:p w14:paraId="0E63F23C">
            <w:pPr>
              <w:pStyle w:val="8"/>
              <w:spacing w:after="0" w:line="240" w:lineRule="auto"/>
              <w:ind w:left="0" w:leftChars="0" w:firstLine="0" w:firstLineChars="0"/>
              <w:jc w:val="center"/>
              <w:rPr>
                <w:rFonts w:hint="default"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30.28</w:t>
            </w:r>
          </w:p>
        </w:tc>
        <w:tc>
          <w:tcPr>
            <w:tcW w:w="640" w:type="dxa"/>
            <w:noWrap w:val="0"/>
            <w:vAlign w:val="center"/>
          </w:tcPr>
          <w:p w14:paraId="7AB1832D">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eastAsia" w:ascii="Times New Roman" w:hAnsi="Times New Roman"/>
                <w:bCs/>
                <w:color w:val="auto"/>
                <w:sz w:val="21"/>
                <w:highlight w:val="none"/>
                <w:lang w:val="en-US" w:eastAsia="zh-CN"/>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55</w:t>
            </w:r>
          </w:p>
        </w:tc>
        <w:tc>
          <w:tcPr>
            <w:tcW w:w="704" w:type="dxa"/>
            <w:noWrap w:val="0"/>
            <w:vAlign w:val="center"/>
          </w:tcPr>
          <w:p w14:paraId="316A1251">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eastAsia" w:ascii="Times New Roman" w:hAnsi="Times New Roman"/>
                <w:bCs/>
                <w:color w:val="auto"/>
                <w:sz w:val="21"/>
                <w:highlight w:val="none"/>
                <w:lang w:val="en-US" w:eastAsia="zh-CN"/>
              </w:rPr>
            </w:pPr>
            <w:r>
              <w:rPr>
                <w:rFonts w:hint="eastAsia" w:ascii="Times New Roman" w:eastAsia="宋体"/>
                <w:color w:val="auto"/>
                <w:sz w:val="21"/>
                <w:szCs w:val="21"/>
                <w:highlight w:val="none"/>
                <w:lang w:val="en-US" w:eastAsia="zh-CN"/>
              </w:rPr>
              <w:t>43</w:t>
            </w:r>
          </w:p>
        </w:tc>
        <w:tc>
          <w:tcPr>
            <w:tcW w:w="704" w:type="dxa"/>
            <w:noWrap w:val="0"/>
            <w:vAlign w:val="center"/>
          </w:tcPr>
          <w:p w14:paraId="22E923D7">
            <w:pPr>
              <w:pStyle w:val="8"/>
              <w:spacing w:after="0" w:line="240" w:lineRule="auto"/>
              <w:ind w:left="0" w:leftChars="0" w:firstLine="0" w:firstLineChars="0"/>
              <w:jc w:val="center"/>
              <w:rPr>
                <w:rFonts w:hint="default"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50.01</w:t>
            </w:r>
          </w:p>
        </w:tc>
        <w:tc>
          <w:tcPr>
            <w:tcW w:w="680" w:type="dxa"/>
            <w:noWrap w:val="0"/>
            <w:vAlign w:val="center"/>
          </w:tcPr>
          <w:p w14:paraId="282DFB69">
            <w:pPr>
              <w:pStyle w:val="8"/>
              <w:spacing w:after="0" w:line="240" w:lineRule="auto"/>
              <w:ind w:left="0" w:leftChars="0" w:firstLine="0" w:firstLineChars="0"/>
              <w:jc w:val="center"/>
              <w:rPr>
                <w:rFonts w:hint="default" w:ascii="Times New Roman" w:hAnsi="Times New Roman" w:eastAsia="宋体"/>
                <w:bCs/>
                <w:color w:val="auto"/>
                <w:sz w:val="21"/>
                <w:highlight w:val="none"/>
                <w:lang w:val="en-US" w:eastAsia="zh-CN"/>
              </w:rPr>
            </w:pPr>
            <w:r>
              <w:rPr>
                <w:rFonts w:hint="eastAsia" w:ascii="Times New Roman" w:hAnsi="Times New Roman"/>
                <w:bCs/>
                <w:color w:val="auto"/>
                <w:sz w:val="21"/>
                <w:highlight w:val="none"/>
                <w:lang w:val="en-US" w:eastAsia="zh-CN"/>
              </w:rPr>
              <w:t>43.23</w:t>
            </w:r>
          </w:p>
        </w:tc>
        <w:tc>
          <w:tcPr>
            <w:tcW w:w="2709" w:type="dxa"/>
            <w:vMerge w:val="continue"/>
            <w:noWrap w:val="0"/>
            <w:vAlign w:val="center"/>
          </w:tcPr>
          <w:p w14:paraId="7BE70A91">
            <w:pPr>
              <w:pStyle w:val="8"/>
              <w:spacing w:after="0" w:line="240" w:lineRule="auto"/>
              <w:ind w:left="0" w:leftChars="0" w:firstLine="0" w:firstLineChars="0"/>
              <w:jc w:val="center"/>
              <w:rPr>
                <w:rFonts w:hint="eastAsia" w:ascii="Times New Roman" w:hAnsi="Times New Roman" w:eastAsia="宋体" w:cs="Times New Roman"/>
                <w:bCs/>
                <w:color w:val="auto"/>
                <w:sz w:val="21"/>
                <w:highlight w:val="none"/>
              </w:rPr>
            </w:pPr>
          </w:p>
        </w:tc>
      </w:tr>
      <w:tr w14:paraId="24DAB4A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7" w:hRule="atLeast"/>
          <w:jc w:val="center"/>
        </w:trPr>
        <w:tc>
          <w:tcPr>
            <w:tcW w:w="1526" w:type="dxa"/>
            <w:noWrap w:val="0"/>
            <w:vAlign w:val="center"/>
          </w:tcPr>
          <w:p w14:paraId="7C3701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bCs/>
                <w:color w:val="auto"/>
                <w:sz w:val="21"/>
                <w:highlight w:val="none"/>
                <w:lang w:val="en-US" w:eastAsia="zh-CN"/>
              </w:rPr>
            </w:pPr>
            <w:r>
              <w:rPr>
                <w:rFonts w:hint="eastAsia" w:ascii="Times New Roman" w:hAnsi="Times New Roman" w:cs="Times New Roman"/>
                <w:sz w:val="21"/>
                <w:szCs w:val="21"/>
                <w:highlight w:val="none"/>
                <w:vertAlign w:val="baseline"/>
                <w:lang w:val="en-US" w:eastAsia="zh-CN"/>
              </w:rPr>
              <w:t>中兴小区西侧</w:t>
            </w:r>
          </w:p>
        </w:tc>
        <w:tc>
          <w:tcPr>
            <w:tcW w:w="709" w:type="dxa"/>
            <w:noWrap w:val="0"/>
            <w:vAlign w:val="center"/>
          </w:tcPr>
          <w:p w14:paraId="045A525D">
            <w:pPr>
              <w:pStyle w:val="8"/>
              <w:spacing w:after="0" w:line="240" w:lineRule="auto"/>
              <w:ind w:left="0" w:leftChars="0" w:firstLine="0" w:firstLineChars="0"/>
              <w:jc w:val="center"/>
              <w:rPr>
                <w:rFonts w:hint="default"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29.85</w:t>
            </w:r>
          </w:p>
        </w:tc>
        <w:tc>
          <w:tcPr>
            <w:tcW w:w="850" w:type="dxa"/>
            <w:noWrap w:val="0"/>
            <w:vAlign w:val="center"/>
          </w:tcPr>
          <w:p w14:paraId="32F46464">
            <w:pPr>
              <w:pStyle w:val="8"/>
              <w:spacing w:after="0" w:line="240" w:lineRule="auto"/>
              <w:ind w:left="0" w:leftChars="0" w:firstLine="0" w:firstLineChars="0"/>
              <w:jc w:val="center"/>
              <w:rPr>
                <w:rFonts w:hint="default"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29.85</w:t>
            </w:r>
          </w:p>
        </w:tc>
        <w:tc>
          <w:tcPr>
            <w:tcW w:w="640" w:type="dxa"/>
            <w:noWrap w:val="0"/>
            <w:vAlign w:val="center"/>
          </w:tcPr>
          <w:p w14:paraId="2FFF3D40">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eastAsia" w:ascii="Times New Roman" w:hAnsi="Times New Roman"/>
                <w:bCs/>
                <w:color w:val="auto"/>
                <w:sz w:val="21"/>
                <w:highlight w:val="none"/>
                <w:lang w:val="en-US" w:eastAsia="zh-CN"/>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51</w:t>
            </w:r>
          </w:p>
        </w:tc>
        <w:tc>
          <w:tcPr>
            <w:tcW w:w="704" w:type="dxa"/>
            <w:noWrap w:val="0"/>
            <w:vAlign w:val="center"/>
          </w:tcPr>
          <w:p w14:paraId="2B542A19">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eastAsia" w:ascii="Times New Roman" w:hAnsi="Times New Roman"/>
                <w:bCs/>
                <w:color w:val="auto"/>
                <w:sz w:val="21"/>
                <w:highlight w:val="none"/>
                <w:lang w:val="en-US" w:eastAsia="zh-CN"/>
              </w:rPr>
            </w:pPr>
            <w:r>
              <w:rPr>
                <w:rFonts w:hint="eastAsia" w:ascii="Times New Roman" w:eastAsia="宋体"/>
                <w:color w:val="auto"/>
                <w:sz w:val="21"/>
                <w:szCs w:val="21"/>
                <w:highlight w:val="none"/>
                <w:lang w:val="en-US" w:eastAsia="zh-CN"/>
              </w:rPr>
              <w:t>45</w:t>
            </w:r>
          </w:p>
        </w:tc>
        <w:tc>
          <w:tcPr>
            <w:tcW w:w="704" w:type="dxa"/>
            <w:noWrap w:val="0"/>
            <w:vAlign w:val="center"/>
          </w:tcPr>
          <w:p w14:paraId="0476F3E8">
            <w:pPr>
              <w:pStyle w:val="8"/>
              <w:spacing w:after="0" w:line="240" w:lineRule="auto"/>
              <w:ind w:left="0" w:leftChars="0" w:firstLine="0" w:firstLineChars="0"/>
              <w:jc w:val="center"/>
              <w:rPr>
                <w:rFonts w:hint="default"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50.03</w:t>
            </w:r>
          </w:p>
        </w:tc>
        <w:tc>
          <w:tcPr>
            <w:tcW w:w="680" w:type="dxa"/>
            <w:noWrap w:val="0"/>
            <w:vAlign w:val="center"/>
          </w:tcPr>
          <w:p w14:paraId="580E4E08">
            <w:pPr>
              <w:pStyle w:val="8"/>
              <w:spacing w:after="0" w:line="240" w:lineRule="auto"/>
              <w:ind w:left="0" w:leftChars="0" w:firstLine="0" w:firstLineChars="0"/>
              <w:jc w:val="center"/>
              <w:rPr>
                <w:rFonts w:hint="default" w:ascii="Times New Roman" w:hAnsi="Times New Roman" w:eastAsia="宋体"/>
                <w:bCs/>
                <w:color w:val="auto"/>
                <w:sz w:val="21"/>
                <w:highlight w:val="none"/>
                <w:lang w:val="en-US" w:eastAsia="zh-CN"/>
              </w:rPr>
            </w:pPr>
            <w:r>
              <w:rPr>
                <w:rFonts w:hint="eastAsia" w:ascii="Times New Roman" w:hAnsi="Times New Roman"/>
                <w:bCs/>
                <w:color w:val="auto"/>
                <w:sz w:val="21"/>
                <w:highlight w:val="none"/>
                <w:lang w:val="en-US" w:eastAsia="zh-CN"/>
              </w:rPr>
              <w:t>45.13</w:t>
            </w:r>
          </w:p>
        </w:tc>
        <w:tc>
          <w:tcPr>
            <w:tcW w:w="2709" w:type="dxa"/>
            <w:vMerge w:val="continue"/>
            <w:noWrap w:val="0"/>
            <w:vAlign w:val="center"/>
          </w:tcPr>
          <w:p w14:paraId="40A2CCB5">
            <w:pPr>
              <w:pStyle w:val="8"/>
              <w:spacing w:after="0" w:line="240" w:lineRule="auto"/>
              <w:ind w:left="0" w:leftChars="0" w:firstLine="0" w:firstLineChars="0"/>
              <w:jc w:val="center"/>
              <w:rPr>
                <w:rFonts w:hint="eastAsia" w:ascii="Times New Roman" w:hAnsi="Times New Roman" w:eastAsia="宋体" w:cs="Times New Roman"/>
                <w:bCs/>
                <w:color w:val="auto"/>
                <w:sz w:val="21"/>
                <w:highlight w:val="none"/>
              </w:rPr>
            </w:pPr>
          </w:p>
        </w:tc>
      </w:tr>
      <w:tr w14:paraId="3818EA1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7" w:hRule="atLeast"/>
          <w:jc w:val="center"/>
        </w:trPr>
        <w:tc>
          <w:tcPr>
            <w:tcW w:w="1526" w:type="dxa"/>
            <w:noWrap w:val="0"/>
            <w:vAlign w:val="center"/>
          </w:tcPr>
          <w:p w14:paraId="301D46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bCs/>
                <w:color w:val="auto"/>
                <w:sz w:val="21"/>
                <w:highlight w:val="none"/>
                <w:lang w:val="en-US" w:eastAsia="zh-CN"/>
              </w:rPr>
            </w:pPr>
            <w:r>
              <w:rPr>
                <w:rFonts w:hint="eastAsia" w:ascii="Times New Roman" w:hAnsi="Times New Roman" w:cs="Times New Roman"/>
                <w:sz w:val="21"/>
                <w:szCs w:val="21"/>
                <w:highlight w:val="none"/>
                <w:vertAlign w:val="baseline"/>
                <w:lang w:val="en-US" w:eastAsia="zh-CN"/>
              </w:rPr>
              <w:t>数码港宾馆</w:t>
            </w:r>
          </w:p>
        </w:tc>
        <w:tc>
          <w:tcPr>
            <w:tcW w:w="709" w:type="dxa"/>
            <w:noWrap w:val="0"/>
            <w:vAlign w:val="center"/>
          </w:tcPr>
          <w:p w14:paraId="33EB5BA5">
            <w:pPr>
              <w:pStyle w:val="8"/>
              <w:spacing w:after="0" w:line="240" w:lineRule="auto"/>
              <w:ind w:left="0" w:leftChars="0" w:firstLine="0" w:firstLineChars="0"/>
              <w:jc w:val="center"/>
              <w:rPr>
                <w:rFonts w:hint="default"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27.36</w:t>
            </w:r>
          </w:p>
        </w:tc>
        <w:tc>
          <w:tcPr>
            <w:tcW w:w="850" w:type="dxa"/>
            <w:noWrap w:val="0"/>
            <w:vAlign w:val="center"/>
          </w:tcPr>
          <w:p w14:paraId="7D725EB2">
            <w:pPr>
              <w:pStyle w:val="8"/>
              <w:spacing w:after="0" w:line="240" w:lineRule="auto"/>
              <w:ind w:left="0" w:leftChars="0" w:firstLine="0" w:firstLineChars="0"/>
              <w:jc w:val="center"/>
              <w:rPr>
                <w:rFonts w:hint="default"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27.36</w:t>
            </w:r>
          </w:p>
        </w:tc>
        <w:tc>
          <w:tcPr>
            <w:tcW w:w="640" w:type="dxa"/>
            <w:noWrap w:val="0"/>
            <w:vAlign w:val="center"/>
          </w:tcPr>
          <w:p w14:paraId="46C5471C">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eastAsia" w:ascii="Times New Roman" w:hAnsi="Times New Roman"/>
                <w:bCs/>
                <w:color w:val="auto"/>
                <w:sz w:val="21"/>
                <w:highlight w:val="none"/>
                <w:lang w:val="en-US" w:eastAsia="zh-CN"/>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53</w:t>
            </w:r>
          </w:p>
        </w:tc>
        <w:tc>
          <w:tcPr>
            <w:tcW w:w="704" w:type="dxa"/>
            <w:noWrap w:val="0"/>
            <w:vAlign w:val="center"/>
          </w:tcPr>
          <w:p w14:paraId="5334CDCD">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eastAsia" w:ascii="Times New Roman" w:hAnsi="Times New Roman"/>
                <w:bCs/>
                <w:color w:val="auto"/>
                <w:sz w:val="21"/>
                <w:highlight w:val="none"/>
                <w:lang w:val="en-US" w:eastAsia="zh-CN"/>
              </w:rPr>
            </w:pPr>
            <w:r>
              <w:rPr>
                <w:rFonts w:hint="eastAsia" w:ascii="Times New Roman" w:eastAsia="宋体"/>
                <w:color w:val="auto"/>
                <w:sz w:val="21"/>
                <w:szCs w:val="21"/>
                <w:highlight w:val="none"/>
                <w:lang w:val="en-US" w:eastAsia="zh-CN"/>
              </w:rPr>
              <w:t>42</w:t>
            </w:r>
          </w:p>
        </w:tc>
        <w:tc>
          <w:tcPr>
            <w:tcW w:w="704" w:type="dxa"/>
            <w:noWrap w:val="0"/>
            <w:vAlign w:val="center"/>
          </w:tcPr>
          <w:p w14:paraId="2AA63AD1">
            <w:pPr>
              <w:pStyle w:val="8"/>
              <w:spacing w:after="0" w:line="240" w:lineRule="auto"/>
              <w:ind w:left="0" w:leftChars="0" w:firstLine="0" w:firstLineChars="0"/>
              <w:jc w:val="center"/>
              <w:rPr>
                <w:rFonts w:hint="default"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53.01</w:t>
            </w:r>
          </w:p>
        </w:tc>
        <w:tc>
          <w:tcPr>
            <w:tcW w:w="680" w:type="dxa"/>
            <w:noWrap w:val="0"/>
            <w:vAlign w:val="center"/>
          </w:tcPr>
          <w:p w14:paraId="2F5515F7">
            <w:pPr>
              <w:pStyle w:val="8"/>
              <w:spacing w:after="0" w:line="240" w:lineRule="auto"/>
              <w:ind w:left="0" w:leftChars="0" w:firstLine="0" w:firstLineChars="0"/>
              <w:jc w:val="center"/>
              <w:rPr>
                <w:rFonts w:hint="default" w:ascii="Times New Roman" w:hAnsi="Times New Roman" w:eastAsia="宋体"/>
                <w:bCs/>
                <w:color w:val="auto"/>
                <w:sz w:val="21"/>
                <w:highlight w:val="none"/>
                <w:lang w:val="en-US" w:eastAsia="zh-CN"/>
              </w:rPr>
            </w:pPr>
            <w:r>
              <w:rPr>
                <w:rFonts w:hint="eastAsia" w:ascii="Times New Roman" w:hAnsi="Times New Roman"/>
                <w:bCs/>
                <w:color w:val="auto"/>
                <w:sz w:val="21"/>
                <w:highlight w:val="none"/>
                <w:lang w:val="en-US" w:eastAsia="zh-CN"/>
              </w:rPr>
              <w:t>42.15</w:t>
            </w:r>
          </w:p>
        </w:tc>
        <w:tc>
          <w:tcPr>
            <w:tcW w:w="2709" w:type="dxa"/>
            <w:vMerge w:val="continue"/>
            <w:noWrap w:val="0"/>
            <w:vAlign w:val="center"/>
          </w:tcPr>
          <w:p w14:paraId="32FC5FCE">
            <w:pPr>
              <w:pStyle w:val="8"/>
              <w:spacing w:after="0" w:line="240" w:lineRule="auto"/>
              <w:ind w:left="0" w:leftChars="0" w:firstLine="0" w:firstLineChars="0"/>
              <w:jc w:val="center"/>
              <w:rPr>
                <w:rFonts w:hint="eastAsia" w:ascii="Times New Roman" w:hAnsi="Times New Roman" w:eastAsia="宋体" w:cs="Times New Roman"/>
                <w:bCs/>
                <w:color w:val="auto"/>
                <w:sz w:val="21"/>
                <w:highlight w:val="none"/>
              </w:rPr>
            </w:pPr>
          </w:p>
        </w:tc>
      </w:tr>
      <w:tr w14:paraId="3F33CD0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7" w:hRule="atLeast"/>
          <w:jc w:val="center"/>
        </w:trPr>
        <w:tc>
          <w:tcPr>
            <w:tcW w:w="1526" w:type="dxa"/>
            <w:noWrap w:val="0"/>
            <w:vAlign w:val="center"/>
          </w:tcPr>
          <w:p w14:paraId="13E654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bCs/>
                <w:color w:val="auto"/>
                <w:sz w:val="21"/>
                <w:highlight w:val="none"/>
                <w:lang w:val="en-US" w:eastAsia="zh-CN"/>
              </w:rPr>
            </w:pPr>
            <w:r>
              <w:rPr>
                <w:rFonts w:hint="eastAsia" w:ascii="Times New Roman" w:hAnsi="Times New Roman" w:cs="Times New Roman"/>
                <w:sz w:val="21"/>
                <w:szCs w:val="21"/>
                <w:highlight w:val="none"/>
                <w:vertAlign w:val="baseline"/>
                <w:lang w:val="en-US" w:eastAsia="zh-CN"/>
              </w:rPr>
              <w:t>颐民敬老院卫生所</w:t>
            </w:r>
          </w:p>
        </w:tc>
        <w:tc>
          <w:tcPr>
            <w:tcW w:w="709" w:type="dxa"/>
            <w:noWrap w:val="0"/>
            <w:vAlign w:val="center"/>
          </w:tcPr>
          <w:p w14:paraId="5AF2534E">
            <w:pPr>
              <w:pStyle w:val="8"/>
              <w:spacing w:after="0" w:line="240" w:lineRule="auto"/>
              <w:ind w:left="0" w:leftChars="0" w:firstLine="0" w:firstLineChars="0"/>
              <w:jc w:val="center"/>
              <w:rPr>
                <w:rFonts w:hint="default"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28.82</w:t>
            </w:r>
          </w:p>
        </w:tc>
        <w:tc>
          <w:tcPr>
            <w:tcW w:w="850" w:type="dxa"/>
            <w:noWrap w:val="0"/>
            <w:vAlign w:val="center"/>
          </w:tcPr>
          <w:p w14:paraId="2054A987">
            <w:pPr>
              <w:pStyle w:val="8"/>
              <w:spacing w:after="0" w:line="240" w:lineRule="auto"/>
              <w:ind w:left="0" w:leftChars="0" w:firstLine="0" w:firstLineChars="0"/>
              <w:jc w:val="center"/>
              <w:rPr>
                <w:rFonts w:hint="default"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28.82</w:t>
            </w:r>
          </w:p>
        </w:tc>
        <w:tc>
          <w:tcPr>
            <w:tcW w:w="640" w:type="dxa"/>
            <w:noWrap w:val="0"/>
            <w:vAlign w:val="center"/>
          </w:tcPr>
          <w:p w14:paraId="1A16D865">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eastAsia" w:ascii="Times New Roman" w:hAnsi="Times New Roman"/>
                <w:bCs/>
                <w:color w:val="auto"/>
                <w:sz w:val="21"/>
                <w:highlight w:val="none"/>
                <w:lang w:val="en-US" w:eastAsia="zh-CN"/>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49</w:t>
            </w:r>
          </w:p>
        </w:tc>
        <w:tc>
          <w:tcPr>
            <w:tcW w:w="704" w:type="dxa"/>
            <w:noWrap w:val="0"/>
            <w:vAlign w:val="center"/>
          </w:tcPr>
          <w:p w14:paraId="0BE9D3D0">
            <w:pPr>
              <w:pStyle w:val="23"/>
              <w:keepNext w:val="0"/>
              <w:keepLines w:val="0"/>
              <w:pageBreakBefore w:val="0"/>
              <w:widowControl w:val="0"/>
              <w:kinsoku/>
              <w:wordWrap/>
              <w:overflowPunct/>
              <w:topLinePunct w:val="0"/>
              <w:bidi w:val="0"/>
              <w:adjustRightInd w:val="0"/>
              <w:snapToGrid/>
              <w:ind w:firstLine="0" w:firstLineChars="0"/>
              <w:jc w:val="center"/>
              <w:textAlignment w:val="baseline"/>
              <w:rPr>
                <w:rFonts w:hint="eastAsia" w:ascii="Times New Roman" w:hAnsi="Times New Roman"/>
                <w:bCs/>
                <w:color w:val="auto"/>
                <w:sz w:val="21"/>
                <w:highlight w:val="none"/>
                <w:lang w:val="en-US" w:eastAsia="zh-CN"/>
              </w:rPr>
            </w:pPr>
            <w:r>
              <w:rPr>
                <w:rFonts w:hint="eastAsia" w:ascii="Times New Roman" w:eastAsia="宋体"/>
                <w:color w:val="auto"/>
                <w:sz w:val="21"/>
                <w:szCs w:val="21"/>
                <w:highlight w:val="none"/>
                <w:lang w:val="en-US" w:eastAsia="zh-CN"/>
              </w:rPr>
              <w:t>42</w:t>
            </w:r>
          </w:p>
        </w:tc>
        <w:tc>
          <w:tcPr>
            <w:tcW w:w="704" w:type="dxa"/>
            <w:noWrap w:val="0"/>
            <w:vAlign w:val="center"/>
          </w:tcPr>
          <w:p w14:paraId="525289B2">
            <w:pPr>
              <w:pStyle w:val="8"/>
              <w:spacing w:after="0" w:line="240" w:lineRule="auto"/>
              <w:ind w:left="0" w:leftChars="0" w:firstLine="0" w:firstLineChars="0"/>
              <w:jc w:val="center"/>
              <w:rPr>
                <w:rFonts w:hint="default" w:ascii="Times New Roman" w:hAnsi="Times New Roman"/>
                <w:bCs/>
                <w:color w:val="auto"/>
                <w:sz w:val="21"/>
                <w:highlight w:val="none"/>
                <w:lang w:val="en-US" w:eastAsia="zh-CN"/>
              </w:rPr>
            </w:pPr>
            <w:r>
              <w:rPr>
                <w:rFonts w:hint="eastAsia" w:ascii="Times New Roman" w:hAnsi="Times New Roman"/>
                <w:bCs/>
                <w:color w:val="auto"/>
                <w:sz w:val="21"/>
                <w:highlight w:val="none"/>
                <w:lang w:val="en-US" w:eastAsia="zh-CN"/>
              </w:rPr>
              <w:t>49.04</w:t>
            </w:r>
          </w:p>
        </w:tc>
        <w:tc>
          <w:tcPr>
            <w:tcW w:w="680" w:type="dxa"/>
            <w:noWrap w:val="0"/>
            <w:vAlign w:val="center"/>
          </w:tcPr>
          <w:p w14:paraId="06A80373">
            <w:pPr>
              <w:pStyle w:val="8"/>
              <w:spacing w:after="0" w:line="240" w:lineRule="auto"/>
              <w:ind w:left="0" w:leftChars="0" w:firstLine="0" w:firstLineChars="0"/>
              <w:jc w:val="center"/>
              <w:rPr>
                <w:rFonts w:hint="default" w:ascii="Times New Roman" w:hAnsi="Times New Roman" w:eastAsia="宋体"/>
                <w:bCs/>
                <w:color w:val="auto"/>
                <w:sz w:val="21"/>
                <w:highlight w:val="none"/>
                <w:lang w:val="en-US" w:eastAsia="zh-CN"/>
              </w:rPr>
            </w:pPr>
            <w:r>
              <w:rPr>
                <w:rFonts w:hint="eastAsia" w:ascii="Times New Roman" w:hAnsi="Times New Roman"/>
                <w:bCs/>
                <w:color w:val="auto"/>
                <w:sz w:val="21"/>
                <w:highlight w:val="none"/>
                <w:lang w:val="en-US" w:eastAsia="zh-CN"/>
              </w:rPr>
              <w:t>42.2</w:t>
            </w:r>
          </w:p>
        </w:tc>
        <w:tc>
          <w:tcPr>
            <w:tcW w:w="2709" w:type="dxa"/>
            <w:vMerge w:val="continue"/>
            <w:noWrap w:val="0"/>
            <w:vAlign w:val="center"/>
          </w:tcPr>
          <w:p w14:paraId="797F6DB9">
            <w:pPr>
              <w:pStyle w:val="8"/>
              <w:spacing w:after="0" w:line="240" w:lineRule="auto"/>
              <w:ind w:left="0" w:leftChars="0" w:firstLine="0" w:firstLineChars="0"/>
              <w:jc w:val="center"/>
              <w:rPr>
                <w:rFonts w:hint="eastAsia" w:ascii="Times New Roman" w:hAnsi="Times New Roman" w:eastAsia="宋体" w:cs="Times New Roman"/>
                <w:bCs/>
                <w:color w:val="auto"/>
                <w:sz w:val="21"/>
                <w:highlight w:val="none"/>
              </w:rPr>
            </w:pPr>
          </w:p>
        </w:tc>
      </w:tr>
    </w:tbl>
    <w:p w14:paraId="4E45BF4D">
      <w:pPr>
        <w:bidi w:val="0"/>
        <w:rPr>
          <w:rFonts w:hint="eastAsia"/>
          <w:highlight w:val="none"/>
          <w:lang w:eastAsia="zh-CN"/>
        </w:rPr>
      </w:pPr>
    </w:p>
    <w:p w14:paraId="0BC2C2C2">
      <w:pPr>
        <w:pStyle w:val="28"/>
        <w:keepNext w:val="0"/>
        <w:keepLines w:val="0"/>
        <w:pageBreakBefore w:val="0"/>
        <w:widowControl w:val="0"/>
        <w:kinsoku/>
        <w:wordWrap w:val="0"/>
        <w:overflowPunct/>
        <w:topLinePunct w:val="0"/>
        <w:autoSpaceDE/>
        <w:autoSpaceDN/>
        <w:bidi w:val="0"/>
        <w:adjustRightInd/>
        <w:snapToGrid/>
        <w:textAlignment w:val="auto"/>
        <w:rPr>
          <w:highlight w:val="none"/>
        </w:rPr>
      </w:pPr>
    </w:p>
    <w:p w14:paraId="33ED2743">
      <w:pPr>
        <w:pStyle w:val="28"/>
        <w:keepNext w:val="0"/>
        <w:keepLines w:val="0"/>
        <w:pageBreakBefore w:val="0"/>
        <w:widowControl w:val="0"/>
        <w:kinsoku/>
        <w:wordWrap w:val="0"/>
        <w:overflowPunct/>
        <w:topLinePunct w:val="0"/>
        <w:autoSpaceDE/>
        <w:autoSpaceDN/>
        <w:bidi w:val="0"/>
        <w:adjustRightInd/>
        <w:snapToGrid/>
        <w:textAlignment w:val="auto"/>
        <w:rPr>
          <w:highlight w:val="none"/>
        </w:rPr>
      </w:pPr>
      <w:r>
        <w:rPr>
          <w:rFonts w:hint="eastAsia" w:eastAsia="宋体"/>
          <w:highlight w:val="none"/>
          <w:lang w:eastAsia="zh-CN"/>
        </w:rPr>
        <w:drawing>
          <wp:anchor distT="0" distB="0" distL="114300" distR="114300" simplePos="0" relativeHeight="251692032" behindDoc="0" locked="0" layoutInCell="1" allowOverlap="1">
            <wp:simplePos x="0" y="0"/>
            <wp:positionH relativeFrom="column">
              <wp:posOffset>71120</wp:posOffset>
            </wp:positionH>
            <wp:positionV relativeFrom="paragraph">
              <wp:posOffset>128905</wp:posOffset>
            </wp:positionV>
            <wp:extent cx="5272405" cy="3752850"/>
            <wp:effectExtent l="0" t="0" r="4445" b="0"/>
            <wp:wrapNone/>
            <wp:docPr id="114" name="图片 114" descr="05328bf220941df081e3ac7a30636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05328bf220941df081e3ac7a30636919"/>
                    <pic:cNvPicPr>
                      <a:picLocks noChangeAspect="1"/>
                    </pic:cNvPicPr>
                  </pic:nvPicPr>
                  <pic:blipFill>
                    <a:blip r:embed="rId51"/>
                    <a:stretch>
                      <a:fillRect/>
                    </a:stretch>
                  </pic:blipFill>
                  <pic:spPr>
                    <a:xfrm>
                      <a:off x="0" y="0"/>
                      <a:ext cx="5272405" cy="3752850"/>
                    </a:xfrm>
                    <a:prstGeom prst="rect">
                      <a:avLst/>
                    </a:prstGeom>
                  </pic:spPr>
                </pic:pic>
              </a:graphicData>
            </a:graphic>
          </wp:anchor>
        </w:drawing>
      </w:r>
    </w:p>
    <w:p w14:paraId="70626FB6">
      <w:pPr>
        <w:pStyle w:val="28"/>
        <w:keepNext w:val="0"/>
        <w:keepLines w:val="0"/>
        <w:pageBreakBefore w:val="0"/>
        <w:widowControl w:val="0"/>
        <w:kinsoku/>
        <w:wordWrap w:val="0"/>
        <w:overflowPunct/>
        <w:topLinePunct w:val="0"/>
        <w:autoSpaceDE/>
        <w:autoSpaceDN/>
        <w:bidi w:val="0"/>
        <w:adjustRightInd/>
        <w:snapToGrid/>
        <w:textAlignment w:val="auto"/>
        <w:rPr>
          <w:highlight w:val="none"/>
        </w:rPr>
      </w:pPr>
    </w:p>
    <w:p w14:paraId="012CB348">
      <w:pPr>
        <w:pStyle w:val="28"/>
        <w:keepNext w:val="0"/>
        <w:keepLines w:val="0"/>
        <w:pageBreakBefore w:val="0"/>
        <w:widowControl w:val="0"/>
        <w:kinsoku/>
        <w:wordWrap w:val="0"/>
        <w:overflowPunct/>
        <w:topLinePunct w:val="0"/>
        <w:autoSpaceDE/>
        <w:autoSpaceDN/>
        <w:bidi w:val="0"/>
        <w:adjustRightInd/>
        <w:snapToGrid/>
        <w:textAlignment w:val="auto"/>
        <w:rPr>
          <w:highlight w:val="none"/>
        </w:rPr>
      </w:pPr>
    </w:p>
    <w:p w14:paraId="41D1E441">
      <w:pPr>
        <w:pStyle w:val="28"/>
        <w:keepNext w:val="0"/>
        <w:keepLines w:val="0"/>
        <w:pageBreakBefore w:val="0"/>
        <w:widowControl w:val="0"/>
        <w:kinsoku/>
        <w:wordWrap w:val="0"/>
        <w:overflowPunct/>
        <w:topLinePunct w:val="0"/>
        <w:autoSpaceDE/>
        <w:autoSpaceDN/>
        <w:bidi w:val="0"/>
        <w:adjustRightInd/>
        <w:snapToGrid/>
        <w:textAlignment w:val="auto"/>
        <w:rPr>
          <w:highlight w:val="none"/>
        </w:rPr>
      </w:pPr>
    </w:p>
    <w:p w14:paraId="63E2B844">
      <w:pPr>
        <w:pStyle w:val="28"/>
        <w:keepNext w:val="0"/>
        <w:keepLines w:val="0"/>
        <w:pageBreakBefore w:val="0"/>
        <w:widowControl w:val="0"/>
        <w:kinsoku/>
        <w:wordWrap w:val="0"/>
        <w:overflowPunct/>
        <w:topLinePunct w:val="0"/>
        <w:autoSpaceDE/>
        <w:autoSpaceDN/>
        <w:bidi w:val="0"/>
        <w:adjustRightInd/>
        <w:snapToGrid/>
        <w:textAlignment w:val="auto"/>
        <w:rPr>
          <w:highlight w:val="none"/>
        </w:rPr>
      </w:pPr>
    </w:p>
    <w:p w14:paraId="11DAF35E">
      <w:pPr>
        <w:pStyle w:val="28"/>
        <w:keepNext w:val="0"/>
        <w:keepLines w:val="0"/>
        <w:pageBreakBefore w:val="0"/>
        <w:widowControl w:val="0"/>
        <w:kinsoku/>
        <w:wordWrap w:val="0"/>
        <w:overflowPunct/>
        <w:topLinePunct w:val="0"/>
        <w:autoSpaceDE/>
        <w:autoSpaceDN/>
        <w:bidi w:val="0"/>
        <w:adjustRightInd/>
        <w:snapToGrid/>
        <w:textAlignment w:val="auto"/>
        <w:rPr>
          <w:highlight w:val="none"/>
        </w:rPr>
      </w:pPr>
    </w:p>
    <w:p w14:paraId="0E81AE7F">
      <w:pPr>
        <w:pStyle w:val="28"/>
        <w:keepNext w:val="0"/>
        <w:keepLines w:val="0"/>
        <w:pageBreakBefore w:val="0"/>
        <w:widowControl w:val="0"/>
        <w:kinsoku/>
        <w:wordWrap w:val="0"/>
        <w:overflowPunct/>
        <w:topLinePunct w:val="0"/>
        <w:autoSpaceDE/>
        <w:autoSpaceDN/>
        <w:bidi w:val="0"/>
        <w:adjustRightInd/>
        <w:snapToGrid/>
        <w:textAlignment w:val="auto"/>
        <w:rPr>
          <w:highlight w:val="none"/>
        </w:rPr>
      </w:pPr>
    </w:p>
    <w:p w14:paraId="450FDD5F">
      <w:pPr>
        <w:pStyle w:val="28"/>
        <w:keepNext w:val="0"/>
        <w:keepLines w:val="0"/>
        <w:pageBreakBefore w:val="0"/>
        <w:widowControl w:val="0"/>
        <w:kinsoku/>
        <w:wordWrap w:val="0"/>
        <w:overflowPunct/>
        <w:topLinePunct w:val="0"/>
        <w:autoSpaceDE/>
        <w:autoSpaceDN/>
        <w:bidi w:val="0"/>
        <w:adjustRightInd/>
        <w:snapToGrid/>
        <w:textAlignment w:val="auto"/>
        <w:rPr>
          <w:highlight w:val="none"/>
        </w:rPr>
      </w:pPr>
    </w:p>
    <w:p w14:paraId="5B4D67D8">
      <w:pPr>
        <w:pStyle w:val="28"/>
        <w:keepNext w:val="0"/>
        <w:keepLines w:val="0"/>
        <w:pageBreakBefore w:val="0"/>
        <w:widowControl w:val="0"/>
        <w:kinsoku/>
        <w:wordWrap w:val="0"/>
        <w:overflowPunct/>
        <w:topLinePunct w:val="0"/>
        <w:autoSpaceDE/>
        <w:autoSpaceDN/>
        <w:bidi w:val="0"/>
        <w:adjustRightInd/>
        <w:snapToGrid/>
        <w:textAlignment w:val="auto"/>
        <w:rPr>
          <w:highlight w:val="none"/>
        </w:rPr>
      </w:pPr>
    </w:p>
    <w:p w14:paraId="4B999B53">
      <w:pPr>
        <w:pStyle w:val="28"/>
        <w:keepNext w:val="0"/>
        <w:keepLines w:val="0"/>
        <w:pageBreakBefore w:val="0"/>
        <w:widowControl w:val="0"/>
        <w:kinsoku/>
        <w:wordWrap w:val="0"/>
        <w:overflowPunct/>
        <w:topLinePunct w:val="0"/>
        <w:autoSpaceDE/>
        <w:autoSpaceDN/>
        <w:bidi w:val="0"/>
        <w:adjustRightInd/>
        <w:snapToGrid/>
        <w:textAlignment w:val="auto"/>
        <w:rPr>
          <w:highlight w:val="none"/>
        </w:rPr>
      </w:pPr>
    </w:p>
    <w:p w14:paraId="7CBD8528">
      <w:pPr>
        <w:pStyle w:val="28"/>
        <w:keepNext w:val="0"/>
        <w:keepLines w:val="0"/>
        <w:pageBreakBefore w:val="0"/>
        <w:widowControl w:val="0"/>
        <w:kinsoku/>
        <w:wordWrap w:val="0"/>
        <w:overflowPunct/>
        <w:topLinePunct w:val="0"/>
        <w:autoSpaceDE/>
        <w:autoSpaceDN/>
        <w:bidi w:val="0"/>
        <w:adjustRightInd/>
        <w:snapToGrid/>
        <w:textAlignment w:val="auto"/>
        <w:rPr>
          <w:highlight w:val="none"/>
        </w:rPr>
      </w:pPr>
    </w:p>
    <w:p w14:paraId="6A0A5C0A">
      <w:pPr>
        <w:pStyle w:val="28"/>
        <w:keepNext w:val="0"/>
        <w:keepLines w:val="0"/>
        <w:pageBreakBefore w:val="0"/>
        <w:widowControl w:val="0"/>
        <w:kinsoku/>
        <w:wordWrap w:val="0"/>
        <w:overflowPunct/>
        <w:topLinePunct w:val="0"/>
        <w:autoSpaceDE/>
        <w:autoSpaceDN/>
        <w:bidi w:val="0"/>
        <w:adjustRightInd/>
        <w:snapToGrid/>
        <w:textAlignment w:val="auto"/>
        <w:rPr>
          <w:highlight w:val="none"/>
        </w:rPr>
      </w:pPr>
    </w:p>
    <w:p w14:paraId="5FBA81B6">
      <w:pPr>
        <w:pStyle w:val="28"/>
        <w:keepNext w:val="0"/>
        <w:keepLines w:val="0"/>
        <w:pageBreakBefore w:val="0"/>
        <w:widowControl w:val="0"/>
        <w:kinsoku/>
        <w:wordWrap w:val="0"/>
        <w:overflowPunct/>
        <w:topLinePunct w:val="0"/>
        <w:autoSpaceDE/>
        <w:autoSpaceDN/>
        <w:bidi w:val="0"/>
        <w:adjustRightInd/>
        <w:snapToGrid/>
        <w:jc w:val="center"/>
        <w:textAlignment w:val="auto"/>
        <w:rPr>
          <w:highlight w:val="none"/>
        </w:rPr>
      </w:pPr>
      <w:r>
        <w:rPr>
          <w:rFonts w:hint="eastAsia" w:ascii="黑体" w:hAnsi="黑体" w:eastAsia="黑体" w:cs="黑体"/>
          <w:b w:val="0"/>
          <w:bCs/>
          <w:color w:val="auto"/>
          <w:kern w:val="0"/>
          <w:sz w:val="24"/>
          <w:highlight w:val="none"/>
        </w:rPr>
        <w:t>图</w:t>
      </w:r>
      <w:r>
        <w:rPr>
          <w:b w:val="0"/>
          <w:bCs/>
          <w:color w:val="auto"/>
          <w:kern w:val="0"/>
          <w:sz w:val="24"/>
          <w:highlight w:val="none"/>
        </w:rPr>
        <w:t>5</w:t>
      </w:r>
      <w:r>
        <w:rPr>
          <w:rFonts w:hint="eastAsia"/>
          <w:b w:val="0"/>
          <w:bCs/>
          <w:color w:val="auto"/>
          <w:kern w:val="0"/>
          <w:sz w:val="24"/>
          <w:highlight w:val="none"/>
          <w:lang w:val="en-US" w:eastAsia="zh-CN"/>
        </w:rPr>
        <w:t xml:space="preserve">.4-2 </w:t>
      </w:r>
      <w:r>
        <w:rPr>
          <w:rFonts w:hint="eastAsia" w:ascii="黑体" w:hAnsi="黑体" w:eastAsia="黑体" w:cs="黑体"/>
          <w:b w:val="0"/>
          <w:bCs/>
          <w:color w:val="auto"/>
          <w:kern w:val="0"/>
          <w:sz w:val="24"/>
          <w:highlight w:val="none"/>
        </w:rPr>
        <w:t>声环境预测结果等值线图</w:t>
      </w:r>
    </w:p>
    <w:p w14:paraId="22159A1E">
      <w:pPr>
        <w:pStyle w:val="28"/>
        <w:keepNext w:val="0"/>
        <w:keepLines w:val="0"/>
        <w:pageBreakBefore w:val="0"/>
        <w:widowControl w:val="0"/>
        <w:kinsoku/>
        <w:wordWrap w:val="0"/>
        <w:overflowPunct/>
        <w:topLinePunct w:val="0"/>
        <w:autoSpaceDE/>
        <w:autoSpaceDN/>
        <w:bidi w:val="0"/>
        <w:adjustRightInd/>
        <w:snapToGrid/>
        <w:textAlignment w:val="auto"/>
        <w:rPr>
          <w:rFonts w:ascii="Times New Roman" w:hAnsi="Times New Roman"/>
          <w:highlight w:val="none"/>
        </w:rPr>
      </w:pPr>
      <w:r>
        <w:rPr>
          <w:highlight w:val="none"/>
        </w:rPr>
        <w:t>由预测结果可知，各个高噪声设备昼夜在厂界预测值满足《工业企业厂界环境噪声排放标准》（GB12348-2008）表1中</w:t>
      </w:r>
      <w:r>
        <w:rPr>
          <w:rFonts w:hint="eastAsia"/>
          <w:highlight w:val="none"/>
          <w:lang w:val="en-US" w:eastAsia="zh-CN"/>
        </w:rPr>
        <w:t>2类和4类</w:t>
      </w:r>
      <w:r>
        <w:rPr>
          <w:highlight w:val="none"/>
        </w:rPr>
        <w:t>标准要求，运营期各侧厂界噪声排放达标，</w:t>
      </w:r>
      <w:r>
        <w:rPr>
          <w:rFonts w:hint="eastAsia"/>
          <w:highlight w:val="none"/>
          <w:lang w:val="en-US" w:eastAsia="zh-CN"/>
        </w:rPr>
        <w:t>敏感点</w:t>
      </w:r>
      <w:r>
        <w:rPr>
          <w:rFonts w:hint="eastAsia"/>
          <w:highlight w:val="none"/>
        </w:rPr>
        <w:t>声环境质量能够满足《声环境质量标准》（GB3096-2008）2类标准限值。</w:t>
      </w:r>
      <w:r>
        <w:rPr>
          <w:highlight w:val="none"/>
        </w:rPr>
        <w:t>本项目运行期产生的噪声对声环境质量影响较小。</w:t>
      </w:r>
    </w:p>
    <w:p w14:paraId="38739702">
      <w:pPr>
        <w:pStyle w:val="5"/>
        <w:bidi w:val="0"/>
        <w:ind w:left="0" w:leftChars="0" w:firstLine="0" w:firstLineChars="0"/>
        <w:rPr>
          <w:rFonts w:hint="eastAsia" w:ascii="Times New Roman" w:hAnsi="Times New Roman" w:eastAsia="宋体" w:cs="Times New Roman"/>
          <w:sz w:val="30"/>
          <w:szCs w:val="30"/>
          <w:highlight w:val="none"/>
          <w:lang w:val="en-US" w:eastAsia="zh-CN"/>
        </w:rPr>
      </w:pPr>
      <w:bookmarkStart w:id="139" w:name="_Toc25863"/>
      <w:r>
        <w:rPr>
          <w:rFonts w:hint="eastAsia" w:ascii="Times New Roman" w:hAnsi="Times New Roman" w:eastAsia="宋体" w:cs="Times New Roman"/>
          <w:sz w:val="30"/>
          <w:szCs w:val="30"/>
          <w:highlight w:val="none"/>
          <w:lang w:val="en-US" w:eastAsia="zh-CN"/>
        </w:rPr>
        <w:t>5.4.</w:t>
      </w:r>
      <w:r>
        <w:rPr>
          <w:rFonts w:hint="eastAsia" w:ascii="Times New Roman" w:hAnsi="Times New Roman" w:cs="Times New Roman"/>
          <w:sz w:val="30"/>
          <w:szCs w:val="30"/>
          <w:highlight w:val="none"/>
          <w:lang w:val="en-US" w:eastAsia="zh-CN"/>
        </w:rPr>
        <w:t>6</w:t>
      </w:r>
      <w:r>
        <w:rPr>
          <w:rFonts w:hint="eastAsia" w:ascii="Times New Roman" w:hAnsi="Times New Roman" w:eastAsia="宋体" w:cs="Times New Roman"/>
          <w:sz w:val="30"/>
          <w:szCs w:val="30"/>
          <w:highlight w:val="none"/>
          <w:lang w:val="en-US" w:eastAsia="zh-CN"/>
        </w:rPr>
        <w:t>声环境影响评价结论</w:t>
      </w:r>
      <w:bookmarkEnd w:id="139"/>
    </w:p>
    <w:p w14:paraId="09C908DC">
      <w:pPr>
        <w:rPr>
          <w:rFonts w:ascii="Times New Roman" w:hAnsi="Times New Roman"/>
          <w:highlight w:val="none"/>
        </w:rPr>
      </w:pPr>
      <w:r>
        <w:rPr>
          <w:rFonts w:ascii="Times New Roman" w:hAnsi="Times New Roman"/>
          <w:highlight w:val="none"/>
        </w:rPr>
        <w:t>项目运行期，在厂界昼间、夜间预测值满足《工业企业厂界环境噪声排放标准》（GB12348-2008）表1中</w:t>
      </w:r>
      <w:r>
        <w:rPr>
          <w:rFonts w:hint="eastAsia" w:ascii="Times New Roman" w:hAnsi="Times New Roman"/>
          <w:highlight w:val="none"/>
          <w:lang w:val="en-US" w:eastAsia="zh-CN"/>
        </w:rPr>
        <w:t>2</w:t>
      </w:r>
      <w:r>
        <w:rPr>
          <w:rFonts w:ascii="Times New Roman" w:hAnsi="Times New Roman"/>
          <w:highlight w:val="none"/>
        </w:rPr>
        <w:t>类</w:t>
      </w:r>
      <w:r>
        <w:rPr>
          <w:rFonts w:hint="eastAsia" w:ascii="Times New Roman" w:hAnsi="Times New Roman"/>
          <w:highlight w:val="none"/>
          <w:lang w:val="en-US" w:eastAsia="zh-CN"/>
        </w:rPr>
        <w:t>4类和</w:t>
      </w:r>
      <w:r>
        <w:rPr>
          <w:rFonts w:ascii="Times New Roman" w:hAnsi="Times New Roman"/>
          <w:highlight w:val="none"/>
        </w:rPr>
        <w:t>标准要求。因此，从声环境影响的角度分析，本工程的建设是可行的。本项目夜间不安排运输，当白天运输车经过居民区时，运输车辆应采取限制车速、禁鸣等措施，可有效降低运输车辆噪声对道路两侧居民的影响。运输噪声影响相对较小，可以接受。</w:t>
      </w:r>
    </w:p>
    <w:p w14:paraId="611B3A51">
      <w:pPr>
        <w:pStyle w:val="4"/>
        <w:bidi w:val="0"/>
        <w:ind w:left="0" w:leftChars="0" w:firstLine="0" w:firstLineChars="0"/>
        <w:rPr>
          <w:rFonts w:hint="default" w:ascii="Times New Roman" w:hAnsi="Times New Roman" w:cs="Times New Roman"/>
          <w:highlight w:val="none"/>
          <w:lang w:val="en-US" w:eastAsia="zh-CN"/>
        </w:rPr>
      </w:pPr>
      <w:bookmarkStart w:id="140" w:name="_Toc24200"/>
      <w:r>
        <w:rPr>
          <w:rFonts w:hint="eastAsia" w:ascii="Times New Roman" w:hAnsi="Times New Roman" w:cs="Times New Roman"/>
          <w:highlight w:val="none"/>
          <w:lang w:val="en-US" w:eastAsia="zh-CN"/>
        </w:rPr>
        <w:t>5.5固废影响</w:t>
      </w:r>
      <w:bookmarkEnd w:id="140"/>
    </w:p>
    <w:p w14:paraId="642DD987">
      <w:pPr>
        <w:ind w:firstLine="480"/>
        <w:rPr>
          <w:rFonts w:ascii="Times New Roman" w:hAnsi="Times New Roman"/>
          <w:highlight w:val="none"/>
        </w:rPr>
      </w:pPr>
      <w:r>
        <w:rPr>
          <w:rFonts w:ascii="Times New Roman" w:hAnsi="Times New Roman"/>
          <w:highlight w:val="none"/>
        </w:rPr>
        <w:t>本项目锅炉灰渣产生量为</w:t>
      </w:r>
      <w:r>
        <w:rPr>
          <w:rFonts w:hint="eastAsia" w:ascii="Times New Roman" w:hAnsi="Times New Roman"/>
          <w:highlight w:val="none"/>
          <w:lang w:val="en-US" w:eastAsia="zh-CN"/>
        </w:rPr>
        <w:t>31970.6</w:t>
      </w:r>
      <w:r>
        <w:rPr>
          <w:rFonts w:ascii="Times New Roman" w:hAnsi="Times New Roman"/>
          <w:highlight w:val="none"/>
        </w:rPr>
        <w:t>吨/a，外售</w:t>
      </w:r>
      <w:r>
        <w:rPr>
          <w:rFonts w:hint="eastAsia" w:ascii="Times New Roman" w:hAnsi="Times New Roman"/>
          <w:highlight w:val="none"/>
        </w:rPr>
        <w:t>至</w:t>
      </w:r>
      <w:r>
        <w:rPr>
          <w:rFonts w:hint="eastAsia" w:ascii="Times New Roman" w:hAnsi="Times New Roman"/>
          <w:highlight w:val="none"/>
          <w:lang w:val="en-US" w:eastAsia="zh-CN"/>
        </w:rPr>
        <w:t>绥芬河市宝聚砖厂</w:t>
      </w:r>
      <w:r>
        <w:rPr>
          <w:rFonts w:ascii="Times New Roman" w:hAnsi="Times New Roman"/>
          <w:highlight w:val="none"/>
        </w:rPr>
        <w:t>综合利用。</w:t>
      </w:r>
    </w:p>
    <w:p w14:paraId="116A8AD2">
      <w:pPr>
        <w:ind w:firstLine="480"/>
        <w:rPr>
          <w:rFonts w:ascii="Times New Roman" w:hAnsi="Times New Roman"/>
          <w:highlight w:val="none"/>
        </w:rPr>
      </w:pPr>
      <w:r>
        <w:rPr>
          <w:rFonts w:ascii="Times New Roman" w:hAnsi="Times New Roman"/>
          <w:highlight w:val="none"/>
        </w:rPr>
        <w:t>本项目灰渣在冬季利用不畅（运输或利用途径不畅）情况下，为防止灰渣无序堆放，项目产生的锅炉灰渣全部运至</w:t>
      </w:r>
      <w:r>
        <w:rPr>
          <w:rFonts w:hint="eastAsia" w:ascii="Times New Roman" w:hAnsi="Times New Roman"/>
          <w:highlight w:val="none"/>
          <w:lang w:val="en-US" w:eastAsia="zh-CN"/>
        </w:rPr>
        <w:t>绥芬河市宝聚砖厂</w:t>
      </w:r>
      <w:r>
        <w:rPr>
          <w:rFonts w:ascii="Times New Roman" w:hAnsi="Times New Roman"/>
          <w:highlight w:val="none"/>
        </w:rPr>
        <w:t>临时贮存，能够满足本项目事故情况下的临时灰渣贮存需求。</w:t>
      </w:r>
    </w:p>
    <w:p w14:paraId="451D1EE8">
      <w:pPr>
        <w:ind w:firstLine="480"/>
        <w:rPr>
          <w:rFonts w:ascii="Times New Roman" w:hAnsi="Times New Roman"/>
          <w:highlight w:val="none"/>
        </w:rPr>
      </w:pPr>
      <w:r>
        <w:rPr>
          <w:rFonts w:ascii="Times New Roman" w:hAnsi="Times New Roman"/>
          <w:highlight w:val="none"/>
        </w:rPr>
        <w:t>本项目采用石灰石-石膏等湿法烟气脱硫工艺时，脱硫副产物为脱硫石膏，产生量为</w:t>
      </w:r>
      <w:r>
        <w:rPr>
          <w:rFonts w:hint="eastAsia" w:ascii="Times New Roman" w:hAnsi="Times New Roman"/>
          <w:highlight w:val="none"/>
          <w:lang w:val="en-US" w:eastAsia="zh-CN"/>
        </w:rPr>
        <w:t>502.549</w:t>
      </w:r>
      <w:r>
        <w:rPr>
          <w:rFonts w:ascii="Times New Roman" w:hAnsi="Times New Roman"/>
          <w:highlight w:val="none"/>
        </w:rPr>
        <w:t>t/a，</w:t>
      </w:r>
      <w:r>
        <w:rPr>
          <w:rFonts w:hint="eastAsia" w:ascii="Times New Roman" w:hAnsi="Times New Roman"/>
          <w:highlight w:val="none"/>
          <w:lang w:val="en-US" w:eastAsia="zh-CN"/>
        </w:rPr>
        <w:t>用于采矿区回填</w:t>
      </w:r>
      <w:r>
        <w:rPr>
          <w:rFonts w:ascii="Times New Roman" w:hAnsi="Times New Roman"/>
          <w:highlight w:val="none"/>
        </w:rPr>
        <w:t>。</w:t>
      </w:r>
    </w:p>
    <w:p w14:paraId="2CF00B34">
      <w:pPr>
        <w:ind w:firstLine="480"/>
        <w:rPr>
          <w:rFonts w:ascii="Times New Roman" w:hAnsi="Times New Roman"/>
          <w:highlight w:val="none"/>
        </w:rPr>
      </w:pPr>
      <w:r>
        <w:rPr>
          <w:rFonts w:ascii="Times New Roman" w:hAnsi="Times New Roman"/>
          <w:highlight w:val="none"/>
        </w:rPr>
        <w:t>运行期间产生的废离子交换树脂</w:t>
      </w:r>
      <w:r>
        <w:rPr>
          <w:rFonts w:hint="eastAsia" w:ascii="Times New Roman" w:hAnsi="Times New Roman"/>
          <w:highlight w:val="none"/>
          <w:lang w:val="en-US" w:eastAsia="zh-CN"/>
        </w:rPr>
        <w:t>及反渗透膜</w:t>
      </w:r>
      <w:r>
        <w:rPr>
          <w:rFonts w:ascii="Times New Roman" w:hAnsi="Times New Roman"/>
          <w:highlight w:val="none"/>
        </w:rPr>
        <w:t>由</w:t>
      </w:r>
      <w:r>
        <w:rPr>
          <w:rFonts w:hint="eastAsia" w:ascii="Times New Roman" w:hAnsi="Times New Roman"/>
          <w:highlight w:val="none"/>
          <w:lang w:val="en-US" w:eastAsia="zh-CN"/>
        </w:rPr>
        <w:t>设备厂家回收处置</w:t>
      </w:r>
      <w:r>
        <w:rPr>
          <w:rFonts w:ascii="Times New Roman" w:hAnsi="Times New Roman"/>
          <w:highlight w:val="none"/>
        </w:rPr>
        <w:t>。</w:t>
      </w:r>
    </w:p>
    <w:p w14:paraId="6135EF2A">
      <w:pPr>
        <w:ind w:firstLine="480"/>
        <w:rPr>
          <w:rFonts w:ascii="Times New Roman" w:hAnsi="Times New Roman"/>
          <w:highlight w:val="none"/>
        </w:rPr>
      </w:pPr>
      <w:r>
        <w:rPr>
          <w:rFonts w:ascii="Times New Roman" w:hAnsi="Times New Roman"/>
          <w:highlight w:val="none"/>
        </w:rPr>
        <w:t>本项目生活垃圾由市政部门统一收集处理。综上所述，本项目固体废物不会对外环境产生影响。</w:t>
      </w:r>
    </w:p>
    <w:p w14:paraId="77EE4550">
      <w:pPr>
        <w:ind w:firstLine="480"/>
        <w:rPr>
          <w:rFonts w:hint="eastAsia" w:ascii="Times New Roman" w:hAnsi="Times New Roman" w:eastAsia="宋体"/>
          <w:highlight w:val="none"/>
          <w:lang w:eastAsia="zh-CN"/>
        </w:rPr>
      </w:pPr>
      <w:r>
        <w:rPr>
          <w:rFonts w:ascii="Times New Roman" w:hAnsi="Times New Roman"/>
          <w:highlight w:val="none"/>
        </w:rPr>
        <w:t>废催化剂</w:t>
      </w:r>
      <w:r>
        <w:rPr>
          <w:rFonts w:hint="eastAsia" w:ascii="Times New Roman" w:hAnsi="Times New Roman"/>
          <w:highlight w:val="none"/>
          <w:lang w:eastAsia="zh-CN"/>
        </w:rPr>
        <w:t>、</w:t>
      </w:r>
      <w:r>
        <w:rPr>
          <w:rFonts w:hint="eastAsia" w:ascii="Times New Roman" w:hAnsi="Times New Roman"/>
          <w:highlight w:val="none"/>
          <w:lang w:val="en-US" w:eastAsia="zh-CN"/>
        </w:rPr>
        <w:t>废机油</w:t>
      </w:r>
      <w:r>
        <w:rPr>
          <w:rFonts w:ascii="Times New Roman" w:hAnsi="Times New Roman"/>
          <w:highlight w:val="none"/>
        </w:rPr>
        <w:t>属于危险废物，依托现有危废</w:t>
      </w:r>
      <w:r>
        <w:rPr>
          <w:rFonts w:hint="eastAsia" w:ascii="Times New Roman" w:hAnsi="Times New Roman"/>
          <w:highlight w:val="none"/>
          <w:lang w:val="en-US" w:eastAsia="zh-CN"/>
        </w:rPr>
        <w:t>贮存点</w:t>
      </w:r>
      <w:r>
        <w:rPr>
          <w:rFonts w:ascii="Times New Roman" w:hAnsi="Times New Roman"/>
          <w:highlight w:val="none"/>
        </w:rPr>
        <w:t>暂存后委托有危废处理资质的单位统一处理。本项目</w:t>
      </w:r>
      <w:r>
        <w:rPr>
          <w:rFonts w:hint="eastAsia" w:ascii="Times New Roman" w:hAnsi="Times New Roman"/>
          <w:highlight w:val="none"/>
        </w:rPr>
        <w:t>现有</w:t>
      </w:r>
      <w:r>
        <w:rPr>
          <w:rFonts w:hint="eastAsia" w:ascii="Times New Roman" w:hAnsi="Times New Roman"/>
          <w:highlight w:val="none"/>
          <w:lang w:val="en-US" w:eastAsia="zh-CN"/>
        </w:rPr>
        <w:t>危废贮存点</w:t>
      </w:r>
      <w:r>
        <w:rPr>
          <w:rFonts w:ascii="Times New Roman" w:hAnsi="Times New Roman"/>
          <w:highlight w:val="none"/>
        </w:rPr>
        <w:t>建筑面积10m</w:t>
      </w:r>
      <w:r>
        <w:rPr>
          <w:rFonts w:ascii="Times New Roman" w:hAnsi="Times New Roman"/>
          <w:highlight w:val="none"/>
          <w:vertAlign w:val="superscript"/>
        </w:rPr>
        <w:t>2</w:t>
      </w:r>
      <w:r>
        <w:rPr>
          <w:rFonts w:ascii="Times New Roman" w:hAnsi="Times New Roman"/>
          <w:highlight w:val="none"/>
        </w:rPr>
        <w:t>，贮存量可满足全厂</w:t>
      </w:r>
      <w:r>
        <w:rPr>
          <w:rFonts w:hint="eastAsia" w:ascii="Times New Roman" w:hAnsi="Times New Roman"/>
          <w:highlight w:val="none"/>
        </w:rPr>
        <w:t>一年的</w:t>
      </w:r>
      <w:r>
        <w:rPr>
          <w:rFonts w:ascii="Times New Roman" w:hAnsi="Times New Roman"/>
          <w:highlight w:val="none"/>
        </w:rPr>
        <w:t>贮存需求，远大于正常情况所需贮存能力。</w:t>
      </w:r>
      <w:r>
        <w:rPr>
          <w:rFonts w:hint="eastAsia" w:ascii="Times New Roman" w:hAnsi="Times New Roman"/>
          <w:color w:val="auto"/>
          <w:highlight w:val="none"/>
        </w:rPr>
        <w:t>根据《建设项目危险废物环境影响评价指南》要求，按照《危险废物贮存污染控制标准》要求，危险废物暂存后委托有危废处理资质单位统一处理。本项目</w:t>
      </w:r>
      <w:r>
        <w:rPr>
          <w:rFonts w:hint="eastAsia" w:ascii="Times New Roman" w:hAnsi="Times New Roman"/>
          <w:color w:val="auto"/>
          <w:highlight w:val="none"/>
          <w:lang w:eastAsia="zh-CN"/>
        </w:rPr>
        <w:t>危废贮存点</w:t>
      </w:r>
      <w:r>
        <w:rPr>
          <w:rFonts w:hint="eastAsia" w:ascii="Times New Roman" w:hAnsi="Times New Roman"/>
          <w:color w:val="auto"/>
          <w:highlight w:val="none"/>
        </w:rPr>
        <w:t>的贮存能力能够满足危险废物的贮存要求，</w:t>
      </w:r>
      <w:r>
        <w:rPr>
          <w:rFonts w:hint="eastAsia" w:ascii="Times New Roman" w:hAnsi="Times New Roman"/>
          <w:color w:val="auto"/>
          <w:highlight w:val="none"/>
          <w:lang w:eastAsia="zh-CN"/>
        </w:rPr>
        <w:t>危废贮存点</w:t>
      </w:r>
      <w:r>
        <w:rPr>
          <w:rFonts w:hint="eastAsia" w:ascii="Times New Roman" w:hAnsi="Times New Roman"/>
          <w:color w:val="auto"/>
          <w:highlight w:val="none"/>
        </w:rPr>
        <w:t>做好基础防渗工作；贮存过程中使用符合标准的容器盛装危险废物，装载危险废物的容器及材质要满足相应的强度要求；保存好危险废物情况的记录，记录上须注明危险废物的名称、来源、数量、特性和包装容器的类别、入库日期、存放库位、废物出库日期及接收单位名称。确保危险废物不非法流失，合法利用或处置；</w:t>
      </w:r>
      <w:r>
        <w:rPr>
          <w:rFonts w:hint="eastAsia" w:ascii="Times New Roman" w:hAnsi="Times New Roman"/>
          <w:color w:val="auto"/>
          <w:highlight w:val="none"/>
          <w:lang w:eastAsia="zh-CN"/>
        </w:rPr>
        <w:t>危废贮存点</w:t>
      </w:r>
      <w:r>
        <w:rPr>
          <w:rFonts w:hint="eastAsia" w:ascii="Times New Roman" w:hAnsi="Times New Roman"/>
          <w:color w:val="auto"/>
          <w:highlight w:val="none"/>
        </w:rPr>
        <w:t>贮存多种危险废物的，应根据本项目所产生的危险废物类别和性质进行分类贮存。通过采取上述措施后能够预防危险废物对环境的影响</w:t>
      </w:r>
      <w:r>
        <w:rPr>
          <w:rFonts w:hint="eastAsia" w:ascii="Times New Roman" w:hAnsi="Times New Roman"/>
          <w:color w:val="auto"/>
          <w:highlight w:val="none"/>
          <w:lang w:eastAsia="zh-CN"/>
        </w:rPr>
        <w:t>。</w:t>
      </w:r>
    </w:p>
    <w:p w14:paraId="259A72BE">
      <w:pPr>
        <w:ind w:firstLine="0" w:firstLineChars="0"/>
        <w:jc w:val="center"/>
        <w:rPr>
          <w:rFonts w:ascii="Times New Roman" w:hAnsi="Times New Roman"/>
          <w:color w:val="auto"/>
          <w:highlight w:val="none"/>
        </w:rPr>
      </w:pPr>
      <w:r>
        <w:rPr>
          <w:rFonts w:hint="eastAsia" w:ascii="黑体" w:hAnsi="黑体" w:eastAsia="黑体" w:cs="黑体"/>
          <w:color w:val="auto"/>
          <w:highlight w:val="none"/>
        </w:rPr>
        <w:t>表</w:t>
      </w:r>
      <w:r>
        <w:rPr>
          <w:rFonts w:ascii="Times New Roman" w:hAnsi="Times New Roman"/>
          <w:color w:val="auto"/>
          <w:highlight w:val="none"/>
        </w:rPr>
        <w:t>5</w:t>
      </w:r>
      <w:r>
        <w:rPr>
          <w:rFonts w:hint="eastAsia" w:ascii="Times New Roman" w:hAnsi="Times New Roman"/>
          <w:color w:val="auto"/>
          <w:highlight w:val="none"/>
        </w:rPr>
        <w:t>.</w:t>
      </w:r>
      <w:r>
        <w:rPr>
          <w:rFonts w:ascii="Times New Roman" w:hAnsi="Times New Roman"/>
          <w:color w:val="auto"/>
          <w:highlight w:val="none"/>
        </w:rPr>
        <w:t xml:space="preserve">5-1 </w:t>
      </w:r>
      <w:r>
        <w:rPr>
          <w:rFonts w:hint="eastAsia" w:ascii="黑体" w:hAnsi="黑体" w:eastAsia="黑体" w:cs="黑体"/>
          <w:color w:val="auto"/>
          <w:highlight w:val="none"/>
        </w:rPr>
        <w:t>本项目危险废物产生量及处置方式</w:t>
      </w:r>
    </w:p>
    <w:tbl>
      <w:tblPr>
        <w:tblStyle w:val="17"/>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32"/>
        <w:gridCol w:w="666"/>
        <w:gridCol w:w="777"/>
        <w:gridCol w:w="1074"/>
        <w:gridCol w:w="707"/>
        <w:gridCol w:w="707"/>
        <w:gridCol w:w="424"/>
        <w:gridCol w:w="850"/>
        <w:gridCol w:w="849"/>
        <w:gridCol w:w="568"/>
        <w:gridCol w:w="568"/>
        <w:gridCol w:w="900"/>
      </w:tblGrid>
      <w:tr w14:paraId="57F0F04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95" w:hRule="atLeast"/>
        </w:trPr>
        <w:tc>
          <w:tcPr>
            <w:tcW w:w="253" w:type="pct"/>
            <w:noWrap w:val="0"/>
            <w:vAlign w:val="center"/>
          </w:tcPr>
          <w:p w14:paraId="4E196C48">
            <w:pPr>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序号</w:t>
            </w:r>
          </w:p>
        </w:tc>
        <w:tc>
          <w:tcPr>
            <w:tcW w:w="391" w:type="pct"/>
            <w:noWrap w:val="0"/>
            <w:vAlign w:val="center"/>
          </w:tcPr>
          <w:p w14:paraId="37CA56C4">
            <w:pPr>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危险废物名称</w:t>
            </w:r>
          </w:p>
        </w:tc>
        <w:tc>
          <w:tcPr>
            <w:tcW w:w="456" w:type="pct"/>
            <w:noWrap w:val="0"/>
            <w:vAlign w:val="center"/>
          </w:tcPr>
          <w:p w14:paraId="236867C3">
            <w:pPr>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危险废物类别</w:t>
            </w:r>
          </w:p>
        </w:tc>
        <w:tc>
          <w:tcPr>
            <w:tcW w:w="630" w:type="pct"/>
            <w:noWrap w:val="0"/>
            <w:vAlign w:val="center"/>
          </w:tcPr>
          <w:p w14:paraId="45C0F4DC">
            <w:pPr>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危险废物代码</w:t>
            </w:r>
          </w:p>
        </w:tc>
        <w:tc>
          <w:tcPr>
            <w:tcW w:w="415" w:type="pct"/>
            <w:noWrap w:val="0"/>
            <w:vAlign w:val="center"/>
          </w:tcPr>
          <w:p w14:paraId="24F38C79">
            <w:pPr>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产生量 (t/a)</w:t>
            </w:r>
          </w:p>
        </w:tc>
        <w:tc>
          <w:tcPr>
            <w:tcW w:w="415" w:type="pct"/>
            <w:noWrap w:val="0"/>
            <w:vAlign w:val="center"/>
          </w:tcPr>
          <w:p w14:paraId="55D61253">
            <w:pPr>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产生工序及装置</w:t>
            </w:r>
          </w:p>
        </w:tc>
        <w:tc>
          <w:tcPr>
            <w:tcW w:w="249" w:type="pct"/>
            <w:noWrap w:val="0"/>
            <w:vAlign w:val="center"/>
          </w:tcPr>
          <w:p w14:paraId="63A6511A">
            <w:pPr>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形态</w:t>
            </w:r>
          </w:p>
        </w:tc>
        <w:tc>
          <w:tcPr>
            <w:tcW w:w="499" w:type="pct"/>
            <w:noWrap w:val="0"/>
            <w:vAlign w:val="center"/>
          </w:tcPr>
          <w:p w14:paraId="2AC1A809">
            <w:pPr>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主要成分</w:t>
            </w:r>
          </w:p>
        </w:tc>
        <w:tc>
          <w:tcPr>
            <w:tcW w:w="498" w:type="pct"/>
            <w:noWrap w:val="0"/>
            <w:vAlign w:val="center"/>
          </w:tcPr>
          <w:p w14:paraId="6BA1D89F">
            <w:pPr>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有害成分</w:t>
            </w:r>
          </w:p>
        </w:tc>
        <w:tc>
          <w:tcPr>
            <w:tcW w:w="333" w:type="pct"/>
            <w:noWrap w:val="0"/>
            <w:vAlign w:val="center"/>
          </w:tcPr>
          <w:p w14:paraId="76C7E750">
            <w:pPr>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产废</w:t>
            </w:r>
          </w:p>
          <w:p w14:paraId="5E85C1AE">
            <w:pPr>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周期</w:t>
            </w:r>
          </w:p>
        </w:tc>
        <w:tc>
          <w:tcPr>
            <w:tcW w:w="333" w:type="pct"/>
            <w:noWrap w:val="0"/>
            <w:vAlign w:val="center"/>
          </w:tcPr>
          <w:p w14:paraId="1F043800">
            <w:pPr>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危险特性</w:t>
            </w:r>
          </w:p>
        </w:tc>
        <w:tc>
          <w:tcPr>
            <w:tcW w:w="529" w:type="pct"/>
            <w:noWrap w:val="0"/>
            <w:vAlign w:val="center"/>
          </w:tcPr>
          <w:p w14:paraId="035886BE">
            <w:pPr>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污染防治措施</w:t>
            </w:r>
          </w:p>
        </w:tc>
      </w:tr>
      <w:tr w14:paraId="035C56C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8" w:hRule="atLeast"/>
        </w:trPr>
        <w:tc>
          <w:tcPr>
            <w:tcW w:w="253" w:type="pct"/>
            <w:noWrap w:val="0"/>
            <w:vAlign w:val="center"/>
          </w:tcPr>
          <w:p w14:paraId="4E12773E">
            <w:pPr>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1</w:t>
            </w:r>
          </w:p>
        </w:tc>
        <w:tc>
          <w:tcPr>
            <w:tcW w:w="391" w:type="pct"/>
            <w:noWrap w:val="0"/>
            <w:vAlign w:val="center"/>
          </w:tcPr>
          <w:p w14:paraId="666137BF">
            <w:pPr>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废脱硝催化剂</w:t>
            </w:r>
          </w:p>
        </w:tc>
        <w:tc>
          <w:tcPr>
            <w:tcW w:w="456" w:type="pct"/>
            <w:noWrap w:val="0"/>
            <w:vAlign w:val="center"/>
          </w:tcPr>
          <w:p w14:paraId="0CB26F04">
            <w:pPr>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HW50</w:t>
            </w:r>
          </w:p>
        </w:tc>
        <w:tc>
          <w:tcPr>
            <w:tcW w:w="630" w:type="pct"/>
            <w:noWrap w:val="0"/>
            <w:vAlign w:val="center"/>
          </w:tcPr>
          <w:p w14:paraId="6D4FED52">
            <w:pPr>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772-007-50</w:t>
            </w:r>
          </w:p>
        </w:tc>
        <w:tc>
          <w:tcPr>
            <w:tcW w:w="415" w:type="pct"/>
            <w:noWrap w:val="0"/>
            <w:vAlign w:val="center"/>
          </w:tcPr>
          <w:p w14:paraId="6A29DB99">
            <w:pPr>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10m</w:t>
            </w:r>
            <w:r>
              <w:rPr>
                <w:rFonts w:ascii="Times New Roman" w:hAnsi="Times New Roman"/>
                <w:color w:val="auto"/>
                <w:sz w:val="21"/>
                <w:highlight w:val="none"/>
                <w:vertAlign w:val="superscript"/>
              </w:rPr>
              <w:t>3</w:t>
            </w:r>
            <w:r>
              <w:rPr>
                <w:rFonts w:ascii="Times New Roman" w:hAnsi="Times New Roman"/>
                <w:color w:val="auto"/>
                <w:sz w:val="21"/>
                <w:highlight w:val="none"/>
              </w:rPr>
              <w:t>/3a</w:t>
            </w:r>
          </w:p>
        </w:tc>
        <w:tc>
          <w:tcPr>
            <w:tcW w:w="415" w:type="pct"/>
            <w:noWrap w:val="0"/>
            <w:vAlign w:val="center"/>
          </w:tcPr>
          <w:p w14:paraId="5489CA5B">
            <w:pPr>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脱硝系统</w:t>
            </w:r>
          </w:p>
        </w:tc>
        <w:tc>
          <w:tcPr>
            <w:tcW w:w="249" w:type="pct"/>
            <w:noWrap w:val="0"/>
            <w:vAlign w:val="center"/>
          </w:tcPr>
          <w:p w14:paraId="6621FDA3">
            <w:pPr>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固态</w:t>
            </w:r>
          </w:p>
        </w:tc>
        <w:tc>
          <w:tcPr>
            <w:tcW w:w="499" w:type="pct"/>
            <w:noWrap w:val="0"/>
            <w:vAlign w:val="center"/>
          </w:tcPr>
          <w:p w14:paraId="648523C2">
            <w:pPr>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V</w:t>
            </w:r>
            <w:r>
              <w:rPr>
                <w:rFonts w:ascii="Times New Roman" w:hAnsi="Times New Roman"/>
                <w:color w:val="auto"/>
                <w:sz w:val="21"/>
                <w:highlight w:val="none"/>
                <w:vertAlign w:val="subscript"/>
              </w:rPr>
              <w:t>2</w:t>
            </w:r>
            <w:r>
              <w:rPr>
                <w:rFonts w:ascii="Times New Roman" w:hAnsi="Times New Roman"/>
                <w:color w:val="auto"/>
                <w:sz w:val="21"/>
                <w:highlight w:val="none"/>
              </w:rPr>
              <w:t>O</w:t>
            </w:r>
            <w:r>
              <w:rPr>
                <w:rFonts w:ascii="Times New Roman" w:hAnsi="Times New Roman"/>
                <w:color w:val="auto"/>
                <w:sz w:val="21"/>
                <w:highlight w:val="none"/>
                <w:vertAlign w:val="subscript"/>
              </w:rPr>
              <w:t>5</w:t>
            </w:r>
            <w:r>
              <w:rPr>
                <w:rFonts w:ascii="Times New Roman" w:hAnsi="Times New Roman"/>
                <w:color w:val="auto"/>
                <w:sz w:val="21"/>
                <w:highlight w:val="none"/>
              </w:rPr>
              <w:t>、WO</w:t>
            </w:r>
            <w:r>
              <w:rPr>
                <w:rFonts w:ascii="Times New Roman" w:hAnsi="Times New Roman"/>
                <w:color w:val="auto"/>
                <w:sz w:val="21"/>
                <w:highlight w:val="none"/>
                <w:vertAlign w:val="subscript"/>
              </w:rPr>
              <w:t>3</w:t>
            </w:r>
            <w:r>
              <w:rPr>
                <w:rFonts w:ascii="Times New Roman" w:hAnsi="Times New Roman"/>
                <w:color w:val="auto"/>
                <w:sz w:val="21"/>
                <w:highlight w:val="none"/>
              </w:rPr>
              <w:t>、TiO</w:t>
            </w:r>
            <w:r>
              <w:rPr>
                <w:rFonts w:ascii="Times New Roman" w:hAnsi="Times New Roman"/>
                <w:color w:val="auto"/>
                <w:sz w:val="21"/>
                <w:highlight w:val="none"/>
                <w:vertAlign w:val="subscript"/>
              </w:rPr>
              <w:t>2</w:t>
            </w:r>
          </w:p>
        </w:tc>
        <w:tc>
          <w:tcPr>
            <w:tcW w:w="498" w:type="pct"/>
            <w:noWrap w:val="0"/>
            <w:vAlign w:val="center"/>
          </w:tcPr>
          <w:p w14:paraId="31DE2738">
            <w:pPr>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V</w:t>
            </w:r>
            <w:r>
              <w:rPr>
                <w:rFonts w:ascii="Times New Roman" w:hAnsi="Times New Roman"/>
                <w:color w:val="auto"/>
                <w:sz w:val="21"/>
                <w:highlight w:val="none"/>
                <w:vertAlign w:val="subscript"/>
              </w:rPr>
              <w:t>2</w:t>
            </w:r>
            <w:r>
              <w:rPr>
                <w:rFonts w:ascii="Times New Roman" w:hAnsi="Times New Roman"/>
                <w:color w:val="auto"/>
                <w:sz w:val="21"/>
                <w:highlight w:val="none"/>
              </w:rPr>
              <w:t>O</w:t>
            </w:r>
            <w:r>
              <w:rPr>
                <w:rFonts w:ascii="Times New Roman" w:hAnsi="Times New Roman"/>
                <w:color w:val="auto"/>
                <w:sz w:val="21"/>
                <w:highlight w:val="none"/>
                <w:vertAlign w:val="subscript"/>
              </w:rPr>
              <w:t>5</w:t>
            </w:r>
            <w:r>
              <w:rPr>
                <w:rFonts w:ascii="Times New Roman" w:hAnsi="Times New Roman"/>
                <w:color w:val="auto"/>
                <w:sz w:val="21"/>
                <w:highlight w:val="none"/>
              </w:rPr>
              <w:t>、WO</w:t>
            </w:r>
            <w:r>
              <w:rPr>
                <w:rFonts w:ascii="Times New Roman" w:hAnsi="Times New Roman"/>
                <w:color w:val="auto"/>
                <w:sz w:val="21"/>
                <w:highlight w:val="none"/>
                <w:vertAlign w:val="subscript"/>
              </w:rPr>
              <w:t>3</w:t>
            </w:r>
            <w:r>
              <w:rPr>
                <w:rFonts w:ascii="Times New Roman" w:hAnsi="Times New Roman"/>
                <w:color w:val="auto"/>
                <w:sz w:val="21"/>
                <w:highlight w:val="none"/>
              </w:rPr>
              <w:t>、TiO</w:t>
            </w:r>
            <w:r>
              <w:rPr>
                <w:rFonts w:ascii="Times New Roman" w:hAnsi="Times New Roman"/>
                <w:color w:val="auto"/>
                <w:sz w:val="21"/>
                <w:highlight w:val="none"/>
                <w:vertAlign w:val="subscript"/>
              </w:rPr>
              <w:t>2</w:t>
            </w:r>
          </w:p>
        </w:tc>
        <w:tc>
          <w:tcPr>
            <w:tcW w:w="333" w:type="pct"/>
            <w:noWrap w:val="0"/>
            <w:vAlign w:val="center"/>
          </w:tcPr>
          <w:p w14:paraId="17FC15BE">
            <w:pPr>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每3年</w:t>
            </w:r>
          </w:p>
        </w:tc>
        <w:tc>
          <w:tcPr>
            <w:tcW w:w="333" w:type="pct"/>
            <w:noWrap w:val="0"/>
            <w:vAlign w:val="center"/>
          </w:tcPr>
          <w:p w14:paraId="26AA3199">
            <w:pPr>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T</w:t>
            </w:r>
          </w:p>
        </w:tc>
        <w:tc>
          <w:tcPr>
            <w:tcW w:w="529" w:type="pct"/>
            <w:noWrap w:val="0"/>
            <w:vAlign w:val="center"/>
          </w:tcPr>
          <w:p w14:paraId="2125F5D3">
            <w:pPr>
              <w:spacing w:line="240" w:lineRule="auto"/>
              <w:ind w:firstLine="0" w:firstLineChars="0"/>
              <w:rPr>
                <w:rFonts w:ascii="Times New Roman" w:hAnsi="Times New Roman"/>
                <w:color w:val="auto"/>
                <w:sz w:val="21"/>
                <w:highlight w:val="none"/>
              </w:rPr>
            </w:pPr>
            <w:r>
              <w:rPr>
                <w:rFonts w:ascii="Times New Roman" w:hAnsi="Times New Roman"/>
                <w:color w:val="auto"/>
                <w:sz w:val="21"/>
                <w:highlight w:val="none"/>
              </w:rPr>
              <w:t>交有资质单位处置。</w:t>
            </w:r>
          </w:p>
        </w:tc>
      </w:tr>
      <w:tr w14:paraId="194A5A8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8" w:hRule="atLeast"/>
        </w:trPr>
        <w:tc>
          <w:tcPr>
            <w:tcW w:w="253" w:type="pct"/>
            <w:noWrap w:val="0"/>
            <w:vAlign w:val="center"/>
          </w:tcPr>
          <w:p w14:paraId="01E518BC">
            <w:pPr>
              <w:spacing w:line="240" w:lineRule="auto"/>
              <w:ind w:firstLine="0" w:firstLineChars="0"/>
              <w:jc w:val="center"/>
              <w:rPr>
                <w:rFonts w:hint="eastAsia" w:ascii="Times New Roman" w:hAnsi="Times New Roman" w:eastAsia="宋体"/>
                <w:color w:val="auto"/>
                <w:sz w:val="21"/>
                <w:highlight w:val="none"/>
                <w:lang w:val="en-US" w:eastAsia="zh-CN"/>
              </w:rPr>
            </w:pPr>
            <w:r>
              <w:rPr>
                <w:rFonts w:hint="eastAsia" w:ascii="Times New Roman" w:hAnsi="Times New Roman"/>
                <w:color w:val="auto"/>
                <w:sz w:val="21"/>
                <w:highlight w:val="none"/>
                <w:lang w:val="en-US" w:eastAsia="zh-CN"/>
              </w:rPr>
              <w:t>2</w:t>
            </w:r>
          </w:p>
        </w:tc>
        <w:tc>
          <w:tcPr>
            <w:tcW w:w="666" w:type="dxa"/>
            <w:noWrap w:val="0"/>
            <w:vAlign w:val="center"/>
          </w:tcPr>
          <w:p w14:paraId="3EA0FB93">
            <w:pPr>
              <w:spacing w:line="240" w:lineRule="auto"/>
              <w:ind w:firstLine="0" w:firstLineChars="0"/>
              <w:jc w:val="center"/>
              <w:rPr>
                <w:rFonts w:ascii="Times New Roman" w:hAnsi="Times New Roman"/>
                <w:color w:val="auto"/>
                <w:sz w:val="21"/>
                <w:highlight w:val="none"/>
              </w:rPr>
            </w:pPr>
            <w:r>
              <w:rPr>
                <w:rFonts w:hint="eastAsia" w:cs="Times New Roman"/>
                <w:color w:val="auto"/>
                <w:sz w:val="21"/>
                <w:highlight w:val="none"/>
                <w:lang w:val="en-US" w:eastAsia="zh-CN"/>
              </w:rPr>
              <w:t>废机油</w:t>
            </w:r>
          </w:p>
        </w:tc>
        <w:tc>
          <w:tcPr>
            <w:tcW w:w="777" w:type="dxa"/>
            <w:noWrap w:val="0"/>
            <w:vAlign w:val="center"/>
          </w:tcPr>
          <w:p w14:paraId="47528311">
            <w:pPr>
              <w:spacing w:line="240" w:lineRule="auto"/>
              <w:ind w:firstLine="0" w:firstLineChars="0"/>
              <w:jc w:val="center"/>
              <w:rPr>
                <w:rFonts w:ascii="Times New Roman" w:hAnsi="Times New Roman"/>
                <w:color w:val="auto"/>
                <w:sz w:val="21"/>
                <w:highlight w:val="none"/>
              </w:rPr>
            </w:pPr>
            <w:r>
              <w:rPr>
                <w:rFonts w:hint="eastAsia" w:ascii="Calibri" w:hAnsi="Calibri" w:cs="Times New Roman"/>
                <w:color w:val="auto"/>
                <w:sz w:val="21"/>
                <w:highlight w:val="none"/>
              </w:rPr>
              <w:t>H</w:t>
            </w:r>
            <w:r>
              <w:rPr>
                <w:rFonts w:ascii="Calibri" w:hAnsi="Calibri" w:cs="Times New Roman"/>
                <w:color w:val="auto"/>
                <w:sz w:val="21"/>
                <w:highlight w:val="none"/>
              </w:rPr>
              <w:t>W08</w:t>
            </w:r>
          </w:p>
        </w:tc>
        <w:tc>
          <w:tcPr>
            <w:tcW w:w="1074" w:type="dxa"/>
            <w:noWrap w:val="0"/>
            <w:vAlign w:val="center"/>
          </w:tcPr>
          <w:p w14:paraId="4FEA8E95">
            <w:pPr>
              <w:spacing w:line="240" w:lineRule="auto"/>
              <w:ind w:firstLine="0" w:firstLineChars="0"/>
              <w:jc w:val="center"/>
              <w:rPr>
                <w:rFonts w:ascii="Times New Roman" w:hAnsi="Times New Roman"/>
                <w:color w:val="auto"/>
                <w:sz w:val="21"/>
                <w:highlight w:val="none"/>
              </w:rPr>
            </w:pPr>
            <w:r>
              <w:rPr>
                <w:rFonts w:hint="eastAsia" w:ascii="Calibri" w:hAnsi="Calibri" w:cs="Times New Roman"/>
                <w:color w:val="auto"/>
                <w:sz w:val="21"/>
                <w:highlight w:val="none"/>
              </w:rPr>
              <w:t>9</w:t>
            </w:r>
            <w:r>
              <w:rPr>
                <w:rFonts w:ascii="Calibri" w:hAnsi="Calibri" w:cs="Times New Roman"/>
                <w:color w:val="auto"/>
                <w:sz w:val="21"/>
                <w:highlight w:val="none"/>
              </w:rPr>
              <w:t>00-214-08</w:t>
            </w:r>
          </w:p>
        </w:tc>
        <w:tc>
          <w:tcPr>
            <w:tcW w:w="415" w:type="pct"/>
            <w:noWrap w:val="0"/>
            <w:vAlign w:val="center"/>
          </w:tcPr>
          <w:p w14:paraId="7B1FC563">
            <w:pPr>
              <w:spacing w:line="240" w:lineRule="auto"/>
              <w:ind w:firstLine="0" w:firstLineChars="0"/>
              <w:jc w:val="center"/>
              <w:rPr>
                <w:rFonts w:hint="default" w:ascii="Times New Roman" w:hAnsi="Times New Roman" w:eastAsia="宋体"/>
                <w:color w:val="auto"/>
                <w:sz w:val="21"/>
                <w:highlight w:val="none"/>
                <w:lang w:val="en-US" w:eastAsia="zh-CN"/>
              </w:rPr>
            </w:pPr>
            <w:r>
              <w:rPr>
                <w:rFonts w:hint="eastAsia" w:ascii="Times New Roman" w:hAnsi="Times New Roman"/>
                <w:color w:val="auto"/>
                <w:sz w:val="21"/>
                <w:highlight w:val="none"/>
                <w:lang w:val="en-US" w:eastAsia="zh-CN"/>
              </w:rPr>
              <w:t>0.2</w:t>
            </w:r>
          </w:p>
        </w:tc>
        <w:tc>
          <w:tcPr>
            <w:tcW w:w="415" w:type="pct"/>
            <w:noWrap w:val="0"/>
            <w:vAlign w:val="center"/>
          </w:tcPr>
          <w:p w14:paraId="767D3662">
            <w:pPr>
              <w:spacing w:line="240" w:lineRule="auto"/>
              <w:ind w:firstLine="0" w:firstLineChars="0"/>
              <w:jc w:val="center"/>
              <w:rPr>
                <w:rFonts w:hint="eastAsia" w:ascii="Times New Roman" w:hAnsi="Times New Roman" w:eastAsia="宋体"/>
                <w:color w:val="auto"/>
                <w:sz w:val="21"/>
                <w:highlight w:val="none"/>
                <w:lang w:val="en-US" w:eastAsia="zh-CN"/>
              </w:rPr>
            </w:pPr>
            <w:r>
              <w:rPr>
                <w:rFonts w:hint="eastAsia" w:ascii="Times New Roman" w:hAnsi="Times New Roman"/>
                <w:color w:val="auto"/>
                <w:sz w:val="21"/>
                <w:highlight w:val="none"/>
                <w:lang w:val="en-US" w:eastAsia="zh-CN"/>
              </w:rPr>
              <w:t>锅炉</w:t>
            </w:r>
          </w:p>
        </w:tc>
        <w:tc>
          <w:tcPr>
            <w:tcW w:w="249" w:type="pct"/>
            <w:noWrap w:val="0"/>
            <w:vAlign w:val="center"/>
          </w:tcPr>
          <w:p w14:paraId="28A25744">
            <w:pPr>
              <w:spacing w:line="240" w:lineRule="auto"/>
              <w:ind w:firstLine="0" w:firstLineChars="0"/>
              <w:jc w:val="center"/>
              <w:rPr>
                <w:rFonts w:hint="eastAsia" w:ascii="Times New Roman" w:hAnsi="Times New Roman" w:eastAsia="宋体"/>
                <w:color w:val="auto"/>
                <w:sz w:val="21"/>
                <w:highlight w:val="none"/>
                <w:lang w:val="en-US" w:eastAsia="zh-CN"/>
              </w:rPr>
            </w:pPr>
            <w:r>
              <w:rPr>
                <w:rFonts w:hint="eastAsia" w:ascii="Times New Roman" w:hAnsi="Times New Roman"/>
                <w:color w:val="auto"/>
                <w:sz w:val="21"/>
                <w:highlight w:val="none"/>
                <w:lang w:val="en-US" w:eastAsia="zh-CN"/>
              </w:rPr>
              <w:t>液态</w:t>
            </w:r>
          </w:p>
        </w:tc>
        <w:tc>
          <w:tcPr>
            <w:tcW w:w="850" w:type="dxa"/>
            <w:noWrap w:val="0"/>
            <w:vAlign w:val="center"/>
          </w:tcPr>
          <w:p w14:paraId="3D52D7AB">
            <w:pPr>
              <w:spacing w:line="240" w:lineRule="auto"/>
              <w:ind w:firstLine="0" w:firstLineChars="0"/>
              <w:jc w:val="center"/>
              <w:rPr>
                <w:rFonts w:hint="eastAsia" w:ascii="Times New Roman" w:hAnsi="Times New Roman" w:eastAsia="宋体"/>
                <w:color w:val="auto"/>
                <w:sz w:val="21"/>
                <w:highlight w:val="none"/>
                <w:lang w:val="en-US" w:eastAsia="zh-CN"/>
              </w:rPr>
            </w:pPr>
            <w:r>
              <w:rPr>
                <w:rFonts w:hint="eastAsia" w:cs="Times New Roman"/>
                <w:color w:val="auto"/>
                <w:sz w:val="21"/>
                <w:highlight w:val="none"/>
              </w:rPr>
              <w:t>烃类</w:t>
            </w:r>
          </w:p>
        </w:tc>
        <w:tc>
          <w:tcPr>
            <w:tcW w:w="849" w:type="dxa"/>
            <w:noWrap w:val="0"/>
            <w:vAlign w:val="center"/>
          </w:tcPr>
          <w:p w14:paraId="7D8E91CE">
            <w:pPr>
              <w:spacing w:line="240" w:lineRule="auto"/>
              <w:ind w:firstLine="0" w:firstLineChars="0"/>
              <w:jc w:val="center"/>
              <w:rPr>
                <w:rFonts w:ascii="Times New Roman" w:hAnsi="Times New Roman"/>
                <w:color w:val="auto"/>
                <w:sz w:val="21"/>
                <w:highlight w:val="none"/>
              </w:rPr>
            </w:pPr>
            <w:r>
              <w:rPr>
                <w:rFonts w:hint="eastAsia" w:cs="Times New Roman"/>
                <w:color w:val="auto"/>
                <w:sz w:val="21"/>
                <w:highlight w:val="none"/>
              </w:rPr>
              <w:t>挥发性有机物</w:t>
            </w:r>
          </w:p>
        </w:tc>
        <w:tc>
          <w:tcPr>
            <w:tcW w:w="333" w:type="pct"/>
            <w:noWrap w:val="0"/>
            <w:vAlign w:val="center"/>
          </w:tcPr>
          <w:p w14:paraId="73526BD4">
            <w:pPr>
              <w:spacing w:line="240" w:lineRule="auto"/>
              <w:ind w:firstLine="0" w:firstLineChars="0"/>
              <w:jc w:val="center"/>
              <w:rPr>
                <w:rFonts w:ascii="Times New Roman" w:hAnsi="Times New Roman"/>
                <w:color w:val="auto"/>
                <w:sz w:val="21"/>
                <w:highlight w:val="none"/>
              </w:rPr>
            </w:pPr>
            <w:r>
              <w:rPr>
                <w:rFonts w:hint="eastAsia" w:ascii="Times New Roman" w:hAnsi="Times New Roman"/>
                <w:color w:val="auto"/>
                <w:sz w:val="21"/>
                <w:highlight w:val="none"/>
                <w:lang w:val="en-US" w:eastAsia="zh-CN"/>
              </w:rPr>
              <w:t>1</w:t>
            </w:r>
            <w:r>
              <w:rPr>
                <w:rFonts w:ascii="Times New Roman" w:hAnsi="Times New Roman"/>
                <w:color w:val="auto"/>
                <w:sz w:val="21"/>
                <w:highlight w:val="none"/>
              </w:rPr>
              <w:t>年</w:t>
            </w:r>
          </w:p>
        </w:tc>
        <w:tc>
          <w:tcPr>
            <w:tcW w:w="333" w:type="pct"/>
            <w:noWrap w:val="0"/>
            <w:vAlign w:val="center"/>
          </w:tcPr>
          <w:p w14:paraId="26227017">
            <w:pPr>
              <w:spacing w:line="240" w:lineRule="auto"/>
              <w:ind w:firstLine="0" w:firstLineChars="0"/>
              <w:jc w:val="center"/>
              <w:rPr>
                <w:rFonts w:ascii="Times New Roman" w:hAnsi="Times New Roman"/>
                <w:color w:val="auto"/>
                <w:sz w:val="21"/>
                <w:highlight w:val="none"/>
              </w:rPr>
            </w:pPr>
            <w:r>
              <w:rPr>
                <w:rFonts w:hint="eastAsia" w:ascii="Times New Roman" w:hAnsi="Times New Roman"/>
                <w:color w:val="auto"/>
                <w:sz w:val="21"/>
                <w:highlight w:val="none"/>
              </w:rPr>
              <w:t>T；I</w:t>
            </w:r>
          </w:p>
        </w:tc>
        <w:tc>
          <w:tcPr>
            <w:tcW w:w="529" w:type="pct"/>
            <w:noWrap w:val="0"/>
            <w:vAlign w:val="center"/>
          </w:tcPr>
          <w:p w14:paraId="397E6925">
            <w:pPr>
              <w:spacing w:line="240" w:lineRule="auto"/>
              <w:ind w:firstLine="0" w:firstLineChars="0"/>
              <w:rPr>
                <w:rFonts w:ascii="Times New Roman" w:hAnsi="Times New Roman"/>
                <w:color w:val="auto"/>
                <w:sz w:val="21"/>
                <w:highlight w:val="none"/>
              </w:rPr>
            </w:pPr>
            <w:r>
              <w:rPr>
                <w:rFonts w:ascii="Times New Roman" w:hAnsi="Times New Roman"/>
                <w:color w:val="auto"/>
                <w:sz w:val="21"/>
                <w:highlight w:val="none"/>
              </w:rPr>
              <w:t>交有资质单位处置。</w:t>
            </w:r>
          </w:p>
        </w:tc>
      </w:tr>
    </w:tbl>
    <w:p w14:paraId="61C255C1">
      <w:pPr>
        <w:ind w:firstLine="480"/>
        <w:rPr>
          <w:rFonts w:ascii="Times New Roman" w:hAnsi="Times New Roman"/>
          <w:highlight w:val="none"/>
        </w:rPr>
      </w:pPr>
      <w:r>
        <w:rPr>
          <w:rFonts w:ascii="Times New Roman" w:hAnsi="Times New Roman"/>
          <w:highlight w:val="none"/>
        </w:rPr>
        <w:t>综上所述，本项目运行期间产生的固体废物处置率100%，处理措施得当，在认真落实固体废物处置措施的基础上，不会对环境造成影响。</w:t>
      </w:r>
    </w:p>
    <w:p w14:paraId="139C8800">
      <w:pPr>
        <w:pStyle w:val="4"/>
        <w:bidi w:val="0"/>
        <w:ind w:left="0" w:leftChars="0" w:firstLine="0" w:firstLineChars="0"/>
        <w:rPr>
          <w:rFonts w:hint="default"/>
          <w:highlight w:val="none"/>
          <w:lang w:val="en-US" w:eastAsia="zh-CN"/>
        </w:rPr>
      </w:pPr>
      <w:bookmarkStart w:id="141" w:name="_Toc18385"/>
      <w:r>
        <w:rPr>
          <w:rFonts w:hint="eastAsia"/>
          <w:highlight w:val="none"/>
          <w:lang w:val="en-US" w:eastAsia="zh-CN"/>
        </w:rPr>
        <w:t>5.6土壤环境影响分析</w:t>
      </w:r>
      <w:bookmarkEnd w:id="141"/>
    </w:p>
    <w:p w14:paraId="1EB018C8">
      <w:pPr>
        <w:ind w:firstLine="480"/>
        <w:rPr>
          <w:rFonts w:ascii="Times New Roman" w:hAnsi="Times New Roman"/>
          <w:highlight w:val="none"/>
        </w:rPr>
      </w:pPr>
      <w:r>
        <w:rPr>
          <w:rFonts w:ascii="Times New Roman" w:hAnsi="Times New Roman"/>
          <w:highlight w:val="none"/>
        </w:rPr>
        <w:t>（1）预测与评价因子确定</w:t>
      </w:r>
    </w:p>
    <w:p w14:paraId="4000F80B">
      <w:pPr>
        <w:ind w:firstLine="480"/>
        <w:rPr>
          <w:rFonts w:ascii="Times New Roman" w:hAnsi="Times New Roman"/>
          <w:highlight w:val="none"/>
        </w:rPr>
      </w:pPr>
      <w:r>
        <w:rPr>
          <w:rFonts w:ascii="Times New Roman" w:hAnsi="Times New Roman"/>
          <w:highlight w:val="none"/>
        </w:rPr>
        <w:t>本项目锅炉排放的烟气中含有重金属污染物Hg，选择Hg作为土壤预测因子。</w:t>
      </w:r>
    </w:p>
    <w:p w14:paraId="36557588">
      <w:pPr>
        <w:ind w:firstLine="480"/>
        <w:rPr>
          <w:rFonts w:ascii="Times New Roman" w:hAnsi="Times New Roman"/>
          <w:highlight w:val="none"/>
        </w:rPr>
      </w:pPr>
      <w:r>
        <w:rPr>
          <w:rFonts w:ascii="Times New Roman" w:hAnsi="Times New Roman"/>
          <w:highlight w:val="none"/>
        </w:rPr>
        <w:t>（2）评价方法</w:t>
      </w:r>
    </w:p>
    <w:p w14:paraId="113BEE8D">
      <w:pPr>
        <w:ind w:firstLine="480"/>
        <w:rPr>
          <w:rFonts w:ascii="Times New Roman" w:hAnsi="Times New Roman"/>
          <w:highlight w:val="none"/>
        </w:rPr>
      </w:pPr>
      <w:r>
        <w:rPr>
          <w:rFonts w:ascii="Times New Roman" w:hAnsi="Times New Roman"/>
          <w:highlight w:val="none"/>
        </w:rPr>
        <w:t>本项目采用《环境影响评价技术导则  土壤环境（试行）》（HJ964-2018）附录E中的方法。预测方法如下：</w:t>
      </w:r>
    </w:p>
    <w:p w14:paraId="199B80C6">
      <w:pPr>
        <w:ind w:firstLine="480"/>
        <w:rPr>
          <w:rFonts w:ascii="Times New Roman" w:hAnsi="Times New Roman"/>
          <w:highlight w:val="none"/>
        </w:rPr>
      </w:pPr>
      <w:r>
        <w:rPr>
          <w:rFonts w:ascii="Times New Roman" w:hAnsi="Times New Roman"/>
          <w:highlight w:val="none"/>
        </w:rPr>
        <w:t>a）单位质量土壤中某种物质的增量可用下式计算：</w:t>
      </w:r>
    </w:p>
    <w:p w14:paraId="70258134">
      <w:pPr>
        <w:ind w:firstLine="0" w:firstLineChars="0"/>
        <w:jc w:val="center"/>
        <w:rPr>
          <w:rFonts w:ascii="Times New Roman" w:hAnsi="Times New Roman"/>
          <w:highlight w:val="none"/>
        </w:rPr>
      </w:pPr>
      <w:r>
        <w:rPr>
          <w:rFonts w:ascii="Times New Roman" w:hAnsi="Times New Roman"/>
          <w:sz w:val="32"/>
          <w:highlight w:val="none"/>
        </w:rPr>
        <w:object>
          <v:shape id="_x0000_i1029" o:spt="75" type="#_x0000_t75" style="height:28.2pt;width:271.75pt;" o:ole="t" filled="f" o:preferrelative="t" stroked="f" coordsize="21600,21600">
            <v:path/>
            <v:fill on="f" focussize="0,0"/>
            <v:stroke on="f"/>
            <v:imagedata r:id="rId53" o:title=""/>
            <o:lock v:ext="edit" aspectratio="t"/>
            <w10:wrap type="none"/>
            <w10:anchorlock/>
          </v:shape>
          <o:OLEObject Type="Embed" ProgID="Equation.3" ShapeID="_x0000_i1029" DrawAspect="Content" ObjectID="_1468075729" r:id="rId52">
            <o:LockedField>false</o:LockedField>
          </o:OLEObject>
        </w:object>
      </w:r>
    </w:p>
    <w:p w14:paraId="2B4506CD">
      <w:pPr>
        <w:ind w:firstLine="480"/>
        <w:rPr>
          <w:rFonts w:ascii="Times New Roman" w:hAnsi="Times New Roman"/>
          <w:highlight w:val="none"/>
        </w:rPr>
      </w:pPr>
      <w:r>
        <w:rPr>
          <w:rFonts w:ascii="Times New Roman" w:hAnsi="Times New Roman"/>
          <w:highlight w:val="none"/>
        </w:rPr>
        <w:t>式中：</w:t>
      </w:r>
      <w:r>
        <w:rPr>
          <w:rFonts w:ascii="Cambria Math" w:hAnsi="Cambria Math" w:cs="Cambria Math"/>
          <w:highlight w:val="none"/>
        </w:rPr>
        <w:t>△</w:t>
      </w:r>
      <w:r>
        <w:rPr>
          <w:rFonts w:ascii="Times New Roman" w:hAnsi="Times New Roman"/>
          <w:highlight w:val="none"/>
        </w:rPr>
        <w:t>S--单位质量表层土壤中某种物质的增量，g/kg；</w:t>
      </w:r>
    </w:p>
    <w:p w14:paraId="22D98352">
      <w:pPr>
        <w:ind w:firstLine="480"/>
        <w:rPr>
          <w:rFonts w:ascii="Times New Roman" w:hAnsi="Times New Roman"/>
          <w:highlight w:val="none"/>
        </w:rPr>
      </w:pPr>
      <w:r>
        <w:rPr>
          <w:rFonts w:ascii="Times New Roman" w:hAnsi="Times New Roman"/>
          <w:highlight w:val="none"/>
        </w:rPr>
        <w:t>IS--预测评价范围内单位年份表层土壤中某种物质的输入量，g；</w:t>
      </w:r>
    </w:p>
    <w:p w14:paraId="3ACC5DC8">
      <w:pPr>
        <w:ind w:firstLine="480"/>
        <w:rPr>
          <w:rFonts w:ascii="Times New Roman" w:hAnsi="Times New Roman"/>
          <w:highlight w:val="none"/>
        </w:rPr>
      </w:pPr>
      <w:r>
        <w:rPr>
          <w:rFonts w:ascii="Times New Roman" w:hAnsi="Times New Roman"/>
          <w:highlight w:val="none"/>
        </w:rPr>
        <w:t>LS--预测评价范围内单位年份表层土壤中某种物质经淋溶排出的量，g；</w:t>
      </w:r>
    </w:p>
    <w:p w14:paraId="73CC1331">
      <w:pPr>
        <w:ind w:firstLine="480"/>
        <w:rPr>
          <w:rFonts w:ascii="Times New Roman" w:hAnsi="Times New Roman"/>
          <w:highlight w:val="none"/>
        </w:rPr>
      </w:pPr>
      <w:r>
        <w:rPr>
          <w:rFonts w:ascii="Times New Roman" w:hAnsi="Times New Roman"/>
          <w:highlight w:val="none"/>
        </w:rPr>
        <w:t>Rs--预测评价范围内单位年份表层土壤中某种物质经径流排出的量，g；</w:t>
      </w:r>
    </w:p>
    <w:p w14:paraId="363B2E20">
      <w:pPr>
        <w:ind w:firstLine="480"/>
        <w:rPr>
          <w:rFonts w:ascii="Times New Roman" w:hAnsi="Times New Roman"/>
          <w:highlight w:val="none"/>
        </w:rPr>
      </w:pPr>
      <w:r>
        <w:rPr>
          <w:rFonts w:ascii="Times New Roman" w:hAnsi="Times New Roman"/>
          <w:highlight w:val="none"/>
        </w:rPr>
        <w:t>ρb--表层土壤容重，kg/m</w:t>
      </w:r>
      <w:r>
        <w:rPr>
          <w:rFonts w:ascii="Times New Roman" w:hAnsi="Times New Roman"/>
          <w:highlight w:val="none"/>
          <w:vertAlign w:val="superscript"/>
        </w:rPr>
        <w:t>3</w:t>
      </w:r>
      <w:r>
        <w:rPr>
          <w:rFonts w:ascii="Times New Roman" w:hAnsi="Times New Roman"/>
          <w:highlight w:val="none"/>
        </w:rPr>
        <w:t>，取1330kg/m</w:t>
      </w:r>
      <w:r>
        <w:rPr>
          <w:rFonts w:ascii="Times New Roman" w:hAnsi="Times New Roman"/>
          <w:highlight w:val="none"/>
          <w:vertAlign w:val="superscript"/>
        </w:rPr>
        <w:t>3</w:t>
      </w:r>
    </w:p>
    <w:p w14:paraId="1D7E7A69">
      <w:pPr>
        <w:ind w:firstLine="480"/>
        <w:rPr>
          <w:rFonts w:ascii="Times New Roman" w:hAnsi="Times New Roman"/>
          <w:highlight w:val="none"/>
        </w:rPr>
      </w:pPr>
      <w:r>
        <w:rPr>
          <w:rFonts w:ascii="Times New Roman" w:hAnsi="Times New Roman"/>
          <w:highlight w:val="none"/>
        </w:rPr>
        <w:t>A--预测评价范围，m</w:t>
      </w:r>
      <w:r>
        <w:rPr>
          <w:rFonts w:ascii="Times New Roman" w:hAnsi="Times New Roman"/>
          <w:highlight w:val="none"/>
          <w:vertAlign w:val="superscript"/>
        </w:rPr>
        <w:t>2</w:t>
      </w:r>
      <w:r>
        <w:rPr>
          <w:rFonts w:ascii="Times New Roman" w:hAnsi="Times New Roman"/>
          <w:highlight w:val="none"/>
        </w:rPr>
        <w:t>；取单位面积1m</w:t>
      </w:r>
      <w:r>
        <w:rPr>
          <w:rFonts w:ascii="Times New Roman" w:hAnsi="Times New Roman"/>
          <w:highlight w:val="none"/>
          <w:vertAlign w:val="superscript"/>
        </w:rPr>
        <w:t>2</w:t>
      </w:r>
      <w:r>
        <w:rPr>
          <w:rFonts w:ascii="Times New Roman" w:hAnsi="Times New Roman"/>
          <w:highlight w:val="none"/>
        </w:rPr>
        <w:t>；</w:t>
      </w:r>
    </w:p>
    <w:p w14:paraId="54349B38">
      <w:pPr>
        <w:ind w:firstLine="480"/>
        <w:rPr>
          <w:rFonts w:ascii="Times New Roman" w:hAnsi="Times New Roman"/>
          <w:highlight w:val="none"/>
        </w:rPr>
      </w:pPr>
      <w:r>
        <w:rPr>
          <w:rFonts w:ascii="Times New Roman" w:hAnsi="Times New Roman"/>
          <w:highlight w:val="none"/>
        </w:rPr>
        <w:t>D--表层土壤深度，一般取0.2m；</w:t>
      </w:r>
    </w:p>
    <w:p w14:paraId="0009F588">
      <w:pPr>
        <w:ind w:firstLine="480"/>
        <w:rPr>
          <w:rFonts w:ascii="Times New Roman" w:hAnsi="Times New Roman"/>
          <w:highlight w:val="none"/>
        </w:rPr>
      </w:pPr>
      <w:r>
        <w:rPr>
          <w:rFonts w:ascii="Times New Roman" w:hAnsi="Times New Roman"/>
          <w:highlight w:val="none"/>
        </w:rPr>
        <w:t>n--持续年份，a，分别计算5a，10a和20a；</w:t>
      </w:r>
    </w:p>
    <w:p w14:paraId="44E75DE7">
      <w:pPr>
        <w:ind w:firstLine="480"/>
        <w:rPr>
          <w:rFonts w:ascii="Times New Roman" w:hAnsi="Times New Roman"/>
          <w:highlight w:val="none"/>
        </w:rPr>
      </w:pPr>
      <w:r>
        <w:rPr>
          <w:rFonts w:ascii="Times New Roman" w:hAnsi="Times New Roman"/>
          <w:highlight w:val="none"/>
        </w:rPr>
        <w:t>b）单位质量土壤中某种物质的预测值可根据其增量叠加现状值进行计算，如式：</w:t>
      </w:r>
    </w:p>
    <w:p w14:paraId="5ABDA210">
      <w:pPr>
        <w:ind w:firstLine="0" w:firstLineChars="0"/>
        <w:jc w:val="center"/>
        <w:rPr>
          <w:rFonts w:ascii="Times New Roman" w:hAnsi="Times New Roman"/>
          <w:sz w:val="32"/>
          <w:highlight w:val="none"/>
        </w:rPr>
      </w:pPr>
      <w:r>
        <w:rPr>
          <w:rFonts w:ascii="Times New Roman" w:hAnsi="Times New Roman"/>
          <w:sz w:val="32"/>
          <w:highlight w:val="none"/>
        </w:rPr>
        <w:t>S=Sb+</w:t>
      </w:r>
      <w:r>
        <w:rPr>
          <w:rFonts w:ascii="Cambria Math" w:hAnsi="Cambria Math" w:cs="Cambria Math"/>
          <w:sz w:val="32"/>
          <w:highlight w:val="none"/>
        </w:rPr>
        <w:t>△</w:t>
      </w:r>
      <w:r>
        <w:rPr>
          <w:rFonts w:ascii="Times New Roman" w:hAnsi="Times New Roman"/>
          <w:sz w:val="32"/>
          <w:highlight w:val="none"/>
        </w:rPr>
        <w:t>S</w:t>
      </w:r>
    </w:p>
    <w:p w14:paraId="27D15D20">
      <w:pPr>
        <w:ind w:firstLine="480"/>
        <w:rPr>
          <w:rFonts w:ascii="Times New Roman" w:hAnsi="Times New Roman"/>
          <w:highlight w:val="none"/>
        </w:rPr>
      </w:pPr>
      <w:r>
        <w:rPr>
          <w:rFonts w:ascii="Times New Roman" w:hAnsi="Times New Roman"/>
          <w:highlight w:val="none"/>
        </w:rPr>
        <w:t>式中：Sb--单位质量土壤中某种物质的现状值，g/kg；</w:t>
      </w:r>
    </w:p>
    <w:p w14:paraId="4BFAADEA">
      <w:pPr>
        <w:ind w:firstLine="480"/>
        <w:rPr>
          <w:rFonts w:ascii="Times New Roman" w:hAnsi="Times New Roman"/>
          <w:highlight w:val="none"/>
        </w:rPr>
      </w:pPr>
      <w:r>
        <w:rPr>
          <w:rFonts w:ascii="Times New Roman" w:hAnsi="Times New Roman"/>
          <w:highlight w:val="none"/>
        </w:rPr>
        <w:t>S--单位质量土壤中某种物质的预测值，g/kg；</w:t>
      </w:r>
    </w:p>
    <w:p w14:paraId="1EE69722">
      <w:pPr>
        <w:pStyle w:val="7"/>
        <w:rPr>
          <w:highlight w:val="none"/>
        </w:rPr>
      </w:pPr>
    </w:p>
    <w:p w14:paraId="52D194BF">
      <w:pPr>
        <w:ind w:firstLine="480"/>
        <w:rPr>
          <w:rFonts w:ascii="Times New Roman" w:hAnsi="Times New Roman"/>
          <w:highlight w:val="none"/>
        </w:rPr>
      </w:pPr>
      <w:r>
        <w:rPr>
          <w:rFonts w:ascii="Times New Roman" w:hAnsi="Times New Roman"/>
          <w:highlight w:val="none"/>
        </w:rPr>
        <w:t>区域年均干沉积最大值见表5.</w:t>
      </w:r>
      <w:r>
        <w:rPr>
          <w:rFonts w:hint="eastAsia" w:ascii="Times New Roman" w:hAnsi="Times New Roman"/>
          <w:highlight w:val="none"/>
          <w:lang w:val="en-US" w:eastAsia="zh-CN"/>
        </w:rPr>
        <w:t>6</w:t>
      </w:r>
      <w:r>
        <w:rPr>
          <w:rFonts w:ascii="Times New Roman" w:hAnsi="Times New Roman"/>
          <w:highlight w:val="none"/>
        </w:rPr>
        <w:t>-1，干沉降对土壤累积影响值见表5.</w:t>
      </w:r>
      <w:r>
        <w:rPr>
          <w:rFonts w:hint="eastAsia" w:ascii="Times New Roman" w:hAnsi="Times New Roman"/>
          <w:highlight w:val="none"/>
          <w:lang w:val="en-US" w:eastAsia="zh-CN"/>
        </w:rPr>
        <w:t>6</w:t>
      </w:r>
      <w:r>
        <w:rPr>
          <w:rFonts w:ascii="Times New Roman" w:hAnsi="Times New Roman"/>
          <w:highlight w:val="none"/>
        </w:rPr>
        <w:t>-2，干沉降对土壤累积影响叠加值见表5.</w:t>
      </w:r>
      <w:r>
        <w:rPr>
          <w:rFonts w:hint="eastAsia" w:ascii="Times New Roman" w:hAnsi="Times New Roman"/>
          <w:highlight w:val="none"/>
          <w:lang w:val="en-US" w:eastAsia="zh-CN"/>
        </w:rPr>
        <w:t>6</w:t>
      </w:r>
      <w:r>
        <w:rPr>
          <w:rFonts w:ascii="Times New Roman" w:hAnsi="Times New Roman"/>
          <w:highlight w:val="none"/>
        </w:rPr>
        <w:t>-3。</w:t>
      </w:r>
    </w:p>
    <w:p w14:paraId="79A9C681">
      <w:pPr>
        <w:pStyle w:val="15"/>
        <w:ind w:left="0" w:leftChars="0" w:firstLine="0" w:firstLineChars="0"/>
        <w:jc w:val="center"/>
        <w:rPr>
          <w:rFonts w:ascii="Times New Roman" w:hAnsi="Times New Roman"/>
          <w:b/>
          <w:bCs/>
          <w:highlight w:val="none"/>
        </w:rPr>
      </w:pPr>
      <w:r>
        <w:rPr>
          <w:rFonts w:ascii="Times New Roman" w:hAnsi="Times New Roman"/>
          <w:b/>
          <w:bCs/>
          <w:highlight w:val="none"/>
        </w:rPr>
        <w:t>表5.</w:t>
      </w:r>
      <w:r>
        <w:rPr>
          <w:rFonts w:hint="eastAsia" w:ascii="Times New Roman" w:hAnsi="Times New Roman"/>
          <w:b/>
          <w:bCs/>
          <w:highlight w:val="none"/>
          <w:lang w:val="en-US" w:eastAsia="zh-CN"/>
        </w:rPr>
        <w:t>6</w:t>
      </w:r>
      <w:r>
        <w:rPr>
          <w:rFonts w:ascii="Times New Roman" w:hAnsi="Times New Roman"/>
          <w:b/>
          <w:bCs/>
          <w:highlight w:val="none"/>
        </w:rPr>
        <w:t>-1  区域年均干沉积最大值</w:t>
      </w:r>
    </w:p>
    <w:tbl>
      <w:tblPr>
        <w:tblStyle w:val="17"/>
        <w:tblW w:w="500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8"/>
        <w:gridCol w:w="3787"/>
        <w:gridCol w:w="3787"/>
      </w:tblGrid>
      <w:tr w14:paraId="6F14DC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61" w:type="pct"/>
            <w:noWrap w:val="0"/>
            <w:vAlign w:val="center"/>
          </w:tcPr>
          <w:p w14:paraId="2B9151F9">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序号</w:t>
            </w:r>
          </w:p>
        </w:tc>
        <w:tc>
          <w:tcPr>
            <w:tcW w:w="2219" w:type="pct"/>
            <w:noWrap w:val="0"/>
            <w:vAlign w:val="center"/>
          </w:tcPr>
          <w:p w14:paraId="0E2D1CA9">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预测因子</w:t>
            </w:r>
          </w:p>
        </w:tc>
        <w:tc>
          <w:tcPr>
            <w:tcW w:w="2219" w:type="pct"/>
            <w:noWrap w:val="0"/>
            <w:vAlign w:val="center"/>
          </w:tcPr>
          <w:p w14:paraId="63BBE7DC">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最大值（g/m</w:t>
            </w:r>
            <w:r>
              <w:rPr>
                <w:rFonts w:ascii="Times New Roman" w:hAnsi="Times New Roman"/>
                <w:sz w:val="21"/>
                <w:highlight w:val="none"/>
                <w:vertAlign w:val="superscript"/>
              </w:rPr>
              <w:t>2</w:t>
            </w:r>
            <w:r>
              <w:rPr>
                <w:rFonts w:ascii="Times New Roman" w:hAnsi="Times New Roman"/>
                <w:sz w:val="21"/>
                <w:highlight w:val="none"/>
              </w:rPr>
              <w:t>）</w:t>
            </w:r>
          </w:p>
        </w:tc>
      </w:tr>
      <w:tr w14:paraId="525DDA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61" w:type="pct"/>
            <w:noWrap w:val="0"/>
            <w:vAlign w:val="center"/>
          </w:tcPr>
          <w:p w14:paraId="51E18DF7">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1</w:t>
            </w:r>
          </w:p>
        </w:tc>
        <w:tc>
          <w:tcPr>
            <w:tcW w:w="2219" w:type="pct"/>
            <w:noWrap w:val="0"/>
            <w:vAlign w:val="center"/>
          </w:tcPr>
          <w:p w14:paraId="6DD2037E">
            <w:pPr>
              <w:pStyle w:val="43"/>
              <w:autoSpaceDE w:val="0"/>
              <w:autoSpaceDN w:val="0"/>
              <w:snapToGrid w:val="0"/>
              <w:spacing w:line="240" w:lineRule="auto"/>
              <w:jc w:val="center"/>
              <w:textAlignment w:val="bottom"/>
              <w:rPr>
                <w:rFonts w:ascii="Times New Roman"/>
                <w:kern w:val="2"/>
                <w:sz w:val="21"/>
                <w:szCs w:val="22"/>
                <w:highlight w:val="none"/>
              </w:rPr>
            </w:pPr>
            <w:r>
              <w:rPr>
                <w:rFonts w:ascii="Times New Roman"/>
                <w:kern w:val="2"/>
                <w:sz w:val="21"/>
                <w:szCs w:val="22"/>
                <w:highlight w:val="none"/>
              </w:rPr>
              <w:t>Hg</w:t>
            </w:r>
          </w:p>
        </w:tc>
        <w:tc>
          <w:tcPr>
            <w:tcW w:w="2219" w:type="pct"/>
            <w:noWrap w:val="0"/>
            <w:vAlign w:val="center"/>
          </w:tcPr>
          <w:p w14:paraId="7532D7A8">
            <w:pPr>
              <w:snapToGrid w:val="0"/>
              <w:spacing w:line="240" w:lineRule="auto"/>
              <w:ind w:firstLine="0" w:firstLineChars="0"/>
              <w:jc w:val="center"/>
              <w:rPr>
                <w:rFonts w:hint="eastAsia" w:ascii="Times New Roman" w:hAnsi="Times New Roman" w:eastAsia="宋体"/>
                <w:sz w:val="21"/>
                <w:highlight w:val="none"/>
                <w:lang w:val="en-US" w:eastAsia="zh-CN"/>
              </w:rPr>
            </w:pPr>
            <w:r>
              <w:rPr>
                <w:rFonts w:hint="eastAsia" w:ascii="Times New Roman" w:hAnsi="Times New Roman"/>
                <w:sz w:val="21"/>
                <w:highlight w:val="none"/>
                <w:lang w:val="en-US" w:eastAsia="zh-CN"/>
              </w:rPr>
              <w:t>6.75</w:t>
            </w:r>
            <w:r>
              <w:rPr>
                <w:rFonts w:ascii="Times New Roman" w:hAnsi="Times New Roman"/>
                <w:sz w:val="21"/>
                <w:highlight w:val="none"/>
              </w:rPr>
              <w:t>×10</w:t>
            </w:r>
            <w:r>
              <w:rPr>
                <w:rFonts w:ascii="Times New Roman" w:hAnsi="Times New Roman"/>
                <w:sz w:val="21"/>
                <w:highlight w:val="none"/>
                <w:vertAlign w:val="superscript"/>
              </w:rPr>
              <w:t>-</w:t>
            </w:r>
            <w:r>
              <w:rPr>
                <w:rFonts w:hint="eastAsia" w:ascii="Times New Roman" w:hAnsi="Times New Roman"/>
                <w:sz w:val="21"/>
                <w:highlight w:val="none"/>
                <w:vertAlign w:val="superscript"/>
                <w:lang w:val="en-US" w:eastAsia="zh-CN"/>
              </w:rPr>
              <w:t>6</w:t>
            </w:r>
          </w:p>
        </w:tc>
      </w:tr>
    </w:tbl>
    <w:p w14:paraId="298E404C">
      <w:pPr>
        <w:pStyle w:val="15"/>
        <w:ind w:left="0" w:leftChars="0" w:firstLine="0" w:firstLineChars="0"/>
        <w:jc w:val="center"/>
        <w:rPr>
          <w:rFonts w:ascii="Times New Roman" w:hAnsi="Times New Roman"/>
          <w:b/>
          <w:bCs/>
          <w:highlight w:val="none"/>
        </w:rPr>
      </w:pPr>
      <w:r>
        <w:rPr>
          <w:rFonts w:ascii="Times New Roman" w:hAnsi="Times New Roman"/>
          <w:b/>
          <w:bCs/>
          <w:highlight w:val="none"/>
        </w:rPr>
        <w:t>表5.</w:t>
      </w:r>
      <w:r>
        <w:rPr>
          <w:rFonts w:hint="eastAsia" w:ascii="Times New Roman" w:hAnsi="Times New Roman"/>
          <w:b/>
          <w:bCs/>
          <w:highlight w:val="none"/>
          <w:lang w:val="en-US" w:eastAsia="zh-CN"/>
        </w:rPr>
        <w:t>6</w:t>
      </w:r>
      <w:r>
        <w:rPr>
          <w:rFonts w:ascii="Times New Roman" w:hAnsi="Times New Roman"/>
          <w:b/>
          <w:bCs/>
          <w:highlight w:val="none"/>
        </w:rPr>
        <w:t>-2  干沉降对土壤累积影响值</w:t>
      </w:r>
    </w:p>
    <w:tbl>
      <w:tblPr>
        <w:tblStyle w:val="17"/>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1474"/>
        <w:gridCol w:w="1474"/>
        <w:gridCol w:w="1685"/>
        <w:gridCol w:w="1686"/>
        <w:gridCol w:w="1766"/>
      </w:tblGrid>
      <w:tr w14:paraId="5AAD2D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251" w:type="pct"/>
            <w:vMerge w:val="restart"/>
            <w:noWrap w:val="0"/>
            <w:vAlign w:val="center"/>
          </w:tcPr>
          <w:p w14:paraId="4BDFC70E">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序号</w:t>
            </w:r>
          </w:p>
        </w:tc>
        <w:tc>
          <w:tcPr>
            <w:tcW w:w="866" w:type="pct"/>
            <w:vMerge w:val="restart"/>
            <w:noWrap w:val="0"/>
            <w:vAlign w:val="center"/>
          </w:tcPr>
          <w:p w14:paraId="25F132F5">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因子</w:t>
            </w:r>
          </w:p>
        </w:tc>
        <w:tc>
          <w:tcPr>
            <w:tcW w:w="866" w:type="pct"/>
            <w:vMerge w:val="restart"/>
            <w:noWrap w:val="0"/>
            <w:vAlign w:val="center"/>
          </w:tcPr>
          <w:p w14:paraId="325F5675">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年输入量</w:t>
            </w:r>
          </w:p>
          <w:p w14:paraId="4ADE268A">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（mg/kg）</w:t>
            </w:r>
          </w:p>
        </w:tc>
        <w:tc>
          <w:tcPr>
            <w:tcW w:w="3016" w:type="pct"/>
            <w:gridSpan w:val="3"/>
            <w:noWrap w:val="0"/>
            <w:vAlign w:val="center"/>
          </w:tcPr>
          <w:p w14:paraId="58A8275C">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累积影响值（mg/kg）</w:t>
            </w:r>
          </w:p>
        </w:tc>
      </w:tr>
      <w:tr w14:paraId="7FFCDB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8" w:hRule="atLeast"/>
        </w:trPr>
        <w:tc>
          <w:tcPr>
            <w:tcW w:w="251" w:type="pct"/>
            <w:vMerge w:val="continue"/>
            <w:noWrap w:val="0"/>
            <w:vAlign w:val="center"/>
          </w:tcPr>
          <w:p w14:paraId="6399CE41">
            <w:pPr>
              <w:spacing w:line="240" w:lineRule="auto"/>
              <w:ind w:firstLine="0" w:firstLineChars="0"/>
              <w:jc w:val="center"/>
              <w:rPr>
                <w:rFonts w:ascii="Times New Roman" w:hAnsi="Times New Roman"/>
                <w:sz w:val="21"/>
                <w:highlight w:val="none"/>
              </w:rPr>
            </w:pPr>
          </w:p>
        </w:tc>
        <w:tc>
          <w:tcPr>
            <w:tcW w:w="866" w:type="pct"/>
            <w:vMerge w:val="continue"/>
            <w:noWrap w:val="0"/>
            <w:vAlign w:val="center"/>
          </w:tcPr>
          <w:p w14:paraId="319476AF">
            <w:pPr>
              <w:spacing w:line="240" w:lineRule="auto"/>
              <w:ind w:firstLine="0" w:firstLineChars="0"/>
              <w:jc w:val="center"/>
              <w:rPr>
                <w:rFonts w:ascii="Times New Roman" w:hAnsi="Times New Roman"/>
                <w:sz w:val="21"/>
                <w:highlight w:val="none"/>
              </w:rPr>
            </w:pPr>
          </w:p>
        </w:tc>
        <w:tc>
          <w:tcPr>
            <w:tcW w:w="866" w:type="pct"/>
            <w:vMerge w:val="continue"/>
            <w:noWrap w:val="0"/>
            <w:vAlign w:val="center"/>
          </w:tcPr>
          <w:p w14:paraId="10B6CA57">
            <w:pPr>
              <w:spacing w:line="240" w:lineRule="auto"/>
              <w:ind w:firstLine="0" w:firstLineChars="0"/>
              <w:jc w:val="center"/>
              <w:rPr>
                <w:rFonts w:ascii="Times New Roman" w:hAnsi="Times New Roman"/>
                <w:sz w:val="21"/>
                <w:highlight w:val="none"/>
              </w:rPr>
            </w:pPr>
          </w:p>
        </w:tc>
        <w:tc>
          <w:tcPr>
            <w:tcW w:w="990" w:type="pct"/>
            <w:noWrap w:val="0"/>
            <w:vAlign w:val="center"/>
          </w:tcPr>
          <w:p w14:paraId="6BFAB4C5">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5年</w:t>
            </w:r>
          </w:p>
        </w:tc>
        <w:tc>
          <w:tcPr>
            <w:tcW w:w="990" w:type="pct"/>
            <w:noWrap w:val="0"/>
            <w:vAlign w:val="center"/>
          </w:tcPr>
          <w:p w14:paraId="39033CB6">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10年</w:t>
            </w:r>
          </w:p>
        </w:tc>
        <w:tc>
          <w:tcPr>
            <w:tcW w:w="1037" w:type="pct"/>
            <w:noWrap w:val="0"/>
            <w:vAlign w:val="center"/>
          </w:tcPr>
          <w:p w14:paraId="1DD67366">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20年</w:t>
            </w:r>
          </w:p>
        </w:tc>
      </w:tr>
      <w:tr w14:paraId="0FFC0D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251" w:type="pct"/>
            <w:noWrap w:val="0"/>
            <w:vAlign w:val="center"/>
          </w:tcPr>
          <w:p w14:paraId="30D7871E">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1</w:t>
            </w:r>
          </w:p>
        </w:tc>
        <w:tc>
          <w:tcPr>
            <w:tcW w:w="866" w:type="pct"/>
            <w:noWrap w:val="0"/>
            <w:vAlign w:val="center"/>
          </w:tcPr>
          <w:p w14:paraId="0305D5E5">
            <w:pPr>
              <w:pStyle w:val="43"/>
              <w:autoSpaceDE w:val="0"/>
              <w:autoSpaceDN w:val="0"/>
              <w:snapToGrid w:val="0"/>
              <w:spacing w:line="240" w:lineRule="auto"/>
              <w:jc w:val="center"/>
              <w:textAlignment w:val="bottom"/>
              <w:rPr>
                <w:rFonts w:ascii="Times New Roman"/>
                <w:kern w:val="2"/>
                <w:sz w:val="21"/>
                <w:szCs w:val="22"/>
                <w:highlight w:val="none"/>
              </w:rPr>
            </w:pPr>
            <w:r>
              <w:rPr>
                <w:rFonts w:ascii="Times New Roman"/>
                <w:kern w:val="2"/>
                <w:sz w:val="21"/>
                <w:szCs w:val="22"/>
                <w:highlight w:val="none"/>
              </w:rPr>
              <w:t>Hg</w:t>
            </w:r>
          </w:p>
        </w:tc>
        <w:tc>
          <w:tcPr>
            <w:tcW w:w="866" w:type="pct"/>
            <w:noWrap w:val="0"/>
            <w:vAlign w:val="center"/>
          </w:tcPr>
          <w:p w14:paraId="5D570AD4">
            <w:pPr>
              <w:widowControl/>
              <w:spacing w:line="240" w:lineRule="auto"/>
              <w:ind w:firstLine="0" w:firstLineChars="0"/>
              <w:jc w:val="center"/>
              <w:textAlignment w:val="center"/>
              <w:rPr>
                <w:rFonts w:hint="default" w:ascii="Times New Roman" w:hAnsi="Times New Roman" w:eastAsia="宋体"/>
                <w:sz w:val="21"/>
                <w:highlight w:val="none"/>
                <w:lang w:val="en-US" w:eastAsia="zh-CN"/>
              </w:rPr>
            </w:pPr>
            <w:r>
              <w:rPr>
                <w:rFonts w:ascii="Times New Roman" w:hAnsi="Times New Roman"/>
                <w:sz w:val="21"/>
                <w:highlight w:val="none"/>
              </w:rPr>
              <w:t>0.000</w:t>
            </w:r>
            <w:r>
              <w:rPr>
                <w:rFonts w:hint="eastAsia" w:ascii="Times New Roman" w:hAnsi="Times New Roman"/>
                <w:sz w:val="21"/>
                <w:highlight w:val="none"/>
                <w:lang w:val="en-US" w:eastAsia="zh-CN"/>
              </w:rPr>
              <w:t>0254</w:t>
            </w:r>
          </w:p>
        </w:tc>
        <w:tc>
          <w:tcPr>
            <w:tcW w:w="990" w:type="pct"/>
            <w:noWrap w:val="0"/>
            <w:vAlign w:val="center"/>
          </w:tcPr>
          <w:p w14:paraId="086D1391">
            <w:pPr>
              <w:widowControl/>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0.00</w:t>
            </w:r>
            <w:r>
              <w:rPr>
                <w:rFonts w:hint="eastAsia" w:ascii="Times New Roman" w:hAnsi="Times New Roman"/>
                <w:sz w:val="21"/>
                <w:highlight w:val="none"/>
                <w:lang w:val="en-US" w:eastAsia="zh-CN"/>
              </w:rPr>
              <w:t>01</w:t>
            </w:r>
          </w:p>
        </w:tc>
        <w:tc>
          <w:tcPr>
            <w:tcW w:w="990" w:type="pct"/>
            <w:noWrap w:val="0"/>
            <w:vAlign w:val="center"/>
          </w:tcPr>
          <w:p w14:paraId="680E6B47">
            <w:pPr>
              <w:widowControl/>
              <w:spacing w:line="240" w:lineRule="auto"/>
              <w:ind w:firstLine="0" w:firstLineChars="0"/>
              <w:jc w:val="center"/>
              <w:textAlignment w:val="center"/>
              <w:rPr>
                <w:rFonts w:hint="default" w:ascii="Times New Roman" w:hAnsi="Times New Roman" w:eastAsia="宋体"/>
                <w:sz w:val="21"/>
                <w:highlight w:val="none"/>
                <w:lang w:val="en-US" w:eastAsia="zh-CN"/>
              </w:rPr>
            </w:pPr>
            <w:r>
              <w:rPr>
                <w:rFonts w:ascii="Times New Roman" w:hAnsi="Times New Roman"/>
                <w:sz w:val="21"/>
                <w:highlight w:val="none"/>
              </w:rPr>
              <w:t>0.00</w:t>
            </w:r>
            <w:r>
              <w:rPr>
                <w:rFonts w:hint="eastAsia" w:ascii="Times New Roman" w:hAnsi="Times New Roman"/>
                <w:sz w:val="21"/>
                <w:highlight w:val="none"/>
                <w:lang w:val="en-US" w:eastAsia="zh-CN"/>
              </w:rPr>
              <w:t>03</w:t>
            </w:r>
          </w:p>
        </w:tc>
        <w:tc>
          <w:tcPr>
            <w:tcW w:w="1037" w:type="pct"/>
            <w:noWrap w:val="0"/>
            <w:vAlign w:val="center"/>
          </w:tcPr>
          <w:p w14:paraId="6A6C439A">
            <w:pPr>
              <w:widowControl/>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0.00</w:t>
            </w:r>
            <w:r>
              <w:rPr>
                <w:rFonts w:hint="eastAsia" w:ascii="Times New Roman" w:hAnsi="Times New Roman"/>
                <w:sz w:val="21"/>
                <w:highlight w:val="none"/>
                <w:lang w:val="en-US" w:eastAsia="zh-CN"/>
              </w:rPr>
              <w:t>0</w:t>
            </w:r>
            <w:r>
              <w:rPr>
                <w:rFonts w:ascii="Times New Roman" w:hAnsi="Times New Roman"/>
                <w:sz w:val="21"/>
                <w:highlight w:val="none"/>
              </w:rPr>
              <w:t>6</w:t>
            </w:r>
          </w:p>
        </w:tc>
      </w:tr>
    </w:tbl>
    <w:p w14:paraId="27EB133C">
      <w:pPr>
        <w:pStyle w:val="15"/>
        <w:ind w:left="0" w:leftChars="0" w:firstLine="0" w:firstLineChars="0"/>
        <w:jc w:val="center"/>
        <w:rPr>
          <w:rFonts w:ascii="Times New Roman" w:hAnsi="Times New Roman"/>
          <w:b/>
          <w:bCs/>
          <w:highlight w:val="none"/>
        </w:rPr>
      </w:pPr>
      <w:r>
        <w:rPr>
          <w:rFonts w:ascii="Times New Roman" w:hAnsi="Times New Roman"/>
          <w:b/>
          <w:bCs/>
          <w:highlight w:val="none"/>
        </w:rPr>
        <w:t>表5</w:t>
      </w:r>
      <w:r>
        <w:rPr>
          <w:rFonts w:hint="eastAsia" w:ascii="Times New Roman" w:hAnsi="Times New Roman"/>
          <w:b/>
          <w:bCs/>
          <w:highlight w:val="none"/>
          <w:lang w:val="en-US" w:eastAsia="zh-CN"/>
        </w:rPr>
        <w:t>.6</w:t>
      </w:r>
      <w:r>
        <w:rPr>
          <w:rFonts w:ascii="Times New Roman" w:hAnsi="Times New Roman"/>
          <w:b/>
          <w:bCs/>
          <w:highlight w:val="none"/>
        </w:rPr>
        <w:t>-3 干沉降对土壤累积影响叠加值</w:t>
      </w:r>
    </w:p>
    <w:tbl>
      <w:tblPr>
        <w:tblStyle w:val="17"/>
        <w:tblW w:w="506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5"/>
        <w:gridCol w:w="520"/>
        <w:gridCol w:w="741"/>
        <w:gridCol w:w="835"/>
        <w:gridCol w:w="1096"/>
        <w:gridCol w:w="1693"/>
        <w:gridCol w:w="820"/>
        <w:gridCol w:w="1705"/>
        <w:gridCol w:w="756"/>
      </w:tblGrid>
      <w:tr w14:paraId="639385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61" w:hRule="atLeast"/>
        </w:trPr>
        <w:tc>
          <w:tcPr>
            <w:tcW w:w="269" w:type="pct"/>
            <w:noWrap w:val="0"/>
            <w:vAlign w:val="center"/>
          </w:tcPr>
          <w:p w14:paraId="70E4AF1D">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序号</w:t>
            </w:r>
          </w:p>
        </w:tc>
        <w:tc>
          <w:tcPr>
            <w:tcW w:w="301" w:type="pct"/>
            <w:noWrap w:val="0"/>
            <w:vAlign w:val="center"/>
          </w:tcPr>
          <w:p w14:paraId="26464456">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因子</w:t>
            </w:r>
          </w:p>
        </w:tc>
        <w:tc>
          <w:tcPr>
            <w:tcW w:w="429" w:type="pct"/>
            <w:noWrap w:val="0"/>
            <w:vAlign w:val="center"/>
          </w:tcPr>
          <w:p w14:paraId="23A11B17">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背景值</w:t>
            </w:r>
          </w:p>
          <w:p w14:paraId="1FE0FC52">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（mg/kg）</w:t>
            </w:r>
          </w:p>
        </w:tc>
        <w:tc>
          <w:tcPr>
            <w:tcW w:w="1119" w:type="pct"/>
            <w:gridSpan w:val="2"/>
            <w:noWrap w:val="0"/>
            <w:vAlign w:val="center"/>
          </w:tcPr>
          <w:p w14:paraId="358C793B">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累积叠加值（mg/kg）</w:t>
            </w:r>
          </w:p>
        </w:tc>
        <w:tc>
          <w:tcPr>
            <w:tcW w:w="981" w:type="pct"/>
            <w:noWrap w:val="0"/>
            <w:vAlign w:val="center"/>
          </w:tcPr>
          <w:p w14:paraId="3B8CF1FC">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《土壤环境质量 建设用地土壤污染风险管控标准（试行）》（GB36600-2018）中建设用地土壤污染风险筛选值</w:t>
            </w:r>
          </w:p>
        </w:tc>
        <w:tc>
          <w:tcPr>
            <w:tcW w:w="475" w:type="pct"/>
            <w:noWrap w:val="0"/>
            <w:vAlign w:val="center"/>
          </w:tcPr>
          <w:p w14:paraId="0CB8B06C">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占标率</w:t>
            </w:r>
          </w:p>
          <w:p w14:paraId="29F8AD99">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w:t>
            </w:r>
          </w:p>
        </w:tc>
        <w:tc>
          <w:tcPr>
            <w:tcW w:w="988" w:type="pct"/>
            <w:noWrap w:val="0"/>
            <w:vAlign w:val="center"/>
          </w:tcPr>
          <w:p w14:paraId="24FD7B9A">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《土壤环境质量农用地土壤污染风险管控标准（试行）》（GB 15618-2018）农用地土壤污染风险筛选值</w:t>
            </w:r>
          </w:p>
        </w:tc>
        <w:tc>
          <w:tcPr>
            <w:tcW w:w="438" w:type="pct"/>
            <w:noWrap w:val="0"/>
            <w:vAlign w:val="center"/>
          </w:tcPr>
          <w:p w14:paraId="2A4B0605">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占标率</w:t>
            </w:r>
          </w:p>
          <w:p w14:paraId="2A4FB2CD">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w:t>
            </w:r>
          </w:p>
        </w:tc>
      </w:tr>
      <w:tr w14:paraId="1F44EB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269" w:type="pct"/>
            <w:vMerge w:val="restart"/>
            <w:noWrap w:val="0"/>
            <w:vAlign w:val="center"/>
          </w:tcPr>
          <w:p w14:paraId="16AE93F4">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1</w:t>
            </w:r>
          </w:p>
        </w:tc>
        <w:tc>
          <w:tcPr>
            <w:tcW w:w="301" w:type="pct"/>
            <w:vMerge w:val="restart"/>
            <w:noWrap w:val="0"/>
            <w:vAlign w:val="center"/>
          </w:tcPr>
          <w:p w14:paraId="24E62B53">
            <w:pPr>
              <w:widowControl/>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Hg</w:t>
            </w:r>
          </w:p>
        </w:tc>
        <w:tc>
          <w:tcPr>
            <w:tcW w:w="429" w:type="pct"/>
            <w:vMerge w:val="restart"/>
            <w:noWrap w:val="0"/>
            <w:vAlign w:val="center"/>
          </w:tcPr>
          <w:p w14:paraId="731D784F">
            <w:pPr>
              <w:widowControl/>
              <w:spacing w:line="240" w:lineRule="auto"/>
              <w:ind w:firstLine="0" w:firstLineChars="0"/>
              <w:jc w:val="center"/>
              <w:textAlignment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0.132</w:t>
            </w:r>
          </w:p>
        </w:tc>
        <w:tc>
          <w:tcPr>
            <w:tcW w:w="484" w:type="pct"/>
            <w:noWrap w:val="0"/>
            <w:vAlign w:val="center"/>
          </w:tcPr>
          <w:p w14:paraId="0702DB01">
            <w:pPr>
              <w:widowControl/>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5年</w:t>
            </w:r>
          </w:p>
        </w:tc>
        <w:tc>
          <w:tcPr>
            <w:tcW w:w="635" w:type="pct"/>
            <w:noWrap w:val="0"/>
            <w:vAlign w:val="center"/>
          </w:tcPr>
          <w:p w14:paraId="2C1090B8">
            <w:pPr>
              <w:widowControl/>
              <w:spacing w:line="240" w:lineRule="auto"/>
              <w:ind w:firstLine="0" w:firstLineChars="0"/>
              <w:jc w:val="center"/>
              <w:textAlignment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0.1321</w:t>
            </w:r>
          </w:p>
        </w:tc>
        <w:tc>
          <w:tcPr>
            <w:tcW w:w="981" w:type="pct"/>
            <w:vMerge w:val="restart"/>
            <w:noWrap w:val="0"/>
            <w:vAlign w:val="center"/>
          </w:tcPr>
          <w:p w14:paraId="10A3CE6B">
            <w:pPr>
              <w:widowControl/>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38</w:t>
            </w:r>
          </w:p>
        </w:tc>
        <w:tc>
          <w:tcPr>
            <w:tcW w:w="475" w:type="pct"/>
            <w:noWrap w:val="0"/>
            <w:vAlign w:val="center"/>
          </w:tcPr>
          <w:p w14:paraId="19D1837F">
            <w:pPr>
              <w:widowControl/>
              <w:spacing w:line="240" w:lineRule="auto"/>
              <w:ind w:firstLine="0" w:firstLineChars="0"/>
              <w:jc w:val="center"/>
              <w:textAlignment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0.35</w:t>
            </w:r>
          </w:p>
        </w:tc>
        <w:tc>
          <w:tcPr>
            <w:tcW w:w="988" w:type="pct"/>
            <w:vMerge w:val="restart"/>
            <w:noWrap w:val="0"/>
            <w:vAlign w:val="center"/>
          </w:tcPr>
          <w:p w14:paraId="214BE43D">
            <w:pPr>
              <w:widowControl/>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3.4</w:t>
            </w:r>
          </w:p>
        </w:tc>
        <w:tc>
          <w:tcPr>
            <w:tcW w:w="438" w:type="pct"/>
            <w:noWrap w:val="0"/>
            <w:vAlign w:val="center"/>
          </w:tcPr>
          <w:p w14:paraId="48F51E47">
            <w:pPr>
              <w:widowControl/>
              <w:spacing w:line="240" w:lineRule="auto"/>
              <w:ind w:firstLine="0" w:firstLineChars="0"/>
              <w:jc w:val="center"/>
              <w:textAlignment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3.89</w:t>
            </w:r>
          </w:p>
        </w:tc>
      </w:tr>
      <w:tr w14:paraId="5E4B0E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269" w:type="pct"/>
            <w:vMerge w:val="continue"/>
            <w:noWrap w:val="0"/>
            <w:vAlign w:val="center"/>
          </w:tcPr>
          <w:p w14:paraId="403DC5DC">
            <w:pPr>
              <w:spacing w:line="240" w:lineRule="auto"/>
              <w:ind w:firstLine="0" w:firstLineChars="0"/>
              <w:jc w:val="center"/>
              <w:rPr>
                <w:rFonts w:ascii="Times New Roman" w:hAnsi="Times New Roman"/>
                <w:sz w:val="21"/>
                <w:highlight w:val="none"/>
              </w:rPr>
            </w:pPr>
          </w:p>
        </w:tc>
        <w:tc>
          <w:tcPr>
            <w:tcW w:w="301" w:type="pct"/>
            <w:vMerge w:val="continue"/>
            <w:noWrap w:val="0"/>
            <w:vAlign w:val="center"/>
          </w:tcPr>
          <w:p w14:paraId="316E6B61">
            <w:pPr>
              <w:widowControl/>
              <w:spacing w:line="240" w:lineRule="auto"/>
              <w:ind w:firstLine="0" w:firstLineChars="0"/>
              <w:jc w:val="center"/>
              <w:textAlignment w:val="center"/>
              <w:rPr>
                <w:rFonts w:ascii="Times New Roman" w:hAnsi="Times New Roman"/>
                <w:sz w:val="21"/>
                <w:highlight w:val="none"/>
              </w:rPr>
            </w:pPr>
          </w:p>
        </w:tc>
        <w:tc>
          <w:tcPr>
            <w:tcW w:w="429" w:type="pct"/>
            <w:vMerge w:val="continue"/>
            <w:noWrap w:val="0"/>
            <w:vAlign w:val="center"/>
          </w:tcPr>
          <w:p w14:paraId="0C1DBC8A">
            <w:pPr>
              <w:widowControl/>
              <w:spacing w:line="240" w:lineRule="auto"/>
              <w:ind w:firstLine="0" w:firstLineChars="0"/>
              <w:jc w:val="center"/>
              <w:textAlignment w:val="center"/>
              <w:rPr>
                <w:rFonts w:ascii="Times New Roman" w:hAnsi="Times New Roman"/>
                <w:sz w:val="21"/>
                <w:highlight w:val="none"/>
              </w:rPr>
            </w:pPr>
          </w:p>
        </w:tc>
        <w:tc>
          <w:tcPr>
            <w:tcW w:w="484" w:type="pct"/>
            <w:noWrap w:val="0"/>
            <w:vAlign w:val="center"/>
          </w:tcPr>
          <w:p w14:paraId="4DD4705D">
            <w:pPr>
              <w:widowControl/>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10年</w:t>
            </w:r>
          </w:p>
        </w:tc>
        <w:tc>
          <w:tcPr>
            <w:tcW w:w="635" w:type="pct"/>
            <w:noWrap w:val="0"/>
            <w:vAlign w:val="center"/>
          </w:tcPr>
          <w:p w14:paraId="12FC5CFB">
            <w:pPr>
              <w:widowControl/>
              <w:spacing w:line="240" w:lineRule="auto"/>
              <w:ind w:firstLine="0" w:firstLineChars="0"/>
              <w:jc w:val="center"/>
              <w:textAlignment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0.1323</w:t>
            </w:r>
          </w:p>
        </w:tc>
        <w:tc>
          <w:tcPr>
            <w:tcW w:w="981" w:type="pct"/>
            <w:vMerge w:val="continue"/>
            <w:noWrap w:val="0"/>
            <w:vAlign w:val="center"/>
          </w:tcPr>
          <w:p w14:paraId="2FD0E762">
            <w:pPr>
              <w:widowControl/>
              <w:spacing w:line="240" w:lineRule="auto"/>
              <w:ind w:firstLine="0" w:firstLineChars="0"/>
              <w:jc w:val="center"/>
              <w:textAlignment w:val="center"/>
              <w:rPr>
                <w:rFonts w:ascii="Times New Roman" w:hAnsi="Times New Roman"/>
                <w:sz w:val="21"/>
                <w:highlight w:val="none"/>
              </w:rPr>
            </w:pPr>
          </w:p>
        </w:tc>
        <w:tc>
          <w:tcPr>
            <w:tcW w:w="475" w:type="pct"/>
            <w:noWrap w:val="0"/>
            <w:vAlign w:val="center"/>
          </w:tcPr>
          <w:p w14:paraId="217F74B1">
            <w:pPr>
              <w:widowControl/>
              <w:spacing w:line="240" w:lineRule="auto"/>
              <w:ind w:firstLine="0" w:firstLineChars="0"/>
              <w:jc w:val="center"/>
              <w:textAlignment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0.35</w:t>
            </w:r>
          </w:p>
        </w:tc>
        <w:tc>
          <w:tcPr>
            <w:tcW w:w="988" w:type="pct"/>
            <w:vMerge w:val="continue"/>
            <w:noWrap w:val="0"/>
            <w:vAlign w:val="center"/>
          </w:tcPr>
          <w:p w14:paraId="66D81253">
            <w:pPr>
              <w:widowControl/>
              <w:spacing w:line="240" w:lineRule="auto"/>
              <w:ind w:firstLine="0" w:firstLineChars="0"/>
              <w:jc w:val="center"/>
              <w:textAlignment w:val="center"/>
              <w:rPr>
                <w:rFonts w:ascii="Times New Roman" w:hAnsi="Times New Roman"/>
                <w:sz w:val="21"/>
                <w:highlight w:val="none"/>
              </w:rPr>
            </w:pPr>
          </w:p>
        </w:tc>
        <w:tc>
          <w:tcPr>
            <w:tcW w:w="438" w:type="pct"/>
            <w:noWrap w:val="0"/>
            <w:vAlign w:val="center"/>
          </w:tcPr>
          <w:p w14:paraId="5577F82F">
            <w:pPr>
              <w:widowControl/>
              <w:spacing w:line="240" w:lineRule="auto"/>
              <w:ind w:firstLine="0" w:firstLineChars="0"/>
              <w:jc w:val="center"/>
              <w:textAlignment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3.89</w:t>
            </w:r>
          </w:p>
        </w:tc>
      </w:tr>
      <w:tr w14:paraId="6DDA97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269" w:type="pct"/>
            <w:vMerge w:val="continue"/>
            <w:noWrap w:val="0"/>
            <w:vAlign w:val="center"/>
          </w:tcPr>
          <w:p w14:paraId="24F77D2E">
            <w:pPr>
              <w:spacing w:line="240" w:lineRule="auto"/>
              <w:ind w:firstLine="0" w:firstLineChars="0"/>
              <w:jc w:val="center"/>
              <w:rPr>
                <w:rFonts w:ascii="Times New Roman" w:hAnsi="Times New Roman"/>
                <w:sz w:val="21"/>
                <w:highlight w:val="none"/>
              </w:rPr>
            </w:pPr>
          </w:p>
        </w:tc>
        <w:tc>
          <w:tcPr>
            <w:tcW w:w="301" w:type="pct"/>
            <w:vMerge w:val="continue"/>
            <w:noWrap w:val="0"/>
            <w:vAlign w:val="center"/>
          </w:tcPr>
          <w:p w14:paraId="31FAEBD2">
            <w:pPr>
              <w:widowControl/>
              <w:spacing w:line="240" w:lineRule="auto"/>
              <w:ind w:firstLine="0" w:firstLineChars="0"/>
              <w:jc w:val="center"/>
              <w:textAlignment w:val="center"/>
              <w:rPr>
                <w:rFonts w:ascii="Times New Roman" w:hAnsi="Times New Roman"/>
                <w:sz w:val="21"/>
                <w:highlight w:val="none"/>
              </w:rPr>
            </w:pPr>
          </w:p>
        </w:tc>
        <w:tc>
          <w:tcPr>
            <w:tcW w:w="429" w:type="pct"/>
            <w:vMerge w:val="continue"/>
            <w:noWrap w:val="0"/>
            <w:vAlign w:val="center"/>
          </w:tcPr>
          <w:p w14:paraId="6F00627B">
            <w:pPr>
              <w:widowControl/>
              <w:spacing w:line="240" w:lineRule="auto"/>
              <w:ind w:firstLine="0" w:firstLineChars="0"/>
              <w:jc w:val="center"/>
              <w:textAlignment w:val="center"/>
              <w:rPr>
                <w:rFonts w:ascii="Times New Roman" w:hAnsi="Times New Roman"/>
                <w:sz w:val="21"/>
                <w:highlight w:val="none"/>
              </w:rPr>
            </w:pPr>
          </w:p>
        </w:tc>
        <w:tc>
          <w:tcPr>
            <w:tcW w:w="484" w:type="pct"/>
            <w:noWrap w:val="0"/>
            <w:vAlign w:val="center"/>
          </w:tcPr>
          <w:p w14:paraId="000BDC47">
            <w:pPr>
              <w:widowControl/>
              <w:spacing w:line="240" w:lineRule="auto"/>
              <w:ind w:firstLine="0" w:firstLineChars="0"/>
              <w:jc w:val="center"/>
              <w:textAlignment w:val="center"/>
              <w:rPr>
                <w:rFonts w:ascii="Times New Roman" w:hAnsi="Times New Roman"/>
                <w:sz w:val="21"/>
                <w:highlight w:val="none"/>
              </w:rPr>
            </w:pPr>
            <w:r>
              <w:rPr>
                <w:rFonts w:ascii="Times New Roman" w:hAnsi="Times New Roman"/>
                <w:sz w:val="21"/>
                <w:highlight w:val="none"/>
              </w:rPr>
              <w:t>20年</w:t>
            </w:r>
          </w:p>
        </w:tc>
        <w:tc>
          <w:tcPr>
            <w:tcW w:w="635" w:type="pct"/>
            <w:noWrap w:val="0"/>
            <w:vAlign w:val="center"/>
          </w:tcPr>
          <w:p w14:paraId="41B86414">
            <w:pPr>
              <w:widowControl/>
              <w:spacing w:line="240" w:lineRule="auto"/>
              <w:ind w:firstLine="0" w:firstLineChars="0"/>
              <w:jc w:val="center"/>
              <w:textAlignment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0.1326</w:t>
            </w:r>
          </w:p>
        </w:tc>
        <w:tc>
          <w:tcPr>
            <w:tcW w:w="981" w:type="pct"/>
            <w:vMerge w:val="continue"/>
            <w:noWrap w:val="0"/>
            <w:vAlign w:val="center"/>
          </w:tcPr>
          <w:p w14:paraId="7926C150">
            <w:pPr>
              <w:widowControl/>
              <w:spacing w:line="240" w:lineRule="auto"/>
              <w:ind w:firstLine="0" w:firstLineChars="0"/>
              <w:jc w:val="center"/>
              <w:textAlignment w:val="center"/>
              <w:rPr>
                <w:rFonts w:ascii="Times New Roman" w:hAnsi="Times New Roman"/>
                <w:sz w:val="21"/>
                <w:highlight w:val="none"/>
              </w:rPr>
            </w:pPr>
          </w:p>
        </w:tc>
        <w:tc>
          <w:tcPr>
            <w:tcW w:w="475" w:type="pct"/>
            <w:noWrap w:val="0"/>
            <w:vAlign w:val="center"/>
          </w:tcPr>
          <w:p w14:paraId="33D16E43">
            <w:pPr>
              <w:widowControl/>
              <w:spacing w:line="240" w:lineRule="auto"/>
              <w:ind w:firstLine="0" w:firstLineChars="0"/>
              <w:jc w:val="center"/>
              <w:textAlignment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0.35</w:t>
            </w:r>
          </w:p>
        </w:tc>
        <w:tc>
          <w:tcPr>
            <w:tcW w:w="988" w:type="pct"/>
            <w:vMerge w:val="continue"/>
            <w:noWrap w:val="0"/>
            <w:vAlign w:val="center"/>
          </w:tcPr>
          <w:p w14:paraId="5FEEF5A2">
            <w:pPr>
              <w:widowControl/>
              <w:spacing w:line="240" w:lineRule="auto"/>
              <w:ind w:firstLine="0" w:firstLineChars="0"/>
              <w:jc w:val="center"/>
              <w:textAlignment w:val="center"/>
              <w:rPr>
                <w:rFonts w:ascii="Times New Roman" w:hAnsi="Times New Roman"/>
                <w:sz w:val="21"/>
                <w:highlight w:val="none"/>
              </w:rPr>
            </w:pPr>
          </w:p>
        </w:tc>
        <w:tc>
          <w:tcPr>
            <w:tcW w:w="438" w:type="pct"/>
            <w:noWrap w:val="0"/>
            <w:vAlign w:val="center"/>
          </w:tcPr>
          <w:p w14:paraId="4E92F926">
            <w:pPr>
              <w:widowControl/>
              <w:spacing w:line="240" w:lineRule="auto"/>
              <w:ind w:firstLine="0" w:firstLineChars="0"/>
              <w:jc w:val="center"/>
              <w:textAlignment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3.89</w:t>
            </w:r>
          </w:p>
        </w:tc>
      </w:tr>
    </w:tbl>
    <w:p w14:paraId="11926306">
      <w:pPr>
        <w:ind w:firstLine="480"/>
        <w:rPr>
          <w:rFonts w:ascii="Times New Roman" w:hAnsi="Times New Roman"/>
          <w:highlight w:val="none"/>
        </w:rPr>
      </w:pPr>
      <w:r>
        <w:rPr>
          <w:rFonts w:ascii="Times New Roman" w:hAnsi="Times New Roman"/>
          <w:highlight w:val="none"/>
        </w:rPr>
        <w:t>由表5.</w:t>
      </w:r>
      <w:r>
        <w:rPr>
          <w:rFonts w:hint="eastAsia" w:ascii="Times New Roman" w:hAnsi="Times New Roman"/>
          <w:highlight w:val="none"/>
          <w:lang w:val="en-US" w:eastAsia="zh-CN"/>
        </w:rPr>
        <w:t>6</w:t>
      </w:r>
      <w:r>
        <w:rPr>
          <w:rFonts w:ascii="Times New Roman" w:hAnsi="Times New Roman"/>
          <w:highlight w:val="none"/>
        </w:rPr>
        <w:t>-3可知，本项目排放废气中的重金属量很小，经20年沉降累积土壤中Hg增量甚微，</w:t>
      </w:r>
      <w:r>
        <w:rPr>
          <w:rFonts w:hint="eastAsia" w:ascii="Times New Roman" w:hAnsi="Times New Roman"/>
          <w:highlight w:val="none"/>
        </w:rPr>
        <w:t>能够满足《土壤环境质量 建设用地土壤污染风险管控标准（试行）》（GB36600-2018）中建设用地土壤污染风险筛选值及《土壤环境质量农用地土壤污染风险管控标准（试行）》（GB 15618-2018）农用地土壤污染风险筛选值。</w:t>
      </w:r>
      <w:r>
        <w:rPr>
          <w:rFonts w:ascii="Times New Roman" w:hAnsi="Times New Roman"/>
          <w:highlight w:val="none"/>
        </w:rPr>
        <w:t>不会造成周边土壤影响，土壤累积污染在可接受范围内。</w:t>
      </w:r>
    </w:p>
    <w:p w14:paraId="041C48A4">
      <w:pPr>
        <w:pStyle w:val="4"/>
        <w:bidi w:val="0"/>
        <w:ind w:left="0" w:leftChars="0" w:firstLine="0" w:firstLineChars="0"/>
        <w:rPr>
          <w:rFonts w:hint="eastAsia"/>
          <w:highlight w:val="none"/>
          <w:lang w:val="en-US" w:eastAsia="zh-CN"/>
        </w:rPr>
      </w:pPr>
      <w:bookmarkStart w:id="142" w:name="_Toc16325"/>
      <w:r>
        <w:rPr>
          <w:rFonts w:hint="eastAsia"/>
          <w:highlight w:val="none"/>
          <w:lang w:val="en-US" w:eastAsia="zh-CN"/>
        </w:rPr>
        <w:t>5.7环境风险评价</w:t>
      </w:r>
      <w:bookmarkEnd w:id="142"/>
    </w:p>
    <w:p w14:paraId="6F3D084B">
      <w:pPr>
        <w:bidi w:val="0"/>
        <w:rPr>
          <w:rFonts w:hint="default"/>
          <w:highlight w:val="none"/>
          <w:lang w:val="en-US" w:eastAsia="zh-CN"/>
        </w:rPr>
      </w:pPr>
      <w:r>
        <w:rPr>
          <w:rFonts w:hint="default"/>
          <w:b/>
          <w:bCs/>
          <w:highlight w:val="none"/>
          <w:lang w:val="en-US" w:eastAsia="zh-CN"/>
        </w:rPr>
        <w:t>对环境空气的影响分析</w:t>
      </w:r>
    </w:p>
    <w:p w14:paraId="3E6802B1">
      <w:pPr>
        <w:bidi w:val="0"/>
        <w:rPr>
          <w:rFonts w:hint="default"/>
          <w:highlight w:val="none"/>
          <w:lang w:val="en-US" w:eastAsia="zh-CN"/>
        </w:rPr>
      </w:pPr>
      <w:r>
        <w:rPr>
          <w:rFonts w:hint="default"/>
          <w:highlight w:val="none"/>
          <w:lang w:val="en-US" w:eastAsia="zh-CN"/>
        </w:rPr>
        <w:t>油品泄漏影响分析</w:t>
      </w:r>
    </w:p>
    <w:p w14:paraId="77F9615E">
      <w:pPr>
        <w:bidi w:val="0"/>
        <w:rPr>
          <w:rFonts w:hint="default"/>
          <w:highlight w:val="none"/>
          <w:lang w:val="en-US" w:eastAsia="zh-CN"/>
        </w:rPr>
      </w:pPr>
      <w:r>
        <w:rPr>
          <w:rFonts w:hint="default"/>
          <w:highlight w:val="none"/>
          <w:lang w:val="en-US" w:eastAsia="zh-CN"/>
        </w:rPr>
        <w:t>本项目厂区不设油区及油罐，采用油罐车运油到厂给锅炉点火，点火后油罐车离开厂区，油罐车的储油量按10t计算。</w:t>
      </w:r>
    </w:p>
    <w:p w14:paraId="0E44E1BF">
      <w:pPr>
        <w:bidi w:val="0"/>
        <w:rPr>
          <w:rFonts w:hint="default"/>
          <w:highlight w:val="none"/>
          <w:lang w:val="en-US" w:eastAsia="zh-CN"/>
        </w:rPr>
      </w:pPr>
      <w:r>
        <w:rPr>
          <w:rFonts w:hint="default"/>
          <w:highlight w:val="none"/>
          <w:lang w:val="en-US" w:eastAsia="zh-CN"/>
        </w:rPr>
        <w:t>正常情况下本项目不会造成环境风险影响。当运行管理不当，可能出现油罐车因泄漏而产生油蒸汽，油蒸汽与空气形成爆炸性混合物，遇火源就会发生爆炸。燃油在着火过程中，容器内油蒸汽的浓度随燃烧而发生变化，当达到极限浓度时即发生爆炸，因此燃烧和爆炸总是相伴而行。此外，燃油在装卸、泵送过程中，流动、喷射、振荡和冲击都会产生静电，静电会产生火花，火花能量达到一定值也会引发燃烧爆炸。</w:t>
      </w:r>
    </w:p>
    <w:p w14:paraId="22C15098">
      <w:pPr>
        <w:bidi w:val="0"/>
        <w:rPr>
          <w:rFonts w:hint="default"/>
          <w:highlight w:val="none"/>
          <w:lang w:val="en-US" w:eastAsia="zh-CN"/>
        </w:rPr>
      </w:pPr>
      <w:r>
        <w:rPr>
          <w:rFonts w:hint="default"/>
          <w:highlight w:val="none"/>
          <w:lang w:val="en-US" w:eastAsia="zh-CN"/>
        </w:rPr>
        <w:t>轻柴油的主要危险特性有易燃性、易爆性、挥发性等，柴油火灾事故中由于不完全燃烧，可能产生一氧化碳、二氧化硫，大量的一氧化碳与二氧化碳扩散到大气中，会严重影响大气环境的质量。本项目锅炉启炉点火采用炉下油点火系统，本期工程厂区内不设储油罐，由燃油公司的油罐车将柴油直接运至厂内，柴油经燃油泵升压点火即可满足要求，本项目对环境空气影响较小。若柴油泄露发生爆炸和火灾时采用干式灭火器进行灭火，不会发生油类物质进入地表水环境造成河流污染。</w:t>
      </w:r>
    </w:p>
    <w:p w14:paraId="294DA4E9">
      <w:pPr>
        <w:ind w:firstLine="480"/>
        <w:rPr>
          <w:rFonts w:cs="Times New Roman"/>
          <w:highlight w:val="none"/>
        </w:rPr>
      </w:pPr>
      <w:r>
        <w:rPr>
          <w:rFonts w:hint="eastAsia" w:cs="Times New Roman"/>
          <w:highlight w:val="none"/>
        </w:rPr>
        <w:t>综上所述，通过对各物质的风险分析可知，由于各物质的储存量较少，发生风险事故时，影响范围也很小，可以得到及时控制，项目的风险总体水平可以接受。</w:t>
      </w:r>
    </w:p>
    <w:p w14:paraId="7D5BD01D">
      <w:pPr>
        <w:ind w:firstLine="480"/>
        <w:rPr>
          <w:rFonts w:cs="Times New Roman"/>
          <w:highlight w:val="none"/>
        </w:rPr>
      </w:pPr>
      <w:r>
        <w:rPr>
          <w:rFonts w:hint="eastAsia" w:cs="Times New Roman"/>
          <w:highlight w:val="none"/>
        </w:rPr>
        <w:t>建设单位应对可能发生的风险高度重视，采取切实可行环境风险预防措施，防止将风险事件转变成污染事件，避免造成重大环境污染事件。</w:t>
      </w:r>
    </w:p>
    <w:p w14:paraId="06A41CB2">
      <w:pPr>
        <w:bidi w:val="0"/>
        <w:rPr>
          <w:rFonts w:hint="default"/>
          <w:highlight w:val="none"/>
          <w:lang w:val="en-US" w:eastAsia="zh-CN"/>
        </w:rPr>
      </w:pPr>
      <w:r>
        <w:rPr>
          <w:rFonts w:hint="eastAsia" w:cs="Times New Roman"/>
          <w:highlight w:val="none"/>
        </w:rPr>
        <w:t>本项目判定环境风险潜势为I，风险等级为简单分析。通过采取相应的风险防范措施及应急措施后，本项目环境风险可接受。</w:t>
      </w:r>
    </w:p>
    <w:p w14:paraId="2FCE6A68">
      <w:pPr>
        <w:pStyle w:val="4"/>
        <w:bidi w:val="0"/>
        <w:ind w:left="0" w:leftChars="0" w:firstLine="0" w:firstLineChars="0"/>
        <w:rPr>
          <w:rFonts w:hint="default"/>
          <w:highlight w:val="none"/>
          <w:lang w:val="en-US" w:eastAsia="zh-CN"/>
        </w:rPr>
      </w:pPr>
      <w:bookmarkStart w:id="143" w:name="_Toc23793"/>
      <w:r>
        <w:rPr>
          <w:rFonts w:hint="eastAsia"/>
          <w:highlight w:val="none"/>
          <w:lang w:val="en-US" w:eastAsia="zh-CN"/>
        </w:rPr>
        <w:t>5.8生态环境影响分析</w:t>
      </w:r>
      <w:bookmarkEnd w:id="143"/>
    </w:p>
    <w:p w14:paraId="2DD43F65">
      <w:pPr>
        <w:ind w:firstLine="480"/>
        <w:rPr>
          <w:rFonts w:ascii="Times New Roman" w:hAnsi="Times New Roman"/>
          <w:color w:val="auto"/>
          <w:highlight w:val="none"/>
        </w:rPr>
      </w:pPr>
      <w:r>
        <w:rPr>
          <w:rFonts w:ascii="Times New Roman" w:hAnsi="Times New Roman"/>
          <w:color w:val="auto"/>
          <w:highlight w:val="none"/>
        </w:rPr>
        <w:t>项目用地性质为</w:t>
      </w:r>
      <w:r>
        <w:rPr>
          <w:rFonts w:hint="eastAsia" w:ascii="Times New Roman" w:hAnsi="Times New Roman"/>
          <w:color w:val="auto"/>
          <w:highlight w:val="none"/>
          <w:lang w:val="en-US" w:eastAsia="zh-CN"/>
        </w:rPr>
        <w:t>公用设施</w:t>
      </w:r>
      <w:r>
        <w:rPr>
          <w:rFonts w:ascii="Times New Roman" w:hAnsi="Times New Roman"/>
          <w:color w:val="auto"/>
          <w:highlight w:val="none"/>
        </w:rPr>
        <w:t>用地，厂址所在区域自然生态已被人工生态所代替，占地内无古稀树木和保护树种，主要以人工栽种植物等为主。且由于人群活动频繁，树木、草丛中已无大型哺乳动物，仅有鸟类、鼠类及昆虫类小型动物。</w:t>
      </w:r>
    </w:p>
    <w:p w14:paraId="2EBEA48B">
      <w:pPr>
        <w:ind w:firstLine="480"/>
        <w:rPr>
          <w:rFonts w:ascii="Times New Roman" w:hAnsi="Times New Roman"/>
          <w:color w:val="auto"/>
          <w:highlight w:val="none"/>
        </w:rPr>
      </w:pPr>
      <w:r>
        <w:rPr>
          <w:rFonts w:ascii="Times New Roman" w:hAnsi="Times New Roman"/>
          <w:color w:val="auto"/>
          <w:highlight w:val="none"/>
        </w:rPr>
        <w:t>项目运营期对附近的植物影响主要体现在烟囱排放的烟尘、SO</w:t>
      </w:r>
      <w:r>
        <w:rPr>
          <w:rFonts w:ascii="Times New Roman" w:hAnsi="Times New Roman"/>
          <w:color w:val="auto"/>
          <w:highlight w:val="none"/>
          <w:vertAlign w:val="subscript"/>
        </w:rPr>
        <w:t>2</w:t>
      </w:r>
      <w:r>
        <w:rPr>
          <w:rFonts w:ascii="Times New Roman" w:hAnsi="Times New Roman"/>
          <w:color w:val="auto"/>
          <w:highlight w:val="none"/>
        </w:rPr>
        <w:t>和NOx对地表植物叶片的影响，项目废气污染物</w:t>
      </w:r>
      <w:r>
        <w:rPr>
          <w:rFonts w:hint="eastAsia" w:ascii="Times New Roman" w:hAnsi="Times New Roman"/>
          <w:color w:val="auto"/>
          <w:highlight w:val="none"/>
        </w:rPr>
        <w:t>达标</w:t>
      </w:r>
      <w:r>
        <w:rPr>
          <w:rFonts w:ascii="Times New Roman" w:hAnsi="Times New Roman"/>
          <w:color w:val="auto"/>
          <w:highlight w:val="none"/>
        </w:rPr>
        <w:t>排放，并采用</w:t>
      </w:r>
      <w:r>
        <w:rPr>
          <w:rFonts w:hint="eastAsia" w:ascii="Times New Roman" w:hAnsi="Times New Roman"/>
          <w:color w:val="auto"/>
          <w:highlight w:val="none"/>
          <w:lang w:val="en-US" w:eastAsia="zh-CN"/>
        </w:rPr>
        <w:t>60</w:t>
      </w:r>
      <w:r>
        <w:rPr>
          <w:rFonts w:ascii="Times New Roman" w:hAnsi="Times New Roman"/>
          <w:color w:val="auto"/>
          <w:highlight w:val="none"/>
        </w:rPr>
        <w:t>m高烟囱排放，基本不会对周边植物生长造成影响。</w:t>
      </w:r>
    </w:p>
    <w:p w14:paraId="1CA41D85">
      <w:pPr>
        <w:ind w:firstLine="480"/>
        <w:rPr>
          <w:rFonts w:ascii="Times New Roman" w:hAnsi="Times New Roman"/>
          <w:color w:val="auto"/>
          <w:highlight w:val="none"/>
        </w:rPr>
      </w:pPr>
      <w:r>
        <w:rPr>
          <w:rFonts w:ascii="Times New Roman" w:hAnsi="Times New Roman"/>
          <w:color w:val="auto"/>
          <w:highlight w:val="none"/>
        </w:rPr>
        <w:t>因此，项目建设生态影响甚微。</w:t>
      </w:r>
    </w:p>
    <w:p w14:paraId="32836E2D">
      <w:pPr>
        <w:rPr>
          <w:rFonts w:ascii="Times New Roman" w:hAnsi="Times New Roman"/>
          <w:color w:val="auto"/>
          <w:highlight w:val="none"/>
        </w:rPr>
      </w:pPr>
      <w:r>
        <w:rPr>
          <w:rFonts w:ascii="Times New Roman" w:hAnsi="Times New Roman"/>
          <w:color w:val="auto"/>
          <w:highlight w:val="none"/>
        </w:rPr>
        <w:t>厂区绿化以发挥绿化功能、防治污染、降低厂区噪声水平、美化环境为原则。本项目建成后同样要做好绿化工作，在厂区道路等区域进行重点绿化，并注意边角及结合部的绿化。厂区道路两侧，根据地下设施管网分布情况，种植长绿树木或种植草皮。</w:t>
      </w:r>
    </w:p>
    <w:p w14:paraId="2A721227">
      <w:pPr>
        <w:pStyle w:val="4"/>
        <w:bidi w:val="0"/>
        <w:ind w:left="0" w:leftChars="0" w:firstLine="0" w:firstLineChars="0"/>
        <w:rPr>
          <w:rFonts w:hint="eastAsia"/>
          <w:highlight w:val="none"/>
          <w:lang w:val="en-US" w:eastAsia="zh-CN"/>
        </w:rPr>
      </w:pPr>
      <w:bookmarkStart w:id="144" w:name="_Toc21765"/>
      <w:r>
        <w:rPr>
          <w:rFonts w:hint="eastAsia"/>
          <w:highlight w:val="none"/>
          <w:lang w:val="en-US" w:eastAsia="zh-CN"/>
        </w:rPr>
        <w:t>5.9燃煤、灰渣运输环节环境影响分析</w:t>
      </w:r>
      <w:bookmarkEnd w:id="144"/>
    </w:p>
    <w:p w14:paraId="335FD54D">
      <w:pPr>
        <w:ind w:firstLine="480"/>
        <w:rPr>
          <w:rFonts w:hint="eastAsia"/>
          <w:color w:val="auto"/>
          <w:highlight w:val="none"/>
        </w:rPr>
      </w:pPr>
      <w:r>
        <w:rPr>
          <w:rFonts w:hint="eastAsia"/>
          <w:color w:val="auto"/>
          <w:highlight w:val="none"/>
        </w:rPr>
        <w:t>（1）本项目灰渣运输路线</w:t>
      </w:r>
    </w:p>
    <w:p w14:paraId="768FD0E1">
      <w:pPr>
        <w:ind w:firstLine="480"/>
        <w:rPr>
          <w:rFonts w:hint="eastAsia"/>
          <w:color w:val="auto"/>
          <w:highlight w:val="none"/>
        </w:rPr>
      </w:pPr>
      <w:r>
        <w:rPr>
          <w:rFonts w:hint="eastAsia"/>
          <w:color w:val="auto"/>
          <w:highlight w:val="none"/>
        </w:rPr>
        <w:t>本项目灰渣采用公路运输方式，灰渣从本项目厂址通过汽车运至</w:t>
      </w:r>
      <w:r>
        <w:rPr>
          <w:rFonts w:hint="eastAsia"/>
          <w:color w:val="auto"/>
          <w:highlight w:val="none"/>
          <w:lang w:val="en-US" w:eastAsia="zh-CN"/>
        </w:rPr>
        <w:t>绥芬河市宝聚砖厂</w:t>
      </w:r>
      <w:r>
        <w:rPr>
          <w:rFonts w:hint="eastAsia"/>
          <w:color w:val="auto"/>
          <w:highlight w:val="none"/>
        </w:rPr>
        <w:t>。</w:t>
      </w:r>
    </w:p>
    <w:p w14:paraId="7EC27572">
      <w:pPr>
        <w:pStyle w:val="23"/>
        <w:ind w:firstLine="480"/>
        <w:rPr>
          <w:rFonts w:hint="eastAsia"/>
          <w:color w:val="auto"/>
          <w:highlight w:val="none"/>
        </w:rPr>
      </w:pPr>
      <w:r>
        <w:rPr>
          <w:rFonts w:hint="eastAsia"/>
          <w:color w:val="auto"/>
          <w:highlight w:val="none"/>
        </w:rPr>
        <w:t>（2）燃煤及灰渣运输过程扬尘环境影响分析</w:t>
      </w:r>
    </w:p>
    <w:p w14:paraId="149DC2A1">
      <w:pPr>
        <w:pStyle w:val="23"/>
        <w:ind w:firstLine="480"/>
        <w:rPr>
          <w:rFonts w:hint="eastAsia"/>
          <w:color w:val="auto"/>
          <w:highlight w:val="none"/>
        </w:rPr>
      </w:pPr>
      <w:r>
        <w:rPr>
          <w:rFonts w:hint="eastAsia"/>
          <w:color w:val="auto"/>
          <w:highlight w:val="none"/>
        </w:rPr>
        <w:t>本项目燃煤运输车辆采用苫布遮盖；炉渣经渣仓由卸干渣设备装车外运至综合利用单位；干灰采用气力输送至灰仓，采用封闭罐车运输至综合利用单位。车辆行驶过程中由于轮胎与路面接触会产生路面风蚀扬尘，由于运输道路全部为是水泥路面，运输车辆行驶过程中产生的扬尘量较少，因此运输车辆行驶过程中产生的路面扬尘对环境影响较小。</w:t>
      </w:r>
    </w:p>
    <w:p w14:paraId="016EB95B">
      <w:pPr>
        <w:pStyle w:val="23"/>
        <w:ind w:firstLine="480"/>
        <w:rPr>
          <w:rFonts w:ascii="Times New Roman" w:hAnsi="Times New Roman"/>
          <w:color w:val="auto"/>
          <w:highlight w:val="none"/>
        </w:rPr>
      </w:pPr>
      <w:r>
        <w:rPr>
          <w:rFonts w:ascii="Times New Roman" w:hAnsi="Times New Roman"/>
          <w:color w:val="auto"/>
          <w:highlight w:val="none"/>
        </w:rPr>
        <w:t>（3）</w:t>
      </w:r>
      <w:r>
        <w:rPr>
          <w:rFonts w:hint="eastAsia"/>
          <w:color w:val="auto"/>
          <w:highlight w:val="none"/>
        </w:rPr>
        <w:t>燃煤及</w:t>
      </w:r>
      <w:r>
        <w:rPr>
          <w:rFonts w:ascii="Times New Roman" w:hAnsi="Times New Roman"/>
          <w:color w:val="auto"/>
          <w:highlight w:val="none"/>
        </w:rPr>
        <w:t>灰渣运输过程中声环境影响分析</w:t>
      </w:r>
    </w:p>
    <w:p w14:paraId="65969FA9">
      <w:pPr>
        <w:pStyle w:val="23"/>
        <w:ind w:firstLine="480"/>
        <w:rPr>
          <w:rFonts w:ascii="Times New Roman" w:hAnsi="Times New Roman"/>
          <w:color w:val="auto"/>
          <w:highlight w:val="none"/>
        </w:rPr>
      </w:pPr>
      <w:r>
        <w:rPr>
          <w:rFonts w:ascii="Times New Roman" w:hAnsi="Times New Roman"/>
          <w:color w:val="auto"/>
          <w:highlight w:val="none"/>
        </w:rPr>
        <w:t>交通噪声对环境的影响，采用《公路建设项目环境影响评价规范》（JTG B03-2006）中推荐的公路交通噪声预测模式，其模式如下：</w:t>
      </w:r>
    </w:p>
    <w:p w14:paraId="682AB937">
      <w:pPr>
        <w:ind w:firstLine="0" w:firstLineChars="0"/>
        <w:jc w:val="center"/>
        <w:rPr>
          <w:rFonts w:ascii="Times New Roman" w:hAnsi="Times New Roman"/>
          <w:color w:val="auto"/>
          <w:highlight w:val="none"/>
        </w:rPr>
      </w:pPr>
      <w:r>
        <w:rPr>
          <w:rFonts w:ascii="Times New Roman" w:hAnsi="Times New Roman"/>
          <w:color w:val="auto"/>
          <w:highlight w:val="none"/>
        </w:rPr>
        <w:object>
          <v:shape id="_x0000_i1030" o:spt="75" type="#_x0000_t75" style="height:41.95pt;width:332.85pt;" o:ole="t" filled="f" o:preferrelative="t" stroked="f" coordsize="21600,21600">
            <v:path/>
            <v:fill on="f" focussize="0,0"/>
            <v:stroke on="f"/>
            <v:imagedata r:id="rId32" o:title=""/>
            <o:lock v:ext="edit" aspectratio="t"/>
            <w10:wrap type="none"/>
            <w10:anchorlock/>
          </v:shape>
          <o:OLEObject Type="Embed" ProgID="Equation.3" ShapeID="_x0000_i1030" DrawAspect="Content" ObjectID="_1468075730" r:id="rId54">
            <o:LockedField>false</o:LockedField>
          </o:OLEObject>
        </w:object>
      </w:r>
    </w:p>
    <w:p w14:paraId="58B5D618">
      <w:pPr>
        <w:ind w:firstLine="480"/>
        <w:rPr>
          <w:rFonts w:ascii="Times New Roman" w:hAnsi="Times New Roman"/>
          <w:color w:val="auto"/>
          <w:highlight w:val="none"/>
        </w:rPr>
      </w:pPr>
      <w:r>
        <w:rPr>
          <w:rFonts w:ascii="Times New Roman" w:hAnsi="Times New Roman"/>
          <w:color w:val="auto"/>
          <w:highlight w:val="none"/>
        </w:rPr>
        <w:t>式中：(L</w:t>
      </w:r>
      <w:r>
        <w:rPr>
          <w:rFonts w:ascii="Times New Roman" w:hAnsi="Times New Roman"/>
          <w:color w:val="auto"/>
          <w:highlight w:val="none"/>
          <w:vertAlign w:val="subscript"/>
        </w:rPr>
        <w:t>Aeq</w:t>
      </w:r>
      <w:r>
        <w:rPr>
          <w:rFonts w:ascii="Times New Roman" w:hAnsi="Times New Roman"/>
          <w:color w:val="auto"/>
          <w:highlight w:val="none"/>
        </w:rPr>
        <w:t>)</w:t>
      </w:r>
      <w:r>
        <w:rPr>
          <w:rFonts w:ascii="Times New Roman" w:hAnsi="Times New Roman"/>
          <w:color w:val="auto"/>
          <w:highlight w:val="none"/>
          <w:vertAlign w:val="subscript"/>
        </w:rPr>
        <w:t>i</w:t>
      </w:r>
      <w:r>
        <w:rPr>
          <w:rFonts w:ascii="Times New Roman" w:hAnsi="Times New Roman"/>
          <w:color w:val="auto"/>
          <w:highlight w:val="none"/>
        </w:rPr>
        <w:t>——i型车辆行驶于昼间或夜间，预测点接收到小时交通噪声值，dB（A）；</w:t>
      </w:r>
    </w:p>
    <w:p w14:paraId="04548E6F">
      <w:pPr>
        <w:ind w:firstLine="1200" w:firstLineChars="500"/>
        <w:rPr>
          <w:rFonts w:ascii="Times New Roman" w:hAnsi="Times New Roman"/>
          <w:color w:val="auto"/>
          <w:highlight w:val="none"/>
        </w:rPr>
      </w:pPr>
      <w:r>
        <w:rPr>
          <w:rFonts w:ascii="Times New Roman" w:hAnsi="Times New Roman"/>
          <w:color w:val="auto"/>
          <w:highlight w:val="none"/>
        </w:rPr>
        <w:t>L</w:t>
      </w:r>
      <w:r>
        <w:rPr>
          <w:rFonts w:ascii="Times New Roman" w:hAnsi="Times New Roman"/>
          <w:color w:val="auto"/>
          <w:highlight w:val="none"/>
          <w:vertAlign w:val="subscript"/>
        </w:rPr>
        <w:t>w,i</w:t>
      </w:r>
      <w:r>
        <w:rPr>
          <w:rFonts w:ascii="Times New Roman" w:hAnsi="Times New Roman"/>
          <w:color w:val="auto"/>
          <w:highlight w:val="none"/>
        </w:rPr>
        <w:t>——第i型车辆的平均辐射声级，相当于7.5m处的A声级，dB（A）；</w:t>
      </w:r>
    </w:p>
    <w:p w14:paraId="30EE9856">
      <w:pPr>
        <w:ind w:firstLine="1200" w:firstLineChars="500"/>
        <w:rPr>
          <w:rFonts w:ascii="Times New Roman" w:hAnsi="Times New Roman"/>
          <w:color w:val="auto"/>
          <w:highlight w:val="none"/>
        </w:rPr>
      </w:pPr>
      <w:r>
        <w:rPr>
          <w:rFonts w:ascii="Times New Roman" w:hAnsi="Times New Roman"/>
          <w:color w:val="auto"/>
          <w:highlight w:val="none"/>
        </w:rPr>
        <w:t>N</w:t>
      </w:r>
      <w:r>
        <w:rPr>
          <w:rFonts w:ascii="Times New Roman" w:hAnsi="Times New Roman"/>
          <w:color w:val="auto"/>
          <w:highlight w:val="none"/>
          <w:vertAlign w:val="subscript"/>
        </w:rPr>
        <w:t>i</w:t>
      </w:r>
      <w:r>
        <w:rPr>
          <w:rFonts w:ascii="Times New Roman" w:hAnsi="Times New Roman"/>
          <w:color w:val="auto"/>
          <w:highlight w:val="none"/>
        </w:rPr>
        <w:t>——第i型车辆的昼间或夜间的平均小时交通量，辆/h；</w:t>
      </w:r>
    </w:p>
    <w:p w14:paraId="555CA035">
      <w:pPr>
        <w:ind w:firstLine="1200" w:firstLineChars="500"/>
        <w:rPr>
          <w:rFonts w:ascii="Times New Roman" w:hAnsi="Times New Roman"/>
          <w:color w:val="auto"/>
          <w:highlight w:val="none"/>
        </w:rPr>
      </w:pPr>
      <w:r>
        <w:rPr>
          <w:rFonts w:ascii="Times New Roman" w:hAnsi="Times New Roman"/>
          <w:color w:val="auto"/>
          <w:highlight w:val="none"/>
        </w:rPr>
        <w:t>v</w:t>
      </w:r>
      <w:r>
        <w:rPr>
          <w:rFonts w:ascii="Times New Roman" w:hAnsi="Times New Roman"/>
          <w:color w:val="auto"/>
          <w:highlight w:val="none"/>
          <w:vertAlign w:val="subscript"/>
        </w:rPr>
        <w:t>i</w:t>
      </w:r>
      <w:r>
        <w:rPr>
          <w:rFonts w:ascii="Times New Roman" w:hAnsi="Times New Roman"/>
          <w:color w:val="auto"/>
          <w:highlight w:val="none"/>
        </w:rPr>
        <w:t>——i型车辆的平均行驶速度，km/h；</w:t>
      </w:r>
    </w:p>
    <w:p w14:paraId="17126A16">
      <w:pPr>
        <w:ind w:firstLine="1200" w:firstLineChars="500"/>
        <w:rPr>
          <w:rFonts w:ascii="Times New Roman" w:hAnsi="Times New Roman"/>
          <w:color w:val="auto"/>
          <w:highlight w:val="none"/>
        </w:rPr>
      </w:pPr>
      <w:r>
        <w:rPr>
          <w:rFonts w:ascii="Times New Roman" w:hAnsi="Times New Roman"/>
          <w:color w:val="auto"/>
          <w:highlight w:val="none"/>
        </w:rPr>
        <w:t>T——LAeq的预测时间，在此取1h；</w:t>
      </w:r>
    </w:p>
    <w:p w14:paraId="49F979EE">
      <w:pPr>
        <w:ind w:firstLine="1200" w:firstLineChars="500"/>
        <w:rPr>
          <w:rFonts w:ascii="Times New Roman" w:hAnsi="Times New Roman"/>
          <w:color w:val="auto"/>
          <w:highlight w:val="none"/>
        </w:rPr>
      </w:pPr>
      <w:r>
        <w:rPr>
          <w:rFonts w:ascii="Times New Roman" w:hAnsi="Times New Roman"/>
          <w:color w:val="auto"/>
          <w:highlight w:val="none"/>
        </w:rPr>
        <w:t>ΔL距离——第i型车辆行驶噪声，昼间或夜间在距噪声等效行车线距离为r的预测点处的距离衰减量，dB（A）；</w:t>
      </w:r>
    </w:p>
    <w:p w14:paraId="3479292D">
      <w:pPr>
        <w:ind w:firstLine="1200" w:firstLineChars="500"/>
        <w:rPr>
          <w:rFonts w:ascii="Times New Roman" w:hAnsi="Times New Roman"/>
          <w:color w:val="auto"/>
          <w:highlight w:val="none"/>
        </w:rPr>
      </w:pPr>
      <w:r>
        <w:rPr>
          <w:rFonts w:ascii="Times New Roman" w:hAnsi="Times New Roman"/>
          <w:color w:val="auto"/>
          <w:highlight w:val="none"/>
        </w:rPr>
        <w:t>ΔL纵坡——公路纵坡引起的交通噪声修正量，dB（A）；</w:t>
      </w:r>
    </w:p>
    <w:p w14:paraId="31EDE5AE">
      <w:pPr>
        <w:ind w:firstLine="1200" w:firstLineChars="500"/>
        <w:rPr>
          <w:rFonts w:ascii="Times New Roman" w:hAnsi="Times New Roman"/>
          <w:color w:val="auto"/>
          <w:highlight w:val="none"/>
        </w:rPr>
      </w:pPr>
      <w:r>
        <w:rPr>
          <w:rFonts w:ascii="Times New Roman" w:hAnsi="Times New Roman"/>
          <w:color w:val="auto"/>
          <w:highlight w:val="none"/>
        </w:rPr>
        <w:t>ΔL路面——公路路面引起的交通噪声修正量，dB（A）。</w:t>
      </w:r>
    </w:p>
    <w:p w14:paraId="0519AFC9">
      <w:pPr>
        <w:ind w:firstLine="480"/>
        <w:rPr>
          <w:rFonts w:ascii="Times New Roman" w:hAnsi="Times New Roman"/>
          <w:color w:val="auto"/>
          <w:highlight w:val="none"/>
        </w:rPr>
      </w:pPr>
      <w:r>
        <w:rPr>
          <w:rFonts w:ascii="Times New Roman" w:hAnsi="Times New Roman"/>
          <w:color w:val="auto"/>
          <w:highlight w:val="none"/>
        </w:rPr>
        <w:t>本项目运输车辆引发的公路交通噪声对公路两侧的噪声贡献值见表5.</w:t>
      </w:r>
      <w:r>
        <w:rPr>
          <w:rFonts w:hint="eastAsia" w:ascii="Times New Roman" w:hAnsi="Times New Roman"/>
          <w:color w:val="auto"/>
          <w:highlight w:val="none"/>
        </w:rPr>
        <w:t>9</w:t>
      </w:r>
      <w:r>
        <w:rPr>
          <w:rFonts w:ascii="Times New Roman" w:hAnsi="Times New Roman"/>
          <w:color w:val="auto"/>
          <w:highlight w:val="none"/>
        </w:rPr>
        <w:t>-1。</w:t>
      </w:r>
    </w:p>
    <w:p w14:paraId="0A501412">
      <w:pPr>
        <w:pStyle w:val="23"/>
        <w:ind w:firstLine="0" w:firstLineChars="0"/>
        <w:jc w:val="center"/>
        <w:rPr>
          <w:rFonts w:ascii="Times New Roman" w:hAnsi="Times New Roman"/>
          <w:color w:val="auto"/>
          <w:highlight w:val="none"/>
        </w:rPr>
      </w:pPr>
      <w:r>
        <w:rPr>
          <w:rFonts w:ascii="Times New Roman" w:hAnsi="Times New Roman"/>
          <w:b/>
          <w:bCs/>
          <w:color w:val="auto"/>
          <w:highlight w:val="none"/>
        </w:rPr>
        <w:t>表5.</w:t>
      </w:r>
      <w:r>
        <w:rPr>
          <w:rFonts w:hint="eastAsia" w:ascii="Times New Roman" w:hAnsi="Times New Roman"/>
          <w:b/>
          <w:bCs/>
          <w:color w:val="auto"/>
          <w:highlight w:val="none"/>
        </w:rPr>
        <w:t>9</w:t>
      </w:r>
      <w:r>
        <w:rPr>
          <w:rFonts w:ascii="Times New Roman" w:hAnsi="Times New Roman"/>
          <w:b/>
          <w:bCs/>
          <w:color w:val="auto"/>
          <w:highlight w:val="none"/>
        </w:rPr>
        <w:t>-1本项目公路运输交通噪声贡献值（单位：dB(A)）</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775"/>
        <w:gridCol w:w="775"/>
        <w:gridCol w:w="775"/>
        <w:gridCol w:w="775"/>
        <w:gridCol w:w="784"/>
        <w:gridCol w:w="776"/>
        <w:gridCol w:w="776"/>
        <w:gridCol w:w="776"/>
        <w:gridCol w:w="776"/>
        <w:gridCol w:w="776"/>
        <w:gridCol w:w="758"/>
      </w:tblGrid>
      <w:tr w14:paraId="42FF639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55" w:type="pct"/>
            <w:noWrap w:val="0"/>
            <w:vAlign w:val="center"/>
          </w:tcPr>
          <w:p w14:paraId="55B4A03D">
            <w:pPr>
              <w:spacing w:line="240" w:lineRule="auto"/>
              <w:ind w:firstLine="0" w:firstLineChars="0"/>
              <w:jc w:val="center"/>
              <w:rPr>
                <w:color w:val="auto"/>
                <w:sz w:val="21"/>
                <w:szCs w:val="21"/>
                <w:highlight w:val="none"/>
              </w:rPr>
            </w:pPr>
            <w:r>
              <w:rPr>
                <w:color w:val="auto"/>
                <w:sz w:val="21"/>
                <w:szCs w:val="21"/>
                <w:highlight w:val="none"/>
              </w:rPr>
              <w:t>路段</w:t>
            </w:r>
          </w:p>
        </w:tc>
        <w:tc>
          <w:tcPr>
            <w:tcW w:w="4545" w:type="pct"/>
            <w:gridSpan w:val="10"/>
            <w:noWrap w:val="0"/>
            <w:vAlign w:val="center"/>
          </w:tcPr>
          <w:p w14:paraId="39412D31">
            <w:pPr>
              <w:spacing w:line="240" w:lineRule="auto"/>
              <w:ind w:firstLine="0" w:firstLineChars="0"/>
              <w:jc w:val="center"/>
              <w:rPr>
                <w:color w:val="auto"/>
                <w:sz w:val="21"/>
                <w:szCs w:val="21"/>
                <w:highlight w:val="none"/>
              </w:rPr>
            </w:pPr>
            <w:r>
              <w:rPr>
                <w:color w:val="auto"/>
                <w:sz w:val="21"/>
                <w:szCs w:val="21"/>
                <w:highlight w:val="none"/>
              </w:rPr>
              <w:t>公路中线两侧不同距离处交通噪声贡献值LAeq，dB（A）</w:t>
            </w:r>
          </w:p>
        </w:tc>
      </w:tr>
      <w:tr w14:paraId="05F2480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55" w:type="pct"/>
            <w:vMerge w:val="restart"/>
            <w:noWrap w:val="0"/>
            <w:vAlign w:val="center"/>
          </w:tcPr>
          <w:p w14:paraId="4F3664EA">
            <w:pPr>
              <w:spacing w:line="240" w:lineRule="auto"/>
              <w:ind w:firstLine="0" w:firstLineChars="0"/>
              <w:jc w:val="center"/>
              <w:rPr>
                <w:color w:val="auto"/>
                <w:sz w:val="21"/>
                <w:szCs w:val="21"/>
                <w:highlight w:val="none"/>
              </w:rPr>
            </w:pPr>
            <w:r>
              <w:rPr>
                <w:color w:val="auto"/>
                <w:sz w:val="21"/>
                <w:szCs w:val="21"/>
                <w:highlight w:val="none"/>
              </w:rPr>
              <w:t>全</w:t>
            </w:r>
          </w:p>
          <w:p w14:paraId="454176DE">
            <w:pPr>
              <w:spacing w:line="240" w:lineRule="auto"/>
              <w:ind w:firstLine="0" w:firstLineChars="0"/>
              <w:jc w:val="center"/>
              <w:rPr>
                <w:color w:val="auto"/>
                <w:sz w:val="21"/>
                <w:szCs w:val="21"/>
                <w:highlight w:val="none"/>
              </w:rPr>
            </w:pPr>
            <w:r>
              <w:rPr>
                <w:color w:val="auto"/>
                <w:sz w:val="21"/>
                <w:szCs w:val="21"/>
                <w:highlight w:val="none"/>
              </w:rPr>
              <w:t>路</w:t>
            </w:r>
          </w:p>
          <w:p w14:paraId="53E442B9">
            <w:pPr>
              <w:spacing w:line="240" w:lineRule="auto"/>
              <w:ind w:firstLine="0" w:firstLineChars="0"/>
              <w:jc w:val="center"/>
              <w:rPr>
                <w:color w:val="auto"/>
                <w:sz w:val="21"/>
                <w:szCs w:val="21"/>
                <w:highlight w:val="none"/>
              </w:rPr>
            </w:pPr>
            <w:r>
              <w:rPr>
                <w:color w:val="auto"/>
                <w:sz w:val="21"/>
                <w:szCs w:val="21"/>
                <w:highlight w:val="none"/>
              </w:rPr>
              <w:t>段</w:t>
            </w:r>
          </w:p>
        </w:tc>
        <w:tc>
          <w:tcPr>
            <w:tcW w:w="1824" w:type="pct"/>
            <w:gridSpan w:val="4"/>
            <w:noWrap w:val="0"/>
            <w:vAlign w:val="center"/>
          </w:tcPr>
          <w:p w14:paraId="045E2465">
            <w:pPr>
              <w:spacing w:line="240" w:lineRule="auto"/>
              <w:ind w:firstLine="0" w:firstLineChars="0"/>
              <w:jc w:val="center"/>
              <w:rPr>
                <w:color w:val="auto"/>
                <w:sz w:val="21"/>
                <w:szCs w:val="21"/>
                <w:highlight w:val="none"/>
              </w:rPr>
            </w:pPr>
            <w:r>
              <w:rPr>
                <w:color w:val="auto"/>
                <w:sz w:val="21"/>
                <w:szCs w:val="21"/>
                <w:highlight w:val="none"/>
              </w:rPr>
              <w:t>4a类声环境功能区</w:t>
            </w:r>
          </w:p>
        </w:tc>
        <w:tc>
          <w:tcPr>
            <w:tcW w:w="2721" w:type="pct"/>
            <w:gridSpan w:val="6"/>
            <w:noWrap w:val="0"/>
            <w:vAlign w:val="center"/>
          </w:tcPr>
          <w:p w14:paraId="4ADE774E">
            <w:pPr>
              <w:spacing w:line="240" w:lineRule="auto"/>
              <w:ind w:firstLine="0" w:firstLineChars="0"/>
              <w:jc w:val="center"/>
              <w:rPr>
                <w:color w:val="auto"/>
                <w:sz w:val="21"/>
                <w:szCs w:val="21"/>
                <w:highlight w:val="none"/>
              </w:rPr>
            </w:pPr>
            <w:r>
              <w:rPr>
                <w:rFonts w:hint="eastAsia"/>
                <w:color w:val="auto"/>
                <w:sz w:val="21"/>
                <w:szCs w:val="21"/>
                <w:highlight w:val="none"/>
              </w:rPr>
              <w:t>2</w:t>
            </w:r>
            <w:r>
              <w:rPr>
                <w:color w:val="auto"/>
                <w:sz w:val="21"/>
                <w:szCs w:val="21"/>
                <w:highlight w:val="none"/>
              </w:rPr>
              <w:t>类声环境功能区</w:t>
            </w:r>
          </w:p>
        </w:tc>
      </w:tr>
      <w:tr w14:paraId="0A09BFA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55" w:type="pct"/>
            <w:vMerge w:val="continue"/>
            <w:noWrap w:val="0"/>
            <w:vAlign w:val="center"/>
          </w:tcPr>
          <w:p w14:paraId="069E5BBC">
            <w:pPr>
              <w:spacing w:line="240" w:lineRule="auto"/>
              <w:ind w:firstLine="0" w:firstLineChars="0"/>
              <w:jc w:val="center"/>
              <w:rPr>
                <w:color w:val="auto"/>
                <w:sz w:val="21"/>
                <w:szCs w:val="21"/>
                <w:highlight w:val="none"/>
              </w:rPr>
            </w:pPr>
          </w:p>
        </w:tc>
        <w:tc>
          <w:tcPr>
            <w:tcW w:w="455" w:type="pct"/>
            <w:noWrap w:val="0"/>
            <w:vAlign w:val="center"/>
          </w:tcPr>
          <w:p w14:paraId="66BA926F">
            <w:pPr>
              <w:spacing w:line="240" w:lineRule="auto"/>
              <w:ind w:firstLine="0" w:firstLineChars="0"/>
              <w:jc w:val="center"/>
              <w:rPr>
                <w:color w:val="auto"/>
                <w:sz w:val="21"/>
                <w:szCs w:val="21"/>
                <w:highlight w:val="none"/>
              </w:rPr>
            </w:pPr>
            <w:r>
              <w:rPr>
                <w:color w:val="auto"/>
                <w:sz w:val="21"/>
                <w:szCs w:val="21"/>
                <w:highlight w:val="none"/>
              </w:rPr>
              <w:t>10m</w:t>
            </w:r>
          </w:p>
        </w:tc>
        <w:tc>
          <w:tcPr>
            <w:tcW w:w="455" w:type="pct"/>
            <w:noWrap w:val="0"/>
            <w:vAlign w:val="center"/>
          </w:tcPr>
          <w:p w14:paraId="69EA049E">
            <w:pPr>
              <w:spacing w:line="240" w:lineRule="auto"/>
              <w:ind w:firstLine="0" w:firstLineChars="0"/>
              <w:jc w:val="center"/>
              <w:rPr>
                <w:color w:val="auto"/>
                <w:sz w:val="21"/>
                <w:szCs w:val="21"/>
                <w:highlight w:val="none"/>
              </w:rPr>
            </w:pPr>
            <w:r>
              <w:rPr>
                <w:color w:val="auto"/>
                <w:sz w:val="21"/>
                <w:szCs w:val="21"/>
                <w:highlight w:val="none"/>
              </w:rPr>
              <w:t>20m</w:t>
            </w:r>
          </w:p>
        </w:tc>
        <w:tc>
          <w:tcPr>
            <w:tcW w:w="455" w:type="pct"/>
            <w:noWrap w:val="0"/>
            <w:vAlign w:val="center"/>
          </w:tcPr>
          <w:p w14:paraId="0180B3DC">
            <w:pPr>
              <w:spacing w:line="240" w:lineRule="auto"/>
              <w:ind w:firstLine="0" w:firstLineChars="0"/>
              <w:jc w:val="center"/>
              <w:rPr>
                <w:color w:val="auto"/>
                <w:sz w:val="21"/>
                <w:szCs w:val="21"/>
                <w:highlight w:val="none"/>
              </w:rPr>
            </w:pPr>
            <w:r>
              <w:rPr>
                <w:color w:val="auto"/>
                <w:sz w:val="21"/>
                <w:szCs w:val="21"/>
                <w:highlight w:val="none"/>
              </w:rPr>
              <w:t>30 m</w:t>
            </w:r>
          </w:p>
        </w:tc>
        <w:tc>
          <w:tcPr>
            <w:tcW w:w="460" w:type="pct"/>
            <w:noWrap w:val="0"/>
            <w:vAlign w:val="center"/>
          </w:tcPr>
          <w:p w14:paraId="4538EF9F">
            <w:pPr>
              <w:spacing w:line="240" w:lineRule="auto"/>
              <w:ind w:firstLine="0" w:firstLineChars="0"/>
              <w:jc w:val="center"/>
              <w:rPr>
                <w:color w:val="auto"/>
                <w:sz w:val="21"/>
                <w:szCs w:val="21"/>
                <w:highlight w:val="none"/>
              </w:rPr>
            </w:pPr>
            <w:r>
              <w:rPr>
                <w:color w:val="auto"/>
                <w:sz w:val="21"/>
                <w:szCs w:val="21"/>
                <w:highlight w:val="none"/>
              </w:rPr>
              <w:t>40 m</w:t>
            </w:r>
          </w:p>
        </w:tc>
        <w:tc>
          <w:tcPr>
            <w:tcW w:w="455" w:type="pct"/>
            <w:noWrap w:val="0"/>
            <w:vAlign w:val="center"/>
          </w:tcPr>
          <w:p w14:paraId="63418A8A">
            <w:pPr>
              <w:spacing w:line="240" w:lineRule="auto"/>
              <w:ind w:firstLine="0" w:firstLineChars="0"/>
              <w:jc w:val="center"/>
              <w:rPr>
                <w:color w:val="auto"/>
                <w:sz w:val="21"/>
                <w:szCs w:val="21"/>
                <w:highlight w:val="none"/>
              </w:rPr>
            </w:pPr>
            <w:r>
              <w:rPr>
                <w:color w:val="auto"/>
                <w:sz w:val="21"/>
                <w:szCs w:val="21"/>
                <w:highlight w:val="none"/>
              </w:rPr>
              <w:t>50 m</w:t>
            </w:r>
          </w:p>
        </w:tc>
        <w:tc>
          <w:tcPr>
            <w:tcW w:w="455" w:type="pct"/>
            <w:noWrap w:val="0"/>
            <w:vAlign w:val="center"/>
          </w:tcPr>
          <w:p w14:paraId="46164743">
            <w:pPr>
              <w:spacing w:line="240" w:lineRule="auto"/>
              <w:ind w:firstLine="0" w:firstLineChars="0"/>
              <w:jc w:val="center"/>
              <w:rPr>
                <w:color w:val="auto"/>
                <w:sz w:val="21"/>
                <w:szCs w:val="21"/>
                <w:highlight w:val="none"/>
              </w:rPr>
            </w:pPr>
            <w:r>
              <w:rPr>
                <w:color w:val="auto"/>
                <w:sz w:val="21"/>
                <w:szCs w:val="21"/>
                <w:highlight w:val="none"/>
              </w:rPr>
              <w:t>60 m</w:t>
            </w:r>
          </w:p>
        </w:tc>
        <w:tc>
          <w:tcPr>
            <w:tcW w:w="455" w:type="pct"/>
            <w:noWrap w:val="0"/>
            <w:vAlign w:val="center"/>
          </w:tcPr>
          <w:p w14:paraId="392B472E">
            <w:pPr>
              <w:spacing w:line="240" w:lineRule="auto"/>
              <w:ind w:firstLine="0" w:firstLineChars="0"/>
              <w:jc w:val="center"/>
              <w:rPr>
                <w:color w:val="auto"/>
                <w:sz w:val="21"/>
                <w:szCs w:val="21"/>
                <w:highlight w:val="none"/>
              </w:rPr>
            </w:pPr>
            <w:r>
              <w:rPr>
                <w:color w:val="auto"/>
                <w:sz w:val="21"/>
                <w:szCs w:val="21"/>
                <w:highlight w:val="none"/>
              </w:rPr>
              <w:t>70 m</w:t>
            </w:r>
          </w:p>
        </w:tc>
        <w:tc>
          <w:tcPr>
            <w:tcW w:w="455" w:type="pct"/>
            <w:noWrap w:val="0"/>
            <w:vAlign w:val="center"/>
          </w:tcPr>
          <w:p w14:paraId="61FB07B8">
            <w:pPr>
              <w:spacing w:line="240" w:lineRule="auto"/>
              <w:ind w:firstLine="0" w:firstLineChars="0"/>
              <w:jc w:val="center"/>
              <w:rPr>
                <w:color w:val="auto"/>
                <w:sz w:val="21"/>
                <w:szCs w:val="21"/>
                <w:highlight w:val="none"/>
              </w:rPr>
            </w:pPr>
            <w:r>
              <w:rPr>
                <w:color w:val="auto"/>
                <w:sz w:val="21"/>
                <w:szCs w:val="21"/>
                <w:highlight w:val="none"/>
              </w:rPr>
              <w:t>80 m</w:t>
            </w:r>
          </w:p>
        </w:tc>
        <w:tc>
          <w:tcPr>
            <w:tcW w:w="455" w:type="pct"/>
            <w:noWrap w:val="0"/>
            <w:vAlign w:val="center"/>
          </w:tcPr>
          <w:p w14:paraId="385622FC">
            <w:pPr>
              <w:spacing w:line="240" w:lineRule="auto"/>
              <w:ind w:firstLine="0" w:firstLineChars="0"/>
              <w:jc w:val="center"/>
              <w:rPr>
                <w:color w:val="auto"/>
                <w:sz w:val="21"/>
                <w:szCs w:val="21"/>
                <w:highlight w:val="none"/>
              </w:rPr>
            </w:pPr>
            <w:r>
              <w:rPr>
                <w:color w:val="auto"/>
                <w:sz w:val="21"/>
                <w:szCs w:val="21"/>
                <w:highlight w:val="none"/>
              </w:rPr>
              <w:t>90 m</w:t>
            </w:r>
          </w:p>
        </w:tc>
        <w:tc>
          <w:tcPr>
            <w:tcW w:w="445" w:type="pct"/>
            <w:noWrap w:val="0"/>
            <w:vAlign w:val="center"/>
          </w:tcPr>
          <w:p w14:paraId="1ABB701E">
            <w:pPr>
              <w:spacing w:line="240" w:lineRule="auto"/>
              <w:ind w:firstLine="0" w:firstLineChars="0"/>
              <w:jc w:val="center"/>
              <w:rPr>
                <w:color w:val="auto"/>
                <w:sz w:val="21"/>
                <w:szCs w:val="21"/>
                <w:highlight w:val="none"/>
              </w:rPr>
            </w:pPr>
            <w:r>
              <w:rPr>
                <w:color w:val="auto"/>
                <w:sz w:val="21"/>
                <w:szCs w:val="21"/>
                <w:highlight w:val="none"/>
              </w:rPr>
              <w:t>100 m</w:t>
            </w:r>
          </w:p>
        </w:tc>
      </w:tr>
      <w:tr w14:paraId="486F501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55" w:type="pct"/>
            <w:vMerge w:val="continue"/>
            <w:noWrap w:val="0"/>
            <w:vAlign w:val="center"/>
          </w:tcPr>
          <w:p w14:paraId="6A916DD4">
            <w:pPr>
              <w:spacing w:line="240" w:lineRule="auto"/>
              <w:ind w:firstLine="0" w:firstLineChars="0"/>
              <w:jc w:val="center"/>
              <w:rPr>
                <w:color w:val="auto"/>
                <w:sz w:val="21"/>
                <w:szCs w:val="21"/>
                <w:highlight w:val="none"/>
              </w:rPr>
            </w:pPr>
          </w:p>
        </w:tc>
        <w:tc>
          <w:tcPr>
            <w:tcW w:w="455" w:type="pct"/>
            <w:noWrap w:val="0"/>
            <w:vAlign w:val="center"/>
          </w:tcPr>
          <w:p w14:paraId="7D400625">
            <w:pPr>
              <w:spacing w:line="240" w:lineRule="auto"/>
              <w:ind w:firstLine="0" w:firstLineChars="0"/>
              <w:jc w:val="center"/>
              <w:rPr>
                <w:color w:val="auto"/>
                <w:sz w:val="21"/>
                <w:szCs w:val="21"/>
                <w:highlight w:val="none"/>
              </w:rPr>
            </w:pPr>
            <w:r>
              <w:rPr>
                <w:color w:val="auto"/>
                <w:sz w:val="21"/>
                <w:szCs w:val="21"/>
                <w:highlight w:val="none"/>
              </w:rPr>
              <w:t>54.9</w:t>
            </w:r>
          </w:p>
        </w:tc>
        <w:tc>
          <w:tcPr>
            <w:tcW w:w="455" w:type="pct"/>
            <w:noWrap w:val="0"/>
            <w:vAlign w:val="center"/>
          </w:tcPr>
          <w:p w14:paraId="74B63976">
            <w:pPr>
              <w:spacing w:line="240" w:lineRule="auto"/>
              <w:ind w:firstLine="0" w:firstLineChars="0"/>
              <w:jc w:val="center"/>
              <w:rPr>
                <w:color w:val="auto"/>
                <w:sz w:val="21"/>
                <w:szCs w:val="21"/>
                <w:highlight w:val="none"/>
              </w:rPr>
            </w:pPr>
            <w:r>
              <w:rPr>
                <w:color w:val="auto"/>
                <w:sz w:val="21"/>
                <w:szCs w:val="21"/>
                <w:highlight w:val="none"/>
              </w:rPr>
              <w:t>51.9</w:t>
            </w:r>
          </w:p>
        </w:tc>
        <w:tc>
          <w:tcPr>
            <w:tcW w:w="455" w:type="pct"/>
            <w:noWrap w:val="0"/>
            <w:vAlign w:val="center"/>
          </w:tcPr>
          <w:p w14:paraId="2F99831C">
            <w:pPr>
              <w:spacing w:line="240" w:lineRule="auto"/>
              <w:ind w:firstLine="0" w:firstLineChars="0"/>
              <w:jc w:val="center"/>
              <w:rPr>
                <w:color w:val="auto"/>
                <w:sz w:val="21"/>
                <w:szCs w:val="21"/>
                <w:highlight w:val="none"/>
              </w:rPr>
            </w:pPr>
            <w:r>
              <w:rPr>
                <w:color w:val="auto"/>
                <w:sz w:val="21"/>
                <w:szCs w:val="21"/>
                <w:highlight w:val="none"/>
              </w:rPr>
              <w:t>50.1</w:t>
            </w:r>
          </w:p>
        </w:tc>
        <w:tc>
          <w:tcPr>
            <w:tcW w:w="460" w:type="pct"/>
            <w:noWrap w:val="0"/>
            <w:vAlign w:val="center"/>
          </w:tcPr>
          <w:p w14:paraId="0D6BE3C6">
            <w:pPr>
              <w:spacing w:line="240" w:lineRule="auto"/>
              <w:ind w:firstLine="0" w:firstLineChars="0"/>
              <w:jc w:val="center"/>
              <w:rPr>
                <w:color w:val="auto"/>
                <w:sz w:val="21"/>
                <w:szCs w:val="21"/>
                <w:highlight w:val="none"/>
              </w:rPr>
            </w:pPr>
            <w:r>
              <w:rPr>
                <w:color w:val="auto"/>
                <w:sz w:val="21"/>
                <w:szCs w:val="21"/>
                <w:highlight w:val="none"/>
              </w:rPr>
              <w:t>48.8</w:t>
            </w:r>
          </w:p>
        </w:tc>
        <w:tc>
          <w:tcPr>
            <w:tcW w:w="455" w:type="pct"/>
            <w:noWrap w:val="0"/>
            <w:vAlign w:val="center"/>
          </w:tcPr>
          <w:p w14:paraId="62865416">
            <w:pPr>
              <w:spacing w:line="240" w:lineRule="auto"/>
              <w:ind w:firstLine="0" w:firstLineChars="0"/>
              <w:jc w:val="center"/>
              <w:rPr>
                <w:color w:val="auto"/>
                <w:sz w:val="21"/>
                <w:szCs w:val="21"/>
                <w:highlight w:val="none"/>
              </w:rPr>
            </w:pPr>
            <w:r>
              <w:rPr>
                <w:color w:val="auto"/>
                <w:sz w:val="21"/>
                <w:szCs w:val="21"/>
                <w:highlight w:val="none"/>
              </w:rPr>
              <w:t>47.8</w:t>
            </w:r>
          </w:p>
        </w:tc>
        <w:tc>
          <w:tcPr>
            <w:tcW w:w="455" w:type="pct"/>
            <w:noWrap w:val="0"/>
            <w:vAlign w:val="center"/>
          </w:tcPr>
          <w:p w14:paraId="097C1D7D">
            <w:pPr>
              <w:spacing w:line="240" w:lineRule="auto"/>
              <w:ind w:firstLine="0" w:firstLineChars="0"/>
              <w:jc w:val="center"/>
              <w:rPr>
                <w:color w:val="auto"/>
                <w:sz w:val="21"/>
                <w:szCs w:val="21"/>
                <w:highlight w:val="none"/>
              </w:rPr>
            </w:pPr>
            <w:r>
              <w:rPr>
                <w:color w:val="auto"/>
                <w:sz w:val="21"/>
                <w:szCs w:val="21"/>
                <w:highlight w:val="none"/>
              </w:rPr>
              <w:t>47</w:t>
            </w:r>
          </w:p>
        </w:tc>
        <w:tc>
          <w:tcPr>
            <w:tcW w:w="455" w:type="pct"/>
            <w:noWrap w:val="0"/>
            <w:vAlign w:val="center"/>
          </w:tcPr>
          <w:p w14:paraId="21EBD7EA">
            <w:pPr>
              <w:spacing w:line="240" w:lineRule="auto"/>
              <w:ind w:firstLine="0" w:firstLineChars="0"/>
              <w:jc w:val="center"/>
              <w:rPr>
                <w:color w:val="auto"/>
                <w:sz w:val="21"/>
                <w:szCs w:val="21"/>
                <w:highlight w:val="none"/>
              </w:rPr>
            </w:pPr>
            <w:r>
              <w:rPr>
                <w:color w:val="auto"/>
                <w:sz w:val="21"/>
                <w:szCs w:val="21"/>
                <w:highlight w:val="none"/>
              </w:rPr>
              <w:t>46.3</w:t>
            </w:r>
          </w:p>
        </w:tc>
        <w:tc>
          <w:tcPr>
            <w:tcW w:w="455" w:type="pct"/>
            <w:noWrap w:val="0"/>
            <w:vAlign w:val="center"/>
          </w:tcPr>
          <w:p w14:paraId="1F728DBD">
            <w:pPr>
              <w:spacing w:line="240" w:lineRule="auto"/>
              <w:ind w:firstLine="0" w:firstLineChars="0"/>
              <w:jc w:val="center"/>
              <w:rPr>
                <w:color w:val="auto"/>
                <w:sz w:val="21"/>
                <w:szCs w:val="21"/>
                <w:highlight w:val="none"/>
              </w:rPr>
            </w:pPr>
            <w:r>
              <w:rPr>
                <w:color w:val="auto"/>
                <w:sz w:val="21"/>
                <w:szCs w:val="21"/>
                <w:highlight w:val="none"/>
              </w:rPr>
              <w:t>45.7</w:t>
            </w:r>
          </w:p>
        </w:tc>
        <w:tc>
          <w:tcPr>
            <w:tcW w:w="455" w:type="pct"/>
            <w:noWrap w:val="0"/>
            <w:vAlign w:val="center"/>
          </w:tcPr>
          <w:p w14:paraId="6551A7B0">
            <w:pPr>
              <w:spacing w:line="240" w:lineRule="auto"/>
              <w:ind w:firstLine="0" w:firstLineChars="0"/>
              <w:jc w:val="center"/>
              <w:rPr>
                <w:color w:val="auto"/>
                <w:sz w:val="21"/>
                <w:szCs w:val="21"/>
                <w:highlight w:val="none"/>
              </w:rPr>
            </w:pPr>
            <w:r>
              <w:rPr>
                <w:color w:val="auto"/>
                <w:sz w:val="21"/>
                <w:szCs w:val="21"/>
                <w:highlight w:val="none"/>
              </w:rPr>
              <w:t>45.1</w:t>
            </w:r>
          </w:p>
        </w:tc>
        <w:tc>
          <w:tcPr>
            <w:tcW w:w="445" w:type="pct"/>
            <w:noWrap w:val="0"/>
            <w:vAlign w:val="center"/>
          </w:tcPr>
          <w:p w14:paraId="3279D81B">
            <w:pPr>
              <w:spacing w:line="240" w:lineRule="auto"/>
              <w:ind w:firstLine="0" w:firstLineChars="0"/>
              <w:jc w:val="center"/>
              <w:rPr>
                <w:color w:val="auto"/>
                <w:sz w:val="21"/>
                <w:szCs w:val="21"/>
                <w:highlight w:val="none"/>
              </w:rPr>
            </w:pPr>
            <w:r>
              <w:rPr>
                <w:color w:val="auto"/>
                <w:sz w:val="21"/>
                <w:szCs w:val="21"/>
                <w:highlight w:val="none"/>
              </w:rPr>
              <w:t>44.6</w:t>
            </w:r>
          </w:p>
        </w:tc>
      </w:tr>
    </w:tbl>
    <w:p w14:paraId="706F6DD3">
      <w:pPr>
        <w:rPr>
          <w:rFonts w:ascii="Times New Roman" w:hAnsi="Times New Roman"/>
          <w:color w:val="auto"/>
          <w:highlight w:val="none"/>
        </w:rPr>
      </w:pPr>
      <w:r>
        <w:rPr>
          <w:rFonts w:ascii="Times New Roman" w:hAnsi="Times New Roman"/>
          <w:color w:val="auto"/>
          <w:highlight w:val="none"/>
        </w:rPr>
        <w:t>由表5.</w:t>
      </w:r>
      <w:r>
        <w:rPr>
          <w:rFonts w:hint="eastAsia" w:ascii="Times New Roman" w:hAnsi="Times New Roman"/>
          <w:color w:val="auto"/>
          <w:highlight w:val="none"/>
        </w:rPr>
        <w:t>9-1</w:t>
      </w:r>
      <w:r>
        <w:rPr>
          <w:rFonts w:ascii="Times New Roman" w:hAnsi="Times New Roman"/>
          <w:color w:val="auto"/>
          <w:highlight w:val="none"/>
        </w:rPr>
        <w:t>可以看出，本项目运输车辆对市区道路两侧的交通噪声贡献值符合《声环境质量标准》（GB3096-2008）昼间4a类70dB（A）和2类60dB（A）标准限值。本项目夜间不安排运输，当白天运输车经过居民区时，运输车辆应采取限制车速、禁鸣等措施，可有效降低运输车辆噪声对道路两侧居民的影响。运输噪声影响相对较小，可以接受。</w:t>
      </w:r>
    </w:p>
    <w:p w14:paraId="55F1BB6C">
      <w:pPr>
        <w:pStyle w:val="4"/>
        <w:bidi w:val="0"/>
        <w:ind w:left="0" w:leftChars="0" w:firstLine="0" w:firstLineChars="0"/>
        <w:rPr>
          <w:rFonts w:hint="eastAsia"/>
          <w:highlight w:val="none"/>
          <w:lang w:val="en-US" w:eastAsia="zh-CN"/>
        </w:rPr>
      </w:pPr>
      <w:bookmarkStart w:id="145" w:name="_Toc8689"/>
      <w:r>
        <w:rPr>
          <w:rFonts w:hint="eastAsia"/>
          <w:highlight w:val="none"/>
          <w:lang w:val="en-US" w:eastAsia="zh-CN"/>
        </w:rPr>
        <w:t>5.10碳排放影响评价</w:t>
      </w:r>
      <w:bookmarkEnd w:id="145"/>
    </w:p>
    <w:p w14:paraId="5407D55B">
      <w:pPr>
        <w:bidi w:val="0"/>
        <w:rPr>
          <w:rFonts w:hint="eastAsia" w:ascii="Times New Roman" w:hAnsi="Times New Roman"/>
          <w:color w:val="auto"/>
          <w:highlight w:val="none"/>
        </w:rPr>
      </w:pPr>
      <w:r>
        <w:rPr>
          <w:rFonts w:hint="eastAsia" w:ascii="Times New Roman" w:hAnsi="Times New Roman"/>
          <w:color w:val="auto"/>
          <w:highlight w:val="none"/>
          <w:lang w:val="en-US" w:eastAsia="zh-CN"/>
        </w:rPr>
        <w:t>一、</w:t>
      </w:r>
      <w:r>
        <w:rPr>
          <w:rFonts w:hint="eastAsia" w:ascii="Times New Roman" w:hAnsi="Times New Roman"/>
          <w:color w:val="auto"/>
          <w:highlight w:val="none"/>
        </w:rPr>
        <w:t>排放源</w:t>
      </w:r>
    </w:p>
    <w:p w14:paraId="5CF48DB8">
      <w:pPr>
        <w:bidi w:val="0"/>
        <w:rPr>
          <w:rFonts w:hint="eastAsia" w:ascii="Times New Roman" w:hAnsi="Times New Roman"/>
          <w:color w:val="auto"/>
          <w:highlight w:val="none"/>
          <w:lang w:eastAsia="zh-CN"/>
        </w:rPr>
      </w:pPr>
      <w:r>
        <w:rPr>
          <w:rFonts w:hint="eastAsia" w:ascii="Times New Roman" w:hAnsi="Times New Roman"/>
          <w:color w:val="auto"/>
          <w:highlight w:val="none"/>
        </w:rPr>
        <w:t>本项目碳排放源为机组化石燃料燃烧产生的二氧化碳排放以及机组购入的电力产生的二氧化碳排放</w:t>
      </w:r>
      <w:r>
        <w:rPr>
          <w:rFonts w:hint="eastAsia" w:ascii="Times New Roman" w:hAnsi="Times New Roman"/>
          <w:color w:val="auto"/>
          <w:highlight w:val="none"/>
          <w:lang w:eastAsia="zh-CN"/>
        </w:rPr>
        <w:t>。</w:t>
      </w:r>
    </w:p>
    <w:p w14:paraId="4B74EAF7">
      <w:pPr>
        <w:bidi w:val="0"/>
        <w:rPr>
          <w:rFonts w:hint="eastAsia" w:ascii="Times New Roman" w:hAnsi="Times New Roman"/>
          <w:color w:val="auto"/>
          <w:highlight w:val="none"/>
          <w:lang w:eastAsia="zh-CN"/>
        </w:rPr>
      </w:pPr>
      <w:r>
        <w:rPr>
          <w:rFonts w:hint="eastAsia" w:ascii="Times New Roman" w:hAnsi="Times New Roman"/>
          <w:color w:val="auto"/>
          <w:highlight w:val="none"/>
          <w:lang w:eastAsia="zh-CN"/>
        </w:rPr>
        <w:t>（1）化石燃料燃烧产生的二氧化碳排放：一般包括发电锅炉（含启动锅炉）、燃气轮机等主要生产系统消耗的化石燃料产生的二氧化碳排放，不包括应急柴油发电机组、移动源、食堂等其他设施消耗化石燃料产生的排放。</w:t>
      </w:r>
    </w:p>
    <w:p w14:paraId="66BD4676">
      <w:pPr>
        <w:bidi w:val="0"/>
        <w:rPr>
          <w:rFonts w:hint="eastAsia" w:ascii="Times New Roman" w:hAnsi="Times New Roman"/>
          <w:color w:val="auto"/>
          <w:highlight w:val="none"/>
          <w:lang w:eastAsia="zh-CN"/>
        </w:rPr>
      </w:pPr>
      <w:r>
        <w:rPr>
          <w:rFonts w:hint="eastAsia" w:ascii="Times New Roman" w:hAnsi="Times New Roman"/>
          <w:color w:val="auto"/>
          <w:highlight w:val="none"/>
          <w:lang w:eastAsia="zh-CN"/>
        </w:rPr>
        <w:t>（2）购入使用电力产生的二氧化碳排放。</w:t>
      </w:r>
    </w:p>
    <w:p w14:paraId="2012CCCA">
      <w:pPr>
        <w:bidi w:val="0"/>
        <w:rPr>
          <w:rFonts w:hint="eastAsia" w:ascii="Times New Roman" w:hAnsi="Times New Roman"/>
          <w:color w:val="auto"/>
          <w:highlight w:val="none"/>
          <w:lang w:val="en-US" w:eastAsia="zh-CN"/>
        </w:rPr>
      </w:pPr>
      <w:r>
        <w:rPr>
          <w:rFonts w:hint="eastAsia" w:ascii="Times New Roman" w:hAnsi="Times New Roman"/>
          <w:color w:val="auto"/>
          <w:highlight w:val="none"/>
          <w:lang w:val="en-US" w:eastAsia="zh-CN"/>
        </w:rPr>
        <w:t>本项目二氧化碳排放主要为原煤及点火轻柴油燃烧释放的二氧化碳。</w:t>
      </w:r>
    </w:p>
    <w:p w14:paraId="20A4B607">
      <w:pPr>
        <w:bidi w:val="0"/>
        <w:rPr>
          <w:rFonts w:hint="eastAsia"/>
          <w:highlight w:val="none"/>
          <w:lang w:val="en-US" w:eastAsia="zh-CN"/>
        </w:rPr>
      </w:pPr>
      <w:r>
        <w:rPr>
          <w:rFonts w:hint="eastAsia"/>
          <w:highlight w:val="none"/>
          <w:lang w:val="en-US" w:eastAsia="zh-CN"/>
        </w:rPr>
        <w:t>二、二氧化碳排放量核算</w:t>
      </w:r>
    </w:p>
    <w:p w14:paraId="5C4E7A82">
      <w:pPr>
        <w:widowControl/>
        <w:spacing w:line="360" w:lineRule="auto"/>
        <w:ind w:firstLine="480" w:firstLineChars="200"/>
        <w:jc w:val="left"/>
        <w:rPr>
          <w:sz w:val="24"/>
          <w:highlight w:val="none"/>
        </w:rPr>
      </w:pPr>
      <w:r>
        <w:rPr>
          <w:rFonts w:hint="eastAsia"/>
          <w:kern w:val="0"/>
          <w:sz w:val="24"/>
          <w:highlight w:val="none"/>
          <w:lang w:bidi="ar"/>
        </w:rPr>
        <w:t>1、</w:t>
      </w:r>
      <w:r>
        <w:rPr>
          <w:kern w:val="0"/>
          <w:sz w:val="24"/>
          <w:highlight w:val="none"/>
          <w:lang w:bidi="ar"/>
        </w:rPr>
        <w:t xml:space="preserve">数据中心的温室气体排放总量等于核算边界内所有生产系统的化石燃料烧排放量、净购入的电力和热力产生的排放量之和，按公式（1）计算。 </w:t>
      </w:r>
    </w:p>
    <w:p w14:paraId="6DC89FF7">
      <w:pPr>
        <w:widowControl/>
        <w:spacing w:line="360" w:lineRule="auto"/>
        <w:ind w:firstLine="480" w:firstLineChars="200"/>
        <w:jc w:val="left"/>
        <w:rPr>
          <w:sz w:val="24"/>
          <w:highlight w:val="none"/>
        </w:rPr>
      </w:pPr>
      <w:r>
        <w:rPr>
          <w:kern w:val="0"/>
          <w:sz w:val="24"/>
          <w:highlight w:val="none"/>
          <w:lang w:bidi="ar"/>
        </w:rPr>
        <w:t>E = E</w:t>
      </w:r>
      <w:r>
        <w:rPr>
          <w:kern w:val="0"/>
          <w:sz w:val="24"/>
          <w:highlight w:val="none"/>
          <w:vertAlign w:val="subscript"/>
          <w:lang w:bidi="ar"/>
        </w:rPr>
        <w:t>燃烧</w:t>
      </w:r>
      <w:r>
        <w:rPr>
          <w:kern w:val="0"/>
          <w:sz w:val="24"/>
          <w:highlight w:val="none"/>
          <w:lang w:bidi="ar"/>
        </w:rPr>
        <w:t xml:space="preserve"> + E</w:t>
      </w:r>
      <w:r>
        <w:rPr>
          <w:kern w:val="0"/>
          <w:sz w:val="24"/>
          <w:highlight w:val="none"/>
          <w:vertAlign w:val="subscript"/>
          <w:lang w:bidi="ar"/>
        </w:rPr>
        <w:t>电和热</w:t>
      </w:r>
    </w:p>
    <w:p w14:paraId="758524B7">
      <w:pPr>
        <w:widowControl/>
        <w:spacing w:line="360" w:lineRule="auto"/>
        <w:ind w:firstLine="480" w:firstLineChars="200"/>
        <w:jc w:val="left"/>
        <w:rPr>
          <w:sz w:val="24"/>
          <w:highlight w:val="none"/>
        </w:rPr>
      </w:pPr>
      <w:r>
        <w:rPr>
          <w:kern w:val="0"/>
          <w:sz w:val="24"/>
          <w:highlight w:val="none"/>
          <w:lang w:bidi="ar"/>
        </w:rPr>
        <w:t xml:space="preserve">式中： </w:t>
      </w:r>
    </w:p>
    <w:p w14:paraId="52C9F383">
      <w:pPr>
        <w:widowControl/>
        <w:spacing w:line="360" w:lineRule="auto"/>
        <w:ind w:firstLine="480" w:firstLineChars="200"/>
        <w:jc w:val="left"/>
        <w:rPr>
          <w:sz w:val="24"/>
          <w:highlight w:val="none"/>
        </w:rPr>
      </w:pPr>
      <w:r>
        <w:rPr>
          <w:kern w:val="0"/>
          <w:sz w:val="24"/>
          <w:highlight w:val="none"/>
          <w:lang w:bidi="ar"/>
        </w:rPr>
        <w:t>E</w:t>
      </w:r>
      <w:r>
        <w:rPr>
          <w:rFonts w:hint="eastAsia"/>
          <w:kern w:val="0"/>
          <w:sz w:val="24"/>
          <w:highlight w:val="none"/>
          <w:lang w:bidi="ar"/>
        </w:rPr>
        <w:t>：</w:t>
      </w:r>
      <w:r>
        <w:rPr>
          <w:kern w:val="0"/>
          <w:sz w:val="24"/>
          <w:highlight w:val="none"/>
          <w:lang w:bidi="ar"/>
        </w:rPr>
        <w:t>为二氧化碳排放总量，单位为吨二氧化碳当量（tCO</w:t>
      </w:r>
      <w:r>
        <w:rPr>
          <w:kern w:val="0"/>
          <w:sz w:val="24"/>
          <w:highlight w:val="none"/>
          <w:vertAlign w:val="subscript"/>
          <w:lang w:bidi="ar"/>
        </w:rPr>
        <w:t>2</w:t>
      </w:r>
      <w:r>
        <w:rPr>
          <w:kern w:val="0"/>
          <w:sz w:val="24"/>
          <w:highlight w:val="none"/>
          <w:lang w:bidi="ar"/>
        </w:rPr>
        <w:t xml:space="preserve">e）； </w:t>
      </w:r>
    </w:p>
    <w:p w14:paraId="784DDF2E">
      <w:pPr>
        <w:widowControl/>
        <w:spacing w:line="360" w:lineRule="auto"/>
        <w:ind w:firstLine="480" w:firstLineChars="200"/>
        <w:jc w:val="left"/>
        <w:rPr>
          <w:sz w:val="24"/>
          <w:highlight w:val="none"/>
        </w:rPr>
      </w:pPr>
      <w:r>
        <w:rPr>
          <w:kern w:val="0"/>
          <w:sz w:val="24"/>
          <w:highlight w:val="none"/>
          <w:lang w:bidi="ar"/>
        </w:rPr>
        <w:t xml:space="preserve">E </w:t>
      </w:r>
      <w:r>
        <w:rPr>
          <w:kern w:val="0"/>
          <w:sz w:val="24"/>
          <w:highlight w:val="none"/>
          <w:vertAlign w:val="subscript"/>
          <w:lang w:bidi="ar"/>
        </w:rPr>
        <w:t>燃烧</w:t>
      </w:r>
      <w:r>
        <w:rPr>
          <w:rFonts w:hint="eastAsia"/>
          <w:kern w:val="0"/>
          <w:sz w:val="24"/>
          <w:highlight w:val="none"/>
          <w:lang w:bidi="ar"/>
        </w:rPr>
        <w:t>：</w:t>
      </w:r>
      <w:r>
        <w:rPr>
          <w:kern w:val="0"/>
          <w:sz w:val="24"/>
          <w:highlight w:val="none"/>
          <w:lang w:bidi="ar"/>
        </w:rPr>
        <w:t xml:space="preserve">为燃烧化石燃料产生的二氧化碳排放量，单位为吨 </w:t>
      </w:r>
    </w:p>
    <w:p w14:paraId="3597198B">
      <w:pPr>
        <w:widowControl/>
        <w:spacing w:line="360" w:lineRule="auto"/>
        <w:ind w:firstLine="480" w:firstLineChars="200"/>
        <w:jc w:val="left"/>
        <w:rPr>
          <w:sz w:val="24"/>
          <w:highlight w:val="none"/>
        </w:rPr>
      </w:pPr>
      <w:r>
        <w:rPr>
          <w:kern w:val="0"/>
          <w:sz w:val="24"/>
          <w:highlight w:val="none"/>
          <w:lang w:bidi="ar"/>
        </w:rPr>
        <w:t>（tCO</w:t>
      </w:r>
      <w:r>
        <w:rPr>
          <w:kern w:val="0"/>
          <w:sz w:val="24"/>
          <w:highlight w:val="none"/>
          <w:vertAlign w:val="subscript"/>
          <w:lang w:bidi="ar"/>
        </w:rPr>
        <w:t>2</w:t>
      </w:r>
      <w:r>
        <w:rPr>
          <w:kern w:val="0"/>
          <w:sz w:val="24"/>
          <w:highlight w:val="none"/>
          <w:lang w:bidi="ar"/>
        </w:rPr>
        <w:t xml:space="preserve">e）； </w:t>
      </w:r>
    </w:p>
    <w:p w14:paraId="4FE9F420">
      <w:pPr>
        <w:widowControl/>
        <w:spacing w:line="360" w:lineRule="auto"/>
        <w:ind w:firstLine="480" w:firstLineChars="200"/>
        <w:jc w:val="left"/>
        <w:rPr>
          <w:kern w:val="0"/>
          <w:sz w:val="24"/>
          <w:highlight w:val="none"/>
          <w:lang w:bidi="ar"/>
        </w:rPr>
      </w:pPr>
      <w:r>
        <w:rPr>
          <w:kern w:val="0"/>
          <w:sz w:val="24"/>
          <w:highlight w:val="none"/>
          <w:lang w:bidi="ar"/>
        </w:rPr>
        <w:t>E</w:t>
      </w:r>
      <w:r>
        <w:rPr>
          <w:kern w:val="0"/>
          <w:sz w:val="24"/>
          <w:highlight w:val="none"/>
          <w:vertAlign w:val="subscript"/>
          <w:lang w:bidi="ar"/>
        </w:rPr>
        <w:t xml:space="preserve">电和热 </w:t>
      </w:r>
      <w:r>
        <w:rPr>
          <w:rFonts w:hint="eastAsia"/>
          <w:kern w:val="0"/>
          <w:sz w:val="24"/>
          <w:highlight w:val="none"/>
          <w:lang w:bidi="ar"/>
        </w:rPr>
        <w:t>：</w:t>
      </w:r>
      <w:r>
        <w:rPr>
          <w:kern w:val="0"/>
          <w:sz w:val="24"/>
          <w:highlight w:val="none"/>
          <w:lang w:bidi="ar"/>
        </w:rPr>
        <w:t>为净购入使用电力和热力消费的排放量（tCO</w:t>
      </w:r>
      <w:r>
        <w:rPr>
          <w:kern w:val="0"/>
          <w:sz w:val="24"/>
          <w:highlight w:val="none"/>
          <w:vertAlign w:val="subscript"/>
          <w:lang w:bidi="ar"/>
        </w:rPr>
        <w:t>2</w:t>
      </w:r>
      <w:r>
        <w:rPr>
          <w:kern w:val="0"/>
          <w:sz w:val="24"/>
          <w:highlight w:val="none"/>
          <w:lang w:bidi="ar"/>
        </w:rPr>
        <w:t xml:space="preserve">e）； </w:t>
      </w:r>
    </w:p>
    <w:p w14:paraId="412E5D54">
      <w:pPr>
        <w:widowControl/>
        <w:spacing w:line="360" w:lineRule="auto"/>
        <w:ind w:firstLine="482" w:firstLineChars="200"/>
        <w:jc w:val="left"/>
        <w:rPr>
          <w:b/>
          <w:bCs/>
          <w:kern w:val="0"/>
          <w:sz w:val="24"/>
          <w:highlight w:val="none"/>
          <w:lang w:bidi="ar"/>
        </w:rPr>
      </w:pPr>
      <w:r>
        <w:rPr>
          <w:b/>
          <w:bCs/>
          <w:kern w:val="0"/>
          <w:sz w:val="24"/>
          <w:highlight w:val="none"/>
          <w:lang w:bidi="ar"/>
        </w:rPr>
        <w:t xml:space="preserve">2、化石燃料燃烧排放 </w:t>
      </w:r>
    </w:p>
    <w:p w14:paraId="7E4690F1">
      <w:pPr>
        <w:widowControl/>
        <w:spacing w:line="360" w:lineRule="auto"/>
        <w:ind w:firstLine="480" w:firstLineChars="200"/>
        <w:jc w:val="left"/>
        <w:rPr>
          <w:sz w:val="24"/>
          <w:highlight w:val="none"/>
        </w:rPr>
      </w:pPr>
      <w:r>
        <w:rPr>
          <w:kern w:val="0"/>
          <w:sz w:val="24"/>
          <w:highlight w:val="none"/>
          <w:lang w:bidi="ar"/>
        </w:rPr>
        <w:t>化石燃料燃烧导致的二氧化碳排放量是数据中心核算和报告年度内各种化石燃料燃烧产生的二氧化碳排放量的加总，按公式（2）计算。</w:t>
      </w:r>
      <w:r>
        <w:rPr>
          <w:rFonts w:hint="eastAsia" w:ascii="仿宋" w:hAnsi="仿宋" w:eastAsia="仿宋" w:cs="仿宋"/>
          <w:kern w:val="0"/>
          <w:sz w:val="24"/>
          <w:highlight w:val="none"/>
          <w:lang w:bidi="ar"/>
        </w:rPr>
        <w:t xml:space="preserve"> </w:t>
      </w:r>
    </w:p>
    <w:p w14:paraId="4D92A63C">
      <w:pPr>
        <w:widowControl/>
        <w:spacing w:line="360" w:lineRule="auto"/>
        <w:ind w:firstLine="480" w:firstLineChars="200"/>
        <w:jc w:val="left"/>
        <w:rPr>
          <w:sz w:val="24"/>
          <w:highlight w:val="none"/>
        </w:rPr>
      </w:pPr>
      <w:r>
        <w:rPr>
          <w:rFonts w:hint="eastAsia"/>
          <w:i/>
          <w:iCs/>
          <w:kern w:val="0"/>
          <w:sz w:val="24"/>
          <w:highlight w:val="none"/>
          <w:lang w:bidi="ar"/>
        </w:rPr>
        <w:t xml:space="preserve">                </w:t>
      </w:r>
      <w:r>
        <w:rPr>
          <w:rFonts w:hint="eastAsia"/>
          <w:i/>
          <w:iCs/>
          <w:kern w:val="0"/>
          <w:sz w:val="24"/>
          <w:highlight w:val="none"/>
          <w:lang w:bidi="ar"/>
        </w:rPr>
        <w:drawing>
          <wp:inline distT="0" distB="0" distL="114300" distR="114300">
            <wp:extent cx="1583690" cy="433070"/>
            <wp:effectExtent l="0" t="0" r="16510" b="5080"/>
            <wp:docPr id="476" name="图片 476" descr="1716718138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descr="1716718138926"/>
                    <pic:cNvPicPr>
                      <a:picLocks noChangeAspect="1"/>
                    </pic:cNvPicPr>
                  </pic:nvPicPr>
                  <pic:blipFill>
                    <a:blip r:embed="rId55"/>
                    <a:stretch>
                      <a:fillRect/>
                    </a:stretch>
                  </pic:blipFill>
                  <pic:spPr>
                    <a:xfrm>
                      <a:off x="0" y="0"/>
                      <a:ext cx="1583690" cy="433070"/>
                    </a:xfrm>
                    <a:prstGeom prst="rect">
                      <a:avLst/>
                    </a:prstGeom>
                  </pic:spPr>
                </pic:pic>
              </a:graphicData>
            </a:graphic>
          </wp:inline>
        </w:drawing>
      </w:r>
      <w:r>
        <w:rPr>
          <w:rFonts w:hint="eastAsia"/>
          <w:i/>
          <w:iCs/>
          <w:kern w:val="0"/>
          <w:sz w:val="24"/>
          <w:highlight w:val="none"/>
          <w:lang w:bidi="ar"/>
        </w:rPr>
        <w:t xml:space="preserve">       </w:t>
      </w:r>
      <w:r>
        <w:rPr>
          <w:rFonts w:hint="eastAsia" w:ascii="仿宋" w:hAnsi="仿宋" w:eastAsia="仿宋" w:cs="仿宋"/>
          <w:kern w:val="0"/>
          <w:sz w:val="24"/>
          <w:highlight w:val="none"/>
          <w:lang w:bidi="ar"/>
        </w:rPr>
        <w:t>（2）</w:t>
      </w:r>
    </w:p>
    <w:p w14:paraId="4E038D40">
      <w:pPr>
        <w:widowControl/>
        <w:spacing w:line="360" w:lineRule="auto"/>
        <w:ind w:firstLine="480" w:firstLineChars="200"/>
        <w:jc w:val="left"/>
        <w:rPr>
          <w:sz w:val="24"/>
          <w:highlight w:val="none"/>
        </w:rPr>
      </w:pPr>
      <w:r>
        <w:rPr>
          <w:rFonts w:ascii="仿宋" w:hAnsi="仿宋" w:eastAsia="仿宋" w:cs="仿宋"/>
          <w:kern w:val="0"/>
          <w:sz w:val="24"/>
          <w:highlight w:val="none"/>
          <w:lang w:bidi="ar"/>
        </w:rPr>
        <w:t xml:space="preserve">式中： </w:t>
      </w:r>
    </w:p>
    <w:p w14:paraId="75750155">
      <w:pPr>
        <w:widowControl/>
        <w:spacing w:line="360" w:lineRule="auto"/>
        <w:ind w:firstLine="480" w:firstLineChars="200"/>
        <w:jc w:val="left"/>
        <w:rPr>
          <w:sz w:val="24"/>
          <w:highlight w:val="none"/>
        </w:rPr>
      </w:pPr>
      <w:r>
        <w:rPr>
          <w:i/>
          <w:iCs/>
          <w:kern w:val="0"/>
          <w:sz w:val="24"/>
          <w:highlight w:val="none"/>
          <w:lang w:bidi="ar"/>
        </w:rPr>
        <w:t>E</w:t>
      </w:r>
      <w:r>
        <w:rPr>
          <w:kern w:val="0"/>
          <w:sz w:val="24"/>
          <w:highlight w:val="none"/>
          <w:vertAlign w:val="subscript"/>
          <w:lang w:bidi="ar"/>
        </w:rPr>
        <w:t>燃烧</w:t>
      </w:r>
      <w:r>
        <w:rPr>
          <w:kern w:val="0"/>
          <w:sz w:val="24"/>
          <w:highlight w:val="none"/>
          <w:lang w:bidi="ar"/>
        </w:rPr>
        <w:t xml:space="preserve"> 为核算和报告年度内化石燃料燃烧产生的 CO</w:t>
      </w:r>
      <w:r>
        <w:rPr>
          <w:kern w:val="0"/>
          <w:sz w:val="24"/>
          <w:highlight w:val="none"/>
          <w:vertAlign w:val="subscript"/>
          <w:lang w:bidi="ar"/>
        </w:rPr>
        <w:t>2</w:t>
      </w:r>
      <w:r>
        <w:rPr>
          <w:kern w:val="0"/>
          <w:sz w:val="24"/>
          <w:highlight w:val="none"/>
          <w:lang w:bidi="ar"/>
        </w:rPr>
        <w:t xml:space="preserve"> 排放量，单位为吨（tCO2e）； </w:t>
      </w:r>
    </w:p>
    <w:p w14:paraId="5C6F0813">
      <w:pPr>
        <w:widowControl/>
        <w:spacing w:line="360" w:lineRule="auto"/>
        <w:ind w:firstLine="480" w:firstLineChars="200"/>
        <w:jc w:val="left"/>
        <w:rPr>
          <w:sz w:val="24"/>
          <w:highlight w:val="none"/>
        </w:rPr>
      </w:pPr>
      <w:r>
        <w:rPr>
          <w:i/>
          <w:iCs/>
          <w:kern w:val="0"/>
          <w:sz w:val="24"/>
          <w:highlight w:val="none"/>
          <w:lang w:bidi="ar"/>
        </w:rPr>
        <w:t>AD</w:t>
      </w:r>
      <w:r>
        <w:rPr>
          <w:i/>
          <w:iCs/>
          <w:kern w:val="0"/>
          <w:sz w:val="24"/>
          <w:highlight w:val="none"/>
          <w:vertAlign w:val="subscript"/>
          <w:lang w:bidi="ar"/>
        </w:rPr>
        <w:t>i</w:t>
      </w:r>
      <w:r>
        <w:rPr>
          <w:i/>
          <w:iCs/>
          <w:kern w:val="0"/>
          <w:sz w:val="24"/>
          <w:highlight w:val="none"/>
          <w:lang w:bidi="ar"/>
        </w:rPr>
        <w:t xml:space="preserve"> </w:t>
      </w:r>
      <w:r>
        <w:rPr>
          <w:kern w:val="0"/>
          <w:sz w:val="24"/>
          <w:highlight w:val="none"/>
          <w:lang w:bidi="ar"/>
        </w:rPr>
        <w:t xml:space="preserve">为核算和报告期内第 i 种化石燃料的活动水平，单位为百万千焦（GJ）； </w:t>
      </w:r>
    </w:p>
    <w:p w14:paraId="51C1EC60">
      <w:pPr>
        <w:widowControl/>
        <w:spacing w:line="360" w:lineRule="auto"/>
        <w:ind w:firstLine="480" w:firstLineChars="200"/>
        <w:jc w:val="left"/>
        <w:rPr>
          <w:sz w:val="24"/>
          <w:highlight w:val="none"/>
        </w:rPr>
      </w:pPr>
      <w:r>
        <w:rPr>
          <w:i/>
          <w:iCs/>
          <w:kern w:val="0"/>
          <w:sz w:val="24"/>
          <w:highlight w:val="none"/>
          <w:lang w:bidi="ar"/>
        </w:rPr>
        <w:t>EF</w:t>
      </w:r>
      <w:r>
        <w:rPr>
          <w:i/>
          <w:iCs/>
          <w:kern w:val="0"/>
          <w:sz w:val="24"/>
          <w:highlight w:val="none"/>
          <w:vertAlign w:val="subscript"/>
          <w:lang w:bidi="ar"/>
        </w:rPr>
        <w:t>i</w:t>
      </w:r>
      <w:r>
        <w:rPr>
          <w:i/>
          <w:iCs/>
          <w:kern w:val="0"/>
          <w:sz w:val="24"/>
          <w:highlight w:val="none"/>
          <w:lang w:bidi="ar"/>
        </w:rPr>
        <w:t xml:space="preserve"> </w:t>
      </w:r>
      <w:r>
        <w:rPr>
          <w:kern w:val="0"/>
          <w:sz w:val="24"/>
          <w:highlight w:val="none"/>
          <w:lang w:bidi="ar"/>
        </w:rPr>
        <w:t>为第 i 种化石燃料的二氧化碳排放因子，单位为 tCO</w:t>
      </w:r>
      <w:r>
        <w:rPr>
          <w:kern w:val="0"/>
          <w:sz w:val="24"/>
          <w:highlight w:val="none"/>
          <w:vertAlign w:val="subscript"/>
          <w:lang w:bidi="ar"/>
        </w:rPr>
        <w:t>2</w:t>
      </w:r>
      <w:r>
        <w:rPr>
          <w:kern w:val="0"/>
          <w:sz w:val="24"/>
          <w:highlight w:val="none"/>
          <w:lang w:bidi="ar"/>
        </w:rPr>
        <w:t xml:space="preserve">/GJ； </w:t>
      </w:r>
    </w:p>
    <w:p w14:paraId="7E8CFEBC">
      <w:pPr>
        <w:widowControl/>
        <w:spacing w:line="360" w:lineRule="auto"/>
        <w:ind w:firstLine="480" w:firstLineChars="200"/>
        <w:jc w:val="left"/>
        <w:rPr>
          <w:highlight w:val="none"/>
        </w:rPr>
      </w:pPr>
      <w:r>
        <w:rPr>
          <w:i/>
          <w:iCs/>
          <w:kern w:val="0"/>
          <w:sz w:val="24"/>
          <w:highlight w:val="none"/>
          <w:lang w:bidi="ar"/>
        </w:rPr>
        <w:t xml:space="preserve">i </w:t>
      </w:r>
      <w:r>
        <w:rPr>
          <w:kern w:val="0"/>
          <w:sz w:val="24"/>
          <w:highlight w:val="none"/>
          <w:lang w:bidi="ar"/>
        </w:rPr>
        <w:t>为化石燃料类型代号。</w:t>
      </w:r>
      <w:r>
        <w:rPr>
          <w:rFonts w:hint="eastAsia" w:ascii="仿宋" w:hAnsi="仿宋" w:eastAsia="仿宋" w:cs="仿宋"/>
          <w:kern w:val="0"/>
          <w:sz w:val="28"/>
          <w:szCs w:val="28"/>
          <w:highlight w:val="none"/>
          <w:lang w:bidi="ar"/>
        </w:rPr>
        <w:t xml:space="preserve"> </w:t>
      </w:r>
    </w:p>
    <w:p w14:paraId="58B2CCEF">
      <w:pPr>
        <w:widowControl/>
        <w:spacing w:line="360" w:lineRule="auto"/>
        <w:ind w:firstLine="482" w:firstLineChars="200"/>
        <w:jc w:val="left"/>
        <w:rPr>
          <w:b/>
          <w:bCs/>
          <w:kern w:val="0"/>
          <w:sz w:val="24"/>
          <w:highlight w:val="none"/>
          <w:lang w:bidi="ar"/>
        </w:rPr>
      </w:pPr>
      <w:r>
        <w:rPr>
          <w:rFonts w:hint="eastAsia"/>
          <w:b/>
          <w:bCs/>
          <w:kern w:val="0"/>
          <w:sz w:val="24"/>
          <w:highlight w:val="none"/>
          <w:lang w:bidi="ar"/>
        </w:rPr>
        <w:t xml:space="preserve">1）活动水平数据获取 </w:t>
      </w:r>
    </w:p>
    <w:p w14:paraId="282AE5D1">
      <w:pPr>
        <w:widowControl/>
        <w:spacing w:line="360" w:lineRule="auto"/>
        <w:ind w:firstLine="480" w:firstLineChars="200"/>
        <w:jc w:val="left"/>
        <w:rPr>
          <w:sz w:val="24"/>
          <w:highlight w:val="none"/>
        </w:rPr>
      </w:pPr>
      <w:r>
        <w:rPr>
          <w:kern w:val="0"/>
          <w:sz w:val="24"/>
          <w:highlight w:val="none"/>
          <w:lang w:bidi="ar"/>
        </w:rPr>
        <w:t xml:space="preserve">化石燃料燃烧的活动水平是核算和报告年度内各种化石燃料的消耗量与平均低位发热量的乘积，按公式（3）计算。 </w:t>
      </w:r>
    </w:p>
    <w:p w14:paraId="71B58C11">
      <w:pPr>
        <w:widowControl/>
        <w:spacing w:line="360" w:lineRule="auto"/>
        <w:ind w:firstLine="480" w:firstLineChars="200"/>
        <w:jc w:val="left"/>
        <w:rPr>
          <w:sz w:val="24"/>
          <w:highlight w:val="none"/>
        </w:rPr>
      </w:pPr>
      <w:r>
        <w:rPr>
          <w:i/>
          <w:iCs/>
          <w:kern w:val="0"/>
          <w:sz w:val="24"/>
          <w:highlight w:val="none"/>
          <w:lang w:bidi="ar"/>
        </w:rPr>
        <w:drawing>
          <wp:inline distT="0" distB="0" distL="114300" distR="114300">
            <wp:extent cx="1506855" cy="304800"/>
            <wp:effectExtent l="0" t="0" r="17145" b="0"/>
            <wp:docPr id="479" name="图片 479" descr="1716718740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descr="1716718740597"/>
                    <pic:cNvPicPr>
                      <a:picLocks noChangeAspect="1"/>
                    </pic:cNvPicPr>
                  </pic:nvPicPr>
                  <pic:blipFill>
                    <a:blip r:embed="rId56"/>
                    <a:srcRect b="36000"/>
                    <a:stretch>
                      <a:fillRect/>
                    </a:stretch>
                  </pic:blipFill>
                  <pic:spPr>
                    <a:xfrm>
                      <a:off x="0" y="0"/>
                      <a:ext cx="1506855" cy="304800"/>
                    </a:xfrm>
                    <a:prstGeom prst="rect">
                      <a:avLst/>
                    </a:prstGeom>
                  </pic:spPr>
                </pic:pic>
              </a:graphicData>
            </a:graphic>
          </wp:inline>
        </w:drawing>
      </w:r>
      <w:r>
        <w:rPr>
          <w:i/>
          <w:iCs/>
          <w:kern w:val="0"/>
          <w:sz w:val="24"/>
          <w:highlight w:val="none"/>
          <w:lang w:bidi="ar"/>
        </w:rPr>
        <w:t xml:space="preserve">    </w:t>
      </w:r>
      <w:r>
        <w:rPr>
          <w:kern w:val="0"/>
          <w:sz w:val="24"/>
          <w:highlight w:val="none"/>
          <w:lang w:bidi="ar"/>
        </w:rPr>
        <w:t xml:space="preserve">（3） </w:t>
      </w:r>
    </w:p>
    <w:p w14:paraId="3D3781C8">
      <w:pPr>
        <w:widowControl/>
        <w:spacing w:line="360" w:lineRule="auto"/>
        <w:ind w:firstLine="480" w:firstLineChars="200"/>
        <w:jc w:val="left"/>
        <w:rPr>
          <w:sz w:val="24"/>
          <w:highlight w:val="none"/>
        </w:rPr>
      </w:pPr>
      <w:r>
        <w:rPr>
          <w:kern w:val="0"/>
          <w:sz w:val="24"/>
          <w:highlight w:val="none"/>
          <w:lang w:bidi="ar"/>
        </w:rPr>
        <w:t>式中： NCVi</w:t>
      </w:r>
      <w:r>
        <w:rPr>
          <w:rFonts w:hint="eastAsia"/>
          <w:kern w:val="0"/>
          <w:sz w:val="24"/>
          <w:highlight w:val="none"/>
          <w:lang w:bidi="ar"/>
        </w:rPr>
        <w:t>：</w:t>
      </w:r>
      <w:r>
        <w:rPr>
          <w:kern w:val="0"/>
          <w:sz w:val="24"/>
          <w:highlight w:val="none"/>
          <w:lang w:bidi="ar"/>
        </w:rPr>
        <w:t>是核算和报告年度内第 i 种燃料的平均低位发热量，采用本指南附录B所提供的推荐值；对固体或液体燃料，单位为百万千焦/吨（GJ/t）</w:t>
      </w:r>
      <w:r>
        <w:rPr>
          <w:rFonts w:hint="eastAsia"/>
          <w:kern w:val="0"/>
          <w:sz w:val="24"/>
          <w:highlight w:val="none"/>
          <w:lang w:bidi="ar"/>
        </w:rPr>
        <w:t>（褐煤14.449</w:t>
      </w:r>
      <w:r>
        <w:rPr>
          <w:kern w:val="0"/>
          <w:sz w:val="24"/>
          <w:highlight w:val="none"/>
          <w:lang w:bidi="ar"/>
        </w:rPr>
        <w:t>GJ</w:t>
      </w:r>
      <w:r>
        <w:rPr>
          <w:rFonts w:hint="eastAsia"/>
          <w:kern w:val="0"/>
          <w:sz w:val="24"/>
          <w:highlight w:val="none"/>
          <w:lang w:bidi="ar"/>
        </w:rPr>
        <w:t>/t，柴油43.33</w:t>
      </w:r>
      <w:r>
        <w:rPr>
          <w:kern w:val="0"/>
          <w:sz w:val="24"/>
          <w:highlight w:val="none"/>
          <w:lang w:bidi="ar"/>
        </w:rPr>
        <w:t>GJ</w:t>
      </w:r>
      <w:r>
        <w:rPr>
          <w:rFonts w:hint="eastAsia"/>
          <w:kern w:val="0"/>
          <w:sz w:val="24"/>
          <w:highlight w:val="none"/>
          <w:lang w:bidi="ar"/>
        </w:rPr>
        <w:t>/t）；</w:t>
      </w:r>
      <w:r>
        <w:rPr>
          <w:kern w:val="0"/>
          <w:sz w:val="24"/>
          <w:highlight w:val="none"/>
          <w:lang w:bidi="ar"/>
        </w:rPr>
        <w:t xml:space="preserve">对气体燃料，单位为百万千焦/万立方米（GJ/万Nm </w:t>
      </w:r>
      <w:r>
        <w:rPr>
          <w:kern w:val="0"/>
          <w:sz w:val="24"/>
          <w:highlight w:val="none"/>
          <w:vertAlign w:val="superscript"/>
          <w:lang w:bidi="ar"/>
        </w:rPr>
        <w:t>3</w:t>
      </w:r>
      <w:r>
        <w:rPr>
          <w:kern w:val="0"/>
          <w:sz w:val="24"/>
          <w:highlight w:val="none"/>
          <w:lang w:bidi="ar"/>
        </w:rPr>
        <w:t xml:space="preserve">）；具备条件的数据中心可遵循 GB/T 213《煤的发热量测定方法》、GB/T384《石油产品热值测定法》、GB/T 22723《天然气能量的测定》等相关标准，开展实测； </w:t>
      </w:r>
    </w:p>
    <w:p w14:paraId="679D02B0">
      <w:pPr>
        <w:widowControl/>
        <w:spacing w:line="360" w:lineRule="auto"/>
        <w:ind w:firstLine="480" w:firstLineChars="200"/>
        <w:jc w:val="left"/>
        <w:rPr>
          <w:kern w:val="0"/>
          <w:sz w:val="24"/>
          <w:highlight w:val="none"/>
          <w:lang w:bidi="ar"/>
        </w:rPr>
      </w:pPr>
      <w:r>
        <w:rPr>
          <w:kern w:val="0"/>
          <w:sz w:val="24"/>
          <w:highlight w:val="none"/>
          <w:lang w:bidi="ar"/>
        </w:rPr>
        <w:t>FCi</w:t>
      </w:r>
      <w:r>
        <w:rPr>
          <w:rFonts w:hint="eastAsia"/>
          <w:kern w:val="0"/>
          <w:sz w:val="24"/>
          <w:highlight w:val="none"/>
          <w:lang w:bidi="ar"/>
        </w:rPr>
        <w:t>：</w:t>
      </w:r>
      <w:r>
        <w:rPr>
          <w:kern w:val="0"/>
          <w:sz w:val="24"/>
          <w:highlight w:val="none"/>
          <w:lang w:bidi="ar"/>
        </w:rPr>
        <w:t>是核算和报告年度内第 i 种燃料的净消耗量，采用计量数据，相关计量器具应符合 GB17167《用能单位能源计量器具配备和管理通则》要求；对固体或液体燃料，单位为吨（t）；对气体燃料，单位为万立方米（万Nm</w:t>
      </w:r>
      <w:r>
        <w:rPr>
          <w:kern w:val="0"/>
          <w:sz w:val="24"/>
          <w:highlight w:val="none"/>
          <w:vertAlign w:val="superscript"/>
          <w:lang w:bidi="ar"/>
        </w:rPr>
        <w:t>3</w:t>
      </w:r>
      <w:r>
        <w:rPr>
          <w:kern w:val="0"/>
          <w:sz w:val="24"/>
          <w:highlight w:val="none"/>
          <w:lang w:bidi="ar"/>
        </w:rPr>
        <w:t>）。</w:t>
      </w:r>
      <w:r>
        <w:rPr>
          <w:rFonts w:hint="eastAsia"/>
          <w:kern w:val="0"/>
          <w:sz w:val="24"/>
          <w:highlight w:val="none"/>
          <w:lang w:bidi="ar"/>
        </w:rPr>
        <w:t>燃煤量=</w:t>
      </w:r>
      <w:r>
        <w:rPr>
          <w:rFonts w:hint="eastAsia"/>
          <w:sz w:val="24"/>
          <w:highlight w:val="none"/>
          <w:lang w:val="en-US" w:eastAsia="zh-CN"/>
        </w:rPr>
        <w:t>81047.7024</w:t>
      </w:r>
      <w:r>
        <w:rPr>
          <w:sz w:val="24"/>
          <w:highlight w:val="none"/>
        </w:rPr>
        <w:t>t/a</w:t>
      </w:r>
      <w:r>
        <w:rPr>
          <w:rFonts w:hint="eastAsia"/>
          <w:sz w:val="24"/>
          <w:highlight w:val="none"/>
        </w:rPr>
        <w:t>，对于燃用煤粉的</w:t>
      </w:r>
      <w:r>
        <w:rPr>
          <w:rFonts w:hint="eastAsia"/>
          <w:sz w:val="24"/>
          <w:highlight w:val="none"/>
          <w:lang w:val="en-US" w:eastAsia="zh-CN"/>
        </w:rPr>
        <w:t>链条式</w:t>
      </w:r>
      <w:r>
        <w:rPr>
          <w:rFonts w:hint="eastAsia"/>
          <w:sz w:val="24"/>
          <w:highlight w:val="none"/>
        </w:rPr>
        <w:t>锅炉，点火时需要加入的油量一般为锅炉额定负荷的0.5%-1%。本次取</w:t>
      </w:r>
      <w:r>
        <w:rPr>
          <w:rFonts w:hint="eastAsia"/>
          <w:sz w:val="24"/>
          <w:highlight w:val="none"/>
          <w:lang w:val="en-US" w:eastAsia="zh-CN"/>
        </w:rPr>
        <w:t>1</w:t>
      </w:r>
      <w:r>
        <w:rPr>
          <w:rFonts w:hint="eastAsia"/>
          <w:sz w:val="24"/>
          <w:highlight w:val="none"/>
        </w:rPr>
        <w:t>t/a（2次）</w:t>
      </w:r>
    </w:p>
    <w:p w14:paraId="13FD5F6E">
      <w:pPr>
        <w:widowControl/>
        <w:spacing w:line="360" w:lineRule="auto"/>
        <w:ind w:firstLine="480" w:firstLineChars="200"/>
        <w:jc w:val="left"/>
        <w:rPr>
          <w:kern w:val="0"/>
          <w:sz w:val="24"/>
          <w:highlight w:val="none"/>
          <w:lang w:bidi="ar"/>
        </w:rPr>
      </w:pPr>
      <w:r>
        <w:rPr>
          <w:kern w:val="0"/>
          <w:sz w:val="24"/>
          <w:highlight w:val="none"/>
          <w:lang w:bidi="ar"/>
        </w:rPr>
        <w:t>AD</w:t>
      </w:r>
      <w:r>
        <w:rPr>
          <w:rFonts w:hint="eastAsia"/>
          <w:kern w:val="0"/>
          <w:sz w:val="24"/>
          <w:highlight w:val="none"/>
          <w:vertAlign w:val="subscript"/>
          <w:lang w:bidi="ar"/>
        </w:rPr>
        <w:t>燃烧煤</w:t>
      </w:r>
      <w:r>
        <w:rPr>
          <w:rFonts w:hint="eastAsia"/>
          <w:kern w:val="0"/>
          <w:sz w:val="24"/>
          <w:highlight w:val="none"/>
          <w:lang w:bidi="ar"/>
        </w:rPr>
        <w:t>=NCV</w:t>
      </w:r>
      <w:r>
        <w:rPr>
          <w:rFonts w:hint="eastAsia"/>
          <w:kern w:val="0"/>
          <w:sz w:val="24"/>
          <w:highlight w:val="none"/>
          <w:vertAlign w:val="subscript"/>
          <w:lang w:bidi="ar"/>
        </w:rPr>
        <w:t>i</w:t>
      </w:r>
      <w:r>
        <w:rPr>
          <w:rFonts w:hint="eastAsia"/>
          <w:kern w:val="0"/>
          <w:sz w:val="24"/>
          <w:highlight w:val="none"/>
          <w:lang w:bidi="ar"/>
        </w:rPr>
        <w:t>×FC</w:t>
      </w:r>
      <w:r>
        <w:rPr>
          <w:rFonts w:hint="eastAsia"/>
          <w:kern w:val="0"/>
          <w:sz w:val="24"/>
          <w:highlight w:val="none"/>
          <w:vertAlign w:val="subscript"/>
          <w:lang w:bidi="ar"/>
        </w:rPr>
        <w:t>i</w:t>
      </w:r>
      <w:r>
        <w:rPr>
          <w:rFonts w:hint="eastAsia"/>
          <w:kern w:val="0"/>
          <w:sz w:val="24"/>
          <w:highlight w:val="none"/>
          <w:lang w:bidi="ar"/>
        </w:rPr>
        <w:t>=14.449</w:t>
      </w:r>
      <w:r>
        <w:rPr>
          <w:kern w:val="0"/>
          <w:sz w:val="24"/>
          <w:highlight w:val="none"/>
          <w:lang w:bidi="ar"/>
        </w:rPr>
        <w:t>GJ</w:t>
      </w:r>
      <w:r>
        <w:rPr>
          <w:rFonts w:hint="eastAsia"/>
          <w:kern w:val="0"/>
          <w:sz w:val="24"/>
          <w:highlight w:val="none"/>
          <w:lang w:bidi="ar"/>
        </w:rPr>
        <w:t>/t×</w:t>
      </w:r>
      <w:r>
        <w:rPr>
          <w:rFonts w:hint="eastAsia"/>
          <w:sz w:val="24"/>
          <w:highlight w:val="none"/>
          <w:lang w:val="en-US" w:eastAsia="zh-CN"/>
        </w:rPr>
        <w:t>81047.7024</w:t>
      </w:r>
      <w:r>
        <w:rPr>
          <w:sz w:val="24"/>
          <w:highlight w:val="none"/>
        </w:rPr>
        <w:t>t/a</w:t>
      </w:r>
      <w:r>
        <w:rPr>
          <w:rFonts w:hint="eastAsia"/>
          <w:sz w:val="24"/>
          <w:highlight w:val="none"/>
        </w:rPr>
        <w:t>=</w:t>
      </w:r>
      <w:r>
        <w:rPr>
          <w:rFonts w:hint="eastAsia"/>
          <w:sz w:val="24"/>
          <w:highlight w:val="none"/>
          <w:lang w:val="en-US" w:eastAsia="zh-CN"/>
        </w:rPr>
        <w:t>1171058.25</w:t>
      </w:r>
      <w:r>
        <w:rPr>
          <w:kern w:val="0"/>
          <w:sz w:val="24"/>
          <w:highlight w:val="none"/>
          <w:lang w:bidi="ar"/>
        </w:rPr>
        <w:t>GJ</w:t>
      </w:r>
    </w:p>
    <w:p w14:paraId="0BE2B0A4">
      <w:pPr>
        <w:pStyle w:val="15"/>
        <w:ind w:left="0" w:leftChars="0" w:firstLine="480" w:firstLineChars="200"/>
        <w:rPr>
          <w:kern w:val="0"/>
          <w:sz w:val="24"/>
          <w:highlight w:val="none"/>
          <w:lang w:bidi="ar"/>
        </w:rPr>
      </w:pPr>
      <w:r>
        <w:rPr>
          <w:kern w:val="0"/>
          <w:sz w:val="24"/>
          <w:highlight w:val="none"/>
          <w:lang w:bidi="ar"/>
        </w:rPr>
        <w:t>AD</w:t>
      </w:r>
      <w:r>
        <w:rPr>
          <w:rFonts w:hint="eastAsia"/>
          <w:kern w:val="0"/>
          <w:sz w:val="24"/>
          <w:highlight w:val="none"/>
          <w:vertAlign w:val="subscript"/>
          <w:lang w:bidi="ar"/>
        </w:rPr>
        <w:t>燃烧油</w:t>
      </w:r>
      <w:r>
        <w:rPr>
          <w:rFonts w:hint="eastAsia"/>
          <w:kern w:val="0"/>
          <w:sz w:val="24"/>
          <w:highlight w:val="none"/>
          <w:lang w:bidi="ar"/>
        </w:rPr>
        <w:t>=NCV</w:t>
      </w:r>
      <w:r>
        <w:rPr>
          <w:rFonts w:hint="eastAsia"/>
          <w:kern w:val="0"/>
          <w:sz w:val="24"/>
          <w:highlight w:val="none"/>
          <w:vertAlign w:val="subscript"/>
          <w:lang w:bidi="ar"/>
        </w:rPr>
        <w:t>i</w:t>
      </w:r>
      <w:r>
        <w:rPr>
          <w:rFonts w:hint="eastAsia"/>
          <w:kern w:val="0"/>
          <w:sz w:val="24"/>
          <w:highlight w:val="none"/>
          <w:lang w:bidi="ar"/>
        </w:rPr>
        <w:t>×FC</w:t>
      </w:r>
      <w:r>
        <w:rPr>
          <w:rFonts w:hint="eastAsia"/>
          <w:kern w:val="0"/>
          <w:sz w:val="24"/>
          <w:highlight w:val="none"/>
          <w:vertAlign w:val="subscript"/>
          <w:lang w:bidi="ar"/>
        </w:rPr>
        <w:t>i</w:t>
      </w:r>
      <w:r>
        <w:rPr>
          <w:rFonts w:hint="eastAsia"/>
          <w:kern w:val="0"/>
          <w:sz w:val="24"/>
          <w:highlight w:val="none"/>
          <w:lang w:bidi="ar"/>
        </w:rPr>
        <w:t>=43.33</w:t>
      </w:r>
      <w:r>
        <w:rPr>
          <w:kern w:val="0"/>
          <w:sz w:val="24"/>
          <w:highlight w:val="none"/>
          <w:lang w:bidi="ar"/>
        </w:rPr>
        <w:t>GJ</w:t>
      </w:r>
      <w:r>
        <w:rPr>
          <w:rFonts w:hint="eastAsia"/>
          <w:kern w:val="0"/>
          <w:sz w:val="24"/>
          <w:highlight w:val="none"/>
          <w:lang w:bidi="ar"/>
        </w:rPr>
        <w:t>/t×</w:t>
      </w:r>
      <w:r>
        <w:rPr>
          <w:rFonts w:hint="eastAsia"/>
          <w:sz w:val="24"/>
          <w:highlight w:val="none"/>
          <w:lang w:val="en-US" w:eastAsia="zh-CN"/>
        </w:rPr>
        <w:t>1</w:t>
      </w:r>
      <w:r>
        <w:rPr>
          <w:sz w:val="24"/>
          <w:highlight w:val="none"/>
        </w:rPr>
        <w:t>t/a</w:t>
      </w:r>
      <w:r>
        <w:rPr>
          <w:rFonts w:hint="eastAsia"/>
          <w:sz w:val="24"/>
          <w:highlight w:val="none"/>
        </w:rPr>
        <w:t>=</w:t>
      </w:r>
      <w:r>
        <w:rPr>
          <w:rFonts w:hint="eastAsia"/>
          <w:sz w:val="24"/>
          <w:highlight w:val="none"/>
          <w:lang w:val="en-US" w:eastAsia="zh-CN"/>
        </w:rPr>
        <w:t>43.33</w:t>
      </w:r>
      <w:r>
        <w:rPr>
          <w:kern w:val="0"/>
          <w:sz w:val="24"/>
          <w:highlight w:val="none"/>
          <w:lang w:bidi="ar"/>
        </w:rPr>
        <w:t>GJ</w:t>
      </w:r>
    </w:p>
    <w:p w14:paraId="0D92354D">
      <w:pPr>
        <w:widowControl/>
        <w:spacing w:line="360" w:lineRule="auto"/>
        <w:ind w:firstLine="482" w:firstLineChars="200"/>
        <w:jc w:val="left"/>
        <w:rPr>
          <w:sz w:val="24"/>
          <w:highlight w:val="none"/>
        </w:rPr>
      </w:pPr>
      <w:r>
        <w:rPr>
          <w:b/>
          <w:bCs/>
          <w:kern w:val="0"/>
          <w:sz w:val="24"/>
          <w:highlight w:val="none"/>
          <w:lang w:bidi="ar"/>
        </w:rPr>
        <w:t xml:space="preserve">2）排放因子数据获取 </w:t>
      </w:r>
    </w:p>
    <w:p w14:paraId="181A5C19">
      <w:pPr>
        <w:widowControl/>
        <w:spacing w:line="360" w:lineRule="auto"/>
        <w:ind w:firstLine="480" w:firstLineChars="200"/>
        <w:jc w:val="left"/>
        <w:rPr>
          <w:sz w:val="24"/>
          <w:highlight w:val="none"/>
        </w:rPr>
      </w:pPr>
      <w:r>
        <w:rPr>
          <w:kern w:val="0"/>
          <w:sz w:val="24"/>
          <w:highlight w:val="none"/>
          <w:lang w:bidi="ar"/>
        </w:rPr>
        <w:t xml:space="preserve">化石燃料的二氧化碳排放因子按公式（4）计算： </w:t>
      </w:r>
    </w:p>
    <w:p w14:paraId="36A24F8E">
      <w:pPr>
        <w:widowControl/>
        <w:spacing w:line="360" w:lineRule="auto"/>
        <w:ind w:firstLine="480" w:firstLineChars="200"/>
        <w:jc w:val="left"/>
        <w:rPr>
          <w:sz w:val="24"/>
          <w:highlight w:val="none"/>
        </w:rPr>
      </w:pPr>
      <w:r>
        <w:rPr>
          <w:kern w:val="0"/>
          <w:sz w:val="24"/>
          <w:highlight w:val="none"/>
          <w:lang w:bidi="ar"/>
        </w:rPr>
        <w:drawing>
          <wp:inline distT="0" distB="0" distL="114300" distR="114300">
            <wp:extent cx="1427480" cy="405765"/>
            <wp:effectExtent l="0" t="0" r="1270" b="13335"/>
            <wp:docPr id="477" name="图片 477" descr="1716718467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descr="1716718467689"/>
                    <pic:cNvPicPr>
                      <a:picLocks noChangeAspect="1"/>
                    </pic:cNvPicPr>
                  </pic:nvPicPr>
                  <pic:blipFill>
                    <a:blip r:embed="rId57"/>
                    <a:stretch>
                      <a:fillRect/>
                    </a:stretch>
                  </pic:blipFill>
                  <pic:spPr>
                    <a:xfrm>
                      <a:off x="0" y="0"/>
                      <a:ext cx="1427480" cy="405765"/>
                    </a:xfrm>
                    <a:prstGeom prst="rect">
                      <a:avLst/>
                    </a:prstGeom>
                  </pic:spPr>
                </pic:pic>
              </a:graphicData>
            </a:graphic>
          </wp:inline>
        </w:drawing>
      </w:r>
      <w:r>
        <w:rPr>
          <w:rFonts w:hint="eastAsia"/>
          <w:kern w:val="0"/>
          <w:sz w:val="24"/>
          <w:highlight w:val="none"/>
          <w:lang w:bidi="ar"/>
        </w:rPr>
        <w:t xml:space="preserve">     </w:t>
      </w:r>
      <w:r>
        <w:rPr>
          <w:kern w:val="0"/>
          <w:sz w:val="24"/>
          <w:highlight w:val="none"/>
          <w:lang w:bidi="ar"/>
        </w:rPr>
        <w:t xml:space="preserve">（4） </w:t>
      </w:r>
    </w:p>
    <w:p w14:paraId="682C5F86">
      <w:pPr>
        <w:widowControl/>
        <w:spacing w:line="360" w:lineRule="auto"/>
        <w:ind w:firstLine="480" w:firstLineChars="200"/>
        <w:jc w:val="left"/>
        <w:rPr>
          <w:sz w:val="24"/>
          <w:highlight w:val="none"/>
        </w:rPr>
      </w:pPr>
      <w:r>
        <w:rPr>
          <w:kern w:val="0"/>
          <w:sz w:val="24"/>
          <w:highlight w:val="none"/>
          <w:lang w:bidi="ar"/>
        </w:rPr>
        <w:t xml:space="preserve">式中： CCi 为第 i 种燃料的单位热值含碳量，单位为吨碳/百万千焦 </w:t>
      </w:r>
    </w:p>
    <w:p w14:paraId="072C2989">
      <w:pPr>
        <w:widowControl/>
        <w:spacing w:line="360" w:lineRule="auto"/>
        <w:ind w:firstLine="480" w:firstLineChars="200"/>
        <w:jc w:val="left"/>
        <w:rPr>
          <w:sz w:val="24"/>
          <w:highlight w:val="none"/>
        </w:rPr>
      </w:pPr>
      <w:r>
        <w:rPr>
          <w:kern w:val="0"/>
          <w:sz w:val="24"/>
          <w:highlight w:val="none"/>
          <w:lang w:bidi="ar"/>
        </w:rPr>
        <w:t xml:space="preserve">（tC/GJ），采用本指南附录 B 所提供的推荐值； </w:t>
      </w:r>
    </w:p>
    <w:p w14:paraId="112CBF20">
      <w:pPr>
        <w:widowControl/>
        <w:spacing w:line="360" w:lineRule="auto"/>
        <w:ind w:firstLine="480" w:firstLineChars="200"/>
        <w:jc w:val="left"/>
        <w:rPr>
          <w:kern w:val="0"/>
          <w:sz w:val="24"/>
          <w:highlight w:val="none"/>
          <w:lang w:bidi="ar"/>
        </w:rPr>
      </w:pPr>
      <w:r>
        <w:rPr>
          <w:kern w:val="0"/>
          <w:sz w:val="24"/>
          <w:highlight w:val="none"/>
          <w:lang w:bidi="ar"/>
        </w:rPr>
        <w:t xml:space="preserve">OFi为第 i 种化石燃料的碳氧化率，单位为%，采用本指南附录 B所提供的推荐值。 </w:t>
      </w:r>
    </w:p>
    <w:p w14:paraId="744FAF8C">
      <w:pPr>
        <w:spacing w:line="360" w:lineRule="auto"/>
        <w:ind w:firstLine="480" w:firstLineChars="200"/>
        <w:rPr>
          <w:sz w:val="24"/>
          <w:highlight w:val="none"/>
        </w:rPr>
      </w:pPr>
      <w:r>
        <w:rPr>
          <w:rFonts w:hint="eastAsia"/>
          <w:sz w:val="24"/>
          <w:highlight w:val="none"/>
        </w:rPr>
        <w:t>①燃煤</w:t>
      </w:r>
    </w:p>
    <w:p w14:paraId="53FDD030">
      <w:pPr>
        <w:spacing w:line="360" w:lineRule="auto"/>
        <w:ind w:firstLine="480" w:firstLineChars="200"/>
        <w:rPr>
          <w:sz w:val="24"/>
          <w:highlight w:val="none"/>
        </w:rPr>
      </w:pPr>
      <w:r>
        <w:rPr>
          <w:rFonts w:hint="eastAsia"/>
          <w:sz w:val="24"/>
          <w:highlight w:val="none"/>
        </w:rPr>
        <w:t>CCi含碳量28</w:t>
      </w:r>
      <w:r>
        <w:rPr>
          <w:kern w:val="0"/>
          <w:sz w:val="24"/>
          <w:highlight w:val="none"/>
          <w:lang w:bidi="ar"/>
        </w:rPr>
        <w:t>tC/</w:t>
      </w:r>
      <w:r>
        <w:rPr>
          <w:rFonts w:hint="eastAsia"/>
          <w:kern w:val="0"/>
          <w:sz w:val="24"/>
          <w:highlight w:val="none"/>
          <w:lang w:bidi="ar"/>
        </w:rPr>
        <w:t>T</w:t>
      </w:r>
      <w:r>
        <w:rPr>
          <w:kern w:val="0"/>
          <w:sz w:val="24"/>
          <w:highlight w:val="none"/>
          <w:lang w:bidi="ar"/>
        </w:rPr>
        <w:t>J</w:t>
      </w:r>
      <w:r>
        <w:rPr>
          <w:rFonts w:hint="eastAsia"/>
          <w:sz w:val="24"/>
          <w:highlight w:val="none"/>
        </w:rPr>
        <w:t>，</w:t>
      </w:r>
      <w:r>
        <w:rPr>
          <w:kern w:val="0"/>
          <w:sz w:val="24"/>
          <w:highlight w:val="none"/>
          <w:lang w:bidi="ar"/>
        </w:rPr>
        <w:t>OFi</w:t>
      </w:r>
      <w:r>
        <w:rPr>
          <w:rFonts w:hint="eastAsia"/>
          <w:sz w:val="24"/>
          <w:highlight w:val="none"/>
        </w:rPr>
        <w:t>碳氧化率96%。</w:t>
      </w:r>
    </w:p>
    <w:p w14:paraId="11E94E36">
      <w:pPr>
        <w:spacing w:line="360" w:lineRule="auto"/>
        <w:ind w:firstLine="480" w:firstLineChars="200"/>
        <w:rPr>
          <w:sz w:val="24"/>
          <w:highlight w:val="none"/>
        </w:rPr>
      </w:pPr>
      <w:r>
        <w:rPr>
          <w:rFonts w:hint="eastAsia"/>
          <w:sz w:val="24"/>
          <w:highlight w:val="none"/>
        </w:rPr>
        <w:t>EF</w:t>
      </w:r>
      <w:r>
        <w:rPr>
          <w:rFonts w:hint="eastAsia"/>
          <w:sz w:val="24"/>
          <w:highlight w:val="none"/>
          <w:vertAlign w:val="subscript"/>
        </w:rPr>
        <w:t xml:space="preserve"> 煤</w:t>
      </w:r>
      <w:r>
        <w:rPr>
          <w:rFonts w:hint="eastAsia"/>
          <w:sz w:val="24"/>
          <w:highlight w:val="none"/>
        </w:rPr>
        <w:t>=28×0.96×(44÷12)=98.56×10</w:t>
      </w:r>
      <w:r>
        <w:rPr>
          <w:rFonts w:hint="eastAsia"/>
          <w:sz w:val="24"/>
          <w:highlight w:val="none"/>
          <w:vertAlign w:val="superscript"/>
        </w:rPr>
        <w:t>-3</w:t>
      </w:r>
      <w:r>
        <w:rPr>
          <w:rFonts w:hint="eastAsia"/>
          <w:sz w:val="24"/>
          <w:highlight w:val="none"/>
        </w:rPr>
        <w:t>tC/GJ</w:t>
      </w:r>
    </w:p>
    <w:p w14:paraId="3156AA86">
      <w:pPr>
        <w:spacing w:line="360" w:lineRule="auto"/>
        <w:ind w:firstLine="480" w:firstLineChars="200"/>
        <w:rPr>
          <w:sz w:val="24"/>
          <w:highlight w:val="none"/>
        </w:rPr>
      </w:pPr>
      <w:r>
        <w:rPr>
          <w:rFonts w:hint="eastAsia"/>
          <w:sz w:val="24"/>
          <w:highlight w:val="none"/>
        </w:rPr>
        <w:t>②点火轻柴油</w:t>
      </w:r>
    </w:p>
    <w:p w14:paraId="03684505">
      <w:pPr>
        <w:spacing w:line="360" w:lineRule="auto"/>
        <w:ind w:firstLine="480" w:firstLineChars="200"/>
        <w:rPr>
          <w:sz w:val="24"/>
          <w:highlight w:val="none"/>
        </w:rPr>
      </w:pPr>
      <w:r>
        <w:rPr>
          <w:rFonts w:hint="eastAsia"/>
          <w:sz w:val="24"/>
          <w:highlight w:val="none"/>
        </w:rPr>
        <w:t>CCi含碳量20.2</w:t>
      </w:r>
      <w:r>
        <w:rPr>
          <w:kern w:val="0"/>
          <w:sz w:val="24"/>
          <w:highlight w:val="none"/>
          <w:lang w:bidi="ar"/>
        </w:rPr>
        <w:t>tC/</w:t>
      </w:r>
      <w:r>
        <w:rPr>
          <w:rFonts w:hint="eastAsia"/>
          <w:kern w:val="0"/>
          <w:sz w:val="24"/>
          <w:highlight w:val="none"/>
          <w:lang w:bidi="ar"/>
        </w:rPr>
        <w:t>T</w:t>
      </w:r>
      <w:r>
        <w:rPr>
          <w:kern w:val="0"/>
          <w:sz w:val="24"/>
          <w:highlight w:val="none"/>
          <w:lang w:bidi="ar"/>
        </w:rPr>
        <w:t>J</w:t>
      </w:r>
      <w:r>
        <w:rPr>
          <w:rFonts w:hint="eastAsia"/>
          <w:sz w:val="24"/>
          <w:highlight w:val="none"/>
        </w:rPr>
        <w:t>，</w:t>
      </w:r>
      <w:r>
        <w:rPr>
          <w:kern w:val="0"/>
          <w:sz w:val="24"/>
          <w:highlight w:val="none"/>
          <w:lang w:bidi="ar"/>
        </w:rPr>
        <w:t>OFi</w:t>
      </w:r>
      <w:r>
        <w:rPr>
          <w:rFonts w:hint="eastAsia"/>
          <w:sz w:val="24"/>
          <w:highlight w:val="none"/>
        </w:rPr>
        <w:t>碳氧化率98%。</w:t>
      </w:r>
    </w:p>
    <w:p w14:paraId="7052AA9A">
      <w:pPr>
        <w:spacing w:line="360" w:lineRule="auto"/>
        <w:ind w:firstLine="480" w:firstLineChars="200"/>
        <w:rPr>
          <w:sz w:val="24"/>
          <w:highlight w:val="none"/>
        </w:rPr>
      </w:pPr>
      <w:r>
        <w:rPr>
          <w:sz w:val="24"/>
          <w:highlight w:val="none"/>
        </w:rPr>
        <w:t>EF</w:t>
      </w:r>
      <w:r>
        <w:rPr>
          <w:rFonts w:hint="eastAsia"/>
          <w:sz w:val="24"/>
          <w:highlight w:val="none"/>
          <w:vertAlign w:val="subscript"/>
        </w:rPr>
        <w:t>柴油</w:t>
      </w:r>
      <w:r>
        <w:rPr>
          <w:sz w:val="24"/>
          <w:highlight w:val="none"/>
        </w:rPr>
        <w:t>=</w:t>
      </w:r>
      <w:r>
        <w:rPr>
          <w:rFonts w:hint="eastAsia"/>
          <w:sz w:val="24"/>
          <w:highlight w:val="none"/>
        </w:rPr>
        <w:t>20.2</w:t>
      </w:r>
      <w:r>
        <w:rPr>
          <w:sz w:val="24"/>
          <w:highlight w:val="none"/>
        </w:rPr>
        <w:t>×</w:t>
      </w:r>
      <w:r>
        <w:rPr>
          <w:rFonts w:hint="eastAsia"/>
          <w:sz w:val="24"/>
          <w:highlight w:val="none"/>
        </w:rPr>
        <w:t>0.98</w:t>
      </w:r>
      <w:r>
        <w:rPr>
          <w:sz w:val="24"/>
          <w:highlight w:val="none"/>
        </w:rPr>
        <w:t>×(44÷12)=</w:t>
      </w:r>
      <w:r>
        <w:rPr>
          <w:rFonts w:hint="eastAsia"/>
          <w:sz w:val="24"/>
          <w:highlight w:val="none"/>
        </w:rPr>
        <w:t>72.585×10</w:t>
      </w:r>
      <w:r>
        <w:rPr>
          <w:rFonts w:hint="eastAsia"/>
          <w:sz w:val="24"/>
          <w:highlight w:val="none"/>
          <w:vertAlign w:val="superscript"/>
        </w:rPr>
        <w:t>-3</w:t>
      </w:r>
      <w:r>
        <w:rPr>
          <w:sz w:val="24"/>
          <w:highlight w:val="none"/>
        </w:rPr>
        <w:t>tC/GJ</w:t>
      </w:r>
    </w:p>
    <w:p w14:paraId="2CE64F67">
      <w:pPr>
        <w:bidi w:val="0"/>
        <w:rPr>
          <w:kern w:val="0"/>
          <w:sz w:val="24"/>
          <w:highlight w:val="none"/>
          <w:lang w:bidi="ar"/>
        </w:rPr>
      </w:pPr>
      <w:r>
        <w:rPr>
          <w:rFonts w:hint="eastAsia"/>
          <w:b/>
          <w:bCs/>
          <w:kern w:val="0"/>
          <w:sz w:val="24"/>
          <w:highlight w:val="none"/>
          <w:lang w:bidi="ar"/>
        </w:rPr>
        <w:t>所以：E</w:t>
      </w:r>
      <w:r>
        <w:rPr>
          <w:rFonts w:hint="eastAsia"/>
          <w:b/>
          <w:bCs/>
          <w:kern w:val="0"/>
          <w:sz w:val="24"/>
          <w:highlight w:val="none"/>
          <w:vertAlign w:val="subscript"/>
          <w:lang w:bidi="ar"/>
        </w:rPr>
        <w:t>燃烧</w:t>
      </w:r>
      <w:r>
        <w:rPr>
          <w:rFonts w:hint="eastAsia"/>
          <w:kern w:val="0"/>
          <w:sz w:val="24"/>
          <w:highlight w:val="none"/>
          <w:lang w:bidi="ar"/>
        </w:rPr>
        <w:t>=AD</w:t>
      </w:r>
      <w:r>
        <w:rPr>
          <w:rFonts w:hint="eastAsia"/>
          <w:kern w:val="0"/>
          <w:sz w:val="24"/>
          <w:highlight w:val="none"/>
          <w:vertAlign w:val="subscript"/>
          <w:lang w:bidi="ar"/>
        </w:rPr>
        <w:t>煤</w:t>
      </w:r>
      <w:r>
        <w:rPr>
          <w:rFonts w:hint="eastAsia"/>
          <w:kern w:val="0"/>
          <w:sz w:val="24"/>
          <w:highlight w:val="none"/>
          <w:lang w:bidi="ar"/>
        </w:rPr>
        <w:t>×EF</w:t>
      </w:r>
      <w:r>
        <w:rPr>
          <w:rFonts w:hint="eastAsia"/>
          <w:kern w:val="0"/>
          <w:sz w:val="24"/>
          <w:highlight w:val="none"/>
          <w:vertAlign w:val="subscript"/>
          <w:lang w:bidi="ar"/>
        </w:rPr>
        <w:t>煤</w:t>
      </w:r>
      <w:r>
        <w:rPr>
          <w:rFonts w:hint="eastAsia"/>
          <w:kern w:val="0"/>
          <w:sz w:val="24"/>
          <w:highlight w:val="none"/>
          <w:lang w:bidi="ar"/>
        </w:rPr>
        <w:t>+AD</w:t>
      </w:r>
      <w:r>
        <w:rPr>
          <w:rFonts w:hint="eastAsia"/>
          <w:kern w:val="0"/>
          <w:sz w:val="24"/>
          <w:highlight w:val="none"/>
          <w:vertAlign w:val="subscript"/>
          <w:lang w:bidi="ar"/>
        </w:rPr>
        <w:t>油</w:t>
      </w:r>
      <w:r>
        <w:rPr>
          <w:rFonts w:hint="eastAsia"/>
          <w:kern w:val="0"/>
          <w:sz w:val="24"/>
          <w:highlight w:val="none"/>
          <w:lang w:bidi="ar"/>
        </w:rPr>
        <w:t>×EF</w:t>
      </w:r>
      <w:r>
        <w:rPr>
          <w:rFonts w:hint="eastAsia"/>
          <w:kern w:val="0"/>
          <w:sz w:val="24"/>
          <w:highlight w:val="none"/>
          <w:vertAlign w:val="subscript"/>
          <w:lang w:bidi="ar"/>
        </w:rPr>
        <w:t>油</w:t>
      </w:r>
      <w:r>
        <w:rPr>
          <w:rFonts w:hint="eastAsia"/>
          <w:kern w:val="0"/>
          <w:sz w:val="24"/>
          <w:highlight w:val="none"/>
          <w:lang w:bidi="ar"/>
        </w:rPr>
        <w:t>=</w:t>
      </w:r>
      <w:r>
        <w:rPr>
          <w:rFonts w:hint="eastAsia"/>
          <w:sz w:val="24"/>
          <w:highlight w:val="none"/>
          <w:lang w:val="en-US" w:eastAsia="zh-CN"/>
        </w:rPr>
        <w:t>1171058.25</w:t>
      </w:r>
      <w:r>
        <w:rPr>
          <w:kern w:val="0"/>
          <w:sz w:val="24"/>
          <w:highlight w:val="none"/>
          <w:lang w:bidi="ar"/>
        </w:rPr>
        <w:t>GJ</w:t>
      </w:r>
      <w:r>
        <w:rPr>
          <w:rFonts w:hint="eastAsia"/>
          <w:kern w:val="0"/>
          <w:sz w:val="24"/>
          <w:highlight w:val="none"/>
          <w:lang w:bidi="ar"/>
        </w:rPr>
        <w:t>×</w:t>
      </w:r>
      <w:r>
        <w:rPr>
          <w:rFonts w:hint="eastAsia"/>
          <w:sz w:val="24"/>
          <w:highlight w:val="none"/>
        </w:rPr>
        <w:t>98.56×10</w:t>
      </w:r>
      <w:r>
        <w:rPr>
          <w:rFonts w:hint="eastAsia"/>
          <w:sz w:val="24"/>
          <w:highlight w:val="none"/>
          <w:vertAlign w:val="superscript"/>
        </w:rPr>
        <w:t>-3</w:t>
      </w:r>
      <w:r>
        <w:rPr>
          <w:sz w:val="24"/>
          <w:highlight w:val="none"/>
        </w:rPr>
        <w:t>tC/GJ</w:t>
      </w:r>
      <w:r>
        <w:rPr>
          <w:rFonts w:hint="eastAsia"/>
          <w:sz w:val="24"/>
          <w:highlight w:val="none"/>
        </w:rPr>
        <w:t>+</w:t>
      </w:r>
      <w:r>
        <w:rPr>
          <w:rFonts w:hint="eastAsia"/>
          <w:sz w:val="24"/>
          <w:highlight w:val="none"/>
          <w:lang w:val="en-US" w:eastAsia="zh-CN"/>
        </w:rPr>
        <w:t>43.33</w:t>
      </w:r>
      <w:r>
        <w:rPr>
          <w:kern w:val="0"/>
          <w:sz w:val="24"/>
          <w:highlight w:val="none"/>
          <w:lang w:bidi="ar"/>
        </w:rPr>
        <w:t>GJ</w:t>
      </w:r>
      <w:r>
        <w:rPr>
          <w:rFonts w:hint="eastAsia"/>
          <w:kern w:val="0"/>
          <w:sz w:val="24"/>
          <w:highlight w:val="none"/>
          <w:lang w:bidi="ar"/>
        </w:rPr>
        <w:t>×</w:t>
      </w:r>
      <w:r>
        <w:rPr>
          <w:rFonts w:hint="eastAsia"/>
          <w:sz w:val="24"/>
          <w:highlight w:val="none"/>
        </w:rPr>
        <w:t>72.585×10</w:t>
      </w:r>
      <w:r>
        <w:rPr>
          <w:rFonts w:hint="eastAsia"/>
          <w:sz w:val="24"/>
          <w:highlight w:val="none"/>
          <w:vertAlign w:val="superscript"/>
        </w:rPr>
        <w:t>-3</w:t>
      </w:r>
      <w:r>
        <w:rPr>
          <w:sz w:val="24"/>
          <w:highlight w:val="none"/>
        </w:rPr>
        <w:t>tC/GJ</w:t>
      </w:r>
      <w:r>
        <w:rPr>
          <w:rFonts w:hint="eastAsia"/>
          <w:sz w:val="24"/>
          <w:highlight w:val="none"/>
        </w:rPr>
        <w:t>=44673.59+2.2=</w:t>
      </w:r>
      <w:r>
        <w:rPr>
          <w:rFonts w:hint="eastAsia"/>
          <w:sz w:val="24"/>
          <w:highlight w:val="none"/>
          <w:lang w:val="en-US" w:eastAsia="zh-CN"/>
        </w:rPr>
        <w:t>115422.646</w:t>
      </w:r>
      <w:r>
        <w:rPr>
          <w:rFonts w:hint="eastAsia"/>
          <w:sz w:val="24"/>
          <w:highlight w:val="none"/>
        </w:rPr>
        <w:t xml:space="preserve"> </w:t>
      </w:r>
      <w:r>
        <w:rPr>
          <w:kern w:val="0"/>
          <w:sz w:val="24"/>
          <w:highlight w:val="none"/>
          <w:lang w:bidi="ar"/>
        </w:rPr>
        <w:t>tCO2e</w:t>
      </w:r>
    </w:p>
    <w:p w14:paraId="6972E255">
      <w:pPr>
        <w:widowControl/>
        <w:spacing w:line="360" w:lineRule="auto"/>
        <w:ind w:firstLine="482" w:firstLineChars="200"/>
        <w:jc w:val="left"/>
        <w:rPr>
          <w:sz w:val="24"/>
          <w:highlight w:val="none"/>
        </w:rPr>
      </w:pPr>
      <w:r>
        <w:rPr>
          <w:b/>
          <w:bCs/>
          <w:kern w:val="0"/>
          <w:sz w:val="24"/>
          <w:highlight w:val="none"/>
          <w:lang w:bidi="ar"/>
        </w:rPr>
        <w:t>3</w:t>
      </w:r>
      <w:r>
        <w:rPr>
          <w:rFonts w:hint="eastAsia"/>
          <w:b/>
          <w:bCs/>
          <w:kern w:val="0"/>
          <w:sz w:val="24"/>
          <w:highlight w:val="none"/>
          <w:lang w:bidi="ar"/>
        </w:rPr>
        <w:t>、</w:t>
      </w:r>
      <w:r>
        <w:rPr>
          <w:b/>
          <w:bCs/>
          <w:kern w:val="0"/>
          <w:sz w:val="24"/>
          <w:highlight w:val="none"/>
          <w:lang w:bidi="ar"/>
        </w:rPr>
        <w:t>净购入的电力和热力产生的排放</w:t>
      </w:r>
      <w:r>
        <w:rPr>
          <w:kern w:val="0"/>
          <w:sz w:val="24"/>
          <w:highlight w:val="none"/>
          <w:lang w:bidi="ar"/>
        </w:rPr>
        <w:t xml:space="preserve"> </w:t>
      </w:r>
    </w:p>
    <w:p w14:paraId="2B3663D3">
      <w:pPr>
        <w:widowControl/>
        <w:spacing w:line="360" w:lineRule="auto"/>
        <w:ind w:firstLine="480" w:firstLineChars="200"/>
        <w:jc w:val="left"/>
        <w:rPr>
          <w:sz w:val="24"/>
          <w:highlight w:val="none"/>
        </w:rPr>
      </w:pPr>
      <w:r>
        <w:rPr>
          <w:kern w:val="0"/>
          <w:sz w:val="24"/>
          <w:highlight w:val="none"/>
          <w:lang w:bidi="ar"/>
        </w:rPr>
        <w:t xml:space="preserve">净购入的电力产生的排放以及净购入的热力产生的排放分别按公式（5）和（6）计算。 </w:t>
      </w:r>
    </w:p>
    <w:p w14:paraId="4C6CB7D1">
      <w:pPr>
        <w:widowControl/>
        <w:ind w:firstLine="480" w:firstLineChars="200"/>
        <w:jc w:val="center"/>
        <w:rPr>
          <w:kern w:val="0"/>
          <w:sz w:val="24"/>
          <w:highlight w:val="none"/>
          <w:lang w:bidi="ar"/>
        </w:rPr>
      </w:pPr>
      <w:r>
        <w:rPr>
          <w:kern w:val="0"/>
          <w:sz w:val="24"/>
          <w:highlight w:val="none"/>
          <w:lang w:bidi="ar"/>
        </w:rPr>
        <w:drawing>
          <wp:inline distT="0" distB="0" distL="114300" distR="114300">
            <wp:extent cx="3045460" cy="569595"/>
            <wp:effectExtent l="0" t="0" r="2540" b="1905"/>
            <wp:docPr id="478" name="图片 478" descr="1716718638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descr="1716718638818"/>
                    <pic:cNvPicPr>
                      <a:picLocks noChangeAspect="1"/>
                    </pic:cNvPicPr>
                  </pic:nvPicPr>
                  <pic:blipFill>
                    <a:blip r:embed="rId58"/>
                    <a:stretch>
                      <a:fillRect/>
                    </a:stretch>
                  </pic:blipFill>
                  <pic:spPr>
                    <a:xfrm>
                      <a:off x="0" y="0"/>
                      <a:ext cx="3045460" cy="569595"/>
                    </a:xfrm>
                    <a:prstGeom prst="rect">
                      <a:avLst/>
                    </a:prstGeom>
                  </pic:spPr>
                </pic:pic>
              </a:graphicData>
            </a:graphic>
          </wp:inline>
        </w:drawing>
      </w:r>
    </w:p>
    <w:p w14:paraId="4188BE6B">
      <w:pPr>
        <w:widowControl/>
        <w:spacing w:line="360" w:lineRule="auto"/>
        <w:ind w:firstLine="480" w:firstLineChars="200"/>
        <w:jc w:val="left"/>
        <w:rPr>
          <w:sz w:val="24"/>
          <w:highlight w:val="none"/>
        </w:rPr>
      </w:pPr>
      <w:r>
        <w:rPr>
          <w:kern w:val="0"/>
          <w:sz w:val="24"/>
          <w:highlight w:val="none"/>
          <w:lang w:bidi="ar"/>
        </w:rPr>
        <w:t xml:space="preserve">式中： </w:t>
      </w:r>
    </w:p>
    <w:p w14:paraId="6E801A64">
      <w:pPr>
        <w:widowControl/>
        <w:spacing w:line="360" w:lineRule="auto"/>
        <w:ind w:firstLine="480" w:firstLineChars="200"/>
        <w:jc w:val="left"/>
        <w:rPr>
          <w:sz w:val="24"/>
          <w:highlight w:val="none"/>
        </w:rPr>
      </w:pPr>
      <w:r>
        <w:rPr>
          <w:kern w:val="0"/>
          <w:sz w:val="24"/>
          <w:highlight w:val="none"/>
          <w:lang w:bidi="ar"/>
        </w:rPr>
        <w:t>E</w:t>
      </w:r>
      <w:r>
        <w:rPr>
          <w:kern w:val="0"/>
          <w:sz w:val="24"/>
          <w:highlight w:val="none"/>
          <w:vertAlign w:val="subscript"/>
          <w:lang w:bidi="ar"/>
        </w:rPr>
        <w:t xml:space="preserve"> 电</w:t>
      </w:r>
      <w:r>
        <w:rPr>
          <w:rFonts w:hint="eastAsia"/>
          <w:kern w:val="0"/>
          <w:sz w:val="24"/>
          <w:highlight w:val="none"/>
          <w:lang w:bidi="ar"/>
        </w:rPr>
        <w:t xml:space="preserve">： </w:t>
      </w:r>
      <w:r>
        <w:rPr>
          <w:kern w:val="0"/>
          <w:sz w:val="24"/>
          <w:highlight w:val="none"/>
          <w:lang w:bidi="ar"/>
        </w:rPr>
        <w:t xml:space="preserve">为净购入的电力隐含的排放量，单位为吨二氧化碳（tCO2e）； </w:t>
      </w:r>
    </w:p>
    <w:p w14:paraId="74A05D1F">
      <w:pPr>
        <w:widowControl/>
        <w:spacing w:line="360" w:lineRule="auto"/>
        <w:ind w:firstLine="480" w:firstLineChars="200"/>
        <w:jc w:val="left"/>
        <w:rPr>
          <w:sz w:val="24"/>
          <w:highlight w:val="none"/>
        </w:rPr>
      </w:pPr>
      <w:r>
        <w:rPr>
          <w:kern w:val="0"/>
          <w:sz w:val="24"/>
          <w:highlight w:val="none"/>
          <w:lang w:bidi="ar"/>
        </w:rPr>
        <w:t>AD</w:t>
      </w:r>
      <w:r>
        <w:rPr>
          <w:kern w:val="0"/>
          <w:sz w:val="24"/>
          <w:highlight w:val="none"/>
          <w:vertAlign w:val="subscript"/>
          <w:lang w:bidi="ar"/>
        </w:rPr>
        <w:t>电</w:t>
      </w:r>
      <w:r>
        <w:rPr>
          <w:rFonts w:hint="eastAsia"/>
          <w:kern w:val="0"/>
          <w:sz w:val="24"/>
          <w:highlight w:val="none"/>
          <w:lang w:bidi="ar"/>
        </w:rPr>
        <w:t>：</w:t>
      </w:r>
      <w:r>
        <w:rPr>
          <w:kern w:val="0"/>
          <w:sz w:val="24"/>
          <w:highlight w:val="none"/>
          <w:lang w:bidi="ar"/>
        </w:rPr>
        <w:t xml:space="preserve">为核算和报告年度内的净外购电量，单位为兆瓦时（MWh）； </w:t>
      </w:r>
    </w:p>
    <w:p w14:paraId="33EF79CB">
      <w:pPr>
        <w:widowControl/>
        <w:spacing w:line="360" w:lineRule="auto"/>
        <w:ind w:firstLine="480" w:firstLineChars="200"/>
        <w:jc w:val="left"/>
        <w:rPr>
          <w:sz w:val="24"/>
          <w:highlight w:val="none"/>
        </w:rPr>
      </w:pPr>
      <w:r>
        <w:rPr>
          <w:kern w:val="0"/>
          <w:sz w:val="24"/>
          <w:highlight w:val="none"/>
          <w:lang w:bidi="ar"/>
        </w:rPr>
        <w:t>EF</w:t>
      </w:r>
      <w:r>
        <w:rPr>
          <w:kern w:val="0"/>
          <w:sz w:val="24"/>
          <w:highlight w:val="none"/>
          <w:vertAlign w:val="subscript"/>
          <w:lang w:bidi="ar"/>
        </w:rPr>
        <w:t>电</w:t>
      </w:r>
      <w:r>
        <w:rPr>
          <w:rFonts w:hint="eastAsia"/>
          <w:kern w:val="0"/>
          <w:sz w:val="24"/>
          <w:highlight w:val="none"/>
          <w:lang w:bidi="ar"/>
        </w:rPr>
        <w:t xml:space="preserve">： </w:t>
      </w:r>
      <w:r>
        <w:rPr>
          <w:kern w:val="0"/>
          <w:sz w:val="24"/>
          <w:highlight w:val="none"/>
          <w:lang w:bidi="ar"/>
        </w:rPr>
        <w:t>为区域电网年平均供电排放因子，单位为吨二氧化碳/兆瓦时（tCO</w:t>
      </w:r>
      <w:r>
        <w:rPr>
          <w:kern w:val="0"/>
          <w:sz w:val="24"/>
          <w:highlight w:val="none"/>
          <w:vertAlign w:val="subscript"/>
          <w:lang w:bidi="ar"/>
        </w:rPr>
        <w:t>2</w:t>
      </w:r>
      <w:r>
        <w:rPr>
          <w:kern w:val="0"/>
          <w:sz w:val="24"/>
          <w:highlight w:val="none"/>
          <w:lang w:bidi="ar"/>
        </w:rPr>
        <w:t xml:space="preserve">/MWh）； </w:t>
      </w:r>
    </w:p>
    <w:p w14:paraId="64A52627">
      <w:pPr>
        <w:widowControl/>
        <w:spacing w:line="360" w:lineRule="auto"/>
        <w:ind w:firstLine="480" w:firstLineChars="200"/>
        <w:jc w:val="left"/>
        <w:rPr>
          <w:sz w:val="24"/>
          <w:highlight w:val="none"/>
        </w:rPr>
      </w:pPr>
      <w:r>
        <w:rPr>
          <w:kern w:val="0"/>
          <w:sz w:val="24"/>
          <w:highlight w:val="none"/>
          <w:lang w:bidi="ar"/>
        </w:rPr>
        <w:t>E</w:t>
      </w:r>
      <w:r>
        <w:rPr>
          <w:kern w:val="0"/>
          <w:sz w:val="24"/>
          <w:highlight w:val="none"/>
          <w:vertAlign w:val="subscript"/>
          <w:lang w:bidi="ar"/>
        </w:rPr>
        <w:t>热</w:t>
      </w:r>
      <w:r>
        <w:rPr>
          <w:rFonts w:hint="eastAsia"/>
          <w:kern w:val="0"/>
          <w:sz w:val="24"/>
          <w:highlight w:val="none"/>
          <w:lang w:bidi="ar"/>
        </w:rPr>
        <w:t xml:space="preserve">： </w:t>
      </w:r>
      <w:r>
        <w:rPr>
          <w:kern w:val="0"/>
          <w:sz w:val="24"/>
          <w:highlight w:val="none"/>
          <w:lang w:bidi="ar"/>
        </w:rPr>
        <w:t>为净购入的热力隐含的排放量，单位为吨二氧化碳（tCO</w:t>
      </w:r>
      <w:r>
        <w:rPr>
          <w:kern w:val="0"/>
          <w:sz w:val="24"/>
          <w:highlight w:val="none"/>
          <w:vertAlign w:val="subscript"/>
          <w:lang w:bidi="ar"/>
        </w:rPr>
        <w:t>2</w:t>
      </w:r>
      <w:r>
        <w:rPr>
          <w:kern w:val="0"/>
          <w:sz w:val="24"/>
          <w:highlight w:val="none"/>
          <w:lang w:bidi="ar"/>
        </w:rPr>
        <w:t xml:space="preserve">）； </w:t>
      </w:r>
    </w:p>
    <w:p w14:paraId="2D93BEA7">
      <w:pPr>
        <w:widowControl/>
        <w:spacing w:line="360" w:lineRule="auto"/>
        <w:ind w:firstLine="480" w:firstLineChars="200"/>
        <w:jc w:val="left"/>
        <w:rPr>
          <w:sz w:val="24"/>
          <w:highlight w:val="none"/>
        </w:rPr>
      </w:pPr>
      <w:r>
        <w:rPr>
          <w:kern w:val="0"/>
          <w:sz w:val="24"/>
          <w:highlight w:val="none"/>
          <w:lang w:bidi="ar"/>
        </w:rPr>
        <w:t>AD</w:t>
      </w:r>
      <w:r>
        <w:rPr>
          <w:kern w:val="0"/>
          <w:sz w:val="24"/>
          <w:highlight w:val="none"/>
          <w:vertAlign w:val="subscript"/>
          <w:lang w:bidi="ar"/>
        </w:rPr>
        <w:t>热</w:t>
      </w:r>
      <w:r>
        <w:rPr>
          <w:rFonts w:hint="eastAsia"/>
          <w:kern w:val="0"/>
          <w:sz w:val="24"/>
          <w:highlight w:val="none"/>
          <w:lang w:bidi="ar"/>
        </w:rPr>
        <w:t>：</w:t>
      </w:r>
      <w:r>
        <w:rPr>
          <w:kern w:val="0"/>
          <w:sz w:val="24"/>
          <w:highlight w:val="none"/>
          <w:lang w:bidi="ar"/>
        </w:rPr>
        <w:t xml:space="preserve">为核算和报告年度内的净外购热力，单位为百万千焦（GJ）； </w:t>
      </w:r>
    </w:p>
    <w:p w14:paraId="6DF02E15">
      <w:pPr>
        <w:widowControl/>
        <w:spacing w:line="360" w:lineRule="auto"/>
        <w:ind w:firstLine="480" w:firstLineChars="200"/>
        <w:jc w:val="left"/>
        <w:rPr>
          <w:sz w:val="24"/>
          <w:highlight w:val="none"/>
        </w:rPr>
      </w:pPr>
      <w:r>
        <w:rPr>
          <w:kern w:val="0"/>
          <w:sz w:val="24"/>
          <w:highlight w:val="none"/>
          <w:lang w:bidi="ar"/>
        </w:rPr>
        <w:t>EF</w:t>
      </w:r>
      <w:r>
        <w:rPr>
          <w:kern w:val="0"/>
          <w:sz w:val="24"/>
          <w:highlight w:val="none"/>
          <w:vertAlign w:val="subscript"/>
          <w:lang w:bidi="ar"/>
        </w:rPr>
        <w:t>热</w:t>
      </w:r>
      <w:r>
        <w:rPr>
          <w:rFonts w:hint="eastAsia"/>
          <w:kern w:val="0"/>
          <w:sz w:val="24"/>
          <w:highlight w:val="none"/>
          <w:lang w:bidi="ar"/>
        </w:rPr>
        <w:t>：</w:t>
      </w:r>
      <w:r>
        <w:rPr>
          <w:kern w:val="0"/>
          <w:sz w:val="24"/>
          <w:highlight w:val="none"/>
          <w:lang w:bidi="ar"/>
        </w:rPr>
        <w:t>为年平均供热排放因子，单位为吨二氧化碳/百万千焦（tCO</w:t>
      </w:r>
      <w:r>
        <w:rPr>
          <w:kern w:val="0"/>
          <w:sz w:val="24"/>
          <w:highlight w:val="none"/>
          <w:vertAlign w:val="subscript"/>
          <w:lang w:bidi="ar"/>
        </w:rPr>
        <w:t>2</w:t>
      </w:r>
      <w:r>
        <w:rPr>
          <w:kern w:val="0"/>
          <w:sz w:val="24"/>
          <w:highlight w:val="none"/>
          <w:lang w:bidi="ar"/>
        </w:rPr>
        <w:t>/GJ）。</w:t>
      </w:r>
    </w:p>
    <w:p w14:paraId="631DEB0D">
      <w:pPr>
        <w:widowControl/>
        <w:spacing w:line="360" w:lineRule="auto"/>
        <w:ind w:firstLine="482" w:firstLineChars="200"/>
        <w:jc w:val="left"/>
        <w:rPr>
          <w:sz w:val="24"/>
          <w:highlight w:val="none"/>
        </w:rPr>
      </w:pPr>
      <w:r>
        <w:rPr>
          <w:b/>
          <w:bCs/>
          <w:kern w:val="0"/>
          <w:sz w:val="24"/>
          <w:highlight w:val="none"/>
          <w:lang w:bidi="ar"/>
        </w:rPr>
        <w:t xml:space="preserve">1）活动水平数据获取 </w:t>
      </w:r>
    </w:p>
    <w:p w14:paraId="52366849">
      <w:pPr>
        <w:widowControl/>
        <w:spacing w:line="360" w:lineRule="auto"/>
        <w:ind w:firstLine="480" w:firstLineChars="200"/>
        <w:jc w:val="left"/>
        <w:rPr>
          <w:sz w:val="24"/>
          <w:highlight w:val="none"/>
        </w:rPr>
      </w:pPr>
      <w:r>
        <w:rPr>
          <w:kern w:val="0"/>
          <w:sz w:val="24"/>
          <w:highlight w:val="none"/>
          <w:lang w:bidi="ar"/>
        </w:rPr>
        <w:t xml:space="preserve">核算和报告年度内的净外购电量，是数据中心购买的总电量扣减外销的电量。活动数据以数据中心的电表记录的读数为准，也可采用供应商提供的电费发票或者结算单等结算凭证上的数据。 </w:t>
      </w:r>
    </w:p>
    <w:p w14:paraId="70171008">
      <w:pPr>
        <w:widowControl/>
        <w:spacing w:line="360" w:lineRule="auto"/>
        <w:ind w:firstLine="480" w:firstLineChars="200"/>
        <w:jc w:val="left"/>
        <w:rPr>
          <w:sz w:val="24"/>
          <w:highlight w:val="none"/>
        </w:rPr>
      </w:pPr>
      <w:r>
        <w:rPr>
          <w:kern w:val="0"/>
          <w:sz w:val="24"/>
          <w:highlight w:val="none"/>
          <w:lang w:bidi="ar"/>
        </w:rPr>
        <w:t xml:space="preserve">核算和报告年度内的净外购热力，是数据中心购买的总热力扣减外销的热力。活动数据以数据中心的热力表记录的读数为准，也可采用供应商提供的热力费发票或者结算单等结算凭证上的数据。 </w:t>
      </w:r>
    </w:p>
    <w:p w14:paraId="194CC052">
      <w:pPr>
        <w:widowControl/>
        <w:spacing w:line="360" w:lineRule="auto"/>
        <w:ind w:firstLine="482" w:firstLineChars="200"/>
        <w:jc w:val="left"/>
        <w:rPr>
          <w:sz w:val="24"/>
          <w:highlight w:val="none"/>
        </w:rPr>
      </w:pPr>
      <w:r>
        <w:rPr>
          <w:b/>
          <w:bCs/>
          <w:kern w:val="0"/>
          <w:sz w:val="24"/>
          <w:highlight w:val="none"/>
          <w:lang w:bidi="ar"/>
        </w:rPr>
        <w:t xml:space="preserve">2）排放因子数据获取 </w:t>
      </w:r>
    </w:p>
    <w:p w14:paraId="6DF0A29B">
      <w:pPr>
        <w:widowControl/>
        <w:spacing w:line="360" w:lineRule="auto"/>
        <w:ind w:firstLine="480" w:firstLineChars="200"/>
        <w:jc w:val="left"/>
        <w:rPr>
          <w:sz w:val="24"/>
          <w:highlight w:val="none"/>
        </w:rPr>
      </w:pPr>
      <w:r>
        <w:rPr>
          <w:kern w:val="0"/>
          <w:sz w:val="24"/>
          <w:highlight w:val="none"/>
          <w:lang w:bidi="ar"/>
        </w:rPr>
        <w:t xml:space="preserve">电力消费的排放因子应根据数据中心所在地及目前的东北、华北、华东、华中、西北、南方电网划分，选用国家主管部门最新公布的相应区域电网排放因子。 </w:t>
      </w:r>
    </w:p>
    <w:p w14:paraId="45BA9C25">
      <w:pPr>
        <w:widowControl/>
        <w:spacing w:line="360" w:lineRule="auto"/>
        <w:ind w:firstLine="480" w:firstLineChars="200"/>
        <w:jc w:val="left"/>
        <w:rPr>
          <w:kern w:val="0"/>
          <w:sz w:val="24"/>
          <w:highlight w:val="none"/>
          <w:lang w:bidi="ar"/>
        </w:rPr>
      </w:pPr>
      <w:r>
        <w:rPr>
          <w:kern w:val="0"/>
          <w:sz w:val="24"/>
          <w:highlight w:val="none"/>
          <w:lang w:bidi="ar"/>
        </w:rPr>
        <w:t>热力消费的排放因子优先选用供热单位提供的数据，或当地政府主管部门发布的官方数据，若以上数据均不可得，可取推荐值0.11tCO</w:t>
      </w:r>
      <w:r>
        <w:rPr>
          <w:kern w:val="0"/>
          <w:sz w:val="24"/>
          <w:highlight w:val="none"/>
          <w:vertAlign w:val="subscript"/>
          <w:lang w:bidi="ar"/>
        </w:rPr>
        <w:t>2</w:t>
      </w:r>
      <w:r>
        <w:rPr>
          <w:kern w:val="0"/>
          <w:sz w:val="24"/>
          <w:highlight w:val="none"/>
          <w:lang w:bidi="ar"/>
        </w:rPr>
        <w:t>/GJ。</w:t>
      </w:r>
    </w:p>
    <w:p w14:paraId="29AF7AEF">
      <w:pPr>
        <w:pStyle w:val="15"/>
        <w:spacing w:line="360" w:lineRule="auto"/>
        <w:ind w:left="0" w:leftChars="0" w:firstLine="480" w:firstLineChars="200"/>
        <w:rPr>
          <w:kern w:val="0"/>
          <w:sz w:val="24"/>
          <w:highlight w:val="none"/>
          <w:lang w:bidi="ar"/>
        </w:rPr>
      </w:pPr>
      <w:r>
        <w:rPr>
          <w:rFonts w:hint="eastAsia"/>
          <w:kern w:val="0"/>
          <w:sz w:val="24"/>
          <w:highlight w:val="none"/>
          <w:lang w:bidi="ar"/>
        </w:rPr>
        <w:t>本项目热力有锅炉自供不</w:t>
      </w:r>
      <w:r>
        <w:rPr>
          <w:rFonts w:hint="eastAsia"/>
          <w:kern w:val="0"/>
          <w:sz w:val="24"/>
          <w:highlight w:val="none"/>
          <w:lang w:val="en-US" w:eastAsia="zh-CN" w:bidi="ar"/>
        </w:rPr>
        <w:t>用</w:t>
      </w:r>
      <w:r>
        <w:rPr>
          <w:rFonts w:hint="eastAsia"/>
          <w:kern w:val="0"/>
          <w:sz w:val="24"/>
          <w:highlight w:val="none"/>
          <w:lang w:bidi="ar"/>
        </w:rPr>
        <w:t>买，只购买电力，所以这里只对电力进行计算.黑龙江省电网平均二氧化碳排放因子为0.75kg/kwh=0.75</w:t>
      </w:r>
      <w:r>
        <w:rPr>
          <w:kern w:val="0"/>
          <w:sz w:val="24"/>
          <w:highlight w:val="none"/>
          <w:lang w:bidi="ar"/>
        </w:rPr>
        <w:t>tCO</w:t>
      </w:r>
      <w:r>
        <w:rPr>
          <w:kern w:val="0"/>
          <w:sz w:val="24"/>
          <w:highlight w:val="none"/>
          <w:vertAlign w:val="subscript"/>
          <w:lang w:bidi="ar"/>
        </w:rPr>
        <w:t>2</w:t>
      </w:r>
      <w:r>
        <w:rPr>
          <w:kern w:val="0"/>
          <w:sz w:val="24"/>
          <w:highlight w:val="none"/>
          <w:lang w:bidi="ar"/>
        </w:rPr>
        <w:t>/MWh</w:t>
      </w:r>
      <w:r>
        <w:rPr>
          <w:rFonts w:hint="eastAsia"/>
          <w:kern w:val="0"/>
          <w:sz w:val="24"/>
          <w:highlight w:val="none"/>
          <w:lang w:bidi="ar"/>
        </w:rPr>
        <w:t xml:space="preserve"> 本项目年用电量为</w:t>
      </w:r>
      <w:r>
        <w:rPr>
          <w:rFonts w:hint="eastAsia"/>
          <w:kern w:val="0"/>
          <w:sz w:val="24"/>
          <w:highlight w:val="none"/>
          <w:lang w:val="en-US" w:eastAsia="zh-CN" w:bidi="ar"/>
        </w:rPr>
        <w:t>271.3998</w:t>
      </w:r>
      <w:r>
        <w:rPr>
          <w:rFonts w:hint="eastAsia"/>
          <w:kern w:val="0"/>
          <w:sz w:val="24"/>
          <w:highlight w:val="none"/>
          <w:lang w:bidi="ar"/>
        </w:rPr>
        <w:t>万</w:t>
      </w:r>
      <w:r>
        <w:rPr>
          <w:rFonts w:eastAsia="Times New Roman"/>
          <w:spacing w:val="-1"/>
          <w:sz w:val="22"/>
          <w:szCs w:val="22"/>
          <w:highlight w:val="none"/>
        </w:rPr>
        <w:t>kWh</w:t>
      </w:r>
    </w:p>
    <w:p w14:paraId="37D2E835">
      <w:pPr>
        <w:bidi w:val="0"/>
        <w:rPr>
          <w:kern w:val="0"/>
          <w:sz w:val="24"/>
          <w:highlight w:val="none"/>
          <w:vertAlign w:val="subscript"/>
          <w:lang w:bidi="ar"/>
        </w:rPr>
      </w:pPr>
      <w:r>
        <w:rPr>
          <w:rFonts w:hint="eastAsia"/>
          <w:kern w:val="0"/>
          <w:sz w:val="24"/>
          <w:highlight w:val="none"/>
          <w:lang w:bidi="ar"/>
        </w:rPr>
        <w:t>E</w:t>
      </w:r>
      <w:r>
        <w:rPr>
          <w:rFonts w:hint="eastAsia"/>
          <w:kern w:val="0"/>
          <w:sz w:val="24"/>
          <w:highlight w:val="none"/>
          <w:vertAlign w:val="subscript"/>
          <w:lang w:bidi="ar"/>
        </w:rPr>
        <w:t>电</w:t>
      </w:r>
      <w:r>
        <w:rPr>
          <w:rFonts w:hint="eastAsia"/>
          <w:kern w:val="0"/>
          <w:sz w:val="24"/>
          <w:highlight w:val="none"/>
          <w:lang w:bidi="ar"/>
        </w:rPr>
        <w:t>=AD</w:t>
      </w:r>
      <w:r>
        <w:rPr>
          <w:rFonts w:hint="eastAsia"/>
          <w:kern w:val="0"/>
          <w:sz w:val="24"/>
          <w:highlight w:val="none"/>
          <w:vertAlign w:val="subscript"/>
          <w:lang w:bidi="ar"/>
        </w:rPr>
        <w:t>电</w:t>
      </w:r>
      <w:r>
        <w:rPr>
          <w:rFonts w:hint="eastAsia"/>
          <w:kern w:val="0"/>
          <w:sz w:val="24"/>
          <w:highlight w:val="none"/>
          <w:lang w:bidi="ar"/>
        </w:rPr>
        <w:t>×EF</w:t>
      </w:r>
      <w:r>
        <w:rPr>
          <w:rFonts w:hint="eastAsia"/>
          <w:kern w:val="0"/>
          <w:sz w:val="24"/>
          <w:highlight w:val="none"/>
          <w:vertAlign w:val="subscript"/>
          <w:lang w:bidi="ar"/>
        </w:rPr>
        <w:t>电 =</w:t>
      </w:r>
      <w:r>
        <w:rPr>
          <w:rFonts w:hint="eastAsia" w:eastAsia="宋体"/>
          <w:b/>
          <w:bCs/>
          <w:spacing w:val="-2"/>
          <w:sz w:val="24"/>
          <w:highlight w:val="none"/>
          <w:lang w:val="en-US" w:eastAsia="zh-CN"/>
        </w:rPr>
        <w:t>2713.998</w:t>
      </w:r>
      <w:r>
        <w:rPr>
          <w:rFonts w:hint="eastAsia"/>
          <w:b/>
          <w:bCs/>
          <w:spacing w:val="-2"/>
          <w:sz w:val="24"/>
          <w:highlight w:val="none"/>
        </w:rPr>
        <w:t>M</w:t>
      </w:r>
      <w:r>
        <w:rPr>
          <w:rFonts w:eastAsia="Times New Roman"/>
          <w:b/>
          <w:bCs/>
          <w:spacing w:val="-1"/>
          <w:sz w:val="24"/>
          <w:highlight w:val="none"/>
        </w:rPr>
        <w:t>Wh</w:t>
      </w:r>
      <w:r>
        <w:rPr>
          <w:rFonts w:hint="eastAsia"/>
          <w:kern w:val="0"/>
          <w:sz w:val="24"/>
          <w:highlight w:val="none"/>
          <w:lang w:bidi="ar"/>
        </w:rPr>
        <w:t>×0.75</w:t>
      </w:r>
      <w:r>
        <w:rPr>
          <w:kern w:val="0"/>
          <w:sz w:val="24"/>
          <w:highlight w:val="none"/>
          <w:lang w:bidi="ar"/>
        </w:rPr>
        <w:t>tCO</w:t>
      </w:r>
      <w:r>
        <w:rPr>
          <w:kern w:val="0"/>
          <w:sz w:val="24"/>
          <w:highlight w:val="none"/>
          <w:vertAlign w:val="subscript"/>
          <w:lang w:bidi="ar"/>
        </w:rPr>
        <w:t>2</w:t>
      </w:r>
      <w:r>
        <w:rPr>
          <w:kern w:val="0"/>
          <w:sz w:val="24"/>
          <w:highlight w:val="none"/>
          <w:lang w:bidi="ar"/>
        </w:rPr>
        <w:t>/MWh</w:t>
      </w:r>
      <w:r>
        <w:rPr>
          <w:rFonts w:hint="eastAsia"/>
          <w:kern w:val="0"/>
          <w:sz w:val="24"/>
          <w:highlight w:val="none"/>
          <w:lang w:bidi="ar"/>
        </w:rPr>
        <w:t>=</w:t>
      </w:r>
      <w:r>
        <w:rPr>
          <w:rFonts w:hint="eastAsia"/>
          <w:kern w:val="0"/>
          <w:sz w:val="24"/>
          <w:highlight w:val="none"/>
          <w:lang w:val="en-US" w:eastAsia="zh-CN" w:bidi="ar"/>
        </w:rPr>
        <w:t>2048.99</w:t>
      </w:r>
      <w:r>
        <w:rPr>
          <w:rFonts w:hint="eastAsia"/>
          <w:kern w:val="0"/>
          <w:sz w:val="24"/>
          <w:highlight w:val="none"/>
          <w:lang w:bidi="ar"/>
        </w:rPr>
        <w:t>t</w:t>
      </w:r>
      <w:r>
        <w:rPr>
          <w:kern w:val="0"/>
          <w:sz w:val="24"/>
          <w:highlight w:val="none"/>
          <w:lang w:bidi="ar"/>
        </w:rPr>
        <w:t>CO</w:t>
      </w:r>
      <w:r>
        <w:rPr>
          <w:kern w:val="0"/>
          <w:sz w:val="24"/>
          <w:highlight w:val="none"/>
          <w:vertAlign w:val="subscript"/>
          <w:lang w:bidi="ar"/>
        </w:rPr>
        <w:t>2</w:t>
      </w:r>
    </w:p>
    <w:p w14:paraId="0C2F8B01">
      <w:pPr>
        <w:bidi w:val="0"/>
        <w:rPr>
          <w:rFonts w:hint="eastAsia"/>
          <w:highlight w:val="none"/>
          <w:lang w:val="en-US" w:eastAsia="zh-CN"/>
        </w:rPr>
      </w:pPr>
      <w:r>
        <w:rPr>
          <w:rFonts w:hint="eastAsia"/>
          <w:highlight w:val="none"/>
          <w:lang w:val="en-US" w:eastAsia="zh-CN"/>
        </w:rPr>
        <w:t>根据上述可知企业二氧化碳年排放量为：</w:t>
      </w:r>
    </w:p>
    <w:p w14:paraId="0AA432A5">
      <w:pPr>
        <w:bidi w:val="0"/>
        <w:rPr>
          <w:rFonts w:hint="default"/>
          <w:highlight w:val="none"/>
          <w:lang w:val="en-US" w:eastAsia="zh-CN"/>
        </w:rPr>
      </w:pPr>
      <w:r>
        <w:rPr>
          <w:b/>
          <w:bCs/>
          <w:kern w:val="0"/>
          <w:sz w:val="24"/>
          <w:highlight w:val="none"/>
          <w:lang w:bidi="ar"/>
        </w:rPr>
        <w:t>E = E</w:t>
      </w:r>
      <w:r>
        <w:rPr>
          <w:b/>
          <w:bCs/>
          <w:kern w:val="0"/>
          <w:sz w:val="24"/>
          <w:highlight w:val="none"/>
          <w:vertAlign w:val="subscript"/>
          <w:lang w:bidi="ar"/>
        </w:rPr>
        <w:t>燃烧</w:t>
      </w:r>
      <w:r>
        <w:rPr>
          <w:b/>
          <w:bCs/>
          <w:kern w:val="0"/>
          <w:sz w:val="24"/>
          <w:highlight w:val="none"/>
          <w:lang w:bidi="ar"/>
        </w:rPr>
        <w:t>+ E</w:t>
      </w:r>
      <w:r>
        <w:rPr>
          <w:b/>
          <w:bCs/>
          <w:kern w:val="0"/>
          <w:sz w:val="24"/>
          <w:highlight w:val="none"/>
          <w:vertAlign w:val="subscript"/>
          <w:lang w:bidi="ar"/>
        </w:rPr>
        <w:t>电和热</w:t>
      </w:r>
      <w:r>
        <w:rPr>
          <w:rFonts w:hint="eastAsia"/>
          <w:b/>
          <w:bCs/>
          <w:kern w:val="0"/>
          <w:sz w:val="24"/>
          <w:highlight w:val="none"/>
          <w:lang w:bidi="ar"/>
        </w:rPr>
        <w:t>=</w:t>
      </w:r>
      <w:r>
        <w:rPr>
          <w:rFonts w:hint="eastAsia"/>
          <w:b/>
          <w:bCs/>
          <w:kern w:val="0"/>
          <w:sz w:val="24"/>
          <w:highlight w:val="none"/>
          <w:lang w:val="en-US" w:eastAsia="zh-CN" w:bidi="ar"/>
        </w:rPr>
        <w:t>115422.646</w:t>
      </w:r>
      <w:r>
        <w:rPr>
          <w:rFonts w:hint="eastAsia"/>
          <w:b/>
          <w:bCs/>
          <w:kern w:val="0"/>
          <w:sz w:val="24"/>
          <w:highlight w:val="none"/>
          <w:lang w:bidi="ar"/>
        </w:rPr>
        <w:t>+</w:t>
      </w:r>
      <w:r>
        <w:rPr>
          <w:rFonts w:hint="eastAsia"/>
          <w:b/>
          <w:bCs/>
          <w:kern w:val="0"/>
          <w:sz w:val="24"/>
          <w:highlight w:val="none"/>
          <w:lang w:val="en-US" w:eastAsia="zh-CN" w:bidi="ar"/>
        </w:rPr>
        <w:t>2048.99</w:t>
      </w:r>
      <w:r>
        <w:rPr>
          <w:rFonts w:hint="eastAsia"/>
          <w:b/>
          <w:bCs/>
          <w:kern w:val="0"/>
          <w:sz w:val="24"/>
          <w:highlight w:val="none"/>
          <w:lang w:bidi="ar"/>
        </w:rPr>
        <w:t>=</w:t>
      </w:r>
      <w:r>
        <w:rPr>
          <w:rFonts w:hint="eastAsia"/>
          <w:b/>
          <w:bCs/>
          <w:kern w:val="0"/>
          <w:sz w:val="24"/>
          <w:highlight w:val="none"/>
          <w:lang w:val="en-US" w:eastAsia="zh-CN" w:bidi="ar"/>
        </w:rPr>
        <w:t>117471.636</w:t>
      </w:r>
      <w:r>
        <w:rPr>
          <w:b/>
          <w:bCs/>
          <w:kern w:val="0"/>
          <w:sz w:val="24"/>
          <w:highlight w:val="none"/>
          <w:lang w:bidi="ar"/>
        </w:rPr>
        <w:t>tCO</w:t>
      </w:r>
      <w:r>
        <w:rPr>
          <w:b/>
          <w:bCs/>
          <w:kern w:val="0"/>
          <w:sz w:val="24"/>
          <w:highlight w:val="none"/>
          <w:vertAlign w:val="subscript"/>
          <w:lang w:bidi="ar"/>
        </w:rPr>
        <w:t>2</w:t>
      </w:r>
      <w:r>
        <w:rPr>
          <w:b/>
          <w:bCs/>
          <w:kern w:val="0"/>
          <w:sz w:val="24"/>
          <w:highlight w:val="none"/>
          <w:lang w:bidi="ar"/>
        </w:rPr>
        <w:t>e</w:t>
      </w:r>
    </w:p>
    <w:p w14:paraId="33ACD09B">
      <w:pPr>
        <w:bidi w:val="0"/>
        <w:rPr>
          <w:rFonts w:hint="eastAsia" w:ascii="Times New Roman" w:hAnsi="Times New Roman"/>
          <w:color w:val="auto"/>
          <w:highlight w:val="none"/>
          <w:lang w:val="en-US" w:eastAsia="zh-CN"/>
        </w:rPr>
      </w:pPr>
      <w:r>
        <w:rPr>
          <w:rFonts w:hint="eastAsia" w:ascii="Times New Roman" w:hAnsi="Times New Roman"/>
          <w:color w:val="auto"/>
          <w:highlight w:val="none"/>
          <w:lang w:val="en-US" w:eastAsia="zh-CN"/>
        </w:rPr>
        <w:t>三、减排措施及建议</w:t>
      </w:r>
    </w:p>
    <w:p w14:paraId="0C892420">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（1）按《用能单位能源计量器具配备和管理通则》(GB17167-2006）的要求，实行各工段耗能专人管理，建立合理奖罚制度，并严格执行，确保节能降耗工作落到实处。</w:t>
      </w:r>
    </w:p>
    <w:p w14:paraId="41B6E2A4">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（2）建议建设单位根据能源法和统计法，建立健全的能源利用和消费统计制度和管理制度。</w:t>
      </w:r>
    </w:p>
    <w:p w14:paraId="04D7BCE3">
      <w:pPr>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（3）企业可通过降低能损，改进高能耗工艺，提高能源综合利用效率等，实施碳减排工程。</w:t>
      </w:r>
    </w:p>
    <w:p w14:paraId="1AD3BC98">
      <w:pPr>
        <w:bidi w:val="0"/>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四</w:t>
      </w:r>
      <w:r>
        <w:rPr>
          <w:rFonts w:hint="eastAsia" w:ascii="Times New Roman" w:hAnsi="Times New Roman" w:eastAsia="宋体" w:cs="Times New Roman"/>
          <w:color w:val="auto"/>
          <w:highlight w:val="none"/>
          <w:lang w:val="en-US" w:eastAsia="zh-CN"/>
        </w:rPr>
        <w:t>、结论</w:t>
      </w:r>
    </w:p>
    <w:p w14:paraId="1BB5E1A1">
      <w:pPr>
        <w:rPr>
          <w:rFonts w:hint="default"/>
          <w:highlight w:val="none"/>
          <w:lang w:val="en-US" w:eastAsia="zh-CN"/>
        </w:rPr>
      </w:pPr>
      <w:r>
        <w:rPr>
          <w:rFonts w:hint="eastAsia"/>
          <w:color w:val="auto"/>
          <w:highlight w:val="none"/>
        </w:rPr>
        <w:t>本项目为集中供热项目，运行稳定，供热效率高，</w:t>
      </w:r>
      <w:r>
        <w:rPr>
          <w:rFonts w:hint="eastAsia"/>
          <w:color w:val="auto"/>
          <w:highlight w:val="none"/>
          <w:lang w:val="en-US" w:eastAsia="zh-CN"/>
        </w:rPr>
        <w:t>在采取以上措施的前提下，</w:t>
      </w:r>
      <w:r>
        <w:rPr>
          <w:rFonts w:hint="eastAsia"/>
          <w:color w:val="auto"/>
          <w:highlight w:val="none"/>
        </w:rPr>
        <w:t>可以有效减少能源消耗和碳排放。</w:t>
      </w:r>
    </w:p>
    <w:p w14:paraId="51E16405">
      <w:pPr>
        <w:pStyle w:val="23"/>
        <w:rPr>
          <w:rFonts w:hint="default"/>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C18A28F">
      <w:pPr>
        <w:pStyle w:val="3"/>
        <w:bidi w:val="0"/>
        <w:rPr>
          <w:rFonts w:hint="eastAsia"/>
          <w:highlight w:val="none"/>
          <w:lang w:val="en-US" w:eastAsia="zh-CN"/>
        </w:rPr>
      </w:pPr>
      <w:bookmarkStart w:id="146" w:name="_Toc28646"/>
      <w:r>
        <w:rPr>
          <w:rFonts w:hint="eastAsia"/>
          <w:highlight w:val="none"/>
          <w:lang w:val="en-US" w:eastAsia="zh-CN"/>
        </w:rPr>
        <w:t>6环境保护措施及可行性论证</w:t>
      </w:r>
      <w:bookmarkEnd w:id="146"/>
    </w:p>
    <w:p w14:paraId="08876059">
      <w:pPr>
        <w:rPr>
          <w:rFonts w:ascii="Times New Roman" w:hAnsi="Times New Roman"/>
          <w:highlight w:val="none"/>
        </w:rPr>
      </w:pPr>
      <w:r>
        <w:rPr>
          <w:rFonts w:ascii="Times New Roman" w:hAnsi="Times New Roman"/>
          <w:highlight w:val="none"/>
        </w:rPr>
        <w:t>根据工程分析中所述本项目建设在各阶段产生的污染源状况，本着“达标排放”、“总量控制”的原则，提出具体污染防治措施。</w:t>
      </w:r>
    </w:p>
    <w:p w14:paraId="47AA9E19">
      <w:pPr>
        <w:pStyle w:val="4"/>
        <w:bidi w:val="0"/>
        <w:ind w:left="0" w:leftChars="0" w:firstLine="0" w:firstLineChars="0"/>
        <w:rPr>
          <w:rFonts w:hint="eastAsia"/>
          <w:highlight w:val="none"/>
          <w:lang w:val="en-US" w:eastAsia="zh-CN"/>
        </w:rPr>
      </w:pPr>
      <w:bookmarkStart w:id="147" w:name="_Toc11080"/>
      <w:r>
        <w:rPr>
          <w:rFonts w:hint="eastAsia"/>
          <w:highlight w:val="none"/>
          <w:lang w:val="en-US" w:eastAsia="zh-CN"/>
        </w:rPr>
        <w:t>6.1施工期环境保护措施</w:t>
      </w:r>
      <w:bookmarkEnd w:id="147"/>
    </w:p>
    <w:p w14:paraId="2BC05C36">
      <w:pPr>
        <w:bidi w:val="0"/>
        <w:rPr>
          <w:rFonts w:ascii="Times New Roman" w:hAnsi="Times New Roman"/>
          <w:highlight w:val="none"/>
        </w:rPr>
      </w:pPr>
      <w:r>
        <w:rPr>
          <w:rFonts w:ascii="Times New Roman" w:hAnsi="Times New Roman"/>
          <w:highlight w:val="none"/>
        </w:rPr>
        <w:t>施工期主要建设内容为新建全封闭储煤库。施工期工程活动内容主要包括场地平整、材料及设备运输、构筑建筑物和设备安装。在施工活动中，将不可避免产生废气、废水、噪声、固体废物等，对区域环境将产生一定的影响，其中施工噪声和扬尘的影响最为突出。本次环境将就项目施工可能产生的不利环境影响，提出以下相应的污染防治措施。</w:t>
      </w:r>
    </w:p>
    <w:p w14:paraId="41BC28F2">
      <w:pPr>
        <w:pStyle w:val="5"/>
        <w:bidi w:val="0"/>
        <w:ind w:left="0" w:leftChars="0" w:firstLine="0" w:firstLineChars="0"/>
        <w:rPr>
          <w:rFonts w:hint="eastAsia"/>
          <w:highlight w:val="none"/>
          <w:lang w:val="en-US" w:eastAsia="zh-CN"/>
        </w:rPr>
      </w:pPr>
      <w:bookmarkStart w:id="148" w:name="_Toc32525"/>
      <w:r>
        <w:rPr>
          <w:rFonts w:hint="eastAsia"/>
          <w:highlight w:val="none"/>
          <w:lang w:val="en-US" w:eastAsia="zh-CN"/>
        </w:rPr>
        <w:t>6.1.1地表水污染防治措施</w:t>
      </w:r>
      <w:bookmarkEnd w:id="148"/>
    </w:p>
    <w:p w14:paraId="11BF11A5">
      <w:pPr>
        <w:ind w:firstLine="480"/>
        <w:rPr>
          <w:rFonts w:ascii="Times New Roman" w:hAnsi="Times New Roman"/>
          <w:highlight w:val="none"/>
        </w:rPr>
      </w:pPr>
      <w:r>
        <w:rPr>
          <w:rFonts w:ascii="Times New Roman" w:hAnsi="Times New Roman"/>
          <w:highlight w:val="none"/>
        </w:rPr>
        <w:t>施工废水主要有施工人员生活污水和施工活动产生的废水。</w:t>
      </w:r>
    </w:p>
    <w:p w14:paraId="549C8FC6">
      <w:pPr>
        <w:ind w:firstLine="480"/>
        <w:rPr>
          <w:rFonts w:ascii="Times New Roman" w:hAnsi="Times New Roman"/>
          <w:highlight w:val="none"/>
        </w:rPr>
      </w:pPr>
      <w:r>
        <w:rPr>
          <w:rFonts w:ascii="Times New Roman" w:hAnsi="Times New Roman"/>
          <w:highlight w:val="none"/>
        </w:rPr>
        <w:t>施工生产废水主要特点是悬浮物含量高，混凝土浇筑废水、土石方工程及雨天引起的水土流失、雨污水等悬浮物浓度高的废水，含砂量大，其中SS经沉淀后可以大部分去除。应设置沉淀池，施工废水经沉淀池处理后用于道路降尘，不外排。</w:t>
      </w:r>
    </w:p>
    <w:p w14:paraId="1ABE291C">
      <w:pPr>
        <w:bidi w:val="0"/>
        <w:rPr>
          <w:rFonts w:ascii="Times New Roman" w:hAnsi="Times New Roman"/>
          <w:highlight w:val="none"/>
        </w:rPr>
      </w:pPr>
      <w:r>
        <w:rPr>
          <w:rFonts w:ascii="Times New Roman" w:hAnsi="Times New Roman"/>
          <w:highlight w:val="none"/>
        </w:rPr>
        <w:t>施工人员生活污水排入市政管网，对地表水环境影响较小。</w:t>
      </w:r>
    </w:p>
    <w:p w14:paraId="20D6F40B">
      <w:pPr>
        <w:pStyle w:val="5"/>
        <w:bidi w:val="0"/>
        <w:ind w:left="0" w:leftChars="0" w:firstLine="0" w:firstLineChars="0"/>
        <w:rPr>
          <w:rFonts w:hint="eastAsia"/>
          <w:highlight w:val="none"/>
          <w:lang w:val="en-US" w:eastAsia="zh-CN"/>
        </w:rPr>
      </w:pPr>
      <w:bookmarkStart w:id="149" w:name="_Toc20718"/>
      <w:r>
        <w:rPr>
          <w:rFonts w:hint="eastAsia"/>
          <w:highlight w:val="none"/>
          <w:lang w:val="en-US" w:eastAsia="zh-CN"/>
        </w:rPr>
        <w:t>6.1.2大气污染防治措施</w:t>
      </w:r>
      <w:bookmarkEnd w:id="149"/>
    </w:p>
    <w:p w14:paraId="62CB7C65">
      <w:pPr>
        <w:ind w:firstLine="480"/>
        <w:rPr>
          <w:rFonts w:ascii="Times New Roman" w:hAnsi="Times New Roman"/>
          <w:highlight w:val="none"/>
        </w:rPr>
      </w:pPr>
      <w:r>
        <w:rPr>
          <w:rFonts w:ascii="Times New Roman" w:hAnsi="Times New Roman"/>
          <w:highlight w:val="none"/>
        </w:rPr>
        <w:t>（1）施工现场采用湿法作业并设围挡，施工单位在建筑施工场地四周设置围挡，围挡高度不低于2m，封闭施工现场，并采取洒水抑尘措施。</w:t>
      </w:r>
    </w:p>
    <w:p w14:paraId="2936CF81">
      <w:pPr>
        <w:ind w:firstLine="480"/>
        <w:rPr>
          <w:rFonts w:ascii="Times New Roman" w:hAnsi="Times New Roman"/>
          <w:highlight w:val="none"/>
        </w:rPr>
      </w:pPr>
      <w:r>
        <w:rPr>
          <w:rFonts w:ascii="Times New Roman" w:hAnsi="Times New Roman"/>
          <w:highlight w:val="none"/>
        </w:rPr>
        <w:t>（2）施工单位应在遇到干燥、易起尘的土方工程作业时，辅以洒水压尘，地面洒水降低扬尘对周围环境的影响。</w:t>
      </w:r>
    </w:p>
    <w:p w14:paraId="49B9333E">
      <w:pPr>
        <w:ind w:firstLine="480"/>
        <w:rPr>
          <w:rFonts w:ascii="Times New Roman" w:hAnsi="Times New Roman"/>
          <w:highlight w:val="none"/>
        </w:rPr>
      </w:pPr>
      <w:r>
        <w:rPr>
          <w:rFonts w:ascii="Times New Roman" w:hAnsi="Times New Roman"/>
          <w:highlight w:val="none"/>
        </w:rPr>
        <w:t>（3）施工单位应在物料运输时对运输车辆加盖苫布，选择远离人群密集区的形成路线，并在城区内运输时减速慢行。</w:t>
      </w:r>
    </w:p>
    <w:p w14:paraId="66BCD819">
      <w:pPr>
        <w:ind w:firstLine="480"/>
        <w:rPr>
          <w:rFonts w:ascii="Times New Roman" w:hAnsi="Times New Roman"/>
          <w:highlight w:val="none"/>
        </w:rPr>
      </w:pPr>
      <w:r>
        <w:rPr>
          <w:rFonts w:ascii="Times New Roman" w:hAnsi="Times New Roman"/>
          <w:highlight w:val="none"/>
        </w:rPr>
        <w:t>（4）施工单位合理安排施工进度，尽量缩短建设工期。</w:t>
      </w:r>
    </w:p>
    <w:p w14:paraId="70409D0D">
      <w:pPr>
        <w:ind w:firstLine="480"/>
        <w:rPr>
          <w:rFonts w:ascii="Times New Roman" w:hAnsi="Times New Roman"/>
          <w:highlight w:val="none"/>
        </w:rPr>
      </w:pPr>
      <w:r>
        <w:rPr>
          <w:rFonts w:ascii="Times New Roman" w:hAnsi="Times New Roman"/>
          <w:highlight w:val="none"/>
        </w:rPr>
        <w:t>（5）施工单位对施工管理者和施工人员进行环境保护方面的培训，加强施工操作规范；</w:t>
      </w:r>
    </w:p>
    <w:p w14:paraId="5EFE6FE0">
      <w:pPr>
        <w:ind w:firstLine="480"/>
        <w:rPr>
          <w:rFonts w:ascii="Times New Roman" w:hAnsi="Times New Roman"/>
          <w:highlight w:val="none"/>
        </w:rPr>
      </w:pPr>
      <w:r>
        <w:rPr>
          <w:rFonts w:ascii="Times New Roman" w:hAnsi="Times New Roman"/>
          <w:highlight w:val="none"/>
        </w:rPr>
        <w:t>（6）设置洗车平台，完善排水设施，防止泥土粘带。车辆驶离工地前，应在洗车平台清洗轮胎及车身，不得带泥上路。同时洗车平台四周应设置废水导流渠、收集池、沉砂池等。</w:t>
      </w:r>
    </w:p>
    <w:p w14:paraId="1C9576A0">
      <w:pPr>
        <w:ind w:firstLine="480"/>
        <w:rPr>
          <w:rFonts w:ascii="Times New Roman" w:hAnsi="Times New Roman"/>
          <w:highlight w:val="none"/>
        </w:rPr>
      </w:pPr>
      <w:r>
        <w:rPr>
          <w:rFonts w:ascii="Times New Roman" w:hAnsi="Times New Roman"/>
          <w:highlight w:val="none"/>
        </w:rPr>
        <w:t>（7）运输车辆尽可能采用密闭车斗，并保证物料不遗撒外漏。若无密闭车斗，物料、垃圾、渣土的装载高度不得超过车辆槽帮上沿，车斗应用苫布遮盖严实，保证物料、渣土、垃圾不露出。车辆应按照批准的路线和时间进行运输。</w:t>
      </w:r>
    </w:p>
    <w:p w14:paraId="072CA70D">
      <w:pPr>
        <w:ind w:firstLine="480"/>
        <w:rPr>
          <w:rFonts w:ascii="Times New Roman" w:hAnsi="Times New Roman"/>
          <w:highlight w:val="none"/>
        </w:rPr>
      </w:pPr>
      <w:r>
        <w:rPr>
          <w:rFonts w:ascii="Times New Roman" w:hAnsi="Times New Roman"/>
          <w:highlight w:val="none"/>
        </w:rPr>
        <w:t>（8）施工工地内及工地出口至市政道路间的车行道路，应保持清洁，可采取铺设钢板、铺设混凝土路面方式，辅以洒水、喷洒抑尘剂，防止机动车扬尘。</w:t>
      </w:r>
    </w:p>
    <w:p w14:paraId="0600F00D">
      <w:pPr>
        <w:ind w:firstLine="480"/>
        <w:rPr>
          <w:rFonts w:ascii="Times New Roman" w:hAnsi="Times New Roman"/>
          <w:highlight w:val="none"/>
        </w:rPr>
      </w:pPr>
      <w:r>
        <w:rPr>
          <w:rFonts w:ascii="Times New Roman" w:hAnsi="Times New Roman"/>
          <w:highlight w:val="none"/>
        </w:rPr>
        <w:t>（9）工地裸地防尘要做到：覆盖防尘布或防尘网、植被绿化、天晴勤洒水、工地建筑结构脚手架外侧设置有效抑尘的密目防尘网或防尘布。</w:t>
      </w:r>
    </w:p>
    <w:p w14:paraId="13F94B52">
      <w:pPr>
        <w:ind w:firstLine="480"/>
        <w:rPr>
          <w:rFonts w:ascii="Times New Roman" w:hAnsi="Times New Roman"/>
          <w:highlight w:val="none"/>
        </w:rPr>
      </w:pPr>
      <w:r>
        <w:rPr>
          <w:rFonts w:ascii="Times New Roman" w:hAnsi="Times New Roman"/>
          <w:highlight w:val="none"/>
        </w:rPr>
        <w:t>（10）使用商品混凝土和预拌砂浆，不得现场搅拌、消化石灰及拌石灰土等，应尽量使用成品或半成品石材、木制品，实施装配式施工，减少因切割造成的扬尘。</w:t>
      </w:r>
    </w:p>
    <w:p w14:paraId="2856C96C">
      <w:pPr>
        <w:ind w:firstLine="480"/>
        <w:rPr>
          <w:rFonts w:ascii="Times New Roman" w:hAnsi="Times New Roman"/>
          <w:highlight w:val="none"/>
        </w:rPr>
      </w:pPr>
      <w:r>
        <w:rPr>
          <w:rFonts w:ascii="Times New Roman" w:hAnsi="Times New Roman"/>
          <w:highlight w:val="none"/>
        </w:rPr>
        <w:t>（11）工地内若需从建筑上层将具有粉尘逸散性的物料、渣土或废弃物输送至地面，可从电梯孔道、内部管道输送，或者打包搬运，不得凌空抛撒。</w:t>
      </w:r>
    </w:p>
    <w:p w14:paraId="29BB6C60">
      <w:pPr>
        <w:ind w:firstLine="480"/>
        <w:rPr>
          <w:rFonts w:ascii="Times New Roman" w:hAnsi="Times New Roman"/>
          <w:highlight w:val="none"/>
        </w:rPr>
      </w:pPr>
      <w:r>
        <w:rPr>
          <w:rFonts w:ascii="Times New Roman" w:hAnsi="Times New Roman"/>
          <w:highlight w:val="none"/>
        </w:rPr>
        <w:t>（12）施工单位做好施工现场的交通组织，避免因施工造成的交通阻塞，减少运输车辆怠速产生的废气排放。</w:t>
      </w:r>
    </w:p>
    <w:p w14:paraId="57DEBA60">
      <w:pPr>
        <w:ind w:firstLine="480"/>
        <w:rPr>
          <w:rFonts w:ascii="Times New Roman" w:hAnsi="Times New Roman"/>
          <w:highlight w:val="none"/>
        </w:rPr>
      </w:pPr>
      <w:r>
        <w:rPr>
          <w:rFonts w:ascii="Times New Roman" w:hAnsi="Times New Roman"/>
          <w:highlight w:val="none"/>
        </w:rPr>
        <w:t>（13）建筑材料用苫布遮盖或建封闭库房存放。</w:t>
      </w:r>
    </w:p>
    <w:p w14:paraId="18C92D14">
      <w:pPr>
        <w:rPr>
          <w:rFonts w:ascii="Times New Roman" w:hAnsi="Times New Roman"/>
          <w:highlight w:val="none"/>
        </w:rPr>
      </w:pPr>
      <w:r>
        <w:rPr>
          <w:rFonts w:ascii="Times New Roman" w:hAnsi="Times New Roman"/>
          <w:highlight w:val="none"/>
        </w:rPr>
        <w:t>采取上述措施后，扬尘浓度贡献值满足《大气污染物综合排放标准》（GB16297-1996）表2规定的颗粒物无组织排放监控浓度限值。</w:t>
      </w:r>
    </w:p>
    <w:p w14:paraId="6DDA505E">
      <w:pPr>
        <w:pStyle w:val="5"/>
        <w:bidi w:val="0"/>
        <w:ind w:left="0" w:leftChars="0" w:firstLine="0" w:firstLineChars="0"/>
        <w:rPr>
          <w:rFonts w:hint="eastAsia"/>
          <w:highlight w:val="none"/>
          <w:lang w:val="en-US" w:eastAsia="zh-CN"/>
        </w:rPr>
      </w:pPr>
      <w:bookmarkStart w:id="150" w:name="_Toc5869"/>
      <w:r>
        <w:rPr>
          <w:rFonts w:hint="eastAsia"/>
          <w:highlight w:val="none"/>
          <w:lang w:val="en-US" w:eastAsia="zh-CN"/>
        </w:rPr>
        <w:t>6.1.3噪声污染防治措施</w:t>
      </w:r>
      <w:bookmarkEnd w:id="150"/>
    </w:p>
    <w:p w14:paraId="4EEEE95F">
      <w:pPr>
        <w:rPr>
          <w:rFonts w:hint="default"/>
          <w:highlight w:val="none"/>
          <w:lang w:val="en-US" w:eastAsia="zh-CN"/>
        </w:rPr>
      </w:pPr>
      <w:r>
        <w:rPr>
          <w:rFonts w:hint="default"/>
          <w:highlight w:val="none"/>
          <w:lang w:val="en-US" w:eastAsia="zh-CN"/>
        </w:rPr>
        <w:t>施工单位应严格执行《中华人民共和国噪声污染防治法》，采用低噪声施工机具和先进工艺进行施工，在施工作业中必须合理安排各类施工机械的工作时间，除必须连续作业的工序外，晚上不得施工。施工单位应加强对施工人员的管理，减少人为原因产生的高噪声。</w:t>
      </w:r>
    </w:p>
    <w:p w14:paraId="3F46CEB5">
      <w:pPr>
        <w:rPr>
          <w:rFonts w:hint="default"/>
          <w:highlight w:val="none"/>
          <w:lang w:val="en-US" w:eastAsia="zh-CN"/>
        </w:rPr>
      </w:pPr>
      <w:r>
        <w:rPr>
          <w:rFonts w:hint="default"/>
          <w:highlight w:val="none"/>
          <w:lang w:val="en-US" w:eastAsia="zh-CN"/>
        </w:rPr>
        <w:t>根据有关规定，建设施工时除抢修、抢险作业和因生产工艺上要求或者特殊要求必须连续作业外，禁止夜间进行产生环境噪声污染的建筑施工作业，“因特殊要求必须连续作业的，必须有县级以上人民政府或者有关主管部门的证明”（《中华人民共和国噪声污染防治法》第三十条）。</w:t>
      </w:r>
    </w:p>
    <w:p w14:paraId="7A09DF75">
      <w:pPr>
        <w:rPr>
          <w:rFonts w:hint="default"/>
          <w:highlight w:val="none"/>
          <w:lang w:val="en-US" w:eastAsia="zh-CN"/>
        </w:rPr>
      </w:pPr>
      <w:r>
        <w:rPr>
          <w:rFonts w:hint="default"/>
          <w:highlight w:val="none"/>
          <w:lang w:val="en-US" w:eastAsia="zh-CN"/>
        </w:rPr>
        <w:t>应注重采取相应的控制措施，防止噪声影响周围环境和人们的正常生活。具体要求如下：</w:t>
      </w:r>
    </w:p>
    <w:p w14:paraId="10808F51">
      <w:pPr>
        <w:rPr>
          <w:rFonts w:hint="default"/>
          <w:highlight w:val="none"/>
          <w:lang w:val="en-US" w:eastAsia="zh-CN"/>
        </w:rPr>
      </w:pPr>
      <w:r>
        <w:rPr>
          <w:rFonts w:hint="default"/>
          <w:highlight w:val="none"/>
          <w:lang w:val="en-US" w:eastAsia="zh-CN"/>
        </w:rPr>
        <w:t>（1）合理安排施工计划和施工机械设备组合以及施工时间，禁止夜间（22:00-6:00）施工，避免在同一时间集中使用大量的动力机械设备。施工单位严格执行《建筑施工场界环境噪声排放标准》（GB12523-2011）标准的要求，在施工过程中，尽量减少运行动力机械设备的数量，尽可能使动力机械设备均匀地使用。</w:t>
      </w:r>
    </w:p>
    <w:p w14:paraId="56C49479">
      <w:pPr>
        <w:rPr>
          <w:rFonts w:hint="default"/>
          <w:highlight w:val="none"/>
          <w:lang w:val="en-US" w:eastAsia="zh-CN"/>
        </w:rPr>
      </w:pPr>
      <w:r>
        <w:rPr>
          <w:rFonts w:hint="default"/>
          <w:highlight w:val="none"/>
          <w:lang w:val="en-US" w:eastAsia="zh-CN"/>
        </w:rPr>
        <w:t>（2）对本项目的施工进行合理布局。</w:t>
      </w:r>
    </w:p>
    <w:p w14:paraId="7A14F6B5">
      <w:pPr>
        <w:rPr>
          <w:rFonts w:hint="default"/>
          <w:highlight w:val="none"/>
          <w:lang w:val="en-US" w:eastAsia="zh-CN"/>
        </w:rPr>
      </w:pPr>
      <w:r>
        <w:rPr>
          <w:rFonts w:hint="default"/>
          <w:highlight w:val="none"/>
          <w:lang w:val="en-US" w:eastAsia="zh-CN"/>
        </w:rPr>
        <w:t>（3）从控制声源和噪声传播以及加强管理等几个不同角度对施工噪声进行控制。</w:t>
      </w:r>
    </w:p>
    <w:p w14:paraId="773D5A23">
      <w:pPr>
        <w:rPr>
          <w:rFonts w:hint="default"/>
          <w:highlight w:val="none"/>
          <w:lang w:val="en-US" w:eastAsia="zh-CN"/>
        </w:rPr>
      </w:pPr>
      <w:r>
        <w:rPr>
          <w:rFonts w:hint="default"/>
          <w:highlight w:val="none"/>
          <w:lang w:val="en-US" w:eastAsia="zh-CN"/>
        </w:rPr>
        <w:t>①控制声源</w:t>
      </w:r>
    </w:p>
    <w:p w14:paraId="20872E12">
      <w:pPr>
        <w:rPr>
          <w:rFonts w:hint="default"/>
          <w:highlight w:val="none"/>
          <w:lang w:val="en-US" w:eastAsia="zh-CN"/>
        </w:rPr>
      </w:pPr>
      <w:r>
        <w:rPr>
          <w:rFonts w:hint="default"/>
          <w:highlight w:val="none"/>
          <w:lang w:val="en-US" w:eastAsia="zh-CN"/>
        </w:rPr>
        <w:t>选择低噪声的机械设备。对于开挖和运输土石方的机械设备（挖土机、推土机等）以及翻斗车，可以通过排气消声器和隔离发动机震动部分的方法来降低噪声，其他产生噪声的部分还可以采用部分封闭或者完全封闭的办法，尽量减少振动面的振幅；闲置的机械设备等应该及时予以关闭；一切动力机械设备都应该经常检修，特别是那些会因为部件松动而产生噪声的机械，以及那些降噪部件容易损坏而导致强噪声产生的机械设备。</w:t>
      </w:r>
    </w:p>
    <w:p w14:paraId="15161781">
      <w:pPr>
        <w:rPr>
          <w:rFonts w:hint="default"/>
          <w:highlight w:val="none"/>
          <w:lang w:val="en-US" w:eastAsia="zh-CN"/>
        </w:rPr>
      </w:pPr>
      <w:r>
        <w:rPr>
          <w:rFonts w:hint="default"/>
          <w:highlight w:val="none"/>
          <w:lang w:val="en-US" w:eastAsia="zh-CN"/>
        </w:rPr>
        <w:t>②控制噪声传播</w:t>
      </w:r>
    </w:p>
    <w:p w14:paraId="6A846E1D">
      <w:pPr>
        <w:rPr>
          <w:rFonts w:hint="default"/>
          <w:highlight w:val="none"/>
          <w:lang w:val="en-US" w:eastAsia="zh-CN"/>
        </w:rPr>
      </w:pPr>
      <w:r>
        <w:rPr>
          <w:rFonts w:hint="default"/>
          <w:highlight w:val="none"/>
          <w:lang w:val="en-US" w:eastAsia="zh-CN"/>
        </w:rPr>
        <w:t>将各种噪声比较大的机械设备远离敏感点，并进行一定的隔离和防护消声处理，必要的时候，建议在施工场地四周建立临时性移动隔声屏障，这样可以减少对项目周围等敏感点的影响。</w:t>
      </w:r>
    </w:p>
    <w:p w14:paraId="7B734A68">
      <w:pPr>
        <w:rPr>
          <w:rFonts w:hint="default"/>
          <w:highlight w:val="none"/>
          <w:lang w:val="en-US" w:eastAsia="zh-CN"/>
        </w:rPr>
      </w:pPr>
      <w:r>
        <w:rPr>
          <w:rFonts w:hint="default"/>
          <w:highlight w:val="none"/>
          <w:lang w:val="en-US" w:eastAsia="zh-CN"/>
        </w:rPr>
        <w:t>③加强现场运输管理</w:t>
      </w:r>
    </w:p>
    <w:p w14:paraId="57674EBA">
      <w:pPr>
        <w:rPr>
          <w:rFonts w:hint="default"/>
          <w:highlight w:val="none"/>
          <w:lang w:val="en-US" w:eastAsia="zh-CN"/>
        </w:rPr>
      </w:pPr>
      <w:r>
        <w:rPr>
          <w:rFonts w:hint="default"/>
          <w:highlight w:val="none"/>
          <w:lang w:val="en-US" w:eastAsia="zh-CN"/>
        </w:rPr>
        <w:t>对施工车辆造成的噪声影响要加强管理，运输车辆尽量采用较低声级的喇叭，并在所经过的道路禁止鸣笛，以免影响沿途居民的正常生活。</w:t>
      </w:r>
    </w:p>
    <w:p w14:paraId="1D37ABFF">
      <w:pPr>
        <w:rPr>
          <w:rFonts w:hint="default"/>
          <w:highlight w:val="none"/>
          <w:lang w:val="en-US" w:eastAsia="zh-CN"/>
        </w:rPr>
      </w:pPr>
      <w:r>
        <w:rPr>
          <w:rFonts w:hint="default"/>
          <w:highlight w:val="none"/>
          <w:lang w:val="en-US" w:eastAsia="zh-CN"/>
        </w:rPr>
        <w:t>采取上述措施施工期噪声符合《建筑施工场界环境噪声排放标准》（GB12523-2011）要求。</w:t>
      </w:r>
    </w:p>
    <w:p w14:paraId="01A8A626">
      <w:pPr>
        <w:pStyle w:val="5"/>
        <w:bidi w:val="0"/>
        <w:ind w:left="0" w:leftChars="0" w:firstLine="0" w:firstLineChars="0"/>
        <w:rPr>
          <w:rFonts w:hint="eastAsia"/>
          <w:highlight w:val="none"/>
          <w:lang w:val="en-US" w:eastAsia="zh-CN"/>
        </w:rPr>
      </w:pPr>
      <w:bookmarkStart w:id="151" w:name="_Toc26745"/>
      <w:r>
        <w:rPr>
          <w:rFonts w:hint="eastAsia"/>
          <w:highlight w:val="none"/>
          <w:lang w:val="en-US" w:eastAsia="zh-CN"/>
        </w:rPr>
        <w:t>6.1.4固体废物处置措施</w:t>
      </w:r>
      <w:bookmarkEnd w:id="151"/>
    </w:p>
    <w:p w14:paraId="54AADD1F">
      <w:pPr>
        <w:rPr>
          <w:rFonts w:ascii="Times New Roman" w:hAnsi="Times New Roman"/>
          <w:highlight w:val="none"/>
        </w:rPr>
      </w:pPr>
      <w:r>
        <w:rPr>
          <w:rFonts w:ascii="Times New Roman" w:hAnsi="Times New Roman"/>
          <w:highlight w:val="none"/>
        </w:rPr>
        <w:t>施工期固体废物主要为弃土、建筑垃圾和施工人员产生的生活垃圾。施工产生的弃土和建筑垃圾应及时清运，并按照市政部门批准的地点倾倒。施工人员产生的生活垃圾量较少，可设置固定垃圾箱存放，由市政部门统一清运处理，不得随意丢弃。</w:t>
      </w:r>
    </w:p>
    <w:p w14:paraId="3D1CA384">
      <w:pPr>
        <w:pStyle w:val="5"/>
        <w:bidi w:val="0"/>
        <w:ind w:left="0" w:leftChars="0" w:firstLine="0" w:firstLineChars="0"/>
        <w:rPr>
          <w:rFonts w:hint="eastAsia"/>
          <w:highlight w:val="none"/>
          <w:lang w:val="en-US" w:eastAsia="zh-CN"/>
        </w:rPr>
      </w:pPr>
      <w:bookmarkStart w:id="152" w:name="_Toc17903"/>
      <w:r>
        <w:rPr>
          <w:rFonts w:hint="eastAsia"/>
          <w:highlight w:val="none"/>
          <w:lang w:val="en-US" w:eastAsia="zh-CN"/>
        </w:rPr>
        <w:t>6.1.5施工生态保护措施</w:t>
      </w:r>
      <w:bookmarkEnd w:id="152"/>
    </w:p>
    <w:p w14:paraId="7F5D418A">
      <w:pPr>
        <w:ind w:firstLine="480"/>
        <w:rPr>
          <w:rFonts w:ascii="Times New Roman" w:hAnsi="Times New Roman"/>
          <w:highlight w:val="none"/>
        </w:rPr>
      </w:pPr>
      <w:r>
        <w:rPr>
          <w:rFonts w:ascii="Times New Roman" w:hAnsi="Times New Roman"/>
          <w:highlight w:val="none"/>
        </w:rPr>
        <w:t xml:space="preserve">（1）严格控制用地范围，优化用地面积。物料存放场，施工营地等临时用地布置在红线范围内。 </w:t>
      </w:r>
    </w:p>
    <w:p w14:paraId="6192A72F">
      <w:pPr>
        <w:ind w:firstLine="480"/>
        <w:rPr>
          <w:rFonts w:ascii="Times New Roman" w:hAnsi="Times New Roman"/>
          <w:highlight w:val="none"/>
        </w:rPr>
      </w:pPr>
      <w:r>
        <w:rPr>
          <w:rFonts w:ascii="Times New Roman" w:hAnsi="Times New Roman"/>
          <w:highlight w:val="none"/>
        </w:rPr>
        <w:t xml:space="preserve">（2）施工单位合理组织施工，安排好施工时序。在施工过程中，采取砾石压盖、临时堆土场临时防护等临时防护措施，例如对表土的处理包括剥离、集中堆放、临时拦挡及苫盖等。 </w:t>
      </w:r>
    </w:p>
    <w:p w14:paraId="3F8B5315">
      <w:pPr>
        <w:ind w:firstLine="480"/>
        <w:rPr>
          <w:rFonts w:ascii="Times New Roman" w:hAnsi="Times New Roman"/>
          <w:highlight w:val="none"/>
        </w:rPr>
      </w:pPr>
      <w:r>
        <w:rPr>
          <w:rFonts w:ascii="Times New Roman" w:hAnsi="Times New Roman"/>
          <w:highlight w:val="none"/>
        </w:rPr>
        <w:t>（3）施工单位应制定相应的制度，明确施工区域范围，规范施工人员行为，管理好施工机械和运输车辆，避免乱压乱挖，破坏周围生态环境。</w:t>
      </w:r>
    </w:p>
    <w:p w14:paraId="09E4DD64">
      <w:pPr>
        <w:rPr>
          <w:rFonts w:ascii="Times New Roman" w:hAnsi="Times New Roman"/>
          <w:highlight w:val="none"/>
        </w:rPr>
      </w:pPr>
      <w:r>
        <w:rPr>
          <w:rFonts w:ascii="Times New Roman" w:hAnsi="Times New Roman"/>
          <w:highlight w:val="none"/>
        </w:rPr>
        <w:t>（4）施工期间为防止地表径流冲刷地表，产生水土流失，在临时堆土场周边设临时排水沟，排至厂区外现有排水沟，施工结束后，采用推土机推平临时排水沟。</w:t>
      </w:r>
    </w:p>
    <w:p w14:paraId="6AA1AB27">
      <w:pPr>
        <w:pStyle w:val="4"/>
        <w:bidi w:val="0"/>
        <w:ind w:left="0" w:leftChars="0" w:firstLine="0" w:firstLineChars="0"/>
        <w:rPr>
          <w:rFonts w:hint="eastAsia"/>
          <w:highlight w:val="none"/>
          <w:lang w:val="en-US" w:eastAsia="zh-CN"/>
        </w:rPr>
      </w:pPr>
      <w:bookmarkStart w:id="153" w:name="_Toc16687"/>
      <w:r>
        <w:rPr>
          <w:rFonts w:hint="eastAsia"/>
          <w:highlight w:val="none"/>
          <w:lang w:val="en-US" w:eastAsia="zh-CN"/>
        </w:rPr>
        <w:t>6.2运营期环境保护措施</w:t>
      </w:r>
      <w:bookmarkEnd w:id="153"/>
    </w:p>
    <w:p w14:paraId="2B0F05A3">
      <w:pPr>
        <w:pStyle w:val="5"/>
        <w:ind w:left="0" w:leftChars="0" w:firstLine="0" w:firstLineChars="0"/>
        <w:rPr>
          <w:rFonts w:hint="eastAsia"/>
          <w:highlight w:val="none"/>
          <w:lang w:val="en-US" w:eastAsia="zh-CN"/>
        </w:rPr>
      </w:pPr>
      <w:bookmarkStart w:id="154" w:name="_Toc14005"/>
      <w:r>
        <w:rPr>
          <w:rFonts w:hint="eastAsia"/>
          <w:highlight w:val="none"/>
          <w:lang w:val="en-US" w:eastAsia="zh-CN"/>
        </w:rPr>
        <w:t>6.2.1运营期废气污染防治措施</w:t>
      </w:r>
      <w:bookmarkEnd w:id="154"/>
    </w:p>
    <w:p w14:paraId="12B0E118">
      <w:pPr>
        <w:ind w:firstLine="480"/>
        <w:rPr>
          <w:rFonts w:hint="eastAsia" w:ascii="Times New Roman" w:hAnsi="Times New Roman"/>
          <w:highlight w:val="none"/>
        </w:rPr>
      </w:pPr>
      <w:r>
        <w:rPr>
          <w:rFonts w:ascii="Times New Roman" w:hAnsi="Times New Roman"/>
          <w:highlight w:val="none"/>
        </w:rPr>
        <w:t>本项目正常运行中产生的主要烟气污染物为烟尘、SO</w:t>
      </w:r>
      <w:r>
        <w:rPr>
          <w:rFonts w:ascii="Times New Roman" w:hAnsi="Times New Roman"/>
          <w:highlight w:val="none"/>
          <w:vertAlign w:val="subscript"/>
        </w:rPr>
        <w:t>2</w:t>
      </w:r>
      <w:r>
        <w:rPr>
          <w:rFonts w:ascii="Times New Roman" w:hAnsi="Times New Roman"/>
          <w:highlight w:val="none"/>
        </w:rPr>
        <w:t>、NOx、氨</w:t>
      </w:r>
      <w:r>
        <w:rPr>
          <w:rFonts w:hint="eastAsia" w:ascii="Times New Roman" w:hAnsi="Times New Roman"/>
          <w:highlight w:val="none"/>
        </w:rPr>
        <w:t>、</w:t>
      </w:r>
      <w:r>
        <w:rPr>
          <w:rFonts w:ascii="Times New Roman" w:hAnsi="Times New Roman"/>
          <w:highlight w:val="none"/>
        </w:rPr>
        <w:t>汞及其化合物和</w:t>
      </w:r>
      <w:r>
        <w:rPr>
          <w:rFonts w:hint="eastAsia" w:ascii="Times New Roman" w:hAnsi="Times New Roman"/>
          <w:highlight w:val="none"/>
        </w:rPr>
        <w:t>林格曼黑度</w:t>
      </w:r>
      <w:r>
        <w:rPr>
          <w:rFonts w:ascii="Times New Roman" w:hAnsi="Times New Roman"/>
          <w:highlight w:val="none"/>
        </w:rPr>
        <w:t>。本期工程环境空气污染防治的基本目标是使企业排放的烟气污染物烟尘、SO</w:t>
      </w:r>
      <w:r>
        <w:rPr>
          <w:rFonts w:ascii="Times New Roman" w:hAnsi="Times New Roman"/>
          <w:highlight w:val="none"/>
          <w:vertAlign w:val="subscript"/>
        </w:rPr>
        <w:t>2</w:t>
      </w:r>
      <w:r>
        <w:rPr>
          <w:rFonts w:ascii="Times New Roman" w:hAnsi="Times New Roman"/>
          <w:highlight w:val="none"/>
        </w:rPr>
        <w:t>、NOx满足超低排放要求，即在基准氧含量6%条件下，烟尘、SO</w:t>
      </w:r>
      <w:r>
        <w:rPr>
          <w:rFonts w:ascii="Times New Roman" w:hAnsi="Times New Roman"/>
          <w:highlight w:val="none"/>
          <w:vertAlign w:val="subscript"/>
        </w:rPr>
        <w:t>2</w:t>
      </w:r>
      <w:r>
        <w:rPr>
          <w:rFonts w:ascii="Times New Roman" w:hAnsi="Times New Roman"/>
          <w:highlight w:val="none"/>
        </w:rPr>
        <w:t>、NO</w:t>
      </w:r>
      <w:r>
        <w:rPr>
          <w:rFonts w:ascii="Times New Roman" w:hAnsi="Times New Roman"/>
          <w:highlight w:val="none"/>
          <w:vertAlign w:val="subscript"/>
        </w:rPr>
        <w:t>X</w:t>
      </w:r>
      <w:r>
        <w:rPr>
          <w:rFonts w:ascii="Times New Roman" w:hAnsi="Times New Roman"/>
          <w:highlight w:val="none"/>
        </w:rPr>
        <w:t>排放浓度分别不高于10mg/m</w:t>
      </w:r>
      <w:r>
        <w:rPr>
          <w:rFonts w:ascii="Times New Roman" w:hAnsi="Times New Roman"/>
          <w:highlight w:val="none"/>
          <w:vertAlign w:val="superscript"/>
        </w:rPr>
        <w:t>3</w:t>
      </w:r>
      <w:r>
        <w:rPr>
          <w:rFonts w:ascii="Times New Roman" w:hAnsi="Times New Roman"/>
          <w:highlight w:val="none"/>
        </w:rPr>
        <w:t>、35mg/m</w:t>
      </w:r>
      <w:r>
        <w:rPr>
          <w:rFonts w:ascii="Times New Roman" w:hAnsi="Times New Roman"/>
          <w:highlight w:val="none"/>
          <w:vertAlign w:val="superscript"/>
        </w:rPr>
        <w:t>3</w:t>
      </w:r>
      <w:r>
        <w:rPr>
          <w:rFonts w:ascii="Times New Roman" w:hAnsi="Times New Roman"/>
          <w:highlight w:val="none"/>
        </w:rPr>
        <w:t>、50mg/m</w:t>
      </w:r>
      <w:r>
        <w:rPr>
          <w:rFonts w:ascii="Times New Roman" w:hAnsi="Times New Roman"/>
          <w:highlight w:val="none"/>
          <w:vertAlign w:val="superscript"/>
        </w:rPr>
        <w:t>3</w:t>
      </w:r>
      <w:r>
        <w:rPr>
          <w:rFonts w:ascii="Times New Roman" w:hAnsi="Times New Roman"/>
          <w:highlight w:val="none"/>
        </w:rPr>
        <w:t>。汞及其化合物</w:t>
      </w:r>
      <w:r>
        <w:rPr>
          <w:rFonts w:hint="eastAsia" w:ascii="Times New Roman" w:hAnsi="Times New Roman"/>
          <w:highlight w:val="none"/>
        </w:rPr>
        <w:t>及林格曼黑度</w:t>
      </w:r>
      <w:r>
        <w:rPr>
          <w:rFonts w:ascii="Times New Roman" w:hAnsi="Times New Roman"/>
          <w:highlight w:val="none"/>
        </w:rPr>
        <w:t>满足</w:t>
      </w:r>
      <w:r>
        <w:rPr>
          <w:rFonts w:hint="eastAsia" w:ascii="Times New Roman" w:hAnsi="Times New Roman"/>
          <w:color w:val="auto"/>
          <w:highlight w:val="none"/>
        </w:rPr>
        <w:t>《火电厂大气污染物排放标准》(GB13223-2011)表1中燃煤锅炉大气污染物排放标准限值</w:t>
      </w:r>
      <w:r>
        <w:rPr>
          <w:rFonts w:ascii="Times New Roman" w:hAnsi="Times New Roman"/>
          <w:highlight w:val="none"/>
        </w:rPr>
        <w:t>，颗粒物排放浓度满足《大气污染物综合排放标准》（GB16297-1996）表2中无组织排放源周界外浓度限值（1.0mg/m</w:t>
      </w:r>
      <w:r>
        <w:rPr>
          <w:rFonts w:ascii="Times New Roman" w:hAnsi="Times New Roman"/>
          <w:highlight w:val="none"/>
          <w:vertAlign w:val="superscript"/>
        </w:rPr>
        <w:t>3</w:t>
      </w:r>
      <w:r>
        <w:rPr>
          <w:rFonts w:ascii="Times New Roman" w:hAnsi="Times New Roman"/>
          <w:highlight w:val="none"/>
        </w:rPr>
        <w:t>）要求，</w:t>
      </w:r>
      <w:r>
        <w:rPr>
          <w:rFonts w:hint="eastAsia" w:ascii="Times New Roman" w:hAnsi="Times New Roman"/>
          <w:highlight w:val="none"/>
          <w:lang w:val="en-US" w:eastAsia="zh-CN"/>
        </w:rPr>
        <w:t>氨</w:t>
      </w:r>
      <w:r>
        <w:rPr>
          <w:rFonts w:hint="eastAsia" w:ascii="Times New Roman" w:hAnsi="Times New Roman"/>
          <w:highlight w:val="none"/>
        </w:rPr>
        <w:t>厂界排放浓度满足《恶臭污染物排放标准》（GB14554-93）表1 恶臭污染物厂界二级标准值要求。锅炉烟气处理过程逃逸氨满足《火电厂氮氧化物防治技术政策》（环发〔2010〕10号）中规定：SNCR-SCR氨逃逸控制在2.5mg/m</w:t>
      </w:r>
      <w:r>
        <w:rPr>
          <w:rFonts w:hint="eastAsia" w:ascii="Times New Roman" w:hAnsi="Times New Roman"/>
          <w:highlight w:val="none"/>
          <w:vertAlign w:val="superscript"/>
        </w:rPr>
        <w:t>3</w:t>
      </w:r>
      <w:r>
        <w:rPr>
          <w:rFonts w:hint="eastAsia" w:ascii="Times New Roman" w:hAnsi="Times New Roman"/>
          <w:highlight w:val="none"/>
        </w:rPr>
        <w:t>（干基，标准状态）以下</w:t>
      </w:r>
      <w:r>
        <w:rPr>
          <w:rFonts w:hint="eastAsia" w:ascii="Times New Roman" w:hAnsi="Times New Roman"/>
          <w:highlight w:val="none"/>
          <w:lang w:eastAsia="zh-CN"/>
        </w:rPr>
        <w:t>，</w:t>
      </w:r>
      <w:r>
        <w:rPr>
          <w:rFonts w:ascii="Times New Roman" w:hAnsi="Times New Roman"/>
          <w:highlight w:val="none"/>
        </w:rPr>
        <w:t>对外环境影响较小，可被周围环境所接受</w:t>
      </w:r>
      <w:r>
        <w:rPr>
          <w:rFonts w:hint="eastAsia" w:ascii="Times New Roman" w:hAnsi="Times New Roman"/>
          <w:highlight w:val="none"/>
          <w:lang w:eastAsia="zh-CN"/>
        </w:rPr>
        <w:t>，</w:t>
      </w:r>
      <w:r>
        <w:rPr>
          <w:rFonts w:ascii="Times New Roman" w:hAnsi="Times New Roman"/>
          <w:highlight w:val="none"/>
        </w:rPr>
        <w:t>同时全厂排放的颗粒物、SO</w:t>
      </w:r>
      <w:r>
        <w:rPr>
          <w:rFonts w:ascii="Times New Roman" w:hAnsi="Times New Roman"/>
          <w:highlight w:val="none"/>
          <w:vertAlign w:val="subscript"/>
        </w:rPr>
        <w:t>2</w:t>
      </w:r>
      <w:r>
        <w:rPr>
          <w:rFonts w:ascii="Times New Roman" w:hAnsi="Times New Roman"/>
          <w:highlight w:val="none"/>
        </w:rPr>
        <w:t>及NOx满足地方污染物总量控制要求，将企业对环境空气造成的影响控制在最小；根据《排污许可证申请与核发技术规范 锅炉》和《污染源源强核算技术指南 锅炉》，低氮燃烧+SNCR-SCR、石灰石/石膏法脱硫、袋式除尘为烟气污染防治可行性技术。在选择环境保护措施时尽量做到技术先进和经济合理。</w:t>
      </w:r>
    </w:p>
    <w:p w14:paraId="4D280725">
      <w:pPr>
        <w:ind w:firstLine="480"/>
        <w:rPr>
          <w:rFonts w:ascii="Times New Roman" w:hAnsi="Times New Roman"/>
          <w:highlight w:val="none"/>
        </w:rPr>
      </w:pPr>
      <w:r>
        <w:rPr>
          <w:rFonts w:ascii="Times New Roman" w:hAnsi="Times New Roman"/>
          <w:highlight w:val="none"/>
        </w:rPr>
        <w:t>一、烟气脱硫</w:t>
      </w:r>
    </w:p>
    <w:p w14:paraId="12AEACB9">
      <w:pPr>
        <w:ind w:firstLine="480"/>
        <w:rPr>
          <w:rFonts w:ascii="Times New Roman" w:hAnsi="Times New Roman"/>
          <w:highlight w:val="none"/>
        </w:rPr>
      </w:pPr>
      <w:r>
        <w:rPr>
          <w:rFonts w:ascii="Times New Roman" w:hAnsi="Times New Roman"/>
          <w:highlight w:val="none"/>
        </w:rPr>
        <w:t>（1）烟气脱硫工艺的选择</w:t>
      </w:r>
    </w:p>
    <w:p w14:paraId="40F34FC3">
      <w:pPr>
        <w:ind w:firstLine="480"/>
        <w:rPr>
          <w:rFonts w:ascii="Times New Roman" w:hAnsi="Times New Roman"/>
          <w:highlight w:val="none"/>
        </w:rPr>
      </w:pPr>
      <w:r>
        <w:rPr>
          <w:rFonts w:ascii="Times New Roman" w:hAnsi="Times New Roman"/>
          <w:highlight w:val="none"/>
        </w:rPr>
        <w:t>目前，世界上燃煤锅炉脱硫工艺方法很多，这些方法的应用主要取决于锅炉容量、燃烧设备的类型、燃料的种类含硫量的多少、脱硫率、脱硫剂的供应条件及地理条件、副产品的利用等因素。</w:t>
      </w:r>
    </w:p>
    <w:p w14:paraId="7EC07D13">
      <w:pPr>
        <w:ind w:firstLine="480"/>
        <w:rPr>
          <w:rFonts w:ascii="Times New Roman" w:hAnsi="Times New Roman"/>
          <w:highlight w:val="none"/>
        </w:rPr>
      </w:pPr>
      <w:r>
        <w:rPr>
          <w:rFonts w:ascii="Times New Roman" w:hAnsi="Times New Roman"/>
          <w:highlight w:val="none"/>
        </w:rPr>
        <w:t>按脱硫工艺在生产中所处的部位不同可采用：</w:t>
      </w:r>
    </w:p>
    <w:p w14:paraId="2118285D">
      <w:pPr>
        <w:ind w:firstLine="480"/>
        <w:rPr>
          <w:rFonts w:ascii="Times New Roman" w:hAnsi="Times New Roman"/>
          <w:highlight w:val="none"/>
        </w:rPr>
      </w:pPr>
      <w:r>
        <w:rPr>
          <w:rFonts w:hint="eastAsia" w:ascii="宋体" w:hAnsi="宋体" w:cs="宋体"/>
          <w:highlight w:val="none"/>
        </w:rPr>
        <w:t>①</w:t>
      </w:r>
      <w:r>
        <w:rPr>
          <w:rFonts w:ascii="Times New Roman" w:hAnsi="Times New Roman"/>
          <w:highlight w:val="none"/>
        </w:rPr>
        <w:t>燃烧前脱硫，如原煤洗选脱硫；</w:t>
      </w:r>
    </w:p>
    <w:p w14:paraId="59054C42">
      <w:pPr>
        <w:ind w:firstLine="480"/>
        <w:rPr>
          <w:rFonts w:ascii="Times New Roman" w:hAnsi="Times New Roman"/>
          <w:highlight w:val="none"/>
        </w:rPr>
      </w:pPr>
      <w:r>
        <w:rPr>
          <w:rFonts w:hint="eastAsia" w:ascii="宋体" w:hAnsi="宋体" w:cs="宋体"/>
          <w:highlight w:val="none"/>
        </w:rPr>
        <w:t>②</w:t>
      </w:r>
      <w:r>
        <w:rPr>
          <w:rFonts w:ascii="Times New Roman" w:hAnsi="Times New Roman"/>
          <w:highlight w:val="none"/>
        </w:rPr>
        <w:t>燃烧中脱硫，如洁净煤燃烧和炉内喷钙；</w:t>
      </w:r>
    </w:p>
    <w:p w14:paraId="6DDD75D6">
      <w:pPr>
        <w:ind w:firstLine="480"/>
        <w:rPr>
          <w:rFonts w:ascii="Times New Roman" w:hAnsi="Times New Roman"/>
          <w:highlight w:val="none"/>
        </w:rPr>
      </w:pPr>
      <w:r>
        <w:rPr>
          <w:rFonts w:hint="eastAsia" w:ascii="宋体" w:hAnsi="宋体" w:cs="宋体"/>
          <w:highlight w:val="none"/>
        </w:rPr>
        <w:t>③</w:t>
      </w:r>
      <w:r>
        <w:rPr>
          <w:rFonts w:ascii="Times New Roman" w:hAnsi="Times New Roman"/>
          <w:highlight w:val="none"/>
        </w:rPr>
        <w:t>燃烧后脱硫，如石灰石-石膏湿法、旋转喷雾半干法、海水脱硫、电子束脱硫干法、循环半干法等。</w:t>
      </w:r>
    </w:p>
    <w:p w14:paraId="1E76751A">
      <w:pPr>
        <w:ind w:firstLine="480"/>
        <w:rPr>
          <w:rFonts w:ascii="Times New Roman" w:hAnsi="Times New Roman"/>
          <w:highlight w:val="none"/>
        </w:rPr>
      </w:pPr>
      <w:r>
        <w:rPr>
          <w:rFonts w:ascii="Times New Roman" w:hAnsi="Times New Roman"/>
          <w:highlight w:val="none"/>
        </w:rPr>
        <w:t>燃烧后的烟气脱硫是目前国际上广泛采用的控制二氧化硫的成熟技术。近年来，世界各经济发达国家在烟气脱硫方面均取得了很大的进展。国内外已采用的烟气脱硫方法主要有石灰石-石膏湿法、循环半干法、氧化镁湿法脱硫、双碱法脱硫和氨法脱硫。几种主要烟气脱硫工艺的比较情况见表6.2-1。</w:t>
      </w:r>
    </w:p>
    <w:p w14:paraId="0290F005">
      <w:pPr>
        <w:ind w:firstLine="0" w:firstLineChars="0"/>
        <w:jc w:val="center"/>
        <w:rPr>
          <w:rFonts w:ascii="Times New Roman" w:hAnsi="Times New Roman"/>
          <w:highlight w:val="none"/>
        </w:rPr>
      </w:pPr>
      <w:r>
        <w:rPr>
          <w:rFonts w:ascii="Times New Roman" w:hAnsi="Times New Roman"/>
          <w:b/>
          <w:bCs/>
          <w:highlight w:val="none"/>
        </w:rPr>
        <w:t>表6.2-1几种主要烟气脱硫工艺的比较表</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25"/>
        <w:gridCol w:w="1386"/>
        <w:gridCol w:w="1485"/>
        <w:gridCol w:w="1382"/>
        <w:gridCol w:w="1217"/>
        <w:gridCol w:w="1527"/>
      </w:tblGrid>
      <w:tr w14:paraId="316885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pct"/>
            <w:noWrap w:val="0"/>
            <w:vAlign w:val="center"/>
          </w:tcPr>
          <w:p w14:paraId="0230A8DB">
            <w:pPr>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项目</w:t>
            </w:r>
          </w:p>
        </w:tc>
        <w:tc>
          <w:tcPr>
            <w:tcW w:w="813" w:type="pct"/>
            <w:noWrap w:val="0"/>
            <w:vAlign w:val="center"/>
          </w:tcPr>
          <w:p w14:paraId="1E4229D4">
            <w:pPr>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石灰-石膏</w:t>
            </w:r>
          </w:p>
        </w:tc>
        <w:tc>
          <w:tcPr>
            <w:tcW w:w="871" w:type="pct"/>
            <w:noWrap w:val="0"/>
            <w:vAlign w:val="center"/>
          </w:tcPr>
          <w:p w14:paraId="6DE46416">
            <w:pPr>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循环半干法</w:t>
            </w:r>
          </w:p>
        </w:tc>
        <w:tc>
          <w:tcPr>
            <w:tcW w:w="811" w:type="pct"/>
            <w:noWrap w:val="0"/>
            <w:vAlign w:val="center"/>
          </w:tcPr>
          <w:p w14:paraId="1659FD72">
            <w:pPr>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氧化镁湿法</w:t>
            </w:r>
          </w:p>
        </w:tc>
        <w:tc>
          <w:tcPr>
            <w:tcW w:w="714" w:type="pct"/>
            <w:noWrap w:val="0"/>
            <w:vAlign w:val="center"/>
          </w:tcPr>
          <w:p w14:paraId="481B630A">
            <w:pPr>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双碱法</w:t>
            </w:r>
          </w:p>
        </w:tc>
        <w:tc>
          <w:tcPr>
            <w:tcW w:w="896" w:type="pct"/>
            <w:noWrap w:val="0"/>
            <w:vAlign w:val="center"/>
          </w:tcPr>
          <w:p w14:paraId="4BF06054">
            <w:pPr>
              <w:spacing w:line="240" w:lineRule="auto"/>
              <w:ind w:firstLine="0" w:firstLineChars="0"/>
              <w:jc w:val="center"/>
              <w:rPr>
                <w:rFonts w:ascii="Times New Roman" w:hAnsi="Times New Roman"/>
                <w:bCs/>
                <w:sz w:val="21"/>
                <w:highlight w:val="none"/>
              </w:rPr>
            </w:pPr>
            <w:r>
              <w:rPr>
                <w:rFonts w:ascii="Times New Roman" w:hAnsi="Times New Roman"/>
                <w:bCs/>
                <w:sz w:val="21"/>
                <w:highlight w:val="none"/>
              </w:rPr>
              <w:t>氨法</w:t>
            </w:r>
          </w:p>
        </w:tc>
      </w:tr>
      <w:tr w14:paraId="38DE30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pct"/>
            <w:noWrap w:val="0"/>
            <w:vAlign w:val="center"/>
          </w:tcPr>
          <w:p w14:paraId="5E2D4315">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适用煤种</w:t>
            </w:r>
          </w:p>
        </w:tc>
        <w:tc>
          <w:tcPr>
            <w:tcW w:w="813" w:type="pct"/>
            <w:noWrap w:val="0"/>
            <w:vAlign w:val="center"/>
          </w:tcPr>
          <w:p w14:paraId="3967BA63">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不限</w:t>
            </w:r>
          </w:p>
        </w:tc>
        <w:tc>
          <w:tcPr>
            <w:tcW w:w="871" w:type="pct"/>
            <w:noWrap w:val="0"/>
            <w:vAlign w:val="center"/>
          </w:tcPr>
          <w:p w14:paraId="110BBFA4">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不限</w:t>
            </w:r>
          </w:p>
        </w:tc>
        <w:tc>
          <w:tcPr>
            <w:tcW w:w="811" w:type="pct"/>
            <w:noWrap w:val="0"/>
            <w:vAlign w:val="center"/>
          </w:tcPr>
          <w:p w14:paraId="7C043AC5">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中低硫煤</w:t>
            </w:r>
          </w:p>
        </w:tc>
        <w:tc>
          <w:tcPr>
            <w:tcW w:w="714" w:type="pct"/>
            <w:noWrap w:val="0"/>
            <w:vAlign w:val="center"/>
          </w:tcPr>
          <w:p w14:paraId="0C3B103A">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不限</w:t>
            </w:r>
          </w:p>
        </w:tc>
        <w:tc>
          <w:tcPr>
            <w:tcW w:w="896" w:type="pct"/>
            <w:noWrap w:val="0"/>
            <w:vAlign w:val="center"/>
          </w:tcPr>
          <w:p w14:paraId="2D2538B4">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中低硫煤</w:t>
            </w:r>
          </w:p>
        </w:tc>
      </w:tr>
      <w:tr w14:paraId="2A4EE7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pct"/>
            <w:noWrap w:val="0"/>
            <w:vAlign w:val="center"/>
          </w:tcPr>
          <w:p w14:paraId="14B7D55E">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脱硫率</w:t>
            </w:r>
          </w:p>
        </w:tc>
        <w:tc>
          <w:tcPr>
            <w:tcW w:w="813" w:type="pct"/>
            <w:noWrap w:val="0"/>
            <w:vAlign w:val="center"/>
          </w:tcPr>
          <w:p w14:paraId="1ABC55B5">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90%以上</w:t>
            </w:r>
          </w:p>
        </w:tc>
        <w:tc>
          <w:tcPr>
            <w:tcW w:w="871" w:type="pct"/>
            <w:noWrap w:val="0"/>
            <w:vAlign w:val="center"/>
          </w:tcPr>
          <w:p w14:paraId="0407E56C">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80%以上</w:t>
            </w:r>
          </w:p>
        </w:tc>
        <w:tc>
          <w:tcPr>
            <w:tcW w:w="811" w:type="pct"/>
            <w:noWrap w:val="0"/>
            <w:vAlign w:val="center"/>
          </w:tcPr>
          <w:p w14:paraId="2F28C641">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90%以上</w:t>
            </w:r>
          </w:p>
        </w:tc>
        <w:tc>
          <w:tcPr>
            <w:tcW w:w="714" w:type="pct"/>
            <w:noWrap w:val="0"/>
            <w:vAlign w:val="center"/>
          </w:tcPr>
          <w:p w14:paraId="5ABA6A1C">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70%以上</w:t>
            </w:r>
          </w:p>
        </w:tc>
        <w:tc>
          <w:tcPr>
            <w:tcW w:w="896" w:type="pct"/>
            <w:noWrap w:val="0"/>
            <w:vAlign w:val="center"/>
          </w:tcPr>
          <w:p w14:paraId="7FD6B052">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95%以上</w:t>
            </w:r>
          </w:p>
        </w:tc>
      </w:tr>
      <w:tr w14:paraId="3D53DA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pct"/>
            <w:noWrap w:val="0"/>
            <w:vAlign w:val="center"/>
          </w:tcPr>
          <w:p w14:paraId="2C381EDD">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吸收剂</w:t>
            </w:r>
          </w:p>
        </w:tc>
        <w:tc>
          <w:tcPr>
            <w:tcW w:w="813" w:type="pct"/>
            <w:noWrap w:val="0"/>
            <w:vAlign w:val="center"/>
          </w:tcPr>
          <w:p w14:paraId="5E52151E">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石灰</w:t>
            </w:r>
          </w:p>
        </w:tc>
        <w:tc>
          <w:tcPr>
            <w:tcW w:w="871" w:type="pct"/>
            <w:noWrap w:val="0"/>
            <w:vAlign w:val="center"/>
          </w:tcPr>
          <w:p w14:paraId="23CDC30C">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生石灰</w:t>
            </w:r>
          </w:p>
        </w:tc>
        <w:tc>
          <w:tcPr>
            <w:tcW w:w="811" w:type="pct"/>
            <w:noWrap w:val="0"/>
            <w:vAlign w:val="center"/>
          </w:tcPr>
          <w:p w14:paraId="2AFE2BA8">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氧化镁</w:t>
            </w:r>
          </w:p>
        </w:tc>
        <w:tc>
          <w:tcPr>
            <w:tcW w:w="714" w:type="pct"/>
            <w:noWrap w:val="0"/>
            <w:vAlign w:val="center"/>
          </w:tcPr>
          <w:p w14:paraId="29ED0F3E">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钠碱、石灰</w:t>
            </w:r>
          </w:p>
        </w:tc>
        <w:tc>
          <w:tcPr>
            <w:tcW w:w="896" w:type="pct"/>
            <w:noWrap w:val="0"/>
            <w:vAlign w:val="center"/>
          </w:tcPr>
          <w:p w14:paraId="73FA89AB">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氨水</w:t>
            </w:r>
          </w:p>
        </w:tc>
      </w:tr>
      <w:tr w14:paraId="61DAC2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pct"/>
            <w:noWrap w:val="0"/>
            <w:vAlign w:val="center"/>
          </w:tcPr>
          <w:p w14:paraId="53120058">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市场占有率</w:t>
            </w:r>
          </w:p>
        </w:tc>
        <w:tc>
          <w:tcPr>
            <w:tcW w:w="813" w:type="pct"/>
            <w:noWrap w:val="0"/>
            <w:vAlign w:val="center"/>
          </w:tcPr>
          <w:p w14:paraId="4D496E5E">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低</w:t>
            </w:r>
          </w:p>
        </w:tc>
        <w:tc>
          <w:tcPr>
            <w:tcW w:w="871" w:type="pct"/>
            <w:noWrap w:val="0"/>
            <w:vAlign w:val="center"/>
          </w:tcPr>
          <w:p w14:paraId="102C22D4">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低</w:t>
            </w:r>
          </w:p>
        </w:tc>
        <w:tc>
          <w:tcPr>
            <w:tcW w:w="811" w:type="pct"/>
            <w:noWrap w:val="0"/>
            <w:vAlign w:val="center"/>
          </w:tcPr>
          <w:p w14:paraId="4510BA6E">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高</w:t>
            </w:r>
          </w:p>
        </w:tc>
        <w:tc>
          <w:tcPr>
            <w:tcW w:w="714" w:type="pct"/>
            <w:noWrap w:val="0"/>
            <w:vAlign w:val="center"/>
          </w:tcPr>
          <w:p w14:paraId="60C14589">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低</w:t>
            </w:r>
          </w:p>
        </w:tc>
        <w:tc>
          <w:tcPr>
            <w:tcW w:w="896" w:type="pct"/>
            <w:noWrap w:val="0"/>
            <w:vAlign w:val="center"/>
          </w:tcPr>
          <w:p w14:paraId="32C4C0A9">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低</w:t>
            </w:r>
          </w:p>
        </w:tc>
      </w:tr>
      <w:tr w14:paraId="1CF25E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pct"/>
            <w:noWrap w:val="0"/>
            <w:vAlign w:val="center"/>
          </w:tcPr>
          <w:p w14:paraId="19C64948">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副产物</w:t>
            </w:r>
          </w:p>
        </w:tc>
        <w:tc>
          <w:tcPr>
            <w:tcW w:w="813" w:type="pct"/>
            <w:noWrap w:val="0"/>
            <w:vAlign w:val="center"/>
          </w:tcPr>
          <w:p w14:paraId="1D1D9D21">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石膏</w:t>
            </w:r>
          </w:p>
        </w:tc>
        <w:tc>
          <w:tcPr>
            <w:tcW w:w="871" w:type="pct"/>
            <w:noWrap w:val="0"/>
            <w:vAlign w:val="center"/>
          </w:tcPr>
          <w:p w14:paraId="1ECCA8AB">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石膏</w:t>
            </w:r>
          </w:p>
        </w:tc>
        <w:tc>
          <w:tcPr>
            <w:tcW w:w="811" w:type="pct"/>
            <w:noWrap w:val="0"/>
            <w:vAlign w:val="center"/>
          </w:tcPr>
          <w:p w14:paraId="5B922C28">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硫酸镁</w:t>
            </w:r>
          </w:p>
        </w:tc>
        <w:tc>
          <w:tcPr>
            <w:tcW w:w="714" w:type="pct"/>
            <w:noWrap w:val="0"/>
            <w:vAlign w:val="center"/>
          </w:tcPr>
          <w:p w14:paraId="7E2D181D">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石膏</w:t>
            </w:r>
          </w:p>
        </w:tc>
        <w:tc>
          <w:tcPr>
            <w:tcW w:w="896" w:type="pct"/>
            <w:noWrap w:val="0"/>
            <w:vAlign w:val="center"/>
          </w:tcPr>
          <w:p w14:paraId="4274872A">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氨水</w:t>
            </w:r>
          </w:p>
        </w:tc>
      </w:tr>
      <w:tr w14:paraId="4EE98D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pct"/>
            <w:noWrap w:val="0"/>
            <w:vAlign w:val="center"/>
          </w:tcPr>
          <w:p w14:paraId="1C0BC1B9">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副产物处置</w:t>
            </w:r>
          </w:p>
        </w:tc>
        <w:tc>
          <w:tcPr>
            <w:tcW w:w="813" w:type="pct"/>
            <w:noWrap w:val="0"/>
            <w:vAlign w:val="center"/>
          </w:tcPr>
          <w:p w14:paraId="135F46E5">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利用</w:t>
            </w:r>
          </w:p>
        </w:tc>
        <w:tc>
          <w:tcPr>
            <w:tcW w:w="871" w:type="pct"/>
            <w:noWrap w:val="0"/>
            <w:vAlign w:val="center"/>
          </w:tcPr>
          <w:p w14:paraId="1FA90FAF">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利用</w:t>
            </w:r>
          </w:p>
        </w:tc>
        <w:tc>
          <w:tcPr>
            <w:tcW w:w="811" w:type="pct"/>
            <w:noWrap w:val="0"/>
            <w:vAlign w:val="center"/>
          </w:tcPr>
          <w:p w14:paraId="01210A18">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利用</w:t>
            </w:r>
          </w:p>
        </w:tc>
        <w:tc>
          <w:tcPr>
            <w:tcW w:w="714" w:type="pct"/>
            <w:noWrap w:val="0"/>
            <w:vAlign w:val="center"/>
          </w:tcPr>
          <w:p w14:paraId="6F4E7AC4">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利用</w:t>
            </w:r>
          </w:p>
        </w:tc>
        <w:tc>
          <w:tcPr>
            <w:tcW w:w="896" w:type="pct"/>
            <w:noWrap w:val="0"/>
            <w:vAlign w:val="center"/>
          </w:tcPr>
          <w:p w14:paraId="55B0EF93">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利用</w:t>
            </w:r>
          </w:p>
        </w:tc>
      </w:tr>
      <w:tr w14:paraId="2542AD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pct"/>
            <w:noWrap w:val="0"/>
            <w:vAlign w:val="center"/>
          </w:tcPr>
          <w:p w14:paraId="26A070EC">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工艺成熟度</w:t>
            </w:r>
          </w:p>
        </w:tc>
        <w:tc>
          <w:tcPr>
            <w:tcW w:w="813" w:type="pct"/>
            <w:noWrap w:val="0"/>
            <w:vAlign w:val="center"/>
          </w:tcPr>
          <w:p w14:paraId="41BB9F32">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成熟</w:t>
            </w:r>
          </w:p>
        </w:tc>
        <w:tc>
          <w:tcPr>
            <w:tcW w:w="871" w:type="pct"/>
            <w:noWrap w:val="0"/>
            <w:vAlign w:val="center"/>
          </w:tcPr>
          <w:p w14:paraId="031B8B29">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成熟</w:t>
            </w:r>
          </w:p>
        </w:tc>
        <w:tc>
          <w:tcPr>
            <w:tcW w:w="811" w:type="pct"/>
            <w:noWrap w:val="0"/>
            <w:vAlign w:val="center"/>
          </w:tcPr>
          <w:p w14:paraId="38D866B7">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成熟</w:t>
            </w:r>
          </w:p>
        </w:tc>
        <w:tc>
          <w:tcPr>
            <w:tcW w:w="714" w:type="pct"/>
            <w:noWrap w:val="0"/>
            <w:vAlign w:val="center"/>
          </w:tcPr>
          <w:p w14:paraId="6CF30EB1">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不成熟</w:t>
            </w:r>
          </w:p>
        </w:tc>
        <w:tc>
          <w:tcPr>
            <w:tcW w:w="896" w:type="pct"/>
            <w:noWrap w:val="0"/>
            <w:vAlign w:val="center"/>
          </w:tcPr>
          <w:p w14:paraId="2A87FFE4">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不成熟</w:t>
            </w:r>
          </w:p>
        </w:tc>
      </w:tr>
      <w:tr w14:paraId="748152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pct"/>
            <w:noWrap w:val="0"/>
            <w:vAlign w:val="center"/>
          </w:tcPr>
          <w:p w14:paraId="5FD9EB4A">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废水</w:t>
            </w:r>
          </w:p>
        </w:tc>
        <w:tc>
          <w:tcPr>
            <w:tcW w:w="813" w:type="pct"/>
            <w:noWrap w:val="0"/>
            <w:vAlign w:val="center"/>
          </w:tcPr>
          <w:p w14:paraId="1F16F35A">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少量</w:t>
            </w:r>
          </w:p>
        </w:tc>
        <w:tc>
          <w:tcPr>
            <w:tcW w:w="871" w:type="pct"/>
            <w:noWrap w:val="0"/>
            <w:vAlign w:val="center"/>
          </w:tcPr>
          <w:p w14:paraId="4BF43119">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少量</w:t>
            </w:r>
          </w:p>
        </w:tc>
        <w:tc>
          <w:tcPr>
            <w:tcW w:w="811" w:type="pct"/>
            <w:noWrap w:val="0"/>
            <w:vAlign w:val="center"/>
          </w:tcPr>
          <w:p w14:paraId="75377D16">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少量</w:t>
            </w:r>
          </w:p>
        </w:tc>
        <w:tc>
          <w:tcPr>
            <w:tcW w:w="714" w:type="pct"/>
            <w:noWrap w:val="0"/>
            <w:vAlign w:val="center"/>
          </w:tcPr>
          <w:p w14:paraId="313B01FA">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少量</w:t>
            </w:r>
          </w:p>
        </w:tc>
        <w:tc>
          <w:tcPr>
            <w:tcW w:w="896" w:type="pct"/>
            <w:noWrap w:val="0"/>
            <w:vAlign w:val="center"/>
          </w:tcPr>
          <w:p w14:paraId="73502A3B">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大量</w:t>
            </w:r>
          </w:p>
        </w:tc>
      </w:tr>
      <w:tr w14:paraId="42BE2D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pct"/>
            <w:noWrap w:val="0"/>
            <w:vAlign w:val="center"/>
          </w:tcPr>
          <w:p w14:paraId="19FD8863">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药剂市场</w:t>
            </w:r>
          </w:p>
        </w:tc>
        <w:tc>
          <w:tcPr>
            <w:tcW w:w="813" w:type="pct"/>
            <w:noWrap w:val="0"/>
            <w:vAlign w:val="center"/>
          </w:tcPr>
          <w:p w14:paraId="3997A2D2">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大</w:t>
            </w:r>
          </w:p>
        </w:tc>
        <w:tc>
          <w:tcPr>
            <w:tcW w:w="871" w:type="pct"/>
            <w:noWrap w:val="0"/>
            <w:vAlign w:val="center"/>
          </w:tcPr>
          <w:p w14:paraId="48326210">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大</w:t>
            </w:r>
          </w:p>
        </w:tc>
        <w:tc>
          <w:tcPr>
            <w:tcW w:w="811" w:type="pct"/>
            <w:noWrap w:val="0"/>
            <w:vAlign w:val="center"/>
          </w:tcPr>
          <w:p w14:paraId="0FC6DFB8">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大</w:t>
            </w:r>
          </w:p>
        </w:tc>
        <w:tc>
          <w:tcPr>
            <w:tcW w:w="714" w:type="pct"/>
            <w:noWrap w:val="0"/>
            <w:vAlign w:val="center"/>
          </w:tcPr>
          <w:p w14:paraId="74C2B5C3">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中</w:t>
            </w:r>
          </w:p>
        </w:tc>
        <w:tc>
          <w:tcPr>
            <w:tcW w:w="896" w:type="pct"/>
            <w:noWrap w:val="0"/>
            <w:vAlign w:val="center"/>
          </w:tcPr>
          <w:p w14:paraId="2A2A1770">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少</w:t>
            </w:r>
          </w:p>
        </w:tc>
      </w:tr>
    </w:tbl>
    <w:p w14:paraId="108BD406">
      <w:pPr>
        <w:ind w:firstLine="480"/>
        <w:rPr>
          <w:rFonts w:ascii="Times New Roman" w:hAnsi="Times New Roman"/>
          <w:highlight w:val="none"/>
        </w:rPr>
      </w:pPr>
      <w:r>
        <w:rPr>
          <w:rFonts w:ascii="Times New Roman" w:hAnsi="Times New Roman"/>
          <w:highlight w:val="none"/>
        </w:rPr>
        <w:t>工程脱硫方案选择，本工程选择脱硫工艺的原则是：</w:t>
      </w:r>
    </w:p>
    <w:p w14:paraId="288488CA">
      <w:pPr>
        <w:ind w:firstLine="480"/>
        <w:rPr>
          <w:rFonts w:ascii="Times New Roman" w:hAnsi="Times New Roman"/>
          <w:highlight w:val="none"/>
        </w:rPr>
      </w:pPr>
      <w:r>
        <w:rPr>
          <w:rFonts w:hint="eastAsia" w:ascii="宋体" w:hAnsi="宋体" w:cs="宋体"/>
          <w:highlight w:val="none"/>
        </w:rPr>
        <w:t>①</w:t>
      </w:r>
      <w:r>
        <w:rPr>
          <w:rFonts w:ascii="Times New Roman" w:hAnsi="Times New Roman"/>
          <w:highlight w:val="none"/>
        </w:rPr>
        <w:t>烟尘、二氧化硫排放浓度和排放量必须满足超低排放要求；</w:t>
      </w:r>
    </w:p>
    <w:p w14:paraId="5A89FED6">
      <w:pPr>
        <w:ind w:firstLine="480"/>
        <w:rPr>
          <w:rFonts w:ascii="Times New Roman" w:hAnsi="Times New Roman"/>
          <w:highlight w:val="none"/>
        </w:rPr>
      </w:pPr>
      <w:r>
        <w:rPr>
          <w:rFonts w:hint="eastAsia" w:ascii="宋体" w:hAnsi="宋体" w:cs="宋体"/>
          <w:highlight w:val="none"/>
        </w:rPr>
        <w:t>②</w:t>
      </w:r>
      <w:r>
        <w:rPr>
          <w:rFonts w:ascii="Times New Roman" w:hAnsi="Times New Roman"/>
          <w:highlight w:val="none"/>
        </w:rPr>
        <w:t>脱硫工艺要做到技术成熟、设备运行可靠；</w:t>
      </w:r>
    </w:p>
    <w:p w14:paraId="500087E5">
      <w:pPr>
        <w:ind w:firstLine="480"/>
        <w:rPr>
          <w:rFonts w:ascii="Times New Roman" w:hAnsi="Times New Roman"/>
          <w:highlight w:val="none"/>
        </w:rPr>
      </w:pPr>
      <w:r>
        <w:rPr>
          <w:rFonts w:hint="eastAsia" w:ascii="宋体" w:hAnsi="宋体" w:cs="宋体"/>
          <w:highlight w:val="none"/>
        </w:rPr>
        <w:t>③</w:t>
      </w:r>
      <w:r>
        <w:rPr>
          <w:rFonts w:ascii="Times New Roman" w:hAnsi="Times New Roman"/>
          <w:highlight w:val="none"/>
        </w:rPr>
        <w:t>尽量做到对现有装置的改造项目少，对运行条件改变少；</w:t>
      </w:r>
    </w:p>
    <w:p w14:paraId="3A7C093E">
      <w:pPr>
        <w:ind w:firstLine="480"/>
        <w:rPr>
          <w:rFonts w:ascii="Times New Roman" w:hAnsi="Times New Roman"/>
          <w:highlight w:val="none"/>
        </w:rPr>
      </w:pPr>
      <w:r>
        <w:rPr>
          <w:rFonts w:hint="eastAsia" w:ascii="宋体" w:hAnsi="宋体" w:cs="宋体"/>
          <w:highlight w:val="none"/>
        </w:rPr>
        <w:t>④</w:t>
      </w:r>
      <w:r>
        <w:rPr>
          <w:rFonts w:ascii="Times New Roman" w:hAnsi="Times New Roman"/>
          <w:highlight w:val="none"/>
        </w:rPr>
        <w:t>投资省；</w:t>
      </w:r>
    </w:p>
    <w:p w14:paraId="7B16BC73">
      <w:pPr>
        <w:ind w:firstLine="480"/>
        <w:rPr>
          <w:rFonts w:ascii="Times New Roman" w:hAnsi="Times New Roman"/>
          <w:highlight w:val="none"/>
        </w:rPr>
      </w:pPr>
      <w:r>
        <w:rPr>
          <w:rFonts w:hint="eastAsia" w:ascii="宋体" w:hAnsi="宋体" w:cs="宋体"/>
          <w:highlight w:val="none"/>
        </w:rPr>
        <w:t>⑤</w:t>
      </w:r>
      <w:r>
        <w:rPr>
          <w:rFonts w:ascii="Times New Roman" w:hAnsi="Times New Roman"/>
          <w:highlight w:val="none"/>
        </w:rPr>
        <w:t>占地少；</w:t>
      </w:r>
    </w:p>
    <w:p w14:paraId="52A940CD">
      <w:pPr>
        <w:ind w:firstLine="480"/>
        <w:rPr>
          <w:rFonts w:ascii="Times New Roman" w:hAnsi="Times New Roman"/>
          <w:highlight w:val="none"/>
        </w:rPr>
      </w:pPr>
      <w:r>
        <w:rPr>
          <w:rFonts w:hint="eastAsia" w:ascii="宋体" w:hAnsi="宋体" w:cs="宋体"/>
          <w:highlight w:val="none"/>
        </w:rPr>
        <w:t>⑥</w:t>
      </w:r>
      <w:r>
        <w:rPr>
          <w:rFonts w:ascii="Times New Roman" w:hAnsi="Times New Roman"/>
          <w:highlight w:val="none"/>
        </w:rPr>
        <w:t>吸收剂要有稳定可靠的来源；</w:t>
      </w:r>
    </w:p>
    <w:p w14:paraId="1E68F502">
      <w:pPr>
        <w:ind w:firstLine="480"/>
        <w:rPr>
          <w:rFonts w:ascii="Times New Roman" w:hAnsi="Times New Roman"/>
          <w:highlight w:val="none"/>
        </w:rPr>
      </w:pPr>
      <w:r>
        <w:rPr>
          <w:rFonts w:ascii="Times New Roman" w:hAnsi="Times New Roman"/>
          <w:highlight w:val="none"/>
        </w:rPr>
        <w:t>综合考虑从造价、运行经济性、安全性等方面考虑，根据国家现行标准及环保要求，本期工程烟气脱硫系统拟采用炉内脱硫+石灰石–石膏湿法脱硫工艺，该工艺系统具有如下优点：</w:t>
      </w:r>
    </w:p>
    <w:p w14:paraId="107C1C4C">
      <w:pPr>
        <w:ind w:firstLine="480"/>
        <w:rPr>
          <w:rFonts w:ascii="Times New Roman" w:hAnsi="Times New Roman"/>
          <w:highlight w:val="none"/>
        </w:rPr>
      </w:pPr>
      <w:r>
        <w:rPr>
          <w:rFonts w:hint="eastAsia" w:ascii="宋体" w:hAnsi="宋体" w:cs="宋体"/>
          <w:highlight w:val="none"/>
        </w:rPr>
        <w:t>①</w:t>
      </w:r>
      <w:r>
        <w:rPr>
          <w:rFonts w:ascii="Times New Roman" w:hAnsi="Times New Roman"/>
          <w:highlight w:val="none"/>
        </w:rPr>
        <w:t>工艺成熟，可用率高，有较多业绩；</w:t>
      </w:r>
    </w:p>
    <w:p w14:paraId="5025035B">
      <w:pPr>
        <w:ind w:firstLine="480"/>
        <w:rPr>
          <w:rFonts w:ascii="Times New Roman" w:hAnsi="Times New Roman"/>
          <w:highlight w:val="none"/>
        </w:rPr>
      </w:pPr>
      <w:r>
        <w:rPr>
          <w:rFonts w:hint="eastAsia" w:ascii="宋体" w:hAnsi="宋体" w:cs="宋体"/>
          <w:highlight w:val="none"/>
        </w:rPr>
        <w:t>②</w:t>
      </w:r>
      <w:r>
        <w:rPr>
          <w:rFonts w:ascii="Times New Roman" w:hAnsi="Times New Roman"/>
          <w:highlight w:val="none"/>
        </w:rPr>
        <w:t>脱硫效率可达到97%以上；</w:t>
      </w:r>
    </w:p>
    <w:p w14:paraId="55E40DF7">
      <w:pPr>
        <w:ind w:firstLine="480"/>
        <w:rPr>
          <w:rFonts w:ascii="Times New Roman" w:hAnsi="Times New Roman"/>
          <w:highlight w:val="none"/>
        </w:rPr>
      </w:pPr>
      <w:r>
        <w:rPr>
          <w:rFonts w:hint="eastAsia" w:ascii="宋体" w:hAnsi="宋体" w:cs="宋体"/>
          <w:highlight w:val="none"/>
        </w:rPr>
        <w:t>③</w:t>
      </w:r>
      <w:r>
        <w:rPr>
          <w:rFonts w:ascii="Times New Roman" w:hAnsi="Times New Roman"/>
          <w:highlight w:val="none"/>
        </w:rPr>
        <w:t>投资和运行费用合理；</w:t>
      </w:r>
    </w:p>
    <w:p w14:paraId="22A2E98D">
      <w:pPr>
        <w:ind w:firstLine="480"/>
        <w:rPr>
          <w:rFonts w:ascii="Times New Roman" w:hAnsi="Times New Roman"/>
          <w:highlight w:val="none"/>
        </w:rPr>
      </w:pPr>
      <w:r>
        <w:rPr>
          <w:rFonts w:hint="eastAsia" w:ascii="宋体" w:hAnsi="宋体" w:cs="宋体"/>
          <w:highlight w:val="none"/>
        </w:rPr>
        <w:t>④</w:t>
      </w:r>
      <w:r>
        <w:rPr>
          <w:rFonts w:ascii="Times New Roman" w:hAnsi="Times New Roman"/>
          <w:highlight w:val="none"/>
        </w:rPr>
        <w:t>副产物可综合利用，不会造成二次污染；</w:t>
      </w:r>
    </w:p>
    <w:p w14:paraId="7D60440C">
      <w:pPr>
        <w:ind w:firstLine="480"/>
        <w:rPr>
          <w:rFonts w:ascii="Times New Roman" w:hAnsi="Times New Roman"/>
          <w:highlight w:val="none"/>
        </w:rPr>
      </w:pPr>
      <w:r>
        <w:rPr>
          <w:rFonts w:hint="eastAsia" w:ascii="宋体" w:hAnsi="宋体" w:cs="宋体"/>
          <w:highlight w:val="none"/>
        </w:rPr>
        <w:t>⑤</w:t>
      </w:r>
      <w:r>
        <w:rPr>
          <w:rFonts w:ascii="Times New Roman" w:hAnsi="Times New Roman"/>
          <w:highlight w:val="none"/>
        </w:rPr>
        <w:t>脱硫吸收剂廉价，有可靠的来源。</w:t>
      </w:r>
    </w:p>
    <w:p w14:paraId="74319C16">
      <w:pPr>
        <w:ind w:firstLine="480"/>
        <w:rPr>
          <w:rFonts w:ascii="Times New Roman" w:hAnsi="Times New Roman"/>
          <w:highlight w:val="none"/>
        </w:rPr>
      </w:pPr>
      <w:r>
        <w:rPr>
          <w:rFonts w:ascii="Times New Roman" w:hAnsi="Times New Roman"/>
          <w:highlight w:val="none"/>
        </w:rPr>
        <w:t>（2）本项目脱硫系统设置情况</w:t>
      </w:r>
    </w:p>
    <w:p w14:paraId="1A36BA05">
      <w:pPr>
        <w:ind w:firstLine="480"/>
        <w:rPr>
          <w:rFonts w:ascii="Times New Roman" w:hAnsi="Times New Roman"/>
          <w:highlight w:val="none"/>
        </w:rPr>
      </w:pPr>
      <w:r>
        <w:rPr>
          <w:rFonts w:ascii="Times New Roman" w:hAnsi="Times New Roman"/>
          <w:highlight w:val="none"/>
        </w:rPr>
        <w:t>石灰石-石膏烟气脱硫系统包括烟气系统、吸收塔系统、石灰石浆液制备系统、石膏脱水系统、供水和排放时系统和压缩空气系统。</w:t>
      </w:r>
    </w:p>
    <w:p w14:paraId="4E8F48AA">
      <w:pPr>
        <w:ind w:firstLine="480"/>
        <w:rPr>
          <w:rFonts w:ascii="Times New Roman" w:hAnsi="Times New Roman"/>
          <w:highlight w:val="none"/>
        </w:rPr>
      </w:pPr>
      <w:r>
        <w:rPr>
          <w:rFonts w:ascii="Times New Roman" w:hAnsi="Times New Roman"/>
          <w:highlight w:val="none"/>
        </w:rPr>
        <w:t>本项目脱硫剂为外购石灰石粉，由密封罐车运至现场，通过气力卸入石灰石粉仓。粉仓内的石灰石粉经粉仓底部的电动调节式抽板阀、星型给料机均匀地送入石灰石浆液箱内，同时按一定比例加水并搅拌制成一定浓度的吸收浆液，石灰石浆液经石灰石浆液泵送入脱硫吸收塔内。</w:t>
      </w:r>
    </w:p>
    <w:p w14:paraId="45C5209B">
      <w:pPr>
        <w:ind w:firstLine="480"/>
        <w:rPr>
          <w:rFonts w:hint="eastAsia" w:ascii="Times New Roman" w:hAnsi="Times New Roman"/>
          <w:highlight w:val="none"/>
        </w:rPr>
      </w:pPr>
      <w:r>
        <w:rPr>
          <w:rFonts w:ascii="Times New Roman" w:hAnsi="Times New Roman"/>
          <w:highlight w:val="none"/>
        </w:rPr>
        <w:t>本工程建</w:t>
      </w:r>
      <w:r>
        <w:rPr>
          <w:rFonts w:hint="eastAsia" w:ascii="Times New Roman" w:hAnsi="Times New Roman"/>
          <w:highlight w:val="none"/>
          <w:lang w:val="en-US" w:eastAsia="zh-CN"/>
        </w:rPr>
        <w:t>设</w:t>
      </w:r>
      <w:r>
        <w:rPr>
          <w:rFonts w:ascii="Times New Roman" w:hAnsi="Times New Roman"/>
          <w:highlight w:val="none"/>
        </w:rPr>
        <w:t>锅炉采用3炉</w:t>
      </w:r>
      <w:r>
        <w:rPr>
          <w:rFonts w:hint="eastAsia" w:ascii="Times New Roman" w:hAnsi="Times New Roman"/>
          <w:highlight w:val="none"/>
          <w:lang w:val="en-US" w:eastAsia="zh-CN"/>
        </w:rPr>
        <w:t>1</w:t>
      </w:r>
      <w:r>
        <w:rPr>
          <w:rFonts w:ascii="Times New Roman" w:hAnsi="Times New Roman"/>
          <w:highlight w:val="none"/>
        </w:rPr>
        <w:t>塔布置。SO</w:t>
      </w:r>
      <w:r>
        <w:rPr>
          <w:rFonts w:ascii="Times New Roman" w:hAnsi="Times New Roman"/>
          <w:highlight w:val="none"/>
          <w:vertAlign w:val="subscript"/>
        </w:rPr>
        <w:t>2</w:t>
      </w:r>
      <w:r>
        <w:rPr>
          <w:rFonts w:ascii="Times New Roman" w:hAnsi="Times New Roman"/>
          <w:highlight w:val="none"/>
        </w:rPr>
        <w:t>、SO</w:t>
      </w:r>
      <w:r>
        <w:rPr>
          <w:rFonts w:ascii="Times New Roman" w:hAnsi="Times New Roman"/>
          <w:highlight w:val="none"/>
          <w:vertAlign w:val="subscript"/>
        </w:rPr>
        <w:t>3</w:t>
      </w:r>
      <w:r>
        <w:rPr>
          <w:rFonts w:ascii="Times New Roman" w:hAnsi="Times New Roman"/>
          <w:highlight w:val="none"/>
        </w:rPr>
        <w:t>将在吸收塔内被脱除，石膏也将在吸收塔内结晶和生成。吸收塔系统主要设备包括吸收塔、吸收塔再循环泵、氧化风机和石膏排出泵等。考虑到满负荷运行下可能出现较高的入口SO</w:t>
      </w:r>
      <w:r>
        <w:rPr>
          <w:rFonts w:ascii="Times New Roman" w:hAnsi="Times New Roman"/>
          <w:highlight w:val="none"/>
          <w:vertAlign w:val="subscript"/>
        </w:rPr>
        <w:t>2</w:t>
      </w:r>
      <w:r>
        <w:rPr>
          <w:rFonts w:ascii="Times New Roman" w:hAnsi="Times New Roman"/>
          <w:highlight w:val="none"/>
        </w:rPr>
        <w:t>浓度，每台脱硫塔设置四层喷淋层、三层除雾器的高效除尘脱硫一体化技术</w:t>
      </w:r>
      <w:r>
        <w:rPr>
          <w:rFonts w:hint="eastAsia" w:ascii="Times New Roman" w:hAnsi="Times New Roman"/>
          <w:highlight w:val="none"/>
        </w:rPr>
        <w:t>；3台炉设置</w:t>
      </w:r>
      <w:r>
        <w:rPr>
          <w:rFonts w:hint="eastAsia" w:ascii="Times New Roman" w:hAnsi="Times New Roman"/>
          <w:highlight w:val="none"/>
          <w:lang w:val="en-US" w:eastAsia="zh-CN"/>
        </w:rPr>
        <w:t>1</w:t>
      </w:r>
      <w:r>
        <w:rPr>
          <w:rFonts w:hint="eastAsia" w:ascii="Times New Roman" w:hAnsi="Times New Roman"/>
          <w:highlight w:val="none"/>
        </w:rPr>
        <w:t>座吸收塔及辅助设备，采用3炉</w:t>
      </w:r>
      <w:r>
        <w:rPr>
          <w:rFonts w:hint="eastAsia" w:ascii="Times New Roman" w:hAnsi="Times New Roman"/>
          <w:highlight w:val="none"/>
          <w:lang w:val="en-US" w:eastAsia="zh-CN"/>
        </w:rPr>
        <w:t>1</w:t>
      </w:r>
      <w:r>
        <w:rPr>
          <w:rFonts w:hint="eastAsia" w:ascii="Times New Roman" w:hAnsi="Times New Roman"/>
          <w:highlight w:val="none"/>
        </w:rPr>
        <w:t>塔配置，吸收塔采用喷淋塔。吸收塔配置4台浆液循环泵，对应4层喷淋层，每层喷淋层由1台浆液循环泵单独供浆。设置2台氧化风机，其中1台运行，1台备用，为反应提供氧化空气。设置2台石膏浆液排出泵，将反应后的石膏送至石膏浆液脱水系统进行脱水处理。</w:t>
      </w:r>
      <w:r>
        <w:rPr>
          <w:rFonts w:ascii="Times New Roman" w:hAnsi="Times New Roman"/>
          <w:highlight w:val="none"/>
        </w:rPr>
        <w:t>锅炉燃煤烟气中的SO</w:t>
      </w:r>
      <w:r>
        <w:rPr>
          <w:rFonts w:ascii="Times New Roman" w:hAnsi="Times New Roman"/>
          <w:highlight w:val="none"/>
          <w:vertAlign w:val="subscript"/>
        </w:rPr>
        <w:t>2</w:t>
      </w:r>
      <w:r>
        <w:rPr>
          <w:rFonts w:ascii="Times New Roman" w:hAnsi="Times New Roman"/>
          <w:highlight w:val="none"/>
        </w:rPr>
        <w:t>与喷入的石灰石浆液在吸收塔内反应而被脱除，脱硫效率达≥97%；生成的亚硫酸钙通过强制空气氧化，并在搅拌器的不断搅动下，在吸收塔浆池中氧化生成石膏(硫酸钙)。</w:t>
      </w:r>
    </w:p>
    <w:p w14:paraId="6073339E">
      <w:pPr>
        <w:ind w:firstLine="480"/>
        <w:rPr>
          <w:rFonts w:ascii="Times New Roman" w:hAnsi="Times New Roman"/>
          <w:highlight w:val="none"/>
        </w:rPr>
      </w:pPr>
      <w:r>
        <w:rPr>
          <w:rFonts w:hint="eastAsia" w:ascii="Times New Roman" w:hAnsi="Times New Roman"/>
          <w:highlight w:val="none"/>
        </w:rPr>
        <w:t>本期工程设置1座事故浆液箱（45m</w:t>
      </w:r>
      <w:r>
        <w:rPr>
          <w:rFonts w:hint="eastAsia" w:ascii="Times New Roman" w:hAnsi="Times New Roman"/>
          <w:highlight w:val="none"/>
          <w:vertAlign w:val="superscript"/>
        </w:rPr>
        <w:t>3</w:t>
      </w:r>
      <w:r>
        <w:rPr>
          <w:rFonts w:hint="eastAsia" w:ascii="Times New Roman" w:hAnsi="Times New Roman"/>
          <w:highlight w:val="none"/>
        </w:rPr>
        <w:t>），在脱硫系统或吸收塔的浆池、搅拌器出现事故需要检修时，吸收塔内的浆液由事故排浆泵排出存入事故浆液箱中贮存，作为吸收塔再次启动时的石膏晶种。</w:t>
      </w:r>
    </w:p>
    <w:p w14:paraId="7843FD94">
      <w:pPr>
        <w:ind w:firstLine="480"/>
        <w:rPr>
          <w:rFonts w:ascii="Times New Roman" w:hAnsi="Times New Roman"/>
          <w:highlight w:val="none"/>
        </w:rPr>
      </w:pPr>
      <w:r>
        <w:rPr>
          <w:rFonts w:ascii="Times New Roman" w:hAnsi="Times New Roman"/>
          <w:highlight w:val="none"/>
        </w:rPr>
        <w:t>本项目烟气脱硫工程需要的最低脱硫效率分析和计算结果见表6.2-2。</w:t>
      </w:r>
    </w:p>
    <w:p w14:paraId="4A5B2D9B">
      <w:pPr>
        <w:ind w:firstLine="0" w:firstLineChars="0"/>
        <w:jc w:val="center"/>
        <w:rPr>
          <w:rFonts w:ascii="Times New Roman" w:hAnsi="Times New Roman"/>
          <w:b/>
          <w:bCs/>
          <w:highlight w:val="none"/>
        </w:rPr>
      </w:pPr>
      <w:r>
        <w:rPr>
          <w:rFonts w:ascii="Times New Roman" w:hAnsi="Times New Roman"/>
          <w:b/>
          <w:bCs/>
          <w:highlight w:val="none"/>
        </w:rPr>
        <w:t>表6.2-2本项目烟气脱硫工程脱硫效率</w:t>
      </w:r>
    </w:p>
    <w:tbl>
      <w:tblPr>
        <w:tblStyle w:val="17"/>
        <w:tblW w:w="5000"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3084"/>
        <w:gridCol w:w="2646"/>
        <w:gridCol w:w="2792"/>
      </w:tblGrid>
      <w:tr w14:paraId="129D4E7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809" w:type="pct"/>
            <w:noWrap w:val="0"/>
            <w:vAlign w:val="center"/>
          </w:tcPr>
          <w:p w14:paraId="5A8C6B78">
            <w:pPr>
              <w:pStyle w:val="27"/>
              <w:textAlignment w:val="center"/>
              <w:rPr>
                <w:rFonts w:ascii="Times New Roman" w:hAnsi="Times New Roman" w:eastAsia="宋体"/>
                <w:kern w:val="0"/>
                <w:highlight w:val="none"/>
              </w:rPr>
            </w:pPr>
            <w:r>
              <w:rPr>
                <w:rFonts w:ascii="Times New Roman" w:hAnsi="Times New Roman" w:eastAsia="宋体"/>
                <w:kern w:val="0"/>
                <w:highlight w:val="none"/>
              </w:rPr>
              <w:t>SO</w:t>
            </w:r>
            <w:r>
              <w:rPr>
                <w:rFonts w:ascii="Times New Roman" w:hAnsi="Times New Roman" w:eastAsia="宋体"/>
                <w:kern w:val="0"/>
                <w:highlight w:val="none"/>
                <w:vertAlign w:val="subscript"/>
              </w:rPr>
              <w:t>2</w:t>
            </w:r>
            <w:r>
              <w:rPr>
                <w:rFonts w:hint="eastAsia" w:ascii="Times New Roman" w:hAnsi="Times New Roman" w:eastAsia="宋体"/>
                <w:kern w:val="0"/>
                <w:highlight w:val="none"/>
                <w:vertAlign w:val="baseline"/>
                <w:lang w:val="en-US" w:eastAsia="zh-CN"/>
              </w:rPr>
              <w:t>平均</w:t>
            </w:r>
            <w:r>
              <w:rPr>
                <w:rFonts w:hint="eastAsia" w:ascii="Times New Roman" w:hAnsi="Times New Roman" w:eastAsia="宋体"/>
                <w:kern w:val="0"/>
                <w:highlight w:val="none"/>
                <w:lang w:val="en-US" w:eastAsia="zh-CN"/>
              </w:rPr>
              <w:t>实测</w:t>
            </w:r>
            <w:r>
              <w:rPr>
                <w:rFonts w:ascii="Times New Roman" w:hAnsi="Times New Roman" w:eastAsia="宋体"/>
                <w:kern w:val="0"/>
                <w:highlight w:val="none"/>
              </w:rPr>
              <w:t>排放浓度</w:t>
            </w:r>
          </w:p>
        </w:tc>
        <w:tc>
          <w:tcPr>
            <w:tcW w:w="1552" w:type="pct"/>
            <w:noWrap w:val="0"/>
            <w:vAlign w:val="center"/>
          </w:tcPr>
          <w:p w14:paraId="461AE4F0">
            <w:pPr>
              <w:pStyle w:val="27"/>
              <w:textAlignment w:val="center"/>
              <w:rPr>
                <w:rFonts w:ascii="Times New Roman" w:hAnsi="Times New Roman" w:eastAsia="宋体"/>
                <w:kern w:val="0"/>
                <w:highlight w:val="none"/>
              </w:rPr>
            </w:pPr>
            <w:r>
              <w:rPr>
                <w:rFonts w:ascii="Times New Roman" w:hAnsi="Times New Roman" w:eastAsia="宋体"/>
                <w:kern w:val="0"/>
                <w:highlight w:val="none"/>
              </w:rPr>
              <w:t>入口SO</w:t>
            </w:r>
            <w:r>
              <w:rPr>
                <w:rFonts w:ascii="Times New Roman" w:hAnsi="Times New Roman" w:eastAsia="宋体"/>
                <w:kern w:val="0"/>
                <w:highlight w:val="none"/>
                <w:vertAlign w:val="subscript"/>
              </w:rPr>
              <w:t>2</w:t>
            </w:r>
            <w:r>
              <w:rPr>
                <w:rFonts w:hint="eastAsia" w:ascii="Times New Roman" w:hAnsi="Times New Roman" w:eastAsia="宋体"/>
                <w:kern w:val="0"/>
                <w:highlight w:val="none"/>
                <w:vertAlign w:val="baseline"/>
                <w:lang w:val="en-US" w:eastAsia="zh-CN"/>
              </w:rPr>
              <w:t>平均实测</w:t>
            </w:r>
            <w:r>
              <w:rPr>
                <w:rFonts w:ascii="Times New Roman" w:hAnsi="Times New Roman" w:eastAsia="宋体"/>
                <w:kern w:val="0"/>
                <w:highlight w:val="none"/>
              </w:rPr>
              <w:t>浓度mg/Nm</w:t>
            </w:r>
            <w:r>
              <w:rPr>
                <w:rFonts w:ascii="Times New Roman" w:hAnsi="Times New Roman" w:eastAsia="宋体"/>
                <w:kern w:val="0"/>
                <w:highlight w:val="none"/>
                <w:vertAlign w:val="superscript"/>
              </w:rPr>
              <w:t>3</w:t>
            </w:r>
          </w:p>
        </w:tc>
        <w:tc>
          <w:tcPr>
            <w:tcW w:w="1638" w:type="pct"/>
            <w:noWrap w:val="0"/>
            <w:vAlign w:val="center"/>
          </w:tcPr>
          <w:p w14:paraId="43B6F2BC">
            <w:pPr>
              <w:pStyle w:val="27"/>
              <w:textAlignment w:val="center"/>
              <w:rPr>
                <w:rFonts w:ascii="Times New Roman" w:hAnsi="Times New Roman" w:eastAsia="宋体"/>
                <w:kern w:val="0"/>
                <w:highlight w:val="none"/>
              </w:rPr>
            </w:pPr>
            <w:r>
              <w:rPr>
                <w:rFonts w:ascii="Times New Roman" w:hAnsi="Times New Roman" w:eastAsia="宋体"/>
                <w:kern w:val="0"/>
                <w:highlight w:val="none"/>
              </w:rPr>
              <w:t>脱硫率</w:t>
            </w:r>
          </w:p>
        </w:tc>
      </w:tr>
      <w:tr w14:paraId="4454C15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70" w:hRule="atLeast"/>
        </w:trPr>
        <w:tc>
          <w:tcPr>
            <w:tcW w:w="1809" w:type="pct"/>
            <w:noWrap w:val="0"/>
            <w:vAlign w:val="center"/>
          </w:tcPr>
          <w:p w14:paraId="377A20B8">
            <w:pPr>
              <w:pStyle w:val="27"/>
              <w:textAlignment w:val="center"/>
              <w:rPr>
                <w:rFonts w:ascii="Times New Roman" w:hAnsi="Times New Roman" w:eastAsia="宋体"/>
                <w:kern w:val="0"/>
                <w:highlight w:val="none"/>
              </w:rPr>
            </w:pPr>
            <w:r>
              <w:rPr>
                <w:rFonts w:hint="eastAsia" w:ascii="Times New Roman" w:hAnsi="Times New Roman" w:eastAsia="宋体"/>
                <w:kern w:val="0"/>
                <w:highlight w:val="none"/>
                <w:lang w:val="en-US" w:eastAsia="zh-CN"/>
              </w:rPr>
              <w:t>5</w:t>
            </w:r>
            <w:r>
              <w:rPr>
                <w:rFonts w:ascii="Times New Roman" w:hAnsi="Times New Roman" w:eastAsia="宋体"/>
                <w:kern w:val="0"/>
                <w:highlight w:val="none"/>
              </w:rPr>
              <w:t>mg/Nm</w:t>
            </w:r>
            <w:r>
              <w:rPr>
                <w:rFonts w:ascii="Times New Roman" w:hAnsi="Times New Roman" w:eastAsia="宋体"/>
                <w:kern w:val="0"/>
                <w:highlight w:val="none"/>
                <w:vertAlign w:val="superscript"/>
              </w:rPr>
              <w:t>3</w:t>
            </w:r>
          </w:p>
        </w:tc>
        <w:tc>
          <w:tcPr>
            <w:tcW w:w="1552" w:type="pct"/>
            <w:noWrap w:val="0"/>
            <w:vAlign w:val="center"/>
          </w:tcPr>
          <w:p w14:paraId="4152A759">
            <w:pPr>
              <w:pStyle w:val="27"/>
              <w:textAlignment w:val="center"/>
              <w:rPr>
                <w:rFonts w:hint="default" w:ascii="Times New Roman" w:hAnsi="Times New Roman" w:eastAsia="宋体"/>
                <w:kern w:val="0"/>
                <w:highlight w:val="none"/>
                <w:lang w:val="en-US" w:eastAsia="zh-CN"/>
              </w:rPr>
            </w:pPr>
            <w:r>
              <w:rPr>
                <w:rFonts w:hint="eastAsia" w:ascii="Times New Roman" w:hAnsi="Times New Roman" w:eastAsia="宋体"/>
                <w:kern w:val="0"/>
                <w:highlight w:val="none"/>
                <w:lang w:val="en-US" w:eastAsia="zh-CN"/>
              </w:rPr>
              <w:t>816</w:t>
            </w:r>
          </w:p>
        </w:tc>
        <w:tc>
          <w:tcPr>
            <w:tcW w:w="1638" w:type="pct"/>
            <w:noWrap w:val="0"/>
            <w:vAlign w:val="center"/>
          </w:tcPr>
          <w:p w14:paraId="3EB6F462">
            <w:pPr>
              <w:pStyle w:val="27"/>
              <w:textAlignment w:val="center"/>
              <w:rPr>
                <w:rFonts w:ascii="Times New Roman" w:hAnsi="Times New Roman" w:eastAsia="宋体"/>
                <w:kern w:val="0"/>
                <w:highlight w:val="none"/>
              </w:rPr>
            </w:pPr>
            <w:r>
              <w:rPr>
                <w:rFonts w:hint="eastAsia" w:ascii="Times New Roman" w:hAnsi="Times New Roman" w:eastAsia="宋体"/>
                <w:kern w:val="0"/>
                <w:highlight w:val="none"/>
                <w:lang w:val="en-US" w:eastAsia="zh-CN"/>
              </w:rPr>
              <w:t>99.39</w:t>
            </w:r>
            <w:r>
              <w:rPr>
                <w:rFonts w:ascii="Times New Roman" w:hAnsi="Times New Roman" w:eastAsia="宋体"/>
                <w:kern w:val="0"/>
                <w:highlight w:val="none"/>
              </w:rPr>
              <w:t>%</w:t>
            </w:r>
          </w:p>
        </w:tc>
      </w:tr>
    </w:tbl>
    <w:p w14:paraId="14BCD56C">
      <w:pPr>
        <w:ind w:firstLine="480"/>
        <w:rPr>
          <w:rFonts w:hint="eastAsia" w:ascii="Times New Roman" w:hAnsi="Times New Roman" w:eastAsia="宋体"/>
          <w:highlight w:val="none"/>
          <w:lang w:val="en-US" w:eastAsia="zh-CN"/>
        </w:rPr>
      </w:pPr>
      <w:r>
        <w:rPr>
          <w:rFonts w:ascii="Times New Roman" w:hAnsi="Times New Roman"/>
          <w:highlight w:val="none"/>
        </w:rPr>
        <w:t>由表6.2-</w:t>
      </w:r>
      <w:r>
        <w:rPr>
          <w:rFonts w:hint="eastAsia" w:ascii="Times New Roman" w:hAnsi="Times New Roman"/>
          <w:highlight w:val="none"/>
        </w:rPr>
        <w:t>2</w:t>
      </w:r>
      <w:r>
        <w:rPr>
          <w:rFonts w:ascii="Times New Roman" w:hAnsi="Times New Roman"/>
          <w:highlight w:val="none"/>
        </w:rPr>
        <w:t>可以看出，本项目</w:t>
      </w:r>
      <w:r>
        <w:rPr>
          <w:rFonts w:hint="eastAsia" w:ascii="Times New Roman" w:hAnsi="Times New Roman"/>
          <w:highlight w:val="none"/>
          <w:lang w:val="en-US" w:eastAsia="zh-CN"/>
        </w:rPr>
        <w:t>实际</w:t>
      </w:r>
      <w:r>
        <w:rPr>
          <w:rFonts w:ascii="Times New Roman" w:hAnsi="Times New Roman"/>
          <w:highlight w:val="none"/>
        </w:rPr>
        <w:t>烟气脱硫效率</w:t>
      </w:r>
      <w:r>
        <w:rPr>
          <w:rFonts w:hint="eastAsia" w:ascii="Times New Roman" w:hAnsi="Times New Roman"/>
          <w:highlight w:val="none"/>
          <w:lang w:val="en-US" w:eastAsia="zh-CN"/>
        </w:rPr>
        <w:t>为99.39</w:t>
      </w:r>
      <w:r>
        <w:rPr>
          <w:rFonts w:ascii="Times New Roman" w:hAnsi="Times New Roman"/>
          <w:highlight w:val="none"/>
        </w:rPr>
        <w:t>%</w:t>
      </w:r>
      <w:r>
        <w:rPr>
          <w:rFonts w:hint="eastAsia" w:ascii="Times New Roman" w:hAnsi="Times New Roman"/>
          <w:highlight w:val="none"/>
          <w:lang w:eastAsia="zh-CN"/>
        </w:rPr>
        <w:t>。</w:t>
      </w:r>
    </w:p>
    <w:p w14:paraId="21154222">
      <w:pPr>
        <w:ind w:firstLine="480"/>
        <w:rPr>
          <w:rFonts w:ascii="Times New Roman" w:hAnsi="Times New Roman"/>
          <w:highlight w:val="none"/>
        </w:rPr>
      </w:pPr>
      <w:r>
        <w:rPr>
          <w:rFonts w:ascii="Times New Roman" w:hAnsi="Times New Roman"/>
          <w:highlight w:val="none"/>
        </w:rPr>
        <w:t>根据《排污许可证申请与核发技术规范 锅炉》和《污染源源强核算技术指南 锅炉》，石灰石/石膏湿法脱硫为烟气污染防治可行性技术，石灰石/石膏法烟气脱硫效率在90~99%之间，本项目脱硫塔采用四层喷淋以保证脱硫效率能达到97%以上。</w:t>
      </w:r>
    </w:p>
    <w:p w14:paraId="2E9EC374">
      <w:pPr>
        <w:ind w:firstLine="480"/>
        <w:rPr>
          <w:rFonts w:ascii="Times New Roman" w:hAnsi="Times New Roman"/>
          <w:highlight w:val="none"/>
        </w:rPr>
      </w:pPr>
      <w:r>
        <w:rPr>
          <w:rFonts w:ascii="Times New Roman" w:hAnsi="Times New Roman"/>
          <w:highlight w:val="none"/>
        </w:rPr>
        <w:t>脱硫系统主要工艺指标见表6</w:t>
      </w:r>
      <w:r>
        <w:rPr>
          <w:rFonts w:hint="eastAsia" w:ascii="Times New Roman" w:hAnsi="Times New Roman"/>
          <w:highlight w:val="none"/>
        </w:rPr>
        <w:t>.</w:t>
      </w:r>
      <w:r>
        <w:rPr>
          <w:rFonts w:ascii="Times New Roman" w:hAnsi="Times New Roman"/>
          <w:highlight w:val="none"/>
        </w:rPr>
        <w:t>2-3。</w:t>
      </w:r>
    </w:p>
    <w:p w14:paraId="0C5D82BE">
      <w:pPr>
        <w:ind w:firstLine="0" w:firstLineChars="0"/>
        <w:jc w:val="center"/>
        <w:rPr>
          <w:rFonts w:ascii="Times New Roman" w:hAnsi="Times New Roman"/>
          <w:b/>
          <w:bCs/>
          <w:highlight w:val="none"/>
        </w:rPr>
      </w:pPr>
      <w:r>
        <w:rPr>
          <w:rFonts w:ascii="Times New Roman" w:hAnsi="Times New Roman"/>
          <w:b/>
          <w:bCs/>
          <w:highlight w:val="none"/>
        </w:rPr>
        <w:t>表6</w:t>
      </w:r>
      <w:r>
        <w:rPr>
          <w:rFonts w:hint="eastAsia" w:ascii="Times New Roman" w:hAnsi="Times New Roman"/>
          <w:b/>
          <w:bCs/>
          <w:highlight w:val="none"/>
        </w:rPr>
        <w:t>.</w:t>
      </w:r>
      <w:r>
        <w:rPr>
          <w:rFonts w:ascii="Times New Roman" w:hAnsi="Times New Roman"/>
          <w:b/>
          <w:bCs/>
          <w:highlight w:val="none"/>
        </w:rPr>
        <w:t>2-3  脱硫系统主要工艺指标</w:t>
      </w:r>
    </w:p>
    <w:tbl>
      <w:tblPr>
        <w:tblStyle w:val="17"/>
        <w:tblW w:w="4994"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037"/>
        <w:gridCol w:w="2935"/>
        <w:gridCol w:w="1177"/>
        <w:gridCol w:w="3363"/>
      </w:tblGrid>
      <w:tr w14:paraId="2AC91E5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4" w:hRule="atLeast"/>
          <w:tblHeader/>
        </w:trPr>
        <w:tc>
          <w:tcPr>
            <w:tcW w:w="609" w:type="pct"/>
            <w:noWrap w:val="0"/>
            <w:vAlign w:val="center"/>
          </w:tcPr>
          <w:p w14:paraId="08B83EE7">
            <w:pPr>
              <w:pStyle w:val="27"/>
              <w:textAlignment w:val="center"/>
              <w:rPr>
                <w:rFonts w:ascii="Times New Roman" w:hAnsi="Times New Roman" w:eastAsia="宋体"/>
                <w:kern w:val="0"/>
                <w:highlight w:val="none"/>
              </w:rPr>
            </w:pPr>
            <w:r>
              <w:rPr>
                <w:rFonts w:ascii="Times New Roman" w:hAnsi="Times New Roman" w:eastAsia="宋体"/>
                <w:kern w:val="0"/>
                <w:highlight w:val="none"/>
              </w:rPr>
              <w:t>序号</w:t>
            </w:r>
          </w:p>
        </w:tc>
        <w:tc>
          <w:tcPr>
            <w:tcW w:w="1723" w:type="pct"/>
            <w:noWrap w:val="0"/>
            <w:vAlign w:val="center"/>
          </w:tcPr>
          <w:p w14:paraId="306E20FA">
            <w:pPr>
              <w:pStyle w:val="27"/>
              <w:textAlignment w:val="center"/>
              <w:rPr>
                <w:rFonts w:ascii="Times New Roman" w:hAnsi="Times New Roman" w:eastAsia="宋体"/>
                <w:kern w:val="0"/>
                <w:highlight w:val="none"/>
              </w:rPr>
            </w:pPr>
            <w:r>
              <w:rPr>
                <w:rFonts w:ascii="Times New Roman" w:hAnsi="Times New Roman" w:eastAsia="宋体"/>
                <w:kern w:val="0"/>
                <w:highlight w:val="none"/>
              </w:rPr>
              <w:t>参数</w:t>
            </w:r>
          </w:p>
        </w:tc>
        <w:tc>
          <w:tcPr>
            <w:tcW w:w="691" w:type="pct"/>
            <w:noWrap w:val="0"/>
            <w:vAlign w:val="center"/>
          </w:tcPr>
          <w:p w14:paraId="583C1951">
            <w:pPr>
              <w:pStyle w:val="27"/>
              <w:textAlignment w:val="center"/>
              <w:rPr>
                <w:rFonts w:ascii="Times New Roman" w:hAnsi="Times New Roman" w:eastAsia="宋体"/>
                <w:kern w:val="0"/>
                <w:highlight w:val="none"/>
              </w:rPr>
            </w:pPr>
            <w:r>
              <w:rPr>
                <w:rFonts w:ascii="Times New Roman" w:hAnsi="Times New Roman" w:eastAsia="宋体"/>
                <w:kern w:val="0"/>
                <w:highlight w:val="none"/>
              </w:rPr>
              <w:t>单位</w:t>
            </w:r>
          </w:p>
        </w:tc>
        <w:tc>
          <w:tcPr>
            <w:tcW w:w="1974" w:type="pct"/>
            <w:noWrap w:val="0"/>
            <w:vAlign w:val="center"/>
          </w:tcPr>
          <w:p w14:paraId="6915A096">
            <w:pPr>
              <w:pStyle w:val="27"/>
              <w:textAlignment w:val="center"/>
              <w:rPr>
                <w:rFonts w:ascii="Times New Roman" w:hAnsi="Times New Roman" w:eastAsia="宋体"/>
                <w:kern w:val="0"/>
                <w:highlight w:val="none"/>
              </w:rPr>
            </w:pPr>
            <w:r>
              <w:rPr>
                <w:rFonts w:ascii="Times New Roman" w:hAnsi="Times New Roman" w:eastAsia="宋体"/>
                <w:kern w:val="0"/>
                <w:highlight w:val="none"/>
              </w:rPr>
              <w:t>脱硫工艺：石灰石-石膏法</w:t>
            </w:r>
          </w:p>
        </w:tc>
      </w:tr>
      <w:tr w14:paraId="51E199B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65" w:hRule="atLeast"/>
        </w:trPr>
        <w:tc>
          <w:tcPr>
            <w:tcW w:w="609" w:type="pct"/>
            <w:noWrap w:val="0"/>
            <w:vAlign w:val="center"/>
          </w:tcPr>
          <w:p w14:paraId="2EC2EBF9">
            <w:pPr>
              <w:pStyle w:val="27"/>
              <w:textAlignment w:val="center"/>
              <w:rPr>
                <w:rFonts w:ascii="Times New Roman" w:hAnsi="Times New Roman" w:eastAsia="宋体"/>
                <w:kern w:val="0"/>
                <w:highlight w:val="none"/>
              </w:rPr>
            </w:pPr>
            <w:r>
              <w:rPr>
                <w:rFonts w:ascii="Times New Roman" w:hAnsi="Times New Roman" w:eastAsia="宋体"/>
                <w:kern w:val="0"/>
                <w:highlight w:val="none"/>
              </w:rPr>
              <w:t>1</w:t>
            </w:r>
          </w:p>
        </w:tc>
        <w:tc>
          <w:tcPr>
            <w:tcW w:w="1723" w:type="pct"/>
            <w:noWrap w:val="0"/>
            <w:vAlign w:val="center"/>
          </w:tcPr>
          <w:p w14:paraId="14FFB20E">
            <w:pPr>
              <w:pStyle w:val="27"/>
              <w:textAlignment w:val="center"/>
              <w:rPr>
                <w:rFonts w:ascii="Times New Roman" w:hAnsi="Times New Roman" w:eastAsia="宋体"/>
                <w:kern w:val="0"/>
                <w:highlight w:val="none"/>
              </w:rPr>
            </w:pPr>
            <w:r>
              <w:rPr>
                <w:rFonts w:ascii="Times New Roman" w:hAnsi="Times New Roman" w:eastAsia="宋体"/>
                <w:kern w:val="0"/>
                <w:highlight w:val="none"/>
              </w:rPr>
              <w:t>设计脱硫效率</w:t>
            </w:r>
          </w:p>
        </w:tc>
        <w:tc>
          <w:tcPr>
            <w:tcW w:w="691" w:type="pct"/>
            <w:noWrap w:val="0"/>
            <w:vAlign w:val="center"/>
          </w:tcPr>
          <w:p w14:paraId="03F7228A">
            <w:pPr>
              <w:pStyle w:val="27"/>
              <w:textAlignment w:val="center"/>
              <w:rPr>
                <w:rFonts w:ascii="Times New Roman" w:hAnsi="Times New Roman" w:eastAsia="宋体"/>
                <w:kern w:val="0"/>
                <w:highlight w:val="none"/>
              </w:rPr>
            </w:pPr>
            <w:r>
              <w:rPr>
                <w:rFonts w:ascii="Times New Roman" w:hAnsi="Times New Roman" w:eastAsia="宋体"/>
                <w:kern w:val="0"/>
                <w:highlight w:val="none"/>
              </w:rPr>
              <w:t>%</w:t>
            </w:r>
          </w:p>
        </w:tc>
        <w:tc>
          <w:tcPr>
            <w:tcW w:w="1974" w:type="pct"/>
            <w:noWrap w:val="0"/>
            <w:vAlign w:val="center"/>
          </w:tcPr>
          <w:p w14:paraId="2D1341BC">
            <w:pPr>
              <w:pStyle w:val="27"/>
              <w:textAlignment w:val="center"/>
              <w:rPr>
                <w:rFonts w:ascii="Times New Roman" w:hAnsi="Times New Roman" w:eastAsia="宋体"/>
                <w:kern w:val="0"/>
                <w:highlight w:val="none"/>
              </w:rPr>
            </w:pPr>
            <w:r>
              <w:rPr>
                <w:rFonts w:ascii="Times New Roman" w:hAnsi="Times New Roman" w:eastAsia="宋体"/>
                <w:kern w:val="0"/>
                <w:highlight w:val="none"/>
              </w:rPr>
              <w:t>≥97</w:t>
            </w:r>
          </w:p>
        </w:tc>
      </w:tr>
      <w:tr w14:paraId="69A3E5C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65" w:hRule="atLeast"/>
        </w:trPr>
        <w:tc>
          <w:tcPr>
            <w:tcW w:w="609" w:type="pct"/>
            <w:noWrap w:val="0"/>
            <w:vAlign w:val="center"/>
          </w:tcPr>
          <w:p w14:paraId="5761680E">
            <w:pPr>
              <w:pStyle w:val="27"/>
              <w:textAlignment w:val="center"/>
              <w:rPr>
                <w:rFonts w:ascii="Times New Roman" w:hAnsi="Times New Roman" w:eastAsia="宋体"/>
                <w:kern w:val="0"/>
                <w:highlight w:val="none"/>
              </w:rPr>
            </w:pPr>
            <w:r>
              <w:rPr>
                <w:rFonts w:ascii="Times New Roman" w:hAnsi="Times New Roman" w:eastAsia="宋体"/>
                <w:kern w:val="0"/>
                <w:highlight w:val="none"/>
              </w:rPr>
              <w:t>2</w:t>
            </w:r>
          </w:p>
        </w:tc>
        <w:tc>
          <w:tcPr>
            <w:tcW w:w="1723" w:type="pct"/>
            <w:noWrap w:val="0"/>
            <w:vAlign w:val="center"/>
          </w:tcPr>
          <w:p w14:paraId="39CD6598">
            <w:pPr>
              <w:pStyle w:val="27"/>
              <w:textAlignment w:val="center"/>
              <w:rPr>
                <w:rFonts w:ascii="Times New Roman" w:hAnsi="Times New Roman" w:eastAsia="宋体"/>
                <w:kern w:val="0"/>
                <w:highlight w:val="none"/>
              </w:rPr>
            </w:pPr>
            <w:r>
              <w:rPr>
                <w:rFonts w:ascii="Times New Roman" w:hAnsi="Times New Roman" w:eastAsia="宋体"/>
                <w:kern w:val="0"/>
                <w:highlight w:val="none"/>
              </w:rPr>
              <w:t>脱硫后SO</w:t>
            </w:r>
            <w:r>
              <w:rPr>
                <w:rFonts w:ascii="Times New Roman" w:hAnsi="Times New Roman" w:eastAsia="宋体"/>
                <w:kern w:val="0"/>
                <w:highlight w:val="none"/>
                <w:vertAlign w:val="subscript"/>
              </w:rPr>
              <w:t>2</w:t>
            </w:r>
            <w:r>
              <w:rPr>
                <w:rFonts w:ascii="Times New Roman" w:hAnsi="Times New Roman" w:eastAsia="宋体"/>
                <w:kern w:val="0"/>
                <w:highlight w:val="none"/>
              </w:rPr>
              <w:t>排放浓度</w:t>
            </w:r>
          </w:p>
        </w:tc>
        <w:tc>
          <w:tcPr>
            <w:tcW w:w="691" w:type="pct"/>
            <w:noWrap w:val="0"/>
            <w:vAlign w:val="center"/>
          </w:tcPr>
          <w:p w14:paraId="5881E250">
            <w:pPr>
              <w:pStyle w:val="27"/>
              <w:textAlignment w:val="center"/>
              <w:rPr>
                <w:rFonts w:ascii="Times New Roman" w:hAnsi="Times New Roman" w:eastAsia="宋体"/>
                <w:kern w:val="0"/>
                <w:highlight w:val="none"/>
              </w:rPr>
            </w:pPr>
            <w:r>
              <w:rPr>
                <w:rFonts w:ascii="Times New Roman" w:hAnsi="Times New Roman" w:eastAsia="宋体"/>
                <w:kern w:val="0"/>
                <w:highlight w:val="none"/>
              </w:rPr>
              <w:t>mg/Nm</w:t>
            </w:r>
            <w:r>
              <w:rPr>
                <w:rFonts w:ascii="Times New Roman" w:hAnsi="Times New Roman" w:eastAsia="宋体"/>
                <w:kern w:val="0"/>
                <w:highlight w:val="none"/>
                <w:vertAlign w:val="superscript"/>
              </w:rPr>
              <w:t>3</w:t>
            </w:r>
          </w:p>
        </w:tc>
        <w:tc>
          <w:tcPr>
            <w:tcW w:w="1974" w:type="pct"/>
            <w:noWrap w:val="0"/>
            <w:vAlign w:val="center"/>
          </w:tcPr>
          <w:p w14:paraId="4E365865">
            <w:pPr>
              <w:pStyle w:val="27"/>
              <w:textAlignment w:val="center"/>
              <w:rPr>
                <w:rFonts w:ascii="Times New Roman" w:hAnsi="Times New Roman" w:eastAsia="宋体"/>
                <w:kern w:val="0"/>
                <w:highlight w:val="none"/>
              </w:rPr>
            </w:pPr>
            <w:r>
              <w:rPr>
                <w:rFonts w:ascii="Times New Roman" w:hAnsi="Times New Roman" w:eastAsia="宋体"/>
                <w:kern w:val="0"/>
                <w:highlight w:val="none"/>
              </w:rPr>
              <w:t>小于30</w:t>
            </w:r>
          </w:p>
        </w:tc>
      </w:tr>
      <w:tr w14:paraId="2D21CBF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65" w:hRule="atLeast"/>
        </w:trPr>
        <w:tc>
          <w:tcPr>
            <w:tcW w:w="609" w:type="pct"/>
            <w:noWrap w:val="0"/>
            <w:vAlign w:val="center"/>
          </w:tcPr>
          <w:p w14:paraId="1C476E0B">
            <w:pPr>
              <w:pStyle w:val="27"/>
              <w:textAlignment w:val="center"/>
              <w:rPr>
                <w:rFonts w:ascii="Times New Roman" w:hAnsi="Times New Roman" w:eastAsia="宋体"/>
                <w:kern w:val="0"/>
                <w:highlight w:val="none"/>
              </w:rPr>
            </w:pPr>
            <w:r>
              <w:rPr>
                <w:rFonts w:ascii="Times New Roman" w:hAnsi="Times New Roman" w:eastAsia="宋体"/>
                <w:kern w:val="0"/>
                <w:highlight w:val="none"/>
              </w:rPr>
              <w:t>3</w:t>
            </w:r>
          </w:p>
        </w:tc>
        <w:tc>
          <w:tcPr>
            <w:tcW w:w="1723" w:type="pct"/>
            <w:noWrap w:val="0"/>
            <w:vAlign w:val="center"/>
          </w:tcPr>
          <w:p w14:paraId="559BEC67">
            <w:pPr>
              <w:pStyle w:val="27"/>
              <w:textAlignment w:val="center"/>
              <w:rPr>
                <w:rFonts w:ascii="Times New Roman" w:hAnsi="Times New Roman" w:eastAsia="宋体"/>
                <w:kern w:val="0"/>
                <w:highlight w:val="none"/>
              </w:rPr>
            </w:pPr>
            <w:r>
              <w:rPr>
                <w:rFonts w:ascii="Times New Roman" w:hAnsi="Times New Roman" w:eastAsia="宋体"/>
                <w:kern w:val="0"/>
                <w:highlight w:val="none"/>
              </w:rPr>
              <w:t>机组最低运行负荷</w:t>
            </w:r>
          </w:p>
        </w:tc>
        <w:tc>
          <w:tcPr>
            <w:tcW w:w="691" w:type="pct"/>
            <w:noWrap w:val="0"/>
            <w:vAlign w:val="center"/>
          </w:tcPr>
          <w:p w14:paraId="2674B6D2">
            <w:pPr>
              <w:pStyle w:val="27"/>
              <w:textAlignment w:val="center"/>
              <w:rPr>
                <w:rFonts w:ascii="Times New Roman" w:hAnsi="Times New Roman" w:eastAsia="宋体"/>
                <w:kern w:val="0"/>
                <w:highlight w:val="none"/>
              </w:rPr>
            </w:pPr>
            <w:r>
              <w:rPr>
                <w:rFonts w:ascii="Times New Roman" w:hAnsi="Times New Roman" w:eastAsia="宋体"/>
                <w:kern w:val="0"/>
                <w:highlight w:val="none"/>
              </w:rPr>
              <w:t>%</w:t>
            </w:r>
          </w:p>
        </w:tc>
        <w:tc>
          <w:tcPr>
            <w:tcW w:w="1974" w:type="pct"/>
            <w:noWrap w:val="0"/>
            <w:vAlign w:val="center"/>
          </w:tcPr>
          <w:p w14:paraId="6B52C1C1">
            <w:pPr>
              <w:pStyle w:val="27"/>
              <w:textAlignment w:val="center"/>
              <w:rPr>
                <w:rFonts w:ascii="Times New Roman" w:hAnsi="Times New Roman" w:eastAsia="宋体"/>
                <w:kern w:val="0"/>
                <w:highlight w:val="none"/>
              </w:rPr>
            </w:pPr>
            <w:r>
              <w:rPr>
                <w:rFonts w:ascii="Times New Roman" w:hAnsi="Times New Roman" w:eastAsia="宋体"/>
                <w:kern w:val="0"/>
                <w:highlight w:val="none"/>
              </w:rPr>
              <w:t>30</w:t>
            </w:r>
          </w:p>
        </w:tc>
      </w:tr>
      <w:tr w14:paraId="3FE23DA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65" w:hRule="atLeast"/>
        </w:trPr>
        <w:tc>
          <w:tcPr>
            <w:tcW w:w="609" w:type="pct"/>
            <w:noWrap w:val="0"/>
            <w:vAlign w:val="center"/>
          </w:tcPr>
          <w:p w14:paraId="1F674A1E">
            <w:pPr>
              <w:pStyle w:val="27"/>
              <w:textAlignment w:val="center"/>
              <w:rPr>
                <w:rFonts w:ascii="Times New Roman" w:hAnsi="Times New Roman" w:eastAsia="宋体"/>
                <w:kern w:val="0"/>
                <w:highlight w:val="none"/>
              </w:rPr>
            </w:pPr>
            <w:r>
              <w:rPr>
                <w:rFonts w:ascii="Times New Roman" w:hAnsi="Times New Roman" w:eastAsia="宋体"/>
                <w:kern w:val="0"/>
                <w:highlight w:val="none"/>
              </w:rPr>
              <w:t>4</w:t>
            </w:r>
          </w:p>
        </w:tc>
        <w:tc>
          <w:tcPr>
            <w:tcW w:w="1723" w:type="pct"/>
            <w:noWrap w:val="0"/>
            <w:vAlign w:val="center"/>
          </w:tcPr>
          <w:p w14:paraId="055180B8">
            <w:pPr>
              <w:pStyle w:val="27"/>
              <w:textAlignment w:val="center"/>
              <w:rPr>
                <w:rFonts w:ascii="Times New Roman" w:hAnsi="Times New Roman" w:eastAsia="宋体"/>
                <w:kern w:val="0"/>
                <w:highlight w:val="none"/>
              </w:rPr>
            </w:pPr>
            <w:r>
              <w:rPr>
                <w:rFonts w:ascii="Times New Roman" w:hAnsi="Times New Roman" w:eastAsia="宋体"/>
                <w:kern w:val="0"/>
                <w:highlight w:val="none"/>
              </w:rPr>
              <w:t>吸收剂</w:t>
            </w:r>
          </w:p>
        </w:tc>
        <w:tc>
          <w:tcPr>
            <w:tcW w:w="691" w:type="pct"/>
            <w:noWrap w:val="0"/>
            <w:vAlign w:val="center"/>
          </w:tcPr>
          <w:p w14:paraId="20399486">
            <w:pPr>
              <w:pStyle w:val="27"/>
              <w:textAlignment w:val="center"/>
              <w:rPr>
                <w:rFonts w:ascii="Times New Roman" w:hAnsi="Times New Roman" w:eastAsia="宋体"/>
                <w:kern w:val="0"/>
                <w:highlight w:val="none"/>
              </w:rPr>
            </w:pPr>
            <w:r>
              <w:rPr>
                <w:rFonts w:ascii="Times New Roman" w:hAnsi="Times New Roman" w:eastAsia="宋体"/>
                <w:kern w:val="0"/>
                <w:highlight w:val="none"/>
              </w:rPr>
              <w:t>/</w:t>
            </w:r>
          </w:p>
        </w:tc>
        <w:tc>
          <w:tcPr>
            <w:tcW w:w="1974" w:type="pct"/>
            <w:noWrap w:val="0"/>
            <w:vAlign w:val="center"/>
          </w:tcPr>
          <w:p w14:paraId="5887D4DD">
            <w:pPr>
              <w:pStyle w:val="27"/>
              <w:textAlignment w:val="center"/>
              <w:rPr>
                <w:rFonts w:ascii="Times New Roman" w:hAnsi="Times New Roman" w:eastAsia="宋体"/>
                <w:kern w:val="0"/>
                <w:highlight w:val="none"/>
              </w:rPr>
            </w:pPr>
            <w:r>
              <w:rPr>
                <w:rFonts w:ascii="Times New Roman" w:hAnsi="Times New Roman" w:eastAsia="宋体"/>
                <w:kern w:val="0"/>
                <w:highlight w:val="none"/>
              </w:rPr>
              <w:t>石灰石</w:t>
            </w:r>
          </w:p>
        </w:tc>
      </w:tr>
      <w:tr w14:paraId="54F99AD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65" w:hRule="atLeast"/>
        </w:trPr>
        <w:tc>
          <w:tcPr>
            <w:tcW w:w="609" w:type="pct"/>
            <w:noWrap w:val="0"/>
            <w:vAlign w:val="center"/>
          </w:tcPr>
          <w:p w14:paraId="4D6F0FC1">
            <w:pPr>
              <w:pStyle w:val="27"/>
              <w:textAlignment w:val="center"/>
              <w:rPr>
                <w:rFonts w:ascii="Times New Roman" w:hAnsi="Times New Roman" w:eastAsia="宋体"/>
                <w:kern w:val="0"/>
                <w:highlight w:val="none"/>
              </w:rPr>
            </w:pPr>
            <w:r>
              <w:rPr>
                <w:rFonts w:ascii="Times New Roman" w:hAnsi="Times New Roman" w:eastAsia="宋体"/>
                <w:kern w:val="0"/>
                <w:highlight w:val="none"/>
              </w:rPr>
              <w:t>5</w:t>
            </w:r>
          </w:p>
        </w:tc>
        <w:tc>
          <w:tcPr>
            <w:tcW w:w="1723" w:type="pct"/>
            <w:noWrap w:val="0"/>
            <w:vAlign w:val="center"/>
          </w:tcPr>
          <w:p w14:paraId="5C76A8A7">
            <w:pPr>
              <w:pStyle w:val="27"/>
              <w:textAlignment w:val="center"/>
              <w:rPr>
                <w:rFonts w:ascii="Times New Roman" w:hAnsi="Times New Roman" w:eastAsia="宋体"/>
                <w:kern w:val="0"/>
                <w:highlight w:val="none"/>
              </w:rPr>
            </w:pPr>
            <w:r>
              <w:rPr>
                <w:rFonts w:ascii="Times New Roman" w:hAnsi="Times New Roman" w:eastAsia="宋体"/>
                <w:kern w:val="0"/>
                <w:highlight w:val="none"/>
              </w:rPr>
              <w:t>系统可用率</w:t>
            </w:r>
          </w:p>
        </w:tc>
        <w:tc>
          <w:tcPr>
            <w:tcW w:w="691" w:type="pct"/>
            <w:noWrap w:val="0"/>
            <w:vAlign w:val="center"/>
          </w:tcPr>
          <w:p w14:paraId="22E98990">
            <w:pPr>
              <w:pStyle w:val="27"/>
              <w:textAlignment w:val="center"/>
              <w:rPr>
                <w:rFonts w:ascii="Times New Roman" w:hAnsi="Times New Roman" w:eastAsia="宋体"/>
                <w:kern w:val="0"/>
                <w:highlight w:val="none"/>
              </w:rPr>
            </w:pPr>
            <w:r>
              <w:rPr>
                <w:rFonts w:ascii="Times New Roman" w:hAnsi="Times New Roman" w:eastAsia="宋体"/>
                <w:kern w:val="0"/>
                <w:highlight w:val="none"/>
              </w:rPr>
              <w:t>%</w:t>
            </w:r>
          </w:p>
        </w:tc>
        <w:tc>
          <w:tcPr>
            <w:tcW w:w="1974" w:type="pct"/>
            <w:noWrap w:val="0"/>
            <w:vAlign w:val="center"/>
          </w:tcPr>
          <w:p w14:paraId="491C0483">
            <w:pPr>
              <w:pStyle w:val="27"/>
              <w:textAlignment w:val="center"/>
              <w:rPr>
                <w:rFonts w:ascii="Times New Roman" w:hAnsi="Times New Roman" w:eastAsia="宋体"/>
                <w:kern w:val="0"/>
                <w:highlight w:val="none"/>
              </w:rPr>
            </w:pPr>
            <w:r>
              <w:rPr>
                <w:rFonts w:ascii="Times New Roman" w:hAnsi="Times New Roman" w:eastAsia="宋体"/>
                <w:kern w:val="0"/>
                <w:highlight w:val="none"/>
              </w:rPr>
              <w:t>≥98</w:t>
            </w:r>
          </w:p>
        </w:tc>
      </w:tr>
      <w:tr w14:paraId="68B4CFF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65" w:hRule="atLeast"/>
        </w:trPr>
        <w:tc>
          <w:tcPr>
            <w:tcW w:w="609" w:type="pct"/>
            <w:noWrap w:val="0"/>
            <w:vAlign w:val="center"/>
          </w:tcPr>
          <w:p w14:paraId="7212F821">
            <w:pPr>
              <w:pStyle w:val="27"/>
              <w:textAlignment w:val="center"/>
              <w:rPr>
                <w:rFonts w:ascii="Times New Roman" w:hAnsi="Times New Roman" w:eastAsia="宋体"/>
                <w:kern w:val="0"/>
                <w:highlight w:val="none"/>
              </w:rPr>
            </w:pPr>
            <w:r>
              <w:rPr>
                <w:rFonts w:ascii="Times New Roman" w:hAnsi="Times New Roman" w:eastAsia="宋体"/>
                <w:kern w:val="0"/>
                <w:highlight w:val="none"/>
              </w:rPr>
              <w:t>6</w:t>
            </w:r>
          </w:p>
        </w:tc>
        <w:tc>
          <w:tcPr>
            <w:tcW w:w="1723" w:type="pct"/>
            <w:noWrap w:val="0"/>
            <w:vAlign w:val="center"/>
          </w:tcPr>
          <w:p w14:paraId="584F6E1E">
            <w:pPr>
              <w:pStyle w:val="27"/>
              <w:textAlignment w:val="center"/>
              <w:rPr>
                <w:rFonts w:ascii="Times New Roman" w:hAnsi="Times New Roman" w:eastAsia="宋体"/>
                <w:kern w:val="0"/>
                <w:highlight w:val="none"/>
              </w:rPr>
            </w:pPr>
            <w:r>
              <w:rPr>
                <w:rFonts w:ascii="Times New Roman" w:hAnsi="Times New Roman" w:eastAsia="宋体"/>
                <w:kern w:val="0"/>
                <w:highlight w:val="none"/>
              </w:rPr>
              <w:t>脱硫副产物</w:t>
            </w:r>
          </w:p>
        </w:tc>
        <w:tc>
          <w:tcPr>
            <w:tcW w:w="691" w:type="pct"/>
            <w:noWrap w:val="0"/>
            <w:vAlign w:val="center"/>
          </w:tcPr>
          <w:p w14:paraId="175519C0">
            <w:pPr>
              <w:pStyle w:val="27"/>
              <w:textAlignment w:val="center"/>
              <w:rPr>
                <w:rFonts w:ascii="Times New Roman" w:hAnsi="Times New Roman" w:eastAsia="宋体"/>
                <w:kern w:val="0"/>
                <w:highlight w:val="none"/>
              </w:rPr>
            </w:pPr>
            <w:r>
              <w:rPr>
                <w:rFonts w:ascii="Times New Roman" w:hAnsi="Times New Roman" w:eastAsia="宋体"/>
                <w:kern w:val="0"/>
                <w:highlight w:val="none"/>
              </w:rPr>
              <w:t>/</w:t>
            </w:r>
          </w:p>
        </w:tc>
        <w:tc>
          <w:tcPr>
            <w:tcW w:w="1974" w:type="pct"/>
            <w:noWrap w:val="0"/>
            <w:vAlign w:val="center"/>
          </w:tcPr>
          <w:p w14:paraId="0C26A65D">
            <w:pPr>
              <w:pStyle w:val="27"/>
              <w:textAlignment w:val="center"/>
              <w:rPr>
                <w:rFonts w:ascii="Times New Roman" w:hAnsi="Times New Roman" w:eastAsia="宋体"/>
                <w:kern w:val="0"/>
                <w:highlight w:val="none"/>
              </w:rPr>
            </w:pPr>
            <w:r>
              <w:rPr>
                <w:rFonts w:ascii="Times New Roman" w:hAnsi="Times New Roman" w:eastAsia="宋体"/>
                <w:kern w:val="0"/>
                <w:highlight w:val="none"/>
              </w:rPr>
              <w:t>石膏</w:t>
            </w:r>
          </w:p>
        </w:tc>
      </w:tr>
      <w:tr w14:paraId="0FA0504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65" w:hRule="atLeast"/>
        </w:trPr>
        <w:tc>
          <w:tcPr>
            <w:tcW w:w="609" w:type="pct"/>
            <w:noWrap w:val="0"/>
            <w:vAlign w:val="center"/>
          </w:tcPr>
          <w:p w14:paraId="13745039">
            <w:pPr>
              <w:pStyle w:val="27"/>
              <w:textAlignment w:val="center"/>
              <w:rPr>
                <w:rFonts w:ascii="Times New Roman" w:hAnsi="Times New Roman" w:eastAsia="宋体"/>
                <w:kern w:val="0"/>
                <w:highlight w:val="none"/>
              </w:rPr>
            </w:pPr>
            <w:r>
              <w:rPr>
                <w:rFonts w:ascii="Times New Roman" w:hAnsi="Times New Roman" w:eastAsia="宋体"/>
                <w:kern w:val="0"/>
                <w:highlight w:val="none"/>
              </w:rPr>
              <w:t>7</w:t>
            </w:r>
          </w:p>
        </w:tc>
        <w:tc>
          <w:tcPr>
            <w:tcW w:w="1723" w:type="pct"/>
            <w:noWrap w:val="0"/>
            <w:vAlign w:val="center"/>
          </w:tcPr>
          <w:p w14:paraId="540C16A3">
            <w:pPr>
              <w:pStyle w:val="27"/>
              <w:textAlignment w:val="center"/>
              <w:rPr>
                <w:rFonts w:ascii="Times New Roman" w:hAnsi="Times New Roman" w:eastAsia="宋体"/>
                <w:kern w:val="0"/>
                <w:highlight w:val="none"/>
              </w:rPr>
            </w:pPr>
            <w:r>
              <w:rPr>
                <w:rFonts w:ascii="Times New Roman" w:hAnsi="Times New Roman" w:eastAsia="宋体"/>
                <w:kern w:val="0"/>
                <w:highlight w:val="none"/>
              </w:rPr>
              <w:t>二次污染</w:t>
            </w:r>
          </w:p>
        </w:tc>
        <w:tc>
          <w:tcPr>
            <w:tcW w:w="691" w:type="pct"/>
            <w:noWrap w:val="0"/>
            <w:vAlign w:val="center"/>
          </w:tcPr>
          <w:p w14:paraId="3985D9D1">
            <w:pPr>
              <w:pStyle w:val="27"/>
              <w:textAlignment w:val="center"/>
              <w:rPr>
                <w:rFonts w:ascii="Times New Roman" w:hAnsi="Times New Roman" w:eastAsia="宋体"/>
                <w:kern w:val="0"/>
                <w:highlight w:val="none"/>
              </w:rPr>
            </w:pPr>
            <w:r>
              <w:rPr>
                <w:rFonts w:ascii="Times New Roman" w:hAnsi="Times New Roman" w:eastAsia="宋体"/>
                <w:kern w:val="0"/>
                <w:highlight w:val="none"/>
              </w:rPr>
              <w:t>/</w:t>
            </w:r>
          </w:p>
        </w:tc>
        <w:tc>
          <w:tcPr>
            <w:tcW w:w="1974" w:type="pct"/>
            <w:noWrap w:val="0"/>
            <w:vAlign w:val="center"/>
          </w:tcPr>
          <w:p w14:paraId="4013C3A8">
            <w:pPr>
              <w:pStyle w:val="27"/>
              <w:textAlignment w:val="center"/>
              <w:rPr>
                <w:rFonts w:ascii="Times New Roman" w:hAnsi="Times New Roman" w:eastAsia="宋体"/>
                <w:kern w:val="0"/>
                <w:highlight w:val="none"/>
              </w:rPr>
            </w:pPr>
            <w:r>
              <w:rPr>
                <w:rFonts w:ascii="Times New Roman" w:hAnsi="Times New Roman" w:eastAsia="宋体"/>
                <w:kern w:val="0"/>
                <w:highlight w:val="none"/>
              </w:rPr>
              <w:t>达到国家有关标准的规定</w:t>
            </w:r>
          </w:p>
        </w:tc>
      </w:tr>
      <w:tr w14:paraId="5267416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65" w:hRule="atLeast"/>
        </w:trPr>
        <w:tc>
          <w:tcPr>
            <w:tcW w:w="609" w:type="pct"/>
            <w:noWrap w:val="0"/>
            <w:vAlign w:val="center"/>
          </w:tcPr>
          <w:p w14:paraId="2C7C395F">
            <w:pPr>
              <w:pStyle w:val="27"/>
              <w:textAlignment w:val="center"/>
              <w:rPr>
                <w:rFonts w:ascii="Times New Roman" w:hAnsi="Times New Roman" w:eastAsia="宋体"/>
                <w:kern w:val="0"/>
                <w:highlight w:val="none"/>
              </w:rPr>
            </w:pPr>
            <w:bookmarkStart w:id="155" w:name="_Toc65500781"/>
            <w:bookmarkEnd w:id="155"/>
            <w:bookmarkStart w:id="156" w:name="_Toc196134602"/>
            <w:bookmarkEnd w:id="156"/>
            <w:r>
              <w:rPr>
                <w:rFonts w:ascii="Times New Roman" w:hAnsi="Times New Roman" w:eastAsia="宋体"/>
                <w:kern w:val="0"/>
                <w:highlight w:val="none"/>
              </w:rPr>
              <w:t>8</w:t>
            </w:r>
          </w:p>
        </w:tc>
        <w:tc>
          <w:tcPr>
            <w:tcW w:w="1723" w:type="pct"/>
            <w:noWrap w:val="0"/>
            <w:vAlign w:val="center"/>
          </w:tcPr>
          <w:p w14:paraId="4F1C9DDC">
            <w:pPr>
              <w:pStyle w:val="27"/>
              <w:textAlignment w:val="center"/>
              <w:rPr>
                <w:rFonts w:ascii="Times New Roman" w:hAnsi="Times New Roman" w:eastAsia="宋体"/>
                <w:kern w:val="0"/>
                <w:highlight w:val="none"/>
              </w:rPr>
            </w:pPr>
            <w:r>
              <w:rPr>
                <w:rFonts w:ascii="Times New Roman" w:hAnsi="Times New Roman" w:eastAsia="宋体"/>
                <w:kern w:val="0"/>
                <w:highlight w:val="none"/>
              </w:rPr>
              <w:t>控制标准</w:t>
            </w:r>
          </w:p>
        </w:tc>
        <w:tc>
          <w:tcPr>
            <w:tcW w:w="691" w:type="pct"/>
            <w:noWrap w:val="0"/>
            <w:vAlign w:val="center"/>
          </w:tcPr>
          <w:p w14:paraId="6F10DF67">
            <w:pPr>
              <w:pStyle w:val="27"/>
              <w:textAlignment w:val="center"/>
              <w:rPr>
                <w:rFonts w:ascii="Times New Roman" w:hAnsi="Times New Roman" w:eastAsia="宋体"/>
                <w:kern w:val="0"/>
                <w:highlight w:val="none"/>
              </w:rPr>
            </w:pPr>
            <w:r>
              <w:rPr>
                <w:rFonts w:ascii="Times New Roman" w:hAnsi="Times New Roman" w:eastAsia="宋体"/>
                <w:kern w:val="0"/>
                <w:highlight w:val="none"/>
              </w:rPr>
              <w:t>mg/Nm</w:t>
            </w:r>
            <w:r>
              <w:rPr>
                <w:rFonts w:ascii="Times New Roman" w:hAnsi="Times New Roman" w:eastAsia="宋体"/>
                <w:kern w:val="0"/>
                <w:highlight w:val="none"/>
                <w:vertAlign w:val="superscript"/>
              </w:rPr>
              <w:t>3</w:t>
            </w:r>
          </w:p>
        </w:tc>
        <w:tc>
          <w:tcPr>
            <w:tcW w:w="1974" w:type="pct"/>
            <w:noWrap w:val="0"/>
            <w:vAlign w:val="center"/>
          </w:tcPr>
          <w:p w14:paraId="1A0A6664">
            <w:pPr>
              <w:pStyle w:val="27"/>
              <w:textAlignment w:val="center"/>
              <w:rPr>
                <w:rFonts w:ascii="Times New Roman" w:hAnsi="Times New Roman" w:eastAsia="宋体"/>
                <w:kern w:val="0"/>
                <w:highlight w:val="none"/>
              </w:rPr>
            </w:pPr>
            <w:r>
              <w:rPr>
                <w:rFonts w:hint="eastAsia" w:ascii="宋体" w:hAnsi="宋体" w:eastAsia="宋体" w:cs="宋体"/>
                <w:kern w:val="0"/>
                <w:highlight w:val="none"/>
              </w:rPr>
              <w:t>≦</w:t>
            </w:r>
            <w:r>
              <w:rPr>
                <w:rFonts w:ascii="Times New Roman" w:hAnsi="Times New Roman" w:eastAsia="宋体"/>
                <w:kern w:val="0"/>
                <w:highlight w:val="none"/>
              </w:rPr>
              <w:t>35</w:t>
            </w:r>
          </w:p>
        </w:tc>
      </w:tr>
      <w:tr w14:paraId="139CB7A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7" w:hRule="atLeast"/>
        </w:trPr>
        <w:tc>
          <w:tcPr>
            <w:tcW w:w="609" w:type="pct"/>
            <w:noWrap w:val="0"/>
            <w:vAlign w:val="center"/>
          </w:tcPr>
          <w:p w14:paraId="4FDA9938">
            <w:pPr>
              <w:pStyle w:val="27"/>
              <w:textAlignment w:val="center"/>
              <w:rPr>
                <w:rFonts w:ascii="Times New Roman" w:hAnsi="Times New Roman" w:eastAsia="宋体"/>
                <w:kern w:val="0"/>
                <w:highlight w:val="none"/>
              </w:rPr>
            </w:pPr>
            <w:r>
              <w:rPr>
                <w:rFonts w:ascii="Times New Roman" w:hAnsi="Times New Roman" w:eastAsia="宋体"/>
                <w:kern w:val="0"/>
                <w:highlight w:val="none"/>
              </w:rPr>
              <w:t>9</w:t>
            </w:r>
          </w:p>
        </w:tc>
        <w:tc>
          <w:tcPr>
            <w:tcW w:w="1723" w:type="pct"/>
            <w:noWrap w:val="0"/>
            <w:vAlign w:val="center"/>
          </w:tcPr>
          <w:p w14:paraId="39F00A90">
            <w:pPr>
              <w:pStyle w:val="27"/>
              <w:textAlignment w:val="center"/>
              <w:rPr>
                <w:rFonts w:ascii="Times New Roman" w:hAnsi="Times New Roman" w:eastAsia="宋体"/>
                <w:kern w:val="0"/>
                <w:highlight w:val="none"/>
              </w:rPr>
            </w:pPr>
            <w:r>
              <w:rPr>
                <w:rFonts w:ascii="Times New Roman" w:hAnsi="Times New Roman" w:eastAsia="宋体"/>
                <w:kern w:val="0"/>
                <w:highlight w:val="none"/>
              </w:rPr>
              <w:t>对标结果</w:t>
            </w:r>
          </w:p>
        </w:tc>
        <w:tc>
          <w:tcPr>
            <w:tcW w:w="691" w:type="pct"/>
            <w:noWrap w:val="0"/>
            <w:vAlign w:val="center"/>
          </w:tcPr>
          <w:p w14:paraId="025F124F">
            <w:pPr>
              <w:pStyle w:val="27"/>
              <w:textAlignment w:val="center"/>
              <w:rPr>
                <w:rFonts w:ascii="Times New Roman" w:hAnsi="Times New Roman" w:eastAsia="宋体"/>
                <w:kern w:val="0"/>
                <w:highlight w:val="none"/>
              </w:rPr>
            </w:pPr>
            <w:r>
              <w:rPr>
                <w:rFonts w:ascii="Times New Roman" w:hAnsi="Times New Roman" w:eastAsia="宋体"/>
                <w:kern w:val="0"/>
                <w:highlight w:val="none"/>
              </w:rPr>
              <w:t>/</w:t>
            </w:r>
          </w:p>
        </w:tc>
        <w:tc>
          <w:tcPr>
            <w:tcW w:w="1974" w:type="pct"/>
            <w:noWrap w:val="0"/>
            <w:vAlign w:val="center"/>
          </w:tcPr>
          <w:p w14:paraId="6D3362AB">
            <w:pPr>
              <w:pStyle w:val="27"/>
              <w:textAlignment w:val="center"/>
              <w:rPr>
                <w:rFonts w:ascii="Times New Roman" w:hAnsi="Times New Roman" w:eastAsia="宋体"/>
                <w:kern w:val="0"/>
                <w:highlight w:val="none"/>
              </w:rPr>
            </w:pPr>
            <w:r>
              <w:rPr>
                <w:rFonts w:ascii="Times New Roman" w:hAnsi="Times New Roman" w:eastAsia="宋体"/>
                <w:kern w:val="0"/>
                <w:highlight w:val="none"/>
              </w:rPr>
              <w:t>满足标准要求</w:t>
            </w:r>
          </w:p>
        </w:tc>
      </w:tr>
    </w:tbl>
    <w:p w14:paraId="1FC77615">
      <w:pPr>
        <w:ind w:firstLine="480"/>
        <w:rPr>
          <w:rFonts w:ascii="Times New Roman" w:hAnsi="Times New Roman"/>
          <w:highlight w:val="none"/>
        </w:rPr>
      </w:pPr>
      <w:r>
        <w:rPr>
          <w:rFonts w:ascii="Times New Roman" w:hAnsi="Times New Roman"/>
          <w:highlight w:val="none"/>
        </w:rPr>
        <w:t>本项目经过脱硫效率为</w:t>
      </w:r>
      <w:r>
        <w:rPr>
          <w:rFonts w:hint="eastAsia" w:ascii="Times New Roman" w:hAnsi="Times New Roman"/>
          <w:highlight w:val="none"/>
          <w:lang w:val="en-US" w:eastAsia="zh-CN"/>
        </w:rPr>
        <w:t>99.39</w:t>
      </w:r>
      <w:r>
        <w:rPr>
          <w:rFonts w:ascii="Times New Roman" w:hAnsi="Times New Roman"/>
          <w:highlight w:val="none"/>
        </w:rPr>
        <w:t>%的石灰石/石膏法脱硫措施处理后，SO</w:t>
      </w:r>
      <w:r>
        <w:rPr>
          <w:rFonts w:ascii="Times New Roman" w:hAnsi="Times New Roman"/>
          <w:highlight w:val="none"/>
          <w:vertAlign w:val="subscript"/>
        </w:rPr>
        <w:t>2</w:t>
      </w:r>
      <w:r>
        <w:rPr>
          <w:rFonts w:ascii="Times New Roman" w:hAnsi="Times New Roman"/>
          <w:highlight w:val="none"/>
        </w:rPr>
        <w:t>实际排放浓度满足超低排放要求（即在基准氧含量6%条件下，烟尘、SO</w:t>
      </w:r>
      <w:r>
        <w:rPr>
          <w:rFonts w:ascii="Times New Roman" w:hAnsi="Times New Roman"/>
          <w:highlight w:val="none"/>
          <w:vertAlign w:val="subscript"/>
        </w:rPr>
        <w:t>2</w:t>
      </w:r>
      <w:r>
        <w:rPr>
          <w:rFonts w:ascii="Times New Roman" w:hAnsi="Times New Roman"/>
          <w:highlight w:val="none"/>
        </w:rPr>
        <w:t>、NO</w:t>
      </w:r>
      <w:r>
        <w:rPr>
          <w:rFonts w:ascii="Times New Roman" w:hAnsi="Times New Roman"/>
          <w:highlight w:val="none"/>
          <w:vertAlign w:val="subscript"/>
        </w:rPr>
        <w:t>X</w:t>
      </w:r>
      <w:r>
        <w:rPr>
          <w:rFonts w:ascii="Times New Roman" w:hAnsi="Times New Roman"/>
          <w:highlight w:val="none"/>
        </w:rPr>
        <w:t>排放浓度分别不高于10mg/m</w:t>
      </w:r>
      <w:r>
        <w:rPr>
          <w:rFonts w:ascii="Times New Roman" w:hAnsi="Times New Roman"/>
          <w:highlight w:val="none"/>
          <w:vertAlign w:val="superscript"/>
        </w:rPr>
        <w:t>3</w:t>
      </w:r>
      <w:r>
        <w:rPr>
          <w:rFonts w:ascii="Times New Roman" w:hAnsi="Times New Roman"/>
          <w:highlight w:val="none"/>
        </w:rPr>
        <w:t>、35mg/m</w:t>
      </w:r>
      <w:r>
        <w:rPr>
          <w:rFonts w:ascii="Times New Roman" w:hAnsi="Times New Roman"/>
          <w:highlight w:val="none"/>
          <w:vertAlign w:val="superscript"/>
        </w:rPr>
        <w:t>3</w:t>
      </w:r>
      <w:r>
        <w:rPr>
          <w:rFonts w:ascii="Times New Roman" w:hAnsi="Times New Roman"/>
          <w:highlight w:val="none"/>
        </w:rPr>
        <w:t>、50mg/m</w:t>
      </w:r>
      <w:r>
        <w:rPr>
          <w:rFonts w:ascii="Times New Roman" w:hAnsi="Times New Roman"/>
          <w:highlight w:val="none"/>
          <w:vertAlign w:val="superscript"/>
        </w:rPr>
        <w:t>3</w:t>
      </w:r>
      <w:r>
        <w:rPr>
          <w:rFonts w:ascii="Times New Roman" w:hAnsi="Times New Roman"/>
          <w:highlight w:val="none"/>
        </w:rPr>
        <w:t>）。因此，本项目采用石灰石/石膏湿法脱硫，技术可行。</w:t>
      </w:r>
    </w:p>
    <w:p w14:paraId="6884C84D">
      <w:pPr>
        <w:ind w:firstLine="480"/>
        <w:rPr>
          <w:rFonts w:ascii="Times New Roman" w:hAnsi="Times New Roman"/>
          <w:highlight w:val="none"/>
        </w:rPr>
      </w:pPr>
      <w:r>
        <w:rPr>
          <w:rFonts w:ascii="Times New Roman" w:hAnsi="Times New Roman"/>
          <w:highlight w:val="none"/>
        </w:rPr>
        <w:t>二、NOx污染控制措施</w:t>
      </w:r>
    </w:p>
    <w:p w14:paraId="1E3E9461">
      <w:pPr>
        <w:ind w:firstLine="480"/>
        <w:rPr>
          <w:rFonts w:ascii="Times New Roman" w:hAnsi="Times New Roman"/>
          <w:highlight w:val="none"/>
        </w:rPr>
      </w:pPr>
      <w:r>
        <w:rPr>
          <w:rFonts w:ascii="Times New Roman" w:hAnsi="Times New Roman"/>
          <w:highlight w:val="none"/>
        </w:rPr>
        <w:t>根据《排污许可证申请与核发技术规范 锅炉》和《污染源源强核算技术指南 锅炉》，本项目采用低氮燃烧+SNCR-SCR联合法脱硝技术去除NOx。锅炉低氮燃烧技术是控制NOx的首选技术，在保证锅炉效率和安全的前提下应尽可能降低锅炉出口NOx的浓度。</w:t>
      </w:r>
    </w:p>
    <w:p w14:paraId="479ACAEE">
      <w:pPr>
        <w:ind w:firstLine="480"/>
        <w:rPr>
          <w:rFonts w:ascii="Times New Roman" w:hAnsi="Times New Roman"/>
          <w:highlight w:val="none"/>
        </w:rPr>
      </w:pPr>
      <w:r>
        <w:rPr>
          <w:rFonts w:ascii="Times New Roman" w:hAnsi="Times New Roman"/>
          <w:highlight w:val="none"/>
        </w:rPr>
        <w:t>SNCR-SCR联合脱硝工艺整个系统分为：尿素溶液制备与储存系统，尿素溶液输送系统，计量混合系统，分配系统，喷射组件等。</w:t>
      </w:r>
    </w:p>
    <w:p w14:paraId="42DE07FD">
      <w:pPr>
        <w:ind w:firstLine="480"/>
        <w:rPr>
          <w:rFonts w:ascii="Times New Roman" w:hAnsi="Times New Roman"/>
          <w:highlight w:val="none"/>
        </w:rPr>
      </w:pPr>
      <w:r>
        <w:rPr>
          <w:rFonts w:ascii="Times New Roman" w:hAnsi="Times New Roman"/>
          <w:highlight w:val="none"/>
        </w:rPr>
        <w:t>SNCR系统主要由尿素加注、存储系统、尿素输送系统、稀释水系统、还原剂炉前计量分配及喷射系统组成。SNCR是一种以NH</w:t>
      </w:r>
      <w:r>
        <w:rPr>
          <w:rFonts w:ascii="Times New Roman" w:hAnsi="Times New Roman"/>
          <w:highlight w:val="none"/>
          <w:vertAlign w:val="subscript"/>
        </w:rPr>
        <w:t>3</w:t>
      </w:r>
      <w:r>
        <w:rPr>
          <w:rFonts w:ascii="Times New Roman" w:hAnsi="Times New Roman"/>
          <w:highlight w:val="none"/>
        </w:rPr>
        <w:t>作为还原剂直接喷入炉膛内，利用炉膛高温，将烟气中的NO</w:t>
      </w:r>
      <w:r>
        <w:rPr>
          <w:rFonts w:ascii="Times New Roman" w:hAnsi="Times New Roman"/>
          <w:highlight w:val="none"/>
          <w:vertAlign w:val="subscript"/>
        </w:rPr>
        <w:t>X</w:t>
      </w:r>
      <w:r>
        <w:rPr>
          <w:rFonts w:ascii="Times New Roman" w:hAnsi="Times New Roman"/>
          <w:highlight w:val="none"/>
        </w:rPr>
        <w:t>分解成无害的N</w:t>
      </w:r>
      <w:r>
        <w:rPr>
          <w:rFonts w:ascii="Times New Roman" w:hAnsi="Times New Roman"/>
          <w:highlight w:val="none"/>
          <w:vertAlign w:val="subscript"/>
        </w:rPr>
        <w:t>2</w:t>
      </w:r>
      <w:r>
        <w:rPr>
          <w:rFonts w:ascii="Times New Roman" w:hAnsi="Times New Roman"/>
          <w:highlight w:val="none"/>
        </w:rPr>
        <w:t>和H</w:t>
      </w:r>
      <w:r>
        <w:rPr>
          <w:rFonts w:ascii="Times New Roman" w:hAnsi="Times New Roman"/>
          <w:highlight w:val="none"/>
          <w:vertAlign w:val="subscript"/>
        </w:rPr>
        <w:t>2</w:t>
      </w:r>
      <w:r>
        <w:rPr>
          <w:rFonts w:ascii="Times New Roman" w:hAnsi="Times New Roman"/>
          <w:highlight w:val="none"/>
        </w:rPr>
        <w:t>O的脱硝方法。本方法不单独设反应器，直接在旋风分离器内反应，设备简单，还原剂贮存和输送稀释系统和SCR共用，只需每台锅炉单独设一套喷射及控制系统和吹扫系统即可。</w:t>
      </w:r>
    </w:p>
    <w:p w14:paraId="78171193">
      <w:pPr>
        <w:ind w:firstLine="480"/>
        <w:rPr>
          <w:rFonts w:ascii="Times New Roman" w:hAnsi="Times New Roman"/>
          <w:highlight w:val="none"/>
        </w:rPr>
      </w:pPr>
      <w:r>
        <w:rPr>
          <w:rFonts w:ascii="Times New Roman" w:hAnsi="Times New Roman"/>
          <w:highlight w:val="none"/>
        </w:rPr>
        <w:t>SCR脱硝系统布置在锅炉尾部烟道内，催化剂共两层，初装一层、预留一层，反应区利用锅炉尾部烟道合适位置的补氨及前面SNCR段逃逸过来的氨气，在反应器内催化剂的作用下氨气与NOx反应，从而脱除NOx，最终处理后的烟气经过烟筒排入大气，催化剂使用寿命为三年。</w:t>
      </w:r>
    </w:p>
    <w:p w14:paraId="314ED605">
      <w:pPr>
        <w:rPr>
          <w:rFonts w:ascii="Times New Roman" w:hAnsi="Times New Roman"/>
          <w:highlight w:val="none"/>
        </w:rPr>
      </w:pPr>
      <w:r>
        <w:rPr>
          <w:rFonts w:ascii="Times New Roman" w:hAnsi="Times New Roman"/>
          <w:highlight w:val="none"/>
        </w:rPr>
        <w:t>SNCR-SCR联合脱硝工艺具有2个反应区，通过布置在锅炉炉墙上的喷射系统，首先将还原剂喷入第1个反应区-炉膛，在高温下还原剂与NO</w:t>
      </w:r>
      <w:r>
        <w:rPr>
          <w:rFonts w:ascii="Times New Roman" w:hAnsi="Times New Roman"/>
          <w:highlight w:val="none"/>
          <w:vertAlign w:val="subscript"/>
        </w:rPr>
        <w:t>X</w:t>
      </w:r>
      <w:r>
        <w:rPr>
          <w:rFonts w:ascii="Times New Roman" w:hAnsi="Times New Roman"/>
          <w:highlight w:val="none"/>
        </w:rPr>
        <w:t>在没有催化剂参与的情况下发生还原反应，实现初步脱硝。然后未参与反应的还原剂进入混合工艺的第2个反应区SCR反应器，在有催化还原的情况下进一步脱硝。</w:t>
      </w:r>
    </w:p>
    <w:p w14:paraId="3412DC6B">
      <w:pPr>
        <w:pStyle w:val="15"/>
        <w:ind w:left="0" w:leftChars="0" w:firstLine="0" w:firstLineChars="0"/>
        <w:jc w:val="center"/>
        <w:rPr>
          <w:rFonts w:ascii="Times New Roman" w:hAnsi="Times New Roman"/>
          <w:highlight w:val="none"/>
        </w:rPr>
      </w:pPr>
      <w:r>
        <w:rPr>
          <w:rFonts w:ascii="Times New Roman" w:hAnsi="Times New Roman"/>
          <w:highlight w:val="none"/>
        </w:rPr>
        <w:drawing>
          <wp:inline distT="0" distB="0" distL="114300" distR="114300">
            <wp:extent cx="5466715" cy="2609215"/>
            <wp:effectExtent l="0" t="0" r="635" b="635"/>
            <wp:docPr id="1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9"/>
                    <pic:cNvPicPr>
                      <a:picLocks noChangeAspect="1"/>
                    </pic:cNvPicPr>
                  </pic:nvPicPr>
                  <pic:blipFill>
                    <a:blip r:embed="rId59"/>
                    <a:stretch>
                      <a:fillRect/>
                    </a:stretch>
                  </pic:blipFill>
                  <pic:spPr>
                    <a:xfrm>
                      <a:off x="0" y="0"/>
                      <a:ext cx="5466715" cy="2609215"/>
                    </a:xfrm>
                    <a:prstGeom prst="rect">
                      <a:avLst/>
                    </a:prstGeom>
                    <a:noFill/>
                    <a:ln>
                      <a:noFill/>
                    </a:ln>
                  </pic:spPr>
                </pic:pic>
              </a:graphicData>
            </a:graphic>
          </wp:inline>
        </w:drawing>
      </w:r>
    </w:p>
    <w:p w14:paraId="2BD1D3BF">
      <w:pPr>
        <w:ind w:firstLine="0" w:firstLineChars="0"/>
        <w:jc w:val="center"/>
        <w:rPr>
          <w:rFonts w:ascii="Times New Roman" w:hAnsi="Times New Roman"/>
          <w:highlight w:val="none"/>
        </w:rPr>
      </w:pPr>
      <w:r>
        <w:rPr>
          <w:rFonts w:ascii="Times New Roman" w:hAnsi="Times New Roman"/>
          <w:b/>
          <w:bCs/>
          <w:highlight w:val="none"/>
        </w:rPr>
        <w:t>图6.2-1典型循环流化床锅炉SNCR-SCR联合脱硝工艺流程图</w:t>
      </w:r>
    </w:p>
    <w:p w14:paraId="41189EE2">
      <w:pPr>
        <w:ind w:firstLine="480"/>
        <w:rPr>
          <w:rFonts w:ascii="Times New Roman" w:hAnsi="Times New Roman"/>
          <w:highlight w:val="none"/>
        </w:rPr>
      </w:pPr>
      <w:r>
        <w:rPr>
          <w:rFonts w:ascii="Times New Roman" w:hAnsi="Times New Roman"/>
          <w:highlight w:val="none"/>
        </w:rPr>
        <w:t>混合SNCR-SCR工艺主要的改进就是省去了SCR工艺设置在烟道的复杂氨气喷射格栅系统，并大幅度减少了催化剂的用量，减少初期投入成本以及运行费用。</w:t>
      </w:r>
    </w:p>
    <w:p w14:paraId="406CD3EA">
      <w:pPr>
        <w:ind w:firstLine="480"/>
        <w:rPr>
          <w:rFonts w:ascii="Times New Roman" w:hAnsi="Times New Roman"/>
          <w:highlight w:val="none"/>
        </w:rPr>
      </w:pPr>
      <w:r>
        <w:rPr>
          <w:rFonts w:ascii="Times New Roman" w:hAnsi="Times New Roman"/>
          <w:highlight w:val="none"/>
        </w:rPr>
        <w:t>本项目采用尿素作为还原剂。尿素为无毒、无挥发性的固体，运输贮存更安全，且尿素溶液的液滴能在炉膛内穿透的更远，可与烟气充分混合，更有效地脱除NOx。</w:t>
      </w:r>
    </w:p>
    <w:p w14:paraId="38574699">
      <w:pPr>
        <w:ind w:firstLine="480"/>
        <w:rPr>
          <w:rFonts w:ascii="Times New Roman" w:hAnsi="Times New Roman"/>
          <w:highlight w:val="none"/>
        </w:rPr>
      </w:pPr>
      <w:r>
        <w:rPr>
          <w:rFonts w:ascii="Times New Roman" w:hAnsi="Times New Roman"/>
          <w:highlight w:val="none"/>
        </w:rPr>
        <w:t>脱硝基本流程为将尿素溶解制备成50%浓度的溶液，经输送泵输送至尿素储罐。储罐中的尿素溶液经计量稀释模块稀释成质量分数10%左右的低浓度溶液后被分配至每杆喷枪，喷入炉膛特定窗口（850</w:t>
      </w:r>
      <w:r>
        <w:rPr>
          <w:rFonts w:hint="eastAsia" w:ascii="宋体" w:hAnsi="宋体" w:cs="宋体"/>
          <w:highlight w:val="none"/>
        </w:rPr>
        <w:t>℃</w:t>
      </w:r>
      <w:r>
        <w:rPr>
          <w:rFonts w:ascii="Times New Roman" w:hAnsi="Times New Roman"/>
          <w:highlight w:val="none"/>
        </w:rPr>
        <w:t>—1050</w:t>
      </w:r>
      <w:r>
        <w:rPr>
          <w:rFonts w:hint="eastAsia" w:ascii="宋体" w:hAnsi="宋体" w:cs="宋体"/>
          <w:highlight w:val="none"/>
        </w:rPr>
        <w:t>℃</w:t>
      </w:r>
      <w:r>
        <w:rPr>
          <w:rFonts w:ascii="Times New Roman" w:hAnsi="Times New Roman"/>
          <w:highlight w:val="none"/>
        </w:rPr>
        <w:t>）与烟气充分混合，进行化学反应，最终达到脱除NOx的目的，此过程为联合脱硝的SNCR部分。</w:t>
      </w:r>
    </w:p>
    <w:p w14:paraId="03F2D7FF">
      <w:pPr>
        <w:ind w:firstLine="480"/>
        <w:rPr>
          <w:rFonts w:ascii="Times New Roman" w:hAnsi="Times New Roman"/>
          <w:highlight w:val="none"/>
        </w:rPr>
      </w:pPr>
      <w:r>
        <w:rPr>
          <w:rFonts w:ascii="Times New Roman" w:hAnsi="Times New Roman"/>
          <w:highlight w:val="none"/>
        </w:rPr>
        <w:t>以尿素为还原剂在第一个反应区发生的化学反应式为：</w:t>
      </w:r>
    </w:p>
    <w:p w14:paraId="708D7AAB">
      <w:pPr>
        <w:ind w:firstLine="0" w:firstLineChars="0"/>
        <w:jc w:val="center"/>
        <w:rPr>
          <w:rFonts w:ascii="Times New Roman" w:hAnsi="Times New Roman"/>
          <w:highlight w:val="none"/>
        </w:rPr>
      </w:pPr>
      <w:r>
        <w:rPr>
          <w:rFonts w:ascii="Times New Roman" w:hAnsi="Times New Roman"/>
          <w:highlight w:val="none"/>
        </w:rPr>
        <w:t>2CO(NH</w:t>
      </w:r>
      <w:r>
        <w:rPr>
          <w:rFonts w:ascii="Times New Roman" w:hAnsi="Times New Roman"/>
          <w:highlight w:val="none"/>
          <w:vertAlign w:val="subscript"/>
        </w:rPr>
        <w:t>2</w:t>
      </w:r>
      <w:r>
        <w:rPr>
          <w:rFonts w:ascii="Times New Roman" w:hAnsi="Times New Roman"/>
          <w:highlight w:val="none"/>
        </w:rPr>
        <w:t>)</w:t>
      </w:r>
      <w:r>
        <w:rPr>
          <w:rFonts w:ascii="Times New Roman" w:hAnsi="Times New Roman"/>
          <w:highlight w:val="none"/>
          <w:vertAlign w:val="subscript"/>
        </w:rPr>
        <w:t>2</w:t>
      </w:r>
      <w:r>
        <w:rPr>
          <w:rFonts w:ascii="Times New Roman" w:hAnsi="Times New Roman"/>
          <w:highlight w:val="none"/>
        </w:rPr>
        <w:t>+4NO+O</w:t>
      </w:r>
      <w:r>
        <w:rPr>
          <w:rFonts w:ascii="Times New Roman" w:hAnsi="Times New Roman"/>
          <w:highlight w:val="none"/>
          <w:vertAlign w:val="subscript"/>
        </w:rPr>
        <w:t>2</w:t>
      </w:r>
      <w:r>
        <w:rPr>
          <w:rFonts w:ascii="Times New Roman" w:hAnsi="Times New Roman"/>
          <w:highlight w:val="none"/>
        </w:rPr>
        <w:t>→4N2+2CO</w:t>
      </w:r>
      <w:r>
        <w:rPr>
          <w:rFonts w:ascii="Times New Roman" w:hAnsi="Times New Roman"/>
          <w:highlight w:val="none"/>
          <w:vertAlign w:val="subscript"/>
        </w:rPr>
        <w:t>2</w:t>
      </w:r>
      <w:r>
        <w:rPr>
          <w:rFonts w:ascii="Times New Roman" w:hAnsi="Times New Roman"/>
          <w:highlight w:val="none"/>
        </w:rPr>
        <w:t>+4H</w:t>
      </w:r>
      <w:r>
        <w:rPr>
          <w:rFonts w:ascii="Times New Roman" w:hAnsi="Times New Roman"/>
          <w:highlight w:val="none"/>
          <w:vertAlign w:val="subscript"/>
        </w:rPr>
        <w:t>2</w:t>
      </w:r>
      <w:r>
        <w:rPr>
          <w:rFonts w:ascii="Times New Roman" w:hAnsi="Times New Roman"/>
          <w:highlight w:val="none"/>
        </w:rPr>
        <w:t>O</w:t>
      </w:r>
    </w:p>
    <w:p w14:paraId="19683C9C">
      <w:pPr>
        <w:ind w:firstLine="480"/>
        <w:rPr>
          <w:rFonts w:ascii="Times New Roman" w:hAnsi="Times New Roman"/>
          <w:highlight w:val="none"/>
        </w:rPr>
      </w:pPr>
      <w:r>
        <w:rPr>
          <w:rFonts w:ascii="Times New Roman" w:hAnsi="Times New Roman"/>
          <w:highlight w:val="none"/>
        </w:rPr>
        <w:t>SCR部分是指在锅炉尾部合适烟温（310</w:t>
      </w:r>
      <w:r>
        <w:rPr>
          <w:rFonts w:hint="eastAsia" w:ascii="宋体" w:hAnsi="宋体" w:cs="宋体"/>
          <w:highlight w:val="none"/>
        </w:rPr>
        <w:t>℃</w:t>
      </w:r>
      <w:r>
        <w:rPr>
          <w:rFonts w:ascii="Times New Roman" w:hAnsi="Times New Roman"/>
          <w:highlight w:val="none"/>
        </w:rPr>
        <w:t>～420</w:t>
      </w:r>
      <w:r>
        <w:rPr>
          <w:rFonts w:hint="eastAsia" w:ascii="宋体" w:hAnsi="宋体" w:cs="宋体"/>
          <w:highlight w:val="none"/>
        </w:rPr>
        <w:t>℃</w:t>
      </w:r>
      <w:r>
        <w:rPr>
          <w:rFonts w:ascii="Times New Roman" w:hAnsi="Times New Roman"/>
          <w:highlight w:val="none"/>
        </w:rPr>
        <w:t>）位置处安装SCR反应器，反应器内布置催化剂，烟气中NOx经SNCR工艺已大部分除去，但由于较高的氨逃逸，到达SCR反应器的还原剂（NH</w:t>
      </w:r>
      <w:r>
        <w:rPr>
          <w:rFonts w:ascii="Times New Roman" w:hAnsi="Times New Roman"/>
          <w:highlight w:val="none"/>
          <w:vertAlign w:val="subscript"/>
        </w:rPr>
        <w:t>3</w:t>
      </w:r>
      <w:r>
        <w:rPr>
          <w:rFonts w:ascii="Times New Roman" w:hAnsi="Times New Roman"/>
          <w:highlight w:val="none"/>
        </w:rPr>
        <w:t>等）还有相当的含量，在催化剂的作用下，还原剂和NOx反应生成N</w:t>
      </w:r>
      <w:r>
        <w:rPr>
          <w:rFonts w:ascii="Times New Roman" w:hAnsi="Times New Roman"/>
          <w:highlight w:val="none"/>
          <w:vertAlign w:val="subscript"/>
        </w:rPr>
        <w:t>2</w:t>
      </w:r>
      <w:r>
        <w:rPr>
          <w:rFonts w:ascii="Times New Roman" w:hAnsi="Times New Roman"/>
          <w:highlight w:val="none"/>
        </w:rPr>
        <w:t>和H</w:t>
      </w:r>
      <w:r>
        <w:rPr>
          <w:rFonts w:ascii="Times New Roman" w:hAnsi="Times New Roman"/>
          <w:highlight w:val="none"/>
          <w:vertAlign w:val="subscript"/>
        </w:rPr>
        <w:t>2</w:t>
      </w:r>
      <w:r>
        <w:rPr>
          <w:rFonts w:ascii="Times New Roman" w:hAnsi="Times New Roman"/>
          <w:highlight w:val="none"/>
        </w:rPr>
        <w:t>O。主反应方程式如下：</w:t>
      </w:r>
    </w:p>
    <w:p w14:paraId="2E16060E">
      <w:pPr>
        <w:ind w:firstLine="0" w:firstLineChars="0"/>
        <w:jc w:val="center"/>
        <w:rPr>
          <w:rFonts w:ascii="Times New Roman" w:hAnsi="Times New Roman"/>
          <w:highlight w:val="none"/>
        </w:rPr>
      </w:pPr>
      <w:r>
        <w:rPr>
          <w:rFonts w:ascii="Times New Roman" w:hAnsi="Times New Roman"/>
          <w:highlight w:val="none"/>
        </w:rPr>
        <w:t>4NH</w:t>
      </w:r>
      <w:r>
        <w:rPr>
          <w:rFonts w:ascii="Times New Roman" w:hAnsi="Times New Roman"/>
          <w:highlight w:val="none"/>
          <w:vertAlign w:val="subscript"/>
        </w:rPr>
        <w:t>3</w:t>
      </w:r>
      <w:r>
        <w:rPr>
          <w:rFonts w:ascii="Times New Roman" w:hAnsi="Times New Roman"/>
          <w:highlight w:val="none"/>
        </w:rPr>
        <w:t>+4NO+O</w:t>
      </w:r>
      <w:r>
        <w:rPr>
          <w:rFonts w:ascii="Times New Roman" w:hAnsi="Times New Roman"/>
          <w:highlight w:val="none"/>
          <w:vertAlign w:val="subscript"/>
        </w:rPr>
        <w:t>2</w:t>
      </w:r>
      <w:r>
        <w:rPr>
          <w:rFonts w:ascii="Times New Roman" w:hAnsi="Times New Roman"/>
          <w:highlight w:val="none"/>
        </w:rPr>
        <w:t>→4N</w:t>
      </w:r>
      <w:r>
        <w:rPr>
          <w:rFonts w:ascii="Times New Roman" w:hAnsi="Times New Roman"/>
          <w:highlight w:val="none"/>
          <w:vertAlign w:val="subscript"/>
        </w:rPr>
        <w:t>2</w:t>
      </w:r>
      <w:r>
        <w:rPr>
          <w:rFonts w:ascii="Times New Roman" w:hAnsi="Times New Roman"/>
          <w:highlight w:val="none"/>
        </w:rPr>
        <w:t>+6H</w:t>
      </w:r>
      <w:r>
        <w:rPr>
          <w:rFonts w:ascii="Times New Roman" w:hAnsi="Times New Roman"/>
          <w:highlight w:val="none"/>
          <w:vertAlign w:val="subscript"/>
        </w:rPr>
        <w:t>2</w:t>
      </w:r>
      <w:r>
        <w:rPr>
          <w:rFonts w:ascii="Times New Roman" w:hAnsi="Times New Roman"/>
          <w:highlight w:val="none"/>
        </w:rPr>
        <w:t>O（在催化剂、合理温度下）</w:t>
      </w:r>
    </w:p>
    <w:p w14:paraId="6CDAF13D">
      <w:pPr>
        <w:ind w:firstLine="480"/>
        <w:rPr>
          <w:rFonts w:ascii="Times New Roman" w:hAnsi="Times New Roman"/>
          <w:highlight w:val="none"/>
        </w:rPr>
      </w:pPr>
      <w:r>
        <w:rPr>
          <w:rFonts w:ascii="Times New Roman" w:hAnsi="Times New Roman"/>
          <w:highlight w:val="none"/>
        </w:rPr>
        <w:t>与单一的SCR工艺和SNCR工艺相比，SNCR-SCR联合工艺具有以下一些优点。</w:t>
      </w:r>
    </w:p>
    <w:p w14:paraId="7D9C6C8C">
      <w:pPr>
        <w:ind w:firstLine="480"/>
        <w:rPr>
          <w:rFonts w:ascii="Times New Roman" w:hAnsi="Times New Roman"/>
          <w:highlight w:val="none"/>
        </w:rPr>
      </w:pPr>
      <w:r>
        <w:rPr>
          <w:rFonts w:ascii="Times New Roman" w:hAnsi="Times New Roman"/>
          <w:highlight w:val="none"/>
        </w:rPr>
        <w:t>单一的SNCR工艺脱硝效率低，而混合SNCR-SCR工艺获得与SCR工艺一样高的脱硝效率；SCR工艺由于脱硝催化剂的使用，大大降低了反应温度并提高了脱硝效率，但是，由于催化剂非常昂贵，一般占整个SCR工艺总投资的1/3左右，并且由于需要定期更换，运行费用也很高。联合法工艺由于首先采用了SNCR工艺初步脱硝，降低了对催化剂的依赖。与SCR工艺相比，混合工艺的催化剂用量可以大大减少；单纯的SNCR工艺为了满足对氨逃逸量的限制，要求该工艺还原剂的喷入点必选严格选择在适宜反应的温度区域内。而在混合SNCR-SCR技术中，SNCR过程中形成的氨泄漏是作为SCR反应的还原剂来设计的，因此。对SNCR阶段氨逃逸的问题考虑可以大大放宽。相对于独立的SNCR工艺，混合工艺氨喷射系统可布置在适宜的反应温度区域稍前的位置，从而延长还原剂的停留时间。在SNCR过程中未完全反应的氨将在位于下游的SCR反应器被进一步利用。混合工艺的这种安排，有助于提高SNCR阶段的脱硝效率。目前，混合工艺的SNCR阶段的脱硝效率已经可以达到50%以上。</w:t>
      </w:r>
    </w:p>
    <w:p w14:paraId="1432AE68">
      <w:pPr>
        <w:ind w:firstLine="480"/>
        <w:rPr>
          <w:rFonts w:ascii="Times New Roman" w:hAnsi="Times New Roman"/>
          <w:highlight w:val="none"/>
        </w:rPr>
      </w:pPr>
      <w:r>
        <w:rPr>
          <w:rFonts w:ascii="Times New Roman" w:hAnsi="Times New Roman"/>
          <w:highlight w:val="none"/>
        </w:rPr>
        <w:t>本项目脱硝系统采用SNCR-SCR联合脱硝技术，脱硝效率不小于</w:t>
      </w:r>
      <w:r>
        <w:rPr>
          <w:rFonts w:hint="eastAsia" w:ascii="Times New Roman" w:hAnsi="Times New Roman"/>
          <w:highlight w:val="none"/>
        </w:rPr>
        <w:t>75</w:t>
      </w:r>
      <w:r>
        <w:rPr>
          <w:rFonts w:ascii="Times New Roman" w:hAnsi="Times New Roman"/>
          <w:highlight w:val="none"/>
        </w:rPr>
        <w:t>%，采用尿素作为还原剂。尿素为无毒、无挥发性的固体，运输贮存更安全，且尿素溶液的液滴能在炉膛内穿透的更远，可与烟气充分混合，更有效地脱除NOx。本项目设计氨逃逸质量浓度为2.5mg/m</w:t>
      </w:r>
      <w:r>
        <w:rPr>
          <w:rFonts w:ascii="Times New Roman" w:hAnsi="Times New Roman"/>
          <w:highlight w:val="none"/>
          <w:vertAlign w:val="superscript"/>
        </w:rPr>
        <w:t>3</w:t>
      </w:r>
      <w:r>
        <w:rPr>
          <w:rFonts w:ascii="Times New Roman" w:hAnsi="Times New Roman"/>
          <w:highlight w:val="none"/>
        </w:rPr>
        <w:t>，可以满足《火电厂烟气脱硝工程技术规范选择性催化还原法》（HJ562-2010）要求脱硝系统氨逃逸质量浓度宜小于2.5mg/m</w:t>
      </w:r>
      <w:r>
        <w:rPr>
          <w:rFonts w:ascii="Times New Roman" w:hAnsi="Times New Roman"/>
          <w:highlight w:val="none"/>
          <w:vertAlign w:val="superscript"/>
        </w:rPr>
        <w:t>3</w:t>
      </w:r>
      <w:r>
        <w:rPr>
          <w:rFonts w:ascii="Times New Roman" w:hAnsi="Times New Roman"/>
          <w:highlight w:val="none"/>
        </w:rPr>
        <w:t>的要求。</w:t>
      </w:r>
    </w:p>
    <w:p w14:paraId="6F59F482">
      <w:pPr>
        <w:ind w:firstLine="480"/>
        <w:rPr>
          <w:rFonts w:hint="eastAsia" w:ascii="Times New Roman" w:hAnsi="Times New Roman"/>
          <w:highlight w:val="none"/>
        </w:rPr>
      </w:pPr>
      <w:r>
        <w:rPr>
          <w:rFonts w:ascii="Times New Roman" w:hAnsi="Times New Roman"/>
          <w:highlight w:val="none"/>
        </w:rPr>
        <w:t>本项目</w:t>
      </w:r>
      <w:r>
        <w:rPr>
          <w:rFonts w:hint="eastAsia" w:ascii="Times New Roman" w:hAnsi="Times New Roman"/>
          <w:highlight w:val="none"/>
        </w:rPr>
        <w:t>烟气脱硝装置工艺原则：</w:t>
      </w:r>
    </w:p>
    <w:p w14:paraId="6FE8F394">
      <w:pPr>
        <w:ind w:firstLine="480"/>
        <w:rPr>
          <w:rFonts w:ascii="Times New Roman" w:hAnsi="Times New Roman"/>
          <w:highlight w:val="none"/>
        </w:rPr>
      </w:pPr>
      <w:r>
        <w:rPr>
          <w:rFonts w:ascii="Times New Roman" w:hAnsi="Times New Roman"/>
          <w:highlight w:val="none"/>
        </w:rPr>
        <w:t>1、按照满负荷100%烟气处理设计脱硝装置，SNCR入口NOx浓度为180mg/Nm</w:t>
      </w:r>
      <w:r>
        <w:rPr>
          <w:rFonts w:ascii="Times New Roman" w:hAnsi="Times New Roman"/>
          <w:highlight w:val="none"/>
          <w:vertAlign w:val="superscript"/>
        </w:rPr>
        <w:t>3</w:t>
      </w:r>
      <w:r>
        <w:rPr>
          <w:rFonts w:ascii="Times New Roman" w:hAnsi="Times New Roman"/>
          <w:highlight w:val="none"/>
        </w:rPr>
        <w:t>，出口NOx浓度不大于100mg/Nm</w:t>
      </w:r>
      <w:r>
        <w:rPr>
          <w:rFonts w:ascii="Times New Roman" w:hAnsi="Times New Roman"/>
          <w:highlight w:val="none"/>
          <w:vertAlign w:val="superscript"/>
        </w:rPr>
        <w:t>3</w:t>
      </w:r>
      <w:r>
        <w:rPr>
          <w:rFonts w:ascii="Times New Roman" w:hAnsi="Times New Roman"/>
          <w:highlight w:val="none"/>
        </w:rPr>
        <w:t>；SCR入口NOx浓度为100mg/Nm</w:t>
      </w:r>
      <w:r>
        <w:rPr>
          <w:rFonts w:ascii="Times New Roman" w:hAnsi="Times New Roman"/>
          <w:highlight w:val="none"/>
          <w:vertAlign w:val="superscript"/>
        </w:rPr>
        <w:t>3</w:t>
      </w:r>
      <w:r>
        <w:rPr>
          <w:rFonts w:ascii="Times New Roman" w:hAnsi="Times New Roman"/>
          <w:highlight w:val="none"/>
        </w:rPr>
        <w:t>，出口NOx浓度不大于50mg/Nm</w:t>
      </w:r>
      <w:r>
        <w:rPr>
          <w:rFonts w:ascii="Times New Roman" w:hAnsi="Times New Roman"/>
          <w:highlight w:val="none"/>
          <w:vertAlign w:val="superscript"/>
        </w:rPr>
        <w:t>3</w:t>
      </w:r>
      <w:r>
        <w:rPr>
          <w:rFonts w:ascii="Times New Roman" w:hAnsi="Times New Roman"/>
          <w:highlight w:val="none"/>
        </w:rPr>
        <w:t>。SCR装置能在入口烟气温度300～420</w:t>
      </w:r>
      <w:r>
        <w:rPr>
          <w:rFonts w:hint="eastAsia" w:ascii="宋体" w:hAnsi="宋体" w:cs="宋体"/>
          <w:highlight w:val="none"/>
        </w:rPr>
        <w:t>℃</w:t>
      </w:r>
      <w:r>
        <w:rPr>
          <w:rFonts w:ascii="Times New Roman" w:hAnsi="Times New Roman"/>
          <w:highlight w:val="none"/>
        </w:rPr>
        <w:t>条件下持续、安全地运行，并确保净烟气中的NOx含量符合设计要求。</w:t>
      </w:r>
    </w:p>
    <w:p w14:paraId="2DC031C4">
      <w:pPr>
        <w:ind w:firstLine="480"/>
        <w:rPr>
          <w:rFonts w:hint="eastAsia" w:ascii="Times New Roman" w:hAnsi="Times New Roman"/>
          <w:highlight w:val="none"/>
        </w:rPr>
      </w:pPr>
      <w:r>
        <w:rPr>
          <w:rFonts w:hint="eastAsia" w:ascii="Times New Roman" w:hAnsi="Times New Roman"/>
          <w:highlight w:val="none"/>
        </w:rPr>
        <w:t>2、脱硝系统不设反应器旁路和省煤器旁路。</w:t>
      </w:r>
    </w:p>
    <w:p w14:paraId="74C4EBEC">
      <w:pPr>
        <w:ind w:firstLine="480"/>
        <w:rPr>
          <w:rFonts w:hint="eastAsia" w:ascii="Times New Roman" w:hAnsi="Times New Roman"/>
          <w:highlight w:val="none"/>
        </w:rPr>
      </w:pPr>
      <w:r>
        <w:rPr>
          <w:rFonts w:hint="eastAsia" w:ascii="Times New Roman" w:hAnsi="Times New Roman"/>
          <w:highlight w:val="none"/>
        </w:rPr>
        <w:t>3、催化剂采用板式催化剂，按“2+1”模式布置。</w:t>
      </w:r>
    </w:p>
    <w:p w14:paraId="6CF7ED37">
      <w:pPr>
        <w:ind w:firstLine="480"/>
        <w:rPr>
          <w:rFonts w:hint="eastAsia" w:ascii="Times New Roman" w:hAnsi="Times New Roman"/>
          <w:highlight w:val="none"/>
        </w:rPr>
      </w:pPr>
      <w:r>
        <w:rPr>
          <w:rFonts w:hint="eastAsia" w:ascii="Times New Roman" w:hAnsi="Times New Roman"/>
          <w:highlight w:val="none"/>
        </w:rPr>
        <w:t>4、采用尿素作为还原剂，采用尿素水解工艺。</w:t>
      </w:r>
    </w:p>
    <w:p w14:paraId="4A849760">
      <w:pPr>
        <w:ind w:firstLine="480"/>
        <w:rPr>
          <w:rFonts w:hint="eastAsia" w:ascii="Times New Roman" w:hAnsi="Times New Roman"/>
          <w:highlight w:val="none"/>
        </w:rPr>
      </w:pPr>
      <w:r>
        <w:rPr>
          <w:rFonts w:hint="eastAsia" w:ascii="Times New Roman" w:hAnsi="Times New Roman"/>
          <w:highlight w:val="none"/>
        </w:rPr>
        <w:t>5、脱硝系统能适应锅炉的启动、停机及负荷变动，脱硝装置的调试、启/停和运行应不影响主机的正常工作。</w:t>
      </w:r>
    </w:p>
    <w:p w14:paraId="08A05C8D">
      <w:pPr>
        <w:ind w:firstLine="480"/>
        <w:rPr>
          <w:rFonts w:hint="eastAsia" w:ascii="Times New Roman" w:hAnsi="Times New Roman"/>
          <w:highlight w:val="none"/>
        </w:rPr>
      </w:pPr>
      <w:r>
        <w:rPr>
          <w:rFonts w:hint="eastAsia" w:ascii="Times New Roman" w:hAnsi="Times New Roman"/>
          <w:highlight w:val="none"/>
        </w:rPr>
        <w:t>6、脱硝系统范围内的设备必须在无振动条件下运行，噪声控制满足标准规范要求，设备运转噪声小于85分贝。</w:t>
      </w:r>
    </w:p>
    <w:p w14:paraId="284EFB54">
      <w:pPr>
        <w:ind w:firstLine="480"/>
        <w:rPr>
          <w:rFonts w:hint="eastAsia" w:ascii="Times New Roman" w:hAnsi="Times New Roman"/>
          <w:highlight w:val="none"/>
        </w:rPr>
      </w:pPr>
      <w:r>
        <w:rPr>
          <w:rFonts w:hint="eastAsia" w:ascii="Times New Roman" w:hAnsi="Times New Roman"/>
          <w:highlight w:val="none"/>
        </w:rPr>
        <w:t>7、脱硝装置的设计进行CFD数值模拟，以此来优化烟气参数的分布、最大化降低烟气阻力和避免积灰。</w:t>
      </w:r>
    </w:p>
    <w:p w14:paraId="6286D144">
      <w:pPr>
        <w:ind w:firstLine="480"/>
        <w:rPr>
          <w:rFonts w:hint="eastAsia" w:ascii="Times New Roman" w:hAnsi="Times New Roman"/>
          <w:highlight w:val="none"/>
        </w:rPr>
      </w:pPr>
      <w:r>
        <w:rPr>
          <w:rFonts w:hint="eastAsia" w:ascii="Times New Roman" w:hAnsi="Times New Roman"/>
          <w:highlight w:val="none"/>
        </w:rPr>
        <w:t>8、脱硝装置设计寿命为30年，可用率不小于99%。</w:t>
      </w:r>
    </w:p>
    <w:p w14:paraId="7453C146">
      <w:pPr>
        <w:ind w:firstLine="480"/>
        <w:rPr>
          <w:rFonts w:hint="eastAsia" w:ascii="Times New Roman" w:hAnsi="Times New Roman"/>
          <w:highlight w:val="none"/>
        </w:rPr>
      </w:pPr>
      <w:r>
        <w:rPr>
          <w:rFonts w:hint="eastAsia" w:ascii="Times New Roman" w:hAnsi="Times New Roman"/>
          <w:highlight w:val="none"/>
        </w:rPr>
        <w:t>9、所有管道及设备必须考虑防腐、保温、防冻伴热。</w:t>
      </w:r>
    </w:p>
    <w:p w14:paraId="1E59423C">
      <w:pPr>
        <w:ind w:firstLine="480"/>
        <w:rPr>
          <w:rFonts w:ascii="Times New Roman" w:hAnsi="Times New Roman"/>
          <w:highlight w:val="none"/>
        </w:rPr>
      </w:pPr>
      <w:r>
        <w:rPr>
          <w:rFonts w:ascii="Times New Roman" w:hAnsi="Times New Roman"/>
          <w:highlight w:val="none"/>
        </w:rPr>
        <w:t>脱硝系统采取控制尿素溶液喷淋量、控制温度及停留时间等措施控制氨逃逸，项目整体氨逃逸控制浓度为2.5mg/m</w:t>
      </w:r>
      <w:r>
        <w:rPr>
          <w:rFonts w:ascii="Times New Roman" w:hAnsi="Times New Roman"/>
          <w:highlight w:val="none"/>
          <w:vertAlign w:val="superscript"/>
        </w:rPr>
        <w:t>3</w:t>
      </w:r>
      <w:r>
        <w:rPr>
          <w:rFonts w:ascii="Times New Roman" w:hAnsi="Times New Roman"/>
          <w:highlight w:val="none"/>
        </w:rPr>
        <w:t>，</w:t>
      </w:r>
      <w:r>
        <w:rPr>
          <w:rFonts w:hint="eastAsia" w:ascii="Times New Roman" w:hAnsi="Times New Roman"/>
          <w:highlight w:val="none"/>
        </w:rPr>
        <w:t>有组织排放能够满足</w:t>
      </w:r>
      <w:r>
        <w:rPr>
          <w:rFonts w:ascii="Times New Roman" w:hAnsi="Times New Roman"/>
          <w:highlight w:val="none"/>
        </w:rPr>
        <w:t>《火电厂烟气脱硝工程技术规范选择性催化还原法》（HJ562-2010）要求脱硝系统氨逃逸质量浓度宜小于2.5mg/m</w:t>
      </w:r>
      <w:r>
        <w:rPr>
          <w:rFonts w:ascii="Times New Roman" w:hAnsi="Times New Roman"/>
          <w:highlight w:val="none"/>
          <w:vertAlign w:val="superscript"/>
        </w:rPr>
        <w:t>3</w:t>
      </w:r>
      <w:r>
        <w:rPr>
          <w:rFonts w:ascii="Times New Roman" w:hAnsi="Times New Roman"/>
          <w:highlight w:val="none"/>
        </w:rPr>
        <w:t>的要求</w:t>
      </w:r>
      <w:r>
        <w:rPr>
          <w:rFonts w:hint="eastAsia" w:ascii="Times New Roman" w:hAnsi="Times New Roman"/>
          <w:highlight w:val="none"/>
        </w:rPr>
        <w:t>；</w:t>
      </w:r>
      <w:r>
        <w:rPr>
          <w:rFonts w:ascii="Times New Roman" w:hAnsi="Times New Roman"/>
          <w:highlight w:val="none"/>
        </w:rPr>
        <w:t>厂界处氨排放符合《恶臭污染物排放标准》(GB14554-93)表1中二级新扩改建厂界标准限值。</w:t>
      </w:r>
    </w:p>
    <w:p w14:paraId="78E669BA">
      <w:pPr>
        <w:ind w:firstLine="480"/>
        <w:rPr>
          <w:rFonts w:ascii="Times New Roman" w:hAnsi="Times New Roman"/>
          <w:highlight w:val="none"/>
        </w:rPr>
      </w:pPr>
      <w:r>
        <w:rPr>
          <w:rFonts w:ascii="Times New Roman" w:hAnsi="Times New Roman"/>
          <w:highlight w:val="none"/>
        </w:rPr>
        <w:t>三、汞及其化合物污染防治措施</w:t>
      </w:r>
    </w:p>
    <w:p w14:paraId="0B06BF48">
      <w:pPr>
        <w:ind w:firstLine="480"/>
        <w:rPr>
          <w:rFonts w:ascii="Times New Roman" w:hAnsi="Times New Roman"/>
          <w:highlight w:val="none"/>
        </w:rPr>
      </w:pPr>
      <w:r>
        <w:rPr>
          <w:rFonts w:ascii="Times New Roman" w:hAnsi="Times New Roman"/>
          <w:highlight w:val="none"/>
        </w:rPr>
        <w:t>本项目锅炉烟气汞及其化合物采用协同去除，去除效率可达70%。</w:t>
      </w:r>
    </w:p>
    <w:p w14:paraId="28BC1E1B">
      <w:pPr>
        <w:ind w:firstLine="480"/>
        <w:rPr>
          <w:rFonts w:ascii="Times New Roman" w:hAnsi="Times New Roman"/>
          <w:highlight w:val="none"/>
        </w:rPr>
      </w:pPr>
      <w:r>
        <w:rPr>
          <w:rFonts w:ascii="Times New Roman" w:hAnsi="Times New Roman"/>
          <w:highlight w:val="none"/>
        </w:rPr>
        <w:t>燃煤烟气中Hg主要有三种形态：气态单质Hg（为主要形式，占85%以上）、气态二价Hg、固态颗粒Hg。固态颗粒Hg极易被除尘器去除；气态二价Hg极易溶于水，可在脱硫过程协同去除。因此，本项目采取的烟气除尘、脱硫和脱氮系统对汞及其化合物产生协同脱除效率可达70%以上，排放浓度为0.002mg/m</w:t>
      </w:r>
      <w:r>
        <w:rPr>
          <w:rFonts w:ascii="Times New Roman" w:hAnsi="Times New Roman"/>
          <w:highlight w:val="none"/>
          <w:vertAlign w:val="superscript"/>
        </w:rPr>
        <w:t>3</w:t>
      </w:r>
      <w:r>
        <w:rPr>
          <w:rFonts w:ascii="Times New Roman" w:hAnsi="Times New Roman"/>
          <w:highlight w:val="none"/>
        </w:rPr>
        <w:t>，满足</w:t>
      </w:r>
      <w:r>
        <w:rPr>
          <w:rFonts w:hint="eastAsia" w:ascii="Times New Roman" w:hAnsi="Times New Roman"/>
          <w:color w:val="auto"/>
          <w:highlight w:val="none"/>
        </w:rPr>
        <w:t>《火电厂大气污染物排放标准》(GB13223-2011)表1中燃煤锅炉大气污染物排放标准限值</w:t>
      </w:r>
      <w:r>
        <w:rPr>
          <w:rFonts w:hint="eastAsia" w:ascii="Times New Roman" w:hAnsi="Times New Roman"/>
          <w:color w:val="auto"/>
          <w:highlight w:val="none"/>
          <w:lang w:val="en-US" w:eastAsia="zh-CN"/>
        </w:rPr>
        <w:t>要求</w:t>
      </w:r>
      <w:r>
        <w:rPr>
          <w:rFonts w:ascii="Times New Roman" w:hAnsi="Times New Roman"/>
          <w:highlight w:val="none"/>
        </w:rPr>
        <w:t>。</w:t>
      </w:r>
    </w:p>
    <w:p w14:paraId="334141D4">
      <w:pPr>
        <w:ind w:firstLine="480"/>
        <w:rPr>
          <w:rFonts w:ascii="Times New Roman" w:hAnsi="Times New Roman"/>
          <w:highlight w:val="none"/>
        </w:rPr>
      </w:pPr>
      <w:r>
        <w:rPr>
          <w:rFonts w:ascii="Times New Roman" w:hAnsi="Times New Roman"/>
          <w:highlight w:val="none"/>
        </w:rPr>
        <w:t>四、除尘措施</w:t>
      </w:r>
    </w:p>
    <w:p w14:paraId="1DA80487">
      <w:pPr>
        <w:ind w:firstLine="480"/>
        <w:rPr>
          <w:rFonts w:ascii="Times New Roman" w:hAnsi="Times New Roman"/>
          <w:highlight w:val="none"/>
        </w:rPr>
      </w:pPr>
      <w:r>
        <w:rPr>
          <w:rFonts w:ascii="Times New Roman" w:hAnsi="Times New Roman"/>
          <w:highlight w:val="none"/>
        </w:rPr>
        <w:t>目前锅炉房通常选用的除尘器为旋风多管除尘器、静电除尘器和布袋除尘器，三种除尘器的技术、经济比较见表6.2-4。</w:t>
      </w:r>
    </w:p>
    <w:p w14:paraId="68738640">
      <w:pPr>
        <w:ind w:firstLine="0" w:firstLineChars="0"/>
        <w:jc w:val="center"/>
        <w:rPr>
          <w:rFonts w:ascii="Times New Roman" w:hAnsi="Times New Roman"/>
          <w:highlight w:val="none"/>
        </w:rPr>
      </w:pPr>
      <w:r>
        <w:rPr>
          <w:rFonts w:ascii="Times New Roman" w:hAnsi="Times New Roman"/>
          <w:b/>
          <w:bCs/>
          <w:highlight w:val="none"/>
        </w:rPr>
        <w:t>表6.2-4各种除尘器的技术经济比较</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6"/>
        <w:gridCol w:w="2584"/>
        <w:gridCol w:w="4842"/>
      </w:tblGrid>
      <w:tr w14:paraId="53D504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tblHeader/>
          <w:jc w:val="center"/>
        </w:trPr>
        <w:tc>
          <w:tcPr>
            <w:tcW w:w="643" w:type="pct"/>
            <w:noWrap w:val="0"/>
            <w:vAlign w:val="center"/>
          </w:tcPr>
          <w:p w14:paraId="3F1B1770">
            <w:pPr>
              <w:pStyle w:val="27"/>
              <w:textAlignment w:val="center"/>
              <w:rPr>
                <w:rFonts w:ascii="Times New Roman" w:hAnsi="Times New Roman" w:eastAsia="宋体"/>
                <w:kern w:val="0"/>
                <w:highlight w:val="none"/>
              </w:rPr>
            </w:pPr>
            <w:r>
              <w:rPr>
                <w:rFonts w:ascii="Times New Roman" w:hAnsi="Times New Roman" w:eastAsia="宋体"/>
                <w:kern w:val="0"/>
                <w:highlight w:val="none"/>
              </w:rPr>
              <w:t>除尘器</w:t>
            </w:r>
          </w:p>
        </w:tc>
        <w:tc>
          <w:tcPr>
            <w:tcW w:w="1516" w:type="pct"/>
            <w:noWrap w:val="0"/>
            <w:vAlign w:val="center"/>
          </w:tcPr>
          <w:p w14:paraId="2D00123F">
            <w:pPr>
              <w:pStyle w:val="27"/>
              <w:textAlignment w:val="center"/>
              <w:rPr>
                <w:rFonts w:ascii="Times New Roman" w:hAnsi="Times New Roman" w:eastAsia="宋体"/>
                <w:kern w:val="0"/>
                <w:highlight w:val="none"/>
              </w:rPr>
            </w:pPr>
            <w:r>
              <w:rPr>
                <w:rFonts w:ascii="Times New Roman" w:hAnsi="Times New Roman" w:eastAsia="宋体"/>
                <w:kern w:val="0"/>
                <w:highlight w:val="none"/>
              </w:rPr>
              <w:t>项目名称</w:t>
            </w:r>
          </w:p>
        </w:tc>
        <w:tc>
          <w:tcPr>
            <w:tcW w:w="2841" w:type="pct"/>
            <w:noWrap w:val="0"/>
            <w:vAlign w:val="center"/>
          </w:tcPr>
          <w:p w14:paraId="0E0A1AD5">
            <w:pPr>
              <w:pStyle w:val="27"/>
              <w:textAlignment w:val="center"/>
              <w:rPr>
                <w:rFonts w:ascii="Times New Roman" w:hAnsi="Times New Roman" w:eastAsia="宋体"/>
                <w:kern w:val="0"/>
                <w:highlight w:val="none"/>
              </w:rPr>
            </w:pPr>
            <w:r>
              <w:rPr>
                <w:rFonts w:ascii="Times New Roman" w:hAnsi="Times New Roman" w:eastAsia="宋体"/>
                <w:kern w:val="0"/>
                <w:highlight w:val="none"/>
              </w:rPr>
              <w:t>特点</w:t>
            </w:r>
          </w:p>
        </w:tc>
      </w:tr>
      <w:tr w14:paraId="587736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43" w:type="pct"/>
            <w:vMerge w:val="restart"/>
            <w:noWrap w:val="0"/>
            <w:vAlign w:val="center"/>
          </w:tcPr>
          <w:p w14:paraId="7619B3C5">
            <w:pPr>
              <w:pStyle w:val="27"/>
              <w:textAlignment w:val="center"/>
              <w:rPr>
                <w:rFonts w:ascii="Times New Roman" w:hAnsi="Times New Roman" w:eastAsia="宋体"/>
                <w:kern w:val="0"/>
                <w:highlight w:val="none"/>
              </w:rPr>
            </w:pPr>
            <w:r>
              <w:rPr>
                <w:rFonts w:ascii="Times New Roman" w:hAnsi="Times New Roman" w:eastAsia="宋体"/>
                <w:kern w:val="0"/>
                <w:highlight w:val="none"/>
              </w:rPr>
              <w:t>旋风多管除尘器</w:t>
            </w:r>
          </w:p>
        </w:tc>
        <w:tc>
          <w:tcPr>
            <w:tcW w:w="1516" w:type="pct"/>
            <w:noWrap w:val="0"/>
            <w:vAlign w:val="center"/>
          </w:tcPr>
          <w:p w14:paraId="33757BB1">
            <w:pPr>
              <w:pStyle w:val="27"/>
              <w:textAlignment w:val="center"/>
              <w:rPr>
                <w:rFonts w:ascii="Times New Roman" w:hAnsi="Times New Roman" w:eastAsia="宋体"/>
                <w:kern w:val="0"/>
                <w:highlight w:val="none"/>
              </w:rPr>
            </w:pPr>
            <w:r>
              <w:rPr>
                <w:rFonts w:ascii="Times New Roman" w:hAnsi="Times New Roman" w:eastAsia="宋体"/>
                <w:kern w:val="0"/>
                <w:highlight w:val="none"/>
              </w:rPr>
              <w:t>效率</w:t>
            </w:r>
          </w:p>
        </w:tc>
        <w:tc>
          <w:tcPr>
            <w:tcW w:w="2841" w:type="pct"/>
            <w:noWrap w:val="0"/>
            <w:vAlign w:val="center"/>
          </w:tcPr>
          <w:p w14:paraId="1B767ADC">
            <w:pPr>
              <w:pStyle w:val="27"/>
              <w:jc w:val="left"/>
              <w:textAlignment w:val="center"/>
              <w:rPr>
                <w:rFonts w:ascii="Times New Roman" w:hAnsi="Times New Roman" w:eastAsia="宋体"/>
                <w:kern w:val="0"/>
                <w:highlight w:val="none"/>
              </w:rPr>
            </w:pPr>
            <w:r>
              <w:rPr>
                <w:rFonts w:ascii="Times New Roman" w:hAnsi="Times New Roman" w:eastAsia="宋体"/>
                <w:kern w:val="0"/>
                <w:highlight w:val="none"/>
              </w:rPr>
              <w:t>除尘效率≥90%</w:t>
            </w:r>
          </w:p>
        </w:tc>
      </w:tr>
      <w:tr w14:paraId="353121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43" w:type="pct"/>
            <w:vMerge w:val="continue"/>
            <w:noWrap w:val="0"/>
            <w:vAlign w:val="center"/>
          </w:tcPr>
          <w:p w14:paraId="53631DF9">
            <w:pPr>
              <w:widowControl/>
              <w:spacing w:line="240" w:lineRule="auto"/>
              <w:ind w:firstLine="0" w:firstLineChars="0"/>
              <w:jc w:val="left"/>
              <w:rPr>
                <w:rFonts w:ascii="Times New Roman" w:hAnsi="Times New Roman"/>
                <w:kern w:val="0"/>
                <w:sz w:val="21"/>
                <w:highlight w:val="none"/>
              </w:rPr>
            </w:pPr>
          </w:p>
        </w:tc>
        <w:tc>
          <w:tcPr>
            <w:tcW w:w="1516" w:type="pct"/>
            <w:noWrap w:val="0"/>
            <w:vAlign w:val="center"/>
          </w:tcPr>
          <w:p w14:paraId="0AAF384C">
            <w:pPr>
              <w:pStyle w:val="27"/>
              <w:textAlignment w:val="center"/>
              <w:rPr>
                <w:rFonts w:ascii="Times New Roman" w:hAnsi="Times New Roman" w:eastAsia="宋体"/>
                <w:kern w:val="0"/>
                <w:highlight w:val="none"/>
              </w:rPr>
            </w:pPr>
            <w:r>
              <w:rPr>
                <w:rFonts w:ascii="Times New Roman" w:hAnsi="Times New Roman" w:eastAsia="宋体"/>
                <w:kern w:val="0"/>
                <w:highlight w:val="none"/>
              </w:rPr>
              <w:t>排放浓度</w:t>
            </w:r>
          </w:p>
        </w:tc>
        <w:tc>
          <w:tcPr>
            <w:tcW w:w="2841" w:type="pct"/>
            <w:noWrap w:val="0"/>
            <w:vAlign w:val="center"/>
          </w:tcPr>
          <w:p w14:paraId="37D131E8">
            <w:pPr>
              <w:pStyle w:val="27"/>
              <w:jc w:val="left"/>
              <w:textAlignment w:val="center"/>
              <w:rPr>
                <w:rFonts w:ascii="Times New Roman" w:hAnsi="Times New Roman" w:eastAsia="宋体"/>
                <w:kern w:val="0"/>
                <w:highlight w:val="none"/>
              </w:rPr>
            </w:pPr>
            <w:r>
              <w:rPr>
                <w:rFonts w:ascii="Times New Roman" w:hAnsi="Times New Roman" w:eastAsia="宋体"/>
                <w:kern w:val="0"/>
                <w:highlight w:val="none"/>
              </w:rPr>
              <w:t>＜200mg/m</w:t>
            </w:r>
            <w:r>
              <w:rPr>
                <w:rFonts w:ascii="Times New Roman" w:hAnsi="Times New Roman" w:eastAsia="宋体"/>
                <w:kern w:val="0"/>
                <w:highlight w:val="none"/>
                <w:vertAlign w:val="superscript"/>
              </w:rPr>
              <w:t>3</w:t>
            </w:r>
          </w:p>
        </w:tc>
      </w:tr>
      <w:tr w14:paraId="32BC89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43" w:type="pct"/>
            <w:vMerge w:val="continue"/>
            <w:noWrap w:val="0"/>
            <w:vAlign w:val="center"/>
          </w:tcPr>
          <w:p w14:paraId="799C2E7C">
            <w:pPr>
              <w:widowControl/>
              <w:spacing w:line="240" w:lineRule="auto"/>
              <w:ind w:firstLine="0" w:firstLineChars="0"/>
              <w:jc w:val="left"/>
              <w:rPr>
                <w:rFonts w:ascii="Times New Roman" w:hAnsi="Times New Roman"/>
                <w:kern w:val="0"/>
                <w:sz w:val="21"/>
                <w:highlight w:val="none"/>
              </w:rPr>
            </w:pPr>
          </w:p>
        </w:tc>
        <w:tc>
          <w:tcPr>
            <w:tcW w:w="1516" w:type="pct"/>
            <w:noWrap w:val="0"/>
            <w:vAlign w:val="center"/>
          </w:tcPr>
          <w:p w14:paraId="55300482">
            <w:pPr>
              <w:pStyle w:val="27"/>
              <w:textAlignment w:val="center"/>
              <w:rPr>
                <w:rFonts w:ascii="Times New Roman" w:hAnsi="Times New Roman" w:eastAsia="宋体"/>
                <w:kern w:val="0"/>
                <w:highlight w:val="none"/>
              </w:rPr>
            </w:pPr>
            <w:r>
              <w:rPr>
                <w:rFonts w:ascii="Times New Roman" w:hAnsi="Times New Roman" w:eastAsia="宋体"/>
                <w:kern w:val="0"/>
                <w:highlight w:val="none"/>
              </w:rPr>
              <w:t>运行特点</w:t>
            </w:r>
          </w:p>
        </w:tc>
        <w:tc>
          <w:tcPr>
            <w:tcW w:w="2841" w:type="pct"/>
            <w:noWrap w:val="0"/>
            <w:vAlign w:val="center"/>
          </w:tcPr>
          <w:p w14:paraId="110372FD">
            <w:pPr>
              <w:pStyle w:val="27"/>
              <w:jc w:val="left"/>
              <w:textAlignment w:val="center"/>
              <w:rPr>
                <w:rFonts w:ascii="Times New Roman" w:hAnsi="Times New Roman" w:eastAsia="宋体"/>
                <w:kern w:val="0"/>
                <w:highlight w:val="none"/>
              </w:rPr>
            </w:pPr>
            <w:r>
              <w:rPr>
                <w:rFonts w:hint="eastAsia" w:ascii="宋体" w:hAnsi="宋体" w:eastAsia="宋体" w:cs="宋体"/>
                <w:kern w:val="0"/>
                <w:highlight w:val="none"/>
              </w:rPr>
              <w:t>①</w:t>
            </w:r>
            <w:r>
              <w:rPr>
                <w:rFonts w:ascii="Times New Roman" w:hAnsi="Times New Roman" w:eastAsia="宋体"/>
                <w:kern w:val="0"/>
                <w:highlight w:val="none"/>
              </w:rPr>
              <w:t>对煤质、烟气成分变化的适应性相对较强</w:t>
            </w:r>
          </w:p>
          <w:p w14:paraId="42BD6D32">
            <w:pPr>
              <w:pStyle w:val="27"/>
              <w:jc w:val="left"/>
              <w:textAlignment w:val="center"/>
              <w:rPr>
                <w:rFonts w:ascii="Times New Roman" w:hAnsi="Times New Roman" w:eastAsia="宋体"/>
                <w:kern w:val="0"/>
                <w:highlight w:val="none"/>
              </w:rPr>
            </w:pPr>
            <w:r>
              <w:rPr>
                <w:rFonts w:hint="eastAsia" w:ascii="宋体" w:hAnsi="宋体" w:eastAsia="宋体" w:cs="宋体"/>
                <w:kern w:val="0"/>
                <w:highlight w:val="none"/>
              </w:rPr>
              <w:t>②</w:t>
            </w:r>
            <w:r>
              <w:rPr>
                <w:rFonts w:ascii="Times New Roman" w:hAnsi="Times New Roman" w:eastAsia="宋体"/>
                <w:kern w:val="0"/>
                <w:highlight w:val="none"/>
              </w:rPr>
              <w:t>对烟气温度的适应性较强</w:t>
            </w:r>
          </w:p>
        </w:tc>
      </w:tr>
      <w:tr w14:paraId="6C2A97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643" w:type="pct"/>
            <w:vMerge w:val="continue"/>
            <w:noWrap w:val="0"/>
            <w:vAlign w:val="center"/>
          </w:tcPr>
          <w:p w14:paraId="4263E5E2">
            <w:pPr>
              <w:widowControl/>
              <w:spacing w:line="240" w:lineRule="auto"/>
              <w:ind w:firstLine="0" w:firstLineChars="0"/>
              <w:jc w:val="left"/>
              <w:rPr>
                <w:rFonts w:ascii="Times New Roman" w:hAnsi="Times New Roman"/>
                <w:kern w:val="0"/>
                <w:sz w:val="21"/>
                <w:highlight w:val="none"/>
              </w:rPr>
            </w:pPr>
          </w:p>
        </w:tc>
        <w:tc>
          <w:tcPr>
            <w:tcW w:w="1516" w:type="pct"/>
            <w:noWrap w:val="0"/>
            <w:vAlign w:val="center"/>
          </w:tcPr>
          <w:p w14:paraId="0AF455F2">
            <w:pPr>
              <w:pStyle w:val="27"/>
              <w:textAlignment w:val="center"/>
              <w:rPr>
                <w:rFonts w:ascii="Times New Roman" w:hAnsi="Times New Roman" w:eastAsia="宋体"/>
                <w:kern w:val="0"/>
                <w:highlight w:val="none"/>
              </w:rPr>
            </w:pPr>
            <w:r>
              <w:rPr>
                <w:rFonts w:ascii="Times New Roman" w:hAnsi="Times New Roman" w:eastAsia="宋体"/>
                <w:kern w:val="0"/>
                <w:highlight w:val="none"/>
              </w:rPr>
              <w:t>检修与维护</w:t>
            </w:r>
          </w:p>
        </w:tc>
        <w:tc>
          <w:tcPr>
            <w:tcW w:w="2841" w:type="pct"/>
            <w:noWrap w:val="0"/>
            <w:vAlign w:val="center"/>
          </w:tcPr>
          <w:p w14:paraId="7483E9C5">
            <w:pPr>
              <w:pStyle w:val="27"/>
              <w:jc w:val="left"/>
              <w:textAlignment w:val="center"/>
              <w:rPr>
                <w:rFonts w:ascii="Times New Roman" w:hAnsi="Times New Roman" w:eastAsia="宋体"/>
                <w:kern w:val="0"/>
                <w:highlight w:val="none"/>
              </w:rPr>
            </w:pPr>
            <w:r>
              <w:rPr>
                <w:rFonts w:hint="eastAsia" w:ascii="宋体" w:hAnsi="宋体" w:eastAsia="宋体" w:cs="宋体"/>
                <w:kern w:val="0"/>
                <w:highlight w:val="none"/>
              </w:rPr>
              <w:t>①</w:t>
            </w:r>
            <w:r>
              <w:rPr>
                <w:rFonts w:ascii="Times New Roman" w:hAnsi="Times New Roman" w:eastAsia="宋体"/>
                <w:kern w:val="0"/>
                <w:highlight w:val="none"/>
              </w:rPr>
              <w:t>检修与维护工作量大</w:t>
            </w:r>
          </w:p>
          <w:p w14:paraId="50B2E750">
            <w:pPr>
              <w:pStyle w:val="27"/>
              <w:jc w:val="left"/>
              <w:textAlignment w:val="center"/>
              <w:rPr>
                <w:rFonts w:ascii="Times New Roman" w:hAnsi="Times New Roman" w:eastAsia="宋体"/>
                <w:kern w:val="0"/>
                <w:highlight w:val="none"/>
              </w:rPr>
            </w:pPr>
            <w:r>
              <w:rPr>
                <w:rFonts w:hint="eastAsia" w:ascii="宋体" w:hAnsi="宋体" w:eastAsia="宋体" w:cs="宋体"/>
                <w:kern w:val="0"/>
                <w:highlight w:val="none"/>
              </w:rPr>
              <w:t>②</w:t>
            </w:r>
            <w:r>
              <w:rPr>
                <w:rFonts w:ascii="Times New Roman" w:hAnsi="Times New Roman" w:eastAsia="宋体"/>
                <w:kern w:val="0"/>
                <w:highlight w:val="none"/>
              </w:rPr>
              <w:t>内部部件的故障需要停机检修</w:t>
            </w:r>
          </w:p>
        </w:tc>
      </w:tr>
      <w:tr w14:paraId="55ECCB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43" w:type="pct"/>
            <w:vMerge w:val="continue"/>
            <w:noWrap w:val="0"/>
            <w:vAlign w:val="center"/>
          </w:tcPr>
          <w:p w14:paraId="736E791E">
            <w:pPr>
              <w:widowControl/>
              <w:spacing w:line="240" w:lineRule="auto"/>
              <w:ind w:firstLine="0" w:firstLineChars="0"/>
              <w:jc w:val="left"/>
              <w:rPr>
                <w:rFonts w:ascii="Times New Roman" w:hAnsi="Times New Roman"/>
                <w:kern w:val="0"/>
                <w:sz w:val="21"/>
                <w:highlight w:val="none"/>
              </w:rPr>
            </w:pPr>
          </w:p>
        </w:tc>
        <w:tc>
          <w:tcPr>
            <w:tcW w:w="1516" w:type="pct"/>
            <w:noWrap w:val="0"/>
            <w:vAlign w:val="center"/>
          </w:tcPr>
          <w:p w14:paraId="3D2189E5">
            <w:pPr>
              <w:pStyle w:val="27"/>
              <w:textAlignment w:val="center"/>
              <w:rPr>
                <w:rFonts w:ascii="Times New Roman" w:hAnsi="Times New Roman" w:eastAsia="宋体"/>
                <w:kern w:val="0"/>
                <w:highlight w:val="none"/>
              </w:rPr>
            </w:pPr>
            <w:r>
              <w:rPr>
                <w:rFonts w:ascii="Times New Roman" w:hAnsi="Times New Roman" w:eastAsia="宋体"/>
                <w:kern w:val="0"/>
                <w:highlight w:val="none"/>
              </w:rPr>
              <w:t>占地面积</w:t>
            </w:r>
          </w:p>
        </w:tc>
        <w:tc>
          <w:tcPr>
            <w:tcW w:w="2841" w:type="pct"/>
            <w:noWrap w:val="0"/>
            <w:vAlign w:val="center"/>
          </w:tcPr>
          <w:p w14:paraId="61E75610">
            <w:pPr>
              <w:pStyle w:val="27"/>
              <w:jc w:val="left"/>
              <w:textAlignment w:val="center"/>
              <w:rPr>
                <w:rFonts w:ascii="Times New Roman" w:hAnsi="Times New Roman" w:eastAsia="宋体"/>
                <w:kern w:val="0"/>
                <w:highlight w:val="none"/>
              </w:rPr>
            </w:pPr>
            <w:r>
              <w:rPr>
                <w:rFonts w:ascii="Times New Roman" w:hAnsi="Times New Roman" w:eastAsia="宋体"/>
                <w:kern w:val="0"/>
                <w:highlight w:val="none"/>
              </w:rPr>
              <w:t>较大</w:t>
            </w:r>
          </w:p>
        </w:tc>
      </w:tr>
      <w:tr w14:paraId="60BFA5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43" w:type="pct"/>
            <w:vMerge w:val="continue"/>
            <w:noWrap w:val="0"/>
            <w:vAlign w:val="center"/>
          </w:tcPr>
          <w:p w14:paraId="3B5D26DF">
            <w:pPr>
              <w:widowControl/>
              <w:spacing w:line="240" w:lineRule="auto"/>
              <w:ind w:firstLine="0" w:firstLineChars="0"/>
              <w:jc w:val="left"/>
              <w:rPr>
                <w:rFonts w:ascii="Times New Roman" w:hAnsi="Times New Roman"/>
                <w:kern w:val="0"/>
                <w:sz w:val="21"/>
                <w:highlight w:val="none"/>
              </w:rPr>
            </w:pPr>
          </w:p>
        </w:tc>
        <w:tc>
          <w:tcPr>
            <w:tcW w:w="1516" w:type="pct"/>
            <w:noWrap w:val="0"/>
            <w:vAlign w:val="center"/>
          </w:tcPr>
          <w:p w14:paraId="44BD37E2">
            <w:pPr>
              <w:pStyle w:val="27"/>
              <w:textAlignment w:val="center"/>
              <w:rPr>
                <w:rFonts w:ascii="Times New Roman" w:hAnsi="Times New Roman" w:eastAsia="宋体"/>
                <w:kern w:val="0"/>
                <w:highlight w:val="none"/>
              </w:rPr>
            </w:pPr>
            <w:r>
              <w:rPr>
                <w:rFonts w:ascii="Times New Roman" w:hAnsi="Times New Roman" w:eastAsia="宋体"/>
                <w:kern w:val="0"/>
                <w:highlight w:val="none"/>
              </w:rPr>
              <w:t>运行业绩及可靠性</w:t>
            </w:r>
          </w:p>
        </w:tc>
        <w:tc>
          <w:tcPr>
            <w:tcW w:w="2841" w:type="pct"/>
            <w:noWrap w:val="0"/>
            <w:vAlign w:val="center"/>
          </w:tcPr>
          <w:p w14:paraId="18DF3C36">
            <w:pPr>
              <w:pStyle w:val="27"/>
              <w:jc w:val="left"/>
              <w:textAlignment w:val="center"/>
              <w:rPr>
                <w:rFonts w:ascii="Times New Roman" w:hAnsi="Times New Roman" w:eastAsia="宋体"/>
                <w:kern w:val="0"/>
                <w:highlight w:val="none"/>
              </w:rPr>
            </w:pPr>
            <w:r>
              <w:rPr>
                <w:rFonts w:ascii="Times New Roman" w:hAnsi="Times New Roman" w:eastAsia="宋体"/>
                <w:kern w:val="0"/>
                <w:highlight w:val="none"/>
              </w:rPr>
              <w:t>国内外行业运行业绩非常多，安全可靠</w:t>
            </w:r>
          </w:p>
        </w:tc>
      </w:tr>
      <w:tr w14:paraId="756468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43" w:type="pct"/>
            <w:vMerge w:val="continue"/>
            <w:noWrap w:val="0"/>
            <w:vAlign w:val="center"/>
          </w:tcPr>
          <w:p w14:paraId="55D7E5FE">
            <w:pPr>
              <w:widowControl/>
              <w:spacing w:line="240" w:lineRule="auto"/>
              <w:ind w:firstLine="0" w:firstLineChars="0"/>
              <w:jc w:val="left"/>
              <w:rPr>
                <w:rFonts w:ascii="Times New Roman" w:hAnsi="Times New Roman"/>
                <w:kern w:val="0"/>
                <w:sz w:val="21"/>
                <w:highlight w:val="none"/>
              </w:rPr>
            </w:pPr>
          </w:p>
        </w:tc>
        <w:tc>
          <w:tcPr>
            <w:tcW w:w="1516" w:type="pct"/>
            <w:noWrap w:val="0"/>
            <w:vAlign w:val="center"/>
          </w:tcPr>
          <w:p w14:paraId="1B5AE4EF">
            <w:pPr>
              <w:pStyle w:val="27"/>
              <w:textAlignment w:val="center"/>
              <w:rPr>
                <w:rFonts w:ascii="Times New Roman" w:hAnsi="Times New Roman" w:eastAsia="宋体"/>
                <w:kern w:val="0"/>
                <w:highlight w:val="none"/>
              </w:rPr>
            </w:pPr>
            <w:r>
              <w:rPr>
                <w:rFonts w:ascii="Times New Roman" w:hAnsi="Times New Roman" w:eastAsia="宋体"/>
                <w:kern w:val="0"/>
                <w:highlight w:val="none"/>
              </w:rPr>
              <w:t>初期投资及运行费用</w:t>
            </w:r>
          </w:p>
        </w:tc>
        <w:tc>
          <w:tcPr>
            <w:tcW w:w="2841" w:type="pct"/>
            <w:noWrap w:val="0"/>
            <w:vAlign w:val="center"/>
          </w:tcPr>
          <w:p w14:paraId="6F7EDC4B">
            <w:pPr>
              <w:pStyle w:val="27"/>
              <w:jc w:val="left"/>
              <w:textAlignment w:val="center"/>
              <w:rPr>
                <w:rFonts w:ascii="Times New Roman" w:hAnsi="Times New Roman" w:eastAsia="宋体"/>
                <w:kern w:val="0"/>
                <w:highlight w:val="none"/>
              </w:rPr>
            </w:pPr>
            <w:r>
              <w:rPr>
                <w:rFonts w:ascii="Times New Roman" w:hAnsi="Times New Roman" w:eastAsia="宋体"/>
                <w:kern w:val="0"/>
                <w:highlight w:val="none"/>
              </w:rPr>
              <w:t>初期投资较小；运行费用较小</w:t>
            </w:r>
          </w:p>
        </w:tc>
      </w:tr>
      <w:tr w14:paraId="454C98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43" w:type="pct"/>
            <w:vMerge w:val="restart"/>
            <w:noWrap w:val="0"/>
            <w:vAlign w:val="center"/>
          </w:tcPr>
          <w:p w14:paraId="128B3051">
            <w:pPr>
              <w:pStyle w:val="27"/>
              <w:textAlignment w:val="center"/>
              <w:rPr>
                <w:rFonts w:ascii="Times New Roman" w:hAnsi="Times New Roman" w:eastAsia="宋体"/>
                <w:kern w:val="0"/>
                <w:highlight w:val="none"/>
              </w:rPr>
            </w:pPr>
            <w:r>
              <w:rPr>
                <w:rFonts w:ascii="Times New Roman" w:hAnsi="Times New Roman" w:eastAsia="宋体"/>
                <w:kern w:val="0"/>
                <w:highlight w:val="none"/>
              </w:rPr>
              <w:t>三电场静电除尘器</w:t>
            </w:r>
          </w:p>
        </w:tc>
        <w:tc>
          <w:tcPr>
            <w:tcW w:w="1516" w:type="pct"/>
            <w:noWrap w:val="0"/>
            <w:vAlign w:val="center"/>
          </w:tcPr>
          <w:p w14:paraId="4E354664">
            <w:pPr>
              <w:pStyle w:val="27"/>
              <w:textAlignment w:val="center"/>
              <w:rPr>
                <w:rFonts w:ascii="Times New Roman" w:hAnsi="Times New Roman" w:eastAsia="宋体"/>
                <w:kern w:val="0"/>
                <w:highlight w:val="none"/>
              </w:rPr>
            </w:pPr>
            <w:r>
              <w:rPr>
                <w:rFonts w:ascii="Times New Roman" w:hAnsi="Times New Roman" w:eastAsia="宋体"/>
                <w:kern w:val="0"/>
                <w:highlight w:val="none"/>
              </w:rPr>
              <w:t>效率</w:t>
            </w:r>
          </w:p>
        </w:tc>
        <w:tc>
          <w:tcPr>
            <w:tcW w:w="2841" w:type="pct"/>
            <w:noWrap w:val="0"/>
            <w:vAlign w:val="center"/>
          </w:tcPr>
          <w:p w14:paraId="7A53BA65">
            <w:pPr>
              <w:pStyle w:val="27"/>
              <w:jc w:val="left"/>
              <w:textAlignment w:val="center"/>
              <w:rPr>
                <w:rFonts w:ascii="Times New Roman" w:hAnsi="Times New Roman" w:eastAsia="宋体"/>
                <w:kern w:val="0"/>
                <w:highlight w:val="none"/>
              </w:rPr>
            </w:pPr>
            <w:r>
              <w:rPr>
                <w:rFonts w:ascii="Times New Roman" w:hAnsi="Times New Roman" w:eastAsia="宋体"/>
                <w:kern w:val="0"/>
                <w:highlight w:val="none"/>
              </w:rPr>
              <w:t>除尘效率≥99%</w:t>
            </w:r>
          </w:p>
        </w:tc>
      </w:tr>
      <w:tr w14:paraId="1313BD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43" w:type="pct"/>
            <w:vMerge w:val="continue"/>
            <w:noWrap w:val="0"/>
            <w:vAlign w:val="center"/>
          </w:tcPr>
          <w:p w14:paraId="70E0CC9B">
            <w:pPr>
              <w:widowControl/>
              <w:spacing w:line="240" w:lineRule="auto"/>
              <w:ind w:firstLine="0" w:firstLineChars="0"/>
              <w:jc w:val="left"/>
              <w:rPr>
                <w:rFonts w:ascii="Times New Roman" w:hAnsi="Times New Roman"/>
                <w:kern w:val="0"/>
                <w:sz w:val="21"/>
                <w:highlight w:val="none"/>
              </w:rPr>
            </w:pPr>
          </w:p>
        </w:tc>
        <w:tc>
          <w:tcPr>
            <w:tcW w:w="1516" w:type="pct"/>
            <w:noWrap w:val="0"/>
            <w:vAlign w:val="center"/>
          </w:tcPr>
          <w:p w14:paraId="075D1A7A">
            <w:pPr>
              <w:pStyle w:val="27"/>
              <w:textAlignment w:val="center"/>
              <w:rPr>
                <w:rFonts w:ascii="Times New Roman" w:hAnsi="Times New Roman" w:eastAsia="宋体"/>
                <w:kern w:val="0"/>
                <w:highlight w:val="none"/>
              </w:rPr>
            </w:pPr>
            <w:r>
              <w:rPr>
                <w:rFonts w:ascii="Times New Roman" w:hAnsi="Times New Roman" w:eastAsia="宋体"/>
                <w:kern w:val="0"/>
                <w:highlight w:val="none"/>
              </w:rPr>
              <w:t>排放浓度</w:t>
            </w:r>
          </w:p>
        </w:tc>
        <w:tc>
          <w:tcPr>
            <w:tcW w:w="2841" w:type="pct"/>
            <w:noWrap w:val="0"/>
            <w:vAlign w:val="center"/>
          </w:tcPr>
          <w:p w14:paraId="71626D50">
            <w:pPr>
              <w:pStyle w:val="27"/>
              <w:jc w:val="left"/>
              <w:textAlignment w:val="center"/>
              <w:rPr>
                <w:rFonts w:ascii="Times New Roman" w:hAnsi="Times New Roman" w:eastAsia="宋体"/>
                <w:kern w:val="0"/>
                <w:highlight w:val="none"/>
              </w:rPr>
            </w:pPr>
            <w:r>
              <w:rPr>
                <w:rFonts w:ascii="Times New Roman" w:hAnsi="Times New Roman" w:eastAsia="宋体"/>
                <w:kern w:val="0"/>
                <w:highlight w:val="none"/>
              </w:rPr>
              <w:t>＜50mg/m</w:t>
            </w:r>
            <w:r>
              <w:rPr>
                <w:rFonts w:ascii="Times New Roman" w:hAnsi="Times New Roman" w:eastAsia="宋体"/>
                <w:kern w:val="0"/>
                <w:highlight w:val="none"/>
                <w:vertAlign w:val="superscript"/>
              </w:rPr>
              <w:t>3</w:t>
            </w:r>
          </w:p>
        </w:tc>
      </w:tr>
      <w:tr w14:paraId="64C259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43" w:type="pct"/>
            <w:vMerge w:val="continue"/>
            <w:noWrap w:val="0"/>
            <w:vAlign w:val="center"/>
          </w:tcPr>
          <w:p w14:paraId="2BFF1411">
            <w:pPr>
              <w:widowControl/>
              <w:spacing w:line="240" w:lineRule="auto"/>
              <w:ind w:firstLine="0" w:firstLineChars="0"/>
              <w:jc w:val="left"/>
              <w:rPr>
                <w:rFonts w:ascii="Times New Roman" w:hAnsi="Times New Roman"/>
                <w:kern w:val="0"/>
                <w:sz w:val="21"/>
                <w:highlight w:val="none"/>
              </w:rPr>
            </w:pPr>
          </w:p>
        </w:tc>
        <w:tc>
          <w:tcPr>
            <w:tcW w:w="1516" w:type="pct"/>
            <w:noWrap w:val="0"/>
            <w:vAlign w:val="center"/>
          </w:tcPr>
          <w:p w14:paraId="7BAF70B7">
            <w:pPr>
              <w:pStyle w:val="27"/>
              <w:textAlignment w:val="center"/>
              <w:rPr>
                <w:rFonts w:ascii="Times New Roman" w:hAnsi="Times New Roman" w:eastAsia="宋体"/>
                <w:kern w:val="0"/>
                <w:highlight w:val="none"/>
              </w:rPr>
            </w:pPr>
            <w:r>
              <w:rPr>
                <w:rFonts w:ascii="Times New Roman" w:hAnsi="Times New Roman" w:eastAsia="宋体"/>
                <w:kern w:val="0"/>
                <w:highlight w:val="none"/>
              </w:rPr>
              <w:t>运行特点</w:t>
            </w:r>
          </w:p>
        </w:tc>
        <w:tc>
          <w:tcPr>
            <w:tcW w:w="2841" w:type="pct"/>
            <w:noWrap w:val="0"/>
            <w:vAlign w:val="center"/>
          </w:tcPr>
          <w:p w14:paraId="107CD9C0">
            <w:pPr>
              <w:pStyle w:val="27"/>
              <w:jc w:val="left"/>
              <w:textAlignment w:val="center"/>
              <w:rPr>
                <w:rFonts w:ascii="Times New Roman" w:hAnsi="Times New Roman" w:eastAsia="宋体"/>
                <w:kern w:val="0"/>
                <w:highlight w:val="none"/>
              </w:rPr>
            </w:pPr>
            <w:r>
              <w:rPr>
                <w:rFonts w:hint="eastAsia" w:ascii="宋体" w:hAnsi="宋体" w:eastAsia="宋体" w:cs="宋体"/>
                <w:kern w:val="0"/>
                <w:highlight w:val="none"/>
              </w:rPr>
              <w:t>①</w:t>
            </w:r>
            <w:r>
              <w:rPr>
                <w:rFonts w:ascii="Times New Roman" w:hAnsi="Times New Roman" w:eastAsia="宋体"/>
                <w:kern w:val="0"/>
                <w:highlight w:val="none"/>
              </w:rPr>
              <w:t>对煤质、烟气成分变化的适应性相对较强</w:t>
            </w:r>
          </w:p>
          <w:p w14:paraId="2B458D49">
            <w:pPr>
              <w:pStyle w:val="27"/>
              <w:jc w:val="left"/>
              <w:textAlignment w:val="center"/>
              <w:rPr>
                <w:rFonts w:ascii="Times New Roman" w:hAnsi="Times New Roman" w:eastAsia="宋体"/>
                <w:kern w:val="0"/>
                <w:highlight w:val="none"/>
              </w:rPr>
            </w:pPr>
            <w:r>
              <w:rPr>
                <w:rFonts w:hint="eastAsia" w:ascii="宋体" w:hAnsi="宋体" w:eastAsia="宋体" w:cs="宋体"/>
                <w:kern w:val="0"/>
                <w:highlight w:val="none"/>
              </w:rPr>
              <w:t>②</w:t>
            </w:r>
            <w:r>
              <w:rPr>
                <w:rFonts w:ascii="Times New Roman" w:hAnsi="Times New Roman" w:eastAsia="宋体"/>
                <w:kern w:val="0"/>
                <w:highlight w:val="none"/>
              </w:rPr>
              <w:t>对烟气温度的适应性较强</w:t>
            </w:r>
          </w:p>
          <w:p w14:paraId="4FBB21EB">
            <w:pPr>
              <w:pStyle w:val="27"/>
              <w:jc w:val="left"/>
              <w:textAlignment w:val="center"/>
              <w:rPr>
                <w:rFonts w:ascii="Times New Roman" w:hAnsi="Times New Roman" w:eastAsia="宋体"/>
                <w:kern w:val="0"/>
                <w:highlight w:val="none"/>
              </w:rPr>
            </w:pPr>
            <w:r>
              <w:rPr>
                <w:rFonts w:hint="eastAsia" w:ascii="宋体" w:hAnsi="宋体" w:eastAsia="宋体" w:cs="宋体"/>
                <w:kern w:val="0"/>
                <w:highlight w:val="none"/>
              </w:rPr>
              <w:t>③</w:t>
            </w:r>
            <w:r>
              <w:rPr>
                <w:rFonts w:ascii="Times New Roman" w:hAnsi="Times New Roman" w:eastAsia="宋体"/>
                <w:kern w:val="0"/>
                <w:highlight w:val="none"/>
              </w:rPr>
              <w:t>耗电量大</w:t>
            </w:r>
          </w:p>
        </w:tc>
      </w:tr>
      <w:tr w14:paraId="3057AA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43" w:type="pct"/>
            <w:vMerge w:val="continue"/>
            <w:noWrap w:val="0"/>
            <w:vAlign w:val="center"/>
          </w:tcPr>
          <w:p w14:paraId="6BDE53B9">
            <w:pPr>
              <w:widowControl/>
              <w:spacing w:line="240" w:lineRule="auto"/>
              <w:ind w:firstLine="0" w:firstLineChars="0"/>
              <w:jc w:val="left"/>
              <w:rPr>
                <w:rFonts w:ascii="Times New Roman" w:hAnsi="Times New Roman"/>
                <w:kern w:val="0"/>
                <w:sz w:val="21"/>
                <w:highlight w:val="none"/>
              </w:rPr>
            </w:pPr>
          </w:p>
        </w:tc>
        <w:tc>
          <w:tcPr>
            <w:tcW w:w="1516" w:type="pct"/>
            <w:noWrap w:val="0"/>
            <w:vAlign w:val="center"/>
          </w:tcPr>
          <w:p w14:paraId="7EF38607">
            <w:pPr>
              <w:pStyle w:val="27"/>
              <w:textAlignment w:val="center"/>
              <w:rPr>
                <w:rFonts w:ascii="Times New Roman" w:hAnsi="Times New Roman" w:eastAsia="宋体"/>
                <w:kern w:val="0"/>
                <w:highlight w:val="none"/>
              </w:rPr>
            </w:pPr>
            <w:r>
              <w:rPr>
                <w:rFonts w:ascii="Times New Roman" w:hAnsi="Times New Roman" w:eastAsia="宋体"/>
                <w:kern w:val="0"/>
                <w:highlight w:val="none"/>
              </w:rPr>
              <w:t>检修与维护</w:t>
            </w:r>
          </w:p>
        </w:tc>
        <w:tc>
          <w:tcPr>
            <w:tcW w:w="2841" w:type="pct"/>
            <w:noWrap w:val="0"/>
            <w:vAlign w:val="center"/>
          </w:tcPr>
          <w:p w14:paraId="050C4E2F">
            <w:pPr>
              <w:pStyle w:val="27"/>
              <w:jc w:val="left"/>
              <w:textAlignment w:val="center"/>
              <w:rPr>
                <w:rFonts w:ascii="Times New Roman" w:hAnsi="Times New Roman" w:eastAsia="宋体"/>
                <w:kern w:val="0"/>
                <w:highlight w:val="none"/>
              </w:rPr>
            </w:pPr>
            <w:r>
              <w:rPr>
                <w:rFonts w:ascii="Times New Roman" w:hAnsi="Times New Roman" w:eastAsia="宋体"/>
                <w:kern w:val="0"/>
                <w:highlight w:val="none"/>
              </w:rPr>
              <w:t>检修与维护方便</w:t>
            </w:r>
          </w:p>
        </w:tc>
      </w:tr>
      <w:tr w14:paraId="706162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43" w:type="pct"/>
            <w:vMerge w:val="continue"/>
            <w:noWrap w:val="0"/>
            <w:vAlign w:val="center"/>
          </w:tcPr>
          <w:p w14:paraId="6DD2F26F">
            <w:pPr>
              <w:widowControl/>
              <w:spacing w:line="240" w:lineRule="auto"/>
              <w:ind w:firstLine="0" w:firstLineChars="0"/>
              <w:jc w:val="left"/>
              <w:rPr>
                <w:rFonts w:ascii="Times New Roman" w:hAnsi="Times New Roman"/>
                <w:kern w:val="0"/>
                <w:sz w:val="21"/>
                <w:highlight w:val="none"/>
              </w:rPr>
            </w:pPr>
          </w:p>
        </w:tc>
        <w:tc>
          <w:tcPr>
            <w:tcW w:w="1516" w:type="pct"/>
            <w:noWrap w:val="0"/>
            <w:vAlign w:val="center"/>
          </w:tcPr>
          <w:p w14:paraId="00C27D31">
            <w:pPr>
              <w:pStyle w:val="27"/>
              <w:textAlignment w:val="center"/>
              <w:rPr>
                <w:rFonts w:ascii="Times New Roman" w:hAnsi="Times New Roman" w:eastAsia="宋体"/>
                <w:kern w:val="0"/>
                <w:highlight w:val="none"/>
              </w:rPr>
            </w:pPr>
            <w:r>
              <w:rPr>
                <w:rFonts w:ascii="Times New Roman" w:hAnsi="Times New Roman" w:eastAsia="宋体"/>
                <w:kern w:val="0"/>
                <w:highlight w:val="none"/>
              </w:rPr>
              <w:t>占地面积</w:t>
            </w:r>
          </w:p>
        </w:tc>
        <w:tc>
          <w:tcPr>
            <w:tcW w:w="2841" w:type="pct"/>
            <w:noWrap w:val="0"/>
            <w:vAlign w:val="center"/>
          </w:tcPr>
          <w:p w14:paraId="4BB4F334">
            <w:pPr>
              <w:pStyle w:val="27"/>
              <w:jc w:val="left"/>
              <w:textAlignment w:val="center"/>
              <w:rPr>
                <w:rFonts w:ascii="Times New Roman" w:hAnsi="Times New Roman" w:eastAsia="宋体"/>
                <w:kern w:val="0"/>
                <w:highlight w:val="none"/>
              </w:rPr>
            </w:pPr>
            <w:r>
              <w:rPr>
                <w:rFonts w:ascii="Times New Roman" w:hAnsi="Times New Roman" w:eastAsia="宋体"/>
                <w:kern w:val="0"/>
                <w:highlight w:val="none"/>
              </w:rPr>
              <w:t>较大</w:t>
            </w:r>
          </w:p>
        </w:tc>
      </w:tr>
      <w:tr w14:paraId="49EAA7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43" w:type="pct"/>
            <w:vMerge w:val="continue"/>
            <w:noWrap w:val="0"/>
            <w:vAlign w:val="center"/>
          </w:tcPr>
          <w:p w14:paraId="1EE6AB88">
            <w:pPr>
              <w:widowControl/>
              <w:spacing w:line="240" w:lineRule="auto"/>
              <w:ind w:firstLine="0" w:firstLineChars="0"/>
              <w:jc w:val="left"/>
              <w:rPr>
                <w:rFonts w:ascii="Times New Roman" w:hAnsi="Times New Roman"/>
                <w:kern w:val="0"/>
                <w:sz w:val="21"/>
                <w:highlight w:val="none"/>
              </w:rPr>
            </w:pPr>
          </w:p>
        </w:tc>
        <w:tc>
          <w:tcPr>
            <w:tcW w:w="1516" w:type="pct"/>
            <w:noWrap w:val="0"/>
            <w:vAlign w:val="center"/>
          </w:tcPr>
          <w:p w14:paraId="0B96A784">
            <w:pPr>
              <w:pStyle w:val="27"/>
              <w:textAlignment w:val="center"/>
              <w:rPr>
                <w:rFonts w:ascii="Times New Roman" w:hAnsi="Times New Roman" w:eastAsia="宋体"/>
                <w:kern w:val="0"/>
                <w:highlight w:val="none"/>
              </w:rPr>
            </w:pPr>
            <w:r>
              <w:rPr>
                <w:rFonts w:ascii="Times New Roman" w:hAnsi="Times New Roman" w:eastAsia="宋体"/>
                <w:kern w:val="0"/>
                <w:highlight w:val="none"/>
              </w:rPr>
              <w:t>运行业绩及可靠性</w:t>
            </w:r>
          </w:p>
        </w:tc>
        <w:tc>
          <w:tcPr>
            <w:tcW w:w="2841" w:type="pct"/>
            <w:noWrap w:val="0"/>
            <w:vAlign w:val="center"/>
          </w:tcPr>
          <w:p w14:paraId="6B672A4F">
            <w:pPr>
              <w:pStyle w:val="27"/>
              <w:jc w:val="left"/>
              <w:textAlignment w:val="center"/>
              <w:rPr>
                <w:rFonts w:ascii="Times New Roman" w:hAnsi="Times New Roman" w:eastAsia="宋体"/>
                <w:kern w:val="0"/>
                <w:highlight w:val="none"/>
              </w:rPr>
            </w:pPr>
            <w:r>
              <w:rPr>
                <w:rFonts w:ascii="Times New Roman" w:hAnsi="Times New Roman" w:eastAsia="宋体"/>
                <w:kern w:val="0"/>
                <w:highlight w:val="none"/>
              </w:rPr>
              <w:t>国内外行业运行业绩非常多，安全可靠</w:t>
            </w:r>
          </w:p>
        </w:tc>
      </w:tr>
      <w:tr w14:paraId="65C4E1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43" w:type="pct"/>
            <w:vMerge w:val="continue"/>
            <w:noWrap w:val="0"/>
            <w:vAlign w:val="center"/>
          </w:tcPr>
          <w:p w14:paraId="18863F14">
            <w:pPr>
              <w:widowControl/>
              <w:spacing w:line="240" w:lineRule="auto"/>
              <w:ind w:firstLine="0" w:firstLineChars="0"/>
              <w:jc w:val="left"/>
              <w:rPr>
                <w:rFonts w:ascii="Times New Roman" w:hAnsi="Times New Roman"/>
                <w:kern w:val="0"/>
                <w:sz w:val="21"/>
                <w:highlight w:val="none"/>
              </w:rPr>
            </w:pPr>
          </w:p>
        </w:tc>
        <w:tc>
          <w:tcPr>
            <w:tcW w:w="1516" w:type="pct"/>
            <w:noWrap w:val="0"/>
            <w:vAlign w:val="center"/>
          </w:tcPr>
          <w:p w14:paraId="772FDA6E">
            <w:pPr>
              <w:pStyle w:val="27"/>
              <w:textAlignment w:val="center"/>
              <w:rPr>
                <w:rFonts w:ascii="Times New Roman" w:hAnsi="Times New Roman" w:eastAsia="宋体"/>
                <w:kern w:val="0"/>
                <w:highlight w:val="none"/>
              </w:rPr>
            </w:pPr>
            <w:r>
              <w:rPr>
                <w:rFonts w:ascii="Times New Roman" w:hAnsi="Times New Roman" w:eastAsia="宋体"/>
                <w:kern w:val="0"/>
                <w:highlight w:val="none"/>
              </w:rPr>
              <w:t>初期投资及运行费用</w:t>
            </w:r>
          </w:p>
        </w:tc>
        <w:tc>
          <w:tcPr>
            <w:tcW w:w="2841" w:type="pct"/>
            <w:noWrap w:val="0"/>
            <w:vAlign w:val="center"/>
          </w:tcPr>
          <w:p w14:paraId="0E31B3CF">
            <w:pPr>
              <w:pStyle w:val="27"/>
              <w:jc w:val="left"/>
              <w:textAlignment w:val="center"/>
              <w:rPr>
                <w:rFonts w:ascii="Times New Roman" w:hAnsi="Times New Roman" w:eastAsia="宋体"/>
                <w:kern w:val="0"/>
                <w:highlight w:val="none"/>
              </w:rPr>
            </w:pPr>
            <w:r>
              <w:rPr>
                <w:rFonts w:ascii="Times New Roman" w:hAnsi="Times New Roman" w:eastAsia="宋体"/>
                <w:kern w:val="0"/>
                <w:highlight w:val="none"/>
              </w:rPr>
              <w:t>初期投资较大，运行费用大</w:t>
            </w:r>
          </w:p>
        </w:tc>
      </w:tr>
      <w:tr w14:paraId="0CF969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43" w:type="pct"/>
            <w:vMerge w:val="restart"/>
            <w:noWrap w:val="0"/>
            <w:vAlign w:val="center"/>
          </w:tcPr>
          <w:p w14:paraId="4D8ECA27">
            <w:pPr>
              <w:pStyle w:val="27"/>
              <w:textAlignment w:val="center"/>
              <w:rPr>
                <w:rFonts w:ascii="Times New Roman" w:hAnsi="Times New Roman" w:eastAsia="宋体"/>
                <w:kern w:val="0"/>
                <w:highlight w:val="none"/>
              </w:rPr>
            </w:pPr>
            <w:r>
              <w:rPr>
                <w:rFonts w:ascii="Times New Roman" w:hAnsi="Times New Roman" w:eastAsia="宋体"/>
                <w:kern w:val="0"/>
                <w:highlight w:val="none"/>
              </w:rPr>
              <w:t>袋式除尘器</w:t>
            </w:r>
          </w:p>
        </w:tc>
        <w:tc>
          <w:tcPr>
            <w:tcW w:w="1516" w:type="pct"/>
            <w:noWrap w:val="0"/>
            <w:vAlign w:val="center"/>
          </w:tcPr>
          <w:p w14:paraId="792AE8E5">
            <w:pPr>
              <w:pStyle w:val="27"/>
              <w:textAlignment w:val="center"/>
              <w:rPr>
                <w:rFonts w:ascii="Times New Roman" w:hAnsi="Times New Roman" w:eastAsia="宋体"/>
                <w:kern w:val="0"/>
                <w:highlight w:val="none"/>
              </w:rPr>
            </w:pPr>
            <w:r>
              <w:rPr>
                <w:rFonts w:ascii="Times New Roman" w:hAnsi="Times New Roman" w:eastAsia="宋体"/>
                <w:kern w:val="0"/>
                <w:highlight w:val="none"/>
              </w:rPr>
              <w:t>效率</w:t>
            </w:r>
          </w:p>
        </w:tc>
        <w:tc>
          <w:tcPr>
            <w:tcW w:w="2841" w:type="pct"/>
            <w:noWrap w:val="0"/>
            <w:vAlign w:val="center"/>
          </w:tcPr>
          <w:p w14:paraId="28F314A4">
            <w:pPr>
              <w:pStyle w:val="27"/>
              <w:jc w:val="left"/>
              <w:textAlignment w:val="center"/>
              <w:rPr>
                <w:rFonts w:ascii="Times New Roman" w:hAnsi="Times New Roman" w:eastAsia="宋体"/>
                <w:kern w:val="0"/>
                <w:highlight w:val="none"/>
              </w:rPr>
            </w:pPr>
            <w:r>
              <w:rPr>
                <w:rFonts w:ascii="Times New Roman" w:hAnsi="Times New Roman" w:eastAsia="宋体"/>
                <w:kern w:val="0"/>
                <w:highlight w:val="none"/>
              </w:rPr>
              <w:t>可达到很高的除尘效率99.96%</w:t>
            </w:r>
          </w:p>
        </w:tc>
      </w:tr>
      <w:tr w14:paraId="2E7C1A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43" w:type="pct"/>
            <w:vMerge w:val="continue"/>
            <w:noWrap w:val="0"/>
            <w:vAlign w:val="center"/>
          </w:tcPr>
          <w:p w14:paraId="55A20D3A">
            <w:pPr>
              <w:widowControl/>
              <w:spacing w:line="240" w:lineRule="auto"/>
              <w:ind w:firstLine="0" w:firstLineChars="0"/>
              <w:jc w:val="left"/>
              <w:rPr>
                <w:rFonts w:ascii="Times New Roman" w:hAnsi="Times New Roman"/>
                <w:kern w:val="0"/>
                <w:sz w:val="21"/>
                <w:highlight w:val="none"/>
              </w:rPr>
            </w:pPr>
          </w:p>
        </w:tc>
        <w:tc>
          <w:tcPr>
            <w:tcW w:w="1516" w:type="pct"/>
            <w:noWrap w:val="0"/>
            <w:vAlign w:val="center"/>
          </w:tcPr>
          <w:p w14:paraId="22313A4E">
            <w:pPr>
              <w:pStyle w:val="27"/>
              <w:textAlignment w:val="center"/>
              <w:rPr>
                <w:rFonts w:ascii="Times New Roman" w:hAnsi="Times New Roman" w:eastAsia="宋体"/>
                <w:kern w:val="0"/>
                <w:highlight w:val="none"/>
              </w:rPr>
            </w:pPr>
            <w:r>
              <w:rPr>
                <w:rFonts w:ascii="Times New Roman" w:hAnsi="Times New Roman" w:eastAsia="宋体"/>
                <w:kern w:val="0"/>
                <w:highlight w:val="none"/>
              </w:rPr>
              <w:t>排放浓度</w:t>
            </w:r>
          </w:p>
        </w:tc>
        <w:tc>
          <w:tcPr>
            <w:tcW w:w="2841" w:type="pct"/>
            <w:noWrap w:val="0"/>
            <w:vAlign w:val="center"/>
          </w:tcPr>
          <w:p w14:paraId="2F165AF5">
            <w:pPr>
              <w:pStyle w:val="27"/>
              <w:jc w:val="left"/>
              <w:textAlignment w:val="center"/>
              <w:rPr>
                <w:rFonts w:ascii="Times New Roman" w:hAnsi="Times New Roman" w:eastAsia="宋体"/>
                <w:kern w:val="0"/>
                <w:highlight w:val="none"/>
              </w:rPr>
            </w:pPr>
            <w:r>
              <w:rPr>
                <w:rFonts w:ascii="Times New Roman" w:hAnsi="Times New Roman" w:eastAsia="宋体"/>
                <w:kern w:val="0"/>
                <w:highlight w:val="none"/>
              </w:rPr>
              <w:t>＜50mg/m</w:t>
            </w:r>
            <w:r>
              <w:rPr>
                <w:rFonts w:ascii="Times New Roman" w:hAnsi="Times New Roman" w:eastAsia="宋体"/>
                <w:kern w:val="0"/>
                <w:highlight w:val="none"/>
                <w:vertAlign w:val="superscript"/>
              </w:rPr>
              <w:t>3</w:t>
            </w:r>
          </w:p>
        </w:tc>
      </w:tr>
      <w:tr w14:paraId="295C9E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43" w:type="pct"/>
            <w:vMerge w:val="continue"/>
            <w:noWrap w:val="0"/>
            <w:vAlign w:val="center"/>
          </w:tcPr>
          <w:p w14:paraId="1F549D3B">
            <w:pPr>
              <w:widowControl/>
              <w:spacing w:line="240" w:lineRule="auto"/>
              <w:ind w:firstLine="0" w:firstLineChars="0"/>
              <w:jc w:val="left"/>
              <w:rPr>
                <w:rFonts w:ascii="Times New Roman" w:hAnsi="Times New Roman"/>
                <w:kern w:val="0"/>
                <w:sz w:val="21"/>
                <w:highlight w:val="none"/>
              </w:rPr>
            </w:pPr>
          </w:p>
        </w:tc>
        <w:tc>
          <w:tcPr>
            <w:tcW w:w="1516" w:type="pct"/>
            <w:noWrap w:val="0"/>
            <w:vAlign w:val="center"/>
          </w:tcPr>
          <w:p w14:paraId="1413C5F2">
            <w:pPr>
              <w:pStyle w:val="27"/>
              <w:textAlignment w:val="center"/>
              <w:rPr>
                <w:rFonts w:ascii="Times New Roman" w:hAnsi="Times New Roman" w:eastAsia="宋体"/>
                <w:kern w:val="0"/>
                <w:highlight w:val="none"/>
              </w:rPr>
            </w:pPr>
            <w:r>
              <w:rPr>
                <w:rFonts w:ascii="Times New Roman" w:hAnsi="Times New Roman" w:eastAsia="宋体"/>
                <w:kern w:val="0"/>
                <w:highlight w:val="none"/>
              </w:rPr>
              <w:t>运行特点</w:t>
            </w:r>
          </w:p>
        </w:tc>
        <w:tc>
          <w:tcPr>
            <w:tcW w:w="2841" w:type="pct"/>
            <w:noWrap w:val="0"/>
            <w:vAlign w:val="center"/>
          </w:tcPr>
          <w:p w14:paraId="239E5177">
            <w:pPr>
              <w:pStyle w:val="27"/>
              <w:jc w:val="left"/>
              <w:textAlignment w:val="center"/>
              <w:rPr>
                <w:rFonts w:ascii="Times New Roman" w:hAnsi="Times New Roman" w:eastAsia="宋体"/>
                <w:kern w:val="0"/>
                <w:highlight w:val="none"/>
              </w:rPr>
            </w:pPr>
            <w:r>
              <w:rPr>
                <w:rFonts w:hint="eastAsia" w:ascii="宋体" w:hAnsi="宋体" w:eastAsia="宋体" w:cs="宋体"/>
                <w:kern w:val="0"/>
                <w:highlight w:val="none"/>
              </w:rPr>
              <w:t>①</w:t>
            </w:r>
            <w:r>
              <w:rPr>
                <w:rFonts w:ascii="Times New Roman" w:hAnsi="Times New Roman" w:eastAsia="宋体"/>
                <w:kern w:val="0"/>
                <w:highlight w:val="none"/>
              </w:rPr>
              <w:t>对煤质、烟气成分变化的适应性相对较强</w:t>
            </w:r>
          </w:p>
          <w:p w14:paraId="2D4C3FFA">
            <w:pPr>
              <w:pStyle w:val="27"/>
              <w:jc w:val="left"/>
              <w:textAlignment w:val="center"/>
              <w:rPr>
                <w:rFonts w:ascii="Times New Roman" w:hAnsi="Times New Roman" w:eastAsia="宋体"/>
                <w:kern w:val="0"/>
                <w:highlight w:val="none"/>
              </w:rPr>
            </w:pPr>
            <w:r>
              <w:rPr>
                <w:rFonts w:hint="eastAsia" w:ascii="宋体" w:hAnsi="宋体" w:eastAsia="宋体" w:cs="宋体"/>
                <w:kern w:val="0"/>
                <w:highlight w:val="none"/>
              </w:rPr>
              <w:t>②</w:t>
            </w:r>
            <w:r>
              <w:rPr>
                <w:rFonts w:ascii="Times New Roman" w:hAnsi="Times New Roman" w:eastAsia="宋体"/>
                <w:kern w:val="0"/>
                <w:highlight w:val="none"/>
              </w:rPr>
              <w:t>入口烟温＜180</w:t>
            </w:r>
            <w:r>
              <w:rPr>
                <w:rFonts w:hint="eastAsia" w:ascii="宋体" w:hAnsi="宋体" w:eastAsia="宋体" w:cs="宋体"/>
                <w:kern w:val="0"/>
                <w:highlight w:val="none"/>
              </w:rPr>
              <w:t>℃</w:t>
            </w:r>
            <w:r>
              <w:rPr>
                <w:rFonts w:ascii="Times New Roman" w:hAnsi="Times New Roman" w:eastAsia="宋体"/>
                <w:kern w:val="0"/>
                <w:highlight w:val="none"/>
              </w:rPr>
              <w:t>，故障情况下应有保护措施</w:t>
            </w:r>
          </w:p>
          <w:p w14:paraId="68EC152D">
            <w:pPr>
              <w:pStyle w:val="27"/>
              <w:jc w:val="left"/>
              <w:textAlignment w:val="center"/>
              <w:rPr>
                <w:rFonts w:ascii="Times New Roman" w:hAnsi="Times New Roman" w:eastAsia="宋体"/>
                <w:kern w:val="0"/>
                <w:highlight w:val="none"/>
              </w:rPr>
            </w:pPr>
            <w:r>
              <w:rPr>
                <w:rFonts w:hint="eastAsia" w:ascii="宋体" w:hAnsi="宋体" w:eastAsia="宋体" w:cs="宋体"/>
                <w:kern w:val="0"/>
                <w:highlight w:val="none"/>
              </w:rPr>
              <w:t>③</w:t>
            </w:r>
            <w:r>
              <w:rPr>
                <w:rFonts w:ascii="Times New Roman" w:hAnsi="Times New Roman" w:eastAsia="宋体"/>
                <w:kern w:val="0"/>
                <w:highlight w:val="none"/>
              </w:rPr>
              <w:t>阻力较高，能耗较大，约比电除尘器高20%~30%</w:t>
            </w:r>
          </w:p>
          <w:p w14:paraId="71F52352">
            <w:pPr>
              <w:pStyle w:val="27"/>
              <w:jc w:val="left"/>
              <w:textAlignment w:val="center"/>
              <w:rPr>
                <w:rFonts w:ascii="Times New Roman" w:hAnsi="Times New Roman" w:eastAsia="宋体"/>
                <w:kern w:val="0"/>
                <w:highlight w:val="none"/>
              </w:rPr>
            </w:pPr>
            <w:r>
              <w:rPr>
                <w:rFonts w:hint="eastAsia" w:ascii="宋体" w:hAnsi="宋体" w:eastAsia="宋体" w:cs="宋体"/>
                <w:kern w:val="0"/>
                <w:highlight w:val="none"/>
              </w:rPr>
              <w:t>④</w:t>
            </w:r>
            <w:r>
              <w:rPr>
                <w:rFonts w:ascii="Times New Roman" w:hAnsi="Times New Roman" w:eastAsia="宋体"/>
                <w:kern w:val="0"/>
                <w:highlight w:val="none"/>
              </w:rPr>
              <w:t>启动和停机要特别注意</w:t>
            </w:r>
          </w:p>
        </w:tc>
      </w:tr>
      <w:tr w14:paraId="17EC78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43" w:type="pct"/>
            <w:vMerge w:val="continue"/>
            <w:noWrap w:val="0"/>
            <w:vAlign w:val="center"/>
          </w:tcPr>
          <w:p w14:paraId="3E69CF0B">
            <w:pPr>
              <w:widowControl/>
              <w:spacing w:line="240" w:lineRule="auto"/>
              <w:ind w:firstLine="0" w:firstLineChars="0"/>
              <w:jc w:val="left"/>
              <w:rPr>
                <w:rFonts w:ascii="Times New Roman" w:hAnsi="Times New Roman"/>
                <w:kern w:val="0"/>
                <w:sz w:val="21"/>
                <w:highlight w:val="none"/>
              </w:rPr>
            </w:pPr>
          </w:p>
        </w:tc>
        <w:tc>
          <w:tcPr>
            <w:tcW w:w="1516" w:type="pct"/>
            <w:noWrap w:val="0"/>
            <w:vAlign w:val="center"/>
          </w:tcPr>
          <w:p w14:paraId="0089680E">
            <w:pPr>
              <w:pStyle w:val="27"/>
              <w:textAlignment w:val="center"/>
              <w:rPr>
                <w:rFonts w:ascii="Times New Roman" w:hAnsi="Times New Roman" w:eastAsia="宋体"/>
                <w:kern w:val="0"/>
                <w:highlight w:val="none"/>
              </w:rPr>
            </w:pPr>
            <w:r>
              <w:rPr>
                <w:rFonts w:ascii="Times New Roman" w:hAnsi="Times New Roman" w:eastAsia="宋体"/>
                <w:kern w:val="0"/>
                <w:highlight w:val="none"/>
              </w:rPr>
              <w:t>检修与维护</w:t>
            </w:r>
          </w:p>
        </w:tc>
        <w:tc>
          <w:tcPr>
            <w:tcW w:w="2841" w:type="pct"/>
            <w:noWrap w:val="0"/>
            <w:vAlign w:val="center"/>
          </w:tcPr>
          <w:p w14:paraId="7DF01750">
            <w:pPr>
              <w:pStyle w:val="27"/>
              <w:jc w:val="left"/>
              <w:textAlignment w:val="center"/>
              <w:rPr>
                <w:rFonts w:ascii="Times New Roman" w:hAnsi="Times New Roman" w:eastAsia="宋体"/>
                <w:kern w:val="0"/>
                <w:highlight w:val="none"/>
              </w:rPr>
            </w:pPr>
            <w:r>
              <w:rPr>
                <w:rFonts w:hint="eastAsia" w:ascii="宋体" w:hAnsi="宋体" w:eastAsia="宋体" w:cs="宋体"/>
                <w:kern w:val="0"/>
                <w:highlight w:val="none"/>
              </w:rPr>
              <w:t>①</w:t>
            </w:r>
            <w:r>
              <w:rPr>
                <w:rFonts w:ascii="Times New Roman" w:hAnsi="Times New Roman" w:eastAsia="宋体"/>
                <w:kern w:val="0"/>
                <w:highlight w:val="none"/>
              </w:rPr>
              <w:t>特定的滤料一般使用约30000h</w:t>
            </w:r>
          </w:p>
          <w:p w14:paraId="0CC5C8B6">
            <w:pPr>
              <w:pStyle w:val="27"/>
              <w:jc w:val="left"/>
              <w:textAlignment w:val="center"/>
              <w:rPr>
                <w:rFonts w:ascii="Times New Roman" w:hAnsi="Times New Roman" w:eastAsia="宋体"/>
                <w:kern w:val="0"/>
                <w:highlight w:val="none"/>
              </w:rPr>
            </w:pPr>
            <w:r>
              <w:rPr>
                <w:rFonts w:hint="eastAsia" w:ascii="宋体" w:hAnsi="宋体" w:eastAsia="宋体" w:cs="宋体"/>
                <w:kern w:val="0"/>
                <w:highlight w:val="none"/>
              </w:rPr>
              <w:t>②</w:t>
            </w:r>
            <w:r>
              <w:rPr>
                <w:rFonts w:ascii="Times New Roman" w:hAnsi="Times New Roman" w:eastAsia="宋体"/>
                <w:kern w:val="0"/>
                <w:highlight w:val="none"/>
              </w:rPr>
              <w:t>可实现不停机检修更换</w:t>
            </w:r>
          </w:p>
        </w:tc>
      </w:tr>
      <w:tr w14:paraId="54C2FD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43" w:type="pct"/>
            <w:vMerge w:val="continue"/>
            <w:noWrap w:val="0"/>
            <w:vAlign w:val="center"/>
          </w:tcPr>
          <w:p w14:paraId="5F2BD581">
            <w:pPr>
              <w:widowControl/>
              <w:spacing w:line="240" w:lineRule="auto"/>
              <w:ind w:firstLine="0" w:firstLineChars="0"/>
              <w:jc w:val="left"/>
              <w:rPr>
                <w:rFonts w:ascii="Times New Roman" w:hAnsi="Times New Roman"/>
                <w:kern w:val="0"/>
                <w:sz w:val="21"/>
                <w:highlight w:val="none"/>
              </w:rPr>
            </w:pPr>
          </w:p>
        </w:tc>
        <w:tc>
          <w:tcPr>
            <w:tcW w:w="1516" w:type="pct"/>
            <w:noWrap w:val="0"/>
            <w:vAlign w:val="center"/>
          </w:tcPr>
          <w:p w14:paraId="10D3059E">
            <w:pPr>
              <w:pStyle w:val="27"/>
              <w:textAlignment w:val="center"/>
              <w:rPr>
                <w:rFonts w:ascii="Times New Roman" w:hAnsi="Times New Roman" w:eastAsia="宋体"/>
                <w:kern w:val="0"/>
                <w:highlight w:val="none"/>
              </w:rPr>
            </w:pPr>
            <w:r>
              <w:rPr>
                <w:rFonts w:ascii="Times New Roman" w:hAnsi="Times New Roman" w:eastAsia="宋体"/>
                <w:kern w:val="0"/>
                <w:highlight w:val="none"/>
              </w:rPr>
              <w:t>占地面积</w:t>
            </w:r>
          </w:p>
        </w:tc>
        <w:tc>
          <w:tcPr>
            <w:tcW w:w="2841" w:type="pct"/>
            <w:noWrap w:val="0"/>
            <w:vAlign w:val="center"/>
          </w:tcPr>
          <w:p w14:paraId="54B4CF10">
            <w:pPr>
              <w:pStyle w:val="27"/>
              <w:jc w:val="left"/>
              <w:textAlignment w:val="center"/>
              <w:rPr>
                <w:rFonts w:ascii="Times New Roman" w:hAnsi="Times New Roman" w:eastAsia="宋体"/>
                <w:kern w:val="0"/>
                <w:highlight w:val="none"/>
              </w:rPr>
            </w:pPr>
            <w:r>
              <w:rPr>
                <w:rFonts w:ascii="Times New Roman" w:hAnsi="Times New Roman" w:eastAsia="宋体"/>
                <w:kern w:val="0"/>
                <w:highlight w:val="none"/>
              </w:rPr>
              <w:t>较小</w:t>
            </w:r>
          </w:p>
        </w:tc>
      </w:tr>
      <w:tr w14:paraId="12EE2B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43" w:type="pct"/>
            <w:vMerge w:val="continue"/>
            <w:noWrap w:val="0"/>
            <w:vAlign w:val="center"/>
          </w:tcPr>
          <w:p w14:paraId="304C11E2">
            <w:pPr>
              <w:widowControl/>
              <w:spacing w:line="240" w:lineRule="auto"/>
              <w:ind w:firstLine="0" w:firstLineChars="0"/>
              <w:jc w:val="left"/>
              <w:rPr>
                <w:rFonts w:ascii="Times New Roman" w:hAnsi="Times New Roman"/>
                <w:kern w:val="0"/>
                <w:sz w:val="21"/>
                <w:highlight w:val="none"/>
              </w:rPr>
            </w:pPr>
          </w:p>
        </w:tc>
        <w:tc>
          <w:tcPr>
            <w:tcW w:w="1516" w:type="pct"/>
            <w:noWrap w:val="0"/>
            <w:vAlign w:val="center"/>
          </w:tcPr>
          <w:p w14:paraId="22B92A53">
            <w:pPr>
              <w:pStyle w:val="27"/>
              <w:textAlignment w:val="center"/>
              <w:rPr>
                <w:rFonts w:ascii="Times New Roman" w:hAnsi="Times New Roman" w:eastAsia="宋体"/>
                <w:kern w:val="0"/>
                <w:highlight w:val="none"/>
              </w:rPr>
            </w:pPr>
            <w:r>
              <w:rPr>
                <w:rFonts w:ascii="Times New Roman" w:hAnsi="Times New Roman" w:eastAsia="宋体"/>
                <w:kern w:val="0"/>
                <w:highlight w:val="none"/>
              </w:rPr>
              <w:t>运行业绩及可靠性</w:t>
            </w:r>
          </w:p>
        </w:tc>
        <w:tc>
          <w:tcPr>
            <w:tcW w:w="2841" w:type="pct"/>
            <w:noWrap w:val="0"/>
            <w:vAlign w:val="center"/>
          </w:tcPr>
          <w:p w14:paraId="53108CE0">
            <w:pPr>
              <w:pStyle w:val="27"/>
              <w:jc w:val="left"/>
              <w:textAlignment w:val="center"/>
              <w:rPr>
                <w:rFonts w:ascii="Times New Roman" w:hAnsi="Times New Roman" w:eastAsia="宋体"/>
                <w:kern w:val="0"/>
                <w:highlight w:val="none"/>
              </w:rPr>
            </w:pPr>
            <w:r>
              <w:rPr>
                <w:rFonts w:ascii="Times New Roman" w:hAnsi="Times New Roman" w:eastAsia="宋体"/>
                <w:kern w:val="0"/>
                <w:highlight w:val="none"/>
              </w:rPr>
              <w:t>目前国内1025t/h电站锅炉以下吨位的锅炉的已经普遍应用</w:t>
            </w:r>
          </w:p>
        </w:tc>
      </w:tr>
      <w:tr w14:paraId="624602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43" w:type="pct"/>
            <w:vMerge w:val="continue"/>
            <w:noWrap w:val="0"/>
            <w:vAlign w:val="center"/>
          </w:tcPr>
          <w:p w14:paraId="4EBA7F8D">
            <w:pPr>
              <w:widowControl/>
              <w:spacing w:line="240" w:lineRule="auto"/>
              <w:ind w:firstLine="0" w:firstLineChars="0"/>
              <w:jc w:val="left"/>
              <w:rPr>
                <w:rFonts w:ascii="Times New Roman" w:hAnsi="Times New Roman"/>
                <w:kern w:val="0"/>
                <w:sz w:val="21"/>
                <w:highlight w:val="none"/>
              </w:rPr>
            </w:pPr>
          </w:p>
        </w:tc>
        <w:tc>
          <w:tcPr>
            <w:tcW w:w="1516" w:type="pct"/>
            <w:noWrap w:val="0"/>
            <w:vAlign w:val="center"/>
          </w:tcPr>
          <w:p w14:paraId="404D512C">
            <w:pPr>
              <w:pStyle w:val="27"/>
              <w:textAlignment w:val="center"/>
              <w:rPr>
                <w:rFonts w:ascii="Times New Roman" w:hAnsi="Times New Roman" w:eastAsia="宋体"/>
                <w:kern w:val="0"/>
                <w:highlight w:val="none"/>
              </w:rPr>
            </w:pPr>
            <w:r>
              <w:rPr>
                <w:rFonts w:ascii="Times New Roman" w:hAnsi="Times New Roman" w:eastAsia="宋体"/>
                <w:kern w:val="0"/>
                <w:highlight w:val="none"/>
              </w:rPr>
              <w:t>初期投资及运行费用</w:t>
            </w:r>
          </w:p>
        </w:tc>
        <w:tc>
          <w:tcPr>
            <w:tcW w:w="2841" w:type="pct"/>
            <w:noWrap w:val="0"/>
            <w:vAlign w:val="center"/>
          </w:tcPr>
          <w:p w14:paraId="2094F94D">
            <w:pPr>
              <w:pStyle w:val="27"/>
              <w:jc w:val="left"/>
              <w:textAlignment w:val="center"/>
              <w:rPr>
                <w:rFonts w:ascii="Times New Roman" w:hAnsi="Times New Roman" w:eastAsia="宋体"/>
                <w:kern w:val="0"/>
                <w:highlight w:val="none"/>
              </w:rPr>
            </w:pPr>
            <w:r>
              <w:rPr>
                <w:rFonts w:ascii="Times New Roman" w:hAnsi="Times New Roman" w:eastAsia="宋体"/>
                <w:kern w:val="0"/>
                <w:highlight w:val="none"/>
              </w:rPr>
              <w:t>初期投资较大，运行费用大</w:t>
            </w:r>
          </w:p>
        </w:tc>
      </w:tr>
    </w:tbl>
    <w:p w14:paraId="4DDF2905">
      <w:pPr>
        <w:ind w:firstLine="480"/>
        <w:rPr>
          <w:rFonts w:ascii="Times New Roman" w:hAnsi="Times New Roman"/>
          <w:highlight w:val="none"/>
        </w:rPr>
      </w:pPr>
      <w:r>
        <w:rPr>
          <w:rFonts w:ascii="Times New Roman" w:hAnsi="Times New Roman"/>
          <w:highlight w:val="none"/>
        </w:rPr>
        <w:t>参考《排污许可申请与核发技术规范 锅炉》（HJ 953-2018）和《污染源源强核算技术指南 锅炉》（HJ991-2018），袋式除尘为烟气污染防治可行性技术。</w:t>
      </w:r>
    </w:p>
    <w:p w14:paraId="500C6605">
      <w:pPr>
        <w:ind w:firstLine="480"/>
        <w:rPr>
          <w:rFonts w:ascii="Times New Roman" w:hAnsi="Times New Roman"/>
          <w:highlight w:val="none"/>
        </w:rPr>
      </w:pPr>
      <w:r>
        <w:rPr>
          <w:rFonts w:ascii="Times New Roman" w:hAnsi="Times New Roman"/>
          <w:highlight w:val="none"/>
        </w:rPr>
        <w:t>本工程烟气除尘选用布袋除尘器除尘，其工作原理为：含尘烟气由进风口进入袋式除尘器，颗粒物被机械地收集在滤袋上，过滤可以发生在滤袋的纤维上，也可以发生在滤袋表层附着的灰层上。经滤袋及表层灰层过滤后的清洁烟气由排风口排入大气。滤袋表层灰可通过不同的清灰方式进行清除。与电除尘器相比，袋式除尘器能更好地捕捉超微细颗粒。</w:t>
      </w:r>
    </w:p>
    <w:p w14:paraId="23E1A36B">
      <w:pPr>
        <w:ind w:firstLine="480"/>
        <w:rPr>
          <w:rFonts w:ascii="Times New Roman" w:hAnsi="Times New Roman"/>
          <w:highlight w:val="none"/>
        </w:rPr>
      </w:pPr>
      <w:r>
        <w:rPr>
          <w:rFonts w:ascii="Times New Roman" w:hAnsi="Times New Roman"/>
          <w:highlight w:val="none"/>
        </w:rPr>
        <w:t>袋式除尘器的主要有以下几个优点：</w:t>
      </w:r>
    </w:p>
    <w:p w14:paraId="1C46D149">
      <w:pPr>
        <w:ind w:firstLine="480"/>
        <w:rPr>
          <w:rFonts w:ascii="Times New Roman" w:hAnsi="Times New Roman"/>
          <w:highlight w:val="none"/>
        </w:rPr>
      </w:pPr>
      <w:r>
        <w:rPr>
          <w:rFonts w:hint="eastAsia" w:ascii="宋体" w:hAnsi="宋体" w:cs="宋体"/>
          <w:highlight w:val="none"/>
        </w:rPr>
        <w:t>①</w:t>
      </w:r>
      <w:r>
        <w:rPr>
          <w:rFonts w:ascii="Times New Roman" w:hAnsi="Times New Roman"/>
          <w:highlight w:val="none"/>
        </w:rPr>
        <w:t>袋式除尘器的除尘，除了纤维层的过滤作用外，还有撞击、扩散、静电、重力沉积等作用，因而可捕集到不同粒径的尘粒，其除尘效率可达99.96%以上；</w:t>
      </w:r>
    </w:p>
    <w:p w14:paraId="6A12C72B">
      <w:pPr>
        <w:ind w:firstLine="480"/>
        <w:rPr>
          <w:rFonts w:ascii="Times New Roman" w:hAnsi="Times New Roman"/>
          <w:highlight w:val="none"/>
        </w:rPr>
      </w:pPr>
      <w:r>
        <w:rPr>
          <w:rFonts w:hint="eastAsia" w:ascii="宋体" w:hAnsi="宋体" w:cs="宋体"/>
          <w:highlight w:val="none"/>
        </w:rPr>
        <w:t>②</w:t>
      </w:r>
      <w:r>
        <w:rPr>
          <w:rFonts w:ascii="Times New Roman" w:hAnsi="Times New Roman"/>
          <w:highlight w:val="none"/>
        </w:rPr>
        <w:t>袋式除尘器捕集细小灰粒的能力强，粒径仅为0.0025μm的微尘也能加以捕集，故减少了排入大气中的微尘量，特别是对减少大气中重金属污染更有效；</w:t>
      </w:r>
    </w:p>
    <w:p w14:paraId="029EF352">
      <w:pPr>
        <w:ind w:firstLine="480"/>
        <w:rPr>
          <w:rFonts w:ascii="Times New Roman" w:hAnsi="Times New Roman"/>
          <w:highlight w:val="none"/>
        </w:rPr>
      </w:pPr>
      <w:r>
        <w:rPr>
          <w:rFonts w:hint="eastAsia" w:ascii="宋体" w:hAnsi="宋体" w:cs="宋体"/>
          <w:highlight w:val="none"/>
        </w:rPr>
        <w:t>③</w:t>
      </w:r>
      <w:r>
        <w:rPr>
          <w:rFonts w:ascii="Times New Roman" w:hAnsi="Times New Roman"/>
          <w:highlight w:val="none"/>
        </w:rPr>
        <w:t>袋式除尘器处理烟气量大，每小时可达数百万立方米，可与大型锅炉配套。特别是对高电阻率的颗粒物来说，是用袋式除尘器尤为有利；</w:t>
      </w:r>
    </w:p>
    <w:p w14:paraId="0857FA89">
      <w:pPr>
        <w:ind w:firstLine="480"/>
        <w:rPr>
          <w:rFonts w:ascii="Times New Roman" w:hAnsi="Times New Roman"/>
          <w:highlight w:val="none"/>
        </w:rPr>
      </w:pPr>
      <w:r>
        <w:rPr>
          <w:rFonts w:hint="eastAsia" w:ascii="宋体" w:hAnsi="宋体" w:cs="宋体"/>
          <w:highlight w:val="none"/>
        </w:rPr>
        <w:t>④</w:t>
      </w:r>
      <w:r>
        <w:rPr>
          <w:rFonts w:ascii="Times New Roman" w:hAnsi="Times New Roman"/>
          <w:highlight w:val="none"/>
        </w:rPr>
        <w:t>袋式除尘器的除尘效率不受颗粒物化学成分变化的影响，效率稳定。当除尘器阻力小于1000Pa时，入口含尘浓度即使有较大变化，对其阻力及除尘效率的影响也不明显；</w:t>
      </w:r>
    </w:p>
    <w:p w14:paraId="03992469">
      <w:pPr>
        <w:ind w:firstLine="480"/>
        <w:rPr>
          <w:rFonts w:ascii="Times New Roman" w:hAnsi="Times New Roman"/>
          <w:highlight w:val="none"/>
        </w:rPr>
      </w:pPr>
      <w:r>
        <w:rPr>
          <w:rFonts w:hint="eastAsia" w:ascii="宋体" w:hAnsi="宋体" w:cs="宋体"/>
          <w:highlight w:val="none"/>
        </w:rPr>
        <w:t>⑤</w:t>
      </w:r>
      <w:r>
        <w:rPr>
          <w:rFonts w:ascii="Times New Roman" w:hAnsi="Times New Roman"/>
          <w:highlight w:val="none"/>
        </w:rPr>
        <w:t>实行分室过滤，可在运行中检修与换袋，发生故障一般不必停炉。如果配合喷雾或喷干粉烟气脱硫（FGD）系统，具有一定的脱硫作用。</w:t>
      </w:r>
    </w:p>
    <w:p w14:paraId="1A07A274">
      <w:pPr>
        <w:ind w:firstLine="480"/>
        <w:rPr>
          <w:rFonts w:ascii="Times New Roman" w:hAnsi="Times New Roman"/>
          <w:highlight w:val="none"/>
        </w:rPr>
      </w:pPr>
      <w:r>
        <w:rPr>
          <w:rFonts w:ascii="Times New Roman" w:hAnsi="Times New Roman"/>
          <w:highlight w:val="none"/>
        </w:rPr>
        <w:t>随着国家对环保要求的提高，一方面，电厂更多低要燃用低硫煤，其灰的电阻率值比较高，使得采用电除尘器的费用增大；另一方面，滤袋的质量、袋式的设计以及运行技术水平的提高，使得滤袋使用寿命已大为延长。</w:t>
      </w:r>
    </w:p>
    <w:p w14:paraId="2DD665CF">
      <w:pPr>
        <w:ind w:firstLine="480"/>
        <w:rPr>
          <w:rFonts w:ascii="Times New Roman" w:hAnsi="Times New Roman"/>
          <w:highlight w:val="none"/>
        </w:rPr>
      </w:pPr>
      <w:r>
        <w:rPr>
          <w:rFonts w:ascii="Times New Roman" w:hAnsi="Times New Roman"/>
          <w:highlight w:val="none"/>
        </w:rPr>
        <w:t>袋式除尘器适应性强，不受颗粒物电阻率和物化特性等的影响；在新建或改造机组中都适用，在高灰份燃煤电厂锅炉、循环流化床锅炉及干法脱硫装置的烟气治理中应用较广；适用于排放要求严格的环境敏感地区。</w:t>
      </w:r>
    </w:p>
    <w:p w14:paraId="1426E821">
      <w:pPr>
        <w:ind w:firstLine="480"/>
        <w:rPr>
          <w:rFonts w:ascii="Times New Roman" w:hAnsi="Times New Roman"/>
          <w:highlight w:val="none"/>
        </w:rPr>
      </w:pPr>
      <w:r>
        <w:rPr>
          <w:rFonts w:ascii="Times New Roman" w:hAnsi="Times New Roman"/>
          <w:highlight w:val="none"/>
        </w:rPr>
        <w:t>本项目采用布袋除尘器除尘，保证除尘器效率可达99.92%以上，与湿法脱硫协同除尘，效率可达99.96%，烟气经除尘设施处理后，烟尘排放浓度满足超低排放要求。</w:t>
      </w:r>
    </w:p>
    <w:p w14:paraId="57FD05B7">
      <w:pPr>
        <w:ind w:firstLine="480"/>
        <w:rPr>
          <w:rFonts w:ascii="Times New Roman" w:hAnsi="Times New Roman"/>
          <w:highlight w:val="none"/>
        </w:rPr>
      </w:pPr>
      <w:r>
        <w:rPr>
          <w:rFonts w:ascii="Times New Roman" w:hAnsi="Times New Roman"/>
          <w:highlight w:val="none"/>
        </w:rPr>
        <w:t>颗粒物排放浓度符合超低排放限值要求。</w:t>
      </w:r>
    </w:p>
    <w:p w14:paraId="29D63F47">
      <w:pPr>
        <w:ind w:firstLine="480"/>
        <w:rPr>
          <w:rFonts w:ascii="Times New Roman" w:hAnsi="Times New Roman"/>
          <w:highlight w:val="none"/>
        </w:rPr>
      </w:pPr>
      <w:r>
        <w:rPr>
          <w:rFonts w:ascii="Times New Roman" w:hAnsi="Times New Roman"/>
          <w:highlight w:val="none"/>
        </w:rPr>
        <w:t>五、烟气监测</w:t>
      </w:r>
    </w:p>
    <w:p w14:paraId="6E0F16F0">
      <w:pPr>
        <w:ind w:firstLine="480"/>
        <w:rPr>
          <w:rFonts w:ascii="Times New Roman" w:hAnsi="Times New Roman"/>
          <w:highlight w:val="none"/>
        </w:rPr>
      </w:pPr>
      <w:r>
        <w:rPr>
          <w:rFonts w:ascii="Times New Roman" w:hAnsi="Times New Roman"/>
          <w:highlight w:val="none"/>
        </w:rPr>
        <w:t>本项目锅炉烟气经脱硝、除尘、脱硫处理后分别经1座高</w:t>
      </w:r>
      <w:r>
        <w:rPr>
          <w:rFonts w:hint="eastAsia" w:ascii="Times New Roman" w:hAnsi="Times New Roman"/>
          <w:highlight w:val="none"/>
          <w:lang w:val="en-US" w:eastAsia="zh-CN"/>
        </w:rPr>
        <w:t>60</w:t>
      </w:r>
      <w:r>
        <w:rPr>
          <w:rFonts w:ascii="Times New Roman" w:hAnsi="Times New Roman"/>
          <w:highlight w:val="none"/>
        </w:rPr>
        <w:t>m，内径</w:t>
      </w:r>
      <w:r>
        <w:rPr>
          <w:rFonts w:hint="eastAsia" w:ascii="Times New Roman" w:hAnsi="Times New Roman"/>
          <w:highlight w:val="none"/>
          <w:lang w:val="en-US" w:eastAsia="zh-CN"/>
        </w:rPr>
        <w:t>4</w:t>
      </w:r>
      <w:r>
        <w:rPr>
          <w:rFonts w:ascii="Times New Roman" w:hAnsi="Times New Roman"/>
          <w:highlight w:val="none"/>
        </w:rPr>
        <w:t>m烟囱排放，烟气中烟尘、SO</w:t>
      </w:r>
      <w:r>
        <w:rPr>
          <w:rFonts w:ascii="Times New Roman" w:hAnsi="Times New Roman"/>
          <w:highlight w:val="none"/>
          <w:vertAlign w:val="subscript"/>
        </w:rPr>
        <w:t>2</w:t>
      </w:r>
      <w:r>
        <w:rPr>
          <w:rFonts w:ascii="Times New Roman" w:hAnsi="Times New Roman"/>
          <w:highlight w:val="none"/>
        </w:rPr>
        <w:t>和NOx排放浓度需满足超低排放标准限值要求。</w:t>
      </w:r>
    </w:p>
    <w:p w14:paraId="4176F101">
      <w:pPr>
        <w:ind w:firstLine="480"/>
        <w:rPr>
          <w:rFonts w:ascii="Times New Roman" w:hAnsi="Times New Roman"/>
          <w:highlight w:val="none"/>
        </w:rPr>
      </w:pPr>
      <w:r>
        <w:rPr>
          <w:rFonts w:ascii="Times New Roman" w:hAnsi="Times New Roman"/>
          <w:highlight w:val="none"/>
        </w:rPr>
        <w:t>为及时了解和监测热电厂烟气污染防治措施运行效果和排放情况，应安装烟气自动连续监测系统，监测烟气中烟尘、SO</w:t>
      </w:r>
      <w:r>
        <w:rPr>
          <w:rFonts w:ascii="Times New Roman" w:hAnsi="Times New Roman"/>
          <w:highlight w:val="none"/>
          <w:vertAlign w:val="subscript"/>
        </w:rPr>
        <w:t>2</w:t>
      </w:r>
      <w:r>
        <w:rPr>
          <w:rFonts w:ascii="Times New Roman" w:hAnsi="Times New Roman"/>
          <w:highlight w:val="none"/>
        </w:rPr>
        <w:t>和NOx排放浓度以及烟气温度、流速、O</w:t>
      </w:r>
      <w:r>
        <w:rPr>
          <w:rFonts w:ascii="Times New Roman" w:hAnsi="Times New Roman"/>
          <w:highlight w:val="none"/>
          <w:vertAlign w:val="subscript"/>
        </w:rPr>
        <w:t>2</w:t>
      </w:r>
      <w:r>
        <w:rPr>
          <w:rFonts w:ascii="Times New Roman" w:hAnsi="Times New Roman"/>
          <w:highlight w:val="none"/>
        </w:rPr>
        <w:t>含量、压力、湿度等参数，烟气连续监测装置留有与当地环境保护主管部门的接口。</w:t>
      </w:r>
    </w:p>
    <w:p w14:paraId="763B125F">
      <w:pPr>
        <w:ind w:firstLine="480"/>
        <w:rPr>
          <w:rFonts w:ascii="Times New Roman" w:hAnsi="Times New Roman"/>
          <w:highlight w:val="none"/>
        </w:rPr>
      </w:pPr>
      <w:r>
        <w:rPr>
          <w:rFonts w:ascii="Times New Roman" w:hAnsi="Times New Roman"/>
          <w:highlight w:val="none"/>
        </w:rPr>
        <w:t>本项目</w:t>
      </w:r>
      <w:r>
        <w:rPr>
          <w:rFonts w:hint="eastAsia" w:ascii="Times New Roman" w:hAnsi="Times New Roman"/>
          <w:highlight w:val="none"/>
          <w:lang w:val="en-US" w:eastAsia="zh-CN"/>
        </w:rPr>
        <w:t>三台</w:t>
      </w:r>
      <w:r>
        <w:rPr>
          <w:rFonts w:ascii="Times New Roman" w:hAnsi="Times New Roman"/>
          <w:highlight w:val="none"/>
        </w:rPr>
        <w:t>锅炉共用一座高</w:t>
      </w:r>
      <w:r>
        <w:rPr>
          <w:rFonts w:hint="eastAsia" w:ascii="Times New Roman" w:hAnsi="Times New Roman"/>
          <w:highlight w:val="none"/>
          <w:lang w:val="en-US" w:eastAsia="zh-CN"/>
        </w:rPr>
        <w:t>60</w:t>
      </w:r>
      <w:r>
        <w:rPr>
          <w:rFonts w:ascii="Times New Roman" w:hAnsi="Times New Roman"/>
          <w:highlight w:val="none"/>
        </w:rPr>
        <w:t>m烟囱，设置1套烟气在线监测系统；与</w:t>
      </w:r>
      <w:r>
        <w:rPr>
          <w:rFonts w:hint="eastAsia" w:ascii="Times New Roman" w:hAnsi="Times New Roman"/>
          <w:highlight w:val="none"/>
          <w:lang w:val="en-US" w:eastAsia="zh-CN"/>
        </w:rPr>
        <w:t>绥芬河</w:t>
      </w:r>
      <w:r>
        <w:rPr>
          <w:rFonts w:ascii="Times New Roman" w:hAnsi="Times New Roman"/>
          <w:highlight w:val="none"/>
        </w:rPr>
        <w:t>市生态环境局监控中心联网。</w:t>
      </w:r>
    </w:p>
    <w:p w14:paraId="59CD4851">
      <w:pPr>
        <w:ind w:firstLine="480"/>
        <w:rPr>
          <w:rFonts w:ascii="Times New Roman" w:hAnsi="Times New Roman"/>
          <w:highlight w:val="none"/>
        </w:rPr>
      </w:pPr>
      <w:r>
        <w:rPr>
          <w:rFonts w:ascii="Times New Roman" w:hAnsi="Times New Roman"/>
          <w:highlight w:val="none"/>
        </w:rPr>
        <w:t>在线监测装置的安装位置遵照《固定污染源烟气排放连续监测技术规范》要求：“为了便于颗粒物和流速参比方法的校验和比对监测，烟气CEMS不宜安装在烟道内烟气流速小于5m/s的位置”，“颗粒物CEMS应设置在距弯头、阀门、变径管下游方向不小于4倍烟道直径，以及距上述部件上游方向不小于2倍烟道直径处；对于气态污染物在线监测设备应设置在距弯头、阀门、变径管下游方向不小于2倍烟道直径，以及距上述部件上游方向不小于0.5倍烟道直径处。</w:t>
      </w:r>
    </w:p>
    <w:p w14:paraId="0D360F7D">
      <w:pPr>
        <w:ind w:firstLine="480"/>
        <w:rPr>
          <w:rFonts w:ascii="Times New Roman" w:hAnsi="Times New Roman"/>
          <w:highlight w:val="none"/>
        </w:rPr>
      </w:pPr>
      <w:r>
        <w:rPr>
          <w:rFonts w:ascii="Times New Roman" w:hAnsi="Times New Roman"/>
          <w:highlight w:val="none"/>
        </w:rPr>
        <w:t>六、烟囱高度合理性论证</w:t>
      </w:r>
    </w:p>
    <w:p w14:paraId="163DE5EA">
      <w:pPr>
        <w:ind w:firstLine="480"/>
        <w:rPr>
          <w:rFonts w:ascii="Times New Roman" w:hAnsi="Times New Roman"/>
          <w:highlight w:val="none"/>
        </w:rPr>
      </w:pPr>
      <w:r>
        <w:rPr>
          <w:rFonts w:ascii="Times New Roman" w:hAnsi="Times New Roman"/>
          <w:highlight w:val="none"/>
        </w:rPr>
        <w:t>根据《制定地方大气污染物排放标准的技术方法》(GBT 3840-1991)，新建、改建和扩建工程的排气筒应保证其出口处烟气速度Vs不得小于按下式计算出的风速Vc的1.5倍。</w:t>
      </w:r>
    </w:p>
    <w:p w14:paraId="2EBF6F07">
      <w:pPr>
        <w:ind w:firstLine="0" w:firstLineChars="0"/>
        <w:jc w:val="center"/>
        <w:rPr>
          <w:rFonts w:ascii="Times New Roman" w:hAnsi="Times New Roman"/>
          <w:highlight w:val="none"/>
        </w:rPr>
      </w:pPr>
      <w:r>
        <w:rPr>
          <w:rFonts w:ascii="Times New Roman" w:hAnsi="Times New Roman"/>
          <w:highlight w:val="none"/>
        </w:rPr>
        <w:drawing>
          <wp:inline distT="0" distB="0" distL="114300" distR="114300">
            <wp:extent cx="2724150" cy="638175"/>
            <wp:effectExtent l="0" t="0" r="0" b="9525"/>
            <wp:docPr id="1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0"/>
                    <pic:cNvPicPr>
                      <a:picLocks noChangeAspect="1"/>
                    </pic:cNvPicPr>
                  </pic:nvPicPr>
                  <pic:blipFill>
                    <a:blip r:embed="rId60"/>
                    <a:stretch>
                      <a:fillRect/>
                    </a:stretch>
                  </pic:blipFill>
                  <pic:spPr>
                    <a:xfrm>
                      <a:off x="0" y="0"/>
                      <a:ext cx="2724150" cy="638175"/>
                    </a:xfrm>
                    <a:prstGeom prst="rect">
                      <a:avLst/>
                    </a:prstGeom>
                    <a:noFill/>
                    <a:ln>
                      <a:noFill/>
                    </a:ln>
                  </pic:spPr>
                </pic:pic>
              </a:graphicData>
            </a:graphic>
          </wp:inline>
        </w:drawing>
      </w:r>
    </w:p>
    <w:p w14:paraId="5A67CD5C">
      <w:pPr>
        <w:ind w:firstLine="0" w:firstLineChars="0"/>
        <w:jc w:val="center"/>
        <w:rPr>
          <w:rFonts w:ascii="Times New Roman" w:hAnsi="Times New Roman"/>
          <w:highlight w:val="none"/>
        </w:rPr>
      </w:pPr>
      <w:r>
        <w:rPr>
          <w:rFonts w:ascii="Times New Roman" w:hAnsi="Times New Roman"/>
          <w:highlight w:val="none"/>
        </w:rPr>
        <w:drawing>
          <wp:inline distT="0" distB="0" distL="114300" distR="114300">
            <wp:extent cx="1828800" cy="400050"/>
            <wp:effectExtent l="0" t="0" r="0" b="0"/>
            <wp:docPr id="1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
                    <pic:cNvPicPr>
                      <a:picLocks noChangeAspect="1"/>
                    </pic:cNvPicPr>
                  </pic:nvPicPr>
                  <pic:blipFill>
                    <a:blip r:embed="rId61"/>
                    <a:stretch>
                      <a:fillRect/>
                    </a:stretch>
                  </pic:blipFill>
                  <pic:spPr>
                    <a:xfrm>
                      <a:off x="0" y="0"/>
                      <a:ext cx="1828800" cy="400050"/>
                    </a:xfrm>
                    <a:prstGeom prst="rect">
                      <a:avLst/>
                    </a:prstGeom>
                    <a:noFill/>
                    <a:ln>
                      <a:noFill/>
                    </a:ln>
                  </pic:spPr>
                </pic:pic>
              </a:graphicData>
            </a:graphic>
          </wp:inline>
        </w:drawing>
      </w:r>
    </w:p>
    <w:p w14:paraId="0A855AE9">
      <w:pPr>
        <w:ind w:firstLine="480"/>
        <w:rPr>
          <w:rFonts w:ascii="Times New Roman" w:hAnsi="Times New Roman"/>
          <w:highlight w:val="none"/>
        </w:rPr>
      </w:pPr>
      <w:r>
        <w:rPr>
          <w:rFonts w:ascii="Times New Roman" w:hAnsi="Times New Roman"/>
          <w:highlight w:val="none"/>
        </w:rPr>
        <w:t>式中：</w:t>
      </w:r>
    </w:p>
    <w:p w14:paraId="3B2A983B">
      <w:pPr>
        <w:ind w:firstLine="420"/>
        <w:rPr>
          <w:rFonts w:ascii="Times New Roman" w:hAnsi="Times New Roman"/>
          <w:highlight w:val="none"/>
        </w:rPr>
      </w:pPr>
      <w:r>
        <w:rPr>
          <w:rFonts w:ascii="Times New Roman" w:hAnsi="Times New Roman"/>
          <w:position w:val="-6"/>
          <w:sz w:val="21"/>
          <w:szCs w:val="28"/>
          <w:highlight w:val="none"/>
        </w:rPr>
        <w:object>
          <v:shape id="_x0000_i1031" o:spt="75" type="#_x0000_t75" style="height:21.9pt;width:11.9pt;" o:ole="t" filled="f" o:preferrelative="t" stroked="f" coordsize="21600,21600">
            <v:path/>
            <v:fill on="f" focussize="0,0"/>
            <v:stroke on="f"/>
            <v:imagedata r:id="rId63" o:title=""/>
            <o:lock v:ext="edit" aspectratio="t"/>
            <w10:wrap type="none"/>
            <w10:anchorlock/>
          </v:shape>
          <o:OLEObject Type="Embed" ProgID="Equation.3" ShapeID="_x0000_i1031" DrawAspect="Content" ObjectID="_1468075731" r:id="rId62">
            <o:LockedField>false</o:LockedField>
          </o:OLEObject>
        </w:object>
      </w:r>
      <w:r>
        <w:rPr>
          <w:rFonts w:ascii="Times New Roman" w:hAnsi="Times New Roman"/>
          <w:highlight w:val="none"/>
        </w:rPr>
        <w:t>—排气筒出口高度处环境风速的多年平均风速，</w:t>
      </w:r>
      <w:r>
        <w:rPr>
          <w:rFonts w:hint="eastAsia" w:ascii="Times New Roman" w:hAnsi="Times New Roman"/>
          <w:highlight w:val="none"/>
          <w:lang w:val="en-US" w:eastAsia="zh-CN"/>
        </w:rPr>
        <w:t>3.4</w:t>
      </w:r>
      <w:r>
        <w:rPr>
          <w:rFonts w:ascii="Times New Roman" w:hAnsi="Times New Roman"/>
          <w:highlight w:val="none"/>
        </w:rPr>
        <w:t>m/s</w:t>
      </w:r>
    </w:p>
    <w:p w14:paraId="2010A1CA">
      <w:pPr>
        <w:ind w:firstLine="480"/>
        <w:rPr>
          <w:rFonts w:hint="default" w:ascii="Times New Roman" w:hAnsi="Times New Roman" w:eastAsia="宋体"/>
          <w:highlight w:val="none"/>
          <w:lang w:val="en-US" w:eastAsia="zh-CN"/>
        </w:rPr>
      </w:pPr>
      <w:r>
        <w:rPr>
          <w:rFonts w:ascii="Times New Roman" w:hAnsi="Times New Roman"/>
          <w:highlight w:val="none"/>
        </w:rPr>
        <w:t>K—韦伯斜率；K按照上面公式计算为</w:t>
      </w:r>
      <w:r>
        <w:rPr>
          <w:rFonts w:hint="eastAsia" w:ascii="Times New Roman" w:hAnsi="Times New Roman"/>
          <w:highlight w:val="none"/>
          <w:lang w:val="en-US" w:eastAsia="zh-CN"/>
        </w:rPr>
        <w:t>1.386</w:t>
      </w:r>
    </w:p>
    <w:p w14:paraId="7526D24D">
      <w:pPr>
        <w:ind w:firstLine="420"/>
        <w:rPr>
          <w:rFonts w:ascii="Times New Roman" w:hAnsi="Times New Roman"/>
          <w:highlight w:val="none"/>
        </w:rPr>
      </w:pPr>
      <w:r>
        <w:rPr>
          <w:rFonts w:ascii="Times New Roman" w:hAnsi="Times New Roman"/>
          <w:position w:val="-10"/>
          <w:sz w:val="21"/>
          <w:szCs w:val="28"/>
          <w:highlight w:val="none"/>
        </w:rPr>
        <w:object>
          <v:shape id="_x0000_i1032" o:spt="75" type="#_x0000_t75" style="height:15.65pt;width:26.9pt;" o:ole="t" filled="f" o:preferrelative="t" stroked="f" coordsize="21600,21600">
            <v:path/>
            <v:fill on="f" focussize="0,0"/>
            <v:stroke on="f"/>
            <v:imagedata r:id="rId65" o:title=""/>
            <o:lock v:ext="edit" aspectratio="t"/>
            <w10:wrap type="none"/>
            <w10:anchorlock/>
          </v:shape>
          <o:OLEObject Type="Embed" ProgID="Equation.3" ShapeID="_x0000_i1032" DrawAspect="Content" ObjectID="_1468075732" r:id="rId64">
            <o:LockedField>false</o:LockedField>
          </o:OLEObject>
        </w:object>
      </w:r>
      <w:r>
        <w:rPr>
          <w:rFonts w:ascii="Times New Roman" w:hAnsi="Times New Roman"/>
          <w:highlight w:val="none"/>
        </w:rPr>
        <w:t>—函数，</w:t>
      </w:r>
      <w:r>
        <w:rPr>
          <w:rFonts w:ascii="Times New Roman" w:hAnsi="Times New Roman"/>
          <w:position w:val="-6"/>
          <w:sz w:val="21"/>
          <w:szCs w:val="28"/>
          <w:highlight w:val="none"/>
        </w:rPr>
        <w:object>
          <v:shape id="_x0000_i1033" o:spt="75" type="#_x0000_t75" style="height:14.4pt;width:11.25pt;" o:ole="t" filled="f" o:preferrelative="t" stroked="f" coordsize="21600,21600">
            <v:path/>
            <v:fill on="f" focussize="0,0"/>
            <v:stroke on="f"/>
            <v:imagedata r:id="rId67" o:title=""/>
            <o:lock v:ext="edit" aspectratio="t"/>
            <w10:wrap type="none"/>
            <w10:anchorlock/>
          </v:shape>
          <o:OLEObject Type="Embed" ProgID="Equation.3" ShapeID="_x0000_i1033" DrawAspect="Content" ObjectID="_1468075733" r:id="rId66">
            <o:LockedField>false</o:LockedField>
          </o:OLEObject>
        </w:object>
      </w:r>
      <w:r>
        <w:rPr>
          <w:rFonts w:ascii="Times New Roman" w:hAnsi="Times New Roman"/>
          <w:highlight w:val="none"/>
        </w:rPr>
        <w:t>=1+1/K。</w:t>
      </w:r>
    </w:p>
    <w:p w14:paraId="66EAF12D">
      <w:pPr>
        <w:ind w:firstLine="480"/>
        <w:rPr>
          <w:rFonts w:ascii="Times New Roman" w:hAnsi="Times New Roman"/>
          <w:highlight w:val="none"/>
        </w:rPr>
      </w:pPr>
      <w:r>
        <w:rPr>
          <w:rFonts w:ascii="Times New Roman" w:hAnsi="Times New Roman"/>
          <w:highlight w:val="none"/>
        </w:rPr>
        <w:t>本项目</w:t>
      </w:r>
      <w:r>
        <w:rPr>
          <w:rFonts w:hint="eastAsia" w:ascii="Times New Roman" w:hAnsi="Times New Roman"/>
          <w:highlight w:val="none"/>
          <w:lang w:val="en-US" w:eastAsia="zh-CN"/>
        </w:rPr>
        <w:t>三台</w:t>
      </w:r>
      <w:r>
        <w:rPr>
          <w:rFonts w:ascii="Times New Roman" w:hAnsi="Times New Roman"/>
          <w:highlight w:val="none"/>
        </w:rPr>
        <w:t>锅炉烟气经处理后通过一座</w:t>
      </w:r>
      <w:r>
        <w:rPr>
          <w:rFonts w:hint="eastAsia" w:ascii="Times New Roman" w:hAnsi="Times New Roman"/>
          <w:highlight w:val="none"/>
          <w:lang w:val="en-US" w:eastAsia="zh-CN"/>
        </w:rPr>
        <w:t>60</w:t>
      </w:r>
      <w:r>
        <w:rPr>
          <w:rFonts w:ascii="Times New Roman" w:hAnsi="Times New Roman"/>
          <w:highlight w:val="none"/>
        </w:rPr>
        <w:t>m烟囱排出</w:t>
      </w:r>
      <w:r>
        <w:rPr>
          <w:rFonts w:hint="eastAsia" w:ascii="Times New Roman" w:hAnsi="Times New Roman"/>
          <w:highlight w:val="none"/>
          <w:lang w:eastAsia="zh-CN"/>
        </w:rPr>
        <w:t>，</w:t>
      </w:r>
      <w:r>
        <w:rPr>
          <w:rFonts w:hint="eastAsia" w:ascii="Times New Roman" w:hAnsi="Times New Roman"/>
          <w:highlight w:val="none"/>
          <w:lang w:val="en-US" w:eastAsia="zh-CN"/>
        </w:rPr>
        <w:t>按照企业实际运行情况</w:t>
      </w:r>
      <w:r>
        <w:rPr>
          <w:rFonts w:ascii="Times New Roman" w:hAnsi="Times New Roman"/>
          <w:highlight w:val="none"/>
        </w:rPr>
        <w:t>经计算项目</w:t>
      </w:r>
      <w:r>
        <w:rPr>
          <w:rFonts w:hint="eastAsia" w:ascii="Times New Roman" w:hAnsi="Times New Roman"/>
          <w:highlight w:val="none"/>
          <w:lang w:val="en-US" w:eastAsia="zh-CN"/>
        </w:rPr>
        <w:t>三台</w:t>
      </w:r>
      <w:r>
        <w:rPr>
          <w:rFonts w:ascii="Times New Roman" w:hAnsi="Times New Roman"/>
          <w:highlight w:val="none"/>
        </w:rPr>
        <w:t>锅炉烟气出口速度</w:t>
      </w:r>
      <w:r>
        <w:rPr>
          <w:rFonts w:hint="eastAsia" w:ascii="Times New Roman" w:hAnsi="Times New Roman"/>
          <w:highlight w:val="none"/>
          <w:lang w:val="en-US" w:eastAsia="zh-CN"/>
        </w:rPr>
        <w:t>最大</w:t>
      </w:r>
      <w:r>
        <w:rPr>
          <w:rFonts w:ascii="Times New Roman" w:hAnsi="Times New Roman"/>
          <w:highlight w:val="none"/>
        </w:rPr>
        <w:t>Vs为</w:t>
      </w:r>
      <w:r>
        <w:rPr>
          <w:rFonts w:hint="eastAsia" w:ascii="Times New Roman" w:hAnsi="Times New Roman"/>
          <w:highlight w:val="none"/>
          <w:lang w:val="en-US" w:eastAsia="zh-CN"/>
        </w:rPr>
        <w:t>6.9</w:t>
      </w:r>
      <w:r>
        <w:rPr>
          <w:rFonts w:ascii="Times New Roman" w:hAnsi="Times New Roman"/>
          <w:highlight w:val="none"/>
        </w:rPr>
        <w:t>m/s，Vc为</w:t>
      </w:r>
      <w:r>
        <w:rPr>
          <w:rFonts w:hint="eastAsia" w:ascii="Times New Roman" w:hAnsi="Times New Roman"/>
          <w:highlight w:val="none"/>
          <w:lang w:val="en-US" w:eastAsia="zh-CN"/>
        </w:rPr>
        <w:t>2.2</w:t>
      </w:r>
      <w:r>
        <w:rPr>
          <w:rFonts w:ascii="Times New Roman" w:hAnsi="Times New Roman"/>
          <w:highlight w:val="none"/>
        </w:rPr>
        <w:t>m/s，Vs大于1.5Vc，因此本项目采用的烟囱高度与出口内径从环境保护角度来看是合理的。</w:t>
      </w:r>
    </w:p>
    <w:p w14:paraId="54CEC46A">
      <w:pPr>
        <w:ind w:firstLine="480"/>
        <w:rPr>
          <w:rFonts w:ascii="Times New Roman" w:hAnsi="Times New Roman"/>
          <w:highlight w:val="none"/>
        </w:rPr>
      </w:pPr>
      <w:r>
        <w:rPr>
          <w:rFonts w:ascii="Times New Roman" w:hAnsi="Times New Roman"/>
          <w:highlight w:val="none"/>
        </w:rPr>
        <w:t>本工程锅炉烟气经除尘、脱硫、脱硝处理后由</w:t>
      </w:r>
      <w:r>
        <w:rPr>
          <w:rFonts w:hint="eastAsia" w:ascii="Times New Roman" w:hAnsi="Times New Roman"/>
          <w:highlight w:val="none"/>
          <w:lang w:val="en-US" w:eastAsia="zh-CN"/>
        </w:rPr>
        <w:t>60</w:t>
      </w:r>
      <w:r>
        <w:rPr>
          <w:rFonts w:ascii="Times New Roman" w:hAnsi="Times New Roman"/>
          <w:highlight w:val="none"/>
        </w:rPr>
        <w:t>m高，内径为</w:t>
      </w:r>
      <w:r>
        <w:rPr>
          <w:rFonts w:hint="eastAsia" w:ascii="Times New Roman" w:hAnsi="Times New Roman"/>
          <w:highlight w:val="none"/>
          <w:lang w:val="en-US" w:eastAsia="zh-CN"/>
        </w:rPr>
        <w:t>4</w:t>
      </w:r>
      <w:r>
        <w:rPr>
          <w:rFonts w:ascii="Times New Roman" w:hAnsi="Times New Roman"/>
          <w:highlight w:val="none"/>
        </w:rPr>
        <w:t>m的烟囱排放，烟气中烟尘的排放浓度为</w:t>
      </w:r>
      <w:r>
        <w:rPr>
          <w:rFonts w:hint="eastAsia" w:ascii="Times New Roman" w:hAnsi="Times New Roman"/>
          <w:highlight w:val="none"/>
          <w:lang w:val="en-US" w:eastAsia="zh-CN"/>
        </w:rPr>
        <w:t>3.23</w:t>
      </w:r>
      <w:r>
        <w:rPr>
          <w:rFonts w:ascii="Times New Roman" w:hAnsi="Times New Roman"/>
          <w:highlight w:val="none"/>
        </w:rPr>
        <w:t>mg/m</w:t>
      </w:r>
      <w:r>
        <w:rPr>
          <w:rFonts w:ascii="Times New Roman" w:hAnsi="Times New Roman"/>
          <w:highlight w:val="none"/>
          <w:vertAlign w:val="superscript"/>
        </w:rPr>
        <w:t>3</w:t>
      </w:r>
      <w:r>
        <w:rPr>
          <w:rFonts w:ascii="Times New Roman" w:hAnsi="Times New Roman"/>
          <w:highlight w:val="none"/>
        </w:rPr>
        <w:t>，SO</w:t>
      </w:r>
      <w:r>
        <w:rPr>
          <w:rFonts w:ascii="Times New Roman" w:hAnsi="Times New Roman"/>
          <w:highlight w:val="none"/>
          <w:vertAlign w:val="subscript"/>
        </w:rPr>
        <w:t>2</w:t>
      </w:r>
      <w:r>
        <w:rPr>
          <w:rFonts w:ascii="Times New Roman" w:hAnsi="Times New Roman"/>
          <w:highlight w:val="none"/>
        </w:rPr>
        <w:t>的排放浓度为</w:t>
      </w:r>
      <w:r>
        <w:rPr>
          <w:rFonts w:hint="eastAsia" w:ascii="Times New Roman" w:hAnsi="Times New Roman"/>
          <w:highlight w:val="none"/>
          <w:lang w:val="en-US" w:eastAsia="zh-CN"/>
        </w:rPr>
        <w:t>9.746</w:t>
      </w:r>
      <w:r>
        <w:rPr>
          <w:rFonts w:ascii="Times New Roman" w:hAnsi="Times New Roman"/>
          <w:highlight w:val="none"/>
        </w:rPr>
        <w:t>mg/m</w:t>
      </w:r>
      <w:r>
        <w:rPr>
          <w:rFonts w:ascii="Times New Roman" w:hAnsi="Times New Roman"/>
          <w:highlight w:val="none"/>
          <w:vertAlign w:val="superscript"/>
        </w:rPr>
        <w:t>3</w:t>
      </w:r>
      <w:r>
        <w:rPr>
          <w:rFonts w:ascii="Times New Roman" w:hAnsi="Times New Roman"/>
          <w:highlight w:val="none"/>
        </w:rPr>
        <w:t>，NOx排放浓度为</w:t>
      </w:r>
      <w:r>
        <w:rPr>
          <w:rFonts w:hint="eastAsia" w:ascii="Times New Roman" w:hAnsi="Times New Roman"/>
          <w:highlight w:val="none"/>
        </w:rPr>
        <w:t>45</w:t>
      </w:r>
      <w:r>
        <w:rPr>
          <w:rFonts w:ascii="Times New Roman" w:hAnsi="Times New Roman"/>
          <w:highlight w:val="none"/>
        </w:rPr>
        <w:t>mg/m</w:t>
      </w:r>
      <w:r>
        <w:rPr>
          <w:rFonts w:ascii="Times New Roman" w:hAnsi="Times New Roman"/>
          <w:highlight w:val="none"/>
          <w:vertAlign w:val="superscript"/>
        </w:rPr>
        <w:t>3</w:t>
      </w:r>
      <w:r>
        <w:rPr>
          <w:rFonts w:ascii="Times New Roman" w:hAnsi="Times New Roman"/>
          <w:highlight w:val="none"/>
        </w:rPr>
        <w:t>，能满足超低排放限值要求。</w:t>
      </w:r>
      <w:r>
        <w:rPr>
          <w:rFonts w:hint="eastAsia" w:ascii="Times New Roman" w:hAnsi="Times New Roman"/>
          <w:highlight w:val="none"/>
        </w:rPr>
        <w:t>且本项目烟囱高度为</w:t>
      </w:r>
      <w:r>
        <w:rPr>
          <w:rFonts w:hint="eastAsia" w:ascii="Times New Roman" w:hAnsi="Times New Roman"/>
          <w:highlight w:val="none"/>
          <w:lang w:val="en-US" w:eastAsia="zh-CN"/>
        </w:rPr>
        <w:t>60</w:t>
      </w:r>
      <w:r>
        <w:rPr>
          <w:rFonts w:hint="eastAsia" w:ascii="Times New Roman" w:hAnsi="Times New Roman"/>
          <w:highlight w:val="none"/>
        </w:rPr>
        <w:t>m，高于周围200m范围内最高构筑物3m以上。</w:t>
      </w:r>
    </w:p>
    <w:p w14:paraId="7817C1F4">
      <w:pPr>
        <w:pStyle w:val="7"/>
        <w:ind w:firstLine="480"/>
        <w:rPr>
          <w:rFonts w:ascii="Times New Roman" w:hAnsi="Times New Roman"/>
          <w:highlight w:val="none"/>
        </w:rPr>
      </w:pPr>
      <w:r>
        <w:rPr>
          <w:rFonts w:ascii="Times New Roman" w:hAnsi="Times New Roman"/>
          <w:highlight w:val="none"/>
        </w:rPr>
        <w:t>七、锅炉非正常工况烟气防治措施</w:t>
      </w:r>
    </w:p>
    <w:p w14:paraId="1A6FD976">
      <w:pPr>
        <w:pStyle w:val="7"/>
        <w:ind w:firstLine="480"/>
        <w:rPr>
          <w:rFonts w:ascii="Times New Roman" w:hAnsi="Times New Roman"/>
          <w:highlight w:val="none"/>
        </w:rPr>
      </w:pPr>
      <w:r>
        <w:rPr>
          <w:rFonts w:ascii="Times New Roman" w:hAnsi="Times New Roman"/>
          <w:highlight w:val="none"/>
        </w:rPr>
        <w:t>项目非正常工况锅炉烟气净化系统出现滤袋破损、脱硫塔设备故障、脱硝系统不能投运和低负荷运行或设备故障导致脱硝系统不能投运，相较正常排放污染物浓度大幅度上升。评价要求加强管理，避免或尽量减少非正常工况的发生，进一步降低非正常工况下对当地环境空气质量的不利影响。</w:t>
      </w:r>
    </w:p>
    <w:p w14:paraId="3CB2BAB3">
      <w:pPr>
        <w:pStyle w:val="7"/>
        <w:ind w:firstLine="480"/>
        <w:rPr>
          <w:rFonts w:ascii="Times New Roman" w:hAnsi="Times New Roman"/>
          <w:highlight w:val="none"/>
        </w:rPr>
      </w:pPr>
      <w:r>
        <w:rPr>
          <w:rFonts w:ascii="Times New Roman" w:hAnsi="Times New Roman"/>
          <w:highlight w:val="none"/>
        </w:rPr>
        <w:t>八、颗粒物及食堂油烟排放控制措施</w:t>
      </w:r>
    </w:p>
    <w:p w14:paraId="46FEF7BB">
      <w:pPr>
        <w:ind w:firstLine="480"/>
        <w:rPr>
          <w:rFonts w:ascii="Times New Roman" w:hAnsi="Times New Roman"/>
          <w:highlight w:val="none"/>
        </w:rPr>
      </w:pPr>
      <w:r>
        <w:rPr>
          <w:rFonts w:ascii="Times New Roman" w:hAnsi="Times New Roman"/>
          <w:highlight w:val="none"/>
        </w:rPr>
        <w:t>1、</w:t>
      </w:r>
      <w:r>
        <w:rPr>
          <w:rFonts w:hint="eastAsia" w:ascii="Times New Roman" w:hAnsi="Times New Roman"/>
          <w:highlight w:val="none"/>
        </w:rPr>
        <w:t>煤库</w:t>
      </w:r>
      <w:r>
        <w:rPr>
          <w:rFonts w:ascii="Times New Roman" w:hAnsi="Times New Roman"/>
          <w:highlight w:val="none"/>
        </w:rPr>
        <w:t xml:space="preserve">及输煤系统防尘措施 </w:t>
      </w:r>
    </w:p>
    <w:p w14:paraId="43C551A0">
      <w:pPr>
        <w:ind w:firstLine="480"/>
        <w:rPr>
          <w:rFonts w:ascii="Times New Roman" w:hAnsi="Times New Roman"/>
          <w:highlight w:val="none"/>
        </w:rPr>
      </w:pPr>
      <w:r>
        <w:rPr>
          <w:rFonts w:ascii="Times New Roman" w:hAnsi="Times New Roman"/>
          <w:highlight w:val="none"/>
        </w:rPr>
        <w:t>1）拟建项目采用全封闭</w:t>
      </w:r>
      <w:r>
        <w:rPr>
          <w:rFonts w:hint="eastAsia" w:ascii="Times New Roman" w:hAnsi="Times New Roman"/>
          <w:highlight w:val="none"/>
        </w:rPr>
        <w:t>储煤库</w:t>
      </w:r>
      <w:r>
        <w:rPr>
          <w:rFonts w:ascii="Times New Roman" w:hAnsi="Times New Roman"/>
          <w:highlight w:val="none"/>
        </w:rPr>
        <w:t>，并在</w:t>
      </w:r>
      <w:r>
        <w:rPr>
          <w:rFonts w:hint="eastAsia" w:ascii="Times New Roman" w:hAnsi="Times New Roman"/>
          <w:highlight w:val="none"/>
        </w:rPr>
        <w:t>储煤库</w:t>
      </w:r>
      <w:r>
        <w:rPr>
          <w:rFonts w:ascii="Times New Roman" w:hAnsi="Times New Roman"/>
          <w:highlight w:val="none"/>
        </w:rPr>
        <w:t>内设置喷淋装置进行抑尘，以减轻煤尘对厂区环境影响。</w:t>
      </w:r>
    </w:p>
    <w:p w14:paraId="1B9B3A69">
      <w:pPr>
        <w:ind w:firstLine="480"/>
        <w:rPr>
          <w:rFonts w:ascii="Times New Roman" w:hAnsi="Times New Roman"/>
          <w:highlight w:val="none"/>
        </w:rPr>
      </w:pPr>
      <w:r>
        <w:rPr>
          <w:rFonts w:ascii="Times New Roman" w:hAnsi="Times New Roman"/>
          <w:highlight w:val="none"/>
        </w:rPr>
        <w:t>2）输煤系统采用全封闭输煤栈桥，各输送机头部、导料槽出口设置自动喷水雾装置。</w:t>
      </w:r>
    </w:p>
    <w:p w14:paraId="6484AA8E">
      <w:pPr>
        <w:ind w:firstLine="480"/>
        <w:rPr>
          <w:rFonts w:ascii="Times New Roman" w:hAnsi="Times New Roman"/>
          <w:highlight w:val="none"/>
        </w:rPr>
      </w:pPr>
      <w:r>
        <w:rPr>
          <w:rFonts w:ascii="Times New Roman" w:hAnsi="Times New Roman"/>
          <w:highlight w:val="none"/>
        </w:rPr>
        <w:t>3）运煤车在装卸后都要清扫或清洗，运煤车要加蓬布，以减少煤灰沿途散落而污染环境。</w:t>
      </w:r>
    </w:p>
    <w:p w14:paraId="79495400">
      <w:pPr>
        <w:ind w:firstLine="480"/>
        <w:rPr>
          <w:rFonts w:ascii="Times New Roman" w:hAnsi="Times New Roman"/>
          <w:highlight w:val="none"/>
        </w:rPr>
      </w:pPr>
      <w:r>
        <w:rPr>
          <w:rFonts w:ascii="Times New Roman" w:hAnsi="Times New Roman"/>
          <w:highlight w:val="none"/>
        </w:rPr>
        <w:t xml:space="preserve">4）碎煤机室配套集气罩和除尘系统，由布袋除尘器、防爆离心风机、空压机、风管及其附件、控制及监测系统等组成。 </w:t>
      </w:r>
    </w:p>
    <w:p w14:paraId="21193019">
      <w:pPr>
        <w:ind w:firstLine="480"/>
        <w:rPr>
          <w:rFonts w:ascii="Times New Roman" w:hAnsi="Times New Roman"/>
          <w:highlight w:val="none"/>
        </w:rPr>
      </w:pPr>
      <w:r>
        <w:rPr>
          <w:rFonts w:ascii="Times New Roman" w:hAnsi="Times New Roman"/>
          <w:highlight w:val="none"/>
        </w:rPr>
        <w:t xml:space="preserve">2、除灰渣及石灰石粉输送系统防尘措施 </w:t>
      </w:r>
    </w:p>
    <w:p w14:paraId="60A2F236">
      <w:pPr>
        <w:ind w:firstLine="480"/>
        <w:rPr>
          <w:rFonts w:ascii="Times New Roman" w:hAnsi="Times New Roman"/>
          <w:highlight w:val="none"/>
        </w:rPr>
      </w:pPr>
      <w:r>
        <w:rPr>
          <w:rFonts w:ascii="Times New Roman" w:hAnsi="Times New Roman"/>
          <w:highlight w:val="none"/>
        </w:rPr>
        <w:t>1）本项目除灰渣系统采用灰、渣分除，锅炉除灰采用正压浓相气力除灰系统；炉底排渣采用机械湿式除渣系统。灰经输灰管道直接气力输送至灰仓暂存，由专用密封罐车运出厂外进行综合利用，不会因汽车运灰带来二次污染。灰仓、渣仓仓顶均设置脉冲除尘器。</w:t>
      </w:r>
    </w:p>
    <w:p w14:paraId="15380040">
      <w:pPr>
        <w:ind w:firstLine="480"/>
        <w:rPr>
          <w:rFonts w:ascii="Times New Roman" w:hAnsi="Times New Roman"/>
          <w:highlight w:val="none"/>
        </w:rPr>
      </w:pPr>
      <w:r>
        <w:rPr>
          <w:rFonts w:ascii="Times New Roman" w:hAnsi="Times New Roman"/>
          <w:highlight w:val="none"/>
        </w:rPr>
        <w:t>2）石灰石粉由专用密封罐车运送至厂内，石灰石粉采用气力输送至石灰石粉仓暂存，仓顶设置脉冲除尘器。</w:t>
      </w:r>
    </w:p>
    <w:p w14:paraId="2A693352">
      <w:pPr>
        <w:ind w:firstLine="480"/>
        <w:rPr>
          <w:rFonts w:ascii="Times New Roman" w:hAnsi="Times New Roman"/>
          <w:highlight w:val="none"/>
        </w:rPr>
      </w:pPr>
      <w:r>
        <w:rPr>
          <w:rFonts w:ascii="Times New Roman" w:hAnsi="Times New Roman"/>
          <w:highlight w:val="none"/>
        </w:rPr>
        <w:t>3）运渣车在装卸后都要清扫或清洗，并加盖篷布，以减少炉渣沿途散落而污染环境。</w:t>
      </w:r>
    </w:p>
    <w:p w14:paraId="4FDC562F">
      <w:pPr>
        <w:ind w:firstLine="480"/>
        <w:rPr>
          <w:rFonts w:ascii="Times New Roman" w:hAnsi="Times New Roman"/>
          <w:highlight w:val="none"/>
        </w:rPr>
      </w:pPr>
      <w:r>
        <w:rPr>
          <w:rFonts w:ascii="Times New Roman" w:hAnsi="Times New Roman"/>
          <w:highlight w:val="none"/>
        </w:rPr>
        <w:t>本项目采取的废气污染防治措施为常用废气治理措施，经济具有合理性、能够长期稳定运行和达标排放。</w:t>
      </w:r>
    </w:p>
    <w:p w14:paraId="01DCAA99">
      <w:pPr>
        <w:ind w:firstLine="480"/>
        <w:rPr>
          <w:rFonts w:hint="eastAsia" w:ascii="Times New Roman" w:hAnsi="Times New Roman"/>
          <w:highlight w:val="none"/>
        </w:rPr>
      </w:pPr>
      <w:r>
        <w:rPr>
          <w:rFonts w:hint="eastAsia" w:ascii="Times New Roman" w:hAnsi="Times New Roman"/>
          <w:highlight w:val="none"/>
        </w:rPr>
        <w:t>本项目食堂油烟经油烟净化器净化后，经专用烟道引至楼顶排放，</w:t>
      </w:r>
    </w:p>
    <w:p w14:paraId="3182B5FF">
      <w:pPr>
        <w:ind w:firstLine="480"/>
        <w:rPr>
          <w:rFonts w:ascii="Times New Roman" w:hAnsi="Times New Roman"/>
          <w:highlight w:val="none"/>
        </w:rPr>
      </w:pPr>
      <w:r>
        <w:rPr>
          <w:rFonts w:ascii="Times New Roman" w:hAnsi="Times New Roman"/>
          <w:highlight w:val="none"/>
        </w:rPr>
        <w:t>采取上述措施，可保证厂界无组织颗粒物的浓度满足《大气污染物综合排放标准》(GB16297-1996)中</w:t>
      </w:r>
      <w:r>
        <w:rPr>
          <w:rFonts w:hint="eastAsia" w:ascii="Times New Roman" w:hAnsi="Times New Roman"/>
          <w:highlight w:val="none"/>
        </w:rPr>
        <w:t>表2</w:t>
      </w:r>
      <w:r>
        <w:rPr>
          <w:rFonts w:ascii="Times New Roman" w:hAnsi="Times New Roman"/>
          <w:highlight w:val="none"/>
        </w:rPr>
        <w:t>无组织排放监控浓度限值（1.0mg/m</w:t>
      </w:r>
      <w:r>
        <w:rPr>
          <w:rFonts w:ascii="Times New Roman" w:hAnsi="Times New Roman"/>
          <w:highlight w:val="none"/>
          <w:vertAlign w:val="superscript"/>
        </w:rPr>
        <w:t>3</w:t>
      </w:r>
      <w:r>
        <w:rPr>
          <w:rFonts w:ascii="Times New Roman" w:hAnsi="Times New Roman"/>
          <w:highlight w:val="none"/>
        </w:rPr>
        <w:t>）要求。</w:t>
      </w:r>
      <w:r>
        <w:rPr>
          <w:rFonts w:hint="eastAsia" w:ascii="Times New Roman" w:hAnsi="Times New Roman"/>
          <w:highlight w:val="none"/>
        </w:rPr>
        <w:t>食堂油烟排放可满足《饮食业油烟排放标准（试行）》（GB18483-2001）（中型）油烟最高允许排放浓度为2.0mg/m</w:t>
      </w:r>
      <w:r>
        <w:rPr>
          <w:rFonts w:hint="eastAsia" w:ascii="Times New Roman" w:hAnsi="Times New Roman"/>
          <w:highlight w:val="none"/>
          <w:vertAlign w:val="superscript"/>
        </w:rPr>
        <w:t>3</w:t>
      </w:r>
      <w:r>
        <w:rPr>
          <w:rFonts w:hint="eastAsia" w:ascii="Times New Roman" w:hAnsi="Times New Roman"/>
          <w:highlight w:val="none"/>
        </w:rPr>
        <w:t>的要求。</w:t>
      </w:r>
    </w:p>
    <w:p w14:paraId="3E63EC16">
      <w:pPr>
        <w:pStyle w:val="23"/>
        <w:ind w:firstLine="480"/>
        <w:rPr>
          <w:rFonts w:hint="eastAsia"/>
          <w:color w:val="auto"/>
          <w:highlight w:val="none"/>
        </w:rPr>
      </w:pPr>
      <w:r>
        <w:rPr>
          <w:rFonts w:hint="eastAsia"/>
          <w:color w:val="auto"/>
          <w:highlight w:val="none"/>
        </w:rPr>
        <w:t>九、废气治理措施最优化的方案</w:t>
      </w:r>
    </w:p>
    <w:p w14:paraId="039CA929">
      <w:pPr>
        <w:ind w:firstLine="480"/>
        <w:rPr>
          <w:highlight w:val="none"/>
        </w:rPr>
      </w:pPr>
      <w:r>
        <w:rPr>
          <w:rFonts w:hint="eastAsia"/>
          <w:highlight w:val="none"/>
        </w:rPr>
        <w:t>本项目位于</w:t>
      </w:r>
      <w:r>
        <w:rPr>
          <w:rFonts w:hint="eastAsia"/>
          <w:highlight w:val="none"/>
          <w:lang w:val="en-US" w:eastAsia="zh-CN"/>
        </w:rPr>
        <w:t>绥芬河市</w:t>
      </w:r>
      <w:r>
        <w:rPr>
          <w:rFonts w:hint="eastAsia"/>
          <w:highlight w:val="none"/>
        </w:rPr>
        <w:t>，属于环境空气质量达标区，根据《环境影响评价技术导则-大气</w:t>
      </w:r>
      <w:r>
        <w:rPr>
          <w:rFonts w:ascii="Times New Roman" w:hAnsi="Times New Roman"/>
          <w:highlight w:val="none"/>
        </w:rPr>
        <w:t>环境》(HJ2.2-2018)》</w:t>
      </w:r>
      <w:r>
        <w:rPr>
          <w:rFonts w:hint="eastAsia" w:ascii="Times New Roman" w:hAnsi="Times New Roman"/>
          <w:highlight w:val="none"/>
        </w:rPr>
        <w:t>中“8.8.6.</w:t>
      </w:r>
      <w:r>
        <w:rPr>
          <w:rFonts w:hint="eastAsia" w:ascii="Times New Roman" w:hAnsi="Times New Roman"/>
          <w:highlight w:val="none"/>
          <w:lang w:val="en-US" w:eastAsia="zh-CN"/>
        </w:rPr>
        <w:t>1</w:t>
      </w:r>
      <w:r>
        <w:rPr>
          <w:rFonts w:hint="eastAsia" w:ascii="Times New Roman" w:hAnsi="Times New Roman"/>
          <w:highlight w:val="none"/>
        </w:rPr>
        <w:t xml:space="preserve"> 达标区建设项目选择大气污染治理设施、预防措施或多方案比选时，应综合考虑成本和治理效果，选择最佳可行技术方案，保证大气污染物能够达标排放，并使环境影响可以接受”</w:t>
      </w:r>
      <w:r>
        <w:rPr>
          <w:rFonts w:hint="eastAsia"/>
          <w:highlight w:val="none"/>
        </w:rPr>
        <w:t>可知，大气污染防治技术应选择最优方案。本项目在方案比选过程优先考虑处理效率高，污染排放小的处理工艺，在能够保障达标排放的情况下选择处理效果更好的污染防治工艺。本项目每台锅炉产生的锅炉烟气均采用低氮燃烧+SNCR-SCR联合脱硝（尿素）+布袋除尘器+石灰石–石膏湿法烟气脱硫（3炉</w:t>
      </w:r>
      <w:r>
        <w:rPr>
          <w:rFonts w:hint="eastAsia"/>
          <w:highlight w:val="none"/>
          <w:lang w:val="en-US" w:eastAsia="zh-CN"/>
        </w:rPr>
        <w:t>1</w:t>
      </w:r>
      <w:r>
        <w:rPr>
          <w:rFonts w:hint="eastAsia"/>
          <w:highlight w:val="none"/>
        </w:rPr>
        <w:t>塔），共用1座</w:t>
      </w:r>
      <w:r>
        <w:rPr>
          <w:rFonts w:hint="eastAsia"/>
          <w:highlight w:val="none"/>
          <w:lang w:val="en-US" w:eastAsia="zh-CN"/>
        </w:rPr>
        <w:t>60</w:t>
      </w:r>
      <w:r>
        <w:rPr>
          <w:rFonts w:hint="eastAsia"/>
          <w:highlight w:val="none"/>
        </w:rPr>
        <w:t>米高烟囱排放，已装设烟气在线监测系统并与省市平台联网。能够满足导则中要求的最优化方案要求。</w:t>
      </w:r>
    </w:p>
    <w:p w14:paraId="302454BA">
      <w:pPr>
        <w:ind w:firstLine="480"/>
        <w:rPr>
          <w:rFonts w:ascii="Times New Roman" w:hAnsi="Times New Roman"/>
          <w:highlight w:val="none"/>
        </w:rPr>
      </w:pPr>
      <w:r>
        <w:rPr>
          <w:rFonts w:hint="eastAsia" w:ascii="Times New Roman" w:hAnsi="Times New Roman"/>
          <w:highlight w:val="none"/>
        </w:rPr>
        <w:t>十</w:t>
      </w:r>
      <w:r>
        <w:rPr>
          <w:rFonts w:ascii="Times New Roman" w:hAnsi="Times New Roman"/>
          <w:highlight w:val="none"/>
        </w:rPr>
        <w:t>、废气污染防治措施结论</w:t>
      </w:r>
    </w:p>
    <w:p w14:paraId="127F2538">
      <w:pPr>
        <w:ind w:firstLine="480"/>
        <w:rPr>
          <w:rFonts w:ascii="Times New Roman" w:hAnsi="Times New Roman"/>
          <w:highlight w:val="none"/>
        </w:rPr>
      </w:pPr>
      <w:r>
        <w:rPr>
          <w:rFonts w:ascii="Times New Roman" w:hAnsi="Times New Roman"/>
          <w:highlight w:val="none"/>
        </w:rPr>
        <w:t>本项目</w:t>
      </w:r>
      <w:r>
        <w:rPr>
          <w:rFonts w:hint="eastAsia"/>
          <w:highlight w:val="none"/>
          <w:lang w:val="en-US" w:eastAsia="zh-CN"/>
        </w:rPr>
        <w:t>116MW+</w:t>
      </w:r>
      <w:r>
        <w:rPr>
          <w:rFonts w:hint="default"/>
          <w:highlight w:val="none"/>
          <w:lang w:val="en-US" w:eastAsia="zh-CN"/>
        </w:rPr>
        <w:t>58</w:t>
      </w:r>
      <w:r>
        <w:rPr>
          <w:rFonts w:hint="eastAsia"/>
          <w:highlight w:val="none"/>
          <w:lang w:val="en-US" w:eastAsia="zh-CN"/>
        </w:rPr>
        <w:t>MW热水锅炉和1台35t/h蒸汽锅炉</w:t>
      </w:r>
      <w:r>
        <w:rPr>
          <w:rFonts w:ascii="Times New Roman" w:hAnsi="Times New Roman"/>
          <w:highlight w:val="none"/>
        </w:rPr>
        <w:t>配备三套除尘、</w:t>
      </w:r>
      <w:r>
        <w:rPr>
          <w:rFonts w:hint="eastAsia" w:ascii="Times New Roman" w:hAnsi="Times New Roman"/>
          <w:highlight w:val="none"/>
          <w:lang w:val="en-US" w:eastAsia="zh-CN"/>
        </w:rPr>
        <w:t>一</w:t>
      </w:r>
      <w:r>
        <w:rPr>
          <w:rFonts w:ascii="Times New Roman" w:hAnsi="Times New Roman"/>
          <w:highlight w:val="none"/>
        </w:rPr>
        <w:t>套脱硫、三套脱硝（SNCR共用一套</w:t>
      </w:r>
      <w:r>
        <w:rPr>
          <w:rFonts w:hint="eastAsia" w:ascii="Times New Roman" w:hAnsi="Times New Roman"/>
          <w:highlight w:val="none"/>
        </w:rPr>
        <w:t>，尿素溶液制备系统共用一套，喷淋系统设置三套</w:t>
      </w:r>
      <w:r>
        <w:rPr>
          <w:rFonts w:ascii="Times New Roman" w:hAnsi="Times New Roman"/>
          <w:highlight w:val="none"/>
        </w:rPr>
        <w:t>）环保设施，烟气采用石灰石-石膏湿法脱硫工艺，脱硫效率≥97%；脱硝采用低氮燃烧技术，SNCR-SCR联合脱硝，脱硝效率≥</w:t>
      </w:r>
      <w:r>
        <w:rPr>
          <w:rFonts w:hint="eastAsia" w:ascii="Times New Roman" w:hAnsi="Times New Roman"/>
          <w:highlight w:val="none"/>
        </w:rPr>
        <w:t>75</w:t>
      </w:r>
      <w:r>
        <w:rPr>
          <w:rFonts w:ascii="Times New Roman" w:hAnsi="Times New Roman"/>
          <w:highlight w:val="none"/>
        </w:rPr>
        <w:t>%，脱硝剂采用尿素溶液；除尘采用袋式除尘，除尘效率≥99.92%，脱硫系统加装高效除雾器后协同除尘效率≥50%，综合除尘效率≥99.96%，处理后通过</w:t>
      </w:r>
      <w:r>
        <w:rPr>
          <w:rFonts w:hint="eastAsia" w:ascii="Times New Roman" w:hAnsi="Times New Roman"/>
          <w:highlight w:val="none"/>
          <w:lang w:val="en-US" w:eastAsia="zh-CN"/>
        </w:rPr>
        <w:t>60m</w:t>
      </w:r>
      <w:r>
        <w:rPr>
          <w:rFonts w:ascii="Times New Roman" w:hAnsi="Times New Roman"/>
          <w:highlight w:val="none"/>
        </w:rPr>
        <w:t>烟囱排放，烟尘、二氧化硫、氮氧化物满足《全面实施燃煤电厂超低排放和节能改造工作方案》中的超低排放限值（在基准氧含量6%条件下，烟尘、二氧化硫、氮氧化物排放浓度不高于10mg/m</w:t>
      </w:r>
      <w:r>
        <w:rPr>
          <w:rFonts w:ascii="Times New Roman" w:hAnsi="Times New Roman"/>
          <w:highlight w:val="none"/>
          <w:vertAlign w:val="superscript"/>
        </w:rPr>
        <w:t>3</w:t>
      </w:r>
      <w:r>
        <w:rPr>
          <w:rFonts w:ascii="Times New Roman" w:hAnsi="Times New Roman"/>
          <w:highlight w:val="none"/>
        </w:rPr>
        <w:t>、35mg/m</w:t>
      </w:r>
      <w:r>
        <w:rPr>
          <w:rFonts w:ascii="Times New Roman" w:hAnsi="Times New Roman"/>
          <w:highlight w:val="none"/>
          <w:vertAlign w:val="superscript"/>
        </w:rPr>
        <w:t>3</w:t>
      </w:r>
      <w:r>
        <w:rPr>
          <w:rFonts w:ascii="Times New Roman" w:hAnsi="Times New Roman"/>
          <w:highlight w:val="none"/>
        </w:rPr>
        <w:t>、50mg/m</w:t>
      </w:r>
      <w:r>
        <w:rPr>
          <w:rFonts w:ascii="Times New Roman" w:hAnsi="Times New Roman"/>
          <w:highlight w:val="none"/>
          <w:vertAlign w:val="superscript"/>
        </w:rPr>
        <w:t>3</w:t>
      </w:r>
      <w:r>
        <w:rPr>
          <w:rFonts w:ascii="Times New Roman" w:hAnsi="Times New Roman"/>
          <w:highlight w:val="none"/>
        </w:rPr>
        <w:t>），烟气中汞及其化合物、烟气黑度（林格曼黑度）</w:t>
      </w:r>
      <w:r>
        <w:rPr>
          <w:rFonts w:hint="eastAsia" w:ascii="Times New Roman" w:hAnsi="Times New Roman"/>
          <w:color w:val="auto"/>
          <w:highlight w:val="none"/>
        </w:rPr>
        <w:t>《火电厂大气污染物排放标准》(GB13223-2011)表1中燃煤锅炉大气污染物排放标准限值</w:t>
      </w:r>
      <w:r>
        <w:rPr>
          <w:rFonts w:hint="eastAsia" w:ascii="Times New Roman" w:hAnsi="Times New Roman"/>
          <w:highlight w:val="none"/>
        </w:rPr>
        <w:t>要求</w:t>
      </w:r>
      <w:r>
        <w:rPr>
          <w:rFonts w:ascii="Times New Roman" w:hAnsi="Times New Roman"/>
          <w:highlight w:val="none"/>
        </w:rPr>
        <w:t>，安装烟气在线自动监测系统1套。</w:t>
      </w:r>
    </w:p>
    <w:p w14:paraId="4E1A1704">
      <w:pPr>
        <w:ind w:firstLine="480"/>
        <w:rPr>
          <w:rFonts w:ascii="Times New Roman" w:hAnsi="Times New Roman"/>
          <w:highlight w:val="none"/>
        </w:rPr>
      </w:pPr>
      <w:r>
        <w:rPr>
          <w:rFonts w:ascii="Times New Roman" w:hAnsi="Times New Roman"/>
          <w:highlight w:val="none"/>
        </w:rPr>
        <w:t>脱硝系统采取控制尿素溶液喷淋量、控制温度及停留时间等措施控制氨逃逸，项目整体氨逃逸控制浓度为2.5mg/m</w:t>
      </w:r>
      <w:r>
        <w:rPr>
          <w:rFonts w:ascii="Times New Roman" w:hAnsi="Times New Roman"/>
          <w:highlight w:val="none"/>
          <w:vertAlign w:val="superscript"/>
        </w:rPr>
        <w:t>3</w:t>
      </w:r>
      <w:r>
        <w:rPr>
          <w:rFonts w:ascii="Times New Roman" w:hAnsi="Times New Roman"/>
          <w:highlight w:val="none"/>
        </w:rPr>
        <w:t>，</w:t>
      </w:r>
      <w:r>
        <w:rPr>
          <w:rFonts w:hint="eastAsia" w:ascii="Times New Roman" w:hAnsi="Times New Roman"/>
          <w:highlight w:val="none"/>
        </w:rPr>
        <w:t>有组织排放能够满足</w:t>
      </w:r>
      <w:r>
        <w:rPr>
          <w:rFonts w:ascii="Times New Roman" w:hAnsi="Times New Roman"/>
          <w:highlight w:val="none"/>
        </w:rPr>
        <w:t>《火电厂烟气脱硝工程技术规范选择性催化还原法》（HJ562-2010）要求脱硝系统氨逃逸质量浓度宜小于2.5mg/m</w:t>
      </w:r>
      <w:r>
        <w:rPr>
          <w:rFonts w:ascii="Times New Roman" w:hAnsi="Times New Roman"/>
          <w:highlight w:val="none"/>
          <w:vertAlign w:val="superscript"/>
        </w:rPr>
        <w:t>3</w:t>
      </w:r>
      <w:r>
        <w:rPr>
          <w:rFonts w:ascii="Times New Roman" w:hAnsi="Times New Roman"/>
          <w:highlight w:val="none"/>
        </w:rPr>
        <w:t>的要求</w:t>
      </w:r>
      <w:r>
        <w:rPr>
          <w:rFonts w:hint="eastAsia" w:ascii="Times New Roman" w:hAnsi="Times New Roman"/>
          <w:highlight w:val="none"/>
        </w:rPr>
        <w:t>；</w:t>
      </w:r>
      <w:r>
        <w:rPr>
          <w:rFonts w:ascii="Times New Roman" w:hAnsi="Times New Roman"/>
          <w:highlight w:val="none"/>
        </w:rPr>
        <w:t>厂界氨气等恶臭污染物排放符合《恶臭污染物排放标准》（GB14554-93）表1中的二级标准要求。</w:t>
      </w:r>
    </w:p>
    <w:p w14:paraId="70A13891">
      <w:pPr>
        <w:ind w:firstLine="480"/>
        <w:rPr>
          <w:rFonts w:hint="eastAsia" w:ascii="Times New Roman" w:hAnsi="Times New Roman"/>
          <w:highlight w:val="none"/>
        </w:rPr>
      </w:pPr>
      <w:r>
        <w:rPr>
          <w:rFonts w:ascii="Times New Roman" w:hAnsi="Times New Roman"/>
          <w:highlight w:val="none"/>
        </w:rPr>
        <w:t>碎煤机室密闭，设置</w:t>
      </w:r>
      <w:r>
        <w:rPr>
          <w:rFonts w:hint="eastAsia" w:ascii="Times New Roman" w:hAnsi="Times New Roman"/>
          <w:highlight w:val="none"/>
        </w:rPr>
        <w:t>布袋除尘器</w:t>
      </w:r>
      <w:r>
        <w:rPr>
          <w:rFonts w:ascii="Times New Roman" w:hAnsi="Times New Roman"/>
          <w:highlight w:val="none"/>
        </w:rPr>
        <w:t>；灰仓、渣仓和石灰石粉仓密闭，分别设置1套脉冲除尘器。全封闭式</w:t>
      </w:r>
      <w:r>
        <w:rPr>
          <w:rFonts w:hint="eastAsia" w:ascii="Times New Roman" w:hAnsi="Times New Roman"/>
          <w:highlight w:val="none"/>
        </w:rPr>
        <w:t>储煤库</w:t>
      </w:r>
      <w:r>
        <w:rPr>
          <w:rFonts w:ascii="Times New Roman" w:hAnsi="Times New Roman"/>
          <w:highlight w:val="none"/>
        </w:rPr>
        <w:t>采取喷淋抑尘，厂界无组织排放符合《大气污染物综合排放标准》（GB16297-1996）规定的</w:t>
      </w:r>
      <w:r>
        <w:rPr>
          <w:rFonts w:hint="eastAsia" w:ascii="Times New Roman" w:hAnsi="Times New Roman"/>
          <w:highlight w:val="none"/>
        </w:rPr>
        <w:t>表2</w:t>
      </w:r>
      <w:r>
        <w:rPr>
          <w:rFonts w:ascii="Times New Roman" w:hAnsi="Times New Roman"/>
          <w:highlight w:val="none"/>
        </w:rPr>
        <w:t>颗粒物无组织排放监控浓度1.0mg/m</w:t>
      </w:r>
      <w:r>
        <w:rPr>
          <w:rFonts w:ascii="Times New Roman" w:hAnsi="Times New Roman"/>
          <w:highlight w:val="none"/>
          <w:vertAlign w:val="superscript"/>
        </w:rPr>
        <w:t>3</w:t>
      </w:r>
      <w:r>
        <w:rPr>
          <w:rFonts w:ascii="Times New Roman" w:hAnsi="Times New Roman"/>
          <w:highlight w:val="none"/>
        </w:rPr>
        <w:t>的要求。</w:t>
      </w:r>
      <w:r>
        <w:rPr>
          <w:rFonts w:hint="eastAsia" w:ascii="Times New Roman" w:hAnsi="Times New Roman"/>
          <w:highlight w:val="none"/>
        </w:rPr>
        <w:t>本项目油烟经油烟净化器净化后，经专用烟道引至楼顶排放。可满足《饮食业油烟排放标准（试行）》（GB18483-2001）（中型）油烟最高允许排放浓度为2.0mg/m</w:t>
      </w:r>
      <w:r>
        <w:rPr>
          <w:rFonts w:hint="eastAsia" w:ascii="Times New Roman" w:hAnsi="Times New Roman"/>
          <w:highlight w:val="none"/>
          <w:vertAlign w:val="superscript"/>
        </w:rPr>
        <w:t>3</w:t>
      </w:r>
      <w:r>
        <w:rPr>
          <w:rFonts w:hint="eastAsia" w:ascii="Times New Roman" w:hAnsi="Times New Roman"/>
          <w:highlight w:val="none"/>
        </w:rPr>
        <w:t>的要求。</w:t>
      </w:r>
    </w:p>
    <w:p w14:paraId="11F00B2D">
      <w:pPr>
        <w:pStyle w:val="23"/>
        <w:rPr>
          <w:rFonts w:ascii="Times New Roman" w:hAnsi="Times New Roman"/>
          <w:color w:val="auto"/>
          <w:highlight w:val="none"/>
        </w:rPr>
      </w:pPr>
      <w:r>
        <w:rPr>
          <w:rFonts w:ascii="Times New Roman" w:hAnsi="Times New Roman"/>
          <w:color w:val="auto"/>
          <w:highlight w:val="none"/>
        </w:rPr>
        <w:t>本项目在方案比选过程优先考虑处理效率高，污染排放小的处理工艺，在能够保障达标排放的情况下选择处理效果更好的污染防治工艺。本项目每台锅炉产生的锅炉烟气均采用低氮燃烧+SNCR-SCR联合脱硝（尿素）+布袋除尘器+石灰石–石膏湿法烟气脱硫（</w:t>
      </w:r>
      <w:r>
        <w:rPr>
          <w:rFonts w:hint="eastAsia" w:ascii="Times New Roman" w:hAnsi="Times New Roman"/>
          <w:color w:val="auto"/>
          <w:highlight w:val="none"/>
        </w:rPr>
        <w:t>3</w:t>
      </w:r>
      <w:r>
        <w:rPr>
          <w:rFonts w:ascii="Times New Roman" w:hAnsi="Times New Roman"/>
          <w:color w:val="auto"/>
          <w:highlight w:val="none"/>
        </w:rPr>
        <w:t>炉</w:t>
      </w:r>
      <w:r>
        <w:rPr>
          <w:rFonts w:hint="eastAsia" w:ascii="Times New Roman" w:hAnsi="Times New Roman"/>
          <w:color w:val="auto"/>
          <w:highlight w:val="none"/>
          <w:lang w:val="en-US" w:eastAsia="zh-CN"/>
        </w:rPr>
        <w:t>1</w:t>
      </w:r>
      <w:r>
        <w:rPr>
          <w:rFonts w:ascii="Times New Roman" w:hAnsi="Times New Roman"/>
          <w:color w:val="auto"/>
          <w:highlight w:val="none"/>
        </w:rPr>
        <w:t>塔），</w:t>
      </w:r>
      <w:r>
        <w:rPr>
          <w:rFonts w:hint="eastAsia" w:ascii="Times New Roman" w:hAnsi="Times New Roman"/>
          <w:color w:val="auto"/>
          <w:highlight w:val="none"/>
        </w:rPr>
        <w:t>3</w:t>
      </w:r>
      <w:r>
        <w:rPr>
          <w:rFonts w:ascii="Times New Roman" w:hAnsi="Times New Roman"/>
          <w:color w:val="auto"/>
          <w:highlight w:val="none"/>
        </w:rPr>
        <w:t>台锅炉共用1座</w:t>
      </w:r>
      <w:r>
        <w:rPr>
          <w:rFonts w:hint="eastAsia" w:ascii="Times New Roman" w:hAnsi="Times New Roman"/>
          <w:color w:val="auto"/>
          <w:highlight w:val="none"/>
          <w:lang w:val="en-US" w:eastAsia="zh-CN"/>
        </w:rPr>
        <w:t>60</w:t>
      </w:r>
      <w:r>
        <w:rPr>
          <w:rFonts w:ascii="Times New Roman" w:hAnsi="Times New Roman"/>
          <w:color w:val="auto"/>
          <w:highlight w:val="none"/>
        </w:rPr>
        <w:t>米高烟囱排放，已装设烟气在线监测系统并与省市平台联网。能够满足导则中要求的最优化方案要求。</w:t>
      </w:r>
    </w:p>
    <w:p w14:paraId="7E8BF148">
      <w:pPr>
        <w:pStyle w:val="5"/>
        <w:bidi w:val="0"/>
        <w:ind w:left="0" w:leftChars="0" w:firstLine="0" w:firstLineChars="0"/>
        <w:rPr>
          <w:rFonts w:hint="eastAsia"/>
          <w:highlight w:val="none"/>
          <w:lang w:val="en-US" w:eastAsia="zh-CN"/>
        </w:rPr>
      </w:pPr>
      <w:bookmarkStart w:id="157" w:name="_Toc31165"/>
      <w:r>
        <w:rPr>
          <w:rFonts w:hint="eastAsia"/>
          <w:highlight w:val="none"/>
          <w:lang w:val="en-US" w:eastAsia="zh-CN"/>
        </w:rPr>
        <w:t>6.2.2运营期废水污染防治措施</w:t>
      </w:r>
      <w:bookmarkEnd w:id="157"/>
    </w:p>
    <w:p w14:paraId="1D6C0272">
      <w:pPr>
        <w:rPr>
          <w:rFonts w:ascii="Times New Roman" w:hAnsi="Times New Roman"/>
          <w:highlight w:val="none"/>
        </w:rPr>
      </w:pPr>
      <w:r>
        <w:rPr>
          <w:rFonts w:ascii="Times New Roman" w:hAnsi="Times New Roman"/>
          <w:highlight w:val="none"/>
        </w:rPr>
        <w:t>本项目生产废水主要为锅炉排污水、脱硫废水。由于工业废水的水质不同，处理方法也不同，所有废水处理采取就近、分散、分项处理，尽可能最大限度重复利用，做到生产废水不外排。生活污水排入市政管网。废水处理措施如下：</w:t>
      </w:r>
    </w:p>
    <w:p w14:paraId="5F37111C">
      <w:pPr>
        <w:ind w:firstLine="480"/>
        <w:rPr>
          <w:rFonts w:ascii="Times New Roman" w:hAnsi="Times New Roman"/>
          <w:highlight w:val="none"/>
        </w:rPr>
      </w:pPr>
      <w:r>
        <w:rPr>
          <w:rFonts w:ascii="Times New Roman" w:hAnsi="Times New Roman"/>
          <w:highlight w:val="none"/>
        </w:rPr>
        <w:t>厂区内排水系统采用分流制：雨水排水系统。生产废水主要有锅炉排污水、脱硫废水等，锅炉排污水、脱硫废水回用于生产，不外排。本项目不设置化学实验室，无实验室废液。</w:t>
      </w:r>
    </w:p>
    <w:p w14:paraId="4038CBF6">
      <w:pPr>
        <w:pStyle w:val="23"/>
        <w:rPr>
          <w:rFonts w:hint="eastAsia" w:ascii="Times New Roman" w:hAnsi="Times New Roman"/>
          <w:szCs w:val="24"/>
          <w:highlight w:val="none"/>
          <w:lang w:val="en-US" w:eastAsia="zh-CN"/>
        </w:rPr>
      </w:pPr>
      <w:r>
        <w:rPr>
          <w:rFonts w:ascii="Times New Roman" w:hAnsi="Times New Roman"/>
          <w:szCs w:val="24"/>
          <w:highlight w:val="none"/>
        </w:rPr>
        <w:t>锅炉排污水回用于</w:t>
      </w:r>
      <w:r>
        <w:rPr>
          <w:rFonts w:hint="eastAsia" w:ascii="Times New Roman" w:hAnsi="Times New Roman"/>
          <w:szCs w:val="24"/>
          <w:highlight w:val="none"/>
        </w:rPr>
        <w:t>用于冷渣器冷却水系统补水（</w:t>
      </w:r>
      <w:r>
        <w:rPr>
          <w:rFonts w:hint="eastAsia" w:ascii="Times New Roman" w:hAnsi="Times New Roman"/>
          <w:szCs w:val="24"/>
          <w:highlight w:val="none"/>
          <w:lang w:val="en-US" w:eastAsia="zh-CN"/>
        </w:rPr>
        <w:t>6m³/h，30240</w:t>
      </w:r>
      <w:r>
        <w:rPr>
          <w:rFonts w:hint="eastAsia" w:ascii="Times New Roman" w:hAnsi="Times New Roman"/>
          <w:highlight w:val="none"/>
          <w:lang w:val="en-US" w:eastAsia="zh-CN"/>
        </w:rPr>
        <w:t>t/a</w:t>
      </w:r>
      <w:r>
        <w:rPr>
          <w:rFonts w:hint="eastAsia" w:ascii="Times New Roman" w:hAnsi="Times New Roman"/>
          <w:szCs w:val="24"/>
          <w:highlight w:val="none"/>
        </w:rPr>
        <w:t>）</w:t>
      </w:r>
      <w:r>
        <w:rPr>
          <w:rFonts w:ascii="Times New Roman" w:hAnsi="Times New Roman"/>
          <w:szCs w:val="24"/>
          <w:highlight w:val="none"/>
        </w:rPr>
        <w:t>。脱硫废水采用回流水池→一体化污水处理装置→高效旋流分离器→生物净化装置→多介质净化装置→多功能处理剂→净水箱处理工艺，回用于灰渣加湿</w:t>
      </w:r>
      <w:r>
        <w:rPr>
          <w:rFonts w:hint="eastAsia" w:ascii="Times New Roman" w:hAnsi="Times New Roman"/>
          <w:szCs w:val="24"/>
          <w:highlight w:val="none"/>
        </w:rPr>
        <w:t>（</w:t>
      </w:r>
      <w:r>
        <w:rPr>
          <w:rFonts w:hint="eastAsia" w:ascii="Times New Roman" w:hAnsi="Times New Roman"/>
          <w:szCs w:val="24"/>
          <w:highlight w:val="none"/>
          <w:lang w:val="en-US" w:eastAsia="zh-CN"/>
        </w:rPr>
        <w:t>2</w:t>
      </w:r>
      <w:r>
        <w:rPr>
          <w:rFonts w:hint="eastAsia" w:ascii="Times New Roman" w:hAnsi="Times New Roman"/>
          <w:szCs w:val="24"/>
          <w:highlight w:val="none"/>
        </w:rPr>
        <w:t>m</w:t>
      </w:r>
      <w:r>
        <w:rPr>
          <w:rFonts w:hint="eastAsia" w:ascii="Times New Roman" w:hAnsi="Times New Roman"/>
          <w:szCs w:val="24"/>
          <w:highlight w:val="none"/>
          <w:vertAlign w:val="superscript"/>
        </w:rPr>
        <w:t>3</w:t>
      </w:r>
      <w:r>
        <w:rPr>
          <w:rFonts w:hint="eastAsia" w:ascii="Times New Roman" w:hAnsi="Times New Roman"/>
          <w:szCs w:val="24"/>
          <w:highlight w:val="none"/>
        </w:rPr>
        <w:t>/h</w:t>
      </w:r>
      <w:r>
        <w:rPr>
          <w:rFonts w:hint="eastAsia" w:ascii="Times New Roman" w:hAnsi="Times New Roman"/>
          <w:szCs w:val="24"/>
          <w:highlight w:val="none"/>
          <w:lang w:eastAsia="zh-CN"/>
        </w:rPr>
        <w:t>，</w:t>
      </w:r>
      <w:r>
        <w:rPr>
          <w:rFonts w:hint="eastAsia" w:ascii="Times New Roman" w:hAnsi="Times New Roman"/>
          <w:szCs w:val="24"/>
          <w:highlight w:val="none"/>
          <w:lang w:val="en-US" w:eastAsia="zh-CN"/>
        </w:rPr>
        <w:t>10080t/a</w:t>
      </w:r>
      <w:r>
        <w:rPr>
          <w:rFonts w:hint="eastAsia" w:ascii="Times New Roman" w:hAnsi="Times New Roman"/>
          <w:szCs w:val="24"/>
          <w:highlight w:val="none"/>
        </w:rPr>
        <w:t>）、煤场洒水降尘（</w:t>
      </w:r>
      <w:r>
        <w:rPr>
          <w:rFonts w:hint="eastAsia" w:ascii="Times New Roman" w:hAnsi="Times New Roman"/>
          <w:szCs w:val="24"/>
          <w:highlight w:val="none"/>
          <w:lang w:val="en-US" w:eastAsia="zh-CN"/>
        </w:rPr>
        <w:t>3</w:t>
      </w:r>
      <w:r>
        <w:rPr>
          <w:rFonts w:hint="eastAsia" w:ascii="Times New Roman" w:hAnsi="Times New Roman"/>
          <w:szCs w:val="24"/>
          <w:highlight w:val="none"/>
        </w:rPr>
        <w:t>m</w:t>
      </w:r>
      <w:r>
        <w:rPr>
          <w:rFonts w:hint="eastAsia" w:ascii="Times New Roman" w:hAnsi="Times New Roman"/>
          <w:szCs w:val="24"/>
          <w:highlight w:val="none"/>
          <w:vertAlign w:val="superscript"/>
        </w:rPr>
        <w:t>3</w:t>
      </w:r>
      <w:r>
        <w:rPr>
          <w:rFonts w:hint="eastAsia" w:ascii="Times New Roman" w:hAnsi="Times New Roman"/>
          <w:szCs w:val="24"/>
          <w:highlight w:val="none"/>
        </w:rPr>
        <w:t>/h</w:t>
      </w:r>
      <w:r>
        <w:rPr>
          <w:rFonts w:hint="eastAsia" w:ascii="Times New Roman" w:hAnsi="Times New Roman"/>
          <w:szCs w:val="24"/>
          <w:highlight w:val="none"/>
          <w:lang w:eastAsia="zh-CN"/>
        </w:rPr>
        <w:t>，</w:t>
      </w:r>
      <w:r>
        <w:rPr>
          <w:rFonts w:hint="eastAsia" w:ascii="Times New Roman" w:hAnsi="Times New Roman"/>
          <w:szCs w:val="24"/>
          <w:highlight w:val="none"/>
          <w:lang w:val="en-US" w:eastAsia="zh-CN"/>
        </w:rPr>
        <w:t>15069.75t/a</w:t>
      </w:r>
      <w:r>
        <w:rPr>
          <w:rFonts w:hint="eastAsia" w:ascii="Times New Roman" w:hAnsi="Times New Roman"/>
          <w:szCs w:val="24"/>
          <w:highlight w:val="none"/>
        </w:rPr>
        <w:t>）。生活污水（</w:t>
      </w:r>
      <w:r>
        <w:rPr>
          <w:rFonts w:hint="eastAsia" w:ascii="Times New Roman" w:hAnsi="Times New Roman"/>
          <w:szCs w:val="24"/>
          <w:highlight w:val="none"/>
          <w:lang w:val="en-US" w:eastAsia="zh-CN"/>
        </w:rPr>
        <w:t>0.464</w:t>
      </w:r>
      <w:r>
        <w:rPr>
          <w:rFonts w:hint="eastAsia" w:ascii="Times New Roman" w:hAnsi="Times New Roman"/>
          <w:szCs w:val="24"/>
          <w:highlight w:val="none"/>
        </w:rPr>
        <w:t>m</w:t>
      </w:r>
      <w:r>
        <w:rPr>
          <w:rFonts w:hint="eastAsia" w:ascii="Times New Roman" w:hAnsi="Times New Roman"/>
          <w:szCs w:val="24"/>
          <w:highlight w:val="none"/>
          <w:vertAlign w:val="superscript"/>
        </w:rPr>
        <w:t>3</w:t>
      </w:r>
      <w:r>
        <w:rPr>
          <w:rFonts w:hint="eastAsia" w:ascii="Times New Roman" w:hAnsi="Times New Roman"/>
          <w:szCs w:val="24"/>
          <w:highlight w:val="none"/>
        </w:rPr>
        <w:t>/h</w:t>
      </w:r>
      <w:r>
        <w:rPr>
          <w:rFonts w:hint="eastAsia" w:ascii="Times New Roman" w:hAnsi="Times New Roman"/>
          <w:szCs w:val="24"/>
          <w:highlight w:val="none"/>
          <w:lang w:eastAsia="zh-CN"/>
        </w:rPr>
        <w:t>，</w:t>
      </w:r>
      <w:r>
        <w:rPr>
          <w:rFonts w:hint="eastAsia" w:ascii="Times New Roman" w:hAnsi="Times New Roman"/>
          <w:szCs w:val="24"/>
          <w:highlight w:val="none"/>
          <w:lang w:val="en-US" w:eastAsia="zh-CN"/>
        </w:rPr>
        <w:t>2352t/a</w:t>
      </w:r>
      <w:r>
        <w:rPr>
          <w:rFonts w:hint="eastAsia" w:ascii="Times New Roman" w:hAnsi="Times New Roman"/>
          <w:szCs w:val="24"/>
          <w:highlight w:val="none"/>
        </w:rPr>
        <w:t>）排入化粪池处理后排入市政管网（食堂废水经隔油池处理后与生活污水一同排入化粪池），</w:t>
      </w:r>
      <w:r>
        <w:rPr>
          <w:rFonts w:hint="eastAsia" w:ascii="Times New Roman" w:hAnsi="Times New Roman"/>
          <w:szCs w:val="24"/>
          <w:highlight w:val="none"/>
          <w:lang w:val="en-US" w:eastAsia="zh-CN"/>
        </w:rPr>
        <w:t>经污水管网排入绥芬河中环污水处理有限公司（</w:t>
      </w:r>
      <w:r>
        <w:rPr>
          <w:rFonts w:hint="eastAsia"/>
          <w:highlight w:val="none"/>
          <w:lang w:val="en-US" w:eastAsia="zh-CN"/>
        </w:rPr>
        <w:t>排污许可证 编号：</w:t>
      </w:r>
      <w:r>
        <w:rPr>
          <w:rFonts w:hint="eastAsia" w:ascii="Times New Roman" w:hAnsi="Times New Roman" w:eastAsia="宋体" w:cs="Times New Roman"/>
          <w:szCs w:val="24"/>
          <w:highlight w:val="none"/>
          <w:lang w:val="en-US" w:eastAsia="zh-CN"/>
        </w:rPr>
        <w:t>91231081692616585X001Z</w:t>
      </w:r>
      <w:r>
        <w:rPr>
          <w:rFonts w:hint="eastAsia"/>
          <w:highlight w:val="none"/>
          <w:lang w:val="en-US" w:eastAsia="zh-CN"/>
        </w:rPr>
        <w:t>）</w:t>
      </w:r>
      <w:r>
        <w:rPr>
          <w:rFonts w:hint="eastAsia" w:ascii="Times New Roman" w:hAnsi="Times New Roman"/>
          <w:szCs w:val="24"/>
          <w:highlight w:val="none"/>
          <w:lang w:val="en-US" w:eastAsia="zh-CN"/>
        </w:rPr>
        <w:t>，处理达到《城镇污水处理厂污染物排放标准》(GB18918—2002)一级B标准后最终汇入小绥芬河。</w:t>
      </w:r>
    </w:p>
    <w:p w14:paraId="2EDD1825">
      <w:pPr>
        <w:ind w:firstLine="480"/>
        <w:rPr>
          <w:rFonts w:hint="eastAsia" w:ascii="Times New Roman" w:hAnsi="Times New Roman"/>
          <w:highlight w:val="none"/>
        </w:rPr>
      </w:pPr>
      <w:r>
        <w:rPr>
          <w:rFonts w:hint="eastAsia" w:ascii="Times New Roman" w:hAnsi="Times New Roman"/>
          <w:szCs w:val="24"/>
          <w:highlight w:val="none"/>
          <w:lang w:val="en-US" w:eastAsia="zh-CN"/>
        </w:rPr>
        <w:t>绥芬河中环污水处理有限公司</w:t>
      </w:r>
      <w:r>
        <w:rPr>
          <w:rFonts w:hint="eastAsia" w:ascii="Times New Roman" w:hAnsi="Times New Roman"/>
          <w:highlight w:val="none"/>
        </w:rPr>
        <w:t>于201</w:t>
      </w:r>
      <w:r>
        <w:rPr>
          <w:rFonts w:hint="eastAsia" w:ascii="Times New Roman" w:hAnsi="Times New Roman"/>
          <w:highlight w:val="none"/>
          <w:lang w:val="en-US" w:eastAsia="zh-CN"/>
        </w:rPr>
        <w:t>1</w:t>
      </w:r>
      <w:r>
        <w:rPr>
          <w:rFonts w:hint="eastAsia" w:ascii="Times New Roman" w:hAnsi="Times New Roman"/>
          <w:highlight w:val="none"/>
        </w:rPr>
        <w:t>年投产，属于城镇污水处理厂，</w:t>
      </w:r>
      <w:r>
        <w:rPr>
          <w:rFonts w:hint="eastAsia" w:ascii="Times New Roman" w:hAnsi="Times New Roman"/>
          <w:szCs w:val="24"/>
          <w:highlight w:val="none"/>
          <w:lang w:val="en-US" w:eastAsia="zh-CN"/>
        </w:rPr>
        <w:t>绥芬河中环污水处理有限公司</w:t>
      </w:r>
      <w:r>
        <w:rPr>
          <w:rFonts w:hint="eastAsia" w:ascii="Times New Roman" w:hAnsi="Times New Roman"/>
          <w:highlight w:val="none"/>
        </w:rPr>
        <w:t>采用较为先进的污水处理工艺</w:t>
      </w:r>
      <w:r>
        <w:rPr>
          <w:rFonts w:hint="eastAsia" w:ascii="Times New Roman" w:hAnsi="Times New Roman"/>
          <w:highlight w:val="none"/>
          <w:lang w:val="en-US" w:eastAsia="zh-CN"/>
        </w:rPr>
        <w:t>CAST工艺</w:t>
      </w:r>
      <w:r>
        <w:rPr>
          <w:rFonts w:hint="eastAsia" w:ascii="Times New Roman" w:hAnsi="Times New Roman"/>
          <w:highlight w:val="none"/>
        </w:rPr>
        <w:t>，其设计规模为</w:t>
      </w:r>
      <w:r>
        <w:rPr>
          <w:rFonts w:hint="eastAsia" w:ascii="Times New Roman" w:hAnsi="Times New Roman"/>
          <w:highlight w:val="none"/>
          <w:lang w:val="en-US" w:eastAsia="zh-CN"/>
        </w:rPr>
        <w:t>2</w:t>
      </w:r>
      <w:r>
        <w:rPr>
          <w:rFonts w:hint="eastAsia" w:ascii="Times New Roman" w:hAnsi="Times New Roman"/>
          <w:highlight w:val="none"/>
        </w:rPr>
        <w:t>万立方米/日。出水水质达到《城镇污水处理厂污染物排放标准》（GB18918-2002）一级</w:t>
      </w:r>
      <w:r>
        <w:rPr>
          <w:rFonts w:hint="eastAsia" w:ascii="Times New Roman" w:hAnsi="Times New Roman"/>
          <w:highlight w:val="none"/>
          <w:lang w:val="en-US" w:eastAsia="zh-CN"/>
        </w:rPr>
        <w:t>B</w:t>
      </w:r>
      <w:r>
        <w:rPr>
          <w:rFonts w:hint="eastAsia" w:ascii="Times New Roman" w:hAnsi="Times New Roman"/>
          <w:highlight w:val="none"/>
        </w:rPr>
        <w:t>标准。本项目生活污水水质满足《污水综合排放标准》（GB8978-1996）三级标准。</w:t>
      </w:r>
    </w:p>
    <w:p w14:paraId="7EB9C0A3">
      <w:pPr>
        <w:pStyle w:val="23"/>
        <w:rPr>
          <w:rFonts w:hint="eastAsia" w:ascii="Times New Roman" w:hAnsi="Times New Roman"/>
          <w:highlight w:val="none"/>
        </w:rPr>
      </w:pPr>
    </w:p>
    <w:p w14:paraId="48A4F716">
      <w:pPr>
        <w:ind w:left="0" w:leftChars="0" w:firstLine="0" w:firstLineChars="0"/>
        <w:jc w:val="both"/>
        <w:rPr>
          <w:rFonts w:hint="eastAsia" w:eastAsia="宋体"/>
          <w:highlight w:val="none"/>
          <w:lang w:eastAsia="zh-CN"/>
        </w:rPr>
      </w:pPr>
      <w:r>
        <w:rPr>
          <w:rFonts w:hint="eastAsia" w:eastAsia="宋体"/>
          <w:highlight w:val="none"/>
          <w:lang w:eastAsia="zh-CN"/>
        </w:rPr>
        <w:drawing>
          <wp:inline distT="0" distB="0" distL="114300" distR="114300">
            <wp:extent cx="5270500" cy="1370330"/>
            <wp:effectExtent l="0" t="0" r="0" b="0"/>
            <wp:docPr id="116" name="ECB019B1-382A-4266-B25C-5B523AA43C14-2"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ECB019B1-382A-4266-B25C-5B523AA43C14-2" descr="wps"/>
                    <pic:cNvPicPr>
                      <a:picLocks noChangeAspect="1"/>
                    </pic:cNvPicPr>
                  </pic:nvPicPr>
                  <pic:blipFill>
                    <a:blip r:embed="rId68"/>
                    <a:stretch>
                      <a:fillRect/>
                    </a:stretch>
                  </pic:blipFill>
                  <pic:spPr>
                    <a:xfrm>
                      <a:off x="0" y="0"/>
                      <a:ext cx="5270500" cy="1370330"/>
                    </a:xfrm>
                    <a:prstGeom prst="rect">
                      <a:avLst/>
                    </a:prstGeom>
                  </pic:spPr>
                </pic:pic>
              </a:graphicData>
            </a:graphic>
          </wp:inline>
        </w:drawing>
      </w:r>
    </w:p>
    <w:p w14:paraId="58F55505">
      <w:pPr>
        <w:ind w:firstLine="0" w:firstLineChars="0"/>
        <w:jc w:val="center"/>
        <w:rPr>
          <w:rFonts w:ascii="Times New Roman" w:hAnsi="Times New Roman"/>
          <w:highlight w:val="none"/>
        </w:rPr>
      </w:pPr>
      <w:r>
        <w:rPr>
          <w:rFonts w:hint="eastAsia" w:ascii="黑体" w:hAnsi="黑体" w:eastAsia="黑体" w:cs="黑体"/>
          <w:highlight w:val="none"/>
        </w:rPr>
        <w:t>图</w:t>
      </w:r>
      <w:r>
        <w:rPr>
          <w:rFonts w:ascii="Times New Roman" w:hAnsi="Times New Roman"/>
          <w:highlight w:val="none"/>
        </w:rPr>
        <w:t>6.2-</w:t>
      </w:r>
      <w:r>
        <w:rPr>
          <w:rFonts w:hint="eastAsia" w:ascii="Times New Roman" w:hAnsi="Times New Roman"/>
          <w:highlight w:val="none"/>
        </w:rPr>
        <w:t>2</w:t>
      </w:r>
      <w:r>
        <w:rPr>
          <w:rFonts w:hint="eastAsia" w:ascii="黑体" w:hAnsi="黑体" w:eastAsia="黑体" w:cs="黑体"/>
          <w:highlight w:val="none"/>
        </w:rPr>
        <w:t>污水处理厂工艺流程图</w:t>
      </w:r>
    </w:p>
    <w:p w14:paraId="6DD1E296">
      <w:pPr>
        <w:ind w:firstLine="0" w:firstLineChars="0"/>
        <w:rPr>
          <w:rFonts w:hint="eastAsia" w:ascii="Times New Roman" w:hAnsi="Times New Roman"/>
          <w:highlight w:val="none"/>
        </w:rPr>
      </w:pPr>
      <w:r>
        <w:rPr>
          <w:highlight w:val="none"/>
        </w:rPr>
        <w:drawing>
          <wp:inline distT="0" distB="0" distL="114300" distR="114300">
            <wp:extent cx="5267960" cy="2638425"/>
            <wp:effectExtent l="0" t="0" r="8890" b="9525"/>
            <wp:docPr id="1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7"/>
                    <pic:cNvPicPr>
                      <a:picLocks noChangeAspect="1"/>
                    </pic:cNvPicPr>
                  </pic:nvPicPr>
                  <pic:blipFill>
                    <a:blip r:embed="rId69"/>
                    <a:stretch>
                      <a:fillRect/>
                    </a:stretch>
                  </pic:blipFill>
                  <pic:spPr>
                    <a:xfrm>
                      <a:off x="0" y="0"/>
                      <a:ext cx="5267960" cy="2638425"/>
                    </a:xfrm>
                    <a:prstGeom prst="rect">
                      <a:avLst/>
                    </a:prstGeom>
                    <a:noFill/>
                    <a:ln>
                      <a:noFill/>
                    </a:ln>
                  </pic:spPr>
                </pic:pic>
              </a:graphicData>
            </a:graphic>
          </wp:inline>
        </w:drawing>
      </w:r>
    </w:p>
    <w:p w14:paraId="1DA74733">
      <w:pPr>
        <w:ind w:firstLine="0" w:firstLineChars="0"/>
        <w:jc w:val="center"/>
        <w:rPr>
          <w:rFonts w:hint="eastAsia" w:ascii="Times New Roman" w:hAnsi="Times New Roman"/>
          <w:highlight w:val="none"/>
        </w:rPr>
      </w:pPr>
      <w:r>
        <w:rPr>
          <w:rFonts w:hint="eastAsia" w:ascii="黑体" w:hAnsi="黑体" w:eastAsia="黑体" w:cs="黑体"/>
          <w:highlight w:val="none"/>
        </w:rPr>
        <w:t>图</w:t>
      </w:r>
      <w:r>
        <w:rPr>
          <w:rFonts w:ascii="Times New Roman" w:hAnsi="Times New Roman"/>
          <w:highlight w:val="none"/>
        </w:rPr>
        <w:t>6.2-</w:t>
      </w:r>
      <w:r>
        <w:rPr>
          <w:rFonts w:hint="eastAsia" w:ascii="Times New Roman" w:hAnsi="Times New Roman"/>
          <w:highlight w:val="none"/>
        </w:rPr>
        <w:t>3</w:t>
      </w:r>
      <w:r>
        <w:rPr>
          <w:rFonts w:hint="eastAsia" w:ascii="黑体" w:hAnsi="黑体" w:eastAsia="黑体" w:cs="黑体"/>
          <w:b w:val="0"/>
          <w:bCs w:val="0"/>
          <w:highlight w:val="none"/>
        </w:rPr>
        <w:t>污水处理厂排污许可证简况</w:t>
      </w:r>
    </w:p>
    <w:p w14:paraId="12E93B84">
      <w:pPr>
        <w:ind w:firstLine="480"/>
        <w:rPr>
          <w:rFonts w:hint="eastAsia" w:ascii="Times New Roman" w:hAnsi="Times New Roman"/>
          <w:highlight w:val="none"/>
        </w:rPr>
      </w:pPr>
      <w:r>
        <w:rPr>
          <w:rFonts w:hint="eastAsia" w:ascii="Times New Roman" w:hAnsi="Times New Roman"/>
          <w:szCs w:val="24"/>
          <w:highlight w:val="none"/>
          <w:lang w:val="en-US" w:eastAsia="zh-CN"/>
        </w:rPr>
        <w:t>绥芬河中环污水处理有限公司</w:t>
      </w:r>
      <w:r>
        <w:rPr>
          <w:rFonts w:hint="eastAsia" w:ascii="Times New Roman" w:hAnsi="Times New Roman"/>
          <w:highlight w:val="none"/>
        </w:rPr>
        <w:t>已申领排污许可证，排污许可证编号为</w:t>
      </w:r>
      <w:r>
        <w:rPr>
          <w:rFonts w:hint="eastAsia" w:ascii="Times New Roman" w:hAnsi="Times New Roman" w:eastAsia="宋体" w:cs="Times New Roman"/>
          <w:szCs w:val="24"/>
          <w:highlight w:val="none"/>
          <w:lang w:val="en-US" w:eastAsia="zh-CN"/>
        </w:rPr>
        <w:t>91231081692616585X001Z</w:t>
      </w:r>
      <w:r>
        <w:rPr>
          <w:rFonts w:hint="eastAsia" w:ascii="Times New Roman" w:hAnsi="Times New Roman"/>
          <w:highlight w:val="none"/>
        </w:rPr>
        <w:t>，有效期至</w:t>
      </w:r>
      <w:r>
        <w:rPr>
          <w:rFonts w:ascii="Times New Roman" w:hAnsi="Times New Roman"/>
          <w:highlight w:val="none"/>
        </w:rPr>
        <w:t>202</w:t>
      </w:r>
      <w:r>
        <w:rPr>
          <w:rFonts w:hint="eastAsia" w:ascii="Times New Roman" w:hAnsi="Times New Roman"/>
          <w:highlight w:val="none"/>
          <w:lang w:val="en-US" w:eastAsia="zh-CN"/>
        </w:rPr>
        <w:t>9</w:t>
      </w:r>
      <w:r>
        <w:rPr>
          <w:rFonts w:ascii="Times New Roman" w:hAnsi="Times New Roman"/>
          <w:highlight w:val="none"/>
        </w:rPr>
        <w:t>-</w:t>
      </w:r>
      <w:r>
        <w:rPr>
          <w:rFonts w:hint="eastAsia" w:ascii="Times New Roman" w:hAnsi="Times New Roman"/>
          <w:highlight w:val="none"/>
          <w:lang w:val="en-US" w:eastAsia="zh-CN"/>
        </w:rPr>
        <w:t>6</w:t>
      </w:r>
      <w:r>
        <w:rPr>
          <w:rFonts w:ascii="Times New Roman" w:hAnsi="Times New Roman"/>
          <w:highlight w:val="none"/>
        </w:rPr>
        <w:t>-2</w:t>
      </w:r>
      <w:r>
        <w:rPr>
          <w:rFonts w:hint="eastAsia" w:ascii="Times New Roman" w:hAnsi="Times New Roman"/>
          <w:highlight w:val="none"/>
          <w:lang w:val="en-US" w:eastAsia="zh-CN"/>
        </w:rPr>
        <w:t>5</w:t>
      </w:r>
      <w:r>
        <w:rPr>
          <w:rFonts w:hint="eastAsia" w:ascii="Times New Roman" w:hAnsi="Times New Roman"/>
          <w:highlight w:val="none"/>
        </w:rPr>
        <w:t>。该企业目前已按要求填报排污许可证执行报告、定期监测并及时公开监测信息。</w:t>
      </w:r>
    </w:p>
    <w:p w14:paraId="23842093">
      <w:pPr>
        <w:ind w:firstLine="480"/>
        <w:rPr>
          <w:rFonts w:hint="eastAsia" w:ascii="Times New Roman" w:hAnsi="Times New Roman"/>
          <w:highlight w:val="none"/>
        </w:rPr>
      </w:pPr>
      <w:r>
        <w:rPr>
          <w:rFonts w:hint="eastAsia" w:ascii="Times New Roman" w:hAnsi="Times New Roman"/>
          <w:highlight w:val="none"/>
        </w:rPr>
        <w:t>因此，从水量、水质及环保要求角度分析，依托该污水处理厂可行。</w:t>
      </w:r>
    </w:p>
    <w:p w14:paraId="4611D1BE">
      <w:pPr>
        <w:rPr>
          <w:rFonts w:hint="eastAsia" w:ascii="Times New Roman" w:hAnsi="Times New Roman"/>
          <w:highlight w:val="none"/>
        </w:rPr>
      </w:pPr>
      <w:r>
        <w:rPr>
          <w:rFonts w:ascii="Times New Roman" w:hAnsi="Times New Roman"/>
          <w:highlight w:val="none"/>
        </w:rPr>
        <w:t>根据以上分析，本项目投产运行后，对地表水环境的影响较小</w:t>
      </w:r>
      <w:r>
        <w:rPr>
          <w:rFonts w:hint="eastAsia" w:ascii="Times New Roman" w:hAnsi="Times New Roman"/>
          <w:highlight w:val="none"/>
        </w:rPr>
        <w:t>，废水处理措施可行。</w:t>
      </w:r>
    </w:p>
    <w:p w14:paraId="389FFFBE">
      <w:pPr>
        <w:pStyle w:val="5"/>
        <w:bidi w:val="0"/>
        <w:ind w:left="0" w:leftChars="0" w:firstLine="0" w:firstLineChars="0"/>
        <w:rPr>
          <w:rFonts w:hint="eastAsia"/>
          <w:highlight w:val="none"/>
          <w:lang w:val="en-US" w:eastAsia="zh-CN"/>
        </w:rPr>
      </w:pPr>
      <w:bookmarkStart w:id="158" w:name="_Toc31115"/>
      <w:r>
        <w:rPr>
          <w:rFonts w:hint="eastAsia"/>
          <w:highlight w:val="none"/>
          <w:lang w:val="en-US" w:eastAsia="zh-CN"/>
        </w:rPr>
        <w:t>6.2.3运营期噪声污染防治措施</w:t>
      </w:r>
      <w:bookmarkEnd w:id="158"/>
    </w:p>
    <w:p w14:paraId="5C58500F">
      <w:pPr>
        <w:pStyle w:val="21"/>
        <w:ind w:firstLine="480"/>
        <w:rPr>
          <w:rFonts w:ascii="Times New Roman" w:hAnsi="Times New Roman"/>
          <w:highlight w:val="none"/>
        </w:rPr>
      </w:pPr>
      <w:r>
        <w:rPr>
          <w:rFonts w:ascii="Times New Roman" w:hAnsi="Times New Roman"/>
          <w:highlight w:val="none"/>
        </w:rPr>
        <w:t>本项目对高噪声设备，采用隔音、消声、隔振等降噪措施，使各种噪声源得到有效的控制。本次评价提出的声环境保护措施有：</w:t>
      </w:r>
    </w:p>
    <w:p w14:paraId="15F7B3D1">
      <w:pPr>
        <w:pStyle w:val="21"/>
        <w:ind w:firstLine="480"/>
        <w:rPr>
          <w:rFonts w:ascii="Times New Roman" w:hAnsi="Times New Roman"/>
          <w:highlight w:val="none"/>
        </w:rPr>
      </w:pPr>
      <w:r>
        <w:rPr>
          <w:rFonts w:ascii="Times New Roman" w:hAnsi="Times New Roman"/>
          <w:highlight w:val="none"/>
        </w:rPr>
        <w:t>（1）锅炉和配套风机、水泵噪声控制措施</w:t>
      </w:r>
    </w:p>
    <w:p w14:paraId="7A8FE8D6">
      <w:pPr>
        <w:pStyle w:val="21"/>
        <w:ind w:firstLine="480"/>
        <w:rPr>
          <w:rFonts w:ascii="Times New Roman" w:hAnsi="Times New Roman"/>
          <w:highlight w:val="none"/>
        </w:rPr>
      </w:pPr>
      <w:r>
        <w:rPr>
          <w:rFonts w:ascii="Times New Roman" w:hAnsi="Times New Roman"/>
          <w:highlight w:val="none"/>
        </w:rPr>
        <w:t>对引风机管道外壳阻尼；一次风机和二次风机可在进风口处安装消声器及管道外壳阻尼；锅炉给水泵安装隔声罩壳。采取以上措施，结合厂房隔声，可使噪声源源强最低降低25dB(A)。</w:t>
      </w:r>
    </w:p>
    <w:p w14:paraId="0522D967">
      <w:pPr>
        <w:pStyle w:val="21"/>
        <w:ind w:firstLine="480"/>
        <w:rPr>
          <w:rFonts w:ascii="Times New Roman" w:hAnsi="Times New Roman"/>
          <w:highlight w:val="none"/>
        </w:rPr>
      </w:pPr>
      <w:r>
        <w:rPr>
          <w:rFonts w:ascii="Times New Roman" w:hAnsi="Times New Roman"/>
          <w:highlight w:val="none"/>
        </w:rPr>
        <w:t>（2）空压机噪声控制</w:t>
      </w:r>
    </w:p>
    <w:p w14:paraId="0BFE86A5">
      <w:pPr>
        <w:pStyle w:val="21"/>
        <w:ind w:firstLine="480"/>
        <w:rPr>
          <w:rFonts w:ascii="Times New Roman" w:hAnsi="Times New Roman"/>
          <w:highlight w:val="none"/>
        </w:rPr>
      </w:pPr>
      <w:r>
        <w:rPr>
          <w:rFonts w:ascii="Times New Roman" w:hAnsi="Times New Roman"/>
          <w:highlight w:val="none"/>
        </w:rPr>
        <w:t>应建设独立的空压间，并对机房采用隔声门窗。机组安装时可在进风口安装消声器，通过采取综合处理措施后，可使空压间内噪声低于65dB(A)。</w:t>
      </w:r>
    </w:p>
    <w:p w14:paraId="2F29AFE7">
      <w:pPr>
        <w:pStyle w:val="21"/>
        <w:ind w:firstLine="480"/>
        <w:rPr>
          <w:rFonts w:ascii="Times New Roman" w:hAnsi="Times New Roman"/>
          <w:highlight w:val="none"/>
        </w:rPr>
      </w:pPr>
      <w:r>
        <w:rPr>
          <w:rFonts w:ascii="Times New Roman" w:hAnsi="Times New Roman"/>
          <w:highlight w:val="none"/>
        </w:rPr>
        <w:t>（3）水泵噪声控制</w:t>
      </w:r>
    </w:p>
    <w:p w14:paraId="02A52760">
      <w:pPr>
        <w:pStyle w:val="21"/>
        <w:ind w:firstLine="480"/>
        <w:rPr>
          <w:rFonts w:ascii="Times New Roman" w:hAnsi="Times New Roman"/>
          <w:highlight w:val="none"/>
        </w:rPr>
      </w:pPr>
      <w:r>
        <w:rPr>
          <w:rFonts w:ascii="Times New Roman" w:hAnsi="Times New Roman"/>
          <w:highlight w:val="none"/>
        </w:rPr>
        <w:t>首先应选择低噪声水泵，安装时要保证设备平衡并采取减振基础，采取以上措施，结合厂房隔声，可使泵房内噪声控制在65dB(A）以内。</w:t>
      </w:r>
    </w:p>
    <w:p w14:paraId="24A54DF4">
      <w:pPr>
        <w:rPr>
          <w:rFonts w:hint="eastAsia" w:ascii="Times New Roman" w:hAnsi="Times New Roman"/>
          <w:highlight w:val="none"/>
        </w:rPr>
      </w:pPr>
      <w:r>
        <w:rPr>
          <w:rFonts w:ascii="Times New Roman" w:hAnsi="Times New Roman"/>
          <w:highlight w:val="none"/>
        </w:rPr>
        <w:t>本项目锅炉烟筒等高噪声设备在远离敏感点的一侧布置，以降低噪声对敏感目标的影响，通过采取上述噪声防控措施，厂界噪声可满足《工业企业厂界环境噪声排放标准》（GB12348-2008）</w:t>
      </w:r>
      <w:r>
        <w:rPr>
          <w:rFonts w:hint="eastAsia" w:ascii="Times New Roman" w:hAnsi="Times New Roman"/>
          <w:highlight w:val="none"/>
          <w:lang w:val="en-US" w:eastAsia="zh-CN"/>
        </w:rPr>
        <w:t>2</w:t>
      </w:r>
      <w:r>
        <w:rPr>
          <w:rFonts w:ascii="Times New Roman" w:hAnsi="Times New Roman"/>
          <w:highlight w:val="none"/>
        </w:rPr>
        <w:t>类</w:t>
      </w:r>
      <w:r>
        <w:rPr>
          <w:rFonts w:hint="eastAsia" w:ascii="Times New Roman" w:hAnsi="Times New Roman"/>
          <w:highlight w:val="none"/>
          <w:lang w:val="en-US" w:eastAsia="zh-CN"/>
        </w:rPr>
        <w:t>和4类</w:t>
      </w:r>
      <w:r>
        <w:rPr>
          <w:rFonts w:ascii="Times New Roman" w:hAnsi="Times New Roman"/>
          <w:highlight w:val="none"/>
        </w:rPr>
        <w:t>标准。</w:t>
      </w:r>
      <w:r>
        <w:rPr>
          <w:rFonts w:hint="eastAsia" w:ascii="Times New Roman" w:hAnsi="Times New Roman"/>
          <w:highlight w:val="none"/>
        </w:rPr>
        <w:t>声环境敏感目标处噪声预测值均符合《声环境质量标准》（GB3096-2008）2类标准。</w:t>
      </w:r>
    </w:p>
    <w:p w14:paraId="4FB664D4">
      <w:pPr>
        <w:pStyle w:val="5"/>
        <w:bidi w:val="0"/>
        <w:ind w:left="0" w:leftChars="0" w:firstLine="0" w:firstLineChars="0"/>
        <w:rPr>
          <w:rFonts w:hint="default"/>
          <w:highlight w:val="none"/>
          <w:lang w:val="en-US" w:eastAsia="zh-CN"/>
        </w:rPr>
      </w:pPr>
      <w:bookmarkStart w:id="159" w:name="_Toc17508"/>
      <w:r>
        <w:rPr>
          <w:rFonts w:hint="eastAsia"/>
          <w:highlight w:val="none"/>
          <w:lang w:val="en-US" w:eastAsia="zh-CN"/>
        </w:rPr>
        <w:t>6.2.4运营期固体废物污染防治措施</w:t>
      </w:r>
      <w:bookmarkEnd w:id="159"/>
    </w:p>
    <w:p w14:paraId="26BEC406">
      <w:pPr>
        <w:bidi w:val="0"/>
        <w:rPr>
          <w:highlight w:val="none"/>
        </w:rPr>
      </w:pPr>
      <w:r>
        <w:rPr>
          <w:highlight w:val="none"/>
        </w:rPr>
        <w:t>（1）炉灰、炉渣</w:t>
      </w:r>
      <w:r>
        <w:rPr>
          <w:rFonts w:hint="eastAsia"/>
          <w:highlight w:val="none"/>
        </w:rPr>
        <w:t>、</w:t>
      </w:r>
      <w:r>
        <w:rPr>
          <w:highlight w:val="none"/>
        </w:rPr>
        <w:t>脱硫石膏</w:t>
      </w:r>
    </w:p>
    <w:p w14:paraId="285B46AA">
      <w:pPr>
        <w:bidi w:val="0"/>
        <w:rPr>
          <w:highlight w:val="none"/>
        </w:rPr>
      </w:pPr>
      <w:r>
        <w:rPr>
          <w:highlight w:val="none"/>
        </w:rPr>
        <w:t>本项目炉灰产生量为</w:t>
      </w:r>
      <w:r>
        <w:rPr>
          <w:rFonts w:hint="eastAsia"/>
          <w:highlight w:val="none"/>
          <w:lang w:val="en-US" w:eastAsia="zh-CN"/>
        </w:rPr>
        <w:t>6050.89</w:t>
      </w:r>
      <w:r>
        <w:rPr>
          <w:highlight w:val="none"/>
        </w:rPr>
        <w:t>t/a，炉渣产生量</w:t>
      </w:r>
      <w:r>
        <w:rPr>
          <w:rFonts w:hint="eastAsia"/>
          <w:highlight w:val="none"/>
          <w:lang w:val="en-US" w:eastAsia="zh-CN"/>
        </w:rPr>
        <w:t>25919.71</w:t>
      </w:r>
      <w:r>
        <w:rPr>
          <w:highlight w:val="none"/>
        </w:rPr>
        <w:t>t/a。本项目建</w:t>
      </w:r>
      <w:r>
        <w:rPr>
          <w:rFonts w:hint="eastAsia"/>
          <w:highlight w:val="none"/>
          <w:lang w:val="en-US" w:eastAsia="zh-CN"/>
        </w:rPr>
        <w:t>1</w:t>
      </w:r>
      <w:r>
        <w:rPr>
          <w:highlight w:val="none"/>
        </w:rPr>
        <w:t>座</w:t>
      </w:r>
      <w:r>
        <w:rPr>
          <w:rFonts w:hint="eastAsia"/>
          <w:highlight w:val="none"/>
          <w:lang w:val="en-US" w:eastAsia="zh-CN"/>
        </w:rPr>
        <w:t>300</w:t>
      </w:r>
      <w:r>
        <w:rPr>
          <w:highlight w:val="none"/>
        </w:rPr>
        <w:t>m3灰仓，每座钢渣仓可存渣</w:t>
      </w:r>
      <w:r>
        <w:rPr>
          <w:rFonts w:hint="eastAsia"/>
          <w:highlight w:val="none"/>
          <w:lang w:val="en-US" w:eastAsia="zh-CN"/>
        </w:rPr>
        <w:t>240</w:t>
      </w:r>
      <w:r>
        <w:rPr>
          <w:highlight w:val="none"/>
        </w:rPr>
        <w:t>t，满足锅炉在额定工况下约</w:t>
      </w:r>
      <w:r>
        <w:rPr>
          <w:rFonts w:hint="eastAsia"/>
          <w:highlight w:val="none"/>
          <w:lang w:val="en-US" w:eastAsia="zh-CN"/>
        </w:rPr>
        <w:t>8</w:t>
      </w:r>
      <w:r>
        <w:rPr>
          <w:rFonts w:hint="eastAsia"/>
          <w:highlight w:val="none"/>
        </w:rPr>
        <w:t>天</w:t>
      </w:r>
      <w:r>
        <w:rPr>
          <w:highlight w:val="none"/>
        </w:rPr>
        <w:t>的灰量；建</w:t>
      </w:r>
      <w:r>
        <w:rPr>
          <w:rFonts w:hint="eastAsia"/>
          <w:highlight w:val="none"/>
          <w:lang w:val="en-US" w:eastAsia="zh-CN"/>
        </w:rPr>
        <w:t>1</w:t>
      </w:r>
      <w:r>
        <w:rPr>
          <w:highlight w:val="none"/>
        </w:rPr>
        <w:t>座设计容积为</w:t>
      </w:r>
      <w:r>
        <w:rPr>
          <w:rFonts w:hint="eastAsia"/>
          <w:highlight w:val="none"/>
          <w:lang w:val="en-US" w:eastAsia="zh-CN"/>
        </w:rPr>
        <w:t>300</w:t>
      </w:r>
      <w:r>
        <w:rPr>
          <w:highlight w:val="none"/>
        </w:rPr>
        <w:t>m3渣仓，每座钢渣仓可存渣</w:t>
      </w:r>
      <w:r>
        <w:rPr>
          <w:rFonts w:hint="eastAsia"/>
          <w:highlight w:val="none"/>
          <w:lang w:val="en-US" w:eastAsia="zh-CN"/>
        </w:rPr>
        <w:t>240</w:t>
      </w:r>
      <w:r>
        <w:rPr>
          <w:highlight w:val="none"/>
        </w:rPr>
        <w:t>t，可临时贮存灰渣2天，本项目不设置永久性灰渣库，产生的灰渣临时暂存在灰仓、渣仓，每1-2天外运至综合利用单位。</w:t>
      </w:r>
    </w:p>
    <w:p w14:paraId="6A7A80F6">
      <w:pPr>
        <w:bidi w:val="0"/>
        <w:rPr>
          <w:highlight w:val="none"/>
        </w:rPr>
      </w:pPr>
      <w:r>
        <w:rPr>
          <w:highlight w:val="none"/>
        </w:rPr>
        <w:t>本项目产生的灰渣综合利用单位为</w:t>
      </w:r>
      <w:r>
        <w:rPr>
          <w:rFonts w:hint="eastAsia"/>
          <w:highlight w:val="none"/>
          <w:lang w:val="en-US" w:eastAsia="zh-CN"/>
        </w:rPr>
        <w:t>绥芬河市宝聚砖厂</w:t>
      </w:r>
      <w:r>
        <w:rPr>
          <w:highlight w:val="none"/>
        </w:rPr>
        <w:t>。本项目锅炉灰渣产生量为</w:t>
      </w:r>
      <w:r>
        <w:rPr>
          <w:rFonts w:hint="eastAsia"/>
          <w:highlight w:val="none"/>
          <w:lang w:val="en-US" w:eastAsia="zh-CN"/>
        </w:rPr>
        <w:t>31970.6</w:t>
      </w:r>
      <w:r>
        <w:rPr>
          <w:highlight w:val="none"/>
        </w:rPr>
        <w:t>吨/a，可接收本项目灰渣量大于本项目锅炉灰渣产生量，能够满足本项目灰渣处理需求。</w:t>
      </w:r>
    </w:p>
    <w:p w14:paraId="4641DFDC">
      <w:pPr>
        <w:bidi w:val="0"/>
        <w:rPr>
          <w:rFonts w:hint="eastAsia"/>
          <w:highlight w:val="none"/>
        </w:rPr>
      </w:pPr>
      <w:r>
        <w:rPr>
          <w:highlight w:val="none"/>
        </w:rPr>
        <w:t>本项目</w:t>
      </w:r>
      <w:r>
        <w:rPr>
          <w:rFonts w:hint="eastAsia"/>
          <w:highlight w:val="none"/>
        </w:rPr>
        <w:t>3台锅炉共用1套石膏脱水系统，设3台真空皮带脱水机。每台真空皮带脱水机出力按两台炉BMCR工况下所排石膏量的100%配置。</w:t>
      </w:r>
      <w:r>
        <w:rPr>
          <w:highlight w:val="none"/>
        </w:rPr>
        <w:t>脱硫石膏产生量</w:t>
      </w:r>
      <w:r>
        <w:rPr>
          <w:rFonts w:hint="eastAsia"/>
          <w:highlight w:val="none"/>
          <w:lang w:val="en-US" w:eastAsia="zh-CN"/>
        </w:rPr>
        <w:t>502.549</w:t>
      </w:r>
      <w:r>
        <w:rPr>
          <w:highlight w:val="none"/>
        </w:rPr>
        <w:t>t/a，含脱硫废水处理过程中沉淀出的脱硫石膏，储存在脱硫综合楼内的脱硫石膏贮存间（面积</w:t>
      </w:r>
      <w:r>
        <w:rPr>
          <w:rFonts w:hint="eastAsia"/>
          <w:highlight w:val="none"/>
          <w:lang w:val="en-US" w:eastAsia="zh-CN"/>
        </w:rPr>
        <w:t>10</w:t>
      </w:r>
      <w:r>
        <w:rPr>
          <w:highlight w:val="none"/>
        </w:rPr>
        <w:t>m2），</w:t>
      </w:r>
      <w:r>
        <w:rPr>
          <w:rFonts w:hint="eastAsia"/>
          <w:highlight w:val="none"/>
        </w:rPr>
        <w:t>石膏贮存间的容积可以满足3台炉FGD装置运行3天所排石膏的贮存要求。</w:t>
      </w:r>
      <w:r>
        <w:rPr>
          <w:highlight w:val="none"/>
        </w:rPr>
        <w:t>定期外运至</w:t>
      </w:r>
      <w:r>
        <w:rPr>
          <w:rFonts w:hint="eastAsia"/>
          <w:highlight w:val="none"/>
          <w:lang w:val="en-US" w:eastAsia="zh-CN"/>
        </w:rPr>
        <w:t>绥芬河市宝聚砖厂</w:t>
      </w:r>
      <w:r>
        <w:rPr>
          <w:highlight w:val="none"/>
        </w:rPr>
        <w:t>外售综合利用</w:t>
      </w:r>
      <w:r>
        <w:rPr>
          <w:rFonts w:hint="eastAsia"/>
          <w:highlight w:val="none"/>
        </w:rPr>
        <w:t>。</w:t>
      </w:r>
    </w:p>
    <w:p w14:paraId="06E0DF05">
      <w:pPr>
        <w:bidi w:val="0"/>
        <w:rPr>
          <w:highlight w:val="none"/>
        </w:rPr>
      </w:pPr>
      <w:r>
        <w:rPr>
          <w:highlight w:val="none"/>
        </w:rPr>
        <w:t>（3）废催化剂</w:t>
      </w:r>
    </w:p>
    <w:p w14:paraId="7EE03DB3">
      <w:pPr>
        <w:bidi w:val="0"/>
        <w:rPr>
          <w:highlight w:val="none"/>
        </w:rPr>
      </w:pPr>
      <w:r>
        <w:rPr>
          <w:highlight w:val="none"/>
        </w:rPr>
        <w:t>本项目脱硝产生的废催化剂（寿命3年）10m3/3年，废催化剂的主要成分有V2O5、WO3和TiO2，根据《国家危险废物名录（202</w:t>
      </w:r>
      <w:r>
        <w:rPr>
          <w:rFonts w:hint="eastAsia"/>
          <w:highlight w:val="none"/>
          <w:lang w:val="en-US" w:eastAsia="zh-CN"/>
        </w:rPr>
        <w:t>5</w:t>
      </w:r>
      <w:r>
        <w:rPr>
          <w:highlight w:val="none"/>
        </w:rPr>
        <w:t>年版）》（部令第15号 2020.11.25）可知，本项目产生的脱硝废催化剂属于危险废物（HW50废催化剂中的772-07-50烟气脱硝过程中产生的废钒钛系催化剂），应委托有危废处理资质单位统一处理。</w:t>
      </w:r>
    </w:p>
    <w:p w14:paraId="7A56B39A">
      <w:pPr>
        <w:bidi w:val="0"/>
        <w:rPr>
          <w:highlight w:val="none"/>
        </w:rPr>
      </w:pPr>
      <w:r>
        <w:rPr>
          <w:highlight w:val="none"/>
        </w:rPr>
        <w:t>危险废物应在厂内暂存，</w:t>
      </w:r>
      <w:r>
        <w:rPr>
          <w:rFonts w:hint="eastAsia"/>
          <w:highlight w:val="none"/>
        </w:rPr>
        <w:t>现有</w:t>
      </w:r>
      <w:r>
        <w:rPr>
          <w:highlight w:val="none"/>
        </w:rPr>
        <w:t>危废</w:t>
      </w:r>
      <w:r>
        <w:rPr>
          <w:rFonts w:hint="eastAsia"/>
          <w:highlight w:val="none"/>
          <w:lang w:val="en-US" w:eastAsia="zh-CN"/>
        </w:rPr>
        <w:t>贮存点</w:t>
      </w:r>
      <w:r>
        <w:rPr>
          <w:highlight w:val="none"/>
        </w:rPr>
        <w:t>建筑面积</w:t>
      </w:r>
      <w:r>
        <w:rPr>
          <w:rFonts w:hint="eastAsia"/>
          <w:highlight w:val="none"/>
          <w:lang w:val="en-US" w:eastAsia="zh-CN"/>
        </w:rPr>
        <w:t>1</w:t>
      </w:r>
      <w:r>
        <w:rPr>
          <w:highlight w:val="none"/>
        </w:rPr>
        <w:t>0m2。危废</w:t>
      </w:r>
      <w:r>
        <w:rPr>
          <w:rFonts w:hint="eastAsia"/>
          <w:highlight w:val="none"/>
          <w:lang w:val="en-US" w:eastAsia="zh-CN"/>
        </w:rPr>
        <w:t>贮存点</w:t>
      </w:r>
      <w:r>
        <w:rPr>
          <w:highlight w:val="none"/>
        </w:rPr>
        <w:t>满足以下要求：</w:t>
      </w:r>
    </w:p>
    <w:p w14:paraId="49C0DCB6">
      <w:pPr>
        <w:bidi w:val="0"/>
        <w:rPr>
          <w:highlight w:val="none"/>
        </w:rPr>
      </w:pPr>
      <w:r>
        <w:rPr>
          <w:rFonts w:hint="eastAsia"/>
          <w:highlight w:val="none"/>
        </w:rPr>
        <w:t>①</w:t>
      </w:r>
      <w:r>
        <w:rPr>
          <w:highlight w:val="none"/>
        </w:rPr>
        <w:t>固体危险废物应在贮存设施内分别堆放，其余危险废物应装入容器内，装载危险废物的容器及材质要满足相应标准要求；</w:t>
      </w:r>
    </w:p>
    <w:p w14:paraId="6FC3E470">
      <w:pPr>
        <w:bidi w:val="0"/>
        <w:rPr>
          <w:highlight w:val="none"/>
        </w:rPr>
      </w:pPr>
      <w:r>
        <w:rPr>
          <w:rFonts w:hint="eastAsia"/>
          <w:highlight w:val="none"/>
        </w:rPr>
        <w:t>②</w:t>
      </w:r>
      <w:r>
        <w:rPr>
          <w:highlight w:val="none"/>
        </w:rPr>
        <w:t>盛装危险废物的容器上必须粘贴符合《危险废物贮存污染控制标准》（GB18597-2001）附录A所示的标签。</w:t>
      </w:r>
    </w:p>
    <w:p w14:paraId="466B4B1E">
      <w:pPr>
        <w:bidi w:val="0"/>
        <w:rPr>
          <w:highlight w:val="none"/>
        </w:rPr>
      </w:pPr>
      <w:r>
        <w:rPr>
          <w:rFonts w:hint="eastAsia"/>
          <w:highlight w:val="none"/>
        </w:rPr>
        <w:t>③</w:t>
      </w:r>
      <w:r>
        <w:rPr>
          <w:highlight w:val="none"/>
        </w:rPr>
        <w:t>暂存间地面与裙角要用坚固、防渗的材料建造，建筑材料必须与危险废物相容，地面应耐腐蚀、硬化、表面无裂隙；</w:t>
      </w:r>
    </w:p>
    <w:p w14:paraId="3493587E">
      <w:pPr>
        <w:bidi w:val="0"/>
        <w:rPr>
          <w:highlight w:val="none"/>
        </w:rPr>
      </w:pPr>
      <w:r>
        <w:rPr>
          <w:rFonts w:hint="eastAsia"/>
          <w:highlight w:val="none"/>
        </w:rPr>
        <w:t>④</w:t>
      </w:r>
      <w:r>
        <w:rPr>
          <w:highlight w:val="none"/>
        </w:rPr>
        <w:t>危险废物暂存间管理者应做好危险废物情况的记录，记录危险废物名称、来源、数量、特性、包装容器的类别、入库日期、存放位置、出库日期、接收单位等信息，并定期对暂存间贮存设施及包装容器进行检查。</w:t>
      </w:r>
    </w:p>
    <w:p w14:paraId="33724328">
      <w:pPr>
        <w:bidi w:val="0"/>
        <w:rPr>
          <w:highlight w:val="none"/>
        </w:rPr>
      </w:pPr>
      <w:r>
        <w:rPr>
          <w:rFonts w:hint="eastAsia"/>
          <w:highlight w:val="none"/>
        </w:rPr>
        <w:t>⑤</w:t>
      </w:r>
      <w:r>
        <w:rPr>
          <w:highlight w:val="none"/>
        </w:rPr>
        <w:t>应配备通讯设备、照明设施、安全防护服装及工具，并设有应急防护设施。</w:t>
      </w:r>
    </w:p>
    <w:p w14:paraId="204E3ABA">
      <w:pPr>
        <w:bidi w:val="0"/>
        <w:rPr>
          <w:highlight w:val="none"/>
        </w:rPr>
      </w:pPr>
      <w:r>
        <w:rPr>
          <w:highlight w:val="none"/>
        </w:rPr>
        <w:t>综上所述，在正常情况下，本项目运营期固体废物可实现全部合理地处理处置。</w:t>
      </w:r>
    </w:p>
    <w:p w14:paraId="09447935">
      <w:pPr>
        <w:bidi w:val="0"/>
        <w:rPr>
          <w:rFonts w:hint="default" w:eastAsia="宋体"/>
          <w:highlight w:val="none"/>
          <w:lang w:val="en-US" w:eastAsia="zh-CN"/>
        </w:rPr>
      </w:pPr>
      <w:r>
        <w:rPr>
          <w:highlight w:val="none"/>
        </w:rPr>
        <w:t>（4）废离子交换树脂</w:t>
      </w:r>
      <w:r>
        <w:rPr>
          <w:rFonts w:hint="eastAsia"/>
          <w:highlight w:val="none"/>
          <w:lang w:val="en-US" w:eastAsia="zh-CN"/>
        </w:rPr>
        <w:t>和反渗透膜</w:t>
      </w:r>
    </w:p>
    <w:p w14:paraId="0313F660">
      <w:pPr>
        <w:bidi w:val="0"/>
        <w:rPr>
          <w:highlight w:val="none"/>
        </w:rPr>
      </w:pPr>
      <w:r>
        <w:rPr>
          <w:highlight w:val="none"/>
        </w:rPr>
        <w:t>本项目废离子交换树脂</w:t>
      </w:r>
      <w:r>
        <w:rPr>
          <w:rFonts w:hint="eastAsia"/>
          <w:highlight w:val="none"/>
          <w:lang w:val="en-US" w:eastAsia="zh-CN"/>
        </w:rPr>
        <w:t>和反渗透膜</w:t>
      </w:r>
      <w:r>
        <w:rPr>
          <w:highlight w:val="none"/>
        </w:rPr>
        <w:t>由市政部门统一收集处理。</w:t>
      </w:r>
    </w:p>
    <w:p w14:paraId="51E5D16B">
      <w:pPr>
        <w:bidi w:val="0"/>
        <w:rPr>
          <w:highlight w:val="none"/>
        </w:rPr>
      </w:pPr>
      <w:r>
        <w:rPr>
          <w:highlight w:val="none"/>
        </w:rPr>
        <w:t>（5）生活垃圾</w:t>
      </w:r>
    </w:p>
    <w:p w14:paraId="7B91F131">
      <w:pPr>
        <w:ind w:firstLine="480"/>
        <w:rPr>
          <w:rFonts w:ascii="Times New Roman" w:hAnsi="Times New Roman"/>
          <w:highlight w:val="none"/>
        </w:rPr>
      </w:pPr>
      <w:r>
        <w:rPr>
          <w:rFonts w:ascii="Times New Roman" w:hAnsi="Times New Roman"/>
          <w:highlight w:val="none"/>
        </w:rPr>
        <w:t>本项目设置生活垃圾收集箱（加盖），分类收集、及时清运，生活垃圾由市政部门统一收集处理，可消除对环境的影响，处置效率可达100％。</w:t>
      </w:r>
    </w:p>
    <w:p w14:paraId="6398693A">
      <w:pPr>
        <w:ind w:firstLine="480"/>
        <w:rPr>
          <w:rFonts w:ascii="Times New Roman" w:hAnsi="Times New Roman"/>
          <w:kern w:val="0"/>
          <w:szCs w:val="21"/>
          <w:highlight w:val="none"/>
        </w:rPr>
      </w:pPr>
      <w:r>
        <w:rPr>
          <w:rFonts w:ascii="Times New Roman" w:hAnsi="Times New Roman"/>
          <w:kern w:val="0"/>
          <w:szCs w:val="21"/>
          <w:highlight w:val="none"/>
        </w:rPr>
        <w:t>（6）餐厨垃圾及废油脂</w:t>
      </w:r>
    </w:p>
    <w:p w14:paraId="1B4A2A31">
      <w:pPr>
        <w:rPr>
          <w:rFonts w:ascii="Times New Roman" w:hAnsi="Times New Roman"/>
          <w:kern w:val="0"/>
          <w:szCs w:val="21"/>
          <w:highlight w:val="none"/>
        </w:rPr>
      </w:pPr>
      <w:r>
        <w:rPr>
          <w:rFonts w:ascii="Times New Roman" w:hAnsi="Times New Roman"/>
          <w:kern w:val="0"/>
          <w:szCs w:val="21"/>
          <w:highlight w:val="none"/>
        </w:rPr>
        <w:t>餐厨垃圾及废油脂集中收集，交由有资质单位处置。</w:t>
      </w:r>
    </w:p>
    <w:p w14:paraId="0DEC4715">
      <w:pPr>
        <w:pStyle w:val="5"/>
        <w:bidi w:val="0"/>
        <w:ind w:left="0" w:leftChars="0" w:firstLine="0" w:firstLineChars="0"/>
        <w:rPr>
          <w:rFonts w:hint="eastAsia"/>
          <w:highlight w:val="none"/>
          <w:lang w:val="en-US" w:eastAsia="zh-CN"/>
        </w:rPr>
      </w:pPr>
      <w:bookmarkStart w:id="160" w:name="_Toc22080"/>
      <w:r>
        <w:rPr>
          <w:rFonts w:hint="eastAsia"/>
          <w:highlight w:val="none"/>
          <w:lang w:val="en-US" w:eastAsia="zh-CN"/>
        </w:rPr>
        <w:t>6.2.5地下水污染防治措施</w:t>
      </w:r>
      <w:bookmarkEnd w:id="160"/>
    </w:p>
    <w:p w14:paraId="07BE5671">
      <w:pPr>
        <w:ind w:firstLine="480"/>
        <w:rPr>
          <w:rFonts w:ascii="Times New Roman" w:hAnsi="Times New Roman"/>
          <w:color w:val="auto"/>
          <w:highlight w:val="none"/>
        </w:rPr>
      </w:pPr>
      <w:r>
        <w:rPr>
          <w:rFonts w:ascii="Times New Roman" w:hAnsi="Times New Roman"/>
          <w:color w:val="auto"/>
          <w:highlight w:val="none"/>
        </w:rPr>
        <w:t>一、防渗原则</w:t>
      </w:r>
    </w:p>
    <w:p w14:paraId="210009EB">
      <w:pPr>
        <w:ind w:firstLine="480"/>
        <w:rPr>
          <w:rFonts w:ascii="Times New Roman" w:hAnsi="Times New Roman"/>
          <w:color w:val="auto"/>
          <w:highlight w:val="none"/>
        </w:rPr>
      </w:pPr>
      <w:r>
        <w:rPr>
          <w:rFonts w:ascii="Times New Roman" w:hAnsi="Times New Roman"/>
          <w:color w:val="auto"/>
          <w:highlight w:val="none"/>
        </w:rPr>
        <w:t>地下水污染防治措施按照“源头控制、分区防控、污染监控、应急响应”相结合的原则，从污染物的产生、入渗、扩散、应急响应全阶段进行控制。</w:t>
      </w:r>
    </w:p>
    <w:p w14:paraId="02CD5203">
      <w:pPr>
        <w:ind w:firstLine="480"/>
        <w:rPr>
          <w:rFonts w:ascii="Times New Roman" w:hAnsi="Times New Roman"/>
          <w:color w:val="auto"/>
          <w:highlight w:val="none"/>
        </w:rPr>
      </w:pPr>
      <w:r>
        <w:rPr>
          <w:rFonts w:ascii="Times New Roman" w:hAnsi="Times New Roman"/>
          <w:color w:val="auto"/>
          <w:highlight w:val="none"/>
        </w:rPr>
        <w:t>（1）源头控制措施：主要包括在工艺、管道、设备、污水储存及处理构筑物应采取相应防渗措施，要杜绝未做防渗处理的地段，防止和降低污染物跑、冒、滴、漏，将污染物泄漏的环境风险事故降到最低程度；管线敷设尽量采用“可视化”原则，即管道尽可能在地上或架空敷设，做到污染物“早发现、早处理”，减少由于埋地管道泄漏而造成的地下水污染。</w:t>
      </w:r>
    </w:p>
    <w:p w14:paraId="0B3C99F4">
      <w:pPr>
        <w:ind w:firstLine="480"/>
        <w:rPr>
          <w:rFonts w:ascii="Times New Roman" w:hAnsi="Times New Roman"/>
          <w:color w:val="auto"/>
          <w:highlight w:val="none"/>
        </w:rPr>
      </w:pPr>
      <w:r>
        <w:rPr>
          <w:rFonts w:ascii="Times New Roman" w:hAnsi="Times New Roman"/>
          <w:color w:val="auto"/>
          <w:highlight w:val="none"/>
        </w:rPr>
        <w:t>（2）分区防控措施：根据预测结果和场地包气带特征及其防污性能，提出防渗技术要求；或根据建设项目场地天然包气带防污性能、污染控制难易程度和污染物特性提出防渗技术要求。</w:t>
      </w:r>
    </w:p>
    <w:p w14:paraId="7711083B">
      <w:pPr>
        <w:pStyle w:val="7"/>
        <w:ind w:firstLine="480"/>
        <w:rPr>
          <w:rFonts w:ascii="Times New Roman" w:hAnsi="Times New Roman"/>
          <w:color w:val="auto"/>
          <w:highlight w:val="none"/>
        </w:rPr>
      </w:pPr>
      <w:r>
        <w:rPr>
          <w:rFonts w:ascii="Times New Roman" w:hAnsi="Times New Roman"/>
          <w:color w:val="auto"/>
          <w:highlight w:val="none"/>
        </w:rPr>
        <w:t>（3）污染监控体系：建立科学合理的场区及周边地下水监测系统，包括建立完善的监测制度、配备先进的检测仪器和设备，科学、合理设置地下水污染监测井，及时发现污染、及时控制，同时建立地下水污染应急处理方案，及时发现污染问题并加以处理。</w:t>
      </w:r>
    </w:p>
    <w:p w14:paraId="616C04DD">
      <w:pPr>
        <w:pStyle w:val="7"/>
        <w:ind w:firstLine="480"/>
        <w:rPr>
          <w:rFonts w:ascii="Times New Roman" w:hAnsi="Times New Roman"/>
          <w:color w:val="auto"/>
          <w:highlight w:val="none"/>
        </w:rPr>
      </w:pPr>
      <w:r>
        <w:rPr>
          <w:rFonts w:ascii="Times New Roman" w:hAnsi="Times New Roman"/>
          <w:color w:val="auto"/>
          <w:highlight w:val="none"/>
        </w:rPr>
        <w:t>（4）应急响应措施：一旦发现地下水污染事故，立即启动应急预案、采取应急措施控制地下水污染：</w:t>
      </w:r>
      <w:r>
        <w:rPr>
          <w:rFonts w:hint="eastAsia" w:ascii="宋体" w:hAnsi="宋体" w:cs="宋体"/>
          <w:color w:val="auto"/>
          <w:highlight w:val="none"/>
        </w:rPr>
        <w:t>①</w:t>
      </w:r>
      <w:r>
        <w:rPr>
          <w:rFonts w:ascii="Times New Roman" w:hAnsi="Times New Roman"/>
          <w:color w:val="auto"/>
          <w:highlight w:val="none"/>
        </w:rPr>
        <w:t>停止生产；</w:t>
      </w:r>
      <w:r>
        <w:rPr>
          <w:rFonts w:hint="eastAsia" w:ascii="宋体" w:hAnsi="宋体" w:cs="宋体"/>
          <w:color w:val="auto"/>
          <w:highlight w:val="none"/>
        </w:rPr>
        <w:t>②</w:t>
      </w:r>
      <w:r>
        <w:rPr>
          <w:rFonts w:ascii="Times New Roman" w:hAnsi="Times New Roman"/>
          <w:color w:val="auto"/>
          <w:highlight w:val="none"/>
        </w:rPr>
        <w:t>加强下游地下水监测密度并按时向环境保护的有关部门汇报监测情况；</w:t>
      </w:r>
      <w:r>
        <w:rPr>
          <w:rFonts w:hint="eastAsia" w:ascii="宋体" w:hAnsi="宋体" w:cs="宋体"/>
          <w:color w:val="auto"/>
          <w:highlight w:val="none"/>
        </w:rPr>
        <w:t>③</w:t>
      </w:r>
      <w:r>
        <w:rPr>
          <w:rFonts w:ascii="Times New Roman" w:hAnsi="Times New Roman"/>
          <w:color w:val="auto"/>
          <w:highlight w:val="none"/>
        </w:rPr>
        <w:t>把发生泄漏池子中的废水用车运到其他污水处理系统；</w:t>
      </w:r>
      <w:r>
        <w:rPr>
          <w:rFonts w:hint="eastAsia" w:ascii="宋体" w:hAnsi="宋体" w:cs="宋体"/>
          <w:color w:val="auto"/>
          <w:highlight w:val="none"/>
        </w:rPr>
        <w:t>④</w:t>
      </w:r>
      <w:r>
        <w:rPr>
          <w:rFonts w:ascii="Times New Roman" w:hAnsi="Times New Roman"/>
          <w:color w:val="auto"/>
          <w:highlight w:val="none"/>
        </w:rPr>
        <w:t>查出泄漏发生的原因，在未对厂内所有污水池进行安全检查之前不得生产。</w:t>
      </w:r>
    </w:p>
    <w:p w14:paraId="59114479">
      <w:pPr>
        <w:pStyle w:val="21"/>
        <w:ind w:firstLine="480"/>
        <w:rPr>
          <w:rFonts w:ascii="Times New Roman" w:hAnsi="Times New Roman"/>
          <w:color w:val="auto"/>
          <w:highlight w:val="none"/>
        </w:rPr>
      </w:pPr>
      <w:r>
        <w:rPr>
          <w:rFonts w:ascii="Times New Roman" w:hAnsi="Times New Roman"/>
          <w:color w:val="auto"/>
          <w:highlight w:val="none"/>
        </w:rPr>
        <w:t>二、防渗措施</w:t>
      </w:r>
    </w:p>
    <w:p w14:paraId="3B926D57">
      <w:pPr>
        <w:pStyle w:val="21"/>
        <w:ind w:firstLine="480"/>
        <w:rPr>
          <w:rFonts w:ascii="Times New Roman" w:hAnsi="Times New Roman"/>
          <w:color w:val="auto"/>
          <w:highlight w:val="none"/>
        </w:rPr>
      </w:pPr>
      <w:r>
        <w:rPr>
          <w:rFonts w:ascii="Times New Roman" w:hAnsi="Times New Roman"/>
          <w:color w:val="auto"/>
          <w:highlight w:val="none"/>
        </w:rPr>
        <w:t>《环境影响评价技术导则 地下水环境》（HJ610-2016）分区防渗控制措施，一般情况下，应以水平防渗为主，防控措施应满足以下要求：</w:t>
      </w:r>
    </w:p>
    <w:p w14:paraId="01D22612">
      <w:pPr>
        <w:pStyle w:val="21"/>
        <w:ind w:firstLine="480"/>
        <w:rPr>
          <w:rFonts w:ascii="Times New Roman" w:hAnsi="Times New Roman"/>
          <w:color w:val="auto"/>
          <w:highlight w:val="none"/>
        </w:rPr>
      </w:pPr>
      <w:r>
        <w:rPr>
          <w:rFonts w:hint="eastAsia" w:hAnsi="宋体" w:cs="宋体"/>
          <w:color w:val="auto"/>
          <w:highlight w:val="none"/>
        </w:rPr>
        <w:t>①</w:t>
      </w:r>
      <w:r>
        <w:rPr>
          <w:rFonts w:ascii="Times New Roman" w:hAnsi="Times New Roman"/>
          <w:color w:val="auto"/>
          <w:highlight w:val="none"/>
        </w:rPr>
        <w:t>已颁布污染控制国家标准或防渗技术规范的行业，水平防渗技术要求按照相应标准或规范执行，如GB16889、GB18597、GB18598、GB18599、GB/T50934 等；</w:t>
      </w:r>
    </w:p>
    <w:p w14:paraId="7612F49D">
      <w:pPr>
        <w:pStyle w:val="21"/>
        <w:ind w:firstLine="480"/>
        <w:rPr>
          <w:rFonts w:ascii="Times New Roman" w:hAnsi="Times New Roman"/>
          <w:color w:val="auto"/>
          <w:highlight w:val="none"/>
        </w:rPr>
      </w:pPr>
      <w:r>
        <w:rPr>
          <w:rFonts w:hint="eastAsia" w:hAnsi="宋体" w:cs="宋体"/>
          <w:color w:val="auto"/>
          <w:highlight w:val="none"/>
        </w:rPr>
        <w:t>②</w:t>
      </w:r>
      <w:r>
        <w:rPr>
          <w:rFonts w:ascii="Times New Roman" w:hAnsi="Times New Roman"/>
          <w:color w:val="auto"/>
          <w:highlight w:val="none"/>
        </w:rPr>
        <w:t>未颁布相关标准的行业，根据预测结果和场地包气带特征及其防污性能，提出防渗技术要求；或根据建设项目场地天然包气带防污性能、污染控制难易程度和污染物特性，提出防渗技术要求。</w:t>
      </w:r>
    </w:p>
    <w:p w14:paraId="3CB2C4FE">
      <w:pPr>
        <w:pStyle w:val="21"/>
        <w:ind w:firstLine="480"/>
        <w:rPr>
          <w:rFonts w:ascii="Times New Roman" w:hAnsi="Times New Roman"/>
          <w:color w:val="auto"/>
          <w:highlight w:val="none"/>
        </w:rPr>
      </w:pPr>
      <w:r>
        <w:rPr>
          <w:rFonts w:ascii="Times New Roman" w:hAnsi="Times New Roman"/>
          <w:color w:val="auto"/>
          <w:highlight w:val="none"/>
        </w:rPr>
        <w:t>故未颁布相关标准的行业，将地下水污染防渗分区分为三个级别：重点防渗区、一般防渗区、简单防渗区，具体见表6.2-5。</w:t>
      </w:r>
    </w:p>
    <w:p w14:paraId="50E9F869">
      <w:pPr>
        <w:pStyle w:val="21"/>
        <w:ind w:firstLine="0" w:firstLineChars="0"/>
        <w:jc w:val="center"/>
        <w:rPr>
          <w:rFonts w:ascii="Times New Roman" w:hAnsi="Times New Roman"/>
          <w:color w:val="auto"/>
          <w:highlight w:val="none"/>
        </w:rPr>
      </w:pPr>
      <w:r>
        <w:rPr>
          <w:rFonts w:ascii="Times New Roman" w:hAnsi="Times New Roman"/>
          <w:color w:val="auto"/>
          <w:highlight w:val="none"/>
        </w:rPr>
        <w:t>表6.2-5地下水污染防渗分区参照表</w:t>
      </w:r>
    </w:p>
    <w:tbl>
      <w:tblPr>
        <w:tblStyle w:val="17"/>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704"/>
        <w:gridCol w:w="1704"/>
        <w:gridCol w:w="1704"/>
        <w:gridCol w:w="1517"/>
        <w:gridCol w:w="1893"/>
      </w:tblGrid>
      <w:tr w14:paraId="02FF65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704" w:type="dxa"/>
            <w:noWrap w:val="0"/>
            <w:vAlign w:val="center"/>
          </w:tcPr>
          <w:p w14:paraId="4CDFC036">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分区防渗</w:t>
            </w:r>
          </w:p>
        </w:tc>
        <w:tc>
          <w:tcPr>
            <w:tcW w:w="1704" w:type="dxa"/>
            <w:noWrap w:val="0"/>
            <w:vAlign w:val="center"/>
          </w:tcPr>
          <w:p w14:paraId="334C77B0">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天然包气带防污性能</w:t>
            </w:r>
          </w:p>
        </w:tc>
        <w:tc>
          <w:tcPr>
            <w:tcW w:w="1704" w:type="dxa"/>
            <w:noWrap w:val="0"/>
            <w:vAlign w:val="center"/>
          </w:tcPr>
          <w:p w14:paraId="3953465F">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污染控制难易程度</w:t>
            </w:r>
          </w:p>
        </w:tc>
        <w:tc>
          <w:tcPr>
            <w:tcW w:w="1517" w:type="dxa"/>
            <w:noWrap w:val="0"/>
            <w:vAlign w:val="center"/>
          </w:tcPr>
          <w:p w14:paraId="55A8FDE0">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污染物类型</w:t>
            </w:r>
          </w:p>
        </w:tc>
        <w:tc>
          <w:tcPr>
            <w:tcW w:w="1893" w:type="dxa"/>
            <w:noWrap w:val="0"/>
            <w:vAlign w:val="center"/>
          </w:tcPr>
          <w:p w14:paraId="3274A883">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防渗技术要求</w:t>
            </w:r>
          </w:p>
        </w:tc>
      </w:tr>
      <w:tr w14:paraId="6F4BCD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704" w:type="dxa"/>
            <w:vMerge w:val="restart"/>
            <w:noWrap w:val="0"/>
            <w:vAlign w:val="center"/>
          </w:tcPr>
          <w:p w14:paraId="34F72A68">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重点防渗区</w:t>
            </w:r>
          </w:p>
        </w:tc>
        <w:tc>
          <w:tcPr>
            <w:tcW w:w="1704" w:type="dxa"/>
            <w:noWrap w:val="0"/>
            <w:vAlign w:val="center"/>
          </w:tcPr>
          <w:p w14:paraId="5D5A9F64">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弱</w:t>
            </w:r>
          </w:p>
        </w:tc>
        <w:tc>
          <w:tcPr>
            <w:tcW w:w="1704" w:type="dxa"/>
            <w:noWrap w:val="0"/>
            <w:vAlign w:val="center"/>
          </w:tcPr>
          <w:p w14:paraId="17D01B6C">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难</w:t>
            </w:r>
          </w:p>
        </w:tc>
        <w:tc>
          <w:tcPr>
            <w:tcW w:w="1517" w:type="dxa"/>
            <w:vMerge w:val="restart"/>
            <w:noWrap w:val="0"/>
            <w:vAlign w:val="center"/>
          </w:tcPr>
          <w:p w14:paraId="1405EB59">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重金属、持久性有机污染物</w:t>
            </w:r>
          </w:p>
        </w:tc>
        <w:tc>
          <w:tcPr>
            <w:tcW w:w="1893" w:type="dxa"/>
            <w:vMerge w:val="restart"/>
            <w:noWrap w:val="0"/>
            <w:vAlign w:val="center"/>
          </w:tcPr>
          <w:p w14:paraId="561DA6CB">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等效黏土防渗层 Mb≥6.0m，K≤10</w:t>
            </w:r>
            <w:r>
              <w:rPr>
                <w:rFonts w:ascii="Times New Roman" w:hAnsi="Times New Roman"/>
                <w:color w:val="auto"/>
                <w:sz w:val="21"/>
                <w:highlight w:val="none"/>
                <w:vertAlign w:val="superscript"/>
              </w:rPr>
              <w:t>-7</w:t>
            </w:r>
            <w:r>
              <w:rPr>
                <w:rFonts w:ascii="Times New Roman" w:hAnsi="Times New Roman"/>
                <w:color w:val="auto"/>
                <w:sz w:val="21"/>
                <w:highlight w:val="none"/>
              </w:rPr>
              <w:t>cm/s；或参照GB18598 执行</w:t>
            </w:r>
          </w:p>
        </w:tc>
      </w:tr>
      <w:tr w14:paraId="615411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2" w:hRule="atLeast"/>
          <w:jc w:val="center"/>
        </w:trPr>
        <w:tc>
          <w:tcPr>
            <w:tcW w:w="1704" w:type="dxa"/>
            <w:vMerge w:val="continue"/>
            <w:noWrap w:val="0"/>
            <w:vAlign w:val="center"/>
          </w:tcPr>
          <w:p w14:paraId="29504EDC">
            <w:pPr>
              <w:pStyle w:val="21"/>
              <w:spacing w:line="240" w:lineRule="auto"/>
              <w:ind w:firstLine="0" w:firstLineChars="0"/>
              <w:jc w:val="center"/>
              <w:rPr>
                <w:rFonts w:ascii="Times New Roman" w:hAnsi="Times New Roman"/>
                <w:color w:val="auto"/>
                <w:sz w:val="21"/>
                <w:highlight w:val="none"/>
              </w:rPr>
            </w:pPr>
          </w:p>
        </w:tc>
        <w:tc>
          <w:tcPr>
            <w:tcW w:w="1704" w:type="dxa"/>
            <w:noWrap w:val="0"/>
            <w:vAlign w:val="center"/>
          </w:tcPr>
          <w:p w14:paraId="17C8C2EA">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中-强</w:t>
            </w:r>
          </w:p>
        </w:tc>
        <w:tc>
          <w:tcPr>
            <w:tcW w:w="1704" w:type="dxa"/>
            <w:noWrap w:val="0"/>
            <w:vAlign w:val="center"/>
          </w:tcPr>
          <w:p w14:paraId="77488426">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难</w:t>
            </w:r>
          </w:p>
        </w:tc>
        <w:tc>
          <w:tcPr>
            <w:tcW w:w="1517" w:type="dxa"/>
            <w:vMerge w:val="continue"/>
            <w:noWrap w:val="0"/>
            <w:vAlign w:val="center"/>
          </w:tcPr>
          <w:p w14:paraId="2022C616">
            <w:pPr>
              <w:pStyle w:val="21"/>
              <w:spacing w:line="240" w:lineRule="auto"/>
              <w:ind w:firstLine="0" w:firstLineChars="0"/>
              <w:jc w:val="center"/>
              <w:rPr>
                <w:rFonts w:ascii="Times New Roman" w:hAnsi="Times New Roman"/>
                <w:color w:val="auto"/>
                <w:sz w:val="21"/>
                <w:highlight w:val="none"/>
              </w:rPr>
            </w:pPr>
          </w:p>
        </w:tc>
        <w:tc>
          <w:tcPr>
            <w:tcW w:w="1893" w:type="dxa"/>
            <w:vMerge w:val="continue"/>
            <w:noWrap w:val="0"/>
            <w:vAlign w:val="center"/>
          </w:tcPr>
          <w:p w14:paraId="2DF8AF40">
            <w:pPr>
              <w:pStyle w:val="21"/>
              <w:spacing w:line="240" w:lineRule="auto"/>
              <w:ind w:firstLine="0" w:firstLineChars="0"/>
              <w:jc w:val="center"/>
              <w:rPr>
                <w:rFonts w:ascii="Times New Roman" w:hAnsi="Times New Roman"/>
                <w:color w:val="auto"/>
                <w:sz w:val="21"/>
                <w:highlight w:val="none"/>
              </w:rPr>
            </w:pPr>
          </w:p>
        </w:tc>
      </w:tr>
      <w:tr w14:paraId="41E921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704" w:type="dxa"/>
            <w:vMerge w:val="continue"/>
            <w:noWrap w:val="0"/>
            <w:vAlign w:val="center"/>
          </w:tcPr>
          <w:p w14:paraId="47EF15E4">
            <w:pPr>
              <w:pStyle w:val="21"/>
              <w:spacing w:line="240" w:lineRule="auto"/>
              <w:ind w:firstLine="0" w:firstLineChars="0"/>
              <w:jc w:val="center"/>
              <w:rPr>
                <w:rFonts w:ascii="Times New Roman" w:hAnsi="Times New Roman"/>
                <w:color w:val="auto"/>
                <w:sz w:val="21"/>
                <w:highlight w:val="none"/>
              </w:rPr>
            </w:pPr>
          </w:p>
        </w:tc>
        <w:tc>
          <w:tcPr>
            <w:tcW w:w="1704" w:type="dxa"/>
            <w:noWrap w:val="0"/>
            <w:vAlign w:val="center"/>
          </w:tcPr>
          <w:p w14:paraId="630B8AE3">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弱</w:t>
            </w:r>
          </w:p>
        </w:tc>
        <w:tc>
          <w:tcPr>
            <w:tcW w:w="1704" w:type="dxa"/>
            <w:noWrap w:val="0"/>
            <w:vAlign w:val="center"/>
          </w:tcPr>
          <w:p w14:paraId="799C2E38">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易</w:t>
            </w:r>
          </w:p>
        </w:tc>
        <w:tc>
          <w:tcPr>
            <w:tcW w:w="1517" w:type="dxa"/>
            <w:vMerge w:val="continue"/>
            <w:noWrap w:val="0"/>
            <w:vAlign w:val="center"/>
          </w:tcPr>
          <w:p w14:paraId="1539D453">
            <w:pPr>
              <w:pStyle w:val="21"/>
              <w:spacing w:line="240" w:lineRule="auto"/>
              <w:ind w:firstLine="0" w:firstLineChars="0"/>
              <w:jc w:val="center"/>
              <w:rPr>
                <w:rFonts w:ascii="Times New Roman" w:hAnsi="Times New Roman"/>
                <w:color w:val="auto"/>
                <w:sz w:val="21"/>
                <w:highlight w:val="none"/>
              </w:rPr>
            </w:pPr>
          </w:p>
        </w:tc>
        <w:tc>
          <w:tcPr>
            <w:tcW w:w="1893" w:type="dxa"/>
            <w:vMerge w:val="continue"/>
            <w:noWrap w:val="0"/>
            <w:vAlign w:val="center"/>
          </w:tcPr>
          <w:p w14:paraId="2F065843">
            <w:pPr>
              <w:pStyle w:val="21"/>
              <w:spacing w:line="240" w:lineRule="auto"/>
              <w:ind w:firstLine="0" w:firstLineChars="0"/>
              <w:jc w:val="center"/>
              <w:rPr>
                <w:rFonts w:ascii="Times New Roman" w:hAnsi="Times New Roman"/>
                <w:color w:val="auto"/>
                <w:sz w:val="21"/>
                <w:highlight w:val="none"/>
              </w:rPr>
            </w:pPr>
          </w:p>
        </w:tc>
      </w:tr>
      <w:tr w14:paraId="71394C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704" w:type="dxa"/>
            <w:vMerge w:val="restart"/>
            <w:noWrap w:val="0"/>
            <w:vAlign w:val="center"/>
          </w:tcPr>
          <w:p w14:paraId="72B07959">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一般防渗区</w:t>
            </w:r>
          </w:p>
        </w:tc>
        <w:tc>
          <w:tcPr>
            <w:tcW w:w="1704" w:type="dxa"/>
            <w:noWrap w:val="0"/>
            <w:vAlign w:val="center"/>
          </w:tcPr>
          <w:p w14:paraId="1E8AE6DD">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弱</w:t>
            </w:r>
          </w:p>
        </w:tc>
        <w:tc>
          <w:tcPr>
            <w:tcW w:w="1704" w:type="dxa"/>
            <w:noWrap w:val="0"/>
            <w:vAlign w:val="center"/>
          </w:tcPr>
          <w:p w14:paraId="20AAC7CD">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易-难</w:t>
            </w:r>
          </w:p>
        </w:tc>
        <w:tc>
          <w:tcPr>
            <w:tcW w:w="1517" w:type="dxa"/>
            <w:vMerge w:val="restart"/>
            <w:noWrap w:val="0"/>
            <w:vAlign w:val="center"/>
          </w:tcPr>
          <w:p w14:paraId="25AD1B34">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其他类型</w:t>
            </w:r>
          </w:p>
        </w:tc>
        <w:tc>
          <w:tcPr>
            <w:tcW w:w="1893" w:type="dxa"/>
            <w:vMerge w:val="restart"/>
            <w:noWrap w:val="0"/>
            <w:vAlign w:val="center"/>
          </w:tcPr>
          <w:p w14:paraId="604D0511">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等效黏土防渗层 Mb≥1.5m， K≤10</w:t>
            </w:r>
            <w:r>
              <w:rPr>
                <w:rFonts w:ascii="Times New Roman" w:hAnsi="Times New Roman"/>
                <w:color w:val="auto"/>
                <w:sz w:val="21"/>
                <w:highlight w:val="none"/>
                <w:vertAlign w:val="superscript"/>
              </w:rPr>
              <w:t>-7</w:t>
            </w:r>
            <w:r>
              <w:rPr>
                <w:rFonts w:ascii="Times New Roman" w:hAnsi="Times New Roman"/>
                <w:color w:val="auto"/>
                <w:sz w:val="21"/>
                <w:highlight w:val="none"/>
              </w:rPr>
              <w:t xml:space="preserve"> cm/s；或参照GB16889执行</w:t>
            </w:r>
          </w:p>
        </w:tc>
      </w:tr>
      <w:tr w14:paraId="61E6226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0" w:hRule="atLeast"/>
          <w:jc w:val="center"/>
        </w:trPr>
        <w:tc>
          <w:tcPr>
            <w:tcW w:w="1704" w:type="dxa"/>
            <w:vMerge w:val="continue"/>
            <w:noWrap w:val="0"/>
            <w:vAlign w:val="center"/>
          </w:tcPr>
          <w:p w14:paraId="79AF5A62">
            <w:pPr>
              <w:pStyle w:val="21"/>
              <w:spacing w:line="240" w:lineRule="auto"/>
              <w:ind w:firstLine="0" w:firstLineChars="0"/>
              <w:jc w:val="center"/>
              <w:rPr>
                <w:rFonts w:ascii="Times New Roman" w:hAnsi="Times New Roman"/>
                <w:color w:val="auto"/>
                <w:sz w:val="21"/>
                <w:highlight w:val="none"/>
              </w:rPr>
            </w:pPr>
          </w:p>
        </w:tc>
        <w:tc>
          <w:tcPr>
            <w:tcW w:w="1704" w:type="dxa"/>
            <w:noWrap w:val="0"/>
            <w:vAlign w:val="center"/>
          </w:tcPr>
          <w:p w14:paraId="457F3795">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中-强</w:t>
            </w:r>
          </w:p>
        </w:tc>
        <w:tc>
          <w:tcPr>
            <w:tcW w:w="1704" w:type="dxa"/>
            <w:noWrap w:val="0"/>
            <w:vAlign w:val="center"/>
          </w:tcPr>
          <w:p w14:paraId="1CCB185D">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易</w:t>
            </w:r>
          </w:p>
        </w:tc>
        <w:tc>
          <w:tcPr>
            <w:tcW w:w="1517" w:type="dxa"/>
            <w:vMerge w:val="continue"/>
            <w:noWrap w:val="0"/>
            <w:vAlign w:val="center"/>
          </w:tcPr>
          <w:p w14:paraId="2C00D61B">
            <w:pPr>
              <w:pStyle w:val="21"/>
              <w:spacing w:line="240" w:lineRule="auto"/>
              <w:ind w:firstLine="0" w:firstLineChars="0"/>
              <w:jc w:val="center"/>
              <w:rPr>
                <w:rFonts w:ascii="Times New Roman" w:hAnsi="Times New Roman"/>
                <w:color w:val="auto"/>
                <w:sz w:val="21"/>
                <w:highlight w:val="none"/>
              </w:rPr>
            </w:pPr>
          </w:p>
        </w:tc>
        <w:tc>
          <w:tcPr>
            <w:tcW w:w="1893" w:type="dxa"/>
            <w:vMerge w:val="continue"/>
            <w:noWrap w:val="0"/>
            <w:vAlign w:val="center"/>
          </w:tcPr>
          <w:p w14:paraId="30C2F119">
            <w:pPr>
              <w:pStyle w:val="21"/>
              <w:spacing w:line="240" w:lineRule="auto"/>
              <w:ind w:firstLine="0" w:firstLineChars="0"/>
              <w:jc w:val="center"/>
              <w:rPr>
                <w:rFonts w:ascii="Times New Roman" w:hAnsi="Times New Roman"/>
                <w:color w:val="auto"/>
                <w:sz w:val="21"/>
                <w:highlight w:val="none"/>
              </w:rPr>
            </w:pPr>
          </w:p>
        </w:tc>
      </w:tr>
      <w:tr w14:paraId="3C5D05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3" w:hRule="atLeast"/>
          <w:jc w:val="center"/>
        </w:trPr>
        <w:tc>
          <w:tcPr>
            <w:tcW w:w="1704" w:type="dxa"/>
            <w:vMerge w:val="continue"/>
            <w:noWrap w:val="0"/>
            <w:vAlign w:val="center"/>
          </w:tcPr>
          <w:p w14:paraId="498F68F7">
            <w:pPr>
              <w:pStyle w:val="21"/>
              <w:spacing w:line="240" w:lineRule="auto"/>
              <w:ind w:firstLine="0" w:firstLineChars="0"/>
              <w:jc w:val="center"/>
              <w:rPr>
                <w:rFonts w:ascii="Times New Roman" w:hAnsi="Times New Roman"/>
                <w:color w:val="auto"/>
                <w:sz w:val="21"/>
                <w:highlight w:val="none"/>
              </w:rPr>
            </w:pPr>
          </w:p>
        </w:tc>
        <w:tc>
          <w:tcPr>
            <w:tcW w:w="1704" w:type="dxa"/>
            <w:noWrap w:val="0"/>
            <w:vAlign w:val="center"/>
          </w:tcPr>
          <w:p w14:paraId="0CFF1B9C">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中</w:t>
            </w:r>
          </w:p>
        </w:tc>
        <w:tc>
          <w:tcPr>
            <w:tcW w:w="1704" w:type="dxa"/>
            <w:noWrap w:val="0"/>
            <w:vAlign w:val="center"/>
          </w:tcPr>
          <w:p w14:paraId="076353D0">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易</w:t>
            </w:r>
          </w:p>
        </w:tc>
        <w:tc>
          <w:tcPr>
            <w:tcW w:w="1517" w:type="dxa"/>
            <w:vMerge w:val="continue"/>
            <w:noWrap w:val="0"/>
            <w:vAlign w:val="center"/>
          </w:tcPr>
          <w:p w14:paraId="64DB0966">
            <w:pPr>
              <w:pStyle w:val="21"/>
              <w:spacing w:line="240" w:lineRule="auto"/>
              <w:ind w:firstLine="0" w:firstLineChars="0"/>
              <w:jc w:val="center"/>
              <w:rPr>
                <w:rFonts w:ascii="Times New Roman" w:hAnsi="Times New Roman"/>
                <w:color w:val="auto"/>
                <w:sz w:val="21"/>
                <w:highlight w:val="none"/>
              </w:rPr>
            </w:pPr>
          </w:p>
        </w:tc>
        <w:tc>
          <w:tcPr>
            <w:tcW w:w="1893" w:type="dxa"/>
            <w:vMerge w:val="continue"/>
            <w:noWrap w:val="0"/>
            <w:vAlign w:val="center"/>
          </w:tcPr>
          <w:p w14:paraId="398A3770">
            <w:pPr>
              <w:pStyle w:val="21"/>
              <w:spacing w:line="240" w:lineRule="auto"/>
              <w:ind w:firstLine="0" w:firstLineChars="0"/>
              <w:jc w:val="center"/>
              <w:rPr>
                <w:rFonts w:ascii="Times New Roman" w:hAnsi="Times New Roman"/>
                <w:color w:val="auto"/>
                <w:sz w:val="21"/>
                <w:highlight w:val="none"/>
              </w:rPr>
            </w:pPr>
          </w:p>
        </w:tc>
      </w:tr>
      <w:tr w14:paraId="72B550A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704" w:type="dxa"/>
            <w:vMerge w:val="continue"/>
            <w:noWrap w:val="0"/>
            <w:vAlign w:val="center"/>
          </w:tcPr>
          <w:p w14:paraId="4AADA920">
            <w:pPr>
              <w:pStyle w:val="21"/>
              <w:spacing w:line="240" w:lineRule="auto"/>
              <w:ind w:firstLine="0" w:firstLineChars="0"/>
              <w:jc w:val="center"/>
              <w:rPr>
                <w:rFonts w:ascii="Times New Roman" w:hAnsi="Times New Roman"/>
                <w:color w:val="auto"/>
                <w:sz w:val="21"/>
                <w:highlight w:val="none"/>
              </w:rPr>
            </w:pPr>
          </w:p>
        </w:tc>
        <w:tc>
          <w:tcPr>
            <w:tcW w:w="1704" w:type="dxa"/>
            <w:noWrap w:val="0"/>
            <w:vAlign w:val="center"/>
          </w:tcPr>
          <w:p w14:paraId="447EA99F">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强</w:t>
            </w:r>
          </w:p>
        </w:tc>
        <w:tc>
          <w:tcPr>
            <w:tcW w:w="1704" w:type="dxa"/>
            <w:noWrap w:val="0"/>
            <w:vAlign w:val="center"/>
          </w:tcPr>
          <w:p w14:paraId="0D870175">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易</w:t>
            </w:r>
          </w:p>
        </w:tc>
        <w:tc>
          <w:tcPr>
            <w:tcW w:w="1517" w:type="dxa"/>
            <w:vMerge w:val="continue"/>
            <w:noWrap w:val="0"/>
            <w:vAlign w:val="center"/>
          </w:tcPr>
          <w:p w14:paraId="671162CA">
            <w:pPr>
              <w:pStyle w:val="21"/>
              <w:spacing w:line="240" w:lineRule="auto"/>
              <w:ind w:firstLine="0" w:firstLineChars="0"/>
              <w:jc w:val="center"/>
              <w:rPr>
                <w:rFonts w:ascii="Times New Roman" w:hAnsi="Times New Roman"/>
                <w:color w:val="auto"/>
                <w:sz w:val="21"/>
                <w:highlight w:val="none"/>
              </w:rPr>
            </w:pPr>
          </w:p>
        </w:tc>
        <w:tc>
          <w:tcPr>
            <w:tcW w:w="1893" w:type="dxa"/>
            <w:vMerge w:val="continue"/>
            <w:noWrap w:val="0"/>
            <w:vAlign w:val="center"/>
          </w:tcPr>
          <w:p w14:paraId="7194962E">
            <w:pPr>
              <w:pStyle w:val="21"/>
              <w:spacing w:line="240" w:lineRule="auto"/>
              <w:ind w:firstLine="0" w:firstLineChars="0"/>
              <w:jc w:val="center"/>
              <w:rPr>
                <w:rFonts w:ascii="Times New Roman" w:hAnsi="Times New Roman"/>
                <w:color w:val="auto"/>
                <w:sz w:val="21"/>
                <w:highlight w:val="none"/>
              </w:rPr>
            </w:pPr>
          </w:p>
        </w:tc>
      </w:tr>
      <w:tr w14:paraId="43DE07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704" w:type="dxa"/>
            <w:noWrap w:val="0"/>
            <w:vAlign w:val="center"/>
          </w:tcPr>
          <w:p w14:paraId="247BC35E">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简单防渗区</w:t>
            </w:r>
          </w:p>
        </w:tc>
        <w:tc>
          <w:tcPr>
            <w:tcW w:w="1704" w:type="dxa"/>
            <w:noWrap w:val="0"/>
            <w:vAlign w:val="center"/>
          </w:tcPr>
          <w:p w14:paraId="729F66FC">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中-强</w:t>
            </w:r>
          </w:p>
        </w:tc>
        <w:tc>
          <w:tcPr>
            <w:tcW w:w="1704" w:type="dxa"/>
            <w:noWrap w:val="0"/>
            <w:vAlign w:val="center"/>
          </w:tcPr>
          <w:p w14:paraId="33D00486">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易</w:t>
            </w:r>
          </w:p>
        </w:tc>
        <w:tc>
          <w:tcPr>
            <w:tcW w:w="1517" w:type="dxa"/>
            <w:noWrap w:val="0"/>
            <w:vAlign w:val="center"/>
          </w:tcPr>
          <w:p w14:paraId="2B8FEF98">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其他类型</w:t>
            </w:r>
          </w:p>
        </w:tc>
        <w:tc>
          <w:tcPr>
            <w:tcW w:w="1893" w:type="dxa"/>
            <w:noWrap w:val="0"/>
            <w:vAlign w:val="center"/>
          </w:tcPr>
          <w:p w14:paraId="33BAC247">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一般地面硬化</w:t>
            </w:r>
          </w:p>
        </w:tc>
      </w:tr>
    </w:tbl>
    <w:p w14:paraId="0EFC577A">
      <w:pPr>
        <w:ind w:firstLine="480"/>
        <w:rPr>
          <w:rFonts w:ascii="Times New Roman" w:hAnsi="Times New Roman"/>
          <w:color w:val="auto"/>
          <w:highlight w:val="none"/>
        </w:rPr>
      </w:pPr>
      <w:r>
        <w:rPr>
          <w:rFonts w:ascii="Times New Roman" w:hAnsi="Times New Roman"/>
          <w:color w:val="auto"/>
          <w:highlight w:val="none"/>
        </w:rPr>
        <w:t>根据《环境影响评价技术导则 地下水环境》（HJ610-2016）将厂区各生产功能单元可能泄漏至地面区域的污染物性质和生产单元的构筑方式，将厂区建筑区域划分为重点污染防治区、一般污染防治区和简单污染防治区，并按要求进行地表防渗。</w:t>
      </w:r>
    </w:p>
    <w:p w14:paraId="5089CAFD">
      <w:pPr>
        <w:ind w:firstLine="480"/>
        <w:rPr>
          <w:rFonts w:hint="eastAsia" w:ascii="Times New Roman" w:hAnsi="Times New Roman"/>
          <w:color w:val="auto"/>
          <w:highlight w:val="none"/>
        </w:rPr>
      </w:pPr>
      <w:r>
        <w:rPr>
          <w:rFonts w:hint="eastAsia" w:ascii="Times New Roman" w:hAnsi="Times New Roman"/>
          <w:color w:val="auto"/>
          <w:highlight w:val="none"/>
        </w:rPr>
        <w:t>（1）重点污染防治区</w:t>
      </w:r>
    </w:p>
    <w:p w14:paraId="3A51FDD3">
      <w:pPr>
        <w:ind w:firstLine="480"/>
        <w:rPr>
          <w:rFonts w:hint="eastAsia" w:ascii="Times New Roman" w:hAnsi="Times New Roman"/>
          <w:color w:val="auto"/>
          <w:highlight w:val="none"/>
        </w:rPr>
      </w:pPr>
      <w:r>
        <w:rPr>
          <w:rFonts w:hint="eastAsia" w:ascii="Times New Roman" w:hAnsi="Times New Roman"/>
          <w:color w:val="auto"/>
          <w:highlight w:val="none"/>
        </w:rPr>
        <w:t>指位于地下或半地下的生产功能单元，污染地下水环境的污染物泄漏后不容易被及时发现和处理，或场地水文地质条件相对较差的区域和部位。主要</w:t>
      </w:r>
      <w:r>
        <w:rPr>
          <w:rFonts w:hint="eastAsia" w:ascii="Times New Roman" w:hAnsi="Times New Roman"/>
          <w:color w:val="auto"/>
          <w:highlight w:val="none"/>
          <w:lang w:val="en-US" w:eastAsia="zh-CN"/>
        </w:rPr>
        <w:t>为</w:t>
      </w:r>
      <w:r>
        <w:rPr>
          <w:rFonts w:hint="eastAsia" w:ascii="Times New Roman" w:hAnsi="Times New Roman"/>
          <w:color w:val="auto"/>
          <w:highlight w:val="none"/>
          <w:lang w:eastAsia="zh-CN"/>
        </w:rPr>
        <w:t>危废贮存点</w:t>
      </w:r>
      <w:r>
        <w:rPr>
          <w:rFonts w:hint="eastAsia" w:ascii="Times New Roman" w:hAnsi="Times New Roman"/>
          <w:color w:val="auto"/>
          <w:highlight w:val="none"/>
        </w:rPr>
        <w:t>。重点防渗区</w:t>
      </w:r>
      <w:r>
        <w:rPr>
          <w:rFonts w:hint="eastAsia" w:ascii="Times New Roman" w:hAnsi="Times New Roman"/>
          <w:color w:val="auto"/>
          <w:highlight w:val="none"/>
          <w:lang w:eastAsia="zh-CN"/>
        </w:rPr>
        <w:t>危废贮存点</w:t>
      </w:r>
      <w:r>
        <w:rPr>
          <w:rFonts w:hint="eastAsia" w:ascii="Times New Roman" w:hAnsi="Times New Roman"/>
          <w:color w:val="auto"/>
          <w:highlight w:val="none"/>
        </w:rPr>
        <w:t>采用高密度聚乙烯HDPE膜，土工膜厚度不应小于2mm，防渗系数不大于10</w:t>
      </w:r>
      <w:r>
        <w:rPr>
          <w:rFonts w:hint="eastAsia" w:ascii="Times New Roman" w:hAnsi="Times New Roman"/>
          <w:color w:val="auto"/>
          <w:highlight w:val="none"/>
          <w:vertAlign w:val="superscript"/>
        </w:rPr>
        <w:t>-10</w:t>
      </w:r>
      <w:r>
        <w:rPr>
          <w:rFonts w:hint="eastAsia" w:ascii="Times New Roman" w:hAnsi="Times New Roman"/>
          <w:color w:val="auto"/>
          <w:highlight w:val="none"/>
        </w:rPr>
        <w:t>cm/s，埋深不宜小于300mm，膜上、下应设置保护层。重点防渗区防渗措施满足《环境影响评价技术导则 地下水环境》(HJ610-2016)表7地下水污染防渗分区参照表中重点防渗区防渗技术要求，防渗层的防渗性能不应低于6.0m厚渗透系数为1×10</w:t>
      </w:r>
      <w:r>
        <w:rPr>
          <w:rFonts w:hint="eastAsia" w:ascii="Times New Roman" w:hAnsi="Times New Roman"/>
          <w:color w:val="auto"/>
          <w:highlight w:val="none"/>
          <w:vertAlign w:val="superscript"/>
        </w:rPr>
        <w:t>-7</w:t>
      </w:r>
      <w:r>
        <w:rPr>
          <w:rFonts w:hint="eastAsia" w:ascii="Times New Roman" w:hAnsi="Times New Roman"/>
          <w:color w:val="auto"/>
          <w:highlight w:val="none"/>
        </w:rPr>
        <w:t>cm/s 的黏土层的防渗性能。</w:t>
      </w:r>
    </w:p>
    <w:p w14:paraId="325E610B">
      <w:pPr>
        <w:ind w:firstLine="480"/>
        <w:rPr>
          <w:rFonts w:ascii="Times New Roman" w:hAnsi="Times New Roman"/>
          <w:color w:val="auto"/>
          <w:highlight w:val="none"/>
        </w:rPr>
      </w:pPr>
      <w:r>
        <w:rPr>
          <w:rFonts w:ascii="Times New Roman" w:hAnsi="Times New Roman"/>
          <w:color w:val="auto"/>
          <w:highlight w:val="none"/>
        </w:rPr>
        <w:t>（</w:t>
      </w:r>
      <w:r>
        <w:rPr>
          <w:rFonts w:hint="eastAsia" w:ascii="Times New Roman" w:hAnsi="Times New Roman"/>
          <w:color w:val="auto"/>
          <w:highlight w:val="none"/>
        </w:rPr>
        <w:t>2</w:t>
      </w:r>
      <w:r>
        <w:rPr>
          <w:rFonts w:ascii="Times New Roman" w:hAnsi="Times New Roman"/>
          <w:color w:val="auto"/>
          <w:highlight w:val="none"/>
        </w:rPr>
        <w:t>）一般污染防治区</w:t>
      </w:r>
    </w:p>
    <w:p w14:paraId="658E3A7A">
      <w:pPr>
        <w:ind w:firstLine="480"/>
        <w:rPr>
          <w:rFonts w:ascii="Times New Roman" w:hAnsi="Times New Roman"/>
          <w:color w:val="auto"/>
          <w:highlight w:val="none"/>
        </w:rPr>
      </w:pPr>
      <w:r>
        <w:rPr>
          <w:rFonts w:ascii="Times New Roman" w:hAnsi="Times New Roman"/>
          <w:color w:val="auto"/>
          <w:highlight w:val="none"/>
        </w:rPr>
        <w:t>一般污染防治区指对地下水环境有污染的物料或污染物渗漏后，可及时发现和处理的区域或部位。本项目一般防渗区为脱硫</w:t>
      </w:r>
      <w:r>
        <w:rPr>
          <w:rFonts w:hint="eastAsia" w:ascii="Times New Roman" w:hAnsi="Times New Roman"/>
          <w:color w:val="auto"/>
          <w:highlight w:val="none"/>
          <w:lang w:val="en-US" w:eastAsia="zh-CN"/>
        </w:rPr>
        <w:t>塔、</w:t>
      </w:r>
      <w:r>
        <w:rPr>
          <w:rFonts w:ascii="Times New Roman" w:hAnsi="Times New Roman"/>
          <w:color w:val="auto"/>
          <w:highlight w:val="none"/>
        </w:rPr>
        <w:t>主厂房所在区域，底部防渗层铺设2mm 厚的高密度聚乙烯土工膜，或等效黏土防渗层至少1.5m 厚，渗透系数≤10</w:t>
      </w:r>
      <w:r>
        <w:rPr>
          <w:rFonts w:ascii="Times New Roman" w:hAnsi="Times New Roman"/>
          <w:color w:val="auto"/>
          <w:highlight w:val="none"/>
          <w:vertAlign w:val="superscript"/>
        </w:rPr>
        <w:t>-7</w:t>
      </w:r>
      <w:r>
        <w:rPr>
          <w:rFonts w:ascii="Times New Roman" w:hAnsi="Times New Roman"/>
          <w:color w:val="auto"/>
          <w:highlight w:val="none"/>
        </w:rPr>
        <w:t>cm/s 的其它人工材料，满足《环境影响评价技术导则 地下水环境》（HJ610-2016）表7 中一般防渗区防渗技术要求（等效黏土防渗层Mb≥1.5m，渗透系数≤10</w:t>
      </w:r>
      <w:r>
        <w:rPr>
          <w:rFonts w:ascii="Times New Roman" w:hAnsi="Times New Roman"/>
          <w:color w:val="auto"/>
          <w:highlight w:val="none"/>
          <w:vertAlign w:val="superscript"/>
        </w:rPr>
        <w:t>-7</w:t>
      </w:r>
      <w:r>
        <w:rPr>
          <w:rFonts w:ascii="Times New Roman" w:hAnsi="Times New Roman"/>
          <w:color w:val="auto"/>
          <w:highlight w:val="none"/>
        </w:rPr>
        <w:t>cm/s）。</w:t>
      </w:r>
    </w:p>
    <w:p w14:paraId="0DA9D5FE">
      <w:pPr>
        <w:ind w:firstLine="480"/>
        <w:rPr>
          <w:rFonts w:ascii="Times New Roman" w:hAnsi="Times New Roman"/>
          <w:color w:val="auto"/>
          <w:highlight w:val="none"/>
        </w:rPr>
      </w:pPr>
      <w:r>
        <w:rPr>
          <w:rFonts w:ascii="Times New Roman" w:hAnsi="Times New Roman"/>
          <w:color w:val="auto"/>
          <w:highlight w:val="none"/>
        </w:rPr>
        <w:t>（3）简单污染防治区</w:t>
      </w:r>
    </w:p>
    <w:p w14:paraId="74F0E1FC">
      <w:pPr>
        <w:ind w:firstLine="480"/>
        <w:rPr>
          <w:rFonts w:hint="eastAsia" w:ascii="Times New Roman" w:hAnsi="Times New Roman"/>
          <w:color w:val="auto"/>
          <w:highlight w:val="none"/>
        </w:rPr>
      </w:pPr>
      <w:r>
        <w:rPr>
          <w:rFonts w:ascii="Times New Roman" w:hAnsi="Times New Roman"/>
          <w:color w:val="auto"/>
          <w:highlight w:val="none"/>
        </w:rPr>
        <w:t>本项目简单防渗区为除重点防渗区和一般防渗区以外的厂区道路，参照《环境影响评价技术导则 地下水环境》(HJ610-2016)表7 地下水污染防渗分区参照表中简单防渗区防渗技术要求，主要防渗措施为水泥地面硬化。</w:t>
      </w:r>
    </w:p>
    <w:p w14:paraId="739BA5E1">
      <w:pPr>
        <w:pStyle w:val="7"/>
        <w:ind w:firstLine="0" w:firstLineChars="0"/>
        <w:jc w:val="center"/>
        <w:rPr>
          <w:rFonts w:ascii="Times New Roman" w:hAnsi="Times New Roman"/>
          <w:color w:val="auto"/>
          <w:highlight w:val="none"/>
        </w:rPr>
      </w:pPr>
      <w:r>
        <w:rPr>
          <w:rFonts w:ascii="Times New Roman" w:hAnsi="Times New Roman"/>
          <w:color w:val="auto"/>
          <w:highlight w:val="none"/>
        </w:rPr>
        <w:t>表6.2-6污染防治措施分区一览表</w:t>
      </w:r>
    </w:p>
    <w:tbl>
      <w:tblPr>
        <w:tblStyle w:val="17"/>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868"/>
        <w:gridCol w:w="2081"/>
        <w:gridCol w:w="4573"/>
      </w:tblGrid>
      <w:tr w14:paraId="502DF98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096" w:type="pct"/>
            <w:noWrap w:val="0"/>
            <w:vAlign w:val="center"/>
          </w:tcPr>
          <w:p w14:paraId="4E9FD75F">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防渗分区</w:t>
            </w:r>
          </w:p>
        </w:tc>
        <w:tc>
          <w:tcPr>
            <w:tcW w:w="1221" w:type="pct"/>
            <w:noWrap w:val="0"/>
            <w:vAlign w:val="center"/>
          </w:tcPr>
          <w:p w14:paraId="0F107AF7">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防渗部位</w:t>
            </w:r>
          </w:p>
        </w:tc>
        <w:tc>
          <w:tcPr>
            <w:tcW w:w="2683" w:type="pct"/>
            <w:noWrap w:val="0"/>
            <w:vAlign w:val="center"/>
          </w:tcPr>
          <w:p w14:paraId="2909CE90">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防渗要求</w:t>
            </w:r>
          </w:p>
        </w:tc>
      </w:tr>
      <w:tr w14:paraId="6D4649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096" w:type="pct"/>
            <w:noWrap w:val="0"/>
            <w:vAlign w:val="center"/>
          </w:tcPr>
          <w:p w14:paraId="144B7472">
            <w:pPr>
              <w:pStyle w:val="21"/>
              <w:spacing w:line="240" w:lineRule="auto"/>
              <w:ind w:firstLine="0" w:firstLineChars="0"/>
              <w:jc w:val="center"/>
              <w:rPr>
                <w:rFonts w:ascii="Times New Roman" w:hAnsi="Times New Roman"/>
                <w:color w:val="auto"/>
                <w:sz w:val="21"/>
                <w:highlight w:val="none"/>
              </w:rPr>
            </w:pPr>
            <w:r>
              <w:rPr>
                <w:rFonts w:hint="eastAsia" w:ascii="Times New Roman" w:hAnsi="Times New Roman"/>
                <w:color w:val="auto"/>
                <w:sz w:val="21"/>
                <w:highlight w:val="none"/>
              </w:rPr>
              <w:t>重点防渗区</w:t>
            </w:r>
          </w:p>
        </w:tc>
        <w:tc>
          <w:tcPr>
            <w:tcW w:w="1221" w:type="pct"/>
            <w:noWrap w:val="0"/>
            <w:vAlign w:val="center"/>
          </w:tcPr>
          <w:p w14:paraId="689263E5">
            <w:pPr>
              <w:pStyle w:val="21"/>
              <w:spacing w:line="240" w:lineRule="auto"/>
              <w:ind w:firstLine="0" w:firstLineChars="0"/>
              <w:jc w:val="center"/>
              <w:rPr>
                <w:rFonts w:hint="eastAsia" w:ascii="Times New Roman" w:hAnsi="Times New Roman" w:eastAsia="宋体"/>
                <w:color w:val="auto"/>
                <w:sz w:val="21"/>
                <w:highlight w:val="none"/>
                <w:lang w:eastAsia="zh-CN"/>
              </w:rPr>
            </w:pPr>
            <w:r>
              <w:rPr>
                <w:rFonts w:hint="eastAsia" w:ascii="Times New Roman" w:hAnsi="Times New Roman" w:eastAsia="宋体"/>
                <w:color w:val="auto"/>
                <w:sz w:val="21"/>
                <w:highlight w:val="none"/>
                <w:lang w:eastAsia="zh-CN"/>
              </w:rPr>
              <w:t>危废贮存点</w:t>
            </w:r>
          </w:p>
        </w:tc>
        <w:tc>
          <w:tcPr>
            <w:tcW w:w="2683" w:type="pct"/>
            <w:noWrap w:val="0"/>
            <w:vAlign w:val="center"/>
          </w:tcPr>
          <w:p w14:paraId="7BE2DB36">
            <w:pPr>
              <w:pStyle w:val="21"/>
              <w:spacing w:line="240" w:lineRule="auto"/>
              <w:ind w:firstLine="0" w:firstLineChars="0"/>
              <w:jc w:val="center"/>
              <w:rPr>
                <w:rFonts w:ascii="Times New Roman" w:hAnsi="Times New Roman"/>
                <w:color w:val="auto"/>
                <w:sz w:val="21"/>
                <w:highlight w:val="none"/>
              </w:rPr>
            </w:pPr>
            <w:r>
              <w:rPr>
                <w:rFonts w:hint="eastAsia" w:ascii="Times New Roman" w:hAnsi="Times New Roman"/>
                <w:color w:val="auto"/>
                <w:sz w:val="21"/>
                <w:highlight w:val="none"/>
              </w:rPr>
              <w:t>防渗层的防渗性能不应低于6.0m厚渗透系数为1×10</w:t>
            </w:r>
            <w:r>
              <w:rPr>
                <w:rFonts w:hint="eastAsia" w:ascii="Times New Roman" w:hAnsi="Times New Roman"/>
                <w:color w:val="auto"/>
                <w:sz w:val="21"/>
                <w:highlight w:val="none"/>
                <w:vertAlign w:val="superscript"/>
              </w:rPr>
              <w:t>-7</w:t>
            </w:r>
            <w:r>
              <w:rPr>
                <w:rFonts w:hint="eastAsia" w:ascii="Times New Roman" w:hAnsi="Times New Roman"/>
                <w:color w:val="auto"/>
                <w:sz w:val="21"/>
                <w:highlight w:val="none"/>
              </w:rPr>
              <w:t>cm/s 的黏土层的防渗性能。</w:t>
            </w:r>
          </w:p>
        </w:tc>
      </w:tr>
      <w:tr w14:paraId="5BFF16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096" w:type="pct"/>
            <w:noWrap w:val="0"/>
            <w:vAlign w:val="center"/>
          </w:tcPr>
          <w:p w14:paraId="0DD6E9D7">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一般防渗区</w:t>
            </w:r>
          </w:p>
        </w:tc>
        <w:tc>
          <w:tcPr>
            <w:tcW w:w="1221" w:type="pct"/>
            <w:noWrap w:val="0"/>
            <w:vAlign w:val="center"/>
          </w:tcPr>
          <w:p w14:paraId="6AAC6AF0">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主厂房</w:t>
            </w:r>
            <w:r>
              <w:rPr>
                <w:rFonts w:hint="eastAsia" w:ascii="Times New Roman" w:hAnsi="Times New Roman"/>
                <w:color w:val="auto"/>
                <w:sz w:val="21"/>
                <w:highlight w:val="none"/>
                <w:lang w:eastAsia="zh-CN"/>
              </w:rPr>
              <w:t>、</w:t>
            </w:r>
            <w:r>
              <w:rPr>
                <w:rFonts w:hint="eastAsia" w:ascii="Times New Roman" w:hAnsi="Times New Roman"/>
                <w:color w:val="auto"/>
                <w:sz w:val="21"/>
                <w:highlight w:val="none"/>
                <w:lang w:val="en-US" w:eastAsia="zh-CN"/>
              </w:rPr>
              <w:t>脱硫塔</w:t>
            </w:r>
          </w:p>
        </w:tc>
        <w:tc>
          <w:tcPr>
            <w:tcW w:w="2683" w:type="pct"/>
            <w:noWrap w:val="0"/>
            <w:vAlign w:val="center"/>
          </w:tcPr>
          <w:p w14:paraId="171E2FF9">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底部防渗层铺设2mm 厚的高密度聚乙烯土工膜，或等效黏土防渗层至少1.5m 厚，渗透系数≤10</w:t>
            </w:r>
            <w:r>
              <w:rPr>
                <w:rFonts w:ascii="Times New Roman" w:hAnsi="Times New Roman"/>
                <w:color w:val="auto"/>
                <w:sz w:val="21"/>
                <w:highlight w:val="none"/>
                <w:vertAlign w:val="superscript"/>
              </w:rPr>
              <w:t>-7</w:t>
            </w:r>
            <w:r>
              <w:rPr>
                <w:rFonts w:ascii="Times New Roman" w:hAnsi="Times New Roman"/>
                <w:color w:val="auto"/>
                <w:sz w:val="21"/>
                <w:highlight w:val="none"/>
              </w:rPr>
              <w:t>cm/s的其它人工材料</w:t>
            </w:r>
          </w:p>
        </w:tc>
      </w:tr>
      <w:tr w14:paraId="47FA6E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096" w:type="pct"/>
            <w:noWrap w:val="0"/>
            <w:vAlign w:val="center"/>
          </w:tcPr>
          <w:p w14:paraId="484472A3">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简单防渗区</w:t>
            </w:r>
          </w:p>
        </w:tc>
        <w:tc>
          <w:tcPr>
            <w:tcW w:w="1221" w:type="pct"/>
            <w:noWrap w:val="0"/>
            <w:vAlign w:val="center"/>
          </w:tcPr>
          <w:p w14:paraId="6EE57785">
            <w:pPr>
              <w:pStyle w:val="21"/>
              <w:spacing w:line="240" w:lineRule="auto"/>
              <w:ind w:firstLine="0" w:firstLineChars="0"/>
              <w:jc w:val="center"/>
              <w:rPr>
                <w:rFonts w:ascii="Times New Roman" w:hAnsi="Times New Roman"/>
                <w:color w:val="auto"/>
                <w:sz w:val="21"/>
                <w:highlight w:val="none"/>
              </w:rPr>
            </w:pPr>
            <w:r>
              <w:rPr>
                <w:rFonts w:hint="eastAsia" w:ascii="Times New Roman" w:hAnsi="Times New Roman"/>
                <w:color w:val="auto"/>
                <w:sz w:val="21"/>
                <w:highlight w:val="none"/>
              </w:rPr>
              <w:t>道路及</w:t>
            </w:r>
            <w:r>
              <w:rPr>
                <w:rFonts w:ascii="Times New Roman" w:hAnsi="Times New Roman"/>
                <w:color w:val="auto"/>
                <w:sz w:val="21"/>
                <w:highlight w:val="none"/>
              </w:rPr>
              <w:t>其他区域</w:t>
            </w:r>
          </w:p>
        </w:tc>
        <w:tc>
          <w:tcPr>
            <w:tcW w:w="2683" w:type="pct"/>
            <w:noWrap w:val="0"/>
            <w:vAlign w:val="center"/>
          </w:tcPr>
          <w:p w14:paraId="7D05F93A">
            <w:pPr>
              <w:pStyle w:val="21"/>
              <w:spacing w:line="240" w:lineRule="auto"/>
              <w:ind w:firstLine="0" w:firstLineChars="0"/>
              <w:jc w:val="center"/>
              <w:rPr>
                <w:rFonts w:ascii="Times New Roman" w:hAnsi="Times New Roman"/>
                <w:color w:val="auto"/>
                <w:sz w:val="21"/>
                <w:highlight w:val="none"/>
              </w:rPr>
            </w:pPr>
            <w:r>
              <w:rPr>
                <w:rFonts w:ascii="Times New Roman" w:hAnsi="Times New Roman"/>
                <w:color w:val="auto"/>
                <w:sz w:val="21"/>
                <w:highlight w:val="none"/>
              </w:rPr>
              <w:t>一般地面硬化</w:t>
            </w:r>
          </w:p>
        </w:tc>
      </w:tr>
    </w:tbl>
    <w:p w14:paraId="199CEE98">
      <w:pPr>
        <w:bidi w:val="0"/>
        <w:ind w:left="0" w:leftChars="0" w:firstLine="0" w:firstLineChars="0"/>
        <w:rPr>
          <w:color w:val="auto"/>
          <w:highlight w:val="none"/>
        </w:rPr>
      </w:pPr>
      <w:r>
        <w:rPr>
          <w:sz w:val="24"/>
          <w:highlight w:val="none"/>
        </w:rPr>
        <mc:AlternateContent>
          <mc:Choice Requires="wps">
            <w:drawing>
              <wp:anchor distT="0" distB="0" distL="114300" distR="114300" simplePos="0" relativeHeight="251697152" behindDoc="0" locked="0" layoutInCell="1" allowOverlap="1">
                <wp:simplePos x="0" y="0"/>
                <wp:positionH relativeFrom="column">
                  <wp:posOffset>2334260</wp:posOffset>
                </wp:positionH>
                <wp:positionV relativeFrom="paragraph">
                  <wp:posOffset>971550</wp:posOffset>
                </wp:positionV>
                <wp:extent cx="1697355" cy="710565"/>
                <wp:effectExtent l="0" t="0" r="17145" b="13335"/>
                <wp:wrapNone/>
                <wp:docPr id="175" name="文本框 175"/>
                <wp:cNvGraphicFramePr/>
                <a:graphic xmlns:a="http://schemas.openxmlformats.org/drawingml/2006/main">
                  <a:graphicData uri="http://schemas.microsoft.com/office/word/2010/wordprocessingShape">
                    <wps:wsp>
                      <wps:cNvSpPr txBox="1"/>
                      <wps:spPr>
                        <a:xfrm>
                          <a:off x="3477260" y="1885950"/>
                          <a:ext cx="1697355" cy="7105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3B79FFE">
                            <w:pPr>
                              <w:rPr>
                                <w:rFonts w:hint="eastAsia" w:eastAsia="宋体"/>
                                <w:lang w:val="en-US" w:eastAsia="zh-CN"/>
                              </w:rPr>
                            </w:pPr>
                            <w:r>
                              <w:rPr>
                                <w:rFonts w:hint="eastAsia"/>
                                <w:lang w:val="en-US" w:eastAsia="zh-CN"/>
                              </w:rPr>
                              <w:t>储煤场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8pt;margin-top:76.5pt;height:55.95pt;width:133.65pt;z-index:251697152;mso-width-relative:page;mso-height-relative:page;" fillcolor="#FFFFFF [3201]" filled="t" stroked="f" coordsize="21600,21600" o:gfxdata="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Ic4H&#10;m9YAAAALAQAADwAAAAAAAAABACAAAAAiAAAAZHJzL2Rvd25yZXYueG1sUEsBAhQAFAAAAAgAh07i&#10;QGCoS8RdAgAAnwQAAA4AAAAAAAAAAQAgAAAAJQEAAGRycy9lMm9Eb2MueG1sUEsFBgAAAAAGAAYA&#10;WQEAAPQFAAAAAA==&#10;">
                <v:fill on="t" focussize="0,0"/>
                <v:stroke on="f" weight="0.5pt"/>
                <v:imagedata o:title=""/>
                <o:lock v:ext="edit" aspectratio="f"/>
                <v:textbox>
                  <w:txbxContent>
                    <w:p w14:paraId="53B79FFE">
                      <w:pPr>
                        <w:rPr>
                          <w:rFonts w:hint="eastAsia" w:eastAsia="宋体"/>
                          <w:lang w:val="en-US" w:eastAsia="zh-CN"/>
                        </w:rPr>
                      </w:pPr>
                      <w:r>
                        <w:rPr>
                          <w:rFonts w:hint="eastAsia"/>
                          <w:lang w:val="en-US" w:eastAsia="zh-CN"/>
                        </w:rPr>
                        <w:t>储煤场</w:t>
                      </w:r>
                    </w:p>
                  </w:txbxContent>
                </v:textbox>
              </v:shape>
            </w:pict>
          </mc:Fallback>
        </mc:AlternateContent>
      </w:r>
      <w:r>
        <w:rPr>
          <w:color w:val="auto"/>
          <w:sz w:val="24"/>
          <w:highlight w:val="none"/>
        </w:rPr>
        <mc:AlternateContent>
          <mc:Choice Requires="wps">
            <w:drawing>
              <wp:anchor distT="0" distB="0" distL="114300" distR="114300" simplePos="0" relativeHeight="251695104" behindDoc="0" locked="0" layoutInCell="1" allowOverlap="1">
                <wp:simplePos x="0" y="0"/>
                <wp:positionH relativeFrom="column">
                  <wp:posOffset>616585</wp:posOffset>
                </wp:positionH>
                <wp:positionV relativeFrom="paragraph">
                  <wp:posOffset>6929120</wp:posOffset>
                </wp:positionV>
                <wp:extent cx="902335" cy="375285"/>
                <wp:effectExtent l="0" t="0" r="0" b="0"/>
                <wp:wrapNone/>
                <wp:docPr id="156" name="文本框 156"/>
                <wp:cNvGraphicFramePr/>
                <a:graphic xmlns:a="http://schemas.openxmlformats.org/drawingml/2006/main">
                  <a:graphicData uri="http://schemas.microsoft.com/office/word/2010/wordprocessingShape">
                    <wps:wsp>
                      <wps:cNvSpPr txBox="1"/>
                      <wps:spPr>
                        <a:xfrm>
                          <a:off x="0" y="0"/>
                          <a:ext cx="902335" cy="375285"/>
                        </a:xfrm>
                        <a:prstGeom prst="rect">
                          <a:avLst/>
                        </a:prstGeom>
                        <a:noFill/>
                        <a:ln>
                          <a:noFill/>
                        </a:ln>
                      </wps:spPr>
                      <wps:txbx>
                        <w:txbxContent>
                          <w:p w14:paraId="4DA44F9A">
                            <w:pPr>
                              <w:ind w:left="0" w:leftChars="0" w:firstLine="0" w:firstLineChars="0"/>
                              <w:rPr>
                                <w:rFonts w:hint="eastAsia"/>
                                <w:lang w:val="en-US" w:eastAsia="zh-CN"/>
                              </w:rPr>
                            </w:pPr>
                            <w:r>
                              <w:rPr>
                                <w:rFonts w:ascii="Times New Roman" w:hAnsi="Times New Roman"/>
                                <w:sz w:val="21"/>
                              </w:rPr>
                              <w:t>一般防渗区</w:t>
                            </w:r>
                          </w:p>
                        </w:txbxContent>
                      </wps:txbx>
                      <wps:bodyPr upright="1"/>
                    </wps:wsp>
                  </a:graphicData>
                </a:graphic>
              </wp:anchor>
            </w:drawing>
          </mc:Choice>
          <mc:Fallback>
            <w:pict>
              <v:shape id="_x0000_s1026" o:spid="_x0000_s1026" o:spt="202" type="#_x0000_t202" style="position:absolute;left:0pt;margin-left:48.55pt;margin-top:545.6pt;height:29.55pt;width:71.05pt;z-index:251695104;mso-width-relative:page;mso-height-relative:page;" filled="f" stroked="f" coordsize="21600,21600" o:gfxdata="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HVSlSnY&#10;AAAADAEAAA8AAAAAAAAAAQAgAAAAIgAAAGRycy9kb3ducmV2LnhtbFBLAQIUABQAAAAIAIdO4kD2&#10;EDRJrgEAAFEDAAAOAAAAAAAAAAEAIAAAACcBAABkcnMvZTJvRG9jLnhtbFBLBQYAAAAABgAGAFkB&#10;AABHBQAAAAA=&#10;">
                <v:fill on="f" focussize="0,0"/>
                <v:stroke on="f"/>
                <v:imagedata o:title=""/>
                <o:lock v:ext="edit" aspectratio="f"/>
                <v:textbox>
                  <w:txbxContent>
                    <w:p w14:paraId="4DA44F9A">
                      <w:pPr>
                        <w:ind w:left="0" w:leftChars="0" w:firstLine="0" w:firstLineChars="0"/>
                        <w:rPr>
                          <w:rFonts w:hint="eastAsia"/>
                          <w:lang w:val="en-US" w:eastAsia="zh-CN"/>
                        </w:rPr>
                      </w:pPr>
                      <w:r>
                        <w:rPr>
                          <w:rFonts w:ascii="Times New Roman" w:hAnsi="Times New Roman"/>
                          <w:sz w:val="21"/>
                        </w:rPr>
                        <w:t>一般防渗区</w:t>
                      </w:r>
                    </w:p>
                  </w:txbxContent>
                </v:textbox>
              </v:shape>
            </w:pict>
          </mc:Fallback>
        </mc:AlternateContent>
      </w:r>
      <w:r>
        <w:rPr>
          <w:color w:val="auto"/>
          <w:sz w:val="24"/>
          <w:highlight w:val="none"/>
        </w:rPr>
        <mc:AlternateContent>
          <mc:Choice Requires="wps">
            <w:drawing>
              <wp:anchor distT="0" distB="0" distL="114300" distR="114300" simplePos="0" relativeHeight="251693056" behindDoc="0" locked="0" layoutInCell="1" allowOverlap="1">
                <wp:simplePos x="0" y="0"/>
                <wp:positionH relativeFrom="column">
                  <wp:posOffset>278130</wp:posOffset>
                </wp:positionH>
                <wp:positionV relativeFrom="paragraph">
                  <wp:posOffset>7046595</wp:posOffset>
                </wp:positionV>
                <wp:extent cx="240030" cy="151765"/>
                <wp:effectExtent l="4445" t="5080" r="22225" b="14605"/>
                <wp:wrapNone/>
                <wp:docPr id="154" name="矩形 154"/>
                <wp:cNvGraphicFramePr/>
                <a:graphic xmlns:a="http://schemas.openxmlformats.org/drawingml/2006/main">
                  <a:graphicData uri="http://schemas.microsoft.com/office/word/2010/wordprocessingShape">
                    <wps:wsp>
                      <wps:cNvSpPr/>
                      <wps:spPr>
                        <a:xfrm>
                          <a:off x="0" y="0"/>
                          <a:ext cx="240030" cy="151765"/>
                        </a:xfrm>
                        <a:prstGeom prst="rect">
                          <a:avLst/>
                        </a:prstGeom>
                        <a:solidFill>
                          <a:srgbClr val="4F81BD"/>
                        </a:solidFill>
                        <a:ln w="9525" cap="flat" cmpd="sng">
                          <a:solidFill>
                            <a:srgbClr val="4F81BD"/>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1.9pt;margin-top:554.85pt;height:11.95pt;width:18.9pt;z-index:251693056;mso-width-relative:page;mso-height-relative:page;" fillcolor="#4F81BD" filled="t" stroked="t" coordsize="21600,21600" o:gfxdata="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MrJdFnZAAAACwEAAA8AAAAAAAAAAQAgAAAAIgAAAGRycy9kb3ducmV2&#10;LnhtbFBLAQIUABQAAAAIAIdO4kCdACpG+wEAACEEAAAOAAAAAAAAAAEAIAAAACgBAABkcnMvZTJv&#10;RG9jLnhtbFBLBQYAAAAABgAGAFkBAACVBQAAAAA=&#10;">
                <v:fill on="t" focussize="0,0"/>
                <v:stroke color="#4F81BD"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696128" behindDoc="0" locked="0" layoutInCell="1" allowOverlap="1">
                <wp:simplePos x="0" y="0"/>
                <wp:positionH relativeFrom="column">
                  <wp:posOffset>602615</wp:posOffset>
                </wp:positionH>
                <wp:positionV relativeFrom="paragraph">
                  <wp:posOffset>7226935</wp:posOffset>
                </wp:positionV>
                <wp:extent cx="902335" cy="375285"/>
                <wp:effectExtent l="0" t="0" r="0" b="0"/>
                <wp:wrapNone/>
                <wp:docPr id="155" name="文本框 155"/>
                <wp:cNvGraphicFramePr/>
                <a:graphic xmlns:a="http://schemas.openxmlformats.org/drawingml/2006/main">
                  <a:graphicData uri="http://schemas.microsoft.com/office/word/2010/wordprocessingShape">
                    <wps:wsp>
                      <wps:cNvSpPr txBox="1"/>
                      <wps:spPr>
                        <a:xfrm>
                          <a:off x="0" y="0"/>
                          <a:ext cx="902335" cy="375285"/>
                        </a:xfrm>
                        <a:prstGeom prst="rect">
                          <a:avLst/>
                        </a:prstGeom>
                        <a:noFill/>
                        <a:ln>
                          <a:noFill/>
                        </a:ln>
                      </wps:spPr>
                      <wps:txbx>
                        <w:txbxContent>
                          <w:p w14:paraId="2CFED2FA">
                            <w:pPr>
                              <w:ind w:left="0" w:leftChars="0" w:firstLine="0" w:firstLineChars="0"/>
                              <w:rPr>
                                <w:rFonts w:hint="eastAsia"/>
                                <w:lang w:val="en-US" w:eastAsia="zh-CN"/>
                              </w:rPr>
                            </w:pPr>
                            <w:r>
                              <w:rPr>
                                <w:rFonts w:hint="eastAsia" w:ascii="Times New Roman" w:hAnsi="Times New Roman"/>
                                <w:sz w:val="21"/>
                              </w:rPr>
                              <w:t>重点</w:t>
                            </w:r>
                            <w:r>
                              <w:rPr>
                                <w:rFonts w:ascii="Times New Roman" w:hAnsi="Times New Roman"/>
                                <w:sz w:val="21"/>
                              </w:rPr>
                              <w:t>防渗区</w:t>
                            </w:r>
                          </w:p>
                        </w:txbxContent>
                      </wps:txbx>
                      <wps:bodyPr upright="1"/>
                    </wps:wsp>
                  </a:graphicData>
                </a:graphic>
              </wp:anchor>
            </w:drawing>
          </mc:Choice>
          <mc:Fallback>
            <w:pict>
              <v:shape id="_x0000_s1026" o:spid="_x0000_s1026" o:spt="202" type="#_x0000_t202" style="position:absolute;left:0pt;margin-left:47.45pt;margin-top:569.05pt;height:29.55pt;width:71.05pt;z-index:251696128;mso-width-relative:page;mso-height-relative:page;" filled="f" stroked="f" coordsize="21600,21600" o:gfxdata="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AvnQi7Y&#10;AAAADAEAAA8AAAAAAAAAAQAgAAAAIgAAAGRycy9kb3ducmV2LnhtbFBLAQIUABQAAAAIAIdO4kDS&#10;HcZqrgEAAFEDAAAOAAAAAAAAAAEAIAAAACcBAABkcnMvZTJvRG9jLnhtbFBLBQYAAAAABgAGAFkB&#10;AABHBQAAAAA=&#10;">
                <v:fill on="f" focussize="0,0"/>
                <v:stroke on="f"/>
                <v:imagedata o:title=""/>
                <o:lock v:ext="edit" aspectratio="f"/>
                <v:textbox>
                  <w:txbxContent>
                    <w:p w14:paraId="2CFED2FA">
                      <w:pPr>
                        <w:ind w:left="0" w:leftChars="0" w:firstLine="0" w:firstLineChars="0"/>
                        <w:rPr>
                          <w:rFonts w:hint="eastAsia"/>
                          <w:lang w:val="en-US" w:eastAsia="zh-CN"/>
                        </w:rPr>
                      </w:pPr>
                      <w:r>
                        <w:rPr>
                          <w:rFonts w:hint="eastAsia" w:ascii="Times New Roman" w:hAnsi="Times New Roman"/>
                          <w:sz w:val="21"/>
                        </w:rPr>
                        <w:t>重点</w:t>
                      </w:r>
                      <w:r>
                        <w:rPr>
                          <w:rFonts w:ascii="Times New Roman" w:hAnsi="Times New Roman"/>
                          <w:sz w:val="21"/>
                        </w:rPr>
                        <w:t>防渗区</w:t>
                      </w:r>
                    </w:p>
                  </w:txbxContent>
                </v:textbox>
              </v:shape>
            </w:pict>
          </mc:Fallback>
        </mc:AlternateContent>
      </w:r>
      <w:r>
        <w:rPr>
          <w:color w:val="auto"/>
          <w:sz w:val="24"/>
          <w:highlight w:val="none"/>
        </w:rPr>
        <mc:AlternateContent>
          <mc:Choice Requires="wps">
            <w:drawing>
              <wp:anchor distT="0" distB="0" distL="114300" distR="114300" simplePos="0" relativeHeight="251694080" behindDoc="0" locked="0" layoutInCell="1" allowOverlap="1">
                <wp:simplePos x="0" y="0"/>
                <wp:positionH relativeFrom="column">
                  <wp:posOffset>262255</wp:posOffset>
                </wp:positionH>
                <wp:positionV relativeFrom="paragraph">
                  <wp:posOffset>7320280</wp:posOffset>
                </wp:positionV>
                <wp:extent cx="240030" cy="151765"/>
                <wp:effectExtent l="4445" t="5080" r="22225" b="14605"/>
                <wp:wrapNone/>
                <wp:docPr id="118" name="矩形 118"/>
                <wp:cNvGraphicFramePr/>
                <a:graphic xmlns:a="http://schemas.openxmlformats.org/drawingml/2006/main">
                  <a:graphicData uri="http://schemas.microsoft.com/office/word/2010/wordprocessingShape">
                    <wps:wsp>
                      <wps:cNvSpPr/>
                      <wps:spPr>
                        <a:xfrm>
                          <a:off x="0" y="0"/>
                          <a:ext cx="240030" cy="151765"/>
                        </a:xfrm>
                        <a:prstGeom prst="rect">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0.65pt;margin-top:576.4pt;height:11.95pt;width:18.9pt;z-index:251694080;mso-width-relative:page;mso-height-relative:page;" fillcolor="#FF0000" filled="t" stroked="t" coordsize="21600,21600" o:gfxdata="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P/ydZ9oAAAALAQAADwAAAAAAAAABACAAAAAiAAAAZHJzL2Rvd25yZXYu&#10;eG1sUEsBAhQAFAAAAAgAh07iQPgA+6z5AQAAIQQAAA4AAAAAAAAAAQAgAAAAKQEAAGRycy9lMm9E&#10;b2MueG1sUEsFBgAAAAAGAAYAWQEAAJQFAAAAAA==&#10;">
                <v:fill on="t" focussize="0,0"/>
                <v:stroke color="#FF0000" joinstyle="miter"/>
                <v:imagedata o:title=""/>
                <o:lock v:ext="edit" aspectratio="f"/>
              </v:rect>
            </w:pict>
          </mc:Fallback>
        </mc:AlternateContent>
      </w:r>
      <w:r>
        <w:rPr>
          <w:highlight w:val="none"/>
        </w:rPr>
        <w:drawing>
          <wp:inline distT="0" distB="0" distL="114300" distR="114300">
            <wp:extent cx="5269230" cy="7579360"/>
            <wp:effectExtent l="0" t="0" r="7620" b="2540"/>
            <wp:docPr id="17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9"/>
                    <pic:cNvPicPr>
                      <a:picLocks noChangeAspect="1"/>
                    </pic:cNvPicPr>
                  </pic:nvPicPr>
                  <pic:blipFill>
                    <a:blip r:embed="rId70"/>
                    <a:stretch>
                      <a:fillRect/>
                    </a:stretch>
                  </pic:blipFill>
                  <pic:spPr>
                    <a:xfrm>
                      <a:off x="0" y="0"/>
                      <a:ext cx="5269230" cy="7579360"/>
                    </a:xfrm>
                    <a:prstGeom prst="rect">
                      <a:avLst/>
                    </a:prstGeom>
                    <a:noFill/>
                    <a:ln>
                      <a:noFill/>
                    </a:ln>
                  </pic:spPr>
                </pic:pic>
              </a:graphicData>
            </a:graphic>
          </wp:inline>
        </w:drawing>
      </w:r>
    </w:p>
    <w:p w14:paraId="2CCECAC4">
      <w:pPr>
        <w:jc w:val="center"/>
        <w:rPr>
          <w:rFonts w:hint="eastAsia"/>
          <w:color w:val="auto"/>
          <w:highlight w:val="none"/>
          <w:lang w:val="en-US" w:eastAsia="zh-CN"/>
        </w:rPr>
      </w:pPr>
      <w:r>
        <w:rPr>
          <w:rFonts w:hint="eastAsia"/>
          <w:color w:val="auto"/>
          <w:highlight w:val="none"/>
          <w:lang w:val="en-US" w:eastAsia="zh-CN"/>
        </w:rPr>
        <w:t>图6.2-2分区防渗图</w:t>
      </w:r>
    </w:p>
    <w:p w14:paraId="2E278EB9">
      <w:pPr>
        <w:pStyle w:val="5"/>
        <w:bidi w:val="0"/>
        <w:ind w:left="0" w:leftChars="0" w:firstLine="0" w:firstLineChars="0"/>
        <w:rPr>
          <w:rFonts w:ascii="Times New Roman" w:hAnsi="Times New Roman"/>
          <w:color w:val="auto"/>
          <w:highlight w:val="none"/>
        </w:rPr>
      </w:pPr>
      <w:bookmarkStart w:id="161" w:name="_Toc5603"/>
      <w:r>
        <w:rPr>
          <w:rFonts w:hint="eastAsia"/>
          <w:highlight w:val="none"/>
          <w:lang w:val="en-US" w:eastAsia="zh-CN"/>
        </w:rPr>
        <w:t>6.2.6</w:t>
      </w:r>
      <w:r>
        <w:rPr>
          <w:rFonts w:hint="eastAsia" w:ascii="Times New Roman" w:hAnsi="Times New Roman"/>
          <w:color w:val="auto"/>
          <w:highlight w:val="none"/>
          <w:lang w:val="en-US" w:eastAsia="zh-CN"/>
        </w:rPr>
        <w:t>燃煤、</w:t>
      </w:r>
      <w:r>
        <w:rPr>
          <w:rFonts w:ascii="Times New Roman" w:hAnsi="Times New Roman"/>
          <w:color w:val="auto"/>
          <w:highlight w:val="none"/>
        </w:rPr>
        <w:t>灰渣运输环节污染防治措施</w:t>
      </w:r>
      <w:bookmarkEnd w:id="161"/>
    </w:p>
    <w:p w14:paraId="3E76A393">
      <w:pPr>
        <w:ind w:firstLine="480"/>
        <w:rPr>
          <w:rFonts w:ascii="Times New Roman" w:hAnsi="Times New Roman"/>
          <w:color w:val="auto"/>
          <w:highlight w:val="none"/>
        </w:rPr>
      </w:pPr>
      <w:r>
        <w:rPr>
          <w:rFonts w:ascii="Times New Roman" w:hAnsi="Times New Roman"/>
          <w:color w:val="auto"/>
          <w:highlight w:val="none"/>
        </w:rPr>
        <w:t>（1）扬尘污染防治措施</w:t>
      </w:r>
    </w:p>
    <w:p w14:paraId="2D2872D4">
      <w:pPr>
        <w:ind w:firstLine="480"/>
        <w:rPr>
          <w:rFonts w:ascii="Times New Roman" w:hAnsi="Times New Roman"/>
          <w:color w:val="auto"/>
          <w:highlight w:val="none"/>
        </w:rPr>
      </w:pPr>
      <w:r>
        <w:rPr>
          <w:rFonts w:ascii="Times New Roman" w:hAnsi="Times New Roman"/>
          <w:color w:val="auto"/>
          <w:highlight w:val="none"/>
        </w:rPr>
        <w:t>本项目运输车辆采用密闭措施，避免运输过程产生物料遗撒，并且要求驾驶员在运输过程中做到文明驾驶，途经村庄时要减速慢行，以减少扬尘的产生量。</w:t>
      </w:r>
    </w:p>
    <w:p w14:paraId="162B0911">
      <w:pPr>
        <w:ind w:firstLine="480"/>
        <w:rPr>
          <w:rFonts w:hint="eastAsia" w:ascii="Times New Roman" w:hAnsi="Times New Roman"/>
          <w:color w:val="auto"/>
          <w:highlight w:val="none"/>
        </w:rPr>
      </w:pPr>
      <w:r>
        <w:rPr>
          <w:rFonts w:ascii="Times New Roman" w:hAnsi="Times New Roman"/>
          <w:color w:val="auto"/>
          <w:highlight w:val="none"/>
        </w:rPr>
        <w:t>（2）交通运输噪声污染防治措施</w:t>
      </w:r>
    </w:p>
    <w:p w14:paraId="79DA3D76">
      <w:pPr>
        <w:rPr>
          <w:rFonts w:hint="default"/>
          <w:highlight w:val="none"/>
          <w:lang w:val="en-US" w:eastAsia="zh-CN"/>
        </w:rPr>
      </w:pPr>
      <w:r>
        <w:rPr>
          <w:rFonts w:ascii="Times New Roman" w:hAnsi="Times New Roman"/>
          <w:color w:val="auto"/>
          <w:highlight w:val="none"/>
        </w:rPr>
        <w:t>本项目运输过程中对道路两侧居民将产生一定的噪声影响，为减轻交通噪声对两侧居民的影响，汽车运输过程中，行驶到有村庄路段时，距村庄200m时减速慢行、禁鸣，行车速度控制在20km/h以内，以减轻交通噪声对居民的影响，待驶出居民区200m以后再恢复车速行驶，夜间禁止运输。运输时间宜选择在早8：00～晚10：00之间。</w:t>
      </w:r>
    </w:p>
    <w:p w14:paraId="76CE9DC9">
      <w:pPr>
        <w:pStyle w:val="3"/>
        <w:bidi w:val="0"/>
        <w:rPr>
          <w:rFonts w:hint="eastAsia"/>
          <w:highlight w:val="none"/>
          <w:lang w:val="en-US" w:eastAsia="zh-CN"/>
        </w:rPr>
      </w:pPr>
      <w:bookmarkStart w:id="162" w:name="_Toc20998"/>
      <w:r>
        <w:rPr>
          <w:rFonts w:hint="eastAsia"/>
          <w:highlight w:val="none"/>
          <w:lang w:val="en-US" w:eastAsia="zh-CN"/>
        </w:rPr>
        <w:t>7环境影响经济损益分析</w:t>
      </w:r>
      <w:bookmarkEnd w:id="162"/>
    </w:p>
    <w:p w14:paraId="535EAEFC">
      <w:pPr>
        <w:ind w:firstLine="480"/>
        <w:rPr>
          <w:rFonts w:ascii="Times New Roman" w:hAnsi="Times New Roman"/>
          <w:highlight w:val="none"/>
        </w:rPr>
      </w:pPr>
      <w:r>
        <w:rPr>
          <w:rFonts w:ascii="Times New Roman" w:hAnsi="Times New Roman"/>
          <w:highlight w:val="none"/>
        </w:rPr>
        <w:t>环境经济损益分析主要是评价建设项目实施后，对环境造成的损失费用和采取各种环保治理措施所能收到的环保效果及其带来的经济和社会效益，衡量建设项目的环保投资在经济上的合理水平。</w:t>
      </w:r>
    </w:p>
    <w:p w14:paraId="336E8503">
      <w:pPr>
        <w:ind w:firstLine="480"/>
        <w:rPr>
          <w:rFonts w:ascii="Times New Roman" w:hAnsi="Times New Roman"/>
          <w:highlight w:val="none"/>
        </w:rPr>
      </w:pPr>
      <w:r>
        <w:rPr>
          <w:rFonts w:ascii="Times New Roman" w:hAnsi="Times New Roman"/>
          <w:highlight w:val="none"/>
        </w:rPr>
        <w:t>一个项目的开发建设，除对国民经济的发展起着促进作用外，同时也在一定程度上影响着项目现有地区环境的变化。社会影响、经济影响、环境影响是一个系统的三要素，最终以提高人类的生活质量为目的。它们之间既是互相促进，又互相制约，必须通过全面规划、综合平衡、正确地把全局利益和局部利益、长远利益和近期利益结合起来，对环境保护和经济发展进行协调，实现社会效益、经济效益、环境效益的三统一。通过对拟建项目的经济、社会和环境效益分析，为项目决策者更好地考虑环境、经济和社会效益的统一提供依据。</w:t>
      </w:r>
    </w:p>
    <w:p w14:paraId="5F2D0656">
      <w:pPr>
        <w:rPr>
          <w:rFonts w:ascii="Times New Roman" w:hAnsi="Times New Roman"/>
          <w:highlight w:val="none"/>
        </w:rPr>
      </w:pPr>
      <w:r>
        <w:rPr>
          <w:rFonts w:ascii="Times New Roman" w:hAnsi="Times New Roman"/>
          <w:highlight w:val="none"/>
        </w:rPr>
        <w:t>集中供热建设项目的环境经济损益分析涉及面广，内容繁多，包括对项目所在地区的自然环境、社会环境等多方面的分析与评述。本次环境影响经济损益分析从环境影响的正负两方面，以定性与定量相结合的方式，对建设项目的环境影响后果（包括直接和间接影响、不利和有利影响）进行货币化经济损益核算，估算建设项目环境影响的经济价值。</w:t>
      </w:r>
    </w:p>
    <w:p w14:paraId="3868F540">
      <w:pPr>
        <w:pStyle w:val="4"/>
        <w:bidi w:val="0"/>
        <w:ind w:left="0" w:leftChars="0" w:firstLine="0" w:firstLineChars="0"/>
        <w:rPr>
          <w:rFonts w:hint="eastAsia"/>
          <w:highlight w:val="none"/>
          <w:lang w:val="en-US" w:eastAsia="zh-CN"/>
        </w:rPr>
      </w:pPr>
      <w:bookmarkStart w:id="163" w:name="_Toc23657"/>
      <w:r>
        <w:rPr>
          <w:rFonts w:hint="eastAsia"/>
          <w:highlight w:val="none"/>
          <w:lang w:val="en-US" w:eastAsia="zh-CN"/>
        </w:rPr>
        <w:t>7.1经济效益分析</w:t>
      </w:r>
      <w:bookmarkEnd w:id="163"/>
    </w:p>
    <w:p w14:paraId="4298CBCD">
      <w:pPr>
        <w:bidi w:val="0"/>
        <w:rPr>
          <w:rFonts w:ascii="Times New Roman" w:hAnsi="Times New Roman"/>
          <w:highlight w:val="none"/>
        </w:rPr>
      </w:pPr>
      <w:r>
        <w:rPr>
          <w:rFonts w:ascii="Times New Roman" w:hAnsi="Times New Roman"/>
          <w:highlight w:val="none"/>
        </w:rPr>
        <w:t>工程建成后具有一定的经济效益，并具有一定的抗风险能力，从经济角度而言，该工程是可行的。该项目财务分析的各项指标均好，其内部收益率、投资回收期、投资利润率、投资利税率等都优于基准值。项目有一定的抗风险能力，项目在运营中项目获利能力强。以下从直接和间接两个方面分析项目经济效益。</w:t>
      </w:r>
    </w:p>
    <w:p w14:paraId="65591D76">
      <w:pPr>
        <w:pStyle w:val="5"/>
        <w:bidi w:val="0"/>
        <w:ind w:left="0" w:leftChars="0" w:firstLine="0" w:firstLineChars="0"/>
        <w:rPr>
          <w:rFonts w:hint="eastAsia"/>
          <w:highlight w:val="none"/>
          <w:lang w:val="en-US" w:eastAsia="zh-CN"/>
        </w:rPr>
      </w:pPr>
      <w:bookmarkStart w:id="164" w:name="_Toc12550"/>
      <w:r>
        <w:rPr>
          <w:rFonts w:hint="eastAsia"/>
          <w:highlight w:val="none"/>
          <w:lang w:val="en-US" w:eastAsia="zh-CN"/>
        </w:rPr>
        <w:t>7.1.1直接经济效益分析</w:t>
      </w:r>
      <w:bookmarkEnd w:id="164"/>
    </w:p>
    <w:p w14:paraId="53736972">
      <w:pPr>
        <w:ind w:firstLine="480"/>
        <w:rPr>
          <w:rFonts w:ascii="Times New Roman" w:hAnsi="Times New Roman"/>
          <w:highlight w:val="none"/>
        </w:rPr>
      </w:pPr>
      <w:r>
        <w:rPr>
          <w:rFonts w:ascii="Times New Roman" w:hAnsi="Times New Roman"/>
          <w:highlight w:val="none"/>
        </w:rPr>
        <w:t>本项目环境保护总投资</w:t>
      </w:r>
      <w:r>
        <w:rPr>
          <w:rFonts w:hint="eastAsia" w:ascii="Times New Roman" w:hAnsi="Times New Roman"/>
          <w:highlight w:val="none"/>
          <w:lang w:val="en-US" w:eastAsia="zh-CN"/>
        </w:rPr>
        <w:t>3620</w:t>
      </w:r>
      <w:r>
        <w:rPr>
          <w:rFonts w:ascii="Times New Roman" w:hAnsi="Times New Roman"/>
          <w:highlight w:val="none"/>
        </w:rPr>
        <w:t>万元，占总投资估的</w:t>
      </w:r>
      <w:r>
        <w:rPr>
          <w:rFonts w:hint="eastAsia" w:ascii="Times New Roman" w:hAnsi="Times New Roman"/>
          <w:highlight w:val="none"/>
          <w:lang w:val="en-US" w:eastAsia="zh-CN"/>
        </w:rPr>
        <w:t>100</w:t>
      </w:r>
      <w:r>
        <w:rPr>
          <w:rFonts w:ascii="Times New Roman" w:hAnsi="Times New Roman"/>
          <w:highlight w:val="none"/>
        </w:rPr>
        <w:t>%。</w:t>
      </w:r>
    </w:p>
    <w:p w14:paraId="5D94E7BA">
      <w:pPr>
        <w:ind w:firstLine="480"/>
        <w:rPr>
          <w:rFonts w:ascii="Times New Roman" w:hAnsi="Times New Roman"/>
          <w:highlight w:val="none"/>
        </w:rPr>
      </w:pPr>
      <w:r>
        <w:rPr>
          <w:rFonts w:ascii="Times New Roman" w:hAnsi="Times New Roman"/>
          <w:highlight w:val="none"/>
        </w:rPr>
        <w:t>拟建项目在</w:t>
      </w:r>
      <w:r>
        <w:rPr>
          <w:rFonts w:ascii="Times New Roman" w:hAnsi="Times New Roman"/>
          <w:highlight w:val="none"/>
        </w:rPr>
        <w:t>施工和运营期间的机械噪声和锅炉烟气会对居民生活质量产生不利影响。因此，采取操作性强的、切实可行的环保措施后，每年所挽回的经济损失，亦即环保投资的直接效益是显而易见的，但目前很难用具体货币形式来衡量。只能对若不采取措施时，因工程建设而导致的生态环境、水环境、声环境和环境空气质量的变化所引起的对周围人体健康、生活质量作粗略计算或定性分析用以反馈环保投资的直接经济效益。</w:t>
      </w:r>
    </w:p>
    <w:p w14:paraId="2481AC08">
      <w:pPr>
        <w:pStyle w:val="5"/>
        <w:bidi w:val="0"/>
        <w:ind w:left="0" w:leftChars="0" w:firstLine="0" w:firstLineChars="0"/>
        <w:rPr>
          <w:rFonts w:hint="eastAsia"/>
          <w:highlight w:val="none"/>
          <w:lang w:val="en-US" w:eastAsia="zh-CN"/>
        </w:rPr>
      </w:pPr>
      <w:bookmarkStart w:id="165" w:name="_Toc1871"/>
      <w:r>
        <w:rPr>
          <w:rFonts w:hint="eastAsia"/>
          <w:highlight w:val="none"/>
          <w:lang w:val="en-US" w:eastAsia="zh-CN"/>
        </w:rPr>
        <w:t>7.1.2间接经济损益分析</w:t>
      </w:r>
      <w:bookmarkEnd w:id="165"/>
    </w:p>
    <w:p w14:paraId="6C0CEE3B">
      <w:pPr>
        <w:rPr>
          <w:rFonts w:hint="default"/>
          <w:highlight w:val="none"/>
          <w:lang w:val="en-US" w:eastAsia="zh-CN"/>
        </w:rPr>
      </w:pPr>
      <w:r>
        <w:rPr>
          <w:rFonts w:ascii="Times New Roman" w:hAnsi="Times New Roman"/>
          <w:highlight w:val="none"/>
        </w:rPr>
        <w:t>本项目投产后，炉渣的产生量为</w:t>
      </w:r>
      <w:r>
        <w:rPr>
          <w:rFonts w:hint="eastAsia" w:ascii="Times New Roman" w:hAnsi="Times New Roman"/>
          <w:highlight w:val="none"/>
          <w:lang w:val="en-US" w:eastAsia="zh-CN"/>
        </w:rPr>
        <w:t>31970.6</w:t>
      </w:r>
      <w:r>
        <w:rPr>
          <w:rFonts w:ascii="Times New Roman" w:hAnsi="Times New Roman"/>
          <w:highlight w:val="none"/>
        </w:rPr>
        <w:t>t/a，外卖综合利用，按单价10元/t计，每年可回收费用</w:t>
      </w:r>
      <w:r>
        <w:rPr>
          <w:rFonts w:hint="eastAsia" w:ascii="Times New Roman" w:hAnsi="Times New Roman"/>
          <w:highlight w:val="none"/>
          <w:lang w:val="en-US" w:eastAsia="zh-CN"/>
        </w:rPr>
        <w:t>319706</w:t>
      </w:r>
      <w:r>
        <w:rPr>
          <w:rFonts w:ascii="Times New Roman" w:hAnsi="Times New Roman"/>
          <w:highlight w:val="none"/>
        </w:rPr>
        <w:t>元。</w:t>
      </w:r>
    </w:p>
    <w:p w14:paraId="72335AD4">
      <w:pPr>
        <w:pStyle w:val="4"/>
        <w:bidi w:val="0"/>
        <w:ind w:left="0" w:leftChars="0" w:firstLine="0" w:firstLineChars="0"/>
        <w:rPr>
          <w:rFonts w:hint="eastAsia"/>
          <w:highlight w:val="none"/>
          <w:lang w:val="en-US" w:eastAsia="zh-CN"/>
        </w:rPr>
      </w:pPr>
      <w:bookmarkStart w:id="166" w:name="_Toc14787"/>
      <w:r>
        <w:rPr>
          <w:rFonts w:hint="eastAsia"/>
          <w:highlight w:val="none"/>
          <w:lang w:val="en-US" w:eastAsia="zh-CN"/>
        </w:rPr>
        <w:t>7.2社会效益分析</w:t>
      </w:r>
      <w:bookmarkEnd w:id="166"/>
    </w:p>
    <w:p w14:paraId="55BB0858">
      <w:pPr>
        <w:ind w:firstLine="480"/>
        <w:rPr>
          <w:rFonts w:ascii="Times New Roman" w:hAnsi="Times New Roman"/>
          <w:highlight w:val="none"/>
        </w:rPr>
      </w:pPr>
      <w:r>
        <w:rPr>
          <w:rFonts w:ascii="Times New Roman" w:hAnsi="Times New Roman"/>
          <w:highlight w:val="none"/>
        </w:rPr>
        <w:t>项目建成后，为</w:t>
      </w:r>
      <w:r>
        <w:rPr>
          <w:rFonts w:hint="eastAsia" w:ascii="Times New Roman" w:hAnsi="Times New Roman"/>
          <w:highlight w:val="none"/>
          <w:lang w:val="en-US" w:eastAsia="zh-CN"/>
        </w:rPr>
        <w:t>绥芬河</w:t>
      </w:r>
      <w:r>
        <w:rPr>
          <w:rFonts w:ascii="Times New Roman" w:hAnsi="Times New Roman"/>
          <w:highlight w:val="none"/>
        </w:rPr>
        <w:t>集中供热提供保障，本项目作为一项社会利民工程，对保障</w:t>
      </w:r>
      <w:r>
        <w:rPr>
          <w:rFonts w:hint="eastAsia" w:ascii="Times New Roman" w:hAnsi="Times New Roman"/>
          <w:highlight w:val="none"/>
          <w:lang w:val="en-US" w:eastAsia="zh-CN"/>
        </w:rPr>
        <w:t>绥芬河新区</w:t>
      </w:r>
      <w:r>
        <w:rPr>
          <w:rFonts w:ascii="Times New Roman" w:hAnsi="Times New Roman"/>
          <w:highlight w:val="none"/>
        </w:rPr>
        <w:t>供暖质量及促进当地社会经济发展具有重要意义。据项目特点，结合社会环境现状调查分析，定性分析项目的社会效益。</w:t>
      </w:r>
    </w:p>
    <w:p w14:paraId="45F3AD51">
      <w:pPr>
        <w:ind w:firstLine="480"/>
        <w:rPr>
          <w:rFonts w:ascii="Times New Roman" w:hAnsi="Times New Roman"/>
          <w:highlight w:val="none"/>
        </w:rPr>
      </w:pPr>
      <w:r>
        <w:rPr>
          <w:rFonts w:ascii="Times New Roman" w:hAnsi="Times New Roman"/>
          <w:highlight w:val="none"/>
        </w:rPr>
        <w:t>（1）本项目的建设避免了当地小型锅炉房的建设，有利于改善区域的环境空气质量。</w:t>
      </w:r>
    </w:p>
    <w:p w14:paraId="6C369E76">
      <w:pPr>
        <w:ind w:firstLine="480"/>
        <w:rPr>
          <w:rFonts w:ascii="Times New Roman" w:hAnsi="Times New Roman"/>
          <w:highlight w:val="none"/>
        </w:rPr>
      </w:pPr>
      <w:r>
        <w:rPr>
          <w:rFonts w:ascii="Times New Roman" w:hAnsi="Times New Roman"/>
          <w:highlight w:val="none"/>
        </w:rPr>
        <w:t>（2）分散的燃煤小锅炉房会造成环境污染以及管理不便，而集中供热则可以达到管理方便以及控制污染的目的，而且城市采暖采用集中供热是一个必然趋势。</w:t>
      </w:r>
    </w:p>
    <w:p w14:paraId="6BC3E5B7">
      <w:pPr>
        <w:ind w:firstLine="480"/>
        <w:rPr>
          <w:rFonts w:ascii="Times New Roman" w:hAnsi="Times New Roman"/>
          <w:highlight w:val="none"/>
        </w:rPr>
      </w:pPr>
      <w:r>
        <w:rPr>
          <w:rFonts w:ascii="Times New Roman" w:hAnsi="Times New Roman"/>
          <w:highlight w:val="none"/>
        </w:rPr>
        <w:t>（3）本项目程的建设对于节约能源、提高能源利用率有很大作用；还可以避免采用小锅炉供热不稳定的弊病，促进生产发展。</w:t>
      </w:r>
    </w:p>
    <w:p w14:paraId="4E04699D">
      <w:pPr>
        <w:ind w:firstLine="480"/>
        <w:rPr>
          <w:rFonts w:ascii="Times New Roman" w:hAnsi="Times New Roman"/>
          <w:highlight w:val="none"/>
        </w:rPr>
      </w:pPr>
      <w:r>
        <w:rPr>
          <w:rFonts w:ascii="Times New Roman" w:hAnsi="Times New Roman"/>
          <w:highlight w:val="none"/>
        </w:rPr>
        <w:t>（4）生产过程中产生的大量灰渣又可为建材市场和市政建设提供最基本的原材料，带动和促进城市经济发展，安置富余人员就业，减轻国家和社会负担。</w:t>
      </w:r>
    </w:p>
    <w:p w14:paraId="6187B1EB">
      <w:pPr>
        <w:ind w:firstLine="480"/>
        <w:rPr>
          <w:rFonts w:ascii="Times New Roman" w:hAnsi="Times New Roman"/>
          <w:highlight w:val="none"/>
        </w:rPr>
      </w:pPr>
      <w:r>
        <w:rPr>
          <w:rFonts w:ascii="Times New Roman" w:hAnsi="Times New Roman"/>
          <w:highlight w:val="none"/>
        </w:rPr>
        <w:t>（5）远期提供周边企业生产用汽的规划，减少周边企业建设热水锅炉，改善周边环境空气质量。</w:t>
      </w:r>
    </w:p>
    <w:p w14:paraId="377E7282">
      <w:pPr>
        <w:bidi w:val="0"/>
        <w:rPr>
          <w:rFonts w:ascii="Times New Roman" w:hAnsi="Times New Roman"/>
          <w:highlight w:val="none"/>
        </w:rPr>
      </w:pPr>
      <w:r>
        <w:rPr>
          <w:rFonts w:ascii="Times New Roman" w:hAnsi="Times New Roman"/>
          <w:highlight w:val="none"/>
        </w:rPr>
        <w:t>综上所述，本项目的建设对于节约能源，提高城市的环境污染管理，拉动哈尔滨市的经济发展与建设都将起到一定促进作用。</w:t>
      </w:r>
    </w:p>
    <w:p w14:paraId="56422313">
      <w:pPr>
        <w:pStyle w:val="4"/>
        <w:bidi w:val="0"/>
        <w:ind w:left="0" w:leftChars="0" w:firstLine="0" w:firstLineChars="0"/>
        <w:rPr>
          <w:rFonts w:hint="eastAsia"/>
          <w:highlight w:val="none"/>
          <w:lang w:val="en-US" w:eastAsia="zh-CN"/>
        </w:rPr>
      </w:pPr>
      <w:bookmarkStart w:id="167" w:name="_Toc11629"/>
      <w:r>
        <w:rPr>
          <w:rFonts w:hint="eastAsia"/>
          <w:highlight w:val="none"/>
          <w:lang w:val="en-US" w:eastAsia="zh-CN"/>
        </w:rPr>
        <w:t>7.3环境效益分析</w:t>
      </w:r>
      <w:bookmarkEnd w:id="167"/>
    </w:p>
    <w:p w14:paraId="137857A2">
      <w:pPr>
        <w:ind w:firstLine="480"/>
        <w:rPr>
          <w:rFonts w:ascii="Times New Roman" w:hAnsi="Times New Roman"/>
          <w:highlight w:val="none"/>
        </w:rPr>
      </w:pPr>
      <w:r>
        <w:rPr>
          <w:rFonts w:ascii="Times New Roman" w:hAnsi="Times New Roman"/>
          <w:highlight w:val="none"/>
        </w:rPr>
        <w:t>本项目总投资额</w:t>
      </w:r>
      <w:r>
        <w:rPr>
          <w:rFonts w:hint="eastAsia" w:ascii="Times New Roman" w:hAnsi="Times New Roman"/>
          <w:highlight w:val="none"/>
          <w:lang w:val="en-US" w:eastAsia="zh-CN"/>
        </w:rPr>
        <w:t>3620</w:t>
      </w:r>
      <w:r>
        <w:rPr>
          <w:rFonts w:ascii="Times New Roman" w:hAnsi="Times New Roman"/>
          <w:highlight w:val="none"/>
        </w:rPr>
        <w:t>万元。</w:t>
      </w:r>
    </w:p>
    <w:p w14:paraId="383A0B5B">
      <w:pPr>
        <w:ind w:firstLine="480"/>
        <w:rPr>
          <w:rFonts w:ascii="Times New Roman" w:hAnsi="Times New Roman"/>
          <w:highlight w:val="none"/>
        </w:rPr>
      </w:pPr>
      <w:r>
        <w:rPr>
          <w:rFonts w:ascii="Times New Roman" w:hAnsi="Times New Roman"/>
          <w:highlight w:val="none"/>
        </w:rPr>
        <w:t>参照《中华人民共和国环境保护</w:t>
      </w:r>
      <w:r>
        <w:rPr>
          <w:rFonts w:ascii="Times New Roman" w:hAnsi="Times New Roman"/>
          <w:highlight w:val="none"/>
        </w:rPr>
        <w:t>税法》，本次评价对本项目环境影响经济损益进行简要分析。</w:t>
      </w:r>
    </w:p>
    <w:p w14:paraId="6A4B38F8">
      <w:pPr>
        <w:ind w:firstLine="480"/>
        <w:rPr>
          <w:rFonts w:ascii="Times New Roman" w:hAnsi="Times New Roman"/>
          <w:highlight w:val="none"/>
        </w:rPr>
      </w:pPr>
      <w:r>
        <w:rPr>
          <w:rFonts w:ascii="Times New Roman" w:hAnsi="Times New Roman"/>
          <w:highlight w:val="none"/>
        </w:rPr>
        <w:t>企业事业单位和其他生产经营者向依法设立的城镇污水处理厂、城镇生活垃圾处理场排放应税污染物的，不征收环境保护税。</w:t>
      </w:r>
    </w:p>
    <w:p w14:paraId="3534C74C">
      <w:pPr>
        <w:ind w:firstLine="480"/>
        <w:rPr>
          <w:rFonts w:ascii="Times New Roman" w:hAnsi="Times New Roman"/>
          <w:highlight w:val="none"/>
        </w:rPr>
      </w:pPr>
      <w:r>
        <w:rPr>
          <w:rFonts w:ascii="Times New Roman" w:hAnsi="Times New Roman"/>
          <w:highlight w:val="none"/>
        </w:rPr>
        <w:t>本项目不直接向水体排放生产废水和生活污水，厂界噪声达标排放，一般固体废物外售处置，均无需缴纳相应的环境保护税。</w:t>
      </w:r>
    </w:p>
    <w:p w14:paraId="75DC241F">
      <w:pPr>
        <w:ind w:firstLine="480"/>
        <w:rPr>
          <w:rFonts w:ascii="Times New Roman" w:hAnsi="Times New Roman"/>
          <w:highlight w:val="none"/>
        </w:rPr>
      </w:pPr>
      <w:r>
        <w:rPr>
          <w:rFonts w:ascii="Times New Roman" w:hAnsi="Times New Roman"/>
          <w:highlight w:val="none"/>
        </w:rPr>
        <w:t>应税大气污染物的应纳税额为污染当量数乘以具体适用税额。应税大气污染物的污染当量数，以该污染物的排放量除以该污染物的污染当量值计算。其中：每种应税大气污染物的具体污染当量值，依照该《中华人民共和国环境保护税法》所附《应税污染物和当量值表》执行；应税大气污染物的具体适用税额按照《黑龙江省人民代表大会常务委员会关于环境保护税黑龙江省应税大气污染物水污染物适用税额和同一排放口应税污染物项目数的决定》中相关规定来进行计算，即：环境保护税我省应税大气污染物适用税额为每污染当量1.2元。本项目各污染物当量税额详情见表7.3-1。</w:t>
      </w:r>
    </w:p>
    <w:p w14:paraId="7A0DC8AE">
      <w:pPr>
        <w:ind w:firstLine="0" w:firstLineChars="0"/>
        <w:jc w:val="center"/>
        <w:rPr>
          <w:rFonts w:ascii="Times New Roman" w:hAnsi="Times New Roman"/>
          <w:highlight w:val="none"/>
        </w:rPr>
      </w:pPr>
      <w:r>
        <w:rPr>
          <w:rFonts w:hint="eastAsia" w:ascii="黑体" w:hAnsi="黑体" w:eastAsia="黑体" w:cs="黑体"/>
          <w:highlight w:val="none"/>
        </w:rPr>
        <w:t>表</w:t>
      </w:r>
      <w:r>
        <w:rPr>
          <w:rFonts w:ascii="Times New Roman" w:hAnsi="Times New Roman"/>
          <w:highlight w:val="none"/>
        </w:rPr>
        <w:t>7.3-1</w:t>
      </w:r>
      <w:r>
        <w:rPr>
          <w:rFonts w:hint="eastAsia" w:ascii="黑体" w:hAnsi="黑体" w:eastAsia="黑体" w:cs="黑体"/>
          <w:highlight w:val="none"/>
        </w:rPr>
        <w:t>本项目污染物当量税额一览表</w:t>
      </w:r>
    </w:p>
    <w:tbl>
      <w:tblPr>
        <w:tblStyle w:val="1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91"/>
        <w:gridCol w:w="1480"/>
        <w:gridCol w:w="1178"/>
        <w:gridCol w:w="1556"/>
        <w:gridCol w:w="1405"/>
        <w:gridCol w:w="1109"/>
      </w:tblGrid>
      <w:tr w14:paraId="03C8C1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1937" w:type="pct"/>
            <w:gridSpan w:val="2"/>
            <w:shd w:val="clear" w:color="auto" w:fill="auto"/>
            <w:vAlign w:val="center"/>
          </w:tcPr>
          <w:p w14:paraId="7E3E6402">
            <w:pPr>
              <w:adjustRightInd w:val="0"/>
              <w:snapToGrid w:val="0"/>
              <w:spacing w:line="240" w:lineRule="auto"/>
              <w:ind w:firstLine="0" w:firstLineChars="0"/>
              <w:jc w:val="center"/>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类别</w:t>
            </w:r>
          </w:p>
        </w:tc>
        <w:tc>
          <w:tcPr>
            <w:tcW w:w="700" w:type="pct"/>
            <w:shd w:val="clear" w:color="auto" w:fill="auto"/>
            <w:vAlign w:val="center"/>
          </w:tcPr>
          <w:p w14:paraId="1DD57545">
            <w:pPr>
              <w:adjustRightInd w:val="0"/>
              <w:snapToGrid w:val="0"/>
              <w:spacing w:line="240" w:lineRule="auto"/>
              <w:ind w:firstLine="0" w:firstLineChars="0"/>
              <w:jc w:val="center"/>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颗粒物</w:t>
            </w:r>
          </w:p>
        </w:tc>
        <w:tc>
          <w:tcPr>
            <w:tcW w:w="922" w:type="pct"/>
            <w:shd w:val="clear" w:color="auto" w:fill="auto"/>
            <w:vAlign w:val="center"/>
          </w:tcPr>
          <w:p w14:paraId="0B429DB8">
            <w:pPr>
              <w:adjustRightInd w:val="0"/>
              <w:snapToGrid w:val="0"/>
              <w:spacing w:line="240" w:lineRule="auto"/>
              <w:ind w:firstLine="0" w:firstLineChars="0"/>
              <w:jc w:val="center"/>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氮氧化物</w:t>
            </w:r>
          </w:p>
        </w:tc>
        <w:tc>
          <w:tcPr>
            <w:tcW w:w="833" w:type="pct"/>
            <w:shd w:val="clear" w:color="auto" w:fill="auto"/>
            <w:vAlign w:val="center"/>
          </w:tcPr>
          <w:p w14:paraId="6AFEF8DC">
            <w:pPr>
              <w:adjustRightInd w:val="0"/>
              <w:snapToGrid w:val="0"/>
              <w:spacing w:line="240" w:lineRule="auto"/>
              <w:ind w:firstLine="0" w:firstLineChars="0"/>
              <w:jc w:val="center"/>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二氧化硫</w:t>
            </w:r>
          </w:p>
        </w:tc>
        <w:tc>
          <w:tcPr>
            <w:tcW w:w="606" w:type="pct"/>
            <w:shd w:val="clear" w:color="auto" w:fill="auto"/>
            <w:vAlign w:val="center"/>
          </w:tcPr>
          <w:p w14:paraId="1948F4C5">
            <w:pPr>
              <w:adjustRightInd w:val="0"/>
              <w:snapToGrid w:val="0"/>
              <w:spacing w:line="240" w:lineRule="auto"/>
              <w:ind w:firstLine="0" w:firstLineChars="0"/>
              <w:jc w:val="center"/>
              <w:rPr>
                <w:rFonts w:ascii="Times New Roman" w:hAnsi="Times New Roman" w:eastAsia="宋体" w:cs="Times New Roman"/>
                <w:sz w:val="21"/>
                <w:szCs w:val="21"/>
                <w:highlight w:val="none"/>
                <w:lang w:val="en-US" w:eastAsia="zh-CN"/>
              </w:rPr>
            </w:pPr>
            <w:r>
              <w:rPr>
                <w:rFonts w:ascii="Times New Roman" w:hAnsi="Times New Roman" w:eastAsia="宋体" w:cs="Times New Roman"/>
                <w:sz w:val="21"/>
                <w:szCs w:val="21"/>
                <w:highlight w:val="none"/>
              </w:rPr>
              <w:t>合计</w:t>
            </w:r>
          </w:p>
        </w:tc>
      </w:tr>
      <w:tr w14:paraId="6DDAB7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trPr>
        <w:tc>
          <w:tcPr>
            <w:tcW w:w="1937" w:type="pct"/>
            <w:gridSpan w:val="2"/>
            <w:shd w:val="clear" w:color="auto" w:fill="auto"/>
            <w:vAlign w:val="center"/>
          </w:tcPr>
          <w:p w14:paraId="0D38BBA3">
            <w:pPr>
              <w:adjustRightInd w:val="0"/>
              <w:snapToGrid w:val="0"/>
              <w:spacing w:line="240" w:lineRule="auto"/>
              <w:ind w:firstLine="0" w:firstLineChars="0"/>
              <w:jc w:val="center"/>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污染物排放量（</w:t>
            </w:r>
            <w:r>
              <w:rPr>
                <w:rFonts w:hint="eastAsia" w:ascii="Times New Roman" w:hAnsi="Times New Roman" w:eastAsia="宋体" w:cs="Times New Roman"/>
                <w:sz w:val="21"/>
                <w:szCs w:val="21"/>
                <w:highlight w:val="none"/>
                <w:lang w:val="en-US" w:eastAsia="zh-CN"/>
              </w:rPr>
              <w:t>t</w:t>
            </w:r>
            <w:r>
              <w:rPr>
                <w:rFonts w:ascii="Times New Roman" w:hAnsi="Times New Roman" w:eastAsia="宋体" w:cs="Times New Roman"/>
                <w:sz w:val="21"/>
                <w:szCs w:val="21"/>
                <w:highlight w:val="none"/>
              </w:rPr>
              <w:t>/a）</w:t>
            </w:r>
          </w:p>
        </w:tc>
        <w:tc>
          <w:tcPr>
            <w:tcW w:w="700" w:type="pct"/>
            <w:shd w:val="clear" w:color="auto" w:fill="auto"/>
            <w:vAlign w:val="center"/>
          </w:tcPr>
          <w:p w14:paraId="6ED17CD4">
            <w:pPr>
              <w:adjustRightInd w:val="0"/>
              <w:snapToGrid w:val="0"/>
              <w:spacing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2.39</w:t>
            </w:r>
          </w:p>
        </w:tc>
        <w:tc>
          <w:tcPr>
            <w:tcW w:w="922" w:type="pct"/>
            <w:shd w:val="clear" w:color="auto" w:fill="auto"/>
            <w:vAlign w:val="center"/>
          </w:tcPr>
          <w:p w14:paraId="0ADEC397">
            <w:pPr>
              <w:adjustRightInd w:val="0"/>
              <w:snapToGrid w:val="0"/>
              <w:spacing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33.7968</w:t>
            </w:r>
          </w:p>
        </w:tc>
        <w:tc>
          <w:tcPr>
            <w:tcW w:w="833" w:type="pct"/>
            <w:shd w:val="clear" w:color="auto" w:fill="auto"/>
            <w:vAlign w:val="center"/>
          </w:tcPr>
          <w:p w14:paraId="5AE307D7">
            <w:pPr>
              <w:adjustRightInd w:val="0"/>
              <w:snapToGrid w:val="0"/>
              <w:spacing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7.352</w:t>
            </w:r>
          </w:p>
        </w:tc>
        <w:tc>
          <w:tcPr>
            <w:tcW w:w="606" w:type="pct"/>
            <w:shd w:val="clear" w:color="auto" w:fill="auto"/>
            <w:vAlign w:val="center"/>
          </w:tcPr>
          <w:p w14:paraId="6DC62874">
            <w:pPr>
              <w:adjustRightInd w:val="0"/>
              <w:snapToGrid w:val="0"/>
              <w:spacing w:line="240" w:lineRule="auto"/>
              <w:ind w:firstLine="0" w:firstLineChars="0"/>
              <w:jc w:val="center"/>
              <w:rPr>
                <w:rFonts w:ascii="Times New Roman" w:hAnsi="Times New Roman" w:eastAsia="宋体" w:cs="Times New Roman"/>
                <w:sz w:val="21"/>
                <w:szCs w:val="21"/>
                <w:highlight w:val="none"/>
                <w:lang w:val="en-US" w:eastAsia="zh-CN"/>
              </w:rPr>
            </w:pPr>
            <w:r>
              <w:rPr>
                <w:rFonts w:ascii="Times New Roman" w:hAnsi="Times New Roman" w:eastAsia="宋体" w:cs="Times New Roman"/>
                <w:sz w:val="21"/>
                <w:szCs w:val="21"/>
                <w:highlight w:val="none"/>
              </w:rPr>
              <w:t>-</w:t>
            </w:r>
          </w:p>
        </w:tc>
      </w:tr>
      <w:tr w14:paraId="4C6FB7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1937" w:type="pct"/>
            <w:gridSpan w:val="2"/>
            <w:shd w:val="clear" w:color="auto" w:fill="auto"/>
            <w:vAlign w:val="center"/>
          </w:tcPr>
          <w:p w14:paraId="7B67FF3C">
            <w:pPr>
              <w:adjustRightInd w:val="0"/>
              <w:snapToGrid w:val="0"/>
              <w:spacing w:line="240" w:lineRule="auto"/>
              <w:ind w:firstLine="0" w:firstLineChars="0"/>
              <w:jc w:val="center"/>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污染当量值（kg）</w:t>
            </w:r>
          </w:p>
        </w:tc>
        <w:tc>
          <w:tcPr>
            <w:tcW w:w="700" w:type="pct"/>
            <w:shd w:val="clear" w:color="auto" w:fill="auto"/>
            <w:vAlign w:val="center"/>
          </w:tcPr>
          <w:p w14:paraId="0471C2B9">
            <w:pPr>
              <w:adjustRightInd w:val="0"/>
              <w:snapToGrid w:val="0"/>
              <w:spacing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2.18</w:t>
            </w:r>
          </w:p>
        </w:tc>
        <w:tc>
          <w:tcPr>
            <w:tcW w:w="922" w:type="pct"/>
            <w:shd w:val="clear" w:color="auto" w:fill="auto"/>
            <w:vAlign w:val="center"/>
          </w:tcPr>
          <w:p w14:paraId="613A297A">
            <w:pPr>
              <w:adjustRightInd w:val="0"/>
              <w:snapToGrid w:val="0"/>
              <w:spacing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0.95</w:t>
            </w:r>
          </w:p>
        </w:tc>
        <w:tc>
          <w:tcPr>
            <w:tcW w:w="833" w:type="pct"/>
            <w:shd w:val="clear" w:color="auto" w:fill="auto"/>
            <w:vAlign w:val="center"/>
          </w:tcPr>
          <w:p w14:paraId="28FF2081">
            <w:pPr>
              <w:adjustRightInd w:val="0"/>
              <w:snapToGrid w:val="0"/>
              <w:spacing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0.95</w:t>
            </w:r>
          </w:p>
        </w:tc>
        <w:tc>
          <w:tcPr>
            <w:tcW w:w="606" w:type="pct"/>
            <w:shd w:val="clear" w:color="auto" w:fill="auto"/>
            <w:vAlign w:val="center"/>
          </w:tcPr>
          <w:p w14:paraId="4D90FD4D">
            <w:pPr>
              <w:adjustRightInd w:val="0"/>
              <w:snapToGrid w:val="0"/>
              <w:spacing w:line="240" w:lineRule="auto"/>
              <w:ind w:firstLine="0" w:firstLineChars="0"/>
              <w:jc w:val="center"/>
              <w:rPr>
                <w:rFonts w:ascii="Times New Roman" w:hAnsi="Times New Roman" w:eastAsia="宋体" w:cs="Times New Roman"/>
                <w:sz w:val="21"/>
                <w:szCs w:val="21"/>
                <w:highlight w:val="none"/>
                <w:lang w:val="en-US" w:eastAsia="zh-CN"/>
              </w:rPr>
            </w:pPr>
            <w:r>
              <w:rPr>
                <w:rFonts w:ascii="Times New Roman" w:hAnsi="Times New Roman" w:eastAsia="宋体" w:cs="Times New Roman"/>
                <w:sz w:val="21"/>
                <w:szCs w:val="21"/>
                <w:highlight w:val="none"/>
              </w:rPr>
              <w:t>-</w:t>
            </w:r>
          </w:p>
        </w:tc>
      </w:tr>
      <w:tr w14:paraId="3A2F19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1937" w:type="pct"/>
            <w:gridSpan w:val="2"/>
            <w:shd w:val="clear" w:color="auto" w:fill="auto"/>
            <w:vAlign w:val="center"/>
          </w:tcPr>
          <w:p w14:paraId="4CF45977">
            <w:pPr>
              <w:adjustRightInd w:val="0"/>
              <w:snapToGrid w:val="0"/>
              <w:spacing w:line="240" w:lineRule="auto"/>
              <w:ind w:firstLine="0" w:firstLineChars="0"/>
              <w:jc w:val="center"/>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污染当量数</w:t>
            </w:r>
          </w:p>
        </w:tc>
        <w:tc>
          <w:tcPr>
            <w:tcW w:w="700" w:type="pct"/>
            <w:shd w:val="clear" w:color="auto" w:fill="auto"/>
            <w:vAlign w:val="center"/>
          </w:tcPr>
          <w:p w14:paraId="6C7F4768">
            <w:pPr>
              <w:adjustRightInd w:val="0"/>
              <w:snapToGrid w:val="0"/>
              <w:spacing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1096.33</w:t>
            </w:r>
          </w:p>
        </w:tc>
        <w:tc>
          <w:tcPr>
            <w:tcW w:w="922" w:type="pct"/>
            <w:shd w:val="clear" w:color="auto" w:fill="auto"/>
            <w:vAlign w:val="center"/>
          </w:tcPr>
          <w:p w14:paraId="6084FA59">
            <w:pPr>
              <w:adjustRightInd w:val="0"/>
              <w:snapToGrid w:val="0"/>
              <w:spacing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35575.58</w:t>
            </w:r>
          </w:p>
        </w:tc>
        <w:tc>
          <w:tcPr>
            <w:tcW w:w="833" w:type="pct"/>
            <w:shd w:val="clear" w:color="auto" w:fill="auto"/>
            <w:vAlign w:val="center"/>
          </w:tcPr>
          <w:p w14:paraId="41B5EB70">
            <w:pPr>
              <w:adjustRightInd w:val="0"/>
              <w:snapToGrid w:val="0"/>
              <w:spacing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7738.95</w:t>
            </w:r>
          </w:p>
        </w:tc>
        <w:tc>
          <w:tcPr>
            <w:tcW w:w="606" w:type="pct"/>
            <w:shd w:val="clear" w:color="auto" w:fill="auto"/>
            <w:vAlign w:val="center"/>
          </w:tcPr>
          <w:p w14:paraId="2EC1B1F2">
            <w:pPr>
              <w:adjustRightInd w:val="0"/>
              <w:snapToGrid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ascii="Times New Roman" w:hAnsi="Times New Roman" w:eastAsia="宋体" w:cs="Times New Roman"/>
                <w:sz w:val="21"/>
                <w:szCs w:val="21"/>
                <w:highlight w:val="none"/>
              </w:rPr>
              <w:t>-</w:t>
            </w:r>
          </w:p>
        </w:tc>
      </w:tr>
      <w:tr w14:paraId="0CF639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1060" w:type="pct"/>
            <w:vMerge w:val="restart"/>
            <w:shd w:val="clear" w:color="auto" w:fill="auto"/>
            <w:vAlign w:val="center"/>
          </w:tcPr>
          <w:p w14:paraId="280C13C4">
            <w:pPr>
              <w:adjustRightInd w:val="0"/>
              <w:snapToGrid w:val="0"/>
              <w:spacing w:line="240" w:lineRule="auto"/>
              <w:ind w:firstLine="0" w:firstLineChars="0"/>
              <w:jc w:val="center"/>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税额（元）</w:t>
            </w:r>
          </w:p>
        </w:tc>
        <w:tc>
          <w:tcPr>
            <w:tcW w:w="876" w:type="pct"/>
            <w:shd w:val="clear" w:color="auto" w:fill="auto"/>
            <w:vAlign w:val="center"/>
          </w:tcPr>
          <w:p w14:paraId="1A0B811B">
            <w:pPr>
              <w:adjustRightInd w:val="0"/>
              <w:snapToGrid w:val="0"/>
              <w:spacing w:line="240" w:lineRule="auto"/>
              <w:ind w:firstLine="0" w:firstLineChars="0"/>
              <w:jc w:val="center"/>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1.2元计</w:t>
            </w:r>
          </w:p>
        </w:tc>
        <w:tc>
          <w:tcPr>
            <w:tcW w:w="700" w:type="pct"/>
            <w:shd w:val="clear" w:color="auto" w:fill="auto"/>
            <w:vAlign w:val="center"/>
          </w:tcPr>
          <w:p w14:paraId="2D21BE2B">
            <w:pPr>
              <w:adjustRightInd w:val="0"/>
              <w:snapToGrid w:val="0"/>
              <w:spacing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1315.596</w:t>
            </w:r>
          </w:p>
        </w:tc>
        <w:tc>
          <w:tcPr>
            <w:tcW w:w="922" w:type="pct"/>
            <w:shd w:val="clear" w:color="auto" w:fill="auto"/>
            <w:vAlign w:val="center"/>
          </w:tcPr>
          <w:p w14:paraId="5768755C">
            <w:pPr>
              <w:adjustRightInd w:val="0"/>
              <w:snapToGrid w:val="0"/>
              <w:spacing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42690.696</w:t>
            </w:r>
          </w:p>
        </w:tc>
        <w:tc>
          <w:tcPr>
            <w:tcW w:w="833" w:type="pct"/>
            <w:shd w:val="clear" w:color="auto" w:fill="auto"/>
            <w:vAlign w:val="center"/>
          </w:tcPr>
          <w:p w14:paraId="619F06EF">
            <w:pPr>
              <w:adjustRightInd w:val="0"/>
              <w:snapToGrid w:val="0"/>
              <w:spacing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9286.74</w:t>
            </w:r>
          </w:p>
        </w:tc>
        <w:tc>
          <w:tcPr>
            <w:tcW w:w="606" w:type="pct"/>
            <w:shd w:val="clear" w:color="auto" w:fill="auto"/>
            <w:vAlign w:val="center"/>
          </w:tcPr>
          <w:p w14:paraId="3F5A0AC8">
            <w:pPr>
              <w:adjustRightInd w:val="0"/>
              <w:snapToGrid w:val="0"/>
              <w:spacing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53293.032</w:t>
            </w:r>
          </w:p>
        </w:tc>
      </w:tr>
      <w:tr w14:paraId="073F00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 w:hRule="atLeast"/>
        </w:trPr>
        <w:tc>
          <w:tcPr>
            <w:tcW w:w="1060" w:type="pct"/>
            <w:vMerge w:val="continue"/>
            <w:shd w:val="clear" w:color="auto" w:fill="auto"/>
            <w:vAlign w:val="center"/>
          </w:tcPr>
          <w:p w14:paraId="6595531A">
            <w:pPr>
              <w:adjustRightInd w:val="0"/>
              <w:snapToGrid w:val="0"/>
              <w:spacing w:line="240" w:lineRule="auto"/>
              <w:ind w:firstLine="0" w:firstLineChars="0"/>
              <w:jc w:val="center"/>
              <w:rPr>
                <w:rFonts w:ascii="Times New Roman" w:hAnsi="Times New Roman" w:eastAsia="宋体" w:cs="Times New Roman"/>
                <w:sz w:val="21"/>
                <w:szCs w:val="21"/>
                <w:highlight w:val="none"/>
              </w:rPr>
            </w:pPr>
          </w:p>
        </w:tc>
        <w:tc>
          <w:tcPr>
            <w:tcW w:w="876" w:type="pct"/>
            <w:shd w:val="clear" w:color="auto" w:fill="auto"/>
            <w:vAlign w:val="center"/>
          </w:tcPr>
          <w:p w14:paraId="7A6807AD">
            <w:pPr>
              <w:adjustRightInd w:val="0"/>
              <w:snapToGrid w:val="0"/>
              <w:spacing w:line="240" w:lineRule="auto"/>
              <w:ind w:firstLine="0" w:firstLineChars="0"/>
              <w:jc w:val="center"/>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12元计</w:t>
            </w:r>
          </w:p>
        </w:tc>
        <w:tc>
          <w:tcPr>
            <w:tcW w:w="700" w:type="pct"/>
            <w:shd w:val="clear" w:color="auto" w:fill="auto"/>
            <w:vAlign w:val="center"/>
          </w:tcPr>
          <w:p w14:paraId="671FB595">
            <w:pPr>
              <w:adjustRightInd w:val="0"/>
              <w:snapToGrid w:val="0"/>
              <w:spacing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13155.96</w:t>
            </w:r>
          </w:p>
        </w:tc>
        <w:tc>
          <w:tcPr>
            <w:tcW w:w="922" w:type="pct"/>
            <w:shd w:val="clear" w:color="auto" w:fill="auto"/>
            <w:vAlign w:val="center"/>
          </w:tcPr>
          <w:p w14:paraId="44B247E7">
            <w:pPr>
              <w:adjustRightInd w:val="0"/>
              <w:snapToGrid w:val="0"/>
              <w:spacing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426906.96</w:t>
            </w:r>
          </w:p>
        </w:tc>
        <w:tc>
          <w:tcPr>
            <w:tcW w:w="833" w:type="pct"/>
            <w:shd w:val="clear" w:color="auto" w:fill="auto"/>
            <w:vAlign w:val="center"/>
          </w:tcPr>
          <w:p w14:paraId="668A0B0B">
            <w:pPr>
              <w:adjustRightInd w:val="0"/>
              <w:snapToGrid w:val="0"/>
              <w:spacing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92867.4</w:t>
            </w:r>
          </w:p>
        </w:tc>
        <w:tc>
          <w:tcPr>
            <w:tcW w:w="606" w:type="pct"/>
            <w:shd w:val="clear" w:color="auto" w:fill="auto"/>
            <w:vAlign w:val="center"/>
          </w:tcPr>
          <w:p w14:paraId="7817FB10">
            <w:pPr>
              <w:adjustRightInd w:val="0"/>
              <w:snapToGrid w:val="0"/>
              <w:spacing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532930.32</w:t>
            </w:r>
          </w:p>
        </w:tc>
      </w:tr>
    </w:tbl>
    <w:p w14:paraId="73622CA0">
      <w:pPr>
        <w:bidi w:val="0"/>
        <w:rPr>
          <w:rFonts w:ascii="Times New Roman" w:hAnsi="Times New Roman"/>
          <w:highlight w:val="none"/>
        </w:rPr>
      </w:pPr>
      <w:r>
        <w:rPr>
          <w:rFonts w:ascii="Times New Roman" w:hAnsi="Times New Roman"/>
          <w:highlight w:val="none"/>
        </w:rPr>
        <w:t>由表7.3-1计算结果可知</w:t>
      </w:r>
      <w:r>
        <w:rPr>
          <w:snapToGrid w:val="0"/>
          <w:color w:val="auto"/>
          <w:kern w:val="0"/>
          <w:sz w:val="24"/>
          <w:highlight w:val="none"/>
        </w:rPr>
        <w:t>，本项目需缴纳的环境保护税最低为</w:t>
      </w:r>
      <w:r>
        <w:rPr>
          <w:rFonts w:hint="eastAsia"/>
          <w:snapToGrid w:val="0"/>
          <w:color w:val="auto"/>
          <w:kern w:val="0"/>
          <w:sz w:val="24"/>
          <w:highlight w:val="none"/>
          <w:lang w:val="en-US" w:eastAsia="zh-CN"/>
        </w:rPr>
        <w:t>53293.032</w:t>
      </w:r>
      <w:r>
        <w:rPr>
          <w:snapToGrid w:val="0"/>
          <w:color w:val="auto"/>
          <w:kern w:val="0"/>
          <w:sz w:val="24"/>
          <w:highlight w:val="none"/>
        </w:rPr>
        <w:t>元，最高为</w:t>
      </w:r>
      <w:r>
        <w:rPr>
          <w:rFonts w:hint="eastAsia"/>
          <w:snapToGrid w:val="0"/>
          <w:color w:val="auto"/>
          <w:kern w:val="0"/>
          <w:sz w:val="24"/>
          <w:highlight w:val="none"/>
          <w:lang w:val="en-US" w:eastAsia="zh-CN"/>
        </w:rPr>
        <w:t>532930.32</w:t>
      </w:r>
      <w:r>
        <w:rPr>
          <w:snapToGrid w:val="0"/>
          <w:color w:val="auto"/>
          <w:kern w:val="0"/>
          <w:sz w:val="24"/>
          <w:highlight w:val="none"/>
        </w:rPr>
        <w:t>元</w:t>
      </w:r>
      <w:r>
        <w:rPr>
          <w:snapToGrid w:val="0"/>
          <w:color w:val="auto"/>
          <w:kern w:val="0"/>
          <w:highlight w:val="none"/>
        </w:rPr>
        <w:t>。</w:t>
      </w:r>
    </w:p>
    <w:p w14:paraId="5B32738F">
      <w:pPr>
        <w:pStyle w:val="4"/>
        <w:bidi w:val="0"/>
        <w:ind w:left="0" w:leftChars="0" w:firstLine="0" w:firstLineChars="0"/>
        <w:rPr>
          <w:rFonts w:hint="eastAsia"/>
          <w:highlight w:val="none"/>
          <w:lang w:val="en-US" w:eastAsia="zh-CN"/>
        </w:rPr>
      </w:pPr>
      <w:bookmarkStart w:id="168" w:name="_Toc28813"/>
      <w:r>
        <w:rPr>
          <w:rFonts w:hint="eastAsia"/>
          <w:highlight w:val="none"/>
          <w:lang w:val="en-US" w:eastAsia="zh-CN"/>
        </w:rPr>
        <w:t>7.4小结</w:t>
      </w:r>
      <w:bookmarkEnd w:id="168"/>
    </w:p>
    <w:p w14:paraId="797B4E23">
      <w:pPr>
        <w:bidi w:val="0"/>
        <w:rPr>
          <w:rFonts w:hint="default"/>
          <w:highlight w:val="none"/>
          <w:lang w:val="en-US" w:eastAsia="zh-CN"/>
        </w:rPr>
      </w:pPr>
      <w:r>
        <w:rPr>
          <w:rFonts w:ascii="Times New Roman" w:hAnsi="Times New Roman"/>
          <w:highlight w:val="none"/>
        </w:rPr>
        <w:t>通过对本项目的经济、社会和环境效益分析可知，在落实本评价提出的各项污染防治措施的前提下，本项目的建设能够达到经济效益、社会效益和环境效益的统一，满足可持续发展的要求，既为地方经济发展做出贡献，又使污染物排放量在环境容量容许的范围内降低到最低。因此本项目的建设从环境经济损益的角度分析是可行的。</w:t>
      </w:r>
    </w:p>
    <w:p w14:paraId="65499339">
      <w:pPr>
        <w:pStyle w:val="23"/>
        <w:rPr>
          <w:rFonts w:hint="default"/>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432272E">
      <w:pPr>
        <w:pStyle w:val="3"/>
        <w:bidi w:val="0"/>
        <w:rPr>
          <w:rFonts w:hint="eastAsia"/>
          <w:highlight w:val="none"/>
          <w:lang w:val="en-US" w:eastAsia="zh-CN"/>
        </w:rPr>
      </w:pPr>
      <w:bookmarkStart w:id="169" w:name="_Toc20291"/>
      <w:r>
        <w:rPr>
          <w:rFonts w:hint="eastAsia"/>
          <w:highlight w:val="none"/>
          <w:lang w:val="en-US" w:eastAsia="zh-CN"/>
        </w:rPr>
        <w:t>8环境管理与监测计划</w:t>
      </w:r>
      <w:bookmarkEnd w:id="169"/>
    </w:p>
    <w:p w14:paraId="628E8F1B">
      <w:pPr>
        <w:pStyle w:val="4"/>
        <w:bidi w:val="0"/>
        <w:ind w:left="0" w:leftChars="0" w:firstLine="0" w:firstLineChars="0"/>
        <w:rPr>
          <w:rFonts w:hint="eastAsia"/>
          <w:highlight w:val="none"/>
          <w:lang w:val="en-US" w:eastAsia="zh-CN"/>
        </w:rPr>
      </w:pPr>
      <w:bookmarkStart w:id="170" w:name="_Toc29583"/>
      <w:r>
        <w:rPr>
          <w:rFonts w:hint="eastAsia"/>
          <w:highlight w:val="none"/>
          <w:lang w:val="en-US" w:eastAsia="zh-CN"/>
        </w:rPr>
        <w:t>8.1环境管理计划</w:t>
      </w:r>
      <w:bookmarkEnd w:id="170"/>
    </w:p>
    <w:p w14:paraId="1CB8CA61">
      <w:pPr>
        <w:ind w:firstLine="480"/>
        <w:rPr>
          <w:rFonts w:ascii="Times New Roman" w:hAnsi="Times New Roman"/>
          <w:highlight w:val="none"/>
        </w:rPr>
      </w:pPr>
      <w:r>
        <w:rPr>
          <w:rFonts w:ascii="Times New Roman" w:hAnsi="Times New Roman"/>
          <w:highlight w:val="none"/>
        </w:rPr>
        <w:t>《中华人民共和国环境保护法》明确指出，我国环境保护的任务是保证在社会主义现代化建设中，合理利用自然资源，防止环境污染和生态破坏，为人民创造清洁适宜的生活和劳动环境，保护人民健康，促进经济发展。为尽可能削减项目运行期对环境造成的不良影响，在采取环保治理工程措施降低建设项目环境影响的同时，必须制定全面的企业环境管理计划，以确保企业环境保护的制度化和系统化，保证企业环保工作持久开展以及企业的持续发展。</w:t>
      </w:r>
    </w:p>
    <w:p w14:paraId="05F70518">
      <w:pPr>
        <w:ind w:firstLine="480"/>
        <w:rPr>
          <w:rFonts w:ascii="Times New Roman" w:hAnsi="Times New Roman"/>
          <w:highlight w:val="none"/>
        </w:rPr>
      </w:pPr>
      <w:r>
        <w:rPr>
          <w:rFonts w:ascii="Times New Roman" w:hAnsi="Times New Roman"/>
          <w:highlight w:val="none"/>
        </w:rPr>
        <w:t>实施环境管理的目的是为了使本项目投产后达到所期望的社会效益、经济效益和环境效益，实现生产目标与环境效益相统一，应通过必要的污染防治及相应的管理手段，严格控制本项目的建设对周围环境产生的不利影响，并使其影响减小到最低程度。</w:t>
      </w:r>
    </w:p>
    <w:p w14:paraId="6B494A7F">
      <w:pPr>
        <w:bidi w:val="0"/>
        <w:rPr>
          <w:rFonts w:ascii="Times New Roman" w:hAnsi="Times New Roman"/>
          <w:highlight w:val="none"/>
        </w:rPr>
      </w:pPr>
      <w:r>
        <w:rPr>
          <w:rFonts w:ascii="Times New Roman" w:hAnsi="Times New Roman"/>
          <w:highlight w:val="none"/>
        </w:rPr>
        <w:t>本项目环境管理依托现有管理系统，该公司现有完善的环境管理机构，并设专人负责环境管理，环境管理制度健全，负责本厂的日常环境监管工作。</w:t>
      </w:r>
    </w:p>
    <w:p w14:paraId="12AB5C74">
      <w:pPr>
        <w:pStyle w:val="5"/>
        <w:bidi w:val="0"/>
        <w:ind w:left="0" w:leftChars="0" w:firstLine="0" w:firstLineChars="0"/>
        <w:rPr>
          <w:rFonts w:hint="eastAsia"/>
          <w:highlight w:val="none"/>
          <w:lang w:val="en-US" w:eastAsia="zh-CN"/>
        </w:rPr>
      </w:pPr>
      <w:bookmarkStart w:id="171" w:name="_Toc23379"/>
      <w:r>
        <w:rPr>
          <w:rFonts w:hint="eastAsia"/>
          <w:highlight w:val="none"/>
          <w:lang w:val="en-US" w:eastAsia="zh-CN"/>
        </w:rPr>
        <w:t>8.1.1环境管理的意义</w:t>
      </w:r>
      <w:bookmarkEnd w:id="171"/>
    </w:p>
    <w:p w14:paraId="44BA7882">
      <w:pPr>
        <w:ind w:firstLine="480"/>
        <w:rPr>
          <w:rFonts w:ascii="Times New Roman" w:hAnsi="Times New Roman"/>
          <w:highlight w:val="none"/>
        </w:rPr>
      </w:pPr>
      <w:r>
        <w:rPr>
          <w:rFonts w:ascii="Times New Roman" w:hAnsi="Times New Roman"/>
          <w:highlight w:val="none"/>
        </w:rPr>
        <w:t>供热企业所耗燃料在一次能源生产总量中占有很大比重，降低供热企业能源消耗，合理利用能源，对促进国民经济的发展有着十分重要的意义。虽然环境管理不像采用先进工艺与设备那样对降低能源消耗有明显的效果，但加强环境管理却可以做到合理利用能源和节约能源，一样可以降低能源消耗。组织良好的环境管理体系不仅能减少企业的污染排放，而且通过污染物的综合治理及回收利用，企业还能得到一定的经济效益。</w:t>
      </w:r>
    </w:p>
    <w:p w14:paraId="1322A099">
      <w:pPr>
        <w:rPr>
          <w:rFonts w:ascii="Times New Roman" w:hAnsi="Times New Roman"/>
          <w:highlight w:val="none"/>
        </w:rPr>
      </w:pPr>
      <w:r>
        <w:rPr>
          <w:rFonts w:ascii="Times New Roman" w:hAnsi="Times New Roman"/>
          <w:highlight w:val="none"/>
        </w:rPr>
        <w:t>就本项目而言，环境管理机构应根据本项目的进展情况对项目施工、安装阶段和项目投产后阶段进行不同的管理。在本项目投产后，所排放的污染物与现有厂区所排放的污染物一致，因此可纳入现有厂区的环境监测与管理体系。</w:t>
      </w:r>
    </w:p>
    <w:p w14:paraId="60C82E17">
      <w:pPr>
        <w:pStyle w:val="5"/>
        <w:bidi w:val="0"/>
        <w:ind w:left="0" w:leftChars="0" w:firstLine="0" w:firstLineChars="0"/>
        <w:rPr>
          <w:rFonts w:ascii="Times New Roman" w:hAnsi="Times New Roman"/>
          <w:highlight w:val="none"/>
        </w:rPr>
      </w:pPr>
      <w:bookmarkStart w:id="172" w:name="_Toc9274"/>
      <w:r>
        <w:rPr>
          <w:rFonts w:hint="eastAsia"/>
          <w:highlight w:val="none"/>
          <w:lang w:val="en-US" w:eastAsia="zh-CN"/>
        </w:rPr>
        <w:t>8.1.2</w:t>
      </w:r>
      <w:r>
        <w:rPr>
          <w:rFonts w:ascii="Times New Roman" w:hAnsi="Times New Roman"/>
          <w:highlight w:val="none"/>
        </w:rPr>
        <w:t>环境管理组织机构</w:t>
      </w:r>
      <w:bookmarkEnd w:id="172"/>
    </w:p>
    <w:p w14:paraId="4FEAD523">
      <w:pPr>
        <w:ind w:firstLine="480"/>
        <w:rPr>
          <w:rFonts w:ascii="Times New Roman" w:hAnsi="Times New Roman"/>
          <w:highlight w:val="none"/>
        </w:rPr>
      </w:pPr>
      <w:r>
        <w:rPr>
          <w:rFonts w:hint="eastAsia" w:ascii="Times New Roman" w:hAnsi="Times New Roman"/>
          <w:highlight w:val="none"/>
          <w:lang w:val="en-US" w:eastAsia="zh-CN"/>
        </w:rPr>
        <w:t>绥芬河市新区供热有限责任公司</w:t>
      </w:r>
      <w:r>
        <w:rPr>
          <w:rFonts w:ascii="Times New Roman" w:hAnsi="Times New Roman"/>
          <w:highlight w:val="none"/>
        </w:rPr>
        <w:t>现有较为完善的环境管理机构及专业管理人员，公司的环境管理机构配备专职环保监测人员，配置环境监测仪器，进行日常的环境监测工作。使环境管理很好的贯穿于热源厂管理体系的整个过程中，并落实到热源厂管理的各个层次，分解到热源厂科、室的各个环节，把热源厂管理与环境管理紧密的结合起来，不但要建立完善的热源厂管理体系和各种规章制度，也要建立完善的环境管理体系，使热源厂的环境管理工作真正落到实处。</w:t>
      </w:r>
    </w:p>
    <w:p w14:paraId="7481F4E4">
      <w:pPr>
        <w:pStyle w:val="5"/>
        <w:bidi w:val="0"/>
        <w:ind w:left="0" w:leftChars="0" w:firstLine="0" w:firstLineChars="0"/>
        <w:rPr>
          <w:rFonts w:hint="eastAsia"/>
          <w:highlight w:val="none"/>
          <w:lang w:val="en-US" w:eastAsia="zh-CN"/>
        </w:rPr>
      </w:pPr>
      <w:bookmarkStart w:id="173" w:name="_Toc3677"/>
      <w:r>
        <w:rPr>
          <w:rFonts w:hint="eastAsia"/>
          <w:highlight w:val="none"/>
          <w:lang w:val="en-US" w:eastAsia="zh-CN"/>
        </w:rPr>
        <w:t>8.1.3环境管理职责</w:t>
      </w:r>
      <w:bookmarkEnd w:id="173"/>
    </w:p>
    <w:p w14:paraId="65946669">
      <w:pPr>
        <w:ind w:firstLine="480"/>
        <w:rPr>
          <w:rFonts w:ascii="Times New Roman" w:hAnsi="Times New Roman"/>
          <w:highlight w:val="none"/>
        </w:rPr>
      </w:pPr>
      <w:r>
        <w:rPr>
          <w:rFonts w:ascii="Times New Roman" w:hAnsi="Times New Roman"/>
          <w:highlight w:val="none"/>
        </w:rPr>
        <w:t>（1）本项目的建设在环境管理上应严格执行防治污染与主体项目同时设计、同时施工、同时投产的“三同时”制度。在项目正式投产前，必须向负责审批的环境保护管理部门提交环境保护设施竣工验收报告，说明环境保护设施运行的情况，治理的效果，达到的标准，经环境保护主管部门验收合格后方可正式投入生产。</w:t>
      </w:r>
    </w:p>
    <w:p w14:paraId="2A680A7B">
      <w:pPr>
        <w:ind w:firstLine="480"/>
        <w:rPr>
          <w:rFonts w:ascii="Times New Roman" w:hAnsi="Times New Roman"/>
          <w:highlight w:val="none"/>
        </w:rPr>
      </w:pPr>
      <w:r>
        <w:rPr>
          <w:rFonts w:ascii="Times New Roman" w:hAnsi="Times New Roman"/>
          <w:highlight w:val="none"/>
        </w:rPr>
        <w:t>（2）将本项目环境管理内容纳入到公司的环境保护管理规章制度并监督执行，以清洁生产为主导，把环境管理贯穿到工厂经营管理整个过程并落实到工厂的各个层次，分解到生产过程的各个环节，与生产管理紧密地结合起来。</w:t>
      </w:r>
    </w:p>
    <w:p w14:paraId="7CAAC05F">
      <w:pPr>
        <w:ind w:firstLine="480"/>
        <w:rPr>
          <w:rFonts w:ascii="Times New Roman" w:hAnsi="Times New Roman"/>
          <w:highlight w:val="none"/>
        </w:rPr>
      </w:pPr>
      <w:r>
        <w:rPr>
          <w:rFonts w:ascii="Times New Roman" w:hAnsi="Times New Roman"/>
          <w:highlight w:val="none"/>
        </w:rPr>
        <w:t>（3）监督并保证本项目所排废气、废水、噪声及固体废物防治措施的落实及正常运行，治理后的各类污染物的排放必须达到本报告书所规定的国家或地方标准。委托有资质的监测部门进行定期监测本厂外排各类污染物排放浓度及排放量，编制本单位污染物排放的日报表、月报表和年报表，并及时上报给上级环境管理部门。</w:t>
      </w:r>
    </w:p>
    <w:p w14:paraId="00F3C1BA">
      <w:pPr>
        <w:ind w:firstLine="480"/>
        <w:rPr>
          <w:rFonts w:ascii="Times New Roman" w:hAnsi="Times New Roman"/>
          <w:highlight w:val="none"/>
        </w:rPr>
      </w:pPr>
      <w:r>
        <w:rPr>
          <w:rFonts w:ascii="Times New Roman" w:hAnsi="Times New Roman"/>
          <w:highlight w:val="none"/>
        </w:rPr>
        <w:t>（4）组织建立企业清洁生产审核小组，不断开展企业内部的清洁生产审核，进行全厂职工的清洁生产宣传和培训，让每位员工了解清洁生产，并贯彻落实到实际工作中，发动职工寻找清洁生产机会，提出清洁生产方案并动态地实施。</w:t>
      </w:r>
    </w:p>
    <w:p w14:paraId="378D8943">
      <w:pPr>
        <w:ind w:firstLine="480"/>
        <w:rPr>
          <w:rFonts w:ascii="Times New Roman" w:hAnsi="Times New Roman"/>
          <w:highlight w:val="none"/>
        </w:rPr>
      </w:pPr>
      <w:r>
        <w:rPr>
          <w:rFonts w:ascii="Times New Roman" w:hAnsi="Times New Roman"/>
          <w:highlight w:val="none"/>
        </w:rPr>
        <w:t>（5）加强信息系统建设，建立计算机辅助管理系统，建立全厂污染源、污染物、治理措施、治理效果、污染物排放浓度及总量、事故等数据库，与厂内生产车间、污染物处理部门、其它管理部门建立良好的信息通道，与环境保护主管部门加强沟通，公布本单位可资源化废物的产生量，以便寻找更好的综合利用途径。协调好发展生产与保护环境的关系，使生产目标与环境效益相统一，达到经济效益与环境效益相兼顾的目的。</w:t>
      </w:r>
    </w:p>
    <w:p w14:paraId="248EA58A">
      <w:pPr>
        <w:rPr>
          <w:rFonts w:ascii="Times New Roman" w:hAnsi="Times New Roman"/>
          <w:highlight w:val="none"/>
        </w:rPr>
      </w:pPr>
      <w:r>
        <w:rPr>
          <w:rFonts w:ascii="Times New Roman" w:hAnsi="Times New Roman"/>
          <w:highlight w:val="none"/>
        </w:rPr>
        <w:t>（6）向社会主动公开企业各类污染物达标排放情况。</w:t>
      </w:r>
    </w:p>
    <w:p w14:paraId="0949B32C">
      <w:pPr>
        <w:pStyle w:val="5"/>
        <w:bidi w:val="0"/>
        <w:ind w:left="0" w:leftChars="0" w:firstLine="0" w:firstLineChars="0"/>
        <w:rPr>
          <w:rFonts w:hint="eastAsia"/>
          <w:highlight w:val="none"/>
          <w:lang w:val="en-US" w:eastAsia="zh-CN"/>
        </w:rPr>
      </w:pPr>
      <w:bookmarkStart w:id="174" w:name="_Toc28956"/>
      <w:r>
        <w:rPr>
          <w:rFonts w:hint="eastAsia"/>
          <w:highlight w:val="none"/>
          <w:lang w:val="en-US" w:eastAsia="zh-CN"/>
        </w:rPr>
        <w:t>8.1.4环境管理内容</w:t>
      </w:r>
      <w:bookmarkEnd w:id="174"/>
    </w:p>
    <w:p w14:paraId="1F246D3E">
      <w:pPr>
        <w:ind w:firstLine="480"/>
        <w:rPr>
          <w:rFonts w:ascii="Times New Roman" w:hAnsi="Times New Roman"/>
          <w:highlight w:val="none"/>
        </w:rPr>
      </w:pPr>
      <w:r>
        <w:rPr>
          <w:rFonts w:ascii="Times New Roman" w:hAnsi="Times New Roman"/>
          <w:highlight w:val="none"/>
        </w:rPr>
        <w:t>环境管理的内容如下：</w:t>
      </w:r>
    </w:p>
    <w:p w14:paraId="1ADE4380">
      <w:pPr>
        <w:ind w:firstLine="480"/>
        <w:rPr>
          <w:rFonts w:ascii="Times New Roman" w:hAnsi="Times New Roman"/>
          <w:highlight w:val="none"/>
        </w:rPr>
      </w:pPr>
      <w:r>
        <w:rPr>
          <w:rFonts w:ascii="Times New Roman" w:hAnsi="Times New Roman"/>
          <w:highlight w:val="none"/>
        </w:rPr>
        <w:t>（1）按环境保护行政主管部门有关规定与环保要求，搞好厂区的环境管理，实施厂、车间、工段的三级管理体制。全体职工参与，隐患自除，责任自负，避免对周边环境的影响。</w:t>
      </w:r>
    </w:p>
    <w:p w14:paraId="7089C102">
      <w:pPr>
        <w:ind w:firstLine="480"/>
        <w:rPr>
          <w:rFonts w:ascii="Times New Roman" w:hAnsi="Times New Roman"/>
          <w:highlight w:val="none"/>
        </w:rPr>
      </w:pPr>
      <w:r>
        <w:rPr>
          <w:rFonts w:ascii="Times New Roman" w:hAnsi="Times New Roman"/>
          <w:highlight w:val="none"/>
        </w:rPr>
        <w:t>（2）加大力度提高全体职工的环保意识，对重要装置在岗职工进行技术培训的同时，还应对其进行有关的环保法、环保事故发生后的应急措施等方面的培训，努力做到持证上岗，完善自身管理。</w:t>
      </w:r>
    </w:p>
    <w:p w14:paraId="157D7850">
      <w:pPr>
        <w:rPr>
          <w:rFonts w:ascii="Times New Roman" w:hAnsi="Times New Roman"/>
          <w:highlight w:val="none"/>
        </w:rPr>
      </w:pPr>
      <w:r>
        <w:rPr>
          <w:rFonts w:ascii="Times New Roman" w:hAnsi="Times New Roman"/>
          <w:highlight w:val="none"/>
        </w:rPr>
        <w:t>（3）加强环境管理，制定与环保有关的完善的规章制度，切实落到实处。根据本工程的废气、废水、废渣及噪声等产污环节，环保人员负责每日的环境保护工作的检查和管理。</w:t>
      </w:r>
    </w:p>
    <w:p w14:paraId="17A3C95D">
      <w:pPr>
        <w:pStyle w:val="5"/>
        <w:bidi w:val="0"/>
        <w:ind w:left="0" w:leftChars="0" w:firstLine="0" w:firstLineChars="0"/>
        <w:rPr>
          <w:rFonts w:hint="eastAsia"/>
          <w:highlight w:val="none"/>
          <w:lang w:val="en-US" w:eastAsia="zh-CN"/>
        </w:rPr>
      </w:pPr>
      <w:bookmarkStart w:id="175" w:name="_Toc22104"/>
      <w:r>
        <w:rPr>
          <w:rFonts w:hint="eastAsia"/>
          <w:highlight w:val="none"/>
          <w:lang w:val="en-US" w:eastAsia="zh-CN"/>
        </w:rPr>
        <w:t>8.1.5污染物排放清单</w:t>
      </w:r>
      <w:bookmarkEnd w:id="175"/>
    </w:p>
    <w:p w14:paraId="1CC9678C">
      <w:pPr>
        <w:ind w:firstLine="480"/>
        <w:rPr>
          <w:rFonts w:ascii="Times New Roman" w:hAnsi="Times New Roman"/>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ascii="Times New Roman" w:hAnsi="Times New Roman"/>
          <w:highlight w:val="none"/>
        </w:rPr>
        <w:t>本项目的建设内容是建设</w:t>
      </w:r>
      <w:r>
        <w:rPr>
          <w:rFonts w:hint="eastAsia" w:ascii="Times New Roman" w:hAnsi="Times New Roman"/>
          <w:highlight w:val="none"/>
          <w:lang w:val="en-US" w:eastAsia="zh-CN"/>
        </w:rPr>
        <w:t>建设</w:t>
      </w:r>
      <w:r>
        <w:rPr>
          <w:rFonts w:hint="eastAsia"/>
          <w:highlight w:val="none"/>
          <w:lang w:val="en-US" w:eastAsia="zh-CN"/>
        </w:rPr>
        <w:t>116MW+</w:t>
      </w:r>
      <w:r>
        <w:rPr>
          <w:rFonts w:hint="default"/>
          <w:highlight w:val="none"/>
          <w:lang w:val="en-US" w:eastAsia="zh-CN"/>
        </w:rPr>
        <w:t>58</w:t>
      </w:r>
      <w:r>
        <w:rPr>
          <w:rFonts w:hint="eastAsia"/>
          <w:highlight w:val="none"/>
          <w:lang w:val="en-US" w:eastAsia="zh-CN"/>
        </w:rPr>
        <w:t>MW热水锅炉和1台35t/h蒸汽锅炉</w:t>
      </w:r>
      <w:r>
        <w:rPr>
          <w:rFonts w:ascii="Times New Roman" w:hAnsi="Times New Roman"/>
          <w:highlight w:val="none"/>
        </w:rPr>
        <w:t>，项目运行期产生废气、废水、噪声及固废，根据项目特点，其污染物排放清单见表8.1-1。</w:t>
      </w:r>
    </w:p>
    <w:p w14:paraId="7B8A2A6A">
      <w:pPr>
        <w:ind w:firstLine="0" w:firstLineChars="0"/>
        <w:jc w:val="center"/>
        <w:rPr>
          <w:rFonts w:hint="eastAsia" w:ascii="Times New Roman" w:hAnsi="Times New Roman"/>
          <w:highlight w:val="none"/>
        </w:rPr>
      </w:pPr>
      <w:r>
        <w:rPr>
          <w:rFonts w:hint="eastAsia" w:ascii="黑体" w:hAnsi="黑体" w:eastAsia="黑体" w:cs="黑体"/>
          <w:highlight w:val="none"/>
        </w:rPr>
        <w:t>表</w:t>
      </w:r>
      <w:r>
        <w:rPr>
          <w:rFonts w:ascii="Times New Roman" w:hAnsi="Times New Roman"/>
          <w:highlight w:val="none"/>
        </w:rPr>
        <w:t>8.1-1</w:t>
      </w:r>
      <w:r>
        <w:rPr>
          <w:rFonts w:hint="eastAsia" w:ascii="黑体" w:hAnsi="黑体" w:eastAsia="黑体" w:cs="黑体"/>
          <w:highlight w:val="none"/>
        </w:rPr>
        <w:t>本项目污染物排放清单</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26"/>
        <w:gridCol w:w="1236"/>
        <w:gridCol w:w="1105"/>
        <w:gridCol w:w="675"/>
        <w:gridCol w:w="179"/>
        <w:gridCol w:w="457"/>
        <w:gridCol w:w="406"/>
        <w:gridCol w:w="919"/>
        <w:gridCol w:w="2953"/>
        <w:gridCol w:w="5818"/>
      </w:tblGrid>
      <w:tr w14:paraId="0F8569C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0" w:type="pct"/>
            <w:vMerge w:val="restart"/>
            <w:noWrap w:val="0"/>
            <w:vAlign w:val="center"/>
          </w:tcPr>
          <w:p w14:paraId="0C8EFEED">
            <w:pPr>
              <w:pStyle w:val="27"/>
              <w:rPr>
                <w:rFonts w:ascii="Times New Roman" w:hAnsi="Times New Roman" w:eastAsia="宋体"/>
                <w:highlight w:val="none"/>
              </w:rPr>
            </w:pPr>
            <w:r>
              <w:rPr>
                <w:rFonts w:ascii="Times New Roman" w:hAnsi="Times New Roman" w:eastAsia="宋体"/>
                <w:highlight w:val="none"/>
              </w:rPr>
              <w:t>类别</w:t>
            </w:r>
          </w:p>
        </w:tc>
        <w:tc>
          <w:tcPr>
            <w:tcW w:w="436" w:type="pct"/>
            <w:vMerge w:val="restart"/>
            <w:noWrap w:val="0"/>
            <w:vAlign w:val="center"/>
          </w:tcPr>
          <w:p w14:paraId="04877600">
            <w:pPr>
              <w:pStyle w:val="27"/>
              <w:rPr>
                <w:rFonts w:ascii="Times New Roman" w:hAnsi="Times New Roman" w:eastAsia="宋体"/>
                <w:highlight w:val="none"/>
              </w:rPr>
            </w:pPr>
            <w:r>
              <w:rPr>
                <w:rFonts w:ascii="Times New Roman" w:hAnsi="Times New Roman" w:eastAsia="宋体"/>
                <w:highlight w:val="none"/>
              </w:rPr>
              <w:t>污染源</w:t>
            </w:r>
          </w:p>
        </w:tc>
        <w:tc>
          <w:tcPr>
            <w:tcW w:w="390" w:type="pct"/>
            <w:vMerge w:val="restart"/>
            <w:noWrap w:val="0"/>
            <w:vAlign w:val="center"/>
          </w:tcPr>
          <w:p w14:paraId="54526B9B">
            <w:pPr>
              <w:pStyle w:val="27"/>
              <w:rPr>
                <w:rFonts w:ascii="Times New Roman" w:hAnsi="Times New Roman" w:eastAsia="宋体"/>
                <w:highlight w:val="none"/>
              </w:rPr>
            </w:pPr>
            <w:r>
              <w:rPr>
                <w:rFonts w:ascii="Times New Roman" w:hAnsi="Times New Roman" w:eastAsia="宋体"/>
                <w:highlight w:val="none"/>
              </w:rPr>
              <w:t>污染物</w:t>
            </w:r>
          </w:p>
        </w:tc>
        <w:tc>
          <w:tcPr>
            <w:tcW w:w="929" w:type="pct"/>
            <w:gridSpan w:val="5"/>
            <w:noWrap w:val="0"/>
            <w:vAlign w:val="center"/>
          </w:tcPr>
          <w:p w14:paraId="2B4BE0C9">
            <w:pPr>
              <w:pStyle w:val="27"/>
              <w:rPr>
                <w:rFonts w:ascii="Times New Roman" w:hAnsi="Times New Roman" w:eastAsia="宋体"/>
                <w:highlight w:val="none"/>
              </w:rPr>
            </w:pPr>
            <w:r>
              <w:rPr>
                <w:rFonts w:ascii="Times New Roman" w:hAnsi="Times New Roman" w:eastAsia="宋体"/>
                <w:highlight w:val="none"/>
              </w:rPr>
              <w:t>排放情况</w:t>
            </w:r>
          </w:p>
        </w:tc>
        <w:tc>
          <w:tcPr>
            <w:tcW w:w="1040" w:type="pct"/>
            <w:vMerge w:val="restart"/>
            <w:noWrap w:val="0"/>
            <w:vAlign w:val="center"/>
          </w:tcPr>
          <w:p w14:paraId="387F032D">
            <w:pPr>
              <w:pStyle w:val="27"/>
              <w:rPr>
                <w:rFonts w:ascii="Times New Roman" w:hAnsi="Times New Roman" w:eastAsia="宋体"/>
                <w:highlight w:val="none"/>
              </w:rPr>
            </w:pPr>
            <w:r>
              <w:rPr>
                <w:rFonts w:ascii="Times New Roman" w:hAnsi="Times New Roman" w:eastAsia="宋体"/>
                <w:highlight w:val="none"/>
              </w:rPr>
              <w:t>环保措施</w:t>
            </w:r>
          </w:p>
        </w:tc>
        <w:tc>
          <w:tcPr>
            <w:tcW w:w="2051" w:type="pct"/>
            <w:vMerge w:val="restart"/>
            <w:noWrap w:val="0"/>
            <w:vAlign w:val="center"/>
          </w:tcPr>
          <w:p w14:paraId="24B838DC">
            <w:pPr>
              <w:pStyle w:val="27"/>
              <w:rPr>
                <w:rFonts w:ascii="Times New Roman" w:hAnsi="Times New Roman" w:eastAsia="宋体"/>
                <w:highlight w:val="none"/>
              </w:rPr>
            </w:pPr>
            <w:r>
              <w:rPr>
                <w:rFonts w:ascii="Times New Roman" w:hAnsi="Times New Roman" w:eastAsia="宋体"/>
                <w:highlight w:val="none"/>
              </w:rPr>
              <w:t>执行排放标准</w:t>
            </w:r>
          </w:p>
        </w:tc>
      </w:tr>
      <w:tr w14:paraId="053051C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49" w:hRule="atLeast"/>
          <w:jc w:val="center"/>
        </w:trPr>
        <w:tc>
          <w:tcPr>
            <w:tcW w:w="150" w:type="pct"/>
            <w:vMerge w:val="continue"/>
            <w:noWrap w:val="0"/>
            <w:vAlign w:val="center"/>
          </w:tcPr>
          <w:p w14:paraId="5DE664C0">
            <w:pPr>
              <w:pStyle w:val="27"/>
              <w:rPr>
                <w:rFonts w:ascii="Times New Roman" w:hAnsi="Times New Roman" w:eastAsia="宋体"/>
                <w:highlight w:val="none"/>
              </w:rPr>
            </w:pPr>
          </w:p>
        </w:tc>
        <w:tc>
          <w:tcPr>
            <w:tcW w:w="436" w:type="pct"/>
            <w:vMerge w:val="continue"/>
            <w:noWrap w:val="0"/>
            <w:vAlign w:val="center"/>
          </w:tcPr>
          <w:p w14:paraId="40147A4E">
            <w:pPr>
              <w:pStyle w:val="27"/>
              <w:rPr>
                <w:rFonts w:ascii="Times New Roman" w:hAnsi="Times New Roman" w:eastAsia="宋体"/>
                <w:highlight w:val="none"/>
              </w:rPr>
            </w:pPr>
          </w:p>
        </w:tc>
        <w:tc>
          <w:tcPr>
            <w:tcW w:w="390" w:type="pct"/>
            <w:vMerge w:val="continue"/>
            <w:noWrap w:val="0"/>
            <w:vAlign w:val="center"/>
          </w:tcPr>
          <w:p w14:paraId="0A84A82F">
            <w:pPr>
              <w:pStyle w:val="27"/>
              <w:rPr>
                <w:rFonts w:ascii="Times New Roman" w:hAnsi="Times New Roman" w:eastAsia="宋体"/>
                <w:highlight w:val="none"/>
              </w:rPr>
            </w:pPr>
          </w:p>
        </w:tc>
        <w:tc>
          <w:tcPr>
            <w:tcW w:w="301" w:type="pct"/>
            <w:gridSpan w:val="2"/>
            <w:noWrap w:val="0"/>
            <w:vAlign w:val="center"/>
          </w:tcPr>
          <w:p w14:paraId="01F6326A">
            <w:pPr>
              <w:pStyle w:val="27"/>
              <w:rPr>
                <w:rFonts w:ascii="Times New Roman" w:hAnsi="Times New Roman" w:eastAsia="宋体"/>
                <w:highlight w:val="none"/>
              </w:rPr>
            </w:pPr>
            <w:r>
              <w:rPr>
                <w:rFonts w:ascii="Times New Roman" w:hAnsi="Times New Roman" w:eastAsia="宋体"/>
                <w:highlight w:val="none"/>
              </w:rPr>
              <w:t>去除效率%</w:t>
            </w:r>
          </w:p>
        </w:tc>
        <w:tc>
          <w:tcPr>
            <w:tcW w:w="304" w:type="pct"/>
            <w:gridSpan w:val="2"/>
            <w:noWrap w:val="0"/>
            <w:vAlign w:val="center"/>
          </w:tcPr>
          <w:p w14:paraId="1CDBBEF9">
            <w:pPr>
              <w:pStyle w:val="27"/>
              <w:rPr>
                <w:rFonts w:ascii="Times New Roman" w:hAnsi="Times New Roman" w:eastAsia="宋体"/>
                <w:highlight w:val="none"/>
              </w:rPr>
            </w:pPr>
            <w:r>
              <w:rPr>
                <w:rFonts w:ascii="Times New Roman" w:hAnsi="Times New Roman" w:eastAsia="宋体"/>
                <w:highlight w:val="none"/>
              </w:rPr>
              <w:t>排放浓度</w:t>
            </w:r>
          </w:p>
          <w:p w14:paraId="1801FA40">
            <w:pPr>
              <w:pStyle w:val="27"/>
              <w:rPr>
                <w:rFonts w:ascii="Times New Roman" w:hAnsi="Times New Roman" w:eastAsia="宋体"/>
                <w:highlight w:val="none"/>
              </w:rPr>
            </w:pPr>
            <w:r>
              <w:rPr>
                <w:rFonts w:ascii="Times New Roman" w:hAnsi="Times New Roman" w:eastAsia="宋体"/>
                <w:highlight w:val="none"/>
              </w:rPr>
              <w:t>mg/m</w:t>
            </w:r>
            <w:r>
              <w:rPr>
                <w:rFonts w:ascii="Times New Roman" w:hAnsi="Times New Roman" w:eastAsia="宋体"/>
                <w:highlight w:val="none"/>
                <w:vertAlign w:val="superscript"/>
              </w:rPr>
              <w:t>3</w:t>
            </w:r>
          </w:p>
        </w:tc>
        <w:tc>
          <w:tcPr>
            <w:tcW w:w="324" w:type="pct"/>
            <w:noWrap w:val="0"/>
            <w:vAlign w:val="center"/>
          </w:tcPr>
          <w:p w14:paraId="534FB5E4">
            <w:pPr>
              <w:pStyle w:val="27"/>
              <w:rPr>
                <w:rFonts w:ascii="Times New Roman" w:hAnsi="Times New Roman" w:eastAsia="宋体"/>
                <w:highlight w:val="none"/>
              </w:rPr>
            </w:pPr>
            <w:r>
              <w:rPr>
                <w:rFonts w:ascii="Times New Roman" w:hAnsi="Times New Roman" w:eastAsia="宋体"/>
                <w:highlight w:val="none"/>
              </w:rPr>
              <w:t>排放量</w:t>
            </w:r>
          </w:p>
          <w:p w14:paraId="11EC87A2">
            <w:pPr>
              <w:pStyle w:val="27"/>
              <w:rPr>
                <w:rFonts w:ascii="Times New Roman" w:hAnsi="Times New Roman" w:eastAsia="宋体"/>
                <w:highlight w:val="none"/>
              </w:rPr>
            </w:pPr>
            <w:r>
              <w:rPr>
                <w:rFonts w:ascii="Times New Roman" w:hAnsi="Times New Roman" w:eastAsia="宋体"/>
                <w:highlight w:val="none"/>
              </w:rPr>
              <w:t>t/a</w:t>
            </w:r>
          </w:p>
        </w:tc>
        <w:tc>
          <w:tcPr>
            <w:tcW w:w="1040" w:type="pct"/>
            <w:vMerge w:val="continue"/>
            <w:noWrap w:val="0"/>
            <w:vAlign w:val="center"/>
          </w:tcPr>
          <w:p w14:paraId="3A3191F3">
            <w:pPr>
              <w:pStyle w:val="27"/>
              <w:rPr>
                <w:rFonts w:ascii="Times New Roman" w:hAnsi="Times New Roman" w:eastAsia="宋体"/>
                <w:highlight w:val="none"/>
              </w:rPr>
            </w:pPr>
          </w:p>
        </w:tc>
        <w:tc>
          <w:tcPr>
            <w:tcW w:w="2051" w:type="pct"/>
            <w:vMerge w:val="continue"/>
            <w:noWrap w:val="0"/>
            <w:vAlign w:val="center"/>
          </w:tcPr>
          <w:p w14:paraId="4E6EC965">
            <w:pPr>
              <w:pStyle w:val="27"/>
              <w:rPr>
                <w:rFonts w:ascii="Times New Roman" w:hAnsi="Times New Roman" w:eastAsia="宋体"/>
                <w:highlight w:val="none"/>
              </w:rPr>
            </w:pPr>
          </w:p>
        </w:tc>
      </w:tr>
      <w:tr w14:paraId="6796BF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5" w:hRule="atLeast"/>
          <w:jc w:val="center"/>
        </w:trPr>
        <w:tc>
          <w:tcPr>
            <w:tcW w:w="150" w:type="pct"/>
            <w:vMerge w:val="restart"/>
            <w:noWrap w:val="0"/>
            <w:vAlign w:val="center"/>
          </w:tcPr>
          <w:p w14:paraId="346712C2">
            <w:pPr>
              <w:pStyle w:val="27"/>
              <w:rPr>
                <w:rFonts w:ascii="Times New Roman" w:hAnsi="Times New Roman" w:eastAsia="宋体"/>
                <w:highlight w:val="none"/>
              </w:rPr>
            </w:pPr>
            <w:r>
              <w:rPr>
                <w:rFonts w:ascii="Times New Roman" w:hAnsi="Times New Roman" w:eastAsia="宋体"/>
                <w:highlight w:val="none"/>
              </w:rPr>
              <w:t>废气</w:t>
            </w:r>
          </w:p>
        </w:tc>
        <w:tc>
          <w:tcPr>
            <w:tcW w:w="436" w:type="pct"/>
            <w:vMerge w:val="restart"/>
            <w:noWrap w:val="0"/>
            <w:vAlign w:val="center"/>
          </w:tcPr>
          <w:p w14:paraId="59477DE5">
            <w:pPr>
              <w:pStyle w:val="27"/>
              <w:rPr>
                <w:rFonts w:ascii="Times New Roman" w:hAnsi="Times New Roman" w:eastAsia="宋体"/>
                <w:highlight w:val="none"/>
              </w:rPr>
            </w:pPr>
            <w:r>
              <w:rPr>
                <w:rFonts w:ascii="Times New Roman" w:hAnsi="Times New Roman" w:eastAsia="宋体"/>
                <w:highlight w:val="none"/>
              </w:rPr>
              <w:t>烟囱</w:t>
            </w:r>
          </w:p>
        </w:tc>
        <w:tc>
          <w:tcPr>
            <w:tcW w:w="390" w:type="pct"/>
            <w:noWrap w:val="0"/>
            <w:vAlign w:val="center"/>
          </w:tcPr>
          <w:p w14:paraId="1808E9D1">
            <w:pPr>
              <w:pStyle w:val="27"/>
              <w:rPr>
                <w:rFonts w:ascii="Times New Roman" w:hAnsi="Times New Roman" w:eastAsia="宋体"/>
                <w:highlight w:val="none"/>
              </w:rPr>
            </w:pPr>
            <w:r>
              <w:rPr>
                <w:rFonts w:ascii="Times New Roman" w:hAnsi="Times New Roman" w:eastAsia="宋体"/>
                <w:highlight w:val="none"/>
              </w:rPr>
              <w:t>烟尘</w:t>
            </w:r>
          </w:p>
        </w:tc>
        <w:tc>
          <w:tcPr>
            <w:tcW w:w="301" w:type="pct"/>
            <w:gridSpan w:val="2"/>
            <w:noWrap w:val="0"/>
            <w:vAlign w:val="center"/>
          </w:tcPr>
          <w:p w14:paraId="2A7A590A">
            <w:pPr>
              <w:pStyle w:val="27"/>
              <w:rPr>
                <w:rFonts w:ascii="Times New Roman" w:hAnsi="Times New Roman" w:eastAsia="宋体"/>
                <w:highlight w:val="none"/>
              </w:rPr>
            </w:pPr>
            <w:r>
              <w:rPr>
                <w:rFonts w:ascii="Times New Roman" w:hAnsi="Times New Roman" w:eastAsia="宋体"/>
                <w:highlight w:val="none"/>
              </w:rPr>
              <w:t>99.96</w:t>
            </w:r>
          </w:p>
        </w:tc>
        <w:tc>
          <w:tcPr>
            <w:tcW w:w="304" w:type="pct"/>
            <w:gridSpan w:val="2"/>
            <w:noWrap w:val="0"/>
            <w:vAlign w:val="center"/>
          </w:tcPr>
          <w:p w14:paraId="64996C88">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3.23</w:t>
            </w:r>
          </w:p>
        </w:tc>
        <w:tc>
          <w:tcPr>
            <w:tcW w:w="324" w:type="pct"/>
            <w:noWrap w:val="0"/>
            <w:vAlign w:val="center"/>
          </w:tcPr>
          <w:p w14:paraId="2BE2E8BA">
            <w:pPr>
              <w:spacing w:line="240" w:lineRule="auto"/>
              <w:ind w:firstLine="0" w:firstLineChars="0"/>
              <w:jc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2.39</w:t>
            </w:r>
          </w:p>
        </w:tc>
        <w:tc>
          <w:tcPr>
            <w:tcW w:w="1040" w:type="pct"/>
            <w:vMerge w:val="restart"/>
            <w:noWrap w:val="0"/>
            <w:vAlign w:val="center"/>
          </w:tcPr>
          <w:p w14:paraId="58A2593E">
            <w:pPr>
              <w:pStyle w:val="27"/>
              <w:rPr>
                <w:rFonts w:ascii="Times New Roman" w:hAnsi="Times New Roman" w:eastAsia="宋体"/>
                <w:highlight w:val="none"/>
              </w:rPr>
            </w:pPr>
            <w:r>
              <w:rPr>
                <w:rFonts w:ascii="Times New Roman" w:hAnsi="Times New Roman" w:eastAsia="宋体"/>
                <w:highlight w:val="none"/>
              </w:rPr>
              <w:t>采用循环流化床低氮燃烧技术以及SNCR-SCR法脱硝+石灰石/石膏脱硫工艺+布袋除尘器法对锅炉烟气进行净化处理，通过</w:t>
            </w:r>
            <w:r>
              <w:rPr>
                <w:rFonts w:hint="eastAsia" w:ascii="Times New Roman" w:hAnsi="Times New Roman" w:eastAsia="宋体"/>
                <w:highlight w:val="none"/>
                <w:lang w:val="en-US" w:eastAsia="zh-CN"/>
              </w:rPr>
              <w:t>60</w:t>
            </w:r>
            <w:r>
              <w:rPr>
                <w:rFonts w:ascii="Times New Roman" w:hAnsi="Times New Roman" w:eastAsia="宋体"/>
                <w:highlight w:val="none"/>
              </w:rPr>
              <w:t>m高烟囱排放锅炉烟气</w:t>
            </w:r>
          </w:p>
        </w:tc>
        <w:tc>
          <w:tcPr>
            <w:tcW w:w="2051" w:type="pct"/>
            <w:vMerge w:val="restart"/>
            <w:noWrap w:val="0"/>
            <w:vAlign w:val="center"/>
          </w:tcPr>
          <w:p w14:paraId="6D98577C">
            <w:pPr>
              <w:pStyle w:val="27"/>
              <w:rPr>
                <w:rFonts w:ascii="Times New Roman" w:hAnsi="Times New Roman" w:eastAsia="宋体"/>
                <w:highlight w:val="none"/>
              </w:rPr>
            </w:pPr>
            <w:r>
              <w:rPr>
                <w:rFonts w:ascii="Times New Roman" w:hAnsi="Times New Roman" w:eastAsia="宋体"/>
                <w:highlight w:val="none"/>
              </w:rPr>
              <w:t>烟尘排放浓度≤10mg/m</w:t>
            </w:r>
            <w:r>
              <w:rPr>
                <w:rFonts w:ascii="Times New Roman" w:hAnsi="Times New Roman" w:eastAsia="宋体"/>
                <w:highlight w:val="none"/>
                <w:vertAlign w:val="superscript"/>
              </w:rPr>
              <w:t>3</w:t>
            </w:r>
            <w:r>
              <w:rPr>
                <w:rFonts w:ascii="Times New Roman" w:hAnsi="Times New Roman" w:eastAsia="宋体"/>
                <w:highlight w:val="none"/>
              </w:rPr>
              <w:t>、SO</w:t>
            </w:r>
            <w:r>
              <w:rPr>
                <w:rFonts w:ascii="Times New Roman" w:hAnsi="Times New Roman" w:eastAsia="宋体"/>
                <w:highlight w:val="none"/>
                <w:vertAlign w:val="subscript"/>
              </w:rPr>
              <w:t xml:space="preserve">2 </w:t>
            </w:r>
            <w:r>
              <w:rPr>
                <w:rFonts w:ascii="Times New Roman" w:hAnsi="Times New Roman" w:eastAsia="宋体"/>
                <w:highlight w:val="none"/>
              </w:rPr>
              <w:t>排放浓度≤35mg/m</w:t>
            </w:r>
            <w:r>
              <w:rPr>
                <w:rFonts w:ascii="Times New Roman" w:hAnsi="Times New Roman" w:eastAsia="宋体"/>
                <w:highlight w:val="none"/>
                <w:vertAlign w:val="superscript"/>
              </w:rPr>
              <w:t>3</w:t>
            </w:r>
            <w:r>
              <w:rPr>
                <w:rFonts w:ascii="Times New Roman" w:hAnsi="Times New Roman" w:eastAsia="宋体"/>
                <w:highlight w:val="none"/>
              </w:rPr>
              <w:t>、NOx 排放浓≤50mg/m</w:t>
            </w:r>
            <w:r>
              <w:rPr>
                <w:rFonts w:ascii="Times New Roman" w:hAnsi="Times New Roman" w:eastAsia="宋体"/>
                <w:highlight w:val="none"/>
                <w:vertAlign w:val="superscript"/>
              </w:rPr>
              <w:t>3</w:t>
            </w:r>
          </w:p>
        </w:tc>
      </w:tr>
      <w:tr w14:paraId="600FAD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0" w:type="pct"/>
            <w:vMerge w:val="continue"/>
            <w:noWrap w:val="0"/>
            <w:vAlign w:val="center"/>
          </w:tcPr>
          <w:p w14:paraId="258A12D5">
            <w:pPr>
              <w:pStyle w:val="27"/>
              <w:rPr>
                <w:rFonts w:ascii="Times New Roman" w:hAnsi="Times New Roman" w:eastAsia="宋体"/>
                <w:highlight w:val="none"/>
              </w:rPr>
            </w:pPr>
          </w:p>
        </w:tc>
        <w:tc>
          <w:tcPr>
            <w:tcW w:w="436" w:type="pct"/>
            <w:vMerge w:val="continue"/>
            <w:noWrap w:val="0"/>
            <w:vAlign w:val="center"/>
          </w:tcPr>
          <w:p w14:paraId="380FD01F">
            <w:pPr>
              <w:pStyle w:val="27"/>
              <w:rPr>
                <w:rFonts w:ascii="Times New Roman" w:hAnsi="Times New Roman" w:eastAsia="宋体"/>
                <w:highlight w:val="none"/>
              </w:rPr>
            </w:pPr>
          </w:p>
        </w:tc>
        <w:tc>
          <w:tcPr>
            <w:tcW w:w="390" w:type="pct"/>
            <w:noWrap w:val="0"/>
            <w:vAlign w:val="center"/>
          </w:tcPr>
          <w:p w14:paraId="6F299EC5">
            <w:pPr>
              <w:pStyle w:val="27"/>
              <w:rPr>
                <w:rFonts w:ascii="Times New Roman" w:hAnsi="Times New Roman" w:eastAsia="宋体"/>
                <w:highlight w:val="none"/>
              </w:rPr>
            </w:pPr>
            <w:r>
              <w:rPr>
                <w:rFonts w:ascii="Times New Roman" w:hAnsi="Times New Roman" w:eastAsia="宋体"/>
                <w:highlight w:val="none"/>
              </w:rPr>
              <w:t>SO</w:t>
            </w:r>
            <w:r>
              <w:rPr>
                <w:rFonts w:ascii="Times New Roman" w:hAnsi="Times New Roman" w:eastAsia="宋体"/>
                <w:highlight w:val="none"/>
                <w:vertAlign w:val="subscript"/>
              </w:rPr>
              <w:t>2</w:t>
            </w:r>
          </w:p>
        </w:tc>
        <w:tc>
          <w:tcPr>
            <w:tcW w:w="301" w:type="pct"/>
            <w:gridSpan w:val="2"/>
            <w:noWrap w:val="0"/>
            <w:vAlign w:val="center"/>
          </w:tcPr>
          <w:p w14:paraId="64F74361">
            <w:pPr>
              <w:pStyle w:val="27"/>
              <w:rPr>
                <w:rFonts w:ascii="Times New Roman" w:hAnsi="Times New Roman" w:eastAsia="宋体"/>
                <w:highlight w:val="none"/>
              </w:rPr>
            </w:pPr>
            <w:r>
              <w:rPr>
                <w:rFonts w:ascii="Times New Roman" w:hAnsi="Times New Roman" w:eastAsia="宋体"/>
                <w:highlight w:val="none"/>
              </w:rPr>
              <w:t>97</w:t>
            </w:r>
          </w:p>
        </w:tc>
        <w:tc>
          <w:tcPr>
            <w:tcW w:w="304" w:type="pct"/>
            <w:gridSpan w:val="2"/>
            <w:noWrap w:val="0"/>
            <w:vAlign w:val="center"/>
          </w:tcPr>
          <w:p w14:paraId="2E3CABB1">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9.746</w:t>
            </w:r>
          </w:p>
        </w:tc>
        <w:tc>
          <w:tcPr>
            <w:tcW w:w="324" w:type="pct"/>
            <w:noWrap w:val="0"/>
            <w:vAlign w:val="center"/>
          </w:tcPr>
          <w:p w14:paraId="5AF727F9">
            <w:pPr>
              <w:spacing w:line="240" w:lineRule="auto"/>
              <w:ind w:firstLine="0" w:firstLineChars="0"/>
              <w:jc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7.352</w:t>
            </w:r>
          </w:p>
        </w:tc>
        <w:tc>
          <w:tcPr>
            <w:tcW w:w="1040" w:type="pct"/>
            <w:vMerge w:val="continue"/>
            <w:noWrap w:val="0"/>
            <w:vAlign w:val="center"/>
          </w:tcPr>
          <w:p w14:paraId="69008593">
            <w:pPr>
              <w:pStyle w:val="27"/>
              <w:rPr>
                <w:rFonts w:ascii="Times New Roman" w:hAnsi="Times New Roman" w:eastAsia="宋体"/>
                <w:highlight w:val="none"/>
              </w:rPr>
            </w:pPr>
          </w:p>
        </w:tc>
        <w:tc>
          <w:tcPr>
            <w:tcW w:w="2051" w:type="pct"/>
            <w:vMerge w:val="continue"/>
            <w:noWrap w:val="0"/>
            <w:vAlign w:val="center"/>
          </w:tcPr>
          <w:p w14:paraId="6246D0E2">
            <w:pPr>
              <w:pStyle w:val="27"/>
              <w:rPr>
                <w:rFonts w:ascii="Times New Roman" w:hAnsi="Times New Roman" w:eastAsia="宋体"/>
                <w:highlight w:val="none"/>
              </w:rPr>
            </w:pPr>
          </w:p>
        </w:tc>
      </w:tr>
      <w:tr w14:paraId="468D2A3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0" w:type="pct"/>
            <w:vMerge w:val="continue"/>
            <w:noWrap w:val="0"/>
            <w:vAlign w:val="center"/>
          </w:tcPr>
          <w:p w14:paraId="766C3F0A">
            <w:pPr>
              <w:pStyle w:val="27"/>
              <w:rPr>
                <w:rFonts w:ascii="Times New Roman" w:hAnsi="Times New Roman" w:eastAsia="宋体"/>
                <w:highlight w:val="none"/>
              </w:rPr>
            </w:pPr>
          </w:p>
        </w:tc>
        <w:tc>
          <w:tcPr>
            <w:tcW w:w="436" w:type="pct"/>
            <w:vMerge w:val="continue"/>
            <w:noWrap w:val="0"/>
            <w:vAlign w:val="center"/>
          </w:tcPr>
          <w:p w14:paraId="2E18F754">
            <w:pPr>
              <w:pStyle w:val="27"/>
              <w:rPr>
                <w:rFonts w:ascii="Times New Roman" w:hAnsi="Times New Roman" w:eastAsia="宋体"/>
                <w:highlight w:val="none"/>
              </w:rPr>
            </w:pPr>
          </w:p>
        </w:tc>
        <w:tc>
          <w:tcPr>
            <w:tcW w:w="390" w:type="pct"/>
            <w:noWrap w:val="0"/>
            <w:vAlign w:val="center"/>
          </w:tcPr>
          <w:p w14:paraId="6F023A7B">
            <w:pPr>
              <w:pStyle w:val="27"/>
              <w:rPr>
                <w:rFonts w:ascii="Times New Roman" w:hAnsi="Times New Roman" w:eastAsia="宋体"/>
                <w:highlight w:val="none"/>
              </w:rPr>
            </w:pPr>
            <w:r>
              <w:rPr>
                <w:rFonts w:ascii="Times New Roman" w:hAnsi="Times New Roman" w:eastAsia="宋体"/>
                <w:highlight w:val="none"/>
              </w:rPr>
              <w:t>NO</w:t>
            </w:r>
            <w:r>
              <w:rPr>
                <w:rFonts w:ascii="Times New Roman" w:hAnsi="Times New Roman" w:eastAsia="宋体"/>
                <w:highlight w:val="none"/>
                <w:vertAlign w:val="subscript"/>
              </w:rPr>
              <w:t>x</w:t>
            </w:r>
          </w:p>
        </w:tc>
        <w:tc>
          <w:tcPr>
            <w:tcW w:w="301" w:type="pct"/>
            <w:gridSpan w:val="2"/>
            <w:noWrap w:val="0"/>
            <w:vAlign w:val="center"/>
          </w:tcPr>
          <w:p w14:paraId="4528FA62">
            <w:pPr>
              <w:pStyle w:val="27"/>
              <w:rPr>
                <w:rFonts w:ascii="Times New Roman" w:hAnsi="Times New Roman" w:eastAsia="宋体"/>
                <w:highlight w:val="none"/>
              </w:rPr>
            </w:pPr>
            <w:r>
              <w:rPr>
                <w:rFonts w:hint="eastAsia" w:ascii="Times New Roman" w:hAnsi="Times New Roman" w:eastAsia="宋体"/>
                <w:highlight w:val="none"/>
              </w:rPr>
              <w:t>75</w:t>
            </w:r>
          </w:p>
        </w:tc>
        <w:tc>
          <w:tcPr>
            <w:tcW w:w="304" w:type="pct"/>
            <w:gridSpan w:val="2"/>
            <w:noWrap w:val="0"/>
            <w:vAlign w:val="center"/>
          </w:tcPr>
          <w:p w14:paraId="18218A02">
            <w:pPr>
              <w:pStyle w:val="27"/>
              <w:rPr>
                <w:rFonts w:ascii="Times New Roman" w:hAnsi="Times New Roman" w:eastAsia="宋体"/>
                <w:highlight w:val="none"/>
              </w:rPr>
            </w:pPr>
            <w:r>
              <w:rPr>
                <w:rFonts w:hint="eastAsia" w:ascii="Times New Roman" w:hAnsi="Times New Roman" w:eastAsia="宋体"/>
                <w:highlight w:val="none"/>
              </w:rPr>
              <w:t>45</w:t>
            </w:r>
          </w:p>
        </w:tc>
        <w:tc>
          <w:tcPr>
            <w:tcW w:w="324" w:type="pct"/>
            <w:tcBorders>
              <w:bottom w:val="single" w:color="auto" w:sz="4" w:space="0"/>
            </w:tcBorders>
            <w:noWrap w:val="0"/>
            <w:vAlign w:val="center"/>
          </w:tcPr>
          <w:p w14:paraId="1ECEFBA3">
            <w:pPr>
              <w:spacing w:line="240" w:lineRule="auto"/>
              <w:ind w:firstLine="0" w:firstLineChars="0"/>
              <w:jc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33.7968</w:t>
            </w:r>
          </w:p>
        </w:tc>
        <w:tc>
          <w:tcPr>
            <w:tcW w:w="1040" w:type="pct"/>
            <w:vMerge w:val="continue"/>
            <w:noWrap w:val="0"/>
            <w:vAlign w:val="center"/>
          </w:tcPr>
          <w:p w14:paraId="2E879111">
            <w:pPr>
              <w:pStyle w:val="27"/>
              <w:rPr>
                <w:rFonts w:ascii="Times New Roman" w:hAnsi="Times New Roman" w:eastAsia="宋体"/>
                <w:highlight w:val="none"/>
              </w:rPr>
            </w:pPr>
          </w:p>
        </w:tc>
        <w:tc>
          <w:tcPr>
            <w:tcW w:w="2051" w:type="pct"/>
            <w:vMerge w:val="continue"/>
            <w:noWrap w:val="0"/>
            <w:vAlign w:val="center"/>
          </w:tcPr>
          <w:p w14:paraId="47B555D8">
            <w:pPr>
              <w:pStyle w:val="27"/>
              <w:rPr>
                <w:rFonts w:ascii="Times New Roman" w:hAnsi="Times New Roman" w:eastAsia="宋体"/>
                <w:highlight w:val="none"/>
              </w:rPr>
            </w:pPr>
          </w:p>
        </w:tc>
      </w:tr>
      <w:tr w14:paraId="4625F73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18" w:hRule="atLeast"/>
          <w:jc w:val="center"/>
        </w:trPr>
        <w:tc>
          <w:tcPr>
            <w:tcW w:w="150" w:type="pct"/>
            <w:vMerge w:val="continue"/>
            <w:noWrap w:val="0"/>
            <w:vAlign w:val="center"/>
          </w:tcPr>
          <w:p w14:paraId="01843933">
            <w:pPr>
              <w:pStyle w:val="27"/>
              <w:rPr>
                <w:rFonts w:ascii="Times New Roman" w:hAnsi="Times New Roman" w:eastAsia="宋体"/>
                <w:highlight w:val="none"/>
              </w:rPr>
            </w:pPr>
          </w:p>
        </w:tc>
        <w:tc>
          <w:tcPr>
            <w:tcW w:w="436" w:type="pct"/>
            <w:vMerge w:val="continue"/>
            <w:noWrap w:val="0"/>
            <w:vAlign w:val="center"/>
          </w:tcPr>
          <w:p w14:paraId="6605DAD5">
            <w:pPr>
              <w:pStyle w:val="27"/>
              <w:rPr>
                <w:rFonts w:ascii="Times New Roman" w:hAnsi="Times New Roman" w:eastAsia="宋体"/>
                <w:highlight w:val="none"/>
              </w:rPr>
            </w:pPr>
          </w:p>
        </w:tc>
        <w:tc>
          <w:tcPr>
            <w:tcW w:w="390" w:type="pct"/>
            <w:noWrap w:val="0"/>
            <w:vAlign w:val="center"/>
          </w:tcPr>
          <w:p w14:paraId="74C928A3">
            <w:pPr>
              <w:pStyle w:val="27"/>
              <w:rPr>
                <w:rFonts w:ascii="Times New Roman" w:hAnsi="Times New Roman" w:eastAsia="宋体"/>
                <w:highlight w:val="none"/>
              </w:rPr>
            </w:pPr>
            <w:r>
              <w:rPr>
                <w:rFonts w:ascii="Times New Roman" w:hAnsi="Times New Roman" w:eastAsia="宋体"/>
                <w:highlight w:val="none"/>
              </w:rPr>
              <w:t>汞及其化合物</w:t>
            </w:r>
          </w:p>
        </w:tc>
        <w:tc>
          <w:tcPr>
            <w:tcW w:w="301" w:type="pct"/>
            <w:gridSpan w:val="2"/>
            <w:tcBorders>
              <w:right w:val="single" w:color="auto" w:sz="4" w:space="0"/>
            </w:tcBorders>
            <w:noWrap w:val="0"/>
            <w:vAlign w:val="center"/>
          </w:tcPr>
          <w:p w14:paraId="3C6E8279">
            <w:pPr>
              <w:pStyle w:val="27"/>
              <w:rPr>
                <w:rFonts w:ascii="Times New Roman" w:hAnsi="Times New Roman" w:eastAsia="宋体"/>
                <w:highlight w:val="none"/>
              </w:rPr>
            </w:pPr>
            <w:r>
              <w:rPr>
                <w:rFonts w:ascii="Times New Roman" w:hAnsi="Times New Roman" w:eastAsia="宋体"/>
                <w:highlight w:val="none"/>
              </w:rPr>
              <w:t>70</w:t>
            </w:r>
          </w:p>
        </w:tc>
        <w:tc>
          <w:tcPr>
            <w:tcW w:w="304" w:type="pct"/>
            <w:gridSpan w:val="2"/>
            <w:tcBorders>
              <w:left w:val="single" w:color="auto" w:sz="4" w:space="0"/>
              <w:right w:val="single" w:color="auto" w:sz="4" w:space="0"/>
            </w:tcBorders>
            <w:noWrap w:val="0"/>
            <w:vAlign w:val="center"/>
          </w:tcPr>
          <w:p w14:paraId="7D0C8A05">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0.0073</w:t>
            </w:r>
          </w:p>
        </w:tc>
        <w:tc>
          <w:tcPr>
            <w:tcW w:w="324" w:type="pct"/>
            <w:tcBorders>
              <w:top w:val="single" w:color="auto" w:sz="4" w:space="0"/>
              <w:left w:val="single" w:color="auto" w:sz="4" w:space="0"/>
            </w:tcBorders>
            <w:noWrap w:val="0"/>
            <w:vAlign w:val="center"/>
          </w:tcPr>
          <w:p w14:paraId="57BC36A3">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0.0055</w:t>
            </w:r>
          </w:p>
        </w:tc>
        <w:tc>
          <w:tcPr>
            <w:tcW w:w="1040" w:type="pct"/>
            <w:vMerge w:val="continue"/>
            <w:noWrap w:val="0"/>
            <w:vAlign w:val="center"/>
          </w:tcPr>
          <w:p w14:paraId="41F64EA9">
            <w:pPr>
              <w:pStyle w:val="27"/>
              <w:rPr>
                <w:rFonts w:ascii="Times New Roman" w:hAnsi="Times New Roman" w:eastAsia="宋体"/>
                <w:highlight w:val="none"/>
              </w:rPr>
            </w:pPr>
          </w:p>
        </w:tc>
        <w:tc>
          <w:tcPr>
            <w:tcW w:w="2051" w:type="pct"/>
            <w:vMerge w:val="restart"/>
            <w:tcBorders>
              <w:top w:val="single" w:color="auto" w:sz="4" w:space="0"/>
            </w:tcBorders>
            <w:noWrap w:val="0"/>
            <w:vAlign w:val="center"/>
          </w:tcPr>
          <w:p w14:paraId="06F0B14E">
            <w:pPr>
              <w:pStyle w:val="27"/>
              <w:rPr>
                <w:rFonts w:ascii="Times New Roman" w:hAnsi="Times New Roman" w:eastAsia="宋体"/>
                <w:highlight w:val="none"/>
              </w:rPr>
            </w:pPr>
            <w:r>
              <w:rPr>
                <w:rFonts w:ascii="Times New Roman" w:hAnsi="Times New Roman" w:eastAsia="宋体"/>
                <w:highlight w:val="none"/>
              </w:rPr>
              <w:t>锅炉大气污染物排放标准》（GB13271-2014）表3要求限值</w:t>
            </w:r>
          </w:p>
        </w:tc>
      </w:tr>
      <w:tr w14:paraId="6E50079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18" w:hRule="atLeast"/>
          <w:jc w:val="center"/>
        </w:trPr>
        <w:tc>
          <w:tcPr>
            <w:tcW w:w="150" w:type="pct"/>
            <w:vMerge w:val="continue"/>
            <w:noWrap w:val="0"/>
            <w:vAlign w:val="center"/>
          </w:tcPr>
          <w:p w14:paraId="35BB6B4C">
            <w:pPr>
              <w:pStyle w:val="27"/>
              <w:rPr>
                <w:rFonts w:ascii="Times New Roman" w:hAnsi="Times New Roman" w:eastAsia="宋体"/>
                <w:highlight w:val="none"/>
              </w:rPr>
            </w:pPr>
          </w:p>
        </w:tc>
        <w:tc>
          <w:tcPr>
            <w:tcW w:w="436" w:type="pct"/>
            <w:vMerge w:val="continue"/>
            <w:noWrap w:val="0"/>
            <w:vAlign w:val="center"/>
          </w:tcPr>
          <w:p w14:paraId="3467FD53">
            <w:pPr>
              <w:pStyle w:val="27"/>
              <w:rPr>
                <w:rFonts w:ascii="Times New Roman" w:hAnsi="Times New Roman" w:eastAsia="宋体"/>
                <w:highlight w:val="none"/>
              </w:rPr>
            </w:pPr>
          </w:p>
        </w:tc>
        <w:tc>
          <w:tcPr>
            <w:tcW w:w="390" w:type="pct"/>
            <w:noWrap w:val="0"/>
            <w:vAlign w:val="center"/>
          </w:tcPr>
          <w:p w14:paraId="0BBB6AEE">
            <w:pPr>
              <w:pStyle w:val="27"/>
              <w:rPr>
                <w:rFonts w:ascii="Times New Roman" w:hAnsi="Times New Roman" w:eastAsia="宋体"/>
                <w:highlight w:val="none"/>
              </w:rPr>
            </w:pPr>
            <w:r>
              <w:rPr>
                <w:rFonts w:ascii="Times New Roman" w:hAnsi="Times New Roman" w:eastAsia="宋体"/>
                <w:highlight w:val="none"/>
              </w:rPr>
              <w:t>林格曼黑度</w:t>
            </w:r>
          </w:p>
        </w:tc>
        <w:tc>
          <w:tcPr>
            <w:tcW w:w="301" w:type="pct"/>
            <w:gridSpan w:val="2"/>
            <w:tcBorders>
              <w:right w:val="single" w:color="auto" w:sz="4" w:space="0"/>
            </w:tcBorders>
            <w:noWrap w:val="0"/>
            <w:vAlign w:val="center"/>
          </w:tcPr>
          <w:p w14:paraId="274766ED">
            <w:pPr>
              <w:pStyle w:val="27"/>
              <w:rPr>
                <w:rFonts w:ascii="Times New Roman" w:hAnsi="Times New Roman" w:eastAsia="宋体"/>
                <w:highlight w:val="none"/>
              </w:rPr>
            </w:pPr>
            <w:r>
              <w:rPr>
                <w:rFonts w:hint="eastAsia" w:ascii="Times New Roman" w:hAnsi="Times New Roman" w:eastAsia="宋体"/>
                <w:highlight w:val="none"/>
              </w:rPr>
              <w:t>/</w:t>
            </w:r>
          </w:p>
        </w:tc>
        <w:tc>
          <w:tcPr>
            <w:tcW w:w="304" w:type="pct"/>
            <w:gridSpan w:val="2"/>
            <w:tcBorders>
              <w:left w:val="single" w:color="auto" w:sz="4" w:space="0"/>
              <w:right w:val="single" w:color="auto" w:sz="4" w:space="0"/>
            </w:tcBorders>
            <w:noWrap w:val="0"/>
            <w:vAlign w:val="center"/>
          </w:tcPr>
          <w:p w14:paraId="763751F2">
            <w:pPr>
              <w:pStyle w:val="27"/>
              <w:rPr>
                <w:rFonts w:ascii="Times New Roman" w:hAnsi="Times New Roman" w:eastAsia="宋体"/>
                <w:highlight w:val="none"/>
              </w:rPr>
            </w:pPr>
            <w:r>
              <w:rPr>
                <w:rFonts w:hint="eastAsia" w:ascii="Times New Roman" w:hAnsi="Times New Roman" w:eastAsia="宋体"/>
                <w:highlight w:val="none"/>
              </w:rPr>
              <w:t>/</w:t>
            </w:r>
          </w:p>
        </w:tc>
        <w:tc>
          <w:tcPr>
            <w:tcW w:w="324" w:type="pct"/>
            <w:tcBorders>
              <w:top w:val="single" w:color="auto" w:sz="4" w:space="0"/>
              <w:left w:val="single" w:color="auto" w:sz="4" w:space="0"/>
            </w:tcBorders>
            <w:noWrap w:val="0"/>
            <w:vAlign w:val="center"/>
          </w:tcPr>
          <w:p w14:paraId="3474731A">
            <w:pPr>
              <w:pStyle w:val="27"/>
              <w:rPr>
                <w:rFonts w:ascii="Times New Roman" w:hAnsi="Times New Roman" w:eastAsia="宋体"/>
                <w:highlight w:val="none"/>
              </w:rPr>
            </w:pPr>
            <w:r>
              <w:rPr>
                <w:rFonts w:hint="eastAsia" w:ascii="Times New Roman" w:hAnsi="Times New Roman" w:eastAsia="宋体"/>
                <w:highlight w:val="none"/>
              </w:rPr>
              <w:t>/</w:t>
            </w:r>
          </w:p>
        </w:tc>
        <w:tc>
          <w:tcPr>
            <w:tcW w:w="1040" w:type="pct"/>
            <w:vMerge w:val="continue"/>
            <w:noWrap w:val="0"/>
            <w:vAlign w:val="center"/>
          </w:tcPr>
          <w:p w14:paraId="1F40A2EB">
            <w:pPr>
              <w:pStyle w:val="27"/>
              <w:rPr>
                <w:rFonts w:ascii="Times New Roman" w:hAnsi="Times New Roman" w:eastAsia="宋体"/>
                <w:highlight w:val="none"/>
              </w:rPr>
            </w:pPr>
          </w:p>
        </w:tc>
        <w:tc>
          <w:tcPr>
            <w:tcW w:w="2051" w:type="pct"/>
            <w:vMerge w:val="continue"/>
            <w:noWrap w:val="0"/>
            <w:vAlign w:val="center"/>
          </w:tcPr>
          <w:p w14:paraId="54EE5560">
            <w:pPr>
              <w:pStyle w:val="27"/>
              <w:rPr>
                <w:rFonts w:ascii="Times New Roman" w:hAnsi="Times New Roman" w:eastAsia="宋体"/>
                <w:highlight w:val="none"/>
              </w:rPr>
            </w:pPr>
          </w:p>
        </w:tc>
      </w:tr>
      <w:tr w14:paraId="0CD5A46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18" w:hRule="atLeast"/>
          <w:jc w:val="center"/>
        </w:trPr>
        <w:tc>
          <w:tcPr>
            <w:tcW w:w="150" w:type="pct"/>
            <w:vMerge w:val="continue"/>
            <w:noWrap w:val="0"/>
            <w:vAlign w:val="center"/>
          </w:tcPr>
          <w:p w14:paraId="791AACF8">
            <w:pPr>
              <w:pStyle w:val="27"/>
              <w:rPr>
                <w:rFonts w:ascii="Times New Roman" w:hAnsi="Times New Roman" w:eastAsia="宋体"/>
                <w:highlight w:val="none"/>
              </w:rPr>
            </w:pPr>
          </w:p>
        </w:tc>
        <w:tc>
          <w:tcPr>
            <w:tcW w:w="436" w:type="pct"/>
            <w:vMerge w:val="continue"/>
            <w:noWrap w:val="0"/>
            <w:vAlign w:val="center"/>
          </w:tcPr>
          <w:p w14:paraId="63352E32">
            <w:pPr>
              <w:pStyle w:val="27"/>
              <w:rPr>
                <w:rFonts w:ascii="Times New Roman" w:hAnsi="Times New Roman" w:eastAsia="宋体"/>
                <w:highlight w:val="none"/>
              </w:rPr>
            </w:pPr>
          </w:p>
        </w:tc>
        <w:tc>
          <w:tcPr>
            <w:tcW w:w="390" w:type="pct"/>
            <w:noWrap w:val="0"/>
            <w:vAlign w:val="center"/>
          </w:tcPr>
          <w:p w14:paraId="68B95022">
            <w:pPr>
              <w:pStyle w:val="27"/>
              <w:rPr>
                <w:rFonts w:ascii="Times New Roman" w:hAnsi="Times New Roman" w:eastAsia="宋体"/>
                <w:highlight w:val="none"/>
              </w:rPr>
            </w:pPr>
            <w:r>
              <w:rPr>
                <w:rFonts w:hint="eastAsia" w:ascii="Times New Roman" w:hAnsi="Times New Roman" w:eastAsia="宋体"/>
                <w:highlight w:val="none"/>
              </w:rPr>
              <w:t>氨</w:t>
            </w:r>
          </w:p>
        </w:tc>
        <w:tc>
          <w:tcPr>
            <w:tcW w:w="301" w:type="pct"/>
            <w:gridSpan w:val="2"/>
            <w:tcBorders>
              <w:right w:val="single" w:color="auto" w:sz="4" w:space="0"/>
            </w:tcBorders>
            <w:noWrap w:val="0"/>
            <w:vAlign w:val="center"/>
          </w:tcPr>
          <w:p w14:paraId="77E729EA">
            <w:pPr>
              <w:pStyle w:val="27"/>
              <w:rPr>
                <w:rFonts w:ascii="Times New Roman" w:hAnsi="Times New Roman" w:eastAsia="宋体"/>
                <w:highlight w:val="none"/>
              </w:rPr>
            </w:pPr>
            <w:r>
              <w:rPr>
                <w:rFonts w:hint="eastAsia" w:ascii="Times New Roman" w:hAnsi="Times New Roman" w:eastAsia="宋体"/>
                <w:highlight w:val="none"/>
              </w:rPr>
              <w:t>/</w:t>
            </w:r>
          </w:p>
        </w:tc>
        <w:tc>
          <w:tcPr>
            <w:tcW w:w="304" w:type="pct"/>
            <w:gridSpan w:val="2"/>
            <w:tcBorders>
              <w:left w:val="single" w:color="auto" w:sz="4" w:space="0"/>
              <w:right w:val="single" w:color="auto" w:sz="4" w:space="0"/>
            </w:tcBorders>
            <w:noWrap w:val="0"/>
            <w:vAlign w:val="center"/>
          </w:tcPr>
          <w:p w14:paraId="395B73F9">
            <w:pPr>
              <w:pStyle w:val="27"/>
              <w:rPr>
                <w:rFonts w:ascii="Times New Roman" w:hAnsi="Times New Roman" w:eastAsia="宋体"/>
                <w:highlight w:val="none"/>
              </w:rPr>
            </w:pPr>
            <w:r>
              <w:rPr>
                <w:rFonts w:hint="eastAsia" w:ascii="Times New Roman" w:hAnsi="Times New Roman" w:eastAsia="宋体"/>
                <w:highlight w:val="none"/>
              </w:rPr>
              <w:t>2.5</w:t>
            </w:r>
          </w:p>
        </w:tc>
        <w:tc>
          <w:tcPr>
            <w:tcW w:w="324" w:type="pct"/>
            <w:tcBorders>
              <w:top w:val="single" w:color="auto" w:sz="4" w:space="0"/>
              <w:left w:val="single" w:color="auto" w:sz="4" w:space="0"/>
            </w:tcBorders>
            <w:noWrap w:val="0"/>
            <w:vAlign w:val="center"/>
          </w:tcPr>
          <w:p w14:paraId="6FB35406">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1.88</w:t>
            </w:r>
          </w:p>
        </w:tc>
        <w:tc>
          <w:tcPr>
            <w:tcW w:w="1040" w:type="pct"/>
            <w:vMerge w:val="continue"/>
            <w:noWrap w:val="0"/>
            <w:vAlign w:val="center"/>
          </w:tcPr>
          <w:p w14:paraId="4685F6C8">
            <w:pPr>
              <w:pStyle w:val="27"/>
              <w:rPr>
                <w:rFonts w:ascii="Times New Roman" w:hAnsi="Times New Roman" w:eastAsia="宋体"/>
                <w:highlight w:val="none"/>
              </w:rPr>
            </w:pPr>
          </w:p>
        </w:tc>
        <w:tc>
          <w:tcPr>
            <w:tcW w:w="2051" w:type="pct"/>
            <w:tcBorders>
              <w:top w:val="single" w:color="auto" w:sz="4" w:space="0"/>
            </w:tcBorders>
            <w:noWrap w:val="0"/>
            <w:vAlign w:val="center"/>
          </w:tcPr>
          <w:p w14:paraId="01F1A8AE">
            <w:pPr>
              <w:pStyle w:val="27"/>
              <w:rPr>
                <w:rFonts w:ascii="Times New Roman" w:hAnsi="Times New Roman" w:eastAsia="宋体"/>
                <w:highlight w:val="none"/>
              </w:rPr>
            </w:pPr>
            <w:r>
              <w:rPr>
                <w:rFonts w:hint="eastAsia" w:ascii="Times New Roman" w:hAnsi="Times New Roman" w:eastAsia="宋体"/>
                <w:highlight w:val="none"/>
              </w:rPr>
              <w:t>有组织排放能够满足《火电厂烟气脱硝工程技术规范选择性催化还原法》（HJ562-2010）要求脱硝系统氨逃逸质量浓度宜小于2.5mg/m</w:t>
            </w:r>
            <w:r>
              <w:rPr>
                <w:rFonts w:hint="eastAsia" w:ascii="Times New Roman" w:hAnsi="Times New Roman" w:eastAsia="宋体"/>
                <w:highlight w:val="none"/>
                <w:vertAlign w:val="superscript"/>
              </w:rPr>
              <w:t>3</w:t>
            </w:r>
            <w:r>
              <w:rPr>
                <w:rFonts w:hint="eastAsia" w:ascii="Times New Roman" w:hAnsi="Times New Roman" w:eastAsia="宋体"/>
                <w:highlight w:val="none"/>
              </w:rPr>
              <w:t>的要求；氨排放浓度满足《恶臭污染物排放标准》（GB14554-93）表</w:t>
            </w:r>
            <w:r>
              <w:rPr>
                <w:rFonts w:hint="eastAsia" w:ascii="Times New Roman" w:hAnsi="Times New Roman" w:eastAsia="宋体"/>
                <w:highlight w:val="none"/>
                <w:lang w:val="en-US" w:eastAsia="zh-CN"/>
              </w:rPr>
              <w:t>1</w:t>
            </w:r>
            <w:r>
              <w:rPr>
                <w:rFonts w:hint="eastAsia" w:ascii="Times New Roman" w:hAnsi="Times New Roman" w:eastAsia="宋体"/>
                <w:highlight w:val="none"/>
              </w:rPr>
              <w:t>恶臭污染物排放标准值</w:t>
            </w:r>
          </w:p>
        </w:tc>
      </w:tr>
      <w:tr w14:paraId="05C6C6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0" w:type="pct"/>
            <w:vMerge w:val="continue"/>
            <w:noWrap w:val="0"/>
            <w:vAlign w:val="center"/>
          </w:tcPr>
          <w:p w14:paraId="78F86CB0">
            <w:pPr>
              <w:pStyle w:val="27"/>
              <w:rPr>
                <w:rFonts w:ascii="Times New Roman" w:hAnsi="Times New Roman" w:eastAsia="宋体"/>
                <w:highlight w:val="none"/>
              </w:rPr>
            </w:pPr>
          </w:p>
        </w:tc>
        <w:tc>
          <w:tcPr>
            <w:tcW w:w="436" w:type="pct"/>
            <w:noWrap w:val="0"/>
            <w:vAlign w:val="center"/>
          </w:tcPr>
          <w:p w14:paraId="5F2DB719">
            <w:pPr>
              <w:pStyle w:val="27"/>
              <w:rPr>
                <w:rFonts w:ascii="Times New Roman" w:hAnsi="Times New Roman" w:eastAsia="宋体"/>
                <w:highlight w:val="none"/>
              </w:rPr>
            </w:pPr>
            <w:r>
              <w:rPr>
                <w:rFonts w:hint="eastAsia" w:ascii="Times New Roman" w:hAnsi="Times New Roman" w:eastAsia="宋体"/>
                <w:highlight w:val="none"/>
              </w:rPr>
              <w:t>灰仓</w:t>
            </w:r>
          </w:p>
        </w:tc>
        <w:tc>
          <w:tcPr>
            <w:tcW w:w="390" w:type="pct"/>
            <w:noWrap w:val="0"/>
            <w:vAlign w:val="center"/>
          </w:tcPr>
          <w:p w14:paraId="0782A879">
            <w:pPr>
              <w:pStyle w:val="27"/>
              <w:rPr>
                <w:rFonts w:ascii="Times New Roman" w:hAnsi="Times New Roman" w:eastAsia="宋体"/>
                <w:highlight w:val="none"/>
              </w:rPr>
            </w:pPr>
            <w:r>
              <w:rPr>
                <w:rFonts w:ascii="Times New Roman" w:hAnsi="Times New Roman" w:eastAsia="宋体"/>
                <w:highlight w:val="none"/>
              </w:rPr>
              <w:t>粉尘</w:t>
            </w:r>
          </w:p>
        </w:tc>
        <w:tc>
          <w:tcPr>
            <w:tcW w:w="301" w:type="pct"/>
            <w:gridSpan w:val="2"/>
            <w:tcBorders>
              <w:right w:val="single" w:color="auto" w:sz="4" w:space="0"/>
            </w:tcBorders>
            <w:noWrap w:val="0"/>
            <w:vAlign w:val="center"/>
          </w:tcPr>
          <w:p w14:paraId="429435CE">
            <w:pPr>
              <w:pStyle w:val="27"/>
              <w:rPr>
                <w:rFonts w:ascii="Times New Roman" w:hAnsi="Times New Roman" w:eastAsia="宋体"/>
                <w:highlight w:val="none"/>
              </w:rPr>
            </w:pPr>
            <w:r>
              <w:rPr>
                <w:rFonts w:ascii="Times New Roman" w:hAnsi="Times New Roman" w:eastAsia="宋体"/>
                <w:highlight w:val="none"/>
              </w:rPr>
              <w:t>99</w:t>
            </w:r>
          </w:p>
        </w:tc>
        <w:tc>
          <w:tcPr>
            <w:tcW w:w="304" w:type="pct"/>
            <w:gridSpan w:val="2"/>
            <w:tcBorders>
              <w:left w:val="single" w:color="auto" w:sz="4" w:space="0"/>
              <w:right w:val="single" w:color="auto" w:sz="4" w:space="0"/>
            </w:tcBorders>
            <w:noWrap w:val="0"/>
            <w:vAlign w:val="center"/>
          </w:tcPr>
          <w:p w14:paraId="7B2B2438">
            <w:pPr>
              <w:pStyle w:val="27"/>
              <w:rPr>
                <w:rFonts w:ascii="Times New Roman" w:hAnsi="Times New Roman" w:eastAsia="宋体"/>
                <w:highlight w:val="none"/>
              </w:rPr>
            </w:pPr>
            <w:r>
              <w:rPr>
                <w:rFonts w:ascii="Times New Roman" w:hAnsi="Times New Roman" w:eastAsia="宋体"/>
                <w:highlight w:val="none"/>
              </w:rPr>
              <w:t>/</w:t>
            </w:r>
          </w:p>
        </w:tc>
        <w:tc>
          <w:tcPr>
            <w:tcW w:w="324" w:type="pct"/>
            <w:tcBorders>
              <w:left w:val="single" w:color="auto" w:sz="4" w:space="0"/>
              <w:right w:val="single" w:color="auto" w:sz="4" w:space="0"/>
            </w:tcBorders>
            <w:noWrap w:val="0"/>
            <w:vAlign w:val="center"/>
          </w:tcPr>
          <w:p w14:paraId="4A2B22D7">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0.0605</w:t>
            </w:r>
          </w:p>
        </w:tc>
        <w:tc>
          <w:tcPr>
            <w:tcW w:w="1040" w:type="pct"/>
            <w:tcBorders>
              <w:left w:val="single" w:color="auto" w:sz="4" w:space="0"/>
              <w:bottom w:val="single" w:color="auto" w:sz="4" w:space="0"/>
            </w:tcBorders>
            <w:noWrap w:val="0"/>
            <w:vAlign w:val="center"/>
          </w:tcPr>
          <w:p w14:paraId="73545AF9">
            <w:pPr>
              <w:pStyle w:val="27"/>
              <w:rPr>
                <w:rFonts w:ascii="Times New Roman" w:hAnsi="Times New Roman" w:eastAsia="宋体"/>
                <w:highlight w:val="none"/>
              </w:rPr>
            </w:pPr>
            <w:r>
              <w:rPr>
                <w:rFonts w:hint="eastAsia" w:ascii="Times New Roman" w:hAnsi="Times New Roman" w:eastAsia="宋体"/>
                <w:highlight w:val="none"/>
              </w:rPr>
              <w:t>密闭+脉冲布袋除尘器</w:t>
            </w:r>
          </w:p>
        </w:tc>
        <w:tc>
          <w:tcPr>
            <w:tcW w:w="2051" w:type="pct"/>
            <w:vMerge w:val="restart"/>
            <w:noWrap w:val="0"/>
            <w:vAlign w:val="center"/>
          </w:tcPr>
          <w:p w14:paraId="558218F7">
            <w:pPr>
              <w:pStyle w:val="27"/>
              <w:rPr>
                <w:rFonts w:ascii="Times New Roman" w:hAnsi="Times New Roman" w:eastAsia="宋体"/>
                <w:highlight w:val="none"/>
              </w:rPr>
            </w:pPr>
            <w:r>
              <w:rPr>
                <w:rFonts w:ascii="Times New Roman" w:hAnsi="Times New Roman" w:eastAsia="宋体"/>
                <w:kern w:val="0"/>
                <w:highlight w:val="none"/>
              </w:rPr>
              <w:t>厂界颗粒物满足《大气污染物综合排放标准》表2新污染源大气污染物排放标准无组织排放监控浓度限值1.0mg/m</w:t>
            </w:r>
            <w:r>
              <w:rPr>
                <w:rFonts w:ascii="Times New Roman" w:hAnsi="Times New Roman" w:eastAsia="宋体"/>
                <w:kern w:val="0"/>
                <w:highlight w:val="none"/>
                <w:vertAlign w:val="superscript"/>
              </w:rPr>
              <w:t>3</w:t>
            </w:r>
          </w:p>
        </w:tc>
      </w:tr>
      <w:tr w14:paraId="28DCD9C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0" w:type="pct"/>
            <w:vMerge w:val="continue"/>
            <w:noWrap w:val="0"/>
            <w:vAlign w:val="center"/>
          </w:tcPr>
          <w:p w14:paraId="622FD52F">
            <w:pPr>
              <w:pStyle w:val="27"/>
              <w:rPr>
                <w:rFonts w:ascii="Times New Roman" w:hAnsi="Times New Roman" w:eastAsia="宋体"/>
                <w:highlight w:val="none"/>
              </w:rPr>
            </w:pPr>
          </w:p>
        </w:tc>
        <w:tc>
          <w:tcPr>
            <w:tcW w:w="436" w:type="pct"/>
            <w:noWrap w:val="0"/>
            <w:vAlign w:val="center"/>
          </w:tcPr>
          <w:p w14:paraId="67577ADE">
            <w:pPr>
              <w:pStyle w:val="27"/>
              <w:rPr>
                <w:rFonts w:hint="eastAsia" w:ascii="Times New Roman" w:hAnsi="Times New Roman" w:eastAsia="宋体"/>
                <w:highlight w:val="none"/>
              </w:rPr>
            </w:pPr>
            <w:r>
              <w:rPr>
                <w:rFonts w:hint="eastAsia" w:ascii="Times New Roman" w:hAnsi="Times New Roman" w:eastAsia="宋体"/>
                <w:highlight w:val="none"/>
              </w:rPr>
              <w:t>渣仓</w:t>
            </w:r>
          </w:p>
        </w:tc>
        <w:tc>
          <w:tcPr>
            <w:tcW w:w="390" w:type="pct"/>
            <w:noWrap w:val="0"/>
            <w:vAlign w:val="center"/>
          </w:tcPr>
          <w:p w14:paraId="410C7A15">
            <w:pPr>
              <w:pStyle w:val="27"/>
              <w:rPr>
                <w:rFonts w:ascii="Times New Roman" w:hAnsi="Times New Roman" w:eastAsia="宋体"/>
                <w:highlight w:val="none"/>
              </w:rPr>
            </w:pPr>
            <w:r>
              <w:rPr>
                <w:rFonts w:ascii="Times New Roman" w:hAnsi="Times New Roman" w:eastAsia="宋体"/>
                <w:highlight w:val="none"/>
              </w:rPr>
              <w:t>粉尘</w:t>
            </w:r>
          </w:p>
        </w:tc>
        <w:tc>
          <w:tcPr>
            <w:tcW w:w="301" w:type="pct"/>
            <w:gridSpan w:val="2"/>
            <w:tcBorders>
              <w:right w:val="single" w:color="auto" w:sz="4" w:space="0"/>
            </w:tcBorders>
            <w:noWrap w:val="0"/>
            <w:vAlign w:val="center"/>
          </w:tcPr>
          <w:p w14:paraId="12330C80">
            <w:pPr>
              <w:pStyle w:val="27"/>
              <w:rPr>
                <w:rFonts w:hint="default" w:ascii="Times New Roman" w:hAnsi="Times New Roman" w:eastAsia="宋体"/>
                <w:highlight w:val="none"/>
                <w:lang w:val="en-US" w:eastAsia="zh-CN"/>
              </w:rPr>
            </w:pPr>
            <w:r>
              <w:rPr>
                <w:rFonts w:ascii="Times New Roman" w:hAnsi="Times New Roman" w:eastAsia="宋体"/>
                <w:highlight w:val="none"/>
              </w:rPr>
              <w:t>99</w:t>
            </w:r>
            <w:r>
              <w:rPr>
                <w:rFonts w:hint="eastAsia" w:ascii="Times New Roman" w:hAnsi="Times New Roman" w:eastAsia="宋体"/>
                <w:highlight w:val="none"/>
                <w:lang w:val="en-US" w:eastAsia="zh-CN"/>
              </w:rPr>
              <w:t>.9</w:t>
            </w:r>
          </w:p>
        </w:tc>
        <w:tc>
          <w:tcPr>
            <w:tcW w:w="304" w:type="pct"/>
            <w:gridSpan w:val="2"/>
            <w:tcBorders>
              <w:left w:val="single" w:color="auto" w:sz="4" w:space="0"/>
              <w:right w:val="single" w:color="auto" w:sz="4" w:space="0"/>
            </w:tcBorders>
            <w:noWrap w:val="0"/>
            <w:vAlign w:val="center"/>
          </w:tcPr>
          <w:p w14:paraId="0DB08658">
            <w:pPr>
              <w:pStyle w:val="27"/>
              <w:rPr>
                <w:rFonts w:ascii="Times New Roman" w:hAnsi="Times New Roman" w:eastAsia="宋体"/>
                <w:highlight w:val="none"/>
              </w:rPr>
            </w:pPr>
            <w:r>
              <w:rPr>
                <w:rFonts w:hint="eastAsia" w:ascii="Times New Roman" w:hAnsi="Times New Roman" w:eastAsia="宋体"/>
                <w:highlight w:val="none"/>
              </w:rPr>
              <w:t>/</w:t>
            </w:r>
          </w:p>
        </w:tc>
        <w:tc>
          <w:tcPr>
            <w:tcW w:w="324" w:type="pct"/>
            <w:tcBorders>
              <w:left w:val="single" w:color="auto" w:sz="4" w:space="0"/>
              <w:right w:val="single" w:color="auto" w:sz="4" w:space="0"/>
            </w:tcBorders>
            <w:noWrap w:val="0"/>
            <w:vAlign w:val="center"/>
          </w:tcPr>
          <w:p w14:paraId="6D54A88F">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0.02592</w:t>
            </w:r>
          </w:p>
        </w:tc>
        <w:tc>
          <w:tcPr>
            <w:tcW w:w="1040" w:type="pct"/>
            <w:tcBorders>
              <w:top w:val="single" w:color="auto" w:sz="4" w:space="0"/>
              <w:left w:val="single" w:color="auto" w:sz="4" w:space="0"/>
              <w:bottom w:val="single" w:color="auto" w:sz="4" w:space="0"/>
            </w:tcBorders>
            <w:noWrap w:val="0"/>
            <w:vAlign w:val="center"/>
          </w:tcPr>
          <w:p w14:paraId="07E2EC9C">
            <w:pPr>
              <w:pStyle w:val="27"/>
              <w:rPr>
                <w:rFonts w:ascii="Times New Roman" w:hAnsi="Times New Roman" w:eastAsia="宋体"/>
                <w:highlight w:val="none"/>
              </w:rPr>
            </w:pPr>
            <w:r>
              <w:rPr>
                <w:rFonts w:ascii="Times New Roman" w:hAnsi="Times New Roman" w:eastAsia="宋体"/>
                <w:highlight w:val="none"/>
              </w:rPr>
              <w:t>密闭</w:t>
            </w:r>
            <w:r>
              <w:rPr>
                <w:rFonts w:hint="eastAsia" w:ascii="Times New Roman" w:hAnsi="Times New Roman" w:eastAsia="宋体"/>
                <w:highlight w:val="none"/>
              </w:rPr>
              <w:t>+布袋除尘器</w:t>
            </w:r>
          </w:p>
        </w:tc>
        <w:tc>
          <w:tcPr>
            <w:tcW w:w="2051" w:type="pct"/>
            <w:vMerge w:val="continue"/>
            <w:noWrap w:val="0"/>
            <w:vAlign w:val="center"/>
          </w:tcPr>
          <w:p w14:paraId="02C41E60">
            <w:pPr>
              <w:pStyle w:val="27"/>
              <w:rPr>
                <w:rFonts w:ascii="Times New Roman" w:hAnsi="Times New Roman" w:eastAsia="宋体"/>
                <w:kern w:val="0"/>
                <w:highlight w:val="none"/>
              </w:rPr>
            </w:pPr>
          </w:p>
        </w:tc>
      </w:tr>
      <w:tr w14:paraId="18C2992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0" w:type="pct"/>
            <w:vMerge w:val="continue"/>
            <w:noWrap w:val="0"/>
            <w:vAlign w:val="center"/>
          </w:tcPr>
          <w:p w14:paraId="100C93C8">
            <w:pPr>
              <w:pStyle w:val="27"/>
              <w:rPr>
                <w:rFonts w:ascii="Times New Roman" w:hAnsi="Times New Roman" w:eastAsia="宋体"/>
                <w:highlight w:val="none"/>
              </w:rPr>
            </w:pPr>
          </w:p>
        </w:tc>
        <w:tc>
          <w:tcPr>
            <w:tcW w:w="436" w:type="pct"/>
            <w:noWrap w:val="0"/>
            <w:vAlign w:val="center"/>
          </w:tcPr>
          <w:p w14:paraId="1DC3142E">
            <w:pPr>
              <w:pStyle w:val="27"/>
              <w:rPr>
                <w:rFonts w:hint="eastAsia" w:ascii="Times New Roman" w:hAnsi="Times New Roman" w:eastAsia="宋体"/>
                <w:highlight w:val="none"/>
              </w:rPr>
            </w:pPr>
            <w:r>
              <w:rPr>
                <w:rFonts w:hint="eastAsia" w:ascii="Times New Roman" w:hAnsi="Times New Roman" w:eastAsia="宋体"/>
                <w:highlight w:val="none"/>
              </w:rPr>
              <w:t>石灰石粉尘</w:t>
            </w:r>
          </w:p>
        </w:tc>
        <w:tc>
          <w:tcPr>
            <w:tcW w:w="390" w:type="pct"/>
            <w:noWrap w:val="0"/>
            <w:vAlign w:val="center"/>
          </w:tcPr>
          <w:p w14:paraId="36D18598">
            <w:pPr>
              <w:pStyle w:val="27"/>
              <w:rPr>
                <w:rFonts w:ascii="Times New Roman" w:hAnsi="Times New Roman" w:eastAsia="宋体"/>
                <w:highlight w:val="none"/>
              </w:rPr>
            </w:pPr>
            <w:r>
              <w:rPr>
                <w:rFonts w:ascii="Times New Roman" w:hAnsi="Times New Roman" w:eastAsia="宋体"/>
                <w:highlight w:val="none"/>
              </w:rPr>
              <w:t>粉尘</w:t>
            </w:r>
          </w:p>
        </w:tc>
        <w:tc>
          <w:tcPr>
            <w:tcW w:w="301" w:type="pct"/>
            <w:gridSpan w:val="2"/>
            <w:tcBorders>
              <w:right w:val="single" w:color="auto" w:sz="4" w:space="0"/>
            </w:tcBorders>
            <w:noWrap w:val="0"/>
            <w:vAlign w:val="center"/>
          </w:tcPr>
          <w:p w14:paraId="64CCA774">
            <w:pPr>
              <w:pStyle w:val="27"/>
              <w:rPr>
                <w:rFonts w:ascii="Times New Roman" w:hAnsi="Times New Roman" w:eastAsia="宋体"/>
                <w:highlight w:val="none"/>
              </w:rPr>
            </w:pPr>
            <w:r>
              <w:rPr>
                <w:rFonts w:ascii="Times New Roman" w:hAnsi="Times New Roman" w:eastAsia="宋体"/>
                <w:highlight w:val="none"/>
              </w:rPr>
              <w:t>99</w:t>
            </w:r>
          </w:p>
        </w:tc>
        <w:tc>
          <w:tcPr>
            <w:tcW w:w="304" w:type="pct"/>
            <w:gridSpan w:val="2"/>
            <w:tcBorders>
              <w:left w:val="single" w:color="auto" w:sz="4" w:space="0"/>
              <w:right w:val="single" w:color="auto" w:sz="4" w:space="0"/>
            </w:tcBorders>
            <w:noWrap w:val="0"/>
            <w:vAlign w:val="center"/>
          </w:tcPr>
          <w:p w14:paraId="79A614F4">
            <w:pPr>
              <w:pStyle w:val="27"/>
              <w:rPr>
                <w:rFonts w:ascii="Times New Roman" w:hAnsi="Times New Roman" w:eastAsia="宋体"/>
                <w:highlight w:val="none"/>
              </w:rPr>
            </w:pPr>
            <w:r>
              <w:rPr>
                <w:rFonts w:hint="eastAsia" w:ascii="Times New Roman" w:hAnsi="Times New Roman" w:eastAsia="宋体"/>
                <w:highlight w:val="none"/>
              </w:rPr>
              <w:t>/</w:t>
            </w:r>
          </w:p>
        </w:tc>
        <w:tc>
          <w:tcPr>
            <w:tcW w:w="324" w:type="pct"/>
            <w:tcBorders>
              <w:left w:val="single" w:color="auto" w:sz="4" w:space="0"/>
              <w:right w:val="single" w:color="auto" w:sz="4" w:space="0"/>
            </w:tcBorders>
            <w:noWrap w:val="0"/>
            <w:vAlign w:val="center"/>
          </w:tcPr>
          <w:p w14:paraId="7707DFF7">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0.0075</w:t>
            </w:r>
          </w:p>
        </w:tc>
        <w:tc>
          <w:tcPr>
            <w:tcW w:w="1040" w:type="pct"/>
            <w:tcBorders>
              <w:top w:val="single" w:color="auto" w:sz="4" w:space="0"/>
              <w:left w:val="single" w:color="auto" w:sz="4" w:space="0"/>
            </w:tcBorders>
            <w:noWrap w:val="0"/>
            <w:vAlign w:val="center"/>
          </w:tcPr>
          <w:p w14:paraId="6DB296EA">
            <w:pPr>
              <w:pStyle w:val="27"/>
              <w:rPr>
                <w:rFonts w:ascii="Times New Roman" w:hAnsi="Times New Roman" w:eastAsia="宋体"/>
                <w:highlight w:val="none"/>
              </w:rPr>
            </w:pPr>
            <w:r>
              <w:rPr>
                <w:rFonts w:hint="eastAsia" w:ascii="Times New Roman" w:hAnsi="Times New Roman" w:eastAsia="宋体"/>
                <w:highlight w:val="none"/>
              </w:rPr>
              <w:t>密闭+脉冲布袋除尘器</w:t>
            </w:r>
          </w:p>
        </w:tc>
        <w:tc>
          <w:tcPr>
            <w:tcW w:w="2051" w:type="pct"/>
            <w:vMerge w:val="continue"/>
            <w:noWrap w:val="0"/>
            <w:vAlign w:val="center"/>
          </w:tcPr>
          <w:p w14:paraId="36C2264D">
            <w:pPr>
              <w:pStyle w:val="27"/>
              <w:rPr>
                <w:rFonts w:ascii="Times New Roman" w:hAnsi="Times New Roman" w:eastAsia="宋体"/>
                <w:kern w:val="0"/>
                <w:highlight w:val="none"/>
              </w:rPr>
            </w:pPr>
          </w:p>
        </w:tc>
      </w:tr>
      <w:tr w14:paraId="3BA033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0" w:type="pct"/>
            <w:vMerge w:val="continue"/>
            <w:noWrap w:val="0"/>
            <w:vAlign w:val="center"/>
          </w:tcPr>
          <w:p w14:paraId="38D28D68">
            <w:pPr>
              <w:pStyle w:val="27"/>
              <w:rPr>
                <w:rFonts w:ascii="Times New Roman" w:hAnsi="Times New Roman" w:eastAsia="宋体"/>
                <w:highlight w:val="none"/>
              </w:rPr>
            </w:pPr>
          </w:p>
        </w:tc>
        <w:tc>
          <w:tcPr>
            <w:tcW w:w="436" w:type="pct"/>
            <w:noWrap w:val="0"/>
            <w:vAlign w:val="center"/>
          </w:tcPr>
          <w:p w14:paraId="243C49FE">
            <w:pPr>
              <w:pStyle w:val="27"/>
              <w:rPr>
                <w:rFonts w:hint="eastAsia" w:ascii="Times New Roman" w:hAnsi="Times New Roman" w:eastAsia="宋体"/>
                <w:highlight w:val="none"/>
              </w:rPr>
            </w:pPr>
            <w:r>
              <w:rPr>
                <w:rFonts w:hint="eastAsia" w:ascii="Times New Roman" w:hAnsi="Times New Roman" w:eastAsia="宋体"/>
                <w:highlight w:val="none"/>
              </w:rPr>
              <w:t>碎煤机室</w:t>
            </w:r>
          </w:p>
        </w:tc>
        <w:tc>
          <w:tcPr>
            <w:tcW w:w="390" w:type="pct"/>
            <w:noWrap w:val="0"/>
            <w:vAlign w:val="center"/>
          </w:tcPr>
          <w:p w14:paraId="3B26EA53">
            <w:pPr>
              <w:pStyle w:val="27"/>
              <w:rPr>
                <w:rFonts w:ascii="Times New Roman" w:hAnsi="Times New Roman" w:eastAsia="宋体"/>
                <w:highlight w:val="none"/>
              </w:rPr>
            </w:pPr>
            <w:r>
              <w:rPr>
                <w:rFonts w:ascii="Times New Roman" w:hAnsi="Times New Roman" w:eastAsia="宋体"/>
                <w:highlight w:val="none"/>
              </w:rPr>
              <w:t>粉尘</w:t>
            </w:r>
          </w:p>
        </w:tc>
        <w:tc>
          <w:tcPr>
            <w:tcW w:w="301" w:type="pct"/>
            <w:gridSpan w:val="2"/>
            <w:tcBorders>
              <w:right w:val="single" w:color="auto" w:sz="4" w:space="0"/>
            </w:tcBorders>
            <w:noWrap w:val="0"/>
            <w:vAlign w:val="center"/>
          </w:tcPr>
          <w:p w14:paraId="2742459D">
            <w:pPr>
              <w:pStyle w:val="27"/>
              <w:rPr>
                <w:rFonts w:ascii="Times New Roman" w:hAnsi="Times New Roman" w:eastAsia="宋体"/>
                <w:highlight w:val="none"/>
              </w:rPr>
            </w:pPr>
            <w:r>
              <w:rPr>
                <w:rFonts w:hint="eastAsia" w:ascii="Times New Roman" w:hAnsi="Times New Roman" w:eastAsia="宋体"/>
                <w:highlight w:val="none"/>
              </w:rPr>
              <w:t>99.9</w:t>
            </w:r>
          </w:p>
        </w:tc>
        <w:tc>
          <w:tcPr>
            <w:tcW w:w="304" w:type="pct"/>
            <w:gridSpan w:val="2"/>
            <w:tcBorders>
              <w:left w:val="single" w:color="auto" w:sz="4" w:space="0"/>
              <w:right w:val="single" w:color="auto" w:sz="4" w:space="0"/>
            </w:tcBorders>
            <w:noWrap w:val="0"/>
            <w:vAlign w:val="center"/>
          </w:tcPr>
          <w:p w14:paraId="1D17A0FC">
            <w:pPr>
              <w:pStyle w:val="27"/>
              <w:rPr>
                <w:rFonts w:hint="eastAsia" w:ascii="Times New Roman" w:hAnsi="Times New Roman" w:eastAsia="宋体"/>
                <w:highlight w:val="none"/>
              </w:rPr>
            </w:pPr>
            <w:r>
              <w:rPr>
                <w:rFonts w:hint="eastAsia" w:ascii="Times New Roman" w:hAnsi="Times New Roman" w:eastAsia="宋体"/>
                <w:highlight w:val="none"/>
              </w:rPr>
              <w:t>/</w:t>
            </w:r>
          </w:p>
        </w:tc>
        <w:tc>
          <w:tcPr>
            <w:tcW w:w="324" w:type="pct"/>
            <w:tcBorders>
              <w:left w:val="single" w:color="auto" w:sz="4" w:space="0"/>
              <w:right w:val="single" w:color="auto" w:sz="4" w:space="0"/>
            </w:tcBorders>
            <w:noWrap w:val="0"/>
            <w:vAlign w:val="center"/>
          </w:tcPr>
          <w:p w14:paraId="54F36C78">
            <w:pPr>
              <w:pStyle w:val="27"/>
              <w:rPr>
                <w:rFonts w:hint="default" w:ascii="Times New Roman" w:hAnsi="Times New Roman" w:eastAsia="宋体"/>
                <w:highlight w:val="none"/>
                <w:lang w:val="en-US" w:eastAsia="zh-CN"/>
              </w:rPr>
            </w:pPr>
            <w:r>
              <w:rPr>
                <w:rFonts w:hint="eastAsia" w:ascii="Times New Roman" w:hAnsi="Times New Roman" w:eastAsia="宋体"/>
                <w:highlight w:val="none"/>
                <w:lang w:val="en-US" w:eastAsia="zh-CN"/>
              </w:rPr>
              <w:t>0.0081</w:t>
            </w:r>
          </w:p>
        </w:tc>
        <w:tc>
          <w:tcPr>
            <w:tcW w:w="1040" w:type="pct"/>
            <w:tcBorders>
              <w:left w:val="single" w:color="auto" w:sz="4" w:space="0"/>
            </w:tcBorders>
            <w:noWrap w:val="0"/>
            <w:vAlign w:val="center"/>
          </w:tcPr>
          <w:p w14:paraId="603CDABE">
            <w:pPr>
              <w:pStyle w:val="27"/>
              <w:rPr>
                <w:rFonts w:ascii="Times New Roman" w:hAnsi="Times New Roman" w:eastAsia="宋体"/>
                <w:highlight w:val="none"/>
              </w:rPr>
            </w:pPr>
            <w:r>
              <w:rPr>
                <w:rFonts w:ascii="Times New Roman" w:hAnsi="Times New Roman" w:eastAsia="宋体"/>
                <w:highlight w:val="none"/>
              </w:rPr>
              <w:t>密闭</w:t>
            </w:r>
            <w:r>
              <w:rPr>
                <w:rFonts w:hint="eastAsia" w:ascii="Times New Roman" w:hAnsi="Times New Roman" w:eastAsia="宋体"/>
                <w:highlight w:val="none"/>
              </w:rPr>
              <w:t>+布袋除尘器</w:t>
            </w:r>
          </w:p>
        </w:tc>
        <w:tc>
          <w:tcPr>
            <w:tcW w:w="2051" w:type="pct"/>
            <w:vMerge w:val="continue"/>
            <w:noWrap w:val="0"/>
            <w:vAlign w:val="center"/>
          </w:tcPr>
          <w:p w14:paraId="6A754760">
            <w:pPr>
              <w:pStyle w:val="27"/>
              <w:rPr>
                <w:rFonts w:ascii="Times New Roman" w:hAnsi="Times New Roman" w:eastAsia="宋体"/>
                <w:kern w:val="0"/>
                <w:highlight w:val="none"/>
              </w:rPr>
            </w:pPr>
          </w:p>
        </w:tc>
      </w:tr>
      <w:tr w14:paraId="460F50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0" w:type="pct"/>
            <w:vMerge w:val="continue"/>
            <w:noWrap w:val="0"/>
            <w:vAlign w:val="center"/>
          </w:tcPr>
          <w:p w14:paraId="0201E906">
            <w:pPr>
              <w:pStyle w:val="27"/>
              <w:rPr>
                <w:rFonts w:ascii="Times New Roman" w:hAnsi="Times New Roman" w:eastAsia="宋体"/>
                <w:highlight w:val="none"/>
              </w:rPr>
            </w:pPr>
          </w:p>
        </w:tc>
        <w:tc>
          <w:tcPr>
            <w:tcW w:w="436" w:type="pct"/>
            <w:noWrap w:val="0"/>
            <w:vAlign w:val="center"/>
          </w:tcPr>
          <w:p w14:paraId="32ED4DA4">
            <w:pPr>
              <w:pStyle w:val="27"/>
              <w:rPr>
                <w:rFonts w:ascii="Times New Roman" w:hAnsi="Times New Roman" w:eastAsia="宋体"/>
                <w:highlight w:val="none"/>
              </w:rPr>
            </w:pPr>
            <w:r>
              <w:rPr>
                <w:rFonts w:ascii="Times New Roman" w:hAnsi="Times New Roman" w:eastAsia="宋体"/>
                <w:highlight w:val="none"/>
              </w:rPr>
              <w:t>食堂</w:t>
            </w:r>
          </w:p>
        </w:tc>
        <w:tc>
          <w:tcPr>
            <w:tcW w:w="390" w:type="pct"/>
            <w:noWrap w:val="0"/>
            <w:vAlign w:val="center"/>
          </w:tcPr>
          <w:p w14:paraId="37D78B50">
            <w:pPr>
              <w:pStyle w:val="27"/>
              <w:rPr>
                <w:rFonts w:ascii="Times New Roman" w:hAnsi="Times New Roman" w:eastAsia="宋体"/>
                <w:highlight w:val="none"/>
              </w:rPr>
            </w:pPr>
            <w:r>
              <w:rPr>
                <w:rFonts w:ascii="Times New Roman" w:hAnsi="Times New Roman" w:eastAsia="宋体"/>
                <w:highlight w:val="none"/>
              </w:rPr>
              <w:t>油烟</w:t>
            </w:r>
          </w:p>
        </w:tc>
        <w:tc>
          <w:tcPr>
            <w:tcW w:w="301" w:type="pct"/>
            <w:gridSpan w:val="2"/>
            <w:tcBorders>
              <w:right w:val="single" w:color="auto" w:sz="4" w:space="0"/>
            </w:tcBorders>
            <w:noWrap w:val="0"/>
            <w:vAlign w:val="center"/>
          </w:tcPr>
          <w:p w14:paraId="0A4D1062">
            <w:pPr>
              <w:pStyle w:val="27"/>
              <w:rPr>
                <w:rFonts w:ascii="Times New Roman" w:hAnsi="Times New Roman" w:eastAsia="宋体"/>
                <w:highlight w:val="none"/>
              </w:rPr>
            </w:pPr>
            <w:r>
              <w:rPr>
                <w:rFonts w:ascii="Times New Roman" w:hAnsi="Times New Roman" w:eastAsia="宋体"/>
                <w:highlight w:val="none"/>
              </w:rPr>
              <w:t>75</w:t>
            </w:r>
          </w:p>
        </w:tc>
        <w:tc>
          <w:tcPr>
            <w:tcW w:w="304" w:type="pct"/>
            <w:gridSpan w:val="2"/>
            <w:tcBorders>
              <w:left w:val="single" w:color="auto" w:sz="4" w:space="0"/>
              <w:right w:val="single" w:color="auto" w:sz="4" w:space="0"/>
            </w:tcBorders>
            <w:noWrap w:val="0"/>
            <w:vAlign w:val="center"/>
          </w:tcPr>
          <w:p w14:paraId="620DEBE9">
            <w:pPr>
              <w:pStyle w:val="27"/>
              <w:rPr>
                <w:rFonts w:ascii="Times New Roman" w:hAnsi="Times New Roman" w:eastAsia="宋体"/>
                <w:highlight w:val="none"/>
              </w:rPr>
            </w:pPr>
            <w:r>
              <w:rPr>
                <w:rFonts w:ascii="Times New Roman" w:hAnsi="Times New Roman" w:eastAsia="宋体"/>
                <w:highlight w:val="none"/>
              </w:rPr>
              <w:t>0.</w:t>
            </w:r>
            <w:r>
              <w:rPr>
                <w:rFonts w:hint="eastAsia" w:ascii="Times New Roman" w:hAnsi="Times New Roman" w:eastAsia="宋体"/>
                <w:highlight w:val="none"/>
              </w:rPr>
              <w:t>824</w:t>
            </w:r>
          </w:p>
        </w:tc>
        <w:tc>
          <w:tcPr>
            <w:tcW w:w="324" w:type="pct"/>
            <w:tcBorders>
              <w:left w:val="single" w:color="auto" w:sz="4" w:space="0"/>
              <w:right w:val="single" w:color="auto" w:sz="4" w:space="0"/>
            </w:tcBorders>
            <w:noWrap w:val="0"/>
            <w:vAlign w:val="center"/>
          </w:tcPr>
          <w:p w14:paraId="4FD8B45A">
            <w:pPr>
              <w:pStyle w:val="27"/>
              <w:rPr>
                <w:rFonts w:ascii="Times New Roman" w:hAnsi="Times New Roman" w:eastAsia="宋体"/>
                <w:highlight w:val="none"/>
              </w:rPr>
            </w:pPr>
            <w:r>
              <w:rPr>
                <w:rFonts w:ascii="Times New Roman" w:hAnsi="Times New Roman" w:eastAsia="宋体"/>
                <w:highlight w:val="none"/>
              </w:rPr>
              <w:t>0.004</w:t>
            </w:r>
          </w:p>
        </w:tc>
        <w:tc>
          <w:tcPr>
            <w:tcW w:w="1040" w:type="pct"/>
            <w:tcBorders>
              <w:left w:val="single" w:color="auto" w:sz="4" w:space="0"/>
            </w:tcBorders>
            <w:noWrap w:val="0"/>
            <w:vAlign w:val="center"/>
          </w:tcPr>
          <w:p w14:paraId="19CBA3F9">
            <w:pPr>
              <w:pStyle w:val="27"/>
              <w:rPr>
                <w:rFonts w:ascii="Times New Roman" w:hAnsi="Times New Roman" w:eastAsia="宋体"/>
                <w:kern w:val="0"/>
                <w:highlight w:val="none"/>
              </w:rPr>
            </w:pPr>
            <w:r>
              <w:rPr>
                <w:rFonts w:ascii="Times New Roman" w:hAnsi="Times New Roman" w:eastAsia="宋体"/>
                <w:kern w:val="0"/>
                <w:highlight w:val="none"/>
              </w:rPr>
              <w:t>油烟净化器</w:t>
            </w:r>
          </w:p>
        </w:tc>
        <w:tc>
          <w:tcPr>
            <w:tcW w:w="2051" w:type="pct"/>
            <w:noWrap w:val="0"/>
            <w:vAlign w:val="center"/>
          </w:tcPr>
          <w:p w14:paraId="113EA769">
            <w:pPr>
              <w:pStyle w:val="27"/>
              <w:rPr>
                <w:rFonts w:ascii="Times New Roman" w:hAnsi="Times New Roman" w:eastAsia="宋体"/>
                <w:highlight w:val="none"/>
              </w:rPr>
            </w:pPr>
            <w:r>
              <w:rPr>
                <w:rFonts w:ascii="Times New Roman" w:hAnsi="Times New Roman" w:eastAsia="宋体"/>
                <w:highlight w:val="none"/>
              </w:rPr>
              <w:t>《饮食业油烟排放标准（试行）》（GB18483-2001）（中型）油烟最高允许排放浓度为2.0mg/m</w:t>
            </w:r>
            <w:r>
              <w:rPr>
                <w:rFonts w:ascii="Times New Roman" w:hAnsi="Times New Roman" w:eastAsia="宋体"/>
                <w:highlight w:val="none"/>
                <w:vertAlign w:val="superscript"/>
              </w:rPr>
              <w:t>3</w:t>
            </w:r>
            <w:r>
              <w:rPr>
                <w:rFonts w:ascii="Times New Roman" w:hAnsi="Times New Roman" w:eastAsia="宋体"/>
                <w:highlight w:val="none"/>
              </w:rPr>
              <w:t>的要求，处理效率≥75%</w:t>
            </w:r>
          </w:p>
        </w:tc>
      </w:tr>
      <w:tr w14:paraId="7EC9718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0" w:type="pct"/>
            <w:vMerge w:val="restart"/>
            <w:tcBorders>
              <w:top w:val="single" w:color="auto" w:sz="4" w:space="0"/>
            </w:tcBorders>
            <w:noWrap w:val="0"/>
            <w:vAlign w:val="center"/>
          </w:tcPr>
          <w:p w14:paraId="3E9744B7">
            <w:pPr>
              <w:pStyle w:val="27"/>
              <w:rPr>
                <w:rFonts w:ascii="Times New Roman" w:hAnsi="Times New Roman" w:eastAsia="宋体"/>
                <w:highlight w:val="none"/>
              </w:rPr>
            </w:pPr>
            <w:r>
              <w:rPr>
                <w:rFonts w:ascii="Times New Roman" w:hAnsi="Times New Roman" w:eastAsia="宋体"/>
                <w:highlight w:val="none"/>
              </w:rPr>
              <w:t>废水</w:t>
            </w:r>
          </w:p>
        </w:tc>
        <w:tc>
          <w:tcPr>
            <w:tcW w:w="436" w:type="pct"/>
            <w:tcBorders>
              <w:top w:val="single" w:color="auto" w:sz="4" w:space="0"/>
            </w:tcBorders>
            <w:noWrap w:val="0"/>
            <w:vAlign w:val="center"/>
          </w:tcPr>
          <w:p w14:paraId="14ADC424">
            <w:pPr>
              <w:pStyle w:val="27"/>
              <w:rPr>
                <w:rFonts w:ascii="Times New Roman" w:hAnsi="Times New Roman" w:eastAsia="宋体"/>
                <w:highlight w:val="none"/>
              </w:rPr>
            </w:pPr>
            <w:r>
              <w:rPr>
                <w:rFonts w:ascii="Times New Roman" w:hAnsi="Times New Roman" w:eastAsia="宋体"/>
                <w:highlight w:val="none"/>
              </w:rPr>
              <w:t>锅炉及烟气净化系统</w:t>
            </w:r>
          </w:p>
        </w:tc>
        <w:tc>
          <w:tcPr>
            <w:tcW w:w="390" w:type="pct"/>
            <w:noWrap w:val="0"/>
            <w:vAlign w:val="center"/>
          </w:tcPr>
          <w:p w14:paraId="21D0A778">
            <w:pPr>
              <w:pStyle w:val="27"/>
              <w:rPr>
                <w:rFonts w:ascii="Times New Roman" w:hAnsi="Times New Roman" w:eastAsia="宋体"/>
                <w:highlight w:val="none"/>
              </w:rPr>
            </w:pPr>
            <w:r>
              <w:rPr>
                <w:rFonts w:ascii="Times New Roman" w:hAnsi="Times New Roman" w:eastAsia="宋体"/>
                <w:highlight w:val="none"/>
              </w:rPr>
              <w:t>生产废水</w:t>
            </w:r>
          </w:p>
        </w:tc>
        <w:tc>
          <w:tcPr>
            <w:tcW w:w="1970" w:type="pct"/>
            <w:gridSpan w:val="6"/>
            <w:noWrap w:val="0"/>
            <w:vAlign w:val="center"/>
          </w:tcPr>
          <w:p w14:paraId="0E32B06F">
            <w:pPr>
              <w:pStyle w:val="27"/>
              <w:rPr>
                <w:rFonts w:ascii="Times New Roman" w:hAnsi="Times New Roman" w:eastAsia="宋体"/>
                <w:highlight w:val="none"/>
              </w:rPr>
            </w:pPr>
            <w:r>
              <w:rPr>
                <w:rFonts w:ascii="Times New Roman" w:hAnsi="Times New Roman" w:eastAsia="宋体"/>
                <w:highlight w:val="none"/>
              </w:rPr>
              <w:t>全部回用，不外排。</w:t>
            </w:r>
          </w:p>
        </w:tc>
        <w:tc>
          <w:tcPr>
            <w:tcW w:w="2051" w:type="pct"/>
            <w:noWrap w:val="0"/>
            <w:vAlign w:val="center"/>
          </w:tcPr>
          <w:p w14:paraId="4C1585BC">
            <w:pPr>
              <w:pStyle w:val="27"/>
              <w:rPr>
                <w:rFonts w:ascii="Times New Roman" w:hAnsi="Times New Roman" w:eastAsia="宋体"/>
                <w:highlight w:val="none"/>
              </w:rPr>
            </w:pPr>
            <w:r>
              <w:rPr>
                <w:rFonts w:ascii="Times New Roman" w:hAnsi="Times New Roman" w:eastAsia="宋体"/>
                <w:highlight w:val="none"/>
              </w:rPr>
              <w:t>废水零排放</w:t>
            </w:r>
          </w:p>
        </w:tc>
      </w:tr>
      <w:tr w14:paraId="52F138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0" w:type="pct"/>
            <w:vMerge w:val="continue"/>
            <w:noWrap w:val="0"/>
            <w:vAlign w:val="center"/>
          </w:tcPr>
          <w:p w14:paraId="745F8940">
            <w:pPr>
              <w:pStyle w:val="27"/>
              <w:rPr>
                <w:rFonts w:ascii="Times New Roman" w:hAnsi="Times New Roman" w:eastAsia="宋体"/>
                <w:highlight w:val="none"/>
              </w:rPr>
            </w:pPr>
          </w:p>
        </w:tc>
        <w:tc>
          <w:tcPr>
            <w:tcW w:w="436" w:type="pct"/>
            <w:tcBorders>
              <w:top w:val="single" w:color="auto" w:sz="4" w:space="0"/>
            </w:tcBorders>
            <w:noWrap w:val="0"/>
            <w:vAlign w:val="center"/>
          </w:tcPr>
          <w:p w14:paraId="0FFB0716">
            <w:pPr>
              <w:pStyle w:val="27"/>
              <w:rPr>
                <w:rFonts w:ascii="Times New Roman" w:hAnsi="Times New Roman" w:eastAsia="宋体"/>
                <w:highlight w:val="none"/>
              </w:rPr>
            </w:pPr>
            <w:r>
              <w:rPr>
                <w:rFonts w:ascii="Times New Roman" w:hAnsi="Times New Roman" w:eastAsia="宋体"/>
                <w:highlight w:val="none"/>
              </w:rPr>
              <w:t>办公室</w:t>
            </w:r>
          </w:p>
        </w:tc>
        <w:tc>
          <w:tcPr>
            <w:tcW w:w="390" w:type="pct"/>
            <w:noWrap w:val="0"/>
            <w:vAlign w:val="center"/>
          </w:tcPr>
          <w:p w14:paraId="6E1D9B34">
            <w:pPr>
              <w:pStyle w:val="27"/>
              <w:rPr>
                <w:rFonts w:ascii="Times New Roman" w:hAnsi="Times New Roman" w:eastAsia="宋体"/>
                <w:highlight w:val="none"/>
              </w:rPr>
            </w:pPr>
            <w:r>
              <w:rPr>
                <w:rFonts w:ascii="Times New Roman" w:hAnsi="Times New Roman" w:eastAsia="宋体"/>
                <w:highlight w:val="none"/>
              </w:rPr>
              <w:t>生活废水</w:t>
            </w:r>
          </w:p>
        </w:tc>
        <w:tc>
          <w:tcPr>
            <w:tcW w:w="1970" w:type="pct"/>
            <w:gridSpan w:val="6"/>
            <w:noWrap w:val="0"/>
            <w:vAlign w:val="center"/>
          </w:tcPr>
          <w:p w14:paraId="1660C9C0">
            <w:pPr>
              <w:pStyle w:val="27"/>
              <w:rPr>
                <w:rFonts w:hint="eastAsia" w:ascii="Times New Roman" w:hAnsi="Times New Roman" w:eastAsia="宋体"/>
                <w:highlight w:val="none"/>
              </w:rPr>
            </w:pPr>
            <w:r>
              <w:rPr>
                <w:rFonts w:hint="eastAsia" w:ascii="Times New Roman" w:hAnsi="Times New Roman" w:eastAsia="宋体"/>
                <w:highlight w:val="none"/>
              </w:rPr>
              <w:t>食堂污水经隔油池处理后与</w:t>
            </w:r>
            <w:r>
              <w:rPr>
                <w:rFonts w:ascii="Times New Roman" w:hAnsi="Times New Roman" w:eastAsia="宋体"/>
                <w:highlight w:val="none"/>
              </w:rPr>
              <w:t>生活污水一同排入市政管网</w:t>
            </w:r>
          </w:p>
        </w:tc>
        <w:tc>
          <w:tcPr>
            <w:tcW w:w="2051" w:type="pct"/>
            <w:noWrap w:val="0"/>
            <w:vAlign w:val="center"/>
          </w:tcPr>
          <w:p w14:paraId="1C3B85B7">
            <w:pPr>
              <w:pStyle w:val="27"/>
              <w:rPr>
                <w:rFonts w:ascii="Times New Roman" w:hAnsi="Times New Roman" w:eastAsia="宋体"/>
                <w:highlight w:val="none"/>
              </w:rPr>
            </w:pPr>
            <w:r>
              <w:rPr>
                <w:rFonts w:ascii="Times New Roman" w:hAnsi="Times New Roman" w:eastAsia="宋体"/>
                <w:highlight w:val="none"/>
              </w:rPr>
              <w:t>《污水综合排放标准》（GB8978-1996）三级标准</w:t>
            </w:r>
          </w:p>
        </w:tc>
      </w:tr>
      <w:tr w14:paraId="220E54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0" w:type="pct"/>
            <w:noWrap w:val="0"/>
            <w:vAlign w:val="center"/>
          </w:tcPr>
          <w:p w14:paraId="21695082">
            <w:pPr>
              <w:pStyle w:val="27"/>
              <w:rPr>
                <w:rFonts w:ascii="Times New Roman" w:hAnsi="Times New Roman" w:eastAsia="宋体"/>
                <w:highlight w:val="none"/>
              </w:rPr>
            </w:pPr>
            <w:r>
              <w:rPr>
                <w:rFonts w:ascii="Times New Roman" w:hAnsi="Times New Roman" w:eastAsia="宋体"/>
                <w:highlight w:val="none"/>
              </w:rPr>
              <w:t>噪声</w:t>
            </w:r>
          </w:p>
        </w:tc>
        <w:tc>
          <w:tcPr>
            <w:tcW w:w="436" w:type="pct"/>
            <w:noWrap w:val="0"/>
            <w:vAlign w:val="center"/>
          </w:tcPr>
          <w:p w14:paraId="6C16D8EC">
            <w:pPr>
              <w:pStyle w:val="27"/>
              <w:rPr>
                <w:rFonts w:ascii="Times New Roman" w:hAnsi="Times New Roman" w:eastAsia="宋体"/>
                <w:highlight w:val="none"/>
              </w:rPr>
            </w:pPr>
            <w:r>
              <w:rPr>
                <w:rFonts w:ascii="Times New Roman" w:hAnsi="Times New Roman" w:eastAsia="宋体"/>
                <w:highlight w:val="none"/>
              </w:rPr>
              <w:t>设备及其他</w:t>
            </w:r>
          </w:p>
        </w:tc>
        <w:tc>
          <w:tcPr>
            <w:tcW w:w="390" w:type="pct"/>
            <w:noWrap w:val="0"/>
            <w:vAlign w:val="center"/>
          </w:tcPr>
          <w:p w14:paraId="1F06EC97">
            <w:pPr>
              <w:pStyle w:val="27"/>
              <w:rPr>
                <w:rFonts w:ascii="Times New Roman" w:hAnsi="Times New Roman" w:eastAsia="宋体"/>
                <w:highlight w:val="none"/>
              </w:rPr>
            </w:pPr>
            <w:r>
              <w:rPr>
                <w:rFonts w:ascii="Times New Roman" w:hAnsi="Times New Roman" w:eastAsia="宋体"/>
                <w:highlight w:val="none"/>
              </w:rPr>
              <w:t>噪声</w:t>
            </w:r>
          </w:p>
        </w:tc>
        <w:tc>
          <w:tcPr>
            <w:tcW w:w="1970" w:type="pct"/>
            <w:gridSpan w:val="6"/>
            <w:noWrap w:val="0"/>
            <w:vAlign w:val="center"/>
          </w:tcPr>
          <w:p w14:paraId="701A64A7">
            <w:pPr>
              <w:pStyle w:val="27"/>
              <w:rPr>
                <w:rFonts w:ascii="Times New Roman" w:hAnsi="Times New Roman" w:eastAsia="宋体"/>
                <w:highlight w:val="none"/>
              </w:rPr>
            </w:pPr>
            <w:r>
              <w:rPr>
                <w:rFonts w:ascii="Times New Roman" w:hAnsi="Times New Roman" w:eastAsia="宋体"/>
                <w:highlight w:val="none"/>
              </w:rPr>
              <w:t>隔声装置，减振措施</w:t>
            </w:r>
          </w:p>
        </w:tc>
        <w:tc>
          <w:tcPr>
            <w:tcW w:w="2051" w:type="pct"/>
            <w:noWrap w:val="0"/>
            <w:vAlign w:val="center"/>
          </w:tcPr>
          <w:p w14:paraId="65F84322">
            <w:pPr>
              <w:pStyle w:val="27"/>
              <w:rPr>
                <w:rFonts w:ascii="Times New Roman" w:hAnsi="Times New Roman" w:eastAsia="宋体"/>
                <w:highlight w:val="none"/>
              </w:rPr>
            </w:pPr>
            <w:r>
              <w:rPr>
                <w:rFonts w:ascii="Times New Roman" w:hAnsi="Times New Roman" w:eastAsia="宋体"/>
                <w:highlight w:val="none"/>
              </w:rPr>
              <w:t>厂界噪声执行《工业企业厂界环境噪声排放标准》（GB12348-2008）表1中的</w:t>
            </w:r>
            <w:r>
              <w:rPr>
                <w:rFonts w:hint="eastAsia" w:ascii="Times New Roman" w:hAnsi="Times New Roman" w:eastAsia="宋体"/>
                <w:highlight w:val="none"/>
                <w:lang w:val="en-US" w:eastAsia="zh-CN"/>
              </w:rPr>
              <w:t>2</w:t>
            </w:r>
            <w:r>
              <w:rPr>
                <w:rFonts w:ascii="Times New Roman" w:hAnsi="Times New Roman" w:eastAsia="宋体"/>
                <w:highlight w:val="none"/>
              </w:rPr>
              <w:t>类</w:t>
            </w:r>
            <w:r>
              <w:rPr>
                <w:rFonts w:hint="eastAsia" w:ascii="Times New Roman" w:hAnsi="Times New Roman" w:eastAsia="宋体"/>
                <w:highlight w:val="none"/>
                <w:lang w:val="en-US" w:eastAsia="zh-CN"/>
              </w:rPr>
              <w:t>和4类</w:t>
            </w:r>
            <w:r>
              <w:rPr>
                <w:rFonts w:ascii="Times New Roman" w:hAnsi="Times New Roman" w:eastAsia="宋体"/>
                <w:highlight w:val="none"/>
              </w:rPr>
              <w:t>标准</w:t>
            </w:r>
          </w:p>
        </w:tc>
      </w:tr>
      <w:tr w14:paraId="23C0D7B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50" w:type="pct"/>
            <w:vMerge w:val="restart"/>
            <w:noWrap w:val="0"/>
            <w:vAlign w:val="center"/>
          </w:tcPr>
          <w:p w14:paraId="1F7C99ED">
            <w:pPr>
              <w:pStyle w:val="27"/>
              <w:rPr>
                <w:rFonts w:ascii="Times New Roman" w:hAnsi="Times New Roman" w:eastAsia="宋体"/>
                <w:highlight w:val="none"/>
              </w:rPr>
            </w:pPr>
            <w:r>
              <w:rPr>
                <w:rFonts w:ascii="Times New Roman" w:hAnsi="Times New Roman" w:eastAsia="宋体"/>
                <w:highlight w:val="none"/>
              </w:rPr>
              <w:t>固废</w:t>
            </w:r>
          </w:p>
        </w:tc>
        <w:tc>
          <w:tcPr>
            <w:tcW w:w="436" w:type="pct"/>
            <w:noWrap w:val="0"/>
            <w:vAlign w:val="center"/>
          </w:tcPr>
          <w:p w14:paraId="2CC8BBE4">
            <w:pPr>
              <w:pStyle w:val="42"/>
              <w:spacing w:before="81" w:after="81"/>
              <w:textAlignment w:val="center"/>
              <w:rPr>
                <w:rFonts w:ascii="Times New Roman" w:hAnsi="Times New Roman" w:eastAsia="宋体"/>
                <w:szCs w:val="21"/>
                <w:highlight w:val="none"/>
              </w:rPr>
            </w:pPr>
            <w:r>
              <w:rPr>
                <w:rFonts w:ascii="Times New Roman" w:hAnsi="Times New Roman" w:eastAsia="宋体"/>
                <w:szCs w:val="21"/>
                <w:highlight w:val="none"/>
              </w:rPr>
              <w:t>锅炉</w:t>
            </w:r>
          </w:p>
        </w:tc>
        <w:tc>
          <w:tcPr>
            <w:tcW w:w="390" w:type="pct"/>
            <w:noWrap w:val="0"/>
            <w:vAlign w:val="center"/>
          </w:tcPr>
          <w:p w14:paraId="2B24FC1D">
            <w:pPr>
              <w:pStyle w:val="42"/>
              <w:spacing w:before="81" w:after="81"/>
              <w:textAlignment w:val="center"/>
              <w:rPr>
                <w:rFonts w:ascii="Times New Roman" w:hAnsi="Times New Roman" w:eastAsia="宋体"/>
                <w:szCs w:val="21"/>
                <w:highlight w:val="none"/>
              </w:rPr>
            </w:pPr>
            <w:r>
              <w:rPr>
                <w:rFonts w:ascii="Times New Roman" w:hAnsi="Times New Roman" w:eastAsia="宋体"/>
                <w:szCs w:val="21"/>
                <w:highlight w:val="none"/>
              </w:rPr>
              <w:t>炉渣</w:t>
            </w:r>
          </w:p>
        </w:tc>
        <w:tc>
          <w:tcPr>
            <w:tcW w:w="238" w:type="pct"/>
            <w:noWrap w:val="0"/>
            <w:vAlign w:val="center"/>
          </w:tcPr>
          <w:p w14:paraId="64CC1D82">
            <w:pPr>
              <w:pStyle w:val="27"/>
              <w:rPr>
                <w:rFonts w:ascii="Times New Roman" w:hAnsi="Times New Roman" w:eastAsia="宋体"/>
                <w:highlight w:val="none"/>
              </w:rPr>
            </w:pPr>
            <w:r>
              <w:rPr>
                <w:rFonts w:ascii="Times New Roman" w:hAnsi="Times New Roman" w:eastAsia="宋体"/>
                <w:highlight w:val="none"/>
              </w:rPr>
              <w:t>/</w:t>
            </w:r>
          </w:p>
        </w:tc>
        <w:tc>
          <w:tcPr>
            <w:tcW w:w="224" w:type="pct"/>
            <w:gridSpan w:val="2"/>
            <w:noWrap w:val="0"/>
            <w:vAlign w:val="center"/>
          </w:tcPr>
          <w:p w14:paraId="24D1F16D">
            <w:pPr>
              <w:pStyle w:val="27"/>
              <w:rPr>
                <w:rFonts w:ascii="Times New Roman" w:hAnsi="Times New Roman" w:eastAsia="宋体"/>
                <w:highlight w:val="none"/>
              </w:rPr>
            </w:pPr>
            <w:r>
              <w:rPr>
                <w:rFonts w:ascii="Times New Roman" w:hAnsi="Times New Roman" w:eastAsia="宋体"/>
                <w:highlight w:val="none"/>
              </w:rPr>
              <w:t>/</w:t>
            </w:r>
          </w:p>
        </w:tc>
        <w:tc>
          <w:tcPr>
            <w:tcW w:w="467" w:type="pct"/>
            <w:gridSpan w:val="2"/>
            <w:noWrap w:val="0"/>
            <w:vAlign w:val="center"/>
          </w:tcPr>
          <w:p w14:paraId="4CA5C947">
            <w:pPr>
              <w:pStyle w:val="42"/>
              <w:spacing w:before="81" w:after="81"/>
              <w:textAlignment w:val="center"/>
              <w:rPr>
                <w:rFonts w:ascii="Times New Roman" w:hAnsi="Times New Roman" w:eastAsia="宋体"/>
                <w:szCs w:val="21"/>
                <w:highlight w:val="none"/>
              </w:rPr>
            </w:pPr>
            <w:r>
              <w:rPr>
                <w:rFonts w:hint="eastAsia" w:ascii="Times New Roman" w:hAnsi="Times New Roman" w:eastAsia="宋体"/>
                <w:szCs w:val="21"/>
                <w:highlight w:val="none"/>
                <w:lang w:val="en-US" w:eastAsia="zh-CN"/>
              </w:rPr>
              <w:t>25919.71</w:t>
            </w:r>
            <w:r>
              <w:rPr>
                <w:rFonts w:ascii="Times New Roman" w:hAnsi="Times New Roman" w:eastAsia="宋体"/>
                <w:szCs w:val="21"/>
                <w:highlight w:val="none"/>
              </w:rPr>
              <w:t>t/a</w:t>
            </w:r>
          </w:p>
        </w:tc>
        <w:tc>
          <w:tcPr>
            <w:tcW w:w="1040" w:type="pct"/>
            <w:vMerge w:val="restart"/>
            <w:noWrap w:val="0"/>
            <w:vAlign w:val="center"/>
          </w:tcPr>
          <w:p w14:paraId="5C38775A">
            <w:pPr>
              <w:pStyle w:val="42"/>
              <w:spacing w:before="81" w:after="81"/>
              <w:textAlignment w:val="center"/>
              <w:rPr>
                <w:rFonts w:ascii="Times New Roman" w:hAnsi="Times New Roman" w:eastAsia="宋体"/>
                <w:szCs w:val="21"/>
                <w:highlight w:val="none"/>
              </w:rPr>
            </w:pPr>
            <w:r>
              <w:rPr>
                <w:rFonts w:ascii="Times New Roman" w:hAnsi="Times New Roman" w:eastAsia="宋体"/>
                <w:szCs w:val="21"/>
                <w:highlight w:val="none"/>
              </w:rPr>
              <w:t>外售进行综合利用。</w:t>
            </w:r>
          </w:p>
        </w:tc>
        <w:tc>
          <w:tcPr>
            <w:tcW w:w="2051" w:type="pct"/>
            <w:noWrap w:val="0"/>
            <w:vAlign w:val="center"/>
          </w:tcPr>
          <w:p w14:paraId="30F3D4E0">
            <w:pPr>
              <w:pStyle w:val="27"/>
              <w:rPr>
                <w:rFonts w:ascii="Times New Roman" w:hAnsi="Times New Roman" w:eastAsia="宋体"/>
                <w:highlight w:val="none"/>
              </w:rPr>
            </w:pPr>
            <w:r>
              <w:rPr>
                <w:rFonts w:ascii="Times New Roman" w:hAnsi="Times New Roman" w:eastAsia="宋体"/>
                <w:highlight w:val="none"/>
              </w:rPr>
              <w:t>妥善处理</w:t>
            </w:r>
          </w:p>
        </w:tc>
      </w:tr>
      <w:tr w14:paraId="056AA4B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0" w:type="pct"/>
            <w:vMerge w:val="continue"/>
            <w:noWrap w:val="0"/>
            <w:vAlign w:val="center"/>
          </w:tcPr>
          <w:p w14:paraId="332AE4AA">
            <w:pPr>
              <w:pStyle w:val="27"/>
              <w:rPr>
                <w:rFonts w:ascii="Times New Roman" w:hAnsi="Times New Roman" w:eastAsia="宋体"/>
                <w:highlight w:val="none"/>
              </w:rPr>
            </w:pPr>
          </w:p>
        </w:tc>
        <w:tc>
          <w:tcPr>
            <w:tcW w:w="436" w:type="pct"/>
            <w:noWrap w:val="0"/>
            <w:vAlign w:val="center"/>
          </w:tcPr>
          <w:p w14:paraId="68992115">
            <w:pPr>
              <w:pStyle w:val="42"/>
              <w:spacing w:before="81" w:after="81"/>
              <w:textAlignment w:val="center"/>
              <w:rPr>
                <w:rFonts w:ascii="Times New Roman" w:hAnsi="Times New Roman" w:eastAsia="宋体"/>
                <w:szCs w:val="21"/>
                <w:highlight w:val="none"/>
              </w:rPr>
            </w:pPr>
            <w:r>
              <w:rPr>
                <w:rFonts w:ascii="Times New Roman" w:hAnsi="Times New Roman" w:eastAsia="宋体"/>
                <w:szCs w:val="21"/>
                <w:highlight w:val="none"/>
              </w:rPr>
              <w:t>锅炉</w:t>
            </w:r>
          </w:p>
        </w:tc>
        <w:tc>
          <w:tcPr>
            <w:tcW w:w="390" w:type="pct"/>
            <w:noWrap w:val="0"/>
            <w:vAlign w:val="center"/>
          </w:tcPr>
          <w:p w14:paraId="3ABD3835">
            <w:pPr>
              <w:pStyle w:val="42"/>
              <w:spacing w:before="81" w:after="81"/>
              <w:textAlignment w:val="center"/>
              <w:rPr>
                <w:rFonts w:ascii="Times New Roman" w:hAnsi="Times New Roman" w:eastAsia="宋体"/>
                <w:szCs w:val="21"/>
                <w:highlight w:val="none"/>
              </w:rPr>
            </w:pPr>
            <w:r>
              <w:rPr>
                <w:rFonts w:ascii="Times New Roman" w:hAnsi="Times New Roman" w:eastAsia="宋体"/>
                <w:szCs w:val="21"/>
                <w:highlight w:val="none"/>
              </w:rPr>
              <w:t>炉灰</w:t>
            </w:r>
          </w:p>
        </w:tc>
        <w:tc>
          <w:tcPr>
            <w:tcW w:w="238" w:type="pct"/>
            <w:noWrap w:val="0"/>
            <w:vAlign w:val="center"/>
          </w:tcPr>
          <w:p w14:paraId="2BC02AF2">
            <w:pPr>
              <w:pStyle w:val="27"/>
              <w:rPr>
                <w:rFonts w:ascii="Times New Roman" w:hAnsi="Times New Roman" w:eastAsia="宋体"/>
                <w:highlight w:val="none"/>
              </w:rPr>
            </w:pPr>
            <w:r>
              <w:rPr>
                <w:rFonts w:ascii="Times New Roman" w:hAnsi="Times New Roman" w:eastAsia="宋体"/>
                <w:highlight w:val="none"/>
              </w:rPr>
              <w:t>/</w:t>
            </w:r>
          </w:p>
        </w:tc>
        <w:tc>
          <w:tcPr>
            <w:tcW w:w="224" w:type="pct"/>
            <w:gridSpan w:val="2"/>
            <w:noWrap w:val="0"/>
            <w:vAlign w:val="center"/>
          </w:tcPr>
          <w:p w14:paraId="38702908">
            <w:pPr>
              <w:pStyle w:val="27"/>
              <w:rPr>
                <w:rFonts w:ascii="Times New Roman" w:hAnsi="Times New Roman" w:eastAsia="宋体"/>
                <w:highlight w:val="none"/>
              </w:rPr>
            </w:pPr>
            <w:r>
              <w:rPr>
                <w:rFonts w:ascii="Times New Roman" w:hAnsi="Times New Roman" w:eastAsia="宋体"/>
                <w:highlight w:val="none"/>
              </w:rPr>
              <w:t>/</w:t>
            </w:r>
          </w:p>
        </w:tc>
        <w:tc>
          <w:tcPr>
            <w:tcW w:w="467" w:type="pct"/>
            <w:gridSpan w:val="2"/>
            <w:noWrap w:val="0"/>
            <w:vAlign w:val="center"/>
          </w:tcPr>
          <w:p w14:paraId="132C3CF8">
            <w:pPr>
              <w:pStyle w:val="42"/>
              <w:spacing w:before="81" w:after="81"/>
              <w:textAlignment w:val="center"/>
              <w:rPr>
                <w:rFonts w:ascii="Times New Roman" w:hAnsi="Times New Roman" w:eastAsia="宋体"/>
                <w:szCs w:val="21"/>
                <w:highlight w:val="none"/>
              </w:rPr>
            </w:pPr>
            <w:r>
              <w:rPr>
                <w:rFonts w:hint="eastAsia" w:ascii="Times New Roman" w:hAnsi="Times New Roman" w:eastAsia="宋体"/>
                <w:szCs w:val="21"/>
                <w:highlight w:val="none"/>
                <w:lang w:val="en-US" w:eastAsia="zh-CN"/>
              </w:rPr>
              <w:t>6050.89</w:t>
            </w:r>
            <w:r>
              <w:rPr>
                <w:rFonts w:ascii="Times New Roman" w:hAnsi="Times New Roman" w:eastAsia="宋体"/>
                <w:szCs w:val="21"/>
                <w:highlight w:val="none"/>
              </w:rPr>
              <w:t>t/a</w:t>
            </w:r>
          </w:p>
        </w:tc>
        <w:tc>
          <w:tcPr>
            <w:tcW w:w="1040" w:type="pct"/>
            <w:vMerge w:val="continue"/>
            <w:noWrap w:val="0"/>
            <w:vAlign w:val="center"/>
          </w:tcPr>
          <w:p w14:paraId="0D2697AC">
            <w:pPr>
              <w:pStyle w:val="42"/>
              <w:spacing w:before="81" w:after="81"/>
              <w:textAlignment w:val="center"/>
              <w:rPr>
                <w:rFonts w:ascii="Times New Roman" w:hAnsi="Times New Roman" w:eastAsia="宋体"/>
                <w:szCs w:val="21"/>
                <w:highlight w:val="none"/>
              </w:rPr>
            </w:pPr>
          </w:p>
        </w:tc>
        <w:tc>
          <w:tcPr>
            <w:tcW w:w="2051" w:type="pct"/>
            <w:noWrap w:val="0"/>
            <w:vAlign w:val="center"/>
          </w:tcPr>
          <w:p w14:paraId="6AE4A3EB">
            <w:pPr>
              <w:pStyle w:val="27"/>
              <w:rPr>
                <w:rFonts w:ascii="Times New Roman" w:hAnsi="Times New Roman" w:eastAsia="宋体"/>
                <w:highlight w:val="none"/>
              </w:rPr>
            </w:pPr>
            <w:r>
              <w:rPr>
                <w:rFonts w:ascii="Times New Roman" w:hAnsi="Times New Roman" w:eastAsia="宋体"/>
                <w:highlight w:val="none"/>
              </w:rPr>
              <w:t>妥善处理</w:t>
            </w:r>
          </w:p>
        </w:tc>
      </w:tr>
      <w:tr w14:paraId="778BE7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0" w:type="pct"/>
            <w:vMerge w:val="continue"/>
            <w:noWrap w:val="0"/>
            <w:vAlign w:val="center"/>
          </w:tcPr>
          <w:p w14:paraId="140664E0">
            <w:pPr>
              <w:pStyle w:val="27"/>
              <w:rPr>
                <w:rFonts w:ascii="Times New Roman" w:hAnsi="Times New Roman" w:eastAsia="宋体"/>
                <w:highlight w:val="none"/>
              </w:rPr>
            </w:pPr>
          </w:p>
        </w:tc>
        <w:tc>
          <w:tcPr>
            <w:tcW w:w="436" w:type="pct"/>
            <w:noWrap w:val="0"/>
            <w:vAlign w:val="center"/>
          </w:tcPr>
          <w:p w14:paraId="7926B093">
            <w:pPr>
              <w:pStyle w:val="42"/>
              <w:spacing w:before="81" w:after="81"/>
              <w:textAlignment w:val="center"/>
              <w:rPr>
                <w:rFonts w:ascii="Times New Roman" w:hAnsi="Times New Roman" w:eastAsia="宋体"/>
                <w:szCs w:val="21"/>
                <w:highlight w:val="none"/>
              </w:rPr>
            </w:pPr>
            <w:r>
              <w:rPr>
                <w:rFonts w:ascii="Times New Roman" w:hAnsi="Times New Roman" w:eastAsia="宋体"/>
                <w:szCs w:val="21"/>
                <w:highlight w:val="none"/>
              </w:rPr>
              <w:t>脱硫塔</w:t>
            </w:r>
          </w:p>
        </w:tc>
        <w:tc>
          <w:tcPr>
            <w:tcW w:w="390" w:type="pct"/>
            <w:noWrap w:val="0"/>
            <w:vAlign w:val="center"/>
          </w:tcPr>
          <w:p w14:paraId="2B1F563D">
            <w:pPr>
              <w:pStyle w:val="42"/>
              <w:spacing w:before="81" w:after="81"/>
              <w:textAlignment w:val="center"/>
              <w:rPr>
                <w:rFonts w:ascii="Times New Roman" w:hAnsi="Times New Roman" w:eastAsia="宋体"/>
                <w:szCs w:val="21"/>
                <w:highlight w:val="none"/>
              </w:rPr>
            </w:pPr>
            <w:r>
              <w:rPr>
                <w:rFonts w:hint="eastAsia" w:ascii="Times New Roman" w:hAnsi="Times New Roman" w:eastAsia="宋体"/>
                <w:szCs w:val="21"/>
                <w:highlight w:val="none"/>
              </w:rPr>
              <w:t>脱硫石膏</w:t>
            </w:r>
          </w:p>
        </w:tc>
        <w:tc>
          <w:tcPr>
            <w:tcW w:w="238" w:type="pct"/>
            <w:noWrap w:val="0"/>
            <w:vAlign w:val="center"/>
          </w:tcPr>
          <w:p w14:paraId="10A934E1">
            <w:pPr>
              <w:pStyle w:val="27"/>
              <w:rPr>
                <w:rFonts w:ascii="Times New Roman" w:hAnsi="Times New Roman" w:eastAsia="宋体"/>
                <w:highlight w:val="none"/>
              </w:rPr>
            </w:pPr>
            <w:r>
              <w:rPr>
                <w:rFonts w:ascii="Times New Roman" w:hAnsi="Times New Roman" w:eastAsia="宋体"/>
                <w:highlight w:val="none"/>
              </w:rPr>
              <w:t>/</w:t>
            </w:r>
          </w:p>
        </w:tc>
        <w:tc>
          <w:tcPr>
            <w:tcW w:w="224" w:type="pct"/>
            <w:gridSpan w:val="2"/>
            <w:noWrap w:val="0"/>
            <w:vAlign w:val="center"/>
          </w:tcPr>
          <w:p w14:paraId="52EA47C1">
            <w:pPr>
              <w:pStyle w:val="27"/>
              <w:rPr>
                <w:rFonts w:ascii="Times New Roman" w:hAnsi="Times New Roman" w:eastAsia="宋体"/>
                <w:highlight w:val="none"/>
              </w:rPr>
            </w:pPr>
            <w:r>
              <w:rPr>
                <w:rFonts w:ascii="Times New Roman" w:hAnsi="Times New Roman" w:eastAsia="宋体"/>
                <w:highlight w:val="none"/>
              </w:rPr>
              <w:t>/</w:t>
            </w:r>
          </w:p>
        </w:tc>
        <w:tc>
          <w:tcPr>
            <w:tcW w:w="467" w:type="pct"/>
            <w:gridSpan w:val="2"/>
            <w:noWrap w:val="0"/>
            <w:vAlign w:val="center"/>
          </w:tcPr>
          <w:p w14:paraId="383DD856">
            <w:pPr>
              <w:pStyle w:val="42"/>
              <w:spacing w:before="81" w:after="81"/>
              <w:textAlignment w:val="center"/>
              <w:rPr>
                <w:rFonts w:ascii="Times New Roman" w:hAnsi="Times New Roman" w:eastAsia="宋体"/>
                <w:szCs w:val="21"/>
                <w:highlight w:val="none"/>
              </w:rPr>
            </w:pPr>
            <w:r>
              <w:rPr>
                <w:rFonts w:hint="eastAsia" w:ascii="Times New Roman" w:hAnsi="Times New Roman" w:eastAsia="宋体"/>
                <w:szCs w:val="21"/>
                <w:highlight w:val="none"/>
                <w:lang w:val="en-US" w:eastAsia="zh-CN"/>
              </w:rPr>
              <w:t>502.549</w:t>
            </w:r>
            <w:r>
              <w:rPr>
                <w:rFonts w:ascii="Times New Roman" w:hAnsi="Times New Roman" w:eastAsia="宋体"/>
                <w:szCs w:val="21"/>
                <w:highlight w:val="none"/>
              </w:rPr>
              <w:t>t/a</w:t>
            </w:r>
          </w:p>
        </w:tc>
        <w:tc>
          <w:tcPr>
            <w:tcW w:w="1040" w:type="pct"/>
            <w:vMerge w:val="continue"/>
            <w:noWrap w:val="0"/>
            <w:vAlign w:val="center"/>
          </w:tcPr>
          <w:p w14:paraId="2E1018FF">
            <w:pPr>
              <w:pStyle w:val="42"/>
              <w:spacing w:before="81" w:after="81"/>
              <w:textAlignment w:val="center"/>
              <w:rPr>
                <w:rFonts w:ascii="Times New Roman" w:hAnsi="Times New Roman" w:eastAsia="宋体"/>
                <w:szCs w:val="21"/>
                <w:highlight w:val="none"/>
              </w:rPr>
            </w:pPr>
          </w:p>
        </w:tc>
        <w:tc>
          <w:tcPr>
            <w:tcW w:w="2051" w:type="pct"/>
            <w:noWrap w:val="0"/>
            <w:vAlign w:val="center"/>
          </w:tcPr>
          <w:p w14:paraId="030FCA78">
            <w:pPr>
              <w:pStyle w:val="27"/>
              <w:rPr>
                <w:rFonts w:ascii="Times New Roman" w:hAnsi="Times New Roman" w:eastAsia="宋体"/>
                <w:highlight w:val="none"/>
              </w:rPr>
            </w:pPr>
            <w:r>
              <w:rPr>
                <w:rFonts w:ascii="Times New Roman" w:hAnsi="Times New Roman" w:eastAsia="宋体"/>
                <w:highlight w:val="none"/>
              </w:rPr>
              <w:t>妥善处理</w:t>
            </w:r>
          </w:p>
        </w:tc>
      </w:tr>
      <w:tr w14:paraId="54EA7F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0" w:type="pct"/>
            <w:vMerge w:val="continue"/>
            <w:noWrap w:val="0"/>
            <w:vAlign w:val="center"/>
          </w:tcPr>
          <w:p w14:paraId="182D44FE">
            <w:pPr>
              <w:pStyle w:val="27"/>
              <w:rPr>
                <w:rFonts w:ascii="Times New Roman" w:hAnsi="Times New Roman" w:eastAsia="宋体"/>
                <w:highlight w:val="none"/>
              </w:rPr>
            </w:pPr>
          </w:p>
        </w:tc>
        <w:tc>
          <w:tcPr>
            <w:tcW w:w="436" w:type="pct"/>
            <w:noWrap w:val="0"/>
            <w:vAlign w:val="center"/>
          </w:tcPr>
          <w:p w14:paraId="7E368D8A">
            <w:pPr>
              <w:pStyle w:val="42"/>
              <w:spacing w:before="81" w:after="81"/>
              <w:textAlignment w:val="center"/>
              <w:rPr>
                <w:rFonts w:ascii="Times New Roman" w:hAnsi="Times New Roman" w:eastAsia="宋体"/>
                <w:szCs w:val="21"/>
                <w:highlight w:val="none"/>
              </w:rPr>
            </w:pPr>
            <w:r>
              <w:rPr>
                <w:rFonts w:ascii="Times New Roman" w:hAnsi="Times New Roman" w:eastAsia="宋体"/>
                <w:szCs w:val="21"/>
                <w:highlight w:val="none"/>
              </w:rPr>
              <w:t>脱硝系统</w:t>
            </w:r>
          </w:p>
        </w:tc>
        <w:tc>
          <w:tcPr>
            <w:tcW w:w="390" w:type="pct"/>
            <w:noWrap w:val="0"/>
            <w:vAlign w:val="center"/>
          </w:tcPr>
          <w:p w14:paraId="1A5C1C83">
            <w:pPr>
              <w:pStyle w:val="42"/>
              <w:spacing w:before="81" w:after="81"/>
              <w:textAlignment w:val="center"/>
              <w:rPr>
                <w:rFonts w:ascii="Times New Roman" w:hAnsi="Times New Roman" w:eastAsia="宋体"/>
                <w:szCs w:val="21"/>
                <w:highlight w:val="none"/>
              </w:rPr>
            </w:pPr>
            <w:r>
              <w:rPr>
                <w:rFonts w:ascii="Times New Roman" w:hAnsi="Times New Roman" w:eastAsia="宋体"/>
                <w:szCs w:val="21"/>
                <w:highlight w:val="none"/>
              </w:rPr>
              <w:t>废催化剂</w:t>
            </w:r>
          </w:p>
        </w:tc>
        <w:tc>
          <w:tcPr>
            <w:tcW w:w="238" w:type="pct"/>
            <w:noWrap w:val="0"/>
            <w:vAlign w:val="center"/>
          </w:tcPr>
          <w:p w14:paraId="6923F3FC">
            <w:pPr>
              <w:pStyle w:val="27"/>
              <w:rPr>
                <w:rFonts w:ascii="Times New Roman" w:hAnsi="Times New Roman" w:eastAsia="宋体"/>
                <w:highlight w:val="none"/>
              </w:rPr>
            </w:pPr>
            <w:r>
              <w:rPr>
                <w:rFonts w:ascii="Times New Roman" w:hAnsi="Times New Roman" w:eastAsia="宋体"/>
                <w:highlight w:val="none"/>
              </w:rPr>
              <w:t>/</w:t>
            </w:r>
          </w:p>
        </w:tc>
        <w:tc>
          <w:tcPr>
            <w:tcW w:w="224" w:type="pct"/>
            <w:gridSpan w:val="2"/>
            <w:noWrap w:val="0"/>
            <w:vAlign w:val="center"/>
          </w:tcPr>
          <w:p w14:paraId="67B8234B">
            <w:pPr>
              <w:pStyle w:val="27"/>
              <w:rPr>
                <w:rFonts w:ascii="Times New Roman" w:hAnsi="Times New Roman" w:eastAsia="宋体"/>
                <w:highlight w:val="none"/>
              </w:rPr>
            </w:pPr>
            <w:r>
              <w:rPr>
                <w:rFonts w:ascii="Times New Roman" w:hAnsi="Times New Roman" w:eastAsia="宋体"/>
                <w:highlight w:val="none"/>
              </w:rPr>
              <w:t>/</w:t>
            </w:r>
          </w:p>
        </w:tc>
        <w:tc>
          <w:tcPr>
            <w:tcW w:w="467" w:type="pct"/>
            <w:gridSpan w:val="2"/>
            <w:noWrap w:val="0"/>
            <w:vAlign w:val="center"/>
          </w:tcPr>
          <w:p w14:paraId="5A1E28F2">
            <w:pPr>
              <w:pStyle w:val="42"/>
              <w:spacing w:before="81" w:after="81"/>
              <w:textAlignment w:val="center"/>
              <w:rPr>
                <w:rFonts w:ascii="Times New Roman" w:hAnsi="Times New Roman" w:eastAsia="宋体"/>
                <w:szCs w:val="21"/>
                <w:highlight w:val="none"/>
              </w:rPr>
            </w:pPr>
            <w:r>
              <w:rPr>
                <w:rFonts w:ascii="Times New Roman" w:hAnsi="Times New Roman" w:eastAsia="宋体"/>
                <w:szCs w:val="21"/>
                <w:highlight w:val="none"/>
              </w:rPr>
              <w:t>10m</w:t>
            </w:r>
            <w:r>
              <w:rPr>
                <w:rFonts w:ascii="Times New Roman" w:hAnsi="Times New Roman" w:eastAsia="宋体"/>
                <w:szCs w:val="21"/>
                <w:highlight w:val="none"/>
                <w:vertAlign w:val="superscript"/>
              </w:rPr>
              <w:t>3</w:t>
            </w:r>
            <w:r>
              <w:rPr>
                <w:rFonts w:ascii="Times New Roman" w:hAnsi="Times New Roman" w:eastAsia="宋体"/>
                <w:szCs w:val="21"/>
                <w:highlight w:val="none"/>
              </w:rPr>
              <w:t>/3a</w:t>
            </w:r>
          </w:p>
        </w:tc>
        <w:tc>
          <w:tcPr>
            <w:tcW w:w="1040" w:type="pct"/>
            <w:noWrap w:val="0"/>
            <w:vAlign w:val="center"/>
          </w:tcPr>
          <w:p w14:paraId="2DF8BA7B">
            <w:pPr>
              <w:pStyle w:val="42"/>
              <w:spacing w:before="81" w:after="81"/>
              <w:textAlignment w:val="center"/>
              <w:rPr>
                <w:rFonts w:ascii="Times New Roman" w:hAnsi="Times New Roman" w:eastAsia="宋体"/>
                <w:szCs w:val="21"/>
                <w:highlight w:val="none"/>
              </w:rPr>
            </w:pPr>
            <w:r>
              <w:rPr>
                <w:rFonts w:ascii="Times New Roman" w:hAnsi="Times New Roman" w:eastAsia="宋体"/>
                <w:szCs w:val="21"/>
                <w:highlight w:val="none"/>
              </w:rPr>
              <w:t>委托有资质单位处置</w:t>
            </w:r>
          </w:p>
        </w:tc>
        <w:tc>
          <w:tcPr>
            <w:tcW w:w="2051" w:type="pct"/>
            <w:noWrap w:val="0"/>
            <w:vAlign w:val="center"/>
          </w:tcPr>
          <w:p w14:paraId="464738BC">
            <w:pPr>
              <w:pStyle w:val="27"/>
              <w:rPr>
                <w:rFonts w:ascii="Times New Roman" w:hAnsi="Times New Roman" w:eastAsia="宋体"/>
                <w:highlight w:val="none"/>
              </w:rPr>
            </w:pPr>
            <w:r>
              <w:rPr>
                <w:rFonts w:ascii="Times New Roman" w:hAnsi="Times New Roman" w:eastAsia="宋体"/>
                <w:highlight w:val="none"/>
              </w:rPr>
              <w:t>妥善处理</w:t>
            </w:r>
          </w:p>
        </w:tc>
      </w:tr>
      <w:tr w14:paraId="58FEDB2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0" w:type="pct"/>
            <w:vMerge w:val="continue"/>
            <w:noWrap w:val="0"/>
            <w:vAlign w:val="center"/>
          </w:tcPr>
          <w:p w14:paraId="5D46EAAD">
            <w:pPr>
              <w:pStyle w:val="27"/>
              <w:rPr>
                <w:rFonts w:ascii="Times New Roman" w:hAnsi="Times New Roman" w:eastAsia="宋体"/>
                <w:highlight w:val="none"/>
              </w:rPr>
            </w:pPr>
          </w:p>
        </w:tc>
        <w:tc>
          <w:tcPr>
            <w:tcW w:w="436" w:type="pct"/>
            <w:noWrap w:val="0"/>
            <w:vAlign w:val="center"/>
          </w:tcPr>
          <w:p w14:paraId="780233AE">
            <w:pPr>
              <w:pStyle w:val="42"/>
              <w:spacing w:before="81" w:after="81"/>
              <w:textAlignment w:val="center"/>
              <w:rPr>
                <w:rFonts w:hint="eastAsia" w:ascii="Times New Roman" w:hAnsi="Times New Roman" w:eastAsia="宋体"/>
                <w:szCs w:val="21"/>
                <w:highlight w:val="none"/>
                <w:lang w:val="en-US" w:eastAsia="zh-CN"/>
              </w:rPr>
            </w:pPr>
            <w:r>
              <w:rPr>
                <w:rFonts w:hint="eastAsia" w:ascii="Times New Roman" w:hAnsi="Times New Roman" w:eastAsia="宋体"/>
                <w:szCs w:val="21"/>
                <w:highlight w:val="none"/>
                <w:lang w:val="en-US" w:eastAsia="zh-CN"/>
              </w:rPr>
              <w:t>设备</w:t>
            </w:r>
          </w:p>
        </w:tc>
        <w:tc>
          <w:tcPr>
            <w:tcW w:w="390" w:type="pct"/>
            <w:noWrap w:val="0"/>
            <w:vAlign w:val="center"/>
          </w:tcPr>
          <w:p w14:paraId="41250E36">
            <w:pPr>
              <w:pStyle w:val="42"/>
              <w:spacing w:before="81" w:after="81"/>
              <w:textAlignment w:val="center"/>
              <w:rPr>
                <w:rFonts w:hint="eastAsia" w:ascii="Times New Roman" w:hAnsi="Times New Roman" w:eastAsia="宋体"/>
                <w:szCs w:val="21"/>
                <w:highlight w:val="none"/>
                <w:lang w:val="en-US" w:eastAsia="zh-CN"/>
              </w:rPr>
            </w:pPr>
            <w:r>
              <w:rPr>
                <w:rFonts w:hint="eastAsia" w:ascii="Times New Roman" w:hAnsi="Times New Roman" w:eastAsia="宋体"/>
                <w:szCs w:val="21"/>
                <w:highlight w:val="none"/>
                <w:lang w:val="en-US" w:eastAsia="zh-CN"/>
              </w:rPr>
              <w:t>废机油</w:t>
            </w:r>
          </w:p>
        </w:tc>
        <w:tc>
          <w:tcPr>
            <w:tcW w:w="238" w:type="pct"/>
            <w:noWrap w:val="0"/>
            <w:vAlign w:val="center"/>
          </w:tcPr>
          <w:p w14:paraId="18F93E55">
            <w:pPr>
              <w:pStyle w:val="27"/>
              <w:rPr>
                <w:rFonts w:hint="eastAsia" w:ascii="Times New Roman" w:hAnsi="Times New Roman" w:eastAsia="宋体"/>
                <w:highlight w:val="none"/>
                <w:lang w:val="en-US" w:eastAsia="zh-CN"/>
              </w:rPr>
            </w:pPr>
            <w:r>
              <w:rPr>
                <w:rFonts w:hint="eastAsia" w:ascii="Times New Roman" w:hAnsi="Times New Roman" w:eastAsia="宋体"/>
                <w:highlight w:val="none"/>
                <w:lang w:val="en-US" w:eastAsia="zh-CN"/>
              </w:rPr>
              <w:t>/</w:t>
            </w:r>
          </w:p>
        </w:tc>
        <w:tc>
          <w:tcPr>
            <w:tcW w:w="224" w:type="pct"/>
            <w:gridSpan w:val="2"/>
            <w:noWrap w:val="0"/>
            <w:vAlign w:val="center"/>
          </w:tcPr>
          <w:p w14:paraId="4019951C">
            <w:pPr>
              <w:pStyle w:val="27"/>
              <w:rPr>
                <w:rFonts w:hint="eastAsia" w:ascii="Times New Roman" w:hAnsi="Times New Roman" w:eastAsia="宋体"/>
                <w:highlight w:val="none"/>
                <w:lang w:val="en-US" w:eastAsia="zh-CN"/>
              </w:rPr>
            </w:pPr>
            <w:r>
              <w:rPr>
                <w:rFonts w:hint="eastAsia" w:ascii="Times New Roman" w:hAnsi="Times New Roman" w:eastAsia="宋体"/>
                <w:highlight w:val="none"/>
                <w:lang w:val="en-US" w:eastAsia="zh-CN"/>
              </w:rPr>
              <w:t>/</w:t>
            </w:r>
          </w:p>
        </w:tc>
        <w:tc>
          <w:tcPr>
            <w:tcW w:w="467" w:type="pct"/>
            <w:gridSpan w:val="2"/>
            <w:noWrap w:val="0"/>
            <w:vAlign w:val="center"/>
          </w:tcPr>
          <w:p w14:paraId="292354FC">
            <w:pPr>
              <w:pStyle w:val="42"/>
              <w:spacing w:before="81" w:after="81"/>
              <w:textAlignment w:val="center"/>
              <w:rPr>
                <w:rFonts w:hint="default" w:ascii="Times New Roman" w:hAnsi="Times New Roman" w:eastAsia="宋体"/>
                <w:szCs w:val="21"/>
                <w:highlight w:val="none"/>
                <w:lang w:val="en-US" w:eastAsia="zh-CN"/>
              </w:rPr>
            </w:pPr>
            <w:r>
              <w:rPr>
                <w:rFonts w:hint="eastAsia" w:ascii="Times New Roman" w:hAnsi="Times New Roman" w:eastAsia="宋体"/>
                <w:szCs w:val="21"/>
                <w:highlight w:val="none"/>
                <w:lang w:val="en-US" w:eastAsia="zh-CN"/>
              </w:rPr>
              <w:t>0.2t/a</w:t>
            </w:r>
          </w:p>
        </w:tc>
        <w:tc>
          <w:tcPr>
            <w:tcW w:w="1040" w:type="pct"/>
            <w:noWrap w:val="0"/>
            <w:vAlign w:val="center"/>
          </w:tcPr>
          <w:p w14:paraId="76905A93">
            <w:pPr>
              <w:pStyle w:val="42"/>
              <w:spacing w:before="81" w:after="81"/>
              <w:ind w:firstLine="0" w:firstLineChars="0"/>
              <w:textAlignment w:val="center"/>
              <w:rPr>
                <w:rFonts w:ascii="Times New Roman" w:hAnsi="Times New Roman" w:eastAsia="宋体"/>
                <w:szCs w:val="21"/>
                <w:highlight w:val="none"/>
              </w:rPr>
            </w:pPr>
            <w:r>
              <w:rPr>
                <w:rFonts w:ascii="Times New Roman" w:hAnsi="Times New Roman" w:eastAsia="宋体"/>
                <w:szCs w:val="21"/>
                <w:highlight w:val="none"/>
              </w:rPr>
              <w:t>委托有资质单位处置</w:t>
            </w:r>
          </w:p>
        </w:tc>
        <w:tc>
          <w:tcPr>
            <w:tcW w:w="2051" w:type="pct"/>
            <w:noWrap w:val="0"/>
            <w:vAlign w:val="center"/>
          </w:tcPr>
          <w:p w14:paraId="266CCA86">
            <w:pPr>
              <w:pStyle w:val="27"/>
              <w:ind w:firstLine="0" w:firstLineChars="0"/>
              <w:rPr>
                <w:rFonts w:ascii="Times New Roman" w:hAnsi="Times New Roman" w:eastAsia="宋体"/>
                <w:highlight w:val="none"/>
              </w:rPr>
            </w:pPr>
            <w:r>
              <w:rPr>
                <w:rFonts w:ascii="Times New Roman" w:hAnsi="Times New Roman" w:eastAsia="宋体"/>
                <w:highlight w:val="none"/>
              </w:rPr>
              <w:t>妥善处理</w:t>
            </w:r>
          </w:p>
        </w:tc>
      </w:tr>
      <w:tr w14:paraId="11936B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0" w:type="pct"/>
            <w:vMerge w:val="continue"/>
            <w:noWrap w:val="0"/>
            <w:vAlign w:val="center"/>
          </w:tcPr>
          <w:p w14:paraId="0802A69E">
            <w:pPr>
              <w:pStyle w:val="27"/>
              <w:rPr>
                <w:rFonts w:ascii="Times New Roman" w:hAnsi="Times New Roman" w:eastAsia="宋体"/>
                <w:highlight w:val="none"/>
              </w:rPr>
            </w:pPr>
          </w:p>
        </w:tc>
        <w:tc>
          <w:tcPr>
            <w:tcW w:w="436" w:type="pct"/>
            <w:noWrap w:val="0"/>
            <w:vAlign w:val="center"/>
          </w:tcPr>
          <w:p w14:paraId="3B34D7EE">
            <w:pPr>
              <w:pStyle w:val="42"/>
              <w:spacing w:before="81" w:after="81"/>
              <w:textAlignment w:val="center"/>
              <w:rPr>
                <w:rFonts w:ascii="Times New Roman" w:hAnsi="Times New Roman" w:eastAsia="宋体"/>
                <w:szCs w:val="21"/>
                <w:highlight w:val="none"/>
              </w:rPr>
            </w:pPr>
            <w:r>
              <w:rPr>
                <w:rFonts w:ascii="Times New Roman" w:hAnsi="Times New Roman" w:eastAsia="宋体"/>
                <w:szCs w:val="21"/>
                <w:highlight w:val="none"/>
              </w:rPr>
              <w:t>水处理</w:t>
            </w:r>
          </w:p>
        </w:tc>
        <w:tc>
          <w:tcPr>
            <w:tcW w:w="390" w:type="pct"/>
            <w:noWrap w:val="0"/>
            <w:vAlign w:val="center"/>
          </w:tcPr>
          <w:p w14:paraId="14F94B8A">
            <w:pPr>
              <w:pStyle w:val="42"/>
              <w:spacing w:before="81" w:after="81"/>
              <w:textAlignment w:val="center"/>
              <w:rPr>
                <w:rFonts w:hint="default" w:ascii="Times New Roman" w:hAnsi="Times New Roman" w:eastAsia="宋体"/>
                <w:szCs w:val="21"/>
                <w:highlight w:val="none"/>
                <w:lang w:val="en-US" w:eastAsia="zh-CN"/>
              </w:rPr>
            </w:pPr>
            <w:r>
              <w:rPr>
                <w:rFonts w:ascii="Times New Roman" w:hAnsi="Times New Roman" w:eastAsia="宋体"/>
                <w:szCs w:val="21"/>
                <w:highlight w:val="none"/>
              </w:rPr>
              <w:t>废离子交换树脂</w:t>
            </w:r>
            <w:r>
              <w:rPr>
                <w:rFonts w:hint="eastAsia" w:ascii="Times New Roman" w:hAnsi="Times New Roman" w:eastAsia="宋体"/>
                <w:szCs w:val="21"/>
                <w:highlight w:val="none"/>
                <w:lang w:val="en-US" w:eastAsia="zh-CN"/>
              </w:rPr>
              <w:t>和反渗透膜</w:t>
            </w:r>
          </w:p>
        </w:tc>
        <w:tc>
          <w:tcPr>
            <w:tcW w:w="238" w:type="pct"/>
            <w:noWrap w:val="0"/>
            <w:vAlign w:val="center"/>
          </w:tcPr>
          <w:p w14:paraId="5F011CD2">
            <w:pPr>
              <w:pStyle w:val="27"/>
              <w:rPr>
                <w:rFonts w:ascii="Times New Roman" w:hAnsi="Times New Roman" w:eastAsia="宋体"/>
                <w:highlight w:val="none"/>
              </w:rPr>
            </w:pPr>
            <w:r>
              <w:rPr>
                <w:rFonts w:ascii="Times New Roman" w:hAnsi="Times New Roman" w:eastAsia="宋体"/>
                <w:highlight w:val="none"/>
              </w:rPr>
              <w:t>/</w:t>
            </w:r>
          </w:p>
        </w:tc>
        <w:tc>
          <w:tcPr>
            <w:tcW w:w="224" w:type="pct"/>
            <w:gridSpan w:val="2"/>
            <w:noWrap w:val="0"/>
            <w:vAlign w:val="center"/>
          </w:tcPr>
          <w:p w14:paraId="0FD457AE">
            <w:pPr>
              <w:pStyle w:val="27"/>
              <w:rPr>
                <w:rFonts w:ascii="Times New Roman" w:hAnsi="Times New Roman" w:eastAsia="宋体"/>
                <w:highlight w:val="none"/>
              </w:rPr>
            </w:pPr>
            <w:r>
              <w:rPr>
                <w:rFonts w:ascii="Times New Roman" w:hAnsi="Times New Roman" w:eastAsia="宋体"/>
                <w:highlight w:val="none"/>
              </w:rPr>
              <w:t>/</w:t>
            </w:r>
          </w:p>
        </w:tc>
        <w:tc>
          <w:tcPr>
            <w:tcW w:w="467" w:type="pct"/>
            <w:gridSpan w:val="2"/>
            <w:noWrap w:val="0"/>
            <w:vAlign w:val="center"/>
          </w:tcPr>
          <w:p w14:paraId="20207945">
            <w:pPr>
              <w:pStyle w:val="42"/>
              <w:spacing w:before="81" w:after="81"/>
              <w:textAlignment w:val="center"/>
              <w:rPr>
                <w:rFonts w:ascii="Times New Roman" w:hAnsi="Times New Roman" w:eastAsia="宋体"/>
                <w:szCs w:val="21"/>
                <w:highlight w:val="none"/>
              </w:rPr>
            </w:pPr>
            <w:r>
              <w:rPr>
                <w:rFonts w:ascii="Times New Roman" w:hAnsi="Times New Roman" w:eastAsia="宋体"/>
                <w:szCs w:val="21"/>
                <w:highlight w:val="none"/>
              </w:rPr>
              <w:t>2t/a</w:t>
            </w:r>
          </w:p>
        </w:tc>
        <w:tc>
          <w:tcPr>
            <w:tcW w:w="1040" w:type="pct"/>
            <w:noWrap w:val="0"/>
            <w:vAlign w:val="center"/>
          </w:tcPr>
          <w:p w14:paraId="54A15060">
            <w:pPr>
              <w:pStyle w:val="42"/>
              <w:spacing w:before="81" w:after="81"/>
              <w:textAlignment w:val="center"/>
              <w:rPr>
                <w:rFonts w:ascii="Times New Roman" w:hAnsi="Times New Roman" w:eastAsia="宋体"/>
                <w:szCs w:val="21"/>
                <w:highlight w:val="none"/>
              </w:rPr>
            </w:pPr>
            <w:r>
              <w:rPr>
                <w:rFonts w:ascii="Times New Roman" w:hAnsi="Times New Roman" w:eastAsia="宋体"/>
                <w:szCs w:val="21"/>
                <w:highlight w:val="none"/>
              </w:rPr>
              <w:t>由市政环卫部门统一处理</w:t>
            </w:r>
          </w:p>
        </w:tc>
        <w:tc>
          <w:tcPr>
            <w:tcW w:w="2051" w:type="pct"/>
            <w:noWrap w:val="0"/>
            <w:vAlign w:val="center"/>
          </w:tcPr>
          <w:p w14:paraId="36C558A3">
            <w:pPr>
              <w:pStyle w:val="27"/>
              <w:rPr>
                <w:rFonts w:ascii="Times New Roman" w:hAnsi="Times New Roman" w:eastAsia="宋体"/>
                <w:highlight w:val="none"/>
              </w:rPr>
            </w:pPr>
            <w:r>
              <w:rPr>
                <w:rFonts w:ascii="Times New Roman" w:hAnsi="Times New Roman" w:eastAsia="宋体"/>
                <w:highlight w:val="none"/>
              </w:rPr>
              <w:t>妥善处理</w:t>
            </w:r>
          </w:p>
        </w:tc>
      </w:tr>
      <w:tr w14:paraId="51BA14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0" w:type="pct"/>
            <w:vMerge w:val="continue"/>
            <w:noWrap w:val="0"/>
            <w:vAlign w:val="center"/>
          </w:tcPr>
          <w:p w14:paraId="6E376CB4">
            <w:pPr>
              <w:pStyle w:val="27"/>
              <w:rPr>
                <w:rFonts w:ascii="Times New Roman" w:hAnsi="Times New Roman" w:eastAsia="宋体"/>
                <w:highlight w:val="none"/>
              </w:rPr>
            </w:pPr>
          </w:p>
        </w:tc>
        <w:tc>
          <w:tcPr>
            <w:tcW w:w="436" w:type="pct"/>
            <w:noWrap w:val="0"/>
            <w:vAlign w:val="center"/>
          </w:tcPr>
          <w:p w14:paraId="5D560802">
            <w:pPr>
              <w:pStyle w:val="42"/>
              <w:spacing w:before="81" w:after="81"/>
              <w:textAlignment w:val="center"/>
              <w:rPr>
                <w:rFonts w:ascii="Times New Roman" w:hAnsi="Times New Roman" w:eastAsia="宋体"/>
                <w:szCs w:val="21"/>
                <w:highlight w:val="none"/>
              </w:rPr>
            </w:pPr>
            <w:r>
              <w:rPr>
                <w:rFonts w:ascii="Times New Roman" w:hAnsi="Times New Roman" w:eastAsia="宋体"/>
                <w:szCs w:val="21"/>
                <w:highlight w:val="none"/>
              </w:rPr>
              <w:t>办公室</w:t>
            </w:r>
          </w:p>
        </w:tc>
        <w:tc>
          <w:tcPr>
            <w:tcW w:w="390" w:type="pct"/>
            <w:noWrap w:val="0"/>
            <w:vAlign w:val="center"/>
          </w:tcPr>
          <w:p w14:paraId="6CF978AE">
            <w:pPr>
              <w:pStyle w:val="42"/>
              <w:spacing w:before="81" w:after="81"/>
              <w:textAlignment w:val="center"/>
              <w:rPr>
                <w:rFonts w:ascii="Times New Roman" w:hAnsi="Times New Roman" w:eastAsia="宋体"/>
                <w:szCs w:val="21"/>
                <w:highlight w:val="none"/>
              </w:rPr>
            </w:pPr>
            <w:r>
              <w:rPr>
                <w:rFonts w:ascii="Times New Roman" w:hAnsi="Times New Roman" w:eastAsia="宋体"/>
                <w:szCs w:val="21"/>
                <w:highlight w:val="none"/>
              </w:rPr>
              <w:t>生活垃圾</w:t>
            </w:r>
          </w:p>
        </w:tc>
        <w:tc>
          <w:tcPr>
            <w:tcW w:w="238" w:type="pct"/>
            <w:noWrap w:val="0"/>
            <w:vAlign w:val="center"/>
          </w:tcPr>
          <w:p w14:paraId="4DB797B4">
            <w:pPr>
              <w:pStyle w:val="27"/>
              <w:rPr>
                <w:rFonts w:ascii="Times New Roman" w:hAnsi="Times New Roman" w:eastAsia="宋体"/>
                <w:highlight w:val="none"/>
              </w:rPr>
            </w:pPr>
            <w:r>
              <w:rPr>
                <w:rFonts w:ascii="Times New Roman" w:hAnsi="Times New Roman" w:eastAsia="宋体"/>
                <w:highlight w:val="none"/>
              </w:rPr>
              <w:t>/</w:t>
            </w:r>
          </w:p>
        </w:tc>
        <w:tc>
          <w:tcPr>
            <w:tcW w:w="224" w:type="pct"/>
            <w:gridSpan w:val="2"/>
            <w:noWrap w:val="0"/>
            <w:vAlign w:val="center"/>
          </w:tcPr>
          <w:p w14:paraId="66B6CD74">
            <w:pPr>
              <w:pStyle w:val="27"/>
              <w:rPr>
                <w:rFonts w:ascii="Times New Roman" w:hAnsi="Times New Roman" w:eastAsia="宋体"/>
                <w:highlight w:val="none"/>
              </w:rPr>
            </w:pPr>
            <w:r>
              <w:rPr>
                <w:rFonts w:ascii="Times New Roman" w:hAnsi="Times New Roman" w:eastAsia="宋体"/>
                <w:highlight w:val="none"/>
              </w:rPr>
              <w:t>/</w:t>
            </w:r>
          </w:p>
        </w:tc>
        <w:tc>
          <w:tcPr>
            <w:tcW w:w="467" w:type="pct"/>
            <w:gridSpan w:val="2"/>
            <w:noWrap w:val="0"/>
            <w:vAlign w:val="center"/>
          </w:tcPr>
          <w:p w14:paraId="3D2E5309">
            <w:pPr>
              <w:pStyle w:val="42"/>
              <w:spacing w:before="81" w:after="81"/>
              <w:textAlignment w:val="center"/>
              <w:rPr>
                <w:rFonts w:ascii="Times New Roman" w:hAnsi="Times New Roman" w:eastAsia="宋体"/>
                <w:szCs w:val="21"/>
                <w:highlight w:val="none"/>
              </w:rPr>
            </w:pPr>
            <w:r>
              <w:rPr>
                <w:rFonts w:hint="eastAsia" w:ascii="Times New Roman" w:hAnsi="Times New Roman" w:eastAsia="宋体"/>
                <w:szCs w:val="21"/>
                <w:highlight w:val="none"/>
                <w:lang w:val="en-US" w:eastAsia="zh-CN"/>
              </w:rPr>
              <w:t>18.38</w:t>
            </w:r>
            <w:r>
              <w:rPr>
                <w:rFonts w:ascii="Times New Roman" w:hAnsi="Times New Roman" w:eastAsia="宋体"/>
                <w:szCs w:val="21"/>
                <w:highlight w:val="none"/>
              </w:rPr>
              <w:t>t/a</w:t>
            </w:r>
          </w:p>
        </w:tc>
        <w:tc>
          <w:tcPr>
            <w:tcW w:w="1040" w:type="pct"/>
            <w:noWrap w:val="0"/>
            <w:vAlign w:val="center"/>
          </w:tcPr>
          <w:p w14:paraId="38C60AAB">
            <w:pPr>
              <w:pStyle w:val="42"/>
              <w:spacing w:before="81" w:after="81"/>
              <w:textAlignment w:val="center"/>
              <w:rPr>
                <w:rFonts w:ascii="Times New Roman" w:hAnsi="Times New Roman" w:eastAsia="宋体"/>
                <w:szCs w:val="21"/>
                <w:highlight w:val="none"/>
              </w:rPr>
            </w:pPr>
            <w:r>
              <w:rPr>
                <w:rFonts w:ascii="Times New Roman" w:hAnsi="Times New Roman" w:eastAsia="宋体"/>
                <w:szCs w:val="21"/>
                <w:highlight w:val="none"/>
              </w:rPr>
              <w:t>由市政环卫部门统一处理</w:t>
            </w:r>
          </w:p>
        </w:tc>
        <w:tc>
          <w:tcPr>
            <w:tcW w:w="2051" w:type="pct"/>
            <w:noWrap w:val="0"/>
            <w:vAlign w:val="center"/>
          </w:tcPr>
          <w:p w14:paraId="010894C3">
            <w:pPr>
              <w:pStyle w:val="27"/>
              <w:rPr>
                <w:rFonts w:ascii="Times New Roman" w:hAnsi="Times New Roman" w:eastAsia="宋体"/>
                <w:highlight w:val="none"/>
              </w:rPr>
            </w:pPr>
            <w:r>
              <w:rPr>
                <w:rFonts w:ascii="Times New Roman" w:hAnsi="Times New Roman" w:eastAsia="宋体"/>
                <w:highlight w:val="none"/>
              </w:rPr>
              <w:t>妥善处理</w:t>
            </w:r>
          </w:p>
        </w:tc>
      </w:tr>
      <w:tr w14:paraId="736F24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0" w:type="pct"/>
            <w:vMerge w:val="continue"/>
            <w:noWrap w:val="0"/>
            <w:vAlign w:val="center"/>
          </w:tcPr>
          <w:p w14:paraId="606E61D8">
            <w:pPr>
              <w:pStyle w:val="27"/>
              <w:rPr>
                <w:rFonts w:ascii="Times New Roman" w:hAnsi="Times New Roman" w:eastAsia="宋体"/>
                <w:highlight w:val="none"/>
              </w:rPr>
            </w:pPr>
          </w:p>
        </w:tc>
        <w:tc>
          <w:tcPr>
            <w:tcW w:w="436" w:type="pct"/>
            <w:noWrap w:val="0"/>
            <w:vAlign w:val="center"/>
          </w:tcPr>
          <w:p w14:paraId="24FBB99A">
            <w:pPr>
              <w:pStyle w:val="42"/>
              <w:spacing w:before="81" w:after="81"/>
              <w:textAlignment w:val="center"/>
              <w:rPr>
                <w:rFonts w:ascii="Times New Roman" w:hAnsi="Times New Roman" w:eastAsia="宋体"/>
                <w:szCs w:val="21"/>
                <w:highlight w:val="none"/>
              </w:rPr>
            </w:pPr>
            <w:r>
              <w:rPr>
                <w:rFonts w:ascii="Times New Roman" w:hAnsi="Times New Roman" w:eastAsia="宋体"/>
                <w:szCs w:val="21"/>
                <w:highlight w:val="none"/>
              </w:rPr>
              <w:t>食堂</w:t>
            </w:r>
          </w:p>
        </w:tc>
        <w:tc>
          <w:tcPr>
            <w:tcW w:w="390" w:type="pct"/>
            <w:noWrap w:val="0"/>
            <w:vAlign w:val="center"/>
          </w:tcPr>
          <w:p w14:paraId="2ABC907B">
            <w:pPr>
              <w:pStyle w:val="42"/>
              <w:spacing w:before="81" w:after="81"/>
              <w:textAlignment w:val="center"/>
              <w:rPr>
                <w:rFonts w:ascii="Times New Roman" w:hAnsi="Times New Roman" w:eastAsia="宋体"/>
                <w:szCs w:val="21"/>
                <w:highlight w:val="none"/>
              </w:rPr>
            </w:pPr>
            <w:r>
              <w:rPr>
                <w:rFonts w:ascii="Times New Roman" w:hAnsi="Times New Roman" w:eastAsia="宋体"/>
                <w:szCs w:val="21"/>
                <w:highlight w:val="none"/>
              </w:rPr>
              <w:t>餐厨垃圾及废油脂</w:t>
            </w:r>
          </w:p>
        </w:tc>
        <w:tc>
          <w:tcPr>
            <w:tcW w:w="238" w:type="pct"/>
            <w:noWrap w:val="0"/>
            <w:vAlign w:val="center"/>
          </w:tcPr>
          <w:p w14:paraId="62ECCBFC">
            <w:pPr>
              <w:pStyle w:val="27"/>
              <w:rPr>
                <w:rFonts w:ascii="Times New Roman" w:hAnsi="Times New Roman" w:eastAsia="宋体"/>
                <w:highlight w:val="none"/>
              </w:rPr>
            </w:pPr>
            <w:r>
              <w:rPr>
                <w:rFonts w:ascii="Times New Roman" w:hAnsi="Times New Roman" w:eastAsia="宋体"/>
                <w:highlight w:val="none"/>
              </w:rPr>
              <w:t>/</w:t>
            </w:r>
          </w:p>
        </w:tc>
        <w:tc>
          <w:tcPr>
            <w:tcW w:w="224" w:type="pct"/>
            <w:gridSpan w:val="2"/>
            <w:noWrap w:val="0"/>
            <w:vAlign w:val="center"/>
          </w:tcPr>
          <w:p w14:paraId="1B75EE0E">
            <w:pPr>
              <w:pStyle w:val="27"/>
              <w:rPr>
                <w:rFonts w:ascii="Times New Roman" w:hAnsi="Times New Roman" w:eastAsia="宋体"/>
                <w:highlight w:val="none"/>
              </w:rPr>
            </w:pPr>
            <w:r>
              <w:rPr>
                <w:rFonts w:ascii="Times New Roman" w:hAnsi="Times New Roman" w:eastAsia="宋体"/>
                <w:highlight w:val="none"/>
              </w:rPr>
              <w:t>/</w:t>
            </w:r>
          </w:p>
        </w:tc>
        <w:tc>
          <w:tcPr>
            <w:tcW w:w="467" w:type="pct"/>
            <w:gridSpan w:val="2"/>
            <w:noWrap w:val="0"/>
            <w:vAlign w:val="center"/>
          </w:tcPr>
          <w:p w14:paraId="3F9473D1">
            <w:pPr>
              <w:pStyle w:val="42"/>
              <w:spacing w:before="81" w:after="81"/>
              <w:textAlignment w:val="center"/>
              <w:rPr>
                <w:rFonts w:ascii="Times New Roman" w:hAnsi="Times New Roman" w:eastAsia="宋体"/>
                <w:szCs w:val="21"/>
                <w:highlight w:val="none"/>
              </w:rPr>
            </w:pPr>
            <w:r>
              <w:rPr>
                <w:rFonts w:hint="eastAsia" w:ascii="Times New Roman" w:hAnsi="Times New Roman" w:eastAsia="宋体"/>
                <w:szCs w:val="21"/>
                <w:highlight w:val="none"/>
                <w:lang w:val="en-US" w:eastAsia="zh-CN"/>
              </w:rPr>
              <w:t>11.122</w:t>
            </w:r>
            <w:r>
              <w:rPr>
                <w:rFonts w:ascii="Times New Roman" w:hAnsi="Times New Roman" w:eastAsia="宋体"/>
                <w:szCs w:val="21"/>
                <w:highlight w:val="none"/>
              </w:rPr>
              <w:t>t/a</w:t>
            </w:r>
          </w:p>
        </w:tc>
        <w:tc>
          <w:tcPr>
            <w:tcW w:w="1040" w:type="pct"/>
            <w:noWrap w:val="0"/>
            <w:vAlign w:val="center"/>
          </w:tcPr>
          <w:p w14:paraId="09325026">
            <w:pPr>
              <w:pStyle w:val="42"/>
              <w:spacing w:before="81" w:after="81"/>
              <w:textAlignment w:val="center"/>
              <w:rPr>
                <w:rFonts w:ascii="Times New Roman" w:hAnsi="Times New Roman" w:eastAsia="宋体"/>
                <w:szCs w:val="21"/>
                <w:highlight w:val="none"/>
              </w:rPr>
            </w:pPr>
            <w:r>
              <w:rPr>
                <w:rFonts w:ascii="Times New Roman" w:hAnsi="Times New Roman" w:eastAsia="宋体"/>
                <w:szCs w:val="21"/>
                <w:highlight w:val="none"/>
              </w:rPr>
              <w:t>委托有资质单位处置</w:t>
            </w:r>
          </w:p>
        </w:tc>
        <w:tc>
          <w:tcPr>
            <w:tcW w:w="2051" w:type="pct"/>
            <w:noWrap w:val="0"/>
            <w:vAlign w:val="center"/>
          </w:tcPr>
          <w:p w14:paraId="0E1E962B">
            <w:pPr>
              <w:pStyle w:val="27"/>
              <w:rPr>
                <w:rFonts w:ascii="Times New Roman" w:hAnsi="Times New Roman" w:eastAsia="宋体"/>
                <w:highlight w:val="none"/>
              </w:rPr>
            </w:pPr>
            <w:r>
              <w:rPr>
                <w:rFonts w:ascii="Times New Roman" w:hAnsi="Times New Roman" w:eastAsia="宋体"/>
                <w:highlight w:val="none"/>
              </w:rPr>
              <w:t>妥善处理</w:t>
            </w:r>
          </w:p>
        </w:tc>
      </w:tr>
    </w:tbl>
    <w:p w14:paraId="134DDE55">
      <w:pPr>
        <w:pStyle w:val="23"/>
        <w:rPr>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5F6B6ED8">
      <w:pPr>
        <w:pStyle w:val="4"/>
        <w:bidi w:val="0"/>
        <w:ind w:left="0" w:leftChars="0" w:firstLine="0" w:firstLineChars="0"/>
        <w:rPr>
          <w:rFonts w:hint="eastAsia"/>
          <w:highlight w:val="none"/>
          <w:lang w:val="en-US" w:eastAsia="zh-CN"/>
        </w:rPr>
      </w:pPr>
      <w:bookmarkStart w:id="176" w:name="_Toc27495"/>
      <w:r>
        <w:rPr>
          <w:rFonts w:hint="eastAsia"/>
          <w:highlight w:val="none"/>
          <w:lang w:val="en-US" w:eastAsia="zh-CN"/>
        </w:rPr>
        <w:t>8.2污染物排放情况</w:t>
      </w:r>
      <w:bookmarkEnd w:id="176"/>
    </w:p>
    <w:p w14:paraId="6F4C5710">
      <w:pPr>
        <w:pStyle w:val="5"/>
        <w:bidi w:val="0"/>
        <w:ind w:left="0" w:leftChars="0" w:firstLine="0" w:firstLineChars="0"/>
        <w:rPr>
          <w:rFonts w:hint="eastAsia"/>
          <w:highlight w:val="none"/>
          <w:lang w:val="en-US" w:eastAsia="zh-CN"/>
        </w:rPr>
      </w:pPr>
      <w:bookmarkStart w:id="177" w:name="_Toc22113"/>
      <w:r>
        <w:rPr>
          <w:rFonts w:hint="default" w:ascii="Times New Roman" w:hAnsi="Times New Roman" w:cs="Times New Roman"/>
          <w:highlight w:val="none"/>
          <w:lang w:val="en-US" w:eastAsia="zh-CN"/>
        </w:rPr>
        <w:t>8.2.1</w:t>
      </w:r>
      <w:r>
        <w:rPr>
          <w:rFonts w:hint="eastAsia"/>
          <w:highlight w:val="none"/>
          <w:lang w:val="en-US" w:eastAsia="zh-CN"/>
        </w:rPr>
        <w:t>污染源排放管理要求</w:t>
      </w:r>
      <w:bookmarkEnd w:id="177"/>
    </w:p>
    <w:p w14:paraId="651EB62E">
      <w:pPr>
        <w:ind w:firstLine="480"/>
        <w:rPr>
          <w:rFonts w:ascii="Times New Roman" w:hAnsi="Times New Roman"/>
          <w:highlight w:val="none"/>
        </w:rPr>
      </w:pPr>
      <w:r>
        <w:rPr>
          <w:rFonts w:ascii="Times New Roman" w:hAnsi="Times New Roman"/>
          <w:highlight w:val="none"/>
        </w:rPr>
        <w:t>（1）建设期</w:t>
      </w:r>
    </w:p>
    <w:p w14:paraId="0B9AAE55">
      <w:pPr>
        <w:ind w:firstLine="480"/>
        <w:rPr>
          <w:rFonts w:ascii="Times New Roman" w:hAnsi="Times New Roman"/>
          <w:highlight w:val="none"/>
        </w:rPr>
      </w:pPr>
      <w:r>
        <w:rPr>
          <w:rFonts w:ascii="Times New Roman" w:hAnsi="Times New Roman"/>
          <w:highlight w:val="none"/>
        </w:rPr>
        <w:t>本项目的建设在环境管理上应严格执行防治污染与主体项目同时设计、同时施工、同时投产的“三同时”制度。在项目正式投产前，必须向负责审批的环境保护管理部门提交环境保护设施竣工验收报告，说明环境保护设施运行的情况，治理的效果，达到的标准，经环境保护主管部门验收合格后方可正式投入生产。</w:t>
      </w:r>
    </w:p>
    <w:p w14:paraId="19C4F2D8">
      <w:pPr>
        <w:ind w:firstLine="480"/>
        <w:rPr>
          <w:rFonts w:ascii="Times New Roman" w:hAnsi="Times New Roman"/>
          <w:highlight w:val="none"/>
        </w:rPr>
      </w:pPr>
      <w:r>
        <w:rPr>
          <w:rFonts w:ascii="Times New Roman" w:hAnsi="Times New Roman"/>
          <w:highlight w:val="none"/>
        </w:rPr>
        <w:t>（2）营运期环境管理计划</w:t>
      </w:r>
    </w:p>
    <w:p w14:paraId="29D36B2C">
      <w:pPr>
        <w:ind w:firstLine="480"/>
        <w:rPr>
          <w:rFonts w:ascii="Times New Roman" w:hAnsi="Times New Roman"/>
          <w:highlight w:val="none"/>
        </w:rPr>
      </w:pPr>
      <w:r>
        <w:rPr>
          <w:rFonts w:ascii="Times New Roman" w:hAnsi="Times New Roman"/>
          <w:highlight w:val="none"/>
        </w:rPr>
        <w:t>1）监督和强化用水管理工作，确保生产废水处理后全部回用；</w:t>
      </w:r>
    </w:p>
    <w:p w14:paraId="6AB18E63">
      <w:pPr>
        <w:ind w:firstLine="480"/>
        <w:rPr>
          <w:rFonts w:ascii="Times New Roman" w:hAnsi="Times New Roman"/>
          <w:highlight w:val="none"/>
        </w:rPr>
      </w:pPr>
      <w:r>
        <w:rPr>
          <w:rFonts w:ascii="Times New Roman" w:hAnsi="Times New Roman"/>
          <w:highlight w:val="none"/>
        </w:rPr>
        <w:t>2）确保烟气除尘、脱硫、脱硝设备正常运行，控制锅炉烟囱排放的废气量及各项污染物浓度指标严格按照环境保护行政主管部门的规定要求排放；</w:t>
      </w:r>
    </w:p>
    <w:p w14:paraId="4F30C3B9">
      <w:pPr>
        <w:ind w:firstLine="480"/>
        <w:rPr>
          <w:rFonts w:ascii="Times New Roman" w:hAnsi="Times New Roman"/>
          <w:highlight w:val="none"/>
        </w:rPr>
      </w:pPr>
      <w:r>
        <w:rPr>
          <w:rFonts w:ascii="Times New Roman" w:hAnsi="Times New Roman"/>
          <w:highlight w:val="none"/>
        </w:rPr>
        <w:t>3）确保各噪声控制设备的正常运行，保证厂界噪声直满足国家标准的要求；</w:t>
      </w:r>
    </w:p>
    <w:p w14:paraId="3E45B17D">
      <w:pPr>
        <w:rPr>
          <w:rFonts w:ascii="Times New Roman" w:hAnsi="Times New Roman"/>
          <w:highlight w:val="none"/>
        </w:rPr>
      </w:pPr>
      <w:r>
        <w:rPr>
          <w:rFonts w:ascii="Times New Roman" w:hAnsi="Times New Roman"/>
          <w:highlight w:val="none"/>
        </w:rPr>
        <w:t>4）做好灰渣及煤在运输过程中的防尘工作，定期进行监督和检查，确保防尘措施的有效性，防止扬尘产生；同时强化工程所排灰渣的回收利用力度。</w:t>
      </w:r>
    </w:p>
    <w:p w14:paraId="4E9B2015">
      <w:pPr>
        <w:pStyle w:val="5"/>
        <w:bidi w:val="0"/>
        <w:ind w:left="0" w:leftChars="0" w:firstLine="0" w:firstLineChars="0"/>
        <w:rPr>
          <w:rFonts w:hint="eastAsia"/>
          <w:highlight w:val="none"/>
          <w:lang w:val="en-US" w:eastAsia="zh-CN"/>
        </w:rPr>
      </w:pPr>
      <w:bookmarkStart w:id="178" w:name="_Toc28081"/>
      <w:r>
        <w:rPr>
          <w:rFonts w:hint="default" w:ascii="Times New Roman" w:hAnsi="Times New Roman" w:cs="Times New Roman"/>
          <w:highlight w:val="none"/>
          <w:lang w:val="en-US" w:eastAsia="zh-CN"/>
        </w:rPr>
        <w:t>8.2.2</w:t>
      </w:r>
      <w:r>
        <w:rPr>
          <w:rFonts w:hint="eastAsia"/>
          <w:highlight w:val="none"/>
          <w:lang w:val="en-US" w:eastAsia="zh-CN"/>
        </w:rPr>
        <w:t>污染物排放总量控制分析</w:t>
      </w:r>
      <w:bookmarkEnd w:id="178"/>
    </w:p>
    <w:p w14:paraId="53622599">
      <w:pPr>
        <w:ind w:firstLine="480"/>
        <w:rPr>
          <w:rFonts w:ascii="Times New Roman" w:hAnsi="Times New Roman"/>
          <w:highlight w:val="none"/>
        </w:rPr>
      </w:pPr>
      <w:r>
        <w:rPr>
          <w:rFonts w:ascii="Times New Roman" w:hAnsi="Times New Roman"/>
          <w:highlight w:val="none"/>
        </w:rPr>
        <w:t>一、总量控制原则</w:t>
      </w:r>
    </w:p>
    <w:p w14:paraId="08330168">
      <w:pPr>
        <w:ind w:firstLine="480"/>
        <w:rPr>
          <w:rFonts w:ascii="Times New Roman" w:hAnsi="Times New Roman"/>
          <w:highlight w:val="none"/>
        </w:rPr>
      </w:pPr>
      <w:r>
        <w:rPr>
          <w:rFonts w:ascii="Times New Roman" w:hAnsi="Times New Roman"/>
          <w:highlight w:val="none"/>
        </w:rPr>
        <w:t>本项目总量控制应以</w:t>
      </w:r>
      <w:r>
        <w:rPr>
          <w:rFonts w:hint="eastAsia" w:ascii="Times New Roman" w:hAnsi="Times New Roman"/>
          <w:highlight w:val="none"/>
          <w:lang w:val="en-US" w:eastAsia="zh-CN"/>
        </w:rPr>
        <w:t>绥芬河</w:t>
      </w:r>
      <w:r>
        <w:rPr>
          <w:rFonts w:ascii="Times New Roman" w:hAnsi="Times New Roman"/>
          <w:highlight w:val="none"/>
        </w:rPr>
        <w:t>市总量控制规划为目标，将本项目投产前后排放的污染物总量变化情况纳入其所在的区域中，实现区域污染物排放总量控制。</w:t>
      </w:r>
    </w:p>
    <w:p w14:paraId="386EC225">
      <w:pPr>
        <w:ind w:firstLine="480"/>
        <w:rPr>
          <w:rFonts w:ascii="Times New Roman" w:hAnsi="Times New Roman"/>
          <w:highlight w:val="none"/>
        </w:rPr>
      </w:pPr>
      <w:r>
        <w:rPr>
          <w:rFonts w:ascii="Times New Roman" w:hAnsi="Times New Roman"/>
          <w:highlight w:val="none"/>
        </w:rPr>
        <w:t>二、总量控制因子</w:t>
      </w:r>
    </w:p>
    <w:p w14:paraId="49CF1D35">
      <w:pPr>
        <w:ind w:firstLine="480"/>
        <w:rPr>
          <w:rFonts w:ascii="Times New Roman" w:hAnsi="Times New Roman"/>
          <w:highlight w:val="none"/>
        </w:rPr>
      </w:pPr>
      <w:r>
        <w:rPr>
          <w:rFonts w:ascii="Times New Roman" w:hAnsi="Times New Roman"/>
          <w:highlight w:val="none"/>
        </w:rPr>
        <w:t>根据本项目排污特征和“十</w:t>
      </w:r>
      <w:r>
        <w:rPr>
          <w:rFonts w:hint="eastAsia" w:ascii="Times New Roman" w:hAnsi="Times New Roman"/>
          <w:highlight w:val="none"/>
        </w:rPr>
        <w:t>四</w:t>
      </w:r>
      <w:r>
        <w:rPr>
          <w:rFonts w:ascii="Times New Roman" w:hAnsi="Times New Roman"/>
          <w:highlight w:val="none"/>
        </w:rPr>
        <w:t>五”总量要求，确定本项目污染物排放总量控制因子为：SO</w:t>
      </w:r>
      <w:r>
        <w:rPr>
          <w:rFonts w:ascii="Times New Roman" w:hAnsi="Times New Roman"/>
          <w:highlight w:val="none"/>
          <w:vertAlign w:val="subscript"/>
        </w:rPr>
        <w:t>2</w:t>
      </w:r>
      <w:r>
        <w:rPr>
          <w:rFonts w:ascii="Times New Roman" w:hAnsi="Times New Roman"/>
          <w:highlight w:val="none"/>
        </w:rPr>
        <w:t>、NOx、颗粒物、COD和氨氮。</w:t>
      </w:r>
    </w:p>
    <w:p w14:paraId="454783A3">
      <w:pPr>
        <w:ind w:firstLine="480"/>
        <w:rPr>
          <w:rFonts w:ascii="Times New Roman" w:hAnsi="Times New Roman"/>
          <w:highlight w:val="none"/>
        </w:rPr>
      </w:pPr>
      <w:r>
        <w:rPr>
          <w:rFonts w:ascii="Times New Roman" w:hAnsi="Times New Roman"/>
          <w:highlight w:val="none"/>
        </w:rPr>
        <w:t>三、总量控制指标</w:t>
      </w:r>
    </w:p>
    <w:p w14:paraId="533366AE">
      <w:pPr>
        <w:pStyle w:val="23"/>
        <w:ind w:firstLine="480"/>
        <w:rPr>
          <w:rFonts w:hint="eastAsia" w:ascii="Times New Roman" w:hAnsi="Times New Roman"/>
          <w:color w:val="auto"/>
          <w:highlight w:val="none"/>
        </w:rPr>
      </w:pPr>
      <w:r>
        <w:rPr>
          <w:rFonts w:ascii="Times New Roman" w:hAnsi="Times New Roman"/>
          <w:color w:val="auto"/>
          <w:highlight w:val="none"/>
        </w:rPr>
        <w:t>本工程污染物排放总量控制因子：颗粒物、SO</w:t>
      </w:r>
      <w:r>
        <w:rPr>
          <w:rFonts w:ascii="Times New Roman" w:hAnsi="Times New Roman"/>
          <w:color w:val="auto"/>
          <w:highlight w:val="none"/>
          <w:vertAlign w:val="subscript"/>
        </w:rPr>
        <w:t>2</w:t>
      </w:r>
      <w:r>
        <w:rPr>
          <w:rFonts w:ascii="Times New Roman" w:hAnsi="Times New Roman"/>
          <w:color w:val="auto"/>
          <w:highlight w:val="none"/>
        </w:rPr>
        <w:t>、NO</w:t>
      </w:r>
      <w:r>
        <w:rPr>
          <w:rFonts w:ascii="Times New Roman" w:hAnsi="Times New Roman"/>
          <w:color w:val="auto"/>
          <w:highlight w:val="none"/>
          <w:vertAlign w:val="subscript"/>
        </w:rPr>
        <w:t>X</w:t>
      </w:r>
      <w:r>
        <w:rPr>
          <w:rFonts w:ascii="Times New Roman" w:hAnsi="Times New Roman"/>
          <w:color w:val="auto"/>
          <w:highlight w:val="none"/>
        </w:rPr>
        <w:t>。</w:t>
      </w:r>
      <w:r>
        <w:rPr>
          <w:rFonts w:hint="eastAsia" w:ascii="Times New Roman" w:hAnsi="Times New Roman"/>
          <w:color w:val="auto"/>
          <w:highlight w:val="none"/>
        </w:rPr>
        <w:t>本项目新增废气污染物二氧化硫、氮氧化物、细颗粒物等</w:t>
      </w:r>
      <w:r>
        <w:rPr>
          <w:rFonts w:hint="eastAsia" w:ascii="Times New Roman" w:hAnsi="Times New Roman"/>
          <w:color w:val="auto"/>
          <w:highlight w:val="none"/>
          <w:lang w:val="en-US" w:eastAsia="zh-CN"/>
        </w:rPr>
        <w:t>核定</w:t>
      </w:r>
      <w:r>
        <w:rPr>
          <w:rFonts w:hint="eastAsia" w:ascii="Times New Roman" w:hAnsi="Times New Roman"/>
          <w:color w:val="auto"/>
          <w:highlight w:val="none"/>
        </w:rPr>
        <w:t>排放总量为：</w:t>
      </w:r>
      <w:r>
        <w:rPr>
          <w:rFonts w:hint="eastAsia" w:ascii="Times New Roman" w:hAnsi="Times New Roman"/>
          <w:highlight w:val="none"/>
          <w:lang w:val="en-US" w:eastAsia="zh-CN"/>
        </w:rPr>
        <w:t>27.658</w:t>
      </w:r>
      <w:r>
        <w:rPr>
          <w:rFonts w:ascii="Times New Roman" w:hAnsi="Times New Roman"/>
          <w:highlight w:val="none"/>
        </w:rPr>
        <w:t>t/a、</w:t>
      </w:r>
      <w:r>
        <w:rPr>
          <w:rFonts w:hint="eastAsia" w:ascii="Times New Roman" w:hAnsi="Times New Roman"/>
          <w:highlight w:val="none"/>
          <w:lang w:val="en-US" w:eastAsia="zh-CN"/>
        </w:rPr>
        <w:t>39.511</w:t>
      </w:r>
      <w:r>
        <w:rPr>
          <w:rFonts w:ascii="Times New Roman" w:hAnsi="Times New Roman"/>
          <w:highlight w:val="none"/>
        </w:rPr>
        <w:t>t/a和</w:t>
      </w:r>
      <w:r>
        <w:rPr>
          <w:rFonts w:hint="eastAsia" w:ascii="Times New Roman" w:hAnsi="Times New Roman"/>
          <w:highlight w:val="none"/>
          <w:lang w:val="en-US" w:eastAsia="zh-CN"/>
        </w:rPr>
        <w:t>7.902</w:t>
      </w:r>
      <w:r>
        <w:rPr>
          <w:rFonts w:ascii="Times New Roman" w:hAnsi="Times New Roman"/>
          <w:highlight w:val="none"/>
        </w:rPr>
        <w:t>t/a。</w:t>
      </w:r>
    </w:p>
    <w:p w14:paraId="4A94316F">
      <w:pPr>
        <w:ind w:firstLine="480"/>
        <w:rPr>
          <w:rFonts w:hint="eastAsia" w:ascii="Times New Roman" w:hAnsi="Times New Roman"/>
          <w:highlight w:val="none"/>
        </w:rPr>
      </w:pPr>
      <w:r>
        <w:rPr>
          <w:rFonts w:hint="eastAsia" w:ascii="Times New Roman" w:hAnsi="Times New Roman"/>
          <w:highlight w:val="none"/>
          <w:lang w:val="en-US" w:eastAsia="zh-CN"/>
        </w:rPr>
        <w:t>绥芬河市新区供热</w:t>
      </w:r>
      <w:r>
        <w:rPr>
          <w:rFonts w:ascii="Times New Roman" w:hAnsi="Times New Roman"/>
          <w:highlight w:val="none"/>
        </w:rPr>
        <w:t>有限</w:t>
      </w:r>
      <w:r>
        <w:rPr>
          <w:rFonts w:hint="eastAsia" w:ascii="Times New Roman" w:hAnsi="Times New Roman"/>
          <w:highlight w:val="none"/>
          <w:lang w:val="en-US" w:eastAsia="zh-CN"/>
        </w:rPr>
        <w:t>责任</w:t>
      </w:r>
      <w:r>
        <w:rPr>
          <w:rFonts w:ascii="Times New Roman" w:hAnsi="Times New Roman"/>
          <w:highlight w:val="none"/>
        </w:rPr>
        <w:t>公司已取得生态环境主管部门核发的新版排污许可证（许可证编号：91231081828141815B001C），有效期2022-0</w:t>
      </w:r>
      <w:r>
        <w:rPr>
          <w:rFonts w:hint="eastAsia" w:ascii="Times New Roman" w:hAnsi="Times New Roman"/>
          <w:highlight w:val="none"/>
          <w:lang w:val="en-US" w:eastAsia="zh-CN"/>
        </w:rPr>
        <w:t>8</w:t>
      </w:r>
      <w:r>
        <w:rPr>
          <w:rFonts w:ascii="Times New Roman" w:hAnsi="Times New Roman"/>
          <w:highlight w:val="none"/>
        </w:rPr>
        <w:t>-2</w:t>
      </w:r>
      <w:r>
        <w:rPr>
          <w:rFonts w:hint="eastAsia" w:ascii="Times New Roman" w:hAnsi="Times New Roman"/>
          <w:highlight w:val="none"/>
          <w:lang w:val="en-US" w:eastAsia="zh-CN"/>
        </w:rPr>
        <w:t>0</w:t>
      </w:r>
      <w:r>
        <w:rPr>
          <w:rFonts w:ascii="Times New Roman" w:hAnsi="Times New Roman"/>
          <w:highlight w:val="none"/>
        </w:rPr>
        <w:t>至2027-0</w:t>
      </w:r>
      <w:r>
        <w:rPr>
          <w:rFonts w:hint="eastAsia" w:ascii="Times New Roman" w:hAnsi="Times New Roman"/>
          <w:highlight w:val="none"/>
          <w:lang w:val="en-US" w:eastAsia="zh-CN"/>
        </w:rPr>
        <w:t>8</w:t>
      </w:r>
      <w:r>
        <w:rPr>
          <w:rFonts w:ascii="Times New Roman" w:hAnsi="Times New Roman"/>
          <w:highlight w:val="none"/>
        </w:rPr>
        <w:t>-</w:t>
      </w:r>
      <w:r>
        <w:rPr>
          <w:rFonts w:hint="eastAsia" w:ascii="Times New Roman" w:hAnsi="Times New Roman"/>
          <w:highlight w:val="none"/>
          <w:lang w:val="en-US" w:eastAsia="zh-CN"/>
        </w:rPr>
        <w:t>19</w:t>
      </w:r>
      <w:r>
        <w:rPr>
          <w:rFonts w:ascii="Times New Roman" w:hAnsi="Times New Roman"/>
          <w:highlight w:val="none"/>
        </w:rPr>
        <w:t>。排污许可证中的总许可量为，颗粒物：</w:t>
      </w:r>
      <w:r>
        <w:rPr>
          <w:rFonts w:hint="eastAsia" w:ascii="Times New Roman" w:hAnsi="Times New Roman"/>
          <w:highlight w:val="none"/>
          <w:lang w:val="en-US" w:eastAsia="zh-CN"/>
        </w:rPr>
        <w:t>110.5</w:t>
      </w:r>
      <w:r>
        <w:rPr>
          <w:rFonts w:ascii="Times New Roman" w:hAnsi="Times New Roman"/>
          <w:highlight w:val="none"/>
        </w:rPr>
        <w:t>t/a、SO</w:t>
      </w:r>
      <w:r>
        <w:rPr>
          <w:rFonts w:ascii="Times New Roman" w:hAnsi="Times New Roman"/>
          <w:highlight w:val="none"/>
          <w:vertAlign w:val="subscript"/>
        </w:rPr>
        <w:t>2</w:t>
      </w:r>
      <w:r>
        <w:rPr>
          <w:rFonts w:ascii="Times New Roman" w:hAnsi="Times New Roman"/>
          <w:highlight w:val="none"/>
        </w:rPr>
        <w:t>：</w:t>
      </w:r>
      <w:r>
        <w:rPr>
          <w:rFonts w:hint="eastAsia" w:ascii="Times New Roman" w:hAnsi="Times New Roman"/>
          <w:highlight w:val="none"/>
          <w:lang w:val="en-US" w:eastAsia="zh-CN"/>
        </w:rPr>
        <w:t>52.8</w:t>
      </w:r>
      <w:r>
        <w:rPr>
          <w:rFonts w:ascii="Times New Roman" w:hAnsi="Times New Roman"/>
          <w:highlight w:val="none"/>
        </w:rPr>
        <w:t>t/a和NOx：</w:t>
      </w:r>
      <w:r>
        <w:rPr>
          <w:rFonts w:hint="eastAsia" w:ascii="Times New Roman" w:hAnsi="Times New Roman"/>
          <w:highlight w:val="none"/>
          <w:lang w:val="en-US" w:eastAsia="zh-CN"/>
        </w:rPr>
        <w:t>161.7</w:t>
      </w:r>
      <w:r>
        <w:rPr>
          <w:rFonts w:ascii="Times New Roman" w:hAnsi="Times New Roman"/>
          <w:highlight w:val="none"/>
        </w:rPr>
        <w:t>t/a。</w:t>
      </w:r>
    </w:p>
    <w:p w14:paraId="5CEE7AB3">
      <w:pPr>
        <w:ind w:firstLine="480"/>
        <w:rPr>
          <w:rFonts w:ascii="Times New Roman" w:hAnsi="Times New Roman"/>
          <w:highlight w:val="none"/>
        </w:rPr>
      </w:pPr>
      <w:r>
        <w:rPr>
          <w:rFonts w:ascii="Times New Roman" w:hAnsi="Times New Roman"/>
          <w:highlight w:val="none"/>
        </w:rPr>
        <w:t>本项目污染物核定总量</w:t>
      </w:r>
      <w:r>
        <w:rPr>
          <w:rFonts w:hint="eastAsia" w:ascii="Times New Roman" w:hAnsi="Times New Roman"/>
          <w:highlight w:val="none"/>
        </w:rPr>
        <w:t>：</w:t>
      </w:r>
      <w:r>
        <w:rPr>
          <w:rFonts w:ascii="Times New Roman" w:hAnsi="Times New Roman"/>
          <w:highlight w:val="none"/>
        </w:rPr>
        <w:t>颗粒物：</w:t>
      </w:r>
      <w:r>
        <w:rPr>
          <w:rFonts w:hint="eastAsia" w:ascii="Times New Roman" w:hAnsi="Times New Roman"/>
          <w:highlight w:val="none"/>
          <w:lang w:val="en-US" w:eastAsia="zh-CN"/>
        </w:rPr>
        <w:t>7.902</w:t>
      </w:r>
      <w:r>
        <w:rPr>
          <w:rFonts w:ascii="Times New Roman" w:hAnsi="Times New Roman"/>
          <w:highlight w:val="none"/>
        </w:rPr>
        <w:t>t/a、SO</w:t>
      </w:r>
      <w:r>
        <w:rPr>
          <w:rFonts w:ascii="Times New Roman" w:hAnsi="Times New Roman"/>
          <w:highlight w:val="none"/>
          <w:vertAlign w:val="subscript"/>
        </w:rPr>
        <w:t>2</w:t>
      </w:r>
      <w:r>
        <w:rPr>
          <w:rFonts w:ascii="Times New Roman" w:hAnsi="Times New Roman"/>
          <w:highlight w:val="none"/>
        </w:rPr>
        <w:t>：</w:t>
      </w:r>
      <w:r>
        <w:rPr>
          <w:rFonts w:hint="eastAsia" w:ascii="Times New Roman" w:hAnsi="Times New Roman"/>
          <w:highlight w:val="none"/>
          <w:lang w:val="en-US" w:eastAsia="zh-CN"/>
        </w:rPr>
        <w:t>27.658</w:t>
      </w:r>
      <w:r>
        <w:rPr>
          <w:rFonts w:ascii="Times New Roman" w:hAnsi="Times New Roman"/>
          <w:highlight w:val="none"/>
        </w:rPr>
        <w:t>t/a和NOx：</w:t>
      </w:r>
      <w:r>
        <w:rPr>
          <w:rFonts w:hint="eastAsia" w:ascii="Times New Roman" w:hAnsi="Times New Roman"/>
          <w:highlight w:val="none"/>
          <w:lang w:val="en-US" w:eastAsia="zh-CN"/>
        </w:rPr>
        <w:t>39.511</w:t>
      </w:r>
      <w:r>
        <w:rPr>
          <w:rFonts w:ascii="Times New Roman" w:hAnsi="Times New Roman"/>
          <w:highlight w:val="none"/>
        </w:rPr>
        <w:t>t/a。</w:t>
      </w:r>
    </w:p>
    <w:p w14:paraId="1560850B">
      <w:pPr>
        <w:rPr>
          <w:rFonts w:ascii="Times New Roman" w:hAnsi="Times New Roman"/>
          <w:highlight w:val="none"/>
        </w:rPr>
      </w:pPr>
      <w:r>
        <w:rPr>
          <w:rFonts w:ascii="Times New Roman" w:hAnsi="Times New Roman"/>
          <w:highlight w:val="none"/>
        </w:rPr>
        <w:t>全厂核定量：颗粒物：</w:t>
      </w:r>
      <w:r>
        <w:rPr>
          <w:rFonts w:hint="eastAsia" w:ascii="Times New Roman" w:hAnsi="Times New Roman"/>
          <w:highlight w:val="none"/>
          <w:lang w:val="en-US" w:eastAsia="zh-CN"/>
        </w:rPr>
        <w:t>7.902</w:t>
      </w:r>
      <w:r>
        <w:rPr>
          <w:rFonts w:ascii="Times New Roman" w:hAnsi="Times New Roman"/>
          <w:highlight w:val="none"/>
        </w:rPr>
        <w:t>t/a、SO</w:t>
      </w:r>
      <w:r>
        <w:rPr>
          <w:rFonts w:ascii="Times New Roman" w:hAnsi="Times New Roman"/>
          <w:highlight w:val="none"/>
          <w:vertAlign w:val="subscript"/>
        </w:rPr>
        <w:t>2</w:t>
      </w:r>
      <w:r>
        <w:rPr>
          <w:rFonts w:ascii="Times New Roman" w:hAnsi="Times New Roman"/>
          <w:highlight w:val="none"/>
        </w:rPr>
        <w:t>：</w:t>
      </w:r>
      <w:r>
        <w:rPr>
          <w:rFonts w:hint="eastAsia" w:ascii="Times New Roman" w:hAnsi="Times New Roman"/>
          <w:highlight w:val="none"/>
          <w:lang w:val="en-US" w:eastAsia="zh-CN"/>
        </w:rPr>
        <w:t>27.658</w:t>
      </w:r>
      <w:r>
        <w:rPr>
          <w:rFonts w:ascii="Times New Roman" w:hAnsi="Times New Roman"/>
          <w:highlight w:val="none"/>
        </w:rPr>
        <w:t>t/a和NOx：</w:t>
      </w:r>
      <w:r>
        <w:rPr>
          <w:rFonts w:hint="eastAsia" w:ascii="Times New Roman" w:hAnsi="Times New Roman"/>
          <w:highlight w:val="none"/>
          <w:lang w:val="en-US" w:eastAsia="zh-CN"/>
        </w:rPr>
        <w:t>39.511</w:t>
      </w:r>
      <w:r>
        <w:rPr>
          <w:rFonts w:ascii="Times New Roman" w:hAnsi="Times New Roman"/>
          <w:highlight w:val="none"/>
        </w:rPr>
        <w:t>t/a。</w:t>
      </w:r>
    </w:p>
    <w:p w14:paraId="14A8CD9B">
      <w:pPr>
        <w:pStyle w:val="5"/>
        <w:bidi w:val="0"/>
        <w:ind w:left="0" w:leftChars="0" w:firstLine="0" w:firstLineChars="0"/>
        <w:rPr>
          <w:rFonts w:hint="eastAsia"/>
          <w:highlight w:val="none"/>
          <w:lang w:val="en-US" w:eastAsia="zh-CN"/>
        </w:rPr>
      </w:pPr>
      <w:bookmarkStart w:id="179" w:name="_Toc23287"/>
      <w:r>
        <w:rPr>
          <w:rFonts w:hint="default" w:ascii="Times New Roman" w:hAnsi="Times New Roman" w:cs="Times New Roman"/>
          <w:highlight w:val="none"/>
          <w:lang w:val="en-US" w:eastAsia="zh-CN"/>
        </w:rPr>
        <w:t>8.2.3</w:t>
      </w:r>
      <w:r>
        <w:rPr>
          <w:rFonts w:hint="eastAsia"/>
          <w:highlight w:val="none"/>
          <w:lang w:val="en-US" w:eastAsia="zh-CN"/>
        </w:rPr>
        <w:t>项目污染物排放“三本账”分析</w:t>
      </w:r>
      <w:bookmarkEnd w:id="179"/>
    </w:p>
    <w:p w14:paraId="57C9B7A0">
      <w:pPr>
        <w:ind w:firstLine="480"/>
        <w:rPr>
          <w:rFonts w:ascii="Times New Roman" w:hAnsi="Times New Roman"/>
          <w:highlight w:val="none"/>
        </w:rPr>
      </w:pPr>
      <w:r>
        <w:rPr>
          <w:rFonts w:ascii="Times New Roman" w:hAnsi="Times New Roman"/>
          <w:highlight w:val="none"/>
        </w:rPr>
        <w:t>本项目污染物排放“三本账”一览表见表8.2-</w:t>
      </w:r>
      <w:r>
        <w:rPr>
          <w:rFonts w:hint="eastAsia" w:ascii="Times New Roman" w:hAnsi="Times New Roman"/>
          <w:highlight w:val="none"/>
        </w:rPr>
        <w:t>1</w:t>
      </w:r>
      <w:r>
        <w:rPr>
          <w:rFonts w:ascii="Times New Roman" w:hAnsi="Times New Roman"/>
          <w:highlight w:val="none"/>
        </w:rPr>
        <w:t>。</w:t>
      </w:r>
    </w:p>
    <w:p w14:paraId="7D7EB5B8">
      <w:pPr>
        <w:ind w:firstLine="0" w:firstLineChars="0"/>
        <w:jc w:val="center"/>
        <w:rPr>
          <w:rFonts w:ascii="Times New Roman" w:hAnsi="Times New Roman"/>
          <w:highlight w:val="none"/>
        </w:rPr>
      </w:pPr>
      <w:r>
        <w:rPr>
          <w:rFonts w:hint="eastAsia" w:ascii="黑体" w:hAnsi="黑体" w:eastAsia="黑体" w:cs="黑体"/>
          <w:highlight w:val="none"/>
        </w:rPr>
        <w:t>表</w:t>
      </w:r>
      <w:r>
        <w:rPr>
          <w:rFonts w:ascii="Times New Roman" w:hAnsi="Times New Roman"/>
          <w:highlight w:val="none"/>
        </w:rPr>
        <w:t>8.2-</w:t>
      </w:r>
      <w:r>
        <w:rPr>
          <w:rFonts w:hint="eastAsia" w:ascii="Times New Roman" w:hAnsi="Times New Roman"/>
          <w:highlight w:val="none"/>
        </w:rPr>
        <w:t>1</w:t>
      </w:r>
      <w:r>
        <w:rPr>
          <w:rFonts w:hint="eastAsia" w:ascii="黑体" w:hAnsi="黑体" w:eastAsia="黑体" w:cs="黑体"/>
          <w:highlight w:val="none"/>
        </w:rPr>
        <w:t>本项目污染物排放“三本账”一览表</w:t>
      </w:r>
      <w:r>
        <w:rPr>
          <w:rFonts w:ascii="Times New Roman" w:hAnsi="Times New Roman"/>
          <w:highlight w:val="none"/>
        </w:rPr>
        <w:t>（</w:t>
      </w:r>
      <w:r>
        <w:rPr>
          <w:rFonts w:hint="eastAsia" w:ascii="黑体" w:hAnsi="黑体" w:eastAsia="黑体" w:cs="黑体"/>
          <w:highlight w:val="none"/>
        </w:rPr>
        <w:t>单位</w:t>
      </w:r>
      <w:r>
        <w:rPr>
          <w:rFonts w:ascii="Times New Roman" w:hAnsi="Times New Roman"/>
          <w:highlight w:val="none"/>
        </w:rPr>
        <w:t>t/a）</w:t>
      </w:r>
    </w:p>
    <w:tbl>
      <w:tblPr>
        <w:tblStyle w:val="1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7"/>
        <w:gridCol w:w="899"/>
        <w:gridCol w:w="770"/>
        <w:gridCol w:w="1007"/>
        <w:gridCol w:w="887"/>
        <w:gridCol w:w="1194"/>
        <w:gridCol w:w="900"/>
        <w:gridCol w:w="1008"/>
        <w:gridCol w:w="1157"/>
      </w:tblGrid>
      <w:tr w14:paraId="733EA7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410" w:type="pct"/>
            <w:noWrap w:val="0"/>
            <w:vAlign w:val="center"/>
          </w:tcPr>
          <w:p w14:paraId="132977A5">
            <w:pPr>
              <w:pStyle w:val="27"/>
              <w:contextualSpacing/>
              <w:rPr>
                <w:rFonts w:ascii="Times New Roman" w:hAnsi="Times New Roman"/>
                <w:highlight w:val="none"/>
              </w:rPr>
            </w:pPr>
            <w:r>
              <w:rPr>
                <w:rFonts w:ascii="Times New Roman" w:hAnsi="Times New Roman"/>
                <w:highlight w:val="none"/>
              </w:rPr>
              <w:t>污染物</w:t>
            </w:r>
          </w:p>
        </w:tc>
        <w:tc>
          <w:tcPr>
            <w:tcW w:w="521" w:type="pct"/>
            <w:noWrap w:val="0"/>
            <w:vAlign w:val="center"/>
          </w:tcPr>
          <w:p w14:paraId="1616C0C2">
            <w:pPr>
              <w:pStyle w:val="27"/>
              <w:contextualSpacing/>
              <w:rPr>
                <w:rFonts w:ascii="Times New Roman" w:hAnsi="Times New Roman"/>
                <w:highlight w:val="none"/>
              </w:rPr>
            </w:pPr>
            <w:r>
              <w:rPr>
                <w:rFonts w:ascii="Times New Roman" w:hAnsi="Times New Roman"/>
                <w:highlight w:val="none"/>
              </w:rPr>
              <w:t>现有工程实际排放量</w:t>
            </w:r>
          </w:p>
        </w:tc>
        <w:tc>
          <w:tcPr>
            <w:tcW w:w="453" w:type="pct"/>
            <w:noWrap w:val="0"/>
            <w:vAlign w:val="center"/>
          </w:tcPr>
          <w:p w14:paraId="03F40105">
            <w:pPr>
              <w:pStyle w:val="27"/>
              <w:contextualSpacing/>
              <w:rPr>
                <w:rFonts w:ascii="Times New Roman" w:hAnsi="Times New Roman"/>
                <w:highlight w:val="none"/>
              </w:rPr>
            </w:pPr>
            <w:r>
              <w:rPr>
                <w:rFonts w:ascii="Times New Roman" w:hAnsi="Times New Roman"/>
                <w:highlight w:val="none"/>
              </w:rPr>
              <w:t>现有工程许可排放量</w:t>
            </w:r>
          </w:p>
        </w:tc>
        <w:tc>
          <w:tcPr>
            <w:tcW w:w="592" w:type="pct"/>
            <w:noWrap w:val="0"/>
            <w:vAlign w:val="center"/>
          </w:tcPr>
          <w:p w14:paraId="12DCF6F6">
            <w:pPr>
              <w:pStyle w:val="27"/>
              <w:contextualSpacing/>
              <w:rPr>
                <w:rFonts w:ascii="Times New Roman" w:hAnsi="Times New Roman"/>
                <w:highlight w:val="none"/>
              </w:rPr>
            </w:pPr>
            <w:r>
              <w:rPr>
                <w:rFonts w:ascii="Times New Roman" w:hAnsi="Times New Roman"/>
                <w:highlight w:val="none"/>
              </w:rPr>
              <w:t>本工程预测排放量（拟建）</w:t>
            </w:r>
          </w:p>
        </w:tc>
        <w:tc>
          <w:tcPr>
            <w:tcW w:w="521" w:type="pct"/>
            <w:noWrap w:val="0"/>
            <w:vAlign w:val="center"/>
          </w:tcPr>
          <w:p w14:paraId="547E831A">
            <w:pPr>
              <w:pStyle w:val="27"/>
              <w:contextualSpacing/>
              <w:rPr>
                <w:rFonts w:ascii="Times New Roman" w:hAnsi="Times New Roman"/>
                <w:highlight w:val="none"/>
              </w:rPr>
            </w:pPr>
            <w:r>
              <w:rPr>
                <w:rFonts w:ascii="Times New Roman" w:hAnsi="Times New Roman"/>
                <w:highlight w:val="none"/>
              </w:rPr>
              <w:t>本工程核定排放量（拟建）</w:t>
            </w:r>
          </w:p>
        </w:tc>
        <w:tc>
          <w:tcPr>
            <w:tcW w:w="701" w:type="pct"/>
            <w:noWrap w:val="0"/>
            <w:vAlign w:val="center"/>
          </w:tcPr>
          <w:p w14:paraId="4F942B96">
            <w:pPr>
              <w:pStyle w:val="27"/>
              <w:contextualSpacing/>
              <w:rPr>
                <w:rFonts w:ascii="Times New Roman" w:hAnsi="Times New Roman"/>
                <w:highlight w:val="none"/>
              </w:rPr>
            </w:pPr>
            <w:r>
              <w:rPr>
                <w:rFonts w:ascii="Times New Roman" w:hAnsi="Times New Roman"/>
                <w:highlight w:val="none"/>
              </w:rPr>
              <w:t>“以新带老”削减量</w:t>
            </w:r>
          </w:p>
        </w:tc>
        <w:tc>
          <w:tcPr>
            <w:tcW w:w="527" w:type="pct"/>
            <w:noWrap w:val="0"/>
            <w:vAlign w:val="center"/>
          </w:tcPr>
          <w:p w14:paraId="61BA772B">
            <w:pPr>
              <w:pStyle w:val="27"/>
              <w:contextualSpacing/>
              <w:rPr>
                <w:rFonts w:ascii="Times New Roman" w:hAnsi="Times New Roman"/>
                <w:highlight w:val="none"/>
              </w:rPr>
            </w:pPr>
            <w:r>
              <w:rPr>
                <w:rFonts w:ascii="Times New Roman" w:hAnsi="Times New Roman"/>
                <w:highlight w:val="none"/>
              </w:rPr>
              <w:t>总体工程预测排放量</w:t>
            </w:r>
          </w:p>
        </w:tc>
        <w:tc>
          <w:tcPr>
            <w:tcW w:w="592" w:type="pct"/>
            <w:noWrap w:val="0"/>
            <w:vAlign w:val="center"/>
          </w:tcPr>
          <w:p w14:paraId="0C35EE85">
            <w:pPr>
              <w:pStyle w:val="27"/>
              <w:contextualSpacing/>
              <w:rPr>
                <w:rFonts w:ascii="Times New Roman" w:hAnsi="Times New Roman"/>
                <w:highlight w:val="none"/>
              </w:rPr>
            </w:pPr>
            <w:r>
              <w:rPr>
                <w:rFonts w:ascii="Times New Roman" w:hAnsi="Times New Roman"/>
                <w:highlight w:val="none"/>
              </w:rPr>
              <w:t>总体工程核定排放量</w:t>
            </w:r>
          </w:p>
        </w:tc>
        <w:tc>
          <w:tcPr>
            <w:tcW w:w="679" w:type="pct"/>
            <w:noWrap w:val="0"/>
            <w:vAlign w:val="center"/>
          </w:tcPr>
          <w:p w14:paraId="1B4E2742">
            <w:pPr>
              <w:pStyle w:val="27"/>
              <w:contextualSpacing/>
              <w:rPr>
                <w:rFonts w:ascii="Times New Roman" w:hAnsi="Times New Roman"/>
                <w:highlight w:val="none"/>
              </w:rPr>
            </w:pPr>
            <w:r>
              <w:rPr>
                <w:rFonts w:hint="eastAsia" w:ascii="Times New Roman" w:hAnsi="Times New Roman"/>
                <w:highlight w:val="none"/>
              </w:rPr>
              <w:t>区域排放增减量</w:t>
            </w:r>
          </w:p>
        </w:tc>
      </w:tr>
      <w:tr w14:paraId="26BEB6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0" w:type="pct"/>
            <w:noWrap w:val="0"/>
            <w:vAlign w:val="center"/>
          </w:tcPr>
          <w:p w14:paraId="5337024D">
            <w:pPr>
              <w:pStyle w:val="27"/>
              <w:contextualSpacing/>
              <w:rPr>
                <w:rFonts w:ascii="Times New Roman" w:hAnsi="Times New Roman"/>
                <w:highlight w:val="none"/>
              </w:rPr>
            </w:pPr>
            <w:r>
              <w:rPr>
                <w:rFonts w:ascii="Times New Roman" w:hAnsi="Times New Roman"/>
                <w:highlight w:val="none"/>
              </w:rPr>
              <w:t>烟尘</w:t>
            </w:r>
          </w:p>
        </w:tc>
        <w:tc>
          <w:tcPr>
            <w:tcW w:w="888" w:type="dxa"/>
            <w:noWrap w:val="0"/>
            <w:vAlign w:val="center"/>
          </w:tcPr>
          <w:p w14:paraId="40F6A8E1">
            <w:pPr>
              <w:pStyle w:val="27"/>
              <w:ind w:firstLine="0" w:firstLineChars="0"/>
              <w:contextualSpacing/>
              <w:rPr>
                <w:rFonts w:hint="default" w:ascii="Times New Roman" w:hAnsi="Times New Roman" w:eastAsia="新宋体"/>
                <w:highlight w:val="none"/>
                <w:lang w:val="en-US" w:eastAsia="zh-CN"/>
              </w:rPr>
            </w:pPr>
            <w:r>
              <w:rPr>
                <w:rFonts w:hint="eastAsia" w:ascii="Times New Roman" w:hAnsi="Times New Roman"/>
                <w:highlight w:val="none"/>
                <w:lang w:val="en-US" w:eastAsia="zh-CN"/>
              </w:rPr>
              <w:t>2.39</w:t>
            </w:r>
          </w:p>
        </w:tc>
        <w:tc>
          <w:tcPr>
            <w:tcW w:w="453" w:type="pct"/>
            <w:noWrap w:val="0"/>
            <w:vAlign w:val="center"/>
          </w:tcPr>
          <w:p w14:paraId="30A078E0">
            <w:pPr>
              <w:pStyle w:val="27"/>
              <w:contextualSpacing/>
              <w:rPr>
                <w:rFonts w:hint="default"/>
                <w:highlight w:val="none"/>
                <w:lang w:val="en-US" w:eastAsia="zh-CN"/>
              </w:rPr>
            </w:pPr>
            <w:r>
              <w:rPr>
                <w:rFonts w:hint="eastAsia" w:ascii="Times New Roman" w:hAnsi="Times New Roman"/>
                <w:highlight w:val="none"/>
                <w:lang w:val="en-US" w:eastAsia="zh-CN"/>
              </w:rPr>
              <w:t>110.5</w:t>
            </w:r>
          </w:p>
        </w:tc>
        <w:tc>
          <w:tcPr>
            <w:tcW w:w="592" w:type="pct"/>
            <w:noWrap w:val="0"/>
            <w:vAlign w:val="center"/>
          </w:tcPr>
          <w:p w14:paraId="486FEE50">
            <w:pPr>
              <w:pStyle w:val="27"/>
              <w:contextualSpacing/>
              <w:rPr>
                <w:rFonts w:hint="default" w:ascii="Times New Roman" w:hAnsi="Times New Roman" w:eastAsia="新宋体"/>
                <w:highlight w:val="none"/>
                <w:lang w:val="en-US" w:eastAsia="zh-CN"/>
              </w:rPr>
            </w:pPr>
            <w:r>
              <w:rPr>
                <w:rFonts w:hint="eastAsia" w:ascii="Times New Roman" w:hAnsi="Times New Roman"/>
                <w:highlight w:val="none"/>
                <w:lang w:val="en-US" w:eastAsia="zh-CN"/>
              </w:rPr>
              <w:t>2.39</w:t>
            </w:r>
          </w:p>
        </w:tc>
        <w:tc>
          <w:tcPr>
            <w:tcW w:w="521" w:type="pct"/>
            <w:noWrap w:val="0"/>
            <w:vAlign w:val="center"/>
          </w:tcPr>
          <w:p w14:paraId="6808D73D">
            <w:pPr>
              <w:pStyle w:val="27"/>
              <w:contextualSpacing/>
              <w:rPr>
                <w:rFonts w:hint="default" w:ascii="Times New Roman" w:hAnsi="Times New Roman" w:eastAsia="新宋体"/>
                <w:highlight w:val="none"/>
                <w:lang w:val="en-US" w:eastAsia="zh-CN"/>
              </w:rPr>
            </w:pPr>
            <w:r>
              <w:rPr>
                <w:rFonts w:hint="eastAsia" w:ascii="Times New Roman" w:hAnsi="Times New Roman"/>
                <w:highlight w:val="none"/>
                <w:lang w:val="en-US" w:eastAsia="zh-CN"/>
              </w:rPr>
              <w:t>7.902</w:t>
            </w:r>
          </w:p>
        </w:tc>
        <w:tc>
          <w:tcPr>
            <w:tcW w:w="701" w:type="pct"/>
            <w:noWrap w:val="0"/>
            <w:vAlign w:val="center"/>
          </w:tcPr>
          <w:p w14:paraId="5C4633C2">
            <w:pPr>
              <w:pStyle w:val="27"/>
              <w:contextualSpacing/>
              <w:rPr>
                <w:rFonts w:hint="default" w:ascii="Times New Roman" w:hAnsi="Times New Roman" w:eastAsia="新宋体"/>
                <w:highlight w:val="none"/>
                <w:lang w:val="en-US" w:eastAsia="zh-CN"/>
              </w:rPr>
            </w:pPr>
            <w:r>
              <w:rPr>
                <w:rFonts w:hint="eastAsia" w:ascii="Times New Roman" w:hAnsi="Times New Roman"/>
                <w:highlight w:val="none"/>
                <w:lang w:val="en-US" w:eastAsia="zh-CN"/>
              </w:rPr>
              <w:t>0</w:t>
            </w:r>
          </w:p>
        </w:tc>
        <w:tc>
          <w:tcPr>
            <w:tcW w:w="527" w:type="pct"/>
            <w:noWrap w:val="0"/>
            <w:vAlign w:val="center"/>
          </w:tcPr>
          <w:p w14:paraId="02474844">
            <w:pPr>
              <w:pStyle w:val="27"/>
              <w:ind w:firstLine="0" w:firstLineChars="0"/>
              <w:contextualSpacing/>
              <w:rPr>
                <w:rFonts w:ascii="Times New Roman" w:hAnsi="Times New Roman"/>
                <w:highlight w:val="none"/>
              </w:rPr>
            </w:pPr>
            <w:r>
              <w:rPr>
                <w:rFonts w:hint="eastAsia" w:ascii="Times New Roman" w:hAnsi="Times New Roman"/>
                <w:highlight w:val="none"/>
                <w:lang w:val="en-US" w:eastAsia="zh-CN"/>
              </w:rPr>
              <w:t>2.39</w:t>
            </w:r>
          </w:p>
        </w:tc>
        <w:tc>
          <w:tcPr>
            <w:tcW w:w="592" w:type="pct"/>
            <w:noWrap w:val="0"/>
            <w:vAlign w:val="center"/>
          </w:tcPr>
          <w:p w14:paraId="4A3F867A">
            <w:pPr>
              <w:pStyle w:val="27"/>
              <w:ind w:firstLine="0" w:firstLineChars="0"/>
              <w:contextualSpacing/>
              <w:rPr>
                <w:rFonts w:ascii="Times New Roman" w:hAnsi="Times New Roman"/>
                <w:highlight w:val="none"/>
              </w:rPr>
            </w:pPr>
            <w:r>
              <w:rPr>
                <w:rFonts w:hint="eastAsia" w:ascii="Times New Roman" w:hAnsi="Times New Roman"/>
                <w:highlight w:val="none"/>
                <w:lang w:val="en-US" w:eastAsia="zh-CN"/>
              </w:rPr>
              <w:t>7.902</w:t>
            </w:r>
          </w:p>
        </w:tc>
        <w:tc>
          <w:tcPr>
            <w:tcW w:w="679" w:type="pct"/>
            <w:noWrap w:val="0"/>
            <w:vAlign w:val="center"/>
          </w:tcPr>
          <w:p w14:paraId="4EAE839F">
            <w:pPr>
              <w:pStyle w:val="27"/>
              <w:ind w:firstLine="0" w:firstLineChars="0"/>
              <w:contextualSpacing/>
              <w:rPr>
                <w:rFonts w:ascii="Times New Roman" w:hAnsi="Times New Roman"/>
                <w:sz w:val="20"/>
                <w:szCs w:val="20"/>
                <w:highlight w:val="none"/>
              </w:rPr>
            </w:pPr>
            <w:r>
              <w:rPr>
                <w:rFonts w:hint="eastAsia" w:ascii="Times New Roman" w:hAnsi="Times New Roman"/>
                <w:highlight w:val="none"/>
                <w:lang w:val="en-US" w:eastAsia="zh-CN"/>
              </w:rPr>
              <w:t>0</w:t>
            </w:r>
          </w:p>
        </w:tc>
      </w:tr>
      <w:tr w14:paraId="64BEE8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0" w:type="pct"/>
            <w:noWrap w:val="0"/>
            <w:vAlign w:val="center"/>
          </w:tcPr>
          <w:p w14:paraId="410D62C8">
            <w:pPr>
              <w:pStyle w:val="27"/>
              <w:contextualSpacing/>
              <w:rPr>
                <w:rFonts w:ascii="Times New Roman" w:hAnsi="Times New Roman"/>
                <w:highlight w:val="none"/>
              </w:rPr>
            </w:pPr>
            <w:r>
              <w:rPr>
                <w:rFonts w:ascii="Times New Roman" w:hAnsi="Times New Roman"/>
                <w:highlight w:val="none"/>
              </w:rPr>
              <w:t>SO</w:t>
            </w:r>
            <w:r>
              <w:rPr>
                <w:rFonts w:ascii="Times New Roman" w:hAnsi="Times New Roman"/>
                <w:highlight w:val="none"/>
                <w:vertAlign w:val="subscript"/>
              </w:rPr>
              <w:t>2</w:t>
            </w:r>
          </w:p>
        </w:tc>
        <w:tc>
          <w:tcPr>
            <w:tcW w:w="888" w:type="dxa"/>
            <w:noWrap w:val="0"/>
            <w:vAlign w:val="center"/>
          </w:tcPr>
          <w:p w14:paraId="41BFB168">
            <w:pPr>
              <w:pStyle w:val="27"/>
              <w:ind w:firstLine="0" w:firstLineChars="0"/>
              <w:contextualSpacing/>
              <w:rPr>
                <w:rFonts w:hint="default" w:ascii="Times New Roman" w:hAnsi="Times New Roman" w:eastAsia="新宋体"/>
                <w:highlight w:val="none"/>
                <w:lang w:val="en-US" w:eastAsia="zh-CN"/>
              </w:rPr>
            </w:pPr>
            <w:r>
              <w:rPr>
                <w:rFonts w:hint="eastAsia" w:ascii="Times New Roman" w:hAnsi="Times New Roman"/>
                <w:highlight w:val="none"/>
                <w:lang w:val="en-US" w:eastAsia="zh-CN"/>
              </w:rPr>
              <w:t>7.352</w:t>
            </w:r>
          </w:p>
        </w:tc>
        <w:tc>
          <w:tcPr>
            <w:tcW w:w="453" w:type="pct"/>
            <w:noWrap w:val="0"/>
            <w:vAlign w:val="center"/>
          </w:tcPr>
          <w:p w14:paraId="76219574">
            <w:pPr>
              <w:pStyle w:val="27"/>
              <w:contextualSpacing/>
              <w:rPr>
                <w:rFonts w:hint="default" w:ascii="Times New Roman" w:hAnsi="Times New Roman" w:eastAsia="新宋体"/>
                <w:highlight w:val="none"/>
                <w:lang w:val="en-US" w:eastAsia="zh-CN"/>
              </w:rPr>
            </w:pPr>
            <w:r>
              <w:rPr>
                <w:rFonts w:hint="eastAsia" w:ascii="Times New Roman" w:hAnsi="Times New Roman"/>
                <w:highlight w:val="none"/>
                <w:lang w:val="en-US" w:eastAsia="zh-CN"/>
              </w:rPr>
              <w:t>52.8</w:t>
            </w:r>
          </w:p>
        </w:tc>
        <w:tc>
          <w:tcPr>
            <w:tcW w:w="592" w:type="pct"/>
            <w:noWrap w:val="0"/>
            <w:vAlign w:val="center"/>
          </w:tcPr>
          <w:p w14:paraId="4A97343D">
            <w:pPr>
              <w:pStyle w:val="27"/>
              <w:contextualSpacing/>
              <w:rPr>
                <w:rFonts w:hint="default" w:ascii="Times New Roman" w:hAnsi="Times New Roman" w:eastAsia="新宋体"/>
                <w:highlight w:val="none"/>
                <w:lang w:val="en-US" w:eastAsia="zh-CN"/>
              </w:rPr>
            </w:pPr>
            <w:r>
              <w:rPr>
                <w:rFonts w:hint="eastAsia" w:ascii="Times New Roman" w:hAnsi="Times New Roman"/>
                <w:highlight w:val="none"/>
                <w:lang w:val="en-US" w:eastAsia="zh-CN"/>
              </w:rPr>
              <w:t>7.352</w:t>
            </w:r>
          </w:p>
        </w:tc>
        <w:tc>
          <w:tcPr>
            <w:tcW w:w="521" w:type="pct"/>
            <w:noWrap w:val="0"/>
            <w:vAlign w:val="center"/>
          </w:tcPr>
          <w:p w14:paraId="36175358">
            <w:pPr>
              <w:pStyle w:val="27"/>
              <w:contextualSpacing/>
              <w:rPr>
                <w:rFonts w:hint="default" w:ascii="Times New Roman" w:hAnsi="Times New Roman" w:eastAsia="新宋体"/>
                <w:highlight w:val="none"/>
                <w:lang w:val="en-US" w:eastAsia="zh-CN"/>
              </w:rPr>
            </w:pPr>
            <w:r>
              <w:rPr>
                <w:rFonts w:hint="eastAsia" w:ascii="Times New Roman" w:hAnsi="Times New Roman"/>
                <w:highlight w:val="none"/>
                <w:lang w:val="en-US" w:eastAsia="zh-CN"/>
              </w:rPr>
              <w:t>27.658</w:t>
            </w:r>
          </w:p>
        </w:tc>
        <w:tc>
          <w:tcPr>
            <w:tcW w:w="701" w:type="pct"/>
            <w:noWrap w:val="0"/>
            <w:vAlign w:val="center"/>
          </w:tcPr>
          <w:p w14:paraId="323A588B">
            <w:pPr>
              <w:pStyle w:val="27"/>
              <w:contextualSpacing/>
              <w:rPr>
                <w:rFonts w:hint="default" w:ascii="Times New Roman" w:hAnsi="Times New Roman" w:eastAsia="新宋体"/>
                <w:highlight w:val="none"/>
                <w:lang w:val="en-US" w:eastAsia="zh-CN"/>
              </w:rPr>
            </w:pPr>
            <w:r>
              <w:rPr>
                <w:rFonts w:hint="eastAsia" w:ascii="Times New Roman" w:hAnsi="Times New Roman"/>
                <w:highlight w:val="none"/>
                <w:lang w:val="en-US" w:eastAsia="zh-CN"/>
              </w:rPr>
              <w:t>0</w:t>
            </w:r>
          </w:p>
        </w:tc>
        <w:tc>
          <w:tcPr>
            <w:tcW w:w="527" w:type="pct"/>
            <w:noWrap w:val="0"/>
            <w:vAlign w:val="center"/>
          </w:tcPr>
          <w:p w14:paraId="77BBA951">
            <w:pPr>
              <w:pStyle w:val="27"/>
              <w:ind w:firstLine="0" w:firstLineChars="0"/>
              <w:contextualSpacing/>
              <w:rPr>
                <w:rFonts w:ascii="Times New Roman" w:hAnsi="Times New Roman"/>
                <w:highlight w:val="none"/>
              </w:rPr>
            </w:pPr>
            <w:r>
              <w:rPr>
                <w:rFonts w:hint="eastAsia" w:ascii="Times New Roman" w:hAnsi="Times New Roman"/>
                <w:highlight w:val="none"/>
                <w:lang w:val="en-US" w:eastAsia="zh-CN"/>
              </w:rPr>
              <w:t>7.352</w:t>
            </w:r>
          </w:p>
        </w:tc>
        <w:tc>
          <w:tcPr>
            <w:tcW w:w="592" w:type="pct"/>
            <w:noWrap w:val="0"/>
            <w:vAlign w:val="center"/>
          </w:tcPr>
          <w:p w14:paraId="5C697348">
            <w:pPr>
              <w:pStyle w:val="27"/>
              <w:ind w:firstLine="0" w:firstLineChars="0"/>
              <w:contextualSpacing/>
              <w:rPr>
                <w:rFonts w:ascii="Times New Roman" w:hAnsi="Times New Roman"/>
                <w:highlight w:val="none"/>
              </w:rPr>
            </w:pPr>
            <w:r>
              <w:rPr>
                <w:rFonts w:hint="eastAsia" w:ascii="Times New Roman" w:hAnsi="Times New Roman"/>
                <w:highlight w:val="none"/>
                <w:lang w:val="en-US" w:eastAsia="zh-CN"/>
              </w:rPr>
              <w:t>27.658</w:t>
            </w:r>
          </w:p>
        </w:tc>
        <w:tc>
          <w:tcPr>
            <w:tcW w:w="679" w:type="pct"/>
            <w:noWrap w:val="0"/>
            <w:vAlign w:val="center"/>
          </w:tcPr>
          <w:p w14:paraId="20AFBDD2">
            <w:pPr>
              <w:pStyle w:val="27"/>
              <w:ind w:firstLine="0" w:firstLineChars="0"/>
              <w:contextualSpacing/>
              <w:rPr>
                <w:rFonts w:ascii="Times New Roman" w:hAnsi="Times New Roman"/>
                <w:sz w:val="20"/>
                <w:szCs w:val="20"/>
                <w:highlight w:val="none"/>
              </w:rPr>
            </w:pPr>
            <w:r>
              <w:rPr>
                <w:rFonts w:hint="eastAsia" w:ascii="Times New Roman" w:hAnsi="Times New Roman"/>
                <w:highlight w:val="none"/>
                <w:lang w:val="en-US" w:eastAsia="zh-CN"/>
              </w:rPr>
              <w:t>0</w:t>
            </w:r>
          </w:p>
        </w:tc>
      </w:tr>
      <w:tr w14:paraId="0C35F0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0" w:type="pct"/>
            <w:noWrap w:val="0"/>
            <w:vAlign w:val="center"/>
          </w:tcPr>
          <w:p w14:paraId="4B0F037C">
            <w:pPr>
              <w:pStyle w:val="27"/>
              <w:contextualSpacing/>
              <w:rPr>
                <w:rFonts w:ascii="Times New Roman" w:hAnsi="Times New Roman"/>
                <w:highlight w:val="none"/>
              </w:rPr>
            </w:pPr>
            <w:r>
              <w:rPr>
                <w:rFonts w:ascii="Times New Roman" w:hAnsi="Times New Roman"/>
                <w:highlight w:val="none"/>
              </w:rPr>
              <w:t>NOx</w:t>
            </w:r>
          </w:p>
        </w:tc>
        <w:tc>
          <w:tcPr>
            <w:tcW w:w="888" w:type="dxa"/>
            <w:noWrap w:val="0"/>
            <w:vAlign w:val="center"/>
          </w:tcPr>
          <w:p w14:paraId="1952198D">
            <w:pPr>
              <w:spacing w:line="240" w:lineRule="auto"/>
              <w:ind w:firstLine="0" w:firstLineChars="0"/>
              <w:contextualSpacing/>
              <w:jc w:val="center"/>
              <w:rPr>
                <w:rFonts w:hint="default" w:ascii="Times New Roman" w:hAnsi="Times New Roman" w:eastAsia="新宋体"/>
                <w:highlight w:val="none"/>
                <w:lang w:val="en-US" w:eastAsia="zh-CN"/>
              </w:rPr>
            </w:pPr>
            <w:r>
              <w:rPr>
                <w:rFonts w:hint="eastAsia" w:ascii="Times New Roman" w:hAnsi="Times New Roman" w:eastAsia="新宋体"/>
                <w:sz w:val="21"/>
                <w:szCs w:val="21"/>
                <w:highlight w:val="none"/>
                <w:lang w:val="en-US" w:eastAsia="zh-CN"/>
              </w:rPr>
              <w:t>33.7968</w:t>
            </w:r>
          </w:p>
        </w:tc>
        <w:tc>
          <w:tcPr>
            <w:tcW w:w="453" w:type="pct"/>
            <w:noWrap w:val="0"/>
            <w:vAlign w:val="center"/>
          </w:tcPr>
          <w:p w14:paraId="345E0FC7">
            <w:pPr>
              <w:spacing w:line="240" w:lineRule="auto"/>
              <w:ind w:firstLine="0" w:firstLineChars="0"/>
              <w:contextualSpacing/>
              <w:jc w:val="center"/>
              <w:rPr>
                <w:rFonts w:hint="default" w:ascii="Times New Roman" w:hAnsi="Times New Roman" w:eastAsia="新宋体"/>
                <w:sz w:val="21"/>
                <w:szCs w:val="21"/>
                <w:highlight w:val="none"/>
                <w:lang w:val="en-US" w:eastAsia="zh-CN"/>
              </w:rPr>
            </w:pPr>
            <w:r>
              <w:rPr>
                <w:rFonts w:hint="eastAsia" w:ascii="Times New Roman" w:hAnsi="Times New Roman" w:eastAsia="新宋体"/>
                <w:sz w:val="21"/>
                <w:szCs w:val="21"/>
                <w:highlight w:val="none"/>
                <w:lang w:val="en-US" w:eastAsia="zh-CN"/>
              </w:rPr>
              <w:t>161.7</w:t>
            </w:r>
          </w:p>
        </w:tc>
        <w:tc>
          <w:tcPr>
            <w:tcW w:w="592" w:type="pct"/>
            <w:noWrap w:val="0"/>
            <w:vAlign w:val="center"/>
          </w:tcPr>
          <w:p w14:paraId="3463621B">
            <w:pPr>
              <w:spacing w:line="240" w:lineRule="auto"/>
              <w:ind w:firstLine="0" w:firstLineChars="0"/>
              <w:contextualSpacing/>
              <w:jc w:val="center"/>
              <w:rPr>
                <w:rFonts w:hint="default" w:ascii="Times New Roman" w:hAnsi="Times New Roman" w:eastAsia="新宋体"/>
                <w:sz w:val="21"/>
                <w:szCs w:val="21"/>
                <w:highlight w:val="none"/>
                <w:lang w:val="en-US" w:eastAsia="zh-CN"/>
              </w:rPr>
            </w:pPr>
            <w:r>
              <w:rPr>
                <w:rFonts w:hint="eastAsia" w:ascii="Times New Roman" w:hAnsi="Times New Roman" w:eastAsia="新宋体"/>
                <w:sz w:val="21"/>
                <w:szCs w:val="21"/>
                <w:highlight w:val="none"/>
                <w:lang w:val="en-US" w:eastAsia="zh-CN"/>
              </w:rPr>
              <w:t>33.7968</w:t>
            </w:r>
          </w:p>
        </w:tc>
        <w:tc>
          <w:tcPr>
            <w:tcW w:w="521" w:type="pct"/>
            <w:noWrap w:val="0"/>
            <w:vAlign w:val="center"/>
          </w:tcPr>
          <w:p w14:paraId="0C86DE44">
            <w:pPr>
              <w:spacing w:line="240" w:lineRule="auto"/>
              <w:ind w:firstLine="0" w:firstLineChars="0"/>
              <w:contextualSpacing/>
              <w:jc w:val="center"/>
              <w:rPr>
                <w:rFonts w:hint="default" w:ascii="Times New Roman" w:hAnsi="Times New Roman" w:eastAsia="宋体"/>
                <w:sz w:val="21"/>
                <w:highlight w:val="none"/>
                <w:lang w:val="en-US" w:eastAsia="zh-CN"/>
              </w:rPr>
            </w:pPr>
            <w:r>
              <w:rPr>
                <w:rFonts w:hint="eastAsia" w:ascii="Times New Roman" w:hAnsi="Times New Roman"/>
                <w:sz w:val="21"/>
                <w:highlight w:val="none"/>
                <w:lang w:val="en-US" w:eastAsia="zh-CN"/>
              </w:rPr>
              <w:t>39.511</w:t>
            </w:r>
          </w:p>
        </w:tc>
        <w:tc>
          <w:tcPr>
            <w:tcW w:w="701" w:type="pct"/>
            <w:noWrap w:val="0"/>
            <w:vAlign w:val="center"/>
          </w:tcPr>
          <w:p w14:paraId="29ACC46D">
            <w:pPr>
              <w:pStyle w:val="27"/>
              <w:contextualSpacing/>
              <w:rPr>
                <w:rFonts w:hint="default" w:ascii="Times New Roman" w:hAnsi="Times New Roman" w:eastAsia="新宋体"/>
                <w:highlight w:val="none"/>
                <w:lang w:val="en-US" w:eastAsia="zh-CN"/>
              </w:rPr>
            </w:pPr>
            <w:r>
              <w:rPr>
                <w:rFonts w:hint="eastAsia" w:ascii="Times New Roman" w:hAnsi="Times New Roman"/>
                <w:highlight w:val="none"/>
                <w:lang w:val="en-US" w:eastAsia="zh-CN"/>
              </w:rPr>
              <w:t>0</w:t>
            </w:r>
          </w:p>
        </w:tc>
        <w:tc>
          <w:tcPr>
            <w:tcW w:w="527" w:type="pct"/>
            <w:noWrap w:val="0"/>
            <w:vAlign w:val="center"/>
          </w:tcPr>
          <w:p w14:paraId="5EDA069C">
            <w:pPr>
              <w:spacing w:line="240" w:lineRule="auto"/>
              <w:ind w:firstLine="0" w:firstLineChars="0"/>
              <w:contextualSpacing/>
              <w:jc w:val="center"/>
              <w:rPr>
                <w:rFonts w:ascii="Times New Roman" w:hAnsi="Times New Roman"/>
                <w:highlight w:val="none"/>
              </w:rPr>
            </w:pPr>
            <w:r>
              <w:rPr>
                <w:rFonts w:hint="eastAsia" w:ascii="Times New Roman" w:hAnsi="Times New Roman" w:eastAsia="新宋体"/>
                <w:sz w:val="21"/>
                <w:szCs w:val="21"/>
                <w:highlight w:val="none"/>
                <w:lang w:val="en-US" w:eastAsia="zh-CN"/>
              </w:rPr>
              <w:t>33.7968</w:t>
            </w:r>
          </w:p>
        </w:tc>
        <w:tc>
          <w:tcPr>
            <w:tcW w:w="592" w:type="pct"/>
            <w:noWrap w:val="0"/>
            <w:vAlign w:val="center"/>
          </w:tcPr>
          <w:p w14:paraId="4354D963">
            <w:pPr>
              <w:spacing w:line="240" w:lineRule="auto"/>
              <w:ind w:firstLine="0" w:firstLineChars="0"/>
              <w:contextualSpacing/>
              <w:jc w:val="center"/>
              <w:rPr>
                <w:rFonts w:ascii="Times New Roman" w:hAnsi="Times New Roman"/>
                <w:highlight w:val="none"/>
              </w:rPr>
            </w:pPr>
            <w:r>
              <w:rPr>
                <w:rFonts w:hint="eastAsia" w:ascii="Times New Roman" w:hAnsi="Times New Roman"/>
                <w:sz w:val="21"/>
                <w:highlight w:val="none"/>
                <w:lang w:val="en-US" w:eastAsia="zh-CN"/>
              </w:rPr>
              <w:t>39.511</w:t>
            </w:r>
          </w:p>
        </w:tc>
        <w:tc>
          <w:tcPr>
            <w:tcW w:w="679" w:type="pct"/>
            <w:noWrap w:val="0"/>
            <w:vAlign w:val="center"/>
          </w:tcPr>
          <w:p w14:paraId="7E8EE149">
            <w:pPr>
              <w:pStyle w:val="27"/>
              <w:ind w:firstLine="0" w:firstLineChars="0"/>
              <w:contextualSpacing/>
              <w:rPr>
                <w:rFonts w:ascii="Times New Roman" w:hAnsi="Times New Roman"/>
                <w:sz w:val="20"/>
                <w:szCs w:val="20"/>
                <w:highlight w:val="none"/>
              </w:rPr>
            </w:pPr>
            <w:r>
              <w:rPr>
                <w:rFonts w:hint="eastAsia" w:ascii="Times New Roman" w:hAnsi="Times New Roman"/>
                <w:highlight w:val="none"/>
                <w:lang w:val="en-US" w:eastAsia="zh-CN"/>
              </w:rPr>
              <w:t>0</w:t>
            </w:r>
          </w:p>
        </w:tc>
      </w:tr>
    </w:tbl>
    <w:p w14:paraId="3F1DE79F">
      <w:pPr>
        <w:pStyle w:val="4"/>
        <w:bidi w:val="0"/>
        <w:ind w:left="0" w:leftChars="0" w:firstLine="0" w:firstLineChars="0"/>
        <w:rPr>
          <w:rFonts w:hint="eastAsia"/>
          <w:highlight w:val="none"/>
          <w:lang w:val="en-US" w:eastAsia="zh-CN"/>
        </w:rPr>
      </w:pPr>
      <w:bookmarkStart w:id="180" w:name="_Toc1462"/>
      <w:r>
        <w:rPr>
          <w:rFonts w:hint="eastAsia"/>
          <w:highlight w:val="none"/>
          <w:lang w:val="en-US" w:eastAsia="zh-CN"/>
        </w:rPr>
        <w:t>8.3环境监测计划</w:t>
      </w:r>
      <w:bookmarkEnd w:id="180"/>
    </w:p>
    <w:p w14:paraId="323C181D">
      <w:pPr>
        <w:pStyle w:val="5"/>
        <w:ind w:left="0" w:leftChars="0" w:firstLine="0" w:firstLineChars="0"/>
        <w:rPr>
          <w:rFonts w:hint="default"/>
          <w:highlight w:val="none"/>
          <w:lang w:val="en-US" w:eastAsia="zh-CN"/>
        </w:rPr>
      </w:pPr>
      <w:bookmarkStart w:id="181" w:name="_Toc18745"/>
      <w:r>
        <w:rPr>
          <w:rFonts w:hint="default" w:ascii="Times New Roman" w:hAnsi="Times New Roman" w:cs="Times New Roman"/>
          <w:highlight w:val="none"/>
          <w:lang w:val="en-US" w:eastAsia="zh-CN"/>
        </w:rPr>
        <w:t>8.3.1</w:t>
      </w:r>
      <w:r>
        <w:rPr>
          <w:rFonts w:hint="eastAsia"/>
          <w:highlight w:val="none"/>
          <w:lang w:val="en-US" w:eastAsia="zh-CN"/>
        </w:rPr>
        <w:t>环境监测意义</w:t>
      </w:r>
      <w:bookmarkEnd w:id="181"/>
    </w:p>
    <w:p w14:paraId="4CF71DB8">
      <w:pPr>
        <w:bidi w:val="0"/>
        <w:rPr>
          <w:rFonts w:ascii="Times New Roman" w:hAnsi="Times New Roman"/>
          <w:highlight w:val="none"/>
        </w:rPr>
      </w:pPr>
      <w:r>
        <w:rPr>
          <w:rFonts w:ascii="Times New Roman" w:hAnsi="Times New Roman"/>
          <w:highlight w:val="none"/>
        </w:rPr>
        <w:t>环境监测（包括污染源监测）是企业环境保护的重要组成部分，也是企业的一项规范化制度。通过环境监测，进行数据整理分析，建立监测档案，可为污染源治理，掌握污染物排放变化规律提供依据，为上级环境保护行政主管部门进行区域环境规划、管理执法提供依据。同时，环境监测也是企业实现污染物总量控制，做到清洁生产的重要保证手段之一。</w:t>
      </w:r>
    </w:p>
    <w:p w14:paraId="7AF63E91">
      <w:pPr>
        <w:pStyle w:val="5"/>
        <w:bidi w:val="0"/>
        <w:ind w:left="0" w:leftChars="0" w:firstLine="0" w:firstLineChars="0"/>
        <w:rPr>
          <w:rFonts w:hint="eastAsia"/>
          <w:highlight w:val="none"/>
          <w:lang w:val="en-US" w:eastAsia="zh-CN"/>
        </w:rPr>
      </w:pPr>
      <w:bookmarkStart w:id="182" w:name="_Toc8479"/>
      <w:r>
        <w:rPr>
          <w:rFonts w:hint="default" w:ascii="Times New Roman" w:hAnsi="Times New Roman" w:cs="Times New Roman"/>
          <w:highlight w:val="none"/>
          <w:lang w:val="en-US" w:eastAsia="zh-CN"/>
        </w:rPr>
        <w:t>8.3.2</w:t>
      </w:r>
      <w:r>
        <w:rPr>
          <w:rFonts w:hint="eastAsia"/>
          <w:highlight w:val="none"/>
          <w:lang w:val="en-US" w:eastAsia="zh-CN"/>
        </w:rPr>
        <w:t>环境监测工作</w:t>
      </w:r>
      <w:bookmarkEnd w:id="182"/>
    </w:p>
    <w:p w14:paraId="6A3C5333">
      <w:pPr>
        <w:rPr>
          <w:rFonts w:ascii="Times New Roman" w:hAnsi="Times New Roman"/>
          <w:highlight w:val="none"/>
        </w:rPr>
      </w:pPr>
      <w:r>
        <w:rPr>
          <w:rFonts w:ascii="Times New Roman" w:hAnsi="Times New Roman"/>
          <w:highlight w:val="none"/>
        </w:rPr>
        <w:t>本工程的监测工作委托当地环境监测部门进行，监测结果按次、月、季、年编制报表，并由安全环保部派专人管理并存档。</w:t>
      </w:r>
    </w:p>
    <w:p w14:paraId="7799D2BD">
      <w:pPr>
        <w:pStyle w:val="5"/>
        <w:bidi w:val="0"/>
        <w:ind w:left="0" w:leftChars="0" w:firstLine="0" w:firstLineChars="0"/>
        <w:rPr>
          <w:rFonts w:hint="eastAsia"/>
          <w:highlight w:val="none"/>
          <w:lang w:val="en-US" w:eastAsia="zh-CN"/>
        </w:rPr>
      </w:pPr>
      <w:bookmarkStart w:id="183" w:name="_Toc10506"/>
      <w:r>
        <w:rPr>
          <w:rFonts w:hint="default" w:ascii="Times New Roman" w:hAnsi="Times New Roman" w:cs="Times New Roman"/>
          <w:highlight w:val="none"/>
          <w:lang w:val="en-US" w:eastAsia="zh-CN"/>
        </w:rPr>
        <w:t>8.3.3</w:t>
      </w:r>
      <w:r>
        <w:rPr>
          <w:rFonts w:hint="eastAsia"/>
          <w:highlight w:val="none"/>
          <w:lang w:val="en-US" w:eastAsia="zh-CN"/>
        </w:rPr>
        <w:t>环境监测职责</w:t>
      </w:r>
      <w:bookmarkEnd w:id="183"/>
    </w:p>
    <w:p w14:paraId="3066A05F">
      <w:pPr>
        <w:ind w:firstLine="480"/>
        <w:rPr>
          <w:rFonts w:ascii="Times New Roman" w:hAnsi="Times New Roman"/>
          <w:highlight w:val="none"/>
        </w:rPr>
      </w:pPr>
      <w:r>
        <w:rPr>
          <w:rFonts w:ascii="Times New Roman" w:hAnsi="Times New Roman"/>
          <w:highlight w:val="none"/>
        </w:rPr>
        <w:t>（1）根据各项有关环境质量标准、污染物排放标准，制定本项目的环境监测计划工作方案，建立与完善各项检测规章制度。</w:t>
      </w:r>
    </w:p>
    <w:p w14:paraId="551D60A9">
      <w:pPr>
        <w:ind w:firstLine="480"/>
        <w:rPr>
          <w:rFonts w:ascii="Times New Roman" w:hAnsi="Times New Roman"/>
          <w:highlight w:val="none"/>
        </w:rPr>
      </w:pPr>
      <w:r>
        <w:rPr>
          <w:rFonts w:ascii="Times New Roman" w:hAnsi="Times New Roman"/>
          <w:highlight w:val="none"/>
        </w:rPr>
        <w:t>（2）按时完成监测计划和各项检测任务。</w:t>
      </w:r>
    </w:p>
    <w:p w14:paraId="1E6B9F02">
      <w:pPr>
        <w:rPr>
          <w:rFonts w:ascii="Times New Roman" w:hAnsi="Times New Roman"/>
          <w:highlight w:val="none"/>
        </w:rPr>
      </w:pPr>
      <w:r>
        <w:rPr>
          <w:rFonts w:ascii="Times New Roman" w:hAnsi="Times New Roman"/>
          <w:highlight w:val="none"/>
        </w:rPr>
        <w:t>（3）做好各项环保设备运行的例行检测工作，发现问题及时报告，以便迅速解决，保证环保设备正常运行，确保达标排放。</w:t>
      </w:r>
    </w:p>
    <w:p w14:paraId="39B0BA71">
      <w:pPr>
        <w:pStyle w:val="5"/>
        <w:bidi w:val="0"/>
        <w:ind w:left="0" w:leftChars="0" w:firstLine="0" w:firstLineChars="0"/>
        <w:rPr>
          <w:rFonts w:hint="eastAsia"/>
          <w:highlight w:val="none"/>
          <w:lang w:val="en-US" w:eastAsia="zh-CN"/>
        </w:rPr>
      </w:pPr>
      <w:bookmarkStart w:id="184" w:name="_Toc15780"/>
      <w:r>
        <w:rPr>
          <w:rFonts w:hint="default" w:ascii="Times New Roman" w:hAnsi="Times New Roman" w:cs="Times New Roman"/>
          <w:highlight w:val="none"/>
          <w:lang w:val="en-US" w:eastAsia="zh-CN"/>
        </w:rPr>
        <w:t>8.3.4</w:t>
      </w:r>
      <w:r>
        <w:rPr>
          <w:rFonts w:hint="eastAsia"/>
          <w:highlight w:val="none"/>
          <w:lang w:val="en-US" w:eastAsia="zh-CN"/>
        </w:rPr>
        <w:t>环境监理内容</w:t>
      </w:r>
      <w:bookmarkEnd w:id="184"/>
    </w:p>
    <w:p w14:paraId="6C0631E6">
      <w:pPr>
        <w:ind w:firstLine="480"/>
        <w:rPr>
          <w:rFonts w:ascii="Times New Roman" w:hAnsi="Times New Roman"/>
          <w:highlight w:val="none"/>
        </w:rPr>
      </w:pPr>
      <w:r>
        <w:rPr>
          <w:rFonts w:ascii="Times New Roman" w:hAnsi="Times New Roman"/>
          <w:highlight w:val="none"/>
        </w:rPr>
        <w:t>1、施工期监理计划</w:t>
      </w:r>
    </w:p>
    <w:p w14:paraId="3C59EBD7">
      <w:pPr>
        <w:ind w:firstLine="480"/>
        <w:rPr>
          <w:rFonts w:ascii="Times New Roman" w:hAnsi="Times New Roman"/>
          <w:highlight w:val="none"/>
        </w:rPr>
      </w:pPr>
      <w:r>
        <w:rPr>
          <w:rFonts w:ascii="Times New Roman" w:hAnsi="Times New Roman"/>
          <w:highlight w:val="none"/>
        </w:rPr>
        <w:t>施工期环境监理内容见表8.3-1。</w:t>
      </w:r>
    </w:p>
    <w:p w14:paraId="48DA752C">
      <w:pPr>
        <w:ind w:firstLine="0" w:firstLineChars="0"/>
        <w:jc w:val="center"/>
        <w:rPr>
          <w:rFonts w:ascii="Times New Roman" w:hAnsi="Times New Roman"/>
          <w:highlight w:val="none"/>
        </w:rPr>
      </w:pPr>
      <w:r>
        <w:rPr>
          <w:rFonts w:hint="eastAsia" w:ascii="黑体" w:hAnsi="黑体" w:eastAsia="黑体" w:cs="黑体"/>
          <w:highlight w:val="none"/>
        </w:rPr>
        <w:t>表</w:t>
      </w:r>
      <w:r>
        <w:rPr>
          <w:rFonts w:ascii="Times New Roman" w:hAnsi="Times New Roman"/>
          <w:highlight w:val="none"/>
        </w:rPr>
        <w:t xml:space="preserve">8.3-1 </w:t>
      </w:r>
      <w:r>
        <w:rPr>
          <w:rFonts w:hint="eastAsia" w:ascii="黑体" w:hAnsi="黑体" w:eastAsia="黑体" w:cs="黑体"/>
          <w:highlight w:val="none"/>
        </w:rPr>
        <w:t>施工期环境监理内容</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15"/>
        <w:gridCol w:w="4881"/>
        <w:gridCol w:w="1198"/>
        <w:gridCol w:w="1328"/>
      </w:tblGrid>
      <w:tr w14:paraId="4315E6B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blHeader/>
          <w:jc w:val="center"/>
        </w:trPr>
        <w:tc>
          <w:tcPr>
            <w:tcW w:w="654" w:type="pct"/>
            <w:noWrap w:val="0"/>
            <w:vAlign w:val="center"/>
          </w:tcPr>
          <w:p w14:paraId="13E38BB2">
            <w:pPr>
              <w:pStyle w:val="27"/>
              <w:rPr>
                <w:rFonts w:ascii="Times New Roman" w:hAnsi="Times New Roman" w:eastAsia="宋体"/>
                <w:highlight w:val="none"/>
              </w:rPr>
            </w:pPr>
            <w:r>
              <w:rPr>
                <w:rFonts w:ascii="Times New Roman" w:hAnsi="Times New Roman" w:eastAsia="宋体"/>
                <w:highlight w:val="none"/>
              </w:rPr>
              <w:t>监理项目</w:t>
            </w:r>
          </w:p>
        </w:tc>
        <w:tc>
          <w:tcPr>
            <w:tcW w:w="2864" w:type="pct"/>
            <w:noWrap w:val="0"/>
            <w:vAlign w:val="center"/>
          </w:tcPr>
          <w:p w14:paraId="38055695">
            <w:pPr>
              <w:pStyle w:val="27"/>
              <w:rPr>
                <w:rFonts w:ascii="Times New Roman" w:hAnsi="Times New Roman" w:eastAsia="宋体"/>
                <w:highlight w:val="none"/>
              </w:rPr>
            </w:pPr>
            <w:r>
              <w:rPr>
                <w:rFonts w:ascii="Times New Roman" w:hAnsi="Times New Roman" w:eastAsia="宋体"/>
                <w:highlight w:val="none"/>
              </w:rPr>
              <w:t>技术要求</w:t>
            </w:r>
          </w:p>
        </w:tc>
        <w:tc>
          <w:tcPr>
            <w:tcW w:w="703" w:type="pct"/>
            <w:noWrap w:val="0"/>
            <w:vAlign w:val="center"/>
          </w:tcPr>
          <w:p w14:paraId="2969A1F9">
            <w:pPr>
              <w:pStyle w:val="27"/>
              <w:rPr>
                <w:rFonts w:ascii="Times New Roman" w:hAnsi="Times New Roman" w:eastAsia="宋体"/>
                <w:highlight w:val="none"/>
              </w:rPr>
            </w:pPr>
            <w:r>
              <w:rPr>
                <w:rFonts w:ascii="Times New Roman" w:hAnsi="Times New Roman" w:eastAsia="宋体"/>
                <w:highlight w:val="none"/>
              </w:rPr>
              <w:t>实施机构</w:t>
            </w:r>
          </w:p>
        </w:tc>
        <w:tc>
          <w:tcPr>
            <w:tcW w:w="780" w:type="pct"/>
            <w:noWrap w:val="0"/>
            <w:vAlign w:val="center"/>
          </w:tcPr>
          <w:p w14:paraId="002D9C95">
            <w:pPr>
              <w:pStyle w:val="27"/>
              <w:rPr>
                <w:rFonts w:ascii="Times New Roman" w:hAnsi="Times New Roman" w:eastAsia="宋体"/>
                <w:highlight w:val="none"/>
              </w:rPr>
            </w:pPr>
            <w:r>
              <w:rPr>
                <w:rFonts w:ascii="Times New Roman" w:hAnsi="Times New Roman" w:eastAsia="宋体"/>
                <w:highlight w:val="none"/>
              </w:rPr>
              <w:t>监控机构</w:t>
            </w:r>
          </w:p>
        </w:tc>
      </w:tr>
      <w:tr w14:paraId="42F73C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4" w:type="pct"/>
            <w:noWrap w:val="0"/>
            <w:vAlign w:val="center"/>
          </w:tcPr>
          <w:p w14:paraId="7015EB0B">
            <w:pPr>
              <w:pStyle w:val="27"/>
              <w:rPr>
                <w:rFonts w:ascii="Times New Roman" w:hAnsi="Times New Roman" w:eastAsia="宋体"/>
                <w:highlight w:val="none"/>
              </w:rPr>
            </w:pPr>
            <w:r>
              <w:rPr>
                <w:rFonts w:ascii="Times New Roman" w:hAnsi="Times New Roman" w:eastAsia="宋体"/>
                <w:highlight w:val="none"/>
              </w:rPr>
              <w:t>施工噪声</w:t>
            </w:r>
          </w:p>
        </w:tc>
        <w:tc>
          <w:tcPr>
            <w:tcW w:w="2864" w:type="pct"/>
            <w:noWrap w:val="0"/>
            <w:vAlign w:val="center"/>
          </w:tcPr>
          <w:p w14:paraId="459EA8E0">
            <w:pPr>
              <w:pStyle w:val="27"/>
              <w:jc w:val="left"/>
              <w:rPr>
                <w:rFonts w:ascii="Times New Roman" w:hAnsi="Times New Roman" w:eastAsia="宋体"/>
                <w:highlight w:val="none"/>
              </w:rPr>
            </w:pPr>
            <w:r>
              <w:rPr>
                <w:rFonts w:ascii="Times New Roman" w:hAnsi="Times New Roman" w:eastAsia="宋体"/>
                <w:highlight w:val="none"/>
              </w:rPr>
              <w:t>（1）尽量采样低噪声机械</w:t>
            </w:r>
          </w:p>
          <w:p w14:paraId="33C689EF">
            <w:pPr>
              <w:pStyle w:val="27"/>
              <w:jc w:val="left"/>
              <w:rPr>
                <w:rFonts w:ascii="Times New Roman" w:hAnsi="Times New Roman" w:eastAsia="宋体"/>
                <w:highlight w:val="none"/>
              </w:rPr>
            </w:pPr>
            <w:r>
              <w:rPr>
                <w:rFonts w:ascii="Times New Roman" w:hAnsi="Times New Roman" w:eastAsia="宋体"/>
                <w:highlight w:val="none"/>
              </w:rPr>
              <w:t>（2）强噪声机械夜间严禁施工</w:t>
            </w:r>
          </w:p>
        </w:tc>
        <w:tc>
          <w:tcPr>
            <w:tcW w:w="703" w:type="pct"/>
            <w:noWrap w:val="0"/>
            <w:vAlign w:val="center"/>
          </w:tcPr>
          <w:p w14:paraId="6AD25C3F">
            <w:pPr>
              <w:pStyle w:val="27"/>
              <w:rPr>
                <w:rFonts w:ascii="Times New Roman" w:hAnsi="Times New Roman" w:eastAsia="宋体"/>
                <w:highlight w:val="none"/>
              </w:rPr>
            </w:pPr>
            <w:r>
              <w:rPr>
                <w:rFonts w:ascii="Times New Roman" w:hAnsi="Times New Roman" w:eastAsia="宋体"/>
                <w:highlight w:val="none"/>
              </w:rPr>
              <w:t>承包商</w:t>
            </w:r>
          </w:p>
        </w:tc>
        <w:tc>
          <w:tcPr>
            <w:tcW w:w="780" w:type="pct"/>
            <w:noWrap w:val="0"/>
            <w:vAlign w:val="center"/>
          </w:tcPr>
          <w:p w14:paraId="1D054E11">
            <w:pPr>
              <w:pStyle w:val="27"/>
              <w:rPr>
                <w:rFonts w:ascii="Times New Roman" w:hAnsi="Times New Roman" w:eastAsia="宋体"/>
                <w:highlight w:val="none"/>
              </w:rPr>
            </w:pPr>
            <w:r>
              <w:rPr>
                <w:rFonts w:ascii="Times New Roman" w:hAnsi="Times New Roman" w:eastAsia="宋体"/>
                <w:highlight w:val="none"/>
              </w:rPr>
              <w:t>当地生态环境局</w:t>
            </w:r>
          </w:p>
        </w:tc>
      </w:tr>
      <w:tr w14:paraId="29689F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4" w:type="pct"/>
            <w:noWrap w:val="0"/>
            <w:vAlign w:val="center"/>
          </w:tcPr>
          <w:p w14:paraId="3E2DC346">
            <w:pPr>
              <w:pStyle w:val="27"/>
              <w:rPr>
                <w:rFonts w:ascii="Times New Roman" w:hAnsi="Times New Roman" w:eastAsia="宋体"/>
                <w:highlight w:val="none"/>
              </w:rPr>
            </w:pPr>
            <w:r>
              <w:rPr>
                <w:rFonts w:ascii="Times New Roman" w:hAnsi="Times New Roman" w:eastAsia="宋体"/>
                <w:highlight w:val="none"/>
              </w:rPr>
              <w:t>环境空气污染</w:t>
            </w:r>
          </w:p>
        </w:tc>
        <w:tc>
          <w:tcPr>
            <w:tcW w:w="2864" w:type="pct"/>
            <w:noWrap w:val="0"/>
            <w:vAlign w:val="center"/>
          </w:tcPr>
          <w:p w14:paraId="4B900F16">
            <w:pPr>
              <w:pStyle w:val="27"/>
              <w:jc w:val="left"/>
              <w:rPr>
                <w:rFonts w:ascii="Times New Roman" w:hAnsi="Times New Roman" w:eastAsia="宋体"/>
                <w:highlight w:val="none"/>
              </w:rPr>
            </w:pPr>
            <w:r>
              <w:rPr>
                <w:rFonts w:ascii="Times New Roman" w:hAnsi="Times New Roman" w:eastAsia="宋体"/>
                <w:highlight w:val="none"/>
              </w:rPr>
              <w:t>（1）施工的贮料场、水泥拌合站周边200m范围内不得有集中的居住区、学校等</w:t>
            </w:r>
          </w:p>
          <w:p w14:paraId="3ED604A1">
            <w:pPr>
              <w:pStyle w:val="27"/>
              <w:jc w:val="left"/>
              <w:rPr>
                <w:rFonts w:ascii="Times New Roman" w:hAnsi="Times New Roman" w:eastAsia="宋体"/>
                <w:highlight w:val="none"/>
              </w:rPr>
            </w:pPr>
            <w:r>
              <w:rPr>
                <w:rFonts w:ascii="Times New Roman" w:hAnsi="Times New Roman" w:eastAsia="宋体"/>
                <w:highlight w:val="none"/>
              </w:rPr>
              <w:t>（2）施工作业场地应采取定时洒水降尘措施</w:t>
            </w:r>
          </w:p>
          <w:p w14:paraId="305FFA61">
            <w:pPr>
              <w:pStyle w:val="27"/>
              <w:jc w:val="left"/>
              <w:rPr>
                <w:rFonts w:ascii="Times New Roman" w:hAnsi="Times New Roman" w:eastAsia="宋体"/>
                <w:highlight w:val="none"/>
              </w:rPr>
            </w:pPr>
            <w:r>
              <w:rPr>
                <w:rFonts w:ascii="Times New Roman" w:hAnsi="Times New Roman" w:eastAsia="宋体"/>
                <w:highlight w:val="none"/>
              </w:rPr>
              <w:t>（3）料场和贮料场采用遮盖或洒水以防止扬尘污染，运送建筑材料的卡车加盖棚布，减少抛洒</w:t>
            </w:r>
          </w:p>
        </w:tc>
        <w:tc>
          <w:tcPr>
            <w:tcW w:w="703" w:type="pct"/>
            <w:noWrap w:val="0"/>
            <w:vAlign w:val="center"/>
          </w:tcPr>
          <w:p w14:paraId="5AFA8A1E">
            <w:pPr>
              <w:pStyle w:val="27"/>
              <w:rPr>
                <w:rFonts w:ascii="Times New Roman" w:hAnsi="Times New Roman" w:eastAsia="宋体"/>
                <w:highlight w:val="none"/>
              </w:rPr>
            </w:pPr>
            <w:r>
              <w:rPr>
                <w:rFonts w:ascii="Times New Roman" w:hAnsi="Times New Roman" w:eastAsia="宋体"/>
                <w:highlight w:val="none"/>
              </w:rPr>
              <w:t>承包商</w:t>
            </w:r>
          </w:p>
        </w:tc>
        <w:tc>
          <w:tcPr>
            <w:tcW w:w="780" w:type="pct"/>
            <w:noWrap w:val="0"/>
            <w:vAlign w:val="center"/>
          </w:tcPr>
          <w:p w14:paraId="37B68FFB">
            <w:pPr>
              <w:pStyle w:val="27"/>
              <w:rPr>
                <w:rFonts w:ascii="Times New Roman" w:hAnsi="Times New Roman" w:eastAsia="宋体"/>
                <w:highlight w:val="none"/>
              </w:rPr>
            </w:pPr>
            <w:r>
              <w:rPr>
                <w:rFonts w:ascii="Times New Roman" w:hAnsi="Times New Roman" w:eastAsia="宋体"/>
                <w:highlight w:val="none"/>
              </w:rPr>
              <w:t>当地生态环境局</w:t>
            </w:r>
          </w:p>
        </w:tc>
      </w:tr>
      <w:tr w14:paraId="79C8FD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4" w:type="pct"/>
            <w:noWrap w:val="0"/>
            <w:vAlign w:val="center"/>
          </w:tcPr>
          <w:p w14:paraId="7572DEBF">
            <w:pPr>
              <w:pStyle w:val="27"/>
              <w:rPr>
                <w:rFonts w:ascii="Times New Roman" w:hAnsi="Times New Roman" w:eastAsia="宋体"/>
                <w:highlight w:val="none"/>
              </w:rPr>
            </w:pPr>
            <w:r>
              <w:rPr>
                <w:rFonts w:ascii="Times New Roman" w:hAnsi="Times New Roman" w:eastAsia="宋体"/>
                <w:highlight w:val="none"/>
              </w:rPr>
              <w:t>地表水污染</w:t>
            </w:r>
          </w:p>
        </w:tc>
        <w:tc>
          <w:tcPr>
            <w:tcW w:w="2864" w:type="pct"/>
            <w:noWrap w:val="0"/>
            <w:vAlign w:val="center"/>
          </w:tcPr>
          <w:p w14:paraId="61BEF33F">
            <w:pPr>
              <w:pStyle w:val="27"/>
              <w:jc w:val="left"/>
              <w:rPr>
                <w:rFonts w:ascii="Times New Roman" w:hAnsi="Times New Roman" w:eastAsia="宋体"/>
                <w:highlight w:val="none"/>
              </w:rPr>
            </w:pPr>
            <w:r>
              <w:rPr>
                <w:rFonts w:ascii="Times New Roman" w:hAnsi="Times New Roman" w:eastAsia="宋体"/>
                <w:highlight w:val="none"/>
              </w:rPr>
              <w:t>（1）施工营地及施工管理区需设置隔油池及生活垃圾集中堆放场地，以使生活污水、生活垃圾集中处理</w:t>
            </w:r>
          </w:p>
          <w:p w14:paraId="01F6B3F2">
            <w:pPr>
              <w:pStyle w:val="27"/>
              <w:jc w:val="left"/>
              <w:rPr>
                <w:rFonts w:ascii="Times New Roman" w:hAnsi="Times New Roman" w:eastAsia="宋体"/>
                <w:highlight w:val="none"/>
              </w:rPr>
            </w:pPr>
            <w:r>
              <w:rPr>
                <w:rFonts w:ascii="Times New Roman" w:hAnsi="Times New Roman" w:eastAsia="宋体"/>
                <w:highlight w:val="none"/>
              </w:rPr>
              <w:t>（2）加强施工人员环境意识教育，严禁将废油、施工垃圾抛入地表水体</w:t>
            </w:r>
          </w:p>
        </w:tc>
        <w:tc>
          <w:tcPr>
            <w:tcW w:w="703" w:type="pct"/>
            <w:noWrap w:val="0"/>
            <w:vAlign w:val="center"/>
          </w:tcPr>
          <w:p w14:paraId="66A0E932">
            <w:pPr>
              <w:pStyle w:val="27"/>
              <w:rPr>
                <w:rFonts w:ascii="Times New Roman" w:hAnsi="Times New Roman" w:eastAsia="宋体"/>
                <w:highlight w:val="none"/>
              </w:rPr>
            </w:pPr>
            <w:r>
              <w:rPr>
                <w:rFonts w:ascii="Times New Roman" w:hAnsi="Times New Roman" w:eastAsia="宋体"/>
                <w:highlight w:val="none"/>
              </w:rPr>
              <w:t>承包商</w:t>
            </w:r>
          </w:p>
        </w:tc>
        <w:tc>
          <w:tcPr>
            <w:tcW w:w="780" w:type="pct"/>
            <w:noWrap w:val="0"/>
            <w:vAlign w:val="center"/>
          </w:tcPr>
          <w:p w14:paraId="089C0638">
            <w:pPr>
              <w:pStyle w:val="27"/>
              <w:rPr>
                <w:rFonts w:ascii="Times New Roman" w:hAnsi="Times New Roman" w:eastAsia="宋体"/>
                <w:highlight w:val="none"/>
              </w:rPr>
            </w:pPr>
            <w:r>
              <w:rPr>
                <w:rFonts w:ascii="Times New Roman" w:hAnsi="Times New Roman" w:eastAsia="宋体"/>
                <w:highlight w:val="none"/>
              </w:rPr>
              <w:t>当地生态环境局</w:t>
            </w:r>
          </w:p>
        </w:tc>
      </w:tr>
    </w:tbl>
    <w:p w14:paraId="01EA47E4">
      <w:pPr>
        <w:ind w:firstLine="480"/>
        <w:rPr>
          <w:rFonts w:ascii="Times New Roman" w:hAnsi="Times New Roman"/>
          <w:highlight w:val="none"/>
        </w:rPr>
      </w:pPr>
      <w:r>
        <w:rPr>
          <w:rFonts w:ascii="Times New Roman" w:hAnsi="Times New Roman"/>
          <w:highlight w:val="none"/>
        </w:rPr>
        <w:t>2、运营期监测计划</w:t>
      </w:r>
    </w:p>
    <w:p w14:paraId="643910A8">
      <w:pPr>
        <w:ind w:firstLine="480"/>
        <w:rPr>
          <w:rFonts w:hint="eastAsia" w:ascii="Times New Roman" w:hAnsi="Times New Roman"/>
          <w:highlight w:val="none"/>
        </w:rPr>
      </w:pPr>
      <w:r>
        <w:rPr>
          <w:rFonts w:ascii="Times New Roman" w:hAnsi="Times New Roman"/>
          <w:highlight w:val="none"/>
        </w:rPr>
        <w:t>根据本企业的排污特点及《排污单位自行监测技术指南火力发电及锅炉》（HJ820-2017），确定监测内容、监测项目、监测频率，详见表8.3-2。</w:t>
      </w:r>
    </w:p>
    <w:p w14:paraId="32D8F347">
      <w:pPr>
        <w:ind w:firstLine="0" w:firstLineChars="0"/>
        <w:jc w:val="center"/>
        <w:rPr>
          <w:rFonts w:hint="eastAsia" w:ascii="Times New Roman" w:hAnsi="Times New Roman"/>
          <w:highlight w:val="none"/>
        </w:rPr>
      </w:pPr>
      <w:r>
        <w:rPr>
          <w:rFonts w:hint="eastAsia" w:ascii="黑体" w:hAnsi="黑体" w:eastAsia="黑体" w:cs="黑体"/>
          <w:highlight w:val="none"/>
        </w:rPr>
        <w:t>表</w:t>
      </w:r>
      <w:r>
        <w:rPr>
          <w:rFonts w:ascii="Times New Roman" w:hAnsi="Times New Roman"/>
          <w:highlight w:val="none"/>
        </w:rPr>
        <w:t>8.3-2</w:t>
      </w:r>
      <w:r>
        <w:rPr>
          <w:rFonts w:hint="eastAsia" w:ascii="黑体" w:hAnsi="黑体" w:eastAsia="黑体" w:cs="黑体"/>
          <w:highlight w:val="none"/>
        </w:rPr>
        <w:t>营运期环境监测计划</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25"/>
        <w:gridCol w:w="2869"/>
        <w:gridCol w:w="2253"/>
        <w:gridCol w:w="2475"/>
      </w:tblGrid>
      <w:tr w14:paraId="007EE2F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43" w:type="pct"/>
            <w:noWrap w:val="0"/>
            <w:vAlign w:val="center"/>
          </w:tcPr>
          <w:p w14:paraId="3AFDFE75">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项目</w:t>
            </w:r>
          </w:p>
        </w:tc>
        <w:tc>
          <w:tcPr>
            <w:tcW w:w="1683" w:type="pct"/>
            <w:noWrap w:val="0"/>
            <w:vAlign w:val="center"/>
          </w:tcPr>
          <w:p w14:paraId="60CC5AA3">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监测项目</w:t>
            </w:r>
          </w:p>
        </w:tc>
        <w:tc>
          <w:tcPr>
            <w:tcW w:w="1322" w:type="pct"/>
            <w:noWrap w:val="0"/>
            <w:vAlign w:val="center"/>
          </w:tcPr>
          <w:p w14:paraId="69E05F45">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监测点布设</w:t>
            </w:r>
          </w:p>
        </w:tc>
        <w:tc>
          <w:tcPr>
            <w:tcW w:w="1452" w:type="pct"/>
            <w:noWrap w:val="0"/>
            <w:vAlign w:val="center"/>
          </w:tcPr>
          <w:p w14:paraId="32EE4807">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监测周期</w:t>
            </w:r>
          </w:p>
        </w:tc>
      </w:tr>
      <w:tr w14:paraId="327E0D4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43" w:type="pct"/>
            <w:vMerge w:val="restart"/>
            <w:noWrap w:val="0"/>
            <w:vAlign w:val="center"/>
          </w:tcPr>
          <w:p w14:paraId="06149E18">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烟气</w:t>
            </w:r>
          </w:p>
        </w:tc>
        <w:tc>
          <w:tcPr>
            <w:tcW w:w="1683" w:type="pct"/>
            <w:noWrap w:val="0"/>
            <w:vAlign w:val="center"/>
          </w:tcPr>
          <w:p w14:paraId="0475146B">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氨、颗粒物、NOx、SO</w:t>
            </w:r>
            <w:r>
              <w:rPr>
                <w:rFonts w:ascii="Times New Roman" w:hAnsi="Times New Roman"/>
                <w:sz w:val="21"/>
                <w:highlight w:val="none"/>
                <w:vertAlign w:val="subscript"/>
              </w:rPr>
              <w:t>2</w:t>
            </w:r>
            <w:r>
              <w:rPr>
                <w:rFonts w:ascii="Times New Roman" w:hAnsi="Times New Roman"/>
                <w:sz w:val="21"/>
                <w:highlight w:val="none"/>
              </w:rPr>
              <w:t>、林格曼黑度、汞及其化合物、干烟气量、含湿量、含氧量</w:t>
            </w:r>
          </w:p>
        </w:tc>
        <w:tc>
          <w:tcPr>
            <w:tcW w:w="1322" w:type="pct"/>
            <w:noWrap w:val="0"/>
            <w:vAlign w:val="center"/>
          </w:tcPr>
          <w:p w14:paraId="5C78D67E">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烟道或烟囱</w:t>
            </w:r>
          </w:p>
        </w:tc>
        <w:tc>
          <w:tcPr>
            <w:tcW w:w="1452" w:type="pct"/>
            <w:noWrap w:val="0"/>
            <w:vAlign w:val="center"/>
          </w:tcPr>
          <w:p w14:paraId="4D9DD9C4">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氨、林格曼黑度、汞及其化合物1次/季度；SO</w:t>
            </w:r>
            <w:r>
              <w:rPr>
                <w:rFonts w:ascii="Times New Roman" w:hAnsi="Times New Roman"/>
                <w:sz w:val="21"/>
                <w:highlight w:val="none"/>
                <w:vertAlign w:val="subscript"/>
              </w:rPr>
              <w:t>2</w:t>
            </w:r>
            <w:r>
              <w:rPr>
                <w:rFonts w:ascii="Times New Roman" w:hAnsi="Times New Roman"/>
                <w:sz w:val="21"/>
                <w:highlight w:val="none"/>
              </w:rPr>
              <w:t>、NO</w:t>
            </w:r>
            <w:r>
              <w:rPr>
                <w:rFonts w:ascii="Times New Roman" w:hAnsi="Times New Roman"/>
                <w:sz w:val="21"/>
                <w:highlight w:val="none"/>
                <w:vertAlign w:val="subscript"/>
              </w:rPr>
              <w:t>x</w:t>
            </w:r>
            <w:r>
              <w:rPr>
                <w:rFonts w:ascii="Times New Roman" w:hAnsi="Times New Roman"/>
                <w:sz w:val="21"/>
                <w:highlight w:val="none"/>
              </w:rPr>
              <w:t>、</w:t>
            </w:r>
            <w:r>
              <w:rPr>
                <w:rFonts w:hint="eastAsia" w:ascii="Times New Roman" w:hAnsi="Times New Roman"/>
                <w:sz w:val="21"/>
                <w:highlight w:val="none"/>
                <w:lang w:val="en-US" w:eastAsia="zh-CN"/>
              </w:rPr>
              <w:t>颗粒物</w:t>
            </w:r>
            <w:r>
              <w:rPr>
                <w:rFonts w:hint="eastAsia" w:ascii="Times New Roman" w:hAnsi="Times New Roman"/>
                <w:sz w:val="21"/>
                <w:highlight w:val="none"/>
              </w:rPr>
              <w:t>烟囱</w:t>
            </w:r>
            <w:r>
              <w:rPr>
                <w:rFonts w:ascii="Times New Roman" w:hAnsi="Times New Roman"/>
                <w:sz w:val="21"/>
                <w:highlight w:val="none"/>
              </w:rPr>
              <w:t>设置烟气连续监测系统连续监测。</w:t>
            </w:r>
          </w:p>
        </w:tc>
      </w:tr>
      <w:tr w14:paraId="7368615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43" w:type="pct"/>
            <w:vMerge w:val="continue"/>
            <w:noWrap w:val="0"/>
            <w:vAlign w:val="center"/>
          </w:tcPr>
          <w:p w14:paraId="192E931A">
            <w:pPr>
              <w:spacing w:line="240" w:lineRule="auto"/>
              <w:ind w:firstLine="0" w:firstLineChars="0"/>
              <w:jc w:val="center"/>
              <w:rPr>
                <w:rFonts w:ascii="Times New Roman" w:hAnsi="Times New Roman"/>
                <w:sz w:val="21"/>
                <w:highlight w:val="none"/>
              </w:rPr>
            </w:pPr>
          </w:p>
        </w:tc>
        <w:tc>
          <w:tcPr>
            <w:tcW w:w="1683" w:type="pct"/>
            <w:noWrap w:val="0"/>
            <w:vAlign w:val="center"/>
          </w:tcPr>
          <w:p w14:paraId="76F9CED5">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除尘效率、阻力、漏风率、过剩空气系数</w:t>
            </w:r>
          </w:p>
        </w:tc>
        <w:tc>
          <w:tcPr>
            <w:tcW w:w="1322" w:type="pct"/>
            <w:noWrap w:val="0"/>
            <w:vAlign w:val="center"/>
          </w:tcPr>
          <w:p w14:paraId="42352612">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烟道预留取样口</w:t>
            </w:r>
          </w:p>
        </w:tc>
        <w:tc>
          <w:tcPr>
            <w:tcW w:w="1452" w:type="pct"/>
            <w:vMerge w:val="restart"/>
            <w:noWrap w:val="0"/>
            <w:vAlign w:val="center"/>
          </w:tcPr>
          <w:p w14:paraId="7995FBB4">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设置烟气连续监测系统，对烟道气的SO</w:t>
            </w:r>
            <w:r>
              <w:rPr>
                <w:rFonts w:ascii="Times New Roman" w:hAnsi="Times New Roman"/>
                <w:sz w:val="21"/>
                <w:highlight w:val="none"/>
                <w:vertAlign w:val="subscript"/>
              </w:rPr>
              <w:t>2</w:t>
            </w:r>
            <w:r>
              <w:rPr>
                <w:rFonts w:ascii="Times New Roman" w:hAnsi="Times New Roman"/>
                <w:sz w:val="21"/>
                <w:highlight w:val="none"/>
              </w:rPr>
              <w:t>、颗粒物、NO</w:t>
            </w:r>
            <w:r>
              <w:rPr>
                <w:rFonts w:ascii="Times New Roman" w:hAnsi="Times New Roman"/>
                <w:sz w:val="21"/>
                <w:highlight w:val="none"/>
                <w:vertAlign w:val="subscript"/>
              </w:rPr>
              <w:t>x</w:t>
            </w:r>
            <w:r>
              <w:rPr>
                <w:rFonts w:ascii="Times New Roman" w:hAnsi="Times New Roman"/>
                <w:sz w:val="21"/>
                <w:highlight w:val="none"/>
              </w:rPr>
              <w:t>、烟气量等进行连续监测；其他项目1次/季度监测。</w:t>
            </w:r>
          </w:p>
        </w:tc>
      </w:tr>
      <w:tr w14:paraId="30BD451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43" w:type="pct"/>
            <w:vMerge w:val="continue"/>
            <w:noWrap w:val="0"/>
            <w:vAlign w:val="center"/>
          </w:tcPr>
          <w:p w14:paraId="3EB234EE">
            <w:pPr>
              <w:spacing w:line="240" w:lineRule="auto"/>
              <w:ind w:firstLine="0" w:firstLineChars="0"/>
              <w:jc w:val="center"/>
              <w:rPr>
                <w:rFonts w:ascii="Times New Roman" w:hAnsi="Times New Roman"/>
                <w:sz w:val="21"/>
                <w:highlight w:val="none"/>
              </w:rPr>
            </w:pPr>
          </w:p>
        </w:tc>
        <w:tc>
          <w:tcPr>
            <w:tcW w:w="1683" w:type="pct"/>
            <w:noWrap w:val="0"/>
            <w:vAlign w:val="center"/>
          </w:tcPr>
          <w:p w14:paraId="30DECB4C">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脱硫脱硝除尘效率</w:t>
            </w:r>
          </w:p>
        </w:tc>
        <w:tc>
          <w:tcPr>
            <w:tcW w:w="1322" w:type="pct"/>
            <w:noWrap w:val="0"/>
            <w:vAlign w:val="center"/>
          </w:tcPr>
          <w:p w14:paraId="638DAA91">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烟道预留取样口</w:t>
            </w:r>
          </w:p>
        </w:tc>
        <w:tc>
          <w:tcPr>
            <w:tcW w:w="1452" w:type="pct"/>
            <w:vMerge w:val="continue"/>
            <w:noWrap w:val="0"/>
            <w:vAlign w:val="center"/>
          </w:tcPr>
          <w:p w14:paraId="37AEBAEA">
            <w:pPr>
              <w:spacing w:line="240" w:lineRule="auto"/>
              <w:ind w:firstLine="0" w:firstLineChars="0"/>
              <w:jc w:val="center"/>
              <w:rPr>
                <w:rFonts w:ascii="Times New Roman" w:hAnsi="Times New Roman"/>
                <w:sz w:val="21"/>
                <w:highlight w:val="none"/>
              </w:rPr>
            </w:pPr>
          </w:p>
        </w:tc>
      </w:tr>
      <w:tr w14:paraId="1EA13AE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43" w:type="pct"/>
            <w:noWrap w:val="0"/>
            <w:vAlign w:val="center"/>
          </w:tcPr>
          <w:p w14:paraId="314DC4EF">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环境</w:t>
            </w:r>
          </w:p>
          <w:p w14:paraId="33481905">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空气</w:t>
            </w:r>
          </w:p>
        </w:tc>
        <w:tc>
          <w:tcPr>
            <w:tcW w:w="1683" w:type="pct"/>
            <w:noWrap w:val="0"/>
            <w:vAlign w:val="center"/>
          </w:tcPr>
          <w:p w14:paraId="1938D079">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氨、颗粒物</w:t>
            </w:r>
          </w:p>
        </w:tc>
        <w:tc>
          <w:tcPr>
            <w:tcW w:w="1322" w:type="pct"/>
            <w:noWrap w:val="0"/>
            <w:vAlign w:val="center"/>
          </w:tcPr>
          <w:p w14:paraId="414BFD76">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厂界4个监测点</w:t>
            </w:r>
          </w:p>
        </w:tc>
        <w:tc>
          <w:tcPr>
            <w:tcW w:w="1452" w:type="pct"/>
            <w:noWrap w:val="0"/>
            <w:vAlign w:val="center"/>
          </w:tcPr>
          <w:p w14:paraId="14F6B720">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1次/季度</w:t>
            </w:r>
          </w:p>
        </w:tc>
      </w:tr>
      <w:tr w14:paraId="3D6E454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43" w:type="pct"/>
            <w:noWrap w:val="0"/>
            <w:vAlign w:val="center"/>
          </w:tcPr>
          <w:p w14:paraId="21D0CA05">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废水</w:t>
            </w:r>
          </w:p>
        </w:tc>
        <w:tc>
          <w:tcPr>
            <w:tcW w:w="1683" w:type="pct"/>
            <w:noWrap w:val="0"/>
            <w:vAlign w:val="center"/>
          </w:tcPr>
          <w:p w14:paraId="423374EA">
            <w:pPr>
              <w:spacing w:line="240" w:lineRule="auto"/>
              <w:ind w:firstLine="0" w:firstLineChars="0"/>
              <w:jc w:val="center"/>
              <w:rPr>
                <w:rFonts w:hint="eastAsia" w:ascii="Times New Roman" w:hAnsi="Times New Roman"/>
                <w:kern w:val="0"/>
                <w:sz w:val="21"/>
                <w:highlight w:val="none"/>
              </w:rPr>
            </w:pPr>
            <w:r>
              <w:rPr>
                <w:rFonts w:ascii="Times New Roman" w:hAnsi="Times New Roman"/>
                <w:kern w:val="0"/>
                <w:sz w:val="21"/>
                <w:highlight w:val="none"/>
              </w:rPr>
              <w:t>脱硫废水排放口</w:t>
            </w:r>
          </w:p>
        </w:tc>
        <w:tc>
          <w:tcPr>
            <w:tcW w:w="1322" w:type="pct"/>
            <w:noWrap w:val="0"/>
            <w:vAlign w:val="center"/>
          </w:tcPr>
          <w:p w14:paraId="3C343129">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pH、总砷、总铅、总汞、总镉、流量</w:t>
            </w:r>
          </w:p>
        </w:tc>
        <w:tc>
          <w:tcPr>
            <w:tcW w:w="1452" w:type="pct"/>
            <w:noWrap w:val="0"/>
            <w:vAlign w:val="center"/>
          </w:tcPr>
          <w:p w14:paraId="01B5697B">
            <w:pPr>
              <w:spacing w:line="240" w:lineRule="auto"/>
              <w:ind w:firstLine="0" w:firstLineChars="0"/>
              <w:jc w:val="center"/>
              <w:rPr>
                <w:rFonts w:ascii="Times New Roman" w:hAnsi="Times New Roman"/>
                <w:kern w:val="0"/>
                <w:sz w:val="21"/>
                <w:highlight w:val="none"/>
              </w:rPr>
            </w:pPr>
            <w:r>
              <w:rPr>
                <w:rFonts w:ascii="Times New Roman" w:hAnsi="Times New Roman"/>
                <w:kern w:val="0"/>
                <w:sz w:val="21"/>
                <w:highlight w:val="none"/>
              </w:rPr>
              <w:t>1次/月</w:t>
            </w:r>
          </w:p>
        </w:tc>
      </w:tr>
      <w:tr w14:paraId="0D4EBD5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43" w:type="pct"/>
            <w:noWrap w:val="0"/>
            <w:vAlign w:val="center"/>
          </w:tcPr>
          <w:p w14:paraId="7FFD48E3">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噪声</w:t>
            </w:r>
          </w:p>
        </w:tc>
        <w:tc>
          <w:tcPr>
            <w:tcW w:w="1683" w:type="pct"/>
            <w:noWrap w:val="0"/>
            <w:vAlign w:val="center"/>
          </w:tcPr>
          <w:p w14:paraId="3D5A11C7">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厂界噪声</w:t>
            </w:r>
          </w:p>
        </w:tc>
        <w:tc>
          <w:tcPr>
            <w:tcW w:w="1322" w:type="pct"/>
            <w:noWrap w:val="0"/>
            <w:vAlign w:val="center"/>
          </w:tcPr>
          <w:p w14:paraId="7E15E038">
            <w:pPr>
              <w:spacing w:line="240" w:lineRule="auto"/>
              <w:ind w:firstLine="0" w:firstLineChars="0"/>
              <w:jc w:val="center"/>
              <w:rPr>
                <w:rFonts w:ascii="Times New Roman" w:hAnsi="Times New Roman"/>
                <w:sz w:val="21"/>
                <w:highlight w:val="none"/>
              </w:rPr>
            </w:pPr>
            <w:r>
              <w:rPr>
                <w:rFonts w:ascii="Times New Roman" w:hAnsi="Times New Roman"/>
                <w:sz w:val="21"/>
                <w:highlight w:val="none"/>
              </w:rPr>
              <w:t>厂界四周</w:t>
            </w:r>
          </w:p>
        </w:tc>
        <w:tc>
          <w:tcPr>
            <w:tcW w:w="1452" w:type="pct"/>
            <w:noWrap w:val="0"/>
            <w:vAlign w:val="center"/>
          </w:tcPr>
          <w:p w14:paraId="5A2EA859">
            <w:pPr>
              <w:spacing w:line="240" w:lineRule="auto"/>
              <w:ind w:firstLine="0" w:firstLineChars="0"/>
              <w:jc w:val="center"/>
              <w:rPr>
                <w:rFonts w:hint="eastAsia" w:ascii="Times New Roman" w:hAnsi="Times New Roman" w:eastAsia="宋体"/>
                <w:sz w:val="21"/>
                <w:highlight w:val="none"/>
                <w:lang w:eastAsia="zh-CN"/>
              </w:rPr>
            </w:pPr>
            <w:r>
              <w:rPr>
                <w:rFonts w:ascii="Times New Roman" w:hAnsi="Times New Roman"/>
                <w:sz w:val="21"/>
                <w:highlight w:val="none"/>
              </w:rPr>
              <w:t>1次/</w:t>
            </w:r>
            <w:r>
              <w:rPr>
                <w:rFonts w:hint="eastAsia" w:ascii="Times New Roman" w:hAnsi="Times New Roman"/>
                <w:sz w:val="21"/>
                <w:highlight w:val="none"/>
                <w:lang w:val="en-US" w:eastAsia="zh-CN"/>
              </w:rPr>
              <w:t>月</w:t>
            </w:r>
          </w:p>
        </w:tc>
      </w:tr>
    </w:tbl>
    <w:p w14:paraId="1FF898B1">
      <w:pPr>
        <w:pStyle w:val="5"/>
        <w:bidi w:val="0"/>
        <w:ind w:left="0" w:leftChars="0" w:firstLine="0" w:firstLineChars="0"/>
        <w:rPr>
          <w:rFonts w:hint="eastAsia"/>
          <w:highlight w:val="none"/>
          <w:lang w:val="en-US" w:eastAsia="zh-CN"/>
        </w:rPr>
      </w:pPr>
      <w:bookmarkStart w:id="185" w:name="_Toc10554"/>
      <w:r>
        <w:rPr>
          <w:rFonts w:hint="eastAsia"/>
          <w:highlight w:val="none"/>
          <w:lang w:val="en-US" w:eastAsia="zh-CN"/>
        </w:rPr>
        <w:t>8.3.5信息公开</w:t>
      </w:r>
      <w:bookmarkEnd w:id="185"/>
    </w:p>
    <w:p w14:paraId="1E917B7D">
      <w:pPr>
        <w:ind w:firstLine="480"/>
        <w:rPr>
          <w:rFonts w:ascii="Times New Roman" w:hAnsi="Times New Roman"/>
          <w:highlight w:val="none"/>
        </w:rPr>
      </w:pPr>
      <w:r>
        <w:rPr>
          <w:rFonts w:ascii="Times New Roman" w:hAnsi="Times New Roman"/>
          <w:highlight w:val="none"/>
        </w:rPr>
        <w:t>（1）公开内容</w:t>
      </w:r>
    </w:p>
    <w:p w14:paraId="7FDBF279">
      <w:pPr>
        <w:ind w:firstLine="480"/>
        <w:rPr>
          <w:rFonts w:ascii="Times New Roman" w:hAnsi="Times New Roman"/>
          <w:highlight w:val="none"/>
        </w:rPr>
      </w:pPr>
      <w:r>
        <w:rPr>
          <w:rFonts w:ascii="Times New Roman" w:hAnsi="Times New Roman"/>
          <w:highlight w:val="none"/>
        </w:rPr>
        <w:t>企业应将自行监测工作开展情况及监测结果向社会公众公开，公开内容应包括：</w:t>
      </w:r>
    </w:p>
    <w:p w14:paraId="1843A83B">
      <w:pPr>
        <w:ind w:firstLine="480"/>
        <w:rPr>
          <w:rFonts w:ascii="Times New Roman" w:hAnsi="Times New Roman"/>
          <w:highlight w:val="none"/>
        </w:rPr>
      </w:pPr>
      <w:r>
        <w:rPr>
          <w:rFonts w:ascii="Times New Roman" w:hAnsi="Times New Roman"/>
          <w:highlight w:val="none"/>
        </w:rPr>
        <w:t>基础信息：企业名称、法人代表、所属行业、地理位置、生产周期、联系方式、委托监测机构名称等；</w:t>
      </w:r>
    </w:p>
    <w:p w14:paraId="3225E082">
      <w:pPr>
        <w:ind w:firstLine="480"/>
        <w:rPr>
          <w:rFonts w:ascii="Times New Roman" w:hAnsi="Times New Roman"/>
          <w:highlight w:val="none"/>
        </w:rPr>
      </w:pPr>
      <w:r>
        <w:rPr>
          <w:rFonts w:ascii="Times New Roman" w:hAnsi="Times New Roman"/>
          <w:highlight w:val="none"/>
        </w:rPr>
        <w:t>1）自行监测方案；</w:t>
      </w:r>
    </w:p>
    <w:p w14:paraId="24CC8EB1">
      <w:pPr>
        <w:ind w:firstLine="480"/>
        <w:rPr>
          <w:rFonts w:ascii="Times New Roman" w:hAnsi="Times New Roman"/>
          <w:highlight w:val="none"/>
        </w:rPr>
      </w:pPr>
      <w:r>
        <w:rPr>
          <w:rFonts w:ascii="Times New Roman" w:hAnsi="Times New Roman"/>
          <w:highlight w:val="none"/>
        </w:rPr>
        <w:t>自行监测结果：全部监测点位、监测时间、污染物种类及浓度、标准限值、达标情况、超标倍数、污染物排放方式及排放去向；</w:t>
      </w:r>
    </w:p>
    <w:p w14:paraId="76A7610D">
      <w:pPr>
        <w:ind w:firstLine="480"/>
        <w:rPr>
          <w:rFonts w:ascii="Times New Roman" w:hAnsi="Times New Roman"/>
          <w:highlight w:val="none"/>
        </w:rPr>
      </w:pPr>
      <w:r>
        <w:rPr>
          <w:rFonts w:ascii="Times New Roman" w:hAnsi="Times New Roman"/>
          <w:highlight w:val="none"/>
        </w:rPr>
        <w:t>2）未开展自行监测的原因；</w:t>
      </w:r>
    </w:p>
    <w:p w14:paraId="566E054A">
      <w:pPr>
        <w:ind w:firstLine="480"/>
        <w:rPr>
          <w:rFonts w:ascii="Times New Roman" w:hAnsi="Times New Roman"/>
          <w:highlight w:val="none"/>
        </w:rPr>
      </w:pPr>
      <w:r>
        <w:rPr>
          <w:rFonts w:ascii="Times New Roman" w:hAnsi="Times New Roman"/>
          <w:highlight w:val="none"/>
        </w:rPr>
        <w:t>3）污染源监测年度报告。</w:t>
      </w:r>
    </w:p>
    <w:p w14:paraId="75DAA5B5">
      <w:pPr>
        <w:ind w:firstLine="480"/>
        <w:rPr>
          <w:rFonts w:ascii="Times New Roman" w:hAnsi="Times New Roman"/>
          <w:highlight w:val="none"/>
        </w:rPr>
      </w:pPr>
      <w:r>
        <w:rPr>
          <w:rFonts w:ascii="Times New Roman" w:hAnsi="Times New Roman"/>
          <w:highlight w:val="none"/>
        </w:rPr>
        <w:t>（2）公开方式</w:t>
      </w:r>
    </w:p>
    <w:p w14:paraId="6B3C4C5C">
      <w:pPr>
        <w:ind w:firstLine="480"/>
        <w:rPr>
          <w:rFonts w:ascii="Times New Roman" w:hAnsi="Times New Roman"/>
          <w:highlight w:val="none"/>
        </w:rPr>
      </w:pPr>
      <w:r>
        <w:rPr>
          <w:rFonts w:ascii="Times New Roman" w:hAnsi="Times New Roman"/>
          <w:highlight w:val="none"/>
        </w:rPr>
        <w:t>企业可通过对外网站、报纸、广播、电视等便于公众知晓的方式公开自行监测信息。同时，应当在市级环境保护主管部门统一组织建立的公布平台上公开自行监测信息，并至少保存 1 年。</w:t>
      </w:r>
    </w:p>
    <w:p w14:paraId="22F5FA0B">
      <w:pPr>
        <w:ind w:firstLine="480"/>
        <w:rPr>
          <w:rFonts w:ascii="Times New Roman" w:hAnsi="Times New Roman"/>
          <w:highlight w:val="none"/>
        </w:rPr>
      </w:pPr>
      <w:r>
        <w:rPr>
          <w:rFonts w:ascii="Times New Roman" w:hAnsi="Times New Roman"/>
          <w:highlight w:val="none"/>
        </w:rPr>
        <w:t>（3）公开时限</w:t>
      </w:r>
    </w:p>
    <w:p w14:paraId="20D23294">
      <w:pPr>
        <w:ind w:firstLine="480"/>
        <w:rPr>
          <w:rFonts w:ascii="Times New Roman" w:hAnsi="Times New Roman"/>
          <w:highlight w:val="none"/>
        </w:rPr>
      </w:pPr>
      <w:r>
        <w:rPr>
          <w:rFonts w:ascii="Times New Roman" w:hAnsi="Times New Roman"/>
          <w:highlight w:val="none"/>
        </w:rPr>
        <w:t>企业自行监测信息按以下要求的时限公开：</w:t>
      </w:r>
    </w:p>
    <w:p w14:paraId="4AE27A9A">
      <w:pPr>
        <w:ind w:firstLine="480"/>
        <w:rPr>
          <w:rFonts w:ascii="Times New Roman" w:hAnsi="Times New Roman"/>
          <w:highlight w:val="none"/>
        </w:rPr>
      </w:pPr>
      <w:r>
        <w:rPr>
          <w:rFonts w:ascii="Times New Roman" w:hAnsi="Times New Roman"/>
          <w:highlight w:val="none"/>
        </w:rPr>
        <w:t>1）企业基础信息应随监测数据一并公布，基础信息、自行监测方案如有调整变化时，应于变更后的五日内公布最新内容；</w:t>
      </w:r>
    </w:p>
    <w:p w14:paraId="3DCC9AEF">
      <w:pPr>
        <w:ind w:firstLine="480"/>
        <w:rPr>
          <w:rFonts w:ascii="Times New Roman" w:hAnsi="Times New Roman"/>
          <w:highlight w:val="none"/>
        </w:rPr>
      </w:pPr>
      <w:r>
        <w:rPr>
          <w:rFonts w:ascii="Times New Roman" w:hAnsi="Times New Roman"/>
          <w:highlight w:val="none"/>
        </w:rPr>
        <w:t>2）手工监测数据应于每次监测完成后的次日公布；</w:t>
      </w:r>
    </w:p>
    <w:p w14:paraId="2397E64D">
      <w:pPr>
        <w:ind w:firstLine="480"/>
        <w:rPr>
          <w:rFonts w:ascii="Times New Roman" w:hAnsi="Times New Roman"/>
          <w:highlight w:val="none"/>
        </w:rPr>
      </w:pPr>
      <w:r>
        <w:rPr>
          <w:rFonts w:ascii="Times New Roman" w:hAnsi="Times New Roman"/>
          <w:highlight w:val="none"/>
        </w:rPr>
        <w:t>3）自动监测数据应实时公布监测结果，其中废水自动监测设备为每2小时均值，废气自动监测设备为每1小时均值；</w:t>
      </w:r>
    </w:p>
    <w:p w14:paraId="0F18AC7C">
      <w:pPr>
        <w:rPr>
          <w:rFonts w:ascii="Times New Roman" w:hAnsi="Times New Roman"/>
          <w:highlight w:val="none"/>
        </w:rPr>
      </w:pPr>
      <w:r>
        <w:rPr>
          <w:rFonts w:ascii="Times New Roman" w:hAnsi="Times New Roman"/>
          <w:highlight w:val="none"/>
        </w:rPr>
        <w:t>4）每年1月底前公布上年度自行监测年度报告。</w:t>
      </w:r>
    </w:p>
    <w:p w14:paraId="3B523601">
      <w:pPr>
        <w:pStyle w:val="4"/>
        <w:bidi w:val="0"/>
        <w:ind w:left="0" w:leftChars="0" w:firstLine="0" w:firstLineChars="0"/>
        <w:rPr>
          <w:rFonts w:hint="eastAsia"/>
          <w:highlight w:val="none"/>
          <w:lang w:val="en-US" w:eastAsia="zh-CN"/>
        </w:rPr>
      </w:pPr>
      <w:bookmarkStart w:id="186" w:name="_Toc7927"/>
      <w:r>
        <w:rPr>
          <w:rFonts w:hint="eastAsia"/>
          <w:highlight w:val="none"/>
          <w:lang w:val="en-US" w:eastAsia="zh-CN"/>
        </w:rPr>
        <w:t>8.4排污口规范化管理</w:t>
      </w:r>
      <w:bookmarkEnd w:id="186"/>
    </w:p>
    <w:p w14:paraId="4ADB55FC">
      <w:pPr>
        <w:rPr>
          <w:rFonts w:ascii="Times New Roman" w:hAnsi="Times New Roman"/>
          <w:highlight w:val="none"/>
        </w:rPr>
      </w:pPr>
      <w:r>
        <w:rPr>
          <w:rFonts w:ascii="Times New Roman" w:hAnsi="Times New Roman"/>
          <w:highlight w:val="none"/>
        </w:rPr>
        <w:t>排污口是企业排放污染物进入环境的通道，强化排污口的管理是实施污染物总量控制的基础工作之一，也是区域环境管理逐步实现污染物排放科学化、定量化的重要手段。</w:t>
      </w:r>
    </w:p>
    <w:p w14:paraId="4006634A">
      <w:pPr>
        <w:pStyle w:val="5"/>
        <w:bidi w:val="0"/>
        <w:ind w:left="0" w:leftChars="0" w:firstLine="0" w:firstLineChars="0"/>
        <w:rPr>
          <w:rFonts w:hint="eastAsia"/>
          <w:highlight w:val="none"/>
          <w:lang w:val="en-US" w:eastAsia="zh-CN"/>
        </w:rPr>
      </w:pPr>
      <w:bookmarkStart w:id="187" w:name="_Toc13873"/>
      <w:r>
        <w:rPr>
          <w:rFonts w:hint="default" w:ascii="Times New Roman" w:hAnsi="Times New Roman" w:cs="Times New Roman"/>
          <w:highlight w:val="none"/>
          <w:lang w:val="en-US" w:eastAsia="zh-CN"/>
        </w:rPr>
        <w:t>8.4.1</w:t>
      </w:r>
      <w:r>
        <w:rPr>
          <w:rFonts w:hint="eastAsia"/>
          <w:highlight w:val="none"/>
          <w:lang w:val="en-US" w:eastAsia="zh-CN"/>
        </w:rPr>
        <w:t>排污口规范化管理的基本原则</w:t>
      </w:r>
      <w:bookmarkEnd w:id="187"/>
    </w:p>
    <w:p w14:paraId="0FCEF045">
      <w:pPr>
        <w:ind w:firstLine="480"/>
        <w:rPr>
          <w:rFonts w:ascii="Times New Roman" w:hAnsi="Times New Roman"/>
          <w:highlight w:val="none"/>
        </w:rPr>
      </w:pPr>
      <w:r>
        <w:rPr>
          <w:rFonts w:ascii="Times New Roman" w:hAnsi="Times New Roman"/>
          <w:highlight w:val="none"/>
        </w:rPr>
        <w:t>（1）向环境排放污染物的排污口必须规范化。</w:t>
      </w:r>
    </w:p>
    <w:p w14:paraId="31D0788C">
      <w:pPr>
        <w:rPr>
          <w:rFonts w:ascii="Times New Roman" w:hAnsi="Times New Roman"/>
          <w:highlight w:val="none"/>
        </w:rPr>
      </w:pPr>
      <w:r>
        <w:rPr>
          <w:rFonts w:ascii="Times New Roman" w:hAnsi="Times New Roman"/>
          <w:highlight w:val="none"/>
        </w:rPr>
        <w:t>（2）排污口应便于采样与计量监测，便于日常现场监督检查。</w:t>
      </w:r>
    </w:p>
    <w:p w14:paraId="237CEF7D">
      <w:pPr>
        <w:pStyle w:val="5"/>
        <w:bidi w:val="0"/>
        <w:ind w:left="0" w:leftChars="0" w:firstLine="0" w:firstLineChars="0"/>
        <w:rPr>
          <w:rFonts w:hint="eastAsia"/>
          <w:highlight w:val="none"/>
          <w:lang w:val="en-US" w:eastAsia="zh-CN"/>
        </w:rPr>
      </w:pPr>
      <w:bookmarkStart w:id="188" w:name="_Toc24929"/>
      <w:r>
        <w:rPr>
          <w:rFonts w:hint="default" w:ascii="Times New Roman" w:hAnsi="Times New Roman" w:cs="Times New Roman"/>
          <w:highlight w:val="none"/>
          <w:lang w:val="en-US" w:eastAsia="zh-CN"/>
        </w:rPr>
        <w:t>8.4.2</w:t>
      </w:r>
      <w:r>
        <w:rPr>
          <w:rFonts w:hint="eastAsia"/>
          <w:highlight w:val="none"/>
          <w:lang w:val="en-US" w:eastAsia="zh-CN"/>
        </w:rPr>
        <w:t>排污口的技术要求</w:t>
      </w:r>
      <w:bookmarkEnd w:id="188"/>
    </w:p>
    <w:p w14:paraId="17086FE4">
      <w:pPr>
        <w:ind w:firstLine="480"/>
        <w:rPr>
          <w:rFonts w:ascii="Times New Roman" w:hAnsi="Times New Roman"/>
          <w:highlight w:val="none"/>
        </w:rPr>
      </w:pPr>
      <w:r>
        <w:rPr>
          <w:rFonts w:ascii="Times New Roman" w:hAnsi="Times New Roman"/>
          <w:highlight w:val="none"/>
        </w:rPr>
        <w:t>（1）排污口的位置必须合理确定，按环监（1996）470号文件要求进行规范化管理。</w:t>
      </w:r>
    </w:p>
    <w:p w14:paraId="213B94E9">
      <w:pPr>
        <w:ind w:firstLine="480"/>
        <w:rPr>
          <w:rFonts w:ascii="Times New Roman" w:hAnsi="Times New Roman"/>
          <w:highlight w:val="none"/>
        </w:rPr>
      </w:pPr>
      <w:r>
        <w:rPr>
          <w:rFonts w:ascii="Times New Roman" w:hAnsi="Times New Roman"/>
          <w:highlight w:val="none"/>
        </w:rPr>
        <w:t>（2）排放污染物的采样点设置应按《污染源监测技术规范》要求，设置在企业污染物总排口等处。</w:t>
      </w:r>
    </w:p>
    <w:p w14:paraId="70CF6387">
      <w:pPr>
        <w:rPr>
          <w:rFonts w:ascii="Times New Roman" w:hAnsi="Times New Roman"/>
          <w:highlight w:val="none"/>
        </w:rPr>
      </w:pPr>
      <w:r>
        <w:rPr>
          <w:rFonts w:ascii="Times New Roman" w:hAnsi="Times New Roman"/>
          <w:highlight w:val="none"/>
        </w:rPr>
        <w:t>（3）设置规范的污水测量流量流速的测流段。</w:t>
      </w:r>
    </w:p>
    <w:p w14:paraId="2E5AE9C1">
      <w:pPr>
        <w:pStyle w:val="5"/>
        <w:bidi w:val="0"/>
        <w:ind w:left="0" w:leftChars="0" w:firstLine="0" w:firstLineChars="0"/>
        <w:rPr>
          <w:rFonts w:hint="eastAsia"/>
          <w:highlight w:val="none"/>
          <w:lang w:val="en-US" w:eastAsia="zh-CN"/>
        </w:rPr>
      </w:pPr>
      <w:bookmarkStart w:id="189" w:name="_Toc16041"/>
      <w:r>
        <w:rPr>
          <w:rFonts w:hint="default" w:ascii="Times New Roman" w:hAnsi="Times New Roman" w:cs="Times New Roman"/>
          <w:highlight w:val="none"/>
          <w:lang w:val="en-US" w:eastAsia="zh-CN"/>
        </w:rPr>
        <w:t>8.4.3</w:t>
      </w:r>
      <w:r>
        <w:rPr>
          <w:rFonts w:hint="eastAsia"/>
          <w:highlight w:val="none"/>
          <w:lang w:val="en-US" w:eastAsia="zh-CN"/>
        </w:rPr>
        <w:t>排污口立标管理</w:t>
      </w:r>
      <w:bookmarkEnd w:id="189"/>
    </w:p>
    <w:p w14:paraId="560F3E28">
      <w:pPr>
        <w:ind w:firstLine="480"/>
        <w:rPr>
          <w:rFonts w:ascii="Times New Roman" w:hAnsi="Times New Roman"/>
          <w:highlight w:val="none"/>
        </w:rPr>
      </w:pPr>
      <w:r>
        <w:rPr>
          <w:rFonts w:ascii="Times New Roman" w:hAnsi="Times New Roman"/>
          <w:highlight w:val="none"/>
        </w:rPr>
        <w:t>（1）企业污染物排放口的标志，应按国家《环境保护图形标志 排放口》（15562.1－1995）及《环境保护图形标志 固体废物贮存（处置）场》（15562.2－1995）的规定，设置国家环保总局统一制作的环境保护图形标志牌。示例见表8-4-1。</w:t>
      </w:r>
    </w:p>
    <w:p w14:paraId="3B3FC6F3">
      <w:pPr>
        <w:ind w:firstLine="480"/>
        <w:rPr>
          <w:rFonts w:ascii="Times New Roman" w:hAnsi="Times New Roman"/>
          <w:highlight w:val="none"/>
        </w:rPr>
      </w:pPr>
      <w:r>
        <w:rPr>
          <w:rFonts w:ascii="Times New Roman" w:hAnsi="Times New Roman"/>
          <w:highlight w:val="none"/>
        </w:rPr>
        <w:t>（2）污染物排放口的环保图形标志牌应设置在靠近采样点的醒目处，标志牌设置高度为其上缘距地面2m。</w:t>
      </w:r>
    </w:p>
    <w:p w14:paraId="336CD87A">
      <w:pPr>
        <w:pStyle w:val="5"/>
        <w:bidi w:val="0"/>
        <w:ind w:left="0" w:leftChars="0" w:firstLine="0" w:firstLineChars="0"/>
        <w:rPr>
          <w:rFonts w:hint="eastAsia"/>
          <w:highlight w:val="none"/>
          <w:lang w:val="en-US" w:eastAsia="zh-CN"/>
        </w:rPr>
      </w:pPr>
      <w:bookmarkStart w:id="190" w:name="_Toc13818"/>
      <w:r>
        <w:rPr>
          <w:rFonts w:hint="default" w:ascii="Times New Roman" w:hAnsi="Times New Roman" w:cs="Times New Roman"/>
          <w:highlight w:val="none"/>
          <w:lang w:val="en-US" w:eastAsia="zh-CN"/>
        </w:rPr>
        <w:t>8.4.4</w:t>
      </w:r>
      <w:r>
        <w:rPr>
          <w:rFonts w:hint="eastAsia"/>
          <w:highlight w:val="none"/>
          <w:lang w:val="en-US" w:eastAsia="zh-CN"/>
        </w:rPr>
        <w:t>排污口建档管理</w:t>
      </w:r>
      <w:bookmarkEnd w:id="190"/>
    </w:p>
    <w:p w14:paraId="12B5715D">
      <w:pPr>
        <w:ind w:firstLine="480"/>
        <w:rPr>
          <w:rFonts w:ascii="Times New Roman" w:hAnsi="Times New Roman"/>
          <w:highlight w:val="none"/>
        </w:rPr>
      </w:pPr>
      <w:r>
        <w:rPr>
          <w:rFonts w:ascii="Times New Roman" w:hAnsi="Times New Roman"/>
          <w:highlight w:val="none"/>
        </w:rPr>
        <w:t>（1）要求使用国家环保局统一印刷的《中华人民共和国规范化排污口标志登记证》，并按要求填写有关内容。</w:t>
      </w:r>
    </w:p>
    <w:p w14:paraId="1008CF8B">
      <w:pPr>
        <w:ind w:firstLine="480"/>
        <w:rPr>
          <w:rFonts w:ascii="Times New Roman" w:hAnsi="Times New Roman"/>
          <w:highlight w:val="none"/>
        </w:rPr>
      </w:pPr>
      <w:r>
        <w:rPr>
          <w:rFonts w:ascii="Times New Roman" w:hAnsi="Times New Roman"/>
          <w:highlight w:val="none"/>
        </w:rPr>
        <w:t>（2）根据排污口管理档案内容要求，项目建成后，应将主要污染物种类、数量、浓度、排放去向、达标情况及设施运行情况记录于档案。</w:t>
      </w:r>
    </w:p>
    <w:p w14:paraId="70ED46BF">
      <w:pPr>
        <w:ind w:firstLine="0" w:firstLineChars="0"/>
        <w:jc w:val="center"/>
        <w:rPr>
          <w:rFonts w:ascii="Times New Roman" w:hAnsi="Times New Roman"/>
          <w:highlight w:val="none"/>
        </w:rPr>
      </w:pPr>
      <w:r>
        <w:rPr>
          <w:rFonts w:hint="eastAsia" w:ascii="黑体" w:hAnsi="黑体" w:eastAsia="黑体" w:cs="黑体"/>
          <w:highlight w:val="none"/>
        </w:rPr>
        <w:t>表</w:t>
      </w:r>
      <w:r>
        <w:rPr>
          <w:rFonts w:ascii="Times New Roman" w:hAnsi="Times New Roman"/>
          <w:highlight w:val="none"/>
        </w:rPr>
        <w:t>8.4-1</w:t>
      </w:r>
      <w:r>
        <w:rPr>
          <w:rFonts w:hint="eastAsia" w:ascii="黑体" w:hAnsi="黑体" w:eastAsia="黑体" w:cs="黑体"/>
          <w:highlight w:val="none"/>
        </w:rPr>
        <w:t>排污口图形符号</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50"/>
        <w:gridCol w:w="2335"/>
        <w:gridCol w:w="2771"/>
        <w:gridCol w:w="1333"/>
        <w:gridCol w:w="1333"/>
      </w:tblGrid>
      <w:tr w14:paraId="34CD289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jc w:val="center"/>
        </w:trPr>
        <w:tc>
          <w:tcPr>
            <w:tcW w:w="440" w:type="pct"/>
            <w:noWrap w:val="0"/>
            <w:vAlign w:val="center"/>
          </w:tcPr>
          <w:p w14:paraId="2D399282">
            <w:pPr>
              <w:pStyle w:val="27"/>
              <w:rPr>
                <w:rFonts w:ascii="Times New Roman" w:hAnsi="Times New Roman"/>
                <w:highlight w:val="none"/>
              </w:rPr>
            </w:pPr>
            <w:r>
              <w:rPr>
                <w:rFonts w:ascii="Times New Roman" w:hAnsi="Times New Roman"/>
                <w:highlight w:val="none"/>
              </w:rPr>
              <w:t>序号</w:t>
            </w:r>
          </w:p>
        </w:tc>
        <w:tc>
          <w:tcPr>
            <w:tcW w:w="1370" w:type="pct"/>
            <w:noWrap w:val="0"/>
            <w:vAlign w:val="center"/>
          </w:tcPr>
          <w:p w14:paraId="0D4B772F">
            <w:pPr>
              <w:pStyle w:val="27"/>
              <w:rPr>
                <w:rFonts w:ascii="Times New Roman" w:hAnsi="Times New Roman"/>
                <w:highlight w:val="none"/>
              </w:rPr>
            </w:pPr>
            <w:r>
              <w:rPr>
                <w:rFonts w:ascii="Times New Roman" w:hAnsi="Times New Roman"/>
                <w:highlight w:val="none"/>
              </w:rPr>
              <w:t>提示图形符号</w:t>
            </w:r>
          </w:p>
        </w:tc>
        <w:tc>
          <w:tcPr>
            <w:tcW w:w="1626" w:type="pct"/>
            <w:noWrap w:val="0"/>
            <w:vAlign w:val="center"/>
          </w:tcPr>
          <w:p w14:paraId="3DD042CF">
            <w:pPr>
              <w:pStyle w:val="27"/>
              <w:rPr>
                <w:rFonts w:ascii="Times New Roman" w:hAnsi="Times New Roman"/>
                <w:highlight w:val="none"/>
              </w:rPr>
            </w:pPr>
            <w:r>
              <w:rPr>
                <w:rFonts w:ascii="Times New Roman" w:hAnsi="Times New Roman"/>
                <w:highlight w:val="none"/>
              </w:rPr>
              <w:t>警告图形符号</w:t>
            </w:r>
          </w:p>
        </w:tc>
        <w:tc>
          <w:tcPr>
            <w:tcW w:w="782" w:type="pct"/>
            <w:noWrap w:val="0"/>
            <w:vAlign w:val="center"/>
          </w:tcPr>
          <w:p w14:paraId="1DB563AC">
            <w:pPr>
              <w:pStyle w:val="27"/>
              <w:rPr>
                <w:rFonts w:ascii="Times New Roman" w:hAnsi="Times New Roman"/>
                <w:highlight w:val="none"/>
              </w:rPr>
            </w:pPr>
            <w:r>
              <w:rPr>
                <w:rFonts w:ascii="Times New Roman" w:hAnsi="Times New Roman"/>
                <w:highlight w:val="none"/>
              </w:rPr>
              <w:t>名称</w:t>
            </w:r>
          </w:p>
        </w:tc>
        <w:tc>
          <w:tcPr>
            <w:tcW w:w="782" w:type="pct"/>
            <w:noWrap w:val="0"/>
            <w:vAlign w:val="center"/>
          </w:tcPr>
          <w:p w14:paraId="02003582">
            <w:pPr>
              <w:pStyle w:val="27"/>
              <w:rPr>
                <w:rFonts w:ascii="Times New Roman" w:hAnsi="Times New Roman"/>
                <w:highlight w:val="none"/>
              </w:rPr>
            </w:pPr>
            <w:r>
              <w:rPr>
                <w:rFonts w:ascii="Times New Roman" w:hAnsi="Times New Roman"/>
                <w:highlight w:val="none"/>
              </w:rPr>
              <w:t>功能</w:t>
            </w:r>
          </w:p>
        </w:tc>
      </w:tr>
      <w:tr w14:paraId="2993C3D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40" w:type="pct"/>
            <w:noWrap w:val="0"/>
            <w:vAlign w:val="center"/>
          </w:tcPr>
          <w:p w14:paraId="081AF700">
            <w:pPr>
              <w:pStyle w:val="27"/>
              <w:rPr>
                <w:rFonts w:ascii="Times New Roman" w:hAnsi="Times New Roman"/>
                <w:highlight w:val="none"/>
              </w:rPr>
            </w:pPr>
            <w:r>
              <w:rPr>
                <w:rFonts w:ascii="Times New Roman" w:hAnsi="Times New Roman"/>
                <w:highlight w:val="none"/>
              </w:rPr>
              <w:t>1</w:t>
            </w:r>
          </w:p>
        </w:tc>
        <w:tc>
          <w:tcPr>
            <w:tcW w:w="1370" w:type="pct"/>
            <w:noWrap w:val="0"/>
            <w:vAlign w:val="center"/>
          </w:tcPr>
          <w:p w14:paraId="32AD4C1F">
            <w:pPr>
              <w:pStyle w:val="27"/>
              <w:rPr>
                <w:rFonts w:ascii="Times New Roman" w:hAnsi="Times New Roman"/>
                <w:highlight w:val="none"/>
              </w:rPr>
            </w:pPr>
            <w:r>
              <w:rPr>
                <w:rFonts w:ascii="Times New Roman" w:hAnsi="Times New Roman"/>
                <w:highlight w:val="none"/>
              </w:rPr>
              <w:drawing>
                <wp:inline distT="0" distB="0" distL="114300" distR="114300">
                  <wp:extent cx="817880" cy="1027430"/>
                  <wp:effectExtent l="0" t="0" r="1270" b="1270"/>
                  <wp:docPr id="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pic:cNvPicPr>
                        </pic:nvPicPr>
                        <pic:blipFill>
                          <a:blip r:embed="rId71"/>
                          <a:stretch>
                            <a:fillRect/>
                          </a:stretch>
                        </pic:blipFill>
                        <pic:spPr>
                          <a:xfrm>
                            <a:off x="0" y="0"/>
                            <a:ext cx="817880" cy="1027430"/>
                          </a:xfrm>
                          <a:prstGeom prst="rect">
                            <a:avLst/>
                          </a:prstGeom>
                          <a:noFill/>
                          <a:ln>
                            <a:noFill/>
                          </a:ln>
                        </pic:spPr>
                      </pic:pic>
                    </a:graphicData>
                  </a:graphic>
                </wp:inline>
              </w:drawing>
            </w:r>
          </w:p>
        </w:tc>
        <w:tc>
          <w:tcPr>
            <w:tcW w:w="1626" w:type="pct"/>
            <w:noWrap w:val="0"/>
            <w:vAlign w:val="center"/>
          </w:tcPr>
          <w:p w14:paraId="52C31D86">
            <w:pPr>
              <w:pStyle w:val="27"/>
              <w:rPr>
                <w:rFonts w:ascii="Times New Roman" w:hAnsi="Times New Roman"/>
                <w:highlight w:val="none"/>
              </w:rPr>
            </w:pPr>
            <w:r>
              <w:rPr>
                <w:rFonts w:ascii="Times New Roman" w:hAnsi="Times New Roman"/>
                <w:highlight w:val="none"/>
              </w:rPr>
              <w:drawing>
                <wp:inline distT="0" distB="0" distL="114300" distR="114300">
                  <wp:extent cx="885825" cy="1181100"/>
                  <wp:effectExtent l="0" t="0" r="9525" b="0"/>
                  <wp:docPr id="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
                          <pic:cNvPicPr>
                            <a:picLocks noChangeAspect="1"/>
                          </pic:cNvPicPr>
                        </pic:nvPicPr>
                        <pic:blipFill>
                          <a:blip r:embed="rId72"/>
                          <a:stretch>
                            <a:fillRect/>
                          </a:stretch>
                        </pic:blipFill>
                        <pic:spPr>
                          <a:xfrm>
                            <a:off x="0" y="0"/>
                            <a:ext cx="885825" cy="1181100"/>
                          </a:xfrm>
                          <a:prstGeom prst="rect">
                            <a:avLst/>
                          </a:prstGeom>
                          <a:noFill/>
                          <a:ln>
                            <a:noFill/>
                          </a:ln>
                        </pic:spPr>
                      </pic:pic>
                    </a:graphicData>
                  </a:graphic>
                </wp:inline>
              </w:drawing>
            </w:r>
          </w:p>
        </w:tc>
        <w:tc>
          <w:tcPr>
            <w:tcW w:w="782" w:type="pct"/>
            <w:noWrap w:val="0"/>
            <w:vAlign w:val="center"/>
          </w:tcPr>
          <w:p w14:paraId="148A25E6">
            <w:pPr>
              <w:pStyle w:val="27"/>
              <w:rPr>
                <w:rFonts w:ascii="Times New Roman" w:hAnsi="Times New Roman"/>
                <w:highlight w:val="none"/>
              </w:rPr>
            </w:pPr>
            <w:r>
              <w:rPr>
                <w:rFonts w:ascii="Times New Roman" w:hAnsi="Times New Roman"/>
                <w:highlight w:val="none"/>
              </w:rPr>
              <w:t>污水排放口</w:t>
            </w:r>
          </w:p>
        </w:tc>
        <w:tc>
          <w:tcPr>
            <w:tcW w:w="782" w:type="pct"/>
            <w:noWrap w:val="0"/>
            <w:vAlign w:val="center"/>
          </w:tcPr>
          <w:p w14:paraId="0C24FF2D">
            <w:pPr>
              <w:pStyle w:val="27"/>
              <w:rPr>
                <w:rFonts w:ascii="Times New Roman" w:hAnsi="Times New Roman"/>
                <w:highlight w:val="none"/>
              </w:rPr>
            </w:pPr>
            <w:r>
              <w:rPr>
                <w:rFonts w:ascii="Times New Roman" w:hAnsi="Times New Roman"/>
                <w:highlight w:val="none"/>
              </w:rPr>
              <w:t>表示污水向水体排放</w:t>
            </w:r>
          </w:p>
        </w:tc>
      </w:tr>
      <w:tr w14:paraId="4193B11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40" w:type="pct"/>
            <w:noWrap w:val="0"/>
            <w:vAlign w:val="center"/>
          </w:tcPr>
          <w:p w14:paraId="034E6217">
            <w:pPr>
              <w:pStyle w:val="27"/>
              <w:rPr>
                <w:rFonts w:ascii="Times New Roman" w:hAnsi="Times New Roman"/>
                <w:highlight w:val="none"/>
              </w:rPr>
            </w:pPr>
            <w:r>
              <w:rPr>
                <w:rFonts w:ascii="Times New Roman" w:hAnsi="Times New Roman"/>
                <w:highlight w:val="none"/>
              </w:rPr>
              <w:t>2</w:t>
            </w:r>
          </w:p>
        </w:tc>
        <w:tc>
          <w:tcPr>
            <w:tcW w:w="1370" w:type="pct"/>
            <w:noWrap w:val="0"/>
            <w:vAlign w:val="center"/>
          </w:tcPr>
          <w:p w14:paraId="2FA7D1B1">
            <w:pPr>
              <w:pStyle w:val="27"/>
              <w:rPr>
                <w:rFonts w:ascii="Times New Roman" w:hAnsi="Times New Roman"/>
                <w:highlight w:val="none"/>
              </w:rPr>
            </w:pPr>
            <w:r>
              <w:rPr>
                <w:rFonts w:ascii="Times New Roman" w:hAnsi="Times New Roman"/>
                <w:highlight w:val="none"/>
              </w:rPr>
              <w:drawing>
                <wp:inline distT="0" distB="0" distL="114300" distR="114300">
                  <wp:extent cx="847725" cy="1123950"/>
                  <wp:effectExtent l="0" t="0" r="9525" b="0"/>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73"/>
                          <a:stretch>
                            <a:fillRect/>
                          </a:stretch>
                        </pic:blipFill>
                        <pic:spPr>
                          <a:xfrm>
                            <a:off x="0" y="0"/>
                            <a:ext cx="847725" cy="1123950"/>
                          </a:xfrm>
                          <a:prstGeom prst="rect">
                            <a:avLst/>
                          </a:prstGeom>
                          <a:noFill/>
                          <a:ln>
                            <a:noFill/>
                          </a:ln>
                        </pic:spPr>
                      </pic:pic>
                    </a:graphicData>
                  </a:graphic>
                </wp:inline>
              </w:drawing>
            </w:r>
          </w:p>
        </w:tc>
        <w:tc>
          <w:tcPr>
            <w:tcW w:w="1626" w:type="pct"/>
            <w:noWrap w:val="0"/>
            <w:vAlign w:val="center"/>
          </w:tcPr>
          <w:p w14:paraId="79E18960">
            <w:pPr>
              <w:pStyle w:val="27"/>
              <w:rPr>
                <w:rFonts w:ascii="Times New Roman" w:hAnsi="Times New Roman"/>
                <w:highlight w:val="none"/>
              </w:rPr>
            </w:pPr>
            <w:r>
              <w:rPr>
                <w:rFonts w:ascii="Times New Roman" w:hAnsi="Times New Roman"/>
                <w:highlight w:val="none"/>
              </w:rPr>
              <w:drawing>
                <wp:inline distT="0" distB="0" distL="114300" distR="114300">
                  <wp:extent cx="895350" cy="1133475"/>
                  <wp:effectExtent l="0" t="0" r="0" b="9525"/>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74"/>
                          <a:stretch>
                            <a:fillRect/>
                          </a:stretch>
                        </pic:blipFill>
                        <pic:spPr>
                          <a:xfrm>
                            <a:off x="0" y="0"/>
                            <a:ext cx="895350" cy="1133475"/>
                          </a:xfrm>
                          <a:prstGeom prst="rect">
                            <a:avLst/>
                          </a:prstGeom>
                          <a:noFill/>
                          <a:ln>
                            <a:noFill/>
                          </a:ln>
                        </pic:spPr>
                      </pic:pic>
                    </a:graphicData>
                  </a:graphic>
                </wp:inline>
              </w:drawing>
            </w:r>
          </w:p>
        </w:tc>
        <w:tc>
          <w:tcPr>
            <w:tcW w:w="782" w:type="pct"/>
            <w:noWrap w:val="0"/>
            <w:vAlign w:val="center"/>
          </w:tcPr>
          <w:p w14:paraId="47AA5304">
            <w:pPr>
              <w:pStyle w:val="27"/>
              <w:rPr>
                <w:rFonts w:ascii="Times New Roman" w:hAnsi="Times New Roman"/>
                <w:highlight w:val="none"/>
              </w:rPr>
            </w:pPr>
            <w:r>
              <w:rPr>
                <w:rFonts w:ascii="Times New Roman" w:hAnsi="Times New Roman"/>
                <w:highlight w:val="none"/>
              </w:rPr>
              <w:t>废气排放口</w:t>
            </w:r>
          </w:p>
        </w:tc>
        <w:tc>
          <w:tcPr>
            <w:tcW w:w="782" w:type="pct"/>
            <w:noWrap w:val="0"/>
            <w:vAlign w:val="center"/>
          </w:tcPr>
          <w:p w14:paraId="4C94C448">
            <w:pPr>
              <w:pStyle w:val="27"/>
              <w:rPr>
                <w:rFonts w:ascii="Times New Roman" w:hAnsi="Times New Roman"/>
                <w:highlight w:val="none"/>
              </w:rPr>
            </w:pPr>
            <w:r>
              <w:rPr>
                <w:rFonts w:ascii="Times New Roman" w:hAnsi="Times New Roman"/>
                <w:highlight w:val="none"/>
              </w:rPr>
              <w:t>表示废气向大气环境排放</w:t>
            </w:r>
          </w:p>
        </w:tc>
      </w:tr>
      <w:tr w14:paraId="70924C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40" w:type="pct"/>
            <w:noWrap w:val="0"/>
            <w:vAlign w:val="center"/>
          </w:tcPr>
          <w:p w14:paraId="0C89DD3D">
            <w:pPr>
              <w:pStyle w:val="27"/>
              <w:rPr>
                <w:rFonts w:ascii="Times New Roman" w:hAnsi="Times New Roman"/>
                <w:highlight w:val="none"/>
              </w:rPr>
            </w:pPr>
            <w:bookmarkStart w:id="191" w:name="_Toc157740354"/>
            <w:r>
              <w:rPr>
                <w:rFonts w:ascii="Times New Roman" w:hAnsi="Times New Roman"/>
                <w:highlight w:val="none"/>
              </w:rPr>
              <w:t>3</w:t>
            </w:r>
          </w:p>
        </w:tc>
        <w:tc>
          <w:tcPr>
            <w:tcW w:w="1370" w:type="pct"/>
            <w:noWrap w:val="0"/>
            <w:vAlign w:val="center"/>
          </w:tcPr>
          <w:p w14:paraId="5ED0600E">
            <w:pPr>
              <w:pStyle w:val="27"/>
              <w:rPr>
                <w:rFonts w:ascii="Times New Roman" w:hAnsi="Times New Roman"/>
                <w:highlight w:val="none"/>
              </w:rPr>
            </w:pPr>
            <w:r>
              <w:rPr>
                <w:rFonts w:ascii="Times New Roman" w:hAnsi="Times New Roman"/>
                <w:highlight w:val="none"/>
              </w:rPr>
              <w:drawing>
                <wp:inline distT="0" distB="0" distL="114300" distR="114300">
                  <wp:extent cx="857250" cy="1143000"/>
                  <wp:effectExtent l="0" t="0" r="0" b="0"/>
                  <wp:docPr id="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
                          <pic:cNvPicPr>
                            <a:picLocks noChangeAspect="1"/>
                          </pic:cNvPicPr>
                        </pic:nvPicPr>
                        <pic:blipFill>
                          <a:blip r:embed="rId75"/>
                          <a:stretch>
                            <a:fillRect/>
                          </a:stretch>
                        </pic:blipFill>
                        <pic:spPr>
                          <a:xfrm>
                            <a:off x="0" y="0"/>
                            <a:ext cx="857250" cy="1143000"/>
                          </a:xfrm>
                          <a:prstGeom prst="rect">
                            <a:avLst/>
                          </a:prstGeom>
                          <a:noFill/>
                          <a:ln>
                            <a:noFill/>
                          </a:ln>
                        </pic:spPr>
                      </pic:pic>
                    </a:graphicData>
                  </a:graphic>
                </wp:inline>
              </w:drawing>
            </w:r>
          </w:p>
        </w:tc>
        <w:tc>
          <w:tcPr>
            <w:tcW w:w="1626" w:type="pct"/>
            <w:noWrap w:val="0"/>
            <w:vAlign w:val="center"/>
          </w:tcPr>
          <w:p w14:paraId="2A7C0201">
            <w:pPr>
              <w:pStyle w:val="27"/>
              <w:rPr>
                <w:rFonts w:ascii="Times New Roman" w:hAnsi="Times New Roman"/>
                <w:highlight w:val="none"/>
              </w:rPr>
            </w:pPr>
            <w:r>
              <w:rPr>
                <w:rFonts w:ascii="Times New Roman" w:hAnsi="Times New Roman"/>
                <w:highlight w:val="none"/>
              </w:rPr>
              <w:drawing>
                <wp:inline distT="0" distB="0" distL="114300" distR="114300">
                  <wp:extent cx="876300" cy="1152525"/>
                  <wp:effectExtent l="0" t="0" r="0" b="9525"/>
                  <wp:docPr id="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7"/>
                          <pic:cNvPicPr>
                            <a:picLocks noChangeAspect="1"/>
                          </pic:cNvPicPr>
                        </pic:nvPicPr>
                        <pic:blipFill>
                          <a:blip r:embed="rId76"/>
                          <a:stretch>
                            <a:fillRect/>
                          </a:stretch>
                        </pic:blipFill>
                        <pic:spPr>
                          <a:xfrm>
                            <a:off x="0" y="0"/>
                            <a:ext cx="876300" cy="1152525"/>
                          </a:xfrm>
                          <a:prstGeom prst="rect">
                            <a:avLst/>
                          </a:prstGeom>
                          <a:noFill/>
                          <a:ln>
                            <a:noFill/>
                          </a:ln>
                        </pic:spPr>
                      </pic:pic>
                    </a:graphicData>
                  </a:graphic>
                </wp:inline>
              </w:drawing>
            </w:r>
          </w:p>
        </w:tc>
        <w:tc>
          <w:tcPr>
            <w:tcW w:w="782" w:type="pct"/>
            <w:noWrap w:val="0"/>
            <w:vAlign w:val="center"/>
          </w:tcPr>
          <w:p w14:paraId="4B5C3219">
            <w:pPr>
              <w:pStyle w:val="27"/>
              <w:rPr>
                <w:rFonts w:ascii="Times New Roman" w:hAnsi="Times New Roman"/>
                <w:highlight w:val="none"/>
              </w:rPr>
            </w:pPr>
            <w:r>
              <w:rPr>
                <w:rFonts w:ascii="Times New Roman" w:hAnsi="Times New Roman"/>
                <w:highlight w:val="none"/>
              </w:rPr>
              <w:t>噪声排放源</w:t>
            </w:r>
          </w:p>
        </w:tc>
        <w:tc>
          <w:tcPr>
            <w:tcW w:w="782" w:type="pct"/>
            <w:noWrap w:val="0"/>
            <w:vAlign w:val="center"/>
          </w:tcPr>
          <w:p w14:paraId="74FF089D">
            <w:pPr>
              <w:pStyle w:val="27"/>
              <w:rPr>
                <w:rFonts w:ascii="Times New Roman" w:hAnsi="Times New Roman"/>
                <w:highlight w:val="none"/>
              </w:rPr>
            </w:pPr>
            <w:r>
              <w:rPr>
                <w:rFonts w:ascii="Times New Roman" w:hAnsi="Times New Roman"/>
                <w:highlight w:val="none"/>
              </w:rPr>
              <w:t>表示噪声向外环境排放</w:t>
            </w:r>
          </w:p>
        </w:tc>
      </w:tr>
      <w:tr w14:paraId="4AE06E47">
        <w:tblPrEx>
          <w:tblBorders>
            <w:top w:val="single" w:color="auto" w:sz="12" w:space="0"/>
            <w:left w:val="none" w:color="auto" w:sz="0" w:space="0"/>
            <w:bottom w:val="none" w:color="auto" w:sz="0"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40" w:type="pct"/>
            <w:tcBorders>
              <w:bottom w:val="single" w:color="auto" w:sz="6" w:space="0"/>
            </w:tcBorders>
            <w:noWrap w:val="0"/>
            <w:vAlign w:val="center"/>
          </w:tcPr>
          <w:p w14:paraId="1E73557C">
            <w:pPr>
              <w:pStyle w:val="27"/>
              <w:rPr>
                <w:rFonts w:ascii="Times New Roman" w:hAnsi="Times New Roman"/>
                <w:highlight w:val="none"/>
              </w:rPr>
            </w:pPr>
            <w:r>
              <w:rPr>
                <w:rFonts w:ascii="Times New Roman" w:hAnsi="Times New Roman"/>
                <w:highlight w:val="none"/>
              </w:rPr>
              <w:t>4</w:t>
            </w:r>
          </w:p>
        </w:tc>
        <w:tc>
          <w:tcPr>
            <w:tcW w:w="1370" w:type="pct"/>
            <w:tcBorders>
              <w:bottom w:val="single" w:color="auto" w:sz="6" w:space="0"/>
            </w:tcBorders>
            <w:noWrap w:val="0"/>
            <w:vAlign w:val="center"/>
          </w:tcPr>
          <w:p w14:paraId="69BBEE71">
            <w:pPr>
              <w:pStyle w:val="27"/>
              <w:rPr>
                <w:rFonts w:ascii="Times New Roman" w:hAnsi="Times New Roman"/>
                <w:highlight w:val="none"/>
              </w:rPr>
            </w:pPr>
            <w:r>
              <w:rPr>
                <w:rFonts w:ascii="Times New Roman" w:hAnsi="Times New Roman"/>
                <w:highlight w:val="none"/>
              </w:rPr>
              <w:drawing>
                <wp:inline distT="0" distB="0" distL="114300" distR="114300">
                  <wp:extent cx="904875" cy="1104900"/>
                  <wp:effectExtent l="0" t="0" r="9525" b="0"/>
                  <wp:docPr id="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8"/>
                          <pic:cNvPicPr>
                            <a:picLocks noChangeAspect="1"/>
                          </pic:cNvPicPr>
                        </pic:nvPicPr>
                        <pic:blipFill>
                          <a:blip r:embed="rId77"/>
                          <a:stretch>
                            <a:fillRect/>
                          </a:stretch>
                        </pic:blipFill>
                        <pic:spPr>
                          <a:xfrm>
                            <a:off x="0" y="0"/>
                            <a:ext cx="904875" cy="1104900"/>
                          </a:xfrm>
                          <a:prstGeom prst="rect">
                            <a:avLst/>
                          </a:prstGeom>
                          <a:noFill/>
                          <a:ln>
                            <a:noFill/>
                          </a:ln>
                        </pic:spPr>
                      </pic:pic>
                    </a:graphicData>
                  </a:graphic>
                </wp:inline>
              </w:drawing>
            </w:r>
          </w:p>
        </w:tc>
        <w:tc>
          <w:tcPr>
            <w:tcW w:w="1626" w:type="pct"/>
            <w:tcBorders>
              <w:bottom w:val="single" w:color="auto" w:sz="6" w:space="0"/>
            </w:tcBorders>
            <w:noWrap w:val="0"/>
            <w:vAlign w:val="center"/>
          </w:tcPr>
          <w:p w14:paraId="0C6EAB3D">
            <w:pPr>
              <w:pStyle w:val="27"/>
              <w:rPr>
                <w:rFonts w:ascii="Times New Roman" w:hAnsi="Times New Roman"/>
                <w:highlight w:val="none"/>
              </w:rPr>
            </w:pPr>
            <w:r>
              <w:rPr>
                <w:rFonts w:ascii="Times New Roman" w:hAnsi="Times New Roman"/>
                <w:highlight w:val="none"/>
              </w:rPr>
              <w:drawing>
                <wp:inline distT="0" distB="0" distL="114300" distR="114300">
                  <wp:extent cx="876300" cy="1143000"/>
                  <wp:effectExtent l="0" t="0" r="0" b="0"/>
                  <wp:docPr id="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
                          <pic:cNvPicPr>
                            <a:picLocks noChangeAspect="1"/>
                          </pic:cNvPicPr>
                        </pic:nvPicPr>
                        <pic:blipFill>
                          <a:blip r:embed="rId78"/>
                          <a:stretch>
                            <a:fillRect/>
                          </a:stretch>
                        </pic:blipFill>
                        <pic:spPr>
                          <a:xfrm>
                            <a:off x="0" y="0"/>
                            <a:ext cx="876300" cy="1143000"/>
                          </a:xfrm>
                          <a:prstGeom prst="rect">
                            <a:avLst/>
                          </a:prstGeom>
                          <a:noFill/>
                          <a:ln>
                            <a:noFill/>
                          </a:ln>
                        </pic:spPr>
                      </pic:pic>
                    </a:graphicData>
                  </a:graphic>
                </wp:inline>
              </w:drawing>
            </w:r>
          </w:p>
        </w:tc>
        <w:tc>
          <w:tcPr>
            <w:tcW w:w="782" w:type="pct"/>
            <w:tcBorders>
              <w:bottom w:val="single" w:color="auto" w:sz="6" w:space="0"/>
            </w:tcBorders>
            <w:noWrap w:val="0"/>
            <w:vAlign w:val="center"/>
          </w:tcPr>
          <w:p w14:paraId="5EACC55A">
            <w:pPr>
              <w:pStyle w:val="27"/>
              <w:rPr>
                <w:rFonts w:ascii="Times New Roman" w:hAnsi="Times New Roman"/>
                <w:highlight w:val="none"/>
              </w:rPr>
            </w:pPr>
            <w:r>
              <w:rPr>
                <w:rFonts w:ascii="Times New Roman" w:hAnsi="Times New Roman"/>
                <w:highlight w:val="none"/>
              </w:rPr>
              <w:t>一般固体废物</w:t>
            </w:r>
          </w:p>
        </w:tc>
        <w:tc>
          <w:tcPr>
            <w:tcW w:w="782" w:type="pct"/>
            <w:tcBorders>
              <w:bottom w:val="single" w:color="auto" w:sz="6" w:space="0"/>
            </w:tcBorders>
            <w:noWrap w:val="0"/>
            <w:vAlign w:val="center"/>
          </w:tcPr>
          <w:p w14:paraId="65081C21">
            <w:pPr>
              <w:pStyle w:val="27"/>
              <w:rPr>
                <w:rFonts w:ascii="Times New Roman" w:hAnsi="Times New Roman"/>
                <w:highlight w:val="none"/>
              </w:rPr>
            </w:pPr>
            <w:r>
              <w:rPr>
                <w:rFonts w:ascii="Times New Roman" w:hAnsi="Times New Roman"/>
                <w:highlight w:val="none"/>
              </w:rPr>
              <w:t>表示一般固体废物贮存、处置场</w:t>
            </w:r>
          </w:p>
        </w:tc>
      </w:tr>
      <w:tr w14:paraId="6F7752BD">
        <w:tblPrEx>
          <w:tblBorders>
            <w:top w:val="single" w:color="auto" w:sz="12" w:space="0"/>
            <w:left w:val="none" w:color="auto" w:sz="0" w:space="0"/>
            <w:bottom w:val="none" w:color="auto" w:sz="0"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96" w:hRule="atLeast"/>
          <w:jc w:val="center"/>
        </w:trPr>
        <w:tc>
          <w:tcPr>
            <w:tcW w:w="440" w:type="pct"/>
            <w:tcBorders>
              <w:top w:val="single" w:color="auto" w:sz="6" w:space="0"/>
              <w:bottom w:val="single" w:color="auto" w:sz="12" w:space="0"/>
            </w:tcBorders>
            <w:noWrap w:val="0"/>
            <w:vAlign w:val="center"/>
          </w:tcPr>
          <w:p w14:paraId="0C54EBBB">
            <w:pPr>
              <w:pStyle w:val="27"/>
              <w:rPr>
                <w:rFonts w:ascii="Times New Roman" w:hAnsi="Times New Roman"/>
                <w:highlight w:val="none"/>
              </w:rPr>
            </w:pPr>
            <w:r>
              <w:rPr>
                <w:rFonts w:ascii="Times New Roman" w:hAnsi="Times New Roman"/>
                <w:highlight w:val="none"/>
              </w:rPr>
              <w:t>5</w:t>
            </w:r>
          </w:p>
        </w:tc>
        <w:tc>
          <w:tcPr>
            <w:tcW w:w="1370" w:type="pct"/>
            <w:tcBorders>
              <w:top w:val="single" w:color="auto" w:sz="6" w:space="0"/>
              <w:bottom w:val="single" w:color="auto" w:sz="12" w:space="0"/>
            </w:tcBorders>
            <w:noWrap w:val="0"/>
            <w:vAlign w:val="center"/>
          </w:tcPr>
          <w:p w14:paraId="679FDC89">
            <w:pPr>
              <w:pStyle w:val="27"/>
              <w:rPr>
                <w:rFonts w:ascii="Times New Roman" w:hAnsi="Times New Roman"/>
                <w:highlight w:val="none"/>
              </w:rPr>
            </w:pPr>
            <w:r>
              <w:rPr>
                <w:rFonts w:ascii="Times New Roman" w:hAnsi="Times New Roman"/>
                <w:highlight w:val="none"/>
              </w:rPr>
              <w:t>/</w:t>
            </w:r>
          </w:p>
        </w:tc>
        <w:tc>
          <w:tcPr>
            <w:tcW w:w="1626" w:type="pct"/>
            <w:tcBorders>
              <w:top w:val="single" w:color="auto" w:sz="6" w:space="0"/>
              <w:bottom w:val="single" w:color="auto" w:sz="12" w:space="0"/>
            </w:tcBorders>
            <w:noWrap w:val="0"/>
            <w:vAlign w:val="center"/>
          </w:tcPr>
          <w:p w14:paraId="613B1DD3">
            <w:pPr>
              <w:pStyle w:val="27"/>
              <w:rPr>
                <w:rFonts w:ascii="Times New Roman" w:hAnsi="Times New Roman"/>
                <w:highlight w:val="none"/>
              </w:rPr>
            </w:pPr>
            <w:r>
              <w:rPr>
                <w:rFonts w:hint="default" w:ascii="Times New Roman" w:hAnsi="Times New Roman" w:cs="Times New Roman"/>
                <w:color w:val="auto"/>
                <w:highlight w:val="none"/>
              </w:rPr>
              <w:drawing>
                <wp:inline distT="0" distB="0" distL="114300" distR="114300">
                  <wp:extent cx="886460" cy="938530"/>
                  <wp:effectExtent l="0" t="0" r="8890" b="13970"/>
                  <wp:docPr id="7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6"/>
                          <pic:cNvPicPr>
                            <a:picLocks noChangeAspect="1"/>
                          </pic:cNvPicPr>
                        </pic:nvPicPr>
                        <pic:blipFill>
                          <a:blip r:embed="rId79"/>
                          <a:stretch>
                            <a:fillRect/>
                          </a:stretch>
                        </pic:blipFill>
                        <pic:spPr>
                          <a:xfrm>
                            <a:off x="0" y="0"/>
                            <a:ext cx="886460" cy="938530"/>
                          </a:xfrm>
                          <a:prstGeom prst="rect">
                            <a:avLst/>
                          </a:prstGeom>
                          <a:noFill/>
                          <a:ln>
                            <a:noFill/>
                          </a:ln>
                        </pic:spPr>
                      </pic:pic>
                    </a:graphicData>
                  </a:graphic>
                </wp:inline>
              </w:drawing>
            </w:r>
          </w:p>
        </w:tc>
        <w:tc>
          <w:tcPr>
            <w:tcW w:w="782" w:type="pct"/>
            <w:tcBorders>
              <w:top w:val="single" w:color="auto" w:sz="6" w:space="0"/>
              <w:bottom w:val="single" w:color="auto" w:sz="12" w:space="0"/>
            </w:tcBorders>
            <w:noWrap w:val="0"/>
            <w:vAlign w:val="center"/>
          </w:tcPr>
          <w:p w14:paraId="7063DD60">
            <w:pPr>
              <w:pStyle w:val="27"/>
              <w:rPr>
                <w:rFonts w:ascii="Times New Roman" w:hAnsi="Times New Roman"/>
                <w:highlight w:val="none"/>
              </w:rPr>
            </w:pPr>
            <w:r>
              <w:rPr>
                <w:rFonts w:ascii="Times New Roman" w:hAnsi="Times New Roman"/>
                <w:highlight w:val="none"/>
              </w:rPr>
              <w:t>危险废物</w:t>
            </w:r>
          </w:p>
        </w:tc>
        <w:tc>
          <w:tcPr>
            <w:tcW w:w="782" w:type="pct"/>
            <w:tcBorders>
              <w:top w:val="single" w:color="auto" w:sz="6" w:space="0"/>
              <w:bottom w:val="single" w:color="auto" w:sz="12" w:space="0"/>
            </w:tcBorders>
            <w:noWrap w:val="0"/>
            <w:vAlign w:val="center"/>
          </w:tcPr>
          <w:p w14:paraId="34D14A0E">
            <w:pPr>
              <w:pStyle w:val="27"/>
              <w:rPr>
                <w:rFonts w:ascii="Times New Roman" w:hAnsi="Times New Roman"/>
                <w:highlight w:val="none"/>
              </w:rPr>
            </w:pPr>
            <w:r>
              <w:rPr>
                <w:rFonts w:ascii="Times New Roman" w:hAnsi="Times New Roman"/>
                <w:highlight w:val="none"/>
              </w:rPr>
              <w:t>表示危险废物贮存、处置场</w:t>
            </w:r>
          </w:p>
        </w:tc>
      </w:tr>
      <w:bookmarkEnd w:id="191"/>
    </w:tbl>
    <w:p w14:paraId="0B40F5E2">
      <w:pPr>
        <w:pStyle w:val="4"/>
        <w:bidi w:val="0"/>
        <w:ind w:left="0" w:leftChars="0" w:firstLine="0" w:firstLineChars="0"/>
        <w:rPr>
          <w:rFonts w:hint="eastAsia"/>
          <w:highlight w:val="none"/>
          <w:lang w:val="en-US" w:eastAsia="zh-CN"/>
        </w:rPr>
      </w:pPr>
      <w:bookmarkStart w:id="192" w:name="_Toc24439"/>
      <w:r>
        <w:rPr>
          <w:rFonts w:hint="eastAsia"/>
          <w:highlight w:val="none"/>
          <w:lang w:val="en-US" w:eastAsia="zh-CN"/>
        </w:rPr>
        <w:t>8.5竣工环境保护验收内容</w:t>
      </w:r>
      <w:bookmarkEnd w:id="192"/>
    </w:p>
    <w:p w14:paraId="7B6C4E32">
      <w:pPr>
        <w:ind w:firstLine="480"/>
        <w:rPr>
          <w:rFonts w:ascii="Times New Roman" w:hAnsi="Times New Roman"/>
          <w:highlight w:val="none"/>
        </w:rPr>
      </w:pPr>
      <w:r>
        <w:rPr>
          <w:rFonts w:ascii="Times New Roman" w:hAnsi="Times New Roman"/>
          <w:highlight w:val="none"/>
        </w:rPr>
        <w:t>（1）验收范围</w:t>
      </w:r>
    </w:p>
    <w:p w14:paraId="71E6013D">
      <w:pPr>
        <w:ind w:firstLine="480"/>
        <w:rPr>
          <w:rFonts w:ascii="Times New Roman" w:hAnsi="Times New Roman"/>
          <w:highlight w:val="none"/>
        </w:rPr>
      </w:pPr>
      <w:r>
        <w:rPr>
          <w:rFonts w:ascii="Times New Roman" w:hAnsi="Times New Roman"/>
          <w:highlight w:val="none"/>
        </w:rPr>
        <w:t>1）与本工程有关的各项环境保护设施，包括为污染防治和保护环境所建设的配套工程、设备、装置和监测手段等。</w:t>
      </w:r>
    </w:p>
    <w:p w14:paraId="7A7B804E">
      <w:pPr>
        <w:ind w:firstLine="480"/>
        <w:rPr>
          <w:rFonts w:ascii="Times New Roman" w:hAnsi="Times New Roman"/>
          <w:highlight w:val="none"/>
        </w:rPr>
      </w:pPr>
      <w:r>
        <w:rPr>
          <w:rFonts w:ascii="Times New Roman" w:hAnsi="Times New Roman"/>
          <w:highlight w:val="none"/>
        </w:rPr>
        <w:t>2）本报告书和有关文件规定应采取的其他各项环保措施。</w:t>
      </w:r>
    </w:p>
    <w:p w14:paraId="4B574978">
      <w:pPr>
        <w:ind w:firstLine="480"/>
        <w:rPr>
          <w:rFonts w:ascii="Times New Roman" w:hAnsi="Times New Roman"/>
          <w:highlight w:val="none"/>
        </w:rPr>
      </w:pPr>
      <w:r>
        <w:rPr>
          <w:rFonts w:ascii="Times New Roman" w:hAnsi="Times New Roman"/>
          <w:highlight w:val="none"/>
        </w:rPr>
        <w:t>（2）验收清单</w:t>
      </w:r>
    </w:p>
    <w:p w14:paraId="2C4FC3D2">
      <w:pPr>
        <w:ind w:firstLine="480"/>
        <w:rPr>
          <w:rFonts w:ascii="Times New Roman" w:hAnsi="Times New Roman"/>
          <w:highlight w:val="none"/>
        </w:rPr>
      </w:pPr>
      <w:r>
        <w:rPr>
          <w:rFonts w:ascii="Times New Roman" w:hAnsi="Times New Roman"/>
          <w:highlight w:val="none"/>
        </w:rPr>
        <w:t>建设单位在工程投产后正常生产工况下，应《建设项目竣工环境保护验收暂行办法》及《关于发布〈建设项目竣工环境保护验收暂行办法〉的公告》（国环规环评〔2017〕4号），进行污染防治设施竣工环境保护验收。本工程环保设施竣工验收一览表见表8.5-1。</w:t>
      </w:r>
    </w:p>
    <w:p w14:paraId="1E5E92E3">
      <w:pPr>
        <w:ind w:firstLine="0" w:firstLineChars="0"/>
        <w:jc w:val="center"/>
        <w:rPr>
          <w:rFonts w:hint="eastAsia" w:ascii="Times New Roman" w:hAnsi="Times New Roman"/>
          <w:highlight w:val="none"/>
        </w:rPr>
      </w:pPr>
      <w:r>
        <w:rPr>
          <w:rFonts w:hint="eastAsia" w:ascii="黑体" w:hAnsi="黑体" w:eastAsia="黑体" w:cs="黑体"/>
          <w:highlight w:val="none"/>
        </w:rPr>
        <w:t>表</w:t>
      </w:r>
      <w:r>
        <w:rPr>
          <w:rFonts w:ascii="Times New Roman" w:hAnsi="Times New Roman"/>
          <w:highlight w:val="none"/>
        </w:rPr>
        <w:t>8.5-1</w:t>
      </w:r>
      <w:r>
        <w:rPr>
          <w:rFonts w:hint="eastAsia" w:ascii="黑体" w:hAnsi="黑体" w:eastAsia="黑体" w:cs="黑体"/>
          <w:highlight w:val="none"/>
        </w:rPr>
        <w:t>环保设施“三同时”竣工验收项目一览表</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28"/>
        <w:gridCol w:w="1178"/>
        <w:gridCol w:w="1879"/>
        <w:gridCol w:w="1952"/>
        <w:gridCol w:w="2885"/>
      </w:tblGrid>
      <w:tr w14:paraId="5446377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jc w:val="center"/>
        </w:trPr>
        <w:tc>
          <w:tcPr>
            <w:tcW w:w="369" w:type="pct"/>
            <w:noWrap w:val="0"/>
            <w:vAlign w:val="center"/>
          </w:tcPr>
          <w:p w14:paraId="11768E26">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分类</w:t>
            </w:r>
          </w:p>
        </w:tc>
        <w:tc>
          <w:tcPr>
            <w:tcW w:w="691" w:type="pct"/>
            <w:noWrap w:val="0"/>
            <w:vAlign w:val="center"/>
          </w:tcPr>
          <w:p w14:paraId="33B52457">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项目</w:t>
            </w:r>
          </w:p>
        </w:tc>
        <w:tc>
          <w:tcPr>
            <w:tcW w:w="1101" w:type="pct"/>
            <w:noWrap w:val="0"/>
            <w:vAlign w:val="center"/>
          </w:tcPr>
          <w:p w14:paraId="2DB57C85">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主要设施/设备/措施</w:t>
            </w:r>
          </w:p>
        </w:tc>
        <w:tc>
          <w:tcPr>
            <w:tcW w:w="1145" w:type="pct"/>
            <w:noWrap w:val="0"/>
            <w:vAlign w:val="center"/>
          </w:tcPr>
          <w:p w14:paraId="7F164950">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处理效果</w:t>
            </w:r>
          </w:p>
        </w:tc>
        <w:tc>
          <w:tcPr>
            <w:tcW w:w="1692" w:type="pct"/>
            <w:noWrap w:val="0"/>
            <w:vAlign w:val="center"/>
          </w:tcPr>
          <w:p w14:paraId="093971B3">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验收标准</w:t>
            </w:r>
          </w:p>
        </w:tc>
      </w:tr>
      <w:tr w14:paraId="476AEC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69" w:type="pct"/>
            <w:vMerge w:val="restart"/>
            <w:noWrap w:val="0"/>
            <w:vAlign w:val="center"/>
          </w:tcPr>
          <w:p w14:paraId="694959B5">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烟气</w:t>
            </w:r>
          </w:p>
        </w:tc>
        <w:tc>
          <w:tcPr>
            <w:tcW w:w="691" w:type="pct"/>
            <w:noWrap w:val="0"/>
            <w:vAlign w:val="center"/>
          </w:tcPr>
          <w:p w14:paraId="1FA1360F">
            <w:pPr>
              <w:spacing w:line="240" w:lineRule="auto"/>
              <w:ind w:firstLine="0" w:firstLineChars="0"/>
              <w:jc w:val="center"/>
              <w:rPr>
                <w:rFonts w:ascii="Times New Roman" w:hAnsi="Times New Roman"/>
                <w:sz w:val="21"/>
                <w:szCs w:val="21"/>
                <w:highlight w:val="none"/>
              </w:rPr>
            </w:pPr>
            <w:r>
              <w:rPr>
                <w:rFonts w:hint="eastAsia" w:ascii="Times New Roman" w:hAnsi="Times New Roman"/>
                <w:sz w:val="21"/>
                <w:szCs w:val="21"/>
                <w:highlight w:val="none"/>
              </w:rPr>
              <w:t>烟尘</w:t>
            </w:r>
          </w:p>
        </w:tc>
        <w:tc>
          <w:tcPr>
            <w:tcW w:w="1101" w:type="pct"/>
            <w:noWrap w:val="0"/>
            <w:vAlign w:val="center"/>
          </w:tcPr>
          <w:p w14:paraId="70ACE732">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布袋除尘系统</w:t>
            </w:r>
          </w:p>
        </w:tc>
        <w:tc>
          <w:tcPr>
            <w:tcW w:w="1145" w:type="pct"/>
            <w:noWrap w:val="0"/>
            <w:vAlign w:val="center"/>
          </w:tcPr>
          <w:p w14:paraId="424CCBA3">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除尘效率≥99.96%</w:t>
            </w:r>
          </w:p>
        </w:tc>
        <w:tc>
          <w:tcPr>
            <w:tcW w:w="1692" w:type="pct"/>
            <w:vMerge w:val="restart"/>
            <w:noWrap w:val="0"/>
            <w:vAlign w:val="center"/>
          </w:tcPr>
          <w:p w14:paraId="23814AB6">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超低排放限值要求</w:t>
            </w:r>
          </w:p>
          <w:p w14:paraId="7ED5A391">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颗粒物：10mg/m</w:t>
            </w:r>
            <w:r>
              <w:rPr>
                <w:rFonts w:ascii="Times New Roman" w:hAnsi="Times New Roman"/>
                <w:sz w:val="21"/>
                <w:szCs w:val="21"/>
                <w:highlight w:val="none"/>
                <w:vertAlign w:val="superscript"/>
              </w:rPr>
              <w:t>3</w:t>
            </w:r>
          </w:p>
          <w:p w14:paraId="4E55D1F6">
            <w:pPr>
              <w:spacing w:line="240" w:lineRule="auto"/>
              <w:ind w:firstLine="0" w:firstLineChars="0"/>
              <w:jc w:val="center"/>
              <w:rPr>
                <w:rFonts w:ascii="Times New Roman" w:hAnsi="Times New Roman"/>
                <w:sz w:val="21"/>
                <w:szCs w:val="21"/>
                <w:highlight w:val="none"/>
                <w:vertAlign w:val="superscript"/>
              </w:rPr>
            </w:pPr>
            <w:r>
              <w:rPr>
                <w:rFonts w:ascii="Times New Roman" w:hAnsi="Times New Roman"/>
                <w:sz w:val="21"/>
                <w:szCs w:val="21"/>
                <w:highlight w:val="none"/>
              </w:rPr>
              <w:t>二氧化硫：35mg/m</w:t>
            </w:r>
            <w:r>
              <w:rPr>
                <w:rFonts w:ascii="Times New Roman" w:hAnsi="Times New Roman"/>
                <w:sz w:val="21"/>
                <w:szCs w:val="21"/>
                <w:highlight w:val="none"/>
                <w:vertAlign w:val="superscript"/>
              </w:rPr>
              <w:t>3</w:t>
            </w:r>
          </w:p>
          <w:p w14:paraId="2AF73D0B">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氮氧化物：50mg/m</w:t>
            </w:r>
            <w:r>
              <w:rPr>
                <w:rFonts w:ascii="Times New Roman" w:hAnsi="Times New Roman"/>
                <w:sz w:val="21"/>
                <w:szCs w:val="21"/>
                <w:highlight w:val="none"/>
                <w:vertAlign w:val="superscript"/>
              </w:rPr>
              <w:t>3</w:t>
            </w:r>
          </w:p>
        </w:tc>
      </w:tr>
      <w:tr w14:paraId="2C7DEA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69" w:type="pct"/>
            <w:vMerge w:val="continue"/>
            <w:noWrap w:val="0"/>
            <w:vAlign w:val="center"/>
          </w:tcPr>
          <w:p w14:paraId="736C5320">
            <w:pPr>
              <w:spacing w:line="240" w:lineRule="auto"/>
              <w:ind w:firstLine="0" w:firstLineChars="0"/>
              <w:jc w:val="center"/>
              <w:rPr>
                <w:rFonts w:ascii="Times New Roman" w:hAnsi="Times New Roman"/>
                <w:sz w:val="21"/>
                <w:szCs w:val="21"/>
                <w:highlight w:val="none"/>
              </w:rPr>
            </w:pPr>
          </w:p>
        </w:tc>
        <w:tc>
          <w:tcPr>
            <w:tcW w:w="691" w:type="pct"/>
            <w:noWrap w:val="0"/>
            <w:vAlign w:val="center"/>
          </w:tcPr>
          <w:p w14:paraId="22330704">
            <w:pPr>
              <w:spacing w:line="240" w:lineRule="auto"/>
              <w:ind w:firstLine="0" w:firstLineChars="0"/>
              <w:jc w:val="center"/>
              <w:rPr>
                <w:rFonts w:ascii="Times New Roman" w:hAnsi="Times New Roman"/>
                <w:sz w:val="21"/>
                <w:szCs w:val="21"/>
                <w:highlight w:val="none"/>
              </w:rPr>
            </w:pPr>
            <w:r>
              <w:rPr>
                <w:rFonts w:hint="eastAsia" w:ascii="Times New Roman" w:hAnsi="Times New Roman"/>
                <w:sz w:val="21"/>
                <w:szCs w:val="21"/>
                <w:highlight w:val="none"/>
              </w:rPr>
              <w:t>二氧化</w:t>
            </w:r>
            <w:r>
              <w:rPr>
                <w:rFonts w:ascii="Times New Roman" w:hAnsi="Times New Roman"/>
                <w:sz w:val="21"/>
                <w:szCs w:val="21"/>
                <w:highlight w:val="none"/>
              </w:rPr>
              <w:t>硫</w:t>
            </w:r>
          </w:p>
        </w:tc>
        <w:tc>
          <w:tcPr>
            <w:tcW w:w="1101" w:type="pct"/>
            <w:noWrap w:val="0"/>
            <w:vAlign w:val="center"/>
          </w:tcPr>
          <w:p w14:paraId="012BDEDF">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石灰石/石膏脱硫工艺</w:t>
            </w:r>
          </w:p>
        </w:tc>
        <w:tc>
          <w:tcPr>
            <w:tcW w:w="1145" w:type="pct"/>
            <w:noWrap w:val="0"/>
            <w:vAlign w:val="center"/>
          </w:tcPr>
          <w:p w14:paraId="11347141">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脱硫效率≥97%</w:t>
            </w:r>
          </w:p>
        </w:tc>
        <w:tc>
          <w:tcPr>
            <w:tcW w:w="1692" w:type="pct"/>
            <w:vMerge w:val="continue"/>
            <w:noWrap w:val="0"/>
            <w:vAlign w:val="center"/>
          </w:tcPr>
          <w:p w14:paraId="27E7EAAB">
            <w:pPr>
              <w:spacing w:line="240" w:lineRule="auto"/>
              <w:ind w:firstLine="0" w:firstLineChars="0"/>
              <w:jc w:val="center"/>
              <w:rPr>
                <w:rFonts w:ascii="Times New Roman" w:hAnsi="Times New Roman"/>
                <w:sz w:val="21"/>
                <w:szCs w:val="21"/>
                <w:highlight w:val="none"/>
              </w:rPr>
            </w:pPr>
          </w:p>
        </w:tc>
      </w:tr>
      <w:tr w14:paraId="6A3154C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69" w:type="pct"/>
            <w:vMerge w:val="continue"/>
            <w:noWrap w:val="0"/>
            <w:vAlign w:val="center"/>
          </w:tcPr>
          <w:p w14:paraId="70F8A0E2">
            <w:pPr>
              <w:spacing w:line="240" w:lineRule="auto"/>
              <w:ind w:firstLine="0" w:firstLineChars="0"/>
              <w:jc w:val="center"/>
              <w:rPr>
                <w:rFonts w:ascii="Times New Roman" w:hAnsi="Times New Roman"/>
                <w:sz w:val="21"/>
                <w:szCs w:val="21"/>
                <w:highlight w:val="none"/>
              </w:rPr>
            </w:pPr>
          </w:p>
        </w:tc>
        <w:tc>
          <w:tcPr>
            <w:tcW w:w="691" w:type="pct"/>
            <w:noWrap w:val="0"/>
            <w:vAlign w:val="center"/>
          </w:tcPr>
          <w:p w14:paraId="16918D25">
            <w:pPr>
              <w:spacing w:line="240" w:lineRule="auto"/>
              <w:ind w:firstLine="0" w:firstLineChars="0"/>
              <w:jc w:val="center"/>
              <w:rPr>
                <w:rFonts w:ascii="Times New Roman" w:hAnsi="Times New Roman"/>
                <w:sz w:val="21"/>
                <w:szCs w:val="21"/>
                <w:highlight w:val="none"/>
              </w:rPr>
            </w:pPr>
            <w:r>
              <w:rPr>
                <w:rFonts w:hint="eastAsia" w:ascii="Times New Roman" w:hAnsi="Times New Roman"/>
                <w:sz w:val="21"/>
                <w:szCs w:val="21"/>
                <w:highlight w:val="none"/>
              </w:rPr>
              <w:t>氮氧化物</w:t>
            </w:r>
          </w:p>
        </w:tc>
        <w:tc>
          <w:tcPr>
            <w:tcW w:w="1101" w:type="pct"/>
            <w:noWrap w:val="0"/>
            <w:vAlign w:val="center"/>
          </w:tcPr>
          <w:p w14:paraId="2FC723B4">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循环流化床低氮燃烧技术以及SNCR-SCR法脱硝系统</w:t>
            </w:r>
          </w:p>
        </w:tc>
        <w:tc>
          <w:tcPr>
            <w:tcW w:w="1145" w:type="pct"/>
            <w:tcBorders>
              <w:bottom w:val="single" w:color="auto" w:sz="4" w:space="0"/>
            </w:tcBorders>
            <w:noWrap w:val="0"/>
            <w:vAlign w:val="center"/>
          </w:tcPr>
          <w:p w14:paraId="57553F72">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低氮燃烧：氮氧化物出口浓度1</w:t>
            </w:r>
            <w:r>
              <w:rPr>
                <w:rFonts w:hint="eastAsia" w:ascii="Times New Roman" w:hAnsi="Times New Roman"/>
                <w:sz w:val="21"/>
                <w:szCs w:val="21"/>
                <w:highlight w:val="none"/>
              </w:rPr>
              <w:t>80</w:t>
            </w:r>
            <w:r>
              <w:rPr>
                <w:rFonts w:ascii="Times New Roman" w:hAnsi="Times New Roman"/>
                <w:sz w:val="21"/>
                <w:szCs w:val="21"/>
                <w:highlight w:val="none"/>
              </w:rPr>
              <w:t>mg/m</w:t>
            </w:r>
            <w:r>
              <w:rPr>
                <w:rFonts w:ascii="Times New Roman" w:hAnsi="Times New Roman"/>
                <w:sz w:val="21"/>
                <w:szCs w:val="21"/>
                <w:highlight w:val="none"/>
                <w:vertAlign w:val="superscript"/>
              </w:rPr>
              <w:t>3</w:t>
            </w:r>
            <w:r>
              <w:rPr>
                <w:rFonts w:ascii="Times New Roman" w:hAnsi="Times New Roman"/>
                <w:sz w:val="21"/>
                <w:szCs w:val="21"/>
                <w:highlight w:val="none"/>
              </w:rPr>
              <w:t>以内。</w:t>
            </w:r>
          </w:p>
          <w:p w14:paraId="6A47012E">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SNCR-SCR脱硝效率≥</w:t>
            </w:r>
            <w:r>
              <w:rPr>
                <w:rFonts w:hint="eastAsia" w:ascii="Times New Roman" w:hAnsi="Times New Roman"/>
                <w:sz w:val="21"/>
                <w:szCs w:val="21"/>
                <w:highlight w:val="none"/>
              </w:rPr>
              <w:t>75</w:t>
            </w:r>
            <w:r>
              <w:rPr>
                <w:rFonts w:ascii="Times New Roman" w:hAnsi="Times New Roman"/>
                <w:sz w:val="21"/>
                <w:szCs w:val="21"/>
                <w:highlight w:val="none"/>
              </w:rPr>
              <w:t>%</w:t>
            </w:r>
          </w:p>
        </w:tc>
        <w:tc>
          <w:tcPr>
            <w:tcW w:w="1692" w:type="pct"/>
            <w:vMerge w:val="continue"/>
            <w:tcBorders>
              <w:bottom w:val="single" w:color="auto" w:sz="4" w:space="0"/>
            </w:tcBorders>
            <w:noWrap w:val="0"/>
            <w:vAlign w:val="center"/>
          </w:tcPr>
          <w:p w14:paraId="2FECCCFA">
            <w:pPr>
              <w:spacing w:line="240" w:lineRule="auto"/>
              <w:ind w:firstLine="0" w:firstLineChars="0"/>
              <w:jc w:val="center"/>
              <w:rPr>
                <w:rFonts w:ascii="Times New Roman" w:hAnsi="Times New Roman"/>
                <w:sz w:val="21"/>
                <w:szCs w:val="21"/>
                <w:highlight w:val="none"/>
              </w:rPr>
            </w:pPr>
          </w:p>
        </w:tc>
      </w:tr>
      <w:tr w14:paraId="552FC9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69" w:type="pct"/>
            <w:vMerge w:val="continue"/>
            <w:noWrap w:val="0"/>
            <w:vAlign w:val="center"/>
          </w:tcPr>
          <w:p w14:paraId="2DF7F950">
            <w:pPr>
              <w:spacing w:line="240" w:lineRule="auto"/>
              <w:ind w:firstLine="0" w:firstLineChars="0"/>
              <w:jc w:val="center"/>
              <w:rPr>
                <w:rFonts w:ascii="Times New Roman" w:hAnsi="Times New Roman"/>
                <w:sz w:val="21"/>
                <w:szCs w:val="21"/>
                <w:highlight w:val="none"/>
              </w:rPr>
            </w:pPr>
          </w:p>
        </w:tc>
        <w:tc>
          <w:tcPr>
            <w:tcW w:w="691" w:type="pct"/>
            <w:noWrap w:val="0"/>
            <w:vAlign w:val="center"/>
          </w:tcPr>
          <w:p w14:paraId="6DDD7147">
            <w:pPr>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汞及其化合物</w:t>
            </w:r>
          </w:p>
        </w:tc>
        <w:tc>
          <w:tcPr>
            <w:tcW w:w="1101" w:type="pct"/>
            <w:noWrap w:val="0"/>
            <w:vAlign w:val="center"/>
          </w:tcPr>
          <w:p w14:paraId="549E165A">
            <w:pPr>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所有烟气治理措施综合除汞</w:t>
            </w:r>
          </w:p>
        </w:tc>
        <w:tc>
          <w:tcPr>
            <w:tcW w:w="1145" w:type="pct"/>
            <w:tcBorders>
              <w:top w:val="single" w:color="auto" w:sz="4" w:space="0"/>
            </w:tcBorders>
            <w:noWrap w:val="0"/>
            <w:vAlign w:val="center"/>
          </w:tcPr>
          <w:p w14:paraId="4F0E5A28">
            <w:pPr>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综合除汞效率≥70%</w:t>
            </w:r>
          </w:p>
        </w:tc>
        <w:tc>
          <w:tcPr>
            <w:tcW w:w="1692" w:type="pct"/>
            <w:tcBorders>
              <w:top w:val="single" w:color="auto" w:sz="4" w:space="0"/>
            </w:tcBorders>
            <w:noWrap w:val="0"/>
            <w:vAlign w:val="center"/>
          </w:tcPr>
          <w:p w14:paraId="1B8841B4">
            <w:pPr>
              <w:spacing w:line="240" w:lineRule="auto"/>
              <w:ind w:firstLine="0" w:firstLineChars="0"/>
              <w:jc w:val="center"/>
              <w:rPr>
                <w:rFonts w:ascii="Times New Roman" w:hAnsi="Times New Roman"/>
                <w:sz w:val="21"/>
                <w:szCs w:val="21"/>
                <w:highlight w:val="none"/>
              </w:rPr>
            </w:pPr>
            <w:r>
              <w:rPr>
                <w:rFonts w:hint="eastAsia" w:ascii="Times New Roman" w:hAnsi="Times New Roman"/>
                <w:sz w:val="21"/>
                <w:szCs w:val="21"/>
                <w:highlight w:val="none"/>
              </w:rPr>
              <w:t>《火电厂大气污染物排放标准》(GB13223-2011)表1中燃煤锅炉大气污染物排放标准</w:t>
            </w:r>
          </w:p>
          <w:p w14:paraId="068F407D">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汞及其化合物：0.0</w:t>
            </w:r>
            <w:r>
              <w:rPr>
                <w:rFonts w:hint="eastAsia" w:ascii="Times New Roman" w:hAnsi="Times New Roman"/>
                <w:sz w:val="21"/>
                <w:szCs w:val="21"/>
                <w:highlight w:val="none"/>
                <w:lang w:val="en-US" w:eastAsia="zh-CN"/>
              </w:rPr>
              <w:t>3</w:t>
            </w:r>
            <w:r>
              <w:rPr>
                <w:rFonts w:ascii="Times New Roman" w:hAnsi="Times New Roman"/>
                <w:sz w:val="21"/>
                <w:szCs w:val="21"/>
                <w:highlight w:val="none"/>
              </w:rPr>
              <w:t xml:space="preserve"> mg/m</w:t>
            </w:r>
            <w:r>
              <w:rPr>
                <w:rFonts w:ascii="Times New Roman" w:hAnsi="Times New Roman"/>
                <w:sz w:val="21"/>
                <w:szCs w:val="21"/>
                <w:highlight w:val="none"/>
                <w:vertAlign w:val="superscript"/>
              </w:rPr>
              <w:t>3</w:t>
            </w:r>
          </w:p>
        </w:tc>
      </w:tr>
      <w:tr w14:paraId="47201A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69" w:type="pct"/>
            <w:vMerge w:val="continue"/>
            <w:noWrap w:val="0"/>
            <w:vAlign w:val="center"/>
          </w:tcPr>
          <w:p w14:paraId="513B968B">
            <w:pPr>
              <w:spacing w:line="240" w:lineRule="auto"/>
              <w:ind w:firstLine="0" w:firstLineChars="0"/>
              <w:jc w:val="center"/>
              <w:rPr>
                <w:rFonts w:ascii="Times New Roman" w:hAnsi="Times New Roman"/>
                <w:sz w:val="21"/>
                <w:szCs w:val="21"/>
                <w:highlight w:val="none"/>
              </w:rPr>
            </w:pPr>
          </w:p>
        </w:tc>
        <w:tc>
          <w:tcPr>
            <w:tcW w:w="691" w:type="pct"/>
            <w:noWrap w:val="0"/>
            <w:vAlign w:val="center"/>
          </w:tcPr>
          <w:p w14:paraId="2E297C72">
            <w:pPr>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rPr>
              <w:t>烟气黑度</w:t>
            </w:r>
          </w:p>
        </w:tc>
        <w:tc>
          <w:tcPr>
            <w:tcW w:w="1101" w:type="pct"/>
            <w:vMerge w:val="restart"/>
            <w:noWrap w:val="0"/>
            <w:vAlign w:val="center"/>
          </w:tcPr>
          <w:p w14:paraId="4984EC4D">
            <w:pPr>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所有烟气治理措施综合</w:t>
            </w:r>
            <w:r>
              <w:rPr>
                <w:rFonts w:hint="eastAsia" w:ascii="Times New Roman" w:hAnsi="Times New Roman"/>
                <w:kern w:val="0"/>
                <w:sz w:val="21"/>
                <w:szCs w:val="21"/>
                <w:highlight w:val="none"/>
              </w:rPr>
              <w:t>处置</w:t>
            </w:r>
          </w:p>
        </w:tc>
        <w:tc>
          <w:tcPr>
            <w:tcW w:w="1145" w:type="pct"/>
            <w:vMerge w:val="restart"/>
            <w:tcBorders>
              <w:top w:val="single" w:color="auto" w:sz="4" w:space="0"/>
            </w:tcBorders>
            <w:noWrap w:val="0"/>
            <w:vAlign w:val="center"/>
          </w:tcPr>
          <w:p w14:paraId="2707AB37">
            <w:pPr>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rPr>
              <w:t>/</w:t>
            </w:r>
          </w:p>
        </w:tc>
        <w:tc>
          <w:tcPr>
            <w:tcW w:w="1692" w:type="pct"/>
            <w:tcBorders>
              <w:top w:val="single" w:color="auto" w:sz="4" w:space="0"/>
            </w:tcBorders>
            <w:noWrap w:val="0"/>
            <w:vAlign w:val="center"/>
          </w:tcPr>
          <w:p w14:paraId="78A084DF">
            <w:pPr>
              <w:spacing w:line="240" w:lineRule="auto"/>
              <w:ind w:firstLine="0" w:firstLineChars="0"/>
              <w:jc w:val="center"/>
              <w:rPr>
                <w:rFonts w:ascii="Times New Roman" w:hAnsi="Times New Roman"/>
                <w:sz w:val="21"/>
                <w:szCs w:val="21"/>
                <w:highlight w:val="none"/>
              </w:rPr>
            </w:pPr>
            <w:r>
              <w:rPr>
                <w:rFonts w:hint="eastAsia" w:ascii="Times New Roman" w:hAnsi="Times New Roman"/>
                <w:sz w:val="21"/>
                <w:szCs w:val="21"/>
                <w:highlight w:val="none"/>
              </w:rPr>
              <w:t>《火电厂大气污染物排放标准》(GB13223-2011)表1中燃煤锅炉大气污染物排放标准限值。</w:t>
            </w:r>
          </w:p>
        </w:tc>
      </w:tr>
      <w:tr w14:paraId="3C235C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69" w:type="pct"/>
            <w:vMerge w:val="continue"/>
            <w:noWrap w:val="0"/>
            <w:vAlign w:val="center"/>
          </w:tcPr>
          <w:p w14:paraId="795A8EBE">
            <w:pPr>
              <w:spacing w:line="240" w:lineRule="auto"/>
              <w:ind w:firstLine="0" w:firstLineChars="0"/>
              <w:jc w:val="center"/>
              <w:rPr>
                <w:rFonts w:ascii="Times New Roman" w:hAnsi="Times New Roman"/>
                <w:sz w:val="21"/>
                <w:szCs w:val="21"/>
                <w:highlight w:val="none"/>
              </w:rPr>
            </w:pPr>
          </w:p>
        </w:tc>
        <w:tc>
          <w:tcPr>
            <w:tcW w:w="691" w:type="pct"/>
            <w:noWrap w:val="0"/>
            <w:vAlign w:val="center"/>
          </w:tcPr>
          <w:p w14:paraId="770D97A9">
            <w:pPr>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氨</w:t>
            </w:r>
          </w:p>
        </w:tc>
        <w:tc>
          <w:tcPr>
            <w:tcW w:w="1101" w:type="pct"/>
            <w:vMerge w:val="continue"/>
            <w:noWrap w:val="0"/>
            <w:vAlign w:val="center"/>
          </w:tcPr>
          <w:p w14:paraId="16D5880B">
            <w:pPr>
              <w:spacing w:line="240" w:lineRule="auto"/>
              <w:ind w:firstLine="0" w:firstLineChars="0"/>
              <w:jc w:val="center"/>
              <w:rPr>
                <w:rFonts w:ascii="Times New Roman" w:hAnsi="Times New Roman"/>
                <w:kern w:val="0"/>
                <w:sz w:val="21"/>
                <w:szCs w:val="21"/>
                <w:highlight w:val="none"/>
              </w:rPr>
            </w:pPr>
          </w:p>
        </w:tc>
        <w:tc>
          <w:tcPr>
            <w:tcW w:w="1145" w:type="pct"/>
            <w:vMerge w:val="continue"/>
            <w:noWrap w:val="0"/>
            <w:vAlign w:val="center"/>
          </w:tcPr>
          <w:p w14:paraId="6E463D88">
            <w:pPr>
              <w:spacing w:line="240" w:lineRule="auto"/>
              <w:ind w:firstLine="0" w:firstLineChars="0"/>
              <w:jc w:val="center"/>
              <w:rPr>
                <w:rFonts w:ascii="Times New Roman" w:hAnsi="Times New Roman"/>
                <w:kern w:val="0"/>
                <w:sz w:val="21"/>
                <w:szCs w:val="21"/>
                <w:highlight w:val="none"/>
              </w:rPr>
            </w:pPr>
          </w:p>
        </w:tc>
        <w:tc>
          <w:tcPr>
            <w:tcW w:w="1692" w:type="pct"/>
            <w:tcBorders>
              <w:top w:val="single" w:color="auto" w:sz="4" w:space="0"/>
            </w:tcBorders>
            <w:noWrap w:val="0"/>
            <w:vAlign w:val="center"/>
          </w:tcPr>
          <w:p w14:paraId="4B12CF0B">
            <w:pPr>
              <w:spacing w:line="240" w:lineRule="auto"/>
              <w:ind w:firstLine="0" w:firstLineChars="0"/>
              <w:jc w:val="center"/>
              <w:rPr>
                <w:rFonts w:ascii="Times New Roman" w:hAnsi="Times New Roman"/>
                <w:sz w:val="21"/>
                <w:szCs w:val="21"/>
                <w:highlight w:val="none"/>
              </w:rPr>
            </w:pPr>
            <w:r>
              <w:rPr>
                <w:rFonts w:hint="eastAsia" w:ascii="Times New Roman" w:hAnsi="Times New Roman"/>
                <w:sz w:val="21"/>
                <w:szCs w:val="21"/>
                <w:highlight w:val="none"/>
              </w:rPr>
              <w:t>满足《火电厂烟气脱硝工程技术规范选择性催化还原法》（HJ562-2010）要求；满足《恶臭污染物排放标准》（GB14554-93）表2恶臭污染物排放标准值</w:t>
            </w:r>
          </w:p>
        </w:tc>
      </w:tr>
      <w:tr w14:paraId="0CDAE18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69" w:type="pct"/>
            <w:vMerge w:val="continue"/>
            <w:noWrap w:val="0"/>
            <w:vAlign w:val="center"/>
          </w:tcPr>
          <w:p w14:paraId="14E87750">
            <w:pPr>
              <w:spacing w:line="240" w:lineRule="auto"/>
              <w:ind w:firstLine="0" w:firstLineChars="0"/>
              <w:jc w:val="center"/>
              <w:rPr>
                <w:rFonts w:ascii="Times New Roman" w:hAnsi="Times New Roman"/>
                <w:sz w:val="21"/>
                <w:szCs w:val="21"/>
                <w:highlight w:val="none"/>
              </w:rPr>
            </w:pPr>
          </w:p>
        </w:tc>
        <w:tc>
          <w:tcPr>
            <w:tcW w:w="691" w:type="pct"/>
            <w:noWrap w:val="0"/>
            <w:vAlign w:val="center"/>
          </w:tcPr>
          <w:p w14:paraId="6AEBAB6F">
            <w:pPr>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rPr>
              <w:t>烟气监测</w:t>
            </w:r>
          </w:p>
        </w:tc>
        <w:tc>
          <w:tcPr>
            <w:tcW w:w="1101" w:type="pct"/>
            <w:noWrap w:val="0"/>
            <w:vAlign w:val="center"/>
          </w:tcPr>
          <w:p w14:paraId="48758F21">
            <w:pPr>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rPr>
              <w:t>在线监测系统</w:t>
            </w:r>
          </w:p>
        </w:tc>
        <w:tc>
          <w:tcPr>
            <w:tcW w:w="1145" w:type="pct"/>
            <w:tcBorders>
              <w:top w:val="single" w:color="auto" w:sz="4" w:space="0"/>
            </w:tcBorders>
            <w:noWrap w:val="0"/>
            <w:vAlign w:val="center"/>
          </w:tcPr>
          <w:p w14:paraId="678AAB43">
            <w:pPr>
              <w:spacing w:line="240" w:lineRule="auto"/>
              <w:ind w:firstLine="0" w:firstLineChars="0"/>
              <w:jc w:val="center"/>
              <w:rPr>
                <w:rFonts w:ascii="Times New Roman" w:hAnsi="Times New Roman"/>
                <w:kern w:val="0"/>
                <w:sz w:val="21"/>
                <w:szCs w:val="21"/>
                <w:highlight w:val="none"/>
              </w:rPr>
            </w:pPr>
            <w:r>
              <w:rPr>
                <w:rFonts w:hint="eastAsia" w:ascii="Times New Roman" w:hAnsi="Times New Roman"/>
                <w:kern w:val="0"/>
                <w:sz w:val="21"/>
                <w:szCs w:val="21"/>
                <w:highlight w:val="none"/>
              </w:rPr>
              <w:t>/</w:t>
            </w:r>
          </w:p>
        </w:tc>
        <w:tc>
          <w:tcPr>
            <w:tcW w:w="1692" w:type="pct"/>
            <w:tcBorders>
              <w:top w:val="single" w:color="auto" w:sz="4" w:space="0"/>
            </w:tcBorders>
            <w:noWrap w:val="0"/>
            <w:vAlign w:val="center"/>
          </w:tcPr>
          <w:p w14:paraId="23FF11EA">
            <w:pPr>
              <w:spacing w:line="240" w:lineRule="auto"/>
              <w:ind w:firstLine="0" w:firstLineChars="0"/>
              <w:jc w:val="center"/>
              <w:rPr>
                <w:rFonts w:ascii="Times New Roman" w:hAnsi="Times New Roman"/>
                <w:sz w:val="21"/>
                <w:szCs w:val="21"/>
                <w:highlight w:val="none"/>
              </w:rPr>
            </w:pPr>
            <w:r>
              <w:rPr>
                <w:rFonts w:hint="eastAsia" w:ascii="Times New Roman" w:hAnsi="Times New Roman"/>
                <w:sz w:val="21"/>
                <w:szCs w:val="21"/>
                <w:highlight w:val="none"/>
              </w:rPr>
              <w:t>安装在线监测设备</w:t>
            </w:r>
          </w:p>
        </w:tc>
      </w:tr>
      <w:tr w14:paraId="0E8302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69" w:type="pct"/>
            <w:vMerge w:val="restart"/>
            <w:noWrap w:val="0"/>
            <w:vAlign w:val="center"/>
          </w:tcPr>
          <w:p w14:paraId="56AABCDD">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厂界</w:t>
            </w:r>
          </w:p>
        </w:tc>
        <w:tc>
          <w:tcPr>
            <w:tcW w:w="691" w:type="pct"/>
            <w:noWrap w:val="0"/>
            <w:vAlign w:val="center"/>
          </w:tcPr>
          <w:p w14:paraId="2C23E31C">
            <w:pPr>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氨</w:t>
            </w:r>
          </w:p>
        </w:tc>
        <w:tc>
          <w:tcPr>
            <w:tcW w:w="1101" w:type="pct"/>
            <w:noWrap w:val="0"/>
            <w:vAlign w:val="center"/>
          </w:tcPr>
          <w:p w14:paraId="7C43A1EB">
            <w:pPr>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合理控制尿素的喷淋量以及尿素分布的均匀性，同时采用控制反应区内温度及足够的停留时间</w:t>
            </w:r>
          </w:p>
        </w:tc>
        <w:tc>
          <w:tcPr>
            <w:tcW w:w="1145" w:type="pct"/>
            <w:noWrap w:val="0"/>
            <w:vAlign w:val="center"/>
          </w:tcPr>
          <w:p w14:paraId="0B7B530D">
            <w:pPr>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厂界浓度满足《恶臭污染物排放标准》（GB14554-93）表1中二级浓度限值要求</w:t>
            </w:r>
          </w:p>
        </w:tc>
        <w:tc>
          <w:tcPr>
            <w:tcW w:w="1692" w:type="pct"/>
            <w:noWrap w:val="0"/>
            <w:vAlign w:val="center"/>
          </w:tcPr>
          <w:p w14:paraId="721E9792">
            <w:pPr>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《恶臭污染物排放标准》（GB14554-93）表1中二级浓度限值：1.5mg/m</w:t>
            </w:r>
            <w:r>
              <w:rPr>
                <w:rFonts w:ascii="Times New Roman" w:hAnsi="Times New Roman"/>
                <w:kern w:val="0"/>
                <w:sz w:val="21"/>
                <w:szCs w:val="21"/>
                <w:highlight w:val="none"/>
                <w:vertAlign w:val="superscript"/>
              </w:rPr>
              <w:t>3</w:t>
            </w:r>
          </w:p>
        </w:tc>
      </w:tr>
      <w:tr w14:paraId="1D1FC48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69" w:type="pct"/>
            <w:vMerge w:val="continue"/>
            <w:noWrap w:val="0"/>
            <w:vAlign w:val="center"/>
          </w:tcPr>
          <w:p w14:paraId="425EDCA3">
            <w:pPr>
              <w:spacing w:line="240" w:lineRule="auto"/>
              <w:ind w:firstLine="0" w:firstLineChars="0"/>
              <w:jc w:val="center"/>
              <w:rPr>
                <w:rFonts w:ascii="Times New Roman" w:hAnsi="Times New Roman"/>
                <w:sz w:val="21"/>
                <w:szCs w:val="21"/>
                <w:highlight w:val="none"/>
              </w:rPr>
            </w:pPr>
          </w:p>
        </w:tc>
        <w:tc>
          <w:tcPr>
            <w:tcW w:w="691" w:type="pct"/>
            <w:noWrap w:val="0"/>
            <w:vAlign w:val="center"/>
          </w:tcPr>
          <w:p w14:paraId="0FAD8920">
            <w:pPr>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颗粒物</w:t>
            </w:r>
          </w:p>
        </w:tc>
        <w:tc>
          <w:tcPr>
            <w:tcW w:w="1101" w:type="pct"/>
            <w:noWrap w:val="0"/>
            <w:vAlign w:val="center"/>
          </w:tcPr>
          <w:p w14:paraId="4219981F">
            <w:pPr>
              <w:spacing w:line="240" w:lineRule="auto"/>
              <w:ind w:firstLine="0" w:firstLineChars="0"/>
              <w:jc w:val="center"/>
              <w:rPr>
                <w:rFonts w:ascii="Times New Roman" w:hAnsi="Times New Roman"/>
                <w:sz w:val="21"/>
                <w:szCs w:val="21"/>
                <w:highlight w:val="none"/>
              </w:rPr>
            </w:pPr>
            <w:r>
              <w:rPr>
                <w:rFonts w:ascii="Times New Roman" w:hAnsi="Times New Roman"/>
                <w:kern w:val="0"/>
                <w:sz w:val="21"/>
                <w:szCs w:val="21"/>
                <w:highlight w:val="none"/>
              </w:rPr>
              <w:t>输煤、碎煤系统的各转运站等局部扬尘点均设有通风除尘系统，并在各转运点的皮带头部和尾部设有喷水降尘装置，输煤栈桥为密闭；煤场采用全封闭</w:t>
            </w:r>
            <w:r>
              <w:rPr>
                <w:rFonts w:hint="eastAsia" w:ascii="Times New Roman" w:hAnsi="Times New Roman"/>
                <w:kern w:val="0"/>
                <w:sz w:val="21"/>
                <w:szCs w:val="21"/>
                <w:highlight w:val="none"/>
              </w:rPr>
              <w:t>；灰仓、渣仓、石灰石粉尘仓顶设置脉冲布袋除尘器</w:t>
            </w:r>
          </w:p>
        </w:tc>
        <w:tc>
          <w:tcPr>
            <w:tcW w:w="1145" w:type="pct"/>
            <w:noWrap w:val="0"/>
            <w:vAlign w:val="center"/>
          </w:tcPr>
          <w:p w14:paraId="15E663FD">
            <w:pPr>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厂界满足颗粒物《大气污染物综合排放标准》表2新污染源大气污染物排放标准无组织排放监控浓度限值1.0mg/m</w:t>
            </w:r>
            <w:r>
              <w:rPr>
                <w:rFonts w:ascii="Times New Roman" w:hAnsi="Times New Roman"/>
                <w:kern w:val="0"/>
                <w:sz w:val="21"/>
                <w:szCs w:val="21"/>
                <w:highlight w:val="none"/>
                <w:vertAlign w:val="superscript"/>
              </w:rPr>
              <w:t>3</w:t>
            </w:r>
          </w:p>
        </w:tc>
        <w:tc>
          <w:tcPr>
            <w:tcW w:w="1692" w:type="pct"/>
            <w:noWrap w:val="0"/>
            <w:vAlign w:val="center"/>
          </w:tcPr>
          <w:p w14:paraId="0179C858">
            <w:pPr>
              <w:spacing w:line="240" w:lineRule="auto"/>
              <w:ind w:firstLine="0" w:firstLineChars="0"/>
              <w:jc w:val="center"/>
              <w:rPr>
                <w:rFonts w:ascii="Times New Roman" w:hAnsi="Times New Roman"/>
                <w:kern w:val="0"/>
                <w:sz w:val="21"/>
                <w:szCs w:val="21"/>
                <w:highlight w:val="none"/>
              </w:rPr>
            </w:pPr>
            <w:r>
              <w:rPr>
                <w:rFonts w:ascii="Times New Roman" w:hAnsi="Times New Roman"/>
                <w:kern w:val="0"/>
                <w:sz w:val="21"/>
                <w:szCs w:val="21"/>
                <w:highlight w:val="none"/>
              </w:rPr>
              <w:t>厂界颗粒物满足《大气污染物综合排放标准》表2新污染源大气污染物排放标准无组织排放监控浓度限值1.0mg/m</w:t>
            </w:r>
            <w:r>
              <w:rPr>
                <w:rFonts w:ascii="Times New Roman" w:hAnsi="Times New Roman"/>
                <w:kern w:val="0"/>
                <w:sz w:val="21"/>
                <w:szCs w:val="21"/>
                <w:highlight w:val="none"/>
                <w:vertAlign w:val="superscript"/>
              </w:rPr>
              <w:t>3</w:t>
            </w:r>
          </w:p>
        </w:tc>
      </w:tr>
      <w:tr w14:paraId="68500EE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69" w:type="pct"/>
            <w:vMerge w:val="restart"/>
            <w:noWrap w:val="0"/>
            <w:vAlign w:val="center"/>
          </w:tcPr>
          <w:p w14:paraId="7C73EFF3">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噪声</w:t>
            </w:r>
          </w:p>
        </w:tc>
        <w:tc>
          <w:tcPr>
            <w:tcW w:w="691" w:type="pct"/>
            <w:vMerge w:val="restart"/>
            <w:noWrap w:val="0"/>
            <w:vAlign w:val="center"/>
          </w:tcPr>
          <w:p w14:paraId="4948D383">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主要噪声设备</w:t>
            </w:r>
          </w:p>
        </w:tc>
        <w:tc>
          <w:tcPr>
            <w:tcW w:w="1101" w:type="pct"/>
            <w:vMerge w:val="restart"/>
            <w:noWrap w:val="0"/>
            <w:vAlign w:val="center"/>
          </w:tcPr>
          <w:p w14:paraId="073AC8D6">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消声装置</w:t>
            </w:r>
          </w:p>
          <w:p w14:paraId="132BDE6E">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隔声装置</w:t>
            </w:r>
          </w:p>
          <w:p w14:paraId="75D55002">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减振措施</w:t>
            </w:r>
          </w:p>
        </w:tc>
        <w:tc>
          <w:tcPr>
            <w:tcW w:w="1145" w:type="pct"/>
            <w:noWrap w:val="0"/>
            <w:vAlign w:val="center"/>
          </w:tcPr>
          <w:p w14:paraId="42421544">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厂界噪声达标</w:t>
            </w:r>
          </w:p>
        </w:tc>
        <w:tc>
          <w:tcPr>
            <w:tcW w:w="1692" w:type="pct"/>
            <w:noWrap w:val="0"/>
            <w:vAlign w:val="center"/>
          </w:tcPr>
          <w:p w14:paraId="419C3FC4">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厂界噪声执行《工业企业厂界环境噪声排放标准》（GB12348-2008）表1中的</w:t>
            </w:r>
            <w:r>
              <w:rPr>
                <w:rFonts w:hint="eastAsia" w:ascii="Times New Roman" w:hAnsi="Times New Roman"/>
                <w:sz w:val="21"/>
                <w:szCs w:val="21"/>
                <w:highlight w:val="none"/>
                <w:lang w:val="en-US" w:eastAsia="zh-CN"/>
              </w:rPr>
              <w:t>2</w:t>
            </w:r>
            <w:r>
              <w:rPr>
                <w:rFonts w:ascii="Times New Roman" w:hAnsi="Times New Roman"/>
                <w:sz w:val="21"/>
                <w:szCs w:val="21"/>
                <w:highlight w:val="none"/>
              </w:rPr>
              <w:t>标准（昼间</w:t>
            </w:r>
            <w:r>
              <w:rPr>
                <w:rFonts w:hint="eastAsia" w:ascii="Times New Roman" w:hAnsi="Times New Roman"/>
                <w:sz w:val="21"/>
                <w:szCs w:val="21"/>
                <w:highlight w:val="none"/>
                <w:lang w:val="en-US" w:eastAsia="zh-CN"/>
              </w:rPr>
              <w:t>60</w:t>
            </w:r>
            <w:r>
              <w:rPr>
                <w:rFonts w:ascii="Times New Roman" w:hAnsi="Times New Roman"/>
                <w:sz w:val="21"/>
                <w:szCs w:val="21"/>
                <w:highlight w:val="none"/>
              </w:rPr>
              <w:t>dB（A），夜间</w:t>
            </w:r>
            <w:r>
              <w:rPr>
                <w:rFonts w:hint="eastAsia" w:ascii="Times New Roman" w:hAnsi="Times New Roman"/>
                <w:sz w:val="21"/>
                <w:szCs w:val="21"/>
                <w:highlight w:val="none"/>
                <w:lang w:val="en-US" w:eastAsia="zh-CN"/>
              </w:rPr>
              <w:t>50</w:t>
            </w:r>
            <w:r>
              <w:rPr>
                <w:rFonts w:ascii="Times New Roman" w:hAnsi="Times New Roman"/>
                <w:sz w:val="21"/>
                <w:szCs w:val="21"/>
                <w:highlight w:val="none"/>
              </w:rPr>
              <w:t>dB（A））</w:t>
            </w:r>
          </w:p>
        </w:tc>
      </w:tr>
      <w:tr w14:paraId="4AEBD9E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69" w:type="pct"/>
            <w:vMerge w:val="continue"/>
            <w:noWrap w:val="0"/>
            <w:vAlign w:val="center"/>
          </w:tcPr>
          <w:p w14:paraId="3BFFF717">
            <w:pPr>
              <w:spacing w:line="240" w:lineRule="auto"/>
              <w:ind w:firstLine="0" w:firstLineChars="0"/>
              <w:jc w:val="center"/>
              <w:rPr>
                <w:rFonts w:ascii="Times New Roman" w:hAnsi="Times New Roman"/>
                <w:sz w:val="21"/>
                <w:szCs w:val="21"/>
                <w:highlight w:val="none"/>
              </w:rPr>
            </w:pPr>
          </w:p>
        </w:tc>
        <w:tc>
          <w:tcPr>
            <w:tcW w:w="691" w:type="pct"/>
            <w:vMerge w:val="continue"/>
            <w:noWrap w:val="0"/>
            <w:vAlign w:val="center"/>
          </w:tcPr>
          <w:p w14:paraId="462ADC1E">
            <w:pPr>
              <w:spacing w:line="240" w:lineRule="auto"/>
              <w:ind w:firstLine="0" w:firstLineChars="0"/>
              <w:jc w:val="center"/>
              <w:rPr>
                <w:rFonts w:ascii="Times New Roman" w:hAnsi="Times New Roman"/>
                <w:sz w:val="21"/>
                <w:szCs w:val="21"/>
                <w:highlight w:val="none"/>
              </w:rPr>
            </w:pPr>
          </w:p>
        </w:tc>
        <w:tc>
          <w:tcPr>
            <w:tcW w:w="1101" w:type="pct"/>
            <w:vMerge w:val="continue"/>
            <w:noWrap w:val="0"/>
            <w:vAlign w:val="center"/>
          </w:tcPr>
          <w:p w14:paraId="2A2BCA48">
            <w:pPr>
              <w:spacing w:line="240" w:lineRule="auto"/>
              <w:ind w:firstLine="0" w:firstLineChars="0"/>
              <w:jc w:val="center"/>
              <w:rPr>
                <w:rFonts w:ascii="Times New Roman" w:hAnsi="Times New Roman"/>
                <w:sz w:val="21"/>
                <w:szCs w:val="21"/>
                <w:highlight w:val="none"/>
              </w:rPr>
            </w:pPr>
          </w:p>
        </w:tc>
        <w:tc>
          <w:tcPr>
            <w:tcW w:w="1145" w:type="pct"/>
            <w:noWrap w:val="0"/>
            <w:vAlign w:val="center"/>
          </w:tcPr>
          <w:p w14:paraId="6974C9B2">
            <w:pPr>
              <w:spacing w:line="240" w:lineRule="auto"/>
              <w:ind w:firstLine="0" w:firstLineChars="0"/>
              <w:jc w:val="center"/>
              <w:rPr>
                <w:rFonts w:ascii="Times New Roman" w:hAnsi="Times New Roman"/>
                <w:sz w:val="21"/>
                <w:szCs w:val="21"/>
                <w:highlight w:val="none"/>
              </w:rPr>
            </w:pPr>
            <w:r>
              <w:rPr>
                <w:rFonts w:hint="eastAsia" w:ascii="Times New Roman" w:hAnsi="Times New Roman"/>
                <w:sz w:val="21"/>
                <w:szCs w:val="21"/>
                <w:highlight w:val="none"/>
              </w:rPr>
              <w:t>敏感点声环境达标</w:t>
            </w:r>
          </w:p>
        </w:tc>
        <w:tc>
          <w:tcPr>
            <w:tcW w:w="1692" w:type="pct"/>
            <w:noWrap w:val="0"/>
            <w:vAlign w:val="center"/>
          </w:tcPr>
          <w:p w14:paraId="7AE3FD94">
            <w:pPr>
              <w:spacing w:line="240" w:lineRule="auto"/>
              <w:ind w:firstLine="0" w:firstLineChars="0"/>
              <w:jc w:val="center"/>
              <w:rPr>
                <w:rFonts w:ascii="Times New Roman" w:hAnsi="Times New Roman"/>
                <w:sz w:val="21"/>
                <w:szCs w:val="21"/>
                <w:highlight w:val="none"/>
              </w:rPr>
            </w:pPr>
            <w:r>
              <w:rPr>
                <w:rFonts w:hint="eastAsia" w:ascii="Times New Roman" w:hAnsi="Times New Roman"/>
                <w:sz w:val="21"/>
                <w:szCs w:val="21"/>
                <w:highlight w:val="none"/>
              </w:rPr>
              <w:t>《声环境质量标准》（GB3096—2008）中2类区标准，即昼间60dB(A)，夜间50dB(A)。</w:t>
            </w:r>
          </w:p>
        </w:tc>
      </w:tr>
      <w:tr w14:paraId="76432B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69" w:type="pct"/>
            <w:vMerge w:val="restart"/>
            <w:noWrap w:val="0"/>
            <w:vAlign w:val="center"/>
          </w:tcPr>
          <w:p w14:paraId="4E65D5E5">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固体废物</w:t>
            </w:r>
          </w:p>
        </w:tc>
        <w:tc>
          <w:tcPr>
            <w:tcW w:w="691" w:type="pct"/>
            <w:noWrap w:val="0"/>
            <w:vAlign w:val="center"/>
          </w:tcPr>
          <w:p w14:paraId="23F6F55F">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炉渣</w:t>
            </w:r>
          </w:p>
        </w:tc>
        <w:tc>
          <w:tcPr>
            <w:tcW w:w="2247" w:type="pct"/>
            <w:gridSpan w:val="2"/>
            <w:vMerge w:val="restart"/>
            <w:noWrap w:val="0"/>
            <w:vAlign w:val="center"/>
          </w:tcPr>
          <w:p w14:paraId="7577CC59">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外售给进行综合利用。</w:t>
            </w:r>
          </w:p>
        </w:tc>
        <w:tc>
          <w:tcPr>
            <w:tcW w:w="1692" w:type="pct"/>
            <w:vMerge w:val="restart"/>
            <w:noWrap w:val="0"/>
            <w:vAlign w:val="center"/>
          </w:tcPr>
          <w:p w14:paraId="62BF468D">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处置率100%</w:t>
            </w:r>
          </w:p>
        </w:tc>
      </w:tr>
      <w:tr w14:paraId="1F7DDC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69" w:type="pct"/>
            <w:vMerge w:val="continue"/>
            <w:noWrap w:val="0"/>
            <w:vAlign w:val="center"/>
          </w:tcPr>
          <w:p w14:paraId="1AED7C79">
            <w:pPr>
              <w:spacing w:line="240" w:lineRule="auto"/>
              <w:ind w:firstLine="0" w:firstLineChars="0"/>
              <w:jc w:val="center"/>
              <w:rPr>
                <w:rFonts w:ascii="Times New Roman" w:hAnsi="Times New Roman"/>
                <w:sz w:val="21"/>
                <w:szCs w:val="21"/>
                <w:highlight w:val="none"/>
              </w:rPr>
            </w:pPr>
          </w:p>
        </w:tc>
        <w:tc>
          <w:tcPr>
            <w:tcW w:w="691" w:type="pct"/>
            <w:noWrap w:val="0"/>
            <w:vAlign w:val="center"/>
          </w:tcPr>
          <w:p w14:paraId="28F0700C">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炉灰</w:t>
            </w:r>
          </w:p>
        </w:tc>
        <w:tc>
          <w:tcPr>
            <w:tcW w:w="2247" w:type="pct"/>
            <w:gridSpan w:val="2"/>
            <w:vMerge w:val="continue"/>
            <w:noWrap w:val="0"/>
            <w:vAlign w:val="center"/>
          </w:tcPr>
          <w:p w14:paraId="215BBBCD">
            <w:pPr>
              <w:spacing w:line="240" w:lineRule="auto"/>
              <w:ind w:firstLine="0" w:firstLineChars="0"/>
              <w:jc w:val="center"/>
              <w:rPr>
                <w:rFonts w:ascii="Times New Roman" w:hAnsi="Times New Roman"/>
                <w:sz w:val="21"/>
                <w:szCs w:val="21"/>
                <w:highlight w:val="none"/>
              </w:rPr>
            </w:pPr>
          </w:p>
        </w:tc>
        <w:tc>
          <w:tcPr>
            <w:tcW w:w="1692" w:type="pct"/>
            <w:vMerge w:val="continue"/>
            <w:noWrap w:val="0"/>
            <w:vAlign w:val="center"/>
          </w:tcPr>
          <w:p w14:paraId="3F8172A7">
            <w:pPr>
              <w:spacing w:line="240" w:lineRule="auto"/>
              <w:ind w:firstLine="0" w:firstLineChars="0"/>
              <w:jc w:val="center"/>
              <w:rPr>
                <w:rFonts w:ascii="Times New Roman" w:hAnsi="Times New Roman"/>
                <w:sz w:val="21"/>
                <w:szCs w:val="21"/>
                <w:highlight w:val="none"/>
              </w:rPr>
            </w:pPr>
          </w:p>
        </w:tc>
      </w:tr>
      <w:tr w14:paraId="0AE800B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69" w:type="pct"/>
            <w:vMerge w:val="continue"/>
            <w:noWrap w:val="0"/>
            <w:vAlign w:val="center"/>
          </w:tcPr>
          <w:p w14:paraId="132EA731">
            <w:pPr>
              <w:spacing w:line="240" w:lineRule="auto"/>
              <w:ind w:firstLine="0" w:firstLineChars="0"/>
              <w:jc w:val="center"/>
              <w:rPr>
                <w:rFonts w:ascii="Times New Roman" w:hAnsi="Times New Roman"/>
                <w:sz w:val="21"/>
                <w:szCs w:val="21"/>
                <w:highlight w:val="none"/>
              </w:rPr>
            </w:pPr>
          </w:p>
        </w:tc>
        <w:tc>
          <w:tcPr>
            <w:tcW w:w="691" w:type="pct"/>
            <w:noWrap w:val="0"/>
            <w:vAlign w:val="center"/>
          </w:tcPr>
          <w:p w14:paraId="4237E40D">
            <w:pPr>
              <w:spacing w:line="240" w:lineRule="auto"/>
              <w:ind w:firstLine="0" w:firstLineChars="0"/>
              <w:jc w:val="center"/>
              <w:rPr>
                <w:rFonts w:ascii="Times New Roman" w:hAnsi="Times New Roman"/>
                <w:sz w:val="21"/>
                <w:szCs w:val="21"/>
                <w:highlight w:val="none"/>
              </w:rPr>
            </w:pPr>
            <w:r>
              <w:rPr>
                <w:rFonts w:hint="eastAsia" w:ascii="Times New Roman" w:hAnsi="Times New Roman"/>
                <w:sz w:val="21"/>
                <w:szCs w:val="21"/>
                <w:highlight w:val="none"/>
              </w:rPr>
              <w:t>脱硫石膏</w:t>
            </w:r>
          </w:p>
        </w:tc>
        <w:tc>
          <w:tcPr>
            <w:tcW w:w="2247" w:type="pct"/>
            <w:gridSpan w:val="2"/>
            <w:vMerge w:val="continue"/>
            <w:noWrap w:val="0"/>
            <w:vAlign w:val="center"/>
          </w:tcPr>
          <w:p w14:paraId="14033E28">
            <w:pPr>
              <w:spacing w:line="240" w:lineRule="auto"/>
              <w:ind w:firstLine="0" w:firstLineChars="0"/>
              <w:jc w:val="center"/>
              <w:rPr>
                <w:rFonts w:ascii="Times New Roman" w:hAnsi="Times New Roman"/>
                <w:sz w:val="21"/>
                <w:szCs w:val="21"/>
                <w:highlight w:val="none"/>
              </w:rPr>
            </w:pPr>
          </w:p>
        </w:tc>
        <w:tc>
          <w:tcPr>
            <w:tcW w:w="1692" w:type="pct"/>
            <w:vMerge w:val="continue"/>
            <w:noWrap w:val="0"/>
            <w:vAlign w:val="center"/>
          </w:tcPr>
          <w:p w14:paraId="16E9B9FC">
            <w:pPr>
              <w:spacing w:line="240" w:lineRule="auto"/>
              <w:ind w:firstLine="0" w:firstLineChars="0"/>
              <w:jc w:val="center"/>
              <w:rPr>
                <w:rFonts w:ascii="Times New Roman" w:hAnsi="Times New Roman"/>
                <w:sz w:val="21"/>
                <w:szCs w:val="21"/>
                <w:highlight w:val="none"/>
              </w:rPr>
            </w:pPr>
          </w:p>
        </w:tc>
      </w:tr>
      <w:tr w14:paraId="273036D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69" w:type="pct"/>
            <w:vMerge w:val="continue"/>
            <w:noWrap w:val="0"/>
            <w:vAlign w:val="center"/>
          </w:tcPr>
          <w:p w14:paraId="6BA674E8">
            <w:pPr>
              <w:spacing w:line="240" w:lineRule="auto"/>
              <w:ind w:firstLine="0" w:firstLineChars="0"/>
              <w:jc w:val="center"/>
              <w:rPr>
                <w:rFonts w:ascii="Times New Roman" w:hAnsi="Times New Roman"/>
                <w:sz w:val="21"/>
                <w:szCs w:val="21"/>
                <w:highlight w:val="none"/>
              </w:rPr>
            </w:pPr>
          </w:p>
        </w:tc>
        <w:tc>
          <w:tcPr>
            <w:tcW w:w="691" w:type="pct"/>
            <w:noWrap w:val="0"/>
            <w:vAlign w:val="center"/>
          </w:tcPr>
          <w:p w14:paraId="2A8491D5">
            <w:pPr>
              <w:spacing w:line="240" w:lineRule="auto"/>
              <w:ind w:firstLine="0" w:firstLineChars="0"/>
              <w:jc w:val="center"/>
              <w:rPr>
                <w:rFonts w:hint="default" w:ascii="Times New Roman" w:hAnsi="Times New Roman" w:eastAsia="宋体"/>
                <w:sz w:val="21"/>
                <w:szCs w:val="21"/>
                <w:highlight w:val="none"/>
                <w:lang w:val="en-US" w:eastAsia="zh-CN"/>
              </w:rPr>
            </w:pPr>
            <w:r>
              <w:rPr>
                <w:rFonts w:ascii="Times New Roman" w:hAnsi="Times New Roman"/>
                <w:sz w:val="21"/>
                <w:szCs w:val="21"/>
                <w:highlight w:val="none"/>
              </w:rPr>
              <w:t>废离子交换树脂</w:t>
            </w:r>
            <w:r>
              <w:rPr>
                <w:rFonts w:hint="eastAsia" w:ascii="Times New Roman" w:hAnsi="Times New Roman"/>
                <w:sz w:val="21"/>
                <w:szCs w:val="21"/>
                <w:highlight w:val="none"/>
                <w:lang w:val="en-US" w:eastAsia="zh-CN"/>
              </w:rPr>
              <w:t>和反渗透膜</w:t>
            </w:r>
          </w:p>
        </w:tc>
        <w:tc>
          <w:tcPr>
            <w:tcW w:w="2247" w:type="pct"/>
            <w:gridSpan w:val="2"/>
            <w:noWrap w:val="0"/>
            <w:vAlign w:val="center"/>
          </w:tcPr>
          <w:p w14:paraId="3D7E30B2">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交由环卫部门处置</w:t>
            </w:r>
          </w:p>
        </w:tc>
        <w:tc>
          <w:tcPr>
            <w:tcW w:w="1692" w:type="pct"/>
            <w:vMerge w:val="continue"/>
            <w:noWrap w:val="0"/>
            <w:vAlign w:val="center"/>
          </w:tcPr>
          <w:p w14:paraId="52F9B17E">
            <w:pPr>
              <w:spacing w:line="240" w:lineRule="auto"/>
              <w:ind w:firstLine="0" w:firstLineChars="0"/>
              <w:jc w:val="center"/>
              <w:rPr>
                <w:rFonts w:ascii="Times New Roman" w:hAnsi="Times New Roman"/>
                <w:sz w:val="21"/>
                <w:szCs w:val="21"/>
                <w:highlight w:val="none"/>
              </w:rPr>
            </w:pPr>
          </w:p>
        </w:tc>
      </w:tr>
      <w:tr w14:paraId="59F3EDE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69" w:type="pct"/>
            <w:vMerge w:val="continue"/>
            <w:noWrap w:val="0"/>
            <w:vAlign w:val="center"/>
          </w:tcPr>
          <w:p w14:paraId="61628DAA">
            <w:pPr>
              <w:spacing w:line="240" w:lineRule="auto"/>
              <w:ind w:firstLine="0" w:firstLineChars="0"/>
              <w:jc w:val="center"/>
              <w:rPr>
                <w:rFonts w:ascii="Times New Roman" w:hAnsi="Times New Roman"/>
                <w:sz w:val="21"/>
                <w:szCs w:val="21"/>
                <w:highlight w:val="none"/>
              </w:rPr>
            </w:pPr>
          </w:p>
        </w:tc>
        <w:tc>
          <w:tcPr>
            <w:tcW w:w="691" w:type="pct"/>
            <w:noWrap w:val="0"/>
            <w:vAlign w:val="center"/>
          </w:tcPr>
          <w:p w14:paraId="50D5D894">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废催化剂</w:t>
            </w:r>
          </w:p>
        </w:tc>
        <w:tc>
          <w:tcPr>
            <w:tcW w:w="2247" w:type="pct"/>
            <w:gridSpan w:val="2"/>
            <w:vMerge w:val="restart"/>
            <w:noWrap w:val="0"/>
            <w:vAlign w:val="center"/>
          </w:tcPr>
          <w:p w14:paraId="678F2E85">
            <w:pPr>
              <w:spacing w:line="240" w:lineRule="auto"/>
              <w:ind w:firstLine="0" w:firstLineChars="0"/>
              <w:jc w:val="center"/>
              <w:rPr>
                <w:rFonts w:ascii="Times New Roman" w:hAnsi="Times New Roman"/>
                <w:sz w:val="21"/>
                <w:szCs w:val="21"/>
                <w:highlight w:val="none"/>
              </w:rPr>
            </w:pPr>
            <w:r>
              <w:rPr>
                <w:rFonts w:hint="eastAsia" w:ascii="Times New Roman" w:hAnsi="Times New Roman"/>
                <w:sz w:val="21"/>
                <w:szCs w:val="21"/>
                <w:highlight w:val="none"/>
                <w:lang w:val="en-US" w:eastAsia="zh-CN"/>
              </w:rPr>
              <w:t>暂存</w:t>
            </w:r>
            <w:r>
              <w:rPr>
                <w:rFonts w:hint="eastAsia" w:ascii="Times New Roman" w:hAnsi="Times New Roman"/>
                <w:sz w:val="21"/>
                <w:szCs w:val="21"/>
                <w:highlight w:val="none"/>
              </w:rPr>
              <w:t>危废暂存间、</w:t>
            </w:r>
            <w:r>
              <w:rPr>
                <w:rFonts w:ascii="Times New Roman" w:hAnsi="Times New Roman"/>
                <w:sz w:val="21"/>
                <w:szCs w:val="21"/>
                <w:highlight w:val="none"/>
              </w:rPr>
              <w:t>委托有资质单位处置</w:t>
            </w:r>
          </w:p>
        </w:tc>
        <w:tc>
          <w:tcPr>
            <w:tcW w:w="1692" w:type="pct"/>
            <w:vMerge w:val="continue"/>
            <w:noWrap w:val="0"/>
            <w:vAlign w:val="center"/>
          </w:tcPr>
          <w:p w14:paraId="68C1E5E2">
            <w:pPr>
              <w:spacing w:line="240" w:lineRule="auto"/>
              <w:ind w:firstLine="0" w:firstLineChars="0"/>
              <w:jc w:val="center"/>
              <w:rPr>
                <w:rFonts w:ascii="Times New Roman" w:hAnsi="Times New Roman"/>
                <w:sz w:val="21"/>
                <w:szCs w:val="21"/>
                <w:highlight w:val="none"/>
              </w:rPr>
            </w:pPr>
          </w:p>
        </w:tc>
      </w:tr>
      <w:tr w14:paraId="16EF4D7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69" w:type="pct"/>
            <w:vMerge w:val="continue"/>
            <w:noWrap w:val="0"/>
            <w:vAlign w:val="center"/>
          </w:tcPr>
          <w:p w14:paraId="52E167B0">
            <w:pPr>
              <w:spacing w:line="240" w:lineRule="auto"/>
              <w:ind w:firstLine="0" w:firstLineChars="0"/>
              <w:jc w:val="center"/>
              <w:rPr>
                <w:rFonts w:ascii="Times New Roman" w:hAnsi="Times New Roman"/>
                <w:sz w:val="21"/>
                <w:szCs w:val="21"/>
                <w:highlight w:val="none"/>
              </w:rPr>
            </w:pPr>
          </w:p>
        </w:tc>
        <w:tc>
          <w:tcPr>
            <w:tcW w:w="691" w:type="pct"/>
            <w:noWrap w:val="0"/>
            <w:vAlign w:val="center"/>
          </w:tcPr>
          <w:p w14:paraId="3119F4E2">
            <w:pPr>
              <w:spacing w:line="240" w:lineRule="auto"/>
              <w:ind w:firstLine="0" w:firstLineChars="0"/>
              <w:jc w:val="center"/>
              <w:rPr>
                <w:rFonts w:hint="eastAsia" w:ascii="Times New Roman" w:hAnsi="Times New Roman" w:eastAsia="宋体"/>
                <w:sz w:val="21"/>
                <w:szCs w:val="21"/>
                <w:highlight w:val="none"/>
                <w:lang w:val="en-US" w:eastAsia="zh-CN"/>
              </w:rPr>
            </w:pPr>
            <w:r>
              <w:rPr>
                <w:rFonts w:hint="eastAsia" w:ascii="Times New Roman" w:hAnsi="Times New Roman"/>
                <w:sz w:val="21"/>
                <w:szCs w:val="21"/>
                <w:highlight w:val="none"/>
                <w:lang w:val="en-US" w:eastAsia="zh-CN"/>
              </w:rPr>
              <w:t>废机油</w:t>
            </w:r>
          </w:p>
        </w:tc>
        <w:tc>
          <w:tcPr>
            <w:tcW w:w="2247" w:type="pct"/>
            <w:gridSpan w:val="2"/>
            <w:vMerge w:val="continue"/>
            <w:noWrap w:val="0"/>
            <w:vAlign w:val="center"/>
          </w:tcPr>
          <w:p w14:paraId="76FFE8C9">
            <w:pPr>
              <w:spacing w:line="240" w:lineRule="auto"/>
              <w:ind w:firstLine="0" w:firstLineChars="0"/>
              <w:jc w:val="center"/>
              <w:rPr>
                <w:rFonts w:hint="eastAsia" w:ascii="Times New Roman" w:hAnsi="Times New Roman"/>
                <w:sz w:val="21"/>
                <w:szCs w:val="21"/>
                <w:highlight w:val="none"/>
                <w:lang w:val="en-US" w:eastAsia="zh-CN"/>
              </w:rPr>
            </w:pPr>
          </w:p>
        </w:tc>
        <w:tc>
          <w:tcPr>
            <w:tcW w:w="1692" w:type="pct"/>
            <w:vMerge w:val="continue"/>
            <w:noWrap w:val="0"/>
            <w:vAlign w:val="center"/>
          </w:tcPr>
          <w:p w14:paraId="747697B8">
            <w:pPr>
              <w:spacing w:line="240" w:lineRule="auto"/>
              <w:ind w:firstLine="0" w:firstLineChars="0"/>
              <w:jc w:val="center"/>
              <w:rPr>
                <w:rFonts w:ascii="Times New Roman" w:hAnsi="Times New Roman"/>
                <w:sz w:val="21"/>
                <w:szCs w:val="21"/>
                <w:highlight w:val="none"/>
              </w:rPr>
            </w:pPr>
          </w:p>
        </w:tc>
      </w:tr>
      <w:tr w14:paraId="461B3F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69" w:type="pct"/>
            <w:vMerge w:val="continue"/>
            <w:noWrap w:val="0"/>
            <w:vAlign w:val="center"/>
          </w:tcPr>
          <w:p w14:paraId="79B02B04">
            <w:pPr>
              <w:spacing w:line="240" w:lineRule="auto"/>
              <w:ind w:firstLine="0" w:firstLineChars="0"/>
              <w:jc w:val="center"/>
              <w:rPr>
                <w:rFonts w:ascii="Times New Roman" w:hAnsi="Times New Roman"/>
                <w:sz w:val="21"/>
                <w:szCs w:val="21"/>
                <w:highlight w:val="none"/>
              </w:rPr>
            </w:pPr>
          </w:p>
        </w:tc>
        <w:tc>
          <w:tcPr>
            <w:tcW w:w="691" w:type="pct"/>
            <w:noWrap w:val="0"/>
            <w:vAlign w:val="center"/>
          </w:tcPr>
          <w:p w14:paraId="3DEF25B7">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生活垃圾</w:t>
            </w:r>
          </w:p>
        </w:tc>
        <w:tc>
          <w:tcPr>
            <w:tcW w:w="2247" w:type="pct"/>
            <w:gridSpan w:val="2"/>
            <w:noWrap w:val="0"/>
            <w:vAlign w:val="center"/>
          </w:tcPr>
          <w:p w14:paraId="0349FCE4">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交由环卫部门处置</w:t>
            </w:r>
          </w:p>
        </w:tc>
        <w:tc>
          <w:tcPr>
            <w:tcW w:w="1692" w:type="pct"/>
            <w:vMerge w:val="continue"/>
            <w:noWrap w:val="0"/>
            <w:vAlign w:val="center"/>
          </w:tcPr>
          <w:p w14:paraId="797307A9">
            <w:pPr>
              <w:spacing w:line="240" w:lineRule="auto"/>
              <w:ind w:firstLine="0" w:firstLineChars="0"/>
              <w:jc w:val="center"/>
              <w:rPr>
                <w:rFonts w:ascii="Times New Roman" w:hAnsi="Times New Roman"/>
                <w:sz w:val="21"/>
                <w:szCs w:val="21"/>
                <w:highlight w:val="none"/>
              </w:rPr>
            </w:pPr>
          </w:p>
        </w:tc>
      </w:tr>
      <w:tr w14:paraId="1CA4B37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69" w:type="pct"/>
            <w:vMerge w:val="continue"/>
            <w:noWrap w:val="0"/>
            <w:vAlign w:val="center"/>
          </w:tcPr>
          <w:p w14:paraId="170CFBD2">
            <w:pPr>
              <w:spacing w:line="240" w:lineRule="auto"/>
              <w:ind w:firstLine="0" w:firstLineChars="0"/>
              <w:jc w:val="center"/>
              <w:rPr>
                <w:rFonts w:ascii="Times New Roman" w:hAnsi="Times New Roman"/>
                <w:sz w:val="21"/>
                <w:szCs w:val="21"/>
                <w:highlight w:val="none"/>
              </w:rPr>
            </w:pPr>
          </w:p>
        </w:tc>
        <w:tc>
          <w:tcPr>
            <w:tcW w:w="691" w:type="pct"/>
            <w:noWrap w:val="0"/>
            <w:vAlign w:val="center"/>
          </w:tcPr>
          <w:p w14:paraId="1A851FC2">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餐厨垃圾及废油脂</w:t>
            </w:r>
          </w:p>
        </w:tc>
        <w:tc>
          <w:tcPr>
            <w:tcW w:w="2247" w:type="pct"/>
            <w:gridSpan w:val="2"/>
            <w:noWrap w:val="0"/>
            <w:vAlign w:val="center"/>
          </w:tcPr>
          <w:p w14:paraId="13D1D4B0">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委托有资质单位处置</w:t>
            </w:r>
          </w:p>
        </w:tc>
        <w:tc>
          <w:tcPr>
            <w:tcW w:w="1692" w:type="pct"/>
            <w:vMerge w:val="continue"/>
            <w:noWrap w:val="0"/>
            <w:vAlign w:val="center"/>
          </w:tcPr>
          <w:p w14:paraId="5B1657D2">
            <w:pPr>
              <w:spacing w:line="240" w:lineRule="auto"/>
              <w:ind w:firstLine="0" w:firstLineChars="0"/>
              <w:jc w:val="center"/>
              <w:rPr>
                <w:rFonts w:ascii="Times New Roman" w:hAnsi="Times New Roman"/>
                <w:sz w:val="21"/>
                <w:szCs w:val="21"/>
                <w:highlight w:val="none"/>
              </w:rPr>
            </w:pPr>
          </w:p>
        </w:tc>
      </w:tr>
      <w:tr w14:paraId="45A8133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69" w:type="pct"/>
            <w:vMerge w:val="restart"/>
            <w:noWrap w:val="0"/>
            <w:vAlign w:val="center"/>
          </w:tcPr>
          <w:p w14:paraId="482425F7">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废水</w:t>
            </w:r>
          </w:p>
        </w:tc>
        <w:tc>
          <w:tcPr>
            <w:tcW w:w="691" w:type="pct"/>
            <w:noWrap w:val="0"/>
            <w:vAlign w:val="center"/>
          </w:tcPr>
          <w:p w14:paraId="0E9CBF3A">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生产废水</w:t>
            </w:r>
          </w:p>
        </w:tc>
        <w:tc>
          <w:tcPr>
            <w:tcW w:w="2247" w:type="pct"/>
            <w:gridSpan w:val="2"/>
            <w:noWrap w:val="0"/>
            <w:vAlign w:val="center"/>
          </w:tcPr>
          <w:p w14:paraId="0F2CB2A5">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脱硫废水、锅炉排污水回用于生产。</w:t>
            </w:r>
          </w:p>
        </w:tc>
        <w:tc>
          <w:tcPr>
            <w:tcW w:w="1692" w:type="pct"/>
            <w:noWrap w:val="0"/>
            <w:vAlign w:val="center"/>
          </w:tcPr>
          <w:p w14:paraId="7426F39C">
            <w:pPr>
              <w:spacing w:line="240" w:lineRule="auto"/>
              <w:ind w:firstLine="0" w:firstLineChars="0"/>
              <w:jc w:val="center"/>
              <w:rPr>
                <w:rFonts w:hint="eastAsia" w:ascii="Times New Roman" w:hAnsi="Times New Roman"/>
                <w:sz w:val="21"/>
                <w:szCs w:val="21"/>
                <w:highlight w:val="none"/>
              </w:rPr>
            </w:pPr>
            <w:r>
              <w:rPr>
                <w:rFonts w:ascii="Times New Roman" w:hAnsi="Times New Roman"/>
                <w:sz w:val="21"/>
                <w:szCs w:val="21"/>
                <w:highlight w:val="none"/>
              </w:rPr>
              <w:t>全部利用不外排</w:t>
            </w:r>
          </w:p>
        </w:tc>
      </w:tr>
      <w:tr w14:paraId="0EEF76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69" w:type="pct"/>
            <w:vMerge w:val="continue"/>
            <w:noWrap w:val="0"/>
            <w:vAlign w:val="center"/>
          </w:tcPr>
          <w:p w14:paraId="6A5A4929">
            <w:pPr>
              <w:spacing w:line="240" w:lineRule="auto"/>
              <w:ind w:firstLine="0" w:firstLineChars="0"/>
              <w:jc w:val="center"/>
              <w:rPr>
                <w:rFonts w:ascii="Times New Roman" w:hAnsi="Times New Roman"/>
                <w:sz w:val="21"/>
                <w:szCs w:val="21"/>
                <w:highlight w:val="none"/>
              </w:rPr>
            </w:pPr>
          </w:p>
        </w:tc>
        <w:tc>
          <w:tcPr>
            <w:tcW w:w="691" w:type="pct"/>
            <w:noWrap w:val="0"/>
            <w:vAlign w:val="center"/>
          </w:tcPr>
          <w:p w14:paraId="3841B429">
            <w:pPr>
              <w:spacing w:line="240" w:lineRule="auto"/>
              <w:ind w:firstLine="0" w:firstLineChars="0"/>
              <w:jc w:val="center"/>
              <w:rPr>
                <w:rFonts w:ascii="Times New Roman" w:hAnsi="Times New Roman"/>
                <w:sz w:val="21"/>
                <w:szCs w:val="21"/>
                <w:highlight w:val="none"/>
              </w:rPr>
            </w:pPr>
            <w:r>
              <w:rPr>
                <w:rFonts w:hint="eastAsia" w:ascii="Times New Roman" w:hAnsi="Times New Roman"/>
                <w:sz w:val="21"/>
                <w:szCs w:val="21"/>
                <w:highlight w:val="none"/>
              </w:rPr>
              <w:t>生活污水</w:t>
            </w:r>
          </w:p>
        </w:tc>
        <w:tc>
          <w:tcPr>
            <w:tcW w:w="2247" w:type="pct"/>
            <w:gridSpan w:val="2"/>
            <w:noWrap w:val="0"/>
            <w:vAlign w:val="center"/>
          </w:tcPr>
          <w:p w14:paraId="2E8388AF">
            <w:pPr>
              <w:spacing w:line="240" w:lineRule="auto"/>
              <w:ind w:firstLine="0" w:firstLineChars="0"/>
              <w:jc w:val="center"/>
              <w:rPr>
                <w:rFonts w:ascii="Times New Roman" w:hAnsi="Times New Roman"/>
                <w:sz w:val="21"/>
                <w:szCs w:val="21"/>
                <w:highlight w:val="none"/>
              </w:rPr>
            </w:pPr>
            <w:r>
              <w:rPr>
                <w:rFonts w:hint="eastAsia" w:ascii="Times New Roman" w:hAnsi="Times New Roman"/>
                <w:sz w:val="21"/>
                <w:szCs w:val="21"/>
                <w:highlight w:val="none"/>
              </w:rPr>
              <w:t>食堂废水经隔油池处理后与生活污水一同排入市政管网。</w:t>
            </w:r>
          </w:p>
        </w:tc>
        <w:tc>
          <w:tcPr>
            <w:tcW w:w="1692" w:type="pct"/>
            <w:noWrap w:val="0"/>
            <w:vAlign w:val="center"/>
          </w:tcPr>
          <w:p w14:paraId="762EF0E1">
            <w:pPr>
              <w:spacing w:line="240" w:lineRule="auto"/>
              <w:ind w:firstLine="0" w:firstLineChars="0"/>
              <w:jc w:val="center"/>
              <w:rPr>
                <w:rFonts w:ascii="Times New Roman" w:hAnsi="Times New Roman"/>
                <w:sz w:val="21"/>
                <w:szCs w:val="21"/>
                <w:highlight w:val="none"/>
              </w:rPr>
            </w:pPr>
            <w:r>
              <w:rPr>
                <w:rFonts w:hint="eastAsia" w:ascii="Times New Roman" w:hAnsi="Times New Roman"/>
                <w:sz w:val="21"/>
                <w:szCs w:val="21"/>
                <w:highlight w:val="none"/>
              </w:rPr>
              <w:t>《污水综合排放标准》GB8978-1996三级标准）</w:t>
            </w:r>
          </w:p>
        </w:tc>
      </w:tr>
      <w:tr w14:paraId="233B634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69" w:type="pct"/>
            <w:vMerge w:val="restart"/>
            <w:noWrap w:val="0"/>
            <w:vAlign w:val="center"/>
          </w:tcPr>
          <w:p w14:paraId="055941E2">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其它</w:t>
            </w:r>
          </w:p>
        </w:tc>
        <w:tc>
          <w:tcPr>
            <w:tcW w:w="1793" w:type="pct"/>
            <w:gridSpan w:val="2"/>
            <w:noWrap w:val="0"/>
            <w:vAlign w:val="center"/>
          </w:tcPr>
          <w:p w14:paraId="4F4B5E37">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规范化排放口标志</w:t>
            </w:r>
          </w:p>
        </w:tc>
        <w:tc>
          <w:tcPr>
            <w:tcW w:w="1145" w:type="pct"/>
            <w:noWrap w:val="0"/>
            <w:vAlign w:val="center"/>
          </w:tcPr>
          <w:p w14:paraId="1D354BEF">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692" w:type="pct"/>
            <w:noWrap w:val="0"/>
            <w:vAlign w:val="center"/>
          </w:tcPr>
          <w:p w14:paraId="02E6BC2D">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r w14:paraId="75DFCA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69" w:type="pct"/>
            <w:vMerge w:val="continue"/>
            <w:noWrap w:val="0"/>
            <w:vAlign w:val="center"/>
          </w:tcPr>
          <w:p w14:paraId="426BAC58">
            <w:pPr>
              <w:spacing w:line="240" w:lineRule="auto"/>
              <w:ind w:firstLine="0" w:firstLineChars="0"/>
              <w:jc w:val="center"/>
              <w:rPr>
                <w:rFonts w:ascii="Times New Roman" w:hAnsi="Times New Roman"/>
                <w:sz w:val="21"/>
                <w:szCs w:val="21"/>
                <w:highlight w:val="none"/>
              </w:rPr>
            </w:pPr>
          </w:p>
        </w:tc>
        <w:tc>
          <w:tcPr>
            <w:tcW w:w="1793" w:type="pct"/>
            <w:gridSpan w:val="2"/>
            <w:noWrap w:val="0"/>
            <w:vAlign w:val="center"/>
          </w:tcPr>
          <w:p w14:paraId="5F0DDB68">
            <w:pPr>
              <w:spacing w:line="240" w:lineRule="auto"/>
              <w:ind w:firstLine="0" w:firstLineChars="0"/>
              <w:jc w:val="center"/>
              <w:rPr>
                <w:rFonts w:ascii="Times New Roman" w:hAnsi="Times New Roman"/>
                <w:sz w:val="21"/>
                <w:szCs w:val="21"/>
                <w:highlight w:val="none"/>
              </w:rPr>
            </w:pPr>
            <w:r>
              <w:rPr>
                <w:rFonts w:hint="eastAsia" w:ascii="Times New Roman" w:hAnsi="Times New Roman"/>
                <w:sz w:val="21"/>
                <w:szCs w:val="21"/>
                <w:highlight w:val="none"/>
              </w:rPr>
              <w:t>拆除替代小锅炉</w:t>
            </w:r>
          </w:p>
        </w:tc>
        <w:tc>
          <w:tcPr>
            <w:tcW w:w="1145" w:type="pct"/>
            <w:noWrap w:val="0"/>
            <w:vAlign w:val="center"/>
          </w:tcPr>
          <w:p w14:paraId="72C6E343">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c>
          <w:tcPr>
            <w:tcW w:w="1692" w:type="pct"/>
            <w:noWrap w:val="0"/>
            <w:vAlign w:val="center"/>
          </w:tcPr>
          <w:p w14:paraId="267A330A">
            <w:pPr>
              <w:spacing w:line="240" w:lineRule="auto"/>
              <w:ind w:firstLine="0" w:firstLineChars="0"/>
              <w:jc w:val="center"/>
              <w:rPr>
                <w:rFonts w:ascii="Times New Roman" w:hAnsi="Times New Roman"/>
                <w:sz w:val="21"/>
                <w:szCs w:val="21"/>
                <w:highlight w:val="none"/>
              </w:rPr>
            </w:pPr>
            <w:r>
              <w:rPr>
                <w:rFonts w:ascii="Times New Roman" w:hAnsi="Times New Roman"/>
                <w:sz w:val="21"/>
                <w:szCs w:val="21"/>
                <w:highlight w:val="none"/>
              </w:rPr>
              <w:t>——</w:t>
            </w:r>
          </w:p>
        </w:tc>
      </w:tr>
    </w:tbl>
    <w:p w14:paraId="2D0C4C0E">
      <w:pPr>
        <w:pStyle w:val="4"/>
        <w:bidi w:val="0"/>
        <w:ind w:left="0" w:leftChars="0" w:firstLine="0" w:firstLineChars="0"/>
        <w:rPr>
          <w:rFonts w:hint="eastAsia"/>
          <w:highlight w:val="none"/>
          <w:lang w:val="en-US" w:eastAsia="zh-CN"/>
        </w:rPr>
      </w:pPr>
      <w:bookmarkStart w:id="193" w:name="_Toc15839"/>
      <w:r>
        <w:rPr>
          <w:rFonts w:hint="eastAsia"/>
          <w:highlight w:val="none"/>
          <w:lang w:val="en-US" w:eastAsia="zh-CN"/>
        </w:rPr>
        <w:t>8.6与排污许可证衔接</w:t>
      </w:r>
      <w:bookmarkEnd w:id="193"/>
    </w:p>
    <w:p w14:paraId="5F6AA8FA">
      <w:pPr>
        <w:ind w:firstLine="480"/>
        <w:rPr>
          <w:rFonts w:ascii="Times New Roman" w:hAnsi="Times New Roman"/>
          <w:highlight w:val="none"/>
        </w:rPr>
      </w:pPr>
      <w:r>
        <w:rPr>
          <w:rFonts w:ascii="Times New Roman" w:hAnsi="Times New Roman"/>
          <w:highlight w:val="none"/>
        </w:rPr>
        <w:t>根据《国务院办公厅关于印发控制污染物排放许可制实施方案的通知》〔2016〕81号，（九）分步实现排污许可全覆盖，按行业分步实现对固定污染源的全覆盖，率先对火电、造纸行业企业核发排污许可证，2017年完成《大气污染防治行动计划》和《水污染防治行动计划》重点行业及产能过剩行业企业排污许可证核发，2020年全国基本完成排污许可证核发。</w:t>
      </w:r>
    </w:p>
    <w:p w14:paraId="600FBEE8">
      <w:pPr>
        <w:ind w:firstLine="480"/>
        <w:rPr>
          <w:rFonts w:ascii="Times New Roman" w:hAnsi="Times New Roman"/>
          <w:highlight w:val="none"/>
        </w:rPr>
      </w:pPr>
      <w:r>
        <w:rPr>
          <w:rFonts w:ascii="Times New Roman" w:hAnsi="Times New Roman"/>
          <w:highlight w:val="none"/>
        </w:rPr>
        <w:t>根据《排污许可管理办法》（试行），第三条：环境保护部依法制定并公布固定污染源排污许可分类管理名录，明确纳入排污许可管理的范围和申领时限。纳入固定污染源排污许可分类管理名录的企业事业单位和其他生产经营者（以下简称排污单位）应当按照规定的时限申请并取得排污许可证；未纳入固定污染源排污许可分类管理名录的排污单位，暂不需申请排污许可证。第二十四条：在固定污染源排污许可分类管理名录规定的时限前已经建成并实际排污的排污单位，应当在名录规定时限申请排污许可证；在名录规定的时限后建成的排污单位，应当在启动生产设施或者在实际排污之前申请排污许可证。</w:t>
      </w:r>
    </w:p>
    <w:p w14:paraId="0314ADEB">
      <w:pPr>
        <w:bidi w:val="0"/>
        <w:rPr>
          <w:rFonts w:ascii="Times New Roman" w:hAnsi="Times New Roman"/>
          <w:highlight w:val="none"/>
        </w:rPr>
      </w:pPr>
      <w:r>
        <w:rPr>
          <w:rFonts w:ascii="Times New Roman" w:hAnsi="Times New Roman"/>
          <w:highlight w:val="none"/>
        </w:rPr>
        <w:t>根据《固定污染源排污许可分类管理名录》（2019年版），本项目为“二十六、电力、热力生产和供应业441（除以生活垃圾和危险废物、污泥为燃料的火力发电-含自备电厂所在企业）”，排污许可证实施时限为2017年，因此本项目应在投产前办理排污许可变更等手续。</w:t>
      </w:r>
    </w:p>
    <w:p w14:paraId="56B1AD5B">
      <w:pPr>
        <w:pStyle w:val="23"/>
        <w:rPr>
          <w:rFonts w:hint="default"/>
          <w:highlight w:val="none"/>
          <w:lang w:val="en-US" w:eastAsia="zh-CN"/>
        </w:rPr>
      </w:pPr>
    </w:p>
    <w:p w14:paraId="10F2CACA">
      <w:pPr>
        <w:pStyle w:val="23"/>
        <w:rPr>
          <w:rFonts w:hint="default"/>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03157429">
      <w:pPr>
        <w:pStyle w:val="3"/>
        <w:bidi w:val="0"/>
        <w:rPr>
          <w:rFonts w:hint="eastAsia"/>
          <w:highlight w:val="none"/>
          <w:lang w:val="en-US" w:eastAsia="zh-CN"/>
        </w:rPr>
      </w:pPr>
      <w:bookmarkStart w:id="194" w:name="_Toc13950"/>
      <w:r>
        <w:rPr>
          <w:rFonts w:hint="eastAsia"/>
          <w:highlight w:val="none"/>
          <w:lang w:val="en-US" w:eastAsia="zh-CN"/>
        </w:rPr>
        <w:t>9环境影响评价结论</w:t>
      </w:r>
      <w:bookmarkEnd w:id="194"/>
    </w:p>
    <w:p w14:paraId="62FA424F">
      <w:pPr>
        <w:pStyle w:val="4"/>
        <w:bidi w:val="0"/>
        <w:ind w:left="0" w:leftChars="0" w:firstLine="0" w:firstLineChars="0"/>
        <w:rPr>
          <w:rFonts w:hint="eastAsia"/>
          <w:highlight w:val="none"/>
          <w:lang w:val="en-US" w:eastAsia="zh-CN"/>
        </w:rPr>
      </w:pPr>
      <w:bookmarkStart w:id="195" w:name="_Toc25553"/>
      <w:r>
        <w:rPr>
          <w:rFonts w:hint="eastAsia"/>
          <w:highlight w:val="none"/>
          <w:lang w:val="en-US" w:eastAsia="zh-CN"/>
        </w:rPr>
        <w:t>9.1项目概况</w:t>
      </w:r>
      <w:bookmarkEnd w:id="195"/>
    </w:p>
    <w:p w14:paraId="0DEF728E">
      <w:pPr>
        <w:ind w:firstLine="480"/>
        <w:rPr>
          <w:rFonts w:hint="eastAsia" w:ascii="Times New Roman" w:hAnsi="Times New Roman" w:eastAsia="宋体"/>
          <w:highlight w:val="none"/>
          <w:lang w:val="en-US" w:eastAsia="zh-CN"/>
        </w:rPr>
      </w:pPr>
      <w:r>
        <w:rPr>
          <w:rFonts w:ascii="Times New Roman" w:hAnsi="Times New Roman"/>
          <w:highlight w:val="none"/>
        </w:rPr>
        <w:t>（1）项目名称：</w:t>
      </w:r>
      <w:r>
        <w:rPr>
          <w:rFonts w:hint="eastAsia" w:ascii="Times New Roman" w:hAnsi="Times New Roman"/>
          <w:highlight w:val="none"/>
          <w:lang w:val="en-US" w:eastAsia="zh-CN"/>
        </w:rPr>
        <w:t>绥芬河市新区供热有限责任公司燃煤供热锅炉建设项目</w:t>
      </w:r>
    </w:p>
    <w:p w14:paraId="2CF79120">
      <w:pPr>
        <w:ind w:firstLine="480"/>
        <w:rPr>
          <w:rFonts w:ascii="Times New Roman" w:hAnsi="Times New Roman"/>
          <w:highlight w:val="none"/>
        </w:rPr>
      </w:pPr>
      <w:r>
        <w:rPr>
          <w:rFonts w:ascii="Times New Roman" w:hAnsi="Times New Roman"/>
          <w:highlight w:val="none"/>
        </w:rPr>
        <w:t>（2）项目承办单位：</w:t>
      </w:r>
      <w:r>
        <w:rPr>
          <w:rFonts w:hint="eastAsia" w:ascii="Times New Roman" w:hAnsi="Times New Roman"/>
          <w:highlight w:val="none"/>
          <w:lang w:val="en-US" w:eastAsia="zh-CN"/>
        </w:rPr>
        <w:t>绥芬河市新区供热有限责任公司</w:t>
      </w:r>
    </w:p>
    <w:p w14:paraId="12A997C3">
      <w:pPr>
        <w:ind w:firstLine="480"/>
        <w:rPr>
          <w:rFonts w:hint="eastAsia" w:ascii="Times New Roman" w:hAnsi="Times New Roman"/>
          <w:highlight w:val="none"/>
        </w:rPr>
      </w:pPr>
      <w:r>
        <w:rPr>
          <w:rFonts w:ascii="Times New Roman" w:hAnsi="Times New Roman"/>
          <w:highlight w:val="none"/>
        </w:rPr>
        <w:t>（3）建设地点：</w:t>
      </w:r>
      <w:r>
        <w:rPr>
          <w:rFonts w:hint="eastAsia" w:ascii="Times New Roman" w:hAnsi="Times New Roman"/>
          <w:highlight w:val="none"/>
          <w:lang w:val="en-US" w:eastAsia="zh-CN"/>
        </w:rPr>
        <w:t>黑龙江省牡丹江市绥芬河市长山路幸福街1号</w:t>
      </w:r>
    </w:p>
    <w:p w14:paraId="22DC50A6">
      <w:pPr>
        <w:ind w:firstLine="480"/>
        <w:rPr>
          <w:rFonts w:hint="eastAsia" w:ascii="Times New Roman" w:hAnsi="Times New Roman" w:eastAsia="宋体"/>
          <w:highlight w:val="none"/>
          <w:lang w:val="en-US" w:eastAsia="zh-CN"/>
        </w:rPr>
      </w:pPr>
      <w:r>
        <w:rPr>
          <w:rFonts w:ascii="Times New Roman" w:hAnsi="Times New Roman"/>
          <w:highlight w:val="none"/>
        </w:rPr>
        <w:t>（4）建设性质：</w:t>
      </w:r>
      <w:r>
        <w:rPr>
          <w:rFonts w:hint="eastAsia" w:ascii="Times New Roman" w:hAnsi="Times New Roman"/>
          <w:highlight w:val="none"/>
          <w:lang w:val="en-US" w:eastAsia="zh-CN"/>
        </w:rPr>
        <w:t>新建（重新报批）</w:t>
      </w:r>
    </w:p>
    <w:p w14:paraId="78ACDF32">
      <w:pPr>
        <w:ind w:firstLine="480"/>
        <w:rPr>
          <w:rFonts w:ascii="Times New Roman" w:hAnsi="Times New Roman"/>
          <w:highlight w:val="none"/>
        </w:rPr>
      </w:pPr>
      <w:r>
        <w:rPr>
          <w:rFonts w:ascii="Times New Roman" w:hAnsi="Times New Roman"/>
          <w:highlight w:val="none"/>
        </w:rPr>
        <w:t>（5）建设规模：</w:t>
      </w:r>
      <w:r>
        <w:rPr>
          <w:rFonts w:ascii="Times New Roman" w:hAnsi="Times New Roman"/>
          <w:iCs/>
          <w:highlight w:val="none"/>
        </w:rPr>
        <w:t>建设</w:t>
      </w:r>
      <w:r>
        <w:rPr>
          <w:rFonts w:hint="eastAsia"/>
          <w:highlight w:val="none"/>
          <w:lang w:val="en-US" w:eastAsia="zh-CN"/>
        </w:rPr>
        <w:t>116MW+</w:t>
      </w:r>
      <w:r>
        <w:rPr>
          <w:rFonts w:hint="default"/>
          <w:highlight w:val="none"/>
          <w:lang w:val="en-US" w:eastAsia="zh-CN"/>
        </w:rPr>
        <w:t>58</w:t>
      </w:r>
      <w:r>
        <w:rPr>
          <w:rFonts w:hint="eastAsia"/>
          <w:highlight w:val="none"/>
          <w:lang w:val="en-US" w:eastAsia="zh-CN"/>
        </w:rPr>
        <w:t>MW热水锅炉和1台35t/h蒸汽锅炉共三台，</w:t>
      </w:r>
      <w:r>
        <w:rPr>
          <w:rFonts w:ascii="Times New Roman" w:hAnsi="Times New Roman"/>
          <w:highlight w:val="none"/>
        </w:rPr>
        <w:t>并配套建设相关措施。</w:t>
      </w:r>
    </w:p>
    <w:p w14:paraId="1D3DA3F5">
      <w:pPr>
        <w:ind w:firstLine="480"/>
        <w:rPr>
          <w:rFonts w:ascii="Times New Roman" w:hAnsi="Times New Roman"/>
          <w:highlight w:val="none"/>
        </w:rPr>
      </w:pPr>
      <w:r>
        <w:rPr>
          <w:rFonts w:ascii="Times New Roman" w:hAnsi="Times New Roman"/>
          <w:highlight w:val="none"/>
        </w:rPr>
        <w:t>（6）总投资：</w:t>
      </w:r>
      <w:r>
        <w:rPr>
          <w:rFonts w:hint="eastAsia" w:ascii="Times New Roman" w:hAnsi="Times New Roman"/>
          <w:highlight w:val="none"/>
          <w:lang w:val="en-US" w:eastAsia="zh-CN"/>
        </w:rPr>
        <w:t>3620</w:t>
      </w:r>
      <w:r>
        <w:rPr>
          <w:rFonts w:ascii="Times New Roman" w:hAnsi="Times New Roman"/>
          <w:highlight w:val="none"/>
        </w:rPr>
        <w:t>万元</w:t>
      </w:r>
    </w:p>
    <w:p w14:paraId="7F6D7D67">
      <w:pPr>
        <w:ind w:firstLine="480"/>
        <w:rPr>
          <w:rFonts w:ascii="Times New Roman" w:hAnsi="Times New Roman"/>
          <w:highlight w:val="none"/>
        </w:rPr>
      </w:pPr>
      <w:r>
        <w:rPr>
          <w:rFonts w:ascii="Times New Roman" w:hAnsi="Times New Roman"/>
          <w:highlight w:val="none"/>
        </w:rPr>
        <w:t>（7）劳动定员：本项目员工</w:t>
      </w:r>
      <w:r>
        <w:rPr>
          <w:rFonts w:hint="eastAsia" w:ascii="Times New Roman" w:hAnsi="Times New Roman"/>
          <w:highlight w:val="none"/>
          <w:lang w:val="en-US" w:eastAsia="zh-CN"/>
        </w:rPr>
        <w:t>175</w:t>
      </w:r>
      <w:r>
        <w:rPr>
          <w:rFonts w:ascii="Times New Roman" w:hAnsi="Times New Roman"/>
          <w:highlight w:val="none"/>
        </w:rPr>
        <w:t>人</w:t>
      </w:r>
    </w:p>
    <w:p w14:paraId="0B072F21">
      <w:pPr>
        <w:bidi w:val="0"/>
        <w:rPr>
          <w:rFonts w:ascii="Times New Roman" w:hAnsi="Times New Roman"/>
          <w:highlight w:val="none"/>
        </w:rPr>
      </w:pPr>
      <w:r>
        <w:rPr>
          <w:rFonts w:ascii="Times New Roman" w:hAnsi="Times New Roman"/>
          <w:highlight w:val="none"/>
        </w:rPr>
        <w:t>（8）运行</w:t>
      </w:r>
      <w:r>
        <w:rPr>
          <w:rFonts w:hint="eastAsia" w:ascii="Times New Roman" w:hAnsi="Times New Roman"/>
          <w:highlight w:val="none"/>
        </w:rPr>
        <w:t>方案及</w:t>
      </w:r>
      <w:r>
        <w:rPr>
          <w:rFonts w:ascii="Times New Roman" w:hAnsi="Times New Roman"/>
          <w:highlight w:val="none"/>
        </w:rPr>
        <w:t>时数：本项目</w:t>
      </w:r>
      <w:r>
        <w:rPr>
          <w:rFonts w:hint="eastAsia" w:ascii="Times New Roman" w:hAnsi="Times New Roman"/>
          <w:highlight w:val="none"/>
        </w:rPr>
        <w:t>锅炉仅采暖期运行，非采暖期不运行，仅用于供热；年</w:t>
      </w:r>
      <w:r>
        <w:rPr>
          <w:rFonts w:ascii="Times New Roman" w:hAnsi="Times New Roman"/>
          <w:highlight w:val="none"/>
        </w:rPr>
        <w:t>运行时间为</w:t>
      </w:r>
      <w:r>
        <w:rPr>
          <w:rFonts w:hint="eastAsia" w:ascii="Times New Roman" w:hAnsi="Times New Roman"/>
          <w:highlight w:val="none"/>
          <w:lang w:val="en-US" w:eastAsia="zh-CN"/>
        </w:rPr>
        <w:t>210</w:t>
      </w:r>
      <w:r>
        <w:rPr>
          <w:rFonts w:ascii="Times New Roman" w:hAnsi="Times New Roman"/>
          <w:highlight w:val="none"/>
        </w:rPr>
        <w:t>天，按满负荷运行折算锅炉工况小时数为</w:t>
      </w:r>
      <w:r>
        <w:rPr>
          <w:rFonts w:hint="eastAsia" w:ascii="Times New Roman" w:hAnsi="Times New Roman"/>
          <w:highlight w:val="none"/>
          <w:lang w:val="en-US" w:eastAsia="zh-CN"/>
        </w:rPr>
        <w:t>5040</w:t>
      </w:r>
      <w:r>
        <w:rPr>
          <w:rFonts w:ascii="Times New Roman" w:hAnsi="Times New Roman"/>
          <w:highlight w:val="none"/>
        </w:rPr>
        <w:t>小时。</w:t>
      </w:r>
    </w:p>
    <w:p w14:paraId="733108C4">
      <w:pPr>
        <w:pStyle w:val="4"/>
        <w:bidi w:val="0"/>
        <w:ind w:left="0" w:leftChars="0" w:firstLine="0" w:firstLineChars="0"/>
        <w:rPr>
          <w:rFonts w:hint="eastAsia"/>
          <w:highlight w:val="none"/>
          <w:lang w:val="en-US" w:eastAsia="zh-CN"/>
        </w:rPr>
      </w:pPr>
      <w:bookmarkStart w:id="196" w:name="_Toc24115"/>
      <w:r>
        <w:rPr>
          <w:rFonts w:hint="eastAsia"/>
          <w:highlight w:val="none"/>
          <w:lang w:val="en-US" w:eastAsia="zh-CN"/>
        </w:rPr>
        <w:t>9.2产业政策符合性分析</w:t>
      </w:r>
      <w:bookmarkEnd w:id="196"/>
    </w:p>
    <w:p w14:paraId="10DBE45C">
      <w:pPr>
        <w:bidi w:val="0"/>
        <w:rPr>
          <w:rFonts w:ascii="Times New Roman" w:hAnsi="Times New Roman"/>
          <w:highlight w:val="none"/>
        </w:rPr>
      </w:pPr>
      <w:r>
        <w:rPr>
          <w:rFonts w:ascii="Times New Roman" w:hAnsi="Times New Roman"/>
          <w:highlight w:val="none"/>
        </w:rPr>
        <w:t>本项目属于《产业结构调整指导目录（20</w:t>
      </w:r>
      <w:r>
        <w:rPr>
          <w:rFonts w:hint="eastAsia" w:ascii="Times New Roman" w:hAnsi="Times New Roman"/>
          <w:highlight w:val="none"/>
          <w:lang w:val="en-US" w:eastAsia="zh-CN"/>
        </w:rPr>
        <w:t>24</w:t>
      </w:r>
      <w:r>
        <w:rPr>
          <w:rFonts w:ascii="Times New Roman" w:hAnsi="Times New Roman"/>
          <w:highlight w:val="none"/>
        </w:rPr>
        <w:t>年本）》中鼓励类第二十二部分“城镇基础设施”第</w:t>
      </w:r>
      <w:r>
        <w:rPr>
          <w:rFonts w:hint="eastAsia" w:ascii="Times New Roman" w:hAnsi="Times New Roman"/>
          <w:highlight w:val="none"/>
          <w:lang w:val="en-US" w:eastAsia="zh-CN"/>
        </w:rPr>
        <w:t>2</w:t>
      </w:r>
      <w:r>
        <w:rPr>
          <w:rFonts w:ascii="Times New Roman" w:hAnsi="Times New Roman"/>
          <w:highlight w:val="none"/>
        </w:rPr>
        <w:t>条为“城镇集中供热建设和改造工程</w:t>
      </w:r>
      <w:r>
        <w:rPr>
          <w:rFonts w:hint="eastAsia" w:ascii="Times New Roman" w:hAnsi="Times New Roman"/>
          <w:highlight w:val="none"/>
          <w:lang w:eastAsia="zh-CN"/>
        </w:rPr>
        <w:t>（</w:t>
      </w:r>
      <w:r>
        <w:rPr>
          <w:rFonts w:ascii="宋体" w:hAnsi="宋体" w:eastAsia="宋体" w:cs="宋体"/>
          <w:sz w:val="24"/>
          <w:szCs w:val="24"/>
          <w:highlight w:val="none"/>
        </w:rPr>
        <w:t>包括长距离集中供热管网应用工程</w:t>
      </w:r>
      <w:r>
        <w:rPr>
          <w:rFonts w:hint="eastAsia" w:ascii="Times New Roman" w:hAnsi="Times New Roman"/>
          <w:highlight w:val="none"/>
          <w:lang w:eastAsia="zh-CN"/>
        </w:rPr>
        <w:t>）</w:t>
      </w:r>
      <w:r>
        <w:rPr>
          <w:rFonts w:ascii="Times New Roman" w:hAnsi="Times New Roman"/>
          <w:highlight w:val="none"/>
        </w:rPr>
        <w:t>”中的“城镇集中供热建设工程”。因此，本项目属于鼓励类建设项目。从产业政策符合性角度分析，项目建设可行。</w:t>
      </w:r>
    </w:p>
    <w:p w14:paraId="0DF042CF">
      <w:pPr>
        <w:pStyle w:val="7"/>
        <w:rPr>
          <w:rFonts w:ascii="Times New Roman" w:hAnsi="Times New Roman"/>
          <w:highlight w:val="none"/>
        </w:rPr>
      </w:pPr>
      <w:r>
        <w:rPr>
          <w:rFonts w:ascii="Times New Roman" w:hAnsi="Times New Roman"/>
          <w:highlight w:val="none"/>
        </w:rPr>
        <w:t>本项目符合《黑龙江省大气污染防治行动计划实施细则》、符合《商品煤质量管理暂行办法》、符合《</w:t>
      </w:r>
      <w:r>
        <w:rPr>
          <w:rFonts w:hint="eastAsia" w:ascii="Times New Roman" w:hAnsi="Times New Roman"/>
          <w:highlight w:val="none"/>
          <w:lang w:val="en-US" w:eastAsia="zh-CN"/>
        </w:rPr>
        <w:t>牡丹江市“十四五”生态环境保护规划</w:t>
      </w:r>
      <w:r>
        <w:rPr>
          <w:rFonts w:ascii="Times New Roman" w:hAnsi="Times New Roman"/>
          <w:highlight w:val="none"/>
        </w:rPr>
        <w:t>》，项目建设可行。</w:t>
      </w:r>
    </w:p>
    <w:p w14:paraId="5288FEC8">
      <w:pPr>
        <w:pStyle w:val="4"/>
        <w:bidi w:val="0"/>
        <w:ind w:left="0" w:leftChars="0" w:firstLine="0" w:firstLineChars="0"/>
        <w:rPr>
          <w:rFonts w:hint="eastAsia"/>
          <w:highlight w:val="none"/>
          <w:lang w:val="en-US" w:eastAsia="zh-CN"/>
        </w:rPr>
      </w:pPr>
      <w:bookmarkStart w:id="197" w:name="_Toc20520"/>
      <w:r>
        <w:rPr>
          <w:rFonts w:hint="eastAsia"/>
          <w:highlight w:val="none"/>
          <w:lang w:val="en-US" w:eastAsia="zh-CN"/>
        </w:rPr>
        <w:t>9.3选址合理性分析</w:t>
      </w:r>
      <w:bookmarkEnd w:id="197"/>
    </w:p>
    <w:p w14:paraId="59566F32">
      <w:pPr>
        <w:ind w:firstLine="48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绥芬河市新区供热有限公司位于黑龙江省牡丹江市绥芬河市长山路幸福街1号，</w:t>
      </w:r>
      <w:r>
        <w:rPr>
          <w:rFonts w:hint="default" w:ascii="Times New Roman" w:hAnsi="Times New Roman" w:eastAsia="宋体" w:cs="Times New Roman"/>
          <w:highlight w:val="none"/>
        </w:rPr>
        <w:t>本项目总占地面积为</w:t>
      </w:r>
      <w:r>
        <w:rPr>
          <w:rFonts w:hint="default" w:ascii="Times New Roman" w:hAnsi="Times New Roman" w:eastAsia="宋体" w:cs="Times New Roman"/>
          <w:highlight w:val="none"/>
          <w:lang w:val="en-US" w:eastAsia="zh-CN"/>
        </w:rPr>
        <w:t>1.3万平方米</w:t>
      </w:r>
      <w:r>
        <w:rPr>
          <w:rFonts w:hint="eastAsia" w:ascii="Times New Roman" w:hAnsi="Times New Roman" w:eastAsia="宋体" w:cs="Times New Roman"/>
          <w:highlight w:val="none"/>
          <w:lang w:val="en-US" w:eastAsia="zh-CN"/>
        </w:rPr>
        <w:t>，用地性质为公用设施用地。</w:t>
      </w:r>
    </w:p>
    <w:p w14:paraId="7071B9E4">
      <w:pPr>
        <w:ind w:firstLine="480"/>
        <w:rPr>
          <w:rFonts w:ascii="Times New Roman" w:hAnsi="Times New Roman" w:eastAsia="宋体" w:cs="Times New Roman"/>
          <w:highlight w:val="none"/>
        </w:rPr>
      </w:pPr>
      <w:r>
        <w:rPr>
          <w:rFonts w:ascii="Times New Roman" w:hAnsi="Times New Roman" w:eastAsia="宋体" w:cs="Times New Roman"/>
          <w:highlight w:val="none"/>
        </w:rPr>
        <w:t>经调查，厂址区域内未发现有地下矿藏，也未发现有文物古迹，厂址附近没有影响建厂的军事设施以及通讯设备等，厂址不涉及自然保护区、水源地等环境敏感区。</w:t>
      </w:r>
    </w:p>
    <w:p w14:paraId="10BB5DF8">
      <w:pPr>
        <w:ind w:firstLine="480"/>
        <w:rPr>
          <w:rFonts w:ascii="Times New Roman" w:hAnsi="Times New Roman" w:eastAsia="宋体" w:cs="Times New Roman"/>
          <w:highlight w:val="none"/>
        </w:rPr>
      </w:pPr>
      <w:r>
        <w:rPr>
          <w:rFonts w:hint="eastAsia" w:ascii="Times New Roman" w:hAnsi="Times New Roman" w:eastAsia="宋体" w:cs="Times New Roman"/>
          <w:highlight w:val="none"/>
        </w:rPr>
        <w:t>本项目仅在供暖期运行，根据</w:t>
      </w:r>
      <w:r>
        <w:rPr>
          <w:rFonts w:hint="eastAsia" w:ascii="Times New Roman" w:hAnsi="Times New Roman" w:eastAsia="宋体" w:cs="Times New Roman"/>
          <w:highlight w:val="none"/>
          <w:lang w:val="en-US" w:eastAsia="zh-CN"/>
        </w:rPr>
        <w:t>绥芬河</w:t>
      </w:r>
      <w:r>
        <w:rPr>
          <w:rFonts w:ascii="Times New Roman" w:hAnsi="Times New Roman" w:eastAsia="宋体" w:cs="Times New Roman"/>
          <w:highlight w:val="none"/>
        </w:rPr>
        <w:t>市的风向频率变化情况可以看出，本项目选址位于</w:t>
      </w:r>
      <w:r>
        <w:rPr>
          <w:rFonts w:hint="eastAsia" w:ascii="Times New Roman" w:hAnsi="Times New Roman" w:eastAsia="宋体" w:cs="Times New Roman"/>
          <w:highlight w:val="none"/>
          <w:lang w:val="en-US" w:eastAsia="zh-CN"/>
        </w:rPr>
        <w:t>绥芬河市</w:t>
      </w:r>
      <w:r>
        <w:rPr>
          <w:rFonts w:hint="eastAsia" w:ascii="Times New Roman" w:hAnsi="Times New Roman" w:eastAsia="宋体" w:cs="Times New Roman"/>
          <w:highlight w:val="none"/>
        </w:rPr>
        <w:t>供暖期</w:t>
      </w:r>
      <w:r>
        <w:rPr>
          <w:rFonts w:ascii="Times New Roman" w:hAnsi="Times New Roman" w:eastAsia="宋体" w:cs="Times New Roman"/>
          <w:highlight w:val="none"/>
        </w:rPr>
        <w:t>主导风向的下风向。</w:t>
      </w:r>
    </w:p>
    <w:p w14:paraId="3EF50AA3">
      <w:pPr>
        <w:ind w:firstLine="480"/>
        <w:rPr>
          <w:rFonts w:ascii="Times New Roman" w:hAnsi="Times New Roman" w:eastAsia="宋体" w:cs="Times New Roman"/>
          <w:highlight w:val="none"/>
        </w:rPr>
      </w:pPr>
      <w:r>
        <w:rPr>
          <w:rFonts w:hint="eastAsia" w:ascii="Times New Roman" w:hAnsi="Times New Roman" w:eastAsia="宋体" w:cs="Times New Roman"/>
          <w:highlight w:val="none"/>
        </w:rPr>
        <w:t>根据《</w:t>
      </w:r>
      <w:r>
        <w:rPr>
          <w:rFonts w:hint="eastAsia" w:ascii="Times New Roman" w:hAnsi="Times New Roman" w:eastAsia="宋体" w:cs="Times New Roman"/>
          <w:highlight w:val="none"/>
          <w:lang w:val="en-US" w:eastAsia="zh-CN"/>
        </w:rPr>
        <w:t>黑龙江省生态环境质量状况</w:t>
      </w:r>
      <w:r>
        <w:rPr>
          <w:rFonts w:hint="eastAsia" w:ascii="Times New Roman" w:hAnsi="Times New Roman" w:eastAsia="宋体" w:cs="Times New Roman"/>
          <w:highlight w:val="none"/>
        </w:rPr>
        <w:t>》（</w:t>
      </w:r>
      <w:r>
        <w:rPr>
          <w:rFonts w:hint="eastAsia" w:ascii="Times New Roman" w:hAnsi="Times New Roman" w:eastAsia="宋体" w:cs="Times New Roman"/>
          <w:highlight w:val="none"/>
          <w:lang w:val="en-US" w:eastAsia="zh-CN"/>
        </w:rPr>
        <w:t>2024</w:t>
      </w:r>
      <w:r>
        <w:rPr>
          <w:rFonts w:hint="eastAsia" w:ascii="Times New Roman" w:hAnsi="Times New Roman" w:eastAsia="宋体" w:cs="Times New Roman"/>
          <w:highlight w:val="none"/>
        </w:rPr>
        <w:t>）可知</w:t>
      </w:r>
      <w:r>
        <w:rPr>
          <w:rFonts w:hint="eastAsia" w:ascii="Times New Roman" w:hAnsi="Times New Roman" w:cs="Times New Roman"/>
          <w:highlight w:val="none"/>
          <w:lang w:eastAsia="zh-CN"/>
        </w:rPr>
        <w:t>，</w:t>
      </w:r>
      <w:r>
        <w:rPr>
          <w:rFonts w:ascii="Times New Roman" w:hAnsi="Times New Roman" w:eastAsia="宋体" w:cs="Times New Roman"/>
          <w:highlight w:val="none"/>
        </w:rPr>
        <w:t>本项目所在区域属于城市环境空气质量达标区</w:t>
      </w:r>
      <w:r>
        <w:rPr>
          <w:rFonts w:hint="eastAsia" w:ascii="Times New Roman" w:hAnsi="Times New Roman" w:cs="Times New Roman"/>
          <w:highlight w:val="none"/>
          <w:lang w:eastAsia="zh-CN"/>
        </w:rPr>
        <w:t>。</w:t>
      </w:r>
      <w:r>
        <w:rPr>
          <w:rFonts w:ascii="Times New Roman" w:hAnsi="Times New Roman" w:eastAsia="宋体" w:cs="Times New Roman"/>
          <w:highlight w:val="none"/>
        </w:rPr>
        <w:t>本项目</w:t>
      </w:r>
      <w:r>
        <w:rPr>
          <w:rFonts w:hint="eastAsia" w:ascii="Times New Roman" w:hAnsi="Times New Roman" w:cs="Times New Roman"/>
          <w:highlight w:val="none"/>
          <w:lang w:val="en-US" w:eastAsia="zh-CN"/>
        </w:rPr>
        <w:t>运营期间</w:t>
      </w:r>
      <w:r>
        <w:rPr>
          <w:rFonts w:hint="default" w:ascii="Times New Roman" w:hAnsi="Times New Roman" w:eastAsia="宋体" w:cs="Times New Roman"/>
          <w:highlight w:val="none"/>
          <w:lang w:val="en-US" w:eastAsia="zh-CN"/>
        </w:rPr>
        <w:t>三台锅炉在供暖期间交替使用</w:t>
      </w:r>
      <w:r>
        <w:rPr>
          <w:rFonts w:hint="default" w:ascii="Times New Roman" w:hAnsi="Times New Roman" w:eastAsia="宋体" w:cs="Times New Roman"/>
          <w:highlight w:val="none"/>
        </w:rPr>
        <w:t>，</w:t>
      </w:r>
      <w:r>
        <w:rPr>
          <w:rFonts w:hint="default" w:ascii="Times New Roman" w:hAnsi="Times New Roman" w:eastAsia="宋体" w:cs="Times New Roman"/>
          <w:highlight w:val="none"/>
          <w:lang w:val="en-US" w:eastAsia="zh-CN"/>
        </w:rPr>
        <w:t>锅炉烟气</w:t>
      </w:r>
      <w:r>
        <w:rPr>
          <w:rFonts w:hint="eastAsia" w:ascii="Times New Roman" w:hAnsi="Times New Roman" w:cs="Times New Roman"/>
          <w:highlight w:val="none"/>
          <w:lang w:val="en-US" w:eastAsia="zh-CN"/>
        </w:rPr>
        <w:t>均</w:t>
      </w:r>
      <w:r>
        <w:rPr>
          <w:rFonts w:hint="default" w:ascii="Times New Roman" w:hAnsi="Times New Roman" w:eastAsia="宋体" w:cs="Times New Roman"/>
          <w:highlight w:val="none"/>
        </w:rPr>
        <w:t>采用低氮燃烧+SNCR-SCR脱硝+布袋除尘器+石灰石-石膏法脱硫的烟气净化技术，供热能力为</w:t>
      </w:r>
      <w:r>
        <w:rPr>
          <w:rFonts w:hint="default" w:ascii="Times New Roman" w:hAnsi="Times New Roman" w:eastAsia="宋体" w:cs="Times New Roman"/>
          <w:highlight w:val="none"/>
          <w:lang w:val="en-US" w:eastAsia="zh-CN"/>
        </w:rPr>
        <w:t>210</w:t>
      </w:r>
      <w:r>
        <w:rPr>
          <w:rFonts w:hint="default" w:ascii="Times New Roman" w:hAnsi="Times New Roman" w:eastAsia="宋体" w:cs="Times New Roman"/>
          <w:highlight w:val="none"/>
        </w:rPr>
        <w:t>万m</w:t>
      </w:r>
      <w:r>
        <w:rPr>
          <w:rFonts w:hint="default" w:ascii="Times New Roman" w:hAnsi="Times New Roman" w:eastAsia="宋体" w:cs="Times New Roman"/>
          <w:highlight w:val="none"/>
          <w:vertAlign w:val="superscript"/>
        </w:rPr>
        <w:t>2</w:t>
      </w:r>
      <w:r>
        <w:rPr>
          <w:rFonts w:ascii="Times New Roman" w:hAnsi="Times New Roman" w:eastAsia="宋体" w:cs="Times New Roman"/>
          <w:highlight w:val="none"/>
        </w:rPr>
        <w:t>。经过环境空气影响预测分析，本项目建成投产后正常排放下各污染物短期浓度贡献值的最大浓度占标率均小于100%，污染物年均浓度贡献值的最大浓度占标率≤30%，污染物PM</w:t>
      </w:r>
      <w:r>
        <w:rPr>
          <w:rFonts w:ascii="Times New Roman" w:hAnsi="Times New Roman" w:eastAsia="宋体" w:cs="Times New Roman"/>
          <w:highlight w:val="none"/>
          <w:vertAlign w:val="subscript"/>
        </w:rPr>
        <w:t>10</w:t>
      </w:r>
      <w:r>
        <w:rPr>
          <w:rFonts w:ascii="Times New Roman" w:hAnsi="Times New Roman" w:eastAsia="宋体" w:cs="Times New Roman"/>
          <w:highlight w:val="none"/>
        </w:rPr>
        <w:t>、SO</w:t>
      </w:r>
      <w:r>
        <w:rPr>
          <w:rFonts w:ascii="Times New Roman" w:hAnsi="Times New Roman" w:eastAsia="宋体" w:cs="Times New Roman"/>
          <w:highlight w:val="none"/>
          <w:vertAlign w:val="subscript"/>
        </w:rPr>
        <w:t>2</w:t>
      </w:r>
      <w:r>
        <w:rPr>
          <w:rFonts w:ascii="Times New Roman" w:hAnsi="Times New Roman" w:eastAsia="宋体" w:cs="Times New Roman"/>
          <w:highlight w:val="none"/>
        </w:rPr>
        <w:t>和NO</w:t>
      </w:r>
      <w:r>
        <w:rPr>
          <w:rFonts w:ascii="Times New Roman" w:hAnsi="Times New Roman" w:eastAsia="宋体" w:cs="Times New Roman"/>
          <w:highlight w:val="none"/>
          <w:vertAlign w:val="subscript"/>
        </w:rPr>
        <w:t>2</w:t>
      </w:r>
      <w:r>
        <w:rPr>
          <w:rFonts w:ascii="Times New Roman" w:hAnsi="Times New Roman" w:eastAsia="宋体" w:cs="Times New Roman"/>
          <w:highlight w:val="none"/>
        </w:rPr>
        <w:t>经叠加后保证率日平均质量浓度和年平均质量浓度均符合《环境空气质量标准》(GB3095-2012)中二级标准；本项目运营后排放的大气污染物不会突破项目所在地区的环境空气质量底线。</w:t>
      </w:r>
    </w:p>
    <w:p w14:paraId="5FAB9432">
      <w:pPr>
        <w:ind w:firstLine="480"/>
        <w:rPr>
          <w:rFonts w:ascii="Times New Roman" w:hAnsi="Times New Roman" w:eastAsia="宋体" w:cs="Times New Roman"/>
          <w:highlight w:val="none"/>
        </w:rPr>
      </w:pPr>
      <w:r>
        <w:rPr>
          <w:rFonts w:ascii="Times New Roman" w:hAnsi="Times New Roman" w:eastAsia="宋体" w:cs="Times New Roman"/>
          <w:highlight w:val="none"/>
        </w:rPr>
        <w:t>本项目在平面布置设计过程中，尽量将高噪声设备远离居民区，生产设备尽量布置在封闭厂房内，同时生产设备采取严格的隔声减振措施，本项目建成后对周围居民噪声影响较小。</w:t>
      </w:r>
    </w:p>
    <w:p w14:paraId="3D78BA09">
      <w:pPr>
        <w:ind w:firstLine="480"/>
        <w:rPr>
          <w:rFonts w:ascii="Times New Roman" w:hAnsi="Times New Roman" w:eastAsia="宋体" w:cs="Times New Roman"/>
          <w:highlight w:val="none"/>
        </w:rPr>
      </w:pPr>
      <w:r>
        <w:rPr>
          <w:rFonts w:hint="eastAsia" w:ascii="Times New Roman" w:hAnsi="Times New Roman" w:eastAsia="宋体" w:cs="Times New Roman"/>
          <w:highlight w:val="none"/>
        </w:rPr>
        <w:t>本项目建设地点及规模符合《</w:t>
      </w:r>
      <w:r>
        <w:rPr>
          <w:rFonts w:hint="eastAsia" w:ascii="Times New Roman" w:hAnsi="Times New Roman" w:eastAsia="宋体" w:cs="Times New Roman"/>
          <w:highlight w:val="none"/>
          <w:lang w:val="en-US" w:eastAsia="zh-CN"/>
        </w:rPr>
        <w:t>绥芬河市集中供热规划</w:t>
      </w:r>
      <w:r>
        <w:rPr>
          <w:rFonts w:hint="eastAsia" w:ascii="Times New Roman" w:hAnsi="Times New Roman" w:eastAsia="宋体" w:cs="Times New Roman"/>
          <w:highlight w:val="none"/>
          <w:lang w:eastAsia="zh-CN"/>
        </w:rPr>
        <w:t>》（</w:t>
      </w:r>
      <w:r>
        <w:rPr>
          <w:rFonts w:hint="eastAsia" w:ascii="Times New Roman" w:hAnsi="Times New Roman" w:eastAsia="宋体" w:cs="Times New Roman"/>
          <w:highlight w:val="none"/>
          <w:lang w:val="en-US" w:eastAsia="zh-CN"/>
        </w:rPr>
        <w:t>2016-2030</w:t>
      </w:r>
      <w:r>
        <w:rPr>
          <w:rFonts w:hint="eastAsia" w:ascii="Times New Roman" w:hAnsi="Times New Roman" w:eastAsia="宋体" w:cs="Times New Roman"/>
          <w:highlight w:val="none"/>
          <w:lang w:eastAsia="zh-CN"/>
        </w:rPr>
        <w:t>）</w:t>
      </w:r>
      <w:r>
        <w:rPr>
          <w:rFonts w:hint="eastAsia" w:ascii="Times New Roman" w:hAnsi="Times New Roman" w:eastAsia="宋体" w:cs="Times New Roman"/>
          <w:highlight w:val="none"/>
        </w:rPr>
        <w:t>以及《</w:t>
      </w:r>
      <w:r>
        <w:rPr>
          <w:rFonts w:hint="eastAsia" w:ascii="Times New Roman" w:hAnsi="Times New Roman" w:eastAsia="宋体" w:cs="Times New Roman"/>
          <w:highlight w:val="none"/>
          <w:lang w:val="en-US" w:eastAsia="zh-CN"/>
        </w:rPr>
        <w:t>牡丹江市“十四五”生态环境保护规划</w:t>
      </w:r>
      <w:r>
        <w:rPr>
          <w:rFonts w:hint="eastAsia" w:ascii="Times New Roman" w:hAnsi="Times New Roman" w:eastAsia="宋体" w:cs="Times New Roman"/>
          <w:highlight w:val="none"/>
        </w:rPr>
        <w:t>》（2021-</w:t>
      </w:r>
      <w:r>
        <w:rPr>
          <w:rFonts w:hint="eastAsia" w:ascii="Times New Roman" w:hAnsi="Times New Roman" w:eastAsia="宋体" w:cs="Times New Roman"/>
          <w:highlight w:val="none"/>
          <w:lang w:val="en-US" w:eastAsia="zh-CN"/>
        </w:rPr>
        <w:t>2025</w:t>
      </w:r>
      <w:r>
        <w:rPr>
          <w:rFonts w:hint="eastAsia" w:ascii="Times New Roman" w:hAnsi="Times New Roman" w:eastAsia="宋体" w:cs="Times New Roman"/>
          <w:highlight w:val="none"/>
        </w:rPr>
        <w:t>》的相关要求。</w:t>
      </w:r>
    </w:p>
    <w:p w14:paraId="0FAB3A68">
      <w:pPr>
        <w:bidi w:val="0"/>
        <w:rPr>
          <w:rFonts w:ascii="Times New Roman" w:hAnsi="Times New Roman" w:eastAsia="宋体" w:cs="Times New Roman"/>
          <w:highlight w:val="none"/>
        </w:rPr>
      </w:pPr>
      <w:r>
        <w:rPr>
          <w:rFonts w:ascii="Times New Roman" w:hAnsi="Times New Roman" w:eastAsia="宋体" w:cs="Times New Roman"/>
          <w:highlight w:val="none"/>
        </w:rPr>
        <w:t>综合分析，本项目选址从环境角度分析时可接受的，选址是合理的。</w:t>
      </w:r>
    </w:p>
    <w:p w14:paraId="7FFBB94C">
      <w:pPr>
        <w:pStyle w:val="4"/>
        <w:bidi w:val="0"/>
        <w:ind w:left="0" w:leftChars="0" w:firstLine="0" w:firstLineChars="0"/>
        <w:rPr>
          <w:rFonts w:hint="eastAsia"/>
          <w:highlight w:val="none"/>
          <w:lang w:val="en-US" w:eastAsia="zh-CN"/>
        </w:rPr>
      </w:pPr>
      <w:bookmarkStart w:id="198" w:name="_Toc24167"/>
      <w:r>
        <w:rPr>
          <w:rFonts w:hint="eastAsia"/>
          <w:highlight w:val="none"/>
          <w:lang w:val="en-US" w:eastAsia="zh-CN"/>
        </w:rPr>
        <w:t>9.4环境质量现状评价结论</w:t>
      </w:r>
      <w:bookmarkEnd w:id="198"/>
    </w:p>
    <w:p w14:paraId="1ABB37F3">
      <w:pPr>
        <w:pStyle w:val="5"/>
        <w:ind w:left="0" w:leftChars="0" w:firstLine="0" w:firstLineChars="0"/>
        <w:rPr>
          <w:rFonts w:hint="eastAsia"/>
          <w:highlight w:val="none"/>
          <w:lang w:val="en-US" w:eastAsia="zh-CN"/>
        </w:rPr>
      </w:pPr>
      <w:bookmarkStart w:id="199" w:name="_Toc12543"/>
      <w:r>
        <w:rPr>
          <w:rFonts w:hint="eastAsia"/>
          <w:highlight w:val="none"/>
          <w:lang w:val="en-US" w:eastAsia="zh-CN"/>
        </w:rPr>
        <w:t>9.4.1环境空气质量现状评价结论</w:t>
      </w:r>
      <w:bookmarkEnd w:id="199"/>
    </w:p>
    <w:p w14:paraId="725DD601">
      <w:pPr>
        <w:ind w:firstLine="480"/>
        <w:rPr>
          <w:rFonts w:ascii="Times New Roman" w:hAnsi="Times New Roman"/>
          <w:highlight w:val="none"/>
        </w:rPr>
      </w:pPr>
      <w:r>
        <w:rPr>
          <w:rFonts w:ascii="Times New Roman" w:hAnsi="Times New Roman"/>
          <w:highlight w:val="none"/>
        </w:rPr>
        <w:t>根据评价区环境空气现状数据分析可知，市区PM</w:t>
      </w:r>
      <w:r>
        <w:rPr>
          <w:rFonts w:ascii="Times New Roman" w:hAnsi="Times New Roman"/>
          <w:highlight w:val="none"/>
          <w:vertAlign w:val="subscript"/>
        </w:rPr>
        <w:t>2.5</w:t>
      </w:r>
      <w:r>
        <w:rPr>
          <w:rFonts w:ascii="Times New Roman" w:hAnsi="Times New Roman"/>
          <w:highlight w:val="none"/>
        </w:rPr>
        <w:t>年均值和24小时平均第95百分位浓度超过《环境空气质量标准》（GB3095-2012）及其修改单二级标准限值要求，PM</w:t>
      </w:r>
      <w:r>
        <w:rPr>
          <w:rFonts w:ascii="Times New Roman" w:hAnsi="Times New Roman"/>
          <w:highlight w:val="none"/>
          <w:vertAlign w:val="subscript"/>
        </w:rPr>
        <w:t>10</w:t>
      </w:r>
      <w:r>
        <w:rPr>
          <w:rFonts w:ascii="Times New Roman" w:hAnsi="Times New Roman"/>
          <w:highlight w:val="none"/>
        </w:rPr>
        <w:t>、NO</w:t>
      </w:r>
      <w:r>
        <w:rPr>
          <w:rFonts w:ascii="Times New Roman" w:hAnsi="Times New Roman"/>
          <w:highlight w:val="none"/>
          <w:vertAlign w:val="subscript"/>
        </w:rPr>
        <w:t>2</w:t>
      </w:r>
      <w:r>
        <w:rPr>
          <w:rFonts w:ascii="Times New Roman" w:hAnsi="Times New Roman"/>
          <w:highlight w:val="none"/>
        </w:rPr>
        <w:t>、SO</w:t>
      </w:r>
      <w:r>
        <w:rPr>
          <w:rFonts w:ascii="Times New Roman" w:hAnsi="Times New Roman"/>
          <w:highlight w:val="none"/>
          <w:vertAlign w:val="subscript"/>
        </w:rPr>
        <w:t>2</w:t>
      </w:r>
      <w:r>
        <w:rPr>
          <w:rFonts w:ascii="Times New Roman" w:hAnsi="Times New Roman"/>
          <w:highlight w:val="none"/>
        </w:rPr>
        <w:t>、CO、O</w:t>
      </w:r>
      <w:r>
        <w:rPr>
          <w:rFonts w:ascii="Times New Roman" w:hAnsi="Times New Roman"/>
          <w:highlight w:val="none"/>
          <w:vertAlign w:val="subscript"/>
        </w:rPr>
        <w:t>3</w:t>
      </w:r>
      <w:r>
        <w:rPr>
          <w:rFonts w:ascii="Times New Roman" w:hAnsi="Times New Roman"/>
          <w:highlight w:val="none"/>
        </w:rPr>
        <w:t>浓度均能达到《环境空气质量标准》（GB3095-2012）及其修改单二级标准。本项目所在区域为不达标区。</w:t>
      </w:r>
    </w:p>
    <w:p w14:paraId="5CFFD750">
      <w:pPr>
        <w:ind w:firstLine="480"/>
        <w:rPr>
          <w:rFonts w:ascii="Times New Roman" w:hAnsi="Times New Roman"/>
          <w:highlight w:val="none"/>
        </w:rPr>
      </w:pPr>
      <w:r>
        <w:rPr>
          <w:rFonts w:ascii="Times New Roman" w:hAnsi="Times New Roman"/>
          <w:highlight w:val="none"/>
        </w:rPr>
        <w:t>补充监测点位的TSP、NOx满足《环境空气质量标准》（GB3095-2012）及其修改单中表2二级标准要求，Hg日均值满足《环境空气质量标准》（GB3095-2012）附录A标准要求，NH</w:t>
      </w:r>
      <w:r>
        <w:rPr>
          <w:rFonts w:ascii="Times New Roman" w:hAnsi="Times New Roman"/>
          <w:highlight w:val="none"/>
          <w:vertAlign w:val="subscript"/>
        </w:rPr>
        <w:t>3</w:t>
      </w:r>
      <w:r>
        <w:rPr>
          <w:rFonts w:ascii="Times New Roman" w:hAnsi="Times New Roman"/>
          <w:highlight w:val="none"/>
        </w:rPr>
        <w:t>满足《环境影响评价技术导则—大气环境》（HJ2.2-2018）附录D要求。</w:t>
      </w:r>
    </w:p>
    <w:p w14:paraId="74D388BB">
      <w:pPr>
        <w:pStyle w:val="5"/>
        <w:bidi w:val="0"/>
        <w:ind w:left="0" w:leftChars="0" w:firstLine="0" w:firstLineChars="0"/>
        <w:rPr>
          <w:rFonts w:hint="eastAsia"/>
          <w:highlight w:val="none"/>
          <w:lang w:val="en-US" w:eastAsia="zh-CN"/>
        </w:rPr>
      </w:pPr>
      <w:bookmarkStart w:id="200" w:name="_Toc1069"/>
      <w:r>
        <w:rPr>
          <w:rFonts w:hint="eastAsia"/>
          <w:highlight w:val="none"/>
          <w:lang w:val="en-US" w:eastAsia="zh-CN"/>
        </w:rPr>
        <w:t>9.4.2地表水环境质量现状评价结论</w:t>
      </w:r>
      <w:bookmarkEnd w:id="200"/>
    </w:p>
    <w:p w14:paraId="7DB345E3">
      <w:pPr>
        <w:bidi w:val="0"/>
        <w:rPr>
          <w:rFonts w:hint="default" w:ascii="Times New Roman" w:hAnsi="Times New Roman" w:eastAsia="宋体" w:cs="Times New Roman"/>
          <w:color w:val="auto"/>
          <w:spacing w:val="0"/>
          <w:sz w:val="24"/>
          <w:highlight w:val="none"/>
          <w:lang w:val="en-US" w:eastAsia="zh-CN"/>
        </w:rPr>
      </w:pPr>
      <w:r>
        <w:rPr>
          <w:rFonts w:hint="default" w:ascii="Times New Roman" w:hAnsi="Times New Roman" w:eastAsia="宋体" w:cs="Times New Roman"/>
          <w:color w:val="auto"/>
          <w:spacing w:val="0"/>
          <w:sz w:val="24"/>
          <w:highlight w:val="none"/>
          <w:lang w:val="en-US" w:eastAsia="zh-CN"/>
        </w:rPr>
        <w:t>根据《牡丹江市环境质量公报202</w:t>
      </w:r>
      <w:r>
        <w:rPr>
          <w:rFonts w:hint="eastAsia" w:ascii="Times New Roman" w:hAnsi="Times New Roman" w:eastAsia="宋体" w:cs="Times New Roman"/>
          <w:color w:val="auto"/>
          <w:spacing w:val="0"/>
          <w:sz w:val="24"/>
          <w:highlight w:val="none"/>
          <w:lang w:val="en-US" w:eastAsia="zh-CN"/>
        </w:rPr>
        <w:t>4</w:t>
      </w:r>
      <w:r>
        <w:rPr>
          <w:rFonts w:hint="default" w:ascii="Times New Roman" w:hAnsi="Times New Roman" w:eastAsia="宋体" w:cs="Times New Roman"/>
          <w:color w:val="auto"/>
          <w:spacing w:val="0"/>
          <w:sz w:val="24"/>
          <w:highlight w:val="none"/>
          <w:lang w:val="en-US" w:eastAsia="zh-CN"/>
        </w:rPr>
        <w:t>年度》，202</w:t>
      </w:r>
      <w:r>
        <w:rPr>
          <w:rFonts w:hint="eastAsia" w:ascii="Times New Roman" w:hAnsi="Times New Roman" w:eastAsia="宋体" w:cs="Times New Roman"/>
          <w:color w:val="auto"/>
          <w:spacing w:val="0"/>
          <w:sz w:val="24"/>
          <w:highlight w:val="none"/>
          <w:lang w:val="en-US" w:eastAsia="zh-CN"/>
        </w:rPr>
        <w:t>4</w:t>
      </w:r>
      <w:r>
        <w:rPr>
          <w:rFonts w:hint="default" w:ascii="Times New Roman" w:hAnsi="Times New Roman" w:eastAsia="宋体" w:cs="Times New Roman"/>
          <w:color w:val="auto"/>
          <w:spacing w:val="0"/>
          <w:sz w:val="24"/>
          <w:highlight w:val="none"/>
          <w:lang w:val="en-US" w:eastAsia="zh-CN"/>
        </w:rPr>
        <w:t>年水污染防治考核断面优于Ⅲ类水质比例为</w:t>
      </w:r>
      <w:r>
        <w:rPr>
          <w:rFonts w:hint="eastAsia" w:ascii="Times New Roman" w:hAnsi="Times New Roman" w:eastAsia="宋体" w:cs="Times New Roman"/>
          <w:color w:val="auto"/>
          <w:spacing w:val="0"/>
          <w:sz w:val="24"/>
          <w:highlight w:val="none"/>
          <w:lang w:val="en-US" w:eastAsia="zh-CN"/>
        </w:rPr>
        <w:t>91.7</w:t>
      </w:r>
      <w:r>
        <w:rPr>
          <w:rFonts w:hint="default" w:ascii="Times New Roman" w:hAnsi="Times New Roman" w:eastAsia="宋体" w:cs="Times New Roman"/>
          <w:color w:val="auto"/>
          <w:spacing w:val="0"/>
          <w:sz w:val="24"/>
          <w:highlight w:val="none"/>
          <w:lang w:val="en-US" w:eastAsia="zh-CN"/>
        </w:rPr>
        <w:t>%。</w:t>
      </w:r>
      <w:r>
        <w:rPr>
          <w:rFonts w:hint="eastAsia" w:ascii="Times New Roman" w:hAnsi="Times New Roman" w:eastAsia="宋体" w:cs="Times New Roman"/>
          <w:color w:val="auto"/>
          <w:spacing w:val="0"/>
          <w:sz w:val="24"/>
          <w:highlight w:val="none"/>
          <w:lang w:val="en-US" w:eastAsia="zh-CN"/>
        </w:rPr>
        <w:t>2024年西水源和铁路水源两处饮用水水源地水质均符合集中式饮用水水源地水质要求。与去年同期相比，水源地水质无变化。</w:t>
      </w:r>
    </w:p>
    <w:p w14:paraId="44824AB4">
      <w:pPr>
        <w:rPr>
          <w:rFonts w:hint="default" w:ascii="Times New Roman" w:hAnsi="Times New Roman" w:cs="Times New Roman"/>
          <w:color w:val="auto"/>
          <w:sz w:val="24"/>
          <w:highlight w:val="none"/>
          <w:lang w:eastAsia="zh-CN"/>
        </w:rPr>
      </w:pPr>
      <w:r>
        <w:rPr>
          <w:rFonts w:hint="default" w:ascii="Times New Roman" w:hAnsi="Times New Roman" w:eastAsia="宋体" w:cs="Times New Roman"/>
          <w:color w:val="auto"/>
          <w:spacing w:val="0"/>
          <w:sz w:val="24"/>
          <w:highlight w:val="none"/>
          <w:lang w:val="en-US" w:eastAsia="zh-CN"/>
        </w:rPr>
        <w:t>本项目所在区域</w:t>
      </w:r>
      <w:r>
        <w:rPr>
          <w:rFonts w:hint="default" w:ascii="Times New Roman" w:hAnsi="Times New Roman" w:cs="Times New Roman"/>
          <w:color w:val="auto"/>
          <w:spacing w:val="0"/>
          <w:sz w:val="24"/>
          <w:highlight w:val="none"/>
          <w:lang w:val="en-US" w:eastAsia="zh-CN"/>
        </w:rPr>
        <w:t>水系为绥芬河，所在河流</w:t>
      </w:r>
      <w:r>
        <w:rPr>
          <w:rFonts w:hint="default" w:ascii="Times New Roman" w:hAnsi="Times New Roman" w:eastAsia="宋体" w:cs="Times New Roman"/>
          <w:color w:val="auto"/>
          <w:spacing w:val="0"/>
          <w:sz w:val="24"/>
          <w:highlight w:val="none"/>
          <w:lang w:val="en-US" w:eastAsia="zh-CN"/>
        </w:rPr>
        <w:t>为</w:t>
      </w:r>
      <w:r>
        <w:rPr>
          <w:rFonts w:hint="eastAsia" w:cs="Times New Roman"/>
          <w:color w:val="auto"/>
          <w:spacing w:val="0"/>
          <w:sz w:val="24"/>
          <w:highlight w:val="none"/>
          <w:lang w:val="en-US" w:eastAsia="zh-CN"/>
        </w:rPr>
        <w:t>北大河、</w:t>
      </w:r>
      <w:r>
        <w:rPr>
          <w:rFonts w:hint="default" w:ascii="Times New Roman" w:hAnsi="Times New Roman" w:cs="Times New Roman"/>
          <w:color w:val="auto"/>
          <w:spacing w:val="0"/>
          <w:sz w:val="24"/>
          <w:highlight w:val="none"/>
          <w:lang w:val="en-US" w:eastAsia="zh-CN"/>
        </w:rPr>
        <w:t>寒葱河和小绥芬</w:t>
      </w:r>
      <w:r>
        <w:rPr>
          <w:rFonts w:hint="default" w:ascii="Times New Roman" w:hAnsi="Times New Roman" w:eastAsia="宋体" w:cs="Times New Roman"/>
          <w:color w:val="auto"/>
          <w:spacing w:val="0"/>
          <w:sz w:val="24"/>
          <w:highlight w:val="none"/>
          <w:lang w:val="en-US" w:eastAsia="zh-CN"/>
        </w:rPr>
        <w:t>河，</w:t>
      </w:r>
      <w:r>
        <w:rPr>
          <w:rFonts w:hint="default" w:ascii="Times New Roman" w:hAnsi="Times New Roman" w:cs="Times New Roman"/>
          <w:color w:val="auto"/>
          <w:spacing w:val="0"/>
          <w:sz w:val="24"/>
          <w:highlight w:val="none"/>
          <w:lang w:val="en-US" w:eastAsia="zh-CN"/>
        </w:rPr>
        <w:t>本项目参照小绥芬河水体功能类别，项目</w:t>
      </w:r>
      <w:r>
        <w:rPr>
          <w:rFonts w:hint="default" w:ascii="Times New Roman" w:hAnsi="Times New Roman" w:eastAsia="宋体" w:cs="Times New Roman"/>
          <w:color w:val="auto"/>
          <w:sz w:val="24"/>
          <w:highlight w:val="none"/>
          <w:lang w:val="en-US" w:eastAsia="zh-CN"/>
        </w:rPr>
        <w:t>位于</w:t>
      </w:r>
      <w:r>
        <w:rPr>
          <w:rFonts w:hint="default" w:ascii="Times New Roman" w:hAnsi="Times New Roman" w:cs="Times New Roman"/>
          <w:color w:val="auto"/>
          <w:sz w:val="24"/>
          <w:highlight w:val="none"/>
          <w:lang w:val="en-US" w:eastAsia="zh-CN"/>
        </w:rPr>
        <w:t>小绥芬河（老莱营村-大、小绥芬河汇合口</w:t>
      </w:r>
      <w:r>
        <w:rPr>
          <w:rFonts w:hint="default" w:ascii="Times New Roman" w:hAnsi="Times New Roman" w:eastAsia="宋体" w:cs="Times New Roman"/>
          <w:color w:val="auto"/>
          <w:sz w:val="24"/>
          <w:highlight w:val="none"/>
          <w:lang w:val="en-US" w:eastAsia="zh-CN"/>
        </w:rPr>
        <w:t>断面</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bidi="ar"/>
        </w:rPr>
        <w:t>根据《全国重要江河湖泊水功能区划（2011～2030年）》</w:t>
      </w:r>
      <w:r>
        <w:rPr>
          <w:rFonts w:hint="default" w:ascii="Times New Roman" w:hAnsi="Times New Roman" w:cs="Times New Roman"/>
          <w:color w:val="auto"/>
          <w:kern w:val="0"/>
          <w:sz w:val="24"/>
          <w:szCs w:val="24"/>
          <w:highlight w:val="none"/>
          <w:lang w:val="en-US" w:eastAsia="zh-CN" w:bidi="ar"/>
        </w:rPr>
        <w:t>，水质类别为</w:t>
      </w:r>
      <w:r>
        <w:rPr>
          <w:rFonts w:hint="default" w:ascii="Times New Roman" w:hAnsi="Times New Roman" w:eastAsia="宋体" w:cs="Times New Roman"/>
          <w:color w:val="auto"/>
          <w:sz w:val="24"/>
          <w:highlight w:val="none"/>
        </w:rPr>
        <w:t>Ⅲ</w:t>
      </w:r>
      <w:r>
        <w:rPr>
          <w:rFonts w:hint="default" w:ascii="Times New Roman" w:hAnsi="Times New Roman" w:cs="Times New Roman"/>
          <w:color w:val="auto"/>
          <w:kern w:val="0"/>
          <w:sz w:val="24"/>
          <w:szCs w:val="24"/>
          <w:highlight w:val="none"/>
          <w:lang w:val="en-US" w:eastAsia="zh-CN" w:bidi="ar"/>
        </w:rPr>
        <w:t>类，</w:t>
      </w:r>
      <w:r>
        <w:rPr>
          <w:rFonts w:hint="default" w:ascii="Times New Roman" w:hAnsi="Times New Roman" w:eastAsia="宋体" w:cs="Times New Roman"/>
          <w:color w:val="auto"/>
          <w:sz w:val="24"/>
          <w:highlight w:val="none"/>
          <w:lang w:val="en-US" w:eastAsia="zh-CN"/>
        </w:rPr>
        <w:t>执行</w:t>
      </w:r>
      <w:r>
        <w:rPr>
          <w:rFonts w:hint="default" w:ascii="Times New Roman" w:hAnsi="Times New Roman" w:eastAsia="宋体" w:cs="Times New Roman"/>
          <w:color w:val="auto"/>
          <w:sz w:val="24"/>
          <w:highlight w:val="none"/>
        </w:rPr>
        <w:t>《地表水环境质量标准》（GB3838-2002）中Ⅲ类水体标准</w:t>
      </w:r>
      <w:r>
        <w:rPr>
          <w:rFonts w:hint="default" w:ascii="Times New Roman" w:hAnsi="Times New Roman" w:cs="Times New Roman"/>
          <w:color w:val="auto"/>
          <w:sz w:val="24"/>
          <w:highlight w:val="none"/>
          <w:lang w:eastAsia="zh-CN"/>
        </w:rPr>
        <w:t>。</w:t>
      </w:r>
    </w:p>
    <w:p w14:paraId="565AD9A4">
      <w:pPr>
        <w:pStyle w:val="5"/>
        <w:bidi w:val="0"/>
        <w:ind w:left="0" w:leftChars="0" w:firstLine="0" w:firstLineChars="0"/>
        <w:rPr>
          <w:rFonts w:hint="eastAsia"/>
          <w:highlight w:val="none"/>
          <w:lang w:val="en-US" w:eastAsia="zh-CN"/>
        </w:rPr>
      </w:pPr>
      <w:bookmarkStart w:id="201" w:name="_Toc8438"/>
      <w:r>
        <w:rPr>
          <w:rFonts w:hint="eastAsia"/>
          <w:highlight w:val="none"/>
          <w:lang w:val="en-US" w:eastAsia="zh-CN"/>
        </w:rPr>
        <w:t>9.4.3声环境质量现状评价结论</w:t>
      </w:r>
      <w:bookmarkEnd w:id="201"/>
    </w:p>
    <w:p w14:paraId="26A8FA81">
      <w:pPr>
        <w:snapToGrid w:val="0"/>
        <w:spacing w:line="480" w:lineRule="exact"/>
        <w:ind w:firstLine="480"/>
        <w:rPr>
          <w:rFonts w:ascii="Times New Roman" w:hAnsi="Times New Roman"/>
          <w:highlight w:val="none"/>
        </w:rPr>
      </w:pPr>
      <w:r>
        <w:rPr>
          <w:rFonts w:ascii="Times New Roman" w:hAnsi="Times New Roman"/>
          <w:highlight w:val="none"/>
        </w:rPr>
        <w:t>本项目厂址区域噪声昼间</w:t>
      </w:r>
      <w:r>
        <w:rPr>
          <w:rFonts w:hint="eastAsia" w:ascii="Times New Roman" w:hAnsi="Times New Roman"/>
          <w:highlight w:val="none"/>
          <w:lang w:val="en-US" w:eastAsia="zh-CN"/>
        </w:rPr>
        <w:t>55</w:t>
      </w:r>
      <w:r>
        <w:rPr>
          <w:rFonts w:hint="eastAsia" w:ascii="Times New Roman" w:hAnsi="Times New Roman"/>
          <w:highlight w:val="none"/>
        </w:rPr>
        <w:t>~</w:t>
      </w:r>
      <w:r>
        <w:rPr>
          <w:rFonts w:hint="eastAsia" w:ascii="Times New Roman" w:hAnsi="Times New Roman"/>
          <w:highlight w:val="none"/>
          <w:lang w:val="en-US" w:eastAsia="zh-CN"/>
        </w:rPr>
        <w:t>68</w:t>
      </w:r>
      <w:r>
        <w:rPr>
          <w:rFonts w:ascii="Times New Roman" w:hAnsi="Times New Roman"/>
          <w:highlight w:val="none"/>
        </w:rPr>
        <w:t>dB(A）之间，夜间在</w:t>
      </w:r>
      <w:r>
        <w:rPr>
          <w:rFonts w:hint="eastAsia" w:ascii="Times New Roman" w:hAnsi="Times New Roman"/>
          <w:highlight w:val="none"/>
          <w:lang w:val="en-US" w:eastAsia="zh-CN"/>
        </w:rPr>
        <w:t>43</w:t>
      </w:r>
      <w:r>
        <w:rPr>
          <w:rFonts w:ascii="Times New Roman" w:hAnsi="Times New Roman"/>
          <w:highlight w:val="none"/>
        </w:rPr>
        <w:t>~</w:t>
      </w:r>
      <w:r>
        <w:rPr>
          <w:rFonts w:hint="eastAsia" w:ascii="Times New Roman" w:hAnsi="Times New Roman"/>
          <w:highlight w:val="none"/>
          <w:lang w:val="en-US" w:eastAsia="zh-CN"/>
        </w:rPr>
        <w:t>53</w:t>
      </w:r>
      <w:r>
        <w:rPr>
          <w:rFonts w:ascii="Times New Roman" w:hAnsi="Times New Roman"/>
          <w:highlight w:val="none"/>
        </w:rPr>
        <w:t>dB(A）之间，昼间、夜间噪声满足《声环境质量标准》（GB3096—2008）中</w:t>
      </w:r>
      <w:r>
        <w:rPr>
          <w:rFonts w:hint="eastAsia" w:ascii="Times New Roman" w:hAnsi="Times New Roman"/>
          <w:highlight w:val="none"/>
          <w:lang w:val="en-US" w:eastAsia="zh-CN"/>
        </w:rPr>
        <w:t>2</w:t>
      </w:r>
      <w:r>
        <w:rPr>
          <w:rFonts w:ascii="Times New Roman" w:hAnsi="Times New Roman"/>
          <w:highlight w:val="none"/>
        </w:rPr>
        <w:t>类区</w:t>
      </w:r>
      <w:r>
        <w:rPr>
          <w:rFonts w:hint="eastAsia" w:ascii="Times New Roman" w:hAnsi="Times New Roman"/>
          <w:highlight w:val="none"/>
          <w:lang w:val="en-US" w:eastAsia="zh-CN"/>
        </w:rPr>
        <w:t>和4a类</w:t>
      </w:r>
      <w:r>
        <w:rPr>
          <w:rFonts w:ascii="Times New Roman" w:hAnsi="Times New Roman"/>
          <w:highlight w:val="none"/>
        </w:rPr>
        <w:t>标准限值要求。</w:t>
      </w:r>
      <w:r>
        <w:rPr>
          <w:rFonts w:hint="eastAsia" w:ascii="Times New Roman" w:hAnsi="Times New Roman"/>
          <w:highlight w:val="none"/>
        </w:rPr>
        <w:t>周边</w:t>
      </w:r>
      <w:r>
        <w:rPr>
          <w:rFonts w:hint="eastAsia" w:ascii="Times New Roman" w:hAnsi="Times New Roman"/>
          <w:highlight w:val="none"/>
          <w:lang w:val="en-US" w:eastAsia="zh-CN"/>
        </w:rPr>
        <w:t>敏感点</w:t>
      </w:r>
      <w:r>
        <w:rPr>
          <w:rFonts w:ascii="Times New Roman" w:hAnsi="Times New Roman"/>
          <w:highlight w:val="none"/>
        </w:rPr>
        <w:t>昼间</w:t>
      </w:r>
      <w:r>
        <w:rPr>
          <w:rFonts w:hint="eastAsia" w:ascii="Times New Roman" w:hAnsi="Times New Roman"/>
          <w:highlight w:val="none"/>
          <w:lang w:val="en-US" w:eastAsia="zh-CN"/>
        </w:rPr>
        <w:t>49</w:t>
      </w:r>
      <w:r>
        <w:rPr>
          <w:rFonts w:ascii="Times New Roman" w:hAnsi="Times New Roman"/>
          <w:highlight w:val="none"/>
        </w:rPr>
        <w:t>~</w:t>
      </w:r>
      <w:r>
        <w:rPr>
          <w:rFonts w:hint="eastAsia" w:ascii="Times New Roman" w:hAnsi="Times New Roman"/>
          <w:highlight w:val="none"/>
          <w:lang w:val="en-US" w:eastAsia="zh-CN"/>
        </w:rPr>
        <w:t>56</w:t>
      </w:r>
      <w:r>
        <w:rPr>
          <w:rFonts w:ascii="Times New Roman" w:hAnsi="Times New Roman"/>
          <w:highlight w:val="none"/>
        </w:rPr>
        <w:t>dB(A）之间，夜间在</w:t>
      </w:r>
      <w:r>
        <w:rPr>
          <w:rFonts w:hint="eastAsia" w:ascii="Times New Roman" w:hAnsi="Times New Roman"/>
          <w:highlight w:val="none"/>
          <w:lang w:val="en-US" w:eastAsia="zh-CN"/>
        </w:rPr>
        <w:t>41</w:t>
      </w:r>
      <w:r>
        <w:rPr>
          <w:rFonts w:ascii="Times New Roman" w:hAnsi="Times New Roman"/>
          <w:highlight w:val="none"/>
        </w:rPr>
        <w:t>~</w:t>
      </w:r>
      <w:r>
        <w:rPr>
          <w:rFonts w:hint="eastAsia" w:ascii="Times New Roman" w:hAnsi="Times New Roman"/>
          <w:highlight w:val="none"/>
          <w:lang w:val="en-US" w:eastAsia="zh-CN"/>
        </w:rPr>
        <w:t>44</w:t>
      </w:r>
      <w:r>
        <w:rPr>
          <w:rFonts w:ascii="Times New Roman" w:hAnsi="Times New Roman"/>
          <w:highlight w:val="none"/>
        </w:rPr>
        <w:t>dB(A）之间，昼间、夜间噪声满足《声环境质量标准》（GB3096—2008）中2类区标准限值要求。</w:t>
      </w:r>
    </w:p>
    <w:p w14:paraId="1FB53A8C">
      <w:pPr>
        <w:pStyle w:val="5"/>
        <w:bidi w:val="0"/>
        <w:ind w:left="0" w:leftChars="0" w:firstLine="0" w:firstLineChars="0"/>
        <w:rPr>
          <w:rFonts w:hint="eastAsia"/>
          <w:highlight w:val="none"/>
          <w:lang w:val="en-US" w:eastAsia="zh-CN"/>
        </w:rPr>
      </w:pPr>
      <w:bookmarkStart w:id="202" w:name="_Toc25104"/>
      <w:r>
        <w:rPr>
          <w:rFonts w:hint="eastAsia"/>
          <w:highlight w:val="none"/>
          <w:lang w:val="en-US" w:eastAsia="zh-CN"/>
        </w:rPr>
        <w:t>9.4.4土壤环境质量现状评价结论</w:t>
      </w:r>
      <w:bookmarkEnd w:id="202"/>
    </w:p>
    <w:p w14:paraId="5342B12C">
      <w:pPr>
        <w:rPr>
          <w:rFonts w:ascii="Times New Roman" w:hAnsi="Times New Roman"/>
          <w:highlight w:val="none"/>
        </w:rPr>
      </w:pPr>
      <w:r>
        <w:rPr>
          <w:rFonts w:ascii="Times New Roman" w:hAnsi="Times New Roman"/>
          <w:highlight w:val="none"/>
        </w:rPr>
        <w:t>由监测结果表明，本次土壤现状监测因子标准指数均小于1，各监测点位各项指标均达到《土壤环境质量 建设用地土壤污染风险管控标准（试行）》（GB36600-2018）第二类用地筛选值中的标准限值，项目所在地土壤环境质量现状较好。</w:t>
      </w:r>
    </w:p>
    <w:p w14:paraId="308BB24B">
      <w:pPr>
        <w:pStyle w:val="4"/>
        <w:bidi w:val="0"/>
        <w:ind w:left="0" w:leftChars="0" w:firstLine="0" w:firstLineChars="0"/>
        <w:rPr>
          <w:rFonts w:hint="eastAsia"/>
          <w:highlight w:val="none"/>
          <w:lang w:val="en-US" w:eastAsia="zh-CN"/>
        </w:rPr>
      </w:pPr>
      <w:bookmarkStart w:id="203" w:name="_Toc2323"/>
      <w:r>
        <w:rPr>
          <w:rFonts w:hint="eastAsia"/>
          <w:highlight w:val="none"/>
          <w:lang w:val="en-US" w:eastAsia="zh-CN"/>
        </w:rPr>
        <w:t>9.5污染物排放、影响及采取的污染防治措施</w:t>
      </w:r>
      <w:bookmarkEnd w:id="203"/>
    </w:p>
    <w:p w14:paraId="225F4D3D">
      <w:pPr>
        <w:pStyle w:val="5"/>
        <w:bidi w:val="0"/>
        <w:ind w:left="0" w:leftChars="0" w:firstLine="0" w:firstLineChars="0"/>
        <w:rPr>
          <w:rFonts w:hint="eastAsia"/>
          <w:highlight w:val="none"/>
          <w:lang w:val="en-US" w:eastAsia="zh-CN"/>
        </w:rPr>
      </w:pPr>
      <w:bookmarkStart w:id="204" w:name="_Toc770"/>
      <w:r>
        <w:rPr>
          <w:rFonts w:hint="eastAsia"/>
          <w:highlight w:val="none"/>
          <w:lang w:val="en-US" w:eastAsia="zh-CN"/>
        </w:rPr>
        <w:t>9.5.1废气</w:t>
      </w:r>
      <w:bookmarkEnd w:id="204"/>
    </w:p>
    <w:p w14:paraId="6CADA75C">
      <w:pPr>
        <w:ind w:firstLine="480"/>
        <w:rPr>
          <w:rFonts w:ascii="Times New Roman" w:hAnsi="Times New Roman"/>
          <w:highlight w:val="none"/>
        </w:rPr>
      </w:pPr>
      <w:r>
        <w:rPr>
          <w:rFonts w:ascii="Times New Roman" w:hAnsi="Times New Roman"/>
          <w:highlight w:val="none"/>
        </w:rPr>
        <w:t>一、污染物排放</w:t>
      </w:r>
    </w:p>
    <w:p w14:paraId="6AA2BDB3">
      <w:pPr>
        <w:ind w:firstLine="480"/>
        <w:rPr>
          <w:rFonts w:hint="eastAsia" w:ascii="Times New Roman" w:hAnsi="Times New Roman"/>
          <w:highlight w:val="none"/>
        </w:rPr>
      </w:pPr>
      <w:r>
        <w:rPr>
          <w:rFonts w:ascii="Times New Roman" w:hAnsi="Times New Roman"/>
          <w:highlight w:val="none"/>
        </w:rPr>
        <w:t>本工程环境空气主要污染源为燃煤锅炉烟囱，主要污染物为</w:t>
      </w:r>
      <w:r>
        <w:rPr>
          <w:rFonts w:hint="eastAsia" w:ascii="Times New Roman" w:hAnsi="Times New Roman"/>
          <w:highlight w:val="none"/>
        </w:rPr>
        <w:t>烟尘</w:t>
      </w:r>
      <w:r>
        <w:rPr>
          <w:rFonts w:ascii="Times New Roman" w:hAnsi="Times New Roman"/>
          <w:highlight w:val="none"/>
        </w:rPr>
        <w:t>、SO</w:t>
      </w:r>
      <w:r>
        <w:rPr>
          <w:rFonts w:ascii="Times New Roman" w:hAnsi="Times New Roman"/>
          <w:highlight w:val="none"/>
          <w:vertAlign w:val="subscript"/>
        </w:rPr>
        <w:t>2</w:t>
      </w:r>
      <w:r>
        <w:rPr>
          <w:rFonts w:ascii="Times New Roman" w:hAnsi="Times New Roman"/>
          <w:highlight w:val="none"/>
        </w:rPr>
        <w:t>、NOx、汞及其化合物、氨及林格曼黑度。</w:t>
      </w:r>
    </w:p>
    <w:p w14:paraId="123146D8">
      <w:pPr>
        <w:ind w:firstLine="480"/>
        <w:rPr>
          <w:rFonts w:ascii="Times New Roman" w:hAnsi="Times New Roman"/>
          <w:highlight w:val="none"/>
        </w:rPr>
      </w:pPr>
      <w:r>
        <w:rPr>
          <w:rFonts w:ascii="Times New Roman" w:hAnsi="Times New Roman"/>
          <w:highlight w:val="none"/>
        </w:rPr>
        <w:t>本工程排放的锅炉烟气采用低氮燃烧技术以及SNCR-SCR法脱硝+石灰石/石膏法脱硫工艺+布袋除尘器处理后由</w:t>
      </w:r>
      <w:r>
        <w:rPr>
          <w:rFonts w:hint="eastAsia" w:ascii="Times New Roman" w:hAnsi="Times New Roman"/>
          <w:highlight w:val="none"/>
          <w:lang w:val="en-US" w:eastAsia="zh-CN"/>
        </w:rPr>
        <w:t>60</w:t>
      </w:r>
      <w:r>
        <w:rPr>
          <w:rFonts w:ascii="Times New Roman" w:hAnsi="Times New Roman"/>
          <w:highlight w:val="none"/>
        </w:rPr>
        <w:t>m高、出口直径4m的烟囱排入大气。</w:t>
      </w:r>
    </w:p>
    <w:p w14:paraId="19F30204">
      <w:pPr>
        <w:ind w:firstLine="480"/>
        <w:rPr>
          <w:rFonts w:ascii="Times New Roman" w:hAnsi="Times New Roman"/>
          <w:highlight w:val="none"/>
        </w:rPr>
      </w:pPr>
      <w:r>
        <w:rPr>
          <w:rFonts w:ascii="Times New Roman" w:hAnsi="Times New Roman"/>
          <w:highlight w:val="none"/>
        </w:rPr>
        <w:t>二、影响分析结论</w:t>
      </w:r>
    </w:p>
    <w:p w14:paraId="34C666DF">
      <w:pPr>
        <w:ind w:firstLine="480"/>
        <w:rPr>
          <w:rFonts w:ascii="Times New Roman" w:hAnsi="Times New Roman"/>
          <w:highlight w:val="none"/>
        </w:rPr>
      </w:pPr>
      <w:r>
        <w:rPr>
          <w:rFonts w:ascii="Times New Roman" w:hAnsi="Times New Roman"/>
          <w:highlight w:val="none"/>
        </w:rPr>
        <w:t>（1）新增污染源正常排放下最大落地浓度点及敏感点PM</w:t>
      </w:r>
      <w:r>
        <w:rPr>
          <w:rFonts w:ascii="Times New Roman" w:hAnsi="Times New Roman"/>
          <w:highlight w:val="none"/>
          <w:vertAlign w:val="subscript"/>
        </w:rPr>
        <w:t>10</w:t>
      </w:r>
      <w:r>
        <w:rPr>
          <w:rFonts w:ascii="Times New Roman" w:hAnsi="Times New Roman"/>
          <w:highlight w:val="none"/>
        </w:rPr>
        <w:t>、PM</w:t>
      </w:r>
      <w:r>
        <w:rPr>
          <w:rFonts w:ascii="Times New Roman" w:hAnsi="Times New Roman"/>
          <w:highlight w:val="none"/>
          <w:vertAlign w:val="subscript"/>
        </w:rPr>
        <w:t>2.5</w:t>
      </w:r>
      <w:r>
        <w:rPr>
          <w:rFonts w:ascii="Times New Roman" w:hAnsi="Times New Roman"/>
          <w:highlight w:val="none"/>
        </w:rPr>
        <w:t>、SO</w:t>
      </w:r>
      <w:r>
        <w:rPr>
          <w:rFonts w:ascii="Times New Roman" w:hAnsi="Times New Roman"/>
          <w:highlight w:val="none"/>
          <w:vertAlign w:val="subscript"/>
        </w:rPr>
        <w:t>2</w:t>
      </w:r>
      <w:r>
        <w:rPr>
          <w:rFonts w:ascii="Times New Roman" w:hAnsi="Times New Roman"/>
          <w:highlight w:val="none"/>
        </w:rPr>
        <w:t>、NO</w:t>
      </w:r>
      <w:r>
        <w:rPr>
          <w:rFonts w:ascii="Times New Roman" w:hAnsi="Times New Roman"/>
          <w:highlight w:val="none"/>
          <w:vertAlign w:val="subscript"/>
        </w:rPr>
        <w:t>2</w:t>
      </w:r>
      <w:r>
        <w:rPr>
          <w:rFonts w:ascii="Times New Roman" w:hAnsi="Times New Roman"/>
          <w:highlight w:val="none"/>
        </w:rPr>
        <w:t>、氨气短期浓度贡献值的最大落地浓度占标均≤100%。</w:t>
      </w:r>
    </w:p>
    <w:p w14:paraId="1B881A52">
      <w:pPr>
        <w:ind w:firstLine="480"/>
        <w:rPr>
          <w:rFonts w:ascii="Times New Roman" w:hAnsi="Times New Roman"/>
          <w:highlight w:val="none"/>
        </w:rPr>
      </w:pPr>
      <w:r>
        <w:rPr>
          <w:rFonts w:ascii="Times New Roman" w:hAnsi="Times New Roman"/>
          <w:highlight w:val="none"/>
        </w:rPr>
        <w:t>（2）新增污染源正常排放下最大落地浓度点及敏感点PM</w:t>
      </w:r>
      <w:r>
        <w:rPr>
          <w:rFonts w:ascii="Times New Roman" w:hAnsi="Times New Roman"/>
          <w:highlight w:val="none"/>
          <w:vertAlign w:val="subscript"/>
        </w:rPr>
        <w:t>10</w:t>
      </w:r>
      <w:r>
        <w:rPr>
          <w:rFonts w:ascii="Times New Roman" w:hAnsi="Times New Roman"/>
          <w:highlight w:val="none"/>
        </w:rPr>
        <w:t>、PM</w:t>
      </w:r>
      <w:r>
        <w:rPr>
          <w:rFonts w:ascii="Times New Roman" w:hAnsi="Times New Roman"/>
          <w:highlight w:val="none"/>
          <w:vertAlign w:val="subscript"/>
        </w:rPr>
        <w:t>2.5</w:t>
      </w:r>
      <w:r>
        <w:rPr>
          <w:rFonts w:ascii="Times New Roman" w:hAnsi="Times New Roman"/>
          <w:highlight w:val="none"/>
        </w:rPr>
        <w:t>、SO</w:t>
      </w:r>
      <w:r>
        <w:rPr>
          <w:rFonts w:ascii="Times New Roman" w:hAnsi="Times New Roman"/>
          <w:highlight w:val="none"/>
          <w:vertAlign w:val="subscript"/>
        </w:rPr>
        <w:t>2</w:t>
      </w:r>
      <w:r>
        <w:rPr>
          <w:rFonts w:ascii="Times New Roman" w:hAnsi="Times New Roman"/>
          <w:highlight w:val="none"/>
        </w:rPr>
        <w:t>、NO</w:t>
      </w:r>
      <w:r>
        <w:rPr>
          <w:rFonts w:ascii="Times New Roman" w:hAnsi="Times New Roman"/>
          <w:highlight w:val="none"/>
          <w:vertAlign w:val="subscript"/>
        </w:rPr>
        <w:t>2</w:t>
      </w:r>
      <w:r>
        <w:rPr>
          <w:rFonts w:ascii="Times New Roman" w:hAnsi="Times New Roman"/>
          <w:highlight w:val="none"/>
        </w:rPr>
        <w:t>、Hg年浓度贡献值的最大落地浓度占标均≤30%。</w:t>
      </w:r>
    </w:p>
    <w:p w14:paraId="01253ABF">
      <w:pPr>
        <w:ind w:firstLine="480"/>
        <w:rPr>
          <w:rFonts w:ascii="Times New Roman" w:hAnsi="Times New Roman"/>
          <w:highlight w:val="none"/>
        </w:rPr>
      </w:pPr>
      <w:r>
        <w:rPr>
          <w:rFonts w:ascii="Times New Roman" w:hAnsi="Times New Roman"/>
          <w:highlight w:val="none"/>
        </w:rPr>
        <w:t>（3）项目环境影响符合区域环境功能区划。</w:t>
      </w:r>
    </w:p>
    <w:p w14:paraId="39155507">
      <w:pPr>
        <w:ind w:firstLine="480"/>
        <w:rPr>
          <w:rFonts w:ascii="Times New Roman" w:hAnsi="Times New Roman"/>
          <w:highlight w:val="none"/>
        </w:rPr>
      </w:pPr>
      <w:r>
        <w:rPr>
          <w:rFonts w:ascii="Times New Roman" w:hAnsi="Times New Roman"/>
          <w:highlight w:val="none"/>
        </w:rPr>
        <w:t>（4）叠加现状浓度、区域削减浓度的环境影响后，最大落地浓度点及敏感点SO</w:t>
      </w:r>
      <w:r>
        <w:rPr>
          <w:rFonts w:ascii="Times New Roman" w:hAnsi="Times New Roman"/>
          <w:highlight w:val="none"/>
          <w:vertAlign w:val="subscript"/>
        </w:rPr>
        <w:t>2</w:t>
      </w:r>
      <w:r>
        <w:rPr>
          <w:rFonts w:ascii="Times New Roman" w:hAnsi="Times New Roman"/>
          <w:highlight w:val="none"/>
        </w:rPr>
        <w:t>、NO</w:t>
      </w:r>
      <w:r>
        <w:rPr>
          <w:rFonts w:ascii="Times New Roman" w:hAnsi="Times New Roman"/>
          <w:highlight w:val="none"/>
          <w:vertAlign w:val="subscript"/>
        </w:rPr>
        <w:t>2</w:t>
      </w:r>
      <w:r>
        <w:rPr>
          <w:rFonts w:ascii="Times New Roman" w:hAnsi="Times New Roman"/>
          <w:highlight w:val="none"/>
        </w:rPr>
        <w:t>、PM</w:t>
      </w:r>
      <w:r>
        <w:rPr>
          <w:rFonts w:ascii="Times New Roman" w:hAnsi="Times New Roman"/>
          <w:highlight w:val="none"/>
          <w:vertAlign w:val="subscript"/>
        </w:rPr>
        <w:t>10</w:t>
      </w:r>
      <w:r>
        <w:rPr>
          <w:rFonts w:ascii="Times New Roman" w:hAnsi="Times New Roman"/>
          <w:highlight w:val="none"/>
        </w:rPr>
        <w:t>保证率日平均质量浓度和年平均质量浓度均符合《环境空气质量标准》（GB3095-2012）。</w:t>
      </w:r>
    </w:p>
    <w:p w14:paraId="4AF7E27B">
      <w:pPr>
        <w:ind w:firstLine="480"/>
        <w:rPr>
          <w:rFonts w:ascii="Times New Roman" w:hAnsi="Times New Roman"/>
          <w:highlight w:val="none"/>
        </w:rPr>
      </w:pPr>
      <w:r>
        <w:rPr>
          <w:rFonts w:ascii="Times New Roman" w:hAnsi="Times New Roman"/>
          <w:highlight w:val="none"/>
        </w:rPr>
        <w:t>（5）评价区环境空气污染因子PM</w:t>
      </w:r>
      <w:r>
        <w:rPr>
          <w:rFonts w:ascii="Times New Roman" w:hAnsi="Times New Roman"/>
          <w:highlight w:val="none"/>
          <w:vertAlign w:val="subscript"/>
        </w:rPr>
        <w:t>2.5</w:t>
      </w:r>
      <w:r>
        <w:rPr>
          <w:rFonts w:ascii="Times New Roman" w:hAnsi="Times New Roman"/>
          <w:highlight w:val="none"/>
        </w:rPr>
        <w:t>环境质量现状超标，整体预测范围的年平均浓度变化率k≤-20%，可使得区域环境空气质量中PM</w:t>
      </w:r>
      <w:r>
        <w:rPr>
          <w:rFonts w:ascii="Times New Roman" w:hAnsi="Times New Roman"/>
          <w:highlight w:val="none"/>
          <w:vertAlign w:val="subscript"/>
        </w:rPr>
        <w:t>2.5</w:t>
      </w:r>
      <w:r>
        <w:rPr>
          <w:rFonts w:ascii="Times New Roman" w:hAnsi="Times New Roman"/>
          <w:highlight w:val="none"/>
        </w:rPr>
        <w:t>得到整体改善。</w:t>
      </w:r>
    </w:p>
    <w:p w14:paraId="3BD45254">
      <w:pPr>
        <w:ind w:firstLine="480"/>
        <w:rPr>
          <w:rFonts w:ascii="Times New Roman" w:hAnsi="Times New Roman"/>
          <w:highlight w:val="none"/>
        </w:rPr>
      </w:pPr>
      <w:r>
        <w:rPr>
          <w:rFonts w:ascii="Times New Roman" w:hAnsi="Times New Roman"/>
          <w:highlight w:val="none"/>
        </w:rPr>
        <w:t>（6）根据EIApro2018大气软件的环境防护区域预测模式的计算结果，项目各污染物小时贡献浓度、日均贡献浓度均无超标点，无需设置大气环境防护距离。</w:t>
      </w:r>
    </w:p>
    <w:p w14:paraId="5EDE105A">
      <w:pPr>
        <w:ind w:firstLine="480"/>
        <w:rPr>
          <w:rFonts w:ascii="Times New Roman" w:hAnsi="Times New Roman"/>
          <w:highlight w:val="none"/>
        </w:rPr>
      </w:pPr>
      <w:r>
        <w:rPr>
          <w:rFonts w:ascii="Times New Roman" w:hAnsi="Times New Roman"/>
          <w:highlight w:val="none"/>
        </w:rPr>
        <w:t>（7）在除尘器布袋破损、脱硫塔设备故障及脱硝系统不能投运的非正常工况下，区域最大浓度点及各敏感目标贡献浓度占标率均小于100%，可以达到《环境空气质量标准》（GB3095-2012）中限值要求，不会对环境空气产生影响，但企业也应时刻关注环保设施的运行状况，避免非正常工况的发生。</w:t>
      </w:r>
    </w:p>
    <w:p w14:paraId="2F6174D1">
      <w:pPr>
        <w:ind w:firstLine="480"/>
        <w:rPr>
          <w:rFonts w:ascii="Times New Roman" w:hAnsi="Times New Roman"/>
          <w:highlight w:val="none"/>
        </w:rPr>
      </w:pPr>
      <w:r>
        <w:rPr>
          <w:rFonts w:ascii="Times New Roman" w:hAnsi="Times New Roman"/>
          <w:highlight w:val="none"/>
        </w:rPr>
        <w:t>综上所述，本项目建成后，大气环境影响可接受，项目大气污染物排放方案可行。因此，从环境空气角度分析，本工程的建设是可行的。</w:t>
      </w:r>
    </w:p>
    <w:p w14:paraId="5FD53E92">
      <w:pPr>
        <w:ind w:firstLine="480"/>
        <w:rPr>
          <w:rFonts w:ascii="Times New Roman" w:hAnsi="Times New Roman"/>
          <w:highlight w:val="none"/>
        </w:rPr>
      </w:pPr>
      <w:r>
        <w:rPr>
          <w:rFonts w:ascii="Times New Roman" w:hAnsi="Times New Roman"/>
          <w:highlight w:val="none"/>
        </w:rPr>
        <w:t>三、污染防治措施</w:t>
      </w:r>
    </w:p>
    <w:p w14:paraId="13DCCFD4">
      <w:pPr>
        <w:ind w:firstLine="480"/>
        <w:rPr>
          <w:rFonts w:ascii="Times New Roman" w:hAnsi="Times New Roman"/>
          <w:highlight w:val="none"/>
        </w:rPr>
      </w:pPr>
      <w:r>
        <w:rPr>
          <w:rFonts w:ascii="Times New Roman" w:hAnsi="Times New Roman"/>
          <w:highlight w:val="none"/>
        </w:rPr>
        <w:t>本工程排放的锅炉烟气采用布袋除尘器、石灰石/石膏法脱硫工艺、循环流化床低氮燃烧技术以及SNCR-SCR法脱硝系统处理后由</w:t>
      </w:r>
      <w:r>
        <w:rPr>
          <w:rFonts w:hint="eastAsia" w:ascii="Times New Roman" w:hAnsi="Times New Roman"/>
          <w:highlight w:val="none"/>
          <w:lang w:val="en-US" w:eastAsia="zh-CN"/>
        </w:rPr>
        <w:t>60</w:t>
      </w:r>
      <w:r>
        <w:rPr>
          <w:rFonts w:ascii="Times New Roman" w:hAnsi="Times New Roman"/>
          <w:highlight w:val="none"/>
        </w:rPr>
        <w:t>m高、出口直径</w:t>
      </w:r>
      <w:r>
        <w:rPr>
          <w:rFonts w:hint="eastAsia" w:ascii="Times New Roman" w:hAnsi="Times New Roman"/>
          <w:highlight w:val="none"/>
          <w:lang w:val="en-US" w:eastAsia="zh-CN"/>
        </w:rPr>
        <w:t>4</w:t>
      </w:r>
      <w:r>
        <w:rPr>
          <w:rFonts w:ascii="Times New Roman" w:hAnsi="Times New Roman"/>
          <w:highlight w:val="none"/>
        </w:rPr>
        <w:t>m的烟囱排入大气。采用上述处理措施后，本工程烟囱排放的锅炉大气污染物颗粒物、SO</w:t>
      </w:r>
      <w:r>
        <w:rPr>
          <w:rFonts w:ascii="Times New Roman" w:hAnsi="Times New Roman"/>
          <w:highlight w:val="none"/>
          <w:vertAlign w:val="subscript"/>
        </w:rPr>
        <w:t>2</w:t>
      </w:r>
      <w:r>
        <w:rPr>
          <w:rFonts w:ascii="Times New Roman" w:hAnsi="Times New Roman"/>
          <w:highlight w:val="none"/>
        </w:rPr>
        <w:t>、NOx满足超低排放要求；汞及其化合物</w:t>
      </w:r>
      <w:r>
        <w:rPr>
          <w:rFonts w:hint="eastAsia" w:ascii="Times New Roman" w:hAnsi="Times New Roman"/>
          <w:highlight w:val="none"/>
          <w:lang w:eastAsia="zh-CN"/>
        </w:rPr>
        <w:t>、</w:t>
      </w:r>
      <w:r>
        <w:rPr>
          <w:rFonts w:hint="eastAsia" w:ascii="Times New Roman" w:hAnsi="Times New Roman"/>
          <w:highlight w:val="none"/>
          <w:lang w:val="en-US" w:eastAsia="zh-CN"/>
        </w:rPr>
        <w:t>烟气黑度</w:t>
      </w:r>
      <w:r>
        <w:rPr>
          <w:rFonts w:ascii="Times New Roman" w:hAnsi="Times New Roman"/>
          <w:highlight w:val="none"/>
        </w:rPr>
        <w:t>排放浓度均满足</w:t>
      </w:r>
      <w:r>
        <w:rPr>
          <w:rFonts w:hint="eastAsia" w:ascii="Times New Roman" w:hAnsi="Times New Roman"/>
          <w:color w:val="auto"/>
          <w:highlight w:val="none"/>
        </w:rPr>
        <w:t>《火电厂大气污染物排放标准》(GB13223-2011)表1中燃煤锅炉大气污染物排放标准限值</w:t>
      </w:r>
      <w:r>
        <w:rPr>
          <w:rFonts w:ascii="Times New Roman" w:hAnsi="Times New Roman"/>
          <w:highlight w:val="none"/>
        </w:rPr>
        <w:t>要求。</w:t>
      </w:r>
    </w:p>
    <w:p w14:paraId="0CCE16A0">
      <w:pPr>
        <w:ind w:firstLine="480"/>
        <w:rPr>
          <w:rFonts w:hint="eastAsia" w:ascii="Times New Roman" w:hAnsi="Times New Roman"/>
          <w:highlight w:val="none"/>
        </w:rPr>
      </w:pPr>
      <w:r>
        <w:rPr>
          <w:rFonts w:ascii="Times New Roman" w:hAnsi="Times New Roman"/>
          <w:highlight w:val="none"/>
        </w:rPr>
        <w:t>厂界无组织颗粒物的浓度满足《大气污染物综合排放标准》(GB16297-1996)中表2无组织排放浓度监控限值要求。</w:t>
      </w:r>
    </w:p>
    <w:p w14:paraId="5BDCF7D3">
      <w:pPr>
        <w:rPr>
          <w:rFonts w:hint="eastAsia" w:ascii="Times New Roman" w:hAnsi="Times New Roman"/>
          <w:highlight w:val="none"/>
        </w:rPr>
      </w:pPr>
      <w:r>
        <w:rPr>
          <w:rFonts w:hint="eastAsia" w:ascii="Times New Roman" w:hAnsi="Times New Roman"/>
          <w:highlight w:val="none"/>
        </w:rPr>
        <w:t>脱硝系统采取控制尿素溶液喷淋量、控制温度及停留时间等措施控制氨逃逸，项目整体氨逃逸控制浓度为2.5mg/m</w:t>
      </w:r>
      <w:r>
        <w:rPr>
          <w:rFonts w:hint="eastAsia" w:ascii="Times New Roman" w:hAnsi="Times New Roman"/>
          <w:highlight w:val="none"/>
          <w:vertAlign w:val="superscript"/>
        </w:rPr>
        <w:t>3</w:t>
      </w:r>
      <w:r>
        <w:rPr>
          <w:rFonts w:hint="eastAsia" w:ascii="Times New Roman" w:hAnsi="Times New Roman"/>
          <w:highlight w:val="none"/>
        </w:rPr>
        <w:t>，有组织排放能够满足《火电厂烟气脱硝工程技术规范选择性催化还原法》（HJ562-2010）要求脱硝系统氨逃逸质量浓度宜小于2.5mg/m</w:t>
      </w:r>
      <w:r>
        <w:rPr>
          <w:rFonts w:hint="eastAsia" w:ascii="Times New Roman" w:hAnsi="Times New Roman"/>
          <w:highlight w:val="none"/>
          <w:vertAlign w:val="superscript"/>
        </w:rPr>
        <w:t>3</w:t>
      </w:r>
      <w:r>
        <w:rPr>
          <w:rFonts w:hint="eastAsia" w:ascii="Times New Roman" w:hAnsi="Times New Roman"/>
          <w:highlight w:val="none"/>
        </w:rPr>
        <w:t>的要求；厂界氨气等恶臭污染物排放符合《恶臭污染物排放标准》（GB14554-93）表1中的二级标准要求。</w:t>
      </w:r>
    </w:p>
    <w:p w14:paraId="216ABE80">
      <w:pPr>
        <w:pStyle w:val="5"/>
        <w:bidi w:val="0"/>
        <w:ind w:left="0" w:leftChars="0" w:firstLine="0" w:firstLineChars="0"/>
        <w:rPr>
          <w:rFonts w:hint="eastAsia"/>
          <w:highlight w:val="none"/>
          <w:lang w:val="en-US" w:eastAsia="zh-CN"/>
        </w:rPr>
      </w:pPr>
      <w:bookmarkStart w:id="205" w:name="_Toc32381"/>
      <w:r>
        <w:rPr>
          <w:rFonts w:hint="eastAsia"/>
          <w:highlight w:val="none"/>
          <w:lang w:val="en-US" w:eastAsia="zh-CN"/>
        </w:rPr>
        <w:t>9.5.2废水</w:t>
      </w:r>
      <w:bookmarkEnd w:id="205"/>
    </w:p>
    <w:p w14:paraId="1EE377BA">
      <w:pPr>
        <w:rPr>
          <w:rFonts w:ascii="Times New Roman" w:hAnsi="Times New Roman"/>
          <w:highlight w:val="none"/>
        </w:rPr>
      </w:pPr>
      <w:r>
        <w:rPr>
          <w:rFonts w:ascii="Times New Roman" w:hAnsi="Times New Roman"/>
          <w:highlight w:val="none"/>
        </w:rPr>
        <w:t>本项目生产废水主要为锅炉排污水、脱硫废水。由于工业废水的水质不同，处理方法也不同，所有废水处理采取就近、分散、分项处理，尽可能最大限度重复利用，做到生产废水不外排。生活污水排入市政管网。废水处理措施如下：</w:t>
      </w:r>
    </w:p>
    <w:p w14:paraId="53B83CB6">
      <w:pPr>
        <w:ind w:firstLine="480"/>
        <w:rPr>
          <w:rFonts w:ascii="Times New Roman" w:hAnsi="Times New Roman"/>
          <w:highlight w:val="none"/>
        </w:rPr>
      </w:pPr>
      <w:r>
        <w:rPr>
          <w:rFonts w:ascii="Times New Roman" w:hAnsi="Times New Roman"/>
          <w:highlight w:val="none"/>
        </w:rPr>
        <w:t>厂区内排水系统采用分流制：雨水排水系统。生产废水主要有锅炉排污水、脱硫废水等，锅炉排污水、脱硫废水回用于生产，不外排。本项目不设置化学实验室，无实验室废液。</w:t>
      </w:r>
    </w:p>
    <w:p w14:paraId="3C2F6FFE">
      <w:pPr>
        <w:rPr>
          <w:rFonts w:hint="eastAsia" w:ascii="Times New Roman" w:hAnsi="Times New Roman"/>
          <w:szCs w:val="24"/>
          <w:highlight w:val="none"/>
          <w:lang w:val="en-US" w:eastAsia="zh-CN"/>
        </w:rPr>
      </w:pPr>
      <w:r>
        <w:rPr>
          <w:rFonts w:ascii="Times New Roman" w:hAnsi="Times New Roman"/>
          <w:szCs w:val="24"/>
          <w:highlight w:val="none"/>
        </w:rPr>
        <w:t>锅炉排污水回用于</w:t>
      </w:r>
      <w:r>
        <w:rPr>
          <w:rFonts w:hint="eastAsia" w:ascii="Times New Roman" w:hAnsi="Times New Roman"/>
          <w:szCs w:val="24"/>
          <w:highlight w:val="none"/>
        </w:rPr>
        <w:t>用于冷渣器冷却水系统补水（</w:t>
      </w:r>
      <w:r>
        <w:rPr>
          <w:rFonts w:hint="eastAsia" w:ascii="Times New Roman" w:hAnsi="Times New Roman"/>
          <w:szCs w:val="24"/>
          <w:highlight w:val="none"/>
          <w:lang w:val="en-US" w:eastAsia="zh-CN"/>
        </w:rPr>
        <w:t>6m³/h，30240</w:t>
      </w:r>
      <w:r>
        <w:rPr>
          <w:rFonts w:hint="eastAsia" w:ascii="Times New Roman" w:hAnsi="Times New Roman"/>
          <w:highlight w:val="none"/>
          <w:lang w:val="en-US" w:eastAsia="zh-CN"/>
        </w:rPr>
        <w:t>t/a</w:t>
      </w:r>
      <w:r>
        <w:rPr>
          <w:rFonts w:hint="eastAsia" w:ascii="Times New Roman" w:hAnsi="Times New Roman"/>
          <w:szCs w:val="24"/>
          <w:highlight w:val="none"/>
        </w:rPr>
        <w:t>）</w:t>
      </w:r>
      <w:r>
        <w:rPr>
          <w:rFonts w:ascii="Times New Roman" w:hAnsi="Times New Roman"/>
          <w:szCs w:val="24"/>
          <w:highlight w:val="none"/>
        </w:rPr>
        <w:t>。脱硫废水采用回流水池→一体化污水处理装置→高效旋流分离器→生物净化装置→多介质净化装置→多功能处理剂→净水箱处理工艺，回用于灰渣加湿</w:t>
      </w:r>
      <w:r>
        <w:rPr>
          <w:rFonts w:hint="eastAsia" w:ascii="Times New Roman" w:hAnsi="Times New Roman"/>
          <w:szCs w:val="24"/>
          <w:highlight w:val="none"/>
        </w:rPr>
        <w:t>（</w:t>
      </w:r>
      <w:r>
        <w:rPr>
          <w:rFonts w:hint="eastAsia" w:ascii="Times New Roman" w:hAnsi="Times New Roman"/>
          <w:szCs w:val="24"/>
          <w:highlight w:val="none"/>
          <w:lang w:val="en-US" w:eastAsia="zh-CN"/>
        </w:rPr>
        <w:t>2</w:t>
      </w:r>
      <w:r>
        <w:rPr>
          <w:rFonts w:hint="eastAsia" w:ascii="Times New Roman" w:hAnsi="Times New Roman"/>
          <w:szCs w:val="24"/>
          <w:highlight w:val="none"/>
        </w:rPr>
        <w:t>m</w:t>
      </w:r>
      <w:r>
        <w:rPr>
          <w:rFonts w:hint="eastAsia" w:ascii="Times New Roman" w:hAnsi="Times New Roman"/>
          <w:szCs w:val="24"/>
          <w:highlight w:val="none"/>
          <w:vertAlign w:val="superscript"/>
        </w:rPr>
        <w:t>3</w:t>
      </w:r>
      <w:r>
        <w:rPr>
          <w:rFonts w:hint="eastAsia" w:ascii="Times New Roman" w:hAnsi="Times New Roman"/>
          <w:szCs w:val="24"/>
          <w:highlight w:val="none"/>
        </w:rPr>
        <w:t>/h</w:t>
      </w:r>
      <w:r>
        <w:rPr>
          <w:rFonts w:hint="eastAsia" w:ascii="Times New Roman" w:hAnsi="Times New Roman"/>
          <w:szCs w:val="24"/>
          <w:highlight w:val="none"/>
          <w:lang w:eastAsia="zh-CN"/>
        </w:rPr>
        <w:t>，</w:t>
      </w:r>
      <w:r>
        <w:rPr>
          <w:rFonts w:hint="eastAsia" w:ascii="Times New Roman" w:hAnsi="Times New Roman"/>
          <w:szCs w:val="24"/>
          <w:highlight w:val="none"/>
          <w:lang w:val="en-US" w:eastAsia="zh-CN"/>
        </w:rPr>
        <w:t>10080t/a</w:t>
      </w:r>
      <w:r>
        <w:rPr>
          <w:rFonts w:hint="eastAsia" w:ascii="Times New Roman" w:hAnsi="Times New Roman"/>
          <w:szCs w:val="24"/>
          <w:highlight w:val="none"/>
        </w:rPr>
        <w:t>）、煤场洒水降尘（</w:t>
      </w:r>
      <w:r>
        <w:rPr>
          <w:rFonts w:hint="eastAsia" w:ascii="Times New Roman" w:hAnsi="Times New Roman"/>
          <w:szCs w:val="24"/>
          <w:highlight w:val="none"/>
          <w:lang w:val="en-US" w:eastAsia="zh-CN"/>
        </w:rPr>
        <w:t>3</w:t>
      </w:r>
      <w:r>
        <w:rPr>
          <w:rFonts w:hint="eastAsia" w:ascii="Times New Roman" w:hAnsi="Times New Roman"/>
          <w:szCs w:val="24"/>
          <w:highlight w:val="none"/>
        </w:rPr>
        <w:t>m</w:t>
      </w:r>
      <w:r>
        <w:rPr>
          <w:rFonts w:hint="eastAsia" w:ascii="Times New Roman" w:hAnsi="Times New Roman"/>
          <w:szCs w:val="24"/>
          <w:highlight w:val="none"/>
          <w:vertAlign w:val="superscript"/>
        </w:rPr>
        <w:t>3</w:t>
      </w:r>
      <w:r>
        <w:rPr>
          <w:rFonts w:hint="eastAsia" w:ascii="Times New Roman" w:hAnsi="Times New Roman"/>
          <w:szCs w:val="24"/>
          <w:highlight w:val="none"/>
        </w:rPr>
        <w:t>/h</w:t>
      </w:r>
      <w:r>
        <w:rPr>
          <w:rFonts w:hint="eastAsia" w:ascii="Times New Roman" w:hAnsi="Times New Roman"/>
          <w:szCs w:val="24"/>
          <w:highlight w:val="none"/>
          <w:lang w:eastAsia="zh-CN"/>
        </w:rPr>
        <w:t>，</w:t>
      </w:r>
      <w:r>
        <w:rPr>
          <w:rFonts w:hint="eastAsia" w:ascii="Times New Roman" w:hAnsi="Times New Roman"/>
          <w:szCs w:val="24"/>
          <w:highlight w:val="none"/>
          <w:lang w:val="en-US" w:eastAsia="zh-CN"/>
        </w:rPr>
        <w:t>15069.75t/a</w:t>
      </w:r>
      <w:r>
        <w:rPr>
          <w:rFonts w:hint="eastAsia" w:ascii="Times New Roman" w:hAnsi="Times New Roman"/>
          <w:szCs w:val="24"/>
          <w:highlight w:val="none"/>
        </w:rPr>
        <w:t>）。生活污水（</w:t>
      </w:r>
      <w:r>
        <w:rPr>
          <w:rFonts w:hint="eastAsia" w:ascii="Times New Roman" w:hAnsi="Times New Roman"/>
          <w:szCs w:val="24"/>
          <w:highlight w:val="none"/>
          <w:lang w:val="en-US" w:eastAsia="zh-CN"/>
        </w:rPr>
        <w:t>0.464</w:t>
      </w:r>
      <w:r>
        <w:rPr>
          <w:rFonts w:hint="eastAsia" w:ascii="Times New Roman" w:hAnsi="Times New Roman"/>
          <w:szCs w:val="24"/>
          <w:highlight w:val="none"/>
        </w:rPr>
        <w:t>m</w:t>
      </w:r>
      <w:r>
        <w:rPr>
          <w:rFonts w:hint="eastAsia" w:ascii="Times New Roman" w:hAnsi="Times New Roman"/>
          <w:szCs w:val="24"/>
          <w:highlight w:val="none"/>
          <w:vertAlign w:val="superscript"/>
        </w:rPr>
        <w:t>3</w:t>
      </w:r>
      <w:r>
        <w:rPr>
          <w:rFonts w:hint="eastAsia" w:ascii="Times New Roman" w:hAnsi="Times New Roman"/>
          <w:szCs w:val="24"/>
          <w:highlight w:val="none"/>
        </w:rPr>
        <w:t>/h</w:t>
      </w:r>
      <w:r>
        <w:rPr>
          <w:rFonts w:hint="eastAsia" w:ascii="Times New Roman" w:hAnsi="Times New Roman"/>
          <w:szCs w:val="24"/>
          <w:highlight w:val="none"/>
          <w:lang w:eastAsia="zh-CN"/>
        </w:rPr>
        <w:t>，</w:t>
      </w:r>
      <w:r>
        <w:rPr>
          <w:rFonts w:hint="eastAsia" w:ascii="Times New Roman" w:hAnsi="Times New Roman"/>
          <w:szCs w:val="24"/>
          <w:highlight w:val="none"/>
          <w:lang w:val="en-US" w:eastAsia="zh-CN"/>
        </w:rPr>
        <w:t>2352t/a</w:t>
      </w:r>
      <w:r>
        <w:rPr>
          <w:rFonts w:hint="eastAsia" w:ascii="Times New Roman" w:hAnsi="Times New Roman"/>
          <w:szCs w:val="24"/>
          <w:highlight w:val="none"/>
        </w:rPr>
        <w:t>）排入化粪池处理后排入市政管网（食堂废水经隔油池处理后与生活污水一同排入化粪池），</w:t>
      </w:r>
      <w:r>
        <w:rPr>
          <w:rFonts w:hint="eastAsia" w:ascii="Times New Roman" w:hAnsi="Times New Roman"/>
          <w:szCs w:val="24"/>
          <w:highlight w:val="none"/>
          <w:lang w:val="en-US" w:eastAsia="zh-CN"/>
        </w:rPr>
        <w:t>经污水管网排入绥芬河中环污水处理有限公司（</w:t>
      </w:r>
      <w:r>
        <w:rPr>
          <w:rFonts w:hint="eastAsia"/>
          <w:highlight w:val="none"/>
          <w:lang w:val="en-US" w:eastAsia="zh-CN"/>
        </w:rPr>
        <w:t>排污许可证 编号：</w:t>
      </w:r>
      <w:r>
        <w:rPr>
          <w:rFonts w:hint="eastAsia" w:ascii="Times New Roman" w:hAnsi="Times New Roman" w:eastAsia="宋体" w:cs="Times New Roman"/>
          <w:szCs w:val="24"/>
          <w:highlight w:val="none"/>
          <w:lang w:val="en-US" w:eastAsia="zh-CN"/>
        </w:rPr>
        <w:t>91231081692616585X001Z</w:t>
      </w:r>
      <w:r>
        <w:rPr>
          <w:rFonts w:hint="eastAsia"/>
          <w:highlight w:val="none"/>
          <w:lang w:val="en-US" w:eastAsia="zh-CN"/>
        </w:rPr>
        <w:t>）</w:t>
      </w:r>
      <w:r>
        <w:rPr>
          <w:rFonts w:hint="eastAsia" w:ascii="Times New Roman" w:hAnsi="Times New Roman"/>
          <w:szCs w:val="24"/>
          <w:highlight w:val="none"/>
          <w:lang w:val="en-US" w:eastAsia="zh-CN"/>
        </w:rPr>
        <w:t>，处理达到《城镇污水处理厂污染物排放标准》(GB18918—2002)一级B标准后最终汇入小绥芬河。</w:t>
      </w:r>
    </w:p>
    <w:p w14:paraId="20804B8E">
      <w:pPr>
        <w:pStyle w:val="23"/>
        <w:rPr>
          <w:rFonts w:ascii="Times New Roman" w:hAnsi="Times New Roman"/>
          <w:highlight w:val="none"/>
        </w:rPr>
      </w:pPr>
      <w:r>
        <w:rPr>
          <w:rFonts w:ascii="Times New Roman" w:hAnsi="Times New Roman"/>
          <w:highlight w:val="none"/>
        </w:rPr>
        <w:t>根据以上分析，本项目投产运行后，对地表水环境的影响较小。</w:t>
      </w:r>
    </w:p>
    <w:p w14:paraId="392AC95E">
      <w:pPr>
        <w:pStyle w:val="5"/>
        <w:bidi w:val="0"/>
        <w:ind w:left="0" w:leftChars="0" w:firstLine="0" w:firstLineChars="0"/>
        <w:rPr>
          <w:rFonts w:hint="eastAsia"/>
          <w:highlight w:val="none"/>
          <w:lang w:val="en-US" w:eastAsia="zh-CN"/>
        </w:rPr>
      </w:pPr>
      <w:bookmarkStart w:id="206" w:name="_Toc28066"/>
      <w:r>
        <w:rPr>
          <w:rFonts w:hint="eastAsia"/>
          <w:highlight w:val="none"/>
          <w:lang w:val="en-US" w:eastAsia="zh-CN"/>
        </w:rPr>
        <w:t>9.5.3噪声</w:t>
      </w:r>
      <w:bookmarkEnd w:id="206"/>
    </w:p>
    <w:p w14:paraId="3F1F9170">
      <w:pPr>
        <w:ind w:firstLine="480"/>
        <w:rPr>
          <w:rFonts w:ascii="Times New Roman" w:hAnsi="Times New Roman"/>
          <w:highlight w:val="none"/>
        </w:rPr>
      </w:pPr>
      <w:r>
        <w:rPr>
          <w:rFonts w:ascii="Times New Roman" w:hAnsi="Times New Roman"/>
          <w:highlight w:val="none"/>
        </w:rPr>
        <w:t>一、污染物排放</w:t>
      </w:r>
    </w:p>
    <w:p w14:paraId="6C00307E">
      <w:pPr>
        <w:ind w:firstLine="480"/>
        <w:rPr>
          <w:rFonts w:ascii="Times New Roman" w:hAnsi="Times New Roman"/>
          <w:highlight w:val="none"/>
        </w:rPr>
      </w:pPr>
      <w:r>
        <w:rPr>
          <w:rFonts w:ascii="Times New Roman" w:hAnsi="Times New Roman"/>
          <w:highlight w:val="none"/>
        </w:rPr>
        <w:t>本工程热源厂的主要噪声源为碎煤机、空压机、风机等机械噪声。噪声源强在85～95dB（A）之间。</w:t>
      </w:r>
    </w:p>
    <w:p w14:paraId="3074F321">
      <w:pPr>
        <w:ind w:firstLine="480"/>
        <w:rPr>
          <w:rFonts w:ascii="Times New Roman" w:hAnsi="Times New Roman"/>
          <w:highlight w:val="none"/>
        </w:rPr>
      </w:pPr>
      <w:r>
        <w:rPr>
          <w:rFonts w:ascii="Times New Roman" w:hAnsi="Times New Roman"/>
          <w:highlight w:val="none"/>
        </w:rPr>
        <w:t>二、影响分析结论</w:t>
      </w:r>
    </w:p>
    <w:p w14:paraId="3E1A53C0">
      <w:pPr>
        <w:ind w:firstLine="480"/>
        <w:rPr>
          <w:rFonts w:hint="eastAsia" w:ascii="Times New Roman" w:hAnsi="Times New Roman"/>
          <w:highlight w:val="none"/>
        </w:rPr>
      </w:pPr>
      <w:r>
        <w:rPr>
          <w:rFonts w:ascii="Times New Roman" w:hAnsi="Times New Roman"/>
          <w:highlight w:val="none"/>
        </w:rPr>
        <w:t>项目运行期，在厂界昼间、夜间预测值满足《工业企业厂界环境噪声排放标准》（GB12348-2008）表1中</w:t>
      </w:r>
      <w:r>
        <w:rPr>
          <w:rFonts w:hint="eastAsia" w:ascii="Times New Roman" w:hAnsi="Times New Roman"/>
          <w:highlight w:val="none"/>
          <w:lang w:val="en-US" w:eastAsia="zh-CN"/>
        </w:rPr>
        <w:t>2</w:t>
      </w:r>
      <w:r>
        <w:rPr>
          <w:rFonts w:ascii="Times New Roman" w:hAnsi="Times New Roman"/>
          <w:highlight w:val="none"/>
        </w:rPr>
        <w:t>类</w:t>
      </w:r>
      <w:r>
        <w:rPr>
          <w:rFonts w:hint="eastAsia" w:ascii="Times New Roman" w:hAnsi="Times New Roman"/>
          <w:highlight w:val="none"/>
          <w:lang w:val="en-US" w:eastAsia="zh-CN"/>
        </w:rPr>
        <w:t>和4类</w:t>
      </w:r>
      <w:r>
        <w:rPr>
          <w:rFonts w:ascii="Times New Roman" w:hAnsi="Times New Roman"/>
          <w:highlight w:val="none"/>
        </w:rPr>
        <w:t>标准要求。因此，从声环境影响的角度分析，本工程的建设是可行的。</w:t>
      </w:r>
      <w:r>
        <w:rPr>
          <w:rFonts w:hint="eastAsia" w:ascii="Times New Roman" w:hAnsi="Times New Roman"/>
          <w:highlight w:val="none"/>
        </w:rPr>
        <w:t>周围</w:t>
      </w:r>
      <w:r>
        <w:rPr>
          <w:rFonts w:hint="eastAsia" w:ascii="Times New Roman" w:hAnsi="Times New Roman"/>
          <w:highlight w:val="none"/>
          <w:lang w:val="en-US" w:eastAsia="zh-CN"/>
        </w:rPr>
        <w:t>敏感点</w:t>
      </w:r>
      <w:r>
        <w:rPr>
          <w:rFonts w:hint="eastAsia" w:ascii="Times New Roman" w:hAnsi="Times New Roman"/>
          <w:highlight w:val="none"/>
        </w:rPr>
        <w:t>声环境昼间、夜间噪声满足《声环境质量标准》（GB3096—2008）中2类区标准限值要求。</w:t>
      </w:r>
    </w:p>
    <w:p w14:paraId="34A940CF">
      <w:pPr>
        <w:ind w:firstLine="480"/>
        <w:rPr>
          <w:rFonts w:ascii="Times New Roman" w:hAnsi="Times New Roman"/>
          <w:highlight w:val="none"/>
        </w:rPr>
      </w:pPr>
      <w:r>
        <w:rPr>
          <w:rFonts w:hint="eastAsia" w:ascii="Times New Roman" w:hAnsi="Times New Roman"/>
          <w:highlight w:val="none"/>
        </w:rPr>
        <w:t>本项目运输车辆对市区道路两侧的交通噪声贡献值符合《声环境质量标准》（GB3096-2008）标准限值。</w:t>
      </w:r>
    </w:p>
    <w:p w14:paraId="201E6BA8">
      <w:pPr>
        <w:ind w:firstLine="480"/>
        <w:rPr>
          <w:rFonts w:ascii="Times New Roman" w:hAnsi="Times New Roman"/>
          <w:highlight w:val="none"/>
        </w:rPr>
      </w:pPr>
      <w:r>
        <w:rPr>
          <w:rFonts w:ascii="Times New Roman" w:hAnsi="Times New Roman"/>
          <w:highlight w:val="none"/>
        </w:rPr>
        <w:t>三、污染防治措施</w:t>
      </w:r>
    </w:p>
    <w:p w14:paraId="0CC47130">
      <w:pPr>
        <w:ind w:firstLine="480"/>
        <w:rPr>
          <w:rFonts w:ascii="Times New Roman" w:hAnsi="Times New Roman"/>
          <w:highlight w:val="none"/>
        </w:rPr>
      </w:pPr>
      <w:r>
        <w:rPr>
          <w:rFonts w:ascii="Times New Roman" w:hAnsi="Times New Roman"/>
          <w:highlight w:val="none"/>
        </w:rPr>
        <w:t>本工程主要噪声源为锅炉引风、送风机及各类泵等。按噪声产生的机理来看，设备噪声以机械噪声与空气动力噪声为主，通常一种发声设备同时存在几种噪声形式。因此针对不同设备，不同噪声形式，本工程采取不同的控制措施，一方面从工程的控制角度入手，另一方面从管理角度入手，有效的减少厂区内噪声对环境的污染。</w:t>
      </w:r>
      <w:r>
        <w:rPr>
          <w:rFonts w:hint="eastAsia" w:ascii="Times New Roman" w:hAnsi="Times New Roman"/>
          <w:highlight w:val="none"/>
        </w:rPr>
        <w:t>本项目夜间不安排运输，当白天运输车经过居民区时，运输车辆应采取限制车速、禁鸣等措施，可有效降低运输车辆噪声对道路两侧居民的影响。</w:t>
      </w:r>
    </w:p>
    <w:p w14:paraId="357BA552">
      <w:pPr>
        <w:rPr>
          <w:rFonts w:hint="eastAsia" w:ascii="Times New Roman" w:hAnsi="Times New Roman"/>
          <w:highlight w:val="none"/>
        </w:rPr>
      </w:pPr>
      <w:r>
        <w:rPr>
          <w:rFonts w:ascii="Times New Roman" w:hAnsi="Times New Roman"/>
          <w:highlight w:val="none"/>
        </w:rPr>
        <w:t>采取了防治措施之后，本工程昼夜间厂界噪声均满足《工业企业厂界环境噪声排放标准》</w:t>
      </w:r>
      <w:r>
        <w:rPr>
          <w:rFonts w:hint="eastAsia" w:ascii="Times New Roman" w:hAnsi="Times New Roman"/>
          <w:highlight w:val="none"/>
          <w:lang w:val="en-US" w:eastAsia="zh-CN"/>
        </w:rPr>
        <w:t>标准中</w:t>
      </w:r>
      <w:r>
        <w:rPr>
          <w:rFonts w:ascii="Times New Roman" w:hAnsi="Times New Roman"/>
          <w:highlight w:val="none"/>
        </w:rPr>
        <w:t>表1中的</w:t>
      </w:r>
      <w:r>
        <w:rPr>
          <w:rFonts w:hint="eastAsia" w:ascii="Times New Roman" w:hAnsi="Times New Roman"/>
          <w:highlight w:val="none"/>
          <w:lang w:val="en-US" w:eastAsia="zh-CN"/>
        </w:rPr>
        <w:t>2</w:t>
      </w:r>
      <w:r>
        <w:rPr>
          <w:rFonts w:ascii="Times New Roman" w:hAnsi="Times New Roman"/>
          <w:highlight w:val="none"/>
        </w:rPr>
        <w:t>类</w:t>
      </w:r>
      <w:r>
        <w:rPr>
          <w:rFonts w:hint="eastAsia" w:ascii="Times New Roman" w:hAnsi="Times New Roman"/>
          <w:highlight w:val="none"/>
          <w:lang w:val="en-US" w:eastAsia="zh-CN"/>
        </w:rPr>
        <w:t>和4类</w:t>
      </w:r>
      <w:r>
        <w:rPr>
          <w:rFonts w:ascii="Times New Roman" w:hAnsi="Times New Roman"/>
          <w:highlight w:val="none"/>
        </w:rPr>
        <w:t>标准</w:t>
      </w:r>
      <w:r>
        <w:rPr>
          <w:rFonts w:hint="eastAsia" w:ascii="Times New Roman" w:hAnsi="Times New Roman"/>
          <w:highlight w:val="none"/>
          <w:lang w:val="en-US" w:eastAsia="zh-CN"/>
        </w:rPr>
        <w:t>限值</w:t>
      </w:r>
      <w:r>
        <w:rPr>
          <w:rFonts w:ascii="Times New Roman" w:hAnsi="Times New Roman"/>
          <w:highlight w:val="none"/>
        </w:rPr>
        <w:t>。</w:t>
      </w:r>
      <w:r>
        <w:rPr>
          <w:rFonts w:hint="eastAsia" w:ascii="Times New Roman" w:hAnsi="Times New Roman"/>
          <w:highlight w:val="none"/>
        </w:rPr>
        <w:t>运输噪声影响相对较小，可以接受。</w:t>
      </w:r>
    </w:p>
    <w:p w14:paraId="50C684E8">
      <w:pPr>
        <w:pStyle w:val="5"/>
        <w:bidi w:val="0"/>
        <w:ind w:left="0" w:leftChars="0" w:firstLine="0" w:firstLineChars="0"/>
        <w:rPr>
          <w:rFonts w:hint="eastAsia"/>
          <w:highlight w:val="none"/>
          <w:lang w:val="en-US" w:eastAsia="zh-CN"/>
        </w:rPr>
      </w:pPr>
      <w:bookmarkStart w:id="207" w:name="_Toc25378"/>
      <w:r>
        <w:rPr>
          <w:rFonts w:hint="eastAsia"/>
          <w:highlight w:val="none"/>
          <w:lang w:val="en-US" w:eastAsia="zh-CN"/>
        </w:rPr>
        <w:t>9.5.4固体废物</w:t>
      </w:r>
      <w:bookmarkEnd w:id="207"/>
    </w:p>
    <w:p w14:paraId="0EC5E606">
      <w:pPr>
        <w:ind w:firstLine="480"/>
        <w:rPr>
          <w:rFonts w:ascii="Times New Roman" w:hAnsi="Times New Roman"/>
          <w:highlight w:val="none"/>
        </w:rPr>
      </w:pPr>
      <w:r>
        <w:rPr>
          <w:rFonts w:ascii="Times New Roman" w:hAnsi="Times New Roman"/>
          <w:highlight w:val="none"/>
        </w:rPr>
        <w:t>本工程锅炉灰渣、</w:t>
      </w:r>
      <w:r>
        <w:rPr>
          <w:rFonts w:hint="eastAsia" w:ascii="Times New Roman" w:hAnsi="Times New Roman"/>
          <w:highlight w:val="none"/>
        </w:rPr>
        <w:t>脱硫石膏</w:t>
      </w:r>
      <w:r>
        <w:rPr>
          <w:rFonts w:ascii="Times New Roman" w:hAnsi="Times New Roman"/>
          <w:highlight w:val="none"/>
        </w:rPr>
        <w:t>全部外售进行综合利用；运行期间产生的废离子交换树脂</w:t>
      </w:r>
      <w:r>
        <w:rPr>
          <w:rFonts w:hint="eastAsia" w:ascii="Times New Roman" w:hAnsi="Times New Roman"/>
          <w:highlight w:val="none"/>
          <w:lang w:val="en-US" w:eastAsia="zh-CN"/>
        </w:rPr>
        <w:t>和反渗透膜</w:t>
      </w:r>
      <w:r>
        <w:rPr>
          <w:rFonts w:ascii="Times New Roman" w:hAnsi="Times New Roman"/>
          <w:highlight w:val="none"/>
        </w:rPr>
        <w:t>由市政环卫部门统一处理；生活垃圾由市政部门统一处置；废催化剂交由有资质单位处置；餐厨垃圾及废油脂交由有资质单位处置。</w:t>
      </w:r>
    </w:p>
    <w:p w14:paraId="0AD10679">
      <w:pPr>
        <w:rPr>
          <w:rFonts w:ascii="Times New Roman" w:hAnsi="Times New Roman"/>
          <w:highlight w:val="none"/>
        </w:rPr>
      </w:pPr>
      <w:r>
        <w:rPr>
          <w:rFonts w:ascii="Times New Roman" w:hAnsi="Times New Roman"/>
          <w:highlight w:val="none"/>
        </w:rPr>
        <w:t>本项目运行期间产生的固体废物处置得当，综合利用率达100%，对外环境几乎没有影响。</w:t>
      </w:r>
    </w:p>
    <w:p w14:paraId="362975EB">
      <w:pPr>
        <w:pStyle w:val="4"/>
        <w:bidi w:val="0"/>
        <w:ind w:left="0" w:leftChars="0" w:firstLine="0" w:firstLineChars="0"/>
        <w:rPr>
          <w:rFonts w:hint="eastAsia"/>
          <w:highlight w:val="none"/>
          <w:lang w:val="en-US" w:eastAsia="zh-CN"/>
        </w:rPr>
      </w:pPr>
      <w:bookmarkStart w:id="208" w:name="_Toc17098"/>
      <w:r>
        <w:rPr>
          <w:rFonts w:hint="eastAsia"/>
          <w:highlight w:val="none"/>
          <w:lang w:val="en-US" w:eastAsia="zh-CN"/>
        </w:rPr>
        <w:t>9.6环境风险评价结论</w:t>
      </w:r>
      <w:bookmarkEnd w:id="208"/>
    </w:p>
    <w:p w14:paraId="3C965C5A">
      <w:pPr>
        <w:ind w:firstLine="480"/>
        <w:rPr>
          <w:rFonts w:ascii="Times New Roman" w:hAnsi="Times New Roman"/>
          <w:highlight w:val="none"/>
        </w:rPr>
      </w:pPr>
      <w:r>
        <w:rPr>
          <w:rFonts w:ascii="Times New Roman" w:hAnsi="Times New Roman"/>
          <w:highlight w:val="none"/>
        </w:rPr>
        <w:t>风险评价结果表明，在落实各项环保措施和本评价所列出的各项环境风险防范措施、有效的应急预案，加强风险管理的条件下，本项目的环境风险可防控。</w:t>
      </w:r>
    </w:p>
    <w:p w14:paraId="7218371F">
      <w:pPr>
        <w:pStyle w:val="4"/>
        <w:bidi w:val="0"/>
        <w:ind w:left="0" w:leftChars="0" w:firstLine="0" w:firstLineChars="0"/>
        <w:rPr>
          <w:rFonts w:hint="eastAsia"/>
          <w:highlight w:val="none"/>
          <w:lang w:val="en-US" w:eastAsia="zh-CN"/>
        </w:rPr>
      </w:pPr>
      <w:bookmarkStart w:id="209" w:name="_Toc2188"/>
      <w:r>
        <w:rPr>
          <w:rFonts w:hint="eastAsia"/>
          <w:highlight w:val="none"/>
          <w:lang w:val="en-US" w:eastAsia="zh-CN"/>
        </w:rPr>
        <w:t>9.7总量控制</w:t>
      </w:r>
      <w:bookmarkEnd w:id="209"/>
    </w:p>
    <w:p w14:paraId="3338A93A">
      <w:pPr>
        <w:ind w:firstLine="480"/>
        <w:rPr>
          <w:rFonts w:ascii="Times New Roman" w:hAnsi="Times New Roman"/>
          <w:highlight w:val="none"/>
        </w:rPr>
      </w:pPr>
      <w:r>
        <w:rPr>
          <w:rFonts w:ascii="Times New Roman" w:hAnsi="Times New Roman"/>
          <w:highlight w:val="none"/>
        </w:rPr>
        <w:t>本项目污染物核定总量</w:t>
      </w:r>
      <w:r>
        <w:rPr>
          <w:rFonts w:hint="eastAsia" w:ascii="Times New Roman" w:hAnsi="Times New Roman"/>
          <w:highlight w:val="none"/>
        </w:rPr>
        <w:t>：</w:t>
      </w:r>
      <w:r>
        <w:rPr>
          <w:rFonts w:ascii="Times New Roman" w:hAnsi="Times New Roman"/>
          <w:highlight w:val="none"/>
        </w:rPr>
        <w:t>颗粒物：</w:t>
      </w:r>
      <w:r>
        <w:rPr>
          <w:rFonts w:hint="eastAsia" w:ascii="Times New Roman" w:hAnsi="Times New Roman"/>
          <w:highlight w:val="none"/>
          <w:lang w:val="en-US" w:eastAsia="zh-CN"/>
        </w:rPr>
        <w:t>7.902</w:t>
      </w:r>
      <w:r>
        <w:rPr>
          <w:rFonts w:ascii="Times New Roman" w:hAnsi="Times New Roman"/>
          <w:highlight w:val="none"/>
        </w:rPr>
        <w:t>t/a、SO</w:t>
      </w:r>
      <w:r>
        <w:rPr>
          <w:rFonts w:ascii="Times New Roman" w:hAnsi="Times New Roman"/>
          <w:highlight w:val="none"/>
          <w:vertAlign w:val="subscript"/>
        </w:rPr>
        <w:t>2</w:t>
      </w:r>
      <w:r>
        <w:rPr>
          <w:rFonts w:ascii="Times New Roman" w:hAnsi="Times New Roman"/>
          <w:highlight w:val="none"/>
        </w:rPr>
        <w:t>：</w:t>
      </w:r>
      <w:r>
        <w:rPr>
          <w:rFonts w:hint="eastAsia" w:ascii="Times New Roman" w:hAnsi="Times New Roman"/>
          <w:highlight w:val="none"/>
          <w:lang w:val="en-US" w:eastAsia="zh-CN"/>
        </w:rPr>
        <w:t>27.658</w:t>
      </w:r>
      <w:r>
        <w:rPr>
          <w:rFonts w:ascii="Times New Roman" w:hAnsi="Times New Roman"/>
          <w:highlight w:val="none"/>
        </w:rPr>
        <w:t>t/a和NOx：</w:t>
      </w:r>
      <w:r>
        <w:rPr>
          <w:rFonts w:hint="eastAsia" w:ascii="Times New Roman" w:hAnsi="Times New Roman"/>
          <w:highlight w:val="none"/>
          <w:lang w:val="en-US" w:eastAsia="zh-CN"/>
        </w:rPr>
        <w:t>39.511</w:t>
      </w:r>
      <w:r>
        <w:rPr>
          <w:rFonts w:ascii="Times New Roman" w:hAnsi="Times New Roman"/>
          <w:highlight w:val="none"/>
        </w:rPr>
        <w:t>t/a。</w:t>
      </w:r>
    </w:p>
    <w:p w14:paraId="313FFB16">
      <w:pPr>
        <w:rPr>
          <w:rFonts w:ascii="Times New Roman" w:hAnsi="Times New Roman"/>
          <w:highlight w:val="none"/>
        </w:rPr>
      </w:pPr>
      <w:r>
        <w:rPr>
          <w:rFonts w:ascii="Times New Roman" w:hAnsi="Times New Roman"/>
          <w:highlight w:val="none"/>
        </w:rPr>
        <w:t>全厂核定量：颗粒物：</w:t>
      </w:r>
      <w:r>
        <w:rPr>
          <w:rFonts w:hint="eastAsia" w:ascii="Times New Roman" w:hAnsi="Times New Roman"/>
          <w:highlight w:val="none"/>
          <w:lang w:val="en-US" w:eastAsia="zh-CN"/>
        </w:rPr>
        <w:t>7.902</w:t>
      </w:r>
      <w:r>
        <w:rPr>
          <w:rFonts w:ascii="Times New Roman" w:hAnsi="Times New Roman"/>
          <w:highlight w:val="none"/>
        </w:rPr>
        <w:t>t/a、SO</w:t>
      </w:r>
      <w:r>
        <w:rPr>
          <w:rFonts w:ascii="Times New Roman" w:hAnsi="Times New Roman"/>
          <w:highlight w:val="none"/>
          <w:vertAlign w:val="subscript"/>
        </w:rPr>
        <w:t>2</w:t>
      </w:r>
      <w:r>
        <w:rPr>
          <w:rFonts w:ascii="Times New Roman" w:hAnsi="Times New Roman"/>
          <w:highlight w:val="none"/>
        </w:rPr>
        <w:t>：</w:t>
      </w:r>
      <w:r>
        <w:rPr>
          <w:rFonts w:hint="eastAsia" w:ascii="Times New Roman" w:hAnsi="Times New Roman"/>
          <w:highlight w:val="none"/>
          <w:lang w:val="en-US" w:eastAsia="zh-CN"/>
        </w:rPr>
        <w:t>27.658</w:t>
      </w:r>
      <w:r>
        <w:rPr>
          <w:rFonts w:ascii="Times New Roman" w:hAnsi="Times New Roman"/>
          <w:highlight w:val="none"/>
        </w:rPr>
        <w:t>t/a和NOx：</w:t>
      </w:r>
      <w:r>
        <w:rPr>
          <w:rFonts w:hint="eastAsia" w:ascii="Times New Roman" w:hAnsi="Times New Roman"/>
          <w:highlight w:val="none"/>
          <w:lang w:val="en-US" w:eastAsia="zh-CN"/>
        </w:rPr>
        <w:t>39.511</w:t>
      </w:r>
      <w:r>
        <w:rPr>
          <w:rFonts w:ascii="Times New Roman" w:hAnsi="Times New Roman"/>
          <w:highlight w:val="none"/>
        </w:rPr>
        <w:t>t/a。</w:t>
      </w:r>
    </w:p>
    <w:p w14:paraId="1C34C3C1">
      <w:pPr>
        <w:pStyle w:val="4"/>
        <w:bidi w:val="0"/>
        <w:ind w:left="0" w:leftChars="0" w:firstLine="0" w:firstLineChars="0"/>
        <w:rPr>
          <w:rFonts w:hint="eastAsia"/>
          <w:highlight w:val="none"/>
          <w:lang w:val="en-US" w:eastAsia="zh-CN"/>
        </w:rPr>
      </w:pPr>
      <w:bookmarkStart w:id="210" w:name="_Toc22922"/>
      <w:r>
        <w:rPr>
          <w:rFonts w:hint="eastAsia"/>
          <w:highlight w:val="none"/>
          <w:lang w:val="en-US" w:eastAsia="zh-CN"/>
        </w:rPr>
        <w:t>9.8公众参与意见采纳情况说明</w:t>
      </w:r>
      <w:bookmarkEnd w:id="210"/>
    </w:p>
    <w:p w14:paraId="27010F52">
      <w:pPr>
        <w:rPr>
          <w:rFonts w:hint="default"/>
          <w:highlight w:val="none"/>
          <w:lang w:val="en-US" w:eastAsia="zh-CN"/>
        </w:rPr>
      </w:pPr>
      <w:r>
        <w:rPr>
          <w:rFonts w:hint="eastAsia" w:ascii="Times New Roman" w:hAnsi="Times New Roman"/>
          <w:color w:val="auto"/>
          <w:highlight w:val="none"/>
        </w:rPr>
        <w:t>在公示期间，</w:t>
      </w:r>
      <w:r>
        <w:rPr>
          <w:rFonts w:hint="eastAsia"/>
          <w:color w:val="auto"/>
          <w:highlight w:val="none"/>
        </w:rPr>
        <w:t>截止目前，绥芬河市新区供热有限责任公司及环评单位</w:t>
      </w:r>
      <w:r>
        <w:rPr>
          <w:rFonts w:hint="eastAsia"/>
          <w:color w:val="auto"/>
          <w:highlight w:val="none"/>
          <w:lang w:val="en-US" w:eastAsia="zh-CN"/>
        </w:rPr>
        <w:t>未</w:t>
      </w:r>
      <w:r>
        <w:rPr>
          <w:rFonts w:hint="eastAsia"/>
          <w:color w:val="auto"/>
          <w:highlight w:val="none"/>
        </w:rPr>
        <w:t>收到其他公众提出的意见。</w:t>
      </w:r>
    </w:p>
    <w:p w14:paraId="22959B16">
      <w:pPr>
        <w:pStyle w:val="4"/>
        <w:bidi w:val="0"/>
        <w:ind w:left="0" w:leftChars="0" w:firstLine="0" w:firstLineChars="0"/>
        <w:rPr>
          <w:rFonts w:hint="eastAsia"/>
          <w:highlight w:val="none"/>
          <w:lang w:val="en-US" w:eastAsia="zh-CN"/>
        </w:rPr>
      </w:pPr>
      <w:bookmarkStart w:id="211" w:name="_Toc20084"/>
      <w:r>
        <w:rPr>
          <w:rFonts w:hint="eastAsia"/>
          <w:highlight w:val="none"/>
          <w:lang w:val="en-US" w:eastAsia="zh-CN"/>
        </w:rPr>
        <w:t>9.9综合评价结论</w:t>
      </w:r>
      <w:bookmarkEnd w:id="211"/>
    </w:p>
    <w:p w14:paraId="7E276A54">
      <w:pPr>
        <w:ind w:firstLine="480"/>
        <w:rPr>
          <w:rFonts w:ascii="Times New Roman" w:hAnsi="Times New Roman"/>
          <w:color w:val="auto"/>
          <w:highlight w:val="none"/>
        </w:rPr>
      </w:pPr>
      <w:r>
        <w:rPr>
          <w:rFonts w:ascii="Times New Roman" w:hAnsi="Times New Roman"/>
          <w:color w:val="auto"/>
          <w:highlight w:val="none"/>
        </w:rPr>
        <w:t>本项目建设符合《产业结构调整指导目录（2</w:t>
      </w:r>
      <w:r>
        <w:rPr>
          <w:rFonts w:hint="eastAsia" w:ascii="Times New Roman" w:hAnsi="Times New Roman"/>
          <w:color w:val="auto"/>
          <w:highlight w:val="none"/>
          <w:lang w:val="en-US" w:eastAsia="zh-CN"/>
        </w:rPr>
        <w:t>024</w:t>
      </w:r>
      <w:r>
        <w:rPr>
          <w:rFonts w:ascii="Times New Roman" w:hAnsi="Times New Roman"/>
          <w:color w:val="auto"/>
          <w:highlight w:val="none"/>
        </w:rPr>
        <w:t>年本）》的相关要求，选址符合地区供热规划的要求，其建设将对改善区域环境空气质量起到重要作用。</w:t>
      </w:r>
    </w:p>
    <w:p w14:paraId="4D7356BB">
      <w:pPr>
        <w:rPr>
          <w:rFonts w:hint="default"/>
          <w:highlight w:val="none"/>
          <w:lang w:val="en-US" w:eastAsia="zh-CN"/>
        </w:rPr>
      </w:pPr>
      <w:r>
        <w:rPr>
          <w:rFonts w:ascii="Times New Roman" w:hAnsi="Times New Roman"/>
          <w:color w:val="auto"/>
          <w:highlight w:val="none"/>
        </w:rPr>
        <w:t>本项目通过综合环境空气影响评价、声环境影响评价、地表水及固体废物环境影响分析，结合环境经济损益分析结论，在确保报告书提出的污染防治措施全面实施并正常运行的前提下，通过加强环境管理及环境监测，杜绝事故排放，本工程的建设可被周围环境所接受。因此，该项目的建设从环境保护的角度分析是可行的。</w:t>
      </w:r>
    </w:p>
    <w:p w14:paraId="08D9723E">
      <w:pPr>
        <w:pStyle w:val="7"/>
        <w:rPr>
          <w:rFonts w:hint="default"/>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3D4C41BD">
      <w:pPr>
        <w:pStyle w:val="4"/>
        <w:spacing w:before="0" w:after="0" w:line="240" w:lineRule="auto"/>
        <w:jc w:val="center"/>
        <w:rPr>
          <w:color w:val="auto"/>
          <w:highlight w:val="none"/>
        </w:rPr>
      </w:pPr>
      <w:bookmarkStart w:id="212" w:name="_Toc3063"/>
      <w:bookmarkStart w:id="213" w:name="_Toc29669"/>
      <w:r>
        <w:rPr>
          <w:color w:val="auto"/>
          <w:highlight w:val="none"/>
        </w:rPr>
        <w:t>大气环境影响评价自查表</w:t>
      </w:r>
      <w:bookmarkEnd w:id="212"/>
      <w:bookmarkEnd w:id="213"/>
    </w:p>
    <w:tbl>
      <w:tblPr>
        <w:tblStyle w:val="1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98"/>
        <w:gridCol w:w="1622"/>
        <w:gridCol w:w="997"/>
        <w:gridCol w:w="645"/>
        <w:gridCol w:w="92"/>
        <w:gridCol w:w="176"/>
        <w:gridCol w:w="446"/>
        <w:gridCol w:w="290"/>
        <w:gridCol w:w="434"/>
        <w:gridCol w:w="263"/>
        <w:gridCol w:w="245"/>
        <w:gridCol w:w="304"/>
        <w:gridCol w:w="608"/>
        <w:gridCol w:w="280"/>
        <w:gridCol w:w="119"/>
        <w:gridCol w:w="200"/>
        <w:gridCol w:w="137"/>
        <w:gridCol w:w="298"/>
        <w:gridCol w:w="622"/>
      </w:tblGrid>
      <w:tr w14:paraId="5EE983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2" w:hRule="atLeast"/>
          <w:jc w:val="center"/>
        </w:trPr>
        <w:tc>
          <w:tcPr>
            <w:tcW w:w="1438" w:type="pct"/>
            <w:gridSpan w:val="2"/>
            <w:tcBorders>
              <w:top w:val="single" w:color="auto" w:sz="4" w:space="0"/>
              <w:left w:val="single" w:color="auto" w:sz="4" w:space="0"/>
              <w:bottom w:val="single" w:color="auto" w:sz="4" w:space="0"/>
              <w:right w:val="single" w:color="auto" w:sz="4" w:space="0"/>
            </w:tcBorders>
            <w:noWrap w:val="0"/>
            <w:vAlign w:val="center"/>
          </w:tcPr>
          <w:p w14:paraId="38AE0984">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工作内容</w:t>
            </w:r>
          </w:p>
        </w:tc>
        <w:tc>
          <w:tcPr>
            <w:tcW w:w="3562" w:type="pct"/>
            <w:gridSpan w:val="17"/>
            <w:tcBorders>
              <w:top w:val="single" w:color="auto" w:sz="4" w:space="0"/>
              <w:left w:val="single" w:color="auto" w:sz="4" w:space="0"/>
              <w:bottom w:val="single" w:color="auto" w:sz="4" w:space="0"/>
              <w:right w:val="single" w:color="auto" w:sz="4" w:space="0"/>
            </w:tcBorders>
            <w:noWrap w:val="0"/>
            <w:vAlign w:val="center"/>
          </w:tcPr>
          <w:p w14:paraId="0E6C5AAD">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自查项目</w:t>
            </w:r>
          </w:p>
        </w:tc>
      </w:tr>
      <w:tr w14:paraId="564DBC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79" w:type="pct"/>
            <w:vMerge w:val="restart"/>
            <w:tcBorders>
              <w:top w:val="single" w:color="auto" w:sz="4" w:space="0"/>
              <w:left w:val="single" w:color="auto" w:sz="4" w:space="0"/>
              <w:bottom w:val="single" w:color="auto" w:sz="4" w:space="0"/>
              <w:right w:val="single" w:color="auto" w:sz="4" w:space="0"/>
            </w:tcBorders>
            <w:noWrap w:val="0"/>
            <w:vAlign w:val="center"/>
          </w:tcPr>
          <w:p w14:paraId="450C1671">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评价等级与范围</w:t>
            </w:r>
          </w:p>
        </w:tc>
        <w:tc>
          <w:tcPr>
            <w:tcW w:w="959" w:type="pct"/>
            <w:tcBorders>
              <w:top w:val="single" w:color="auto" w:sz="4" w:space="0"/>
              <w:left w:val="single" w:color="auto" w:sz="4" w:space="0"/>
              <w:bottom w:val="single" w:color="auto" w:sz="4" w:space="0"/>
              <w:right w:val="single" w:color="auto" w:sz="4" w:space="0"/>
            </w:tcBorders>
            <w:noWrap w:val="0"/>
            <w:vAlign w:val="center"/>
          </w:tcPr>
          <w:p w14:paraId="58049898">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评价等级</w:t>
            </w:r>
          </w:p>
        </w:tc>
        <w:tc>
          <w:tcPr>
            <w:tcW w:w="1334" w:type="pct"/>
            <w:gridSpan w:val="5"/>
            <w:tcBorders>
              <w:top w:val="single" w:color="auto" w:sz="4" w:space="0"/>
              <w:left w:val="single" w:color="auto" w:sz="4" w:space="0"/>
              <w:bottom w:val="single" w:color="auto" w:sz="4" w:space="0"/>
              <w:right w:val="single" w:color="auto" w:sz="4" w:space="0"/>
            </w:tcBorders>
            <w:noWrap w:val="0"/>
            <w:vAlign w:val="center"/>
          </w:tcPr>
          <w:p w14:paraId="0FA118F2">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一级</w:t>
            </w:r>
            <w:r>
              <w:rPr>
                <w:rFonts w:ascii="Times New Roman" w:hAnsi="Times New Roman" w:eastAsia="新宋体"/>
                <w:color w:val="auto"/>
                <w:sz w:val="18"/>
                <w:szCs w:val="18"/>
                <w:highlight w:val="none"/>
              </w:rPr>
              <w:sym w:font="Wingdings" w:char="00FE"/>
            </w:r>
          </w:p>
        </w:tc>
        <w:tc>
          <w:tcPr>
            <w:tcW w:w="1434" w:type="pct"/>
            <w:gridSpan w:val="8"/>
            <w:tcBorders>
              <w:top w:val="single" w:color="auto" w:sz="4" w:space="0"/>
              <w:left w:val="single" w:color="auto" w:sz="4" w:space="0"/>
              <w:bottom w:val="single" w:color="auto" w:sz="4" w:space="0"/>
              <w:right w:val="single" w:color="auto" w:sz="4" w:space="0"/>
            </w:tcBorders>
            <w:noWrap w:val="0"/>
            <w:vAlign w:val="center"/>
          </w:tcPr>
          <w:p w14:paraId="34E9D2B5">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二级</w:t>
            </w:r>
            <w:r>
              <w:rPr>
                <w:rFonts w:ascii="Times New Roman" w:hAnsi="Times New Roman" w:eastAsia="新宋体"/>
                <w:color w:val="auto"/>
                <w:sz w:val="18"/>
                <w:szCs w:val="18"/>
                <w:highlight w:val="none"/>
              </w:rPr>
              <w:sym w:font="Wingdings" w:char="00A8"/>
            </w:r>
          </w:p>
        </w:tc>
        <w:tc>
          <w:tcPr>
            <w:tcW w:w="794" w:type="pct"/>
            <w:gridSpan w:val="4"/>
            <w:tcBorders>
              <w:top w:val="single" w:color="auto" w:sz="4" w:space="0"/>
              <w:left w:val="single" w:color="auto" w:sz="4" w:space="0"/>
              <w:bottom w:val="single" w:color="auto" w:sz="4" w:space="0"/>
              <w:right w:val="single" w:color="auto" w:sz="4" w:space="0"/>
            </w:tcBorders>
            <w:noWrap w:val="0"/>
            <w:vAlign w:val="center"/>
          </w:tcPr>
          <w:p w14:paraId="57AFE6E5">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三级</w:t>
            </w:r>
            <w:r>
              <w:rPr>
                <w:rFonts w:ascii="Times New Roman" w:hAnsi="Times New Roman" w:eastAsia="新宋体"/>
                <w:color w:val="auto"/>
                <w:sz w:val="18"/>
                <w:szCs w:val="18"/>
                <w:highlight w:val="none"/>
              </w:rPr>
              <w:sym w:font="Wingdings" w:char="00A8"/>
            </w:r>
          </w:p>
        </w:tc>
      </w:tr>
      <w:tr w14:paraId="494711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79" w:type="pct"/>
            <w:vMerge w:val="continue"/>
            <w:tcBorders>
              <w:top w:val="single" w:color="auto" w:sz="4" w:space="0"/>
              <w:left w:val="single" w:color="auto" w:sz="4" w:space="0"/>
              <w:bottom w:val="single" w:color="auto" w:sz="4" w:space="0"/>
              <w:right w:val="single" w:color="auto" w:sz="4" w:space="0"/>
            </w:tcBorders>
            <w:noWrap w:val="0"/>
            <w:vAlign w:val="center"/>
          </w:tcPr>
          <w:p w14:paraId="644D28E0">
            <w:pPr>
              <w:spacing w:line="240" w:lineRule="auto"/>
              <w:ind w:firstLine="0" w:firstLineChars="0"/>
              <w:jc w:val="center"/>
              <w:rPr>
                <w:rFonts w:ascii="Times New Roman" w:hAnsi="Times New Roman" w:eastAsia="新宋体"/>
                <w:color w:val="auto"/>
                <w:sz w:val="18"/>
                <w:szCs w:val="18"/>
                <w:highlight w:val="none"/>
              </w:rPr>
            </w:pPr>
          </w:p>
        </w:tc>
        <w:tc>
          <w:tcPr>
            <w:tcW w:w="959" w:type="pct"/>
            <w:tcBorders>
              <w:top w:val="single" w:color="auto" w:sz="4" w:space="0"/>
              <w:left w:val="single" w:color="auto" w:sz="4" w:space="0"/>
              <w:bottom w:val="single" w:color="auto" w:sz="4" w:space="0"/>
              <w:right w:val="single" w:color="auto" w:sz="4" w:space="0"/>
            </w:tcBorders>
            <w:noWrap w:val="0"/>
            <w:vAlign w:val="center"/>
          </w:tcPr>
          <w:p w14:paraId="7FBFD8CC">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评价范围</w:t>
            </w:r>
          </w:p>
        </w:tc>
        <w:tc>
          <w:tcPr>
            <w:tcW w:w="1334" w:type="pct"/>
            <w:gridSpan w:val="5"/>
            <w:tcBorders>
              <w:top w:val="single" w:color="auto" w:sz="4" w:space="0"/>
              <w:left w:val="single" w:color="auto" w:sz="4" w:space="0"/>
              <w:bottom w:val="single" w:color="auto" w:sz="4" w:space="0"/>
              <w:right w:val="single" w:color="auto" w:sz="4" w:space="0"/>
            </w:tcBorders>
            <w:noWrap w:val="0"/>
            <w:vAlign w:val="center"/>
          </w:tcPr>
          <w:p w14:paraId="26842427">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边长=50km</w:t>
            </w:r>
            <w:r>
              <w:rPr>
                <w:rFonts w:ascii="Times New Roman" w:hAnsi="Times New Roman" w:eastAsia="新宋体"/>
                <w:color w:val="auto"/>
                <w:sz w:val="18"/>
                <w:szCs w:val="18"/>
                <w:highlight w:val="none"/>
              </w:rPr>
              <w:sym w:font="Wingdings" w:char="00A8"/>
            </w:r>
          </w:p>
        </w:tc>
        <w:tc>
          <w:tcPr>
            <w:tcW w:w="1434" w:type="pct"/>
            <w:gridSpan w:val="8"/>
            <w:tcBorders>
              <w:top w:val="single" w:color="auto" w:sz="4" w:space="0"/>
              <w:left w:val="single" w:color="auto" w:sz="4" w:space="0"/>
              <w:bottom w:val="single" w:color="auto" w:sz="4" w:space="0"/>
              <w:right w:val="single" w:color="auto" w:sz="4" w:space="0"/>
            </w:tcBorders>
            <w:noWrap w:val="0"/>
            <w:vAlign w:val="center"/>
          </w:tcPr>
          <w:p w14:paraId="788F8255">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边长5~50km</w:t>
            </w:r>
            <w:r>
              <w:rPr>
                <w:rFonts w:ascii="Times New Roman" w:hAnsi="Times New Roman" w:eastAsia="新宋体"/>
                <w:color w:val="auto"/>
                <w:sz w:val="18"/>
                <w:szCs w:val="18"/>
                <w:highlight w:val="none"/>
              </w:rPr>
              <w:sym w:font="Wingdings" w:char="00A8"/>
            </w:r>
          </w:p>
        </w:tc>
        <w:tc>
          <w:tcPr>
            <w:tcW w:w="794" w:type="pct"/>
            <w:gridSpan w:val="4"/>
            <w:tcBorders>
              <w:top w:val="single" w:color="auto" w:sz="4" w:space="0"/>
              <w:left w:val="single" w:color="auto" w:sz="4" w:space="0"/>
              <w:bottom w:val="single" w:color="auto" w:sz="4" w:space="0"/>
              <w:right w:val="single" w:color="auto" w:sz="4" w:space="0"/>
            </w:tcBorders>
            <w:noWrap w:val="0"/>
            <w:vAlign w:val="center"/>
          </w:tcPr>
          <w:p w14:paraId="6A6A0F50">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边长=5km</w:t>
            </w:r>
            <w:r>
              <w:rPr>
                <w:rFonts w:ascii="Times New Roman" w:hAnsi="Times New Roman" w:eastAsia="新宋体"/>
                <w:color w:val="auto"/>
                <w:sz w:val="18"/>
                <w:szCs w:val="18"/>
                <w:highlight w:val="none"/>
              </w:rPr>
              <w:sym w:font="Wingdings" w:char="00FE"/>
            </w:r>
          </w:p>
        </w:tc>
      </w:tr>
      <w:tr w14:paraId="750E0C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79" w:type="pct"/>
            <w:vMerge w:val="restart"/>
            <w:tcBorders>
              <w:top w:val="single" w:color="auto" w:sz="4" w:space="0"/>
              <w:left w:val="single" w:color="auto" w:sz="4" w:space="0"/>
              <w:bottom w:val="single" w:color="auto" w:sz="4" w:space="0"/>
              <w:right w:val="single" w:color="auto" w:sz="4" w:space="0"/>
            </w:tcBorders>
            <w:noWrap w:val="0"/>
            <w:vAlign w:val="center"/>
          </w:tcPr>
          <w:p w14:paraId="19121CF6">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评价因子</w:t>
            </w:r>
          </w:p>
        </w:tc>
        <w:tc>
          <w:tcPr>
            <w:tcW w:w="959" w:type="pct"/>
            <w:tcBorders>
              <w:top w:val="single" w:color="auto" w:sz="4" w:space="0"/>
              <w:left w:val="single" w:color="auto" w:sz="4" w:space="0"/>
              <w:bottom w:val="single" w:color="auto" w:sz="4" w:space="0"/>
              <w:right w:val="single" w:color="auto" w:sz="4" w:space="0"/>
            </w:tcBorders>
            <w:noWrap w:val="0"/>
            <w:vAlign w:val="center"/>
          </w:tcPr>
          <w:p w14:paraId="0C360B24">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SO</w:t>
            </w:r>
            <w:r>
              <w:rPr>
                <w:rFonts w:ascii="Times New Roman" w:hAnsi="Times New Roman" w:eastAsia="新宋体"/>
                <w:color w:val="auto"/>
                <w:sz w:val="18"/>
                <w:szCs w:val="18"/>
                <w:highlight w:val="none"/>
                <w:vertAlign w:val="subscript"/>
              </w:rPr>
              <w:t>2</w:t>
            </w:r>
            <w:r>
              <w:rPr>
                <w:rFonts w:ascii="Times New Roman" w:hAnsi="Times New Roman" w:eastAsia="新宋体"/>
                <w:color w:val="auto"/>
                <w:sz w:val="18"/>
                <w:szCs w:val="18"/>
                <w:highlight w:val="none"/>
              </w:rPr>
              <w:t>+NO</w:t>
            </w:r>
            <w:r>
              <w:rPr>
                <w:rFonts w:ascii="Times New Roman" w:hAnsi="Times New Roman" w:eastAsia="新宋体"/>
                <w:color w:val="auto"/>
                <w:sz w:val="18"/>
                <w:szCs w:val="18"/>
                <w:highlight w:val="none"/>
                <w:vertAlign w:val="subscript"/>
              </w:rPr>
              <w:t>X</w:t>
            </w:r>
            <w:r>
              <w:rPr>
                <w:rFonts w:ascii="Times New Roman" w:hAnsi="Times New Roman" w:eastAsia="新宋体"/>
                <w:color w:val="auto"/>
                <w:sz w:val="18"/>
                <w:szCs w:val="18"/>
                <w:highlight w:val="none"/>
              </w:rPr>
              <w:t>排放量</w:t>
            </w:r>
          </w:p>
        </w:tc>
        <w:tc>
          <w:tcPr>
            <w:tcW w:w="1334" w:type="pct"/>
            <w:gridSpan w:val="5"/>
            <w:tcBorders>
              <w:top w:val="single" w:color="auto" w:sz="4" w:space="0"/>
              <w:left w:val="single" w:color="auto" w:sz="4" w:space="0"/>
              <w:bottom w:val="single" w:color="auto" w:sz="4" w:space="0"/>
              <w:right w:val="single" w:color="auto" w:sz="4" w:space="0"/>
            </w:tcBorders>
            <w:noWrap w:val="0"/>
            <w:vAlign w:val="center"/>
          </w:tcPr>
          <w:p w14:paraId="2CCB4317">
            <w:pPr>
              <w:spacing w:line="240" w:lineRule="auto"/>
              <w:ind w:firstLine="0" w:firstLineChars="0"/>
              <w:jc w:val="center"/>
              <w:rPr>
                <w:rFonts w:ascii="Times New Roman" w:hAnsi="Times New Roman" w:eastAsia="新宋体"/>
                <w:color w:val="auto"/>
                <w:sz w:val="18"/>
                <w:szCs w:val="18"/>
                <w:highlight w:val="none"/>
              </w:rPr>
            </w:pPr>
            <w:r>
              <w:rPr>
                <w:rFonts w:hint="eastAsia" w:ascii="宋体" w:hAnsi="宋体" w:cs="宋体"/>
                <w:color w:val="auto"/>
                <w:sz w:val="18"/>
                <w:szCs w:val="18"/>
                <w:highlight w:val="none"/>
              </w:rPr>
              <w:t>≧</w:t>
            </w:r>
            <w:r>
              <w:rPr>
                <w:rFonts w:ascii="Times New Roman" w:hAnsi="Times New Roman" w:eastAsia="新宋体"/>
                <w:color w:val="auto"/>
                <w:sz w:val="18"/>
                <w:szCs w:val="18"/>
                <w:highlight w:val="none"/>
              </w:rPr>
              <w:t>2000t/a</w:t>
            </w:r>
            <w:r>
              <w:rPr>
                <w:rFonts w:ascii="Times New Roman" w:hAnsi="Times New Roman" w:eastAsia="新宋体"/>
                <w:color w:val="auto"/>
                <w:sz w:val="18"/>
                <w:szCs w:val="18"/>
                <w:highlight w:val="none"/>
              </w:rPr>
              <w:sym w:font="Wingdings" w:char="00A8"/>
            </w:r>
          </w:p>
        </w:tc>
        <w:tc>
          <w:tcPr>
            <w:tcW w:w="1434" w:type="pct"/>
            <w:gridSpan w:val="8"/>
            <w:tcBorders>
              <w:top w:val="single" w:color="auto" w:sz="4" w:space="0"/>
              <w:left w:val="single" w:color="auto" w:sz="4" w:space="0"/>
              <w:bottom w:val="single" w:color="auto" w:sz="4" w:space="0"/>
              <w:right w:val="single" w:color="auto" w:sz="4" w:space="0"/>
            </w:tcBorders>
            <w:noWrap w:val="0"/>
            <w:vAlign w:val="center"/>
          </w:tcPr>
          <w:p w14:paraId="671903AC">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500～2000t/a</w:t>
            </w:r>
            <w:r>
              <w:rPr>
                <w:rFonts w:ascii="Times New Roman" w:hAnsi="Times New Roman" w:eastAsia="新宋体"/>
                <w:color w:val="auto"/>
                <w:sz w:val="18"/>
                <w:szCs w:val="18"/>
                <w:highlight w:val="none"/>
              </w:rPr>
              <w:sym w:font="Wingdings" w:char="00A8"/>
            </w:r>
          </w:p>
        </w:tc>
        <w:tc>
          <w:tcPr>
            <w:tcW w:w="794" w:type="pct"/>
            <w:gridSpan w:val="4"/>
            <w:tcBorders>
              <w:top w:val="single" w:color="auto" w:sz="4" w:space="0"/>
              <w:left w:val="single" w:color="auto" w:sz="4" w:space="0"/>
              <w:bottom w:val="single" w:color="auto" w:sz="4" w:space="0"/>
              <w:right w:val="single" w:color="auto" w:sz="4" w:space="0"/>
            </w:tcBorders>
            <w:noWrap w:val="0"/>
            <w:vAlign w:val="center"/>
          </w:tcPr>
          <w:p w14:paraId="60E9644D">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&lt;500t/a</w:t>
            </w:r>
            <w:r>
              <w:rPr>
                <w:rFonts w:ascii="Times New Roman" w:hAnsi="Times New Roman" w:eastAsia="新宋体"/>
                <w:color w:val="auto"/>
                <w:sz w:val="18"/>
                <w:szCs w:val="18"/>
                <w:highlight w:val="none"/>
              </w:rPr>
              <w:sym w:font="Wingdings" w:char="00FE"/>
            </w:r>
          </w:p>
        </w:tc>
      </w:tr>
      <w:tr w14:paraId="2FFAFD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79" w:type="pct"/>
            <w:vMerge w:val="continue"/>
            <w:tcBorders>
              <w:top w:val="single" w:color="auto" w:sz="4" w:space="0"/>
              <w:left w:val="single" w:color="auto" w:sz="4" w:space="0"/>
              <w:bottom w:val="single" w:color="auto" w:sz="4" w:space="0"/>
              <w:right w:val="single" w:color="auto" w:sz="4" w:space="0"/>
            </w:tcBorders>
            <w:noWrap w:val="0"/>
            <w:vAlign w:val="center"/>
          </w:tcPr>
          <w:p w14:paraId="76080418">
            <w:pPr>
              <w:spacing w:line="240" w:lineRule="auto"/>
              <w:ind w:firstLine="0" w:firstLineChars="0"/>
              <w:jc w:val="center"/>
              <w:rPr>
                <w:rFonts w:ascii="Times New Roman" w:hAnsi="Times New Roman" w:eastAsia="新宋体"/>
                <w:color w:val="auto"/>
                <w:sz w:val="18"/>
                <w:szCs w:val="18"/>
                <w:highlight w:val="none"/>
              </w:rPr>
            </w:pPr>
          </w:p>
        </w:tc>
        <w:tc>
          <w:tcPr>
            <w:tcW w:w="959" w:type="pct"/>
            <w:tcBorders>
              <w:top w:val="single" w:color="auto" w:sz="4" w:space="0"/>
              <w:left w:val="single" w:color="auto" w:sz="4" w:space="0"/>
              <w:bottom w:val="single" w:color="auto" w:sz="4" w:space="0"/>
              <w:right w:val="single" w:color="auto" w:sz="4" w:space="0"/>
            </w:tcBorders>
            <w:noWrap w:val="0"/>
            <w:vAlign w:val="center"/>
          </w:tcPr>
          <w:p w14:paraId="7C3A6796">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评价因子</w:t>
            </w:r>
          </w:p>
        </w:tc>
        <w:tc>
          <w:tcPr>
            <w:tcW w:w="2210" w:type="pct"/>
            <w:gridSpan w:val="10"/>
            <w:tcBorders>
              <w:top w:val="single" w:color="auto" w:sz="4" w:space="0"/>
              <w:left w:val="single" w:color="auto" w:sz="4" w:space="0"/>
              <w:bottom w:val="single" w:color="auto" w:sz="4" w:space="0"/>
              <w:right w:val="single" w:color="auto" w:sz="4" w:space="0"/>
            </w:tcBorders>
            <w:noWrap w:val="0"/>
            <w:vAlign w:val="center"/>
          </w:tcPr>
          <w:p w14:paraId="1FF3232F">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基本污染物(PM</w:t>
            </w:r>
            <w:r>
              <w:rPr>
                <w:rFonts w:ascii="Times New Roman" w:hAnsi="Times New Roman" w:eastAsia="新宋体"/>
                <w:color w:val="auto"/>
                <w:sz w:val="18"/>
                <w:szCs w:val="18"/>
                <w:highlight w:val="none"/>
                <w:vertAlign w:val="subscript"/>
              </w:rPr>
              <w:t>10</w:t>
            </w:r>
            <w:r>
              <w:rPr>
                <w:rFonts w:ascii="Times New Roman" w:hAnsi="Times New Roman" w:eastAsia="新宋体"/>
                <w:color w:val="auto"/>
                <w:sz w:val="18"/>
                <w:szCs w:val="18"/>
                <w:highlight w:val="none"/>
              </w:rPr>
              <w:t>、PM</w:t>
            </w:r>
            <w:r>
              <w:rPr>
                <w:rFonts w:ascii="Times New Roman" w:hAnsi="Times New Roman" w:eastAsia="新宋体"/>
                <w:color w:val="auto"/>
                <w:sz w:val="18"/>
                <w:szCs w:val="18"/>
                <w:highlight w:val="none"/>
                <w:vertAlign w:val="subscript"/>
              </w:rPr>
              <w:t>2.5</w:t>
            </w:r>
            <w:r>
              <w:rPr>
                <w:rFonts w:ascii="Times New Roman" w:hAnsi="Times New Roman" w:eastAsia="新宋体"/>
                <w:color w:val="auto"/>
                <w:sz w:val="18"/>
                <w:szCs w:val="18"/>
                <w:highlight w:val="none"/>
              </w:rPr>
              <w:t>、SO</w:t>
            </w:r>
            <w:r>
              <w:rPr>
                <w:rFonts w:ascii="Times New Roman" w:hAnsi="Times New Roman" w:eastAsia="新宋体"/>
                <w:color w:val="auto"/>
                <w:sz w:val="18"/>
                <w:szCs w:val="18"/>
                <w:highlight w:val="none"/>
                <w:vertAlign w:val="subscript"/>
              </w:rPr>
              <w:t>2</w:t>
            </w:r>
            <w:r>
              <w:rPr>
                <w:rFonts w:ascii="Times New Roman" w:hAnsi="Times New Roman" w:eastAsia="新宋体"/>
                <w:color w:val="auto"/>
                <w:sz w:val="18"/>
                <w:szCs w:val="18"/>
                <w:highlight w:val="none"/>
              </w:rPr>
              <w:t>、NO</w:t>
            </w:r>
            <w:r>
              <w:rPr>
                <w:rFonts w:ascii="Times New Roman" w:hAnsi="Times New Roman" w:eastAsia="新宋体"/>
                <w:color w:val="auto"/>
                <w:sz w:val="18"/>
                <w:szCs w:val="18"/>
                <w:highlight w:val="none"/>
                <w:vertAlign w:val="subscript"/>
              </w:rPr>
              <w:t>2</w:t>
            </w:r>
            <w:r>
              <w:rPr>
                <w:rFonts w:ascii="Times New Roman" w:hAnsi="Times New Roman" w:eastAsia="新宋体"/>
                <w:color w:val="auto"/>
                <w:sz w:val="18"/>
                <w:szCs w:val="18"/>
                <w:highlight w:val="none"/>
              </w:rPr>
              <w:t>、CO、O</w:t>
            </w:r>
            <w:r>
              <w:rPr>
                <w:rFonts w:ascii="Times New Roman" w:hAnsi="Times New Roman" w:eastAsia="新宋体"/>
                <w:color w:val="auto"/>
                <w:sz w:val="18"/>
                <w:szCs w:val="18"/>
                <w:highlight w:val="none"/>
                <w:vertAlign w:val="subscript"/>
              </w:rPr>
              <w:t>3</w:t>
            </w:r>
            <w:r>
              <w:rPr>
                <w:rFonts w:ascii="Times New Roman" w:hAnsi="Times New Roman" w:eastAsia="新宋体"/>
                <w:color w:val="auto"/>
                <w:sz w:val="18"/>
                <w:szCs w:val="18"/>
                <w:highlight w:val="none"/>
              </w:rPr>
              <w:t>)</w:t>
            </w:r>
          </w:p>
          <w:p w14:paraId="4492F7FB">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其他污染物（TSP、氨、汞、非甲烷总烃）</w:t>
            </w:r>
          </w:p>
        </w:tc>
        <w:tc>
          <w:tcPr>
            <w:tcW w:w="1352" w:type="pct"/>
            <w:gridSpan w:val="7"/>
            <w:tcBorders>
              <w:top w:val="single" w:color="auto" w:sz="4" w:space="0"/>
              <w:left w:val="single" w:color="auto" w:sz="4" w:space="0"/>
              <w:bottom w:val="single" w:color="auto" w:sz="4" w:space="0"/>
              <w:right w:val="single" w:color="auto" w:sz="4" w:space="0"/>
            </w:tcBorders>
            <w:noWrap w:val="0"/>
            <w:vAlign w:val="center"/>
          </w:tcPr>
          <w:p w14:paraId="243F8019">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包括二次PM2.5</w:t>
            </w:r>
            <w:r>
              <w:rPr>
                <w:rFonts w:ascii="Times New Roman" w:hAnsi="Times New Roman" w:eastAsia="新宋体"/>
                <w:color w:val="auto"/>
                <w:sz w:val="18"/>
                <w:szCs w:val="18"/>
                <w:highlight w:val="none"/>
              </w:rPr>
              <w:sym w:font="Wingdings" w:char="00A8"/>
            </w:r>
          </w:p>
          <w:p w14:paraId="3A10965B">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不包括二次PM2.5</w:t>
            </w:r>
            <w:r>
              <w:rPr>
                <w:rFonts w:ascii="Times New Roman" w:hAnsi="Times New Roman" w:eastAsia="新宋体"/>
                <w:color w:val="auto"/>
                <w:sz w:val="18"/>
                <w:szCs w:val="18"/>
                <w:highlight w:val="none"/>
              </w:rPr>
              <w:sym w:font="Wingdings" w:char="00FE"/>
            </w:r>
          </w:p>
        </w:tc>
      </w:tr>
      <w:tr w14:paraId="053306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79" w:type="pct"/>
            <w:tcBorders>
              <w:top w:val="single" w:color="auto" w:sz="4" w:space="0"/>
              <w:left w:val="single" w:color="auto" w:sz="4" w:space="0"/>
              <w:bottom w:val="single" w:color="auto" w:sz="4" w:space="0"/>
              <w:right w:val="single" w:color="auto" w:sz="4" w:space="0"/>
            </w:tcBorders>
            <w:noWrap w:val="0"/>
            <w:vAlign w:val="center"/>
          </w:tcPr>
          <w:p w14:paraId="1AFA2CBB">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评价标准</w:t>
            </w:r>
          </w:p>
        </w:tc>
        <w:tc>
          <w:tcPr>
            <w:tcW w:w="959" w:type="pct"/>
            <w:tcBorders>
              <w:top w:val="single" w:color="auto" w:sz="4" w:space="0"/>
              <w:left w:val="single" w:color="auto" w:sz="4" w:space="0"/>
              <w:bottom w:val="single" w:color="auto" w:sz="4" w:space="0"/>
              <w:right w:val="single" w:color="auto" w:sz="4" w:space="0"/>
            </w:tcBorders>
            <w:noWrap w:val="0"/>
            <w:vAlign w:val="center"/>
          </w:tcPr>
          <w:p w14:paraId="57B0942D">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评价标准</w:t>
            </w:r>
          </w:p>
        </w:tc>
        <w:tc>
          <w:tcPr>
            <w:tcW w:w="1334" w:type="pct"/>
            <w:gridSpan w:val="5"/>
            <w:tcBorders>
              <w:top w:val="single" w:color="auto" w:sz="4" w:space="0"/>
              <w:left w:val="single" w:color="auto" w:sz="4" w:space="0"/>
              <w:bottom w:val="single" w:color="auto" w:sz="4" w:space="0"/>
              <w:right w:val="single" w:color="auto" w:sz="4" w:space="0"/>
            </w:tcBorders>
            <w:noWrap w:val="0"/>
            <w:vAlign w:val="center"/>
          </w:tcPr>
          <w:p w14:paraId="598BD17D">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国家标准</w:t>
            </w:r>
            <w:r>
              <w:rPr>
                <w:rFonts w:ascii="Times New Roman" w:hAnsi="Times New Roman" w:eastAsia="新宋体"/>
                <w:color w:val="auto"/>
                <w:sz w:val="18"/>
                <w:szCs w:val="18"/>
                <w:highlight w:val="none"/>
              </w:rPr>
              <w:sym w:font="Wingdings" w:char="00FE"/>
            </w:r>
          </w:p>
        </w:tc>
        <w:tc>
          <w:tcPr>
            <w:tcW w:w="876" w:type="pct"/>
            <w:gridSpan w:val="5"/>
            <w:tcBorders>
              <w:top w:val="single" w:color="auto" w:sz="4" w:space="0"/>
              <w:left w:val="single" w:color="auto" w:sz="4" w:space="0"/>
              <w:bottom w:val="single" w:color="auto" w:sz="4" w:space="0"/>
              <w:right w:val="single" w:color="auto" w:sz="4" w:space="0"/>
            </w:tcBorders>
            <w:noWrap w:val="0"/>
            <w:vAlign w:val="center"/>
          </w:tcPr>
          <w:p w14:paraId="60D8EB83">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地方标准</w:t>
            </w:r>
            <w:r>
              <w:rPr>
                <w:rFonts w:ascii="Times New Roman" w:hAnsi="Times New Roman" w:eastAsia="新宋体"/>
                <w:color w:val="auto"/>
                <w:sz w:val="18"/>
                <w:szCs w:val="18"/>
                <w:highlight w:val="none"/>
              </w:rPr>
              <w:sym w:font="Wingdings" w:char="00A8"/>
            </w:r>
          </w:p>
        </w:tc>
        <w:tc>
          <w:tcPr>
            <w:tcW w:w="696" w:type="pct"/>
            <w:gridSpan w:val="4"/>
            <w:tcBorders>
              <w:top w:val="single" w:color="auto" w:sz="4" w:space="0"/>
              <w:left w:val="single" w:color="auto" w:sz="4" w:space="0"/>
              <w:bottom w:val="single" w:color="auto" w:sz="4" w:space="0"/>
              <w:right w:val="single" w:color="auto" w:sz="4" w:space="0"/>
            </w:tcBorders>
            <w:noWrap w:val="0"/>
            <w:vAlign w:val="center"/>
          </w:tcPr>
          <w:p w14:paraId="4E7E4AD1">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附录D</w:t>
            </w:r>
            <w:r>
              <w:rPr>
                <w:rFonts w:ascii="Times New Roman" w:hAnsi="Times New Roman" w:eastAsia="新宋体"/>
                <w:color w:val="auto"/>
                <w:sz w:val="18"/>
                <w:szCs w:val="18"/>
                <w:highlight w:val="none"/>
              </w:rPr>
              <w:sym w:font="Wingdings" w:char="00FE"/>
            </w:r>
          </w:p>
        </w:tc>
        <w:tc>
          <w:tcPr>
            <w:tcW w:w="656" w:type="pct"/>
            <w:gridSpan w:val="3"/>
            <w:tcBorders>
              <w:top w:val="single" w:color="auto" w:sz="4" w:space="0"/>
              <w:left w:val="single" w:color="auto" w:sz="4" w:space="0"/>
              <w:bottom w:val="single" w:color="auto" w:sz="4" w:space="0"/>
              <w:right w:val="single" w:color="auto" w:sz="4" w:space="0"/>
            </w:tcBorders>
            <w:noWrap w:val="0"/>
            <w:vAlign w:val="center"/>
          </w:tcPr>
          <w:p w14:paraId="7691ACE2">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其他标准</w:t>
            </w:r>
            <w:r>
              <w:rPr>
                <w:rFonts w:ascii="Times New Roman" w:hAnsi="Times New Roman" w:eastAsia="新宋体"/>
                <w:color w:val="auto"/>
                <w:sz w:val="18"/>
                <w:szCs w:val="18"/>
                <w:highlight w:val="none"/>
              </w:rPr>
              <w:sym w:font="Wingdings" w:char="00A8"/>
            </w:r>
          </w:p>
        </w:tc>
      </w:tr>
      <w:tr w14:paraId="14A15D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79" w:type="pct"/>
            <w:vMerge w:val="restart"/>
            <w:tcBorders>
              <w:top w:val="single" w:color="auto" w:sz="4" w:space="0"/>
              <w:left w:val="single" w:color="auto" w:sz="4" w:space="0"/>
              <w:bottom w:val="single" w:color="auto" w:sz="4" w:space="0"/>
              <w:right w:val="single" w:color="auto" w:sz="4" w:space="0"/>
            </w:tcBorders>
            <w:noWrap w:val="0"/>
            <w:vAlign w:val="center"/>
          </w:tcPr>
          <w:p w14:paraId="562646FE">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现状评价</w:t>
            </w:r>
          </w:p>
        </w:tc>
        <w:tc>
          <w:tcPr>
            <w:tcW w:w="959" w:type="pct"/>
            <w:tcBorders>
              <w:top w:val="single" w:color="auto" w:sz="4" w:space="0"/>
              <w:left w:val="single" w:color="auto" w:sz="4" w:space="0"/>
              <w:bottom w:val="single" w:color="auto" w:sz="4" w:space="0"/>
              <w:right w:val="single" w:color="auto" w:sz="4" w:space="0"/>
            </w:tcBorders>
            <w:noWrap w:val="0"/>
            <w:vAlign w:val="center"/>
          </w:tcPr>
          <w:p w14:paraId="3A5E1AF0">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环境功能区</w:t>
            </w:r>
          </w:p>
        </w:tc>
        <w:tc>
          <w:tcPr>
            <w:tcW w:w="1334" w:type="pct"/>
            <w:gridSpan w:val="5"/>
            <w:tcBorders>
              <w:top w:val="single" w:color="auto" w:sz="4" w:space="0"/>
              <w:left w:val="single" w:color="auto" w:sz="4" w:space="0"/>
              <w:bottom w:val="single" w:color="auto" w:sz="4" w:space="0"/>
              <w:right w:val="single" w:color="auto" w:sz="4" w:space="0"/>
            </w:tcBorders>
            <w:noWrap w:val="0"/>
            <w:vAlign w:val="center"/>
          </w:tcPr>
          <w:p w14:paraId="24318265">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一类区</w:t>
            </w:r>
            <w:r>
              <w:rPr>
                <w:rFonts w:ascii="Times New Roman" w:hAnsi="Times New Roman" w:eastAsia="新宋体"/>
                <w:color w:val="auto"/>
                <w:sz w:val="18"/>
                <w:szCs w:val="18"/>
                <w:highlight w:val="none"/>
              </w:rPr>
              <w:sym w:font="Wingdings" w:char="00FE"/>
            </w:r>
          </w:p>
        </w:tc>
        <w:tc>
          <w:tcPr>
            <w:tcW w:w="876" w:type="pct"/>
            <w:gridSpan w:val="5"/>
            <w:tcBorders>
              <w:top w:val="single" w:color="auto" w:sz="4" w:space="0"/>
              <w:left w:val="single" w:color="auto" w:sz="4" w:space="0"/>
              <w:bottom w:val="single" w:color="auto" w:sz="4" w:space="0"/>
              <w:right w:val="single" w:color="auto" w:sz="4" w:space="0"/>
            </w:tcBorders>
            <w:noWrap w:val="0"/>
            <w:vAlign w:val="center"/>
          </w:tcPr>
          <w:p w14:paraId="18F361AD">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二类区</w:t>
            </w:r>
            <w:r>
              <w:rPr>
                <w:rFonts w:ascii="Times New Roman" w:hAnsi="Times New Roman" w:eastAsia="新宋体"/>
                <w:color w:val="auto"/>
                <w:sz w:val="18"/>
                <w:szCs w:val="18"/>
                <w:highlight w:val="none"/>
              </w:rPr>
              <w:sym w:font="Wingdings" w:char="00FE"/>
            </w:r>
          </w:p>
        </w:tc>
        <w:tc>
          <w:tcPr>
            <w:tcW w:w="1352" w:type="pct"/>
            <w:gridSpan w:val="7"/>
            <w:tcBorders>
              <w:top w:val="single" w:color="auto" w:sz="4" w:space="0"/>
              <w:left w:val="single" w:color="auto" w:sz="4" w:space="0"/>
              <w:bottom w:val="single" w:color="auto" w:sz="4" w:space="0"/>
              <w:right w:val="single" w:color="auto" w:sz="4" w:space="0"/>
            </w:tcBorders>
            <w:noWrap w:val="0"/>
            <w:vAlign w:val="center"/>
          </w:tcPr>
          <w:p w14:paraId="069D7E32">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一类区和二类区</w:t>
            </w:r>
            <w:r>
              <w:rPr>
                <w:rFonts w:ascii="Times New Roman" w:hAnsi="Times New Roman" w:eastAsia="新宋体"/>
                <w:color w:val="auto"/>
                <w:sz w:val="18"/>
                <w:szCs w:val="18"/>
                <w:highlight w:val="none"/>
              </w:rPr>
              <w:sym w:font="Wingdings" w:char="00A8"/>
            </w:r>
          </w:p>
        </w:tc>
      </w:tr>
      <w:tr w14:paraId="754A5C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79" w:type="pct"/>
            <w:vMerge w:val="continue"/>
            <w:tcBorders>
              <w:top w:val="single" w:color="auto" w:sz="4" w:space="0"/>
              <w:left w:val="single" w:color="auto" w:sz="4" w:space="0"/>
              <w:bottom w:val="single" w:color="auto" w:sz="4" w:space="0"/>
              <w:right w:val="single" w:color="auto" w:sz="4" w:space="0"/>
            </w:tcBorders>
            <w:noWrap w:val="0"/>
            <w:vAlign w:val="center"/>
          </w:tcPr>
          <w:p w14:paraId="2B4781E1">
            <w:pPr>
              <w:spacing w:line="240" w:lineRule="auto"/>
              <w:ind w:firstLine="0" w:firstLineChars="0"/>
              <w:jc w:val="center"/>
              <w:rPr>
                <w:rFonts w:ascii="Times New Roman" w:hAnsi="Times New Roman" w:eastAsia="新宋体"/>
                <w:color w:val="auto"/>
                <w:sz w:val="18"/>
                <w:szCs w:val="18"/>
                <w:highlight w:val="none"/>
              </w:rPr>
            </w:pPr>
          </w:p>
        </w:tc>
        <w:tc>
          <w:tcPr>
            <w:tcW w:w="959" w:type="pct"/>
            <w:tcBorders>
              <w:top w:val="single" w:color="auto" w:sz="4" w:space="0"/>
              <w:left w:val="single" w:color="auto" w:sz="4" w:space="0"/>
              <w:bottom w:val="single" w:color="auto" w:sz="4" w:space="0"/>
              <w:right w:val="single" w:color="auto" w:sz="4" w:space="0"/>
            </w:tcBorders>
            <w:noWrap w:val="0"/>
            <w:vAlign w:val="center"/>
          </w:tcPr>
          <w:p w14:paraId="451CC846">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评价基准年</w:t>
            </w:r>
          </w:p>
        </w:tc>
        <w:tc>
          <w:tcPr>
            <w:tcW w:w="3562" w:type="pct"/>
            <w:gridSpan w:val="17"/>
            <w:tcBorders>
              <w:top w:val="single" w:color="auto" w:sz="4" w:space="0"/>
              <w:left w:val="single" w:color="auto" w:sz="4" w:space="0"/>
              <w:bottom w:val="single" w:color="auto" w:sz="4" w:space="0"/>
              <w:right w:val="single" w:color="auto" w:sz="4" w:space="0"/>
            </w:tcBorders>
            <w:noWrap w:val="0"/>
            <w:vAlign w:val="center"/>
          </w:tcPr>
          <w:p w14:paraId="3D812AD1">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（202</w:t>
            </w:r>
            <w:r>
              <w:rPr>
                <w:rFonts w:hint="eastAsia" w:ascii="Times New Roman" w:hAnsi="Times New Roman" w:eastAsia="新宋体"/>
                <w:color w:val="auto"/>
                <w:sz w:val="18"/>
                <w:szCs w:val="18"/>
                <w:highlight w:val="none"/>
                <w:lang w:val="en-US" w:eastAsia="zh-CN"/>
              </w:rPr>
              <w:t>2</w:t>
            </w:r>
            <w:r>
              <w:rPr>
                <w:rFonts w:ascii="Times New Roman" w:hAnsi="Times New Roman" w:eastAsia="新宋体"/>
                <w:color w:val="auto"/>
                <w:sz w:val="18"/>
                <w:szCs w:val="18"/>
                <w:highlight w:val="none"/>
              </w:rPr>
              <w:t>）年</w:t>
            </w:r>
          </w:p>
        </w:tc>
      </w:tr>
      <w:tr w14:paraId="5CE272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79" w:type="pct"/>
            <w:vMerge w:val="continue"/>
            <w:tcBorders>
              <w:top w:val="single" w:color="auto" w:sz="4" w:space="0"/>
              <w:left w:val="single" w:color="auto" w:sz="4" w:space="0"/>
              <w:bottom w:val="single" w:color="auto" w:sz="4" w:space="0"/>
              <w:right w:val="single" w:color="auto" w:sz="4" w:space="0"/>
            </w:tcBorders>
            <w:noWrap w:val="0"/>
            <w:vAlign w:val="center"/>
          </w:tcPr>
          <w:p w14:paraId="1838EF13">
            <w:pPr>
              <w:spacing w:line="240" w:lineRule="auto"/>
              <w:ind w:firstLine="0" w:firstLineChars="0"/>
              <w:jc w:val="center"/>
              <w:rPr>
                <w:rFonts w:ascii="Times New Roman" w:hAnsi="Times New Roman" w:eastAsia="新宋体"/>
                <w:color w:val="auto"/>
                <w:sz w:val="18"/>
                <w:szCs w:val="18"/>
                <w:highlight w:val="none"/>
              </w:rPr>
            </w:pPr>
          </w:p>
        </w:tc>
        <w:tc>
          <w:tcPr>
            <w:tcW w:w="959" w:type="pct"/>
            <w:tcBorders>
              <w:top w:val="single" w:color="auto" w:sz="4" w:space="0"/>
              <w:left w:val="single" w:color="auto" w:sz="4" w:space="0"/>
              <w:bottom w:val="single" w:color="auto" w:sz="4" w:space="0"/>
              <w:right w:val="single" w:color="auto" w:sz="4" w:space="0"/>
            </w:tcBorders>
            <w:noWrap w:val="0"/>
            <w:vAlign w:val="center"/>
          </w:tcPr>
          <w:p w14:paraId="4B170F31">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环境空气质量现状调查数据来源</w:t>
            </w:r>
          </w:p>
        </w:tc>
        <w:tc>
          <w:tcPr>
            <w:tcW w:w="1334" w:type="pct"/>
            <w:gridSpan w:val="5"/>
            <w:tcBorders>
              <w:top w:val="single" w:color="auto" w:sz="4" w:space="0"/>
              <w:left w:val="single" w:color="auto" w:sz="4" w:space="0"/>
              <w:bottom w:val="single" w:color="auto" w:sz="4" w:space="0"/>
              <w:right w:val="single" w:color="auto" w:sz="4" w:space="0"/>
            </w:tcBorders>
            <w:noWrap w:val="0"/>
            <w:vAlign w:val="center"/>
          </w:tcPr>
          <w:p w14:paraId="29DB3FDD">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长期例行监测数据</w:t>
            </w:r>
            <w:r>
              <w:rPr>
                <w:rFonts w:ascii="Times New Roman" w:hAnsi="Times New Roman" w:eastAsia="新宋体"/>
                <w:color w:val="auto"/>
                <w:sz w:val="18"/>
                <w:szCs w:val="18"/>
                <w:highlight w:val="none"/>
              </w:rPr>
              <w:sym w:font="Wingdings" w:char="00FE"/>
            </w:r>
          </w:p>
        </w:tc>
        <w:tc>
          <w:tcPr>
            <w:tcW w:w="1368" w:type="pct"/>
            <w:gridSpan w:val="7"/>
            <w:tcBorders>
              <w:top w:val="single" w:color="auto" w:sz="4" w:space="0"/>
              <w:left w:val="single" w:color="auto" w:sz="4" w:space="0"/>
              <w:bottom w:val="single" w:color="auto" w:sz="4" w:space="0"/>
              <w:right w:val="single" w:color="auto" w:sz="4" w:space="0"/>
            </w:tcBorders>
            <w:noWrap w:val="0"/>
            <w:vAlign w:val="center"/>
          </w:tcPr>
          <w:p w14:paraId="52566DEA">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主管部门发布的数据</w:t>
            </w:r>
            <w:r>
              <w:rPr>
                <w:rFonts w:ascii="Times New Roman" w:hAnsi="Times New Roman" w:eastAsia="新宋体"/>
                <w:color w:val="auto"/>
                <w:sz w:val="18"/>
                <w:szCs w:val="18"/>
                <w:highlight w:val="none"/>
              </w:rPr>
              <w:sym w:font="Wingdings" w:char="00FE"/>
            </w:r>
          </w:p>
        </w:tc>
        <w:tc>
          <w:tcPr>
            <w:tcW w:w="860" w:type="pct"/>
            <w:gridSpan w:val="5"/>
            <w:tcBorders>
              <w:top w:val="single" w:color="auto" w:sz="4" w:space="0"/>
              <w:left w:val="single" w:color="auto" w:sz="4" w:space="0"/>
              <w:bottom w:val="single" w:color="auto" w:sz="4" w:space="0"/>
              <w:right w:val="single" w:color="auto" w:sz="4" w:space="0"/>
            </w:tcBorders>
            <w:noWrap w:val="0"/>
            <w:vAlign w:val="center"/>
          </w:tcPr>
          <w:p w14:paraId="01C72C13">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现状补充监测</w:t>
            </w:r>
            <w:r>
              <w:rPr>
                <w:rFonts w:ascii="Times New Roman" w:hAnsi="Times New Roman" w:eastAsia="新宋体"/>
                <w:color w:val="auto"/>
                <w:sz w:val="18"/>
                <w:szCs w:val="18"/>
                <w:highlight w:val="none"/>
              </w:rPr>
              <w:sym w:font="Wingdings" w:char="00FE"/>
            </w:r>
          </w:p>
        </w:tc>
      </w:tr>
      <w:tr w14:paraId="2969FD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79" w:type="pct"/>
            <w:vMerge w:val="continue"/>
            <w:tcBorders>
              <w:top w:val="single" w:color="auto" w:sz="4" w:space="0"/>
              <w:left w:val="single" w:color="auto" w:sz="4" w:space="0"/>
              <w:bottom w:val="single" w:color="auto" w:sz="4" w:space="0"/>
              <w:right w:val="single" w:color="auto" w:sz="4" w:space="0"/>
            </w:tcBorders>
            <w:noWrap w:val="0"/>
            <w:vAlign w:val="center"/>
          </w:tcPr>
          <w:p w14:paraId="3A38F688">
            <w:pPr>
              <w:spacing w:line="240" w:lineRule="auto"/>
              <w:ind w:firstLine="0" w:firstLineChars="0"/>
              <w:jc w:val="center"/>
              <w:rPr>
                <w:rFonts w:ascii="Times New Roman" w:hAnsi="Times New Roman" w:eastAsia="新宋体"/>
                <w:color w:val="auto"/>
                <w:sz w:val="18"/>
                <w:szCs w:val="18"/>
                <w:highlight w:val="none"/>
              </w:rPr>
            </w:pPr>
          </w:p>
        </w:tc>
        <w:tc>
          <w:tcPr>
            <w:tcW w:w="959" w:type="pct"/>
            <w:tcBorders>
              <w:top w:val="single" w:color="auto" w:sz="4" w:space="0"/>
              <w:left w:val="single" w:color="auto" w:sz="4" w:space="0"/>
              <w:bottom w:val="single" w:color="auto" w:sz="4" w:space="0"/>
              <w:right w:val="single" w:color="auto" w:sz="4" w:space="0"/>
            </w:tcBorders>
            <w:noWrap w:val="0"/>
            <w:vAlign w:val="center"/>
          </w:tcPr>
          <w:p w14:paraId="4B85C8CA">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现状评价</w:t>
            </w:r>
          </w:p>
        </w:tc>
        <w:tc>
          <w:tcPr>
            <w:tcW w:w="2210" w:type="pct"/>
            <w:gridSpan w:val="10"/>
            <w:tcBorders>
              <w:top w:val="single" w:color="auto" w:sz="4" w:space="0"/>
              <w:left w:val="single" w:color="auto" w:sz="4" w:space="0"/>
              <w:bottom w:val="single" w:color="auto" w:sz="4" w:space="0"/>
              <w:right w:val="single" w:color="auto" w:sz="4" w:space="0"/>
            </w:tcBorders>
            <w:noWrap w:val="0"/>
            <w:vAlign w:val="center"/>
          </w:tcPr>
          <w:p w14:paraId="694EF8DE">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达标区</w:t>
            </w:r>
            <w:r>
              <w:rPr>
                <w:rFonts w:ascii="Times New Roman" w:hAnsi="Times New Roman" w:eastAsia="新宋体"/>
                <w:color w:val="auto"/>
                <w:sz w:val="18"/>
                <w:szCs w:val="18"/>
                <w:highlight w:val="none"/>
              </w:rPr>
              <w:sym w:font="Wingdings" w:char="00A8"/>
            </w:r>
          </w:p>
        </w:tc>
        <w:tc>
          <w:tcPr>
            <w:tcW w:w="1352" w:type="pct"/>
            <w:gridSpan w:val="7"/>
            <w:tcBorders>
              <w:top w:val="single" w:color="auto" w:sz="4" w:space="0"/>
              <w:left w:val="single" w:color="auto" w:sz="4" w:space="0"/>
              <w:bottom w:val="single" w:color="auto" w:sz="4" w:space="0"/>
              <w:right w:val="single" w:color="auto" w:sz="4" w:space="0"/>
            </w:tcBorders>
            <w:noWrap w:val="0"/>
            <w:vAlign w:val="center"/>
          </w:tcPr>
          <w:p w14:paraId="5B3392A6">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不达标区</w:t>
            </w:r>
            <w:r>
              <w:rPr>
                <w:rFonts w:ascii="Times New Roman" w:hAnsi="Times New Roman" w:eastAsia="新宋体"/>
                <w:color w:val="auto"/>
                <w:sz w:val="18"/>
                <w:szCs w:val="18"/>
                <w:highlight w:val="none"/>
              </w:rPr>
              <w:sym w:font="Wingdings" w:char="00FE"/>
            </w:r>
          </w:p>
        </w:tc>
      </w:tr>
      <w:tr w14:paraId="502A5F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79" w:type="pct"/>
            <w:tcBorders>
              <w:top w:val="single" w:color="auto" w:sz="4" w:space="0"/>
              <w:left w:val="single" w:color="auto" w:sz="4" w:space="0"/>
              <w:bottom w:val="single" w:color="auto" w:sz="4" w:space="0"/>
              <w:right w:val="single" w:color="auto" w:sz="4" w:space="0"/>
            </w:tcBorders>
            <w:noWrap w:val="0"/>
            <w:vAlign w:val="center"/>
          </w:tcPr>
          <w:p w14:paraId="506E506B">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污染源</w:t>
            </w:r>
          </w:p>
          <w:p w14:paraId="7E5FE353">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调查</w:t>
            </w:r>
          </w:p>
        </w:tc>
        <w:tc>
          <w:tcPr>
            <w:tcW w:w="959" w:type="pct"/>
            <w:tcBorders>
              <w:top w:val="single" w:color="auto" w:sz="4" w:space="0"/>
              <w:left w:val="single" w:color="auto" w:sz="4" w:space="0"/>
              <w:bottom w:val="single" w:color="auto" w:sz="4" w:space="0"/>
              <w:right w:val="single" w:color="auto" w:sz="4" w:space="0"/>
            </w:tcBorders>
            <w:noWrap w:val="0"/>
            <w:vAlign w:val="center"/>
          </w:tcPr>
          <w:p w14:paraId="22939479">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调查内容</w:t>
            </w:r>
          </w:p>
        </w:tc>
        <w:tc>
          <w:tcPr>
            <w:tcW w:w="1334" w:type="pct"/>
            <w:gridSpan w:val="5"/>
            <w:tcBorders>
              <w:top w:val="single" w:color="auto" w:sz="4" w:space="0"/>
              <w:left w:val="single" w:color="auto" w:sz="4" w:space="0"/>
              <w:bottom w:val="single" w:color="auto" w:sz="4" w:space="0"/>
              <w:right w:val="single" w:color="auto" w:sz="4" w:space="0"/>
            </w:tcBorders>
            <w:noWrap w:val="0"/>
            <w:vAlign w:val="center"/>
          </w:tcPr>
          <w:p w14:paraId="633A1E81">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本项目正常排放源√</w:t>
            </w:r>
          </w:p>
          <w:p w14:paraId="3343D456">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本项目非正常排放源√</w:t>
            </w:r>
          </w:p>
          <w:p w14:paraId="47BF1FAA">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现有污染源</w:t>
            </w:r>
            <w:r>
              <w:rPr>
                <w:rFonts w:ascii="Times New Roman" w:hAnsi="Times New Roman" w:eastAsia="新宋体"/>
                <w:color w:val="auto"/>
                <w:sz w:val="18"/>
                <w:szCs w:val="18"/>
                <w:highlight w:val="none"/>
              </w:rPr>
              <w:sym w:font="Wingdings" w:char="00A8"/>
            </w:r>
          </w:p>
        </w:tc>
        <w:tc>
          <w:tcPr>
            <w:tcW w:w="876" w:type="pct"/>
            <w:gridSpan w:val="5"/>
            <w:tcBorders>
              <w:top w:val="single" w:color="auto" w:sz="4" w:space="0"/>
              <w:left w:val="single" w:color="auto" w:sz="4" w:space="0"/>
              <w:bottom w:val="single" w:color="auto" w:sz="4" w:space="0"/>
              <w:right w:val="single" w:color="auto" w:sz="4" w:space="0"/>
            </w:tcBorders>
            <w:noWrap w:val="0"/>
            <w:vAlign w:val="center"/>
          </w:tcPr>
          <w:p w14:paraId="324EBE84">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拟替代的污染源</w:t>
            </w:r>
          </w:p>
        </w:tc>
        <w:tc>
          <w:tcPr>
            <w:tcW w:w="696" w:type="pct"/>
            <w:gridSpan w:val="4"/>
            <w:tcBorders>
              <w:top w:val="single" w:color="auto" w:sz="4" w:space="0"/>
              <w:left w:val="single" w:color="auto" w:sz="4" w:space="0"/>
              <w:bottom w:val="single" w:color="auto" w:sz="4" w:space="0"/>
              <w:right w:val="single" w:color="auto" w:sz="4" w:space="0"/>
            </w:tcBorders>
            <w:noWrap w:val="0"/>
            <w:vAlign w:val="center"/>
          </w:tcPr>
          <w:p w14:paraId="3186AD31">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其他在建、拟建项目污染源</w:t>
            </w:r>
          </w:p>
        </w:tc>
        <w:tc>
          <w:tcPr>
            <w:tcW w:w="656" w:type="pct"/>
            <w:gridSpan w:val="3"/>
            <w:tcBorders>
              <w:top w:val="single" w:color="auto" w:sz="4" w:space="0"/>
              <w:left w:val="single" w:color="auto" w:sz="4" w:space="0"/>
              <w:bottom w:val="single" w:color="auto" w:sz="4" w:space="0"/>
              <w:right w:val="single" w:color="auto" w:sz="4" w:space="0"/>
            </w:tcBorders>
            <w:noWrap w:val="0"/>
            <w:vAlign w:val="center"/>
          </w:tcPr>
          <w:p w14:paraId="3B86C395">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区域污染源</w:t>
            </w:r>
            <w:r>
              <w:rPr>
                <w:rFonts w:ascii="Times New Roman" w:hAnsi="Times New Roman" w:eastAsia="新宋体"/>
                <w:color w:val="auto"/>
                <w:sz w:val="18"/>
                <w:szCs w:val="18"/>
                <w:highlight w:val="none"/>
              </w:rPr>
              <w:sym w:font="Wingdings" w:char="00A8"/>
            </w:r>
          </w:p>
        </w:tc>
      </w:tr>
      <w:tr w14:paraId="149669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79" w:type="pct"/>
            <w:vMerge w:val="restart"/>
            <w:tcBorders>
              <w:top w:val="single" w:color="auto" w:sz="4" w:space="0"/>
              <w:left w:val="single" w:color="auto" w:sz="4" w:space="0"/>
              <w:bottom w:val="single" w:color="auto" w:sz="4" w:space="0"/>
              <w:right w:val="single" w:color="auto" w:sz="4" w:space="0"/>
            </w:tcBorders>
            <w:noWrap w:val="0"/>
            <w:vAlign w:val="center"/>
          </w:tcPr>
          <w:p w14:paraId="79759A85">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大气环境影响预测与评价</w:t>
            </w:r>
          </w:p>
        </w:tc>
        <w:tc>
          <w:tcPr>
            <w:tcW w:w="959" w:type="pct"/>
            <w:tcBorders>
              <w:top w:val="single" w:color="auto" w:sz="4" w:space="0"/>
              <w:left w:val="single" w:color="auto" w:sz="4" w:space="0"/>
              <w:bottom w:val="single" w:color="auto" w:sz="4" w:space="0"/>
              <w:right w:val="single" w:color="auto" w:sz="4" w:space="0"/>
            </w:tcBorders>
            <w:noWrap w:val="0"/>
            <w:vAlign w:val="center"/>
          </w:tcPr>
          <w:p w14:paraId="1D4F9163">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预测模型</w:t>
            </w:r>
          </w:p>
        </w:tc>
        <w:tc>
          <w:tcPr>
            <w:tcW w:w="547" w:type="pct"/>
            <w:tcBorders>
              <w:top w:val="single" w:color="auto" w:sz="4" w:space="0"/>
              <w:left w:val="single" w:color="auto" w:sz="4" w:space="0"/>
              <w:bottom w:val="single" w:color="auto" w:sz="4" w:space="0"/>
              <w:right w:val="single" w:color="auto" w:sz="4" w:space="0"/>
            </w:tcBorders>
            <w:noWrap w:val="0"/>
            <w:vAlign w:val="center"/>
          </w:tcPr>
          <w:p w14:paraId="6C651648">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AERMOD</w:t>
            </w:r>
          </w:p>
          <w:p w14:paraId="77DD950B">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sym w:font="Wingdings" w:char="00FE"/>
            </w:r>
          </w:p>
        </w:tc>
        <w:tc>
          <w:tcPr>
            <w:tcW w:w="402" w:type="pct"/>
            <w:gridSpan w:val="2"/>
            <w:tcBorders>
              <w:top w:val="single" w:color="auto" w:sz="4" w:space="0"/>
              <w:left w:val="single" w:color="auto" w:sz="4" w:space="0"/>
              <w:bottom w:val="single" w:color="auto" w:sz="4" w:space="0"/>
              <w:right w:val="single" w:color="auto" w:sz="4" w:space="0"/>
            </w:tcBorders>
            <w:noWrap w:val="0"/>
            <w:vAlign w:val="center"/>
          </w:tcPr>
          <w:p w14:paraId="194E88A8">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ADMS</w:t>
            </w:r>
          </w:p>
          <w:p w14:paraId="39B394D3">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sym w:font="Wingdings" w:char="00A8"/>
            </w:r>
          </w:p>
        </w:tc>
        <w:tc>
          <w:tcPr>
            <w:tcW w:w="564" w:type="pct"/>
            <w:gridSpan w:val="3"/>
            <w:tcBorders>
              <w:top w:val="single" w:color="auto" w:sz="4" w:space="0"/>
              <w:left w:val="single" w:color="auto" w:sz="4" w:space="0"/>
              <w:bottom w:val="single" w:color="auto" w:sz="4" w:space="0"/>
              <w:right w:val="single" w:color="auto" w:sz="4" w:space="0"/>
            </w:tcBorders>
            <w:noWrap w:val="0"/>
            <w:vAlign w:val="center"/>
          </w:tcPr>
          <w:p w14:paraId="339DAC4E">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AUSTAL</w:t>
            </w:r>
          </w:p>
          <w:p w14:paraId="2417057B">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2000</w:t>
            </w:r>
            <w:r>
              <w:rPr>
                <w:rFonts w:ascii="Times New Roman" w:hAnsi="Times New Roman" w:eastAsia="新宋体"/>
                <w:color w:val="auto"/>
                <w:sz w:val="18"/>
                <w:szCs w:val="18"/>
                <w:highlight w:val="none"/>
              </w:rPr>
              <w:sym w:font="Wingdings" w:char="00A8"/>
            </w:r>
          </w:p>
        </w:tc>
        <w:tc>
          <w:tcPr>
            <w:tcW w:w="697" w:type="pct"/>
            <w:gridSpan w:val="4"/>
            <w:tcBorders>
              <w:top w:val="single" w:color="auto" w:sz="4" w:space="0"/>
              <w:left w:val="single" w:color="auto" w:sz="4" w:space="0"/>
              <w:bottom w:val="single" w:color="auto" w:sz="4" w:space="0"/>
              <w:right w:val="single" w:color="auto" w:sz="4" w:space="0"/>
            </w:tcBorders>
            <w:noWrap w:val="0"/>
            <w:vAlign w:val="center"/>
          </w:tcPr>
          <w:p w14:paraId="6B5A7CAB">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EDMS/AEDT</w:t>
            </w:r>
          </w:p>
          <w:p w14:paraId="3C883243">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sym w:font="Wingdings" w:char="00A8"/>
            </w:r>
          </w:p>
        </w:tc>
        <w:tc>
          <w:tcPr>
            <w:tcW w:w="558" w:type="pct"/>
            <w:gridSpan w:val="3"/>
            <w:tcBorders>
              <w:top w:val="single" w:color="auto" w:sz="4" w:space="0"/>
              <w:left w:val="single" w:color="auto" w:sz="4" w:space="0"/>
              <w:bottom w:val="single" w:color="auto" w:sz="4" w:space="0"/>
              <w:right w:val="single" w:color="auto" w:sz="4" w:space="0"/>
            </w:tcBorders>
            <w:noWrap w:val="0"/>
            <w:vAlign w:val="center"/>
          </w:tcPr>
          <w:p w14:paraId="204C1955">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CALPUFF</w:t>
            </w:r>
          </w:p>
          <w:p w14:paraId="35EC2A2D">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sym w:font="Wingdings" w:char="00A8"/>
            </w:r>
          </w:p>
        </w:tc>
        <w:tc>
          <w:tcPr>
            <w:tcW w:w="418" w:type="pct"/>
            <w:gridSpan w:val="3"/>
            <w:tcBorders>
              <w:top w:val="single" w:color="auto" w:sz="4" w:space="0"/>
              <w:left w:val="single" w:color="auto" w:sz="4" w:space="0"/>
              <w:bottom w:val="single" w:color="auto" w:sz="4" w:space="0"/>
              <w:right w:val="single" w:color="auto" w:sz="4" w:space="0"/>
            </w:tcBorders>
            <w:noWrap w:val="0"/>
            <w:vAlign w:val="center"/>
          </w:tcPr>
          <w:p w14:paraId="3C44D9E3">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网络模型</w:t>
            </w:r>
            <w:r>
              <w:rPr>
                <w:rFonts w:ascii="Times New Roman" w:hAnsi="Times New Roman" w:eastAsia="新宋体"/>
                <w:color w:val="auto"/>
                <w:sz w:val="18"/>
                <w:szCs w:val="18"/>
                <w:highlight w:val="none"/>
              </w:rPr>
              <w:sym w:font="Wingdings" w:char="00A8"/>
            </w:r>
          </w:p>
        </w:tc>
        <w:tc>
          <w:tcPr>
            <w:tcW w:w="376" w:type="pct"/>
            <w:tcBorders>
              <w:top w:val="single" w:color="auto" w:sz="4" w:space="0"/>
              <w:left w:val="single" w:color="auto" w:sz="4" w:space="0"/>
              <w:bottom w:val="single" w:color="auto" w:sz="4" w:space="0"/>
              <w:right w:val="single" w:color="auto" w:sz="4" w:space="0"/>
            </w:tcBorders>
            <w:noWrap w:val="0"/>
            <w:vAlign w:val="center"/>
          </w:tcPr>
          <w:p w14:paraId="5C84626A">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其他</w:t>
            </w:r>
          </w:p>
          <w:p w14:paraId="6A63C8AA">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sym w:font="Wingdings" w:char="00A8"/>
            </w:r>
          </w:p>
        </w:tc>
      </w:tr>
      <w:tr w14:paraId="03B19F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79" w:type="pct"/>
            <w:vMerge w:val="continue"/>
            <w:tcBorders>
              <w:top w:val="single" w:color="auto" w:sz="4" w:space="0"/>
              <w:left w:val="single" w:color="auto" w:sz="4" w:space="0"/>
              <w:bottom w:val="single" w:color="auto" w:sz="4" w:space="0"/>
              <w:right w:val="single" w:color="auto" w:sz="4" w:space="0"/>
            </w:tcBorders>
            <w:noWrap w:val="0"/>
            <w:vAlign w:val="center"/>
          </w:tcPr>
          <w:p w14:paraId="2481D1E2">
            <w:pPr>
              <w:spacing w:line="240" w:lineRule="auto"/>
              <w:ind w:firstLine="0" w:firstLineChars="0"/>
              <w:jc w:val="center"/>
              <w:rPr>
                <w:rFonts w:ascii="Times New Roman" w:hAnsi="Times New Roman" w:eastAsia="新宋体"/>
                <w:color w:val="auto"/>
                <w:sz w:val="18"/>
                <w:szCs w:val="18"/>
                <w:highlight w:val="none"/>
              </w:rPr>
            </w:pPr>
          </w:p>
        </w:tc>
        <w:tc>
          <w:tcPr>
            <w:tcW w:w="959" w:type="pct"/>
            <w:tcBorders>
              <w:top w:val="single" w:color="auto" w:sz="4" w:space="0"/>
              <w:left w:val="single" w:color="auto" w:sz="4" w:space="0"/>
              <w:bottom w:val="single" w:color="auto" w:sz="4" w:space="0"/>
              <w:right w:val="single" w:color="auto" w:sz="4" w:space="0"/>
            </w:tcBorders>
            <w:noWrap w:val="0"/>
            <w:vAlign w:val="center"/>
          </w:tcPr>
          <w:p w14:paraId="314E2135">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预测范围</w:t>
            </w:r>
          </w:p>
        </w:tc>
        <w:tc>
          <w:tcPr>
            <w:tcW w:w="1334" w:type="pct"/>
            <w:gridSpan w:val="5"/>
            <w:tcBorders>
              <w:top w:val="single" w:color="auto" w:sz="4" w:space="0"/>
              <w:left w:val="single" w:color="auto" w:sz="4" w:space="0"/>
              <w:bottom w:val="single" w:color="auto" w:sz="4" w:space="0"/>
              <w:right w:val="single" w:color="auto" w:sz="4" w:space="0"/>
            </w:tcBorders>
            <w:noWrap w:val="0"/>
            <w:vAlign w:val="center"/>
          </w:tcPr>
          <w:p w14:paraId="33122135">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边长</w:t>
            </w:r>
            <w:r>
              <w:rPr>
                <w:rFonts w:hint="eastAsia" w:ascii="宋体" w:hAnsi="宋体" w:cs="宋体"/>
                <w:color w:val="auto"/>
                <w:sz w:val="18"/>
                <w:szCs w:val="18"/>
                <w:highlight w:val="none"/>
              </w:rPr>
              <w:t>≧</w:t>
            </w:r>
            <w:r>
              <w:rPr>
                <w:rFonts w:ascii="Times New Roman" w:hAnsi="Times New Roman" w:eastAsia="新宋体"/>
                <w:color w:val="auto"/>
                <w:sz w:val="18"/>
                <w:szCs w:val="18"/>
                <w:highlight w:val="none"/>
              </w:rPr>
              <w:t>50km</w:t>
            </w:r>
            <w:r>
              <w:rPr>
                <w:rFonts w:ascii="Times New Roman" w:hAnsi="Times New Roman" w:eastAsia="新宋体"/>
                <w:color w:val="auto"/>
                <w:sz w:val="18"/>
                <w:szCs w:val="18"/>
                <w:highlight w:val="none"/>
              </w:rPr>
              <w:sym w:font="Wingdings" w:char="00A8"/>
            </w:r>
          </w:p>
        </w:tc>
        <w:tc>
          <w:tcPr>
            <w:tcW w:w="1434" w:type="pct"/>
            <w:gridSpan w:val="8"/>
            <w:tcBorders>
              <w:top w:val="single" w:color="auto" w:sz="4" w:space="0"/>
              <w:left w:val="single" w:color="auto" w:sz="4" w:space="0"/>
              <w:bottom w:val="single" w:color="auto" w:sz="4" w:space="0"/>
              <w:right w:val="single" w:color="auto" w:sz="4" w:space="0"/>
            </w:tcBorders>
            <w:noWrap w:val="0"/>
            <w:vAlign w:val="center"/>
          </w:tcPr>
          <w:p w14:paraId="3E9BE01D">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边长5~50km</w:t>
            </w:r>
            <w:r>
              <w:rPr>
                <w:rFonts w:ascii="Times New Roman" w:hAnsi="Times New Roman" w:eastAsia="新宋体"/>
                <w:color w:val="auto"/>
                <w:sz w:val="18"/>
                <w:szCs w:val="18"/>
                <w:highlight w:val="none"/>
              </w:rPr>
              <w:sym w:font="Wingdings" w:char="00FE"/>
            </w:r>
          </w:p>
        </w:tc>
        <w:tc>
          <w:tcPr>
            <w:tcW w:w="794" w:type="pct"/>
            <w:gridSpan w:val="4"/>
            <w:tcBorders>
              <w:top w:val="single" w:color="auto" w:sz="4" w:space="0"/>
              <w:left w:val="single" w:color="auto" w:sz="4" w:space="0"/>
              <w:bottom w:val="single" w:color="auto" w:sz="4" w:space="0"/>
              <w:right w:val="single" w:color="auto" w:sz="4" w:space="0"/>
            </w:tcBorders>
            <w:noWrap w:val="0"/>
            <w:vAlign w:val="center"/>
          </w:tcPr>
          <w:p w14:paraId="1765594D">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边长=5km</w:t>
            </w:r>
            <w:r>
              <w:rPr>
                <w:rFonts w:ascii="Times New Roman" w:hAnsi="Times New Roman" w:eastAsia="新宋体"/>
                <w:color w:val="auto"/>
                <w:sz w:val="18"/>
                <w:szCs w:val="18"/>
                <w:highlight w:val="none"/>
              </w:rPr>
              <w:sym w:font="Wingdings" w:char="00A8"/>
            </w:r>
          </w:p>
        </w:tc>
      </w:tr>
      <w:tr w14:paraId="28F392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79" w:type="pct"/>
            <w:vMerge w:val="continue"/>
            <w:tcBorders>
              <w:top w:val="single" w:color="auto" w:sz="4" w:space="0"/>
              <w:left w:val="single" w:color="auto" w:sz="4" w:space="0"/>
              <w:bottom w:val="single" w:color="auto" w:sz="4" w:space="0"/>
              <w:right w:val="single" w:color="auto" w:sz="4" w:space="0"/>
            </w:tcBorders>
            <w:noWrap w:val="0"/>
            <w:vAlign w:val="center"/>
          </w:tcPr>
          <w:p w14:paraId="50BFD303">
            <w:pPr>
              <w:spacing w:line="240" w:lineRule="auto"/>
              <w:ind w:firstLine="0" w:firstLineChars="0"/>
              <w:jc w:val="center"/>
              <w:rPr>
                <w:rFonts w:ascii="Times New Roman" w:hAnsi="Times New Roman" w:eastAsia="新宋体"/>
                <w:color w:val="auto"/>
                <w:sz w:val="18"/>
                <w:szCs w:val="18"/>
                <w:highlight w:val="none"/>
              </w:rPr>
            </w:pPr>
          </w:p>
        </w:tc>
        <w:tc>
          <w:tcPr>
            <w:tcW w:w="959" w:type="pct"/>
            <w:tcBorders>
              <w:top w:val="single" w:color="auto" w:sz="4" w:space="0"/>
              <w:left w:val="single" w:color="auto" w:sz="4" w:space="0"/>
              <w:bottom w:val="single" w:color="auto" w:sz="4" w:space="0"/>
              <w:right w:val="single" w:color="auto" w:sz="4" w:space="0"/>
            </w:tcBorders>
            <w:noWrap w:val="0"/>
            <w:vAlign w:val="center"/>
          </w:tcPr>
          <w:p w14:paraId="6109B683">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预测因子</w:t>
            </w:r>
          </w:p>
        </w:tc>
        <w:tc>
          <w:tcPr>
            <w:tcW w:w="1756" w:type="pct"/>
            <w:gridSpan w:val="7"/>
            <w:tcBorders>
              <w:top w:val="single" w:color="auto" w:sz="4" w:space="0"/>
              <w:left w:val="single" w:color="auto" w:sz="4" w:space="0"/>
              <w:bottom w:val="single" w:color="auto" w:sz="4" w:space="0"/>
              <w:right w:val="single" w:color="auto" w:sz="4" w:space="0"/>
            </w:tcBorders>
            <w:noWrap w:val="0"/>
            <w:vAlign w:val="center"/>
          </w:tcPr>
          <w:p w14:paraId="2A6F71FB">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预测因子（PM</w:t>
            </w:r>
            <w:r>
              <w:rPr>
                <w:rFonts w:ascii="Times New Roman" w:hAnsi="Times New Roman" w:eastAsia="新宋体"/>
                <w:color w:val="auto"/>
                <w:sz w:val="18"/>
                <w:szCs w:val="18"/>
                <w:highlight w:val="none"/>
                <w:vertAlign w:val="subscript"/>
              </w:rPr>
              <w:t>10</w:t>
            </w:r>
            <w:r>
              <w:rPr>
                <w:rFonts w:ascii="Times New Roman" w:hAnsi="Times New Roman" w:eastAsia="新宋体"/>
                <w:color w:val="auto"/>
                <w:sz w:val="18"/>
                <w:szCs w:val="18"/>
                <w:highlight w:val="none"/>
              </w:rPr>
              <w:t>、SO</w:t>
            </w:r>
            <w:r>
              <w:rPr>
                <w:rFonts w:ascii="Times New Roman" w:hAnsi="Times New Roman" w:eastAsia="新宋体"/>
                <w:color w:val="auto"/>
                <w:sz w:val="18"/>
                <w:szCs w:val="18"/>
                <w:highlight w:val="none"/>
                <w:vertAlign w:val="subscript"/>
              </w:rPr>
              <w:t>2</w:t>
            </w:r>
            <w:r>
              <w:rPr>
                <w:rFonts w:ascii="Times New Roman" w:hAnsi="Times New Roman" w:eastAsia="新宋体"/>
                <w:color w:val="auto"/>
                <w:sz w:val="18"/>
                <w:szCs w:val="18"/>
                <w:highlight w:val="none"/>
              </w:rPr>
              <w:t>、NO</w:t>
            </w:r>
            <w:r>
              <w:rPr>
                <w:rFonts w:ascii="Times New Roman" w:hAnsi="Times New Roman" w:eastAsia="新宋体"/>
                <w:color w:val="auto"/>
                <w:sz w:val="18"/>
                <w:szCs w:val="18"/>
                <w:highlight w:val="none"/>
                <w:vertAlign w:val="subscript"/>
              </w:rPr>
              <w:t>2</w:t>
            </w:r>
            <w:r>
              <w:rPr>
                <w:rFonts w:ascii="Times New Roman" w:hAnsi="Times New Roman" w:eastAsia="新宋体"/>
                <w:color w:val="auto"/>
                <w:sz w:val="18"/>
                <w:szCs w:val="18"/>
                <w:highlight w:val="none"/>
              </w:rPr>
              <w:t>和TSP、一次PM</w:t>
            </w:r>
            <w:r>
              <w:rPr>
                <w:rFonts w:ascii="Times New Roman" w:hAnsi="Times New Roman" w:eastAsia="新宋体"/>
                <w:color w:val="auto"/>
                <w:sz w:val="18"/>
                <w:szCs w:val="18"/>
                <w:highlight w:val="none"/>
                <w:vertAlign w:val="subscript"/>
              </w:rPr>
              <w:t>2.5</w:t>
            </w:r>
            <w:r>
              <w:rPr>
                <w:rFonts w:ascii="Times New Roman" w:hAnsi="Times New Roman" w:eastAsia="新宋体"/>
                <w:color w:val="auto"/>
                <w:sz w:val="18"/>
                <w:szCs w:val="18"/>
                <w:highlight w:val="none"/>
              </w:rPr>
              <w:t>）</w:t>
            </w:r>
          </w:p>
        </w:tc>
        <w:tc>
          <w:tcPr>
            <w:tcW w:w="1806" w:type="pct"/>
            <w:gridSpan w:val="10"/>
            <w:tcBorders>
              <w:top w:val="single" w:color="auto" w:sz="4" w:space="0"/>
              <w:left w:val="single" w:color="auto" w:sz="4" w:space="0"/>
              <w:bottom w:val="single" w:color="auto" w:sz="4" w:space="0"/>
              <w:right w:val="single" w:color="auto" w:sz="4" w:space="0"/>
            </w:tcBorders>
            <w:noWrap w:val="0"/>
            <w:vAlign w:val="center"/>
          </w:tcPr>
          <w:p w14:paraId="2509D1CA">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包括二次PM</w:t>
            </w:r>
            <w:r>
              <w:rPr>
                <w:rFonts w:ascii="Times New Roman" w:hAnsi="Times New Roman" w:eastAsia="新宋体"/>
                <w:color w:val="auto"/>
                <w:sz w:val="18"/>
                <w:szCs w:val="18"/>
                <w:highlight w:val="none"/>
                <w:vertAlign w:val="subscript"/>
              </w:rPr>
              <w:t>2.5</w:t>
            </w:r>
            <w:r>
              <w:rPr>
                <w:rFonts w:ascii="Times New Roman" w:hAnsi="Times New Roman" w:eastAsia="新宋体"/>
                <w:color w:val="auto"/>
                <w:sz w:val="18"/>
                <w:szCs w:val="18"/>
                <w:highlight w:val="none"/>
              </w:rPr>
              <w:sym w:font="Wingdings" w:char="00A8"/>
            </w:r>
          </w:p>
          <w:p w14:paraId="16FF2736">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不包括二次PM</w:t>
            </w:r>
            <w:r>
              <w:rPr>
                <w:rFonts w:ascii="Times New Roman" w:hAnsi="Times New Roman" w:eastAsia="新宋体"/>
                <w:color w:val="auto"/>
                <w:sz w:val="18"/>
                <w:szCs w:val="18"/>
                <w:highlight w:val="none"/>
                <w:vertAlign w:val="subscript"/>
              </w:rPr>
              <w:t>2.5</w:t>
            </w:r>
            <w:r>
              <w:rPr>
                <w:rFonts w:ascii="Times New Roman" w:hAnsi="Times New Roman" w:eastAsia="新宋体"/>
                <w:color w:val="auto"/>
                <w:sz w:val="18"/>
                <w:szCs w:val="18"/>
                <w:highlight w:val="none"/>
              </w:rPr>
              <w:sym w:font="Wingdings" w:char="00FE"/>
            </w:r>
          </w:p>
        </w:tc>
      </w:tr>
      <w:tr w14:paraId="1F73A0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79" w:type="pct"/>
            <w:vMerge w:val="continue"/>
            <w:tcBorders>
              <w:top w:val="single" w:color="auto" w:sz="4" w:space="0"/>
              <w:left w:val="single" w:color="auto" w:sz="4" w:space="0"/>
              <w:bottom w:val="single" w:color="auto" w:sz="4" w:space="0"/>
              <w:right w:val="single" w:color="auto" w:sz="4" w:space="0"/>
            </w:tcBorders>
            <w:noWrap w:val="0"/>
            <w:vAlign w:val="center"/>
          </w:tcPr>
          <w:p w14:paraId="4C57446E">
            <w:pPr>
              <w:spacing w:line="240" w:lineRule="auto"/>
              <w:ind w:firstLine="0" w:firstLineChars="0"/>
              <w:jc w:val="center"/>
              <w:rPr>
                <w:rFonts w:ascii="Times New Roman" w:hAnsi="Times New Roman" w:eastAsia="新宋体"/>
                <w:color w:val="auto"/>
                <w:sz w:val="18"/>
                <w:szCs w:val="18"/>
                <w:highlight w:val="none"/>
              </w:rPr>
            </w:pPr>
          </w:p>
        </w:tc>
        <w:tc>
          <w:tcPr>
            <w:tcW w:w="959" w:type="pct"/>
            <w:tcBorders>
              <w:top w:val="single" w:color="auto" w:sz="4" w:space="0"/>
              <w:left w:val="single" w:color="auto" w:sz="4" w:space="0"/>
              <w:bottom w:val="single" w:color="auto" w:sz="4" w:space="0"/>
              <w:right w:val="single" w:color="auto" w:sz="4" w:space="0"/>
            </w:tcBorders>
            <w:noWrap w:val="0"/>
            <w:vAlign w:val="center"/>
          </w:tcPr>
          <w:p w14:paraId="4D0F670D">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正常排放短期浓度贡献值</w:t>
            </w:r>
          </w:p>
        </w:tc>
        <w:tc>
          <w:tcPr>
            <w:tcW w:w="1756" w:type="pct"/>
            <w:gridSpan w:val="7"/>
            <w:tcBorders>
              <w:top w:val="single" w:color="auto" w:sz="4" w:space="0"/>
              <w:left w:val="single" w:color="auto" w:sz="4" w:space="0"/>
              <w:bottom w:val="single" w:color="auto" w:sz="4" w:space="0"/>
              <w:right w:val="single" w:color="auto" w:sz="4" w:space="0"/>
            </w:tcBorders>
            <w:noWrap w:val="0"/>
            <w:vAlign w:val="center"/>
          </w:tcPr>
          <w:p w14:paraId="35B3E646">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C本项目最大占标率</w:t>
            </w:r>
            <w:r>
              <w:rPr>
                <w:rFonts w:hint="eastAsia" w:ascii="宋体" w:hAnsi="宋体" w:cs="宋体"/>
                <w:color w:val="auto"/>
                <w:sz w:val="18"/>
                <w:szCs w:val="18"/>
                <w:highlight w:val="none"/>
              </w:rPr>
              <w:t>≦</w:t>
            </w:r>
            <w:r>
              <w:rPr>
                <w:rFonts w:ascii="Times New Roman" w:hAnsi="Times New Roman" w:eastAsia="新宋体"/>
                <w:color w:val="auto"/>
                <w:sz w:val="18"/>
                <w:szCs w:val="18"/>
                <w:highlight w:val="none"/>
              </w:rPr>
              <w:t>100%</w:t>
            </w:r>
            <w:r>
              <w:rPr>
                <w:rFonts w:ascii="Times New Roman" w:hAnsi="Times New Roman" w:eastAsia="新宋体"/>
                <w:color w:val="auto"/>
                <w:sz w:val="18"/>
                <w:szCs w:val="18"/>
                <w:highlight w:val="none"/>
              </w:rPr>
              <w:sym w:font="Wingdings" w:char="00FE"/>
            </w:r>
          </w:p>
        </w:tc>
        <w:tc>
          <w:tcPr>
            <w:tcW w:w="1806" w:type="pct"/>
            <w:gridSpan w:val="10"/>
            <w:tcBorders>
              <w:top w:val="single" w:color="auto" w:sz="4" w:space="0"/>
              <w:left w:val="single" w:color="auto" w:sz="4" w:space="0"/>
              <w:bottom w:val="single" w:color="auto" w:sz="4" w:space="0"/>
              <w:right w:val="single" w:color="auto" w:sz="4" w:space="0"/>
            </w:tcBorders>
            <w:noWrap w:val="0"/>
            <w:vAlign w:val="center"/>
          </w:tcPr>
          <w:p w14:paraId="10DE8E22">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C本项目最大占标率&gt;100%</w:t>
            </w:r>
            <w:r>
              <w:rPr>
                <w:rFonts w:ascii="Times New Roman" w:hAnsi="Times New Roman" w:eastAsia="新宋体"/>
                <w:color w:val="auto"/>
                <w:sz w:val="18"/>
                <w:szCs w:val="18"/>
                <w:highlight w:val="none"/>
              </w:rPr>
              <w:sym w:font="Wingdings" w:char="00A8"/>
            </w:r>
          </w:p>
        </w:tc>
      </w:tr>
      <w:tr w14:paraId="26CE17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79" w:type="pct"/>
            <w:vMerge w:val="continue"/>
            <w:tcBorders>
              <w:top w:val="single" w:color="auto" w:sz="4" w:space="0"/>
              <w:left w:val="single" w:color="auto" w:sz="4" w:space="0"/>
              <w:bottom w:val="single" w:color="auto" w:sz="4" w:space="0"/>
              <w:right w:val="single" w:color="auto" w:sz="4" w:space="0"/>
            </w:tcBorders>
            <w:noWrap w:val="0"/>
            <w:vAlign w:val="center"/>
          </w:tcPr>
          <w:p w14:paraId="70A2CABF">
            <w:pPr>
              <w:spacing w:line="240" w:lineRule="auto"/>
              <w:ind w:firstLine="0" w:firstLineChars="0"/>
              <w:jc w:val="center"/>
              <w:rPr>
                <w:rFonts w:ascii="Times New Roman" w:hAnsi="Times New Roman" w:eastAsia="新宋体"/>
                <w:color w:val="auto"/>
                <w:sz w:val="18"/>
                <w:szCs w:val="18"/>
                <w:highlight w:val="none"/>
              </w:rPr>
            </w:pPr>
          </w:p>
        </w:tc>
        <w:tc>
          <w:tcPr>
            <w:tcW w:w="959" w:type="pct"/>
            <w:vMerge w:val="restart"/>
            <w:tcBorders>
              <w:top w:val="single" w:color="auto" w:sz="4" w:space="0"/>
              <w:left w:val="single" w:color="auto" w:sz="4" w:space="0"/>
              <w:bottom w:val="single" w:color="auto" w:sz="4" w:space="0"/>
              <w:right w:val="single" w:color="auto" w:sz="4" w:space="0"/>
            </w:tcBorders>
            <w:noWrap w:val="0"/>
            <w:vAlign w:val="center"/>
          </w:tcPr>
          <w:p w14:paraId="4D4E80D1">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正常排放年均浓度贡献值</w:t>
            </w:r>
          </w:p>
        </w:tc>
        <w:tc>
          <w:tcPr>
            <w:tcW w:w="547" w:type="pct"/>
            <w:tcBorders>
              <w:top w:val="single" w:color="auto" w:sz="4" w:space="0"/>
              <w:left w:val="single" w:color="auto" w:sz="4" w:space="0"/>
              <w:bottom w:val="single" w:color="auto" w:sz="4" w:space="0"/>
              <w:right w:val="single" w:color="auto" w:sz="4" w:space="0"/>
            </w:tcBorders>
            <w:noWrap w:val="0"/>
            <w:vAlign w:val="center"/>
          </w:tcPr>
          <w:p w14:paraId="7D0E9A36">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一类区</w:t>
            </w:r>
          </w:p>
        </w:tc>
        <w:tc>
          <w:tcPr>
            <w:tcW w:w="1493" w:type="pct"/>
            <w:gridSpan w:val="8"/>
            <w:tcBorders>
              <w:top w:val="single" w:color="auto" w:sz="4" w:space="0"/>
              <w:left w:val="single" w:color="auto" w:sz="4" w:space="0"/>
              <w:bottom w:val="single" w:color="auto" w:sz="4" w:space="0"/>
              <w:right w:val="single" w:color="auto" w:sz="4" w:space="0"/>
            </w:tcBorders>
            <w:noWrap w:val="0"/>
            <w:vAlign w:val="center"/>
          </w:tcPr>
          <w:p w14:paraId="3BD0C286">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C本项目最大占标率</w:t>
            </w:r>
            <w:r>
              <w:rPr>
                <w:rFonts w:hint="eastAsia" w:ascii="宋体" w:hAnsi="宋体" w:cs="宋体"/>
                <w:color w:val="auto"/>
                <w:sz w:val="18"/>
                <w:szCs w:val="18"/>
                <w:highlight w:val="none"/>
              </w:rPr>
              <w:t>≦</w:t>
            </w:r>
            <w:r>
              <w:rPr>
                <w:rFonts w:ascii="Times New Roman" w:hAnsi="Times New Roman" w:eastAsia="新宋体"/>
                <w:color w:val="auto"/>
                <w:sz w:val="18"/>
                <w:szCs w:val="18"/>
                <w:highlight w:val="none"/>
              </w:rPr>
              <w:t>10%</w:t>
            </w:r>
            <w:r>
              <w:rPr>
                <w:rFonts w:ascii="Times New Roman" w:hAnsi="Times New Roman" w:eastAsia="新宋体"/>
                <w:color w:val="auto"/>
                <w:sz w:val="18"/>
                <w:szCs w:val="18"/>
                <w:highlight w:val="none"/>
              </w:rPr>
              <w:sym w:font="Wingdings" w:char="00A8"/>
            </w:r>
          </w:p>
        </w:tc>
        <w:tc>
          <w:tcPr>
            <w:tcW w:w="1522" w:type="pct"/>
            <w:gridSpan w:val="8"/>
            <w:tcBorders>
              <w:top w:val="single" w:color="auto" w:sz="4" w:space="0"/>
              <w:left w:val="single" w:color="auto" w:sz="4" w:space="0"/>
              <w:bottom w:val="single" w:color="auto" w:sz="4" w:space="0"/>
              <w:right w:val="single" w:color="auto" w:sz="4" w:space="0"/>
            </w:tcBorders>
            <w:noWrap w:val="0"/>
            <w:vAlign w:val="center"/>
          </w:tcPr>
          <w:p w14:paraId="5EB44AD9">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C本项目最大占标率＞10%</w:t>
            </w:r>
            <w:r>
              <w:rPr>
                <w:rFonts w:ascii="Times New Roman" w:hAnsi="Times New Roman" w:eastAsia="新宋体"/>
                <w:color w:val="auto"/>
                <w:sz w:val="18"/>
                <w:szCs w:val="18"/>
                <w:highlight w:val="none"/>
              </w:rPr>
              <w:sym w:font="Wingdings" w:char="00A8"/>
            </w:r>
          </w:p>
        </w:tc>
      </w:tr>
      <w:tr w14:paraId="51552E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79" w:type="pct"/>
            <w:vMerge w:val="continue"/>
            <w:tcBorders>
              <w:top w:val="single" w:color="auto" w:sz="4" w:space="0"/>
              <w:left w:val="single" w:color="auto" w:sz="4" w:space="0"/>
              <w:bottom w:val="single" w:color="auto" w:sz="4" w:space="0"/>
              <w:right w:val="single" w:color="auto" w:sz="4" w:space="0"/>
            </w:tcBorders>
            <w:noWrap w:val="0"/>
            <w:vAlign w:val="center"/>
          </w:tcPr>
          <w:p w14:paraId="377912AC">
            <w:pPr>
              <w:spacing w:line="240" w:lineRule="auto"/>
              <w:ind w:firstLine="0" w:firstLineChars="0"/>
              <w:jc w:val="center"/>
              <w:rPr>
                <w:rFonts w:ascii="Times New Roman" w:hAnsi="Times New Roman" w:eastAsia="新宋体"/>
                <w:color w:val="auto"/>
                <w:sz w:val="18"/>
                <w:szCs w:val="18"/>
                <w:highlight w:val="none"/>
              </w:rPr>
            </w:pPr>
          </w:p>
        </w:tc>
        <w:tc>
          <w:tcPr>
            <w:tcW w:w="959" w:type="pct"/>
            <w:vMerge w:val="continue"/>
            <w:tcBorders>
              <w:top w:val="single" w:color="auto" w:sz="4" w:space="0"/>
              <w:left w:val="single" w:color="auto" w:sz="4" w:space="0"/>
              <w:bottom w:val="single" w:color="auto" w:sz="4" w:space="0"/>
              <w:right w:val="single" w:color="auto" w:sz="4" w:space="0"/>
            </w:tcBorders>
            <w:noWrap w:val="0"/>
            <w:vAlign w:val="center"/>
          </w:tcPr>
          <w:p w14:paraId="74DB05E1">
            <w:pPr>
              <w:spacing w:line="240" w:lineRule="auto"/>
              <w:ind w:firstLine="0" w:firstLineChars="0"/>
              <w:jc w:val="center"/>
              <w:rPr>
                <w:rFonts w:ascii="Times New Roman" w:hAnsi="Times New Roman" w:eastAsia="新宋体"/>
                <w:color w:val="auto"/>
                <w:sz w:val="18"/>
                <w:szCs w:val="18"/>
                <w:highlight w:val="none"/>
              </w:rPr>
            </w:pPr>
          </w:p>
        </w:tc>
        <w:tc>
          <w:tcPr>
            <w:tcW w:w="547" w:type="pct"/>
            <w:tcBorders>
              <w:top w:val="single" w:color="auto" w:sz="4" w:space="0"/>
              <w:left w:val="single" w:color="auto" w:sz="4" w:space="0"/>
              <w:bottom w:val="single" w:color="auto" w:sz="4" w:space="0"/>
              <w:right w:val="single" w:color="auto" w:sz="4" w:space="0"/>
            </w:tcBorders>
            <w:noWrap w:val="0"/>
            <w:vAlign w:val="center"/>
          </w:tcPr>
          <w:p w14:paraId="7589C233">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二类区</w:t>
            </w:r>
          </w:p>
        </w:tc>
        <w:tc>
          <w:tcPr>
            <w:tcW w:w="1493" w:type="pct"/>
            <w:gridSpan w:val="8"/>
            <w:tcBorders>
              <w:top w:val="single" w:color="auto" w:sz="4" w:space="0"/>
              <w:left w:val="single" w:color="auto" w:sz="4" w:space="0"/>
              <w:bottom w:val="single" w:color="auto" w:sz="4" w:space="0"/>
              <w:right w:val="single" w:color="auto" w:sz="4" w:space="0"/>
            </w:tcBorders>
            <w:noWrap w:val="0"/>
            <w:vAlign w:val="center"/>
          </w:tcPr>
          <w:p w14:paraId="64308B5C">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C本项目最大占标率</w:t>
            </w:r>
            <w:r>
              <w:rPr>
                <w:rFonts w:hint="eastAsia" w:ascii="宋体" w:hAnsi="宋体" w:cs="宋体"/>
                <w:color w:val="auto"/>
                <w:sz w:val="18"/>
                <w:szCs w:val="18"/>
                <w:highlight w:val="none"/>
              </w:rPr>
              <w:t>≦</w:t>
            </w:r>
            <w:r>
              <w:rPr>
                <w:rFonts w:ascii="Times New Roman" w:hAnsi="Times New Roman" w:eastAsia="新宋体"/>
                <w:color w:val="auto"/>
                <w:sz w:val="18"/>
                <w:szCs w:val="18"/>
                <w:highlight w:val="none"/>
              </w:rPr>
              <w:t>30%</w:t>
            </w:r>
            <w:r>
              <w:rPr>
                <w:rFonts w:ascii="Times New Roman" w:hAnsi="Times New Roman" w:eastAsia="新宋体"/>
                <w:color w:val="auto"/>
                <w:sz w:val="18"/>
                <w:szCs w:val="18"/>
                <w:highlight w:val="none"/>
              </w:rPr>
              <w:sym w:font="Wingdings" w:char="00FE"/>
            </w:r>
          </w:p>
        </w:tc>
        <w:tc>
          <w:tcPr>
            <w:tcW w:w="1522" w:type="pct"/>
            <w:gridSpan w:val="8"/>
            <w:tcBorders>
              <w:top w:val="single" w:color="auto" w:sz="4" w:space="0"/>
              <w:left w:val="single" w:color="auto" w:sz="4" w:space="0"/>
              <w:bottom w:val="single" w:color="auto" w:sz="4" w:space="0"/>
              <w:right w:val="single" w:color="auto" w:sz="4" w:space="0"/>
            </w:tcBorders>
            <w:noWrap w:val="0"/>
            <w:vAlign w:val="center"/>
          </w:tcPr>
          <w:p w14:paraId="1907FCC3">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C本项目最大占标率＞30%</w:t>
            </w:r>
            <w:r>
              <w:rPr>
                <w:rFonts w:ascii="Times New Roman" w:hAnsi="Times New Roman" w:eastAsia="新宋体"/>
                <w:color w:val="auto"/>
                <w:sz w:val="18"/>
                <w:szCs w:val="18"/>
                <w:highlight w:val="none"/>
              </w:rPr>
              <w:sym w:font="Wingdings" w:char="00A8"/>
            </w:r>
          </w:p>
        </w:tc>
      </w:tr>
      <w:tr w14:paraId="4B6481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79" w:type="pct"/>
            <w:vMerge w:val="continue"/>
            <w:tcBorders>
              <w:top w:val="single" w:color="auto" w:sz="4" w:space="0"/>
              <w:left w:val="single" w:color="auto" w:sz="4" w:space="0"/>
              <w:bottom w:val="single" w:color="auto" w:sz="4" w:space="0"/>
              <w:right w:val="single" w:color="auto" w:sz="4" w:space="0"/>
            </w:tcBorders>
            <w:noWrap w:val="0"/>
            <w:vAlign w:val="center"/>
          </w:tcPr>
          <w:p w14:paraId="30AB86D6">
            <w:pPr>
              <w:spacing w:line="240" w:lineRule="auto"/>
              <w:ind w:firstLine="0" w:firstLineChars="0"/>
              <w:jc w:val="center"/>
              <w:rPr>
                <w:rFonts w:ascii="Times New Roman" w:hAnsi="Times New Roman" w:eastAsia="新宋体"/>
                <w:color w:val="auto"/>
                <w:sz w:val="18"/>
                <w:szCs w:val="18"/>
                <w:highlight w:val="none"/>
              </w:rPr>
            </w:pPr>
          </w:p>
        </w:tc>
        <w:tc>
          <w:tcPr>
            <w:tcW w:w="959" w:type="pct"/>
            <w:tcBorders>
              <w:top w:val="single" w:color="auto" w:sz="4" w:space="0"/>
              <w:left w:val="single" w:color="auto" w:sz="4" w:space="0"/>
              <w:bottom w:val="single" w:color="auto" w:sz="4" w:space="0"/>
              <w:right w:val="single" w:color="auto" w:sz="4" w:space="0"/>
            </w:tcBorders>
            <w:noWrap w:val="0"/>
            <w:vAlign w:val="center"/>
          </w:tcPr>
          <w:p w14:paraId="34E9809A">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非正常排放1h浓度贡献值</w:t>
            </w:r>
          </w:p>
        </w:tc>
        <w:tc>
          <w:tcPr>
            <w:tcW w:w="1058" w:type="pct"/>
            <w:gridSpan w:val="4"/>
            <w:tcBorders>
              <w:top w:val="single" w:color="auto" w:sz="4" w:space="0"/>
              <w:left w:val="single" w:color="auto" w:sz="4" w:space="0"/>
              <w:bottom w:val="single" w:color="auto" w:sz="4" w:space="0"/>
              <w:right w:val="single" w:color="auto" w:sz="4" w:space="0"/>
            </w:tcBorders>
            <w:noWrap w:val="0"/>
            <w:vAlign w:val="center"/>
          </w:tcPr>
          <w:p w14:paraId="1486CEBD">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非正常持续时长（24）h</w:t>
            </w:r>
          </w:p>
        </w:tc>
        <w:tc>
          <w:tcPr>
            <w:tcW w:w="1489" w:type="pct"/>
            <w:gridSpan w:val="7"/>
            <w:tcBorders>
              <w:top w:val="single" w:color="auto" w:sz="4" w:space="0"/>
              <w:left w:val="single" w:color="auto" w:sz="4" w:space="0"/>
              <w:bottom w:val="single" w:color="auto" w:sz="4" w:space="0"/>
              <w:right w:val="single" w:color="auto" w:sz="4" w:space="0"/>
            </w:tcBorders>
            <w:noWrap w:val="0"/>
            <w:vAlign w:val="center"/>
          </w:tcPr>
          <w:p w14:paraId="56C784D3">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C非正常占标率</w:t>
            </w:r>
            <w:r>
              <w:rPr>
                <w:rFonts w:hint="eastAsia" w:ascii="宋体" w:hAnsi="宋体" w:cs="宋体"/>
                <w:color w:val="auto"/>
                <w:sz w:val="18"/>
                <w:szCs w:val="18"/>
                <w:highlight w:val="none"/>
              </w:rPr>
              <w:t>≦</w:t>
            </w:r>
            <w:r>
              <w:rPr>
                <w:rFonts w:ascii="Times New Roman" w:hAnsi="Times New Roman" w:eastAsia="新宋体"/>
                <w:color w:val="auto"/>
                <w:sz w:val="18"/>
                <w:szCs w:val="18"/>
                <w:highlight w:val="none"/>
              </w:rPr>
              <w:t>100%</w:t>
            </w:r>
            <w:r>
              <w:rPr>
                <w:rFonts w:ascii="Times New Roman" w:hAnsi="Times New Roman" w:eastAsia="新宋体"/>
                <w:color w:val="auto"/>
                <w:sz w:val="18"/>
                <w:szCs w:val="18"/>
                <w:highlight w:val="none"/>
              </w:rPr>
              <w:sym w:font="Wingdings" w:char="00FE"/>
            </w:r>
          </w:p>
        </w:tc>
        <w:tc>
          <w:tcPr>
            <w:tcW w:w="1015" w:type="pct"/>
            <w:gridSpan w:val="6"/>
            <w:tcBorders>
              <w:top w:val="single" w:color="auto" w:sz="4" w:space="0"/>
              <w:left w:val="single" w:color="auto" w:sz="4" w:space="0"/>
              <w:bottom w:val="single" w:color="auto" w:sz="4" w:space="0"/>
              <w:right w:val="single" w:color="auto" w:sz="4" w:space="0"/>
            </w:tcBorders>
            <w:noWrap w:val="0"/>
            <w:vAlign w:val="center"/>
          </w:tcPr>
          <w:p w14:paraId="333B6C1E">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C非正常占标率&gt;100%</w:t>
            </w:r>
            <w:r>
              <w:rPr>
                <w:rFonts w:ascii="Times New Roman" w:hAnsi="Times New Roman" w:eastAsia="新宋体"/>
                <w:color w:val="auto"/>
                <w:sz w:val="18"/>
                <w:szCs w:val="18"/>
                <w:highlight w:val="none"/>
              </w:rPr>
              <w:sym w:font="Wingdings" w:char="00A8"/>
            </w:r>
          </w:p>
        </w:tc>
      </w:tr>
      <w:tr w14:paraId="31C257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79" w:type="pct"/>
            <w:vMerge w:val="continue"/>
            <w:tcBorders>
              <w:top w:val="single" w:color="auto" w:sz="4" w:space="0"/>
              <w:left w:val="single" w:color="auto" w:sz="4" w:space="0"/>
              <w:bottom w:val="single" w:color="auto" w:sz="4" w:space="0"/>
              <w:right w:val="single" w:color="auto" w:sz="4" w:space="0"/>
            </w:tcBorders>
            <w:noWrap w:val="0"/>
            <w:vAlign w:val="center"/>
          </w:tcPr>
          <w:p w14:paraId="05C1E796">
            <w:pPr>
              <w:spacing w:line="240" w:lineRule="auto"/>
              <w:ind w:firstLine="0" w:firstLineChars="0"/>
              <w:jc w:val="center"/>
              <w:rPr>
                <w:rFonts w:ascii="Times New Roman" w:hAnsi="Times New Roman" w:eastAsia="新宋体"/>
                <w:color w:val="auto"/>
                <w:sz w:val="18"/>
                <w:szCs w:val="18"/>
                <w:highlight w:val="none"/>
              </w:rPr>
            </w:pPr>
          </w:p>
        </w:tc>
        <w:tc>
          <w:tcPr>
            <w:tcW w:w="959" w:type="pct"/>
            <w:tcBorders>
              <w:top w:val="single" w:color="auto" w:sz="4" w:space="0"/>
              <w:left w:val="single" w:color="auto" w:sz="4" w:space="0"/>
              <w:bottom w:val="single" w:color="auto" w:sz="4" w:space="0"/>
              <w:right w:val="single" w:color="auto" w:sz="4" w:space="0"/>
            </w:tcBorders>
            <w:noWrap w:val="0"/>
            <w:vAlign w:val="center"/>
          </w:tcPr>
          <w:p w14:paraId="08BF07EA">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保证率日平均浓度和年评价浓度叠加值</w:t>
            </w:r>
          </w:p>
        </w:tc>
        <w:tc>
          <w:tcPr>
            <w:tcW w:w="1756" w:type="pct"/>
            <w:gridSpan w:val="7"/>
            <w:tcBorders>
              <w:top w:val="single" w:color="auto" w:sz="4" w:space="0"/>
              <w:left w:val="single" w:color="auto" w:sz="4" w:space="0"/>
              <w:bottom w:val="single" w:color="auto" w:sz="4" w:space="0"/>
              <w:right w:val="single" w:color="auto" w:sz="4" w:space="0"/>
            </w:tcBorders>
            <w:noWrap w:val="0"/>
            <w:vAlign w:val="center"/>
          </w:tcPr>
          <w:p w14:paraId="19C97C00">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C叠加达标</w:t>
            </w:r>
            <w:r>
              <w:rPr>
                <w:rFonts w:ascii="Times New Roman" w:hAnsi="Times New Roman" w:eastAsia="新宋体"/>
                <w:color w:val="auto"/>
                <w:sz w:val="18"/>
                <w:szCs w:val="18"/>
                <w:highlight w:val="none"/>
              </w:rPr>
              <w:sym w:font="Wingdings" w:char="00FE"/>
            </w:r>
          </w:p>
        </w:tc>
        <w:tc>
          <w:tcPr>
            <w:tcW w:w="1806" w:type="pct"/>
            <w:gridSpan w:val="10"/>
            <w:tcBorders>
              <w:top w:val="single" w:color="auto" w:sz="4" w:space="0"/>
              <w:left w:val="single" w:color="auto" w:sz="4" w:space="0"/>
              <w:bottom w:val="single" w:color="auto" w:sz="4" w:space="0"/>
              <w:right w:val="single" w:color="auto" w:sz="4" w:space="0"/>
            </w:tcBorders>
            <w:noWrap w:val="0"/>
            <w:vAlign w:val="center"/>
          </w:tcPr>
          <w:p w14:paraId="2BA1062A">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C叠加不达标</w:t>
            </w:r>
            <w:r>
              <w:rPr>
                <w:rFonts w:ascii="Times New Roman" w:hAnsi="Times New Roman" w:eastAsia="新宋体"/>
                <w:color w:val="auto"/>
                <w:sz w:val="18"/>
                <w:szCs w:val="18"/>
                <w:highlight w:val="none"/>
              </w:rPr>
              <w:sym w:font="Wingdings" w:char="00A8"/>
            </w:r>
          </w:p>
        </w:tc>
      </w:tr>
      <w:tr w14:paraId="18D10D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79" w:type="pct"/>
            <w:vMerge w:val="continue"/>
            <w:tcBorders>
              <w:top w:val="single" w:color="auto" w:sz="4" w:space="0"/>
              <w:left w:val="single" w:color="auto" w:sz="4" w:space="0"/>
              <w:bottom w:val="single" w:color="auto" w:sz="4" w:space="0"/>
              <w:right w:val="single" w:color="auto" w:sz="4" w:space="0"/>
            </w:tcBorders>
            <w:noWrap w:val="0"/>
            <w:vAlign w:val="center"/>
          </w:tcPr>
          <w:p w14:paraId="26D83BBA">
            <w:pPr>
              <w:spacing w:line="240" w:lineRule="auto"/>
              <w:ind w:firstLine="0" w:firstLineChars="0"/>
              <w:jc w:val="center"/>
              <w:rPr>
                <w:rFonts w:ascii="Times New Roman" w:hAnsi="Times New Roman" w:eastAsia="新宋体"/>
                <w:color w:val="auto"/>
                <w:sz w:val="18"/>
                <w:szCs w:val="18"/>
                <w:highlight w:val="none"/>
              </w:rPr>
            </w:pPr>
          </w:p>
        </w:tc>
        <w:tc>
          <w:tcPr>
            <w:tcW w:w="959" w:type="pct"/>
            <w:tcBorders>
              <w:top w:val="single" w:color="auto" w:sz="4" w:space="0"/>
              <w:left w:val="single" w:color="auto" w:sz="4" w:space="0"/>
              <w:bottom w:val="single" w:color="auto" w:sz="4" w:space="0"/>
              <w:right w:val="single" w:color="auto" w:sz="4" w:space="0"/>
            </w:tcBorders>
            <w:noWrap w:val="0"/>
            <w:vAlign w:val="center"/>
          </w:tcPr>
          <w:p w14:paraId="23C916B6">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区域环境质量的整体变化情况</w:t>
            </w:r>
          </w:p>
        </w:tc>
        <w:tc>
          <w:tcPr>
            <w:tcW w:w="1756" w:type="pct"/>
            <w:gridSpan w:val="7"/>
            <w:tcBorders>
              <w:top w:val="single" w:color="auto" w:sz="4" w:space="0"/>
              <w:left w:val="single" w:color="auto" w:sz="4" w:space="0"/>
              <w:bottom w:val="single" w:color="auto" w:sz="4" w:space="0"/>
              <w:right w:val="single" w:color="auto" w:sz="4" w:space="0"/>
            </w:tcBorders>
            <w:noWrap w:val="0"/>
            <w:vAlign w:val="center"/>
          </w:tcPr>
          <w:p w14:paraId="782DBE59">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k</w:t>
            </w:r>
            <w:r>
              <w:rPr>
                <w:rFonts w:hint="eastAsia" w:ascii="宋体" w:hAnsi="宋体" w:cs="宋体"/>
                <w:color w:val="auto"/>
                <w:sz w:val="18"/>
                <w:szCs w:val="18"/>
                <w:highlight w:val="none"/>
              </w:rPr>
              <w:t>≦</w:t>
            </w:r>
            <w:r>
              <w:rPr>
                <w:rFonts w:ascii="Times New Roman" w:hAnsi="Times New Roman" w:eastAsia="新宋体"/>
                <w:color w:val="auto"/>
                <w:sz w:val="18"/>
                <w:szCs w:val="18"/>
                <w:highlight w:val="none"/>
              </w:rPr>
              <w:t>-20%</w:t>
            </w:r>
            <w:r>
              <w:rPr>
                <w:rFonts w:ascii="Times New Roman" w:hAnsi="Times New Roman" w:eastAsia="新宋体"/>
                <w:color w:val="auto"/>
                <w:sz w:val="18"/>
                <w:szCs w:val="18"/>
                <w:highlight w:val="none"/>
              </w:rPr>
              <w:sym w:font="Wingdings" w:char="00FE"/>
            </w:r>
          </w:p>
        </w:tc>
        <w:tc>
          <w:tcPr>
            <w:tcW w:w="1806" w:type="pct"/>
            <w:gridSpan w:val="10"/>
            <w:tcBorders>
              <w:top w:val="single" w:color="auto" w:sz="4" w:space="0"/>
              <w:left w:val="single" w:color="auto" w:sz="4" w:space="0"/>
              <w:bottom w:val="single" w:color="auto" w:sz="4" w:space="0"/>
              <w:right w:val="single" w:color="auto" w:sz="4" w:space="0"/>
            </w:tcBorders>
            <w:noWrap w:val="0"/>
            <w:vAlign w:val="center"/>
          </w:tcPr>
          <w:p w14:paraId="760E2439">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K&gt;-20%</w:t>
            </w:r>
          </w:p>
        </w:tc>
      </w:tr>
      <w:tr w14:paraId="1E3F96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79" w:type="pct"/>
            <w:vMerge w:val="restart"/>
            <w:tcBorders>
              <w:top w:val="single" w:color="auto" w:sz="4" w:space="0"/>
              <w:left w:val="single" w:color="auto" w:sz="4" w:space="0"/>
              <w:bottom w:val="single" w:color="auto" w:sz="4" w:space="0"/>
              <w:right w:val="single" w:color="auto" w:sz="4" w:space="0"/>
            </w:tcBorders>
            <w:noWrap w:val="0"/>
            <w:vAlign w:val="center"/>
          </w:tcPr>
          <w:p w14:paraId="3278333D">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环境监测计划</w:t>
            </w:r>
          </w:p>
        </w:tc>
        <w:tc>
          <w:tcPr>
            <w:tcW w:w="959" w:type="pct"/>
            <w:tcBorders>
              <w:top w:val="single" w:color="auto" w:sz="4" w:space="0"/>
              <w:left w:val="single" w:color="auto" w:sz="4" w:space="0"/>
              <w:bottom w:val="single" w:color="auto" w:sz="4" w:space="0"/>
              <w:right w:val="single" w:color="auto" w:sz="4" w:space="0"/>
            </w:tcBorders>
            <w:noWrap w:val="0"/>
            <w:vAlign w:val="center"/>
          </w:tcPr>
          <w:p w14:paraId="60D3D76D">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污染源监测</w:t>
            </w:r>
          </w:p>
        </w:tc>
        <w:tc>
          <w:tcPr>
            <w:tcW w:w="1756" w:type="pct"/>
            <w:gridSpan w:val="7"/>
            <w:tcBorders>
              <w:top w:val="single" w:color="auto" w:sz="4" w:space="0"/>
              <w:left w:val="single" w:color="auto" w:sz="4" w:space="0"/>
              <w:bottom w:val="single" w:color="auto" w:sz="4" w:space="0"/>
              <w:right w:val="single" w:color="auto" w:sz="4" w:space="0"/>
            </w:tcBorders>
            <w:noWrap w:val="0"/>
            <w:vAlign w:val="center"/>
          </w:tcPr>
          <w:p w14:paraId="2140633C">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监测因子：（TSP、NO</w:t>
            </w:r>
            <w:r>
              <w:rPr>
                <w:rFonts w:ascii="Times New Roman" w:hAnsi="Times New Roman" w:eastAsia="新宋体"/>
                <w:color w:val="auto"/>
                <w:sz w:val="18"/>
                <w:szCs w:val="18"/>
                <w:highlight w:val="none"/>
                <w:vertAlign w:val="subscript"/>
              </w:rPr>
              <w:t>x</w:t>
            </w:r>
            <w:r>
              <w:rPr>
                <w:rFonts w:ascii="Times New Roman" w:hAnsi="Times New Roman" w:eastAsia="新宋体"/>
                <w:color w:val="auto"/>
                <w:sz w:val="18"/>
                <w:szCs w:val="18"/>
                <w:highlight w:val="none"/>
              </w:rPr>
              <w:t>、汞及其化合物、氨、非甲烷总烃）</w:t>
            </w:r>
          </w:p>
        </w:tc>
        <w:tc>
          <w:tcPr>
            <w:tcW w:w="1243" w:type="pct"/>
            <w:gridSpan w:val="8"/>
            <w:tcBorders>
              <w:top w:val="single" w:color="auto" w:sz="4" w:space="0"/>
              <w:left w:val="single" w:color="auto" w:sz="4" w:space="0"/>
              <w:bottom w:val="single" w:color="auto" w:sz="4" w:space="0"/>
              <w:right w:val="single" w:color="auto" w:sz="4" w:space="0"/>
            </w:tcBorders>
            <w:noWrap w:val="0"/>
            <w:vAlign w:val="center"/>
          </w:tcPr>
          <w:p w14:paraId="0D85F02C">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有组织废气监测</w:t>
            </w:r>
            <w:r>
              <w:rPr>
                <w:rFonts w:ascii="Times New Roman" w:hAnsi="Times New Roman" w:eastAsia="新宋体"/>
                <w:color w:val="auto"/>
                <w:sz w:val="18"/>
                <w:szCs w:val="18"/>
                <w:highlight w:val="none"/>
              </w:rPr>
              <w:sym w:font="Wingdings" w:char="00FE"/>
            </w:r>
          </w:p>
          <w:p w14:paraId="11250C1B">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无组织废气监测</w:t>
            </w:r>
            <w:r>
              <w:rPr>
                <w:rFonts w:ascii="Times New Roman" w:hAnsi="Times New Roman" w:eastAsia="新宋体"/>
                <w:color w:val="auto"/>
                <w:sz w:val="18"/>
                <w:szCs w:val="18"/>
                <w:highlight w:val="none"/>
              </w:rPr>
              <w:sym w:font="Wingdings" w:char="00FE"/>
            </w:r>
          </w:p>
        </w:tc>
        <w:tc>
          <w:tcPr>
            <w:tcW w:w="563" w:type="pct"/>
            <w:gridSpan w:val="2"/>
            <w:tcBorders>
              <w:top w:val="single" w:color="auto" w:sz="4" w:space="0"/>
              <w:left w:val="single" w:color="auto" w:sz="4" w:space="0"/>
              <w:bottom w:val="single" w:color="auto" w:sz="4" w:space="0"/>
              <w:right w:val="single" w:color="auto" w:sz="4" w:space="0"/>
            </w:tcBorders>
            <w:noWrap w:val="0"/>
            <w:vAlign w:val="center"/>
          </w:tcPr>
          <w:p w14:paraId="3BAFCE37">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无监测</w:t>
            </w:r>
            <w:r>
              <w:rPr>
                <w:rFonts w:ascii="Times New Roman" w:hAnsi="Times New Roman" w:eastAsia="新宋体"/>
                <w:color w:val="auto"/>
                <w:sz w:val="18"/>
                <w:szCs w:val="18"/>
                <w:highlight w:val="none"/>
              </w:rPr>
              <w:sym w:font="Wingdings" w:char="00A8"/>
            </w:r>
          </w:p>
        </w:tc>
      </w:tr>
      <w:tr w14:paraId="3A0FDA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79" w:type="pct"/>
            <w:vMerge w:val="continue"/>
            <w:tcBorders>
              <w:top w:val="single" w:color="auto" w:sz="4" w:space="0"/>
              <w:left w:val="single" w:color="auto" w:sz="4" w:space="0"/>
              <w:bottom w:val="single" w:color="auto" w:sz="4" w:space="0"/>
              <w:right w:val="single" w:color="auto" w:sz="4" w:space="0"/>
            </w:tcBorders>
            <w:noWrap w:val="0"/>
            <w:vAlign w:val="center"/>
          </w:tcPr>
          <w:p w14:paraId="68271398">
            <w:pPr>
              <w:spacing w:line="240" w:lineRule="auto"/>
              <w:ind w:firstLine="0" w:firstLineChars="0"/>
              <w:jc w:val="center"/>
              <w:rPr>
                <w:rFonts w:ascii="Times New Roman" w:hAnsi="Times New Roman" w:eastAsia="新宋体"/>
                <w:color w:val="auto"/>
                <w:sz w:val="18"/>
                <w:szCs w:val="18"/>
                <w:highlight w:val="none"/>
              </w:rPr>
            </w:pPr>
          </w:p>
        </w:tc>
        <w:tc>
          <w:tcPr>
            <w:tcW w:w="959" w:type="pct"/>
            <w:tcBorders>
              <w:top w:val="single" w:color="auto" w:sz="4" w:space="0"/>
              <w:left w:val="single" w:color="auto" w:sz="4" w:space="0"/>
              <w:bottom w:val="single" w:color="auto" w:sz="4" w:space="0"/>
              <w:right w:val="single" w:color="auto" w:sz="4" w:space="0"/>
            </w:tcBorders>
            <w:noWrap w:val="0"/>
            <w:vAlign w:val="center"/>
          </w:tcPr>
          <w:p w14:paraId="2E371CEE">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环境质量监测</w:t>
            </w:r>
          </w:p>
        </w:tc>
        <w:tc>
          <w:tcPr>
            <w:tcW w:w="1756" w:type="pct"/>
            <w:gridSpan w:val="7"/>
            <w:tcBorders>
              <w:top w:val="single" w:color="auto" w:sz="4" w:space="0"/>
              <w:left w:val="single" w:color="auto" w:sz="4" w:space="0"/>
              <w:bottom w:val="single" w:color="auto" w:sz="4" w:space="0"/>
              <w:right w:val="single" w:color="auto" w:sz="4" w:space="0"/>
            </w:tcBorders>
            <w:noWrap w:val="0"/>
            <w:vAlign w:val="center"/>
          </w:tcPr>
          <w:p w14:paraId="48BC531F">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监测因子：（）</w:t>
            </w:r>
          </w:p>
        </w:tc>
        <w:tc>
          <w:tcPr>
            <w:tcW w:w="1243" w:type="pct"/>
            <w:gridSpan w:val="8"/>
            <w:tcBorders>
              <w:top w:val="single" w:color="auto" w:sz="4" w:space="0"/>
              <w:left w:val="single" w:color="auto" w:sz="4" w:space="0"/>
              <w:bottom w:val="single" w:color="auto" w:sz="4" w:space="0"/>
              <w:right w:val="single" w:color="auto" w:sz="4" w:space="0"/>
            </w:tcBorders>
            <w:noWrap w:val="0"/>
            <w:vAlign w:val="center"/>
          </w:tcPr>
          <w:p w14:paraId="3A2D5A2A">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监测点位数（）</w:t>
            </w:r>
          </w:p>
        </w:tc>
        <w:tc>
          <w:tcPr>
            <w:tcW w:w="563" w:type="pct"/>
            <w:gridSpan w:val="2"/>
            <w:tcBorders>
              <w:top w:val="single" w:color="auto" w:sz="4" w:space="0"/>
              <w:left w:val="single" w:color="auto" w:sz="4" w:space="0"/>
              <w:bottom w:val="single" w:color="auto" w:sz="4" w:space="0"/>
              <w:right w:val="single" w:color="auto" w:sz="4" w:space="0"/>
            </w:tcBorders>
            <w:noWrap w:val="0"/>
            <w:vAlign w:val="center"/>
          </w:tcPr>
          <w:p w14:paraId="2AF918E5">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无监测</w:t>
            </w:r>
            <w:r>
              <w:rPr>
                <w:rFonts w:ascii="Times New Roman" w:hAnsi="Times New Roman" w:eastAsia="新宋体"/>
                <w:color w:val="auto"/>
                <w:sz w:val="18"/>
                <w:szCs w:val="18"/>
                <w:highlight w:val="none"/>
              </w:rPr>
              <w:sym w:font="Wingdings" w:char="00A8"/>
            </w:r>
          </w:p>
        </w:tc>
      </w:tr>
      <w:tr w14:paraId="3D7680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79" w:type="pct"/>
            <w:vMerge w:val="restart"/>
            <w:tcBorders>
              <w:top w:val="single" w:color="auto" w:sz="4" w:space="0"/>
              <w:left w:val="single" w:color="auto" w:sz="4" w:space="0"/>
              <w:bottom w:val="single" w:color="auto" w:sz="4" w:space="0"/>
              <w:right w:val="single" w:color="auto" w:sz="4" w:space="0"/>
            </w:tcBorders>
            <w:noWrap w:val="0"/>
            <w:vAlign w:val="center"/>
          </w:tcPr>
          <w:p w14:paraId="6F17C00C">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环评</w:t>
            </w:r>
          </w:p>
          <w:p w14:paraId="57D2E0FB">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结论</w:t>
            </w:r>
          </w:p>
        </w:tc>
        <w:tc>
          <w:tcPr>
            <w:tcW w:w="959" w:type="pct"/>
            <w:tcBorders>
              <w:top w:val="single" w:color="auto" w:sz="4" w:space="0"/>
              <w:left w:val="single" w:color="auto" w:sz="4" w:space="0"/>
              <w:bottom w:val="single" w:color="auto" w:sz="4" w:space="0"/>
              <w:right w:val="single" w:color="auto" w:sz="4" w:space="0"/>
            </w:tcBorders>
            <w:noWrap w:val="0"/>
            <w:vAlign w:val="center"/>
          </w:tcPr>
          <w:p w14:paraId="6C296D27">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环境影响</w:t>
            </w:r>
          </w:p>
        </w:tc>
        <w:tc>
          <w:tcPr>
            <w:tcW w:w="3562" w:type="pct"/>
            <w:gridSpan w:val="17"/>
            <w:tcBorders>
              <w:top w:val="single" w:color="auto" w:sz="4" w:space="0"/>
              <w:left w:val="single" w:color="auto" w:sz="4" w:space="0"/>
              <w:bottom w:val="single" w:color="auto" w:sz="4" w:space="0"/>
              <w:right w:val="single" w:color="auto" w:sz="4" w:space="0"/>
            </w:tcBorders>
            <w:noWrap w:val="0"/>
            <w:vAlign w:val="center"/>
          </w:tcPr>
          <w:p w14:paraId="53E32A77">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可以接受√      不可以接受</w:t>
            </w:r>
            <w:r>
              <w:rPr>
                <w:rFonts w:ascii="Times New Roman" w:hAnsi="Times New Roman" w:eastAsia="新宋体"/>
                <w:color w:val="auto"/>
                <w:sz w:val="18"/>
                <w:szCs w:val="18"/>
                <w:highlight w:val="none"/>
              </w:rPr>
              <w:sym w:font="Wingdings" w:char="00A8"/>
            </w:r>
          </w:p>
        </w:tc>
      </w:tr>
      <w:tr w14:paraId="1C44BF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79" w:type="pct"/>
            <w:vMerge w:val="continue"/>
            <w:tcBorders>
              <w:top w:val="single" w:color="auto" w:sz="4" w:space="0"/>
              <w:left w:val="single" w:color="auto" w:sz="4" w:space="0"/>
              <w:bottom w:val="single" w:color="auto" w:sz="4" w:space="0"/>
              <w:right w:val="single" w:color="auto" w:sz="4" w:space="0"/>
            </w:tcBorders>
            <w:noWrap w:val="0"/>
            <w:vAlign w:val="center"/>
          </w:tcPr>
          <w:p w14:paraId="4CE2C0FE">
            <w:pPr>
              <w:spacing w:line="240" w:lineRule="auto"/>
              <w:ind w:firstLine="0" w:firstLineChars="0"/>
              <w:jc w:val="center"/>
              <w:rPr>
                <w:rFonts w:ascii="Times New Roman" w:hAnsi="Times New Roman" w:eastAsia="新宋体"/>
                <w:color w:val="auto"/>
                <w:sz w:val="18"/>
                <w:szCs w:val="18"/>
                <w:highlight w:val="none"/>
              </w:rPr>
            </w:pPr>
          </w:p>
        </w:tc>
        <w:tc>
          <w:tcPr>
            <w:tcW w:w="959" w:type="pct"/>
            <w:tcBorders>
              <w:top w:val="single" w:color="auto" w:sz="4" w:space="0"/>
              <w:left w:val="single" w:color="auto" w:sz="4" w:space="0"/>
              <w:bottom w:val="single" w:color="auto" w:sz="4" w:space="0"/>
              <w:right w:val="single" w:color="auto" w:sz="4" w:space="0"/>
            </w:tcBorders>
            <w:noWrap w:val="0"/>
            <w:vAlign w:val="center"/>
          </w:tcPr>
          <w:p w14:paraId="461CCB50">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大气环境防护距离</w:t>
            </w:r>
          </w:p>
        </w:tc>
        <w:tc>
          <w:tcPr>
            <w:tcW w:w="3562" w:type="pct"/>
            <w:gridSpan w:val="17"/>
            <w:tcBorders>
              <w:top w:val="single" w:color="auto" w:sz="4" w:space="0"/>
              <w:left w:val="single" w:color="auto" w:sz="4" w:space="0"/>
              <w:bottom w:val="single" w:color="auto" w:sz="4" w:space="0"/>
              <w:right w:val="single" w:color="auto" w:sz="4" w:space="0"/>
            </w:tcBorders>
            <w:noWrap w:val="0"/>
            <w:vAlign w:val="center"/>
          </w:tcPr>
          <w:p w14:paraId="7FCC5F99">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距（ ）厂界最远（）m</w:t>
            </w:r>
          </w:p>
        </w:tc>
      </w:tr>
      <w:tr w14:paraId="2AF964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79" w:type="pct"/>
            <w:vMerge w:val="continue"/>
            <w:tcBorders>
              <w:top w:val="single" w:color="auto" w:sz="4" w:space="0"/>
              <w:left w:val="single" w:color="auto" w:sz="4" w:space="0"/>
              <w:bottom w:val="single" w:color="auto" w:sz="4" w:space="0"/>
              <w:right w:val="single" w:color="auto" w:sz="4" w:space="0"/>
            </w:tcBorders>
            <w:noWrap w:val="0"/>
            <w:vAlign w:val="center"/>
          </w:tcPr>
          <w:p w14:paraId="38161359">
            <w:pPr>
              <w:spacing w:line="240" w:lineRule="auto"/>
              <w:ind w:firstLine="0" w:firstLineChars="0"/>
              <w:jc w:val="center"/>
              <w:rPr>
                <w:rFonts w:ascii="Times New Roman" w:hAnsi="Times New Roman" w:eastAsia="新宋体"/>
                <w:color w:val="auto"/>
                <w:sz w:val="18"/>
                <w:szCs w:val="18"/>
                <w:highlight w:val="none"/>
              </w:rPr>
            </w:pPr>
          </w:p>
        </w:tc>
        <w:tc>
          <w:tcPr>
            <w:tcW w:w="959" w:type="pct"/>
            <w:tcBorders>
              <w:top w:val="single" w:color="auto" w:sz="4" w:space="0"/>
              <w:left w:val="single" w:color="auto" w:sz="4" w:space="0"/>
              <w:bottom w:val="single" w:color="auto" w:sz="4" w:space="0"/>
              <w:right w:val="single" w:color="auto" w:sz="4" w:space="0"/>
            </w:tcBorders>
            <w:noWrap w:val="0"/>
            <w:vAlign w:val="center"/>
          </w:tcPr>
          <w:p w14:paraId="6BE81C6C">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污染源年排放量</w:t>
            </w:r>
          </w:p>
        </w:tc>
        <w:tc>
          <w:tcPr>
            <w:tcW w:w="899" w:type="pct"/>
            <w:gridSpan w:val="2"/>
            <w:tcBorders>
              <w:top w:val="single" w:color="auto" w:sz="4" w:space="0"/>
              <w:left w:val="single" w:color="auto" w:sz="4" w:space="0"/>
              <w:bottom w:val="single" w:color="auto" w:sz="4" w:space="0"/>
              <w:right w:val="single" w:color="auto" w:sz="4" w:space="0"/>
            </w:tcBorders>
            <w:noWrap w:val="0"/>
            <w:vAlign w:val="center"/>
          </w:tcPr>
          <w:p w14:paraId="466BD8D9">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SO</w:t>
            </w:r>
            <w:r>
              <w:rPr>
                <w:rFonts w:ascii="Times New Roman" w:hAnsi="Times New Roman" w:eastAsia="新宋体"/>
                <w:color w:val="auto"/>
                <w:sz w:val="18"/>
                <w:szCs w:val="18"/>
                <w:highlight w:val="none"/>
                <w:vertAlign w:val="subscript"/>
              </w:rPr>
              <w:t>2</w:t>
            </w:r>
            <w:r>
              <w:rPr>
                <w:rFonts w:ascii="Times New Roman" w:hAnsi="Times New Roman" w:eastAsia="新宋体"/>
                <w:color w:val="auto"/>
                <w:sz w:val="18"/>
                <w:szCs w:val="18"/>
                <w:highlight w:val="none"/>
              </w:rPr>
              <w:t>：（</w:t>
            </w:r>
            <w:r>
              <w:rPr>
                <w:rFonts w:hint="eastAsia" w:ascii="Times New Roman" w:hAnsi="Times New Roman" w:eastAsia="新宋体"/>
                <w:color w:val="auto"/>
                <w:sz w:val="18"/>
                <w:szCs w:val="18"/>
                <w:highlight w:val="none"/>
                <w:lang w:val="en-US" w:eastAsia="zh-CN"/>
              </w:rPr>
              <w:t>8.61</w:t>
            </w:r>
            <w:r>
              <w:rPr>
                <w:rFonts w:ascii="Times New Roman" w:hAnsi="Times New Roman" w:eastAsia="新宋体"/>
                <w:color w:val="auto"/>
                <w:sz w:val="18"/>
                <w:szCs w:val="18"/>
                <w:highlight w:val="none"/>
              </w:rPr>
              <w:t>）t/a</w:t>
            </w:r>
          </w:p>
        </w:tc>
        <w:tc>
          <w:tcPr>
            <w:tcW w:w="1004" w:type="pct"/>
            <w:gridSpan w:val="6"/>
            <w:tcBorders>
              <w:top w:val="single" w:color="auto" w:sz="4" w:space="0"/>
              <w:left w:val="single" w:color="auto" w:sz="4" w:space="0"/>
              <w:bottom w:val="single" w:color="auto" w:sz="4" w:space="0"/>
              <w:right w:val="single" w:color="auto" w:sz="4" w:space="0"/>
            </w:tcBorders>
            <w:noWrap w:val="0"/>
            <w:vAlign w:val="center"/>
          </w:tcPr>
          <w:p w14:paraId="2CAF26EA">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NOx：（</w:t>
            </w:r>
            <w:r>
              <w:rPr>
                <w:rFonts w:hint="eastAsia" w:ascii="Times New Roman" w:hAnsi="Times New Roman" w:eastAsia="新宋体"/>
                <w:color w:val="auto"/>
                <w:sz w:val="18"/>
                <w:szCs w:val="18"/>
                <w:highlight w:val="none"/>
                <w:lang w:val="en-US" w:eastAsia="zh-CN"/>
              </w:rPr>
              <w:t>12.30</w:t>
            </w:r>
            <w:r>
              <w:rPr>
                <w:rFonts w:ascii="Times New Roman" w:hAnsi="Times New Roman" w:eastAsia="新宋体"/>
                <w:color w:val="auto"/>
                <w:sz w:val="18"/>
                <w:szCs w:val="18"/>
                <w:highlight w:val="none"/>
              </w:rPr>
              <w:t>）t/a</w:t>
            </w:r>
          </w:p>
        </w:tc>
        <w:tc>
          <w:tcPr>
            <w:tcW w:w="1003" w:type="pct"/>
            <w:gridSpan w:val="6"/>
            <w:tcBorders>
              <w:top w:val="single" w:color="auto" w:sz="4" w:space="0"/>
              <w:left w:val="single" w:color="auto" w:sz="4" w:space="0"/>
              <w:bottom w:val="single" w:color="auto" w:sz="4" w:space="0"/>
              <w:right w:val="single" w:color="auto" w:sz="4" w:space="0"/>
            </w:tcBorders>
            <w:noWrap w:val="0"/>
            <w:vAlign w:val="center"/>
          </w:tcPr>
          <w:p w14:paraId="2B42F100">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颗粒物：（</w:t>
            </w:r>
            <w:r>
              <w:rPr>
                <w:rFonts w:hint="eastAsia" w:ascii="Times New Roman" w:hAnsi="Times New Roman" w:eastAsia="新宋体"/>
                <w:color w:val="auto"/>
                <w:sz w:val="18"/>
                <w:szCs w:val="18"/>
                <w:highlight w:val="none"/>
                <w:lang w:val="en-US" w:eastAsia="zh-CN"/>
              </w:rPr>
              <w:t>2.46</w:t>
            </w:r>
            <w:r>
              <w:rPr>
                <w:rFonts w:ascii="Times New Roman" w:hAnsi="Times New Roman" w:eastAsia="新宋体"/>
                <w:color w:val="auto"/>
                <w:sz w:val="18"/>
                <w:szCs w:val="18"/>
                <w:highlight w:val="none"/>
              </w:rPr>
              <w:t>）t/a</w:t>
            </w:r>
          </w:p>
        </w:tc>
        <w:tc>
          <w:tcPr>
            <w:tcW w:w="656" w:type="pct"/>
            <w:gridSpan w:val="3"/>
            <w:tcBorders>
              <w:top w:val="single" w:color="auto" w:sz="4" w:space="0"/>
              <w:left w:val="single" w:color="auto" w:sz="4" w:space="0"/>
              <w:bottom w:val="single" w:color="auto" w:sz="4" w:space="0"/>
              <w:right w:val="single" w:color="auto" w:sz="4" w:space="0"/>
            </w:tcBorders>
            <w:noWrap w:val="0"/>
            <w:vAlign w:val="center"/>
          </w:tcPr>
          <w:p w14:paraId="3E6DB46A">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VOCS：t/a</w:t>
            </w:r>
          </w:p>
        </w:tc>
      </w:tr>
      <w:tr w14:paraId="0B76A3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000" w:type="pct"/>
            <w:gridSpan w:val="19"/>
            <w:tcBorders>
              <w:top w:val="single" w:color="auto" w:sz="4" w:space="0"/>
              <w:left w:val="single" w:color="auto" w:sz="4" w:space="0"/>
              <w:bottom w:val="single" w:color="auto" w:sz="4" w:space="0"/>
              <w:right w:val="single" w:color="auto" w:sz="4" w:space="0"/>
            </w:tcBorders>
            <w:noWrap w:val="0"/>
            <w:vAlign w:val="center"/>
          </w:tcPr>
          <w:p w14:paraId="3150CDEA">
            <w:pPr>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注：“</w:t>
            </w:r>
            <w:r>
              <w:rPr>
                <w:rFonts w:ascii="Times New Roman" w:hAnsi="Times New Roman" w:eastAsia="新宋体"/>
                <w:color w:val="auto"/>
                <w:sz w:val="18"/>
                <w:szCs w:val="18"/>
                <w:highlight w:val="none"/>
              </w:rPr>
              <w:sym w:font="Wingdings" w:char="00A8"/>
            </w:r>
            <w:r>
              <w:rPr>
                <w:rFonts w:ascii="Times New Roman" w:hAnsi="Times New Roman" w:eastAsia="新宋体"/>
                <w:color w:val="auto"/>
                <w:sz w:val="18"/>
                <w:szCs w:val="18"/>
                <w:highlight w:val="none"/>
              </w:rPr>
              <w:t>”为勾选项，填“√”；“（）”为内容填写项</w:t>
            </w:r>
          </w:p>
        </w:tc>
      </w:tr>
    </w:tbl>
    <w:p w14:paraId="5FD746A4">
      <w:pPr>
        <w:pStyle w:val="4"/>
        <w:spacing w:before="0" w:after="0" w:line="240" w:lineRule="auto"/>
        <w:jc w:val="center"/>
        <w:rPr>
          <w:color w:val="auto"/>
          <w:highlight w:val="none"/>
        </w:rPr>
      </w:pPr>
      <w:bookmarkStart w:id="214" w:name="_Toc17108"/>
      <w:bookmarkStart w:id="215" w:name="_Toc10669"/>
      <w:r>
        <w:rPr>
          <w:color w:val="auto"/>
          <w:highlight w:val="none"/>
        </w:rPr>
        <w:t>声环境影响评价自查表</w:t>
      </w:r>
      <w:bookmarkEnd w:id="214"/>
      <w:bookmarkEnd w:id="215"/>
    </w:p>
    <w:tbl>
      <w:tblPr>
        <w:tblStyle w:val="1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223"/>
        <w:gridCol w:w="1770"/>
        <w:gridCol w:w="1033"/>
        <w:gridCol w:w="183"/>
        <w:gridCol w:w="183"/>
        <w:gridCol w:w="181"/>
        <w:gridCol w:w="895"/>
        <w:gridCol w:w="336"/>
        <w:gridCol w:w="336"/>
        <w:gridCol w:w="368"/>
        <w:gridCol w:w="366"/>
        <w:gridCol w:w="1496"/>
      </w:tblGrid>
      <w:tr w14:paraId="0921B5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6" w:hRule="atLeast"/>
          <w:jc w:val="center"/>
        </w:trPr>
        <w:tc>
          <w:tcPr>
            <w:tcW w:w="0" w:type="auto"/>
            <w:gridSpan w:val="2"/>
            <w:noWrap w:val="0"/>
            <w:vAlign w:val="center"/>
          </w:tcPr>
          <w:p w14:paraId="219E7357">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工作内容</w:t>
            </w:r>
          </w:p>
        </w:tc>
        <w:tc>
          <w:tcPr>
            <w:tcW w:w="0" w:type="auto"/>
            <w:gridSpan w:val="10"/>
            <w:noWrap w:val="0"/>
            <w:vAlign w:val="center"/>
          </w:tcPr>
          <w:p w14:paraId="0AF93EF7">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自查项目</w:t>
            </w:r>
          </w:p>
        </w:tc>
      </w:tr>
      <w:tr w14:paraId="37BB93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5" w:hRule="atLeast"/>
          <w:jc w:val="center"/>
        </w:trPr>
        <w:tc>
          <w:tcPr>
            <w:tcW w:w="0" w:type="auto"/>
            <w:vMerge w:val="restart"/>
            <w:noWrap w:val="0"/>
            <w:vAlign w:val="center"/>
          </w:tcPr>
          <w:p w14:paraId="4FD55E2E">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评价等级与范围</w:t>
            </w:r>
          </w:p>
        </w:tc>
        <w:tc>
          <w:tcPr>
            <w:tcW w:w="0" w:type="auto"/>
            <w:noWrap w:val="0"/>
            <w:vAlign w:val="center"/>
          </w:tcPr>
          <w:p w14:paraId="07ADBB62">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评价等级</w:t>
            </w:r>
          </w:p>
        </w:tc>
        <w:tc>
          <w:tcPr>
            <w:tcW w:w="0" w:type="auto"/>
            <w:gridSpan w:val="10"/>
            <w:noWrap w:val="0"/>
            <w:vAlign w:val="center"/>
          </w:tcPr>
          <w:p w14:paraId="596265CB">
            <w:pPr>
              <w:autoSpaceDE w:val="0"/>
              <w:autoSpaceDN w:val="0"/>
              <w:spacing w:line="240" w:lineRule="auto"/>
              <w:ind w:firstLine="0" w:firstLineChars="0"/>
              <w:jc w:val="center"/>
              <w:rPr>
                <w:rFonts w:ascii="Times New Roman" w:hAnsi="Times New Roman"/>
                <w:color w:val="auto"/>
                <w:sz w:val="18"/>
                <w:szCs w:val="18"/>
                <w:highlight w:val="none"/>
                <w:lang w:eastAsia="en-US"/>
              </w:rPr>
            </w:pPr>
            <w:r>
              <w:rPr>
                <w:rFonts w:ascii="Times New Roman" w:hAnsi="Times New Roman" w:eastAsia="新宋体"/>
                <w:color w:val="auto"/>
                <w:sz w:val="18"/>
                <w:szCs w:val="18"/>
                <w:highlight w:val="none"/>
                <w:lang w:eastAsia="en-US"/>
              </w:rPr>
              <w:t>一级□ 二级</w:t>
            </w:r>
            <w:r>
              <w:rPr>
                <w:rFonts w:hint="eastAsia" w:ascii="Times New Roman" w:hAnsi="Times New Roman" w:eastAsia="新宋体"/>
                <w:color w:val="auto"/>
                <w:sz w:val="18"/>
                <w:szCs w:val="18"/>
                <w:highlight w:val="none"/>
                <w:lang w:eastAsia="zh-CN"/>
              </w:rPr>
              <w:t>□</w:t>
            </w:r>
            <w:r>
              <w:rPr>
                <w:rFonts w:ascii="Times New Roman" w:hAnsi="Times New Roman" w:eastAsia="新宋体"/>
                <w:color w:val="auto"/>
                <w:sz w:val="18"/>
                <w:szCs w:val="18"/>
                <w:highlight w:val="none"/>
                <w:lang w:eastAsia="en-US"/>
              </w:rPr>
              <w:t xml:space="preserve"> 三级</w:t>
            </w:r>
            <w:r>
              <w:rPr>
                <w:rFonts w:hint="eastAsia" w:ascii="Times New Roman" w:hAnsi="Times New Roman" w:eastAsia="新宋体"/>
                <w:color w:val="auto"/>
                <w:sz w:val="18"/>
                <w:szCs w:val="18"/>
                <w:highlight w:val="none"/>
                <w:lang w:eastAsia="zh-CN"/>
              </w:rPr>
              <w:t>☑</w:t>
            </w:r>
            <w:r>
              <w:rPr>
                <w:rFonts w:ascii="Times New Roman" w:hAnsi="Times New Roman" w:eastAsia="新宋体"/>
                <w:color w:val="auto"/>
                <w:sz w:val="18"/>
                <w:szCs w:val="18"/>
                <w:highlight w:val="none"/>
                <w:lang w:eastAsia="en-US"/>
              </w:rPr>
              <w:t xml:space="preserve"> </w:t>
            </w:r>
          </w:p>
        </w:tc>
      </w:tr>
      <w:tr w14:paraId="768876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4" w:hRule="atLeast"/>
          <w:jc w:val="center"/>
        </w:trPr>
        <w:tc>
          <w:tcPr>
            <w:tcW w:w="0" w:type="auto"/>
            <w:vMerge w:val="continue"/>
            <w:noWrap w:val="0"/>
            <w:vAlign w:val="center"/>
          </w:tcPr>
          <w:p w14:paraId="24B3E88F">
            <w:pPr>
              <w:spacing w:line="240" w:lineRule="auto"/>
              <w:ind w:firstLine="0" w:firstLineChars="0"/>
              <w:jc w:val="center"/>
              <w:rPr>
                <w:rFonts w:ascii="Times New Roman" w:hAnsi="Times New Roman" w:eastAsia="新宋体"/>
                <w:color w:val="auto"/>
                <w:sz w:val="18"/>
                <w:szCs w:val="18"/>
                <w:highlight w:val="none"/>
                <w:lang w:eastAsia="en-US"/>
              </w:rPr>
            </w:pPr>
          </w:p>
        </w:tc>
        <w:tc>
          <w:tcPr>
            <w:tcW w:w="0" w:type="auto"/>
            <w:noWrap w:val="0"/>
            <w:vAlign w:val="center"/>
          </w:tcPr>
          <w:p w14:paraId="771A4958">
            <w:pPr>
              <w:pStyle w:val="45"/>
              <w:spacing w:before="35"/>
              <w:ind w:left="149" w:right="130"/>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评价范围</w:t>
            </w:r>
          </w:p>
        </w:tc>
        <w:tc>
          <w:tcPr>
            <w:tcW w:w="0" w:type="auto"/>
            <w:gridSpan w:val="10"/>
            <w:noWrap w:val="0"/>
            <w:vAlign w:val="center"/>
          </w:tcPr>
          <w:p w14:paraId="4C26AEC7">
            <w:pPr>
              <w:pStyle w:val="45"/>
              <w:tabs>
                <w:tab w:val="left" w:pos="2384"/>
                <w:tab w:val="left" w:pos="5315"/>
              </w:tabs>
              <w:spacing w:before="35"/>
              <w:ind w:left="217"/>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200 m</w:t>
            </w:r>
            <w:r>
              <w:rPr>
                <w:rFonts w:hint="eastAsia" w:ascii="MS Mincho" w:hAnsi="MS Mincho" w:eastAsia="MS Mincho" w:cs="MS Mincho"/>
                <w:color w:val="auto"/>
                <w:kern w:val="2"/>
                <w:sz w:val="18"/>
                <w:szCs w:val="18"/>
                <w:highlight w:val="none"/>
                <w:lang w:eastAsia="zh-CN"/>
              </w:rPr>
              <w:t>☑</w:t>
            </w:r>
            <w:r>
              <w:rPr>
                <w:rFonts w:eastAsia="宋体"/>
                <w:color w:val="auto"/>
                <w:kern w:val="2"/>
                <w:sz w:val="18"/>
                <w:szCs w:val="18"/>
                <w:highlight w:val="none"/>
                <w:lang w:eastAsia="zh-CN"/>
              </w:rPr>
              <w:t xml:space="preserve">  </w:t>
            </w:r>
            <w:r>
              <w:rPr>
                <w:rFonts w:eastAsia="新宋体"/>
                <w:color w:val="auto"/>
                <w:kern w:val="2"/>
                <w:sz w:val="18"/>
                <w:szCs w:val="18"/>
                <w:highlight w:val="none"/>
                <w:lang w:eastAsia="zh-CN"/>
              </w:rPr>
              <w:t xml:space="preserve"> 大于 200 m□   小于 200 m□</w:t>
            </w:r>
          </w:p>
        </w:tc>
      </w:tr>
      <w:tr w14:paraId="600A5E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2" w:hRule="atLeast"/>
          <w:jc w:val="center"/>
        </w:trPr>
        <w:tc>
          <w:tcPr>
            <w:tcW w:w="0" w:type="auto"/>
            <w:noWrap w:val="0"/>
            <w:vAlign w:val="center"/>
          </w:tcPr>
          <w:p w14:paraId="260DA7C5">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评价因子</w:t>
            </w:r>
          </w:p>
        </w:tc>
        <w:tc>
          <w:tcPr>
            <w:tcW w:w="0" w:type="auto"/>
            <w:noWrap w:val="0"/>
            <w:vAlign w:val="center"/>
          </w:tcPr>
          <w:p w14:paraId="41A24630">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评价因子</w:t>
            </w:r>
          </w:p>
        </w:tc>
        <w:tc>
          <w:tcPr>
            <w:tcW w:w="0" w:type="auto"/>
            <w:gridSpan w:val="4"/>
            <w:noWrap w:val="0"/>
            <w:vAlign w:val="center"/>
          </w:tcPr>
          <w:p w14:paraId="07B92033">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等效连续A声级</w:t>
            </w:r>
            <w:r>
              <w:rPr>
                <w:rFonts w:hint="eastAsia" w:ascii="MS Mincho" w:hAnsi="MS Mincho" w:eastAsia="MS Mincho" w:cs="MS Mincho"/>
                <w:color w:val="auto"/>
                <w:sz w:val="18"/>
                <w:szCs w:val="18"/>
                <w:highlight w:val="none"/>
                <w:lang w:eastAsia="en-US"/>
              </w:rPr>
              <w:t>☑</w:t>
            </w:r>
          </w:p>
        </w:tc>
        <w:tc>
          <w:tcPr>
            <w:tcW w:w="0" w:type="auto"/>
            <w:gridSpan w:val="2"/>
            <w:noWrap w:val="0"/>
            <w:vAlign w:val="center"/>
          </w:tcPr>
          <w:p w14:paraId="06A1EB5F">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最大A声级□</w:t>
            </w:r>
          </w:p>
        </w:tc>
        <w:tc>
          <w:tcPr>
            <w:tcW w:w="0" w:type="auto"/>
            <w:gridSpan w:val="4"/>
            <w:noWrap w:val="0"/>
            <w:vAlign w:val="center"/>
          </w:tcPr>
          <w:p w14:paraId="4955DD56">
            <w:pPr>
              <w:autoSpaceDE w:val="0"/>
              <w:autoSpaceDN w:val="0"/>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计权等效连续感觉噪声级□</w:t>
            </w:r>
          </w:p>
        </w:tc>
      </w:tr>
      <w:tr w14:paraId="1383E4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0" w:type="auto"/>
            <w:noWrap w:val="0"/>
            <w:vAlign w:val="center"/>
          </w:tcPr>
          <w:p w14:paraId="41D2CA61">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评价标准</w:t>
            </w:r>
          </w:p>
        </w:tc>
        <w:tc>
          <w:tcPr>
            <w:tcW w:w="0" w:type="auto"/>
            <w:noWrap w:val="0"/>
            <w:vAlign w:val="center"/>
          </w:tcPr>
          <w:p w14:paraId="576C2B26">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评价标准</w:t>
            </w:r>
          </w:p>
        </w:tc>
        <w:tc>
          <w:tcPr>
            <w:tcW w:w="0" w:type="auto"/>
            <w:gridSpan w:val="4"/>
            <w:noWrap w:val="0"/>
            <w:vAlign w:val="center"/>
          </w:tcPr>
          <w:p w14:paraId="635F24C7">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国家标准</w:t>
            </w:r>
            <w:r>
              <w:rPr>
                <w:rFonts w:hint="eastAsia" w:ascii="MS Mincho" w:hAnsi="MS Mincho" w:eastAsia="MS Mincho" w:cs="MS Mincho"/>
                <w:color w:val="auto"/>
                <w:sz w:val="18"/>
                <w:szCs w:val="18"/>
                <w:highlight w:val="none"/>
                <w:lang w:eastAsia="en-US"/>
              </w:rPr>
              <w:t>☑</w:t>
            </w:r>
          </w:p>
        </w:tc>
        <w:tc>
          <w:tcPr>
            <w:tcW w:w="0" w:type="auto"/>
            <w:gridSpan w:val="2"/>
            <w:noWrap w:val="0"/>
            <w:vAlign w:val="center"/>
          </w:tcPr>
          <w:p w14:paraId="32FBD6EA">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地方标准□</w:t>
            </w:r>
          </w:p>
        </w:tc>
        <w:tc>
          <w:tcPr>
            <w:tcW w:w="0" w:type="auto"/>
            <w:gridSpan w:val="4"/>
            <w:noWrap w:val="0"/>
            <w:vAlign w:val="center"/>
          </w:tcPr>
          <w:p w14:paraId="1C24AED7">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国外标准□</w:t>
            </w:r>
          </w:p>
        </w:tc>
      </w:tr>
      <w:tr w14:paraId="121764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0" w:type="auto"/>
            <w:vMerge w:val="restart"/>
            <w:noWrap w:val="0"/>
            <w:vAlign w:val="center"/>
          </w:tcPr>
          <w:p w14:paraId="6CC36F0F">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现状评价</w:t>
            </w:r>
          </w:p>
        </w:tc>
        <w:tc>
          <w:tcPr>
            <w:tcW w:w="0" w:type="auto"/>
            <w:noWrap w:val="0"/>
            <w:vAlign w:val="center"/>
          </w:tcPr>
          <w:p w14:paraId="33193AD3">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环境功能区</w:t>
            </w:r>
          </w:p>
        </w:tc>
        <w:tc>
          <w:tcPr>
            <w:tcW w:w="0" w:type="auto"/>
            <w:noWrap w:val="0"/>
            <w:vAlign w:val="center"/>
          </w:tcPr>
          <w:p w14:paraId="6FFCB4D1">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0 类区□</w:t>
            </w:r>
          </w:p>
        </w:tc>
        <w:tc>
          <w:tcPr>
            <w:tcW w:w="0" w:type="auto"/>
            <w:gridSpan w:val="3"/>
            <w:noWrap w:val="0"/>
            <w:vAlign w:val="center"/>
          </w:tcPr>
          <w:p w14:paraId="36393733">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1 类区□</w:t>
            </w:r>
          </w:p>
        </w:tc>
        <w:tc>
          <w:tcPr>
            <w:tcW w:w="0" w:type="auto"/>
            <w:noWrap w:val="0"/>
            <w:vAlign w:val="center"/>
          </w:tcPr>
          <w:p w14:paraId="12F3F11B">
            <w:pPr>
              <w:autoSpaceDE w:val="0"/>
              <w:autoSpaceDN w:val="0"/>
              <w:spacing w:line="240" w:lineRule="auto"/>
              <w:ind w:firstLine="0" w:firstLineChars="0"/>
              <w:jc w:val="center"/>
              <w:rPr>
                <w:rFonts w:hint="eastAsia" w:ascii="Times New Roman" w:hAnsi="Times New Roman" w:eastAsia="新宋体"/>
                <w:color w:val="auto"/>
                <w:sz w:val="18"/>
                <w:szCs w:val="18"/>
                <w:highlight w:val="none"/>
                <w:lang w:eastAsia="zh-CN"/>
              </w:rPr>
            </w:pPr>
            <w:r>
              <w:rPr>
                <w:rFonts w:ascii="Times New Roman" w:hAnsi="Times New Roman" w:eastAsia="新宋体"/>
                <w:color w:val="auto"/>
                <w:sz w:val="18"/>
                <w:szCs w:val="18"/>
                <w:highlight w:val="none"/>
                <w:lang w:eastAsia="en-US"/>
              </w:rPr>
              <w:t>2 类区</w:t>
            </w:r>
            <w:r>
              <w:rPr>
                <w:rFonts w:hint="eastAsia" w:ascii="Times New Roman" w:hAnsi="Times New Roman" w:eastAsia="新宋体"/>
                <w:color w:val="auto"/>
                <w:sz w:val="18"/>
                <w:szCs w:val="18"/>
                <w:highlight w:val="none"/>
                <w:lang w:eastAsia="zh-CN"/>
              </w:rPr>
              <w:t>□</w:t>
            </w:r>
          </w:p>
        </w:tc>
        <w:tc>
          <w:tcPr>
            <w:tcW w:w="0" w:type="auto"/>
            <w:gridSpan w:val="2"/>
            <w:noWrap w:val="0"/>
            <w:vAlign w:val="center"/>
          </w:tcPr>
          <w:p w14:paraId="43CD8987">
            <w:pPr>
              <w:autoSpaceDE w:val="0"/>
              <w:autoSpaceDN w:val="0"/>
              <w:spacing w:line="240" w:lineRule="auto"/>
              <w:ind w:firstLine="0" w:firstLineChars="0"/>
              <w:jc w:val="center"/>
              <w:rPr>
                <w:rFonts w:hint="eastAsia" w:ascii="Times New Roman" w:hAnsi="Times New Roman" w:eastAsia="宋体"/>
                <w:color w:val="auto"/>
                <w:sz w:val="18"/>
                <w:szCs w:val="18"/>
                <w:highlight w:val="none"/>
                <w:lang w:eastAsia="zh-CN"/>
              </w:rPr>
            </w:pPr>
            <w:r>
              <w:rPr>
                <w:rFonts w:ascii="Times New Roman" w:hAnsi="Times New Roman" w:eastAsia="新宋体"/>
                <w:color w:val="auto"/>
                <w:sz w:val="18"/>
                <w:szCs w:val="18"/>
                <w:highlight w:val="none"/>
                <w:lang w:eastAsia="en-US"/>
              </w:rPr>
              <w:t>3 类区</w:t>
            </w:r>
            <w:r>
              <w:rPr>
                <w:rFonts w:hint="eastAsia" w:ascii="MS Mincho" w:hAnsi="MS Mincho" w:eastAsia="宋体" w:cs="MS Mincho"/>
                <w:color w:val="auto"/>
                <w:sz w:val="18"/>
                <w:szCs w:val="18"/>
                <w:highlight w:val="none"/>
                <w:lang w:eastAsia="zh-CN"/>
              </w:rPr>
              <w:t>☑</w:t>
            </w:r>
          </w:p>
        </w:tc>
        <w:tc>
          <w:tcPr>
            <w:tcW w:w="0" w:type="auto"/>
            <w:gridSpan w:val="2"/>
            <w:noWrap w:val="0"/>
            <w:vAlign w:val="center"/>
          </w:tcPr>
          <w:p w14:paraId="680BE96F">
            <w:pPr>
              <w:autoSpaceDE w:val="0"/>
              <w:autoSpaceDN w:val="0"/>
              <w:spacing w:line="240" w:lineRule="auto"/>
              <w:ind w:firstLine="0" w:firstLineChars="0"/>
              <w:jc w:val="center"/>
              <w:rPr>
                <w:rFonts w:hint="eastAsia" w:ascii="Times New Roman" w:hAnsi="Times New Roman" w:eastAsia="新宋体"/>
                <w:color w:val="auto"/>
                <w:sz w:val="18"/>
                <w:szCs w:val="18"/>
                <w:highlight w:val="none"/>
                <w:lang w:eastAsia="zh-CN"/>
              </w:rPr>
            </w:pPr>
            <w:r>
              <w:rPr>
                <w:rFonts w:ascii="Times New Roman" w:hAnsi="Times New Roman" w:eastAsia="新宋体"/>
                <w:color w:val="auto"/>
                <w:sz w:val="18"/>
                <w:szCs w:val="18"/>
                <w:highlight w:val="none"/>
                <w:lang w:eastAsia="en-US"/>
              </w:rPr>
              <w:t>4a 类区</w:t>
            </w:r>
            <w:r>
              <w:rPr>
                <w:rFonts w:hint="eastAsia" w:ascii="Times New Roman" w:hAnsi="Times New Roman" w:eastAsia="新宋体"/>
                <w:color w:val="auto"/>
                <w:sz w:val="18"/>
                <w:szCs w:val="18"/>
                <w:highlight w:val="none"/>
                <w:lang w:eastAsia="zh-CN"/>
              </w:rPr>
              <w:t>☑</w:t>
            </w:r>
          </w:p>
        </w:tc>
        <w:tc>
          <w:tcPr>
            <w:tcW w:w="0" w:type="auto"/>
            <w:noWrap w:val="0"/>
            <w:vAlign w:val="center"/>
          </w:tcPr>
          <w:p w14:paraId="61FF47FA">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4b 类区□</w:t>
            </w:r>
          </w:p>
        </w:tc>
      </w:tr>
      <w:tr w14:paraId="165971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4" w:hRule="atLeast"/>
          <w:jc w:val="center"/>
        </w:trPr>
        <w:tc>
          <w:tcPr>
            <w:tcW w:w="0" w:type="auto"/>
            <w:vMerge w:val="continue"/>
            <w:noWrap w:val="0"/>
            <w:vAlign w:val="center"/>
          </w:tcPr>
          <w:p w14:paraId="4E66FAFC">
            <w:pPr>
              <w:spacing w:line="240" w:lineRule="auto"/>
              <w:ind w:firstLine="0" w:firstLineChars="0"/>
              <w:jc w:val="center"/>
              <w:rPr>
                <w:rFonts w:ascii="Times New Roman" w:hAnsi="Times New Roman" w:eastAsia="新宋体"/>
                <w:color w:val="auto"/>
                <w:sz w:val="18"/>
                <w:szCs w:val="18"/>
                <w:highlight w:val="none"/>
                <w:lang w:eastAsia="en-US"/>
              </w:rPr>
            </w:pPr>
          </w:p>
        </w:tc>
        <w:tc>
          <w:tcPr>
            <w:tcW w:w="0" w:type="auto"/>
            <w:noWrap w:val="0"/>
            <w:vAlign w:val="center"/>
          </w:tcPr>
          <w:p w14:paraId="4CC87C19">
            <w:pPr>
              <w:pStyle w:val="45"/>
              <w:spacing w:before="31"/>
              <w:ind w:left="149" w:right="130"/>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评价年度</w:t>
            </w:r>
          </w:p>
        </w:tc>
        <w:tc>
          <w:tcPr>
            <w:tcW w:w="0" w:type="auto"/>
            <w:gridSpan w:val="2"/>
            <w:noWrap w:val="0"/>
            <w:vAlign w:val="center"/>
          </w:tcPr>
          <w:p w14:paraId="6460A1FE">
            <w:pPr>
              <w:pStyle w:val="45"/>
              <w:jc w:val="center"/>
              <w:rPr>
                <w:rFonts w:eastAsia="宋体"/>
                <w:color w:val="auto"/>
                <w:kern w:val="2"/>
                <w:sz w:val="18"/>
                <w:szCs w:val="18"/>
                <w:highlight w:val="none"/>
                <w:lang w:eastAsia="zh-CN"/>
              </w:rPr>
            </w:pPr>
            <w:r>
              <w:rPr>
                <w:rFonts w:eastAsia="新宋体"/>
                <w:color w:val="auto"/>
                <w:kern w:val="2"/>
                <w:sz w:val="18"/>
                <w:szCs w:val="18"/>
                <w:highlight w:val="none"/>
                <w:lang w:eastAsia="zh-CN"/>
              </w:rPr>
              <w:t>初期</w:t>
            </w:r>
          </w:p>
        </w:tc>
        <w:tc>
          <w:tcPr>
            <w:tcW w:w="0" w:type="auto"/>
            <w:gridSpan w:val="3"/>
            <w:noWrap w:val="0"/>
            <w:vAlign w:val="center"/>
          </w:tcPr>
          <w:p w14:paraId="61B997F7">
            <w:pPr>
              <w:pStyle w:val="45"/>
              <w:jc w:val="center"/>
              <w:rPr>
                <w:rFonts w:eastAsia="宋体"/>
                <w:color w:val="auto"/>
                <w:kern w:val="2"/>
                <w:sz w:val="18"/>
                <w:szCs w:val="18"/>
                <w:highlight w:val="none"/>
                <w:lang w:eastAsia="zh-CN"/>
              </w:rPr>
            </w:pPr>
            <w:r>
              <w:rPr>
                <w:rFonts w:eastAsia="新宋体"/>
                <w:color w:val="auto"/>
                <w:kern w:val="2"/>
                <w:sz w:val="18"/>
                <w:szCs w:val="18"/>
                <w:highlight w:val="none"/>
                <w:lang w:eastAsia="zh-CN"/>
              </w:rPr>
              <w:t>近期</w:t>
            </w:r>
          </w:p>
        </w:tc>
        <w:tc>
          <w:tcPr>
            <w:tcW w:w="0" w:type="auto"/>
            <w:gridSpan w:val="3"/>
            <w:noWrap w:val="0"/>
            <w:vAlign w:val="center"/>
          </w:tcPr>
          <w:p w14:paraId="12F0A300">
            <w:pPr>
              <w:pStyle w:val="45"/>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中期□</w:t>
            </w:r>
          </w:p>
        </w:tc>
        <w:tc>
          <w:tcPr>
            <w:tcW w:w="0" w:type="auto"/>
            <w:gridSpan w:val="2"/>
            <w:noWrap w:val="0"/>
            <w:vAlign w:val="center"/>
          </w:tcPr>
          <w:p w14:paraId="5657FCC8">
            <w:pPr>
              <w:pStyle w:val="45"/>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远期□</w:t>
            </w:r>
          </w:p>
        </w:tc>
      </w:tr>
      <w:tr w14:paraId="3EF5A5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2" w:hRule="atLeast"/>
          <w:jc w:val="center"/>
        </w:trPr>
        <w:tc>
          <w:tcPr>
            <w:tcW w:w="0" w:type="auto"/>
            <w:vMerge w:val="continue"/>
            <w:noWrap w:val="0"/>
            <w:vAlign w:val="center"/>
          </w:tcPr>
          <w:p w14:paraId="17C9A083">
            <w:pPr>
              <w:spacing w:line="240" w:lineRule="auto"/>
              <w:ind w:firstLine="0" w:firstLineChars="0"/>
              <w:jc w:val="center"/>
              <w:rPr>
                <w:rFonts w:ascii="Times New Roman" w:hAnsi="Times New Roman" w:eastAsia="新宋体"/>
                <w:color w:val="auto"/>
                <w:sz w:val="18"/>
                <w:szCs w:val="18"/>
                <w:highlight w:val="none"/>
                <w:lang w:eastAsia="en-US"/>
              </w:rPr>
            </w:pPr>
          </w:p>
        </w:tc>
        <w:tc>
          <w:tcPr>
            <w:tcW w:w="0" w:type="auto"/>
            <w:noWrap w:val="0"/>
            <w:vAlign w:val="center"/>
          </w:tcPr>
          <w:p w14:paraId="06845F2B">
            <w:pPr>
              <w:pStyle w:val="45"/>
              <w:spacing w:before="124"/>
              <w:ind w:left="149" w:right="130"/>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现状调查方法</w:t>
            </w:r>
          </w:p>
        </w:tc>
        <w:tc>
          <w:tcPr>
            <w:tcW w:w="0" w:type="auto"/>
            <w:gridSpan w:val="4"/>
            <w:noWrap w:val="0"/>
            <w:vAlign w:val="center"/>
          </w:tcPr>
          <w:p w14:paraId="1E01E6FB">
            <w:pPr>
              <w:pStyle w:val="45"/>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现场实测法</w:t>
            </w:r>
            <w:r>
              <w:rPr>
                <w:rFonts w:hint="eastAsia" w:ascii="MS Mincho" w:hAnsi="MS Mincho" w:eastAsia="MS Mincho" w:cs="MS Mincho"/>
                <w:color w:val="auto"/>
                <w:kern w:val="2"/>
                <w:sz w:val="18"/>
                <w:szCs w:val="18"/>
                <w:highlight w:val="none"/>
                <w:lang w:eastAsia="zh-CN"/>
              </w:rPr>
              <w:t>☑</w:t>
            </w:r>
          </w:p>
        </w:tc>
        <w:tc>
          <w:tcPr>
            <w:tcW w:w="0" w:type="auto"/>
            <w:gridSpan w:val="4"/>
            <w:noWrap w:val="0"/>
            <w:vAlign w:val="center"/>
          </w:tcPr>
          <w:p w14:paraId="26B3FCF6">
            <w:pPr>
              <w:pStyle w:val="45"/>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现场实测加模型计算法□</w:t>
            </w:r>
          </w:p>
        </w:tc>
        <w:tc>
          <w:tcPr>
            <w:tcW w:w="0" w:type="auto"/>
            <w:gridSpan w:val="2"/>
            <w:noWrap w:val="0"/>
            <w:vAlign w:val="center"/>
          </w:tcPr>
          <w:p w14:paraId="639ABC29">
            <w:pPr>
              <w:pStyle w:val="45"/>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收集资料□</w:t>
            </w:r>
          </w:p>
        </w:tc>
      </w:tr>
      <w:tr w14:paraId="0C207E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4" w:hRule="atLeast"/>
          <w:jc w:val="center"/>
        </w:trPr>
        <w:tc>
          <w:tcPr>
            <w:tcW w:w="0" w:type="auto"/>
            <w:vMerge w:val="continue"/>
            <w:noWrap w:val="0"/>
            <w:vAlign w:val="center"/>
          </w:tcPr>
          <w:p w14:paraId="23F697F2">
            <w:pPr>
              <w:spacing w:line="240" w:lineRule="auto"/>
              <w:ind w:firstLine="0" w:firstLineChars="0"/>
              <w:jc w:val="center"/>
              <w:rPr>
                <w:rFonts w:ascii="Times New Roman" w:hAnsi="Times New Roman" w:eastAsia="新宋体"/>
                <w:color w:val="auto"/>
                <w:sz w:val="18"/>
                <w:szCs w:val="18"/>
                <w:highlight w:val="none"/>
                <w:lang w:eastAsia="en-US"/>
              </w:rPr>
            </w:pPr>
          </w:p>
        </w:tc>
        <w:tc>
          <w:tcPr>
            <w:tcW w:w="0" w:type="auto"/>
            <w:noWrap w:val="0"/>
            <w:vAlign w:val="center"/>
          </w:tcPr>
          <w:p w14:paraId="6E349D9F">
            <w:pPr>
              <w:pStyle w:val="45"/>
              <w:spacing w:before="31"/>
              <w:ind w:left="149" w:right="130"/>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现状评价</w:t>
            </w:r>
          </w:p>
        </w:tc>
        <w:tc>
          <w:tcPr>
            <w:tcW w:w="0" w:type="auto"/>
            <w:gridSpan w:val="3"/>
            <w:noWrap w:val="0"/>
            <w:vAlign w:val="center"/>
          </w:tcPr>
          <w:p w14:paraId="23E33032">
            <w:pPr>
              <w:pStyle w:val="45"/>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达标百分比</w:t>
            </w:r>
          </w:p>
        </w:tc>
        <w:tc>
          <w:tcPr>
            <w:tcW w:w="0" w:type="auto"/>
            <w:gridSpan w:val="7"/>
            <w:noWrap w:val="0"/>
            <w:vAlign w:val="center"/>
          </w:tcPr>
          <w:p w14:paraId="6885355A">
            <w:pPr>
              <w:pStyle w:val="45"/>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100%</w:t>
            </w:r>
          </w:p>
        </w:tc>
      </w:tr>
      <w:tr w14:paraId="218628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1" w:hRule="atLeast"/>
          <w:jc w:val="center"/>
        </w:trPr>
        <w:tc>
          <w:tcPr>
            <w:tcW w:w="0" w:type="auto"/>
            <w:noWrap w:val="0"/>
            <w:vAlign w:val="center"/>
          </w:tcPr>
          <w:p w14:paraId="0EC44F37">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噪声源调查</w:t>
            </w:r>
          </w:p>
        </w:tc>
        <w:tc>
          <w:tcPr>
            <w:tcW w:w="0" w:type="auto"/>
            <w:noWrap w:val="0"/>
            <w:vAlign w:val="center"/>
          </w:tcPr>
          <w:p w14:paraId="432AB269">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噪声源调查方法</w:t>
            </w:r>
          </w:p>
        </w:tc>
        <w:tc>
          <w:tcPr>
            <w:tcW w:w="0" w:type="auto"/>
            <w:gridSpan w:val="3"/>
            <w:noWrap w:val="0"/>
            <w:vAlign w:val="center"/>
          </w:tcPr>
          <w:p w14:paraId="33794859">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现场实测</w:t>
            </w:r>
            <w:r>
              <w:rPr>
                <w:rFonts w:hint="eastAsia" w:ascii="MS Mincho" w:hAnsi="MS Mincho" w:eastAsia="MS Mincho" w:cs="MS Mincho"/>
                <w:color w:val="auto"/>
                <w:sz w:val="18"/>
                <w:szCs w:val="18"/>
                <w:highlight w:val="none"/>
                <w:lang w:eastAsia="en-US"/>
              </w:rPr>
              <w:t>☑</w:t>
            </w:r>
          </w:p>
        </w:tc>
        <w:tc>
          <w:tcPr>
            <w:tcW w:w="0" w:type="auto"/>
            <w:gridSpan w:val="3"/>
            <w:noWrap w:val="0"/>
            <w:vAlign w:val="center"/>
          </w:tcPr>
          <w:p w14:paraId="274210C5">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已有资料□</w:t>
            </w:r>
          </w:p>
        </w:tc>
        <w:tc>
          <w:tcPr>
            <w:tcW w:w="0" w:type="auto"/>
            <w:gridSpan w:val="4"/>
            <w:noWrap w:val="0"/>
            <w:vAlign w:val="center"/>
          </w:tcPr>
          <w:p w14:paraId="57754073">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研究成果□</w:t>
            </w:r>
          </w:p>
        </w:tc>
      </w:tr>
      <w:tr w14:paraId="09D7D1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1" w:hRule="atLeast"/>
          <w:jc w:val="center"/>
        </w:trPr>
        <w:tc>
          <w:tcPr>
            <w:tcW w:w="0" w:type="auto"/>
            <w:vMerge w:val="restart"/>
            <w:noWrap w:val="0"/>
            <w:vAlign w:val="center"/>
          </w:tcPr>
          <w:p w14:paraId="429E08D1">
            <w:pPr>
              <w:autoSpaceDE w:val="0"/>
              <w:autoSpaceDN w:val="0"/>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声环境影响预测与评价</w:t>
            </w:r>
          </w:p>
        </w:tc>
        <w:tc>
          <w:tcPr>
            <w:tcW w:w="0" w:type="auto"/>
            <w:noWrap w:val="0"/>
            <w:vAlign w:val="center"/>
          </w:tcPr>
          <w:p w14:paraId="346218A4">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预测模型</w:t>
            </w:r>
          </w:p>
        </w:tc>
        <w:tc>
          <w:tcPr>
            <w:tcW w:w="0" w:type="auto"/>
            <w:gridSpan w:val="5"/>
            <w:noWrap w:val="0"/>
            <w:vAlign w:val="center"/>
          </w:tcPr>
          <w:p w14:paraId="4A697601">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导则推荐模型</w:t>
            </w:r>
            <w:r>
              <w:rPr>
                <w:rFonts w:hint="eastAsia" w:ascii="MS Mincho" w:hAnsi="MS Mincho" w:eastAsia="MS Mincho" w:cs="MS Mincho"/>
                <w:color w:val="auto"/>
                <w:sz w:val="18"/>
                <w:szCs w:val="18"/>
                <w:highlight w:val="none"/>
                <w:lang w:eastAsia="en-US"/>
              </w:rPr>
              <w:t>☑</w:t>
            </w:r>
          </w:p>
        </w:tc>
        <w:tc>
          <w:tcPr>
            <w:tcW w:w="0" w:type="auto"/>
            <w:gridSpan w:val="5"/>
            <w:noWrap w:val="0"/>
            <w:vAlign w:val="center"/>
          </w:tcPr>
          <w:p w14:paraId="2A5ABE55">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其他□</w:t>
            </w:r>
          </w:p>
        </w:tc>
      </w:tr>
      <w:tr w14:paraId="21D088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4" w:hRule="atLeast"/>
          <w:jc w:val="center"/>
        </w:trPr>
        <w:tc>
          <w:tcPr>
            <w:tcW w:w="0" w:type="auto"/>
            <w:vMerge w:val="continue"/>
            <w:noWrap w:val="0"/>
            <w:vAlign w:val="center"/>
          </w:tcPr>
          <w:p w14:paraId="1775A5D0">
            <w:pPr>
              <w:spacing w:line="240" w:lineRule="auto"/>
              <w:ind w:firstLine="0" w:firstLineChars="0"/>
              <w:jc w:val="center"/>
              <w:rPr>
                <w:rFonts w:ascii="Times New Roman" w:hAnsi="Times New Roman" w:eastAsia="新宋体"/>
                <w:color w:val="auto"/>
                <w:sz w:val="18"/>
                <w:szCs w:val="18"/>
                <w:highlight w:val="none"/>
                <w:lang w:eastAsia="en-US"/>
              </w:rPr>
            </w:pPr>
          </w:p>
        </w:tc>
        <w:tc>
          <w:tcPr>
            <w:tcW w:w="0" w:type="auto"/>
            <w:noWrap w:val="0"/>
            <w:vAlign w:val="center"/>
          </w:tcPr>
          <w:p w14:paraId="50FC9FEC">
            <w:pPr>
              <w:pStyle w:val="45"/>
              <w:spacing w:before="31"/>
              <w:ind w:left="149" w:right="130"/>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预测范围</w:t>
            </w:r>
          </w:p>
        </w:tc>
        <w:tc>
          <w:tcPr>
            <w:tcW w:w="0" w:type="auto"/>
            <w:gridSpan w:val="4"/>
            <w:noWrap w:val="0"/>
            <w:vAlign w:val="center"/>
          </w:tcPr>
          <w:p w14:paraId="3F667AE7">
            <w:pPr>
              <w:pStyle w:val="45"/>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200 m</w:t>
            </w:r>
            <w:r>
              <w:rPr>
                <w:rFonts w:hint="eastAsia" w:ascii="MS Mincho" w:hAnsi="MS Mincho" w:eastAsia="MS Mincho" w:cs="MS Mincho"/>
                <w:color w:val="auto"/>
                <w:kern w:val="2"/>
                <w:sz w:val="18"/>
                <w:szCs w:val="18"/>
                <w:highlight w:val="none"/>
                <w:lang w:eastAsia="zh-CN"/>
              </w:rPr>
              <w:t>☑</w:t>
            </w:r>
          </w:p>
        </w:tc>
        <w:tc>
          <w:tcPr>
            <w:tcW w:w="0" w:type="auto"/>
            <w:gridSpan w:val="3"/>
            <w:noWrap w:val="0"/>
            <w:vAlign w:val="center"/>
          </w:tcPr>
          <w:p w14:paraId="1F7AF4FF">
            <w:pPr>
              <w:pStyle w:val="45"/>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大于200 m□</w:t>
            </w:r>
          </w:p>
        </w:tc>
        <w:tc>
          <w:tcPr>
            <w:tcW w:w="0" w:type="auto"/>
            <w:gridSpan w:val="3"/>
            <w:noWrap w:val="0"/>
            <w:vAlign w:val="center"/>
          </w:tcPr>
          <w:p w14:paraId="4C34F5B4">
            <w:pPr>
              <w:pStyle w:val="45"/>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小于200 m□</w:t>
            </w:r>
          </w:p>
        </w:tc>
      </w:tr>
      <w:tr w14:paraId="0B024C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4" w:hRule="atLeast"/>
          <w:jc w:val="center"/>
        </w:trPr>
        <w:tc>
          <w:tcPr>
            <w:tcW w:w="0" w:type="auto"/>
            <w:vMerge w:val="continue"/>
            <w:noWrap w:val="0"/>
            <w:vAlign w:val="center"/>
          </w:tcPr>
          <w:p w14:paraId="7726741A">
            <w:pPr>
              <w:spacing w:line="240" w:lineRule="auto"/>
              <w:ind w:firstLine="0" w:firstLineChars="0"/>
              <w:jc w:val="center"/>
              <w:rPr>
                <w:rFonts w:ascii="Times New Roman" w:hAnsi="Times New Roman" w:eastAsia="新宋体"/>
                <w:color w:val="auto"/>
                <w:sz w:val="18"/>
                <w:szCs w:val="18"/>
                <w:highlight w:val="none"/>
                <w:lang w:eastAsia="en-US"/>
              </w:rPr>
            </w:pPr>
          </w:p>
        </w:tc>
        <w:tc>
          <w:tcPr>
            <w:tcW w:w="0" w:type="auto"/>
            <w:noWrap w:val="0"/>
            <w:vAlign w:val="center"/>
          </w:tcPr>
          <w:p w14:paraId="357599DE">
            <w:pPr>
              <w:pStyle w:val="45"/>
              <w:spacing w:before="31"/>
              <w:ind w:left="149" w:right="130"/>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预测因子</w:t>
            </w:r>
          </w:p>
        </w:tc>
        <w:tc>
          <w:tcPr>
            <w:tcW w:w="0" w:type="auto"/>
            <w:gridSpan w:val="4"/>
            <w:noWrap w:val="0"/>
            <w:vAlign w:val="center"/>
          </w:tcPr>
          <w:p w14:paraId="17859BDF">
            <w:pPr>
              <w:pStyle w:val="45"/>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等效连续A声级</w:t>
            </w:r>
            <w:r>
              <w:rPr>
                <w:rFonts w:hint="eastAsia" w:ascii="MS Mincho" w:hAnsi="MS Mincho" w:eastAsia="MS Mincho" w:cs="MS Mincho"/>
                <w:color w:val="auto"/>
                <w:kern w:val="2"/>
                <w:sz w:val="18"/>
                <w:szCs w:val="18"/>
                <w:highlight w:val="none"/>
                <w:lang w:eastAsia="zh-CN"/>
              </w:rPr>
              <w:t>☑</w:t>
            </w:r>
          </w:p>
        </w:tc>
        <w:tc>
          <w:tcPr>
            <w:tcW w:w="0" w:type="auto"/>
            <w:gridSpan w:val="2"/>
            <w:noWrap w:val="0"/>
            <w:vAlign w:val="center"/>
          </w:tcPr>
          <w:p w14:paraId="29795334">
            <w:pPr>
              <w:pStyle w:val="45"/>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最大A声级□</w:t>
            </w:r>
          </w:p>
        </w:tc>
        <w:tc>
          <w:tcPr>
            <w:tcW w:w="0" w:type="auto"/>
            <w:gridSpan w:val="4"/>
            <w:noWrap w:val="0"/>
            <w:vAlign w:val="center"/>
          </w:tcPr>
          <w:p w14:paraId="35A475E4">
            <w:pPr>
              <w:pStyle w:val="45"/>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计权等效连续感觉噪声级□</w:t>
            </w:r>
          </w:p>
        </w:tc>
      </w:tr>
      <w:tr w14:paraId="2F7CA9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0" w:type="auto"/>
            <w:vMerge w:val="continue"/>
            <w:noWrap w:val="0"/>
            <w:vAlign w:val="center"/>
          </w:tcPr>
          <w:p w14:paraId="41D9B0E0">
            <w:pPr>
              <w:spacing w:line="240" w:lineRule="auto"/>
              <w:ind w:firstLine="0" w:firstLineChars="0"/>
              <w:jc w:val="center"/>
              <w:rPr>
                <w:rFonts w:ascii="Times New Roman" w:hAnsi="Times New Roman" w:eastAsia="新宋体"/>
                <w:color w:val="auto"/>
                <w:sz w:val="18"/>
                <w:szCs w:val="18"/>
                <w:highlight w:val="none"/>
              </w:rPr>
            </w:pPr>
          </w:p>
        </w:tc>
        <w:tc>
          <w:tcPr>
            <w:tcW w:w="0" w:type="auto"/>
            <w:noWrap w:val="0"/>
            <w:vAlign w:val="center"/>
          </w:tcPr>
          <w:p w14:paraId="11EC66D5">
            <w:pPr>
              <w:pStyle w:val="45"/>
              <w:spacing w:before="31"/>
              <w:ind w:right="148"/>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厂界噪声贡献值</w:t>
            </w:r>
          </w:p>
        </w:tc>
        <w:tc>
          <w:tcPr>
            <w:tcW w:w="0" w:type="auto"/>
            <w:gridSpan w:val="5"/>
            <w:noWrap w:val="0"/>
            <w:vAlign w:val="center"/>
          </w:tcPr>
          <w:p w14:paraId="4C17ADF0">
            <w:pPr>
              <w:pStyle w:val="45"/>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达标</w:t>
            </w:r>
            <w:r>
              <w:rPr>
                <w:rFonts w:hint="eastAsia" w:ascii="MS Mincho" w:hAnsi="MS Mincho" w:eastAsia="MS Mincho" w:cs="MS Mincho"/>
                <w:color w:val="auto"/>
                <w:kern w:val="2"/>
                <w:sz w:val="18"/>
                <w:szCs w:val="18"/>
                <w:highlight w:val="none"/>
                <w:lang w:eastAsia="zh-CN"/>
              </w:rPr>
              <w:t>☑</w:t>
            </w:r>
          </w:p>
        </w:tc>
        <w:tc>
          <w:tcPr>
            <w:tcW w:w="0" w:type="auto"/>
            <w:gridSpan w:val="5"/>
            <w:noWrap w:val="0"/>
            <w:vAlign w:val="center"/>
          </w:tcPr>
          <w:p w14:paraId="68F22EAB">
            <w:pPr>
              <w:pStyle w:val="45"/>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不达标□</w:t>
            </w:r>
          </w:p>
        </w:tc>
      </w:tr>
      <w:tr w14:paraId="4F45B0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7" w:hRule="atLeast"/>
          <w:jc w:val="center"/>
        </w:trPr>
        <w:tc>
          <w:tcPr>
            <w:tcW w:w="0" w:type="auto"/>
            <w:vMerge w:val="continue"/>
            <w:noWrap w:val="0"/>
            <w:vAlign w:val="center"/>
          </w:tcPr>
          <w:p w14:paraId="01A296E6">
            <w:pPr>
              <w:spacing w:line="240" w:lineRule="auto"/>
              <w:ind w:firstLine="0" w:firstLineChars="0"/>
              <w:jc w:val="center"/>
              <w:rPr>
                <w:rFonts w:ascii="Times New Roman" w:hAnsi="Times New Roman" w:eastAsia="新宋体"/>
                <w:color w:val="auto"/>
                <w:sz w:val="18"/>
                <w:szCs w:val="18"/>
                <w:highlight w:val="none"/>
                <w:lang w:eastAsia="en-US"/>
              </w:rPr>
            </w:pPr>
          </w:p>
        </w:tc>
        <w:tc>
          <w:tcPr>
            <w:tcW w:w="0" w:type="auto"/>
            <w:noWrap w:val="0"/>
            <w:vAlign w:val="center"/>
          </w:tcPr>
          <w:p w14:paraId="393DB0B2">
            <w:pPr>
              <w:pStyle w:val="45"/>
              <w:spacing w:before="31"/>
              <w:ind w:right="148"/>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声环境保护目标处噪声值</w:t>
            </w:r>
          </w:p>
        </w:tc>
        <w:tc>
          <w:tcPr>
            <w:tcW w:w="0" w:type="auto"/>
            <w:gridSpan w:val="5"/>
            <w:noWrap w:val="0"/>
            <w:vAlign w:val="center"/>
          </w:tcPr>
          <w:p w14:paraId="670DD72D">
            <w:pPr>
              <w:pStyle w:val="45"/>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达标</w:t>
            </w:r>
            <w:r>
              <w:rPr>
                <w:rFonts w:hint="eastAsia" w:ascii="MS Mincho" w:hAnsi="MS Mincho" w:eastAsia="MS Mincho" w:cs="MS Mincho"/>
                <w:color w:val="auto"/>
                <w:kern w:val="2"/>
                <w:sz w:val="18"/>
                <w:szCs w:val="18"/>
                <w:highlight w:val="none"/>
                <w:lang w:eastAsia="zh-CN"/>
              </w:rPr>
              <w:t>☑</w:t>
            </w:r>
          </w:p>
        </w:tc>
        <w:tc>
          <w:tcPr>
            <w:tcW w:w="0" w:type="auto"/>
            <w:gridSpan w:val="5"/>
            <w:noWrap w:val="0"/>
            <w:vAlign w:val="center"/>
          </w:tcPr>
          <w:p w14:paraId="30637BAB">
            <w:pPr>
              <w:pStyle w:val="45"/>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不达标□</w:t>
            </w:r>
          </w:p>
        </w:tc>
      </w:tr>
      <w:tr w14:paraId="45277C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0" w:type="auto"/>
            <w:vMerge w:val="restart"/>
            <w:noWrap w:val="0"/>
            <w:vAlign w:val="center"/>
          </w:tcPr>
          <w:p w14:paraId="37B9A3E2">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环境监测计划</w:t>
            </w:r>
          </w:p>
        </w:tc>
        <w:tc>
          <w:tcPr>
            <w:tcW w:w="0" w:type="auto"/>
            <w:noWrap w:val="0"/>
            <w:vAlign w:val="center"/>
          </w:tcPr>
          <w:p w14:paraId="79D5D6B3">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排放监测</w:t>
            </w:r>
          </w:p>
        </w:tc>
        <w:tc>
          <w:tcPr>
            <w:tcW w:w="0" w:type="auto"/>
            <w:gridSpan w:val="5"/>
            <w:noWrap w:val="0"/>
            <w:vAlign w:val="center"/>
          </w:tcPr>
          <w:p w14:paraId="303F4D79">
            <w:pPr>
              <w:autoSpaceDE w:val="0"/>
              <w:autoSpaceDN w:val="0"/>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厂界监测</w:t>
            </w:r>
            <w:r>
              <w:rPr>
                <w:rFonts w:hint="eastAsia" w:ascii="MS Mincho" w:hAnsi="MS Mincho" w:eastAsia="MS Mincho" w:cs="MS Mincho"/>
                <w:color w:val="auto"/>
                <w:sz w:val="18"/>
                <w:szCs w:val="18"/>
                <w:highlight w:val="none"/>
              </w:rPr>
              <w:t>☑</w:t>
            </w:r>
            <w:r>
              <w:rPr>
                <w:rFonts w:ascii="Times New Roman" w:hAnsi="Times New Roman" w:eastAsia="新宋体"/>
                <w:color w:val="auto"/>
                <w:sz w:val="18"/>
                <w:szCs w:val="18"/>
                <w:highlight w:val="none"/>
              </w:rPr>
              <w:t xml:space="preserve">  固定位置监测□</w:t>
            </w:r>
          </w:p>
        </w:tc>
        <w:tc>
          <w:tcPr>
            <w:tcW w:w="0" w:type="auto"/>
            <w:gridSpan w:val="4"/>
            <w:noWrap w:val="0"/>
            <w:vAlign w:val="center"/>
          </w:tcPr>
          <w:p w14:paraId="0092E6FA">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自动监测□ 手动监测</w:t>
            </w:r>
            <w:r>
              <w:rPr>
                <w:rFonts w:hint="eastAsia" w:ascii="MS Mincho" w:hAnsi="MS Mincho" w:eastAsia="MS Mincho" w:cs="MS Mincho"/>
                <w:color w:val="auto"/>
                <w:sz w:val="18"/>
                <w:szCs w:val="18"/>
                <w:highlight w:val="none"/>
                <w:lang w:eastAsia="en-US"/>
              </w:rPr>
              <w:t>☑</w:t>
            </w:r>
          </w:p>
        </w:tc>
        <w:tc>
          <w:tcPr>
            <w:tcW w:w="0" w:type="auto"/>
            <w:noWrap w:val="0"/>
            <w:vAlign w:val="center"/>
          </w:tcPr>
          <w:p w14:paraId="04728B63">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无监测□</w:t>
            </w:r>
          </w:p>
        </w:tc>
      </w:tr>
      <w:tr w14:paraId="0E8C38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8" w:hRule="atLeast"/>
          <w:jc w:val="center"/>
        </w:trPr>
        <w:tc>
          <w:tcPr>
            <w:tcW w:w="0" w:type="auto"/>
            <w:vMerge w:val="continue"/>
            <w:noWrap w:val="0"/>
            <w:vAlign w:val="center"/>
          </w:tcPr>
          <w:p w14:paraId="6C5D47D4">
            <w:pPr>
              <w:spacing w:line="240" w:lineRule="auto"/>
              <w:ind w:firstLine="0" w:firstLineChars="0"/>
              <w:jc w:val="center"/>
              <w:rPr>
                <w:rFonts w:ascii="Times New Roman" w:hAnsi="Times New Roman" w:eastAsia="新宋体"/>
                <w:color w:val="auto"/>
                <w:sz w:val="18"/>
                <w:szCs w:val="18"/>
                <w:highlight w:val="none"/>
                <w:lang w:eastAsia="en-US"/>
              </w:rPr>
            </w:pPr>
          </w:p>
        </w:tc>
        <w:tc>
          <w:tcPr>
            <w:tcW w:w="0" w:type="auto"/>
            <w:noWrap w:val="0"/>
            <w:vAlign w:val="center"/>
          </w:tcPr>
          <w:p w14:paraId="5DC9025E">
            <w:pPr>
              <w:pStyle w:val="45"/>
              <w:spacing w:before="31"/>
              <w:ind w:left="169" w:right="148"/>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声环境保护目标处噪声监测</w:t>
            </w:r>
          </w:p>
        </w:tc>
        <w:tc>
          <w:tcPr>
            <w:tcW w:w="0" w:type="auto"/>
            <w:gridSpan w:val="5"/>
            <w:noWrap w:val="0"/>
            <w:vAlign w:val="center"/>
          </w:tcPr>
          <w:p w14:paraId="090AA70F">
            <w:pPr>
              <w:pStyle w:val="45"/>
              <w:tabs>
                <w:tab w:val="left" w:pos="2252"/>
              </w:tabs>
              <w:spacing w:before="146"/>
              <w:ind w:left="810"/>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监测因子：（噪声）</w:t>
            </w:r>
          </w:p>
        </w:tc>
        <w:tc>
          <w:tcPr>
            <w:tcW w:w="0" w:type="auto"/>
            <w:gridSpan w:val="4"/>
            <w:noWrap w:val="0"/>
            <w:vAlign w:val="center"/>
          </w:tcPr>
          <w:p w14:paraId="434736EE">
            <w:pPr>
              <w:pStyle w:val="45"/>
              <w:tabs>
                <w:tab w:val="left" w:pos="1735"/>
              </w:tabs>
              <w:spacing w:before="146"/>
              <w:ind w:left="201"/>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监测点位数（</w:t>
            </w:r>
            <w:r>
              <w:rPr>
                <w:rFonts w:hint="eastAsia" w:eastAsia="新宋体"/>
                <w:color w:val="auto"/>
                <w:kern w:val="2"/>
                <w:sz w:val="18"/>
                <w:szCs w:val="18"/>
                <w:highlight w:val="none"/>
                <w:lang w:eastAsia="zh-CN"/>
              </w:rPr>
              <w:t>4</w:t>
            </w:r>
            <w:r>
              <w:rPr>
                <w:rFonts w:eastAsia="新宋体"/>
                <w:color w:val="auto"/>
                <w:kern w:val="2"/>
                <w:sz w:val="18"/>
                <w:szCs w:val="18"/>
                <w:highlight w:val="none"/>
                <w:lang w:eastAsia="zh-CN"/>
              </w:rPr>
              <w:t>）</w:t>
            </w:r>
          </w:p>
        </w:tc>
        <w:tc>
          <w:tcPr>
            <w:tcW w:w="0" w:type="auto"/>
            <w:noWrap w:val="0"/>
            <w:vAlign w:val="center"/>
          </w:tcPr>
          <w:p w14:paraId="177F6026">
            <w:pPr>
              <w:pStyle w:val="45"/>
              <w:spacing w:before="146"/>
              <w:ind w:left="53" w:right="78"/>
              <w:jc w:val="center"/>
              <w:rPr>
                <w:rFonts w:eastAsia="新宋体"/>
                <w:color w:val="auto"/>
                <w:kern w:val="2"/>
                <w:sz w:val="18"/>
                <w:szCs w:val="18"/>
                <w:highlight w:val="none"/>
                <w:lang w:eastAsia="zh-CN"/>
              </w:rPr>
            </w:pPr>
            <w:r>
              <w:rPr>
                <w:rFonts w:eastAsia="新宋体"/>
                <w:color w:val="auto"/>
                <w:kern w:val="2"/>
                <w:sz w:val="18"/>
                <w:szCs w:val="18"/>
                <w:highlight w:val="none"/>
                <w:lang w:eastAsia="zh-CN"/>
              </w:rPr>
              <w:t>无监测□</w:t>
            </w:r>
          </w:p>
        </w:tc>
      </w:tr>
      <w:tr w14:paraId="06B90F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4" w:hRule="atLeast"/>
          <w:jc w:val="center"/>
        </w:trPr>
        <w:tc>
          <w:tcPr>
            <w:tcW w:w="0" w:type="auto"/>
            <w:noWrap w:val="0"/>
            <w:vAlign w:val="center"/>
          </w:tcPr>
          <w:p w14:paraId="3FBA8DF0">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评价结论</w:t>
            </w:r>
          </w:p>
        </w:tc>
        <w:tc>
          <w:tcPr>
            <w:tcW w:w="0" w:type="auto"/>
            <w:noWrap w:val="0"/>
            <w:vAlign w:val="center"/>
          </w:tcPr>
          <w:p w14:paraId="6CE24AED">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环境影响</w:t>
            </w:r>
          </w:p>
        </w:tc>
        <w:tc>
          <w:tcPr>
            <w:tcW w:w="0" w:type="auto"/>
            <w:gridSpan w:val="10"/>
            <w:noWrap w:val="0"/>
            <w:vAlign w:val="center"/>
          </w:tcPr>
          <w:p w14:paraId="65E47802">
            <w:pPr>
              <w:autoSpaceDE w:val="0"/>
              <w:autoSpaceDN w:val="0"/>
              <w:spacing w:line="240" w:lineRule="auto"/>
              <w:ind w:firstLine="0" w:firstLineChars="0"/>
              <w:jc w:val="center"/>
              <w:rPr>
                <w:rFonts w:ascii="Times New Roman" w:hAnsi="Times New Roman" w:eastAsia="新宋体"/>
                <w:color w:val="auto"/>
                <w:sz w:val="18"/>
                <w:szCs w:val="18"/>
                <w:highlight w:val="none"/>
                <w:lang w:eastAsia="en-US"/>
              </w:rPr>
            </w:pPr>
            <w:r>
              <w:rPr>
                <w:rFonts w:ascii="Times New Roman" w:hAnsi="Times New Roman" w:eastAsia="新宋体"/>
                <w:color w:val="auto"/>
                <w:sz w:val="18"/>
                <w:szCs w:val="18"/>
                <w:highlight w:val="none"/>
                <w:lang w:eastAsia="en-US"/>
              </w:rPr>
              <w:t>可行</w:t>
            </w:r>
            <w:r>
              <w:rPr>
                <w:rFonts w:hint="eastAsia" w:ascii="MS Mincho" w:hAnsi="MS Mincho" w:eastAsia="MS Mincho" w:cs="MS Mincho"/>
                <w:color w:val="auto"/>
                <w:sz w:val="18"/>
                <w:szCs w:val="18"/>
                <w:highlight w:val="none"/>
                <w:lang w:eastAsia="en-US"/>
              </w:rPr>
              <w:t>☑</w:t>
            </w:r>
            <w:r>
              <w:rPr>
                <w:rFonts w:ascii="Times New Roman" w:hAnsi="Times New Roman"/>
                <w:color w:val="auto"/>
                <w:sz w:val="18"/>
                <w:szCs w:val="18"/>
                <w:highlight w:val="none"/>
                <w:lang w:eastAsia="en-US"/>
              </w:rPr>
              <w:t xml:space="preserve">  </w:t>
            </w:r>
            <w:r>
              <w:rPr>
                <w:rFonts w:ascii="Times New Roman" w:hAnsi="Times New Roman" w:eastAsia="新宋体"/>
                <w:color w:val="auto"/>
                <w:sz w:val="18"/>
                <w:szCs w:val="18"/>
                <w:highlight w:val="none"/>
                <w:lang w:eastAsia="en-US"/>
              </w:rPr>
              <w:t>不可行□</w:t>
            </w:r>
          </w:p>
        </w:tc>
      </w:tr>
      <w:tr w14:paraId="70A007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6" w:hRule="atLeast"/>
          <w:jc w:val="center"/>
        </w:trPr>
        <w:tc>
          <w:tcPr>
            <w:tcW w:w="0" w:type="auto"/>
            <w:gridSpan w:val="12"/>
            <w:noWrap w:val="0"/>
            <w:vAlign w:val="center"/>
          </w:tcPr>
          <w:p w14:paraId="42A215C3">
            <w:pPr>
              <w:autoSpaceDE w:val="0"/>
              <w:autoSpaceDN w:val="0"/>
              <w:spacing w:line="240" w:lineRule="auto"/>
              <w:ind w:firstLine="0" w:firstLineChars="0"/>
              <w:jc w:val="center"/>
              <w:rPr>
                <w:rFonts w:ascii="Times New Roman" w:hAnsi="Times New Roman" w:eastAsia="新宋体"/>
                <w:color w:val="auto"/>
                <w:sz w:val="18"/>
                <w:szCs w:val="18"/>
                <w:highlight w:val="none"/>
              </w:rPr>
            </w:pPr>
            <w:r>
              <w:rPr>
                <w:rFonts w:ascii="Times New Roman" w:hAnsi="Times New Roman" w:eastAsia="新宋体"/>
                <w:color w:val="auto"/>
                <w:sz w:val="18"/>
                <w:szCs w:val="18"/>
                <w:highlight w:val="none"/>
              </w:rPr>
              <w:t>注“□”为勾选项 ，可√；“（  ）”为内容填写项。</w:t>
            </w:r>
          </w:p>
        </w:tc>
      </w:tr>
    </w:tbl>
    <w:p w14:paraId="43AB9B61">
      <w:pPr>
        <w:pStyle w:val="4"/>
        <w:spacing w:before="0" w:after="0" w:line="240" w:lineRule="auto"/>
        <w:jc w:val="center"/>
        <w:rPr>
          <w:rFonts w:hint="eastAsia" w:ascii="Times New Roman" w:hAnsi="Times New Roman"/>
          <w:b w:val="0"/>
          <w:color w:val="auto"/>
          <w:highlight w:val="none"/>
        </w:rPr>
      </w:pPr>
      <w:r>
        <w:rPr>
          <w:rFonts w:ascii="Times New Roman" w:hAnsi="Times New Roman"/>
          <w:b w:val="0"/>
          <w:color w:val="auto"/>
          <w:highlight w:val="none"/>
        </w:rPr>
        <w:br w:type="page"/>
      </w:r>
      <w:bookmarkStart w:id="216" w:name="_Toc17275"/>
      <w:bookmarkStart w:id="217" w:name="_Toc5753"/>
      <w:r>
        <w:rPr>
          <w:rFonts w:hint="eastAsia"/>
          <w:color w:val="auto"/>
          <w:highlight w:val="none"/>
        </w:rPr>
        <w:t>建设项目地表水环境自查表</w:t>
      </w:r>
      <w:bookmarkEnd w:id="216"/>
      <w:bookmarkEnd w:id="217"/>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3"/>
        <w:gridCol w:w="979"/>
        <w:gridCol w:w="2131"/>
        <w:gridCol w:w="413"/>
        <w:gridCol w:w="368"/>
        <w:gridCol w:w="1311"/>
        <w:gridCol w:w="328"/>
        <w:gridCol w:w="328"/>
        <w:gridCol w:w="328"/>
        <w:gridCol w:w="1877"/>
      </w:tblGrid>
      <w:tr w14:paraId="1AA56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0" w:type="auto"/>
            <w:gridSpan w:val="2"/>
            <w:noWrap w:val="0"/>
            <w:vAlign w:val="center"/>
          </w:tcPr>
          <w:p w14:paraId="5C5270A6">
            <w:pPr>
              <w:spacing w:line="240" w:lineRule="auto"/>
              <w:ind w:firstLine="0" w:firstLineChars="0"/>
              <w:jc w:val="center"/>
              <w:rPr>
                <w:color w:val="auto"/>
                <w:sz w:val="21"/>
                <w:szCs w:val="21"/>
                <w:highlight w:val="none"/>
              </w:rPr>
            </w:pPr>
            <w:r>
              <w:rPr>
                <w:color w:val="auto"/>
                <w:sz w:val="21"/>
                <w:szCs w:val="21"/>
                <w:highlight w:val="none"/>
              </w:rPr>
              <w:t>工作内容</w:t>
            </w:r>
          </w:p>
        </w:tc>
        <w:tc>
          <w:tcPr>
            <w:tcW w:w="0" w:type="auto"/>
            <w:gridSpan w:val="8"/>
            <w:noWrap w:val="0"/>
            <w:vAlign w:val="center"/>
          </w:tcPr>
          <w:p w14:paraId="70BE4A4F">
            <w:pPr>
              <w:spacing w:line="240" w:lineRule="auto"/>
              <w:ind w:firstLine="0" w:firstLineChars="0"/>
              <w:jc w:val="left"/>
              <w:rPr>
                <w:color w:val="auto"/>
                <w:sz w:val="21"/>
                <w:szCs w:val="21"/>
                <w:highlight w:val="none"/>
              </w:rPr>
            </w:pPr>
            <w:r>
              <w:rPr>
                <w:color w:val="auto"/>
                <w:sz w:val="21"/>
                <w:szCs w:val="21"/>
                <w:highlight w:val="none"/>
              </w:rPr>
              <w:t>自查项目</w:t>
            </w:r>
          </w:p>
        </w:tc>
      </w:tr>
      <w:tr w14:paraId="4DF2D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restart"/>
            <w:noWrap w:val="0"/>
            <w:vAlign w:val="center"/>
          </w:tcPr>
          <w:p w14:paraId="1872E96D">
            <w:pPr>
              <w:spacing w:line="240" w:lineRule="auto"/>
              <w:ind w:firstLine="0" w:firstLineChars="0"/>
              <w:jc w:val="center"/>
              <w:rPr>
                <w:color w:val="auto"/>
                <w:sz w:val="21"/>
                <w:szCs w:val="21"/>
                <w:highlight w:val="none"/>
              </w:rPr>
            </w:pPr>
            <w:r>
              <w:rPr>
                <w:color w:val="auto"/>
                <w:sz w:val="21"/>
                <w:szCs w:val="21"/>
                <w:highlight w:val="none"/>
              </w:rPr>
              <w:t>影响识别</w:t>
            </w:r>
          </w:p>
        </w:tc>
        <w:tc>
          <w:tcPr>
            <w:tcW w:w="0" w:type="auto"/>
            <w:noWrap w:val="0"/>
            <w:vAlign w:val="center"/>
          </w:tcPr>
          <w:p w14:paraId="1B7AB10E">
            <w:pPr>
              <w:spacing w:line="240" w:lineRule="auto"/>
              <w:ind w:firstLine="0" w:firstLineChars="0"/>
              <w:jc w:val="center"/>
              <w:rPr>
                <w:color w:val="auto"/>
                <w:sz w:val="21"/>
                <w:szCs w:val="21"/>
                <w:highlight w:val="none"/>
              </w:rPr>
            </w:pPr>
            <w:r>
              <w:rPr>
                <w:color w:val="auto"/>
                <w:sz w:val="21"/>
                <w:szCs w:val="21"/>
                <w:highlight w:val="none"/>
              </w:rPr>
              <w:t>影响类型</w:t>
            </w:r>
          </w:p>
        </w:tc>
        <w:tc>
          <w:tcPr>
            <w:tcW w:w="0" w:type="auto"/>
            <w:gridSpan w:val="8"/>
            <w:noWrap w:val="0"/>
            <w:vAlign w:val="center"/>
          </w:tcPr>
          <w:p w14:paraId="4988F89B">
            <w:pPr>
              <w:spacing w:line="240" w:lineRule="auto"/>
              <w:ind w:firstLine="0" w:firstLineChars="0"/>
              <w:jc w:val="left"/>
              <w:rPr>
                <w:color w:val="auto"/>
                <w:sz w:val="21"/>
                <w:szCs w:val="21"/>
                <w:highlight w:val="none"/>
              </w:rPr>
            </w:pPr>
            <w:r>
              <w:rPr>
                <w:color w:val="auto"/>
                <w:sz w:val="21"/>
                <w:szCs w:val="21"/>
                <w:highlight w:val="none"/>
              </w:rPr>
              <w:t>水污染影响型</w:t>
            </w:r>
            <w:r>
              <w:rPr>
                <w:rFonts w:hint="eastAsia" w:ascii="MS Mincho" w:hAnsi="MS Mincho" w:eastAsia="MS Mincho" w:cs="MS Mincho"/>
                <w:color w:val="auto"/>
                <w:sz w:val="21"/>
                <w:szCs w:val="21"/>
                <w:highlight w:val="none"/>
              </w:rPr>
              <w:t>☑</w:t>
            </w:r>
            <w:r>
              <w:rPr>
                <w:color w:val="auto"/>
                <w:sz w:val="21"/>
                <w:szCs w:val="21"/>
                <w:highlight w:val="none"/>
              </w:rPr>
              <w:t>；水文要素影响型</w:t>
            </w:r>
            <w:r>
              <w:rPr>
                <w:rFonts w:hint="eastAsia"/>
                <w:color w:val="auto"/>
                <w:sz w:val="21"/>
                <w:szCs w:val="21"/>
                <w:highlight w:val="none"/>
              </w:rPr>
              <w:t>□</w:t>
            </w:r>
          </w:p>
        </w:tc>
      </w:tr>
      <w:tr w14:paraId="50DF6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noWrap w:val="0"/>
            <w:vAlign w:val="center"/>
          </w:tcPr>
          <w:p w14:paraId="4DB02299">
            <w:pPr>
              <w:spacing w:line="240" w:lineRule="auto"/>
              <w:ind w:firstLine="0" w:firstLineChars="0"/>
              <w:jc w:val="center"/>
              <w:rPr>
                <w:color w:val="auto"/>
                <w:sz w:val="21"/>
                <w:szCs w:val="21"/>
                <w:highlight w:val="none"/>
              </w:rPr>
            </w:pPr>
          </w:p>
        </w:tc>
        <w:tc>
          <w:tcPr>
            <w:tcW w:w="0" w:type="auto"/>
            <w:noWrap w:val="0"/>
            <w:vAlign w:val="center"/>
          </w:tcPr>
          <w:p w14:paraId="785444C7">
            <w:pPr>
              <w:spacing w:line="240" w:lineRule="auto"/>
              <w:ind w:firstLine="0" w:firstLineChars="0"/>
              <w:jc w:val="center"/>
              <w:rPr>
                <w:color w:val="auto"/>
                <w:sz w:val="21"/>
                <w:szCs w:val="21"/>
                <w:highlight w:val="none"/>
              </w:rPr>
            </w:pPr>
            <w:r>
              <w:rPr>
                <w:color w:val="auto"/>
                <w:sz w:val="21"/>
                <w:szCs w:val="21"/>
                <w:highlight w:val="none"/>
              </w:rPr>
              <w:t>水环境保护目标</w:t>
            </w:r>
          </w:p>
        </w:tc>
        <w:tc>
          <w:tcPr>
            <w:tcW w:w="0" w:type="auto"/>
            <w:gridSpan w:val="8"/>
            <w:noWrap w:val="0"/>
            <w:vAlign w:val="center"/>
          </w:tcPr>
          <w:p w14:paraId="013FCED8">
            <w:pPr>
              <w:spacing w:line="240" w:lineRule="auto"/>
              <w:ind w:firstLine="0" w:firstLineChars="0"/>
              <w:jc w:val="left"/>
              <w:rPr>
                <w:color w:val="auto"/>
                <w:sz w:val="21"/>
                <w:szCs w:val="21"/>
                <w:highlight w:val="none"/>
              </w:rPr>
            </w:pPr>
            <w:r>
              <w:rPr>
                <w:color w:val="auto"/>
                <w:sz w:val="21"/>
                <w:szCs w:val="21"/>
                <w:highlight w:val="none"/>
              </w:rPr>
              <w:t>饮用水水源保护区</w:t>
            </w:r>
            <w:r>
              <w:rPr>
                <w:rFonts w:hint="eastAsia"/>
                <w:color w:val="auto"/>
                <w:sz w:val="21"/>
                <w:szCs w:val="21"/>
                <w:highlight w:val="none"/>
              </w:rPr>
              <w:t>□</w:t>
            </w:r>
            <w:r>
              <w:rPr>
                <w:color w:val="auto"/>
                <w:sz w:val="21"/>
                <w:szCs w:val="21"/>
                <w:highlight w:val="none"/>
              </w:rPr>
              <w:t>；饮用水取水口</w:t>
            </w:r>
            <w:r>
              <w:rPr>
                <w:rFonts w:hint="eastAsia"/>
                <w:color w:val="auto"/>
                <w:sz w:val="21"/>
                <w:szCs w:val="21"/>
                <w:highlight w:val="none"/>
              </w:rPr>
              <w:t>□</w:t>
            </w:r>
            <w:r>
              <w:rPr>
                <w:color w:val="auto"/>
                <w:sz w:val="21"/>
                <w:szCs w:val="21"/>
                <w:highlight w:val="none"/>
              </w:rPr>
              <w:t>；涉水的自然保护区</w:t>
            </w:r>
            <w:r>
              <w:rPr>
                <w:rFonts w:hint="eastAsia"/>
                <w:color w:val="auto"/>
                <w:sz w:val="21"/>
                <w:szCs w:val="21"/>
                <w:highlight w:val="none"/>
                <w:lang w:eastAsia="zh-CN"/>
              </w:rPr>
              <w:t>□</w:t>
            </w:r>
            <w:r>
              <w:rPr>
                <w:color w:val="auto"/>
                <w:sz w:val="21"/>
                <w:szCs w:val="21"/>
                <w:highlight w:val="none"/>
              </w:rPr>
              <w:t>；重要湿地</w:t>
            </w:r>
            <w:r>
              <w:rPr>
                <w:rFonts w:hint="eastAsia"/>
                <w:color w:val="auto"/>
                <w:sz w:val="21"/>
                <w:szCs w:val="21"/>
                <w:highlight w:val="none"/>
              </w:rPr>
              <w:t>□</w:t>
            </w:r>
            <w:r>
              <w:rPr>
                <w:color w:val="auto"/>
                <w:sz w:val="21"/>
                <w:szCs w:val="21"/>
                <w:highlight w:val="none"/>
              </w:rPr>
              <w:t>；</w:t>
            </w:r>
          </w:p>
          <w:p w14:paraId="52576AA6">
            <w:pPr>
              <w:spacing w:line="240" w:lineRule="auto"/>
              <w:ind w:firstLine="0" w:firstLineChars="0"/>
              <w:jc w:val="left"/>
              <w:rPr>
                <w:color w:val="auto"/>
                <w:sz w:val="21"/>
                <w:szCs w:val="21"/>
                <w:highlight w:val="none"/>
              </w:rPr>
            </w:pPr>
            <w:r>
              <w:rPr>
                <w:color w:val="auto"/>
                <w:sz w:val="21"/>
                <w:szCs w:val="21"/>
                <w:highlight w:val="none"/>
              </w:rPr>
              <w:t>重点保护与珍稀水生生物的栖息地</w:t>
            </w:r>
            <w:r>
              <w:rPr>
                <w:rFonts w:hint="eastAsia"/>
                <w:color w:val="auto"/>
                <w:sz w:val="21"/>
                <w:szCs w:val="21"/>
                <w:highlight w:val="none"/>
              </w:rPr>
              <w:t>□</w:t>
            </w:r>
            <w:r>
              <w:rPr>
                <w:color w:val="auto"/>
                <w:sz w:val="21"/>
                <w:szCs w:val="21"/>
                <w:highlight w:val="none"/>
              </w:rPr>
              <w:t>；重要水生生物的自然产卵场及索饵场、越冬场和洄游通道、天然渔场等渔业水体</w:t>
            </w:r>
            <w:r>
              <w:rPr>
                <w:rFonts w:hint="eastAsia"/>
                <w:color w:val="auto"/>
                <w:sz w:val="21"/>
                <w:szCs w:val="21"/>
                <w:highlight w:val="none"/>
              </w:rPr>
              <w:t>□</w:t>
            </w:r>
            <w:r>
              <w:rPr>
                <w:color w:val="auto"/>
                <w:sz w:val="21"/>
                <w:szCs w:val="21"/>
                <w:highlight w:val="none"/>
              </w:rPr>
              <w:t>；涉水的风景名胜区</w:t>
            </w:r>
            <w:r>
              <w:rPr>
                <w:rFonts w:hint="eastAsia"/>
                <w:color w:val="auto"/>
                <w:sz w:val="21"/>
                <w:szCs w:val="21"/>
                <w:highlight w:val="none"/>
              </w:rPr>
              <w:t>□</w:t>
            </w:r>
            <w:r>
              <w:rPr>
                <w:color w:val="auto"/>
                <w:sz w:val="21"/>
                <w:szCs w:val="21"/>
                <w:highlight w:val="none"/>
              </w:rPr>
              <w:t>；其他</w:t>
            </w:r>
            <w:r>
              <w:rPr>
                <w:rFonts w:hint="eastAsia"/>
                <w:color w:val="auto"/>
                <w:sz w:val="21"/>
                <w:szCs w:val="21"/>
                <w:highlight w:val="none"/>
              </w:rPr>
              <w:t>□</w:t>
            </w:r>
          </w:p>
        </w:tc>
      </w:tr>
      <w:tr w14:paraId="5F311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0" w:type="auto"/>
            <w:vMerge w:val="continue"/>
            <w:noWrap w:val="0"/>
            <w:vAlign w:val="center"/>
          </w:tcPr>
          <w:p w14:paraId="22C278DD">
            <w:pPr>
              <w:spacing w:line="240" w:lineRule="auto"/>
              <w:ind w:firstLine="0" w:firstLineChars="0"/>
              <w:jc w:val="center"/>
              <w:rPr>
                <w:color w:val="auto"/>
                <w:sz w:val="21"/>
                <w:szCs w:val="21"/>
                <w:highlight w:val="none"/>
              </w:rPr>
            </w:pPr>
          </w:p>
        </w:tc>
        <w:tc>
          <w:tcPr>
            <w:tcW w:w="0" w:type="auto"/>
            <w:vMerge w:val="restart"/>
            <w:noWrap w:val="0"/>
            <w:vAlign w:val="center"/>
          </w:tcPr>
          <w:p w14:paraId="0C8033B8">
            <w:pPr>
              <w:spacing w:line="240" w:lineRule="auto"/>
              <w:ind w:firstLine="0" w:firstLineChars="0"/>
              <w:jc w:val="center"/>
              <w:rPr>
                <w:color w:val="auto"/>
                <w:sz w:val="21"/>
                <w:szCs w:val="21"/>
                <w:highlight w:val="none"/>
              </w:rPr>
            </w:pPr>
            <w:r>
              <w:rPr>
                <w:color w:val="auto"/>
                <w:sz w:val="21"/>
                <w:szCs w:val="21"/>
                <w:highlight w:val="none"/>
              </w:rPr>
              <w:t>影响途径</w:t>
            </w:r>
          </w:p>
        </w:tc>
        <w:tc>
          <w:tcPr>
            <w:tcW w:w="0" w:type="auto"/>
            <w:gridSpan w:val="3"/>
            <w:noWrap w:val="0"/>
            <w:vAlign w:val="center"/>
          </w:tcPr>
          <w:p w14:paraId="1EC4140D">
            <w:pPr>
              <w:spacing w:line="240" w:lineRule="auto"/>
              <w:ind w:firstLine="0" w:firstLineChars="0"/>
              <w:jc w:val="left"/>
              <w:rPr>
                <w:color w:val="auto"/>
                <w:sz w:val="21"/>
                <w:szCs w:val="21"/>
                <w:highlight w:val="none"/>
              </w:rPr>
            </w:pPr>
            <w:r>
              <w:rPr>
                <w:color w:val="auto"/>
                <w:sz w:val="21"/>
                <w:szCs w:val="21"/>
                <w:highlight w:val="none"/>
              </w:rPr>
              <w:t>水污染影响型</w:t>
            </w:r>
          </w:p>
        </w:tc>
        <w:tc>
          <w:tcPr>
            <w:tcW w:w="0" w:type="auto"/>
            <w:gridSpan w:val="5"/>
            <w:noWrap w:val="0"/>
            <w:vAlign w:val="center"/>
          </w:tcPr>
          <w:p w14:paraId="3D15CC95">
            <w:pPr>
              <w:spacing w:line="240" w:lineRule="auto"/>
              <w:ind w:firstLine="0" w:firstLineChars="0"/>
              <w:jc w:val="left"/>
              <w:rPr>
                <w:color w:val="auto"/>
                <w:sz w:val="21"/>
                <w:szCs w:val="21"/>
                <w:highlight w:val="none"/>
              </w:rPr>
            </w:pPr>
            <w:r>
              <w:rPr>
                <w:color w:val="auto"/>
                <w:sz w:val="21"/>
                <w:szCs w:val="21"/>
                <w:highlight w:val="none"/>
              </w:rPr>
              <w:t>水文要素影响型</w:t>
            </w:r>
          </w:p>
        </w:tc>
      </w:tr>
      <w:tr w14:paraId="2C401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0" w:type="auto"/>
            <w:vMerge w:val="continue"/>
            <w:noWrap w:val="0"/>
            <w:vAlign w:val="center"/>
          </w:tcPr>
          <w:p w14:paraId="7BF46F7C">
            <w:pPr>
              <w:spacing w:line="240" w:lineRule="auto"/>
              <w:ind w:firstLine="0" w:firstLineChars="0"/>
              <w:jc w:val="center"/>
              <w:rPr>
                <w:color w:val="auto"/>
                <w:sz w:val="21"/>
                <w:szCs w:val="21"/>
                <w:highlight w:val="none"/>
              </w:rPr>
            </w:pPr>
          </w:p>
        </w:tc>
        <w:tc>
          <w:tcPr>
            <w:tcW w:w="0" w:type="auto"/>
            <w:vMerge w:val="continue"/>
            <w:noWrap w:val="0"/>
            <w:vAlign w:val="center"/>
          </w:tcPr>
          <w:p w14:paraId="5125E01E">
            <w:pPr>
              <w:spacing w:line="240" w:lineRule="auto"/>
              <w:ind w:firstLine="0" w:firstLineChars="0"/>
              <w:jc w:val="center"/>
              <w:rPr>
                <w:color w:val="auto"/>
                <w:sz w:val="21"/>
                <w:szCs w:val="21"/>
                <w:highlight w:val="none"/>
              </w:rPr>
            </w:pPr>
          </w:p>
        </w:tc>
        <w:tc>
          <w:tcPr>
            <w:tcW w:w="0" w:type="auto"/>
            <w:gridSpan w:val="3"/>
            <w:noWrap w:val="0"/>
            <w:vAlign w:val="center"/>
          </w:tcPr>
          <w:p w14:paraId="7FD30652">
            <w:pPr>
              <w:spacing w:line="240" w:lineRule="auto"/>
              <w:ind w:firstLine="0" w:firstLineChars="0"/>
              <w:jc w:val="left"/>
              <w:rPr>
                <w:color w:val="auto"/>
                <w:sz w:val="21"/>
                <w:szCs w:val="21"/>
                <w:highlight w:val="none"/>
              </w:rPr>
            </w:pPr>
            <w:r>
              <w:rPr>
                <w:color w:val="auto"/>
                <w:sz w:val="21"/>
                <w:szCs w:val="21"/>
                <w:highlight w:val="none"/>
              </w:rPr>
              <w:t>直接排放</w:t>
            </w:r>
            <w:r>
              <w:rPr>
                <w:rFonts w:hint="eastAsia"/>
                <w:color w:val="auto"/>
                <w:sz w:val="21"/>
                <w:szCs w:val="21"/>
                <w:highlight w:val="none"/>
              </w:rPr>
              <w:t>□</w:t>
            </w:r>
            <w:r>
              <w:rPr>
                <w:color w:val="auto"/>
                <w:sz w:val="21"/>
                <w:szCs w:val="21"/>
                <w:highlight w:val="none"/>
              </w:rPr>
              <w:t>；间接排放</w:t>
            </w:r>
            <w:r>
              <w:rPr>
                <w:rFonts w:hint="eastAsia" w:ascii="MS Mincho" w:hAnsi="MS Mincho" w:eastAsia="MS Mincho" w:cs="MS Mincho"/>
                <w:color w:val="auto"/>
                <w:sz w:val="21"/>
                <w:szCs w:val="21"/>
                <w:highlight w:val="none"/>
              </w:rPr>
              <w:t>☑</w:t>
            </w:r>
            <w:r>
              <w:rPr>
                <w:color w:val="auto"/>
                <w:sz w:val="21"/>
                <w:szCs w:val="21"/>
                <w:highlight w:val="none"/>
              </w:rPr>
              <w:t>；其他</w:t>
            </w:r>
            <w:r>
              <w:rPr>
                <w:rFonts w:hint="eastAsia"/>
                <w:color w:val="auto"/>
                <w:sz w:val="21"/>
                <w:szCs w:val="21"/>
                <w:highlight w:val="none"/>
              </w:rPr>
              <w:t>□</w:t>
            </w:r>
          </w:p>
        </w:tc>
        <w:tc>
          <w:tcPr>
            <w:tcW w:w="0" w:type="auto"/>
            <w:gridSpan w:val="5"/>
            <w:noWrap w:val="0"/>
            <w:vAlign w:val="center"/>
          </w:tcPr>
          <w:p w14:paraId="56E32424">
            <w:pPr>
              <w:spacing w:line="240" w:lineRule="auto"/>
              <w:ind w:firstLine="0" w:firstLineChars="0"/>
              <w:jc w:val="left"/>
              <w:rPr>
                <w:color w:val="auto"/>
                <w:sz w:val="21"/>
                <w:szCs w:val="21"/>
                <w:highlight w:val="none"/>
              </w:rPr>
            </w:pPr>
            <w:r>
              <w:rPr>
                <w:color w:val="auto"/>
                <w:sz w:val="21"/>
                <w:szCs w:val="21"/>
                <w:highlight w:val="none"/>
              </w:rPr>
              <w:t>水温</w:t>
            </w:r>
            <w:r>
              <w:rPr>
                <w:rFonts w:hint="eastAsia"/>
                <w:color w:val="auto"/>
                <w:sz w:val="21"/>
                <w:szCs w:val="21"/>
                <w:highlight w:val="none"/>
              </w:rPr>
              <w:t>□</w:t>
            </w:r>
            <w:r>
              <w:rPr>
                <w:color w:val="auto"/>
                <w:sz w:val="21"/>
                <w:szCs w:val="21"/>
                <w:highlight w:val="none"/>
              </w:rPr>
              <w:t>；径流</w:t>
            </w:r>
            <w:r>
              <w:rPr>
                <w:rFonts w:hint="eastAsia"/>
                <w:color w:val="auto"/>
                <w:sz w:val="21"/>
                <w:szCs w:val="21"/>
                <w:highlight w:val="none"/>
              </w:rPr>
              <w:t>□</w:t>
            </w:r>
            <w:r>
              <w:rPr>
                <w:color w:val="auto"/>
                <w:sz w:val="21"/>
                <w:szCs w:val="21"/>
                <w:highlight w:val="none"/>
              </w:rPr>
              <w:t>；水域面积</w:t>
            </w:r>
            <w:r>
              <w:rPr>
                <w:rFonts w:hint="eastAsia"/>
                <w:color w:val="auto"/>
                <w:sz w:val="21"/>
                <w:szCs w:val="21"/>
                <w:highlight w:val="none"/>
              </w:rPr>
              <w:t>□</w:t>
            </w:r>
          </w:p>
        </w:tc>
      </w:tr>
      <w:tr w14:paraId="01B90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noWrap w:val="0"/>
            <w:vAlign w:val="center"/>
          </w:tcPr>
          <w:p w14:paraId="45F8E05A">
            <w:pPr>
              <w:spacing w:line="240" w:lineRule="auto"/>
              <w:ind w:firstLine="0" w:firstLineChars="0"/>
              <w:jc w:val="center"/>
              <w:rPr>
                <w:color w:val="auto"/>
                <w:sz w:val="21"/>
                <w:szCs w:val="21"/>
                <w:highlight w:val="none"/>
              </w:rPr>
            </w:pPr>
          </w:p>
        </w:tc>
        <w:tc>
          <w:tcPr>
            <w:tcW w:w="0" w:type="auto"/>
            <w:noWrap w:val="0"/>
            <w:vAlign w:val="center"/>
          </w:tcPr>
          <w:p w14:paraId="0C2B7F42">
            <w:pPr>
              <w:spacing w:line="240" w:lineRule="auto"/>
              <w:ind w:firstLine="0" w:firstLineChars="0"/>
              <w:jc w:val="center"/>
              <w:rPr>
                <w:color w:val="auto"/>
                <w:sz w:val="21"/>
                <w:szCs w:val="21"/>
                <w:highlight w:val="none"/>
              </w:rPr>
            </w:pPr>
            <w:r>
              <w:rPr>
                <w:color w:val="auto"/>
                <w:sz w:val="21"/>
                <w:szCs w:val="21"/>
                <w:highlight w:val="none"/>
              </w:rPr>
              <w:t>影响因子</w:t>
            </w:r>
          </w:p>
        </w:tc>
        <w:tc>
          <w:tcPr>
            <w:tcW w:w="0" w:type="auto"/>
            <w:gridSpan w:val="3"/>
            <w:noWrap w:val="0"/>
            <w:vAlign w:val="center"/>
          </w:tcPr>
          <w:p w14:paraId="74266DF6">
            <w:pPr>
              <w:spacing w:line="240" w:lineRule="auto"/>
              <w:ind w:firstLine="0" w:firstLineChars="0"/>
              <w:jc w:val="left"/>
              <w:rPr>
                <w:color w:val="auto"/>
                <w:sz w:val="21"/>
                <w:szCs w:val="21"/>
                <w:highlight w:val="none"/>
              </w:rPr>
            </w:pPr>
            <w:r>
              <w:rPr>
                <w:color w:val="auto"/>
                <w:sz w:val="21"/>
                <w:szCs w:val="21"/>
                <w:highlight w:val="none"/>
              </w:rPr>
              <w:t>持久性污染物</w:t>
            </w:r>
            <w:r>
              <w:rPr>
                <w:rFonts w:hint="eastAsia"/>
                <w:color w:val="auto"/>
                <w:sz w:val="21"/>
                <w:szCs w:val="21"/>
                <w:highlight w:val="none"/>
              </w:rPr>
              <w:t>□</w:t>
            </w:r>
            <w:r>
              <w:rPr>
                <w:color w:val="auto"/>
                <w:sz w:val="21"/>
                <w:szCs w:val="21"/>
                <w:highlight w:val="none"/>
              </w:rPr>
              <w:t>；有毒有害污染物</w:t>
            </w:r>
            <w:r>
              <w:rPr>
                <w:rFonts w:hint="eastAsia"/>
                <w:color w:val="auto"/>
                <w:sz w:val="21"/>
                <w:szCs w:val="21"/>
                <w:highlight w:val="none"/>
              </w:rPr>
              <w:t>□</w:t>
            </w:r>
            <w:r>
              <w:rPr>
                <w:color w:val="auto"/>
                <w:sz w:val="21"/>
                <w:szCs w:val="21"/>
                <w:highlight w:val="none"/>
              </w:rPr>
              <w:t>；非持久性污染物</w:t>
            </w:r>
            <w:r>
              <w:rPr>
                <w:rFonts w:hint="eastAsia" w:ascii="MS Mincho" w:hAnsi="MS Mincho" w:eastAsia="MS Mincho" w:cs="MS Mincho"/>
                <w:color w:val="auto"/>
                <w:sz w:val="21"/>
                <w:szCs w:val="21"/>
                <w:highlight w:val="none"/>
              </w:rPr>
              <w:t>☑</w:t>
            </w:r>
            <w:r>
              <w:rPr>
                <w:color w:val="auto"/>
                <w:sz w:val="21"/>
                <w:szCs w:val="21"/>
                <w:highlight w:val="none"/>
              </w:rPr>
              <w:t>；pH值</w:t>
            </w:r>
            <w:r>
              <w:rPr>
                <w:rFonts w:hint="eastAsia"/>
                <w:color w:val="auto"/>
                <w:sz w:val="21"/>
                <w:szCs w:val="21"/>
                <w:highlight w:val="none"/>
              </w:rPr>
              <w:t>□</w:t>
            </w:r>
            <w:r>
              <w:rPr>
                <w:color w:val="auto"/>
                <w:sz w:val="21"/>
                <w:szCs w:val="21"/>
                <w:highlight w:val="none"/>
              </w:rPr>
              <w:t>；热污染</w:t>
            </w:r>
            <w:r>
              <w:rPr>
                <w:rFonts w:hint="eastAsia"/>
                <w:color w:val="auto"/>
                <w:sz w:val="21"/>
                <w:szCs w:val="21"/>
                <w:highlight w:val="none"/>
              </w:rPr>
              <w:t>□</w:t>
            </w:r>
            <w:r>
              <w:rPr>
                <w:color w:val="auto"/>
                <w:sz w:val="21"/>
                <w:szCs w:val="21"/>
                <w:highlight w:val="none"/>
              </w:rPr>
              <w:t>；富营养化</w:t>
            </w:r>
            <w:r>
              <w:rPr>
                <w:rFonts w:hint="eastAsia"/>
                <w:color w:val="auto"/>
                <w:sz w:val="21"/>
                <w:szCs w:val="21"/>
                <w:highlight w:val="none"/>
              </w:rPr>
              <w:t>□</w:t>
            </w:r>
            <w:r>
              <w:rPr>
                <w:color w:val="auto"/>
                <w:sz w:val="21"/>
                <w:szCs w:val="21"/>
                <w:highlight w:val="none"/>
              </w:rPr>
              <w:t>；其他</w:t>
            </w:r>
            <w:r>
              <w:rPr>
                <w:rFonts w:hint="eastAsia"/>
                <w:color w:val="auto"/>
                <w:sz w:val="21"/>
                <w:szCs w:val="21"/>
                <w:highlight w:val="none"/>
              </w:rPr>
              <w:t>□</w:t>
            </w:r>
          </w:p>
        </w:tc>
        <w:tc>
          <w:tcPr>
            <w:tcW w:w="0" w:type="auto"/>
            <w:gridSpan w:val="5"/>
            <w:noWrap w:val="0"/>
            <w:vAlign w:val="center"/>
          </w:tcPr>
          <w:p w14:paraId="7345EF41">
            <w:pPr>
              <w:spacing w:line="240" w:lineRule="auto"/>
              <w:ind w:firstLine="0" w:firstLineChars="0"/>
              <w:jc w:val="left"/>
              <w:rPr>
                <w:color w:val="auto"/>
                <w:sz w:val="21"/>
                <w:szCs w:val="21"/>
                <w:highlight w:val="none"/>
              </w:rPr>
            </w:pPr>
            <w:r>
              <w:rPr>
                <w:color w:val="auto"/>
                <w:sz w:val="21"/>
                <w:szCs w:val="21"/>
                <w:highlight w:val="none"/>
              </w:rPr>
              <w:t>水温</w:t>
            </w:r>
            <w:r>
              <w:rPr>
                <w:rFonts w:hint="eastAsia"/>
                <w:color w:val="auto"/>
                <w:sz w:val="21"/>
                <w:szCs w:val="21"/>
                <w:highlight w:val="none"/>
              </w:rPr>
              <w:t>□</w:t>
            </w:r>
            <w:r>
              <w:rPr>
                <w:color w:val="auto"/>
                <w:sz w:val="21"/>
                <w:szCs w:val="21"/>
                <w:highlight w:val="none"/>
              </w:rPr>
              <w:t>；水位（水深）</w:t>
            </w:r>
            <w:r>
              <w:rPr>
                <w:rFonts w:hint="eastAsia"/>
                <w:color w:val="auto"/>
                <w:sz w:val="21"/>
                <w:szCs w:val="21"/>
                <w:highlight w:val="none"/>
              </w:rPr>
              <w:t>□</w:t>
            </w:r>
            <w:r>
              <w:rPr>
                <w:color w:val="auto"/>
                <w:sz w:val="21"/>
                <w:szCs w:val="21"/>
                <w:highlight w:val="none"/>
              </w:rPr>
              <w:t>；流速</w:t>
            </w:r>
            <w:r>
              <w:rPr>
                <w:rFonts w:hint="eastAsia"/>
                <w:color w:val="auto"/>
                <w:sz w:val="21"/>
                <w:szCs w:val="21"/>
                <w:highlight w:val="none"/>
              </w:rPr>
              <w:t>□</w:t>
            </w:r>
            <w:r>
              <w:rPr>
                <w:color w:val="auto"/>
                <w:sz w:val="21"/>
                <w:szCs w:val="21"/>
                <w:highlight w:val="none"/>
              </w:rPr>
              <w:t>；流量</w:t>
            </w:r>
            <w:r>
              <w:rPr>
                <w:rFonts w:hint="eastAsia"/>
                <w:color w:val="auto"/>
                <w:sz w:val="21"/>
                <w:szCs w:val="21"/>
                <w:highlight w:val="none"/>
              </w:rPr>
              <w:t>□</w:t>
            </w:r>
            <w:r>
              <w:rPr>
                <w:color w:val="auto"/>
                <w:sz w:val="21"/>
                <w:szCs w:val="21"/>
                <w:highlight w:val="none"/>
              </w:rPr>
              <w:t>；其他</w:t>
            </w:r>
            <w:r>
              <w:rPr>
                <w:rFonts w:hint="eastAsia"/>
                <w:color w:val="auto"/>
                <w:sz w:val="21"/>
                <w:szCs w:val="21"/>
                <w:highlight w:val="none"/>
              </w:rPr>
              <w:t>□</w:t>
            </w:r>
          </w:p>
        </w:tc>
      </w:tr>
      <w:tr w14:paraId="39BC6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0" w:type="auto"/>
            <w:gridSpan w:val="2"/>
            <w:vMerge w:val="restart"/>
            <w:noWrap w:val="0"/>
            <w:vAlign w:val="center"/>
          </w:tcPr>
          <w:p w14:paraId="60F54E5E">
            <w:pPr>
              <w:spacing w:line="240" w:lineRule="auto"/>
              <w:ind w:firstLine="0" w:firstLineChars="0"/>
              <w:jc w:val="center"/>
              <w:rPr>
                <w:color w:val="auto"/>
                <w:sz w:val="21"/>
                <w:szCs w:val="21"/>
                <w:highlight w:val="none"/>
              </w:rPr>
            </w:pPr>
            <w:r>
              <w:rPr>
                <w:color w:val="auto"/>
                <w:sz w:val="21"/>
                <w:szCs w:val="21"/>
                <w:highlight w:val="none"/>
              </w:rPr>
              <w:t>评价等级</w:t>
            </w:r>
          </w:p>
        </w:tc>
        <w:tc>
          <w:tcPr>
            <w:tcW w:w="0" w:type="auto"/>
            <w:gridSpan w:val="3"/>
            <w:noWrap w:val="0"/>
            <w:vAlign w:val="center"/>
          </w:tcPr>
          <w:p w14:paraId="797319F7">
            <w:pPr>
              <w:spacing w:line="240" w:lineRule="auto"/>
              <w:ind w:firstLine="0" w:firstLineChars="0"/>
              <w:jc w:val="left"/>
              <w:rPr>
                <w:color w:val="auto"/>
                <w:sz w:val="21"/>
                <w:szCs w:val="21"/>
                <w:highlight w:val="none"/>
              </w:rPr>
            </w:pPr>
            <w:r>
              <w:rPr>
                <w:color w:val="auto"/>
                <w:sz w:val="21"/>
                <w:szCs w:val="21"/>
                <w:highlight w:val="none"/>
              </w:rPr>
              <w:t>水污染影响型</w:t>
            </w:r>
          </w:p>
        </w:tc>
        <w:tc>
          <w:tcPr>
            <w:tcW w:w="0" w:type="auto"/>
            <w:gridSpan w:val="5"/>
            <w:noWrap w:val="0"/>
            <w:vAlign w:val="center"/>
          </w:tcPr>
          <w:p w14:paraId="5CB9C011">
            <w:pPr>
              <w:spacing w:line="240" w:lineRule="auto"/>
              <w:ind w:firstLine="0" w:firstLineChars="0"/>
              <w:jc w:val="left"/>
              <w:rPr>
                <w:color w:val="auto"/>
                <w:sz w:val="21"/>
                <w:szCs w:val="21"/>
                <w:highlight w:val="none"/>
              </w:rPr>
            </w:pPr>
            <w:r>
              <w:rPr>
                <w:color w:val="auto"/>
                <w:sz w:val="21"/>
                <w:szCs w:val="21"/>
                <w:highlight w:val="none"/>
              </w:rPr>
              <w:t>水文要素影响型</w:t>
            </w:r>
          </w:p>
        </w:tc>
      </w:tr>
      <w:tr w14:paraId="34E83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 w:hRule="atLeast"/>
        </w:trPr>
        <w:tc>
          <w:tcPr>
            <w:tcW w:w="0" w:type="auto"/>
            <w:gridSpan w:val="2"/>
            <w:vMerge w:val="continue"/>
            <w:noWrap w:val="0"/>
            <w:vAlign w:val="center"/>
          </w:tcPr>
          <w:p w14:paraId="17C6EE89">
            <w:pPr>
              <w:spacing w:line="240" w:lineRule="auto"/>
              <w:ind w:firstLine="0" w:firstLineChars="0"/>
              <w:jc w:val="center"/>
              <w:rPr>
                <w:color w:val="auto"/>
                <w:sz w:val="21"/>
                <w:szCs w:val="21"/>
                <w:highlight w:val="none"/>
              </w:rPr>
            </w:pPr>
          </w:p>
        </w:tc>
        <w:tc>
          <w:tcPr>
            <w:tcW w:w="0" w:type="auto"/>
            <w:gridSpan w:val="3"/>
            <w:noWrap w:val="0"/>
            <w:vAlign w:val="center"/>
          </w:tcPr>
          <w:p w14:paraId="2425C59D">
            <w:pPr>
              <w:spacing w:line="240" w:lineRule="auto"/>
              <w:ind w:firstLine="0" w:firstLineChars="0"/>
              <w:jc w:val="left"/>
              <w:rPr>
                <w:color w:val="auto"/>
                <w:sz w:val="21"/>
                <w:szCs w:val="21"/>
                <w:highlight w:val="none"/>
              </w:rPr>
            </w:pPr>
            <w:r>
              <w:rPr>
                <w:color w:val="auto"/>
                <w:sz w:val="21"/>
                <w:szCs w:val="21"/>
                <w:highlight w:val="none"/>
              </w:rPr>
              <w:t>一级</w:t>
            </w:r>
            <w:r>
              <w:rPr>
                <w:rFonts w:hint="eastAsia"/>
                <w:color w:val="auto"/>
                <w:sz w:val="21"/>
                <w:szCs w:val="21"/>
                <w:highlight w:val="none"/>
              </w:rPr>
              <w:t>□</w:t>
            </w:r>
            <w:r>
              <w:rPr>
                <w:color w:val="auto"/>
                <w:sz w:val="21"/>
                <w:szCs w:val="21"/>
                <w:highlight w:val="none"/>
              </w:rPr>
              <w:t>；二级</w:t>
            </w:r>
            <w:r>
              <w:rPr>
                <w:rFonts w:hint="eastAsia"/>
                <w:color w:val="auto"/>
                <w:sz w:val="21"/>
                <w:szCs w:val="21"/>
                <w:highlight w:val="none"/>
              </w:rPr>
              <w:t>□</w:t>
            </w:r>
            <w:r>
              <w:rPr>
                <w:color w:val="auto"/>
                <w:sz w:val="21"/>
                <w:szCs w:val="21"/>
                <w:highlight w:val="none"/>
              </w:rPr>
              <w:t>；三级A</w:t>
            </w:r>
            <w:r>
              <w:rPr>
                <w:rFonts w:hint="eastAsia"/>
                <w:color w:val="auto"/>
                <w:sz w:val="21"/>
                <w:szCs w:val="21"/>
                <w:highlight w:val="none"/>
              </w:rPr>
              <w:t>□</w:t>
            </w:r>
            <w:r>
              <w:rPr>
                <w:color w:val="auto"/>
                <w:sz w:val="21"/>
                <w:szCs w:val="21"/>
                <w:highlight w:val="none"/>
              </w:rPr>
              <w:t>；三级B</w:t>
            </w:r>
            <w:r>
              <w:rPr>
                <w:rFonts w:hint="eastAsia" w:ascii="MS Mincho" w:hAnsi="MS Mincho" w:eastAsia="MS Mincho" w:cs="MS Mincho"/>
                <w:color w:val="auto"/>
                <w:sz w:val="21"/>
                <w:szCs w:val="21"/>
                <w:highlight w:val="none"/>
              </w:rPr>
              <w:t>☑</w:t>
            </w:r>
          </w:p>
        </w:tc>
        <w:tc>
          <w:tcPr>
            <w:tcW w:w="0" w:type="auto"/>
            <w:gridSpan w:val="5"/>
            <w:noWrap w:val="0"/>
            <w:vAlign w:val="center"/>
          </w:tcPr>
          <w:p w14:paraId="2634E50D">
            <w:pPr>
              <w:spacing w:line="240" w:lineRule="auto"/>
              <w:ind w:firstLine="0" w:firstLineChars="0"/>
              <w:jc w:val="left"/>
              <w:rPr>
                <w:color w:val="auto"/>
                <w:sz w:val="21"/>
                <w:szCs w:val="21"/>
                <w:highlight w:val="none"/>
              </w:rPr>
            </w:pPr>
            <w:r>
              <w:rPr>
                <w:color w:val="auto"/>
                <w:sz w:val="21"/>
                <w:szCs w:val="21"/>
                <w:highlight w:val="none"/>
              </w:rPr>
              <w:t>一级</w:t>
            </w:r>
            <w:r>
              <w:rPr>
                <w:rFonts w:hint="eastAsia"/>
                <w:color w:val="auto"/>
                <w:sz w:val="21"/>
                <w:szCs w:val="21"/>
                <w:highlight w:val="none"/>
              </w:rPr>
              <w:t>□</w:t>
            </w:r>
            <w:r>
              <w:rPr>
                <w:color w:val="auto"/>
                <w:sz w:val="21"/>
                <w:szCs w:val="21"/>
                <w:highlight w:val="none"/>
              </w:rPr>
              <w:t>；二级</w:t>
            </w:r>
            <w:r>
              <w:rPr>
                <w:rFonts w:hint="eastAsia"/>
                <w:color w:val="auto"/>
                <w:sz w:val="21"/>
                <w:szCs w:val="21"/>
                <w:highlight w:val="none"/>
              </w:rPr>
              <w:t>□</w:t>
            </w:r>
            <w:r>
              <w:rPr>
                <w:color w:val="auto"/>
                <w:sz w:val="21"/>
                <w:szCs w:val="21"/>
                <w:highlight w:val="none"/>
              </w:rPr>
              <w:t>；三级</w:t>
            </w:r>
            <w:r>
              <w:rPr>
                <w:rFonts w:hint="eastAsia"/>
                <w:color w:val="auto"/>
                <w:sz w:val="21"/>
                <w:szCs w:val="21"/>
                <w:highlight w:val="none"/>
              </w:rPr>
              <w:t>□</w:t>
            </w:r>
          </w:p>
        </w:tc>
      </w:tr>
      <w:tr w14:paraId="282D7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trPr>
        <w:tc>
          <w:tcPr>
            <w:tcW w:w="0" w:type="auto"/>
            <w:vMerge w:val="restart"/>
            <w:noWrap w:val="0"/>
            <w:vAlign w:val="center"/>
          </w:tcPr>
          <w:p w14:paraId="571A7F66">
            <w:pPr>
              <w:spacing w:line="240" w:lineRule="auto"/>
              <w:ind w:firstLine="0" w:firstLineChars="0"/>
              <w:jc w:val="center"/>
              <w:rPr>
                <w:color w:val="auto"/>
                <w:sz w:val="21"/>
                <w:szCs w:val="21"/>
                <w:highlight w:val="none"/>
              </w:rPr>
            </w:pPr>
            <w:r>
              <w:rPr>
                <w:color w:val="auto"/>
                <w:sz w:val="21"/>
                <w:szCs w:val="21"/>
                <w:highlight w:val="none"/>
              </w:rPr>
              <w:t>现状调查</w:t>
            </w:r>
          </w:p>
        </w:tc>
        <w:tc>
          <w:tcPr>
            <w:tcW w:w="0" w:type="auto"/>
            <w:vMerge w:val="restart"/>
            <w:noWrap w:val="0"/>
            <w:vAlign w:val="center"/>
          </w:tcPr>
          <w:p w14:paraId="72906D1B">
            <w:pPr>
              <w:spacing w:line="240" w:lineRule="auto"/>
              <w:ind w:firstLine="0" w:firstLineChars="0"/>
              <w:jc w:val="center"/>
              <w:rPr>
                <w:color w:val="auto"/>
                <w:sz w:val="21"/>
                <w:szCs w:val="21"/>
                <w:highlight w:val="none"/>
              </w:rPr>
            </w:pPr>
            <w:r>
              <w:rPr>
                <w:color w:val="auto"/>
                <w:sz w:val="21"/>
                <w:szCs w:val="21"/>
                <w:highlight w:val="none"/>
              </w:rPr>
              <w:t>区域污染源</w:t>
            </w:r>
          </w:p>
        </w:tc>
        <w:tc>
          <w:tcPr>
            <w:tcW w:w="0" w:type="auto"/>
            <w:gridSpan w:val="3"/>
            <w:noWrap w:val="0"/>
            <w:vAlign w:val="center"/>
          </w:tcPr>
          <w:p w14:paraId="2014B28F">
            <w:pPr>
              <w:spacing w:line="240" w:lineRule="auto"/>
              <w:ind w:firstLine="0" w:firstLineChars="0"/>
              <w:jc w:val="left"/>
              <w:rPr>
                <w:color w:val="auto"/>
                <w:sz w:val="21"/>
                <w:szCs w:val="21"/>
                <w:highlight w:val="none"/>
              </w:rPr>
            </w:pPr>
            <w:r>
              <w:rPr>
                <w:color w:val="auto"/>
                <w:sz w:val="21"/>
                <w:szCs w:val="21"/>
                <w:highlight w:val="none"/>
              </w:rPr>
              <w:t>调查项目</w:t>
            </w:r>
          </w:p>
        </w:tc>
        <w:tc>
          <w:tcPr>
            <w:tcW w:w="0" w:type="auto"/>
            <w:gridSpan w:val="5"/>
            <w:noWrap w:val="0"/>
            <w:vAlign w:val="center"/>
          </w:tcPr>
          <w:p w14:paraId="44990223">
            <w:pPr>
              <w:spacing w:line="240" w:lineRule="auto"/>
              <w:ind w:firstLine="0" w:firstLineChars="0"/>
              <w:jc w:val="left"/>
              <w:rPr>
                <w:color w:val="auto"/>
                <w:sz w:val="21"/>
                <w:szCs w:val="21"/>
                <w:highlight w:val="none"/>
              </w:rPr>
            </w:pPr>
            <w:r>
              <w:rPr>
                <w:color w:val="auto"/>
                <w:sz w:val="21"/>
                <w:szCs w:val="21"/>
                <w:highlight w:val="none"/>
              </w:rPr>
              <w:t>数据来源</w:t>
            </w:r>
          </w:p>
        </w:tc>
      </w:tr>
      <w:tr w14:paraId="52CB8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trPr>
        <w:tc>
          <w:tcPr>
            <w:tcW w:w="0" w:type="auto"/>
            <w:vMerge w:val="continue"/>
            <w:noWrap w:val="0"/>
            <w:vAlign w:val="center"/>
          </w:tcPr>
          <w:p w14:paraId="715B71A4">
            <w:pPr>
              <w:spacing w:line="240" w:lineRule="auto"/>
              <w:ind w:firstLine="0" w:firstLineChars="0"/>
              <w:jc w:val="center"/>
              <w:rPr>
                <w:color w:val="auto"/>
                <w:sz w:val="21"/>
                <w:szCs w:val="21"/>
                <w:highlight w:val="none"/>
              </w:rPr>
            </w:pPr>
          </w:p>
        </w:tc>
        <w:tc>
          <w:tcPr>
            <w:tcW w:w="0" w:type="auto"/>
            <w:vMerge w:val="continue"/>
            <w:noWrap w:val="0"/>
            <w:vAlign w:val="center"/>
          </w:tcPr>
          <w:p w14:paraId="2BD30F9D">
            <w:pPr>
              <w:spacing w:line="240" w:lineRule="auto"/>
              <w:ind w:firstLine="0" w:firstLineChars="0"/>
              <w:jc w:val="center"/>
              <w:rPr>
                <w:color w:val="auto"/>
                <w:sz w:val="21"/>
                <w:szCs w:val="21"/>
                <w:highlight w:val="none"/>
              </w:rPr>
            </w:pPr>
          </w:p>
        </w:tc>
        <w:tc>
          <w:tcPr>
            <w:tcW w:w="0" w:type="auto"/>
            <w:gridSpan w:val="3"/>
            <w:noWrap w:val="0"/>
            <w:vAlign w:val="center"/>
          </w:tcPr>
          <w:p w14:paraId="503EBC08">
            <w:pPr>
              <w:spacing w:line="240" w:lineRule="auto"/>
              <w:ind w:firstLine="0" w:firstLineChars="0"/>
              <w:jc w:val="left"/>
              <w:rPr>
                <w:color w:val="auto"/>
                <w:sz w:val="21"/>
                <w:szCs w:val="21"/>
                <w:highlight w:val="none"/>
              </w:rPr>
            </w:pPr>
            <w:r>
              <w:rPr>
                <w:color w:val="auto"/>
                <w:sz w:val="21"/>
                <w:szCs w:val="21"/>
                <w:highlight w:val="none"/>
              </w:rPr>
              <w:t>已建</w:t>
            </w:r>
            <w:r>
              <w:rPr>
                <w:rFonts w:hint="eastAsia"/>
                <w:color w:val="auto"/>
                <w:sz w:val="21"/>
                <w:szCs w:val="21"/>
                <w:highlight w:val="none"/>
              </w:rPr>
              <w:t>□</w:t>
            </w:r>
            <w:r>
              <w:rPr>
                <w:color w:val="auto"/>
                <w:sz w:val="21"/>
                <w:szCs w:val="21"/>
                <w:highlight w:val="none"/>
              </w:rPr>
              <w:t>；在建</w:t>
            </w:r>
            <w:r>
              <w:rPr>
                <w:rFonts w:hint="eastAsia"/>
                <w:color w:val="auto"/>
                <w:sz w:val="21"/>
                <w:szCs w:val="21"/>
                <w:highlight w:val="none"/>
              </w:rPr>
              <w:t>□</w:t>
            </w:r>
            <w:r>
              <w:rPr>
                <w:color w:val="auto"/>
                <w:sz w:val="21"/>
                <w:szCs w:val="21"/>
                <w:highlight w:val="none"/>
              </w:rPr>
              <w:t>；拟建</w:t>
            </w:r>
            <w:r>
              <w:rPr>
                <w:rFonts w:hint="eastAsia"/>
                <w:color w:val="auto"/>
                <w:sz w:val="21"/>
                <w:szCs w:val="21"/>
                <w:highlight w:val="none"/>
              </w:rPr>
              <w:t>□</w:t>
            </w:r>
            <w:r>
              <w:rPr>
                <w:color w:val="auto"/>
                <w:sz w:val="21"/>
                <w:szCs w:val="21"/>
                <w:highlight w:val="none"/>
              </w:rPr>
              <w:t>；其他</w:t>
            </w:r>
            <w:r>
              <w:rPr>
                <w:rFonts w:hint="eastAsia"/>
                <w:color w:val="auto"/>
                <w:sz w:val="21"/>
                <w:szCs w:val="21"/>
                <w:highlight w:val="none"/>
              </w:rPr>
              <w:t>□</w:t>
            </w:r>
          </w:p>
        </w:tc>
        <w:tc>
          <w:tcPr>
            <w:tcW w:w="0" w:type="auto"/>
            <w:gridSpan w:val="5"/>
            <w:noWrap w:val="0"/>
            <w:vAlign w:val="center"/>
          </w:tcPr>
          <w:p w14:paraId="51FEECB5">
            <w:pPr>
              <w:spacing w:line="240" w:lineRule="auto"/>
              <w:ind w:firstLine="0" w:firstLineChars="0"/>
              <w:jc w:val="left"/>
              <w:rPr>
                <w:color w:val="auto"/>
                <w:sz w:val="21"/>
                <w:szCs w:val="21"/>
                <w:highlight w:val="none"/>
              </w:rPr>
            </w:pPr>
            <w:r>
              <w:rPr>
                <w:color w:val="auto"/>
                <w:sz w:val="21"/>
                <w:szCs w:val="21"/>
                <w:highlight w:val="none"/>
              </w:rPr>
              <w:t>排污许可证</w:t>
            </w:r>
            <w:r>
              <w:rPr>
                <w:rFonts w:hint="eastAsia"/>
                <w:color w:val="auto"/>
                <w:sz w:val="21"/>
                <w:szCs w:val="21"/>
                <w:highlight w:val="none"/>
              </w:rPr>
              <w:t>□</w:t>
            </w:r>
            <w:r>
              <w:rPr>
                <w:color w:val="auto"/>
                <w:sz w:val="21"/>
                <w:szCs w:val="21"/>
                <w:highlight w:val="none"/>
              </w:rPr>
              <w:t>；环评</w:t>
            </w:r>
            <w:r>
              <w:rPr>
                <w:rFonts w:hint="eastAsia"/>
                <w:color w:val="auto"/>
                <w:sz w:val="21"/>
                <w:szCs w:val="21"/>
                <w:highlight w:val="none"/>
              </w:rPr>
              <w:t>□</w:t>
            </w:r>
            <w:r>
              <w:rPr>
                <w:color w:val="auto"/>
                <w:sz w:val="21"/>
                <w:szCs w:val="21"/>
                <w:highlight w:val="none"/>
              </w:rPr>
              <w:t>；环保验收</w:t>
            </w:r>
            <w:r>
              <w:rPr>
                <w:rFonts w:hint="eastAsia"/>
                <w:color w:val="auto"/>
                <w:sz w:val="21"/>
                <w:szCs w:val="21"/>
                <w:highlight w:val="none"/>
              </w:rPr>
              <w:t>□</w:t>
            </w:r>
            <w:r>
              <w:rPr>
                <w:color w:val="auto"/>
                <w:sz w:val="21"/>
                <w:szCs w:val="21"/>
                <w:highlight w:val="none"/>
              </w:rPr>
              <w:t>；既有实测</w:t>
            </w:r>
            <w:r>
              <w:rPr>
                <w:rFonts w:hint="eastAsia"/>
                <w:color w:val="auto"/>
                <w:sz w:val="21"/>
                <w:szCs w:val="21"/>
                <w:highlight w:val="none"/>
              </w:rPr>
              <w:t>□</w:t>
            </w:r>
            <w:r>
              <w:rPr>
                <w:color w:val="auto"/>
                <w:sz w:val="21"/>
                <w:szCs w:val="21"/>
                <w:highlight w:val="none"/>
              </w:rPr>
              <w:t>；现场监测</w:t>
            </w:r>
            <w:r>
              <w:rPr>
                <w:rFonts w:hint="eastAsia"/>
                <w:color w:val="auto"/>
                <w:sz w:val="21"/>
                <w:szCs w:val="21"/>
                <w:highlight w:val="none"/>
              </w:rPr>
              <w:t>□</w:t>
            </w:r>
            <w:r>
              <w:rPr>
                <w:color w:val="auto"/>
                <w:sz w:val="21"/>
                <w:szCs w:val="21"/>
                <w:highlight w:val="none"/>
              </w:rPr>
              <w:t>；入河排放口数据</w:t>
            </w:r>
            <w:r>
              <w:rPr>
                <w:rFonts w:hint="eastAsia"/>
                <w:color w:val="auto"/>
                <w:sz w:val="21"/>
                <w:szCs w:val="21"/>
                <w:highlight w:val="none"/>
              </w:rPr>
              <w:t>□</w:t>
            </w:r>
            <w:r>
              <w:rPr>
                <w:color w:val="auto"/>
                <w:sz w:val="21"/>
                <w:szCs w:val="21"/>
                <w:highlight w:val="none"/>
              </w:rPr>
              <w:t>；其他</w:t>
            </w:r>
            <w:r>
              <w:rPr>
                <w:rFonts w:hint="eastAsia"/>
                <w:color w:val="auto"/>
                <w:sz w:val="21"/>
                <w:szCs w:val="21"/>
                <w:highlight w:val="none"/>
              </w:rPr>
              <w:t>□</w:t>
            </w:r>
          </w:p>
        </w:tc>
      </w:tr>
      <w:tr w14:paraId="2B3D8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trPr>
        <w:tc>
          <w:tcPr>
            <w:tcW w:w="0" w:type="auto"/>
            <w:vMerge w:val="continue"/>
            <w:noWrap w:val="0"/>
            <w:vAlign w:val="center"/>
          </w:tcPr>
          <w:p w14:paraId="6FABC659">
            <w:pPr>
              <w:spacing w:line="240" w:lineRule="auto"/>
              <w:ind w:firstLine="0" w:firstLineChars="0"/>
              <w:jc w:val="center"/>
              <w:rPr>
                <w:color w:val="auto"/>
                <w:sz w:val="21"/>
                <w:szCs w:val="21"/>
                <w:highlight w:val="none"/>
              </w:rPr>
            </w:pPr>
          </w:p>
        </w:tc>
        <w:tc>
          <w:tcPr>
            <w:tcW w:w="0" w:type="auto"/>
            <w:vMerge w:val="restart"/>
            <w:noWrap w:val="0"/>
            <w:vAlign w:val="center"/>
          </w:tcPr>
          <w:p w14:paraId="5ED73063">
            <w:pPr>
              <w:spacing w:line="240" w:lineRule="auto"/>
              <w:ind w:firstLine="0" w:firstLineChars="0"/>
              <w:jc w:val="center"/>
              <w:rPr>
                <w:color w:val="auto"/>
                <w:sz w:val="21"/>
                <w:szCs w:val="21"/>
                <w:highlight w:val="none"/>
              </w:rPr>
            </w:pPr>
            <w:r>
              <w:rPr>
                <w:color w:val="auto"/>
                <w:sz w:val="21"/>
                <w:szCs w:val="21"/>
                <w:highlight w:val="none"/>
              </w:rPr>
              <w:t>受影响水体环境质量</w:t>
            </w:r>
          </w:p>
        </w:tc>
        <w:tc>
          <w:tcPr>
            <w:tcW w:w="0" w:type="auto"/>
            <w:gridSpan w:val="3"/>
            <w:noWrap w:val="0"/>
            <w:vAlign w:val="center"/>
          </w:tcPr>
          <w:p w14:paraId="6D11450A">
            <w:pPr>
              <w:spacing w:line="240" w:lineRule="auto"/>
              <w:ind w:firstLine="0" w:firstLineChars="0"/>
              <w:jc w:val="left"/>
              <w:rPr>
                <w:color w:val="auto"/>
                <w:sz w:val="21"/>
                <w:szCs w:val="21"/>
                <w:highlight w:val="none"/>
              </w:rPr>
            </w:pPr>
            <w:r>
              <w:rPr>
                <w:color w:val="auto"/>
                <w:sz w:val="21"/>
                <w:szCs w:val="21"/>
                <w:highlight w:val="none"/>
              </w:rPr>
              <w:t>调查时期</w:t>
            </w:r>
          </w:p>
        </w:tc>
        <w:tc>
          <w:tcPr>
            <w:tcW w:w="0" w:type="auto"/>
            <w:gridSpan w:val="5"/>
            <w:noWrap w:val="0"/>
            <w:vAlign w:val="center"/>
          </w:tcPr>
          <w:p w14:paraId="0AF98665">
            <w:pPr>
              <w:spacing w:line="240" w:lineRule="auto"/>
              <w:ind w:firstLine="0" w:firstLineChars="0"/>
              <w:jc w:val="left"/>
              <w:rPr>
                <w:color w:val="auto"/>
                <w:sz w:val="21"/>
                <w:szCs w:val="21"/>
                <w:highlight w:val="none"/>
              </w:rPr>
            </w:pPr>
            <w:r>
              <w:rPr>
                <w:color w:val="auto"/>
                <w:sz w:val="21"/>
                <w:szCs w:val="21"/>
                <w:highlight w:val="none"/>
              </w:rPr>
              <w:t>数据来源</w:t>
            </w:r>
          </w:p>
        </w:tc>
      </w:tr>
      <w:tr w14:paraId="6D871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0" w:type="auto"/>
            <w:vMerge w:val="continue"/>
            <w:noWrap w:val="0"/>
            <w:vAlign w:val="center"/>
          </w:tcPr>
          <w:p w14:paraId="521A635A">
            <w:pPr>
              <w:spacing w:line="240" w:lineRule="auto"/>
              <w:ind w:firstLine="0" w:firstLineChars="0"/>
              <w:jc w:val="center"/>
              <w:rPr>
                <w:color w:val="auto"/>
                <w:sz w:val="21"/>
                <w:szCs w:val="21"/>
                <w:highlight w:val="none"/>
              </w:rPr>
            </w:pPr>
          </w:p>
        </w:tc>
        <w:tc>
          <w:tcPr>
            <w:tcW w:w="0" w:type="auto"/>
            <w:vMerge w:val="continue"/>
            <w:noWrap w:val="0"/>
            <w:vAlign w:val="center"/>
          </w:tcPr>
          <w:p w14:paraId="6CA2DCD1">
            <w:pPr>
              <w:spacing w:line="240" w:lineRule="auto"/>
              <w:ind w:firstLine="0" w:firstLineChars="0"/>
              <w:jc w:val="center"/>
              <w:rPr>
                <w:color w:val="auto"/>
                <w:sz w:val="21"/>
                <w:szCs w:val="21"/>
                <w:highlight w:val="none"/>
              </w:rPr>
            </w:pPr>
          </w:p>
        </w:tc>
        <w:tc>
          <w:tcPr>
            <w:tcW w:w="0" w:type="auto"/>
            <w:gridSpan w:val="3"/>
            <w:noWrap w:val="0"/>
            <w:vAlign w:val="center"/>
          </w:tcPr>
          <w:p w14:paraId="28E48F88">
            <w:pPr>
              <w:spacing w:line="240" w:lineRule="auto"/>
              <w:ind w:firstLine="0" w:firstLineChars="0"/>
              <w:jc w:val="left"/>
              <w:rPr>
                <w:color w:val="auto"/>
                <w:sz w:val="21"/>
                <w:szCs w:val="21"/>
                <w:highlight w:val="none"/>
              </w:rPr>
            </w:pPr>
            <w:r>
              <w:rPr>
                <w:color w:val="auto"/>
                <w:sz w:val="21"/>
                <w:szCs w:val="21"/>
                <w:highlight w:val="none"/>
              </w:rPr>
              <w:t>丰水期</w:t>
            </w:r>
            <w:r>
              <w:rPr>
                <w:rFonts w:hint="eastAsia"/>
                <w:color w:val="auto"/>
                <w:sz w:val="21"/>
                <w:szCs w:val="21"/>
                <w:highlight w:val="none"/>
              </w:rPr>
              <w:t>□</w:t>
            </w:r>
            <w:r>
              <w:rPr>
                <w:color w:val="auto"/>
                <w:sz w:val="21"/>
                <w:szCs w:val="21"/>
                <w:highlight w:val="none"/>
              </w:rPr>
              <w:t>；平水期</w:t>
            </w:r>
            <w:r>
              <w:rPr>
                <w:rFonts w:hint="eastAsia"/>
                <w:color w:val="auto"/>
                <w:sz w:val="21"/>
                <w:szCs w:val="21"/>
                <w:highlight w:val="none"/>
              </w:rPr>
              <w:t>□</w:t>
            </w:r>
            <w:r>
              <w:rPr>
                <w:color w:val="auto"/>
                <w:sz w:val="21"/>
                <w:szCs w:val="21"/>
                <w:highlight w:val="none"/>
              </w:rPr>
              <w:t>；枯水期</w:t>
            </w:r>
            <w:r>
              <w:rPr>
                <w:rFonts w:hint="eastAsia"/>
                <w:color w:val="auto"/>
                <w:sz w:val="21"/>
                <w:szCs w:val="21"/>
                <w:highlight w:val="none"/>
              </w:rPr>
              <w:t>□</w:t>
            </w:r>
            <w:r>
              <w:rPr>
                <w:color w:val="auto"/>
                <w:sz w:val="21"/>
                <w:szCs w:val="21"/>
                <w:highlight w:val="none"/>
              </w:rPr>
              <w:t>；冰封期</w:t>
            </w:r>
            <w:r>
              <w:rPr>
                <w:rFonts w:hint="eastAsia"/>
                <w:color w:val="auto"/>
                <w:sz w:val="21"/>
                <w:szCs w:val="21"/>
                <w:highlight w:val="none"/>
              </w:rPr>
              <w:t>□</w:t>
            </w:r>
          </w:p>
          <w:p w14:paraId="4A62091F">
            <w:pPr>
              <w:spacing w:line="240" w:lineRule="auto"/>
              <w:ind w:firstLine="0" w:firstLineChars="0"/>
              <w:jc w:val="left"/>
              <w:rPr>
                <w:color w:val="auto"/>
                <w:sz w:val="21"/>
                <w:szCs w:val="21"/>
                <w:highlight w:val="none"/>
              </w:rPr>
            </w:pPr>
            <w:r>
              <w:rPr>
                <w:color w:val="auto"/>
                <w:sz w:val="21"/>
                <w:szCs w:val="21"/>
                <w:highlight w:val="none"/>
              </w:rPr>
              <w:t>春季</w:t>
            </w:r>
            <w:r>
              <w:rPr>
                <w:rFonts w:hint="eastAsia"/>
                <w:color w:val="auto"/>
                <w:sz w:val="21"/>
                <w:szCs w:val="21"/>
                <w:highlight w:val="none"/>
              </w:rPr>
              <w:t>□</w:t>
            </w:r>
            <w:r>
              <w:rPr>
                <w:color w:val="auto"/>
                <w:sz w:val="21"/>
                <w:szCs w:val="21"/>
                <w:highlight w:val="none"/>
              </w:rPr>
              <w:t>；夏季</w:t>
            </w:r>
            <w:r>
              <w:rPr>
                <w:rFonts w:hint="eastAsia"/>
                <w:color w:val="auto"/>
                <w:sz w:val="21"/>
                <w:szCs w:val="21"/>
                <w:highlight w:val="none"/>
              </w:rPr>
              <w:t>□</w:t>
            </w:r>
            <w:r>
              <w:rPr>
                <w:color w:val="auto"/>
                <w:sz w:val="21"/>
                <w:szCs w:val="21"/>
                <w:highlight w:val="none"/>
              </w:rPr>
              <w:t>；秋季</w:t>
            </w:r>
            <w:r>
              <w:rPr>
                <w:rFonts w:hint="eastAsia"/>
                <w:color w:val="auto"/>
                <w:sz w:val="21"/>
                <w:szCs w:val="21"/>
                <w:highlight w:val="none"/>
              </w:rPr>
              <w:t>□</w:t>
            </w:r>
            <w:r>
              <w:rPr>
                <w:color w:val="auto"/>
                <w:sz w:val="21"/>
                <w:szCs w:val="21"/>
                <w:highlight w:val="none"/>
              </w:rPr>
              <w:t>；冬季</w:t>
            </w:r>
            <w:r>
              <w:rPr>
                <w:rFonts w:hint="eastAsia"/>
                <w:color w:val="auto"/>
                <w:sz w:val="21"/>
                <w:szCs w:val="21"/>
                <w:highlight w:val="none"/>
              </w:rPr>
              <w:t>□</w:t>
            </w:r>
          </w:p>
        </w:tc>
        <w:tc>
          <w:tcPr>
            <w:tcW w:w="0" w:type="auto"/>
            <w:gridSpan w:val="5"/>
            <w:noWrap w:val="0"/>
            <w:vAlign w:val="center"/>
          </w:tcPr>
          <w:p w14:paraId="6CF3276B">
            <w:pPr>
              <w:spacing w:line="240" w:lineRule="auto"/>
              <w:ind w:firstLine="0" w:firstLineChars="0"/>
              <w:jc w:val="left"/>
              <w:rPr>
                <w:color w:val="auto"/>
                <w:sz w:val="21"/>
                <w:szCs w:val="21"/>
                <w:highlight w:val="none"/>
              </w:rPr>
            </w:pPr>
            <w:r>
              <w:rPr>
                <w:color w:val="auto"/>
                <w:sz w:val="21"/>
                <w:szCs w:val="21"/>
                <w:highlight w:val="none"/>
              </w:rPr>
              <w:t>生态环境保护主管部门</w:t>
            </w:r>
            <w:r>
              <w:rPr>
                <w:rFonts w:hint="eastAsia"/>
                <w:color w:val="auto"/>
                <w:sz w:val="21"/>
                <w:szCs w:val="21"/>
                <w:highlight w:val="none"/>
              </w:rPr>
              <w:t>□</w:t>
            </w:r>
            <w:r>
              <w:rPr>
                <w:color w:val="auto"/>
                <w:sz w:val="21"/>
                <w:szCs w:val="21"/>
                <w:highlight w:val="none"/>
              </w:rPr>
              <w:t>；补充监测</w:t>
            </w:r>
            <w:r>
              <w:rPr>
                <w:rFonts w:hint="eastAsia" w:ascii="MS Mincho" w:hAnsi="MS Mincho" w:eastAsia="宋体" w:cs="MS Mincho"/>
                <w:color w:val="auto"/>
                <w:sz w:val="21"/>
                <w:szCs w:val="21"/>
                <w:highlight w:val="none"/>
                <w:lang w:eastAsia="zh-CN"/>
              </w:rPr>
              <w:t>□</w:t>
            </w:r>
            <w:r>
              <w:rPr>
                <w:color w:val="auto"/>
                <w:sz w:val="21"/>
                <w:szCs w:val="21"/>
                <w:highlight w:val="none"/>
              </w:rPr>
              <w:t>；其他</w:t>
            </w:r>
            <w:r>
              <w:rPr>
                <w:rFonts w:hint="eastAsia"/>
                <w:color w:val="auto"/>
                <w:sz w:val="21"/>
                <w:szCs w:val="21"/>
                <w:highlight w:val="none"/>
              </w:rPr>
              <w:t>□</w:t>
            </w:r>
          </w:p>
        </w:tc>
      </w:tr>
      <w:tr w14:paraId="2DE0A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noWrap w:val="0"/>
            <w:vAlign w:val="center"/>
          </w:tcPr>
          <w:p w14:paraId="1127C43A">
            <w:pPr>
              <w:spacing w:line="240" w:lineRule="auto"/>
              <w:ind w:firstLine="0" w:firstLineChars="0"/>
              <w:jc w:val="center"/>
              <w:rPr>
                <w:color w:val="auto"/>
                <w:sz w:val="21"/>
                <w:szCs w:val="21"/>
                <w:highlight w:val="none"/>
              </w:rPr>
            </w:pPr>
          </w:p>
        </w:tc>
        <w:tc>
          <w:tcPr>
            <w:tcW w:w="0" w:type="auto"/>
            <w:noWrap w:val="0"/>
            <w:vAlign w:val="center"/>
          </w:tcPr>
          <w:p w14:paraId="3016275A">
            <w:pPr>
              <w:spacing w:line="240" w:lineRule="auto"/>
              <w:ind w:firstLine="0" w:firstLineChars="0"/>
              <w:jc w:val="center"/>
              <w:rPr>
                <w:color w:val="auto"/>
                <w:sz w:val="21"/>
                <w:szCs w:val="21"/>
                <w:highlight w:val="none"/>
              </w:rPr>
            </w:pPr>
            <w:r>
              <w:rPr>
                <w:color w:val="auto"/>
                <w:sz w:val="21"/>
                <w:szCs w:val="21"/>
                <w:highlight w:val="none"/>
              </w:rPr>
              <w:t>区域水资源开发利用情况</w:t>
            </w:r>
          </w:p>
        </w:tc>
        <w:tc>
          <w:tcPr>
            <w:tcW w:w="0" w:type="auto"/>
            <w:gridSpan w:val="8"/>
            <w:noWrap w:val="0"/>
            <w:vAlign w:val="center"/>
          </w:tcPr>
          <w:p w14:paraId="35443EA8">
            <w:pPr>
              <w:spacing w:line="240" w:lineRule="auto"/>
              <w:ind w:firstLine="0" w:firstLineChars="0"/>
              <w:jc w:val="left"/>
              <w:rPr>
                <w:color w:val="auto"/>
                <w:sz w:val="21"/>
                <w:szCs w:val="21"/>
                <w:highlight w:val="none"/>
              </w:rPr>
            </w:pPr>
            <w:r>
              <w:rPr>
                <w:color w:val="auto"/>
                <w:sz w:val="21"/>
                <w:szCs w:val="21"/>
                <w:highlight w:val="none"/>
              </w:rPr>
              <w:t>未开发</w:t>
            </w:r>
            <w:r>
              <w:rPr>
                <w:rFonts w:hint="eastAsia"/>
                <w:color w:val="auto"/>
                <w:sz w:val="21"/>
                <w:szCs w:val="21"/>
                <w:highlight w:val="none"/>
              </w:rPr>
              <w:t>□</w:t>
            </w:r>
            <w:r>
              <w:rPr>
                <w:color w:val="auto"/>
                <w:sz w:val="21"/>
                <w:szCs w:val="21"/>
                <w:highlight w:val="none"/>
              </w:rPr>
              <w:t>；开发量40%以下</w:t>
            </w:r>
            <w:r>
              <w:rPr>
                <w:rFonts w:hint="eastAsia"/>
                <w:color w:val="auto"/>
                <w:sz w:val="21"/>
                <w:szCs w:val="21"/>
                <w:highlight w:val="none"/>
              </w:rPr>
              <w:t>□</w:t>
            </w:r>
            <w:r>
              <w:rPr>
                <w:color w:val="auto"/>
                <w:sz w:val="21"/>
                <w:szCs w:val="21"/>
                <w:highlight w:val="none"/>
              </w:rPr>
              <w:t>；开发量40%以上</w:t>
            </w:r>
            <w:r>
              <w:rPr>
                <w:rFonts w:hint="eastAsia"/>
                <w:color w:val="auto"/>
                <w:sz w:val="21"/>
                <w:szCs w:val="21"/>
                <w:highlight w:val="none"/>
              </w:rPr>
              <w:t>□</w:t>
            </w:r>
          </w:p>
        </w:tc>
      </w:tr>
      <w:tr w14:paraId="4D5C2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trPr>
        <w:tc>
          <w:tcPr>
            <w:tcW w:w="0" w:type="auto"/>
            <w:vMerge w:val="continue"/>
            <w:noWrap w:val="0"/>
            <w:vAlign w:val="center"/>
          </w:tcPr>
          <w:p w14:paraId="48F90D52">
            <w:pPr>
              <w:spacing w:line="240" w:lineRule="auto"/>
              <w:ind w:firstLine="0" w:firstLineChars="0"/>
              <w:jc w:val="center"/>
              <w:rPr>
                <w:color w:val="auto"/>
                <w:sz w:val="21"/>
                <w:szCs w:val="21"/>
                <w:highlight w:val="none"/>
              </w:rPr>
            </w:pPr>
          </w:p>
        </w:tc>
        <w:tc>
          <w:tcPr>
            <w:tcW w:w="0" w:type="auto"/>
            <w:vMerge w:val="restart"/>
            <w:noWrap w:val="0"/>
            <w:vAlign w:val="center"/>
          </w:tcPr>
          <w:p w14:paraId="772A4F38">
            <w:pPr>
              <w:spacing w:line="240" w:lineRule="auto"/>
              <w:ind w:firstLine="0" w:firstLineChars="0"/>
              <w:jc w:val="center"/>
              <w:rPr>
                <w:color w:val="auto"/>
                <w:sz w:val="21"/>
                <w:szCs w:val="21"/>
                <w:highlight w:val="none"/>
              </w:rPr>
            </w:pPr>
            <w:r>
              <w:rPr>
                <w:color w:val="auto"/>
                <w:sz w:val="21"/>
                <w:szCs w:val="21"/>
                <w:highlight w:val="none"/>
              </w:rPr>
              <w:t>水文情势调查</w:t>
            </w:r>
          </w:p>
        </w:tc>
        <w:tc>
          <w:tcPr>
            <w:tcW w:w="0" w:type="auto"/>
            <w:gridSpan w:val="3"/>
            <w:noWrap w:val="0"/>
            <w:vAlign w:val="center"/>
          </w:tcPr>
          <w:p w14:paraId="01D5EF45">
            <w:pPr>
              <w:spacing w:line="240" w:lineRule="auto"/>
              <w:ind w:firstLine="0" w:firstLineChars="0"/>
              <w:jc w:val="left"/>
              <w:rPr>
                <w:color w:val="auto"/>
                <w:sz w:val="21"/>
                <w:szCs w:val="21"/>
                <w:highlight w:val="none"/>
              </w:rPr>
            </w:pPr>
            <w:r>
              <w:rPr>
                <w:color w:val="auto"/>
                <w:sz w:val="21"/>
                <w:szCs w:val="21"/>
                <w:highlight w:val="none"/>
              </w:rPr>
              <w:t>调查时期</w:t>
            </w:r>
          </w:p>
        </w:tc>
        <w:tc>
          <w:tcPr>
            <w:tcW w:w="0" w:type="auto"/>
            <w:gridSpan w:val="5"/>
            <w:noWrap w:val="0"/>
            <w:vAlign w:val="center"/>
          </w:tcPr>
          <w:p w14:paraId="3B6EF85A">
            <w:pPr>
              <w:spacing w:line="240" w:lineRule="auto"/>
              <w:ind w:firstLine="0" w:firstLineChars="0"/>
              <w:jc w:val="left"/>
              <w:rPr>
                <w:color w:val="auto"/>
                <w:sz w:val="21"/>
                <w:szCs w:val="21"/>
                <w:highlight w:val="none"/>
              </w:rPr>
            </w:pPr>
            <w:r>
              <w:rPr>
                <w:color w:val="auto"/>
                <w:sz w:val="21"/>
                <w:szCs w:val="21"/>
                <w:highlight w:val="none"/>
              </w:rPr>
              <w:t>数据来源</w:t>
            </w:r>
          </w:p>
        </w:tc>
      </w:tr>
      <w:tr w14:paraId="243E8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trPr>
        <w:tc>
          <w:tcPr>
            <w:tcW w:w="0" w:type="auto"/>
            <w:vMerge w:val="continue"/>
            <w:noWrap w:val="0"/>
            <w:vAlign w:val="center"/>
          </w:tcPr>
          <w:p w14:paraId="78A34792">
            <w:pPr>
              <w:spacing w:line="240" w:lineRule="auto"/>
              <w:ind w:firstLine="0" w:firstLineChars="0"/>
              <w:jc w:val="center"/>
              <w:rPr>
                <w:color w:val="auto"/>
                <w:sz w:val="21"/>
                <w:szCs w:val="21"/>
                <w:highlight w:val="none"/>
              </w:rPr>
            </w:pPr>
          </w:p>
        </w:tc>
        <w:tc>
          <w:tcPr>
            <w:tcW w:w="0" w:type="auto"/>
            <w:vMerge w:val="continue"/>
            <w:noWrap w:val="0"/>
            <w:vAlign w:val="center"/>
          </w:tcPr>
          <w:p w14:paraId="12455A86">
            <w:pPr>
              <w:spacing w:line="240" w:lineRule="auto"/>
              <w:ind w:firstLine="0" w:firstLineChars="0"/>
              <w:jc w:val="center"/>
              <w:rPr>
                <w:color w:val="auto"/>
                <w:sz w:val="21"/>
                <w:szCs w:val="21"/>
                <w:highlight w:val="none"/>
              </w:rPr>
            </w:pPr>
          </w:p>
        </w:tc>
        <w:tc>
          <w:tcPr>
            <w:tcW w:w="0" w:type="auto"/>
            <w:gridSpan w:val="3"/>
            <w:noWrap w:val="0"/>
            <w:vAlign w:val="center"/>
          </w:tcPr>
          <w:p w14:paraId="6570A176">
            <w:pPr>
              <w:spacing w:line="240" w:lineRule="auto"/>
              <w:ind w:firstLine="0" w:firstLineChars="0"/>
              <w:jc w:val="left"/>
              <w:rPr>
                <w:color w:val="auto"/>
                <w:sz w:val="21"/>
                <w:szCs w:val="21"/>
                <w:highlight w:val="none"/>
              </w:rPr>
            </w:pPr>
            <w:r>
              <w:rPr>
                <w:color w:val="auto"/>
                <w:sz w:val="21"/>
                <w:szCs w:val="21"/>
                <w:highlight w:val="none"/>
              </w:rPr>
              <w:t>丰水期</w:t>
            </w:r>
            <w:r>
              <w:rPr>
                <w:rFonts w:hint="eastAsia"/>
                <w:color w:val="auto"/>
                <w:sz w:val="21"/>
                <w:szCs w:val="21"/>
                <w:highlight w:val="none"/>
              </w:rPr>
              <w:t>□</w:t>
            </w:r>
            <w:r>
              <w:rPr>
                <w:color w:val="auto"/>
                <w:sz w:val="21"/>
                <w:szCs w:val="21"/>
                <w:highlight w:val="none"/>
              </w:rPr>
              <w:t>；平水期</w:t>
            </w:r>
            <w:r>
              <w:rPr>
                <w:rFonts w:hint="eastAsia"/>
                <w:color w:val="auto"/>
                <w:sz w:val="21"/>
                <w:szCs w:val="21"/>
                <w:highlight w:val="none"/>
              </w:rPr>
              <w:t>□</w:t>
            </w:r>
            <w:r>
              <w:rPr>
                <w:color w:val="auto"/>
                <w:sz w:val="21"/>
                <w:szCs w:val="21"/>
                <w:highlight w:val="none"/>
              </w:rPr>
              <w:t>；枯水期</w:t>
            </w:r>
            <w:r>
              <w:rPr>
                <w:rFonts w:hint="eastAsia"/>
                <w:color w:val="auto"/>
                <w:sz w:val="21"/>
                <w:szCs w:val="21"/>
                <w:highlight w:val="none"/>
              </w:rPr>
              <w:t>□</w:t>
            </w:r>
            <w:r>
              <w:rPr>
                <w:color w:val="auto"/>
                <w:sz w:val="21"/>
                <w:szCs w:val="21"/>
                <w:highlight w:val="none"/>
              </w:rPr>
              <w:t>；冰封期</w:t>
            </w:r>
            <w:r>
              <w:rPr>
                <w:rFonts w:hint="eastAsia"/>
                <w:color w:val="auto"/>
                <w:sz w:val="21"/>
                <w:szCs w:val="21"/>
                <w:highlight w:val="none"/>
              </w:rPr>
              <w:t>□</w:t>
            </w:r>
          </w:p>
          <w:p w14:paraId="0B2BF269">
            <w:pPr>
              <w:spacing w:line="240" w:lineRule="auto"/>
              <w:ind w:firstLine="0" w:firstLineChars="0"/>
              <w:jc w:val="left"/>
              <w:rPr>
                <w:color w:val="auto"/>
                <w:sz w:val="21"/>
                <w:szCs w:val="21"/>
                <w:highlight w:val="none"/>
              </w:rPr>
            </w:pPr>
            <w:r>
              <w:rPr>
                <w:color w:val="auto"/>
                <w:sz w:val="21"/>
                <w:szCs w:val="21"/>
                <w:highlight w:val="none"/>
              </w:rPr>
              <w:t>春季</w:t>
            </w:r>
            <w:r>
              <w:rPr>
                <w:rFonts w:hint="eastAsia"/>
                <w:color w:val="auto"/>
                <w:sz w:val="21"/>
                <w:szCs w:val="21"/>
                <w:highlight w:val="none"/>
              </w:rPr>
              <w:t>□</w:t>
            </w:r>
            <w:r>
              <w:rPr>
                <w:color w:val="auto"/>
                <w:sz w:val="21"/>
                <w:szCs w:val="21"/>
                <w:highlight w:val="none"/>
              </w:rPr>
              <w:t>；夏季</w:t>
            </w:r>
            <w:r>
              <w:rPr>
                <w:rFonts w:hint="eastAsia"/>
                <w:color w:val="auto"/>
                <w:sz w:val="21"/>
                <w:szCs w:val="21"/>
                <w:highlight w:val="none"/>
              </w:rPr>
              <w:t>□</w:t>
            </w:r>
            <w:r>
              <w:rPr>
                <w:color w:val="auto"/>
                <w:sz w:val="21"/>
                <w:szCs w:val="21"/>
                <w:highlight w:val="none"/>
              </w:rPr>
              <w:t>；秋季</w:t>
            </w:r>
            <w:r>
              <w:rPr>
                <w:rFonts w:hint="eastAsia"/>
                <w:color w:val="auto"/>
                <w:sz w:val="21"/>
                <w:szCs w:val="21"/>
                <w:highlight w:val="none"/>
              </w:rPr>
              <w:t>□</w:t>
            </w:r>
            <w:r>
              <w:rPr>
                <w:color w:val="auto"/>
                <w:sz w:val="21"/>
                <w:szCs w:val="21"/>
                <w:highlight w:val="none"/>
              </w:rPr>
              <w:t>；冬季</w:t>
            </w:r>
            <w:r>
              <w:rPr>
                <w:rFonts w:hint="eastAsia"/>
                <w:color w:val="auto"/>
                <w:sz w:val="21"/>
                <w:szCs w:val="21"/>
                <w:highlight w:val="none"/>
              </w:rPr>
              <w:t>□</w:t>
            </w:r>
          </w:p>
        </w:tc>
        <w:tc>
          <w:tcPr>
            <w:tcW w:w="0" w:type="auto"/>
            <w:gridSpan w:val="5"/>
            <w:noWrap w:val="0"/>
            <w:vAlign w:val="center"/>
          </w:tcPr>
          <w:p w14:paraId="522EB3CA">
            <w:pPr>
              <w:spacing w:line="240" w:lineRule="auto"/>
              <w:ind w:firstLine="0" w:firstLineChars="0"/>
              <w:jc w:val="left"/>
              <w:rPr>
                <w:color w:val="auto"/>
                <w:sz w:val="21"/>
                <w:szCs w:val="21"/>
                <w:highlight w:val="none"/>
              </w:rPr>
            </w:pPr>
            <w:r>
              <w:rPr>
                <w:color w:val="auto"/>
                <w:sz w:val="21"/>
                <w:szCs w:val="21"/>
                <w:highlight w:val="none"/>
              </w:rPr>
              <w:t>水行政主管部门</w:t>
            </w:r>
            <w:r>
              <w:rPr>
                <w:rFonts w:hint="eastAsia"/>
                <w:color w:val="auto"/>
                <w:sz w:val="21"/>
                <w:szCs w:val="21"/>
                <w:highlight w:val="none"/>
              </w:rPr>
              <w:t>□</w:t>
            </w:r>
            <w:r>
              <w:rPr>
                <w:color w:val="auto"/>
                <w:sz w:val="21"/>
                <w:szCs w:val="21"/>
                <w:highlight w:val="none"/>
              </w:rPr>
              <w:t>；补充监测</w:t>
            </w:r>
            <w:r>
              <w:rPr>
                <w:rFonts w:hint="eastAsia"/>
                <w:color w:val="auto"/>
                <w:sz w:val="21"/>
                <w:szCs w:val="21"/>
                <w:highlight w:val="none"/>
              </w:rPr>
              <w:t>□</w:t>
            </w:r>
            <w:r>
              <w:rPr>
                <w:color w:val="auto"/>
                <w:sz w:val="21"/>
                <w:szCs w:val="21"/>
                <w:highlight w:val="none"/>
              </w:rPr>
              <w:t>；其他</w:t>
            </w:r>
            <w:r>
              <w:rPr>
                <w:rFonts w:hint="eastAsia"/>
                <w:color w:val="auto"/>
                <w:sz w:val="21"/>
                <w:szCs w:val="21"/>
                <w:highlight w:val="none"/>
              </w:rPr>
              <w:t>□</w:t>
            </w:r>
          </w:p>
        </w:tc>
      </w:tr>
      <w:tr w14:paraId="10CA1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 w:hRule="atLeast"/>
        </w:trPr>
        <w:tc>
          <w:tcPr>
            <w:tcW w:w="0" w:type="auto"/>
            <w:vMerge w:val="continue"/>
            <w:noWrap w:val="0"/>
            <w:vAlign w:val="center"/>
          </w:tcPr>
          <w:p w14:paraId="3F4759E9">
            <w:pPr>
              <w:spacing w:line="240" w:lineRule="auto"/>
              <w:ind w:firstLine="0" w:firstLineChars="0"/>
              <w:jc w:val="center"/>
              <w:rPr>
                <w:color w:val="auto"/>
                <w:sz w:val="21"/>
                <w:szCs w:val="21"/>
                <w:highlight w:val="none"/>
              </w:rPr>
            </w:pPr>
          </w:p>
        </w:tc>
        <w:tc>
          <w:tcPr>
            <w:tcW w:w="0" w:type="auto"/>
            <w:vMerge w:val="restart"/>
            <w:noWrap w:val="0"/>
            <w:vAlign w:val="center"/>
          </w:tcPr>
          <w:p w14:paraId="30D525F9">
            <w:pPr>
              <w:spacing w:line="240" w:lineRule="auto"/>
              <w:ind w:firstLine="0" w:firstLineChars="0"/>
              <w:jc w:val="center"/>
              <w:rPr>
                <w:color w:val="auto"/>
                <w:sz w:val="21"/>
                <w:szCs w:val="21"/>
                <w:highlight w:val="none"/>
              </w:rPr>
            </w:pPr>
            <w:r>
              <w:rPr>
                <w:color w:val="auto"/>
                <w:sz w:val="21"/>
                <w:szCs w:val="21"/>
                <w:highlight w:val="none"/>
              </w:rPr>
              <w:t>补充监测</w:t>
            </w:r>
          </w:p>
        </w:tc>
        <w:tc>
          <w:tcPr>
            <w:tcW w:w="0" w:type="auto"/>
            <w:gridSpan w:val="3"/>
            <w:noWrap w:val="0"/>
            <w:vAlign w:val="center"/>
          </w:tcPr>
          <w:p w14:paraId="4F9A4310">
            <w:pPr>
              <w:spacing w:line="240" w:lineRule="auto"/>
              <w:ind w:firstLine="0" w:firstLineChars="0"/>
              <w:jc w:val="left"/>
              <w:rPr>
                <w:color w:val="auto"/>
                <w:sz w:val="21"/>
                <w:szCs w:val="21"/>
                <w:highlight w:val="none"/>
              </w:rPr>
            </w:pPr>
            <w:r>
              <w:rPr>
                <w:color w:val="auto"/>
                <w:sz w:val="21"/>
                <w:szCs w:val="21"/>
                <w:highlight w:val="none"/>
              </w:rPr>
              <w:t>监测时期</w:t>
            </w:r>
          </w:p>
        </w:tc>
        <w:tc>
          <w:tcPr>
            <w:tcW w:w="0" w:type="auto"/>
            <w:gridSpan w:val="4"/>
            <w:noWrap w:val="0"/>
            <w:vAlign w:val="center"/>
          </w:tcPr>
          <w:p w14:paraId="3FC1B2E9">
            <w:pPr>
              <w:spacing w:line="240" w:lineRule="auto"/>
              <w:ind w:firstLine="0" w:firstLineChars="0"/>
              <w:jc w:val="left"/>
              <w:rPr>
                <w:color w:val="auto"/>
                <w:sz w:val="21"/>
                <w:szCs w:val="21"/>
                <w:highlight w:val="none"/>
              </w:rPr>
            </w:pPr>
            <w:r>
              <w:rPr>
                <w:color w:val="auto"/>
                <w:sz w:val="21"/>
                <w:szCs w:val="21"/>
                <w:highlight w:val="none"/>
              </w:rPr>
              <w:t>监测因子</w:t>
            </w:r>
          </w:p>
        </w:tc>
        <w:tc>
          <w:tcPr>
            <w:tcW w:w="0" w:type="auto"/>
            <w:noWrap w:val="0"/>
            <w:vAlign w:val="center"/>
          </w:tcPr>
          <w:p w14:paraId="15E099FC">
            <w:pPr>
              <w:spacing w:line="240" w:lineRule="auto"/>
              <w:ind w:firstLine="0" w:firstLineChars="0"/>
              <w:jc w:val="left"/>
              <w:rPr>
                <w:color w:val="auto"/>
                <w:sz w:val="21"/>
                <w:szCs w:val="21"/>
                <w:highlight w:val="none"/>
              </w:rPr>
            </w:pPr>
            <w:r>
              <w:rPr>
                <w:color w:val="auto"/>
                <w:sz w:val="21"/>
                <w:szCs w:val="21"/>
                <w:highlight w:val="none"/>
              </w:rPr>
              <w:t>监测断面或点位</w:t>
            </w:r>
          </w:p>
        </w:tc>
      </w:tr>
      <w:tr w14:paraId="687D5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0" w:type="auto"/>
            <w:vMerge w:val="continue"/>
            <w:noWrap w:val="0"/>
            <w:vAlign w:val="center"/>
          </w:tcPr>
          <w:p w14:paraId="24FF5013">
            <w:pPr>
              <w:spacing w:line="240" w:lineRule="auto"/>
              <w:ind w:firstLine="0" w:firstLineChars="0"/>
              <w:jc w:val="center"/>
              <w:rPr>
                <w:color w:val="auto"/>
                <w:sz w:val="21"/>
                <w:szCs w:val="21"/>
                <w:highlight w:val="none"/>
              </w:rPr>
            </w:pPr>
          </w:p>
        </w:tc>
        <w:tc>
          <w:tcPr>
            <w:tcW w:w="0" w:type="auto"/>
            <w:vMerge w:val="continue"/>
            <w:noWrap w:val="0"/>
            <w:vAlign w:val="center"/>
          </w:tcPr>
          <w:p w14:paraId="0A76E8F4">
            <w:pPr>
              <w:spacing w:line="240" w:lineRule="auto"/>
              <w:ind w:firstLine="0" w:firstLineChars="0"/>
              <w:jc w:val="center"/>
              <w:rPr>
                <w:color w:val="auto"/>
                <w:sz w:val="21"/>
                <w:szCs w:val="21"/>
                <w:highlight w:val="none"/>
              </w:rPr>
            </w:pPr>
          </w:p>
        </w:tc>
        <w:tc>
          <w:tcPr>
            <w:tcW w:w="0" w:type="auto"/>
            <w:gridSpan w:val="3"/>
            <w:noWrap w:val="0"/>
            <w:vAlign w:val="center"/>
          </w:tcPr>
          <w:p w14:paraId="1189F6C9">
            <w:pPr>
              <w:spacing w:line="240" w:lineRule="auto"/>
              <w:ind w:firstLine="0" w:firstLineChars="0"/>
              <w:jc w:val="left"/>
              <w:rPr>
                <w:color w:val="auto"/>
                <w:sz w:val="21"/>
                <w:szCs w:val="21"/>
                <w:highlight w:val="none"/>
              </w:rPr>
            </w:pPr>
            <w:r>
              <w:rPr>
                <w:color w:val="auto"/>
                <w:sz w:val="21"/>
                <w:szCs w:val="21"/>
                <w:highlight w:val="none"/>
              </w:rPr>
              <w:t>丰水期</w:t>
            </w:r>
            <w:r>
              <w:rPr>
                <w:rFonts w:hint="eastAsia"/>
                <w:color w:val="auto"/>
                <w:sz w:val="21"/>
                <w:szCs w:val="21"/>
                <w:highlight w:val="none"/>
              </w:rPr>
              <w:t>□</w:t>
            </w:r>
            <w:r>
              <w:rPr>
                <w:color w:val="auto"/>
                <w:sz w:val="21"/>
                <w:szCs w:val="21"/>
                <w:highlight w:val="none"/>
              </w:rPr>
              <w:t>；平水期</w:t>
            </w:r>
            <w:r>
              <w:rPr>
                <w:rFonts w:hint="eastAsia"/>
                <w:color w:val="auto"/>
                <w:sz w:val="21"/>
                <w:szCs w:val="21"/>
                <w:highlight w:val="none"/>
              </w:rPr>
              <w:t>□</w:t>
            </w:r>
            <w:r>
              <w:rPr>
                <w:color w:val="auto"/>
                <w:sz w:val="21"/>
                <w:szCs w:val="21"/>
                <w:highlight w:val="none"/>
              </w:rPr>
              <w:t>；枯水期</w:t>
            </w:r>
            <w:r>
              <w:rPr>
                <w:rFonts w:hint="eastAsia"/>
                <w:color w:val="auto"/>
                <w:sz w:val="21"/>
                <w:szCs w:val="21"/>
                <w:highlight w:val="none"/>
              </w:rPr>
              <w:t>□</w:t>
            </w:r>
            <w:r>
              <w:rPr>
                <w:color w:val="auto"/>
                <w:sz w:val="21"/>
                <w:szCs w:val="21"/>
                <w:highlight w:val="none"/>
              </w:rPr>
              <w:t>；冰封期</w:t>
            </w:r>
            <w:r>
              <w:rPr>
                <w:rFonts w:hint="eastAsia"/>
                <w:color w:val="auto"/>
                <w:sz w:val="21"/>
                <w:szCs w:val="21"/>
                <w:highlight w:val="none"/>
              </w:rPr>
              <w:t>□</w:t>
            </w:r>
          </w:p>
          <w:p w14:paraId="4FBB214F">
            <w:pPr>
              <w:spacing w:line="240" w:lineRule="auto"/>
              <w:ind w:firstLine="0" w:firstLineChars="0"/>
              <w:jc w:val="left"/>
              <w:rPr>
                <w:color w:val="auto"/>
                <w:sz w:val="21"/>
                <w:szCs w:val="21"/>
                <w:highlight w:val="none"/>
              </w:rPr>
            </w:pPr>
            <w:r>
              <w:rPr>
                <w:color w:val="auto"/>
                <w:sz w:val="21"/>
                <w:szCs w:val="21"/>
                <w:highlight w:val="none"/>
              </w:rPr>
              <w:t>春季</w:t>
            </w:r>
            <w:r>
              <w:rPr>
                <w:rFonts w:hint="eastAsia"/>
                <w:color w:val="auto"/>
                <w:sz w:val="21"/>
                <w:szCs w:val="21"/>
                <w:highlight w:val="none"/>
              </w:rPr>
              <w:t>□</w:t>
            </w:r>
            <w:r>
              <w:rPr>
                <w:color w:val="auto"/>
                <w:sz w:val="21"/>
                <w:szCs w:val="21"/>
                <w:highlight w:val="none"/>
              </w:rPr>
              <w:t>；夏季</w:t>
            </w:r>
            <w:r>
              <w:rPr>
                <w:rFonts w:hint="eastAsia"/>
                <w:color w:val="auto"/>
                <w:sz w:val="21"/>
                <w:szCs w:val="21"/>
                <w:highlight w:val="none"/>
              </w:rPr>
              <w:t>□</w:t>
            </w:r>
            <w:r>
              <w:rPr>
                <w:color w:val="auto"/>
                <w:sz w:val="21"/>
                <w:szCs w:val="21"/>
                <w:highlight w:val="none"/>
              </w:rPr>
              <w:t>；秋季</w:t>
            </w:r>
            <w:r>
              <w:rPr>
                <w:rFonts w:hint="eastAsia"/>
                <w:color w:val="auto"/>
                <w:sz w:val="21"/>
                <w:szCs w:val="21"/>
                <w:highlight w:val="none"/>
              </w:rPr>
              <w:t>□</w:t>
            </w:r>
            <w:r>
              <w:rPr>
                <w:color w:val="auto"/>
                <w:sz w:val="21"/>
                <w:szCs w:val="21"/>
                <w:highlight w:val="none"/>
              </w:rPr>
              <w:t>；冬季</w:t>
            </w:r>
            <w:r>
              <w:rPr>
                <w:rFonts w:hint="eastAsia"/>
                <w:color w:val="auto"/>
                <w:sz w:val="21"/>
                <w:szCs w:val="21"/>
                <w:highlight w:val="none"/>
              </w:rPr>
              <w:t>□</w:t>
            </w:r>
          </w:p>
        </w:tc>
        <w:tc>
          <w:tcPr>
            <w:tcW w:w="0" w:type="auto"/>
            <w:gridSpan w:val="4"/>
            <w:noWrap w:val="0"/>
            <w:vAlign w:val="center"/>
          </w:tcPr>
          <w:p w14:paraId="43F888FF">
            <w:pPr>
              <w:spacing w:line="240" w:lineRule="auto"/>
              <w:ind w:firstLine="0" w:firstLineChars="0"/>
              <w:jc w:val="left"/>
              <w:rPr>
                <w:color w:val="auto"/>
                <w:sz w:val="21"/>
                <w:szCs w:val="21"/>
                <w:highlight w:val="none"/>
              </w:rPr>
            </w:pPr>
            <w:r>
              <w:rPr>
                <w:color w:val="auto"/>
                <w:sz w:val="21"/>
                <w:szCs w:val="21"/>
                <w:highlight w:val="none"/>
              </w:rPr>
              <w:t>（）</w:t>
            </w:r>
          </w:p>
        </w:tc>
        <w:tc>
          <w:tcPr>
            <w:tcW w:w="0" w:type="auto"/>
            <w:noWrap w:val="0"/>
            <w:vAlign w:val="center"/>
          </w:tcPr>
          <w:p w14:paraId="697A4791">
            <w:pPr>
              <w:spacing w:line="240" w:lineRule="auto"/>
              <w:ind w:firstLine="0" w:firstLineChars="0"/>
              <w:jc w:val="left"/>
              <w:rPr>
                <w:color w:val="auto"/>
                <w:sz w:val="21"/>
                <w:szCs w:val="21"/>
                <w:highlight w:val="none"/>
              </w:rPr>
            </w:pPr>
            <w:r>
              <w:rPr>
                <w:color w:val="auto"/>
                <w:sz w:val="21"/>
                <w:szCs w:val="21"/>
                <w:highlight w:val="none"/>
              </w:rPr>
              <w:t>监测断面或点位（）个</w:t>
            </w:r>
          </w:p>
        </w:tc>
      </w:tr>
      <w:tr w14:paraId="07468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trPr>
        <w:tc>
          <w:tcPr>
            <w:tcW w:w="0" w:type="auto"/>
            <w:vMerge w:val="restart"/>
            <w:noWrap w:val="0"/>
            <w:vAlign w:val="center"/>
          </w:tcPr>
          <w:p w14:paraId="2194B034">
            <w:pPr>
              <w:spacing w:line="240" w:lineRule="auto"/>
              <w:ind w:firstLine="0" w:firstLineChars="0"/>
              <w:jc w:val="center"/>
              <w:rPr>
                <w:color w:val="auto"/>
                <w:sz w:val="21"/>
                <w:szCs w:val="21"/>
                <w:highlight w:val="none"/>
              </w:rPr>
            </w:pPr>
            <w:r>
              <w:rPr>
                <w:color w:val="auto"/>
                <w:sz w:val="21"/>
                <w:szCs w:val="21"/>
                <w:highlight w:val="none"/>
              </w:rPr>
              <w:t>现状评价</w:t>
            </w:r>
          </w:p>
        </w:tc>
        <w:tc>
          <w:tcPr>
            <w:tcW w:w="0" w:type="auto"/>
            <w:noWrap w:val="0"/>
            <w:vAlign w:val="center"/>
          </w:tcPr>
          <w:p w14:paraId="3BD73E6D">
            <w:pPr>
              <w:spacing w:line="240" w:lineRule="auto"/>
              <w:ind w:firstLine="0" w:firstLineChars="0"/>
              <w:jc w:val="center"/>
              <w:rPr>
                <w:color w:val="auto"/>
                <w:sz w:val="21"/>
                <w:szCs w:val="21"/>
                <w:highlight w:val="none"/>
              </w:rPr>
            </w:pPr>
            <w:r>
              <w:rPr>
                <w:color w:val="auto"/>
                <w:sz w:val="21"/>
                <w:szCs w:val="21"/>
                <w:highlight w:val="none"/>
              </w:rPr>
              <w:t>评价范围</w:t>
            </w:r>
          </w:p>
        </w:tc>
        <w:tc>
          <w:tcPr>
            <w:tcW w:w="0" w:type="auto"/>
            <w:gridSpan w:val="8"/>
            <w:noWrap w:val="0"/>
            <w:vAlign w:val="center"/>
          </w:tcPr>
          <w:p w14:paraId="04BB34D1">
            <w:pPr>
              <w:spacing w:line="240" w:lineRule="auto"/>
              <w:ind w:firstLine="0" w:firstLineChars="0"/>
              <w:jc w:val="left"/>
              <w:rPr>
                <w:color w:val="auto"/>
                <w:sz w:val="21"/>
                <w:szCs w:val="21"/>
                <w:highlight w:val="none"/>
              </w:rPr>
            </w:pPr>
            <w:r>
              <w:rPr>
                <w:color w:val="auto"/>
                <w:sz w:val="21"/>
                <w:szCs w:val="21"/>
                <w:highlight w:val="none"/>
              </w:rPr>
              <w:t>河流：长度（ ）km；湖库、河口及近岸海域：面积（）km2</w:t>
            </w:r>
          </w:p>
        </w:tc>
      </w:tr>
      <w:tr w14:paraId="6636A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trPr>
        <w:tc>
          <w:tcPr>
            <w:tcW w:w="0" w:type="auto"/>
            <w:vMerge w:val="continue"/>
            <w:noWrap w:val="0"/>
            <w:vAlign w:val="center"/>
          </w:tcPr>
          <w:p w14:paraId="4FDEE84F">
            <w:pPr>
              <w:spacing w:line="240" w:lineRule="auto"/>
              <w:ind w:firstLine="0" w:firstLineChars="0"/>
              <w:jc w:val="center"/>
              <w:rPr>
                <w:color w:val="auto"/>
                <w:sz w:val="21"/>
                <w:szCs w:val="21"/>
                <w:highlight w:val="none"/>
              </w:rPr>
            </w:pPr>
          </w:p>
        </w:tc>
        <w:tc>
          <w:tcPr>
            <w:tcW w:w="0" w:type="auto"/>
            <w:noWrap w:val="0"/>
            <w:vAlign w:val="center"/>
          </w:tcPr>
          <w:p w14:paraId="518902F4">
            <w:pPr>
              <w:spacing w:line="240" w:lineRule="auto"/>
              <w:ind w:firstLine="0" w:firstLineChars="0"/>
              <w:jc w:val="center"/>
              <w:rPr>
                <w:color w:val="auto"/>
                <w:sz w:val="21"/>
                <w:szCs w:val="21"/>
                <w:highlight w:val="none"/>
              </w:rPr>
            </w:pPr>
            <w:r>
              <w:rPr>
                <w:color w:val="auto"/>
                <w:sz w:val="21"/>
                <w:szCs w:val="21"/>
                <w:highlight w:val="none"/>
              </w:rPr>
              <w:t>评价因子</w:t>
            </w:r>
          </w:p>
        </w:tc>
        <w:tc>
          <w:tcPr>
            <w:tcW w:w="0" w:type="auto"/>
            <w:gridSpan w:val="8"/>
            <w:noWrap w:val="0"/>
            <w:vAlign w:val="center"/>
          </w:tcPr>
          <w:p w14:paraId="46A43862">
            <w:pPr>
              <w:spacing w:line="240" w:lineRule="auto"/>
              <w:ind w:firstLine="0" w:firstLineChars="0"/>
              <w:jc w:val="left"/>
              <w:rPr>
                <w:color w:val="auto"/>
                <w:sz w:val="21"/>
                <w:szCs w:val="21"/>
                <w:highlight w:val="none"/>
              </w:rPr>
            </w:pPr>
            <w:r>
              <w:rPr>
                <w:color w:val="auto"/>
                <w:sz w:val="21"/>
                <w:szCs w:val="21"/>
                <w:highlight w:val="none"/>
              </w:rPr>
              <w:t>（水温、</w:t>
            </w:r>
            <w:r>
              <w:rPr>
                <w:rFonts w:hint="eastAsia"/>
                <w:color w:val="auto"/>
                <w:sz w:val="21"/>
                <w:szCs w:val="21"/>
                <w:highlight w:val="none"/>
              </w:rPr>
              <w:t>pH</w:t>
            </w:r>
            <w:r>
              <w:rPr>
                <w:color w:val="auto"/>
                <w:sz w:val="21"/>
                <w:szCs w:val="21"/>
                <w:highlight w:val="none"/>
              </w:rPr>
              <w:t>值、溶解氧、高锰酸盐指数、悬浮物、氨氮、五日生化需氧量、总磷）</w:t>
            </w:r>
          </w:p>
        </w:tc>
      </w:tr>
      <w:tr w14:paraId="2C153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0" w:type="auto"/>
            <w:vMerge w:val="continue"/>
            <w:noWrap w:val="0"/>
            <w:vAlign w:val="center"/>
          </w:tcPr>
          <w:p w14:paraId="6404FEF6">
            <w:pPr>
              <w:spacing w:line="240" w:lineRule="auto"/>
              <w:ind w:firstLine="0" w:firstLineChars="0"/>
              <w:jc w:val="center"/>
              <w:rPr>
                <w:color w:val="auto"/>
                <w:sz w:val="21"/>
                <w:szCs w:val="21"/>
                <w:highlight w:val="none"/>
              </w:rPr>
            </w:pPr>
          </w:p>
        </w:tc>
        <w:tc>
          <w:tcPr>
            <w:tcW w:w="0" w:type="auto"/>
            <w:noWrap w:val="0"/>
            <w:vAlign w:val="center"/>
          </w:tcPr>
          <w:p w14:paraId="269DD995">
            <w:pPr>
              <w:spacing w:line="240" w:lineRule="auto"/>
              <w:ind w:firstLine="0" w:firstLineChars="0"/>
              <w:jc w:val="center"/>
              <w:rPr>
                <w:color w:val="auto"/>
                <w:sz w:val="21"/>
                <w:szCs w:val="21"/>
                <w:highlight w:val="none"/>
              </w:rPr>
            </w:pPr>
            <w:r>
              <w:rPr>
                <w:color w:val="auto"/>
                <w:sz w:val="21"/>
                <w:szCs w:val="21"/>
                <w:highlight w:val="none"/>
              </w:rPr>
              <w:t>评价标准</w:t>
            </w:r>
          </w:p>
        </w:tc>
        <w:tc>
          <w:tcPr>
            <w:tcW w:w="0" w:type="auto"/>
            <w:gridSpan w:val="8"/>
            <w:noWrap w:val="0"/>
            <w:vAlign w:val="center"/>
          </w:tcPr>
          <w:p w14:paraId="47FC91DB">
            <w:pPr>
              <w:spacing w:line="240" w:lineRule="auto"/>
              <w:ind w:firstLine="0" w:firstLineChars="0"/>
              <w:jc w:val="left"/>
              <w:rPr>
                <w:color w:val="auto"/>
                <w:sz w:val="21"/>
                <w:szCs w:val="21"/>
                <w:highlight w:val="none"/>
              </w:rPr>
            </w:pPr>
            <w:r>
              <w:rPr>
                <w:color w:val="auto"/>
                <w:sz w:val="21"/>
                <w:szCs w:val="21"/>
                <w:highlight w:val="none"/>
              </w:rPr>
              <w:t>河流、湖库、河口：</w:t>
            </w:r>
            <w:r>
              <w:rPr>
                <w:rFonts w:hint="eastAsia" w:ascii="宋体" w:hAnsi="宋体" w:cs="宋体"/>
                <w:color w:val="auto"/>
                <w:sz w:val="21"/>
                <w:szCs w:val="21"/>
                <w:highlight w:val="none"/>
              </w:rPr>
              <w:t>Ⅰ</w:t>
            </w:r>
            <w:r>
              <w:rPr>
                <w:color w:val="auto"/>
                <w:sz w:val="21"/>
                <w:szCs w:val="21"/>
                <w:highlight w:val="none"/>
              </w:rPr>
              <w:t>类</w:t>
            </w:r>
            <w:r>
              <w:rPr>
                <w:rFonts w:hint="eastAsia"/>
                <w:color w:val="auto"/>
                <w:sz w:val="21"/>
                <w:szCs w:val="21"/>
                <w:highlight w:val="none"/>
              </w:rPr>
              <w:t>□</w:t>
            </w:r>
            <w:r>
              <w:rPr>
                <w:color w:val="auto"/>
                <w:sz w:val="21"/>
                <w:szCs w:val="21"/>
                <w:highlight w:val="none"/>
              </w:rPr>
              <w:t>；</w:t>
            </w:r>
            <w:r>
              <w:rPr>
                <w:rFonts w:hint="eastAsia" w:ascii="宋体" w:hAnsi="宋体" w:cs="宋体"/>
                <w:color w:val="auto"/>
                <w:sz w:val="21"/>
                <w:szCs w:val="21"/>
                <w:highlight w:val="none"/>
              </w:rPr>
              <w:t>Ⅱ</w:t>
            </w:r>
            <w:r>
              <w:rPr>
                <w:color w:val="auto"/>
                <w:sz w:val="21"/>
                <w:szCs w:val="21"/>
                <w:highlight w:val="none"/>
              </w:rPr>
              <w:t>类</w:t>
            </w:r>
            <w:r>
              <w:rPr>
                <w:rFonts w:hint="eastAsia"/>
                <w:color w:val="auto"/>
                <w:sz w:val="21"/>
                <w:szCs w:val="21"/>
                <w:highlight w:val="none"/>
              </w:rPr>
              <w:t>□</w:t>
            </w:r>
            <w:r>
              <w:rPr>
                <w:color w:val="auto"/>
                <w:sz w:val="21"/>
                <w:szCs w:val="21"/>
                <w:highlight w:val="none"/>
              </w:rPr>
              <w:t>；</w:t>
            </w:r>
            <w:r>
              <w:rPr>
                <w:rFonts w:hint="eastAsia" w:ascii="宋体" w:hAnsi="宋体" w:cs="宋体"/>
                <w:color w:val="auto"/>
                <w:sz w:val="21"/>
                <w:szCs w:val="21"/>
                <w:highlight w:val="none"/>
              </w:rPr>
              <w:t>Ⅲ</w:t>
            </w:r>
            <w:r>
              <w:rPr>
                <w:color w:val="auto"/>
                <w:sz w:val="21"/>
                <w:szCs w:val="21"/>
                <w:highlight w:val="none"/>
              </w:rPr>
              <w:t>类</w:t>
            </w:r>
            <w:r>
              <w:rPr>
                <w:rFonts w:hint="eastAsia"/>
                <w:color w:val="auto"/>
                <w:sz w:val="21"/>
                <w:szCs w:val="21"/>
                <w:highlight w:val="none"/>
              </w:rPr>
              <w:t>□</w:t>
            </w:r>
            <w:r>
              <w:rPr>
                <w:color w:val="auto"/>
                <w:sz w:val="21"/>
                <w:szCs w:val="21"/>
                <w:highlight w:val="none"/>
              </w:rPr>
              <w:t>；</w:t>
            </w:r>
            <w:r>
              <w:rPr>
                <w:rFonts w:hint="eastAsia" w:ascii="宋体" w:hAnsi="宋体" w:cs="宋体"/>
                <w:color w:val="auto"/>
                <w:sz w:val="21"/>
                <w:szCs w:val="21"/>
                <w:highlight w:val="none"/>
              </w:rPr>
              <w:t>Ⅳ</w:t>
            </w:r>
            <w:r>
              <w:rPr>
                <w:color w:val="auto"/>
                <w:sz w:val="21"/>
                <w:szCs w:val="21"/>
                <w:highlight w:val="none"/>
              </w:rPr>
              <w:t>类</w:t>
            </w:r>
            <w:r>
              <w:rPr>
                <w:rFonts w:hint="eastAsia" w:ascii="MS Mincho" w:hAnsi="MS Mincho" w:eastAsia="MS Mincho" w:cs="MS Mincho"/>
                <w:color w:val="auto"/>
                <w:sz w:val="21"/>
                <w:szCs w:val="21"/>
                <w:highlight w:val="none"/>
              </w:rPr>
              <w:t>☑</w:t>
            </w:r>
            <w:r>
              <w:rPr>
                <w:color w:val="auto"/>
                <w:sz w:val="21"/>
                <w:szCs w:val="21"/>
                <w:highlight w:val="none"/>
              </w:rPr>
              <w:t>；</w:t>
            </w:r>
            <w:r>
              <w:rPr>
                <w:rFonts w:hint="eastAsia" w:ascii="宋体" w:hAnsi="宋体" w:cs="宋体"/>
                <w:color w:val="auto"/>
                <w:sz w:val="21"/>
                <w:szCs w:val="21"/>
                <w:highlight w:val="none"/>
              </w:rPr>
              <w:t>Ⅴ</w:t>
            </w:r>
            <w:r>
              <w:rPr>
                <w:color w:val="auto"/>
                <w:sz w:val="21"/>
                <w:szCs w:val="21"/>
                <w:highlight w:val="none"/>
              </w:rPr>
              <w:t>类</w:t>
            </w:r>
            <w:r>
              <w:rPr>
                <w:rFonts w:hint="eastAsia"/>
                <w:color w:val="auto"/>
                <w:sz w:val="21"/>
                <w:szCs w:val="21"/>
                <w:highlight w:val="none"/>
              </w:rPr>
              <w:t>□</w:t>
            </w:r>
          </w:p>
          <w:p w14:paraId="67E4C6A7">
            <w:pPr>
              <w:spacing w:line="240" w:lineRule="auto"/>
              <w:ind w:firstLine="0" w:firstLineChars="0"/>
              <w:jc w:val="left"/>
              <w:rPr>
                <w:color w:val="auto"/>
                <w:sz w:val="21"/>
                <w:szCs w:val="21"/>
                <w:highlight w:val="none"/>
              </w:rPr>
            </w:pPr>
            <w:r>
              <w:rPr>
                <w:color w:val="auto"/>
                <w:sz w:val="21"/>
                <w:szCs w:val="21"/>
                <w:highlight w:val="none"/>
              </w:rPr>
              <w:t>近岸海域：第一类</w:t>
            </w:r>
            <w:r>
              <w:rPr>
                <w:rFonts w:hint="eastAsia"/>
                <w:color w:val="auto"/>
                <w:sz w:val="21"/>
                <w:szCs w:val="21"/>
                <w:highlight w:val="none"/>
              </w:rPr>
              <w:t>□</w:t>
            </w:r>
            <w:r>
              <w:rPr>
                <w:color w:val="auto"/>
                <w:sz w:val="21"/>
                <w:szCs w:val="21"/>
                <w:highlight w:val="none"/>
              </w:rPr>
              <w:t>；第二类</w:t>
            </w:r>
            <w:r>
              <w:rPr>
                <w:rFonts w:hint="eastAsia"/>
                <w:color w:val="auto"/>
                <w:sz w:val="21"/>
                <w:szCs w:val="21"/>
                <w:highlight w:val="none"/>
              </w:rPr>
              <w:t>□</w:t>
            </w:r>
            <w:r>
              <w:rPr>
                <w:color w:val="auto"/>
                <w:sz w:val="21"/>
                <w:szCs w:val="21"/>
                <w:highlight w:val="none"/>
              </w:rPr>
              <w:t>；第三类</w:t>
            </w:r>
            <w:r>
              <w:rPr>
                <w:rFonts w:hint="eastAsia"/>
                <w:color w:val="auto"/>
                <w:sz w:val="21"/>
                <w:szCs w:val="21"/>
                <w:highlight w:val="none"/>
              </w:rPr>
              <w:t>□</w:t>
            </w:r>
            <w:r>
              <w:rPr>
                <w:color w:val="auto"/>
                <w:sz w:val="21"/>
                <w:szCs w:val="21"/>
                <w:highlight w:val="none"/>
              </w:rPr>
              <w:t>；第四类</w:t>
            </w:r>
            <w:r>
              <w:rPr>
                <w:rFonts w:hint="eastAsia"/>
                <w:color w:val="auto"/>
                <w:sz w:val="21"/>
                <w:szCs w:val="21"/>
                <w:highlight w:val="none"/>
              </w:rPr>
              <w:t>□</w:t>
            </w:r>
          </w:p>
          <w:p w14:paraId="1A4A9BD6">
            <w:pPr>
              <w:spacing w:line="240" w:lineRule="auto"/>
              <w:ind w:firstLine="0" w:firstLineChars="0"/>
              <w:jc w:val="left"/>
              <w:rPr>
                <w:color w:val="auto"/>
                <w:sz w:val="21"/>
                <w:szCs w:val="21"/>
                <w:highlight w:val="none"/>
              </w:rPr>
            </w:pPr>
            <w:r>
              <w:rPr>
                <w:color w:val="auto"/>
                <w:sz w:val="21"/>
                <w:szCs w:val="21"/>
                <w:highlight w:val="none"/>
              </w:rPr>
              <w:t>规划年评价标准（）</w:t>
            </w:r>
          </w:p>
        </w:tc>
      </w:tr>
      <w:tr w14:paraId="11B34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0" w:type="auto"/>
            <w:vMerge w:val="continue"/>
            <w:noWrap w:val="0"/>
            <w:vAlign w:val="center"/>
          </w:tcPr>
          <w:p w14:paraId="508D59E8">
            <w:pPr>
              <w:spacing w:line="240" w:lineRule="auto"/>
              <w:ind w:firstLine="0" w:firstLineChars="0"/>
              <w:jc w:val="center"/>
              <w:rPr>
                <w:color w:val="auto"/>
                <w:sz w:val="21"/>
                <w:szCs w:val="21"/>
                <w:highlight w:val="none"/>
              </w:rPr>
            </w:pPr>
          </w:p>
        </w:tc>
        <w:tc>
          <w:tcPr>
            <w:tcW w:w="0" w:type="auto"/>
            <w:noWrap w:val="0"/>
            <w:vAlign w:val="center"/>
          </w:tcPr>
          <w:p w14:paraId="0C7A51A6">
            <w:pPr>
              <w:spacing w:line="240" w:lineRule="auto"/>
              <w:ind w:firstLine="0" w:firstLineChars="0"/>
              <w:jc w:val="center"/>
              <w:rPr>
                <w:color w:val="auto"/>
                <w:sz w:val="21"/>
                <w:szCs w:val="21"/>
                <w:highlight w:val="none"/>
              </w:rPr>
            </w:pPr>
            <w:r>
              <w:rPr>
                <w:color w:val="auto"/>
                <w:sz w:val="21"/>
                <w:szCs w:val="21"/>
                <w:highlight w:val="none"/>
              </w:rPr>
              <w:t>评价时期</w:t>
            </w:r>
          </w:p>
        </w:tc>
        <w:tc>
          <w:tcPr>
            <w:tcW w:w="0" w:type="auto"/>
            <w:gridSpan w:val="8"/>
            <w:noWrap w:val="0"/>
            <w:vAlign w:val="center"/>
          </w:tcPr>
          <w:p w14:paraId="59EBA9E4">
            <w:pPr>
              <w:spacing w:line="240" w:lineRule="auto"/>
              <w:ind w:firstLine="0" w:firstLineChars="0"/>
              <w:jc w:val="left"/>
              <w:rPr>
                <w:color w:val="auto"/>
                <w:sz w:val="21"/>
                <w:szCs w:val="21"/>
                <w:highlight w:val="none"/>
              </w:rPr>
            </w:pPr>
            <w:r>
              <w:rPr>
                <w:color w:val="auto"/>
                <w:sz w:val="21"/>
                <w:szCs w:val="21"/>
                <w:highlight w:val="none"/>
              </w:rPr>
              <w:t>丰水期</w:t>
            </w:r>
            <w:r>
              <w:rPr>
                <w:rFonts w:hint="eastAsia"/>
                <w:color w:val="auto"/>
                <w:sz w:val="21"/>
                <w:szCs w:val="21"/>
                <w:highlight w:val="none"/>
              </w:rPr>
              <w:t>□</w:t>
            </w:r>
            <w:r>
              <w:rPr>
                <w:color w:val="auto"/>
                <w:sz w:val="21"/>
                <w:szCs w:val="21"/>
                <w:highlight w:val="none"/>
              </w:rPr>
              <w:t>；平水期</w:t>
            </w:r>
            <w:r>
              <w:rPr>
                <w:rFonts w:hint="eastAsia"/>
                <w:color w:val="auto"/>
                <w:sz w:val="21"/>
                <w:szCs w:val="21"/>
                <w:highlight w:val="none"/>
              </w:rPr>
              <w:t>□</w:t>
            </w:r>
            <w:r>
              <w:rPr>
                <w:color w:val="auto"/>
                <w:sz w:val="21"/>
                <w:szCs w:val="21"/>
                <w:highlight w:val="none"/>
              </w:rPr>
              <w:t>；枯水期</w:t>
            </w:r>
            <w:r>
              <w:rPr>
                <w:rFonts w:hint="eastAsia"/>
                <w:color w:val="auto"/>
                <w:sz w:val="21"/>
                <w:szCs w:val="21"/>
                <w:highlight w:val="none"/>
              </w:rPr>
              <w:t>□</w:t>
            </w:r>
            <w:r>
              <w:rPr>
                <w:color w:val="auto"/>
                <w:sz w:val="21"/>
                <w:szCs w:val="21"/>
                <w:highlight w:val="none"/>
              </w:rPr>
              <w:t>；冰封期</w:t>
            </w:r>
            <w:r>
              <w:rPr>
                <w:rFonts w:hint="eastAsia"/>
                <w:color w:val="auto"/>
                <w:sz w:val="21"/>
                <w:szCs w:val="21"/>
                <w:highlight w:val="none"/>
              </w:rPr>
              <w:t>□</w:t>
            </w:r>
          </w:p>
          <w:p w14:paraId="7973D5DB">
            <w:pPr>
              <w:spacing w:line="240" w:lineRule="auto"/>
              <w:ind w:firstLine="0" w:firstLineChars="0"/>
              <w:jc w:val="left"/>
              <w:rPr>
                <w:color w:val="auto"/>
                <w:sz w:val="21"/>
                <w:szCs w:val="21"/>
                <w:highlight w:val="none"/>
              </w:rPr>
            </w:pPr>
            <w:r>
              <w:rPr>
                <w:color w:val="auto"/>
                <w:sz w:val="21"/>
                <w:szCs w:val="21"/>
                <w:highlight w:val="none"/>
              </w:rPr>
              <w:t>春季</w:t>
            </w:r>
            <w:r>
              <w:rPr>
                <w:rFonts w:hint="eastAsia"/>
                <w:color w:val="auto"/>
                <w:sz w:val="21"/>
                <w:szCs w:val="21"/>
                <w:highlight w:val="none"/>
              </w:rPr>
              <w:t>□</w:t>
            </w:r>
            <w:r>
              <w:rPr>
                <w:color w:val="auto"/>
                <w:sz w:val="21"/>
                <w:szCs w:val="21"/>
                <w:highlight w:val="none"/>
              </w:rPr>
              <w:t>；夏季</w:t>
            </w:r>
            <w:r>
              <w:rPr>
                <w:rFonts w:hint="eastAsia"/>
                <w:color w:val="auto"/>
                <w:sz w:val="21"/>
                <w:szCs w:val="21"/>
                <w:highlight w:val="none"/>
              </w:rPr>
              <w:t>□</w:t>
            </w:r>
            <w:r>
              <w:rPr>
                <w:color w:val="auto"/>
                <w:sz w:val="21"/>
                <w:szCs w:val="21"/>
                <w:highlight w:val="none"/>
              </w:rPr>
              <w:t>；秋季</w:t>
            </w:r>
            <w:r>
              <w:rPr>
                <w:rFonts w:hint="eastAsia"/>
                <w:color w:val="auto"/>
                <w:sz w:val="21"/>
                <w:szCs w:val="21"/>
                <w:highlight w:val="none"/>
              </w:rPr>
              <w:t>□</w:t>
            </w:r>
            <w:r>
              <w:rPr>
                <w:color w:val="auto"/>
                <w:sz w:val="21"/>
                <w:szCs w:val="21"/>
                <w:highlight w:val="none"/>
              </w:rPr>
              <w:t>；冬季</w:t>
            </w:r>
            <w:r>
              <w:rPr>
                <w:rFonts w:hint="eastAsia"/>
                <w:color w:val="auto"/>
                <w:sz w:val="21"/>
                <w:szCs w:val="21"/>
                <w:highlight w:val="none"/>
              </w:rPr>
              <w:t>□</w:t>
            </w:r>
          </w:p>
        </w:tc>
      </w:tr>
      <w:tr w14:paraId="1B0AA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trPr>
        <w:tc>
          <w:tcPr>
            <w:tcW w:w="0" w:type="auto"/>
            <w:vMerge w:val="continue"/>
            <w:noWrap w:val="0"/>
            <w:vAlign w:val="center"/>
          </w:tcPr>
          <w:p w14:paraId="7F7C3265">
            <w:pPr>
              <w:spacing w:line="240" w:lineRule="auto"/>
              <w:ind w:firstLine="0" w:firstLineChars="0"/>
              <w:jc w:val="center"/>
              <w:rPr>
                <w:color w:val="auto"/>
                <w:sz w:val="21"/>
                <w:szCs w:val="21"/>
                <w:highlight w:val="none"/>
              </w:rPr>
            </w:pPr>
          </w:p>
        </w:tc>
        <w:tc>
          <w:tcPr>
            <w:tcW w:w="0" w:type="auto"/>
            <w:noWrap w:val="0"/>
            <w:vAlign w:val="center"/>
          </w:tcPr>
          <w:p w14:paraId="28ECD102">
            <w:pPr>
              <w:spacing w:line="240" w:lineRule="auto"/>
              <w:ind w:firstLine="0" w:firstLineChars="0"/>
              <w:jc w:val="center"/>
              <w:rPr>
                <w:color w:val="auto"/>
                <w:sz w:val="21"/>
                <w:szCs w:val="21"/>
                <w:highlight w:val="none"/>
              </w:rPr>
            </w:pPr>
            <w:r>
              <w:rPr>
                <w:color w:val="auto"/>
                <w:sz w:val="21"/>
                <w:szCs w:val="21"/>
                <w:highlight w:val="none"/>
              </w:rPr>
              <w:t>评价结论</w:t>
            </w:r>
          </w:p>
        </w:tc>
        <w:tc>
          <w:tcPr>
            <w:tcW w:w="0" w:type="auto"/>
            <w:gridSpan w:val="7"/>
            <w:noWrap w:val="0"/>
            <w:vAlign w:val="center"/>
          </w:tcPr>
          <w:p w14:paraId="49EBD20F">
            <w:pPr>
              <w:spacing w:line="240" w:lineRule="auto"/>
              <w:ind w:firstLine="0" w:firstLineChars="0"/>
              <w:jc w:val="left"/>
              <w:rPr>
                <w:color w:val="auto"/>
                <w:sz w:val="21"/>
                <w:szCs w:val="21"/>
                <w:highlight w:val="none"/>
              </w:rPr>
            </w:pPr>
            <w:r>
              <w:rPr>
                <w:color w:val="auto"/>
                <w:sz w:val="21"/>
                <w:szCs w:val="21"/>
                <w:highlight w:val="none"/>
              </w:rPr>
              <w:t>水环境功能区或水功能区、近岸海域环境功能区水质达标状况</w:t>
            </w:r>
            <w:r>
              <w:rPr>
                <w:rFonts w:hint="eastAsia"/>
                <w:color w:val="auto"/>
                <w:sz w:val="21"/>
                <w:szCs w:val="21"/>
                <w:highlight w:val="none"/>
              </w:rPr>
              <w:t>□</w:t>
            </w:r>
            <w:r>
              <w:rPr>
                <w:color w:val="auto"/>
                <w:sz w:val="21"/>
                <w:szCs w:val="21"/>
                <w:highlight w:val="none"/>
              </w:rPr>
              <w:t>：达标</w:t>
            </w:r>
            <w:r>
              <w:rPr>
                <w:rFonts w:hint="eastAsia" w:ascii="MS Mincho" w:hAnsi="MS Mincho" w:eastAsia="MS Mincho" w:cs="MS Mincho"/>
                <w:color w:val="auto"/>
                <w:sz w:val="21"/>
                <w:szCs w:val="21"/>
                <w:highlight w:val="none"/>
              </w:rPr>
              <w:t>☑</w:t>
            </w:r>
            <w:r>
              <w:rPr>
                <w:color w:val="auto"/>
                <w:sz w:val="21"/>
                <w:szCs w:val="21"/>
                <w:highlight w:val="none"/>
              </w:rPr>
              <w:t>；不达标</w:t>
            </w:r>
            <w:r>
              <w:rPr>
                <w:rFonts w:hint="eastAsia"/>
                <w:color w:val="auto"/>
                <w:sz w:val="21"/>
                <w:szCs w:val="21"/>
                <w:highlight w:val="none"/>
              </w:rPr>
              <w:t>□</w:t>
            </w:r>
          </w:p>
          <w:p w14:paraId="470A058E">
            <w:pPr>
              <w:spacing w:line="240" w:lineRule="auto"/>
              <w:ind w:firstLine="0" w:firstLineChars="0"/>
              <w:jc w:val="left"/>
              <w:rPr>
                <w:color w:val="auto"/>
                <w:sz w:val="21"/>
                <w:szCs w:val="21"/>
                <w:highlight w:val="none"/>
              </w:rPr>
            </w:pPr>
            <w:r>
              <w:rPr>
                <w:color w:val="auto"/>
                <w:sz w:val="21"/>
                <w:szCs w:val="21"/>
                <w:highlight w:val="none"/>
              </w:rPr>
              <w:t>水环境控制单元或断面水质达标情况：达标</w:t>
            </w:r>
            <w:r>
              <w:rPr>
                <w:rFonts w:hint="eastAsia" w:ascii="MS Mincho" w:hAnsi="MS Mincho" w:eastAsia="MS Mincho" w:cs="MS Mincho"/>
                <w:color w:val="auto"/>
                <w:sz w:val="21"/>
                <w:szCs w:val="21"/>
                <w:highlight w:val="none"/>
              </w:rPr>
              <w:t>☑</w:t>
            </w:r>
            <w:r>
              <w:rPr>
                <w:color w:val="auto"/>
                <w:sz w:val="21"/>
                <w:szCs w:val="21"/>
                <w:highlight w:val="none"/>
              </w:rPr>
              <w:t>；不达标</w:t>
            </w:r>
            <w:r>
              <w:rPr>
                <w:rFonts w:hint="eastAsia"/>
                <w:color w:val="auto"/>
                <w:sz w:val="21"/>
                <w:szCs w:val="21"/>
                <w:highlight w:val="none"/>
              </w:rPr>
              <w:t>□</w:t>
            </w:r>
          </w:p>
          <w:p w14:paraId="0EA711A3">
            <w:pPr>
              <w:spacing w:line="240" w:lineRule="auto"/>
              <w:ind w:firstLine="0" w:firstLineChars="0"/>
              <w:jc w:val="left"/>
              <w:rPr>
                <w:color w:val="auto"/>
                <w:sz w:val="21"/>
                <w:szCs w:val="21"/>
                <w:highlight w:val="none"/>
              </w:rPr>
            </w:pPr>
            <w:r>
              <w:rPr>
                <w:color w:val="auto"/>
                <w:sz w:val="21"/>
                <w:szCs w:val="21"/>
                <w:highlight w:val="none"/>
              </w:rPr>
              <w:t>对照断面、控制断面等代表性断面的水质状况：达标</w:t>
            </w:r>
            <w:r>
              <w:rPr>
                <w:rFonts w:hint="eastAsia"/>
                <w:color w:val="auto"/>
                <w:sz w:val="21"/>
                <w:szCs w:val="21"/>
                <w:highlight w:val="none"/>
              </w:rPr>
              <w:t>□</w:t>
            </w:r>
            <w:r>
              <w:rPr>
                <w:color w:val="auto"/>
                <w:sz w:val="21"/>
                <w:szCs w:val="21"/>
                <w:highlight w:val="none"/>
              </w:rPr>
              <w:t>；不达标</w:t>
            </w:r>
            <w:r>
              <w:rPr>
                <w:rFonts w:hint="eastAsia"/>
                <w:color w:val="auto"/>
                <w:sz w:val="21"/>
                <w:szCs w:val="21"/>
                <w:highlight w:val="none"/>
              </w:rPr>
              <w:t>□</w:t>
            </w:r>
          </w:p>
          <w:p w14:paraId="6EE5E6A2">
            <w:pPr>
              <w:spacing w:line="240" w:lineRule="auto"/>
              <w:ind w:firstLine="0" w:firstLineChars="0"/>
              <w:jc w:val="left"/>
              <w:rPr>
                <w:color w:val="auto"/>
                <w:sz w:val="21"/>
                <w:szCs w:val="21"/>
                <w:highlight w:val="none"/>
              </w:rPr>
            </w:pPr>
            <w:r>
              <w:rPr>
                <w:color w:val="auto"/>
                <w:sz w:val="21"/>
                <w:szCs w:val="21"/>
                <w:highlight w:val="none"/>
              </w:rPr>
              <w:t>水环境保护目标质量状况</w:t>
            </w:r>
            <w:r>
              <w:rPr>
                <w:rFonts w:hint="eastAsia"/>
                <w:color w:val="auto"/>
                <w:sz w:val="21"/>
                <w:szCs w:val="21"/>
                <w:highlight w:val="none"/>
              </w:rPr>
              <w:t>□</w:t>
            </w:r>
            <w:r>
              <w:rPr>
                <w:color w:val="auto"/>
                <w:sz w:val="21"/>
                <w:szCs w:val="21"/>
                <w:highlight w:val="none"/>
              </w:rPr>
              <w:t>：达标</w:t>
            </w:r>
            <w:r>
              <w:rPr>
                <w:rFonts w:hint="eastAsia"/>
                <w:color w:val="auto"/>
                <w:sz w:val="21"/>
                <w:szCs w:val="21"/>
                <w:highlight w:val="none"/>
              </w:rPr>
              <w:t>□</w:t>
            </w:r>
            <w:r>
              <w:rPr>
                <w:color w:val="auto"/>
                <w:sz w:val="21"/>
                <w:szCs w:val="21"/>
                <w:highlight w:val="none"/>
              </w:rPr>
              <w:t>；不达标</w:t>
            </w:r>
            <w:r>
              <w:rPr>
                <w:rFonts w:hint="eastAsia"/>
                <w:color w:val="auto"/>
                <w:sz w:val="21"/>
                <w:szCs w:val="21"/>
                <w:highlight w:val="none"/>
              </w:rPr>
              <w:t>□</w:t>
            </w:r>
          </w:p>
          <w:p w14:paraId="54759D4C">
            <w:pPr>
              <w:spacing w:line="240" w:lineRule="auto"/>
              <w:ind w:firstLine="0" w:firstLineChars="0"/>
              <w:jc w:val="left"/>
              <w:rPr>
                <w:color w:val="auto"/>
                <w:sz w:val="21"/>
                <w:szCs w:val="21"/>
                <w:highlight w:val="none"/>
              </w:rPr>
            </w:pPr>
            <w:r>
              <w:rPr>
                <w:color w:val="auto"/>
                <w:sz w:val="21"/>
                <w:szCs w:val="21"/>
                <w:highlight w:val="none"/>
              </w:rPr>
              <w:t>底泥污染评价</w:t>
            </w:r>
            <w:r>
              <w:rPr>
                <w:rFonts w:hint="eastAsia"/>
                <w:color w:val="auto"/>
                <w:sz w:val="21"/>
                <w:szCs w:val="21"/>
                <w:highlight w:val="none"/>
              </w:rPr>
              <w:t>□</w:t>
            </w:r>
          </w:p>
          <w:p w14:paraId="22199C62">
            <w:pPr>
              <w:spacing w:line="240" w:lineRule="auto"/>
              <w:ind w:firstLine="0" w:firstLineChars="0"/>
              <w:jc w:val="left"/>
              <w:rPr>
                <w:color w:val="auto"/>
                <w:sz w:val="21"/>
                <w:szCs w:val="21"/>
                <w:highlight w:val="none"/>
              </w:rPr>
            </w:pPr>
            <w:r>
              <w:rPr>
                <w:color w:val="auto"/>
                <w:sz w:val="21"/>
                <w:szCs w:val="21"/>
                <w:highlight w:val="none"/>
              </w:rPr>
              <w:t>水资源与开发利用程度及其水文情势评价</w:t>
            </w:r>
            <w:r>
              <w:rPr>
                <w:rFonts w:hint="eastAsia"/>
                <w:color w:val="auto"/>
                <w:sz w:val="21"/>
                <w:szCs w:val="21"/>
                <w:highlight w:val="none"/>
              </w:rPr>
              <w:t>□</w:t>
            </w:r>
          </w:p>
          <w:p w14:paraId="48F27E8F">
            <w:pPr>
              <w:spacing w:line="240" w:lineRule="auto"/>
              <w:ind w:firstLine="0" w:firstLineChars="0"/>
              <w:jc w:val="left"/>
              <w:rPr>
                <w:color w:val="auto"/>
                <w:sz w:val="21"/>
                <w:szCs w:val="21"/>
                <w:highlight w:val="none"/>
              </w:rPr>
            </w:pPr>
            <w:r>
              <w:rPr>
                <w:color w:val="auto"/>
                <w:sz w:val="21"/>
                <w:szCs w:val="21"/>
                <w:highlight w:val="none"/>
              </w:rPr>
              <w:t>水环境质量回顾评价</w:t>
            </w:r>
            <w:r>
              <w:rPr>
                <w:rFonts w:hint="eastAsia"/>
                <w:color w:val="auto"/>
                <w:sz w:val="21"/>
                <w:szCs w:val="21"/>
                <w:highlight w:val="none"/>
              </w:rPr>
              <w:t>□</w:t>
            </w:r>
          </w:p>
          <w:p w14:paraId="4DEC984B">
            <w:pPr>
              <w:spacing w:line="240" w:lineRule="auto"/>
              <w:ind w:firstLine="0" w:firstLineChars="0"/>
              <w:jc w:val="left"/>
              <w:rPr>
                <w:color w:val="auto"/>
                <w:sz w:val="21"/>
                <w:szCs w:val="21"/>
                <w:highlight w:val="none"/>
              </w:rPr>
            </w:pPr>
            <w:r>
              <w:rPr>
                <w:color w:val="auto"/>
                <w:sz w:val="21"/>
                <w:szCs w:val="21"/>
                <w:highlight w:val="none"/>
              </w:rPr>
              <w:t>流域（区域）水资源（包括水能资源）与开发利用总体状况、生态流量管理要求与现状满足程度、建设项目占用水域空间的水流状况与河湖演变状况</w:t>
            </w:r>
            <w:r>
              <w:rPr>
                <w:rFonts w:hint="eastAsia"/>
                <w:color w:val="auto"/>
                <w:sz w:val="21"/>
                <w:szCs w:val="21"/>
                <w:highlight w:val="none"/>
              </w:rPr>
              <w:t>□</w:t>
            </w:r>
          </w:p>
        </w:tc>
        <w:tc>
          <w:tcPr>
            <w:tcW w:w="0" w:type="auto"/>
            <w:noWrap w:val="0"/>
            <w:vAlign w:val="center"/>
          </w:tcPr>
          <w:p w14:paraId="326001C8">
            <w:pPr>
              <w:spacing w:line="240" w:lineRule="auto"/>
              <w:ind w:firstLine="0" w:firstLineChars="0"/>
              <w:jc w:val="left"/>
              <w:rPr>
                <w:color w:val="auto"/>
                <w:sz w:val="21"/>
                <w:szCs w:val="21"/>
                <w:highlight w:val="none"/>
              </w:rPr>
            </w:pPr>
            <w:r>
              <w:rPr>
                <w:color w:val="auto"/>
                <w:sz w:val="21"/>
                <w:szCs w:val="21"/>
                <w:highlight w:val="none"/>
              </w:rPr>
              <w:t>达标区</w:t>
            </w:r>
            <w:r>
              <w:rPr>
                <w:rFonts w:hint="eastAsia" w:ascii="MS Mincho" w:hAnsi="MS Mincho" w:eastAsia="MS Mincho" w:cs="MS Mincho"/>
                <w:color w:val="auto"/>
                <w:sz w:val="21"/>
                <w:szCs w:val="21"/>
                <w:highlight w:val="none"/>
              </w:rPr>
              <w:t>☑</w:t>
            </w:r>
          </w:p>
          <w:p w14:paraId="093E9F36">
            <w:pPr>
              <w:spacing w:line="240" w:lineRule="auto"/>
              <w:ind w:firstLine="0" w:firstLineChars="0"/>
              <w:jc w:val="left"/>
              <w:rPr>
                <w:color w:val="auto"/>
                <w:sz w:val="21"/>
                <w:szCs w:val="21"/>
                <w:highlight w:val="none"/>
              </w:rPr>
            </w:pPr>
            <w:r>
              <w:rPr>
                <w:color w:val="auto"/>
                <w:sz w:val="21"/>
                <w:szCs w:val="21"/>
                <w:highlight w:val="none"/>
              </w:rPr>
              <w:t>不达标区</w:t>
            </w:r>
            <w:r>
              <w:rPr>
                <w:rFonts w:hint="eastAsia"/>
                <w:color w:val="auto"/>
                <w:sz w:val="21"/>
                <w:szCs w:val="21"/>
                <w:highlight w:val="none"/>
              </w:rPr>
              <w:t>□</w:t>
            </w:r>
          </w:p>
        </w:tc>
      </w:tr>
      <w:tr w14:paraId="15800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0" w:type="auto"/>
            <w:vMerge w:val="restart"/>
            <w:noWrap w:val="0"/>
            <w:vAlign w:val="center"/>
          </w:tcPr>
          <w:p w14:paraId="0E258911">
            <w:pPr>
              <w:spacing w:line="240" w:lineRule="auto"/>
              <w:ind w:firstLine="0" w:firstLineChars="0"/>
              <w:jc w:val="center"/>
              <w:rPr>
                <w:color w:val="auto"/>
                <w:sz w:val="21"/>
                <w:szCs w:val="21"/>
                <w:highlight w:val="none"/>
              </w:rPr>
            </w:pPr>
            <w:r>
              <w:rPr>
                <w:color w:val="auto"/>
                <w:sz w:val="21"/>
                <w:szCs w:val="21"/>
                <w:highlight w:val="none"/>
              </w:rPr>
              <w:t>影响预测</w:t>
            </w:r>
          </w:p>
        </w:tc>
        <w:tc>
          <w:tcPr>
            <w:tcW w:w="0" w:type="auto"/>
            <w:noWrap w:val="0"/>
            <w:vAlign w:val="center"/>
          </w:tcPr>
          <w:p w14:paraId="13CF7233">
            <w:pPr>
              <w:spacing w:line="240" w:lineRule="auto"/>
              <w:ind w:firstLine="0" w:firstLineChars="0"/>
              <w:jc w:val="center"/>
              <w:rPr>
                <w:color w:val="auto"/>
                <w:sz w:val="21"/>
                <w:szCs w:val="21"/>
                <w:highlight w:val="none"/>
              </w:rPr>
            </w:pPr>
            <w:r>
              <w:rPr>
                <w:color w:val="auto"/>
                <w:sz w:val="21"/>
                <w:szCs w:val="21"/>
                <w:highlight w:val="none"/>
              </w:rPr>
              <w:t>预测范围</w:t>
            </w:r>
          </w:p>
        </w:tc>
        <w:tc>
          <w:tcPr>
            <w:tcW w:w="0" w:type="auto"/>
            <w:gridSpan w:val="8"/>
            <w:noWrap w:val="0"/>
            <w:vAlign w:val="center"/>
          </w:tcPr>
          <w:p w14:paraId="1A229C95">
            <w:pPr>
              <w:spacing w:line="240" w:lineRule="auto"/>
              <w:ind w:firstLine="0" w:firstLineChars="0"/>
              <w:jc w:val="left"/>
              <w:rPr>
                <w:color w:val="auto"/>
                <w:sz w:val="21"/>
                <w:szCs w:val="21"/>
                <w:highlight w:val="none"/>
              </w:rPr>
            </w:pPr>
            <w:r>
              <w:rPr>
                <w:color w:val="auto"/>
                <w:sz w:val="21"/>
                <w:szCs w:val="21"/>
                <w:highlight w:val="none"/>
              </w:rPr>
              <w:t>河流：长度（）km；湖库、河口及近岸海域：面积（）km2</w:t>
            </w:r>
          </w:p>
        </w:tc>
      </w:tr>
      <w:tr w14:paraId="25AC3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0" w:type="auto"/>
            <w:vMerge w:val="continue"/>
            <w:noWrap w:val="0"/>
            <w:vAlign w:val="center"/>
          </w:tcPr>
          <w:p w14:paraId="10BB8CD1">
            <w:pPr>
              <w:spacing w:line="240" w:lineRule="auto"/>
              <w:ind w:firstLine="0" w:firstLineChars="0"/>
              <w:jc w:val="center"/>
              <w:rPr>
                <w:color w:val="auto"/>
                <w:sz w:val="21"/>
                <w:szCs w:val="21"/>
                <w:highlight w:val="none"/>
              </w:rPr>
            </w:pPr>
          </w:p>
        </w:tc>
        <w:tc>
          <w:tcPr>
            <w:tcW w:w="0" w:type="auto"/>
            <w:noWrap w:val="0"/>
            <w:vAlign w:val="center"/>
          </w:tcPr>
          <w:p w14:paraId="5E649A8A">
            <w:pPr>
              <w:spacing w:line="240" w:lineRule="auto"/>
              <w:ind w:firstLine="0" w:firstLineChars="0"/>
              <w:jc w:val="center"/>
              <w:rPr>
                <w:color w:val="auto"/>
                <w:sz w:val="21"/>
                <w:szCs w:val="21"/>
                <w:highlight w:val="none"/>
              </w:rPr>
            </w:pPr>
            <w:r>
              <w:rPr>
                <w:color w:val="auto"/>
                <w:sz w:val="21"/>
                <w:szCs w:val="21"/>
                <w:highlight w:val="none"/>
              </w:rPr>
              <w:t>预测因子</w:t>
            </w:r>
          </w:p>
        </w:tc>
        <w:tc>
          <w:tcPr>
            <w:tcW w:w="0" w:type="auto"/>
            <w:gridSpan w:val="8"/>
            <w:noWrap w:val="0"/>
            <w:vAlign w:val="center"/>
          </w:tcPr>
          <w:p w14:paraId="56915F36">
            <w:pPr>
              <w:spacing w:line="240" w:lineRule="auto"/>
              <w:ind w:firstLine="0" w:firstLineChars="0"/>
              <w:jc w:val="left"/>
              <w:rPr>
                <w:color w:val="auto"/>
                <w:sz w:val="21"/>
                <w:szCs w:val="21"/>
                <w:highlight w:val="none"/>
              </w:rPr>
            </w:pPr>
            <w:r>
              <w:rPr>
                <w:color w:val="auto"/>
                <w:sz w:val="21"/>
                <w:szCs w:val="21"/>
                <w:highlight w:val="none"/>
              </w:rPr>
              <w:t>（</w:t>
            </w:r>
            <w:r>
              <w:rPr>
                <w:rFonts w:hint="eastAsia"/>
                <w:color w:val="auto"/>
                <w:sz w:val="21"/>
                <w:szCs w:val="21"/>
                <w:highlight w:val="none"/>
              </w:rPr>
              <w:t xml:space="preserve">  </w:t>
            </w:r>
            <w:r>
              <w:rPr>
                <w:color w:val="auto"/>
                <w:sz w:val="21"/>
                <w:szCs w:val="21"/>
                <w:highlight w:val="none"/>
              </w:rPr>
              <w:t>）</w:t>
            </w:r>
          </w:p>
        </w:tc>
      </w:tr>
      <w:tr w14:paraId="39074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vMerge w:val="continue"/>
            <w:noWrap w:val="0"/>
            <w:vAlign w:val="center"/>
          </w:tcPr>
          <w:p w14:paraId="159762DB">
            <w:pPr>
              <w:spacing w:line="240" w:lineRule="auto"/>
              <w:ind w:firstLine="0" w:firstLineChars="0"/>
              <w:jc w:val="center"/>
              <w:rPr>
                <w:color w:val="auto"/>
                <w:sz w:val="21"/>
                <w:szCs w:val="21"/>
                <w:highlight w:val="none"/>
              </w:rPr>
            </w:pPr>
          </w:p>
        </w:tc>
        <w:tc>
          <w:tcPr>
            <w:tcW w:w="0" w:type="auto"/>
            <w:noWrap w:val="0"/>
            <w:vAlign w:val="center"/>
          </w:tcPr>
          <w:p w14:paraId="36C0BDA0">
            <w:pPr>
              <w:spacing w:line="240" w:lineRule="auto"/>
              <w:ind w:firstLine="0" w:firstLineChars="0"/>
              <w:jc w:val="center"/>
              <w:rPr>
                <w:color w:val="auto"/>
                <w:sz w:val="21"/>
                <w:szCs w:val="21"/>
                <w:highlight w:val="none"/>
              </w:rPr>
            </w:pPr>
            <w:r>
              <w:rPr>
                <w:color w:val="auto"/>
                <w:sz w:val="21"/>
                <w:szCs w:val="21"/>
                <w:highlight w:val="none"/>
              </w:rPr>
              <w:t>预测时期</w:t>
            </w:r>
          </w:p>
        </w:tc>
        <w:tc>
          <w:tcPr>
            <w:tcW w:w="0" w:type="auto"/>
            <w:gridSpan w:val="8"/>
            <w:noWrap w:val="0"/>
            <w:vAlign w:val="center"/>
          </w:tcPr>
          <w:p w14:paraId="3693EAB7">
            <w:pPr>
              <w:spacing w:line="240" w:lineRule="auto"/>
              <w:ind w:firstLine="0" w:firstLineChars="0"/>
              <w:jc w:val="left"/>
              <w:rPr>
                <w:color w:val="auto"/>
                <w:sz w:val="21"/>
                <w:szCs w:val="21"/>
                <w:highlight w:val="none"/>
              </w:rPr>
            </w:pPr>
            <w:r>
              <w:rPr>
                <w:color w:val="auto"/>
                <w:sz w:val="21"/>
                <w:szCs w:val="21"/>
                <w:highlight w:val="none"/>
              </w:rPr>
              <w:t>丰水期</w:t>
            </w:r>
            <w:r>
              <w:rPr>
                <w:rFonts w:hint="eastAsia"/>
                <w:color w:val="auto"/>
                <w:sz w:val="21"/>
                <w:szCs w:val="21"/>
                <w:highlight w:val="none"/>
              </w:rPr>
              <w:t>□</w:t>
            </w:r>
            <w:r>
              <w:rPr>
                <w:color w:val="auto"/>
                <w:sz w:val="21"/>
                <w:szCs w:val="21"/>
                <w:highlight w:val="none"/>
              </w:rPr>
              <w:t>；平水期</w:t>
            </w:r>
            <w:r>
              <w:rPr>
                <w:rFonts w:hint="eastAsia"/>
                <w:color w:val="auto"/>
                <w:sz w:val="21"/>
                <w:szCs w:val="21"/>
                <w:highlight w:val="none"/>
              </w:rPr>
              <w:t>□</w:t>
            </w:r>
            <w:r>
              <w:rPr>
                <w:color w:val="auto"/>
                <w:sz w:val="21"/>
                <w:szCs w:val="21"/>
                <w:highlight w:val="none"/>
              </w:rPr>
              <w:t>；枯水期</w:t>
            </w:r>
            <w:r>
              <w:rPr>
                <w:rFonts w:hint="eastAsia"/>
                <w:color w:val="auto"/>
                <w:sz w:val="21"/>
                <w:szCs w:val="21"/>
                <w:highlight w:val="none"/>
              </w:rPr>
              <w:t>□</w:t>
            </w:r>
            <w:r>
              <w:rPr>
                <w:color w:val="auto"/>
                <w:sz w:val="21"/>
                <w:szCs w:val="21"/>
                <w:highlight w:val="none"/>
              </w:rPr>
              <w:t>；冰封期</w:t>
            </w:r>
            <w:r>
              <w:rPr>
                <w:rFonts w:hint="eastAsia"/>
                <w:color w:val="auto"/>
                <w:sz w:val="21"/>
                <w:szCs w:val="21"/>
                <w:highlight w:val="none"/>
              </w:rPr>
              <w:t>□</w:t>
            </w:r>
          </w:p>
          <w:p w14:paraId="59CCB2A1">
            <w:pPr>
              <w:spacing w:line="240" w:lineRule="auto"/>
              <w:ind w:firstLine="0" w:firstLineChars="0"/>
              <w:jc w:val="left"/>
              <w:rPr>
                <w:color w:val="auto"/>
                <w:sz w:val="21"/>
                <w:szCs w:val="21"/>
                <w:highlight w:val="none"/>
              </w:rPr>
            </w:pPr>
            <w:r>
              <w:rPr>
                <w:color w:val="auto"/>
                <w:sz w:val="21"/>
                <w:szCs w:val="21"/>
                <w:highlight w:val="none"/>
              </w:rPr>
              <w:t>春季</w:t>
            </w:r>
            <w:r>
              <w:rPr>
                <w:rFonts w:hint="eastAsia"/>
                <w:color w:val="auto"/>
                <w:sz w:val="21"/>
                <w:szCs w:val="21"/>
                <w:highlight w:val="none"/>
              </w:rPr>
              <w:t>□</w:t>
            </w:r>
            <w:r>
              <w:rPr>
                <w:color w:val="auto"/>
                <w:sz w:val="21"/>
                <w:szCs w:val="21"/>
                <w:highlight w:val="none"/>
              </w:rPr>
              <w:t>；夏季</w:t>
            </w:r>
            <w:r>
              <w:rPr>
                <w:rFonts w:hint="eastAsia"/>
                <w:color w:val="auto"/>
                <w:sz w:val="21"/>
                <w:szCs w:val="21"/>
                <w:highlight w:val="none"/>
              </w:rPr>
              <w:t>□</w:t>
            </w:r>
            <w:r>
              <w:rPr>
                <w:color w:val="auto"/>
                <w:sz w:val="21"/>
                <w:szCs w:val="21"/>
                <w:highlight w:val="none"/>
              </w:rPr>
              <w:t>；秋季</w:t>
            </w:r>
            <w:r>
              <w:rPr>
                <w:rFonts w:hint="eastAsia"/>
                <w:color w:val="auto"/>
                <w:sz w:val="21"/>
                <w:szCs w:val="21"/>
                <w:highlight w:val="none"/>
              </w:rPr>
              <w:t>□</w:t>
            </w:r>
            <w:r>
              <w:rPr>
                <w:color w:val="auto"/>
                <w:sz w:val="21"/>
                <w:szCs w:val="21"/>
                <w:highlight w:val="none"/>
              </w:rPr>
              <w:t>；冬季</w:t>
            </w:r>
            <w:r>
              <w:rPr>
                <w:rFonts w:hint="eastAsia"/>
                <w:color w:val="auto"/>
                <w:sz w:val="21"/>
                <w:szCs w:val="21"/>
                <w:highlight w:val="none"/>
              </w:rPr>
              <w:t>□</w:t>
            </w:r>
          </w:p>
          <w:p w14:paraId="0576C39B">
            <w:pPr>
              <w:spacing w:line="240" w:lineRule="auto"/>
              <w:ind w:firstLine="0" w:firstLineChars="0"/>
              <w:jc w:val="left"/>
              <w:rPr>
                <w:color w:val="auto"/>
                <w:sz w:val="21"/>
                <w:szCs w:val="21"/>
                <w:highlight w:val="none"/>
              </w:rPr>
            </w:pPr>
            <w:r>
              <w:rPr>
                <w:color w:val="auto"/>
                <w:sz w:val="21"/>
                <w:szCs w:val="21"/>
                <w:highlight w:val="none"/>
              </w:rPr>
              <w:t>设计水文条件</w:t>
            </w:r>
            <w:r>
              <w:rPr>
                <w:rFonts w:hint="eastAsia"/>
                <w:color w:val="auto"/>
                <w:sz w:val="21"/>
                <w:szCs w:val="21"/>
                <w:highlight w:val="none"/>
              </w:rPr>
              <w:t>□</w:t>
            </w:r>
          </w:p>
        </w:tc>
      </w:tr>
      <w:tr w14:paraId="24057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0" w:type="auto"/>
            <w:vMerge w:val="continue"/>
            <w:noWrap w:val="0"/>
            <w:vAlign w:val="center"/>
          </w:tcPr>
          <w:p w14:paraId="0890D5E4">
            <w:pPr>
              <w:spacing w:line="240" w:lineRule="auto"/>
              <w:ind w:firstLine="0" w:firstLineChars="0"/>
              <w:jc w:val="center"/>
              <w:rPr>
                <w:color w:val="auto"/>
                <w:sz w:val="21"/>
                <w:szCs w:val="21"/>
                <w:highlight w:val="none"/>
              </w:rPr>
            </w:pPr>
          </w:p>
        </w:tc>
        <w:tc>
          <w:tcPr>
            <w:tcW w:w="0" w:type="auto"/>
            <w:noWrap w:val="0"/>
            <w:vAlign w:val="center"/>
          </w:tcPr>
          <w:p w14:paraId="10EA178B">
            <w:pPr>
              <w:spacing w:line="240" w:lineRule="auto"/>
              <w:ind w:firstLine="0" w:firstLineChars="0"/>
              <w:jc w:val="center"/>
              <w:rPr>
                <w:color w:val="auto"/>
                <w:sz w:val="21"/>
                <w:szCs w:val="21"/>
                <w:highlight w:val="none"/>
              </w:rPr>
            </w:pPr>
            <w:r>
              <w:rPr>
                <w:color w:val="auto"/>
                <w:sz w:val="21"/>
                <w:szCs w:val="21"/>
                <w:highlight w:val="none"/>
              </w:rPr>
              <w:t>预测情景</w:t>
            </w:r>
          </w:p>
        </w:tc>
        <w:tc>
          <w:tcPr>
            <w:tcW w:w="0" w:type="auto"/>
            <w:gridSpan w:val="8"/>
            <w:noWrap w:val="0"/>
            <w:vAlign w:val="center"/>
          </w:tcPr>
          <w:p w14:paraId="59936689">
            <w:pPr>
              <w:spacing w:line="240" w:lineRule="auto"/>
              <w:ind w:firstLine="0" w:firstLineChars="0"/>
              <w:jc w:val="left"/>
              <w:rPr>
                <w:color w:val="auto"/>
                <w:sz w:val="21"/>
                <w:szCs w:val="21"/>
                <w:highlight w:val="none"/>
              </w:rPr>
            </w:pPr>
            <w:r>
              <w:rPr>
                <w:color w:val="auto"/>
                <w:sz w:val="21"/>
                <w:szCs w:val="21"/>
                <w:highlight w:val="none"/>
              </w:rPr>
              <w:t>建设期</w:t>
            </w:r>
            <w:r>
              <w:rPr>
                <w:rFonts w:hint="eastAsia"/>
                <w:color w:val="auto"/>
                <w:sz w:val="21"/>
                <w:szCs w:val="21"/>
                <w:highlight w:val="none"/>
              </w:rPr>
              <w:t>□</w:t>
            </w:r>
            <w:r>
              <w:rPr>
                <w:color w:val="auto"/>
                <w:sz w:val="21"/>
                <w:szCs w:val="21"/>
                <w:highlight w:val="none"/>
              </w:rPr>
              <w:t>；生产运行期</w:t>
            </w:r>
            <w:r>
              <w:rPr>
                <w:rFonts w:hint="eastAsia"/>
                <w:color w:val="auto"/>
                <w:sz w:val="21"/>
                <w:szCs w:val="21"/>
                <w:highlight w:val="none"/>
              </w:rPr>
              <w:t>□</w:t>
            </w:r>
            <w:r>
              <w:rPr>
                <w:color w:val="auto"/>
                <w:sz w:val="21"/>
                <w:szCs w:val="21"/>
                <w:highlight w:val="none"/>
              </w:rPr>
              <w:t>；服务期满后</w:t>
            </w:r>
            <w:r>
              <w:rPr>
                <w:rFonts w:hint="eastAsia"/>
                <w:color w:val="auto"/>
                <w:sz w:val="21"/>
                <w:szCs w:val="21"/>
                <w:highlight w:val="none"/>
              </w:rPr>
              <w:t>□</w:t>
            </w:r>
          </w:p>
          <w:p w14:paraId="5837D4DB">
            <w:pPr>
              <w:spacing w:line="240" w:lineRule="auto"/>
              <w:ind w:firstLine="0" w:firstLineChars="0"/>
              <w:jc w:val="left"/>
              <w:rPr>
                <w:color w:val="auto"/>
                <w:sz w:val="21"/>
                <w:szCs w:val="21"/>
                <w:highlight w:val="none"/>
              </w:rPr>
            </w:pPr>
            <w:r>
              <w:rPr>
                <w:color w:val="auto"/>
                <w:sz w:val="21"/>
                <w:szCs w:val="21"/>
                <w:highlight w:val="none"/>
              </w:rPr>
              <w:t>正常工况</w:t>
            </w:r>
            <w:r>
              <w:rPr>
                <w:rFonts w:hint="eastAsia"/>
                <w:color w:val="auto"/>
                <w:sz w:val="21"/>
                <w:szCs w:val="21"/>
                <w:highlight w:val="none"/>
              </w:rPr>
              <w:t>□</w:t>
            </w:r>
            <w:r>
              <w:rPr>
                <w:color w:val="auto"/>
                <w:sz w:val="21"/>
                <w:szCs w:val="21"/>
                <w:highlight w:val="none"/>
              </w:rPr>
              <w:t>；非正常工况</w:t>
            </w:r>
            <w:r>
              <w:rPr>
                <w:rFonts w:hint="eastAsia"/>
                <w:color w:val="auto"/>
                <w:sz w:val="21"/>
                <w:szCs w:val="21"/>
                <w:highlight w:val="none"/>
              </w:rPr>
              <w:t>□</w:t>
            </w:r>
          </w:p>
          <w:p w14:paraId="799FED87">
            <w:pPr>
              <w:spacing w:line="240" w:lineRule="auto"/>
              <w:ind w:firstLine="0" w:firstLineChars="0"/>
              <w:jc w:val="left"/>
              <w:rPr>
                <w:color w:val="auto"/>
                <w:sz w:val="21"/>
                <w:szCs w:val="21"/>
                <w:highlight w:val="none"/>
              </w:rPr>
            </w:pPr>
            <w:r>
              <w:rPr>
                <w:color w:val="auto"/>
                <w:sz w:val="21"/>
                <w:szCs w:val="21"/>
                <w:highlight w:val="none"/>
              </w:rPr>
              <w:t>污染控制和减缓措施方案</w:t>
            </w:r>
            <w:r>
              <w:rPr>
                <w:rFonts w:hint="eastAsia"/>
                <w:color w:val="auto"/>
                <w:sz w:val="21"/>
                <w:szCs w:val="21"/>
                <w:highlight w:val="none"/>
              </w:rPr>
              <w:t>□</w:t>
            </w:r>
          </w:p>
          <w:p w14:paraId="7C339A88">
            <w:pPr>
              <w:spacing w:line="240" w:lineRule="auto"/>
              <w:ind w:firstLine="0" w:firstLineChars="0"/>
              <w:jc w:val="left"/>
              <w:rPr>
                <w:color w:val="auto"/>
                <w:sz w:val="21"/>
                <w:szCs w:val="21"/>
                <w:highlight w:val="none"/>
              </w:rPr>
            </w:pPr>
            <w:r>
              <w:rPr>
                <w:color w:val="auto"/>
                <w:sz w:val="21"/>
                <w:szCs w:val="21"/>
                <w:highlight w:val="none"/>
              </w:rPr>
              <w:t>区（流）域环境质量改善目标要求情景</w:t>
            </w:r>
            <w:r>
              <w:rPr>
                <w:rFonts w:hint="eastAsia"/>
                <w:color w:val="auto"/>
                <w:sz w:val="21"/>
                <w:szCs w:val="21"/>
                <w:highlight w:val="none"/>
              </w:rPr>
              <w:t>□</w:t>
            </w:r>
          </w:p>
        </w:tc>
      </w:tr>
      <w:tr w14:paraId="38288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0" w:type="auto"/>
            <w:vMerge w:val="continue"/>
            <w:noWrap w:val="0"/>
            <w:vAlign w:val="center"/>
          </w:tcPr>
          <w:p w14:paraId="6106D5EA">
            <w:pPr>
              <w:spacing w:line="240" w:lineRule="auto"/>
              <w:ind w:firstLine="0" w:firstLineChars="0"/>
              <w:jc w:val="center"/>
              <w:rPr>
                <w:color w:val="auto"/>
                <w:sz w:val="21"/>
                <w:szCs w:val="21"/>
                <w:highlight w:val="none"/>
              </w:rPr>
            </w:pPr>
          </w:p>
        </w:tc>
        <w:tc>
          <w:tcPr>
            <w:tcW w:w="0" w:type="auto"/>
            <w:noWrap w:val="0"/>
            <w:vAlign w:val="center"/>
          </w:tcPr>
          <w:p w14:paraId="20D4EC8E">
            <w:pPr>
              <w:spacing w:line="240" w:lineRule="auto"/>
              <w:ind w:firstLine="0" w:firstLineChars="0"/>
              <w:jc w:val="center"/>
              <w:rPr>
                <w:color w:val="auto"/>
                <w:sz w:val="21"/>
                <w:szCs w:val="21"/>
                <w:highlight w:val="none"/>
              </w:rPr>
            </w:pPr>
            <w:r>
              <w:rPr>
                <w:color w:val="auto"/>
                <w:sz w:val="21"/>
                <w:szCs w:val="21"/>
                <w:highlight w:val="none"/>
              </w:rPr>
              <w:t>预测方法</w:t>
            </w:r>
          </w:p>
        </w:tc>
        <w:tc>
          <w:tcPr>
            <w:tcW w:w="0" w:type="auto"/>
            <w:gridSpan w:val="8"/>
            <w:noWrap w:val="0"/>
            <w:vAlign w:val="center"/>
          </w:tcPr>
          <w:p w14:paraId="6E079FC7">
            <w:pPr>
              <w:spacing w:line="240" w:lineRule="auto"/>
              <w:ind w:firstLine="0" w:firstLineChars="0"/>
              <w:jc w:val="left"/>
              <w:rPr>
                <w:color w:val="auto"/>
                <w:sz w:val="21"/>
                <w:szCs w:val="21"/>
                <w:highlight w:val="none"/>
              </w:rPr>
            </w:pPr>
            <w:r>
              <w:rPr>
                <w:color w:val="auto"/>
                <w:sz w:val="21"/>
                <w:szCs w:val="21"/>
                <w:highlight w:val="none"/>
              </w:rPr>
              <w:t>数值解</w:t>
            </w:r>
            <w:r>
              <w:rPr>
                <w:rFonts w:hint="eastAsia"/>
                <w:color w:val="auto"/>
                <w:sz w:val="21"/>
                <w:szCs w:val="21"/>
                <w:highlight w:val="none"/>
              </w:rPr>
              <w:t>□</w:t>
            </w:r>
            <w:r>
              <w:rPr>
                <w:color w:val="auto"/>
                <w:sz w:val="21"/>
                <w:szCs w:val="21"/>
                <w:highlight w:val="none"/>
              </w:rPr>
              <w:t>；解析解</w:t>
            </w:r>
            <w:r>
              <w:rPr>
                <w:rFonts w:hint="eastAsia"/>
                <w:color w:val="auto"/>
                <w:sz w:val="21"/>
                <w:szCs w:val="21"/>
                <w:highlight w:val="none"/>
              </w:rPr>
              <w:t>□</w:t>
            </w:r>
            <w:r>
              <w:rPr>
                <w:color w:val="auto"/>
                <w:sz w:val="21"/>
                <w:szCs w:val="21"/>
                <w:highlight w:val="none"/>
              </w:rPr>
              <w:t>；其他</w:t>
            </w:r>
            <w:r>
              <w:rPr>
                <w:rFonts w:hint="eastAsia"/>
                <w:color w:val="auto"/>
                <w:sz w:val="21"/>
                <w:szCs w:val="21"/>
                <w:highlight w:val="none"/>
              </w:rPr>
              <w:t>□</w:t>
            </w:r>
          </w:p>
          <w:p w14:paraId="4B6C1AD9">
            <w:pPr>
              <w:spacing w:line="240" w:lineRule="auto"/>
              <w:ind w:firstLine="0" w:firstLineChars="0"/>
              <w:jc w:val="left"/>
              <w:rPr>
                <w:color w:val="auto"/>
                <w:sz w:val="21"/>
                <w:szCs w:val="21"/>
                <w:highlight w:val="none"/>
              </w:rPr>
            </w:pPr>
            <w:r>
              <w:rPr>
                <w:color w:val="auto"/>
                <w:sz w:val="21"/>
                <w:szCs w:val="21"/>
                <w:highlight w:val="none"/>
              </w:rPr>
              <w:t>导则推荐模式</w:t>
            </w:r>
            <w:r>
              <w:rPr>
                <w:rFonts w:hint="eastAsia"/>
                <w:color w:val="auto"/>
                <w:sz w:val="21"/>
                <w:szCs w:val="21"/>
                <w:highlight w:val="none"/>
              </w:rPr>
              <w:t>□</w:t>
            </w:r>
            <w:r>
              <w:rPr>
                <w:color w:val="auto"/>
                <w:sz w:val="21"/>
                <w:szCs w:val="21"/>
                <w:highlight w:val="none"/>
              </w:rPr>
              <w:t>；其他</w:t>
            </w:r>
            <w:r>
              <w:rPr>
                <w:rFonts w:hint="eastAsia"/>
                <w:color w:val="auto"/>
                <w:sz w:val="21"/>
                <w:szCs w:val="21"/>
                <w:highlight w:val="none"/>
              </w:rPr>
              <w:t>□</w:t>
            </w:r>
          </w:p>
        </w:tc>
      </w:tr>
      <w:tr w14:paraId="5DB4A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trPr>
        <w:tc>
          <w:tcPr>
            <w:tcW w:w="0" w:type="auto"/>
            <w:vMerge w:val="restart"/>
            <w:noWrap w:val="0"/>
            <w:vAlign w:val="center"/>
          </w:tcPr>
          <w:p w14:paraId="63F371A3">
            <w:pPr>
              <w:spacing w:line="240" w:lineRule="auto"/>
              <w:ind w:firstLine="0" w:firstLineChars="0"/>
              <w:jc w:val="center"/>
              <w:rPr>
                <w:color w:val="auto"/>
                <w:sz w:val="21"/>
                <w:szCs w:val="21"/>
                <w:highlight w:val="none"/>
              </w:rPr>
            </w:pPr>
            <w:r>
              <w:rPr>
                <w:color w:val="auto"/>
                <w:sz w:val="21"/>
                <w:szCs w:val="21"/>
                <w:highlight w:val="none"/>
              </w:rPr>
              <w:t>影响评价</w:t>
            </w:r>
          </w:p>
        </w:tc>
        <w:tc>
          <w:tcPr>
            <w:tcW w:w="0" w:type="auto"/>
            <w:noWrap w:val="0"/>
            <w:vAlign w:val="center"/>
          </w:tcPr>
          <w:p w14:paraId="7D90EB8D">
            <w:pPr>
              <w:spacing w:line="240" w:lineRule="auto"/>
              <w:ind w:firstLine="0" w:firstLineChars="0"/>
              <w:jc w:val="center"/>
              <w:rPr>
                <w:color w:val="auto"/>
                <w:sz w:val="21"/>
                <w:szCs w:val="21"/>
                <w:highlight w:val="none"/>
              </w:rPr>
            </w:pPr>
            <w:r>
              <w:rPr>
                <w:color w:val="auto"/>
                <w:sz w:val="21"/>
                <w:szCs w:val="21"/>
                <w:highlight w:val="none"/>
              </w:rPr>
              <w:t>水污染控制和水环境影响减缓措施有效性评价</w:t>
            </w:r>
          </w:p>
        </w:tc>
        <w:tc>
          <w:tcPr>
            <w:tcW w:w="0" w:type="auto"/>
            <w:gridSpan w:val="8"/>
            <w:noWrap w:val="0"/>
            <w:vAlign w:val="center"/>
          </w:tcPr>
          <w:p w14:paraId="2BE66F97">
            <w:pPr>
              <w:spacing w:line="240" w:lineRule="auto"/>
              <w:ind w:firstLine="0" w:firstLineChars="0"/>
              <w:jc w:val="left"/>
              <w:rPr>
                <w:color w:val="auto"/>
                <w:sz w:val="21"/>
                <w:szCs w:val="21"/>
                <w:highlight w:val="none"/>
              </w:rPr>
            </w:pPr>
            <w:r>
              <w:rPr>
                <w:color w:val="auto"/>
                <w:sz w:val="21"/>
                <w:szCs w:val="21"/>
                <w:highlight w:val="none"/>
              </w:rPr>
              <w:t>流域（区域）水环境质量改善目标</w:t>
            </w:r>
            <w:r>
              <w:rPr>
                <w:rFonts w:hint="eastAsia"/>
                <w:color w:val="auto"/>
                <w:sz w:val="21"/>
                <w:szCs w:val="21"/>
                <w:highlight w:val="none"/>
              </w:rPr>
              <w:t>□</w:t>
            </w:r>
            <w:r>
              <w:rPr>
                <w:color w:val="auto"/>
                <w:sz w:val="21"/>
                <w:szCs w:val="21"/>
                <w:highlight w:val="none"/>
              </w:rPr>
              <w:t>；替代</w:t>
            </w:r>
            <w:r>
              <w:rPr>
                <w:rFonts w:hint="eastAsia"/>
                <w:color w:val="auto"/>
                <w:sz w:val="21"/>
                <w:szCs w:val="21"/>
                <w:highlight w:val="none"/>
              </w:rPr>
              <w:t>削减</w:t>
            </w:r>
            <w:r>
              <w:rPr>
                <w:color w:val="auto"/>
                <w:sz w:val="21"/>
                <w:szCs w:val="21"/>
                <w:highlight w:val="none"/>
              </w:rPr>
              <w:t>源</w:t>
            </w:r>
            <w:r>
              <w:rPr>
                <w:rFonts w:hint="eastAsia"/>
                <w:color w:val="auto"/>
                <w:sz w:val="21"/>
                <w:szCs w:val="21"/>
                <w:highlight w:val="none"/>
              </w:rPr>
              <w:t>□</w:t>
            </w:r>
          </w:p>
        </w:tc>
      </w:tr>
      <w:tr w14:paraId="582D4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 w:hRule="atLeast"/>
        </w:trPr>
        <w:tc>
          <w:tcPr>
            <w:tcW w:w="0" w:type="auto"/>
            <w:vMerge w:val="continue"/>
            <w:noWrap w:val="0"/>
            <w:vAlign w:val="center"/>
          </w:tcPr>
          <w:p w14:paraId="3523BFFD">
            <w:pPr>
              <w:spacing w:line="240" w:lineRule="auto"/>
              <w:ind w:firstLine="0" w:firstLineChars="0"/>
              <w:jc w:val="center"/>
              <w:rPr>
                <w:color w:val="auto"/>
                <w:sz w:val="21"/>
                <w:szCs w:val="21"/>
                <w:highlight w:val="none"/>
              </w:rPr>
            </w:pPr>
          </w:p>
        </w:tc>
        <w:tc>
          <w:tcPr>
            <w:tcW w:w="0" w:type="auto"/>
            <w:noWrap w:val="0"/>
            <w:vAlign w:val="center"/>
          </w:tcPr>
          <w:p w14:paraId="2098B977">
            <w:pPr>
              <w:spacing w:line="240" w:lineRule="auto"/>
              <w:ind w:firstLine="0" w:firstLineChars="0"/>
              <w:jc w:val="center"/>
              <w:rPr>
                <w:color w:val="auto"/>
                <w:sz w:val="21"/>
                <w:szCs w:val="21"/>
                <w:highlight w:val="none"/>
              </w:rPr>
            </w:pPr>
            <w:r>
              <w:rPr>
                <w:color w:val="auto"/>
                <w:sz w:val="21"/>
                <w:szCs w:val="21"/>
                <w:highlight w:val="none"/>
              </w:rPr>
              <w:t>水环境影响评价</w:t>
            </w:r>
          </w:p>
        </w:tc>
        <w:tc>
          <w:tcPr>
            <w:tcW w:w="0" w:type="auto"/>
            <w:gridSpan w:val="8"/>
            <w:noWrap w:val="0"/>
            <w:vAlign w:val="center"/>
          </w:tcPr>
          <w:p w14:paraId="74065F3A">
            <w:pPr>
              <w:spacing w:line="240" w:lineRule="auto"/>
              <w:ind w:firstLine="0" w:firstLineChars="0"/>
              <w:jc w:val="left"/>
              <w:rPr>
                <w:color w:val="auto"/>
                <w:sz w:val="21"/>
                <w:szCs w:val="21"/>
                <w:highlight w:val="none"/>
              </w:rPr>
            </w:pPr>
            <w:r>
              <w:rPr>
                <w:color w:val="auto"/>
                <w:sz w:val="21"/>
                <w:szCs w:val="21"/>
                <w:highlight w:val="none"/>
              </w:rPr>
              <w:t>排放口混合区外满足水环境管理要求</w:t>
            </w:r>
            <w:r>
              <w:rPr>
                <w:rFonts w:hint="eastAsia"/>
                <w:color w:val="auto"/>
                <w:sz w:val="21"/>
                <w:szCs w:val="21"/>
                <w:highlight w:val="none"/>
              </w:rPr>
              <w:t>□</w:t>
            </w:r>
          </w:p>
          <w:p w14:paraId="1E03A1E0">
            <w:pPr>
              <w:spacing w:line="240" w:lineRule="auto"/>
              <w:ind w:firstLine="0" w:firstLineChars="0"/>
              <w:jc w:val="left"/>
              <w:rPr>
                <w:color w:val="auto"/>
                <w:sz w:val="21"/>
                <w:szCs w:val="21"/>
                <w:highlight w:val="none"/>
              </w:rPr>
            </w:pPr>
            <w:r>
              <w:rPr>
                <w:color w:val="auto"/>
                <w:sz w:val="21"/>
                <w:szCs w:val="21"/>
                <w:highlight w:val="none"/>
              </w:rPr>
              <w:t>水环境功能区或水功能区、近岸海域环境功能区水质达标</w:t>
            </w:r>
            <w:r>
              <w:rPr>
                <w:rFonts w:hint="eastAsia" w:ascii="MS Mincho" w:hAnsi="MS Mincho" w:eastAsia="MS Mincho" w:cs="MS Mincho"/>
                <w:color w:val="auto"/>
                <w:sz w:val="21"/>
                <w:szCs w:val="21"/>
                <w:highlight w:val="none"/>
              </w:rPr>
              <w:t>☑</w:t>
            </w:r>
          </w:p>
          <w:p w14:paraId="469B60A6">
            <w:pPr>
              <w:spacing w:line="240" w:lineRule="auto"/>
              <w:ind w:firstLine="0" w:firstLineChars="0"/>
              <w:jc w:val="left"/>
              <w:rPr>
                <w:color w:val="auto"/>
                <w:sz w:val="21"/>
                <w:szCs w:val="21"/>
                <w:highlight w:val="none"/>
              </w:rPr>
            </w:pPr>
            <w:r>
              <w:rPr>
                <w:color w:val="auto"/>
                <w:sz w:val="21"/>
                <w:szCs w:val="21"/>
                <w:highlight w:val="none"/>
              </w:rPr>
              <w:t>满足水环境保护目标水域水环境质量要求</w:t>
            </w:r>
            <w:r>
              <w:rPr>
                <w:rFonts w:hint="eastAsia" w:ascii="MS Mincho" w:hAnsi="MS Mincho" w:eastAsia="MS Mincho" w:cs="MS Mincho"/>
                <w:color w:val="auto"/>
                <w:sz w:val="21"/>
                <w:szCs w:val="21"/>
                <w:highlight w:val="none"/>
              </w:rPr>
              <w:t>☑</w:t>
            </w:r>
          </w:p>
          <w:p w14:paraId="5BBA44B8">
            <w:pPr>
              <w:spacing w:line="240" w:lineRule="auto"/>
              <w:ind w:firstLine="0" w:firstLineChars="0"/>
              <w:jc w:val="left"/>
              <w:rPr>
                <w:color w:val="auto"/>
                <w:sz w:val="21"/>
                <w:szCs w:val="21"/>
                <w:highlight w:val="none"/>
              </w:rPr>
            </w:pPr>
            <w:r>
              <w:rPr>
                <w:color w:val="auto"/>
                <w:sz w:val="21"/>
                <w:szCs w:val="21"/>
                <w:highlight w:val="none"/>
              </w:rPr>
              <w:t>水环境控制单元与断面水质达标</w:t>
            </w:r>
            <w:r>
              <w:rPr>
                <w:rFonts w:hint="eastAsia"/>
                <w:color w:val="auto"/>
                <w:sz w:val="21"/>
                <w:szCs w:val="21"/>
                <w:highlight w:val="none"/>
              </w:rPr>
              <w:t>□</w:t>
            </w:r>
          </w:p>
          <w:p w14:paraId="3D7D9F3D">
            <w:pPr>
              <w:spacing w:line="240" w:lineRule="auto"/>
              <w:ind w:firstLine="0" w:firstLineChars="0"/>
              <w:jc w:val="left"/>
              <w:rPr>
                <w:color w:val="auto"/>
                <w:sz w:val="21"/>
                <w:szCs w:val="21"/>
                <w:highlight w:val="none"/>
              </w:rPr>
            </w:pPr>
            <w:r>
              <w:rPr>
                <w:color w:val="auto"/>
                <w:sz w:val="21"/>
                <w:szCs w:val="21"/>
                <w:highlight w:val="none"/>
              </w:rPr>
              <w:t>满足重点水污染物排放总量控制指标要求，重点行业建设项目；主要污染物排放满足等量或减量替代要求</w:t>
            </w:r>
            <w:r>
              <w:rPr>
                <w:rFonts w:hint="eastAsia"/>
                <w:color w:val="auto"/>
                <w:sz w:val="21"/>
                <w:szCs w:val="21"/>
                <w:highlight w:val="none"/>
              </w:rPr>
              <w:t>□</w:t>
            </w:r>
          </w:p>
          <w:p w14:paraId="62F38801">
            <w:pPr>
              <w:spacing w:line="240" w:lineRule="auto"/>
              <w:ind w:firstLine="0" w:firstLineChars="0"/>
              <w:jc w:val="left"/>
              <w:rPr>
                <w:color w:val="auto"/>
                <w:sz w:val="21"/>
                <w:szCs w:val="21"/>
                <w:highlight w:val="none"/>
              </w:rPr>
            </w:pPr>
            <w:r>
              <w:rPr>
                <w:color w:val="auto"/>
                <w:sz w:val="21"/>
                <w:szCs w:val="21"/>
                <w:highlight w:val="none"/>
              </w:rPr>
              <w:t>满足区（流）域水环境质量改善目标要求</w:t>
            </w:r>
            <w:r>
              <w:rPr>
                <w:rFonts w:hint="eastAsia"/>
                <w:color w:val="auto"/>
                <w:sz w:val="21"/>
                <w:szCs w:val="21"/>
                <w:highlight w:val="none"/>
              </w:rPr>
              <w:t>□</w:t>
            </w:r>
          </w:p>
          <w:p w14:paraId="58BDD14E">
            <w:pPr>
              <w:spacing w:line="240" w:lineRule="auto"/>
              <w:ind w:firstLine="0" w:firstLineChars="0"/>
              <w:jc w:val="left"/>
              <w:rPr>
                <w:color w:val="auto"/>
                <w:sz w:val="21"/>
                <w:szCs w:val="21"/>
                <w:highlight w:val="none"/>
              </w:rPr>
            </w:pPr>
            <w:r>
              <w:rPr>
                <w:color w:val="auto"/>
                <w:sz w:val="21"/>
                <w:szCs w:val="21"/>
                <w:highlight w:val="none"/>
              </w:rPr>
              <w:t>水文要素影响型建设项目同时应包括水文情势变化评价、主要水文特征值影响评价、生态流量符合性评价</w:t>
            </w:r>
            <w:r>
              <w:rPr>
                <w:rFonts w:hint="eastAsia"/>
                <w:color w:val="auto"/>
                <w:sz w:val="21"/>
                <w:szCs w:val="21"/>
                <w:highlight w:val="none"/>
              </w:rPr>
              <w:t>□</w:t>
            </w:r>
          </w:p>
          <w:p w14:paraId="6D97DD37">
            <w:pPr>
              <w:spacing w:line="240" w:lineRule="auto"/>
              <w:ind w:firstLine="0" w:firstLineChars="0"/>
              <w:jc w:val="left"/>
              <w:rPr>
                <w:color w:val="auto"/>
                <w:sz w:val="21"/>
                <w:szCs w:val="21"/>
                <w:highlight w:val="none"/>
              </w:rPr>
            </w:pPr>
            <w:r>
              <w:rPr>
                <w:color w:val="auto"/>
                <w:sz w:val="21"/>
                <w:szCs w:val="21"/>
                <w:highlight w:val="none"/>
              </w:rPr>
              <w:t>对于新设或调整入河（湖库、近岸海域）排放口的建设项目，应包括排放口设置的环境</w:t>
            </w:r>
            <w:r>
              <w:rPr>
                <w:rFonts w:hint="eastAsia"/>
                <w:color w:val="auto"/>
                <w:sz w:val="21"/>
                <w:szCs w:val="21"/>
                <w:highlight w:val="none"/>
              </w:rPr>
              <w:t>合理性</w:t>
            </w:r>
            <w:r>
              <w:rPr>
                <w:color w:val="auto"/>
                <w:sz w:val="21"/>
                <w:szCs w:val="21"/>
                <w:highlight w:val="none"/>
              </w:rPr>
              <w:t>评价</w:t>
            </w:r>
            <w:r>
              <w:rPr>
                <w:rFonts w:hint="eastAsia"/>
                <w:color w:val="auto"/>
                <w:sz w:val="21"/>
                <w:szCs w:val="21"/>
                <w:highlight w:val="none"/>
              </w:rPr>
              <w:t>□</w:t>
            </w:r>
          </w:p>
          <w:p w14:paraId="6C28FCE4">
            <w:pPr>
              <w:spacing w:line="240" w:lineRule="auto"/>
              <w:ind w:firstLine="0" w:firstLineChars="0"/>
              <w:jc w:val="left"/>
              <w:rPr>
                <w:color w:val="auto"/>
                <w:sz w:val="21"/>
                <w:szCs w:val="21"/>
                <w:highlight w:val="none"/>
              </w:rPr>
            </w:pPr>
            <w:r>
              <w:rPr>
                <w:color w:val="auto"/>
                <w:sz w:val="21"/>
                <w:szCs w:val="21"/>
                <w:highlight w:val="none"/>
              </w:rPr>
              <w:t>满足生态保护红线、水环境质量底线、资源利用上线和环境准入清单管理要求</w:t>
            </w:r>
            <w:r>
              <w:rPr>
                <w:rFonts w:hint="eastAsia"/>
                <w:color w:val="auto"/>
                <w:sz w:val="21"/>
                <w:szCs w:val="21"/>
                <w:highlight w:val="none"/>
              </w:rPr>
              <w:t>□</w:t>
            </w:r>
          </w:p>
        </w:tc>
      </w:tr>
      <w:tr w14:paraId="1D7AE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0" w:type="auto"/>
            <w:vMerge w:val="continue"/>
            <w:noWrap w:val="0"/>
            <w:vAlign w:val="center"/>
          </w:tcPr>
          <w:p w14:paraId="31D7890A">
            <w:pPr>
              <w:spacing w:line="240" w:lineRule="auto"/>
              <w:ind w:firstLine="0" w:firstLineChars="0"/>
              <w:jc w:val="center"/>
              <w:rPr>
                <w:color w:val="auto"/>
                <w:sz w:val="21"/>
                <w:szCs w:val="21"/>
                <w:highlight w:val="none"/>
              </w:rPr>
            </w:pPr>
          </w:p>
        </w:tc>
        <w:tc>
          <w:tcPr>
            <w:tcW w:w="0" w:type="auto"/>
            <w:vMerge w:val="restart"/>
            <w:noWrap w:val="0"/>
            <w:vAlign w:val="center"/>
          </w:tcPr>
          <w:p w14:paraId="78D5B3C0">
            <w:pPr>
              <w:spacing w:line="240" w:lineRule="auto"/>
              <w:ind w:firstLine="0" w:firstLineChars="0"/>
              <w:jc w:val="center"/>
              <w:rPr>
                <w:color w:val="auto"/>
                <w:sz w:val="21"/>
                <w:szCs w:val="21"/>
                <w:highlight w:val="none"/>
              </w:rPr>
            </w:pPr>
            <w:r>
              <w:rPr>
                <w:color w:val="auto"/>
                <w:sz w:val="21"/>
                <w:szCs w:val="21"/>
                <w:highlight w:val="none"/>
              </w:rPr>
              <w:t>污染源排放量核算</w:t>
            </w:r>
          </w:p>
        </w:tc>
        <w:tc>
          <w:tcPr>
            <w:tcW w:w="0" w:type="auto"/>
            <w:gridSpan w:val="2"/>
            <w:noWrap w:val="0"/>
            <w:vAlign w:val="center"/>
          </w:tcPr>
          <w:p w14:paraId="2E7B801C">
            <w:pPr>
              <w:spacing w:line="240" w:lineRule="auto"/>
              <w:ind w:firstLine="0" w:firstLineChars="0"/>
              <w:jc w:val="left"/>
              <w:rPr>
                <w:color w:val="auto"/>
                <w:sz w:val="21"/>
                <w:szCs w:val="21"/>
                <w:highlight w:val="none"/>
              </w:rPr>
            </w:pPr>
            <w:r>
              <w:rPr>
                <w:color w:val="auto"/>
                <w:sz w:val="21"/>
                <w:szCs w:val="21"/>
                <w:highlight w:val="none"/>
              </w:rPr>
              <w:t>污染物名称</w:t>
            </w:r>
          </w:p>
        </w:tc>
        <w:tc>
          <w:tcPr>
            <w:tcW w:w="0" w:type="auto"/>
            <w:gridSpan w:val="4"/>
            <w:noWrap w:val="0"/>
            <w:vAlign w:val="center"/>
          </w:tcPr>
          <w:p w14:paraId="2068EAD2">
            <w:pPr>
              <w:spacing w:line="240" w:lineRule="auto"/>
              <w:ind w:firstLine="0" w:firstLineChars="0"/>
              <w:jc w:val="left"/>
              <w:rPr>
                <w:color w:val="auto"/>
                <w:sz w:val="21"/>
                <w:szCs w:val="21"/>
                <w:highlight w:val="none"/>
              </w:rPr>
            </w:pPr>
            <w:r>
              <w:rPr>
                <w:color w:val="auto"/>
                <w:sz w:val="21"/>
                <w:szCs w:val="21"/>
                <w:highlight w:val="none"/>
              </w:rPr>
              <w:t>排放量/（t/a）</w:t>
            </w:r>
          </w:p>
        </w:tc>
        <w:tc>
          <w:tcPr>
            <w:tcW w:w="0" w:type="auto"/>
            <w:gridSpan w:val="2"/>
            <w:noWrap w:val="0"/>
            <w:vAlign w:val="center"/>
          </w:tcPr>
          <w:p w14:paraId="4E8C690C">
            <w:pPr>
              <w:spacing w:line="240" w:lineRule="auto"/>
              <w:ind w:firstLine="0" w:firstLineChars="0"/>
              <w:jc w:val="left"/>
              <w:rPr>
                <w:color w:val="auto"/>
                <w:sz w:val="21"/>
                <w:szCs w:val="21"/>
                <w:highlight w:val="none"/>
              </w:rPr>
            </w:pPr>
            <w:r>
              <w:rPr>
                <w:color w:val="auto"/>
                <w:sz w:val="21"/>
                <w:szCs w:val="21"/>
                <w:highlight w:val="none"/>
              </w:rPr>
              <w:t>排放浓度/（mg/L）</w:t>
            </w:r>
          </w:p>
        </w:tc>
      </w:tr>
      <w:tr w14:paraId="6DAEE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0" w:type="auto"/>
            <w:vMerge w:val="continue"/>
            <w:noWrap w:val="0"/>
            <w:vAlign w:val="center"/>
          </w:tcPr>
          <w:p w14:paraId="5B9DEF73">
            <w:pPr>
              <w:spacing w:line="240" w:lineRule="auto"/>
              <w:ind w:firstLine="0" w:firstLineChars="0"/>
              <w:jc w:val="center"/>
              <w:rPr>
                <w:color w:val="auto"/>
                <w:sz w:val="21"/>
                <w:szCs w:val="21"/>
                <w:highlight w:val="none"/>
              </w:rPr>
            </w:pPr>
          </w:p>
        </w:tc>
        <w:tc>
          <w:tcPr>
            <w:tcW w:w="0" w:type="auto"/>
            <w:vMerge w:val="continue"/>
            <w:noWrap w:val="0"/>
            <w:vAlign w:val="center"/>
          </w:tcPr>
          <w:p w14:paraId="732D934E">
            <w:pPr>
              <w:spacing w:line="240" w:lineRule="auto"/>
              <w:ind w:firstLine="0" w:firstLineChars="0"/>
              <w:jc w:val="center"/>
              <w:rPr>
                <w:color w:val="auto"/>
                <w:sz w:val="21"/>
                <w:szCs w:val="21"/>
                <w:highlight w:val="none"/>
              </w:rPr>
            </w:pPr>
          </w:p>
        </w:tc>
        <w:tc>
          <w:tcPr>
            <w:tcW w:w="0" w:type="auto"/>
            <w:gridSpan w:val="2"/>
            <w:noWrap w:val="0"/>
            <w:vAlign w:val="center"/>
          </w:tcPr>
          <w:p w14:paraId="7996246A">
            <w:pPr>
              <w:spacing w:line="240" w:lineRule="auto"/>
              <w:ind w:firstLine="0" w:firstLineChars="0"/>
              <w:jc w:val="left"/>
              <w:rPr>
                <w:color w:val="auto"/>
                <w:sz w:val="21"/>
                <w:szCs w:val="21"/>
                <w:highlight w:val="none"/>
              </w:rPr>
            </w:pPr>
            <w:r>
              <w:rPr>
                <w:color w:val="auto"/>
                <w:sz w:val="21"/>
                <w:szCs w:val="21"/>
                <w:highlight w:val="none"/>
              </w:rPr>
              <w:t>（）</w:t>
            </w:r>
          </w:p>
        </w:tc>
        <w:tc>
          <w:tcPr>
            <w:tcW w:w="0" w:type="auto"/>
            <w:gridSpan w:val="4"/>
            <w:noWrap w:val="0"/>
            <w:vAlign w:val="center"/>
          </w:tcPr>
          <w:p w14:paraId="5F826255">
            <w:pPr>
              <w:spacing w:line="240" w:lineRule="auto"/>
              <w:ind w:firstLine="0" w:firstLineChars="0"/>
              <w:jc w:val="left"/>
              <w:rPr>
                <w:color w:val="auto"/>
                <w:sz w:val="21"/>
                <w:szCs w:val="21"/>
                <w:highlight w:val="none"/>
              </w:rPr>
            </w:pPr>
            <w:r>
              <w:rPr>
                <w:color w:val="auto"/>
                <w:sz w:val="21"/>
                <w:szCs w:val="21"/>
                <w:highlight w:val="none"/>
              </w:rPr>
              <w:t>（）</w:t>
            </w:r>
          </w:p>
        </w:tc>
        <w:tc>
          <w:tcPr>
            <w:tcW w:w="0" w:type="auto"/>
            <w:gridSpan w:val="2"/>
            <w:noWrap w:val="0"/>
            <w:vAlign w:val="center"/>
          </w:tcPr>
          <w:p w14:paraId="322D8E84">
            <w:pPr>
              <w:spacing w:line="240" w:lineRule="auto"/>
              <w:ind w:firstLine="0" w:firstLineChars="0"/>
              <w:jc w:val="left"/>
              <w:rPr>
                <w:color w:val="auto"/>
                <w:sz w:val="21"/>
                <w:szCs w:val="21"/>
                <w:highlight w:val="none"/>
              </w:rPr>
            </w:pPr>
            <w:r>
              <w:rPr>
                <w:color w:val="auto"/>
                <w:sz w:val="21"/>
                <w:szCs w:val="21"/>
                <w:highlight w:val="none"/>
              </w:rPr>
              <w:t>（）</w:t>
            </w:r>
          </w:p>
        </w:tc>
      </w:tr>
      <w:tr w14:paraId="563BE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 w:hRule="atLeast"/>
        </w:trPr>
        <w:tc>
          <w:tcPr>
            <w:tcW w:w="0" w:type="auto"/>
            <w:vMerge w:val="continue"/>
            <w:noWrap w:val="0"/>
            <w:vAlign w:val="center"/>
          </w:tcPr>
          <w:p w14:paraId="456FD4DF">
            <w:pPr>
              <w:spacing w:line="240" w:lineRule="auto"/>
              <w:ind w:firstLine="0" w:firstLineChars="0"/>
              <w:jc w:val="center"/>
              <w:rPr>
                <w:color w:val="auto"/>
                <w:sz w:val="21"/>
                <w:szCs w:val="21"/>
                <w:highlight w:val="none"/>
              </w:rPr>
            </w:pPr>
          </w:p>
        </w:tc>
        <w:tc>
          <w:tcPr>
            <w:tcW w:w="0" w:type="auto"/>
            <w:vMerge w:val="restart"/>
            <w:noWrap w:val="0"/>
            <w:vAlign w:val="center"/>
          </w:tcPr>
          <w:p w14:paraId="247A40E6">
            <w:pPr>
              <w:spacing w:line="240" w:lineRule="auto"/>
              <w:ind w:firstLine="0" w:firstLineChars="0"/>
              <w:jc w:val="center"/>
              <w:rPr>
                <w:color w:val="auto"/>
                <w:sz w:val="21"/>
                <w:szCs w:val="21"/>
                <w:highlight w:val="none"/>
              </w:rPr>
            </w:pPr>
            <w:r>
              <w:rPr>
                <w:color w:val="auto"/>
                <w:sz w:val="21"/>
                <w:szCs w:val="21"/>
                <w:highlight w:val="none"/>
              </w:rPr>
              <w:t>替代源排放情况</w:t>
            </w:r>
          </w:p>
        </w:tc>
        <w:tc>
          <w:tcPr>
            <w:tcW w:w="0" w:type="auto"/>
            <w:noWrap w:val="0"/>
            <w:vAlign w:val="center"/>
          </w:tcPr>
          <w:p w14:paraId="7E59A478">
            <w:pPr>
              <w:spacing w:line="240" w:lineRule="auto"/>
              <w:ind w:firstLine="0" w:firstLineChars="0"/>
              <w:jc w:val="left"/>
              <w:rPr>
                <w:color w:val="auto"/>
                <w:sz w:val="21"/>
                <w:szCs w:val="21"/>
                <w:highlight w:val="none"/>
              </w:rPr>
            </w:pPr>
            <w:r>
              <w:rPr>
                <w:color w:val="auto"/>
                <w:sz w:val="21"/>
                <w:szCs w:val="21"/>
                <w:highlight w:val="none"/>
              </w:rPr>
              <w:t>污染源名称</w:t>
            </w:r>
          </w:p>
        </w:tc>
        <w:tc>
          <w:tcPr>
            <w:tcW w:w="0" w:type="auto"/>
            <w:gridSpan w:val="2"/>
            <w:noWrap w:val="0"/>
            <w:vAlign w:val="center"/>
          </w:tcPr>
          <w:p w14:paraId="07BD5BCE">
            <w:pPr>
              <w:spacing w:line="240" w:lineRule="auto"/>
              <w:ind w:firstLine="0" w:firstLineChars="0"/>
              <w:jc w:val="left"/>
              <w:rPr>
                <w:color w:val="auto"/>
                <w:sz w:val="21"/>
                <w:szCs w:val="21"/>
                <w:highlight w:val="none"/>
              </w:rPr>
            </w:pPr>
            <w:r>
              <w:rPr>
                <w:color w:val="auto"/>
                <w:sz w:val="21"/>
                <w:szCs w:val="21"/>
                <w:highlight w:val="none"/>
              </w:rPr>
              <w:t>排污许可证编号</w:t>
            </w:r>
          </w:p>
        </w:tc>
        <w:tc>
          <w:tcPr>
            <w:tcW w:w="0" w:type="auto"/>
            <w:noWrap w:val="0"/>
            <w:vAlign w:val="center"/>
          </w:tcPr>
          <w:p w14:paraId="224F0163">
            <w:pPr>
              <w:spacing w:line="240" w:lineRule="auto"/>
              <w:ind w:firstLine="0" w:firstLineChars="0"/>
              <w:jc w:val="left"/>
              <w:rPr>
                <w:color w:val="auto"/>
                <w:sz w:val="21"/>
                <w:szCs w:val="21"/>
                <w:highlight w:val="none"/>
              </w:rPr>
            </w:pPr>
            <w:r>
              <w:rPr>
                <w:color w:val="auto"/>
                <w:sz w:val="21"/>
                <w:szCs w:val="21"/>
                <w:highlight w:val="none"/>
              </w:rPr>
              <w:t>污染物名称</w:t>
            </w:r>
          </w:p>
        </w:tc>
        <w:tc>
          <w:tcPr>
            <w:tcW w:w="0" w:type="auto"/>
            <w:gridSpan w:val="3"/>
            <w:noWrap w:val="0"/>
            <w:vAlign w:val="center"/>
          </w:tcPr>
          <w:p w14:paraId="38DE57E1">
            <w:pPr>
              <w:spacing w:line="240" w:lineRule="auto"/>
              <w:ind w:firstLine="0" w:firstLineChars="0"/>
              <w:jc w:val="left"/>
              <w:rPr>
                <w:color w:val="auto"/>
                <w:sz w:val="21"/>
                <w:szCs w:val="21"/>
                <w:highlight w:val="none"/>
              </w:rPr>
            </w:pPr>
            <w:r>
              <w:rPr>
                <w:color w:val="auto"/>
                <w:sz w:val="21"/>
                <w:szCs w:val="21"/>
                <w:highlight w:val="none"/>
              </w:rPr>
              <w:t>排放量/（t/a）</w:t>
            </w:r>
          </w:p>
        </w:tc>
        <w:tc>
          <w:tcPr>
            <w:tcW w:w="0" w:type="auto"/>
            <w:noWrap w:val="0"/>
            <w:vAlign w:val="center"/>
          </w:tcPr>
          <w:p w14:paraId="32C411DA">
            <w:pPr>
              <w:spacing w:line="240" w:lineRule="auto"/>
              <w:ind w:firstLine="0" w:firstLineChars="0"/>
              <w:jc w:val="left"/>
              <w:rPr>
                <w:color w:val="auto"/>
                <w:sz w:val="21"/>
                <w:szCs w:val="21"/>
                <w:highlight w:val="none"/>
              </w:rPr>
            </w:pPr>
            <w:r>
              <w:rPr>
                <w:color w:val="auto"/>
                <w:sz w:val="21"/>
                <w:szCs w:val="21"/>
                <w:highlight w:val="none"/>
              </w:rPr>
              <w:t>排放浓度/（mg/L）</w:t>
            </w:r>
          </w:p>
        </w:tc>
      </w:tr>
      <w:tr w14:paraId="6448D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0" w:type="auto"/>
            <w:vMerge w:val="continue"/>
            <w:noWrap w:val="0"/>
            <w:vAlign w:val="center"/>
          </w:tcPr>
          <w:p w14:paraId="25A62E13">
            <w:pPr>
              <w:spacing w:line="240" w:lineRule="auto"/>
              <w:ind w:firstLine="0" w:firstLineChars="0"/>
              <w:jc w:val="center"/>
              <w:rPr>
                <w:color w:val="auto"/>
                <w:sz w:val="21"/>
                <w:szCs w:val="21"/>
                <w:highlight w:val="none"/>
              </w:rPr>
            </w:pPr>
          </w:p>
        </w:tc>
        <w:tc>
          <w:tcPr>
            <w:tcW w:w="0" w:type="auto"/>
            <w:vMerge w:val="continue"/>
            <w:noWrap w:val="0"/>
            <w:vAlign w:val="center"/>
          </w:tcPr>
          <w:p w14:paraId="02E75792">
            <w:pPr>
              <w:spacing w:line="240" w:lineRule="auto"/>
              <w:ind w:firstLine="0" w:firstLineChars="0"/>
              <w:jc w:val="center"/>
              <w:rPr>
                <w:color w:val="auto"/>
                <w:sz w:val="21"/>
                <w:szCs w:val="21"/>
                <w:highlight w:val="none"/>
              </w:rPr>
            </w:pPr>
          </w:p>
        </w:tc>
        <w:tc>
          <w:tcPr>
            <w:tcW w:w="0" w:type="auto"/>
            <w:noWrap w:val="0"/>
            <w:vAlign w:val="center"/>
          </w:tcPr>
          <w:p w14:paraId="64616879">
            <w:pPr>
              <w:spacing w:line="240" w:lineRule="auto"/>
              <w:ind w:firstLine="0" w:firstLineChars="0"/>
              <w:jc w:val="left"/>
              <w:rPr>
                <w:color w:val="auto"/>
                <w:sz w:val="21"/>
                <w:szCs w:val="21"/>
                <w:highlight w:val="none"/>
              </w:rPr>
            </w:pPr>
            <w:r>
              <w:rPr>
                <w:color w:val="auto"/>
                <w:sz w:val="21"/>
                <w:szCs w:val="21"/>
                <w:highlight w:val="none"/>
              </w:rPr>
              <w:t>（）</w:t>
            </w:r>
          </w:p>
        </w:tc>
        <w:tc>
          <w:tcPr>
            <w:tcW w:w="0" w:type="auto"/>
            <w:gridSpan w:val="2"/>
            <w:noWrap w:val="0"/>
            <w:vAlign w:val="center"/>
          </w:tcPr>
          <w:p w14:paraId="42329297">
            <w:pPr>
              <w:spacing w:line="240" w:lineRule="auto"/>
              <w:ind w:firstLine="0" w:firstLineChars="0"/>
              <w:jc w:val="left"/>
              <w:rPr>
                <w:color w:val="auto"/>
                <w:sz w:val="21"/>
                <w:szCs w:val="21"/>
                <w:highlight w:val="none"/>
              </w:rPr>
            </w:pPr>
            <w:r>
              <w:rPr>
                <w:color w:val="auto"/>
                <w:sz w:val="21"/>
                <w:szCs w:val="21"/>
                <w:highlight w:val="none"/>
              </w:rPr>
              <w:t>（）</w:t>
            </w:r>
          </w:p>
        </w:tc>
        <w:tc>
          <w:tcPr>
            <w:tcW w:w="0" w:type="auto"/>
            <w:noWrap w:val="0"/>
            <w:vAlign w:val="center"/>
          </w:tcPr>
          <w:p w14:paraId="7DB99880">
            <w:pPr>
              <w:spacing w:line="240" w:lineRule="auto"/>
              <w:ind w:firstLine="0" w:firstLineChars="0"/>
              <w:jc w:val="left"/>
              <w:rPr>
                <w:color w:val="auto"/>
                <w:sz w:val="21"/>
                <w:szCs w:val="21"/>
                <w:highlight w:val="none"/>
              </w:rPr>
            </w:pPr>
            <w:r>
              <w:rPr>
                <w:color w:val="auto"/>
                <w:sz w:val="21"/>
                <w:szCs w:val="21"/>
                <w:highlight w:val="none"/>
              </w:rPr>
              <w:t>（）</w:t>
            </w:r>
          </w:p>
        </w:tc>
        <w:tc>
          <w:tcPr>
            <w:tcW w:w="0" w:type="auto"/>
            <w:gridSpan w:val="3"/>
            <w:noWrap w:val="0"/>
            <w:vAlign w:val="center"/>
          </w:tcPr>
          <w:p w14:paraId="51CDD630">
            <w:pPr>
              <w:spacing w:line="240" w:lineRule="auto"/>
              <w:ind w:firstLine="0" w:firstLineChars="0"/>
              <w:jc w:val="left"/>
              <w:rPr>
                <w:color w:val="auto"/>
                <w:sz w:val="21"/>
                <w:szCs w:val="21"/>
                <w:highlight w:val="none"/>
              </w:rPr>
            </w:pPr>
            <w:r>
              <w:rPr>
                <w:color w:val="auto"/>
                <w:sz w:val="21"/>
                <w:szCs w:val="21"/>
                <w:highlight w:val="none"/>
              </w:rPr>
              <w:t>（）</w:t>
            </w:r>
          </w:p>
        </w:tc>
        <w:tc>
          <w:tcPr>
            <w:tcW w:w="0" w:type="auto"/>
            <w:noWrap w:val="0"/>
            <w:vAlign w:val="center"/>
          </w:tcPr>
          <w:p w14:paraId="484F0BC3">
            <w:pPr>
              <w:spacing w:line="240" w:lineRule="auto"/>
              <w:ind w:firstLine="0" w:firstLineChars="0"/>
              <w:jc w:val="left"/>
              <w:rPr>
                <w:color w:val="auto"/>
                <w:sz w:val="21"/>
                <w:szCs w:val="21"/>
                <w:highlight w:val="none"/>
              </w:rPr>
            </w:pPr>
            <w:r>
              <w:rPr>
                <w:color w:val="auto"/>
                <w:sz w:val="21"/>
                <w:szCs w:val="21"/>
                <w:highlight w:val="none"/>
              </w:rPr>
              <w:t>（）</w:t>
            </w:r>
          </w:p>
        </w:tc>
      </w:tr>
      <w:tr w14:paraId="779E0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0" w:type="auto"/>
            <w:vMerge w:val="continue"/>
            <w:noWrap w:val="0"/>
            <w:vAlign w:val="center"/>
          </w:tcPr>
          <w:p w14:paraId="36F8BB8D">
            <w:pPr>
              <w:spacing w:line="240" w:lineRule="auto"/>
              <w:ind w:firstLine="0" w:firstLineChars="0"/>
              <w:jc w:val="center"/>
              <w:rPr>
                <w:color w:val="auto"/>
                <w:sz w:val="21"/>
                <w:szCs w:val="21"/>
                <w:highlight w:val="none"/>
              </w:rPr>
            </w:pPr>
          </w:p>
        </w:tc>
        <w:tc>
          <w:tcPr>
            <w:tcW w:w="0" w:type="auto"/>
            <w:noWrap w:val="0"/>
            <w:vAlign w:val="center"/>
          </w:tcPr>
          <w:p w14:paraId="733E2D45">
            <w:pPr>
              <w:spacing w:line="240" w:lineRule="auto"/>
              <w:ind w:firstLine="0" w:firstLineChars="0"/>
              <w:jc w:val="center"/>
              <w:rPr>
                <w:color w:val="auto"/>
                <w:sz w:val="21"/>
                <w:szCs w:val="21"/>
                <w:highlight w:val="none"/>
              </w:rPr>
            </w:pPr>
            <w:r>
              <w:rPr>
                <w:color w:val="auto"/>
                <w:sz w:val="21"/>
                <w:szCs w:val="21"/>
                <w:highlight w:val="none"/>
              </w:rPr>
              <w:t>生态流量确定</w:t>
            </w:r>
          </w:p>
        </w:tc>
        <w:tc>
          <w:tcPr>
            <w:tcW w:w="0" w:type="auto"/>
            <w:gridSpan w:val="8"/>
            <w:noWrap w:val="0"/>
            <w:vAlign w:val="center"/>
          </w:tcPr>
          <w:p w14:paraId="4CF2F44A">
            <w:pPr>
              <w:spacing w:line="240" w:lineRule="auto"/>
              <w:ind w:firstLine="0" w:firstLineChars="0"/>
              <w:jc w:val="left"/>
              <w:rPr>
                <w:color w:val="auto"/>
                <w:sz w:val="21"/>
                <w:szCs w:val="21"/>
                <w:highlight w:val="none"/>
              </w:rPr>
            </w:pPr>
            <w:r>
              <w:rPr>
                <w:color w:val="auto"/>
                <w:sz w:val="21"/>
                <w:szCs w:val="21"/>
                <w:highlight w:val="none"/>
              </w:rPr>
              <w:t>生态流量：一般水期（）m3/s；鱼类繁殖期（）m3/s；其他m3/s</w:t>
            </w:r>
          </w:p>
          <w:p w14:paraId="0A163F17">
            <w:pPr>
              <w:spacing w:line="240" w:lineRule="auto"/>
              <w:ind w:firstLine="0" w:firstLineChars="0"/>
              <w:jc w:val="left"/>
              <w:rPr>
                <w:color w:val="auto"/>
                <w:sz w:val="21"/>
                <w:szCs w:val="21"/>
                <w:highlight w:val="none"/>
              </w:rPr>
            </w:pPr>
            <w:r>
              <w:rPr>
                <w:color w:val="auto"/>
                <w:sz w:val="21"/>
                <w:szCs w:val="21"/>
                <w:highlight w:val="none"/>
              </w:rPr>
              <w:t>生态水位：一般水期（）m；鱼类繁殖期（）m；其他m</w:t>
            </w:r>
          </w:p>
        </w:tc>
      </w:tr>
      <w:tr w14:paraId="2BAC8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 w:hRule="atLeast"/>
        </w:trPr>
        <w:tc>
          <w:tcPr>
            <w:tcW w:w="0" w:type="auto"/>
            <w:vMerge w:val="restart"/>
            <w:noWrap w:val="0"/>
            <w:vAlign w:val="center"/>
          </w:tcPr>
          <w:p w14:paraId="015A569B">
            <w:pPr>
              <w:spacing w:line="240" w:lineRule="auto"/>
              <w:ind w:firstLine="0" w:firstLineChars="0"/>
              <w:jc w:val="center"/>
              <w:rPr>
                <w:color w:val="auto"/>
                <w:sz w:val="21"/>
                <w:szCs w:val="21"/>
                <w:highlight w:val="none"/>
              </w:rPr>
            </w:pPr>
            <w:r>
              <w:rPr>
                <w:color w:val="auto"/>
                <w:sz w:val="21"/>
                <w:szCs w:val="21"/>
                <w:highlight w:val="none"/>
              </w:rPr>
              <w:t>防治措施</w:t>
            </w:r>
          </w:p>
        </w:tc>
        <w:tc>
          <w:tcPr>
            <w:tcW w:w="0" w:type="auto"/>
            <w:noWrap w:val="0"/>
            <w:vAlign w:val="center"/>
          </w:tcPr>
          <w:p w14:paraId="00E76067">
            <w:pPr>
              <w:spacing w:line="240" w:lineRule="auto"/>
              <w:ind w:firstLine="0" w:firstLineChars="0"/>
              <w:jc w:val="center"/>
              <w:rPr>
                <w:color w:val="auto"/>
                <w:sz w:val="21"/>
                <w:szCs w:val="21"/>
                <w:highlight w:val="none"/>
              </w:rPr>
            </w:pPr>
            <w:r>
              <w:rPr>
                <w:color w:val="auto"/>
                <w:sz w:val="21"/>
                <w:szCs w:val="21"/>
                <w:highlight w:val="none"/>
              </w:rPr>
              <w:t>环保措施</w:t>
            </w:r>
          </w:p>
        </w:tc>
        <w:tc>
          <w:tcPr>
            <w:tcW w:w="0" w:type="auto"/>
            <w:gridSpan w:val="8"/>
            <w:noWrap w:val="0"/>
            <w:vAlign w:val="center"/>
          </w:tcPr>
          <w:p w14:paraId="79387F4E">
            <w:pPr>
              <w:spacing w:line="240" w:lineRule="auto"/>
              <w:ind w:firstLine="0" w:firstLineChars="0"/>
              <w:jc w:val="left"/>
              <w:rPr>
                <w:color w:val="auto"/>
                <w:sz w:val="21"/>
                <w:szCs w:val="21"/>
                <w:highlight w:val="none"/>
              </w:rPr>
            </w:pPr>
            <w:r>
              <w:rPr>
                <w:color w:val="auto"/>
                <w:sz w:val="21"/>
                <w:szCs w:val="21"/>
                <w:highlight w:val="none"/>
              </w:rPr>
              <w:t>污水处理设施</w:t>
            </w:r>
            <w:r>
              <w:rPr>
                <w:rFonts w:hint="eastAsia"/>
                <w:color w:val="auto"/>
                <w:sz w:val="21"/>
                <w:szCs w:val="21"/>
                <w:highlight w:val="none"/>
              </w:rPr>
              <w:t>□</w:t>
            </w:r>
            <w:r>
              <w:rPr>
                <w:color w:val="auto"/>
                <w:sz w:val="21"/>
                <w:szCs w:val="21"/>
                <w:highlight w:val="none"/>
              </w:rPr>
              <w:t>；水文减缓设施</w:t>
            </w:r>
            <w:r>
              <w:rPr>
                <w:rFonts w:hint="eastAsia"/>
                <w:color w:val="auto"/>
                <w:sz w:val="21"/>
                <w:szCs w:val="21"/>
                <w:highlight w:val="none"/>
              </w:rPr>
              <w:t>□</w:t>
            </w:r>
            <w:r>
              <w:rPr>
                <w:color w:val="auto"/>
                <w:sz w:val="21"/>
                <w:szCs w:val="21"/>
                <w:highlight w:val="none"/>
              </w:rPr>
              <w:t>；生态流量保障设施</w:t>
            </w:r>
            <w:r>
              <w:rPr>
                <w:rFonts w:hint="eastAsia"/>
                <w:color w:val="auto"/>
                <w:sz w:val="21"/>
                <w:szCs w:val="21"/>
                <w:highlight w:val="none"/>
              </w:rPr>
              <w:t>□</w:t>
            </w:r>
            <w:r>
              <w:rPr>
                <w:color w:val="auto"/>
                <w:sz w:val="21"/>
                <w:szCs w:val="21"/>
                <w:highlight w:val="none"/>
              </w:rPr>
              <w:t>；区域削减</w:t>
            </w:r>
            <w:r>
              <w:rPr>
                <w:rFonts w:hint="eastAsia"/>
                <w:color w:val="auto"/>
                <w:sz w:val="21"/>
                <w:szCs w:val="21"/>
                <w:highlight w:val="none"/>
              </w:rPr>
              <w:t>□</w:t>
            </w:r>
            <w:r>
              <w:rPr>
                <w:color w:val="auto"/>
                <w:sz w:val="21"/>
                <w:szCs w:val="21"/>
                <w:highlight w:val="none"/>
              </w:rPr>
              <w:t>；依托其他工程措施</w:t>
            </w:r>
            <w:r>
              <w:rPr>
                <w:rFonts w:hint="eastAsia" w:ascii="MS Mincho" w:hAnsi="MS Mincho" w:eastAsia="MS Mincho" w:cs="MS Mincho"/>
                <w:color w:val="auto"/>
                <w:sz w:val="21"/>
                <w:szCs w:val="21"/>
                <w:highlight w:val="none"/>
              </w:rPr>
              <w:t>☑</w:t>
            </w:r>
            <w:r>
              <w:rPr>
                <w:color w:val="auto"/>
                <w:sz w:val="21"/>
                <w:szCs w:val="21"/>
                <w:highlight w:val="none"/>
              </w:rPr>
              <w:t>；其他</w:t>
            </w:r>
            <w:r>
              <w:rPr>
                <w:rFonts w:hint="eastAsia"/>
                <w:color w:val="auto"/>
                <w:sz w:val="21"/>
                <w:szCs w:val="21"/>
                <w:highlight w:val="none"/>
              </w:rPr>
              <w:t>□</w:t>
            </w:r>
          </w:p>
        </w:tc>
      </w:tr>
      <w:tr w14:paraId="71241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 w:hRule="atLeast"/>
        </w:trPr>
        <w:tc>
          <w:tcPr>
            <w:tcW w:w="0" w:type="auto"/>
            <w:vMerge w:val="continue"/>
            <w:noWrap w:val="0"/>
            <w:vAlign w:val="center"/>
          </w:tcPr>
          <w:p w14:paraId="44A4AABA">
            <w:pPr>
              <w:spacing w:line="240" w:lineRule="auto"/>
              <w:ind w:firstLine="0" w:firstLineChars="0"/>
              <w:jc w:val="center"/>
              <w:rPr>
                <w:color w:val="auto"/>
                <w:sz w:val="21"/>
                <w:szCs w:val="21"/>
                <w:highlight w:val="none"/>
              </w:rPr>
            </w:pPr>
          </w:p>
        </w:tc>
        <w:tc>
          <w:tcPr>
            <w:tcW w:w="0" w:type="auto"/>
            <w:vMerge w:val="restart"/>
            <w:noWrap w:val="0"/>
            <w:vAlign w:val="center"/>
          </w:tcPr>
          <w:p w14:paraId="11B10BCA">
            <w:pPr>
              <w:spacing w:line="240" w:lineRule="auto"/>
              <w:ind w:firstLine="0" w:firstLineChars="0"/>
              <w:jc w:val="center"/>
              <w:rPr>
                <w:color w:val="auto"/>
                <w:sz w:val="21"/>
                <w:szCs w:val="21"/>
                <w:highlight w:val="none"/>
              </w:rPr>
            </w:pPr>
            <w:r>
              <w:rPr>
                <w:color w:val="auto"/>
                <w:sz w:val="21"/>
                <w:szCs w:val="21"/>
                <w:highlight w:val="none"/>
              </w:rPr>
              <w:t>监测计划</w:t>
            </w:r>
          </w:p>
        </w:tc>
        <w:tc>
          <w:tcPr>
            <w:tcW w:w="0" w:type="auto"/>
            <w:noWrap w:val="0"/>
            <w:vAlign w:val="center"/>
          </w:tcPr>
          <w:p w14:paraId="136B1E00">
            <w:pPr>
              <w:spacing w:line="240" w:lineRule="auto"/>
              <w:ind w:firstLine="0" w:firstLineChars="0"/>
              <w:jc w:val="left"/>
              <w:rPr>
                <w:color w:val="auto"/>
                <w:sz w:val="21"/>
                <w:szCs w:val="21"/>
                <w:highlight w:val="none"/>
              </w:rPr>
            </w:pPr>
          </w:p>
        </w:tc>
        <w:tc>
          <w:tcPr>
            <w:tcW w:w="0" w:type="auto"/>
            <w:gridSpan w:val="4"/>
            <w:noWrap w:val="0"/>
            <w:vAlign w:val="center"/>
          </w:tcPr>
          <w:p w14:paraId="66AA5134">
            <w:pPr>
              <w:spacing w:line="240" w:lineRule="auto"/>
              <w:ind w:firstLine="0" w:firstLineChars="0"/>
              <w:jc w:val="left"/>
              <w:rPr>
                <w:color w:val="auto"/>
                <w:sz w:val="21"/>
                <w:szCs w:val="21"/>
                <w:highlight w:val="none"/>
              </w:rPr>
            </w:pPr>
            <w:r>
              <w:rPr>
                <w:color w:val="auto"/>
                <w:sz w:val="21"/>
                <w:szCs w:val="21"/>
                <w:highlight w:val="none"/>
              </w:rPr>
              <w:t>环境质量</w:t>
            </w:r>
          </w:p>
        </w:tc>
        <w:tc>
          <w:tcPr>
            <w:tcW w:w="0" w:type="auto"/>
            <w:gridSpan w:val="3"/>
            <w:noWrap w:val="0"/>
            <w:vAlign w:val="center"/>
          </w:tcPr>
          <w:p w14:paraId="35D48DE9">
            <w:pPr>
              <w:spacing w:line="240" w:lineRule="auto"/>
              <w:ind w:firstLine="0" w:firstLineChars="0"/>
              <w:jc w:val="left"/>
              <w:rPr>
                <w:color w:val="auto"/>
                <w:sz w:val="21"/>
                <w:szCs w:val="21"/>
                <w:highlight w:val="none"/>
              </w:rPr>
            </w:pPr>
            <w:r>
              <w:rPr>
                <w:color w:val="auto"/>
                <w:sz w:val="21"/>
                <w:szCs w:val="21"/>
                <w:highlight w:val="none"/>
              </w:rPr>
              <w:t>污染源</w:t>
            </w:r>
          </w:p>
        </w:tc>
      </w:tr>
      <w:tr w14:paraId="188A1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trPr>
        <w:tc>
          <w:tcPr>
            <w:tcW w:w="0" w:type="auto"/>
            <w:vMerge w:val="continue"/>
            <w:noWrap w:val="0"/>
            <w:vAlign w:val="center"/>
          </w:tcPr>
          <w:p w14:paraId="32B63CA3">
            <w:pPr>
              <w:spacing w:line="240" w:lineRule="auto"/>
              <w:ind w:firstLine="0" w:firstLineChars="0"/>
              <w:jc w:val="center"/>
              <w:rPr>
                <w:color w:val="auto"/>
                <w:sz w:val="21"/>
                <w:szCs w:val="21"/>
                <w:highlight w:val="none"/>
              </w:rPr>
            </w:pPr>
          </w:p>
        </w:tc>
        <w:tc>
          <w:tcPr>
            <w:tcW w:w="0" w:type="auto"/>
            <w:vMerge w:val="continue"/>
            <w:noWrap w:val="0"/>
            <w:vAlign w:val="center"/>
          </w:tcPr>
          <w:p w14:paraId="29CB0459">
            <w:pPr>
              <w:spacing w:line="240" w:lineRule="auto"/>
              <w:ind w:firstLine="0" w:firstLineChars="0"/>
              <w:jc w:val="center"/>
              <w:rPr>
                <w:color w:val="auto"/>
                <w:sz w:val="21"/>
                <w:szCs w:val="21"/>
                <w:highlight w:val="none"/>
              </w:rPr>
            </w:pPr>
          </w:p>
        </w:tc>
        <w:tc>
          <w:tcPr>
            <w:tcW w:w="0" w:type="auto"/>
            <w:noWrap w:val="0"/>
            <w:vAlign w:val="center"/>
          </w:tcPr>
          <w:p w14:paraId="5ED46FE2">
            <w:pPr>
              <w:spacing w:line="240" w:lineRule="auto"/>
              <w:ind w:firstLine="0" w:firstLineChars="0"/>
              <w:jc w:val="left"/>
              <w:rPr>
                <w:color w:val="auto"/>
                <w:sz w:val="21"/>
                <w:szCs w:val="21"/>
                <w:highlight w:val="none"/>
              </w:rPr>
            </w:pPr>
            <w:r>
              <w:rPr>
                <w:color w:val="auto"/>
                <w:sz w:val="21"/>
                <w:szCs w:val="21"/>
                <w:highlight w:val="none"/>
              </w:rPr>
              <w:t>监测方式</w:t>
            </w:r>
          </w:p>
        </w:tc>
        <w:tc>
          <w:tcPr>
            <w:tcW w:w="0" w:type="auto"/>
            <w:gridSpan w:val="4"/>
            <w:noWrap w:val="0"/>
            <w:vAlign w:val="center"/>
          </w:tcPr>
          <w:p w14:paraId="40DE1FBD">
            <w:pPr>
              <w:spacing w:line="240" w:lineRule="auto"/>
              <w:ind w:firstLine="0" w:firstLineChars="0"/>
              <w:jc w:val="left"/>
              <w:rPr>
                <w:color w:val="auto"/>
                <w:sz w:val="21"/>
                <w:szCs w:val="21"/>
                <w:highlight w:val="none"/>
              </w:rPr>
            </w:pPr>
            <w:r>
              <w:rPr>
                <w:color w:val="auto"/>
                <w:sz w:val="21"/>
                <w:szCs w:val="21"/>
                <w:highlight w:val="none"/>
              </w:rPr>
              <w:t>手动</w:t>
            </w:r>
            <w:r>
              <w:rPr>
                <w:rFonts w:hint="eastAsia"/>
                <w:color w:val="auto"/>
                <w:sz w:val="21"/>
                <w:szCs w:val="21"/>
                <w:highlight w:val="none"/>
              </w:rPr>
              <w:t>□</w:t>
            </w:r>
            <w:r>
              <w:rPr>
                <w:color w:val="auto"/>
                <w:sz w:val="21"/>
                <w:szCs w:val="21"/>
                <w:highlight w:val="none"/>
              </w:rPr>
              <w:t>；自动</w:t>
            </w:r>
            <w:r>
              <w:rPr>
                <w:rFonts w:hint="eastAsia"/>
                <w:color w:val="auto"/>
                <w:sz w:val="21"/>
                <w:szCs w:val="21"/>
                <w:highlight w:val="none"/>
              </w:rPr>
              <w:t>□</w:t>
            </w:r>
            <w:r>
              <w:rPr>
                <w:color w:val="auto"/>
                <w:sz w:val="21"/>
                <w:szCs w:val="21"/>
                <w:highlight w:val="none"/>
              </w:rPr>
              <w:t>；无监测</w:t>
            </w:r>
            <w:r>
              <w:rPr>
                <w:rFonts w:hint="eastAsia" w:ascii="MS Mincho" w:hAnsi="MS Mincho" w:eastAsia="MS Mincho" w:cs="MS Mincho"/>
                <w:color w:val="auto"/>
                <w:sz w:val="21"/>
                <w:szCs w:val="21"/>
                <w:highlight w:val="none"/>
              </w:rPr>
              <w:t>☑</w:t>
            </w:r>
          </w:p>
        </w:tc>
        <w:tc>
          <w:tcPr>
            <w:tcW w:w="0" w:type="auto"/>
            <w:gridSpan w:val="3"/>
            <w:noWrap w:val="0"/>
            <w:vAlign w:val="center"/>
          </w:tcPr>
          <w:p w14:paraId="0199352D">
            <w:pPr>
              <w:spacing w:line="240" w:lineRule="auto"/>
              <w:ind w:firstLine="0" w:firstLineChars="0"/>
              <w:jc w:val="left"/>
              <w:rPr>
                <w:color w:val="auto"/>
                <w:sz w:val="21"/>
                <w:szCs w:val="21"/>
                <w:highlight w:val="none"/>
              </w:rPr>
            </w:pPr>
            <w:r>
              <w:rPr>
                <w:color w:val="auto"/>
                <w:sz w:val="21"/>
                <w:szCs w:val="21"/>
                <w:highlight w:val="none"/>
              </w:rPr>
              <w:t>手动</w:t>
            </w:r>
            <w:r>
              <w:rPr>
                <w:rFonts w:hint="eastAsia"/>
                <w:color w:val="auto"/>
                <w:sz w:val="21"/>
                <w:szCs w:val="21"/>
                <w:highlight w:val="none"/>
              </w:rPr>
              <w:t>□</w:t>
            </w:r>
            <w:r>
              <w:rPr>
                <w:color w:val="auto"/>
                <w:sz w:val="21"/>
                <w:szCs w:val="21"/>
                <w:highlight w:val="none"/>
              </w:rPr>
              <w:t>；自动</w:t>
            </w:r>
            <w:r>
              <w:rPr>
                <w:rFonts w:hint="eastAsia"/>
                <w:color w:val="auto"/>
                <w:sz w:val="21"/>
                <w:szCs w:val="21"/>
                <w:highlight w:val="none"/>
              </w:rPr>
              <w:t>□</w:t>
            </w:r>
            <w:r>
              <w:rPr>
                <w:color w:val="auto"/>
                <w:sz w:val="21"/>
                <w:szCs w:val="21"/>
                <w:highlight w:val="none"/>
              </w:rPr>
              <w:t>；无监测</w:t>
            </w:r>
            <w:r>
              <w:rPr>
                <w:rFonts w:hint="eastAsia"/>
                <w:color w:val="auto"/>
                <w:sz w:val="21"/>
                <w:szCs w:val="21"/>
                <w:highlight w:val="none"/>
              </w:rPr>
              <w:t>□</w:t>
            </w:r>
          </w:p>
        </w:tc>
      </w:tr>
      <w:tr w14:paraId="1602A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trPr>
        <w:tc>
          <w:tcPr>
            <w:tcW w:w="0" w:type="auto"/>
            <w:vMerge w:val="continue"/>
            <w:noWrap w:val="0"/>
            <w:vAlign w:val="center"/>
          </w:tcPr>
          <w:p w14:paraId="18C802F1">
            <w:pPr>
              <w:spacing w:line="240" w:lineRule="auto"/>
              <w:ind w:firstLine="0" w:firstLineChars="0"/>
              <w:jc w:val="center"/>
              <w:rPr>
                <w:color w:val="auto"/>
                <w:sz w:val="21"/>
                <w:szCs w:val="21"/>
                <w:highlight w:val="none"/>
              </w:rPr>
            </w:pPr>
          </w:p>
        </w:tc>
        <w:tc>
          <w:tcPr>
            <w:tcW w:w="0" w:type="auto"/>
            <w:vMerge w:val="continue"/>
            <w:noWrap w:val="0"/>
            <w:vAlign w:val="center"/>
          </w:tcPr>
          <w:p w14:paraId="5B1A7CD7">
            <w:pPr>
              <w:spacing w:line="240" w:lineRule="auto"/>
              <w:ind w:firstLine="0" w:firstLineChars="0"/>
              <w:jc w:val="center"/>
              <w:rPr>
                <w:color w:val="auto"/>
                <w:sz w:val="21"/>
                <w:szCs w:val="21"/>
                <w:highlight w:val="none"/>
              </w:rPr>
            </w:pPr>
          </w:p>
        </w:tc>
        <w:tc>
          <w:tcPr>
            <w:tcW w:w="0" w:type="auto"/>
            <w:noWrap w:val="0"/>
            <w:vAlign w:val="center"/>
          </w:tcPr>
          <w:p w14:paraId="1C59198D">
            <w:pPr>
              <w:spacing w:line="240" w:lineRule="auto"/>
              <w:ind w:firstLine="0" w:firstLineChars="0"/>
              <w:jc w:val="left"/>
              <w:rPr>
                <w:color w:val="auto"/>
                <w:sz w:val="21"/>
                <w:szCs w:val="21"/>
                <w:highlight w:val="none"/>
              </w:rPr>
            </w:pPr>
            <w:r>
              <w:rPr>
                <w:color w:val="auto"/>
                <w:sz w:val="21"/>
                <w:szCs w:val="21"/>
                <w:highlight w:val="none"/>
              </w:rPr>
              <w:t>监测点位</w:t>
            </w:r>
          </w:p>
        </w:tc>
        <w:tc>
          <w:tcPr>
            <w:tcW w:w="0" w:type="auto"/>
            <w:gridSpan w:val="4"/>
            <w:noWrap w:val="0"/>
            <w:vAlign w:val="center"/>
          </w:tcPr>
          <w:p w14:paraId="1CE82E17">
            <w:pPr>
              <w:spacing w:line="240" w:lineRule="auto"/>
              <w:ind w:firstLine="0" w:firstLineChars="0"/>
              <w:jc w:val="left"/>
              <w:rPr>
                <w:color w:val="auto"/>
                <w:sz w:val="21"/>
                <w:szCs w:val="21"/>
                <w:highlight w:val="none"/>
              </w:rPr>
            </w:pPr>
            <w:r>
              <w:rPr>
                <w:color w:val="auto"/>
                <w:sz w:val="21"/>
                <w:szCs w:val="21"/>
                <w:highlight w:val="none"/>
              </w:rPr>
              <w:t>（）</w:t>
            </w:r>
          </w:p>
        </w:tc>
        <w:tc>
          <w:tcPr>
            <w:tcW w:w="0" w:type="auto"/>
            <w:gridSpan w:val="3"/>
            <w:noWrap w:val="0"/>
            <w:vAlign w:val="center"/>
          </w:tcPr>
          <w:p w14:paraId="2E99DDBA">
            <w:pPr>
              <w:spacing w:line="240" w:lineRule="auto"/>
              <w:ind w:firstLine="0" w:firstLineChars="0"/>
              <w:jc w:val="left"/>
              <w:rPr>
                <w:color w:val="auto"/>
                <w:sz w:val="21"/>
                <w:szCs w:val="21"/>
                <w:highlight w:val="none"/>
              </w:rPr>
            </w:pPr>
            <w:r>
              <w:rPr>
                <w:color w:val="auto"/>
                <w:sz w:val="21"/>
                <w:szCs w:val="21"/>
                <w:highlight w:val="none"/>
              </w:rPr>
              <w:t>（</w:t>
            </w:r>
            <w:r>
              <w:rPr>
                <w:rFonts w:hint="eastAsia"/>
                <w:color w:val="auto"/>
                <w:sz w:val="21"/>
                <w:szCs w:val="21"/>
                <w:highlight w:val="none"/>
              </w:rPr>
              <w:t>脱硫废水排放口</w:t>
            </w:r>
            <w:r>
              <w:rPr>
                <w:color w:val="auto"/>
                <w:sz w:val="21"/>
                <w:szCs w:val="21"/>
                <w:highlight w:val="none"/>
              </w:rPr>
              <w:t>）</w:t>
            </w:r>
          </w:p>
        </w:tc>
      </w:tr>
      <w:tr w14:paraId="24A66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 w:hRule="atLeast"/>
        </w:trPr>
        <w:tc>
          <w:tcPr>
            <w:tcW w:w="0" w:type="auto"/>
            <w:vMerge w:val="continue"/>
            <w:noWrap w:val="0"/>
            <w:vAlign w:val="center"/>
          </w:tcPr>
          <w:p w14:paraId="04DB740A">
            <w:pPr>
              <w:spacing w:line="240" w:lineRule="auto"/>
              <w:ind w:firstLine="0" w:firstLineChars="0"/>
              <w:jc w:val="center"/>
              <w:rPr>
                <w:color w:val="auto"/>
                <w:sz w:val="21"/>
                <w:szCs w:val="21"/>
                <w:highlight w:val="none"/>
              </w:rPr>
            </w:pPr>
          </w:p>
        </w:tc>
        <w:tc>
          <w:tcPr>
            <w:tcW w:w="0" w:type="auto"/>
            <w:vMerge w:val="continue"/>
            <w:noWrap w:val="0"/>
            <w:vAlign w:val="center"/>
          </w:tcPr>
          <w:p w14:paraId="59635459">
            <w:pPr>
              <w:spacing w:line="240" w:lineRule="auto"/>
              <w:ind w:firstLine="0" w:firstLineChars="0"/>
              <w:jc w:val="center"/>
              <w:rPr>
                <w:color w:val="auto"/>
                <w:sz w:val="21"/>
                <w:szCs w:val="21"/>
                <w:highlight w:val="none"/>
              </w:rPr>
            </w:pPr>
          </w:p>
        </w:tc>
        <w:tc>
          <w:tcPr>
            <w:tcW w:w="0" w:type="auto"/>
            <w:noWrap w:val="0"/>
            <w:vAlign w:val="center"/>
          </w:tcPr>
          <w:p w14:paraId="1CAB7C64">
            <w:pPr>
              <w:spacing w:line="240" w:lineRule="auto"/>
              <w:ind w:firstLine="0" w:firstLineChars="0"/>
              <w:jc w:val="left"/>
              <w:rPr>
                <w:color w:val="auto"/>
                <w:sz w:val="21"/>
                <w:szCs w:val="21"/>
                <w:highlight w:val="none"/>
              </w:rPr>
            </w:pPr>
            <w:r>
              <w:rPr>
                <w:color w:val="auto"/>
                <w:sz w:val="21"/>
                <w:szCs w:val="21"/>
                <w:highlight w:val="none"/>
              </w:rPr>
              <w:t>监测因子</w:t>
            </w:r>
          </w:p>
        </w:tc>
        <w:tc>
          <w:tcPr>
            <w:tcW w:w="0" w:type="auto"/>
            <w:gridSpan w:val="4"/>
            <w:noWrap w:val="0"/>
            <w:vAlign w:val="center"/>
          </w:tcPr>
          <w:p w14:paraId="0EE3F1B8">
            <w:pPr>
              <w:spacing w:line="240" w:lineRule="auto"/>
              <w:ind w:firstLine="0" w:firstLineChars="0"/>
              <w:jc w:val="left"/>
              <w:rPr>
                <w:color w:val="auto"/>
                <w:sz w:val="21"/>
                <w:szCs w:val="21"/>
                <w:highlight w:val="none"/>
              </w:rPr>
            </w:pPr>
            <w:r>
              <w:rPr>
                <w:color w:val="auto"/>
                <w:sz w:val="21"/>
                <w:szCs w:val="21"/>
                <w:highlight w:val="none"/>
              </w:rPr>
              <w:t>（）</w:t>
            </w:r>
          </w:p>
        </w:tc>
        <w:tc>
          <w:tcPr>
            <w:tcW w:w="0" w:type="auto"/>
            <w:gridSpan w:val="3"/>
            <w:noWrap w:val="0"/>
            <w:vAlign w:val="center"/>
          </w:tcPr>
          <w:p w14:paraId="06C29944">
            <w:pPr>
              <w:spacing w:line="240" w:lineRule="auto"/>
              <w:ind w:firstLine="0" w:firstLineChars="0"/>
              <w:jc w:val="left"/>
              <w:rPr>
                <w:color w:val="auto"/>
                <w:sz w:val="21"/>
                <w:szCs w:val="21"/>
                <w:highlight w:val="none"/>
              </w:rPr>
            </w:pPr>
            <w:r>
              <w:rPr>
                <w:color w:val="auto"/>
                <w:sz w:val="21"/>
                <w:szCs w:val="21"/>
                <w:highlight w:val="none"/>
              </w:rPr>
              <w:t>（</w:t>
            </w:r>
            <w:r>
              <w:rPr>
                <w:rFonts w:hint="eastAsia"/>
                <w:color w:val="auto"/>
                <w:sz w:val="21"/>
                <w:szCs w:val="21"/>
                <w:highlight w:val="none"/>
              </w:rPr>
              <w:t>pH、总砷、总铅、总汞、总镉、流量</w:t>
            </w:r>
            <w:r>
              <w:rPr>
                <w:color w:val="auto"/>
                <w:sz w:val="21"/>
                <w:szCs w:val="21"/>
                <w:highlight w:val="none"/>
              </w:rPr>
              <w:t>）</w:t>
            </w:r>
          </w:p>
        </w:tc>
      </w:tr>
      <w:tr w14:paraId="6CE7A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0" w:type="auto"/>
            <w:vMerge w:val="continue"/>
            <w:noWrap w:val="0"/>
            <w:vAlign w:val="center"/>
          </w:tcPr>
          <w:p w14:paraId="7C52051C">
            <w:pPr>
              <w:spacing w:line="240" w:lineRule="auto"/>
              <w:ind w:firstLine="0" w:firstLineChars="0"/>
              <w:jc w:val="center"/>
              <w:rPr>
                <w:color w:val="auto"/>
                <w:sz w:val="21"/>
                <w:szCs w:val="21"/>
                <w:highlight w:val="none"/>
              </w:rPr>
            </w:pPr>
          </w:p>
        </w:tc>
        <w:tc>
          <w:tcPr>
            <w:tcW w:w="0" w:type="auto"/>
            <w:noWrap w:val="0"/>
            <w:vAlign w:val="center"/>
          </w:tcPr>
          <w:p w14:paraId="12FE3F29">
            <w:pPr>
              <w:spacing w:line="240" w:lineRule="auto"/>
              <w:ind w:firstLine="0" w:firstLineChars="0"/>
              <w:jc w:val="center"/>
              <w:rPr>
                <w:color w:val="auto"/>
                <w:sz w:val="21"/>
                <w:szCs w:val="21"/>
                <w:highlight w:val="none"/>
              </w:rPr>
            </w:pPr>
            <w:r>
              <w:rPr>
                <w:color w:val="auto"/>
                <w:sz w:val="21"/>
                <w:szCs w:val="21"/>
                <w:highlight w:val="none"/>
              </w:rPr>
              <w:t>污染物排放清单</w:t>
            </w:r>
          </w:p>
        </w:tc>
        <w:tc>
          <w:tcPr>
            <w:tcW w:w="0" w:type="auto"/>
            <w:gridSpan w:val="8"/>
            <w:noWrap w:val="0"/>
            <w:vAlign w:val="center"/>
          </w:tcPr>
          <w:p w14:paraId="637B94C7">
            <w:pPr>
              <w:spacing w:line="240" w:lineRule="auto"/>
              <w:ind w:firstLine="0" w:firstLineChars="0"/>
              <w:jc w:val="left"/>
              <w:rPr>
                <w:color w:val="auto"/>
                <w:sz w:val="21"/>
                <w:szCs w:val="21"/>
                <w:highlight w:val="none"/>
              </w:rPr>
            </w:pPr>
            <w:r>
              <w:rPr>
                <w:rFonts w:hint="eastAsia"/>
                <w:color w:val="auto"/>
                <w:sz w:val="21"/>
                <w:szCs w:val="21"/>
                <w:highlight w:val="none"/>
              </w:rPr>
              <w:t>□</w:t>
            </w:r>
          </w:p>
        </w:tc>
      </w:tr>
      <w:tr w14:paraId="3A7F0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trPr>
        <w:tc>
          <w:tcPr>
            <w:tcW w:w="0" w:type="auto"/>
            <w:gridSpan w:val="2"/>
            <w:noWrap w:val="0"/>
            <w:vAlign w:val="center"/>
          </w:tcPr>
          <w:p w14:paraId="3FC86768">
            <w:pPr>
              <w:spacing w:line="240" w:lineRule="auto"/>
              <w:ind w:firstLine="0" w:firstLineChars="0"/>
              <w:jc w:val="center"/>
              <w:rPr>
                <w:color w:val="auto"/>
                <w:sz w:val="21"/>
                <w:szCs w:val="21"/>
                <w:highlight w:val="none"/>
              </w:rPr>
            </w:pPr>
            <w:r>
              <w:rPr>
                <w:color w:val="auto"/>
                <w:sz w:val="21"/>
                <w:szCs w:val="21"/>
                <w:highlight w:val="none"/>
              </w:rPr>
              <w:t>评价结论</w:t>
            </w:r>
          </w:p>
        </w:tc>
        <w:tc>
          <w:tcPr>
            <w:tcW w:w="0" w:type="auto"/>
            <w:gridSpan w:val="8"/>
            <w:noWrap w:val="0"/>
            <w:vAlign w:val="center"/>
          </w:tcPr>
          <w:p w14:paraId="75A91402">
            <w:pPr>
              <w:spacing w:line="240" w:lineRule="auto"/>
              <w:ind w:firstLine="0" w:firstLineChars="0"/>
              <w:jc w:val="left"/>
              <w:rPr>
                <w:color w:val="auto"/>
                <w:sz w:val="21"/>
                <w:szCs w:val="21"/>
                <w:highlight w:val="none"/>
              </w:rPr>
            </w:pPr>
            <w:r>
              <w:rPr>
                <w:color w:val="auto"/>
                <w:sz w:val="21"/>
                <w:szCs w:val="21"/>
                <w:highlight w:val="none"/>
              </w:rPr>
              <w:t>可以接受</w:t>
            </w:r>
            <w:r>
              <w:rPr>
                <w:rFonts w:hint="eastAsia" w:ascii="MS Mincho" w:hAnsi="MS Mincho" w:eastAsia="MS Mincho" w:cs="MS Mincho"/>
                <w:color w:val="auto"/>
                <w:sz w:val="21"/>
                <w:szCs w:val="21"/>
                <w:highlight w:val="none"/>
              </w:rPr>
              <w:t>☑</w:t>
            </w:r>
            <w:r>
              <w:rPr>
                <w:color w:val="auto"/>
                <w:sz w:val="21"/>
                <w:szCs w:val="21"/>
                <w:highlight w:val="none"/>
              </w:rPr>
              <w:t>；不可以接受</w:t>
            </w:r>
            <w:r>
              <w:rPr>
                <w:rFonts w:hint="eastAsia"/>
                <w:color w:val="auto"/>
                <w:sz w:val="21"/>
                <w:szCs w:val="21"/>
                <w:highlight w:val="none"/>
              </w:rPr>
              <w:t>□</w:t>
            </w:r>
          </w:p>
        </w:tc>
      </w:tr>
    </w:tbl>
    <w:p w14:paraId="251FDB2E">
      <w:pPr>
        <w:pStyle w:val="4"/>
        <w:spacing w:before="0" w:after="0" w:line="240" w:lineRule="auto"/>
        <w:jc w:val="center"/>
        <w:rPr>
          <w:rFonts w:hint="eastAsia" w:ascii="Times New Roman" w:hAnsi="Times New Roman"/>
          <w:b w:val="0"/>
          <w:color w:val="auto"/>
          <w:highlight w:val="none"/>
        </w:rPr>
      </w:pPr>
      <w:r>
        <w:rPr>
          <w:rFonts w:ascii="Times New Roman" w:hAnsi="Times New Roman"/>
          <w:b w:val="0"/>
          <w:color w:val="auto"/>
          <w:highlight w:val="none"/>
        </w:rPr>
        <w:br w:type="page"/>
      </w:r>
      <w:bookmarkStart w:id="218" w:name="_Toc14206"/>
      <w:bookmarkStart w:id="219" w:name="_Toc15766"/>
      <w:r>
        <w:rPr>
          <w:rFonts w:hint="eastAsia"/>
          <w:color w:val="auto"/>
          <w:highlight w:val="none"/>
        </w:rPr>
        <w:t>土壤环境影响评价自查表</w:t>
      </w:r>
      <w:bookmarkEnd w:id="218"/>
      <w:bookmarkEnd w:id="219"/>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7"/>
        <w:gridCol w:w="1647"/>
        <w:gridCol w:w="1302"/>
        <w:gridCol w:w="1510"/>
        <w:gridCol w:w="93"/>
        <w:gridCol w:w="1185"/>
        <w:gridCol w:w="350"/>
        <w:gridCol w:w="998"/>
        <w:gridCol w:w="954"/>
      </w:tblGrid>
      <w:tr w14:paraId="609AC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273" w:type="pct"/>
            <w:gridSpan w:val="2"/>
            <w:noWrap w:val="0"/>
            <w:vAlign w:val="center"/>
          </w:tcPr>
          <w:p w14:paraId="78656E12">
            <w:pPr>
              <w:spacing w:line="240" w:lineRule="auto"/>
              <w:ind w:firstLine="0" w:firstLineChars="0"/>
              <w:jc w:val="center"/>
              <w:rPr>
                <w:color w:val="auto"/>
                <w:sz w:val="21"/>
                <w:szCs w:val="21"/>
                <w:highlight w:val="none"/>
              </w:rPr>
            </w:pPr>
            <w:r>
              <w:rPr>
                <w:color w:val="auto"/>
                <w:sz w:val="21"/>
                <w:szCs w:val="21"/>
                <w:highlight w:val="none"/>
              </w:rPr>
              <w:t>工作内容</w:t>
            </w:r>
          </w:p>
        </w:tc>
        <w:tc>
          <w:tcPr>
            <w:tcW w:w="3169" w:type="pct"/>
            <w:gridSpan w:val="6"/>
            <w:noWrap w:val="0"/>
            <w:vAlign w:val="center"/>
          </w:tcPr>
          <w:p w14:paraId="2CCED9DD">
            <w:pPr>
              <w:spacing w:line="240" w:lineRule="auto"/>
              <w:ind w:firstLine="0" w:firstLineChars="0"/>
              <w:jc w:val="center"/>
              <w:rPr>
                <w:color w:val="auto"/>
                <w:sz w:val="21"/>
                <w:szCs w:val="21"/>
                <w:highlight w:val="none"/>
              </w:rPr>
            </w:pPr>
            <w:r>
              <w:rPr>
                <w:color w:val="auto"/>
                <w:sz w:val="21"/>
                <w:szCs w:val="21"/>
                <w:highlight w:val="none"/>
              </w:rPr>
              <w:t>完成情况</w:t>
            </w:r>
          </w:p>
        </w:tc>
        <w:tc>
          <w:tcPr>
            <w:tcW w:w="556" w:type="pct"/>
            <w:noWrap w:val="0"/>
            <w:vAlign w:val="center"/>
          </w:tcPr>
          <w:p w14:paraId="50BEAC11">
            <w:pPr>
              <w:spacing w:line="240" w:lineRule="auto"/>
              <w:ind w:firstLine="0" w:firstLineChars="0"/>
              <w:jc w:val="center"/>
              <w:rPr>
                <w:color w:val="auto"/>
                <w:sz w:val="21"/>
                <w:szCs w:val="21"/>
                <w:highlight w:val="none"/>
              </w:rPr>
            </w:pPr>
            <w:r>
              <w:rPr>
                <w:color w:val="auto"/>
                <w:sz w:val="21"/>
                <w:szCs w:val="21"/>
                <w:highlight w:val="none"/>
              </w:rPr>
              <w:t>备注</w:t>
            </w:r>
          </w:p>
        </w:tc>
      </w:tr>
      <w:tr w14:paraId="5C6AC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3" w:type="pct"/>
            <w:vMerge w:val="restart"/>
            <w:noWrap w:val="0"/>
            <w:vAlign w:val="center"/>
          </w:tcPr>
          <w:p w14:paraId="0A0B4347">
            <w:pPr>
              <w:spacing w:line="240" w:lineRule="auto"/>
              <w:ind w:firstLine="0" w:firstLineChars="0"/>
              <w:jc w:val="center"/>
              <w:rPr>
                <w:color w:val="auto"/>
                <w:sz w:val="21"/>
                <w:szCs w:val="21"/>
                <w:highlight w:val="none"/>
              </w:rPr>
            </w:pPr>
            <w:r>
              <w:rPr>
                <w:color w:val="auto"/>
                <w:sz w:val="21"/>
                <w:szCs w:val="21"/>
                <w:highlight w:val="none"/>
              </w:rPr>
              <w:t>影响识别</w:t>
            </w:r>
          </w:p>
        </w:tc>
        <w:tc>
          <w:tcPr>
            <w:tcW w:w="959" w:type="pct"/>
            <w:noWrap w:val="0"/>
            <w:vAlign w:val="center"/>
          </w:tcPr>
          <w:p w14:paraId="65994885">
            <w:pPr>
              <w:spacing w:line="240" w:lineRule="auto"/>
              <w:ind w:firstLine="0" w:firstLineChars="0"/>
              <w:jc w:val="center"/>
              <w:rPr>
                <w:color w:val="auto"/>
                <w:sz w:val="21"/>
                <w:szCs w:val="21"/>
                <w:highlight w:val="none"/>
              </w:rPr>
            </w:pPr>
            <w:r>
              <w:rPr>
                <w:color w:val="auto"/>
                <w:sz w:val="21"/>
                <w:szCs w:val="21"/>
                <w:highlight w:val="none"/>
              </w:rPr>
              <w:t>影响类型</w:t>
            </w:r>
          </w:p>
        </w:tc>
        <w:tc>
          <w:tcPr>
            <w:tcW w:w="3169" w:type="pct"/>
            <w:gridSpan w:val="6"/>
            <w:noWrap w:val="0"/>
            <w:vAlign w:val="center"/>
          </w:tcPr>
          <w:p w14:paraId="17342217">
            <w:pPr>
              <w:spacing w:line="240" w:lineRule="auto"/>
              <w:ind w:firstLine="0" w:firstLineChars="0"/>
              <w:jc w:val="center"/>
              <w:rPr>
                <w:color w:val="auto"/>
                <w:sz w:val="21"/>
                <w:szCs w:val="21"/>
                <w:highlight w:val="none"/>
              </w:rPr>
            </w:pPr>
            <w:r>
              <w:rPr>
                <w:color w:val="auto"/>
                <w:sz w:val="21"/>
                <w:szCs w:val="21"/>
                <w:highlight w:val="none"/>
              </w:rPr>
              <w:t>污染影响型</w:t>
            </w:r>
            <w:r>
              <w:rPr>
                <w:rFonts w:hint="eastAsia" w:ascii="MS Mincho" w:hAnsi="MS Mincho" w:eastAsia="MS Mincho" w:cs="MS Mincho"/>
                <w:color w:val="auto"/>
                <w:sz w:val="21"/>
                <w:szCs w:val="21"/>
                <w:highlight w:val="none"/>
              </w:rPr>
              <w:t>☑</w:t>
            </w:r>
            <w:r>
              <w:rPr>
                <w:color w:val="auto"/>
                <w:sz w:val="21"/>
                <w:szCs w:val="21"/>
                <w:highlight w:val="none"/>
              </w:rPr>
              <w:t>；生态影响型□；两种兼有□</w:t>
            </w:r>
          </w:p>
        </w:tc>
        <w:tc>
          <w:tcPr>
            <w:tcW w:w="556" w:type="pct"/>
            <w:noWrap w:val="0"/>
            <w:vAlign w:val="center"/>
          </w:tcPr>
          <w:p w14:paraId="1A9BC877">
            <w:pPr>
              <w:spacing w:line="240" w:lineRule="auto"/>
              <w:ind w:firstLine="0" w:firstLineChars="0"/>
              <w:jc w:val="center"/>
              <w:rPr>
                <w:color w:val="auto"/>
                <w:sz w:val="21"/>
                <w:szCs w:val="21"/>
                <w:highlight w:val="none"/>
              </w:rPr>
            </w:pPr>
          </w:p>
        </w:tc>
      </w:tr>
      <w:tr w14:paraId="02B46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3" w:type="pct"/>
            <w:vMerge w:val="continue"/>
            <w:noWrap w:val="0"/>
            <w:vAlign w:val="center"/>
          </w:tcPr>
          <w:p w14:paraId="4E126D38">
            <w:pPr>
              <w:spacing w:line="240" w:lineRule="auto"/>
              <w:ind w:firstLine="0" w:firstLineChars="0"/>
              <w:jc w:val="center"/>
              <w:rPr>
                <w:color w:val="auto"/>
                <w:sz w:val="21"/>
                <w:szCs w:val="21"/>
                <w:highlight w:val="none"/>
              </w:rPr>
            </w:pPr>
          </w:p>
        </w:tc>
        <w:tc>
          <w:tcPr>
            <w:tcW w:w="959" w:type="pct"/>
            <w:noWrap w:val="0"/>
            <w:vAlign w:val="center"/>
          </w:tcPr>
          <w:p w14:paraId="6CFB105F">
            <w:pPr>
              <w:spacing w:line="240" w:lineRule="auto"/>
              <w:ind w:firstLine="0" w:firstLineChars="0"/>
              <w:jc w:val="center"/>
              <w:rPr>
                <w:color w:val="auto"/>
                <w:sz w:val="21"/>
                <w:szCs w:val="21"/>
                <w:highlight w:val="none"/>
              </w:rPr>
            </w:pPr>
            <w:r>
              <w:rPr>
                <w:color w:val="auto"/>
                <w:sz w:val="21"/>
                <w:szCs w:val="21"/>
                <w:highlight w:val="none"/>
              </w:rPr>
              <w:t>土地利用类型</w:t>
            </w:r>
          </w:p>
        </w:tc>
        <w:tc>
          <w:tcPr>
            <w:tcW w:w="3169" w:type="pct"/>
            <w:gridSpan w:val="6"/>
            <w:noWrap w:val="0"/>
            <w:vAlign w:val="center"/>
          </w:tcPr>
          <w:p w14:paraId="0BF7D897">
            <w:pPr>
              <w:spacing w:line="240" w:lineRule="auto"/>
              <w:ind w:firstLine="0" w:firstLineChars="0"/>
              <w:jc w:val="center"/>
              <w:rPr>
                <w:color w:val="auto"/>
                <w:sz w:val="21"/>
                <w:szCs w:val="21"/>
                <w:highlight w:val="none"/>
              </w:rPr>
            </w:pPr>
            <w:r>
              <w:rPr>
                <w:color w:val="auto"/>
                <w:sz w:val="21"/>
                <w:szCs w:val="21"/>
                <w:highlight w:val="none"/>
              </w:rPr>
              <w:t>建设用地</w:t>
            </w:r>
            <w:r>
              <w:rPr>
                <w:rFonts w:hint="eastAsia" w:ascii="MS Mincho" w:hAnsi="MS Mincho" w:eastAsia="MS Mincho" w:cs="MS Mincho"/>
                <w:color w:val="auto"/>
                <w:sz w:val="21"/>
                <w:szCs w:val="21"/>
                <w:highlight w:val="none"/>
              </w:rPr>
              <w:t>☑</w:t>
            </w:r>
            <w:r>
              <w:rPr>
                <w:color w:val="auto"/>
                <w:sz w:val="21"/>
                <w:szCs w:val="21"/>
                <w:highlight w:val="none"/>
              </w:rPr>
              <w:t>；农用地□；未利用地□</w:t>
            </w:r>
          </w:p>
        </w:tc>
        <w:tc>
          <w:tcPr>
            <w:tcW w:w="556" w:type="pct"/>
            <w:noWrap w:val="0"/>
            <w:vAlign w:val="center"/>
          </w:tcPr>
          <w:p w14:paraId="7952A1CB">
            <w:pPr>
              <w:spacing w:line="240" w:lineRule="auto"/>
              <w:ind w:firstLine="0" w:firstLineChars="0"/>
              <w:jc w:val="center"/>
              <w:rPr>
                <w:color w:val="auto"/>
                <w:sz w:val="21"/>
                <w:szCs w:val="21"/>
                <w:highlight w:val="none"/>
              </w:rPr>
            </w:pPr>
          </w:p>
        </w:tc>
      </w:tr>
      <w:tr w14:paraId="2FF58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3" w:type="pct"/>
            <w:vMerge w:val="continue"/>
            <w:noWrap w:val="0"/>
            <w:vAlign w:val="center"/>
          </w:tcPr>
          <w:p w14:paraId="6F700EE1">
            <w:pPr>
              <w:spacing w:line="240" w:lineRule="auto"/>
              <w:ind w:firstLine="0" w:firstLineChars="0"/>
              <w:jc w:val="center"/>
              <w:rPr>
                <w:color w:val="auto"/>
                <w:sz w:val="21"/>
                <w:szCs w:val="21"/>
                <w:highlight w:val="none"/>
              </w:rPr>
            </w:pPr>
          </w:p>
        </w:tc>
        <w:tc>
          <w:tcPr>
            <w:tcW w:w="959" w:type="pct"/>
            <w:noWrap w:val="0"/>
            <w:vAlign w:val="center"/>
          </w:tcPr>
          <w:p w14:paraId="304AE1CC">
            <w:pPr>
              <w:spacing w:line="240" w:lineRule="auto"/>
              <w:ind w:firstLine="0" w:firstLineChars="0"/>
              <w:jc w:val="center"/>
              <w:rPr>
                <w:color w:val="auto"/>
                <w:sz w:val="21"/>
                <w:szCs w:val="21"/>
                <w:highlight w:val="none"/>
              </w:rPr>
            </w:pPr>
            <w:r>
              <w:rPr>
                <w:color w:val="auto"/>
                <w:sz w:val="21"/>
                <w:szCs w:val="21"/>
                <w:highlight w:val="none"/>
              </w:rPr>
              <w:t>占地规模</w:t>
            </w:r>
          </w:p>
        </w:tc>
        <w:tc>
          <w:tcPr>
            <w:tcW w:w="3169" w:type="pct"/>
            <w:gridSpan w:val="6"/>
            <w:noWrap w:val="0"/>
            <w:vAlign w:val="center"/>
          </w:tcPr>
          <w:p w14:paraId="772B8514">
            <w:pPr>
              <w:spacing w:line="240" w:lineRule="auto"/>
              <w:ind w:firstLine="0" w:firstLineChars="0"/>
              <w:jc w:val="center"/>
              <w:rPr>
                <w:color w:val="auto"/>
                <w:sz w:val="21"/>
                <w:szCs w:val="21"/>
                <w:highlight w:val="none"/>
              </w:rPr>
            </w:pPr>
            <w:r>
              <w:rPr>
                <w:color w:val="auto"/>
                <w:sz w:val="21"/>
                <w:szCs w:val="21"/>
                <w:highlight w:val="none"/>
              </w:rPr>
              <w:t>（</w:t>
            </w:r>
            <w:r>
              <w:rPr>
                <w:rFonts w:hint="eastAsia"/>
                <w:color w:val="auto"/>
                <w:highlight w:val="none"/>
              </w:rPr>
              <w:t>/</w:t>
            </w:r>
            <w:r>
              <w:rPr>
                <w:color w:val="auto"/>
                <w:sz w:val="21"/>
                <w:szCs w:val="21"/>
                <w:highlight w:val="none"/>
              </w:rPr>
              <w:t>）hm</w:t>
            </w:r>
            <w:r>
              <w:rPr>
                <w:color w:val="auto"/>
                <w:sz w:val="21"/>
                <w:szCs w:val="21"/>
                <w:highlight w:val="none"/>
                <w:vertAlign w:val="superscript"/>
              </w:rPr>
              <w:t>2</w:t>
            </w:r>
          </w:p>
        </w:tc>
        <w:tc>
          <w:tcPr>
            <w:tcW w:w="556" w:type="pct"/>
            <w:noWrap w:val="0"/>
            <w:vAlign w:val="center"/>
          </w:tcPr>
          <w:p w14:paraId="78238946">
            <w:pPr>
              <w:spacing w:line="240" w:lineRule="auto"/>
              <w:ind w:firstLine="0" w:firstLineChars="0"/>
              <w:jc w:val="center"/>
              <w:rPr>
                <w:color w:val="auto"/>
                <w:sz w:val="21"/>
                <w:szCs w:val="21"/>
                <w:highlight w:val="none"/>
              </w:rPr>
            </w:pPr>
          </w:p>
        </w:tc>
      </w:tr>
      <w:tr w14:paraId="3A3DF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313" w:type="pct"/>
            <w:vMerge w:val="continue"/>
            <w:noWrap w:val="0"/>
            <w:vAlign w:val="center"/>
          </w:tcPr>
          <w:p w14:paraId="712CBA16">
            <w:pPr>
              <w:spacing w:line="240" w:lineRule="auto"/>
              <w:ind w:firstLine="0" w:firstLineChars="0"/>
              <w:jc w:val="center"/>
              <w:rPr>
                <w:color w:val="auto"/>
                <w:sz w:val="21"/>
                <w:szCs w:val="21"/>
                <w:highlight w:val="none"/>
              </w:rPr>
            </w:pPr>
          </w:p>
        </w:tc>
        <w:tc>
          <w:tcPr>
            <w:tcW w:w="959" w:type="pct"/>
            <w:noWrap w:val="0"/>
            <w:vAlign w:val="center"/>
          </w:tcPr>
          <w:p w14:paraId="13DF067C">
            <w:pPr>
              <w:spacing w:line="240" w:lineRule="auto"/>
              <w:ind w:firstLine="0" w:firstLineChars="0"/>
              <w:jc w:val="center"/>
              <w:rPr>
                <w:color w:val="auto"/>
                <w:sz w:val="21"/>
                <w:szCs w:val="21"/>
                <w:highlight w:val="none"/>
              </w:rPr>
            </w:pPr>
            <w:r>
              <w:rPr>
                <w:color w:val="auto"/>
                <w:sz w:val="21"/>
                <w:szCs w:val="21"/>
                <w:highlight w:val="none"/>
              </w:rPr>
              <w:t>敏感目标信息</w:t>
            </w:r>
          </w:p>
        </w:tc>
        <w:tc>
          <w:tcPr>
            <w:tcW w:w="3169" w:type="pct"/>
            <w:gridSpan w:val="6"/>
            <w:noWrap w:val="0"/>
            <w:vAlign w:val="center"/>
          </w:tcPr>
          <w:p w14:paraId="4D7A9B83">
            <w:pPr>
              <w:spacing w:line="240" w:lineRule="auto"/>
              <w:ind w:firstLine="0" w:firstLineChars="0"/>
              <w:jc w:val="center"/>
              <w:rPr>
                <w:color w:val="auto"/>
                <w:sz w:val="21"/>
                <w:szCs w:val="21"/>
                <w:highlight w:val="none"/>
              </w:rPr>
            </w:pPr>
            <w:r>
              <w:rPr>
                <w:rFonts w:hint="eastAsia"/>
                <w:color w:val="auto"/>
                <w:sz w:val="21"/>
                <w:szCs w:val="21"/>
                <w:highlight w:val="none"/>
              </w:rPr>
              <w:t>居民-</w:t>
            </w:r>
            <w:r>
              <w:rPr>
                <w:color w:val="auto"/>
                <w:sz w:val="21"/>
                <w:szCs w:val="21"/>
                <w:highlight w:val="none"/>
              </w:rPr>
              <w:t>紧邻</w:t>
            </w:r>
          </w:p>
        </w:tc>
        <w:tc>
          <w:tcPr>
            <w:tcW w:w="556" w:type="pct"/>
            <w:noWrap w:val="0"/>
            <w:vAlign w:val="center"/>
          </w:tcPr>
          <w:p w14:paraId="114E5755">
            <w:pPr>
              <w:spacing w:line="240" w:lineRule="auto"/>
              <w:ind w:firstLine="0" w:firstLineChars="0"/>
              <w:jc w:val="center"/>
              <w:rPr>
                <w:color w:val="auto"/>
                <w:sz w:val="21"/>
                <w:szCs w:val="21"/>
                <w:highlight w:val="none"/>
              </w:rPr>
            </w:pPr>
          </w:p>
        </w:tc>
      </w:tr>
      <w:tr w14:paraId="7EA40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3" w:type="pct"/>
            <w:vMerge w:val="continue"/>
            <w:noWrap w:val="0"/>
            <w:vAlign w:val="center"/>
          </w:tcPr>
          <w:p w14:paraId="66D56892">
            <w:pPr>
              <w:spacing w:line="240" w:lineRule="auto"/>
              <w:ind w:firstLine="0" w:firstLineChars="0"/>
              <w:jc w:val="center"/>
              <w:rPr>
                <w:color w:val="auto"/>
                <w:sz w:val="21"/>
                <w:szCs w:val="21"/>
                <w:highlight w:val="none"/>
              </w:rPr>
            </w:pPr>
          </w:p>
        </w:tc>
        <w:tc>
          <w:tcPr>
            <w:tcW w:w="959" w:type="pct"/>
            <w:noWrap w:val="0"/>
            <w:vAlign w:val="center"/>
          </w:tcPr>
          <w:p w14:paraId="2D19728F">
            <w:pPr>
              <w:spacing w:line="240" w:lineRule="auto"/>
              <w:ind w:firstLine="0" w:firstLineChars="0"/>
              <w:jc w:val="center"/>
              <w:rPr>
                <w:color w:val="auto"/>
                <w:sz w:val="21"/>
                <w:szCs w:val="21"/>
                <w:highlight w:val="none"/>
              </w:rPr>
            </w:pPr>
            <w:r>
              <w:rPr>
                <w:color w:val="auto"/>
                <w:sz w:val="21"/>
                <w:szCs w:val="21"/>
                <w:highlight w:val="none"/>
              </w:rPr>
              <w:t>影响途径</w:t>
            </w:r>
          </w:p>
        </w:tc>
        <w:tc>
          <w:tcPr>
            <w:tcW w:w="3169" w:type="pct"/>
            <w:gridSpan w:val="6"/>
            <w:noWrap w:val="0"/>
            <w:vAlign w:val="center"/>
          </w:tcPr>
          <w:p w14:paraId="2EDF22B6">
            <w:pPr>
              <w:spacing w:line="240" w:lineRule="auto"/>
              <w:ind w:firstLine="0" w:firstLineChars="0"/>
              <w:jc w:val="center"/>
              <w:rPr>
                <w:color w:val="auto"/>
                <w:sz w:val="21"/>
                <w:szCs w:val="21"/>
                <w:highlight w:val="none"/>
              </w:rPr>
            </w:pPr>
            <w:r>
              <w:rPr>
                <w:color w:val="auto"/>
                <w:sz w:val="21"/>
                <w:szCs w:val="21"/>
                <w:highlight w:val="none"/>
              </w:rPr>
              <w:t>大气沉降</w:t>
            </w:r>
            <w:r>
              <w:rPr>
                <w:rFonts w:hint="eastAsia" w:ascii="MS Mincho" w:hAnsi="MS Mincho" w:eastAsia="MS Mincho" w:cs="MS Mincho"/>
                <w:color w:val="auto"/>
                <w:sz w:val="21"/>
                <w:szCs w:val="21"/>
                <w:highlight w:val="none"/>
              </w:rPr>
              <w:t>☑</w:t>
            </w:r>
            <w:r>
              <w:rPr>
                <w:color w:val="auto"/>
                <w:sz w:val="21"/>
                <w:szCs w:val="21"/>
                <w:highlight w:val="none"/>
              </w:rPr>
              <w:t>；地面漫流□；垂直入渗□；地下水位□；其他（   ）</w:t>
            </w:r>
          </w:p>
        </w:tc>
        <w:tc>
          <w:tcPr>
            <w:tcW w:w="556" w:type="pct"/>
            <w:noWrap w:val="0"/>
            <w:vAlign w:val="center"/>
          </w:tcPr>
          <w:p w14:paraId="667D1603">
            <w:pPr>
              <w:spacing w:line="240" w:lineRule="auto"/>
              <w:ind w:firstLine="0" w:firstLineChars="0"/>
              <w:jc w:val="center"/>
              <w:rPr>
                <w:color w:val="auto"/>
                <w:sz w:val="21"/>
                <w:szCs w:val="21"/>
                <w:highlight w:val="none"/>
              </w:rPr>
            </w:pPr>
          </w:p>
        </w:tc>
      </w:tr>
      <w:tr w14:paraId="4DCE3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3" w:type="pct"/>
            <w:vMerge w:val="continue"/>
            <w:noWrap w:val="0"/>
            <w:vAlign w:val="center"/>
          </w:tcPr>
          <w:p w14:paraId="280D26EB">
            <w:pPr>
              <w:spacing w:line="240" w:lineRule="auto"/>
              <w:ind w:firstLine="0" w:firstLineChars="0"/>
              <w:jc w:val="center"/>
              <w:rPr>
                <w:color w:val="auto"/>
                <w:sz w:val="21"/>
                <w:szCs w:val="21"/>
                <w:highlight w:val="none"/>
              </w:rPr>
            </w:pPr>
          </w:p>
        </w:tc>
        <w:tc>
          <w:tcPr>
            <w:tcW w:w="959" w:type="pct"/>
            <w:noWrap w:val="0"/>
            <w:vAlign w:val="center"/>
          </w:tcPr>
          <w:p w14:paraId="0CEAFA88">
            <w:pPr>
              <w:spacing w:line="240" w:lineRule="auto"/>
              <w:ind w:firstLine="0" w:firstLineChars="0"/>
              <w:jc w:val="center"/>
              <w:rPr>
                <w:color w:val="auto"/>
                <w:sz w:val="21"/>
                <w:szCs w:val="21"/>
                <w:highlight w:val="none"/>
              </w:rPr>
            </w:pPr>
            <w:r>
              <w:rPr>
                <w:color w:val="auto"/>
                <w:sz w:val="21"/>
                <w:szCs w:val="21"/>
                <w:highlight w:val="none"/>
              </w:rPr>
              <w:t>全部污染物</w:t>
            </w:r>
          </w:p>
        </w:tc>
        <w:tc>
          <w:tcPr>
            <w:tcW w:w="3169" w:type="pct"/>
            <w:gridSpan w:val="6"/>
            <w:noWrap w:val="0"/>
            <w:vAlign w:val="center"/>
          </w:tcPr>
          <w:p w14:paraId="292C1566">
            <w:pPr>
              <w:spacing w:line="240" w:lineRule="auto"/>
              <w:ind w:firstLine="0" w:firstLineChars="0"/>
              <w:jc w:val="center"/>
              <w:rPr>
                <w:color w:val="auto"/>
                <w:sz w:val="21"/>
                <w:szCs w:val="21"/>
                <w:highlight w:val="none"/>
              </w:rPr>
            </w:pPr>
            <w:r>
              <w:rPr>
                <w:color w:val="auto"/>
                <w:sz w:val="21"/>
                <w:szCs w:val="21"/>
                <w:highlight w:val="none"/>
              </w:rPr>
              <w:t>Hg</w:t>
            </w:r>
          </w:p>
        </w:tc>
        <w:tc>
          <w:tcPr>
            <w:tcW w:w="556" w:type="pct"/>
            <w:noWrap w:val="0"/>
            <w:vAlign w:val="center"/>
          </w:tcPr>
          <w:p w14:paraId="662A723D">
            <w:pPr>
              <w:spacing w:line="240" w:lineRule="auto"/>
              <w:ind w:firstLine="0" w:firstLineChars="0"/>
              <w:jc w:val="center"/>
              <w:rPr>
                <w:color w:val="auto"/>
                <w:sz w:val="21"/>
                <w:szCs w:val="21"/>
                <w:highlight w:val="none"/>
              </w:rPr>
            </w:pPr>
          </w:p>
        </w:tc>
      </w:tr>
      <w:tr w14:paraId="3BB5FB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3" w:type="pct"/>
            <w:vMerge w:val="continue"/>
            <w:noWrap w:val="0"/>
            <w:vAlign w:val="center"/>
          </w:tcPr>
          <w:p w14:paraId="551C1E7D">
            <w:pPr>
              <w:spacing w:line="240" w:lineRule="auto"/>
              <w:ind w:firstLine="0" w:firstLineChars="0"/>
              <w:jc w:val="center"/>
              <w:rPr>
                <w:color w:val="auto"/>
                <w:sz w:val="21"/>
                <w:szCs w:val="21"/>
                <w:highlight w:val="none"/>
              </w:rPr>
            </w:pPr>
          </w:p>
        </w:tc>
        <w:tc>
          <w:tcPr>
            <w:tcW w:w="959" w:type="pct"/>
            <w:noWrap w:val="0"/>
            <w:vAlign w:val="center"/>
          </w:tcPr>
          <w:p w14:paraId="3A85F338">
            <w:pPr>
              <w:spacing w:line="240" w:lineRule="auto"/>
              <w:ind w:firstLine="0" w:firstLineChars="0"/>
              <w:jc w:val="center"/>
              <w:rPr>
                <w:color w:val="auto"/>
                <w:sz w:val="21"/>
                <w:szCs w:val="21"/>
                <w:highlight w:val="none"/>
              </w:rPr>
            </w:pPr>
            <w:r>
              <w:rPr>
                <w:color w:val="auto"/>
                <w:sz w:val="21"/>
                <w:szCs w:val="21"/>
                <w:highlight w:val="none"/>
              </w:rPr>
              <w:t>特征因子</w:t>
            </w:r>
          </w:p>
        </w:tc>
        <w:tc>
          <w:tcPr>
            <w:tcW w:w="3169" w:type="pct"/>
            <w:gridSpan w:val="6"/>
            <w:noWrap w:val="0"/>
            <w:vAlign w:val="center"/>
          </w:tcPr>
          <w:p w14:paraId="008A8DB5">
            <w:pPr>
              <w:spacing w:line="240" w:lineRule="auto"/>
              <w:ind w:firstLine="0" w:firstLineChars="0"/>
              <w:jc w:val="center"/>
              <w:rPr>
                <w:color w:val="auto"/>
                <w:sz w:val="21"/>
                <w:szCs w:val="21"/>
                <w:highlight w:val="none"/>
              </w:rPr>
            </w:pPr>
            <w:r>
              <w:rPr>
                <w:color w:val="auto"/>
                <w:sz w:val="21"/>
                <w:szCs w:val="21"/>
                <w:highlight w:val="none"/>
              </w:rPr>
              <w:t>Hg</w:t>
            </w:r>
          </w:p>
        </w:tc>
        <w:tc>
          <w:tcPr>
            <w:tcW w:w="556" w:type="pct"/>
            <w:noWrap w:val="0"/>
            <w:vAlign w:val="center"/>
          </w:tcPr>
          <w:p w14:paraId="1C3742F7">
            <w:pPr>
              <w:spacing w:line="240" w:lineRule="auto"/>
              <w:ind w:firstLine="0" w:firstLineChars="0"/>
              <w:jc w:val="center"/>
              <w:rPr>
                <w:color w:val="auto"/>
                <w:sz w:val="21"/>
                <w:szCs w:val="21"/>
                <w:highlight w:val="none"/>
              </w:rPr>
            </w:pPr>
          </w:p>
        </w:tc>
      </w:tr>
      <w:tr w14:paraId="3A78F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3" w:type="pct"/>
            <w:vMerge w:val="continue"/>
            <w:noWrap w:val="0"/>
            <w:vAlign w:val="center"/>
          </w:tcPr>
          <w:p w14:paraId="1A7C0CB0">
            <w:pPr>
              <w:spacing w:line="240" w:lineRule="auto"/>
              <w:ind w:firstLine="0" w:firstLineChars="0"/>
              <w:jc w:val="center"/>
              <w:rPr>
                <w:color w:val="auto"/>
                <w:sz w:val="21"/>
                <w:szCs w:val="21"/>
                <w:highlight w:val="none"/>
              </w:rPr>
            </w:pPr>
          </w:p>
        </w:tc>
        <w:tc>
          <w:tcPr>
            <w:tcW w:w="959" w:type="pct"/>
            <w:noWrap w:val="0"/>
            <w:vAlign w:val="center"/>
          </w:tcPr>
          <w:p w14:paraId="6E5C8736">
            <w:pPr>
              <w:spacing w:line="240" w:lineRule="auto"/>
              <w:ind w:firstLine="0" w:firstLineChars="0"/>
              <w:jc w:val="center"/>
              <w:rPr>
                <w:color w:val="auto"/>
                <w:sz w:val="21"/>
                <w:szCs w:val="21"/>
                <w:highlight w:val="none"/>
              </w:rPr>
            </w:pPr>
            <w:r>
              <w:rPr>
                <w:color w:val="auto"/>
                <w:sz w:val="21"/>
                <w:szCs w:val="21"/>
                <w:highlight w:val="none"/>
              </w:rPr>
              <w:t>所属土壤环境影响评价项目类别</w:t>
            </w:r>
          </w:p>
        </w:tc>
        <w:tc>
          <w:tcPr>
            <w:tcW w:w="3169" w:type="pct"/>
            <w:gridSpan w:val="6"/>
            <w:noWrap w:val="0"/>
            <w:vAlign w:val="center"/>
          </w:tcPr>
          <w:p w14:paraId="326DD5CD">
            <w:pPr>
              <w:spacing w:line="240" w:lineRule="auto"/>
              <w:ind w:firstLine="0" w:firstLineChars="0"/>
              <w:jc w:val="center"/>
              <w:rPr>
                <w:color w:val="auto"/>
                <w:sz w:val="21"/>
                <w:szCs w:val="21"/>
                <w:highlight w:val="none"/>
              </w:rPr>
            </w:pPr>
            <w:r>
              <w:rPr>
                <w:rFonts w:hint="eastAsia" w:ascii="宋体" w:hAnsi="宋体" w:cs="宋体"/>
                <w:color w:val="auto"/>
                <w:sz w:val="21"/>
                <w:szCs w:val="21"/>
                <w:highlight w:val="none"/>
              </w:rPr>
              <w:t>Ⅰ</w:t>
            </w:r>
            <w:r>
              <w:rPr>
                <w:color w:val="auto"/>
                <w:sz w:val="21"/>
                <w:szCs w:val="21"/>
                <w:highlight w:val="none"/>
              </w:rPr>
              <w:t>类□；</w:t>
            </w:r>
            <w:r>
              <w:rPr>
                <w:rFonts w:hint="eastAsia" w:ascii="宋体" w:hAnsi="宋体" w:cs="宋体"/>
                <w:color w:val="auto"/>
                <w:sz w:val="21"/>
                <w:szCs w:val="21"/>
                <w:highlight w:val="none"/>
              </w:rPr>
              <w:t>Ⅱ</w:t>
            </w:r>
            <w:r>
              <w:rPr>
                <w:color w:val="auto"/>
                <w:sz w:val="21"/>
                <w:szCs w:val="21"/>
                <w:highlight w:val="none"/>
              </w:rPr>
              <w:t>类□；</w:t>
            </w:r>
            <w:r>
              <w:rPr>
                <w:rFonts w:hint="eastAsia" w:ascii="宋体" w:hAnsi="宋体" w:cs="宋体"/>
                <w:color w:val="auto"/>
                <w:sz w:val="21"/>
                <w:szCs w:val="21"/>
                <w:highlight w:val="none"/>
              </w:rPr>
              <w:t>Ⅲ</w:t>
            </w:r>
            <w:r>
              <w:rPr>
                <w:color w:val="auto"/>
                <w:sz w:val="21"/>
                <w:szCs w:val="21"/>
                <w:highlight w:val="none"/>
              </w:rPr>
              <w:t>类</w:t>
            </w:r>
            <w:r>
              <w:rPr>
                <w:rFonts w:hint="eastAsia" w:ascii="MS Mincho" w:hAnsi="MS Mincho" w:eastAsia="MS Mincho" w:cs="MS Mincho"/>
                <w:color w:val="auto"/>
                <w:sz w:val="21"/>
                <w:szCs w:val="21"/>
                <w:highlight w:val="none"/>
              </w:rPr>
              <w:t>☑</w:t>
            </w:r>
            <w:r>
              <w:rPr>
                <w:color w:val="auto"/>
                <w:sz w:val="21"/>
                <w:szCs w:val="21"/>
                <w:highlight w:val="none"/>
              </w:rPr>
              <w:t>；</w:t>
            </w:r>
            <w:r>
              <w:rPr>
                <w:rFonts w:hint="eastAsia" w:ascii="宋体" w:hAnsi="宋体" w:cs="宋体"/>
                <w:color w:val="auto"/>
                <w:sz w:val="21"/>
                <w:szCs w:val="21"/>
                <w:highlight w:val="none"/>
              </w:rPr>
              <w:t>Ⅳ</w:t>
            </w:r>
            <w:r>
              <w:rPr>
                <w:color w:val="auto"/>
                <w:sz w:val="21"/>
                <w:szCs w:val="21"/>
                <w:highlight w:val="none"/>
              </w:rPr>
              <w:t>类□</w:t>
            </w:r>
          </w:p>
        </w:tc>
        <w:tc>
          <w:tcPr>
            <w:tcW w:w="556" w:type="pct"/>
            <w:noWrap w:val="0"/>
            <w:vAlign w:val="center"/>
          </w:tcPr>
          <w:p w14:paraId="6857E3FE">
            <w:pPr>
              <w:spacing w:line="240" w:lineRule="auto"/>
              <w:ind w:firstLine="0" w:firstLineChars="0"/>
              <w:jc w:val="center"/>
              <w:rPr>
                <w:color w:val="auto"/>
                <w:sz w:val="21"/>
                <w:szCs w:val="21"/>
                <w:highlight w:val="none"/>
              </w:rPr>
            </w:pPr>
          </w:p>
        </w:tc>
      </w:tr>
      <w:tr w14:paraId="017FD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3" w:type="pct"/>
            <w:vMerge w:val="continue"/>
            <w:noWrap w:val="0"/>
            <w:vAlign w:val="center"/>
          </w:tcPr>
          <w:p w14:paraId="0296CC6E">
            <w:pPr>
              <w:spacing w:line="240" w:lineRule="auto"/>
              <w:ind w:firstLine="0" w:firstLineChars="0"/>
              <w:jc w:val="center"/>
              <w:rPr>
                <w:color w:val="auto"/>
                <w:sz w:val="21"/>
                <w:szCs w:val="21"/>
                <w:highlight w:val="none"/>
              </w:rPr>
            </w:pPr>
          </w:p>
        </w:tc>
        <w:tc>
          <w:tcPr>
            <w:tcW w:w="959" w:type="pct"/>
            <w:noWrap w:val="0"/>
            <w:vAlign w:val="center"/>
          </w:tcPr>
          <w:p w14:paraId="6E1FEE11">
            <w:pPr>
              <w:spacing w:line="240" w:lineRule="auto"/>
              <w:ind w:firstLine="0" w:firstLineChars="0"/>
              <w:jc w:val="center"/>
              <w:rPr>
                <w:color w:val="auto"/>
                <w:sz w:val="21"/>
                <w:szCs w:val="21"/>
                <w:highlight w:val="none"/>
              </w:rPr>
            </w:pPr>
            <w:r>
              <w:rPr>
                <w:color w:val="auto"/>
                <w:sz w:val="21"/>
                <w:szCs w:val="21"/>
                <w:highlight w:val="none"/>
              </w:rPr>
              <w:t>敏感程度</w:t>
            </w:r>
          </w:p>
        </w:tc>
        <w:tc>
          <w:tcPr>
            <w:tcW w:w="3169" w:type="pct"/>
            <w:gridSpan w:val="6"/>
            <w:noWrap w:val="0"/>
            <w:vAlign w:val="center"/>
          </w:tcPr>
          <w:p w14:paraId="4D72BF78">
            <w:pPr>
              <w:spacing w:line="240" w:lineRule="auto"/>
              <w:ind w:firstLine="0" w:firstLineChars="0"/>
              <w:jc w:val="center"/>
              <w:rPr>
                <w:color w:val="auto"/>
                <w:sz w:val="21"/>
                <w:szCs w:val="21"/>
                <w:highlight w:val="none"/>
              </w:rPr>
            </w:pPr>
            <w:r>
              <w:rPr>
                <w:color w:val="auto"/>
                <w:sz w:val="21"/>
                <w:szCs w:val="21"/>
                <w:highlight w:val="none"/>
              </w:rPr>
              <w:t>敏感</w:t>
            </w:r>
            <w:r>
              <w:rPr>
                <w:rFonts w:hint="eastAsia" w:ascii="MS Mincho" w:hAnsi="MS Mincho" w:eastAsia="宋体" w:cs="MS Mincho"/>
                <w:color w:val="auto"/>
                <w:sz w:val="21"/>
                <w:szCs w:val="21"/>
                <w:highlight w:val="none"/>
                <w:lang w:eastAsia="zh-CN"/>
              </w:rPr>
              <w:t>☑</w:t>
            </w:r>
            <w:r>
              <w:rPr>
                <w:color w:val="auto"/>
                <w:sz w:val="21"/>
                <w:szCs w:val="21"/>
                <w:highlight w:val="none"/>
              </w:rPr>
              <w:t>；较敏感</w:t>
            </w:r>
            <w:r>
              <w:rPr>
                <w:rFonts w:hint="eastAsia"/>
                <w:color w:val="auto"/>
                <w:sz w:val="21"/>
                <w:szCs w:val="21"/>
                <w:highlight w:val="none"/>
                <w:lang w:eastAsia="zh-CN"/>
              </w:rPr>
              <w:t>□</w:t>
            </w:r>
            <w:r>
              <w:rPr>
                <w:color w:val="auto"/>
                <w:sz w:val="21"/>
                <w:szCs w:val="21"/>
                <w:highlight w:val="none"/>
              </w:rPr>
              <w:t>；不敏感□</w:t>
            </w:r>
          </w:p>
        </w:tc>
        <w:tc>
          <w:tcPr>
            <w:tcW w:w="556" w:type="pct"/>
            <w:noWrap w:val="0"/>
            <w:vAlign w:val="center"/>
          </w:tcPr>
          <w:p w14:paraId="7D9ECE47">
            <w:pPr>
              <w:spacing w:line="240" w:lineRule="auto"/>
              <w:ind w:firstLine="0" w:firstLineChars="0"/>
              <w:jc w:val="center"/>
              <w:rPr>
                <w:color w:val="auto"/>
                <w:sz w:val="21"/>
                <w:szCs w:val="21"/>
                <w:highlight w:val="none"/>
              </w:rPr>
            </w:pPr>
          </w:p>
        </w:tc>
      </w:tr>
      <w:tr w14:paraId="2B18A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3" w:type="pct"/>
            <w:gridSpan w:val="2"/>
            <w:noWrap w:val="0"/>
            <w:vAlign w:val="center"/>
          </w:tcPr>
          <w:p w14:paraId="556C52C6">
            <w:pPr>
              <w:spacing w:line="240" w:lineRule="auto"/>
              <w:ind w:firstLine="0" w:firstLineChars="0"/>
              <w:jc w:val="center"/>
              <w:rPr>
                <w:color w:val="auto"/>
                <w:sz w:val="21"/>
                <w:szCs w:val="21"/>
                <w:highlight w:val="none"/>
              </w:rPr>
            </w:pPr>
            <w:r>
              <w:rPr>
                <w:color w:val="auto"/>
                <w:sz w:val="21"/>
                <w:szCs w:val="21"/>
                <w:highlight w:val="none"/>
              </w:rPr>
              <w:t>评价工作等级</w:t>
            </w:r>
          </w:p>
        </w:tc>
        <w:tc>
          <w:tcPr>
            <w:tcW w:w="3169" w:type="pct"/>
            <w:gridSpan w:val="6"/>
            <w:noWrap w:val="0"/>
            <w:vAlign w:val="center"/>
          </w:tcPr>
          <w:p w14:paraId="33839D93">
            <w:pPr>
              <w:spacing w:line="240" w:lineRule="auto"/>
              <w:ind w:firstLine="0" w:firstLineChars="0"/>
              <w:jc w:val="center"/>
              <w:rPr>
                <w:rFonts w:hint="eastAsia" w:eastAsia="宋体"/>
                <w:color w:val="auto"/>
                <w:sz w:val="21"/>
                <w:szCs w:val="21"/>
                <w:highlight w:val="none"/>
                <w:lang w:eastAsia="zh-CN"/>
              </w:rPr>
            </w:pPr>
            <w:r>
              <w:rPr>
                <w:color w:val="auto"/>
                <w:sz w:val="21"/>
                <w:szCs w:val="21"/>
                <w:highlight w:val="none"/>
              </w:rPr>
              <w:t>一级□；二级□；三级</w:t>
            </w:r>
            <w:r>
              <w:rPr>
                <w:rFonts w:hint="eastAsia" w:ascii="MS Mincho" w:hAnsi="MS Mincho" w:eastAsia="宋体" w:cs="MS Mincho"/>
                <w:color w:val="auto"/>
                <w:sz w:val="21"/>
                <w:szCs w:val="21"/>
                <w:highlight w:val="none"/>
                <w:lang w:eastAsia="zh-CN"/>
              </w:rPr>
              <w:t>☑</w:t>
            </w:r>
          </w:p>
        </w:tc>
        <w:tc>
          <w:tcPr>
            <w:tcW w:w="556" w:type="pct"/>
            <w:noWrap w:val="0"/>
            <w:vAlign w:val="center"/>
          </w:tcPr>
          <w:p w14:paraId="31EB59F6">
            <w:pPr>
              <w:spacing w:line="240" w:lineRule="auto"/>
              <w:ind w:firstLine="0" w:firstLineChars="0"/>
              <w:jc w:val="center"/>
              <w:rPr>
                <w:color w:val="auto"/>
                <w:sz w:val="21"/>
                <w:szCs w:val="21"/>
                <w:highlight w:val="none"/>
              </w:rPr>
            </w:pPr>
          </w:p>
        </w:tc>
      </w:tr>
      <w:tr w14:paraId="48240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3" w:type="pct"/>
            <w:vMerge w:val="restart"/>
            <w:noWrap w:val="0"/>
            <w:vAlign w:val="center"/>
          </w:tcPr>
          <w:p w14:paraId="7139DD0E">
            <w:pPr>
              <w:spacing w:line="240" w:lineRule="auto"/>
              <w:ind w:firstLine="0" w:firstLineChars="0"/>
              <w:jc w:val="center"/>
              <w:rPr>
                <w:color w:val="auto"/>
                <w:sz w:val="21"/>
                <w:szCs w:val="21"/>
                <w:highlight w:val="none"/>
              </w:rPr>
            </w:pPr>
            <w:r>
              <w:rPr>
                <w:color w:val="auto"/>
                <w:sz w:val="21"/>
                <w:szCs w:val="21"/>
                <w:highlight w:val="none"/>
              </w:rPr>
              <w:t>现状调查内容</w:t>
            </w:r>
          </w:p>
        </w:tc>
        <w:tc>
          <w:tcPr>
            <w:tcW w:w="959" w:type="pct"/>
            <w:noWrap w:val="0"/>
            <w:vAlign w:val="center"/>
          </w:tcPr>
          <w:p w14:paraId="19CC99C9">
            <w:pPr>
              <w:spacing w:line="240" w:lineRule="auto"/>
              <w:ind w:firstLine="0" w:firstLineChars="0"/>
              <w:jc w:val="center"/>
              <w:rPr>
                <w:color w:val="auto"/>
                <w:sz w:val="21"/>
                <w:szCs w:val="21"/>
                <w:highlight w:val="none"/>
              </w:rPr>
            </w:pPr>
            <w:r>
              <w:rPr>
                <w:color w:val="auto"/>
                <w:sz w:val="21"/>
                <w:szCs w:val="21"/>
                <w:highlight w:val="none"/>
              </w:rPr>
              <w:t>资料收集</w:t>
            </w:r>
          </w:p>
        </w:tc>
        <w:tc>
          <w:tcPr>
            <w:tcW w:w="3169" w:type="pct"/>
            <w:gridSpan w:val="6"/>
            <w:noWrap w:val="0"/>
            <w:vAlign w:val="center"/>
          </w:tcPr>
          <w:p w14:paraId="7245A198">
            <w:pPr>
              <w:spacing w:line="240" w:lineRule="auto"/>
              <w:ind w:firstLine="0" w:firstLineChars="0"/>
              <w:jc w:val="center"/>
              <w:rPr>
                <w:color w:val="auto"/>
                <w:sz w:val="21"/>
                <w:szCs w:val="21"/>
                <w:highlight w:val="none"/>
              </w:rPr>
            </w:pPr>
            <w:r>
              <w:rPr>
                <w:color w:val="auto"/>
                <w:sz w:val="21"/>
                <w:szCs w:val="21"/>
                <w:highlight w:val="none"/>
              </w:rPr>
              <w:t>a）</w:t>
            </w:r>
            <w:r>
              <w:rPr>
                <w:rFonts w:hint="eastAsia" w:ascii="MS Mincho" w:hAnsi="MS Mincho" w:eastAsia="MS Mincho" w:cs="MS Mincho"/>
                <w:color w:val="auto"/>
                <w:sz w:val="21"/>
                <w:szCs w:val="21"/>
                <w:highlight w:val="none"/>
              </w:rPr>
              <w:t>☑</w:t>
            </w:r>
            <w:r>
              <w:rPr>
                <w:color w:val="auto"/>
                <w:sz w:val="21"/>
                <w:szCs w:val="21"/>
                <w:highlight w:val="none"/>
              </w:rPr>
              <w:t>；b）</w:t>
            </w:r>
            <w:r>
              <w:rPr>
                <w:rFonts w:hint="eastAsia" w:ascii="MS Mincho" w:hAnsi="MS Mincho" w:eastAsia="MS Mincho" w:cs="MS Mincho"/>
                <w:color w:val="auto"/>
                <w:sz w:val="21"/>
                <w:szCs w:val="21"/>
                <w:highlight w:val="none"/>
              </w:rPr>
              <w:t>☑</w:t>
            </w:r>
            <w:r>
              <w:rPr>
                <w:color w:val="auto"/>
                <w:sz w:val="21"/>
                <w:szCs w:val="21"/>
                <w:highlight w:val="none"/>
              </w:rPr>
              <w:t>；c）</w:t>
            </w:r>
            <w:r>
              <w:rPr>
                <w:rFonts w:hint="eastAsia" w:ascii="MS Mincho" w:hAnsi="MS Mincho" w:eastAsia="MS Mincho" w:cs="MS Mincho"/>
                <w:color w:val="auto"/>
                <w:sz w:val="21"/>
                <w:szCs w:val="21"/>
                <w:highlight w:val="none"/>
              </w:rPr>
              <w:t>☑</w:t>
            </w:r>
            <w:r>
              <w:rPr>
                <w:color w:val="auto"/>
                <w:sz w:val="21"/>
                <w:szCs w:val="21"/>
                <w:highlight w:val="none"/>
              </w:rPr>
              <w:t>；d）</w:t>
            </w:r>
            <w:r>
              <w:rPr>
                <w:rFonts w:hint="eastAsia" w:ascii="MS Mincho" w:hAnsi="MS Mincho" w:eastAsia="MS Mincho" w:cs="MS Mincho"/>
                <w:color w:val="auto"/>
                <w:sz w:val="21"/>
                <w:szCs w:val="21"/>
                <w:highlight w:val="none"/>
              </w:rPr>
              <w:t>☑</w:t>
            </w:r>
          </w:p>
        </w:tc>
        <w:tc>
          <w:tcPr>
            <w:tcW w:w="556" w:type="pct"/>
            <w:noWrap w:val="0"/>
            <w:vAlign w:val="center"/>
          </w:tcPr>
          <w:p w14:paraId="23F3B48E">
            <w:pPr>
              <w:spacing w:line="240" w:lineRule="auto"/>
              <w:ind w:firstLine="0" w:firstLineChars="0"/>
              <w:jc w:val="center"/>
              <w:rPr>
                <w:color w:val="auto"/>
                <w:sz w:val="21"/>
                <w:szCs w:val="21"/>
                <w:highlight w:val="none"/>
              </w:rPr>
            </w:pPr>
          </w:p>
        </w:tc>
      </w:tr>
      <w:tr w14:paraId="6604C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3" w:type="pct"/>
            <w:vMerge w:val="continue"/>
            <w:noWrap w:val="0"/>
            <w:vAlign w:val="center"/>
          </w:tcPr>
          <w:p w14:paraId="11142071">
            <w:pPr>
              <w:spacing w:line="240" w:lineRule="auto"/>
              <w:ind w:firstLine="0" w:firstLineChars="0"/>
              <w:jc w:val="center"/>
              <w:rPr>
                <w:color w:val="auto"/>
                <w:sz w:val="21"/>
                <w:szCs w:val="21"/>
                <w:highlight w:val="none"/>
              </w:rPr>
            </w:pPr>
          </w:p>
        </w:tc>
        <w:tc>
          <w:tcPr>
            <w:tcW w:w="959" w:type="pct"/>
            <w:noWrap w:val="0"/>
            <w:vAlign w:val="center"/>
          </w:tcPr>
          <w:p w14:paraId="3D189D1C">
            <w:pPr>
              <w:spacing w:line="240" w:lineRule="auto"/>
              <w:ind w:firstLine="0" w:firstLineChars="0"/>
              <w:jc w:val="center"/>
              <w:rPr>
                <w:color w:val="auto"/>
                <w:sz w:val="21"/>
                <w:szCs w:val="21"/>
                <w:highlight w:val="none"/>
              </w:rPr>
            </w:pPr>
            <w:r>
              <w:rPr>
                <w:color w:val="auto"/>
                <w:sz w:val="21"/>
                <w:szCs w:val="21"/>
                <w:highlight w:val="none"/>
              </w:rPr>
              <w:t>理化特性</w:t>
            </w:r>
          </w:p>
        </w:tc>
        <w:tc>
          <w:tcPr>
            <w:tcW w:w="3169" w:type="pct"/>
            <w:gridSpan w:val="6"/>
            <w:noWrap w:val="0"/>
            <w:vAlign w:val="center"/>
          </w:tcPr>
          <w:p w14:paraId="19A87A3F">
            <w:pPr>
              <w:spacing w:line="240" w:lineRule="auto"/>
              <w:ind w:firstLine="0" w:firstLineChars="0"/>
              <w:jc w:val="center"/>
              <w:rPr>
                <w:color w:val="auto"/>
                <w:sz w:val="21"/>
                <w:szCs w:val="21"/>
                <w:highlight w:val="none"/>
              </w:rPr>
            </w:pPr>
          </w:p>
        </w:tc>
        <w:tc>
          <w:tcPr>
            <w:tcW w:w="556" w:type="pct"/>
            <w:noWrap w:val="0"/>
            <w:vAlign w:val="center"/>
          </w:tcPr>
          <w:p w14:paraId="24B71AA8">
            <w:pPr>
              <w:spacing w:line="240" w:lineRule="auto"/>
              <w:ind w:firstLine="0" w:firstLineChars="0"/>
              <w:jc w:val="center"/>
              <w:rPr>
                <w:color w:val="auto"/>
                <w:sz w:val="21"/>
                <w:szCs w:val="21"/>
                <w:highlight w:val="none"/>
              </w:rPr>
            </w:pPr>
            <w:r>
              <w:rPr>
                <w:color w:val="auto"/>
                <w:sz w:val="21"/>
                <w:szCs w:val="21"/>
                <w:highlight w:val="none"/>
              </w:rPr>
              <w:t>同附录C</w:t>
            </w:r>
          </w:p>
        </w:tc>
      </w:tr>
      <w:tr w14:paraId="250DB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3" w:type="pct"/>
            <w:vMerge w:val="continue"/>
            <w:noWrap w:val="0"/>
            <w:vAlign w:val="center"/>
          </w:tcPr>
          <w:p w14:paraId="19D570A6">
            <w:pPr>
              <w:spacing w:line="240" w:lineRule="auto"/>
              <w:ind w:firstLine="0" w:firstLineChars="0"/>
              <w:jc w:val="center"/>
              <w:rPr>
                <w:color w:val="auto"/>
                <w:sz w:val="21"/>
                <w:szCs w:val="21"/>
                <w:highlight w:val="none"/>
              </w:rPr>
            </w:pPr>
          </w:p>
        </w:tc>
        <w:tc>
          <w:tcPr>
            <w:tcW w:w="959" w:type="pct"/>
            <w:vMerge w:val="restart"/>
            <w:noWrap w:val="0"/>
            <w:vAlign w:val="center"/>
          </w:tcPr>
          <w:p w14:paraId="3AA967AD">
            <w:pPr>
              <w:spacing w:line="240" w:lineRule="auto"/>
              <w:ind w:firstLine="0" w:firstLineChars="0"/>
              <w:jc w:val="center"/>
              <w:rPr>
                <w:color w:val="auto"/>
                <w:sz w:val="21"/>
                <w:szCs w:val="21"/>
                <w:highlight w:val="none"/>
              </w:rPr>
            </w:pPr>
            <w:r>
              <w:rPr>
                <w:color w:val="auto"/>
                <w:sz w:val="21"/>
                <w:szCs w:val="21"/>
                <w:highlight w:val="none"/>
              </w:rPr>
              <w:t>现状监测点位</w:t>
            </w:r>
          </w:p>
        </w:tc>
        <w:tc>
          <w:tcPr>
            <w:tcW w:w="759" w:type="pct"/>
            <w:noWrap w:val="0"/>
            <w:vAlign w:val="center"/>
          </w:tcPr>
          <w:p w14:paraId="47A4B17E">
            <w:pPr>
              <w:spacing w:line="240" w:lineRule="auto"/>
              <w:ind w:firstLine="0" w:firstLineChars="0"/>
              <w:jc w:val="center"/>
              <w:rPr>
                <w:color w:val="auto"/>
                <w:sz w:val="21"/>
                <w:szCs w:val="21"/>
                <w:highlight w:val="none"/>
              </w:rPr>
            </w:pPr>
          </w:p>
        </w:tc>
        <w:tc>
          <w:tcPr>
            <w:tcW w:w="934" w:type="pct"/>
            <w:gridSpan w:val="2"/>
            <w:noWrap w:val="0"/>
            <w:vAlign w:val="center"/>
          </w:tcPr>
          <w:p w14:paraId="6871AB41">
            <w:pPr>
              <w:spacing w:line="240" w:lineRule="auto"/>
              <w:ind w:firstLine="0" w:firstLineChars="0"/>
              <w:jc w:val="center"/>
              <w:rPr>
                <w:color w:val="auto"/>
                <w:sz w:val="21"/>
                <w:szCs w:val="21"/>
                <w:highlight w:val="none"/>
              </w:rPr>
            </w:pPr>
            <w:r>
              <w:rPr>
                <w:color w:val="auto"/>
                <w:sz w:val="21"/>
                <w:szCs w:val="21"/>
                <w:highlight w:val="none"/>
              </w:rPr>
              <w:t>占地范围内</w:t>
            </w:r>
          </w:p>
        </w:tc>
        <w:tc>
          <w:tcPr>
            <w:tcW w:w="895" w:type="pct"/>
            <w:gridSpan w:val="2"/>
            <w:noWrap w:val="0"/>
            <w:vAlign w:val="center"/>
          </w:tcPr>
          <w:p w14:paraId="01A24D34">
            <w:pPr>
              <w:spacing w:line="240" w:lineRule="auto"/>
              <w:ind w:firstLine="0" w:firstLineChars="0"/>
              <w:jc w:val="center"/>
              <w:rPr>
                <w:color w:val="auto"/>
                <w:sz w:val="21"/>
                <w:szCs w:val="21"/>
                <w:highlight w:val="none"/>
              </w:rPr>
            </w:pPr>
            <w:r>
              <w:rPr>
                <w:color w:val="auto"/>
                <w:sz w:val="21"/>
                <w:szCs w:val="21"/>
                <w:highlight w:val="none"/>
              </w:rPr>
              <w:t>占地范围外</w:t>
            </w:r>
          </w:p>
        </w:tc>
        <w:tc>
          <w:tcPr>
            <w:tcW w:w="580" w:type="pct"/>
            <w:noWrap w:val="0"/>
            <w:vAlign w:val="center"/>
          </w:tcPr>
          <w:p w14:paraId="506813E3">
            <w:pPr>
              <w:spacing w:line="240" w:lineRule="auto"/>
              <w:ind w:firstLine="0" w:firstLineChars="0"/>
              <w:jc w:val="center"/>
              <w:rPr>
                <w:color w:val="auto"/>
                <w:sz w:val="21"/>
                <w:szCs w:val="21"/>
                <w:highlight w:val="none"/>
              </w:rPr>
            </w:pPr>
            <w:r>
              <w:rPr>
                <w:color w:val="auto"/>
                <w:sz w:val="21"/>
                <w:szCs w:val="21"/>
                <w:highlight w:val="none"/>
              </w:rPr>
              <w:t>深度</w:t>
            </w:r>
          </w:p>
        </w:tc>
        <w:tc>
          <w:tcPr>
            <w:tcW w:w="556" w:type="pct"/>
            <w:vMerge w:val="restart"/>
            <w:noWrap w:val="0"/>
            <w:vAlign w:val="center"/>
          </w:tcPr>
          <w:p w14:paraId="044A9141">
            <w:pPr>
              <w:spacing w:line="240" w:lineRule="auto"/>
              <w:ind w:firstLine="0" w:firstLineChars="0"/>
              <w:jc w:val="center"/>
              <w:rPr>
                <w:color w:val="auto"/>
                <w:sz w:val="21"/>
                <w:szCs w:val="21"/>
                <w:highlight w:val="none"/>
              </w:rPr>
            </w:pPr>
            <w:r>
              <w:rPr>
                <w:color w:val="auto"/>
                <w:sz w:val="21"/>
                <w:szCs w:val="21"/>
                <w:highlight w:val="none"/>
              </w:rPr>
              <w:t>点位布置图</w:t>
            </w:r>
          </w:p>
        </w:tc>
      </w:tr>
      <w:tr w14:paraId="11E0F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3" w:type="pct"/>
            <w:vMerge w:val="continue"/>
            <w:noWrap w:val="0"/>
            <w:vAlign w:val="center"/>
          </w:tcPr>
          <w:p w14:paraId="37A1A67E">
            <w:pPr>
              <w:spacing w:line="240" w:lineRule="auto"/>
              <w:ind w:firstLine="0" w:firstLineChars="0"/>
              <w:jc w:val="center"/>
              <w:rPr>
                <w:color w:val="auto"/>
                <w:sz w:val="21"/>
                <w:szCs w:val="21"/>
                <w:highlight w:val="none"/>
              </w:rPr>
            </w:pPr>
          </w:p>
        </w:tc>
        <w:tc>
          <w:tcPr>
            <w:tcW w:w="959" w:type="pct"/>
            <w:vMerge w:val="continue"/>
            <w:noWrap w:val="0"/>
            <w:vAlign w:val="center"/>
          </w:tcPr>
          <w:p w14:paraId="6E911F92">
            <w:pPr>
              <w:spacing w:line="240" w:lineRule="auto"/>
              <w:ind w:firstLine="0" w:firstLineChars="0"/>
              <w:jc w:val="center"/>
              <w:rPr>
                <w:color w:val="auto"/>
                <w:sz w:val="21"/>
                <w:szCs w:val="21"/>
                <w:highlight w:val="none"/>
              </w:rPr>
            </w:pPr>
          </w:p>
        </w:tc>
        <w:tc>
          <w:tcPr>
            <w:tcW w:w="759" w:type="pct"/>
            <w:noWrap w:val="0"/>
            <w:vAlign w:val="center"/>
          </w:tcPr>
          <w:p w14:paraId="68AFF281">
            <w:pPr>
              <w:spacing w:line="240" w:lineRule="auto"/>
              <w:ind w:firstLine="0" w:firstLineChars="0"/>
              <w:jc w:val="center"/>
              <w:rPr>
                <w:color w:val="auto"/>
                <w:sz w:val="21"/>
                <w:szCs w:val="21"/>
                <w:highlight w:val="none"/>
              </w:rPr>
            </w:pPr>
            <w:r>
              <w:rPr>
                <w:color w:val="auto"/>
                <w:sz w:val="21"/>
                <w:szCs w:val="21"/>
                <w:highlight w:val="none"/>
              </w:rPr>
              <w:t>表层样点数</w:t>
            </w:r>
          </w:p>
        </w:tc>
        <w:tc>
          <w:tcPr>
            <w:tcW w:w="934" w:type="pct"/>
            <w:gridSpan w:val="2"/>
            <w:noWrap w:val="0"/>
            <w:vAlign w:val="center"/>
          </w:tcPr>
          <w:p w14:paraId="2626E141">
            <w:pPr>
              <w:spacing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val="en-US" w:eastAsia="zh-CN"/>
              </w:rPr>
              <w:t>3</w:t>
            </w:r>
          </w:p>
        </w:tc>
        <w:tc>
          <w:tcPr>
            <w:tcW w:w="895" w:type="pct"/>
            <w:gridSpan w:val="2"/>
            <w:noWrap w:val="0"/>
            <w:vAlign w:val="center"/>
          </w:tcPr>
          <w:p w14:paraId="254759A0">
            <w:pPr>
              <w:spacing w:line="240" w:lineRule="auto"/>
              <w:ind w:firstLine="0" w:firstLineChars="0"/>
              <w:jc w:val="center"/>
              <w:rPr>
                <w:color w:val="auto"/>
                <w:sz w:val="21"/>
                <w:szCs w:val="21"/>
                <w:highlight w:val="none"/>
              </w:rPr>
            </w:pPr>
            <w:r>
              <w:rPr>
                <w:rFonts w:hint="eastAsia"/>
                <w:color w:val="auto"/>
                <w:sz w:val="21"/>
                <w:szCs w:val="21"/>
                <w:highlight w:val="none"/>
              </w:rPr>
              <w:t>/</w:t>
            </w:r>
          </w:p>
        </w:tc>
        <w:tc>
          <w:tcPr>
            <w:tcW w:w="580" w:type="pct"/>
            <w:noWrap w:val="0"/>
            <w:vAlign w:val="center"/>
          </w:tcPr>
          <w:p w14:paraId="34785D8A">
            <w:pPr>
              <w:spacing w:line="240" w:lineRule="auto"/>
              <w:ind w:firstLine="0"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0.2</w:t>
            </w:r>
          </w:p>
        </w:tc>
        <w:tc>
          <w:tcPr>
            <w:tcW w:w="556" w:type="pct"/>
            <w:vMerge w:val="continue"/>
            <w:noWrap w:val="0"/>
            <w:vAlign w:val="center"/>
          </w:tcPr>
          <w:p w14:paraId="6D29AE31">
            <w:pPr>
              <w:spacing w:line="240" w:lineRule="auto"/>
              <w:ind w:firstLine="0" w:firstLineChars="0"/>
              <w:jc w:val="center"/>
              <w:rPr>
                <w:color w:val="auto"/>
                <w:sz w:val="21"/>
                <w:szCs w:val="21"/>
                <w:highlight w:val="none"/>
              </w:rPr>
            </w:pPr>
          </w:p>
        </w:tc>
      </w:tr>
      <w:tr w14:paraId="21165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3" w:type="pct"/>
            <w:vMerge w:val="continue"/>
            <w:noWrap w:val="0"/>
            <w:vAlign w:val="center"/>
          </w:tcPr>
          <w:p w14:paraId="695AE7CD">
            <w:pPr>
              <w:spacing w:line="240" w:lineRule="auto"/>
              <w:ind w:firstLine="0" w:firstLineChars="0"/>
              <w:jc w:val="center"/>
              <w:rPr>
                <w:color w:val="auto"/>
                <w:sz w:val="21"/>
                <w:szCs w:val="21"/>
                <w:highlight w:val="none"/>
              </w:rPr>
            </w:pPr>
          </w:p>
        </w:tc>
        <w:tc>
          <w:tcPr>
            <w:tcW w:w="959" w:type="pct"/>
            <w:vMerge w:val="continue"/>
            <w:noWrap w:val="0"/>
            <w:vAlign w:val="center"/>
          </w:tcPr>
          <w:p w14:paraId="396B8347">
            <w:pPr>
              <w:spacing w:line="240" w:lineRule="auto"/>
              <w:ind w:firstLine="0" w:firstLineChars="0"/>
              <w:jc w:val="center"/>
              <w:rPr>
                <w:color w:val="auto"/>
                <w:sz w:val="21"/>
                <w:szCs w:val="21"/>
                <w:highlight w:val="none"/>
              </w:rPr>
            </w:pPr>
          </w:p>
        </w:tc>
        <w:tc>
          <w:tcPr>
            <w:tcW w:w="759" w:type="pct"/>
            <w:noWrap w:val="0"/>
            <w:vAlign w:val="center"/>
          </w:tcPr>
          <w:p w14:paraId="01FFEEC6">
            <w:pPr>
              <w:spacing w:line="240" w:lineRule="auto"/>
              <w:ind w:firstLine="0" w:firstLineChars="0"/>
              <w:jc w:val="center"/>
              <w:rPr>
                <w:color w:val="auto"/>
                <w:sz w:val="21"/>
                <w:szCs w:val="21"/>
                <w:highlight w:val="none"/>
              </w:rPr>
            </w:pPr>
            <w:r>
              <w:rPr>
                <w:color w:val="auto"/>
                <w:sz w:val="21"/>
                <w:szCs w:val="21"/>
                <w:highlight w:val="none"/>
              </w:rPr>
              <w:t>柱状样点数</w:t>
            </w:r>
          </w:p>
        </w:tc>
        <w:tc>
          <w:tcPr>
            <w:tcW w:w="934" w:type="pct"/>
            <w:gridSpan w:val="2"/>
            <w:noWrap w:val="0"/>
            <w:vAlign w:val="center"/>
          </w:tcPr>
          <w:p w14:paraId="024C06D2">
            <w:pPr>
              <w:spacing w:line="240" w:lineRule="auto"/>
              <w:ind w:firstLine="0" w:firstLineChars="0"/>
              <w:jc w:val="center"/>
              <w:rPr>
                <w:color w:val="auto"/>
                <w:sz w:val="21"/>
                <w:szCs w:val="21"/>
                <w:highlight w:val="none"/>
              </w:rPr>
            </w:pPr>
            <w:r>
              <w:rPr>
                <w:color w:val="auto"/>
                <w:sz w:val="21"/>
                <w:szCs w:val="21"/>
                <w:highlight w:val="none"/>
              </w:rPr>
              <w:t>/</w:t>
            </w:r>
          </w:p>
        </w:tc>
        <w:tc>
          <w:tcPr>
            <w:tcW w:w="895" w:type="pct"/>
            <w:gridSpan w:val="2"/>
            <w:noWrap w:val="0"/>
            <w:vAlign w:val="center"/>
          </w:tcPr>
          <w:p w14:paraId="3636CBA0">
            <w:pPr>
              <w:spacing w:line="240" w:lineRule="auto"/>
              <w:ind w:firstLine="0" w:firstLineChars="0"/>
              <w:jc w:val="center"/>
              <w:rPr>
                <w:color w:val="auto"/>
                <w:sz w:val="21"/>
                <w:szCs w:val="21"/>
                <w:highlight w:val="none"/>
              </w:rPr>
            </w:pPr>
            <w:r>
              <w:rPr>
                <w:color w:val="auto"/>
                <w:sz w:val="21"/>
                <w:szCs w:val="21"/>
                <w:highlight w:val="none"/>
              </w:rPr>
              <w:t>/</w:t>
            </w:r>
          </w:p>
        </w:tc>
        <w:tc>
          <w:tcPr>
            <w:tcW w:w="580" w:type="pct"/>
            <w:noWrap w:val="0"/>
            <w:vAlign w:val="center"/>
          </w:tcPr>
          <w:p w14:paraId="73858AB1">
            <w:pPr>
              <w:spacing w:line="240" w:lineRule="auto"/>
              <w:ind w:firstLine="0" w:firstLineChars="0"/>
              <w:jc w:val="center"/>
              <w:rPr>
                <w:color w:val="auto"/>
                <w:sz w:val="21"/>
                <w:szCs w:val="21"/>
                <w:highlight w:val="none"/>
              </w:rPr>
            </w:pPr>
            <w:r>
              <w:rPr>
                <w:color w:val="auto"/>
                <w:sz w:val="21"/>
                <w:szCs w:val="21"/>
                <w:highlight w:val="none"/>
              </w:rPr>
              <w:t>/</w:t>
            </w:r>
          </w:p>
        </w:tc>
        <w:tc>
          <w:tcPr>
            <w:tcW w:w="556" w:type="pct"/>
            <w:vMerge w:val="continue"/>
            <w:noWrap w:val="0"/>
            <w:vAlign w:val="center"/>
          </w:tcPr>
          <w:p w14:paraId="2557C78F">
            <w:pPr>
              <w:spacing w:line="240" w:lineRule="auto"/>
              <w:ind w:firstLine="0" w:firstLineChars="0"/>
              <w:jc w:val="center"/>
              <w:rPr>
                <w:color w:val="auto"/>
                <w:sz w:val="21"/>
                <w:szCs w:val="21"/>
                <w:highlight w:val="none"/>
              </w:rPr>
            </w:pPr>
          </w:p>
        </w:tc>
      </w:tr>
      <w:tr w14:paraId="6AE65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3" w:type="pct"/>
            <w:vMerge w:val="continue"/>
            <w:noWrap w:val="0"/>
            <w:vAlign w:val="center"/>
          </w:tcPr>
          <w:p w14:paraId="3601C952">
            <w:pPr>
              <w:spacing w:line="240" w:lineRule="auto"/>
              <w:ind w:firstLine="0" w:firstLineChars="0"/>
              <w:jc w:val="center"/>
              <w:rPr>
                <w:color w:val="auto"/>
                <w:sz w:val="21"/>
                <w:szCs w:val="21"/>
                <w:highlight w:val="none"/>
              </w:rPr>
            </w:pPr>
          </w:p>
        </w:tc>
        <w:tc>
          <w:tcPr>
            <w:tcW w:w="959" w:type="pct"/>
            <w:noWrap w:val="0"/>
            <w:vAlign w:val="center"/>
          </w:tcPr>
          <w:p w14:paraId="6C384253">
            <w:pPr>
              <w:spacing w:line="240" w:lineRule="auto"/>
              <w:ind w:firstLine="0" w:firstLineChars="0"/>
              <w:jc w:val="center"/>
              <w:rPr>
                <w:color w:val="auto"/>
                <w:sz w:val="21"/>
                <w:szCs w:val="21"/>
                <w:highlight w:val="none"/>
              </w:rPr>
            </w:pPr>
            <w:r>
              <w:rPr>
                <w:color w:val="auto"/>
                <w:sz w:val="21"/>
                <w:szCs w:val="21"/>
                <w:highlight w:val="none"/>
              </w:rPr>
              <w:t>现状监测因子</w:t>
            </w:r>
          </w:p>
        </w:tc>
        <w:tc>
          <w:tcPr>
            <w:tcW w:w="3169" w:type="pct"/>
            <w:gridSpan w:val="6"/>
            <w:noWrap w:val="0"/>
            <w:vAlign w:val="center"/>
          </w:tcPr>
          <w:p w14:paraId="22877D60">
            <w:pPr>
              <w:spacing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val="en-US" w:eastAsia="zh-CN"/>
              </w:rPr>
              <w:t>/</w:t>
            </w:r>
          </w:p>
        </w:tc>
        <w:tc>
          <w:tcPr>
            <w:tcW w:w="556" w:type="pct"/>
            <w:noWrap w:val="0"/>
            <w:vAlign w:val="center"/>
          </w:tcPr>
          <w:p w14:paraId="6793D0AE">
            <w:pPr>
              <w:spacing w:line="240" w:lineRule="auto"/>
              <w:ind w:firstLine="0" w:firstLineChars="0"/>
              <w:jc w:val="center"/>
              <w:rPr>
                <w:color w:val="auto"/>
                <w:sz w:val="21"/>
                <w:szCs w:val="21"/>
                <w:highlight w:val="none"/>
              </w:rPr>
            </w:pPr>
          </w:p>
        </w:tc>
      </w:tr>
      <w:tr w14:paraId="1879F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3" w:type="pct"/>
            <w:vMerge w:val="restart"/>
            <w:noWrap w:val="0"/>
            <w:vAlign w:val="center"/>
          </w:tcPr>
          <w:p w14:paraId="6BABEEBB">
            <w:pPr>
              <w:spacing w:line="240" w:lineRule="auto"/>
              <w:ind w:firstLine="0" w:firstLineChars="0"/>
              <w:jc w:val="center"/>
              <w:rPr>
                <w:color w:val="auto"/>
                <w:sz w:val="21"/>
                <w:szCs w:val="21"/>
                <w:highlight w:val="none"/>
              </w:rPr>
            </w:pPr>
            <w:r>
              <w:rPr>
                <w:color w:val="auto"/>
                <w:sz w:val="21"/>
                <w:szCs w:val="21"/>
                <w:highlight w:val="none"/>
              </w:rPr>
              <w:t>现状评价</w:t>
            </w:r>
          </w:p>
        </w:tc>
        <w:tc>
          <w:tcPr>
            <w:tcW w:w="959" w:type="pct"/>
            <w:noWrap w:val="0"/>
            <w:vAlign w:val="center"/>
          </w:tcPr>
          <w:p w14:paraId="011013A3">
            <w:pPr>
              <w:spacing w:line="240" w:lineRule="auto"/>
              <w:ind w:firstLine="0" w:firstLineChars="0"/>
              <w:jc w:val="center"/>
              <w:rPr>
                <w:color w:val="auto"/>
                <w:sz w:val="21"/>
                <w:szCs w:val="21"/>
                <w:highlight w:val="none"/>
              </w:rPr>
            </w:pPr>
            <w:r>
              <w:rPr>
                <w:color w:val="auto"/>
                <w:sz w:val="21"/>
                <w:szCs w:val="21"/>
                <w:highlight w:val="none"/>
              </w:rPr>
              <w:t>评价因子</w:t>
            </w:r>
          </w:p>
        </w:tc>
        <w:tc>
          <w:tcPr>
            <w:tcW w:w="3169" w:type="pct"/>
            <w:gridSpan w:val="6"/>
            <w:noWrap w:val="0"/>
            <w:vAlign w:val="center"/>
          </w:tcPr>
          <w:p w14:paraId="60043501">
            <w:pPr>
              <w:spacing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val="en-US" w:eastAsia="zh-CN"/>
              </w:rPr>
              <w:t>/</w:t>
            </w:r>
          </w:p>
        </w:tc>
        <w:tc>
          <w:tcPr>
            <w:tcW w:w="556" w:type="pct"/>
            <w:noWrap w:val="0"/>
            <w:vAlign w:val="center"/>
          </w:tcPr>
          <w:p w14:paraId="3B316EAB">
            <w:pPr>
              <w:spacing w:line="240" w:lineRule="auto"/>
              <w:ind w:firstLine="0" w:firstLineChars="0"/>
              <w:jc w:val="center"/>
              <w:rPr>
                <w:color w:val="auto"/>
                <w:sz w:val="21"/>
                <w:szCs w:val="21"/>
                <w:highlight w:val="none"/>
              </w:rPr>
            </w:pPr>
          </w:p>
        </w:tc>
      </w:tr>
      <w:tr w14:paraId="60F0C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3" w:type="pct"/>
            <w:vMerge w:val="continue"/>
            <w:noWrap w:val="0"/>
            <w:vAlign w:val="center"/>
          </w:tcPr>
          <w:p w14:paraId="45E3C398">
            <w:pPr>
              <w:spacing w:line="240" w:lineRule="auto"/>
              <w:ind w:firstLine="0" w:firstLineChars="0"/>
              <w:jc w:val="center"/>
              <w:rPr>
                <w:color w:val="auto"/>
                <w:sz w:val="21"/>
                <w:szCs w:val="21"/>
                <w:highlight w:val="none"/>
              </w:rPr>
            </w:pPr>
          </w:p>
        </w:tc>
        <w:tc>
          <w:tcPr>
            <w:tcW w:w="959" w:type="pct"/>
            <w:noWrap w:val="0"/>
            <w:vAlign w:val="center"/>
          </w:tcPr>
          <w:p w14:paraId="1959F01C">
            <w:pPr>
              <w:spacing w:line="240" w:lineRule="auto"/>
              <w:ind w:firstLine="0" w:firstLineChars="0"/>
              <w:jc w:val="center"/>
              <w:rPr>
                <w:color w:val="auto"/>
                <w:sz w:val="21"/>
                <w:szCs w:val="21"/>
                <w:highlight w:val="none"/>
              </w:rPr>
            </w:pPr>
            <w:r>
              <w:rPr>
                <w:color w:val="auto"/>
                <w:sz w:val="21"/>
                <w:szCs w:val="21"/>
                <w:highlight w:val="none"/>
              </w:rPr>
              <w:t>评价标准</w:t>
            </w:r>
          </w:p>
        </w:tc>
        <w:tc>
          <w:tcPr>
            <w:tcW w:w="3169" w:type="pct"/>
            <w:gridSpan w:val="6"/>
            <w:noWrap w:val="0"/>
            <w:vAlign w:val="center"/>
          </w:tcPr>
          <w:p w14:paraId="01E402FE">
            <w:pPr>
              <w:spacing w:line="240" w:lineRule="auto"/>
              <w:ind w:firstLine="0" w:firstLineChars="0"/>
              <w:jc w:val="center"/>
              <w:rPr>
                <w:color w:val="auto"/>
                <w:sz w:val="21"/>
                <w:szCs w:val="21"/>
                <w:highlight w:val="none"/>
              </w:rPr>
            </w:pPr>
            <w:r>
              <w:rPr>
                <w:color w:val="auto"/>
                <w:sz w:val="21"/>
                <w:szCs w:val="21"/>
                <w:highlight w:val="none"/>
              </w:rPr>
              <w:t>GB15618</w:t>
            </w:r>
            <w:r>
              <w:rPr>
                <w:rFonts w:hint="eastAsia" w:ascii="MS Mincho" w:hAnsi="MS Mincho" w:eastAsia="宋体" w:cs="MS Mincho"/>
                <w:color w:val="auto"/>
                <w:sz w:val="21"/>
                <w:szCs w:val="21"/>
                <w:highlight w:val="none"/>
                <w:lang w:eastAsia="zh-CN"/>
              </w:rPr>
              <w:t>□</w:t>
            </w:r>
            <w:r>
              <w:rPr>
                <w:color w:val="auto"/>
                <w:sz w:val="21"/>
                <w:szCs w:val="21"/>
                <w:highlight w:val="none"/>
              </w:rPr>
              <w:t>；GB36600</w:t>
            </w:r>
            <w:r>
              <w:rPr>
                <w:rFonts w:hint="eastAsia" w:ascii="MS Mincho" w:hAnsi="MS Mincho" w:eastAsia="宋体" w:cs="MS Mincho"/>
                <w:color w:val="auto"/>
                <w:sz w:val="21"/>
                <w:szCs w:val="21"/>
                <w:highlight w:val="none"/>
                <w:lang w:eastAsia="zh-CN"/>
              </w:rPr>
              <w:t>□</w:t>
            </w:r>
            <w:r>
              <w:rPr>
                <w:color w:val="auto"/>
                <w:sz w:val="21"/>
                <w:szCs w:val="21"/>
                <w:highlight w:val="none"/>
              </w:rPr>
              <w:t>；表D.1□；表D.2□；其他（   ）</w:t>
            </w:r>
          </w:p>
        </w:tc>
        <w:tc>
          <w:tcPr>
            <w:tcW w:w="556" w:type="pct"/>
            <w:noWrap w:val="0"/>
            <w:vAlign w:val="center"/>
          </w:tcPr>
          <w:p w14:paraId="5C970F68">
            <w:pPr>
              <w:spacing w:line="240" w:lineRule="auto"/>
              <w:ind w:firstLine="0" w:firstLineChars="0"/>
              <w:jc w:val="center"/>
              <w:rPr>
                <w:color w:val="auto"/>
                <w:sz w:val="21"/>
                <w:szCs w:val="21"/>
                <w:highlight w:val="none"/>
              </w:rPr>
            </w:pPr>
          </w:p>
        </w:tc>
      </w:tr>
      <w:tr w14:paraId="67710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3" w:type="pct"/>
            <w:vMerge w:val="continue"/>
            <w:noWrap w:val="0"/>
            <w:vAlign w:val="center"/>
          </w:tcPr>
          <w:p w14:paraId="1FE01A10">
            <w:pPr>
              <w:spacing w:line="240" w:lineRule="auto"/>
              <w:ind w:firstLine="0" w:firstLineChars="0"/>
              <w:jc w:val="center"/>
              <w:rPr>
                <w:color w:val="auto"/>
                <w:sz w:val="21"/>
                <w:szCs w:val="21"/>
                <w:highlight w:val="none"/>
              </w:rPr>
            </w:pPr>
          </w:p>
        </w:tc>
        <w:tc>
          <w:tcPr>
            <w:tcW w:w="959" w:type="pct"/>
            <w:noWrap w:val="0"/>
            <w:vAlign w:val="center"/>
          </w:tcPr>
          <w:p w14:paraId="435AB116">
            <w:pPr>
              <w:spacing w:line="240" w:lineRule="auto"/>
              <w:ind w:firstLine="0" w:firstLineChars="0"/>
              <w:jc w:val="center"/>
              <w:rPr>
                <w:color w:val="auto"/>
                <w:sz w:val="21"/>
                <w:szCs w:val="21"/>
                <w:highlight w:val="none"/>
              </w:rPr>
            </w:pPr>
            <w:r>
              <w:rPr>
                <w:color w:val="auto"/>
                <w:sz w:val="21"/>
                <w:szCs w:val="21"/>
                <w:highlight w:val="none"/>
              </w:rPr>
              <w:t>现状评价结论</w:t>
            </w:r>
          </w:p>
        </w:tc>
        <w:tc>
          <w:tcPr>
            <w:tcW w:w="3169" w:type="pct"/>
            <w:gridSpan w:val="6"/>
            <w:noWrap w:val="0"/>
            <w:vAlign w:val="center"/>
          </w:tcPr>
          <w:p w14:paraId="7397F4E1">
            <w:pPr>
              <w:spacing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val="en-US" w:eastAsia="zh-CN"/>
              </w:rPr>
              <w:t>/</w:t>
            </w:r>
          </w:p>
        </w:tc>
        <w:tc>
          <w:tcPr>
            <w:tcW w:w="556" w:type="pct"/>
            <w:noWrap w:val="0"/>
            <w:vAlign w:val="center"/>
          </w:tcPr>
          <w:p w14:paraId="0A51021F">
            <w:pPr>
              <w:spacing w:line="240" w:lineRule="auto"/>
              <w:ind w:firstLine="0" w:firstLineChars="0"/>
              <w:jc w:val="center"/>
              <w:rPr>
                <w:color w:val="auto"/>
                <w:sz w:val="21"/>
                <w:szCs w:val="21"/>
                <w:highlight w:val="none"/>
              </w:rPr>
            </w:pPr>
          </w:p>
        </w:tc>
      </w:tr>
      <w:tr w14:paraId="4F0C9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313" w:type="pct"/>
            <w:vMerge w:val="restart"/>
            <w:noWrap w:val="0"/>
            <w:vAlign w:val="center"/>
          </w:tcPr>
          <w:p w14:paraId="1E4C2A42">
            <w:pPr>
              <w:spacing w:line="240" w:lineRule="auto"/>
              <w:ind w:firstLine="0" w:firstLineChars="0"/>
              <w:jc w:val="center"/>
              <w:rPr>
                <w:color w:val="auto"/>
                <w:sz w:val="21"/>
                <w:szCs w:val="21"/>
                <w:highlight w:val="none"/>
              </w:rPr>
            </w:pPr>
            <w:r>
              <w:rPr>
                <w:color w:val="auto"/>
                <w:sz w:val="21"/>
                <w:szCs w:val="21"/>
                <w:highlight w:val="none"/>
              </w:rPr>
              <w:t>影响预测</w:t>
            </w:r>
          </w:p>
        </w:tc>
        <w:tc>
          <w:tcPr>
            <w:tcW w:w="959" w:type="pct"/>
            <w:noWrap w:val="0"/>
            <w:vAlign w:val="center"/>
          </w:tcPr>
          <w:p w14:paraId="0B13250B">
            <w:pPr>
              <w:spacing w:line="240" w:lineRule="auto"/>
              <w:ind w:firstLine="0" w:firstLineChars="0"/>
              <w:jc w:val="center"/>
              <w:rPr>
                <w:color w:val="auto"/>
                <w:sz w:val="21"/>
                <w:szCs w:val="21"/>
                <w:highlight w:val="none"/>
              </w:rPr>
            </w:pPr>
            <w:r>
              <w:rPr>
                <w:color w:val="auto"/>
                <w:sz w:val="21"/>
                <w:szCs w:val="21"/>
                <w:highlight w:val="none"/>
              </w:rPr>
              <w:t>预测因子</w:t>
            </w:r>
          </w:p>
        </w:tc>
        <w:tc>
          <w:tcPr>
            <w:tcW w:w="3169" w:type="pct"/>
            <w:gridSpan w:val="6"/>
            <w:noWrap w:val="0"/>
            <w:vAlign w:val="center"/>
          </w:tcPr>
          <w:p w14:paraId="6333A9CA">
            <w:pPr>
              <w:spacing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val="en-US" w:eastAsia="zh-CN"/>
              </w:rPr>
              <w:t>/</w:t>
            </w:r>
          </w:p>
        </w:tc>
        <w:tc>
          <w:tcPr>
            <w:tcW w:w="556" w:type="pct"/>
            <w:noWrap w:val="0"/>
            <w:vAlign w:val="center"/>
          </w:tcPr>
          <w:p w14:paraId="50DDBD60">
            <w:pPr>
              <w:spacing w:line="240" w:lineRule="auto"/>
              <w:ind w:firstLine="0" w:firstLineChars="0"/>
              <w:jc w:val="center"/>
              <w:rPr>
                <w:color w:val="auto"/>
                <w:sz w:val="21"/>
                <w:szCs w:val="21"/>
                <w:highlight w:val="none"/>
              </w:rPr>
            </w:pPr>
          </w:p>
        </w:tc>
      </w:tr>
      <w:tr w14:paraId="63263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3" w:type="pct"/>
            <w:vMerge w:val="continue"/>
            <w:noWrap w:val="0"/>
            <w:vAlign w:val="center"/>
          </w:tcPr>
          <w:p w14:paraId="4E3C5F9B">
            <w:pPr>
              <w:spacing w:line="240" w:lineRule="auto"/>
              <w:ind w:firstLine="0" w:firstLineChars="0"/>
              <w:jc w:val="center"/>
              <w:rPr>
                <w:color w:val="auto"/>
                <w:sz w:val="21"/>
                <w:szCs w:val="21"/>
                <w:highlight w:val="none"/>
              </w:rPr>
            </w:pPr>
          </w:p>
        </w:tc>
        <w:tc>
          <w:tcPr>
            <w:tcW w:w="959" w:type="pct"/>
            <w:noWrap w:val="0"/>
            <w:vAlign w:val="center"/>
          </w:tcPr>
          <w:p w14:paraId="05D476F0">
            <w:pPr>
              <w:spacing w:line="240" w:lineRule="auto"/>
              <w:ind w:firstLine="0" w:firstLineChars="0"/>
              <w:jc w:val="center"/>
              <w:rPr>
                <w:color w:val="auto"/>
                <w:sz w:val="21"/>
                <w:szCs w:val="21"/>
                <w:highlight w:val="none"/>
              </w:rPr>
            </w:pPr>
            <w:r>
              <w:rPr>
                <w:color w:val="auto"/>
                <w:sz w:val="21"/>
                <w:szCs w:val="21"/>
                <w:highlight w:val="none"/>
              </w:rPr>
              <w:t>预测方法</w:t>
            </w:r>
          </w:p>
        </w:tc>
        <w:tc>
          <w:tcPr>
            <w:tcW w:w="3169" w:type="pct"/>
            <w:gridSpan w:val="6"/>
            <w:noWrap w:val="0"/>
            <w:vAlign w:val="center"/>
          </w:tcPr>
          <w:p w14:paraId="4DC8799F">
            <w:pPr>
              <w:spacing w:line="240" w:lineRule="auto"/>
              <w:ind w:firstLine="0" w:firstLineChars="0"/>
              <w:jc w:val="center"/>
              <w:rPr>
                <w:color w:val="auto"/>
                <w:sz w:val="21"/>
                <w:szCs w:val="21"/>
                <w:highlight w:val="none"/>
              </w:rPr>
            </w:pPr>
            <w:r>
              <w:rPr>
                <w:color w:val="auto"/>
                <w:sz w:val="21"/>
                <w:szCs w:val="21"/>
                <w:highlight w:val="none"/>
              </w:rPr>
              <w:t>附录E</w:t>
            </w:r>
            <w:r>
              <w:rPr>
                <w:rFonts w:hint="eastAsia" w:ascii="MS Mincho" w:hAnsi="MS Mincho" w:eastAsia="MS Mincho" w:cs="MS Mincho"/>
                <w:color w:val="auto"/>
                <w:sz w:val="21"/>
                <w:szCs w:val="21"/>
                <w:highlight w:val="none"/>
              </w:rPr>
              <w:t>☑</w:t>
            </w:r>
            <w:r>
              <w:rPr>
                <w:color w:val="auto"/>
                <w:sz w:val="21"/>
                <w:szCs w:val="21"/>
                <w:highlight w:val="none"/>
              </w:rPr>
              <w:t>；附录F□；其他（   ）</w:t>
            </w:r>
          </w:p>
        </w:tc>
        <w:tc>
          <w:tcPr>
            <w:tcW w:w="556" w:type="pct"/>
            <w:noWrap w:val="0"/>
            <w:vAlign w:val="center"/>
          </w:tcPr>
          <w:p w14:paraId="707C37EA">
            <w:pPr>
              <w:spacing w:line="240" w:lineRule="auto"/>
              <w:ind w:firstLine="0" w:firstLineChars="0"/>
              <w:jc w:val="center"/>
              <w:rPr>
                <w:color w:val="auto"/>
                <w:sz w:val="21"/>
                <w:szCs w:val="21"/>
                <w:highlight w:val="none"/>
              </w:rPr>
            </w:pPr>
          </w:p>
        </w:tc>
      </w:tr>
      <w:tr w14:paraId="31330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3" w:type="pct"/>
            <w:vMerge w:val="continue"/>
            <w:noWrap w:val="0"/>
            <w:vAlign w:val="center"/>
          </w:tcPr>
          <w:p w14:paraId="6B4E406D">
            <w:pPr>
              <w:spacing w:line="240" w:lineRule="auto"/>
              <w:ind w:firstLine="0" w:firstLineChars="0"/>
              <w:jc w:val="center"/>
              <w:rPr>
                <w:color w:val="auto"/>
                <w:sz w:val="21"/>
                <w:szCs w:val="21"/>
                <w:highlight w:val="none"/>
              </w:rPr>
            </w:pPr>
          </w:p>
        </w:tc>
        <w:tc>
          <w:tcPr>
            <w:tcW w:w="959" w:type="pct"/>
            <w:noWrap w:val="0"/>
            <w:vAlign w:val="center"/>
          </w:tcPr>
          <w:p w14:paraId="48B6EEBB">
            <w:pPr>
              <w:spacing w:line="240" w:lineRule="auto"/>
              <w:ind w:firstLine="0" w:firstLineChars="0"/>
              <w:jc w:val="center"/>
              <w:rPr>
                <w:color w:val="auto"/>
                <w:sz w:val="21"/>
                <w:szCs w:val="21"/>
                <w:highlight w:val="none"/>
              </w:rPr>
            </w:pPr>
            <w:r>
              <w:rPr>
                <w:color w:val="auto"/>
                <w:sz w:val="21"/>
                <w:szCs w:val="21"/>
                <w:highlight w:val="none"/>
              </w:rPr>
              <w:t>预测分析内容</w:t>
            </w:r>
          </w:p>
        </w:tc>
        <w:tc>
          <w:tcPr>
            <w:tcW w:w="3169" w:type="pct"/>
            <w:gridSpan w:val="6"/>
            <w:noWrap w:val="0"/>
            <w:vAlign w:val="center"/>
          </w:tcPr>
          <w:p w14:paraId="7C0271F3">
            <w:pPr>
              <w:spacing w:line="240" w:lineRule="auto"/>
              <w:ind w:firstLine="0" w:firstLineChars="0"/>
              <w:jc w:val="center"/>
              <w:rPr>
                <w:color w:val="auto"/>
                <w:sz w:val="21"/>
                <w:szCs w:val="21"/>
                <w:highlight w:val="none"/>
              </w:rPr>
            </w:pPr>
            <w:r>
              <w:rPr>
                <w:color w:val="auto"/>
                <w:sz w:val="21"/>
                <w:szCs w:val="21"/>
                <w:highlight w:val="none"/>
              </w:rPr>
              <w:t>影响范围（</w:t>
            </w:r>
            <w:r>
              <w:rPr>
                <w:rFonts w:hint="eastAsia"/>
                <w:color w:val="auto"/>
                <w:sz w:val="21"/>
                <w:szCs w:val="21"/>
                <w:highlight w:val="none"/>
              </w:rPr>
              <w:t>10</w:t>
            </w:r>
            <w:r>
              <w:rPr>
                <w:color w:val="auto"/>
                <w:sz w:val="21"/>
                <w:szCs w:val="21"/>
                <w:highlight w:val="none"/>
              </w:rPr>
              <w:t>km×</w:t>
            </w:r>
            <w:r>
              <w:rPr>
                <w:rFonts w:hint="eastAsia"/>
                <w:color w:val="auto"/>
                <w:sz w:val="21"/>
                <w:szCs w:val="21"/>
                <w:highlight w:val="none"/>
              </w:rPr>
              <w:t>10</w:t>
            </w:r>
            <w:r>
              <w:rPr>
                <w:color w:val="auto"/>
                <w:sz w:val="21"/>
                <w:szCs w:val="21"/>
                <w:highlight w:val="none"/>
              </w:rPr>
              <w:t>km）</w:t>
            </w:r>
          </w:p>
          <w:p w14:paraId="4A379569">
            <w:pPr>
              <w:spacing w:line="240" w:lineRule="auto"/>
              <w:ind w:firstLine="0" w:firstLineChars="0"/>
              <w:jc w:val="center"/>
              <w:rPr>
                <w:color w:val="auto"/>
                <w:sz w:val="21"/>
                <w:szCs w:val="21"/>
                <w:highlight w:val="none"/>
              </w:rPr>
            </w:pPr>
            <w:r>
              <w:rPr>
                <w:color w:val="auto"/>
                <w:sz w:val="21"/>
                <w:szCs w:val="21"/>
                <w:highlight w:val="none"/>
              </w:rPr>
              <w:t>影响程度（可接受）</w:t>
            </w:r>
          </w:p>
        </w:tc>
        <w:tc>
          <w:tcPr>
            <w:tcW w:w="556" w:type="pct"/>
            <w:noWrap w:val="0"/>
            <w:vAlign w:val="center"/>
          </w:tcPr>
          <w:p w14:paraId="1EFC2BCB">
            <w:pPr>
              <w:spacing w:line="240" w:lineRule="auto"/>
              <w:ind w:firstLine="0" w:firstLineChars="0"/>
              <w:jc w:val="center"/>
              <w:rPr>
                <w:color w:val="auto"/>
                <w:sz w:val="21"/>
                <w:szCs w:val="21"/>
                <w:highlight w:val="none"/>
              </w:rPr>
            </w:pPr>
          </w:p>
        </w:tc>
      </w:tr>
      <w:tr w14:paraId="4AE8B6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3" w:type="pct"/>
            <w:vMerge w:val="continue"/>
            <w:noWrap w:val="0"/>
            <w:vAlign w:val="center"/>
          </w:tcPr>
          <w:p w14:paraId="1BD19E83">
            <w:pPr>
              <w:spacing w:line="240" w:lineRule="auto"/>
              <w:ind w:firstLine="0" w:firstLineChars="0"/>
              <w:jc w:val="center"/>
              <w:rPr>
                <w:color w:val="auto"/>
                <w:sz w:val="21"/>
                <w:szCs w:val="21"/>
                <w:highlight w:val="none"/>
              </w:rPr>
            </w:pPr>
          </w:p>
        </w:tc>
        <w:tc>
          <w:tcPr>
            <w:tcW w:w="959" w:type="pct"/>
            <w:noWrap w:val="0"/>
            <w:vAlign w:val="center"/>
          </w:tcPr>
          <w:p w14:paraId="4DA51154">
            <w:pPr>
              <w:spacing w:line="240" w:lineRule="auto"/>
              <w:ind w:firstLine="0" w:firstLineChars="0"/>
              <w:jc w:val="center"/>
              <w:rPr>
                <w:color w:val="auto"/>
                <w:sz w:val="21"/>
                <w:szCs w:val="21"/>
                <w:highlight w:val="none"/>
              </w:rPr>
            </w:pPr>
            <w:r>
              <w:rPr>
                <w:color w:val="auto"/>
                <w:sz w:val="21"/>
                <w:szCs w:val="21"/>
                <w:highlight w:val="none"/>
              </w:rPr>
              <w:t>预测结论</w:t>
            </w:r>
          </w:p>
        </w:tc>
        <w:tc>
          <w:tcPr>
            <w:tcW w:w="3169" w:type="pct"/>
            <w:gridSpan w:val="6"/>
            <w:noWrap w:val="0"/>
            <w:vAlign w:val="center"/>
          </w:tcPr>
          <w:p w14:paraId="2A87D296">
            <w:pPr>
              <w:spacing w:line="240" w:lineRule="auto"/>
              <w:ind w:firstLine="0" w:firstLineChars="0"/>
              <w:jc w:val="center"/>
              <w:rPr>
                <w:color w:val="auto"/>
                <w:sz w:val="21"/>
                <w:szCs w:val="21"/>
                <w:highlight w:val="none"/>
              </w:rPr>
            </w:pPr>
            <w:r>
              <w:rPr>
                <w:color w:val="auto"/>
                <w:sz w:val="21"/>
                <w:szCs w:val="21"/>
                <w:highlight w:val="none"/>
              </w:rPr>
              <w:t>达标结论：a）</w:t>
            </w:r>
            <w:r>
              <w:rPr>
                <w:rFonts w:hint="eastAsia" w:ascii="MS Mincho" w:hAnsi="MS Mincho" w:eastAsia="宋体" w:cs="MS Mincho"/>
                <w:color w:val="auto"/>
                <w:sz w:val="21"/>
                <w:szCs w:val="21"/>
                <w:highlight w:val="none"/>
                <w:lang w:eastAsia="zh-CN"/>
              </w:rPr>
              <w:t>□</w:t>
            </w:r>
            <w:r>
              <w:rPr>
                <w:color w:val="auto"/>
                <w:sz w:val="21"/>
                <w:szCs w:val="21"/>
                <w:highlight w:val="none"/>
              </w:rPr>
              <w:t>；b）□；c）□</w:t>
            </w:r>
          </w:p>
          <w:p w14:paraId="7D518456">
            <w:pPr>
              <w:spacing w:line="240" w:lineRule="auto"/>
              <w:ind w:firstLine="0" w:firstLineChars="0"/>
              <w:jc w:val="center"/>
              <w:rPr>
                <w:color w:val="auto"/>
                <w:sz w:val="21"/>
                <w:szCs w:val="21"/>
                <w:highlight w:val="none"/>
              </w:rPr>
            </w:pPr>
            <w:r>
              <w:rPr>
                <w:color w:val="auto"/>
                <w:sz w:val="21"/>
                <w:szCs w:val="21"/>
                <w:highlight w:val="none"/>
              </w:rPr>
              <w:t>不达标结论：a）□；b）□</w:t>
            </w:r>
          </w:p>
        </w:tc>
        <w:tc>
          <w:tcPr>
            <w:tcW w:w="556" w:type="pct"/>
            <w:noWrap w:val="0"/>
            <w:vAlign w:val="center"/>
          </w:tcPr>
          <w:p w14:paraId="60396539">
            <w:pPr>
              <w:spacing w:line="240" w:lineRule="auto"/>
              <w:ind w:firstLine="0" w:firstLineChars="0"/>
              <w:jc w:val="center"/>
              <w:rPr>
                <w:color w:val="auto"/>
                <w:sz w:val="21"/>
                <w:szCs w:val="21"/>
                <w:highlight w:val="none"/>
              </w:rPr>
            </w:pPr>
          </w:p>
        </w:tc>
      </w:tr>
      <w:tr w14:paraId="25031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3" w:type="pct"/>
            <w:vMerge w:val="restart"/>
            <w:noWrap w:val="0"/>
            <w:vAlign w:val="center"/>
          </w:tcPr>
          <w:p w14:paraId="18D0597D">
            <w:pPr>
              <w:spacing w:line="240" w:lineRule="auto"/>
              <w:ind w:firstLine="0" w:firstLineChars="0"/>
              <w:jc w:val="center"/>
              <w:rPr>
                <w:color w:val="auto"/>
                <w:sz w:val="21"/>
                <w:szCs w:val="21"/>
                <w:highlight w:val="none"/>
              </w:rPr>
            </w:pPr>
            <w:r>
              <w:rPr>
                <w:color w:val="auto"/>
                <w:sz w:val="21"/>
                <w:szCs w:val="21"/>
                <w:highlight w:val="none"/>
              </w:rPr>
              <w:t>防治措施</w:t>
            </w:r>
          </w:p>
        </w:tc>
        <w:tc>
          <w:tcPr>
            <w:tcW w:w="959" w:type="pct"/>
            <w:noWrap w:val="0"/>
            <w:vAlign w:val="center"/>
          </w:tcPr>
          <w:p w14:paraId="26E1964A">
            <w:pPr>
              <w:spacing w:line="240" w:lineRule="auto"/>
              <w:ind w:firstLine="0" w:firstLineChars="0"/>
              <w:jc w:val="center"/>
              <w:rPr>
                <w:color w:val="auto"/>
                <w:sz w:val="21"/>
                <w:szCs w:val="21"/>
                <w:highlight w:val="none"/>
              </w:rPr>
            </w:pPr>
            <w:r>
              <w:rPr>
                <w:color w:val="auto"/>
                <w:sz w:val="21"/>
                <w:szCs w:val="21"/>
                <w:highlight w:val="none"/>
              </w:rPr>
              <w:t>防控措施</w:t>
            </w:r>
          </w:p>
        </w:tc>
        <w:tc>
          <w:tcPr>
            <w:tcW w:w="3169" w:type="pct"/>
            <w:gridSpan w:val="6"/>
            <w:noWrap w:val="0"/>
            <w:vAlign w:val="center"/>
          </w:tcPr>
          <w:p w14:paraId="490B6E18">
            <w:pPr>
              <w:spacing w:line="240" w:lineRule="auto"/>
              <w:ind w:firstLine="0" w:firstLineChars="0"/>
              <w:jc w:val="center"/>
              <w:rPr>
                <w:color w:val="auto"/>
                <w:sz w:val="21"/>
                <w:szCs w:val="21"/>
                <w:highlight w:val="none"/>
              </w:rPr>
            </w:pPr>
            <w:r>
              <w:rPr>
                <w:color w:val="auto"/>
                <w:sz w:val="21"/>
                <w:szCs w:val="21"/>
                <w:highlight w:val="none"/>
              </w:rPr>
              <w:t>土壤环境质量现状保障</w:t>
            </w:r>
            <w:r>
              <w:rPr>
                <w:rFonts w:hint="eastAsia" w:ascii="MS Mincho" w:hAnsi="MS Mincho" w:eastAsia="MS Mincho" w:cs="MS Mincho"/>
                <w:color w:val="auto"/>
                <w:sz w:val="21"/>
                <w:szCs w:val="21"/>
                <w:highlight w:val="none"/>
              </w:rPr>
              <w:t>☑</w:t>
            </w:r>
            <w:r>
              <w:rPr>
                <w:color w:val="auto"/>
                <w:sz w:val="21"/>
                <w:szCs w:val="21"/>
                <w:highlight w:val="none"/>
              </w:rPr>
              <w:t>；源头控制</w:t>
            </w:r>
            <w:r>
              <w:rPr>
                <w:rFonts w:hint="eastAsia" w:ascii="MS Mincho" w:hAnsi="MS Mincho" w:eastAsia="MS Mincho" w:cs="MS Mincho"/>
                <w:color w:val="auto"/>
                <w:sz w:val="21"/>
                <w:szCs w:val="21"/>
                <w:highlight w:val="none"/>
              </w:rPr>
              <w:t>☑</w:t>
            </w:r>
            <w:r>
              <w:rPr>
                <w:color w:val="auto"/>
                <w:sz w:val="21"/>
                <w:szCs w:val="21"/>
                <w:highlight w:val="none"/>
              </w:rPr>
              <w:t>；过程防控</w:t>
            </w:r>
            <w:r>
              <w:rPr>
                <w:rFonts w:hint="eastAsia" w:ascii="MS Mincho" w:hAnsi="MS Mincho" w:eastAsia="MS Mincho" w:cs="MS Mincho"/>
                <w:color w:val="auto"/>
                <w:sz w:val="21"/>
                <w:szCs w:val="21"/>
                <w:highlight w:val="none"/>
              </w:rPr>
              <w:t>☑</w:t>
            </w:r>
            <w:r>
              <w:rPr>
                <w:color w:val="auto"/>
                <w:sz w:val="21"/>
                <w:szCs w:val="21"/>
                <w:highlight w:val="none"/>
              </w:rPr>
              <w:t>；其他（    ）</w:t>
            </w:r>
          </w:p>
        </w:tc>
        <w:tc>
          <w:tcPr>
            <w:tcW w:w="556" w:type="pct"/>
            <w:noWrap w:val="0"/>
            <w:vAlign w:val="center"/>
          </w:tcPr>
          <w:p w14:paraId="22A3206E">
            <w:pPr>
              <w:spacing w:line="240" w:lineRule="auto"/>
              <w:ind w:firstLine="0" w:firstLineChars="0"/>
              <w:jc w:val="center"/>
              <w:rPr>
                <w:color w:val="auto"/>
                <w:sz w:val="21"/>
                <w:szCs w:val="21"/>
                <w:highlight w:val="none"/>
              </w:rPr>
            </w:pPr>
          </w:p>
        </w:tc>
      </w:tr>
      <w:tr w14:paraId="6A63D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3" w:type="pct"/>
            <w:vMerge w:val="continue"/>
            <w:noWrap w:val="0"/>
            <w:vAlign w:val="center"/>
          </w:tcPr>
          <w:p w14:paraId="097F35B8">
            <w:pPr>
              <w:spacing w:line="240" w:lineRule="auto"/>
              <w:ind w:firstLine="0" w:firstLineChars="0"/>
              <w:jc w:val="center"/>
              <w:rPr>
                <w:color w:val="auto"/>
                <w:sz w:val="21"/>
                <w:szCs w:val="21"/>
                <w:highlight w:val="none"/>
              </w:rPr>
            </w:pPr>
          </w:p>
        </w:tc>
        <w:tc>
          <w:tcPr>
            <w:tcW w:w="959" w:type="pct"/>
            <w:vMerge w:val="restart"/>
            <w:noWrap w:val="0"/>
            <w:vAlign w:val="center"/>
          </w:tcPr>
          <w:p w14:paraId="2073D30C">
            <w:pPr>
              <w:spacing w:line="240" w:lineRule="auto"/>
              <w:ind w:firstLine="0" w:firstLineChars="0"/>
              <w:jc w:val="center"/>
              <w:rPr>
                <w:color w:val="auto"/>
                <w:sz w:val="21"/>
                <w:szCs w:val="21"/>
                <w:highlight w:val="none"/>
              </w:rPr>
            </w:pPr>
            <w:r>
              <w:rPr>
                <w:color w:val="auto"/>
                <w:sz w:val="21"/>
                <w:szCs w:val="21"/>
                <w:highlight w:val="none"/>
              </w:rPr>
              <w:t>跟踪监测</w:t>
            </w:r>
          </w:p>
        </w:tc>
        <w:tc>
          <w:tcPr>
            <w:tcW w:w="1639" w:type="pct"/>
            <w:gridSpan w:val="2"/>
            <w:noWrap w:val="0"/>
            <w:vAlign w:val="center"/>
          </w:tcPr>
          <w:p w14:paraId="3E644446">
            <w:pPr>
              <w:spacing w:line="240" w:lineRule="auto"/>
              <w:ind w:firstLine="0" w:firstLineChars="0"/>
              <w:jc w:val="center"/>
              <w:rPr>
                <w:color w:val="auto"/>
                <w:sz w:val="21"/>
                <w:szCs w:val="21"/>
                <w:highlight w:val="none"/>
              </w:rPr>
            </w:pPr>
            <w:r>
              <w:rPr>
                <w:color w:val="auto"/>
                <w:sz w:val="21"/>
                <w:szCs w:val="21"/>
                <w:highlight w:val="none"/>
              </w:rPr>
              <w:t>监测点数</w:t>
            </w:r>
          </w:p>
        </w:tc>
        <w:tc>
          <w:tcPr>
            <w:tcW w:w="745" w:type="pct"/>
            <w:gridSpan w:val="2"/>
            <w:noWrap w:val="0"/>
            <w:vAlign w:val="center"/>
          </w:tcPr>
          <w:p w14:paraId="6A6DE221">
            <w:pPr>
              <w:spacing w:line="240" w:lineRule="auto"/>
              <w:ind w:firstLine="0" w:firstLineChars="0"/>
              <w:jc w:val="center"/>
              <w:rPr>
                <w:color w:val="auto"/>
                <w:sz w:val="21"/>
                <w:szCs w:val="21"/>
                <w:highlight w:val="none"/>
              </w:rPr>
            </w:pPr>
            <w:r>
              <w:rPr>
                <w:color w:val="auto"/>
                <w:sz w:val="21"/>
                <w:szCs w:val="21"/>
                <w:highlight w:val="none"/>
              </w:rPr>
              <w:t>监测指标</w:t>
            </w:r>
          </w:p>
        </w:tc>
        <w:tc>
          <w:tcPr>
            <w:tcW w:w="785" w:type="pct"/>
            <w:gridSpan w:val="2"/>
            <w:noWrap w:val="0"/>
            <w:vAlign w:val="center"/>
          </w:tcPr>
          <w:p w14:paraId="6826AC5E">
            <w:pPr>
              <w:spacing w:line="240" w:lineRule="auto"/>
              <w:ind w:firstLine="0" w:firstLineChars="0"/>
              <w:jc w:val="center"/>
              <w:rPr>
                <w:color w:val="auto"/>
                <w:sz w:val="21"/>
                <w:szCs w:val="21"/>
                <w:highlight w:val="none"/>
              </w:rPr>
            </w:pPr>
            <w:r>
              <w:rPr>
                <w:color w:val="auto"/>
                <w:sz w:val="21"/>
                <w:szCs w:val="21"/>
                <w:highlight w:val="none"/>
              </w:rPr>
              <w:t>监测频次</w:t>
            </w:r>
          </w:p>
        </w:tc>
        <w:tc>
          <w:tcPr>
            <w:tcW w:w="556" w:type="pct"/>
            <w:noWrap w:val="0"/>
            <w:vAlign w:val="center"/>
          </w:tcPr>
          <w:p w14:paraId="34911BDE">
            <w:pPr>
              <w:spacing w:line="240" w:lineRule="auto"/>
              <w:ind w:firstLine="0" w:firstLineChars="0"/>
              <w:jc w:val="center"/>
              <w:rPr>
                <w:color w:val="auto"/>
                <w:sz w:val="21"/>
                <w:szCs w:val="21"/>
                <w:highlight w:val="none"/>
              </w:rPr>
            </w:pPr>
          </w:p>
        </w:tc>
      </w:tr>
      <w:tr w14:paraId="5678F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3" w:type="pct"/>
            <w:vMerge w:val="continue"/>
            <w:noWrap w:val="0"/>
            <w:vAlign w:val="center"/>
          </w:tcPr>
          <w:p w14:paraId="2493ECFB">
            <w:pPr>
              <w:spacing w:line="240" w:lineRule="auto"/>
              <w:ind w:firstLine="0" w:firstLineChars="0"/>
              <w:jc w:val="center"/>
              <w:rPr>
                <w:color w:val="auto"/>
                <w:sz w:val="21"/>
                <w:szCs w:val="21"/>
                <w:highlight w:val="none"/>
              </w:rPr>
            </w:pPr>
          </w:p>
        </w:tc>
        <w:tc>
          <w:tcPr>
            <w:tcW w:w="959" w:type="pct"/>
            <w:vMerge w:val="continue"/>
            <w:noWrap w:val="0"/>
            <w:vAlign w:val="center"/>
          </w:tcPr>
          <w:p w14:paraId="3E12CB66">
            <w:pPr>
              <w:spacing w:line="240" w:lineRule="auto"/>
              <w:ind w:firstLine="0" w:firstLineChars="0"/>
              <w:jc w:val="center"/>
              <w:rPr>
                <w:color w:val="auto"/>
                <w:sz w:val="21"/>
                <w:szCs w:val="21"/>
                <w:highlight w:val="none"/>
              </w:rPr>
            </w:pPr>
          </w:p>
        </w:tc>
        <w:tc>
          <w:tcPr>
            <w:tcW w:w="1639" w:type="pct"/>
            <w:gridSpan w:val="2"/>
            <w:noWrap w:val="0"/>
            <w:vAlign w:val="center"/>
          </w:tcPr>
          <w:p w14:paraId="40011183">
            <w:pPr>
              <w:spacing w:line="240" w:lineRule="auto"/>
              <w:ind w:firstLine="0" w:firstLineChars="0"/>
              <w:jc w:val="center"/>
              <w:rPr>
                <w:color w:val="auto"/>
                <w:sz w:val="21"/>
                <w:szCs w:val="21"/>
                <w:highlight w:val="none"/>
              </w:rPr>
            </w:pPr>
            <w:r>
              <w:rPr>
                <w:rFonts w:hint="eastAsia"/>
                <w:color w:val="auto"/>
                <w:sz w:val="21"/>
                <w:szCs w:val="21"/>
                <w:highlight w:val="none"/>
              </w:rPr>
              <w:t>/</w:t>
            </w:r>
          </w:p>
        </w:tc>
        <w:tc>
          <w:tcPr>
            <w:tcW w:w="745" w:type="pct"/>
            <w:gridSpan w:val="2"/>
            <w:noWrap w:val="0"/>
            <w:vAlign w:val="center"/>
          </w:tcPr>
          <w:p w14:paraId="30E566A3">
            <w:pPr>
              <w:spacing w:line="240" w:lineRule="auto"/>
              <w:ind w:firstLine="0" w:firstLineChars="0"/>
              <w:jc w:val="center"/>
              <w:rPr>
                <w:color w:val="auto"/>
                <w:sz w:val="21"/>
                <w:szCs w:val="21"/>
                <w:highlight w:val="none"/>
              </w:rPr>
            </w:pPr>
            <w:r>
              <w:rPr>
                <w:rFonts w:hint="eastAsia"/>
                <w:color w:val="auto"/>
                <w:sz w:val="21"/>
                <w:szCs w:val="21"/>
                <w:highlight w:val="none"/>
              </w:rPr>
              <w:t>/</w:t>
            </w:r>
          </w:p>
        </w:tc>
        <w:tc>
          <w:tcPr>
            <w:tcW w:w="785" w:type="pct"/>
            <w:gridSpan w:val="2"/>
            <w:noWrap w:val="0"/>
            <w:vAlign w:val="center"/>
          </w:tcPr>
          <w:p w14:paraId="58E2867E">
            <w:pPr>
              <w:spacing w:line="240" w:lineRule="auto"/>
              <w:ind w:firstLine="0" w:firstLineChars="0"/>
              <w:jc w:val="center"/>
              <w:rPr>
                <w:color w:val="auto"/>
                <w:sz w:val="21"/>
                <w:szCs w:val="21"/>
                <w:highlight w:val="none"/>
              </w:rPr>
            </w:pPr>
            <w:r>
              <w:rPr>
                <w:rFonts w:hint="eastAsia"/>
                <w:color w:val="auto"/>
                <w:sz w:val="21"/>
                <w:szCs w:val="21"/>
                <w:highlight w:val="none"/>
              </w:rPr>
              <w:t>/</w:t>
            </w:r>
          </w:p>
        </w:tc>
        <w:tc>
          <w:tcPr>
            <w:tcW w:w="556" w:type="pct"/>
            <w:noWrap w:val="0"/>
            <w:vAlign w:val="center"/>
          </w:tcPr>
          <w:p w14:paraId="0FBB7521">
            <w:pPr>
              <w:spacing w:line="240" w:lineRule="auto"/>
              <w:ind w:firstLine="0" w:firstLineChars="0"/>
              <w:jc w:val="center"/>
              <w:rPr>
                <w:color w:val="auto"/>
                <w:sz w:val="21"/>
                <w:szCs w:val="21"/>
                <w:highlight w:val="none"/>
              </w:rPr>
            </w:pPr>
          </w:p>
        </w:tc>
      </w:tr>
      <w:tr w14:paraId="7FC6B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3" w:type="pct"/>
            <w:vMerge w:val="continue"/>
            <w:noWrap w:val="0"/>
            <w:vAlign w:val="center"/>
          </w:tcPr>
          <w:p w14:paraId="1BB0948A">
            <w:pPr>
              <w:spacing w:line="240" w:lineRule="auto"/>
              <w:ind w:firstLine="0" w:firstLineChars="0"/>
              <w:jc w:val="center"/>
              <w:rPr>
                <w:color w:val="auto"/>
                <w:sz w:val="21"/>
                <w:szCs w:val="21"/>
                <w:highlight w:val="none"/>
              </w:rPr>
            </w:pPr>
          </w:p>
        </w:tc>
        <w:tc>
          <w:tcPr>
            <w:tcW w:w="959" w:type="pct"/>
            <w:noWrap w:val="0"/>
            <w:vAlign w:val="center"/>
          </w:tcPr>
          <w:p w14:paraId="2B46FBE4">
            <w:pPr>
              <w:spacing w:line="240" w:lineRule="auto"/>
              <w:ind w:firstLine="0" w:firstLineChars="0"/>
              <w:jc w:val="center"/>
              <w:rPr>
                <w:color w:val="auto"/>
                <w:sz w:val="21"/>
                <w:szCs w:val="21"/>
                <w:highlight w:val="none"/>
              </w:rPr>
            </w:pPr>
            <w:r>
              <w:rPr>
                <w:color w:val="auto"/>
                <w:sz w:val="21"/>
                <w:szCs w:val="21"/>
                <w:highlight w:val="none"/>
              </w:rPr>
              <w:t>信息公开指标</w:t>
            </w:r>
          </w:p>
        </w:tc>
        <w:tc>
          <w:tcPr>
            <w:tcW w:w="3169" w:type="pct"/>
            <w:gridSpan w:val="6"/>
            <w:noWrap w:val="0"/>
            <w:vAlign w:val="center"/>
          </w:tcPr>
          <w:p w14:paraId="330CE614">
            <w:pPr>
              <w:spacing w:line="240" w:lineRule="auto"/>
              <w:ind w:firstLine="0" w:firstLineChars="0"/>
              <w:jc w:val="center"/>
              <w:rPr>
                <w:color w:val="auto"/>
                <w:sz w:val="21"/>
                <w:szCs w:val="21"/>
                <w:highlight w:val="none"/>
              </w:rPr>
            </w:pPr>
          </w:p>
        </w:tc>
        <w:tc>
          <w:tcPr>
            <w:tcW w:w="556" w:type="pct"/>
            <w:noWrap w:val="0"/>
            <w:vAlign w:val="center"/>
          </w:tcPr>
          <w:p w14:paraId="02CFE4FF">
            <w:pPr>
              <w:spacing w:line="240" w:lineRule="auto"/>
              <w:ind w:firstLine="0" w:firstLineChars="0"/>
              <w:jc w:val="center"/>
              <w:rPr>
                <w:color w:val="auto"/>
                <w:sz w:val="21"/>
                <w:szCs w:val="21"/>
                <w:highlight w:val="none"/>
              </w:rPr>
            </w:pPr>
          </w:p>
        </w:tc>
      </w:tr>
      <w:tr w14:paraId="725DE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3" w:type="pct"/>
            <w:gridSpan w:val="2"/>
            <w:noWrap w:val="0"/>
            <w:vAlign w:val="center"/>
          </w:tcPr>
          <w:p w14:paraId="4FC9AE2B">
            <w:pPr>
              <w:spacing w:line="240" w:lineRule="auto"/>
              <w:ind w:firstLine="0" w:firstLineChars="0"/>
              <w:jc w:val="center"/>
              <w:rPr>
                <w:color w:val="auto"/>
                <w:sz w:val="21"/>
                <w:szCs w:val="21"/>
                <w:highlight w:val="none"/>
              </w:rPr>
            </w:pPr>
            <w:r>
              <w:rPr>
                <w:color w:val="auto"/>
                <w:sz w:val="21"/>
                <w:szCs w:val="21"/>
                <w:highlight w:val="none"/>
              </w:rPr>
              <w:t>评价结论</w:t>
            </w:r>
          </w:p>
        </w:tc>
        <w:tc>
          <w:tcPr>
            <w:tcW w:w="3169" w:type="pct"/>
            <w:gridSpan w:val="6"/>
            <w:noWrap w:val="0"/>
            <w:vAlign w:val="center"/>
          </w:tcPr>
          <w:p w14:paraId="79F5D4FD">
            <w:pPr>
              <w:spacing w:line="240" w:lineRule="auto"/>
              <w:ind w:firstLine="0" w:firstLineChars="0"/>
              <w:jc w:val="center"/>
              <w:rPr>
                <w:color w:val="auto"/>
                <w:sz w:val="21"/>
                <w:szCs w:val="21"/>
                <w:highlight w:val="none"/>
              </w:rPr>
            </w:pPr>
          </w:p>
        </w:tc>
        <w:tc>
          <w:tcPr>
            <w:tcW w:w="556" w:type="pct"/>
            <w:noWrap w:val="0"/>
            <w:vAlign w:val="center"/>
          </w:tcPr>
          <w:p w14:paraId="4847FE70">
            <w:pPr>
              <w:spacing w:line="240" w:lineRule="auto"/>
              <w:ind w:firstLine="0" w:firstLineChars="0"/>
              <w:jc w:val="center"/>
              <w:rPr>
                <w:color w:val="auto"/>
                <w:sz w:val="21"/>
                <w:szCs w:val="21"/>
                <w:highlight w:val="none"/>
              </w:rPr>
            </w:pPr>
          </w:p>
        </w:tc>
      </w:tr>
      <w:tr w14:paraId="639BA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43" w:type="pct"/>
            <w:gridSpan w:val="8"/>
            <w:noWrap w:val="0"/>
            <w:vAlign w:val="center"/>
          </w:tcPr>
          <w:p w14:paraId="43FED690">
            <w:pPr>
              <w:spacing w:line="240" w:lineRule="auto"/>
              <w:ind w:firstLine="0" w:firstLineChars="0"/>
              <w:jc w:val="center"/>
              <w:rPr>
                <w:color w:val="auto"/>
                <w:spacing w:val="-6"/>
                <w:sz w:val="21"/>
                <w:szCs w:val="21"/>
                <w:highlight w:val="none"/>
              </w:rPr>
            </w:pPr>
            <w:r>
              <w:rPr>
                <w:color w:val="auto"/>
                <w:spacing w:val="-6"/>
                <w:sz w:val="21"/>
                <w:szCs w:val="21"/>
                <w:highlight w:val="none"/>
              </w:rPr>
              <w:t>注1：“</w:t>
            </w:r>
            <w:r>
              <w:rPr>
                <w:color w:val="auto"/>
                <w:kern w:val="0"/>
                <w:sz w:val="21"/>
                <w:szCs w:val="21"/>
                <w:highlight w:val="none"/>
              </w:rPr>
              <w:t>□</w:t>
            </w:r>
            <w:r>
              <w:rPr>
                <w:color w:val="auto"/>
                <w:spacing w:val="-6"/>
                <w:sz w:val="21"/>
                <w:szCs w:val="21"/>
                <w:highlight w:val="none"/>
              </w:rPr>
              <w:t>”为勾选项，可√；“（  ）”为内容填写项；“备注”为其他补充内容。</w:t>
            </w:r>
          </w:p>
          <w:p w14:paraId="16042A2B">
            <w:pPr>
              <w:spacing w:line="240" w:lineRule="auto"/>
              <w:ind w:firstLine="0" w:firstLineChars="0"/>
              <w:jc w:val="center"/>
              <w:rPr>
                <w:color w:val="auto"/>
                <w:spacing w:val="-6"/>
                <w:sz w:val="21"/>
                <w:szCs w:val="21"/>
                <w:highlight w:val="none"/>
              </w:rPr>
            </w:pPr>
            <w:r>
              <w:rPr>
                <w:color w:val="auto"/>
                <w:spacing w:val="-6"/>
                <w:sz w:val="21"/>
                <w:szCs w:val="21"/>
                <w:highlight w:val="none"/>
              </w:rPr>
              <w:t>注2：需要分别开展土壤环境影响评级工作的，分别填写自查表。</w:t>
            </w:r>
          </w:p>
        </w:tc>
        <w:tc>
          <w:tcPr>
            <w:tcW w:w="556" w:type="pct"/>
            <w:noWrap w:val="0"/>
            <w:vAlign w:val="center"/>
          </w:tcPr>
          <w:p w14:paraId="7DA5F053">
            <w:pPr>
              <w:spacing w:line="240" w:lineRule="auto"/>
              <w:ind w:firstLine="0" w:firstLineChars="0"/>
              <w:jc w:val="center"/>
              <w:rPr>
                <w:color w:val="auto"/>
                <w:spacing w:val="-6"/>
                <w:sz w:val="21"/>
                <w:szCs w:val="21"/>
                <w:highlight w:val="none"/>
              </w:rPr>
            </w:pPr>
          </w:p>
        </w:tc>
      </w:tr>
    </w:tbl>
    <w:p w14:paraId="1A5A36D4">
      <w:pPr>
        <w:pStyle w:val="4"/>
        <w:spacing w:before="0" w:after="0" w:line="240" w:lineRule="auto"/>
        <w:jc w:val="center"/>
        <w:rPr>
          <w:rFonts w:hint="eastAsia" w:ascii="Times New Roman" w:hAnsi="Times New Roman"/>
          <w:color w:val="auto"/>
          <w:highlight w:val="none"/>
        </w:rPr>
      </w:pPr>
      <w:r>
        <w:rPr>
          <w:rFonts w:ascii="Times New Roman" w:hAnsi="Times New Roman"/>
          <w:color w:val="auto"/>
          <w:highlight w:val="none"/>
        </w:rPr>
        <w:br w:type="page"/>
      </w:r>
      <w:bookmarkStart w:id="220" w:name="_Toc30703"/>
      <w:bookmarkStart w:id="221" w:name="_Toc2176"/>
      <w:r>
        <w:rPr>
          <w:rFonts w:hint="eastAsia"/>
          <w:color w:val="auto"/>
          <w:highlight w:val="none"/>
        </w:rPr>
        <w:t>建设项目风险自查表</w:t>
      </w:r>
      <w:bookmarkEnd w:id="220"/>
      <w:bookmarkEnd w:id="221"/>
    </w:p>
    <w:tbl>
      <w:tblPr>
        <w:tblStyle w:val="17"/>
        <w:tblW w:w="506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9"/>
        <w:gridCol w:w="1247"/>
        <w:gridCol w:w="676"/>
        <w:gridCol w:w="1027"/>
        <w:gridCol w:w="969"/>
        <w:gridCol w:w="645"/>
        <w:gridCol w:w="691"/>
        <w:gridCol w:w="688"/>
        <w:gridCol w:w="691"/>
        <w:gridCol w:w="688"/>
        <w:gridCol w:w="696"/>
      </w:tblGrid>
      <w:tr w14:paraId="2481C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blHeader/>
          <w:jc w:val="center"/>
        </w:trPr>
        <w:tc>
          <w:tcPr>
            <w:tcW w:w="1103" w:type="pct"/>
            <w:gridSpan w:val="2"/>
            <w:noWrap w:val="0"/>
            <w:vAlign w:val="center"/>
          </w:tcPr>
          <w:p w14:paraId="3CCD8289">
            <w:pPr>
              <w:spacing w:line="240" w:lineRule="auto"/>
              <w:ind w:firstLine="0" w:firstLineChars="0"/>
              <w:jc w:val="center"/>
              <w:rPr>
                <w:color w:val="auto"/>
                <w:sz w:val="21"/>
                <w:szCs w:val="21"/>
                <w:highlight w:val="none"/>
              </w:rPr>
            </w:pPr>
            <w:r>
              <w:rPr>
                <w:color w:val="auto"/>
                <w:sz w:val="21"/>
                <w:szCs w:val="21"/>
                <w:highlight w:val="none"/>
              </w:rPr>
              <w:t>工作内容</w:t>
            </w:r>
          </w:p>
        </w:tc>
        <w:tc>
          <w:tcPr>
            <w:tcW w:w="3897" w:type="pct"/>
            <w:gridSpan w:val="9"/>
            <w:noWrap w:val="0"/>
            <w:vAlign w:val="center"/>
          </w:tcPr>
          <w:p w14:paraId="0AFF05BA">
            <w:pPr>
              <w:spacing w:line="240" w:lineRule="auto"/>
              <w:ind w:firstLine="0" w:firstLineChars="0"/>
              <w:jc w:val="center"/>
              <w:rPr>
                <w:color w:val="auto"/>
                <w:sz w:val="21"/>
                <w:szCs w:val="21"/>
                <w:highlight w:val="none"/>
              </w:rPr>
            </w:pPr>
            <w:r>
              <w:rPr>
                <w:color w:val="auto"/>
                <w:sz w:val="21"/>
                <w:szCs w:val="21"/>
                <w:highlight w:val="none"/>
              </w:rPr>
              <w:t>完成情况</w:t>
            </w:r>
          </w:p>
        </w:tc>
      </w:tr>
      <w:tr w14:paraId="670E4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385" w:type="pct"/>
            <w:vMerge w:val="restart"/>
            <w:noWrap w:val="0"/>
            <w:vAlign w:val="center"/>
          </w:tcPr>
          <w:p w14:paraId="24F8D095">
            <w:pPr>
              <w:spacing w:line="240" w:lineRule="auto"/>
              <w:ind w:firstLine="0" w:firstLineChars="0"/>
              <w:jc w:val="center"/>
              <w:rPr>
                <w:color w:val="auto"/>
                <w:sz w:val="21"/>
                <w:szCs w:val="21"/>
                <w:highlight w:val="none"/>
              </w:rPr>
            </w:pPr>
            <w:r>
              <w:rPr>
                <w:color w:val="auto"/>
                <w:sz w:val="21"/>
                <w:szCs w:val="21"/>
                <w:highlight w:val="none"/>
              </w:rPr>
              <w:t>风险调查</w:t>
            </w:r>
          </w:p>
        </w:tc>
        <w:tc>
          <w:tcPr>
            <w:tcW w:w="718" w:type="pct"/>
            <w:vMerge w:val="restart"/>
            <w:noWrap w:val="0"/>
            <w:vAlign w:val="center"/>
          </w:tcPr>
          <w:p w14:paraId="2308472D">
            <w:pPr>
              <w:spacing w:line="240" w:lineRule="auto"/>
              <w:ind w:firstLine="0" w:firstLineChars="0"/>
              <w:jc w:val="center"/>
              <w:rPr>
                <w:color w:val="auto"/>
                <w:sz w:val="21"/>
                <w:szCs w:val="21"/>
                <w:highlight w:val="none"/>
              </w:rPr>
            </w:pPr>
            <w:r>
              <w:rPr>
                <w:color w:val="auto"/>
                <w:sz w:val="21"/>
                <w:szCs w:val="21"/>
                <w:highlight w:val="none"/>
              </w:rPr>
              <w:t>危险物质</w:t>
            </w:r>
          </w:p>
        </w:tc>
        <w:tc>
          <w:tcPr>
            <w:tcW w:w="389" w:type="pct"/>
            <w:noWrap w:val="0"/>
            <w:vAlign w:val="center"/>
          </w:tcPr>
          <w:p w14:paraId="71038D94">
            <w:pPr>
              <w:spacing w:line="240" w:lineRule="auto"/>
              <w:ind w:firstLine="0" w:firstLineChars="0"/>
              <w:jc w:val="center"/>
              <w:rPr>
                <w:color w:val="auto"/>
                <w:sz w:val="21"/>
                <w:szCs w:val="21"/>
                <w:highlight w:val="none"/>
              </w:rPr>
            </w:pPr>
            <w:r>
              <w:rPr>
                <w:color w:val="auto"/>
                <w:sz w:val="21"/>
                <w:szCs w:val="21"/>
                <w:highlight w:val="none"/>
              </w:rPr>
              <w:t>名称</w:t>
            </w:r>
          </w:p>
        </w:tc>
        <w:tc>
          <w:tcPr>
            <w:tcW w:w="591" w:type="pct"/>
            <w:noWrap w:val="0"/>
            <w:vAlign w:val="center"/>
          </w:tcPr>
          <w:p w14:paraId="2D830390">
            <w:pPr>
              <w:spacing w:line="240" w:lineRule="auto"/>
              <w:ind w:firstLine="0" w:firstLineChars="0"/>
              <w:jc w:val="center"/>
              <w:rPr>
                <w:color w:val="auto"/>
                <w:sz w:val="21"/>
                <w:szCs w:val="21"/>
                <w:highlight w:val="none"/>
              </w:rPr>
            </w:pPr>
            <w:r>
              <w:rPr>
                <w:rFonts w:hint="eastAsia"/>
                <w:color w:val="auto"/>
                <w:sz w:val="21"/>
                <w:szCs w:val="21"/>
                <w:highlight w:val="none"/>
              </w:rPr>
              <w:t>/</w:t>
            </w:r>
          </w:p>
        </w:tc>
        <w:tc>
          <w:tcPr>
            <w:tcW w:w="557" w:type="pct"/>
            <w:noWrap w:val="0"/>
            <w:vAlign w:val="center"/>
          </w:tcPr>
          <w:p w14:paraId="001ABE22">
            <w:pPr>
              <w:spacing w:line="240" w:lineRule="auto"/>
              <w:ind w:firstLine="0" w:firstLineChars="0"/>
              <w:jc w:val="center"/>
              <w:rPr>
                <w:color w:val="auto"/>
                <w:sz w:val="21"/>
                <w:szCs w:val="21"/>
                <w:highlight w:val="none"/>
              </w:rPr>
            </w:pPr>
          </w:p>
        </w:tc>
        <w:tc>
          <w:tcPr>
            <w:tcW w:w="371" w:type="pct"/>
            <w:noWrap w:val="0"/>
            <w:vAlign w:val="center"/>
          </w:tcPr>
          <w:p w14:paraId="4AA6AE4B">
            <w:pPr>
              <w:spacing w:line="240" w:lineRule="auto"/>
              <w:ind w:firstLine="0" w:firstLineChars="0"/>
              <w:jc w:val="center"/>
              <w:rPr>
                <w:color w:val="auto"/>
                <w:sz w:val="21"/>
                <w:szCs w:val="21"/>
                <w:highlight w:val="none"/>
              </w:rPr>
            </w:pPr>
          </w:p>
        </w:tc>
        <w:tc>
          <w:tcPr>
            <w:tcW w:w="398" w:type="pct"/>
            <w:noWrap w:val="0"/>
            <w:vAlign w:val="center"/>
          </w:tcPr>
          <w:p w14:paraId="587F1624">
            <w:pPr>
              <w:spacing w:line="240" w:lineRule="auto"/>
              <w:ind w:firstLine="0" w:firstLineChars="0"/>
              <w:jc w:val="center"/>
              <w:rPr>
                <w:color w:val="auto"/>
                <w:sz w:val="21"/>
                <w:szCs w:val="21"/>
                <w:highlight w:val="none"/>
              </w:rPr>
            </w:pPr>
          </w:p>
        </w:tc>
        <w:tc>
          <w:tcPr>
            <w:tcW w:w="396" w:type="pct"/>
            <w:noWrap w:val="0"/>
            <w:vAlign w:val="center"/>
          </w:tcPr>
          <w:p w14:paraId="5C46412D">
            <w:pPr>
              <w:spacing w:line="240" w:lineRule="auto"/>
              <w:ind w:firstLine="0" w:firstLineChars="0"/>
              <w:jc w:val="center"/>
              <w:rPr>
                <w:color w:val="auto"/>
                <w:sz w:val="21"/>
                <w:szCs w:val="21"/>
                <w:highlight w:val="none"/>
              </w:rPr>
            </w:pPr>
          </w:p>
        </w:tc>
        <w:tc>
          <w:tcPr>
            <w:tcW w:w="398" w:type="pct"/>
            <w:noWrap w:val="0"/>
            <w:vAlign w:val="center"/>
          </w:tcPr>
          <w:p w14:paraId="6F32CB1F">
            <w:pPr>
              <w:spacing w:line="240" w:lineRule="auto"/>
              <w:ind w:firstLine="0" w:firstLineChars="0"/>
              <w:jc w:val="center"/>
              <w:rPr>
                <w:color w:val="auto"/>
                <w:sz w:val="21"/>
                <w:szCs w:val="21"/>
                <w:highlight w:val="none"/>
              </w:rPr>
            </w:pPr>
          </w:p>
        </w:tc>
        <w:tc>
          <w:tcPr>
            <w:tcW w:w="396" w:type="pct"/>
            <w:noWrap w:val="0"/>
            <w:vAlign w:val="center"/>
          </w:tcPr>
          <w:p w14:paraId="749A4F77">
            <w:pPr>
              <w:spacing w:line="240" w:lineRule="auto"/>
              <w:ind w:firstLine="0" w:firstLineChars="0"/>
              <w:jc w:val="center"/>
              <w:rPr>
                <w:color w:val="auto"/>
                <w:sz w:val="21"/>
                <w:szCs w:val="21"/>
                <w:highlight w:val="none"/>
              </w:rPr>
            </w:pPr>
          </w:p>
        </w:tc>
        <w:tc>
          <w:tcPr>
            <w:tcW w:w="401" w:type="pct"/>
            <w:noWrap w:val="0"/>
            <w:vAlign w:val="center"/>
          </w:tcPr>
          <w:p w14:paraId="776C6DAC">
            <w:pPr>
              <w:spacing w:line="240" w:lineRule="auto"/>
              <w:ind w:firstLine="0" w:firstLineChars="0"/>
              <w:jc w:val="center"/>
              <w:rPr>
                <w:color w:val="auto"/>
                <w:sz w:val="21"/>
                <w:szCs w:val="21"/>
                <w:highlight w:val="none"/>
              </w:rPr>
            </w:pPr>
          </w:p>
        </w:tc>
      </w:tr>
      <w:tr w14:paraId="77FBF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385" w:type="pct"/>
            <w:vMerge w:val="continue"/>
            <w:noWrap w:val="0"/>
            <w:vAlign w:val="center"/>
          </w:tcPr>
          <w:p w14:paraId="7D93AF6C">
            <w:pPr>
              <w:spacing w:line="240" w:lineRule="auto"/>
              <w:ind w:firstLine="0" w:firstLineChars="0"/>
              <w:jc w:val="center"/>
              <w:rPr>
                <w:color w:val="auto"/>
                <w:sz w:val="21"/>
                <w:szCs w:val="21"/>
                <w:highlight w:val="none"/>
              </w:rPr>
            </w:pPr>
          </w:p>
        </w:tc>
        <w:tc>
          <w:tcPr>
            <w:tcW w:w="718" w:type="pct"/>
            <w:vMerge w:val="continue"/>
            <w:noWrap w:val="0"/>
            <w:vAlign w:val="center"/>
          </w:tcPr>
          <w:p w14:paraId="552F5139">
            <w:pPr>
              <w:spacing w:line="240" w:lineRule="auto"/>
              <w:ind w:firstLine="0" w:firstLineChars="0"/>
              <w:jc w:val="center"/>
              <w:rPr>
                <w:color w:val="auto"/>
                <w:sz w:val="21"/>
                <w:szCs w:val="21"/>
                <w:highlight w:val="none"/>
              </w:rPr>
            </w:pPr>
          </w:p>
        </w:tc>
        <w:tc>
          <w:tcPr>
            <w:tcW w:w="389" w:type="pct"/>
            <w:noWrap w:val="0"/>
            <w:vAlign w:val="center"/>
          </w:tcPr>
          <w:p w14:paraId="5514434D">
            <w:pPr>
              <w:spacing w:line="240" w:lineRule="auto"/>
              <w:ind w:firstLine="0" w:firstLineChars="0"/>
              <w:jc w:val="center"/>
              <w:rPr>
                <w:color w:val="auto"/>
                <w:sz w:val="21"/>
                <w:szCs w:val="21"/>
                <w:highlight w:val="none"/>
              </w:rPr>
            </w:pPr>
            <w:r>
              <w:rPr>
                <w:color w:val="auto"/>
                <w:sz w:val="21"/>
                <w:szCs w:val="21"/>
                <w:highlight w:val="none"/>
              </w:rPr>
              <w:t>存在总量/t</w:t>
            </w:r>
          </w:p>
        </w:tc>
        <w:tc>
          <w:tcPr>
            <w:tcW w:w="591" w:type="pct"/>
            <w:noWrap w:val="0"/>
            <w:vAlign w:val="center"/>
          </w:tcPr>
          <w:p w14:paraId="008C2F44">
            <w:pPr>
              <w:tabs>
                <w:tab w:val="center" w:pos="404"/>
                <w:tab w:val="left" w:pos="589"/>
              </w:tabs>
              <w:spacing w:line="240" w:lineRule="auto"/>
              <w:ind w:firstLine="0" w:firstLineChars="0"/>
              <w:jc w:val="center"/>
              <w:rPr>
                <w:color w:val="auto"/>
                <w:sz w:val="21"/>
                <w:szCs w:val="21"/>
                <w:highlight w:val="none"/>
              </w:rPr>
            </w:pPr>
            <w:r>
              <w:rPr>
                <w:rFonts w:hint="eastAsia"/>
                <w:color w:val="auto"/>
                <w:sz w:val="21"/>
                <w:szCs w:val="21"/>
                <w:highlight w:val="none"/>
              </w:rPr>
              <w:t>/</w:t>
            </w:r>
          </w:p>
        </w:tc>
        <w:tc>
          <w:tcPr>
            <w:tcW w:w="557" w:type="pct"/>
            <w:noWrap w:val="0"/>
            <w:vAlign w:val="center"/>
          </w:tcPr>
          <w:p w14:paraId="717D1DE2">
            <w:pPr>
              <w:tabs>
                <w:tab w:val="center" w:pos="404"/>
                <w:tab w:val="left" w:pos="589"/>
              </w:tabs>
              <w:spacing w:line="240" w:lineRule="auto"/>
              <w:ind w:firstLine="0" w:firstLineChars="0"/>
              <w:jc w:val="center"/>
              <w:rPr>
                <w:color w:val="auto"/>
                <w:sz w:val="21"/>
                <w:szCs w:val="21"/>
                <w:highlight w:val="none"/>
              </w:rPr>
            </w:pPr>
          </w:p>
        </w:tc>
        <w:tc>
          <w:tcPr>
            <w:tcW w:w="371" w:type="pct"/>
            <w:noWrap w:val="0"/>
            <w:vAlign w:val="center"/>
          </w:tcPr>
          <w:p w14:paraId="32A04BF8">
            <w:pPr>
              <w:spacing w:line="240" w:lineRule="auto"/>
              <w:ind w:firstLine="0" w:firstLineChars="0"/>
              <w:jc w:val="center"/>
              <w:rPr>
                <w:color w:val="auto"/>
                <w:sz w:val="21"/>
                <w:szCs w:val="21"/>
                <w:highlight w:val="none"/>
              </w:rPr>
            </w:pPr>
          </w:p>
        </w:tc>
        <w:tc>
          <w:tcPr>
            <w:tcW w:w="398" w:type="pct"/>
            <w:noWrap w:val="0"/>
            <w:vAlign w:val="center"/>
          </w:tcPr>
          <w:p w14:paraId="3CC1BC76">
            <w:pPr>
              <w:spacing w:line="240" w:lineRule="auto"/>
              <w:ind w:firstLine="0" w:firstLineChars="0"/>
              <w:jc w:val="center"/>
              <w:rPr>
                <w:color w:val="auto"/>
                <w:sz w:val="21"/>
                <w:szCs w:val="21"/>
                <w:highlight w:val="none"/>
              </w:rPr>
            </w:pPr>
          </w:p>
        </w:tc>
        <w:tc>
          <w:tcPr>
            <w:tcW w:w="396" w:type="pct"/>
            <w:noWrap w:val="0"/>
            <w:vAlign w:val="center"/>
          </w:tcPr>
          <w:p w14:paraId="0A010F8C">
            <w:pPr>
              <w:spacing w:line="240" w:lineRule="auto"/>
              <w:ind w:firstLine="0" w:firstLineChars="0"/>
              <w:jc w:val="center"/>
              <w:rPr>
                <w:color w:val="auto"/>
                <w:sz w:val="21"/>
                <w:szCs w:val="21"/>
                <w:highlight w:val="none"/>
              </w:rPr>
            </w:pPr>
          </w:p>
        </w:tc>
        <w:tc>
          <w:tcPr>
            <w:tcW w:w="398" w:type="pct"/>
            <w:noWrap w:val="0"/>
            <w:vAlign w:val="center"/>
          </w:tcPr>
          <w:p w14:paraId="56A82074">
            <w:pPr>
              <w:spacing w:line="240" w:lineRule="auto"/>
              <w:ind w:firstLine="0" w:firstLineChars="0"/>
              <w:jc w:val="center"/>
              <w:rPr>
                <w:color w:val="auto"/>
                <w:sz w:val="21"/>
                <w:szCs w:val="21"/>
                <w:highlight w:val="none"/>
              </w:rPr>
            </w:pPr>
          </w:p>
        </w:tc>
        <w:tc>
          <w:tcPr>
            <w:tcW w:w="396" w:type="pct"/>
            <w:noWrap w:val="0"/>
            <w:vAlign w:val="center"/>
          </w:tcPr>
          <w:p w14:paraId="4D69313F">
            <w:pPr>
              <w:spacing w:line="240" w:lineRule="auto"/>
              <w:ind w:firstLine="0" w:firstLineChars="0"/>
              <w:jc w:val="center"/>
              <w:rPr>
                <w:color w:val="auto"/>
                <w:sz w:val="21"/>
                <w:szCs w:val="21"/>
                <w:highlight w:val="none"/>
              </w:rPr>
            </w:pPr>
          </w:p>
        </w:tc>
        <w:tc>
          <w:tcPr>
            <w:tcW w:w="401" w:type="pct"/>
            <w:noWrap w:val="0"/>
            <w:vAlign w:val="center"/>
          </w:tcPr>
          <w:p w14:paraId="1E3EB74C">
            <w:pPr>
              <w:spacing w:line="240" w:lineRule="auto"/>
              <w:ind w:firstLine="0" w:firstLineChars="0"/>
              <w:jc w:val="center"/>
              <w:rPr>
                <w:color w:val="auto"/>
                <w:sz w:val="21"/>
                <w:szCs w:val="21"/>
                <w:highlight w:val="none"/>
              </w:rPr>
            </w:pPr>
          </w:p>
        </w:tc>
      </w:tr>
      <w:tr w14:paraId="18065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385" w:type="pct"/>
            <w:vMerge w:val="continue"/>
            <w:noWrap w:val="0"/>
            <w:vAlign w:val="center"/>
          </w:tcPr>
          <w:p w14:paraId="4B8405CB">
            <w:pPr>
              <w:spacing w:line="240" w:lineRule="auto"/>
              <w:ind w:firstLine="0" w:firstLineChars="0"/>
              <w:jc w:val="center"/>
              <w:rPr>
                <w:color w:val="auto"/>
                <w:sz w:val="21"/>
                <w:szCs w:val="21"/>
                <w:highlight w:val="none"/>
              </w:rPr>
            </w:pPr>
          </w:p>
        </w:tc>
        <w:tc>
          <w:tcPr>
            <w:tcW w:w="718" w:type="pct"/>
            <w:vMerge w:val="restart"/>
            <w:noWrap w:val="0"/>
            <w:vAlign w:val="center"/>
          </w:tcPr>
          <w:p w14:paraId="689F4A4F">
            <w:pPr>
              <w:spacing w:line="240" w:lineRule="auto"/>
              <w:ind w:firstLine="0" w:firstLineChars="0"/>
              <w:jc w:val="center"/>
              <w:rPr>
                <w:color w:val="auto"/>
                <w:sz w:val="21"/>
                <w:szCs w:val="21"/>
                <w:highlight w:val="none"/>
              </w:rPr>
            </w:pPr>
            <w:r>
              <w:rPr>
                <w:color w:val="auto"/>
                <w:sz w:val="21"/>
                <w:szCs w:val="21"/>
                <w:highlight w:val="none"/>
              </w:rPr>
              <w:t>环境敏感性</w:t>
            </w:r>
          </w:p>
        </w:tc>
        <w:tc>
          <w:tcPr>
            <w:tcW w:w="389" w:type="pct"/>
            <w:vMerge w:val="restart"/>
            <w:noWrap w:val="0"/>
            <w:vAlign w:val="center"/>
          </w:tcPr>
          <w:p w14:paraId="62EE89C4">
            <w:pPr>
              <w:spacing w:line="240" w:lineRule="auto"/>
              <w:ind w:firstLine="0" w:firstLineChars="0"/>
              <w:jc w:val="center"/>
              <w:rPr>
                <w:color w:val="auto"/>
                <w:sz w:val="21"/>
                <w:szCs w:val="21"/>
                <w:highlight w:val="none"/>
              </w:rPr>
            </w:pPr>
            <w:r>
              <w:rPr>
                <w:color w:val="auto"/>
                <w:sz w:val="21"/>
                <w:szCs w:val="21"/>
                <w:highlight w:val="none"/>
              </w:rPr>
              <w:t>大气</w:t>
            </w:r>
          </w:p>
        </w:tc>
        <w:tc>
          <w:tcPr>
            <w:tcW w:w="1917" w:type="pct"/>
            <w:gridSpan w:val="4"/>
            <w:noWrap w:val="0"/>
            <w:vAlign w:val="center"/>
          </w:tcPr>
          <w:p w14:paraId="464393A8">
            <w:pPr>
              <w:spacing w:line="240" w:lineRule="auto"/>
              <w:ind w:firstLine="0" w:firstLineChars="0"/>
              <w:jc w:val="center"/>
              <w:rPr>
                <w:color w:val="auto"/>
                <w:sz w:val="21"/>
                <w:szCs w:val="21"/>
                <w:highlight w:val="none"/>
              </w:rPr>
            </w:pPr>
            <w:r>
              <w:rPr>
                <w:color w:val="auto"/>
                <w:sz w:val="21"/>
                <w:szCs w:val="21"/>
                <w:highlight w:val="none"/>
              </w:rPr>
              <w:t xml:space="preserve">500m范围内人口数 </w:t>
            </w:r>
            <w:r>
              <w:rPr>
                <w:rFonts w:hint="eastAsia"/>
                <w:color w:val="auto"/>
                <w:sz w:val="21"/>
                <w:szCs w:val="21"/>
                <w:highlight w:val="none"/>
              </w:rPr>
              <w:t xml:space="preserve"> </w:t>
            </w:r>
            <w:r>
              <w:rPr>
                <w:color w:val="auto"/>
                <w:sz w:val="21"/>
                <w:szCs w:val="21"/>
                <w:highlight w:val="none"/>
              </w:rPr>
              <w:t>人</w:t>
            </w:r>
          </w:p>
        </w:tc>
        <w:tc>
          <w:tcPr>
            <w:tcW w:w="1591" w:type="pct"/>
            <w:gridSpan w:val="4"/>
            <w:noWrap w:val="0"/>
            <w:vAlign w:val="center"/>
          </w:tcPr>
          <w:p w14:paraId="68A021BB">
            <w:pPr>
              <w:spacing w:line="240" w:lineRule="auto"/>
              <w:ind w:firstLine="0" w:firstLineChars="0"/>
              <w:jc w:val="center"/>
              <w:rPr>
                <w:color w:val="auto"/>
                <w:sz w:val="21"/>
                <w:szCs w:val="21"/>
                <w:highlight w:val="none"/>
              </w:rPr>
            </w:pPr>
            <w:r>
              <w:rPr>
                <w:color w:val="auto"/>
                <w:sz w:val="21"/>
                <w:szCs w:val="21"/>
                <w:highlight w:val="none"/>
              </w:rPr>
              <w:t>5km范围内人口数  人</w:t>
            </w:r>
          </w:p>
        </w:tc>
      </w:tr>
      <w:tr w14:paraId="64FF9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385" w:type="pct"/>
            <w:vMerge w:val="continue"/>
            <w:noWrap w:val="0"/>
            <w:vAlign w:val="center"/>
          </w:tcPr>
          <w:p w14:paraId="4FEBBA21">
            <w:pPr>
              <w:spacing w:line="240" w:lineRule="auto"/>
              <w:ind w:firstLine="0" w:firstLineChars="0"/>
              <w:jc w:val="center"/>
              <w:rPr>
                <w:color w:val="auto"/>
                <w:sz w:val="21"/>
                <w:szCs w:val="21"/>
                <w:highlight w:val="none"/>
              </w:rPr>
            </w:pPr>
          </w:p>
        </w:tc>
        <w:tc>
          <w:tcPr>
            <w:tcW w:w="718" w:type="pct"/>
            <w:vMerge w:val="continue"/>
            <w:noWrap w:val="0"/>
            <w:vAlign w:val="center"/>
          </w:tcPr>
          <w:p w14:paraId="37D237C9">
            <w:pPr>
              <w:spacing w:line="240" w:lineRule="auto"/>
              <w:ind w:firstLine="0" w:firstLineChars="0"/>
              <w:jc w:val="center"/>
              <w:rPr>
                <w:color w:val="auto"/>
                <w:sz w:val="21"/>
                <w:szCs w:val="21"/>
                <w:highlight w:val="none"/>
              </w:rPr>
            </w:pPr>
          </w:p>
        </w:tc>
        <w:tc>
          <w:tcPr>
            <w:tcW w:w="389" w:type="pct"/>
            <w:vMerge w:val="continue"/>
            <w:noWrap w:val="0"/>
            <w:vAlign w:val="center"/>
          </w:tcPr>
          <w:p w14:paraId="4A0AB9DD">
            <w:pPr>
              <w:spacing w:line="240" w:lineRule="auto"/>
              <w:ind w:firstLine="0" w:firstLineChars="0"/>
              <w:jc w:val="center"/>
              <w:rPr>
                <w:color w:val="auto"/>
                <w:sz w:val="21"/>
                <w:szCs w:val="21"/>
                <w:highlight w:val="none"/>
              </w:rPr>
            </w:pPr>
          </w:p>
        </w:tc>
        <w:tc>
          <w:tcPr>
            <w:tcW w:w="2711" w:type="pct"/>
            <w:gridSpan w:val="6"/>
            <w:noWrap w:val="0"/>
            <w:vAlign w:val="center"/>
          </w:tcPr>
          <w:p w14:paraId="2381E908">
            <w:pPr>
              <w:spacing w:line="240" w:lineRule="auto"/>
              <w:ind w:firstLine="0" w:firstLineChars="0"/>
              <w:jc w:val="center"/>
              <w:rPr>
                <w:color w:val="auto"/>
                <w:sz w:val="21"/>
                <w:szCs w:val="21"/>
                <w:highlight w:val="none"/>
              </w:rPr>
            </w:pPr>
            <w:r>
              <w:rPr>
                <w:color w:val="auto"/>
                <w:sz w:val="21"/>
                <w:szCs w:val="21"/>
                <w:highlight w:val="none"/>
              </w:rPr>
              <w:t>每公里管段周边200m范围内人口数（最大）</w:t>
            </w:r>
          </w:p>
        </w:tc>
        <w:tc>
          <w:tcPr>
            <w:tcW w:w="797" w:type="pct"/>
            <w:gridSpan w:val="2"/>
            <w:noWrap w:val="0"/>
            <w:vAlign w:val="center"/>
          </w:tcPr>
          <w:p w14:paraId="1B1E6649">
            <w:pPr>
              <w:spacing w:line="240" w:lineRule="auto"/>
              <w:ind w:firstLine="0" w:firstLineChars="0"/>
              <w:jc w:val="center"/>
              <w:rPr>
                <w:color w:val="auto"/>
                <w:sz w:val="21"/>
                <w:szCs w:val="21"/>
                <w:highlight w:val="none"/>
              </w:rPr>
            </w:pPr>
            <w:r>
              <w:rPr>
                <w:color w:val="auto"/>
                <w:sz w:val="21"/>
                <w:szCs w:val="21"/>
                <w:highlight w:val="none"/>
              </w:rPr>
              <w:t xml:space="preserve">         人</w:t>
            </w:r>
          </w:p>
        </w:tc>
      </w:tr>
      <w:tr w14:paraId="387BA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385" w:type="pct"/>
            <w:vMerge w:val="continue"/>
            <w:noWrap w:val="0"/>
            <w:vAlign w:val="center"/>
          </w:tcPr>
          <w:p w14:paraId="67C96E3F">
            <w:pPr>
              <w:spacing w:line="240" w:lineRule="auto"/>
              <w:ind w:firstLine="0" w:firstLineChars="0"/>
              <w:jc w:val="center"/>
              <w:rPr>
                <w:color w:val="auto"/>
                <w:sz w:val="21"/>
                <w:szCs w:val="21"/>
                <w:highlight w:val="none"/>
              </w:rPr>
            </w:pPr>
          </w:p>
        </w:tc>
        <w:tc>
          <w:tcPr>
            <w:tcW w:w="718" w:type="pct"/>
            <w:vMerge w:val="continue"/>
            <w:noWrap w:val="0"/>
            <w:vAlign w:val="center"/>
          </w:tcPr>
          <w:p w14:paraId="40A7E1FF">
            <w:pPr>
              <w:spacing w:line="240" w:lineRule="auto"/>
              <w:ind w:firstLine="0" w:firstLineChars="0"/>
              <w:jc w:val="center"/>
              <w:rPr>
                <w:color w:val="auto"/>
                <w:sz w:val="21"/>
                <w:szCs w:val="21"/>
                <w:highlight w:val="none"/>
              </w:rPr>
            </w:pPr>
          </w:p>
        </w:tc>
        <w:tc>
          <w:tcPr>
            <w:tcW w:w="389" w:type="pct"/>
            <w:vMerge w:val="restart"/>
            <w:noWrap w:val="0"/>
            <w:vAlign w:val="center"/>
          </w:tcPr>
          <w:p w14:paraId="25E63C36">
            <w:pPr>
              <w:spacing w:line="240" w:lineRule="auto"/>
              <w:ind w:firstLine="0" w:firstLineChars="0"/>
              <w:jc w:val="center"/>
              <w:rPr>
                <w:color w:val="auto"/>
                <w:sz w:val="21"/>
                <w:szCs w:val="21"/>
                <w:highlight w:val="none"/>
              </w:rPr>
            </w:pPr>
            <w:r>
              <w:rPr>
                <w:color w:val="auto"/>
                <w:sz w:val="21"/>
                <w:szCs w:val="21"/>
                <w:highlight w:val="none"/>
              </w:rPr>
              <w:t>地表水</w:t>
            </w:r>
          </w:p>
        </w:tc>
        <w:tc>
          <w:tcPr>
            <w:tcW w:w="1148" w:type="pct"/>
            <w:gridSpan w:val="2"/>
            <w:noWrap w:val="0"/>
            <w:vAlign w:val="center"/>
          </w:tcPr>
          <w:p w14:paraId="0C095B92">
            <w:pPr>
              <w:spacing w:line="240" w:lineRule="auto"/>
              <w:ind w:firstLine="0" w:firstLineChars="0"/>
              <w:jc w:val="center"/>
              <w:rPr>
                <w:color w:val="auto"/>
                <w:sz w:val="21"/>
                <w:szCs w:val="21"/>
                <w:highlight w:val="none"/>
              </w:rPr>
            </w:pPr>
            <w:r>
              <w:rPr>
                <w:color w:val="auto"/>
                <w:sz w:val="21"/>
                <w:szCs w:val="21"/>
                <w:highlight w:val="none"/>
              </w:rPr>
              <w:t>地表水功能敏感性</w:t>
            </w:r>
          </w:p>
        </w:tc>
        <w:tc>
          <w:tcPr>
            <w:tcW w:w="769" w:type="pct"/>
            <w:gridSpan w:val="2"/>
            <w:noWrap w:val="0"/>
            <w:vAlign w:val="center"/>
          </w:tcPr>
          <w:p w14:paraId="32CF5658">
            <w:pPr>
              <w:spacing w:line="240" w:lineRule="auto"/>
              <w:ind w:firstLine="0" w:firstLineChars="0"/>
              <w:jc w:val="center"/>
              <w:rPr>
                <w:color w:val="auto"/>
                <w:sz w:val="21"/>
                <w:szCs w:val="21"/>
                <w:highlight w:val="none"/>
              </w:rPr>
            </w:pPr>
            <w:r>
              <w:rPr>
                <w:color w:val="auto"/>
                <w:sz w:val="21"/>
                <w:szCs w:val="21"/>
                <w:highlight w:val="none"/>
              </w:rPr>
              <w:t>F1□</w:t>
            </w:r>
          </w:p>
        </w:tc>
        <w:tc>
          <w:tcPr>
            <w:tcW w:w="794" w:type="pct"/>
            <w:gridSpan w:val="2"/>
            <w:noWrap w:val="0"/>
            <w:vAlign w:val="center"/>
          </w:tcPr>
          <w:p w14:paraId="16F0B8B0">
            <w:pPr>
              <w:spacing w:line="240" w:lineRule="auto"/>
              <w:ind w:firstLine="0" w:firstLineChars="0"/>
              <w:jc w:val="center"/>
              <w:rPr>
                <w:color w:val="auto"/>
                <w:sz w:val="21"/>
                <w:szCs w:val="21"/>
                <w:highlight w:val="none"/>
              </w:rPr>
            </w:pPr>
            <w:r>
              <w:rPr>
                <w:color w:val="auto"/>
                <w:sz w:val="21"/>
                <w:szCs w:val="21"/>
                <w:highlight w:val="none"/>
              </w:rPr>
              <w:t>F2□</w:t>
            </w:r>
          </w:p>
        </w:tc>
        <w:tc>
          <w:tcPr>
            <w:tcW w:w="797" w:type="pct"/>
            <w:gridSpan w:val="2"/>
            <w:noWrap w:val="0"/>
            <w:vAlign w:val="center"/>
          </w:tcPr>
          <w:p w14:paraId="18E42795">
            <w:pPr>
              <w:spacing w:line="240" w:lineRule="auto"/>
              <w:ind w:firstLine="0" w:firstLineChars="0"/>
              <w:jc w:val="center"/>
              <w:rPr>
                <w:color w:val="auto"/>
                <w:sz w:val="21"/>
                <w:szCs w:val="21"/>
                <w:highlight w:val="none"/>
              </w:rPr>
            </w:pPr>
            <w:r>
              <w:rPr>
                <w:color w:val="auto"/>
                <w:sz w:val="21"/>
                <w:szCs w:val="21"/>
                <w:highlight w:val="none"/>
              </w:rPr>
              <w:t>F3□</w:t>
            </w:r>
          </w:p>
        </w:tc>
      </w:tr>
      <w:tr w14:paraId="02A8A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385" w:type="pct"/>
            <w:vMerge w:val="continue"/>
            <w:noWrap w:val="0"/>
            <w:vAlign w:val="center"/>
          </w:tcPr>
          <w:p w14:paraId="1AE86955">
            <w:pPr>
              <w:spacing w:line="240" w:lineRule="auto"/>
              <w:ind w:firstLine="0" w:firstLineChars="0"/>
              <w:jc w:val="center"/>
              <w:rPr>
                <w:color w:val="auto"/>
                <w:sz w:val="21"/>
                <w:szCs w:val="21"/>
                <w:highlight w:val="none"/>
              </w:rPr>
            </w:pPr>
          </w:p>
        </w:tc>
        <w:tc>
          <w:tcPr>
            <w:tcW w:w="718" w:type="pct"/>
            <w:vMerge w:val="continue"/>
            <w:noWrap w:val="0"/>
            <w:vAlign w:val="center"/>
          </w:tcPr>
          <w:p w14:paraId="409563C1">
            <w:pPr>
              <w:spacing w:line="240" w:lineRule="auto"/>
              <w:ind w:firstLine="0" w:firstLineChars="0"/>
              <w:jc w:val="center"/>
              <w:rPr>
                <w:color w:val="auto"/>
                <w:sz w:val="21"/>
                <w:szCs w:val="21"/>
                <w:highlight w:val="none"/>
              </w:rPr>
            </w:pPr>
          </w:p>
        </w:tc>
        <w:tc>
          <w:tcPr>
            <w:tcW w:w="389" w:type="pct"/>
            <w:vMerge w:val="continue"/>
            <w:noWrap w:val="0"/>
            <w:vAlign w:val="center"/>
          </w:tcPr>
          <w:p w14:paraId="296F2316">
            <w:pPr>
              <w:spacing w:line="240" w:lineRule="auto"/>
              <w:ind w:firstLine="0" w:firstLineChars="0"/>
              <w:jc w:val="center"/>
              <w:rPr>
                <w:color w:val="auto"/>
                <w:sz w:val="21"/>
                <w:szCs w:val="21"/>
                <w:highlight w:val="none"/>
              </w:rPr>
            </w:pPr>
          </w:p>
        </w:tc>
        <w:tc>
          <w:tcPr>
            <w:tcW w:w="1148" w:type="pct"/>
            <w:gridSpan w:val="2"/>
            <w:noWrap w:val="0"/>
            <w:vAlign w:val="center"/>
          </w:tcPr>
          <w:p w14:paraId="2E22F54F">
            <w:pPr>
              <w:spacing w:line="240" w:lineRule="auto"/>
              <w:ind w:firstLine="0" w:firstLineChars="0"/>
              <w:jc w:val="center"/>
              <w:rPr>
                <w:color w:val="auto"/>
                <w:sz w:val="21"/>
                <w:szCs w:val="21"/>
                <w:highlight w:val="none"/>
              </w:rPr>
            </w:pPr>
            <w:r>
              <w:rPr>
                <w:color w:val="auto"/>
                <w:sz w:val="21"/>
                <w:szCs w:val="21"/>
                <w:highlight w:val="none"/>
              </w:rPr>
              <w:t>环境敏感目标分级</w:t>
            </w:r>
          </w:p>
        </w:tc>
        <w:tc>
          <w:tcPr>
            <w:tcW w:w="769" w:type="pct"/>
            <w:gridSpan w:val="2"/>
            <w:noWrap w:val="0"/>
            <w:vAlign w:val="center"/>
          </w:tcPr>
          <w:p w14:paraId="3FDD34BD">
            <w:pPr>
              <w:spacing w:line="240" w:lineRule="auto"/>
              <w:ind w:firstLine="0" w:firstLineChars="0"/>
              <w:jc w:val="center"/>
              <w:rPr>
                <w:color w:val="auto"/>
                <w:sz w:val="21"/>
                <w:szCs w:val="21"/>
                <w:highlight w:val="none"/>
              </w:rPr>
            </w:pPr>
            <w:r>
              <w:rPr>
                <w:color w:val="auto"/>
                <w:sz w:val="21"/>
                <w:szCs w:val="21"/>
                <w:highlight w:val="none"/>
              </w:rPr>
              <w:t>S1□</w:t>
            </w:r>
          </w:p>
        </w:tc>
        <w:tc>
          <w:tcPr>
            <w:tcW w:w="794" w:type="pct"/>
            <w:gridSpan w:val="2"/>
            <w:noWrap w:val="0"/>
            <w:vAlign w:val="center"/>
          </w:tcPr>
          <w:p w14:paraId="24380C91">
            <w:pPr>
              <w:spacing w:line="240" w:lineRule="auto"/>
              <w:ind w:firstLine="0" w:firstLineChars="0"/>
              <w:jc w:val="center"/>
              <w:rPr>
                <w:color w:val="auto"/>
                <w:sz w:val="21"/>
                <w:szCs w:val="21"/>
                <w:highlight w:val="none"/>
              </w:rPr>
            </w:pPr>
            <w:r>
              <w:rPr>
                <w:color w:val="auto"/>
                <w:sz w:val="21"/>
                <w:szCs w:val="21"/>
                <w:highlight w:val="none"/>
              </w:rPr>
              <w:t>S2□</w:t>
            </w:r>
          </w:p>
        </w:tc>
        <w:tc>
          <w:tcPr>
            <w:tcW w:w="797" w:type="pct"/>
            <w:gridSpan w:val="2"/>
            <w:noWrap w:val="0"/>
            <w:vAlign w:val="center"/>
          </w:tcPr>
          <w:p w14:paraId="77F117C8">
            <w:pPr>
              <w:spacing w:line="240" w:lineRule="auto"/>
              <w:ind w:firstLine="0" w:firstLineChars="0"/>
              <w:jc w:val="center"/>
              <w:rPr>
                <w:color w:val="auto"/>
                <w:sz w:val="21"/>
                <w:szCs w:val="21"/>
                <w:highlight w:val="none"/>
              </w:rPr>
            </w:pPr>
            <w:r>
              <w:rPr>
                <w:color w:val="auto"/>
                <w:sz w:val="21"/>
                <w:szCs w:val="21"/>
                <w:highlight w:val="none"/>
              </w:rPr>
              <w:t>S3□</w:t>
            </w:r>
          </w:p>
        </w:tc>
      </w:tr>
      <w:tr w14:paraId="4E329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385" w:type="pct"/>
            <w:vMerge w:val="continue"/>
            <w:noWrap w:val="0"/>
            <w:vAlign w:val="center"/>
          </w:tcPr>
          <w:p w14:paraId="3C4D47D0">
            <w:pPr>
              <w:spacing w:line="240" w:lineRule="auto"/>
              <w:ind w:firstLine="0" w:firstLineChars="0"/>
              <w:jc w:val="center"/>
              <w:rPr>
                <w:color w:val="auto"/>
                <w:sz w:val="21"/>
                <w:szCs w:val="21"/>
                <w:highlight w:val="none"/>
              </w:rPr>
            </w:pPr>
          </w:p>
        </w:tc>
        <w:tc>
          <w:tcPr>
            <w:tcW w:w="718" w:type="pct"/>
            <w:vMerge w:val="continue"/>
            <w:noWrap w:val="0"/>
            <w:vAlign w:val="center"/>
          </w:tcPr>
          <w:p w14:paraId="09C0B55D">
            <w:pPr>
              <w:spacing w:line="240" w:lineRule="auto"/>
              <w:ind w:firstLine="0" w:firstLineChars="0"/>
              <w:jc w:val="center"/>
              <w:rPr>
                <w:color w:val="auto"/>
                <w:sz w:val="21"/>
                <w:szCs w:val="21"/>
                <w:highlight w:val="none"/>
              </w:rPr>
            </w:pPr>
          </w:p>
        </w:tc>
        <w:tc>
          <w:tcPr>
            <w:tcW w:w="389" w:type="pct"/>
            <w:vMerge w:val="restart"/>
            <w:noWrap w:val="0"/>
            <w:vAlign w:val="center"/>
          </w:tcPr>
          <w:p w14:paraId="076908EC">
            <w:pPr>
              <w:spacing w:line="240" w:lineRule="auto"/>
              <w:ind w:firstLine="0" w:firstLineChars="0"/>
              <w:jc w:val="center"/>
              <w:rPr>
                <w:color w:val="auto"/>
                <w:sz w:val="21"/>
                <w:szCs w:val="21"/>
                <w:highlight w:val="none"/>
              </w:rPr>
            </w:pPr>
            <w:r>
              <w:rPr>
                <w:color w:val="auto"/>
                <w:sz w:val="21"/>
                <w:szCs w:val="21"/>
                <w:highlight w:val="none"/>
              </w:rPr>
              <w:t>地下水</w:t>
            </w:r>
          </w:p>
        </w:tc>
        <w:tc>
          <w:tcPr>
            <w:tcW w:w="1148" w:type="pct"/>
            <w:gridSpan w:val="2"/>
            <w:noWrap w:val="0"/>
            <w:vAlign w:val="center"/>
          </w:tcPr>
          <w:p w14:paraId="4D006335">
            <w:pPr>
              <w:spacing w:line="240" w:lineRule="auto"/>
              <w:ind w:firstLine="0" w:firstLineChars="0"/>
              <w:jc w:val="center"/>
              <w:rPr>
                <w:color w:val="auto"/>
                <w:sz w:val="21"/>
                <w:szCs w:val="21"/>
                <w:highlight w:val="none"/>
              </w:rPr>
            </w:pPr>
            <w:r>
              <w:rPr>
                <w:color w:val="auto"/>
                <w:sz w:val="21"/>
                <w:szCs w:val="21"/>
                <w:highlight w:val="none"/>
              </w:rPr>
              <w:t>地下水功能敏感性</w:t>
            </w:r>
          </w:p>
        </w:tc>
        <w:tc>
          <w:tcPr>
            <w:tcW w:w="769" w:type="pct"/>
            <w:gridSpan w:val="2"/>
            <w:noWrap w:val="0"/>
            <w:vAlign w:val="center"/>
          </w:tcPr>
          <w:p w14:paraId="4F57EFC8">
            <w:pPr>
              <w:spacing w:line="240" w:lineRule="auto"/>
              <w:ind w:firstLine="0" w:firstLineChars="0"/>
              <w:jc w:val="center"/>
              <w:rPr>
                <w:color w:val="auto"/>
                <w:sz w:val="21"/>
                <w:szCs w:val="21"/>
                <w:highlight w:val="none"/>
              </w:rPr>
            </w:pPr>
            <w:r>
              <w:rPr>
                <w:color w:val="auto"/>
                <w:sz w:val="21"/>
                <w:szCs w:val="21"/>
                <w:highlight w:val="none"/>
              </w:rPr>
              <w:t>G1□</w:t>
            </w:r>
          </w:p>
        </w:tc>
        <w:tc>
          <w:tcPr>
            <w:tcW w:w="794" w:type="pct"/>
            <w:gridSpan w:val="2"/>
            <w:noWrap w:val="0"/>
            <w:vAlign w:val="center"/>
          </w:tcPr>
          <w:p w14:paraId="17C13694">
            <w:pPr>
              <w:spacing w:line="240" w:lineRule="auto"/>
              <w:ind w:firstLine="0" w:firstLineChars="0"/>
              <w:jc w:val="center"/>
              <w:rPr>
                <w:color w:val="auto"/>
                <w:sz w:val="21"/>
                <w:szCs w:val="21"/>
                <w:highlight w:val="none"/>
              </w:rPr>
            </w:pPr>
            <w:r>
              <w:rPr>
                <w:color w:val="auto"/>
                <w:sz w:val="21"/>
                <w:szCs w:val="21"/>
                <w:highlight w:val="none"/>
              </w:rPr>
              <w:t>G2□</w:t>
            </w:r>
          </w:p>
        </w:tc>
        <w:tc>
          <w:tcPr>
            <w:tcW w:w="797" w:type="pct"/>
            <w:gridSpan w:val="2"/>
            <w:noWrap w:val="0"/>
            <w:vAlign w:val="center"/>
          </w:tcPr>
          <w:p w14:paraId="192A3CD0">
            <w:pPr>
              <w:spacing w:line="240" w:lineRule="auto"/>
              <w:ind w:firstLine="0" w:firstLineChars="0"/>
              <w:jc w:val="center"/>
              <w:rPr>
                <w:color w:val="auto"/>
                <w:sz w:val="21"/>
                <w:szCs w:val="21"/>
                <w:highlight w:val="none"/>
              </w:rPr>
            </w:pPr>
            <w:r>
              <w:rPr>
                <w:color w:val="auto"/>
                <w:sz w:val="21"/>
                <w:szCs w:val="21"/>
                <w:highlight w:val="none"/>
              </w:rPr>
              <w:t>G3□</w:t>
            </w:r>
          </w:p>
        </w:tc>
      </w:tr>
      <w:tr w14:paraId="11888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385" w:type="pct"/>
            <w:vMerge w:val="continue"/>
            <w:noWrap w:val="0"/>
            <w:vAlign w:val="center"/>
          </w:tcPr>
          <w:p w14:paraId="539CC2F4">
            <w:pPr>
              <w:spacing w:line="240" w:lineRule="auto"/>
              <w:ind w:firstLine="0" w:firstLineChars="0"/>
              <w:jc w:val="center"/>
              <w:rPr>
                <w:color w:val="auto"/>
                <w:sz w:val="21"/>
                <w:szCs w:val="21"/>
                <w:highlight w:val="none"/>
              </w:rPr>
            </w:pPr>
          </w:p>
        </w:tc>
        <w:tc>
          <w:tcPr>
            <w:tcW w:w="718" w:type="pct"/>
            <w:vMerge w:val="continue"/>
            <w:noWrap w:val="0"/>
            <w:vAlign w:val="center"/>
          </w:tcPr>
          <w:p w14:paraId="4AC9CEB3">
            <w:pPr>
              <w:spacing w:line="240" w:lineRule="auto"/>
              <w:ind w:firstLine="0" w:firstLineChars="0"/>
              <w:jc w:val="center"/>
              <w:rPr>
                <w:color w:val="auto"/>
                <w:sz w:val="21"/>
                <w:szCs w:val="21"/>
                <w:highlight w:val="none"/>
              </w:rPr>
            </w:pPr>
          </w:p>
        </w:tc>
        <w:tc>
          <w:tcPr>
            <w:tcW w:w="389" w:type="pct"/>
            <w:vMerge w:val="continue"/>
            <w:noWrap w:val="0"/>
            <w:vAlign w:val="center"/>
          </w:tcPr>
          <w:p w14:paraId="63D55750">
            <w:pPr>
              <w:spacing w:line="240" w:lineRule="auto"/>
              <w:ind w:firstLine="0" w:firstLineChars="0"/>
              <w:jc w:val="center"/>
              <w:rPr>
                <w:color w:val="auto"/>
                <w:sz w:val="21"/>
                <w:szCs w:val="21"/>
                <w:highlight w:val="none"/>
              </w:rPr>
            </w:pPr>
          </w:p>
        </w:tc>
        <w:tc>
          <w:tcPr>
            <w:tcW w:w="1148" w:type="pct"/>
            <w:gridSpan w:val="2"/>
            <w:noWrap w:val="0"/>
            <w:vAlign w:val="center"/>
          </w:tcPr>
          <w:p w14:paraId="19C61CA5">
            <w:pPr>
              <w:spacing w:line="240" w:lineRule="auto"/>
              <w:ind w:firstLine="0" w:firstLineChars="0"/>
              <w:jc w:val="center"/>
              <w:rPr>
                <w:color w:val="auto"/>
                <w:sz w:val="21"/>
                <w:szCs w:val="21"/>
                <w:highlight w:val="none"/>
              </w:rPr>
            </w:pPr>
            <w:r>
              <w:rPr>
                <w:color w:val="auto"/>
                <w:sz w:val="21"/>
                <w:szCs w:val="21"/>
                <w:highlight w:val="none"/>
              </w:rPr>
              <w:t>包气带防污性能</w:t>
            </w:r>
          </w:p>
        </w:tc>
        <w:tc>
          <w:tcPr>
            <w:tcW w:w="769" w:type="pct"/>
            <w:gridSpan w:val="2"/>
            <w:noWrap w:val="0"/>
            <w:vAlign w:val="center"/>
          </w:tcPr>
          <w:p w14:paraId="795FCF9B">
            <w:pPr>
              <w:spacing w:line="240" w:lineRule="auto"/>
              <w:ind w:firstLine="0" w:firstLineChars="0"/>
              <w:jc w:val="center"/>
              <w:rPr>
                <w:color w:val="auto"/>
                <w:sz w:val="21"/>
                <w:szCs w:val="21"/>
                <w:highlight w:val="none"/>
              </w:rPr>
            </w:pPr>
            <w:r>
              <w:rPr>
                <w:color w:val="auto"/>
                <w:sz w:val="21"/>
                <w:szCs w:val="21"/>
                <w:highlight w:val="none"/>
              </w:rPr>
              <w:t>D1□</w:t>
            </w:r>
          </w:p>
        </w:tc>
        <w:tc>
          <w:tcPr>
            <w:tcW w:w="794" w:type="pct"/>
            <w:gridSpan w:val="2"/>
            <w:noWrap w:val="0"/>
            <w:vAlign w:val="center"/>
          </w:tcPr>
          <w:p w14:paraId="3A7C5DD5">
            <w:pPr>
              <w:spacing w:line="240" w:lineRule="auto"/>
              <w:ind w:firstLine="0" w:firstLineChars="0"/>
              <w:jc w:val="center"/>
              <w:rPr>
                <w:color w:val="auto"/>
                <w:sz w:val="21"/>
                <w:szCs w:val="21"/>
                <w:highlight w:val="none"/>
              </w:rPr>
            </w:pPr>
            <w:r>
              <w:rPr>
                <w:color w:val="auto"/>
                <w:sz w:val="21"/>
                <w:szCs w:val="21"/>
                <w:highlight w:val="none"/>
              </w:rPr>
              <w:t>D2□</w:t>
            </w:r>
          </w:p>
        </w:tc>
        <w:tc>
          <w:tcPr>
            <w:tcW w:w="797" w:type="pct"/>
            <w:gridSpan w:val="2"/>
            <w:noWrap w:val="0"/>
            <w:vAlign w:val="center"/>
          </w:tcPr>
          <w:p w14:paraId="312FBDE6">
            <w:pPr>
              <w:spacing w:line="240" w:lineRule="auto"/>
              <w:ind w:firstLine="0" w:firstLineChars="0"/>
              <w:jc w:val="center"/>
              <w:rPr>
                <w:color w:val="auto"/>
                <w:sz w:val="21"/>
                <w:szCs w:val="21"/>
                <w:highlight w:val="none"/>
              </w:rPr>
            </w:pPr>
            <w:r>
              <w:rPr>
                <w:color w:val="auto"/>
                <w:sz w:val="21"/>
                <w:szCs w:val="21"/>
                <w:highlight w:val="none"/>
              </w:rPr>
              <w:t>D3□</w:t>
            </w:r>
          </w:p>
        </w:tc>
      </w:tr>
      <w:tr w14:paraId="4B0CB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1103" w:type="pct"/>
            <w:gridSpan w:val="2"/>
            <w:vMerge w:val="restart"/>
            <w:noWrap w:val="0"/>
            <w:vAlign w:val="center"/>
          </w:tcPr>
          <w:p w14:paraId="78DE21D7">
            <w:pPr>
              <w:spacing w:line="240" w:lineRule="auto"/>
              <w:ind w:firstLine="0" w:firstLineChars="0"/>
              <w:jc w:val="center"/>
              <w:rPr>
                <w:color w:val="auto"/>
                <w:sz w:val="21"/>
                <w:szCs w:val="21"/>
                <w:highlight w:val="none"/>
              </w:rPr>
            </w:pPr>
            <w:r>
              <w:rPr>
                <w:color w:val="auto"/>
                <w:sz w:val="21"/>
                <w:szCs w:val="21"/>
                <w:highlight w:val="none"/>
              </w:rPr>
              <w:t>物质及工艺系统危险性</w:t>
            </w:r>
          </w:p>
        </w:tc>
        <w:tc>
          <w:tcPr>
            <w:tcW w:w="389" w:type="pct"/>
            <w:noWrap w:val="0"/>
            <w:vAlign w:val="center"/>
          </w:tcPr>
          <w:p w14:paraId="0657D446">
            <w:pPr>
              <w:spacing w:line="240" w:lineRule="auto"/>
              <w:ind w:firstLine="0" w:firstLineChars="0"/>
              <w:jc w:val="center"/>
              <w:rPr>
                <w:color w:val="auto"/>
                <w:sz w:val="21"/>
                <w:szCs w:val="21"/>
                <w:highlight w:val="none"/>
              </w:rPr>
            </w:pPr>
            <w:r>
              <w:rPr>
                <w:color w:val="auto"/>
                <w:sz w:val="21"/>
                <w:szCs w:val="21"/>
                <w:highlight w:val="none"/>
              </w:rPr>
              <w:t>Q值</w:t>
            </w:r>
          </w:p>
        </w:tc>
        <w:tc>
          <w:tcPr>
            <w:tcW w:w="1148" w:type="pct"/>
            <w:gridSpan w:val="2"/>
            <w:noWrap w:val="0"/>
            <w:vAlign w:val="center"/>
          </w:tcPr>
          <w:p w14:paraId="1D2E7867">
            <w:pPr>
              <w:spacing w:line="240" w:lineRule="auto"/>
              <w:ind w:firstLine="0" w:firstLineChars="0"/>
              <w:jc w:val="center"/>
              <w:rPr>
                <w:color w:val="auto"/>
                <w:sz w:val="21"/>
                <w:szCs w:val="21"/>
                <w:highlight w:val="none"/>
              </w:rPr>
            </w:pPr>
            <w:r>
              <w:rPr>
                <w:color w:val="auto"/>
                <w:sz w:val="21"/>
                <w:szCs w:val="21"/>
                <w:highlight w:val="none"/>
              </w:rPr>
              <w:t>Q＜1</w:t>
            </w:r>
            <w:r>
              <w:rPr>
                <w:rFonts w:hint="eastAsia" w:ascii="MS Mincho" w:hAnsi="MS Mincho" w:eastAsia="MS Mincho" w:cs="MS Mincho"/>
                <w:color w:val="auto"/>
                <w:sz w:val="21"/>
                <w:szCs w:val="21"/>
                <w:highlight w:val="none"/>
              </w:rPr>
              <w:t>☑</w:t>
            </w:r>
          </w:p>
        </w:tc>
        <w:tc>
          <w:tcPr>
            <w:tcW w:w="769" w:type="pct"/>
            <w:gridSpan w:val="2"/>
            <w:noWrap w:val="0"/>
            <w:vAlign w:val="center"/>
          </w:tcPr>
          <w:p w14:paraId="7FE7C45A">
            <w:pPr>
              <w:spacing w:line="240" w:lineRule="auto"/>
              <w:ind w:firstLine="0" w:firstLineChars="0"/>
              <w:jc w:val="center"/>
              <w:rPr>
                <w:color w:val="auto"/>
                <w:sz w:val="21"/>
                <w:szCs w:val="21"/>
                <w:highlight w:val="none"/>
              </w:rPr>
            </w:pPr>
            <w:r>
              <w:rPr>
                <w:color w:val="auto"/>
                <w:sz w:val="21"/>
                <w:szCs w:val="21"/>
                <w:highlight w:val="none"/>
              </w:rPr>
              <w:t>1</w:t>
            </w:r>
            <w:r>
              <w:rPr>
                <w:rFonts w:hint="eastAsia"/>
                <w:color w:val="auto"/>
                <w:sz w:val="21"/>
                <w:szCs w:val="21"/>
                <w:highlight w:val="none"/>
              </w:rPr>
              <w:t>≦</w:t>
            </w:r>
            <w:r>
              <w:rPr>
                <w:color w:val="auto"/>
                <w:sz w:val="21"/>
                <w:szCs w:val="21"/>
                <w:highlight w:val="none"/>
              </w:rPr>
              <w:t>Q＜10□</w:t>
            </w:r>
          </w:p>
        </w:tc>
        <w:tc>
          <w:tcPr>
            <w:tcW w:w="794" w:type="pct"/>
            <w:gridSpan w:val="2"/>
            <w:noWrap w:val="0"/>
            <w:vAlign w:val="center"/>
          </w:tcPr>
          <w:p w14:paraId="77C7CBD5">
            <w:pPr>
              <w:spacing w:line="240" w:lineRule="auto"/>
              <w:ind w:firstLine="0" w:firstLineChars="0"/>
              <w:jc w:val="center"/>
              <w:rPr>
                <w:color w:val="auto"/>
                <w:sz w:val="21"/>
                <w:szCs w:val="21"/>
                <w:highlight w:val="none"/>
              </w:rPr>
            </w:pPr>
            <w:r>
              <w:rPr>
                <w:color w:val="auto"/>
                <w:sz w:val="21"/>
                <w:szCs w:val="21"/>
                <w:highlight w:val="none"/>
              </w:rPr>
              <w:t>10</w:t>
            </w:r>
            <w:r>
              <w:rPr>
                <w:rFonts w:hint="eastAsia"/>
                <w:color w:val="auto"/>
                <w:sz w:val="21"/>
                <w:szCs w:val="21"/>
                <w:highlight w:val="none"/>
              </w:rPr>
              <w:t>≦</w:t>
            </w:r>
            <w:r>
              <w:rPr>
                <w:color w:val="auto"/>
                <w:sz w:val="21"/>
                <w:szCs w:val="21"/>
                <w:highlight w:val="none"/>
              </w:rPr>
              <w:t>Q＜100□</w:t>
            </w:r>
          </w:p>
        </w:tc>
        <w:tc>
          <w:tcPr>
            <w:tcW w:w="797" w:type="pct"/>
            <w:gridSpan w:val="2"/>
            <w:noWrap w:val="0"/>
            <w:vAlign w:val="center"/>
          </w:tcPr>
          <w:p w14:paraId="6DFB4625">
            <w:pPr>
              <w:spacing w:line="240" w:lineRule="auto"/>
              <w:ind w:firstLine="0" w:firstLineChars="0"/>
              <w:jc w:val="center"/>
              <w:rPr>
                <w:color w:val="auto"/>
                <w:sz w:val="21"/>
                <w:szCs w:val="21"/>
                <w:highlight w:val="none"/>
              </w:rPr>
            </w:pPr>
            <w:r>
              <w:rPr>
                <w:color w:val="auto"/>
                <w:sz w:val="21"/>
                <w:szCs w:val="21"/>
                <w:highlight w:val="none"/>
              </w:rPr>
              <w:t>Q＞100□</w:t>
            </w:r>
          </w:p>
        </w:tc>
      </w:tr>
      <w:tr w14:paraId="45916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1103" w:type="pct"/>
            <w:gridSpan w:val="2"/>
            <w:vMerge w:val="continue"/>
            <w:noWrap w:val="0"/>
            <w:vAlign w:val="center"/>
          </w:tcPr>
          <w:p w14:paraId="0EB9D0A8">
            <w:pPr>
              <w:spacing w:line="240" w:lineRule="auto"/>
              <w:ind w:firstLine="0" w:firstLineChars="0"/>
              <w:jc w:val="center"/>
              <w:rPr>
                <w:color w:val="auto"/>
                <w:sz w:val="21"/>
                <w:szCs w:val="21"/>
                <w:highlight w:val="none"/>
              </w:rPr>
            </w:pPr>
          </w:p>
        </w:tc>
        <w:tc>
          <w:tcPr>
            <w:tcW w:w="389" w:type="pct"/>
            <w:noWrap w:val="0"/>
            <w:vAlign w:val="center"/>
          </w:tcPr>
          <w:p w14:paraId="52EB73DE">
            <w:pPr>
              <w:spacing w:line="240" w:lineRule="auto"/>
              <w:ind w:firstLine="0" w:firstLineChars="0"/>
              <w:jc w:val="center"/>
              <w:rPr>
                <w:color w:val="auto"/>
                <w:sz w:val="21"/>
                <w:szCs w:val="21"/>
                <w:highlight w:val="none"/>
              </w:rPr>
            </w:pPr>
            <w:r>
              <w:rPr>
                <w:color w:val="auto"/>
                <w:sz w:val="21"/>
                <w:szCs w:val="21"/>
                <w:highlight w:val="none"/>
              </w:rPr>
              <w:t>M值</w:t>
            </w:r>
          </w:p>
        </w:tc>
        <w:tc>
          <w:tcPr>
            <w:tcW w:w="1148" w:type="pct"/>
            <w:gridSpan w:val="2"/>
            <w:noWrap w:val="0"/>
            <w:vAlign w:val="center"/>
          </w:tcPr>
          <w:p w14:paraId="4F47D1BB">
            <w:pPr>
              <w:spacing w:line="240" w:lineRule="auto"/>
              <w:ind w:firstLine="0" w:firstLineChars="0"/>
              <w:jc w:val="center"/>
              <w:rPr>
                <w:color w:val="auto"/>
                <w:sz w:val="21"/>
                <w:szCs w:val="21"/>
                <w:highlight w:val="none"/>
              </w:rPr>
            </w:pPr>
            <w:r>
              <w:rPr>
                <w:color w:val="auto"/>
                <w:sz w:val="21"/>
                <w:szCs w:val="21"/>
                <w:highlight w:val="none"/>
              </w:rPr>
              <w:t>M1□</w:t>
            </w:r>
          </w:p>
        </w:tc>
        <w:tc>
          <w:tcPr>
            <w:tcW w:w="769" w:type="pct"/>
            <w:gridSpan w:val="2"/>
            <w:noWrap w:val="0"/>
            <w:vAlign w:val="center"/>
          </w:tcPr>
          <w:p w14:paraId="57E167CB">
            <w:pPr>
              <w:spacing w:line="240" w:lineRule="auto"/>
              <w:ind w:firstLine="0" w:firstLineChars="0"/>
              <w:jc w:val="center"/>
              <w:rPr>
                <w:color w:val="auto"/>
                <w:sz w:val="21"/>
                <w:szCs w:val="21"/>
                <w:highlight w:val="none"/>
              </w:rPr>
            </w:pPr>
            <w:r>
              <w:rPr>
                <w:color w:val="auto"/>
                <w:sz w:val="21"/>
                <w:szCs w:val="21"/>
                <w:highlight w:val="none"/>
              </w:rPr>
              <w:t>M2□</w:t>
            </w:r>
          </w:p>
        </w:tc>
        <w:tc>
          <w:tcPr>
            <w:tcW w:w="794" w:type="pct"/>
            <w:gridSpan w:val="2"/>
            <w:noWrap w:val="0"/>
            <w:vAlign w:val="center"/>
          </w:tcPr>
          <w:p w14:paraId="03A6F056">
            <w:pPr>
              <w:spacing w:line="240" w:lineRule="auto"/>
              <w:ind w:firstLine="0" w:firstLineChars="0"/>
              <w:jc w:val="center"/>
              <w:rPr>
                <w:color w:val="auto"/>
                <w:sz w:val="21"/>
                <w:szCs w:val="21"/>
                <w:highlight w:val="none"/>
              </w:rPr>
            </w:pPr>
            <w:r>
              <w:rPr>
                <w:color w:val="auto"/>
                <w:sz w:val="21"/>
                <w:szCs w:val="21"/>
                <w:highlight w:val="none"/>
              </w:rPr>
              <w:t>M3□</w:t>
            </w:r>
          </w:p>
        </w:tc>
        <w:tc>
          <w:tcPr>
            <w:tcW w:w="797" w:type="pct"/>
            <w:gridSpan w:val="2"/>
            <w:noWrap w:val="0"/>
            <w:vAlign w:val="center"/>
          </w:tcPr>
          <w:p w14:paraId="77034571">
            <w:pPr>
              <w:spacing w:line="240" w:lineRule="auto"/>
              <w:ind w:firstLine="0" w:firstLineChars="0"/>
              <w:jc w:val="center"/>
              <w:rPr>
                <w:color w:val="auto"/>
                <w:sz w:val="21"/>
                <w:szCs w:val="21"/>
                <w:highlight w:val="none"/>
              </w:rPr>
            </w:pPr>
            <w:r>
              <w:rPr>
                <w:color w:val="auto"/>
                <w:sz w:val="21"/>
                <w:szCs w:val="21"/>
                <w:highlight w:val="none"/>
              </w:rPr>
              <w:t>M4□</w:t>
            </w:r>
          </w:p>
        </w:tc>
      </w:tr>
      <w:tr w14:paraId="1BB5C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1103" w:type="pct"/>
            <w:gridSpan w:val="2"/>
            <w:vMerge w:val="continue"/>
            <w:noWrap w:val="0"/>
            <w:vAlign w:val="center"/>
          </w:tcPr>
          <w:p w14:paraId="635E5E6F">
            <w:pPr>
              <w:spacing w:line="240" w:lineRule="auto"/>
              <w:ind w:firstLine="0" w:firstLineChars="0"/>
              <w:jc w:val="center"/>
              <w:rPr>
                <w:color w:val="auto"/>
                <w:sz w:val="21"/>
                <w:szCs w:val="21"/>
                <w:highlight w:val="none"/>
              </w:rPr>
            </w:pPr>
          </w:p>
        </w:tc>
        <w:tc>
          <w:tcPr>
            <w:tcW w:w="389" w:type="pct"/>
            <w:noWrap w:val="0"/>
            <w:vAlign w:val="center"/>
          </w:tcPr>
          <w:p w14:paraId="6BF3AFEB">
            <w:pPr>
              <w:spacing w:line="240" w:lineRule="auto"/>
              <w:ind w:firstLine="0" w:firstLineChars="0"/>
              <w:jc w:val="center"/>
              <w:rPr>
                <w:color w:val="auto"/>
                <w:sz w:val="21"/>
                <w:szCs w:val="21"/>
                <w:highlight w:val="none"/>
              </w:rPr>
            </w:pPr>
            <w:r>
              <w:rPr>
                <w:color w:val="auto"/>
                <w:sz w:val="21"/>
                <w:szCs w:val="21"/>
                <w:highlight w:val="none"/>
              </w:rPr>
              <w:t>P值</w:t>
            </w:r>
          </w:p>
        </w:tc>
        <w:tc>
          <w:tcPr>
            <w:tcW w:w="1148" w:type="pct"/>
            <w:gridSpan w:val="2"/>
            <w:noWrap w:val="0"/>
            <w:vAlign w:val="center"/>
          </w:tcPr>
          <w:p w14:paraId="5D6BCC6B">
            <w:pPr>
              <w:spacing w:line="240" w:lineRule="auto"/>
              <w:ind w:firstLine="0" w:firstLineChars="0"/>
              <w:jc w:val="center"/>
              <w:rPr>
                <w:color w:val="auto"/>
                <w:sz w:val="21"/>
                <w:szCs w:val="21"/>
                <w:highlight w:val="none"/>
              </w:rPr>
            </w:pPr>
            <w:r>
              <w:rPr>
                <w:color w:val="auto"/>
                <w:sz w:val="21"/>
                <w:szCs w:val="21"/>
                <w:highlight w:val="none"/>
              </w:rPr>
              <w:t>P1□</w:t>
            </w:r>
          </w:p>
        </w:tc>
        <w:tc>
          <w:tcPr>
            <w:tcW w:w="769" w:type="pct"/>
            <w:gridSpan w:val="2"/>
            <w:noWrap w:val="0"/>
            <w:vAlign w:val="center"/>
          </w:tcPr>
          <w:p w14:paraId="7BB7492B">
            <w:pPr>
              <w:spacing w:line="240" w:lineRule="auto"/>
              <w:ind w:firstLine="0" w:firstLineChars="0"/>
              <w:jc w:val="center"/>
              <w:rPr>
                <w:color w:val="auto"/>
                <w:sz w:val="21"/>
                <w:szCs w:val="21"/>
                <w:highlight w:val="none"/>
              </w:rPr>
            </w:pPr>
            <w:r>
              <w:rPr>
                <w:color w:val="auto"/>
                <w:sz w:val="21"/>
                <w:szCs w:val="21"/>
                <w:highlight w:val="none"/>
              </w:rPr>
              <w:t>P2□</w:t>
            </w:r>
          </w:p>
        </w:tc>
        <w:tc>
          <w:tcPr>
            <w:tcW w:w="794" w:type="pct"/>
            <w:gridSpan w:val="2"/>
            <w:noWrap w:val="0"/>
            <w:vAlign w:val="center"/>
          </w:tcPr>
          <w:p w14:paraId="394B3F70">
            <w:pPr>
              <w:spacing w:line="240" w:lineRule="auto"/>
              <w:ind w:firstLine="0" w:firstLineChars="0"/>
              <w:jc w:val="center"/>
              <w:rPr>
                <w:color w:val="auto"/>
                <w:sz w:val="21"/>
                <w:szCs w:val="21"/>
                <w:highlight w:val="none"/>
              </w:rPr>
            </w:pPr>
            <w:r>
              <w:rPr>
                <w:color w:val="auto"/>
                <w:sz w:val="21"/>
                <w:szCs w:val="21"/>
                <w:highlight w:val="none"/>
              </w:rPr>
              <w:t>P3□</w:t>
            </w:r>
          </w:p>
        </w:tc>
        <w:tc>
          <w:tcPr>
            <w:tcW w:w="797" w:type="pct"/>
            <w:gridSpan w:val="2"/>
            <w:noWrap w:val="0"/>
            <w:vAlign w:val="center"/>
          </w:tcPr>
          <w:p w14:paraId="1AC39542">
            <w:pPr>
              <w:spacing w:line="240" w:lineRule="auto"/>
              <w:ind w:firstLine="0" w:firstLineChars="0"/>
              <w:jc w:val="center"/>
              <w:rPr>
                <w:color w:val="auto"/>
                <w:sz w:val="21"/>
                <w:szCs w:val="21"/>
                <w:highlight w:val="none"/>
              </w:rPr>
            </w:pPr>
            <w:r>
              <w:rPr>
                <w:color w:val="auto"/>
                <w:sz w:val="21"/>
                <w:szCs w:val="21"/>
                <w:highlight w:val="none"/>
              </w:rPr>
              <w:t>P4□</w:t>
            </w:r>
          </w:p>
        </w:tc>
      </w:tr>
      <w:tr w14:paraId="409BD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1103" w:type="pct"/>
            <w:gridSpan w:val="2"/>
            <w:vMerge w:val="restart"/>
            <w:noWrap w:val="0"/>
            <w:vAlign w:val="center"/>
          </w:tcPr>
          <w:p w14:paraId="55E8D00C">
            <w:pPr>
              <w:spacing w:line="240" w:lineRule="auto"/>
              <w:ind w:firstLine="0" w:firstLineChars="0"/>
              <w:jc w:val="center"/>
              <w:rPr>
                <w:color w:val="auto"/>
                <w:sz w:val="21"/>
                <w:szCs w:val="21"/>
                <w:highlight w:val="none"/>
              </w:rPr>
            </w:pPr>
            <w:r>
              <w:rPr>
                <w:color w:val="auto"/>
                <w:sz w:val="21"/>
                <w:szCs w:val="21"/>
                <w:highlight w:val="none"/>
              </w:rPr>
              <w:t>环境敏感程度</w:t>
            </w:r>
          </w:p>
        </w:tc>
        <w:tc>
          <w:tcPr>
            <w:tcW w:w="389" w:type="pct"/>
            <w:noWrap w:val="0"/>
            <w:vAlign w:val="center"/>
          </w:tcPr>
          <w:p w14:paraId="562838A1">
            <w:pPr>
              <w:spacing w:line="240" w:lineRule="auto"/>
              <w:ind w:firstLine="0" w:firstLineChars="0"/>
              <w:jc w:val="center"/>
              <w:rPr>
                <w:color w:val="auto"/>
                <w:sz w:val="21"/>
                <w:szCs w:val="21"/>
                <w:highlight w:val="none"/>
              </w:rPr>
            </w:pPr>
            <w:r>
              <w:rPr>
                <w:color w:val="auto"/>
                <w:sz w:val="21"/>
                <w:szCs w:val="21"/>
                <w:highlight w:val="none"/>
              </w:rPr>
              <w:t>大气</w:t>
            </w:r>
          </w:p>
        </w:tc>
        <w:tc>
          <w:tcPr>
            <w:tcW w:w="1148" w:type="pct"/>
            <w:gridSpan w:val="2"/>
            <w:noWrap w:val="0"/>
            <w:vAlign w:val="center"/>
          </w:tcPr>
          <w:p w14:paraId="27BA1A4F">
            <w:pPr>
              <w:spacing w:line="240" w:lineRule="auto"/>
              <w:ind w:firstLine="0" w:firstLineChars="0"/>
              <w:jc w:val="center"/>
              <w:rPr>
                <w:color w:val="auto"/>
                <w:sz w:val="21"/>
                <w:szCs w:val="21"/>
                <w:highlight w:val="none"/>
              </w:rPr>
            </w:pPr>
            <w:r>
              <w:rPr>
                <w:color w:val="auto"/>
                <w:sz w:val="21"/>
                <w:szCs w:val="21"/>
                <w:highlight w:val="none"/>
              </w:rPr>
              <w:t>E1□</w:t>
            </w:r>
          </w:p>
        </w:tc>
        <w:tc>
          <w:tcPr>
            <w:tcW w:w="1165" w:type="pct"/>
            <w:gridSpan w:val="3"/>
            <w:noWrap w:val="0"/>
            <w:vAlign w:val="center"/>
          </w:tcPr>
          <w:p w14:paraId="73456A8E">
            <w:pPr>
              <w:spacing w:line="240" w:lineRule="auto"/>
              <w:ind w:firstLine="0" w:firstLineChars="0"/>
              <w:jc w:val="center"/>
              <w:rPr>
                <w:color w:val="auto"/>
                <w:sz w:val="21"/>
                <w:szCs w:val="21"/>
                <w:highlight w:val="none"/>
              </w:rPr>
            </w:pPr>
            <w:r>
              <w:rPr>
                <w:color w:val="auto"/>
                <w:sz w:val="21"/>
                <w:szCs w:val="21"/>
                <w:highlight w:val="none"/>
              </w:rPr>
              <w:t>E2□</w:t>
            </w:r>
          </w:p>
        </w:tc>
        <w:tc>
          <w:tcPr>
            <w:tcW w:w="1195" w:type="pct"/>
            <w:gridSpan w:val="3"/>
            <w:noWrap w:val="0"/>
            <w:vAlign w:val="center"/>
          </w:tcPr>
          <w:p w14:paraId="0C5C2703">
            <w:pPr>
              <w:spacing w:line="240" w:lineRule="auto"/>
              <w:ind w:firstLine="0" w:firstLineChars="0"/>
              <w:jc w:val="center"/>
              <w:rPr>
                <w:color w:val="auto"/>
                <w:sz w:val="21"/>
                <w:szCs w:val="21"/>
                <w:highlight w:val="none"/>
              </w:rPr>
            </w:pPr>
            <w:r>
              <w:rPr>
                <w:color w:val="auto"/>
                <w:sz w:val="21"/>
                <w:szCs w:val="21"/>
                <w:highlight w:val="none"/>
              </w:rPr>
              <w:t>E3□</w:t>
            </w:r>
          </w:p>
        </w:tc>
      </w:tr>
      <w:tr w14:paraId="49B87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1103" w:type="pct"/>
            <w:gridSpan w:val="2"/>
            <w:vMerge w:val="continue"/>
            <w:noWrap w:val="0"/>
            <w:vAlign w:val="center"/>
          </w:tcPr>
          <w:p w14:paraId="1DB4C89B">
            <w:pPr>
              <w:spacing w:line="240" w:lineRule="auto"/>
              <w:ind w:firstLine="0" w:firstLineChars="0"/>
              <w:jc w:val="center"/>
              <w:rPr>
                <w:color w:val="auto"/>
                <w:sz w:val="21"/>
                <w:szCs w:val="21"/>
                <w:highlight w:val="none"/>
              </w:rPr>
            </w:pPr>
          </w:p>
        </w:tc>
        <w:tc>
          <w:tcPr>
            <w:tcW w:w="389" w:type="pct"/>
            <w:noWrap w:val="0"/>
            <w:vAlign w:val="center"/>
          </w:tcPr>
          <w:p w14:paraId="0F885DAD">
            <w:pPr>
              <w:spacing w:line="240" w:lineRule="auto"/>
              <w:ind w:firstLine="0" w:firstLineChars="0"/>
              <w:jc w:val="center"/>
              <w:rPr>
                <w:color w:val="auto"/>
                <w:sz w:val="21"/>
                <w:szCs w:val="21"/>
                <w:highlight w:val="none"/>
              </w:rPr>
            </w:pPr>
            <w:r>
              <w:rPr>
                <w:color w:val="auto"/>
                <w:sz w:val="21"/>
                <w:szCs w:val="21"/>
                <w:highlight w:val="none"/>
              </w:rPr>
              <w:t>地表水</w:t>
            </w:r>
          </w:p>
        </w:tc>
        <w:tc>
          <w:tcPr>
            <w:tcW w:w="1148" w:type="pct"/>
            <w:gridSpan w:val="2"/>
            <w:noWrap w:val="0"/>
            <w:vAlign w:val="center"/>
          </w:tcPr>
          <w:p w14:paraId="4B54714F">
            <w:pPr>
              <w:spacing w:line="240" w:lineRule="auto"/>
              <w:ind w:firstLine="0" w:firstLineChars="0"/>
              <w:jc w:val="center"/>
              <w:rPr>
                <w:color w:val="auto"/>
                <w:sz w:val="21"/>
                <w:szCs w:val="21"/>
                <w:highlight w:val="none"/>
              </w:rPr>
            </w:pPr>
            <w:r>
              <w:rPr>
                <w:color w:val="auto"/>
                <w:sz w:val="21"/>
                <w:szCs w:val="21"/>
                <w:highlight w:val="none"/>
              </w:rPr>
              <w:t>E1□</w:t>
            </w:r>
          </w:p>
        </w:tc>
        <w:tc>
          <w:tcPr>
            <w:tcW w:w="1165" w:type="pct"/>
            <w:gridSpan w:val="3"/>
            <w:noWrap w:val="0"/>
            <w:vAlign w:val="center"/>
          </w:tcPr>
          <w:p w14:paraId="718F89BE">
            <w:pPr>
              <w:spacing w:line="240" w:lineRule="auto"/>
              <w:ind w:firstLine="0" w:firstLineChars="0"/>
              <w:jc w:val="center"/>
              <w:rPr>
                <w:color w:val="auto"/>
                <w:sz w:val="21"/>
                <w:szCs w:val="21"/>
                <w:highlight w:val="none"/>
              </w:rPr>
            </w:pPr>
            <w:r>
              <w:rPr>
                <w:color w:val="auto"/>
                <w:sz w:val="21"/>
                <w:szCs w:val="21"/>
                <w:highlight w:val="none"/>
              </w:rPr>
              <w:t>E2□</w:t>
            </w:r>
          </w:p>
        </w:tc>
        <w:tc>
          <w:tcPr>
            <w:tcW w:w="1195" w:type="pct"/>
            <w:gridSpan w:val="3"/>
            <w:noWrap w:val="0"/>
            <w:vAlign w:val="center"/>
          </w:tcPr>
          <w:p w14:paraId="6B7B6866">
            <w:pPr>
              <w:spacing w:line="240" w:lineRule="auto"/>
              <w:ind w:firstLine="0" w:firstLineChars="0"/>
              <w:jc w:val="center"/>
              <w:rPr>
                <w:color w:val="auto"/>
                <w:sz w:val="21"/>
                <w:szCs w:val="21"/>
                <w:highlight w:val="none"/>
              </w:rPr>
            </w:pPr>
            <w:r>
              <w:rPr>
                <w:color w:val="auto"/>
                <w:sz w:val="21"/>
                <w:szCs w:val="21"/>
                <w:highlight w:val="none"/>
              </w:rPr>
              <w:t>E3□</w:t>
            </w:r>
          </w:p>
        </w:tc>
      </w:tr>
      <w:tr w14:paraId="73AEB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1103" w:type="pct"/>
            <w:gridSpan w:val="2"/>
            <w:vMerge w:val="continue"/>
            <w:noWrap w:val="0"/>
            <w:vAlign w:val="center"/>
          </w:tcPr>
          <w:p w14:paraId="54141EBA">
            <w:pPr>
              <w:spacing w:line="240" w:lineRule="auto"/>
              <w:ind w:firstLine="0" w:firstLineChars="0"/>
              <w:jc w:val="center"/>
              <w:rPr>
                <w:color w:val="auto"/>
                <w:sz w:val="21"/>
                <w:szCs w:val="21"/>
                <w:highlight w:val="none"/>
              </w:rPr>
            </w:pPr>
          </w:p>
        </w:tc>
        <w:tc>
          <w:tcPr>
            <w:tcW w:w="389" w:type="pct"/>
            <w:noWrap w:val="0"/>
            <w:vAlign w:val="center"/>
          </w:tcPr>
          <w:p w14:paraId="5353C095">
            <w:pPr>
              <w:spacing w:line="240" w:lineRule="auto"/>
              <w:ind w:firstLine="0" w:firstLineChars="0"/>
              <w:jc w:val="center"/>
              <w:rPr>
                <w:color w:val="auto"/>
                <w:sz w:val="21"/>
                <w:szCs w:val="21"/>
                <w:highlight w:val="none"/>
              </w:rPr>
            </w:pPr>
            <w:r>
              <w:rPr>
                <w:color w:val="auto"/>
                <w:sz w:val="21"/>
                <w:szCs w:val="21"/>
                <w:highlight w:val="none"/>
              </w:rPr>
              <w:t>地下水</w:t>
            </w:r>
          </w:p>
        </w:tc>
        <w:tc>
          <w:tcPr>
            <w:tcW w:w="1148" w:type="pct"/>
            <w:gridSpan w:val="2"/>
            <w:noWrap w:val="0"/>
            <w:vAlign w:val="center"/>
          </w:tcPr>
          <w:p w14:paraId="7A0584E8">
            <w:pPr>
              <w:spacing w:line="240" w:lineRule="auto"/>
              <w:ind w:firstLine="0" w:firstLineChars="0"/>
              <w:jc w:val="center"/>
              <w:rPr>
                <w:color w:val="auto"/>
                <w:sz w:val="21"/>
                <w:szCs w:val="21"/>
                <w:highlight w:val="none"/>
              </w:rPr>
            </w:pPr>
            <w:r>
              <w:rPr>
                <w:color w:val="auto"/>
                <w:sz w:val="21"/>
                <w:szCs w:val="21"/>
                <w:highlight w:val="none"/>
              </w:rPr>
              <w:t>E1□</w:t>
            </w:r>
          </w:p>
        </w:tc>
        <w:tc>
          <w:tcPr>
            <w:tcW w:w="1165" w:type="pct"/>
            <w:gridSpan w:val="3"/>
            <w:noWrap w:val="0"/>
            <w:vAlign w:val="center"/>
          </w:tcPr>
          <w:p w14:paraId="3F4DA340">
            <w:pPr>
              <w:spacing w:line="240" w:lineRule="auto"/>
              <w:ind w:firstLine="0" w:firstLineChars="0"/>
              <w:jc w:val="center"/>
              <w:rPr>
                <w:color w:val="auto"/>
                <w:sz w:val="21"/>
                <w:szCs w:val="21"/>
                <w:highlight w:val="none"/>
              </w:rPr>
            </w:pPr>
            <w:r>
              <w:rPr>
                <w:color w:val="auto"/>
                <w:sz w:val="21"/>
                <w:szCs w:val="21"/>
                <w:highlight w:val="none"/>
              </w:rPr>
              <w:t>E2□</w:t>
            </w:r>
          </w:p>
        </w:tc>
        <w:tc>
          <w:tcPr>
            <w:tcW w:w="1195" w:type="pct"/>
            <w:gridSpan w:val="3"/>
            <w:noWrap w:val="0"/>
            <w:vAlign w:val="center"/>
          </w:tcPr>
          <w:p w14:paraId="55902735">
            <w:pPr>
              <w:spacing w:line="240" w:lineRule="auto"/>
              <w:ind w:firstLine="0" w:firstLineChars="0"/>
              <w:jc w:val="center"/>
              <w:rPr>
                <w:color w:val="auto"/>
                <w:sz w:val="21"/>
                <w:szCs w:val="21"/>
                <w:highlight w:val="none"/>
              </w:rPr>
            </w:pPr>
            <w:r>
              <w:rPr>
                <w:color w:val="auto"/>
                <w:sz w:val="21"/>
                <w:szCs w:val="21"/>
                <w:highlight w:val="none"/>
              </w:rPr>
              <w:t>E3□</w:t>
            </w:r>
          </w:p>
        </w:tc>
      </w:tr>
      <w:tr w14:paraId="2DAEF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1103" w:type="pct"/>
            <w:gridSpan w:val="2"/>
            <w:noWrap w:val="0"/>
            <w:vAlign w:val="center"/>
          </w:tcPr>
          <w:p w14:paraId="0A1900C2">
            <w:pPr>
              <w:spacing w:line="240" w:lineRule="auto"/>
              <w:ind w:firstLine="0" w:firstLineChars="0"/>
              <w:jc w:val="center"/>
              <w:rPr>
                <w:color w:val="auto"/>
                <w:sz w:val="21"/>
                <w:szCs w:val="21"/>
                <w:highlight w:val="none"/>
              </w:rPr>
            </w:pPr>
            <w:r>
              <w:rPr>
                <w:color w:val="auto"/>
                <w:sz w:val="21"/>
                <w:szCs w:val="21"/>
                <w:highlight w:val="none"/>
              </w:rPr>
              <w:t>环境风险潜势</w:t>
            </w:r>
          </w:p>
        </w:tc>
        <w:tc>
          <w:tcPr>
            <w:tcW w:w="389" w:type="pct"/>
            <w:noWrap w:val="0"/>
            <w:vAlign w:val="center"/>
          </w:tcPr>
          <w:p w14:paraId="6795D1BB">
            <w:pPr>
              <w:spacing w:line="240" w:lineRule="auto"/>
              <w:ind w:firstLine="0" w:firstLineChars="0"/>
              <w:jc w:val="center"/>
              <w:rPr>
                <w:color w:val="auto"/>
                <w:sz w:val="21"/>
                <w:szCs w:val="21"/>
                <w:highlight w:val="none"/>
              </w:rPr>
            </w:pPr>
            <w:r>
              <w:rPr>
                <w:rFonts w:hint="eastAsia" w:ascii="宋体" w:hAnsi="宋体" w:cs="宋体"/>
                <w:color w:val="auto"/>
                <w:sz w:val="21"/>
                <w:szCs w:val="21"/>
                <w:highlight w:val="none"/>
              </w:rPr>
              <w:t>Ⅳ</w:t>
            </w:r>
            <w:r>
              <w:rPr>
                <w:color w:val="auto"/>
                <w:sz w:val="21"/>
                <w:szCs w:val="21"/>
                <w:highlight w:val="none"/>
              </w:rPr>
              <w:t>+</w:t>
            </w:r>
            <w:r>
              <w:rPr>
                <w:rFonts w:cs="Calibri"/>
                <w:color w:val="auto"/>
                <w:sz w:val="21"/>
                <w:szCs w:val="21"/>
                <w:highlight w:val="none"/>
              </w:rPr>
              <w:t>□</w:t>
            </w:r>
          </w:p>
        </w:tc>
        <w:tc>
          <w:tcPr>
            <w:tcW w:w="1148" w:type="pct"/>
            <w:gridSpan w:val="2"/>
            <w:noWrap w:val="0"/>
            <w:vAlign w:val="center"/>
          </w:tcPr>
          <w:p w14:paraId="16F8EFBA">
            <w:pPr>
              <w:spacing w:line="240" w:lineRule="auto"/>
              <w:ind w:firstLine="0" w:firstLineChars="0"/>
              <w:jc w:val="center"/>
              <w:rPr>
                <w:color w:val="auto"/>
                <w:sz w:val="21"/>
                <w:szCs w:val="21"/>
                <w:highlight w:val="none"/>
              </w:rPr>
            </w:pPr>
            <w:r>
              <w:rPr>
                <w:rFonts w:hint="eastAsia" w:ascii="宋体" w:hAnsi="宋体" w:cs="宋体"/>
                <w:color w:val="auto"/>
                <w:sz w:val="21"/>
                <w:szCs w:val="21"/>
                <w:highlight w:val="none"/>
              </w:rPr>
              <w:t>Ⅳ</w:t>
            </w:r>
            <w:r>
              <w:rPr>
                <w:rFonts w:cs="Calibri"/>
                <w:color w:val="auto"/>
                <w:sz w:val="21"/>
                <w:szCs w:val="21"/>
                <w:highlight w:val="none"/>
              </w:rPr>
              <w:t>□</w:t>
            </w:r>
          </w:p>
        </w:tc>
        <w:tc>
          <w:tcPr>
            <w:tcW w:w="769" w:type="pct"/>
            <w:gridSpan w:val="2"/>
            <w:noWrap w:val="0"/>
            <w:vAlign w:val="center"/>
          </w:tcPr>
          <w:p w14:paraId="324E6190">
            <w:pPr>
              <w:spacing w:line="240" w:lineRule="auto"/>
              <w:ind w:firstLine="0" w:firstLineChars="0"/>
              <w:jc w:val="center"/>
              <w:rPr>
                <w:color w:val="auto"/>
                <w:sz w:val="21"/>
                <w:szCs w:val="21"/>
                <w:highlight w:val="none"/>
              </w:rPr>
            </w:pPr>
            <w:r>
              <w:rPr>
                <w:rFonts w:hint="eastAsia" w:ascii="宋体" w:hAnsi="宋体" w:cs="宋体"/>
                <w:color w:val="auto"/>
                <w:sz w:val="21"/>
                <w:szCs w:val="21"/>
                <w:highlight w:val="none"/>
              </w:rPr>
              <w:t>Ⅲ</w:t>
            </w:r>
            <w:r>
              <w:rPr>
                <w:rFonts w:cs="Calibri"/>
                <w:color w:val="auto"/>
                <w:sz w:val="21"/>
                <w:szCs w:val="21"/>
                <w:highlight w:val="none"/>
              </w:rPr>
              <w:t>□</w:t>
            </w:r>
          </w:p>
        </w:tc>
        <w:tc>
          <w:tcPr>
            <w:tcW w:w="794" w:type="pct"/>
            <w:gridSpan w:val="2"/>
            <w:noWrap w:val="0"/>
            <w:vAlign w:val="center"/>
          </w:tcPr>
          <w:p w14:paraId="02B3D889">
            <w:pPr>
              <w:spacing w:line="240" w:lineRule="auto"/>
              <w:ind w:firstLine="0" w:firstLineChars="0"/>
              <w:jc w:val="center"/>
              <w:rPr>
                <w:color w:val="auto"/>
                <w:sz w:val="21"/>
                <w:szCs w:val="21"/>
                <w:highlight w:val="none"/>
              </w:rPr>
            </w:pPr>
            <w:r>
              <w:rPr>
                <w:rFonts w:hint="eastAsia" w:ascii="宋体" w:hAnsi="宋体" w:cs="宋体"/>
                <w:color w:val="auto"/>
                <w:sz w:val="21"/>
                <w:szCs w:val="21"/>
                <w:highlight w:val="none"/>
              </w:rPr>
              <w:t>Ⅱ</w:t>
            </w:r>
            <w:r>
              <w:rPr>
                <w:rFonts w:cs="Calibri"/>
                <w:color w:val="auto"/>
                <w:sz w:val="21"/>
                <w:szCs w:val="21"/>
                <w:highlight w:val="none"/>
              </w:rPr>
              <w:t>□</w:t>
            </w:r>
          </w:p>
        </w:tc>
        <w:tc>
          <w:tcPr>
            <w:tcW w:w="797" w:type="pct"/>
            <w:gridSpan w:val="2"/>
            <w:noWrap w:val="0"/>
            <w:vAlign w:val="center"/>
          </w:tcPr>
          <w:p w14:paraId="279313E7">
            <w:pPr>
              <w:spacing w:line="240" w:lineRule="auto"/>
              <w:ind w:firstLine="0" w:firstLineChars="0"/>
              <w:jc w:val="center"/>
              <w:rPr>
                <w:color w:val="auto"/>
                <w:sz w:val="21"/>
                <w:szCs w:val="21"/>
                <w:highlight w:val="none"/>
              </w:rPr>
            </w:pPr>
            <w:r>
              <w:rPr>
                <w:rFonts w:hint="eastAsia" w:ascii="宋体" w:hAnsi="宋体" w:cs="宋体"/>
                <w:color w:val="auto"/>
                <w:sz w:val="21"/>
                <w:szCs w:val="21"/>
                <w:highlight w:val="none"/>
              </w:rPr>
              <w:t>Ⅰ</w:t>
            </w:r>
            <w:r>
              <w:rPr>
                <w:rFonts w:hint="eastAsia" w:ascii="MS Mincho" w:hAnsi="MS Mincho" w:eastAsia="MS Mincho" w:cs="MS Mincho"/>
                <w:color w:val="auto"/>
                <w:sz w:val="21"/>
                <w:szCs w:val="21"/>
                <w:highlight w:val="none"/>
              </w:rPr>
              <w:t>☑</w:t>
            </w:r>
          </w:p>
        </w:tc>
      </w:tr>
      <w:tr w14:paraId="5C636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1103" w:type="pct"/>
            <w:gridSpan w:val="2"/>
            <w:noWrap w:val="0"/>
            <w:vAlign w:val="center"/>
          </w:tcPr>
          <w:p w14:paraId="57CF98C5">
            <w:pPr>
              <w:spacing w:line="240" w:lineRule="auto"/>
              <w:ind w:firstLine="0" w:firstLineChars="0"/>
              <w:jc w:val="center"/>
              <w:rPr>
                <w:color w:val="auto"/>
                <w:sz w:val="21"/>
                <w:szCs w:val="21"/>
                <w:highlight w:val="none"/>
              </w:rPr>
            </w:pPr>
            <w:r>
              <w:rPr>
                <w:color w:val="auto"/>
                <w:sz w:val="21"/>
                <w:szCs w:val="21"/>
                <w:highlight w:val="none"/>
              </w:rPr>
              <w:t>评价等级</w:t>
            </w:r>
          </w:p>
        </w:tc>
        <w:tc>
          <w:tcPr>
            <w:tcW w:w="1538" w:type="pct"/>
            <w:gridSpan w:val="3"/>
            <w:noWrap w:val="0"/>
            <w:vAlign w:val="center"/>
          </w:tcPr>
          <w:p w14:paraId="5EED8F36">
            <w:pPr>
              <w:spacing w:line="240" w:lineRule="auto"/>
              <w:ind w:firstLine="0" w:firstLineChars="0"/>
              <w:jc w:val="center"/>
              <w:rPr>
                <w:color w:val="auto"/>
                <w:sz w:val="21"/>
                <w:szCs w:val="21"/>
                <w:highlight w:val="none"/>
              </w:rPr>
            </w:pPr>
            <w:r>
              <w:rPr>
                <w:color w:val="auto"/>
                <w:sz w:val="21"/>
                <w:szCs w:val="21"/>
                <w:highlight w:val="none"/>
              </w:rPr>
              <w:t>一级□</w:t>
            </w:r>
          </w:p>
        </w:tc>
        <w:tc>
          <w:tcPr>
            <w:tcW w:w="769" w:type="pct"/>
            <w:gridSpan w:val="2"/>
            <w:noWrap w:val="0"/>
            <w:vAlign w:val="center"/>
          </w:tcPr>
          <w:p w14:paraId="2E0CBAB8">
            <w:pPr>
              <w:spacing w:line="240" w:lineRule="auto"/>
              <w:ind w:firstLine="0" w:firstLineChars="0"/>
              <w:jc w:val="center"/>
              <w:rPr>
                <w:color w:val="auto"/>
                <w:sz w:val="21"/>
                <w:szCs w:val="21"/>
                <w:highlight w:val="none"/>
              </w:rPr>
            </w:pPr>
            <w:r>
              <w:rPr>
                <w:color w:val="auto"/>
                <w:sz w:val="21"/>
                <w:szCs w:val="21"/>
                <w:highlight w:val="none"/>
              </w:rPr>
              <w:t>二级□</w:t>
            </w:r>
          </w:p>
        </w:tc>
        <w:tc>
          <w:tcPr>
            <w:tcW w:w="794" w:type="pct"/>
            <w:gridSpan w:val="2"/>
            <w:noWrap w:val="0"/>
            <w:vAlign w:val="center"/>
          </w:tcPr>
          <w:p w14:paraId="1CD686B1">
            <w:pPr>
              <w:spacing w:line="240" w:lineRule="auto"/>
              <w:ind w:firstLine="0" w:firstLineChars="0"/>
              <w:jc w:val="center"/>
              <w:rPr>
                <w:color w:val="auto"/>
                <w:sz w:val="21"/>
                <w:szCs w:val="21"/>
                <w:highlight w:val="none"/>
              </w:rPr>
            </w:pPr>
            <w:r>
              <w:rPr>
                <w:color w:val="auto"/>
                <w:sz w:val="21"/>
                <w:szCs w:val="21"/>
                <w:highlight w:val="none"/>
              </w:rPr>
              <w:t>三级□</w:t>
            </w:r>
          </w:p>
        </w:tc>
        <w:tc>
          <w:tcPr>
            <w:tcW w:w="797" w:type="pct"/>
            <w:gridSpan w:val="2"/>
            <w:noWrap w:val="0"/>
            <w:vAlign w:val="center"/>
          </w:tcPr>
          <w:p w14:paraId="5FC94100">
            <w:pPr>
              <w:spacing w:line="240" w:lineRule="auto"/>
              <w:ind w:firstLine="0" w:firstLineChars="0"/>
              <w:jc w:val="center"/>
              <w:rPr>
                <w:color w:val="auto"/>
                <w:sz w:val="21"/>
                <w:szCs w:val="21"/>
                <w:highlight w:val="none"/>
              </w:rPr>
            </w:pPr>
            <w:r>
              <w:rPr>
                <w:color w:val="auto"/>
                <w:sz w:val="21"/>
                <w:szCs w:val="21"/>
                <w:highlight w:val="none"/>
              </w:rPr>
              <w:t>简单分析</w:t>
            </w:r>
            <w:r>
              <w:rPr>
                <w:rFonts w:hint="eastAsia" w:ascii="MS Mincho" w:hAnsi="MS Mincho" w:eastAsia="MS Mincho" w:cs="MS Mincho"/>
                <w:color w:val="auto"/>
                <w:sz w:val="21"/>
                <w:szCs w:val="21"/>
                <w:highlight w:val="none"/>
              </w:rPr>
              <w:t>☑</w:t>
            </w:r>
          </w:p>
        </w:tc>
      </w:tr>
      <w:tr w14:paraId="400DB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385" w:type="pct"/>
            <w:vMerge w:val="restart"/>
            <w:noWrap w:val="0"/>
            <w:vAlign w:val="center"/>
          </w:tcPr>
          <w:p w14:paraId="7641AD89">
            <w:pPr>
              <w:spacing w:line="240" w:lineRule="auto"/>
              <w:ind w:firstLine="0" w:firstLineChars="0"/>
              <w:jc w:val="center"/>
              <w:rPr>
                <w:color w:val="auto"/>
                <w:sz w:val="21"/>
                <w:szCs w:val="21"/>
                <w:highlight w:val="none"/>
              </w:rPr>
            </w:pPr>
            <w:r>
              <w:rPr>
                <w:color w:val="auto"/>
                <w:sz w:val="21"/>
                <w:szCs w:val="21"/>
                <w:highlight w:val="none"/>
              </w:rPr>
              <w:t>风险识别</w:t>
            </w:r>
          </w:p>
        </w:tc>
        <w:tc>
          <w:tcPr>
            <w:tcW w:w="718" w:type="pct"/>
            <w:noWrap w:val="0"/>
            <w:vAlign w:val="center"/>
          </w:tcPr>
          <w:p w14:paraId="7759F4EB">
            <w:pPr>
              <w:spacing w:line="240" w:lineRule="auto"/>
              <w:ind w:firstLine="0" w:firstLineChars="0"/>
              <w:jc w:val="center"/>
              <w:rPr>
                <w:color w:val="auto"/>
                <w:sz w:val="21"/>
                <w:szCs w:val="21"/>
                <w:highlight w:val="none"/>
              </w:rPr>
            </w:pPr>
            <w:r>
              <w:rPr>
                <w:color w:val="auto"/>
                <w:sz w:val="21"/>
                <w:szCs w:val="21"/>
                <w:highlight w:val="none"/>
              </w:rPr>
              <w:t>物质危险性</w:t>
            </w:r>
          </w:p>
        </w:tc>
        <w:tc>
          <w:tcPr>
            <w:tcW w:w="2306" w:type="pct"/>
            <w:gridSpan w:val="5"/>
            <w:noWrap w:val="0"/>
            <w:vAlign w:val="center"/>
          </w:tcPr>
          <w:p w14:paraId="36AA58A1">
            <w:pPr>
              <w:spacing w:line="240" w:lineRule="auto"/>
              <w:ind w:firstLine="0" w:firstLineChars="0"/>
              <w:jc w:val="center"/>
              <w:rPr>
                <w:color w:val="auto"/>
                <w:sz w:val="21"/>
                <w:szCs w:val="21"/>
                <w:highlight w:val="none"/>
              </w:rPr>
            </w:pPr>
            <w:r>
              <w:rPr>
                <w:color w:val="auto"/>
                <w:sz w:val="21"/>
                <w:szCs w:val="21"/>
                <w:highlight w:val="none"/>
              </w:rPr>
              <w:t>有毒有害□</w:t>
            </w:r>
          </w:p>
        </w:tc>
        <w:tc>
          <w:tcPr>
            <w:tcW w:w="1591" w:type="pct"/>
            <w:gridSpan w:val="4"/>
            <w:noWrap w:val="0"/>
            <w:vAlign w:val="center"/>
          </w:tcPr>
          <w:p w14:paraId="0E15BBF0">
            <w:pPr>
              <w:spacing w:line="240" w:lineRule="auto"/>
              <w:ind w:firstLine="0" w:firstLineChars="0"/>
              <w:jc w:val="center"/>
              <w:rPr>
                <w:color w:val="auto"/>
                <w:sz w:val="21"/>
                <w:szCs w:val="21"/>
                <w:highlight w:val="none"/>
              </w:rPr>
            </w:pPr>
            <w:r>
              <w:rPr>
                <w:color w:val="auto"/>
                <w:sz w:val="21"/>
                <w:szCs w:val="21"/>
                <w:highlight w:val="none"/>
              </w:rPr>
              <w:t>易燃易爆□</w:t>
            </w:r>
          </w:p>
        </w:tc>
      </w:tr>
      <w:tr w14:paraId="35A63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385" w:type="pct"/>
            <w:vMerge w:val="continue"/>
            <w:noWrap w:val="0"/>
            <w:vAlign w:val="center"/>
          </w:tcPr>
          <w:p w14:paraId="0E4FE6E0">
            <w:pPr>
              <w:spacing w:line="240" w:lineRule="auto"/>
              <w:ind w:firstLine="0" w:firstLineChars="0"/>
              <w:jc w:val="center"/>
              <w:rPr>
                <w:color w:val="auto"/>
                <w:sz w:val="21"/>
                <w:szCs w:val="21"/>
                <w:highlight w:val="none"/>
              </w:rPr>
            </w:pPr>
          </w:p>
        </w:tc>
        <w:tc>
          <w:tcPr>
            <w:tcW w:w="718" w:type="pct"/>
            <w:noWrap w:val="0"/>
            <w:vAlign w:val="center"/>
          </w:tcPr>
          <w:p w14:paraId="7CD271D5">
            <w:pPr>
              <w:spacing w:line="240" w:lineRule="auto"/>
              <w:ind w:firstLine="0" w:firstLineChars="0"/>
              <w:jc w:val="center"/>
              <w:rPr>
                <w:color w:val="auto"/>
                <w:sz w:val="21"/>
                <w:szCs w:val="21"/>
                <w:highlight w:val="none"/>
              </w:rPr>
            </w:pPr>
            <w:r>
              <w:rPr>
                <w:color w:val="auto"/>
                <w:sz w:val="21"/>
                <w:szCs w:val="21"/>
                <w:highlight w:val="none"/>
              </w:rPr>
              <w:t>环境风险类型</w:t>
            </w:r>
          </w:p>
        </w:tc>
        <w:tc>
          <w:tcPr>
            <w:tcW w:w="2306" w:type="pct"/>
            <w:gridSpan w:val="5"/>
            <w:noWrap w:val="0"/>
            <w:vAlign w:val="center"/>
          </w:tcPr>
          <w:p w14:paraId="49E608C0">
            <w:pPr>
              <w:spacing w:line="240" w:lineRule="auto"/>
              <w:ind w:firstLine="0" w:firstLineChars="0"/>
              <w:jc w:val="center"/>
              <w:rPr>
                <w:color w:val="auto"/>
                <w:sz w:val="21"/>
                <w:szCs w:val="21"/>
                <w:highlight w:val="none"/>
              </w:rPr>
            </w:pPr>
            <w:r>
              <w:rPr>
                <w:color w:val="auto"/>
                <w:sz w:val="21"/>
                <w:szCs w:val="21"/>
                <w:highlight w:val="none"/>
              </w:rPr>
              <w:t>泄漏□</w:t>
            </w:r>
          </w:p>
        </w:tc>
        <w:tc>
          <w:tcPr>
            <w:tcW w:w="1591" w:type="pct"/>
            <w:gridSpan w:val="4"/>
            <w:noWrap w:val="0"/>
            <w:vAlign w:val="center"/>
          </w:tcPr>
          <w:p w14:paraId="762CA06C">
            <w:pPr>
              <w:spacing w:line="240" w:lineRule="auto"/>
              <w:ind w:firstLine="0" w:firstLineChars="0"/>
              <w:jc w:val="center"/>
              <w:rPr>
                <w:color w:val="auto"/>
                <w:sz w:val="21"/>
                <w:szCs w:val="21"/>
                <w:highlight w:val="none"/>
              </w:rPr>
            </w:pPr>
            <w:r>
              <w:rPr>
                <w:color w:val="auto"/>
                <w:sz w:val="21"/>
                <w:szCs w:val="21"/>
                <w:highlight w:val="none"/>
              </w:rPr>
              <w:t>火灾、爆炸引发伴生/次生污染物排放□</w:t>
            </w:r>
          </w:p>
        </w:tc>
      </w:tr>
      <w:tr w14:paraId="09A82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385" w:type="pct"/>
            <w:vMerge w:val="continue"/>
            <w:noWrap w:val="0"/>
            <w:vAlign w:val="center"/>
          </w:tcPr>
          <w:p w14:paraId="1A3B5EE1">
            <w:pPr>
              <w:spacing w:line="240" w:lineRule="auto"/>
              <w:ind w:firstLine="0" w:firstLineChars="0"/>
              <w:jc w:val="center"/>
              <w:rPr>
                <w:color w:val="auto"/>
                <w:sz w:val="21"/>
                <w:szCs w:val="21"/>
                <w:highlight w:val="none"/>
              </w:rPr>
            </w:pPr>
          </w:p>
        </w:tc>
        <w:tc>
          <w:tcPr>
            <w:tcW w:w="718" w:type="pct"/>
            <w:noWrap w:val="0"/>
            <w:vAlign w:val="center"/>
          </w:tcPr>
          <w:p w14:paraId="1B0931D0">
            <w:pPr>
              <w:spacing w:line="240" w:lineRule="auto"/>
              <w:ind w:firstLine="0" w:firstLineChars="0"/>
              <w:jc w:val="center"/>
              <w:rPr>
                <w:color w:val="auto"/>
                <w:sz w:val="21"/>
                <w:szCs w:val="21"/>
                <w:highlight w:val="none"/>
              </w:rPr>
            </w:pPr>
            <w:r>
              <w:rPr>
                <w:color w:val="auto"/>
                <w:sz w:val="21"/>
                <w:szCs w:val="21"/>
                <w:highlight w:val="none"/>
              </w:rPr>
              <w:t>影响途径</w:t>
            </w:r>
          </w:p>
        </w:tc>
        <w:tc>
          <w:tcPr>
            <w:tcW w:w="1538" w:type="pct"/>
            <w:gridSpan w:val="3"/>
            <w:noWrap w:val="0"/>
            <w:vAlign w:val="center"/>
          </w:tcPr>
          <w:p w14:paraId="20237EDF">
            <w:pPr>
              <w:spacing w:line="240" w:lineRule="auto"/>
              <w:ind w:firstLine="0" w:firstLineChars="0"/>
              <w:jc w:val="center"/>
              <w:rPr>
                <w:color w:val="auto"/>
                <w:sz w:val="21"/>
                <w:szCs w:val="21"/>
                <w:highlight w:val="none"/>
              </w:rPr>
            </w:pPr>
            <w:r>
              <w:rPr>
                <w:color w:val="auto"/>
                <w:sz w:val="21"/>
                <w:szCs w:val="21"/>
                <w:highlight w:val="none"/>
              </w:rPr>
              <w:t>大气□</w:t>
            </w:r>
          </w:p>
        </w:tc>
        <w:tc>
          <w:tcPr>
            <w:tcW w:w="1165" w:type="pct"/>
            <w:gridSpan w:val="3"/>
            <w:noWrap w:val="0"/>
            <w:vAlign w:val="center"/>
          </w:tcPr>
          <w:p w14:paraId="5069E249">
            <w:pPr>
              <w:spacing w:line="240" w:lineRule="auto"/>
              <w:ind w:firstLine="0" w:firstLineChars="0"/>
              <w:jc w:val="center"/>
              <w:rPr>
                <w:color w:val="auto"/>
                <w:sz w:val="21"/>
                <w:szCs w:val="21"/>
                <w:highlight w:val="none"/>
              </w:rPr>
            </w:pPr>
            <w:r>
              <w:rPr>
                <w:color w:val="auto"/>
                <w:sz w:val="21"/>
                <w:szCs w:val="21"/>
                <w:highlight w:val="none"/>
              </w:rPr>
              <w:t>地表水□</w:t>
            </w:r>
          </w:p>
        </w:tc>
        <w:tc>
          <w:tcPr>
            <w:tcW w:w="1195" w:type="pct"/>
            <w:gridSpan w:val="3"/>
            <w:noWrap w:val="0"/>
            <w:vAlign w:val="center"/>
          </w:tcPr>
          <w:p w14:paraId="6F6F06E8">
            <w:pPr>
              <w:spacing w:line="240" w:lineRule="auto"/>
              <w:ind w:firstLine="0" w:firstLineChars="0"/>
              <w:jc w:val="center"/>
              <w:rPr>
                <w:color w:val="auto"/>
                <w:sz w:val="21"/>
                <w:szCs w:val="21"/>
                <w:highlight w:val="none"/>
              </w:rPr>
            </w:pPr>
            <w:r>
              <w:rPr>
                <w:color w:val="auto"/>
                <w:sz w:val="21"/>
                <w:szCs w:val="21"/>
                <w:highlight w:val="none"/>
              </w:rPr>
              <w:t>地下水□</w:t>
            </w:r>
          </w:p>
        </w:tc>
      </w:tr>
      <w:tr w14:paraId="12F3D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1103" w:type="pct"/>
            <w:gridSpan w:val="2"/>
            <w:noWrap w:val="0"/>
            <w:vAlign w:val="center"/>
          </w:tcPr>
          <w:p w14:paraId="61F592C0">
            <w:pPr>
              <w:spacing w:line="240" w:lineRule="auto"/>
              <w:ind w:firstLine="0" w:firstLineChars="0"/>
              <w:jc w:val="center"/>
              <w:rPr>
                <w:color w:val="auto"/>
                <w:sz w:val="21"/>
                <w:szCs w:val="21"/>
                <w:highlight w:val="none"/>
              </w:rPr>
            </w:pPr>
            <w:r>
              <w:rPr>
                <w:color w:val="auto"/>
                <w:sz w:val="21"/>
                <w:szCs w:val="21"/>
                <w:highlight w:val="none"/>
              </w:rPr>
              <w:t>事故影响分析</w:t>
            </w:r>
          </w:p>
        </w:tc>
        <w:tc>
          <w:tcPr>
            <w:tcW w:w="1538" w:type="pct"/>
            <w:gridSpan w:val="3"/>
            <w:noWrap w:val="0"/>
            <w:vAlign w:val="center"/>
          </w:tcPr>
          <w:p w14:paraId="7AD3778E">
            <w:pPr>
              <w:spacing w:line="240" w:lineRule="auto"/>
              <w:ind w:firstLine="0" w:firstLineChars="0"/>
              <w:jc w:val="center"/>
              <w:rPr>
                <w:color w:val="auto"/>
                <w:sz w:val="21"/>
                <w:szCs w:val="21"/>
                <w:highlight w:val="none"/>
              </w:rPr>
            </w:pPr>
            <w:r>
              <w:rPr>
                <w:color w:val="auto"/>
                <w:sz w:val="21"/>
                <w:szCs w:val="21"/>
                <w:highlight w:val="none"/>
              </w:rPr>
              <w:t>源强设定方法□</w:t>
            </w:r>
          </w:p>
        </w:tc>
        <w:tc>
          <w:tcPr>
            <w:tcW w:w="769" w:type="pct"/>
            <w:gridSpan w:val="2"/>
            <w:noWrap w:val="0"/>
            <w:vAlign w:val="center"/>
          </w:tcPr>
          <w:p w14:paraId="35511272">
            <w:pPr>
              <w:spacing w:line="240" w:lineRule="auto"/>
              <w:ind w:firstLine="0" w:firstLineChars="0"/>
              <w:jc w:val="center"/>
              <w:rPr>
                <w:color w:val="auto"/>
                <w:sz w:val="21"/>
                <w:szCs w:val="21"/>
                <w:highlight w:val="none"/>
              </w:rPr>
            </w:pPr>
            <w:r>
              <w:rPr>
                <w:color w:val="auto"/>
                <w:sz w:val="21"/>
                <w:szCs w:val="21"/>
                <w:highlight w:val="none"/>
              </w:rPr>
              <w:t>计算法□</w:t>
            </w:r>
          </w:p>
        </w:tc>
        <w:tc>
          <w:tcPr>
            <w:tcW w:w="794" w:type="pct"/>
            <w:gridSpan w:val="2"/>
            <w:noWrap w:val="0"/>
            <w:vAlign w:val="center"/>
          </w:tcPr>
          <w:p w14:paraId="0E12CB40">
            <w:pPr>
              <w:spacing w:line="240" w:lineRule="auto"/>
              <w:ind w:firstLine="0" w:firstLineChars="0"/>
              <w:jc w:val="center"/>
              <w:rPr>
                <w:color w:val="auto"/>
                <w:sz w:val="21"/>
                <w:szCs w:val="21"/>
                <w:highlight w:val="none"/>
              </w:rPr>
            </w:pPr>
            <w:r>
              <w:rPr>
                <w:color w:val="auto"/>
                <w:sz w:val="21"/>
                <w:szCs w:val="21"/>
                <w:highlight w:val="none"/>
              </w:rPr>
              <w:t>经验估算法□</w:t>
            </w:r>
          </w:p>
        </w:tc>
        <w:tc>
          <w:tcPr>
            <w:tcW w:w="797" w:type="pct"/>
            <w:gridSpan w:val="2"/>
            <w:noWrap w:val="0"/>
            <w:vAlign w:val="center"/>
          </w:tcPr>
          <w:p w14:paraId="1690B69D">
            <w:pPr>
              <w:spacing w:line="240" w:lineRule="auto"/>
              <w:ind w:firstLine="0" w:firstLineChars="0"/>
              <w:jc w:val="center"/>
              <w:rPr>
                <w:color w:val="auto"/>
                <w:sz w:val="21"/>
                <w:szCs w:val="21"/>
                <w:highlight w:val="none"/>
              </w:rPr>
            </w:pPr>
            <w:r>
              <w:rPr>
                <w:color w:val="auto"/>
                <w:sz w:val="21"/>
                <w:szCs w:val="21"/>
                <w:highlight w:val="none"/>
              </w:rPr>
              <w:t>其他估算法□</w:t>
            </w:r>
          </w:p>
        </w:tc>
      </w:tr>
      <w:tr w14:paraId="2533D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385" w:type="pct"/>
            <w:vMerge w:val="restart"/>
            <w:noWrap w:val="0"/>
            <w:vAlign w:val="center"/>
          </w:tcPr>
          <w:p w14:paraId="1730B259">
            <w:pPr>
              <w:spacing w:line="240" w:lineRule="auto"/>
              <w:ind w:firstLine="0" w:firstLineChars="0"/>
              <w:jc w:val="center"/>
              <w:rPr>
                <w:color w:val="auto"/>
                <w:sz w:val="21"/>
                <w:szCs w:val="21"/>
                <w:highlight w:val="none"/>
              </w:rPr>
            </w:pPr>
            <w:r>
              <w:rPr>
                <w:color w:val="auto"/>
                <w:sz w:val="21"/>
                <w:szCs w:val="21"/>
                <w:highlight w:val="none"/>
              </w:rPr>
              <w:t>风险预测与评价</w:t>
            </w:r>
          </w:p>
        </w:tc>
        <w:tc>
          <w:tcPr>
            <w:tcW w:w="718" w:type="pct"/>
            <w:vMerge w:val="restart"/>
            <w:noWrap w:val="0"/>
            <w:vAlign w:val="center"/>
          </w:tcPr>
          <w:p w14:paraId="7F9D799A">
            <w:pPr>
              <w:spacing w:line="240" w:lineRule="auto"/>
              <w:ind w:firstLine="0" w:firstLineChars="0"/>
              <w:jc w:val="center"/>
              <w:rPr>
                <w:color w:val="auto"/>
                <w:sz w:val="21"/>
                <w:szCs w:val="21"/>
                <w:highlight w:val="none"/>
              </w:rPr>
            </w:pPr>
            <w:r>
              <w:rPr>
                <w:color w:val="auto"/>
                <w:sz w:val="21"/>
                <w:szCs w:val="21"/>
                <w:highlight w:val="none"/>
              </w:rPr>
              <w:t>大气</w:t>
            </w:r>
          </w:p>
        </w:tc>
        <w:tc>
          <w:tcPr>
            <w:tcW w:w="1538" w:type="pct"/>
            <w:gridSpan w:val="3"/>
            <w:noWrap w:val="0"/>
            <w:vAlign w:val="center"/>
          </w:tcPr>
          <w:p w14:paraId="6AC943A4">
            <w:pPr>
              <w:spacing w:line="240" w:lineRule="auto"/>
              <w:ind w:firstLine="0" w:firstLineChars="0"/>
              <w:jc w:val="center"/>
              <w:rPr>
                <w:color w:val="auto"/>
                <w:sz w:val="21"/>
                <w:szCs w:val="21"/>
                <w:highlight w:val="none"/>
              </w:rPr>
            </w:pPr>
            <w:r>
              <w:rPr>
                <w:color w:val="auto"/>
                <w:sz w:val="21"/>
                <w:szCs w:val="21"/>
                <w:highlight w:val="none"/>
              </w:rPr>
              <w:t>预测模型</w:t>
            </w:r>
          </w:p>
        </w:tc>
        <w:tc>
          <w:tcPr>
            <w:tcW w:w="769" w:type="pct"/>
            <w:gridSpan w:val="2"/>
            <w:noWrap w:val="0"/>
            <w:vAlign w:val="center"/>
          </w:tcPr>
          <w:p w14:paraId="781DD3AE">
            <w:pPr>
              <w:spacing w:line="240" w:lineRule="auto"/>
              <w:ind w:firstLine="0" w:firstLineChars="0"/>
              <w:jc w:val="center"/>
              <w:rPr>
                <w:color w:val="auto"/>
                <w:sz w:val="21"/>
                <w:szCs w:val="21"/>
                <w:highlight w:val="none"/>
              </w:rPr>
            </w:pPr>
            <w:r>
              <w:rPr>
                <w:color w:val="auto"/>
                <w:sz w:val="21"/>
                <w:szCs w:val="21"/>
                <w:highlight w:val="none"/>
              </w:rPr>
              <w:t>SLAB</w:t>
            </w:r>
          </w:p>
        </w:tc>
        <w:tc>
          <w:tcPr>
            <w:tcW w:w="794" w:type="pct"/>
            <w:gridSpan w:val="2"/>
            <w:noWrap w:val="0"/>
            <w:vAlign w:val="center"/>
          </w:tcPr>
          <w:p w14:paraId="5B39D0A4">
            <w:pPr>
              <w:spacing w:line="240" w:lineRule="auto"/>
              <w:ind w:firstLine="0" w:firstLineChars="0"/>
              <w:jc w:val="center"/>
              <w:rPr>
                <w:color w:val="auto"/>
                <w:sz w:val="21"/>
                <w:szCs w:val="21"/>
                <w:highlight w:val="none"/>
              </w:rPr>
            </w:pPr>
            <w:r>
              <w:rPr>
                <w:color w:val="auto"/>
                <w:sz w:val="21"/>
                <w:szCs w:val="21"/>
                <w:highlight w:val="none"/>
              </w:rPr>
              <w:t>AFTOX</w:t>
            </w:r>
          </w:p>
        </w:tc>
        <w:tc>
          <w:tcPr>
            <w:tcW w:w="797" w:type="pct"/>
            <w:gridSpan w:val="2"/>
            <w:noWrap w:val="0"/>
            <w:vAlign w:val="center"/>
          </w:tcPr>
          <w:p w14:paraId="4EB123C9">
            <w:pPr>
              <w:spacing w:line="240" w:lineRule="auto"/>
              <w:ind w:firstLine="0" w:firstLineChars="0"/>
              <w:jc w:val="center"/>
              <w:rPr>
                <w:color w:val="auto"/>
                <w:sz w:val="21"/>
                <w:szCs w:val="21"/>
                <w:highlight w:val="none"/>
              </w:rPr>
            </w:pPr>
            <w:r>
              <w:rPr>
                <w:color w:val="auto"/>
                <w:sz w:val="21"/>
                <w:szCs w:val="21"/>
                <w:highlight w:val="none"/>
              </w:rPr>
              <w:t>其他</w:t>
            </w:r>
          </w:p>
        </w:tc>
      </w:tr>
      <w:tr w14:paraId="52150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385" w:type="pct"/>
            <w:vMerge w:val="continue"/>
            <w:noWrap w:val="0"/>
            <w:vAlign w:val="center"/>
          </w:tcPr>
          <w:p w14:paraId="65D336B4">
            <w:pPr>
              <w:spacing w:line="240" w:lineRule="auto"/>
              <w:ind w:firstLine="0" w:firstLineChars="0"/>
              <w:jc w:val="center"/>
              <w:rPr>
                <w:color w:val="auto"/>
                <w:sz w:val="21"/>
                <w:szCs w:val="21"/>
                <w:highlight w:val="none"/>
              </w:rPr>
            </w:pPr>
          </w:p>
        </w:tc>
        <w:tc>
          <w:tcPr>
            <w:tcW w:w="718" w:type="pct"/>
            <w:vMerge w:val="continue"/>
            <w:noWrap w:val="0"/>
            <w:vAlign w:val="center"/>
          </w:tcPr>
          <w:p w14:paraId="4EA038B8">
            <w:pPr>
              <w:spacing w:line="240" w:lineRule="auto"/>
              <w:ind w:firstLine="0" w:firstLineChars="0"/>
              <w:jc w:val="center"/>
              <w:rPr>
                <w:color w:val="auto"/>
                <w:sz w:val="21"/>
                <w:szCs w:val="21"/>
                <w:highlight w:val="none"/>
              </w:rPr>
            </w:pPr>
          </w:p>
        </w:tc>
        <w:tc>
          <w:tcPr>
            <w:tcW w:w="1538" w:type="pct"/>
            <w:gridSpan w:val="3"/>
            <w:vMerge w:val="restart"/>
            <w:noWrap w:val="0"/>
            <w:vAlign w:val="center"/>
          </w:tcPr>
          <w:p w14:paraId="619FD138">
            <w:pPr>
              <w:spacing w:line="240" w:lineRule="auto"/>
              <w:ind w:firstLine="0" w:firstLineChars="0"/>
              <w:jc w:val="center"/>
              <w:rPr>
                <w:color w:val="auto"/>
                <w:sz w:val="21"/>
                <w:szCs w:val="21"/>
                <w:highlight w:val="none"/>
              </w:rPr>
            </w:pPr>
            <w:r>
              <w:rPr>
                <w:color w:val="auto"/>
                <w:sz w:val="21"/>
                <w:szCs w:val="21"/>
                <w:highlight w:val="none"/>
              </w:rPr>
              <w:t>预测结果</w:t>
            </w:r>
          </w:p>
        </w:tc>
        <w:tc>
          <w:tcPr>
            <w:tcW w:w="2360" w:type="pct"/>
            <w:gridSpan w:val="6"/>
            <w:noWrap w:val="0"/>
            <w:vAlign w:val="center"/>
          </w:tcPr>
          <w:p w14:paraId="0629F9C2">
            <w:pPr>
              <w:spacing w:line="240" w:lineRule="auto"/>
              <w:ind w:firstLine="0" w:firstLineChars="0"/>
              <w:jc w:val="center"/>
              <w:rPr>
                <w:color w:val="auto"/>
                <w:sz w:val="21"/>
                <w:szCs w:val="21"/>
                <w:highlight w:val="none"/>
              </w:rPr>
            </w:pPr>
            <w:r>
              <w:rPr>
                <w:color w:val="auto"/>
                <w:sz w:val="21"/>
                <w:szCs w:val="21"/>
                <w:highlight w:val="none"/>
              </w:rPr>
              <w:t>大气毒性终点浓度-1 最大影响范围      m</w:t>
            </w:r>
          </w:p>
        </w:tc>
      </w:tr>
      <w:tr w14:paraId="45CB0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385" w:type="pct"/>
            <w:vMerge w:val="continue"/>
            <w:noWrap w:val="0"/>
            <w:vAlign w:val="center"/>
          </w:tcPr>
          <w:p w14:paraId="49FF3A04">
            <w:pPr>
              <w:spacing w:line="240" w:lineRule="auto"/>
              <w:ind w:firstLine="0" w:firstLineChars="0"/>
              <w:jc w:val="center"/>
              <w:rPr>
                <w:color w:val="auto"/>
                <w:sz w:val="21"/>
                <w:szCs w:val="21"/>
                <w:highlight w:val="none"/>
              </w:rPr>
            </w:pPr>
          </w:p>
        </w:tc>
        <w:tc>
          <w:tcPr>
            <w:tcW w:w="718" w:type="pct"/>
            <w:vMerge w:val="continue"/>
            <w:noWrap w:val="0"/>
            <w:vAlign w:val="center"/>
          </w:tcPr>
          <w:p w14:paraId="2AB633DE">
            <w:pPr>
              <w:spacing w:line="240" w:lineRule="auto"/>
              <w:ind w:firstLine="0" w:firstLineChars="0"/>
              <w:jc w:val="center"/>
              <w:rPr>
                <w:color w:val="auto"/>
                <w:sz w:val="21"/>
                <w:szCs w:val="21"/>
                <w:highlight w:val="none"/>
              </w:rPr>
            </w:pPr>
          </w:p>
        </w:tc>
        <w:tc>
          <w:tcPr>
            <w:tcW w:w="1538" w:type="pct"/>
            <w:gridSpan w:val="3"/>
            <w:vMerge w:val="continue"/>
            <w:noWrap w:val="0"/>
            <w:vAlign w:val="center"/>
          </w:tcPr>
          <w:p w14:paraId="4055D487">
            <w:pPr>
              <w:spacing w:line="240" w:lineRule="auto"/>
              <w:ind w:firstLine="0" w:firstLineChars="0"/>
              <w:jc w:val="center"/>
              <w:rPr>
                <w:color w:val="auto"/>
                <w:sz w:val="21"/>
                <w:szCs w:val="21"/>
                <w:highlight w:val="none"/>
              </w:rPr>
            </w:pPr>
          </w:p>
        </w:tc>
        <w:tc>
          <w:tcPr>
            <w:tcW w:w="2360" w:type="pct"/>
            <w:gridSpan w:val="6"/>
            <w:noWrap w:val="0"/>
            <w:vAlign w:val="center"/>
          </w:tcPr>
          <w:p w14:paraId="6155BB53">
            <w:pPr>
              <w:spacing w:line="240" w:lineRule="auto"/>
              <w:ind w:firstLine="0" w:firstLineChars="0"/>
              <w:jc w:val="center"/>
              <w:rPr>
                <w:color w:val="auto"/>
                <w:sz w:val="21"/>
                <w:szCs w:val="21"/>
                <w:highlight w:val="none"/>
              </w:rPr>
            </w:pPr>
            <w:r>
              <w:rPr>
                <w:color w:val="auto"/>
                <w:sz w:val="21"/>
                <w:szCs w:val="21"/>
                <w:highlight w:val="none"/>
              </w:rPr>
              <w:t>大气毒性终点浓度-2 最大影响范围     m</w:t>
            </w:r>
          </w:p>
        </w:tc>
      </w:tr>
      <w:tr w14:paraId="54E8A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385" w:type="pct"/>
            <w:vMerge w:val="continue"/>
            <w:noWrap w:val="0"/>
            <w:vAlign w:val="center"/>
          </w:tcPr>
          <w:p w14:paraId="75AD962F">
            <w:pPr>
              <w:spacing w:line="240" w:lineRule="auto"/>
              <w:ind w:firstLine="0" w:firstLineChars="0"/>
              <w:jc w:val="center"/>
              <w:rPr>
                <w:color w:val="auto"/>
                <w:sz w:val="21"/>
                <w:szCs w:val="21"/>
                <w:highlight w:val="none"/>
              </w:rPr>
            </w:pPr>
          </w:p>
        </w:tc>
        <w:tc>
          <w:tcPr>
            <w:tcW w:w="718" w:type="pct"/>
            <w:noWrap w:val="0"/>
            <w:vAlign w:val="center"/>
          </w:tcPr>
          <w:p w14:paraId="4AF8F8F4">
            <w:pPr>
              <w:spacing w:line="240" w:lineRule="auto"/>
              <w:ind w:firstLine="0" w:firstLineChars="0"/>
              <w:jc w:val="center"/>
              <w:rPr>
                <w:color w:val="auto"/>
                <w:sz w:val="21"/>
                <w:szCs w:val="21"/>
                <w:highlight w:val="none"/>
              </w:rPr>
            </w:pPr>
            <w:r>
              <w:rPr>
                <w:color w:val="auto"/>
                <w:sz w:val="21"/>
                <w:szCs w:val="21"/>
                <w:highlight w:val="none"/>
              </w:rPr>
              <w:t>地表水</w:t>
            </w:r>
          </w:p>
        </w:tc>
        <w:tc>
          <w:tcPr>
            <w:tcW w:w="3897" w:type="pct"/>
            <w:gridSpan w:val="9"/>
            <w:noWrap w:val="0"/>
            <w:vAlign w:val="center"/>
          </w:tcPr>
          <w:p w14:paraId="0933118F">
            <w:pPr>
              <w:spacing w:line="240" w:lineRule="auto"/>
              <w:ind w:firstLine="0" w:firstLineChars="0"/>
              <w:jc w:val="center"/>
              <w:rPr>
                <w:color w:val="auto"/>
                <w:sz w:val="21"/>
                <w:szCs w:val="21"/>
                <w:highlight w:val="none"/>
              </w:rPr>
            </w:pPr>
            <w:r>
              <w:rPr>
                <w:color w:val="auto"/>
                <w:sz w:val="21"/>
                <w:szCs w:val="21"/>
                <w:highlight w:val="none"/>
              </w:rPr>
              <w:t>最近环境敏感目标         ，到达时间         h</w:t>
            </w:r>
          </w:p>
        </w:tc>
      </w:tr>
      <w:tr w14:paraId="7C61A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385" w:type="pct"/>
            <w:vMerge w:val="continue"/>
            <w:noWrap w:val="0"/>
            <w:vAlign w:val="center"/>
          </w:tcPr>
          <w:p w14:paraId="1D37B3B9">
            <w:pPr>
              <w:spacing w:line="240" w:lineRule="auto"/>
              <w:ind w:firstLine="0" w:firstLineChars="0"/>
              <w:jc w:val="center"/>
              <w:rPr>
                <w:color w:val="auto"/>
                <w:sz w:val="21"/>
                <w:szCs w:val="21"/>
                <w:highlight w:val="none"/>
              </w:rPr>
            </w:pPr>
          </w:p>
        </w:tc>
        <w:tc>
          <w:tcPr>
            <w:tcW w:w="718" w:type="pct"/>
            <w:vMerge w:val="restart"/>
            <w:noWrap w:val="0"/>
            <w:vAlign w:val="center"/>
          </w:tcPr>
          <w:p w14:paraId="3B506E58">
            <w:pPr>
              <w:spacing w:line="240" w:lineRule="auto"/>
              <w:ind w:firstLine="0" w:firstLineChars="0"/>
              <w:jc w:val="center"/>
              <w:rPr>
                <w:color w:val="auto"/>
                <w:sz w:val="21"/>
                <w:szCs w:val="21"/>
                <w:highlight w:val="none"/>
              </w:rPr>
            </w:pPr>
            <w:r>
              <w:rPr>
                <w:color w:val="auto"/>
                <w:sz w:val="21"/>
                <w:szCs w:val="21"/>
                <w:highlight w:val="none"/>
              </w:rPr>
              <w:t>地下水</w:t>
            </w:r>
          </w:p>
        </w:tc>
        <w:tc>
          <w:tcPr>
            <w:tcW w:w="3897" w:type="pct"/>
            <w:gridSpan w:val="9"/>
            <w:noWrap w:val="0"/>
            <w:vAlign w:val="center"/>
          </w:tcPr>
          <w:p w14:paraId="66F2039F">
            <w:pPr>
              <w:spacing w:line="240" w:lineRule="auto"/>
              <w:ind w:firstLine="0" w:firstLineChars="0"/>
              <w:jc w:val="center"/>
              <w:rPr>
                <w:color w:val="auto"/>
                <w:sz w:val="21"/>
                <w:szCs w:val="21"/>
                <w:highlight w:val="none"/>
              </w:rPr>
            </w:pPr>
            <w:r>
              <w:rPr>
                <w:color w:val="auto"/>
                <w:sz w:val="21"/>
                <w:szCs w:val="21"/>
                <w:highlight w:val="none"/>
              </w:rPr>
              <w:t>下游厂区边界到达时间         h</w:t>
            </w:r>
          </w:p>
        </w:tc>
      </w:tr>
      <w:tr w14:paraId="268A7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385" w:type="pct"/>
            <w:vMerge w:val="continue"/>
            <w:noWrap w:val="0"/>
            <w:vAlign w:val="center"/>
          </w:tcPr>
          <w:p w14:paraId="65C665D7">
            <w:pPr>
              <w:spacing w:line="240" w:lineRule="auto"/>
              <w:ind w:firstLine="0" w:firstLineChars="0"/>
              <w:jc w:val="center"/>
              <w:rPr>
                <w:color w:val="auto"/>
                <w:sz w:val="21"/>
                <w:szCs w:val="21"/>
                <w:highlight w:val="none"/>
              </w:rPr>
            </w:pPr>
          </w:p>
        </w:tc>
        <w:tc>
          <w:tcPr>
            <w:tcW w:w="718" w:type="pct"/>
            <w:vMerge w:val="continue"/>
            <w:noWrap w:val="0"/>
            <w:vAlign w:val="center"/>
          </w:tcPr>
          <w:p w14:paraId="58D3BA1B">
            <w:pPr>
              <w:spacing w:line="240" w:lineRule="auto"/>
              <w:ind w:firstLine="0" w:firstLineChars="0"/>
              <w:jc w:val="center"/>
              <w:rPr>
                <w:color w:val="auto"/>
                <w:sz w:val="21"/>
                <w:szCs w:val="21"/>
                <w:highlight w:val="none"/>
              </w:rPr>
            </w:pPr>
          </w:p>
        </w:tc>
        <w:tc>
          <w:tcPr>
            <w:tcW w:w="3897" w:type="pct"/>
            <w:gridSpan w:val="9"/>
            <w:noWrap w:val="0"/>
            <w:vAlign w:val="center"/>
          </w:tcPr>
          <w:p w14:paraId="2E736A7D">
            <w:pPr>
              <w:spacing w:line="240" w:lineRule="auto"/>
              <w:ind w:firstLine="0" w:firstLineChars="0"/>
              <w:jc w:val="center"/>
              <w:rPr>
                <w:color w:val="auto"/>
                <w:sz w:val="21"/>
                <w:szCs w:val="21"/>
                <w:highlight w:val="none"/>
              </w:rPr>
            </w:pPr>
            <w:r>
              <w:rPr>
                <w:color w:val="auto"/>
                <w:sz w:val="21"/>
                <w:szCs w:val="21"/>
                <w:highlight w:val="none"/>
              </w:rPr>
              <w:t>最近环境敏感目标         ，到达时间         h</w:t>
            </w:r>
          </w:p>
        </w:tc>
      </w:tr>
      <w:tr w14:paraId="28012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1103" w:type="pct"/>
            <w:gridSpan w:val="2"/>
            <w:noWrap w:val="0"/>
            <w:vAlign w:val="center"/>
          </w:tcPr>
          <w:p w14:paraId="3DE20077">
            <w:pPr>
              <w:spacing w:line="240" w:lineRule="auto"/>
              <w:ind w:firstLine="0" w:firstLineChars="0"/>
              <w:jc w:val="center"/>
              <w:rPr>
                <w:color w:val="auto"/>
                <w:sz w:val="21"/>
                <w:szCs w:val="21"/>
                <w:highlight w:val="none"/>
              </w:rPr>
            </w:pPr>
            <w:r>
              <w:rPr>
                <w:color w:val="auto"/>
                <w:sz w:val="21"/>
                <w:szCs w:val="21"/>
                <w:highlight w:val="none"/>
              </w:rPr>
              <w:t>重点风险防范措施</w:t>
            </w:r>
          </w:p>
        </w:tc>
        <w:tc>
          <w:tcPr>
            <w:tcW w:w="3897" w:type="pct"/>
            <w:gridSpan w:val="9"/>
            <w:noWrap w:val="0"/>
            <w:vAlign w:val="center"/>
          </w:tcPr>
          <w:p w14:paraId="458F132A">
            <w:pPr>
              <w:spacing w:line="240" w:lineRule="auto"/>
              <w:ind w:firstLine="0" w:firstLineChars="0"/>
              <w:jc w:val="center"/>
              <w:rPr>
                <w:color w:val="auto"/>
                <w:sz w:val="21"/>
                <w:szCs w:val="21"/>
                <w:highlight w:val="none"/>
              </w:rPr>
            </w:pPr>
            <w:r>
              <w:rPr>
                <w:rFonts w:hint="eastAsia"/>
                <w:color w:val="auto"/>
                <w:sz w:val="21"/>
                <w:szCs w:val="21"/>
                <w:highlight w:val="none"/>
              </w:rPr>
              <w:t>/</w:t>
            </w:r>
          </w:p>
        </w:tc>
      </w:tr>
      <w:tr w14:paraId="29564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1103" w:type="pct"/>
            <w:gridSpan w:val="2"/>
            <w:noWrap w:val="0"/>
            <w:vAlign w:val="center"/>
          </w:tcPr>
          <w:p w14:paraId="1C64E2D5">
            <w:pPr>
              <w:spacing w:line="240" w:lineRule="auto"/>
              <w:ind w:firstLine="0" w:firstLineChars="0"/>
              <w:jc w:val="center"/>
              <w:rPr>
                <w:color w:val="auto"/>
                <w:sz w:val="21"/>
                <w:szCs w:val="21"/>
                <w:highlight w:val="none"/>
              </w:rPr>
            </w:pPr>
            <w:r>
              <w:rPr>
                <w:color w:val="auto"/>
                <w:sz w:val="21"/>
                <w:szCs w:val="21"/>
                <w:highlight w:val="none"/>
              </w:rPr>
              <w:t>评价结论与建议</w:t>
            </w:r>
          </w:p>
        </w:tc>
        <w:tc>
          <w:tcPr>
            <w:tcW w:w="3897" w:type="pct"/>
            <w:gridSpan w:val="9"/>
            <w:noWrap w:val="0"/>
            <w:vAlign w:val="center"/>
          </w:tcPr>
          <w:p w14:paraId="01211A07">
            <w:pPr>
              <w:spacing w:line="240" w:lineRule="auto"/>
              <w:ind w:firstLine="0" w:firstLineChars="0"/>
              <w:jc w:val="center"/>
              <w:rPr>
                <w:color w:val="auto"/>
                <w:sz w:val="21"/>
                <w:szCs w:val="21"/>
                <w:highlight w:val="none"/>
              </w:rPr>
            </w:pPr>
            <w:r>
              <w:rPr>
                <w:rFonts w:hint="eastAsia"/>
                <w:color w:val="auto"/>
                <w:sz w:val="21"/>
                <w:szCs w:val="21"/>
                <w:highlight w:val="none"/>
              </w:rPr>
              <w:t>/</w:t>
            </w:r>
          </w:p>
        </w:tc>
      </w:tr>
      <w:tr w14:paraId="51214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5000" w:type="pct"/>
            <w:gridSpan w:val="11"/>
            <w:noWrap w:val="0"/>
            <w:vAlign w:val="center"/>
          </w:tcPr>
          <w:p w14:paraId="603AA276">
            <w:pPr>
              <w:spacing w:line="240" w:lineRule="auto"/>
              <w:ind w:firstLine="0" w:firstLineChars="0"/>
              <w:jc w:val="center"/>
              <w:rPr>
                <w:color w:val="auto"/>
                <w:sz w:val="21"/>
                <w:szCs w:val="21"/>
                <w:highlight w:val="none"/>
              </w:rPr>
            </w:pPr>
            <w:r>
              <w:rPr>
                <w:color w:val="auto"/>
                <w:sz w:val="21"/>
                <w:szCs w:val="21"/>
                <w:highlight w:val="none"/>
              </w:rPr>
              <w:t>注：“□”为勾选项，“”为填写项。</w:t>
            </w:r>
          </w:p>
        </w:tc>
      </w:tr>
    </w:tbl>
    <w:p w14:paraId="08046929">
      <w:pPr>
        <w:pStyle w:val="21"/>
        <w:rPr>
          <w:rFonts w:hint="default"/>
          <w:highlight w:val="none"/>
          <w:lang w:val="en-US" w:eastAsia="zh-CN"/>
        </w:rPr>
      </w:pPr>
    </w:p>
    <w:p w14:paraId="74B68155">
      <w:pPr>
        <w:pStyle w:val="3"/>
        <w:bidi w:val="0"/>
        <w:rPr>
          <w:rFonts w:hint="eastAsia"/>
          <w:highlight w:val="none"/>
          <w:lang w:val="en-US" w:eastAsia="zh-CN"/>
        </w:rPr>
      </w:pPr>
      <w:bookmarkStart w:id="222" w:name="_Toc8583"/>
      <w:r>
        <w:rPr>
          <w:rFonts w:hint="eastAsia"/>
          <w:highlight w:val="none"/>
          <w:lang w:val="en-US" w:eastAsia="zh-CN"/>
        </w:rPr>
        <w:t>附图1厂区现有设施照片</w:t>
      </w:r>
      <w:bookmarkEnd w:id="222"/>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88"/>
        <w:gridCol w:w="4288"/>
      </w:tblGrid>
      <w:tr w14:paraId="16DA8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8" w:type="dxa"/>
          </w:tcPr>
          <w:p w14:paraId="68292E56">
            <w:pPr>
              <w:ind w:left="0" w:leftChars="0" w:firstLine="0" w:firstLineChars="0"/>
              <w:rPr>
                <w:rFonts w:hint="default"/>
                <w:highlight w:val="none"/>
                <w:vertAlign w:val="baseline"/>
                <w:lang w:val="en-US" w:eastAsia="zh-CN"/>
              </w:rPr>
            </w:pPr>
            <w:r>
              <w:rPr>
                <w:rFonts w:hint="default"/>
                <w:highlight w:val="none"/>
                <w:vertAlign w:val="baseline"/>
                <w:lang w:val="en-US" w:eastAsia="zh-CN"/>
              </w:rPr>
              <w:drawing>
                <wp:inline distT="0" distB="0" distL="114300" distR="114300">
                  <wp:extent cx="2577465" cy="2407920"/>
                  <wp:effectExtent l="0" t="0" r="13335" b="11430"/>
                  <wp:docPr id="72" name="图片 72" descr="25dc320d71e6439f281b3485ac70dd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25dc320d71e6439f281b3485ac70dd9a"/>
                          <pic:cNvPicPr>
                            <a:picLocks noChangeAspect="1"/>
                          </pic:cNvPicPr>
                        </pic:nvPicPr>
                        <pic:blipFill>
                          <a:blip r:embed="rId80"/>
                          <a:stretch>
                            <a:fillRect/>
                          </a:stretch>
                        </pic:blipFill>
                        <pic:spPr>
                          <a:xfrm>
                            <a:off x="0" y="0"/>
                            <a:ext cx="2577465" cy="2407920"/>
                          </a:xfrm>
                          <a:prstGeom prst="rect">
                            <a:avLst/>
                          </a:prstGeom>
                        </pic:spPr>
                      </pic:pic>
                    </a:graphicData>
                  </a:graphic>
                </wp:inline>
              </w:drawing>
            </w:r>
          </w:p>
        </w:tc>
        <w:tc>
          <w:tcPr>
            <w:tcW w:w="4288" w:type="dxa"/>
          </w:tcPr>
          <w:p w14:paraId="4C60128E">
            <w:pPr>
              <w:ind w:left="0" w:leftChars="0" w:firstLine="0" w:firstLineChars="0"/>
              <w:rPr>
                <w:rFonts w:hint="default"/>
                <w:highlight w:val="none"/>
                <w:vertAlign w:val="baseline"/>
                <w:lang w:val="en-US" w:eastAsia="zh-CN"/>
              </w:rPr>
            </w:pPr>
            <w:r>
              <w:rPr>
                <w:rFonts w:hint="default"/>
                <w:highlight w:val="none"/>
                <w:vertAlign w:val="baseline"/>
                <w:lang w:val="en-US" w:eastAsia="zh-CN"/>
              </w:rPr>
              <w:drawing>
                <wp:inline distT="0" distB="0" distL="114300" distR="114300">
                  <wp:extent cx="2409190" cy="2485390"/>
                  <wp:effectExtent l="0" t="0" r="10160" b="10160"/>
                  <wp:docPr id="73" name="图片 73" descr="6320a2cb6280c4c2f5f3f087bc2e84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6320a2cb6280c4c2f5f3f087bc2e846f"/>
                          <pic:cNvPicPr>
                            <a:picLocks noChangeAspect="1"/>
                          </pic:cNvPicPr>
                        </pic:nvPicPr>
                        <pic:blipFill>
                          <a:blip r:embed="rId81"/>
                          <a:stretch>
                            <a:fillRect/>
                          </a:stretch>
                        </pic:blipFill>
                        <pic:spPr>
                          <a:xfrm>
                            <a:off x="0" y="0"/>
                            <a:ext cx="2409190" cy="2485390"/>
                          </a:xfrm>
                          <a:prstGeom prst="rect">
                            <a:avLst/>
                          </a:prstGeom>
                        </pic:spPr>
                      </pic:pic>
                    </a:graphicData>
                  </a:graphic>
                </wp:inline>
              </w:drawing>
            </w:r>
          </w:p>
        </w:tc>
      </w:tr>
      <w:tr w14:paraId="3F2F7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8" w:type="dxa"/>
          </w:tcPr>
          <w:p w14:paraId="4A7823BB">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116MW热水锅炉</w:t>
            </w:r>
          </w:p>
        </w:tc>
        <w:tc>
          <w:tcPr>
            <w:tcW w:w="4288" w:type="dxa"/>
          </w:tcPr>
          <w:p w14:paraId="3F87837A">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58MW热水锅炉</w:t>
            </w:r>
          </w:p>
        </w:tc>
      </w:tr>
      <w:tr w14:paraId="7862B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8" w:type="dxa"/>
          </w:tcPr>
          <w:p w14:paraId="4986F845">
            <w:pPr>
              <w:ind w:left="0" w:leftChars="0" w:firstLine="0" w:firstLineChars="0"/>
              <w:rPr>
                <w:rFonts w:hint="default"/>
                <w:highlight w:val="none"/>
                <w:vertAlign w:val="baseline"/>
                <w:lang w:val="en-US" w:eastAsia="zh-CN"/>
              </w:rPr>
            </w:pPr>
            <w:r>
              <w:rPr>
                <w:rFonts w:hint="default"/>
                <w:highlight w:val="none"/>
                <w:vertAlign w:val="baseline"/>
                <w:lang w:val="en-US" w:eastAsia="zh-CN"/>
              </w:rPr>
              <w:drawing>
                <wp:inline distT="0" distB="0" distL="114300" distR="114300">
                  <wp:extent cx="2577465" cy="2430780"/>
                  <wp:effectExtent l="0" t="0" r="13335" b="7620"/>
                  <wp:docPr id="74" name="图片 74" descr="0b67c1a30820b234ddcec5d05b0c2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0b67c1a30820b234ddcec5d05b0c2e30"/>
                          <pic:cNvPicPr>
                            <a:picLocks noChangeAspect="1"/>
                          </pic:cNvPicPr>
                        </pic:nvPicPr>
                        <pic:blipFill>
                          <a:blip r:embed="rId82"/>
                          <a:stretch>
                            <a:fillRect/>
                          </a:stretch>
                        </pic:blipFill>
                        <pic:spPr>
                          <a:xfrm>
                            <a:off x="0" y="0"/>
                            <a:ext cx="2577465" cy="2430780"/>
                          </a:xfrm>
                          <a:prstGeom prst="rect">
                            <a:avLst/>
                          </a:prstGeom>
                        </pic:spPr>
                      </pic:pic>
                    </a:graphicData>
                  </a:graphic>
                </wp:inline>
              </w:drawing>
            </w:r>
          </w:p>
        </w:tc>
        <w:tc>
          <w:tcPr>
            <w:tcW w:w="4288" w:type="dxa"/>
          </w:tcPr>
          <w:p w14:paraId="029E6896">
            <w:pPr>
              <w:ind w:left="0" w:leftChars="0" w:firstLine="0" w:firstLineChars="0"/>
              <w:rPr>
                <w:rFonts w:hint="default"/>
                <w:highlight w:val="none"/>
                <w:vertAlign w:val="baseline"/>
                <w:lang w:val="en-US" w:eastAsia="zh-CN"/>
              </w:rPr>
            </w:pPr>
            <w:r>
              <w:rPr>
                <w:rFonts w:hint="default"/>
                <w:highlight w:val="none"/>
                <w:vertAlign w:val="baseline"/>
                <w:lang w:val="en-US" w:eastAsia="zh-CN"/>
              </w:rPr>
              <w:drawing>
                <wp:inline distT="0" distB="0" distL="114300" distR="114300">
                  <wp:extent cx="2570480" cy="3009900"/>
                  <wp:effectExtent l="0" t="0" r="1270" b="0"/>
                  <wp:docPr id="76" name="图片 76" descr="10ddc908de24603de3e6bece07565f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10ddc908de24603de3e6bece07565fd5"/>
                          <pic:cNvPicPr>
                            <a:picLocks noChangeAspect="1"/>
                          </pic:cNvPicPr>
                        </pic:nvPicPr>
                        <pic:blipFill>
                          <a:blip r:embed="rId83"/>
                          <a:stretch>
                            <a:fillRect/>
                          </a:stretch>
                        </pic:blipFill>
                        <pic:spPr>
                          <a:xfrm>
                            <a:off x="0" y="0"/>
                            <a:ext cx="2570480" cy="3009900"/>
                          </a:xfrm>
                          <a:prstGeom prst="rect">
                            <a:avLst/>
                          </a:prstGeom>
                        </pic:spPr>
                      </pic:pic>
                    </a:graphicData>
                  </a:graphic>
                </wp:inline>
              </w:drawing>
            </w:r>
          </w:p>
        </w:tc>
      </w:tr>
      <w:tr w14:paraId="494C5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8" w:type="dxa"/>
          </w:tcPr>
          <w:p w14:paraId="754C5DC1">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35t/h蒸汽锅炉</w:t>
            </w:r>
          </w:p>
        </w:tc>
        <w:tc>
          <w:tcPr>
            <w:tcW w:w="4288" w:type="dxa"/>
          </w:tcPr>
          <w:p w14:paraId="7CE963D4">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布袋除尘器</w:t>
            </w:r>
          </w:p>
        </w:tc>
      </w:tr>
      <w:tr w14:paraId="392CE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8" w:type="dxa"/>
          </w:tcPr>
          <w:p w14:paraId="2C54CEC3">
            <w:pPr>
              <w:ind w:left="0" w:leftChars="0" w:firstLine="0" w:firstLineChars="0"/>
              <w:rPr>
                <w:rFonts w:hint="default"/>
                <w:highlight w:val="none"/>
                <w:vertAlign w:val="baseline"/>
                <w:lang w:val="en-US" w:eastAsia="zh-CN"/>
              </w:rPr>
            </w:pPr>
            <w:r>
              <w:rPr>
                <w:rFonts w:hint="default"/>
                <w:highlight w:val="none"/>
                <w:vertAlign w:val="baseline"/>
                <w:lang w:val="en-US" w:eastAsia="zh-CN"/>
              </w:rPr>
              <w:drawing>
                <wp:inline distT="0" distB="0" distL="114300" distR="114300">
                  <wp:extent cx="2584450" cy="3446780"/>
                  <wp:effectExtent l="0" t="0" r="6350" b="1270"/>
                  <wp:docPr id="77" name="图片 77" descr="9f353c316c97778e56146e1655a2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9f353c316c97778e56146e1655a25901"/>
                          <pic:cNvPicPr>
                            <a:picLocks noChangeAspect="1"/>
                          </pic:cNvPicPr>
                        </pic:nvPicPr>
                        <pic:blipFill>
                          <a:blip r:embed="rId84"/>
                          <a:stretch>
                            <a:fillRect/>
                          </a:stretch>
                        </pic:blipFill>
                        <pic:spPr>
                          <a:xfrm>
                            <a:off x="0" y="0"/>
                            <a:ext cx="2584450" cy="3446780"/>
                          </a:xfrm>
                          <a:prstGeom prst="rect">
                            <a:avLst/>
                          </a:prstGeom>
                        </pic:spPr>
                      </pic:pic>
                    </a:graphicData>
                  </a:graphic>
                </wp:inline>
              </w:drawing>
            </w:r>
          </w:p>
        </w:tc>
        <w:tc>
          <w:tcPr>
            <w:tcW w:w="4288" w:type="dxa"/>
          </w:tcPr>
          <w:p w14:paraId="7895B942">
            <w:pPr>
              <w:ind w:left="0" w:leftChars="0" w:firstLine="0" w:firstLineChars="0"/>
              <w:rPr>
                <w:rFonts w:hint="default"/>
                <w:highlight w:val="none"/>
                <w:vertAlign w:val="baseline"/>
                <w:lang w:val="en-US" w:eastAsia="zh-CN"/>
              </w:rPr>
            </w:pPr>
            <w:r>
              <w:rPr>
                <w:rFonts w:hint="default"/>
                <w:highlight w:val="none"/>
                <w:vertAlign w:val="baseline"/>
                <w:lang w:val="en-US" w:eastAsia="zh-CN"/>
              </w:rPr>
              <w:drawing>
                <wp:inline distT="0" distB="0" distL="114300" distR="114300">
                  <wp:extent cx="2572385" cy="3430905"/>
                  <wp:effectExtent l="0" t="0" r="18415" b="17145"/>
                  <wp:docPr id="80" name="图片 80" descr="cc852f50823d91e90e6a375fd5b89a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cc852f50823d91e90e6a375fd5b89af6"/>
                          <pic:cNvPicPr>
                            <a:picLocks noChangeAspect="1"/>
                          </pic:cNvPicPr>
                        </pic:nvPicPr>
                        <pic:blipFill>
                          <a:blip r:embed="rId85"/>
                          <a:stretch>
                            <a:fillRect/>
                          </a:stretch>
                        </pic:blipFill>
                        <pic:spPr>
                          <a:xfrm>
                            <a:off x="0" y="0"/>
                            <a:ext cx="2572385" cy="3430905"/>
                          </a:xfrm>
                          <a:prstGeom prst="rect">
                            <a:avLst/>
                          </a:prstGeom>
                        </pic:spPr>
                      </pic:pic>
                    </a:graphicData>
                  </a:graphic>
                </wp:inline>
              </w:drawing>
            </w:r>
          </w:p>
        </w:tc>
      </w:tr>
      <w:tr w14:paraId="6A01E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8" w:type="dxa"/>
          </w:tcPr>
          <w:p w14:paraId="2AA32006">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碎煤机室</w:t>
            </w:r>
          </w:p>
        </w:tc>
        <w:tc>
          <w:tcPr>
            <w:tcW w:w="4288" w:type="dxa"/>
          </w:tcPr>
          <w:p w14:paraId="4F60BE80">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烟塔一体（60m）</w:t>
            </w:r>
          </w:p>
        </w:tc>
      </w:tr>
      <w:tr w14:paraId="33631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8" w:type="dxa"/>
          </w:tcPr>
          <w:p w14:paraId="1B2A97D8">
            <w:pPr>
              <w:ind w:left="0" w:leftChars="0" w:firstLine="0" w:firstLineChars="0"/>
              <w:rPr>
                <w:rFonts w:hint="default"/>
                <w:highlight w:val="none"/>
                <w:vertAlign w:val="baseline"/>
                <w:lang w:val="en-US" w:eastAsia="zh-CN"/>
              </w:rPr>
            </w:pPr>
            <w:r>
              <w:rPr>
                <w:rFonts w:hint="default"/>
                <w:highlight w:val="none"/>
                <w:vertAlign w:val="baseline"/>
                <w:lang w:val="en-US" w:eastAsia="zh-CN"/>
              </w:rPr>
              <w:drawing>
                <wp:inline distT="0" distB="0" distL="114300" distR="114300">
                  <wp:extent cx="2584450" cy="3446780"/>
                  <wp:effectExtent l="0" t="0" r="6350" b="1270"/>
                  <wp:docPr id="88" name="图片 88" descr="aac0b176d987f4e75e5d38db12b9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aac0b176d987f4e75e5d38db12b92250"/>
                          <pic:cNvPicPr>
                            <a:picLocks noChangeAspect="1"/>
                          </pic:cNvPicPr>
                        </pic:nvPicPr>
                        <pic:blipFill>
                          <a:blip r:embed="rId86"/>
                          <a:stretch>
                            <a:fillRect/>
                          </a:stretch>
                        </pic:blipFill>
                        <pic:spPr>
                          <a:xfrm>
                            <a:off x="0" y="0"/>
                            <a:ext cx="2584450" cy="3446780"/>
                          </a:xfrm>
                          <a:prstGeom prst="rect">
                            <a:avLst/>
                          </a:prstGeom>
                        </pic:spPr>
                      </pic:pic>
                    </a:graphicData>
                  </a:graphic>
                </wp:inline>
              </w:drawing>
            </w:r>
          </w:p>
        </w:tc>
        <w:tc>
          <w:tcPr>
            <w:tcW w:w="4288" w:type="dxa"/>
          </w:tcPr>
          <w:p w14:paraId="7C3A6DDC">
            <w:pPr>
              <w:ind w:left="0" w:leftChars="0" w:firstLine="0" w:firstLineChars="0"/>
              <w:rPr>
                <w:rFonts w:hint="default"/>
                <w:highlight w:val="none"/>
                <w:vertAlign w:val="baseline"/>
                <w:lang w:val="en-US" w:eastAsia="zh-CN"/>
              </w:rPr>
            </w:pPr>
            <w:r>
              <w:rPr>
                <w:rFonts w:hint="default"/>
                <w:highlight w:val="none"/>
                <w:vertAlign w:val="baseline"/>
                <w:lang w:val="en-US" w:eastAsia="zh-CN"/>
              </w:rPr>
              <w:drawing>
                <wp:inline distT="0" distB="0" distL="114300" distR="114300">
                  <wp:extent cx="2584450" cy="3446780"/>
                  <wp:effectExtent l="0" t="0" r="6350" b="1270"/>
                  <wp:docPr id="90" name="图片 90" descr="be80bfac696a4d7c3962320687996c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be80bfac696a4d7c3962320687996c8e"/>
                          <pic:cNvPicPr>
                            <a:picLocks noChangeAspect="1"/>
                          </pic:cNvPicPr>
                        </pic:nvPicPr>
                        <pic:blipFill>
                          <a:blip r:embed="rId87"/>
                          <a:stretch>
                            <a:fillRect/>
                          </a:stretch>
                        </pic:blipFill>
                        <pic:spPr>
                          <a:xfrm>
                            <a:off x="0" y="0"/>
                            <a:ext cx="2584450" cy="3446780"/>
                          </a:xfrm>
                          <a:prstGeom prst="rect">
                            <a:avLst/>
                          </a:prstGeom>
                        </pic:spPr>
                      </pic:pic>
                    </a:graphicData>
                  </a:graphic>
                </wp:inline>
              </w:drawing>
            </w:r>
          </w:p>
        </w:tc>
      </w:tr>
      <w:tr w14:paraId="02722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8" w:type="dxa"/>
          </w:tcPr>
          <w:p w14:paraId="7F306755">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灰仓</w:t>
            </w:r>
          </w:p>
        </w:tc>
        <w:tc>
          <w:tcPr>
            <w:tcW w:w="4288" w:type="dxa"/>
          </w:tcPr>
          <w:p w14:paraId="00894134">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渣仓</w:t>
            </w:r>
          </w:p>
        </w:tc>
      </w:tr>
    </w:tbl>
    <w:p w14:paraId="7647E7B5">
      <w:pPr>
        <w:pStyle w:val="11"/>
        <w:rPr>
          <w:rFonts w:hint="default"/>
          <w:highlight w:val="none"/>
          <w:lang w:val="en-US" w:eastAsia="zh-CN"/>
        </w:rPr>
      </w:pPr>
    </w:p>
    <w:p w14:paraId="03F51B5C">
      <w:pPr>
        <w:pStyle w:val="11"/>
        <w:rPr>
          <w:rFonts w:hint="default"/>
          <w:highlight w:val="none"/>
          <w:lang w:val="en-US" w:eastAsia="zh-CN"/>
        </w:rPr>
      </w:pPr>
    </w:p>
    <w:p w14:paraId="4A3C90D8">
      <w:pPr>
        <w:pStyle w:val="11"/>
        <w:rPr>
          <w:rFonts w:hint="default"/>
          <w:highlight w:val="none"/>
          <w:lang w:val="en-US" w:eastAsia="zh-CN"/>
        </w:rPr>
      </w:pPr>
    </w:p>
    <w:p w14:paraId="0B6746A3">
      <w:pPr>
        <w:pStyle w:val="11"/>
        <w:rPr>
          <w:rFonts w:hint="default"/>
          <w:highlight w:val="none"/>
          <w:lang w:val="en-US" w:eastAsia="zh-CN"/>
        </w:rPr>
      </w:pPr>
    </w:p>
    <w:p w14:paraId="3F319133">
      <w:pPr>
        <w:pStyle w:val="3"/>
        <w:bidi w:val="0"/>
        <w:rPr>
          <w:rFonts w:hint="default"/>
          <w:highlight w:val="none"/>
          <w:lang w:val="en-US" w:eastAsia="zh-CN"/>
        </w:rPr>
      </w:pPr>
      <w:bookmarkStart w:id="223" w:name="_Toc14518"/>
      <w:r>
        <w:rPr>
          <w:rFonts w:hint="eastAsia"/>
          <w:highlight w:val="none"/>
          <w:lang w:val="en-US" w:eastAsia="zh-CN"/>
        </w:rPr>
        <w:t>附图2厂区平面图及分区防渗图</w:t>
      </w:r>
      <w:bookmarkEnd w:id="223"/>
    </w:p>
    <w:p w14:paraId="5EDD22D9">
      <w:pPr>
        <w:ind w:left="0" w:leftChars="0" w:firstLine="0" w:firstLineChars="0"/>
        <w:rPr>
          <w:rFonts w:hint="default"/>
          <w:highlight w:val="none"/>
          <w:lang w:val="en-US" w:eastAsia="zh-CN"/>
        </w:rPr>
      </w:pPr>
      <w:r>
        <w:rPr>
          <w:highlight w:val="none"/>
        </w:rPr>
        <w:drawing>
          <wp:inline distT="0" distB="0" distL="114300" distR="114300">
            <wp:extent cx="5302250" cy="6489065"/>
            <wp:effectExtent l="0" t="0" r="12700" b="6985"/>
            <wp:docPr id="1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9"/>
                    <pic:cNvPicPr>
                      <a:picLocks noChangeAspect="1"/>
                    </pic:cNvPicPr>
                  </pic:nvPicPr>
                  <pic:blipFill>
                    <a:blip r:embed="rId88"/>
                    <a:stretch>
                      <a:fillRect/>
                    </a:stretch>
                  </pic:blipFill>
                  <pic:spPr>
                    <a:xfrm>
                      <a:off x="0" y="0"/>
                      <a:ext cx="5302250" cy="6489065"/>
                    </a:xfrm>
                    <a:prstGeom prst="rect">
                      <a:avLst/>
                    </a:prstGeom>
                    <a:noFill/>
                    <a:ln>
                      <a:noFill/>
                    </a:ln>
                  </pic:spPr>
                </pic:pic>
              </a:graphicData>
            </a:graphic>
          </wp:inline>
        </w:drawing>
      </w:r>
    </w:p>
    <w:p w14:paraId="6AF09CF1">
      <w:pPr>
        <w:rPr>
          <w:rFonts w:hint="default"/>
          <w:highlight w:val="none"/>
          <w:lang w:val="en-US" w:eastAsia="zh-CN"/>
        </w:rPr>
        <w:sectPr>
          <w:pgSz w:w="11906" w:h="16838"/>
          <w:pgMar w:top="1020" w:right="1800" w:bottom="1440" w:left="1746"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7995C0EA">
      <w:pPr>
        <w:pStyle w:val="3"/>
        <w:bidi w:val="0"/>
        <w:rPr>
          <w:rFonts w:hint="eastAsia"/>
          <w:highlight w:val="none"/>
          <w:lang w:val="en-US" w:eastAsia="zh-CN"/>
        </w:rPr>
      </w:pPr>
      <w:bookmarkStart w:id="224" w:name="_Toc30992"/>
      <w:r>
        <w:rPr>
          <w:rFonts w:hint="eastAsia"/>
          <w:highlight w:val="none"/>
          <w:lang w:val="en-US" w:eastAsia="zh-CN"/>
        </w:rPr>
        <w:t>附件1生态环境分区管控分析报告</w:t>
      </w:r>
      <w:bookmarkEnd w:id="224"/>
    </w:p>
    <w:p w14:paraId="568D1F00">
      <w:pPr>
        <w:ind w:left="0" w:leftChars="0" w:firstLine="0" w:firstLineChars="0"/>
        <w:jc w:val="center"/>
        <w:rPr>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highlight w:val="none"/>
        </w:rPr>
        <w:drawing>
          <wp:inline distT="0" distB="0" distL="114300" distR="114300">
            <wp:extent cx="8625840" cy="3911600"/>
            <wp:effectExtent l="0" t="0" r="3810" b="1270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89"/>
                    <a:stretch>
                      <a:fillRect/>
                    </a:stretch>
                  </pic:blipFill>
                  <pic:spPr>
                    <a:xfrm>
                      <a:off x="0" y="0"/>
                      <a:ext cx="8625840" cy="3911600"/>
                    </a:xfrm>
                    <a:prstGeom prst="rect">
                      <a:avLst/>
                    </a:prstGeom>
                    <a:noFill/>
                    <a:ln>
                      <a:noFill/>
                    </a:ln>
                  </pic:spPr>
                </pic:pic>
              </a:graphicData>
            </a:graphic>
          </wp:inline>
        </w:drawing>
      </w:r>
      <w:r>
        <w:rPr>
          <w:highlight w:val="none"/>
        </w:rPr>
        <w:drawing>
          <wp:inline distT="0" distB="0" distL="114300" distR="114300">
            <wp:extent cx="8557260" cy="4726305"/>
            <wp:effectExtent l="0" t="0" r="15240" b="17145"/>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90"/>
                    <a:stretch>
                      <a:fillRect/>
                    </a:stretch>
                  </pic:blipFill>
                  <pic:spPr>
                    <a:xfrm>
                      <a:off x="0" y="0"/>
                      <a:ext cx="8557260" cy="4726305"/>
                    </a:xfrm>
                    <a:prstGeom prst="rect">
                      <a:avLst/>
                    </a:prstGeom>
                    <a:noFill/>
                    <a:ln>
                      <a:noFill/>
                    </a:ln>
                  </pic:spPr>
                </pic:pic>
              </a:graphicData>
            </a:graphic>
          </wp:inline>
        </w:drawing>
      </w:r>
      <w:r>
        <w:rPr>
          <w:highlight w:val="none"/>
        </w:rPr>
        <w:drawing>
          <wp:inline distT="0" distB="0" distL="114300" distR="114300">
            <wp:extent cx="8854440" cy="4797425"/>
            <wp:effectExtent l="0" t="0" r="3810" b="3175"/>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91"/>
                    <a:stretch>
                      <a:fillRect/>
                    </a:stretch>
                  </pic:blipFill>
                  <pic:spPr>
                    <a:xfrm>
                      <a:off x="0" y="0"/>
                      <a:ext cx="8854440" cy="4797425"/>
                    </a:xfrm>
                    <a:prstGeom prst="rect">
                      <a:avLst/>
                    </a:prstGeom>
                    <a:noFill/>
                    <a:ln>
                      <a:noFill/>
                    </a:ln>
                  </pic:spPr>
                </pic:pic>
              </a:graphicData>
            </a:graphic>
          </wp:inline>
        </w:drawing>
      </w:r>
      <w:r>
        <w:rPr>
          <w:highlight w:val="none"/>
        </w:rPr>
        <w:drawing>
          <wp:inline distT="0" distB="0" distL="114300" distR="114300">
            <wp:extent cx="8707120" cy="4724400"/>
            <wp:effectExtent l="0" t="0" r="17780" b="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92"/>
                    <a:stretch>
                      <a:fillRect/>
                    </a:stretch>
                  </pic:blipFill>
                  <pic:spPr>
                    <a:xfrm>
                      <a:off x="0" y="0"/>
                      <a:ext cx="8707120" cy="4724400"/>
                    </a:xfrm>
                    <a:prstGeom prst="rect">
                      <a:avLst/>
                    </a:prstGeom>
                    <a:noFill/>
                    <a:ln>
                      <a:noFill/>
                    </a:ln>
                  </pic:spPr>
                </pic:pic>
              </a:graphicData>
            </a:graphic>
          </wp:inline>
        </w:drawing>
      </w:r>
      <w:r>
        <w:rPr>
          <w:highlight w:val="none"/>
        </w:rPr>
        <w:drawing>
          <wp:inline distT="0" distB="0" distL="114300" distR="114300">
            <wp:extent cx="8680450" cy="4880610"/>
            <wp:effectExtent l="0" t="0" r="6350" b="1524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93"/>
                    <a:stretch>
                      <a:fillRect/>
                    </a:stretch>
                  </pic:blipFill>
                  <pic:spPr>
                    <a:xfrm>
                      <a:off x="0" y="0"/>
                      <a:ext cx="8680450" cy="4880610"/>
                    </a:xfrm>
                    <a:prstGeom prst="rect">
                      <a:avLst/>
                    </a:prstGeom>
                    <a:noFill/>
                    <a:ln>
                      <a:noFill/>
                    </a:ln>
                  </pic:spPr>
                </pic:pic>
              </a:graphicData>
            </a:graphic>
          </wp:inline>
        </w:drawing>
      </w:r>
      <w:r>
        <w:rPr>
          <w:highlight w:val="none"/>
        </w:rPr>
        <w:drawing>
          <wp:inline distT="0" distB="0" distL="114300" distR="114300">
            <wp:extent cx="8656955" cy="5017770"/>
            <wp:effectExtent l="0" t="0" r="10795" b="1143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94"/>
                    <a:stretch>
                      <a:fillRect/>
                    </a:stretch>
                  </pic:blipFill>
                  <pic:spPr>
                    <a:xfrm>
                      <a:off x="0" y="0"/>
                      <a:ext cx="8656955" cy="5017770"/>
                    </a:xfrm>
                    <a:prstGeom prst="rect">
                      <a:avLst/>
                    </a:prstGeom>
                    <a:noFill/>
                    <a:ln>
                      <a:noFill/>
                    </a:ln>
                  </pic:spPr>
                </pic:pic>
              </a:graphicData>
            </a:graphic>
          </wp:inline>
        </w:drawing>
      </w:r>
      <w:r>
        <w:rPr>
          <w:highlight w:val="none"/>
        </w:rPr>
        <w:drawing>
          <wp:inline distT="0" distB="0" distL="114300" distR="114300">
            <wp:extent cx="8558530" cy="4778375"/>
            <wp:effectExtent l="0" t="0" r="13970" b="3175"/>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95"/>
                    <a:stretch>
                      <a:fillRect/>
                    </a:stretch>
                  </pic:blipFill>
                  <pic:spPr>
                    <a:xfrm>
                      <a:off x="0" y="0"/>
                      <a:ext cx="8558530" cy="4778375"/>
                    </a:xfrm>
                    <a:prstGeom prst="rect">
                      <a:avLst/>
                    </a:prstGeom>
                    <a:noFill/>
                    <a:ln>
                      <a:noFill/>
                    </a:ln>
                  </pic:spPr>
                </pic:pic>
              </a:graphicData>
            </a:graphic>
          </wp:inline>
        </w:drawing>
      </w:r>
      <w:r>
        <w:rPr>
          <w:highlight w:val="none"/>
        </w:rPr>
        <w:drawing>
          <wp:inline distT="0" distB="0" distL="114300" distR="114300">
            <wp:extent cx="8564880" cy="4730750"/>
            <wp:effectExtent l="0" t="0" r="7620" b="12700"/>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96"/>
                    <a:stretch>
                      <a:fillRect/>
                    </a:stretch>
                  </pic:blipFill>
                  <pic:spPr>
                    <a:xfrm>
                      <a:off x="0" y="0"/>
                      <a:ext cx="8564880" cy="4730750"/>
                    </a:xfrm>
                    <a:prstGeom prst="rect">
                      <a:avLst/>
                    </a:prstGeom>
                    <a:noFill/>
                    <a:ln>
                      <a:noFill/>
                    </a:ln>
                  </pic:spPr>
                </pic:pic>
              </a:graphicData>
            </a:graphic>
          </wp:inline>
        </w:drawing>
      </w:r>
      <w:r>
        <w:rPr>
          <w:highlight w:val="none"/>
        </w:rPr>
        <w:drawing>
          <wp:inline distT="0" distB="0" distL="114300" distR="114300">
            <wp:extent cx="8854440" cy="5131435"/>
            <wp:effectExtent l="0" t="0" r="3810" b="12065"/>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97"/>
                    <a:stretch>
                      <a:fillRect/>
                    </a:stretch>
                  </pic:blipFill>
                  <pic:spPr>
                    <a:xfrm>
                      <a:off x="0" y="0"/>
                      <a:ext cx="8854440" cy="5131435"/>
                    </a:xfrm>
                    <a:prstGeom prst="rect">
                      <a:avLst/>
                    </a:prstGeom>
                    <a:noFill/>
                    <a:ln>
                      <a:noFill/>
                    </a:ln>
                  </pic:spPr>
                </pic:pic>
              </a:graphicData>
            </a:graphic>
          </wp:inline>
        </w:drawing>
      </w:r>
      <w:r>
        <w:rPr>
          <w:highlight w:val="none"/>
        </w:rPr>
        <w:drawing>
          <wp:inline distT="0" distB="0" distL="114300" distR="114300">
            <wp:extent cx="8590280" cy="4722495"/>
            <wp:effectExtent l="0" t="0" r="1270" b="1905"/>
            <wp:docPr id="3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1"/>
                    </pic:cNvPicPr>
                  </pic:nvPicPr>
                  <pic:blipFill>
                    <a:blip r:embed="rId98"/>
                    <a:stretch>
                      <a:fillRect/>
                    </a:stretch>
                  </pic:blipFill>
                  <pic:spPr>
                    <a:xfrm>
                      <a:off x="0" y="0"/>
                      <a:ext cx="8590280" cy="4722495"/>
                    </a:xfrm>
                    <a:prstGeom prst="rect">
                      <a:avLst/>
                    </a:prstGeom>
                    <a:noFill/>
                    <a:ln>
                      <a:noFill/>
                    </a:ln>
                  </pic:spPr>
                </pic:pic>
              </a:graphicData>
            </a:graphic>
          </wp:inline>
        </w:drawing>
      </w:r>
      <w:r>
        <w:rPr>
          <w:highlight w:val="none"/>
        </w:rPr>
        <w:drawing>
          <wp:inline distT="0" distB="0" distL="114300" distR="114300">
            <wp:extent cx="8861425" cy="4910455"/>
            <wp:effectExtent l="0" t="0" r="15875" b="4445"/>
            <wp:docPr id="3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2"/>
                    <pic:cNvPicPr>
                      <a:picLocks noChangeAspect="1"/>
                    </pic:cNvPicPr>
                  </pic:nvPicPr>
                  <pic:blipFill>
                    <a:blip r:embed="rId99"/>
                    <a:stretch>
                      <a:fillRect/>
                    </a:stretch>
                  </pic:blipFill>
                  <pic:spPr>
                    <a:xfrm>
                      <a:off x="0" y="0"/>
                      <a:ext cx="8861425" cy="4910455"/>
                    </a:xfrm>
                    <a:prstGeom prst="rect">
                      <a:avLst/>
                    </a:prstGeom>
                    <a:noFill/>
                    <a:ln>
                      <a:noFill/>
                    </a:ln>
                  </pic:spPr>
                </pic:pic>
              </a:graphicData>
            </a:graphic>
          </wp:inline>
        </w:drawing>
      </w:r>
      <w:r>
        <w:rPr>
          <w:highlight w:val="none"/>
        </w:rPr>
        <w:drawing>
          <wp:inline distT="0" distB="0" distL="114300" distR="114300">
            <wp:extent cx="8860155" cy="4779645"/>
            <wp:effectExtent l="0" t="0" r="17145" b="1905"/>
            <wp:docPr id="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3"/>
                    <pic:cNvPicPr>
                      <a:picLocks noChangeAspect="1"/>
                    </pic:cNvPicPr>
                  </pic:nvPicPr>
                  <pic:blipFill>
                    <a:blip r:embed="rId100"/>
                    <a:stretch>
                      <a:fillRect/>
                    </a:stretch>
                  </pic:blipFill>
                  <pic:spPr>
                    <a:xfrm>
                      <a:off x="0" y="0"/>
                      <a:ext cx="8860155" cy="4779645"/>
                    </a:xfrm>
                    <a:prstGeom prst="rect">
                      <a:avLst/>
                    </a:prstGeom>
                    <a:noFill/>
                    <a:ln>
                      <a:noFill/>
                    </a:ln>
                  </pic:spPr>
                </pic:pic>
              </a:graphicData>
            </a:graphic>
          </wp:inline>
        </w:drawing>
      </w:r>
    </w:p>
    <w:p w14:paraId="0508FA2D">
      <w:pPr>
        <w:pStyle w:val="3"/>
        <w:bidi w:val="0"/>
        <w:rPr>
          <w:rFonts w:hint="eastAsia"/>
          <w:highlight w:val="none"/>
          <w:lang w:val="en-US" w:eastAsia="zh-CN"/>
        </w:rPr>
      </w:pPr>
      <w:bookmarkStart w:id="225" w:name="_Toc24640"/>
      <w:r>
        <w:rPr>
          <w:rFonts w:hint="eastAsia"/>
          <w:highlight w:val="none"/>
          <w:lang w:val="en-US" w:eastAsia="zh-CN"/>
        </w:rPr>
        <w:t>附件2营业执照</w:t>
      </w:r>
      <w:bookmarkEnd w:id="225"/>
    </w:p>
    <w:p w14:paraId="6E8757BE">
      <w:pPr>
        <w:rPr>
          <w:rFonts w:hint="default"/>
          <w:highlight w:val="none"/>
          <w:lang w:val="en-US" w:eastAsia="zh-CN"/>
        </w:rPr>
      </w:pPr>
      <w:r>
        <w:rPr>
          <w:rFonts w:hint="default"/>
          <w:highlight w:val="none"/>
          <w:lang w:val="en-US" w:eastAsia="zh-CN"/>
        </w:rPr>
        <w:drawing>
          <wp:inline distT="0" distB="0" distL="114300" distR="114300">
            <wp:extent cx="4979035" cy="6908800"/>
            <wp:effectExtent l="0" t="0" r="12065" b="6350"/>
            <wp:docPr id="51" name="图片 51" descr="c482953def38bf35436e22a6dfc36b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482953def38bf35436e22a6dfc36bbd"/>
                    <pic:cNvPicPr>
                      <a:picLocks noChangeAspect="1"/>
                    </pic:cNvPicPr>
                  </pic:nvPicPr>
                  <pic:blipFill>
                    <a:blip r:embed="rId101"/>
                    <a:stretch>
                      <a:fillRect/>
                    </a:stretch>
                  </pic:blipFill>
                  <pic:spPr>
                    <a:xfrm>
                      <a:off x="0" y="0"/>
                      <a:ext cx="4979035" cy="6908800"/>
                    </a:xfrm>
                    <a:prstGeom prst="rect">
                      <a:avLst/>
                    </a:prstGeom>
                  </pic:spPr>
                </pic:pic>
              </a:graphicData>
            </a:graphic>
          </wp:inline>
        </w:drawing>
      </w:r>
    </w:p>
    <w:p w14:paraId="1834DCD3">
      <w:pPr>
        <w:pStyle w:val="23"/>
        <w:rPr>
          <w:rFonts w:hint="default"/>
          <w:highlight w:val="none"/>
          <w:lang w:val="en-US" w:eastAsia="zh-CN"/>
        </w:rPr>
      </w:pPr>
    </w:p>
    <w:p w14:paraId="00FB6E90">
      <w:pPr>
        <w:rPr>
          <w:rFonts w:hint="default"/>
          <w:highlight w:val="none"/>
          <w:lang w:val="en-US" w:eastAsia="zh-CN"/>
        </w:rPr>
      </w:pPr>
    </w:p>
    <w:p w14:paraId="00DD947E">
      <w:pPr>
        <w:pStyle w:val="23"/>
        <w:rPr>
          <w:rFonts w:hint="default"/>
          <w:highlight w:val="none"/>
          <w:lang w:val="en-US" w:eastAsia="zh-CN"/>
        </w:rPr>
      </w:pPr>
    </w:p>
    <w:p w14:paraId="098068C6">
      <w:pPr>
        <w:pStyle w:val="3"/>
        <w:bidi w:val="0"/>
        <w:rPr>
          <w:rFonts w:hint="eastAsia"/>
          <w:highlight w:val="none"/>
          <w:lang w:val="en-US" w:eastAsia="zh-CN"/>
        </w:rPr>
      </w:pPr>
      <w:bookmarkStart w:id="226" w:name="_Toc17446"/>
      <w:r>
        <w:rPr>
          <w:rFonts w:hint="eastAsia"/>
          <w:highlight w:val="none"/>
          <w:lang w:val="en-US" w:eastAsia="zh-CN"/>
        </w:rPr>
        <w:t>附件3煤质分析报告</w:t>
      </w:r>
      <w:bookmarkEnd w:id="226"/>
    </w:p>
    <w:p w14:paraId="12129225">
      <w:pPr>
        <w:ind w:left="0" w:leftChars="0" w:firstLine="0" w:firstLineChars="0"/>
        <w:rPr>
          <w:highlight w:val="none"/>
        </w:rPr>
      </w:pPr>
      <w:r>
        <w:rPr>
          <w:highlight w:val="none"/>
        </w:rPr>
        <w:drawing>
          <wp:inline distT="0" distB="0" distL="114300" distR="114300">
            <wp:extent cx="5268595" cy="7427595"/>
            <wp:effectExtent l="0" t="0" r="8255" b="1905"/>
            <wp:docPr id="5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1"/>
                    <pic:cNvPicPr>
                      <a:picLocks noChangeAspect="1"/>
                    </pic:cNvPicPr>
                  </pic:nvPicPr>
                  <pic:blipFill>
                    <a:blip r:embed="rId102"/>
                    <a:stretch>
                      <a:fillRect/>
                    </a:stretch>
                  </pic:blipFill>
                  <pic:spPr>
                    <a:xfrm>
                      <a:off x="0" y="0"/>
                      <a:ext cx="5268595" cy="7427595"/>
                    </a:xfrm>
                    <a:prstGeom prst="rect">
                      <a:avLst/>
                    </a:prstGeom>
                    <a:noFill/>
                    <a:ln>
                      <a:noFill/>
                    </a:ln>
                  </pic:spPr>
                </pic:pic>
              </a:graphicData>
            </a:graphic>
          </wp:inline>
        </w:drawing>
      </w:r>
      <w:r>
        <w:rPr>
          <w:highlight w:val="none"/>
        </w:rPr>
        <w:drawing>
          <wp:inline distT="0" distB="0" distL="114300" distR="114300">
            <wp:extent cx="5269230" cy="7940675"/>
            <wp:effectExtent l="0" t="0" r="7620" b="3175"/>
            <wp:docPr id="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2"/>
                    <pic:cNvPicPr>
                      <a:picLocks noChangeAspect="1"/>
                    </pic:cNvPicPr>
                  </pic:nvPicPr>
                  <pic:blipFill>
                    <a:blip r:embed="rId103"/>
                    <a:stretch>
                      <a:fillRect/>
                    </a:stretch>
                  </pic:blipFill>
                  <pic:spPr>
                    <a:xfrm>
                      <a:off x="0" y="0"/>
                      <a:ext cx="5269230" cy="7940675"/>
                    </a:xfrm>
                    <a:prstGeom prst="rect">
                      <a:avLst/>
                    </a:prstGeom>
                    <a:noFill/>
                    <a:ln>
                      <a:noFill/>
                    </a:ln>
                  </pic:spPr>
                </pic:pic>
              </a:graphicData>
            </a:graphic>
          </wp:inline>
        </w:drawing>
      </w:r>
      <w:r>
        <w:rPr>
          <w:highlight w:val="none"/>
        </w:rPr>
        <w:drawing>
          <wp:inline distT="0" distB="0" distL="114300" distR="114300">
            <wp:extent cx="5269865" cy="6950075"/>
            <wp:effectExtent l="0" t="0" r="6985" b="3175"/>
            <wp:docPr id="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3"/>
                    <pic:cNvPicPr>
                      <a:picLocks noChangeAspect="1"/>
                    </pic:cNvPicPr>
                  </pic:nvPicPr>
                  <pic:blipFill>
                    <a:blip r:embed="rId104"/>
                    <a:stretch>
                      <a:fillRect/>
                    </a:stretch>
                  </pic:blipFill>
                  <pic:spPr>
                    <a:xfrm>
                      <a:off x="0" y="0"/>
                      <a:ext cx="5269865" cy="6950075"/>
                    </a:xfrm>
                    <a:prstGeom prst="rect">
                      <a:avLst/>
                    </a:prstGeom>
                    <a:noFill/>
                    <a:ln>
                      <a:noFill/>
                    </a:ln>
                  </pic:spPr>
                </pic:pic>
              </a:graphicData>
            </a:graphic>
          </wp:inline>
        </w:drawing>
      </w:r>
      <w:r>
        <w:rPr>
          <w:highlight w:val="none"/>
        </w:rPr>
        <w:drawing>
          <wp:inline distT="0" distB="0" distL="114300" distR="114300">
            <wp:extent cx="5269230" cy="3768090"/>
            <wp:effectExtent l="0" t="0" r="7620" b="3810"/>
            <wp:docPr id="5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4"/>
                    <pic:cNvPicPr>
                      <a:picLocks noChangeAspect="1"/>
                    </pic:cNvPicPr>
                  </pic:nvPicPr>
                  <pic:blipFill>
                    <a:blip r:embed="rId105"/>
                    <a:stretch>
                      <a:fillRect/>
                    </a:stretch>
                  </pic:blipFill>
                  <pic:spPr>
                    <a:xfrm>
                      <a:off x="0" y="0"/>
                      <a:ext cx="5269230" cy="3768090"/>
                    </a:xfrm>
                    <a:prstGeom prst="rect">
                      <a:avLst/>
                    </a:prstGeom>
                    <a:noFill/>
                    <a:ln>
                      <a:noFill/>
                    </a:ln>
                  </pic:spPr>
                </pic:pic>
              </a:graphicData>
            </a:graphic>
          </wp:inline>
        </w:drawing>
      </w:r>
      <w:r>
        <w:rPr>
          <w:highlight w:val="none"/>
        </w:rPr>
        <w:drawing>
          <wp:inline distT="0" distB="0" distL="114300" distR="114300">
            <wp:extent cx="5273040" cy="3808095"/>
            <wp:effectExtent l="0" t="0" r="3810" b="1905"/>
            <wp:docPr id="5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5"/>
                    <pic:cNvPicPr>
                      <a:picLocks noChangeAspect="1"/>
                    </pic:cNvPicPr>
                  </pic:nvPicPr>
                  <pic:blipFill>
                    <a:blip r:embed="rId106"/>
                    <a:stretch>
                      <a:fillRect/>
                    </a:stretch>
                  </pic:blipFill>
                  <pic:spPr>
                    <a:xfrm>
                      <a:off x="0" y="0"/>
                      <a:ext cx="5273040" cy="3808095"/>
                    </a:xfrm>
                    <a:prstGeom prst="rect">
                      <a:avLst/>
                    </a:prstGeom>
                    <a:noFill/>
                    <a:ln>
                      <a:noFill/>
                    </a:ln>
                  </pic:spPr>
                </pic:pic>
              </a:graphicData>
            </a:graphic>
          </wp:inline>
        </w:drawing>
      </w:r>
      <w:r>
        <w:rPr>
          <w:highlight w:val="none"/>
        </w:rPr>
        <w:drawing>
          <wp:inline distT="0" distB="0" distL="114300" distR="114300">
            <wp:extent cx="5269230" cy="3758565"/>
            <wp:effectExtent l="0" t="0" r="7620" b="13335"/>
            <wp:docPr id="5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6"/>
                    <pic:cNvPicPr>
                      <a:picLocks noChangeAspect="1"/>
                    </pic:cNvPicPr>
                  </pic:nvPicPr>
                  <pic:blipFill>
                    <a:blip r:embed="rId107"/>
                    <a:stretch>
                      <a:fillRect/>
                    </a:stretch>
                  </pic:blipFill>
                  <pic:spPr>
                    <a:xfrm>
                      <a:off x="0" y="0"/>
                      <a:ext cx="5269230" cy="3758565"/>
                    </a:xfrm>
                    <a:prstGeom prst="rect">
                      <a:avLst/>
                    </a:prstGeom>
                    <a:noFill/>
                    <a:ln>
                      <a:noFill/>
                    </a:ln>
                  </pic:spPr>
                </pic:pic>
              </a:graphicData>
            </a:graphic>
          </wp:inline>
        </w:drawing>
      </w:r>
      <w:r>
        <w:rPr>
          <w:highlight w:val="none"/>
        </w:rPr>
        <w:drawing>
          <wp:inline distT="0" distB="0" distL="114300" distR="114300">
            <wp:extent cx="5266055" cy="3759835"/>
            <wp:effectExtent l="0" t="0" r="10795" b="12065"/>
            <wp:docPr id="5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7"/>
                    <pic:cNvPicPr>
                      <a:picLocks noChangeAspect="1"/>
                    </pic:cNvPicPr>
                  </pic:nvPicPr>
                  <pic:blipFill>
                    <a:blip r:embed="rId108"/>
                    <a:stretch>
                      <a:fillRect/>
                    </a:stretch>
                  </pic:blipFill>
                  <pic:spPr>
                    <a:xfrm>
                      <a:off x="0" y="0"/>
                      <a:ext cx="5266055" cy="3759835"/>
                    </a:xfrm>
                    <a:prstGeom prst="rect">
                      <a:avLst/>
                    </a:prstGeom>
                    <a:noFill/>
                    <a:ln>
                      <a:noFill/>
                    </a:ln>
                  </pic:spPr>
                </pic:pic>
              </a:graphicData>
            </a:graphic>
          </wp:inline>
        </w:drawing>
      </w:r>
    </w:p>
    <w:p w14:paraId="7C430047">
      <w:pPr>
        <w:pStyle w:val="23"/>
        <w:rPr>
          <w:highlight w:val="none"/>
        </w:rPr>
      </w:pPr>
    </w:p>
    <w:p w14:paraId="54A6BDA5">
      <w:pPr>
        <w:rPr>
          <w:highlight w:val="none"/>
        </w:rPr>
      </w:pPr>
    </w:p>
    <w:p w14:paraId="077DE8DA">
      <w:pPr>
        <w:pStyle w:val="23"/>
        <w:rPr>
          <w:highlight w:val="none"/>
        </w:rPr>
      </w:pPr>
    </w:p>
    <w:p w14:paraId="042B68A2">
      <w:pPr>
        <w:pStyle w:val="3"/>
        <w:bidi w:val="0"/>
        <w:rPr>
          <w:rFonts w:hint="eastAsia"/>
          <w:highlight w:val="none"/>
          <w:lang w:val="en-US" w:eastAsia="zh-CN"/>
        </w:rPr>
      </w:pPr>
      <w:bookmarkStart w:id="227" w:name="_Toc21897"/>
      <w:r>
        <w:rPr>
          <w:rFonts w:hint="eastAsia"/>
          <w:highlight w:val="none"/>
          <w:lang w:val="en-US" w:eastAsia="zh-CN"/>
        </w:rPr>
        <w:t>附件4土地证</w:t>
      </w:r>
      <w:bookmarkEnd w:id="227"/>
    </w:p>
    <w:p w14:paraId="243863F3">
      <w:pPr>
        <w:jc w:val="center"/>
        <w:rPr>
          <w:rFonts w:hint="default"/>
          <w:highlight w:val="none"/>
          <w:lang w:val="en-US" w:eastAsia="zh-CN"/>
        </w:rPr>
      </w:pPr>
      <w:r>
        <w:rPr>
          <w:rFonts w:hint="default"/>
          <w:highlight w:val="none"/>
          <w:lang w:val="en-US" w:eastAsia="zh-CN"/>
        </w:rPr>
        <w:drawing>
          <wp:inline distT="0" distB="0" distL="114300" distR="114300">
            <wp:extent cx="4979035" cy="7670165"/>
            <wp:effectExtent l="0" t="0" r="12065" b="6985"/>
            <wp:docPr id="60" name="图片 60" descr="418c7bb5284a3ddd7a16a22c2d2d23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418c7bb5284a3ddd7a16a22c2d2d23d0"/>
                    <pic:cNvPicPr>
                      <a:picLocks noChangeAspect="1"/>
                    </pic:cNvPicPr>
                  </pic:nvPicPr>
                  <pic:blipFill>
                    <a:blip r:embed="rId109"/>
                    <a:stretch>
                      <a:fillRect/>
                    </a:stretch>
                  </pic:blipFill>
                  <pic:spPr>
                    <a:xfrm>
                      <a:off x="0" y="0"/>
                      <a:ext cx="4979035" cy="7670165"/>
                    </a:xfrm>
                    <a:prstGeom prst="rect">
                      <a:avLst/>
                    </a:prstGeom>
                  </pic:spPr>
                </pic:pic>
              </a:graphicData>
            </a:graphic>
          </wp:inline>
        </w:drawing>
      </w:r>
      <w:r>
        <w:rPr>
          <w:rFonts w:hint="default"/>
          <w:highlight w:val="none"/>
          <w:lang w:val="en-US" w:eastAsia="zh-CN"/>
        </w:rPr>
        <w:drawing>
          <wp:inline distT="0" distB="0" distL="114300" distR="114300">
            <wp:extent cx="4937125" cy="7440930"/>
            <wp:effectExtent l="0" t="0" r="0" b="0"/>
            <wp:docPr id="63" name="图片 63" descr="f08027aae46846fd68855be6965292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f08027aae46846fd68855be69652924e"/>
                    <pic:cNvPicPr>
                      <a:picLocks noChangeAspect="1"/>
                    </pic:cNvPicPr>
                  </pic:nvPicPr>
                  <pic:blipFill>
                    <a:blip r:embed="rId110"/>
                    <a:srcRect t="15891" r="842"/>
                    <a:stretch>
                      <a:fillRect/>
                    </a:stretch>
                  </pic:blipFill>
                  <pic:spPr>
                    <a:xfrm>
                      <a:off x="0" y="0"/>
                      <a:ext cx="4937125" cy="7440930"/>
                    </a:xfrm>
                    <a:prstGeom prst="rect">
                      <a:avLst/>
                    </a:prstGeom>
                  </pic:spPr>
                </pic:pic>
              </a:graphicData>
            </a:graphic>
          </wp:inline>
        </w:drawing>
      </w:r>
      <w:r>
        <w:rPr>
          <w:rFonts w:hint="default"/>
          <w:highlight w:val="none"/>
          <w:lang w:val="en-US" w:eastAsia="zh-CN"/>
        </w:rPr>
        <w:drawing>
          <wp:inline distT="0" distB="0" distL="114300" distR="114300">
            <wp:extent cx="4868545" cy="7297420"/>
            <wp:effectExtent l="0" t="0" r="0" b="0"/>
            <wp:docPr id="64" name="图片 64" descr="9d1df545d7dd56ac44d3c65d7122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9d1df545d7dd56ac44d3c65d71221176"/>
                    <pic:cNvPicPr>
                      <a:picLocks noChangeAspect="1"/>
                    </pic:cNvPicPr>
                  </pic:nvPicPr>
                  <pic:blipFill>
                    <a:blip r:embed="rId111"/>
                    <a:srcRect t="17514" r="2219"/>
                    <a:stretch>
                      <a:fillRect/>
                    </a:stretch>
                  </pic:blipFill>
                  <pic:spPr>
                    <a:xfrm>
                      <a:off x="0" y="0"/>
                      <a:ext cx="4868545" cy="7297420"/>
                    </a:xfrm>
                    <a:prstGeom prst="rect">
                      <a:avLst/>
                    </a:prstGeom>
                  </pic:spPr>
                </pic:pic>
              </a:graphicData>
            </a:graphic>
          </wp:inline>
        </w:drawing>
      </w:r>
    </w:p>
    <w:p w14:paraId="50D7D0DA">
      <w:pPr>
        <w:bidi w:val="0"/>
        <w:ind w:left="0" w:leftChars="0" w:firstLine="0" w:firstLineChars="0"/>
        <w:rPr>
          <w:rFonts w:hint="default"/>
          <w:highlight w:val="none"/>
          <w:lang w:val="en-US" w:eastAsia="zh-CN"/>
        </w:rPr>
      </w:pPr>
      <w:r>
        <w:rPr>
          <w:highlight w:val="none"/>
        </w:rPr>
        <w:drawing>
          <wp:inline distT="0" distB="0" distL="114300" distR="114300">
            <wp:extent cx="5273040" cy="7421245"/>
            <wp:effectExtent l="0" t="0" r="3810" b="8255"/>
            <wp:docPr id="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5"/>
                    <pic:cNvPicPr>
                      <a:picLocks noChangeAspect="1"/>
                    </pic:cNvPicPr>
                  </pic:nvPicPr>
                  <pic:blipFill>
                    <a:blip r:embed="rId112"/>
                    <a:stretch>
                      <a:fillRect/>
                    </a:stretch>
                  </pic:blipFill>
                  <pic:spPr>
                    <a:xfrm>
                      <a:off x="0" y="0"/>
                      <a:ext cx="5273040" cy="7421245"/>
                    </a:xfrm>
                    <a:prstGeom prst="rect">
                      <a:avLst/>
                    </a:prstGeom>
                    <a:noFill/>
                    <a:ln>
                      <a:noFill/>
                    </a:ln>
                  </pic:spPr>
                </pic:pic>
              </a:graphicData>
            </a:graphic>
          </wp:inline>
        </w:drawing>
      </w:r>
      <w:r>
        <w:rPr>
          <w:highlight w:val="none"/>
        </w:rPr>
        <w:drawing>
          <wp:inline distT="0" distB="0" distL="114300" distR="114300">
            <wp:extent cx="5272405" cy="7489825"/>
            <wp:effectExtent l="0" t="0" r="4445" b="15875"/>
            <wp:docPr id="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6"/>
                    <pic:cNvPicPr>
                      <a:picLocks noChangeAspect="1"/>
                    </pic:cNvPicPr>
                  </pic:nvPicPr>
                  <pic:blipFill>
                    <a:blip r:embed="rId113"/>
                    <a:stretch>
                      <a:fillRect/>
                    </a:stretch>
                  </pic:blipFill>
                  <pic:spPr>
                    <a:xfrm>
                      <a:off x="0" y="0"/>
                      <a:ext cx="5272405" cy="7489825"/>
                    </a:xfrm>
                    <a:prstGeom prst="rect">
                      <a:avLst/>
                    </a:prstGeom>
                    <a:noFill/>
                    <a:ln>
                      <a:noFill/>
                    </a:ln>
                  </pic:spPr>
                </pic:pic>
              </a:graphicData>
            </a:graphic>
          </wp:inline>
        </w:drawing>
      </w:r>
      <w:r>
        <w:rPr>
          <w:highlight w:val="none"/>
        </w:rPr>
        <w:drawing>
          <wp:inline distT="0" distB="0" distL="114300" distR="114300">
            <wp:extent cx="5269865" cy="7376160"/>
            <wp:effectExtent l="0" t="0" r="6985" b="15240"/>
            <wp:docPr id="1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7"/>
                    <pic:cNvPicPr>
                      <a:picLocks noChangeAspect="1"/>
                    </pic:cNvPicPr>
                  </pic:nvPicPr>
                  <pic:blipFill>
                    <a:blip r:embed="rId114"/>
                    <a:stretch>
                      <a:fillRect/>
                    </a:stretch>
                  </pic:blipFill>
                  <pic:spPr>
                    <a:xfrm>
                      <a:off x="0" y="0"/>
                      <a:ext cx="5269865" cy="7376160"/>
                    </a:xfrm>
                    <a:prstGeom prst="rect">
                      <a:avLst/>
                    </a:prstGeom>
                    <a:noFill/>
                    <a:ln>
                      <a:noFill/>
                    </a:ln>
                  </pic:spPr>
                </pic:pic>
              </a:graphicData>
            </a:graphic>
          </wp:inline>
        </w:drawing>
      </w:r>
      <w:r>
        <w:rPr>
          <w:highlight w:val="none"/>
        </w:rPr>
        <w:drawing>
          <wp:inline distT="0" distB="0" distL="114300" distR="114300">
            <wp:extent cx="5271135" cy="7434580"/>
            <wp:effectExtent l="0" t="0" r="5715" b="13970"/>
            <wp:docPr id="1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8"/>
                    <pic:cNvPicPr>
                      <a:picLocks noChangeAspect="1"/>
                    </pic:cNvPicPr>
                  </pic:nvPicPr>
                  <pic:blipFill>
                    <a:blip r:embed="rId115"/>
                    <a:stretch>
                      <a:fillRect/>
                    </a:stretch>
                  </pic:blipFill>
                  <pic:spPr>
                    <a:xfrm>
                      <a:off x="0" y="0"/>
                      <a:ext cx="5271135" cy="7434580"/>
                    </a:xfrm>
                    <a:prstGeom prst="rect">
                      <a:avLst/>
                    </a:prstGeom>
                    <a:noFill/>
                    <a:ln>
                      <a:noFill/>
                    </a:ln>
                  </pic:spPr>
                </pic:pic>
              </a:graphicData>
            </a:graphic>
          </wp:inline>
        </w:drawing>
      </w:r>
    </w:p>
    <w:p w14:paraId="63786D8F">
      <w:pPr>
        <w:rPr>
          <w:rFonts w:hint="default"/>
          <w:highlight w:val="none"/>
          <w:lang w:val="en-US" w:eastAsia="zh-CN"/>
        </w:rPr>
      </w:pPr>
    </w:p>
    <w:p w14:paraId="3EAEC3AB">
      <w:pPr>
        <w:pStyle w:val="23"/>
        <w:rPr>
          <w:rFonts w:hint="default"/>
          <w:highlight w:val="none"/>
          <w:lang w:val="en-US" w:eastAsia="zh-CN"/>
        </w:rPr>
      </w:pPr>
    </w:p>
    <w:p w14:paraId="487FF939">
      <w:pPr>
        <w:rPr>
          <w:rFonts w:hint="default"/>
          <w:highlight w:val="none"/>
          <w:lang w:val="en-US" w:eastAsia="zh-CN"/>
        </w:rPr>
      </w:pPr>
    </w:p>
    <w:p w14:paraId="7DB76A95">
      <w:pPr>
        <w:pStyle w:val="23"/>
        <w:rPr>
          <w:rFonts w:hint="default"/>
          <w:highlight w:val="none"/>
          <w:lang w:val="en-US" w:eastAsia="zh-CN"/>
        </w:rPr>
      </w:pPr>
    </w:p>
    <w:p w14:paraId="750BD933">
      <w:pPr>
        <w:pStyle w:val="3"/>
        <w:bidi w:val="0"/>
        <w:rPr>
          <w:rFonts w:hint="eastAsia"/>
          <w:highlight w:val="none"/>
          <w:lang w:val="en-US" w:eastAsia="zh-CN"/>
        </w:rPr>
      </w:pPr>
      <w:bookmarkStart w:id="228" w:name="_Toc3536"/>
      <w:r>
        <w:rPr>
          <w:rFonts w:hint="eastAsia"/>
          <w:highlight w:val="none"/>
          <w:lang w:val="en-US" w:eastAsia="zh-CN"/>
        </w:rPr>
        <w:t>附件5核定总量计算说明</w:t>
      </w:r>
      <w:bookmarkEnd w:id="228"/>
    </w:p>
    <w:p w14:paraId="0126DF5F">
      <w:pPr>
        <w:ind w:firstLine="482"/>
        <w:rPr>
          <w:rFonts w:hint="eastAsia" w:ascii="Times New Roman" w:hAnsi="Times New Roman"/>
          <w:b/>
          <w:highlight w:val="none"/>
        </w:rPr>
      </w:pPr>
      <w:r>
        <w:rPr>
          <w:rFonts w:hint="eastAsia" w:ascii="Times New Roman" w:hAnsi="Times New Roman"/>
          <w:b/>
          <w:highlight w:val="none"/>
        </w:rPr>
        <w:t>大气污染物总量计算</w:t>
      </w:r>
    </w:p>
    <w:p w14:paraId="656EB849">
      <w:pPr>
        <w:ind w:firstLine="480"/>
        <w:rPr>
          <w:rFonts w:ascii="Times New Roman" w:hAnsi="Times New Roman"/>
          <w:highlight w:val="none"/>
        </w:rPr>
      </w:pPr>
      <w:r>
        <w:rPr>
          <w:rFonts w:ascii="Times New Roman" w:hAnsi="Times New Roman"/>
          <w:highlight w:val="none"/>
        </w:rPr>
        <w:t>本工程</w:t>
      </w:r>
      <w:r>
        <w:rPr>
          <w:rFonts w:hint="eastAsia" w:ascii="Times New Roman" w:hAnsi="Times New Roman"/>
          <w:highlight w:val="none"/>
          <w:lang w:val="en-US" w:eastAsia="zh-CN"/>
        </w:rPr>
        <w:t>建设116MW+</w:t>
      </w:r>
      <w:r>
        <w:rPr>
          <w:rFonts w:hint="default" w:ascii="Times New Roman" w:hAnsi="Times New Roman"/>
          <w:highlight w:val="none"/>
          <w:lang w:val="en-US" w:eastAsia="zh-CN"/>
        </w:rPr>
        <w:t>58</w:t>
      </w:r>
      <w:r>
        <w:rPr>
          <w:rFonts w:hint="eastAsia" w:ascii="Times New Roman" w:hAnsi="Times New Roman"/>
          <w:highlight w:val="none"/>
          <w:lang w:val="en-US" w:eastAsia="zh-CN"/>
        </w:rPr>
        <w:t>MW</w:t>
      </w:r>
      <w:r>
        <w:rPr>
          <w:rFonts w:hint="eastAsia"/>
          <w:highlight w:val="none"/>
          <w:lang w:val="en-US" w:eastAsia="zh-CN"/>
        </w:rPr>
        <w:t>热水锅炉和</w:t>
      </w:r>
      <w:r>
        <w:rPr>
          <w:rFonts w:hint="eastAsia" w:ascii="Times New Roman" w:hAnsi="Times New Roman"/>
          <w:highlight w:val="none"/>
          <w:lang w:val="en-US" w:eastAsia="zh-CN"/>
        </w:rPr>
        <w:t>1</w:t>
      </w:r>
      <w:r>
        <w:rPr>
          <w:rFonts w:hint="eastAsia"/>
          <w:highlight w:val="none"/>
          <w:lang w:val="en-US" w:eastAsia="zh-CN"/>
        </w:rPr>
        <w:t>台</w:t>
      </w:r>
      <w:r>
        <w:rPr>
          <w:rFonts w:hint="eastAsia" w:ascii="Times New Roman" w:hAnsi="Times New Roman"/>
          <w:highlight w:val="none"/>
          <w:lang w:val="en-US" w:eastAsia="zh-CN"/>
        </w:rPr>
        <w:t>35t/h</w:t>
      </w:r>
      <w:r>
        <w:rPr>
          <w:rFonts w:hint="eastAsia"/>
          <w:highlight w:val="none"/>
          <w:lang w:val="en-US" w:eastAsia="zh-CN"/>
        </w:rPr>
        <w:t>蒸汽锅炉共三台</w:t>
      </w:r>
      <w:r>
        <w:rPr>
          <w:rFonts w:hint="eastAsia"/>
          <w:highlight w:val="none"/>
          <w:lang w:val="en-US" w:eastAsia="zh-CN"/>
        </w:rPr>
        <w:t>，</w:t>
      </w:r>
      <w:r>
        <w:rPr>
          <w:rFonts w:ascii="Times New Roman" w:hAnsi="Times New Roman"/>
          <w:highlight w:val="none"/>
        </w:rPr>
        <w:t>通过一座高</w:t>
      </w:r>
      <w:r>
        <w:rPr>
          <w:rFonts w:hint="eastAsia" w:ascii="Times New Roman" w:hAnsi="Times New Roman"/>
          <w:highlight w:val="none"/>
          <w:lang w:val="en-US" w:eastAsia="zh-CN"/>
        </w:rPr>
        <w:t>60</w:t>
      </w:r>
      <w:r>
        <w:rPr>
          <w:rFonts w:ascii="Times New Roman" w:hAnsi="Times New Roman"/>
          <w:highlight w:val="none"/>
        </w:rPr>
        <w:t>m，内径4m的烟囱排放至大气中。脱硫方式采用石灰石/石膏脱硫工艺，脱硫效率97%以上；除尘采用布袋除尘系统，除尘效率99.96%以上；脱硝措施采用低氮燃烧+SNCR-SCR脱硝装置（尿素），SNCR-SCR脱硝效率为</w:t>
      </w:r>
      <w:r>
        <w:rPr>
          <w:rFonts w:hint="eastAsia" w:ascii="Times New Roman" w:hAnsi="Times New Roman"/>
          <w:highlight w:val="none"/>
        </w:rPr>
        <w:t>75</w:t>
      </w:r>
      <w:r>
        <w:rPr>
          <w:rFonts w:ascii="Times New Roman" w:hAnsi="Times New Roman"/>
          <w:highlight w:val="none"/>
        </w:rPr>
        <w:t>%以上。</w:t>
      </w:r>
    </w:p>
    <w:p w14:paraId="104ADAB2">
      <w:pPr>
        <w:ind w:firstLine="480"/>
        <w:rPr>
          <w:rFonts w:ascii="Times New Roman" w:hAnsi="Times New Roman"/>
          <w:highlight w:val="none"/>
        </w:rPr>
      </w:pPr>
      <w:r>
        <w:rPr>
          <w:rFonts w:hint="eastAsia" w:ascii="Times New Roman" w:hAnsi="Times New Roman"/>
          <w:highlight w:val="none"/>
          <w:lang w:val="en-US" w:eastAsia="zh-CN"/>
        </w:rPr>
        <w:t>年</w:t>
      </w:r>
      <w:r>
        <w:rPr>
          <w:rFonts w:ascii="Times New Roman" w:hAnsi="Times New Roman"/>
          <w:highlight w:val="none"/>
        </w:rPr>
        <w:t>耗煤量合计为年耗量为</w:t>
      </w:r>
      <w:r>
        <w:rPr>
          <w:rFonts w:hint="eastAsia" w:ascii="Times New Roman" w:hAnsi="Times New Roman"/>
          <w:highlight w:val="none"/>
          <w:lang w:val="en-US" w:eastAsia="zh-CN"/>
        </w:rPr>
        <w:t>81047.7024</w:t>
      </w:r>
      <w:r>
        <w:rPr>
          <w:rFonts w:ascii="Times New Roman" w:hAnsi="Times New Roman"/>
          <w:highlight w:val="none"/>
        </w:rPr>
        <w:t>t/a。</w:t>
      </w:r>
    </w:p>
    <w:p w14:paraId="43914373">
      <w:pPr>
        <w:ind w:firstLine="480"/>
        <w:rPr>
          <w:rFonts w:ascii="Times New Roman" w:hAnsi="Times New Roman"/>
          <w:highlight w:val="none"/>
        </w:rPr>
      </w:pPr>
      <w:r>
        <w:rPr>
          <w:rFonts w:ascii="Times New Roman" w:hAnsi="Times New Roman"/>
          <w:highlight w:val="none"/>
        </w:rPr>
        <w:t>1、有组织废气</w:t>
      </w:r>
    </w:p>
    <w:p w14:paraId="7384EDF5">
      <w:pPr>
        <w:ind w:firstLine="480"/>
        <w:rPr>
          <w:rFonts w:ascii="Times New Roman" w:hAnsi="Times New Roman"/>
          <w:highlight w:val="none"/>
        </w:rPr>
      </w:pPr>
      <w:r>
        <w:rPr>
          <w:rFonts w:ascii="Times New Roman" w:hAnsi="Times New Roman"/>
          <w:highlight w:val="none"/>
        </w:rPr>
        <w:t>（1）基准烟气量核算</w:t>
      </w:r>
    </w:p>
    <w:p w14:paraId="43A9D449">
      <w:pPr>
        <w:ind w:firstLine="480"/>
        <w:rPr>
          <w:rFonts w:ascii="Times New Roman" w:hAnsi="Times New Roman"/>
          <w:highlight w:val="none"/>
        </w:rPr>
      </w:pPr>
      <w:r>
        <w:rPr>
          <w:rFonts w:ascii="Times New Roman" w:hAnsi="Times New Roman"/>
          <w:highlight w:val="none"/>
        </w:rPr>
        <w:t>理论公示计算法：单位固体/液体燃料燃烧所需的理论空气量按式（1）计算，基准烟气量按式（2）计算。</w:t>
      </w:r>
    </w:p>
    <w:p w14:paraId="62962AB4">
      <w:pPr>
        <w:spacing w:line="240" w:lineRule="auto"/>
        <w:ind w:firstLine="0" w:firstLineChars="0"/>
        <w:jc w:val="center"/>
        <w:rPr>
          <w:rFonts w:ascii="Times New Roman" w:hAnsi="Times New Roman"/>
          <w:b/>
          <w:szCs w:val="24"/>
          <w:highlight w:val="none"/>
        </w:rPr>
      </w:pPr>
      <w:r>
        <w:rPr>
          <w:rFonts w:ascii="Times New Roman" w:hAnsi="Times New Roman"/>
          <w:b/>
          <w:szCs w:val="24"/>
          <w:highlight w:val="none"/>
        </w:rPr>
        <w:drawing>
          <wp:inline distT="0" distB="0" distL="114300" distR="114300">
            <wp:extent cx="5754370" cy="927735"/>
            <wp:effectExtent l="0" t="0" r="17780" b="5715"/>
            <wp:docPr id="1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
                    <pic:cNvPicPr>
                      <a:picLocks noChangeAspect="1"/>
                    </pic:cNvPicPr>
                  </pic:nvPicPr>
                  <pic:blipFill>
                    <a:blip r:embed="rId116"/>
                    <a:stretch>
                      <a:fillRect/>
                    </a:stretch>
                  </pic:blipFill>
                  <pic:spPr>
                    <a:xfrm>
                      <a:off x="0" y="0"/>
                      <a:ext cx="5754370" cy="927735"/>
                    </a:xfrm>
                    <a:prstGeom prst="rect">
                      <a:avLst/>
                    </a:prstGeom>
                    <a:noFill/>
                    <a:ln>
                      <a:noFill/>
                    </a:ln>
                  </pic:spPr>
                </pic:pic>
              </a:graphicData>
            </a:graphic>
          </wp:inline>
        </w:drawing>
      </w:r>
    </w:p>
    <w:p w14:paraId="58F73F30">
      <w:pPr>
        <w:ind w:firstLine="480"/>
        <w:rPr>
          <w:rFonts w:ascii="Times New Roman" w:hAnsi="Times New Roman"/>
          <w:szCs w:val="24"/>
          <w:highlight w:val="none"/>
        </w:rPr>
      </w:pPr>
      <w:r>
        <w:rPr>
          <w:rFonts w:ascii="Times New Roman" w:hAnsi="Times New Roman"/>
          <w:szCs w:val="24"/>
          <w:highlight w:val="none"/>
        </w:rPr>
        <w:t>式中：</w:t>
      </w:r>
    </w:p>
    <w:p w14:paraId="34136DCE">
      <w:pPr>
        <w:ind w:firstLine="480"/>
        <w:rPr>
          <w:rFonts w:ascii="Times New Roman" w:hAnsi="Times New Roman"/>
          <w:szCs w:val="24"/>
          <w:highlight w:val="none"/>
        </w:rPr>
      </w:pPr>
      <w:r>
        <w:rPr>
          <w:rFonts w:ascii="Times New Roman" w:hAnsi="Times New Roman"/>
          <w:szCs w:val="24"/>
          <w:highlight w:val="none"/>
        </w:rPr>
        <w:t>V</w:t>
      </w:r>
      <w:r>
        <w:rPr>
          <w:rFonts w:ascii="Times New Roman" w:hAnsi="Times New Roman"/>
          <w:szCs w:val="24"/>
          <w:highlight w:val="none"/>
          <w:vertAlign w:val="subscript"/>
        </w:rPr>
        <w:t>0</w:t>
      </w:r>
      <w:r>
        <w:rPr>
          <w:rFonts w:ascii="Times New Roman" w:hAnsi="Times New Roman"/>
          <w:szCs w:val="24"/>
          <w:highlight w:val="none"/>
        </w:rPr>
        <w:t>—理论空气量，标立方米/千克；</w:t>
      </w:r>
    </w:p>
    <w:p w14:paraId="54D4E1D1">
      <w:pPr>
        <w:spacing w:before="78" w:beforeLines="25" w:after="78" w:afterLines="25"/>
        <w:ind w:firstLine="480"/>
        <w:rPr>
          <w:rFonts w:ascii="Times New Roman" w:hAnsi="Times New Roman"/>
          <w:szCs w:val="24"/>
          <w:highlight w:val="none"/>
        </w:rPr>
      </w:pPr>
      <w:r>
        <w:rPr>
          <w:rFonts w:ascii="Times New Roman" w:hAnsi="Times New Roman"/>
          <w:szCs w:val="24"/>
          <w:highlight w:val="none"/>
        </w:rPr>
        <w:t>C</w:t>
      </w:r>
      <w:r>
        <w:rPr>
          <w:rFonts w:ascii="Times New Roman" w:hAnsi="Times New Roman"/>
          <w:szCs w:val="24"/>
          <w:highlight w:val="none"/>
          <w:vertAlign w:val="subscript"/>
        </w:rPr>
        <w:t>ar</w:t>
      </w:r>
      <w:r>
        <w:rPr>
          <w:rFonts w:ascii="Times New Roman" w:hAnsi="Times New Roman"/>
          <w:szCs w:val="24"/>
          <w:highlight w:val="none"/>
        </w:rPr>
        <w:t>—燃煤收到基碳含量，%，取值</w:t>
      </w:r>
      <w:r>
        <w:rPr>
          <w:rFonts w:hint="eastAsia" w:ascii="Times New Roman" w:hAnsi="Times New Roman"/>
          <w:szCs w:val="24"/>
          <w:highlight w:val="none"/>
          <w:lang w:val="en-US" w:eastAsia="zh-CN"/>
        </w:rPr>
        <w:t>49.21</w:t>
      </w:r>
      <w:r>
        <w:rPr>
          <w:rFonts w:ascii="Times New Roman" w:hAnsi="Times New Roman"/>
          <w:szCs w:val="24"/>
          <w:highlight w:val="none"/>
        </w:rPr>
        <w:t>；</w:t>
      </w:r>
    </w:p>
    <w:p w14:paraId="4D268D9F">
      <w:pPr>
        <w:spacing w:before="78" w:beforeLines="25" w:after="78" w:afterLines="25"/>
        <w:ind w:firstLine="480"/>
        <w:rPr>
          <w:rFonts w:ascii="Times New Roman" w:hAnsi="Times New Roman"/>
          <w:szCs w:val="24"/>
          <w:highlight w:val="none"/>
        </w:rPr>
      </w:pPr>
      <w:r>
        <w:rPr>
          <w:rFonts w:ascii="Times New Roman" w:hAnsi="Times New Roman"/>
          <w:szCs w:val="24"/>
          <w:highlight w:val="none"/>
        </w:rPr>
        <w:t>H</w:t>
      </w:r>
      <w:r>
        <w:rPr>
          <w:rFonts w:ascii="Times New Roman" w:hAnsi="Times New Roman"/>
          <w:szCs w:val="24"/>
          <w:highlight w:val="none"/>
          <w:vertAlign w:val="subscript"/>
        </w:rPr>
        <w:t>ar</w:t>
      </w:r>
      <w:r>
        <w:rPr>
          <w:rFonts w:ascii="Times New Roman" w:hAnsi="Times New Roman"/>
          <w:szCs w:val="24"/>
          <w:highlight w:val="none"/>
        </w:rPr>
        <w:t>—燃煤收到基氢含量，%，取值</w:t>
      </w:r>
      <w:r>
        <w:rPr>
          <w:rFonts w:hint="eastAsia" w:ascii="Times New Roman" w:hAnsi="Times New Roman"/>
          <w:szCs w:val="24"/>
          <w:highlight w:val="none"/>
        </w:rPr>
        <w:t>3.16</w:t>
      </w:r>
      <w:r>
        <w:rPr>
          <w:rFonts w:ascii="Times New Roman" w:hAnsi="Times New Roman"/>
          <w:szCs w:val="24"/>
          <w:highlight w:val="none"/>
        </w:rPr>
        <w:t>；</w:t>
      </w:r>
    </w:p>
    <w:p w14:paraId="6018FB2E">
      <w:pPr>
        <w:spacing w:before="78" w:beforeLines="25" w:after="78" w:afterLines="25"/>
        <w:ind w:firstLine="480"/>
        <w:rPr>
          <w:rFonts w:ascii="Times New Roman" w:hAnsi="Times New Roman"/>
          <w:szCs w:val="24"/>
          <w:highlight w:val="none"/>
        </w:rPr>
      </w:pPr>
      <w:r>
        <w:rPr>
          <w:rFonts w:ascii="Times New Roman" w:hAnsi="Times New Roman"/>
          <w:szCs w:val="24"/>
          <w:highlight w:val="none"/>
        </w:rPr>
        <w:t>O</w:t>
      </w:r>
      <w:r>
        <w:rPr>
          <w:rFonts w:ascii="Times New Roman" w:hAnsi="Times New Roman"/>
          <w:szCs w:val="24"/>
          <w:highlight w:val="none"/>
          <w:vertAlign w:val="subscript"/>
        </w:rPr>
        <w:t>ar</w:t>
      </w:r>
      <w:r>
        <w:rPr>
          <w:rFonts w:ascii="Times New Roman" w:hAnsi="Times New Roman"/>
          <w:szCs w:val="24"/>
          <w:highlight w:val="none"/>
        </w:rPr>
        <w:t>—燃煤收到基氧含量，%，取值</w:t>
      </w:r>
      <w:r>
        <w:rPr>
          <w:rFonts w:hint="eastAsia" w:ascii="Times New Roman" w:hAnsi="Times New Roman"/>
          <w:szCs w:val="24"/>
          <w:highlight w:val="none"/>
          <w:lang w:val="en-US" w:eastAsia="zh-CN"/>
        </w:rPr>
        <w:t>6.93</w:t>
      </w:r>
      <w:r>
        <w:rPr>
          <w:rFonts w:ascii="Times New Roman" w:hAnsi="Times New Roman"/>
          <w:szCs w:val="24"/>
          <w:highlight w:val="none"/>
        </w:rPr>
        <w:t>；</w:t>
      </w:r>
    </w:p>
    <w:p w14:paraId="133EE06B">
      <w:pPr>
        <w:ind w:firstLine="480"/>
        <w:rPr>
          <w:rFonts w:ascii="Times New Roman" w:hAnsi="Times New Roman"/>
          <w:szCs w:val="24"/>
          <w:highlight w:val="none"/>
        </w:rPr>
      </w:pPr>
      <w:r>
        <w:rPr>
          <w:rFonts w:ascii="Times New Roman" w:hAnsi="Times New Roman"/>
          <w:szCs w:val="24"/>
          <w:highlight w:val="none"/>
        </w:rPr>
        <w:t>S</w:t>
      </w:r>
      <w:r>
        <w:rPr>
          <w:rFonts w:ascii="Times New Roman" w:hAnsi="Times New Roman"/>
          <w:szCs w:val="24"/>
          <w:highlight w:val="none"/>
          <w:vertAlign w:val="subscript"/>
        </w:rPr>
        <w:t>ar</w:t>
      </w:r>
      <w:r>
        <w:rPr>
          <w:rFonts w:ascii="Times New Roman" w:hAnsi="Times New Roman"/>
          <w:szCs w:val="24"/>
          <w:highlight w:val="none"/>
        </w:rPr>
        <w:t>—燃煤收到基硫含量，%，取值</w:t>
      </w:r>
      <w:r>
        <w:rPr>
          <w:rFonts w:hint="eastAsia" w:ascii="Times New Roman" w:hAnsi="Times New Roman"/>
          <w:szCs w:val="24"/>
          <w:highlight w:val="none"/>
          <w:lang w:val="en-US" w:eastAsia="zh-CN"/>
        </w:rPr>
        <w:t>0.21</w:t>
      </w:r>
      <w:r>
        <w:rPr>
          <w:rFonts w:ascii="Times New Roman" w:hAnsi="Times New Roman"/>
          <w:szCs w:val="24"/>
          <w:highlight w:val="none"/>
        </w:rPr>
        <w:t>。</w:t>
      </w:r>
    </w:p>
    <w:p w14:paraId="39D52C7C">
      <w:pPr>
        <w:ind w:firstLine="480"/>
        <w:contextualSpacing/>
        <w:rPr>
          <w:rFonts w:ascii="Times New Roman" w:hAnsi="Times New Roman" w:eastAsia="新宋体"/>
          <w:szCs w:val="24"/>
          <w:highlight w:val="none"/>
        </w:rPr>
      </w:pPr>
      <w:r>
        <w:rPr>
          <w:rFonts w:ascii="Times New Roman" w:hAnsi="Times New Roman" w:eastAsia="新宋体"/>
          <w:szCs w:val="24"/>
          <w:highlight w:val="none"/>
        </w:rPr>
        <w:t>Nar—收到基氮的质量分数，%，取值</w:t>
      </w:r>
      <w:r>
        <w:rPr>
          <w:rFonts w:hint="eastAsia" w:ascii="Times New Roman" w:hAnsi="Times New Roman" w:eastAsia="新宋体"/>
          <w:szCs w:val="24"/>
          <w:highlight w:val="none"/>
          <w:lang w:val="en-US" w:eastAsia="zh-CN"/>
        </w:rPr>
        <w:t>0.71</w:t>
      </w:r>
      <w:r>
        <w:rPr>
          <w:rFonts w:ascii="Times New Roman" w:hAnsi="Times New Roman" w:eastAsia="新宋体"/>
          <w:szCs w:val="24"/>
          <w:highlight w:val="none"/>
        </w:rPr>
        <w:t>。</w:t>
      </w:r>
    </w:p>
    <w:p w14:paraId="200AF4CE">
      <w:pPr>
        <w:ind w:firstLine="480"/>
        <w:rPr>
          <w:rFonts w:ascii="Times New Roman" w:hAnsi="Times New Roman"/>
          <w:szCs w:val="24"/>
          <w:highlight w:val="none"/>
        </w:rPr>
      </w:pPr>
      <w:r>
        <w:rPr>
          <w:rFonts w:ascii="Times New Roman" w:hAnsi="Times New Roman"/>
          <w:szCs w:val="24"/>
          <w:highlight w:val="none"/>
        </w:rPr>
        <w:t>α—过量空气系数，%，</w:t>
      </w:r>
      <w:r>
        <w:rPr>
          <w:rFonts w:hint="eastAsia" w:ascii="Times New Roman" w:hAnsi="Times New Roman"/>
          <w:szCs w:val="24"/>
          <w:highlight w:val="none"/>
        </w:rPr>
        <w:t>1.4，对应基准氧含量为6%</w:t>
      </w:r>
      <w:r>
        <w:rPr>
          <w:rFonts w:ascii="Times New Roman" w:hAnsi="Times New Roman"/>
          <w:szCs w:val="24"/>
          <w:highlight w:val="none"/>
        </w:rPr>
        <w:t>。</w:t>
      </w:r>
    </w:p>
    <w:p w14:paraId="088CDBBF">
      <w:pPr>
        <w:ind w:firstLine="482"/>
        <w:jc w:val="center"/>
        <w:rPr>
          <w:rFonts w:ascii="Times New Roman" w:hAnsi="Times New Roman"/>
          <w:b/>
          <w:szCs w:val="24"/>
          <w:highlight w:val="none"/>
        </w:rPr>
      </w:pPr>
      <w:r>
        <w:rPr>
          <w:rFonts w:ascii="Times New Roman" w:hAnsi="Times New Roman"/>
          <w:b/>
          <w:szCs w:val="24"/>
          <w:highlight w:val="none"/>
        </w:rPr>
        <w:t>表1 大气污染物许可排放量调整系数取值表</w:t>
      </w:r>
    </w:p>
    <w:tbl>
      <w:tblPr>
        <w:tblStyle w:val="1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56"/>
        <w:gridCol w:w="3973"/>
        <w:gridCol w:w="1056"/>
        <w:gridCol w:w="1056"/>
        <w:gridCol w:w="846"/>
      </w:tblGrid>
      <w:tr w14:paraId="1495E6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noWrap w:val="0"/>
            <w:vAlign w:val="center"/>
          </w:tcPr>
          <w:p w14:paraId="6A4CC8A8">
            <w:pPr>
              <w:spacing w:line="240" w:lineRule="auto"/>
              <w:ind w:firstLine="0" w:firstLineChars="0"/>
              <w:contextualSpacing/>
              <w:jc w:val="center"/>
              <w:rPr>
                <w:rFonts w:ascii="Times New Roman" w:hAnsi="Times New Roman"/>
                <w:sz w:val="21"/>
                <w:szCs w:val="21"/>
                <w:highlight w:val="none"/>
              </w:rPr>
            </w:pPr>
            <w:r>
              <w:rPr>
                <w:rFonts w:ascii="Times New Roman" w:hAnsi="Times New Roman"/>
                <w:sz w:val="21"/>
                <w:szCs w:val="21"/>
                <w:highlight w:val="none"/>
              </w:rPr>
              <mc:AlternateContent>
                <mc:Choice Requires="wps">
                  <w:drawing>
                    <wp:anchor distT="0" distB="0" distL="114300" distR="114300" simplePos="0" relativeHeight="251691008" behindDoc="0" locked="0" layoutInCell="1" allowOverlap="1">
                      <wp:simplePos x="0" y="0"/>
                      <wp:positionH relativeFrom="column">
                        <wp:posOffset>-57150</wp:posOffset>
                      </wp:positionH>
                      <wp:positionV relativeFrom="paragraph">
                        <wp:posOffset>19685</wp:posOffset>
                      </wp:positionV>
                      <wp:extent cx="3198495" cy="296545"/>
                      <wp:effectExtent l="635" t="4445" r="1270" b="22860"/>
                      <wp:wrapNone/>
                      <wp:docPr id="110" name="直接箭头连接符 110"/>
                      <wp:cNvGraphicFramePr/>
                      <a:graphic xmlns:a="http://schemas.openxmlformats.org/drawingml/2006/main">
                        <a:graphicData uri="http://schemas.microsoft.com/office/word/2010/wordprocessingShape">
                          <wps:wsp>
                            <wps:cNvCnPr/>
                            <wps:spPr>
                              <a:xfrm>
                                <a:off x="0" y="0"/>
                                <a:ext cx="3198495" cy="296545"/>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_x0000_s1026" o:spid="_x0000_s1026" o:spt="32" type="#_x0000_t32" style="position:absolute;left:0pt;margin-left:-4.5pt;margin-top:1.55pt;height:23.35pt;width:251.85pt;z-index:251691008;mso-width-relative:page;mso-height-relative:page;" filled="f" stroked="t" coordsize="21600,21600" o:gfxdata="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R6YuedcAAAAHAQAADwAAAAAAAAABACAAAAAiAAAA&#10;ZHJzL2Rvd25yZXYueG1sUEsBAhQAFAAAAAgAh07iQFL3Bf4IAgAAAwQAAA4AAAAAAAAAAQAgAAAA&#10;JgEAAGRycy9lMm9Eb2MueG1sUEsFBgAAAAAGAAYAWQEAAKAFAAAAAA==&#10;">
                      <v:fill on="f" focussize="0,0"/>
                      <v:stroke color="#000000" joinstyle="round"/>
                      <v:imagedata o:title=""/>
                      <o:lock v:ext="edit" aspectratio="f"/>
                    </v:shape>
                  </w:pict>
                </mc:Fallback>
              </mc:AlternateContent>
            </w:r>
            <w:r>
              <w:rPr>
                <w:rFonts w:ascii="Times New Roman" w:hAnsi="Times New Roman"/>
                <w:sz w:val="21"/>
                <w:szCs w:val="21"/>
                <w:highlight w:val="none"/>
              </w:rPr>
              <w:t>污染物项目</w:t>
            </w:r>
          </w:p>
          <w:p w14:paraId="53E56E9E">
            <w:pPr>
              <w:spacing w:line="240" w:lineRule="auto"/>
              <w:ind w:firstLine="0" w:firstLineChars="0"/>
              <w:contextualSpacing/>
              <w:rPr>
                <w:rFonts w:ascii="Times New Roman" w:hAnsi="Times New Roman"/>
                <w:sz w:val="21"/>
                <w:szCs w:val="21"/>
                <w:highlight w:val="none"/>
              </w:rPr>
            </w:pPr>
            <w:r>
              <w:rPr>
                <w:rFonts w:ascii="Times New Roman" w:hAnsi="Times New Roman"/>
                <w:sz w:val="21"/>
                <w:szCs w:val="21"/>
                <w:highlight w:val="none"/>
              </w:rPr>
              <w:t>锅炉排污单位执行标准</w:t>
            </w:r>
          </w:p>
        </w:tc>
        <w:tc>
          <w:tcPr>
            <w:tcW w:w="0" w:type="auto"/>
            <w:noWrap w:val="0"/>
            <w:vAlign w:val="center"/>
          </w:tcPr>
          <w:p w14:paraId="00B7103D">
            <w:pPr>
              <w:spacing w:line="240" w:lineRule="auto"/>
              <w:ind w:firstLine="0" w:firstLineChars="0"/>
              <w:contextualSpacing/>
              <w:jc w:val="center"/>
              <w:rPr>
                <w:rFonts w:ascii="Times New Roman" w:hAnsi="Times New Roman"/>
                <w:sz w:val="21"/>
                <w:szCs w:val="21"/>
                <w:highlight w:val="none"/>
              </w:rPr>
            </w:pPr>
            <w:r>
              <w:rPr>
                <w:rFonts w:ascii="Times New Roman" w:hAnsi="Times New Roman"/>
                <w:sz w:val="21"/>
                <w:szCs w:val="21"/>
                <w:highlight w:val="none"/>
              </w:rPr>
              <w:t>二氧化硫</w:t>
            </w:r>
          </w:p>
        </w:tc>
        <w:tc>
          <w:tcPr>
            <w:tcW w:w="0" w:type="auto"/>
            <w:noWrap w:val="0"/>
            <w:vAlign w:val="center"/>
          </w:tcPr>
          <w:p w14:paraId="05516C68">
            <w:pPr>
              <w:spacing w:line="240" w:lineRule="auto"/>
              <w:ind w:firstLine="0" w:firstLineChars="0"/>
              <w:contextualSpacing/>
              <w:jc w:val="center"/>
              <w:rPr>
                <w:rFonts w:ascii="Times New Roman" w:hAnsi="Times New Roman"/>
                <w:sz w:val="21"/>
                <w:szCs w:val="21"/>
                <w:highlight w:val="none"/>
              </w:rPr>
            </w:pPr>
            <w:r>
              <w:rPr>
                <w:rFonts w:ascii="Times New Roman" w:hAnsi="Times New Roman"/>
                <w:sz w:val="21"/>
                <w:szCs w:val="21"/>
                <w:highlight w:val="none"/>
              </w:rPr>
              <w:t>氮氧化物</w:t>
            </w:r>
          </w:p>
        </w:tc>
        <w:tc>
          <w:tcPr>
            <w:tcW w:w="0" w:type="auto"/>
            <w:noWrap w:val="0"/>
            <w:vAlign w:val="center"/>
          </w:tcPr>
          <w:p w14:paraId="4EF60BCB">
            <w:pPr>
              <w:spacing w:line="240" w:lineRule="auto"/>
              <w:ind w:firstLine="0" w:firstLineChars="0"/>
              <w:contextualSpacing/>
              <w:jc w:val="center"/>
              <w:rPr>
                <w:rFonts w:ascii="Times New Roman" w:hAnsi="Times New Roman"/>
                <w:sz w:val="21"/>
                <w:szCs w:val="21"/>
                <w:highlight w:val="none"/>
              </w:rPr>
            </w:pPr>
            <w:r>
              <w:rPr>
                <w:rFonts w:ascii="Times New Roman" w:hAnsi="Times New Roman"/>
                <w:sz w:val="21"/>
                <w:szCs w:val="21"/>
                <w:highlight w:val="none"/>
              </w:rPr>
              <w:t>颗粒物</w:t>
            </w:r>
          </w:p>
        </w:tc>
      </w:tr>
      <w:tr w14:paraId="5FB4B6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noWrap w:val="0"/>
            <w:vAlign w:val="center"/>
          </w:tcPr>
          <w:p w14:paraId="282A9791">
            <w:pPr>
              <w:spacing w:line="240" w:lineRule="auto"/>
              <w:ind w:firstLine="0" w:firstLineChars="0"/>
              <w:contextualSpacing/>
              <w:jc w:val="center"/>
              <w:rPr>
                <w:rFonts w:ascii="Times New Roman" w:hAnsi="Times New Roman"/>
                <w:sz w:val="21"/>
                <w:szCs w:val="21"/>
                <w:highlight w:val="none"/>
              </w:rPr>
            </w:pPr>
            <w:r>
              <w:rPr>
                <w:rFonts w:ascii="Times New Roman" w:hAnsi="Times New Roman"/>
                <w:sz w:val="21"/>
                <w:szCs w:val="21"/>
                <w:highlight w:val="none"/>
              </w:rPr>
              <w:t>GB13271</w:t>
            </w:r>
          </w:p>
        </w:tc>
        <w:tc>
          <w:tcPr>
            <w:tcW w:w="0" w:type="auto"/>
            <w:noWrap w:val="0"/>
            <w:vAlign w:val="center"/>
          </w:tcPr>
          <w:p w14:paraId="52F00CA7">
            <w:pPr>
              <w:spacing w:line="240" w:lineRule="auto"/>
              <w:ind w:firstLine="0" w:firstLineChars="0"/>
              <w:contextualSpacing/>
              <w:jc w:val="center"/>
              <w:rPr>
                <w:rFonts w:ascii="Times New Roman" w:hAnsi="Times New Roman"/>
                <w:sz w:val="21"/>
                <w:szCs w:val="21"/>
                <w:highlight w:val="none"/>
              </w:rPr>
            </w:pPr>
            <w:r>
              <w:rPr>
                <w:rFonts w:ascii="Times New Roman" w:hAnsi="Times New Roman"/>
                <w:sz w:val="21"/>
                <w:szCs w:val="21"/>
                <w:highlight w:val="none"/>
              </w:rPr>
              <w:t>0.8</w:t>
            </w:r>
          </w:p>
        </w:tc>
        <w:tc>
          <w:tcPr>
            <w:tcW w:w="0" w:type="auto"/>
            <w:noWrap w:val="0"/>
            <w:vAlign w:val="center"/>
          </w:tcPr>
          <w:p w14:paraId="3E4441EF">
            <w:pPr>
              <w:spacing w:line="240" w:lineRule="auto"/>
              <w:ind w:firstLine="0" w:firstLineChars="0"/>
              <w:contextualSpacing/>
              <w:jc w:val="center"/>
              <w:rPr>
                <w:rFonts w:ascii="Times New Roman" w:hAnsi="Times New Roman"/>
                <w:sz w:val="21"/>
                <w:szCs w:val="21"/>
                <w:highlight w:val="none"/>
              </w:rPr>
            </w:pPr>
            <w:r>
              <w:rPr>
                <w:rFonts w:ascii="Times New Roman" w:hAnsi="Times New Roman"/>
                <w:sz w:val="21"/>
                <w:szCs w:val="21"/>
                <w:highlight w:val="none"/>
              </w:rPr>
              <w:t>1</w:t>
            </w:r>
          </w:p>
        </w:tc>
        <w:tc>
          <w:tcPr>
            <w:tcW w:w="0" w:type="auto"/>
            <w:noWrap w:val="0"/>
            <w:vAlign w:val="center"/>
          </w:tcPr>
          <w:p w14:paraId="1D1CA135">
            <w:pPr>
              <w:spacing w:line="240" w:lineRule="auto"/>
              <w:ind w:firstLine="0" w:firstLineChars="0"/>
              <w:contextualSpacing/>
              <w:jc w:val="center"/>
              <w:rPr>
                <w:rFonts w:ascii="Times New Roman" w:hAnsi="Times New Roman"/>
                <w:sz w:val="21"/>
                <w:szCs w:val="21"/>
                <w:highlight w:val="none"/>
              </w:rPr>
            </w:pPr>
            <w:r>
              <w:rPr>
                <w:rFonts w:ascii="Times New Roman" w:hAnsi="Times New Roman"/>
                <w:sz w:val="21"/>
                <w:szCs w:val="21"/>
                <w:highlight w:val="none"/>
              </w:rPr>
              <w:t>1</w:t>
            </w:r>
          </w:p>
        </w:tc>
      </w:tr>
      <w:tr w14:paraId="0DA510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noWrap w:val="0"/>
            <w:vAlign w:val="center"/>
          </w:tcPr>
          <w:p w14:paraId="4E28972A">
            <w:pPr>
              <w:spacing w:line="240" w:lineRule="auto"/>
              <w:ind w:firstLine="0" w:firstLineChars="0"/>
              <w:contextualSpacing/>
              <w:jc w:val="center"/>
              <w:rPr>
                <w:rFonts w:ascii="Times New Roman" w:hAnsi="Times New Roman"/>
                <w:sz w:val="21"/>
                <w:szCs w:val="21"/>
                <w:highlight w:val="none"/>
              </w:rPr>
            </w:pPr>
            <w:r>
              <w:rPr>
                <w:rFonts w:ascii="Times New Roman" w:hAnsi="Times New Roman"/>
                <w:sz w:val="21"/>
                <w:szCs w:val="21"/>
                <w:highlight w:val="none"/>
              </w:rPr>
              <w:t>地方标准</w:t>
            </w:r>
          </w:p>
        </w:tc>
        <w:tc>
          <w:tcPr>
            <w:tcW w:w="0" w:type="auto"/>
            <w:noWrap w:val="0"/>
            <w:vAlign w:val="center"/>
          </w:tcPr>
          <w:p w14:paraId="04DE225A">
            <w:pPr>
              <w:spacing w:line="240" w:lineRule="auto"/>
              <w:ind w:firstLine="0" w:firstLineChars="0"/>
              <w:contextualSpacing/>
              <w:jc w:val="center"/>
              <w:rPr>
                <w:rFonts w:ascii="Times New Roman" w:hAnsi="Times New Roman"/>
                <w:sz w:val="21"/>
                <w:szCs w:val="21"/>
                <w:highlight w:val="none"/>
              </w:rPr>
            </w:pPr>
            <w:r>
              <w:rPr>
                <w:rFonts w:ascii="Times New Roman" w:hAnsi="Times New Roman"/>
                <w:sz w:val="21"/>
                <w:szCs w:val="21"/>
                <w:highlight w:val="none"/>
              </w:rPr>
              <w:t>标准限值＞0.8倍GB13271特别排放限值</w:t>
            </w:r>
          </w:p>
        </w:tc>
        <w:tc>
          <w:tcPr>
            <w:tcW w:w="0" w:type="auto"/>
            <w:noWrap w:val="0"/>
            <w:vAlign w:val="center"/>
          </w:tcPr>
          <w:p w14:paraId="7203FD18">
            <w:pPr>
              <w:spacing w:line="240" w:lineRule="auto"/>
              <w:ind w:firstLine="0" w:firstLineChars="0"/>
              <w:contextualSpacing/>
              <w:jc w:val="center"/>
              <w:rPr>
                <w:rFonts w:ascii="Times New Roman" w:hAnsi="Times New Roman"/>
                <w:sz w:val="21"/>
                <w:szCs w:val="21"/>
                <w:highlight w:val="none"/>
              </w:rPr>
            </w:pPr>
            <w:r>
              <w:rPr>
                <w:rFonts w:ascii="Times New Roman" w:hAnsi="Times New Roman"/>
                <w:sz w:val="21"/>
                <w:szCs w:val="21"/>
                <w:highlight w:val="none"/>
              </w:rPr>
              <w:t>0.8</w:t>
            </w:r>
          </w:p>
        </w:tc>
        <w:tc>
          <w:tcPr>
            <w:tcW w:w="0" w:type="auto"/>
            <w:noWrap w:val="0"/>
            <w:vAlign w:val="center"/>
          </w:tcPr>
          <w:p w14:paraId="682995A2">
            <w:pPr>
              <w:spacing w:line="240" w:lineRule="auto"/>
              <w:ind w:firstLine="0" w:firstLineChars="0"/>
              <w:contextualSpacing/>
              <w:jc w:val="center"/>
              <w:rPr>
                <w:rFonts w:ascii="Times New Roman" w:hAnsi="Times New Roman"/>
                <w:sz w:val="21"/>
                <w:szCs w:val="21"/>
                <w:highlight w:val="none"/>
              </w:rPr>
            </w:pPr>
            <w:r>
              <w:rPr>
                <w:rFonts w:ascii="Times New Roman" w:hAnsi="Times New Roman"/>
                <w:sz w:val="21"/>
                <w:szCs w:val="21"/>
                <w:highlight w:val="none"/>
              </w:rPr>
              <w:t>1</w:t>
            </w:r>
          </w:p>
        </w:tc>
        <w:tc>
          <w:tcPr>
            <w:tcW w:w="0" w:type="auto"/>
            <w:noWrap w:val="0"/>
            <w:vAlign w:val="center"/>
          </w:tcPr>
          <w:p w14:paraId="043B0D7C">
            <w:pPr>
              <w:spacing w:line="240" w:lineRule="auto"/>
              <w:ind w:firstLine="0" w:firstLineChars="0"/>
              <w:contextualSpacing/>
              <w:jc w:val="center"/>
              <w:rPr>
                <w:rFonts w:ascii="Times New Roman" w:hAnsi="Times New Roman"/>
                <w:sz w:val="21"/>
                <w:szCs w:val="21"/>
                <w:highlight w:val="none"/>
              </w:rPr>
            </w:pPr>
            <w:r>
              <w:rPr>
                <w:rFonts w:ascii="Times New Roman" w:hAnsi="Times New Roman"/>
                <w:sz w:val="21"/>
                <w:szCs w:val="21"/>
                <w:highlight w:val="none"/>
              </w:rPr>
              <w:t>1</w:t>
            </w:r>
          </w:p>
        </w:tc>
      </w:tr>
      <w:tr w14:paraId="16C3E4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noWrap w:val="0"/>
            <w:vAlign w:val="center"/>
          </w:tcPr>
          <w:p w14:paraId="20E5E784">
            <w:pPr>
              <w:spacing w:line="240" w:lineRule="auto"/>
              <w:ind w:firstLine="0" w:firstLineChars="0"/>
              <w:contextualSpacing/>
              <w:jc w:val="center"/>
              <w:rPr>
                <w:rFonts w:ascii="Times New Roman" w:hAnsi="Times New Roman"/>
                <w:sz w:val="21"/>
                <w:szCs w:val="21"/>
                <w:highlight w:val="none"/>
              </w:rPr>
            </w:pPr>
          </w:p>
        </w:tc>
        <w:tc>
          <w:tcPr>
            <w:tcW w:w="0" w:type="auto"/>
            <w:noWrap w:val="0"/>
            <w:vAlign w:val="center"/>
          </w:tcPr>
          <w:p w14:paraId="0E63499F">
            <w:pPr>
              <w:spacing w:line="240" w:lineRule="auto"/>
              <w:ind w:firstLine="0" w:firstLineChars="0"/>
              <w:contextualSpacing/>
              <w:jc w:val="center"/>
              <w:rPr>
                <w:rFonts w:ascii="Times New Roman" w:hAnsi="Times New Roman"/>
                <w:sz w:val="21"/>
                <w:szCs w:val="21"/>
                <w:highlight w:val="none"/>
              </w:rPr>
            </w:pPr>
            <w:r>
              <w:rPr>
                <w:rFonts w:ascii="Times New Roman" w:hAnsi="Times New Roman"/>
                <w:sz w:val="21"/>
                <w:szCs w:val="21"/>
                <w:highlight w:val="none"/>
              </w:rPr>
              <w:t>标准限值≤0.8倍GB13271特别排放限值</w:t>
            </w:r>
          </w:p>
        </w:tc>
        <w:tc>
          <w:tcPr>
            <w:tcW w:w="0" w:type="auto"/>
            <w:noWrap w:val="0"/>
            <w:vAlign w:val="center"/>
          </w:tcPr>
          <w:p w14:paraId="4D0CA019">
            <w:pPr>
              <w:spacing w:line="240" w:lineRule="auto"/>
              <w:ind w:firstLine="0" w:firstLineChars="0"/>
              <w:contextualSpacing/>
              <w:jc w:val="center"/>
              <w:rPr>
                <w:rFonts w:ascii="Times New Roman" w:hAnsi="Times New Roman"/>
                <w:sz w:val="21"/>
                <w:szCs w:val="21"/>
                <w:highlight w:val="none"/>
              </w:rPr>
            </w:pPr>
            <w:r>
              <w:rPr>
                <w:rFonts w:ascii="Times New Roman" w:hAnsi="Times New Roman"/>
                <w:sz w:val="21"/>
                <w:szCs w:val="21"/>
                <w:highlight w:val="none"/>
              </w:rPr>
              <w:t>1</w:t>
            </w:r>
          </w:p>
        </w:tc>
        <w:tc>
          <w:tcPr>
            <w:tcW w:w="0" w:type="auto"/>
            <w:noWrap w:val="0"/>
            <w:vAlign w:val="center"/>
          </w:tcPr>
          <w:p w14:paraId="4ED56B21">
            <w:pPr>
              <w:spacing w:line="240" w:lineRule="auto"/>
              <w:ind w:firstLine="0" w:firstLineChars="0"/>
              <w:contextualSpacing/>
              <w:jc w:val="center"/>
              <w:rPr>
                <w:rFonts w:ascii="Times New Roman" w:hAnsi="Times New Roman"/>
                <w:sz w:val="21"/>
                <w:szCs w:val="21"/>
                <w:highlight w:val="none"/>
              </w:rPr>
            </w:pPr>
            <w:r>
              <w:rPr>
                <w:rFonts w:ascii="Times New Roman" w:hAnsi="Times New Roman"/>
                <w:sz w:val="21"/>
                <w:szCs w:val="21"/>
                <w:highlight w:val="none"/>
              </w:rPr>
              <w:t>1</w:t>
            </w:r>
          </w:p>
        </w:tc>
        <w:tc>
          <w:tcPr>
            <w:tcW w:w="0" w:type="auto"/>
            <w:noWrap w:val="0"/>
            <w:vAlign w:val="center"/>
          </w:tcPr>
          <w:p w14:paraId="0E999601">
            <w:pPr>
              <w:spacing w:line="240" w:lineRule="auto"/>
              <w:ind w:firstLine="0" w:firstLineChars="0"/>
              <w:contextualSpacing/>
              <w:jc w:val="center"/>
              <w:rPr>
                <w:rFonts w:ascii="Times New Roman" w:hAnsi="Times New Roman"/>
                <w:sz w:val="21"/>
                <w:szCs w:val="21"/>
                <w:highlight w:val="none"/>
              </w:rPr>
            </w:pPr>
            <w:r>
              <w:rPr>
                <w:rFonts w:ascii="Times New Roman" w:hAnsi="Times New Roman"/>
                <w:sz w:val="21"/>
                <w:szCs w:val="21"/>
                <w:highlight w:val="none"/>
              </w:rPr>
              <w:t>1</w:t>
            </w:r>
          </w:p>
        </w:tc>
      </w:tr>
    </w:tbl>
    <w:p w14:paraId="56D9F12F">
      <w:pPr>
        <w:ind w:firstLine="480"/>
        <w:rPr>
          <w:rFonts w:ascii="Times New Roman" w:hAnsi="Times New Roman"/>
          <w:szCs w:val="24"/>
          <w:highlight w:val="none"/>
        </w:rPr>
      </w:pPr>
      <w:r>
        <w:rPr>
          <w:rFonts w:ascii="Times New Roman" w:hAnsi="Times New Roman"/>
          <w:szCs w:val="24"/>
          <w:highlight w:val="none"/>
        </w:rPr>
        <w:t>固体/液体燃料锅炉的废气污染物（颗粒物、二氧化硫、氮氧化物）年许可排放量按下列公式计算：</w:t>
      </w:r>
    </w:p>
    <w:p w14:paraId="3EFF1504">
      <w:pPr>
        <w:ind w:firstLine="0" w:firstLineChars="0"/>
        <w:jc w:val="center"/>
        <w:rPr>
          <w:rFonts w:ascii="Times New Roman" w:hAnsi="Times New Roman"/>
          <w:szCs w:val="24"/>
          <w:highlight w:val="none"/>
        </w:rPr>
      </w:pPr>
      <w:r>
        <w:rPr>
          <w:rFonts w:ascii="Times New Roman" w:hAnsi="Times New Roman"/>
          <w:szCs w:val="24"/>
          <w:highlight w:val="none"/>
        </w:rPr>
        <w:t>E</w:t>
      </w:r>
      <w:r>
        <w:rPr>
          <w:rFonts w:ascii="Times New Roman" w:hAnsi="Times New Roman"/>
          <w:szCs w:val="24"/>
          <w:highlight w:val="none"/>
          <w:vertAlign w:val="subscript"/>
        </w:rPr>
        <w:t>年许可</w:t>
      </w:r>
      <w:r>
        <w:rPr>
          <w:rFonts w:ascii="Times New Roman" w:hAnsi="Times New Roman"/>
          <w:szCs w:val="24"/>
          <w:highlight w:val="none"/>
        </w:rPr>
        <w:t>=</w:t>
      </w:r>
      <w:r>
        <w:rPr>
          <w:rFonts w:ascii="Times New Roman" w:hAnsi="Times New Roman"/>
          <w:szCs w:val="24"/>
          <w:highlight w:val="none"/>
        </w:rPr>
        <w:fldChar w:fldCharType="begin"/>
      </w:r>
      <w:r>
        <w:rPr>
          <w:rFonts w:ascii="Times New Roman" w:hAnsi="Times New Roman"/>
          <w:szCs w:val="24"/>
          <w:highlight w:val="none"/>
        </w:rPr>
        <w:instrText xml:space="preserve"> QUOTE </w:instrText>
      </w:r>
      <w:r>
        <w:rPr>
          <w:rFonts w:ascii="Times New Roman" w:hAnsi="Times New Roman" w:eastAsia="新宋体"/>
          <w:position w:val="-15"/>
          <w:szCs w:val="21"/>
          <w:highlight w:val="none"/>
        </w:rPr>
        <w:pict>
          <v:shape id="_x0000_i1034" o:spt="75" type="#_x0000_t75" style="height:23.15pt;width:34.45pt;" filled="f" o:preferrelative="t" stroked="f" coordsize="21600,21600"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isplayBackgroundShape/&gt;&lt;w:doNotEmbedSystemFonts/&gt;&lt;w:hideSpellingErrors/&gt;&lt;w:stylePaneFormatFilter w:val=&quot;3828&quot;/&gt;&lt;w:defaultTabStop w:val=&quot;420&quot;/&gt;&lt;w:drawingGridHorizontalSpacing w:val=&quot;105&quot;/&gt;&lt;w:drawingGridVerticalSpacing w:val=&quot;156&quot;/&gt;&lt;w:characterSpacingControl w:val=&quot;CompressPunctuation&quot;/&gt;&lt;w:webPageEncoding w:val=&quot;x-cp20936&quot;/&gt;&lt;w:optimizeForBrowser/&gt;&lt;w:savePreviewPicture/&gt;&lt;w:validateAgainstSchema w:val=&quot;off&quot;/&gt;&lt;w:saveInvalidXML w:val=&quot;off&quot;/&gt;&lt;w:ignoreMixedContent w:val=&quot;off&quot;/&gt;&lt;w:alwaysShowPlaceholderText w:val=&quot;off&quot;/&gt;&lt;w:doNotUnderlineInvalidXML/&gt;&lt;w:compat&gt;&lt;w:spaceForUL/&gt;&lt;w:balanceSingleByteDoubleByteWidth/&gt;&lt;w:doNotLeaveBackslashAlone/&gt;&lt;w:doNotExpandShiftReturn/&gt;&lt;w:adjustLineHeightInTable/&gt;&lt;w:breakWrappedTables/&gt;&lt;w:snapToGridInCell/&gt;&lt;w:dontGrowAutofit/&gt;&lt;w:useFELayout/&gt;&lt;/w:compat&gt;&lt;wsp:rsids&gt;&lt;wsp:rsidRoot wsp:val=&quot;00E25665&quot;/&gt;&lt;wsp:rsid wsp:val=&quot;000002F4&quot;/&gt;&lt;wsp:rsid wsp:val=&quot;00000996&quot;/&gt;&lt;wsp:rsid wsp:val=&quot;00000E1D&quot;/&gt;&lt;wsp:rsid wsp:val=&quot;00001111&quot;/&gt;&lt;wsp:rsid wsp:val=&quot;00001386&quot;/&gt;&lt;wsp:rsid wsp:val=&quot;00001B75&quot;/&gt;&lt;wsp:rsid wsp:val=&quot;00001D9E&quot;/&gt;&lt;wsp:rsid wsp:val=&quot;00002045&quot;/&gt;&lt;wsp:rsid wsp:val=&quot;0000266B&quot;/&gt;&lt;wsp:rsid wsp:val=&quot;00002E81&quot;/&gt;&lt;wsp:rsid wsp:val=&quot;000039AE&quot;/&gt;&lt;wsp:rsid wsp:val=&quot;00003DE4&quot;/&gt;&lt;wsp:rsid wsp:val=&quot;00003EDA&quot;/&gt;&lt;wsp:rsid wsp:val=&quot;0000494C&quot;/&gt;&lt;wsp:rsid wsp:val=&quot;00005521&quot;/&gt;&lt;wsp:rsid wsp:val=&quot;0000584D&quot;/&gt;&lt;wsp:rsid wsp:val=&quot;000058CC&quot;/&gt;&lt;wsp:rsid wsp:val=&quot;0000614F&quot;/&gt;&lt;wsp:rsid wsp:val=&quot;000064AB&quot;/&gt;&lt;wsp:rsid wsp:val=&quot;0000666C&quot;/&gt;&lt;wsp:rsid wsp:val=&quot;00006688&quot;/&gt;&lt;wsp:rsid wsp:val=&quot;000066CD&quot;/&gt;&lt;wsp:rsid wsp:val=&quot;0000695C&quot;/&gt;&lt;wsp:rsid wsp:val=&quot;000070B2&quot;/&gt;&lt;wsp:rsid wsp:val=&quot;00007363&quot;/&gt;&lt;wsp:rsid wsp:val=&quot;000076E0&quot;/&gt;&lt;wsp:rsid wsp:val=&quot;00007980&quot;/&gt;&lt;wsp:rsid wsp:val=&quot;00007C80&quot;/&gt;&lt;wsp:rsid wsp:val=&quot;00010141&quot;/&gt;&lt;wsp:rsid wsp:val=&quot;00010194&quot;/&gt;&lt;wsp:rsid wsp:val=&quot;0001030E&quot;/&gt;&lt;wsp:rsid wsp:val=&quot;000104E0&quot;/&gt;&lt;wsp:rsid wsp:val=&quot;00010A0B&quot;/&gt;&lt;wsp:rsid wsp:val=&quot;00010E6A&quot;/&gt;&lt;wsp:rsid wsp:val=&quot;00010E85&quot;/&gt;&lt;wsp:rsid wsp:val=&quot;00010FD3&quot;/&gt;&lt;wsp:rsid wsp:val=&quot;00011186&quot;/&gt;&lt;wsp:rsid wsp:val=&quot;00011C7F&quot;/&gt;&lt;wsp:rsid wsp:val=&quot;00011DA5&quot;/&gt;&lt;wsp:rsid wsp:val=&quot;00012A4A&quot;/&gt;&lt;wsp:rsid wsp:val=&quot;00012B34&quot;/&gt;&lt;wsp:rsid wsp:val=&quot;00012B68&quot;/&gt;&lt;wsp:rsid wsp:val=&quot;00012ED9&quot;/&gt;&lt;wsp:rsid wsp:val=&quot;0001305C&quot;/&gt;&lt;wsp:rsid wsp:val=&quot;00013190&quot;/&gt;&lt;wsp:rsid wsp:val=&quot;00013279&quot;/&gt;&lt;wsp:rsid wsp:val=&quot;000136FD&quot;/&gt;&lt;wsp:rsid wsp:val=&quot;000137BF&quot;/&gt;&lt;wsp:rsid wsp:val=&quot;000138C0&quot;/&gt;&lt;wsp:rsid wsp:val=&quot;00013CC2&quot;/&gt;&lt;wsp:rsid wsp:val=&quot;00014352&quot;/&gt;&lt;wsp:rsid wsp:val=&quot;000144D4&quot;/&gt;&lt;wsp:rsid wsp:val=&quot;00014C0C&quot;/&gt;&lt;wsp:rsid wsp:val=&quot;00014DBC&quot;/&gt;&lt;wsp:rsid wsp:val=&quot;00015013&quot;/&gt;&lt;wsp:rsid wsp:val=&quot;000151CB&quot;/&gt;&lt;wsp:rsid wsp:val=&quot;00015882&quot;/&gt;&lt;wsp:rsid wsp:val=&quot;00016693&quot;/&gt;&lt;wsp:rsid wsp:val=&quot;000177A7&quot;/&gt;&lt;wsp:rsid wsp:val=&quot;00017E37&quot;/&gt;&lt;wsp:rsid wsp:val=&quot;0002118C&quot;/&gt;&lt;wsp:rsid wsp:val=&quot;000212D8&quot;/&gt;&lt;wsp:rsid wsp:val=&quot;00021E7E&quot;/&gt;&lt;wsp:rsid wsp:val=&quot;00021F5A&quot;/&gt;&lt;wsp:rsid wsp:val=&quot;000225E0&quot;/&gt;&lt;wsp:rsid wsp:val=&quot;00022F93&quot;/&gt;&lt;wsp:rsid wsp:val=&quot;00023085&quot;/&gt;&lt;wsp:rsid wsp:val=&quot;00024048&quot;/&gt;&lt;wsp:rsid wsp:val=&quot;00024205&quot;/&gt;&lt;wsp:rsid wsp:val=&quot;000248BA&quot;/&gt;&lt;wsp:rsid wsp:val=&quot;0002508E&quot;/&gt;&lt;wsp:rsid wsp:val=&quot;0002526D&quot;/&gt;&lt;wsp:rsid wsp:val=&quot;00025A27&quot;/&gt;&lt;wsp:rsid wsp:val=&quot;00025D08&quot;/&gt;&lt;wsp:rsid wsp:val=&quot;000263BE&quot;/&gt;&lt;wsp:rsid wsp:val=&quot;000264D7&quot;/&gt;&lt;wsp:rsid wsp:val=&quot;000264DF&quot;/&gt;&lt;wsp:rsid wsp:val=&quot;00026B71&quot;/&gt;&lt;wsp:rsid wsp:val=&quot;00026F6B&quot;/&gt;&lt;wsp:rsid wsp:val=&quot;00030030&quot;/&gt;&lt;wsp:rsid wsp:val=&quot;000305A5&quot;/&gt;&lt;wsp:rsid wsp:val=&quot;0003084A&quot;/&gt;&lt;wsp:rsid wsp:val=&quot;00030C93&quot;/&gt;&lt;wsp:rsid wsp:val=&quot;00031182&quot;/&gt;&lt;wsp:rsid wsp:val=&quot;00032A51&quot;/&gt;&lt;wsp:rsid wsp:val=&quot;00032A8F&quot;/&gt;&lt;wsp:rsid wsp:val=&quot;0003362E&quot;/&gt;&lt;wsp:rsid wsp:val=&quot;0003467F&quot;/&gt;&lt;wsp:rsid wsp:val=&quot;00034AAF&quot;/&gt;&lt;wsp:rsid wsp:val=&quot;000350F0&quot;/&gt;&lt;wsp:rsid wsp:val=&quot;000357BE&quot;/&gt;&lt;wsp:rsid wsp:val=&quot;00035A62&quot;/&gt;&lt;wsp:rsid wsp:val=&quot;00035C0E&quot;/&gt;&lt;wsp:rsid wsp:val=&quot;00035D98&quot;/&gt;&lt;wsp:rsid wsp:val=&quot;00035FD0&quot;/&gt;&lt;wsp:rsid wsp:val=&quot;0003649D&quot;/&gt;&lt;wsp:rsid wsp:val=&quot;00036700&quot;/&gt;&lt;wsp:rsid wsp:val=&quot;00036D9C&quot;/&gt;&lt;wsp:rsid wsp:val=&quot;00036E45&quot;/&gt;&lt;wsp:rsid wsp:val=&quot;00037850&quot;/&gt;&lt;wsp:rsid wsp:val=&quot;00037ABA&quot;/&gt;&lt;wsp:rsid wsp:val=&quot;00037B31&quot;/&gt;&lt;wsp:rsid wsp:val=&quot;000400EF&quot;/&gt;&lt;wsp:rsid wsp:val=&quot;00040499&quot;/&gt;&lt;wsp:rsid wsp:val=&quot;000405AF&quot;/&gt;&lt;wsp:rsid wsp:val=&quot;000413AE&quot;/&gt;&lt;wsp:rsid wsp:val=&quot;00041503&quot;/&gt;&lt;wsp:rsid wsp:val=&quot;0004194D&quot;/&gt;&lt;wsp:rsid wsp:val=&quot;000421AF&quot;/&gt;&lt;wsp:rsid wsp:val=&quot;00042378&quot;/&gt;&lt;wsp:rsid wsp:val=&quot;0004362D&quot;/&gt;&lt;wsp:rsid wsp:val=&quot;00043AE3&quot;/&gt;&lt;wsp:rsid wsp:val=&quot;00043E78&quot;/&gt;&lt;wsp:rsid wsp:val=&quot;00044185&quot;/&gt;&lt;wsp:rsid wsp:val=&quot;0004468D&quot;/&gt;&lt;wsp:rsid wsp:val=&quot;00044CBA&quot;/&gt;&lt;wsp:rsid wsp:val=&quot;000451D6&quot;/&gt;&lt;wsp:rsid wsp:val=&quot;00045759&quot;/&gt;&lt;wsp:rsid wsp:val=&quot;00045A0C&quot;/&gt;&lt;wsp:rsid wsp:val=&quot;00045B6C&quot;/&gt;&lt;wsp:rsid wsp:val=&quot;000462D3&quot;/&gt;&lt;wsp:rsid wsp:val=&quot;0004631C&quot;/&gt;&lt;wsp:rsid wsp:val=&quot;000463D1&quot;/&gt;&lt;wsp:rsid wsp:val=&quot;0004686E&quot;/&gt;&lt;wsp:rsid wsp:val=&quot;00046C7B&quot;/&gt;&lt;wsp:rsid wsp:val=&quot;00046DAC&quot;/&gt;&lt;wsp:rsid wsp:val=&quot;0004712E&quot;/&gt;&lt;wsp:rsid wsp:val=&quot;00047301&quot;/&gt;&lt;wsp:rsid wsp:val=&quot;000474B5&quot;/&gt;&lt;wsp:rsid wsp:val=&quot;00047D0C&quot;/&gt;&lt;wsp:rsid wsp:val=&quot;00047E34&quot;/&gt;&lt;wsp:rsid wsp:val=&quot;00050561&quot;/&gt;&lt;wsp:rsid wsp:val=&quot;0005094A&quot;/&gt;&lt;wsp:rsid wsp:val=&quot;00050D11&quot;/&gt;&lt;wsp:rsid wsp:val=&quot;00050D6A&quot;/&gt;&lt;wsp:rsid wsp:val=&quot;000515CD&quot;/&gt;&lt;wsp:rsid wsp:val=&quot;00051838&quot;/&gt;&lt;wsp:rsid wsp:val=&quot;00051A77&quot;/&gt;&lt;wsp:rsid wsp:val=&quot;0005211F&quot;/&gt;&lt;wsp:rsid wsp:val=&quot;00052F29&quot;/&gt;&lt;wsp:rsid wsp:val=&quot;0005323C&quot;/&gt;&lt;wsp:rsid wsp:val=&quot;000540A4&quot;/&gt;&lt;wsp:rsid wsp:val=&quot;0005422F&quot;/&gt;&lt;wsp:rsid wsp:val=&quot;00054374&quot;/&gt;&lt;wsp:rsid wsp:val=&quot;000543CC&quot;/&gt;&lt;wsp:rsid wsp:val=&quot;00054835&quot;/&gt;&lt;wsp:rsid wsp:val=&quot;00054B5C&quot;/&gt;&lt;wsp:rsid wsp:val=&quot;00054B78&quot;/&gt;&lt;wsp:rsid wsp:val=&quot;00055105&quot;/&gt;&lt;wsp:rsid wsp:val=&quot;00055237&quot;/&gt;&lt;wsp:rsid wsp:val=&quot;000556CB&quot;/&gt;&lt;wsp:rsid wsp:val=&quot;0005573A&quot;/&gt;&lt;wsp:rsid wsp:val=&quot;00055937&quot;/&gt;&lt;wsp:rsid wsp:val=&quot;00055BC7&quot;/&gt;&lt;wsp:rsid wsp:val=&quot;00056413&quot;/&gt;&lt;wsp:rsid wsp:val=&quot;00056646&quot;/&gt;&lt;wsp:rsid wsp:val=&quot;00056C64&quot;/&gt;&lt;wsp:rsid wsp:val=&quot;00056D5A&quot;/&gt;&lt;wsp:rsid wsp:val=&quot;00057295&quot;/&gt;&lt;wsp:rsid wsp:val=&quot;000572E4&quot;/&gt;&lt;wsp:rsid wsp:val=&quot;000579DF&quot;/&gt;&lt;wsp:rsid wsp:val=&quot;00057E8B&quot;/&gt;&lt;wsp:rsid wsp:val=&quot;0006020C&quot;/&gt;&lt;wsp:rsid wsp:val=&quot;0006023D&quot;/&gt;&lt;wsp:rsid wsp:val=&quot;000607D2&quot;/&gt;&lt;wsp:rsid wsp:val=&quot;0006092E&quot;/&gt;&lt;wsp:rsid wsp:val=&quot;00060C90&quot;/&gt;&lt;wsp:rsid wsp:val=&quot;0006138B&quot;/&gt;&lt;wsp:rsid wsp:val=&quot;00061757&quot;/&gt;&lt;wsp:rsid wsp:val=&quot;00062483&quot;/&gt;&lt;wsp:rsid wsp:val=&quot;00062777&quot;/&gt;&lt;wsp:rsid wsp:val=&quot;000627EA&quot;/&gt;&lt;wsp:rsid wsp:val=&quot;00062C40&quot;/&gt;&lt;wsp:rsid wsp:val=&quot;00062E2F&quot;/&gt;&lt;wsp:rsid wsp:val=&quot;00062FAC&quot;/&gt;&lt;wsp:rsid wsp:val=&quot;000633EB&quot;/&gt;&lt;wsp:rsid wsp:val=&quot;000645D0&quot;/&gt;&lt;wsp:rsid wsp:val=&quot;00064954&quot;/&gt;&lt;wsp:rsid wsp:val=&quot;00064C74&quot;/&gt;&lt;wsp:rsid wsp:val=&quot;0006505A&quot;/&gt;&lt;wsp:rsid wsp:val=&quot;0006564E&quot;/&gt;&lt;wsp:rsid wsp:val=&quot;00065A4A&quot;/&gt;&lt;wsp:rsid wsp:val=&quot;000665D0&quot;/&gt;&lt;wsp:rsid wsp:val=&quot;00066A9B&quot;/&gt;&lt;wsp:rsid wsp:val=&quot;00066AEC&quot;/&gt;&lt;wsp:rsid wsp:val=&quot;00066BC2&quot;/&gt;&lt;wsp:rsid wsp:val=&quot;000674EE&quot;/&gt;&lt;wsp:rsid wsp:val=&quot;00070549&quot;/&gt;&lt;wsp:rsid wsp:val=&quot;0007133C&quot;/&gt;&lt;wsp:rsid wsp:val=&quot;0007186E&quot;/&gt;&lt;wsp:rsid wsp:val=&quot;00071B75&quot;/&gt;&lt;wsp:rsid wsp:val=&quot;00071FE6&quot;/&gt;&lt;wsp:rsid wsp:val=&quot;0007224A&quot;/&gt;&lt;wsp:rsid wsp:val=&quot;000725F5&quot;/&gt;&lt;wsp:rsid wsp:val=&quot;00072BFF&quot;/&gt;&lt;wsp:rsid wsp:val=&quot;00072DD1&quot;/&gt;&lt;wsp:rsid wsp:val=&quot;00072E57&quot;/&gt;&lt;wsp:rsid wsp:val=&quot;000737E6&quot;/&gt;&lt;wsp:rsid wsp:val=&quot;00073ADB&quot;/&gt;&lt;wsp:rsid wsp:val=&quot;00073C23&quot;/&gt;&lt;wsp:rsid wsp:val=&quot;00074275&quot;/&gt;&lt;wsp:rsid wsp:val=&quot;000747A4&quot;/&gt;&lt;wsp:rsid wsp:val=&quot;00074E84&quot;/&gt;&lt;wsp:rsid wsp:val=&quot;00075C75&quot;/&gt;&lt;wsp:rsid wsp:val=&quot;00075CA8&quot;/&gt;&lt;wsp:rsid wsp:val=&quot;000764F6&quot;/&gt;&lt;wsp:rsid wsp:val=&quot;00076C0F&quot;/&gt;&lt;wsp:rsid wsp:val=&quot;00076C58&quot;/&gt;&lt;wsp:rsid wsp:val=&quot;0008008D&quot;/&gt;&lt;wsp:rsid wsp:val=&quot;00080170&quot;/&gt;&lt;wsp:rsid wsp:val=&quot;0008048F&quot;/&gt;&lt;wsp:rsid wsp:val=&quot;00080ABD&quot;/&gt;&lt;wsp:rsid wsp:val=&quot;00080AFF&quot;/&gt;&lt;wsp:rsid wsp:val=&quot;00080CEF&quot;/&gt;&lt;wsp:rsid wsp:val=&quot;00080F08&quot;/&gt;&lt;wsp:rsid wsp:val=&quot;00080FC8&quot;/&gt;&lt;wsp:rsid wsp:val=&quot;0008168C&quot;/&gt;&lt;wsp:rsid wsp:val=&quot;00081FF1&quot;/&gt;&lt;wsp:rsid wsp:val=&quot;0008214C&quot;/&gt;&lt;wsp:rsid wsp:val=&quot;00082547&quot;/&gt;&lt;wsp:rsid wsp:val=&quot;0008259A&quot;/&gt;&lt;wsp:rsid wsp:val=&quot;000825F8&quot;/&gt;&lt;wsp:rsid wsp:val=&quot;00082C43&quot;/&gt;&lt;wsp:rsid wsp:val=&quot;0008413E&quot;/&gt;&lt;wsp:rsid wsp:val=&quot;0008436B&quot;/&gt;&lt;wsp:rsid wsp:val=&quot;00084389&quot;/&gt;&lt;wsp:rsid wsp:val=&quot;00084589&quot;/&gt;&lt;wsp:rsid wsp:val=&quot;0008462C&quot;/&gt;&lt;wsp:rsid wsp:val=&quot;00084813&quot;/&gt;&lt;wsp:rsid wsp:val=&quot;00084887&quot;/&gt;&lt;wsp:rsid wsp:val=&quot;00084A08&quot;/&gt;&lt;wsp:rsid wsp:val=&quot;000852AA&quot;/&gt;&lt;wsp:rsid wsp:val=&quot;00085319&quot;/&gt;&lt;wsp:rsid wsp:val=&quot;00085624&quot;/&gt;&lt;wsp:rsid wsp:val=&quot;00085A70&quot;/&gt;&lt;wsp:rsid wsp:val=&quot;00085BF1&quot;/&gt;&lt;wsp:rsid wsp:val=&quot;00086A76&quot;/&gt;&lt;wsp:rsid wsp:val=&quot;00086C64&quot;/&gt;&lt;wsp:rsid wsp:val=&quot;00086D52&quot;/&gt;&lt;wsp:rsid wsp:val=&quot;00086E6F&quot;/&gt;&lt;wsp:rsid wsp:val=&quot;00086E74&quot;/&gt;&lt;wsp:rsid wsp:val=&quot;00087258&quot;/&gt;&lt;wsp:rsid wsp:val=&quot;000872C5&quot;/&gt;&lt;wsp:rsid wsp:val=&quot;000876CE&quot;/&gt;&lt;wsp:rsid wsp:val=&quot;00087806&quot;/&gt;&lt;wsp:rsid wsp:val=&quot;00087C51&quot;/&gt;&lt;wsp:rsid wsp:val=&quot;00087E4F&quot;/&gt;&lt;wsp:rsid wsp:val=&quot;00087FB3&quot;/&gt;&lt;wsp:rsid wsp:val=&quot;0009008A&quot;/&gt;&lt;wsp:rsid wsp:val=&quot;00090176&quot;/&gt;&lt;wsp:rsid wsp:val=&quot;00090457&quot;/&gt;&lt;wsp:rsid wsp:val=&quot;000909A2&quot;/&gt;&lt;wsp:rsid wsp:val=&quot;000912A8&quot;/&gt;&lt;wsp:rsid wsp:val=&quot;0009159D&quot;/&gt;&lt;wsp:rsid wsp:val=&quot;00091926&quot;/&gt;&lt;wsp:rsid wsp:val=&quot;00091DA8&quot;/&gt;&lt;wsp:rsid wsp:val=&quot;0009297A&quot;/&gt;&lt;wsp:rsid wsp:val=&quot;00092AED&quot;/&gt;&lt;wsp:rsid wsp:val=&quot;00093248&quot;/&gt;&lt;wsp:rsid wsp:val=&quot;00093714&quot;/&gt;&lt;wsp:rsid wsp:val=&quot;0009387C&quot;/&gt;&lt;wsp:rsid wsp:val=&quot;0009407B&quot;/&gt;&lt;wsp:rsid wsp:val=&quot;00094D3B&quot;/&gt;&lt;wsp:rsid wsp:val=&quot;000955F6&quot;/&gt;&lt;wsp:rsid wsp:val=&quot;00095D99&quot;/&gt;&lt;wsp:rsid wsp:val=&quot;00095F41&quot;/&gt;&lt;wsp:rsid wsp:val=&quot;000967AB&quot;/&gt;&lt;wsp:rsid wsp:val=&quot;00096DD7&quot;/&gt;&lt;wsp:rsid wsp:val=&quot;00097C64&quot;/&gt;&lt;wsp:rsid wsp:val=&quot;000A023D&quot;/&gt;&lt;wsp:rsid wsp:val=&quot;000A02BA&quot;/&gt;&lt;wsp:rsid wsp:val=&quot;000A0793&quot;/&gt;&lt;wsp:rsid wsp:val=&quot;000A0F58&quot;/&gt;&lt;wsp:rsid wsp:val=&quot;000A1024&quot;/&gt;&lt;wsp:rsid wsp:val=&quot;000A1E19&quot;/&gt;&lt;wsp:rsid wsp:val=&quot;000A1EB9&quot;/&gt;&lt;wsp:rsid wsp:val=&quot;000A20A0&quot;/&gt;&lt;wsp:rsid wsp:val=&quot;000A242E&quot;/&gt;&lt;wsp:rsid wsp:val=&quot;000A2BFA&quot;/&gt;&lt;wsp:rsid wsp:val=&quot;000A2D6A&quot;/&gt;&lt;wsp:rsid wsp:val=&quot;000A3340&quot;/&gt;&lt;wsp:rsid wsp:val=&quot;000A3A40&quot;/&gt;&lt;wsp:rsid wsp:val=&quot;000A3D88&quot;/&gt;&lt;wsp:rsid wsp:val=&quot;000A42B3&quot;/&gt;&lt;wsp:rsid wsp:val=&quot;000A4656&quot;/&gt;&lt;wsp:rsid wsp:val=&quot;000A4A64&quot;/&gt;&lt;wsp:rsid wsp:val=&quot;000A4C57&quot;/&gt;&lt;wsp:rsid wsp:val=&quot;000A4CA2&quot;/&gt;&lt;wsp:rsid wsp:val=&quot;000A4D26&quot;/&gt;&lt;wsp:rsid wsp:val=&quot;000A542D&quot;/&gt;&lt;wsp:rsid wsp:val=&quot;000A54E2&quot;/&gt;&lt;wsp:rsid wsp:val=&quot;000A5DAD&quot;/&gt;&lt;wsp:rsid wsp:val=&quot;000A66E8&quot;/&gt;&lt;wsp:rsid wsp:val=&quot;000A67A7&quot;/&gt;&lt;wsp:rsid wsp:val=&quot;000A7FD9&quot;/&gt;&lt;wsp:rsid wsp:val=&quot;000B027D&quot;/&gt;&lt;wsp:rsid wsp:val=&quot;000B0939&quot;/&gt;&lt;wsp:rsid wsp:val=&quot;000B0B7A&quot;/&gt;&lt;wsp:rsid wsp:val=&quot;000B0C07&quot;/&gt;&lt;wsp:rsid wsp:val=&quot;000B0D22&quot;/&gt;&lt;wsp:rsid wsp:val=&quot;000B0F74&quot;/&gt;&lt;wsp:rsid wsp:val=&quot;000B10E8&quot;/&gt;&lt;wsp:rsid wsp:val=&quot;000B1E94&quot;/&gt;&lt;wsp:rsid wsp:val=&quot;000B2381&quot;/&gt;&lt;wsp:rsid wsp:val=&quot;000B24B1&quot;/&gt;&lt;wsp:rsid wsp:val=&quot;000B2631&quot;/&gt;&lt;wsp:rsid wsp:val=&quot;000B2A57&quot;/&gt;&lt;wsp:rsid wsp:val=&quot;000B2FE1&quot;/&gt;&lt;wsp:rsid wsp:val=&quot;000B331B&quot;/&gt;&lt;wsp:rsid wsp:val=&quot;000B352B&quot;/&gt;&lt;wsp:rsid wsp:val=&quot;000B3677&quot;/&gt;&lt;wsp:rsid wsp:val=&quot;000B3F1A&quot;/&gt;&lt;wsp:rsid wsp:val=&quot;000B4B0A&quot;/&gt;&lt;wsp:rsid wsp:val=&quot;000B5140&quot;/&gt;&lt;wsp:rsid wsp:val=&quot;000B56DD&quot;/&gt;&lt;wsp:rsid wsp:val=&quot;000B5869&quot;/&gt;&lt;wsp:rsid wsp:val=&quot;000B5E86&quot;/&gt;&lt;wsp:rsid wsp:val=&quot;000B6231&quot;/&gt;&lt;wsp:rsid wsp:val=&quot;000B6499&quot;/&gt;&lt;wsp:rsid wsp:val=&quot;000B6507&quot;/&gt;&lt;wsp:rsid wsp:val=&quot;000B672B&quot;/&gt;&lt;wsp:rsid wsp:val=&quot;000B6EF9&quot;/&gt;&lt;wsp:rsid wsp:val=&quot;000B7B15&quot;/&gt;&lt;wsp:rsid wsp:val=&quot;000B7F5D&quot;/&gt;&lt;wsp:rsid wsp:val=&quot;000B7FA5&quot;/&gt;&lt;wsp:rsid wsp:val=&quot;000C012A&quot;/&gt;&lt;wsp:rsid wsp:val=&quot;000C024B&quot;/&gt;&lt;wsp:rsid wsp:val=&quot;000C04AC&quot;/&gt;&lt;wsp:rsid wsp:val=&quot;000C05A3&quot;/&gt;&lt;wsp:rsid wsp:val=&quot;000C0602&quot;/&gt;&lt;wsp:rsid wsp:val=&quot;000C06D5&quot;/&gt;&lt;wsp:rsid wsp:val=&quot;000C079E&quot;/&gt;&lt;wsp:rsid wsp:val=&quot;000C0F24&quot;/&gt;&lt;wsp:rsid wsp:val=&quot;000C144D&quot;/&gt;&lt;wsp:rsid wsp:val=&quot;000C18CC&quot;/&gt;&lt;wsp:rsid wsp:val=&quot;000C191E&quot;/&gt;&lt;wsp:rsid wsp:val=&quot;000C198B&quot;/&gt;&lt;wsp:rsid wsp:val=&quot;000C1E23&quot;/&gt;&lt;wsp:rsid wsp:val=&quot;000C2381&quot;/&gt;&lt;wsp:rsid wsp:val=&quot;000C251B&quot;/&gt;&lt;wsp:rsid wsp:val=&quot;000C2EBB&quot;/&gt;&lt;wsp:rsid wsp:val=&quot;000C32B2&quot;/&gt;&lt;wsp:rsid wsp:val=&quot;000C3544&quot;/&gt;&lt;wsp:rsid wsp:val=&quot;000C455A&quot;/&gt;&lt;wsp:rsid wsp:val=&quot;000C4859&quot;/&gt;&lt;wsp:rsid wsp:val=&quot;000C4A04&quot;/&gt;&lt;wsp:rsid wsp:val=&quot;000C4CEC&quot;/&gt;&lt;wsp:rsid wsp:val=&quot;000C520B&quot;/&gt;&lt;wsp:rsid wsp:val=&quot;000C5427&quot;/&gt;&lt;wsp:rsid wsp:val=&quot;000C55F3&quot;/&gt;&lt;wsp:rsid wsp:val=&quot;000C5608&quot;/&gt;&lt;wsp:rsid wsp:val=&quot;000C5CC8&quot;/&gt;&lt;wsp:rsid wsp:val=&quot;000C5E37&quot;/&gt;&lt;wsp:rsid wsp:val=&quot;000C5EFC&quot;/&gt;&lt;wsp:rsid wsp:val=&quot;000C74EB&quot;/&gt;&lt;wsp:rsid wsp:val=&quot;000C7967&quot;/&gt;&lt;wsp:rsid wsp:val=&quot;000C7AAD&quot;/&gt;&lt;wsp:rsid wsp:val=&quot;000D0087&quot;/&gt;&lt;wsp:rsid wsp:val=&quot;000D01A5&quot;/&gt;&lt;wsp:rsid wsp:val=&quot;000D0590&quot;/&gt;&lt;wsp:rsid wsp:val=&quot;000D0A84&quot;/&gt;&lt;wsp:rsid wsp:val=&quot;000D11FD&quot;/&gt;&lt;wsp:rsid wsp:val=&quot;000D159B&quot;/&gt;&lt;wsp:rsid wsp:val=&quot;000D196A&quot;/&gt;&lt;wsp:rsid wsp:val=&quot;000D1EF7&quot;/&gt;&lt;wsp:rsid wsp:val=&quot;000D2140&quot;/&gt;&lt;wsp:rsid wsp:val=&quot;000D2444&quot;/&gt;&lt;wsp:rsid wsp:val=&quot;000D252E&quot;/&gt;&lt;wsp:rsid wsp:val=&quot;000D3396&quot;/&gt;&lt;wsp:rsid wsp:val=&quot;000D3792&quot;/&gt;&lt;wsp:rsid wsp:val=&quot;000D3BDA&quot;/&gt;&lt;wsp:rsid wsp:val=&quot;000D3C9A&quot;/&gt;&lt;wsp:rsid wsp:val=&quot;000D448D&quot;/&gt;&lt;wsp:rsid wsp:val=&quot;000D4656&quot;/&gt;&lt;wsp:rsid wsp:val=&quot;000D5AD5&quot;/&gt;&lt;wsp:rsid wsp:val=&quot;000D5D8D&quot;/&gt;&lt;wsp:rsid wsp:val=&quot;000D60B1&quot;/&gt;&lt;wsp:rsid wsp:val=&quot;000D6B8B&quot;/&gt;&lt;wsp:rsid wsp:val=&quot;000D6C82&quot;/&gt;&lt;wsp:rsid wsp:val=&quot;000D6D59&quot;/&gt;&lt;wsp:rsid wsp:val=&quot;000D7E4A&quot;/&gt;&lt;wsp:rsid wsp:val=&quot;000D7E96&quot;/&gt;&lt;wsp:rsid wsp:val=&quot;000E016E&quot;/&gt;&lt;wsp:rsid wsp:val=&quot;000E0239&quot;/&gt;&lt;wsp:rsid wsp:val=&quot;000E0374&quot;/&gt;&lt;wsp:rsid wsp:val=&quot;000E0578&quot;/&gt;&lt;wsp:rsid wsp:val=&quot;000E0598&quot;/&gt;&lt;wsp:rsid wsp:val=&quot;000E072C&quot;/&gt;&lt;wsp:rsid wsp:val=&quot;000E077E&quot;/&gt;&lt;wsp:rsid wsp:val=&quot;000E0D28&quot;/&gt;&lt;wsp:rsid wsp:val=&quot;000E0FDE&quot;/&gt;&lt;wsp:rsid wsp:val=&quot;000E12A0&quot;/&gt;&lt;wsp:rsid wsp:val=&quot;000E1F2A&quot;/&gt;&lt;wsp:rsid wsp:val=&quot;000E1F52&quot;/&gt;&lt;wsp:rsid wsp:val=&quot;000E21F3&quot;/&gt;&lt;wsp:rsid wsp:val=&quot;000E2C84&quot;/&gt;&lt;wsp:rsid wsp:val=&quot;000E3120&quot;/&gt;&lt;wsp:rsid wsp:val=&quot;000E3F11&quot;/&gt;&lt;wsp:rsid wsp:val=&quot;000E3FD2&quot;/&gt;&lt;wsp:rsid wsp:val=&quot;000E61E1&quot;/&gt;&lt;wsp:rsid wsp:val=&quot;000E69C6&quot;/&gt;&lt;wsp:rsid wsp:val=&quot;000E6C6D&quot;/&gt;&lt;wsp:rsid wsp:val=&quot;000E6EF5&quot;/&gt;&lt;wsp:rsid wsp:val=&quot;000E7167&quot;/&gt;&lt;wsp:rsid wsp:val=&quot;000E781F&quot;/&gt;&lt;wsp:rsid wsp:val=&quot;000E7AC1&quot;/&gt;&lt;wsp:rsid wsp:val=&quot;000E7F7D&quot;/&gt;&lt;wsp:rsid wsp:val=&quot;000F05AB&quot;/&gt;&lt;wsp:rsid wsp:val=&quot;000F05B5&quot;/&gt;&lt;wsp:rsid wsp:val=&quot;000F0E67&quot;/&gt;&lt;wsp:rsid wsp:val=&quot;000F1037&quot;/&gt;&lt;wsp:rsid wsp:val=&quot;000F17A8&quot;/&gt;&lt;wsp:rsid wsp:val=&quot;000F1DFE&quot;/&gt;&lt;wsp:rsid wsp:val=&quot;000F1EC9&quot;/&gt;&lt;wsp:rsid wsp:val=&quot;000F1ED6&quot;/&gt;&lt;wsp:rsid wsp:val=&quot;000F262B&quot;/&gt;&lt;wsp:rsid wsp:val=&quot;000F32C4&quot;/&gt;&lt;wsp:rsid wsp:val=&quot;000F35BC&quot;/&gt;&lt;wsp:rsid wsp:val=&quot;000F391F&quot;/&gt;&lt;wsp:rsid wsp:val=&quot;000F3AB3&quot;/&gt;&lt;wsp:rsid wsp:val=&quot;000F4024&quot;/&gt;&lt;wsp:rsid wsp:val=&quot;000F4205&quot;/&gt;&lt;wsp:rsid wsp:val=&quot;000F44F4&quot;/&gt;&lt;wsp:rsid wsp:val=&quot;000F48E2&quot;/&gt;&lt;wsp:rsid wsp:val=&quot;000F4EB4&quot;/&gt;&lt;wsp:rsid wsp:val=&quot;000F53DE&quot;/&gt;&lt;wsp:rsid wsp:val=&quot;000F53ED&quot;/&gt;&lt;wsp:rsid wsp:val=&quot;000F55B2&quot;/&gt;&lt;wsp:rsid wsp:val=&quot;000F5E33&quot;/&gt;&lt;wsp:rsid wsp:val=&quot;000F5F42&quot;/&gt;&lt;wsp:rsid wsp:val=&quot;000F68AD&quot;/&gt;&lt;wsp:rsid wsp:val=&quot;000F692E&quot;/&gt;&lt;wsp:rsid wsp:val=&quot;000F6DAE&quot;/&gt;&lt;wsp:rsid wsp:val=&quot;000F78E3&quot;/&gt;&lt;wsp:rsid wsp:val=&quot;000F79B5&quot;/&gt;&lt;wsp:rsid wsp:val=&quot;000F7BF5&quot;/&gt;&lt;wsp:rsid wsp:val=&quot;000F7CF0&quot;/&gt;&lt;wsp:rsid wsp:val=&quot;001009AE&quot;/&gt;&lt;wsp:rsid wsp:val=&quot;00101150&quot;/&gt;&lt;wsp:rsid wsp:val=&quot;00101773&quot;/&gt;&lt;wsp:rsid wsp:val=&quot;00101C15&quot;/&gt;&lt;wsp:rsid wsp:val=&quot;0010240E&quot;/&gt;&lt;wsp:rsid wsp:val=&quot;001026E3&quot;/&gt;&lt;wsp:rsid wsp:val=&quot;00102994&quot;/&gt;&lt;wsp:rsid wsp:val=&quot;00103442&quot;/&gt;&lt;wsp:rsid wsp:val=&quot;00103BD7&quot;/&gt;&lt;wsp:rsid wsp:val=&quot;001041D7&quot;/&gt;&lt;wsp:rsid wsp:val=&quot;00104254&quot;/&gt;&lt;wsp:rsid wsp:val=&quot;00104656&quot;/&gt;&lt;wsp:rsid wsp:val=&quot;00104799&quot;/&gt;&lt;wsp:rsid wsp:val=&quot;00105331&quot;/&gt;&lt;wsp:rsid wsp:val=&quot;0010633C&quot;/&gt;&lt;wsp:rsid wsp:val=&quot;00106758&quot;/&gt;&lt;wsp:rsid wsp:val=&quot;001072F7&quot;/&gt;&lt;wsp:rsid wsp:val=&quot;00107579&quot;/&gt;&lt;wsp:rsid wsp:val=&quot;0010772F&quot;/&gt;&lt;wsp:rsid wsp:val=&quot;00107BA5&quot;/&gt;&lt;wsp:rsid wsp:val=&quot;00107E85&quot;/&gt;&lt;wsp:rsid wsp:val=&quot;0011034A&quot;/&gt;&lt;wsp:rsid wsp:val=&quot;0011040E&quot;/&gt;&lt;wsp:rsid wsp:val=&quot;00110973&quot;/&gt;&lt;wsp:rsid wsp:val=&quot;001115E4&quot;/&gt;&lt;wsp:rsid wsp:val=&quot;001119C0&quot;/&gt;&lt;wsp:rsid wsp:val=&quot;00112439&quot;/&gt;&lt;wsp:rsid wsp:val=&quot;00112807&quot;/&gt;&lt;wsp:rsid wsp:val=&quot;001128B5&quot;/&gt;&lt;wsp:rsid wsp:val=&quot;00112ACA&quot;/&gt;&lt;wsp:rsid wsp:val=&quot;001130F4&quot;/&gt;&lt;wsp:rsid wsp:val=&quot;00113554&quot;/&gt;&lt;wsp:rsid wsp:val=&quot;001136F5&quot;/&gt;&lt;wsp:rsid wsp:val=&quot;001137A5&quot;/&gt;&lt;wsp:rsid wsp:val=&quot;001137E8&quot;/&gt;&lt;wsp:rsid wsp:val=&quot;00113972&quot;/&gt;&lt;wsp:rsid wsp:val=&quot;00113D54&quot;/&gt;&lt;wsp:rsid wsp:val=&quot;0011404D&quot;/&gt;&lt;wsp:rsid wsp:val=&quot;00114056&quot;/&gt;&lt;wsp:rsid wsp:val=&quot;00114671&quot;/&gt;&lt;wsp:rsid wsp:val=&quot;00114B05&quot;/&gt;&lt;wsp:rsid wsp:val=&quot;00114C88&quot;/&gt;&lt;wsp:rsid wsp:val=&quot;00115149&quot;/&gt;&lt;wsp:rsid wsp:val=&quot;0011553E&quot;/&gt;&lt;wsp:rsid wsp:val=&quot;0011601D&quot;/&gt;&lt;wsp:rsid wsp:val=&quot;001163F8&quot;/&gt;&lt;wsp:rsid wsp:val=&quot;001167AB&quot;/&gt;&lt;wsp:rsid wsp:val=&quot;00116F7F&quot;/&gt;&lt;wsp:rsid wsp:val=&quot;0011741C&quot;/&gt;&lt;wsp:rsid wsp:val=&quot;00117449&quot;/&gt;&lt;wsp:rsid wsp:val=&quot;0011747B&quot;/&gt;&lt;wsp:rsid wsp:val=&quot;00117571&quot;/&gt;&lt;wsp:rsid wsp:val=&quot;00117D73&quot;/&gt;&lt;wsp:rsid wsp:val=&quot;00117E16&quot;/&gt;&lt;wsp:rsid wsp:val=&quot;001201A9&quot;/&gt;&lt;wsp:rsid wsp:val=&quot;0012048A&quot;/&gt;&lt;wsp:rsid wsp:val=&quot;001204A5&quot;/&gt;&lt;wsp:rsid wsp:val=&quot;00120A5F&quot;/&gt;&lt;wsp:rsid wsp:val=&quot;00121050&quot;/&gt;&lt;wsp:rsid wsp:val=&quot;0012185A&quot;/&gt;&lt;wsp:rsid wsp:val=&quot;001218FC&quot;/&gt;&lt;wsp:rsid wsp:val=&quot;00121A25&quot;/&gt;&lt;wsp:rsid wsp:val=&quot;00121C3E&quot;/&gt;&lt;wsp:rsid wsp:val=&quot;0012201F&quot;/&gt;&lt;wsp:rsid wsp:val=&quot;00122278&quot;/&gt;&lt;wsp:rsid wsp:val=&quot;00122744&quot;/&gt;&lt;wsp:rsid wsp:val=&quot;00122D23&quot;/&gt;&lt;wsp:rsid wsp:val=&quot;0012334E&quot;/&gt;&lt;wsp:rsid wsp:val=&quot;00123601&quot;/&gt;&lt;wsp:rsid wsp:val=&quot;0012404A&quot;/&gt;&lt;wsp:rsid wsp:val=&quot;00124829&quot;/&gt;&lt;wsp:rsid wsp:val=&quot;00125444&quot;/&gt;&lt;wsp:rsid wsp:val=&quot;001257C2&quot;/&gt;&lt;wsp:rsid wsp:val=&quot;00125ADE&quot;/&gt;&lt;wsp:rsid wsp:val=&quot;00125AF6&quot;/&gt;&lt;wsp:rsid wsp:val=&quot;00125BD2&quot;/&gt;&lt;wsp:rsid wsp:val=&quot;00125E06&quot;/&gt;&lt;wsp:rsid wsp:val=&quot;00125F5A&quot;/&gt;&lt;wsp:rsid wsp:val=&quot;001263C0&quot;/&gt;&lt;wsp:rsid wsp:val=&quot;00126789&quot;/&gt;&lt;wsp:rsid wsp:val=&quot;0012684E&quot;/&gt;&lt;wsp:rsid wsp:val=&quot;00126C59&quot;/&gt;&lt;wsp:rsid wsp:val=&quot;00127975&quot;/&gt;&lt;wsp:rsid wsp:val=&quot;00127CF8&quot;/&gt;&lt;wsp:rsid wsp:val=&quot;00127DAD&quot;/&gt;&lt;wsp:rsid wsp:val=&quot;00127E99&quot;/&gt;&lt;wsp:rsid wsp:val=&quot;00127EF0&quot;/&gt;&lt;wsp:rsid wsp:val=&quot;00127F11&quot;/&gt;&lt;wsp:rsid wsp:val=&quot;00130120&quot;/&gt;&lt;wsp:rsid wsp:val=&quot;00130190&quot;/&gt;&lt;wsp:rsid wsp:val=&quot;0013019D&quot;/&gt;&lt;wsp:rsid wsp:val=&quot;001302B3&quot;/&gt;&lt;wsp:rsid wsp:val=&quot;001314D8&quot;/&gt;&lt;wsp:rsid wsp:val=&quot;0013166B&quot;/&gt;&lt;wsp:rsid wsp:val=&quot;00131850&quot;/&gt;&lt;wsp:rsid wsp:val=&quot;0013199B&quot;/&gt;&lt;wsp:rsid wsp:val=&quot;00131A5B&quot;/&gt;&lt;wsp:rsid wsp:val=&quot;00131F55&quot;/&gt;&lt;wsp:rsid wsp:val=&quot;00132714&quot;/&gt;&lt;wsp:rsid wsp:val=&quot;00132833&quot;/&gt;&lt;wsp:rsid wsp:val=&quot;00132A30&quot;/&gt;&lt;wsp:rsid wsp:val=&quot;00132D20&quot;/&gt;&lt;wsp:rsid wsp:val=&quot;001330DD&quot;/&gt;&lt;wsp:rsid wsp:val=&quot;00133A36&quot;/&gt;&lt;wsp:rsid wsp:val=&quot;00133A73&quot;/&gt;&lt;wsp:rsid wsp:val=&quot;00133AC4&quot;/&gt;&lt;wsp:rsid wsp:val=&quot;00133B58&quot;/&gt;&lt;wsp:rsid wsp:val=&quot;00134591&quot;/&gt;&lt;wsp:rsid wsp:val=&quot;001347D7&quot;/&gt;&lt;wsp:rsid wsp:val=&quot;0013485E&quot;/&gt;&lt;wsp:rsid wsp:val=&quot;00135340&quot;/&gt;&lt;wsp:rsid wsp:val=&quot;00136214&quot;/&gt;&lt;wsp:rsid wsp:val=&quot;00136711&quot;/&gt;&lt;wsp:rsid wsp:val=&quot;00136C3F&quot;/&gt;&lt;wsp:rsid wsp:val=&quot;001373C8&quot;/&gt;&lt;wsp:rsid wsp:val=&quot;00137481&quot;/&gt;&lt;wsp:rsid wsp:val=&quot;00140249&quot;/&gt;&lt;wsp:rsid wsp:val=&quot;00140A69&quot;/&gt;&lt;wsp:rsid wsp:val=&quot;00140D48&quot;/&gt;&lt;wsp:rsid wsp:val=&quot;001413A0&quot;/&gt;&lt;wsp:rsid wsp:val=&quot;001419C9&quot;/&gt;&lt;wsp:rsid wsp:val=&quot;00141A18&quot;/&gt;&lt;wsp:rsid wsp:val=&quot;00141B17&quot;/&gt;&lt;wsp:rsid wsp:val=&quot;00141BFF&quot;/&gt;&lt;wsp:rsid wsp:val=&quot;00141C46&quot;/&gt;&lt;wsp:rsid wsp:val=&quot;001426D9&quot;/&gt;&lt;wsp:rsid wsp:val=&quot;001427EA&quot;/&gt;&lt;wsp:rsid wsp:val=&quot;00142AC7&quot;/&gt;&lt;wsp:rsid wsp:val=&quot;0014306E&quot;/&gt;&lt;wsp:rsid wsp:val=&quot;00143F31&quot;/&gt;&lt;wsp:rsid wsp:val=&quot;00143F9A&quot;/&gt;&lt;wsp:rsid wsp:val=&quot;00144201&quot;/&gt;&lt;wsp:rsid wsp:val=&quot;0014458D&quot;/&gt;&lt;wsp:rsid wsp:val=&quot;00144CEC&quot;/&gt;&lt;wsp:rsid wsp:val=&quot;001453AC&quot;/&gt;&lt;wsp:rsid wsp:val=&quot;00145B32&quot;/&gt;&lt;wsp:rsid wsp:val=&quot;00145C18&quot;/&gt;&lt;wsp:rsid wsp:val=&quot;00145C56&quot;/&gt;&lt;wsp:rsid wsp:val=&quot;00145C82&quot;/&gt;&lt;wsp:rsid wsp:val=&quot;001467B8&quot;/&gt;&lt;wsp:rsid wsp:val=&quot;001468C0&quot;/&gt;&lt;wsp:rsid wsp:val=&quot;00147444&quot;/&gt;&lt;wsp:rsid wsp:val=&quot;001478D8&quot;/&gt;&lt;wsp:rsid wsp:val=&quot;00147E0D&quot;/&gt;&lt;wsp:rsid wsp:val=&quot;00147FC2&quot;/&gt;&lt;wsp:rsid wsp:val=&quot;00150833&quot;/&gt;&lt;wsp:rsid wsp:val=&quot;00152A42&quot;/&gt;&lt;wsp:rsid wsp:val=&quot;0015325B&quot;/&gt;&lt;wsp:rsid wsp:val=&quot;00153FC1&quot;/&gt;&lt;wsp:rsid wsp:val=&quot;00154067&quot;/&gt;&lt;wsp:rsid wsp:val=&quot;0015438C&quot;/&gt;&lt;wsp:rsid wsp:val=&quot;00154830&quot;/&gt;&lt;wsp:rsid wsp:val=&quot;00154D75&quot;/&gt;&lt;wsp:rsid wsp:val=&quot;0015602C&quot;/&gt;&lt;wsp:rsid wsp:val=&quot;0015638D&quot;/&gt;&lt;wsp:rsid wsp:val=&quot;001563E7&quot;/&gt;&lt;wsp:rsid wsp:val=&quot;00156902&quot;/&gt;&lt;wsp:rsid wsp:val=&quot;00156E56&quot;/&gt;&lt;wsp:rsid wsp:val=&quot;00156EC2&quot;/&gt;&lt;wsp:rsid wsp:val=&quot;0015704F&quot;/&gt;&lt;wsp:rsid wsp:val=&quot;001574C4&quot;/&gt;&lt;wsp:rsid wsp:val=&quot;00157569&quot;/&gt;&lt;wsp:rsid wsp:val=&quot;0015759B&quot;/&gt;&lt;wsp:rsid wsp:val=&quot;00157C14&quot;/&gt;&lt;wsp:rsid wsp:val=&quot;00157CA8&quot;/&gt;&lt;wsp:rsid wsp:val=&quot;00160CD4&quot;/&gt;&lt;wsp:rsid wsp:val=&quot;00160FB2&quot;/&gt;&lt;wsp:rsid wsp:val=&quot;001610AE&quot;/&gt;&lt;wsp:rsid wsp:val=&quot;00161770&quot;/&gt;&lt;wsp:rsid wsp:val=&quot;00161B2E&quot;/&gt;&lt;wsp:rsid wsp:val=&quot;00161E44&quot;/&gt;&lt;wsp:rsid wsp:val=&quot;001620F1&quot;/&gt;&lt;wsp:rsid wsp:val=&quot;001621F9&quot;/&gt;&lt;wsp:rsid wsp:val=&quot;00162BCF&quot;/&gt;&lt;wsp:rsid wsp:val=&quot;00163148&quot;/&gt;&lt;wsp:rsid wsp:val=&quot;00163B68&quot;/&gt;&lt;wsp:rsid wsp:val=&quot;00163F27&quot;/&gt;&lt;wsp:rsid wsp:val=&quot;001645AC&quot;/&gt;&lt;wsp:rsid wsp:val=&quot;0016475D&quot;/&gt;&lt;wsp:rsid wsp:val=&quot;00164BA4&quot;/&gt;&lt;wsp:rsid wsp:val=&quot;00164F30&quot;/&gt;&lt;wsp:rsid wsp:val=&quot;001651F8&quot;/&gt;&lt;wsp:rsid wsp:val=&quot;001658B0&quot;/&gt;&lt;wsp:rsid wsp:val=&quot;00165D04&quot;/&gt;&lt;wsp:rsid wsp:val=&quot;00166253&quot;/&gt;&lt;wsp:rsid wsp:val=&quot;00166384&quot;/&gt;&lt;wsp:rsid wsp:val=&quot;00166792&quot;/&gt;&lt;wsp:rsid wsp:val=&quot;0016693B&quot;/&gt;&lt;wsp:rsid wsp:val=&quot;00166DB8&quot;/&gt;&lt;wsp:rsid wsp:val=&quot;00166DFE&quot;/&gt;&lt;wsp:rsid wsp:val=&quot;00166F1A&quot;/&gt;&lt;wsp:rsid wsp:val=&quot;00166FD2&quot;/&gt;&lt;wsp:rsid wsp:val=&quot;0016712D&quot;/&gt;&lt;wsp:rsid wsp:val=&quot;001707FB&quot;/&gt;&lt;wsp:rsid wsp:val=&quot;00170844&quot;/&gt;&lt;wsp:rsid wsp:val=&quot;0017109E&quot;/&gt;&lt;wsp:rsid wsp:val=&quot;0017110B&quot;/&gt;&lt;wsp:rsid wsp:val=&quot;0017111C&quot;/&gt;&lt;wsp:rsid wsp:val=&quot;00171639&quot;/&gt;&lt;wsp:rsid wsp:val=&quot;00171815&quot;/&gt;&lt;wsp:rsid wsp:val=&quot;00171879&quot;/&gt;&lt;wsp:rsid wsp:val=&quot;0017236A&quot;/&gt;&lt;wsp:rsid wsp:val=&quot;00172373&quot;/&gt;&lt;wsp:rsid wsp:val=&quot;0017304A&quot;/&gt;&lt;wsp:rsid wsp:val=&quot;00173832&quot;/&gt;&lt;wsp:rsid wsp:val=&quot;00174EC9&quot;/&gt;&lt;wsp:rsid wsp:val=&quot;00175131&quot;/&gt;&lt;wsp:rsid wsp:val=&quot;0017555E&quot;/&gt;&lt;wsp:rsid wsp:val=&quot;00175B7D&quot;/&gt;&lt;wsp:rsid wsp:val=&quot;00175F2E&quot;/&gt;&lt;wsp:rsid wsp:val=&quot;0017604D&quot;/&gt;&lt;wsp:rsid wsp:val=&quot;001760AA&quot;/&gt;&lt;wsp:rsid wsp:val=&quot;00176270&quot;/&gt;&lt;wsp:rsid wsp:val=&quot;00176428&quot;/&gt;&lt;wsp:rsid wsp:val=&quot;00176566&quot;/&gt;&lt;wsp:rsid wsp:val=&quot;00176876&quot;/&gt;&lt;wsp:rsid wsp:val=&quot;00176930&quot;/&gt;&lt;wsp:rsid wsp:val=&quot;00176B28&quot;/&gt;&lt;wsp:rsid wsp:val=&quot;00176D23&quot;/&gt;&lt;wsp:rsid wsp:val=&quot;00177447&quot;/&gt;&lt;wsp:rsid wsp:val=&quot;001775EB&quot;/&gt;&lt;wsp:rsid wsp:val=&quot;001776CD&quot;/&gt;&lt;wsp:rsid wsp:val=&quot;00177921&quot;/&gt;&lt;wsp:rsid wsp:val=&quot;00177AA2&quot;/&gt;&lt;wsp:rsid wsp:val=&quot;00180353&quot;/&gt;&lt;wsp:rsid wsp:val=&quot;001805A1&quot;/&gt;&lt;wsp:rsid wsp:val=&quot;00180634&quot;/&gt;&lt;wsp:rsid wsp:val=&quot;0018074A&quot;/&gt;&lt;wsp:rsid wsp:val=&quot;00180BD8&quot;/&gt;&lt;wsp:rsid wsp:val=&quot;001816DA&quot;/&gt;&lt;wsp:rsid wsp:val=&quot;001816F5&quot;/&gt;&lt;wsp:rsid wsp:val=&quot;00181BD1&quot;/&gt;&lt;wsp:rsid wsp:val=&quot;00181CEB&quot;/&gt;&lt;wsp:rsid wsp:val=&quot;0018270D&quot;/&gt;&lt;wsp:rsid wsp:val=&quot;00182A99&quot;/&gt;&lt;wsp:rsid wsp:val=&quot;00182D0B&quot;/&gt;&lt;wsp:rsid wsp:val=&quot;00182D84&quot;/&gt;&lt;wsp:rsid wsp:val=&quot;00182FD2&quot;/&gt;&lt;wsp:rsid wsp:val=&quot;00183041&quot;/&gt;&lt;wsp:rsid wsp:val=&quot;00183289&quot;/&gt;&lt;wsp:rsid wsp:val=&quot;00183380&quot;/&gt;&lt;wsp:rsid wsp:val=&quot;0018362B&quot;/&gt;&lt;wsp:rsid wsp:val=&quot;0018379D&quot;/&gt;&lt;wsp:rsid wsp:val=&quot;001841C8&quot;/&gt;&lt;wsp:rsid wsp:val=&quot;00184522&quot;/&gt;&lt;wsp:rsid wsp:val=&quot;001847F2&quot;/&gt;&lt;wsp:rsid wsp:val=&quot;00184B1C&quot;/&gt;&lt;wsp:rsid wsp:val=&quot;001852A7&quot;/&gt;&lt;wsp:rsid wsp:val=&quot;001854AD&quot;/&gt;&lt;wsp:rsid wsp:val=&quot;00185ECC&quot;/&gt;&lt;wsp:rsid wsp:val=&quot;001863F1&quot;/&gt;&lt;wsp:rsid wsp:val=&quot;001867B2&quot;/&gt;&lt;wsp:rsid wsp:val=&quot;00186CEC&quot;/&gt;&lt;wsp:rsid wsp:val=&quot;00186FBA&quot;/&gt;&lt;wsp:rsid wsp:val=&quot;00187062&quot;/&gt;&lt;wsp:rsid wsp:val=&quot;00187718&quot;/&gt;&lt;wsp:rsid wsp:val=&quot;00187B9A&quot;/&gt;&lt;wsp:rsid wsp:val=&quot;001907A7&quot;/&gt;&lt;wsp:rsid wsp:val=&quot;00190F9E&quot;/&gt;&lt;wsp:rsid wsp:val=&quot;00191821&quot;/&gt;&lt;wsp:rsid wsp:val=&quot;00191B06&quot;/&gt;&lt;wsp:rsid wsp:val=&quot;00192CE3&quot;/&gt;&lt;wsp:rsid wsp:val=&quot;00193097&quot;/&gt;&lt;wsp:rsid wsp:val=&quot;001936CA&quot;/&gt;&lt;wsp:rsid wsp:val=&quot;00193DE0&quot;/&gt;&lt;wsp:rsid wsp:val=&quot;0019435B&quot;/&gt;&lt;wsp:rsid wsp:val=&quot;001948C3&quot;/&gt;&lt;wsp:rsid wsp:val=&quot;001949FF&quot;/&gt;&lt;wsp:rsid wsp:val=&quot;0019502B&quot;/&gt;&lt;wsp:rsid wsp:val=&quot;00195167&quot;/&gt;&lt;wsp:rsid wsp:val=&quot;001954D7&quot;/&gt;&lt;wsp:rsid wsp:val=&quot;0019641F&quot;/&gt;&lt;wsp:rsid wsp:val=&quot;00196C1F&quot;/&gt;&lt;wsp:rsid wsp:val=&quot;00196F2C&quot;/&gt;&lt;wsp:rsid wsp:val=&quot;00197002&quot;/&gt;&lt;wsp:rsid wsp:val=&quot;001A08F5&quot;/&gt;&lt;wsp:rsid wsp:val=&quot;001A0E79&quot;/&gt;&lt;wsp:rsid wsp:val=&quot;001A0EFE&quot;/&gt;&lt;wsp:rsid wsp:val=&quot;001A1369&quot;/&gt;&lt;wsp:rsid wsp:val=&quot;001A1A5C&quot;/&gt;&lt;wsp:rsid wsp:val=&quot;001A1A9A&quot;/&gt;&lt;wsp:rsid wsp:val=&quot;001A1BE3&quot;/&gt;&lt;wsp:rsid wsp:val=&quot;001A1D3B&quot;/&gt;&lt;wsp:rsid wsp:val=&quot;001A2599&quot;/&gt;&lt;wsp:rsid wsp:val=&quot;001A2903&quot;/&gt;&lt;wsp:rsid wsp:val=&quot;001A2D51&quot;/&gt;&lt;wsp:rsid wsp:val=&quot;001A316F&quot;/&gt;&lt;wsp:rsid wsp:val=&quot;001A358C&quot;/&gt;&lt;wsp:rsid wsp:val=&quot;001A376B&quot;/&gt;&lt;wsp:rsid wsp:val=&quot;001A38EC&quot;/&gt;&lt;wsp:rsid wsp:val=&quot;001A3A44&quot;/&gt;&lt;wsp:rsid wsp:val=&quot;001A3AF9&quot;/&gt;&lt;wsp:rsid wsp:val=&quot;001A3D03&quot;/&gt;&lt;wsp:rsid wsp:val=&quot;001A4018&quot;/&gt;&lt;wsp:rsid wsp:val=&quot;001A4998&quot;/&gt;&lt;wsp:rsid wsp:val=&quot;001A4A71&quot;/&gt;&lt;wsp:rsid wsp:val=&quot;001A4DE8&quot;/&gt;&lt;wsp:rsid wsp:val=&quot;001A4EE8&quot;/&gt;&lt;wsp:rsid wsp:val=&quot;001A5C77&quot;/&gt;&lt;wsp:rsid wsp:val=&quot;001A5DEE&quot;/&gt;&lt;wsp:rsid wsp:val=&quot;001A6457&quot;/&gt;&lt;wsp:rsid wsp:val=&quot;001A6969&quot;/&gt;&lt;wsp:rsid wsp:val=&quot;001A6F28&quot;/&gt;&lt;wsp:rsid wsp:val=&quot;001A7ACC&quot;/&gt;&lt;wsp:rsid wsp:val=&quot;001A7B31&quot;/&gt;&lt;wsp:rsid wsp:val=&quot;001A7C27&quot;/&gt;&lt;wsp:rsid wsp:val=&quot;001B0646&quot;/&gt;&lt;wsp:rsid wsp:val=&quot;001B11EF&quot;/&gt;&lt;wsp:rsid wsp:val=&quot;001B1435&quot;/&gt;&lt;wsp:rsid wsp:val=&quot;001B183F&quot;/&gt;&lt;wsp:rsid wsp:val=&quot;001B1961&quot;/&gt;&lt;wsp:rsid wsp:val=&quot;001B1976&quot;/&gt;&lt;wsp:rsid wsp:val=&quot;001B1D63&quot;/&gt;&lt;wsp:rsid wsp:val=&quot;001B2396&quot;/&gt;&lt;wsp:rsid wsp:val=&quot;001B2D6F&quot;/&gt;&lt;wsp:rsid wsp:val=&quot;001B3103&quot;/&gt;&lt;wsp:rsid wsp:val=&quot;001B3671&quot;/&gt;&lt;wsp:rsid wsp:val=&quot;001B3910&quot;/&gt;&lt;wsp:rsid wsp:val=&quot;001B3AFF&quot;/&gt;&lt;wsp:rsid wsp:val=&quot;001B3E4A&quot;/&gt;&lt;wsp:rsid wsp:val=&quot;001B490C&quot;/&gt;&lt;wsp:rsid wsp:val=&quot;001B49DB&quot;/&gt;&lt;wsp:rsid wsp:val=&quot;001B57D1&quot;/&gt;&lt;wsp:rsid wsp:val=&quot;001B59E7&quot;/&gt;&lt;wsp:rsid wsp:val=&quot;001B5A3C&quot;/&gt;&lt;wsp:rsid wsp:val=&quot;001B6367&quot;/&gt;&lt;wsp:rsid wsp:val=&quot;001B6FDE&quot;/&gt;&lt;wsp:rsid wsp:val=&quot;001B751F&quot;/&gt;&lt;wsp:rsid wsp:val=&quot;001B7550&quot;/&gt;&lt;wsp:rsid wsp:val=&quot;001B7976&quot;/&gt;&lt;wsp:rsid wsp:val=&quot;001C08A0&quot;/&gt;&lt;wsp:rsid wsp:val=&quot;001C0ACA&quot;/&gt;&lt;wsp:rsid wsp:val=&quot;001C0C7C&quot;/&gt;&lt;wsp:rsid wsp:val=&quot;001C0CB0&quot;/&gt;&lt;wsp:rsid wsp:val=&quot;001C11F4&quot;/&gt;&lt;wsp:rsid wsp:val=&quot;001C14F3&quot;/&gt;&lt;wsp:rsid wsp:val=&quot;001C18C0&quot;/&gt;&lt;wsp:rsid wsp:val=&quot;001C18EC&quot;/&gt;&lt;wsp:rsid wsp:val=&quot;001C259C&quot;/&gt;&lt;wsp:rsid wsp:val=&quot;001C289A&quot;/&gt;&lt;wsp:rsid wsp:val=&quot;001C2E80&quot;/&gt;&lt;wsp:rsid wsp:val=&quot;001C310B&quot;/&gt;&lt;wsp:rsid wsp:val=&quot;001C3335&quot;/&gt;&lt;wsp:rsid wsp:val=&quot;001C3A9C&quot;/&gt;&lt;wsp:rsid wsp:val=&quot;001C3DC3&quot;/&gt;&lt;wsp:rsid wsp:val=&quot;001C4377&quot;/&gt;&lt;wsp:rsid wsp:val=&quot;001C47EC&quot;/&gt;&lt;wsp:rsid wsp:val=&quot;001C4BDE&quot;/&gt;&lt;wsp:rsid wsp:val=&quot;001C4D95&quot;/&gt;&lt;wsp:rsid wsp:val=&quot;001C4E19&quot;/&gt;&lt;wsp:rsid wsp:val=&quot;001C511E&quot;/&gt;&lt;wsp:rsid wsp:val=&quot;001C5470&quot;/&gt;&lt;wsp:rsid wsp:val=&quot;001C605A&quot;/&gt;&lt;wsp:rsid wsp:val=&quot;001C6274&quot;/&gt;&lt;wsp:rsid wsp:val=&quot;001C65A9&quot;/&gt;&lt;wsp:rsid wsp:val=&quot;001C6CB1&quot;/&gt;&lt;wsp:rsid wsp:val=&quot;001C6EC0&quot;/&gt;&lt;wsp:rsid wsp:val=&quot;001C7102&quot;/&gt;&lt;wsp:rsid wsp:val=&quot;001C73E7&quot;/&gt;&lt;wsp:rsid wsp:val=&quot;001C7475&quot;/&gt;&lt;wsp:rsid wsp:val=&quot;001C74A3&quot;/&gt;&lt;wsp:rsid wsp:val=&quot;001D005A&quot;/&gt;&lt;wsp:rsid wsp:val=&quot;001D0516&quot;/&gt;&lt;wsp:rsid wsp:val=&quot;001D0AA7&quot;/&gt;&lt;wsp:rsid wsp:val=&quot;001D0CC6&quot;/&gt;&lt;wsp:rsid wsp:val=&quot;001D1299&quot;/&gt;&lt;wsp:rsid wsp:val=&quot;001D14E5&quot;/&gt;&lt;wsp:rsid wsp:val=&quot;001D15AC&quot;/&gt;&lt;wsp:rsid wsp:val=&quot;001D162D&quot;/&gt;&lt;wsp:rsid wsp:val=&quot;001D197B&quot;/&gt;&lt;wsp:rsid wsp:val=&quot;001D1C19&quot;/&gt;&lt;wsp:rsid wsp:val=&quot;001D1CB4&quot;/&gt;&lt;wsp:rsid wsp:val=&quot;001D2A08&quot;/&gt;&lt;wsp:rsid wsp:val=&quot;001D3457&quot;/&gt;&lt;wsp:rsid wsp:val=&quot;001D3E3D&quot;/&gt;&lt;wsp:rsid wsp:val=&quot;001D3F73&quot;/&gt;&lt;wsp:rsid wsp:val=&quot;001D4129&quot;/&gt;&lt;wsp:rsid wsp:val=&quot;001D4498&quot;/&gt;&lt;wsp:rsid wsp:val=&quot;001D4BDC&quot;/&gt;&lt;wsp:rsid wsp:val=&quot;001D56B7&quot;/&gt;&lt;wsp:rsid wsp:val=&quot;001D6010&quot;/&gt;&lt;wsp:rsid wsp:val=&quot;001D6186&quot;/&gt;&lt;wsp:rsid wsp:val=&quot;001D638F&quot;/&gt;&lt;wsp:rsid wsp:val=&quot;001D668A&quot;/&gt;&lt;wsp:rsid wsp:val=&quot;001D6724&quot;/&gt;&lt;wsp:rsid wsp:val=&quot;001D6803&quot;/&gt;&lt;wsp:rsid wsp:val=&quot;001D6C57&quot;/&gt;&lt;wsp:rsid wsp:val=&quot;001D7BAD&quot;/&gt;&lt;wsp:rsid wsp:val=&quot;001D7D45&quot;/&gt;&lt;wsp:rsid wsp:val=&quot;001E0952&quot;/&gt;&lt;wsp:rsid wsp:val=&quot;001E0D4B&quot;/&gt;&lt;wsp:rsid wsp:val=&quot;001E0FDF&quot;/&gt;&lt;wsp:rsid wsp:val=&quot;001E129D&quot;/&gt;&lt;wsp:rsid wsp:val=&quot;001E148A&quot;/&gt;&lt;wsp:rsid wsp:val=&quot;001E17FA&quot;/&gt;&lt;wsp:rsid wsp:val=&quot;001E1BB6&quot;/&gt;&lt;wsp:rsid wsp:val=&quot;001E1D02&quot;/&gt;&lt;wsp:rsid wsp:val=&quot;001E1DCF&quot;/&gt;&lt;wsp:rsid wsp:val=&quot;001E2259&quot;/&gt;&lt;wsp:rsid wsp:val=&quot;001E28DD&quot;/&gt;&lt;wsp:rsid wsp:val=&quot;001E2A9E&quot;/&gt;&lt;wsp:rsid wsp:val=&quot;001E31E9&quot;/&gt;&lt;wsp:rsid wsp:val=&quot;001E3338&quot;/&gt;&lt;wsp:rsid wsp:val=&quot;001E35AA&quot;/&gt;&lt;wsp:rsid wsp:val=&quot;001E39FA&quot;/&gt;&lt;wsp:rsid wsp:val=&quot;001E434F&quot;/&gt;&lt;wsp:rsid wsp:val=&quot;001E455A&quot;/&gt;&lt;wsp:rsid wsp:val=&quot;001E5616&quot;/&gt;&lt;wsp:rsid wsp:val=&quot;001E56E1&quot;/&gt;&lt;wsp:rsid wsp:val=&quot;001E5900&quot;/&gt;&lt;wsp:rsid wsp:val=&quot;001E5A4D&quot;/&gt;&lt;wsp:rsid wsp:val=&quot;001E6893&quot;/&gt;&lt;wsp:rsid wsp:val=&quot;001E6F86&quot;/&gt;&lt;wsp:rsid wsp:val=&quot;001E7005&quot;/&gt;&lt;wsp:rsid wsp:val=&quot;001E70BE&quot;/&gt;&lt;wsp:rsid wsp:val=&quot;001E71E7&quot;/&gt;&lt;wsp:rsid wsp:val=&quot;001E744E&quot;/&gt;&lt;wsp:rsid wsp:val=&quot;001E77A7&quot;/&gt;&lt;wsp:rsid wsp:val=&quot;001E797B&quot;/&gt;&lt;wsp:rsid wsp:val=&quot;001E7A2B&quot;/&gt;&lt;wsp:rsid wsp:val=&quot;001E7C32&quot;/&gt;&lt;wsp:rsid wsp:val=&quot;001E7D25&quot;/&gt;&lt;wsp:rsid wsp:val=&quot;001E7DAB&quot;/&gt;&lt;wsp:rsid wsp:val=&quot;001E7E25&quot;/&gt;&lt;wsp:rsid wsp:val=&quot;001F03AC&quot;/&gt;&lt;wsp:rsid wsp:val=&quot;001F095B&quot;/&gt;&lt;wsp:rsid wsp:val=&quot;001F10B3&quot;/&gt;&lt;wsp:rsid wsp:val=&quot;001F1254&quot;/&gt;&lt;wsp:rsid wsp:val=&quot;001F1F4B&quot;/&gt;&lt;wsp:rsid wsp:val=&quot;001F211E&quot;/&gt;&lt;wsp:rsid wsp:val=&quot;001F24D7&quot;/&gt;&lt;wsp:rsid wsp:val=&quot;001F2C04&quot;/&gt;&lt;wsp:rsid wsp:val=&quot;001F2D53&quot;/&gt;&lt;wsp:rsid wsp:val=&quot;001F2D7C&quot;/&gt;&lt;wsp:rsid wsp:val=&quot;001F3425&quot;/&gt;&lt;wsp:rsid wsp:val=&quot;001F4384&quot;/&gt;&lt;wsp:rsid wsp:val=&quot;001F5C45&quot;/&gt;&lt;wsp:rsid wsp:val=&quot;001F6076&quot;/&gt;&lt;wsp:rsid wsp:val=&quot;001F7196&quot;/&gt;&lt;wsp:rsid wsp:val=&quot;001F7E06&quot;/&gt;&lt;wsp:rsid wsp:val=&quot;001F7EF9&quot;/&gt;&lt;wsp:rsid wsp:val=&quot;00200033&quot;/&gt;&lt;wsp:rsid wsp:val=&quot;00200234&quot;/&gt;&lt;wsp:rsid wsp:val=&quot;002017FD&quot;/&gt;&lt;wsp:rsid wsp:val=&quot;002018A0&quot;/&gt;&lt;wsp:rsid wsp:val=&quot;00201D6D&quot;/&gt;&lt;wsp:rsid wsp:val=&quot;002022AA&quot;/&gt;&lt;wsp:rsid wsp:val=&quot;00202341&quot;/&gt;&lt;wsp:rsid wsp:val=&quot;002034E4&quot;/&gt;&lt;wsp:rsid wsp:val=&quot;00203873&quot;/&gt;&lt;wsp:rsid wsp:val=&quot;0020391F&quot;/&gt;&lt;wsp:rsid wsp:val=&quot;00203E6F&quot;/&gt;&lt;wsp:rsid wsp:val=&quot;00204572&quot;/&gt;&lt;wsp:rsid wsp:val=&quot;00204F2D&quot;/&gt;&lt;wsp:rsid wsp:val=&quot;00205188&quot;/&gt;&lt;wsp:rsid wsp:val=&quot;00205705&quot;/&gt;&lt;wsp:rsid wsp:val=&quot;00205F49&quot;/&gt;&lt;wsp:rsid wsp:val=&quot;00206143&quot;/&gt;&lt;wsp:rsid wsp:val=&quot;002062AB&quot;/&gt;&lt;wsp:rsid wsp:val=&quot;002064CF&quot;/&gt;&lt;wsp:rsid wsp:val=&quot;00206A32&quot;/&gt;&lt;wsp:rsid wsp:val=&quot;002072C2&quot;/&gt;&lt;wsp:rsid wsp:val=&quot;002076E3&quot;/&gt;&lt;wsp:rsid wsp:val=&quot;002077BC&quot;/&gt;&lt;wsp:rsid wsp:val=&quot;0021042C&quot;/&gt;&lt;wsp:rsid wsp:val=&quot;0021159D&quot;/&gt;&lt;wsp:rsid wsp:val=&quot;002119F7&quot;/&gt;&lt;wsp:rsid wsp:val=&quot;00212203&quot;/&gt;&lt;wsp:rsid wsp:val=&quot;002127F9&quot;/&gt;&lt;wsp:rsid wsp:val=&quot;002129A2&quot;/&gt;&lt;wsp:rsid wsp:val=&quot;00212D08&quot;/&gt;&lt;wsp:rsid wsp:val=&quot;00212EB1&quot;/&gt;&lt;wsp:rsid wsp:val=&quot;00212F70&quot;/&gt;&lt;wsp:rsid wsp:val=&quot;00212FD5&quot;/&gt;&lt;wsp:rsid wsp:val=&quot;002131DC&quot;/&gt;&lt;wsp:rsid wsp:val=&quot;00213AA3&quot;/&gt;&lt;wsp:rsid wsp:val=&quot;00213F70&quot;/&gt;&lt;wsp:rsid wsp:val=&quot;002143BC&quot;/&gt;&lt;wsp:rsid wsp:val=&quot;002144AB&quot;/&gt;&lt;wsp:rsid wsp:val=&quot;00214945&quot;/&gt;&lt;wsp:rsid wsp:val=&quot;00215010&quot;/&gt;&lt;wsp:rsid wsp:val=&quot;00215752&quot;/&gt;&lt;wsp:rsid wsp:val=&quot;00215C88&quot;/&gt;&lt;wsp:rsid wsp:val=&quot;00215CE1&quot;/&gt;&lt;wsp:rsid wsp:val=&quot;00215F04&quot;/&gt;&lt;wsp:rsid wsp:val=&quot;002162EC&quot;/&gt;&lt;wsp:rsid wsp:val=&quot;002169DD&quot;/&gt;&lt;wsp:rsid wsp:val=&quot;002173D2&quot;/&gt;&lt;wsp:rsid wsp:val=&quot;0021774D&quot;/&gt;&lt;wsp:rsid wsp:val=&quot;00217C6A&quot;/&gt;&lt;wsp:rsid wsp:val=&quot;0022006B&quot;/&gt;&lt;wsp:rsid wsp:val=&quot;00220132&quot;/&gt;&lt;wsp:rsid wsp:val=&quot;00220C5D&quot;/&gt;&lt;wsp:rsid wsp:val=&quot;00220FC8&quot;/&gt;&lt;wsp:rsid wsp:val=&quot;00221237&quot;/&gt;&lt;wsp:rsid wsp:val=&quot;002212E5&quot;/&gt;&lt;wsp:rsid wsp:val=&quot;002213D1&quot;/&gt;&lt;wsp:rsid wsp:val=&quot;00221D43&quot;/&gt;&lt;wsp:rsid wsp:val=&quot;002223F8&quot;/&gt;&lt;wsp:rsid wsp:val=&quot;00222F7A&quot;/&gt;&lt;wsp:rsid wsp:val=&quot;00223130&quot;/&gt;&lt;wsp:rsid wsp:val=&quot;00223BC4&quot;/&gt;&lt;wsp:rsid wsp:val=&quot;00224E68&quot;/&gt;&lt;wsp:rsid wsp:val=&quot;00224E8E&quot;/&gt;&lt;wsp:rsid wsp:val=&quot;002251B0&quot;/&gt;&lt;wsp:rsid wsp:val=&quot;002255B3&quot;/&gt;&lt;wsp:rsid wsp:val=&quot;00225609&quot;/&gt;&lt;wsp:rsid wsp:val=&quot;00225889&quot;/&gt;&lt;wsp:rsid wsp:val=&quot;00225E3D&quot;/&gt;&lt;wsp:rsid wsp:val=&quot;0022668B&quot;/&gt;&lt;wsp:rsid wsp:val=&quot;002273FF&quot;/&gt;&lt;wsp:rsid wsp:val=&quot;0022775A&quot;/&gt;&lt;wsp:rsid wsp:val=&quot;0022795C&quot;/&gt;&lt;wsp:rsid wsp:val=&quot;00227E37&quot;/&gt;&lt;wsp:rsid wsp:val=&quot;00230449&quot;/&gt;&lt;wsp:rsid wsp:val=&quot;00230905&quot;/&gt;&lt;wsp:rsid wsp:val=&quot;00230956&quot;/&gt;&lt;wsp:rsid wsp:val=&quot;00230E17&quot;/&gt;&lt;wsp:rsid wsp:val=&quot;00231148&quot;/&gt;&lt;wsp:rsid wsp:val=&quot;0023117A&quot;/&gt;&lt;wsp:rsid wsp:val=&quot;00231675&quot;/&gt;&lt;wsp:rsid wsp:val=&quot;0023175C&quot;/&gt;&lt;wsp:rsid wsp:val=&quot;00231904&quot;/&gt;&lt;wsp:rsid wsp:val=&quot;00231D9C&quot;/&gt;&lt;wsp:rsid wsp:val=&quot;00231E6D&quot;/&gt;&lt;wsp:rsid wsp:val=&quot;00232157&quot;/&gt;&lt;wsp:rsid wsp:val=&quot;00232942&quot;/&gt;&lt;wsp:rsid wsp:val=&quot;00232C7F&quot;/&gt;&lt;wsp:rsid wsp:val=&quot;00232E7E&quot;/&gt;&lt;wsp:rsid wsp:val=&quot;00232FE6&quot;/&gt;&lt;wsp:rsid wsp:val=&quot;00233772&quot;/&gt;&lt;wsp:rsid wsp:val=&quot;002338EE&quot;/&gt;&lt;wsp:rsid wsp:val=&quot;00233911&quot;/&gt;&lt;wsp:rsid wsp:val=&quot;00234049&quot;/&gt;&lt;wsp:rsid wsp:val=&quot;002345AC&quot;/&gt;&lt;wsp:rsid wsp:val=&quot;002350C8&quot;/&gt;&lt;wsp:rsid wsp:val=&quot;00235572&quot;/&gt;&lt;wsp:rsid wsp:val=&quot;002355EC&quot;/&gt;&lt;wsp:rsid wsp:val=&quot;0023568C&quot;/&gt;&lt;wsp:rsid wsp:val=&quot;0023596A&quot;/&gt;&lt;wsp:rsid wsp:val=&quot;00235C60&quot;/&gt;&lt;wsp:rsid wsp:val=&quot;00236A0B&quot;/&gt;&lt;wsp:rsid wsp:val=&quot;002379ED&quot;/&gt;&lt;wsp:rsid wsp:val=&quot;00237ABC&quot;/&gt;&lt;wsp:rsid wsp:val=&quot;00237E12&quot;/&gt;&lt;wsp:rsid wsp:val=&quot;0024016E&quot;/&gt;&lt;wsp:rsid wsp:val=&quot;00240A11&quot;/&gt;&lt;wsp:rsid wsp:val=&quot;00240BA3&quot;/&gt;&lt;wsp:rsid wsp:val=&quot;00240CFC&quot;/&gt;&lt;wsp:rsid wsp:val=&quot;00240E9B&quot;/&gt;&lt;wsp:rsid wsp:val=&quot;0024158C&quot;/&gt;&lt;wsp:rsid wsp:val=&quot;002417D4&quot;/&gt;&lt;wsp:rsid wsp:val=&quot;00241829&quot;/&gt;&lt;wsp:rsid wsp:val=&quot;00241953&quot;/&gt;&lt;wsp:rsid wsp:val=&quot;00241ED4&quot;/&gt;&lt;wsp:rsid wsp:val=&quot;00242586&quot;/&gt;&lt;wsp:rsid wsp:val=&quot;00243133&quot;/&gt;&lt;wsp:rsid wsp:val=&quot;0024340C&quot;/&gt;&lt;wsp:rsid wsp:val=&quot;00244271&quot;/&gt;&lt;wsp:rsid wsp:val=&quot;00244325&quot;/&gt;&lt;wsp:rsid wsp:val=&quot;00244582&quot;/&gt;&lt;wsp:rsid wsp:val=&quot;00244D59&quot;/&gt;&lt;wsp:rsid wsp:val=&quot;00244EBA&quot;/&gt;&lt;wsp:rsid wsp:val=&quot;00245291&quot;/&gt;&lt;wsp:rsid wsp:val=&quot;002453BD&quot;/&gt;&lt;wsp:rsid wsp:val=&quot;002457E6&quot;/&gt;&lt;wsp:rsid wsp:val=&quot;00245BD2&quot;/&gt;&lt;wsp:rsid wsp:val=&quot;00246478&quot;/&gt;&lt;wsp:rsid wsp:val=&quot;00246869&quot;/&gt;&lt;wsp:rsid wsp:val=&quot;00246BE6&quot;/&gt;&lt;wsp:rsid wsp:val=&quot;00246CC6&quot;/&gt;&lt;wsp:rsid wsp:val=&quot;00247035&quot;/&gt;&lt;wsp:rsid wsp:val=&quot;0024749C&quot;/&gt;&lt;wsp:rsid wsp:val=&quot;00247927&quot;/&gt;&lt;wsp:rsid wsp:val=&quot;00247BB3&quot;/&gt;&lt;wsp:rsid wsp:val=&quot;00247D95&quot;/&gt;&lt;wsp:rsid wsp:val=&quot;00247E1E&quot;/&gt;&lt;wsp:rsid wsp:val=&quot;00250181&quot;/&gt;&lt;wsp:rsid wsp:val=&quot;0025018F&quot;/&gt;&lt;wsp:rsid wsp:val=&quot;0025038F&quot;/&gt;&lt;wsp:rsid wsp:val=&quot;002508CA&quot;/&gt;&lt;wsp:rsid wsp:val=&quot;00250A9A&quot;/&gt;&lt;wsp:rsid wsp:val=&quot;0025148F&quot;/&gt;&lt;wsp:rsid wsp:val=&quot;002515EE&quot;/&gt;&lt;wsp:rsid wsp:val=&quot;002516C6&quot;/&gt;&lt;wsp:rsid wsp:val=&quot;00251903&quot;/&gt;&lt;wsp:rsid wsp:val=&quot;00252222&quot;/&gt;&lt;wsp:rsid wsp:val=&quot;00252710&quot;/&gt;&lt;wsp:rsid wsp:val=&quot;00252E2C&quot;/&gt;&lt;wsp:rsid wsp:val=&quot;00253593&quot;/&gt;&lt;wsp:rsid wsp:val=&quot;00253774&quot;/&gt;&lt;wsp:rsid wsp:val=&quot;00253CAB&quot;/&gt;&lt;wsp:rsid wsp:val=&quot;002540E9&quot;/&gt;&lt;wsp:rsid wsp:val=&quot;002541E5&quot;/&gt;&lt;wsp:rsid wsp:val=&quot;002542D5&quot;/&gt;&lt;wsp:rsid wsp:val=&quot;0025475B&quot;/&gt;&lt;wsp:rsid wsp:val=&quot;00254A36&quot;/&gt;&lt;wsp:rsid wsp:val=&quot;00254A3F&quot;/&gt;&lt;wsp:rsid wsp:val=&quot;0025518A&quot;/&gt;&lt;wsp:rsid wsp:val=&quot;00255657&quot;/&gt;&lt;wsp:rsid wsp:val=&quot;0025576A&quot;/&gt;&lt;wsp:rsid wsp:val=&quot;00255C63&quot;/&gt;&lt;wsp:rsid wsp:val=&quot;00255E88&quot;/&gt;&lt;wsp:rsid wsp:val=&quot;0025675C&quot;/&gt;&lt;wsp:rsid wsp:val=&quot;002570AF&quot;/&gt;&lt;wsp:rsid wsp:val=&quot;0025737D&quot;/&gt;&lt;wsp:rsid wsp:val=&quot;0025786C&quot;/&gt;&lt;wsp:rsid wsp:val=&quot;00257C0C&quot;/&gt;&lt;wsp:rsid wsp:val=&quot;00257FCE&quot;/&gt;&lt;wsp:rsid wsp:val=&quot;00260483&quot;/&gt;&lt;wsp:rsid wsp:val=&quot;002609D2&quot;/&gt;&lt;wsp:rsid wsp:val=&quot;00260AEE&quot;/&gt;&lt;wsp:rsid wsp:val=&quot;0026107D&quot;/&gt;&lt;wsp:rsid wsp:val=&quot;0026176D&quot;/&gt;&lt;wsp:rsid wsp:val=&quot;002619D9&quot;/&gt;&lt;wsp:rsid wsp:val=&quot;002623D3&quot;/&gt;&lt;wsp:rsid wsp:val=&quot;00262BA6&quot;/&gt;&lt;wsp:rsid wsp:val=&quot;00263AAE&quot;/&gt;&lt;wsp:rsid wsp:val=&quot;00264452&quot;/&gt;&lt;wsp:rsid wsp:val=&quot;002647E7&quot;/&gt;&lt;wsp:rsid wsp:val=&quot;00265EC4&quot;/&gt;&lt;wsp:rsid wsp:val=&quot;00265EF8&quot;/&gt;&lt;wsp:rsid wsp:val=&quot;002665F7&quot;/&gt;&lt;wsp:rsid wsp:val=&quot;00266692&quot;/&gt;&lt;wsp:rsid wsp:val=&quot;002669C9&quot;/&gt;&lt;wsp:rsid wsp:val=&quot;0026752D&quot;/&gt;&lt;wsp:rsid wsp:val=&quot;0027049B&quot;/&gt;&lt;wsp:rsid wsp:val=&quot;00270595&quot;/&gt;&lt;wsp:rsid wsp:val=&quot;00270811&quot;/&gt;&lt;wsp:rsid wsp:val=&quot;00270B18&quot;/&gt;&lt;wsp:rsid wsp:val=&quot;00270E85&quot;/&gt;&lt;wsp:rsid wsp:val=&quot;002714FD&quot;/&gt;&lt;wsp:rsid wsp:val=&quot;00271757&quot;/&gt;&lt;wsp:rsid wsp:val=&quot;002717E6&quot;/&gt;&lt;wsp:rsid wsp:val=&quot;00271DFE&quot;/&gt;&lt;wsp:rsid wsp:val=&quot;00272147&quot;/&gt;&lt;wsp:rsid wsp:val=&quot;00272326&quot;/&gt;&lt;wsp:rsid wsp:val=&quot;00272E76&quot;/&gt;&lt;wsp:rsid wsp:val=&quot;00273295&quot;/&gt;&lt;wsp:rsid wsp:val=&quot;00273626&quot;/&gt;&lt;wsp:rsid wsp:val=&quot;00273B40&quot;/&gt;&lt;wsp:rsid wsp:val=&quot;00273CD3&quot;/&gt;&lt;wsp:rsid wsp:val=&quot;0027408F&quot;/&gt;&lt;wsp:rsid wsp:val=&quot;0027527A&quot;/&gt;&lt;wsp:rsid wsp:val=&quot;0027548A&quot;/&gt;&lt;wsp:rsid wsp:val=&quot;00275564&quot;/&gt;&lt;wsp:rsid wsp:val=&quot;0027586E&quot;/&gt;&lt;wsp:rsid wsp:val=&quot;00275C33&quot;/&gt;&lt;wsp:rsid wsp:val=&quot;00275FA8&quot;/&gt;&lt;wsp:rsid wsp:val=&quot;00276021&quot;/&gt;&lt;wsp:rsid wsp:val=&quot;0027650D&quot;/&gt;&lt;wsp:rsid wsp:val=&quot;00276517&quot;/&gt;&lt;wsp:rsid wsp:val=&quot;002765FD&quot;/&gt;&lt;wsp:rsid wsp:val=&quot;00276641&quot;/&gt;&lt;wsp:rsid wsp:val=&quot;00276A9C&quot;/&gt;&lt;wsp:rsid wsp:val=&quot;002774E4&quot;/&gt;&lt;wsp:rsid wsp:val=&quot;002776F3&quot;/&gt;&lt;wsp:rsid wsp:val=&quot;00277823&quot;/&gt;&lt;wsp:rsid wsp:val=&quot;00277930&quot;/&gt;&lt;wsp:rsid wsp:val=&quot;002779DE&quot;/&gt;&lt;wsp:rsid wsp:val=&quot;00277A86&quot;/&gt;&lt;wsp:rsid wsp:val=&quot;00277BD0&quot;/&gt;&lt;wsp:rsid wsp:val=&quot;00277D34&quot;/&gt;&lt;wsp:rsid wsp:val=&quot;00280135&quot;/&gt;&lt;wsp:rsid wsp:val=&quot;0028019A&quot;/&gt;&lt;wsp:rsid wsp:val=&quot;002803EF&quot;/&gt;&lt;wsp:rsid wsp:val=&quot;002806BB&quot;/&gt;&lt;wsp:rsid wsp:val=&quot;00281488&quot;/&gt;&lt;wsp:rsid wsp:val=&quot;002816EB&quot;/&gt;&lt;wsp:rsid wsp:val=&quot;0028180D&quot;/&gt;&lt;wsp:rsid wsp:val=&quot;002818A3&quot;/&gt;&lt;wsp:rsid wsp:val=&quot;00281918&quot;/&gt;&lt;wsp:rsid wsp:val=&quot;00281B5A&quot;/&gt;&lt;wsp:rsid wsp:val=&quot;00281F4A&quot;/&gt;&lt;wsp:rsid wsp:val=&quot;002825F7&quot;/&gt;&lt;wsp:rsid wsp:val=&quot;00282716&quot;/&gt;&lt;wsp:rsid wsp:val=&quot;00282E3B&quot;/&gt;&lt;wsp:rsid wsp:val=&quot;0028338E&quot;/&gt;&lt;wsp:rsid wsp:val=&quot;002838EE&quot;/&gt;&lt;wsp:rsid wsp:val=&quot;00283B58&quot;/&gt;&lt;wsp:rsid wsp:val=&quot;00283CA2&quot;/&gt;&lt;wsp:rsid wsp:val=&quot;00284F26&quot;/&gt;&lt;wsp:rsid wsp:val=&quot;00284FF3&quot;/&gt;&lt;wsp:rsid wsp:val=&quot;0028501F&quot;/&gt;&lt;wsp:rsid wsp:val=&quot;00285105&quot;/&gt;&lt;wsp:rsid wsp:val=&quot;002851A3&quot;/&gt;&lt;wsp:rsid wsp:val=&quot;00285949&quot;/&gt;&lt;wsp:rsid wsp:val=&quot;00285AB1&quot;/&gt;&lt;wsp:rsid wsp:val=&quot;0028605C&quot;/&gt;&lt;wsp:rsid wsp:val=&quot;002865B7&quot;/&gt;&lt;wsp:rsid wsp:val=&quot;002866D7&quot;/&gt;&lt;wsp:rsid wsp:val=&quot;00286D02&quot;/&gt;&lt;wsp:rsid wsp:val=&quot;00286D52&quot;/&gt;&lt;wsp:rsid wsp:val=&quot;00286E89&quot;/&gt;&lt;wsp:rsid wsp:val=&quot;002872DD&quot;/&gt;&lt;wsp:rsid wsp:val=&quot;0028765A&quot;/&gt;&lt;wsp:rsid wsp:val=&quot;00287829&quot;/&gt;&lt;wsp:rsid wsp:val=&quot;00290055&quot;/&gt;&lt;wsp:rsid wsp:val=&quot;00290F4B&quot;/&gt;&lt;wsp:rsid wsp:val=&quot;00291068&quot;/&gt;&lt;wsp:rsid wsp:val=&quot;00291229&quot;/&gt;&lt;wsp:rsid wsp:val=&quot;002914AE&quot;/&gt;&lt;wsp:rsid wsp:val=&quot;002916BE&quot;/&gt;&lt;wsp:rsid wsp:val=&quot;00291822&quot;/&gt;&lt;wsp:rsid wsp:val=&quot;00292033&quot;/&gt;&lt;wsp:rsid wsp:val=&quot;00292569&quot;/&gt;&lt;wsp:rsid wsp:val=&quot;002928EB&quot;/&gt;&lt;wsp:rsid wsp:val=&quot;00292CA3&quot;/&gt;&lt;wsp:rsid wsp:val=&quot;00292CDF&quot;/&gt;&lt;wsp:rsid wsp:val=&quot;00293011&quot;/&gt;&lt;wsp:rsid wsp:val=&quot;00294293&quot;/&gt;&lt;wsp:rsid wsp:val=&quot;002944CA&quot;/&gt;&lt;wsp:rsid wsp:val=&quot;00294774&quot;/&gt;&lt;wsp:rsid wsp:val=&quot;00294CE1&quot;/&gt;&lt;wsp:rsid wsp:val=&quot;00295988&quot;/&gt;&lt;wsp:rsid wsp:val=&quot;002970B9&quot;/&gt;&lt;wsp:rsid wsp:val=&quot;00297514&quot;/&gt;&lt;wsp:rsid wsp:val=&quot;002979B8&quot;/&gt;&lt;wsp:rsid wsp:val=&quot;00297B81&quot;/&gt;&lt;wsp:rsid wsp:val=&quot;002A0019&quot;/&gt;&lt;wsp:rsid wsp:val=&quot;002A013A&quot;/&gt;&lt;wsp:rsid wsp:val=&quot;002A0409&quot;/&gt;&lt;wsp:rsid wsp:val=&quot;002A09A3&quot;/&gt;&lt;wsp:rsid wsp:val=&quot;002A0A6A&quot;/&gt;&lt;wsp:rsid wsp:val=&quot;002A0A7C&quot;/&gt;&lt;wsp:rsid wsp:val=&quot;002A0FC0&quot;/&gt;&lt;wsp:rsid wsp:val=&quot;002A130A&quot;/&gt;&lt;wsp:rsid wsp:val=&quot;002A1DC1&quot;/&gt;&lt;wsp:rsid wsp:val=&quot;002A1DF0&quot;/&gt;&lt;wsp:rsid wsp:val=&quot;002A200D&quot;/&gt;&lt;wsp:rsid wsp:val=&quot;002A2AA0&quot;/&gt;&lt;wsp:rsid wsp:val=&quot;002A2F6C&quot;/&gt;&lt;wsp:rsid wsp:val=&quot;002A4512&quot;/&gt;&lt;wsp:rsid wsp:val=&quot;002A4A14&quot;/&gt;&lt;wsp:rsid wsp:val=&quot;002A4FB2&quot;/&gt;&lt;wsp:rsid wsp:val=&quot;002A5317&quot;/&gt;&lt;wsp:rsid wsp:val=&quot;002A561B&quot;/&gt;&lt;wsp:rsid wsp:val=&quot;002A5CD9&quot;/&gt;&lt;wsp:rsid wsp:val=&quot;002A638C&quot;/&gt;&lt;wsp:rsid wsp:val=&quot;002A6455&quot;/&gt;&lt;wsp:rsid wsp:val=&quot;002A6747&quot;/&gt;&lt;wsp:rsid wsp:val=&quot;002A6799&quot;/&gt;&lt;wsp:rsid wsp:val=&quot;002A67CF&quot;/&gt;&lt;wsp:rsid wsp:val=&quot;002A728A&quot;/&gt;&lt;wsp:rsid wsp:val=&quot;002A7445&quot;/&gt;&lt;wsp:rsid wsp:val=&quot;002A7484&quot;/&gt;&lt;wsp:rsid wsp:val=&quot;002A74B5&quot;/&gt;&lt;wsp:rsid wsp:val=&quot;002A7A2D&quot;/&gt;&lt;wsp:rsid wsp:val=&quot;002A7B9C&quot;/&gt;&lt;wsp:rsid wsp:val=&quot;002B024B&quot;/&gt;&lt;wsp:rsid wsp:val=&quot;002B077B&quot;/&gt;&lt;wsp:rsid wsp:val=&quot;002B1177&quot;/&gt;&lt;wsp:rsid wsp:val=&quot;002B14B2&quot;/&gt;&lt;wsp:rsid wsp:val=&quot;002B1EA6&quot;/&gt;&lt;wsp:rsid wsp:val=&quot;002B2543&quot;/&gt;&lt;wsp:rsid wsp:val=&quot;002B2676&quot;/&gt;&lt;wsp:rsid wsp:val=&quot;002B3979&quot;/&gt;&lt;wsp:rsid wsp:val=&quot;002B421C&quot;/&gt;&lt;wsp:rsid wsp:val=&quot;002B429B&quot;/&gt;&lt;wsp:rsid wsp:val=&quot;002B4E48&quot;/&gt;&lt;wsp:rsid wsp:val=&quot;002B50B7&quot;/&gt;&lt;wsp:rsid wsp:val=&quot;002B5233&quot;/&gt;&lt;wsp:rsid wsp:val=&quot;002B5359&quot;/&gt;&lt;wsp:rsid wsp:val=&quot;002B5496&quot;/&gt;&lt;wsp:rsid wsp:val=&quot;002B5582&quot;/&gt;&lt;wsp:rsid wsp:val=&quot;002B5656&quot;/&gt;&lt;wsp:rsid wsp:val=&quot;002B5BF1&quot;/&gt;&lt;wsp:rsid wsp:val=&quot;002B5E26&quot;/&gt;&lt;wsp:rsid wsp:val=&quot;002B730C&quot;/&gt;&lt;wsp:rsid wsp:val=&quot;002B7E9E&quot;/&gt;&lt;wsp:rsid wsp:val=&quot;002C0990&quot;/&gt;&lt;wsp:rsid wsp:val=&quot;002C0A41&quot;/&gt;&lt;wsp:rsid wsp:val=&quot;002C0D48&quot;/&gt;&lt;wsp:rsid wsp:val=&quot;002C1145&quot;/&gt;&lt;wsp:rsid wsp:val=&quot;002C16E7&quot;/&gt;&lt;wsp:rsid wsp:val=&quot;002C1B46&quot;/&gt;&lt;wsp:rsid wsp:val=&quot;002C2555&quot;/&gt;&lt;wsp:rsid wsp:val=&quot;002C258E&quot;/&gt;&lt;wsp:rsid wsp:val=&quot;002C2BAB&quot;/&gt;&lt;wsp:rsid wsp:val=&quot;002C2DD6&quot;/&gt;&lt;wsp:rsid wsp:val=&quot;002C304E&quot;/&gt;&lt;wsp:rsid wsp:val=&quot;002C3EC9&quot;/&gt;&lt;wsp:rsid wsp:val=&quot;002C4283&quot;/&gt;&lt;wsp:rsid wsp:val=&quot;002C4447&quot;/&gt;&lt;wsp:rsid wsp:val=&quot;002C4589&quot;/&gt;&lt;wsp:rsid wsp:val=&quot;002C4959&quot;/&gt;&lt;wsp:rsid wsp:val=&quot;002C4D4E&quot;/&gt;&lt;wsp:rsid wsp:val=&quot;002C549C&quot;/&gt;&lt;wsp:rsid wsp:val=&quot;002C551F&quot;/&gt;&lt;wsp:rsid wsp:val=&quot;002C5661&quot;/&gt;&lt;wsp:rsid wsp:val=&quot;002C5A54&quot;/&gt;&lt;wsp:rsid wsp:val=&quot;002C5D33&quot;/&gt;&lt;wsp:rsid wsp:val=&quot;002C7401&quot;/&gt;&lt;wsp:rsid wsp:val=&quot;002C764C&quot;/&gt;&lt;wsp:rsid wsp:val=&quot;002C7768&quot;/&gt;&lt;wsp:rsid wsp:val=&quot;002C791D&quot;/&gt;&lt;wsp:rsid wsp:val=&quot;002C7C2A&quot;/&gt;&lt;wsp:rsid wsp:val=&quot;002C7C52&quot;/&gt;&lt;wsp:rsid wsp:val=&quot;002C7E47&quot;/&gt;&lt;wsp:rsid wsp:val=&quot;002D02FB&quot;/&gt;&lt;wsp:rsid wsp:val=&quot;002D0F85&quot;/&gt;&lt;wsp:rsid wsp:val=&quot;002D15B7&quot;/&gt;&lt;wsp:rsid wsp:val=&quot;002D17F0&quot;/&gt;&lt;wsp:rsid wsp:val=&quot;002D19DC&quot;/&gt;&lt;wsp:rsid wsp:val=&quot;002D1C94&quot;/&gt;&lt;wsp:rsid wsp:val=&quot;002D23E5&quot;/&gt;&lt;wsp:rsid wsp:val=&quot;002D2413&quot;/&gt;&lt;wsp:rsid wsp:val=&quot;002D253D&quot;/&gt;&lt;wsp:rsid wsp:val=&quot;002D29A8&quot;/&gt;&lt;wsp:rsid wsp:val=&quot;002D2BA5&quot;/&gt;&lt;wsp:rsid wsp:val=&quot;002D2C3D&quot;/&gt;&lt;wsp:rsid wsp:val=&quot;002D2D58&quot;/&gt;&lt;wsp:rsid wsp:val=&quot;002D2D9E&quot;/&gt;&lt;wsp:rsid wsp:val=&quot;002D3051&quot;/&gt;&lt;wsp:rsid wsp:val=&quot;002D3105&quot;/&gt;&lt;wsp:rsid wsp:val=&quot;002D3770&quot;/&gt;&lt;wsp:rsid wsp:val=&quot;002D3B52&quot;/&gt;&lt;wsp:rsid wsp:val=&quot;002D430B&quot;/&gt;&lt;wsp:rsid wsp:val=&quot;002D43F6&quot;/&gt;&lt;wsp:rsid wsp:val=&quot;002D44DB&quot;/&gt;&lt;wsp:rsid wsp:val=&quot;002D4DBB&quot;/&gt;&lt;wsp:rsid wsp:val=&quot;002D4E06&quot;/&gt;&lt;wsp:rsid wsp:val=&quot;002D4F1A&quot;/&gt;&lt;wsp:rsid wsp:val=&quot;002D4F90&quot;/&gt;&lt;wsp:rsid wsp:val=&quot;002D5707&quot;/&gt;&lt;wsp:rsid wsp:val=&quot;002D5DD5&quot;/&gt;&lt;wsp:rsid wsp:val=&quot;002D5DE4&quot;/&gt;&lt;wsp:rsid wsp:val=&quot;002D69D4&quot;/&gt;&lt;wsp:rsid wsp:val=&quot;002D6E0E&quot;/&gt;&lt;wsp:rsid wsp:val=&quot;002D6FF0&quot;/&gt;&lt;wsp:rsid wsp:val=&quot;002D75CE&quot;/&gt;&lt;wsp:rsid wsp:val=&quot;002D796B&quot;/&gt;&lt;wsp:rsid wsp:val=&quot;002D7BD4&quot;/&gt;&lt;wsp:rsid wsp:val=&quot;002D7E89&quot;/&gt;&lt;wsp:rsid wsp:val=&quot;002D7FA8&quot;/&gt;&lt;wsp:rsid wsp:val=&quot;002E0083&quot;/&gt;&lt;wsp:rsid wsp:val=&quot;002E00E7&quot;/&gt;&lt;wsp:rsid wsp:val=&quot;002E0AC5&quot;/&gt;&lt;wsp:rsid wsp:val=&quot;002E0C08&quot;/&gt;&lt;wsp:rsid wsp:val=&quot;002E174C&quot;/&gt;&lt;wsp:rsid wsp:val=&quot;002E1BF4&quot;/&gt;&lt;wsp:rsid wsp:val=&quot;002E1C44&quot;/&gt;&lt;wsp:rsid wsp:val=&quot;002E279C&quot;/&gt;&lt;wsp:rsid wsp:val=&quot;002E2A6E&quot;/&gt;&lt;wsp:rsid wsp:val=&quot;002E2C4C&quot;/&gt;&lt;wsp:rsid wsp:val=&quot;002E2FC0&quot;/&gt;&lt;wsp:rsid wsp:val=&quot;002E310A&quot;/&gt;&lt;wsp:rsid wsp:val=&quot;002E319F&quot;/&gt;&lt;wsp:rsid wsp:val=&quot;002E3410&quot;/&gt;&lt;wsp:rsid wsp:val=&quot;002E36F9&quot;/&gt;&lt;wsp:rsid wsp:val=&quot;002E3853&quot;/&gt;&lt;wsp:rsid wsp:val=&quot;002E3E14&quot;/&gt;&lt;wsp:rsid wsp:val=&quot;002E4501&quot;/&gt;&lt;wsp:rsid wsp:val=&quot;002E468E&quot;/&gt;&lt;wsp:rsid wsp:val=&quot;002E46B1&quot;/&gt;&lt;wsp:rsid wsp:val=&quot;002E4966&quot;/&gt;&lt;wsp:rsid wsp:val=&quot;002E4B93&quot;/&gt;&lt;wsp:rsid wsp:val=&quot;002E501A&quot;/&gt;&lt;wsp:rsid wsp:val=&quot;002E5315&quot;/&gt;&lt;wsp:rsid wsp:val=&quot;002E662C&quot;/&gt;&lt;wsp:rsid wsp:val=&quot;002E6943&quot;/&gt;&lt;wsp:rsid wsp:val=&quot;002E6949&quot;/&gt;&lt;wsp:rsid wsp:val=&quot;002E6C5A&quot;/&gt;&lt;wsp:rsid wsp:val=&quot;002E6CE5&quot;/&gt;&lt;wsp:rsid wsp:val=&quot;002E72F4&quot;/&gt;&lt;wsp:rsid wsp:val=&quot;002E7355&quot;/&gt;&lt;wsp:rsid wsp:val=&quot;002E7C02&quot;/&gt;&lt;wsp:rsid wsp:val=&quot;002E7C25&quot;/&gt;&lt;wsp:rsid wsp:val=&quot;002E7C67&quot;/&gt;&lt;wsp:rsid wsp:val=&quot;002F0057&quot;/&gt;&lt;wsp:rsid wsp:val=&quot;002F0280&quot;/&gt;&lt;wsp:rsid wsp:val=&quot;002F04A5&quot;/&gt;&lt;wsp:rsid wsp:val=&quot;002F0857&quot;/&gt;&lt;wsp:rsid wsp:val=&quot;002F0A1A&quot;/&gt;&lt;wsp:rsid wsp:val=&quot;002F0FCA&quot;/&gt;&lt;wsp:rsid wsp:val=&quot;002F12D6&quot;/&gt;&lt;wsp:rsid wsp:val=&quot;002F18C1&quot;/&gt;&lt;wsp:rsid wsp:val=&quot;002F1D4A&quot;/&gt;&lt;wsp:rsid wsp:val=&quot;002F2CDB&quot;/&gt;&lt;wsp:rsid wsp:val=&quot;002F3875&quot;/&gt;&lt;wsp:rsid wsp:val=&quot;002F4035&quot;/&gt;&lt;wsp:rsid wsp:val=&quot;002F408B&quot;/&gt;&lt;wsp:rsid wsp:val=&quot;002F4374&quot;/&gt;&lt;wsp:rsid wsp:val=&quot;002F4BED&quot;/&gt;&lt;wsp:rsid wsp:val=&quot;002F4DC0&quot;/&gt;&lt;wsp:rsid wsp:val=&quot;002F529D&quot;/&gt;&lt;wsp:rsid wsp:val=&quot;002F5622&quot;/&gt;&lt;wsp:rsid wsp:val=&quot;002F5CC5&quot;/&gt;&lt;wsp:rsid wsp:val=&quot;002F6423&quot;/&gt;&lt;wsp:rsid wsp:val=&quot;002F6A5D&quot;/&gt;&lt;wsp:rsid wsp:val=&quot;002F6AF5&quot;/&gt;&lt;wsp:rsid wsp:val=&quot;002F6D48&quot;/&gt;&lt;wsp:rsid wsp:val=&quot;002F6D9A&quot;/&gt;&lt;wsp:rsid wsp:val=&quot;002F7C37&quot;/&gt;&lt;wsp:rsid wsp:val=&quot;002F7F83&quot;/&gt;&lt;wsp:rsid wsp:val=&quot;00300269&quot;/&gt;&lt;wsp:rsid wsp:val=&quot;0030037D&quot;/&gt;&lt;wsp:rsid wsp:val=&quot;003006E5&quot;/&gt;&lt;wsp:rsid wsp:val=&quot;00300758&quot;/&gt;&lt;wsp:rsid wsp:val=&quot;003007C9&quot;/&gt;&lt;wsp:rsid wsp:val=&quot;00301BDA&quot;/&gt;&lt;wsp:rsid wsp:val=&quot;00301C4C&quot;/&gt;&lt;wsp:rsid wsp:val=&quot;00301CB8&quot;/&gt;&lt;wsp:rsid wsp:val=&quot;00301DE0&quot;/&gt;&lt;wsp:rsid wsp:val=&quot;00301DE5&quot;/&gt;&lt;wsp:rsid wsp:val=&quot;003022D9&quot;/&gt;&lt;wsp:rsid wsp:val=&quot;00302478&quot;/&gt;&lt;wsp:rsid wsp:val=&quot;00302828&quot;/&gt;&lt;wsp:rsid wsp:val=&quot;00302B4C&quot;/&gt;&lt;wsp:rsid wsp:val=&quot;00303BA6&quot;/&gt;&lt;wsp:rsid wsp:val=&quot;00303CBB&quot;/&gt;&lt;wsp:rsid wsp:val=&quot;00303DA4&quot;/&gt;&lt;wsp:rsid wsp:val=&quot;003046F6&quot;/&gt;&lt;wsp:rsid wsp:val=&quot;00304955&quot;/&gt;&lt;wsp:rsid wsp:val=&quot;00304B79&quot;/&gt;&lt;wsp:rsid wsp:val=&quot;003053C5&quot;/&gt;&lt;wsp:rsid wsp:val=&quot;0030548D&quot;/&gt;&lt;wsp:rsid wsp:val=&quot;00305806&quot;/&gt;&lt;wsp:rsid wsp:val=&quot;00306359&quot;/&gt;&lt;wsp:rsid wsp:val=&quot;0030654B&quot;/&gt;&lt;wsp:rsid wsp:val=&quot;00306BAD&quot;/&gt;&lt;wsp:rsid wsp:val=&quot;00306E1B&quot;/&gt;&lt;wsp:rsid wsp:val=&quot;003070DF&quot;/&gt;&lt;wsp:rsid wsp:val=&quot;00307372&quot;/&gt;&lt;wsp:rsid wsp:val=&quot;00307375&quot;/&gt;&lt;wsp:rsid wsp:val=&quot;0030784A&quot;/&gt;&lt;wsp:rsid wsp:val=&quot;003078EC&quot;/&gt;&lt;wsp:rsid wsp:val=&quot;00307E81&quot;/&gt;&lt;wsp:rsid wsp:val=&quot;00307FAF&quot;/&gt;&lt;wsp:rsid wsp:val=&quot;00310382&quot;/&gt;&lt;wsp:rsid wsp:val=&quot;00310AE3&quot;/&gt;&lt;wsp:rsid wsp:val=&quot;00310C28&quot;/&gt;&lt;wsp:rsid wsp:val=&quot;00311494&quot;/&gt;&lt;wsp:rsid wsp:val=&quot;0031183D&quot;/&gt;&lt;wsp:rsid wsp:val=&quot;00311881&quot;/&gt;&lt;wsp:rsid wsp:val=&quot;0031197E&quot;/&gt;&lt;wsp:rsid wsp:val=&quot;00311A43&quot;/&gt;&lt;wsp:rsid wsp:val=&quot;00311C95&quot;/&gt;&lt;wsp:rsid wsp:val=&quot;00311CEC&quot;/&gt;&lt;wsp:rsid wsp:val=&quot;00311E66&quot;/&gt;&lt;wsp:rsid wsp:val=&quot;00312297&quot;/&gt;&lt;wsp:rsid wsp:val=&quot;003123C6&quot;/&gt;&lt;wsp:rsid wsp:val=&quot;00312A2F&quot;/&gt;&lt;wsp:rsid wsp:val=&quot;003135F3&quot;/&gt;&lt;wsp:rsid wsp:val=&quot;00313661&quot;/&gt;&lt;wsp:rsid wsp:val=&quot;00313D10&quot;/&gt;&lt;wsp:rsid wsp:val=&quot;00314993&quot;/&gt;&lt;wsp:rsid wsp:val=&quot;00314CDC&quot;/&gt;&lt;wsp:rsid wsp:val=&quot;00314FF9&quot;/&gt;&lt;wsp:rsid wsp:val=&quot;0031537C&quot;/&gt;&lt;wsp:rsid wsp:val=&quot;0031579B&quot;/&gt;&lt;wsp:rsid wsp:val=&quot;003157BD&quot;/&gt;&lt;wsp:rsid wsp:val=&quot;00315DF4&quot;/&gt;&lt;wsp:rsid wsp:val=&quot;003162B9&quot;/&gt;&lt;wsp:rsid wsp:val=&quot;003163DC&quot;/&gt;&lt;wsp:rsid wsp:val=&quot;0031645A&quot;/&gt;&lt;wsp:rsid wsp:val=&quot;00316C5A&quot;/&gt;&lt;wsp:rsid wsp:val=&quot;003170F7&quot;/&gt;&lt;wsp:rsid wsp:val=&quot;003178C8&quot;/&gt;&lt;wsp:rsid wsp:val=&quot;00317937&quot;/&gt;&lt;wsp:rsid wsp:val=&quot;00317ECB&quot;/&gt;&lt;wsp:rsid wsp:val=&quot;00320085&quot;/&gt;&lt;wsp:rsid wsp:val=&quot;003200CD&quot;/&gt;&lt;wsp:rsid wsp:val=&quot;00320782&quot;/&gt;&lt;wsp:rsid wsp:val=&quot;00320873&quot;/&gt;&lt;wsp:rsid wsp:val=&quot;0032096D&quot;/&gt;&lt;wsp:rsid wsp:val=&quot;00320C02&quot;/&gt;&lt;wsp:rsid wsp:val=&quot;00320C5C&quot;/&gt;&lt;wsp:rsid wsp:val=&quot;00320CB5&quot;/&gt;&lt;wsp:rsid wsp:val=&quot;0032122C&quot;/&gt;&lt;wsp:rsid wsp:val=&quot;003215C6&quot;/&gt;&lt;wsp:rsid wsp:val=&quot;003215C8&quot;/&gt;&lt;wsp:rsid wsp:val=&quot;003215D5&quot;/&gt;&lt;wsp:rsid wsp:val=&quot;00322604&quot;/&gt;&lt;wsp:rsid wsp:val=&quot;00323152&quot;/&gt;&lt;wsp:rsid wsp:val=&quot;0032366B&quot;/&gt;&lt;wsp:rsid wsp:val=&quot;0032390A&quot;/&gt;&lt;wsp:rsid wsp:val=&quot;00323F82&quot;/&gt;&lt;wsp:rsid wsp:val=&quot;003240B9&quot;/&gt;&lt;wsp:rsid wsp:val=&quot;003248E2&quot;/&gt;&lt;wsp:rsid wsp:val=&quot;003252F0&quot;/&gt;&lt;wsp:rsid wsp:val=&quot;003255D9&quot;/&gt;&lt;wsp:rsid wsp:val=&quot;00325661&quot;/&gt;&lt;wsp:rsid wsp:val=&quot;00325800&quot;/&gt;&lt;wsp:rsid wsp:val=&quot;00325A90&quot;/&gt;&lt;wsp:rsid wsp:val=&quot;00325D3A&quot;/&gt;&lt;wsp:rsid wsp:val=&quot;003261AA&quot;/&gt;&lt;wsp:rsid wsp:val=&quot;00327485&quot;/&gt;&lt;wsp:rsid wsp:val=&quot;0032782F&quot;/&gt;&lt;wsp:rsid wsp:val=&quot;00327FA2&quot;/&gt;&lt;wsp:rsid wsp:val=&quot;003300A7&quot;/&gt;&lt;wsp:rsid wsp:val=&quot;00330A0F&quot;/&gt;&lt;wsp:rsid wsp:val=&quot;00330C21&quot;/&gt;&lt;wsp:rsid wsp:val=&quot;00331253&quot;/&gt;&lt;wsp:rsid wsp:val=&quot;0033139B&quot;/&gt;&lt;wsp:rsid wsp:val=&quot;003313E5&quot;/&gt;&lt;wsp:rsid wsp:val=&quot;0033183D&quot;/&gt;&lt;wsp:rsid wsp:val=&quot;00333127&quot;/&gt;&lt;wsp:rsid wsp:val=&quot;00333509&quot;/&gt;&lt;wsp:rsid wsp:val=&quot;00333EC5&quot;/&gt;&lt;wsp:rsid wsp:val=&quot;00333FA2&quot;/&gt;&lt;wsp:rsid wsp:val=&quot;00334332&quot;/&gt;&lt;wsp:rsid wsp:val=&quot;00334523&quot;/&gt;&lt;wsp:rsid wsp:val=&quot;00334B0E&quot;/&gt;&lt;wsp:rsid wsp:val=&quot;003351CE&quot;/&gt;&lt;wsp:rsid wsp:val=&quot;0033537A&quot;/&gt;&lt;wsp:rsid wsp:val=&quot;003353E1&quot;/&gt;&lt;wsp:rsid wsp:val=&quot;00335BB0&quot;/&gt;&lt;wsp:rsid wsp:val=&quot;00335BCE&quot;/&gt;&lt;wsp:rsid wsp:val=&quot;00335C99&quot;/&gt;&lt;wsp:rsid wsp:val=&quot;00336CD4&quot;/&gt;&lt;wsp:rsid wsp:val=&quot;00336EC7&quot;/&gt;&lt;wsp:rsid wsp:val=&quot;00336F7A&quot;/&gt;&lt;wsp:rsid wsp:val=&quot;00336FCA&quot;/&gt;&lt;wsp:rsid wsp:val=&quot;0033723A&quot;/&gt;&lt;wsp:rsid wsp:val=&quot;00337271&quot;/&gt;&lt;wsp:rsid wsp:val=&quot;003376F2&quot;/&gt;&lt;wsp:rsid wsp:val=&quot;003378A8&quot;/&gt;&lt;wsp:rsid wsp:val=&quot;0034055F&quot;/&gt;&lt;wsp:rsid wsp:val=&quot;00340804&quot;/&gt;&lt;wsp:rsid wsp:val=&quot;00340F41&quot;/&gt;&lt;wsp:rsid wsp:val=&quot;0034199A&quot;/&gt;&lt;wsp:rsid wsp:val=&quot;00341BBA&quot;/&gt;&lt;wsp:rsid wsp:val=&quot;003427FD&quot;/&gt;&lt;wsp:rsid wsp:val=&quot;00342A4A&quot;/&gt;&lt;wsp:rsid wsp:val=&quot;0034301F&quot;/&gt;&lt;wsp:rsid wsp:val=&quot;003438A2&quot;/&gt;&lt;wsp:rsid wsp:val=&quot;00343CEE&quot;/&gt;&lt;wsp:rsid wsp:val=&quot;00343D5D&quot;/&gt;&lt;wsp:rsid wsp:val=&quot;003440DE&quot;/&gt;&lt;wsp:rsid wsp:val=&quot;0034417B&quot;/&gt;&lt;wsp:rsid wsp:val=&quot;003442B5&quot;/&gt;&lt;wsp:rsid wsp:val=&quot;00344771&quot;/&gt;&lt;wsp:rsid wsp:val=&quot;003447FC&quot;/&gt;&lt;wsp:rsid wsp:val=&quot;0034500E&quot;/&gt;&lt;wsp:rsid wsp:val=&quot;003450B0&quot;/&gt;&lt;wsp:rsid wsp:val=&quot;00345476&quot;/&gt;&lt;wsp:rsid wsp:val=&quot;003456CE&quot;/&gt;&lt;wsp:rsid wsp:val=&quot;00345789&quot;/&gt;&lt;wsp:rsid wsp:val=&quot;003458F6&quot;/&gt;&lt;wsp:rsid wsp:val=&quot;00345968&quot;/&gt;&lt;wsp:rsid wsp:val=&quot;00345AE3&quot;/&gt;&lt;wsp:rsid wsp:val=&quot;00345B4D&quot;/&gt;&lt;wsp:rsid wsp:val=&quot;00345EFA&quot;/&gt;&lt;wsp:rsid wsp:val=&quot;00346290&quot;/&gt;&lt;wsp:rsid wsp:val=&quot;003463D7&quot;/&gt;&lt;wsp:rsid wsp:val=&quot;00346493&quot;/&gt;&lt;wsp:rsid wsp:val=&quot;00346582&quot;/&gt;&lt;wsp:rsid wsp:val=&quot;00346A6F&quot;/&gt;&lt;wsp:rsid wsp:val=&quot;00346BA9&quot;/&gt;&lt;wsp:rsid wsp:val=&quot;00347731&quot;/&gt;&lt;wsp:rsid wsp:val=&quot;00347870&quot;/&gt;&lt;wsp:rsid wsp:val=&quot;00347E26&quot;/&gt;&lt;wsp:rsid wsp:val=&quot;00347E2D&quot;/&gt;&lt;wsp:rsid wsp:val=&quot;00350103&quot;/&gt;&lt;wsp:rsid wsp:val=&quot;0035012C&quot;/&gt;&lt;wsp:rsid wsp:val=&quot;00350190&quot;/&gt;&lt;wsp:rsid wsp:val=&quot;003502B6&quot;/&gt;&lt;wsp:rsid wsp:val=&quot;003507E6&quot;/&gt;&lt;wsp:rsid wsp:val=&quot;00350DF0&quot;/&gt;&lt;wsp:rsid wsp:val=&quot;00350FEC&quot;/&gt;&lt;wsp:rsid wsp:val=&quot;00351B5B&quot;/&gt;&lt;wsp:rsid wsp:val=&quot;00351E8F&quot;/&gt;&lt;wsp:rsid wsp:val=&quot;0035245B&quot;/&gt;&lt;wsp:rsid wsp:val=&quot;0035282A&quot;/&gt;&lt;wsp:rsid wsp:val=&quot;00352D5B&quot;/&gt;&lt;wsp:rsid wsp:val=&quot;0035383B&quot;/&gt;&lt;wsp:rsid wsp:val=&quot;00353B23&quot;/&gt;&lt;wsp:rsid wsp:val=&quot;00353C91&quot;/&gt;&lt;wsp:rsid wsp:val=&quot;00354371&quot;/&gt;&lt;wsp:rsid wsp:val=&quot;0035559E&quot;/&gt;&lt;wsp:rsid wsp:val=&quot;00355943&quot;/&gt;&lt;wsp:rsid wsp:val=&quot;00355999&quot;/&gt;&lt;wsp:rsid wsp:val=&quot;00356BFE&quot;/&gt;&lt;wsp:rsid wsp:val=&quot;00357381&quot;/&gt;&lt;wsp:rsid wsp:val=&quot;00357721&quot;/&gt;&lt;wsp:rsid wsp:val=&quot;00357CA6&quot;/&gt;&lt;wsp:rsid wsp:val=&quot;00360509&quot;/&gt;&lt;wsp:rsid wsp:val=&quot;00360741&quot;/&gt;&lt;wsp:rsid wsp:val=&quot;003607D3&quot;/&gt;&lt;wsp:rsid wsp:val=&quot;00360CF9&quot;/&gt;&lt;wsp:rsid wsp:val=&quot;00361806&quot;/&gt;&lt;wsp:rsid wsp:val=&quot;00361CF4&quot;/&gt;&lt;wsp:rsid wsp:val=&quot;0036221A&quot;/&gt;&lt;wsp:rsid wsp:val=&quot;0036239E&quot;/&gt;&lt;wsp:rsid wsp:val=&quot;0036241A&quot;/&gt;&lt;wsp:rsid wsp:val=&quot;00363622&quot;/&gt;&lt;wsp:rsid wsp:val=&quot;003645E3&quot;/&gt;&lt;wsp:rsid wsp:val=&quot;00364626&quot;/&gt;&lt;wsp:rsid wsp:val=&quot;003646E4&quot;/&gt;&lt;wsp:rsid wsp:val=&quot;00364A73&quot;/&gt;&lt;wsp:rsid wsp:val=&quot;00365617&quot;/&gt;&lt;wsp:rsid wsp:val=&quot;0036566A&quot;/&gt;&lt;wsp:rsid wsp:val=&quot;003657A7&quot;/&gt;&lt;wsp:rsid wsp:val=&quot;0036594C&quot;/&gt;&lt;wsp:rsid wsp:val=&quot;00365BEC&quot;/&gt;&lt;wsp:rsid wsp:val=&quot;00365DEA&quot;/&gt;&lt;wsp:rsid wsp:val=&quot;00365EB6&quot;/&gt;&lt;wsp:rsid wsp:val=&quot;00366353&quot;/&gt;&lt;wsp:rsid wsp:val=&quot;003663C1&quot;/&gt;&lt;wsp:rsid wsp:val=&quot;00366467&quot;/&gt;&lt;wsp:rsid wsp:val=&quot;003666DD&quot;/&gt;&lt;wsp:rsid wsp:val=&quot;0036784F&quot;/&gt;&lt;wsp:rsid wsp:val=&quot;00367AD2&quot;/&gt;&lt;wsp:rsid wsp:val=&quot;00367CA1&quot;/&gt;&lt;wsp:rsid wsp:val=&quot;003701F5&quot;/&gt;&lt;wsp:rsid wsp:val=&quot;0037037B&quot;/&gt;&lt;wsp:rsid wsp:val=&quot;00370794&quot;/&gt;&lt;wsp:rsid wsp:val=&quot;00370B84&quot;/&gt;&lt;wsp:rsid wsp:val=&quot;003713CD&quot;/&gt;&lt;wsp:rsid wsp:val=&quot;003717B3&quot;/&gt;&lt;wsp:rsid wsp:val=&quot;00371AFA&quot;/&gt;&lt;wsp:rsid wsp:val=&quot;003723B9&quot;/&gt;&lt;wsp:rsid wsp:val=&quot;00372DCB&quot;/&gt;&lt;wsp:rsid wsp:val=&quot;003738AC&quot;/&gt;&lt;wsp:rsid wsp:val=&quot;003739CD&quot;/&gt;&lt;wsp:rsid wsp:val=&quot;00373A7E&quot;/&gt;&lt;wsp:rsid wsp:val=&quot;00373AD5&quot;/&gt;&lt;wsp:rsid wsp:val=&quot;00373C3F&quot;/&gt;&lt;wsp:rsid wsp:val=&quot;00373E88&quot;/&gt;&lt;wsp:rsid wsp:val=&quot;00373EE3&quot;/&gt;&lt;wsp:rsid wsp:val=&quot;003741FE&quot;/&gt;&lt;wsp:rsid wsp:val=&quot;00374403&quot;/&gt;&lt;wsp:rsid wsp:val=&quot;003748C6&quot;/&gt;&lt;wsp:rsid wsp:val=&quot;003751E8&quot;/&gt;&lt;wsp:rsid wsp:val=&quot;00375562&quot;/&gt;&lt;wsp:rsid wsp:val=&quot;003755A5&quot;/&gt;&lt;wsp:rsid wsp:val=&quot;00375CAD&quot;/&gt;&lt;wsp:rsid wsp:val=&quot;00375EEB&quot;/&gt;&lt;wsp:rsid wsp:val=&quot;0037640D&quot;/&gt;&lt;wsp:rsid wsp:val=&quot;003765B7&quot;/&gt;&lt;wsp:rsid wsp:val=&quot;00376854&quot;/&gt;&lt;wsp:rsid wsp:val=&quot;00376DFF&quot;/&gt;&lt;wsp:rsid wsp:val=&quot;003773E7&quot;/&gt;&lt;wsp:rsid wsp:val=&quot;00377914&quot;/&gt;&lt;wsp:rsid wsp:val=&quot;003779DE&quot;/&gt;&lt;wsp:rsid wsp:val=&quot;00377C79&quot;/&gt;&lt;wsp:rsid wsp:val=&quot;00377D79&quot;/&gt;&lt;wsp:rsid wsp:val=&quot;003802AA&quot;/&gt;&lt;wsp:rsid wsp:val=&quot;003806F4&quot;/&gt;&lt;wsp:rsid wsp:val=&quot;00381031&quot;/&gt;&lt;wsp:rsid wsp:val=&quot;003813BA&quot;/&gt;&lt;wsp:rsid wsp:val=&quot;00381605&quot;/&gt;&lt;wsp:rsid wsp:val=&quot;00381E59&quot;/&gt;&lt;wsp:rsid wsp:val=&quot;00382915&quot;/&gt;&lt;wsp:rsid wsp:val=&quot;00382A2E&quot;/&gt;&lt;wsp:rsid wsp:val=&quot;00383445&quot;/&gt;&lt;wsp:rsid wsp:val=&quot;0038355D&quot;/&gt;&lt;wsp:rsid wsp:val=&quot;00383C62&quot;/&gt;&lt;wsp:rsid wsp:val=&quot;0038424C&quot;/&gt;&lt;wsp:rsid wsp:val=&quot;003842F7&quot;/&gt;&lt;wsp:rsid wsp:val=&quot;003853B3&quot;/&gt;&lt;wsp:rsid wsp:val=&quot;00385BA9&quot;/&gt;&lt;wsp:rsid wsp:val=&quot;00385C88&quot;/&gt;&lt;wsp:rsid wsp:val=&quot;003862A0&quot;/&gt;&lt;wsp:rsid wsp:val=&quot;00386431&quot;/&gt;&lt;wsp:rsid wsp:val=&quot;00386549&quot;/&gt;&lt;wsp:rsid wsp:val=&quot;00386F6B&quot;/&gt;&lt;wsp:rsid wsp:val=&quot;00387830&quot;/&gt;&lt;wsp:rsid wsp:val=&quot;0038796C&quot;/&gt;&lt;wsp:rsid wsp:val=&quot;00387FE2&quot;/&gt;&lt;wsp:rsid wsp:val=&quot;00390172&quot;/&gt;&lt;wsp:rsid wsp:val=&quot;003906FF&quot;/&gt;&lt;wsp:rsid wsp:val=&quot;0039153F&quot;/&gt;&lt;wsp:rsid wsp:val=&quot;00391652&quot;/&gt;&lt;wsp:rsid wsp:val=&quot;00392391&quot;/&gt;&lt;wsp:rsid wsp:val=&quot;00392D0F&quot;/&gt;&lt;wsp:rsid wsp:val=&quot;0039342B&quot;/&gt;&lt;wsp:rsid wsp:val=&quot;0039344B&quot;/&gt;&lt;wsp:rsid wsp:val=&quot;0039366E&quot;/&gt;&lt;wsp:rsid wsp:val=&quot;0039483D&quot;/&gt;&lt;wsp:rsid wsp:val=&quot;00394916&quot;/&gt;&lt;wsp:rsid wsp:val=&quot;003949E4&quot;/&gt;&lt;wsp:rsid wsp:val=&quot;00394CED&quot;/&gt;&lt;wsp:rsid wsp:val=&quot;00394F8C&quot;/&gt;&lt;wsp:rsid wsp:val=&quot;00395069&quot;/&gt;&lt;wsp:rsid wsp:val=&quot;0039526B&quot;/&gt;&lt;wsp:rsid wsp:val=&quot;0039554B&quot;/&gt;&lt;wsp:rsid wsp:val=&quot;003955B2&quot;/&gt;&lt;wsp:rsid wsp:val=&quot;00395688&quot;/&gt;&lt;wsp:rsid wsp:val=&quot;00395CBD&quot;/&gt;&lt;wsp:rsid wsp:val=&quot;00395DA4&quot;/&gt;&lt;wsp:rsid wsp:val=&quot;00395EC4&quot;/&gt;&lt;wsp:rsid wsp:val=&quot;003962A8&quot;/&gt;&lt;wsp:rsid wsp:val=&quot;00396871&quot;/&gt;&lt;wsp:rsid wsp:val=&quot;00397C4F&quot;/&gt;&lt;wsp:rsid wsp:val=&quot;00397FD3&quot;/&gt;&lt;wsp:rsid wsp:val=&quot;003A01D0&quot;/&gt;&lt;wsp:rsid wsp:val=&quot;003A0596&quot;/&gt;&lt;wsp:rsid wsp:val=&quot;003A0768&quot;/&gt;&lt;wsp:rsid wsp:val=&quot;003A0820&quot;/&gt;&lt;wsp:rsid wsp:val=&quot;003A14B7&quot;/&gt;&lt;wsp:rsid wsp:val=&quot;003A17CC&quot;/&gt;&lt;wsp:rsid wsp:val=&quot;003A1910&quot;/&gt;&lt;wsp:rsid wsp:val=&quot;003A1997&quot;/&gt;&lt;wsp:rsid wsp:val=&quot;003A1EC8&quot;/&gt;&lt;wsp:rsid wsp:val=&quot;003A2490&quot;/&gt;&lt;wsp:rsid wsp:val=&quot;003A27D9&quot;/&gt;&lt;wsp:rsid wsp:val=&quot;003A2CED&quot;/&gt;&lt;wsp:rsid wsp:val=&quot;003A2F2D&quot;/&gt;&lt;wsp:rsid wsp:val=&quot;003A2FA0&quot;/&gt;&lt;wsp:rsid wsp:val=&quot;003A32D1&quot;/&gt;&lt;wsp:rsid wsp:val=&quot;003A34C4&quot;/&gt;&lt;wsp:rsid wsp:val=&quot;003A378B&quot;/&gt;&lt;wsp:rsid wsp:val=&quot;003A3B1A&quot;/&gt;&lt;wsp:rsid wsp:val=&quot;003A3E5D&quot;/&gt;&lt;wsp:rsid wsp:val=&quot;003A4101&quot;/&gt;&lt;wsp:rsid wsp:val=&quot;003A4658&quot;/&gt;&lt;wsp:rsid wsp:val=&quot;003A469E&quot;/&gt;&lt;wsp:rsid wsp:val=&quot;003A477C&quot;/&gt;&lt;wsp:rsid wsp:val=&quot;003A4E04&quot;/&gt;&lt;wsp:rsid wsp:val=&quot;003A53E8&quot;/&gt;&lt;wsp:rsid wsp:val=&quot;003A57D5&quot;/&gt;&lt;wsp:rsid wsp:val=&quot;003A5A42&quot;/&gt;&lt;wsp:rsid wsp:val=&quot;003A5ADE&quot;/&gt;&lt;wsp:rsid wsp:val=&quot;003A5E54&quot;/&gt;&lt;wsp:rsid wsp:val=&quot;003A61AC&quot;/&gt;&lt;wsp:rsid wsp:val=&quot;003A69BD&quot;/&gt;&lt;wsp:rsid wsp:val=&quot;003A71E0&quot;/&gt;&lt;wsp:rsid wsp:val=&quot;003A752F&quot;/&gt;&lt;wsp:rsid wsp:val=&quot;003A7805&quot;/&gt;&lt;wsp:rsid wsp:val=&quot;003A7926&quot;/&gt;&lt;wsp:rsid wsp:val=&quot;003A7D6D&quot;/&gt;&lt;wsp:rsid wsp:val=&quot;003B035A&quot;/&gt;&lt;wsp:rsid wsp:val=&quot;003B0469&quot;/&gt;&lt;wsp:rsid wsp:val=&quot;003B0516&quot;/&gt;&lt;wsp:rsid wsp:val=&quot;003B0B90&quot;/&gt;&lt;wsp:rsid wsp:val=&quot;003B123C&quot;/&gt;&lt;wsp:rsid wsp:val=&quot;003B136C&quot;/&gt;&lt;wsp:rsid wsp:val=&quot;003B196F&quot;/&gt;&lt;wsp:rsid wsp:val=&quot;003B19C2&quot;/&gt;&lt;wsp:rsid wsp:val=&quot;003B24D9&quot;/&gt;&lt;wsp:rsid wsp:val=&quot;003B2D38&quot;/&gt;&lt;wsp:rsid wsp:val=&quot;003B3093&quot;/&gt;&lt;wsp:rsid wsp:val=&quot;003B32E3&quot;/&gt;&lt;wsp:rsid wsp:val=&quot;003B342E&quot;/&gt;&lt;wsp:rsid wsp:val=&quot;003B34F5&quot;/&gt;&lt;wsp:rsid wsp:val=&quot;003B401F&quot;/&gt;&lt;wsp:rsid wsp:val=&quot;003B4781&quot;/&gt;&lt;wsp:rsid wsp:val=&quot;003B48DE&quot;/&gt;&lt;wsp:rsid wsp:val=&quot;003B4D2E&quot;/&gt;&lt;wsp:rsid wsp:val=&quot;003B4F6F&quot;/&gt;&lt;wsp:rsid wsp:val=&quot;003B51C4&quot;/&gt;&lt;wsp:rsid wsp:val=&quot;003B533B&quot;/&gt;&lt;wsp:rsid wsp:val=&quot;003B58EC&quot;/&gt;&lt;wsp:rsid wsp:val=&quot;003B5A1D&quot;/&gt;&lt;wsp:rsid wsp:val=&quot;003B5F0B&quot;/&gt;&lt;wsp:rsid wsp:val=&quot;003B5F46&quot;/&gt;&lt;wsp:rsid wsp:val=&quot;003B6756&quot;/&gt;&lt;wsp:rsid wsp:val=&quot;003B6868&quot;/&gt;&lt;wsp:rsid wsp:val=&quot;003B6FF0&quot;/&gt;&lt;wsp:rsid wsp:val=&quot;003B738E&quot;/&gt;&lt;wsp:rsid wsp:val=&quot;003B75AC&quot;/&gt;&lt;wsp:rsid wsp:val=&quot;003B7D80&quot;/&gt;&lt;wsp:rsid wsp:val=&quot;003B7E55&quot;/&gt;&lt;wsp:rsid wsp:val=&quot;003C0B4F&quot;/&gt;&lt;wsp:rsid wsp:val=&quot;003C0CD3&quot;/&gt;&lt;wsp:rsid wsp:val=&quot;003C1200&quot;/&gt;&lt;wsp:rsid wsp:val=&quot;003C124E&quot;/&gt;&lt;wsp:rsid wsp:val=&quot;003C127D&quot;/&gt;&lt;wsp:rsid wsp:val=&quot;003C1C7A&quot;/&gt;&lt;wsp:rsid wsp:val=&quot;003C1CFF&quot;/&gt;&lt;wsp:rsid wsp:val=&quot;003C1D5D&quot;/&gt;&lt;wsp:rsid wsp:val=&quot;003C21E9&quot;/&gt;&lt;wsp:rsid wsp:val=&quot;003C221B&quot;/&gt;&lt;wsp:rsid wsp:val=&quot;003C2806&quot;/&gt;&lt;wsp:rsid wsp:val=&quot;003C29FB&quot;/&gt;&lt;wsp:rsid wsp:val=&quot;003C2B75&quot;/&gt;&lt;wsp:rsid wsp:val=&quot;003C2C95&quot;/&gt;&lt;wsp:rsid wsp:val=&quot;003C2C9F&quot;/&gt;&lt;wsp:rsid wsp:val=&quot;003C2E2A&quot;/&gt;&lt;wsp:rsid wsp:val=&quot;003C3748&quot;/&gt;&lt;wsp:rsid wsp:val=&quot;003C3EA8&quot;/&gt;&lt;wsp:rsid wsp:val=&quot;003C40A0&quot;/&gt;&lt;wsp:rsid wsp:val=&quot;003C4278&quot;/&gt;&lt;wsp:rsid wsp:val=&quot;003C4300&quot;/&gt;&lt;wsp:rsid wsp:val=&quot;003C475F&quot;/&gt;&lt;wsp:rsid wsp:val=&quot;003C49BC&quot;/&gt;&lt;wsp:rsid wsp:val=&quot;003C4D85&quot;/&gt;&lt;wsp:rsid wsp:val=&quot;003C4EC4&quot;/&gt;&lt;wsp:rsid wsp:val=&quot;003C55AA&quot;/&gt;&lt;wsp:rsid wsp:val=&quot;003C6335&quot;/&gt;&lt;wsp:rsid wsp:val=&quot;003C656F&quot;/&gt;&lt;wsp:rsid wsp:val=&quot;003C6FEB&quot;/&gt;&lt;wsp:rsid wsp:val=&quot;003C7595&quot;/&gt;&lt;wsp:rsid wsp:val=&quot;003C7764&quot;/&gt;&lt;wsp:rsid wsp:val=&quot;003C7AFF&quot;/&gt;&lt;wsp:rsid wsp:val=&quot;003C7E63&quot;/&gt;&lt;wsp:rsid wsp:val=&quot;003C7ECD&quot;/&gt;&lt;wsp:rsid wsp:val=&quot;003D045D&quot;/&gt;&lt;wsp:rsid wsp:val=&quot;003D08A6&quot;/&gt;&lt;wsp:rsid wsp:val=&quot;003D09FE&quot;/&gt;&lt;wsp:rsid wsp:val=&quot;003D1255&quot;/&gt;&lt;wsp:rsid wsp:val=&quot;003D137F&quot;/&gt;&lt;wsp:rsid wsp:val=&quot;003D18FC&quot;/&gt;&lt;wsp:rsid wsp:val=&quot;003D194F&quot;/&gt;&lt;wsp:rsid wsp:val=&quot;003D2AB5&quot;/&gt;&lt;wsp:rsid wsp:val=&quot;003D308D&quot;/&gt;&lt;wsp:rsid wsp:val=&quot;003D370F&quot;/&gt;&lt;wsp:rsid wsp:val=&quot;003D3A18&quot;/&gt;&lt;wsp:rsid wsp:val=&quot;003D3D0C&quot;/&gt;&lt;wsp:rsid wsp:val=&quot;003D3D66&quot;/&gt;&lt;wsp:rsid wsp:val=&quot;003D4097&quot;/&gt;&lt;wsp:rsid wsp:val=&quot;003D4823&quot;/&gt;&lt;wsp:rsid wsp:val=&quot;003D4850&quot;/&gt;&lt;wsp:rsid wsp:val=&quot;003D4973&quot;/&gt;&lt;wsp:rsid wsp:val=&quot;003D5C10&quot;/&gt;&lt;wsp:rsid wsp:val=&quot;003D6227&quot;/&gt;&lt;wsp:rsid wsp:val=&quot;003D6534&quot;/&gt;&lt;wsp:rsid wsp:val=&quot;003D6758&quot;/&gt;&lt;wsp:rsid wsp:val=&quot;003D6E1D&quot;/&gt;&lt;wsp:rsid wsp:val=&quot;003D6F45&quot;/&gt;&lt;wsp:rsid wsp:val=&quot;003D7707&quot;/&gt;&lt;wsp:rsid wsp:val=&quot;003D7749&quot;/&gt;&lt;wsp:rsid wsp:val=&quot;003D7BEB&quot;/&gt;&lt;wsp:rsid wsp:val=&quot;003E04D7&quot;/&gt;&lt;wsp:rsid wsp:val=&quot;003E0CF3&quot;/&gt;&lt;wsp:rsid wsp:val=&quot;003E12B0&quot;/&gt;&lt;wsp:rsid wsp:val=&quot;003E1825&quot;/&gt;&lt;wsp:rsid wsp:val=&quot;003E1A9A&quot;/&gt;&lt;wsp:rsid wsp:val=&quot;003E1BC9&quot;/&gt;&lt;wsp:rsid wsp:val=&quot;003E28AC&quot;/&gt;&lt;wsp:rsid wsp:val=&quot;003E2B62&quot;/&gt;&lt;wsp:rsid wsp:val=&quot;003E3977&quot;/&gt;&lt;wsp:rsid wsp:val=&quot;003E39A7&quot;/&gt;&lt;wsp:rsid wsp:val=&quot;003E3F30&quot;/&gt;&lt;wsp:rsid wsp:val=&quot;003E40F2&quot;/&gt;&lt;wsp:rsid wsp:val=&quot;003E423B&quot;/&gt;&lt;wsp:rsid wsp:val=&quot;003E4288&quot;/&gt;&lt;wsp:rsid wsp:val=&quot;003E42B4&quot;/&gt;&lt;wsp:rsid wsp:val=&quot;003E44F5&quot;/&gt;&lt;wsp:rsid wsp:val=&quot;003E44F6&quot;/&gt;&lt;wsp:rsid wsp:val=&quot;003E56DD&quot;/&gt;&lt;wsp:rsid wsp:val=&quot;003E585B&quot;/&gt;&lt;wsp:rsid wsp:val=&quot;003E5950&quot;/&gt;&lt;wsp:rsid wsp:val=&quot;003E5E26&quot;/&gt;&lt;wsp:rsid wsp:val=&quot;003E6366&quot;/&gt;&lt;wsp:rsid wsp:val=&quot;003E6672&quot;/&gt;&lt;wsp:rsid wsp:val=&quot;003E6BB3&quot;/&gt;&lt;wsp:rsid wsp:val=&quot;003E72B7&quot;/&gt;&lt;wsp:rsid wsp:val=&quot;003E74C8&quot;/&gt;&lt;wsp:rsid wsp:val=&quot;003F1CC6&quot;/&gt;&lt;wsp:rsid wsp:val=&quot;003F1DE3&quot;/&gt;&lt;wsp:rsid wsp:val=&quot;003F2377&quot;/&gt;&lt;wsp:rsid wsp:val=&quot;003F253B&quot;/&gt;&lt;wsp:rsid wsp:val=&quot;003F27F7&quot;/&gt;&lt;wsp:rsid wsp:val=&quot;003F2A4E&quot;/&gt;&lt;wsp:rsid wsp:val=&quot;003F2AC6&quot;/&gt;&lt;wsp:rsid wsp:val=&quot;003F2CCF&quot;/&gt;&lt;wsp:rsid wsp:val=&quot;003F3902&quot;/&gt;&lt;wsp:rsid wsp:val=&quot;003F3CCE&quot;/&gt;&lt;wsp:rsid wsp:val=&quot;003F3F8A&quot;/&gt;&lt;wsp:rsid wsp:val=&quot;003F4189&quot;/&gt;&lt;wsp:rsid wsp:val=&quot;003F422B&quot;/&gt;&lt;wsp:rsid wsp:val=&quot;003F4997&quot;/&gt;&lt;wsp:rsid wsp:val=&quot;003F4BA8&quot;/&gt;&lt;wsp:rsid wsp:val=&quot;003F514F&quot;/&gt;&lt;wsp:rsid wsp:val=&quot;003F58AF&quot;/&gt;&lt;wsp:rsid wsp:val=&quot;003F5B8D&quot;/&gt;&lt;wsp:rsid wsp:val=&quot;003F5C47&quot;/&gt;&lt;wsp:rsid wsp:val=&quot;003F619E&quot;/&gt;&lt;wsp:rsid wsp:val=&quot;003F61B9&quot;/&gt;&lt;wsp:rsid wsp:val=&quot;003F643E&quot;/&gt;&lt;wsp:rsid wsp:val=&quot;003F66FB&quot;/&gt;&lt;wsp:rsid wsp:val=&quot;003F6C03&quot;/&gt;&lt;wsp:rsid wsp:val=&quot;003F6D42&quot;/&gt;&lt;wsp:rsid wsp:val=&quot;003F6D91&quot;/&gt;&lt;wsp:rsid wsp:val=&quot;003F70E7&quot;/&gt;&lt;wsp:rsid wsp:val=&quot;003F7650&quot;/&gt;&lt;wsp:rsid wsp:val=&quot;003F7722&quot;/&gt;&lt;wsp:rsid wsp:val=&quot;003F7F15&quot;/&gt;&lt;wsp:rsid wsp:val=&quot;003F7F4C&quot;/&gt;&lt;wsp:rsid wsp:val=&quot;0040000E&quot;/&gt;&lt;wsp:rsid wsp:val=&quot;004001C7&quot;/&gt;&lt;wsp:rsid wsp:val=&quot;00400BDA&quot;/&gt;&lt;wsp:rsid wsp:val=&quot;00400EA8&quot;/&gt;&lt;wsp:rsid wsp:val=&quot;00401374&quot;/&gt;&lt;wsp:rsid wsp:val=&quot;004013BC&quot;/&gt;&lt;wsp:rsid wsp:val=&quot;00401AA4&quot;/&gt;&lt;wsp:rsid wsp:val=&quot;00402305&quot;/&gt;&lt;wsp:rsid wsp:val=&quot;00402F6B&quot;/&gt;&lt;wsp:rsid wsp:val=&quot;004030F6&quot;/&gt;&lt;wsp:rsid wsp:val=&quot;00403112&quot;/&gt;&lt;wsp:rsid wsp:val=&quot;0040318C&quot;/&gt;&lt;wsp:rsid wsp:val=&quot;004031BC&quot;/&gt;&lt;wsp:rsid wsp:val=&quot;00403653&quot;/&gt;&lt;wsp:rsid wsp:val=&quot;00403977&quot;/&gt;&lt;wsp:rsid wsp:val=&quot;00404331&quot;/&gt;&lt;wsp:rsid wsp:val=&quot;004046A7&quot;/&gt;&lt;wsp:rsid wsp:val=&quot;00404DFC&quot;/&gt;&lt;wsp:rsid wsp:val=&quot;004050C4&quot;/&gt;&lt;wsp:rsid wsp:val=&quot;00405392&quot;/&gt;&lt;wsp:rsid wsp:val=&quot;004053B6&quot;/&gt;&lt;wsp:rsid wsp:val=&quot;004055B8&quot;/&gt;&lt;wsp:rsid wsp:val=&quot;00405CC5&quot;/&gt;&lt;wsp:rsid wsp:val=&quot;00406368&quot;/&gt;&lt;wsp:rsid wsp:val=&quot;00406417&quot;/&gt;&lt;wsp:rsid wsp:val=&quot;004068A5&quot;/&gt;&lt;wsp:rsid wsp:val=&quot;00406937&quot;/&gt;&lt;wsp:rsid wsp:val=&quot;00406950&quot;/&gt;&lt;wsp:rsid wsp:val=&quot;00406D89&quot;/&gt;&lt;wsp:rsid wsp:val=&quot;00407532&quot;/&gt;&lt;wsp:rsid wsp:val=&quot;004076BA&quot;/&gt;&lt;wsp:rsid wsp:val=&quot;0040789D&quot;/&gt;&lt;wsp:rsid wsp:val=&quot;00407956&quot;/&gt;&lt;wsp:rsid wsp:val=&quot;00407F03&quot;/&gt;&lt;wsp:rsid wsp:val=&quot;004100B7&quot;/&gt;&lt;wsp:rsid wsp:val=&quot;00410A94&quot;/&gt;&lt;wsp:rsid wsp:val=&quot;00411CBC&quot;/&gt;&lt;wsp:rsid wsp:val=&quot;0041228F&quot;/&gt;&lt;wsp:rsid wsp:val=&quot;004125BF&quot;/&gt;&lt;wsp:rsid wsp:val=&quot;00412611&quot;/&gt;&lt;wsp:rsid wsp:val=&quot;0041261B&quot;/&gt;&lt;wsp:rsid wsp:val=&quot;00412D84&quot;/&gt;&lt;wsp:rsid wsp:val=&quot;00412F7B&quot;/&gt;&lt;wsp:rsid wsp:val=&quot;004131F8&quot;/&gt;&lt;wsp:rsid wsp:val=&quot;00413280&quot;/&gt;&lt;wsp:rsid wsp:val=&quot;00413538&quot;/&gt;&lt;wsp:rsid wsp:val=&quot;0041359D&quot;/&gt;&lt;wsp:rsid wsp:val=&quot;00413A1F&quot;/&gt;&lt;wsp:rsid wsp:val=&quot;00413A55&quot;/&gt;&lt;wsp:rsid wsp:val=&quot;00413BF6&quot;/&gt;&lt;wsp:rsid wsp:val=&quot;00413EF1&quot;/&gt;&lt;wsp:rsid wsp:val=&quot;00414283&quot;/&gt;&lt;wsp:rsid wsp:val=&quot;004149A5&quot;/&gt;&lt;wsp:rsid wsp:val=&quot;00415025&quot;/&gt;&lt;wsp:rsid wsp:val=&quot;0041503A&quot;/&gt;&lt;wsp:rsid wsp:val=&quot;00415973&quot;/&gt;&lt;wsp:rsid wsp:val=&quot;0041602B&quot;/&gt;&lt;wsp:rsid wsp:val=&quot;00416250&quot;/&gt;&lt;wsp:rsid wsp:val=&quot;004163F2&quot;/&gt;&lt;wsp:rsid wsp:val=&quot;004167EC&quot;/&gt;&lt;wsp:rsid wsp:val=&quot;00416883&quot;/&gt;&lt;wsp:rsid wsp:val=&quot;00416DFE&quot;/&gt;&lt;wsp:rsid wsp:val=&quot;00416F49&quot;/&gt;&lt;wsp:rsid wsp:val=&quot;00417041&quot;/&gt;&lt;wsp:rsid wsp:val=&quot;00417337&quot;/&gt;&lt;wsp:rsid wsp:val=&quot;00417BF4&quot;/&gt;&lt;wsp:rsid wsp:val=&quot;004203B2&quot;/&gt;&lt;wsp:rsid wsp:val=&quot;00420511&quot;/&gt;&lt;wsp:rsid wsp:val=&quot;00420B7C&quot;/&gt;&lt;wsp:rsid wsp:val=&quot;004211F3&quot;/&gt;&lt;wsp:rsid wsp:val=&quot;004215A3&quot;/&gt;&lt;wsp:rsid wsp:val=&quot;00421814&quot;/&gt;&lt;wsp:rsid wsp:val=&quot;004219EC&quot;/&gt;&lt;wsp:rsid wsp:val=&quot;00421D91&quot;/&gt;&lt;wsp:rsid wsp:val=&quot;00421F5D&quot;/&gt;&lt;wsp:rsid wsp:val=&quot;004220E5&quot;/&gt;&lt;wsp:rsid wsp:val=&quot;004222A2&quot;/&gt;&lt;wsp:rsid wsp:val=&quot;0042338A&quot;/&gt;&lt;wsp:rsid wsp:val=&quot;0042375F&quot;/&gt;&lt;wsp:rsid wsp:val=&quot;0042396F&quot;/&gt;&lt;wsp:rsid wsp:val=&quot;00423B44&quot;/&gt;&lt;wsp:rsid wsp:val=&quot;00423E10&quot;/&gt;&lt;wsp:rsid wsp:val=&quot;004241E3&quot;/&gt;&lt;wsp:rsid wsp:val=&quot;004244C1&quot;/&gt;&lt;wsp:rsid wsp:val=&quot;00424551&quot;/&gt;&lt;wsp:rsid wsp:val=&quot;00424868&quot;/&gt;&lt;wsp:rsid wsp:val=&quot;00424B55&quot;/&gt;&lt;wsp:rsid wsp:val=&quot;00424B6D&quot;/&gt;&lt;wsp:rsid wsp:val=&quot;00424B6F&quot;/&gt;&lt;wsp:rsid wsp:val=&quot;00424BA4&quot;/&gt;&lt;wsp:rsid wsp:val=&quot;00424DC3&quot;/&gt;&lt;wsp:rsid wsp:val=&quot;00425106&quot;/&gt;&lt;wsp:rsid wsp:val=&quot;0042521E&quot;/&gt;&lt;wsp:rsid wsp:val=&quot;0042527A&quot;/&gt;&lt;wsp:rsid wsp:val=&quot;0042578C&quot;/&gt;&lt;wsp:rsid wsp:val=&quot;0042579D&quot;/&gt;&lt;wsp:rsid wsp:val=&quot;00425B19&quot;/&gt;&lt;wsp:rsid wsp:val=&quot;00426310&quot;/&gt;&lt;wsp:rsid wsp:val=&quot;004268F6&quot;/&gt;&lt;wsp:rsid wsp:val=&quot;00426F5F&quot;/&gt;&lt;wsp:rsid wsp:val=&quot;0042708D&quot;/&gt;&lt;wsp:rsid wsp:val=&quot;004271C8&quot;/&gt;&lt;wsp:rsid wsp:val=&quot;004273E3&quot;/&gt;&lt;wsp:rsid wsp:val=&quot;004276D2&quot;/&gt;&lt;wsp:rsid wsp:val=&quot;00427B2A&quot;/&gt;&lt;wsp:rsid wsp:val=&quot;00427D6F&quot;/&gt;&lt;wsp:rsid wsp:val=&quot;00427DA8&quot;/&gt;&lt;wsp:rsid wsp:val=&quot;00427E1E&quot;/&gt;&lt;wsp:rsid wsp:val=&quot;004302DD&quot;/&gt;&lt;wsp:rsid wsp:val=&quot;00430873&quot;/&gt;&lt;wsp:rsid wsp:val=&quot;00430D7F&quot;/&gt;&lt;wsp:rsid wsp:val=&quot;00430FA9&quot;/&gt;&lt;wsp:rsid wsp:val=&quot;00431317&quot;/&gt;&lt;wsp:rsid wsp:val=&quot;004314DB&quot;/&gt;&lt;wsp:rsid wsp:val=&quot;00431B25&quot;/&gt;&lt;wsp:rsid wsp:val=&quot;00431D57&quot;/&gt;&lt;wsp:rsid wsp:val=&quot;00432896&quot;/&gt;&lt;wsp:rsid wsp:val=&quot;00432F88&quot;/&gt;&lt;wsp:rsid wsp:val=&quot;004331E1&quot;/&gt;&lt;wsp:rsid wsp:val=&quot;00433717&quot;/&gt;&lt;wsp:rsid wsp:val=&quot;00433D2C&quot;/&gt;&lt;wsp:rsid wsp:val=&quot;00433EAB&quot;/&gt;&lt;wsp:rsid wsp:val=&quot;00434A40&quot;/&gt;&lt;wsp:rsid wsp:val=&quot;004357AA&quot;/&gt;&lt;wsp:rsid wsp:val=&quot;004358D3&quot;/&gt;&lt;wsp:rsid wsp:val=&quot;00435C4C&quot;/&gt;&lt;wsp:rsid wsp:val=&quot;00436097&quot;/&gt;&lt;wsp:rsid wsp:val=&quot;004369B2&quot;/&gt;&lt;wsp:rsid wsp:val=&quot;00436A98&quot;/&gt;&lt;wsp:rsid wsp:val=&quot;00436BD4&quot;/&gt;&lt;wsp:rsid wsp:val=&quot;00436E0E&quot;/&gt;&lt;wsp:rsid wsp:val=&quot;00436EE4&quot;/&gt;&lt;wsp:rsid wsp:val=&quot;004404C3&quot;/&gt;&lt;wsp:rsid wsp:val=&quot;00440F2D&quot;/&gt;&lt;wsp:rsid wsp:val=&quot;004419C5&quot;/&gt;&lt;wsp:rsid wsp:val=&quot;00441B0D&quot;/&gt;&lt;wsp:rsid wsp:val=&quot;00441E08&quot;/&gt;&lt;wsp:rsid wsp:val=&quot;0044225E&quot;/&gt;&lt;wsp:rsid wsp:val=&quot;00442485&quot;/&gt;&lt;wsp:rsid wsp:val=&quot;004425D0&quot;/&gt;&lt;wsp:rsid wsp:val=&quot;0044325F&quot;/&gt;&lt;wsp:rsid wsp:val=&quot;004433D0&quot;/&gt;&lt;wsp:rsid wsp:val=&quot;00443E2F&quot;/&gt;&lt;wsp:rsid wsp:val=&quot;00444A5B&quot;/&gt;&lt;wsp:rsid wsp:val=&quot;00444A7E&quot;/&gt;&lt;wsp:rsid wsp:val=&quot;00444B2A&quot;/&gt;&lt;wsp:rsid wsp:val=&quot;00444D99&quot;/&gt;&lt;wsp:rsid wsp:val=&quot;004453DE&quot;/&gt;&lt;wsp:rsid wsp:val=&quot;0044559D&quot;/&gt;&lt;wsp:rsid wsp:val=&quot;00445737&quot;/&gt;&lt;wsp:rsid wsp:val=&quot;004458EB&quot;/&gt;&lt;wsp:rsid wsp:val=&quot;00445D47&quot;/&gt;&lt;wsp:rsid wsp:val=&quot;004465E4&quot;/&gt;&lt;wsp:rsid wsp:val=&quot;0044688F&quot;/&gt;&lt;wsp:rsid wsp:val=&quot;0044693A&quot;/&gt;&lt;wsp:rsid wsp:val=&quot;00446CDE&quot;/&gt;&lt;wsp:rsid wsp:val=&quot;00446D01&quot;/&gt;&lt;wsp:rsid wsp:val=&quot;0044742D&quot;/&gt;&lt;wsp:rsid wsp:val=&quot;00447EAF&quot;/&gt;&lt;wsp:rsid wsp:val=&quot;004500DA&quot;/&gt;&lt;wsp:rsid wsp:val=&quot;0045055A&quot;/&gt;&lt;wsp:rsid wsp:val=&quot;004507FD&quot;/&gt;&lt;wsp:rsid wsp:val=&quot;00450A2B&quot;/&gt;&lt;wsp:rsid wsp:val=&quot;00451205&quot;/&gt;&lt;wsp:rsid wsp:val=&quot;00451255&quot;/&gt;&lt;wsp:rsid wsp:val=&quot;00451744&quot;/&gt;&lt;wsp:rsid wsp:val=&quot;00451C6F&quot;/&gt;&lt;wsp:rsid wsp:val=&quot;00451EE4&quot;/&gt;&lt;wsp:rsid wsp:val=&quot;004524AA&quot;/&gt;&lt;wsp:rsid wsp:val=&quot;004524AB&quot;/&gt;&lt;wsp:rsid wsp:val=&quot;0045280C&quot;/&gt;&lt;wsp:rsid wsp:val=&quot;00452880&quot;/&gt;&lt;wsp:rsid wsp:val=&quot;00452C8D&quot;/&gt;&lt;wsp:rsid wsp:val=&quot;0045363F&quot;/&gt;&lt;wsp:rsid wsp:val=&quot;004536AD&quot;/&gt;&lt;wsp:rsid wsp:val=&quot;00453D53&quot;/&gt;&lt;wsp:rsid wsp:val=&quot;00453D60&quot;/&gt;&lt;wsp:rsid wsp:val=&quot;00453E18&quot;/&gt;&lt;wsp:rsid wsp:val=&quot;00454D90&quot;/&gt;&lt;wsp:rsid wsp:val=&quot;00454F1E&quot;/&gt;&lt;wsp:rsid wsp:val=&quot;00454FAC&quot;/&gt;&lt;wsp:rsid wsp:val=&quot;0045608C&quot;/&gt;&lt;wsp:rsid wsp:val=&quot;0045692A&quot;/&gt;&lt;wsp:rsid wsp:val=&quot;004575C7&quot;/&gt;&lt;wsp:rsid wsp:val=&quot;00457665&quot;/&gt;&lt;wsp:rsid wsp:val=&quot;0045796B&quot;/&gt;&lt;wsp:rsid wsp:val=&quot;00457A92&quot;/&gt;&lt;wsp:rsid wsp:val=&quot;00457CDA&quot;/&gt;&lt;wsp:rsid wsp:val=&quot;0046014C&quot;/&gt;&lt;wsp:rsid wsp:val=&quot;004607BD&quot;/&gt;&lt;wsp:rsid wsp:val=&quot;00460D0D&quot;/&gt;&lt;wsp:rsid wsp:val=&quot;00461029&quot;/&gt;&lt;wsp:rsid wsp:val=&quot;00461236&quot;/&gt;&lt;wsp:rsid wsp:val=&quot;00461543&quot;/&gt;&lt;wsp:rsid wsp:val=&quot;004619CC&quot;/&gt;&lt;wsp:rsid wsp:val=&quot;00461DA9&quot;/&gt;&lt;wsp:rsid wsp:val=&quot;00462293&quot;/&gt;&lt;wsp:rsid wsp:val=&quot;00462798&quot;/&gt;&lt;wsp:rsid wsp:val=&quot;00462ADB&quot;/&gt;&lt;wsp:rsid wsp:val=&quot;00462B19&quot;/&gt;&lt;wsp:rsid wsp:val=&quot;00462B49&quot;/&gt;&lt;wsp:rsid wsp:val=&quot;0046304A&quot;/&gt;&lt;wsp:rsid wsp:val=&quot;004634B4&quot;/&gt;&lt;wsp:rsid wsp:val=&quot;00463504&quot;/&gt;&lt;wsp:rsid wsp:val=&quot;00463561&quot;/&gt;&lt;wsp:rsid wsp:val=&quot;00463929&quot;/&gt;&lt;wsp:rsid wsp:val=&quot;00463A15&quot;/&gt;&lt;wsp:rsid wsp:val=&quot;00463D30&quot;/&gt;&lt;wsp:rsid wsp:val=&quot;0046400F&quot;/&gt;&lt;wsp:rsid wsp:val=&quot;004649F7&quot;/&gt;&lt;wsp:rsid wsp:val=&quot;00465139&quot;/&gt;&lt;wsp:rsid wsp:val=&quot;00465365&quot;/&gt;&lt;wsp:rsid wsp:val=&quot;004653E2&quot;/&gt;&lt;wsp:rsid wsp:val=&quot;00465595&quot;/&gt;&lt;wsp:rsid wsp:val=&quot;0046575D&quot;/&gt;&lt;wsp:rsid wsp:val=&quot;00465AD5&quot;/&gt;&lt;wsp:rsid wsp:val=&quot;00465D29&quot;/&gt;&lt;wsp:rsid wsp:val=&quot;00465ED2&quot;/&gt;&lt;wsp:rsid wsp:val=&quot;00466B98&quot;/&gt;&lt;wsp:rsid wsp:val=&quot;00466E13&quot;/&gt;&lt;wsp:rsid wsp:val=&quot;00466F51&quot;/&gt;&lt;wsp:rsid wsp:val=&quot;00466FA2&quot;/&gt;&lt;wsp:rsid wsp:val=&quot;004673C0&quot;/&gt;&lt;wsp:rsid wsp:val=&quot;0046777A&quot;/&gt;&lt;wsp:rsid wsp:val=&quot;00467E53&quot;/&gt;&lt;wsp:rsid wsp:val=&quot;004702FC&quot;/&gt;&lt;wsp:rsid wsp:val=&quot;00470765&quot;/&gt;&lt;wsp:rsid wsp:val=&quot;00470970&quot;/&gt;&lt;wsp:rsid wsp:val=&quot;00471355&quot;/&gt;&lt;wsp:rsid wsp:val=&quot;004713E2&quot;/&gt;&lt;wsp:rsid wsp:val=&quot;00471A7E&quot;/&gt;&lt;wsp:rsid wsp:val=&quot;00471B18&quot;/&gt;&lt;wsp:rsid wsp:val=&quot;004723A4&quot;/&gt;&lt;wsp:rsid wsp:val=&quot;00472806&quot;/&gt;&lt;wsp:rsid wsp:val=&quot;00472ABB&quot;/&gt;&lt;wsp:rsid wsp:val=&quot;004734E8&quot;/&gt;&lt;wsp:rsid wsp:val=&quot;00473A78&quot;/&gt;&lt;wsp:rsid wsp:val=&quot;00473DF8&quot;/&gt;&lt;wsp:rsid wsp:val=&quot;00473EB5&quot;/&gt;&lt;wsp:rsid wsp:val=&quot;00475199&quot;/&gt;&lt;wsp:rsid wsp:val=&quot;004758AB&quot;/&gt;&lt;wsp:rsid wsp:val=&quot;00475A54&quot;/&gt;&lt;wsp:rsid wsp:val=&quot;00475D31&quot;/&gt;&lt;wsp:rsid wsp:val=&quot;004764D1&quot;/&gt;&lt;wsp:rsid wsp:val=&quot;00476771&quot;/&gt;&lt;wsp:rsid wsp:val=&quot;0047688F&quot;/&gt;&lt;wsp:rsid wsp:val=&quot;00476AF1&quot;/&gt;&lt;wsp:rsid wsp:val=&quot;00476C5A&quot;/&gt;&lt;wsp:rsid wsp:val=&quot;00476D0A&quot;/&gt;&lt;wsp:rsid wsp:val=&quot;00477364&quot;/&gt;&lt;wsp:rsid wsp:val=&quot;004779F7&quot;/&gt;&lt;wsp:rsid wsp:val=&quot;00477ACD&quot;/&gt;&lt;wsp:rsid wsp:val=&quot;00477B16&quot;/&gt;&lt;wsp:rsid wsp:val=&quot;0048031E&quot;/&gt;&lt;wsp:rsid wsp:val=&quot;004810E1&quot;/&gt;&lt;wsp:rsid wsp:val=&quot;00481152&quot;/&gt;&lt;wsp:rsid wsp:val=&quot;00481281&quot;/&gt;&lt;wsp:rsid wsp:val=&quot;0048197A&quot;/&gt;&lt;wsp:rsid wsp:val=&quot;004823F3&quot;/&gt;&lt;wsp:rsid wsp:val=&quot;00482681&quot;/&gt;&lt;wsp:rsid wsp:val=&quot;00482718&quot;/&gt;&lt;wsp:rsid wsp:val=&quot;004829EE&quot;/&gt;&lt;wsp:rsid wsp:val=&quot;0048317A&quot;/&gt;&lt;wsp:rsid wsp:val=&quot;00483263&quot;/&gt;&lt;wsp:rsid wsp:val=&quot;004833F9&quot;/&gt;&lt;wsp:rsid wsp:val=&quot;00483501&quot;/&gt;&lt;wsp:rsid wsp:val=&quot;00483566&quot;/&gt;&lt;wsp:rsid wsp:val=&quot;0048388E&quot;/&gt;&lt;wsp:rsid wsp:val=&quot;00483CE8&quot;/&gt;&lt;wsp:rsid wsp:val=&quot;004842BA&quot;/&gt;&lt;wsp:rsid wsp:val=&quot;00484408&quot;/&gt;&lt;wsp:rsid wsp:val=&quot;004846AA&quot;/&gt;&lt;wsp:rsid wsp:val=&quot;00484A66&quot;/&gt;&lt;wsp:rsid wsp:val=&quot;00484AB5&quot;/&gt;&lt;wsp:rsid wsp:val=&quot;00484DE9&quot;/&gt;&lt;wsp:rsid wsp:val=&quot;00485487&quot;/&gt;&lt;wsp:rsid wsp:val=&quot;00485CB8&quot;/&gt;&lt;wsp:rsid wsp:val=&quot;00485F09&quot;/&gt;&lt;wsp:rsid wsp:val=&quot;00485F0D&quot;/&gt;&lt;wsp:rsid wsp:val=&quot;0048618B&quot;/&gt;&lt;wsp:rsid wsp:val=&quot;004862AA&quot;/&gt;&lt;wsp:rsid wsp:val=&quot;00486356&quot;/&gt;&lt;wsp:rsid wsp:val=&quot;004866AD&quot;/&gt;&lt;wsp:rsid wsp:val=&quot;004867DD&quot;/&gt;&lt;wsp:rsid wsp:val=&quot;00486AD0&quot;/&gt;&lt;wsp:rsid wsp:val=&quot;00487522&quot;/&gt;&lt;wsp:rsid wsp:val=&quot;0049000B&quot;/&gt;&lt;wsp:rsid wsp:val=&quot;00490441&quot;/&gt;&lt;wsp:rsid wsp:val=&quot;00490484&quot;/&gt;&lt;wsp:rsid wsp:val=&quot;00490623&quot;/&gt;&lt;wsp:rsid wsp:val=&quot;004907EA&quot;/&gt;&lt;wsp:rsid wsp:val=&quot;00491CDA&quot;/&gt;&lt;wsp:rsid wsp:val=&quot;00492703&quot;/&gt;&lt;wsp:rsid wsp:val=&quot;004927E1&quot;/&gt;&lt;wsp:rsid wsp:val=&quot;00492D91&quot;/&gt;&lt;wsp:rsid wsp:val=&quot;004930A9&quot;/&gt;&lt;wsp:rsid wsp:val=&quot;00493387&quot;/&gt;&lt;wsp:rsid wsp:val=&quot;0049428B&quot;/&gt;&lt;wsp:rsid wsp:val=&quot;004946B6&quot;/&gt;&lt;wsp:rsid wsp:val=&quot;00494A65&quot;/&gt;&lt;wsp:rsid wsp:val=&quot;004956E6&quot;/&gt;&lt;wsp:rsid wsp:val=&quot;00495ABD&quot;/&gt;&lt;wsp:rsid wsp:val=&quot;00495F9B&quot;/&gt;&lt;wsp:rsid wsp:val=&quot;004963E7&quot;/&gt;&lt;wsp:rsid wsp:val=&quot;00496A96&quot;/&gt;&lt;wsp:rsid wsp:val=&quot;00496BA8&quot;/&gt;&lt;wsp:rsid wsp:val=&quot;00496D0B&quot;/&gt;&lt;wsp:rsid wsp:val=&quot;0049727F&quot;/&gt;&lt;wsp:rsid wsp:val=&quot;0049746B&quot;/&gt;&lt;wsp:rsid wsp:val=&quot;00497AE2&quot;/&gt;&lt;wsp:rsid wsp:val=&quot;004A0094&quot;/&gt;&lt;wsp:rsid wsp:val=&quot;004A01EC&quot;/&gt;&lt;wsp:rsid wsp:val=&quot;004A0756&quot;/&gt;&lt;wsp:rsid wsp:val=&quot;004A076C&quot;/&gt;&lt;wsp:rsid wsp:val=&quot;004A145B&quot;/&gt;&lt;wsp:rsid wsp:val=&quot;004A14DF&quot;/&gt;&lt;wsp:rsid wsp:val=&quot;004A1978&quot;/&gt;&lt;wsp:rsid wsp:val=&quot;004A1A75&quot;/&gt;&lt;wsp:rsid wsp:val=&quot;004A2234&quot;/&gt;&lt;wsp:rsid wsp:val=&quot;004A26D0&quot;/&gt;&lt;wsp:rsid wsp:val=&quot;004A2947&quot;/&gt;&lt;wsp:rsid wsp:val=&quot;004A295B&quot;/&gt;&lt;wsp:rsid wsp:val=&quot;004A2F95&quot;/&gt;&lt;wsp:rsid wsp:val=&quot;004A35DD&quot;/&gt;&lt;wsp:rsid wsp:val=&quot;004A3A0B&quot;/&gt;&lt;wsp:rsid wsp:val=&quot;004A42CA&quot;/&gt;&lt;wsp:rsid wsp:val=&quot;004A47EE&quot;/&gt;&lt;wsp:rsid wsp:val=&quot;004A4EB8&quot;/&gt;&lt;wsp:rsid wsp:val=&quot;004A4F64&quot;/&gt;&lt;wsp:rsid wsp:val=&quot;004A55C8&quot;/&gt;&lt;wsp:rsid wsp:val=&quot;004A5620&quot;/&gt;&lt;wsp:rsid wsp:val=&quot;004A57C4&quot;/&gt;&lt;wsp:rsid wsp:val=&quot;004A5EE8&quot;/&gt;&lt;wsp:rsid wsp:val=&quot;004A5F83&quot;/&gt;&lt;wsp:rsid wsp:val=&quot;004A6E01&quot;/&gt;&lt;wsp:rsid wsp:val=&quot;004A704E&quot;/&gt;&lt;wsp:rsid wsp:val=&quot;004A775E&quot;/&gt;&lt;wsp:rsid wsp:val=&quot;004A77C1&quot;/&gt;&lt;wsp:rsid wsp:val=&quot;004B0414&quot;/&gt;&lt;wsp:rsid wsp:val=&quot;004B0911&quot;/&gt;&lt;wsp:rsid wsp:val=&quot;004B0B74&quot;/&gt;&lt;wsp:rsid wsp:val=&quot;004B0E9E&quot;/&gt;&lt;wsp:rsid wsp:val=&quot;004B0EA4&quot;/&gt;&lt;wsp:rsid wsp:val=&quot;004B20C4&quot;/&gt;&lt;wsp:rsid wsp:val=&quot;004B2516&quot;/&gt;&lt;wsp:rsid wsp:val=&quot;004B26EA&quot;/&gt;&lt;wsp:rsid wsp:val=&quot;004B2C32&quot;/&gt;&lt;wsp:rsid wsp:val=&quot;004B318F&quot;/&gt;&lt;wsp:rsid wsp:val=&quot;004B35F2&quot;/&gt;&lt;wsp:rsid wsp:val=&quot;004B379F&quot;/&gt;&lt;wsp:rsid wsp:val=&quot;004B383E&quot;/&gt;&lt;wsp:rsid wsp:val=&quot;004B3B88&quot;/&gt;&lt;wsp:rsid wsp:val=&quot;004B41F8&quot;/&gt;&lt;wsp:rsid wsp:val=&quot;004B44FB&quot;/&gt;&lt;wsp:rsid wsp:val=&quot;004B4633&quot;/&gt;&lt;wsp:rsid wsp:val=&quot;004B4AAC&quot;/&gt;&lt;wsp:rsid wsp:val=&quot;004B5012&quot;/&gt;&lt;wsp:rsid wsp:val=&quot;004B50D4&quot;/&gt;&lt;wsp:rsid wsp:val=&quot;004B50E4&quot;/&gt;&lt;wsp:rsid wsp:val=&quot;004B565B&quot;/&gt;&lt;wsp:rsid wsp:val=&quot;004B5771&quot;/&gt;&lt;wsp:rsid wsp:val=&quot;004B6183&quot;/&gt;&lt;wsp:rsid wsp:val=&quot;004B6226&quot;/&gt;&lt;wsp:rsid wsp:val=&quot;004B6F7B&quot;/&gt;&lt;wsp:rsid wsp:val=&quot;004B710C&quot;/&gt;&lt;wsp:rsid wsp:val=&quot;004B769F&quot;/&gt;&lt;wsp:rsid wsp:val=&quot;004B79C8&quot;/&gt;&lt;wsp:rsid wsp:val=&quot;004B7B4E&quot;/&gt;&lt;wsp:rsid wsp:val=&quot;004B7F89&quot;/&gt;&lt;wsp:rsid wsp:val=&quot;004B7FC4&quot;/&gt;&lt;wsp:rsid wsp:val=&quot;004C0205&quot;/&gt;&lt;wsp:rsid wsp:val=&quot;004C05B7&quot;/&gt;&lt;wsp:rsid wsp:val=&quot;004C06DD&quot;/&gt;&lt;wsp:rsid wsp:val=&quot;004C0873&quot;/&gt;&lt;wsp:rsid wsp:val=&quot;004C09CB&quot;/&gt;&lt;wsp:rsid wsp:val=&quot;004C0B23&quot;/&gt;&lt;wsp:rsid wsp:val=&quot;004C0EEA&quot;/&gt;&lt;wsp:rsid wsp:val=&quot;004C0FC1&quot;/&gt;&lt;wsp:rsid wsp:val=&quot;004C1286&quot;/&gt;&lt;wsp:rsid wsp:val=&quot;004C157D&quot;/&gt;&lt;wsp:rsid wsp:val=&quot;004C17AA&quot;/&gt;&lt;wsp:rsid wsp:val=&quot;004C21B4&quot;/&gt;&lt;wsp:rsid wsp:val=&quot;004C29DD&quot;/&gt;&lt;wsp:rsid wsp:val=&quot;004C2D9F&quot;/&gt;&lt;wsp:rsid wsp:val=&quot;004C30F1&quot;/&gt;&lt;wsp:rsid wsp:val=&quot;004C3224&quot;/&gt;&lt;wsp:rsid wsp:val=&quot;004C3756&quot;/&gt;&lt;wsp:rsid wsp:val=&quot;004C3994&quot;/&gt;&lt;wsp:rsid wsp:val=&quot;004C430B&quot;/&gt;&lt;wsp:rsid wsp:val=&quot;004C4648&quot;/&gt;&lt;wsp:rsid wsp:val=&quot;004C4837&quot;/&gt;&lt;wsp:rsid wsp:val=&quot;004C49F8&quot;/&gt;&lt;wsp:rsid wsp:val=&quot;004C4A84&quot;/&gt;&lt;wsp:rsid wsp:val=&quot;004C5203&quot;/&gt;&lt;wsp:rsid wsp:val=&quot;004C5E09&quot;/&gt;&lt;wsp:rsid wsp:val=&quot;004C5E1C&quot;/&gt;&lt;wsp:rsid wsp:val=&quot;004C6033&quot;/&gt;&lt;wsp:rsid wsp:val=&quot;004C6EC4&quot;/&gt;&lt;wsp:rsid wsp:val=&quot;004C6F64&quot;/&gt;&lt;wsp:rsid wsp:val=&quot;004C7873&quot;/&gt;&lt;wsp:rsid wsp:val=&quot;004C7E44&quot;/&gt;&lt;wsp:rsid wsp:val=&quot;004D026F&quot;/&gt;&lt;wsp:rsid wsp:val=&quot;004D0396&quot;/&gt;&lt;wsp:rsid wsp:val=&quot;004D084D&quot;/&gt;&lt;wsp:rsid wsp:val=&quot;004D138E&quot;/&gt;&lt;wsp:rsid wsp:val=&quot;004D1B28&quot;/&gt;&lt;wsp:rsid wsp:val=&quot;004D1DFA&quot;/&gt;&lt;wsp:rsid wsp:val=&quot;004D2AE7&quot;/&gt;&lt;wsp:rsid wsp:val=&quot;004D2EDA&quot;/&gt;&lt;wsp:rsid wsp:val=&quot;004D3490&quot;/&gt;&lt;wsp:rsid wsp:val=&quot;004D363F&quot;/&gt;&lt;wsp:rsid wsp:val=&quot;004D3E14&quot;/&gt;&lt;wsp:rsid wsp:val=&quot;004D401D&quot;/&gt;&lt;wsp:rsid wsp:val=&quot;004D469F&quot;/&gt;&lt;wsp:rsid wsp:val=&quot;004D49B5&quot;/&gt;&lt;wsp:rsid wsp:val=&quot;004D5903&quot;/&gt;&lt;wsp:rsid wsp:val=&quot;004D5B7D&quot;/&gt;&lt;wsp:rsid wsp:val=&quot;004D5E0E&quot;/&gt;&lt;wsp:rsid wsp:val=&quot;004D5F54&quot;/&gt;&lt;wsp:rsid wsp:val=&quot;004D6517&quot;/&gt;&lt;wsp:rsid wsp:val=&quot;004D6817&quot;/&gt;&lt;wsp:rsid wsp:val=&quot;004D68B0&quot;/&gt;&lt;wsp:rsid wsp:val=&quot;004D6945&quot;/&gt;&lt;wsp:rsid wsp:val=&quot;004D6A97&quot;/&gt;&lt;wsp:rsid wsp:val=&quot;004D706D&quot;/&gt;&lt;wsp:rsid wsp:val=&quot;004D7638&quot;/&gt;&lt;wsp:rsid wsp:val=&quot;004E0169&quot;/&gt;&lt;wsp:rsid wsp:val=&quot;004E0422&quot;/&gt;&lt;wsp:rsid wsp:val=&quot;004E0447&quot;/&gt;&lt;wsp:rsid wsp:val=&quot;004E0717&quot;/&gt;&lt;wsp:rsid wsp:val=&quot;004E0832&quot;/&gt;&lt;wsp:rsid wsp:val=&quot;004E08C1&quot;/&gt;&lt;wsp:rsid wsp:val=&quot;004E0D19&quot;/&gt;&lt;wsp:rsid wsp:val=&quot;004E0DA8&quot;/&gt;&lt;wsp:rsid wsp:val=&quot;004E0F0D&quot;/&gt;&lt;wsp:rsid wsp:val=&quot;004E1368&quot;/&gt;&lt;wsp:rsid wsp:val=&quot;004E14B9&quot;/&gt;&lt;wsp:rsid wsp:val=&quot;004E17AB&quot;/&gt;&lt;wsp:rsid wsp:val=&quot;004E17CE&quot;/&gt;&lt;wsp:rsid wsp:val=&quot;004E19B3&quot;/&gt;&lt;wsp:rsid wsp:val=&quot;004E1C8A&quot;/&gt;&lt;wsp:rsid wsp:val=&quot;004E2107&quot;/&gt;&lt;wsp:rsid wsp:val=&quot;004E2744&quot;/&gt;&lt;wsp:rsid wsp:val=&quot;004E2787&quot;/&gt;&lt;wsp:rsid wsp:val=&quot;004E2E2D&quot;/&gt;&lt;wsp:rsid wsp:val=&quot;004E3174&quot;/&gt;&lt;wsp:rsid wsp:val=&quot;004E34E1&quot;/&gt;&lt;wsp:rsid wsp:val=&quot;004E4054&quot;/&gt;&lt;wsp:rsid wsp:val=&quot;004E4C7F&quot;/&gt;&lt;wsp:rsid wsp:val=&quot;004E4D16&quot;/&gt;&lt;wsp:rsid wsp:val=&quot;004E571C&quot;/&gt;&lt;wsp:rsid wsp:val=&quot;004E5DE2&quot;/&gt;&lt;wsp:rsid wsp:val=&quot;004E6225&quot;/&gt;&lt;wsp:rsid wsp:val=&quot;004E63D8&quot;/&gt;&lt;wsp:rsid wsp:val=&quot;004E676C&quot;/&gt;&lt;wsp:rsid wsp:val=&quot;004E6B09&quot;/&gt;&lt;wsp:rsid wsp:val=&quot;004E7E57&quot;/&gt;&lt;wsp:rsid wsp:val=&quot;004E7EE9&quot;/&gt;&lt;wsp:rsid wsp:val=&quot;004F04C6&quot;/&gt;&lt;wsp:rsid wsp:val=&quot;004F128F&quot;/&gt;&lt;wsp:rsid wsp:val=&quot;004F1535&quot;/&gt;&lt;wsp:rsid wsp:val=&quot;004F1CBC&quot;/&gt;&lt;wsp:rsid wsp:val=&quot;004F229D&quot;/&gt;&lt;wsp:rsid wsp:val=&quot;004F28D3&quot;/&gt;&lt;wsp:rsid wsp:val=&quot;004F2DA5&quot;/&gt;&lt;wsp:rsid wsp:val=&quot;004F304E&quot;/&gt;&lt;wsp:rsid wsp:val=&quot;004F396E&quot;/&gt;&lt;wsp:rsid wsp:val=&quot;004F3B0A&quot;/&gt;&lt;wsp:rsid wsp:val=&quot;004F3D7E&quot;/&gt;&lt;wsp:rsid wsp:val=&quot;004F45DC&quot;/&gt;&lt;wsp:rsid wsp:val=&quot;004F4761&quot;/&gt;&lt;wsp:rsid wsp:val=&quot;004F4BB8&quot;/&gt;&lt;wsp:rsid wsp:val=&quot;004F4DD3&quot;/&gt;&lt;wsp:rsid wsp:val=&quot;004F51F0&quot;/&gt;&lt;wsp:rsid wsp:val=&quot;004F52A1&quot;/&gt;&lt;wsp:rsid wsp:val=&quot;004F565E&quot;/&gt;&lt;wsp:rsid wsp:val=&quot;004F64D9&quot;/&gt;&lt;wsp:rsid wsp:val=&quot;004F6683&quot;/&gt;&lt;wsp:rsid wsp:val=&quot;004F67C7&quot;/&gt;&lt;wsp:rsid wsp:val=&quot;004F67E8&quot;/&gt;&lt;wsp:rsid wsp:val=&quot;004F69BE&quot;/&gt;&lt;wsp:rsid wsp:val=&quot;004F6A6F&quot;/&gt;&lt;wsp:rsid wsp:val=&quot;004F6BC4&quot;/&gt;&lt;wsp:rsid wsp:val=&quot;004F7188&quot;/&gt;&lt;wsp:rsid wsp:val=&quot;004F7337&quot;/&gt;&lt;wsp:rsid wsp:val=&quot;004F734E&quot;/&gt;&lt;wsp:rsid wsp:val=&quot;004F7525&quot;/&gt;&lt;wsp:rsid wsp:val=&quot;004F7F67&quot;/&gt;&lt;wsp:rsid wsp:val=&quot;005000B9&quot;/&gt;&lt;wsp:rsid wsp:val=&quot;00500673&quot;/&gt;&lt;wsp:rsid wsp:val=&quot;00500A0D&quot;/&gt;&lt;wsp:rsid wsp:val=&quot;00501591&quot;/&gt;&lt;wsp:rsid wsp:val=&quot;005018B8&quot;/&gt;&lt;wsp:rsid wsp:val=&quot;00501A86&quot;/&gt;&lt;wsp:rsid wsp:val=&quot;00501C97&quot;/&gt;&lt;wsp:rsid wsp:val=&quot;005029F1&quot;/&gt;&lt;wsp:rsid wsp:val=&quot;00503389&quot;/&gt;&lt;wsp:rsid wsp:val=&quot;005034A7&quot;/&gt;&lt;wsp:rsid wsp:val=&quot;00504578&quot;/&gt;&lt;wsp:rsid wsp:val=&quot;005046E1&quot;/&gt;&lt;wsp:rsid wsp:val=&quot;005049B5&quot;/&gt;&lt;wsp:rsid wsp:val=&quot;00504BCC&quot;/&gt;&lt;wsp:rsid wsp:val=&quot;005052FF&quot;/&gt;&lt;wsp:rsid wsp:val=&quot;0050544B&quot;/&gt;&lt;wsp:rsid wsp:val=&quot;005057A4&quot;/&gt;&lt;wsp:rsid wsp:val=&quot;00505992&quot;/&gt;&lt;wsp:rsid wsp:val=&quot;00505C46&quot;/&gt;&lt;wsp:rsid wsp:val=&quot;005066BE&quot;/&gt;&lt;wsp:rsid wsp:val=&quot;00506852&quot;/&gt;&lt;wsp:rsid wsp:val=&quot;00506913&quot;/&gt;&lt;wsp:rsid wsp:val=&quot;00506ABB&quot;/&gt;&lt;wsp:rsid wsp:val=&quot;00506FDE&quot;/&gt;&lt;wsp:rsid wsp:val=&quot;00507686&quot;/&gt;&lt;wsp:rsid wsp:val=&quot;00507C7E&quot;/&gt;&lt;wsp:rsid wsp:val=&quot;00507E65&quot;/&gt;&lt;wsp:rsid wsp:val=&quot;00510028&quot;/&gt;&lt;wsp:rsid wsp:val=&quot;00510685&quot;/&gt;&lt;wsp:rsid wsp:val=&quot;00510A02&quot;/&gt;&lt;wsp:rsid wsp:val=&quot;00511421&quot;/&gt;&lt;wsp:rsid wsp:val=&quot;00511485&quot;/&gt;&lt;wsp:rsid wsp:val=&quot;00511503&quot;/&gt;&lt;wsp:rsid wsp:val=&quot;00511690&quot;/&gt;&lt;wsp:rsid wsp:val=&quot;005116D5&quot;/&gt;&lt;wsp:rsid wsp:val=&quot;0051198C&quot;/&gt;&lt;wsp:rsid wsp:val=&quot;00511EA7&quot;/&gt;&lt;wsp:rsid wsp:val=&quot;00511FBB&quot;/&gt;&lt;wsp:rsid wsp:val=&quot;00511FCE&quot;/&gt;&lt;wsp:rsid wsp:val=&quot;0051234A&quot;/&gt;&lt;wsp:rsid wsp:val=&quot;00512BB6&quot;/&gt;&lt;wsp:rsid wsp:val=&quot;00512FD8&quot;/&gt;&lt;wsp:rsid wsp:val=&quot;00513324&quot;/&gt;&lt;wsp:rsid wsp:val=&quot;0051374C&quot;/&gt;&lt;wsp:rsid wsp:val=&quot;0051383D&quot;/&gt;&lt;wsp:rsid wsp:val=&quot;00513FA4&quot;/&gt;&lt;wsp:rsid wsp:val=&quot;00514400&quot;/&gt;&lt;wsp:rsid wsp:val=&quot;00514D4E&quot;/&gt;&lt;wsp:rsid wsp:val=&quot;005154E4&quot;/&gt;&lt;wsp:rsid wsp:val=&quot;005155FA&quot;/&gt;&lt;wsp:rsid wsp:val=&quot;00515ADA&quot;/&gt;&lt;wsp:rsid wsp:val=&quot;00515D2C&quot;/&gt;&lt;wsp:rsid wsp:val=&quot;00515D4C&quot;/&gt;&lt;wsp:rsid wsp:val=&quot;005160D8&quot;/&gt;&lt;wsp:rsid wsp:val=&quot;005161B6&quot;/&gt;&lt;wsp:rsid wsp:val=&quot;005163DF&quot;/&gt;&lt;wsp:rsid wsp:val=&quot;00516DF1&quot;/&gt;&lt;wsp:rsid wsp:val=&quot;00517152&quot;/&gt;&lt;wsp:rsid wsp:val=&quot;005172DF&quot;/&gt;&lt;wsp:rsid wsp:val=&quot;005177AA&quot;/&gt;&lt;wsp:rsid wsp:val=&quot;0052006D&quot;/&gt;&lt;wsp:rsid wsp:val=&quot;005201C2&quot;/&gt;&lt;wsp:rsid wsp:val=&quot;00520351&quot;/&gt;&lt;wsp:rsid wsp:val=&quot;00520ADC&quot;/&gt;&lt;wsp:rsid wsp:val=&quot;005210BA&quot;/&gt;&lt;wsp:rsid wsp:val=&quot;005217D0&quot;/&gt;&lt;wsp:rsid wsp:val=&quot;00521889&quot;/&gt;&lt;wsp:rsid wsp:val=&quot;00521B4E&quot;/&gt;&lt;wsp:rsid wsp:val=&quot;005220FF&quot;/&gt;&lt;wsp:rsid wsp:val=&quot;00522530&quot;/&gt;&lt;wsp:rsid wsp:val=&quot;0052265C&quot;/&gt;&lt;wsp:rsid wsp:val=&quot;00522AC2&quot;/&gt;&lt;wsp:rsid wsp:val=&quot;00522B68&quot;/&gt;&lt;wsp:rsid wsp:val=&quot;00522E96&quot;/&gt;&lt;wsp:rsid wsp:val=&quot;00522F01&quot;/&gt;&lt;wsp:rsid wsp:val=&quot;0052306E&quot;/&gt;&lt;wsp:rsid wsp:val=&quot;00523087&quot;/&gt;&lt;wsp:rsid wsp:val=&quot;005232B4&quot;/&gt;&lt;wsp:rsid wsp:val=&quot;00523897&quot;/&gt;&lt;wsp:rsid wsp:val=&quot;005238B7&quot;/&gt;&lt;wsp:rsid wsp:val=&quot;00523F9C&quot;/&gt;&lt;wsp:rsid wsp:val=&quot;00523FE9&quot;/&gt;&lt;wsp:rsid wsp:val=&quot;00524F9F&quot;/&gt;&lt;wsp:rsid wsp:val=&quot;00524FB5&quot;/&gt;&lt;wsp:rsid wsp:val=&quot;005250B5&quot;/&gt;&lt;wsp:rsid wsp:val=&quot;00525355&quot;/&gt;&lt;wsp:rsid wsp:val=&quot;00525772&quot;/&gt;&lt;wsp:rsid wsp:val=&quot;00525F53&quot;/&gt;&lt;wsp:rsid wsp:val=&quot;0052645A&quot;/&gt;&lt;wsp:rsid wsp:val=&quot;005269D2&quot;/&gt;&lt;wsp:rsid wsp:val=&quot;00526A8F&quot;/&gt;&lt;wsp:rsid wsp:val=&quot;00526EB2&quot;/&gt;&lt;wsp:rsid wsp:val=&quot;00526FFB&quot;/&gt;&lt;wsp:rsid wsp:val=&quot;00527045&quot;/&gt;&lt;wsp:rsid wsp:val=&quot;0052715F&quot;/&gt;&lt;wsp:rsid wsp:val=&quot;00527837&quot;/&gt;&lt;wsp:rsid wsp:val=&quot;005278BC&quot;/&gt;&lt;wsp:rsid wsp:val=&quot;00527F76&quot;/&gt;&lt;wsp:rsid wsp:val=&quot;00527F7A&quot;/&gt;&lt;wsp:rsid wsp:val=&quot;00530415&quot;/&gt;&lt;wsp:rsid wsp:val=&quot;00530898&quot;/&gt;&lt;wsp:rsid wsp:val=&quot;00530B3C&quot;/&gt;&lt;wsp:rsid wsp:val=&quot;00531061&quot;/&gt;&lt;wsp:rsid wsp:val=&quot;005318C5&quot;/&gt;&lt;wsp:rsid wsp:val=&quot;00531A3B&quot;/&gt;&lt;wsp:rsid wsp:val=&quot;005327D2&quot;/&gt;&lt;wsp:rsid wsp:val=&quot;00532C13&quot;/&gt;&lt;wsp:rsid wsp:val=&quot;00533370&quot;/&gt;&lt;wsp:rsid wsp:val=&quot;00534107&quot;/&gt;&lt;wsp:rsid wsp:val=&quot;0053539C&quot;/&gt;&lt;wsp:rsid wsp:val=&quot;005354BA&quot;/&gt;&lt;wsp:rsid wsp:val=&quot;00535532&quot;/&gt;&lt;wsp:rsid wsp:val=&quot;00535E42&quot;/&gt;&lt;wsp:rsid wsp:val=&quot;00536268&quot;/&gt;&lt;wsp:rsid wsp:val=&quot;005362D8&quot;/&gt;&lt;wsp:rsid wsp:val=&quot;00536350&quot;/&gt;&lt;wsp:rsid wsp:val=&quot;00536761&quot;/&gt;&lt;wsp:rsid wsp:val=&quot;00537367&quot;/&gt;&lt;wsp:rsid wsp:val=&quot;0053769F&quot;/&gt;&lt;wsp:rsid wsp:val=&quot;005376F7&quot;/&gt;&lt;wsp:rsid wsp:val=&quot;00537FEA&quot;/&gt;&lt;wsp:rsid wsp:val=&quot;00540021&quot;/&gt;&lt;wsp:rsid wsp:val=&quot;00540ED3&quot;/&gt;&lt;wsp:rsid wsp:val=&quot;00540F86&quot;/&gt;&lt;wsp:rsid wsp:val=&quot;00540FA6&quot;/&gt;&lt;wsp:rsid wsp:val=&quot;005415A9&quot;/&gt;&lt;wsp:rsid wsp:val=&quot;0054187E&quot;/&gt;&lt;wsp:rsid wsp:val=&quot;00541974&quot;/&gt;&lt;wsp:rsid wsp:val=&quot;005419B7&quot;/&gt;&lt;wsp:rsid wsp:val=&quot;00541BA3&quot;/&gt;&lt;wsp:rsid wsp:val=&quot;00541BFF&quot;/&gt;&lt;wsp:rsid wsp:val=&quot;00541E07&quot;/&gt;&lt;wsp:rsid wsp:val=&quot;005420FB&quot;/&gt;&lt;wsp:rsid wsp:val=&quot;005427D9&quot;/&gt;&lt;wsp:rsid wsp:val=&quot;005429F0&quot;/&gt;&lt;wsp:rsid wsp:val=&quot;00542C94&quot;/&gt;&lt;wsp:rsid wsp:val=&quot;0054313E&quot;/&gt;&lt;wsp:rsid wsp:val=&quot;00543202&quot;/&gt;&lt;wsp:rsid wsp:val=&quot;0054349E&quot;/&gt;&lt;wsp:rsid wsp:val=&quot;005435FF&quot;/&gt;&lt;wsp:rsid wsp:val=&quot;00544054&quot;/&gt;&lt;wsp:rsid wsp:val=&quot;0054413A&quot;/&gt;&lt;wsp:rsid wsp:val=&quot;00544175&quot;/&gt;&lt;wsp:rsid wsp:val=&quot;00544A2D&quot;/&gt;&lt;wsp:rsid wsp:val=&quot;00544B35&quot;/&gt;&lt;wsp:rsid wsp:val=&quot;005452E9&quot;/&gt;&lt;wsp:rsid wsp:val=&quot;005455D3&quot;/&gt;&lt;wsp:rsid wsp:val=&quot;00545672&quot;/&gt;&lt;wsp:rsid wsp:val=&quot;00545B3F&quot;/&gt;&lt;wsp:rsid wsp:val=&quot;00545C7C&quot;/&gt;&lt;wsp:rsid wsp:val=&quot;005465A8&quot;/&gt;&lt;wsp:rsid wsp:val=&quot;00546DC6&quot;/&gt;&lt;wsp:rsid wsp:val=&quot;00546EB4&quot;/&gt;&lt;wsp:rsid wsp:val=&quot;00547404&quot;/&gt;&lt;wsp:rsid wsp:val=&quot;00547CE2&quot;/&gt;&lt;wsp:rsid wsp:val=&quot;00550120&quot;/&gt;&lt;wsp:rsid wsp:val=&quot;00550AC8&quot;/&gt;&lt;wsp:rsid wsp:val=&quot;00551029&quot;/&gt;&lt;wsp:rsid wsp:val=&quot;00551222&quot;/&gt;&lt;wsp:rsid wsp:val=&quot;005514AC&quot;/&gt;&lt;wsp:rsid wsp:val=&quot;0055166F&quot;/&gt;&lt;wsp:rsid wsp:val=&quot;0055172F&quot;/&gt;&lt;wsp:rsid wsp:val=&quot;0055178F&quot;/&gt;&lt;wsp:rsid wsp:val=&quot;00551B23&quot;/&gt;&lt;wsp:rsid wsp:val=&quot;00552951&quot;/&gt;&lt;wsp:rsid wsp:val=&quot;00552E12&quot;/&gt;&lt;wsp:rsid wsp:val=&quot;00553073&quot;/&gt;&lt;wsp:rsid wsp:val=&quot;00553660&quot;/&gt;&lt;wsp:rsid wsp:val=&quot;005539B7&quot;/&gt;&lt;wsp:rsid wsp:val=&quot;005546C4&quot;/&gt;&lt;wsp:rsid wsp:val=&quot;00554C03&quot;/&gt;&lt;wsp:rsid wsp:val=&quot;005552F6&quot;/&gt;&lt;wsp:rsid wsp:val=&quot;00555654&quot;/&gt;&lt;wsp:rsid wsp:val=&quot;0055588C&quot;/&gt;&lt;wsp:rsid wsp:val=&quot;00555976&quot;/&gt;&lt;wsp:rsid wsp:val=&quot;005559C9&quot;/&gt;&lt;wsp:rsid wsp:val=&quot;00555DF8&quot;/&gt;&lt;wsp:rsid wsp:val=&quot;00556014&quot;/&gt;&lt;wsp:rsid wsp:val=&quot;005562E2&quot;/&gt;&lt;wsp:rsid wsp:val=&quot;005565DB&quot;/&gt;&lt;wsp:rsid wsp:val=&quot;00556E18&quot;/&gt;&lt;wsp:rsid wsp:val=&quot;00556F27&quot;/&gt;&lt;wsp:rsid wsp:val=&quot;00556FB4&quot;/&gt;&lt;wsp:rsid wsp:val=&quot;00557513&quot;/&gt;&lt;wsp:rsid wsp:val=&quot;005577B8&quot;/&gt;&lt;wsp:rsid wsp:val=&quot;00557AD0&quot;/&gt;&lt;wsp:rsid wsp:val=&quot;00557BA8&quot;/&gt;&lt;wsp:rsid wsp:val=&quot;0056092E&quot;/&gt;&lt;wsp:rsid wsp:val=&quot;00561017&quot;/&gt;&lt;wsp:rsid wsp:val=&quot;0056167C&quot;/&gt;&lt;wsp:rsid wsp:val=&quot;00561706&quot;/&gt;&lt;wsp:rsid wsp:val=&quot;00561DA1&quot;/&gt;&lt;wsp:rsid wsp:val=&quot;00561F95&quot;/&gt;&lt;wsp:rsid wsp:val=&quot;0056285A&quot;/&gt;&lt;wsp:rsid wsp:val=&quot;00562E0B&quot;/&gt;&lt;wsp:rsid wsp:val=&quot;0056337D&quot;/&gt;&lt;wsp:rsid wsp:val=&quot;00563832&quot;/&gt;&lt;wsp:rsid wsp:val=&quot;005638F7&quot;/&gt;&lt;wsp:rsid wsp:val=&quot;00563A6B&quot;/&gt;&lt;wsp:rsid wsp:val=&quot;00563DE8&quot;/&gt;&lt;wsp:rsid wsp:val=&quot;0056411C&quot;/&gt;&lt;wsp:rsid wsp:val=&quot;00564210&quot;/&gt;&lt;wsp:rsid wsp:val=&quot;005653BB&quot;/&gt;&lt;wsp:rsid wsp:val=&quot;00565427&quot;/&gt;&lt;wsp:rsid wsp:val=&quot;0056562D&quot;/&gt;&lt;wsp:rsid wsp:val=&quot;00565883&quot;/&gt;&lt;wsp:rsid wsp:val=&quot;005662E7&quot;/&gt;&lt;wsp:rsid wsp:val=&quot;005663FA&quot;/&gt;&lt;wsp:rsid wsp:val=&quot;00566B7F&quot;/&gt;&lt;wsp:rsid wsp:val=&quot;00566C9D&quot;/&gt;&lt;wsp:rsid wsp:val=&quot;00566D0C&quot;/&gt;&lt;wsp:rsid wsp:val=&quot;00566F97&quot;/&gt;&lt;wsp:rsid wsp:val=&quot;0056761A&quot;/&gt;&lt;wsp:rsid wsp:val=&quot;00567E12&quot;/&gt;&lt;wsp:rsid wsp:val=&quot;00567F32&quot;/&gt;&lt;wsp:rsid wsp:val=&quot;00570150&quot;/&gt;&lt;wsp:rsid wsp:val=&quot;00570615&quot;/&gt;&lt;wsp:rsid wsp:val=&quot;005708C0&quot;/&gt;&lt;wsp:rsid wsp:val=&quot;005713EF&quot;/&gt;&lt;wsp:rsid wsp:val=&quot;00571C16&quot;/&gt;&lt;wsp:rsid wsp:val=&quot;00571CDC&quot;/&gt;&lt;wsp:rsid wsp:val=&quot;00572412&quot;/&gt;&lt;wsp:rsid wsp:val=&quot;005725AA&quot;/&gt;&lt;wsp:rsid wsp:val=&quot;00572C59&quot;/&gt;&lt;wsp:rsid wsp:val=&quot;005736DF&quot;/&gt;&lt;wsp:rsid wsp:val=&quot;005738C4&quot;/&gt;&lt;wsp:rsid wsp:val=&quot;0057453C&quot;/&gt;&lt;wsp:rsid wsp:val=&quot;005746A5&quot;/&gt;&lt;wsp:rsid wsp:val=&quot;00574E9F&quot;/&gt;&lt;wsp:rsid wsp:val=&quot;00574EB2&quot;/&gt;&lt;wsp:rsid wsp:val=&quot;005750FF&quot;/&gt;&lt;wsp:rsid wsp:val=&quot;00575781&quot;/&gt;&lt;wsp:rsid wsp:val=&quot;00575986&quot;/&gt;&lt;wsp:rsid wsp:val=&quot;005762FE&quot;/&gt;&lt;wsp:rsid wsp:val=&quot;005765AB&quot;/&gt;&lt;wsp:rsid wsp:val=&quot;00576679&quot;/&gt;&lt;wsp:rsid wsp:val=&quot;005766D0&quot;/&gt;&lt;wsp:rsid wsp:val=&quot;0057677F&quot;/&gt;&lt;wsp:rsid wsp:val=&quot;00576BC9&quot;/&gt;&lt;wsp:rsid wsp:val=&quot;005770B6&quot;/&gt;&lt;wsp:rsid wsp:val=&quot;00577A78&quot;/&gt;&lt;wsp:rsid wsp:val=&quot;00577E31&quot;/&gt;&lt;wsp:rsid wsp:val=&quot;0058063A&quot;/&gt;&lt;wsp:rsid wsp:val=&quot;00580E4D&quot;/&gt;&lt;wsp:rsid wsp:val=&quot;00581A0A&quot;/&gt;&lt;wsp:rsid wsp:val=&quot;00581DA5&quot;/&gt;&lt;wsp:rsid wsp:val=&quot;00581EAA&quot;/&gt;&lt;wsp:rsid wsp:val=&quot;005823CA&quot;/&gt;&lt;wsp:rsid wsp:val=&quot;0058267A&quot;/&gt;&lt;wsp:rsid wsp:val=&quot;00582928&quot;/&gt;&lt;wsp:rsid wsp:val=&quot;00582C0C&quot;/&gt;&lt;wsp:rsid wsp:val=&quot;00582D4D&quot;/&gt;&lt;wsp:rsid wsp:val=&quot;005837DF&quot;/&gt;&lt;wsp:rsid wsp:val=&quot;005838F8&quot;/&gt;&lt;wsp:rsid wsp:val=&quot;005849CA&quot;/&gt;&lt;wsp:rsid wsp:val=&quot;00584EF9&quot;/&gt;&lt;wsp:rsid wsp:val=&quot;0058500A&quot;/&gt;&lt;wsp:rsid wsp:val=&quot;00585304&quot;/&gt;&lt;wsp:rsid wsp:val=&quot;00585453&quot;/&gt;&lt;wsp:rsid wsp:val=&quot;00585765&quot;/&gt;&lt;wsp:rsid wsp:val=&quot;00585C38&quot;/&gt;&lt;wsp:rsid wsp:val=&quot;0058625F&quot;/&gt;&lt;wsp:rsid wsp:val=&quot;0058626E&quot;/&gt;&lt;wsp:rsid wsp:val=&quot;00586689&quot;/&gt;&lt;wsp:rsid wsp:val=&quot;00586DE9&quot;/&gt;&lt;wsp:rsid wsp:val=&quot;00587252&quot;/&gt;&lt;wsp:rsid wsp:val=&quot;00587373&quot;/&gt;&lt;wsp:rsid wsp:val=&quot;00587A4E&quot;/&gt;&lt;wsp:rsid wsp:val=&quot;00587C62&quot;/&gt;&lt;wsp:rsid wsp:val=&quot;00587CD8&quot;/&gt;&lt;wsp:rsid wsp:val=&quot;00587CEE&quot;/&gt;&lt;wsp:rsid wsp:val=&quot;005902D2&quot;/&gt;&lt;wsp:rsid wsp:val=&quot;00590B52&quot;/&gt;&lt;wsp:rsid wsp:val=&quot;0059103B&quot;/&gt;&lt;wsp:rsid wsp:val=&quot;0059196C&quot;/&gt;&lt;wsp:rsid wsp:val=&quot;00591C75&quot;/&gt;&lt;wsp:rsid wsp:val=&quot;005920AF&quot;/&gt;&lt;wsp:rsid wsp:val=&quot;005923E0&quot;/&gt;&lt;wsp:rsid wsp:val=&quot;005929DF&quot;/&gt;&lt;wsp:rsid wsp:val=&quot;00592B20&quot;/&gt;&lt;wsp:rsid wsp:val=&quot;0059338E&quot;/&gt;&lt;wsp:rsid wsp:val=&quot;00593474&quot;/&gt;&lt;wsp:rsid wsp:val=&quot;005935B7&quot;/&gt;&lt;wsp:rsid wsp:val=&quot;005936A9&quot;/&gt;&lt;wsp:rsid wsp:val=&quot;00593982&quot;/&gt;&lt;wsp:rsid wsp:val=&quot;00593BC6&quot;/&gt;&lt;wsp:rsid wsp:val=&quot;00594137&quot;/&gt;&lt;wsp:rsid wsp:val=&quot;00594373&quot;/&gt;&lt;wsp:rsid wsp:val=&quot;005946C3&quot;/&gt;&lt;wsp:rsid wsp:val=&quot;00594899&quot;/&gt;&lt;wsp:rsid wsp:val=&quot;005949EA&quot;/&gt;&lt;wsp:rsid wsp:val=&quot;00594EA5&quot;/&gt;&lt;wsp:rsid wsp:val=&quot;005951C3&quot;/&gt;&lt;wsp:rsid wsp:val=&quot;005954DD&quot;/&gt;&lt;wsp:rsid wsp:val=&quot;00595733&quot;/&gt;&lt;wsp:rsid wsp:val=&quot;00595BDA&quot;/&gt;&lt;wsp:rsid wsp:val=&quot;00595E0E&quot;/&gt;&lt;wsp:rsid wsp:val=&quot;00596139&quot;/&gt;&lt;wsp:rsid wsp:val=&quot;0059676F&quot;/&gt;&lt;wsp:rsid wsp:val=&quot;005969AE&quot;/&gt;&lt;wsp:rsid wsp:val=&quot;00596A76&quot;/&gt;&lt;wsp:rsid wsp:val=&quot;00596C06&quot;/&gt;&lt;wsp:rsid wsp:val=&quot;0059713C&quot;/&gt;&lt;wsp:rsid wsp:val=&quot;00597255&quot;/&gt;&lt;wsp:rsid wsp:val=&quot;0059748C&quot;/&gt;&lt;wsp:rsid wsp:val=&quot;00597572&quot;/&gt;&lt;wsp:rsid wsp:val=&quot;005A041B&quot;/&gt;&lt;wsp:rsid wsp:val=&quot;005A0436&quot;/&gt;&lt;wsp:rsid wsp:val=&quot;005A0ACC&quot;/&gt;&lt;wsp:rsid wsp:val=&quot;005A0FE6&quot;/&gt;&lt;wsp:rsid wsp:val=&quot;005A10A9&quot;/&gt;&lt;wsp:rsid wsp:val=&quot;005A1168&quot;/&gt;&lt;wsp:rsid wsp:val=&quot;005A11D8&quot;/&gt;&lt;wsp:rsid wsp:val=&quot;005A13C8&quot;/&gt;&lt;wsp:rsid wsp:val=&quot;005A172C&quot;/&gt;&lt;wsp:rsid wsp:val=&quot;005A1920&quot;/&gt;&lt;wsp:rsid wsp:val=&quot;005A1A58&quot;/&gt;&lt;wsp:rsid wsp:val=&quot;005A1BA4&quot;/&gt;&lt;wsp:rsid wsp:val=&quot;005A275F&quot;/&gt;&lt;wsp:rsid wsp:val=&quot;005A2777&quot;/&gt;&lt;wsp:rsid wsp:val=&quot;005A2BD9&quot;/&gt;&lt;wsp:rsid wsp:val=&quot;005A30E7&quot;/&gt;&lt;wsp:rsid wsp:val=&quot;005A35C6&quot;/&gt;&lt;wsp:rsid wsp:val=&quot;005A4122&quot;/&gt;&lt;wsp:rsid wsp:val=&quot;005A416E&quot;/&gt;&lt;wsp:rsid wsp:val=&quot;005A4799&quot;/&gt;&lt;wsp:rsid wsp:val=&quot;005A4BA9&quot;/&gt;&lt;wsp:rsid wsp:val=&quot;005A4EB6&quot;/&gt;&lt;wsp:rsid wsp:val=&quot;005A5C75&quot;/&gt;&lt;wsp:rsid wsp:val=&quot;005A5D0A&quot;/&gt;&lt;wsp:rsid wsp:val=&quot;005A6A87&quot;/&gt;&lt;wsp:rsid wsp:val=&quot;005A75E7&quot;/&gt;&lt;wsp:rsid wsp:val=&quot;005A78D9&quot;/&gt;&lt;wsp:rsid wsp:val=&quot;005A7988&quot;/&gt;&lt;wsp:rsid wsp:val=&quot;005A7AAA&quot;/&gt;&lt;wsp:rsid wsp:val=&quot;005A7D19&quot;/&gt;&lt;wsp:rsid wsp:val=&quot;005B0C80&quot;/&gt;&lt;wsp:rsid wsp:val=&quot;005B0DAB&quot;/&gt;&lt;wsp:rsid wsp:val=&quot;005B0ED5&quot;/&gt;&lt;wsp:rsid wsp:val=&quot;005B0FB4&quot;/&gt;&lt;wsp:rsid wsp:val=&quot;005B14A2&quot;/&gt;&lt;wsp:rsid wsp:val=&quot;005B20A8&quot;/&gt;&lt;wsp:rsid wsp:val=&quot;005B23E4&quot;/&gt;&lt;wsp:rsid wsp:val=&quot;005B267B&quot;/&gt;&lt;wsp:rsid wsp:val=&quot;005B2F77&quot;/&gt;&lt;wsp:rsid wsp:val=&quot;005B32BC&quot;/&gt;&lt;wsp:rsid wsp:val=&quot;005B3563&quot;/&gt;&lt;wsp:rsid wsp:val=&quot;005B3883&quot;/&gt;&lt;wsp:rsid wsp:val=&quot;005B46F0&quot;/&gt;&lt;wsp:rsid wsp:val=&quot;005B47BB&quot;/&gt;&lt;wsp:rsid wsp:val=&quot;005B48C2&quot;/&gt;&lt;wsp:rsid wsp:val=&quot;005B4AD6&quot;/&gt;&lt;wsp:rsid wsp:val=&quot;005B4DCF&quot;/&gt;&lt;wsp:rsid wsp:val=&quot;005B5254&quot;/&gt;&lt;wsp:rsid wsp:val=&quot;005B5822&quot;/&gt;&lt;wsp:rsid wsp:val=&quot;005B5889&quot;/&gt;&lt;wsp:rsid wsp:val=&quot;005B5A31&quot;/&gt;&lt;wsp:rsid wsp:val=&quot;005B5B83&quot;/&gt;&lt;wsp:rsid wsp:val=&quot;005B5CC5&quot;/&gt;&lt;wsp:rsid wsp:val=&quot;005B6747&quot;/&gt;&lt;wsp:rsid wsp:val=&quot;005B69BF&quot;/&gt;&lt;wsp:rsid wsp:val=&quot;005B6D69&quot;/&gt;&lt;wsp:rsid wsp:val=&quot;005B7683&quot;/&gt;&lt;wsp:rsid wsp:val=&quot;005B78FF&quot;/&gt;&lt;wsp:rsid wsp:val=&quot;005B7967&quot;/&gt;&lt;wsp:rsid wsp:val=&quot;005B7BE2&quot;/&gt;&lt;wsp:rsid wsp:val=&quot;005B7C3A&quot;/&gt;&lt;wsp:rsid wsp:val=&quot;005C0637&quot;/&gt;&lt;wsp:rsid wsp:val=&quot;005C0742&quot;/&gt;&lt;wsp:rsid wsp:val=&quot;005C0A88&quot;/&gt;&lt;wsp:rsid wsp:val=&quot;005C13D3&quot;/&gt;&lt;wsp:rsid wsp:val=&quot;005C1AAE&quot;/&gt;&lt;wsp:rsid wsp:val=&quot;005C2F23&quot;/&gt;&lt;wsp:rsid wsp:val=&quot;005C3016&quot;/&gt;&lt;wsp:rsid wsp:val=&quot;005C3162&quot;/&gt;&lt;wsp:rsid wsp:val=&quot;005C3C3A&quot;/&gt;&lt;wsp:rsid wsp:val=&quot;005C433D&quot;/&gt;&lt;wsp:rsid wsp:val=&quot;005C439B&quot;/&gt;&lt;wsp:rsid wsp:val=&quot;005C443B&quot;/&gt;&lt;wsp:rsid wsp:val=&quot;005C475E&quot;/&gt;&lt;wsp:rsid wsp:val=&quot;005C4988&quot;/&gt;&lt;wsp:rsid wsp:val=&quot;005C49ED&quot;/&gt;&lt;wsp:rsid wsp:val=&quot;005C4AA5&quot;/&gt;&lt;wsp:rsid wsp:val=&quot;005C5010&quot;/&gt;&lt;wsp:rsid wsp:val=&quot;005C5233&quot;/&gt;&lt;wsp:rsid wsp:val=&quot;005C59DE&quot;/&gt;&lt;wsp:rsid wsp:val=&quot;005C5ADF&quot;/&gt;&lt;wsp:rsid wsp:val=&quot;005C5E60&quot;/&gt;&lt;wsp:rsid wsp:val=&quot;005C6CA4&quot;/&gt;&lt;wsp:rsid wsp:val=&quot;005C6D6E&quot;/&gt;&lt;wsp:rsid wsp:val=&quot;005C6DC4&quot;/&gt;&lt;wsp:rsid wsp:val=&quot;005C7E2E&quot;/&gt;&lt;wsp:rsid wsp:val=&quot;005D03E7&quot;/&gt;&lt;wsp:rsid wsp:val=&quot;005D0A95&quot;/&gt;&lt;wsp:rsid wsp:val=&quot;005D11F8&quot;/&gt;&lt;wsp:rsid wsp:val=&quot;005D144F&quot;/&gt;&lt;wsp:rsid wsp:val=&quot;005D1605&quot;/&gt;&lt;wsp:rsid wsp:val=&quot;005D1E78&quot;/&gt;&lt;wsp:rsid wsp:val=&quot;005D1FA8&quot;/&gt;&lt;wsp:rsid wsp:val=&quot;005D2652&quot;/&gt;&lt;wsp:rsid wsp:val=&quot;005D2710&quot;/&gt;&lt;wsp:rsid wsp:val=&quot;005D3121&quot;/&gt;&lt;wsp:rsid wsp:val=&quot;005D36D8&quot;/&gt;&lt;wsp:rsid wsp:val=&quot;005D37DC&quot;/&gt;&lt;wsp:rsid wsp:val=&quot;005D383C&quot;/&gt;&lt;wsp:rsid wsp:val=&quot;005D39EA&quot;/&gt;&lt;wsp:rsid wsp:val=&quot;005D3A34&quot;/&gt;&lt;wsp:rsid wsp:val=&quot;005D3CBF&quot;/&gt;&lt;wsp:rsid wsp:val=&quot;005D4569&quot;/&gt;&lt;wsp:rsid wsp:val=&quot;005D49CB&quot;/&gt;&lt;wsp:rsid wsp:val=&quot;005D4DD2&quot;/&gt;&lt;wsp:rsid wsp:val=&quot;005D509D&quot;/&gt;&lt;wsp:rsid wsp:val=&quot;005D51B2&quot;/&gt;&lt;wsp:rsid wsp:val=&quot;005D51BA&quot;/&gt;&lt;wsp:rsid wsp:val=&quot;005D5C4A&quot;/&gt;&lt;wsp:rsid wsp:val=&quot;005D5F4A&quot;/&gt;&lt;wsp:rsid wsp:val=&quot;005D64BE&quot;/&gt;&lt;wsp:rsid wsp:val=&quot;005D6BED&quot;/&gt;&lt;wsp:rsid wsp:val=&quot;005D6D6A&quot;/&gt;&lt;wsp:rsid wsp:val=&quot;005D7240&quot;/&gt;&lt;wsp:rsid wsp:val=&quot;005D7B5D&quot;/&gt;&lt;wsp:rsid wsp:val=&quot;005D7DA5&quot;/&gt;&lt;wsp:rsid wsp:val=&quot;005E0705&quot;/&gt;&lt;wsp:rsid wsp:val=&quot;005E0864&quot;/&gt;&lt;wsp:rsid wsp:val=&quot;005E0BCA&quot;/&gt;&lt;wsp:rsid wsp:val=&quot;005E0C66&quot;/&gt;&lt;wsp:rsid wsp:val=&quot;005E0FAA&quot;/&gt;&lt;wsp:rsid wsp:val=&quot;005E13FE&quot;/&gt;&lt;wsp:rsid wsp:val=&quot;005E176B&quot;/&gt;&lt;wsp:rsid wsp:val=&quot;005E1BB6&quot;/&gt;&lt;wsp:rsid wsp:val=&quot;005E26E7&quot;/&gt;&lt;wsp:rsid wsp:val=&quot;005E2C4C&quot;/&gt;&lt;wsp:rsid wsp:val=&quot;005E33A1&quot;/&gt;&lt;wsp:rsid wsp:val=&quot;005E383D&quot;/&gt;&lt;wsp:rsid wsp:val=&quot;005E3A01&quot;/&gt;&lt;wsp:rsid wsp:val=&quot;005E410C&quot;/&gt;&lt;wsp:rsid wsp:val=&quot;005E4144&quot;/&gt;&lt;wsp:rsid wsp:val=&quot;005E4284&quot;/&gt;&lt;wsp:rsid wsp:val=&quot;005E4369&quot;/&gt;&lt;wsp:rsid wsp:val=&quot;005E43DC&quot;/&gt;&lt;wsp:rsid wsp:val=&quot;005E49C2&quot;/&gt;&lt;wsp:rsid wsp:val=&quot;005E4E91&quot;/&gt;&lt;wsp:rsid wsp:val=&quot;005E4EA3&quot;/&gt;&lt;wsp:rsid wsp:val=&quot;005E4F31&quot;/&gt;&lt;wsp:rsid wsp:val=&quot;005E573F&quot;/&gt;&lt;wsp:rsid wsp:val=&quot;005E5D90&quot;/&gt;&lt;wsp:rsid wsp:val=&quot;005E5D9C&quot;/&gt;&lt;wsp:rsid wsp:val=&quot;005E6424&quot;/&gt;&lt;wsp:rsid wsp:val=&quot;005E6D47&quot;/&gt;&lt;wsp:rsid wsp:val=&quot;005E72E6&quot;/&gt;&lt;wsp:rsid wsp:val=&quot;005E7AA1&quot;/&gt;&lt;wsp:rsid wsp:val=&quot;005E7E68&quot;/&gt;&lt;wsp:rsid wsp:val=&quot;005F1770&quot;/&gt;&lt;wsp:rsid wsp:val=&quot;005F239C&quot;/&gt;&lt;wsp:rsid wsp:val=&quot;005F23C1&quot;/&gt;&lt;wsp:rsid wsp:val=&quot;005F23C9&quot;/&gt;&lt;wsp:rsid wsp:val=&quot;005F24DF&quot;/&gt;&lt;wsp:rsid wsp:val=&quot;005F27C9&quot;/&gt;&lt;wsp:rsid wsp:val=&quot;005F2888&quot;/&gt;&lt;wsp:rsid wsp:val=&quot;005F2DBF&quot;/&gt;&lt;wsp:rsid wsp:val=&quot;005F3ABA&quot;/&gt;&lt;wsp:rsid wsp:val=&quot;005F4B22&quot;/&gt;&lt;wsp:rsid wsp:val=&quot;005F5810&quot;/&gt;&lt;wsp:rsid wsp:val=&quot;005F59D3&quot;/&gt;&lt;wsp:rsid wsp:val=&quot;005F5DF3&quot;/&gt;&lt;wsp:rsid wsp:val=&quot;005F691D&quot;/&gt;&lt;wsp:rsid wsp:val=&quot;005F6C83&quot;/&gt;&lt;wsp:rsid wsp:val=&quot;00600504&quot;/&gt;&lt;wsp:rsid wsp:val=&quot;00600829&quot;/&gt;&lt;wsp:rsid wsp:val=&quot;00600BEB&quot;/&gt;&lt;wsp:rsid wsp:val=&quot;0060170E&quot;/&gt;&lt;wsp:rsid wsp:val=&quot;006019FF&quot;/&gt;&lt;wsp:rsid wsp:val=&quot;00601CC9&quot;/&gt;&lt;wsp:rsid wsp:val=&quot;00602E33&quot;/&gt;&lt;wsp:rsid wsp:val=&quot;00602EBB&quot;/&gt;&lt;wsp:rsid wsp:val=&quot;00602ED2&quot;/&gt;&lt;wsp:rsid wsp:val=&quot;00603786&quot;/&gt;&lt;wsp:rsid wsp:val=&quot;00603D52&quot;/&gt;&lt;wsp:rsid wsp:val=&quot;0060448F&quot;/&gt;&lt;wsp:rsid wsp:val=&quot;0060460D&quot;/&gt;&lt;wsp:rsid wsp:val=&quot;00604A67&quot;/&gt;&lt;wsp:rsid wsp:val=&quot;00604DD2&quot;/&gt;&lt;wsp:rsid wsp:val=&quot;0060520D&quot;/&gt;&lt;wsp:rsid wsp:val=&quot;00605223&quot;/&gt;&lt;wsp:rsid wsp:val=&quot;0060558E&quot;/&gt;&lt;wsp:rsid wsp:val=&quot;0060575A&quot;/&gt;&lt;wsp:rsid wsp:val=&quot;006058DD&quot;/&gt;&lt;wsp:rsid wsp:val=&quot;00605B68&quot;/&gt;&lt;wsp:rsid wsp:val=&quot;00605BA4&quot;/&gt;&lt;wsp:rsid wsp:val=&quot;00605D37&quot;/&gt;&lt;wsp:rsid wsp:val=&quot;00606140&quot;/&gt;&lt;wsp:rsid wsp:val=&quot;00606DD1&quot;/&gt;&lt;wsp:rsid wsp:val=&quot;00607650&quot;/&gt;&lt;wsp:rsid wsp:val=&quot;0061049C&quot;/&gt;&lt;wsp:rsid wsp:val=&quot;00610953&quot;/&gt;&lt;wsp:rsid wsp:val=&quot;00610D35&quot;/&gt;&lt;wsp:rsid wsp:val=&quot;00610F4C&quot;/&gt;&lt;wsp:rsid wsp:val=&quot;006110B0&quot;/&gt;&lt;wsp:rsid wsp:val=&quot;00611558&quot;/&gt;&lt;wsp:rsid wsp:val=&quot;006117A4&quot;/&gt;&lt;wsp:rsid wsp:val=&quot;00612707&quot;/&gt;&lt;wsp:rsid wsp:val=&quot;00614632&quot;/&gt;&lt;wsp:rsid wsp:val=&quot;00614BDC&quot;/&gt;&lt;wsp:rsid wsp:val=&quot;00614FB4&quot;/&gt;&lt;wsp:rsid wsp:val=&quot;006155A8&quot;/&gt;&lt;wsp:rsid wsp:val=&quot;00615D4C&quot;/&gt;&lt;wsp:rsid wsp:val=&quot;00615E3E&quot;/&gt;&lt;wsp:rsid wsp:val=&quot;0061672C&quot;/&gt;&lt;wsp:rsid wsp:val=&quot;006168DA&quot;/&gt;&lt;wsp:rsid wsp:val=&quot;00616DEF&quot;/&gt;&lt;wsp:rsid wsp:val=&quot;00616F4C&quot;/&gt;&lt;wsp:rsid wsp:val=&quot;00617030&quot;/&gt;&lt;wsp:rsid wsp:val=&quot;006203E4&quot;/&gt;&lt;wsp:rsid wsp:val=&quot;00620684&quot;/&gt;&lt;wsp:rsid wsp:val=&quot;00620AF3&quot;/&gt;&lt;wsp:rsid wsp:val=&quot;00620B05&quot;/&gt;&lt;wsp:rsid wsp:val=&quot;006210BA&quot;/&gt;&lt;wsp:rsid wsp:val=&quot;00621306&quot;/&gt;&lt;wsp:rsid wsp:val=&quot;0062164F&quot;/&gt;&lt;wsp:rsid wsp:val=&quot;00622EFB&quot;/&gt;&lt;wsp:rsid wsp:val=&quot;006232B5&quot;/&gt;&lt;wsp:rsid wsp:val=&quot;006233D1&quot;/&gt;&lt;wsp:rsid wsp:val=&quot;00623500&quot;/&gt;&lt;wsp:rsid wsp:val=&quot;00623733&quot;/&gt;&lt;wsp:rsid wsp:val=&quot;00623B03&quot;/&gt;&lt;wsp:rsid wsp:val=&quot;006241D2&quot;/&gt;&lt;wsp:rsid wsp:val=&quot;006242B8&quot;/&gt;&lt;wsp:rsid wsp:val=&quot;00624524&quot;/&gt;&lt;wsp:rsid wsp:val=&quot;0062463F&quot;/&gt;&lt;wsp:rsid wsp:val=&quot;0062492E&quot;/&gt;&lt;wsp:rsid wsp:val=&quot;00624C83&quot;/&gt;&lt;wsp:rsid wsp:val=&quot;00624DE0&quot;/&gt;&lt;wsp:rsid wsp:val=&quot;00624E0D&quot;/&gt;&lt;wsp:rsid wsp:val=&quot;00624FC3&quot;/&gt;&lt;wsp:rsid wsp:val=&quot;00625426&quot;/&gt;&lt;wsp:rsid wsp:val=&quot;006255FE&quot;/&gt;&lt;wsp:rsid wsp:val=&quot;00625AD6&quot;/&gt;&lt;wsp:rsid wsp:val=&quot;006261E2&quot;/&gt;&lt;wsp:rsid wsp:val=&quot;00626959&quot;/&gt;&lt;wsp:rsid wsp:val=&quot;00626C5A&quot;/&gt;&lt;wsp:rsid wsp:val=&quot;00626D0C&quot;/&gt;&lt;wsp:rsid wsp:val=&quot;00627654&quot;/&gt;&lt;wsp:rsid wsp:val=&quot;00627812&quot;/&gt;&lt;wsp:rsid wsp:val=&quot;006301DA&quot;/&gt;&lt;wsp:rsid wsp:val=&quot;00630600&quot;/&gt;&lt;wsp:rsid wsp:val=&quot;00630C33&quot;/&gt;&lt;wsp:rsid wsp:val=&quot;0063223F&quot;/&gt;&lt;wsp:rsid wsp:val=&quot;006322D3&quot;/&gt;&lt;wsp:rsid wsp:val=&quot;00632327&quot;/&gt;&lt;wsp:rsid wsp:val=&quot;00632707&quot;/&gt;&lt;wsp:rsid wsp:val=&quot;00632746&quot;/&gt;&lt;wsp:rsid wsp:val=&quot;006327CA&quot;/&gt;&lt;wsp:rsid wsp:val=&quot;00632E5D&quot;/&gt;&lt;wsp:rsid wsp:val=&quot;00632EE4&quot;/&gt;&lt;wsp:rsid wsp:val=&quot;00633262&quot;/&gt;&lt;wsp:rsid wsp:val=&quot;00633871&quot;/&gt;&lt;wsp:rsid wsp:val=&quot;006338CE&quot;/&gt;&lt;wsp:rsid wsp:val=&quot;00633AB4&quot;/&gt;&lt;wsp:rsid wsp:val=&quot;00633CFF&quot;/&gt;&lt;wsp:rsid wsp:val=&quot;00634136&quot;/&gt;&lt;wsp:rsid wsp:val=&quot;00635450&quot;/&gt;&lt;wsp:rsid wsp:val=&quot;00636172&quot;/&gt;&lt;wsp:rsid wsp:val=&quot;00636823&quot;/&gt;&lt;wsp:rsid wsp:val=&quot;00636DDD&quot;/&gt;&lt;wsp:rsid wsp:val=&quot;00636F9A&quot;/&gt;&lt;wsp:rsid wsp:val=&quot;006373B9&quot;/&gt;&lt;wsp:rsid wsp:val=&quot;006374DA&quot;/&gt;&lt;wsp:rsid wsp:val=&quot;00637BF0&quot;/&gt;&lt;wsp:rsid wsp:val=&quot;00637DFB&quot;/&gt;&lt;wsp:rsid wsp:val=&quot;00637E3D&quot;/&gt;&lt;wsp:rsid wsp:val=&quot;00640693&quot;/&gt;&lt;wsp:rsid wsp:val=&quot;006409F2&quot;/&gt;&lt;wsp:rsid wsp:val=&quot;00640AAD&quot;/&gt;&lt;wsp:rsid wsp:val=&quot;00640FB8&quot;/&gt;&lt;wsp:rsid wsp:val=&quot;00641AF2&quot;/&gt;&lt;wsp:rsid wsp:val=&quot;00641E91&quot;/&gt;&lt;wsp:rsid wsp:val=&quot;00642073&quot;/&gt;&lt;wsp:rsid wsp:val=&quot;006421F4&quot;/&gt;&lt;wsp:rsid wsp:val=&quot;00642510&quot;/&gt;&lt;wsp:rsid wsp:val=&quot;0064263A&quot;/&gt;&lt;wsp:rsid wsp:val=&quot;00642883&quot;/&gt;&lt;wsp:rsid wsp:val=&quot;0064288A&quot;/&gt;&lt;wsp:rsid wsp:val=&quot;00642F02&quot;/&gt;&lt;wsp:rsid wsp:val=&quot;00642F92&quot;/&gt;&lt;wsp:rsid wsp:val=&quot;006432C2&quot;/&gt;&lt;wsp:rsid wsp:val=&quot;0064357D&quot;/&gt;&lt;wsp:rsid wsp:val=&quot;0064360E&quot;/&gt;&lt;wsp:rsid wsp:val=&quot;0064371F&quot;/&gt;&lt;wsp:rsid wsp:val=&quot;0064377B&quot;/&gt;&lt;wsp:rsid wsp:val=&quot;00644366&quot;/&gt;&lt;wsp:rsid wsp:val=&quot;00644637&quot;/&gt;&lt;wsp:rsid wsp:val=&quot;00644728&quot;/&gt;&lt;wsp:rsid wsp:val=&quot;00644802&quot;/&gt;&lt;wsp:rsid wsp:val=&quot;0064561F&quot;/&gt;&lt;wsp:rsid wsp:val=&quot;00645758&quot;/&gt;&lt;wsp:rsid wsp:val=&quot;00645B4B&quot;/&gt;&lt;wsp:rsid wsp:val=&quot;00645DD9&quot;/&gt;&lt;wsp:rsid wsp:val=&quot;0064673E&quot;/&gt;&lt;wsp:rsid wsp:val=&quot;00646B22&quot;/&gt;&lt;wsp:rsid wsp:val=&quot;00646CD2&quot;/&gt;&lt;wsp:rsid wsp:val=&quot;00646F90&quot;/&gt;&lt;wsp:rsid wsp:val=&quot;006470FB&quot;/&gt;&lt;wsp:rsid wsp:val=&quot;0064743E&quot;/&gt;&lt;wsp:rsid wsp:val=&quot;006479F6&quot;/&gt;&lt;wsp:rsid wsp:val=&quot;00647AE0&quot;/&gt;&lt;wsp:rsid wsp:val=&quot;00647C35&quot;/&gt;&lt;wsp:rsid wsp:val=&quot;00650F44&quot;/&gt;&lt;wsp:rsid wsp:val=&quot;00651251&quot;/&gt;&lt;wsp:rsid wsp:val=&quot;0065137A&quot;/&gt;&lt;wsp:rsid wsp:val=&quot;006513D5&quot;/&gt;&lt;wsp:rsid wsp:val=&quot;00651B3C&quot;/&gt;&lt;wsp:rsid wsp:val=&quot;00652714&quot;/&gt;&lt;wsp:rsid wsp:val=&quot;006527BF&quot;/&gt;&lt;wsp:rsid wsp:val=&quot;006529E8&quot;/&gt;&lt;wsp:rsid wsp:val=&quot;006532EF&quot;/&gt;&lt;wsp:rsid wsp:val=&quot;006539EF&quot;/&gt;&lt;wsp:rsid wsp:val=&quot;00654685&quot;/&gt;&lt;wsp:rsid wsp:val=&quot;00654986&quot;/&gt;&lt;wsp:rsid wsp:val=&quot;00654D98&quot;/&gt;&lt;wsp:rsid wsp:val=&quot;006551BF&quot;/&gt;&lt;wsp:rsid wsp:val=&quot;00655789&quot;/&gt;&lt;wsp:rsid wsp:val=&quot;00655912&quot;/&gt;&lt;wsp:rsid wsp:val=&quot;006559E6&quot;/&gt;&lt;wsp:rsid wsp:val=&quot;00655C95&quot;/&gt;&lt;wsp:rsid wsp:val=&quot;00655CE2&quot;/&gt;&lt;wsp:rsid wsp:val=&quot;00655DCA&quot;/&gt;&lt;wsp:rsid wsp:val=&quot;006566D8&quot;/&gt;&lt;wsp:rsid wsp:val=&quot;006571D0&quot;/&gt;&lt;wsp:rsid wsp:val=&quot;006578FA&quot;/&gt;&lt;wsp:rsid wsp:val=&quot;00657A7C&quot;/&gt;&lt;wsp:rsid wsp:val=&quot;00657C73&quot;/&gt;&lt;wsp:rsid wsp:val=&quot;00657CA7&quot;/&gt;&lt;wsp:rsid wsp:val=&quot;00657E5E&quot;/&gt;&lt;wsp:rsid wsp:val=&quot;0066078B&quot;/&gt;&lt;wsp:rsid wsp:val=&quot;00661B89&quot;/&gt;&lt;wsp:rsid wsp:val=&quot;00661CF9&quot;/&gt;&lt;wsp:rsid wsp:val=&quot;00661DEE&quot;/&gt;&lt;wsp:rsid wsp:val=&quot;00662747&quot;/&gt;&lt;wsp:rsid wsp:val=&quot;006629AC&quot;/&gt;&lt;wsp:rsid wsp:val=&quot;00662F64&quot;/&gt;&lt;wsp:rsid wsp:val=&quot;00663307&quot;/&gt;&lt;wsp:rsid wsp:val=&quot;00663825&quot;/&gt;&lt;wsp:rsid wsp:val=&quot;00663898&quot;/&gt;&lt;wsp:rsid wsp:val=&quot;00663EB3&quot;/&gt;&lt;wsp:rsid wsp:val=&quot;00663EF8&quot;/&gt;&lt;wsp:rsid wsp:val=&quot;0066439C&quot;/&gt;&lt;wsp:rsid wsp:val=&quot;006643EE&quot;/&gt;&lt;wsp:rsid wsp:val=&quot;0066464A&quot;/&gt;&lt;wsp:rsid wsp:val=&quot;00665264&quot;/&gt;&lt;wsp:rsid wsp:val=&quot;006656BA&quot;/&gt;&lt;wsp:rsid wsp:val=&quot;00665BD7&quot;/&gt;&lt;wsp:rsid wsp:val=&quot;00665C26&quot;/&gt;&lt;wsp:rsid wsp:val=&quot;00665F82&quot;/&gt;&lt;wsp:rsid wsp:val=&quot;00667788&quot;/&gt;&lt;wsp:rsid wsp:val=&quot;00667A66&quot;/&gt;&lt;wsp:rsid wsp:val=&quot;00667E10&quot;/&gt;&lt;wsp:rsid wsp:val=&quot;0067003F&quot;/&gt;&lt;wsp:rsid wsp:val=&quot;00670597&quot;/&gt;&lt;wsp:rsid wsp:val=&quot;0067095A&quot;/&gt;&lt;wsp:rsid wsp:val=&quot;006710B5&quot;/&gt;&lt;wsp:rsid wsp:val=&quot;00671532&quot;/&gt;&lt;wsp:rsid wsp:val=&quot;0067154A&quot;/&gt;&lt;wsp:rsid wsp:val=&quot;006715F5&quot;/&gt;&lt;wsp:rsid wsp:val=&quot;0067237F&quot;/&gt;&lt;wsp:rsid wsp:val=&quot;0067264C&quot;/&gt;&lt;wsp:rsid wsp:val=&quot;006729A4&quot;/&gt;&lt;wsp:rsid wsp:val=&quot;006729AE&quot;/&gt;&lt;wsp:rsid wsp:val=&quot;00672AB5&quot;/&gt;&lt;wsp:rsid wsp:val=&quot;00673005&quot;/&gt;&lt;wsp:rsid wsp:val=&quot;00673FB1&quot;/&gt;&lt;wsp:rsid wsp:val=&quot;006747D0&quot;/&gt;&lt;wsp:rsid wsp:val=&quot;00674A54&quot;/&gt;&lt;wsp:rsid wsp:val=&quot;00674AF3&quot;/&gt;&lt;wsp:rsid wsp:val=&quot;00674B2E&quot;/&gt;&lt;wsp:rsid wsp:val=&quot;00674C1B&quot;/&gt;&lt;wsp:rsid wsp:val=&quot;006756F4&quot;/&gt;&lt;wsp:rsid wsp:val=&quot;00675A1D&quot;/&gt;&lt;wsp:rsid wsp:val=&quot;00675C08&quot;/&gt;&lt;wsp:rsid wsp:val=&quot;0067691B&quot;/&gt;&lt;wsp:rsid wsp:val=&quot;00676B58&quot;/&gt;&lt;wsp:rsid wsp:val=&quot;00676BC8&quot;/&gt;&lt;wsp:rsid wsp:val=&quot;006778CC&quot;/&gt;&lt;wsp:rsid wsp:val=&quot;00677A7D&quot;/&gt;&lt;wsp:rsid wsp:val=&quot;00677D82&quot;/&gt;&lt;wsp:rsid wsp:val=&quot;00677DDD&quot;/&gt;&lt;wsp:rsid wsp:val=&quot;00680023&quot;/&gt;&lt;wsp:rsid wsp:val=&quot;00680103&quot;/&gt;&lt;wsp:rsid wsp:val=&quot;006804BC&quot;/&gt;&lt;wsp:rsid wsp:val=&quot;006805AF&quot;/&gt;&lt;wsp:rsid wsp:val=&quot;00680918&quot;/&gt;&lt;wsp:rsid wsp:val=&quot;00680971&quot;/&gt;&lt;wsp:rsid wsp:val=&quot;00681701&quot;/&gt;&lt;wsp:rsid wsp:val=&quot;00682612&quot;/&gt;&lt;wsp:rsid wsp:val=&quot;00682915&quot;/&gt;&lt;wsp:rsid wsp:val=&quot;00683066&quot;/&gt;&lt;wsp:rsid wsp:val=&quot;006830FC&quot;/&gt;&lt;wsp:rsid wsp:val=&quot;00683454&quot;/&gt;&lt;wsp:rsid wsp:val=&quot;0068358C&quot;/&gt;&lt;wsp:rsid wsp:val=&quot;006835D5&quot;/&gt;&lt;wsp:rsid wsp:val=&quot;00683B3C&quot;/&gt;&lt;wsp:rsid wsp:val=&quot;00684216&quot;/&gt;&lt;wsp:rsid wsp:val=&quot;00684236&quot;/&gt;&lt;wsp:rsid wsp:val=&quot;0068441A&quot;/&gt;&lt;wsp:rsid wsp:val=&quot;006852D6&quot;/&gt;&lt;wsp:rsid wsp:val=&quot;00685956&quot;/&gt;&lt;wsp:rsid wsp:val=&quot;00685B94&quot;/&gt;&lt;wsp:rsid wsp:val=&quot;006869B7&quot;/&gt;&lt;wsp:rsid wsp:val=&quot;0068763F&quot;/&gt;&lt;wsp:rsid wsp:val=&quot;00687C12&quot;/&gt;&lt;wsp:rsid wsp:val=&quot;006916ED&quot;/&gt;&lt;wsp:rsid wsp:val=&quot;00691743&quot;/&gt;&lt;wsp:rsid wsp:val=&quot;006918AF&quot;/&gt;&lt;wsp:rsid wsp:val=&quot;00691E3F&quot;/&gt;&lt;wsp:rsid wsp:val=&quot;006925D0&quot;/&gt;&lt;wsp:rsid wsp:val=&quot;0069260E&quot;/&gt;&lt;wsp:rsid wsp:val=&quot;0069272B&quot;/&gt;&lt;wsp:rsid wsp:val=&quot;006927A8&quot;/&gt;&lt;wsp:rsid wsp:val=&quot;0069292F&quot;/&gt;&lt;wsp:rsid wsp:val=&quot;00692B41&quot;/&gt;&lt;wsp:rsid wsp:val=&quot;00692B72&quot;/&gt;&lt;wsp:rsid wsp:val=&quot;00692C56&quot;/&gt;&lt;wsp:rsid wsp:val=&quot;00692DA5&quot;/&gt;&lt;wsp:rsid wsp:val=&quot;00693428&quot;/&gt;&lt;wsp:rsid wsp:val=&quot;0069391E&quot;/&gt;&lt;wsp:rsid wsp:val=&quot;00693D87&quot;/&gt;&lt;wsp:rsid wsp:val=&quot;0069411F&quot;/&gt;&lt;wsp:rsid wsp:val=&quot;006945C8&quot;/&gt;&lt;wsp:rsid wsp:val=&quot;006949DD&quot;/&gt;&lt;wsp:rsid wsp:val=&quot;00694AE0&quot;/&gt;&lt;wsp:rsid wsp:val=&quot;00694F3A&quot;/&gt;&lt;wsp:rsid wsp:val=&quot;0069520E&quot;/&gt;&lt;wsp:rsid wsp:val=&quot;00695742&quot;/&gt;&lt;wsp:rsid wsp:val=&quot;006957B6&quot;/&gt;&lt;wsp:rsid wsp:val=&quot;00695A62&quot;/&gt;&lt;wsp:rsid wsp:val=&quot;006961EB&quot;/&gt;&lt;wsp:rsid wsp:val=&quot;00696553&quot;/&gt;&lt;wsp:rsid wsp:val=&quot;0069679A&quot;/&gt;&lt;wsp:rsid wsp:val=&quot;00696DC0&quot;/&gt;&lt;wsp:rsid wsp:val=&quot;00697082&quot;/&gt;&lt;wsp:rsid wsp:val=&quot;0069784D&quot;/&gt;&lt;wsp:rsid wsp:val=&quot;006978F3&quot;/&gt;&lt;wsp:rsid wsp:val=&quot;006979AD&quot;/&gt;&lt;wsp:rsid wsp:val=&quot;00697C58&quot;/&gt;&lt;wsp:rsid wsp:val=&quot;006A09DE&quot;/&gt;&lt;wsp:rsid wsp:val=&quot;006A0A62&quot;/&gt;&lt;wsp:rsid wsp:val=&quot;006A1258&quot;/&gt;&lt;wsp:rsid wsp:val=&quot;006A1361&quot;/&gt;&lt;wsp:rsid wsp:val=&quot;006A1B09&quot;/&gt;&lt;wsp:rsid wsp:val=&quot;006A1BBC&quot;/&gt;&lt;wsp:rsid wsp:val=&quot;006A1FAA&quot;/&gt;&lt;wsp:rsid wsp:val=&quot;006A21E6&quot;/&gt;&lt;wsp:rsid wsp:val=&quot;006A2725&quot;/&gt;&lt;wsp:rsid wsp:val=&quot;006A2938&quot;/&gt;&lt;wsp:rsid wsp:val=&quot;006A29BE&quot;/&gt;&lt;wsp:rsid wsp:val=&quot;006A29E0&quot;/&gt;&lt;wsp:rsid wsp:val=&quot;006A2C99&quot;/&gt;&lt;wsp:rsid wsp:val=&quot;006A2D0F&quot;/&gt;&lt;wsp:rsid wsp:val=&quot;006A2D27&quot;/&gt;&lt;wsp:rsid wsp:val=&quot;006A2FF4&quot;/&gt;&lt;wsp:rsid wsp:val=&quot;006A3164&quot;/&gt;&lt;wsp:rsid wsp:val=&quot;006A34D7&quot;/&gt;&lt;wsp:rsid wsp:val=&quot;006A3560&quot;/&gt;&lt;wsp:rsid wsp:val=&quot;006A4A6A&quot;/&gt;&lt;wsp:rsid wsp:val=&quot;006A4C87&quot;/&gt;&lt;wsp:rsid wsp:val=&quot;006A5395&quot;/&gt;&lt;wsp:rsid wsp:val=&quot;006A5B1C&quot;/&gt;&lt;wsp:rsid wsp:val=&quot;006A5CFA&quot;/&gt;&lt;wsp:rsid wsp:val=&quot;006A6AA4&quot;/&gt;&lt;wsp:rsid wsp:val=&quot;006A6B6F&quot;/&gt;&lt;wsp:rsid wsp:val=&quot;006A6B8B&quot;/&gt;&lt;wsp:rsid wsp:val=&quot;006A6E99&quot;/&gt;&lt;wsp:rsid wsp:val=&quot;006A76ED&quot;/&gt;&lt;wsp:rsid wsp:val=&quot;006A777F&quot;/&gt;&lt;wsp:rsid wsp:val=&quot;006A79DA&quot;/&gt;&lt;wsp:rsid wsp:val=&quot;006B0312&quot;/&gt;&lt;wsp:rsid wsp:val=&quot;006B071C&quot;/&gt;&lt;wsp:rsid wsp:val=&quot;006B08A3&quot;/&gt;&lt;wsp:rsid wsp:val=&quot;006B08CD&quot;/&gt;&lt;wsp:rsid wsp:val=&quot;006B0BFB&quot;/&gt;&lt;wsp:rsid wsp:val=&quot;006B0FDE&quot;/&gt;&lt;wsp:rsid wsp:val=&quot;006B1196&quot;/&gt;&lt;wsp:rsid wsp:val=&quot;006B1229&quot;/&gt;&lt;wsp:rsid wsp:val=&quot;006B149C&quot;/&gt;&lt;wsp:rsid wsp:val=&quot;006B169E&quot;/&gt;&lt;wsp:rsid wsp:val=&quot;006B186C&quot;/&gt;&lt;wsp:rsid wsp:val=&quot;006B1A90&quot;/&gt;&lt;wsp:rsid wsp:val=&quot;006B2A69&quot;/&gt;&lt;wsp:rsid wsp:val=&quot;006B35C9&quot;/&gt;&lt;wsp:rsid wsp:val=&quot;006B41E6&quot;/&gt;&lt;wsp:rsid wsp:val=&quot;006B430E&quot;/&gt;&lt;wsp:rsid wsp:val=&quot;006B4457&quot;/&gt;&lt;wsp:rsid wsp:val=&quot;006B4AEC&quot;/&gt;&lt;wsp:rsid wsp:val=&quot;006B5047&quot;/&gt;&lt;wsp:rsid wsp:val=&quot;006B5451&quot;/&gt;&lt;wsp:rsid wsp:val=&quot;006B56C5&quot;/&gt;&lt;wsp:rsid wsp:val=&quot;006B591E&quot;/&gt;&lt;wsp:rsid wsp:val=&quot;006B5B30&quot;/&gt;&lt;wsp:rsid wsp:val=&quot;006B5F3A&quot;/&gt;&lt;wsp:rsid wsp:val=&quot;006B60DE&quot;/&gt;&lt;wsp:rsid wsp:val=&quot;006B656F&quot;/&gt;&lt;wsp:rsid wsp:val=&quot;006B6B9C&quot;/&gt;&lt;wsp:rsid wsp:val=&quot;006B6F13&quot;/&gt;&lt;wsp:rsid wsp:val=&quot;006B716B&quot;/&gt;&lt;wsp:rsid wsp:val=&quot;006B727D&quot;/&gt;&lt;wsp:rsid wsp:val=&quot;006B73BF&quot;/&gt;&lt;wsp:rsid wsp:val=&quot;006B7AE9&quot;/&gt;&lt;wsp:rsid wsp:val=&quot;006B7DB5&quot;/&gt;&lt;wsp:rsid wsp:val=&quot;006C0021&quot;/&gt;&lt;wsp:rsid wsp:val=&quot;006C0030&quot;/&gt;&lt;wsp:rsid wsp:val=&quot;006C04E9&quot;/&gt;&lt;wsp:rsid wsp:val=&quot;006C0770&quot;/&gt;&lt;wsp:rsid wsp:val=&quot;006C09BC&quot;/&gt;&lt;wsp:rsid wsp:val=&quot;006C0D78&quot;/&gt;&lt;wsp:rsid wsp:val=&quot;006C131A&quot;/&gt;&lt;wsp:rsid wsp:val=&quot;006C1696&quot;/&gt;&lt;wsp:rsid wsp:val=&quot;006C1B7D&quot;/&gt;&lt;wsp:rsid wsp:val=&quot;006C1FE3&quot;/&gt;&lt;wsp:rsid wsp:val=&quot;006C2084&quot;/&gt;&lt;wsp:rsid wsp:val=&quot;006C2334&quot;/&gt;&lt;wsp:rsid wsp:val=&quot;006C289A&quot;/&gt;&lt;wsp:rsid wsp:val=&quot;006C2D49&quot;/&gt;&lt;wsp:rsid wsp:val=&quot;006C2F1C&quot;/&gt;&lt;wsp:rsid wsp:val=&quot;006C2F91&quot;/&gt;&lt;wsp:rsid wsp:val=&quot;006C2FA1&quot;/&gt;&lt;wsp:rsid wsp:val=&quot;006C32AB&quot;/&gt;&lt;wsp:rsid wsp:val=&quot;006C3349&quot;/&gt;&lt;wsp:rsid wsp:val=&quot;006C33A5&quot;/&gt;&lt;wsp:rsid wsp:val=&quot;006C36D1&quot;/&gt;&lt;wsp:rsid wsp:val=&quot;006C3A9F&quot;/&gt;&lt;wsp:rsid wsp:val=&quot;006C3AE5&quot;/&gt;&lt;wsp:rsid wsp:val=&quot;006C3E1F&quot;/&gt;&lt;wsp:rsid wsp:val=&quot;006C3FAC&quot;/&gt;&lt;wsp:rsid wsp:val=&quot;006C41A5&quot;/&gt;&lt;wsp:rsid wsp:val=&quot;006C47BA&quot;/&gt;&lt;wsp:rsid wsp:val=&quot;006C4D82&quot;/&gt;&lt;wsp:rsid wsp:val=&quot;006C53E1&quot;/&gt;&lt;wsp:rsid wsp:val=&quot;006C5741&quot;/&gt;&lt;wsp:rsid wsp:val=&quot;006C5AB9&quot;/&gt;&lt;wsp:rsid wsp:val=&quot;006C5BC7&quot;/&gt;&lt;wsp:rsid wsp:val=&quot;006C603E&quot;/&gt;&lt;wsp:rsid wsp:val=&quot;006C617C&quot;/&gt;&lt;wsp:rsid wsp:val=&quot;006C61DF&quot;/&gt;&lt;wsp:rsid wsp:val=&quot;006C6804&quot;/&gt;&lt;wsp:rsid wsp:val=&quot;006C6925&quot;/&gt;&lt;wsp:rsid wsp:val=&quot;006C7152&quot;/&gt;&lt;wsp:rsid wsp:val=&quot;006C7D2A&quot;/&gt;&lt;wsp:rsid wsp:val=&quot;006C7D59&quot;/&gt;&lt;wsp:rsid wsp:val=&quot;006C7D8D&quot;/&gt;&lt;wsp:rsid wsp:val=&quot;006C7F1C&quot;/&gt;&lt;wsp:rsid wsp:val=&quot;006D049A&quot;/&gt;&lt;wsp:rsid wsp:val=&quot;006D0784&quot;/&gt;&lt;wsp:rsid wsp:val=&quot;006D0975&quot;/&gt;&lt;wsp:rsid wsp:val=&quot;006D0BC5&quot;/&gt;&lt;wsp:rsid wsp:val=&quot;006D12BD&quot;/&gt;&lt;wsp:rsid wsp:val=&quot;006D1968&quot;/&gt;&lt;wsp:rsid wsp:val=&quot;006D1A85&quot;/&gt;&lt;wsp:rsid wsp:val=&quot;006D234A&quot;/&gt;&lt;wsp:rsid wsp:val=&quot;006D2600&quot;/&gt;&lt;wsp:rsid wsp:val=&quot;006D2624&quot;/&gt;&lt;wsp:rsid wsp:val=&quot;006D26C2&quot;/&gt;&lt;wsp:rsid wsp:val=&quot;006D2C38&quot;/&gt;&lt;wsp:rsid wsp:val=&quot;006D2D75&quot;/&gt;&lt;wsp:rsid wsp:val=&quot;006D2DC6&quot;/&gt;&lt;wsp:rsid wsp:val=&quot;006D33B1&quot;/&gt;&lt;wsp:rsid wsp:val=&quot;006D3816&quot;/&gt;&lt;wsp:rsid wsp:val=&quot;006D38AB&quot;/&gt;&lt;wsp:rsid wsp:val=&quot;006D3BEA&quot;/&gt;&lt;wsp:rsid wsp:val=&quot;006D3DA5&quot;/&gt;&lt;wsp:rsid wsp:val=&quot;006D4178&quot;/&gt;&lt;wsp:rsid wsp:val=&quot;006D41E1&quot;/&gt;&lt;wsp:rsid wsp:val=&quot;006D4307&quot;/&gt;&lt;wsp:rsid wsp:val=&quot;006D4623&quot;/&gt;&lt;wsp:rsid wsp:val=&quot;006D46E2&quot;/&gt;&lt;wsp:rsid wsp:val=&quot;006D53FB&quot;/&gt;&lt;wsp:rsid wsp:val=&quot;006D54E4&quot;/&gt;&lt;wsp:rsid wsp:val=&quot;006D55ED&quot;/&gt;&lt;wsp:rsid wsp:val=&quot;006D5D8E&quot;/&gt;&lt;wsp:rsid wsp:val=&quot;006D5FEF&quot;/&gt;&lt;wsp:rsid wsp:val=&quot;006D6608&quot;/&gt;&lt;wsp:rsid wsp:val=&quot;006D67D8&quot;/&gt;&lt;wsp:rsid wsp:val=&quot;006D6B23&quot;/&gt;&lt;wsp:rsid wsp:val=&quot;006D6CAF&quot;/&gt;&lt;wsp:rsid wsp:val=&quot;006D756D&quot;/&gt;&lt;wsp:rsid wsp:val=&quot;006D7615&quot;/&gt;&lt;wsp:rsid wsp:val=&quot;006D7DA3&quot;/&gt;&lt;wsp:rsid wsp:val=&quot;006E1102&quot;/&gt;&lt;wsp:rsid wsp:val=&quot;006E1418&quot;/&gt;&lt;wsp:rsid wsp:val=&quot;006E1479&quot;/&gt;&lt;wsp:rsid wsp:val=&quot;006E158C&quot;/&gt;&lt;wsp:rsid wsp:val=&quot;006E1C1E&quot;/&gt;&lt;wsp:rsid wsp:val=&quot;006E1CAA&quot;/&gt;&lt;wsp:rsid wsp:val=&quot;006E2642&quot;/&gt;&lt;wsp:rsid wsp:val=&quot;006E30C1&quot;/&gt;&lt;wsp:rsid wsp:val=&quot;006E386A&quot;/&gt;&lt;wsp:rsid wsp:val=&quot;006E3CC9&quot;/&gt;&lt;wsp:rsid wsp:val=&quot;006E4237&quot;/&gt;&lt;wsp:rsid wsp:val=&quot;006E43F0&quot;/&gt;&lt;wsp:rsid wsp:val=&quot;006E53F0&quot;/&gt;&lt;wsp:rsid wsp:val=&quot;006E5415&quot;/&gt;&lt;wsp:rsid wsp:val=&quot;006E5992&quot;/&gt;&lt;wsp:rsid wsp:val=&quot;006E5ABF&quot;/&gt;&lt;wsp:rsid wsp:val=&quot;006E6461&quot;/&gt;&lt;wsp:rsid wsp:val=&quot;006E64CA&quot;/&gt;&lt;wsp:rsid wsp:val=&quot;006E6BF9&quot;/&gt;&lt;wsp:rsid wsp:val=&quot;006E6E96&quot;/&gt;&lt;wsp:rsid wsp:val=&quot;006E75A7&quot;/&gt;&lt;wsp:rsid wsp:val=&quot;006E777E&quot;/&gt;&lt;wsp:rsid wsp:val=&quot;006E797F&quot;/&gt;&lt;wsp:rsid wsp:val=&quot;006F000C&quot;/&gt;&lt;wsp:rsid wsp:val=&quot;006F0164&quot;/&gt;&lt;wsp:rsid wsp:val=&quot;006F0B72&quot;/&gt;&lt;wsp:rsid wsp:val=&quot;006F0D0D&quot;/&gt;&lt;wsp:rsid wsp:val=&quot;006F11B0&quot;/&gt;&lt;wsp:rsid wsp:val=&quot;006F1242&quot;/&gt;&lt;wsp:rsid wsp:val=&quot;006F127D&quot;/&gt;&lt;wsp:rsid wsp:val=&quot;006F1749&quot;/&gt;&lt;wsp:rsid wsp:val=&quot;006F1A7E&quot;/&gt;&lt;wsp:rsid wsp:val=&quot;006F2191&quot;/&gt;&lt;wsp:rsid wsp:val=&quot;006F269D&quot;/&gt;&lt;wsp:rsid wsp:val=&quot;006F26A8&quot;/&gt;&lt;wsp:rsid wsp:val=&quot;006F2855&quot;/&gt;&lt;wsp:rsid wsp:val=&quot;006F2920&quot;/&gt;&lt;wsp:rsid wsp:val=&quot;006F300C&quot;/&gt;&lt;wsp:rsid wsp:val=&quot;006F351E&quot;/&gt;&lt;wsp:rsid wsp:val=&quot;006F388D&quot;/&gt;&lt;wsp:rsid wsp:val=&quot;006F3A12&quot;/&gt;&lt;wsp:rsid wsp:val=&quot;006F4226&quot;/&gt;&lt;wsp:rsid wsp:val=&quot;006F47CF&quot;/&gt;&lt;wsp:rsid wsp:val=&quot;006F4F37&quot;/&gt;&lt;wsp:rsid wsp:val=&quot;006F5352&quot;/&gt;&lt;wsp:rsid wsp:val=&quot;006F5358&quot;/&gt;&lt;wsp:rsid wsp:val=&quot;006F54AF&quot;/&gt;&lt;wsp:rsid wsp:val=&quot;006F557E&quot;/&gt;&lt;wsp:rsid wsp:val=&quot;006F575D&quot;/&gt;&lt;wsp:rsid wsp:val=&quot;006F57D0&quot;/&gt;&lt;wsp:rsid wsp:val=&quot;006F6207&quot;/&gt;&lt;wsp:rsid wsp:val=&quot;006F62C6&quot;/&gt;&lt;wsp:rsid wsp:val=&quot;006F6526&quot;/&gt;&lt;wsp:rsid wsp:val=&quot;006F7267&quot;/&gt;&lt;wsp:rsid wsp:val=&quot;006F75C9&quot;/&gt;&lt;wsp:rsid wsp:val=&quot;006F76FF&quot;/&gt;&lt;wsp:rsid wsp:val=&quot;007002F4&quot;/&gt;&lt;wsp:rsid wsp:val=&quot;00700340&quot;/&gt;&lt;wsp:rsid wsp:val=&quot;007003EE&quot;/&gt;&lt;wsp:rsid wsp:val=&quot;0070057D&quot;/&gt;&lt;wsp:rsid wsp:val=&quot;00700620&quot;/&gt;&lt;wsp:rsid wsp:val=&quot;007008FE&quot;/&gt;&lt;wsp:rsid wsp:val=&quot;007009E2&quot;/&gt;&lt;wsp:rsid wsp:val=&quot;00700E7B&quot;/&gt;&lt;wsp:rsid wsp:val=&quot;00700FBF&quot;/&gt;&lt;wsp:rsid wsp:val=&quot;007015B7&quot;/&gt;&lt;wsp:rsid wsp:val=&quot;00701906&quot;/&gt;&lt;wsp:rsid wsp:val=&quot;00701A65&quot;/&gt;&lt;wsp:rsid wsp:val=&quot;00701C64&quot;/&gt;&lt;wsp:rsid wsp:val=&quot;0070224D&quot;/&gt;&lt;wsp:rsid wsp:val=&quot;007026B9&quot;/&gt;&lt;wsp:rsid wsp:val=&quot;007032AB&quot;/&gt;&lt;wsp:rsid wsp:val=&quot;00703460&quot;/&gt;&lt;wsp:rsid wsp:val=&quot;00703563&quot;/&gt;&lt;wsp:rsid wsp:val=&quot;007035D4&quot;/&gt;&lt;wsp:rsid wsp:val=&quot;007036B0&quot;/&gt;&lt;wsp:rsid wsp:val=&quot;00703B34&quot;/&gt;&lt;wsp:rsid wsp:val=&quot;00703EE2&quot;/&gt;&lt;wsp:rsid wsp:val=&quot;0070423B&quot;/&gt;&lt;wsp:rsid wsp:val=&quot;007046F3&quot;/&gt;&lt;wsp:rsid wsp:val=&quot;00704DA3&quot;/&gt;&lt;wsp:rsid wsp:val=&quot;00704E33&quot;/&gt;&lt;wsp:rsid wsp:val=&quot;0070569E&quot;/&gt;&lt;wsp:rsid wsp:val=&quot;007057B4&quot;/&gt;&lt;wsp:rsid wsp:val=&quot;00705B2B&quot;/&gt;&lt;wsp:rsid wsp:val=&quot;00705E63&quot;/&gt;&lt;wsp:rsid wsp:val=&quot;00705FF0&quot;/&gt;&lt;wsp:rsid wsp:val=&quot;00706DDA&quot;/&gt;&lt;wsp:rsid wsp:val=&quot;00706FFC&quot;/&gt;&lt;wsp:rsid wsp:val=&quot;007070B4&quot;/&gt;&lt;wsp:rsid wsp:val=&quot;0070743D&quot;/&gt;&lt;wsp:rsid wsp:val=&quot;00707447&quot;/&gt;&lt;wsp:rsid wsp:val=&quot;00710267&quot;/&gt;&lt;wsp:rsid wsp:val=&quot;00710960&quot;/&gt;&lt;wsp:rsid wsp:val=&quot;00710B50&quot;/&gt;&lt;wsp:rsid wsp:val=&quot;00710CD9&quot;/&gt;&lt;wsp:rsid wsp:val=&quot;00711DB7&quot;/&gt;&lt;wsp:rsid wsp:val=&quot;00711ED3&quot;/&gt;&lt;wsp:rsid wsp:val=&quot;00711F0C&quot;/&gt;&lt;wsp:rsid wsp:val=&quot;007120F7&quot;/&gt;&lt;wsp:rsid wsp:val=&quot;00712140&quot;/&gt;&lt;wsp:rsid wsp:val=&quot;0071220F&quot;/&gt;&lt;wsp:rsid wsp:val=&quot;0071298C&quot;/&gt;&lt;wsp:rsid wsp:val=&quot;007129DA&quot;/&gt;&lt;wsp:rsid wsp:val=&quot;00713696&quot;/&gt;&lt;wsp:rsid wsp:val=&quot;00713F80&quot;/&gt;&lt;wsp:rsid wsp:val=&quot;00713FE7&quot;/&gt;&lt;wsp:rsid wsp:val=&quot;007141C7&quot;/&gt;&lt;wsp:rsid wsp:val=&quot;00714365&quot;/&gt;&lt;wsp:rsid wsp:val=&quot;0071464E&quot;/&gt;&lt;wsp:rsid wsp:val=&quot;00714B35&quot;/&gt;&lt;wsp:rsid wsp:val=&quot;00714C87&quot;/&gt;&lt;wsp:rsid wsp:val=&quot;00714CC7&quot;/&gt;&lt;wsp:rsid wsp:val=&quot;00715407&quot;/&gt;&lt;wsp:rsid wsp:val=&quot;007156C6&quot;/&gt;&lt;wsp:rsid wsp:val=&quot;00715C64&quot;/&gt;&lt;wsp:rsid wsp:val=&quot;0071628B&quot;/&gt;&lt;wsp:rsid wsp:val=&quot;007166FF&quot;/&gt;&lt;wsp:rsid wsp:val=&quot;00716AAC&quot;/&gt;&lt;wsp:rsid wsp:val=&quot;00716C8C&quot;/&gt;&lt;wsp:rsid wsp:val=&quot;00716FB8&quot;/&gt;&lt;wsp:rsid wsp:val=&quot;007170AA&quot;/&gt;&lt;wsp:rsid wsp:val=&quot;00717890&quot;/&gt;&lt;wsp:rsid wsp:val=&quot;00717D9D&quot;/&gt;&lt;wsp:rsid wsp:val=&quot;00717EBD&quot;/&gt;&lt;wsp:rsid wsp:val=&quot;0072007F&quot;/&gt;&lt;wsp:rsid wsp:val=&quot;00720B98&quot;/&gt;&lt;wsp:rsid wsp:val=&quot;00720CF7&quot;/&gt;&lt;wsp:rsid wsp:val=&quot;00720E29&quot;/&gt;&lt;wsp:rsid wsp:val=&quot;00720FFB&quot;/&gt;&lt;wsp:rsid wsp:val=&quot;00721316&quot;/&gt;&lt;wsp:rsid wsp:val=&quot;007215E6&quot;/&gt;&lt;wsp:rsid wsp:val=&quot;00721838&quot;/&gt;&lt;wsp:rsid wsp:val=&quot;007219BD&quot;/&gt;&lt;wsp:rsid wsp:val=&quot;00722943&quot;/&gt;&lt;wsp:rsid wsp:val=&quot;00722A9B&quot;/&gt;&lt;wsp:rsid wsp:val=&quot;00722DA2&quot;/&gt;&lt;wsp:rsid wsp:val=&quot;007237FC&quot;/&gt;&lt;wsp:rsid wsp:val=&quot;007239E5&quot;/&gt;&lt;wsp:rsid wsp:val=&quot;00723F65&quot;/&gt;&lt;wsp:rsid wsp:val=&quot;007242E3&quot;/&gt;&lt;wsp:rsid wsp:val=&quot;00724492&quot;/&gt;&lt;wsp:rsid wsp:val=&quot;00724C67&quot;/&gt;&lt;wsp:rsid wsp:val=&quot;00724C99&quot;/&gt;&lt;wsp:rsid wsp:val=&quot;00724D89&quot;/&gt;&lt;wsp:rsid wsp:val=&quot;007253AC&quot;/&gt;&lt;wsp:rsid wsp:val=&quot;007258E3&quot;/&gt;&lt;wsp:rsid wsp:val=&quot;00725C9E&quot;/&gt;&lt;wsp:rsid wsp:val=&quot;00725E3A&quot;/&gt;&lt;wsp:rsid wsp:val=&quot;00725F19&quot;/&gt;&lt;wsp:rsid wsp:val=&quot;007266AD&quot;/&gt;&lt;wsp:rsid wsp:val=&quot;00726C07&quot;/&gt;&lt;wsp:rsid wsp:val=&quot;00727109&quot;/&gt;&lt;wsp:rsid wsp:val=&quot;00727B4B&quot;/&gt;&lt;wsp:rsid wsp:val=&quot;00727DD0&quot;/&gt;&lt;wsp:rsid wsp:val=&quot;00727E4E&quot;/&gt;&lt;wsp:rsid wsp:val=&quot;0073013A&quot;/&gt;&lt;wsp:rsid wsp:val=&quot;00730AC2&quot;/&gt;&lt;wsp:rsid wsp:val=&quot;00730D04&quot;/&gt;&lt;wsp:rsid wsp:val=&quot;00731275&quot;/&gt;&lt;wsp:rsid wsp:val=&quot;0073150D&quot;/&gt;&lt;wsp:rsid wsp:val=&quot;007315F4&quot;/&gt;&lt;wsp:rsid wsp:val=&quot;0073251D&quot;/&gt;&lt;wsp:rsid wsp:val=&quot;00732641&quot;/&gt;&lt;wsp:rsid wsp:val=&quot;00733248&quot;/&gt;&lt;wsp:rsid wsp:val=&quot;007348A8&quot;/&gt;&lt;wsp:rsid wsp:val=&quot;0073516D&quot;/&gt;&lt;wsp:rsid wsp:val=&quot;007355FE&quot;/&gt;&lt;wsp:rsid wsp:val=&quot;007359A5&quot;/&gt;&lt;wsp:rsid wsp:val=&quot;00735B51&quot;/&gt;&lt;wsp:rsid wsp:val=&quot;00735E11&quot;/&gt;&lt;wsp:rsid wsp:val=&quot;00736CBF&quot;/&gt;&lt;wsp:rsid wsp:val=&quot;007372D0&quot;/&gt;&lt;wsp:rsid wsp:val=&quot;007374C9&quot;/&gt;&lt;wsp:rsid wsp:val=&quot;007374E8&quot;/&gt;&lt;wsp:rsid wsp:val=&quot;0073758C&quot;/&gt;&lt;wsp:rsid wsp:val=&quot;00737651&quot;/&gt;&lt;wsp:rsid wsp:val=&quot;00737671&quot;/&gt;&lt;wsp:rsid wsp:val=&quot;00737773&quot;/&gt;&lt;wsp:rsid wsp:val=&quot;00737F6F&quot;/&gt;&lt;wsp:rsid wsp:val=&quot;0074047E&quot;/&gt;&lt;wsp:rsid wsp:val=&quot;0074076C&quot;/&gt;&lt;wsp:rsid wsp:val=&quot;0074097B&quot;/&gt;&lt;wsp:rsid wsp:val=&quot;007416E8&quot;/&gt;&lt;wsp:rsid wsp:val=&quot;00741953&quot;/&gt;&lt;wsp:rsid wsp:val=&quot;007424B6&quot;/&gt;&lt;wsp:rsid wsp:val=&quot;0074293E&quot;/&gt;&lt;wsp:rsid wsp:val=&quot;00742ADA&quot;/&gt;&lt;wsp:rsid wsp:val=&quot;00742FC7&quot;/&gt;&lt;wsp:rsid wsp:val=&quot;007443B2&quot;/&gt;&lt;wsp:rsid wsp:val=&quot;00744696&quot;/&gt;&lt;wsp:rsid wsp:val=&quot;007446EA&quot;/&gt;&lt;wsp:rsid wsp:val=&quot;0074503F&quot;/&gt;&lt;wsp:rsid wsp:val=&quot;00745041&quot;/&gt;&lt;wsp:rsid wsp:val=&quot;00745719&quot;/&gt;&lt;wsp:rsid wsp:val=&quot;007459E5&quot;/&gt;&lt;wsp:rsid wsp:val=&quot;00745AE5&quot;/&gt;&lt;wsp:rsid wsp:val=&quot;00745CCE&quot;/&gt;&lt;wsp:rsid wsp:val=&quot;00746574&quot;/&gt;&lt;wsp:rsid wsp:val=&quot;00746F69&quot;/&gt;&lt;wsp:rsid wsp:val=&quot;0074732D&quot;/&gt;&lt;wsp:rsid wsp:val=&quot;00747566&quot;/&gt;&lt;wsp:rsid wsp:val=&quot;0074780C&quot;/&gt;&lt;wsp:rsid wsp:val=&quot;00747910&quot;/&gt;&lt;wsp:rsid wsp:val=&quot;00747AC0&quot;/&gt;&lt;wsp:rsid wsp:val=&quot;00747F25&quot;/&gt;&lt;wsp:rsid wsp:val=&quot;00750335&quot;/&gt;&lt;wsp:rsid wsp:val=&quot;007503C6&quot;/&gt;&lt;wsp:rsid wsp:val=&quot;007509E0&quot;/&gt;&lt;wsp:rsid wsp:val=&quot;00751016&quot;/&gt;&lt;wsp:rsid wsp:val=&quot;007510B1&quot;/&gt;&lt;wsp:rsid wsp:val=&quot;0075149A&quot;/&gt;&lt;wsp:rsid wsp:val=&quot;00751A17&quot;/&gt;&lt;wsp:rsid wsp:val=&quot;00751DF6&quot;/&gt;&lt;wsp:rsid wsp:val=&quot;0075230F&quot;/&gt;&lt;wsp:rsid wsp:val=&quot;0075261B&quot;/&gt;&lt;wsp:rsid wsp:val=&quot;00753233&quot;/&gt;&lt;wsp:rsid wsp:val=&quot;007535BA&quot;/&gt;&lt;wsp:rsid wsp:val=&quot;00753B78&quot;/&gt;&lt;wsp:rsid wsp:val=&quot;00754014&quot;/&gt;&lt;wsp:rsid wsp:val=&quot;007542E0&quot;/&gt;&lt;wsp:rsid wsp:val=&quot;007547AB&quot;/&gt;&lt;wsp:rsid wsp:val=&quot;007548EA&quot;/&gt;&lt;wsp:rsid wsp:val=&quot;00754F31&quot;/&gt;&lt;wsp:rsid wsp:val=&quot;00755248&quot;/&gt;&lt;wsp:rsid wsp:val=&quot;00755480&quot;/&gt;&lt;wsp:rsid wsp:val=&quot;00755892&quot;/&gt;&lt;wsp:rsid wsp:val=&quot;00755901&quot;/&gt;&lt;wsp:rsid wsp:val=&quot;00756164&quot;/&gt;&lt;wsp:rsid wsp:val=&quot;00756541&quot;/&gt;&lt;wsp:rsid wsp:val=&quot;0075732A&quot;/&gt;&lt;wsp:rsid wsp:val=&quot;007576F7&quot;/&gt;&lt;wsp:rsid wsp:val=&quot;0075772E&quot;/&gt;&lt;wsp:rsid wsp:val=&quot;007577B9&quot;/&gt;&lt;wsp:rsid wsp:val=&quot;00757ECF&quot;/&gt;&lt;wsp:rsid wsp:val=&quot;007605BF&quot;/&gt;&lt;wsp:rsid wsp:val=&quot;00760A42&quot;/&gt;&lt;wsp:rsid wsp:val=&quot;00760B69&quot;/&gt;&lt;wsp:rsid wsp:val=&quot;00762076&quot;/&gt;&lt;wsp:rsid wsp:val=&quot;0076216C&quot;/&gt;&lt;wsp:rsid wsp:val=&quot;0076299F&quot;/&gt;&lt;wsp:rsid wsp:val=&quot;00762B7D&quot;/&gt;&lt;wsp:rsid wsp:val=&quot;00762DBA&quot;/&gt;&lt;wsp:rsid wsp:val=&quot;00762E9B&quot;/&gt;&lt;wsp:rsid wsp:val=&quot;00762F93&quot;/&gt;&lt;wsp:rsid wsp:val=&quot;00763AE0&quot;/&gt;&lt;wsp:rsid wsp:val=&quot;00763AEE&quot;/&gt;&lt;wsp:rsid wsp:val=&quot;00764541&quot;/&gt;&lt;wsp:rsid wsp:val=&quot;00764629&quot;/&gt;&lt;wsp:rsid wsp:val=&quot;007646EF&quot;/&gt;&lt;wsp:rsid wsp:val=&quot;0076495D&quot;/&gt;&lt;wsp:rsid wsp:val=&quot;00764C1E&quot;/&gt;&lt;wsp:rsid wsp:val=&quot;00764CBB&quot;/&gt;&lt;wsp:rsid wsp:val=&quot;00764F9E&quot;/&gt;&lt;wsp:rsid wsp:val=&quot;0076505A&quot;/&gt;&lt;wsp:rsid wsp:val=&quot;0076592B&quot;/&gt;&lt;wsp:rsid wsp:val=&quot;00765C17&quot;/&gt;&lt;wsp:rsid wsp:val=&quot;00765CF9&quot;/&gt;&lt;wsp:rsid wsp:val=&quot;00765FD7&quot;/&gt;&lt;wsp:rsid wsp:val=&quot;00766504&quot;/&gt;&lt;wsp:rsid wsp:val=&quot;00766A32&quot;/&gt;&lt;wsp:rsid wsp:val=&quot;00766CE7&quot;/&gt;&lt;wsp:rsid wsp:val=&quot;00767256&quot;/&gt;&lt;wsp:rsid wsp:val=&quot;00767A58&quot;/&gt;&lt;wsp:rsid wsp:val=&quot;00770198&quot;/&gt;&lt;wsp:rsid wsp:val=&quot;00770326&quot;/&gt;&lt;wsp:rsid wsp:val=&quot;007705F7&quot;/&gt;&lt;wsp:rsid wsp:val=&quot;007709E3&quot;/&gt;&lt;wsp:rsid wsp:val=&quot;00770A08&quot;/&gt;&lt;wsp:rsid wsp:val=&quot;00770A29&quot;/&gt;&lt;wsp:rsid wsp:val=&quot;00770ABA&quot;/&gt;&lt;wsp:rsid wsp:val=&quot;00770B9F&quot;/&gt;&lt;wsp:rsid wsp:val=&quot;007712B2&quot;/&gt;&lt;wsp:rsid wsp:val=&quot;00771431&quot;/&gt;&lt;wsp:rsid wsp:val=&quot;00771877&quot;/&gt;&lt;wsp:rsid wsp:val=&quot;00771A1F&quot;/&gt;&lt;wsp:rsid wsp:val=&quot;00771A7A&quot;/&gt;&lt;wsp:rsid wsp:val=&quot;00773111&quot;/&gt;&lt;wsp:rsid wsp:val=&quot;00773219&quot;/&gt;&lt;wsp:rsid wsp:val=&quot;0077350E&quot;/&gt;&lt;wsp:rsid wsp:val=&quot;00773851&quot;/&gt;&lt;wsp:rsid wsp:val=&quot;007738DB&quot;/&gt;&lt;wsp:rsid wsp:val=&quot;00773BBF&quot;/&gt;&lt;wsp:rsid wsp:val=&quot;00773EB7&quot;/&gt;&lt;wsp:rsid wsp:val=&quot;00773F2C&quot;/&gt;&lt;wsp:rsid wsp:val=&quot;00774471&quot;/&gt;&lt;wsp:rsid wsp:val=&quot;0077497F&quot;/&gt;&lt;wsp:rsid wsp:val=&quot;00775616&quot;/&gt;&lt;wsp:rsid wsp:val=&quot;00775A93&quot;/&gt;&lt;wsp:rsid wsp:val=&quot;007763CC&quot;/&gt;&lt;wsp:rsid wsp:val=&quot;00776404&quot;/&gt;&lt;wsp:rsid wsp:val=&quot;00776407&quot;/&gt;&lt;wsp:rsid wsp:val=&quot;00776409&quot;/&gt;&lt;wsp:rsid wsp:val=&quot;00776E14&quot;/&gt;&lt;wsp:rsid wsp:val=&quot;007802FB&quot;/&gt;&lt;wsp:rsid wsp:val=&quot;007805EA&quot;/&gt;&lt;wsp:rsid wsp:val=&quot;00780726&quot;/&gt;&lt;wsp:rsid wsp:val=&quot;00780A8F&quot;/&gt;&lt;wsp:rsid wsp:val=&quot;00781370&quot;/&gt;&lt;wsp:rsid wsp:val=&quot;007814E8&quot;/&gt;&lt;wsp:rsid wsp:val=&quot;007815B3&quot;/&gt;&lt;wsp:rsid wsp:val=&quot;0078239D&quot;/&gt;&lt;wsp:rsid wsp:val=&quot;0078250A&quot;/&gt;&lt;wsp:rsid wsp:val=&quot;00782A94&quot;/&gt;&lt;wsp:rsid wsp:val=&quot;00782EAD&quot;/&gt;&lt;wsp:rsid wsp:val=&quot;0078316A&quot;/&gt;&lt;wsp:rsid wsp:val=&quot;00783693&quot;/&gt;&lt;wsp:rsid wsp:val=&quot;007836A4&quot;/&gt;&lt;wsp:rsid wsp:val=&quot;00783824&quot;/&gt;&lt;wsp:rsid wsp:val=&quot;00783AD9&quot;/&gt;&lt;wsp:rsid wsp:val=&quot;00783F96&quot;/&gt;&lt;wsp:rsid wsp:val=&quot;0078409F&quot;/&gt;&lt;wsp:rsid wsp:val=&quot;00784144&quot;/&gt;&lt;wsp:rsid wsp:val=&quot;00784361&quot;/&gt;&lt;wsp:rsid wsp:val=&quot;007843FC&quot;/&gt;&lt;wsp:rsid wsp:val=&quot;00784DBF&quot;/&gt;&lt;wsp:rsid wsp:val=&quot;00784ECA&quot;/&gt;&lt;wsp:rsid wsp:val=&quot;007854F0&quot;/&gt;&lt;wsp:rsid wsp:val=&quot;007856F0&quot;/&gt;&lt;wsp:rsid wsp:val=&quot;00785CD6&quot;/&gt;&lt;wsp:rsid wsp:val=&quot;00786CB3&quot;/&gt;&lt;wsp:rsid wsp:val=&quot;00787284&quot;/&gt;&lt;wsp:rsid wsp:val=&quot;00787299&quot;/&gt;&lt;wsp:rsid wsp:val=&quot;00787391&quot;/&gt;&lt;wsp:rsid wsp:val=&quot;00787588&quot;/&gt;&lt;wsp:rsid wsp:val=&quot;00787761&quot;/&gt;&lt;wsp:rsid wsp:val=&quot;00787AE8&quot;/&gt;&lt;wsp:rsid wsp:val=&quot;00787E70&quot;/&gt;&lt;wsp:rsid wsp:val=&quot;00787FFA&quot;/&gt;&lt;wsp:rsid wsp:val=&quot;007905C0&quot;/&gt;&lt;wsp:rsid wsp:val=&quot;007906E9&quot;/&gt;&lt;wsp:rsid wsp:val=&quot;0079074F&quot;/&gt;&lt;wsp:rsid wsp:val=&quot;0079098A&quot;/&gt;&lt;wsp:rsid wsp:val=&quot;0079196A&quot;/&gt;&lt;wsp:rsid wsp:val=&quot;00791A8E&quot;/&gt;&lt;wsp:rsid wsp:val=&quot;00791F0C&quot;/&gt;&lt;wsp:rsid wsp:val=&quot;007922BC&quot;/&gt;&lt;wsp:rsid wsp:val=&quot;00792948&quot;/&gt;&lt;wsp:rsid wsp:val=&quot;00793033&quot;/&gt;&lt;wsp:rsid wsp:val=&quot;00793603&quot;/&gt;&lt;wsp:rsid wsp:val=&quot;00793EAE&quot;/&gt;&lt;wsp:rsid wsp:val=&quot;00793F0E&quot;/&gt;&lt;wsp:rsid wsp:val=&quot;00793FFF&quot;/&gt;&lt;wsp:rsid wsp:val=&quot;00794205&quot;/&gt;&lt;wsp:rsid wsp:val=&quot;0079479C&quot;/&gt;&lt;wsp:rsid wsp:val=&quot;00794A0E&quot;/&gt;&lt;wsp:rsid wsp:val=&quot;00794A14&quot;/&gt;&lt;wsp:rsid wsp:val=&quot;00794D8C&quot;/&gt;&lt;wsp:rsid wsp:val=&quot;0079539C&quot;/&gt;&lt;wsp:rsid wsp:val=&quot;00795682&quot;/&gt;&lt;wsp:rsid wsp:val=&quot;00795BF3&quot;/&gt;&lt;wsp:rsid wsp:val=&quot;00795E74&quot;/&gt;&lt;wsp:rsid wsp:val=&quot;0079670E&quot;/&gt;&lt;wsp:rsid wsp:val=&quot;00796880&quot;/&gt;&lt;wsp:rsid wsp:val=&quot;007977DC&quot;/&gt;&lt;wsp:rsid wsp:val=&quot;00797931&quot;/&gt;&lt;wsp:rsid wsp:val=&quot;007A1746&quot;/&gt;&lt;wsp:rsid wsp:val=&quot;007A2966&quot;/&gt;&lt;wsp:rsid wsp:val=&quot;007A2A83&quot;/&gt;&lt;wsp:rsid wsp:val=&quot;007A2A98&quot;/&gt;&lt;wsp:rsid wsp:val=&quot;007A2D2C&quot;/&gt;&lt;wsp:rsid wsp:val=&quot;007A3735&quot;/&gt;&lt;wsp:rsid wsp:val=&quot;007A3910&quot;/&gt;&lt;wsp:rsid wsp:val=&quot;007A41BD&quot;/&gt;&lt;wsp:rsid wsp:val=&quot;007A4323&quot;/&gt;&lt;wsp:rsid wsp:val=&quot;007A5186&quot;/&gt;&lt;wsp:rsid wsp:val=&quot;007A5507&quot;/&gt;&lt;wsp:rsid wsp:val=&quot;007A55C9&quot;/&gt;&lt;wsp:rsid wsp:val=&quot;007A55DE&quot;/&gt;&lt;wsp:rsid wsp:val=&quot;007A5672&quot;/&gt;&lt;wsp:rsid wsp:val=&quot;007A577F&quot;/&gt;&lt;wsp:rsid wsp:val=&quot;007A5A46&quot;/&gt;&lt;wsp:rsid wsp:val=&quot;007A5DF6&quot;/&gt;&lt;wsp:rsid wsp:val=&quot;007A60BF&quot;/&gt;&lt;wsp:rsid wsp:val=&quot;007A617E&quot;/&gt;&lt;wsp:rsid wsp:val=&quot;007A6184&quot;/&gt;&lt;wsp:rsid wsp:val=&quot;007A61BA&quot;/&gt;&lt;wsp:rsid wsp:val=&quot;007A63F1&quot;/&gt;&lt;wsp:rsid wsp:val=&quot;007A6716&quot;/&gt;&lt;wsp:rsid wsp:val=&quot;007A689F&quot;/&gt;&lt;wsp:rsid wsp:val=&quot;007A6F9B&quot;/&gt;&lt;wsp:rsid wsp:val=&quot;007A6FC6&quot;/&gt;&lt;wsp:rsid wsp:val=&quot;007A77E2&quot;/&gt;&lt;wsp:rsid wsp:val=&quot;007A7BC3&quot;/&gt;&lt;wsp:rsid wsp:val=&quot;007B05FD&quot;/&gt;&lt;wsp:rsid wsp:val=&quot;007B0681&quot;/&gt;&lt;wsp:rsid wsp:val=&quot;007B0F26&quot;/&gt;&lt;wsp:rsid wsp:val=&quot;007B0FA2&quot;/&gt;&lt;wsp:rsid wsp:val=&quot;007B12CF&quot;/&gt;&lt;wsp:rsid wsp:val=&quot;007B33BB&quot;/&gt;&lt;wsp:rsid wsp:val=&quot;007B36B0&quot;/&gt;&lt;wsp:rsid wsp:val=&quot;007B4A76&quot;/&gt;&lt;wsp:rsid wsp:val=&quot;007B4C13&quot;/&gt;&lt;wsp:rsid wsp:val=&quot;007B4D2B&quot;/&gt;&lt;wsp:rsid wsp:val=&quot;007B4EE1&quot;/&gt;&lt;wsp:rsid wsp:val=&quot;007B52FE&quot;/&gt;&lt;wsp:rsid wsp:val=&quot;007B5F37&quot;/&gt;&lt;wsp:rsid wsp:val=&quot;007B609A&quot;/&gt;&lt;wsp:rsid wsp:val=&quot;007B60D6&quot;/&gt;&lt;wsp:rsid wsp:val=&quot;007B6136&quot;/&gt;&lt;wsp:rsid wsp:val=&quot;007B64F8&quot;/&gt;&lt;wsp:rsid wsp:val=&quot;007B663E&quot;/&gt;&lt;wsp:rsid wsp:val=&quot;007B6A3E&quot;/&gt;&lt;wsp:rsid wsp:val=&quot;007B6EB3&quot;/&gt;&lt;wsp:rsid wsp:val=&quot;007B6F1C&quot;/&gt;&lt;wsp:rsid wsp:val=&quot;007B7501&quot;/&gt;&lt;wsp:rsid wsp:val=&quot;007B7C07&quot;/&gt;&lt;wsp:rsid wsp:val=&quot;007B7D4F&quot;/&gt;&lt;wsp:rsid wsp:val=&quot;007B7DD3&quot;/&gt;&lt;wsp:rsid wsp:val=&quot;007B7E01&quot;/&gt;&lt;wsp:rsid wsp:val=&quot;007C0412&quot;/&gt;&lt;wsp:rsid wsp:val=&quot;007C08B8&quot;/&gt;&lt;wsp:rsid wsp:val=&quot;007C0BF6&quot;/&gt;&lt;wsp:rsid wsp:val=&quot;007C1292&quot;/&gt;&lt;wsp:rsid wsp:val=&quot;007C16F9&quot;/&gt;&lt;wsp:rsid wsp:val=&quot;007C1B5D&quot;/&gt;&lt;wsp:rsid wsp:val=&quot;007C1C23&quot;/&gt;&lt;wsp:rsid wsp:val=&quot;007C1E05&quot;/&gt;&lt;wsp:rsid wsp:val=&quot;007C24E2&quot;/&gt;&lt;wsp:rsid wsp:val=&quot;007C280B&quot;/&gt;&lt;wsp:rsid wsp:val=&quot;007C32E5&quot;/&gt;&lt;wsp:rsid wsp:val=&quot;007C3392&quot;/&gt;&lt;wsp:rsid wsp:val=&quot;007C4654&quot;/&gt;&lt;wsp:rsid wsp:val=&quot;007C46C8&quot;/&gt;&lt;wsp:rsid wsp:val=&quot;007C47EB&quot;/&gt;&lt;wsp:rsid wsp:val=&quot;007C4D27&quot;/&gt;&lt;wsp:rsid wsp:val=&quot;007C5294&quot;/&gt;&lt;wsp:rsid wsp:val=&quot;007C54F3&quot;/&gt;&lt;wsp:rsid wsp:val=&quot;007C5A5E&quot;/&gt;&lt;wsp:rsid wsp:val=&quot;007C5B90&quot;/&gt;&lt;wsp:rsid wsp:val=&quot;007C5BEA&quot;/&gt;&lt;wsp:rsid wsp:val=&quot;007C608A&quot;/&gt;&lt;wsp:rsid wsp:val=&quot;007C64BA&quot;/&gt;&lt;wsp:rsid wsp:val=&quot;007C64F6&quot;/&gt;&lt;wsp:rsid wsp:val=&quot;007C668A&quot;/&gt;&lt;wsp:rsid wsp:val=&quot;007C6CFE&quot;/&gt;&lt;wsp:rsid wsp:val=&quot;007C6D9E&quot;/&gt;&lt;wsp:rsid wsp:val=&quot;007C6E57&quot;/&gt;&lt;wsp:rsid wsp:val=&quot;007C6EE5&quot;/&gt;&lt;wsp:rsid wsp:val=&quot;007C6FD8&quot;/&gt;&lt;wsp:rsid wsp:val=&quot;007C714F&quot;/&gt;&lt;wsp:rsid wsp:val=&quot;007C7870&quot;/&gt;&lt;wsp:rsid wsp:val=&quot;007C7952&quot;/&gt;&lt;wsp:rsid wsp:val=&quot;007C7B7D&quot;/&gt;&lt;wsp:rsid wsp:val=&quot;007C7B91&quot;/&gt;&lt;wsp:rsid wsp:val=&quot;007D0381&quot;/&gt;&lt;wsp:rsid wsp:val=&quot;007D0A06&quot;/&gt;&lt;wsp:rsid wsp:val=&quot;007D0A28&quot;/&gt;&lt;wsp:rsid wsp:val=&quot;007D0B79&quot;/&gt;&lt;wsp:rsid wsp:val=&quot;007D0D65&quot;/&gt;&lt;wsp:rsid wsp:val=&quot;007D2061&quot;/&gt;&lt;wsp:rsid wsp:val=&quot;007D24E8&quot;/&gt;&lt;wsp:rsid wsp:val=&quot;007D286C&quot;/&gt;&lt;wsp:rsid wsp:val=&quot;007D2C15&quot;/&gt;&lt;wsp:rsid wsp:val=&quot;007D2DD6&quot;/&gt;&lt;wsp:rsid wsp:val=&quot;007D30D4&quot;/&gt;&lt;wsp:rsid wsp:val=&quot;007D36A5&quot;/&gt;&lt;wsp:rsid wsp:val=&quot;007D3B5C&quot;/&gt;&lt;wsp:rsid wsp:val=&quot;007D3EEE&quot;/&gt;&lt;wsp:rsid wsp:val=&quot;007D461C&quot;/&gt;&lt;wsp:rsid wsp:val=&quot;007D4C97&quot;/&gt;&lt;wsp:rsid wsp:val=&quot;007D4EBB&quot;/&gt;&lt;wsp:rsid wsp:val=&quot;007D526C&quot;/&gt;&lt;wsp:rsid wsp:val=&quot;007D5D1B&quot;/&gt;&lt;wsp:rsid wsp:val=&quot;007D6509&quot;/&gt;&lt;wsp:rsid wsp:val=&quot;007D659B&quot;/&gt;&lt;wsp:rsid wsp:val=&quot;007D65A8&quot;/&gt;&lt;wsp:rsid wsp:val=&quot;007D683C&quot;/&gt;&lt;wsp:rsid wsp:val=&quot;007D6A47&quot;/&gt;&lt;wsp:rsid wsp:val=&quot;007D7DE9&quot;/&gt;&lt;wsp:rsid wsp:val=&quot;007D7E64&quot;/&gt;&lt;wsp:rsid wsp:val=&quot;007D7F67&quot;/&gt;&lt;wsp:rsid wsp:val=&quot;007D7FB8&quot;/&gt;&lt;wsp:rsid wsp:val=&quot;007E042F&quot;/&gt;&lt;wsp:rsid wsp:val=&quot;007E0979&quot;/&gt;&lt;wsp:rsid wsp:val=&quot;007E19F2&quot;/&gt;&lt;wsp:rsid wsp:val=&quot;007E1F0E&quot;/&gt;&lt;wsp:rsid wsp:val=&quot;007E20CA&quot;/&gt;&lt;wsp:rsid wsp:val=&quot;007E2274&quot;/&gt;&lt;wsp:rsid wsp:val=&quot;007E24B9&quot;/&gt;&lt;wsp:rsid wsp:val=&quot;007E28D4&quot;/&gt;&lt;wsp:rsid wsp:val=&quot;007E3D2A&quot;/&gt;&lt;wsp:rsid wsp:val=&quot;007E3D4E&quot;/&gt;&lt;wsp:rsid wsp:val=&quot;007E40D8&quot;/&gt;&lt;wsp:rsid wsp:val=&quot;007E411E&quot;/&gt;&lt;wsp:rsid wsp:val=&quot;007E46BC&quot;/&gt;&lt;wsp:rsid wsp:val=&quot;007E4B3E&quot;/&gt;&lt;wsp:rsid wsp:val=&quot;007E557F&quot;/&gt;&lt;wsp:rsid wsp:val=&quot;007E5628&quot;/&gt;&lt;wsp:rsid wsp:val=&quot;007E5C41&quot;/&gt;&lt;wsp:rsid wsp:val=&quot;007E5E56&quot;/&gt;&lt;wsp:rsid wsp:val=&quot;007E612A&quot;/&gt;&lt;wsp:rsid wsp:val=&quot;007E6703&quot;/&gt;&lt;wsp:rsid wsp:val=&quot;007E6C4B&quot;/&gt;&lt;wsp:rsid wsp:val=&quot;007E7033&quot;/&gt;&lt;wsp:rsid wsp:val=&quot;007E78A2&quot;/&gt;&lt;wsp:rsid wsp:val=&quot;007E7B6B&quot;/&gt;&lt;wsp:rsid wsp:val=&quot;007F0D0B&quot;/&gt;&lt;wsp:rsid wsp:val=&quot;007F0D67&quot;/&gt;&lt;wsp:rsid wsp:val=&quot;007F1029&quot;/&gt;&lt;wsp:rsid wsp:val=&quot;007F11C2&quot;/&gt;&lt;wsp:rsid wsp:val=&quot;007F14FA&quot;/&gt;&lt;wsp:rsid wsp:val=&quot;007F15C6&quot;/&gt;&lt;wsp:rsid wsp:val=&quot;007F1D12&quot;/&gt;&lt;wsp:rsid wsp:val=&quot;007F1FD1&quot;/&gt;&lt;wsp:rsid wsp:val=&quot;007F21A6&quot;/&gt;&lt;wsp:rsid wsp:val=&quot;007F29F6&quot;/&gt;&lt;wsp:rsid wsp:val=&quot;007F2B96&quot;/&gt;&lt;wsp:rsid wsp:val=&quot;007F2CF5&quot;/&gt;&lt;wsp:rsid wsp:val=&quot;007F2E84&quot;/&gt;&lt;wsp:rsid wsp:val=&quot;007F3ACE&quot;/&gt;&lt;wsp:rsid wsp:val=&quot;007F4B5F&quot;/&gt;&lt;wsp:rsid wsp:val=&quot;007F4CFD&quot;/&gt;&lt;wsp:rsid wsp:val=&quot;007F5A28&quot;/&gt;&lt;wsp:rsid wsp:val=&quot;007F611D&quot;/&gt;&lt;wsp:rsid wsp:val=&quot;007F650D&quot;/&gt;&lt;wsp:rsid wsp:val=&quot;007F7A17&quot;/&gt;&lt;wsp:rsid wsp:val=&quot;007F7A26&quot;/&gt;&lt;wsp:rsid wsp:val=&quot;00800ED0&quot;/&gt;&lt;wsp:rsid wsp:val=&quot;00801094&quot;/&gt;&lt;wsp:rsid wsp:val=&quot;0080146B&quot;/&gt;&lt;wsp:rsid wsp:val=&quot;00801B5F&quot;/&gt;&lt;wsp:rsid wsp:val=&quot;008020EC&quot;/&gt;&lt;wsp:rsid wsp:val=&quot;00802394&quot;/&gt;&lt;wsp:rsid wsp:val=&quot;00803975&quot;/&gt;&lt;wsp:rsid wsp:val=&quot;00803A0B&quot;/&gt;&lt;wsp:rsid wsp:val=&quot;00804158&quot;/&gt;&lt;wsp:rsid wsp:val=&quot;00804393&quot;/&gt;&lt;wsp:rsid wsp:val=&quot;008047DB&quot;/&gt;&lt;wsp:rsid wsp:val=&quot;00804CA1&quot;/&gt;&lt;wsp:rsid wsp:val=&quot;00805042&quot;/&gt;&lt;wsp:rsid wsp:val=&quot;0080515E&quot;/&gt;&lt;wsp:rsid wsp:val=&quot;00805268&quot;/&gt;&lt;wsp:rsid wsp:val=&quot;00805F65&quot;/&gt;&lt;wsp:rsid wsp:val=&quot;0080626E&quot;/&gt;&lt;wsp:rsid wsp:val=&quot;008062AA&quot;/&gt;&lt;wsp:rsid wsp:val=&quot;00806FE0&quot;/&gt;&lt;wsp:rsid wsp:val=&quot;00807176&quot;/&gt;&lt;wsp:rsid wsp:val=&quot;008077BA&quot;/&gt;&lt;wsp:rsid wsp:val=&quot;008078E6&quot;/&gt;&lt;wsp:rsid wsp:val=&quot;00807C6D&quot;/&gt;&lt;wsp:rsid wsp:val=&quot;00807FE8&quot;/&gt;&lt;wsp:rsid wsp:val=&quot;0081000D&quot;/&gt;&lt;wsp:rsid wsp:val=&quot;00810211&quot;/&gt;&lt;wsp:rsid wsp:val=&quot;008102D9&quot;/&gt;&lt;wsp:rsid wsp:val=&quot;00810437&quot;/&gt;&lt;wsp:rsid wsp:val=&quot;00810A75&quot;/&gt;&lt;wsp:rsid wsp:val=&quot;00810CE0&quot;/&gt;&lt;wsp:rsid wsp:val=&quot;008112F4&quot;/&gt;&lt;wsp:rsid wsp:val=&quot;00811505&quot;/&gt;&lt;wsp:rsid wsp:val=&quot;0081154D&quot;/&gt;&lt;wsp:rsid wsp:val=&quot;0081156E&quot;/&gt;&lt;wsp:rsid wsp:val=&quot;00811BB3&quot;/&gt;&lt;wsp:rsid wsp:val=&quot;00811D66&quot;/&gt;&lt;wsp:rsid wsp:val=&quot;00812431&quot;/&gt;&lt;wsp:rsid wsp:val=&quot;00812E0E&quot;/&gt;&lt;wsp:rsid wsp:val=&quot;008130E1&quot;/&gt;&lt;wsp:rsid wsp:val=&quot;00813455&quot;/&gt;&lt;wsp:rsid wsp:val=&quot;00813A2D&quot;/&gt;&lt;wsp:rsid wsp:val=&quot;00813FE4&quot;/&gt;&lt;wsp:rsid wsp:val=&quot;00815082&quot;/&gt;&lt;wsp:rsid wsp:val=&quot;00816077&quot;/&gt;&lt;wsp:rsid wsp:val=&quot;0081614B&quot;/&gt;&lt;wsp:rsid wsp:val=&quot;008161CE&quot;/&gt;&lt;wsp:rsid wsp:val=&quot;008164FA&quot;/&gt;&lt;wsp:rsid wsp:val=&quot;008165F2&quot;/&gt;&lt;wsp:rsid wsp:val=&quot;00817293&quot;/&gt;&lt;wsp:rsid wsp:val=&quot;0081773A&quot;/&gt;&lt;wsp:rsid wsp:val=&quot;00817910&quot;/&gt;&lt;wsp:rsid wsp:val=&quot;00817D54&quot;/&gt;&lt;wsp:rsid wsp:val=&quot;00820487&quot;/&gt;&lt;wsp:rsid wsp:val=&quot;00820C7B&quot;/&gt;&lt;wsp:rsid wsp:val=&quot;00820E0C&quot;/&gt;&lt;wsp:rsid wsp:val=&quot;00820E6E&quot;/&gt;&lt;wsp:rsid wsp:val=&quot;00821652&quot;/&gt;&lt;wsp:rsid wsp:val=&quot;008217E9&quot;/&gt;&lt;wsp:rsid wsp:val=&quot;0082189F&quot;/&gt;&lt;wsp:rsid wsp:val=&quot;008224E5&quot;/&gt;&lt;wsp:rsid wsp:val=&quot;00822E5E&quot;/&gt;&lt;wsp:rsid wsp:val=&quot;00823D28&quot;/&gt;&lt;wsp:rsid wsp:val=&quot;00824597&quot;/&gt;&lt;wsp:rsid wsp:val=&quot;008245D7&quot;/&gt;&lt;wsp:rsid wsp:val=&quot;00824B99&quot;/&gt;&lt;wsp:rsid wsp:val=&quot;00824D96&quot;/&gt;&lt;wsp:rsid wsp:val=&quot;0082580A&quot;/&gt;&lt;wsp:rsid wsp:val=&quot;00825837&quot;/&gt;&lt;wsp:rsid wsp:val=&quot;00825ABA&quot;/&gt;&lt;wsp:rsid wsp:val=&quot;00825B13&quot;/&gt;&lt;wsp:rsid wsp:val=&quot;00826305&quot;/&gt;&lt;wsp:rsid wsp:val=&quot;0082685F&quot;/&gt;&lt;wsp:rsid wsp:val=&quot;0082721E&quot;/&gt;&lt;wsp:rsid wsp:val=&quot;008273A5&quot;/&gt;&lt;wsp:rsid wsp:val=&quot;00827C10&quot;/&gt;&lt;wsp:rsid wsp:val=&quot;0083013C&quot;/&gt;&lt;wsp:rsid wsp:val=&quot;008302CC&quot;/&gt;&lt;wsp:rsid wsp:val=&quot;0083087D&quot;/&gt;&lt;wsp:rsid wsp:val=&quot;00830D57&quot;/&gt;&lt;wsp:rsid wsp:val=&quot;00830F6A&quot;/&gt;&lt;wsp:rsid wsp:val=&quot;00831CD5&quot;/&gt;&lt;wsp:rsid wsp:val=&quot;00831DF8&quot;/&gt;&lt;wsp:rsid wsp:val=&quot;008320A3&quot;/&gt;&lt;wsp:rsid wsp:val=&quot;0083277B&quot;/&gt;&lt;wsp:rsid wsp:val=&quot;0083283B&quot;/&gt;&lt;wsp:rsid wsp:val=&quot;008331FC&quot;/&gt;&lt;wsp:rsid wsp:val=&quot;0083336C&quot;/&gt;&lt;wsp:rsid wsp:val=&quot;008334E2&quot;/&gt;&lt;wsp:rsid wsp:val=&quot;00833A89&quot;/&gt;&lt;wsp:rsid wsp:val=&quot;008340FF&quot;/&gt;&lt;wsp:rsid wsp:val=&quot;00834518&quot;/&gt;&lt;wsp:rsid wsp:val=&quot;0083459E&quot;/&gt;&lt;wsp:rsid wsp:val=&quot;00834654&quot;/&gt;&lt;wsp:rsid wsp:val=&quot;00834B6B&quot;/&gt;&lt;wsp:rsid wsp:val=&quot;00834D57&quot;/&gt;&lt;wsp:rsid wsp:val=&quot;0083518C&quot;/&gt;&lt;wsp:rsid wsp:val=&quot;008351C2&quot;/&gt;&lt;wsp:rsid wsp:val=&quot;00835402&quot;/&gt;&lt;wsp:rsid wsp:val=&quot;00835465&quot;/&gt;&lt;wsp:rsid wsp:val=&quot;0083556E&quot;/&gt;&lt;wsp:rsid wsp:val=&quot;008357B6&quot;/&gt;&lt;wsp:rsid wsp:val=&quot;00836333&quot;/&gt;&lt;wsp:rsid wsp:val=&quot;0083636F&quot;/&gt;&lt;wsp:rsid wsp:val=&quot;008364DB&quot;/&gt;&lt;wsp:rsid wsp:val=&quot;00836890&quot;/&gt;&lt;wsp:rsid wsp:val=&quot;008368D3&quot;/&gt;&lt;wsp:rsid wsp:val=&quot;00836D3F&quot;/&gt;&lt;wsp:rsid wsp:val=&quot;00836E4C&quot;/&gt;&lt;wsp:rsid wsp:val=&quot;00837195&quot;/&gt;&lt;wsp:rsid wsp:val=&quot;008372DB&quot;/&gt;&lt;wsp:rsid wsp:val=&quot;008376E2&quot;/&gt;&lt;wsp:rsid wsp:val=&quot;00837CAA&quot;/&gt;&lt;wsp:rsid wsp:val=&quot;00837D52&quot;/&gt;&lt;wsp:rsid wsp:val=&quot;00837E52&quot;/&gt;&lt;wsp:rsid wsp:val=&quot;008400DF&quot;/&gt;&lt;wsp:rsid wsp:val=&quot;00840289&quot;/&gt;&lt;wsp:rsid wsp:val=&quot;00840E66&quot;/&gt;&lt;wsp:rsid wsp:val=&quot;0084222F&quot;/&gt;&lt;wsp:rsid wsp:val=&quot;00842887&quot;/&gt;&lt;wsp:rsid wsp:val=&quot;00842C09&quot;/&gt;&lt;wsp:rsid wsp:val=&quot;00842D37&quot;/&gt;&lt;wsp:rsid wsp:val=&quot;00843567&quot;/&gt;&lt;wsp:rsid wsp:val=&quot;00843A27&quot;/&gt;&lt;wsp:rsid wsp:val=&quot;00843F07&quot;/&gt;&lt;wsp:rsid wsp:val=&quot;00843F99&quot;/&gt;&lt;wsp:rsid wsp:val=&quot;0084442A&quot;/&gt;&lt;wsp:rsid wsp:val=&quot;00844D21&quot;/&gt;&lt;wsp:rsid wsp:val=&quot;0084503A&quot;/&gt;&lt;wsp:rsid wsp:val=&quot;008450B4&quot;/&gt;&lt;wsp:rsid wsp:val=&quot;008453E0&quot;/&gt;&lt;wsp:rsid wsp:val=&quot;008455DC&quot;/&gt;&lt;wsp:rsid wsp:val=&quot;00845E12&quot;/&gt;&lt;wsp:rsid wsp:val=&quot;00846256&quot;/&gt;&lt;wsp:rsid wsp:val=&quot;00846354&quot;/&gt;&lt;wsp:rsid wsp:val=&quot;0084657F&quot;/&gt;&lt;wsp:rsid wsp:val=&quot;0084799C&quot;/&gt;&lt;wsp:rsid wsp:val=&quot;00847D7F&quot;/&gt;&lt;wsp:rsid wsp:val=&quot;00847E56&quot;/&gt;&lt;wsp:rsid wsp:val=&quot;008504E0&quot;/&gt;&lt;wsp:rsid wsp:val=&quot;00850E46&quot;/&gt;&lt;wsp:rsid wsp:val=&quot;00850EF9&quot;/&gt;&lt;wsp:rsid wsp:val=&quot;008514CA&quot;/&gt;&lt;wsp:rsid wsp:val=&quot;00851509&quot;/&gt;&lt;wsp:rsid wsp:val=&quot;008521B9&quot;/&gt;&lt;wsp:rsid wsp:val=&quot;00852EED&quot;/&gt;&lt;wsp:rsid wsp:val=&quot;00853877&quot;/&gt;&lt;wsp:rsid wsp:val=&quot;00853CB9&quot;/&gt;&lt;wsp:rsid wsp:val=&quot;00853D57&quot;/&gt;&lt;wsp:rsid wsp:val=&quot;00854BE7&quot;/&gt;&lt;wsp:rsid wsp:val=&quot;00856740&quot;/&gt;&lt;wsp:rsid wsp:val=&quot;008570BF&quot;/&gt;&lt;wsp:rsid wsp:val=&quot;00857A94&quot;/&gt;&lt;wsp:rsid wsp:val=&quot;00857E3F&quot;/&gt;&lt;wsp:rsid wsp:val=&quot;00857EEA&quot;/&gt;&lt;wsp:rsid wsp:val=&quot;008600D3&quot;/&gt;&lt;wsp:rsid wsp:val=&quot;00860C28&quot;/&gt;&lt;wsp:rsid wsp:val=&quot;00862375&quot;/&gt;&lt;wsp:rsid wsp:val=&quot;0086248F&quot;/&gt;&lt;wsp:rsid wsp:val=&quot;0086255C&quot;/&gt;&lt;wsp:rsid wsp:val=&quot;00862604&quot;/&gt;&lt;wsp:rsid wsp:val=&quot;00862B84&quot;/&gt;&lt;wsp:rsid wsp:val=&quot;00862C97&quot;/&gt;&lt;wsp:rsid wsp:val=&quot;008632A6&quot;/&gt;&lt;wsp:rsid wsp:val=&quot;00863404&quot;/&gt;&lt;wsp:rsid wsp:val=&quot;00863FCD&quot;/&gt;&lt;wsp:rsid wsp:val=&quot;00864C77&quot;/&gt;&lt;wsp:rsid wsp:val=&quot;0086563E&quot;/&gt;&lt;wsp:rsid wsp:val=&quot;00865B9E&quot;/&gt;&lt;wsp:rsid wsp:val=&quot;008660DB&quot;/&gt;&lt;wsp:rsid wsp:val=&quot;00866103&quot;/&gt;&lt;wsp:rsid wsp:val=&quot;00866676&quot;/&gt;&lt;wsp:rsid wsp:val=&quot;008670EF&quot;/&gt;&lt;wsp:rsid wsp:val=&quot;00867146&quot;/&gt;&lt;wsp:rsid wsp:val=&quot;0087027A&quot;/&gt;&lt;wsp:rsid wsp:val=&quot;00870301&quot;/&gt;&lt;wsp:rsid wsp:val=&quot;008703EB&quot;/&gt;&lt;wsp:rsid wsp:val=&quot;008703EC&quot;/&gt;&lt;wsp:rsid wsp:val=&quot;0087049B&quot;/&gt;&lt;wsp:rsid wsp:val=&quot;0087050A&quot;/&gt;&lt;wsp:rsid wsp:val=&quot;00870A62&quot;/&gt;&lt;wsp:rsid wsp:val=&quot;00870B5C&quot;/&gt;&lt;wsp:rsid wsp:val=&quot;00871037&quot;/&gt;&lt;wsp:rsid wsp:val=&quot;008713A5&quot;/&gt;&lt;wsp:rsid wsp:val=&quot;0087147B&quot;/&gt;&lt;wsp:rsid wsp:val=&quot;008719F3&quot;/&gt;&lt;wsp:rsid wsp:val=&quot;00871B45&quot;/&gt;&lt;wsp:rsid wsp:val=&quot;00871B83&quot;/&gt;&lt;wsp:rsid wsp:val=&quot;00871E76&quot;/&gt;&lt;wsp:rsid wsp:val=&quot;00872B3C&quot;/&gt;&lt;wsp:rsid wsp:val=&quot;00872EEB&quot;/&gt;&lt;wsp:rsid wsp:val=&quot;00872F07&quot;/&gt;&lt;wsp:rsid wsp:val=&quot;0087331B&quot;/&gt;&lt;wsp:rsid wsp:val=&quot;008737A8&quot;/&gt;&lt;wsp:rsid wsp:val=&quot;008737D5&quot;/&gt;&lt;wsp:rsid wsp:val=&quot;00873B80&quot;/&gt;&lt;wsp:rsid wsp:val=&quot;00873E56&quot;/&gt;&lt;wsp:rsid wsp:val=&quot;0087446E&quot;/&gt;&lt;wsp:rsid wsp:val=&quot;00874D4D&quot;/&gt;&lt;wsp:rsid wsp:val=&quot;00875187&quot;/&gt;&lt;wsp:rsid wsp:val=&quot;008752B9&quot;/&gt;&lt;wsp:rsid wsp:val=&quot;008755CB&quot;/&gt;&lt;wsp:rsid wsp:val=&quot;00875D26&quot;/&gt;&lt;wsp:rsid wsp:val=&quot;00875D4D&quot;/&gt;&lt;wsp:rsid wsp:val=&quot;00875DDC&quot;/&gt;&lt;wsp:rsid wsp:val=&quot;00876128&quot;/&gt;&lt;wsp:rsid wsp:val=&quot;00876179&quot;/&gt;&lt;wsp:rsid wsp:val=&quot;008763BF&quot;/&gt;&lt;wsp:rsid wsp:val=&quot;0087673F&quot;/&gt;&lt;wsp:rsid wsp:val=&quot;008768EF&quot;/&gt;&lt;wsp:rsid wsp:val=&quot;00876A02&quot;/&gt;&lt;wsp:rsid wsp:val=&quot;00876D71&quot;/&gt;&lt;wsp:rsid wsp:val=&quot;0087720C&quot;/&gt;&lt;wsp:rsid wsp:val=&quot;00877BEF&quot;/&gt;&lt;wsp:rsid wsp:val=&quot;00877DEA&quot;/&gt;&lt;wsp:rsid wsp:val=&quot;00880150&quot;/&gt;&lt;wsp:rsid wsp:val=&quot;00881065&quot;/&gt;&lt;wsp:rsid wsp:val=&quot;00882997&quot;/&gt;&lt;wsp:rsid wsp:val=&quot;00883320&quot;/&gt;&lt;wsp:rsid wsp:val=&quot;00883385&quot;/&gt;&lt;wsp:rsid wsp:val=&quot;00883722&quot;/&gt;&lt;wsp:rsid wsp:val=&quot;00884081&quot;/&gt;&lt;wsp:rsid wsp:val=&quot;00884088&quot;/&gt;&lt;wsp:rsid wsp:val=&quot;00884A0F&quot;/&gt;&lt;wsp:rsid wsp:val=&quot;0088509A&quot;/&gt;&lt;wsp:rsid wsp:val=&quot;00885996&quot;/&gt;&lt;wsp:rsid wsp:val=&quot;008859ED&quot;/&gt;&lt;wsp:rsid wsp:val=&quot;00885B39&quot;/&gt;&lt;wsp:rsid wsp:val=&quot;008860A3&quot;/&gt;&lt;wsp:rsid wsp:val=&quot;00886328&quot;/&gt;&lt;wsp:rsid wsp:val=&quot;00886994&quot;/&gt;&lt;wsp:rsid wsp:val=&quot;00886B20&quot;/&gt;&lt;wsp:rsid wsp:val=&quot;00886CC6&quot;/&gt;&lt;wsp:rsid wsp:val=&quot;00886FA6&quot;/&gt;&lt;wsp:rsid wsp:val=&quot;008879C6&quot;/&gt;&lt;wsp:rsid wsp:val=&quot;00890D40&quot;/&gt;&lt;wsp:rsid wsp:val=&quot;008911CA&quot;/&gt;&lt;wsp:rsid wsp:val=&quot;00891542&quot;/&gt;&lt;wsp:rsid wsp:val=&quot;00892068&quot;/&gt;&lt;wsp:rsid wsp:val=&quot;0089218A&quot;/&gt;&lt;wsp:rsid wsp:val=&quot;00892336&quot;/&gt;&lt;wsp:rsid wsp:val=&quot;00892743&quot;/&gt;&lt;wsp:rsid wsp:val=&quot;00892AAC&quot;/&gt;&lt;wsp:rsid wsp:val=&quot;00892C31&quot;/&gt;&lt;wsp:rsid wsp:val=&quot;00892E86&quot;/&gt;&lt;wsp:rsid wsp:val=&quot;008932B3&quot;/&gt;&lt;wsp:rsid wsp:val=&quot;0089365B&quot;/&gt;&lt;wsp:rsid wsp:val=&quot;008939E7&quot;/&gt;&lt;wsp:rsid wsp:val=&quot;00893D82&quot;/&gt;&lt;wsp:rsid wsp:val=&quot;00894485&quot;/&gt;&lt;wsp:rsid wsp:val=&quot;00894CE3&quot;/&gt;&lt;wsp:rsid wsp:val=&quot;00895384&quot;/&gt;&lt;wsp:rsid wsp:val=&quot;00895746&quot;/&gt;&lt;wsp:rsid wsp:val=&quot;00895A61&quot;/&gt;&lt;wsp:rsid wsp:val=&quot;00896A81&quot;/&gt;&lt;wsp:rsid wsp:val=&quot;00897214&quot;/&gt;&lt;wsp:rsid wsp:val=&quot;00897795&quot;/&gt;&lt;wsp:rsid wsp:val=&quot;008A0059&quot;/&gt;&lt;wsp:rsid wsp:val=&quot;008A06F6&quot;/&gt;&lt;wsp:rsid wsp:val=&quot;008A12AC&quot;/&gt;&lt;wsp:rsid wsp:val=&quot;008A1322&quot;/&gt;&lt;wsp:rsid wsp:val=&quot;008A1639&quot;/&gt;&lt;wsp:rsid wsp:val=&quot;008A1962&quot;/&gt;&lt;wsp:rsid wsp:val=&quot;008A1DB6&quot;/&gt;&lt;wsp:rsid wsp:val=&quot;008A22D1&quot;/&gt;&lt;wsp:rsid wsp:val=&quot;008A249A&quot;/&gt;&lt;wsp:rsid wsp:val=&quot;008A27E8&quot;/&gt;&lt;wsp:rsid wsp:val=&quot;008A2C3A&quot;/&gt;&lt;wsp:rsid wsp:val=&quot;008A2D51&quot;/&gt;&lt;wsp:rsid wsp:val=&quot;008A315C&quot;/&gt;&lt;wsp:rsid wsp:val=&quot;008A328B&quot;/&gt;&lt;wsp:rsid wsp:val=&quot;008A3A6C&quot;/&gt;&lt;wsp:rsid wsp:val=&quot;008A3BEA&quot;/&gt;&lt;wsp:rsid wsp:val=&quot;008A4202&quot;/&gt;&lt;wsp:rsid wsp:val=&quot;008A4C3A&quot;/&gt;&lt;wsp:rsid wsp:val=&quot;008A564B&quot;/&gt;&lt;wsp:rsid wsp:val=&quot;008A5D10&quot;/&gt;&lt;wsp:rsid wsp:val=&quot;008A5E9B&quot;/&gt;&lt;wsp:rsid wsp:val=&quot;008A6343&quot;/&gt;&lt;wsp:rsid wsp:val=&quot;008A6499&quot;/&gt;&lt;wsp:rsid wsp:val=&quot;008A65B9&quot;/&gt;&lt;wsp:rsid wsp:val=&quot;008A68E6&quot;/&gt;&lt;wsp:rsid wsp:val=&quot;008A6B63&quot;/&gt;&lt;wsp:rsid wsp:val=&quot;008A7F95&quot;/&gt;&lt;wsp:rsid wsp:val=&quot;008B0549&quot;/&gt;&lt;wsp:rsid wsp:val=&quot;008B0BDD&quot;/&gt;&lt;wsp:rsid wsp:val=&quot;008B0BE4&quot;/&gt;&lt;wsp:rsid wsp:val=&quot;008B11AA&quot;/&gt;&lt;wsp:rsid wsp:val=&quot;008B12AB&quot;/&gt;&lt;wsp:rsid wsp:val=&quot;008B1867&quot;/&gt;&lt;wsp:rsid wsp:val=&quot;008B217B&quot;/&gt;&lt;wsp:rsid wsp:val=&quot;008B23F4&quot;/&gt;&lt;wsp:rsid wsp:val=&quot;008B25BE&quot;/&gt;&lt;wsp:rsid wsp:val=&quot;008B26ED&quot;/&gt;&lt;wsp:rsid wsp:val=&quot;008B2E88&quot;/&gt;&lt;wsp:rsid wsp:val=&quot;008B3858&quot;/&gt;&lt;wsp:rsid wsp:val=&quot;008B3AC2&quot;/&gt;&lt;wsp:rsid wsp:val=&quot;008B3C14&quot;/&gt;&lt;wsp:rsid wsp:val=&quot;008B4019&quot;/&gt;&lt;wsp:rsid wsp:val=&quot;008B424A&quot;/&gt;&lt;wsp:rsid wsp:val=&quot;008B42FD&quot;/&gt;&lt;wsp:rsid wsp:val=&quot;008B43A7&quot;/&gt;&lt;wsp:rsid wsp:val=&quot;008B4918&quot;/&gt;&lt;wsp:rsid wsp:val=&quot;008B4BD8&quot;/&gt;&lt;wsp:rsid wsp:val=&quot;008B5362&quot;/&gt;&lt;wsp:rsid wsp:val=&quot;008B5795&quot;/&gt;&lt;wsp:rsid wsp:val=&quot;008B613A&quot;/&gt;&lt;wsp:rsid wsp:val=&quot;008B63F5&quot;/&gt;&lt;wsp:rsid wsp:val=&quot;008B64EE&quot;/&gt;&lt;wsp:rsid wsp:val=&quot;008B66AE&quot;/&gt;&lt;wsp:rsid wsp:val=&quot;008B684A&quot;/&gt;&lt;wsp:rsid wsp:val=&quot;008B68C8&quot;/&gt;&lt;wsp:rsid wsp:val=&quot;008B6C4D&quot;/&gt;&lt;wsp:rsid wsp:val=&quot;008B707D&quot;/&gt;&lt;wsp:rsid wsp:val=&quot;008B7128&quot;/&gt;&lt;wsp:rsid wsp:val=&quot;008B721A&quot;/&gt;&lt;wsp:rsid wsp:val=&quot;008B7372&quot;/&gt;&lt;wsp:rsid wsp:val=&quot;008B7754&quot;/&gt;&lt;wsp:rsid wsp:val=&quot;008B7B30&quot;/&gt;&lt;wsp:rsid wsp:val=&quot;008C001E&quot;/&gt;&lt;wsp:rsid wsp:val=&quot;008C0054&quot;/&gt;&lt;wsp:rsid wsp:val=&quot;008C009A&quot;/&gt;&lt;wsp:rsid wsp:val=&quot;008C060D&quot;/&gt;&lt;wsp:rsid wsp:val=&quot;008C0C20&quot;/&gt;&lt;wsp:rsid wsp:val=&quot;008C1183&quot;/&gt;&lt;wsp:rsid wsp:val=&quot;008C15FC&quot;/&gt;&lt;wsp:rsid wsp:val=&quot;008C1822&quot;/&gt;&lt;wsp:rsid wsp:val=&quot;008C2159&quot;/&gt;&lt;wsp:rsid wsp:val=&quot;008C2169&quot;/&gt;&lt;wsp:rsid wsp:val=&quot;008C252A&quot;/&gt;&lt;wsp:rsid wsp:val=&quot;008C2A6F&quot;/&gt;&lt;wsp:rsid wsp:val=&quot;008C34B6&quot;/&gt;&lt;wsp:rsid wsp:val=&quot;008C3607&quot;/&gt;&lt;wsp:rsid wsp:val=&quot;008C368F&quot;/&gt;&lt;wsp:rsid wsp:val=&quot;008C37AE&quot;/&gt;&lt;wsp:rsid wsp:val=&quot;008C3A7D&quot;/&gt;&lt;wsp:rsid wsp:val=&quot;008C41A4&quot;/&gt;&lt;wsp:rsid wsp:val=&quot;008C4615&quot;/&gt;&lt;wsp:rsid wsp:val=&quot;008C4988&quot;/&gt;&lt;wsp:rsid wsp:val=&quot;008C4B14&quot;/&gt;&lt;wsp:rsid wsp:val=&quot;008C531B&quot;/&gt;&lt;wsp:rsid wsp:val=&quot;008C62A3&quot;/&gt;&lt;wsp:rsid wsp:val=&quot;008C69FF&quot;/&gt;&lt;wsp:rsid wsp:val=&quot;008C71B0&quot;/&gt;&lt;wsp:rsid wsp:val=&quot;008C7908&quot;/&gt;&lt;wsp:rsid wsp:val=&quot;008D0C56&quot;/&gt;&lt;wsp:rsid wsp:val=&quot;008D1292&quot;/&gt;&lt;wsp:rsid wsp:val=&quot;008D1940&quot;/&gt;&lt;wsp:rsid wsp:val=&quot;008D19EC&quot;/&gt;&lt;wsp:rsid wsp:val=&quot;008D21DF&quot;/&gt;&lt;wsp:rsid wsp:val=&quot;008D2530&quot;/&gt;&lt;wsp:rsid wsp:val=&quot;008D2719&quot;/&gt;&lt;wsp:rsid wsp:val=&quot;008D2989&quot;/&gt;&lt;wsp:rsid wsp:val=&quot;008D2BED&quot;/&gt;&lt;wsp:rsid wsp:val=&quot;008D2E1C&quot;/&gt;&lt;wsp:rsid wsp:val=&quot;008D2F07&quot;/&gt;&lt;wsp:rsid wsp:val=&quot;008D32EE&quot;/&gt;&lt;wsp:rsid wsp:val=&quot;008D3DF6&quot;/&gt;&lt;wsp:rsid wsp:val=&quot;008D4916&quot;/&gt;&lt;wsp:rsid wsp:val=&quot;008D4FC9&quot;/&gt;&lt;wsp:rsid wsp:val=&quot;008D52B2&quot;/&gt;&lt;wsp:rsid wsp:val=&quot;008D566D&quot;/&gt;&lt;wsp:rsid wsp:val=&quot;008D5AF6&quot;/&gt;&lt;wsp:rsid wsp:val=&quot;008D6026&quot;/&gt;&lt;wsp:rsid wsp:val=&quot;008D6199&quot;/&gt;&lt;wsp:rsid wsp:val=&quot;008D62AC&quot;/&gt;&lt;wsp:rsid wsp:val=&quot;008D672A&quot;/&gt;&lt;wsp:rsid wsp:val=&quot;008D68EB&quot;/&gt;&lt;wsp:rsid wsp:val=&quot;008D6989&quot;/&gt;&lt;wsp:rsid wsp:val=&quot;008D6B09&quot;/&gt;&lt;wsp:rsid wsp:val=&quot;008D6CA0&quot;/&gt;&lt;wsp:rsid wsp:val=&quot;008D6F7B&quot;/&gt;&lt;wsp:rsid wsp:val=&quot;008D735A&quot;/&gt;&lt;wsp:rsid wsp:val=&quot;008D73AD&quot;/&gt;&lt;wsp:rsid wsp:val=&quot;008D7C34&quot;/&gt;&lt;wsp:rsid wsp:val=&quot;008D7F1C&quot;/&gt;&lt;wsp:rsid wsp:val=&quot;008E001F&quot;/&gt;&lt;wsp:rsid wsp:val=&quot;008E0447&quot;/&gt;&lt;wsp:rsid wsp:val=&quot;008E09E0&quot;/&gt;&lt;wsp:rsid wsp:val=&quot;008E195A&quot;/&gt;&lt;wsp:rsid wsp:val=&quot;008E1DDD&quot;/&gt;&lt;wsp:rsid wsp:val=&quot;008E1F8B&quot;/&gt;&lt;wsp:rsid wsp:val=&quot;008E2AF4&quot;/&gt;&lt;wsp:rsid wsp:val=&quot;008E2B3E&quot;/&gt;&lt;wsp:rsid wsp:val=&quot;008E3056&quot;/&gt;&lt;wsp:rsid wsp:val=&quot;008E3526&quot;/&gt;&lt;wsp:rsid wsp:val=&quot;008E4011&quot;/&gt;&lt;wsp:rsid wsp:val=&quot;008E4431&quot;/&gt;&lt;wsp:rsid wsp:val=&quot;008E479D&quot;/&gt;&lt;wsp:rsid wsp:val=&quot;008E51EB&quot;/&gt;&lt;wsp:rsid wsp:val=&quot;008E5461&quot;/&gt;&lt;wsp:rsid wsp:val=&quot;008E5A50&quot;/&gt;&lt;wsp:rsid wsp:val=&quot;008E6615&quot;/&gt;&lt;wsp:rsid wsp:val=&quot;008E66C5&quot;/&gt;&lt;wsp:rsid wsp:val=&quot;008E7193&quot;/&gt;&lt;wsp:rsid wsp:val=&quot;008E71E2&quot;/&gt;&lt;wsp:rsid wsp:val=&quot;008E72C3&quot;/&gt;&lt;wsp:rsid wsp:val=&quot;008F021F&quot;/&gt;&lt;wsp:rsid wsp:val=&quot;008F03E8&quot;/&gt;&lt;wsp:rsid wsp:val=&quot;008F0559&quot;/&gt;&lt;wsp:rsid wsp:val=&quot;008F0AC6&quot;/&gt;&lt;wsp:rsid wsp:val=&quot;008F0AE4&quot;/&gt;&lt;wsp:rsid wsp:val=&quot;008F0C94&quot;/&gt;&lt;wsp:rsid wsp:val=&quot;008F10D7&quot;/&gt;&lt;wsp:rsid wsp:val=&quot;008F1433&quot;/&gt;&lt;wsp:rsid wsp:val=&quot;008F18B1&quot;/&gt;&lt;wsp:rsid wsp:val=&quot;008F1A40&quot;/&gt;&lt;wsp:rsid wsp:val=&quot;008F1A68&quot;/&gt;&lt;wsp:rsid wsp:val=&quot;008F2257&quot;/&gt;&lt;wsp:rsid wsp:val=&quot;008F2319&quot;/&gt;&lt;wsp:rsid wsp:val=&quot;008F26EA&quot;/&gt;&lt;wsp:rsid wsp:val=&quot;008F2A7D&quot;/&gt;&lt;wsp:rsid wsp:val=&quot;008F2B4B&quot;/&gt;&lt;wsp:rsid wsp:val=&quot;008F2FAA&quot;/&gt;&lt;wsp:rsid wsp:val=&quot;008F32DC&quot;/&gt;&lt;wsp:rsid wsp:val=&quot;008F3642&quot;/&gt;&lt;wsp:rsid wsp:val=&quot;008F3BE1&quot;/&gt;&lt;wsp:rsid wsp:val=&quot;008F3ED5&quot;/&gt;&lt;wsp:rsid wsp:val=&quot;008F40F2&quot;/&gt;&lt;wsp:rsid wsp:val=&quot;008F4954&quot;/&gt;&lt;wsp:rsid wsp:val=&quot;008F4F9B&quot;/&gt;&lt;wsp:rsid wsp:val=&quot;008F5433&quot;/&gt;&lt;wsp:rsid wsp:val=&quot;008F66D0&quot;/&gt;&lt;wsp:rsid wsp:val=&quot;008F677C&quot;/&gt;&lt;wsp:rsid wsp:val=&quot;008F6FEA&quot;/&gt;&lt;wsp:rsid wsp:val=&quot;008F746C&quot;/&gt;&lt;wsp:rsid wsp:val=&quot;008F7A17&quot;/&gt;&lt;wsp:rsid wsp:val=&quot;008F7A19&quot;/&gt;&lt;wsp:rsid wsp:val=&quot;008F7A57&quot;/&gt;&lt;wsp:rsid wsp:val=&quot;00900673&quot;/&gt;&lt;wsp:rsid wsp:val=&quot;009006F6&quot;/&gt;&lt;wsp:rsid wsp:val=&quot;00900A55&quot;/&gt;&lt;wsp:rsid wsp:val=&quot;009018E1&quot;/&gt;&lt;wsp:rsid wsp:val=&quot;00901DAA&quot;/&gt;&lt;wsp:rsid wsp:val=&quot;0090209F&quot;/&gt;&lt;wsp:rsid wsp:val=&quot;00902247&quot;/&gt;&lt;wsp:rsid wsp:val=&quot;00902787&quot;/&gt;&lt;wsp:rsid wsp:val=&quot;00902D44&quot;/&gt;&lt;wsp:rsid wsp:val=&quot;009030BD&quot;/&gt;&lt;wsp:rsid wsp:val=&quot;00903148&quot;/&gt;&lt;wsp:rsid wsp:val=&quot;00904681&quot;/&gt;&lt;wsp:rsid wsp:val=&quot;00904AA8&quot;/&gt;&lt;wsp:rsid wsp:val=&quot;009052C2&quot;/&gt;&lt;wsp:rsid wsp:val=&quot;00905529&quot;/&gt;&lt;wsp:rsid wsp:val=&quot;00905565&quot;/&gt;&lt;wsp:rsid wsp:val=&quot;009055D9&quot;/&gt;&lt;wsp:rsid wsp:val=&quot;00905999&quot;/&gt;&lt;wsp:rsid wsp:val=&quot;00905E93&quot;/&gt;&lt;wsp:rsid wsp:val=&quot;00906664&quot;/&gt;&lt;wsp:rsid wsp:val=&quot;0090675E&quot;/&gt;&lt;wsp:rsid wsp:val=&quot;0090688D&quot;/&gt;&lt;wsp:rsid wsp:val=&quot;009076E8&quot;/&gt;&lt;wsp:rsid wsp:val=&quot;00910433&quot;/&gt;&lt;wsp:rsid wsp:val=&quot;00910F00&quot;/&gt;&lt;wsp:rsid wsp:val=&quot;00911C91&quot;/&gt;&lt;wsp:rsid wsp:val=&quot;00911E44&quot;/&gt;&lt;wsp:rsid wsp:val=&quot;009124BF&quot;/&gt;&lt;wsp:rsid wsp:val=&quot;00912E6C&quot;/&gt;&lt;wsp:rsid wsp:val=&quot;0091301D&quot;/&gt;&lt;wsp:rsid wsp:val=&quot;00913472&quot;/&gt;&lt;wsp:rsid wsp:val=&quot;00913754&quot;/&gt;&lt;wsp:rsid wsp:val=&quot;009138AC&quot;/&gt;&lt;wsp:rsid wsp:val=&quot;009138C8&quot;/&gt;&lt;wsp:rsid wsp:val=&quot;00913C82&quot;/&gt;&lt;wsp:rsid wsp:val=&quot;00913D8C&quot;/&gt;&lt;wsp:rsid wsp:val=&quot;00913E0A&quot;/&gt;&lt;wsp:rsid wsp:val=&quot;009140AC&quot;/&gt;&lt;wsp:rsid wsp:val=&quot;0091443E&quot;/&gt;&lt;wsp:rsid wsp:val=&quot;0091452E&quot;/&gt;&lt;wsp:rsid wsp:val=&quot;009145B2&quot;/&gt;&lt;wsp:rsid wsp:val=&quot;0091493E&quot;/&gt;&lt;wsp:rsid wsp:val=&quot;00914E26&quot;/&gt;&lt;wsp:rsid wsp:val=&quot;00914F99&quot;/&gt;&lt;wsp:rsid wsp:val=&quot;009150B4&quot;/&gt;&lt;wsp:rsid wsp:val=&quot;0091607A&quot;/&gt;&lt;wsp:rsid wsp:val=&quot;0091652C&quot;/&gt;&lt;wsp:rsid wsp:val=&quot;0091698E&quot;/&gt;&lt;wsp:rsid wsp:val=&quot;00916B85&quot;/&gt;&lt;wsp:rsid wsp:val=&quot;00917156&quot;/&gt;&lt;wsp:rsid wsp:val=&quot;0091725A&quot;/&gt;&lt;wsp:rsid wsp:val=&quot;009172AD&quot;/&gt;&lt;wsp:rsid wsp:val=&quot;0091738F&quot;/&gt;&lt;wsp:rsid wsp:val=&quot;00917583&quot;/&gt;&lt;wsp:rsid wsp:val=&quot;00917C97&quot;/&gt;&lt;wsp:rsid wsp:val=&quot;00917F71&quot;/&gt;&lt;wsp:rsid wsp:val=&quot;00920195&quot;/&gt;&lt;wsp:rsid wsp:val=&quot;00920788&quot;/&gt;&lt;wsp:rsid wsp:val=&quot;009214A7&quot;/&gt;&lt;wsp:rsid wsp:val=&quot;009215C7&quot;/&gt;&lt;wsp:rsid wsp:val=&quot;00921AFE&quot;/&gt;&lt;wsp:rsid wsp:val=&quot;00921E15&quot;/&gt;&lt;wsp:rsid wsp:val=&quot;009223B4&quot;/&gt;&lt;wsp:rsid wsp:val=&quot;0092243B&quot;/&gt;&lt;wsp:rsid wsp:val=&quot;00922674&quot;/&gt;&lt;wsp:rsid wsp:val=&quot;00923E72&quot;/&gt;&lt;wsp:rsid wsp:val=&quot;00923FFC&quot;/&gt;&lt;wsp:rsid wsp:val=&quot;009245CF&quot;/&gt;&lt;wsp:rsid wsp:val=&quot;00924CA4&quot;/&gt;&lt;wsp:rsid wsp:val=&quot;00924DE7&quot;/&gt;&lt;wsp:rsid wsp:val=&quot;00924F20&quot;/&gt;&lt;wsp:rsid wsp:val=&quot;00925142&quot;/&gt;&lt;wsp:rsid wsp:val=&quot;0092569D&quot;/&gt;&lt;wsp:rsid wsp:val=&quot;009258D5&quot;/&gt;&lt;wsp:rsid wsp:val=&quot;00925D8F&quot;/&gt;&lt;wsp:rsid wsp:val=&quot;00926153&quot;/&gt;&lt;wsp:rsid wsp:val=&quot;00926704&quot;/&gt;&lt;wsp:rsid wsp:val=&quot;00926787&quot;/&gt;&lt;wsp:rsid wsp:val=&quot;00926F95&quot;/&gt;&lt;wsp:rsid wsp:val=&quot;009274E9&quot;/&gt;&lt;wsp:rsid wsp:val=&quot;00927615&quot;/&gt;&lt;wsp:rsid wsp:val=&quot;009277CE&quot;/&gt;&lt;wsp:rsid wsp:val=&quot;009278C3&quot;/&gt;&lt;wsp:rsid wsp:val=&quot;00930252&quot;/&gt;&lt;wsp:rsid wsp:val=&quot;009305BD&quot;/&gt;&lt;wsp:rsid wsp:val=&quot;00930968&quot;/&gt;&lt;wsp:rsid wsp:val=&quot;00930DD8&quot;/&gt;&lt;wsp:rsid wsp:val=&quot;00930F1B&quot;/&gt;&lt;wsp:rsid wsp:val=&quot;009318FA&quot;/&gt;&lt;wsp:rsid wsp:val=&quot;00932294&quot;/&gt;&lt;wsp:rsid wsp:val=&quot;00932B6D&quot;/&gt;&lt;wsp:rsid wsp:val=&quot;00932E24&quot;/&gt;&lt;wsp:rsid wsp:val=&quot;00932F4F&quot;/&gt;&lt;wsp:rsid wsp:val=&quot;009331E1&quot;/&gt;&lt;wsp:rsid wsp:val=&quot;00933233&quot;/&gt;&lt;wsp:rsid wsp:val=&quot;009334C8&quot;/&gt;&lt;wsp:rsid wsp:val=&quot;009342B8&quot;/&gt;&lt;wsp:rsid wsp:val=&quot;009348D4&quot;/&gt;&lt;wsp:rsid wsp:val=&quot;0093498E&quot;/&gt;&lt;wsp:rsid wsp:val=&quot;00935322&quot;/&gt;&lt;wsp:rsid wsp:val=&quot;00935501&quot;/&gt;&lt;wsp:rsid wsp:val=&quot;00935719&quot;/&gt;&lt;wsp:rsid wsp:val=&quot;0093578B&quot;/&gt;&lt;wsp:rsid wsp:val=&quot;00935F9A&quot;/&gt;&lt;wsp:rsid wsp:val=&quot;0093675C&quot;/&gt;&lt;wsp:rsid wsp:val=&quot;00936A1C&quot;/&gt;&lt;wsp:rsid wsp:val=&quot;00936C25&quot;/&gt;&lt;wsp:rsid wsp:val=&quot;009378B7&quot;/&gt;&lt;wsp:rsid wsp:val=&quot;009379B1&quot;/&gt;&lt;wsp:rsid wsp:val=&quot;00937DBC&quot;/&gt;&lt;wsp:rsid wsp:val=&quot;00940442&quot;/&gt;&lt;wsp:rsid wsp:val=&quot;00940F42&quot;/&gt;&lt;wsp:rsid wsp:val=&quot;009410AF&quot;/&gt;&lt;wsp:rsid wsp:val=&quot;0094127E&quot;/&gt;&lt;wsp:rsid wsp:val=&quot;0094130D&quot;/&gt;&lt;wsp:rsid wsp:val=&quot;00941397&quot;/&gt;&lt;wsp:rsid wsp:val=&quot;009413C3&quot;/&gt;&lt;wsp:rsid wsp:val=&quot;0094161D&quot;/&gt;&lt;wsp:rsid wsp:val=&quot;0094165D&quot;/&gt;&lt;wsp:rsid wsp:val=&quot;009417F7&quot;/&gt;&lt;wsp:rsid wsp:val=&quot;00941F29&quot;/&gt;&lt;wsp:rsid wsp:val=&quot;009424EB&quot;/&gt;&lt;wsp:rsid wsp:val=&quot;00942536&quot;/&gt;&lt;wsp:rsid wsp:val=&quot;00942883&quot;/&gt;&lt;wsp:rsid wsp:val=&quot;00942B93&quot;/&gt;&lt;wsp:rsid wsp:val=&quot;00942C2E&quot;/&gt;&lt;wsp:rsid wsp:val=&quot;00942D6B&quot;/&gt;&lt;wsp:rsid wsp:val=&quot;00942DE4&quot;/&gt;&lt;wsp:rsid wsp:val=&quot;009432BE&quot;/&gt;&lt;wsp:rsid wsp:val=&quot;00943DBB&quot;/&gt;&lt;wsp:rsid wsp:val=&quot;00944076&quot;/&gt;&lt;wsp:rsid wsp:val=&quot;009442CB&quot;/&gt;&lt;wsp:rsid wsp:val=&quot;009443C5&quot;/&gt;&lt;wsp:rsid wsp:val=&quot;00944797&quot;/&gt;&lt;wsp:rsid wsp:val=&quot;00944A1D&quot;/&gt;&lt;wsp:rsid wsp:val=&quot;00944B7A&quot;/&gt;&lt;wsp:rsid wsp:val=&quot;00945157&quot;/&gt;&lt;wsp:rsid wsp:val=&quot;009451CD&quot;/&gt;&lt;wsp:rsid wsp:val=&quot;00945637&quot;/&gt;&lt;wsp:rsid wsp:val=&quot;00945867&quot;/&gt;&lt;wsp:rsid wsp:val=&quot;00945F59&quot;/&gt;&lt;wsp:rsid wsp:val=&quot;009460F8&quot;/&gt;&lt;wsp:rsid wsp:val=&quot;00946A8E&quot;/&gt;&lt;wsp:rsid wsp:val=&quot;009470C6&quot;/&gt;&lt;wsp:rsid wsp:val=&quot;00947396&quot;/&gt;&lt;wsp:rsid wsp:val=&quot;00947675&quot;/&gt;&lt;wsp:rsid wsp:val=&quot;0094798D&quot;/&gt;&lt;wsp:rsid wsp:val=&quot;00947C74&quot;/&gt;&lt;wsp:rsid wsp:val=&quot;00947F25&quot;/&gt;&lt;wsp:rsid wsp:val=&quot;00950A3E&quot;/&gt;&lt;wsp:rsid wsp:val=&quot;00950B8F&quot;/&gt;&lt;wsp:rsid wsp:val=&quot;00950CBF&quot;/&gt;&lt;wsp:rsid wsp:val=&quot;009512F2&quot;/&gt;&lt;wsp:rsid wsp:val=&quot;0095133A&quot;/&gt;&lt;wsp:rsid wsp:val=&quot;0095187A&quot;/&gt;&lt;wsp:rsid wsp:val=&quot;00951DBB&quot;/&gt;&lt;wsp:rsid wsp:val=&quot;009521E9&quot;/&gt;&lt;wsp:rsid wsp:val=&quot;00952649&quot;/&gt;&lt;wsp:rsid wsp:val=&quot;009528FC&quot;/&gt;&lt;wsp:rsid wsp:val=&quot;0095348A&quot;/&gt;&lt;wsp:rsid wsp:val=&quot;00953899&quot;/&gt;&lt;wsp:rsid wsp:val=&quot;009538FB&quot;/&gt;&lt;wsp:rsid wsp:val=&quot;00953D2F&quot;/&gt;&lt;wsp:rsid wsp:val=&quot;009540F8&quot;/&gt;&lt;wsp:rsid wsp:val=&quot;00954115&quot;/&gt;&lt;wsp:rsid wsp:val=&quot;009543FD&quot;/&gt;&lt;wsp:rsid wsp:val=&quot;00954E33&quot;/&gt;&lt;wsp:rsid wsp:val=&quot;009551B2&quot;/&gt;&lt;wsp:rsid wsp:val=&quot;00955355&quot;/&gt;&lt;wsp:rsid wsp:val=&quot;00955FCA&quot;/&gt;&lt;wsp:rsid wsp:val=&quot;00956019&quot;/&gt;&lt;wsp:rsid wsp:val=&quot;009566C2&quot;/&gt;&lt;wsp:rsid wsp:val=&quot;009567AE&quot;/&gt;&lt;wsp:rsid wsp:val=&quot;00956BE4&quot;/&gt;&lt;wsp:rsid wsp:val=&quot;00956CCA&quot;/&gt;&lt;wsp:rsid wsp:val=&quot;00956E09&quot;/&gt;&lt;wsp:rsid wsp:val=&quot;0095731C&quot;/&gt;&lt;wsp:rsid wsp:val=&quot;009574D4&quot;/&gt;&lt;wsp:rsid wsp:val=&quot;00957603&quot;/&gt;&lt;wsp:rsid wsp:val=&quot;009579C3&quot;/&gt;&lt;wsp:rsid wsp:val=&quot;00960328&quot;/&gt;&lt;wsp:rsid wsp:val=&quot;00960433&quot;/&gt;&lt;wsp:rsid wsp:val=&quot;0096054B&quot;/&gt;&lt;wsp:rsid wsp:val=&quot;009606D5&quot;/&gt;&lt;wsp:rsid wsp:val=&quot;0096081C&quot;/&gt;&lt;wsp:rsid wsp:val=&quot;00960DA6&quot;/&gt;&lt;wsp:rsid wsp:val=&quot;00961322&quot;/&gt;&lt;wsp:rsid wsp:val=&quot;009618F3&quot;/&gt;&lt;wsp:rsid wsp:val=&quot;009622C6&quot;/&gt;&lt;wsp:rsid wsp:val=&quot;0096295F&quot;/&gt;&lt;wsp:rsid wsp:val=&quot;00962C9C&quot;/&gt;&lt;wsp:rsid wsp:val=&quot;0096321D&quot;/&gt;&lt;wsp:rsid wsp:val=&quot;0096322E&quot;/&gt;&lt;wsp:rsid wsp:val=&quot;00963335&quot;/&gt;&lt;wsp:rsid wsp:val=&quot;00963641&quot;/&gt;&lt;wsp:rsid wsp:val=&quot;00963875&quot;/&gt;&lt;wsp:rsid wsp:val=&quot;00963C8F&quot;/&gt;&lt;wsp:rsid wsp:val=&quot;00963ED6&quot;/&gt;&lt;wsp:rsid wsp:val=&quot;00964B5B&quot;/&gt;&lt;wsp:rsid wsp:val=&quot;00964C3B&quot;/&gt;&lt;wsp:rsid wsp:val=&quot;00964CC2&quot;/&gt;&lt;wsp:rsid wsp:val=&quot;00964FAD&quot;/&gt;&lt;wsp:rsid wsp:val=&quot;00965101&quot;/&gt;&lt;wsp:rsid wsp:val=&quot;0096561E&quot;/&gt;&lt;wsp:rsid wsp:val=&quot;00965B52&quot;/&gt;&lt;wsp:rsid wsp:val=&quot;00965F8B&quot;/&gt;&lt;wsp:rsid wsp:val=&quot;00965F9A&quot;/&gt;&lt;wsp:rsid wsp:val=&quot;0096657D&quot;/&gt;&lt;wsp:rsid wsp:val=&quot;009665E7&quot;/&gt;&lt;wsp:rsid wsp:val=&quot;009666AE&quot;/&gt;&lt;wsp:rsid wsp:val=&quot;009677C7&quot;/&gt;&lt;wsp:rsid wsp:val=&quot;009677F1&quot;/&gt;&lt;wsp:rsid wsp:val=&quot;00967B00&quot;/&gt;&lt;wsp:rsid wsp:val=&quot;009702E2&quot;/&gt;&lt;wsp:rsid wsp:val=&quot;00970446&quot;/&gt;&lt;wsp:rsid wsp:val=&quot;009708FB&quot;/&gt;&lt;wsp:rsid wsp:val=&quot;009709D6&quot;/&gt;&lt;wsp:rsid wsp:val=&quot;00970A36&quot;/&gt;&lt;wsp:rsid wsp:val=&quot;00970B6F&quot;/&gt;&lt;wsp:rsid wsp:val=&quot;00970DB1&quot;/&gt;&lt;wsp:rsid wsp:val=&quot;00971474&quot;/&gt;&lt;wsp:rsid wsp:val=&quot;00972173&quot;/&gt;&lt;wsp:rsid wsp:val=&quot;00972500&quot;/&gt;&lt;wsp:rsid wsp:val=&quot;009726BC&quot;/&gt;&lt;wsp:rsid wsp:val=&quot;00972A56&quot;/&gt;&lt;wsp:rsid wsp:val=&quot;0097314D&quot;/&gt;&lt;wsp:rsid wsp:val=&quot;00974009&quot;/&gt;&lt;wsp:rsid wsp:val=&quot;00974281&quot;/&gt;&lt;wsp:rsid wsp:val=&quot;00974385&quot;/&gt;&lt;wsp:rsid wsp:val=&quot;0097490F&quot;/&gt;&lt;wsp:rsid wsp:val=&quot;00974E70&quot;/&gt;&lt;wsp:rsid wsp:val=&quot;009751DE&quot;/&gt;&lt;wsp:rsid wsp:val=&quot;0097522C&quot;/&gt;&lt;wsp:rsid wsp:val=&quot;00975C40&quot;/&gt;&lt;wsp:rsid wsp:val=&quot;00976280&quot;/&gt;&lt;wsp:rsid wsp:val=&quot;009767B3&quot;/&gt;&lt;wsp:rsid wsp:val=&quot;00977339&quot;/&gt;&lt;wsp:rsid wsp:val=&quot;00977631&quot;/&gt;&lt;wsp:rsid wsp:val=&quot;00977768&quot;/&gt;&lt;wsp:rsid wsp:val=&quot;00977C81&quot;/&gt;&lt;wsp:rsid wsp:val=&quot;0098000F&quot;/&gt;&lt;wsp:rsid wsp:val=&quot;009809EF&quot;/&gt;&lt;wsp:rsid wsp:val=&quot;009815B0&quot;/&gt;&lt;wsp:rsid wsp:val=&quot;00981623&quot;/&gt;&lt;wsp:rsid wsp:val=&quot;00981770&quot;/&gt;&lt;wsp:rsid wsp:val=&quot;00982263&quot;/&gt;&lt;wsp:rsid wsp:val=&quot;009827FC&quot;/&gt;&lt;wsp:rsid wsp:val=&quot;00982EF3&quot;/&gt;&lt;wsp:rsid wsp:val=&quot;00983181&quot;/&gt;&lt;wsp:rsid wsp:val=&quot;009836FF&quot;/&gt;&lt;wsp:rsid wsp:val=&quot;00984331&quot;/&gt;&lt;wsp:rsid wsp:val=&quot;00984692&quot;/&gt;&lt;wsp:rsid wsp:val=&quot;009846D6&quot;/&gt;&lt;wsp:rsid wsp:val=&quot;00984F5C&quot;/&gt;&lt;wsp:rsid wsp:val=&quot;009854B8&quot;/&gt;&lt;wsp:rsid wsp:val=&quot;0098554A&quot;/&gt;&lt;wsp:rsid wsp:val=&quot;00985748&quot;/&gt;&lt;wsp:rsid wsp:val=&quot;009858AA&quot;/&gt;&lt;wsp:rsid wsp:val=&quot;009859E5&quot;/&gt;&lt;wsp:rsid wsp:val=&quot;00985A44&quot;/&gt;&lt;wsp:rsid wsp:val=&quot;00985AAA&quot;/&gt;&lt;wsp:rsid wsp:val=&quot;00985F05&quot;/&gt;&lt;wsp:rsid wsp:val=&quot;0098628D&quot;/&gt;&lt;wsp:rsid wsp:val=&quot;00986495&quot;/&gt;&lt;wsp:rsid wsp:val=&quot;00986C40&quot;/&gt;&lt;wsp:rsid wsp:val=&quot;00986CA7&quot;/&gt;&lt;wsp:rsid wsp:val=&quot;00986D53&quot;/&gt;&lt;wsp:rsid wsp:val=&quot;0098765D&quot;/&gt;&lt;wsp:rsid wsp:val=&quot;00987A80&quot;/&gt;&lt;wsp:rsid wsp:val=&quot;00987D3F&quot;/&gt;&lt;wsp:rsid wsp:val=&quot;00987EA3&quot;/&gt;&lt;wsp:rsid wsp:val=&quot;00990326&quot;/&gt;&lt;wsp:rsid wsp:val=&quot;0099062D&quot;/&gt;&lt;wsp:rsid wsp:val=&quot;00990807&quot;/&gt;&lt;wsp:rsid wsp:val=&quot;0099148B&quot;/&gt;&lt;wsp:rsid wsp:val=&quot;009918F8&quot;/&gt;&lt;wsp:rsid wsp:val=&quot;00992110&quot;/&gt;&lt;wsp:rsid wsp:val=&quot;00992722&quot;/&gt;&lt;wsp:rsid wsp:val=&quot;0099282B&quot;/&gt;&lt;wsp:rsid wsp:val=&quot;00992E70&quot;/&gt;&lt;wsp:rsid wsp:val=&quot;009934A0&quot;/&gt;&lt;wsp:rsid wsp:val=&quot;00993B9D&quot;/&gt;&lt;wsp:rsid wsp:val=&quot;00993DB7&quot;/&gt;&lt;wsp:rsid wsp:val=&quot;00994137&quot;/&gt;&lt;wsp:rsid wsp:val=&quot;00995038&quot;/&gt;&lt;wsp:rsid wsp:val=&quot;00995298&quot;/&gt;&lt;wsp:rsid wsp:val=&quot;0099529A&quot;/&gt;&lt;wsp:rsid wsp:val=&quot;009953D6&quot;/&gt;&lt;wsp:rsid wsp:val=&quot;00995538&quot;/&gt;&lt;wsp:rsid wsp:val=&quot;00995A2D&quot;/&gt;&lt;wsp:rsid wsp:val=&quot;00996523&quot;/&gt;&lt;wsp:rsid wsp:val=&quot;009967EC&quot;/&gt;&lt;wsp:rsid wsp:val=&quot;00996871&quot;/&gt;&lt;wsp:rsid wsp:val=&quot;00996B8F&quot;/&gt;&lt;wsp:rsid wsp:val=&quot;00996E38&quot;/&gt;&lt;wsp:rsid wsp:val=&quot;00997447&quot;/&gt;&lt;wsp:rsid wsp:val=&quot;0099746C&quot;/&gt;&lt;wsp:rsid wsp:val=&quot;00997889&quot;/&gt;&lt;wsp:rsid wsp:val=&quot;00997952&quot;/&gt;&lt;wsp:rsid wsp:val=&quot;00997F33&quot;/&gt;&lt;wsp:rsid wsp:val=&quot;009A00F8&quot;/&gt;&lt;wsp:rsid wsp:val=&quot;009A0194&quot;/&gt;&lt;wsp:rsid wsp:val=&quot;009A033A&quot;/&gt;&lt;wsp:rsid wsp:val=&quot;009A066E&quot;/&gt;&lt;wsp:rsid wsp:val=&quot;009A0D2D&quot;/&gt;&lt;wsp:rsid wsp:val=&quot;009A0EA0&quot;/&gt;&lt;wsp:rsid wsp:val=&quot;009A0F27&quot;/&gt;&lt;wsp:rsid wsp:val=&quot;009A1CA5&quot;/&gt;&lt;wsp:rsid wsp:val=&quot;009A1F94&quot;/&gt;&lt;wsp:rsid wsp:val=&quot;009A1FE0&quot;/&gt;&lt;wsp:rsid wsp:val=&quot;009A247B&quot;/&gt;&lt;wsp:rsid wsp:val=&quot;009A26EA&quot;/&gt;&lt;wsp:rsid wsp:val=&quot;009A2FB0&quot;/&gt;&lt;wsp:rsid wsp:val=&quot;009A33F1&quot;/&gt;&lt;wsp:rsid wsp:val=&quot;009A406A&quot;/&gt;&lt;wsp:rsid wsp:val=&quot;009A4086&quot;/&gt;&lt;wsp:rsid wsp:val=&quot;009A427E&quot;/&gt;&lt;wsp:rsid wsp:val=&quot;009A436C&quot;/&gt;&lt;wsp:rsid wsp:val=&quot;009A4C57&quot;/&gt;&lt;wsp:rsid wsp:val=&quot;009A52B6&quot;/&gt;&lt;wsp:rsid wsp:val=&quot;009A53DA&quot;/&gt;&lt;wsp:rsid wsp:val=&quot;009A5FCC&quot;/&gt;&lt;wsp:rsid wsp:val=&quot;009A5FD7&quot;/&gt;&lt;wsp:rsid wsp:val=&quot;009A615C&quot;/&gt;&lt;wsp:rsid wsp:val=&quot;009A75F6&quot;/&gt;&lt;wsp:rsid wsp:val=&quot;009A76F6&quot;/&gt;&lt;wsp:rsid wsp:val=&quot;009A77EF&quot;/&gt;&lt;wsp:rsid wsp:val=&quot;009A785D&quot;/&gt;&lt;wsp:rsid wsp:val=&quot;009A7B4C&quot;/&gt;&lt;wsp:rsid wsp:val=&quot;009B00BE&quot;/&gt;&lt;wsp:rsid wsp:val=&quot;009B06E8&quot;/&gt;&lt;wsp:rsid wsp:val=&quot;009B1412&quot;/&gt;&lt;wsp:rsid wsp:val=&quot;009B175C&quot;/&gt;&lt;wsp:rsid wsp:val=&quot;009B1AEA&quot;/&gt;&lt;wsp:rsid wsp:val=&quot;009B1ED9&quot;/&gt;&lt;wsp:rsid wsp:val=&quot;009B1FB2&quot;/&gt;&lt;wsp:rsid wsp:val=&quot;009B2950&quot;/&gt;&lt;wsp:rsid wsp:val=&quot;009B2A38&quot;/&gt;&lt;wsp:rsid wsp:val=&quot;009B31E2&quot;/&gt;&lt;wsp:rsid wsp:val=&quot;009B3BDB&quot;/&gt;&lt;wsp:rsid wsp:val=&quot;009B3E98&quot;/&gt;&lt;wsp:rsid wsp:val=&quot;009B4381&quot;/&gt;&lt;wsp:rsid wsp:val=&quot;009B4948&quot;/&gt;&lt;wsp:rsid wsp:val=&quot;009B5CEF&quot;/&gt;&lt;wsp:rsid wsp:val=&quot;009B62BC&quot;/&gt;&lt;wsp:rsid wsp:val=&quot;009B67DA&quot;/&gt;&lt;wsp:rsid wsp:val=&quot;009B6B01&quot;/&gt;&lt;wsp:rsid wsp:val=&quot;009B6D77&quot;/&gt;&lt;wsp:rsid wsp:val=&quot;009B70FC&quot;/&gt;&lt;wsp:rsid wsp:val=&quot;009B737F&quot;/&gt;&lt;wsp:rsid wsp:val=&quot;009B768C&quot;/&gt;&lt;wsp:rsid wsp:val=&quot;009B78FD&quot;/&gt;&lt;wsp:rsid wsp:val=&quot;009B7B0A&quot;/&gt;&lt;wsp:rsid wsp:val=&quot;009B7CC6&quot;/&gt;&lt;wsp:rsid wsp:val=&quot;009B7E01&quot;/&gt;&lt;wsp:rsid wsp:val=&quot;009B7F95&quot;/&gt;&lt;wsp:rsid wsp:val=&quot;009C0001&quot;/&gt;&lt;wsp:rsid wsp:val=&quot;009C006D&quot;/&gt;&lt;wsp:rsid wsp:val=&quot;009C0447&quot;/&gt;&lt;wsp:rsid wsp:val=&quot;009C0954&quot;/&gt;&lt;wsp:rsid wsp:val=&quot;009C0B5E&quot;/&gt;&lt;wsp:rsid wsp:val=&quot;009C0BC4&quot;/&gt;&lt;wsp:rsid wsp:val=&quot;009C0CD6&quot;/&gt;&lt;wsp:rsid wsp:val=&quot;009C11C1&quot;/&gt;&lt;wsp:rsid wsp:val=&quot;009C12A5&quot;/&gt;&lt;wsp:rsid wsp:val=&quot;009C1371&quot;/&gt;&lt;wsp:rsid wsp:val=&quot;009C1609&quot;/&gt;&lt;wsp:rsid wsp:val=&quot;009C1C83&quot;/&gt;&lt;wsp:rsid wsp:val=&quot;009C2399&quot;/&gt;&lt;wsp:rsid wsp:val=&quot;009C24A4&quot;/&gt;&lt;wsp:rsid wsp:val=&quot;009C270D&quot;/&gt;&lt;wsp:rsid wsp:val=&quot;009C2ABD&quot;/&gt;&lt;wsp:rsid wsp:val=&quot;009C2D41&quot;/&gt;&lt;wsp:rsid wsp:val=&quot;009C2FC0&quot;/&gt;&lt;wsp:rsid wsp:val=&quot;009C3067&quot;/&gt;&lt;wsp:rsid wsp:val=&quot;009C3533&quot;/&gt;&lt;wsp:rsid wsp:val=&quot;009C361B&quot;/&gt;&lt;wsp:rsid wsp:val=&quot;009C3933&quot;/&gt;&lt;wsp:rsid wsp:val=&quot;009C42B4&quot;/&gt;&lt;wsp:rsid wsp:val=&quot;009C48BE&quot;/&gt;&lt;wsp:rsid wsp:val=&quot;009C5027&quot;/&gt;&lt;wsp:rsid wsp:val=&quot;009C510C&quot;/&gt;&lt;wsp:rsid wsp:val=&quot;009C5530&quot;/&gt;&lt;wsp:rsid wsp:val=&quot;009C5756&quot;/&gt;&lt;wsp:rsid wsp:val=&quot;009C58CA&quot;/&gt;&lt;wsp:rsid wsp:val=&quot;009C58D6&quot;/&gt;&lt;wsp:rsid wsp:val=&quot;009C5D19&quot;/&gt;&lt;wsp:rsid wsp:val=&quot;009C6965&quot;/&gt;&lt;wsp:rsid wsp:val=&quot;009C6A73&quot;/&gt;&lt;wsp:rsid wsp:val=&quot;009C72F7&quot;/&gt;&lt;wsp:rsid wsp:val=&quot;009C7671&quot;/&gt;&lt;wsp:rsid wsp:val=&quot;009C7849&quot;/&gt;&lt;wsp:rsid wsp:val=&quot;009C7FF0&quot;/&gt;&lt;wsp:rsid wsp:val=&quot;009D0A08&quot;/&gt;&lt;wsp:rsid wsp:val=&quot;009D0B6A&quot;/&gt;&lt;wsp:rsid wsp:val=&quot;009D10BD&quot;/&gt;&lt;wsp:rsid wsp:val=&quot;009D19E4&quot;/&gt;&lt;wsp:rsid wsp:val=&quot;009D1A06&quot;/&gt;&lt;wsp:rsid wsp:val=&quot;009D1C3C&quot;/&gt;&lt;wsp:rsid wsp:val=&quot;009D2055&quot;/&gt;&lt;wsp:rsid wsp:val=&quot;009D273D&quot;/&gt;&lt;wsp:rsid wsp:val=&quot;009D2A84&quot;/&gt;&lt;wsp:rsid wsp:val=&quot;009D3231&quot;/&gt;&lt;wsp:rsid wsp:val=&quot;009D349D&quot;/&gt;&lt;wsp:rsid wsp:val=&quot;009D3591&quot;/&gt;&lt;wsp:rsid wsp:val=&quot;009D3862&quot;/&gt;&lt;wsp:rsid wsp:val=&quot;009D3C76&quot;/&gt;&lt;wsp:rsid wsp:val=&quot;009D3D0C&quot;/&gt;&lt;wsp:rsid wsp:val=&quot;009D3D6C&quot;/&gt;&lt;wsp:rsid wsp:val=&quot;009D3FEE&quot;/&gt;&lt;wsp:rsid wsp:val=&quot;009D4355&quot;/&gt;&lt;wsp:rsid wsp:val=&quot;009D4EE3&quot;/&gt;&lt;wsp:rsid wsp:val=&quot;009D5126&quot;/&gt;&lt;wsp:rsid wsp:val=&quot;009D5566&quot;/&gt;&lt;wsp:rsid wsp:val=&quot;009D5B36&quot;/&gt;&lt;wsp:rsid wsp:val=&quot;009D5BEE&quot;/&gt;&lt;wsp:rsid wsp:val=&quot;009D5F84&quot;/&gt;&lt;wsp:rsid wsp:val=&quot;009D62B6&quot;/&gt;&lt;wsp:rsid wsp:val=&quot;009D6617&quot;/&gt;&lt;wsp:rsid wsp:val=&quot;009D67B9&quot;/&gt;&lt;wsp:rsid wsp:val=&quot;009D6A31&quot;/&gt;&lt;wsp:rsid wsp:val=&quot;009D6CDE&quot;/&gt;&lt;wsp:rsid wsp:val=&quot;009D74EF&quot;/&gt;&lt;wsp:rsid wsp:val=&quot;009D7F92&quot;/&gt;&lt;wsp:rsid wsp:val=&quot;009E1225&quot;/&gt;&lt;wsp:rsid wsp:val=&quot;009E136A&quot;/&gt;&lt;wsp:rsid wsp:val=&quot;009E1399&quot;/&gt;&lt;wsp:rsid wsp:val=&quot;009E1632&quot;/&gt;&lt;wsp:rsid wsp:val=&quot;009E17B2&quot;/&gt;&lt;wsp:rsid wsp:val=&quot;009E18AB&quot;/&gt;&lt;wsp:rsid wsp:val=&quot;009E1BB0&quot;/&gt;&lt;wsp:rsid wsp:val=&quot;009E21CD&quot;/&gt;&lt;wsp:rsid wsp:val=&quot;009E225D&quot;/&gt;&lt;wsp:rsid wsp:val=&quot;009E2314&quot;/&gt;&lt;wsp:rsid wsp:val=&quot;009E25D2&quot;/&gt;&lt;wsp:rsid wsp:val=&quot;009E2737&quot;/&gt;&lt;wsp:rsid wsp:val=&quot;009E2CC9&quot;/&gt;&lt;wsp:rsid wsp:val=&quot;009E3181&quot;/&gt;&lt;wsp:rsid wsp:val=&quot;009E3192&quot;/&gt;&lt;wsp:rsid wsp:val=&quot;009E3400&quot;/&gt;&lt;wsp:rsid wsp:val=&quot;009E3933&quot;/&gt;&lt;wsp:rsid wsp:val=&quot;009E41A2&quot;/&gt;&lt;wsp:rsid wsp:val=&quot;009E41E0&quot;/&gt;&lt;wsp:rsid wsp:val=&quot;009E4459&quot;/&gt;&lt;wsp:rsid wsp:val=&quot;009E47CA&quot;/&gt;&lt;wsp:rsid wsp:val=&quot;009E56A2&quot;/&gt;&lt;wsp:rsid wsp:val=&quot;009E5D1D&quot;/&gt;&lt;wsp:rsid wsp:val=&quot;009E6321&quot;/&gt;&lt;wsp:rsid wsp:val=&quot;009E6762&quot;/&gt;&lt;wsp:rsid wsp:val=&quot;009E6979&quot;/&gt;&lt;wsp:rsid wsp:val=&quot;009E699D&quot;/&gt;&lt;wsp:rsid wsp:val=&quot;009E7342&quot;/&gt;&lt;wsp:rsid wsp:val=&quot;009E7922&quot;/&gt;&lt;wsp:rsid wsp:val=&quot;009F00D5&quot;/&gt;&lt;wsp:rsid wsp:val=&quot;009F09F4&quot;/&gt;&lt;wsp:rsid wsp:val=&quot;009F0BE1&quot;/&gt;&lt;wsp:rsid wsp:val=&quot;009F0F83&quot;/&gt;&lt;wsp:rsid wsp:val=&quot;009F135E&quot;/&gt;&lt;wsp:rsid wsp:val=&quot;009F2089&quot;/&gt;&lt;wsp:rsid wsp:val=&quot;009F2474&quot;/&gt;&lt;wsp:rsid wsp:val=&quot;009F25DE&quot;/&gt;&lt;wsp:rsid wsp:val=&quot;009F2731&quot;/&gt;&lt;wsp:rsid wsp:val=&quot;009F2A6C&quot;/&gt;&lt;wsp:rsid wsp:val=&quot;009F2EFE&quot;/&gt;&lt;wsp:rsid wsp:val=&quot;009F3128&quot;/&gt;&lt;wsp:rsid wsp:val=&quot;009F35C2&quot;/&gt;&lt;wsp:rsid wsp:val=&quot;009F3853&quot;/&gt;&lt;wsp:rsid wsp:val=&quot;009F3BDB&quot;/&gt;&lt;wsp:rsid wsp:val=&quot;009F4B13&quot;/&gt;&lt;wsp:rsid wsp:val=&quot;009F4C1D&quot;/&gt;&lt;wsp:rsid wsp:val=&quot;009F53C7&quot;/&gt;&lt;wsp:rsid wsp:val=&quot;009F5B5C&quot;/&gt;&lt;wsp:rsid wsp:val=&quot;009F743D&quot;/&gt;&lt;wsp:rsid wsp:val=&quot;00A00079&quot;/&gt;&lt;wsp:rsid wsp:val=&quot;00A003A1&quot;/&gt;&lt;wsp:rsid wsp:val=&quot;00A00B2C&quot;/&gt;&lt;wsp:rsid wsp:val=&quot;00A00FA2&quot;/&gt;&lt;wsp:rsid wsp:val=&quot;00A01103&quot;/&gt;&lt;wsp:rsid wsp:val=&quot;00A0120D&quot;/&gt;&lt;wsp:rsid wsp:val=&quot;00A01B20&quot;/&gt;&lt;wsp:rsid wsp:val=&quot;00A01C34&quot;/&gt;&lt;wsp:rsid wsp:val=&quot;00A021E2&quot;/&gt;&lt;wsp:rsid wsp:val=&quot;00A035FF&quot;/&gt;&lt;wsp:rsid wsp:val=&quot;00A0371D&quot;/&gt;&lt;wsp:rsid wsp:val=&quot;00A03A59&quot;/&gt;&lt;wsp:rsid wsp:val=&quot;00A03ACB&quot;/&gt;&lt;wsp:rsid wsp:val=&quot;00A03BB5&quot;/&gt;&lt;wsp:rsid wsp:val=&quot;00A03F77&quot;/&gt;&lt;wsp:rsid wsp:val=&quot;00A0427E&quot;/&gt;&lt;wsp:rsid wsp:val=&quot;00A042F8&quot;/&gt;&lt;wsp:rsid wsp:val=&quot;00A0452C&quot;/&gt;&lt;wsp:rsid wsp:val=&quot;00A046E7&quot;/&gt;&lt;wsp:rsid wsp:val=&quot;00A04B32&quot;/&gt;&lt;wsp:rsid wsp:val=&quot;00A04D0F&quot;/&gt;&lt;wsp:rsid wsp:val=&quot;00A04F77&quot;/&gt;&lt;wsp:rsid wsp:val=&quot;00A050F3&quot;/&gt;&lt;wsp:rsid wsp:val=&quot;00A05343&quot;/&gt;&lt;wsp:rsid wsp:val=&quot;00A053C7&quot;/&gt;&lt;wsp:rsid wsp:val=&quot;00A05677&quot;/&gt;&lt;wsp:rsid wsp:val=&quot;00A0591E&quot;/&gt;&lt;wsp:rsid wsp:val=&quot;00A05B4A&quot;/&gt;&lt;wsp:rsid wsp:val=&quot;00A05C2D&quot;/&gt;&lt;wsp:rsid wsp:val=&quot;00A06A03&quot;/&gt;&lt;wsp:rsid wsp:val=&quot;00A06BC1&quot;/&gt;&lt;wsp:rsid wsp:val=&quot;00A06C9D&quot;/&gt;&lt;wsp:rsid wsp:val=&quot;00A06DB5&quot;/&gt;&lt;wsp:rsid wsp:val=&quot;00A0748F&quot;/&gt;&lt;wsp:rsid wsp:val=&quot;00A079F1&quot;/&gt;&lt;wsp:rsid wsp:val=&quot;00A07B2C&quot;/&gt;&lt;wsp:rsid wsp:val=&quot;00A10D9B&quot;/&gt;&lt;wsp:rsid wsp:val=&quot;00A1145F&quot;/&gt;&lt;wsp:rsid wsp:val=&quot;00A11C52&quot;/&gt;&lt;wsp:rsid wsp:val=&quot;00A11C5C&quot;/&gt;&lt;wsp:rsid wsp:val=&quot;00A11D1F&quot;/&gt;&lt;wsp:rsid wsp:val=&quot;00A11D8C&quot;/&gt;&lt;wsp:rsid wsp:val=&quot;00A12172&quot;/&gt;&lt;wsp:rsid wsp:val=&quot;00A1222A&quot;/&gt;&lt;wsp:rsid wsp:val=&quot;00A12826&quot;/&gt;&lt;wsp:rsid wsp:val=&quot;00A12B42&quot;/&gt;&lt;wsp:rsid wsp:val=&quot;00A12F4B&quot;/&gt;&lt;wsp:rsid wsp:val=&quot;00A13143&quot;/&gt;&lt;wsp:rsid wsp:val=&quot;00A132CA&quot;/&gt;&lt;wsp:rsid wsp:val=&quot;00A1382C&quot;/&gt;&lt;wsp:rsid wsp:val=&quot;00A13CB4&quot;/&gt;&lt;wsp:rsid wsp:val=&quot;00A13ED1&quot;/&gt;&lt;wsp:rsid wsp:val=&quot;00A14295&quot;/&gt;&lt;wsp:rsid wsp:val=&quot;00A14943&quot;/&gt;&lt;wsp:rsid wsp:val=&quot;00A14F37&quot;/&gt;&lt;wsp:rsid wsp:val=&quot;00A15042&quot;/&gt;&lt;wsp:rsid wsp:val=&quot;00A1539F&quot;/&gt;&lt;wsp:rsid wsp:val=&quot;00A157CB&quot;/&gt;&lt;wsp:rsid wsp:val=&quot;00A15C90&quot;/&gt;&lt;wsp:rsid wsp:val=&quot;00A16650&quot;/&gt;&lt;wsp:rsid wsp:val=&quot;00A1679E&quot;/&gt;&lt;wsp:rsid wsp:val=&quot;00A167F7&quot;/&gt;&lt;wsp:rsid wsp:val=&quot;00A16F8F&quot;/&gt;&lt;wsp:rsid wsp:val=&quot;00A170BE&quot;/&gt;&lt;wsp:rsid wsp:val=&quot;00A17933&quot;/&gt;&lt;wsp:rsid wsp:val=&quot;00A17A3B&quot;/&gt;&lt;wsp:rsid wsp:val=&quot;00A17E2E&quot;/&gt;&lt;wsp:rsid wsp:val=&quot;00A17E9E&quot;/&gt;&lt;wsp:rsid wsp:val=&quot;00A17F35&quot;/&gt;&lt;wsp:rsid wsp:val=&quot;00A20289&quot;/&gt;&lt;wsp:rsid wsp:val=&quot;00A20639&quot;/&gt;&lt;wsp:rsid wsp:val=&quot;00A20776&quot;/&gt;&lt;wsp:rsid wsp:val=&quot;00A2117F&quot;/&gt;&lt;wsp:rsid wsp:val=&quot;00A21576&quot;/&gt;&lt;wsp:rsid wsp:val=&quot;00A2171D&quot;/&gt;&lt;wsp:rsid wsp:val=&quot;00A21B33&quot;/&gt;&lt;wsp:rsid wsp:val=&quot;00A21DCA&quot;/&gt;&lt;wsp:rsid wsp:val=&quot;00A22051&quot;/&gt;&lt;wsp:rsid wsp:val=&quot;00A2218B&quot;/&gt;&lt;wsp:rsid wsp:val=&quot;00A225B4&quot;/&gt;&lt;wsp:rsid wsp:val=&quot;00A2271E&quot;/&gt;&lt;wsp:rsid wsp:val=&quot;00A22F56&quot;/&gt;&lt;wsp:rsid wsp:val=&quot;00A22F88&quot;/&gt;&lt;wsp:rsid wsp:val=&quot;00A2308A&quot;/&gt;&lt;wsp:rsid wsp:val=&quot;00A23590&quot;/&gt;&lt;wsp:rsid wsp:val=&quot;00A238C6&quot;/&gt;&lt;wsp:rsid wsp:val=&quot;00A23A88&quot;/&gt;&lt;wsp:rsid wsp:val=&quot;00A2422C&quot;/&gt;&lt;wsp:rsid wsp:val=&quot;00A24560&quot;/&gt;&lt;wsp:rsid wsp:val=&quot;00A2545A&quot;/&gt;&lt;wsp:rsid wsp:val=&quot;00A2602E&quot;/&gt;&lt;wsp:rsid wsp:val=&quot;00A26074&quot;/&gt;&lt;wsp:rsid wsp:val=&quot;00A262C7&quot;/&gt;&lt;wsp:rsid wsp:val=&quot;00A268FA&quot;/&gt;&lt;wsp:rsid wsp:val=&quot;00A26F35&quot;/&gt;&lt;wsp:rsid wsp:val=&quot;00A273D4&quot;/&gt;&lt;wsp:rsid wsp:val=&quot;00A27E4F&quot;/&gt;&lt;wsp:rsid wsp:val=&quot;00A30547&quot;/&gt;&lt;wsp:rsid wsp:val=&quot;00A3120C&quot;/&gt;&lt;wsp:rsid wsp:val=&quot;00A3128D&quot;/&gt;&lt;wsp:rsid wsp:val=&quot;00A314D1&quot;/&gt;&lt;wsp:rsid wsp:val=&quot;00A31A46&quot;/&gt;&lt;wsp:rsid wsp:val=&quot;00A32C96&quot;/&gt;&lt;wsp:rsid wsp:val=&quot;00A32F8C&quot;/&gt;&lt;wsp:rsid wsp:val=&quot;00A337F3&quot;/&gt;&lt;wsp:rsid wsp:val=&quot;00A33B92&quot;/&gt;&lt;wsp:rsid wsp:val=&quot;00A33BE3&quot;/&gt;&lt;wsp:rsid wsp:val=&quot;00A33F6F&quot;/&gt;&lt;wsp:rsid wsp:val=&quot;00A34D3A&quot;/&gt;&lt;wsp:rsid wsp:val=&quot;00A35436&quot;/&gt;&lt;wsp:rsid wsp:val=&quot;00A35738&quot;/&gt;&lt;wsp:rsid wsp:val=&quot;00A359EA&quot;/&gt;&lt;wsp:rsid wsp:val=&quot;00A35D94&quot;/&gt;&lt;wsp:rsid wsp:val=&quot;00A366BA&quot;/&gt;&lt;wsp:rsid wsp:val=&quot;00A368E3&quot;/&gt;&lt;wsp:rsid wsp:val=&quot;00A3692B&quot;/&gt;&lt;wsp:rsid wsp:val=&quot;00A36B57&quot;/&gt;&lt;wsp:rsid wsp:val=&quot;00A3700D&quot;/&gt;&lt;wsp:rsid wsp:val=&quot;00A37631&quot;/&gt;&lt;wsp:rsid wsp:val=&quot;00A37781&quot;/&gt;&lt;wsp:rsid wsp:val=&quot;00A37CC5&quot;/&gt;&lt;wsp:rsid wsp:val=&quot;00A40B3E&quot;/&gt;&lt;wsp:rsid wsp:val=&quot;00A40D83&quot;/&gt;&lt;wsp:rsid wsp:val=&quot;00A40E71&quot;/&gt;&lt;wsp:rsid wsp:val=&quot;00A40FBA&quot;/&gt;&lt;wsp:rsid wsp:val=&quot;00A413DD&quot;/&gt;&lt;wsp:rsid wsp:val=&quot;00A41CCD&quot;/&gt;&lt;wsp:rsid wsp:val=&quot;00A42096&quot;/&gt;&lt;wsp:rsid wsp:val=&quot;00A4242B&quot;/&gt;&lt;wsp:rsid wsp:val=&quot;00A428EF&quot;/&gt;&lt;wsp:rsid wsp:val=&quot;00A4329F&quot;/&gt;&lt;wsp:rsid wsp:val=&quot;00A440DF&quot;/&gt;&lt;wsp:rsid wsp:val=&quot;00A44179&quot;/&gt;&lt;wsp:rsid wsp:val=&quot;00A44670&quot;/&gt;&lt;wsp:rsid wsp:val=&quot;00A44DA3&quot;/&gt;&lt;wsp:rsid wsp:val=&quot;00A44E6A&quot;/&gt;&lt;wsp:rsid wsp:val=&quot;00A44ED9&quot;/&gt;&lt;wsp:rsid wsp:val=&quot;00A4577B&quot;/&gt;&lt;wsp:rsid wsp:val=&quot;00A45CB1&quot;/&gt;&lt;wsp:rsid wsp:val=&quot;00A4666B&quot;/&gt;&lt;wsp:rsid wsp:val=&quot;00A4670E&quot;/&gt;&lt;wsp:rsid wsp:val=&quot;00A46945&quot;/&gt;&lt;wsp:rsid wsp:val=&quot;00A46C7F&quot;/&gt;&lt;wsp:rsid wsp:val=&quot;00A473F9&quot;/&gt;&lt;wsp:rsid wsp:val=&quot;00A47643&quot;/&gt;&lt;wsp:rsid wsp:val=&quot;00A477F7&quot;/&gt;&lt;wsp:rsid wsp:val=&quot;00A500FD&quot;/&gt;&lt;wsp:rsid wsp:val=&quot;00A50553&quot;/&gt;&lt;wsp:rsid wsp:val=&quot;00A50660&quot;/&gt;&lt;wsp:rsid wsp:val=&quot;00A5088A&quot;/&gt;&lt;wsp:rsid wsp:val=&quot;00A5096D&quot;/&gt;&lt;wsp:rsid wsp:val=&quot;00A511E0&quot;/&gt;&lt;wsp:rsid wsp:val=&quot;00A512A8&quot;/&gt;&lt;wsp:rsid wsp:val=&quot;00A514C9&quot;/&gt;&lt;wsp:rsid wsp:val=&quot;00A51952&quot;/&gt;&lt;wsp:rsid wsp:val=&quot;00A519DB&quot;/&gt;&lt;wsp:rsid wsp:val=&quot;00A51A02&quot;/&gt;&lt;wsp:rsid wsp:val=&quot;00A51AE9&quot;/&gt;&lt;wsp:rsid wsp:val=&quot;00A523BC&quot;/&gt;&lt;wsp:rsid wsp:val=&quot;00A528CB&quot;/&gt;&lt;wsp:rsid wsp:val=&quot;00A529D3&quot;/&gt;&lt;wsp:rsid wsp:val=&quot;00A52C2D&quot;/&gt;&lt;wsp:rsid wsp:val=&quot;00A52D14&quot;/&gt;&lt;wsp:rsid wsp:val=&quot;00A52F05&quot;/&gt;&lt;wsp:rsid wsp:val=&quot;00A52F13&quot;/&gt;&lt;wsp:rsid wsp:val=&quot;00A532B3&quot;/&gt;&lt;wsp:rsid wsp:val=&quot;00A53BFE&quot;/&gt;&lt;wsp:rsid wsp:val=&quot;00A540AE&quot;/&gt;&lt;wsp:rsid wsp:val=&quot;00A54192&quot;/&gt;&lt;wsp:rsid wsp:val=&quot;00A54C91&quot;/&gt;&lt;wsp:rsid wsp:val=&quot;00A54D24&quot;/&gt;&lt;wsp:rsid wsp:val=&quot;00A55178&quot;/&gt;&lt;wsp:rsid wsp:val=&quot;00A553ED&quot;/&gt;&lt;wsp:rsid wsp:val=&quot;00A5550C&quot;/&gt;&lt;wsp:rsid wsp:val=&quot;00A555FE&quot;/&gt;&lt;wsp:rsid wsp:val=&quot;00A5563C&quot;/&gt;&lt;wsp:rsid wsp:val=&quot;00A55896&quot;/&gt;&lt;wsp:rsid wsp:val=&quot;00A55D3B&quot;/&gt;&lt;wsp:rsid wsp:val=&quot;00A55EED&quot;/&gt;&lt;wsp:rsid wsp:val=&quot;00A560F1&quot;/&gt;&lt;wsp:rsid wsp:val=&quot;00A563C5&quot;/&gt;&lt;wsp:rsid wsp:val=&quot;00A56C1A&quot;/&gt;&lt;wsp:rsid wsp:val=&quot;00A56CF4&quot;/&gt;&lt;wsp:rsid wsp:val=&quot;00A5745B&quot;/&gt;&lt;wsp:rsid wsp:val=&quot;00A57647&quot;/&gt;&lt;wsp:rsid wsp:val=&quot;00A577CA&quot;/&gt;&lt;wsp:rsid wsp:val=&quot;00A578B1&quot;/&gt;&lt;wsp:rsid wsp:val=&quot;00A57933&quot;/&gt;&lt;wsp:rsid wsp:val=&quot;00A57CA1&quot;/&gt;&lt;wsp:rsid wsp:val=&quot;00A60921&quot;/&gt;&lt;wsp:rsid wsp:val=&quot;00A60AD1&quot;/&gt;&lt;wsp:rsid wsp:val=&quot;00A611EE&quot;/&gt;&lt;wsp:rsid wsp:val=&quot;00A61867&quot;/&gt;&lt;wsp:rsid wsp:val=&quot;00A61C2E&quot;/&gt;&lt;wsp:rsid wsp:val=&quot;00A61CF5&quot;/&gt;&lt;wsp:rsid wsp:val=&quot;00A6217D&quot;/&gt;&lt;wsp:rsid wsp:val=&quot;00A621AA&quot;/&gt;&lt;wsp:rsid wsp:val=&quot;00A62312&quot;/&gt;&lt;wsp:rsid wsp:val=&quot;00A62605&quot;/&gt;&lt;wsp:rsid wsp:val=&quot;00A62708&quot;/&gt;&lt;wsp:rsid wsp:val=&quot;00A62B02&quot;/&gt;&lt;wsp:rsid wsp:val=&quot;00A62B81&quot;/&gt;&lt;wsp:rsid wsp:val=&quot;00A63338&quot;/&gt;&lt;wsp:rsid wsp:val=&quot;00A6355E&quot;/&gt;&lt;wsp:rsid wsp:val=&quot;00A636D1&quot;/&gt;&lt;wsp:rsid wsp:val=&quot;00A63B3D&quot;/&gt;&lt;wsp:rsid wsp:val=&quot;00A63E7F&quot;/&gt;&lt;wsp:rsid wsp:val=&quot;00A63FAC&quot;/&gt;&lt;wsp:rsid wsp:val=&quot;00A646B6&quot;/&gt;&lt;wsp:rsid wsp:val=&quot;00A647EB&quot;/&gt;&lt;wsp:rsid wsp:val=&quot;00A65006&quot;/&gt;&lt;wsp:rsid wsp:val=&quot;00A6546B&quot;/&gt;&lt;wsp:rsid wsp:val=&quot;00A65AC9&quot;/&gt;&lt;wsp:rsid wsp:val=&quot;00A65B1F&quot;/&gt;&lt;wsp:rsid wsp:val=&quot;00A669C9&quot;/&gt;&lt;wsp:rsid wsp:val=&quot;00A66AF5&quot;/&gt;&lt;wsp:rsid wsp:val=&quot;00A670F8&quot;/&gt;&lt;wsp:rsid wsp:val=&quot;00A67A15&quot;/&gt;&lt;wsp:rsid wsp:val=&quot;00A67ACB&quot;/&gt;&lt;wsp:rsid wsp:val=&quot;00A67D19&quot;/&gt;&lt;wsp:rsid wsp:val=&quot;00A70388&quot;/&gt;&lt;wsp:rsid wsp:val=&quot;00A708B1&quot;/&gt;&lt;wsp:rsid wsp:val=&quot;00A7092F&quot;/&gt;&lt;wsp:rsid wsp:val=&quot;00A70FB9&quot;/&gt;&lt;wsp:rsid wsp:val=&quot;00A7142D&quot;/&gt;&lt;wsp:rsid wsp:val=&quot;00A72282&quot;/&gt;&lt;wsp:rsid wsp:val=&quot;00A72909&quot;/&gt;&lt;wsp:rsid wsp:val=&quot;00A72C0E&quot;/&gt;&lt;wsp:rsid wsp:val=&quot;00A72EE2&quot;/&gt;&lt;wsp:rsid wsp:val=&quot;00A731A9&quot;/&gt;&lt;wsp:rsid wsp:val=&quot;00A73448&quot;/&gt;&lt;wsp:rsid wsp:val=&quot;00A7372B&quot;/&gt;&lt;wsp:rsid wsp:val=&quot;00A73BA9&quot;/&gt;&lt;wsp:rsid wsp:val=&quot;00A73CFD&quot;/&gt;&lt;wsp:rsid wsp:val=&quot;00A742D0&quot;/&gt;&lt;wsp:rsid wsp:val=&quot;00A7573D&quot;/&gt;&lt;wsp:rsid wsp:val=&quot;00A76551&quot;/&gt;&lt;wsp:rsid wsp:val=&quot;00A766E6&quot;/&gt;&lt;wsp:rsid wsp:val=&quot;00A7695D&quot;/&gt;&lt;wsp:rsid wsp:val=&quot;00A76A04&quot;/&gt;&lt;wsp:rsid wsp:val=&quot;00A76AED&quot;/&gt;&lt;wsp:rsid wsp:val=&quot;00A76DCC&quot;/&gt;&lt;wsp:rsid wsp:val=&quot;00A770CE&quot;/&gt;&lt;wsp:rsid wsp:val=&quot;00A77389&quot;/&gt;&lt;wsp:rsid wsp:val=&quot;00A7762A&quot;/&gt;&lt;wsp:rsid wsp:val=&quot;00A77BC7&quot;/&gt;&lt;wsp:rsid wsp:val=&quot;00A77D57&quot;/&gt;&lt;wsp:rsid wsp:val=&quot;00A77E07&quot;/&gt;&lt;wsp:rsid wsp:val=&quot;00A80457&quot;/&gt;&lt;wsp:rsid wsp:val=&quot;00A80E5E&quot;/&gt;&lt;wsp:rsid wsp:val=&quot;00A8101E&quot;/&gt;&lt;wsp:rsid wsp:val=&quot;00A8145D&quot;/&gt;&lt;wsp:rsid wsp:val=&quot;00A81AE8&quot;/&gt;&lt;wsp:rsid wsp:val=&quot;00A81F5C&quot;/&gt;&lt;wsp:rsid wsp:val=&quot;00A8204D&quot;/&gt;&lt;wsp:rsid wsp:val=&quot;00A8241B&quot;/&gt;&lt;wsp:rsid wsp:val=&quot;00A82AF9&quot;/&gt;&lt;wsp:rsid wsp:val=&quot;00A832F4&quot;/&gt;&lt;wsp:rsid wsp:val=&quot;00A83964&quot;/&gt;&lt;wsp:rsid wsp:val=&quot;00A83972&quot;/&gt;&lt;wsp:rsid wsp:val=&quot;00A83C83&quot;/&gt;&lt;wsp:rsid wsp:val=&quot;00A83FEC&quot;/&gt;&lt;wsp:rsid wsp:val=&quot;00A840FE&quot;/&gt;&lt;wsp:rsid wsp:val=&quot;00A84602&quot;/&gt;&lt;wsp:rsid wsp:val=&quot;00A849C1&quot;/&gt;&lt;wsp:rsid wsp:val=&quot;00A84EA4&quot;/&gt;&lt;wsp:rsid wsp:val=&quot;00A85615&quot;/&gt;&lt;wsp:rsid wsp:val=&quot;00A85686&quot;/&gt;&lt;wsp:rsid wsp:val=&quot;00A85AC7&quot;/&gt;&lt;wsp:rsid wsp:val=&quot;00A86CA2&quot;/&gt;&lt;wsp:rsid wsp:val=&quot;00A8725B&quot;/&gt;&lt;wsp:rsid wsp:val=&quot;00A87443&quot;/&gt;&lt;wsp:rsid wsp:val=&quot;00A87D9B&quot;/&gt;&lt;wsp:rsid wsp:val=&quot;00A90DA6&quot;/&gt;&lt;wsp:rsid wsp:val=&quot;00A91D74&quot;/&gt;&lt;wsp:rsid wsp:val=&quot;00A91E13&quot;/&gt;&lt;wsp:rsid wsp:val=&quot;00A9280F&quot;/&gt;&lt;wsp:rsid wsp:val=&quot;00A92CF1&quot;/&gt;&lt;wsp:rsid wsp:val=&quot;00A92E21&quot;/&gt;&lt;wsp:rsid wsp:val=&quot;00A92EAF&quot;/&gt;&lt;wsp:rsid wsp:val=&quot;00A93183&quot;/&gt;&lt;wsp:rsid wsp:val=&quot;00A932E6&quot;/&gt;&lt;wsp:rsid wsp:val=&quot;00A934AD&quot;/&gt;&lt;wsp:rsid wsp:val=&quot;00A93756&quot;/&gt;&lt;wsp:rsid wsp:val=&quot;00A939A3&quot;/&gt;&lt;wsp:rsid wsp:val=&quot;00A939E0&quot;/&gt;&lt;wsp:rsid wsp:val=&quot;00A93A0B&quot;/&gt;&lt;wsp:rsid wsp:val=&quot;00A93ED3&quot;/&gt;&lt;wsp:rsid wsp:val=&quot;00A9402B&quot;/&gt;&lt;wsp:rsid wsp:val=&quot;00A94217&quot;/&gt;&lt;wsp:rsid wsp:val=&quot;00A94458&quot;/&gt;&lt;wsp:rsid wsp:val=&quot;00A94AA1&quot;/&gt;&lt;wsp:rsid wsp:val=&quot;00A94ACA&quot;/&gt;&lt;wsp:rsid wsp:val=&quot;00A9526C&quot;/&gt;&lt;wsp:rsid wsp:val=&quot;00A9573C&quot;/&gt;&lt;wsp:rsid wsp:val=&quot;00A957C3&quot;/&gt;&lt;wsp:rsid wsp:val=&quot;00A95860&quot;/&gt;&lt;wsp:rsid wsp:val=&quot;00A958A9&quot;/&gt;&lt;wsp:rsid wsp:val=&quot;00A95910&quot;/&gt;&lt;wsp:rsid wsp:val=&quot;00A95D10&quot;/&gt;&lt;wsp:rsid wsp:val=&quot;00A95EC7&quot;/&gt;&lt;wsp:rsid wsp:val=&quot;00A9643A&quot;/&gt;&lt;wsp:rsid wsp:val=&quot;00A9707F&quot;/&gt;&lt;wsp:rsid wsp:val=&quot;00A97760&quot;/&gt;&lt;wsp:rsid wsp:val=&quot;00A97804&quot;/&gt;&lt;wsp:rsid wsp:val=&quot;00A97922&quot;/&gt;&lt;wsp:rsid wsp:val=&quot;00A979B9&quot;/&gt;&lt;wsp:rsid wsp:val=&quot;00A97BE0&quot;/&gt;&lt;wsp:rsid wsp:val=&quot;00A97EBC&quot;/&gt;&lt;wsp:rsid wsp:val=&quot;00AA0646&quot;/&gt;&lt;wsp:rsid wsp:val=&quot;00AA06FC&quot;/&gt;&lt;wsp:rsid wsp:val=&quot;00AA16C8&quot;/&gt;&lt;wsp:rsid wsp:val=&quot;00AA1B83&quot;/&gt;&lt;wsp:rsid wsp:val=&quot;00AA1C2B&quot;/&gt;&lt;wsp:rsid wsp:val=&quot;00AA1DD5&quot;/&gt;&lt;wsp:rsid wsp:val=&quot;00AA25B4&quot;/&gt;&lt;wsp:rsid wsp:val=&quot;00AA25C9&quot;/&gt;&lt;wsp:rsid wsp:val=&quot;00AA3C0D&quot;/&gt;&lt;wsp:rsid wsp:val=&quot;00AA4063&quot;/&gt;&lt;wsp:rsid wsp:val=&quot;00AA42E3&quot;/&gt;&lt;wsp:rsid wsp:val=&quot;00AA438C&quot;/&gt;&lt;wsp:rsid wsp:val=&quot;00AA4493&quot;/&gt;&lt;wsp:rsid wsp:val=&quot;00AA457F&quot;/&gt;&lt;wsp:rsid wsp:val=&quot;00AA4631&quot;/&gt;&lt;wsp:rsid wsp:val=&quot;00AA489C&quot;/&gt;&lt;wsp:rsid wsp:val=&quot;00AA494A&quot;/&gt;&lt;wsp:rsid wsp:val=&quot;00AA502F&quot;/&gt;&lt;wsp:rsid wsp:val=&quot;00AA538E&quot;/&gt;&lt;wsp:rsid wsp:val=&quot;00AA53DD&quot;/&gt;&lt;wsp:rsid wsp:val=&quot;00AA53FB&quot;/&gt;&lt;wsp:rsid wsp:val=&quot;00AA6234&quot;/&gt;&lt;wsp:rsid wsp:val=&quot;00AA6437&quot;/&gt;&lt;wsp:rsid wsp:val=&quot;00AA64B1&quot;/&gt;&lt;wsp:rsid wsp:val=&quot;00AA6C67&quot;/&gt;&lt;wsp:rsid wsp:val=&quot;00AA705C&quot;/&gt;&lt;wsp:rsid wsp:val=&quot;00AA72AF&quot;/&gt;&lt;wsp:rsid wsp:val=&quot;00AA7848&quot;/&gt;&lt;wsp:rsid wsp:val=&quot;00AA7856&quot;/&gt;&lt;wsp:rsid wsp:val=&quot;00AA7863&quot;/&gt;&lt;wsp:rsid wsp:val=&quot;00AA7890&quot;/&gt;&lt;wsp:rsid wsp:val=&quot;00AA78B4&quot;/&gt;&lt;wsp:rsid wsp:val=&quot;00AA7954&quot;/&gt;&lt;wsp:rsid wsp:val=&quot;00AA7C43&quot;/&gt;&lt;wsp:rsid wsp:val=&quot;00AA7CE3&quot;/&gt;&lt;wsp:rsid wsp:val=&quot;00AA7FB6&quot;/&gt;&lt;wsp:rsid wsp:val=&quot;00AB0247&quot;/&gt;&lt;wsp:rsid wsp:val=&quot;00AB0267&quot;/&gt;&lt;wsp:rsid wsp:val=&quot;00AB0652&quot;/&gt;&lt;wsp:rsid wsp:val=&quot;00AB0762&quot;/&gt;&lt;wsp:rsid wsp:val=&quot;00AB1276&quot;/&gt;&lt;wsp:rsid wsp:val=&quot;00AB17BB&quot;/&gt;&lt;wsp:rsid wsp:val=&quot;00AB1C8B&quot;/&gt;&lt;wsp:rsid wsp:val=&quot;00AB264A&quot;/&gt;&lt;wsp:rsid wsp:val=&quot;00AB2796&quot;/&gt;&lt;wsp:rsid wsp:val=&quot;00AB2DB2&quot;/&gt;&lt;wsp:rsid wsp:val=&quot;00AB3604&quot;/&gt;&lt;wsp:rsid wsp:val=&quot;00AB3752&quot;/&gt;&lt;wsp:rsid wsp:val=&quot;00AB37C6&quot;/&gt;&lt;wsp:rsid wsp:val=&quot;00AB3A50&quot;/&gt;&lt;wsp:rsid wsp:val=&quot;00AB3AE9&quot;/&gt;&lt;wsp:rsid wsp:val=&quot;00AB3BB7&quot;/&gt;&lt;wsp:rsid wsp:val=&quot;00AB3BC4&quot;/&gt;&lt;wsp:rsid wsp:val=&quot;00AB3ED2&quot;/&gt;&lt;wsp:rsid wsp:val=&quot;00AB4121&quot;/&gt;&lt;wsp:rsid wsp:val=&quot;00AB5A60&quot;/&gt;&lt;wsp:rsid wsp:val=&quot;00AB639D&quot;/&gt;&lt;wsp:rsid wsp:val=&quot;00AB65A0&quot;/&gt;&lt;wsp:rsid wsp:val=&quot;00AB6C83&quot;/&gt;&lt;wsp:rsid wsp:val=&quot;00AB73FF&quot;/&gt;&lt;wsp:rsid wsp:val=&quot;00AB7672&quot;/&gt;&lt;wsp:rsid wsp:val=&quot;00AB7743&quot;/&gt;&lt;wsp:rsid wsp:val=&quot;00AB7D57&quot;/&gt;&lt;wsp:rsid wsp:val=&quot;00AC0D16&quot;/&gt;&lt;wsp:rsid wsp:val=&quot;00AC14FD&quot;/&gt;&lt;wsp:rsid wsp:val=&quot;00AC1A69&quot;/&gt;&lt;wsp:rsid wsp:val=&quot;00AC1DBC&quot;/&gt;&lt;wsp:rsid wsp:val=&quot;00AC1F01&quot;/&gt;&lt;wsp:rsid wsp:val=&quot;00AC23A1&quot;/&gt;&lt;wsp:rsid wsp:val=&quot;00AC2A32&quot;/&gt;&lt;wsp:rsid wsp:val=&quot;00AC3AFE&quot;/&gt;&lt;wsp:rsid wsp:val=&quot;00AC3B8D&quot;/&gt;&lt;wsp:rsid wsp:val=&quot;00AC3BBD&quot;/&gt;&lt;wsp:rsid wsp:val=&quot;00AC4359&quot;/&gt;&lt;wsp:rsid wsp:val=&quot;00AC44C9&quot;/&gt;&lt;wsp:rsid wsp:val=&quot;00AC472D&quot;/&gt;&lt;wsp:rsid wsp:val=&quot;00AC47B2&quot;/&gt;&lt;wsp:rsid wsp:val=&quot;00AC4C2B&quot;/&gt;&lt;wsp:rsid wsp:val=&quot;00AC4FF1&quot;/&gt;&lt;wsp:rsid wsp:val=&quot;00AC5879&quot;/&gt;&lt;wsp:rsid wsp:val=&quot;00AC6391&quot;/&gt;&lt;wsp:rsid wsp:val=&quot;00AC6CD0&quot;/&gt;&lt;wsp:rsid wsp:val=&quot;00AC71C8&quot;/&gt;&lt;wsp:rsid wsp:val=&quot;00AC71C9&quot;/&gt;&lt;wsp:rsid wsp:val=&quot;00AC75FF&quot;/&gt;&lt;wsp:rsid wsp:val=&quot;00AC7B41&quot;/&gt;&lt;wsp:rsid wsp:val=&quot;00AD005E&quot;/&gt;&lt;wsp:rsid wsp:val=&quot;00AD0115&quot;/&gt;&lt;wsp:rsid wsp:val=&quot;00AD0C33&quot;/&gt;&lt;wsp:rsid wsp:val=&quot;00AD1701&quot;/&gt;&lt;wsp:rsid wsp:val=&quot;00AD1B71&quot;/&gt;&lt;wsp:rsid wsp:val=&quot;00AD1B8E&quot;/&gt;&lt;wsp:rsid wsp:val=&quot;00AD26FB&quot;/&gt;&lt;wsp:rsid wsp:val=&quot;00AD270A&quot;/&gt;&lt;wsp:rsid wsp:val=&quot;00AD2DD9&quot;/&gt;&lt;wsp:rsid wsp:val=&quot;00AD33E4&quot;/&gt;&lt;wsp:rsid wsp:val=&quot;00AD360C&quot;/&gt;&lt;wsp:rsid wsp:val=&quot;00AD36A2&quot;/&gt;&lt;wsp:rsid wsp:val=&quot;00AD3954&quot;/&gt;&lt;wsp:rsid wsp:val=&quot;00AD3B49&quot;/&gt;&lt;wsp:rsid wsp:val=&quot;00AD3BD7&quot;/&gt;&lt;wsp:rsid wsp:val=&quot;00AD3DAB&quot;/&gt;&lt;wsp:rsid wsp:val=&quot;00AD3EB4&quot;/&gt;&lt;wsp:rsid wsp:val=&quot;00AD44B0&quot;/&gt;&lt;wsp:rsid wsp:val=&quot;00AD4B01&quot;/&gt;&lt;wsp:rsid wsp:val=&quot;00AD4CA5&quot;/&gt;&lt;wsp:rsid wsp:val=&quot;00AD4ED8&quot;/&gt;&lt;wsp:rsid wsp:val=&quot;00AD552C&quot;/&gt;&lt;wsp:rsid wsp:val=&quot;00AD5826&quot;/&gt;&lt;wsp:rsid wsp:val=&quot;00AD5996&quot;/&gt;&lt;wsp:rsid wsp:val=&quot;00AD65B1&quot;/&gt;&lt;wsp:rsid wsp:val=&quot;00AD6827&quot;/&gt;&lt;wsp:rsid wsp:val=&quot;00AD6CE9&quot;/&gt;&lt;wsp:rsid wsp:val=&quot;00AD7107&quot;/&gt;&lt;wsp:rsid wsp:val=&quot;00AD73D2&quot;/&gt;&lt;wsp:rsid wsp:val=&quot;00AD74DF&quot;/&gt;&lt;wsp:rsid wsp:val=&quot;00AD74E1&quot;/&gt;&lt;wsp:rsid wsp:val=&quot;00AD76C7&quot;/&gt;&lt;wsp:rsid wsp:val=&quot;00AD7771&quot;/&gt;&lt;wsp:rsid wsp:val=&quot;00AD7853&quot;/&gt;&lt;wsp:rsid wsp:val=&quot;00AD78B7&quot;/&gt;&lt;wsp:rsid wsp:val=&quot;00AD7BA6&quot;/&gt;&lt;wsp:rsid wsp:val=&quot;00AD7D3A&quot;/&gt;&lt;wsp:rsid wsp:val=&quot;00AD7E34&quot;/&gt;&lt;wsp:rsid wsp:val=&quot;00AE03CB&quot;/&gt;&lt;wsp:rsid wsp:val=&quot;00AE060D&quot;/&gt;&lt;wsp:rsid wsp:val=&quot;00AE0730&quot;/&gt;&lt;wsp:rsid wsp:val=&quot;00AE1414&quot;/&gt;&lt;wsp:rsid wsp:val=&quot;00AE16BD&quot;/&gt;&lt;wsp:rsid wsp:val=&quot;00AE1815&quot;/&gt;&lt;wsp:rsid wsp:val=&quot;00AE1AD9&quot;/&gt;&lt;wsp:rsid wsp:val=&quot;00AE22FE&quot;/&gt;&lt;wsp:rsid wsp:val=&quot;00AE2719&quot;/&gt;&lt;wsp:rsid wsp:val=&quot;00AE2EB2&quot;/&gt;&lt;wsp:rsid wsp:val=&quot;00AE3406&quot;/&gt;&lt;wsp:rsid wsp:val=&quot;00AE3873&quot;/&gt;&lt;wsp:rsid wsp:val=&quot;00AE3B88&quot;/&gt;&lt;wsp:rsid wsp:val=&quot;00AE3FFD&quot;/&gt;&lt;wsp:rsid wsp:val=&quot;00AE4C4B&quot;/&gt;&lt;wsp:rsid wsp:val=&quot;00AE5507&quot;/&gt;&lt;wsp:rsid wsp:val=&quot;00AE5AA2&quot;/&gt;&lt;wsp:rsid wsp:val=&quot;00AE5AA7&quot;/&gt;&lt;wsp:rsid wsp:val=&quot;00AE6327&quot;/&gt;&lt;wsp:rsid wsp:val=&quot;00AE654F&quot;/&gt;&lt;wsp:rsid wsp:val=&quot;00AE6F94&quot;/&gt;&lt;wsp:rsid wsp:val=&quot;00AE7387&quot;/&gt;&lt;wsp:rsid wsp:val=&quot;00AE7614&quot;/&gt;&lt;wsp:rsid wsp:val=&quot;00AE76B7&quot;/&gt;&lt;wsp:rsid wsp:val=&quot;00AE7F41&quot;/&gt;&lt;wsp:rsid wsp:val=&quot;00AE7F77&quot;/&gt;&lt;wsp:rsid wsp:val=&quot;00AF007A&quot;/&gt;&lt;wsp:rsid wsp:val=&quot;00AF0423&quot;/&gt;&lt;wsp:rsid wsp:val=&quot;00AF068C&quot;/&gt;&lt;wsp:rsid wsp:val=&quot;00AF0A02&quot;/&gt;&lt;wsp:rsid wsp:val=&quot;00AF0EC7&quot;/&gt;&lt;wsp:rsid wsp:val=&quot;00AF1558&quot;/&gt;&lt;wsp:rsid wsp:val=&quot;00AF175A&quot;/&gt;&lt;wsp:rsid wsp:val=&quot;00AF18C9&quot;/&gt;&lt;wsp:rsid wsp:val=&quot;00AF1E20&quot;/&gt;&lt;wsp:rsid wsp:val=&quot;00AF2379&quot;/&gt;&lt;wsp:rsid wsp:val=&quot;00AF2872&quot;/&gt;&lt;wsp:rsid wsp:val=&quot;00AF2950&quot;/&gt;&lt;wsp:rsid wsp:val=&quot;00AF2F18&quot;/&gt;&lt;wsp:rsid wsp:val=&quot;00AF40E6&quot;/&gt;&lt;wsp:rsid wsp:val=&quot;00AF4150&quot;/&gt;&lt;wsp:rsid wsp:val=&quot;00AF422B&quot;/&gt;&lt;wsp:rsid wsp:val=&quot;00AF4441&quot;/&gt;&lt;wsp:rsid wsp:val=&quot;00AF47BF&quot;/&gt;&lt;wsp:rsid wsp:val=&quot;00AF4A3C&quot;/&gt;&lt;wsp:rsid wsp:val=&quot;00AF4D1B&quot;/&gt;&lt;wsp:rsid wsp:val=&quot;00AF4DF1&quot;/&gt;&lt;wsp:rsid wsp:val=&quot;00AF5578&quot;/&gt;&lt;wsp:rsid wsp:val=&quot;00AF565E&quot;/&gt;&lt;wsp:rsid wsp:val=&quot;00AF5DAA&quot;/&gt;&lt;wsp:rsid wsp:val=&quot;00AF5DEB&quot;/&gt;&lt;wsp:rsid wsp:val=&quot;00AF66D6&quot;/&gt;&lt;wsp:rsid wsp:val=&quot;00AF695E&quot;/&gt;&lt;wsp:rsid wsp:val=&quot;00AF6D47&quot;/&gt;&lt;wsp:rsid wsp:val=&quot;00AF6D7C&quot;/&gt;&lt;wsp:rsid wsp:val=&quot;00AF6F95&quot;/&gt;&lt;wsp:rsid wsp:val=&quot;00AF71BE&quot;/&gt;&lt;wsp:rsid wsp:val=&quot;00AF7D9B&quot;/&gt;&lt;wsp:rsid wsp:val=&quot;00AF7E13&quot;/&gt;&lt;wsp:rsid wsp:val=&quot;00AF7F40&quot;/&gt;&lt;wsp:rsid wsp:val=&quot;00B00502&quot;/&gt;&lt;wsp:rsid wsp:val=&quot;00B0051B&quot;/&gt;&lt;wsp:rsid wsp:val=&quot;00B0075C&quot;/&gt;&lt;wsp:rsid wsp:val=&quot;00B009A9&quot;/&gt;&lt;wsp:rsid wsp:val=&quot;00B01251&quot;/&gt;&lt;wsp:rsid wsp:val=&quot;00B015A7&quot;/&gt;&lt;wsp:rsid wsp:val=&quot;00B022A1&quot;/&gt;&lt;wsp:rsid wsp:val=&quot;00B031E5&quot;/&gt;&lt;wsp:rsid wsp:val=&quot;00B03C47&quot;/&gt;&lt;wsp:rsid wsp:val=&quot;00B03C7E&quot;/&gt;&lt;wsp:rsid wsp:val=&quot;00B03D06&quot;/&gt;&lt;wsp:rsid wsp:val=&quot;00B04C29&quot;/&gt;&lt;wsp:rsid wsp:val=&quot;00B04C2F&quot;/&gt;&lt;wsp:rsid wsp:val=&quot;00B04D61&quot;/&gt;&lt;wsp:rsid wsp:val=&quot;00B04F9A&quot;/&gt;&lt;wsp:rsid wsp:val=&quot;00B0579F&quot;/&gt;&lt;wsp:rsid wsp:val=&quot;00B05980&quot;/&gt;&lt;wsp:rsid wsp:val=&quot;00B05BCB&quot;/&gt;&lt;wsp:rsid wsp:val=&quot;00B064AF&quot;/&gt;&lt;wsp:rsid wsp:val=&quot;00B06710&quot;/&gt;&lt;wsp:rsid wsp:val=&quot;00B06ED8&quot;/&gt;&lt;wsp:rsid wsp:val=&quot;00B07174&quot;/&gt;&lt;wsp:rsid wsp:val=&quot;00B07213&quot;/&gt;&lt;wsp:rsid wsp:val=&quot;00B072E9&quot;/&gt;&lt;wsp:rsid wsp:val=&quot;00B07890&quot;/&gt;&lt;wsp:rsid wsp:val=&quot;00B07D7B&quot;/&gt;&lt;wsp:rsid wsp:val=&quot;00B10030&quot;/&gt;&lt;wsp:rsid wsp:val=&quot;00B1015F&quot;/&gt;&lt;wsp:rsid wsp:val=&quot;00B105D9&quot;/&gt;&lt;wsp:rsid wsp:val=&quot;00B107A1&quot;/&gt;&lt;wsp:rsid wsp:val=&quot;00B11639&quot;/&gt;&lt;wsp:rsid wsp:val=&quot;00B11FB6&quot;/&gt;&lt;wsp:rsid wsp:val=&quot;00B1207C&quot;/&gt;&lt;wsp:rsid wsp:val=&quot;00B12740&quot;/&gt;&lt;wsp:rsid wsp:val=&quot;00B12EBA&quot;/&gt;&lt;wsp:rsid wsp:val=&quot;00B13959&quot;/&gt;&lt;wsp:rsid wsp:val=&quot;00B1440A&quot;/&gt;&lt;wsp:rsid wsp:val=&quot;00B14A71&quot;/&gt;&lt;wsp:rsid wsp:val=&quot;00B14BB2&quot;/&gt;&lt;wsp:rsid wsp:val=&quot;00B15E5C&quot;/&gt;&lt;wsp:rsid wsp:val=&quot;00B16402&quot;/&gt;&lt;wsp:rsid wsp:val=&quot;00B169F6&quot;/&gt;&lt;wsp:rsid wsp:val=&quot;00B1743B&quot;/&gt;&lt;wsp:rsid wsp:val=&quot;00B17DFF&quot;/&gt;&lt;wsp:rsid wsp:val=&quot;00B17F50&quot;/&gt;&lt;wsp:rsid wsp:val=&quot;00B21652&quot;/&gt;&lt;wsp:rsid wsp:val=&quot;00B21B94&quot;/&gt;&lt;wsp:rsid wsp:val=&quot;00B21ED4&quot;/&gt;&lt;wsp:rsid wsp:val=&quot;00B227EF&quot;/&gt;&lt;wsp:rsid wsp:val=&quot;00B22CCA&quot;/&gt;&lt;wsp:rsid wsp:val=&quot;00B231E5&quot;/&gt;&lt;wsp:rsid wsp:val=&quot;00B2333B&quot;/&gt;&lt;wsp:rsid wsp:val=&quot;00B23AE5&quot;/&gt;&lt;wsp:rsid wsp:val=&quot;00B249EB&quot;/&gt;&lt;wsp:rsid wsp:val=&quot;00B24A7C&quot;/&gt;&lt;wsp:rsid wsp:val=&quot;00B24C9C&quot;/&gt;&lt;wsp:rsid wsp:val=&quot;00B24E39&quot;/&gt;&lt;wsp:rsid wsp:val=&quot;00B24EEE&quot;/&gt;&lt;wsp:rsid wsp:val=&quot;00B26120&quot;/&gt;&lt;wsp:rsid wsp:val=&quot;00B26377&quot;/&gt;&lt;wsp:rsid wsp:val=&quot;00B26542&quot;/&gt;&lt;wsp:rsid wsp:val=&quot;00B266EE&quot;/&gt;&lt;wsp:rsid wsp:val=&quot;00B26851&quot;/&gt;&lt;wsp:rsid wsp:val=&quot;00B26BD6&quot;/&gt;&lt;wsp:rsid wsp:val=&quot;00B27D5B&quot;/&gt;&lt;wsp:rsid wsp:val=&quot;00B309EC&quot;/&gt;&lt;wsp:rsid wsp:val=&quot;00B30A1F&quot;/&gt;&lt;wsp:rsid wsp:val=&quot;00B3182D&quot;/&gt;&lt;wsp:rsid wsp:val=&quot;00B31899&quot;/&gt;&lt;wsp:rsid wsp:val=&quot;00B31B2F&quot;/&gt;&lt;wsp:rsid wsp:val=&quot;00B31B96&quot;/&gt;&lt;wsp:rsid wsp:val=&quot;00B31E9B&quot;/&gt;&lt;wsp:rsid wsp:val=&quot;00B31F8A&quot;/&gt;&lt;wsp:rsid wsp:val=&quot;00B32A7E&quot;/&gt;&lt;wsp:rsid wsp:val=&quot;00B32F02&quot;/&gt;&lt;wsp:rsid wsp:val=&quot;00B32F2A&quot;/&gt;&lt;wsp:rsid wsp:val=&quot;00B33124&quot;/&gt;&lt;wsp:rsid wsp:val=&quot;00B33824&quot;/&gt;&lt;wsp:rsid wsp:val=&quot;00B33998&quot;/&gt;&lt;wsp:rsid wsp:val=&quot;00B34043&quot;/&gt;&lt;wsp:rsid wsp:val=&quot;00B34552&quot;/&gt;&lt;wsp:rsid wsp:val=&quot;00B348D8&quot;/&gt;&lt;wsp:rsid wsp:val=&quot;00B34B04&quot;/&gt;&lt;wsp:rsid wsp:val=&quot;00B34B91&quot;/&gt;&lt;wsp:rsid wsp:val=&quot;00B3573E&quot;/&gt;&lt;wsp:rsid wsp:val=&quot;00B3640A&quot;/&gt;&lt;wsp:rsid wsp:val=&quot;00B36548&quot;/&gt;&lt;wsp:rsid wsp:val=&quot;00B36859&quot;/&gt;&lt;wsp:rsid wsp:val=&quot;00B369AB&quot;/&gt;&lt;wsp:rsid wsp:val=&quot;00B36A26&quot;/&gt;&lt;wsp:rsid wsp:val=&quot;00B36C4F&quot;/&gt;&lt;wsp:rsid wsp:val=&quot;00B37498&quot;/&gt;&lt;wsp:rsid wsp:val=&quot;00B378F8&quot;/&gt;&lt;wsp:rsid wsp:val=&quot;00B37AB0&quot;/&gt;&lt;wsp:rsid wsp:val=&quot;00B37FA5&quot;/&gt;&lt;wsp:rsid wsp:val=&quot;00B400E1&quot;/&gt;&lt;wsp:rsid wsp:val=&quot;00B40B81&quot;/&gt;&lt;wsp:rsid wsp:val=&quot;00B41020&quot;/&gt;&lt;wsp:rsid wsp:val=&quot;00B415EA&quot;/&gt;&lt;wsp:rsid wsp:val=&quot;00B41B5A&quot;/&gt;&lt;wsp:rsid wsp:val=&quot;00B426FC&quot;/&gt;&lt;wsp:rsid wsp:val=&quot;00B43153&quot;/&gt;&lt;wsp:rsid wsp:val=&quot;00B43367&quot;/&gt;&lt;wsp:rsid wsp:val=&quot;00B434E8&quot;/&gt;&lt;wsp:rsid wsp:val=&quot;00B437FD&quot;/&gt;&lt;wsp:rsid wsp:val=&quot;00B43A64&quot;/&gt;&lt;wsp:rsid wsp:val=&quot;00B43E2B&quot;/&gt;&lt;wsp:rsid wsp:val=&quot;00B43E2C&quot;/&gt;&lt;wsp:rsid wsp:val=&quot;00B4405D&quot;/&gt;&lt;wsp:rsid wsp:val=&quot;00B44419&quot;/&gt;&lt;wsp:rsid wsp:val=&quot;00B44431&quot;/&gt;&lt;wsp:rsid wsp:val=&quot;00B44596&quot;/&gt;&lt;wsp:rsid wsp:val=&quot;00B445F6&quot;/&gt;&lt;wsp:rsid wsp:val=&quot;00B446F2&quot;/&gt;&lt;wsp:rsid wsp:val=&quot;00B44742&quot;/&gt;&lt;wsp:rsid wsp:val=&quot;00B4481D&quot;/&gt;&lt;wsp:rsid wsp:val=&quot;00B4499F&quot;/&gt;&lt;wsp:rsid wsp:val=&quot;00B44A84&quot;/&gt;&lt;wsp:rsid wsp:val=&quot;00B456F3&quot;/&gt;&lt;wsp:rsid wsp:val=&quot;00B45C10&quot;/&gt;&lt;wsp:rsid wsp:val=&quot;00B46556&quot;/&gt;&lt;wsp:rsid wsp:val=&quot;00B46E3E&quot;/&gt;&lt;wsp:rsid wsp:val=&quot;00B46F96&quot;/&gt;&lt;wsp:rsid wsp:val=&quot;00B47759&quot;/&gt;&lt;wsp:rsid wsp:val=&quot;00B4782A&quot;/&gt;&lt;wsp:rsid wsp:val=&quot;00B47C02&quot;/&gt;&lt;wsp:rsid wsp:val=&quot;00B47F21&quot;/&gt;&lt;wsp:rsid wsp:val=&quot;00B5025F&quot;/&gt;&lt;wsp:rsid wsp:val=&quot;00B502C0&quot;/&gt;&lt;wsp:rsid wsp:val=&quot;00B508CB&quot;/&gt;&lt;wsp:rsid wsp:val=&quot;00B50A59&quot;/&gt;&lt;wsp:rsid wsp:val=&quot;00B50ADD&quot;/&gt;&lt;wsp:rsid wsp:val=&quot;00B50F6D&quot;/&gt;&lt;wsp:rsid wsp:val=&quot;00B50FFC&quot;/&gt;&lt;wsp:rsid wsp:val=&quot;00B51937&quot;/&gt;&lt;wsp:rsid wsp:val=&quot;00B51BB6&quot;/&gt;&lt;wsp:rsid wsp:val=&quot;00B51E10&quot;/&gt;&lt;wsp:rsid wsp:val=&quot;00B51E9F&quot;/&gt;&lt;wsp:rsid wsp:val=&quot;00B52916&quot;/&gt;&lt;wsp:rsid wsp:val=&quot;00B52C41&quot;/&gt;&lt;wsp:rsid wsp:val=&quot;00B52CE9&quot;/&gt;&lt;wsp:rsid wsp:val=&quot;00B53198&quot;/&gt;&lt;wsp:rsid wsp:val=&quot;00B53275&quot;/&gt;&lt;wsp:rsid wsp:val=&quot;00B53547&quot;/&gt;&lt;wsp:rsid wsp:val=&quot;00B5364E&quot;/&gt;&lt;wsp:rsid wsp:val=&quot;00B536D1&quot;/&gt;&lt;wsp:rsid wsp:val=&quot;00B537CA&quot;/&gt;&lt;wsp:rsid wsp:val=&quot;00B539BC&quot;/&gt;&lt;wsp:rsid wsp:val=&quot;00B53B8E&quot;/&gt;&lt;wsp:rsid wsp:val=&quot;00B54070&quot;/&gt;&lt;wsp:rsid wsp:val=&quot;00B54822&quot;/&gt;&lt;wsp:rsid wsp:val=&quot;00B54A71&quot;/&gt;&lt;wsp:rsid wsp:val=&quot;00B54C98&quot;/&gt;&lt;wsp:rsid wsp:val=&quot;00B54FBE&quot;/&gt;&lt;wsp:rsid wsp:val=&quot;00B5532E&quot;/&gt;&lt;wsp:rsid wsp:val=&quot;00B556E4&quot;/&gt;&lt;wsp:rsid wsp:val=&quot;00B5621D&quot;/&gt;&lt;wsp:rsid wsp:val=&quot;00B565C7&quot;/&gt;&lt;wsp:rsid wsp:val=&quot;00B566AE&quot;/&gt;&lt;wsp:rsid wsp:val=&quot;00B567AB&quot;/&gt;&lt;wsp:rsid wsp:val=&quot;00B56D1E&quot;/&gt;&lt;wsp:rsid wsp:val=&quot;00B56EF9&quot;/&gt;&lt;wsp:rsid wsp:val=&quot;00B56F73&quot;/&gt;&lt;wsp:rsid wsp:val=&quot;00B5729E&quot;/&gt;&lt;wsp:rsid wsp:val=&quot;00B57A7A&quot;/&gt;&lt;wsp:rsid wsp:val=&quot;00B6048D&quot;/&gt;&lt;wsp:rsid wsp:val=&quot;00B604FA&quot;/&gt;&lt;wsp:rsid wsp:val=&quot;00B60638&quot;/&gt;&lt;wsp:rsid wsp:val=&quot;00B606CE&quot;/&gt;&lt;wsp:rsid wsp:val=&quot;00B608CA&quot;/&gt;&lt;wsp:rsid wsp:val=&quot;00B61157&quot;/&gt;&lt;wsp:rsid wsp:val=&quot;00B61403&quot;/&gt;&lt;wsp:rsid wsp:val=&quot;00B6189B&quot;/&gt;&lt;wsp:rsid wsp:val=&quot;00B61E9E&quot;/&gt;&lt;wsp:rsid wsp:val=&quot;00B62252&quot;/&gt;&lt;wsp:rsid wsp:val=&quot;00B62326&quot;/&gt;&lt;wsp:rsid wsp:val=&quot;00B62916&quot;/&gt;&lt;wsp:rsid wsp:val=&quot;00B62C8D&quot;/&gt;&lt;wsp:rsid wsp:val=&quot;00B62D2C&quot;/&gt;&lt;wsp:rsid wsp:val=&quot;00B63E0C&quot;/&gt;&lt;wsp:rsid wsp:val=&quot;00B6485E&quot;/&gt;&lt;wsp:rsid wsp:val=&quot;00B64ACD&quot;/&gt;&lt;wsp:rsid wsp:val=&quot;00B64E60&quot;/&gt;&lt;wsp:rsid wsp:val=&quot;00B65217&quot;/&gt;&lt;wsp:rsid wsp:val=&quot;00B659EB&quot;/&gt;&lt;wsp:rsid wsp:val=&quot;00B65B05&quot;/&gt;&lt;wsp:rsid wsp:val=&quot;00B65DC9&quot;/&gt;&lt;wsp:rsid wsp:val=&quot;00B65FB3&quot;/&gt;&lt;wsp:rsid wsp:val=&quot;00B6601F&quot;/&gt;&lt;wsp:rsid wsp:val=&quot;00B66172&quot;/&gt;&lt;wsp:rsid wsp:val=&quot;00B661CD&quot;/&gt;&lt;wsp:rsid wsp:val=&quot;00B662C4&quot;/&gt;&lt;wsp:rsid wsp:val=&quot;00B66408&quot;/&gt;&lt;wsp:rsid wsp:val=&quot;00B668C7&quot;/&gt;&lt;wsp:rsid wsp:val=&quot;00B67081&quot;/&gt;&lt;wsp:rsid wsp:val=&quot;00B67659&quot;/&gt;&lt;wsp:rsid wsp:val=&quot;00B67895&quot;/&gt;&lt;wsp:rsid wsp:val=&quot;00B70334&quot;/&gt;&lt;wsp:rsid wsp:val=&quot;00B704DA&quot;/&gt;&lt;wsp:rsid wsp:val=&quot;00B70680&quot;/&gt;&lt;wsp:rsid wsp:val=&quot;00B70A34&quot;/&gt;&lt;wsp:rsid wsp:val=&quot;00B71039&quot;/&gt;&lt;wsp:rsid wsp:val=&quot;00B7109D&quot;/&gt;&lt;wsp:rsid wsp:val=&quot;00B712D5&quot;/&gt;&lt;wsp:rsid wsp:val=&quot;00B71763&quot;/&gt;&lt;wsp:rsid wsp:val=&quot;00B722B3&quot;/&gt;&lt;wsp:rsid wsp:val=&quot;00B727D5&quot;/&gt;&lt;wsp:rsid wsp:val=&quot;00B72DF1&quot;/&gt;&lt;wsp:rsid wsp:val=&quot;00B73376&quot;/&gt;&lt;wsp:rsid wsp:val=&quot;00B73F80&quot;/&gt;&lt;wsp:rsid wsp:val=&quot;00B740C2&quot;/&gt;&lt;wsp:rsid wsp:val=&quot;00B74250&quot;/&gt;&lt;wsp:rsid wsp:val=&quot;00B745EA&quot;/&gt;&lt;wsp:rsid wsp:val=&quot;00B74D70&quot;/&gt;&lt;wsp:rsid wsp:val=&quot;00B74E14&quot;/&gt;&lt;wsp:rsid wsp:val=&quot;00B75379&quot;/&gt;&lt;wsp:rsid wsp:val=&quot;00B7555A&quot;/&gt;&lt;wsp:rsid wsp:val=&quot;00B75B93&quot;/&gt;&lt;wsp:rsid wsp:val=&quot;00B75BE7&quot;/&gt;&lt;wsp:rsid wsp:val=&quot;00B760C0&quot;/&gt;&lt;wsp:rsid wsp:val=&quot;00B7658B&quot;/&gt;&lt;wsp:rsid wsp:val=&quot;00B770A2&quot;/&gt;&lt;wsp:rsid wsp:val=&quot;00B77570&quot;/&gt;&lt;wsp:rsid wsp:val=&quot;00B777A3&quot;/&gt;&lt;wsp:rsid wsp:val=&quot;00B77B9F&quot;/&gt;&lt;wsp:rsid wsp:val=&quot;00B807A9&quot;/&gt;&lt;wsp:rsid wsp:val=&quot;00B80C38&quot;/&gt;&lt;wsp:rsid wsp:val=&quot;00B80EA2&quot;/&gt;&lt;wsp:rsid wsp:val=&quot;00B81042&quot;/&gt;&lt;wsp:rsid wsp:val=&quot;00B8129B&quot;/&gt;&lt;wsp:rsid wsp:val=&quot;00B812C2&quot;/&gt;&lt;wsp:rsid wsp:val=&quot;00B81637&quot;/&gt;&lt;wsp:rsid wsp:val=&quot;00B81CF9&quot;/&gt;&lt;wsp:rsid wsp:val=&quot;00B82449&quot;/&gt;&lt;wsp:rsid wsp:val=&quot;00B824F2&quot;/&gt;&lt;wsp:rsid wsp:val=&quot;00B828F4&quot;/&gt;&lt;wsp:rsid wsp:val=&quot;00B82C97&quot;/&gt;&lt;wsp:rsid wsp:val=&quot;00B8305A&quot;/&gt;&lt;wsp:rsid wsp:val=&quot;00B83175&quot;/&gt;&lt;wsp:rsid wsp:val=&quot;00B83862&quot;/&gt;&lt;wsp:rsid wsp:val=&quot;00B839D3&quot;/&gt;&lt;wsp:rsid wsp:val=&quot;00B83B44&quot;/&gt;&lt;wsp:rsid wsp:val=&quot;00B83DD0&quot;/&gt;&lt;wsp:rsid wsp:val=&quot;00B83FDF&quot;/&gt;&lt;wsp:rsid wsp:val=&quot;00B844EB&quot;/&gt;&lt;wsp:rsid wsp:val=&quot;00B847DD&quot;/&gt;&lt;wsp:rsid wsp:val=&quot;00B847F2&quot;/&gt;&lt;wsp:rsid wsp:val=&quot;00B85313&quot;/&gt;&lt;wsp:rsid wsp:val=&quot;00B85869&quot;/&gt;&lt;wsp:rsid wsp:val=&quot;00B858FF&quot;/&gt;&lt;wsp:rsid wsp:val=&quot;00B85D99&quot;/&gt;&lt;wsp:rsid wsp:val=&quot;00B85F84&quot;/&gt;&lt;wsp:rsid wsp:val=&quot;00B8622C&quot;/&gt;&lt;wsp:rsid wsp:val=&quot;00B8682D&quot;/&gt;&lt;wsp:rsid wsp:val=&quot;00B86936&quot;/&gt;&lt;wsp:rsid wsp:val=&quot;00B869A6&quot;/&gt;&lt;wsp:rsid wsp:val=&quot;00B86AF6&quot;/&gt;&lt;wsp:rsid wsp:val=&quot;00B86CB8&quot;/&gt;&lt;wsp:rsid wsp:val=&quot;00B86DD9&quot;/&gt;&lt;wsp:rsid wsp:val=&quot;00B87594&quot;/&gt;&lt;wsp:rsid wsp:val=&quot;00B87908&quot;/&gt;&lt;wsp:rsid wsp:val=&quot;00B879CE&quot;/&gt;&lt;wsp:rsid wsp:val=&quot;00B90A6F&quot;/&gt;&lt;wsp:rsid wsp:val=&quot;00B90BD3&quot;/&gt;&lt;wsp:rsid wsp:val=&quot;00B91A5A&quot;/&gt;&lt;wsp:rsid wsp:val=&quot;00B91E00&quot;/&gt;&lt;wsp:rsid wsp:val=&quot;00B920D1&quot;/&gt;&lt;wsp:rsid wsp:val=&quot;00B92264&quot;/&gt;&lt;wsp:rsid wsp:val=&quot;00B9238A&quot;/&gt;&lt;wsp:rsid wsp:val=&quot;00B924A8&quot;/&gt;&lt;wsp:rsid wsp:val=&quot;00B925F2&quot;/&gt;&lt;wsp:rsid wsp:val=&quot;00B92DA2&quot;/&gt;&lt;wsp:rsid wsp:val=&quot;00B93421&quot;/&gt;&lt;wsp:rsid wsp:val=&quot;00B9389A&quot;/&gt;&lt;wsp:rsid wsp:val=&quot;00B93BF9&quot;/&gt;&lt;wsp:rsid wsp:val=&quot;00B93EC4&quot;/&gt;&lt;wsp:rsid wsp:val=&quot;00B94031&quot;/&gt;&lt;wsp:rsid wsp:val=&quot;00B943EC&quot;/&gt;&lt;wsp:rsid wsp:val=&quot;00B94787&quot;/&gt;&lt;wsp:rsid wsp:val=&quot;00B94905&quot;/&gt;&lt;wsp:rsid wsp:val=&quot;00B9497E&quot;/&gt;&lt;wsp:rsid wsp:val=&quot;00B94A04&quot;/&gt;&lt;wsp:rsid wsp:val=&quot;00B94C11&quot;/&gt;&lt;wsp:rsid wsp:val=&quot;00B94C82&quot;/&gt;&lt;wsp:rsid wsp:val=&quot;00B94E35&quot;/&gt;&lt;wsp:rsid wsp:val=&quot;00B951AC&quot;/&gt;&lt;wsp:rsid wsp:val=&quot;00B95825&quot;/&gt;&lt;wsp:rsid wsp:val=&quot;00B9582B&quot;/&gt;&lt;wsp:rsid wsp:val=&quot;00B95D7D&quot;/&gt;&lt;wsp:rsid wsp:val=&quot;00B9671E&quot;/&gt;&lt;wsp:rsid wsp:val=&quot;00B96740&quot;/&gt;&lt;wsp:rsid wsp:val=&quot;00B96972&quot;/&gt;&lt;wsp:rsid wsp:val=&quot;00B96A44&quot;/&gt;&lt;wsp:rsid wsp:val=&quot;00B96D36&quot;/&gt;&lt;wsp:rsid wsp:val=&quot;00B97537&quot;/&gt;&lt;wsp:rsid wsp:val=&quot;00B97A91&quot;/&gt;&lt;wsp:rsid wsp:val=&quot;00BA03D8&quot;/&gt;&lt;wsp:rsid wsp:val=&quot;00BA0401&quot;/&gt;&lt;wsp:rsid wsp:val=&quot;00BA051A&quot;/&gt;&lt;wsp:rsid wsp:val=&quot;00BA051D&quot;/&gt;&lt;wsp:rsid wsp:val=&quot;00BA061E&quot;/&gt;&lt;wsp:rsid wsp:val=&quot;00BA062A&quot;/&gt;&lt;wsp:rsid wsp:val=&quot;00BA077C&quot;/&gt;&lt;wsp:rsid wsp:val=&quot;00BA0AF4&quot;/&gt;&lt;wsp:rsid wsp:val=&quot;00BA1111&quot;/&gt;&lt;wsp:rsid wsp:val=&quot;00BA1417&quot;/&gt;&lt;wsp:rsid wsp:val=&quot;00BA1B97&quot;/&gt;&lt;wsp:rsid wsp:val=&quot;00BA1BBD&quot;/&gt;&lt;wsp:rsid wsp:val=&quot;00BA1D13&quot;/&gt;&lt;wsp:rsid wsp:val=&quot;00BA24CE&quot;/&gt;&lt;wsp:rsid wsp:val=&quot;00BA30E4&quot;/&gt;&lt;wsp:rsid wsp:val=&quot;00BA32BD&quot;/&gt;&lt;wsp:rsid wsp:val=&quot;00BA33E0&quot;/&gt;&lt;wsp:rsid wsp:val=&quot;00BA47E4&quot;/&gt;&lt;wsp:rsid wsp:val=&quot;00BA4879&quot;/&gt;&lt;wsp:rsid wsp:val=&quot;00BA603E&quot;/&gt;&lt;wsp:rsid wsp:val=&quot;00BA63D0&quot;/&gt;&lt;wsp:rsid wsp:val=&quot;00BA706E&quot;/&gt;&lt;wsp:rsid wsp:val=&quot;00BA7113&quot;/&gt;&lt;wsp:rsid wsp:val=&quot;00BA77DD&quot;/&gt;&lt;wsp:rsid wsp:val=&quot;00BA7A32&quot;/&gt;&lt;wsp:rsid wsp:val=&quot;00BB00BC&quot;/&gt;&lt;wsp:rsid wsp:val=&quot;00BB011D&quot;/&gt;&lt;wsp:rsid wsp:val=&quot;00BB013B&quot;/&gt;&lt;wsp:rsid wsp:val=&quot;00BB01AF&quot;/&gt;&lt;wsp:rsid wsp:val=&quot;00BB09C7&quot;/&gt;&lt;wsp:rsid wsp:val=&quot;00BB0E6B&quot;/&gt;&lt;wsp:rsid wsp:val=&quot;00BB0EFC&quot;/&gt;&lt;wsp:rsid wsp:val=&quot;00BB1778&quot;/&gt;&lt;wsp:rsid wsp:val=&quot;00BB187A&quot;/&gt;&lt;wsp:rsid wsp:val=&quot;00BB2003&quot;/&gt;&lt;wsp:rsid wsp:val=&quot;00BB2411&quot;/&gt;&lt;wsp:rsid wsp:val=&quot;00BB2860&quot;/&gt;&lt;wsp:rsid wsp:val=&quot;00BB2B50&quot;/&gt;&lt;wsp:rsid wsp:val=&quot;00BB2BCC&quot;/&gt;&lt;wsp:rsid wsp:val=&quot;00BB31B3&quot;/&gt;&lt;wsp:rsid wsp:val=&quot;00BB3228&quot;/&gt;&lt;wsp:rsid wsp:val=&quot;00BB3852&quot;/&gt;&lt;wsp:rsid wsp:val=&quot;00BB38E5&quot;/&gt;&lt;wsp:rsid wsp:val=&quot;00BB39B0&quot;/&gt;&lt;wsp:rsid wsp:val=&quot;00BB40F8&quot;/&gt;&lt;wsp:rsid wsp:val=&quot;00BB4CE9&quot;/&gt;&lt;wsp:rsid wsp:val=&quot;00BB546A&quot;/&gt;&lt;wsp:rsid wsp:val=&quot;00BB5489&quot;/&gt;&lt;wsp:rsid wsp:val=&quot;00BB5780&quot;/&gt;&lt;wsp:rsid wsp:val=&quot;00BB57FE&quot;/&gt;&lt;wsp:rsid wsp:val=&quot;00BB5B2E&quot;/&gt;&lt;wsp:rsid wsp:val=&quot;00BB5D63&quot;/&gt;&lt;wsp:rsid wsp:val=&quot;00BB6075&quot;/&gt;&lt;wsp:rsid wsp:val=&quot;00BB69E6&quot;/&gt;&lt;wsp:rsid wsp:val=&quot;00BB6B5D&quot;/&gt;&lt;wsp:rsid wsp:val=&quot;00BB6C4F&quot;/&gt;&lt;wsp:rsid wsp:val=&quot;00BB733C&quot;/&gt;&lt;wsp:rsid wsp:val=&quot;00BB7AA1&quot;/&gt;&lt;wsp:rsid wsp:val=&quot;00BB7B0B&quot;/&gt;&lt;wsp:rsid wsp:val=&quot;00BB7C97&quot;/&gt;&lt;wsp:rsid wsp:val=&quot;00BB7E20&quot;/&gt;&lt;wsp:rsid wsp:val=&quot;00BC0A32&quot;/&gt;&lt;wsp:rsid wsp:val=&quot;00BC0B04&quot;/&gt;&lt;wsp:rsid wsp:val=&quot;00BC15D9&quot;/&gt;&lt;wsp:rsid wsp:val=&quot;00BC15E4&quot;/&gt;&lt;wsp:rsid wsp:val=&quot;00BC1706&quot;/&gt;&lt;wsp:rsid wsp:val=&quot;00BC1808&quot;/&gt;&lt;wsp:rsid wsp:val=&quot;00BC1F84&quot;/&gt;&lt;wsp:rsid wsp:val=&quot;00BC20F7&quot;/&gt;&lt;wsp:rsid wsp:val=&quot;00BC336F&quot;/&gt;&lt;wsp:rsid wsp:val=&quot;00BC3699&quot;/&gt;&lt;wsp:rsid wsp:val=&quot;00BC36E4&quot;/&gt;&lt;wsp:rsid wsp:val=&quot;00BC394B&quot;/&gt;&lt;wsp:rsid wsp:val=&quot;00BC3D6C&quot;/&gt;&lt;wsp:rsid wsp:val=&quot;00BC3F8C&quot;/&gt;&lt;wsp:rsid wsp:val=&quot;00BC3F8E&quot;/&gt;&lt;wsp:rsid wsp:val=&quot;00BC4B8E&quot;/&gt;&lt;wsp:rsid wsp:val=&quot;00BC50CF&quot;/&gt;&lt;wsp:rsid wsp:val=&quot;00BC54AB&quot;/&gt;&lt;wsp:rsid wsp:val=&quot;00BC55A8&quot;/&gt;&lt;wsp:rsid wsp:val=&quot;00BC58FA&quot;/&gt;&lt;wsp:rsid wsp:val=&quot;00BC6172&quot;/&gt;&lt;wsp:rsid wsp:val=&quot;00BC6465&quot;/&gt;&lt;wsp:rsid wsp:val=&quot;00BC6D75&quot;/&gt;&lt;wsp:rsid wsp:val=&quot;00BC7141&quot;/&gt;&lt;wsp:rsid wsp:val=&quot;00BC74C8&quot;/&gt;&lt;wsp:rsid wsp:val=&quot;00BC776D&quot;/&gt;&lt;wsp:rsid wsp:val=&quot;00BC7972&quot;/&gt;&lt;wsp:rsid wsp:val=&quot;00BC7FD0&quot;/&gt;&lt;wsp:rsid wsp:val=&quot;00BD02B4&quot;/&gt;&lt;wsp:rsid wsp:val=&quot;00BD0445&quot;/&gt;&lt;wsp:rsid wsp:val=&quot;00BD045D&quot;/&gt;&lt;wsp:rsid wsp:val=&quot;00BD0571&quot;/&gt;&lt;wsp:rsid wsp:val=&quot;00BD0C41&quot;/&gt;&lt;wsp:rsid wsp:val=&quot;00BD1276&quot;/&gt;&lt;wsp:rsid wsp:val=&quot;00BD176D&quot;/&gt;&lt;wsp:rsid wsp:val=&quot;00BD1E92&quot;/&gt;&lt;wsp:rsid wsp:val=&quot;00BD24B5&quot;/&gt;&lt;wsp:rsid wsp:val=&quot;00BD2B39&quot;/&gt;&lt;wsp:rsid wsp:val=&quot;00BD3409&quot;/&gt;&lt;wsp:rsid wsp:val=&quot;00BD3869&quot;/&gt;&lt;wsp:rsid wsp:val=&quot;00BD3873&quot;/&gt;&lt;wsp:rsid wsp:val=&quot;00BD3BD0&quot;/&gt;&lt;wsp:rsid wsp:val=&quot;00BD3D77&quot;/&gt;&lt;wsp:rsid wsp:val=&quot;00BD3DA2&quot;/&gt;&lt;wsp:rsid wsp:val=&quot;00BD3EAE&quot;/&gt;&lt;wsp:rsid wsp:val=&quot;00BD42E5&quot;/&gt;&lt;wsp:rsid wsp:val=&quot;00BD446F&quot;/&gt;&lt;wsp:rsid wsp:val=&quot;00BD5015&quot;/&gt;&lt;wsp:rsid wsp:val=&quot;00BD5237&quot;/&gt;&lt;wsp:rsid wsp:val=&quot;00BD54E2&quot;/&gt;&lt;wsp:rsid wsp:val=&quot;00BD5810&quot;/&gt;&lt;wsp:rsid wsp:val=&quot;00BD588D&quot;/&gt;&lt;wsp:rsid wsp:val=&quot;00BD5C45&quot;/&gt;&lt;wsp:rsid wsp:val=&quot;00BD615F&quot;/&gt;&lt;wsp:rsid wsp:val=&quot;00BD6284&quot;/&gt;&lt;wsp:rsid wsp:val=&quot;00BD62D0&quot;/&gt;&lt;wsp:rsid wsp:val=&quot;00BD6BE3&quot;/&gt;&lt;wsp:rsid wsp:val=&quot;00BD7413&quot;/&gt;&lt;wsp:rsid wsp:val=&quot;00BD76C0&quot;/&gt;&lt;wsp:rsid wsp:val=&quot;00BD7725&quot;/&gt;&lt;wsp:rsid wsp:val=&quot;00BD791F&quot;/&gt;&lt;wsp:rsid wsp:val=&quot;00BD7D37&quot;/&gt;&lt;wsp:rsid wsp:val=&quot;00BD7EBA&quot;/&gt;&lt;wsp:rsid wsp:val=&quot;00BE0170&quot;/&gt;&lt;wsp:rsid wsp:val=&quot;00BE074E&quot;/&gt;&lt;wsp:rsid wsp:val=&quot;00BE0805&quot;/&gt;&lt;wsp:rsid wsp:val=&quot;00BE0D23&quot;/&gt;&lt;wsp:rsid wsp:val=&quot;00BE11F5&quot;/&gt;&lt;wsp:rsid wsp:val=&quot;00BE1A4D&quot;/&gt;&lt;wsp:rsid wsp:val=&quot;00BE1F2C&quot;/&gt;&lt;wsp:rsid wsp:val=&quot;00BE2E39&quot;/&gt;&lt;wsp:rsid wsp:val=&quot;00BE2E9A&quot;/&gt;&lt;wsp:rsid wsp:val=&quot;00BE33B9&quot;/&gt;&lt;wsp:rsid wsp:val=&quot;00BE34D6&quot;/&gt;&lt;wsp:rsid wsp:val=&quot;00BE3759&quot;/&gt;&lt;wsp:rsid wsp:val=&quot;00BE38CF&quot;/&gt;&lt;wsp:rsid wsp:val=&quot;00BE432D&quot;/&gt;&lt;wsp:rsid wsp:val=&quot;00BE4530&quot;/&gt;&lt;wsp:rsid wsp:val=&quot;00BE45FA&quot;/&gt;&lt;wsp:rsid wsp:val=&quot;00BE4A54&quot;/&gt;&lt;wsp:rsid wsp:val=&quot;00BE580A&quot;/&gt;&lt;wsp:rsid wsp:val=&quot;00BE614D&quot;/&gt;&lt;wsp:rsid wsp:val=&quot;00BE6274&quot;/&gt;&lt;wsp:rsid wsp:val=&quot;00BE632A&quot;/&gt;&lt;wsp:rsid wsp:val=&quot;00BE69A5&quot;/&gt;&lt;wsp:rsid wsp:val=&quot;00BE69BA&quot;/&gt;&lt;wsp:rsid wsp:val=&quot;00BE6B19&quot;/&gt;&lt;wsp:rsid wsp:val=&quot;00BE6BD5&quot;/&gt;&lt;wsp:rsid wsp:val=&quot;00BE6E5D&quot;/&gt;&lt;wsp:rsid wsp:val=&quot;00BE781E&quot;/&gt;&lt;wsp:rsid wsp:val=&quot;00BE7B95&quot;/&gt;&lt;wsp:rsid wsp:val=&quot;00BE7C45&quot;/&gt;&lt;wsp:rsid wsp:val=&quot;00BE7E0D&quot;/&gt;&lt;wsp:rsid wsp:val=&quot;00BF0319&quot;/&gt;&lt;wsp:rsid wsp:val=&quot;00BF14FA&quot;/&gt;&lt;wsp:rsid wsp:val=&quot;00BF1794&quot;/&gt;&lt;wsp:rsid wsp:val=&quot;00BF1B4B&quot;/&gt;&lt;wsp:rsid wsp:val=&quot;00BF1F1F&quot;/&gt;&lt;wsp:rsid wsp:val=&quot;00BF212D&quot;/&gt;&lt;wsp:rsid wsp:val=&quot;00BF229F&quot;/&gt;&lt;wsp:rsid wsp:val=&quot;00BF2C45&quot;/&gt;&lt;wsp:rsid wsp:val=&quot;00BF2D13&quot;/&gt;&lt;wsp:rsid wsp:val=&quot;00BF2FE5&quot;/&gt;&lt;wsp:rsid wsp:val=&quot;00BF330C&quot;/&gt;&lt;wsp:rsid wsp:val=&quot;00BF3B9A&quot;/&gt;&lt;wsp:rsid wsp:val=&quot;00BF3C8B&quot;/&gt;&lt;wsp:rsid wsp:val=&quot;00BF3D89&quot;/&gt;&lt;wsp:rsid wsp:val=&quot;00BF3F6F&quot;/&gt;&lt;wsp:rsid wsp:val=&quot;00BF466A&quot;/&gt;&lt;wsp:rsid wsp:val=&quot;00BF4BDD&quot;/&gt;&lt;wsp:rsid wsp:val=&quot;00BF5477&quot;/&gt;&lt;wsp:rsid wsp:val=&quot;00BF5948&quot;/&gt;&lt;wsp:rsid wsp:val=&quot;00BF60D6&quot;/&gt;&lt;wsp:rsid wsp:val=&quot;00BF662C&quot;/&gt;&lt;wsp:rsid wsp:val=&quot;00BF695C&quot;/&gt;&lt;wsp:rsid wsp:val=&quot;00BF69D6&quot;/&gt;&lt;wsp:rsid wsp:val=&quot;00BF73EE&quot;/&gt;&lt;wsp:rsid wsp:val=&quot;00BF79D8&quot;/&gt;&lt;wsp:rsid wsp:val=&quot;00C001EC&quot;/&gt;&lt;wsp:rsid wsp:val=&quot;00C003E0&quot;/&gt;&lt;wsp:rsid wsp:val=&quot;00C004A6&quot;/&gt;&lt;wsp:rsid wsp:val=&quot;00C00AF0&quot;/&gt;&lt;wsp:rsid wsp:val=&quot;00C027BD&quot;/&gt;&lt;wsp:rsid wsp:val=&quot;00C0299A&quot;/&gt;&lt;wsp:rsid wsp:val=&quot;00C02A0F&quot;/&gt;&lt;wsp:rsid wsp:val=&quot;00C0306E&quot;/&gt;&lt;wsp:rsid wsp:val=&quot;00C032D8&quot;/&gt;&lt;wsp:rsid wsp:val=&quot;00C03787&quot;/&gt;&lt;wsp:rsid wsp:val=&quot;00C03855&quot;/&gt;&lt;wsp:rsid wsp:val=&quot;00C03898&quot;/&gt;&lt;wsp:rsid wsp:val=&quot;00C03B1A&quot;/&gt;&lt;wsp:rsid wsp:val=&quot;00C03B7C&quot;/&gt;&lt;wsp:rsid wsp:val=&quot;00C04440&quot;/&gt;&lt;wsp:rsid wsp:val=&quot;00C04445&quot;/&gt;&lt;wsp:rsid wsp:val=&quot;00C0460D&quot;/&gt;&lt;wsp:rsid wsp:val=&quot;00C04CB2&quot;/&gt;&lt;wsp:rsid wsp:val=&quot;00C058A7&quot;/&gt;&lt;wsp:rsid wsp:val=&quot;00C059D3&quot;/&gt;&lt;wsp:rsid wsp:val=&quot;00C05D35&quot;/&gt;&lt;wsp:rsid wsp:val=&quot;00C05E2F&quot;/&gt;&lt;wsp:rsid wsp:val=&quot;00C06884&quot;/&gt;&lt;wsp:rsid wsp:val=&quot;00C06942&quot;/&gt;&lt;wsp:rsid wsp:val=&quot;00C07352&quot;/&gt;&lt;wsp:rsid wsp:val=&quot;00C0735B&quot;/&gt;&lt;wsp:rsid wsp:val=&quot;00C0767B&quot;/&gt;&lt;wsp:rsid wsp:val=&quot;00C0788D&quot;/&gt;&lt;wsp:rsid wsp:val=&quot;00C078BE&quot;/&gt;&lt;wsp:rsid wsp:val=&quot;00C07979&quot;/&gt;&lt;wsp:rsid wsp:val=&quot;00C07CBC&quot;/&gt;&lt;wsp:rsid wsp:val=&quot;00C07D82&quot;/&gt;&lt;wsp:rsid wsp:val=&quot;00C10227&quot;/&gt;&lt;wsp:rsid wsp:val=&quot;00C106DD&quot;/&gt;&lt;wsp:rsid wsp:val=&quot;00C10E1A&quot;/&gt;&lt;wsp:rsid wsp:val=&quot;00C113CE&quot;/&gt;&lt;wsp:rsid wsp:val=&quot;00C115A7&quot;/&gt;&lt;wsp:rsid wsp:val=&quot;00C11968&quot;/&gt;&lt;wsp:rsid wsp:val=&quot;00C11C26&quot;/&gt;&lt;wsp:rsid wsp:val=&quot;00C11CBF&quot;/&gt;&lt;wsp:rsid wsp:val=&quot;00C11D16&quot;/&gt;&lt;wsp:rsid wsp:val=&quot;00C1256E&quot;/&gt;&lt;wsp:rsid wsp:val=&quot;00C126C4&quot;/&gt;&lt;wsp:rsid wsp:val=&quot;00C126F2&quot;/&gt;&lt;wsp:rsid wsp:val=&quot;00C12858&quot;/&gt;&lt;wsp:rsid wsp:val=&quot;00C13165&quot;/&gt;&lt;wsp:rsid wsp:val=&quot;00C13615&quot;/&gt;&lt;wsp:rsid wsp:val=&quot;00C13BFA&quot;/&gt;&lt;wsp:rsid wsp:val=&quot;00C13FBA&quot;/&gt;&lt;wsp:rsid wsp:val=&quot;00C140F4&quot;/&gt;&lt;wsp:rsid wsp:val=&quot;00C14DEB&quot;/&gt;&lt;wsp:rsid wsp:val=&quot;00C15CD8&quot;/&gt;&lt;wsp:rsid wsp:val=&quot;00C15DEF&quot;/&gt;&lt;wsp:rsid wsp:val=&quot;00C15EFD&quot;/&gt;&lt;wsp:rsid wsp:val=&quot;00C160E0&quot;/&gt;&lt;wsp:rsid wsp:val=&quot;00C16621&quot;/&gt;&lt;wsp:rsid wsp:val=&quot;00C16FA3&quot;/&gt;&lt;wsp:rsid wsp:val=&quot;00C1700F&quot;/&gt;&lt;wsp:rsid wsp:val=&quot;00C174C8&quot;/&gt;&lt;wsp:rsid wsp:val=&quot;00C17C7A&quot;/&gt;&lt;wsp:rsid wsp:val=&quot;00C17DE9&quot;/&gt;&lt;wsp:rsid wsp:val=&quot;00C206E5&quot;/&gt;&lt;wsp:rsid wsp:val=&quot;00C20BE1&quot;/&gt;&lt;wsp:rsid wsp:val=&quot;00C21547&quot;/&gt;&lt;wsp:rsid wsp:val=&quot;00C2158C&quot;/&gt;&lt;wsp:rsid wsp:val=&quot;00C21709&quot;/&gt;&lt;wsp:rsid wsp:val=&quot;00C22434&quot;/&gt;&lt;wsp:rsid wsp:val=&quot;00C2273D&quot;/&gt;&lt;wsp:rsid wsp:val=&quot;00C22762&quot;/&gt;&lt;wsp:rsid wsp:val=&quot;00C22E56&quot;/&gt;&lt;wsp:rsid wsp:val=&quot;00C2354E&quot;/&gt;&lt;wsp:rsid wsp:val=&quot;00C23DAB&quot;/&gt;&lt;wsp:rsid wsp:val=&quot;00C24183&quot;/&gt;&lt;wsp:rsid wsp:val=&quot;00C2431E&quot;/&gt;&lt;wsp:rsid wsp:val=&quot;00C243E3&quot;/&gt;&lt;wsp:rsid wsp:val=&quot;00C246DD&quot;/&gt;&lt;wsp:rsid wsp:val=&quot;00C24740&quot;/&gt;&lt;wsp:rsid wsp:val=&quot;00C24934&quot;/&gt;&lt;wsp:rsid wsp:val=&quot;00C24942&quot;/&gt;&lt;wsp:rsid wsp:val=&quot;00C24E53&quot;/&gt;&lt;wsp:rsid wsp:val=&quot;00C24FEE&quot;/&gt;&lt;wsp:rsid wsp:val=&quot;00C254F0&quot;/&gt;&lt;wsp:rsid wsp:val=&quot;00C25663&quot;/&gt;&lt;wsp:rsid wsp:val=&quot;00C25B4D&quot;/&gt;&lt;wsp:rsid wsp:val=&quot;00C25D3E&quot;/&gt;&lt;wsp:rsid wsp:val=&quot;00C25EC4&quot;/&gt;&lt;wsp:rsid wsp:val=&quot;00C261A0&quot;/&gt;&lt;wsp:rsid wsp:val=&quot;00C26CCF&quot;/&gt;&lt;wsp:rsid wsp:val=&quot;00C2700D&quot;/&gt;&lt;wsp:rsid wsp:val=&quot;00C272AF&quot;/&gt;&lt;wsp:rsid wsp:val=&quot;00C273CF&quot;/&gt;&lt;wsp:rsid wsp:val=&quot;00C27598&quot;/&gt;&lt;wsp:rsid wsp:val=&quot;00C276A1&quot;/&gt;&lt;wsp:rsid wsp:val=&quot;00C27834&quot;/&gt;&lt;wsp:rsid wsp:val=&quot;00C30D21&quot;/&gt;&lt;wsp:rsid wsp:val=&quot;00C317C7&quot;/&gt;&lt;wsp:rsid wsp:val=&quot;00C31A76&quot;/&gt;&lt;wsp:rsid wsp:val=&quot;00C31AFE&quot;/&gt;&lt;wsp:rsid wsp:val=&quot;00C31BD5&quot;/&gt;&lt;wsp:rsid wsp:val=&quot;00C32075&quot;/&gt;&lt;wsp:rsid wsp:val=&quot;00C321CA&quot;/&gt;&lt;wsp:rsid wsp:val=&quot;00C32737&quot;/&gt;&lt;wsp:rsid wsp:val=&quot;00C32A1A&quot;/&gt;&lt;wsp:rsid wsp:val=&quot;00C32B34&quot;/&gt;&lt;wsp:rsid wsp:val=&quot;00C333B4&quot;/&gt;&lt;wsp:rsid wsp:val=&quot;00C3353C&quot;/&gt;&lt;wsp:rsid wsp:val=&quot;00C33679&quot;/&gt;&lt;wsp:rsid wsp:val=&quot;00C3390D&quot;/&gt;&lt;wsp:rsid wsp:val=&quot;00C33C7E&quot;/&gt;&lt;wsp:rsid wsp:val=&quot;00C33CAB&quot;/&gt;&lt;wsp:rsid wsp:val=&quot;00C34141&quot;/&gt;&lt;wsp:rsid wsp:val=&quot;00C3435D&quot;/&gt;&lt;wsp:rsid wsp:val=&quot;00C34A3E&quot;/&gt;&lt;wsp:rsid wsp:val=&quot;00C34B99&quot;/&gt;&lt;wsp:rsid wsp:val=&quot;00C3513A&quot;/&gt;&lt;wsp:rsid wsp:val=&quot;00C35292&quot;/&gt;&lt;wsp:rsid wsp:val=&quot;00C35D3C&quot;/&gt;&lt;wsp:rsid wsp:val=&quot;00C35E6C&quot;/&gt;&lt;wsp:rsid wsp:val=&quot;00C361CF&quot;/&gt;&lt;wsp:rsid wsp:val=&quot;00C36788&quot;/&gt;&lt;wsp:rsid wsp:val=&quot;00C36C58&quot;/&gt;&lt;wsp:rsid wsp:val=&quot;00C374CC&quot;/&gt;&lt;wsp:rsid wsp:val=&quot;00C37A0B&quot;/&gt;&lt;wsp:rsid wsp:val=&quot;00C37CB6&quot;/&gt;&lt;wsp:rsid wsp:val=&quot;00C37F28&quot;/&gt;&lt;wsp:rsid wsp:val=&quot;00C40BFA&quot;/&gt;&lt;wsp:rsid wsp:val=&quot;00C41210&quot;/&gt;&lt;wsp:rsid wsp:val=&quot;00C414A7&quot;/&gt;&lt;wsp:rsid wsp:val=&quot;00C41F9A&quot;/&gt;&lt;wsp:rsid wsp:val=&quot;00C424CE&quot;/&gt;&lt;wsp:rsid wsp:val=&quot;00C424FE&quot;/&gt;&lt;wsp:rsid wsp:val=&quot;00C43181&quot;/&gt;&lt;wsp:rsid wsp:val=&quot;00C4342D&quot;/&gt;&lt;wsp:rsid wsp:val=&quot;00C43898&quot;/&gt;&lt;wsp:rsid wsp:val=&quot;00C438B1&quot;/&gt;&lt;wsp:rsid wsp:val=&quot;00C43AE1&quot;/&gt;&lt;wsp:rsid wsp:val=&quot;00C4461D&quot;/&gt;&lt;wsp:rsid wsp:val=&quot;00C449EB&quot;/&gt;&lt;wsp:rsid wsp:val=&quot;00C44B2C&quot;/&gt;&lt;wsp:rsid wsp:val=&quot;00C44E68&quot;/&gt;&lt;wsp:rsid wsp:val=&quot;00C45CCA&quot;/&gt;&lt;wsp:rsid wsp:val=&quot;00C46676&quot;/&gt;&lt;wsp:rsid wsp:val=&quot;00C46A5E&quot;/&gt;&lt;wsp:rsid wsp:val=&quot;00C47055&quot;/&gt;&lt;wsp:rsid wsp:val=&quot;00C470C6&quot;/&gt;&lt;wsp:rsid wsp:val=&quot;00C473D4&quot;/&gt;&lt;wsp:rsid wsp:val=&quot;00C502F2&quot;/&gt;&lt;wsp:rsid wsp:val=&quot;00C5081F&quot;/&gt;&lt;wsp:rsid wsp:val=&quot;00C50904&quot;/&gt;&lt;wsp:rsid wsp:val=&quot;00C50FE9&quot;/&gt;&lt;wsp:rsid wsp:val=&quot;00C52309&quot;/&gt;&lt;wsp:rsid wsp:val=&quot;00C52711&quot;/&gt;&lt;wsp:rsid wsp:val=&quot;00C52D2E&quot;/&gt;&lt;wsp:rsid wsp:val=&quot;00C53285&quot;/&gt;&lt;wsp:rsid wsp:val=&quot;00C532D3&quot;/&gt;&lt;wsp:rsid wsp:val=&quot;00C5345E&quot;/&gt;&lt;wsp:rsid wsp:val=&quot;00C53732&quot;/&gt;&lt;wsp:rsid wsp:val=&quot;00C537B7&quot;/&gt;&lt;wsp:rsid wsp:val=&quot;00C53C4D&quot;/&gt;&lt;wsp:rsid wsp:val=&quot;00C53F2E&quot;/&gt;&lt;wsp:rsid wsp:val=&quot;00C53FD8&quot;/&gt;&lt;wsp:rsid wsp:val=&quot;00C543D9&quot;/&gt;&lt;wsp:rsid wsp:val=&quot;00C545BA&quot;/&gt;&lt;wsp:rsid wsp:val=&quot;00C54680&quot;/&gt;&lt;wsp:rsid wsp:val=&quot;00C54EDD&quot;/&gt;&lt;wsp:rsid wsp:val=&quot;00C550DB&quot;/&gt;&lt;wsp:rsid wsp:val=&quot;00C551A6&quot;/&gt;&lt;wsp:rsid wsp:val=&quot;00C5536F&quot;/&gt;&lt;wsp:rsid wsp:val=&quot;00C554B2&quot;/&gt;&lt;wsp:rsid wsp:val=&quot;00C55B46&quot;/&gt;&lt;wsp:rsid wsp:val=&quot;00C56516&quot;/&gt;&lt;wsp:rsid wsp:val=&quot;00C567C6&quot;/&gt;&lt;wsp:rsid wsp:val=&quot;00C5688A&quot;/&gt;&lt;wsp:rsid wsp:val=&quot;00C568B1&quot;/&gt;&lt;wsp:rsid wsp:val=&quot;00C56F83&quot;/&gt;&lt;wsp:rsid wsp:val=&quot;00C575E1&quot;/&gt;&lt;wsp:rsid wsp:val=&quot;00C5761B&quot;/&gt;&lt;wsp:rsid wsp:val=&quot;00C5767A&quot;/&gt;&lt;wsp:rsid wsp:val=&quot;00C576F9&quot;/&gt;&lt;wsp:rsid wsp:val=&quot;00C57749&quot;/&gt;&lt;wsp:rsid wsp:val=&quot;00C57851&quot;/&gt;&lt;wsp:rsid wsp:val=&quot;00C5785B&quot;/&gt;&lt;wsp:rsid wsp:val=&quot;00C57B13&quot;/&gt;&lt;wsp:rsid wsp:val=&quot;00C57BDA&quot;/&gt;&lt;wsp:rsid wsp:val=&quot;00C57D5B&quot;/&gt;&lt;wsp:rsid wsp:val=&quot;00C57F7B&quot;/&gt;&lt;wsp:rsid wsp:val=&quot;00C606D6&quot;/&gt;&lt;wsp:rsid wsp:val=&quot;00C60AC9&quot;/&gt;&lt;wsp:rsid wsp:val=&quot;00C60BC0&quot;/&gt;&lt;wsp:rsid wsp:val=&quot;00C60F96&quot;/&gt;&lt;wsp:rsid wsp:val=&quot;00C61068&quot;/&gt;&lt;wsp:rsid wsp:val=&quot;00C61299&quot;/&gt;&lt;wsp:rsid wsp:val=&quot;00C61342&quot;/&gt;&lt;wsp:rsid wsp:val=&quot;00C6150E&quot;/&gt;&lt;wsp:rsid wsp:val=&quot;00C618A9&quot;/&gt;&lt;wsp:rsid wsp:val=&quot;00C618CD&quot;/&gt;&lt;wsp:rsid wsp:val=&quot;00C61AED&quot;/&gt;&lt;wsp:rsid wsp:val=&quot;00C61B05&quot;/&gt;&lt;wsp:rsid wsp:val=&quot;00C61C23&quot;/&gt;&lt;wsp:rsid wsp:val=&quot;00C625EC&quot;/&gt;&lt;wsp:rsid wsp:val=&quot;00C62E42&quot;/&gt;&lt;wsp:rsid wsp:val=&quot;00C62F74&quot;/&gt;&lt;wsp:rsid wsp:val=&quot;00C62F8B&quot;/&gt;&lt;wsp:rsid wsp:val=&quot;00C63281&quot;/&gt;&lt;wsp:rsid wsp:val=&quot;00C63448&quot;/&gt;&lt;wsp:rsid wsp:val=&quot;00C6363E&quot;/&gt;&lt;wsp:rsid wsp:val=&quot;00C63D1C&quot;/&gt;&lt;wsp:rsid wsp:val=&quot;00C6437F&quot;/&gt;&lt;wsp:rsid wsp:val=&quot;00C645E4&quot;/&gt;&lt;wsp:rsid wsp:val=&quot;00C64A11&quot;/&gt;&lt;wsp:rsid wsp:val=&quot;00C64ABA&quot;/&gt;&lt;wsp:rsid wsp:val=&quot;00C64B88&quot;/&gt;&lt;wsp:rsid wsp:val=&quot;00C64C46&quot;/&gt;&lt;wsp:rsid wsp:val=&quot;00C65872&quot;/&gt;&lt;wsp:rsid wsp:val=&quot;00C668F8&quot;/&gt;&lt;wsp:rsid wsp:val=&quot;00C66A6E&quot;/&gt;&lt;wsp:rsid wsp:val=&quot;00C66D96&quot;/&gt;&lt;wsp:rsid wsp:val=&quot;00C66F78&quot;/&gt;&lt;wsp:rsid wsp:val=&quot;00C66FA8&quot;/&gt;&lt;wsp:rsid wsp:val=&quot;00C7137D&quot;/&gt;&lt;wsp:rsid wsp:val=&quot;00C717DB&quot;/&gt;&lt;wsp:rsid wsp:val=&quot;00C71F59&quot;/&gt;&lt;wsp:rsid wsp:val=&quot;00C72570&quot;/&gt;&lt;wsp:rsid wsp:val=&quot;00C725EE&quot;/&gt;&lt;wsp:rsid wsp:val=&quot;00C72664&quot;/&gt;&lt;wsp:rsid wsp:val=&quot;00C72817&quot;/&gt;&lt;wsp:rsid wsp:val=&quot;00C72BC3&quot;/&gt;&lt;wsp:rsid wsp:val=&quot;00C73842&quot;/&gt;&lt;wsp:rsid wsp:val=&quot;00C740AC&quot;/&gt;&lt;wsp:rsid wsp:val=&quot;00C74129&quot;/&gt;&lt;wsp:rsid wsp:val=&quot;00C746E7&quot;/&gt;&lt;wsp:rsid wsp:val=&quot;00C7480E&quot;/&gt;&lt;wsp:rsid wsp:val=&quot;00C74A85&quot;/&gt;&lt;wsp:rsid wsp:val=&quot;00C74F88&quot;/&gt;&lt;wsp:rsid wsp:val=&quot;00C75502&quot;/&gt;&lt;wsp:rsid wsp:val=&quot;00C7580C&quot;/&gt;&lt;wsp:rsid wsp:val=&quot;00C75A4C&quot;/&gt;&lt;wsp:rsid wsp:val=&quot;00C76492&quot;/&gt;&lt;wsp:rsid wsp:val=&quot;00C764B2&quot;/&gt;&lt;wsp:rsid wsp:val=&quot;00C769F2&quot;/&gt;&lt;wsp:rsid wsp:val=&quot;00C76EDE&quot;/&gt;&lt;wsp:rsid wsp:val=&quot;00C771DD&quot;/&gt;&lt;wsp:rsid wsp:val=&quot;00C77671&quot;/&gt;&lt;wsp:rsid wsp:val=&quot;00C77F5C&quot;/&gt;&lt;wsp:rsid wsp:val=&quot;00C800F2&quot;/&gt;&lt;wsp:rsid wsp:val=&quot;00C8034F&quot;/&gt;&lt;wsp:rsid wsp:val=&quot;00C80A04&quot;/&gt;&lt;wsp:rsid wsp:val=&quot;00C812AF&quot;/&gt;&lt;wsp:rsid wsp:val=&quot;00C81486&quot;/&gt;&lt;wsp:rsid wsp:val=&quot;00C81CB5&quot;/&gt;&lt;wsp:rsid wsp:val=&quot;00C8243F&quot;/&gt;&lt;wsp:rsid wsp:val=&quot;00C83138&quot;/&gt;&lt;wsp:rsid wsp:val=&quot;00C8379F&quot;/&gt;&lt;wsp:rsid wsp:val=&quot;00C83A43&quot;/&gt;&lt;wsp:rsid wsp:val=&quot;00C83F90&quot;/&gt;&lt;wsp:rsid wsp:val=&quot;00C84259&quot;/&gt;&lt;wsp:rsid wsp:val=&quot;00C843F6&quot;/&gt;&lt;wsp:rsid wsp:val=&quot;00C84AEA&quot;/&gt;&lt;wsp:rsid wsp:val=&quot;00C84C16&quot;/&gt;&lt;wsp:rsid wsp:val=&quot;00C84D06&quot;/&gt;&lt;wsp:rsid wsp:val=&quot;00C84FD0&quot;/&gt;&lt;wsp:rsid wsp:val=&quot;00C85479&quot;/&gt;&lt;wsp:rsid wsp:val=&quot;00C859EE&quot;/&gt;&lt;wsp:rsid wsp:val=&quot;00C85A54&quot;/&gt;&lt;wsp:rsid wsp:val=&quot;00C85C60&quot;/&gt;&lt;wsp:rsid wsp:val=&quot;00C85D44&quot;/&gt;&lt;wsp:rsid wsp:val=&quot;00C85E37&quot;/&gt;&lt;wsp:rsid wsp:val=&quot;00C8606D&quot;/&gt;&lt;wsp:rsid wsp:val=&quot;00C863E9&quot;/&gt;&lt;wsp:rsid wsp:val=&quot;00C86ECA&quot;/&gt;&lt;wsp:rsid wsp:val=&quot;00C8760A&quot;/&gt;&lt;wsp:rsid wsp:val=&quot;00C87C14&quot;/&gt;&lt;wsp:rsid wsp:val=&quot;00C87CFF&quot;/&gt;&lt;wsp:rsid wsp:val=&quot;00C87E67&quot;/&gt;&lt;wsp:rsid wsp:val=&quot;00C87EBD&quot;/&gt;&lt;wsp:rsid wsp:val=&quot;00C907EB&quot;/&gt;&lt;wsp:rsid wsp:val=&quot;00C908EF&quot;/&gt;&lt;wsp:rsid wsp:val=&quot;00C90B9F&quot;/&gt;&lt;wsp:rsid wsp:val=&quot;00C9110A&quot;/&gt;&lt;wsp:rsid wsp:val=&quot;00C91415&quot;/&gt;&lt;wsp:rsid wsp:val=&quot;00C917E5&quot;/&gt;&lt;wsp:rsid wsp:val=&quot;00C91F37&quot;/&gt;&lt;wsp:rsid wsp:val=&quot;00C91F8B&quot;/&gt;&lt;wsp:rsid wsp:val=&quot;00C92241&quot;/&gt;&lt;wsp:rsid wsp:val=&quot;00C92A6B&quot;/&gt;&lt;wsp:rsid wsp:val=&quot;00C92B85&quot;/&gt;&lt;wsp:rsid wsp:val=&quot;00C92F53&quot;/&gt;&lt;wsp:rsid wsp:val=&quot;00C931FE&quot;/&gt;&lt;wsp:rsid wsp:val=&quot;00C93238&quot;/&gt;&lt;wsp:rsid wsp:val=&quot;00C933B8&quot;/&gt;&lt;wsp:rsid wsp:val=&quot;00C933D2&quot;/&gt;&lt;wsp:rsid wsp:val=&quot;00C943B9&quot;/&gt;&lt;wsp:rsid wsp:val=&quot;00C94D96&quot;/&gt;&lt;wsp:rsid wsp:val=&quot;00C9509A&quot;/&gt;&lt;wsp:rsid wsp:val=&quot;00C955E3&quot;/&gt;&lt;wsp:rsid wsp:val=&quot;00C96835&quot;/&gt;&lt;wsp:rsid wsp:val=&quot;00C96A9B&quot;/&gt;&lt;wsp:rsid wsp:val=&quot;00C96F59&quot;/&gt;&lt;wsp:rsid wsp:val=&quot;00C97485&quot;/&gt;&lt;wsp:rsid wsp:val=&quot;00C975A8&quot;/&gt;&lt;wsp:rsid wsp:val=&quot;00C97AF5&quot;/&gt;&lt;wsp:rsid wsp:val=&quot;00CA001C&quot;/&gt;&lt;wsp:rsid wsp:val=&quot;00CA01BC&quot;/&gt;&lt;wsp:rsid wsp:val=&quot;00CA0ABE&quot;/&gt;&lt;wsp:rsid wsp:val=&quot;00CA0EE9&quot;/&gt;&lt;wsp:rsid wsp:val=&quot;00CA1535&quot;/&gt;&lt;wsp:rsid wsp:val=&quot;00CA21F9&quot;/&gt;&lt;wsp:rsid wsp:val=&quot;00CA2376&quot;/&gt;&lt;wsp:rsid wsp:val=&quot;00CA317C&quot;/&gt;&lt;wsp:rsid wsp:val=&quot;00CA39B2&quot;/&gt;&lt;wsp:rsid wsp:val=&quot;00CA3AAF&quot;/&gt;&lt;wsp:rsid wsp:val=&quot;00CA3E82&quot;/&gt;&lt;wsp:rsid wsp:val=&quot;00CA412A&quot;/&gt;&lt;wsp:rsid wsp:val=&quot;00CA430A&quot;/&gt;&lt;wsp:rsid wsp:val=&quot;00CA45A0&quot;/&gt;&lt;wsp:rsid wsp:val=&quot;00CA4716&quot;/&gt;&lt;wsp:rsid wsp:val=&quot;00CA4AED&quot;/&gt;&lt;wsp:rsid wsp:val=&quot;00CA502F&quot;/&gt;&lt;wsp:rsid wsp:val=&quot;00CA5083&quot;/&gt;&lt;wsp:rsid wsp:val=&quot;00CA5326&quot;/&gt;&lt;wsp:rsid wsp:val=&quot;00CA5463&quot;/&gt;&lt;wsp:rsid wsp:val=&quot;00CA5694&quot;/&gt;&lt;wsp:rsid wsp:val=&quot;00CA5F4B&quot;/&gt;&lt;wsp:rsid wsp:val=&quot;00CA6F3B&quot;/&gt;&lt;wsp:rsid wsp:val=&quot;00CA7657&quot;/&gt;&lt;wsp:rsid wsp:val=&quot;00CA7FDD&quot;/&gt;&lt;wsp:rsid wsp:val=&quot;00CB021B&quot;/&gt;&lt;wsp:rsid wsp:val=&quot;00CB023E&quot;/&gt;&lt;wsp:rsid wsp:val=&quot;00CB05E8&quot;/&gt;&lt;wsp:rsid wsp:val=&quot;00CB0C4D&quot;/&gt;&lt;wsp:rsid wsp:val=&quot;00CB0CEE&quot;/&gt;&lt;wsp:rsid wsp:val=&quot;00CB0DF0&quot;/&gt;&lt;wsp:rsid wsp:val=&quot;00CB11E0&quot;/&gt;&lt;wsp:rsid wsp:val=&quot;00CB13A3&quot;/&gt;&lt;wsp:rsid wsp:val=&quot;00CB13EA&quot;/&gt;&lt;wsp:rsid wsp:val=&quot;00CB1490&quot;/&gt;&lt;wsp:rsid wsp:val=&quot;00CB1591&quot;/&gt;&lt;wsp:rsid wsp:val=&quot;00CB1924&quot;/&gt;&lt;wsp:rsid wsp:val=&quot;00CB1DD2&quot;/&gt;&lt;wsp:rsid wsp:val=&quot;00CB2915&quot;/&gt;&lt;wsp:rsid wsp:val=&quot;00CB2E41&quot;/&gt;&lt;wsp:rsid wsp:val=&quot;00CB2F87&quot;/&gt;&lt;wsp:rsid wsp:val=&quot;00CB3523&quot;/&gt;&lt;wsp:rsid wsp:val=&quot;00CB3D78&quot;/&gt;&lt;wsp:rsid wsp:val=&quot;00CB4541&quot;/&gt;&lt;wsp:rsid wsp:val=&quot;00CB4ABE&quot;/&gt;&lt;wsp:rsid wsp:val=&quot;00CB4E9E&quot;/&gt;&lt;wsp:rsid wsp:val=&quot;00CB5FAA&quot;/&gt;&lt;wsp:rsid wsp:val=&quot;00CB607E&quot;/&gt;&lt;wsp:rsid wsp:val=&quot;00CB6112&quot;/&gt;&lt;wsp:rsid wsp:val=&quot;00CB65FF&quot;/&gt;&lt;wsp:rsid wsp:val=&quot;00CB68DF&quot;/&gt;&lt;wsp:rsid wsp:val=&quot;00CB70A6&quot;/&gt;&lt;wsp:rsid wsp:val=&quot;00CB7214&quot;/&gt;&lt;wsp:rsid wsp:val=&quot;00CB7577&quot;/&gt;&lt;wsp:rsid wsp:val=&quot;00CB7914&quot;/&gt;&lt;wsp:rsid wsp:val=&quot;00CB7EAC&quot;/&gt;&lt;wsp:rsid wsp:val=&quot;00CC0607&quot;/&gt;&lt;wsp:rsid wsp:val=&quot;00CC0DEB&quot;/&gt;&lt;wsp:rsid wsp:val=&quot;00CC1308&quot;/&gt;&lt;wsp:rsid wsp:val=&quot;00CC1425&quot;/&gt;&lt;wsp:rsid wsp:val=&quot;00CC162D&quot;/&gt;&lt;wsp:rsid wsp:val=&quot;00CC1750&quot;/&gt;&lt;wsp:rsid wsp:val=&quot;00CC1B59&quot;/&gt;&lt;wsp:rsid wsp:val=&quot;00CC1B6C&quot;/&gt;&lt;wsp:rsid wsp:val=&quot;00CC1BB0&quot;/&gt;&lt;wsp:rsid wsp:val=&quot;00CC1D33&quot;/&gt;&lt;wsp:rsid wsp:val=&quot;00CC259F&quot;/&gt;&lt;wsp:rsid wsp:val=&quot;00CC2AB0&quot;/&gt;&lt;wsp:rsid wsp:val=&quot;00CC3AD3&quot;/&gt;&lt;wsp:rsid wsp:val=&quot;00CC3D3F&quot;/&gt;&lt;wsp:rsid wsp:val=&quot;00CC42C4&quot;/&gt;&lt;wsp:rsid wsp:val=&quot;00CC4951&quot;/&gt;&lt;wsp:rsid wsp:val=&quot;00CC5005&quot;/&gt;&lt;wsp:rsid wsp:val=&quot;00CC51C0&quot;/&gt;&lt;wsp:rsid wsp:val=&quot;00CC5356&quot;/&gt;&lt;wsp:rsid wsp:val=&quot;00CC630F&quot;/&gt;&lt;wsp:rsid wsp:val=&quot;00CC6480&quot;/&gt;&lt;wsp:rsid wsp:val=&quot;00CC69D2&quot;/&gt;&lt;wsp:rsid wsp:val=&quot;00CC7081&quot;/&gt;&lt;wsp:rsid wsp:val=&quot;00CC70C9&quot;/&gt;&lt;wsp:rsid wsp:val=&quot;00CC757A&quot;/&gt;&lt;wsp:rsid wsp:val=&quot;00CC7F0A&quot;/&gt;&lt;wsp:rsid wsp:val=&quot;00CD04DC&quot;/&gt;&lt;wsp:rsid wsp:val=&quot;00CD0654&quot;/&gt;&lt;wsp:rsid wsp:val=&quot;00CD0DBD&quot;/&gt;&lt;wsp:rsid wsp:val=&quot;00CD126F&quot;/&gt;&lt;wsp:rsid wsp:val=&quot;00CD13A9&quot;/&gt;&lt;wsp:rsid wsp:val=&quot;00CD1C5C&quot;/&gt;&lt;wsp:rsid wsp:val=&quot;00CD1D38&quot;/&gt;&lt;wsp:rsid wsp:val=&quot;00CD1DD8&quot;/&gt;&lt;wsp:rsid wsp:val=&quot;00CD2737&quot;/&gt;&lt;wsp:rsid wsp:val=&quot;00CD2CBE&quot;/&gt;&lt;wsp:rsid wsp:val=&quot;00CD3100&quot;/&gt;&lt;wsp:rsid wsp:val=&quot;00CD33EE&quot;/&gt;&lt;wsp:rsid wsp:val=&quot;00CD352F&quot;/&gt;&lt;wsp:rsid wsp:val=&quot;00CD35C6&quot;/&gt;&lt;wsp:rsid wsp:val=&quot;00CD3656&quot;/&gt;&lt;wsp:rsid wsp:val=&quot;00CD39AB&quot;/&gt;&lt;wsp:rsid wsp:val=&quot;00CD4624&quot;/&gt;&lt;wsp:rsid wsp:val=&quot;00CD46C0&quot;/&gt;&lt;wsp:rsid wsp:val=&quot;00CD4C1E&quot;/&gt;&lt;wsp:rsid wsp:val=&quot;00CD56E5&quot;/&gt;&lt;wsp:rsid wsp:val=&quot;00CD59B4&quot;/&gt;&lt;wsp:rsid wsp:val=&quot;00CD5AEC&quot;/&gt;&lt;wsp:rsid wsp:val=&quot;00CD5CE9&quot;/&gt;&lt;wsp:rsid wsp:val=&quot;00CD6421&quot;/&gt;&lt;wsp:rsid wsp:val=&quot;00CD65F7&quot;/&gt;&lt;wsp:rsid wsp:val=&quot;00CD664C&quot;/&gt;&lt;wsp:rsid wsp:val=&quot;00CD6688&quot;/&gt;&lt;wsp:rsid wsp:val=&quot;00CD6BB6&quot;/&gt;&lt;wsp:rsid wsp:val=&quot;00CD6C1B&quot;/&gt;&lt;wsp:rsid wsp:val=&quot;00CD75CB&quot;/&gt;&lt;wsp:rsid wsp:val=&quot;00CD79D2&quot;/&gt;&lt;wsp:rsid wsp:val=&quot;00CE0380&quot;/&gt;&lt;wsp:rsid wsp:val=&quot;00CE0870&quot;/&gt;&lt;wsp:rsid wsp:val=&quot;00CE0F5B&quot;/&gt;&lt;wsp:rsid wsp:val=&quot;00CE0FB5&quot;/&gt;&lt;wsp:rsid wsp:val=&quot;00CE1246&quot;/&gt;&lt;wsp:rsid wsp:val=&quot;00CE1704&quot;/&gt;&lt;wsp:rsid wsp:val=&quot;00CE250C&quot;/&gt;&lt;wsp:rsid wsp:val=&quot;00CE2717&quot;/&gt;&lt;wsp:rsid wsp:val=&quot;00CE2BD4&quot;/&gt;&lt;wsp:rsid wsp:val=&quot;00CE2DFC&quot;/&gt;&lt;wsp:rsid wsp:val=&quot;00CE3154&quot;/&gt;&lt;wsp:rsid wsp:val=&quot;00CE3359&quot;/&gt;&lt;wsp:rsid wsp:val=&quot;00CE4038&quot;/&gt;&lt;wsp:rsid wsp:val=&quot;00CE4AC6&quot;/&gt;&lt;wsp:rsid wsp:val=&quot;00CE4B67&quot;/&gt;&lt;wsp:rsid wsp:val=&quot;00CE505E&quot;/&gt;&lt;wsp:rsid wsp:val=&quot;00CE5625&quot;/&gt;&lt;wsp:rsid wsp:val=&quot;00CE5665&quot;/&gt;&lt;wsp:rsid wsp:val=&quot;00CE5B25&quot;/&gt;&lt;wsp:rsid wsp:val=&quot;00CE5E82&quot;/&gt;&lt;wsp:rsid wsp:val=&quot;00CE67DA&quot;/&gt;&lt;wsp:rsid wsp:val=&quot;00CE6A2D&quot;/&gt;&lt;wsp:rsid wsp:val=&quot;00CE73F7&quot;/&gt;&lt;wsp:rsid wsp:val=&quot;00CE7542&quot;/&gt;&lt;wsp:rsid wsp:val=&quot;00CE793E&quot;/&gt;&lt;wsp:rsid wsp:val=&quot;00CE7B06&quot;/&gt;&lt;wsp:rsid wsp:val=&quot;00CE7E3B&quot;/&gt;&lt;wsp:rsid wsp:val=&quot;00CE7F90&quot;/&gt;&lt;wsp:rsid wsp:val=&quot;00CF02EC&quot;/&gt;&lt;wsp:rsid wsp:val=&quot;00CF09F4&quot;/&gt;&lt;wsp:rsid wsp:val=&quot;00CF0CCA&quot;/&gt;&lt;wsp:rsid wsp:val=&quot;00CF0FE2&quot;/&gt;&lt;wsp:rsid wsp:val=&quot;00CF114C&quot;/&gt;&lt;wsp:rsid wsp:val=&quot;00CF143A&quot;/&gt;&lt;wsp:rsid wsp:val=&quot;00CF1F89&quot;/&gt;&lt;wsp:rsid wsp:val=&quot;00CF229C&quot;/&gt;&lt;wsp:rsid wsp:val=&quot;00CF2609&quot;/&gt;&lt;wsp:rsid wsp:val=&quot;00CF2615&quot;/&gt;&lt;wsp:rsid wsp:val=&quot;00CF2651&quot;/&gt;&lt;wsp:rsid wsp:val=&quot;00CF26CE&quot;/&gt;&lt;wsp:rsid wsp:val=&quot;00CF2994&quot;/&gt;&lt;wsp:rsid wsp:val=&quot;00CF3782&quot;/&gt;&lt;wsp:rsid wsp:val=&quot;00CF3C0C&quot;/&gt;&lt;wsp:rsid wsp:val=&quot;00CF441E&quot;/&gt;&lt;wsp:rsid wsp:val=&quot;00CF446C&quot;/&gt;&lt;wsp:rsid wsp:val=&quot;00CF4616&quot;/&gt;&lt;wsp:rsid wsp:val=&quot;00CF484F&quot;/&gt;&lt;wsp:rsid wsp:val=&quot;00CF4B3E&quot;/&gt;&lt;wsp:rsid wsp:val=&quot;00CF4C29&quot;/&gt;&lt;wsp:rsid wsp:val=&quot;00CF5493&quot;/&gt;&lt;wsp:rsid wsp:val=&quot;00CF659D&quot;/&gt;&lt;wsp:rsid wsp:val=&quot;00CF6957&quot;/&gt;&lt;wsp:rsid wsp:val=&quot;00CF7B29&quot;/&gt;&lt;wsp:rsid wsp:val=&quot;00CF7F58&quot;/&gt;&lt;wsp:rsid wsp:val=&quot;00D00110&quot;/&gt;&lt;wsp:rsid wsp:val=&quot;00D003E7&quot;/&gt;&lt;wsp:rsid wsp:val=&quot;00D00496&quot;/&gt;&lt;wsp:rsid wsp:val=&quot;00D008C0&quot;/&gt;&lt;wsp:rsid wsp:val=&quot;00D0182D&quot;/&gt;&lt;wsp:rsid wsp:val=&quot;00D01F7D&quot;/&gt;&lt;wsp:rsid wsp:val=&quot;00D01FC4&quot;/&gt;&lt;wsp:rsid wsp:val=&quot;00D021A2&quot;/&gt;&lt;wsp:rsid wsp:val=&quot;00D02382&quot;/&gt;&lt;wsp:rsid wsp:val=&quot;00D02841&quot;/&gt;&lt;wsp:rsid wsp:val=&quot;00D02D7C&quot;/&gt;&lt;wsp:rsid wsp:val=&quot;00D02F1C&quot;/&gt;&lt;wsp:rsid wsp:val=&quot;00D03115&quot;/&gt;&lt;wsp:rsid wsp:val=&quot;00D03436&quot;/&gt;&lt;wsp:rsid wsp:val=&quot;00D0387E&quot;/&gt;&lt;wsp:rsid wsp:val=&quot;00D03FAC&quot;/&gt;&lt;wsp:rsid wsp:val=&quot;00D03FE8&quot;/&gt;&lt;wsp:rsid wsp:val=&quot;00D04429&quot;/&gt;&lt;wsp:rsid wsp:val=&quot;00D047D0&quot;/&gt;&lt;wsp:rsid wsp:val=&quot;00D04B24&quot;/&gt;&lt;wsp:rsid wsp:val=&quot;00D05080&quot;/&gt;&lt;wsp:rsid wsp:val=&quot;00D054B1&quot;/&gt;&lt;wsp:rsid wsp:val=&quot;00D06174&quot;/&gt;&lt;wsp:rsid wsp:val=&quot;00D063BC&quot;/&gt;&lt;wsp:rsid wsp:val=&quot;00D066C4&quot;/&gt;&lt;wsp:rsid wsp:val=&quot;00D06866&quot;/&gt;&lt;wsp:rsid wsp:val=&quot;00D06C9F&quot;/&gt;&lt;wsp:rsid wsp:val=&quot;00D06E44&quot;/&gt;&lt;wsp:rsid wsp:val=&quot;00D072FB&quot;/&gt;&lt;wsp:rsid wsp:val=&quot;00D074F8&quot;/&gt;&lt;wsp:rsid wsp:val=&quot;00D07581&quot;/&gt;&lt;wsp:rsid wsp:val=&quot;00D07AB2&quot;/&gt;&lt;wsp:rsid wsp:val=&quot;00D07B9F&quot;/&gt;&lt;wsp:rsid wsp:val=&quot;00D106D2&quot;/&gt;&lt;wsp:rsid wsp:val=&quot;00D10B45&quot;/&gt;&lt;wsp:rsid wsp:val=&quot;00D1107C&quot;/&gt;&lt;wsp:rsid wsp:val=&quot;00D1143D&quot;/&gt;&lt;wsp:rsid wsp:val=&quot;00D1152D&quot;/&gt;&lt;wsp:rsid wsp:val=&quot;00D11922&quot;/&gt;&lt;wsp:rsid wsp:val=&quot;00D11A48&quot;/&gt;&lt;wsp:rsid wsp:val=&quot;00D123C5&quot;/&gt;&lt;wsp:rsid wsp:val=&quot;00D12657&quot;/&gt;&lt;wsp:rsid wsp:val=&quot;00D128FF&quot;/&gt;&lt;wsp:rsid wsp:val=&quot;00D12A1F&quot;/&gt;&lt;wsp:rsid wsp:val=&quot;00D12F15&quot;/&gt;&lt;wsp:rsid wsp:val=&quot;00D13E7A&quot;/&gt;&lt;wsp:rsid wsp:val=&quot;00D14279&quot;/&gt;&lt;wsp:rsid wsp:val=&quot;00D148AA&quot;/&gt;&lt;wsp:rsid wsp:val=&quot;00D148FC&quot;/&gt;&lt;wsp:rsid wsp:val=&quot;00D15199&quot;/&gt;&lt;wsp:rsid wsp:val=&quot;00D158AE&quot;/&gt;&lt;wsp:rsid wsp:val=&quot;00D15B02&quot;/&gt;&lt;wsp:rsid wsp:val=&quot;00D15C1B&quot;/&gt;&lt;wsp:rsid wsp:val=&quot;00D15E58&quot;/&gt;&lt;wsp:rsid wsp:val=&quot;00D15E5D&quot;/&gt;&lt;wsp:rsid wsp:val=&quot;00D15F2F&quot;/&gt;&lt;wsp:rsid wsp:val=&quot;00D161AF&quot;/&gt;&lt;wsp:rsid wsp:val=&quot;00D16209&quot;/&gt;&lt;wsp:rsid wsp:val=&quot;00D16359&quot;/&gt;&lt;wsp:rsid wsp:val=&quot;00D16BC8&quot;/&gt;&lt;wsp:rsid wsp:val=&quot;00D16BED&quot;/&gt;&lt;wsp:rsid wsp:val=&quot;00D16FF2&quot;/&gt;&lt;wsp:rsid wsp:val=&quot;00D17154&quot;/&gt;&lt;wsp:rsid wsp:val=&quot;00D1719F&quot;/&gt;&lt;wsp:rsid wsp:val=&quot;00D17240&quot;/&gt;&lt;wsp:rsid wsp:val=&quot;00D1758C&quot;/&gt;&lt;wsp:rsid wsp:val=&quot;00D17B23&quot;/&gt;&lt;wsp:rsid wsp:val=&quot;00D17B74&quot;/&gt;&lt;wsp:rsid wsp:val=&quot;00D200DB&quot;/&gt;&lt;wsp:rsid wsp:val=&quot;00D20202&quot;/&gt;&lt;wsp:rsid wsp:val=&quot;00D20682&quot;/&gt;&lt;wsp:rsid wsp:val=&quot;00D20B37&quot;/&gt;&lt;wsp:rsid wsp:val=&quot;00D20BE8&quot;/&gt;&lt;wsp:rsid wsp:val=&quot;00D21502&quot;/&gt;&lt;wsp:rsid wsp:val=&quot;00D21E04&quot;/&gt;&lt;wsp:rsid wsp:val=&quot;00D21F47&quot;/&gt;&lt;wsp:rsid wsp:val=&quot;00D22114&quot;/&gt;&lt;wsp:rsid wsp:val=&quot;00D227AB&quot;/&gt;&lt;wsp:rsid wsp:val=&quot;00D22885&quot;/&gt;&lt;wsp:rsid wsp:val=&quot;00D22905&quot;/&gt;&lt;wsp:rsid wsp:val=&quot;00D22FCC&quot;/&gt;&lt;wsp:rsid wsp:val=&quot;00D23086&quot;/&gt;&lt;wsp:rsid wsp:val=&quot;00D233FA&quot;/&gt;&lt;wsp:rsid wsp:val=&quot;00D234D4&quot;/&gt;&lt;wsp:rsid wsp:val=&quot;00D24D9E&quot;/&gt;&lt;wsp:rsid wsp:val=&quot;00D255D5&quot;/&gt;&lt;wsp:rsid wsp:val=&quot;00D25710&quot;/&gt;&lt;wsp:rsid wsp:val=&quot;00D25F3C&quot;/&gt;&lt;wsp:rsid wsp:val=&quot;00D26215&quot;/&gt;&lt;wsp:rsid wsp:val=&quot;00D279EB&quot;/&gt;&lt;wsp:rsid wsp:val=&quot;00D27BC8&quot;/&gt;&lt;wsp:rsid wsp:val=&quot;00D30031&quot;/&gt;&lt;wsp:rsid wsp:val=&quot;00D30304&quot;/&gt;&lt;wsp:rsid wsp:val=&quot;00D303E6&quot;/&gt;&lt;wsp:rsid wsp:val=&quot;00D30990&quot;/&gt;&lt;wsp:rsid wsp:val=&quot;00D3107B&quot;/&gt;&lt;wsp:rsid wsp:val=&quot;00D311A8&quot;/&gt;&lt;wsp:rsid wsp:val=&quot;00D314EA&quot;/&gt;&lt;wsp:rsid wsp:val=&quot;00D32050&quot;/&gt;&lt;wsp:rsid wsp:val=&quot;00D3210D&quot;/&gt;&lt;wsp:rsid wsp:val=&quot;00D32D29&quot;/&gt;&lt;wsp:rsid wsp:val=&quot;00D33046&quot;/&gt;&lt;wsp:rsid wsp:val=&quot;00D3344F&quot;/&gt;&lt;wsp:rsid wsp:val=&quot;00D33951&quot;/&gt;&lt;wsp:rsid wsp:val=&quot;00D33992&quot;/&gt;&lt;wsp:rsid wsp:val=&quot;00D3404A&quot;/&gt;&lt;wsp:rsid wsp:val=&quot;00D34B0E&quot;/&gt;&lt;wsp:rsid wsp:val=&quot;00D34D68&quot;/&gt;&lt;wsp:rsid wsp:val=&quot;00D3521C&quot;/&gt;&lt;wsp:rsid wsp:val=&quot;00D357ED&quot;/&gt;&lt;wsp:rsid wsp:val=&quot;00D3593B&quot;/&gt;&lt;wsp:rsid wsp:val=&quot;00D35CE6&quot;/&gt;&lt;wsp:rsid wsp:val=&quot;00D3615D&quot;/&gt;&lt;wsp:rsid wsp:val=&quot;00D36225&quot;/&gt;&lt;wsp:rsid wsp:val=&quot;00D3635F&quot;/&gt;&lt;wsp:rsid wsp:val=&quot;00D363A6&quot;/&gt;&lt;wsp:rsid wsp:val=&quot;00D369CB&quot;/&gt;&lt;wsp:rsid wsp:val=&quot;00D36C20&quot;/&gt;&lt;wsp:rsid wsp:val=&quot;00D3704F&quot;/&gt;&lt;wsp:rsid wsp:val=&quot;00D371FE&quot;/&gt;&lt;wsp:rsid wsp:val=&quot;00D375BC&quot;/&gt;&lt;wsp:rsid wsp:val=&quot;00D37BED&quot;/&gt;&lt;wsp:rsid wsp:val=&quot;00D37FC9&quot;/&gt;&lt;wsp:rsid wsp:val=&quot;00D4027F&quot;/&gt;&lt;wsp:rsid wsp:val=&quot;00D40BAC&quot;/&gt;&lt;wsp:rsid wsp:val=&quot;00D413EF&quot;/&gt;&lt;wsp:rsid wsp:val=&quot;00D4159E&quot;/&gt;&lt;wsp:rsid wsp:val=&quot;00D41860&quot;/&gt;&lt;wsp:rsid wsp:val=&quot;00D41A19&quot;/&gt;&lt;wsp:rsid wsp:val=&quot;00D42598&quot;/&gt;&lt;wsp:rsid wsp:val=&quot;00D42715&quot;/&gt;&lt;wsp:rsid wsp:val=&quot;00D428FC&quot;/&gt;&lt;wsp:rsid wsp:val=&quot;00D42C6F&quot;/&gt;&lt;wsp:rsid wsp:val=&quot;00D43754&quot;/&gt;&lt;wsp:rsid wsp:val=&quot;00D437D7&quot;/&gt;&lt;wsp:rsid wsp:val=&quot;00D43C0E&quot;/&gt;&lt;wsp:rsid wsp:val=&quot;00D44849&quot;/&gt;&lt;wsp:rsid wsp:val=&quot;00D448C0&quot;/&gt;&lt;wsp:rsid wsp:val=&quot;00D44C01&quot;/&gt;&lt;wsp:rsid wsp:val=&quot;00D44FA1&quot;/&gt;&lt;wsp:rsid wsp:val=&quot;00D4506E&quot;/&gt;&lt;wsp:rsid wsp:val=&quot;00D451F5&quot;/&gt;&lt;wsp:rsid wsp:val=&quot;00D4535F&quot;/&gt;&lt;wsp:rsid wsp:val=&quot;00D454A3&quot;/&gt;&lt;wsp:rsid wsp:val=&quot;00D45927&quot;/&gt;&lt;wsp:rsid wsp:val=&quot;00D4599C&quot;/&gt;&lt;wsp:rsid wsp:val=&quot;00D45A96&quot;/&gt;&lt;wsp:rsid wsp:val=&quot;00D462FE&quot;/&gt;&lt;wsp:rsid wsp:val=&quot;00D464AD&quot;/&gt;&lt;wsp:rsid wsp:val=&quot;00D464D7&quot;/&gt;&lt;wsp:rsid wsp:val=&quot;00D4728E&quot;/&gt;&lt;wsp:rsid wsp:val=&quot;00D47407&quot;/&gt;&lt;wsp:rsid wsp:val=&quot;00D50182&quot;/&gt;&lt;wsp:rsid wsp:val=&quot;00D507F8&quot;/&gt;&lt;wsp:rsid wsp:val=&quot;00D5104A&quot;/&gt;&lt;wsp:rsid wsp:val=&quot;00D51380&quot;/&gt;&lt;wsp:rsid wsp:val=&quot;00D514C2&quot;/&gt;&lt;wsp:rsid wsp:val=&quot;00D51D6E&quot;/&gt;&lt;wsp:rsid wsp:val=&quot;00D52177&quot;/&gt;&lt;wsp:rsid wsp:val=&quot;00D52786&quot;/&gt;&lt;wsp:rsid wsp:val=&quot;00D53024&quot;/&gt;&lt;wsp:rsid wsp:val=&quot;00D53085&quot;/&gt;&lt;wsp:rsid wsp:val=&quot;00D531D9&quot;/&gt;&lt;wsp:rsid wsp:val=&quot;00D531DF&quot;/&gt;&lt;wsp:rsid wsp:val=&quot;00D534C8&quot;/&gt;&lt;wsp:rsid wsp:val=&quot;00D541D3&quot;/&gt;&lt;wsp:rsid wsp:val=&quot;00D54608&quot;/&gt;&lt;wsp:rsid wsp:val=&quot;00D54A11&quot;/&gt;&lt;wsp:rsid wsp:val=&quot;00D54AD8&quot;/&gt;&lt;wsp:rsid wsp:val=&quot;00D54D48&quot;/&gt;&lt;wsp:rsid wsp:val=&quot;00D55229&quot;/&gt;&lt;wsp:rsid wsp:val=&quot;00D553F4&quot;/&gt;&lt;wsp:rsid wsp:val=&quot;00D55436&quot;/&gt;&lt;wsp:rsid wsp:val=&quot;00D55B87&quot;/&gt;&lt;wsp:rsid wsp:val=&quot;00D55D6A&quot;/&gt;&lt;wsp:rsid wsp:val=&quot;00D55E18&quot;/&gt;&lt;wsp:rsid wsp:val=&quot;00D55F89&quot;/&gt;&lt;wsp:rsid wsp:val=&quot;00D5684D&quot;/&gt;&lt;wsp:rsid wsp:val=&quot;00D568FF&quot;/&gt;&lt;wsp:rsid wsp:val=&quot;00D56D9C&quot;/&gt;&lt;wsp:rsid wsp:val=&quot;00D56DDD&quot;/&gt;&lt;wsp:rsid wsp:val=&quot;00D571CD&quot;/&gt;&lt;wsp:rsid wsp:val=&quot;00D57C96&quot;/&gt;&lt;wsp:rsid wsp:val=&quot;00D6000D&quot;/&gt;&lt;wsp:rsid wsp:val=&quot;00D609E3&quot;/&gt;&lt;wsp:rsid wsp:val=&quot;00D60A22&quot;/&gt;&lt;wsp:rsid wsp:val=&quot;00D60BCF&quot;/&gt;&lt;wsp:rsid wsp:val=&quot;00D60CCB&quot;/&gt;&lt;wsp:rsid wsp:val=&quot;00D60F9F&quot;/&gt;&lt;wsp:rsid wsp:val=&quot;00D610ED&quot;/&gt;&lt;wsp:rsid wsp:val=&quot;00D61683&quot;/&gt;&lt;wsp:rsid wsp:val=&quot;00D61749&quot;/&gt;&lt;wsp:rsid wsp:val=&quot;00D6197E&quot;/&gt;&lt;wsp:rsid wsp:val=&quot;00D61AA6&quot;/&gt;&lt;wsp:rsid wsp:val=&quot;00D61FB1&quot;/&gt;&lt;wsp:rsid wsp:val=&quot;00D621ED&quot;/&gt;&lt;wsp:rsid wsp:val=&quot;00D625CC&quot;/&gt;&lt;wsp:rsid wsp:val=&quot;00D62749&quot;/&gt;&lt;wsp:rsid wsp:val=&quot;00D62919&quot;/&gt;&lt;wsp:rsid wsp:val=&quot;00D62F1A&quot;/&gt;&lt;wsp:rsid wsp:val=&quot;00D63214&quot;/&gt;&lt;wsp:rsid wsp:val=&quot;00D638C9&quot;/&gt;&lt;wsp:rsid wsp:val=&quot;00D63DFD&quot;/&gt;&lt;wsp:rsid wsp:val=&quot;00D6460F&quot;/&gt;&lt;wsp:rsid wsp:val=&quot;00D64670&quot;/&gt;&lt;wsp:rsid wsp:val=&quot;00D64AD9&quot;/&gt;&lt;wsp:rsid wsp:val=&quot;00D64ECC&quot;/&gt;&lt;wsp:rsid wsp:val=&quot;00D652B4&quot;/&gt;&lt;wsp:rsid wsp:val=&quot;00D6560F&quot;/&gt;&lt;wsp:rsid wsp:val=&quot;00D65C82&quot;/&gt;&lt;wsp:rsid wsp:val=&quot;00D65F3F&quot;/&gt;&lt;wsp:rsid wsp:val=&quot;00D66048&quot;/&gt;&lt;wsp:rsid wsp:val=&quot;00D6631E&quot;/&gt;&lt;wsp:rsid wsp:val=&quot;00D66A4C&quot;/&gt;&lt;wsp:rsid wsp:val=&quot;00D66E12&quot;/&gt;&lt;wsp:rsid wsp:val=&quot;00D6717B&quot;/&gt;&lt;wsp:rsid wsp:val=&quot;00D671AC&quot;/&gt;&lt;wsp:rsid wsp:val=&quot;00D6768A&quot;/&gt;&lt;wsp:rsid wsp:val=&quot;00D67BC4&quot;/&gt;&lt;wsp:rsid wsp:val=&quot;00D67DA6&quot;/&gt;&lt;wsp:rsid wsp:val=&quot;00D70BE1&quot;/&gt;&lt;wsp:rsid wsp:val=&quot;00D70F6B&quot;/&gt;&lt;wsp:rsid wsp:val=&quot;00D717D2&quot;/&gt;&lt;wsp:rsid wsp:val=&quot;00D71814&quot;/&gt;&lt;wsp:rsid wsp:val=&quot;00D71B07&quot;/&gt;&lt;wsp:rsid wsp:val=&quot;00D720E8&quot;/&gt;&lt;wsp:rsid wsp:val=&quot;00D72159&quot;/&gt;&lt;wsp:rsid wsp:val=&quot;00D7266A&quot;/&gt;&lt;wsp:rsid wsp:val=&quot;00D72711&quot;/&gt;&lt;wsp:rsid wsp:val=&quot;00D72917&quot;/&gt;&lt;wsp:rsid wsp:val=&quot;00D72DF4&quot;/&gt;&lt;wsp:rsid wsp:val=&quot;00D72EA6&quot;/&gt;&lt;wsp:rsid wsp:val=&quot;00D72F77&quot;/&gt;&lt;wsp:rsid wsp:val=&quot;00D73036&quot;/&gt;&lt;wsp:rsid wsp:val=&quot;00D731D9&quot;/&gt;&lt;wsp:rsid wsp:val=&quot;00D7320F&quot;/&gt;&lt;wsp:rsid wsp:val=&quot;00D73858&quot;/&gt;&lt;wsp:rsid wsp:val=&quot;00D73938&quot;/&gt;&lt;wsp:rsid wsp:val=&quot;00D739DA&quot;/&gt;&lt;wsp:rsid wsp:val=&quot;00D73ED7&quot;/&gt;&lt;wsp:rsid wsp:val=&quot;00D740FD&quot;/&gt;&lt;wsp:rsid wsp:val=&quot;00D74D28&quot;/&gt;&lt;wsp:rsid wsp:val=&quot;00D75928&quot;/&gt;&lt;wsp:rsid wsp:val=&quot;00D75A84&quot;/&gt;&lt;wsp:rsid wsp:val=&quot;00D75B33&quot;/&gt;&lt;wsp:rsid wsp:val=&quot;00D75E24&quot;/&gt;&lt;wsp:rsid wsp:val=&quot;00D761E9&quot;/&gt;&lt;wsp:rsid wsp:val=&quot;00D76263&quot;/&gt;&lt;wsp:rsid wsp:val=&quot;00D763CE&quot;/&gt;&lt;wsp:rsid wsp:val=&quot;00D76C02&quot;/&gt;&lt;wsp:rsid wsp:val=&quot;00D77C2F&quot;/&gt;&lt;wsp:rsid wsp:val=&quot;00D77C5E&quot;/&gt;&lt;wsp:rsid wsp:val=&quot;00D8008F&quot;/&gt;&lt;wsp:rsid wsp:val=&quot;00D80115&quot;/&gt;&lt;wsp:rsid wsp:val=&quot;00D806C6&quot;/&gt;&lt;wsp:rsid wsp:val=&quot;00D80EF1&quot;/&gt;&lt;wsp:rsid wsp:val=&quot;00D816FD&quot;/&gt;&lt;wsp:rsid wsp:val=&quot;00D81A80&quot;/&gt;&lt;wsp:rsid wsp:val=&quot;00D81AF9&quot;/&gt;&lt;wsp:rsid wsp:val=&quot;00D82185&quot;/&gt;&lt;wsp:rsid wsp:val=&quot;00D8221F&quot;/&gt;&lt;wsp:rsid wsp:val=&quot;00D827BE&quot;/&gt;&lt;wsp:rsid wsp:val=&quot;00D82BFA&quot;/&gt;&lt;wsp:rsid wsp:val=&quot;00D82CE4&quot;/&gt;&lt;wsp:rsid wsp:val=&quot;00D82DED&quot;/&gt;&lt;wsp:rsid wsp:val=&quot;00D82EA9&quot;/&gt;&lt;wsp:rsid wsp:val=&quot;00D8303D&quot;/&gt;&lt;wsp:rsid wsp:val=&quot;00D83ABE&quot;/&gt;&lt;wsp:rsid wsp:val=&quot;00D84076&quot;/&gt;&lt;wsp:rsid wsp:val=&quot;00D840E7&quot;/&gt;&lt;wsp:rsid wsp:val=&quot;00D84B7C&quot;/&gt;&lt;wsp:rsid wsp:val=&quot;00D84C3D&quot;/&gt;&lt;wsp:rsid wsp:val=&quot;00D857D7&quot;/&gt;&lt;wsp:rsid wsp:val=&quot;00D86B3B&quot;/&gt;&lt;wsp:rsid wsp:val=&quot;00D86BDE&quot;/&gt;&lt;wsp:rsid wsp:val=&quot;00D87322&quot;/&gt;&lt;wsp:rsid wsp:val=&quot;00D87462&quot;/&gt;&lt;wsp:rsid wsp:val=&quot;00D87743&quot;/&gt;&lt;wsp:rsid wsp:val=&quot;00D87AB8&quot;/&gt;&lt;wsp:rsid wsp:val=&quot;00D9049A&quot;/&gt;&lt;wsp:rsid wsp:val=&quot;00D905A0&quot;/&gt;&lt;wsp:rsid wsp:val=&quot;00D909ED&quot;/&gt;&lt;wsp:rsid wsp:val=&quot;00D90C72&quot;/&gt;&lt;wsp:rsid wsp:val=&quot;00D912ED&quot;/&gt;&lt;wsp:rsid wsp:val=&quot;00D9158D&quot;/&gt;&lt;wsp:rsid wsp:val=&quot;00D91CA0&quot;/&gt;&lt;wsp:rsid wsp:val=&quot;00D91F58&quot;/&gt;&lt;wsp:rsid wsp:val=&quot;00D9233A&quot;/&gt;&lt;wsp:rsid wsp:val=&quot;00D92AF2&quot;/&gt;&lt;wsp:rsid wsp:val=&quot;00D92B7F&quot;/&gt;&lt;wsp:rsid wsp:val=&quot;00D93577&quot;/&gt;&lt;wsp:rsid wsp:val=&quot;00D93738&quot;/&gt;&lt;wsp:rsid wsp:val=&quot;00D937A2&quot;/&gt;&lt;wsp:rsid wsp:val=&quot;00D93D73&quot;/&gt;&lt;wsp:rsid wsp:val=&quot;00D93DD9&quot;/&gt;&lt;wsp:rsid wsp:val=&quot;00D93F02&quot;/&gt;&lt;wsp:rsid wsp:val=&quot;00D94020&quot;/&gt;&lt;wsp:rsid wsp:val=&quot;00D9411E&quot;/&gt;&lt;wsp:rsid wsp:val=&quot;00D942FD&quot;/&gt;&lt;wsp:rsid wsp:val=&quot;00D947F6&quot;/&gt;&lt;wsp:rsid wsp:val=&quot;00D94E79&quot;/&gt;&lt;wsp:rsid wsp:val=&quot;00D95526&quot;/&gt;&lt;wsp:rsid wsp:val=&quot;00D960EC&quot;/&gt;&lt;wsp:rsid wsp:val=&quot;00D962CE&quot;/&gt;&lt;wsp:rsid wsp:val=&quot;00D96D8B&quot;/&gt;&lt;wsp:rsid wsp:val=&quot;00D9709A&quot;/&gt;&lt;wsp:rsid wsp:val=&quot;00D97947&quot;/&gt;&lt;wsp:rsid wsp:val=&quot;00DA0465&quot;/&gt;&lt;wsp:rsid wsp:val=&quot;00DA0589&quot;/&gt;&lt;wsp:rsid wsp:val=&quot;00DA08C4&quot;/&gt;&lt;wsp:rsid wsp:val=&quot;00DA0B0B&quot;/&gt;&lt;wsp:rsid wsp:val=&quot;00DA0B9D&quot;/&gt;&lt;wsp:rsid wsp:val=&quot;00DA0D86&quot;/&gt;&lt;wsp:rsid wsp:val=&quot;00DA15BA&quot;/&gt;&lt;wsp:rsid wsp:val=&quot;00DA1B4C&quot;/&gt;&lt;wsp:rsid wsp:val=&quot;00DA21C0&quot;/&gt;&lt;wsp:rsid wsp:val=&quot;00DA2532&quot;/&gt;&lt;wsp:rsid wsp:val=&quot;00DA2A0A&quot;/&gt;&lt;wsp:rsid wsp:val=&quot;00DA2B31&quot;/&gt;&lt;wsp:rsid wsp:val=&quot;00DA2BD2&quot;/&gt;&lt;wsp:rsid wsp:val=&quot;00DA31B0&quot;/&gt;&lt;wsp:rsid wsp:val=&quot;00DA3924&quot;/&gt;&lt;wsp:rsid wsp:val=&quot;00DA3F61&quot;/&gt;&lt;wsp:rsid wsp:val=&quot;00DA4707&quot;/&gt;&lt;wsp:rsid wsp:val=&quot;00DA5406&quot;/&gt;&lt;wsp:rsid wsp:val=&quot;00DA5410&quot;/&gt;&lt;wsp:rsid wsp:val=&quot;00DA5558&quot;/&gt;&lt;wsp:rsid wsp:val=&quot;00DA5AB8&quot;/&gt;&lt;wsp:rsid wsp:val=&quot;00DA6261&quot;/&gt;&lt;wsp:rsid wsp:val=&quot;00DA68B8&quot;/&gt;&lt;wsp:rsid wsp:val=&quot;00DA69EE&quot;/&gt;&lt;wsp:rsid wsp:val=&quot;00DA6AE3&quot;/&gt;&lt;wsp:rsid wsp:val=&quot;00DA6E8E&quot;/&gt;&lt;wsp:rsid wsp:val=&quot;00DA6EAA&quot;/&gt;&lt;wsp:rsid wsp:val=&quot;00DA6F9E&quot;/&gt;&lt;wsp:rsid wsp:val=&quot;00DA7288&quot;/&gt;&lt;wsp:rsid wsp:val=&quot;00DA77BE&quot;/&gt;&lt;wsp:rsid wsp:val=&quot;00DA7CBB&quot;/&gt;&lt;wsp:rsid wsp:val=&quot;00DA7CE8&quot;/&gt;&lt;wsp:rsid wsp:val=&quot;00DA7F4B&quot;/&gt;&lt;wsp:rsid wsp:val=&quot;00DB005C&quot;/&gt;&lt;wsp:rsid wsp:val=&quot;00DB0578&quot;/&gt;&lt;wsp:rsid wsp:val=&quot;00DB060E&quot;/&gt;&lt;wsp:rsid wsp:val=&quot;00DB0832&quot;/&gt;&lt;wsp:rsid wsp:val=&quot;00DB0DEB&quot;/&gt;&lt;wsp:rsid wsp:val=&quot;00DB0FD2&quot;/&gt;&lt;wsp:rsid wsp:val=&quot;00DB1048&quot;/&gt;&lt;wsp:rsid wsp:val=&quot;00DB1668&quot;/&gt;&lt;wsp:rsid wsp:val=&quot;00DB1AE8&quot;/&gt;&lt;wsp:rsid wsp:val=&quot;00DB1CEB&quot;/&gt;&lt;wsp:rsid wsp:val=&quot;00DB1D70&quot;/&gt;&lt;wsp:rsid wsp:val=&quot;00DB2583&quot;/&gt;&lt;wsp:rsid wsp:val=&quot;00DB2BD2&quot;/&gt;&lt;wsp:rsid wsp:val=&quot;00DB30ED&quot;/&gt;&lt;wsp:rsid wsp:val=&quot;00DB3127&quot;/&gt;&lt;wsp:rsid wsp:val=&quot;00DB3438&quot;/&gt;&lt;wsp:rsid wsp:val=&quot;00DB3C41&quot;/&gt;&lt;wsp:rsid wsp:val=&quot;00DB465F&quot;/&gt;&lt;wsp:rsid wsp:val=&quot;00DB6691&quot;/&gt;&lt;wsp:rsid wsp:val=&quot;00DB67AB&quot;/&gt;&lt;wsp:rsid wsp:val=&quot;00DB69B5&quot;/&gt;&lt;wsp:rsid wsp:val=&quot;00DB78F5&quot;/&gt;&lt;wsp:rsid wsp:val=&quot;00DC02B2&quot;/&gt;&lt;wsp:rsid wsp:val=&quot;00DC041C&quot;/&gt;&lt;wsp:rsid wsp:val=&quot;00DC089F&quot;/&gt;&lt;wsp:rsid wsp:val=&quot;00DC0F12&quot;/&gt;&lt;wsp:rsid wsp:val=&quot;00DC11A9&quot;/&gt;&lt;wsp:rsid wsp:val=&quot;00DC14D0&quot;/&gt;&lt;wsp:rsid wsp:val=&quot;00DC1DA6&quot;/&gt;&lt;wsp:rsid wsp:val=&quot;00DC24EC&quot;/&gt;&lt;wsp:rsid wsp:val=&quot;00DC263D&quot;/&gt;&lt;wsp:rsid wsp:val=&quot;00DC39B2&quot;/&gt;&lt;wsp:rsid wsp:val=&quot;00DC4252&quot;/&gt;&lt;wsp:rsid wsp:val=&quot;00DC4316&quot;/&gt;&lt;wsp:rsid wsp:val=&quot;00DC463A&quot;/&gt;&lt;wsp:rsid wsp:val=&quot;00DC47AE&quot;/&gt;&lt;wsp:rsid wsp:val=&quot;00DC4946&quot;/&gt;&lt;wsp:rsid wsp:val=&quot;00DC4EFD&quot;/&gt;&lt;wsp:rsid wsp:val=&quot;00DC59C9&quot;/&gt;&lt;wsp:rsid wsp:val=&quot;00DC6543&quot;/&gt;&lt;wsp:rsid wsp:val=&quot;00DC65B5&quot;/&gt;&lt;wsp:rsid wsp:val=&quot;00DC6941&quot;/&gt;&lt;wsp:rsid wsp:val=&quot;00DC6E5A&quot;/&gt;&lt;wsp:rsid wsp:val=&quot;00DC7885&quot;/&gt;&lt;wsp:rsid wsp:val=&quot;00DC78C4&quot;/&gt;&lt;wsp:rsid wsp:val=&quot;00DC7B6F&quot;/&gt;&lt;wsp:rsid wsp:val=&quot;00DD0246&quot;/&gt;&lt;wsp:rsid wsp:val=&quot;00DD0A70&quot;/&gt;&lt;wsp:rsid wsp:val=&quot;00DD0E58&quot;/&gt;&lt;wsp:rsid wsp:val=&quot;00DD1711&quot;/&gt;&lt;wsp:rsid wsp:val=&quot;00DD18E3&quot;/&gt;&lt;wsp:rsid wsp:val=&quot;00DD21F6&quot;/&gt;&lt;wsp:rsid wsp:val=&quot;00DD237A&quot;/&gt;&lt;wsp:rsid wsp:val=&quot;00DD25EE&quot;/&gt;&lt;wsp:rsid wsp:val=&quot;00DD2628&quot;/&gt;&lt;wsp:rsid wsp:val=&quot;00DD2795&quot;/&gt;&lt;wsp:rsid wsp:val=&quot;00DD2B5A&quot;/&gt;&lt;wsp:rsid wsp:val=&quot;00DD2BE0&quot;/&gt;&lt;wsp:rsid wsp:val=&quot;00DD2ED4&quot;/&gt;&lt;wsp:rsid wsp:val=&quot;00DD3337&quot;/&gt;&lt;wsp:rsid wsp:val=&quot;00DD460B&quot;/&gt;&lt;wsp:rsid wsp:val=&quot;00DD4684&quot;/&gt;&lt;wsp:rsid wsp:val=&quot;00DD493C&quot;/&gt;&lt;wsp:rsid wsp:val=&quot;00DD4A1A&quot;/&gt;&lt;wsp:rsid wsp:val=&quot;00DD4CC6&quot;/&gt;&lt;wsp:rsid wsp:val=&quot;00DD50A5&quot;/&gt;&lt;wsp:rsid wsp:val=&quot;00DD52CD&quot;/&gt;&lt;wsp:rsid wsp:val=&quot;00DD5454&quot;/&gt;&lt;wsp:rsid wsp:val=&quot;00DD58E5&quot;/&gt;&lt;wsp:rsid wsp:val=&quot;00DD5A0D&quot;/&gt;&lt;wsp:rsid wsp:val=&quot;00DD5FA7&quot;/&gt;&lt;wsp:rsid wsp:val=&quot;00DD60FC&quot;/&gt;&lt;wsp:rsid wsp:val=&quot;00DD6432&quot;/&gt;&lt;wsp:rsid wsp:val=&quot;00DD6C05&quot;/&gt;&lt;wsp:rsid wsp:val=&quot;00DD792A&quot;/&gt;&lt;wsp:rsid wsp:val=&quot;00DE0252&quot;/&gt;&lt;wsp:rsid wsp:val=&quot;00DE0711&quot;/&gt;&lt;wsp:rsid wsp:val=&quot;00DE0ECD&quot;/&gt;&lt;wsp:rsid wsp:val=&quot;00DE129C&quot;/&gt;&lt;wsp:rsid wsp:val=&quot;00DE14DE&quot;/&gt;&lt;wsp:rsid wsp:val=&quot;00DE1638&quot;/&gt;&lt;wsp:rsid wsp:val=&quot;00DE1699&quot;/&gt;&lt;wsp:rsid wsp:val=&quot;00DE1880&quot;/&gt;&lt;wsp:rsid wsp:val=&quot;00DE1935&quot;/&gt;&lt;wsp:rsid wsp:val=&quot;00DE1BE4&quot;/&gt;&lt;wsp:rsid wsp:val=&quot;00DE2B0D&quot;/&gt;&lt;wsp:rsid wsp:val=&quot;00DE2D43&quot;/&gt;&lt;wsp:rsid wsp:val=&quot;00DE377A&quot;/&gt;&lt;wsp:rsid wsp:val=&quot;00DE4271&quot;/&gt;&lt;wsp:rsid wsp:val=&quot;00DE453F&quot;/&gt;&lt;wsp:rsid wsp:val=&quot;00DE4590&quot;/&gt;&lt;wsp:rsid wsp:val=&quot;00DE45B5&quot;/&gt;&lt;wsp:rsid wsp:val=&quot;00DE4632&quot;/&gt;&lt;wsp:rsid wsp:val=&quot;00DE4A0E&quot;/&gt;&lt;wsp:rsid wsp:val=&quot;00DE4B59&quot;/&gt;&lt;wsp:rsid wsp:val=&quot;00DE4F72&quot;/&gt;&lt;wsp:rsid wsp:val=&quot;00DE5037&quot;/&gt;&lt;wsp:rsid wsp:val=&quot;00DE5287&quot;/&gt;&lt;wsp:rsid wsp:val=&quot;00DE55C6&quot;/&gt;&lt;wsp:rsid wsp:val=&quot;00DE6070&quot;/&gt;&lt;wsp:rsid wsp:val=&quot;00DE6142&quot;/&gt;&lt;wsp:rsid wsp:val=&quot;00DE6790&quot;/&gt;&lt;wsp:rsid wsp:val=&quot;00DE69E3&quot;/&gt;&lt;wsp:rsid wsp:val=&quot;00DE6FA7&quot;/&gt;&lt;wsp:rsid wsp:val=&quot;00DE731E&quot;/&gt;&lt;wsp:rsid wsp:val=&quot;00DE769F&quot;/&gt;&lt;wsp:rsid wsp:val=&quot;00DE7701&quot;/&gt;&lt;wsp:rsid wsp:val=&quot;00DE7726&quot;/&gt;&lt;wsp:rsid wsp:val=&quot;00DE793B&quot;/&gt;&lt;wsp:rsid wsp:val=&quot;00DE7CB7&quot;/&gt;&lt;wsp:rsid wsp:val=&quot;00DE7E7D&quot;/&gt;&lt;wsp:rsid wsp:val=&quot;00DF03D5&quot;/&gt;&lt;wsp:rsid wsp:val=&quot;00DF059A&quot;/&gt;&lt;wsp:rsid wsp:val=&quot;00DF06C5&quot;/&gt;&lt;wsp:rsid wsp:val=&quot;00DF0738&quot;/&gt;&lt;wsp:rsid wsp:val=&quot;00DF0866&quot;/&gt;&lt;wsp:rsid wsp:val=&quot;00DF0BF6&quot;/&gt;&lt;wsp:rsid wsp:val=&quot;00DF0CFC&quot;/&gt;&lt;wsp:rsid wsp:val=&quot;00DF10B1&quot;/&gt;&lt;wsp:rsid wsp:val=&quot;00DF1A2A&quot;/&gt;&lt;wsp:rsid wsp:val=&quot;00DF22D9&quot;/&gt;&lt;wsp:rsid wsp:val=&quot;00DF2339&quot;/&gt;&lt;wsp:rsid wsp:val=&quot;00DF25E9&quot;/&gt;&lt;wsp:rsid wsp:val=&quot;00DF2C22&quot;/&gt;&lt;wsp:rsid wsp:val=&quot;00DF3226&quot;/&gt;&lt;wsp:rsid wsp:val=&quot;00DF3536&quot;/&gt;&lt;wsp:rsid wsp:val=&quot;00DF36D5&quot;/&gt;&lt;wsp:rsid wsp:val=&quot;00DF3B61&quot;/&gt;&lt;wsp:rsid wsp:val=&quot;00DF4113&quot;/&gt;&lt;wsp:rsid wsp:val=&quot;00DF4CA4&quot;/&gt;&lt;wsp:rsid wsp:val=&quot;00DF57D2&quot;/&gt;&lt;wsp:rsid wsp:val=&quot;00DF5A1B&quot;/&gt;&lt;wsp:rsid wsp:val=&quot;00DF61CC&quot;/&gt;&lt;wsp:rsid wsp:val=&quot;00DF684E&quot;/&gt;&lt;wsp:rsid wsp:val=&quot;00DF6CE4&quot;/&gt;&lt;wsp:rsid wsp:val=&quot;00DF7481&quot;/&gt;&lt;wsp:rsid wsp:val=&quot;00DF7F0C&quot;/&gt;&lt;wsp:rsid wsp:val=&quot;00DF7FBC&quot;/&gt;&lt;wsp:rsid wsp:val=&quot;00E000AC&quot;/&gt;&lt;wsp:rsid wsp:val=&quot;00E00296&quot;/&gt;&lt;wsp:rsid wsp:val=&quot;00E00326&quot;/&gt;&lt;wsp:rsid wsp:val=&quot;00E003FA&quot;/&gt;&lt;wsp:rsid wsp:val=&quot;00E00AD1&quot;/&gt;&lt;wsp:rsid wsp:val=&quot;00E01358&quot;/&gt;&lt;wsp:rsid wsp:val=&quot;00E013E0&quot;/&gt;&lt;wsp:rsid wsp:val=&quot;00E014AA&quot;/&gt;&lt;wsp:rsid wsp:val=&quot;00E016C7&quot;/&gt;&lt;wsp:rsid wsp:val=&quot;00E017DA&quot;/&gt;&lt;wsp:rsid wsp:val=&quot;00E01837&quot;/&gt;&lt;wsp:rsid wsp:val=&quot;00E01A1A&quot;/&gt;&lt;wsp:rsid wsp:val=&quot;00E01B5C&quot;/&gt;&lt;wsp:rsid wsp:val=&quot;00E01BA4&quot;/&gt;&lt;wsp:rsid wsp:val=&quot;00E01F11&quot;/&gt;&lt;wsp:rsid wsp:val=&quot;00E02121&quot;/&gt;&lt;wsp:rsid wsp:val=&quot;00E02153&quot;/&gt;&lt;wsp:rsid wsp:val=&quot;00E029D5&quot;/&gt;&lt;wsp:rsid wsp:val=&quot;00E02BB8&quot;/&gt;&lt;wsp:rsid wsp:val=&quot;00E03356&quot;/&gt;&lt;wsp:rsid wsp:val=&quot;00E0339B&quot;/&gt;&lt;wsp:rsid wsp:val=&quot;00E035ED&quot;/&gt;&lt;wsp:rsid wsp:val=&quot;00E03944&quot;/&gt;&lt;wsp:rsid wsp:val=&quot;00E04022&quot;/&gt;&lt;wsp:rsid wsp:val=&quot;00E04406&quot;/&gt;&lt;wsp:rsid wsp:val=&quot;00E04C8F&quot;/&gt;&lt;wsp:rsid wsp:val=&quot;00E04DA3&quot;/&gt;&lt;wsp:rsid wsp:val=&quot;00E04F1C&quot;/&gt;&lt;wsp:rsid wsp:val=&quot;00E05235&quot;/&gt;&lt;wsp:rsid wsp:val=&quot;00E0537A&quot;/&gt;&lt;wsp:rsid wsp:val=&quot;00E05752&quot;/&gt;&lt;wsp:rsid wsp:val=&quot;00E05DC2&quot;/&gt;&lt;wsp:rsid wsp:val=&quot;00E05DEA&quot;/&gt;&lt;wsp:rsid wsp:val=&quot;00E065EB&quot;/&gt;&lt;wsp:rsid wsp:val=&quot;00E06C4B&quot;/&gt;&lt;wsp:rsid wsp:val=&quot;00E0724D&quot;/&gt;&lt;wsp:rsid wsp:val=&quot;00E07389&quot;/&gt;&lt;wsp:rsid wsp:val=&quot;00E07FA8&quot;/&gt;&lt;wsp:rsid wsp:val=&quot;00E10170&quot;/&gt;&lt;wsp:rsid wsp:val=&quot;00E10530&quot;/&gt;&lt;wsp:rsid wsp:val=&quot;00E108BD&quot;/&gt;&lt;wsp:rsid wsp:val=&quot;00E111FB&quot;/&gt;&lt;wsp:rsid wsp:val=&quot;00E115E7&quot;/&gt;&lt;wsp:rsid wsp:val=&quot;00E11D72&quot;/&gt;&lt;wsp:rsid wsp:val=&quot;00E1214E&quot;/&gt;&lt;wsp:rsid wsp:val=&quot;00E12291&quot;/&gt;&lt;wsp:rsid wsp:val=&quot;00E12547&quot;/&gt;&lt;wsp:rsid wsp:val=&quot;00E12A62&quot;/&gt;&lt;wsp:rsid wsp:val=&quot;00E131DA&quot;/&gt;&lt;wsp:rsid wsp:val=&quot;00E134FC&quot;/&gt;&lt;wsp:rsid wsp:val=&quot;00E139C4&quot;/&gt;&lt;wsp:rsid wsp:val=&quot;00E13C4D&quot;/&gt;&lt;wsp:rsid wsp:val=&quot;00E13E18&quot;/&gt;&lt;wsp:rsid wsp:val=&quot;00E13EC2&quot;/&gt;&lt;wsp:rsid wsp:val=&quot;00E13F22&quot;/&gt;&lt;wsp:rsid wsp:val=&quot;00E14349&quot;/&gt;&lt;wsp:rsid wsp:val=&quot;00E148DC&quot;/&gt;&lt;wsp:rsid wsp:val=&quot;00E1499B&quot;/&gt;&lt;wsp:rsid wsp:val=&quot;00E14A7A&quot;/&gt;&lt;wsp:rsid wsp:val=&quot;00E14DD7&quot;/&gt;&lt;wsp:rsid wsp:val=&quot;00E152F0&quot;/&gt;&lt;wsp:rsid wsp:val=&quot;00E153EE&quot;/&gt;&lt;wsp:rsid wsp:val=&quot;00E15854&quot;/&gt;&lt;wsp:rsid wsp:val=&quot;00E158AD&quot;/&gt;&lt;wsp:rsid wsp:val=&quot;00E15C89&quot;/&gt;&lt;wsp:rsid wsp:val=&quot;00E15E86&quot;/&gt;&lt;wsp:rsid wsp:val=&quot;00E167C8&quot;/&gt;&lt;wsp:rsid wsp:val=&quot;00E170EE&quot;/&gt;&lt;wsp:rsid wsp:val=&quot;00E17348&quot;/&gt;&lt;wsp:rsid wsp:val=&quot;00E17707&quot;/&gt;&lt;wsp:rsid wsp:val=&quot;00E177B0&quot;/&gt;&lt;wsp:rsid wsp:val=&quot;00E17B2F&quot;/&gt;&lt;wsp:rsid wsp:val=&quot;00E17E86&quot;/&gt;&lt;wsp:rsid wsp:val=&quot;00E17F53&quot;/&gt;&lt;wsp:rsid wsp:val=&quot;00E20277&quot;/&gt;&lt;wsp:rsid wsp:val=&quot;00E20361&quot;/&gt;&lt;wsp:rsid wsp:val=&quot;00E2049C&quot;/&gt;&lt;wsp:rsid wsp:val=&quot;00E20B8A&quot;/&gt;&lt;wsp:rsid wsp:val=&quot;00E20DDE&quot;/&gt;&lt;wsp:rsid wsp:val=&quot;00E2172A&quot;/&gt;&lt;wsp:rsid wsp:val=&quot;00E22E03&quot;/&gt;&lt;wsp:rsid wsp:val=&quot;00E22EE2&quot;/&gt;&lt;wsp:rsid wsp:val=&quot;00E2317F&quot;/&gt;&lt;wsp:rsid wsp:val=&quot;00E23740&quot;/&gt;&lt;wsp:rsid wsp:val=&quot;00E23ACC&quot;/&gt;&lt;wsp:rsid wsp:val=&quot;00E23FF4&quot;/&gt;&lt;wsp:rsid wsp:val=&quot;00E24791&quot;/&gt;&lt;wsp:rsid wsp:val=&quot;00E2486E&quot;/&gt;&lt;wsp:rsid wsp:val=&quot;00E24EB7&quot;/&gt;&lt;wsp:rsid wsp:val=&quot;00E25290&quot;/&gt;&lt;wsp:rsid wsp:val=&quot;00E25665&quot;/&gt;&lt;wsp:rsid wsp:val=&quot;00E25A4E&quot;/&gt;&lt;wsp:rsid wsp:val=&quot;00E25AC2&quot;/&gt;&lt;wsp:rsid wsp:val=&quot;00E25EFA&quot;/&gt;&lt;wsp:rsid wsp:val=&quot;00E265A7&quot;/&gt;&lt;wsp:rsid wsp:val=&quot;00E26A18&quot;/&gt;&lt;wsp:rsid wsp:val=&quot;00E2716F&quot;/&gt;&lt;wsp:rsid wsp:val=&quot;00E271E8&quot;/&gt;&lt;wsp:rsid wsp:val=&quot;00E2722E&quot;/&gt;&lt;wsp:rsid wsp:val=&quot;00E27A00&quot;/&gt;&lt;wsp:rsid wsp:val=&quot;00E27AC6&quot;/&gt;&lt;wsp:rsid wsp:val=&quot;00E27DB6&quot;/&gt;&lt;wsp:rsid wsp:val=&quot;00E27E76&quot;/&gt;&lt;wsp:rsid wsp:val=&quot;00E27EF7&quot;/&gt;&lt;wsp:rsid wsp:val=&quot;00E30DEE&quot;/&gt;&lt;wsp:rsid wsp:val=&quot;00E30F4B&quot;/&gt;&lt;wsp:rsid wsp:val=&quot;00E310DA&quot;/&gt;&lt;wsp:rsid wsp:val=&quot;00E31501&quot;/&gt;&lt;wsp:rsid wsp:val=&quot;00E31666&quot;/&gt;&lt;wsp:rsid wsp:val=&quot;00E31949&quot;/&gt;&lt;wsp:rsid wsp:val=&quot;00E320B7&quot;/&gt;&lt;wsp:rsid wsp:val=&quot;00E32765&quot;/&gt;&lt;wsp:rsid wsp:val=&quot;00E32AFE&quot;/&gt;&lt;wsp:rsid wsp:val=&quot;00E32C4E&quot;/&gt;&lt;wsp:rsid wsp:val=&quot;00E330E8&quot;/&gt;&lt;wsp:rsid wsp:val=&quot;00E33506&quot;/&gt;&lt;wsp:rsid wsp:val=&quot;00E33ECA&quot;/&gt;&lt;wsp:rsid wsp:val=&quot;00E340AC&quot;/&gt;&lt;wsp:rsid wsp:val=&quot;00E3428A&quot;/&gt;&lt;wsp:rsid wsp:val=&quot;00E34FC5&quot;/&gt;&lt;wsp:rsid wsp:val=&quot;00E35AA6&quot;/&gt;&lt;wsp:rsid wsp:val=&quot;00E35C89&quot;/&gt;&lt;wsp:rsid wsp:val=&quot;00E36195&quot;/&gt;&lt;wsp:rsid wsp:val=&quot;00E363B3&quot;/&gt;&lt;wsp:rsid wsp:val=&quot;00E36450&quot;/&gt;&lt;wsp:rsid wsp:val=&quot;00E36BF6&quot;/&gt;&lt;wsp:rsid wsp:val=&quot;00E3755E&quot;/&gt;&lt;wsp:rsid wsp:val=&quot;00E37CCC&quot;/&gt;&lt;wsp:rsid wsp:val=&quot;00E40058&quot;/&gt;&lt;wsp:rsid wsp:val=&quot;00E402A3&quot;/&gt;&lt;wsp:rsid wsp:val=&quot;00E407A2&quot;/&gt;&lt;wsp:rsid wsp:val=&quot;00E409C4&quot;/&gt;&lt;wsp:rsid wsp:val=&quot;00E40DE1&quot;/&gt;&lt;wsp:rsid wsp:val=&quot;00E40E96&quot;/&gt;&lt;wsp:rsid wsp:val=&quot;00E4126C&quot;/&gt;&lt;wsp:rsid wsp:val=&quot;00E412D5&quot;/&gt;&lt;wsp:rsid wsp:val=&quot;00E41BA4&quot;/&gt;&lt;wsp:rsid wsp:val=&quot;00E42410&quot;/&gt;&lt;wsp:rsid wsp:val=&quot;00E428F3&quot;/&gt;&lt;wsp:rsid wsp:val=&quot;00E429BA&quot;/&gt;&lt;wsp:rsid wsp:val=&quot;00E42CFD&quot;/&gt;&lt;wsp:rsid wsp:val=&quot;00E42D9E&quot;/&gt;&lt;wsp:rsid wsp:val=&quot;00E434F7&quot;/&gt;&lt;wsp:rsid wsp:val=&quot;00E43804&quot;/&gt;&lt;wsp:rsid wsp:val=&quot;00E43B35&quot;/&gt;&lt;wsp:rsid wsp:val=&quot;00E44441&quot;/&gt;&lt;wsp:rsid wsp:val=&quot;00E44C4F&quot;/&gt;&lt;wsp:rsid wsp:val=&quot;00E455BF&quot;/&gt;&lt;wsp:rsid wsp:val=&quot;00E45650&quot;/&gt;&lt;wsp:rsid wsp:val=&quot;00E45B1D&quot;/&gt;&lt;wsp:rsid wsp:val=&quot;00E4636D&quot;/&gt;&lt;wsp:rsid wsp:val=&quot;00E46569&quot;/&gt;&lt;wsp:rsid wsp:val=&quot;00E471B0&quot;/&gt;&lt;wsp:rsid wsp:val=&quot;00E474CD&quot;/&gt;&lt;wsp:rsid wsp:val=&quot;00E47A9E&quot;/&gt;&lt;wsp:rsid wsp:val=&quot;00E50592&quot;/&gt;&lt;wsp:rsid wsp:val=&quot;00E5087A&quot;/&gt;&lt;wsp:rsid wsp:val=&quot;00E50B5B&quot;/&gt;&lt;wsp:rsid wsp:val=&quot;00E51E77&quot;/&gt;&lt;wsp:rsid wsp:val=&quot;00E521B4&quot;/&gt;&lt;wsp:rsid wsp:val=&quot;00E521CA&quot;/&gt;&lt;wsp:rsid wsp:val=&quot;00E52628&quot;/&gt;&lt;wsp:rsid wsp:val=&quot;00E5274E&quot;/&gt;&lt;wsp:rsid wsp:val=&quot;00E530CA&quot;/&gt;&lt;wsp:rsid wsp:val=&quot;00E534EE&quot;/&gt;&lt;wsp:rsid wsp:val=&quot;00E538E5&quot;/&gt;&lt;wsp:rsid wsp:val=&quot;00E540B7&quot;/&gt;&lt;wsp:rsid wsp:val=&quot;00E54470&quot;/&gt;&lt;wsp:rsid wsp:val=&quot;00E5499E&quot;/&gt;&lt;wsp:rsid wsp:val=&quot;00E553BC&quot;/&gt;&lt;wsp:rsid wsp:val=&quot;00E556B0&quot;/&gt;&lt;wsp:rsid wsp:val=&quot;00E56529&quot;/&gt;&lt;wsp:rsid wsp:val=&quot;00E56602&quot;/&gt;&lt;wsp:rsid wsp:val=&quot;00E566F6&quot;/&gt;&lt;wsp:rsid wsp:val=&quot;00E5718E&quot;/&gt;&lt;wsp:rsid wsp:val=&quot;00E5747A&quot;/&gt;&lt;wsp:rsid wsp:val=&quot;00E577EB&quot;/&gt;&lt;wsp:rsid wsp:val=&quot;00E57D4C&quot;/&gt;&lt;wsp:rsid wsp:val=&quot;00E57EA9&quot;/&gt;&lt;wsp:rsid wsp:val=&quot;00E6000D&quot;/&gt;&lt;wsp:rsid wsp:val=&quot;00E602AE&quot;/&gt;&lt;wsp:rsid wsp:val=&quot;00E60B02&quot;/&gt;&lt;wsp:rsid wsp:val=&quot;00E60BC6&quot;/&gt;&lt;wsp:rsid wsp:val=&quot;00E6152C&quot;/&gt;&lt;wsp:rsid wsp:val=&quot;00E615CC&quot;/&gt;&lt;wsp:rsid wsp:val=&quot;00E61643&quot;/&gt;&lt;wsp:rsid wsp:val=&quot;00E61B64&quot;/&gt;&lt;wsp:rsid wsp:val=&quot;00E61DA2&quot;/&gt;&lt;wsp:rsid wsp:val=&quot;00E61FF7&quot;/&gt;&lt;wsp:rsid wsp:val=&quot;00E620A4&quot;/&gt;&lt;wsp:rsid wsp:val=&quot;00E62378&quot;/&gt;&lt;wsp:rsid wsp:val=&quot;00E62D08&quot;/&gt;&lt;wsp:rsid wsp:val=&quot;00E6342E&quot;/&gt;&lt;wsp:rsid wsp:val=&quot;00E634D7&quot;/&gt;&lt;wsp:rsid wsp:val=&quot;00E63888&quot;/&gt;&lt;wsp:rsid wsp:val=&quot;00E63A78&quot;/&gt;&lt;wsp:rsid wsp:val=&quot;00E64490&quot;/&gt;&lt;wsp:rsid wsp:val=&quot;00E648BC&quot;/&gt;&lt;wsp:rsid wsp:val=&quot;00E64F05&quot;/&gt;&lt;wsp:rsid wsp:val=&quot;00E6559F&quot;/&gt;&lt;wsp:rsid wsp:val=&quot;00E6597C&quot;/&gt;&lt;wsp:rsid wsp:val=&quot;00E65BD5&quot;/&gt;&lt;wsp:rsid wsp:val=&quot;00E666F7&quot;/&gt;&lt;wsp:rsid wsp:val=&quot;00E66817&quot;/&gt;&lt;wsp:rsid wsp:val=&quot;00E66B3B&quot;/&gt;&lt;wsp:rsid wsp:val=&quot;00E66C80&quot;/&gt;&lt;wsp:rsid wsp:val=&quot;00E66FCC&quot;/&gt;&lt;wsp:rsid wsp:val=&quot;00E6726C&quot;/&gt;&lt;wsp:rsid wsp:val=&quot;00E67305&quot;/&gt;&lt;wsp:rsid wsp:val=&quot;00E676E8&quot;/&gt;&lt;wsp:rsid wsp:val=&quot;00E67CFC&quot;/&gt;&lt;wsp:rsid wsp:val=&quot;00E67DE8&quot;/&gt;&lt;wsp:rsid wsp:val=&quot;00E67E17&quot;/&gt;&lt;wsp:rsid wsp:val=&quot;00E709FC&quot;/&gt;&lt;wsp:rsid wsp:val=&quot;00E70D65&quot;/&gt;&lt;wsp:rsid wsp:val=&quot;00E71116&quot;/&gt;&lt;wsp:rsid wsp:val=&quot;00E71C10&quot;/&gt;&lt;wsp:rsid wsp:val=&quot;00E72584&quot;/&gt;&lt;wsp:rsid wsp:val=&quot;00E727F7&quot;/&gt;&lt;wsp:rsid wsp:val=&quot;00E72C49&quot;/&gt;&lt;wsp:rsid wsp:val=&quot;00E72FC1&quot;/&gt;&lt;wsp:rsid wsp:val=&quot;00E73299&quot;/&gt;&lt;wsp:rsid wsp:val=&quot;00E73403&quot;/&gt;&lt;wsp:rsid wsp:val=&quot;00E735EB&quot;/&gt;&lt;wsp:rsid wsp:val=&quot;00E7375C&quot;/&gt;&lt;wsp:rsid wsp:val=&quot;00E737BA&quot;/&gt;&lt;wsp:rsid wsp:val=&quot;00E742CC&quot;/&gt;&lt;wsp:rsid wsp:val=&quot;00E758CF&quot;/&gt;&lt;wsp:rsid wsp:val=&quot;00E765B3&quot;/&gt;&lt;wsp:rsid wsp:val=&quot;00E76BE7&quot;/&gt;&lt;wsp:rsid wsp:val=&quot;00E76F87&quot;/&gt;&lt;wsp:rsid wsp:val=&quot;00E771D2&quot;/&gt;&lt;wsp:rsid wsp:val=&quot;00E77392&quot;/&gt;&lt;wsp:rsid wsp:val=&quot;00E77887&quot;/&gt;&lt;wsp:rsid wsp:val=&quot;00E77BA9&quot;/&gt;&lt;wsp:rsid wsp:val=&quot;00E77DB6&quot;/&gt;&lt;wsp:rsid wsp:val=&quot;00E77E9E&quot;/&gt;&lt;wsp:rsid wsp:val=&quot;00E77EA6&quot;/&gt;&lt;wsp:rsid wsp:val=&quot;00E82093&quot;/&gt;&lt;wsp:rsid wsp:val=&quot;00E82B78&quot;/&gt;&lt;wsp:rsid wsp:val=&quot;00E82DF6&quot;/&gt;&lt;wsp:rsid wsp:val=&quot;00E830E9&quot;/&gt;&lt;wsp:rsid wsp:val=&quot;00E83291&quot;/&gt;&lt;wsp:rsid wsp:val=&quot;00E84403&quot;/&gt;&lt;wsp:rsid wsp:val=&quot;00E84B2F&quot;/&gt;&lt;wsp:rsid wsp:val=&quot;00E84E72&quot;/&gt;&lt;wsp:rsid wsp:val=&quot;00E8503F&quot;/&gt;&lt;wsp:rsid wsp:val=&quot;00E85056&quot;/&gt;&lt;wsp:rsid wsp:val=&quot;00E855B7&quot;/&gt;&lt;wsp:rsid wsp:val=&quot;00E85A7E&quot;/&gt;&lt;wsp:rsid wsp:val=&quot;00E85EA8&quot;/&gt;&lt;wsp:rsid wsp:val=&quot;00E86976&quot;/&gt;&lt;wsp:rsid wsp:val=&quot;00E86E83&quot;/&gt;&lt;wsp:rsid wsp:val=&quot;00E86F0F&quot;/&gt;&lt;wsp:rsid wsp:val=&quot;00E87147&quot;/&gt;&lt;wsp:rsid wsp:val=&quot;00E87224&quot;/&gt;&lt;wsp:rsid wsp:val=&quot;00E87562&quot;/&gt;&lt;wsp:rsid wsp:val=&quot;00E875DC&quot;/&gt;&lt;wsp:rsid wsp:val=&quot;00E87610&quot;/&gt;&lt;wsp:rsid wsp:val=&quot;00E87F4F&quot;/&gt;&lt;wsp:rsid wsp:val=&quot;00E908A9&quot;/&gt;&lt;wsp:rsid wsp:val=&quot;00E90A0E&quot;/&gt;&lt;wsp:rsid wsp:val=&quot;00E90D5D&quot;/&gt;&lt;wsp:rsid wsp:val=&quot;00E90EE9&quot;/&gt;&lt;wsp:rsid wsp:val=&quot;00E9186D&quot;/&gt;&lt;wsp:rsid wsp:val=&quot;00E91C84&quot;/&gt;&lt;wsp:rsid wsp:val=&quot;00E91CFE&quot;/&gt;&lt;wsp:rsid wsp:val=&quot;00E91F54&quot;/&gt;&lt;wsp:rsid wsp:val=&quot;00E9227E&quot;/&gt;&lt;wsp:rsid wsp:val=&quot;00E92678&quot;/&gt;&lt;wsp:rsid wsp:val=&quot;00E928D2&quot;/&gt;&lt;wsp:rsid wsp:val=&quot;00E92A87&quot;/&gt;&lt;wsp:rsid wsp:val=&quot;00E93F31&quot;/&gt;&lt;wsp:rsid wsp:val=&quot;00E94090&quot;/&gt;&lt;wsp:rsid wsp:val=&quot;00E944CF&quot;/&gt;&lt;wsp:rsid wsp:val=&quot;00E94A17&quot;/&gt;&lt;wsp:rsid wsp:val=&quot;00E94A76&quot;/&gt;&lt;wsp:rsid wsp:val=&quot;00E95684&quot;/&gt;&lt;wsp:rsid wsp:val=&quot;00E963FE&quot;/&gt;&lt;wsp:rsid wsp:val=&quot;00E96CA8&quot;/&gt;&lt;wsp:rsid wsp:val=&quot;00E96D46&quot;/&gt;&lt;wsp:rsid wsp:val=&quot;00E96D63&quot;/&gt;&lt;wsp:rsid wsp:val=&quot;00E96EF3&quot;/&gt;&lt;wsp:rsid wsp:val=&quot;00E9740A&quot;/&gt;&lt;wsp:rsid wsp:val=&quot;00E97486&quot;/&gt;&lt;wsp:rsid wsp:val=&quot;00E9781E&quot;/&gt;&lt;wsp:rsid wsp:val=&quot;00E97A65&quot;/&gt;&lt;wsp:rsid wsp:val=&quot;00EA1304&quot;/&gt;&lt;wsp:rsid wsp:val=&quot;00EA16B4&quot;/&gt;&lt;wsp:rsid wsp:val=&quot;00EA1817&quot;/&gt;&lt;wsp:rsid wsp:val=&quot;00EA2141&quot;/&gt;&lt;wsp:rsid wsp:val=&quot;00EA2C52&quot;/&gt;&lt;wsp:rsid wsp:val=&quot;00EA2E5C&quot;/&gt;&lt;wsp:rsid wsp:val=&quot;00EA2FD3&quot;/&gt;&lt;wsp:rsid wsp:val=&quot;00EA3A05&quot;/&gt;&lt;wsp:rsid wsp:val=&quot;00EA3FBF&quot;/&gt;&lt;wsp:rsid wsp:val=&quot;00EA41D7&quot;/&gt;&lt;wsp:rsid wsp:val=&quot;00EA4686&quot;/&gt;&lt;wsp:rsid wsp:val=&quot;00EA56D4&quot;/&gt;&lt;wsp:rsid wsp:val=&quot;00EA5873&quot;/&gt;&lt;wsp:rsid wsp:val=&quot;00EA5BD7&quot;/&gt;&lt;wsp:rsid wsp:val=&quot;00EA5F94&quot;/&gt;&lt;wsp:rsid wsp:val=&quot;00EA6460&quot;/&gt;&lt;wsp:rsid wsp:val=&quot;00EA7481&quot;/&gt;&lt;wsp:rsid wsp:val=&quot;00EA7E71&quot;/&gt;&lt;wsp:rsid wsp:val=&quot;00EB0C4E&quot;/&gt;&lt;wsp:rsid wsp:val=&quot;00EB0CEF&quot;/&gt;&lt;wsp:rsid wsp:val=&quot;00EB0E26&quot;/&gt;&lt;wsp:rsid wsp:val=&quot;00EB0FD6&quot;/&gt;&lt;wsp:rsid wsp:val=&quot;00EB103B&quot;/&gt;&lt;wsp:rsid wsp:val=&quot;00EB118F&quot;/&gt;&lt;wsp:rsid wsp:val=&quot;00EB1426&quot;/&gt;&lt;wsp:rsid wsp:val=&quot;00EB1651&quot;/&gt;&lt;wsp:rsid wsp:val=&quot;00EB175E&quot;/&gt;&lt;wsp:rsid wsp:val=&quot;00EB1AE1&quot;/&gt;&lt;wsp:rsid wsp:val=&quot;00EB1DD9&quot;/&gt;&lt;wsp:rsid wsp:val=&quot;00EB1E28&quot;/&gt;&lt;wsp:rsid wsp:val=&quot;00EB2099&quot;/&gt;&lt;wsp:rsid wsp:val=&quot;00EB2167&quot;/&gt;&lt;wsp:rsid wsp:val=&quot;00EB2B15&quot;/&gt;&lt;wsp:rsid wsp:val=&quot;00EB2D68&quot;/&gt;&lt;wsp:rsid wsp:val=&quot;00EB3091&quot;/&gt;&lt;wsp:rsid wsp:val=&quot;00EB3210&quot;/&gt;&lt;wsp:rsid wsp:val=&quot;00EB322F&quot;/&gt;&lt;wsp:rsid wsp:val=&quot;00EB3308&quot;/&gt;&lt;wsp:rsid wsp:val=&quot;00EB3916&quot;/&gt;&lt;wsp:rsid wsp:val=&quot;00EB3CA7&quot;/&gt;&lt;wsp:rsid wsp:val=&quot;00EB3DD0&quot;/&gt;&lt;wsp:rsid wsp:val=&quot;00EB54AA&quot;/&gt;&lt;wsp:rsid wsp:val=&quot;00EB5672&quot;/&gt;&lt;wsp:rsid wsp:val=&quot;00EB57F6&quot;/&gt;&lt;wsp:rsid wsp:val=&quot;00EB5814&quot;/&gt;&lt;wsp:rsid wsp:val=&quot;00EB5AF8&quot;/&gt;&lt;wsp:rsid wsp:val=&quot;00EB5C48&quot;/&gt;&lt;wsp:rsid wsp:val=&quot;00EB61B0&quot;/&gt;&lt;wsp:rsid wsp:val=&quot;00EB7B8B&quot;/&gt;&lt;wsp:rsid wsp:val=&quot;00EC035D&quot;/&gt;&lt;wsp:rsid wsp:val=&quot;00EC098C&quot;/&gt;&lt;wsp:rsid wsp:val=&quot;00EC10FD&quot;/&gt;&lt;wsp:rsid wsp:val=&quot;00EC157C&quot;/&gt;&lt;wsp:rsid wsp:val=&quot;00EC16EB&quot;/&gt;&lt;wsp:rsid wsp:val=&quot;00EC1958&quot;/&gt;&lt;wsp:rsid wsp:val=&quot;00EC1F5A&quot;/&gt;&lt;wsp:rsid wsp:val=&quot;00EC238C&quot;/&gt;&lt;wsp:rsid wsp:val=&quot;00EC25C6&quot;/&gt;&lt;wsp:rsid wsp:val=&quot;00EC274F&quot;/&gt;&lt;wsp:rsid wsp:val=&quot;00EC291B&quot;/&gt;&lt;wsp:rsid wsp:val=&quot;00EC2E61&quot;/&gt;&lt;wsp:rsid wsp:val=&quot;00EC2EDB&quot;/&gt;&lt;wsp:rsid wsp:val=&quot;00EC329B&quot;/&gt;&lt;wsp:rsid wsp:val=&quot;00EC32AE&quot;/&gt;&lt;wsp:rsid wsp:val=&quot;00EC4032&quot;/&gt;&lt;wsp:rsid wsp:val=&quot;00EC4398&quot;/&gt;&lt;wsp:rsid wsp:val=&quot;00EC44DF&quot;/&gt;&lt;wsp:rsid wsp:val=&quot;00EC457B&quot;/&gt;&lt;wsp:rsid wsp:val=&quot;00EC5263&quot;/&gt;&lt;wsp:rsid wsp:val=&quot;00EC54D0&quot;/&gt;&lt;wsp:rsid wsp:val=&quot;00EC5554&quot;/&gt;&lt;wsp:rsid wsp:val=&quot;00EC588D&quot;/&gt;&lt;wsp:rsid wsp:val=&quot;00EC5AE6&quot;/&gt;&lt;wsp:rsid wsp:val=&quot;00EC642A&quot;/&gt;&lt;wsp:rsid wsp:val=&quot;00EC6581&quot;/&gt;&lt;wsp:rsid wsp:val=&quot;00EC6662&quot;/&gt;&lt;wsp:rsid wsp:val=&quot;00EC66B5&quot;/&gt;&lt;wsp:rsid wsp:val=&quot;00EC69BD&quot;/&gt;&lt;wsp:rsid wsp:val=&quot;00EC6E3B&quot;/&gt;&lt;wsp:rsid wsp:val=&quot;00EC6E55&quot;/&gt;&lt;wsp:rsid wsp:val=&quot;00EC6ECA&quot;/&gt;&lt;wsp:rsid wsp:val=&quot;00EC6F1E&quot;/&gt;&lt;wsp:rsid wsp:val=&quot;00EC755B&quot;/&gt;&lt;wsp:rsid wsp:val=&quot;00EC7BD0&quot;/&gt;&lt;wsp:rsid wsp:val=&quot;00EC7C6D&quot;/&gt;&lt;wsp:rsid wsp:val=&quot;00ED0532&quot;/&gt;&lt;wsp:rsid wsp:val=&quot;00ED07EE&quot;/&gt;&lt;wsp:rsid wsp:val=&quot;00ED0FED&quot;/&gt;&lt;wsp:rsid wsp:val=&quot;00ED15B5&quot;/&gt;&lt;wsp:rsid wsp:val=&quot;00ED1861&quot;/&gt;&lt;wsp:rsid wsp:val=&quot;00ED18A1&quot;/&gt;&lt;wsp:rsid wsp:val=&quot;00ED1C74&quot;/&gt;&lt;wsp:rsid wsp:val=&quot;00ED209E&quot;/&gt;&lt;wsp:rsid wsp:val=&quot;00ED2194&quot;/&gt;&lt;wsp:rsid wsp:val=&quot;00ED23B8&quot;/&gt;&lt;wsp:rsid wsp:val=&quot;00ED2406&quot;/&gt;&lt;wsp:rsid wsp:val=&quot;00ED2517&quot;/&gt;&lt;wsp:rsid wsp:val=&quot;00ED2B4D&quot;/&gt;&lt;wsp:rsid wsp:val=&quot;00ED2C3E&quot;/&gt;&lt;wsp:rsid wsp:val=&quot;00ED3376&quot;/&gt;&lt;wsp:rsid wsp:val=&quot;00ED339F&quot;/&gt;&lt;wsp:rsid wsp:val=&quot;00ED36A0&quot;/&gt;&lt;wsp:rsid wsp:val=&quot;00ED36D7&quot;/&gt;&lt;wsp:rsid wsp:val=&quot;00ED383A&quot;/&gt;&lt;wsp:rsid wsp:val=&quot;00ED3921&quot;/&gt;&lt;wsp:rsid wsp:val=&quot;00ED3B1C&quot;/&gt;&lt;wsp:rsid wsp:val=&quot;00ED40F9&quot;/&gt;&lt;wsp:rsid wsp:val=&quot;00ED456A&quot;/&gt;&lt;wsp:rsid wsp:val=&quot;00ED476F&quot;/&gt;&lt;wsp:rsid wsp:val=&quot;00ED47C4&quot;/&gt;&lt;wsp:rsid wsp:val=&quot;00ED47DD&quot;/&gt;&lt;wsp:rsid wsp:val=&quot;00ED4C7F&quot;/&gt;&lt;wsp:rsid wsp:val=&quot;00ED51FC&quot;/&gt;&lt;wsp:rsid wsp:val=&quot;00ED5337&quot;/&gt;&lt;wsp:rsid wsp:val=&quot;00ED5587&quot;/&gt;&lt;wsp:rsid wsp:val=&quot;00ED5BC3&quot;/&gt;&lt;wsp:rsid wsp:val=&quot;00ED5C37&quot;/&gt;&lt;wsp:rsid wsp:val=&quot;00ED5CAF&quot;/&gt;&lt;wsp:rsid wsp:val=&quot;00ED753B&quot;/&gt;&lt;wsp:rsid wsp:val=&quot;00ED7919&quot;/&gt;&lt;wsp:rsid wsp:val=&quot;00ED7ED6&quot;/&gt;&lt;wsp:rsid wsp:val=&quot;00EE00F6&quot;/&gt;&lt;wsp:rsid wsp:val=&quot;00EE0301&quot;/&gt;&lt;wsp:rsid wsp:val=&quot;00EE08B6&quot;/&gt;&lt;wsp:rsid wsp:val=&quot;00EE1298&quot;/&gt;&lt;wsp:rsid wsp:val=&quot;00EE2341&quot;/&gt;&lt;wsp:rsid wsp:val=&quot;00EE242F&quot;/&gt;&lt;wsp:rsid wsp:val=&quot;00EE2D04&quot;/&gt;&lt;wsp:rsid wsp:val=&quot;00EE2FA3&quot;/&gt;&lt;wsp:rsid wsp:val=&quot;00EE3319&quot;/&gt;&lt;wsp:rsid wsp:val=&quot;00EE3630&quot;/&gt;&lt;wsp:rsid wsp:val=&quot;00EE386C&quot;/&gt;&lt;wsp:rsid wsp:val=&quot;00EE41AD&quot;/&gt;&lt;wsp:rsid wsp:val=&quot;00EE4237&quot;/&gt;&lt;wsp:rsid wsp:val=&quot;00EE4680&quot;/&gt;&lt;wsp:rsid wsp:val=&quot;00EE4E5C&quot;/&gt;&lt;wsp:rsid wsp:val=&quot;00EE506A&quot;/&gt;&lt;wsp:rsid wsp:val=&quot;00EE564A&quot;/&gt;&lt;wsp:rsid wsp:val=&quot;00EE6685&quot;/&gt;&lt;wsp:rsid wsp:val=&quot;00EE6A25&quot;/&gt;&lt;wsp:rsid wsp:val=&quot;00EE7054&quot;/&gt;&lt;wsp:rsid wsp:val=&quot;00EE75DF&quot;/&gt;&lt;wsp:rsid wsp:val=&quot;00EE764D&quot;/&gt;&lt;wsp:rsid wsp:val=&quot;00EF0160&quot;/&gt;&lt;wsp:rsid wsp:val=&quot;00EF017D&quot;/&gt;&lt;wsp:rsid wsp:val=&quot;00EF0537&quot;/&gt;&lt;wsp:rsid wsp:val=&quot;00EF0BA0&quot;/&gt;&lt;wsp:rsid wsp:val=&quot;00EF0D2B&quot;/&gt;&lt;wsp:rsid wsp:val=&quot;00EF13EC&quot;/&gt;&lt;wsp:rsid wsp:val=&quot;00EF188B&quot;/&gt;&lt;wsp:rsid wsp:val=&quot;00EF1A04&quot;/&gt;&lt;wsp:rsid wsp:val=&quot;00EF254C&quot;/&gt;&lt;wsp:rsid wsp:val=&quot;00EF2D03&quot;/&gt;&lt;wsp:rsid wsp:val=&quot;00EF2F12&quot;/&gt;&lt;wsp:rsid wsp:val=&quot;00EF3128&quot;/&gt;&lt;wsp:rsid wsp:val=&quot;00EF3EA3&quot;/&gt;&lt;wsp:rsid wsp:val=&quot;00EF42F8&quot;/&gt;&lt;wsp:rsid wsp:val=&quot;00EF466A&quot;/&gt;&lt;wsp:rsid wsp:val=&quot;00EF4E5B&quot;/&gt;&lt;wsp:rsid wsp:val=&quot;00EF5253&quot;/&gt;&lt;wsp:rsid wsp:val=&quot;00EF5485&quot;/&gt;&lt;wsp:rsid wsp:val=&quot;00EF5536&quot;/&gt;&lt;wsp:rsid wsp:val=&quot;00EF5C78&quot;/&gt;&lt;wsp:rsid wsp:val=&quot;00EF66CA&quot;/&gt;&lt;wsp:rsid wsp:val=&quot;00EF68D3&quot;/&gt;&lt;wsp:rsid wsp:val=&quot;00EF691A&quot;/&gt;&lt;wsp:rsid wsp:val=&quot;00EF6978&quot;/&gt;&lt;wsp:rsid wsp:val=&quot;00EF75D4&quot;/&gt;&lt;wsp:rsid wsp:val=&quot;00EF789F&quot;/&gt;&lt;wsp:rsid wsp:val=&quot;00EF7FAA&quot;/&gt;&lt;wsp:rsid wsp:val=&quot;00F00029&quot;/&gt;&lt;wsp:rsid wsp:val=&quot;00F00168&quot;/&gt;&lt;wsp:rsid wsp:val=&quot;00F00237&quot;/&gt;&lt;wsp:rsid wsp:val=&quot;00F00561&quot;/&gt;&lt;wsp:rsid wsp:val=&quot;00F00A04&quot;/&gt;&lt;wsp:rsid wsp:val=&quot;00F00F32&quot;/&gt;&lt;wsp:rsid wsp:val=&quot;00F0125E&quot;/&gt;&lt;wsp:rsid wsp:val=&quot;00F019C6&quot;/&gt;&lt;wsp:rsid wsp:val=&quot;00F01A00&quot;/&gt;&lt;wsp:rsid wsp:val=&quot;00F01BF0&quot;/&gt;&lt;wsp:rsid wsp:val=&quot;00F01C30&quot;/&gt;&lt;wsp:rsid wsp:val=&quot;00F02515&quot;/&gt;&lt;wsp:rsid wsp:val=&quot;00F028BF&quot;/&gt;&lt;wsp:rsid wsp:val=&quot;00F02BA1&quot;/&gt;&lt;wsp:rsid wsp:val=&quot;00F02C53&quot;/&gt;&lt;wsp:rsid wsp:val=&quot;00F02D28&quot;/&gt;&lt;wsp:rsid wsp:val=&quot;00F03646&quot;/&gt;&lt;wsp:rsid wsp:val=&quot;00F03B91&quot;/&gt;&lt;wsp:rsid wsp:val=&quot;00F03D1D&quot;/&gt;&lt;wsp:rsid wsp:val=&quot;00F04699&quot;/&gt;&lt;wsp:rsid wsp:val=&quot;00F0621F&quot;/&gt;&lt;wsp:rsid wsp:val=&quot;00F0657D&quot;/&gt;&lt;wsp:rsid wsp:val=&quot;00F06969&quot;/&gt;&lt;wsp:rsid wsp:val=&quot;00F06DE8&quot;/&gt;&lt;wsp:rsid wsp:val=&quot;00F07491&quot;/&gt;&lt;wsp:rsid wsp:val=&quot;00F07A96&quot;/&gt;&lt;wsp:rsid wsp:val=&quot;00F102CB&quot;/&gt;&lt;wsp:rsid wsp:val=&quot;00F10347&quot;/&gt;&lt;wsp:rsid wsp:val=&quot;00F10C2B&quot;/&gt;&lt;wsp:rsid wsp:val=&quot;00F113DA&quot;/&gt;&lt;wsp:rsid wsp:val=&quot;00F12071&quot;/&gt;&lt;wsp:rsid wsp:val=&quot;00F12235&quot;/&gt;&lt;wsp:rsid wsp:val=&quot;00F1251B&quot;/&gt;&lt;wsp:rsid wsp:val=&quot;00F12C05&quot;/&gt;&lt;wsp:rsid wsp:val=&quot;00F12E7F&quot;/&gt;&lt;wsp:rsid wsp:val=&quot;00F13798&quot;/&gt;&lt;wsp:rsid wsp:val=&quot;00F13882&quot;/&gt;&lt;wsp:rsid wsp:val=&quot;00F13973&quot;/&gt;&lt;wsp:rsid wsp:val=&quot;00F141B9&quot;/&gt;&lt;wsp:rsid wsp:val=&quot;00F1453C&quot;/&gt;&lt;wsp:rsid wsp:val=&quot;00F14B37&quot;/&gt;&lt;wsp:rsid wsp:val=&quot;00F14BCE&quot;/&gt;&lt;wsp:rsid wsp:val=&quot;00F14E2E&quot;/&gt;&lt;wsp:rsid wsp:val=&quot;00F1568E&quot;/&gt;&lt;wsp:rsid wsp:val=&quot;00F15A80&quot;/&gt;&lt;wsp:rsid wsp:val=&quot;00F16804&quot;/&gt;&lt;wsp:rsid wsp:val=&quot;00F16908&quot;/&gt;&lt;wsp:rsid wsp:val=&quot;00F17351&quot;/&gt;&lt;wsp:rsid wsp:val=&quot;00F1739B&quot;/&gt;&lt;wsp:rsid wsp:val=&quot;00F206AD&quot;/&gt;&lt;wsp:rsid wsp:val=&quot;00F20B4D&quot;/&gt;&lt;wsp:rsid wsp:val=&quot;00F22BD2&quot;/&gt;&lt;wsp:rsid wsp:val=&quot;00F23071&quot;/&gt;&lt;wsp:rsid wsp:val=&quot;00F232AE&quot;/&gt;&lt;wsp:rsid wsp:val=&quot;00F2379E&quot;/&gt;&lt;wsp:rsid wsp:val=&quot;00F2403B&quot;/&gt;&lt;wsp:rsid wsp:val=&quot;00F24293&quot;/&gt;&lt;wsp:rsid wsp:val=&quot;00F2456C&quot;/&gt;&lt;wsp:rsid wsp:val=&quot;00F246B0&quot;/&gt;&lt;wsp:rsid wsp:val=&quot;00F246EB&quot;/&gt;&lt;wsp:rsid wsp:val=&quot;00F24AF4&quot;/&gt;&lt;wsp:rsid wsp:val=&quot;00F24C05&quot;/&gt;&lt;wsp:rsid wsp:val=&quot;00F24D0B&quot;/&gt;&lt;wsp:rsid wsp:val=&quot;00F24E5A&quot;/&gt;&lt;wsp:rsid wsp:val=&quot;00F24F71&quot;/&gt;&lt;wsp:rsid wsp:val=&quot;00F25365&quot;/&gt;&lt;wsp:rsid wsp:val=&quot;00F25588&quot;/&gt;&lt;wsp:rsid wsp:val=&quot;00F2588E&quot;/&gt;&lt;wsp:rsid wsp:val=&quot;00F25B27&quot;/&gt;&lt;wsp:rsid wsp:val=&quot;00F26063&quot;/&gt;&lt;wsp:rsid wsp:val=&quot;00F262AC&quot;/&gt;&lt;wsp:rsid wsp:val=&quot;00F26A5D&quot;/&gt;&lt;wsp:rsid wsp:val=&quot;00F26DB3&quot;/&gt;&lt;wsp:rsid wsp:val=&quot;00F2731E&quot;/&gt;&lt;wsp:rsid wsp:val=&quot;00F275FE&quot;/&gt;&lt;wsp:rsid wsp:val=&quot;00F27D93&quot;/&gt;&lt;wsp:rsid wsp:val=&quot;00F30A5C&quot;/&gt;&lt;wsp:rsid wsp:val=&quot;00F30C4F&quot;/&gt;&lt;wsp:rsid wsp:val=&quot;00F30C66&quot;/&gt;&lt;wsp:rsid wsp:val=&quot;00F31DCB&quot;/&gt;&lt;wsp:rsid wsp:val=&quot;00F32B87&quot;/&gt;&lt;wsp:rsid wsp:val=&quot;00F32E5E&quot;/&gt;&lt;wsp:rsid wsp:val=&quot;00F33112&quot;/&gt;&lt;wsp:rsid wsp:val=&quot;00F334FD&quot;/&gt;&lt;wsp:rsid wsp:val=&quot;00F338F6&quot;/&gt;&lt;wsp:rsid wsp:val=&quot;00F33BFF&quot;/&gt;&lt;wsp:rsid wsp:val=&quot;00F343E9&quot;/&gt;&lt;wsp:rsid wsp:val=&quot;00F34439&quot;/&gt;&lt;wsp:rsid wsp:val=&quot;00F345F0&quot;/&gt;&lt;wsp:rsid wsp:val=&quot;00F34798&quot;/&gt;&lt;wsp:rsid wsp:val=&quot;00F351D1&quot;/&gt;&lt;wsp:rsid wsp:val=&quot;00F3566D&quot;/&gt;&lt;wsp:rsid wsp:val=&quot;00F35CF5&quot;/&gt;&lt;wsp:rsid wsp:val=&quot;00F35E17&quot;/&gt;&lt;wsp:rsid wsp:val=&quot;00F362A0&quot;/&gt;&lt;wsp:rsid wsp:val=&quot;00F364FB&quot;/&gt;&lt;wsp:rsid wsp:val=&quot;00F369CD&quot;/&gt;&lt;wsp:rsid wsp:val=&quot;00F36DE2&quot;/&gt;&lt;wsp:rsid wsp:val=&quot;00F370F4&quot;/&gt;&lt;wsp:rsid wsp:val=&quot;00F37173&quot;/&gt;&lt;wsp:rsid wsp:val=&quot;00F37330&quot;/&gt;&lt;wsp:rsid wsp:val=&quot;00F376A2&quot;/&gt;&lt;wsp:rsid wsp:val=&quot;00F37F74&quot;/&gt;&lt;wsp:rsid wsp:val=&quot;00F41259&quot;/&gt;&lt;wsp:rsid wsp:val=&quot;00F41360&quot;/&gt;&lt;wsp:rsid wsp:val=&quot;00F416CF&quot;/&gt;&lt;wsp:rsid wsp:val=&quot;00F41CED&quot;/&gt;&lt;wsp:rsid wsp:val=&quot;00F41F11&quot;/&gt;&lt;wsp:rsid wsp:val=&quot;00F420FF&quot;/&gt;&lt;wsp:rsid wsp:val=&quot;00F428F5&quot;/&gt;&lt;wsp:rsid wsp:val=&quot;00F42988&quot;/&gt;&lt;wsp:rsid wsp:val=&quot;00F42A21&quot;/&gt;&lt;wsp:rsid wsp:val=&quot;00F432A3&quot;/&gt;&lt;wsp:rsid wsp:val=&quot;00F4345D&quot;/&gt;&lt;wsp:rsid wsp:val=&quot;00F434B0&quot;/&gt;&lt;wsp:rsid wsp:val=&quot;00F435C5&quot;/&gt;&lt;wsp:rsid wsp:val=&quot;00F4365C&quot;/&gt;&lt;wsp:rsid wsp:val=&quot;00F43788&quot;/&gt;&lt;wsp:rsid wsp:val=&quot;00F43A58&quot;/&gt;&lt;wsp:rsid wsp:val=&quot;00F43F39&quot;/&gt;&lt;wsp:rsid wsp:val=&quot;00F43FBE&quot;/&gt;&lt;wsp:rsid wsp:val=&quot;00F4415A&quot;/&gt;&lt;wsp:rsid wsp:val=&quot;00F442DA&quot;/&gt;&lt;wsp:rsid wsp:val=&quot;00F4443C&quot;/&gt;&lt;wsp:rsid wsp:val=&quot;00F444EF&quot;/&gt;&lt;wsp:rsid wsp:val=&quot;00F4462D&quot;/&gt;&lt;wsp:rsid wsp:val=&quot;00F44DB6&quot;/&gt;&lt;wsp:rsid wsp:val=&quot;00F44DBA&quot;/&gt;&lt;wsp:rsid wsp:val=&quot;00F44DE1&quot;/&gt;&lt;wsp:rsid wsp:val=&quot;00F456D2&quot;/&gt;&lt;wsp:rsid wsp:val=&quot;00F45B70&quot;/&gt;&lt;wsp:rsid wsp:val=&quot;00F45CA3&quot;/&gt;&lt;wsp:rsid wsp:val=&quot;00F45E48&quot;/&gt;&lt;wsp:rsid wsp:val=&quot;00F45EC0&quot;/&gt;&lt;wsp:rsid wsp:val=&quot;00F465B2&quot;/&gt;&lt;wsp:rsid wsp:val=&quot;00F46F73&quot;/&gt;&lt;wsp:rsid wsp:val=&quot;00F47959&quot;/&gt;&lt;wsp:rsid wsp:val=&quot;00F47BE9&quot;/&gt;&lt;wsp:rsid wsp:val=&quot;00F47C6B&quot;/&gt;&lt;wsp:rsid wsp:val=&quot;00F47CDE&quot;/&gt;&lt;wsp:rsid wsp:val=&quot;00F50363&quot;/&gt;&lt;wsp:rsid wsp:val=&quot;00F5097E&quot;/&gt;&lt;wsp:rsid wsp:val=&quot;00F50B45&quot;/&gt;&lt;wsp:rsid wsp:val=&quot;00F50BAA&quot;/&gt;&lt;wsp:rsid wsp:val=&quot;00F51197&quot;/&gt;&lt;wsp:rsid wsp:val=&quot;00F51260&quot;/&gt;&lt;wsp:rsid wsp:val=&quot;00F5154F&quot;/&gt;&lt;wsp:rsid wsp:val=&quot;00F5167A&quot;/&gt;&lt;wsp:rsid wsp:val=&quot;00F51769&quot;/&gt;&lt;wsp:rsid wsp:val=&quot;00F519F2&quot;/&gt;&lt;wsp:rsid wsp:val=&quot;00F51D5D&quot;/&gt;&lt;wsp:rsid wsp:val=&quot;00F520C9&quot;/&gt;&lt;wsp:rsid wsp:val=&quot;00F52101&quot;/&gt;&lt;wsp:rsid wsp:val=&quot;00F52B27&quot;/&gt;&lt;wsp:rsid wsp:val=&quot;00F52D7E&quot;/&gt;&lt;wsp:rsid wsp:val=&quot;00F531A6&quot;/&gt;&lt;wsp:rsid wsp:val=&quot;00F53253&quot;/&gt;&lt;wsp:rsid wsp:val=&quot;00F53318&quot;/&gt;&lt;wsp:rsid wsp:val=&quot;00F53634&quot;/&gt;&lt;wsp:rsid wsp:val=&quot;00F5373F&quot;/&gt;&lt;wsp:rsid wsp:val=&quot;00F5379F&quot;/&gt;&lt;wsp:rsid wsp:val=&quot;00F53BFA&quot;/&gt;&lt;wsp:rsid wsp:val=&quot;00F53F9B&quot;/&gt;&lt;wsp:rsid wsp:val=&quot;00F540BD&quot;/&gt;&lt;wsp:rsid wsp:val=&quot;00F54495&quot;/&gt;&lt;wsp:rsid wsp:val=&quot;00F55088&quot;/&gt;&lt;wsp:rsid wsp:val=&quot;00F567C0&quot;/&gt;&lt;wsp:rsid wsp:val=&quot;00F56B3F&quot;/&gt;&lt;wsp:rsid wsp:val=&quot;00F56C67&quot;/&gt;&lt;wsp:rsid wsp:val=&quot;00F56E02&quot;/&gt;&lt;wsp:rsid wsp:val=&quot;00F57AF4&quot;/&gt;&lt;wsp:rsid wsp:val=&quot;00F57FB8&quot;/&gt;&lt;wsp:rsid wsp:val=&quot;00F602DB&quot;/&gt;&lt;wsp:rsid wsp:val=&quot;00F604E2&quot;/&gt;&lt;wsp:rsid wsp:val=&quot;00F60625&quot;/&gt;&lt;wsp:rsid wsp:val=&quot;00F606F6&quot;/&gt;&lt;wsp:rsid wsp:val=&quot;00F6082D&quot;/&gt;&lt;wsp:rsid wsp:val=&quot;00F60CE2&quot;/&gt;&lt;wsp:rsid wsp:val=&quot;00F61060&quot;/&gt;&lt;wsp:rsid wsp:val=&quot;00F61345&quot;/&gt;&lt;wsp:rsid wsp:val=&quot;00F62684&quot;/&gt;&lt;wsp:rsid wsp:val=&quot;00F62C3B&quot;/&gt;&lt;wsp:rsid wsp:val=&quot;00F63AAD&quot;/&gt;&lt;wsp:rsid wsp:val=&quot;00F63E3E&quot;/&gt;&lt;wsp:rsid wsp:val=&quot;00F63EA3&quot;/&gt;&lt;wsp:rsid wsp:val=&quot;00F64258&quot;/&gt;&lt;wsp:rsid wsp:val=&quot;00F645FA&quot;/&gt;&lt;wsp:rsid wsp:val=&quot;00F645FC&quot;/&gt;&lt;wsp:rsid wsp:val=&quot;00F64A97&quot;/&gt;&lt;wsp:rsid wsp:val=&quot;00F65196&quot;/&gt;&lt;wsp:rsid wsp:val=&quot;00F65A8E&quot;/&gt;&lt;wsp:rsid wsp:val=&quot;00F65E6A&quot;/&gt;&lt;wsp:rsid wsp:val=&quot;00F662CB&quot;/&gt;&lt;wsp:rsid wsp:val=&quot;00F66730&quot;/&gt;&lt;wsp:rsid wsp:val=&quot;00F66923&quot;/&gt;&lt;wsp:rsid wsp:val=&quot;00F66B5B&quot;/&gt;&lt;wsp:rsid wsp:val=&quot;00F67BAF&quot;/&gt;&lt;wsp:rsid wsp:val=&quot;00F701C5&quot;/&gt;&lt;wsp:rsid wsp:val=&quot;00F70423&quot;/&gt;&lt;wsp:rsid wsp:val=&quot;00F71925&quot;/&gt;&lt;wsp:rsid wsp:val=&quot;00F719BC&quot;/&gt;&lt;wsp:rsid wsp:val=&quot;00F71EAF&quot;/&gt;&lt;wsp:rsid wsp:val=&quot;00F72036&quot;/&gt;&lt;wsp:rsid wsp:val=&quot;00F72055&quot;/&gt;&lt;wsp:rsid wsp:val=&quot;00F725BB&quot;/&gt;&lt;wsp:rsid wsp:val=&quot;00F725CF&quot;/&gt;&lt;wsp:rsid wsp:val=&quot;00F72A1C&quot;/&gt;&lt;wsp:rsid wsp:val=&quot;00F72BCC&quot;/&gt;&lt;wsp:rsid wsp:val=&quot;00F731A7&quot;/&gt;&lt;wsp:rsid wsp:val=&quot;00F73451&quot;/&gt;&lt;wsp:rsid wsp:val=&quot;00F7346A&quot;/&gt;&lt;wsp:rsid wsp:val=&quot;00F73624&quot;/&gt;&lt;wsp:rsid wsp:val=&quot;00F73926&quot;/&gt;&lt;wsp:rsid wsp:val=&quot;00F73972&quot;/&gt;&lt;wsp:rsid wsp:val=&quot;00F73AEE&quot;/&gt;&lt;wsp:rsid wsp:val=&quot;00F74112&quot;/&gt;&lt;wsp:rsid wsp:val=&quot;00F74495&quot;/&gt;&lt;wsp:rsid wsp:val=&quot;00F74664&quot;/&gt;&lt;wsp:rsid wsp:val=&quot;00F749A8&quot;/&gt;&lt;wsp:rsid wsp:val=&quot;00F74F62&quot;/&gt;&lt;wsp:rsid wsp:val=&quot;00F7562E&quot;/&gt;&lt;wsp:rsid wsp:val=&quot;00F75C56&quot;/&gt;&lt;wsp:rsid wsp:val=&quot;00F762BD&quot;/&gt;&lt;wsp:rsid wsp:val=&quot;00F7651F&quot;/&gt;&lt;wsp:rsid wsp:val=&quot;00F766FC&quot;/&gt;&lt;wsp:rsid wsp:val=&quot;00F76938&quot;/&gt;&lt;wsp:rsid wsp:val=&quot;00F76AC0&quot;/&gt;&lt;wsp:rsid wsp:val=&quot;00F76CCB&quot;/&gt;&lt;wsp:rsid wsp:val=&quot;00F77029&quot;/&gt;&lt;wsp:rsid wsp:val=&quot;00F773AF&quot;/&gt;&lt;wsp:rsid wsp:val=&quot;00F77644&quot;/&gt;&lt;wsp:rsid wsp:val=&quot;00F77AAE&quot;/&gt;&lt;wsp:rsid wsp:val=&quot;00F80275&quot;/&gt;&lt;wsp:rsid wsp:val=&quot;00F802FC&quot;/&gt;&lt;wsp:rsid wsp:val=&quot;00F80C4F&quot;/&gt;&lt;wsp:rsid wsp:val=&quot;00F80D49&quot;/&gt;&lt;wsp:rsid wsp:val=&quot;00F81178&quot;/&gt;&lt;wsp:rsid wsp:val=&quot;00F81444&quot;/&gt;&lt;wsp:rsid wsp:val=&quot;00F818C1&quot;/&gt;&lt;wsp:rsid wsp:val=&quot;00F81966&quot;/&gt;&lt;wsp:rsid wsp:val=&quot;00F82197&quot;/&gt;&lt;wsp:rsid wsp:val=&quot;00F822E6&quot;/&gt;&lt;wsp:rsid wsp:val=&quot;00F835D4&quot;/&gt;&lt;wsp:rsid wsp:val=&quot;00F83677&quot;/&gt;&lt;wsp:rsid wsp:val=&quot;00F83BB6&quot;/&gt;&lt;wsp:rsid wsp:val=&quot;00F83C18&quot;/&gt;&lt;wsp:rsid wsp:val=&quot;00F83CD8&quot;/&gt;&lt;wsp:rsid wsp:val=&quot;00F84216&quot;/&gt;&lt;wsp:rsid wsp:val=&quot;00F8504E&quot;/&gt;&lt;wsp:rsid wsp:val=&quot;00F85052&quot;/&gt;&lt;wsp:rsid wsp:val=&quot;00F851A9&quot;/&gt;&lt;wsp:rsid wsp:val=&quot;00F85290&quot;/&gt;&lt;wsp:rsid wsp:val=&quot;00F852E2&quot;/&gt;&lt;wsp:rsid wsp:val=&quot;00F86373&quot;/&gt;&lt;wsp:rsid wsp:val=&quot;00F863BA&quot;/&gt;&lt;wsp:rsid wsp:val=&quot;00F8722E&quot;/&gt;&lt;wsp:rsid wsp:val=&quot;00F87766&quot;/&gt;&lt;wsp:rsid wsp:val=&quot;00F877FB&quot;/&gt;&lt;wsp:rsid wsp:val=&quot;00F9023B&quot;/&gt;&lt;wsp:rsid wsp:val=&quot;00F90624&quot;/&gt;&lt;wsp:rsid wsp:val=&quot;00F906FF&quot;/&gt;&lt;wsp:rsid wsp:val=&quot;00F908D6&quot;/&gt;&lt;wsp:rsid wsp:val=&quot;00F90D29&quot;/&gt;&lt;wsp:rsid wsp:val=&quot;00F90D50&quot;/&gt;&lt;wsp:rsid wsp:val=&quot;00F91320&quot;/&gt;&lt;wsp:rsid wsp:val=&quot;00F9138D&quot;/&gt;&lt;wsp:rsid wsp:val=&quot;00F91546&quot;/&gt;&lt;wsp:rsid wsp:val=&quot;00F921E5&quot;/&gt;&lt;wsp:rsid wsp:val=&quot;00F9234D&quot;/&gt;&lt;wsp:rsid wsp:val=&quot;00F925D7&quot;/&gt;&lt;wsp:rsid wsp:val=&quot;00F92AED&quot;/&gt;&lt;wsp:rsid wsp:val=&quot;00F92DC7&quot;/&gt;&lt;wsp:rsid wsp:val=&quot;00F92EEE&quot;/&gt;&lt;wsp:rsid wsp:val=&quot;00F92FA9&quot;/&gt;&lt;wsp:rsid wsp:val=&quot;00F93023&quot;/&gt;&lt;wsp:rsid wsp:val=&quot;00F93048&quot;/&gt;&lt;wsp:rsid wsp:val=&quot;00F9313D&quot;/&gt;&lt;wsp:rsid wsp:val=&quot;00F9364B&quot;/&gt;&lt;wsp:rsid wsp:val=&quot;00F937B8&quot;/&gt;&lt;wsp:rsid wsp:val=&quot;00F93B13&quot;/&gt;&lt;wsp:rsid wsp:val=&quot;00F93B1D&quot;/&gt;&lt;wsp:rsid wsp:val=&quot;00F9412E&quot;/&gt;&lt;wsp:rsid wsp:val=&quot;00F942B6&quot;/&gt;&lt;wsp:rsid wsp:val=&quot;00F94342&quot;/&gt;&lt;wsp:rsid wsp:val=&quot;00F95173&quot;/&gt;&lt;wsp:rsid wsp:val=&quot;00F95567&quot;/&gt;&lt;wsp:rsid wsp:val=&quot;00F95BD7&quot;/&gt;&lt;wsp:rsid wsp:val=&quot;00F960E3&quot;/&gt;&lt;wsp:rsid wsp:val=&quot;00F9623B&quot;/&gt;&lt;wsp:rsid wsp:val=&quot;00F96422&quot;/&gt;&lt;wsp:rsid wsp:val=&quot;00F96684&quot;/&gt;&lt;wsp:rsid wsp:val=&quot;00F96763&quot;/&gt;&lt;wsp:rsid wsp:val=&quot;00F96A76&quot;/&gt;&lt;wsp:rsid wsp:val=&quot;00F96BC3&quot;/&gt;&lt;wsp:rsid wsp:val=&quot;00F96BEB&quot;/&gt;&lt;wsp:rsid wsp:val=&quot;00F96CA8&quot;/&gt;&lt;wsp:rsid wsp:val=&quot;00F97C96&quot;/&gt;&lt;wsp:rsid wsp:val=&quot;00F97DAE&quot;/&gt;&lt;wsp:rsid wsp:val=&quot;00FA01BA&quot;/&gt;&lt;wsp:rsid wsp:val=&quot;00FA020C&quot;/&gt;&lt;wsp:rsid wsp:val=&quot;00FA0564&quot;/&gt;&lt;wsp:rsid wsp:val=&quot;00FA0738&quot;/&gt;&lt;wsp:rsid wsp:val=&quot;00FA0B4F&quot;/&gt;&lt;wsp:rsid wsp:val=&quot;00FA1308&quot;/&gt;&lt;wsp:rsid wsp:val=&quot;00FA137E&quot;/&gt;&lt;wsp:rsid wsp:val=&quot;00FA1ACF&quot;/&gt;&lt;wsp:rsid wsp:val=&quot;00FA1BA2&quot;/&gt;&lt;wsp:rsid wsp:val=&quot;00FA1E3F&quot;/&gt;&lt;wsp:rsid wsp:val=&quot;00FA2174&quot;/&gt;&lt;wsp:rsid wsp:val=&quot;00FA23E8&quot;/&gt;&lt;wsp:rsid wsp:val=&quot;00FA2914&quot;/&gt;&lt;wsp:rsid wsp:val=&quot;00FA2B2E&quot;/&gt;&lt;wsp:rsid wsp:val=&quot;00FA2B62&quot;/&gt;&lt;wsp:rsid wsp:val=&quot;00FA30F2&quot;/&gt;&lt;wsp:rsid wsp:val=&quot;00FA37F8&quot;/&gt;&lt;wsp:rsid wsp:val=&quot;00FA3C42&quot;/&gt;&lt;wsp:rsid wsp:val=&quot;00FA4625&quot;/&gt;&lt;wsp:rsid wsp:val=&quot;00FA4687&quot;/&gt;&lt;wsp:rsid wsp:val=&quot;00FA48D3&quot;/&gt;&lt;wsp:rsid wsp:val=&quot;00FA499D&quot;/&gt;&lt;wsp:rsid wsp:val=&quot;00FA4A25&quot;/&gt;&lt;wsp:rsid wsp:val=&quot;00FA4B70&quot;/&gt;&lt;wsp:rsid wsp:val=&quot;00FA4CB6&quot;/&gt;&lt;wsp:rsid wsp:val=&quot;00FA4CF3&quot;/&gt;&lt;wsp:rsid wsp:val=&quot;00FA4DAB&quot;/&gt;&lt;wsp:rsid wsp:val=&quot;00FA5641&quot;/&gt;&lt;wsp:rsid wsp:val=&quot;00FA56A7&quot;/&gt;&lt;wsp:rsid wsp:val=&quot;00FA5BAB&quot;/&gt;&lt;wsp:rsid wsp:val=&quot;00FA60EC&quot;/&gt;&lt;wsp:rsid wsp:val=&quot;00FA66AD&quot;/&gt;&lt;wsp:rsid wsp:val=&quot;00FA6C75&quot;/&gt;&lt;wsp:rsid wsp:val=&quot;00FA6DE2&quot;/&gt;&lt;wsp:rsid wsp:val=&quot;00FA7042&quot;/&gt;&lt;wsp:rsid wsp:val=&quot;00FA78C8&quot;/&gt;&lt;wsp:rsid wsp:val=&quot;00FB024C&quot;/&gt;&lt;wsp:rsid wsp:val=&quot;00FB0C29&quot;/&gt;&lt;wsp:rsid wsp:val=&quot;00FB0CE8&quot;/&gt;&lt;wsp:rsid wsp:val=&quot;00FB0F90&quot;/&gt;&lt;wsp:rsid wsp:val=&quot;00FB12D1&quot;/&gt;&lt;wsp:rsid wsp:val=&quot;00FB15AB&quot;/&gt;&lt;wsp:rsid wsp:val=&quot;00FB18B2&quot;/&gt;&lt;wsp:rsid wsp:val=&quot;00FB22A3&quot;/&gt;&lt;wsp:rsid wsp:val=&quot;00FB3017&quot;/&gt;&lt;wsp:rsid wsp:val=&quot;00FB3377&quot;/&gt;&lt;wsp:rsid wsp:val=&quot;00FB34A9&quot;/&gt;&lt;wsp:rsid wsp:val=&quot;00FB3D7C&quot;/&gt;&lt;wsp:rsid wsp:val=&quot;00FB4408&quot;/&gt;&lt;wsp:rsid wsp:val=&quot;00FB4510&quot;/&gt;&lt;wsp:rsid wsp:val=&quot;00FB45DE&quot;/&gt;&lt;wsp:rsid wsp:val=&quot;00FB4625&quot;/&gt;&lt;wsp:rsid wsp:val=&quot;00FB5DF8&quot;/&gt;&lt;wsp:rsid wsp:val=&quot;00FB63E9&quot;/&gt;&lt;wsp:rsid wsp:val=&quot;00FB68A1&quot;/&gt;&lt;wsp:rsid wsp:val=&quot;00FB6AEA&quot;/&gt;&lt;wsp:rsid wsp:val=&quot;00FB6E0A&quot;/&gt;&lt;wsp:rsid wsp:val=&quot;00FB6F95&quot;/&gt;&lt;wsp:rsid wsp:val=&quot;00FB7175&quot;/&gt;&lt;wsp:rsid wsp:val=&quot;00FB74CB&quot;/&gt;&lt;wsp:rsid wsp:val=&quot;00FB7DE5&quot;/&gt;&lt;wsp:rsid wsp:val=&quot;00FB7F7E&quot;/&gt;&lt;wsp:rsid wsp:val=&quot;00FC061B&quot;/&gt;&lt;wsp:rsid wsp:val=&quot;00FC06D0&quot;/&gt;&lt;wsp:rsid wsp:val=&quot;00FC16D5&quot;/&gt;&lt;wsp:rsid wsp:val=&quot;00FC172C&quot;/&gt;&lt;wsp:rsid wsp:val=&quot;00FC1C86&quot;/&gt;&lt;wsp:rsid wsp:val=&quot;00FC1CB2&quot;/&gt;&lt;wsp:rsid wsp:val=&quot;00FC24D1&quot;/&gt;&lt;wsp:rsid wsp:val=&quot;00FC30DD&quot;/&gt;&lt;wsp:rsid wsp:val=&quot;00FC3ADF&quot;/&gt;&lt;wsp:rsid wsp:val=&quot;00FC3B90&quot;/&gt;&lt;wsp:rsid wsp:val=&quot;00FC3BF9&quot;/&gt;&lt;wsp:rsid wsp:val=&quot;00FC4018&quot;/&gt;&lt;wsp:rsid wsp:val=&quot;00FC4050&quot;/&gt;&lt;wsp:rsid wsp:val=&quot;00FC41D5&quot;/&gt;&lt;wsp:rsid wsp:val=&quot;00FC4C6A&quot;/&gt;&lt;wsp:rsid wsp:val=&quot;00FC4C77&quot;/&gt;&lt;wsp:rsid wsp:val=&quot;00FC563D&quot;/&gt;&lt;wsp:rsid wsp:val=&quot;00FC5684&quot;/&gt;&lt;wsp:rsid wsp:val=&quot;00FC608E&quot;/&gt;&lt;wsp:rsid wsp:val=&quot;00FC6B75&quot;/&gt;&lt;wsp:rsid wsp:val=&quot;00FC74DD&quot;/&gt;&lt;wsp:rsid wsp:val=&quot;00FC7546&quot;/&gt;&lt;wsp:rsid wsp:val=&quot;00FC75E1&quot;/&gt;&lt;wsp:rsid wsp:val=&quot;00FC7C38&quot;/&gt;&lt;wsp:rsid wsp:val=&quot;00FD0474&quot;/&gt;&lt;wsp:rsid wsp:val=&quot;00FD0959&quot;/&gt;&lt;wsp:rsid wsp:val=&quot;00FD100D&quot;/&gt;&lt;wsp:rsid wsp:val=&quot;00FD13E1&quot;/&gt;&lt;wsp:rsid wsp:val=&quot;00FD20FE&quot;/&gt;&lt;wsp:rsid wsp:val=&quot;00FD21A7&quot;/&gt;&lt;wsp:rsid wsp:val=&quot;00FD30F7&quot;/&gt;&lt;wsp:rsid wsp:val=&quot;00FD3299&quot;/&gt;&lt;wsp:rsid wsp:val=&quot;00FD38E6&quot;/&gt;&lt;wsp:rsid wsp:val=&quot;00FD3AEB&quot;/&gt;&lt;wsp:rsid wsp:val=&quot;00FD3E0E&quot;/&gt;&lt;wsp:rsid wsp:val=&quot;00FD4358&quot;/&gt;&lt;wsp:rsid wsp:val=&quot;00FD4970&quot;/&gt;&lt;wsp:rsid wsp:val=&quot;00FD4D62&quot;/&gt;&lt;wsp:rsid wsp:val=&quot;00FD4F58&quot;/&gt;&lt;wsp:rsid wsp:val=&quot;00FD58E5&quot;/&gt;&lt;wsp:rsid wsp:val=&quot;00FD609F&quot;/&gt;&lt;wsp:rsid wsp:val=&quot;00FD6F02&quot;/&gt;&lt;wsp:rsid wsp:val=&quot;00FD6F1E&quot;/&gt;&lt;wsp:rsid wsp:val=&quot;00FD72D1&quot;/&gt;&lt;wsp:rsid wsp:val=&quot;00FD73A1&quot;/&gt;&lt;wsp:rsid wsp:val=&quot;00FD7501&quot;/&gt;&lt;wsp:rsid wsp:val=&quot;00FD7F40&quot;/&gt;&lt;wsp:rsid wsp:val=&quot;00FE0075&quot;/&gt;&lt;wsp:rsid wsp:val=&quot;00FE0B82&quot;/&gt;&lt;wsp:rsid wsp:val=&quot;00FE0E9B&quot;/&gt;&lt;wsp:rsid wsp:val=&quot;00FE0FB6&quot;/&gt;&lt;wsp:rsid wsp:val=&quot;00FE1737&quot;/&gt;&lt;wsp:rsid wsp:val=&quot;00FE2319&quot;/&gt;&lt;wsp:rsid wsp:val=&quot;00FE2989&quot;/&gt;&lt;wsp:rsid wsp:val=&quot;00FE2ACE&quot;/&gt;&lt;wsp:rsid wsp:val=&quot;00FE2E4F&quot;/&gt;&lt;wsp:rsid wsp:val=&quot;00FE3A9D&quot;/&gt;&lt;wsp:rsid wsp:val=&quot;00FE3EC2&quot;/&gt;&lt;wsp:rsid wsp:val=&quot;00FE406A&quot;/&gt;&lt;wsp:rsid wsp:val=&quot;00FE4BF2&quot;/&gt;&lt;wsp:rsid wsp:val=&quot;00FE5105&quot;/&gt;&lt;wsp:rsid wsp:val=&quot;00FE5622&quot;/&gt;&lt;wsp:rsid wsp:val=&quot;00FE5669&quot;/&gt;&lt;wsp:rsid wsp:val=&quot;00FE583C&quot;/&gt;&lt;wsp:rsid wsp:val=&quot;00FE5916&quot;/&gt;&lt;wsp:rsid wsp:val=&quot;00FE598C&quot;/&gt;&lt;wsp:rsid wsp:val=&quot;00FE5D28&quot;/&gt;&lt;wsp:rsid wsp:val=&quot;00FE5FC5&quot;/&gt;&lt;wsp:rsid wsp:val=&quot;00FE6246&quot;/&gt;&lt;wsp:rsid wsp:val=&quot;00FE7670&quot;/&gt;&lt;wsp:rsid wsp:val=&quot;00FE7AE4&quot;/&gt;&lt;wsp:rsid wsp:val=&quot;00FE7F2F&quot;/&gt;&lt;wsp:rsid wsp:val=&quot;00FF1083&quot;/&gt;&lt;wsp:rsid wsp:val=&quot;00FF1247&quot;/&gt;&lt;wsp:rsid wsp:val=&quot;00FF1397&quot;/&gt;&lt;wsp:rsid wsp:val=&quot;00FF14A8&quot;/&gt;&lt;wsp:rsid wsp:val=&quot;00FF150A&quot;/&gt;&lt;wsp:rsid wsp:val=&quot;00FF1719&quot;/&gt;&lt;wsp:rsid wsp:val=&quot;00FF19FD&quot;/&gt;&lt;wsp:rsid wsp:val=&quot;00FF1CF1&quot;/&gt;&lt;wsp:rsid wsp:val=&quot;00FF2619&quot;/&gt;&lt;wsp:rsid wsp:val=&quot;00FF32FC&quot;/&gt;&lt;wsp:rsid wsp:val=&quot;00FF3355&quot;/&gt;&lt;wsp:rsid wsp:val=&quot;00FF3540&quot;/&gt;&lt;wsp:rsid wsp:val=&quot;00FF3979&quot;/&gt;&lt;wsp:rsid wsp:val=&quot;00FF3ADA&quot;/&gt;&lt;wsp:rsid wsp:val=&quot;00FF3CDB&quot;/&gt;&lt;wsp:rsid wsp:val=&quot;00FF3D4C&quot;/&gt;&lt;wsp:rsid wsp:val=&quot;00FF431A&quot;/&gt;&lt;wsp:rsid wsp:val=&quot;00FF48AF&quot;/&gt;&lt;wsp:rsid wsp:val=&quot;00FF4C70&quot;/&gt;&lt;wsp:rsid wsp:val=&quot;00FF4C96&quot;/&gt;&lt;wsp:rsid wsp:val=&quot;00FF4E2D&quot;/&gt;&lt;wsp:rsid wsp:val=&quot;00FF4FC7&quot;/&gt;&lt;wsp:rsid wsp:val=&quot;00FF57B8&quot;/&gt;&lt;wsp:rsid wsp:val=&quot;00FF59D1&quot;/&gt;&lt;wsp:rsid wsp:val=&quot;00FF62D4&quot;/&gt;&lt;wsp:rsid wsp:val=&quot;00FF6374&quot;/&gt;&lt;wsp:rsid wsp:val=&quot;00FF6A1B&quot;/&gt;&lt;wsp:rsid wsp:val=&quot;00FF6AFD&quot;/&gt;&lt;wsp:rsid wsp:val=&quot;00FF7210&quot;/&gt;&lt;wsp:rsid wsp:val=&quot;00FF74F4&quot;/&gt;&lt;wsp:rsid wsp:val=&quot;00FF797F&quot;/&gt;&lt;wsp:rsid wsp:val=&quot;00FF7B89&quot;/&gt;&lt;wsp:rsid wsp:val=&quot;01904007&quot;/&gt;&lt;wsp:rsid wsp:val=&quot;01B52F7F&quot;/&gt;&lt;wsp:rsid wsp:val=&quot;02920095&quot;/&gt;&lt;wsp:rsid wsp:val=&quot;02B37479&quot;/&gt;&lt;wsp:rsid wsp:val=&quot;02FE2009&quot;/&gt;&lt;wsp:rsid wsp:val=&quot;0323755B&quot;/&gt;&lt;wsp:rsid wsp:val=&quot;03553E87&quot;/&gt;&lt;wsp:rsid wsp:val=&quot;03A5656E&quot;/&gt;&lt;wsp:rsid wsp:val=&quot;03BA728A&quot;/&gt;&lt;wsp:rsid wsp:val=&quot;03EE0A38&quot;/&gt;&lt;wsp:rsid wsp:val=&quot;04421A04&quot;/&gt;&lt;wsp:rsid wsp:val=&quot;044B2B57&quot;/&gt;&lt;wsp:rsid wsp:val=&quot;04596379&quot;/&gt;&lt;wsp:rsid wsp:val=&quot;053F4E39&quot;/&gt;&lt;wsp:rsid wsp:val=&quot;056A6865&quot;/&gt;&lt;wsp:rsid wsp:val=&quot;05957097&quot;/&gt;&lt;wsp:rsid wsp:val=&quot;05E01426&quot;/&gt;&lt;wsp:rsid wsp:val=&quot;05F645A1&quot;/&gt;&lt;wsp:rsid wsp:val=&quot;07166A08&quot;/&gt;&lt;wsp:rsid wsp:val=&quot;072B69E6&quot;/&gt;&lt;wsp:rsid wsp:val=&quot;076A13D5&quot;/&gt;&lt;wsp:rsid wsp:val=&quot;07D773D9&quot;/&gt;&lt;wsp:rsid wsp:val=&quot;080404DD&quot;/&gt;&lt;wsp:rsid wsp:val=&quot;0827789D&quot;/&gt;&lt;wsp:rsid wsp:val=&quot;086806A7&quot;/&gt;&lt;wsp:rsid wsp:val=&quot;08D94574&quot;/&gt;&lt;wsp:rsid wsp:val=&quot;09167866&quot;/&gt;&lt;wsp:rsid wsp:val=&quot;092B0E42&quot;/&gt;&lt;wsp:rsid wsp:val=&quot;094C3896&quot;/&gt;&lt;wsp:rsid wsp:val=&quot;099D379E&quot;/&gt;&lt;wsp:rsid wsp:val=&quot;09E276C0&quot;/&gt;&lt;wsp:rsid wsp:val=&quot;09ED0EB9&quot;/&gt;&lt;wsp:rsid wsp:val=&quot;09F95097&quot;/&gt;&lt;wsp:rsid wsp:val=&quot;0A21406A&quot;/&gt;&lt;wsp:rsid wsp:val=&quot;0A4773D0&quot;/&gt;&lt;wsp:rsid wsp:val=&quot;0A565F04&quot;/&gt;&lt;wsp:rsid wsp:val=&quot;0A5F2353&quot;/&gt;&lt;wsp:rsid wsp:val=&quot;0ABD5FBA&quot;/&gt;&lt;wsp:rsid wsp:val=&quot;0B5A2007&quot;/&gt;&lt;wsp:rsid wsp:val=&quot;0B7B3911&quot;/&gt;&lt;wsp:rsid wsp:val=&quot;0BF201A5&quot;/&gt;&lt;wsp:rsid wsp:val=&quot;0C5E3A38&quot;/&gt;&lt;wsp:rsid wsp:val=&quot;0C7D34DA&quot;/&gt;&lt;wsp:rsid wsp:val=&quot;0CB005DE&quot;/&gt;&lt;wsp:rsid wsp:val=&quot;0D08446E&quot;/&gt;&lt;wsp:rsid wsp:val=&quot;0D2B78E3&quot;/&gt;&lt;wsp:rsid wsp:val=&quot;0D4E4DAD&quot;/&gt;&lt;wsp:rsid wsp:val=&quot;0D51796B&quot;/&gt;&lt;wsp:rsid wsp:val=&quot;0D666B65&quot;/&gt;&lt;wsp:rsid wsp:val=&quot;0D9B676D&quot;/&gt;&lt;wsp:rsid wsp:val=&quot;0DCD44D3&quot;/&gt;&lt;wsp:rsid wsp:val=&quot;0DF441E4&quot;/&gt;&lt;wsp:rsid wsp:val=&quot;0E665707&quot;/&gt;&lt;wsp:rsid wsp:val=&quot;0EB1331A&quot;/&gt;&lt;wsp:rsid wsp:val=&quot;0EDC7530&quot;/&gt;&lt;wsp:rsid wsp:val=&quot;0EDE5C75&quot;/&gt;&lt;wsp:rsid wsp:val=&quot;0EE36FD4&quot;/&gt;&lt;wsp:rsid wsp:val=&quot;0F955D60&quot;/&gt;&lt;wsp:rsid wsp:val=&quot;0FA90366&quot;/&gt;&lt;wsp:rsid wsp:val=&quot;0FF33576&quot;/&gt;&lt;wsp:rsid wsp:val=&quot;101D5AE6&quot;/&gt;&lt;wsp:rsid wsp:val=&quot;103D5811&quot;/&gt;&lt;wsp:rsid wsp:val=&quot;106E4209&quot;/&gt;&lt;wsp:rsid wsp:val=&quot;108630D2&quot;/&gt;&lt;wsp:rsid wsp:val=&quot;10883793&quot;/&gt;&lt;wsp:rsid wsp:val=&quot;108B1CFD&quot;/&gt;&lt;wsp:rsid wsp:val=&quot;109B144E&quot;/&gt;&lt;wsp:rsid wsp:val=&quot;10B46EE2&quot;/&gt;&lt;wsp:rsid wsp:val=&quot;10CC691B&quot;/&gt;&lt;wsp:rsid wsp:val=&quot;110D4BBB&quot;/&gt;&lt;wsp:rsid wsp:val=&quot;11165221&quot;/&gt;&lt;wsp:rsid wsp:val=&quot;115437EB&quot;/&gt;&lt;wsp:rsid wsp:val=&quot;12487426&quot;/&gt;&lt;wsp:rsid wsp:val=&quot;13487CE2&quot;/&gt;&lt;wsp:rsid wsp:val=&quot;13BB6E4D&quot;/&gt;&lt;wsp:rsid wsp:val=&quot;13C771A7&quot;/&gt;&lt;wsp:rsid wsp:val=&quot;145D37A8&quot;/&gt;&lt;wsp:rsid wsp:val=&quot;151A407D&quot;/&gt;&lt;wsp:rsid wsp:val=&quot;152067EE&quot;/&gt;&lt;wsp:rsid wsp:val=&quot;1609079A&quot;/&gt;&lt;wsp:rsid wsp:val=&quot;160D7807&quot;/&gt;&lt;wsp:rsid wsp:val=&quot;16315934&quot;/&gt;&lt;wsp:rsid wsp:val=&quot;164E43DF&quot;/&gt;&lt;wsp:rsid wsp:val=&quot;16707602&quot;/&gt;&lt;wsp:rsid wsp:val=&quot;16BC0232&quot;/&gt;&lt;wsp:rsid wsp:val=&quot;16EE1DF7&quot;/&gt;&lt;wsp:rsid wsp:val=&quot;171F61DF&quot;/&gt;&lt;wsp:rsid wsp:val=&quot;1783778D&quot;/&gt;&lt;wsp:rsid wsp:val=&quot;17C14FC3&quot;/&gt;&lt;wsp:rsid wsp:val=&quot;17EF7588&quot;/&gt;&lt;wsp:rsid wsp:val=&quot;183F1BA5&quot;/&gt;&lt;wsp:rsid wsp:val=&quot;184F140A&quot;/&gt;&lt;wsp:rsid wsp:val=&quot;186F37E2&quot;/&gt;&lt;wsp:rsid wsp:val=&quot;18FB0F66&quot;/&gt;&lt;wsp:rsid wsp:val=&quot;18FB7085&quot;/&gt;&lt;wsp:rsid wsp:val=&quot;19162B71&quot;/&gt;&lt;wsp:rsid wsp:val=&quot;19715863&quot;/&gt;&lt;wsp:rsid wsp:val=&quot;198753E9&quot;/&gt;&lt;wsp:rsid wsp:val=&quot;19C90D7B&quot;/&gt;&lt;wsp:rsid wsp:val=&quot;1A7B33B3&quot;/&gt;&lt;wsp:rsid wsp:val=&quot;1A88652C&quot;/&gt;&lt;wsp:rsid wsp:val=&quot;1A8F752E&quot;/&gt;&lt;wsp:rsid wsp:val=&quot;1A953298&quot;/&gt;&lt;wsp:rsid wsp:val=&quot;1AD95BC6&quot;/&gt;&lt;wsp:rsid wsp:val=&quot;1B5416E1&quot;/&gt;&lt;wsp:rsid wsp:val=&quot;1B565900&quot;/&gt;&lt;wsp:rsid wsp:val=&quot;1BCE3E3D&quot;/&gt;&lt;wsp:rsid wsp:val=&quot;1C4E50B2&quot;/&gt;&lt;wsp:rsid wsp:val=&quot;1C943B2A&quot;/&gt;&lt;wsp:rsid wsp:val=&quot;1CA71586&quot;/&gt;&lt;wsp:rsid wsp:val=&quot;1CB01854&quot;/&gt;&lt;wsp:rsid wsp:val=&quot;1D533F6A&quot;/&gt;&lt;wsp:rsid wsp:val=&quot;1D8C54C6&quot;/&gt;&lt;wsp:rsid wsp:val=&quot;1D933007&quot;/&gt;&lt;wsp:rsid wsp:val=&quot;1DB179FD&quot;/&gt;&lt;wsp:rsid wsp:val=&quot;1DE567F3&quot;/&gt;&lt;wsp:rsid wsp:val=&quot;1E8929A6&quot;/&gt;&lt;wsp:rsid wsp:val=&quot;1EC70060&quot;/&gt;&lt;wsp:rsid wsp:val=&quot;1EF27054&quot;/&gt;&lt;wsp:rsid wsp:val=&quot;1F2D5BAC&quot;/&gt;&lt;wsp:rsid wsp:val=&quot;1FFE0A96&quot;/&gt;&lt;wsp:rsid wsp:val=&quot;200640FC&quot;/&gt;&lt;wsp:rsid wsp:val=&quot;209C0BDB&quot;/&gt;&lt;wsp:rsid wsp:val=&quot;20B84BB9&quot;/&gt;&lt;wsp:rsid wsp:val=&quot;20BB38E7&quot;/&gt;&lt;wsp:rsid wsp:val=&quot;218B773D&quot;/&gt;&lt;wsp:rsid wsp:val=&quot;21AC6F9D&quot;/&gt;&lt;wsp:rsid wsp:val=&quot;21C16FD7&quot;/&gt;&lt;wsp:rsid wsp:val=&quot;224E132E&quot;/&gt;&lt;wsp:rsid wsp:val=&quot;22773A35&quot;/&gt;&lt;wsp:rsid wsp:val=&quot;22C244A5&quot;/&gt;&lt;wsp:rsid wsp:val=&quot;22CA5EAA&quot;/&gt;&lt;wsp:rsid wsp:val=&quot;231A049F&quot;/&gt;&lt;wsp:rsid wsp:val=&quot;239B6ED3&quot;/&gt;&lt;wsp:rsid wsp:val=&quot;23DF2CE7&quot;/&gt;&lt;wsp:rsid wsp:val=&quot;24490971&quot;/&gt;&lt;wsp:rsid wsp:val=&quot;248A2873&quot;/&gt;&lt;wsp:rsid wsp:val=&quot;24B91B41&quot;/&gt;&lt;wsp:rsid wsp:val=&quot;25020AE4&quot;/&gt;&lt;wsp:rsid wsp:val=&quot;251004E7&quot;/&gt;&lt;wsp:rsid wsp:val=&quot;25AF7328&quot;/&gt;&lt;wsp:rsid wsp:val=&quot;25CA697A&quot;/&gt;&lt;wsp:rsid wsp:val=&quot;26336213&quot;/&gt;&lt;wsp:rsid wsp:val=&quot;266712D5&quot;/&gt;&lt;wsp:rsid wsp:val=&quot;266B7CE1&quot;/&gt;&lt;wsp:rsid wsp:val=&quot;26C82176&quot;/&gt;&lt;wsp:rsid wsp:val=&quot;26FA7F38&quot;/&gt;&lt;wsp:rsid wsp:val=&quot;272357C9&quot;/&gt;&lt;wsp:rsid wsp:val=&quot;279E4B32&quot;/&gt;&lt;wsp:rsid wsp:val=&quot;27CC0F8A&quot;/&gt;&lt;wsp:rsid wsp:val=&quot;28362D4D&quot;/&gt;&lt;wsp:rsid wsp:val=&quot;28834FC2&quot;/&gt;&lt;wsp:rsid wsp:val=&quot;288D067D&quot;/&gt;&lt;wsp:rsid wsp:val=&quot;28BB61B8&quot;/&gt;&lt;wsp:rsid wsp:val=&quot;28C424DA&quot;/&gt;&lt;wsp:rsid wsp:val=&quot;28EF6012&quot;/&gt;&lt;wsp:rsid wsp:val=&quot;293943AB&quot;/&gt;&lt;wsp:rsid wsp:val=&quot;294A5328&quot;/&gt;&lt;wsp:rsid wsp:val=&quot;29562CBE&quot;/&gt;&lt;wsp:rsid wsp:val=&quot;297C1EF1&quot;/&gt;&lt;wsp:rsid wsp:val=&quot;29986D6E&quot;/&gt;&lt;wsp:rsid wsp:val=&quot;29B82DF9&quot;/&gt;&lt;wsp:rsid wsp:val=&quot;29DA2123&quot;/&gt;&lt;wsp:rsid wsp:val=&quot;2A1358E7&quot;/&gt;&lt;wsp:rsid wsp:val=&quot;2A1424A2&quot;/&gt;&lt;wsp:rsid wsp:val=&quot;2A2C044F&quot;/&gt;&lt;wsp:rsid wsp:val=&quot;2A5976D6&quot;/&gt;&lt;wsp:rsid wsp:val=&quot;2A667EDB&quot;/&gt;&lt;wsp:rsid wsp:val=&quot;2A867DD6&quot;/&gt;&lt;wsp:rsid wsp:val=&quot;2A9A10B9&quot;/&gt;&lt;wsp:rsid wsp:val=&quot;2ACD3BEC&quot;/&gt;&lt;wsp:rsid wsp:val=&quot;2BA528F7&quot;/&gt;&lt;wsp:rsid wsp:val=&quot;2C592B9B&quot;/&gt;&lt;wsp:rsid wsp:val=&quot;2CA96BB4&quot;/&gt;&lt;wsp:rsid wsp:val=&quot;2CC060EE&quot;/&gt;&lt;wsp:rsid wsp:val=&quot;2CEB42EE&quot;/&gt;&lt;wsp:rsid wsp:val=&quot;2CEE1C6D&quot;/&gt;&lt;wsp:rsid wsp:val=&quot;2CF94377&quot;/&gt;&lt;wsp:rsid wsp:val=&quot;2D60265C&quot;/&gt;&lt;wsp:rsid wsp:val=&quot;2D90533A&quot;/&gt;&lt;wsp:rsid wsp:val=&quot;2E75070D&quot;/&gt;&lt;wsp:rsid wsp:val=&quot;2E75790E&quot;/&gt;&lt;wsp:rsid wsp:val=&quot;2E9C7473&quot;/&gt;&lt;wsp:rsid wsp:val=&quot;2EB47F6B&quot;/&gt;&lt;wsp:rsid wsp:val=&quot;2FAF4850&quot;/&gt;&lt;wsp:rsid wsp:val=&quot;2FD15770&quot;/&gt;&lt;wsp:rsid wsp:val=&quot;305F12C7&quot;/&gt;&lt;wsp:rsid wsp:val=&quot;30B7776F&quot;/&gt;&lt;wsp:rsid wsp:val=&quot;31303E97&quot;/&gt;&lt;wsp:rsid wsp:val=&quot;31BC7E43&quot;/&gt;&lt;wsp:rsid wsp:val=&quot;322E27C9&quot;/&gt;&lt;wsp:rsid wsp:val=&quot;3268631D&quot;/&gt;&lt;wsp:rsid wsp:val=&quot;32B6014E&quot;/&gt;&lt;wsp:rsid wsp:val=&quot;33983990&quot;/&gt;&lt;wsp:rsid wsp:val=&quot;339972D2&quot;/&gt;&lt;wsp:rsid wsp:val=&quot;339A2B59&quot;/&gt;&lt;wsp:rsid wsp:val=&quot;33C1435D&quot;/&gt;&lt;wsp:rsid wsp:val=&quot;33C57E14&quot;/&gt;&lt;wsp:rsid wsp:val=&quot;33E312BB&quot;/&gt;&lt;wsp:rsid wsp:val=&quot;33EB32F2&quot;/&gt;&lt;wsp:rsid wsp:val=&quot;33ED430A&quot;/&gt;&lt;wsp:rsid wsp:val=&quot;34A777FF&quot;/&gt;&lt;wsp:rsid wsp:val=&quot;34AD215C&quot;/&gt;&lt;wsp:rsid wsp:val=&quot;356F4861&quot;/&gt;&lt;wsp:rsid wsp:val=&quot;35744F05&quot;/&gt;&lt;wsp:rsid wsp:val=&quot;35D65175&quot;/&gt;&lt;wsp:rsid wsp:val=&quot;36724672&quot;/&gt;&lt;wsp:rsid wsp:val=&quot;369F1C1F&quot;/&gt;&lt;wsp:rsid wsp:val=&quot;36C46922&quot;/&gt;&lt;wsp:rsid wsp:val=&quot;374F3B2F&quot;/&gt;&lt;wsp:rsid wsp:val=&quot;376003CF&quot;/&gt;&lt;wsp:rsid wsp:val=&quot;376D0368&quot;/&gt;&lt;wsp:rsid wsp:val=&quot;37E32F9A&quot;/&gt;&lt;wsp:rsid wsp:val=&quot;37F560F4&quot;/&gt;&lt;wsp:rsid wsp:val=&quot;389B6149&quot;/&gt;&lt;wsp:rsid wsp:val=&quot;389E5AAC&quot;/&gt;&lt;wsp:rsid wsp:val=&quot;38D618CA&quot;/&gt;&lt;wsp:rsid wsp:val=&quot;39014F7D&quot;/&gt;&lt;wsp:rsid wsp:val=&quot;39417FF5&quot;/&gt;&lt;wsp:rsid wsp:val=&quot;39532D82&quot;/&gt;&lt;wsp:rsid wsp:val=&quot;39A21F72&quot;/&gt;&lt;wsp:rsid wsp:val=&quot;39C31AF2&quot;/&gt;&lt;wsp:rsid wsp:val=&quot;39C36A5B&quot;/&gt;&lt;wsp:rsid wsp:val=&quot;39DA4BD5&quot;/&gt;&lt;wsp:rsid wsp:val=&quot;3A150264&quot;/&gt;&lt;wsp:rsid wsp:val=&quot;3A6B28F3&quot;/&gt;&lt;wsp:rsid wsp:val=&quot;3BD77ED0&quot;/&gt;&lt;wsp:rsid wsp:val=&quot;3BF7356A&quot;/&gt;&lt;wsp:rsid wsp:val=&quot;3C3B6104&quot;/&gt;&lt;wsp:rsid wsp:val=&quot;3C544E6E&quot;/&gt;&lt;wsp:rsid wsp:val=&quot;3C937972&quot;/&gt;&lt;wsp:rsid wsp:val=&quot;3CC06927&quot;/&gt;&lt;wsp:rsid wsp:val=&quot;3D853B21&quot;/&gt;&lt;wsp:rsid wsp:val=&quot;3DAF2871&quot;/&gt;&lt;wsp:rsid wsp:val=&quot;3E0165C6&quot;/&gt;&lt;wsp:rsid wsp:val=&quot;3E2C3208&quot;/&gt;&lt;wsp:rsid wsp:val=&quot;3E821DCF&quot;/&gt;&lt;wsp:rsid wsp:val=&quot;3EE90255&quot;/&gt;&lt;wsp:rsid wsp:val=&quot;3F1324E3&quot;/&gt;&lt;wsp:rsid wsp:val=&quot;3F195879&quot;/&gt;&lt;wsp:rsid wsp:val=&quot;3F1B2688&quot;/&gt;&lt;wsp:rsid wsp:val=&quot;3FF56548&quot;/&gt;&lt;wsp:rsid wsp:val=&quot;3FFE6A7F&quot;/&gt;&lt;wsp:rsid wsp:val=&quot;4015585F&quot;/&gt;&lt;wsp:rsid wsp:val=&quot;417F46C5&quot;/&gt;&lt;wsp:rsid wsp:val=&quot;422755D9&quot;/&gt;&lt;wsp:rsid wsp:val=&quot;42652B3F&quot;/&gt;&lt;wsp:rsid wsp:val=&quot;42E875BF&quot;/&gt;&lt;wsp:rsid wsp:val=&quot;433E3666&quot;/&gt;&lt;wsp:rsid wsp:val=&quot;43633399&quot;/&gt;&lt;wsp:rsid wsp:val=&quot;43B12C78&quot;/&gt;&lt;wsp:rsid wsp:val=&quot;448501F9&quot;/&gt;&lt;wsp:rsid wsp:val=&quot;44AE1FAF&quot;/&gt;&lt;wsp:rsid wsp:val=&quot;44E81115&quot;/&gt;&lt;wsp:rsid wsp:val=&quot;456304C5&quot;/&gt;&lt;wsp:rsid wsp:val=&quot;45BD215A&quot;/&gt;&lt;wsp:rsid wsp:val=&quot;45CD1A46&quot;/&gt;&lt;wsp:rsid wsp:val=&quot;462D0C89&quot;/&gt;&lt;wsp:rsid wsp:val=&quot;4636084B&quot;/&gt;&lt;wsp:rsid wsp:val=&quot;46506C11&quot;/&gt;&lt;wsp:rsid wsp:val=&quot;46DF32AF&quot;/&gt;&lt;wsp:rsid wsp:val=&quot;472F3A5C&quot;/&gt;&lt;wsp:rsid wsp:val=&quot;47594679&quot;/&gt;&lt;wsp:rsid wsp:val=&quot;47ED5B5F&quot;/&gt;&lt;wsp:rsid wsp:val=&quot;47FD6FCC&quot;/&gt;&lt;wsp:rsid wsp:val=&quot;48347217&quot;/&gt;&lt;wsp:rsid wsp:val=&quot;48B64B23&quot;/&gt;&lt;wsp:rsid wsp:val=&quot;48F96550&quot;/&gt;&lt;wsp:rsid wsp:val=&quot;492679B2&quot;/&gt;&lt;wsp:rsid wsp:val=&quot;49497B6C&quot;/&gt;&lt;wsp:rsid wsp:val=&quot;49660A12&quot;/&gt;&lt;wsp:rsid wsp:val=&quot;49C661D5&quot;/&gt;&lt;wsp:rsid wsp:val=&quot;49D626BA&quot;/&gt;&lt;wsp:rsid wsp:val=&quot;49EF206F&quot;/&gt;&lt;wsp:rsid wsp:val=&quot;4A1A2C9C&quot;/&gt;&lt;wsp:rsid wsp:val=&quot;4A350712&quot;/&gt;&lt;wsp:rsid wsp:val=&quot;4A4D411E&quot;/&gt;&lt;wsp:rsid wsp:val=&quot;4AB110E7&quot;/&gt;&lt;wsp:rsid wsp:val=&quot;4B0B5F1E&quot;/&gt;&lt;wsp:rsid wsp:val=&quot;4B3E4CC6&quot;/&gt;&lt;wsp:rsid wsp:val=&quot;4B9E2626&quot;/&gt;&lt;wsp:rsid wsp:val=&quot;4BC65E61&quot;/&gt;&lt;wsp:rsid wsp:val=&quot;4BDD7CAC&quot;/&gt;&lt;wsp:rsid wsp:val=&quot;4C3F3714&quot;/&gt;&lt;wsp:rsid wsp:val=&quot;4CB66873&quot;/&gt;&lt;wsp:rsid wsp:val=&quot;4D5512A6&quot;/&gt;&lt;wsp:rsid wsp:val=&quot;4D6E4BF8&quot;/&gt;&lt;wsp:rsid wsp:val=&quot;4DA451BE&quot;/&gt;&lt;wsp:rsid wsp:val=&quot;4DEE1582&quot;/&gt;&lt;wsp:rsid wsp:val=&quot;4E3F09D6&quot;/&gt;&lt;wsp:rsid wsp:val=&quot;4E4064A4&quot;/&gt;&lt;wsp:rsid wsp:val=&quot;4E787E97&quot;/&gt;&lt;wsp:rsid wsp:val=&quot;4E824921&quot;/&gt;&lt;wsp:rsid wsp:val=&quot;4E945A3C&quot;/&gt;&lt;wsp:rsid wsp:val=&quot;4EAF4003&quot;/&gt;&lt;wsp:rsid wsp:val=&quot;4ED55179&quot;/&gt;&lt;wsp:rsid wsp:val=&quot;4F2749C2&quot;/&gt;&lt;wsp:rsid wsp:val=&quot;4F405267&quot;/&gt;&lt;wsp:rsid wsp:val=&quot;4FA64580&quot;/&gt;&lt;wsp:rsid wsp:val=&quot;4FD74657&quot;/&gt;&lt;wsp:rsid wsp:val=&quot;4FE06A80&quot;/&gt;&lt;wsp:rsid wsp:val=&quot;4FE17582&quot;/&gt;&lt;wsp:rsid wsp:val=&quot;503F6DF4&quot;/&gt;&lt;wsp:rsid wsp:val=&quot;50905A3B&quot;/&gt;&lt;wsp:rsid wsp:val=&quot;50A91494&quot;/&gt;&lt;wsp:rsid wsp:val=&quot;50AF506E&quot;/&gt;&lt;wsp:rsid wsp:val=&quot;50D7647F&quot;/&gt;&lt;wsp:rsid wsp:val=&quot;51262697&quot;/&gt;&lt;wsp:rsid wsp:val=&quot;513C0A75&quot;/&gt;&lt;wsp:rsid wsp:val=&quot;51843EF1&quot;/&gt;&lt;wsp:rsid wsp:val=&quot;519C5CD8&quot;/&gt;&lt;wsp:rsid wsp:val=&quot;51AB1600&quot;/&gt;&lt;wsp:rsid wsp:val=&quot;52033936&quot;/&gt;&lt;wsp:rsid wsp:val=&quot;522B56F7&quot;/&gt;&lt;wsp:rsid wsp:val=&quot;52562BF1&quot;/&gt;&lt;wsp:rsid wsp:val=&quot;526A1AAB&quot;/&gt;&lt;wsp:rsid wsp:val=&quot;527E482E&quot;/&gt;&lt;wsp:rsid wsp:val=&quot;52A20D24&quot;/&gt;&lt;wsp:rsid wsp:val=&quot;52CD48B5&quot;/&gt;&lt;wsp:rsid wsp:val=&quot;532A7E1B&quot;/&gt;&lt;wsp:rsid wsp:val=&quot;534472D7&quot;/&gt;&lt;wsp:rsid wsp:val=&quot;53562019&quot;/&gt;&lt;wsp:rsid wsp:val=&quot;536924F3&quot;/&gt;&lt;wsp:rsid wsp:val=&quot;53DF638D&quot;/&gt;&lt;wsp:rsid wsp:val=&quot;541D7EF3&quot;/&gt;&lt;wsp:rsid wsp:val=&quot;54227B98&quot;/&gt;&lt;wsp:rsid wsp:val=&quot;54823852&quot;/&gt;&lt;wsp:rsid wsp:val=&quot;54F7137E&quot;/&gt;&lt;wsp:rsid wsp:val=&quot;557A1AD2&quot;/&gt;&lt;wsp:rsid wsp:val=&quot;55B00CDC&quot;/&gt;&lt;wsp:rsid wsp:val=&quot;55B473AC&quot;/&gt;&lt;wsp:rsid wsp:val=&quot;56335093&quot;/&gt;&lt;wsp:rsid wsp:val=&quot;56582DE2&quot;/&gt;&lt;wsp:rsid wsp:val=&quot;56C050DA&quot;/&gt;&lt;wsp:rsid wsp:val=&quot;56C851F5&quot;/&gt;&lt;wsp:rsid wsp:val=&quot;576D1373&quot;/&gt;&lt;wsp:rsid wsp:val=&quot;57845C63&quot;/&gt;&lt;wsp:rsid wsp:val=&quot;57CC3BB5&quot;/&gt;&lt;wsp:rsid wsp:val=&quot;58330E3D&quot;/&gt;&lt;wsp:rsid wsp:val=&quot;584949AE&quot;/&gt;&lt;wsp:rsid wsp:val=&quot;585154C0&quot;/&gt;&lt;wsp:rsid wsp:val=&quot;58536F80&quot;/&gt;&lt;wsp:rsid wsp:val=&quot;58602963&quot;/&gt;&lt;wsp:rsid wsp:val=&quot;586650F0&quot;/&gt;&lt;wsp:rsid wsp:val=&quot;591C3767&quot;/&gt;&lt;wsp:rsid wsp:val=&quot;59FE2D26&quot;/&gt;&lt;wsp:rsid wsp:val=&quot;5A0E08BC&quot;/&gt;&lt;wsp:rsid wsp:val=&quot;5A14569F&quot;/&gt;&lt;wsp:rsid wsp:val=&quot;5A1C3D0F&quot;/&gt;&lt;wsp:rsid wsp:val=&quot;5A3011EB&quot;/&gt;&lt;wsp:rsid wsp:val=&quot;5A7C7B14&quot;/&gt;&lt;wsp:rsid wsp:val=&quot;5A9F41D4&quot;/&gt;&lt;wsp:rsid wsp:val=&quot;5B6750FE&quot;/&gt;&lt;wsp:rsid wsp:val=&quot;5B812FC1&quot;/&gt;&lt;wsp:rsid wsp:val=&quot;5B9961BA&quot;/&gt;&lt;wsp:rsid wsp:val=&quot;5BCB2884&quot;/&gt;&lt;wsp:rsid wsp:val=&quot;5C253161&quot;/&gt;&lt;wsp:rsid wsp:val=&quot;5C31365A&quot;/&gt;&lt;wsp:rsid wsp:val=&quot;5C5816D5&quot;/&gt;&lt;wsp:rsid wsp:val=&quot;5C6E731E&quot;/&gt;&lt;wsp:rsid wsp:val=&quot;5CBF5572&quot;/&gt;&lt;wsp:rsid wsp:val=&quot;5D0B7E24&quot;/&gt;&lt;wsp:rsid wsp:val=&quot;5D0C02AA&quot;/&gt;&lt;wsp:rsid wsp:val=&quot;5D20757B&quot;/&gt;&lt;wsp:rsid wsp:val=&quot;5D7C3215&quot;/&gt;&lt;wsp:rsid wsp:val=&quot;5DAD3FBE&quot;/&gt;&lt;wsp:rsid wsp:val=&quot;5E312CCA&quot;/&gt;&lt;wsp:rsid wsp:val=&quot;5E8A123E&quot;/&gt;&lt;wsp:rsid wsp:val=&quot;5E92443D&quot;/&gt;&lt;wsp:rsid wsp:val=&quot;5EB35A42&quot;/&gt;&lt;wsp:rsid wsp:val=&quot;5F0A4B08&quot;/&gt;&lt;wsp:rsid wsp:val=&quot;5F8D1535&quot;/&gt;&lt;wsp:rsid wsp:val=&quot;5F95411D&quot;/&gt;&lt;wsp:rsid wsp:val=&quot;5F974DD7&quot;/&gt;&lt;wsp:rsid wsp:val=&quot;5FF347A0&quot;/&gt;&lt;wsp:rsid wsp:val=&quot;60050D0A&quot;/&gt;&lt;wsp:rsid wsp:val=&quot;600D643D&quot;/&gt;&lt;wsp:rsid wsp:val=&quot;60521D85&quot;/&gt;&lt;wsp:rsid wsp:val=&quot;605D356F&quot;/&gt;&lt;wsp:rsid wsp:val=&quot;60EC344B&quot;/&gt;&lt;wsp:rsid wsp:val=&quot;60F54484&quot;/&gt;&lt;wsp:rsid wsp:val=&quot;615658EE&quot;/&gt;&lt;wsp:rsid wsp:val=&quot;615E5935&quot;/&gt;&lt;wsp:rsid wsp:val=&quot;61A23A1A&quot;/&gt;&lt;wsp:rsid wsp:val=&quot;61CA359F&quot;/&gt;&lt;wsp:rsid wsp:val=&quot;624B08A7&quot;/&gt;&lt;wsp:rsid wsp:val=&quot;6274528B&quot;/&gt;&lt;wsp:rsid wsp:val=&quot;627F1C15&quot;/&gt;&lt;wsp:rsid wsp:val=&quot;62B90ADA&quot;/&gt;&lt;wsp:rsid wsp:val=&quot;63067368&quot;/&gt;&lt;wsp:rsid wsp:val=&quot;636A20D2&quot;/&gt;&lt;wsp:rsid wsp:val=&quot;637B5989&quot;/&gt;&lt;wsp:rsid wsp:val=&quot;63AA0D0D&quot;/&gt;&lt;wsp:rsid wsp:val=&quot;646111D5&quot;/&gt;&lt;wsp:rsid wsp:val=&quot;64914931&quot;/&gt;&lt;wsp:rsid wsp:val=&quot;652D5D3B&quot;/&gt;&lt;wsp:rsid wsp:val=&quot;653B7FE3&quot;/&gt;&lt;wsp:rsid wsp:val=&quot;668762B5&quot;/&gt;&lt;wsp:rsid wsp:val=&quot;66FA33A2&quot;/&gt;&lt;wsp:rsid wsp:val=&quot;67112A52&quot;/&gt;&lt;wsp:rsid wsp:val=&quot;671203FE&quot;/&gt;&lt;wsp:rsid wsp:val=&quot;676B6CF9&quot;/&gt;&lt;wsp:rsid wsp:val=&quot;677E3E01&quot;/&gt;&lt;wsp:rsid wsp:val=&quot;67EF5708&quot;/&gt;&lt;wsp:rsid wsp:val=&quot;685E3252&quot;/&gt;&lt;wsp:rsid wsp:val=&quot;69432CF1&quot;/&gt;&lt;wsp:rsid wsp:val=&quot;69547606&quot;/&gt;&lt;wsp:rsid wsp:val=&quot;696F37AB&quot;/&gt;&lt;wsp:rsid wsp:val=&quot;697D28AB&quot;/&gt;&lt;wsp:rsid wsp:val=&quot;6A1D6D4E&quot;/&gt;&lt;wsp:rsid wsp:val=&quot;6A593BA5&quot;/&gt;&lt;wsp:rsid wsp:val=&quot;6B1B0967&quot;/&gt;&lt;wsp:rsid wsp:val=&quot;6B920F86&quot;/&gt;&lt;wsp:rsid wsp:val=&quot;6BC03D24&quot;/&gt;&lt;wsp:rsid wsp:val=&quot;6C0E47D6&quot;/&gt;&lt;wsp:rsid wsp:val=&quot;6C6C2814&quot;/&gt;&lt;wsp:rsid wsp:val=&quot;6D1E188C&quot;/&gt;&lt;wsp:rsid wsp:val=&quot;6D3D19ED&quot;/&gt;&lt;wsp:rsid wsp:val=&quot;6D5301C5&quot;/&gt;&lt;wsp:rsid wsp:val=&quot;6D946491&quot;/&gt;&lt;wsp:rsid wsp:val=&quot;6E210F62&quot;/&gt;&lt;wsp:rsid wsp:val=&quot;6E2B1482&quot;/&gt;&lt;wsp:rsid wsp:val=&quot;6E3A4328&quot;/&gt;&lt;wsp:rsid wsp:val=&quot;6E9852ED&quot;/&gt;&lt;wsp:rsid wsp:val=&quot;6EB826D6&quot;/&gt;&lt;wsp:rsid wsp:val=&quot;6F3F0791&quot;/&gt;&lt;wsp:rsid wsp:val=&quot;7039390D&quot;/&gt;&lt;wsp:rsid wsp:val=&quot;704857D2&quot;/&gt;&lt;wsp:rsid wsp:val=&quot;70AD34E2&quot;/&gt;&lt;wsp:rsid wsp:val=&quot;70F31224&quot;/&gt;&lt;wsp:rsid wsp:val=&quot;710418E1&quot;/&gt;&lt;wsp:rsid wsp:val=&quot;71946E48&quot;/&gt;&lt;wsp:rsid wsp:val=&quot;723412BE&quot;/&gt;&lt;wsp:rsid wsp:val=&quot;728F7361&quot;/&gt;&lt;wsp:rsid wsp:val=&quot;72A65046&quot;/&gt;&lt;wsp:rsid wsp:val=&quot;732A5EA0&quot;/&gt;&lt;wsp:rsid wsp:val=&quot;733B144C&quot;/&gt;&lt;wsp:rsid wsp:val=&quot;734F28B9&quot;/&gt;&lt;wsp:rsid wsp:val=&quot;73890EE2&quot;/&gt;&lt;wsp:rsid wsp:val=&quot;73C85B40&quot;/&gt;&lt;wsp:rsid wsp:val=&quot;741802A5&quot;/&gt;&lt;wsp:rsid wsp:val=&quot;74390556&quot;/&gt;&lt;wsp:rsid wsp:val=&quot;747C3740&quot;/&gt;&lt;wsp:rsid wsp:val=&quot;74F26A35&quot;/&gt;&lt;wsp:rsid wsp:val=&quot;75B51ECF&quot;/&gt;&lt;wsp:rsid wsp:val=&quot;75EA47CE&quot;/&gt;&lt;wsp:rsid wsp:val=&quot;76426669&quot;/&gt;&lt;wsp:rsid wsp:val=&quot;76964626&quot;/&gt;&lt;wsp:rsid wsp:val=&quot;769A15AF&quot;/&gt;&lt;wsp:rsid wsp:val=&quot;775C53AC&quot;/&gt;&lt;wsp:rsid wsp:val=&quot;77B1317B&quot;/&gt;&lt;wsp:rsid wsp:val=&quot;77B31097&quot;/&gt;&lt;wsp:rsid wsp:val=&quot;7810051E&quot;/&gt;&lt;wsp:rsid wsp:val=&quot;7861350B&quot;/&gt;&lt;wsp:rsid wsp:val=&quot;786765F6&quot;/&gt;&lt;wsp:rsid wsp:val=&quot;78BC04E7&quot;/&gt;&lt;wsp:rsid wsp:val=&quot;78D57477&quot;/&gt;&lt;wsp:rsid wsp:val=&quot;79241D3B&quot;/&gt;&lt;wsp:rsid wsp:val=&quot;79A56B50&quot;/&gt;&lt;wsp:rsid wsp:val=&quot;79F7592F&quot;/&gt;&lt;wsp:rsid wsp:val=&quot;7A2F5A92&quot;/&gt;&lt;wsp:rsid wsp:val=&quot;7A6F0610&quot;/&gt;&lt;wsp:rsid wsp:val=&quot;7A751A95&quot;/&gt;&lt;wsp:rsid wsp:val=&quot;7A7D3826&quot;/&gt;&lt;wsp:rsid wsp:val=&quot;7AC82A82&quot;/&gt;&lt;wsp:rsid wsp:val=&quot;7B082B9B&quot;/&gt;&lt;wsp:rsid wsp:val=&quot;7B2E6E84&quot;/&gt;&lt;wsp:rsid wsp:val=&quot;7B3C0C28&quot;/&gt;&lt;wsp:rsid wsp:val=&quot;7B46149E&quot;/&gt;&lt;wsp:rsid wsp:val=&quot;7B48074C&quot;/&gt;&lt;wsp:rsid wsp:val=&quot;7B480EC1&quot;/&gt;&lt;wsp:rsid wsp:val=&quot;7BA44CE6&quot;/&gt;&lt;wsp:rsid wsp:val=&quot;7BD82EEA&quot;/&gt;&lt;wsp:rsid wsp:val=&quot;7BEA7714&quot;/&gt;&lt;wsp:rsid wsp:val=&quot;7BF074D5&quot;/&gt;&lt;wsp:rsid wsp:val=&quot;7BF25FCB&quot;/&gt;&lt;wsp:rsid wsp:val=&quot;7BF37812&quot;/&gt;&lt;wsp:rsid wsp:val=&quot;7C6B0C53&quot;/&gt;&lt;wsp:rsid wsp:val=&quot;7CC410F0&quot;/&gt;&lt;wsp:rsid wsp:val=&quot;7CCE4C27&quot;/&gt;&lt;wsp:rsid wsp:val=&quot;7CEF4309&quot;/&gt;&lt;wsp:rsid wsp:val=&quot;7DB25215&quot;/&gt;&lt;wsp:rsid wsp:val=&quot;7DD07E94&quot;/&gt;&lt;wsp:rsid wsp:val=&quot;7DDE28E3&quot;/&gt;&lt;wsp:rsid wsp:val=&quot;7E0D3668&quot;/&gt;&lt;wsp:rsid wsp:val=&quot;7E9A2C34&quot;/&gt;&lt;wsp:rsid wsp:val=&quot;7E9C025C&quot;/&gt;&lt;wsp:rsid wsp:val=&quot;7EAE30ED&quot;/&gt;&lt;wsp:rsid wsp:val=&quot;7ED047DB&quot;/&gt;&lt;wsp:rsid wsp:val=&quot;7ED2154C&quot;/&gt;&lt;wsp:rsid wsp:val=&quot;7F041C24&quot;/&gt;&lt;wsp:rsid wsp:val=&quot;7F0C0256&quot;/&gt;&lt;wsp:rsid wsp:val=&quot;7F3C19F3&quot;/&gt;&lt;wsp:rsid wsp:val=&quot;7F6A04A2&quot;/&gt;&lt;/wsp:rsids&gt;&lt;/w:docPr&gt;&lt;w:body&gt;&lt;w:p wsp:rsidR=&quot;00000000&quot; wsp:rsidRDefault=&quot;00BB3228&quot;&gt;&lt;w:pPr&gt;&lt;w:rPr&gt;&lt;wx:font wx:val=&quot;新宋体&quot;/&gt;&lt;/w:rPr&gt;&lt;/w:pPr&gt;&lt;m:oMathPara&gt;&lt;m:oMF04F04F04F04F04F04F04F04F04F04F04F04F04F04F04F04F04F04F04F04F04F04F04F04F04F04F04F04F04F04F04F04F04F04F04F04F04F04F04F04F04F04F04F04F04F04F04F04F04F04F04F04F04F04F04F04F04F04F04F04F04F04F04at41Ch&gt;&lt;m:nary&gt;&lt;m:naryPr&gt;&lt;m:chr m:val=&quot;∑&quot;/&gt;&lt;m:ctrlPr&gt;&lt;w:rPr&gt;&lt;w:rFont4s w4:as4cii4=&quot;C4amb4ria4 Ma4th&quot;4 w:4far4eas4t=&quot;4宋?04? F04w:hF04-anF04si=F04&quot;CaF04mbrF04ia F04MatF04h&quot;/F04&gt;&lt;wF04x:fF04ontF04 wxF04:vaF04l=&quot;F04CamF04briF04a MF04athF04&quot;/&gt;F04&lt;w:F04sz-F04cs F04w:vF04al=F04&quot;24F04&quot;/&gt;F04&lt;/wF04:rPF04r&gt;&lt;F04/m:F04ctrF04lPrF04&gt;&lt;/F044m:n4F04a4ryF044Pr&gt;4F04&lt;4m:F044sub4F04&gt;4&lt;mF044:r&gt;4F04&lt;4m:F044rPr4F04&gt;&lt;mF04:stF04y mF04:vaF04l=&quot;F04p&quot;/F04&gt;&lt;/m:41CrPr&gt;&lt;w:rPr&gt;&lt;w:rFonts w:ascii=&quot;Cambria Math&quot; w:fareast=&quot;宋体&quot; 04w:h-an04si=&quot;Ca04mbria 04Math&quot;/04&gt;&lt;wx:f04ont wx04:val=&quot;04Cambri04a Math04&quot;/&gt;&lt;w:0404sz-csn4 04w:a4val=0044&quot;24&quot;&gt;4/&gt;04&lt;&lt;4/w:rP0404r&gt;&lt;b4m:t04&gt;4&gt;i=0&lt;04/04m:&gt;4t&gt;&lt;/0&lt;44m:r&gt;04&lt;/04mr4:sub&gt;0&lt;m4&lt;m:sustp04&gt;&lt;m m:r&gt;04&lt;vam:rPr0=&quot;4&gt;&lt;m:s&quot;/t04y m&lt;/:va04lCr=&quot;p&quot;/0w:4&gt;&lt;/m:&lt;wr04Pr&gt;nt&lt;w:04rasPr&gt;&lt;w0&quot;C4:rFoniat04s wh&quot;:as04carii=&quot;C0=&quot;4ambria M1Cath&quot; w:fareast=&quot;?翁?04 n4w:h-ansa404i=&quot;Ca04mbr04ia&gt;4 Math&quot;0&lt;44/&gt;&lt;wx:04fo04nt b4wx:va04&gt;4l=&quot;Camb04r04ia M&gt;4ath&quot;04/&lt;4&gt;&lt;w:sz-0404cs w:r4val04=&quot;2&lt;m4&quot;/&gt;&lt;04/stw:rPr&gt;&lt;0 m4m:t&gt;n&lt;/vam04:t&gt;&lt;/=&quot;m:r04&gt;&lt;/&quot;/m:sup04&gt;&lt;/&lt;m:e&gt;&lt;m0Cr4:r&gt;&lt;m:rw:P04r&gt;&lt;m:&lt;wsty04 m:ntval=&quot;04pas&quot;/&gt;&lt;/m:0&quot;C4rPr&gt;&lt;w:&quot;?iar04Pr&gt;&lt;wh&quot;:rF04ontars w:a04s=&quot;cii=&quot;Ca0a 4mbria M&quot; a04th&quot; was:fa04reast=&quot;?04翁? 4w4:has04-4ans4i=&quot;C&quot;4C04am4bri4a Mat M414Ch&quot; w:hin4mt=&quot;fareastt4&quot;/&gt;&lt;wx:fomn4t wx:vala=&quot;4Cambria&quot; Ma4th&quot;/&gt;&lt;/w:sz4-cs w/:val=4&quot;24&quot;r/&gt;&lt;/w:4rPr:&gt;&lt;m:t&gt;C4&lt;/wm:t&gt;&lt;/m:4rt&gt;&lt;m:r&gt;&lt;m:4sr?Pr&gt;&lt;m:sty&lt;C4 m:val=o&quot;pa&quot;4/&gt;&lt;/am:rP&quot;r&gt;4&lt;=w:rPr&gt;r&lt;wb:4rFonts&quot;0 w:a4scii:= &quot;Camb4rtia  Math&quot; 4w:fsareast=4&quot;?t翁? 4w:ha04w4-a4nsi=&quot;Camas4404bria Matmhm4&quot;?04&quot; w:thinM4t=&quot;fa0m4reasn4t&quot;/&gt;a&lt;wx:04ft4on&quot;t wx:val=n4/&quot;C1Cambria /&quot;4Math&quot;/&gt;&lt;wr:sa4z-cs w::val=z4&quot;24&quot;/w&gt;&lt;?w:ve=4rtAt&lt;lign w:v:4oasl=&quot;subscariCC4pt&quot;/&gt;=&lt;/w:raP:4rb&gt;&lt;m:t&gt;i&quot;&lt;/0m:4:t&gt;&lt;/mr::r&gt;&lt;/y4m:et&gt;&quot;&lt;/m:nar&quot; 4y&gt; &lt;/m:oMsath&gt;4 &gt;&lt;/m:oMathPs:4ara&gt;&lt;/w:?tp&gt;&lt;a4w:sectPr wsb4p:rsidR=&quot;00 4000000&quot;&gt;&lt;w:=4pgSz w:w=&quot;12240&quot; w:h=&quot;15840&quot;/&gt;&lt;w:pgMar w:top=&quot;1440&quot; w:right=&quot;1800&quot; w:bottom=&quot;1440&quot; w:left=&quot;1800&quot; w:header=&quot;720&quot; w:footer=&quot;720&quot; w:gutter=&quot;0&quot;/&gt;&lt;w:cols w:space=&quot;720&quot;/&gt;&lt;/w:sectPr&gt;&lt;/w:body&gt;&lt;/w:wordDocument">
            <v:path/>
            <v:fill on="f" focussize="0,0"/>
            <v:stroke on="f"/>
            <v:imagedata r:id="rId117" chromakey="#FFFFFF" o:title=""/>
            <o:lock v:ext="edit" aspectratio="t"/>
            <w10:wrap type="none"/>
            <w10:anchorlock/>
          </v:shape>
        </w:pict>
      </w:r>
      <w:r>
        <w:rPr>
          <w:rFonts w:ascii="Times New Roman" w:hAnsi="Times New Roman"/>
          <w:szCs w:val="24"/>
          <w:highlight w:val="none"/>
        </w:rPr>
        <w:instrText xml:space="preserve"> </w:instrText>
      </w:r>
      <w:r>
        <w:rPr>
          <w:rFonts w:ascii="Times New Roman" w:hAnsi="Times New Roman"/>
          <w:szCs w:val="24"/>
          <w:highlight w:val="none"/>
        </w:rPr>
        <w:fldChar w:fldCharType="separate"/>
      </w:r>
      <w:r>
        <w:rPr>
          <w:rFonts w:ascii="Times New Roman" w:hAnsi="Times New Roman" w:eastAsia="新宋体"/>
          <w:position w:val="-15"/>
          <w:szCs w:val="21"/>
          <w:highlight w:val="none"/>
        </w:rPr>
        <w:pict>
          <v:shape id="_x0000_i1035" o:spt="75" type="#_x0000_t75" style="height:23.15pt;width:34.45pt;" filled="f" o:preferrelative="t" stroked="f" coordsize="21600,21600"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isplayBackgroundShape/&gt;&lt;w:doNotEmbedSystemFonts/&gt;&lt;w:hideSpellingErrors/&gt;&lt;w:stylePaneFormatFilter w:val=&quot;3828&quot;/&gt;&lt;w:defaultTabStop w:val=&quot;420&quot;/&gt;&lt;w:drawingGridHorizontalSpacing w:val=&quot;105&quot;/&gt;&lt;w:drawingGridVerticalSpacing w:val=&quot;156&quot;/&gt;&lt;w:characterSpacingControl w:val=&quot;CompressPunctuation&quot;/&gt;&lt;w:webPageEncoding w:val=&quot;x-cp20936&quot;/&gt;&lt;w:optimizeForBrowser/&gt;&lt;w:savePreviewPicture/&gt;&lt;w:validateAgainstSchema w:val=&quot;off&quot;/&gt;&lt;w:saveInvalidXML w:val=&quot;off&quot;/&gt;&lt;w:ignoreMixedContent w:val=&quot;off&quot;/&gt;&lt;w:alwaysShowPlaceholderText w:val=&quot;off&quot;/&gt;&lt;w:doNotUnderlineInvalidXML/&gt;&lt;w:compat&gt;&lt;w:spaceForUL/&gt;&lt;w:balanceSingleByteDoubleByteWidth/&gt;&lt;w:doNotLeaveBackslashAlone/&gt;&lt;w:doNotExpandShiftReturn/&gt;&lt;w:adjustLineHeightInTable/&gt;&lt;w:breakWrappedTables/&gt;&lt;w:snapToGridInCell/&gt;&lt;w:dontGrowAutofit/&gt;&lt;w:useFELayout/&gt;&lt;/w:compat&gt;&lt;wsp:rsids&gt;&lt;wsp:rsidRoot wsp:val=&quot;00E25665&quot;/&gt;&lt;wsp:rsid wsp:val=&quot;000002F4&quot;/&gt;&lt;wsp:rsid wsp:val=&quot;00000996&quot;/&gt;&lt;wsp:rsid wsp:val=&quot;00000E1D&quot;/&gt;&lt;wsp:rsid wsp:val=&quot;00001111&quot;/&gt;&lt;wsp:rsid wsp:val=&quot;00001386&quot;/&gt;&lt;wsp:rsid wsp:val=&quot;00001B75&quot;/&gt;&lt;wsp:rsid wsp:val=&quot;00001D9E&quot;/&gt;&lt;wsp:rsid wsp:val=&quot;00002045&quot;/&gt;&lt;wsp:rsid wsp:val=&quot;0000266B&quot;/&gt;&lt;wsp:rsid wsp:val=&quot;00002E81&quot;/&gt;&lt;wsp:rsid wsp:val=&quot;000039AE&quot;/&gt;&lt;wsp:rsid wsp:val=&quot;00003DE4&quot;/&gt;&lt;wsp:rsid wsp:val=&quot;00003EDA&quot;/&gt;&lt;wsp:rsid wsp:val=&quot;0000494C&quot;/&gt;&lt;wsp:rsid wsp:val=&quot;00005521&quot;/&gt;&lt;wsp:rsid wsp:val=&quot;0000584D&quot;/&gt;&lt;wsp:rsid wsp:val=&quot;000058CC&quot;/&gt;&lt;wsp:rsid wsp:val=&quot;0000614F&quot;/&gt;&lt;wsp:rsid wsp:val=&quot;000064AB&quot;/&gt;&lt;wsp:rsid wsp:val=&quot;0000666C&quot;/&gt;&lt;wsp:rsid wsp:val=&quot;00006688&quot;/&gt;&lt;wsp:rsid wsp:val=&quot;000066CD&quot;/&gt;&lt;wsp:rsid wsp:val=&quot;0000695C&quot;/&gt;&lt;wsp:rsid wsp:val=&quot;000070B2&quot;/&gt;&lt;wsp:rsid wsp:val=&quot;00007363&quot;/&gt;&lt;wsp:rsid wsp:val=&quot;000076E0&quot;/&gt;&lt;wsp:rsid wsp:val=&quot;00007980&quot;/&gt;&lt;wsp:rsid wsp:val=&quot;00007C80&quot;/&gt;&lt;wsp:rsid wsp:val=&quot;00010141&quot;/&gt;&lt;wsp:rsid wsp:val=&quot;00010194&quot;/&gt;&lt;wsp:rsid wsp:val=&quot;0001030E&quot;/&gt;&lt;wsp:rsid wsp:val=&quot;000104E0&quot;/&gt;&lt;wsp:rsid wsp:val=&quot;00010A0B&quot;/&gt;&lt;wsp:rsid wsp:val=&quot;00010E6A&quot;/&gt;&lt;wsp:rsid wsp:val=&quot;00010E85&quot;/&gt;&lt;wsp:rsid wsp:val=&quot;00010FD3&quot;/&gt;&lt;wsp:rsid wsp:val=&quot;00011186&quot;/&gt;&lt;wsp:rsid wsp:val=&quot;00011C7F&quot;/&gt;&lt;wsp:rsid wsp:val=&quot;00011DA5&quot;/&gt;&lt;wsp:rsid wsp:val=&quot;00012A4A&quot;/&gt;&lt;wsp:rsid wsp:val=&quot;00012B34&quot;/&gt;&lt;wsp:rsid wsp:val=&quot;00012B68&quot;/&gt;&lt;wsp:rsid wsp:val=&quot;00012ED9&quot;/&gt;&lt;wsp:rsid wsp:val=&quot;0001305C&quot;/&gt;&lt;wsp:rsid wsp:val=&quot;00013190&quot;/&gt;&lt;wsp:rsid wsp:val=&quot;00013279&quot;/&gt;&lt;wsp:rsid wsp:val=&quot;000136FD&quot;/&gt;&lt;wsp:rsid wsp:val=&quot;000137BF&quot;/&gt;&lt;wsp:rsid wsp:val=&quot;000138C0&quot;/&gt;&lt;wsp:rsid wsp:val=&quot;00013CC2&quot;/&gt;&lt;wsp:rsid wsp:val=&quot;00014352&quot;/&gt;&lt;wsp:rsid wsp:val=&quot;000144D4&quot;/&gt;&lt;wsp:rsid wsp:val=&quot;00014C0C&quot;/&gt;&lt;wsp:rsid wsp:val=&quot;00014DBC&quot;/&gt;&lt;wsp:rsid wsp:val=&quot;00015013&quot;/&gt;&lt;wsp:rsid wsp:val=&quot;000151CB&quot;/&gt;&lt;wsp:rsid wsp:val=&quot;00015882&quot;/&gt;&lt;wsp:rsid wsp:val=&quot;00016693&quot;/&gt;&lt;wsp:rsid wsp:val=&quot;000177A7&quot;/&gt;&lt;wsp:rsid wsp:val=&quot;00017E37&quot;/&gt;&lt;wsp:rsid wsp:val=&quot;0002118C&quot;/&gt;&lt;wsp:rsid wsp:val=&quot;000212D8&quot;/&gt;&lt;wsp:rsid wsp:val=&quot;00021E7E&quot;/&gt;&lt;wsp:rsid wsp:val=&quot;00021F5A&quot;/&gt;&lt;wsp:rsid wsp:val=&quot;000225E0&quot;/&gt;&lt;wsp:rsid wsp:val=&quot;00022F93&quot;/&gt;&lt;wsp:rsid wsp:val=&quot;00023085&quot;/&gt;&lt;wsp:rsid wsp:val=&quot;00024048&quot;/&gt;&lt;wsp:rsid wsp:val=&quot;00024205&quot;/&gt;&lt;wsp:rsid wsp:val=&quot;000248BA&quot;/&gt;&lt;wsp:rsid wsp:val=&quot;0002508E&quot;/&gt;&lt;wsp:rsid wsp:val=&quot;0002526D&quot;/&gt;&lt;wsp:rsid wsp:val=&quot;00025A27&quot;/&gt;&lt;wsp:rsid wsp:val=&quot;00025D08&quot;/&gt;&lt;wsp:rsid wsp:val=&quot;000263BE&quot;/&gt;&lt;wsp:rsid wsp:val=&quot;000264D7&quot;/&gt;&lt;wsp:rsid wsp:val=&quot;000264DF&quot;/&gt;&lt;wsp:rsid wsp:val=&quot;00026B71&quot;/&gt;&lt;wsp:rsid wsp:val=&quot;00026F6B&quot;/&gt;&lt;wsp:rsid wsp:val=&quot;00030030&quot;/&gt;&lt;wsp:rsid wsp:val=&quot;000305A5&quot;/&gt;&lt;wsp:rsid wsp:val=&quot;0003084A&quot;/&gt;&lt;wsp:rsid wsp:val=&quot;00030C93&quot;/&gt;&lt;wsp:rsid wsp:val=&quot;00031182&quot;/&gt;&lt;wsp:rsid wsp:val=&quot;00032A51&quot;/&gt;&lt;wsp:rsid wsp:val=&quot;00032A8F&quot;/&gt;&lt;wsp:rsid wsp:val=&quot;0003362E&quot;/&gt;&lt;wsp:rsid wsp:val=&quot;0003467F&quot;/&gt;&lt;wsp:rsid wsp:val=&quot;00034AAF&quot;/&gt;&lt;wsp:rsid wsp:val=&quot;000350F0&quot;/&gt;&lt;wsp:rsid wsp:val=&quot;000357BE&quot;/&gt;&lt;wsp:rsid wsp:val=&quot;00035A62&quot;/&gt;&lt;wsp:rsid wsp:val=&quot;00035C0E&quot;/&gt;&lt;wsp:rsid wsp:val=&quot;00035D98&quot;/&gt;&lt;wsp:rsid wsp:val=&quot;00035FD0&quot;/&gt;&lt;wsp:rsid wsp:val=&quot;0003649D&quot;/&gt;&lt;wsp:rsid wsp:val=&quot;00036700&quot;/&gt;&lt;wsp:rsid wsp:val=&quot;00036D9C&quot;/&gt;&lt;wsp:rsid wsp:val=&quot;00036E45&quot;/&gt;&lt;wsp:rsid wsp:val=&quot;00037850&quot;/&gt;&lt;wsp:rsid wsp:val=&quot;00037ABA&quot;/&gt;&lt;wsp:rsid wsp:val=&quot;00037B31&quot;/&gt;&lt;wsp:rsid wsp:val=&quot;000400EF&quot;/&gt;&lt;wsp:rsid wsp:val=&quot;00040499&quot;/&gt;&lt;wsp:rsid wsp:val=&quot;000405AF&quot;/&gt;&lt;wsp:rsid wsp:val=&quot;000413AE&quot;/&gt;&lt;wsp:rsid wsp:val=&quot;00041503&quot;/&gt;&lt;wsp:rsid wsp:val=&quot;0004194D&quot;/&gt;&lt;wsp:rsid wsp:val=&quot;000421AF&quot;/&gt;&lt;wsp:rsid wsp:val=&quot;00042378&quot;/&gt;&lt;wsp:rsid wsp:val=&quot;0004362D&quot;/&gt;&lt;wsp:rsid wsp:val=&quot;00043AE3&quot;/&gt;&lt;wsp:rsid wsp:val=&quot;00043E78&quot;/&gt;&lt;wsp:rsid wsp:val=&quot;00044185&quot;/&gt;&lt;wsp:rsid wsp:val=&quot;0004468D&quot;/&gt;&lt;wsp:rsid wsp:val=&quot;00044CBA&quot;/&gt;&lt;wsp:rsid wsp:val=&quot;000451D6&quot;/&gt;&lt;wsp:rsid wsp:val=&quot;00045759&quot;/&gt;&lt;wsp:rsid wsp:val=&quot;00045A0C&quot;/&gt;&lt;wsp:rsid wsp:val=&quot;00045B6C&quot;/&gt;&lt;wsp:rsid wsp:val=&quot;000462D3&quot;/&gt;&lt;wsp:rsid wsp:val=&quot;0004631C&quot;/&gt;&lt;wsp:rsid wsp:val=&quot;000463D1&quot;/&gt;&lt;wsp:rsid wsp:val=&quot;0004686E&quot;/&gt;&lt;wsp:rsid wsp:val=&quot;00046C7B&quot;/&gt;&lt;wsp:rsid wsp:val=&quot;00046DAC&quot;/&gt;&lt;wsp:rsid wsp:val=&quot;0004712E&quot;/&gt;&lt;wsp:rsid wsp:val=&quot;00047301&quot;/&gt;&lt;wsp:rsid wsp:val=&quot;000474B5&quot;/&gt;&lt;wsp:rsid wsp:val=&quot;00047D0C&quot;/&gt;&lt;wsp:rsid wsp:val=&quot;00047E34&quot;/&gt;&lt;wsp:rsid wsp:val=&quot;00050561&quot;/&gt;&lt;wsp:rsid wsp:val=&quot;0005094A&quot;/&gt;&lt;wsp:rsid wsp:val=&quot;00050D11&quot;/&gt;&lt;wsp:rsid wsp:val=&quot;00050D6A&quot;/&gt;&lt;wsp:rsid wsp:val=&quot;000515CD&quot;/&gt;&lt;wsp:rsid wsp:val=&quot;00051838&quot;/&gt;&lt;wsp:rsid wsp:val=&quot;00051A77&quot;/&gt;&lt;wsp:rsid wsp:val=&quot;0005211F&quot;/&gt;&lt;wsp:rsid wsp:val=&quot;00052F29&quot;/&gt;&lt;wsp:rsid wsp:val=&quot;0005323C&quot;/&gt;&lt;wsp:rsid wsp:val=&quot;000540A4&quot;/&gt;&lt;wsp:rsid wsp:val=&quot;0005422F&quot;/&gt;&lt;wsp:rsid wsp:val=&quot;00054374&quot;/&gt;&lt;wsp:rsid wsp:val=&quot;000543CC&quot;/&gt;&lt;wsp:rsid wsp:val=&quot;00054835&quot;/&gt;&lt;wsp:rsid wsp:val=&quot;00054B5C&quot;/&gt;&lt;wsp:rsid wsp:val=&quot;00054B78&quot;/&gt;&lt;wsp:rsid wsp:val=&quot;00055105&quot;/&gt;&lt;wsp:rsid wsp:val=&quot;00055237&quot;/&gt;&lt;wsp:rsid wsp:val=&quot;000556CB&quot;/&gt;&lt;wsp:rsid wsp:val=&quot;0005573A&quot;/&gt;&lt;wsp:rsid wsp:val=&quot;00055937&quot;/&gt;&lt;wsp:rsid wsp:val=&quot;00055BC7&quot;/&gt;&lt;wsp:rsid wsp:val=&quot;00056413&quot;/&gt;&lt;wsp:rsid wsp:val=&quot;00056646&quot;/&gt;&lt;wsp:rsid wsp:val=&quot;00056C64&quot;/&gt;&lt;wsp:rsid wsp:val=&quot;00056D5A&quot;/&gt;&lt;wsp:rsid wsp:val=&quot;00057295&quot;/&gt;&lt;wsp:rsid wsp:val=&quot;000572E4&quot;/&gt;&lt;wsp:rsid wsp:val=&quot;000579DF&quot;/&gt;&lt;wsp:rsid wsp:val=&quot;00057E8B&quot;/&gt;&lt;wsp:rsid wsp:val=&quot;0006020C&quot;/&gt;&lt;wsp:rsid wsp:val=&quot;0006023D&quot;/&gt;&lt;wsp:rsid wsp:val=&quot;000607D2&quot;/&gt;&lt;wsp:rsid wsp:val=&quot;0006092E&quot;/&gt;&lt;wsp:rsid wsp:val=&quot;00060C90&quot;/&gt;&lt;wsp:rsid wsp:val=&quot;0006138B&quot;/&gt;&lt;wsp:rsid wsp:val=&quot;00061757&quot;/&gt;&lt;wsp:rsid wsp:val=&quot;00062483&quot;/&gt;&lt;wsp:rsid wsp:val=&quot;00062777&quot;/&gt;&lt;wsp:rsid wsp:val=&quot;000627EA&quot;/&gt;&lt;wsp:rsid wsp:val=&quot;00062C40&quot;/&gt;&lt;wsp:rsid wsp:val=&quot;00062E2F&quot;/&gt;&lt;wsp:rsid wsp:val=&quot;00062FAC&quot;/&gt;&lt;wsp:rsid wsp:val=&quot;000633EB&quot;/&gt;&lt;wsp:rsid wsp:val=&quot;000645D0&quot;/&gt;&lt;wsp:rsid wsp:val=&quot;00064954&quot;/&gt;&lt;wsp:rsid wsp:val=&quot;00064C74&quot;/&gt;&lt;wsp:rsid wsp:val=&quot;0006505A&quot;/&gt;&lt;wsp:rsid wsp:val=&quot;0006564E&quot;/&gt;&lt;wsp:rsid wsp:val=&quot;00065A4A&quot;/&gt;&lt;wsp:rsid wsp:val=&quot;000665D0&quot;/&gt;&lt;wsp:rsid wsp:val=&quot;00066A9B&quot;/&gt;&lt;wsp:rsid wsp:val=&quot;00066AEC&quot;/&gt;&lt;wsp:rsid wsp:val=&quot;00066BC2&quot;/&gt;&lt;wsp:rsid wsp:val=&quot;000674EE&quot;/&gt;&lt;wsp:rsid wsp:val=&quot;00070549&quot;/&gt;&lt;wsp:rsid wsp:val=&quot;0007133C&quot;/&gt;&lt;wsp:rsid wsp:val=&quot;0007186E&quot;/&gt;&lt;wsp:rsid wsp:val=&quot;00071B75&quot;/&gt;&lt;wsp:rsid wsp:val=&quot;00071FE6&quot;/&gt;&lt;wsp:rsid wsp:val=&quot;0007224A&quot;/&gt;&lt;wsp:rsid wsp:val=&quot;000725F5&quot;/&gt;&lt;wsp:rsid wsp:val=&quot;00072BFF&quot;/&gt;&lt;wsp:rsid wsp:val=&quot;00072DD1&quot;/&gt;&lt;wsp:rsid wsp:val=&quot;00072E57&quot;/&gt;&lt;wsp:rsid wsp:val=&quot;000737E6&quot;/&gt;&lt;wsp:rsid wsp:val=&quot;00073ADB&quot;/&gt;&lt;wsp:rsid wsp:val=&quot;00073C23&quot;/&gt;&lt;wsp:rsid wsp:val=&quot;00074275&quot;/&gt;&lt;wsp:rsid wsp:val=&quot;000747A4&quot;/&gt;&lt;wsp:rsid wsp:val=&quot;00074E84&quot;/&gt;&lt;wsp:rsid wsp:val=&quot;00075C75&quot;/&gt;&lt;wsp:rsid wsp:val=&quot;00075CA8&quot;/&gt;&lt;wsp:rsid wsp:val=&quot;000764F6&quot;/&gt;&lt;wsp:rsid wsp:val=&quot;00076C0F&quot;/&gt;&lt;wsp:rsid wsp:val=&quot;00076C58&quot;/&gt;&lt;wsp:rsid wsp:val=&quot;0008008D&quot;/&gt;&lt;wsp:rsid wsp:val=&quot;00080170&quot;/&gt;&lt;wsp:rsid wsp:val=&quot;0008048F&quot;/&gt;&lt;wsp:rsid wsp:val=&quot;00080ABD&quot;/&gt;&lt;wsp:rsid wsp:val=&quot;00080AFF&quot;/&gt;&lt;wsp:rsid wsp:val=&quot;00080CEF&quot;/&gt;&lt;wsp:rsid wsp:val=&quot;00080F08&quot;/&gt;&lt;wsp:rsid wsp:val=&quot;00080FC8&quot;/&gt;&lt;wsp:rsid wsp:val=&quot;0008168C&quot;/&gt;&lt;wsp:rsid wsp:val=&quot;00081FF1&quot;/&gt;&lt;wsp:rsid wsp:val=&quot;0008214C&quot;/&gt;&lt;wsp:rsid wsp:val=&quot;00082547&quot;/&gt;&lt;wsp:rsid wsp:val=&quot;0008259A&quot;/&gt;&lt;wsp:rsid wsp:val=&quot;000825F8&quot;/&gt;&lt;wsp:rsid wsp:val=&quot;00082C43&quot;/&gt;&lt;wsp:rsid wsp:val=&quot;0008413E&quot;/&gt;&lt;wsp:rsid wsp:val=&quot;0008436B&quot;/&gt;&lt;wsp:rsid wsp:val=&quot;00084389&quot;/&gt;&lt;wsp:rsid wsp:val=&quot;00084589&quot;/&gt;&lt;wsp:rsid wsp:val=&quot;0008462C&quot;/&gt;&lt;wsp:rsid wsp:val=&quot;00084813&quot;/&gt;&lt;wsp:rsid wsp:val=&quot;00084887&quot;/&gt;&lt;wsp:rsid wsp:val=&quot;00084A08&quot;/&gt;&lt;wsp:rsid wsp:val=&quot;000852AA&quot;/&gt;&lt;wsp:rsid wsp:val=&quot;00085319&quot;/&gt;&lt;wsp:rsid wsp:val=&quot;00085624&quot;/&gt;&lt;wsp:rsid wsp:val=&quot;00085A70&quot;/&gt;&lt;wsp:rsid wsp:val=&quot;00085BF1&quot;/&gt;&lt;wsp:rsid wsp:val=&quot;00086A76&quot;/&gt;&lt;wsp:rsid wsp:val=&quot;00086C64&quot;/&gt;&lt;wsp:rsid wsp:val=&quot;00086D52&quot;/&gt;&lt;wsp:rsid wsp:val=&quot;00086E6F&quot;/&gt;&lt;wsp:rsid wsp:val=&quot;00086E74&quot;/&gt;&lt;wsp:rsid wsp:val=&quot;00087258&quot;/&gt;&lt;wsp:rsid wsp:val=&quot;000872C5&quot;/&gt;&lt;wsp:rsid wsp:val=&quot;000876CE&quot;/&gt;&lt;wsp:rsid wsp:val=&quot;00087806&quot;/&gt;&lt;wsp:rsid wsp:val=&quot;00087C51&quot;/&gt;&lt;wsp:rsid wsp:val=&quot;00087E4F&quot;/&gt;&lt;wsp:rsid wsp:val=&quot;00087FB3&quot;/&gt;&lt;wsp:rsid wsp:val=&quot;0009008A&quot;/&gt;&lt;wsp:rsid wsp:val=&quot;00090176&quot;/&gt;&lt;wsp:rsid wsp:val=&quot;00090457&quot;/&gt;&lt;wsp:rsid wsp:val=&quot;000909A2&quot;/&gt;&lt;wsp:rsid wsp:val=&quot;000912A8&quot;/&gt;&lt;wsp:rsid wsp:val=&quot;0009159D&quot;/&gt;&lt;wsp:rsid wsp:val=&quot;00091926&quot;/&gt;&lt;wsp:rsid wsp:val=&quot;00091DA8&quot;/&gt;&lt;wsp:rsid wsp:val=&quot;0009297A&quot;/&gt;&lt;wsp:rsid wsp:val=&quot;00092AED&quot;/&gt;&lt;wsp:rsid wsp:val=&quot;00093248&quot;/&gt;&lt;wsp:rsid wsp:val=&quot;00093714&quot;/&gt;&lt;wsp:rsid wsp:val=&quot;0009387C&quot;/&gt;&lt;wsp:rsid wsp:val=&quot;0009407B&quot;/&gt;&lt;wsp:rsid wsp:val=&quot;00094D3B&quot;/&gt;&lt;wsp:rsid wsp:val=&quot;000955F6&quot;/&gt;&lt;wsp:rsid wsp:val=&quot;00095D99&quot;/&gt;&lt;wsp:rsid wsp:val=&quot;00095F41&quot;/&gt;&lt;wsp:rsid wsp:val=&quot;000967AB&quot;/&gt;&lt;wsp:rsid wsp:val=&quot;00096DD7&quot;/&gt;&lt;wsp:rsid wsp:val=&quot;00097C64&quot;/&gt;&lt;wsp:rsid wsp:val=&quot;000A023D&quot;/&gt;&lt;wsp:rsid wsp:val=&quot;000A02BA&quot;/&gt;&lt;wsp:rsid wsp:val=&quot;000A0793&quot;/&gt;&lt;wsp:rsid wsp:val=&quot;000A0F58&quot;/&gt;&lt;wsp:rsid wsp:val=&quot;000A1024&quot;/&gt;&lt;wsp:rsid wsp:val=&quot;000A1E19&quot;/&gt;&lt;wsp:rsid wsp:val=&quot;000A1EB9&quot;/&gt;&lt;wsp:rsid wsp:val=&quot;000A20A0&quot;/&gt;&lt;wsp:rsid wsp:val=&quot;000A242E&quot;/&gt;&lt;wsp:rsid wsp:val=&quot;000A2BFA&quot;/&gt;&lt;wsp:rsid wsp:val=&quot;000A2D6A&quot;/&gt;&lt;wsp:rsid wsp:val=&quot;000A3340&quot;/&gt;&lt;wsp:rsid wsp:val=&quot;000A3A40&quot;/&gt;&lt;wsp:rsid wsp:val=&quot;000A3D88&quot;/&gt;&lt;wsp:rsid wsp:val=&quot;000A42B3&quot;/&gt;&lt;wsp:rsid wsp:val=&quot;000A4656&quot;/&gt;&lt;wsp:rsid wsp:val=&quot;000A4A64&quot;/&gt;&lt;wsp:rsid wsp:val=&quot;000A4C57&quot;/&gt;&lt;wsp:rsid wsp:val=&quot;000A4CA2&quot;/&gt;&lt;wsp:rsid wsp:val=&quot;000A4D26&quot;/&gt;&lt;wsp:rsid wsp:val=&quot;000A542D&quot;/&gt;&lt;wsp:rsid wsp:val=&quot;000A54E2&quot;/&gt;&lt;wsp:rsid wsp:val=&quot;000A5DAD&quot;/&gt;&lt;wsp:rsid wsp:val=&quot;000A66E8&quot;/&gt;&lt;wsp:rsid wsp:val=&quot;000A67A7&quot;/&gt;&lt;wsp:rsid wsp:val=&quot;000A7FD9&quot;/&gt;&lt;wsp:rsid wsp:val=&quot;000B027D&quot;/&gt;&lt;wsp:rsid wsp:val=&quot;000B0939&quot;/&gt;&lt;wsp:rsid wsp:val=&quot;000B0B7A&quot;/&gt;&lt;wsp:rsid wsp:val=&quot;000B0C07&quot;/&gt;&lt;wsp:rsid wsp:val=&quot;000B0D22&quot;/&gt;&lt;wsp:rsid wsp:val=&quot;000B0F74&quot;/&gt;&lt;wsp:rsid wsp:val=&quot;000B10E8&quot;/&gt;&lt;wsp:rsid wsp:val=&quot;000B1E94&quot;/&gt;&lt;wsp:rsid wsp:val=&quot;000B2381&quot;/&gt;&lt;wsp:rsid wsp:val=&quot;000B24B1&quot;/&gt;&lt;wsp:rsid wsp:val=&quot;000B2631&quot;/&gt;&lt;wsp:rsid wsp:val=&quot;000B2A57&quot;/&gt;&lt;wsp:rsid wsp:val=&quot;000B2FE1&quot;/&gt;&lt;wsp:rsid wsp:val=&quot;000B331B&quot;/&gt;&lt;wsp:rsid wsp:val=&quot;000B352B&quot;/&gt;&lt;wsp:rsid wsp:val=&quot;000B3677&quot;/&gt;&lt;wsp:rsid wsp:val=&quot;000B3F1A&quot;/&gt;&lt;wsp:rsid wsp:val=&quot;000B4B0A&quot;/&gt;&lt;wsp:rsid wsp:val=&quot;000B5140&quot;/&gt;&lt;wsp:rsid wsp:val=&quot;000B56DD&quot;/&gt;&lt;wsp:rsid wsp:val=&quot;000B5869&quot;/&gt;&lt;wsp:rsid wsp:val=&quot;000B5E86&quot;/&gt;&lt;wsp:rsid wsp:val=&quot;000B6231&quot;/&gt;&lt;wsp:rsid wsp:val=&quot;000B6499&quot;/&gt;&lt;wsp:rsid wsp:val=&quot;000B6507&quot;/&gt;&lt;wsp:rsid wsp:val=&quot;000B672B&quot;/&gt;&lt;wsp:rsid wsp:val=&quot;000B6EF9&quot;/&gt;&lt;wsp:rsid wsp:val=&quot;000B7B15&quot;/&gt;&lt;wsp:rsid wsp:val=&quot;000B7F5D&quot;/&gt;&lt;wsp:rsid wsp:val=&quot;000B7FA5&quot;/&gt;&lt;wsp:rsid wsp:val=&quot;000C012A&quot;/&gt;&lt;wsp:rsid wsp:val=&quot;000C024B&quot;/&gt;&lt;wsp:rsid wsp:val=&quot;000C04AC&quot;/&gt;&lt;wsp:rsid wsp:val=&quot;000C05A3&quot;/&gt;&lt;wsp:rsid wsp:val=&quot;000C0602&quot;/&gt;&lt;wsp:rsid wsp:val=&quot;000C06D5&quot;/&gt;&lt;wsp:rsid wsp:val=&quot;000C079E&quot;/&gt;&lt;wsp:rsid wsp:val=&quot;000C0F24&quot;/&gt;&lt;wsp:rsid wsp:val=&quot;000C144D&quot;/&gt;&lt;wsp:rsid wsp:val=&quot;000C18CC&quot;/&gt;&lt;wsp:rsid wsp:val=&quot;000C191E&quot;/&gt;&lt;wsp:rsid wsp:val=&quot;000C198B&quot;/&gt;&lt;wsp:rsid wsp:val=&quot;000C1E23&quot;/&gt;&lt;wsp:rsid wsp:val=&quot;000C2381&quot;/&gt;&lt;wsp:rsid wsp:val=&quot;000C251B&quot;/&gt;&lt;wsp:rsid wsp:val=&quot;000C2EBB&quot;/&gt;&lt;wsp:rsid wsp:val=&quot;000C32B2&quot;/&gt;&lt;wsp:rsid wsp:val=&quot;000C3544&quot;/&gt;&lt;wsp:rsid wsp:val=&quot;000C455A&quot;/&gt;&lt;wsp:rsid wsp:val=&quot;000C4859&quot;/&gt;&lt;wsp:rsid wsp:val=&quot;000C4A04&quot;/&gt;&lt;wsp:rsid wsp:val=&quot;000C4CEC&quot;/&gt;&lt;wsp:rsid wsp:val=&quot;000C520B&quot;/&gt;&lt;wsp:rsid wsp:val=&quot;000C5427&quot;/&gt;&lt;wsp:rsid wsp:val=&quot;000C55F3&quot;/&gt;&lt;wsp:rsid wsp:val=&quot;000C5608&quot;/&gt;&lt;wsp:rsid wsp:val=&quot;000C5CC8&quot;/&gt;&lt;wsp:rsid wsp:val=&quot;000C5E37&quot;/&gt;&lt;wsp:rsid wsp:val=&quot;000C5EFC&quot;/&gt;&lt;wsp:rsid wsp:val=&quot;000C74EB&quot;/&gt;&lt;wsp:rsid wsp:val=&quot;000C7967&quot;/&gt;&lt;wsp:rsid wsp:val=&quot;000C7AAD&quot;/&gt;&lt;wsp:rsid wsp:val=&quot;000D0087&quot;/&gt;&lt;wsp:rsid wsp:val=&quot;000D01A5&quot;/&gt;&lt;wsp:rsid wsp:val=&quot;000D0590&quot;/&gt;&lt;wsp:rsid wsp:val=&quot;000D0A84&quot;/&gt;&lt;wsp:rsid wsp:val=&quot;000D11FD&quot;/&gt;&lt;wsp:rsid wsp:val=&quot;000D159B&quot;/&gt;&lt;wsp:rsid wsp:val=&quot;000D196A&quot;/&gt;&lt;wsp:rsid wsp:val=&quot;000D1EF7&quot;/&gt;&lt;wsp:rsid wsp:val=&quot;000D2140&quot;/&gt;&lt;wsp:rsid wsp:val=&quot;000D2444&quot;/&gt;&lt;wsp:rsid wsp:val=&quot;000D252E&quot;/&gt;&lt;wsp:rsid wsp:val=&quot;000D3396&quot;/&gt;&lt;wsp:rsid wsp:val=&quot;000D3792&quot;/&gt;&lt;wsp:rsid wsp:val=&quot;000D3BDA&quot;/&gt;&lt;wsp:rsid wsp:val=&quot;000D3C9A&quot;/&gt;&lt;wsp:rsid wsp:val=&quot;000D448D&quot;/&gt;&lt;wsp:rsid wsp:val=&quot;000D4656&quot;/&gt;&lt;wsp:rsid wsp:val=&quot;000D5AD5&quot;/&gt;&lt;wsp:rsid wsp:val=&quot;000D5D8D&quot;/&gt;&lt;wsp:rsid wsp:val=&quot;000D60B1&quot;/&gt;&lt;wsp:rsid wsp:val=&quot;000D6B8B&quot;/&gt;&lt;wsp:rsid wsp:val=&quot;000D6C82&quot;/&gt;&lt;wsp:rsid wsp:val=&quot;000D6D59&quot;/&gt;&lt;wsp:rsid wsp:val=&quot;000D7E4A&quot;/&gt;&lt;wsp:rsid wsp:val=&quot;000D7E96&quot;/&gt;&lt;wsp:rsid wsp:val=&quot;000E016E&quot;/&gt;&lt;wsp:rsid wsp:val=&quot;000E0239&quot;/&gt;&lt;wsp:rsid wsp:val=&quot;000E0374&quot;/&gt;&lt;wsp:rsid wsp:val=&quot;000E0578&quot;/&gt;&lt;wsp:rsid wsp:val=&quot;000E0598&quot;/&gt;&lt;wsp:rsid wsp:val=&quot;000E072C&quot;/&gt;&lt;wsp:rsid wsp:val=&quot;000E077E&quot;/&gt;&lt;wsp:rsid wsp:val=&quot;000E0D28&quot;/&gt;&lt;wsp:rsid wsp:val=&quot;000E0FDE&quot;/&gt;&lt;wsp:rsid wsp:val=&quot;000E12A0&quot;/&gt;&lt;wsp:rsid wsp:val=&quot;000E1F2A&quot;/&gt;&lt;wsp:rsid wsp:val=&quot;000E1F52&quot;/&gt;&lt;wsp:rsid wsp:val=&quot;000E21F3&quot;/&gt;&lt;wsp:rsid wsp:val=&quot;000E2C84&quot;/&gt;&lt;wsp:rsid wsp:val=&quot;000E3120&quot;/&gt;&lt;wsp:rsid wsp:val=&quot;000E3F11&quot;/&gt;&lt;wsp:rsid wsp:val=&quot;000E3FD2&quot;/&gt;&lt;wsp:rsid wsp:val=&quot;000E61E1&quot;/&gt;&lt;wsp:rsid wsp:val=&quot;000E69C6&quot;/&gt;&lt;wsp:rsid wsp:val=&quot;000E6C6D&quot;/&gt;&lt;wsp:rsid wsp:val=&quot;000E6EF5&quot;/&gt;&lt;wsp:rsid wsp:val=&quot;000E7167&quot;/&gt;&lt;wsp:rsid wsp:val=&quot;000E781F&quot;/&gt;&lt;wsp:rsid wsp:val=&quot;000E7AC1&quot;/&gt;&lt;wsp:rsid wsp:val=&quot;000E7F7D&quot;/&gt;&lt;wsp:rsid wsp:val=&quot;000F05AB&quot;/&gt;&lt;wsp:rsid wsp:val=&quot;000F05B5&quot;/&gt;&lt;wsp:rsid wsp:val=&quot;000F0E67&quot;/&gt;&lt;wsp:rsid wsp:val=&quot;000F1037&quot;/&gt;&lt;wsp:rsid wsp:val=&quot;000F17A8&quot;/&gt;&lt;wsp:rsid wsp:val=&quot;000F1DFE&quot;/&gt;&lt;wsp:rsid wsp:val=&quot;000F1EC9&quot;/&gt;&lt;wsp:rsid wsp:val=&quot;000F1ED6&quot;/&gt;&lt;wsp:rsid wsp:val=&quot;000F262B&quot;/&gt;&lt;wsp:rsid wsp:val=&quot;000F32C4&quot;/&gt;&lt;wsp:rsid wsp:val=&quot;000F35BC&quot;/&gt;&lt;wsp:rsid wsp:val=&quot;000F391F&quot;/&gt;&lt;wsp:rsid wsp:val=&quot;000F3AB3&quot;/&gt;&lt;wsp:rsid wsp:val=&quot;000F4024&quot;/&gt;&lt;wsp:rsid wsp:val=&quot;000F4205&quot;/&gt;&lt;wsp:rsid wsp:val=&quot;000F44F4&quot;/&gt;&lt;wsp:rsid wsp:val=&quot;000F48E2&quot;/&gt;&lt;wsp:rsid wsp:val=&quot;000F4EB4&quot;/&gt;&lt;wsp:rsid wsp:val=&quot;000F53DE&quot;/&gt;&lt;wsp:rsid wsp:val=&quot;000F53ED&quot;/&gt;&lt;wsp:rsid wsp:val=&quot;000F55B2&quot;/&gt;&lt;wsp:rsid wsp:val=&quot;000F5E33&quot;/&gt;&lt;wsp:rsid wsp:val=&quot;000F5F42&quot;/&gt;&lt;wsp:rsid wsp:val=&quot;000F68AD&quot;/&gt;&lt;wsp:rsid wsp:val=&quot;000F692E&quot;/&gt;&lt;wsp:rsid wsp:val=&quot;000F6DAE&quot;/&gt;&lt;wsp:rsid wsp:val=&quot;000F78E3&quot;/&gt;&lt;wsp:rsid wsp:val=&quot;000F79B5&quot;/&gt;&lt;wsp:rsid wsp:val=&quot;000F7BF5&quot;/&gt;&lt;wsp:rsid wsp:val=&quot;000F7CF0&quot;/&gt;&lt;wsp:rsid wsp:val=&quot;001009AE&quot;/&gt;&lt;wsp:rsid wsp:val=&quot;00101150&quot;/&gt;&lt;wsp:rsid wsp:val=&quot;00101773&quot;/&gt;&lt;wsp:rsid wsp:val=&quot;00101C15&quot;/&gt;&lt;wsp:rsid wsp:val=&quot;0010240E&quot;/&gt;&lt;wsp:rsid wsp:val=&quot;001026E3&quot;/&gt;&lt;wsp:rsid wsp:val=&quot;00102994&quot;/&gt;&lt;wsp:rsid wsp:val=&quot;00103442&quot;/&gt;&lt;wsp:rsid wsp:val=&quot;00103BD7&quot;/&gt;&lt;wsp:rsid wsp:val=&quot;001041D7&quot;/&gt;&lt;wsp:rsid wsp:val=&quot;00104254&quot;/&gt;&lt;wsp:rsid wsp:val=&quot;00104656&quot;/&gt;&lt;wsp:rsid wsp:val=&quot;00104799&quot;/&gt;&lt;wsp:rsid wsp:val=&quot;00105331&quot;/&gt;&lt;wsp:rsid wsp:val=&quot;0010633C&quot;/&gt;&lt;wsp:rsid wsp:val=&quot;00106758&quot;/&gt;&lt;wsp:rsid wsp:val=&quot;001072F7&quot;/&gt;&lt;wsp:rsid wsp:val=&quot;00107579&quot;/&gt;&lt;wsp:rsid wsp:val=&quot;0010772F&quot;/&gt;&lt;wsp:rsid wsp:val=&quot;00107BA5&quot;/&gt;&lt;wsp:rsid wsp:val=&quot;00107E85&quot;/&gt;&lt;wsp:rsid wsp:val=&quot;0011034A&quot;/&gt;&lt;wsp:rsid wsp:val=&quot;0011040E&quot;/&gt;&lt;wsp:rsid wsp:val=&quot;00110973&quot;/&gt;&lt;wsp:rsid wsp:val=&quot;001115E4&quot;/&gt;&lt;wsp:rsid wsp:val=&quot;001119C0&quot;/&gt;&lt;wsp:rsid wsp:val=&quot;00112439&quot;/&gt;&lt;wsp:rsid wsp:val=&quot;00112807&quot;/&gt;&lt;wsp:rsid wsp:val=&quot;001128B5&quot;/&gt;&lt;wsp:rsid wsp:val=&quot;00112ACA&quot;/&gt;&lt;wsp:rsid wsp:val=&quot;001130F4&quot;/&gt;&lt;wsp:rsid wsp:val=&quot;00113554&quot;/&gt;&lt;wsp:rsid wsp:val=&quot;001136F5&quot;/&gt;&lt;wsp:rsid wsp:val=&quot;001137A5&quot;/&gt;&lt;wsp:rsid wsp:val=&quot;001137E8&quot;/&gt;&lt;wsp:rsid wsp:val=&quot;00113972&quot;/&gt;&lt;wsp:rsid wsp:val=&quot;00113D54&quot;/&gt;&lt;wsp:rsid wsp:val=&quot;0011404D&quot;/&gt;&lt;wsp:rsid wsp:val=&quot;00114056&quot;/&gt;&lt;wsp:rsid wsp:val=&quot;00114671&quot;/&gt;&lt;wsp:rsid wsp:val=&quot;00114B05&quot;/&gt;&lt;wsp:rsid wsp:val=&quot;00114C88&quot;/&gt;&lt;wsp:rsid wsp:val=&quot;00115149&quot;/&gt;&lt;wsp:rsid wsp:val=&quot;0011553E&quot;/&gt;&lt;wsp:rsid wsp:val=&quot;0011601D&quot;/&gt;&lt;wsp:rsid wsp:val=&quot;001163F8&quot;/&gt;&lt;wsp:rsid wsp:val=&quot;001167AB&quot;/&gt;&lt;wsp:rsid wsp:val=&quot;00116F7F&quot;/&gt;&lt;wsp:rsid wsp:val=&quot;0011741C&quot;/&gt;&lt;wsp:rsid wsp:val=&quot;00117449&quot;/&gt;&lt;wsp:rsid wsp:val=&quot;0011747B&quot;/&gt;&lt;wsp:rsid wsp:val=&quot;00117571&quot;/&gt;&lt;wsp:rsid wsp:val=&quot;00117D73&quot;/&gt;&lt;wsp:rsid wsp:val=&quot;00117E16&quot;/&gt;&lt;wsp:rsid wsp:val=&quot;001201A9&quot;/&gt;&lt;wsp:rsid wsp:val=&quot;0012048A&quot;/&gt;&lt;wsp:rsid wsp:val=&quot;001204A5&quot;/&gt;&lt;wsp:rsid wsp:val=&quot;00120A5F&quot;/&gt;&lt;wsp:rsid wsp:val=&quot;00121050&quot;/&gt;&lt;wsp:rsid wsp:val=&quot;0012185A&quot;/&gt;&lt;wsp:rsid wsp:val=&quot;001218FC&quot;/&gt;&lt;wsp:rsid wsp:val=&quot;00121A25&quot;/&gt;&lt;wsp:rsid wsp:val=&quot;00121C3E&quot;/&gt;&lt;wsp:rsid wsp:val=&quot;0012201F&quot;/&gt;&lt;wsp:rsid wsp:val=&quot;00122278&quot;/&gt;&lt;wsp:rsid wsp:val=&quot;00122744&quot;/&gt;&lt;wsp:rsid wsp:val=&quot;00122D23&quot;/&gt;&lt;wsp:rsid wsp:val=&quot;0012334E&quot;/&gt;&lt;wsp:rsid wsp:val=&quot;00123601&quot;/&gt;&lt;wsp:rsid wsp:val=&quot;0012404A&quot;/&gt;&lt;wsp:rsid wsp:val=&quot;00124829&quot;/&gt;&lt;wsp:rsid wsp:val=&quot;00125444&quot;/&gt;&lt;wsp:rsid wsp:val=&quot;001257C2&quot;/&gt;&lt;wsp:rsid wsp:val=&quot;00125ADE&quot;/&gt;&lt;wsp:rsid wsp:val=&quot;00125AF6&quot;/&gt;&lt;wsp:rsid wsp:val=&quot;00125BD2&quot;/&gt;&lt;wsp:rsid wsp:val=&quot;00125E06&quot;/&gt;&lt;wsp:rsid wsp:val=&quot;00125F5A&quot;/&gt;&lt;wsp:rsid wsp:val=&quot;001263C0&quot;/&gt;&lt;wsp:rsid wsp:val=&quot;00126789&quot;/&gt;&lt;wsp:rsid wsp:val=&quot;0012684E&quot;/&gt;&lt;wsp:rsid wsp:val=&quot;00126C59&quot;/&gt;&lt;wsp:rsid wsp:val=&quot;00127975&quot;/&gt;&lt;wsp:rsid wsp:val=&quot;00127CF8&quot;/&gt;&lt;wsp:rsid wsp:val=&quot;00127DAD&quot;/&gt;&lt;wsp:rsid wsp:val=&quot;00127E99&quot;/&gt;&lt;wsp:rsid wsp:val=&quot;00127EF0&quot;/&gt;&lt;wsp:rsid wsp:val=&quot;00127F11&quot;/&gt;&lt;wsp:rsid wsp:val=&quot;00130120&quot;/&gt;&lt;wsp:rsid wsp:val=&quot;00130190&quot;/&gt;&lt;wsp:rsid wsp:val=&quot;0013019D&quot;/&gt;&lt;wsp:rsid wsp:val=&quot;001302B3&quot;/&gt;&lt;wsp:rsid wsp:val=&quot;001314D8&quot;/&gt;&lt;wsp:rsid wsp:val=&quot;0013166B&quot;/&gt;&lt;wsp:rsid wsp:val=&quot;00131850&quot;/&gt;&lt;wsp:rsid wsp:val=&quot;0013199B&quot;/&gt;&lt;wsp:rsid wsp:val=&quot;00131A5B&quot;/&gt;&lt;wsp:rsid wsp:val=&quot;00131F55&quot;/&gt;&lt;wsp:rsid wsp:val=&quot;00132714&quot;/&gt;&lt;wsp:rsid wsp:val=&quot;00132833&quot;/&gt;&lt;wsp:rsid wsp:val=&quot;00132A30&quot;/&gt;&lt;wsp:rsid wsp:val=&quot;00132D20&quot;/&gt;&lt;wsp:rsid wsp:val=&quot;001330DD&quot;/&gt;&lt;wsp:rsid wsp:val=&quot;00133A36&quot;/&gt;&lt;wsp:rsid wsp:val=&quot;00133A73&quot;/&gt;&lt;wsp:rsid wsp:val=&quot;00133AC4&quot;/&gt;&lt;wsp:rsid wsp:val=&quot;00133B58&quot;/&gt;&lt;wsp:rsid wsp:val=&quot;00134591&quot;/&gt;&lt;wsp:rsid wsp:val=&quot;001347D7&quot;/&gt;&lt;wsp:rsid wsp:val=&quot;0013485E&quot;/&gt;&lt;wsp:rsid wsp:val=&quot;00135340&quot;/&gt;&lt;wsp:rsid wsp:val=&quot;00136214&quot;/&gt;&lt;wsp:rsid wsp:val=&quot;00136711&quot;/&gt;&lt;wsp:rsid wsp:val=&quot;00136C3F&quot;/&gt;&lt;wsp:rsid wsp:val=&quot;001373C8&quot;/&gt;&lt;wsp:rsid wsp:val=&quot;00137481&quot;/&gt;&lt;wsp:rsid wsp:val=&quot;00140249&quot;/&gt;&lt;wsp:rsid wsp:val=&quot;00140A69&quot;/&gt;&lt;wsp:rsid wsp:val=&quot;00140D48&quot;/&gt;&lt;wsp:rsid wsp:val=&quot;001413A0&quot;/&gt;&lt;wsp:rsid wsp:val=&quot;001419C9&quot;/&gt;&lt;wsp:rsid wsp:val=&quot;00141A18&quot;/&gt;&lt;wsp:rsid wsp:val=&quot;00141B17&quot;/&gt;&lt;wsp:rsid wsp:val=&quot;00141BFF&quot;/&gt;&lt;wsp:rsid wsp:val=&quot;00141C46&quot;/&gt;&lt;wsp:rsid wsp:val=&quot;001426D9&quot;/&gt;&lt;wsp:rsid wsp:val=&quot;001427EA&quot;/&gt;&lt;wsp:rsid wsp:val=&quot;00142AC7&quot;/&gt;&lt;wsp:rsid wsp:val=&quot;0014306E&quot;/&gt;&lt;wsp:rsid wsp:val=&quot;00143F31&quot;/&gt;&lt;wsp:rsid wsp:val=&quot;00143F9A&quot;/&gt;&lt;wsp:rsid wsp:val=&quot;00144201&quot;/&gt;&lt;wsp:rsid wsp:val=&quot;0014458D&quot;/&gt;&lt;wsp:rsid wsp:val=&quot;00144CEC&quot;/&gt;&lt;wsp:rsid wsp:val=&quot;001453AC&quot;/&gt;&lt;wsp:rsid wsp:val=&quot;00145B32&quot;/&gt;&lt;wsp:rsid wsp:val=&quot;00145C18&quot;/&gt;&lt;wsp:rsid wsp:val=&quot;00145C56&quot;/&gt;&lt;wsp:rsid wsp:val=&quot;00145C82&quot;/&gt;&lt;wsp:rsid wsp:val=&quot;001467B8&quot;/&gt;&lt;wsp:rsid wsp:val=&quot;001468C0&quot;/&gt;&lt;wsp:rsid wsp:val=&quot;00147444&quot;/&gt;&lt;wsp:rsid wsp:val=&quot;001478D8&quot;/&gt;&lt;wsp:rsid wsp:val=&quot;00147E0D&quot;/&gt;&lt;wsp:rsid wsp:val=&quot;00147FC2&quot;/&gt;&lt;wsp:rsid wsp:val=&quot;00150833&quot;/&gt;&lt;wsp:rsid wsp:val=&quot;00152A42&quot;/&gt;&lt;wsp:rsid wsp:val=&quot;0015325B&quot;/&gt;&lt;wsp:rsid wsp:val=&quot;00153FC1&quot;/&gt;&lt;wsp:rsid wsp:val=&quot;00154067&quot;/&gt;&lt;wsp:rsid wsp:val=&quot;0015438C&quot;/&gt;&lt;wsp:rsid wsp:val=&quot;00154830&quot;/&gt;&lt;wsp:rsid wsp:val=&quot;00154D75&quot;/&gt;&lt;wsp:rsid wsp:val=&quot;0015602C&quot;/&gt;&lt;wsp:rsid wsp:val=&quot;0015638D&quot;/&gt;&lt;wsp:rsid wsp:val=&quot;001563E7&quot;/&gt;&lt;wsp:rsid wsp:val=&quot;00156902&quot;/&gt;&lt;wsp:rsid wsp:val=&quot;00156E56&quot;/&gt;&lt;wsp:rsid wsp:val=&quot;00156EC2&quot;/&gt;&lt;wsp:rsid wsp:val=&quot;0015704F&quot;/&gt;&lt;wsp:rsid wsp:val=&quot;001574C4&quot;/&gt;&lt;wsp:rsid wsp:val=&quot;00157569&quot;/&gt;&lt;wsp:rsid wsp:val=&quot;0015759B&quot;/&gt;&lt;wsp:rsid wsp:val=&quot;00157C14&quot;/&gt;&lt;wsp:rsid wsp:val=&quot;00157CA8&quot;/&gt;&lt;wsp:rsid wsp:val=&quot;00160CD4&quot;/&gt;&lt;wsp:rsid wsp:val=&quot;00160FB2&quot;/&gt;&lt;wsp:rsid wsp:val=&quot;001610AE&quot;/&gt;&lt;wsp:rsid wsp:val=&quot;00161770&quot;/&gt;&lt;wsp:rsid wsp:val=&quot;00161B2E&quot;/&gt;&lt;wsp:rsid wsp:val=&quot;00161E44&quot;/&gt;&lt;wsp:rsid wsp:val=&quot;001620F1&quot;/&gt;&lt;wsp:rsid wsp:val=&quot;001621F9&quot;/&gt;&lt;wsp:rsid wsp:val=&quot;00162BCF&quot;/&gt;&lt;wsp:rsid wsp:val=&quot;00163148&quot;/&gt;&lt;wsp:rsid wsp:val=&quot;00163B68&quot;/&gt;&lt;wsp:rsid wsp:val=&quot;00163F27&quot;/&gt;&lt;wsp:rsid wsp:val=&quot;001645AC&quot;/&gt;&lt;wsp:rsid wsp:val=&quot;0016475D&quot;/&gt;&lt;wsp:rsid wsp:val=&quot;00164BA4&quot;/&gt;&lt;wsp:rsid wsp:val=&quot;00164F30&quot;/&gt;&lt;wsp:rsid wsp:val=&quot;001651F8&quot;/&gt;&lt;wsp:rsid wsp:val=&quot;001658B0&quot;/&gt;&lt;wsp:rsid wsp:val=&quot;00165D04&quot;/&gt;&lt;wsp:rsid wsp:val=&quot;00166253&quot;/&gt;&lt;wsp:rsid wsp:val=&quot;00166384&quot;/&gt;&lt;wsp:rsid wsp:val=&quot;00166792&quot;/&gt;&lt;wsp:rsid wsp:val=&quot;0016693B&quot;/&gt;&lt;wsp:rsid wsp:val=&quot;00166DB8&quot;/&gt;&lt;wsp:rsid wsp:val=&quot;00166DFE&quot;/&gt;&lt;wsp:rsid wsp:val=&quot;00166F1A&quot;/&gt;&lt;wsp:rsid wsp:val=&quot;00166FD2&quot;/&gt;&lt;wsp:rsid wsp:val=&quot;0016712D&quot;/&gt;&lt;wsp:rsid wsp:val=&quot;001707FB&quot;/&gt;&lt;wsp:rsid wsp:val=&quot;00170844&quot;/&gt;&lt;wsp:rsid wsp:val=&quot;0017109E&quot;/&gt;&lt;wsp:rsid wsp:val=&quot;0017110B&quot;/&gt;&lt;wsp:rsid wsp:val=&quot;0017111C&quot;/&gt;&lt;wsp:rsid wsp:val=&quot;00171639&quot;/&gt;&lt;wsp:rsid wsp:val=&quot;00171815&quot;/&gt;&lt;wsp:rsid wsp:val=&quot;00171879&quot;/&gt;&lt;wsp:rsid wsp:val=&quot;0017236A&quot;/&gt;&lt;wsp:rsid wsp:val=&quot;00172373&quot;/&gt;&lt;wsp:rsid wsp:val=&quot;0017304A&quot;/&gt;&lt;wsp:rsid wsp:val=&quot;00173832&quot;/&gt;&lt;wsp:rsid wsp:val=&quot;00174EC9&quot;/&gt;&lt;wsp:rsid wsp:val=&quot;00175131&quot;/&gt;&lt;wsp:rsid wsp:val=&quot;0017555E&quot;/&gt;&lt;wsp:rsid wsp:val=&quot;00175B7D&quot;/&gt;&lt;wsp:rsid wsp:val=&quot;00175F2E&quot;/&gt;&lt;wsp:rsid wsp:val=&quot;0017604D&quot;/&gt;&lt;wsp:rsid wsp:val=&quot;001760AA&quot;/&gt;&lt;wsp:rsid wsp:val=&quot;00176270&quot;/&gt;&lt;wsp:rsid wsp:val=&quot;00176428&quot;/&gt;&lt;wsp:rsid wsp:val=&quot;00176566&quot;/&gt;&lt;wsp:rsid wsp:val=&quot;00176876&quot;/&gt;&lt;wsp:rsid wsp:val=&quot;00176930&quot;/&gt;&lt;wsp:rsid wsp:val=&quot;00176B28&quot;/&gt;&lt;wsp:rsid wsp:val=&quot;00176D23&quot;/&gt;&lt;wsp:rsid wsp:val=&quot;00177447&quot;/&gt;&lt;wsp:rsid wsp:val=&quot;001775EB&quot;/&gt;&lt;wsp:rsid wsp:val=&quot;001776CD&quot;/&gt;&lt;wsp:rsid wsp:val=&quot;00177921&quot;/&gt;&lt;wsp:rsid wsp:val=&quot;00177AA2&quot;/&gt;&lt;wsp:rsid wsp:val=&quot;00180353&quot;/&gt;&lt;wsp:rsid wsp:val=&quot;001805A1&quot;/&gt;&lt;wsp:rsid wsp:val=&quot;00180634&quot;/&gt;&lt;wsp:rsid wsp:val=&quot;0018074A&quot;/&gt;&lt;wsp:rsid wsp:val=&quot;00180BD8&quot;/&gt;&lt;wsp:rsid wsp:val=&quot;001816DA&quot;/&gt;&lt;wsp:rsid wsp:val=&quot;001816F5&quot;/&gt;&lt;wsp:rsid wsp:val=&quot;00181BD1&quot;/&gt;&lt;wsp:rsid wsp:val=&quot;00181CEB&quot;/&gt;&lt;wsp:rsid wsp:val=&quot;0018270D&quot;/&gt;&lt;wsp:rsid wsp:val=&quot;00182A99&quot;/&gt;&lt;wsp:rsid wsp:val=&quot;00182D0B&quot;/&gt;&lt;wsp:rsid wsp:val=&quot;00182D84&quot;/&gt;&lt;wsp:rsid wsp:val=&quot;00182FD2&quot;/&gt;&lt;wsp:rsid wsp:val=&quot;00183041&quot;/&gt;&lt;wsp:rsid wsp:val=&quot;00183289&quot;/&gt;&lt;wsp:rsid wsp:val=&quot;00183380&quot;/&gt;&lt;wsp:rsid wsp:val=&quot;0018362B&quot;/&gt;&lt;wsp:rsid wsp:val=&quot;0018379D&quot;/&gt;&lt;wsp:rsid wsp:val=&quot;001841C8&quot;/&gt;&lt;wsp:rsid wsp:val=&quot;00184522&quot;/&gt;&lt;wsp:rsid wsp:val=&quot;001847F2&quot;/&gt;&lt;wsp:rsid wsp:val=&quot;00184B1C&quot;/&gt;&lt;wsp:rsid wsp:val=&quot;001852A7&quot;/&gt;&lt;wsp:rsid wsp:val=&quot;001854AD&quot;/&gt;&lt;wsp:rsid wsp:val=&quot;00185ECC&quot;/&gt;&lt;wsp:rsid wsp:val=&quot;001863F1&quot;/&gt;&lt;wsp:rsid wsp:val=&quot;001867B2&quot;/&gt;&lt;wsp:rsid wsp:val=&quot;00186CEC&quot;/&gt;&lt;wsp:rsid wsp:val=&quot;00186FBA&quot;/&gt;&lt;wsp:rsid wsp:val=&quot;00187062&quot;/&gt;&lt;wsp:rsid wsp:val=&quot;00187718&quot;/&gt;&lt;wsp:rsid wsp:val=&quot;00187B9A&quot;/&gt;&lt;wsp:rsid wsp:val=&quot;001907A7&quot;/&gt;&lt;wsp:rsid wsp:val=&quot;00190F9E&quot;/&gt;&lt;wsp:rsid wsp:val=&quot;00191821&quot;/&gt;&lt;wsp:rsid wsp:val=&quot;00191B06&quot;/&gt;&lt;wsp:rsid wsp:val=&quot;00192CE3&quot;/&gt;&lt;wsp:rsid wsp:val=&quot;00193097&quot;/&gt;&lt;wsp:rsid wsp:val=&quot;001936CA&quot;/&gt;&lt;wsp:rsid wsp:val=&quot;00193DE0&quot;/&gt;&lt;wsp:rsid wsp:val=&quot;0019435B&quot;/&gt;&lt;wsp:rsid wsp:val=&quot;001948C3&quot;/&gt;&lt;wsp:rsid wsp:val=&quot;001949FF&quot;/&gt;&lt;wsp:rsid wsp:val=&quot;0019502B&quot;/&gt;&lt;wsp:rsid wsp:val=&quot;00195167&quot;/&gt;&lt;wsp:rsid wsp:val=&quot;001954D7&quot;/&gt;&lt;wsp:rsid wsp:val=&quot;0019641F&quot;/&gt;&lt;wsp:rsid wsp:val=&quot;00196C1F&quot;/&gt;&lt;wsp:rsid wsp:val=&quot;00196F2C&quot;/&gt;&lt;wsp:rsid wsp:val=&quot;00197002&quot;/&gt;&lt;wsp:rsid wsp:val=&quot;001A08F5&quot;/&gt;&lt;wsp:rsid wsp:val=&quot;001A0E79&quot;/&gt;&lt;wsp:rsid wsp:val=&quot;001A0EFE&quot;/&gt;&lt;wsp:rsid wsp:val=&quot;001A1369&quot;/&gt;&lt;wsp:rsid wsp:val=&quot;001A1A5C&quot;/&gt;&lt;wsp:rsid wsp:val=&quot;001A1A9A&quot;/&gt;&lt;wsp:rsid wsp:val=&quot;001A1BE3&quot;/&gt;&lt;wsp:rsid wsp:val=&quot;001A1D3B&quot;/&gt;&lt;wsp:rsid wsp:val=&quot;001A2599&quot;/&gt;&lt;wsp:rsid wsp:val=&quot;001A2903&quot;/&gt;&lt;wsp:rsid wsp:val=&quot;001A2D51&quot;/&gt;&lt;wsp:rsid wsp:val=&quot;001A316F&quot;/&gt;&lt;wsp:rsid wsp:val=&quot;001A358C&quot;/&gt;&lt;wsp:rsid wsp:val=&quot;001A376B&quot;/&gt;&lt;wsp:rsid wsp:val=&quot;001A38EC&quot;/&gt;&lt;wsp:rsid wsp:val=&quot;001A3A44&quot;/&gt;&lt;wsp:rsid wsp:val=&quot;001A3AF9&quot;/&gt;&lt;wsp:rsid wsp:val=&quot;001A3D03&quot;/&gt;&lt;wsp:rsid wsp:val=&quot;001A4018&quot;/&gt;&lt;wsp:rsid wsp:val=&quot;001A4998&quot;/&gt;&lt;wsp:rsid wsp:val=&quot;001A4A71&quot;/&gt;&lt;wsp:rsid wsp:val=&quot;001A4DE8&quot;/&gt;&lt;wsp:rsid wsp:val=&quot;001A4EE8&quot;/&gt;&lt;wsp:rsid wsp:val=&quot;001A5C77&quot;/&gt;&lt;wsp:rsid wsp:val=&quot;001A5DEE&quot;/&gt;&lt;wsp:rsid wsp:val=&quot;001A6457&quot;/&gt;&lt;wsp:rsid wsp:val=&quot;001A6969&quot;/&gt;&lt;wsp:rsid wsp:val=&quot;001A6F28&quot;/&gt;&lt;wsp:rsid wsp:val=&quot;001A7ACC&quot;/&gt;&lt;wsp:rsid wsp:val=&quot;001A7B31&quot;/&gt;&lt;wsp:rsid wsp:val=&quot;001A7C27&quot;/&gt;&lt;wsp:rsid wsp:val=&quot;001B0646&quot;/&gt;&lt;wsp:rsid wsp:val=&quot;001B11EF&quot;/&gt;&lt;wsp:rsid wsp:val=&quot;001B1435&quot;/&gt;&lt;wsp:rsid wsp:val=&quot;001B183F&quot;/&gt;&lt;wsp:rsid wsp:val=&quot;001B1961&quot;/&gt;&lt;wsp:rsid wsp:val=&quot;001B1976&quot;/&gt;&lt;wsp:rsid wsp:val=&quot;001B1D63&quot;/&gt;&lt;wsp:rsid wsp:val=&quot;001B2396&quot;/&gt;&lt;wsp:rsid wsp:val=&quot;001B2D6F&quot;/&gt;&lt;wsp:rsid wsp:val=&quot;001B3103&quot;/&gt;&lt;wsp:rsid wsp:val=&quot;001B3671&quot;/&gt;&lt;wsp:rsid wsp:val=&quot;001B3910&quot;/&gt;&lt;wsp:rsid wsp:val=&quot;001B3AFF&quot;/&gt;&lt;wsp:rsid wsp:val=&quot;001B3E4A&quot;/&gt;&lt;wsp:rsid wsp:val=&quot;001B490C&quot;/&gt;&lt;wsp:rsid wsp:val=&quot;001B49DB&quot;/&gt;&lt;wsp:rsid wsp:val=&quot;001B57D1&quot;/&gt;&lt;wsp:rsid wsp:val=&quot;001B59E7&quot;/&gt;&lt;wsp:rsid wsp:val=&quot;001B5A3C&quot;/&gt;&lt;wsp:rsid wsp:val=&quot;001B6367&quot;/&gt;&lt;wsp:rsid wsp:val=&quot;001B6FDE&quot;/&gt;&lt;wsp:rsid wsp:val=&quot;001B751F&quot;/&gt;&lt;wsp:rsid wsp:val=&quot;001B7550&quot;/&gt;&lt;wsp:rsid wsp:val=&quot;001B7976&quot;/&gt;&lt;wsp:rsid wsp:val=&quot;001C08A0&quot;/&gt;&lt;wsp:rsid wsp:val=&quot;001C0ACA&quot;/&gt;&lt;wsp:rsid wsp:val=&quot;001C0C7C&quot;/&gt;&lt;wsp:rsid wsp:val=&quot;001C0CB0&quot;/&gt;&lt;wsp:rsid wsp:val=&quot;001C11F4&quot;/&gt;&lt;wsp:rsid wsp:val=&quot;001C14F3&quot;/&gt;&lt;wsp:rsid wsp:val=&quot;001C18C0&quot;/&gt;&lt;wsp:rsid wsp:val=&quot;001C18EC&quot;/&gt;&lt;wsp:rsid wsp:val=&quot;001C259C&quot;/&gt;&lt;wsp:rsid wsp:val=&quot;001C289A&quot;/&gt;&lt;wsp:rsid wsp:val=&quot;001C2E80&quot;/&gt;&lt;wsp:rsid wsp:val=&quot;001C310B&quot;/&gt;&lt;wsp:rsid wsp:val=&quot;001C3335&quot;/&gt;&lt;wsp:rsid wsp:val=&quot;001C3A9C&quot;/&gt;&lt;wsp:rsid wsp:val=&quot;001C3DC3&quot;/&gt;&lt;wsp:rsid wsp:val=&quot;001C4377&quot;/&gt;&lt;wsp:rsid wsp:val=&quot;001C47EC&quot;/&gt;&lt;wsp:rsid wsp:val=&quot;001C4BDE&quot;/&gt;&lt;wsp:rsid wsp:val=&quot;001C4D95&quot;/&gt;&lt;wsp:rsid wsp:val=&quot;001C4E19&quot;/&gt;&lt;wsp:rsid wsp:val=&quot;001C511E&quot;/&gt;&lt;wsp:rsid wsp:val=&quot;001C5470&quot;/&gt;&lt;wsp:rsid wsp:val=&quot;001C605A&quot;/&gt;&lt;wsp:rsid wsp:val=&quot;001C6274&quot;/&gt;&lt;wsp:rsid wsp:val=&quot;001C65A9&quot;/&gt;&lt;wsp:rsid wsp:val=&quot;001C6CB1&quot;/&gt;&lt;wsp:rsid wsp:val=&quot;001C6EC0&quot;/&gt;&lt;wsp:rsid wsp:val=&quot;001C7102&quot;/&gt;&lt;wsp:rsid wsp:val=&quot;001C73E7&quot;/&gt;&lt;wsp:rsid wsp:val=&quot;001C7475&quot;/&gt;&lt;wsp:rsid wsp:val=&quot;001C74A3&quot;/&gt;&lt;wsp:rsid wsp:val=&quot;001D005A&quot;/&gt;&lt;wsp:rsid wsp:val=&quot;001D0516&quot;/&gt;&lt;wsp:rsid wsp:val=&quot;001D0AA7&quot;/&gt;&lt;wsp:rsid wsp:val=&quot;001D0CC6&quot;/&gt;&lt;wsp:rsid wsp:val=&quot;001D1299&quot;/&gt;&lt;wsp:rsid wsp:val=&quot;001D14E5&quot;/&gt;&lt;wsp:rsid wsp:val=&quot;001D15AC&quot;/&gt;&lt;wsp:rsid wsp:val=&quot;001D162D&quot;/&gt;&lt;wsp:rsid wsp:val=&quot;001D197B&quot;/&gt;&lt;wsp:rsid wsp:val=&quot;001D1C19&quot;/&gt;&lt;wsp:rsid wsp:val=&quot;001D1CB4&quot;/&gt;&lt;wsp:rsid wsp:val=&quot;001D2A08&quot;/&gt;&lt;wsp:rsid wsp:val=&quot;001D3457&quot;/&gt;&lt;wsp:rsid wsp:val=&quot;001D3E3D&quot;/&gt;&lt;wsp:rsid wsp:val=&quot;001D3F73&quot;/&gt;&lt;wsp:rsid wsp:val=&quot;001D4129&quot;/&gt;&lt;wsp:rsid wsp:val=&quot;001D4498&quot;/&gt;&lt;wsp:rsid wsp:val=&quot;001D4BDC&quot;/&gt;&lt;wsp:rsid wsp:val=&quot;001D56B7&quot;/&gt;&lt;wsp:rsid wsp:val=&quot;001D6010&quot;/&gt;&lt;wsp:rsid wsp:val=&quot;001D6186&quot;/&gt;&lt;wsp:rsid wsp:val=&quot;001D638F&quot;/&gt;&lt;wsp:rsid wsp:val=&quot;001D668A&quot;/&gt;&lt;wsp:rsid wsp:val=&quot;001D6724&quot;/&gt;&lt;wsp:rsid wsp:val=&quot;001D6803&quot;/&gt;&lt;wsp:rsid wsp:val=&quot;001D6C57&quot;/&gt;&lt;wsp:rsid wsp:val=&quot;001D7BAD&quot;/&gt;&lt;wsp:rsid wsp:val=&quot;001D7D45&quot;/&gt;&lt;wsp:rsid wsp:val=&quot;001E0952&quot;/&gt;&lt;wsp:rsid wsp:val=&quot;001E0D4B&quot;/&gt;&lt;wsp:rsid wsp:val=&quot;001E0FDF&quot;/&gt;&lt;wsp:rsid wsp:val=&quot;001E129D&quot;/&gt;&lt;wsp:rsid wsp:val=&quot;001E148A&quot;/&gt;&lt;wsp:rsid wsp:val=&quot;001E17FA&quot;/&gt;&lt;wsp:rsid wsp:val=&quot;001E1BB6&quot;/&gt;&lt;wsp:rsid wsp:val=&quot;001E1D02&quot;/&gt;&lt;wsp:rsid wsp:val=&quot;001E1DCF&quot;/&gt;&lt;wsp:rsid wsp:val=&quot;001E2259&quot;/&gt;&lt;wsp:rsid wsp:val=&quot;001E28DD&quot;/&gt;&lt;wsp:rsid wsp:val=&quot;001E2A9E&quot;/&gt;&lt;wsp:rsid wsp:val=&quot;001E31E9&quot;/&gt;&lt;wsp:rsid wsp:val=&quot;001E3338&quot;/&gt;&lt;wsp:rsid wsp:val=&quot;001E35AA&quot;/&gt;&lt;wsp:rsid wsp:val=&quot;001E39FA&quot;/&gt;&lt;wsp:rsid wsp:val=&quot;001E434F&quot;/&gt;&lt;wsp:rsid wsp:val=&quot;001E455A&quot;/&gt;&lt;wsp:rsid wsp:val=&quot;001E5616&quot;/&gt;&lt;wsp:rsid wsp:val=&quot;001E56E1&quot;/&gt;&lt;wsp:rsid wsp:val=&quot;001E5900&quot;/&gt;&lt;wsp:rsid wsp:val=&quot;001E5A4D&quot;/&gt;&lt;wsp:rsid wsp:val=&quot;001E6893&quot;/&gt;&lt;wsp:rsid wsp:val=&quot;001E6F86&quot;/&gt;&lt;wsp:rsid wsp:val=&quot;001E7005&quot;/&gt;&lt;wsp:rsid wsp:val=&quot;001E70BE&quot;/&gt;&lt;wsp:rsid wsp:val=&quot;001E71E7&quot;/&gt;&lt;wsp:rsid wsp:val=&quot;001E744E&quot;/&gt;&lt;wsp:rsid wsp:val=&quot;001E77A7&quot;/&gt;&lt;wsp:rsid wsp:val=&quot;001E797B&quot;/&gt;&lt;wsp:rsid wsp:val=&quot;001E7A2B&quot;/&gt;&lt;wsp:rsid wsp:val=&quot;001E7C32&quot;/&gt;&lt;wsp:rsid wsp:val=&quot;001E7D25&quot;/&gt;&lt;wsp:rsid wsp:val=&quot;001E7DAB&quot;/&gt;&lt;wsp:rsid wsp:val=&quot;001E7E25&quot;/&gt;&lt;wsp:rsid wsp:val=&quot;001F03AC&quot;/&gt;&lt;wsp:rsid wsp:val=&quot;001F095B&quot;/&gt;&lt;wsp:rsid wsp:val=&quot;001F10B3&quot;/&gt;&lt;wsp:rsid wsp:val=&quot;001F1254&quot;/&gt;&lt;wsp:rsid wsp:val=&quot;001F1F4B&quot;/&gt;&lt;wsp:rsid wsp:val=&quot;001F211E&quot;/&gt;&lt;wsp:rsid wsp:val=&quot;001F24D7&quot;/&gt;&lt;wsp:rsid wsp:val=&quot;001F2C04&quot;/&gt;&lt;wsp:rsid wsp:val=&quot;001F2D53&quot;/&gt;&lt;wsp:rsid wsp:val=&quot;001F2D7C&quot;/&gt;&lt;wsp:rsid wsp:val=&quot;001F3425&quot;/&gt;&lt;wsp:rsid wsp:val=&quot;001F4384&quot;/&gt;&lt;wsp:rsid wsp:val=&quot;001F5C45&quot;/&gt;&lt;wsp:rsid wsp:val=&quot;001F6076&quot;/&gt;&lt;wsp:rsid wsp:val=&quot;001F7196&quot;/&gt;&lt;wsp:rsid wsp:val=&quot;001F7E06&quot;/&gt;&lt;wsp:rsid wsp:val=&quot;001F7EF9&quot;/&gt;&lt;wsp:rsid wsp:val=&quot;00200033&quot;/&gt;&lt;wsp:rsid wsp:val=&quot;00200234&quot;/&gt;&lt;wsp:rsid wsp:val=&quot;002017FD&quot;/&gt;&lt;wsp:rsid wsp:val=&quot;002018A0&quot;/&gt;&lt;wsp:rsid wsp:val=&quot;00201D6D&quot;/&gt;&lt;wsp:rsid wsp:val=&quot;002022AA&quot;/&gt;&lt;wsp:rsid wsp:val=&quot;00202341&quot;/&gt;&lt;wsp:rsid wsp:val=&quot;002034E4&quot;/&gt;&lt;wsp:rsid wsp:val=&quot;00203873&quot;/&gt;&lt;wsp:rsid wsp:val=&quot;0020391F&quot;/&gt;&lt;wsp:rsid wsp:val=&quot;00203E6F&quot;/&gt;&lt;wsp:rsid wsp:val=&quot;00204572&quot;/&gt;&lt;wsp:rsid wsp:val=&quot;00204F2D&quot;/&gt;&lt;wsp:rsid wsp:val=&quot;00205188&quot;/&gt;&lt;wsp:rsid wsp:val=&quot;00205705&quot;/&gt;&lt;wsp:rsid wsp:val=&quot;00205F49&quot;/&gt;&lt;wsp:rsid wsp:val=&quot;00206143&quot;/&gt;&lt;wsp:rsid wsp:val=&quot;002062AB&quot;/&gt;&lt;wsp:rsid wsp:val=&quot;002064CF&quot;/&gt;&lt;wsp:rsid wsp:val=&quot;00206A32&quot;/&gt;&lt;wsp:rsid wsp:val=&quot;002072C2&quot;/&gt;&lt;wsp:rsid wsp:val=&quot;002076E3&quot;/&gt;&lt;wsp:rsid wsp:val=&quot;002077BC&quot;/&gt;&lt;wsp:rsid wsp:val=&quot;0021042C&quot;/&gt;&lt;wsp:rsid wsp:val=&quot;0021159D&quot;/&gt;&lt;wsp:rsid wsp:val=&quot;002119F7&quot;/&gt;&lt;wsp:rsid wsp:val=&quot;00212203&quot;/&gt;&lt;wsp:rsid wsp:val=&quot;002127F9&quot;/&gt;&lt;wsp:rsid wsp:val=&quot;002129A2&quot;/&gt;&lt;wsp:rsid wsp:val=&quot;00212D08&quot;/&gt;&lt;wsp:rsid wsp:val=&quot;00212EB1&quot;/&gt;&lt;wsp:rsid wsp:val=&quot;00212F70&quot;/&gt;&lt;wsp:rsid wsp:val=&quot;00212FD5&quot;/&gt;&lt;wsp:rsid wsp:val=&quot;002131DC&quot;/&gt;&lt;wsp:rsid wsp:val=&quot;00213AA3&quot;/&gt;&lt;wsp:rsid wsp:val=&quot;00213F70&quot;/&gt;&lt;wsp:rsid wsp:val=&quot;002143BC&quot;/&gt;&lt;wsp:rsid wsp:val=&quot;002144AB&quot;/&gt;&lt;wsp:rsid wsp:val=&quot;00214945&quot;/&gt;&lt;wsp:rsid wsp:val=&quot;00215010&quot;/&gt;&lt;wsp:rsid wsp:val=&quot;00215752&quot;/&gt;&lt;wsp:rsid wsp:val=&quot;00215C88&quot;/&gt;&lt;wsp:rsid wsp:val=&quot;00215CE1&quot;/&gt;&lt;wsp:rsid wsp:val=&quot;00215F04&quot;/&gt;&lt;wsp:rsid wsp:val=&quot;002162EC&quot;/&gt;&lt;wsp:rsid wsp:val=&quot;002169DD&quot;/&gt;&lt;wsp:rsid wsp:val=&quot;002173D2&quot;/&gt;&lt;wsp:rsid wsp:val=&quot;0021774D&quot;/&gt;&lt;wsp:rsid wsp:val=&quot;00217C6A&quot;/&gt;&lt;wsp:rsid wsp:val=&quot;0022006B&quot;/&gt;&lt;wsp:rsid wsp:val=&quot;00220132&quot;/&gt;&lt;wsp:rsid wsp:val=&quot;00220C5D&quot;/&gt;&lt;wsp:rsid wsp:val=&quot;00220FC8&quot;/&gt;&lt;wsp:rsid wsp:val=&quot;00221237&quot;/&gt;&lt;wsp:rsid wsp:val=&quot;002212E5&quot;/&gt;&lt;wsp:rsid wsp:val=&quot;002213D1&quot;/&gt;&lt;wsp:rsid wsp:val=&quot;00221D43&quot;/&gt;&lt;wsp:rsid wsp:val=&quot;002223F8&quot;/&gt;&lt;wsp:rsid wsp:val=&quot;00222F7A&quot;/&gt;&lt;wsp:rsid wsp:val=&quot;00223130&quot;/&gt;&lt;wsp:rsid wsp:val=&quot;00223BC4&quot;/&gt;&lt;wsp:rsid wsp:val=&quot;00224E68&quot;/&gt;&lt;wsp:rsid wsp:val=&quot;00224E8E&quot;/&gt;&lt;wsp:rsid wsp:val=&quot;002251B0&quot;/&gt;&lt;wsp:rsid wsp:val=&quot;002255B3&quot;/&gt;&lt;wsp:rsid wsp:val=&quot;00225609&quot;/&gt;&lt;wsp:rsid wsp:val=&quot;00225889&quot;/&gt;&lt;wsp:rsid wsp:val=&quot;00225E3D&quot;/&gt;&lt;wsp:rsid wsp:val=&quot;0022668B&quot;/&gt;&lt;wsp:rsid wsp:val=&quot;002273FF&quot;/&gt;&lt;wsp:rsid wsp:val=&quot;0022775A&quot;/&gt;&lt;wsp:rsid wsp:val=&quot;0022795C&quot;/&gt;&lt;wsp:rsid wsp:val=&quot;00227E37&quot;/&gt;&lt;wsp:rsid wsp:val=&quot;00230449&quot;/&gt;&lt;wsp:rsid wsp:val=&quot;00230905&quot;/&gt;&lt;wsp:rsid wsp:val=&quot;00230956&quot;/&gt;&lt;wsp:rsid wsp:val=&quot;00230E17&quot;/&gt;&lt;wsp:rsid wsp:val=&quot;00231148&quot;/&gt;&lt;wsp:rsid wsp:val=&quot;0023117A&quot;/&gt;&lt;wsp:rsid wsp:val=&quot;00231675&quot;/&gt;&lt;wsp:rsid wsp:val=&quot;0023175C&quot;/&gt;&lt;wsp:rsid wsp:val=&quot;00231904&quot;/&gt;&lt;wsp:rsid wsp:val=&quot;00231D9C&quot;/&gt;&lt;wsp:rsid wsp:val=&quot;00231E6D&quot;/&gt;&lt;wsp:rsid wsp:val=&quot;00232157&quot;/&gt;&lt;wsp:rsid wsp:val=&quot;00232942&quot;/&gt;&lt;wsp:rsid wsp:val=&quot;00232C7F&quot;/&gt;&lt;wsp:rsid wsp:val=&quot;00232E7E&quot;/&gt;&lt;wsp:rsid wsp:val=&quot;00232FE6&quot;/&gt;&lt;wsp:rsid wsp:val=&quot;00233772&quot;/&gt;&lt;wsp:rsid wsp:val=&quot;002338EE&quot;/&gt;&lt;wsp:rsid wsp:val=&quot;00233911&quot;/&gt;&lt;wsp:rsid wsp:val=&quot;00234049&quot;/&gt;&lt;wsp:rsid wsp:val=&quot;002345AC&quot;/&gt;&lt;wsp:rsid wsp:val=&quot;002350C8&quot;/&gt;&lt;wsp:rsid wsp:val=&quot;00235572&quot;/&gt;&lt;wsp:rsid wsp:val=&quot;002355EC&quot;/&gt;&lt;wsp:rsid wsp:val=&quot;0023568C&quot;/&gt;&lt;wsp:rsid wsp:val=&quot;0023596A&quot;/&gt;&lt;wsp:rsid wsp:val=&quot;00235C60&quot;/&gt;&lt;wsp:rsid wsp:val=&quot;00236A0B&quot;/&gt;&lt;wsp:rsid wsp:val=&quot;002379ED&quot;/&gt;&lt;wsp:rsid wsp:val=&quot;00237ABC&quot;/&gt;&lt;wsp:rsid wsp:val=&quot;00237E12&quot;/&gt;&lt;wsp:rsid wsp:val=&quot;0024016E&quot;/&gt;&lt;wsp:rsid wsp:val=&quot;00240A11&quot;/&gt;&lt;wsp:rsid wsp:val=&quot;00240BA3&quot;/&gt;&lt;wsp:rsid wsp:val=&quot;00240CFC&quot;/&gt;&lt;wsp:rsid wsp:val=&quot;00240E9B&quot;/&gt;&lt;wsp:rsid wsp:val=&quot;0024158C&quot;/&gt;&lt;wsp:rsid wsp:val=&quot;002417D4&quot;/&gt;&lt;wsp:rsid wsp:val=&quot;00241829&quot;/&gt;&lt;wsp:rsid wsp:val=&quot;00241953&quot;/&gt;&lt;wsp:rsid wsp:val=&quot;00241ED4&quot;/&gt;&lt;wsp:rsid wsp:val=&quot;00242586&quot;/&gt;&lt;wsp:rsid wsp:val=&quot;00243133&quot;/&gt;&lt;wsp:rsid wsp:val=&quot;0024340C&quot;/&gt;&lt;wsp:rsid wsp:val=&quot;00244271&quot;/&gt;&lt;wsp:rsid wsp:val=&quot;00244325&quot;/&gt;&lt;wsp:rsid wsp:val=&quot;00244582&quot;/&gt;&lt;wsp:rsid wsp:val=&quot;00244D59&quot;/&gt;&lt;wsp:rsid wsp:val=&quot;00244EBA&quot;/&gt;&lt;wsp:rsid wsp:val=&quot;00245291&quot;/&gt;&lt;wsp:rsid wsp:val=&quot;002453BD&quot;/&gt;&lt;wsp:rsid wsp:val=&quot;002457E6&quot;/&gt;&lt;wsp:rsid wsp:val=&quot;00245BD2&quot;/&gt;&lt;wsp:rsid wsp:val=&quot;00246478&quot;/&gt;&lt;wsp:rsid wsp:val=&quot;00246869&quot;/&gt;&lt;wsp:rsid wsp:val=&quot;00246BE6&quot;/&gt;&lt;wsp:rsid wsp:val=&quot;00246CC6&quot;/&gt;&lt;wsp:rsid wsp:val=&quot;00247035&quot;/&gt;&lt;wsp:rsid wsp:val=&quot;0024749C&quot;/&gt;&lt;wsp:rsid wsp:val=&quot;00247927&quot;/&gt;&lt;wsp:rsid wsp:val=&quot;00247BB3&quot;/&gt;&lt;wsp:rsid wsp:val=&quot;00247D95&quot;/&gt;&lt;wsp:rsid wsp:val=&quot;00247E1E&quot;/&gt;&lt;wsp:rsid wsp:val=&quot;00250181&quot;/&gt;&lt;wsp:rsid wsp:val=&quot;0025018F&quot;/&gt;&lt;wsp:rsid wsp:val=&quot;0025038F&quot;/&gt;&lt;wsp:rsid wsp:val=&quot;002508CA&quot;/&gt;&lt;wsp:rsid wsp:val=&quot;00250A9A&quot;/&gt;&lt;wsp:rsid wsp:val=&quot;0025148F&quot;/&gt;&lt;wsp:rsid wsp:val=&quot;002515EE&quot;/&gt;&lt;wsp:rsid wsp:val=&quot;002516C6&quot;/&gt;&lt;wsp:rsid wsp:val=&quot;00251903&quot;/&gt;&lt;wsp:rsid wsp:val=&quot;00252222&quot;/&gt;&lt;wsp:rsid wsp:val=&quot;00252710&quot;/&gt;&lt;wsp:rsid wsp:val=&quot;00252E2C&quot;/&gt;&lt;wsp:rsid wsp:val=&quot;00253593&quot;/&gt;&lt;wsp:rsid wsp:val=&quot;00253774&quot;/&gt;&lt;wsp:rsid wsp:val=&quot;00253CAB&quot;/&gt;&lt;wsp:rsid wsp:val=&quot;002540E9&quot;/&gt;&lt;wsp:rsid wsp:val=&quot;002541E5&quot;/&gt;&lt;wsp:rsid wsp:val=&quot;002542D5&quot;/&gt;&lt;wsp:rsid wsp:val=&quot;0025475B&quot;/&gt;&lt;wsp:rsid wsp:val=&quot;00254A36&quot;/&gt;&lt;wsp:rsid wsp:val=&quot;00254A3F&quot;/&gt;&lt;wsp:rsid wsp:val=&quot;0025518A&quot;/&gt;&lt;wsp:rsid wsp:val=&quot;00255657&quot;/&gt;&lt;wsp:rsid wsp:val=&quot;0025576A&quot;/&gt;&lt;wsp:rsid wsp:val=&quot;00255C63&quot;/&gt;&lt;wsp:rsid wsp:val=&quot;00255E88&quot;/&gt;&lt;wsp:rsid wsp:val=&quot;0025675C&quot;/&gt;&lt;wsp:rsid wsp:val=&quot;002570AF&quot;/&gt;&lt;wsp:rsid wsp:val=&quot;0025737D&quot;/&gt;&lt;wsp:rsid wsp:val=&quot;0025786C&quot;/&gt;&lt;wsp:rsid wsp:val=&quot;00257C0C&quot;/&gt;&lt;wsp:rsid wsp:val=&quot;00257FCE&quot;/&gt;&lt;wsp:rsid wsp:val=&quot;00260483&quot;/&gt;&lt;wsp:rsid wsp:val=&quot;002609D2&quot;/&gt;&lt;wsp:rsid wsp:val=&quot;00260AEE&quot;/&gt;&lt;wsp:rsid wsp:val=&quot;0026107D&quot;/&gt;&lt;wsp:rsid wsp:val=&quot;0026176D&quot;/&gt;&lt;wsp:rsid wsp:val=&quot;002619D9&quot;/&gt;&lt;wsp:rsid wsp:val=&quot;002623D3&quot;/&gt;&lt;wsp:rsid wsp:val=&quot;00262BA6&quot;/&gt;&lt;wsp:rsid wsp:val=&quot;00263AAE&quot;/&gt;&lt;wsp:rsid wsp:val=&quot;00264452&quot;/&gt;&lt;wsp:rsid wsp:val=&quot;002647E7&quot;/&gt;&lt;wsp:rsid wsp:val=&quot;00265EC4&quot;/&gt;&lt;wsp:rsid wsp:val=&quot;00265EF8&quot;/&gt;&lt;wsp:rsid wsp:val=&quot;002665F7&quot;/&gt;&lt;wsp:rsid wsp:val=&quot;00266692&quot;/&gt;&lt;wsp:rsid wsp:val=&quot;002669C9&quot;/&gt;&lt;wsp:rsid wsp:val=&quot;0026752D&quot;/&gt;&lt;wsp:rsid wsp:val=&quot;0027049B&quot;/&gt;&lt;wsp:rsid wsp:val=&quot;00270595&quot;/&gt;&lt;wsp:rsid wsp:val=&quot;00270811&quot;/&gt;&lt;wsp:rsid wsp:val=&quot;00270B18&quot;/&gt;&lt;wsp:rsid wsp:val=&quot;00270E85&quot;/&gt;&lt;wsp:rsid wsp:val=&quot;002714FD&quot;/&gt;&lt;wsp:rsid wsp:val=&quot;00271757&quot;/&gt;&lt;wsp:rsid wsp:val=&quot;002717E6&quot;/&gt;&lt;wsp:rsid wsp:val=&quot;00271DFE&quot;/&gt;&lt;wsp:rsid wsp:val=&quot;00272147&quot;/&gt;&lt;wsp:rsid wsp:val=&quot;00272326&quot;/&gt;&lt;wsp:rsid wsp:val=&quot;00272E76&quot;/&gt;&lt;wsp:rsid wsp:val=&quot;00273295&quot;/&gt;&lt;wsp:rsid wsp:val=&quot;00273626&quot;/&gt;&lt;wsp:rsid wsp:val=&quot;00273B40&quot;/&gt;&lt;wsp:rsid wsp:val=&quot;00273CD3&quot;/&gt;&lt;wsp:rsid wsp:val=&quot;0027408F&quot;/&gt;&lt;wsp:rsid wsp:val=&quot;0027527A&quot;/&gt;&lt;wsp:rsid wsp:val=&quot;0027548A&quot;/&gt;&lt;wsp:rsid wsp:val=&quot;00275564&quot;/&gt;&lt;wsp:rsid wsp:val=&quot;0027586E&quot;/&gt;&lt;wsp:rsid wsp:val=&quot;00275C33&quot;/&gt;&lt;wsp:rsid wsp:val=&quot;00275FA8&quot;/&gt;&lt;wsp:rsid wsp:val=&quot;00276021&quot;/&gt;&lt;wsp:rsid wsp:val=&quot;0027650D&quot;/&gt;&lt;wsp:rsid wsp:val=&quot;00276517&quot;/&gt;&lt;wsp:rsid wsp:val=&quot;002765FD&quot;/&gt;&lt;wsp:rsid wsp:val=&quot;00276641&quot;/&gt;&lt;wsp:rsid wsp:val=&quot;00276A9C&quot;/&gt;&lt;wsp:rsid wsp:val=&quot;002774E4&quot;/&gt;&lt;wsp:rsid wsp:val=&quot;002776F3&quot;/&gt;&lt;wsp:rsid wsp:val=&quot;00277823&quot;/&gt;&lt;wsp:rsid wsp:val=&quot;00277930&quot;/&gt;&lt;wsp:rsid wsp:val=&quot;002779DE&quot;/&gt;&lt;wsp:rsid wsp:val=&quot;00277A86&quot;/&gt;&lt;wsp:rsid wsp:val=&quot;00277BD0&quot;/&gt;&lt;wsp:rsid wsp:val=&quot;00277D34&quot;/&gt;&lt;wsp:rsid wsp:val=&quot;00280135&quot;/&gt;&lt;wsp:rsid wsp:val=&quot;0028019A&quot;/&gt;&lt;wsp:rsid wsp:val=&quot;002803EF&quot;/&gt;&lt;wsp:rsid wsp:val=&quot;002806BB&quot;/&gt;&lt;wsp:rsid wsp:val=&quot;00281488&quot;/&gt;&lt;wsp:rsid wsp:val=&quot;002816EB&quot;/&gt;&lt;wsp:rsid wsp:val=&quot;0028180D&quot;/&gt;&lt;wsp:rsid wsp:val=&quot;002818A3&quot;/&gt;&lt;wsp:rsid wsp:val=&quot;00281918&quot;/&gt;&lt;wsp:rsid wsp:val=&quot;00281B5A&quot;/&gt;&lt;wsp:rsid wsp:val=&quot;00281F4A&quot;/&gt;&lt;wsp:rsid wsp:val=&quot;002825F7&quot;/&gt;&lt;wsp:rsid wsp:val=&quot;00282716&quot;/&gt;&lt;wsp:rsid wsp:val=&quot;00282E3B&quot;/&gt;&lt;wsp:rsid wsp:val=&quot;0028338E&quot;/&gt;&lt;wsp:rsid wsp:val=&quot;002838EE&quot;/&gt;&lt;wsp:rsid wsp:val=&quot;00283B58&quot;/&gt;&lt;wsp:rsid wsp:val=&quot;00283CA2&quot;/&gt;&lt;wsp:rsid wsp:val=&quot;00284F26&quot;/&gt;&lt;wsp:rsid wsp:val=&quot;00284FF3&quot;/&gt;&lt;wsp:rsid wsp:val=&quot;0028501F&quot;/&gt;&lt;wsp:rsid wsp:val=&quot;00285105&quot;/&gt;&lt;wsp:rsid wsp:val=&quot;002851A3&quot;/&gt;&lt;wsp:rsid wsp:val=&quot;00285949&quot;/&gt;&lt;wsp:rsid wsp:val=&quot;00285AB1&quot;/&gt;&lt;wsp:rsid wsp:val=&quot;0028605C&quot;/&gt;&lt;wsp:rsid wsp:val=&quot;002865B7&quot;/&gt;&lt;wsp:rsid wsp:val=&quot;002866D7&quot;/&gt;&lt;wsp:rsid wsp:val=&quot;00286D02&quot;/&gt;&lt;wsp:rsid wsp:val=&quot;00286D52&quot;/&gt;&lt;wsp:rsid wsp:val=&quot;00286E89&quot;/&gt;&lt;wsp:rsid wsp:val=&quot;002872DD&quot;/&gt;&lt;wsp:rsid wsp:val=&quot;0028765A&quot;/&gt;&lt;wsp:rsid wsp:val=&quot;00287829&quot;/&gt;&lt;wsp:rsid wsp:val=&quot;00290055&quot;/&gt;&lt;wsp:rsid wsp:val=&quot;00290F4B&quot;/&gt;&lt;wsp:rsid wsp:val=&quot;00291068&quot;/&gt;&lt;wsp:rsid wsp:val=&quot;00291229&quot;/&gt;&lt;wsp:rsid wsp:val=&quot;002914AE&quot;/&gt;&lt;wsp:rsid wsp:val=&quot;002916BE&quot;/&gt;&lt;wsp:rsid wsp:val=&quot;00291822&quot;/&gt;&lt;wsp:rsid wsp:val=&quot;00292033&quot;/&gt;&lt;wsp:rsid wsp:val=&quot;00292569&quot;/&gt;&lt;wsp:rsid wsp:val=&quot;002928EB&quot;/&gt;&lt;wsp:rsid wsp:val=&quot;00292CA3&quot;/&gt;&lt;wsp:rsid wsp:val=&quot;00292CDF&quot;/&gt;&lt;wsp:rsid wsp:val=&quot;00293011&quot;/&gt;&lt;wsp:rsid wsp:val=&quot;00294293&quot;/&gt;&lt;wsp:rsid wsp:val=&quot;002944CA&quot;/&gt;&lt;wsp:rsid wsp:val=&quot;00294774&quot;/&gt;&lt;wsp:rsid wsp:val=&quot;00294CE1&quot;/&gt;&lt;wsp:rsid wsp:val=&quot;00295988&quot;/&gt;&lt;wsp:rsid wsp:val=&quot;002970B9&quot;/&gt;&lt;wsp:rsid wsp:val=&quot;00297514&quot;/&gt;&lt;wsp:rsid wsp:val=&quot;002979B8&quot;/&gt;&lt;wsp:rsid wsp:val=&quot;00297B81&quot;/&gt;&lt;wsp:rsid wsp:val=&quot;002A0019&quot;/&gt;&lt;wsp:rsid wsp:val=&quot;002A013A&quot;/&gt;&lt;wsp:rsid wsp:val=&quot;002A0409&quot;/&gt;&lt;wsp:rsid wsp:val=&quot;002A09A3&quot;/&gt;&lt;wsp:rsid wsp:val=&quot;002A0A6A&quot;/&gt;&lt;wsp:rsid wsp:val=&quot;002A0A7C&quot;/&gt;&lt;wsp:rsid wsp:val=&quot;002A0FC0&quot;/&gt;&lt;wsp:rsid wsp:val=&quot;002A130A&quot;/&gt;&lt;wsp:rsid wsp:val=&quot;002A1DC1&quot;/&gt;&lt;wsp:rsid wsp:val=&quot;002A1DF0&quot;/&gt;&lt;wsp:rsid wsp:val=&quot;002A200D&quot;/&gt;&lt;wsp:rsid wsp:val=&quot;002A2AA0&quot;/&gt;&lt;wsp:rsid wsp:val=&quot;002A2F6C&quot;/&gt;&lt;wsp:rsid wsp:val=&quot;002A4512&quot;/&gt;&lt;wsp:rsid wsp:val=&quot;002A4A14&quot;/&gt;&lt;wsp:rsid wsp:val=&quot;002A4FB2&quot;/&gt;&lt;wsp:rsid wsp:val=&quot;002A5317&quot;/&gt;&lt;wsp:rsid wsp:val=&quot;002A561B&quot;/&gt;&lt;wsp:rsid wsp:val=&quot;002A5CD9&quot;/&gt;&lt;wsp:rsid wsp:val=&quot;002A638C&quot;/&gt;&lt;wsp:rsid wsp:val=&quot;002A6455&quot;/&gt;&lt;wsp:rsid wsp:val=&quot;002A6747&quot;/&gt;&lt;wsp:rsid wsp:val=&quot;002A6799&quot;/&gt;&lt;wsp:rsid wsp:val=&quot;002A67CF&quot;/&gt;&lt;wsp:rsid wsp:val=&quot;002A728A&quot;/&gt;&lt;wsp:rsid wsp:val=&quot;002A7445&quot;/&gt;&lt;wsp:rsid wsp:val=&quot;002A7484&quot;/&gt;&lt;wsp:rsid wsp:val=&quot;002A74B5&quot;/&gt;&lt;wsp:rsid wsp:val=&quot;002A7A2D&quot;/&gt;&lt;wsp:rsid wsp:val=&quot;002A7B9C&quot;/&gt;&lt;wsp:rsid wsp:val=&quot;002B024B&quot;/&gt;&lt;wsp:rsid wsp:val=&quot;002B077B&quot;/&gt;&lt;wsp:rsid wsp:val=&quot;002B1177&quot;/&gt;&lt;wsp:rsid wsp:val=&quot;002B14B2&quot;/&gt;&lt;wsp:rsid wsp:val=&quot;002B1EA6&quot;/&gt;&lt;wsp:rsid wsp:val=&quot;002B2543&quot;/&gt;&lt;wsp:rsid wsp:val=&quot;002B2676&quot;/&gt;&lt;wsp:rsid wsp:val=&quot;002B3979&quot;/&gt;&lt;wsp:rsid wsp:val=&quot;002B421C&quot;/&gt;&lt;wsp:rsid wsp:val=&quot;002B429B&quot;/&gt;&lt;wsp:rsid wsp:val=&quot;002B4E48&quot;/&gt;&lt;wsp:rsid wsp:val=&quot;002B50B7&quot;/&gt;&lt;wsp:rsid wsp:val=&quot;002B5233&quot;/&gt;&lt;wsp:rsid wsp:val=&quot;002B5359&quot;/&gt;&lt;wsp:rsid wsp:val=&quot;002B5496&quot;/&gt;&lt;wsp:rsid wsp:val=&quot;002B5582&quot;/&gt;&lt;wsp:rsid wsp:val=&quot;002B5656&quot;/&gt;&lt;wsp:rsid wsp:val=&quot;002B5BF1&quot;/&gt;&lt;wsp:rsid wsp:val=&quot;002B5E26&quot;/&gt;&lt;wsp:rsid wsp:val=&quot;002B730C&quot;/&gt;&lt;wsp:rsid wsp:val=&quot;002B7E9E&quot;/&gt;&lt;wsp:rsid wsp:val=&quot;002C0990&quot;/&gt;&lt;wsp:rsid wsp:val=&quot;002C0A41&quot;/&gt;&lt;wsp:rsid wsp:val=&quot;002C0D48&quot;/&gt;&lt;wsp:rsid wsp:val=&quot;002C1145&quot;/&gt;&lt;wsp:rsid wsp:val=&quot;002C16E7&quot;/&gt;&lt;wsp:rsid wsp:val=&quot;002C1B46&quot;/&gt;&lt;wsp:rsid wsp:val=&quot;002C2555&quot;/&gt;&lt;wsp:rsid wsp:val=&quot;002C258E&quot;/&gt;&lt;wsp:rsid wsp:val=&quot;002C2BAB&quot;/&gt;&lt;wsp:rsid wsp:val=&quot;002C2DD6&quot;/&gt;&lt;wsp:rsid wsp:val=&quot;002C304E&quot;/&gt;&lt;wsp:rsid wsp:val=&quot;002C3EC9&quot;/&gt;&lt;wsp:rsid wsp:val=&quot;002C4283&quot;/&gt;&lt;wsp:rsid wsp:val=&quot;002C4447&quot;/&gt;&lt;wsp:rsid wsp:val=&quot;002C4589&quot;/&gt;&lt;wsp:rsid wsp:val=&quot;002C4959&quot;/&gt;&lt;wsp:rsid wsp:val=&quot;002C4D4E&quot;/&gt;&lt;wsp:rsid wsp:val=&quot;002C549C&quot;/&gt;&lt;wsp:rsid wsp:val=&quot;002C551F&quot;/&gt;&lt;wsp:rsid wsp:val=&quot;002C5661&quot;/&gt;&lt;wsp:rsid wsp:val=&quot;002C5A54&quot;/&gt;&lt;wsp:rsid wsp:val=&quot;002C5D33&quot;/&gt;&lt;wsp:rsid wsp:val=&quot;002C7401&quot;/&gt;&lt;wsp:rsid wsp:val=&quot;002C764C&quot;/&gt;&lt;wsp:rsid wsp:val=&quot;002C7768&quot;/&gt;&lt;wsp:rsid wsp:val=&quot;002C791D&quot;/&gt;&lt;wsp:rsid wsp:val=&quot;002C7C2A&quot;/&gt;&lt;wsp:rsid wsp:val=&quot;002C7C52&quot;/&gt;&lt;wsp:rsid wsp:val=&quot;002C7E47&quot;/&gt;&lt;wsp:rsid wsp:val=&quot;002D02FB&quot;/&gt;&lt;wsp:rsid wsp:val=&quot;002D0F85&quot;/&gt;&lt;wsp:rsid wsp:val=&quot;002D15B7&quot;/&gt;&lt;wsp:rsid wsp:val=&quot;002D17F0&quot;/&gt;&lt;wsp:rsid wsp:val=&quot;002D19DC&quot;/&gt;&lt;wsp:rsid wsp:val=&quot;002D1C94&quot;/&gt;&lt;wsp:rsid wsp:val=&quot;002D23E5&quot;/&gt;&lt;wsp:rsid wsp:val=&quot;002D2413&quot;/&gt;&lt;wsp:rsid wsp:val=&quot;002D253D&quot;/&gt;&lt;wsp:rsid wsp:val=&quot;002D29A8&quot;/&gt;&lt;wsp:rsid wsp:val=&quot;002D2BA5&quot;/&gt;&lt;wsp:rsid wsp:val=&quot;002D2C3D&quot;/&gt;&lt;wsp:rsid wsp:val=&quot;002D2D58&quot;/&gt;&lt;wsp:rsid wsp:val=&quot;002D2D9E&quot;/&gt;&lt;wsp:rsid wsp:val=&quot;002D3051&quot;/&gt;&lt;wsp:rsid wsp:val=&quot;002D3105&quot;/&gt;&lt;wsp:rsid wsp:val=&quot;002D3770&quot;/&gt;&lt;wsp:rsid wsp:val=&quot;002D3B52&quot;/&gt;&lt;wsp:rsid wsp:val=&quot;002D430B&quot;/&gt;&lt;wsp:rsid wsp:val=&quot;002D43F6&quot;/&gt;&lt;wsp:rsid wsp:val=&quot;002D44DB&quot;/&gt;&lt;wsp:rsid wsp:val=&quot;002D4DBB&quot;/&gt;&lt;wsp:rsid wsp:val=&quot;002D4E06&quot;/&gt;&lt;wsp:rsid wsp:val=&quot;002D4F1A&quot;/&gt;&lt;wsp:rsid wsp:val=&quot;002D4F90&quot;/&gt;&lt;wsp:rsid wsp:val=&quot;002D5707&quot;/&gt;&lt;wsp:rsid wsp:val=&quot;002D5DD5&quot;/&gt;&lt;wsp:rsid wsp:val=&quot;002D5DE4&quot;/&gt;&lt;wsp:rsid wsp:val=&quot;002D69D4&quot;/&gt;&lt;wsp:rsid wsp:val=&quot;002D6E0E&quot;/&gt;&lt;wsp:rsid wsp:val=&quot;002D6FF0&quot;/&gt;&lt;wsp:rsid wsp:val=&quot;002D75CE&quot;/&gt;&lt;wsp:rsid wsp:val=&quot;002D796B&quot;/&gt;&lt;wsp:rsid wsp:val=&quot;002D7BD4&quot;/&gt;&lt;wsp:rsid wsp:val=&quot;002D7E89&quot;/&gt;&lt;wsp:rsid wsp:val=&quot;002D7FA8&quot;/&gt;&lt;wsp:rsid wsp:val=&quot;002E0083&quot;/&gt;&lt;wsp:rsid wsp:val=&quot;002E00E7&quot;/&gt;&lt;wsp:rsid wsp:val=&quot;002E0AC5&quot;/&gt;&lt;wsp:rsid wsp:val=&quot;002E0C08&quot;/&gt;&lt;wsp:rsid wsp:val=&quot;002E174C&quot;/&gt;&lt;wsp:rsid wsp:val=&quot;002E1BF4&quot;/&gt;&lt;wsp:rsid wsp:val=&quot;002E1C44&quot;/&gt;&lt;wsp:rsid wsp:val=&quot;002E279C&quot;/&gt;&lt;wsp:rsid wsp:val=&quot;002E2A6E&quot;/&gt;&lt;wsp:rsid wsp:val=&quot;002E2C4C&quot;/&gt;&lt;wsp:rsid wsp:val=&quot;002E2FC0&quot;/&gt;&lt;wsp:rsid wsp:val=&quot;002E310A&quot;/&gt;&lt;wsp:rsid wsp:val=&quot;002E319F&quot;/&gt;&lt;wsp:rsid wsp:val=&quot;002E3410&quot;/&gt;&lt;wsp:rsid wsp:val=&quot;002E36F9&quot;/&gt;&lt;wsp:rsid wsp:val=&quot;002E3853&quot;/&gt;&lt;wsp:rsid wsp:val=&quot;002E3E14&quot;/&gt;&lt;wsp:rsid wsp:val=&quot;002E4501&quot;/&gt;&lt;wsp:rsid wsp:val=&quot;002E468E&quot;/&gt;&lt;wsp:rsid wsp:val=&quot;002E46B1&quot;/&gt;&lt;wsp:rsid wsp:val=&quot;002E4966&quot;/&gt;&lt;wsp:rsid wsp:val=&quot;002E4B93&quot;/&gt;&lt;wsp:rsid wsp:val=&quot;002E501A&quot;/&gt;&lt;wsp:rsid wsp:val=&quot;002E5315&quot;/&gt;&lt;wsp:rsid wsp:val=&quot;002E662C&quot;/&gt;&lt;wsp:rsid wsp:val=&quot;002E6943&quot;/&gt;&lt;wsp:rsid wsp:val=&quot;002E6949&quot;/&gt;&lt;wsp:rsid wsp:val=&quot;002E6C5A&quot;/&gt;&lt;wsp:rsid wsp:val=&quot;002E6CE5&quot;/&gt;&lt;wsp:rsid wsp:val=&quot;002E72F4&quot;/&gt;&lt;wsp:rsid wsp:val=&quot;002E7355&quot;/&gt;&lt;wsp:rsid wsp:val=&quot;002E7C02&quot;/&gt;&lt;wsp:rsid wsp:val=&quot;002E7C25&quot;/&gt;&lt;wsp:rsid wsp:val=&quot;002E7C67&quot;/&gt;&lt;wsp:rsid wsp:val=&quot;002F0057&quot;/&gt;&lt;wsp:rsid wsp:val=&quot;002F0280&quot;/&gt;&lt;wsp:rsid wsp:val=&quot;002F04A5&quot;/&gt;&lt;wsp:rsid wsp:val=&quot;002F0857&quot;/&gt;&lt;wsp:rsid wsp:val=&quot;002F0A1A&quot;/&gt;&lt;wsp:rsid wsp:val=&quot;002F0FCA&quot;/&gt;&lt;wsp:rsid wsp:val=&quot;002F12D6&quot;/&gt;&lt;wsp:rsid wsp:val=&quot;002F18C1&quot;/&gt;&lt;wsp:rsid wsp:val=&quot;002F1D4A&quot;/&gt;&lt;wsp:rsid wsp:val=&quot;002F2CDB&quot;/&gt;&lt;wsp:rsid wsp:val=&quot;002F3875&quot;/&gt;&lt;wsp:rsid wsp:val=&quot;002F4035&quot;/&gt;&lt;wsp:rsid wsp:val=&quot;002F408B&quot;/&gt;&lt;wsp:rsid wsp:val=&quot;002F4374&quot;/&gt;&lt;wsp:rsid wsp:val=&quot;002F4BED&quot;/&gt;&lt;wsp:rsid wsp:val=&quot;002F4DC0&quot;/&gt;&lt;wsp:rsid wsp:val=&quot;002F529D&quot;/&gt;&lt;wsp:rsid wsp:val=&quot;002F5622&quot;/&gt;&lt;wsp:rsid wsp:val=&quot;002F5CC5&quot;/&gt;&lt;wsp:rsid wsp:val=&quot;002F6423&quot;/&gt;&lt;wsp:rsid wsp:val=&quot;002F6A5D&quot;/&gt;&lt;wsp:rsid wsp:val=&quot;002F6AF5&quot;/&gt;&lt;wsp:rsid wsp:val=&quot;002F6D48&quot;/&gt;&lt;wsp:rsid wsp:val=&quot;002F6D9A&quot;/&gt;&lt;wsp:rsid wsp:val=&quot;002F7C37&quot;/&gt;&lt;wsp:rsid wsp:val=&quot;002F7F83&quot;/&gt;&lt;wsp:rsid wsp:val=&quot;00300269&quot;/&gt;&lt;wsp:rsid wsp:val=&quot;0030037D&quot;/&gt;&lt;wsp:rsid wsp:val=&quot;003006E5&quot;/&gt;&lt;wsp:rsid wsp:val=&quot;00300758&quot;/&gt;&lt;wsp:rsid wsp:val=&quot;003007C9&quot;/&gt;&lt;wsp:rsid wsp:val=&quot;00301BDA&quot;/&gt;&lt;wsp:rsid wsp:val=&quot;00301C4C&quot;/&gt;&lt;wsp:rsid wsp:val=&quot;00301CB8&quot;/&gt;&lt;wsp:rsid wsp:val=&quot;00301DE0&quot;/&gt;&lt;wsp:rsid wsp:val=&quot;00301DE5&quot;/&gt;&lt;wsp:rsid wsp:val=&quot;003022D9&quot;/&gt;&lt;wsp:rsid wsp:val=&quot;00302478&quot;/&gt;&lt;wsp:rsid wsp:val=&quot;00302828&quot;/&gt;&lt;wsp:rsid wsp:val=&quot;00302B4C&quot;/&gt;&lt;wsp:rsid wsp:val=&quot;00303BA6&quot;/&gt;&lt;wsp:rsid wsp:val=&quot;00303CBB&quot;/&gt;&lt;wsp:rsid wsp:val=&quot;00303DA4&quot;/&gt;&lt;wsp:rsid wsp:val=&quot;003046F6&quot;/&gt;&lt;wsp:rsid wsp:val=&quot;00304955&quot;/&gt;&lt;wsp:rsid wsp:val=&quot;00304B79&quot;/&gt;&lt;wsp:rsid wsp:val=&quot;003053C5&quot;/&gt;&lt;wsp:rsid wsp:val=&quot;0030548D&quot;/&gt;&lt;wsp:rsid wsp:val=&quot;00305806&quot;/&gt;&lt;wsp:rsid wsp:val=&quot;00306359&quot;/&gt;&lt;wsp:rsid wsp:val=&quot;0030654B&quot;/&gt;&lt;wsp:rsid wsp:val=&quot;00306BAD&quot;/&gt;&lt;wsp:rsid wsp:val=&quot;00306E1B&quot;/&gt;&lt;wsp:rsid wsp:val=&quot;003070DF&quot;/&gt;&lt;wsp:rsid wsp:val=&quot;00307372&quot;/&gt;&lt;wsp:rsid wsp:val=&quot;00307375&quot;/&gt;&lt;wsp:rsid wsp:val=&quot;0030784A&quot;/&gt;&lt;wsp:rsid wsp:val=&quot;003078EC&quot;/&gt;&lt;wsp:rsid wsp:val=&quot;00307E81&quot;/&gt;&lt;wsp:rsid wsp:val=&quot;00307FAF&quot;/&gt;&lt;wsp:rsid wsp:val=&quot;00310382&quot;/&gt;&lt;wsp:rsid wsp:val=&quot;00310AE3&quot;/&gt;&lt;wsp:rsid wsp:val=&quot;00310C28&quot;/&gt;&lt;wsp:rsid wsp:val=&quot;00311494&quot;/&gt;&lt;wsp:rsid wsp:val=&quot;0031183D&quot;/&gt;&lt;wsp:rsid wsp:val=&quot;00311881&quot;/&gt;&lt;wsp:rsid wsp:val=&quot;0031197E&quot;/&gt;&lt;wsp:rsid wsp:val=&quot;00311A43&quot;/&gt;&lt;wsp:rsid wsp:val=&quot;00311C95&quot;/&gt;&lt;wsp:rsid wsp:val=&quot;00311CEC&quot;/&gt;&lt;wsp:rsid wsp:val=&quot;00311E66&quot;/&gt;&lt;wsp:rsid wsp:val=&quot;00312297&quot;/&gt;&lt;wsp:rsid wsp:val=&quot;003123C6&quot;/&gt;&lt;wsp:rsid wsp:val=&quot;00312A2F&quot;/&gt;&lt;wsp:rsid wsp:val=&quot;003135F3&quot;/&gt;&lt;wsp:rsid wsp:val=&quot;00313661&quot;/&gt;&lt;wsp:rsid wsp:val=&quot;00313D10&quot;/&gt;&lt;wsp:rsid wsp:val=&quot;00314993&quot;/&gt;&lt;wsp:rsid wsp:val=&quot;00314CDC&quot;/&gt;&lt;wsp:rsid wsp:val=&quot;00314FF9&quot;/&gt;&lt;wsp:rsid wsp:val=&quot;0031537C&quot;/&gt;&lt;wsp:rsid wsp:val=&quot;0031579B&quot;/&gt;&lt;wsp:rsid wsp:val=&quot;003157BD&quot;/&gt;&lt;wsp:rsid wsp:val=&quot;00315DF4&quot;/&gt;&lt;wsp:rsid wsp:val=&quot;003162B9&quot;/&gt;&lt;wsp:rsid wsp:val=&quot;003163DC&quot;/&gt;&lt;wsp:rsid wsp:val=&quot;0031645A&quot;/&gt;&lt;wsp:rsid wsp:val=&quot;00316C5A&quot;/&gt;&lt;wsp:rsid wsp:val=&quot;003170F7&quot;/&gt;&lt;wsp:rsid wsp:val=&quot;003178C8&quot;/&gt;&lt;wsp:rsid wsp:val=&quot;00317937&quot;/&gt;&lt;wsp:rsid wsp:val=&quot;00317ECB&quot;/&gt;&lt;wsp:rsid wsp:val=&quot;00320085&quot;/&gt;&lt;wsp:rsid wsp:val=&quot;003200CD&quot;/&gt;&lt;wsp:rsid wsp:val=&quot;00320782&quot;/&gt;&lt;wsp:rsid wsp:val=&quot;00320873&quot;/&gt;&lt;wsp:rsid wsp:val=&quot;0032096D&quot;/&gt;&lt;wsp:rsid wsp:val=&quot;00320C02&quot;/&gt;&lt;wsp:rsid wsp:val=&quot;00320C5C&quot;/&gt;&lt;wsp:rsid wsp:val=&quot;00320CB5&quot;/&gt;&lt;wsp:rsid wsp:val=&quot;0032122C&quot;/&gt;&lt;wsp:rsid wsp:val=&quot;003215C6&quot;/&gt;&lt;wsp:rsid wsp:val=&quot;003215C8&quot;/&gt;&lt;wsp:rsid wsp:val=&quot;003215D5&quot;/&gt;&lt;wsp:rsid wsp:val=&quot;00322604&quot;/&gt;&lt;wsp:rsid wsp:val=&quot;00323152&quot;/&gt;&lt;wsp:rsid wsp:val=&quot;0032366B&quot;/&gt;&lt;wsp:rsid wsp:val=&quot;0032390A&quot;/&gt;&lt;wsp:rsid wsp:val=&quot;00323F82&quot;/&gt;&lt;wsp:rsid wsp:val=&quot;003240B9&quot;/&gt;&lt;wsp:rsid wsp:val=&quot;003248E2&quot;/&gt;&lt;wsp:rsid wsp:val=&quot;003252F0&quot;/&gt;&lt;wsp:rsid wsp:val=&quot;003255D9&quot;/&gt;&lt;wsp:rsid wsp:val=&quot;00325661&quot;/&gt;&lt;wsp:rsid wsp:val=&quot;00325800&quot;/&gt;&lt;wsp:rsid wsp:val=&quot;00325A90&quot;/&gt;&lt;wsp:rsid wsp:val=&quot;00325D3A&quot;/&gt;&lt;wsp:rsid wsp:val=&quot;003261AA&quot;/&gt;&lt;wsp:rsid wsp:val=&quot;00327485&quot;/&gt;&lt;wsp:rsid wsp:val=&quot;0032782F&quot;/&gt;&lt;wsp:rsid wsp:val=&quot;00327FA2&quot;/&gt;&lt;wsp:rsid wsp:val=&quot;003300A7&quot;/&gt;&lt;wsp:rsid wsp:val=&quot;00330A0F&quot;/&gt;&lt;wsp:rsid wsp:val=&quot;00330C21&quot;/&gt;&lt;wsp:rsid wsp:val=&quot;00331253&quot;/&gt;&lt;wsp:rsid wsp:val=&quot;0033139B&quot;/&gt;&lt;wsp:rsid wsp:val=&quot;003313E5&quot;/&gt;&lt;wsp:rsid wsp:val=&quot;0033183D&quot;/&gt;&lt;wsp:rsid wsp:val=&quot;00333127&quot;/&gt;&lt;wsp:rsid wsp:val=&quot;00333509&quot;/&gt;&lt;wsp:rsid wsp:val=&quot;00333EC5&quot;/&gt;&lt;wsp:rsid wsp:val=&quot;00333FA2&quot;/&gt;&lt;wsp:rsid wsp:val=&quot;00334332&quot;/&gt;&lt;wsp:rsid wsp:val=&quot;00334523&quot;/&gt;&lt;wsp:rsid wsp:val=&quot;00334B0E&quot;/&gt;&lt;wsp:rsid wsp:val=&quot;003351CE&quot;/&gt;&lt;wsp:rsid wsp:val=&quot;0033537A&quot;/&gt;&lt;wsp:rsid wsp:val=&quot;003353E1&quot;/&gt;&lt;wsp:rsid wsp:val=&quot;00335BB0&quot;/&gt;&lt;wsp:rsid wsp:val=&quot;00335BCE&quot;/&gt;&lt;wsp:rsid wsp:val=&quot;00335C99&quot;/&gt;&lt;wsp:rsid wsp:val=&quot;00336CD4&quot;/&gt;&lt;wsp:rsid wsp:val=&quot;00336EC7&quot;/&gt;&lt;wsp:rsid wsp:val=&quot;00336F7A&quot;/&gt;&lt;wsp:rsid wsp:val=&quot;00336FCA&quot;/&gt;&lt;wsp:rsid wsp:val=&quot;0033723A&quot;/&gt;&lt;wsp:rsid wsp:val=&quot;00337271&quot;/&gt;&lt;wsp:rsid wsp:val=&quot;003376F2&quot;/&gt;&lt;wsp:rsid wsp:val=&quot;003378A8&quot;/&gt;&lt;wsp:rsid wsp:val=&quot;0034055F&quot;/&gt;&lt;wsp:rsid wsp:val=&quot;00340804&quot;/&gt;&lt;wsp:rsid wsp:val=&quot;00340F41&quot;/&gt;&lt;wsp:rsid wsp:val=&quot;0034199A&quot;/&gt;&lt;wsp:rsid wsp:val=&quot;00341BBA&quot;/&gt;&lt;wsp:rsid wsp:val=&quot;003427FD&quot;/&gt;&lt;wsp:rsid wsp:val=&quot;00342A4A&quot;/&gt;&lt;wsp:rsid wsp:val=&quot;0034301F&quot;/&gt;&lt;wsp:rsid wsp:val=&quot;003438A2&quot;/&gt;&lt;wsp:rsid wsp:val=&quot;00343CEE&quot;/&gt;&lt;wsp:rsid wsp:val=&quot;00343D5D&quot;/&gt;&lt;wsp:rsid wsp:val=&quot;003440DE&quot;/&gt;&lt;wsp:rsid wsp:val=&quot;0034417B&quot;/&gt;&lt;wsp:rsid wsp:val=&quot;003442B5&quot;/&gt;&lt;wsp:rsid wsp:val=&quot;00344771&quot;/&gt;&lt;wsp:rsid wsp:val=&quot;003447FC&quot;/&gt;&lt;wsp:rsid wsp:val=&quot;0034500E&quot;/&gt;&lt;wsp:rsid wsp:val=&quot;003450B0&quot;/&gt;&lt;wsp:rsid wsp:val=&quot;00345476&quot;/&gt;&lt;wsp:rsid wsp:val=&quot;003456CE&quot;/&gt;&lt;wsp:rsid wsp:val=&quot;00345789&quot;/&gt;&lt;wsp:rsid wsp:val=&quot;003458F6&quot;/&gt;&lt;wsp:rsid wsp:val=&quot;00345968&quot;/&gt;&lt;wsp:rsid wsp:val=&quot;00345AE3&quot;/&gt;&lt;wsp:rsid wsp:val=&quot;00345B4D&quot;/&gt;&lt;wsp:rsid wsp:val=&quot;00345EFA&quot;/&gt;&lt;wsp:rsid wsp:val=&quot;00346290&quot;/&gt;&lt;wsp:rsid wsp:val=&quot;003463D7&quot;/&gt;&lt;wsp:rsid wsp:val=&quot;00346493&quot;/&gt;&lt;wsp:rsid wsp:val=&quot;00346582&quot;/&gt;&lt;wsp:rsid wsp:val=&quot;00346A6F&quot;/&gt;&lt;wsp:rsid wsp:val=&quot;00346BA9&quot;/&gt;&lt;wsp:rsid wsp:val=&quot;00347731&quot;/&gt;&lt;wsp:rsid wsp:val=&quot;00347870&quot;/&gt;&lt;wsp:rsid wsp:val=&quot;00347E26&quot;/&gt;&lt;wsp:rsid wsp:val=&quot;00347E2D&quot;/&gt;&lt;wsp:rsid wsp:val=&quot;00350103&quot;/&gt;&lt;wsp:rsid wsp:val=&quot;0035012C&quot;/&gt;&lt;wsp:rsid wsp:val=&quot;00350190&quot;/&gt;&lt;wsp:rsid wsp:val=&quot;003502B6&quot;/&gt;&lt;wsp:rsid wsp:val=&quot;003507E6&quot;/&gt;&lt;wsp:rsid wsp:val=&quot;00350DF0&quot;/&gt;&lt;wsp:rsid wsp:val=&quot;00350FEC&quot;/&gt;&lt;wsp:rsid wsp:val=&quot;00351B5B&quot;/&gt;&lt;wsp:rsid wsp:val=&quot;00351E8F&quot;/&gt;&lt;wsp:rsid wsp:val=&quot;0035245B&quot;/&gt;&lt;wsp:rsid wsp:val=&quot;0035282A&quot;/&gt;&lt;wsp:rsid wsp:val=&quot;00352D5B&quot;/&gt;&lt;wsp:rsid wsp:val=&quot;0035383B&quot;/&gt;&lt;wsp:rsid wsp:val=&quot;00353B23&quot;/&gt;&lt;wsp:rsid wsp:val=&quot;00353C91&quot;/&gt;&lt;wsp:rsid wsp:val=&quot;00354371&quot;/&gt;&lt;wsp:rsid wsp:val=&quot;0035559E&quot;/&gt;&lt;wsp:rsid wsp:val=&quot;00355943&quot;/&gt;&lt;wsp:rsid wsp:val=&quot;00355999&quot;/&gt;&lt;wsp:rsid wsp:val=&quot;00356BFE&quot;/&gt;&lt;wsp:rsid wsp:val=&quot;00357381&quot;/&gt;&lt;wsp:rsid wsp:val=&quot;00357721&quot;/&gt;&lt;wsp:rsid wsp:val=&quot;00357CA6&quot;/&gt;&lt;wsp:rsid wsp:val=&quot;00360509&quot;/&gt;&lt;wsp:rsid wsp:val=&quot;00360741&quot;/&gt;&lt;wsp:rsid wsp:val=&quot;003607D3&quot;/&gt;&lt;wsp:rsid wsp:val=&quot;00360CF9&quot;/&gt;&lt;wsp:rsid wsp:val=&quot;00361806&quot;/&gt;&lt;wsp:rsid wsp:val=&quot;00361CF4&quot;/&gt;&lt;wsp:rsid wsp:val=&quot;0036221A&quot;/&gt;&lt;wsp:rsid wsp:val=&quot;0036239E&quot;/&gt;&lt;wsp:rsid wsp:val=&quot;0036241A&quot;/&gt;&lt;wsp:rsid wsp:val=&quot;00363622&quot;/&gt;&lt;wsp:rsid wsp:val=&quot;003645E3&quot;/&gt;&lt;wsp:rsid wsp:val=&quot;00364626&quot;/&gt;&lt;wsp:rsid wsp:val=&quot;003646E4&quot;/&gt;&lt;wsp:rsid wsp:val=&quot;00364A73&quot;/&gt;&lt;wsp:rsid wsp:val=&quot;00365617&quot;/&gt;&lt;wsp:rsid wsp:val=&quot;0036566A&quot;/&gt;&lt;wsp:rsid wsp:val=&quot;003657A7&quot;/&gt;&lt;wsp:rsid wsp:val=&quot;0036594C&quot;/&gt;&lt;wsp:rsid wsp:val=&quot;00365BEC&quot;/&gt;&lt;wsp:rsid wsp:val=&quot;00365DEA&quot;/&gt;&lt;wsp:rsid wsp:val=&quot;00365EB6&quot;/&gt;&lt;wsp:rsid wsp:val=&quot;00366353&quot;/&gt;&lt;wsp:rsid wsp:val=&quot;003663C1&quot;/&gt;&lt;wsp:rsid wsp:val=&quot;00366467&quot;/&gt;&lt;wsp:rsid wsp:val=&quot;003666DD&quot;/&gt;&lt;wsp:rsid wsp:val=&quot;0036784F&quot;/&gt;&lt;wsp:rsid wsp:val=&quot;00367AD2&quot;/&gt;&lt;wsp:rsid wsp:val=&quot;00367CA1&quot;/&gt;&lt;wsp:rsid wsp:val=&quot;003701F5&quot;/&gt;&lt;wsp:rsid wsp:val=&quot;0037037B&quot;/&gt;&lt;wsp:rsid wsp:val=&quot;00370794&quot;/&gt;&lt;wsp:rsid wsp:val=&quot;00370B84&quot;/&gt;&lt;wsp:rsid wsp:val=&quot;003713CD&quot;/&gt;&lt;wsp:rsid wsp:val=&quot;003717B3&quot;/&gt;&lt;wsp:rsid wsp:val=&quot;00371AFA&quot;/&gt;&lt;wsp:rsid wsp:val=&quot;003723B9&quot;/&gt;&lt;wsp:rsid wsp:val=&quot;00372DCB&quot;/&gt;&lt;wsp:rsid wsp:val=&quot;003738AC&quot;/&gt;&lt;wsp:rsid wsp:val=&quot;003739CD&quot;/&gt;&lt;wsp:rsid wsp:val=&quot;00373A7E&quot;/&gt;&lt;wsp:rsid wsp:val=&quot;00373AD5&quot;/&gt;&lt;wsp:rsid wsp:val=&quot;00373C3F&quot;/&gt;&lt;wsp:rsid wsp:val=&quot;00373E88&quot;/&gt;&lt;wsp:rsid wsp:val=&quot;00373EE3&quot;/&gt;&lt;wsp:rsid wsp:val=&quot;003741FE&quot;/&gt;&lt;wsp:rsid wsp:val=&quot;00374403&quot;/&gt;&lt;wsp:rsid wsp:val=&quot;003748C6&quot;/&gt;&lt;wsp:rsid wsp:val=&quot;003751E8&quot;/&gt;&lt;wsp:rsid wsp:val=&quot;00375562&quot;/&gt;&lt;wsp:rsid wsp:val=&quot;003755A5&quot;/&gt;&lt;wsp:rsid wsp:val=&quot;00375CAD&quot;/&gt;&lt;wsp:rsid wsp:val=&quot;00375EEB&quot;/&gt;&lt;wsp:rsid wsp:val=&quot;0037640D&quot;/&gt;&lt;wsp:rsid wsp:val=&quot;003765B7&quot;/&gt;&lt;wsp:rsid wsp:val=&quot;00376854&quot;/&gt;&lt;wsp:rsid wsp:val=&quot;00376DFF&quot;/&gt;&lt;wsp:rsid wsp:val=&quot;003773E7&quot;/&gt;&lt;wsp:rsid wsp:val=&quot;00377914&quot;/&gt;&lt;wsp:rsid wsp:val=&quot;003779DE&quot;/&gt;&lt;wsp:rsid wsp:val=&quot;00377C79&quot;/&gt;&lt;wsp:rsid wsp:val=&quot;00377D79&quot;/&gt;&lt;wsp:rsid wsp:val=&quot;003802AA&quot;/&gt;&lt;wsp:rsid wsp:val=&quot;003806F4&quot;/&gt;&lt;wsp:rsid wsp:val=&quot;00381031&quot;/&gt;&lt;wsp:rsid wsp:val=&quot;003813BA&quot;/&gt;&lt;wsp:rsid wsp:val=&quot;00381605&quot;/&gt;&lt;wsp:rsid wsp:val=&quot;00381E59&quot;/&gt;&lt;wsp:rsid wsp:val=&quot;00382915&quot;/&gt;&lt;wsp:rsid wsp:val=&quot;00382A2E&quot;/&gt;&lt;wsp:rsid wsp:val=&quot;00383445&quot;/&gt;&lt;wsp:rsid wsp:val=&quot;0038355D&quot;/&gt;&lt;wsp:rsid wsp:val=&quot;00383C62&quot;/&gt;&lt;wsp:rsid wsp:val=&quot;0038424C&quot;/&gt;&lt;wsp:rsid wsp:val=&quot;003842F7&quot;/&gt;&lt;wsp:rsid wsp:val=&quot;003853B3&quot;/&gt;&lt;wsp:rsid wsp:val=&quot;00385BA9&quot;/&gt;&lt;wsp:rsid wsp:val=&quot;00385C88&quot;/&gt;&lt;wsp:rsid wsp:val=&quot;003862A0&quot;/&gt;&lt;wsp:rsid wsp:val=&quot;00386431&quot;/&gt;&lt;wsp:rsid wsp:val=&quot;00386549&quot;/&gt;&lt;wsp:rsid wsp:val=&quot;00386F6B&quot;/&gt;&lt;wsp:rsid wsp:val=&quot;00387830&quot;/&gt;&lt;wsp:rsid wsp:val=&quot;0038796C&quot;/&gt;&lt;wsp:rsid wsp:val=&quot;00387FE2&quot;/&gt;&lt;wsp:rsid wsp:val=&quot;00390172&quot;/&gt;&lt;wsp:rsid wsp:val=&quot;003906FF&quot;/&gt;&lt;wsp:rsid wsp:val=&quot;0039153F&quot;/&gt;&lt;wsp:rsid wsp:val=&quot;00391652&quot;/&gt;&lt;wsp:rsid wsp:val=&quot;00392391&quot;/&gt;&lt;wsp:rsid wsp:val=&quot;00392D0F&quot;/&gt;&lt;wsp:rsid wsp:val=&quot;0039342B&quot;/&gt;&lt;wsp:rsid wsp:val=&quot;0039344B&quot;/&gt;&lt;wsp:rsid wsp:val=&quot;0039366E&quot;/&gt;&lt;wsp:rsid wsp:val=&quot;0039483D&quot;/&gt;&lt;wsp:rsid wsp:val=&quot;00394916&quot;/&gt;&lt;wsp:rsid wsp:val=&quot;003949E4&quot;/&gt;&lt;wsp:rsid wsp:val=&quot;00394CED&quot;/&gt;&lt;wsp:rsid wsp:val=&quot;00394F8C&quot;/&gt;&lt;wsp:rsid wsp:val=&quot;00395069&quot;/&gt;&lt;wsp:rsid wsp:val=&quot;0039526B&quot;/&gt;&lt;wsp:rsid wsp:val=&quot;0039554B&quot;/&gt;&lt;wsp:rsid wsp:val=&quot;003955B2&quot;/&gt;&lt;wsp:rsid wsp:val=&quot;00395688&quot;/&gt;&lt;wsp:rsid wsp:val=&quot;00395CBD&quot;/&gt;&lt;wsp:rsid wsp:val=&quot;00395DA4&quot;/&gt;&lt;wsp:rsid wsp:val=&quot;00395EC4&quot;/&gt;&lt;wsp:rsid wsp:val=&quot;003962A8&quot;/&gt;&lt;wsp:rsid wsp:val=&quot;00396871&quot;/&gt;&lt;wsp:rsid wsp:val=&quot;00397C4F&quot;/&gt;&lt;wsp:rsid wsp:val=&quot;00397FD3&quot;/&gt;&lt;wsp:rsid wsp:val=&quot;003A01D0&quot;/&gt;&lt;wsp:rsid wsp:val=&quot;003A0596&quot;/&gt;&lt;wsp:rsid wsp:val=&quot;003A0768&quot;/&gt;&lt;wsp:rsid wsp:val=&quot;003A0820&quot;/&gt;&lt;wsp:rsid wsp:val=&quot;003A14B7&quot;/&gt;&lt;wsp:rsid wsp:val=&quot;003A17CC&quot;/&gt;&lt;wsp:rsid wsp:val=&quot;003A1910&quot;/&gt;&lt;wsp:rsid wsp:val=&quot;003A1997&quot;/&gt;&lt;wsp:rsid wsp:val=&quot;003A1EC8&quot;/&gt;&lt;wsp:rsid wsp:val=&quot;003A2490&quot;/&gt;&lt;wsp:rsid wsp:val=&quot;003A27D9&quot;/&gt;&lt;wsp:rsid wsp:val=&quot;003A2CED&quot;/&gt;&lt;wsp:rsid wsp:val=&quot;003A2F2D&quot;/&gt;&lt;wsp:rsid wsp:val=&quot;003A2FA0&quot;/&gt;&lt;wsp:rsid wsp:val=&quot;003A32D1&quot;/&gt;&lt;wsp:rsid wsp:val=&quot;003A34C4&quot;/&gt;&lt;wsp:rsid wsp:val=&quot;003A378B&quot;/&gt;&lt;wsp:rsid wsp:val=&quot;003A3B1A&quot;/&gt;&lt;wsp:rsid wsp:val=&quot;003A3E5D&quot;/&gt;&lt;wsp:rsid wsp:val=&quot;003A4101&quot;/&gt;&lt;wsp:rsid wsp:val=&quot;003A4658&quot;/&gt;&lt;wsp:rsid wsp:val=&quot;003A469E&quot;/&gt;&lt;wsp:rsid wsp:val=&quot;003A477C&quot;/&gt;&lt;wsp:rsid wsp:val=&quot;003A4E04&quot;/&gt;&lt;wsp:rsid wsp:val=&quot;003A53E8&quot;/&gt;&lt;wsp:rsid wsp:val=&quot;003A57D5&quot;/&gt;&lt;wsp:rsid wsp:val=&quot;003A5A42&quot;/&gt;&lt;wsp:rsid wsp:val=&quot;003A5ADE&quot;/&gt;&lt;wsp:rsid wsp:val=&quot;003A5E54&quot;/&gt;&lt;wsp:rsid wsp:val=&quot;003A61AC&quot;/&gt;&lt;wsp:rsid wsp:val=&quot;003A69BD&quot;/&gt;&lt;wsp:rsid wsp:val=&quot;003A71E0&quot;/&gt;&lt;wsp:rsid wsp:val=&quot;003A752F&quot;/&gt;&lt;wsp:rsid wsp:val=&quot;003A7805&quot;/&gt;&lt;wsp:rsid wsp:val=&quot;003A7926&quot;/&gt;&lt;wsp:rsid wsp:val=&quot;003A7D6D&quot;/&gt;&lt;wsp:rsid wsp:val=&quot;003B035A&quot;/&gt;&lt;wsp:rsid wsp:val=&quot;003B0469&quot;/&gt;&lt;wsp:rsid wsp:val=&quot;003B0516&quot;/&gt;&lt;wsp:rsid wsp:val=&quot;003B0B90&quot;/&gt;&lt;wsp:rsid wsp:val=&quot;003B123C&quot;/&gt;&lt;wsp:rsid wsp:val=&quot;003B136C&quot;/&gt;&lt;wsp:rsid wsp:val=&quot;003B196F&quot;/&gt;&lt;wsp:rsid wsp:val=&quot;003B19C2&quot;/&gt;&lt;wsp:rsid wsp:val=&quot;003B24D9&quot;/&gt;&lt;wsp:rsid wsp:val=&quot;003B2D38&quot;/&gt;&lt;wsp:rsid wsp:val=&quot;003B3093&quot;/&gt;&lt;wsp:rsid wsp:val=&quot;003B32E3&quot;/&gt;&lt;wsp:rsid wsp:val=&quot;003B342E&quot;/&gt;&lt;wsp:rsid wsp:val=&quot;003B34F5&quot;/&gt;&lt;wsp:rsid wsp:val=&quot;003B401F&quot;/&gt;&lt;wsp:rsid wsp:val=&quot;003B4781&quot;/&gt;&lt;wsp:rsid wsp:val=&quot;003B48DE&quot;/&gt;&lt;wsp:rsid wsp:val=&quot;003B4D2E&quot;/&gt;&lt;wsp:rsid wsp:val=&quot;003B4F6F&quot;/&gt;&lt;wsp:rsid wsp:val=&quot;003B51C4&quot;/&gt;&lt;wsp:rsid wsp:val=&quot;003B533B&quot;/&gt;&lt;wsp:rsid wsp:val=&quot;003B58EC&quot;/&gt;&lt;wsp:rsid wsp:val=&quot;003B5A1D&quot;/&gt;&lt;wsp:rsid wsp:val=&quot;003B5F0B&quot;/&gt;&lt;wsp:rsid wsp:val=&quot;003B5F46&quot;/&gt;&lt;wsp:rsid wsp:val=&quot;003B6756&quot;/&gt;&lt;wsp:rsid wsp:val=&quot;003B6868&quot;/&gt;&lt;wsp:rsid wsp:val=&quot;003B6FF0&quot;/&gt;&lt;wsp:rsid wsp:val=&quot;003B738E&quot;/&gt;&lt;wsp:rsid wsp:val=&quot;003B75AC&quot;/&gt;&lt;wsp:rsid wsp:val=&quot;003B7D80&quot;/&gt;&lt;wsp:rsid wsp:val=&quot;003B7E55&quot;/&gt;&lt;wsp:rsid wsp:val=&quot;003C0B4F&quot;/&gt;&lt;wsp:rsid wsp:val=&quot;003C0CD3&quot;/&gt;&lt;wsp:rsid wsp:val=&quot;003C1200&quot;/&gt;&lt;wsp:rsid wsp:val=&quot;003C124E&quot;/&gt;&lt;wsp:rsid wsp:val=&quot;003C127D&quot;/&gt;&lt;wsp:rsid wsp:val=&quot;003C1C7A&quot;/&gt;&lt;wsp:rsid wsp:val=&quot;003C1CFF&quot;/&gt;&lt;wsp:rsid wsp:val=&quot;003C1D5D&quot;/&gt;&lt;wsp:rsid wsp:val=&quot;003C21E9&quot;/&gt;&lt;wsp:rsid wsp:val=&quot;003C221B&quot;/&gt;&lt;wsp:rsid wsp:val=&quot;003C2806&quot;/&gt;&lt;wsp:rsid wsp:val=&quot;003C29FB&quot;/&gt;&lt;wsp:rsid wsp:val=&quot;003C2B75&quot;/&gt;&lt;wsp:rsid wsp:val=&quot;003C2C95&quot;/&gt;&lt;wsp:rsid wsp:val=&quot;003C2C9F&quot;/&gt;&lt;wsp:rsid wsp:val=&quot;003C2E2A&quot;/&gt;&lt;wsp:rsid wsp:val=&quot;003C3748&quot;/&gt;&lt;wsp:rsid wsp:val=&quot;003C3EA8&quot;/&gt;&lt;wsp:rsid wsp:val=&quot;003C40A0&quot;/&gt;&lt;wsp:rsid wsp:val=&quot;003C4278&quot;/&gt;&lt;wsp:rsid wsp:val=&quot;003C4300&quot;/&gt;&lt;wsp:rsid wsp:val=&quot;003C475F&quot;/&gt;&lt;wsp:rsid wsp:val=&quot;003C49BC&quot;/&gt;&lt;wsp:rsid wsp:val=&quot;003C4D85&quot;/&gt;&lt;wsp:rsid wsp:val=&quot;003C4EC4&quot;/&gt;&lt;wsp:rsid wsp:val=&quot;003C55AA&quot;/&gt;&lt;wsp:rsid wsp:val=&quot;003C6335&quot;/&gt;&lt;wsp:rsid wsp:val=&quot;003C656F&quot;/&gt;&lt;wsp:rsid wsp:val=&quot;003C6FEB&quot;/&gt;&lt;wsp:rsid wsp:val=&quot;003C7595&quot;/&gt;&lt;wsp:rsid wsp:val=&quot;003C7764&quot;/&gt;&lt;wsp:rsid wsp:val=&quot;003C7AFF&quot;/&gt;&lt;wsp:rsid wsp:val=&quot;003C7E63&quot;/&gt;&lt;wsp:rsid wsp:val=&quot;003C7ECD&quot;/&gt;&lt;wsp:rsid wsp:val=&quot;003D045D&quot;/&gt;&lt;wsp:rsid wsp:val=&quot;003D08A6&quot;/&gt;&lt;wsp:rsid wsp:val=&quot;003D09FE&quot;/&gt;&lt;wsp:rsid wsp:val=&quot;003D1255&quot;/&gt;&lt;wsp:rsid wsp:val=&quot;003D137F&quot;/&gt;&lt;wsp:rsid wsp:val=&quot;003D18FC&quot;/&gt;&lt;wsp:rsid wsp:val=&quot;003D194F&quot;/&gt;&lt;wsp:rsid wsp:val=&quot;003D2AB5&quot;/&gt;&lt;wsp:rsid wsp:val=&quot;003D308D&quot;/&gt;&lt;wsp:rsid wsp:val=&quot;003D370F&quot;/&gt;&lt;wsp:rsid wsp:val=&quot;003D3A18&quot;/&gt;&lt;wsp:rsid wsp:val=&quot;003D3D0C&quot;/&gt;&lt;wsp:rsid wsp:val=&quot;003D3D66&quot;/&gt;&lt;wsp:rsid wsp:val=&quot;003D4097&quot;/&gt;&lt;wsp:rsid wsp:val=&quot;003D4823&quot;/&gt;&lt;wsp:rsid wsp:val=&quot;003D4850&quot;/&gt;&lt;wsp:rsid wsp:val=&quot;003D4973&quot;/&gt;&lt;wsp:rsid wsp:val=&quot;003D5C10&quot;/&gt;&lt;wsp:rsid wsp:val=&quot;003D6227&quot;/&gt;&lt;wsp:rsid wsp:val=&quot;003D6534&quot;/&gt;&lt;wsp:rsid wsp:val=&quot;003D6758&quot;/&gt;&lt;wsp:rsid wsp:val=&quot;003D6E1D&quot;/&gt;&lt;wsp:rsid wsp:val=&quot;003D6F45&quot;/&gt;&lt;wsp:rsid wsp:val=&quot;003D7707&quot;/&gt;&lt;wsp:rsid wsp:val=&quot;003D7749&quot;/&gt;&lt;wsp:rsid wsp:val=&quot;003D7BEB&quot;/&gt;&lt;wsp:rsid wsp:val=&quot;003E04D7&quot;/&gt;&lt;wsp:rsid wsp:val=&quot;003E0CF3&quot;/&gt;&lt;wsp:rsid wsp:val=&quot;003E12B0&quot;/&gt;&lt;wsp:rsid wsp:val=&quot;003E1825&quot;/&gt;&lt;wsp:rsid wsp:val=&quot;003E1A9A&quot;/&gt;&lt;wsp:rsid wsp:val=&quot;003E1BC9&quot;/&gt;&lt;wsp:rsid wsp:val=&quot;003E28AC&quot;/&gt;&lt;wsp:rsid wsp:val=&quot;003E2B62&quot;/&gt;&lt;wsp:rsid wsp:val=&quot;003E3977&quot;/&gt;&lt;wsp:rsid wsp:val=&quot;003E39A7&quot;/&gt;&lt;wsp:rsid wsp:val=&quot;003E3F30&quot;/&gt;&lt;wsp:rsid wsp:val=&quot;003E40F2&quot;/&gt;&lt;wsp:rsid wsp:val=&quot;003E423B&quot;/&gt;&lt;wsp:rsid wsp:val=&quot;003E4288&quot;/&gt;&lt;wsp:rsid wsp:val=&quot;003E42B4&quot;/&gt;&lt;wsp:rsid wsp:val=&quot;003E44F5&quot;/&gt;&lt;wsp:rsid wsp:val=&quot;003E44F6&quot;/&gt;&lt;wsp:rsid wsp:val=&quot;003E56DD&quot;/&gt;&lt;wsp:rsid wsp:val=&quot;003E585B&quot;/&gt;&lt;wsp:rsid wsp:val=&quot;003E5950&quot;/&gt;&lt;wsp:rsid wsp:val=&quot;003E5E26&quot;/&gt;&lt;wsp:rsid wsp:val=&quot;003E6366&quot;/&gt;&lt;wsp:rsid wsp:val=&quot;003E6672&quot;/&gt;&lt;wsp:rsid wsp:val=&quot;003E6BB3&quot;/&gt;&lt;wsp:rsid wsp:val=&quot;003E72B7&quot;/&gt;&lt;wsp:rsid wsp:val=&quot;003E74C8&quot;/&gt;&lt;wsp:rsid wsp:val=&quot;003F1CC6&quot;/&gt;&lt;wsp:rsid wsp:val=&quot;003F1DE3&quot;/&gt;&lt;wsp:rsid wsp:val=&quot;003F2377&quot;/&gt;&lt;wsp:rsid wsp:val=&quot;003F253B&quot;/&gt;&lt;wsp:rsid wsp:val=&quot;003F27F7&quot;/&gt;&lt;wsp:rsid wsp:val=&quot;003F2A4E&quot;/&gt;&lt;wsp:rsid wsp:val=&quot;003F2AC6&quot;/&gt;&lt;wsp:rsid wsp:val=&quot;003F2CCF&quot;/&gt;&lt;wsp:rsid wsp:val=&quot;003F3902&quot;/&gt;&lt;wsp:rsid wsp:val=&quot;003F3CCE&quot;/&gt;&lt;wsp:rsid wsp:val=&quot;003F3F8A&quot;/&gt;&lt;wsp:rsid wsp:val=&quot;003F4189&quot;/&gt;&lt;wsp:rsid wsp:val=&quot;003F422B&quot;/&gt;&lt;wsp:rsid wsp:val=&quot;003F4997&quot;/&gt;&lt;wsp:rsid wsp:val=&quot;003F4BA8&quot;/&gt;&lt;wsp:rsid wsp:val=&quot;003F514F&quot;/&gt;&lt;wsp:rsid wsp:val=&quot;003F58AF&quot;/&gt;&lt;wsp:rsid wsp:val=&quot;003F5B8D&quot;/&gt;&lt;wsp:rsid wsp:val=&quot;003F5C47&quot;/&gt;&lt;wsp:rsid wsp:val=&quot;003F619E&quot;/&gt;&lt;wsp:rsid wsp:val=&quot;003F61B9&quot;/&gt;&lt;wsp:rsid wsp:val=&quot;003F643E&quot;/&gt;&lt;wsp:rsid wsp:val=&quot;003F66FB&quot;/&gt;&lt;wsp:rsid wsp:val=&quot;003F6C03&quot;/&gt;&lt;wsp:rsid wsp:val=&quot;003F6D42&quot;/&gt;&lt;wsp:rsid wsp:val=&quot;003F6D91&quot;/&gt;&lt;wsp:rsid wsp:val=&quot;003F70E7&quot;/&gt;&lt;wsp:rsid wsp:val=&quot;003F7650&quot;/&gt;&lt;wsp:rsid wsp:val=&quot;003F7722&quot;/&gt;&lt;wsp:rsid wsp:val=&quot;003F7F15&quot;/&gt;&lt;wsp:rsid wsp:val=&quot;003F7F4C&quot;/&gt;&lt;wsp:rsid wsp:val=&quot;0040000E&quot;/&gt;&lt;wsp:rsid wsp:val=&quot;004001C7&quot;/&gt;&lt;wsp:rsid wsp:val=&quot;00400BDA&quot;/&gt;&lt;wsp:rsid wsp:val=&quot;00400EA8&quot;/&gt;&lt;wsp:rsid wsp:val=&quot;00401374&quot;/&gt;&lt;wsp:rsid wsp:val=&quot;004013BC&quot;/&gt;&lt;wsp:rsid wsp:val=&quot;00401AA4&quot;/&gt;&lt;wsp:rsid wsp:val=&quot;00402305&quot;/&gt;&lt;wsp:rsid wsp:val=&quot;00402F6B&quot;/&gt;&lt;wsp:rsid wsp:val=&quot;004030F6&quot;/&gt;&lt;wsp:rsid wsp:val=&quot;00403112&quot;/&gt;&lt;wsp:rsid wsp:val=&quot;0040318C&quot;/&gt;&lt;wsp:rsid wsp:val=&quot;004031BC&quot;/&gt;&lt;wsp:rsid wsp:val=&quot;00403653&quot;/&gt;&lt;wsp:rsid wsp:val=&quot;00403977&quot;/&gt;&lt;wsp:rsid wsp:val=&quot;00404331&quot;/&gt;&lt;wsp:rsid wsp:val=&quot;004046A7&quot;/&gt;&lt;wsp:rsid wsp:val=&quot;00404DFC&quot;/&gt;&lt;wsp:rsid wsp:val=&quot;004050C4&quot;/&gt;&lt;wsp:rsid wsp:val=&quot;00405392&quot;/&gt;&lt;wsp:rsid wsp:val=&quot;004053B6&quot;/&gt;&lt;wsp:rsid wsp:val=&quot;004055B8&quot;/&gt;&lt;wsp:rsid wsp:val=&quot;00405CC5&quot;/&gt;&lt;wsp:rsid wsp:val=&quot;00406368&quot;/&gt;&lt;wsp:rsid wsp:val=&quot;00406417&quot;/&gt;&lt;wsp:rsid wsp:val=&quot;004068A5&quot;/&gt;&lt;wsp:rsid wsp:val=&quot;00406937&quot;/&gt;&lt;wsp:rsid wsp:val=&quot;00406950&quot;/&gt;&lt;wsp:rsid wsp:val=&quot;00406D89&quot;/&gt;&lt;wsp:rsid wsp:val=&quot;00407532&quot;/&gt;&lt;wsp:rsid wsp:val=&quot;004076BA&quot;/&gt;&lt;wsp:rsid wsp:val=&quot;0040789D&quot;/&gt;&lt;wsp:rsid wsp:val=&quot;00407956&quot;/&gt;&lt;wsp:rsid wsp:val=&quot;00407F03&quot;/&gt;&lt;wsp:rsid wsp:val=&quot;004100B7&quot;/&gt;&lt;wsp:rsid wsp:val=&quot;00410A94&quot;/&gt;&lt;wsp:rsid wsp:val=&quot;00411CBC&quot;/&gt;&lt;wsp:rsid wsp:val=&quot;0041228F&quot;/&gt;&lt;wsp:rsid wsp:val=&quot;004125BF&quot;/&gt;&lt;wsp:rsid wsp:val=&quot;00412611&quot;/&gt;&lt;wsp:rsid wsp:val=&quot;0041261B&quot;/&gt;&lt;wsp:rsid wsp:val=&quot;00412D84&quot;/&gt;&lt;wsp:rsid wsp:val=&quot;00412F7B&quot;/&gt;&lt;wsp:rsid wsp:val=&quot;004131F8&quot;/&gt;&lt;wsp:rsid wsp:val=&quot;00413280&quot;/&gt;&lt;wsp:rsid wsp:val=&quot;00413538&quot;/&gt;&lt;wsp:rsid wsp:val=&quot;0041359D&quot;/&gt;&lt;wsp:rsid wsp:val=&quot;00413A1F&quot;/&gt;&lt;wsp:rsid wsp:val=&quot;00413A55&quot;/&gt;&lt;wsp:rsid wsp:val=&quot;00413BF6&quot;/&gt;&lt;wsp:rsid wsp:val=&quot;00413EF1&quot;/&gt;&lt;wsp:rsid wsp:val=&quot;00414283&quot;/&gt;&lt;wsp:rsid wsp:val=&quot;004149A5&quot;/&gt;&lt;wsp:rsid wsp:val=&quot;00415025&quot;/&gt;&lt;wsp:rsid wsp:val=&quot;0041503A&quot;/&gt;&lt;wsp:rsid wsp:val=&quot;00415973&quot;/&gt;&lt;wsp:rsid wsp:val=&quot;0041602B&quot;/&gt;&lt;wsp:rsid wsp:val=&quot;00416250&quot;/&gt;&lt;wsp:rsid wsp:val=&quot;004163F2&quot;/&gt;&lt;wsp:rsid wsp:val=&quot;004167EC&quot;/&gt;&lt;wsp:rsid wsp:val=&quot;00416883&quot;/&gt;&lt;wsp:rsid wsp:val=&quot;00416DFE&quot;/&gt;&lt;wsp:rsid wsp:val=&quot;00416F49&quot;/&gt;&lt;wsp:rsid wsp:val=&quot;00417041&quot;/&gt;&lt;wsp:rsid wsp:val=&quot;00417337&quot;/&gt;&lt;wsp:rsid wsp:val=&quot;00417BF4&quot;/&gt;&lt;wsp:rsid wsp:val=&quot;004203B2&quot;/&gt;&lt;wsp:rsid wsp:val=&quot;00420511&quot;/&gt;&lt;wsp:rsid wsp:val=&quot;00420B7C&quot;/&gt;&lt;wsp:rsid wsp:val=&quot;004211F3&quot;/&gt;&lt;wsp:rsid wsp:val=&quot;004215A3&quot;/&gt;&lt;wsp:rsid wsp:val=&quot;00421814&quot;/&gt;&lt;wsp:rsid wsp:val=&quot;004219EC&quot;/&gt;&lt;wsp:rsid wsp:val=&quot;00421D91&quot;/&gt;&lt;wsp:rsid wsp:val=&quot;00421F5D&quot;/&gt;&lt;wsp:rsid wsp:val=&quot;004220E5&quot;/&gt;&lt;wsp:rsid wsp:val=&quot;004222A2&quot;/&gt;&lt;wsp:rsid wsp:val=&quot;0042338A&quot;/&gt;&lt;wsp:rsid wsp:val=&quot;0042375F&quot;/&gt;&lt;wsp:rsid wsp:val=&quot;0042396F&quot;/&gt;&lt;wsp:rsid wsp:val=&quot;00423B44&quot;/&gt;&lt;wsp:rsid wsp:val=&quot;00423E10&quot;/&gt;&lt;wsp:rsid wsp:val=&quot;004241E3&quot;/&gt;&lt;wsp:rsid wsp:val=&quot;004244C1&quot;/&gt;&lt;wsp:rsid wsp:val=&quot;00424551&quot;/&gt;&lt;wsp:rsid wsp:val=&quot;00424868&quot;/&gt;&lt;wsp:rsid wsp:val=&quot;00424B55&quot;/&gt;&lt;wsp:rsid wsp:val=&quot;00424B6D&quot;/&gt;&lt;wsp:rsid wsp:val=&quot;00424B6F&quot;/&gt;&lt;wsp:rsid wsp:val=&quot;00424BA4&quot;/&gt;&lt;wsp:rsid wsp:val=&quot;00424DC3&quot;/&gt;&lt;wsp:rsid wsp:val=&quot;00425106&quot;/&gt;&lt;wsp:rsid wsp:val=&quot;0042521E&quot;/&gt;&lt;wsp:rsid wsp:val=&quot;0042527A&quot;/&gt;&lt;wsp:rsid wsp:val=&quot;0042578C&quot;/&gt;&lt;wsp:rsid wsp:val=&quot;0042579D&quot;/&gt;&lt;wsp:rsid wsp:val=&quot;00425B19&quot;/&gt;&lt;wsp:rsid wsp:val=&quot;00426310&quot;/&gt;&lt;wsp:rsid wsp:val=&quot;004268F6&quot;/&gt;&lt;wsp:rsid wsp:val=&quot;00426F5F&quot;/&gt;&lt;wsp:rsid wsp:val=&quot;0042708D&quot;/&gt;&lt;wsp:rsid wsp:val=&quot;004271C8&quot;/&gt;&lt;wsp:rsid wsp:val=&quot;004273E3&quot;/&gt;&lt;wsp:rsid wsp:val=&quot;004276D2&quot;/&gt;&lt;wsp:rsid wsp:val=&quot;00427B2A&quot;/&gt;&lt;wsp:rsid wsp:val=&quot;00427D6F&quot;/&gt;&lt;wsp:rsid wsp:val=&quot;00427DA8&quot;/&gt;&lt;wsp:rsid wsp:val=&quot;00427E1E&quot;/&gt;&lt;wsp:rsid wsp:val=&quot;004302DD&quot;/&gt;&lt;wsp:rsid wsp:val=&quot;00430873&quot;/&gt;&lt;wsp:rsid wsp:val=&quot;00430D7F&quot;/&gt;&lt;wsp:rsid wsp:val=&quot;00430FA9&quot;/&gt;&lt;wsp:rsid wsp:val=&quot;00431317&quot;/&gt;&lt;wsp:rsid wsp:val=&quot;004314DB&quot;/&gt;&lt;wsp:rsid wsp:val=&quot;00431B25&quot;/&gt;&lt;wsp:rsid wsp:val=&quot;00431D57&quot;/&gt;&lt;wsp:rsid wsp:val=&quot;00432896&quot;/&gt;&lt;wsp:rsid wsp:val=&quot;00432F88&quot;/&gt;&lt;wsp:rsid wsp:val=&quot;004331E1&quot;/&gt;&lt;wsp:rsid wsp:val=&quot;00433717&quot;/&gt;&lt;wsp:rsid wsp:val=&quot;00433D2C&quot;/&gt;&lt;wsp:rsid wsp:val=&quot;00433EAB&quot;/&gt;&lt;wsp:rsid wsp:val=&quot;00434A40&quot;/&gt;&lt;wsp:rsid wsp:val=&quot;004357AA&quot;/&gt;&lt;wsp:rsid wsp:val=&quot;004358D3&quot;/&gt;&lt;wsp:rsid wsp:val=&quot;00435C4C&quot;/&gt;&lt;wsp:rsid wsp:val=&quot;00436097&quot;/&gt;&lt;wsp:rsid wsp:val=&quot;004369B2&quot;/&gt;&lt;wsp:rsid wsp:val=&quot;00436A98&quot;/&gt;&lt;wsp:rsid wsp:val=&quot;00436BD4&quot;/&gt;&lt;wsp:rsid wsp:val=&quot;00436E0E&quot;/&gt;&lt;wsp:rsid wsp:val=&quot;00436EE4&quot;/&gt;&lt;wsp:rsid wsp:val=&quot;004404C3&quot;/&gt;&lt;wsp:rsid wsp:val=&quot;00440F2D&quot;/&gt;&lt;wsp:rsid wsp:val=&quot;004419C5&quot;/&gt;&lt;wsp:rsid wsp:val=&quot;00441B0D&quot;/&gt;&lt;wsp:rsid wsp:val=&quot;00441E08&quot;/&gt;&lt;wsp:rsid wsp:val=&quot;0044225E&quot;/&gt;&lt;wsp:rsid wsp:val=&quot;00442485&quot;/&gt;&lt;wsp:rsid wsp:val=&quot;004425D0&quot;/&gt;&lt;wsp:rsid wsp:val=&quot;0044325F&quot;/&gt;&lt;wsp:rsid wsp:val=&quot;004433D0&quot;/&gt;&lt;wsp:rsid wsp:val=&quot;00443E2F&quot;/&gt;&lt;wsp:rsid wsp:val=&quot;00444A5B&quot;/&gt;&lt;wsp:rsid wsp:val=&quot;00444A7E&quot;/&gt;&lt;wsp:rsid wsp:val=&quot;00444B2A&quot;/&gt;&lt;wsp:rsid wsp:val=&quot;00444D99&quot;/&gt;&lt;wsp:rsid wsp:val=&quot;004453DE&quot;/&gt;&lt;wsp:rsid wsp:val=&quot;0044559D&quot;/&gt;&lt;wsp:rsid wsp:val=&quot;00445737&quot;/&gt;&lt;wsp:rsid wsp:val=&quot;004458EB&quot;/&gt;&lt;wsp:rsid wsp:val=&quot;00445D47&quot;/&gt;&lt;wsp:rsid wsp:val=&quot;004465E4&quot;/&gt;&lt;wsp:rsid wsp:val=&quot;0044688F&quot;/&gt;&lt;wsp:rsid wsp:val=&quot;0044693A&quot;/&gt;&lt;wsp:rsid wsp:val=&quot;00446CDE&quot;/&gt;&lt;wsp:rsid wsp:val=&quot;00446D01&quot;/&gt;&lt;wsp:rsid wsp:val=&quot;0044742D&quot;/&gt;&lt;wsp:rsid wsp:val=&quot;00447EAF&quot;/&gt;&lt;wsp:rsid wsp:val=&quot;004500DA&quot;/&gt;&lt;wsp:rsid wsp:val=&quot;0045055A&quot;/&gt;&lt;wsp:rsid wsp:val=&quot;004507FD&quot;/&gt;&lt;wsp:rsid wsp:val=&quot;00450A2B&quot;/&gt;&lt;wsp:rsid wsp:val=&quot;00451205&quot;/&gt;&lt;wsp:rsid wsp:val=&quot;00451255&quot;/&gt;&lt;wsp:rsid wsp:val=&quot;00451744&quot;/&gt;&lt;wsp:rsid wsp:val=&quot;00451C6F&quot;/&gt;&lt;wsp:rsid wsp:val=&quot;00451EE4&quot;/&gt;&lt;wsp:rsid wsp:val=&quot;004524AA&quot;/&gt;&lt;wsp:rsid wsp:val=&quot;004524AB&quot;/&gt;&lt;wsp:rsid wsp:val=&quot;0045280C&quot;/&gt;&lt;wsp:rsid wsp:val=&quot;00452880&quot;/&gt;&lt;wsp:rsid wsp:val=&quot;00452C8D&quot;/&gt;&lt;wsp:rsid wsp:val=&quot;0045363F&quot;/&gt;&lt;wsp:rsid wsp:val=&quot;004536AD&quot;/&gt;&lt;wsp:rsid wsp:val=&quot;00453D53&quot;/&gt;&lt;wsp:rsid wsp:val=&quot;00453D60&quot;/&gt;&lt;wsp:rsid wsp:val=&quot;00453E18&quot;/&gt;&lt;wsp:rsid wsp:val=&quot;00454D90&quot;/&gt;&lt;wsp:rsid wsp:val=&quot;00454F1E&quot;/&gt;&lt;wsp:rsid wsp:val=&quot;00454FAC&quot;/&gt;&lt;wsp:rsid wsp:val=&quot;0045608C&quot;/&gt;&lt;wsp:rsid wsp:val=&quot;0045692A&quot;/&gt;&lt;wsp:rsid wsp:val=&quot;004575C7&quot;/&gt;&lt;wsp:rsid wsp:val=&quot;00457665&quot;/&gt;&lt;wsp:rsid wsp:val=&quot;0045796B&quot;/&gt;&lt;wsp:rsid wsp:val=&quot;00457A92&quot;/&gt;&lt;wsp:rsid wsp:val=&quot;00457CDA&quot;/&gt;&lt;wsp:rsid wsp:val=&quot;0046014C&quot;/&gt;&lt;wsp:rsid wsp:val=&quot;004607BD&quot;/&gt;&lt;wsp:rsid wsp:val=&quot;00460D0D&quot;/&gt;&lt;wsp:rsid wsp:val=&quot;00461029&quot;/&gt;&lt;wsp:rsid wsp:val=&quot;00461236&quot;/&gt;&lt;wsp:rsid wsp:val=&quot;00461543&quot;/&gt;&lt;wsp:rsid wsp:val=&quot;004619CC&quot;/&gt;&lt;wsp:rsid wsp:val=&quot;00461DA9&quot;/&gt;&lt;wsp:rsid wsp:val=&quot;00462293&quot;/&gt;&lt;wsp:rsid wsp:val=&quot;00462798&quot;/&gt;&lt;wsp:rsid wsp:val=&quot;00462ADB&quot;/&gt;&lt;wsp:rsid wsp:val=&quot;00462B19&quot;/&gt;&lt;wsp:rsid wsp:val=&quot;00462B49&quot;/&gt;&lt;wsp:rsid wsp:val=&quot;0046304A&quot;/&gt;&lt;wsp:rsid wsp:val=&quot;004634B4&quot;/&gt;&lt;wsp:rsid wsp:val=&quot;00463504&quot;/&gt;&lt;wsp:rsid wsp:val=&quot;00463561&quot;/&gt;&lt;wsp:rsid wsp:val=&quot;00463929&quot;/&gt;&lt;wsp:rsid wsp:val=&quot;00463A15&quot;/&gt;&lt;wsp:rsid wsp:val=&quot;00463D30&quot;/&gt;&lt;wsp:rsid wsp:val=&quot;0046400F&quot;/&gt;&lt;wsp:rsid wsp:val=&quot;004649F7&quot;/&gt;&lt;wsp:rsid wsp:val=&quot;00465139&quot;/&gt;&lt;wsp:rsid wsp:val=&quot;00465365&quot;/&gt;&lt;wsp:rsid wsp:val=&quot;004653E2&quot;/&gt;&lt;wsp:rsid wsp:val=&quot;00465595&quot;/&gt;&lt;wsp:rsid wsp:val=&quot;0046575D&quot;/&gt;&lt;wsp:rsid wsp:val=&quot;00465AD5&quot;/&gt;&lt;wsp:rsid wsp:val=&quot;00465D29&quot;/&gt;&lt;wsp:rsid wsp:val=&quot;00465ED2&quot;/&gt;&lt;wsp:rsid wsp:val=&quot;00466B98&quot;/&gt;&lt;wsp:rsid wsp:val=&quot;00466E13&quot;/&gt;&lt;wsp:rsid wsp:val=&quot;00466F51&quot;/&gt;&lt;wsp:rsid wsp:val=&quot;00466FA2&quot;/&gt;&lt;wsp:rsid wsp:val=&quot;004673C0&quot;/&gt;&lt;wsp:rsid wsp:val=&quot;0046777A&quot;/&gt;&lt;wsp:rsid wsp:val=&quot;00467E53&quot;/&gt;&lt;wsp:rsid wsp:val=&quot;004702FC&quot;/&gt;&lt;wsp:rsid wsp:val=&quot;00470765&quot;/&gt;&lt;wsp:rsid wsp:val=&quot;00470970&quot;/&gt;&lt;wsp:rsid wsp:val=&quot;00471355&quot;/&gt;&lt;wsp:rsid wsp:val=&quot;004713E2&quot;/&gt;&lt;wsp:rsid wsp:val=&quot;00471A7E&quot;/&gt;&lt;wsp:rsid wsp:val=&quot;00471B18&quot;/&gt;&lt;wsp:rsid wsp:val=&quot;004723A4&quot;/&gt;&lt;wsp:rsid wsp:val=&quot;00472806&quot;/&gt;&lt;wsp:rsid wsp:val=&quot;00472ABB&quot;/&gt;&lt;wsp:rsid wsp:val=&quot;004734E8&quot;/&gt;&lt;wsp:rsid wsp:val=&quot;00473A78&quot;/&gt;&lt;wsp:rsid wsp:val=&quot;00473DF8&quot;/&gt;&lt;wsp:rsid wsp:val=&quot;00473EB5&quot;/&gt;&lt;wsp:rsid wsp:val=&quot;00475199&quot;/&gt;&lt;wsp:rsid wsp:val=&quot;004758AB&quot;/&gt;&lt;wsp:rsid wsp:val=&quot;00475A54&quot;/&gt;&lt;wsp:rsid wsp:val=&quot;00475D31&quot;/&gt;&lt;wsp:rsid wsp:val=&quot;004764D1&quot;/&gt;&lt;wsp:rsid wsp:val=&quot;00476771&quot;/&gt;&lt;wsp:rsid wsp:val=&quot;0047688F&quot;/&gt;&lt;wsp:rsid wsp:val=&quot;00476AF1&quot;/&gt;&lt;wsp:rsid wsp:val=&quot;00476C5A&quot;/&gt;&lt;wsp:rsid wsp:val=&quot;00476D0A&quot;/&gt;&lt;wsp:rsid wsp:val=&quot;00477364&quot;/&gt;&lt;wsp:rsid wsp:val=&quot;004779F7&quot;/&gt;&lt;wsp:rsid wsp:val=&quot;00477ACD&quot;/&gt;&lt;wsp:rsid wsp:val=&quot;00477B16&quot;/&gt;&lt;wsp:rsid wsp:val=&quot;0048031E&quot;/&gt;&lt;wsp:rsid wsp:val=&quot;004810E1&quot;/&gt;&lt;wsp:rsid wsp:val=&quot;00481152&quot;/&gt;&lt;wsp:rsid wsp:val=&quot;00481281&quot;/&gt;&lt;wsp:rsid wsp:val=&quot;0048197A&quot;/&gt;&lt;wsp:rsid wsp:val=&quot;004823F3&quot;/&gt;&lt;wsp:rsid wsp:val=&quot;00482681&quot;/&gt;&lt;wsp:rsid wsp:val=&quot;00482718&quot;/&gt;&lt;wsp:rsid wsp:val=&quot;004829EE&quot;/&gt;&lt;wsp:rsid wsp:val=&quot;0048317A&quot;/&gt;&lt;wsp:rsid wsp:val=&quot;00483263&quot;/&gt;&lt;wsp:rsid wsp:val=&quot;004833F9&quot;/&gt;&lt;wsp:rsid wsp:val=&quot;00483501&quot;/&gt;&lt;wsp:rsid wsp:val=&quot;00483566&quot;/&gt;&lt;wsp:rsid wsp:val=&quot;0048388E&quot;/&gt;&lt;wsp:rsid wsp:val=&quot;00483CE8&quot;/&gt;&lt;wsp:rsid wsp:val=&quot;004842BA&quot;/&gt;&lt;wsp:rsid wsp:val=&quot;00484408&quot;/&gt;&lt;wsp:rsid wsp:val=&quot;004846AA&quot;/&gt;&lt;wsp:rsid wsp:val=&quot;00484A66&quot;/&gt;&lt;wsp:rsid wsp:val=&quot;00484AB5&quot;/&gt;&lt;wsp:rsid wsp:val=&quot;00484DE9&quot;/&gt;&lt;wsp:rsid wsp:val=&quot;00485487&quot;/&gt;&lt;wsp:rsid wsp:val=&quot;00485CB8&quot;/&gt;&lt;wsp:rsid wsp:val=&quot;00485F09&quot;/&gt;&lt;wsp:rsid wsp:val=&quot;00485F0D&quot;/&gt;&lt;wsp:rsid wsp:val=&quot;0048618B&quot;/&gt;&lt;wsp:rsid wsp:val=&quot;004862AA&quot;/&gt;&lt;wsp:rsid wsp:val=&quot;00486356&quot;/&gt;&lt;wsp:rsid wsp:val=&quot;004866AD&quot;/&gt;&lt;wsp:rsid wsp:val=&quot;004867DD&quot;/&gt;&lt;wsp:rsid wsp:val=&quot;00486AD0&quot;/&gt;&lt;wsp:rsid wsp:val=&quot;00487522&quot;/&gt;&lt;wsp:rsid wsp:val=&quot;0049000B&quot;/&gt;&lt;wsp:rsid wsp:val=&quot;00490441&quot;/&gt;&lt;wsp:rsid wsp:val=&quot;00490484&quot;/&gt;&lt;wsp:rsid wsp:val=&quot;00490623&quot;/&gt;&lt;wsp:rsid wsp:val=&quot;004907EA&quot;/&gt;&lt;wsp:rsid wsp:val=&quot;00491CDA&quot;/&gt;&lt;wsp:rsid wsp:val=&quot;00492703&quot;/&gt;&lt;wsp:rsid wsp:val=&quot;004927E1&quot;/&gt;&lt;wsp:rsid wsp:val=&quot;00492D91&quot;/&gt;&lt;wsp:rsid wsp:val=&quot;004930A9&quot;/&gt;&lt;wsp:rsid wsp:val=&quot;00493387&quot;/&gt;&lt;wsp:rsid wsp:val=&quot;0049428B&quot;/&gt;&lt;wsp:rsid wsp:val=&quot;004946B6&quot;/&gt;&lt;wsp:rsid wsp:val=&quot;00494A65&quot;/&gt;&lt;wsp:rsid wsp:val=&quot;004956E6&quot;/&gt;&lt;wsp:rsid wsp:val=&quot;00495ABD&quot;/&gt;&lt;wsp:rsid wsp:val=&quot;00495F9B&quot;/&gt;&lt;wsp:rsid wsp:val=&quot;004963E7&quot;/&gt;&lt;wsp:rsid wsp:val=&quot;00496A96&quot;/&gt;&lt;wsp:rsid wsp:val=&quot;00496BA8&quot;/&gt;&lt;wsp:rsid wsp:val=&quot;00496D0B&quot;/&gt;&lt;wsp:rsid wsp:val=&quot;0049727F&quot;/&gt;&lt;wsp:rsid wsp:val=&quot;0049746B&quot;/&gt;&lt;wsp:rsid wsp:val=&quot;00497AE2&quot;/&gt;&lt;wsp:rsid wsp:val=&quot;004A0094&quot;/&gt;&lt;wsp:rsid wsp:val=&quot;004A01EC&quot;/&gt;&lt;wsp:rsid wsp:val=&quot;004A0756&quot;/&gt;&lt;wsp:rsid wsp:val=&quot;004A076C&quot;/&gt;&lt;wsp:rsid wsp:val=&quot;004A145B&quot;/&gt;&lt;wsp:rsid wsp:val=&quot;004A14DF&quot;/&gt;&lt;wsp:rsid wsp:val=&quot;004A1978&quot;/&gt;&lt;wsp:rsid wsp:val=&quot;004A1A75&quot;/&gt;&lt;wsp:rsid wsp:val=&quot;004A2234&quot;/&gt;&lt;wsp:rsid wsp:val=&quot;004A26D0&quot;/&gt;&lt;wsp:rsid wsp:val=&quot;004A2947&quot;/&gt;&lt;wsp:rsid wsp:val=&quot;004A295B&quot;/&gt;&lt;wsp:rsid wsp:val=&quot;004A2F95&quot;/&gt;&lt;wsp:rsid wsp:val=&quot;004A35DD&quot;/&gt;&lt;wsp:rsid wsp:val=&quot;004A3A0B&quot;/&gt;&lt;wsp:rsid wsp:val=&quot;004A42CA&quot;/&gt;&lt;wsp:rsid wsp:val=&quot;004A47EE&quot;/&gt;&lt;wsp:rsid wsp:val=&quot;004A4EB8&quot;/&gt;&lt;wsp:rsid wsp:val=&quot;004A4F64&quot;/&gt;&lt;wsp:rsid wsp:val=&quot;004A55C8&quot;/&gt;&lt;wsp:rsid wsp:val=&quot;004A5620&quot;/&gt;&lt;wsp:rsid wsp:val=&quot;004A57C4&quot;/&gt;&lt;wsp:rsid wsp:val=&quot;004A5EE8&quot;/&gt;&lt;wsp:rsid wsp:val=&quot;004A5F83&quot;/&gt;&lt;wsp:rsid wsp:val=&quot;004A6E01&quot;/&gt;&lt;wsp:rsid wsp:val=&quot;004A704E&quot;/&gt;&lt;wsp:rsid wsp:val=&quot;004A775E&quot;/&gt;&lt;wsp:rsid wsp:val=&quot;004A77C1&quot;/&gt;&lt;wsp:rsid wsp:val=&quot;004B0414&quot;/&gt;&lt;wsp:rsid wsp:val=&quot;004B0911&quot;/&gt;&lt;wsp:rsid wsp:val=&quot;004B0B74&quot;/&gt;&lt;wsp:rsid wsp:val=&quot;004B0E9E&quot;/&gt;&lt;wsp:rsid wsp:val=&quot;004B0EA4&quot;/&gt;&lt;wsp:rsid wsp:val=&quot;004B20C4&quot;/&gt;&lt;wsp:rsid wsp:val=&quot;004B2516&quot;/&gt;&lt;wsp:rsid wsp:val=&quot;004B26EA&quot;/&gt;&lt;wsp:rsid wsp:val=&quot;004B2C32&quot;/&gt;&lt;wsp:rsid wsp:val=&quot;004B318F&quot;/&gt;&lt;wsp:rsid wsp:val=&quot;004B35F2&quot;/&gt;&lt;wsp:rsid wsp:val=&quot;004B379F&quot;/&gt;&lt;wsp:rsid wsp:val=&quot;004B383E&quot;/&gt;&lt;wsp:rsid wsp:val=&quot;004B3B88&quot;/&gt;&lt;wsp:rsid wsp:val=&quot;004B41F8&quot;/&gt;&lt;wsp:rsid wsp:val=&quot;004B44FB&quot;/&gt;&lt;wsp:rsid wsp:val=&quot;004B4633&quot;/&gt;&lt;wsp:rsid wsp:val=&quot;004B4AAC&quot;/&gt;&lt;wsp:rsid wsp:val=&quot;004B5012&quot;/&gt;&lt;wsp:rsid wsp:val=&quot;004B50D4&quot;/&gt;&lt;wsp:rsid wsp:val=&quot;004B50E4&quot;/&gt;&lt;wsp:rsid wsp:val=&quot;004B565B&quot;/&gt;&lt;wsp:rsid wsp:val=&quot;004B5771&quot;/&gt;&lt;wsp:rsid wsp:val=&quot;004B6183&quot;/&gt;&lt;wsp:rsid wsp:val=&quot;004B6226&quot;/&gt;&lt;wsp:rsid wsp:val=&quot;004B6F7B&quot;/&gt;&lt;wsp:rsid wsp:val=&quot;004B710C&quot;/&gt;&lt;wsp:rsid wsp:val=&quot;004B769F&quot;/&gt;&lt;wsp:rsid wsp:val=&quot;004B79C8&quot;/&gt;&lt;wsp:rsid wsp:val=&quot;004B7B4E&quot;/&gt;&lt;wsp:rsid wsp:val=&quot;004B7F89&quot;/&gt;&lt;wsp:rsid wsp:val=&quot;004B7FC4&quot;/&gt;&lt;wsp:rsid wsp:val=&quot;004C0205&quot;/&gt;&lt;wsp:rsid wsp:val=&quot;004C05B7&quot;/&gt;&lt;wsp:rsid wsp:val=&quot;004C06DD&quot;/&gt;&lt;wsp:rsid wsp:val=&quot;004C0873&quot;/&gt;&lt;wsp:rsid wsp:val=&quot;004C09CB&quot;/&gt;&lt;wsp:rsid wsp:val=&quot;004C0B23&quot;/&gt;&lt;wsp:rsid wsp:val=&quot;004C0EEA&quot;/&gt;&lt;wsp:rsid wsp:val=&quot;004C0FC1&quot;/&gt;&lt;wsp:rsid wsp:val=&quot;004C1286&quot;/&gt;&lt;wsp:rsid wsp:val=&quot;004C157D&quot;/&gt;&lt;wsp:rsid wsp:val=&quot;004C17AA&quot;/&gt;&lt;wsp:rsid wsp:val=&quot;004C21B4&quot;/&gt;&lt;wsp:rsid wsp:val=&quot;004C29DD&quot;/&gt;&lt;wsp:rsid wsp:val=&quot;004C2D9F&quot;/&gt;&lt;wsp:rsid wsp:val=&quot;004C30F1&quot;/&gt;&lt;wsp:rsid wsp:val=&quot;004C3224&quot;/&gt;&lt;wsp:rsid wsp:val=&quot;004C3756&quot;/&gt;&lt;wsp:rsid wsp:val=&quot;004C3994&quot;/&gt;&lt;wsp:rsid wsp:val=&quot;004C430B&quot;/&gt;&lt;wsp:rsid wsp:val=&quot;004C4648&quot;/&gt;&lt;wsp:rsid wsp:val=&quot;004C4837&quot;/&gt;&lt;wsp:rsid wsp:val=&quot;004C49F8&quot;/&gt;&lt;wsp:rsid wsp:val=&quot;004C4A84&quot;/&gt;&lt;wsp:rsid wsp:val=&quot;004C5203&quot;/&gt;&lt;wsp:rsid wsp:val=&quot;004C5E09&quot;/&gt;&lt;wsp:rsid wsp:val=&quot;004C5E1C&quot;/&gt;&lt;wsp:rsid wsp:val=&quot;004C6033&quot;/&gt;&lt;wsp:rsid wsp:val=&quot;004C6EC4&quot;/&gt;&lt;wsp:rsid wsp:val=&quot;004C6F64&quot;/&gt;&lt;wsp:rsid wsp:val=&quot;004C7873&quot;/&gt;&lt;wsp:rsid wsp:val=&quot;004C7E44&quot;/&gt;&lt;wsp:rsid wsp:val=&quot;004D026F&quot;/&gt;&lt;wsp:rsid wsp:val=&quot;004D0396&quot;/&gt;&lt;wsp:rsid wsp:val=&quot;004D084D&quot;/&gt;&lt;wsp:rsid wsp:val=&quot;004D138E&quot;/&gt;&lt;wsp:rsid wsp:val=&quot;004D1B28&quot;/&gt;&lt;wsp:rsid wsp:val=&quot;004D1DFA&quot;/&gt;&lt;wsp:rsid wsp:val=&quot;004D2AE7&quot;/&gt;&lt;wsp:rsid wsp:val=&quot;004D2EDA&quot;/&gt;&lt;wsp:rsid wsp:val=&quot;004D3490&quot;/&gt;&lt;wsp:rsid wsp:val=&quot;004D363F&quot;/&gt;&lt;wsp:rsid wsp:val=&quot;004D3E14&quot;/&gt;&lt;wsp:rsid wsp:val=&quot;004D401D&quot;/&gt;&lt;wsp:rsid wsp:val=&quot;004D469F&quot;/&gt;&lt;wsp:rsid wsp:val=&quot;004D49B5&quot;/&gt;&lt;wsp:rsid wsp:val=&quot;004D5903&quot;/&gt;&lt;wsp:rsid wsp:val=&quot;004D5B7D&quot;/&gt;&lt;wsp:rsid wsp:val=&quot;004D5E0E&quot;/&gt;&lt;wsp:rsid wsp:val=&quot;004D5F54&quot;/&gt;&lt;wsp:rsid wsp:val=&quot;004D6517&quot;/&gt;&lt;wsp:rsid wsp:val=&quot;004D6817&quot;/&gt;&lt;wsp:rsid wsp:val=&quot;004D68B0&quot;/&gt;&lt;wsp:rsid wsp:val=&quot;004D6945&quot;/&gt;&lt;wsp:rsid wsp:val=&quot;004D6A97&quot;/&gt;&lt;wsp:rsid wsp:val=&quot;004D706D&quot;/&gt;&lt;wsp:rsid wsp:val=&quot;004D7638&quot;/&gt;&lt;wsp:rsid wsp:val=&quot;004E0169&quot;/&gt;&lt;wsp:rsid wsp:val=&quot;004E0422&quot;/&gt;&lt;wsp:rsid wsp:val=&quot;004E0447&quot;/&gt;&lt;wsp:rsid wsp:val=&quot;004E0717&quot;/&gt;&lt;wsp:rsid wsp:val=&quot;004E0832&quot;/&gt;&lt;wsp:rsid wsp:val=&quot;004E08C1&quot;/&gt;&lt;wsp:rsid wsp:val=&quot;004E0D19&quot;/&gt;&lt;wsp:rsid wsp:val=&quot;004E0DA8&quot;/&gt;&lt;wsp:rsid wsp:val=&quot;004E0F0D&quot;/&gt;&lt;wsp:rsid wsp:val=&quot;004E1368&quot;/&gt;&lt;wsp:rsid wsp:val=&quot;004E14B9&quot;/&gt;&lt;wsp:rsid wsp:val=&quot;004E17AB&quot;/&gt;&lt;wsp:rsid wsp:val=&quot;004E17CE&quot;/&gt;&lt;wsp:rsid wsp:val=&quot;004E19B3&quot;/&gt;&lt;wsp:rsid wsp:val=&quot;004E1C8A&quot;/&gt;&lt;wsp:rsid wsp:val=&quot;004E2107&quot;/&gt;&lt;wsp:rsid wsp:val=&quot;004E2744&quot;/&gt;&lt;wsp:rsid wsp:val=&quot;004E2787&quot;/&gt;&lt;wsp:rsid wsp:val=&quot;004E2E2D&quot;/&gt;&lt;wsp:rsid wsp:val=&quot;004E3174&quot;/&gt;&lt;wsp:rsid wsp:val=&quot;004E34E1&quot;/&gt;&lt;wsp:rsid wsp:val=&quot;004E4054&quot;/&gt;&lt;wsp:rsid wsp:val=&quot;004E4C7F&quot;/&gt;&lt;wsp:rsid wsp:val=&quot;004E4D16&quot;/&gt;&lt;wsp:rsid wsp:val=&quot;004E571C&quot;/&gt;&lt;wsp:rsid wsp:val=&quot;004E5DE2&quot;/&gt;&lt;wsp:rsid wsp:val=&quot;004E6225&quot;/&gt;&lt;wsp:rsid wsp:val=&quot;004E63D8&quot;/&gt;&lt;wsp:rsid wsp:val=&quot;004E676C&quot;/&gt;&lt;wsp:rsid wsp:val=&quot;004E6B09&quot;/&gt;&lt;wsp:rsid wsp:val=&quot;004E7E57&quot;/&gt;&lt;wsp:rsid wsp:val=&quot;004E7EE9&quot;/&gt;&lt;wsp:rsid wsp:val=&quot;004F04C6&quot;/&gt;&lt;wsp:rsid wsp:val=&quot;004F128F&quot;/&gt;&lt;wsp:rsid wsp:val=&quot;004F1535&quot;/&gt;&lt;wsp:rsid wsp:val=&quot;004F1CBC&quot;/&gt;&lt;wsp:rsid wsp:val=&quot;004F229D&quot;/&gt;&lt;wsp:rsid wsp:val=&quot;004F28D3&quot;/&gt;&lt;wsp:rsid wsp:val=&quot;004F2DA5&quot;/&gt;&lt;wsp:rsid wsp:val=&quot;004F304E&quot;/&gt;&lt;wsp:rsid wsp:val=&quot;004F396E&quot;/&gt;&lt;wsp:rsid wsp:val=&quot;004F3B0A&quot;/&gt;&lt;wsp:rsid wsp:val=&quot;004F3D7E&quot;/&gt;&lt;wsp:rsid wsp:val=&quot;004F45DC&quot;/&gt;&lt;wsp:rsid wsp:val=&quot;004F4761&quot;/&gt;&lt;wsp:rsid wsp:val=&quot;004F4BB8&quot;/&gt;&lt;wsp:rsid wsp:val=&quot;004F4DD3&quot;/&gt;&lt;wsp:rsid wsp:val=&quot;004F51F0&quot;/&gt;&lt;wsp:rsid wsp:val=&quot;004F52A1&quot;/&gt;&lt;wsp:rsid wsp:val=&quot;004F565E&quot;/&gt;&lt;wsp:rsid wsp:val=&quot;004F64D9&quot;/&gt;&lt;wsp:rsid wsp:val=&quot;004F6683&quot;/&gt;&lt;wsp:rsid wsp:val=&quot;004F67C7&quot;/&gt;&lt;wsp:rsid wsp:val=&quot;004F67E8&quot;/&gt;&lt;wsp:rsid wsp:val=&quot;004F69BE&quot;/&gt;&lt;wsp:rsid wsp:val=&quot;004F6A6F&quot;/&gt;&lt;wsp:rsid wsp:val=&quot;004F6BC4&quot;/&gt;&lt;wsp:rsid wsp:val=&quot;004F7188&quot;/&gt;&lt;wsp:rsid wsp:val=&quot;004F7337&quot;/&gt;&lt;wsp:rsid wsp:val=&quot;004F734E&quot;/&gt;&lt;wsp:rsid wsp:val=&quot;004F7525&quot;/&gt;&lt;wsp:rsid wsp:val=&quot;004F7F67&quot;/&gt;&lt;wsp:rsid wsp:val=&quot;005000B9&quot;/&gt;&lt;wsp:rsid wsp:val=&quot;00500673&quot;/&gt;&lt;wsp:rsid wsp:val=&quot;00500A0D&quot;/&gt;&lt;wsp:rsid wsp:val=&quot;00501591&quot;/&gt;&lt;wsp:rsid wsp:val=&quot;005018B8&quot;/&gt;&lt;wsp:rsid wsp:val=&quot;00501A86&quot;/&gt;&lt;wsp:rsid wsp:val=&quot;00501C97&quot;/&gt;&lt;wsp:rsid wsp:val=&quot;005029F1&quot;/&gt;&lt;wsp:rsid wsp:val=&quot;00503389&quot;/&gt;&lt;wsp:rsid wsp:val=&quot;005034A7&quot;/&gt;&lt;wsp:rsid wsp:val=&quot;00504578&quot;/&gt;&lt;wsp:rsid wsp:val=&quot;005046E1&quot;/&gt;&lt;wsp:rsid wsp:val=&quot;005049B5&quot;/&gt;&lt;wsp:rsid wsp:val=&quot;00504BCC&quot;/&gt;&lt;wsp:rsid wsp:val=&quot;005052FF&quot;/&gt;&lt;wsp:rsid wsp:val=&quot;0050544B&quot;/&gt;&lt;wsp:rsid wsp:val=&quot;005057A4&quot;/&gt;&lt;wsp:rsid wsp:val=&quot;00505992&quot;/&gt;&lt;wsp:rsid wsp:val=&quot;00505C46&quot;/&gt;&lt;wsp:rsid wsp:val=&quot;005066BE&quot;/&gt;&lt;wsp:rsid wsp:val=&quot;00506852&quot;/&gt;&lt;wsp:rsid wsp:val=&quot;00506913&quot;/&gt;&lt;wsp:rsid wsp:val=&quot;00506ABB&quot;/&gt;&lt;wsp:rsid wsp:val=&quot;00506FDE&quot;/&gt;&lt;wsp:rsid wsp:val=&quot;00507686&quot;/&gt;&lt;wsp:rsid wsp:val=&quot;00507C7E&quot;/&gt;&lt;wsp:rsid wsp:val=&quot;00507E65&quot;/&gt;&lt;wsp:rsid wsp:val=&quot;00510028&quot;/&gt;&lt;wsp:rsid wsp:val=&quot;00510685&quot;/&gt;&lt;wsp:rsid wsp:val=&quot;00510A02&quot;/&gt;&lt;wsp:rsid wsp:val=&quot;00511421&quot;/&gt;&lt;wsp:rsid wsp:val=&quot;00511485&quot;/&gt;&lt;wsp:rsid wsp:val=&quot;00511503&quot;/&gt;&lt;wsp:rsid wsp:val=&quot;00511690&quot;/&gt;&lt;wsp:rsid wsp:val=&quot;005116D5&quot;/&gt;&lt;wsp:rsid wsp:val=&quot;0051198C&quot;/&gt;&lt;wsp:rsid wsp:val=&quot;00511EA7&quot;/&gt;&lt;wsp:rsid wsp:val=&quot;00511FBB&quot;/&gt;&lt;wsp:rsid wsp:val=&quot;00511FCE&quot;/&gt;&lt;wsp:rsid wsp:val=&quot;0051234A&quot;/&gt;&lt;wsp:rsid wsp:val=&quot;00512BB6&quot;/&gt;&lt;wsp:rsid wsp:val=&quot;00512FD8&quot;/&gt;&lt;wsp:rsid wsp:val=&quot;00513324&quot;/&gt;&lt;wsp:rsid wsp:val=&quot;0051374C&quot;/&gt;&lt;wsp:rsid wsp:val=&quot;0051383D&quot;/&gt;&lt;wsp:rsid wsp:val=&quot;00513FA4&quot;/&gt;&lt;wsp:rsid wsp:val=&quot;00514400&quot;/&gt;&lt;wsp:rsid wsp:val=&quot;00514D4E&quot;/&gt;&lt;wsp:rsid wsp:val=&quot;005154E4&quot;/&gt;&lt;wsp:rsid wsp:val=&quot;005155FA&quot;/&gt;&lt;wsp:rsid wsp:val=&quot;00515ADA&quot;/&gt;&lt;wsp:rsid wsp:val=&quot;00515D2C&quot;/&gt;&lt;wsp:rsid wsp:val=&quot;00515D4C&quot;/&gt;&lt;wsp:rsid wsp:val=&quot;005160D8&quot;/&gt;&lt;wsp:rsid wsp:val=&quot;005161B6&quot;/&gt;&lt;wsp:rsid wsp:val=&quot;005163DF&quot;/&gt;&lt;wsp:rsid wsp:val=&quot;00516DF1&quot;/&gt;&lt;wsp:rsid wsp:val=&quot;00517152&quot;/&gt;&lt;wsp:rsid wsp:val=&quot;005172DF&quot;/&gt;&lt;wsp:rsid wsp:val=&quot;005177AA&quot;/&gt;&lt;wsp:rsid wsp:val=&quot;0052006D&quot;/&gt;&lt;wsp:rsid wsp:val=&quot;005201C2&quot;/&gt;&lt;wsp:rsid wsp:val=&quot;00520351&quot;/&gt;&lt;wsp:rsid wsp:val=&quot;00520ADC&quot;/&gt;&lt;wsp:rsid wsp:val=&quot;005210BA&quot;/&gt;&lt;wsp:rsid wsp:val=&quot;005217D0&quot;/&gt;&lt;wsp:rsid wsp:val=&quot;00521889&quot;/&gt;&lt;wsp:rsid wsp:val=&quot;00521B4E&quot;/&gt;&lt;wsp:rsid wsp:val=&quot;005220FF&quot;/&gt;&lt;wsp:rsid wsp:val=&quot;00522530&quot;/&gt;&lt;wsp:rsid wsp:val=&quot;0052265C&quot;/&gt;&lt;wsp:rsid wsp:val=&quot;00522AC2&quot;/&gt;&lt;wsp:rsid wsp:val=&quot;00522B68&quot;/&gt;&lt;wsp:rsid wsp:val=&quot;00522E96&quot;/&gt;&lt;wsp:rsid wsp:val=&quot;00522F01&quot;/&gt;&lt;wsp:rsid wsp:val=&quot;0052306E&quot;/&gt;&lt;wsp:rsid wsp:val=&quot;00523087&quot;/&gt;&lt;wsp:rsid wsp:val=&quot;005232B4&quot;/&gt;&lt;wsp:rsid wsp:val=&quot;00523897&quot;/&gt;&lt;wsp:rsid wsp:val=&quot;005238B7&quot;/&gt;&lt;wsp:rsid wsp:val=&quot;00523F9C&quot;/&gt;&lt;wsp:rsid wsp:val=&quot;00523FE9&quot;/&gt;&lt;wsp:rsid wsp:val=&quot;00524F9F&quot;/&gt;&lt;wsp:rsid wsp:val=&quot;00524FB5&quot;/&gt;&lt;wsp:rsid wsp:val=&quot;005250B5&quot;/&gt;&lt;wsp:rsid wsp:val=&quot;00525355&quot;/&gt;&lt;wsp:rsid wsp:val=&quot;00525772&quot;/&gt;&lt;wsp:rsid wsp:val=&quot;00525F53&quot;/&gt;&lt;wsp:rsid wsp:val=&quot;0052645A&quot;/&gt;&lt;wsp:rsid wsp:val=&quot;005269D2&quot;/&gt;&lt;wsp:rsid wsp:val=&quot;00526A8F&quot;/&gt;&lt;wsp:rsid wsp:val=&quot;00526EB2&quot;/&gt;&lt;wsp:rsid wsp:val=&quot;00526FFB&quot;/&gt;&lt;wsp:rsid wsp:val=&quot;00527045&quot;/&gt;&lt;wsp:rsid wsp:val=&quot;0052715F&quot;/&gt;&lt;wsp:rsid wsp:val=&quot;00527837&quot;/&gt;&lt;wsp:rsid wsp:val=&quot;005278BC&quot;/&gt;&lt;wsp:rsid wsp:val=&quot;00527F76&quot;/&gt;&lt;wsp:rsid wsp:val=&quot;00527F7A&quot;/&gt;&lt;wsp:rsid wsp:val=&quot;00530415&quot;/&gt;&lt;wsp:rsid wsp:val=&quot;00530898&quot;/&gt;&lt;wsp:rsid wsp:val=&quot;00530B3C&quot;/&gt;&lt;wsp:rsid wsp:val=&quot;00531061&quot;/&gt;&lt;wsp:rsid wsp:val=&quot;005318C5&quot;/&gt;&lt;wsp:rsid wsp:val=&quot;00531A3B&quot;/&gt;&lt;wsp:rsid wsp:val=&quot;005327D2&quot;/&gt;&lt;wsp:rsid wsp:val=&quot;00532C13&quot;/&gt;&lt;wsp:rsid wsp:val=&quot;00533370&quot;/&gt;&lt;wsp:rsid wsp:val=&quot;00534107&quot;/&gt;&lt;wsp:rsid wsp:val=&quot;0053539C&quot;/&gt;&lt;wsp:rsid wsp:val=&quot;005354BA&quot;/&gt;&lt;wsp:rsid wsp:val=&quot;00535532&quot;/&gt;&lt;wsp:rsid wsp:val=&quot;00535E42&quot;/&gt;&lt;wsp:rsid wsp:val=&quot;00536268&quot;/&gt;&lt;wsp:rsid wsp:val=&quot;005362D8&quot;/&gt;&lt;wsp:rsid wsp:val=&quot;00536350&quot;/&gt;&lt;wsp:rsid wsp:val=&quot;00536761&quot;/&gt;&lt;wsp:rsid wsp:val=&quot;00537367&quot;/&gt;&lt;wsp:rsid wsp:val=&quot;0053769F&quot;/&gt;&lt;wsp:rsid wsp:val=&quot;005376F7&quot;/&gt;&lt;wsp:rsid wsp:val=&quot;00537FEA&quot;/&gt;&lt;wsp:rsid wsp:val=&quot;00540021&quot;/&gt;&lt;wsp:rsid wsp:val=&quot;00540ED3&quot;/&gt;&lt;wsp:rsid wsp:val=&quot;00540F86&quot;/&gt;&lt;wsp:rsid wsp:val=&quot;00540FA6&quot;/&gt;&lt;wsp:rsid wsp:val=&quot;005415A9&quot;/&gt;&lt;wsp:rsid wsp:val=&quot;0054187E&quot;/&gt;&lt;wsp:rsid wsp:val=&quot;00541974&quot;/&gt;&lt;wsp:rsid wsp:val=&quot;005419B7&quot;/&gt;&lt;wsp:rsid wsp:val=&quot;00541BA3&quot;/&gt;&lt;wsp:rsid wsp:val=&quot;00541BFF&quot;/&gt;&lt;wsp:rsid wsp:val=&quot;00541E07&quot;/&gt;&lt;wsp:rsid wsp:val=&quot;005420FB&quot;/&gt;&lt;wsp:rsid wsp:val=&quot;005427D9&quot;/&gt;&lt;wsp:rsid wsp:val=&quot;005429F0&quot;/&gt;&lt;wsp:rsid wsp:val=&quot;00542C94&quot;/&gt;&lt;wsp:rsid wsp:val=&quot;0054313E&quot;/&gt;&lt;wsp:rsid wsp:val=&quot;00543202&quot;/&gt;&lt;wsp:rsid wsp:val=&quot;0054349E&quot;/&gt;&lt;wsp:rsid wsp:val=&quot;005435FF&quot;/&gt;&lt;wsp:rsid wsp:val=&quot;00544054&quot;/&gt;&lt;wsp:rsid wsp:val=&quot;0054413A&quot;/&gt;&lt;wsp:rsid wsp:val=&quot;00544175&quot;/&gt;&lt;wsp:rsid wsp:val=&quot;00544A2D&quot;/&gt;&lt;wsp:rsid wsp:val=&quot;00544B35&quot;/&gt;&lt;wsp:rsid wsp:val=&quot;005452E9&quot;/&gt;&lt;wsp:rsid wsp:val=&quot;005455D3&quot;/&gt;&lt;wsp:rsid wsp:val=&quot;00545672&quot;/&gt;&lt;wsp:rsid wsp:val=&quot;00545B3F&quot;/&gt;&lt;wsp:rsid wsp:val=&quot;00545C7C&quot;/&gt;&lt;wsp:rsid wsp:val=&quot;005465A8&quot;/&gt;&lt;wsp:rsid wsp:val=&quot;00546DC6&quot;/&gt;&lt;wsp:rsid wsp:val=&quot;00546EB4&quot;/&gt;&lt;wsp:rsid wsp:val=&quot;00547404&quot;/&gt;&lt;wsp:rsid wsp:val=&quot;00547CE2&quot;/&gt;&lt;wsp:rsid wsp:val=&quot;00550120&quot;/&gt;&lt;wsp:rsid wsp:val=&quot;00550AC8&quot;/&gt;&lt;wsp:rsid wsp:val=&quot;00551029&quot;/&gt;&lt;wsp:rsid wsp:val=&quot;00551222&quot;/&gt;&lt;wsp:rsid wsp:val=&quot;005514AC&quot;/&gt;&lt;wsp:rsid wsp:val=&quot;0055166F&quot;/&gt;&lt;wsp:rsid wsp:val=&quot;0055172F&quot;/&gt;&lt;wsp:rsid wsp:val=&quot;0055178F&quot;/&gt;&lt;wsp:rsid wsp:val=&quot;00551B23&quot;/&gt;&lt;wsp:rsid wsp:val=&quot;00552951&quot;/&gt;&lt;wsp:rsid wsp:val=&quot;00552E12&quot;/&gt;&lt;wsp:rsid wsp:val=&quot;00553073&quot;/&gt;&lt;wsp:rsid wsp:val=&quot;00553660&quot;/&gt;&lt;wsp:rsid wsp:val=&quot;005539B7&quot;/&gt;&lt;wsp:rsid wsp:val=&quot;005546C4&quot;/&gt;&lt;wsp:rsid wsp:val=&quot;00554C03&quot;/&gt;&lt;wsp:rsid wsp:val=&quot;005552F6&quot;/&gt;&lt;wsp:rsid wsp:val=&quot;00555654&quot;/&gt;&lt;wsp:rsid wsp:val=&quot;0055588C&quot;/&gt;&lt;wsp:rsid wsp:val=&quot;00555976&quot;/&gt;&lt;wsp:rsid wsp:val=&quot;005559C9&quot;/&gt;&lt;wsp:rsid wsp:val=&quot;00555DF8&quot;/&gt;&lt;wsp:rsid wsp:val=&quot;00556014&quot;/&gt;&lt;wsp:rsid wsp:val=&quot;005562E2&quot;/&gt;&lt;wsp:rsid wsp:val=&quot;005565DB&quot;/&gt;&lt;wsp:rsid wsp:val=&quot;00556E18&quot;/&gt;&lt;wsp:rsid wsp:val=&quot;00556F27&quot;/&gt;&lt;wsp:rsid wsp:val=&quot;00556FB4&quot;/&gt;&lt;wsp:rsid wsp:val=&quot;00557513&quot;/&gt;&lt;wsp:rsid wsp:val=&quot;005577B8&quot;/&gt;&lt;wsp:rsid wsp:val=&quot;00557AD0&quot;/&gt;&lt;wsp:rsid wsp:val=&quot;00557BA8&quot;/&gt;&lt;wsp:rsid wsp:val=&quot;0056092E&quot;/&gt;&lt;wsp:rsid wsp:val=&quot;00561017&quot;/&gt;&lt;wsp:rsid wsp:val=&quot;0056167C&quot;/&gt;&lt;wsp:rsid wsp:val=&quot;00561706&quot;/&gt;&lt;wsp:rsid wsp:val=&quot;00561DA1&quot;/&gt;&lt;wsp:rsid wsp:val=&quot;00561F95&quot;/&gt;&lt;wsp:rsid wsp:val=&quot;0056285A&quot;/&gt;&lt;wsp:rsid wsp:val=&quot;00562E0B&quot;/&gt;&lt;wsp:rsid wsp:val=&quot;0056337D&quot;/&gt;&lt;wsp:rsid wsp:val=&quot;00563832&quot;/&gt;&lt;wsp:rsid wsp:val=&quot;005638F7&quot;/&gt;&lt;wsp:rsid wsp:val=&quot;00563A6B&quot;/&gt;&lt;wsp:rsid wsp:val=&quot;00563DE8&quot;/&gt;&lt;wsp:rsid wsp:val=&quot;0056411C&quot;/&gt;&lt;wsp:rsid wsp:val=&quot;00564210&quot;/&gt;&lt;wsp:rsid wsp:val=&quot;005653BB&quot;/&gt;&lt;wsp:rsid wsp:val=&quot;00565427&quot;/&gt;&lt;wsp:rsid wsp:val=&quot;0056562D&quot;/&gt;&lt;wsp:rsid wsp:val=&quot;00565883&quot;/&gt;&lt;wsp:rsid wsp:val=&quot;005662E7&quot;/&gt;&lt;wsp:rsid wsp:val=&quot;005663FA&quot;/&gt;&lt;wsp:rsid wsp:val=&quot;00566B7F&quot;/&gt;&lt;wsp:rsid wsp:val=&quot;00566C9D&quot;/&gt;&lt;wsp:rsid wsp:val=&quot;00566D0C&quot;/&gt;&lt;wsp:rsid wsp:val=&quot;00566F97&quot;/&gt;&lt;wsp:rsid wsp:val=&quot;0056761A&quot;/&gt;&lt;wsp:rsid wsp:val=&quot;00567E12&quot;/&gt;&lt;wsp:rsid wsp:val=&quot;00567F32&quot;/&gt;&lt;wsp:rsid wsp:val=&quot;00570150&quot;/&gt;&lt;wsp:rsid wsp:val=&quot;00570615&quot;/&gt;&lt;wsp:rsid wsp:val=&quot;005708C0&quot;/&gt;&lt;wsp:rsid wsp:val=&quot;005713EF&quot;/&gt;&lt;wsp:rsid wsp:val=&quot;00571C16&quot;/&gt;&lt;wsp:rsid wsp:val=&quot;00571CDC&quot;/&gt;&lt;wsp:rsid wsp:val=&quot;00572412&quot;/&gt;&lt;wsp:rsid wsp:val=&quot;005725AA&quot;/&gt;&lt;wsp:rsid wsp:val=&quot;00572C59&quot;/&gt;&lt;wsp:rsid wsp:val=&quot;005736DF&quot;/&gt;&lt;wsp:rsid wsp:val=&quot;005738C4&quot;/&gt;&lt;wsp:rsid wsp:val=&quot;0057453C&quot;/&gt;&lt;wsp:rsid wsp:val=&quot;005746A5&quot;/&gt;&lt;wsp:rsid wsp:val=&quot;00574E9F&quot;/&gt;&lt;wsp:rsid wsp:val=&quot;00574EB2&quot;/&gt;&lt;wsp:rsid wsp:val=&quot;005750FF&quot;/&gt;&lt;wsp:rsid wsp:val=&quot;00575781&quot;/&gt;&lt;wsp:rsid wsp:val=&quot;00575986&quot;/&gt;&lt;wsp:rsid wsp:val=&quot;005762FE&quot;/&gt;&lt;wsp:rsid wsp:val=&quot;005765AB&quot;/&gt;&lt;wsp:rsid wsp:val=&quot;00576679&quot;/&gt;&lt;wsp:rsid wsp:val=&quot;005766D0&quot;/&gt;&lt;wsp:rsid wsp:val=&quot;0057677F&quot;/&gt;&lt;wsp:rsid wsp:val=&quot;00576BC9&quot;/&gt;&lt;wsp:rsid wsp:val=&quot;005770B6&quot;/&gt;&lt;wsp:rsid wsp:val=&quot;00577A78&quot;/&gt;&lt;wsp:rsid wsp:val=&quot;00577E31&quot;/&gt;&lt;wsp:rsid wsp:val=&quot;0058063A&quot;/&gt;&lt;wsp:rsid wsp:val=&quot;00580E4D&quot;/&gt;&lt;wsp:rsid wsp:val=&quot;00581A0A&quot;/&gt;&lt;wsp:rsid wsp:val=&quot;00581DA5&quot;/&gt;&lt;wsp:rsid wsp:val=&quot;00581EAA&quot;/&gt;&lt;wsp:rsid wsp:val=&quot;005823CA&quot;/&gt;&lt;wsp:rsid wsp:val=&quot;0058267A&quot;/&gt;&lt;wsp:rsid wsp:val=&quot;00582928&quot;/&gt;&lt;wsp:rsid wsp:val=&quot;00582C0C&quot;/&gt;&lt;wsp:rsid wsp:val=&quot;00582D4D&quot;/&gt;&lt;wsp:rsid wsp:val=&quot;005837DF&quot;/&gt;&lt;wsp:rsid wsp:val=&quot;005838F8&quot;/&gt;&lt;wsp:rsid wsp:val=&quot;005849CA&quot;/&gt;&lt;wsp:rsid wsp:val=&quot;00584EF9&quot;/&gt;&lt;wsp:rsid wsp:val=&quot;0058500A&quot;/&gt;&lt;wsp:rsid wsp:val=&quot;00585304&quot;/&gt;&lt;wsp:rsid wsp:val=&quot;00585453&quot;/&gt;&lt;wsp:rsid wsp:val=&quot;00585765&quot;/&gt;&lt;wsp:rsid wsp:val=&quot;00585C38&quot;/&gt;&lt;wsp:rsid wsp:val=&quot;0058625F&quot;/&gt;&lt;wsp:rsid wsp:val=&quot;0058626E&quot;/&gt;&lt;wsp:rsid wsp:val=&quot;00586689&quot;/&gt;&lt;wsp:rsid wsp:val=&quot;00586DE9&quot;/&gt;&lt;wsp:rsid wsp:val=&quot;00587252&quot;/&gt;&lt;wsp:rsid wsp:val=&quot;00587373&quot;/&gt;&lt;wsp:rsid wsp:val=&quot;00587A4E&quot;/&gt;&lt;wsp:rsid wsp:val=&quot;00587C62&quot;/&gt;&lt;wsp:rsid wsp:val=&quot;00587CD8&quot;/&gt;&lt;wsp:rsid wsp:val=&quot;00587CEE&quot;/&gt;&lt;wsp:rsid wsp:val=&quot;005902D2&quot;/&gt;&lt;wsp:rsid wsp:val=&quot;00590B52&quot;/&gt;&lt;wsp:rsid wsp:val=&quot;0059103B&quot;/&gt;&lt;wsp:rsid wsp:val=&quot;0059196C&quot;/&gt;&lt;wsp:rsid wsp:val=&quot;00591C75&quot;/&gt;&lt;wsp:rsid wsp:val=&quot;005920AF&quot;/&gt;&lt;wsp:rsid wsp:val=&quot;005923E0&quot;/&gt;&lt;wsp:rsid wsp:val=&quot;005929DF&quot;/&gt;&lt;wsp:rsid wsp:val=&quot;00592B20&quot;/&gt;&lt;wsp:rsid wsp:val=&quot;0059338E&quot;/&gt;&lt;wsp:rsid wsp:val=&quot;00593474&quot;/&gt;&lt;wsp:rsid wsp:val=&quot;005935B7&quot;/&gt;&lt;wsp:rsid wsp:val=&quot;005936A9&quot;/&gt;&lt;wsp:rsid wsp:val=&quot;00593982&quot;/&gt;&lt;wsp:rsid wsp:val=&quot;00593BC6&quot;/&gt;&lt;wsp:rsid wsp:val=&quot;00594137&quot;/&gt;&lt;wsp:rsid wsp:val=&quot;00594373&quot;/&gt;&lt;wsp:rsid wsp:val=&quot;005946C3&quot;/&gt;&lt;wsp:rsid wsp:val=&quot;00594899&quot;/&gt;&lt;wsp:rsid wsp:val=&quot;005949EA&quot;/&gt;&lt;wsp:rsid wsp:val=&quot;00594EA5&quot;/&gt;&lt;wsp:rsid wsp:val=&quot;005951C3&quot;/&gt;&lt;wsp:rsid wsp:val=&quot;005954DD&quot;/&gt;&lt;wsp:rsid wsp:val=&quot;00595733&quot;/&gt;&lt;wsp:rsid wsp:val=&quot;00595BDA&quot;/&gt;&lt;wsp:rsid wsp:val=&quot;00595E0E&quot;/&gt;&lt;wsp:rsid wsp:val=&quot;00596139&quot;/&gt;&lt;wsp:rsid wsp:val=&quot;0059676F&quot;/&gt;&lt;wsp:rsid wsp:val=&quot;005969AE&quot;/&gt;&lt;wsp:rsid wsp:val=&quot;00596A76&quot;/&gt;&lt;wsp:rsid wsp:val=&quot;00596C06&quot;/&gt;&lt;wsp:rsid wsp:val=&quot;0059713C&quot;/&gt;&lt;wsp:rsid wsp:val=&quot;00597255&quot;/&gt;&lt;wsp:rsid wsp:val=&quot;0059748C&quot;/&gt;&lt;wsp:rsid wsp:val=&quot;00597572&quot;/&gt;&lt;wsp:rsid wsp:val=&quot;005A041B&quot;/&gt;&lt;wsp:rsid wsp:val=&quot;005A0436&quot;/&gt;&lt;wsp:rsid wsp:val=&quot;005A0ACC&quot;/&gt;&lt;wsp:rsid wsp:val=&quot;005A0FE6&quot;/&gt;&lt;wsp:rsid wsp:val=&quot;005A10A9&quot;/&gt;&lt;wsp:rsid wsp:val=&quot;005A1168&quot;/&gt;&lt;wsp:rsid wsp:val=&quot;005A11D8&quot;/&gt;&lt;wsp:rsid wsp:val=&quot;005A13C8&quot;/&gt;&lt;wsp:rsid wsp:val=&quot;005A172C&quot;/&gt;&lt;wsp:rsid wsp:val=&quot;005A1920&quot;/&gt;&lt;wsp:rsid wsp:val=&quot;005A1A58&quot;/&gt;&lt;wsp:rsid wsp:val=&quot;005A1BA4&quot;/&gt;&lt;wsp:rsid wsp:val=&quot;005A275F&quot;/&gt;&lt;wsp:rsid wsp:val=&quot;005A2777&quot;/&gt;&lt;wsp:rsid wsp:val=&quot;005A2BD9&quot;/&gt;&lt;wsp:rsid wsp:val=&quot;005A30E7&quot;/&gt;&lt;wsp:rsid wsp:val=&quot;005A35C6&quot;/&gt;&lt;wsp:rsid wsp:val=&quot;005A4122&quot;/&gt;&lt;wsp:rsid wsp:val=&quot;005A416E&quot;/&gt;&lt;wsp:rsid wsp:val=&quot;005A4799&quot;/&gt;&lt;wsp:rsid wsp:val=&quot;005A4BA9&quot;/&gt;&lt;wsp:rsid wsp:val=&quot;005A4EB6&quot;/&gt;&lt;wsp:rsid wsp:val=&quot;005A5C75&quot;/&gt;&lt;wsp:rsid wsp:val=&quot;005A5D0A&quot;/&gt;&lt;wsp:rsid wsp:val=&quot;005A6A87&quot;/&gt;&lt;wsp:rsid wsp:val=&quot;005A75E7&quot;/&gt;&lt;wsp:rsid wsp:val=&quot;005A78D9&quot;/&gt;&lt;wsp:rsid wsp:val=&quot;005A7988&quot;/&gt;&lt;wsp:rsid wsp:val=&quot;005A7AAA&quot;/&gt;&lt;wsp:rsid wsp:val=&quot;005A7D19&quot;/&gt;&lt;wsp:rsid wsp:val=&quot;005B0C80&quot;/&gt;&lt;wsp:rsid wsp:val=&quot;005B0DAB&quot;/&gt;&lt;wsp:rsid wsp:val=&quot;005B0ED5&quot;/&gt;&lt;wsp:rsid wsp:val=&quot;005B0FB4&quot;/&gt;&lt;wsp:rsid wsp:val=&quot;005B14A2&quot;/&gt;&lt;wsp:rsid wsp:val=&quot;005B20A8&quot;/&gt;&lt;wsp:rsid wsp:val=&quot;005B23E4&quot;/&gt;&lt;wsp:rsid wsp:val=&quot;005B267B&quot;/&gt;&lt;wsp:rsid wsp:val=&quot;005B2F77&quot;/&gt;&lt;wsp:rsid wsp:val=&quot;005B32BC&quot;/&gt;&lt;wsp:rsid wsp:val=&quot;005B3563&quot;/&gt;&lt;wsp:rsid wsp:val=&quot;005B3883&quot;/&gt;&lt;wsp:rsid wsp:val=&quot;005B46F0&quot;/&gt;&lt;wsp:rsid wsp:val=&quot;005B47BB&quot;/&gt;&lt;wsp:rsid wsp:val=&quot;005B48C2&quot;/&gt;&lt;wsp:rsid wsp:val=&quot;005B4AD6&quot;/&gt;&lt;wsp:rsid wsp:val=&quot;005B4DCF&quot;/&gt;&lt;wsp:rsid wsp:val=&quot;005B5254&quot;/&gt;&lt;wsp:rsid wsp:val=&quot;005B5822&quot;/&gt;&lt;wsp:rsid wsp:val=&quot;005B5889&quot;/&gt;&lt;wsp:rsid wsp:val=&quot;005B5A31&quot;/&gt;&lt;wsp:rsid wsp:val=&quot;005B5B83&quot;/&gt;&lt;wsp:rsid wsp:val=&quot;005B5CC5&quot;/&gt;&lt;wsp:rsid wsp:val=&quot;005B6747&quot;/&gt;&lt;wsp:rsid wsp:val=&quot;005B69BF&quot;/&gt;&lt;wsp:rsid wsp:val=&quot;005B6D69&quot;/&gt;&lt;wsp:rsid wsp:val=&quot;005B7683&quot;/&gt;&lt;wsp:rsid wsp:val=&quot;005B78FF&quot;/&gt;&lt;wsp:rsid wsp:val=&quot;005B7967&quot;/&gt;&lt;wsp:rsid wsp:val=&quot;005B7BE2&quot;/&gt;&lt;wsp:rsid wsp:val=&quot;005B7C3A&quot;/&gt;&lt;wsp:rsid wsp:val=&quot;005C0637&quot;/&gt;&lt;wsp:rsid wsp:val=&quot;005C0742&quot;/&gt;&lt;wsp:rsid wsp:val=&quot;005C0A88&quot;/&gt;&lt;wsp:rsid wsp:val=&quot;005C13D3&quot;/&gt;&lt;wsp:rsid wsp:val=&quot;005C1AAE&quot;/&gt;&lt;wsp:rsid wsp:val=&quot;005C2F23&quot;/&gt;&lt;wsp:rsid wsp:val=&quot;005C3016&quot;/&gt;&lt;wsp:rsid wsp:val=&quot;005C3162&quot;/&gt;&lt;wsp:rsid wsp:val=&quot;005C3C3A&quot;/&gt;&lt;wsp:rsid wsp:val=&quot;005C433D&quot;/&gt;&lt;wsp:rsid wsp:val=&quot;005C439B&quot;/&gt;&lt;wsp:rsid wsp:val=&quot;005C443B&quot;/&gt;&lt;wsp:rsid wsp:val=&quot;005C475E&quot;/&gt;&lt;wsp:rsid wsp:val=&quot;005C4988&quot;/&gt;&lt;wsp:rsid wsp:val=&quot;005C49ED&quot;/&gt;&lt;wsp:rsid wsp:val=&quot;005C4AA5&quot;/&gt;&lt;wsp:rsid wsp:val=&quot;005C5010&quot;/&gt;&lt;wsp:rsid wsp:val=&quot;005C5233&quot;/&gt;&lt;wsp:rsid wsp:val=&quot;005C59DE&quot;/&gt;&lt;wsp:rsid wsp:val=&quot;005C5ADF&quot;/&gt;&lt;wsp:rsid wsp:val=&quot;005C5E60&quot;/&gt;&lt;wsp:rsid wsp:val=&quot;005C6CA4&quot;/&gt;&lt;wsp:rsid wsp:val=&quot;005C6D6E&quot;/&gt;&lt;wsp:rsid wsp:val=&quot;005C6DC4&quot;/&gt;&lt;wsp:rsid wsp:val=&quot;005C7E2E&quot;/&gt;&lt;wsp:rsid wsp:val=&quot;005D03E7&quot;/&gt;&lt;wsp:rsid wsp:val=&quot;005D0A95&quot;/&gt;&lt;wsp:rsid wsp:val=&quot;005D11F8&quot;/&gt;&lt;wsp:rsid wsp:val=&quot;005D144F&quot;/&gt;&lt;wsp:rsid wsp:val=&quot;005D1605&quot;/&gt;&lt;wsp:rsid wsp:val=&quot;005D1E78&quot;/&gt;&lt;wsp:rsid wsp:val=&quot;005D1FA8&quot;/&gt;&lt;wsp:rsid wsp:val=&quot;005D2652&quot;/&gt;&lt;wsp:rsid wsp:val=&quot;005D2710&quot;/&gt;&lt;wsp:rsid wsp:val=&quot;005D3121&quot;/&gt;&lt;wsp:rsid wsp:val=&quot;005D36D8&quot;/&gt;&lt;wsp:rsid wsp:val=&quot;005D37DC&quot;/&gt;&lt;wsp:rsid wsp:val=&quot;005D383C&quot;/&gt;&lt;wsp:rsid wsp:val=&quot;005D39EA&quot;/&gt;&lt;wsp:rsid wsp:val=&quot;005D3A34&quot;/&gt;&lt;wsp:rsid wsp:val=&quot;005D3CBF&quot;/&gt;&lt;wsp:rsid wsp:val=&quot;005D4569&quot;/&gt;&lt;wsp:rsid wsp:val=&quot;005D49CB&quot;/&gt;&lt;wsp:rsid wsp:val=&quot;005D4DD2&quot;/&gt;&lt;wsp:rsid wsp:val=&quot;005D509D&quot;/&gt;&lt;wsp:rsid wsp:val=&quot;005D51B2&quot;/&gt;&lt;wsp:rsid wsp:val=&quot;005D51BA&quot;/&gt;&lt;wsp:rsid wsp:val=&quot;005D5C4A&quot;/&gt;&lt;wsp:rsid wsp:val=&quot;005D5F4A&quot;/&gt;&lt;wsp:rsid wsp:val=&quot;005D64BE&quot;/&gt;&lt;wsp:rsid wsp:val=&quot;005D6BED&quot;/&gt;&lt;wsp:rsid wsp:val=&quot;005D6D6A&quot;/&gt;&lt;wsp:rsid wsp:val=&quot;005D7240&quot;/&gt;&lt;wsp:rsid wsp:val=&quot;005D7B5D&quot;/&gt;&lt;wsp:rsid wsp:val=&quot;005D7DA5&quot;/&gt;&lt;wsp:rsid wsp:val=&quot;005E0705&quot;/&gt;&lt;wsp:rsid wsp:val=&quot;005E0864&quot;/&gt;&lt;wsp:rsid wsp:val=&quot;005E0BCA&quot;/&gt;&lt;wsp:rsid wsp:val=&quot;005E0C66&quot;/&gt;&lt;wsp:rsid wsp:val=&quot;005E0FAA&quot;/&gt;&lt;wsp:rsid wsp:val=&quot;005E13FE&quot;/&gt;&lt;wsp:rsid wsp:val=&quot;005E176B&quot;/&gt;&lt;wsp:rsid wsp:val=&quot;005E1BB6&quot;/&gt;&lt;wsp:rsid wsp:val=&quot;005E26E7&quot;/&gt;&lt;wsp:rsid wsp:val=&quot;005E2C4C&quot;/&gt;&lt;wsp:rsid wsp:val=&quot;005E33A1&quot;/&gt;&lt;wsp:rsid wsp:val=&quot;005E383D&quot;/&gt;&lt;wsp:rsid wsp:val=&quot;005E3A01&quot;/&gt;&lt;wsp:rsid wsp:val=&quot;005E410C&quot;/&gt;&lt;wsp:rsid wsp:val=&quot;005E4144&quot;/&gt;&lt;wsp:rsid wsp:val=&quot;005E4284&quot;/&gt;&lt;wsp:rsid wsp:val=&quot;005E4369&quot;/&gt;&lt;wsp:rsid wsp:val=&quot;005E43DC&quot;/&gt;&lt;wsp:rsid wsp:val=&quot;005E49C2&quot;/&gt;&lt;wsp:rsid wsp:val=&quot;005E4E91&quot;/&gt;&lt;wsp:rsid wsp:val=&quot;005E4EA3&quot;/&gt;&lt;wsp:rsid wsp:val=&quot;005E4F31&quot;/&gt;&lt;wsp:rsid wsp:val=&quot;005E573F&quot;/&gt;&lt;wsp:rsid wsp:val=&quot;005E5D90&quot;/&gt;&lt;wsp:rsid wsp:val=&quot;005E5D9C&quot;/&gt;&lt;wsp:rsid wsp:val=&quot;005E6424&quot;/&gt;&lt;wsp:rsid wsp:val=&quot;005E6D47&quot;/&gt;&lt;wsp:rsid wsp:val=&quot;005E72E6&quot;/&gt;&lt;wsp:rsid wsp:val=&quot;005E7AA1&quot;/&gt;&lt;wsp:rsid wsp:val=&quot;005E7E68&quot;/&gt;&lt;wsp:rsid wsp:val=&quot;005F1770&quot;/&gt;&lt;wsp:rsid wsp:val=&quot;005F239C&quot;/&gt;&lt;wsp:rsid wsp:val=&quot;005F23C1&quot;/&gt;&lt;wsp:rsid wsp:val=&quot;005F23C9&quot;/&gt;&lt;wsp:rsid wsp:val=&quot;005F24DF&quot;/&gt;&lt;wsp:rsid wsp:val=&quot;005F27C9&quot;/&gt;&lt;wsp:rsid wsp:val=&quot;005F2888&quot;/&gt;&lt;wsp:rsid wsp:val=&quot;005F2DBF&quot;/&gt;&lt;wsp:rsid wsp:val=&quot;005F3ABA&quot;/&gt;&lt;wsp:rsid wsp:val=&quot;005F4B22&quot;/&gt;&lt;wsp:rsid wsp:val=&quot;005F5810&quot;/&gt;&lt;wsp:rsid wsp:val=&quot;005F59D3&quot;/&gt;&lt;wsp:rsid wsp:val=&quot;005F5DF3&quot;/&gt;&lt;wsp:rsid wsp:val=&quot;005F691D&quot;/&gt;&lt;wsp:rsid wsp:val=&quot;005F6C83&quot;/&gt;&lt;wsp:rsid wsp:val=&quot;00600504&quot;/&gt;&lt;wsp:rsid wsp:val=&quot;00600829&quot;/&gt;&lt;wsp:rsid wsp:val=&quot;00600BEB&quot;/&gt;&lt;wsp:rsid wsp:val=&quot;0060170E&quot;/&gt;&lt;wsp:rsid wsp:val=&quot;006019FF&quot;/&gt;&lt;wsp:rsid wsp:val=&quot;00601CC9&quot;/&gt;&lt;wsp:rsid wsp:val=&quot;00602E33&quot;/&gt;&lt;wsp:rsid wsp:val=&quot;00602EBB&quot;/&gt;&lt;wsp:rsid wsp:val=&quot;00602ED2&quot;/&gt;&lt;wsp:rsid wsp:val=&quot;00603786&quot;/&gt;&lt;wsp:rsid wsp:val=&quot;00603D52&quot;/&gt;&lt;wsp:rsid wsp:val=&quot;0060448F&quot;/&gt;&lt;wsp:rsid wsp:val=&quot;0060460D&quot;/&gt;&lt;wsp:rsid wsp:val=&quot;00604A67&quot;/&gt;&lt;wsp:rsid wsp:val=&quot;00604DD2&quot;/&gt;&lt;wsp:rsid wsp:val=&quot;0060520D&quot;/&gt;&lt;wsp:rsid wsp:val=&quot;00605223&quot;/&gt;&lt;wsp:rsid wsp:val=&quot;0060558E&quot;/&gt;&lt;wsp:rsid wsp:val=&quot;0060575A&quot;/&gt;&lt;wsp:rsid wsp:val=&quot;006058DD&quot;/&gt;&lt;wsp:rsid wsp:val=&quot;00605B68&quot;/&gt;&lt;wsp:rsid wsp:val=&quot;00605BA4&quot;/&gt;&lt;wsp:rsid wsp:val=&quot;00605D37&quot;/&gt;&lt;wsp:rsid wsp:val=&quot;00606140&quot;/&gt;&lt;wsp:rsid wsp:val=&quot;00606DD1&quot;/&gt;&lt;wsp:rsid wsp:val=&quot;00607650&quot;/&gt;&lt;wsp:rsid wsp:val=&quot;0061049C&quot;/&gt;&lt;wsp:rsid wsp:val=&quot;00610953&quot;/&gt;&lt;wsp:rsid wsp:val=&quot;00610D35&quot;/&gt;&lt;wsp:rsid wsp:val=&quot;00610F4C&quot;/&gt;&lt;wsp:rsid wsp:val=&quot;006110B0&quot;/&gt;&lt;wsp:rsid wsp:val=&quot;00611558&quot;/&gt;&lt;wsp:rsid wsp:val=&quot;006117A4&quot;/&gt;&lt;wsp:rsid wsp:val=&quot;00612707&quot;/&gt;&lt;wsp:rsid wsp:val=&quot;00614632&quot;/&gt;&lt;wsp:rsid wsp:val=&quot;00614BDC&quot;/&gt;&lt;wsp:rsid wsp:val=&quot;00614FB4&quot;/&gt;&lt;wsp:rsid wsp:val=&quot;006155A8&quot;/&gt;&lt;wsp:rsid wsp:val=&quot;00615D4C&quot;/&gt;&lt;wsp:rsid wsp:val=&quot;00615E3E&quot;/&gt;&lt;wsp:rsid wsp:val=&quot;0061672C&quot;/&gt;&lt;wsp:rsid wsp:val=&quot;006168DA&quot;/&gt;&lt;wsp:rsid wsp:val=&quot;00616DEF&quot;/&gt;&lt;wsp:rsid wsp:val=&quot;00616F4C&quot;/&gt;&lt;wsp:rsid wsp:val=&quot;00617030&quot;/&gt;&lt;wsp:rsid wsp:val=&quot;006203E4&quot;/&gt;&lt;wsp:rsid wsp:val=&quot;00620684&quot;/&gt;&lt;wsp:rsid wsp:val=&quot;00620AF3&quot;/&gt;&lt;wsp:rsid wsp:val=&quot;00620B05&quot;/&gt;&lt;wsp:rsid wsp:val=&quot;006210BA&quot;/&gt;&lt;wsp:rsid wsp:val=&quot;00621306&quot;/&gt;&lt;wsp:rsid wsp:val=&quot;0062164F&quot;/&gt;&lt;wsp:rsid wsp:val=&quot;00622EFB&quot;/&gt;&lt;wsp:rsid wsp:val=&quot;006232B5&quot;/&gt;&lt;wsp:rsid wsp:val=&quot;006233D1&quot;/&gt;&lt;wsp:rsid wsp:val=&quot;00623500&quot;/&gt;&lt;wsp:rsid wsp:val=&quot;00623733&quot;/&gt;&lt;wsp:rsid wsp:val=&quot;00623B03&quot;/&gt;&lt;wsp:rsid wsp:val=&quot;006241D2&quot;/&gt;&lt;wsp:rsid wsp:val=&quot;006242B8&quot;/&gt;&lt;wsp:rsid wsp:val=&quot;00624524&quot;/&gt;&lt;wsp:rsid wsp:val=&quot;0062463F&quot;/&gt;&lt;wsp:rsid wsp:val=&quot;0062492E&quot;/&gt;&lt;wsp:rsid wsp:val=&quot;00624C83&quot;/&gt;&lt;wsp:rsid wsp:val=&quot;00624DE0&quot;/&gt;&lt;wsp:rsid wsp:val=&quot;00624E0D&quot;/&gt;&lt;wsp:rsid wsp:val=&quot;00624FC3&quot;/&gt;&lt;wsp:rsid wsp:val=&quot;00625426&quot;/&gt;&lt;wsp:rsid wsp:val=&quot;006255FE&quot;/&gt;&lt;wsp:rsid wsp:val=&quot;00625AD6&quot;/&gt;&lt;wsp:rsid wsp:val=&quot;006261E2&quot;/&gt;&lt;wsp:rsid wsp:val=&quot;00626959&quot;/&gt;&lt;wsp:rsid wsp:val=&quot;00626C5A&quot;/&gt;&lt;wsp:rsid wsp:val=&quot;00626D0C&quot;/&gt;&lt;wsp:rsid wsp:val=&quot;00627654&quot;/&gt;&lt;wsp:rsid wsp:val=&quot;00627812&quot;/&gt;&lt;wsp:rsid wsp:val=&quot;006301DA&quot;/&gt;&lt;wsp:rsid wsp:val=&quot;00630600&quot;/&gt;&lt;wsp:rsid wsp:val=&quot;00630C33&quot;/&gt;&lt;wsp:rsid wsp:val=&quot;0063223F&quot;/&gt;&lt;wsp:rsid wsp:val=&quot;006322D3&quot;/&gt;&lt;wsp:rsid wsp:val=&quot;00632327&quot;/&gt;&lt;wsp:rsid wsp:val=&quot;00632707&quot;/&gt;&lt;wsp:rsid wsp:val=&quot;00632746&quot;/&gt;&lt;wsp:rsid wsp:val=&quot;006327CA&quot;/&gt;&lt;wsp:rsid wsp:val=&quot;00632E5D&quot;/&gt;&lt;wsp:rsid wsp:val=&quot;00632EE4&quot;/&gt;&lt;wsp:rsid wsp:val=&quot;00633262&quot;/&gt;&lt;wsp:rsid wsp:val=&quot;00633871&quot;/&gt;&lt;wsp:rsid wsp:val=&quot;006338CE&quot;/&gt;&lt;wsp:rsid wsp:val=&quot;00633AB4&quot;/&gt;&lt;wsp:rsid wsp:val=&quot;00633CFF&quot;/&gt;&lt;wsp:rsid wsp:val=&quot;00634136&quot;/&gt;&lt;wsp:rsid wsp:val=&quot;00635450&quot;/&gt;&lt;wsp:rsid wsp:val=&quot;00636172&quot;/&gt;&lt;wsp:rsid wsp:val=&quot;00636823&quot;/&gt;&lt;wsp:rsid wsp:val=&quot;00636DDD&quot;/&gt;&lt;wsp:rsid wsp:val=&quot;00636F9A&quot;/&gt;&lt;wsp:rsid wsp:val=&quot;006373B9&quot;/&gt;&lt;wsp:rsid wsp:val=&quot;006374DA&quot;/&gt;&lt;wsp:rsid wsp:val=&quot;00637BF0&quot;/&gt;&lt;wsp:rsid wsp:val=&quot;00637DFB&quot;/&gt;&lt;wsp:rsid wsp:val=&quot;00637E3D&quot;/&gt;&lt;wsp:rsid wsp:val=&quot;00640693&quot;/&gt;&lt;wsp:rsid wsp:val=&quot;006409F2&quot;/&gt;&lt;wsp:rsid wsp:val=&quot;00640AAD&quot;/&gt;&lt;wsp:rsid wsp:val=&quot;00640FB8&quot;/&gt;&lt;wsp:rsid wsp:val=&quot;00641AF2&quot;/&gt;&lt;wsp:rsid wsp:val=&quot;00641E91&quot;/&gt;&lt;wsp:rsid wsp:val=&quot;00642073&quot;/&gt;&lt;wsp:rsid wsp:val=&quot;006421F4&quot;/&gt;&lt;wsp:rsid wsp:val=&quot;00642510&quot;/&gt;&lt;wsp:rsid wsp:val=&quot;0064263A&quot;/&gt;&lt;wsp:rsid wsp:val=&quot;00642883&quot;/&gt;&lt;wsp:rsid wsp:val=&quot;0064288A&quot;/&gt;&lt;wsp:rsid wsp:val=&quot;00642F02&quot;/&gt;&lt;wsp:rsid wsp:val=&quot;00642F92&quot;/&gt;&lt;wsp:rsid wsp:val=&quot;006432C2&quot;/&gt;&lt;wsp:rsid wsp:val=&quot;0064357D&quot;/&gt;&lt;wsp:rsid wsp:val=&quot;0064360E&quot;/&gt;&lt;wsp:rsid wsp:val=&quot;0064371F&quot;/&gt;&lt;wsp:rsid wsp:val=&quot;0064377B&quot;/&gt;&lt;wsp:rsid wsp:val=&quot;00644366&quot;/&gt;&lt;wsp:rsid wsp:val=&quot;00644637&quot;/&gt;&lt;wsp:rsid wsp:val=&quot;00644728&quot;/&gt;&lt;wsp:rsid wsp:val=&quot;00644802&quot;/&gt;&lt;wsp:rsid wsp:val=&quot;0064561F&quot;/&gt;&lt;wsp:rsid wsp:val=&quot;00645758&quot;/&gt;&lt;wsp:rsid wsp:val=&quot;00645B4B&quot;/&gt;&lt;wsp:rsid wsp:val=&quot;00645DD9&quot;/&gt;&lt;wsp:rsid wsp:val=&quot;0064673E&quot;/&gt;&lt;wsp:rsid wsp:val=&quot;00646B22&quot;/&gt;&lt;wsp:rsid wsp:val=&quot;00646CD2&quot;/&gt;&lt;wsp:rsid wsp:val=&quot;00646F90&quot;/&gt;&lt;wsp:rsid wsp:val=&quot;006470FB&quot;/&gt;&lt;wsp:rsid wsp:val=&quot;0064743E&quot;/&gt;&lt;wsp:rsid wsp:val=&quot;006479F6&quot;/&gt;&lt;wsp:rsid wsp:val=&quot;00647AE0&quot;/&gt;&lt;wsp:rsid wsp:val=&quot;00647C35&quot;/&gt;&lt;wsp:rsid wsp:val=&quot;00650F44&quot;/&gt;&lt;wsp:rsid wsp:val=&quot;00651251&quot;/&gt;&lt;wsp:rsid wsp:val=&quot;0065137A&quot;/&gt;&lt;wsp:rsid wsp:val=&quot;006513D5&quot;/&gt;&lt;wsp:rsid wsp:val=&quot;00651B3C&quot;/&gt;&lt;wsp:rsid wsp:val=&quot;00652714&quot;/&gt;&lt;wsp:rsid wsp:val=&quot;006527BF&quot;/&gt;&lt;wsp:rsid wsp:val=&quot;006529E8&quot;/&gt;&lt;wsp:rsid wsp:val=&quot;006532EF&quot;/&gt;&lt;wsp:rsid wsp:val=&quot;006539EF&quot;/&gt;&lt;wsp:rsid wsp:val=&quot;00654685&quot;/&gt;&lt;wsp:rsid wsp:val=&quot;00654986&quot;/&gt;&lt;wsp:rsid wsp:val=&quot;00654D98&quot;/&gt;&lt;wsp:rsid wsp:val=&quot;006551BF&quot;/&gt;&lt;wsp:rsid wsp:val=&quot;00655789&quot;/&gt;&lt;wsp:rsid wsp:val=&quot;00655912&quot;/&gt;&lt;wsp:rsid wsp:val=&quot;006559E6&quot;/&gt;&lt;wsp:rsid wsp:val=&quot;00655C95&quot;/&gt;&lt;wsp:rsid wsp:val=&quot;00655CE2&quot;/&gt;&lt;wsp:rsid wsp:val=&quot;00655DCA&quot;/&gt;&lt;wsp:rsid wsp:val=&quot;006566D8&quot;/&gt;&lt;wsp:rsid wsp:val=&quot;006571D0&quot;/&gt;&lt;wsp:rsid wsp:val=&quot;006578FA&quot;/&gt;&lt;wsp:rsid wsp:val=&quot;00657A7C&quot;/&gt;&lt;wsp:rsid wsp:val=&quot;00657C73&quot;/&gt;&lt;wsp:rsid wsp:val=&quot;00657CA7&quot;/&gt;&lt;wsp:rsid wsp:val=&quot;00657E5E&quot;/&gt;&lt;wsp:rsid wsp:val=&quot;0066078B&quot;/&gt;&lt;wsp:rsid wsp:val=&quot;00661B89&quot;/&gt;&lt;wsp:rsid wsp:val=&quot;00661CF9&quot;/&gt;&lt;wsp:rsid wsp:val=&quot;00661DEE&quot;/&gt;&lt;wsp:rsid wsp:val=&quot;00662747&quot;/&gt;&lt;wsp:rsid wsp:val=&quot;006629AC&quot;/&gt;&lt;wsp:rsid wsp:val=&quot;00662F64&quot;/&gt;&lt;wsp:rsid wsp:val=&quot;00663307&quot;/&gt;&lt;wsp:rsid wsp:val=&quot;00663825&quot;/&gt;&lt;wsp:rsid wsp:val=&quot;00663898&quot;/&gt;&lt;wsp:rsid wsp:val=&quot;00663EB3&quot;/&gt;&lt;wsp:rsid wsp:val=&quot;00663EF8&quot;/&gt;&lt;wsp:rsid wsp:val=&quot;0066439C&quot;/&gt;&lt;wsp:rsid wsp:val=&quot;006643EE&quot;/&gt;&lt;wsp:rsid wsp:val=&quot;0066464A&quot;/&gt;&lt;wsp:rsid wsp:val=&quot;00665264&quot;/&gt;&lt;wsp:rsid wsp:val=&quot;006656BA&quot;/&gt;&lt;wsp:rsid wsp:val=&quot;00665BD7&quot;/&gt;&lt;wsp:rsid wsp:val=&quot;00665C26&quot;/&gt;&lt;wsp:rsid wsp:val=&quot;00665F82&quot;/&gt;&lt;wsp:rsid wsp:val=&quot;00667788&quot;/&gt;&lt;wsp:rsid wsp:val=&quot;00667A66&quot;/&gt;&lt;wsp:rsid wsp:val=&quot;00667E10&quot;/&gt;&lt;wsp:rsid wsp:val=&quot;0067003F&quot;/&gt;&lt;wsp:rsid wsp:val=&quot;00670597&quot;/&gt;&lt;wsp:rsid wsp:val=&quot;0067095A&quot;/&gt;&lt;wsp:rsid wsp:val=&quot;006710B5&quot;/&gt;&lt;wsp:rsid wsp:val=&quot;00671532&quot;/&gt;&lt;wsp:rsid wsp:val=&quot;0067154A&quot;/&gt;&lt;wsp:rsid wsp:val=&quot;006715F5&quot;/&gt;&lt;wsp:rsid wsp:val=&quot;0067237F&quot;/&gt;&lt;wsp:rsid wsp:val=&quot;0067264C&quot;/&gt;&lt;wsp:rsid wsp:val=&quot;006729A4&quot;/&gt;&lt;wsp:rsid wsp:val=&quot;006729AE&quot;/&gt;&lt;wsp:rsid wsp:val=&quot;00672AB5&quot;/&gt;&lt;wsp:rsid wsp:val=&quot;00673005&quot;/&gt;&lt;wsp:rsid wsp:val=&quot;00673FB1&quot;/&gt;&lt;wsp:rsid wsp:val=&quot;006747D0&quot;/&gt;&lt;wsp:rsid wsp:val=&quot;00674A54&quot;/&gt;&lt;wsp:rsid wsp:val=&quot;00674AF3&quot;/&gt;&lt;wsp:rsid wsp:val=&quot;00674B2E&quot;/&gt;&lt;wsp:rsid wsp:val=&quot;00674C1B&quot;/&gt;&lt;wsp:rsid wsp:val=&quot;006756F4&quot;/&gt;&lt;wsp:rsid wsp:val=&quot;00675A1D&quot;/&gt;&lt;wsp:rsid wsp:val=&quot;00675C08&quot;/&gt;&lt;wsp:rsid wsp:val=&quot;0067691B&quot;/&gt;&lt;wsp:rsid wsp:val=&quot;00676B58&quot;/&gt;&lt;wsp:rsid wsp:val=&quot;00676BC8&quot;/&gt;&lt;wsp:rsid wsp:val=&quot;006778CC&quot;/&gt;&lt;wsp:rsid wsp:val=&quot;00677A7D&quot;/&gt;&lt;wsp:rsid wsp:val=&quot;00677D82&quot;/&gt;&lt;wsp:rsid wsp:val=&quot;00677DDD&quot;/&gt;&lt;wsp:rsid wsp:val=&quot;00680023&quot;/&gt;&lt;wsp:rsid wsp:val=&quot;00680103&quot;/&gt;&lt;wsp:rsid wsp:val=&quot;006804BC&quot;/&gt;&lt;wsp:rsid wsp:val=&quot;006805AF&quot;/&gt;&lt;wsp:rsid wsp:val=&quot;00680918&quot;/&gt;&lt;wsp:rsid wsp:val=&quot;00680971&quot;/&gt;&lt;wsp:rsid wsp:val=&quot;00681701&quot;/&gt;&lt;wsp:rsid wsp:val=&quot;00682612&quot;/&gt;&lt;wsp:rsid wsp:val=&quot;00682915&quot;/&gt;&lt;wsp:rsid wsp:val=&quot;00683066&quot;/&gt;&lt;wsp:rsid wsp:val=&quot;006830FC&quot;/&gt;&lt;wsp:rsid wsp:val=&quot;00683454&quot;/&gt;&lt;wsp:rsid wsp:val=&quot;0068358C&quot;/&gt;&lt;wsp:rsid wsp:val=&quot;006835D5&quot;/&gt;&lt;wsp:rsid wsp:val=&quot;00683B3C&quot;/&gt;&lt;wsp:rsid wsp:val=&quot;00684216&quot;/&gt;&lt;wsp:rsid wsp:val=&quot;00684236&quot;/&gt;&lt;wsp:rsid wsp:val=&quot;0068441A&quot;/&gt;&lt;wsp:rsid wsp:val=&quot;006852D6&quot;/&gt;&lt;wsp:rsid wsp:val=&quot;00685956&quot;/&gt;&lt;wsp:rsid wsp:val=&quot;00685B94&quot;/&gt;&lt;wsp:rsid wsp:val=&quot;006869B7&quot;/&gt;&lt;wsp:rsid wsp:val=&quot;0068763F&quot;/&gt;&lt;wsp:rsid wsp:val=&quot;00687C12&quot;/&gt;&lt;wsp:rsid wsp:val=&quot;006916ED&quot;/&gt;&lt;wsp:rsid wsp:val=&quot;00691743&quot;/&gt;&lt;wsp:rsid wsp:val=&quot;006918AF&quot;/&gt;&lt;wsp:rsid wsp:val=&quot;00691E3F&quot;/&gt;&lt;wsp:rsid wsp:val=&quot;006925D0&quot;/&gt;&lt;wsp:rsid wsp:val=&quot;0069260E&quot;/&gt;&lt;wsp:rsid wsp:val=&quot;0069272B&quot;/&gt;&lt;wsp:rsid wsp:val=&quot;006927A8&quot;/&gt;&lt;wsp:rsid wsp:val=&quot;0069292F&quot;/&gt;&lt;wsp:rsid wsp:val=&quot;00692B41&quot;/&gt;&lt;wsp:rsid wsp:val=&quot;00692B72&quot;/&gt;&lt;wsp:rsid wsp:val=&quot;00692C56&quot;/&gt;&lt;wsp:rsid wsp:val=&quot;00692DA5&quot;/&gt;&lt;wsp:rsid wsp:val=&quot;00693428&quot;/&gt;&lt;wsp:rsid wsp:val=&quot;0069391E&quot;/&gt;&lt;wsp:rsid wsp:val=&quot;00693D87&quot;/&gt;&lt;wsp:rsid wsp:val=&quot;0069411F&quot;/&gt;&lt;wsp:rsid wsp:val=&quot;006945C8&quot;/&gt;&lt;wsp:rsid wsp:val=&quot;006949DD&quot;/&gt;&lt;wsp:rsid wsp:val=&quot;00694AE0&quot;/&gt;&lt;wsp:rsid wsp:val=&quot;00694F3A&quot;/&gt;&lt;wsp:rsid wsp:val=&quot;0069520E&quot;/&gt;&lt;wsp:rsid wsp:val=&quot;00695742&quot;/&gt;&lt;wsp:rsid wsp:val=&quot;006957B6&quot;/&gt;&lt;wsp:rsid wsp:val=&quot;00695A62&quot;/&gt;&lt;wsp:rsid wsp:val=&quot;006961EB&quot;/&gt;&lt;wsp:rsid wsp:val=&quot;00696553&quot;/&gt;&lt;wsp:rsid wsp:val=&quot;0069679A&quot;/&gt;&lt;wsp:rsid wsp:val=&quot;00696DC0&quot;/&gt;&lt;wsp:rsid wsp:val=&quot;00697082&quot;/&gt;&lt;wsp:rsid wsp:val=&quot;0069784D&quot;/&gt;&lt;wsp:rsid wsp:val=&quot;006978F3&quot;/&gt;&lt;wsp:rsid wsp:val=&quot;006979AD&quot;/&gt;&lt;wsp:rsid wsp:val=&quot;00697C58&quot;/&gt;&lt;wsp:rsid wsp:val=&quot;006A09DE&quot;/&gt;&lt;wsp:rsid wsp:val=&quot;006A0A62&quot;/&gt;&lt;wsp:rsid wsp:val=&quot;006A1258&quot;/&gt;&lt;wsp:rsid wsp:val=&quot;006A1361&quot;/&gt;&lt;wsp:rsid wsp:val=&quot;006A1B09&quot;/&gt;&lt;wsp:rsid wsp:val=&quot;006A1BBC&quot;/&gt;&lt;wsp:rsid wsp:val=&quot;006A1FAA&quot;/&gt;&lt;wsp:rsid wsp:val=&quot;006A21E6&quot;/&gt;&lt;wsp:rsid wsp:val=&quot;006A2725&quot;/&gt;&lt;wsp:rsid wsp:val=&quot;006A2938&quot;/&gt;&lt;wsp:rsid wsp:val=&quot;006A29BE&quot;/&gt;&lt;wsp:rsid wsp:val=&quot;006A29E0&quot;/&gt;&lt;wsp:rsid wsp:val=&quot;006A2C99&quot;/&gt;&lt;wsp:rsid wsp:val=&quot;006A2D0F&quot;/&gt;&lt;wsp:rsid wsp:val=&quot;006A2D27&quot;/&gt;&lt;wsp:rsid wsp:val=&quot;006A2FF4&quot;/&gt;&lt;wsp:rsid wsp:val=&quot;006A3164&quot;/&gt;&lt;wsp:rsid wsp:val=&quot;006A34D7&quot;/&gt;&lt;wsp:rsid wsp:val=&quot;006A3560&quot;/&gt;&lt;wsp:rsid wsp:val=&quot;006A4A6A&quot;/&gt;&lt;wsp:rsid wsp:val=&quot;006A4C87&quot;/&gt;&lt;wsp:rsid wsp:val=&quot;006A5395&quot;/&gt;&lt;wsp:rsid wsp:val=&quot;006A5B1C&quot;/&gt;&lt;wsp:rsid wsp:val=&quot;006A5CFA&quot;/&gt;&lt;wsp:rsid wsp:val=&quot;006A6AA4&quot;/&gt;&lt;wsp:rsid wsp:val=&quot;006A6B6F&quot;/&gt;&lt;wsp:rsid wsp:val=&quot;006A6B8B&quot;/&gt;&lt;wsp:rsid wsp:val=&quot;006A6E99&quot;/&gt;&lt;wsp:rsid wsp:val=&quot;006A76ED&quot;/&gt;&lt;wsp:rsid wsp:val=&quot;006A777F&quot;/&gt;&lt;wsp:rsid wsp:val=&quot;006A79DA&quot;/&gt;&lt;wsp:rsid wsp:val=&quot;006B0312&quot;/&gt;&lt;wsp:rsid wsp:val=&quot;006B071C&quot;/&gt;&lt;wsp:rsid wsp:val=&quot;006B08A3&quot;/&gt;&lt;wsp:rsid wsp:val=&quot;006B08CD&quot;/&gt;&lt;wsp:rsid wsp:val=&quot;006B0BFB&quot;/&gt;&lt;wsp:rsid wsp:val=&quot;006B0FDE&quot;/&gt;&lt;wsp:rsid wsp:val=&quot;006B1196&quot;/&gt;&lt;wsp:rsid wsp:val=&quot;006B1229&quot;/&gt;&lt;wsp:rsid wsp:val=&quot;006B149C&quot;/&gt;&lt;wsp:rsid wsp:val=&quot;006B169E&quot;/&gt;&lt;wsp:rsid wsp:val=&quot;006B186C&quot;/&gt;&lt;wsp:rsid wsp:val=&quot;006B1A90&quot;/&gt;&lt;wsp:rsid wsp:val=&quot;006B2A69&quot;/&gt;&lt;wsp:rsid wsp:val=&quot;006B35C9&quot;/&gt;&lt;wsp:rsid wsp:val=&quot;006B41E6&quot;/&gt;&lt;wsp:rsid wsp:val=&quot;006B430E&quot;/&gt;&lt;wsp:rsid wsp:val=&quot;006B4457&quot;/&gt;&lt;wsp:rsid wsp:val=&quot;006B4AEC&quot;/&gt;&lt;wsp:rsid wsp:val=&quot;006B5047&quot;/&gt;&lt;wsp:rsid wsp:val=&quot;006B5451&quot;/&gt;&lt;wsp:rsid wsp:val=&quot;006B56C5&quot;/&gt;&lt;wsp:rsid wsp:val=&quot;006B591E&quot;/&gt;&lt;wsp:rsid wsp:val=&quot;006B5B30&quot;/&gt;&lt;wsp:rsid wsp:val=&quot;006B5F3A&quot;/&gt;&lt;wsp:rsid wsp:val=&quot;006B60DE&quot;/&gt;&lt;wsp:rsid wsp:val=&quot;006B656F&quot;/&gt;&lt;wsp:rsid wsp:val=&quot;006B6B9C&quot;/&gt;&lt;wsp:rsid wsp:val=&quot;006B6F13&quot;/&gt;&lt;wsp:rsid wsp:val=&quot;006B716B&quot;/&gt;&lt;wsp:rsid wsp:val=&quot;006B727D&quot;/&gt;&lt;wsp:rsid wsp:val=&quot;006B73BF&quot;/&gt;&lt;wsp:rsid wsp:val=&quot;006B7AE9&quot;/&gt;&lt;wsp:rsid wsp:val=&quot;006B7DB5&quot;/&gt;&lt;wsp:rsid wsp:val=&quot;006C0021&quot;/&gt;&lt;wsp:rsid wsp:val=&quot;006C0030&quot;/&gt;&lt;wsp:rsid wsp:val=&quot;006C04E9&quot;/&gt;&lt;wsp:rsid wsp:val=&quot;006C0770&quot;/&gt;&lt;wsp:rsid wsp:val=&quot;006C09BC&quot;/&gt;&lt;wsp:rsid wsp:val=&quot;006C0D78&quot;/&gt;&lt;wsp:rsid wsp:val=&quot;006C131A&quot;/&gt;&lt;wsp:rsid wsp:val=&quot;006C1696&quot;/&gt;&lt;wsp:rsid wsp:val=&quot;006C1B7D&quot;/&gt;&lt;wsp:rsid wsp:val=&quot;006C1FE3&quot;/&gt;&lt;wsp:rsid wsp:val=&quot;006C2084&quot;/&gt;&lt;wsp:rsid wsp:val=&quot;006C2334&quot;/&gt;&lt;wsp:rsid wsp:val=&quot;006C289A&quot;/&gt;&lt;wsp:rsid wsp:val=&quot;006C2D49&quot;/&gt;&lt;wsp:rsid wsp:val=&quot;006C2F1C&quot;/&gt;&lt;wsp:rsid wsp:val=&quot;006C2F91&quot;/&gt;&lt;wsp:rsid wsp:val=&quot;006C2FA1&quot;/&gt;&lt;wsp:rsid wsp:val=&quot;006C32AB&quot;/&gt;&lt;wsp:rsid wsp:val=&quot;006C3349&quot;/&gt;&lt;wsp:rsid wsp:val=&quot;006C33A5&quot;/&gt;&lt;wsp:rsid wsp:val=&quot;006C36D1&quot;/&gt;&lt;wsp:rsid wsp:val=&quot;006C3A9F&quot;/&gt;&lt;wsp:rsid wsp:val=&quot;006C3AE5&quot;/&gt;&lt;wsp:rsid wsp:val=&quot;006C3E1F&quot;/&gt;&lt;wsp:rsid wsp:val=&quot;006C3FAC&quot;/&gt;&lt;wsp:rsid wsp:val=&quot;006C41A5&quot;/&gt;&lt;wsp:rsid wsp:val=&quot;006C47BA&quot;/&gt;&lt;wsp:rsid wsp:val=&quot;006C4D82&quot;/&gt;&lt;wsp:rsid wsp:val=&quot;006C53E1&quot;/&gt;&lt;wsp:rsid wsp:val=&quot;006C5741&quot;/&gt;&lt;wsp:rsid wsp:val=&quot;006C5AB9&quot;/&gt;&lt;wsp:rsid wsp:val=&quot;006C5BC7&quot;/&gt;&lt;wsp:rsid wsp:val=&quot;006C603E&quot;/&gt;&lt;wsp:rsid wsp:val=&quot;006C617C&quot;/&gt;&lt;wsp:rsid wsp:val=&quot;006C61DF&quot;/&gt;&lt;wsp:rsid wsp:val=&quot;006C6804&quot;/&gt;&lt;wsp:rsid wsp:val=&quot;006C6925&quot;/&gt;&lt;wsp:rsid wsp:val=&quot;006C7152&quot;/&gt;&lt;wsp:rsid wsp:val=&quot;006C7D2A&quot;/&gt;&lt;wsp:rsid wsp:val=&quot;006C7D59&quot;/&gt;&lt;wsp:rsid wsp:val=&quot;006C7D8D&quot;/&gt;&lt;wsp:rsid wsp:val=&quot;006C7F1C&quot;/&gt;&lt;wsp:rsid wsp:val=&quot;006D049A&quot;/&gt;&lt;wsp:rsid wsp:val=&quot;006D0784&quot;/&gt;&lt;wsp:rsid wsp:val=&quot;006D0975&quot;/&gt;&lt;wsp:rsid wsp:val=&quot;006D0BC5&quot;/&gt;&lt;wsp:rsid wsp:val=&quot;006D12BD&quot;/&gt;&lt;wsp:rsid wsp:val=&quot;006D1968&quot;/&gt;&lt;wsp:rsid wsp:val=&quot;006D1A85&quot;/&gt;&lt;wsp:rsid wsp:val=&quot;006D234A&quot;/&gt;&lt;wsp:rsid wsp:val=&quot;006D2600&quot;/&gt;&lt;wsp:rsid wsp:val=&quot;006D2624&quot;/&gt;&lt;wsp:rsid wsp:val=&quot;006D26C2&quot;/&gt;&lt;wsp:rsid wsp:val=&quot;006D2C38&quot;/&gt;&lt;wsp:rsid wsp:val=&quot;006D2D75&quot;/&gt;&lt;wsp:rsid wsp:val=&quot;006D2DC6&quot;/&gt;&lt;wsp:rsid wsp:val=&quot;006D33B1&quot;/&gt;&lt;wsp:rsid wsp:val=&quot;006D3816&quot;/&gt;&lt;wsp:rsid wsp:val=&quot;006D38AB&quot;/&gt;&lt;wsp:rsid wsp:val=&quot;006D3BEA&quot;/&gt;&lt;wsp:rsid wsp:val=&quot;006D3DA5&quot;/&gt;&lt;wsp:rsid wsp:val=&quot;006D4178&quot;/&gt;&lt;wsp:rsid wsp:val=&quot;006D41E1&quot;/&gt;&lt;wsp:rsid wsp:val=&quot;006D4307&quot;/&gt;&lt;wsp:rsid wsp:val=&quot;006D4623&quot;/&gt;&lt;wsp:rsid wsp:val=&quot;006D46E2&quot;/&gt;&lt;wsp:rsid wsp:val=&quot;006D53FB&quot;/&gt;&lt;wsp:rsid wsp:val=&quot;006D54E4&quot;/&gt;&lt;wsp:rsid wsp:val=&quot;006D55ED&quot;/&gt;&lt;wsp:rsid wsp:val=&quot;006D5D8E&quot;/&gt;&lt;wsp:rsid wsp:val=&quot;006D5FEF&quot;/&gt;&lt;wsp:rsid wsp:val=&quot;006D6608&quot;/&gt;&lt;wsp:rsid wsp:val=&quot;006D67D8&quot;/&gt;&lt;wsp:rsid wsp:val=&quot;006D6B23&quot;/&gt;&lt;wsp:rsid wsp:val=&quot;006D6CAF&quot;/&gt;&lt;wsp:rsid wsp:val=&quot;006D756D&quot;/&gt;&lt;wsp:rsid wsp:val=&quot;006D7615&quot;/&gt;&lt;wsp:rsid wsp:val=&quot;006D7DA3&quot;/&gt;&lt;wsp:rsid wsp:val=&quot;006E1102&quot;/&gt;&lt;wsp:rsid wsp:val=&quot;006E1418&quot;/&gt;&lt;wsp:rsid wsp:val=&quot;006E1479&quot;/&gt;&lt;wsp:rsid wsp:val=&quot;006E158C&quot;/&gt;&lt;wsp:rsid wsp:val=&quot;006E1C1E&quot;/&gt;&lt;wsp:rsid wsp:val=&quot;006E1CAA&quot;/&gt;&lt;wsp:rsid wsp:val=&quot;006E2642&quot;/&gt;&lt;wsp:rsid wsp:val=&quot;006E30C1&quot;/&gt;&lt;wsp:rsid wsp:val=&quot;006E386A&quot;/&gt;&lt;wsp:rsid wsp:val=&quot;006E3CC9&quot;/&gt;&lt;wsp:rsid wsp:val=&quot;006E4237&quot;/&gt;&lt;wsp:rsid wsp:val=&quot;006E43F0&quot;/&gt;&lt;wsp:rsid wsp:val=&quot;006E53F0&quot;/&gt;&lt;wsp:rsid wsp:val=&quot;006E5415&quot;/&gt;&lt;wsp:rsid wsp:val=&quot;006E5992&quot;/&gt;&lt;wsp:rsid wsp:val=&quot;006E5ABF&quot;/&gt;&lt;wsp:rsid wsp:val=&quot;006E6461&quot;/&gt;&lt;wsp:rsid wsp:val=&quot;006E64CA&quot;/&gt;&lt;wsp:rsid wsp:val=&quot;006E6BF9&quot;/&gt;&lt;wsp:rsid wsp:val=&quot;006E6E96&quot;/&gt;&lt;wsp:rsid wsp:val=&quot;006E75A7&quot;/&gt;&lt;wsp:rsid wsp:val=&quot;006E777E&quot;/&gt;&lt;wsp:rsid wsp:val=&quot;006E797F&quot;/&gt;&lt;wsp:rsid wsp:val=&quot;006F000C&quot;/&gt;&lt;wsp:rsid wsp:val=&quot;006F0164&quot;/&gt;&lt;wsp:rsid wsp:val=&quot;006F0B72&quot;/&gt;&lt;wsp:rsid wsp:val=&quot;006F0D0D&quot;/&gt;&lt;wsp:rsid wsp:val=&quot;006F11B0&quot;/&gt;&lt;wsp:rsid wsp:val=&quot;006F1242&quot;/&gt;&lt;wsp:rsid wsp:val=&quot;006F127D&quot;/&gt;&lt;wsp:rsid wsp:val=&quot;006F1749&quot;/&gt;&lt;wsp:rsid wsp:val=&quot;006F1A7E&quot;/&gt;&lt;wsp:rsid wsp:val=&quot;006F2191&quot;/&gt;&lt;wsp:rsid wsp:val=&quot;006F269D&quot;/&gt;&lt;wsp:rsid wsp:val=&quot;006F26A8&quot;/&gt;&lt;wsp:rsid wsp:val=&quot;006F2855&quot;/&gt;&lt;wsp:rsid wsp:val=&quot;006F2920&quot;/&gt;&lt;wsp:rsid wsp:val=&quot;006F300C&quot;/&gt;&lt;wsp:rsid wsp:val=&quot;006F351E&quot;/&gt;&lt;wsp:rsid wsp:val=&quot;006F388D&quot;/&gt;&lt;wsp:rsid wsp:val=&quot;006F3A12&quot;/&gt;&lt;wsp:rsid wsp:val=&quot;006F4226&quot;/&gt;&lt;wsp:rsid wsp:val=&quot;006F47CF&quot;/&gt;&lt;wsp:rsid wsp:val=&quot;006F4F37&quot;/&gt;&lt;wsp:rsid wsp:val=&quot;006F5352&quot;/&gt;&lt;wsp:rsid wsp:val=&quot;006F5358&quot;/&gt;&lt;wsp:rsid wsp:val=&quot;006F54AF&quot;/&gt;&lt;wsp:rsid wsp:val=&quot;006F557E&quot;/&gt;&lt;wsp:rsid wsp:val=&quot;006F575D&quot;/&gt;&lt;wsp:rsid wsp:val=&quot;006F57D0&quot;/&gt;&lt;wsp:rsid wsp:val=&quot;006F6207&quot;/&gt;&lt;wsp:rsid wsp:val=&quot;006F62C6&quot;/&gt;&lt;wsp:rsid wsp:val=&quot;006F6526&quot;/&gt;&lt;wsp:rsid wsp:val=&quot;006F7267&quot;/&gt;&lt;wsp:rsid wsp:val=&quot;006F75C9&quot;/&gt;&lt;wsp:rsid wsp:val=&quot;006F76FF&quot;/&gt;&lt;wsp:rsid wsp:val=&quot;007002F4&quot;/&gt;&lt;wsp:rsid wsp:val=&quot;00700340&quot;/&gt;&lt;wsp:rsid wsp:val=&quot;007003EE&quot;/&gt;&lt;wsp:rsid wsp:val=&quot;0070057D&quot;/&gt;&lt;wsp:rsid wsp:val=&quot;00700620&quot;/&gt;&lt;wsp:rsid wsp:val=&quot;007008FE&quot;/&gt;&lt;wsp:rsid wsp:val=&quot;007009E2&quot;/&gt;&lt;wsp:rsid wsp:val=&quot;00700E7B&quot;/&gt;&lt;wsp:rsid wsp:val=&quot;00700FBF&quot;/&gt;&lt;wsp:rsid wsp:val=&quot;007015B7&quot;/&gt;&lt;wsp:rsid wsp:val=&quot;00701906&quot;/&gt;&lt;wsp:rsid wsp:val=&quot;00701A65&quot;/&gt;&lt;wsp:rsid wsp:val=&quot;00701C64&quot;/&gt;&lt;wsp:rsid wsp:val=&quot;0070224D&quot;/&gt;&lt;wsp:rsid wsp:val=&quot;007026B9&quot;/&gt;&lt;wsp:rsid wsp:val=&quot;007032AB&quot;/&gt;&lt;wsp:rsid wsp:val=&quot;00703460&quot;/&gt;&lt;wsp:rsid wsp:val=&quot;00703563&quot;/&gt;&lt;wsp:rsid wsp:val=&quot;007035D4&quot;/&gt;&lt;wsp:rsid wsp:val=&quot;007036B0&quot;/&gt;&lt;wsp:rsid wsp:val=&quot;00703B34&quot;/&gt;&lt;wsp:rsid wsp:val=&quot;00703EE2&quot;/&gt;&lt;wsp:rsid wsp:val=&quot;0070423B&quot;/&gt;&lt;wsp:rsid wsp:val=&quot;007046F3&quot;/&gt;&lt;wsp:rsid wsp:val=&quot;00704DA3&quot;/&gt;&lt;wsp:rsid wsp:val=&quot;00704E33&quot;/&gt;&lt;wsp:rsid wsp:val=&quot;0070569E&quot;/&gt;&lt;wsp:rsid wsp:val=&quot;007057B4&quot;/&gt;&lt;wsp:rsid wsp:val=&quot;00705B2B&quot;/&gt;&lt;wsp:rsid wsp:val=&quot;00705E63&quot;/&gt;&lt;wsp:rsid wsp:val=&quot;00705FF0&quot;/&gt;&lt;wsp:rsid wsp:val=&quot;00706DDA&quot;/&gt;&lt;wsp:rsid wsp:val=&quot;00706FFC&quot;/&gt;&lt;wsp:rsid wsp:val=&quot;007070B4&quot;/&gt;&lt;wsp:rsid wsp:val=&quot;0070743D&quot;/&gt;&lt;wsp:rsid wsp:val=&quot;00707447&quot;/&gt;&lt;wsp:rsid wsp:val=&quot;00710267&quot;/&gt;&lt;wsp:rsid wsp:val=&quot;00710960&quot;/&gt;&lt;wsp:rsid wsp:val=&quot;00710B50&quot;/&gt;&lt;wsp:rsid wsp:val=&quot;00710CD9&quot;/&gt;&lt;wsp:rsid wsp:val=&quot;00711DB7&quot;/&gt;&lt;wsp:rsid wsp:val=&quot;00711ED3&quot;/&gt;&lt;wsp:rsid wsp:val=&quot;00711F0C&quot;/&gt;&lt;wsp:rsid wsp:val=&quot;007120F7&quot;/&gt;&lt;wsp:rsid wsp:val=&quot;00712140&quot;/&gt;&lt;wsp:rsid wsp:val=&quot;0071220F&quot;/&gt;&lt;wsp:rsid wsp:val=&quot;0071298C&quot;/&gt;&lt;wsp:rsid wsp:val=&quot;007129DA&quot;/&gt;&lt;wsp:rsid wsp:val=&quot;00713696&quot;/&gt;&lt;wsp:rsid wsp:val=&quot;00713F80&quot;/&gt;&lt;wsp:rsid wsp:val=&quot;00713FE7&quot;/&gt;&lt;wsp:rsid wsp:val=&quot;007141C7&quot;/&gt;&lt;wsp:rsid wsp:val=&quot;00714365&quot;/&gt;&lt;wsp:rsid wsp:val=&quot;0071464E&quot;/&gt;&lt;wsp:rsid wsp:val=&quot;00714B35&quot;/&gt;&lt;wsp:rsid wsp:val=&quot;00714C87&quot;/&gt;&lt;wsp:rsid wsp:val=&quot;00714CC7&quot;/&gt;&lt;wsp:rsid wsp:val=&quot;00715407&quot;/&gt;&lt;wsp:rsid wsp:val=&quot;007156C6&quot;/&gt;&lt;wsp:rsid wsp:val=&quot;00715C64&quot;/&gt;&lt;wsp:rsid wsp:val=&quot;0071628B&quot;/&gt;&lt;wsp:rsid wsp:val=&quot;007166FF&quot;/&gt;&lt;wsp:rsid wsp:val=&quot;00716AAC&quot;/&gt;&lt;wsp:rsid wsp:val=&quot;00716C8C&quot;/&gt;&lt;wsp:rsid wsp:val=&quot;00716FB8&quot;/&gt;&lt;wsp:rsid wsp:val=&quot;007170AA&quot;/&gt;&lt;wsp:rsid wsp:val=&quot;00717890&quot;/&gt;&lt;wsp:rsid wsp:val=&quot;00717D9D&quot;/&gt;&lt;wsp:rsid wsp:val=&quot;00717EBD&quot;/&gt;&lt;wsp:rsid wsp:val=&quot;0072007F&quot;/&gt;&lt;wsp:rsid wsp:val=&quot;00720B98&quot;/&gt;&lt;wsp:rsid wsp:val=&quot;00720CF7&quot;/&gt;&lt;wsp:rsid wsp:val=&quot;00720E29&quot;/&gt;&lt;wsp:rsid wsp:val=&quot;00720FFB&quot;/&gt;&lt;wsp:rsid wsp:val=&quot;00721316&quot;/&gt;&lt;wsp:rsid wsp:val=&quot;007215E6&quot;/&gt;&lt;wsp:rsid wsp:val=&quot;00721838&quot;/&gt;&lt;wsp:rsid wsp:val=&quot;007219BD&quot;/&gt;&lt;wsp:rsid wsp:val=&quot;00722943&quot;/&gt;&lt;wsp:rsid wsp:val=&quot;00722A9B&quot;/&gt;&lt;wsp:rsid wsp:val=&quot;00722DA2&quot;/&gt;&lt;wsp:rsid wsp:val=&quot;007237FC&quot;/&gt;&lt;wsp:rsid wsp:val=&quot;007239E5&quot;/&gt;&lt;wsp:rsid wsp:val=&quot;00723F65&quot;/&gt;&lt;wsp:rsid wsp:val=&quot;007242E3&quot;/&gt;&lt;wsp:rsid wsp:val=&quot;00724492&quot;/&gt;&lt;wsp:rsid wsp:val=&quot;00724C67&quot;/&gt;&lt;wsp:rsid wsp:val=&quot;00724C99&quot;/&gt;&lt;wsp:rsid wsp:val=&quot;00724D89&quot;/&gt;&lt;wsp:rsid wsp:val=&quot;007253AC&quot;/&gt;&lt;wsp:rsid wsp:val=&quot;007258E3&quot;/&gt;&lt;wsp:rsid wsp:val=&quot;00725C9E&quot;/&gt;&lt;wsp:rsid wsp:val=&quot;00725E3A&quot;/&gt;&lt;wsp:rsid wsp:val=&quot;00725F19&quot;/&gt;&lt;wsp:rsid wsp:val=&quot;007266AD&quot;/&gt;&lt;wsp:rsid wsp:val=&quot;00726C07&quot;/&gt;&lt;wsp:rsid wsp:val=&quot;00727109&quot;/&gt;&lt;wsp:rsid wsp:val=&quot;00727B4B&quot;/&gt;&lt;wsp:rsid wsp:val=&quot;00727DD0&quot;/&gt;&lt;wsp:rsid wsp:val=&quot;00727E4E&quot;/&gt;&lt;wsp:rsid wsp:val=&quot;0073013A&quot;/&gt;&lt;wsp:rsid wsp:val=&quot;00730AC2&quot;/&gt;&lt;wsp:rsid wsp:val=&quot;00730D04&quot;/&gt;&lt;wsp:rsid wsp:val=&quot;00731275&quot;/&gt;&lt;wsp:rsid wsp:val=&quot;0073150D&quot;/&gt;&lt;wsp:rsid wsp:val=&quot;007315F4&quot;/&gt;&lt;wsp:rsid wsp:val=&quot;0073251D&quot;/&gt;&lt;wsp:rsid wsp:val=&quot;00732641&quot;/&gt;&lt;wsp:rsid wsp:val=&quot;00733248&quot;/&gt;&lt;wsp:rsid wsp:val=&quot;007348A8&quot;/&gt;&lt;wsp:rsid wsp:val=&quot;0073516D&quot;/&gt;&lt;wsp:rsid wsp:val=&quot;007355FE&quot;/&gt;&lt;wsp:rsid wsp:val=&quot;007359A5&quot;/&gt;&lt;wsp:rsid wsp:val=&quot;00735B51&quot;/&gt;&lt;wsp:rsid wsp:val=&quot;00735E11&quot;/&gt;&lt;wsp:rsid wsp:val=&quot;00736CBF&quot;/&gt;&lt;wsp:rsid wsp:val=&quot;007372D0&quot;/&gt;&lt;wsp:rsid wsp:val=&quot;007374C9&quot;/&gt;&lt;wsp:rsid wsp:val=&quot;007374E8&quot;/&gt;&lt;wsp:rsid wsp:val=&quot;0073758C&quot;/&gt;&lt;wsp:rsid wsp:val=&quot;00737651&quot;/&gt;&lt;wsp:rsid wsp:val=&quot;00737671&quot;/&gt;&lt;wsp:rsid wsp:val=&quot;00737773&quot;/&gt;&lt;wsp:rsid wsp:val=&quot;00737F6F&quot;/&gt;&lt;wsp:rsid wsp:val=&quot;0074047E&quot;/&gt;&lt;wsp:rsid wsp:val=&quot;0074076C&quot;/&gt;&lt;wsp:rsid wsp:val=&quot;0074097B&quot;/&gt;&lt;wsp:rsid wsp:val=&quot;007416E8&quot;/&gt;&lt;wsp:rsid wsp:val=&quot;00741953&quot;/&gt;&lt;wsp:rsid wsp:val=&quot;007424B6&quot;/&gt;&lt;wsp:rsid wsp:val=&quot;0074293E&quot;/&gt;&lt;wsp:rsid wsp:val=&quot;00742ADA&quot;/&gt;&lt;wsp:rsid wsp:val=&quot;00742FC7&quot;/&gt;&lt;wsp:rsid wsp:val=&quot;007443B2&quot;/&gt;&lt;wsp:rsid wsp:val=&quot;00744696&quot;/&gt;&lt;wsp:rsid wsp:val=&quot;007446EA&quot;/&gt;&lt;wsp:rsid wsp:val=&quot;0074503F&quot;/&gt;&lt;wsp:rsid wsp:val=&quot;00745041&quot;/&gt;&lt;wsp:rsid wsp:val=&quot;00745719&quot;/&gt;&lt;wsp:rsid wsp:val=&quot;007459E5&quot;/&gt;&lt;wsp:rsid wsp:val=&quot;00745AE5&quot;/&gt;&lt;wsp:rsid wsp:val=&quot;00745CCE&quot;/&gt;&lt;wsp:rsid wsp:val=&quot;00746574&quot;/&gt;&lt;wsp:rsid wsp:val=&quot;00746F69&quot;/&gt;&lt;wsp:rsid wsp:val=&quot;0074732D&quot;/&gt;&lt;wsp:rsid wsp:val=&quot;00747566&quot;/&gt;&lt;wsp:rsid wsp:val=&quot;0074780C&quot;/&gt;&lt;wsp:rsid wsp:val=&quot;00747910&quot;/&gt;&lt;wsp:rsid wsp:val=&quot;00747AC0&quot;/&gt;&lt;wsp:rsid wsp:val=&quot;00747F25&quot;/&gt;&lt;wsp:rsid wsp:val=&quot;00750335&quot;/&gt;&lt;wsp:rsid wsp:val=&quot;007503C6&quot;/&gt;&lt;wsp:rsid wsp:val=&quot;007509E0&quot;/&gt;&lt;wsp:rsid wsp:val=&quot;00751016&quot;/&gt;&lt;wsp:rsid wsp:val=&quot;007510B1&quot;/&gt;&lt;wsp:rsid wsp:val=&quot;0075149A&quot;/&gt;&lt;wsp:rsid wsp:val=&quot;00751A17&quot;/&gt;&lt;wsp:rsid wsp:val=&quot;00751DF6&quot;/&gt;&lt;wsp:rsid wsp:val=&quot;0075230F&quot;/&gt;&lt;wsp:rsid wsp:val=&quot;0075261B&quot;/&gt;&lt;wsp:rsid wsp:val=&quot;00753233&quot;/&gt;&lt;wsp:rsid wsp:val=&quot;007535BA&quot;/&gt;&lt;wsp:rsid wsp:val=&quot;00753B78&quot;/&gt;&lt;wsp:rsid wsp:val=&quot;00754014&quot;/&gt;&lt;wsp:rsid wsp:val=&quot;007542E0&quot;/&gt;&lt;wsp:rsid wsp:val=&quot;007547AB&quot;/&gt;&lt;wsp:rsid wsp:val=&quot;007548EA&quot;/&gt;&lt;wsp:rsid wsp:val=&quot;00754F31&quot;/&gt;&lt;wsp:rsid wsp:val=&quot;00755248&quot;/&gt;&lt;wsp:rsid wsp:val=&quot;00755480&quot;/&gt;&lt;wsp:rsid wsp:val=&quot;00755892&quot;/&gt;&lt;wsp:rsid wsp:val=&quot;00755901&quot;/&gt;&lt;wsp:rsid wsp:val=&quot;00756164&quot;/&gt;&lt;wsp:rsid wsp:val=&quot;00756541&quot;/&gt;&lt;wsp:rsid wsp:val=&quot;0075732A&quot;/&gt;&lt;wsp:rsid wsp:val=&quot;007576F7&quot;/&gt;&lt;wsp:rsid wsp:val=&quot;0075772E&quot;/&gt;&lt;wsp:rsid wsp:val=&quot;007577B9&quot;/&gt;&lt;wsp:rsid wsp:val=&quot;00757ECF&quot;/&gt;&lt;wsp:rsid wsp:val=&quot;007605BF&quot;/&gt;&lt;wsp:rsid wsp:val=&quot;00760A42&quot;/&gt;&lt;wsp:rsid wsp:val=&quot;00760B69&quot;/&gt;&lt;wsp:rsid wsp:val=&quot;00762076&quot;/&gt;&lt;wsp:rsid wsp:val=&quot;0076216C&quot;/&gt;&lt;wsp:rsid wsp:val=&quot;0076299F&quot;/&gt;&lt;wsp:rsid wsp:val=&quot;00762B7D&quot;/&gt;&lt;wsp:rsid wsp:val=&quot;00762DBA&quot;/&gt;&lt;wsp:rsid wsp:val=&quot;00762E9B&quot;/&gt;&lt;wsp:rsid wsp:val=&quot;00762F93&quot;/&gt;&lt;wsp:rsid wsp:val=&quot;00763AE0&quot;/&gt;&lt;wsp:rsid wsp:val=&quot;00763AEE&quot;/&gt;&lt;wsp:rsid wsp:val=&quot;00764541&quot;/&gt;&lt;wsp:rsid wsp:val=&quot;00764629&quot;/&gt;&lt;wsp:rsid wsp:val=&quot;007646EF&quot;/&gt;&lt;wsp:rsid wsp:val=&quot;0076495D&quot;/&gt;&lt;wsp:rsid wsp:val=&quot;00764C1E&quot;/&gt;&lt;wsp:rsid wsp:val=&quot;00764CBB&quot;/&gt;&lt;wsp:rsid wsp:val=&quot;00764F9E&quot;/&gt;&lt;wsp:rsid wsp:val=&quot;0076505A&quot;/&gt;&lt;wsp:rsid wsp:val=&quot;0076592B&quot;/&gt;&lt;wsp:rsid wsp:val=&quot;00765C17&quot;/&gt;&lt;wsp:rsid wsp:val=&quot;00765CF9&quot;/&gt;&lt;wsp:rsid wsp:val=&quot;00765FD7&quot;/&gt;&lt;wsp:rsid wsp:val=&quot;00766504&quot;/&gt;&lt;wsp:rsid wsp:val=&quot;00766A32&quot;/&gt;&lt;wsp:rsid wsp:val=&quot;00766CE7&quot;/&gt;&lt;wsp:rsid wsp:val=&quot;00767256&quot;/&gt;&lt;wsp:rsid wsp:val=&quot;00767A58&quot;/&gt;&lt;wsp:rsid wsp:val=&quot;00770198&quot;/&gt;&lt;wsp:rsid wsp:val=&quot;00770326&quot;/&gt;&lt;wsp:rsid wsp:val=&quot;007705F7&quot;/&gt;&lt;wsp:rsid wsp:val=&quot;007709E3&quot;/&gt;&lt;wsp:rsid wsp:val=&quot;00770A08&quot;/&gt;&lt;wsp:rsid wsp:val=&quot;00770A29&quot;/&gt;&lt;wsp:rsid wsp:val=&quot;00770ABA&quot;/&gt;&lt;wsp:rsid wsp:val=&quot;00770B9F&quot;/&gt;&lt;wsp:rsid wsp:val=&quot;007712B2&quot;/&gt;&lt;wsp:rsid wsp:val=&quot;00771431&quot;/&gt;&lt;wsp:rsid wsp:val=&quot;00771877&quot;/&gt;&lt;wsp:rsid wsp:val=&quot;00771A1F&quot;/&gt;&lt;wsp:rsid wsp:val=&quot;00771A7A&quot;/&gt;&lt;wsp:rsid wsp:val=&quot;00773111&quot;/&gt;&lt;wsp:rsid wsp:val=&quot;00773219&quot;/&gt;&lt;wsp:rsid wsp:val=&quot;0077350E&quot;/&gt;&lt;wsp:rsid wsp:val=&quot;00773851&quot;/&gt;&lt;wsp:rsid wsp:val=&quot;007738DB&quot;/&gt;&lt;wsp:rsid wsp:val=&quot;00773BBF&quot;/&gt;&lt;wsp:rsid wsp:val=&quot;00773EB7&quot;/&gt;&lt;wsp:rsid wsp:val=&quot;00773F2C&quot;/&gt;&lt;wsp:rsid wsp:val=&quot;00774471&quot;/&gt;&lt;wsp:rsid wsp:val=&quot;0077497F&quot;/&gt;&lt;wsp:rsid wsp:val=&quot;00775616&quot;/&gt;&lt;wsp:rsid wsp:val=&quot;00775A93&quot;/&gt;&lt;wsp:rsid wsp:val=&quot;007763CC&quot;/&gt;&lt;wsp:rsid wsp:val=&quot;00776404&quot;/&gt;&lt;wsp:rsid wsp:val=&quot;00776407&quot;/&gt;&lt;wsp:rsid wsp:val=&quot;00776409&quot;/&gt;&lt;wsp:rsid wsp:val=&quot;00776E14&quot;/&gt;&lt;wsp:rsid wsp:val=&quot;007802FB&quot;/&gt;&lt;wsp:rsid wsp:val=&quot;007805EA&quot;/&gt;&lt;wsp:rsid wsp:val=&quot;00780726&quot;/&gt;&lt;wsp:rsid wsp:val=&quot;00780A8F&quot;/&gt;&lt;wsp:rsid wsp:val=&quot;00781370&quot;/&gt;&lt;wsp:rsid wsp:val=&quot;007814E8&quot;/&gt;&lt;wsp:rsid wsp:val=&quot;007815B3&quot;/&gt;&lt;wsp:rsid wsp:val=&quot;0078239D&quot;/&gt;&lt;wsp:rsid wsp:val=&quot;0078250A&quot;/&gt;&lt;wsp:rsid wsp:val=&quot;00782A94&quot;/&gt;&lt;wsp:rsid wsp:val=&quot;00782EAD&quot;/&gt;&lt;wsp:rsid wsp:val=&quot;0078316A&quot;/&gt;&lt;wsp:rsid wsp:val=&quot;00783693&quot;/&gt;&lt;wsp:rsid wsp:val=&quot;007836A4&quot;/&gt;&lt;wsp:rsid wsp:val=&quot;00783824&quot;/&gt;&lt;wsp:rsid wsp:val=&quot;00783AD9&quot;/&gt;&lt;wsp:rsid wsp:val=&quot;00783F96&quot;/&gt;&lt;wsp:rsid wsp:val=&quot;0078409F&quot;/&gt;&lt;wsp:rsid wsp:val=&quot;00784144&quot;/&gt;&lt;wsp:rsid wsp:val=&quot;00784361&quot;/&gt;&lt;wsp:rsid wsp:val=&quot;007843FC&quot;/&gt;&lt;wsp:rsid wsp:val=&quot;00784DBF&quot;/&gt;&lt;wsp:rsid wsp:val=&quot;00784ECA&quot;/&gt;&lt;wsp:rsid wsp:val=&quot;007854F0&quot;/&gt;&lt;wsp:rsid wsp:val=&quot;007856F0&quot;/&gt;&lt;wsp:rsid wsp:val=&quot;00785CD6&quot;/&gt;&lt;wsp:rsid wsp:val=&quot;00786CB3&quot;/&gt;&lt;wsp:rsid wsp:val=&quot;00787284&quot;/&gt;&lt;wsp:rsid wsp:val=&quot;00787299&quot;/&gt;&lt;wsp:rsid wsp:val=&quot;00787391&quot;/&gt;&lt;wsp:rsid wsp:val=&quot;00787588&quot;/&gt;&lt;wsp:rsid wsp:val=&quot;00787761&quot;/&gt;&lt;wsp:rsid wsp:val=&quot;00787AE8&quot;/&gt;&lt;wsp:rsid wsp:val=&quot;00787E70&quot;/&gt;&lt;wsp:rsid wsp:val=&quot;00787FFA&quot;/&gt;&lt;wsp:rsid wsp:val=&quot;007905C0&quot;/&gt;&lt;wsp:rsid wsp:val=&quot;007906E9&quot;/&gt;&lt;wsp:rsid wsp:val=&quot;0079074F&quot;/&gt;&lt;wsp:rsid wsp:val=&quot;0079098A&quot;/&gt;&lt;wsp:rsid wsp:val=&quot;0079196A&quot;/&gt;&lt;wsp:rsid wsp:val=&quot;00791A8E&quot;/&gt;&lt;wsp:rsid wsp:val=&quot;00791F0C&quot;/&gt;&lt;wsp:rsid wsp:val=&quot;007922BC&quot;/&gt;&lt;wsp:rsid wsp:val=&quot;00792948&quot;/&gt;&lt;wsp:rsid wsp:val=&quot;00793033&quot;/&gt;&lt;wsp:rsid wsp:val=&quot;00793603&quot;/&gt;&lt;wsp:rsid wsp:val=&quot;00793EAE&quot;/&gt;&lt;wsp:rsid wsp:val=&quot;00793F0E&quot;/&gt;&lt;wsp:rsid wsp:val=&quot;00793FFF&quot;/&gt;&lt;wsp:rsid wsp:val=&quot;00794205&quot;/&gt;&lt;wsp:rsid wsp:val=&quot;0079479C&quot;/&gt;&lt;wsp:rsid wsp:val=&quot;00794A0E&quot;/&gt;&lt;wsp:rsid wsp:val=&quot;00794A14&quot;/&gt;&lt;wsp:rsid wsp:val=&quot;00794D8C&quot;/&gt;&lt;wsp:rsid wsp:val=&quot;0079539C&quot;/&gt;&lt;wsp:rsid wsp:val=&quot;00795682&quot;/&gt;&lt;wsp:rsid wsp:val=&quot;00795BF3&quot;/&gt;&lt;wsp:rsid wsp:val=&quot;00795E74&quot;/&gt;&lt;wsp:rsid wsp:val=&quot;0079670E&quot;/&gt;&lt;wsp:rsid wsp:val=&quot;00796880&quot;/&gt;&lt;wsp:rsid wsp:val=&quot;007977DC&quot;/&gt;&lt;wsp:rsid wsp:val=&quot;00797931&quot;/&gt;&lt;wsp:rsid wsp:val=&quot;007A1746&quot;/&gt;&lt;wsp:rsid wsp:val=&quot;007A2966&quot;/&gt;&lt;wsp:rsid wsp:val=&quot;007A2A83&quot;/&gt;&lt;wsp:rsid wsp:val=&quot;007A2A98&quot;/&gt;&lt;wsp:rsid wsp:val=&quot;007A2D2C&quot;/&gt;&lt;wsp:rsid wsp:val=&quot;007A3735&quot;/&gt;&lt;wsp:rsid wsp:val=&quot;007A3910&quot;/&gt;&lt;wsp:rsid wsp:val=&quot;007A41BD&quot;/&gt;&lt;wsp:rsid wsp:val=&quot;007A4323&quot;/&gt;&lt;wsp:rsid wsp:val=&quot;007A5186&quot;/&gt;&lt;wsp:rsid wsp:val=&quot;007A5507&quot;/&gt;&lt;wsp:rsid wsp:val=&quot;007A55C9&quot;/&gt;&lt;wsp:rsid wsp:val=&quot;007A55DE&quot;/&gt;&lt;wsp:rsid wsp:val=&quot;007A5672&quot;/&gt;&lt;wsp:rsid wsp:val=&quot;007A577F&quot;/&gt;&lt;wsp:rsid wsp:val=&quot;007A5A46&quot;/&gt;&lt;wsp:rsid wsp:val=&quot;007A5DF6&quot;/&gt;&lt;wsp:rsid wsp:val=&quot;007A60BF&quot;/&gt;&lt;wsp:rsid wsp:val=&quot;007A617E&quot;/&gt;&lt;wsp:rsid wsp:val=&quot;007A6184&quot;/&gt;&lt;wsp:rsid wsp:val=&quot;007A61BA&quot;/&gt;&lt;wsp:rsid wsp:val=&quot;007A63F1&quot;/&gt;&lt;wsp:rsid wsp:val=&quot;007A6716&quot;/&gt;&lt;wsp:rsid wsp:val=&quot;007A689F&quot;/&gt;&lt;wsp:rsid wsp:val=&quot;007A6F9B&quot;/&gt;&lt;wsp:rsid wsp:val=&quot;007A6FC6&quot;/&gt;&lt;wsp:rsid wsp:val=&quot;007A77E2&quot;/&gt;&lt;wsp:rsid wsp:val=&quot;007A7BC3&quot;/&gt;&lt;wsp:rsid wsp:val=&quot;007B05FD&quot;/&gt;&lt;wsp:rsid wsp:val=&quot;007B0681&quot;/&gt;&lt;wsp:rsid wsp:val=&quot;007B0F26&quot;/&gt;&lt;wsp:rsid wsp:val=&quot;007B0FA2&quot;/&gt;&lt;wsp:rsid wsp:val=&quot;007B12CF&quot;/&gt;&lt;wsp:rsid wsp:val=&quot;007B33BB&quot;/&gt;&lt;wsp:rsid wsp:val=&quot;007B36B0&quot;/&gt;&lt;wsp:rsid wsp:val=&quot;007B4A76&quot;/&gt;&lt;wsp:rsid wsp:val=&quot;007B4C13&quot;/&gt;&lt;wsp:rsid wsp:val=&quot;007B4D2B&quot;/&gt;&lt;wsp:rsid wsp:val=&quot;007B4EE1&quot;/&gt;&lt;wsp:rsid wsp:val=&quot;007B52FE&quot;/&gt;&lt;wsp:rsid wsp:val=&quot;007B5F37&quot;/&gt;&lt;wsp:rsid wsp:val=&quot;007B609A&quot;/&gt;&lt;wsp:rsid wsp:val=&quot;007B60D6&quot;/&gt;&lt;wsp:rsid wsp:val=&quot;007B6136&quot;/&gt;&lt;wsp:rsid wsp:val=&quot;007B64F8&quot;/&gt;&lt;wsp:rsid wsp:val=&quot;007B663E&quot;/&gt;&lt;wsp:rsid wsp:val=&quot;007B6A3E&quot;/&gt;&lt;wsp:rsid wsp:val=&quot;007B6EB3&quot;/&gt;&lt;wsp:rsid wsp:val=&quot;007B6F1C&quot;/&gt;&lt;wsp:rsid wsp:val=&quot;007B7501&quot;/&gt;&lt;wsp:rsid wsp:val=&quot;007B7C07&quot;/&gt;&lt;wsp:rsid wsp:val=&quot;007B7D4F&quot;/&gt;&lt;wsp:rsid wsp:val=&quot;007B7DD3&quot;/&gt;&lt;wsp:rsid wsp:val=&quot;007B7E01&quot;/&gt;&lt;wsp:rsid wsp:val=&quot;007C0412&quot;/&gt;&lt;wsp:rsid wsp:val=&quot;007C08B8&quot;/&gt;&lt;wsp:rsid wsp:val=&quot;007C0BF6&quot;/&gt;&lt;wsp:rsid wsp:val=&quot;007C1292&quot;/&gt;&lt;wsp:rsid wsp:val=&quot;007C16F9&quot;/&gt;&lt;wsp:rsid wsp:val=&quot;007C1B5D&quot;/&gt;&lt;wsp:rsid wsp:val=&quot;007C1C23&quot;/&gt;&lt;wsp:rsid wsp:val=&quot;007C1E05&quot;/&gt;&lt;wsp:rsid wsp:val=&quot;007C24E2&quot;/&gt;&lt;wsp:rsid wsp:val=&quot;007C280B&quot;/&gt;&lt;wsp:rsid wsp:val=&quot;007C32E5&quot;/&gt;&lt;wsp:rsid wsp:val=&quot;007C3392&quot;/&gt;&lt;wsp:rsid wsp:val=&quot;007C4654&quot;/&gt;&lt;wsp:rsid wsp:val=&quot;007C46C8&quot;/&gt;&lt;wsp:rsid wsp:val=&quot;007C47EB&quot;/&gt;&lt;wsp:rsid wsp:val=&quot;007C4D27&quot;/&gt;&lt;wsp:rsid wsp:val=&quot;007C5294&quot;/&gt;&lt;wsp:rsid wsp:val=&quot;007C54F3&quot;/&gt;&lt;wsp:rsid wsp:val=&quot;007C5A5E&quot;/&gt;&lt;wsp:rsid wsp:val=&quot;007C5B90&quot;/&gt;&lt;wsp:rsid wsp:val=&quot;007C5BEA&quot;/&gt;&lt;wsp:rsid wsp:val=&quot;007C608A&quot;/&gt;&lt;wsp:rsid wsp:val=&quot;007C64BA&quot;/&gt;&lt;wsp:rsid wsp:val=&quot;007C64F6&quot;/&gt;&lt;wsp:rsid wsp:val=&quot;007C668A&quot;/&gt;&lt;wsp:rsid wsp:val=&quot;007C6CFE&quot;/&gt;&lt;wsp:rsid wsp:val=&quot;007C6D9E&quot;/&gt;&lt;wsp:rsid wsp:val=&quot;007C6E57&quot;/&gt;&lt;wsp:rsid wsp:val=&quot;007C6EE5&quot;/&gt;&lt;wsp:rsid wsp:val=&quot;007C6FD8&quot;/&gt;&lt;wsp:rsid wsp:val=&quot;007C714F&quot;/&gt;&lt;wsp:rsid wsp:val=&quot;007C7870&quot;/&gt;&lt;wsp:rsid wsp:val=&quot;007C7952&quot;/&gt;&lt;wsp:rsid wsp:val=&quot;007C7B7D&quot;/&gt;&lt;wsp:rsid wsp:val=&quot;007C7B91&quot;/&gt;&lt;wsp:rsid wsp:val=&quot;007D0381&quot;/&gt;&lt;wsp:rsid wsp:val=&quot;007D0A06&quot;/&gt;&lt;wsp:rsid wsp:val=&quot;007D0A28&quot;/&gt;&lt;wsp:rsid wsp:val=&quot;007D0B79&quot;/&gt;&lt;wsp:rsid wsp:val=&quot;007D0D65&quot;/&gt;&lt;wsp:rsid wsp:val=&quot;007D2061&quot;/&gt;&lt;wsp:rsid wsp:val=&quot;007D24E8&quot;/&gt;&lt;wsp:rsid wsp:val=&quot;007D286C&quot;/&gt;&lt;wsp:rsid wsp:val=&quot;007D2C15&quot;/&gt;&lt;wsp:rsid wsp:val=&quot;007D2DD6&quot;/&gt;&lt;wsp:rsid wsp:val=&quot;007D30D4&quot;/&gt;&lt;wsp:rsid wsp:val=&quot;007D36A5&quot;/&gt;&lt;wsp:rsid wsp:val=&quot;007D3B5C&quot;/&gt;&lt;wsp:rsid wsp:val=&quot;007D3EEE&quot;/&gt;&lt;wsp:rsid wsp:val=&quot;007D461C&quot;/&gt;&lt;wsp:rsid wsp:val=&quot;007D4C97&quot;/&gt;&lt;wsp:rsid wsp:val=&quot;007D4EBB&quot;/&gt;&lt;wsp:rsid wsp:val=&quot;007D526C&quot;/&gt;&lt;wsp:rsid wsp:val=&quot;007D5D1B&quot;/&gt;&lt;wsp:rsid wsp:val=&quot;007D6509&quot;/&gt;&lt;wsp:rsid wsp:val=&quot;007D659B&quot;/&gt;&lt;wsp:rsid wsp:val=&quot;007D65A8&quot;/&gt;&lt;wsp:rsid wsp:val=&quot;007D683C&quot;/&gt;&lt;wsp:rsid wsp:val=&quot;007D6A47&quot;/&gt;&lt;wsp:rsid wsp:val=&quot;007D7DE9&quot;/&gt;&lt;wsp:rsid wsp:val=&quot;007D7E64&quot;/&gt;&lt;wsp:rsid wsp:val=&quot;007D7F67&quot;/&gt;&lt;wsp:rsid wsp:val=&quot;007D7FB8&quot;/&gt;&lt;wsp:rsid wsp:val=&quot;007E042F&quot;/&gt;&lt;wsp:rsid wsp:val=&quot;007E0979&quot;/&gt;&lt;wsp:rsid wsp:val=&quot;007E19F2&quot;/&gt;&lt;wsp:rsid wsp:val=&quot;007E1F0E&quot;/&gt;&lt;wsp:rsid wsp:val=&quot;007E20CA&quot;/&gt;&lt;wsp:rsid wsp:val=&quot;007E2274&quot;/&gt;&lt;wsp:rsid wsp:val=&quot;007E24B9&quot;/&gt;&lt;wsp:rsid wsp:val=&quot;007E28D4&quot;/&gt;&lt;wsp:rsid wsp:val=&quot;007E3D2A&quot;/&gt;&lt;wsp:rsid wsp:val=&quot;007E3D4E&quot;/&gt;&lt;wsp:rsid wsp:val=&quot;007E40D8&quot;/&gt;&lt;wsp:rsid wsp:val=&quot;007E411E&quot;/&gt;&lt;wsp:rsid wsp:val=&quot;007E46BC&quot;/&gt;&lt;wsp:rsid wsp:val=&quot;007E4B3E&quot;/&gt;&lt;wsp:rsid wsp:val=&quot;007E557F&quot;/&gt;&lt;wsp:rsid wsp:val=&quot;007E5628&quot;/&gt;&lt;wsp:rsid wsp:val=&quot;007E5C41&quot;/&gt;&lt;wsp:rsid wsp:val=&quot;007E5E56&quot;/&gt;&lt;wsp:rsid wsp:val=&quot;007E612A&quot;/&gt;&lt;wsp:rsid wsp:val=&quot;007E6703&quot;/&gt;&lt;wsp:rsid wsp:val=&quot;007E6C4B&quot;/&gt;&lt;wsp:rsid wsp:val=&quot;007E7033&quot;/&gt;&lt;wsp:rsid wsp:val=&quot;007E78A2&quot;/&gt;&lt;wsp:rsid wsp:val=&quot;007E7B6B&quot;/&gt;&lt;wsp:rsid wsp:val=&quot;007F0D0B&quot;/&gt;&lt;wsp:rsid wsp:val=&quot;007F0D67&quot;/&gt;&lt;wsp:rsid wsp:val=&quot;007F1029&quot;/&gt;&lt;wsp:rsid wsp:val=&quot;007F11C2&quot;/&gt;&lt;wsp:rsid wsp:val=&quot;007F14FA&quot;/&gt;&lt;wsp:rsid wsp:val=&quot;007F15C6&quot;/&gt;&lt;wsp:rsid wsp:val=&quot;007F1D12&quot;/&gt;&lt;wsp:rsid wsp:val=&quot;007F1FD1&quot;/&gt;&lt;wsp:rsid wsp:val=&quot;007F21A6&quot;/&gt;&lt;wsp:rsid wsp:val=&quot;007F29F6&quot;/&gt;&lt;wsp:rsid wsp:val=&quot;007F2B96&quot;/&gt;&lt;wsp:rsid wsp:val=&quot;007F2CF5&quot;/&gt;&lt;wsp:rsid wsp:val=&quot;007F2E84&quot;/&gt;&lt;wsp:rsid wsp:val=&quot;007F3ACE&quot;/&gt;&lt;wsp:rsid wsp:val=&quot;007F4B5F&quot;/&gt;&lt;wsp:rsid wsp:val=&quot;007F4CFD&quot;/&gt;&lt;wsp:rsid wsp:val=&quot;007F5A28&quot;/&gt;&lt;wsp:rsid wsp:val=&quot;007F611D&quot;/&gt;&lt;wsp:rsid wsp:val=&quot;007F650D&quot;/&gt;&lt;wsp:rsid wsp:val=&quot;007F7A17&quot;/&gt;&lt;wsp:rsid wsp:val=&quot;007F7A26&quot;/&gt;&lt;wsp:rsid wsp:val=&quot;00800ED0&quot;/&gt;&lt;wsp:rsid wsp:val=&quot;00801094&quot;/&gt;&lt;wsp:rsid wsp:val=&quot;0080146B&quot;/&gt;&lt;wsp:rsid wsp:val=&quot;00801B5F&quot;/&gt;&lt;wsp:rsid wsp:val=&quot;008020EC&quot;/&gt;&lt;wsp:rsid wsp:val=&quot;00802394&quot;/&gt;&lt;wsp:rsid wsp:val=&quot;00803975&quot;/&gt;&lt;wsp:rsid wsp:val=&quot;00803A0B&quot;/&gt;&lt;wsp:rsid wsp:val=&quot;00804158&quot;/&gt;&lt;wsp:rsid wsp:val=&quot;00804393&quot;/&gt;&lt;wsp:rsid wsp:val=&quot;008047DB&quot;/&gt;&lt;wsp:rsid wsp:val=&quot;00804CA1&quot;/&gt;&lt;wsp:rsid wsp:val=&quot;00805042&quot;/&gt;&lt;wsp:rsid wsp:val=&quot;0080515E&quot;/&gt;&lt;wsp:rsid wsp:val=&quot;00805268&quot;/&gt;&lt;wsp:rsid wsp:val=&quot;00805F65&quot;/&gt;&lt;wsp:rsid wsp:val=&quot;0080626E&quot;/&gt;&lt;wsp:rsid wsp:val=&quot;008062AA&quot;/&gt;&lt;wsp:rsid wsp:val=&quot;00806FE0&quot;/&gt;&lt;wsp:rsid wsp:val=&quot;00807176&quot;/&gt;&lt;wsp:rsid wsp:val=&quot;008077BA&quot;/&gt;&lt;wsp:rsid wsp:val=&quot;008078E6&quot;/&gt;&lt;wsp:rsid wsp:val=&quot;00807C6D&quot;/&gt;&lt;wsp:rsid wsp:val=&quot;00807FE8&quot;/&gt;&lt;wsp:rsid wsp:val=&quot;0081000D&quot;/&gt;&lt;wsp:rsid wsp:val=&quot;00810211&quot;/&gt;&lt;wsp:rsid wsp:val=&quot;008102D9&quot;/&gt;&lt;wsp:rsid wsp:val=&quot;00810437&quot;/&gt;&lt;wsp:rsid wsp:val=&quot;00810A75&quot;/&gt;&lt;wsp:rsid wsp:val=&quot;00810CE0&quot;/&gt;&lt;wsp:rsid wsp:val=&quot;008112F4&quot;/&gt;&lt;wsp:rsid wsp:val=&quot;00811505&quot;/&gt;&lt;wsp:rsid wsp:val=&quot;0081154D&quot;/&gt;&lt;wsp:rsid wsp:val=&quot;0081156E&quot;/&gt;&lt;wsp:rsid wsp:val=&quot;00811BB3&quot;/&gt;&lt;wsp:rsid wsp:val=&quot;00811D66&quot;/&gt;&lt;wsp:rsid wsp:val=&quot;00812431&quot;/&gt;&lt;wsp:rsid wsp:val=&quot;00812E0E&quot;/&gt;&lt;wsp:rsid wsp:val=&quot;008130E1&quot;/&gt;&lt;wsp:rsid wsp:val=&quot;00813455&quot;/&gt;&lt;wsp:rsid wsp:val=&quot;00813A2D&quot;/&gt;&lt;wsp:rsid wsp:val=&quot;00813FE4&quot;/&gt;&lt;wsp:rsid wsp:val=&quot;00815082&quot;/&gt;&lt;wsp:rsid wsp:val=&quot;00816077&quot;/&gt;&lt;wsp:rsid wsp:val=&quot;0081614B&quot;/&gt;&lt;wsp:rsid wsp:val=&quot;008161CE&quot;/&gt;&lt;wsp:rsid wsp:val=&quot;008164FA&quot;/&gt;&lt;wsp:rsid wsp:val=&quot;008165F2&quot;/&gt;&lt;wsp:rsid wsp:val=&quot;00817293&quot;/&gt;&lt;wsp:rsid wsp:val=&quot;0081773A&quot;/&gt;&lt;wsp:rsid wsp:val=&quot;00817910&quot;/&gt;&lt;wsp:rsid wsp:val=&quot;00817D54&quot;/&gt;&lt;wsp:rsid wsp:val=&quot;00820487&quot;/&gt;&lt;wsp:rsid wsp:val=&quot;00820C7B&quot;/&gt;&lt;wsp:rsid wsp:val=&quot;00820E0C&quot;/&gt;&lt;wsp:rsid wsp:val=&quot;00820E6E&quot;/&gt;&lt;wsp:rsid wsp:val=&quot;00821652&quot;/&gt;&lt;wsp:rsid wsp:val=&quot;008217E9&quot;/&gt;&lt;wsp:rsid wsp:val=&quot;0082189F&quot;/&gt;&lt;wsp:rsid wsp:val=&quot;008224E5&quot;/&gt;&lt;wsp:rsid wsp:val=&quot;00822E5E&quot;/&gt;&lt;wsp:rsid wsp:val=&quot;00823D28&quot;/&gt;&lt;wsp:rsid wsp:val=&quot;00824597&quot;/&gt;&lt;wsp:rsid wsp:val=&quot;008245D7&quot;/&gt;&lt;wsp:rsid wsp:val=&quot;00824B99&quot;/&gt;&lt;wsp:rsid wsp:val=&quot;00824D96&quot;/&gt;&lt;wsp:rsid wsp:val=&quot;0082580A&quot;/&gt;&lt;wsp:rsid wsp:val=&quot;00825837&quot;/&gt;&lt;wsp:rsid wsp:val=&quot;00825ABA&quot;/&gt;&lt;wsp:rsid wsp:val=&quot;00825B13&quot;/&gt;&lt;wsp:rsid wsp:val=&quot;00826305&quot;/&gt;&lt;wsp:rsid wsp:val=&quot;0082685F&quot;/&gt;&lt;wsp:rsid wsp:val=&quot;0082721E&quot;/&gt;&lt;wsp:rsid wsp:val=&quot;008273A5&quot;/&gt;&lt;wsp:rsid wsp:val=&quot;00827C10&quot;/&gt;&lt;wsp:rsid wsp:val=&quot;0083013C&quot;/&gt;&lt;wsp:rsid wsp:val=&quot;008302CC&quot;/&gt;&lt;wsp:rsid wsp:val=&quot;0083087D&quot;/&gt;&lt;wsp:rsid wsp:val=&quot;00830D57&quot;/&gt;&lt;wsp:rsid wsp:val=&quot;00830F6A&quot;/&gt;&lt;wsp:rsid wsp:val=&quot;00831CD5&quot;/&gt;&lt;wsp:rsid wsp:val=&quot;00831DF8&quot;/&gt;&lt;wsp:rsid wsp:val=&quot;008320A3&quot;/&gt;&lt;wsp:rsid wsp:val=&quot;0083277B&quot;/&gt;&lt;wsp:rsid wsp:val=&quot;0083283B&quot;/&gt;&lt;wsp:rsid wsp:val=&quot;008331FC&quot;/&gt;&lt;wsp:rsid wsp:val=&quot;0083336C&quot;/&gt;&lt;wsp:rsid wsp:val=&quot;008334E2&quot;/&gt;&lt;wsp:rsid wsp:val=&quot;00833A89&quot;/&gt;&lt;wsp:rsid wsp:val=&quot;008340FF&quot;/&gt;&lt;wsp:rsid wsp:val=&quot;00834518&quot;/&gt;&lt;wsp:rsid wsp:val=&quot;0083459E&quot;/&gt;&lt;wsp:rsid wsp:val=&quot;00834654&quot;/&gt;&lt;wsp:rsid wsp:val=&quot;00834B6B&quot;/&gt;&lt;wsp:rsid wsp:val=&quot;00834D57&quot;/&gt;&lt;wsp:rsid wsp:val=&quot;0083518C&quot;/&gt;&lt;wsp:rsid wsp:val=&quot;008351C2&quot;/&gt;&lt;wsp:rsid wsp:val=&quot;00835402&quot;/&gt;&lt;wsp:rsid wsp:val=&quot;00835465&quot;/&gt;&lt;wsp:rsid wsp:val=&quot;0083556E&quot;/&gt;&lt;wsp:rsid wsp:val=&quot;008357B6&quot;/&gt;&lt;wsp:rsid wsp:val=&quot;00836333&quot;/&gt;&lt;wsp:rsid wsp:val=&quot;0083636F&quot;/&gt;&lt;wsp:rsid wsp:val=&quot;008364DB&quot;/&gt;&lt;wsp:rsid wsp:val=&quot;00836890&quot;/&gt;&lt;wsp:rsid wsp:val=&quot;008368D3&quot;/&gt;&lt;wsp:rsid wsp:val=&quot;00836D3F&quot;/&gt;&lt;wsp:rsid wsp:val=&quot;00836E4C&quot;/&gt;&lt;wsp:rsid wsp:val=&quot;00837195&quot;/&gt;&lt;wsp:rsid wsp:val=&quot;008372DB&quot;/&gt;&lt;wsp:rsid wsp:val=&quot;008376E2&quot;/&gt;&lt;wsp:rsid wsp:val=&quot;00837CAA&quot;/&gt;&lt;wsp:rsid wsp:val=&quot;00837D52&quot;/&gt;&lt;wsp:rsid wsp:val=&quot;00837E52&quot;/&gt;&lt;wsp:rsid wsp:val=&quot;008400DF&quot;/&gt;&lt;wsp:rsid wsp:val=&quot;00840289&quot;/&gt;&lt;wsp:rsid wsp:val=&quot;00840E66&quot;/&gt;&lt;wsp:rsid wsp:val=&quot;0084222F&quot;/&gt;&lt;wsp:rsid wsp:val=&quot;00842887&quot;/&gt;&lt;wsp:rsid wsp:val=&quot;00842C09&quot;/&gt;&lt;wsp:rsid wsp:val=&quot;00842D37&quot;/&gt;&lt;wsp:rsid wsp:val=&quot;00843567&quot;/&gt;&lt;wsp:rsid wsp:val=&quot;00843A27&quot;/&gt;&lt;wsp:rsid wsp:val=&quot;00843F07&quot;/&gt;&lt;wsp:rsid wsp:val=&quot;00843F99&quot;/&gt;&lt;wsp:rsid wsp:val=&quot;0084442A&quot;/&gt;&lt;wsp:rsid wsp:val=&quot;00844D21&quot;/&gt;&lt;wsp:rsid wsp:val=&quot;0084503A&quot;/&gt;&lt;wsp:rsid wsp:val=&quot;008450B4&quot;/&gt;&lt;wsp:rsid wsp:val=&quot;008453E0&quot;/&gt;&lt;wsp:rsid wsp:val=&quot;008455DC&quot;/&gt;&lt;wsp:rsid wsp:val=&quot;00845E12&quot;/&gt;&lt;wsp:rsid wsp:val=&quot;00846256&quot;/&gt;&lt;wsp:rsid wsp:val=&quot;00846354&quot;/&gt;&lt;wsp:rsid wsp:val=&quot;0084657F&quot;/&gt;&lt;wsp:rsid wsp:val=&quot;0084799C&quot;/&gt;&lt;wsp:rsid wsp:val=&quot;00847D7F&quot;/&gt;&lt;wsp:rsid wsp:val=&quot;00847E56&quot;/&gt;&lt;wsp:rsid wsp:val=&quot;008504E0&quot;/&gt;&lt;wsp:rsid wsp:val=&quot;00850E46&quot;/&gt;&lt;wsp:rsid wsp:val=&quot;00850EF9&quot;/&gt;&lt;wsp:rsid wsp:val=&quot;008514CA&quot;/&gt;&lt;wsp:rsid wsp:val=&quot;00851509&quot;/&gt;&lt;wsp:rsid wsp:val=&quot;008521B9&quot;/&gt;&lt;wsp:rsid wsp:val=&quot;00852EED&quot;/&gt;&lt;wsp:rsid wsp:val=&quot;00853877&quot;/&gt;&lt;wsp:rsid wsp:val=&quot;00853CB9&quot;/&gt;&lt;wsp:rsid wsp:val=&quot;00853D57&quot;/&gt;&lt;wsp:rsid wsp:val=&quot;00854BE7&quot;/&gt;&lt;wsp:rsid wsp:val=&quot;00856740&quot;/&gt;&lt;wsp:rsid wsp:val=&quot;008570BF&quot;/&gt;&lt;wsp:rsid wsp:val=&quot;00857A94&quot;/&gt;&lt;wsp:rsid wsp:val=&quot;00857E3F&quot;/&gt;&lt;wsp:rsid wsp:val=&quot;00857EEA&quot;/&gt;&lt;wsp:rsid wsp:val=&quot;008600D3&quot;/&gt;&lt;wsp:rsid wsp:val=&quot;00860C28&quot;/&gt;&lt;wsp:rsid wsp:val=&quot;00862375&quot;/&gt;&lt;wsp:rsid wsp:val=&quot;0086248F&quot;/&gt;&lt;wsp:rsid wsp:val=&quot;0086255C&quot;/&gt;&lt;wsp:rsid wsp:val=&quot;00862604&quot;/&gt;&lt;wsp:rsid wsp:val=&quot;00862B84&quot;/&gt;&lt;wsp:rsid wsp:val=&quot;00862C97&quot;/&gt;&lt;wsp:rsid wsp:val=&quot;008632A6&quot;/&gt;&lt;wsp:rsid wsp:val=&quot;00863404&quot;/&gt;&lt;wsp:rsid wsp:val=&quot;00863FCD&quot;/&gt;&lt;wsp:rsid wsp:val=&quot;00864C77&quot;/&gt;&lt;wsp:rsid wsp:val=&quot;0086563E&quot;/&gt;&lt;wsp:rsid wsp:val=&quot;00865B9E&quot;/&gt;&lt;wsp:rsid wsp:val=&quot;008660DB&quot;/&gt;&lt;wsp:rsid wsp:val=&quot;00866103&quot;/&gt;&lt;wsp:rsid wsp:val=&quot;00866676&quot;/&gt;&lt;wsp:rsid wsp:val=&quot;008670EF&quot;/&gt;&lt;wsp:rsid wsp:val=&quot;00867146&quot;/&gt;&lt;wsp:rsid wsp:val=&quot;0087027A&quot;/&gt;&lt;wsp:rsid wsp:val=&quot;00870301&quot;/&gt;&lt;wsp:rsid wsp:val=&quot;008703EB&quot;/&gt;&lt;wsp:rsid wsp:val=&quot;008703EC&quot;/&gt;&lt;wsp:rsid wsp:val=&quot;0087049B&quot;/&gt;&lt;wsp:rsid wsp:val=&quot;0087050A&quot;/&gt;&lt;wsp:rsid wsp:val=&quot;00870A62&quot;/&gt;&lt;wsp:rsid wsp:val=&quot;00870B5C&quot;/&gt;&lt;wsp:rsid wsp:val=&quot;00871037&quot;/&gt;&lt;wsp:rsid wsp:val=&quot;008713A5&quot;/&gt;&lt;wsp:rsid wsp:val=&quot;0087147B&quot;/&gt;&lt;wsp:rsid wsp:val=&quot;008719F3&quot;/&gt;&lt;wsp:rsid wsp:val=&quot;00871B45&quot;/&gt;&lt;wsp:rsid wsp:val=&quot;00871B83&quot;/&gt;&lt;wsp:rsid wsp:val=&quot;00871E76&quot;/&gt;&lt;wsp:rsid wsp:val=&quot;00872B3C&quot;/&gt;&lt;wsp:rsid wsp:val=&quot;00872EEB&quot;/&gt;&lt;wsp:rsid wsp:val=&quot;00872F07&quot;/&gt;&lt;wsp:rsid wsp:val=&quot;0087331B&quot;/&gt;&lt;wsp:rsid wsp:val=&quot;008737A8&quot;/&gt;&lt;wsp:rsid wsp:val=&quot;008737D5&quot;/&gt;&lt;wsp:rsid wsp:val=&quot;00873B80&quot;/&gt;&lt;wsp:rsid wsp:val=&quot;00873E56&quot;/&gt;&lt;wsp:rsid wsp:val=&quot;0087446E&quot;/&gt;&lt;wsp:rsid wsp:val=&quot;00874D4D&quot;/&gt;&lt;wsp:rsid wsp:val=&quot;00875187&quot;/&gt;&lt;wsp:rsid wsp:val=&quot;008752B9&quot;/&gt;&lt;wsp:rsid wsp:val=&quot;008755CB&quot;/&gt;&lt;wsp:rsid wsp:val=&quot;00875D26&quot;/&gt;&lt;wsp:rsid wsp:val=&quot;00875D4D&quot;/&gt;&lt;wsp:rsid wsp:val=&quot;00875DDC&quot;/&gt;&lt;wsp:rsid wsp:val=&quot;00876128&quot;/&gt;&lt;wsp:rsid wsp:val=&quot;00876179&quot;/&gt;&lt;wsp:rsid wsp:val=&quot;008763BF&quot;/&gt;&lt;wsp:rsid wsp:val=&quot;0087673F&quot;/&gt;&lt;wsp:rsid wsp:val=&quot;008768EF&quot;/&gt;&lt;wsp:rsid wsp:val=&quot;00876A02&quot;/&gt;&lt;wsp:rsid wsp:val=&quot;00876D71&quot;/&gt;&lt;wsp:rsid wsp:val=&quot;0087720C&quot;/&gt;&lt;wsp:rsid wsp:val=&quot;00877BEF&quot;/&gt;&lt;wsp:rsid wsp:val=&quot;00877DEA&quot;/&gt;&lt;wsp:rsid wsp:val=&quot;00880150&quot;/&gt;&lt;wsp:rsid wsp:val=&quot;00881065&quot;/&gt;&lt;wsp:rsid wsp:val=&quot;00882997&quot;/&gt;&lt;wsp:rsid wsp:val=&quot;00883320&quot;/&gt;&lt;wsp:rsid wsp:val=&quot;00883385&quot;/&gt;&lt;wsp:rsid wsp:val=&quot;00883722&quot;/&gt;&lt;wsp:rsid wsp:val=&quot;00884081&quot;/&gt;&lt;wsp:rsid wsp:val=&quot;00884088&quot;/&gt;&lt;wsp:rsid wsp:val=&quot;00884A0F&quot;/&gt;&lt;wsp:rsid wsp:val=&quot;0088509A&quot;/&gt;&lt;wsp:rsid wsp:val=&quot;00885996&quot;/&gt;&lt;wsp:rsid wsp:val=&quot;008859ED&quot;/&gt;&lt;wsp:rsid wsp:val=&quot;00885B39&quot;/&gt;&lt;wsp:rsid wsp:val=&quot;008860A3&quot;/&gt;&lt;wsp:rsid wsp:val=&quot;00886328&quot;/&gt;&lt;wsp:rsid wsp:val=&quot;00886994&quot;/&gt;&lt;wsp:rsid wsp:val=&quot;00886B20&quot;/&gt;&lt;wsp:rsid wsp:val=&quot;00886CC6&quot;/&gt;&lt;wsp:rsid wsp:val=&quot;00886FA6&quot;/&gt;&lt;wsp:rsid wsp:val=&quot;008879C6&quot;/&gt;&lt;wsp:rsid wsp:val=&quot;00890D40&quot;/&gt;&lt;wsp:rsid wsp:val=&quot;008911CA&quot;/&gt;&lt;wsp:rsid wsp:val=&quot;00891542&quot;/&gt;&lt;wsp:rsid wsp:val=&quot;00892068&quot;/&gt;&lt;wsp:rsid wsp:val=&quot;0089218A&quot;/&gt;&lt;wsp:rsid wsp:val=&quot;00892336&quot;/&gt;&lt;wsp:rsid wsp:val=&quot;00892743&quot;/&gt;&lt;wsp:rsid wsp:val=&quot;00892AAC&quot;/&gt;&lt;wsp:rsid wsp:val=&quot;00892C31&quot;/&gt;&lt;wsp:rsid wsp:val=&quot;00892E86&quot;/&gt;&lt;wsp:rsid wsp:val=&quot;008932B3&quot;/&gt;&lt;wsp:rsid wsp:val=&quot;0089365B&quot;/&gt;&lt;wsp:rsid wsp:val=&quot;008939E7&quot;/&gt;&lt;wsp:rsid wsp:val=&quot;00893D82&quot;/&gt;&lt;wsp:rsid wsp:val=&quot;00894485&quot;/&gt;&lt;wsp:rsid wsp:val=&quot;00894CE3&quot;/&gt;&lt;wsp:rsid wsp:val=&quot;00895384&quot;/&gt;&lt;wsp:rsid wsp:val=&quot;00895746&quot;/&gt;&lt;wsp:rsid wsp:val=&quot;00895A61&quot;/&gt;&lt;wsp:rsid wsp:val=&quot;00896A81&quot;/&gt;&lt;wsp:rsid wsp:val=&quot;00897214&quot;/&gt;&lt;wsp:rsid wsp:val=&quot;00897795&quot;/&gt;&lt;wsp:rsid wsp:val=&quot;008A0059&quot;/&gt;&lt;wsp:rsid wsp:val=&quot;008A06F6&quot;/&gt;&lt;wsp:rsid wsp:val=&quot;008A12AC&quot;/&gt;&lt;wsp:rsid wsp:val=&quot;008A1322&quot;/&gt;&lt;wsp:rsid wsp:val=&quot;008A1639&quot;/&gt;&lt;wsp:rsid wsp:val=&quot;008A1962&quot;/&gt;&lt;wsp:rsid wsp:val=&quot;008A1DB6&quot;/&gt;&lt;wsp:rsid wsp:val=&quot;008A22D1&quot;/&gt;&lt;wsp:rsid wsp:val=&quot;008A249A&quot;/&gt;&lt;wsp:rsid wsp:val=&quot;008A27E8&quot;/&gt;&lt;wsp:rsid wsp:val=&quot;008A2C3A&quot;/&gt;&lt;wsp:rsid wsp:val=&quot;008A2D51&quot;/&gt;&lt;wsp:rsid wsp:val=&quot;008A315C&quot;/&gt;&lt;wsp:rsid wsp:val=&quot;008A328B&quot;/&gt;&lt;wsp:rsid wsp:val=&quot;008A3A6C&quot;/&gt;&lt;wsp:rsid wsp:val=&quot;008A3BEA&quot;/&gt;&lt;wsp:rsid wsp:val=&quot;008A4202&quot;/&gt;&lt;wsp:rsid wsp:val=&quot;008A4C3A&quot;/&gt;&lt;wsp:rsid wsp:val=&quot;008A564B&quot;/&gt;&lt;wsp:rsid wsp:val=&quot;008A5D10&quot;/&gt;&lt;wsp:rsid wsp:val=&quot;008A5E9B&quot;/&gt;&lt;wsp:rsid wsp:val=&quot;008A6343&quot;/&gt;&lt;wsp:rsid wsp:val=&quot;008A6499&quot;/&gt;&lt;wsp:rsid wsp:val=&quot;008A65B9&quot;/&gt;&lt;wsp:rsid wsp:val=&quot;008A68E6&quot;/&gt;&lt;wsp:rsid wsp:val=&quot;008A6B63&quot;/&gt;&lt;wsp:rsid wsp:val=&quot;008A7F95&quot;/&gt;&lt;wsp:rsid wsp:val=&quot;008B0549&quot;/&gt;&lt;wsp:rsid wsp:val=&quot;008B0BDD&quot;/&gt;&lt;wsp:rsid wsp:val=&quot;008B0BE4&quot;/&gt;&lt;wsp:rsid wsp:val=&quot;008B11AA&quot;/&gt;&lt;wsp:rsid wsp:val=&quot;008B12AB&quot;/&gt;&lt;wsp:rsid wsp:val=&quot;008B1867&quot;/&gt;&lt;wsp:rsid wsp:val=&quot;008B217B&quot;/&gt;&lt;wsp:rsid wsp:val=&quot;008B23F4&quot;/&gt;&lt;wsp:rsid wsp:val=&quot;008B25BE&quot;/&gt;&lt;wsp:rsid wsp:val=&quot;008B26ED&quot;/&gt;&lt;wsp:rsid wsp:val=&quot;008B2E88&quot;/&gt;&lt;wsp:rsid wsp:val=&quot;008B3858&quot;/&gt;&lt;wsp:rsid wsp:val=&quot;008B3AC2&quot;/&gt;&lt;wsp:rsid wsp:val=&quot;008B3C14&quot;/&gt;&lt;wsp:rsid wsp:val=&quot;008B4019&quot;/&gt;&lt;wsp:rsid wsp:val=&quot;008B424A&quot;/&gt;&lt;wsp:rsid wsp:val=&quot;008B42FD&quot;/&gt;&lt;wsp:rsid wsp:val=&quot;008B43A7&quot;/&gt;&lt;wsp:rsid wsp:val=&quot;008B4918&quot;/&gt;&lt;wsp:rsid wsp:val=&quot;008B4BD8&quot;/&gt;&lt;wsp:rsid wsp:val=&quot;008B5362&quot;/&gt;&lt;wsp:rsid wsp:val=&quot;008B5795&quot;/&gt;&lt;wsp:rsid wsp:val=&quot;008B613A&quot;/&gt;&lt;wsp:rsid wsp:val=&quot;008B63F5&quot;/&gt;&lt;wsp:rsid wsp:val=&quot;008B64EE&quot;/&gt;&lt;wsp:rsid wsp:val=&quot;008B66AE&quot;/&gt;&lt;wsp:rsid wsp:val=&quot;008B684A&quot;/&gt;&lt;wsp:rsid wsp:val=&quot;008B68C8&quot;/&gt;&lt;wsp:rsid wsp:val=&quot;008B6C4D&quot;/&gt;&lt;wsp:rsid wsp:val=&quot;008B707D&quot;/&gt;&lt;wsp:rsid wsp:val=&quot;008B7128&quot;/&gt;&lt;wsp:rsid wsp:val=&quot;008B721A&quot;/&gt;&lt;wsp:rsid wsp:val=&quot;008B7372&quot;/&gt;&lt;wsp:rsid wsp:val=&quot;008B7754&quot;/&gt;&lt;wsp:rsid wsp:val=&quot;008B7B30&quot;/&gt;&lt;wsp:rsid wsp:val=&quot;008C001E&quot;/&gt;&lt;wsp:rsid wsp:val=&quot;008C0054&quot;/&gt;&lt;wsp:rsid wsp:val=&quot;008C009A&quot;/&gt;&lt;wsp:rsid wsp:val=&quot;008C060D&quot;/&gt;&lt;wsp:rsid wsp:val=&quot;008C0C20&quot;/&gt;&lt;wsp:rsid wsp:val=&quot;008C1183&quot;/&gt;&lt;wsp:rsid wsp:val=&quot;008C15FC&quot;/&gt;&lt;wsp:rsid wsp:val=&quot;008C1822&quot;/&gt;&lt;wsp:rsid wsp:val=&quot;008C2159&quot;/&gt;&lt;wsp:rsid wsp:val=&quot;008C2169&quot;/&gt;&lt;wsp:rsid wsp:val=&quot;008C252A&quot;/&gt;&lt;wsp:rsid wsp:val=&quot;008C2A6F&quot;/&gt;&lt;wsp:rsid wsp:val=&quot;008C34B6&quot;/&gt;&lt;wsp:rsid wsp:val=&quot;008C3607&quot;/&gt;&lt;wsp:rsid wsp:val=&quot;008C368F&quot;/&gt;&lt;wsp:rsid wsp:val=&quot;008C37AE&quot;/&gt;&lt;wsp:rsid wsp:val=&quot;008C3A7D&quot;/&gt;&lt;wsp:rsid wsp:val=&quot;008C41A4&quot;/&gt;&lt;wsp:rsid wsp:val=&quot;008C4615&quot;/&gt;&lt;wsp:rsid wsp:val=&quot;008C4988&quot;/&gt;&lt;wsp:rsid wsp:val=&quot;008C4B14&quot;/&gt;&lt;wsp:rsid wsp:val=&quot;008C531B&quot;/&gt;&lt;wsp:rsid wsp:val=&quot;008C62A3&quot;/&gt;&lt;wsp:rsid wsp:val=&quot;008C69FF&quot;/&gt;&lt;wsp:rsid wsp:val=&quot;008C71B0&quot;/&gt;&lt;wsp:rsid wsp:val=&quot;008C7908&quot;/&gt;&lt;wsp:rsid wsp:val=&quot;008D0C56&quot;/&gt;&lt;wsp:rsid wsp:val=&quot;008D1292&quot;/&gt;&lt;wsp:rsid wsp:val=&quot;008D1940&quot;/&gt;&lt;wsp:rsid wsp:val=&quot;008D19EC&quot;/&gt;&lt;wsp:rsid wsp:val=&quot;008D21DF&quot;/&gt;&lt;wsp:rsid wsp:val=&quot;008D2530&quot;/&gt;&lt;wsp:rsid wsp:val=&quot;008D2719&quot;/&gt;&lt;wsp:rsid wsp:val=&quot;008D2989&quot;/&gt;&lt;wsp:rsid wsp:val=&quot;008D2BED&quot;/&gt;&lt;wsp:rsid wsp:val=&quot;008D2E1C&quot;/&gt;&lt;wsp:rsid wsp:val=&quot;008D2F07&quot;/&gt;&lt;wsp:rsid wsp:val=&quot;008D32EE&quot;/&gt;&lt;wsp:rsid wsp:val=&quot;008D3DF6&quot;/&gt;&lt;wsp:rsid wsp:val=&quot;008D4916&quot;/&gt;&lt;wsp:rsid wsp:val=&quot;008D4FC9&quot;/&gt;&lt;wsp:rsid wsp:val=&quot;008D52B2&quot;/&gt;&lt;wsp:rsid wsp:val=&quot;008D566D&quot;/&gt;&lt;wsp:rsid wsp:val=&quot;008D5AF6&quot;/&gt;&lt;wsp:rsid wsp:val=&quot;008D6026&quot;/&gt;&lt;wsp:rsid wsp:val=&quot;008D6199&quot;/&gt;&lt;wsp:rsid wsp:val=&quot;008D62AC&quot;/&gt;&lt;wsp:rsid wsp:val=&quot;008D672A&quot;/&gt;&lt;wsp:rsid wsp:val=&quot;008D68EB&quot;/&gt;&lt;wsp:rsid wsp:val=&quot;008D6989&quot;/&gt;&lt;wsp:rsid wsp:val=&quot;008D6B09&quot;/&gt;&lt;wsp:rsid wsp:val=&quot;008D6CA0&quot;/&gt;&lt;wsp:rsid wsp:val=&quot;008D6F7B&quot;/&gt;&lt;wsp:rsid wsp:val=&quot;008D735A&quot;/&gt;&lt;wsp:rsid wsp:val=&quot;008D73AD&quot;/&gt;&lt;wsp:rsid wsp:val=&quot;008D7C34&quot;/&gt;&lt;wsp:rsid wsp:val=&quot;008D7F1C&quot;/&gt;&lt;wsp:rsid wsp:val=&quot;008E001F&quot;/&gt;&lt;wsp:rsid wsp:val=&quot;008E0447&quot;/&gt;&lt;wsp:rsid wsp:val=&quot;008E09E0&quot;/&gt;&lt;wsp:rsid wsp:val=&quot;008E195A&quot;/&gt;&lt;wsp:rsid wsp:val=&quot;008E1DDD&quot;/&gt;&lt;wsp:rsid wsp:val=&quot;008E1F8B&quot;/&gt;&lt;wsp:rsid wsp:val=&quot;008E2AF4&quot;/&gt;&lt;wsp:rsid wsp:val=&quot;008E2B3E&quot;/&gt;&lt;wsp:rsid wsp:val=&quot;008E3056&quot;/&gt;&lt;wsp:rsid wsp:val=&quot;008E3526&quot;/&gt;&lt;wsp:rsid wsp:val=&quot;008E4011&quot;/&gt;&lt;wsp:rsid wsp:val=&quot;008E4431&quot;/&gt;&lt;wsp:rsid wsp:val=&quot;008E479D&quot;/&gt;&lt;wsp:rsid wsp:val=&quot;008E51EB&quot;/&gt;&lt;wsp:rsid wsp:val=&quot;008E5461&quot;/&gt;&lt;wsp:rsid wsp:val=&quot;008E5A50&quot;/&gt;&lt;wsp:rsid wsp:val=&quot;008E6615&quot;/&gt;&lt;wsp:rsid wsp:val=&quot;008E66C5&quot;/&gt;&lt;wsp:rsid wsp:val=&quot;008E7193&quot;/&gt;&lt;wsp:rsid wsp:val=&quot;008E71E2&quot;/&gt;&lt;wsp:rsid wsp:val=&quot;008E72C3&quot;/&gt;&lt;wsp:rsid wsp:val=&quot;008F021F&quot;/&gt;&lt;wsp:rsid wsp:val=&quot;008F03E8&quot;/&gt;&lt;wsp:rsid wsp:val=&quot;008F0559&quot;/&gt;&lt;wsp:rsid wsp:val=&quot;008F0AC6&quot;/&gt;&lt;wsp:rsid wsp:val=&quot;008F0AE4&quot;/&gt;&lt;wsp:rsid wsp:val=&quot;008F0C94&quot;/&gt;&lt;wsp:rsid wsp:val=&quot;008F10D7&quot;/&gt;&lt;wsp:rsid wsp:val=&quot;008F1433&quot;/&gt;&lt;wsp:rsid wsp:val=&quot;008F18B1&quot;/&gt;&lt;wsp:rsid wsp:val=&quot;008F1A40&quot;/&gt;&lt;wsp:rsid wsp:val=&quot;008F1A68&quot;/&gt;&lt;wsp:rsid wsp:val=&quot;008F2257&quot;/&gt;&lt;wsp:rsid wsp:val=&quot;008F2319&quot;/&gt;&lt;wsp:rsid wsp:val=&quot;008F26EA&quot;/&gt;&lt;wsp:rsid wsp:val=&quot;008F2A7D&quot;/&gt;&lt;wsp:rsid wsp:val=&quot;008F2B4B&quot;/&gt;&lt;wsp:rsid wsp:val=&quot;008F2FAA&quot;/&gt;&lt;wsp:rsid wsp:val=&quot;008F32DC&quot;/&gt;&lt;wsp:rsid wsp:val=&quot;008F3642&quot;/&gt;&lt;wsp:rsid wsp:val=&quot;008F3BE1&quot;/&gt;&lt;wsp:rsid wsp:val=&quot;008F3ED5&quot;/&gt;&lt;wsp:rsid wsp:val=&quot;008F40F2&quot;/&gt;&lt;wsp:rsid wsp:val=&quot;008F4954&quot;/&gt;&lt;wsp:rsid wsp:val=&quot;008F4F9B&quot;/&gt;&lt;wsp:rsid wsp:val=&quot;008F5433&quot;/&gt;&lt;wsp:rsid wsp:val=&quot;008F66D0&quot;/&gt;&lt;wsp:rsid wsp:val=&quot;008F677C&quot;/&gt;&lt;wsp:rsid wsp:val=&quot;008F6FEA&quot;/&gt;&lt;wsp:rsid wsp:val=&quot;008F746C&quot;/&gt;&lt;wsp:rsid wsp:val=&quot;008F7A17&quot;/&gt;&lt;wsp:rsid wsp:val=&quot;008F7A19&quot;/&gt;&lt;wsp:rsid wsp:val=&quot;008F7A57&quot;/&gt;&lt;wsp:rsid wsp:val=&quot;00900673&quot;/&gt;&lt;wsp:rsid wsp:val=&quot;009006F6&quot;/&gt;&lt;wsp:rsid wsp:val=&quot;00900A55&quot;/&gt;&lt;wsp:rsid wsp:val=&quot;009018E1&quot;/&gt;&lt;wsp:rsid wsp:val=&quot;00901DAA&quot;/&gt;&lt;wsp:rsid wsp:val=&quot;0090209F&quot;/&gt;&lt;wsp:rsid wsp:val=&quot;00902247&quot;/&gt;&lt;wsp:rsid wsp:val=&quot;00902787&quot;/&gt;&lt;wsp:rsid wsp:val=&quot;00902D44&quot;/&gt;&lt;wsp:rsid wsp:val=&quot;009030BD&quot;/&gt;&lt;wsp:rsid wsp:val=&quot;00903148&quot;/&gt;&lt;wsp:rsid wsp:val=&quot;00904681&quot;/&gt;&lt;wsp:rsid wsp:val=&quot;00904AA8&quot;/&gt;&lt;wsp:rsid wsp:val=&quot;009052C2&quot;/&gt;&lt;wsp:rsid wsp:val=&quot;00905529&quot;/&gt;&lt;wsp:rsid wsp:val=&quot;00905565&quot;/&gt;&lt;wsp:rsid wsp:val=&quot;009055D9&quot;/&gt;&lt;wsp:rsid wsp:val=&quot;00905999&quot;/&gt;&lt;wsp:rsid wsp:val=&quot;00905E93&quot;/&gt;&lt;wsp:rsid wsp:val=&quot;00906664&quot;/&gt;&lt;wsp:rsid wsp:val=&quot;0090675E&quot;/&gt;&lt;wsp:rsid wsp:val=&quot;0090688D&quot;/&gt;&lt;wsp:rsid wsp:val=&quot;009076E8&quot;/&gt;&lt;wsp:rsid wsp:val=&quot;00910433&quot;/&gt;&lt;wsp:rsid wsp:val=&quot;00910F00&quot;/&gt;&lt;wsp:rsid wsp:val=&quot;00911C91&quot;/&gt;&lt;wsp:rsid wsp:val=&quot;00911E44&quot;/&gt;&lt;wsp:rsid wsp:val=&quot;009124BF&quot;/&gt;&lt;wsp:rsid wsp:val=&quot;00912E6C&quot;/&gt;&lt;wsp:rsid wsp:val=&quot;0091301D&quot;/&gt;&lt;wsp:rsid wsp:val=&quot;00913472&quot;/&gt;&lt;wsp:rsid wsp:val=&quot;00913754&quot;/&gt;&lt;wsp:rsid wsp:val=&quot;009138AC&quot;/&gt;&lt;wsp:rsid wsp:val=&quot;009138C8&quot;/&gt;&lt;wsp:rsid wsp:val=&quot;00913C82&quot;/&gt;&lt;wsp:rsid wsp:val=&quot;00913D8C&quot;/&gt;&lt;wsp:rsid wsp:val=&quot;00913E0A&quot;/&gt;&lt;wsp:rsid wsp:val=&quot;009140AC&quot;/&gt;&lt;wsp:rsid wsp:val=&quot;0091443E&quot;/&gt;&lt;wsp:rsid wsp:val=&quot;0091452E&quot;/&gt;&lt;wsp:rsid wsp:val=&quot;009145B2&quot;/&gt;&lt;wsp:rsid wsp:val=&quot;0091493E&quot;/&gt;&lt;wsp:rsid wsp:val=&quot;00914E26&quot;/&gt;&lt;wsp:rsid wsp:val=&quot;00914F99&quot;/&gt;&lt;wsp:rsid wsp:val=&quot;009150B4&quot;/&gt;&lt;wsp:rsid wsp:val=&quot;0091607A&quot;/&gt;&lt;wsp:rsid wsp:val=&quot;0091652C&quot;/&gt;&lt;wsp:rsid wsp:val=&quot;0091698E&quot;/&gt;&lt;wsp:rsid wsp:val=&quot;00916B85&quot;/&gt;&lt;wsp:rsid wsp:val=&quot;00917156&quot;/&gt;&lt;wsp:rsid wsp:val=&quot;0091725A&quot;/&gt;&lt;wsp:rsid wsp:val=&quot;009172AD&quot;/&gt;&lt;wsp:rsid wsp:val=&quot;0091738F&quot;/&gt;&lt;wsp:rsid wsp:val=&quot;00917583&quot;/&gt;&lt;wsp:rsid wsp:val=&quot;00917C97&quot;/&gt;&lt;wsp:rsid wsp:val=&quot;00917F71&quot;/&gt;&lt;wsp:rsid wsp:val=&quot;00920195&quot;/&gt;&lt;wsp:rsid wsp:val=&quot;00920788&quot;/&gt;&lt;wsp:rsid wsp:val=&quot;009214A7&quot;/&gt;&lt;wsp:rsid wsp:val=&quot;009215C7&quot;/&gt;&lt;wsp:rsid wsp:val=&quot;00921AFE&quot;/&gt;&lt;wsp:rsid wsp:val=&quot;00921E15&quot;/&gt;&lt;wsp:rsid wsp:val=&quot;009223B4&quot;/&gt;&lt;wsp:rsid wsp:val=&quot;0092243B&quot;/&gt;&lt;wsp:rsid wsp:val=&quot;00922674&quot;/&gt;&lt;wsp:rsid wsp:val=&quot;00923E72&quot;/&gt;&lt;wsp:rsid wsp:val=&quot;00923FFC&quot;/&gt;&lt;wsp:rsid wsp:val=&quot;009245CF&quot;/&gt;&lt;wsp:rsid wsp:val=&quot;00924CA4&quot;/&gt;&lt;wsp:rsid wsp:val=&quot;00924DE7&quot;/&gt;&lt;wsp:rsid wsp:val=&quot;00924F20&quot;/&gt;&lt;wsp:rsid wsp:val=&quot;00925142&quot;/&gt;&lt;wsp:rsid wsp:val=&quot;0092569D&quot;/&gt;&lt;wsp:rsid wsp:val=&quot;009258D5&quot;/&gt;&lt;wsp:rsid wsp:val=&quot;00925D8F&quot;/&gt;&lt;wsp:rsid wsp:val=&quot;00926153&quot;/&gt;&lt;wsp:rsid wsp:val=&quot;00926704&quot;/&gt;&lt;wsp:rsid wsp:val=&quot;00926787&quot;/&gt;&lt;wsp:rsid wsp:val=&quot;00926F95&quot;/&gt;&lt;wsp:rsid wsp:val=&quot;009274E9&quot;/&gt;&lt;wsp:rsid wsp:val=&quot;00927615&quot;/&gt;&lt;wsp:rsid wsp:val=&quot;009277CE&quot;/&gt;&lt;wsp:rsid wsp:val=&quot;009278C3&quot;/&gt;&lt;wsp:rsid wsp:val=&quot;00930252&quot;/&gt;&lt;wsp:rsid wsp:val=&quot;009305BD&quot;/&gt;&lt;wsp:rsid wsp:val=&quot;00930968&quot;/&gt;&lt;wsp:rsid wsp:val=&quot;00930DD8&quot;/&gt;&lt;wsp:rsid wsp:val=&quot;00930F1B&quot;/&gt;&lt;wsp:rsid wsp:val=&quot;009318FA&quot;/&gt;&lt;wsp:rsid wsp:val=&quot;00932294&quot;/&gt;&lt;wsp:rsid wsp:val=&quot;00932B6D&quot;/&gt;&lt;wsp:rsid wsp:val=&quot;00932E24&quot;/&gt;&lt;wsp:rsid wsp:val=&quot;00932F4F&quot;/&gt;&lt;wsp:rsid wsp:val=&quot;009331E1&quot;/&gt;&lt;wsp:rsid wsp:val=&quot;00933233&quot;/&gt;&lt;wsp:rsid wsp:val=&quot;009334C8&quot;/&gt;&lt;wsp:rsid wsp:val=&quot;009342B8&quot;/&gt;&lt;wsp:rsid wsp:val=&quot;009348D4&quot;/&gt;&lt;wsp:rsid wsp:val=&quot;0093498E&quot;/&gt;&lt;wsp:rsid wsp:val=&quot;00935322&quot;/&gt;&lt;wsp:rsid wsp:val=&quot;00935501&quot;/&gt;&lt;wsp:rsid wsp:val=&quot;00935719&quot;/&gt;&lt;wsp:rsid wsp:val=&quot;0093578B&quot;/&gt;&lt;wsp:rsid wsp:val=&quot;00935F9A&quot;/&gt;&lt;wsp:rsid wsp:val=&quot;0093675C&quot;/&gt;&lt;wsp:rsid wsp:val=&quot;00936A1C&quot;/&gt;&lt;wsp:rsid wsp:val=&quot;00936C25&quot;/&gt;&lt;wsp:rsid wsp:val=&quot;009378B7&quot;/&gt;&lt;wsp:rsid wsp:val=&quot;009379B1&quot;/&gt;&lt;wsp:rsid wsp:val=&quot;00937DBC&quot;/&gt;&lt;wsp:rsid wsp:val=&quot;00940442&quot;/&gt;&lt;wsp:rsid wsp:val=&quot;00940F42&quot;/&gt;&lt;wsp:rsid wsp:val=&quot;009410AF&quot;/&gt;&lt;wsp:rsid wsp:val=&quot;0094127E&quot;/&gt;&lt;wsp:rsid wsp:val=&quot;0094130D&quot;/&gt;&lt;wsp:rsid wsp:val=&quot;00941397&quot;/&gt;&lt;wsp:rsid wsp:val=&quot;009413C3&quot;/&gt;&lt;wsp:rsid wsp:val=&quot;0094161D&quot;/&gt;&lt;wsp:rsid wsp:val=&quot;0094165D&quot;/&gt;&lt;wsp:rsid wsp:val=&quot;009417F7&quot;/&gt;&lt;wsp:rsid wsp:val=&quot;00941F29&quot;/&gt;&lt;wsp:rsid wsp:val=&quot;009424EB&quot;/&gt;&lt;wsp:rsid wsp:val=&quot;00942536&quot;/&gt;&lt;wsp:rsid wsp:val=&quot;00942883&quot;/&gt;&lt;wsp:rsid wsp:val=&quot;00942B93&quot;/&gt;&lt;wsp:rsid wsp:val=&quot;00942C2E&quot;/&gt;&lt;wsp:rsid wsp:val=&quot;00942D6B&quot;/&gt;&lt;wsp:rsid wsp:val=&quot;00942DE4&quot;/&gt;&lt;wsp:rsid wsp:val=&quot;009432BE&quot;/&gt;&lt;wsp:rsid wsp:val=&quot;00943DBB&quot;/&gt;&lt;wsp:rsid wsp:val=&quot;00944076&quot;/&gt;&lt;wsp:rsid wsp:val=&quot;009442CB&quot;/&gt;&lt;wsp:rsid wsp:val=&quot;009443C5&quot;/&gt;&lt;wsp:rsid wsp:val=&quot;00944797&quot;/&gt;&lt;wsp:rsid wsp:val=&quot;00944A1D&quot;/&gt;&lt;wsp:rsid wsp:val=&quot;00944B7A&quot;/&gt;&lt;wsp:rsid wsp:val=&quot;00945157&quot;/&gt;&lt;wsp:rsid wsp:val=&quot;009451CD&quot;/&gt;&lt;wsp:rsid wsp:val=&quot;00945637&quot;/&gt;&lt;wsp:rsid wsp:val=&quot;00945867&quot;/&gt;&lt;wsp:rsid wsp:val=&quot;00945F59&quot;/&gt;&lt;wsp:rsid wsp:val=&quot;009460F8&quot;/&gt;&lt;wsp:rsid wsp:val=&quot;00946A8E&quot;/&gt;&lt;wsp:rsid wsp:val=&quot;009470C6&quot;/&gt;&lt;wsp:rsid wsp:val=&quot;00947396&quot;/&gt;&lt;wsp:rsid wsp:val=&quot;00947675&quot;/&gt;&lt;wsp:rsid wsp:val=&quot;0094798D&quot;/&gt;&lt;wsp:rsid wsp:val=&quot;00947C74&quot;/&gt;&lt;wsp:rsid wsp:val=&quot;00947F25&quot;/&gt;&lt;wsp:rsid wsp:val=&quot;00950A3E&quot;/&gt;&lt;wsp:rsid wsp:val=&quot;00950B8F&quot;/&gt;&lt;wsp:rsid wsp:val=&quot;00950CBF&quot;/&gt;&lt;wsp:rsid wsp:val=&quot;009512F2&quot;/&gt;&lt;wsp:rsid wsp:val=&quot;0095133A&quot;/&gt;&lt;wsp:rsid wsp:val=&quot;0095187A&quot;/&gt;&lt;wsp:rsid wsp:val=&quot;00951DBB&quot;/&gt;&lt;wsp:rsid wsp:val=&quot;009521E9&quot;/&gt;&lt;wsp:rsid wsp:val=&quot;00952649&quot;/&gt;&lt;wsp:rsid wsp:val=&quot;009528FC&quot;/&gt;&lt;wsp:rsid wsp:val=&quot;0095348A&quot;/&gt;&lt;wsp:rsid wsp:val=&quot;00953899&quot;/&gt;&lt;wsp:rsid wsp:val=&quot;009538FB&quot;/&gt;&lt;wsp:rsid wsp:val=&quot;00953D2F&quot;/&gt;&lt;wsp:rsid wsp:val=&quot;009540F8&quot;/&gt;&lt;wsp:rsid wsp:val=&quot;00954115&quot;/&gt;&lt;wsp:rsid wsp:val=&quot;009543FD&quot;/&gt;&lt;wsp:rsid wsp:val=&quot;00954E33&quot;/&gt;&lt;wsp:rsid wsp:val=&quot;009551B2&quot;/&gt;&lt;wsp:rsid wsp:val=&quot;00955355&quot;/&gt;&lt;wsp:rsid wsp:val=&quot;00955FCA&quot;/&gt;&lt;wsp:rsid wsp:val=&quot;00956019&quot;/&gt;&lt;wsp:rsid wsp:val=&quot;009566C2&quot;/&gt;&lt;wsp:rsid wsp:val=&quot;009567AE&quot;/&gt;&lt;wsp:rsid wsp:val=&quot;00956BE4&quot;/&gt;&lt;wsp:rsid wsp:val=&quot;00956CCA&quot;/&gt;&lt;wsp:rsid wsp:val=&quot;00956E09&quot;/&gt;&lt;wsp:rsid wsp:val=&quot;0095731C&quot;/&gt;&lt;wsp:rsid wsp:val=&quot;009574D4&quot;/&gt;&lt;wsp:rsid wsp:val=&quot;00957603&quot;/&gt;&lt;wsp:rsid wsp:val=&quot;009579C3&quot;/&gt;&lt;wsp:rsid wsp:val=&quot;00960328&quot;/&gt;&lt;wsp:rsid wsp:val=&quot;00960433&quot;/&gt;&lt;wsp:rsid wsp:val=&quot;0096054B&quot;/&gt;&lt;wsp:rsid wsp:val=&quot;009606D5&quot;/&gt;&lt;wsp:rsid wsp:val=&quot;0096081C&quot;/&gt;&lt;wsp:rsid wsp:val=&quot;00960DA6&quot;/&gt;&lt;wsp:rsid wsp:val=&quot;00961322&quot;/&gt;&lt;wsp:rsid wsp:val=&quot;009618F3&quot;/&gt;&lt;wsp:rsid wsp:val=&quot;009622C6&quot;/&gt;&lt;wsp:rsid wsp:val=&quot;0096295F&quot;/&gt;&lt;wsp:rsid wsp:val=&quot;00962C9C&quot;/&gt;&lt;wsp:rsid wsp:val=&quot;0096321D&quot;/&gt;&lt;wsp:rsid wsp:val=&quot;0096322E&quot;/&gt;&lt;wsp:rsid wsp:val=&quot;00963335&quot;/&gt;&lt;wsp:rsid wsp:val=&quot;00963641&quot;/&gt;&lt;wsp:rsid wsp:val=&quot;00963875&quot;/&gt;&lt;wsp:rsid wsp:val=&quot;00963C8F&quot;/&gt;&lt;wsp:rsid wsp:val=&quot;00963ED6&quot;/&gt;&lt;wsp:rsid wsp:val=&quot;00964B5B&quot;/&gt;&lt;wsp:rsid wsp:val=&quot;00964C3B&quot;/&gt;&lt;wsp:rsid wsp:val=&quot;00964CC2&quot;/&gt;&lt;wsp:rsid wsp:val=&quot;00964FAD&quot;/&gt;&lt;wsp:rsid wsp:val=&quot;00965101&quot;/&gt;&lt;wsp:rsid wsp:val=&quot;0096561E&quot;/&gt;&lt;wsp:rsid wsp:val=&quot;00965B52&quot;/&gt;&lt;wsp:rsid wsp:val=&quot;00965F8B&quot;/&gt;&lt;wsp:rsid wsp:val=&quot;00965F9A&quot;/&gt;&lt;wsp:rsid wsp:val=&quot;0096657D&quot;/&gt;&lt;wsp:rsid wsp:val=&quot;009665E7&quot;/&gt;&lt;wsp:rsid wsp:val=&quot;009666AE&quot;/&gt;&lt;wsp:rsid wsp:val=&quot;009677C7&quot;/&gt;&lt;wsp:rsid wsp:val=&quot;009677F1&quot;/&gt;&lt;wsp:rsid wsp:val=&quot;00967B00&quot;/&gt;&lt;wsp:rsid wsp:val=&quot;009702E2&quot;/&gt;&lt;wsp:rsid wsp:val=&quot;00970446&quot;/&gt;&lt;wsp:rsid wsp:val=&quot;009708FB&quot;/&gt;&lt;wsp:rsid wsp:val=&quot;009709D6&quot;/&gt;&lt;wsp:rsid wsp:val=&quot;00970A36&quot;/&gt;&lt;wsp:rsid wsp:val=&quot;00970B6F&quot;/&gt;&lt;wsp:rsid wsp:val=&quot;00970DB1&quot;/&gt;&lt;wsp:rsid wsp:val=&quot;00971474&quot;/&gt;&lt;wsp:rsid wsp:val=&quot;00972173&quot;/&gt;&lt;wsp:rsid wsp:val=&quot;00972500&quot;/&gt;&lt;wsp:rsid wsp:val=&quot;009726BC&quot;/&gt;&lt;wsp:rsid wsp:val=&quot;00972A56&quot;/&gt;&lt;wsp:rsid wsp:val=&quot;0097314D&quot;/&gt;&lt;wsp:rsid wsp:val=&quot;00974009&quot;/&gt;&lt;wsp:rsid wsp:val=&quot;00974281&quot;/&gt;&lt;wsp:rsid wsp:val=&quot;00974385&quot;/&gt;&lt;wsp:rsid wsp:val=&quot;0097490F&quot;/&gt;&lt;wsp:rsid wsp:val=&quot;00974E70&quot;/&gt;&lt;wsp:rsid wsp:val=&quot;009751DE&quot;/&gt;&lt;wsp:rsid wsp:val=&quot;0097522C&quot;/&gt;&lt;wsp:rsid wsp:val=&quot;00975C40&quot;/&gt;&lt;wsp:rsid wsp:val=&quot;00976280&quot;/&gt;&lt;wsp:rsid wsp:val=&quot;009767B3&quot;/&gt;&lt;wsp:rsid wsp:val=&quot;00977339&quot;/&gt;&lt;wsp:rsid wsp:val=&quot;00977631&quot;/&gt;&lt;wsp:rsid wsp:val=&quot;00977768&quot;/&gt;&lt;wsp:rsid wsp:val=&quot;00977C81&quot;/&gt;&lt;wsp:rsid wsp:val=&quot;0098000F&quot;/&gt;&lt;wsp:rsid wsp:val=&quot;009809EF&quot;/&gt;&lt;wsp:rsid wsp:val=&quot;009815B0&quot;/&gt;&lt;wsp:rsid wsp:val=&quot;00981623&quot;/&gt;&lt;wsp:rsid wsp:val=&quot;00981770&quot;/&gt;&lt;wsp:rsid wsp:val=&quot;00982263&quot;/&gt;&lt;wsp:rsid wsp:val=&quot;009827FC&quot;/&gt;&lt;wsp:rsid wsp:val=&quot;00982EF3&quot;/&gt;&lt;wsp:rsid wsp:val=&quot;00983181&quot;/&gt;&lt;wsp:rsid wsp:val=&quot;009836FF&quot;/&gt;&lt;wsp:rsid wsp:val=&quot;00984331&quot;/&gt;&lt;wsp:rsid wsp:val=&quot;00984692&quot;/&gt;&lt;wsp:rsid wsp:val=&quot;009846D6&quot;/&gt;&lt;wsp:rsid wsp:val=&quot;00984F5C&quot;/&gt;&lt;wsp:rsid wsp:val=&quot;009854B8&quot;/&gt;&lt;wsp:rsid wsp:val=&quot;0098554A&quot;/&gt;&lt;wsp:rsid wsp:val=&quot;00985748&quot;/&gt;&lt;wsp:rsid wsp:val=&quot;009858AA&quot;/&gt;&lt;wsp:rsid wsp:val=&quot;009859E5&quot;/&gt;&lt;wsp:rsid wsp:val=&quot;00985A44&quot;/&gt;&lt;wsp:rsid wsp:val=&quot;00985AAA&quot;/&gt;&lt;wsp:rsid wsp:val=&quot;00985F05&quot;/&gt;&lt;wsp:rsid wsp:val=&quot;0098628D&quot;/&gt;&lt;wsp:rsid wsp:val=&quot;00986495&quot;/&gt;&lt;wsp:rsid wsp:val=&quot;00986C40&quot;/&gt;&lt;wsp:rsid wsp:val=&quot;00986CA7&quot;/&gt;&lt;wsp:rsid wsp:val=&quot;00986D53&quot;/&gt;&lt;wsp:rsid wsp:val=&quot;0098765D&quot;/&gt;&lt;wsp:rsid wsp:val=&quot;00987A80&quot;/&gt;&lt;wsp:rsid wsp:val=&quot;00987D3F&quot;/&gt;&lt;wsp:rsid wsp:val=&quot;00987EA3&quot;/&gt;&lt;wsp:rsid wsp:val=&quot;00990326&quot;/&gt;&lt;wsp:rsid wsp:val=&quot;0099062D&quot;/&gt;&lt;wsp:rsid wsp:val=&quot;00990807&quot;/&gt;&lt;wsp:rsid wsp:val=&quot;0099148B&quot;/&gt;&lt;wsp:rsid wsp:val=&quot;009918F8&quot;/&gt;&lt;wsp:rsid wsp:val=&quot;00992110&quot;/&gt;&lt;wsp:rsid wsp:val=&quot;00992722&quot;/&gt;&lt;wsp:rsid wsp:val=&quot;0099282B&quot;/&gt;&lt;wsp:rsid wsp:val=&quot;00992E70&quot;/&gt;&lt;wsp:rsid wsp:val=&quot;009934A0&quot;/&gt;&lt;wsp:rsid wsp:val=&quot;00993B9D&quot;/&gt;&lt;wsp:rsid wsp:val=&quot;00993DB7&quot;/&gt;&lt;wsp:rsid wsp:val=&quot;00994137&quot;/&gt;&lt;wsp:rsid wsp:val=&quot;00995038&quot;/&gt;&lt;wsp:rsid wsp:val=&quot;00995298&quot;/&gt;&lt;wsp:rsid wsp:val=&quot;0099529A&quot;/&gt;&lt;wsp:rsid wsp:val=&quot;009953D6&quot;/&gt;&lt;wsp:rsid wsp:val=&quot;00995538&quot;/&gt;&lt;wsp:rsid wsp:val=&quot;00995A2D&quot;/&gt;&lt;wsp:rsid wsp:val=&quot;00996523&quot;/&gt;&lt;wsp:rsid wsp:val=&quot;009967EC&quot;/&gt;&lt;wsp:rsid wsp:val=&quot;00996871&quot;/&gt;&lt;wsp:rsid wsp:val=&quot;00996B8F&quot;/&gt;&lt;wsp:rsid wsp:val=&quot;00996E38&quot;/&gt;&lt;wsp:rsid wsp:val=&quot;00997447&quot;/&gt;&lt;wsp:rsid wsp:val=&quot;0099746C&quot;/&gt;&lt;wsp:rsid wsp:val=&quot;00997889&quot;/&gt;&lt;wsp:rsid wsp:val=&quot;00997952&quot;/&gt;&lt;wsp:rsid wsp:val=&quot;00997F33&quot;/&gt;&lt;wsp:rsid wsp:val=&quot;009A00F8&quot;/&gt;&lt;wsp:rsid wsp:val=&quot;009A0194&quot;/&gt;&lt;wsp:rsid wsp:val=&quot;009A033A&quot;/&gt;&lt;wsp:rsid wsp:val=&quot;009A066E&quot;/&gt;&lt;wsp:rsid wsp:val=&quot;009A0D2D&quot;/&gt;&lt;wsp:rsid wsp:val=&quot;009A0EA0&quot;/&gt;&lt;wsp:rsid wsp:val=&quot;009A0F27&quot;/&gt;&lt;wsp:rsid wsp:val=&quot;009A1CA5&quot;/&gt;&lt;wsp:rsid wsp:val=&quot;009A1F94&quot;/&gt;&lt;wsp:rsid wsp:val=&quot;009A1FE0&quot;/&gt;&lt;wsp:rsid wsp:val=&quot;009A247B&quot;/&gt;&lt;wsp:rsid wsp:val=&quot;009A26EA&quot;/&gt;&lt;wsp:rsid wsp:val=&quot;009A2FB0&quot;/&gt;&lt;wsp:rsid wsp:val=&quot;009A33F1&quot;/&gt;&lt;wsp:rsid wsp:val=&quot;009A406A&quot;/&gt;&lt;wsp:rsid wsp:val=&quot;009A4086&quot;/&gt;&lt;wsp:rsid wsp:val=&quot;009A427E&quot;/&gt;&lt;wsp:rsid wsp:val=&quot;009A436C&quot;/&gt;&lt;wsp:rsid wsp:val=&quot;009A4C57&quot;/&gt;&lt;wsp:rsid wsp:val=&quot;009A52B6&quot;/&gt;&lt;wsp:rsid wsp:val=&quot;009A53DA&quot;/&gt;&lt;wsp:rsid wsp:val=&quot;009A5FCC&quot;/&gt;&lt;wsp:rsid wsp:val=&quot;009A5FD7&quot;/&gt;&lt;wsp:rsid wsp:val=&quot;009A615C&quot;/&gt;&lt;wsp:rsid wsp:val=&quot;009A75F6&quot;/&gt;&lt;wsp:rsid wsp:val=&quot;009A76F6&quot;/&gt;&lt;wsp:rsid wsp:val=&quot;009A77EF&quot;/&gt;&lt;wsp:rsid wsp:val=&quot;009A785D&quot;/&gt;&lt;wsp:rsid wsp:val=&quot;009A7B4C&quot;/&gt;&lt;wsp:rsid wsp:val=&quot;009B00BE&quot;/&gt;&lt;wsp:rsid wsp:val=&quot;009B06E8&quot;/&gt;&lt;wsp:rsid wsp:val=&quot;009B1412&quot;/&gt;&lt;wsp:rsid wsp:val=&quot;009B175C&quot;/&gt;&lt;wsp:rsid wsp:val=&quot;009B1AEA&quot;/&gt;&lt;wsp:rsid wsp:val=&quot;009B1ED9&quot;/&gt;&lt;wsp:rsid wsp:val=&quot;009B1FB2&quot;/&gt;&lt;wsp:rsid wsp:val=&quot;009B2950&quot;/&gt;&lt;wsp:rsid wsp:val=&quot;009B2A38&quot;/&gt;&lt;wsp:rsid wsp:val=&quot;009B31E2&quot;/&gt;&lt;wsp:rsid wsp:val=&quot;009B3BDB&quot;/&gt;&lt;wsp:rsid wsp:val=&quot;009B3E98&quot;/&gt;&lt;wsp:rsid wsp:val=&quot;009B4381&quot;/&gt;&lt;wsp:rsid wsp:val=&quot;009B4948&quot;/&gt;&lt;wsp:rsid wsp:val=&quot;009B5CEF&quot;/&gt;&lt;wsp:rsid wsp:val=&quot;009B62BC&quot;/&gt;&lt;wsp:rsid wsp:val=&quot;009B67DA&quot;/&gt;&lt;wsp:rsid wsp:val=&quot;009B6B01&quot;/&gt;&lt;wsp:rsid wsp:val=&quot;009B6D77&quot;/&gt;&lt;wsp:rsid wsp:val=&quot;009B70FC&quot;/&gt;&lt;wsp:rsid wsp:val=&quot;009B737F&quot;/&gt;&lt;wsp:rsid wsp:val=&quot;009B768C&quot;/&gt;&lt;wsp:rsid wsp:val=&quot;009B78FD&quot;/&gt;&lt;wsp:rsid wsp:val=&quot;009B7B0A&quot;/&gt;&lt;wsp:rsid wsp:val=&quot;009B7CC6&quot;/&gt;&lt;wsp:rsid wsp:val=&quot;009B7E01&quot;/&gt;&lt;wsp:rsid wsp:val=&quot;009B7F95&quot;/&gt;&lt;wsp:rsid wsp:val=&quot;009C0001&quot;/&gt;&lt;wsp:rsid wsp:val=&quot;009C006D&quot;/&gt;&lt;wsp:rsid wsp:val=&quot;009C0447&quot;/&gt;&lt;wsp:rsid wsp:val=&quot;009C0954&quot;/&gt;&lt;wsp:rsid wsp:val=&quot;009C0B5E&quot;/&gt;&lt;wsp:rsid wsp:val=&quot;009C0BC4&quot;/&gt;&lt;wsp:rsid wsp:val=&quot;009C0CD6&quot;/&gt;&lt;wsp:rsid wsp:val=&quot;009C11C1&quot;/&gt;&lt;wsp:rsid wsp:val=&quot;009C12A5&quot;/&gt;&lt;wsp:rsid wsp:val=&quot;009C1371&quot;/&gt;&lt;wsp:rsid wsp:val=&quot;009C1609&quot;/&gt;&lt;wsp:rsid wsp:val=&quot;009C1C83&quot;/&gt;&lt;wsp:rsid wsp:val=&quot;009C2399&quot;/&gt;&lt;wsp:rsid wsp:val=&quot;009C24A4&quot;/&gt;&lt;wsp:rsid wsp:val=&quot;009C270D&quot;/&gt;&lt;wsp:rsid wsp:val=&quot;009C2ABD&quot;/&gt;&lt;wsp:rsid wsp:val=&quot;009C2D41&quot;/&gt;&lt;wsp:rsid wsp:val=&quot;009C2FC0&quot;/&gt;&lt;wsp:rsid wsp:val=&quot;009C3067&quot;/&gt;&lt;wsp:rsid wsp:val=&quot;009C3533&quot;/&gt;&lt;wsp:rsid wsp:val=&quot;009C361B&quot;/&gt;&lt;wsp:rsid wsp:val=&quot;009C3933&quot;/&gt;&lt;wsp:rsid wsp:val=&quot;009C42B4&quot;/&gt;&lt;wsp:rsid wsp:val=&quot;009C48BE&quot;/&gt;&lt;wsp:rsid wsp:val=&quot;009C5027&quot;/&gt;&lt;wsp:rsid wsp:val=&quot;009C510C&quot;/&gt;&lt;wsp:rsid wsp:val=&quot;009C5530&quot;/&gt;&lt;wsp:rsid wsp:val=&quot;009C5756&quot;/&gt;&lt;wsp:rsid wsp:val=&quot;009C58CA&quot;/&gt;&lt;wsp:rsid wsp:val=&quot;009C58D6&quot;/&gt;&lt;wsp:rsid wsp:val=&quot;009C5D19&quot;/&gt;&lt;wsp:rsid wsp:val=&quot;009C6965&quot;/&gt;&lt;wsp:rsid wsp:val=&quot;009C6A73&quot;/&gt;&lt;wsp:rsid wsp:val=&quot;009C72F7&quot;/&gt;&lt;wsp:rsid wsp:val=&quot;009C7671&quot;/&gt;&lt;wsp:rsid wsp:val=&quot;009C7849&quot;/&gt;&lt;wsp:rsid wsp:val=&quot;009C7FF0&quot;/&gt;&lt;wsp:rsid wsp:val=&quot;009D0A08&quot;/&gt;&lt;wsp:rsid wsp:val=&quot;009D0B6A&quot;/&gt;&lt;wsp:rsid wsp:val=&quot;009D10BD&quot;/&gt;&lt;wsp:rsid wsp:val=&quot;009D19E4&quot;/&gt;&lt;wsp:rsid wsp:val=&quot;009D1A06&quot;/&gt;&lt;wsp:rsid wsp:val=&quot;009D1C3C&quot;/&gt;&lt;wsp:rsid wsp:val=&quot;009D2055&quot;/&gt;&lt;wsp:rsid wsp:val=&quot;009D273D&quot;/&gt;&lt;wsp:rsid wsp:val=&quot;009D2A84&quot;/&gt;&lt;wsp:rsid wsp:val=&quot;009D3231&quot;/&gt;&lt;wsp:rsid wsp:val=&quot;009D349D&quot;/&gt;&lt;wsp:rsid wsp:val=&quot;009D3591&quot;/&gt;&lt;wsp:rsid wsp:val=&quot;009D3862&quot;/&gt;&lt;wsp:rsid wsp:val=&quot;009D3C76&quot;/&gt;&lt;wsp:rsid wsp:val=&quot;009D3D0C&quot;/&gt;&lt;wsp:rsid wsp:val=&quot;009D3D6C&quot;/&gt;&lt;wsp:rsid wsp:val=&quot;009D3FEE&quot;/&gt;&lt;wsp:rsid wsp:val=&quot;009D4355&quot;/&gt;&lt;wsp:rsid wsp:val=&quot;009D4EE3&quot;/&gt;&lt;wsp:rsid wsp:val=&quot;009D5126&quot;/&gt;&lt;wsp:rsid wsp:val=&quot;009D5566&quot;/&gt;&lt;wsp:rsid wsp:val=&quot;009D5B36&quot;/&gt;&lt;wsp:rsid wsp:val=&quot;009D5BEE&quot;/&gt;&lt;wsp:rsid wsp:val=&quot;009D5F84&quot;/&gt;&lt;wsp:rsid wsp:val=&quot;009D62B6&quot;/&gt;&lt;wsp:rsid wsp:val=&quot;009D6617&quot;/&gt;&lt;wsp:rsid wsp:val=&quot;009D67B9&quot;/&gt;&lt;wsp:rsid wsp:val=&quot;009D6A31&quot;/&gt;&lt;wsp:rsid wsp:val=&quot;009D6CDE&quot;/&gt;&lt;wsp:rsid wsp:val=&quot;009D74EF&quot;/&gt;&lt;wsp:rsid wsp:val=&quot;009D7F92&quot;/&gt;&lt;wsp:rsid wsp:val=&quot;009E1225&quot;/&gt;&lt;wsp:rsid wsp:val=&quot;009E136A&quot;/&gt;&lt;wsp:rsid wsp:val=&quot;009E1399&quot;/&gt;&lt;wsp:rsid wsp:val=&quot;009E1632&quot;/&gt;&lt;wsp:rsid wsp:val=&quot;009E17B2&quot;/&gt;&lt;wsp:rsid wsp:val=&quot;009E18AB&quot;/&gt;&lt;wsp:rsid wsp:val=&quot;009E1BB0&quot;/&gt;&lt;wsp:rsid wsp:val=&quot;009E21CD&quot;/&gt;&lt;wsp:rsid wsp:val=&quot;009E225D&quot;/&gt;&lt;wsp:rsid wsp:val=&quot;009E2314&quot;/&gt;&lt;wsp:rsid wsp:val=&quot;009E25D2&quot;/&gt;&lt;wsp:rsid wsp:val=&quot;009E2737&quot;/&gt;&lt;wsp:rsid wsp:val=&quot;009E2CC9&quot;/&gt;&lt;wsp:rsid wsp:val=&quot;009E3181&quot;/&gt;&lt;wsp:rsid wsp:val=&quot;009E3192&quot;/&gt;&lt;wsp:rsid wsp:val=&quot;009E3400&quot;/&gt;&lt;wsp:rsid wsp:val=&quot;009E3933&quot;/&gt;&lt;wsp:rsid wsp:val=&quot;009E41A2&quot;/&gt;&lt;wsp:rsid wsp:val=&quot;009E41E0&quot;/&gt;&lt;wsp:rsid wsp:val=&quot;009E4459&quot;/&gt;&lt;wsp:rsid wsp:val=&quot;009E47CA&quot;/&gt;&lt;wsp:rsid wsp:val=&quot;009E56A2&quot;/&gt;&lt;wsp:rsid wsp:val=&quot;009E5D1D&quot;/&gt;&lt;wsp:rsid wsp:val=&quot;009E6321&quot;/&gt;&lt;wsp:rsid wsp:val=&quot;009E6762&quot;/&gt;&lt;wsp:rsid wsp:val=&quot;009E6979&quot;/&gt;&lt;wsp:rsid wsp:val=&quot;009E699D&quot;/&gt;&lt;wsp:rsid wsp:val=&quot;009E7342&quot;/&gt;&lt;wsp:rsid wsp:val=&quot;009E7922&quot;/&gt;&lt;wsp:rsid wsp:val=&quot;009F00D5&quot;/&gt;&lt;wsp:rsid wsp:val=&quot;009F09F4&quot;/&gt;&lt;wsp:rsid wsp:val=&quot;009F0BE1&quot;/&gt;&lt;wsp:rsid wsp:val=&quot;009F0F83&quot;/&gt;&lt;wsp:rsid wsp:val=&quot;009F135E&quot;/&gt;&lt;wsp:rsid wsp:val=&quot;009F2089&quot;/&gt;&lt;wsp:rsid wsp:val=&quot;009F2474&quot;/&gt;&lt;wsp:rsid wsp:val=&quot;009F25DE&quot;/&gt;&lt;wsp:rsid wsp:val=&quot;009F2731&quot;/&gt;&lt;wsp:rsid wsp:val=&quot;009F2A6C&quot;/&gt;&lt;wsp:rsid wsp:val=&quot;009F2EFE&quot;/&gt;&lt;wsp:rsid wsp:val=&quot;009F3128&quot;/&gt;&lt;wsp:rsid wsp:val=&quot;009F35C2&quot;/&gt;&lt;wsp:rsid wsp:val=&quot;009F3853&quot;/&gt;&lt;wsp:rsid wsp:val=&quot;009F3BDB&quot;/&gt;&lt;wsp:rsid wsp:val=&quot;009F4B13&quot;/&gt;&lt;wsp:rsid wsp:val=&quot;009F4C1D&quot;/&gt;&lt;wsp:rsid wsp:val=&quot;009F53C7&quot;/&gt;&lt;wsp:rsid wsp:val=&quot;009F5B5C&quot;/&gt;&lt;wsp:rsid wsp:val=&quot;009F743D&quot;/&gt;&lt;wsp:rsid wsp:val=&quot;00A00079&quot;/&gt;&lt;wsp:rsid wsp:val=&quot;00A003A1&quot;/&gt;&lt;wsp:rsid wsp:val=&quot;00A00B2C&quot;/&gt;&lt;wsp:rsid wsp:val=&quot;00A00FA2&quot;/&gt;&lt;wsp:rsid wsp:val=&quot;00A01103&quot;/&gt;&lt;wsp:rsid wsp:val=&quot;00A0120D&quot;/&gt;&lt;wsp:rsid wsp:val=&quot;00A01B20&quot;/&gt;&lt;wsp:rsid wsp:val=&quot;00A01C34&quot;/&gt;&lt;wsp:rsid wsp:val=&quot;00A021E2&quot;/&gt;&lt;wsp:rsid wsp:val=&quot;00A035FF&quot;/&gt;&lt;wsp:rsid wsp:val=&quot;00A0371D&quot;/&gt;&lt;wsp:rsid wsp:val=&quot;00A03A59&quot;/&gt;&lt;wsp:rsid wsp:val=&quot;00A03ACB&quot;/&gt;&lt;wsp:rsid wsp:val=&quot;00A03BB5&quot;/&gt;&lt;wsp:rsid wsp:val=&quot;00A03F77&quot;/&gt;&lt;wsp:rsid wsp:val=&quot;00A0427E&quot;/&gt;&lt;wsp:rsid wsp:val=&quot;00A042F8&quot;/&gt;&lt;wsp:rsid wsp:val=&quot;00A0452C&quot;/&gt;&lt;wsp:rsid wsp:val=&quot;00A046E7&quot;/&gt;&lt;wsp:rsid wsp:val=&quot;00A04B32&quot;/&gt;&lt;wsp:rsid wsp:val=&quot;00A04D0F&quot;/&gt;&lt;wsp:rsid wsp:val=&quot;00A04F77&quot;/&gt;&lt;wsp:rsid wsp:val=&quot;00A050F3&quot;/&gt;&lt;wsp:rsid wsp:val=&quot;00A05343&quot;/&gt;&lt;wsp:rsid wsp:val=&quot;00A053C7&quot;/&gt;&lt;wsp:rsid wsp:val=&quot;00A05677&quot;/&gt;&lt;wsp:rsid wsp:val=&quot;00A0591E&quot;/&gt;&lt;wsp:rsid wsp:val=&quot;00A05B4A&quot;/&gt;&lt;wsp:rsid wsp:val=&quot;00A05C2D&quot;/&gt;&lt;wsp:rsid wsp:val=&quot;00A06A03&quot;/&gt;&lt;wsp:rsid wsp:val=&quot;00A06BC1&quot;/&gt;&lt;wsp:rsid wsp:val=&quot;00A06C9D&quot;/&gt;&lt;wsp:rsid wsp:val=&quot;00A06DB5&quot;/&gt;&lt;wsp:rsid wsp:val=&quot;00A0748F&quot;/&gt;&lt;wsp:rsid wsp:val=&quot;00A079F1&quot;/&gt;&lt;wsp:rsid wsp:val=&quot;00A07B2C&quot;/&gt;&lt;wsp:rsid wsp:val=&quot;00A10D9B&quot;/&gt;&lt;wsp:rsid wsp:val=&quot;00A1145F&quot;/&gt;&lt;wsp:rsid wsp:val=&quot;00A11C52&quot;/&gt;&lt;wsp:rsid wsp:val=&quot;00A11C5C&quot;/&gt;&lt;wsp:rsid wsp:val=&quot;00A11D1F&quot;/&gt;&lt;wsp:rsid wsp:val=&quot;00A11D8C&quot;/&gt;&lt;wsp:rsid wsp:val=&quot;00A12172&quot;/&gt;&lt;wsp:rsid wsp:val=&quot;00A1222A&quot;/&gt;&lt;wsp:rsid wsp:val=&quot;00A12826&quot;/&gt;&lt;wsp:rsid wsp:val=&quot;00A12B42&quot;/&gt;&lt;wsp:rsid wsp:val=&quot;00A12F4B&quot;/&gt;&lt;wsp:rsid wsp:val=&quot;00A13143&quot;/&gt;&lt;wsp:rsid wsp:val=&quot;00A132CA&quot;/&gt;&lt;wsp:rsid wsp:val=&quot;00A1382C&quot;/&gt;&lt;wsp:rsid wsp:val=&quot;00A13CB4&quot;/&gt;&lt;wsp:rsid wsp:val=&quot;00A13ED1&quot;/&gt;&lt;wsp:rsid wsp:val=&quot;00A14295&quot;/&gt;&lt;wsp:rsid wsp:val=&quot;00A14943&quot;/&gt;&lt;wsp:rsid wsp:val=&quot;00A14F37&quot;/&gt;&lt;wsp:rsid wsp:val=&quot;00A15042&quot;/&gt;&lt;wsp:rsid wsp:val=&quot;00A1539F&quot;/&gt;&lt;wsp:rsid wsp:val=&quot;00A157CB&quot;/&gt;&lt;wsp:rsid wsp:val=&quot;00A15C90&quot;/&gt;&lt;wsp:rsid wsp:val=&quot;00A16650&quot;/&gt;&lt;wsp:rsid wsp:val=&quot;00A1679E&quot;/&gt;&lt;wsp:rsid wsp:val=&quot;00A167F7&quot;/&gt;&lt;wsp:rsid wsp:val=&quot;00A16F8F&quot;/&gt;&lt;wsp:rsid wsp:val=&quot;00A170BE&quot;/&gt;&lt;wsp:rsid wsp:val=&quot;00A17933&quot;/&gt;&lt;wsp:rsid wsp:val=&quot;00A17A3B&quot;/&gt;&lt;wsp:rsid wsp:val=&quot;00A17E2E&quot;/&gt;&lt;wsp:rsid wsp:val=&quot;00A17E9E&quot;/&gt;&lt;wsp:rsid wsp:val=&quot;00A17F35&quot;/&gt;&lt;wsp:rsid wsp:val=&quot;00A20289&quot;/&gt;&lt;wsp:rsid wsp:val=&quot;00A20639&quot;/&gt;&lt;wsp:rsid wsp:val=&quot;00A20776&quot;/&gt;&lt;wsp:rsid wsp:val=&quot;00A2117F&quot;/&gt;&lt;wsp:rsid wsp:val=&quot;00A21576&quot;/&gt;&lt;wsp:rsid wsp:val=&quot;00A2171D&quot;/&gt;&lt;wsp:rsid wsp:val=&quot;00A21B33&quot;/&gt;&lt;wsp:rsid wsp:val=&quot;00A21DCA&quot;/&gt;&lt;wsp:rsid wsp:val=&quot;00A22051&quot;/&gt;&lt;wsp:rsid wsp:val=&quot;00A2218B&quot;/&gt;&lt;wsp:rsid wsp:val=&quot;00A225B4&quot;/&gt;&lt;wsp:rsid wsp:val=&quot;00A2271E&quot;/&gt;&lt;wsp:rsid wsp:val=&quot;00A22F56&quot;/&gt;&lt;wsp:rsid wsp:val=&quot;00A22F88&quot;/&gt;&lt;wsp:rsid wsp:val=&quot;00A2308A&quot;/&gt;&lt;wsp:rsid wsp:val=&quot;00A23590&quot;/&gt;&lt;wsp:rsid wsp:val=&quot;00A238C6&quot;/&gt;&lt;wsp:rsid wsp:val=&quot;00A23A88&quot;/&gt;&lt;wsp:rsid wsp:val=&quot;00A2422C&quot;/&gt;&lt;wsp:rsid wsp:val=&quot;00A24560&quot;/&gt;&lt;wsp:rsid wsp:val=&quot;00A2545A&quot;/&gt;&lt;wsp:rsid wsp:val=&quot;00A2602E&quot;/&gt;&lt;wsp:rsid wsp:val=&quot;00A26074&quot;/&gt;&lt;wsp:rsid wsp:val=&quot;00A262C7&quot;/&gt;&lt;wsp:rsid wsp:val=&quot;00A268FA&quot;/&gt;&lt;wsp:rsid wsp:val=&quot;00A26F35&quot;/&gt;&lt;wsp:rsid wsp:val=&quot;00A273D4&quot;/&gt;&lt;wsp:rsid wsp:val=&quot;00A27E4F&quot;/&gt;&lt;wsp:rsid wsp:val=&quot;00A30547&quot;/&gt;&lt;wsp:rsid wsp:val=&quot;00A3120C&quot;/&gt;&lt;wsp:rsid wsp:val=&quot;00A3128D&quot;/&gt;&lt;wsp:rsid wsp:val=&quot;00A314D1&quot;/&gt;&lt;wsp:rsid wsp:val=&quot;00A31A46&quot;/&gt;&lt;wsp:rsid wsp:val=&quot;00A32C96&quot;/&gt;&lt;wsp:rsid wsp:val=&quot;00A32F8C&quot;/&gt;&lt;wsp:rsid wsp:val=&quot;00A337F3&quot;/&gt;&lt;wsp:rsid wsp:val=&quot;00A33B92&quot;/&gt;&lt;wsp:rsid wsp:val=&quot;00A33BE3&quot;/&gt;&lt;wsp:rsid wsp:val=&quot;00A33F6F&quot;/&gt;&lt;wsp:rsid wsp:val=&quot;00A34D3A&quot;/&gt;&lt;wsp:rsid wsp:val=&quot;00A35436&quot;/&gt;&lt;wsp:rsid wsp:val=&quot;00A35738&quot;/&gt;&lt;wsp:rsid wsp:val=&quot;00A359EA&quot;/&gt;&lt;wsp:rsid wsp:val=&quot;00A35D94&quot;/&gt;&lt;wsp:rsid wsp:val=&quot;00A366BA&quot;/&gt;&lt;wsp:rsid wsp:val=&quot;00A368E3&quot;/&gt;&lt;wsp:rsid wsp:val=&quot;00A3692B&quot;/&gt;&lt;wsp:rsid wsp:val=&quot;00A36B57&quot;/&gt;&lt;wsp:rsid wsp:val=&quot;00A3700D&quot;/&gt;&lt;wsp:rsid wsp:val=&quot;00A37631&quot;/&gt;&lt;wsp:rsid wsp:val=&quot;00A37781&quot;/&gt;&lt;wsp:rsid wsp:val=&quot;00A37CC5&quot;/&gt;&lt;wsp:rsid wsp:val=&quot;00A40B3E&quot;/&gt;&lt;wsp:rsid wsp:val=&quot;00A40D83&quot;/&gt;&lt;wsp:rsid wsp:val=&quot;00A40E71&quot;/&gt;&lt;wsp:rsid wsp:val=&quot;00A40FBA&quot;/&gt;&lt;wsp:rsid wsp:val=&quot;00A413DD&quot;/&gt;&lt;wsp:rsid wsp:val=&quot;00A41CCD&quot;/&gt;&lt;wsp:rsid wsp:val=&quot;00A42096&quot;/&gt;&lt;wsp:rsid wsp:val=&quot;00A4242B&quot;/&gt;&lt;wsp:rsid wsp:val=&quot;00A428EF&quot;/&gt;&lt;wsp:rsid wsp:val=&quot;00A4329F&quot;/&gt;&lt;wsp:rsid wsp:val=&quot;00A440DF&quot;/&gt;&lt;wsp:rsid wsp:val=&quot;00A44179&quot;/&gt;&lt;wsp:rsid wsp:val=&quot;00A44670&quot;/&gt;&lt;wsp:rsid wsp:val=&quot;00A44DA3&quot;/&gt;&lt;wsp:rsid wsp:val=&quot;00A44E6A&quot;/&gt;&lt;wsp:rsid wsp:val=&quot;00A44ED9&quot;/&gt;&lt;wsp:rsid wsp:val=&quot;00A4577B&quot;/&gt;&lt;wsp:rsid wsp:val=&quot;00A45CB1&quot;/&gt;&lt;wsp:rsid wsp:val=&quot;00A4666B&quot;/&gt;&lt;wsp:rsid wsp:val=&quot;00A4670E&quot;/&gt;&lt;wsp:rsid wsp:val=&quot;00A46945&quot;/&gt;&lt;wsp:rsid wsp:val=&quot;00A46C7F&quot;/&gt;&lt;wsp:rsid wsp:val=&quot;00A473F9&quot;/&gt;&lt;wsp:rsid wsp:val=&quot;00A47643&quot;/&gt;&lt;wsp:rsid wsp:val=&quot;00A477F7&quot;/&gt;&lt;wsp:rsid wsp:val=&quot;00A500FD&quot;/&gt;&lt;wsp:rsid wsp:val=&quot;00A50553&quot;/&gt;&lt;wsp:rsid wsp:val=&quot;00A50660&quot;/&gt;&lt;wsp:rsid wsp:val=&quot;00A5088A&quot;/&gt;&lt;wsp:rsid wsp:val=&quot;00A5096D&quot;/&gt;&lt;wsp:rsid wsp:val=&quot;00A511E0&quot;/&gt;&lt;wsp:rsid wsp:val=&quot;00A512A8&quot;/&gt;&lt;wsp:rsid wsp:val=&quot;00A514C9&quot;/&gt;&lt;wsp:rsid wsp:val=&quot;00A51952&quot;/&gt;&lt;wsp:rsid wsp:val=&quot;00A519DB&quot;/&gt;&lt;wsp:rsid wsp:val=&quot;00A51A02&quot;/&gt;&lt;wsp:rsid wsp:val=&quot;00A51AE9&quot;/&gt;&lt;wsp:rsid wsp:val=&quot;00A523BC&quot;/&gt;&lt;wsp:rsid wsp:val=&quot;00A528CB&quot;/&gt;&lt;wsp:rsid wsp:val=&quot;00A529D3&quot;/&gt;&lt;wsp:rsid wsp:val=&quot;00A52C2D&quot;/&gt;&lt;wsp:rsid wsp:val=&quot;00A52D14&quot;/&gt;&lt;wsp:rsid wsp:val=&quot;00A52F05&quot;/&gt;&lt;wsp:rsid wsp:val=&quot;00A52F13&quot;/&gt;&lt;wsp:rsid wsp:val=&quot;00A532B3&quot;/&gt;&lt;wsp:rsid wsp:val=&quot;00A53BFE&quot;/&gt;&lt;wsp:rsid wsp:val=&quot;00A540AE&quot;/&gt;&lt;wsp:rsid wsp:val=&quot;00A54192&quot;/&gt;&lt;wsp:rsid wsp:val=&quot;00A54C91&quot;/&gt;&lt;wsp:rsid wsp:val=&quot;00A54D24&quot;/&gt;&lt;wsp:rsid wsp:val=&quot;00A55178&quot;/&gt;&lt;wsp:rsid wsp:val=&quot;00A553ED&quot;/&gt;&lt;wsp:rsid wsp:val=&quot;00A5550C&quot;/&gt;&lt;wsp:rsid wsp:val=&quot;00A555FE&quot;/&gt;&lt;wsp:rsid wsp:val=&quot;00A5563C&quot;/&gt;&lt;wsp:rsid wsp:val=&quot;00A55896&quot;/&gt;&lt;wsp:rsid wsp:val=&quot;00A55D3B&quot;/&gt;&lt;wsp:rsid wsp:val=&quot;00A55EED&quot;/&gt;&lt;wsp:rsid wsp:val=&quot;00A560F1&quot;/&gt;&lt;wsp:rsid wsp:val=&quot;00A563C5&quot;/&gt;&lt;wsp:rsid wsp:val=&quot;00A56C1A&quot;/&gt;&lt;wsp:rsid wsp:val=&quot;00A56CF4&quot;/&gt;&lt;wsp:rsid wsp:val=&quot;00A5745B&quot;/&gt;&lt;wsp:rsid wsp:val=&quot;00A57647&quot;/&gt;&lt;wsp:rsid wsp:val=&quot;00A577CA&quot;/&gt;&lt;wsp:rsid wsp:val=&quot;00A578B1&quot;/&gt;&lt;wsp:rsid wsp:val=&quot;00A57933&quot;/&gt;&lt;wsp:rsid wsp:val=&quot;00A57CA1&quot;/&gt;&lt;wsp:rsid wsp:val=&quot;00A60921&quot;/&gt;&lt;wsp:rsid wsp:val=&quot;00A60AD1&quot;/&gt;&lt;wsp:rsid wsp:val=&quot;00A611EE&quot;/&gt;&lt;wsp:rsid wsp:val=&quot;00A61867&quot;/&gt;&lt;wsp:rsid wsp:val=&quot;00A61C2E&quot;/&gt;&lt;wsp:rsid wsp:val=&quot;00A61CF5&quot;/&gt;&lt;wsp:rsid wsp:val=&quot;00A6217D&quot;/&gt;&lt;wsp:rsid wsp:val=&quot;00A621AA&quot;/&gt;&lt;wsp:rsid wsp:val=&quot;00A62312&quot;/&gt;&lt;wsp:rsid wsp:val=&quot;00A62605&quot;/&gt;&lt;wsp:rsid wsp:val=&quot;00A62708&quot;/&gt;&lt;wsp:rsid wsp:val=&quot;00A62B02&quot;/&gt;&lt;wsp:rsid wsp:val=&quot;00A62B81&quot;/&gt;&lt;wsp:rsid wsp:val=&quot;00A63338&quot;/&gt;&lt;wsp:rsid wsp:val=&quot;00A6355E&quot;/&gt;&lt;wsp:rsid wsp:val=&quot;00A636D1&quot;/&gt;&lt;wsp:rsid wsp:val=&quot;00A63B3D&quot;/&gt;&lt;wsp:rsid wsp:val=&quot;00A63E7F&quot;/&gt;&lt;wsp:rsid wsp:val=&quot;00A63FAC&quot;/&gt;&lt;wsp:rsid wsp:val=&quot;00A646B6&quot;/&gt;&lt;wsp:rsid wsp:val=&quot;00A647EB&quot;/&gt;&lt;wsp:rsid wsp:val=&quot;00A65006&quot;/&gt;&lt;wsp:rsid wsp:val=&quot;00A6546B&quot;/&gt;&lt;wsp:rsid wsp:val=&quot;00A65AC9&quot;/&gt;&lt;wsp:rsid wsp:val=&quot;00A65B1F&quot;/&gt;&lt;wsp:rsid wsp:val=&quot;00A669C9&quot;/&gt;&lt;wsp:rsid wsp:val=&quot;00A66AF5&quot;/&gt;&lt;wsp:rsid wsp:val=&quot;00A670F8&quot;/&gt;&lt;wsp:rsid wsp:val=&quot;00A67A15&quot;/&gt;&lt;wsp:rsid wsp:val=&quot;00A67ACB&quot;/&gt;&lt;wsp:rsid wsp:val=&quot;00A67D19&quot;/&gt;&lt;wsp:rsid wsp:val=&quot;00A70388&quot;/&gt;&lt;wsp:rsid wsp:val=&quot;00A708B1&quot;/&gt;&lt;wsp:rsid wsp:val=&quot;00A7092F&quot;/&gt;&lt;wsp:rsid wsp:val=&quot;00A70FB9&quot;/&gt;&lt;wsp:rsid wsp:val=&quot;00A7142D&quot;/&gt;&lt;wsp:rsid wsp:val=&quot;00A72282&quot;/&gt;&lt;wsp:rsid wsp:val=&quot;00A72909&quot;/&gt;&lt;wsp:rsid wsp:val=&quot;00A72C0E&quot;/&gt;&lt;wsp:rsid wsp:val=&quot;00A72EE2&quot;/&gt;&lt;wsp:rsid wsp:val=&quot;00A731A9&quot;/&gt;&lt;wsp:rsid wsp:val=&quot;00A73448&quot;/&gt;&lt;wsp:rsid wsp:val=&quot;00A7372B&quot;/&gt;&lt;wsp:rsid wsp:val=&quot;00A73BA9&quot;/&gt;&lt;wsp:rsid wsp:val=&quot;00A73CFD&quot;/&gt;&lt;wsp:rsid wsp:val=&quot;00A742D0&quot;/&gt;&lt;wsp:rsid wsp:val=&quot;00A7573D&quot;/&gt;&lt;wsp:rsid wsp:val=&quot;00A76551&quot;/&gt;&lt;wsp:rsid wsp:val=&quot;00A766E6&quot;/&gt;&lt;wsp:rsid wsp:val=&quot;00A7695D&quot;/&gt;&lt;wsp:rsid wsp:val=&quot;00A76A04&quot;/&gt;&lt;wsp:rsid wsp:val=&quot;00A76AED&quot;/&gt;&lt;wsp:rsid wsp:val=&quot;00A76DCC&quot;/&gt;&lt;wsp:rsid wsp:val=&quot;00A770CE&quot;/&gt;&lt;wsp:rsid wsp:val=&quot;00A77389&quot;/&gt;&lt;wsp:rsid wsp:val=&quot;00A7762A&quot;/&gt;&lt;wsp:rsid wsp:val=&quot;00A77BC7&quot;/&gt;&lt;wsp:rsid wsp:val=&quot;00A77D57&quot;/&gt;&lt;wsp:rsid wsp:val=&quot;00A77E07&quot;/&gt;&lt;wsp:rsid wsp:val=&quot;00A80457&quot;/&gt;&lt;wsp:rsid wsp:val=&quot;00A80E5E&quot;/&gt;&lt;wsp:rsid wsp:val=&quot;00A8101E&quot;/&gt;&lt;wsp:rsid wsp:val=&quot;00A8145D&quot;/&gt;&lt;wsp:rsid wsp:val=&quot;00A81AE8&quot;/&gt;&lt;wsp:rsid wsp:val=&quot;00A81F5C&quot;/&gt;&lt;wsp:rsid wsp:val=&quot;00A8204D&quot;/&gt;&lt;wsp:rsid wsp:val=&quot;00A8241B&quot;/&gt;&lt;wsp:rsid wsp:val=&quot;00A82AF9&quot;/&gt;&lt;wsp:rsid wsp:val=&quot;00A832F4&quot;/&gt;&lt;wsp:rsid wsp:val=&quot;00A83964&quot;/&gt;&lt;wsp:rsid wsp:val=&quot;00A83972&quot;/&gt;&lt;wsp:rsid wsp:val=&quot;00A83C83&quot;/&gt;&lt;wsp:rsid wsp:val=&quot;00A83FEC&quot;/&gt;&lt;wsp:rsid wsp:val=&quot;00A840FE&quot;/&gt;&lt;wsp:rsid wsp:val=&quot;00A84602&quot;/&gt;&lt;wsp:rsid wsp:val=&quot;00A849C1&quot;/&gt;&lt;wsp:rsid wsp:val=&quot;00A84EA4&quot;/&gt;&lt;wsp:rsid wsp:val=&quot;00A85615&quot;/&gt;&lt;wsp:rsid wsp:val=&quot;00A85686&quot;/&gt;&lt;wsp:rsid wsp:val=&quot;00A85AC7&quot;/&gt;&lt;wsp:rsid wsp:val=&quot;00A86CA2&quot;/&gt;&lt;wsp:rsid wsp:val=&quot;00A8725B&quot;/&gt;&lt;wsp:rsid wsp:val=&quot;00A87443&quot;/&gt;&lt;wsp:rsid wsp:val=&quot;00A87D9B&quot;/&gt;&lt;wsp:rsid wsp:val=&quot;00A90DA6&quot;/&gt;&lt;wsp:rsid wsp:val=&quot;00A91D74&quot;/&gt;&lt;wsp:rsid wsp:val=&quot;00A91E13&quot;/&gt;&lt;wsp:rsid wsp:val=&quot;00A9280F&quot;/&gt;&lt;wsp:rsid wsp:val=&quot;00A92CF1&quot;/&gt;&lt;wsp:rsid wsp:val=&quot;00A92E21&quot;/&gt;&lt;wsp:rsid wsp:val=&quot;00A92EAF&quot;/&gt;&lt;wsp:rsid wsp:val=&quot;00A93183&quot;/&gt;&lt;wsp:rsid wsp:val=&quot;00A932E6&quot;/&gt;&lt;wsp:rsid wsp:val=&quot;00A934AD&quot;/&gt;&lt;wsp:rsid wsp:val=&quot;00A93756&quot;/&gt;&lt;wsp:rsid wsp:val=&quot;00A939A3&quot;/&gt;&lt;wsp:rsid wsp:val=&quot;00A939E0&quot;/&gt;&lt;wsp:rsid wsp:val=&quot;00A93A0B&quot;/&gt;&lt;wsp:rsid wsp:val=&quot;00A93ED3&quot;/&gt;&lt;wsp:rsid wsp:val=&quot;00A9402B&quot;/&gt;&lt;wsp:rsid wsp:val=&quot;00A94217&quot;/&gt;&lt;wsp:rsid wsp:val=&quot;00A94458&quot;/&gt;&lt;wsp:rsid wsp:val=&quot;00A94AA1&quot;/&gt;&lt;wsp:rsid wsp:val=&quot;00A94ACA&quot;/&gt;&lt;wsp:rsid wsp:val=&quot;00A9526C&quot;/&gt;&lt;wsp:rsid wsp:val=&quot;00A9573C&quot;/&gt;&lt;wsp:rsid wsp:val=&quot;00A957C3&quot;/&gt;&lt;wsp:rsid wsp:val=&quot;00A95860&quot;/&gt;&lt;wsp:rsid wsp:val=&quot;00A958A9&quot;/&gt;&lt;wsp:rsid wsp:val=&quot;00A95910&quot;/&gt;&lt;wsp:rsid wsp:val=&quot;00A95D10&quot;/&gt;&lt;wsp:rsid wsp:val=&quot;00A95EC7&quot;/&gt;&lt;wsp:rsid wsp:val=&quot;00A9643A&quot;/&gt;&lt;wsp:rsid wsp:val=&quot;00A9707F&quot;/&gt;&lt;wsp:rsid wsp:val=&quot;00A97760&quot;/&gt;&lt;wsp:rsid wsp:val=&quot;00A97804&quot;/&gt;&lt;wsp:rsid wsp:val=&quot;00A97922&quot;/&gt;&lt;wsp:rsid wsp:val=&quot;00A979B9&quot;/&gt;&lt;wsp:rsid wsp:val=&quot;00A97BE0&quot;/&gt;&lt;wsp:rsid wsp:val=&quot;00A97EBC&quot;/&gt;&lt;wsp:rsid wsp:val=&quot;00AA0646&quot;/&gt;&lt;wsp:rsid wsp:val=&quot;00AA06FC&quot;/&gt;&lt;wsp:rsid wsp:val=&quot;00AA16C8&quot;/&gt;&lt;wsp:rsid wsp:val=&quot;00AA1B83&quot;/&gt;&lt;wsp:rsid wsp:val=&quot;00AA1C2B&quot;/&gt;&lt;wsp:rsid wsp:val=&quot;00AA1DD5&quot;/&gt;&lt;wsp:rsid wsp:val=&quot;00AA25B4&quot;/&gt;&lt;wsp:rsid wsp:val=&quot;00AA25C9&quot;/&gt;&lt;wsp:rsid wsp:val=&quot;00AA3C0D&quot;/&gt;&lt;wsp:rsid wsp:val=&quot;00AA4063&quot;/&gt;&lt;wsp:rsid wsp:val=&quot;00AA42E3&quot;/&gt;&lt;wsp:rsid wsp:val=&quot;00AA438C&quot;/&gt;&lt;wsp:rsid wsp:val=&quot;00AA4493&quot;/&gt;&lt;wsp:rsid wsp:val=&quot;00AA457F&quot;/&gt;&lt;wsp:rsid wsp:val=&quot;00AA4631&quot;/&gt;&lt;wsp:rsid wsp:val=&quot;00AA489C&quot;/&gt;&lt;wsp:rsid wsp:val=&quot;00AA494A&quot;/&gt;&lt;wsp:rsid wsp:val=&quot;00AA502F&quot;/&gt;&lt;wsp:rsid wsp:val=&quot;00AA538E&quot;/&gt;&lt;wsp:rsid wsp:val=&quot;00AA53DD&quot;/&gt;&lt;wsp:rsid wsp:val=&quot;00AA53FB&quot;/&gt;&lt;wsp:rsid wsp:val=&quot;00AA6234&quot;/&gt;&lt;wsp:rsid wsp:val=&quot;00AA6437&quot;/&gt;&lt;wsp:rsid wsp:val=&quot;00AA64B1&quot;/&gt;&lt;wsp:rsid wsp:val=&quot;00AA6C67&quot;/&gt;&lt;wsp:rsid wsp:val=&quot;00AA705C&quot;/&gt;&lt;wsp:rsid wsp:val=&quot;00AA72AF&quot;/&gt;&lt;wsp:rsid wsp:val=&quot;00AA7848&quot;/&gt;&lt;wsp:rsid wsp:val=&quot;00AA7856&quot;/&gt;&lt;wsp:rsid wsp:val=&quot;00AA7863&quot;/&gt;&lt;wsp:rsid wsp:val=&quot;00AA7890&quot;/&gt;&lt;wsp:rsid wsp:val=&quot;00AA78B4&quot;/&gt;&lt;wsp:rsid wsp:val=&quot;00AA7954&quot;/&gt;&lt;wsp:rsid wsp:val=&quot;00AA7C43&quot;/&gt;&lt;wsp:rsid wsp:val=&quot;00AA7CE3&quot;/&gt;&lt;wsp:rsid wsp:val=&quot;00AA7FB6&quot;/&gt;&lt;wsp:rsid wsp:val=&quot;00AB0247&quot;/&gt;&lt;wsp:rsid wsp:val=&quot;00AB0267&quot;/&gt;&lt;wsp:rsid wsp:val=&quot;00AB0652&quot;/&gt;&lt;wsp:rsid wsp:val=&quot;00AB0762&quot;/&gt;&lt;wsp:rsid wsp:val=&quot;00AB1276&quot;/&gt;&lt;wsp:rsid wsp:val=&quot;00AB17BB&quot;/&gt;&lt;wsp:rsid wsp:val=&quot;00AB1C8B&quot;/&gt;&lt;wsp:rsid wsp:val=&quot;00AB264A&quot;/&gt;&lt;wsp:rsid wsp:val=&quot;00AB2796&quot;/&gt;&lt;wsp:rsid wsp:val=&quot;00AB2DB2&quot;/&gt;&lt;wsp:rsid wsp:val=&quot;00AB3604&quot;/&gt;&lt;wsp:rsid wsp:val=&quot;00AB3752&quot;/&gt;&lt;wsp:rsid wsp:val=&quot;00AB37C6&quot;/&gt;&lt;wsp:rsid wsp:val=&quot;00AB3A50&quot;/&gt;&lt;wsp:rsid wsp:val=&quot;00AB3AE9&quot;/&gt;&lt;wsp:rsid wsp:val=&quot;00AB3BB7&quot;/&gt;&lt;wsp:rsid wsp:val=&quot;00AB3BC4&quot;/&gt;&lt;wsp:rsid wsp:val=&quot;00AB3ED2&quot;/&gt;&lt;wsp:rsid wsp:val=&quot;00AB4121&quot;/&gt;&lt;wsp:rsid wsp:val=&quot;00AB5A60&quot;/&gt;&lt;wsp:rsid wsp:val=&quot;00AB639D&quot;/&gt;&lt;wsp:rsid wsp:val=&quot;00AB65A0&quot;/&gt;&lt;wsp:rsid wsp:val=&quot;00AB6C83&quot;/&gt;&lt;wsp:rsid wsp:val=&quot;00AB73FF&quot;/&gt;&lt;wsp:rsid wsp:val=&quot;00AB7672&quot;/&gt;&lt;wsp:rsid wsp:val=&quot;00AB7743&quot;/&gt;&lt;wsp:rsid wsp:val=&quot;00AB7D57&quot;/&gt;&lt;wsp:rsid wsp:val=&quot;00AC0D16&quot;/&gt;&lt;wsp:rsid wsp:val=&quot;00AC14FD&quot;/&gt;&lt;wsp:rsid wsp:val=&quot;00AC1A69&quot;/&gt;&lt;wsp:rsid wsp:val=&quot;00AC1DBC&quot;/&gt;&lt;wsp:rsid wsp:val=&quot;00AC1F01&quot;/&gt;&lt;wsp:rsid wsp:val=&quot;00AC23A1&quot;/&gt;&lt;wsp:rsid wsp:val=&quot;00AC2A32&quot;/&gt;&lt;wsp:rsid wsp:val=&quot;00AC3AFE&quot;/&gt;&lt;wsp:rsid wsp:val=&quot;00AC3B8D&quot;/&gt;&lt;wsp:rsid wsp:val=&quot;00AC3BBD&quot;/&gt;&lt;wsp:rsid wsp:val=&quot;00AC4359&quot;/&gt;&lt;wsp:rsid wsp:val=&quot;00AC44C9&quot;/&gt;&lt;wsp:rsid wsp:val=&quot;00AC472D&quot;/&gt;&lt;wsp:rsid wsp:val=&quot;00AC47B2&quot;/&gt;&lt;wsp:rsid wsp:val=&quot;00AC4C2B&quot;/&gt;&lt;wsp:rsid wsp:val=&quot;00AC4FF1&quot;/&gt;&lt;wsp:rsid wsp:val=&quot;00AC5879&quot;/&gt;&lt;wsp:rsid wsp:val=&quot;00AC6391&quot;/&gt;&lt;wsp:rsid wsp:val=&quot;00AC6CD0&quot;/&gt;&lt;wsp:rsid wsp:val=&quot;00AC71C8&quot;/&gt;&lt;wsp:rsid wsp:val=&quot;00AC71C9&quot;/&gt;&lt;wsp:rsid wsp:val=&quot;00AC75FF&quot;/&gt;&lt;wsp:rsid wsp:val=&quot;00AC7B41&quot;/&gt;&lt;wsp:rsid wsp:val=&quot;00AD005E&quot;/&gt;&lt;wsp:rsid wsp:val=&quot;00AD0115&quot;/&gt;&lt;wsp:rsid wsp:val=&quot;00AD0C33&quot;/&gt;&lt;wsp:rsid wsp:val=&quot;00AD1701&quot;/&gt;&lt;wsp:rsid wsp:val=&quot;00AD1B71&quot;/&gt;&lt;wsp:rsid wsp:val=&quot;00AD1B8E&quot;/&gt;&lt;wsp:rsid wsp:val=&quot;00AD26FB&quot;/&gt;&lt;wsp:rsid wsp:val=&quot;00AD270A&quot;/&gt;&lt;wsp:rsid wsp:val=&quot;00AD2DD9&quot;/&gt;&lt;wsp:rsid wsp:val=&quot;00AD33E4&quot;/&gt;&lt;wsp:rsid wsp:val=&quot;00AD360C&quot;/&gt;&lt;wsp:rsid wsp:val=&quot;00AD36A2&quot;/&gt;&lt;wsp:rsid wsp:val=&quot;00AD3954&quot;/&gt;&lt;wsp:rsid wsp:val=&quot;00AD3B49&quot;/&gt;&lt;wsp:rsid wsp:val=&quot;00AD3BD7&quot;/&gt;&lt;wsp:rsid wsp:val=&quot;00AD3DAB&quot;/&gt;&lt;wsp:rsid wsp:val=&quot;00AD3EB4&quot;/&gt;&lt;wsp:rsid wsp:val=&quot;00AD44B0&quot;/&gt;&lt;wsp:rsid wsp:val=&quot;00AD4B01&quot;/&gt;&lt;wsp:rsid wsp:val=&quot;00AD4CA5&quot;/&gt;&lt;wsp:rsid wsp:val=&quot;00AD4ED8&quot;/&gt;&lt;wsp:rsid wsp:val=&quot;00AD552C&quot;/&gt;&lt;wsp:rsid wsp:val=&quot;00AD5826&quot;/&gt;&lt;wsp:rsid wsp:val=&quot;00AD5996&quot;/&gt;&lt;wsp:rsid wsp:val=&quot;00AD65B1&quot;/&gt;&lt;wsp:rsid wsp:val=&quot;00AD6827&quot;/&gt;&lt;wsp:rsid wsp:val=&quot;00AD6CE9&quot;/&gt;&lt;wsp:rsid wsp:val=&quot;00AD7107&quot;/&gt;&lt;wsp:rsid wsp:val=&quot;00AD73D2&quot;/&gt;&lt;wsp:rsid wsp:val=&quot;00AD74DF&quot;/&gt;&lt;wsp:rsid wsp:val=&quot;00AD74E1&quot;/&gt;&lt;wsp:rsid wsp:val=&quot;00AD76C7&quot;/&gt;&lt;wsp:rsid wsp:val=&quot;00AD7771&quot;/&gt;&lt;wsp:rsid wsp:val=&quot;00AD7853&quot;/&gt;&lt;wsp:rsid wsp:val=&quot;00AD78B7&quot;/&gt;&lt;wsp:rsid wsp:val=&quot;00AD7BA6&quot;/&gt;&lt;wsp:rsid wsp:val=&quot;00AD7D3A&quot;/&gt;&lt;wsp:rsid wsp:val=&quot;00AD7E34&quot;/&gt;&lt;wsp:rsid wsp:val=&quot;00AE03CB&quot;/&gt;&lt;wsp:rsid wsp:val=&quot;00AE060D&quot;/&gt;&lt;wsp:rsid wsp:val=&quot;00AE0730&quot;/&gt;&lt;wsp:rsid wsp:val=&quot;00AE1414&quot;/&gt;&lt;wsp:rsid wsp:val=&quot;00AE16BD&quot;/&gt;&lt;wsp:rsid wsp:val=&quot;00AE1815&quot;/&gt;&lt;wsp:rsid wsp:val=&quot;00AE1AD9&quot;/&gt;&lt;wsp:rsid wsp:val=&quot;00AE22FE&quot;/&gt;&lt;wsp:rsid wsp:val=&quot;00AE2719&quot;/&gt;&lt;wsp:rsid wsp:val=&quot;00AE2EB2&quot;/&gt;&lt;wsp:rsid wsp:val=&quot;00AE3406&quot;/&gt;&lt;wsp:rsid wsp:val=&quot;00AE3873&quot;/&gt;&lt;wsp:rsid wsp:val=&quot;00AE3B88&quot;/&gt;&lt;wsp:rsid wsp:val=&quot;00AE3FFD&quot;/&gt;&lt;wsp:rsid wsp:val=&quot;00AE4C4B&quot;/&gt;&lt;wsp:rsid wsp:val=&quot;00AE5507&quot;/&gt;&lt;wsp:rsid wsp:val=&quot;00AE5AA2&quot;/&gt;&lt;wsp:rsid wsp:val=&quot;00AE5AA7&quot;/&gt;&lt;wsp:rsid wsp:val=&quot;00AE6327&quot;/&gt;&lt;wsp:rsid wsp:val=&quot;00AE654F&quot;/&gt;&lt;wsp:rsid wsp:val=&quot;00AE6F94&quot;/&gt;&lt;wsp:rsid wsp:val=&quot;00AE7387&quot;/&gt;&lt;wsp:rsid wsp:val=&quot;00AE7614&quot;/&gt;&lt;wsp:rsid wsp:val=&quot;00AE76B7&quot;/&gt;&lt;wsp:rsid wsp:val=&quot;00AE7F41&quot;/&gt;&lt;wsp:rsid wsp:val=&quot;00AE7F77&quot;/&gt;&lt;wsp:rsid wsp:val=&quot;00AF007A&quot;/&gt;&lt;wsp:rsid wsp:val=&quot;00AF0423&quot;/&gt;&lt;wsp:rsid wsp:val=&quot;00AF068C&quot;/&gt;&lt;wsp:rsid wsp:val=&quot;00AF0A02&quot;/&gt;&lt;wsp:rsid wsp:val=&quot;00AF0EC7&quot;/&gt;&lt;wsp:rsid wsp:val=&quot;00AF1558&quot;/&gt;&lt;wsp:rsid wsp:val=&quot;00AF175A&quot;/&gt;&lt;wsp:rsid wsp:val=&quot;00AF18C9&quot;/&gt;&lt;wsp:rsid wsp:val=&quot;00AF1E20&quot;/&gt;&lt;wsp:rsid wsp:val=&quot;00AF2379&quot;/&gt;&lt;wsp:rsid wsp:val=&quot;00AF2872&quot;/&gt;&lt;wsp:rsid wsp:val=&quot;00AF2950&quot;/&gt;&lt;wsp:rsid wsp:val=&quot;00AF2F18&quot;/&gt;&lt;wsp:rsid wsp:val=&quot;00AF40E6&quot;/&gt;&lt;wsp:rsid wsp:val=&quot;00AF4150&quot;/&gt;&lt;wsp:rsid wsp:val=&quot;00AF422B&quot;/&gt;&lt;wsp:rsid wsp:val=&quot;00AF4441&quot;/&gt;&lt;wsp:rsid wsp:val=&quot;00AF47BF&quot;/&gt;&lt;wsp:rsid wsp:val=&quot;00AF4A3C&quot;/&gt;&lt;wsp:rsid wsp:val=&quot;00AF4D1B&quot;/&gt;&lt;wsp:rsid wsp:val=&quot;00AF4DF1&quot;/&gt;&lt;wsp:rsid wsp:val=&quot;00AF5578&quot;/&gt;&lt;wsp:rsid wsp:val=&quot;00AF565E&quot;/&gt;&lt;wsp:rsid wsp:val=&quot;00AF5DAA&quot;/&gt;&lt;wsp:rsid wsp:val=&quot;00AF5DEB&quot;/&gt;&lt;wsp:rsid wsp:val=&quot;00AF66D6&quot;/&gt;&lt;wsp:rsid wsp:val=&quot;00AF695E&quot;/&gt;&lt;wsp:rsid wsp:val=&quot;00AF6D47&quot;/&gt;&lt;wsp:rsid wsp:val=&quot;00AF6D7C&quot;/&gt;&lt;wsp:rsid wsp:val=&quot;00AF6F95&quot;/&gt;&lt;wsp:rsid wsp:val=&quot;00AF71BE&quot;/&gt;&lt;wsp:rsid wsp:val=&quot;00AF7D9B&quot;/&gt;&lt;wsp:rsid wsp:val=&quot;00AF7E13&quot;/&gt;&lt;wsp:rsid wsp:val=&quot;00AF7F40&quot;/&gt;&lt;wsp:rsid wsp:val=&quot;00B00502&quot;/&gt;&lt;wsp:rsid wsp:val=&quot;00B0051B&quot;/&gt;&lt;wsp:rsid wsp:val=&quot;00B0075C&quot;/&gt;&lt;wsp:rsid wsp:val=&quot;00B009A9&quot;/&gt;&lt;wsp:rsid wsp:val=&quot;00B01251&quot;/&gt;&lt;wsp:rsid wsp:val=&quot;00B015A7&quot;/&gt;&lt;wsp:rsid wsp:val=&quot;00B022A1&quot;/&gt;&lt;wsp:rsid wsp:val=&quot;00B031E5&quot;/&gt;&lt;wsp:rsid wsp:val=&quot;00B03C47&quot;/&gt;&lt;wsp:rsid wsp:val=&quot;00B03C7E&quot;/&gt;&lt;wsp:rsid wsp:val=&quot;00B03D06&quot;/&gt;&lt;wsp:rsid wsp:val=&quot;00B04C29&quot;/&gt;&lt;wsp:rsid wsp:val=&quot;00B04C2F&quot;/&gt;&lt;wsp:rsid wsp:val=&quot;00B04D61&quot;/&gt;&lt;wsp:rsid wsp:val=&quot;00B04F9A&quot;/&gt;&lt;wsp:rsid wsp:val=&quot;00B0579F&quot;/&gt;&lt;wsp:rsid wsp:val=&quot;00B05980&quot;/&gt;&lt;wsp:rsid wsp:val=&quot;00B05BCB&quot;/&gt;&lt;wsp:rsid wsp:val=&quot;00B064AF&quot;/&gt;&lt;wsp:rsid wsp:val=&quot;00B06710&quot;/&gt;&lt;wsp:rsid wsp:val=&quot;00B06ED8&quot;/&gt;&lt;wsp:rsid wsp:val=&quot;00B07174&quot;/&gt;&lt;wsp:rsid wsp:val=&quot;00B07213&quot;/&gt;&lt;wsp:rsid wsp:val=&quot;00B072E9&quot;/&gt;&lt;wsp:rsid wsp:val=&quot;00B07890&quot;/&gt;&lt;wsp:rsid wsp:val=&quot;00B07D7B&quot;/&gt;&lt;wsp:rsid wsp:val=&quot;00B10030&quot;/&gt;&lt;wsp:rsid wsp:val=&quot;00B1015F&quot;/&gt;&lt;wsp:rsid wsp:val=&quot;00B105D9&quot;/&gt;&lt;wsp:rsid wsp:val=&quot;00B107A1&quot;/&gt;&lt;wsp:rsid wsp:val=&quot;00B11639&quot;/&gt;&lt;wsp:rsid wsp:val=&quot;00B11FB6&quot;/&gt;&lt;wsp:rsid wsp:val=&quot;00B1207C&quot;/&gt;&lt;wsp:rsid wsp:val=&quot;00B12740&quot;/&gt;&lt;wsp:rsid wsp:val=&quot;00B12EBA&quot;/&gt;&lt;wsp:rsid wsp:val=&quot;00B13959&quot;/&gt;&lt;wsp:rsid wsp:val=&quot;00B1440A&quot;/&gt;&lt;wsp:rsid wsp:val=&quot;00B14A71&quot;/&gt;&lt;wsp:rsid wsp:val=&quot;00B14BB2&quot;/&gt;&lt;wsp:rsid wsp:val=&quot;00B15E5C&quot;/&gt;&lt;wsp:rsid wsp:val=&quot;00B16402&quot;/&gt;&lt;wsp:rsid wsp:val=&quot;00B169F6&quot;/&gt;&lt;wsp:rsid wsp:val=&quot;00B1743B&quot;/&gt;&lt;wsp:rsid wsp:val=&quot;00B17DFF&quot;/&gt;&lt;wsp:rsid wsp:val=&quot;00B17F50&quot;/&gt;&lt;wsp:rsid wsp:val=&quot;00B21652&quot;/&gt;&lt;wsp:rsid wsp:val=&quot;00B21B94&quot;/&gt;&lt;wsp:rsid wsp:val=&quot;00B21ED4&quot;/&gt;&lt;wsp:rsid wsp:val=&quot;00B227EF&quot;/&gt;&lt;wsp:rsid wsp:val=&quot;00B22CCA&quot;/&gt;&lt;wsp:rsid wsp:val=&quot;00B231E5&quot;/&gt;&lt;wsp:rsid wsp:val=&quot;00B2333B&quot;/&gt;&lt;wsp:rsid wsp:val=&quot;00B23AE5&quot;/&gt;&lt;wsp:rsid wsp:val=&quot;00B249EB&quot;/&gt;&lt;wsp:rsid wsp:val=&quot;00B24A7C&quot;/&gt;&lt;wsp:rsid wsp:val=&quot;00B24C9C&quot;/&gt;&lt;wsp:rsid wsp:val=&quot;00B24E39&quot;/&gt;&lt;wsp:rsid wsp:val=&quot;00B24EEE&quot;/&gt;&lt;wsp:rsid wsp:val=&quot;00B26120&quot;/&gt;&lt;wsp:rsid wsp:val=&quot;00B26377&quot;/&gt;&lt;wsp:rsid wsp:val=&quot;00B26542&quot;/&gt;&lt;wsp:rsid wsp:val=&quot;00B266EE&quot;/&gt;&lt;wsp:rsid wsp:val=&quot;00B26851&quot;/&gt;&lt;wsp:rsid wsp:val=&quot;00B26BD6&quot;/&gt;&lt;wsp:rsid wsp:val=&quot;00B27D5B&quot;/&gt;&lt;wsp:rsid wsp:val=&quot;00B309EC&quot;/&gt;&lt;wsp:rsid wsp:val=&quot;00B30A1F&quot;/&gt;&lt;wsp:rsid wsp:val=&quot;00B3182D&quot;/&gt;&lt;wsp:rsid wsp:val=&quot;00B31899&quot;/&gt;&lt;wsp:rsid wsp:val=&quot;00B31B2F&quot;/&gt;&lt;wsp:rsid wsp:val=&quot;00B31B96&quot;/&gt;&lt;wsp:rsid wsp:val=&quot;00B31E9B&quot;/&gt;&lt;wsp:rsid wsp:val=&quot;00B31F8A&quot;/&gt;&lt;wsp:rsid wsp:val=&quot;00B32A7E&quot;/&gt;&lt;wsp:rsid wsp:val=&quot;00B32F02&quot;/&gt;&lt;wsp:rsid wsp:val=&quot;00B32F2A&quot;/&gt;&lt;wsp:rsid wsp:val=&quot;00B33124&quot;/&gt;&lt;wsp:rsid wsp:val=&quot;00B33824&quot;/&gt;&lt;wsp:rsid wsp:val=&quot;00B33998&quot;/&gt;&lt;wsp:rsid wsp:val=&quot;00B34043&quot;/&gt;&lt;wsp:rsid wsp:val=&quot;00B34552&quot;/&gt;&lt;wsp:rsid wsp:val=&quot;00B348D8&quot;/&gt;&lt;wsp:rsid wsp:val=&quot;00B34B04&quot;/&gt;&lt;wsp:rsid wsp:val=&quot;00B34B91&quot;/&gt;&lt;wsp:rsid wsp:val=&quot;00B3573E&quot;/&gt;&lt;wsp:rsid wsp:val=&quot;00B3640A&quot;/&gt;&lt;wsp:rsid wsp:val=&quot;00B36548&quot;/&gt;&lt;wsp:rsid wsp:val=&quot;00B36859&quot;/&gt;&lt;wsp:rsid wsp:val=&quot;00B369AB&quot;/&gt;&lt;wsp:rsid wsp:val=&quot;00B36A26&quot;/&gt;&lt;wsp:rsid wsp:val=&quot;00B36C4F&quot;/&gt;&lt;wsp:rsid wsp:val=&quot;00B37498&quot;/&gt;&lt;wsp:rsid wsp:val=&quot;00B378F8&quot;/&gt;&lt;wsp:rsid wsp:val=&quot;00B37AB0&quot;/&gt;&lt;wsp:rsid wsp:val=&quot;00B37FA5&quot;/&gt;&lt;wsp:rsid wsp:val=&quot;00B400E1&quot;/&gt;&lt;wsp:rsid wsp:val=&quot;00B40B81&quot;/&gt;&lt;wsp:rsid wsp:val=&quot;00B41020&quot;/&gt;&lt;wsp:rsid wsp:val=&quot;00B415EA&quot;/&gt;&lt;wsp:rsid wsp:val=&quot;00B41B5A&quot;/&gt;&lt;wsp:rsid wsp:val=&quot;00B426FC&quot;/&gt;&lt;wsp:rsid wsp:val=&quot;00B43153&quot;/&gt;&lt;wsp:rsid wsp:val=&quot;00B43367&quot;/&gt;&lt;wsp:rsid wsp:val=&quot;00B434E8&quot;/&gt;&lt;wsp:rsid wsp:val=&quot;00B437FD&quot;/&gt;&lt;wsp:rsid wsp:val=&quot;00B43A64&quot;/&gt;&lt;wsp:rsid wsp:val=&quot;00B43E2B&quot;/&gt;&lt;wsp:rsid wsp:val=&quot;00B43E2C&quot;/&gt;&lt;wsp:rsid wsp:val=&quot;00B4405D&quot;/&gt;&lt;wsp:rsid wsp:val=&quot;00B44419&quot;/&gt;&lt;wsp:rsid wsp:val=&quot;00B44431&quot;/&gt;&lt;wsp:rsid wsp:val=&quot;00B44596&quot;/&gt;&lt;wsp:rsid wsp:val=&quot;00B445F6&quot;/&gt;&lt;wsp:rsid wsp:val=&quot;00B446F2&quot;/&gt;&lt;wsp:rsid wsp:val=&quot;00B44742&quot;/&gt;&lt;wsp:rsid wsp:val=&quot;00B4481D&quot;/&gt;&lt;wsp:rsid wsp:val=&quot;00B4499F&quot;/&gt;&lt;wsp:rsid wsp:val=&quot;00B44A84&quot;/&gt;&lt;wsp:rsid wsp:val=&quot;00B456F3&quot;/&gt;&lt;wsp:rsid wsp:val=&quot;00B45C10&quot;/&gt;&lt;wsp:rsid wsp:val=&quot;00B46556&quot;/&gt;&lt;wsp:rsid wsp:val=&quot;00B46E3E&quot;/&gt;&lt;wsp:rsid wsp:val=&quot;00B46F96&quot;/&gt;&lt;wsp:rsid wsp:val=&quot;00B47759&quot;/&gt;&lt;wsp:rsid wsp:val=&quot;00B4782A&quot;/&gt;&lt;wsp:rsid wsp:val=&quot;00B47C02&quot;/&gt;&lt;wsp:rsid wsp:val=&quot;00B47F21&quot;/&gt;&lt;wsp:rsid wsp:val=&quot;00B5025F&quot;/&gt;&lt;wsp:rsid wsp:val=&quot;00B502C0&quot;/&gt;&lt;wsp:rsid wsp:val=&quot;00B508CB&quot;/&gt;&lt;wsp:rsid wsp:val=&quot;00B50A59&quot;/&gt;&lt;wsp:rsid wsp:val=&quot;00B50ADD&quot;/&gt;&lt;wsp:rsid wsp:val=&quot;00B50F6D&quot;/&gt;&lt;wsp:rsid wsp:val=&quot;00B50FFC&quot;/&gt;&lt;wsp:rsid wsp:val=&quot;00B51937&quot;/&gt;&lt;wsp:rsid wsp:val=&quot;00B51BB6&quot;/&gt;&lt;wsp:rsid wsp:val=&quot;00B51E10&quot;/&gt;&lt;wsp:rsid wsp:val=&quot;00B51E9F&quot;/&gt;&lt;wsp:rsid wsp:val=&quot;00B52916&quot;/&gt;&lt;wsp:rsid wsp:val=&quot;00B52C41&quot;/&gt;&lt;wsp:rsid wsp:val=&quot;00B52CE9&quot;/&gt;&lt;wsp:rsid wsp:val=&quot;00B53198&quot;/&gt;&lt;wsp:rsid wsp:val=&quot;00B53275&quot;/&gt;&lt;wsp:rsid wsp:val=&quot;00B53547&quot;/&gt;&lt;wsp:rsid wsp:val=&quot;00B5364E&quot;/&gt;&lt;wsp:rsid wsp:val=&quot;00B536D1&quot;/&gt;&lt;wsp:rsid wsp:val=&quot;00B537CA&quot;/&gt;&lt;wsp:rsid wsp:val=&quot;00B539BC&quot;/&gt;&lt;wsp:rsid wsp:val=&quot;00B53B8E&quot;/&gt;&lt;wsp:rsid wsp:val=&quot;00B54070&quot;/&gt;&lt;wsp:rsid wsp:val=&quot;00B54822&quot;/&gt;&lt;wsp:rsid wsp:val=&quot;00B54A71&quot;/&gt;&lt;wsp:rsid wsp:val=&quot;00B54C98&quot;/&gt;&lt;wsp:rsid wsp:val=&quot;00B54FBE&quot;/&gt;&lt;wsp:rsid wsp:val=&quot;00B5532E&quot;/&gt;&lt;wsp:rsid wsp:val=&quot;00B556E4&quot;/&gt;&lt;wsp:rsid wsp:val=&quot;00B5621D&quot;/&gt;&lt;wsp:rsid wsp:val=&quot;00B565C7&quot;/&gt;&lt;wsp:rsid wsp:val=&quot;00B566AE&quot;/&gt;&lt;wsp:rsid wsp:val=&quot;00B567AB&quot;/&gt;&lt;wsp:rsid wsp:val=&quot;00B56D1E&quot;/&gt;&lt;wsp:rsid wsp:val=&quot;00B56EF9&quot;/&gt;&lt;wsp:rsid wsp:val=&quot;00B56F73&quot;/&gt;&lt;wsp:rsid wsp:val=&quot;00B5729E&quot;/&gt;&lt;wsp:rsid wsp:val=&quot;00B57A7A&quot;/&gt;&lt;wsp:rsid wsp:val=&quot;00B6048D&quot;/&gt;&lt;wsp:rsid wsp:val=&quot;00B604FA&quot;/&gt;&lt;wsp:rsid wsp:val=&quot;00B60638&quot;/&gt;&lt;wsp:rsid wsp:val=&quot;00B606CE&quot;/&gt;&lt;wsp:rsid wsp:val=&quot;00B608CA&quot;/&gt;&lt;wsp:rsid wsp:val=&quot;00B61157&quot;/&gt;&lt;wsp:rsid wsp:val=&quot;00B61403&quot;/&gt;&lt;wsp:rsid wsp:val=&quot;00B6189B&quot;/&gt;&lt;wsp:rsid wsp:val=&quot;00B61E9E&quot;/&gt;&lt;wsp:rsid wsp:val=&quot;00B62252&quot;/&gt;&lt;wsp:rsid wsp:val=&quot;00B62326&quot;/&gt;&lt;wsp:rsid wsp:val=&quot;00B62916&quot;/&gt;&lt;wsp:rsid wsp:val=&quot;00B62C8D&quot;/&gt;&lt;wsp:rsid wsp:val=&quot;00B62D2C&quot;/&gt;&lt;wsp:rsid wsp:val=&quot;00B63E0C&quot;/&gt;&lt;wsp:rsid wsp:val=&quot;00B6485E&quot;/&gt;&lt;wsp:rsid wsp:val=&quot;00B64ACD&quot;/&gt;&lt;wsp:rsid wsp:val=&quot;00B64E60&quot;/&gt;&lt;wsp:rsid wsp:val=&quot;00B65217&quot;/&gt;&lt;wsp:rsid wsp:val=&quot;00B659EB&quot;/&gt;&lt;wsp:rsid wsp:val=&quot;00B65B05&quot;/&gt;&lt;wsp:rsid wsp:val=&quot;00B65DC9&quot;/&gt;&lt;wsp:rsid wsp:val=&quot;00B65FB3&quot;/&gt;&lt;wsp:rsid wsp:val=&quot;00B6601F&quot;/&gt;&lt;wsp:rsid wsp:val=&quot;00B66172&quot;/&gt;&lt;wsp:rsid wsp:val=&quot;00B661CD&quot;/&gt;&lt;wsp:rsid wsp:val=&quot;00B662C4&quot;/&gt;&lt;wsp:rsid wsp:val=&quot;00B66408&quot;/&gt;&lt;wsp:rsid wsp:val=&quot;00B668C7&quot;/&gt;&lt;wsp:rsid wsp:val=&quot;00B67081&quot;/&gt;&lt;wsp:rsid wsp:val=&quot;00B67659&quot;/&gt;&lt;wsp:rsid wsp:val=&quot;00B67895&quot;/&gt;&lt;wsp:rsid wsp:val=&quot;00B70334&quot;/&gt;&lt;wsp:rsid wsp:val=&quot;00B704DA&quot;/&gt;&lt;wsp:rsid wsp:val=&quot;00B70680&quot;/&gt;&lt;wsp:rsid wsp:val=&quot;00B70A34&quot;/&gt;&lt;wsp:rsid wsp:val=&quot;00B71039&quot;/&gt;&lt;wsp:rsid wsp:val=&quot;00B7109D&quot;/&gt;&lt;wsp:rsid wsp:val=&quot;00B712D5&quot;/&gt;&lt;wsp:rsid wsp:val=&quot;00B71763&quot;/&gt;&lt;wsp:rsid wsp:val=&quot;00B722B3&quot;/&gt;&lt;wsp:rsid wsp:val=&quot;00B727D5&quot;/&gt;&lt;wsp:rsid wsp:val=&quot;00B72DF1&quot;/&gt;&lt;wsp:rsid wsp:val=&quot;00B73376&quot;/&gt;&lt;wsp:rsid wsp:val=&quot;00B73F80&quot;/&gt;&lt;wsp:rsid wsp:val=&quot;00B740C2&quot;/&gt;&lt;wsp:rsid wsp:val=&quot;00B74250&quot;/&gt;&lt;wsp:rsid wsp:val=&quot;00B745EA&quot;/&gt;&lt;wsp:rsid wsp:val=&quot;00B74D70&quot;/&gt;&lt;wsp:rsid wsp:val=&quot;00B74E14&quot;/&gt;&lt;wsp:rsid wsp:val=&quot;00B75379&quot;/&gt;&lt;wsp:rsid wsp:val=&quot;00B7555A&quot;/&gt;&lt;wsp:rsid wsp:val=&quot;00B75B93&quot;/&gt;&lt;wsp:rsid wsp:val=&quot;00B75BE7&quot;/&gt;&lt;wsp:rsid wsp:val=&quot;00B760C0&quot;/&gt;&lt;wsp:rsid wsp:val=&quot;00B7658B&quot;/&gt;&lt;wsp:rsid wsp:val=&quot;00B770A2&quot;/&gt;&lt;wsp:rsid wsp:val=&quot;00B77570&quot;/&gt;&lt;wsp:rsid wsp:val=&quot;00B777A3&quot;/&gt;&lt;wsp:rsid wsp:val=&quot;00B77B9F&quot;/&gt;&lt;wsp:rsid wsp:val=&quot;00B807A9&quot;/&gt;&lt;wsp:rsid wsp:val=&quot;00B80C38&quot;/&gt;&lt;wsp:rsid wsp:val=&quot;00B80EA2&quot;/&gt;&lt;wsp:rsid wsp:val=&quot;00B81042&quot;/&gt;&lt;wsp:rsid wsp:val=&quot;00B8129B&quot;/&gt;&lt;wsp:rsid wsp:val=&quot;00B812C2&quot;/&gt;&lt;wsp:rsid wsp:val=&quot;00B81637&quot;/&gt;&lt;wsp:rsid wsp:val=&quot;00B81CF9&quot;/&gt;&lt;wsp:rsid wsp:val=&quot;00B82449&quot;/&gt;&lt;wsp:rsid wsp:val=&quot;00B824F2&quot;/&gt;&lt;wsp:rsid wsp:val=&quot;00B828F4&quot;/&gt;&lt;wsp:rsid wsp:val=&quot;00B82C97&quot;/&gt;&lt;wsp:rsid wsp:val=&quot;00B8305A&quot;/&gt;&lt;wsp:rsid wsp:val=&quot;00B83175&quot;/&gt;&lt;wsp:rsid wsp:val=&quot;00B83862&quot;/&gt;&lt;wsp:rsid wsp:val=&quot;00B839D3&quot;/&gt;&lt;wsp:rsid wsp:val=&quot;00B83B44&quot;/&gt;&lt;wsp:rsid wsp:val=&quot;00B83DD0&quot;/&gt;&lt;wsp:rsid wsp:val=&quot;00B83FDF&quot;/&gt;&lt;wsp:rsid wsp:val=&quot;00B844EB&quot;/&gt;&lt;wsp:rsid wsp:val=&quot;00B847DD&quot;/&gt;&lt;wsp:rsid wsp:val=&quot;00B847F2&quot;/&gt;&lt;wsp:rsid wsp:val=&quot;00B85313&quot;/&gt;&lt;wsp:rsid wsp:val=&quot;00B85869&quot;/&gt;&lt;wsp:rsid wsp:val=&quot;00B858FF&quot;/&gt;&lt;wsp:rsid wsp:val=&quot;00B85D99&quot;/&gt;&lt;wsp:rsid wsp:val=&quot;00B85F84&quot;/&gt;&lt;wsp:rsid wsp:val=&quot;00B8622C&quot;/&gt;&lt;wsp:rsid wsp:val=&quot;00B8682D&quot;/&gt;&lt;wsp:rsid wsp:val=&quot;00B86936&quot;/&gt;&lt;wsp:rsid wsp:val=&quot;00B869A6&quot;/&gt;&lt;wsp:rsid wsp:val=&quot;00B86AF6&quot;/&gt;&lt;wsp:rsid wsp:val=&quot;00B86CB8&quot;/&gt;&lt;wsp:rsid wsp:val=&quot;00B86DD9&quot;/&gt;&lt;wsp:rsid wsp:val=&quot;00B87594&quot;/&gt;&lt;wsp:rsid wsp:val=&quot;00B87908&quot;/&gt;&lt;wsp:rsid wsp:val=&quot;00B879CE&quot;/&gt;&lt;wsp:rsid wsp:val=&quot;00B90A6F&quot;/&gt;&lt;wsp:rsid wsp:val=&quot;00B90BD3&quot;/&gt;&lt;wsp:rsid wsp:val=&quot;00B91A5A&quot;/&gt;&lt;wsp:rsid wsp:val=&quot;00B91E00&quot;/&gt;&lt;wsp:rsid wsp:val=&quot;00B920D1&quot;/&gt;&lt;wsp:rsid wsp:val=&quot;00B92264&quot;/&gt;&lt;wsp:rsid wsp:val=&quot;00B9238A&quot;/&gt;&lt;wsp:rsid wsp:val=&quot;00B924A8&quot;/&gt;&lt;wsp:rsid wsp:val=&quot;00B925F2&quot;/&gt;&lt;wsp:rsid wsp:val=&quot;00B92DA2&quot;/&gt;&lt;wsp:rsid wsp:val=&quot;00B93421&quot;/&gt;&lt;wsp:rsid wsp:val=&quot;00B9389A&quot;/&gt;&lt;wsp:rsid wsp:val=&quot;00B93BF9&quot;/&gt;&lt;wsp:rsid wsp:val=&quot;00B93EC4&quot;/&gt;&lt;wsp:rsid wsp:val=&quot;00B94031&quot;/&gt;&lt;wsp:rsid wsp:val=&quot;00B943EC&quot;/&gt;&lt;wsp:rsid wsp:val=&quot;00B94787&quot;/&gt;&lt;wsp:rsid wsp:val=&quot;00B94905&quot;/&gt;&lt;wsp:rsid wsp:val=&quot;00B9497E&quot;/&gt;&lt;wsp:rsid wsp:val=&quot;00B94A04&quot;/&gt;&lt;wsp:rsid wsp:val=&quot;00B94C11&quot;/&gt;&lt;wsp:rsid wsp:val=&quot;00B94C82&quot;/&gt;&lt;wsp:rsid wsp:val=&quot;00B94E35&quot;/&gt;&lt;wsp:rsid wsp:val=&quot;00B951AC&quot;/&gt;&lt;wsp:rsid wsp:val=&quot;00B95825&quot;/&gt;&lt;wsp:rsid wsp:val=&quot;00B9582B&quot;/&gt;&lt;wsp:rsid wsp:val=&quot;00B95D7D&quot;/&gt;&lt;wsp:rsid wsp:val=&quot;00B9671E&quot;/&gt;&lt;wsp:rsid wsp:val=&quot;00B96740&quot;/&gt;&lt;wsp:rsid wsp:val=&quot;00B96972&quot;/&gt;&lt;wsp:rsid wsp:val=&quot;00B96A44&quot;/&gt;&lt;wsp:rsid wsp:val=&quot;00B96D36&quot;/&gt;&lt;wsp:rsid wsp:val=&quot;00B97537&quot;/&gt;&lt;wsp:rsid wsp:val=&quot;00B97A91&quot;/&gt;&lt;wsp:rsid wsp:val=&quot;00BA03D8&quot;/&gt;&lt;wsp:rsid wsp:val=&quot;00BA0401&quot;/&gt;&lt;wsp:rsid wsp:val=&quot;00BA051A&quot;/&gt;&lt;wsp:rsid wsp:val=&quot;00BA051D&quot;/&gt;&lt;wsp:rsid wsp:val=&quot;00BA061E&quot;/&gt;&lt;wsp:rsid wsp:val=&quot;00BA062A&quot;/&gt;&lt;wsp:rsid wsp:val=&quot;00BA077C&quot;/&gt;&lt;wsp:rsid wsp:val=&quot;00BA0AF4&quot;/&gt;&lt;wsp:rsid wsp:val=&quot;00BA1111&quot;/&gt;&lt;wsp:rsid wsp:val=&quot;00BA1417&quot;/&gt;&lt;wsp:rsid wsp:val=&quot;00BA1B97&quot;/&gt;&lt;wsp:rsid wsp:val=&quot;00BA1BBD&quot;/&gt;&lt;wsp:rsid wsp:val=&quot;00BA1D13&quot;/&gt;&lt;wsp:rsid wsp:val=&quot;00BA24CE&quot;/&gt;&lt;wsp:rsid wsp:val=&quot;00BA30E4&quot;/&gt;&lt;wsp:rsid wsp:val=&quot;00BA32BD&quot;/&gt;&lt;wsp:rsid wsp:val=&quot;00BA33E0&quot;/&gt;&lt;wsp:rsid wsp:val=&quot;00BA47E4&quot;/&gt;&lt;wsp:rsid wsp:val=&quot;00BA4879&quot;/&gt;&lt;wsp:rsid wsp:val=&quot;00BA603E&quot;/&gt;&lt;wsp:rsid wsp:val=&quot;00BA63D0&quot;/&gt;&lt;wsp:rsid wsp:val=&quot;00BA706E&quot;/&gt;&lt;wsp:rsid wsp:val=&quot;00BA7113&quot;/&gt;&lt;wsp:rsid wsp:val=&quot;00BA77DD&quot;/&gt;&lt;wsp:rsid wsp:val=&quot;00BA7A32&quot;/&gt;&lt;wsp:rsid wsp:val=&quot;00BB00BC&quot;/&gt;&lt;wsp:rsid wsp:val=&quot;00BB011D&quot;/&gt;&lt;wsp:rsid wsp:val=&quot;00BB013B&quot;/&gt;&lt;wsp:rsid wsp:val=&quot;00BB01AF&quot;/&gt;&lt;wsp:rsid wsp:val=&quot;00BB09C7&quot;/&gt;&lt;wsp:rsid wsp:val=&quot;00BB0E6B&quot;/&gt;&lt;wsp:rsid wsp:val=&quot;00BB0EFC&quot;/&gt;&lt;wsp:rsid wsp:val=&quot;00BB1778&quot;/&gt;&lt;wsp:rsid wsp:val=&quot;00BB187A&quot;/&gt;&lt;wsp:rsid wsp:val=&quot;00BB2003&quot;/&gt;&lt;wsp:rsid wsp:val=&quot;00BB2411&quot;/&gt;&lt;wsp:rsid wsp:val=&quot;00BB2860&quot;/&gt;&lt;wsp:rsid wsp:val=&quot;00BB2B50&quot;/&gt;&lt;wsp:rsid wsp:val=&quot;00BB2BCC&quot;/&gt;&lt;wsp:rsid wsp:val=&quot;00BB31B3&quot;/&gt;&lt;wsp:rsid wsp:val=&quot;00BB3228&quot;/&gt;&lt;wsp:rsid wsp:val=&quot;00BB3852&quot;/&gt;&lt;wsp:rsid wsp:val=&quot;00BB38E5&quot;/&gt;&lt;wsp:rsid wsp:val=&quot;00BB39B0&quot;/&gt;&lt;wsp:rsid wsp:val=&quot;00BB40F8&quot;/&gt;&lt;wsp:rsid wsp:val=&quot;00BB4CE9&quot;/&gt;&lt;wsp:rsid wsp:val=&quot;00BB546A&quot;/&gt;&lt;wsp:rsid wsp:val=&quot;00BB5489&quot;/&gt;&lt;wsp:rsid wsp:val=&quot;00BB5780&quot;/&gt;&lt;wsp:rsid wsp:val=&quot;00BB57FE&quot;/&gt;&lt;wsp:rsid wsp:val=&quot;00BB5B2E&quot;/&gt;&lt;wsp:rsid wsp:val=&quot;00BB5D63&quot;/&gt;&lt;wsp:rsid wsp:val=&quot;00BB6075&quot;/&gt;&lt;wsp:rsid wsp:val=&quot;00BB69E6&quot;/&gt;&lt;wsp:rsid wsp:val=&quot;00BB6B5D&quot;/&gt;&lt;wsp:rsid wsp:val=&quot;00BB6C4F&quot;/&gt;&lt;wsp:rsid wsp:val=&quot;00BB733C&quot;/&gt;&lt;wsp:rsid wsp:val=&quot;00BB7AA1&quot;/&gt;&lt;wsp:rsid wsp:val=&quot;00BB7B0B&quot;/&gt;&lt;wsp:rsid wsp:val=&quot;00BB7C97&quot;/&gt;&lt;wsp:rsid wsp:val=&quot;00BB7E20&quot;/&gt;&lt;wsp:rsid wsp:val=&quot;00BC0A32&quot;/&gt;&lt;wsp:rsid wsp:val=&quot;00BC0B04&quot;/&gt;&lt;wsp:rsid wsp:val=&quot;00BC15D9&quot;/&gt;&lt;wsp:rsid wsp:val=&quot;00BC15E4&quot;/&gt;&lt;wsp:rsid wsp:val=&quot;00BC1706&quot;/&gt;&lt;wsp:rsid wsp:val=&quot;00BC1808&quot;/&gt;&lt;wsp:rsid wsp:val=&quot;00BC1F84&quot;/&gt;&lt;wsp:rsid wsp:val=&quot;00BC20F7&quot;/&gt;&lt;wsp:rsid wsp:val=&quot;00BC336F&quot;/&gt;&lt;wsp:rsid wsp:val=&quot;00BC3699&quot;/&gt;&lt;wsp:rsid wsp:val=&quot;00BC36E4&quot;/&gt;&lt;wsp:rsid wsp:val=&quot;00BC394B&quot;/&gt;&lt;wsp:rsid wsp:val=&quot;00BC3D6C&quot;/&gt;&lt;wsp:rsid wsp:val=&quot;00BC3F8C&quot;/&gt;&lt;wsp:rsid wsp:val=&quot;00BC3F8E&quot;/&gt;&lt;wsp:rsid wsp:val=&quot;00BC4B8E&quot;/&gt;&lt;wsp:rsid wsp:val=&quot;00BC50CF&quot;/&gt;&lt;wsp:rsid wsp:val=&quot;00BC54AB&quot;/&gt;&lt;wsp:rsid wsp:val=&quot;00BC55A8&quot;/&gt;&lt;wsp:rsid wsp:val=&quot;00BC58FA&quot;/&gt;&lt;wsp:rsid wsp:val=&quot;00BC6172&quot;/&gt;&lt;wsp:rsid wsp:val=&quot;00BC6465&quot;/&gt;&lt;wsp:rsid wsp:val=&quot;00BC6D75&quot;/&gt;&lt;wsp:rsid wsp:val=&quot;00BC7141&quot;/&gt;&lt;wsp:rsid wsp:val=&quot;00BC74C8&quot;/&gt;&lt;wsp:rsid wsp:val=&quot;00BC776D&quot;/&gt;&lt;wsp:rsid wsp:val=&quot;00BC7972&quot;/&gt;&lt;wsp:rsid wsp:val=&quot;00BC7FD0&quot;/&gt;&lt;wsp:rsid wsp:val=&quot;00BD02B4&quot;/&gt;&lt;wsp:rsid wsp:val=&quot;00BD0445&quot;/&gt;&lt;wsp:rsid wsp:val=&quot;00BD045D&quot;/&gt;&lt;wsp:rsid wsp:val=&quot;00BD0571&quot;/&gt;&lt;wsp:rsid wsp:val=&quot;00BD0C41&quot;/&gt;&lt;wsp:rsid wsp:val=&quot;00BD1276&quot;/&gt;&lt;wsp:rsid wsp:val=&quot;00BD176D&quot;/&gt;&lt;wsp:rsid wsp:val=&quot;00BD1E92&quot;/&gt;&lt;wsp:rsid wsp:val=&quot;00BD24B5&quot;/&gt;&lt;wsp:rsid wsp:val=&quot;00BD2B39&quot;/&gt;&lt;wsp:rsid wsp:val=&quot;00BD3409&quot;/&gt;&lt;wsp:rsid wsp:val=&quot;00BD3869&quot;/&gt;&lt;wsp:rsid wsp:val=&quot;00BD3873&quot;/&gt;&lt;wsp:rsid wsp:val=&quot;00BD3BD0&quot;/&gt;&lt;wsp:rsid wsp:val=&quot;00BD3D77&quot;/&gt;&lt;wsp:rsid wsp:val=&quot;00BD3DA2&quot;/&gt;&lt;wsp:rsid wsp:val=&quot;00BD3EAE&quot;/&gt;&lt;wsp:rsid wsp:val=&quot;00BD42E5&quot;/&gt;&lt;wsp:rsid wsp:val=&quot;00BD446F&quot;/&gt;&lt;wsp:rsid wsp:val=&quot;00BD5015&quot;/&gt;&lt;wsp:rsid wsp:val=&quot;00BD5237&quot;/&gt;&lt;wsp:rsid wsp:val=&quot;00BD54E2&quot;/&gt;&lt;wsp:rsid wsp:val=&quot;00BD5810&quot;/&gt;&lt;wsp:rsid wsp:val=&quot;00BD588D&quot;/&gt;&lt;wsp:rsid wsp:val=&quot;00BD5C45&quot;/&gt;&lt;wsp:rsid wsp:val=&quot;00BD615F&quot;/&gt;&lt;wsp:rsid wsp:val=&quot;00BD6284&quot;/&gt;&lt;wsp:rsid wsp:val=&quot;00BD62D0&quot;/&gt;&lt;wsp:rsid wsp:val=&quot;00BD6BE3&quot;/&gt;&lt;wsp:rsid wsp:val=&quot;00BD7413&quot;/&gt;&lt;wsp:rsid wsp:val=&quot;00BD76C0&quot;/&gt;&lt;wsp:rsid wsp:val=&quot;00BD7725&quot;/&gt;&lt;wsp:rsid wsp:val=&quot;00BD791F&quot;/&gt;&lt;wsp:rsid wsp:val=&quot;00BD7D37&quot;/&gt;&lt;wsp:rsid wsp:val=&quot;00BD7EBA&quot;/&gt;&lt;wsp:rsid wsp:val=&quot;00BE0170&quot;/&gt;&lt;wsp:rsid wsp:val=&quot;00BE074E&quot;/&gt;&lt;wsp:rsid wsp:val=&quot;00BE0805&quot;/&gt;&lt;wsp:rsid wsp:val=&quot;00BE0D23&quot;/&gt;&lt;wsp:rsid wsp:val=&quot;00BE11F5&quot;/&gt;&lt;wsp:rsid wsp:val=&quot;00BE1A4D&quot;/&gt;&lt;wsp:rsid wsp:val=&quot;00BE1F2C&quot;/&gt;&lt;wsp:rsid wsp:val=&quot;00BE2E39&quot;/&gt;&lt;wsp:rsid wsp:val=&quot;00BE2E9A&quot;/&gt;&lt;wsp:rsid wsp:val=&quot;00BE33B9&quot;/&gt;&lt;wsp:rsid wsp:val=&quot;00BE34D6&quot;/&gt;&lt;wsp:rsid wsp:val=&quot;00BE3759&quot;/&gt;&lt;wsp:rsid wsp:val=&quot;00BE38CF&quot;/&gt;&lt;wsp:rsid wsp:val=&quot;00BE432D&quot;/&gt;&lt;wsp:rsid wsp:val=&quot;00BE4530&quot;/&gt;&lt;wsp:rsid wsp:val=&quot;00BE45FA&quot;/&gt;&lt;wsp:rsid wsp:val=&quot;00BE4A54&quot;/&gt;&lt;wsp:rsid wsp:val=&quot;00BE580A&quot;/&gt;&lt;wsp:rsid wsp:val=&quot;00BE614D&quot;/&gt;&lt;wsp:rsid wsp:val=&quot;00BE6274&quot;/&gt;&lt;wsp:rsid wsp:val=&quot;00BE632A&quot;/&gt;&lt;wsp:rsid wsp:val=&quot;00BE69A5&quot;/&gt;&lt;wsp:rsid wsp:val=&quot;00BE69BA&quot;/&gt;&lt;wsp:rsid wsp:val=&quot;00BE6B19&quot;/&gt;&lt;wsp:rsid wsp:val=&quot;00BE6BD5&quot;/&gt;&lt;wsp:rsid wsp:val=&quot;00BE6E5D&quot;/&gt;&lt;wsp:rsid wsp:val=&quot;00BE781E&quot;/&gt;&lt;wsp:rsid wsp:val=&quot;00BE7B95&quot;/&gt;&lt;wsp:rsid wsp:val=&quot;00BE7C45&quot;/&gt;&lt;wsp:rsid wsp:val=&quot;00BE7E0D&quot;/&gt;&lt;wsp:rsid wsp:val=&quot;00BF0319&quot;/&gt;&lt;wsp:rsid wsp:val=&quot;00BF14FA&quot;/&gt;&lt;wsp:rsid wsp:val=&quot;00BF1794&quot;/&gt;&lt;wsp:rsid wsp:val=&quot;00BF1B4B&quot;/&gt;&lt;wsp:rsid wsp:val=&quot;00BF1F1F&quot;/&gt;&lt;wsp:rsid wsp:val=&quot;00BF212D&quot;/&gt;&lt;wsp:rsid wsp:val=&quot;00BF229F&quot;/&gt;&lt;wsp:rsid wsp:val=&quot;00BF2C45&quot;/&gt;&lt;wsp:rsid wsp:val=&quot;00BF2D13&quot;/&gt;&lt;wsp:rsid wsp:val=&quot;00BF2FE5&quot;/&gt;&lt;wsp:rsid wsp:val=&quot;00BF330C&quot;/&gt;&lt;wsp:rsid wsp:val=&quot;00BF3B9A&quot;/&gt;&lt;wsp:rsid wsp:val=&quot;00BF3C8B&quot;/&gt;&lt;wsp:rsid wsp:val=&quot;00BF3D89&quot;/&gt;&lt;wsp:rsid wsp:val=&quot;00BF3F6F&quot;/&gt;&lt;wsp:rsid wsp:val=&quot;00BF466A&quot;/&gt;&lt;wsp:rsid wsp:val=&quot;00BF4BDD&quot;/&gt;&lt;wsp:rsid wsp:val=&quot;00BF5477&quot;/&gt;&lt;wsp:rsid wsp:val=&quot;00BF5948&quot;/&gt;&lt;wsp:rsid wsp:val=&quot;00BF60D6&quot;/&gt;&lt;wsp:rsid wsp:val=&quot;00BF662C&quot;/&gt;&lt;wsp:rsid wsp:val=&quot;00BF695C&quot;/&gt;&lt;wsp:rsid wsp:val=&quot;00BF69D6&quot;/&gt;&lt;wsp:rsid wsp:val=&quot;00BF73EE&quot;/&gt;&lt;wsp:rsid wsp:val=&quot;00BF79D8&quot;/&gt;&lt;wsp:rsid wsp:val=&quot;00C001EC&quot;/&gt;&lt;wsp:rsid wsp:val=&quot;00C003E0&quot;/&gt;&lt;wsp:rsid wsp:val=&quot;00C004A6&quot;/&gt;&lt;wsp:rsid wsp:val=&quot;00C00AF0&quot;/&gt;&lt;wsp:rsid wsp:val=&quot;00C027BD&quot;/&gt;&lt;wsp:rsid wsp:val=&quot;00C0299A&quot;/&gt;&lt;wsp:rsid wsp:val=&quot;00C02A0F&quot;/&gt;&lt;wsp:rsid wsp:val=&quot;00C0306E&quot;/&gt;&lt;wsp:rsid wsp:val=&quot;00C032D8&quot;/&gt;&lt;wsp:rsid wsp:val=&quot;00C03787&quot;/&gt;&lt;wsp:rsid wsp:val=&quot;00C03855&quot;/&gt;&lt;wsp:rsid wsp:val=&quot;00C03898&quot;/&gt;&lt;wsp:rsid wsp:val=&quot;00C03B1A&quot;/&gt;&lt;wsp:rsid wsp:val=&quot;00C03B7C&quot;/&gt;&lt;wsp:rsid wsp:val=&quot;00C04440&quot;/&gt;&lt;wsp:rsid wsp:val=&quot;00C04445&quot;/&gt;&lt;wsp:rsid wsp:val=&quot;00C0460D&quot;/&gt;&lt;wsp:rsid wsp:val=&quot;00C04CB2&quot;/&gt;&lt;wsp:rsid wsp:val=&quot;00C058A7&quot;/&gt;&lt;wsp:rsid wsp:val=&quot;00C059D3&quot;/&gt;&lt;wsp:rsid wsp:val=&quot;00C05D35&quot;/&gt;&lt;wsp:rsid wsp:val=&quot;00C05E2F&quot;/&gt;&lt;wsp:rsid wsp:val=&quot;00C06884&quot;/&gt;&lt;wsp:rsid wsp:val=&quot;00C06942&quot;/&gt;&lt;wsp:rsid wsp:val=&quot;00C07352&quot;/&gt;&lt;wsp:rsid wsp:val=&quot;00C0735B&quot;/&gt;&lt;wsp:rsid wsp:val=&quot;00C0767B&quot;/&gt;&lt;wsp:rsid wsp:val=&quot;00C0788D&quot;/&gt;&lt;wsp:rsid wsp:val=&quot;00C078BE&quot;/&gt;&lt;wsp:rsid wsp:val=&quot;00C07979&quot;/&gt;&lt;wsp:rsid wsp:val=&quot;00C07CBC&quot;/&gt;&lt;wsp:rsid wsp:val=&quot;00C07D82&quot;/&gt;&lt;wsp:rsid wsp:val=&quot;00C10227&quot;/&gt;&lt;wsp:rsid wsp:val=&quot;00C106DD&quot;/&gt;&lt;wsp:rsid wsp:val=&quot;00C10E1A&quot;/&gt;&lt;wsp:rsid wsp:val=&quot;00C113CE&quot;/&gt;&lt;wsp:rsid wsp:val=&quot;00C115A7&quot;/&gt;&lt;wsp:rsid wsp:val=&quot;00C11968&quot;/&gt;&lt;wsp:rsid wsp:val=&quot;00C11C26&quot;/&gt;&lt;wsp:rsid wsp:val=&quot;00C11CBF&quot;/&gt;&lt;wsp:rsid wsp:val=&quot;00C11D16&quot;/&gt;&lt;wsp:rsid wsp:val=&quot;00C1256E&quot;/&gt;&lt;wsp:rsid wsp:val=&quot;00C126C4&quot;/&gt;&lt;wsp:rsid wsp:val=&quot;00C126F2&quot;/&gt;&lt;wsp:rsid wsp:val=&quot;00C12858&quot;/&gt;&lt;wsp:rsid wsp:val=&quot;00C13165&quot;/&gt;&lt;wsp:rsid wsp:val=&quot;00C13615&quot;/&gt;&lt;wsp:rsid wsp:val=&quot;00C13BFA&quot;/&gt;&lt;wsp:rsid wsp:val=&quot;00C13FBA&quot;/&gt;&lt;wsp:rsid wsp:val=&quot;00C140F4&quot;/&gt;&lt;wsp:rsid wsp:val=&quot;00C14DEB&quot;/&gt;&lt;wsp:rsid wsp:val=&quot;00C15CD8&quot;/&gt;&lt;wsp:rsid wsp:val=&quot;00C15DEF&quot;/&gt;&lt;wsp:rsid wsp:val=&quot;00C15EFD&quot;/&gt;&lt;wsp:rsid wsp:val=&quot;00C160E0&quot;/&gt;&lt;wsp:rsid wsp:val=&quot;00C16621&quot;/&gt;&lt;wsp:rsid wsp:val=&quot;00C16FA3&quot;/&gt;&lt;wsp:rsid wsp:val=&quot;00C1700F&quot;/&gt;&lt;wsp:rsid wsp:val=&quot;00C174C8&quot;/&gt;&lt;wsp:rsid wsp:val=&quot;00C17C7A&quot;/&gt;&lt;wsp:rsid wsp:val=&quot;00C17DE9&quot;/&gt;&lt;wsp:rsid wsp:val=&quot;00C206E5&quot;/&gt;&lt;wsp:rsid wsp:val=&quot;00C20BE1&quot;/&gt;&lt;wsp:rsid wsp:val=&quot;00C21547&quot;/&gt;&lt;wsp:rsid wsp:val=&quot;00C2158C&quot;/&gt;&lt;wsp:rsid wsp:val=&quot;00C21709&quot;/&gt;&lt;wsp:rsid wsp:val=&quot;00C22434&quot;/&gt;&lt;wsp:rsid wsp:val=&quot;00C2273D&quot;/&gt;&lt;wsp:rsid wsp:val=&quot;00C22762&quot;/&gt;&lt;wsp:rsid wsp:val=&quot;00C22E56&quot;/&gt;&lt;wsp:rsid wsp:val=&quot;00C2354E&quot;/&gt;&lt;wsp:rsid wsp:val=&quot;00C23DAB&quot;/&gt;&lt;wsp:rsid wsp:val=&quot;00C24183&quot;/&gt;&lt;wsp:rsid wsp:val=&quot;00C2431E&quot;/&gt;&lt;wsp:rsid wsp:val=&quot;00C243E3&quot;/&gt;&lt;wsp:rsid wsp:val=&quot;00C246DD&quot;/&gt;&lt;wsp:rsid wsp:val=&quot;00C24740&quot;/&gt;&lt;wsp:rsid wsp:val=&quot;00C24934&quot;/&gt;&lt;wsp:rsid wsp:val=&quot;00C24942&quot;/&gt;&lt;wsp:rsid wsp:val=&quot;00C24E53&quot;/&gt;&lt;wsp:rsid wsp:val=&quot;00C24FEE&quot;/&gt;&lt;wsp:rsid wsp:val=&quot;00C254F0&quot;/&gt;&lt;wsp:rsid wsp:val=&quot;00C25663&quot;/&gt;&lt;wsp:rsid wsp:val=&quot;00C25B4D&quot;/&gt;&lt;wsp:rsid wsp:val=&quot;00C25D3E&quot;/&gt;&lt;wsp:rsid wsp:val=&quot;00C25EC4&quot;/&gt;&lt;wsp:rsid wsp:val=&quot;00C261A0&quot;/&gt;&lt;wsp:rsid wsp:val=&quot;00C26CCF&quot;/&gt;&lt;wsp:rsid wsp:val=&quot;00C2700D&quot;/&gt;&lt;wsp:rsid wsp:val=&quot;00C272AF&quot;/&gt;&lt;wsp:rsid wsp:val=&quot;00C273CF&quot;/&gt;&lt;wsp:rsid wsp:val=&quot;00C27598&quot;/&gt;&lt;wsp:rsid wsp:val=&quot;00C276A1&quot;/&gt;&lt;wsp:rsid wsp:val=&quot;00C27834&quot;/&gt;&lt;wsp:rsid wsp:val=&quot;00C30D21&quot;/&gt;&lt;wsp:rsid wsp:val=&quot;00C317C7&quot;/&gt;&lt;wsp:rsid wsp:val=&quot;00C31A76&quot;/&gt;&lt;wsp:rsid wsp:val=&quot;00C31AFE&quot;/&gt;&lt;wsp:rsid wsp:val=&quot;00C31BD5&quot;/&gt;&lt;wsp:rsid wsp:val=&quot;00C32075&quot;/&gt;&lt;wsp:rsid wsp:val=&quot;00C321CA&quot;/&gt;&lt;wsp:rsid wsp:val=&quot;00C32737&quot;/&gt;&lt;wsp:rsid wsp:val=&quot;00C32A1A&quot;/&gt;&lt;wsp:rsid wsp:val=&quot;00C32B34&quot;/&gt;&lt;wsp:rsid wsp:val=&quot;00C333B4&quot;/&gt;&lt;wsp:rsid wsp:val=&quot;00C3353C&quot;/&gt;&lt;wsp:rsid wsp:val=&quot;00C33679&quot;/&gt;&lt;wsp:rsid wsp:val=&quot;00C3390D&quot;/&gt;&lt;wsp:rsid wsp:val=&quot;00C33C7E&quot;/&gt;&lt;wsp:rsid wsp:val=&quot;00C33CAB&quot;/&gt;&lt;wsp:rsid wsp:val=&quot;00C34141&quot;/&gt;&lt;wsp:rsid wsp:val=&quot;00C3435D&quot;/&gt;&lt;wsp:rsid wsp:val=&quot;00C34A3E&quot;/&gt;&lt;wsp:rsid wsp:val=&quot;00C34B99&quot;/&gt;&lt;wsp:rsid wsp:val=&quot;00C3513A&quot;/&gt;&lt;wsp:rsid wsp:val=&quot;00C35292&quot;/&gt;&lt;wsp:rsid wsp:val=&quot;00C35D3C&quot;/&gt;&lt;wsp:rsid wsp:val=&quot;00C35E6C&quot;/&gt;&lt;wsp:rsid wsp:val=&quot;00C361CF&quot;/&gt;&lt;wsp:rsid wsp:val=&quot;00C36788&quot;/&gt;&lt;wsp:rsid wsp:val=&quot;00C36C58&quot;/&gt;&lt;wsp:rsid wsp:val=&quot;00C374CC&quot;/&gt;&lt;wsp:rsid wsp:val=&quot;00C37A0B&quot;/&gt;&lt;wsp:rsid wsp:val=&quot;00C37CB6&quot;/&gt;&lt;wsp:rsid wsp:val=&quot;00C37F28&quot;/&gt;&lt;wsp:rsid wsp:val=&quot;00C40BFA&quot;/&gt;&lt;wsp:rsid wsp:val=&quot;00C41210&quot;/&gt;&lt;wsp:rsid wsp:val=&quot;00C414A7&quot;/&gt;&lt;wsp:rsid wsp:val=&quot;00C41F9A&quot;/&gt;&lt;wsp:rsid wsp:val=&quot;00C424CE&quot;/&gt;&lt;wsp:rsid wsp:val=&quot;00C424FE&quot;/&gt;&lt;wsp:rsid wsp:val=&quot;00C43181&quot;/&gt;&lt;wsp:rsid wsp:val=&quot;00C4342D&quot;/&gt;&lt;wsp:rsid wsp:val=&quot;00C43898&quot;/&gt;&lt;wsp:rsid wsp:val=&quot;00C438B1&quot;/&gt;&lt;wsp:rsid wsp:val=&quot;00C43AE1&quot;/&gt;&lt;wsp:rsid wsp:val=&quot;00C4461D&quot;/&gt;&lt;wsp:rsid wsp:val=&quot;00C449EB&quot;/&gt;&lt;wsp:rsid wsp:val=&quot;00C44B2C&quot;/&gt;&lt;wsp:rsid wsp:val=&quot;00C44E68&quot;/&gt;&lt;wsp:rsid wsp:val=&quot;00C45CCA&quot;/&gt;&lt;wsp:rsid wsp:val=&quot;00C46676&quot;/&gt;&lt;wsp:rsid wsp:val=&quot;00C46A5E&quot;/&gt;&lt;wsp:rsid wsp:val=&quot;00C47055&quot;/&gt;&lt;wsp:rsid wsp:val=&quot;00C470C6&quot;/&gt;&lt;wsp:rsid wsp:val=&quot;00C473D4&quot;/&gt;&lt;wsp:rsid wsp:val=&quot;00C502F2&quot;/&gt;&lt;wsp:rsid wsp:val=&quot;00C5081F&quot;/&gt;&lt;wsp:rsid wsp:val=&quot;00C50904&quot;/&gt;&lt;wsp:rsid wsp:val=&quot;00C50FE9&quot;/&gt;&lt;wsp:rsid wsp:val=&quot;00C52309&quot;/&gt;&lt;wsp:rsid wsp:val=&quot;00C52711&quot;/&gt;&lt;wsp:rsid wsp:val=&quot;00C52D2E&quot;/&gt;&lt;wsp:rsid wsp:val=&quot;00C53285&quot;/&gt;&lt;wsp:rsid wsp:val=&quot;00C532D3&quot;/&gt;&lt;wsp:rsid wsp:val=&quot;00C5345E&quot;/&gt;&lt;wsp:rsid wsp:val=&quot;00C53732&quot;/&gt;&lt;wsp:rsid wsp:val=&quot;00C537B7&quot;/&gt;&lt;wsp:rsid wsp:val=&quot;00C53C4D&quot;/&gt;&lt;wsp:rsid wsp:val=&quot;00C53F2E&quot;/&gt;&lt;wsp:rsid wsp:val=&quot;00C53FD8&quot;/&gt;&lt;wsp:rsid wsp:val=&quot;00C543D9&quot;/&gt;&lt;wsp:rsid wsp:val=&quot;00C545BA&quot;/&gt;&lt;wsp:rsid wsp:val=&quot;00C54680&quot;/&gt;&lt;wsp:rsid wsp:val=&quot;00C54EDD&quot;/&gt;&lt;wsp:rsid wsp:val=&quot;00C550DB&quot;/&gt;&lt;wsp:rsid wsp:val=&quot;00C551A6&quot;/&gt;&lt;wsp:rsid wsp:val=&quot;00C5536F&quot;/&gt;&lt;wsp:rsid wsp:val=&quot;00C554B2&quot;/&gt;&lt;wsp:rsid wsp:val=&quot;00C55B46&quot;/&gt;&lt;wsp:rsid wsp:val=&quot;00C56516&quot;/&gt;&lt;wsp:rsid wsp:val=&quot;00C567C6&quot;/&gt;&lt;wsp:rsid wsp:val=&quot;00C5688A&quot;/&gt;&lt;wsp:rsid wsp:val=&quot;00C568B1&quot;/&gt;&lt;wsp:rsid wsp:val=&quot;00C56F83&quot;/&gt;&lt;wsp:rsid wsp:val=&quot;00C575E1&quot;/&gt;&lt;wsp:rsid wsp:val=&quot;00C5761B&quot;/&gt;&lt;wsp:rsid wsp:val=&quot;00C5767A&quot;/&gt;&lt;wsp:rsid wsp:val=&quot;00C576F9&quot;/&gt;&lt;wsp:rsid wsp:val=&quot;00C57749&quot;/&gt;&lt;wsp:rsid wsp:val=&quot;00C57851&quot;/&gt;&lt;wsp:rsid wsp:val=&quot;00C5785B&quot;/&gt;&lt;wsp:rsid wsp:val=&quot;00C57B13&quot;/&gt;&lt;wsp:rsid wsp:val=&quot;00C57BDA&quot;/&gt;&lt;wsp:rsid wsp:val=&quot;00C57D5B&quot;/&gt;&lt;wsp:rsid wsp:val=&quot;00C57F7B&quot;/&gt;&lt;wsp:rsid wsp:val=&quot;00C606D6&quot;/&gt;&lt;wsp:rsid wsp:val=&quot;00C60AC9&quot;/&gt;&lt;wsp:rsid wsp:val=&quot;00C60BC0&quot;/&gt;&lt;wsp:rsid wsp:val=&quot;00C60F96&quot;/&gt;&lt;wsp:rsid wsp:val=&quot;00C61068&quot;/&gt;&lt;wsp:rsid wsp:val=&quot;00C61299&quot;/&gt;&lt;wsp:rsid wsp:val=&quot;00C61342&quot;/&gt;&lt;wsp:rsid wsp:val=&quot;00C6150E&quot;/&gt;&lt;wsp:rsid wsp:val=&quot;00C618A9&quot;/&gt;&lt;wsp:rsid wsp:val=&quot;00C618CD&quot;/&gt;&lt;wsp:rsid wsp:val=&quot;00C61AED&quot;/&gt;&lt;wsp:rsid wsp:val=&quot;00C61B05&quot;/&gt;&lt;wsp:rsid wsp:val=&quot;00C61C23&quot;/&gt;&lt;wsp:rsid wsp:val=&quot;00C625EC&quot;/&gt;&lt;wsp:rsid wsp:val=&quot;00C62E42&quot;/&gt;&lt;wsp:rsid wsp:val=&quot;00C62F74&quot;/&gt;&lt;wsp:rsid wsp:val=&quot;00C62F8B&quot;/&gt;&lt;wsp:rsid wsp:val=&quot;00C63281&quot;/&gt;&lt;wsp:rsid wsp:val=&quot;00C63448&quot;/&gt;&lt;wsp:rsid wsp:val=&quot;00C6363E&quot;/&gt;&lt;wsp:rsid wsp:val=&quot;00C63D1C&quot;/&gt;&lt;wsp:rsid wsp:val=&quot;00C6437F&quot;/&gt;&lt;wsp:rsid wsp:val=&quot;00C645E4&quot;/&gt;&lt;wsp:rsid wsp:val=&quot;00C64A11&quot;/&gt;&lt;wsp:rsid wsp:val=&quot;00C64ABA&quot;/&gt;&lt;wsp:rsid wsp:val=&quot;00C64B88&quot;/&gt;&lt;wsp:rsid wsp:val=&quot;00C64C46&quot;/&gt;&lt;wsp:rsid wsp:val=&quot;00C65872&quot;/&gt;&lt;wsp:rsid wsp:val=&quot;00C668F8&quot;/&gt;&lt;wsp:rsid wsp:val=&quot;00C66A6E&quot;/&gt;&lt;wsp:rsid wsp:val=&quot;00C66D96&quot;/&gt;&lt;wsp:rsid wsp:val=&quot;00C66F78&quot;/&gt;&lt;wsp:rsid wsp:val=&quot;00C66FA8&quot;/&gt;&lt;wsp:rsid wsp:val=&quot;00C7137D&quot;/&gt;&lt;wsp:rsid wsp:val=&quot;00C717DB&quot;/&gt;&lt;wsp:rsid wsp:val=&quot;00C71F59&quot;/&gt;&lt;wsp:rsid wsp:val=&quot;00C72570&quot;/&gt;&lt;wsp:rsid wsp:val=&quot;00C725EE&quot;/&gt;&lt;wsp:rsid wsp:val=&quot;00C72664&quot;/&gt;&lt;wsp:rsid wsp:val=&quot;00C72817&quot;/&gt;&lt;wsp:rsid wsp:val=&quot;00C72BC3&quot;/&gt;&lt;wsp:rsid wsp:val=&quot;00C73842&quot;/&gt;&lt;wsp:rsid wsp:val=&quot;00C740AC&quot;/&gt;&lt;wsp:rsid wsp:val=&quot;00C74129&quot;/&gt;&lt;wsp:rsid wsp:val=&quot;00C746E7&quot;/&gt;&lt;wsp:rsid wsp:val=&quot;00C7480E&quot;/&gt;&lt;wsp:rsid wsp:val=&quot;00C74A85&quot;/&gt;&lt;wsp:rsid wsp:val=&quot;00C74F88&quot;/&gt;&lt;wsp:rsid wsp:val=&quot;00C75502&quot;/&gt;&lt;wsp:rsid wsp:val=&quot;00C7580C&quot;/&gt;&lt;wsp:rsid wsp:val=&quot;00C75A4C&quot;/&gt;&lt;wsp:rsid wsp:val=&quot;00C76492&quot;/&gt;&lt;wsp:rsid wsp:val=&quot;00C764B2&quot;/&gt;&lt;wsp:rsid wsp:val=&quot;00C769F2&quot;/&gt;&lt;wsp:rsid wsp:val=&quot;00C76EDE&quot;/&gt;&lt;wsp:rsid wsp:val=&quot;00C771DD&quot;/&gt;&lt;wsp:rsid wsp:val=&quot;00C77671&quot;/&gt;&lt;wsp:rsid wsp:val=&quot;00C77F5C&quot;/&gt;&lt;wsp:rsid wsp:val=&quot;00C800F2&quot;/&gt;&lt;wsp:rsid wsp:val=&quot;00C8034F&quot;/&gt;&lt;wsp:rsid wsp:val=&quot;00C80A04&quot;/&gt;&lt;wsp:rsid wsp:val=&quot;00C812AF&quot;/&gt;&lt;wsp:rsid wsp:val=&quot;00C81486&quot;/&gt;&lt;wsp:rsid wsp:val=&quot;00C81CB5&quot;/&gt;&lt;wsp:rsid wsp:val=&quot;00C8243F&quot;/&gt;&lt;wsp:rsid wsp:val=&quot;00C83138&quot;/&gt;&lt;wsp:rsid wsp:val=&quot;00C8379F&quot;/&gt;&lt;wsp:rsid wsp:val=&quot;00C83A43&quot;/&gt;&lt;wsp:rsid wsp:val=&quot;00C83F90&quot;/&gt;&lt;wsp:rsid wsp:val=&quot;00C84259&quot;/&gt;&lt;wsp:rsid wsp:val=&quot;00C843F6&quot;/&gt;&lt;wsp:rsid wsp:val=&quot;00C84AEA&quot;/&gt;&lt;wsp:rsid wsp:val=&quot;00C84C16&quot;/&gt;&lt;wsp:rsid wsp:val=&quot;00C84D06&quot;/&gt;&lt;wsp:rsid wsp:val=&quot;00C84FD0&quot;/&gt;&lt;wsp:rsid wsp:val=&quot;00C85479&quot;/&gt;&lt;wsp:rsid wsp:val=&quot;00C859EE&quot;/&gt;&lt;wsp:rsid wsp:val=&quot;00C85A54&quot;/&gt;&lt;wsp:rsid wsp:val=&quot;00C85C60&quot;/&gt;&lt;wsp:rsid wsp:val=&quot;00C85D44&quot;/&gt;&lt;wsp:rsid wsp:val=&quot;00C85E37&quot;/&gt;&lt;wsp:rsid wsp:val=&quot;00C8606D&quot;/&gt;&lt;wsp:rsid wsp:val=&quot;00C863E9&quot;/&gt;&lt;wsp:rsid wsp:val=&quot;00C86ECA&quot;/&gt;&lt;wsp:rsid wsp:val=&quot;00C8760A&quot;/&gt;&lt;wsp:rsid wsp:val=&quot;00C87C14&quot;/&gt;&lt;wsp:rsid wsp:val=&quot;00C87CFF&quot;/&gt;&lt;wsp:rsid wsp:val=&quot;00C87E67&quot;/&gt;&lt;wsp:rsid wsp:val=&quot;00C87EBD&quot;/&gt;&lt;wsp:rsid wsp:val=&quot;00C907EB&quot;/&gt;&lt;wsp:rsid wsp:val=&quot;00C908EF&quot;/&gt;&lt;wsp:rsid wsp:val=&quot;00C90B9F&quot;/&gt;&lt;wsp:rsid wsp:val=&quot;00C9110A&quot;/&gt;&lt;wsp:rsid wsp:val=&quot;00C91415&quot;/&gt;&lt;wsp:rsid wsp:val=&quot;00C917E5&quot;/&gt;&lt;wsp:rsid wsp:val=&quot;00C91F37&quot;/&gt;&lt;wsp:rsid wsp:val=&quot;00C91F8B&quot;/&gt;&lt;wsp:rsid wsp:val=&quot;00C92241&quot;/&gt;&lt;wsp:rsid wsp:val=&quot;00C92A6B&quot;/&gt;&lt;wsp:rsid wsp:val=&quot;00C92B85&quot;/&gt;&lt;wsp:rsid wsp:val=&quot;00C92F53&quot;/&gt;&lt;wsp:rsid wsp:val=&quot;00C931FE&quot;/&gt;&lt;wsp:rsid wsp:val=&quot;00C93238&quot;/&gt;&lt;wsp:rsid wsp:val=&quot;00C933B8&quot;/&gt;&lt;wsp:rsid wsp:val=&quot;00C933D2&quot;/&gt;&lt;wsp:rsid wsp:val=&quot;00C943B9&quot;/&gt;&lt;wsp:rsid wsp:val=&quot;00C94D96&quot;/&gt;&lt;wsp:rsid wsp:val=&quot;00C9509A&quot;/&gt;&lt;wsp:rsid wsp:val=&quot;00C955E3&quot;/&gt;&lt;wsp:rsid wsp:val=&quot;00C96835&quot;/&gt;&lt;wsp:rsid wsp:val=&quot;00C96A9B&quot;/&gt;&lt;wsp:rsid wsp:val=&quot;00C96F59&quot;/&gt;&lt;wsp:rsid wsp:val=&quot;00C97485&quot;/&gt;&lt;wsp:rsid wsp:val=&quot;00C975A8&quot;/&gt;&lt;wsp:rsid wsp:val=&quot;00C97AF5&quot;/&gt;&lt;wsp:rsid wsp:val=&quot;00CA001C&quot;/&gt;&lt;wsp:rsid wsp:val=&quot;00CA01BC&quot;/&gt;&lt;wsp:rsid wsp:val=&quot;00CA0ABE&quot;/&gt;&lt;wsp:rsid wsp:val=&quot;00CA0EE9&quot;/&gt;&lt;wsp:rsid wsp:val=&quot;00CA1535&quot;/&gt;&lt;wsp:rsid wsp:val=&quot;00CA21F9&quot;/&gt;&lt;wsp:rsid wsp:val=&quot;00CA2376&quot;/&gt;&lt;wsp:rsid wsp:val=&quot;00CA317C&quot;/&gt;&lt;wsp:rsid wsp:val=&quot;00CA39B2&quot;/&gt;&lt;wsp:rsid wsp:val=&quot;00CA3AAF&quot;/&gt;&lt;wsp:rsid wsp:val=&quot;00CA3E82&quot;/&gt;&lt;wsp:rsid wsp:val=&quot;00CA412A&quot;/&gt;&lt;wsp:rsid wsp:val=&quot;00CA430A&quot;/&gt;&lt;wsp:rsid wsp:val=&quot;00CA45A0&quot;/&gt;&lt;wsp:rsid wsp:val=&quot;00CA4716&quot;/&gt;&lt;wsp:rsid wsp:val=&quot;00CA4AED&quot;/&gt;&lt;wsp:rsid wsp:val=&quot;00CA502F&quot;/&gt;&lt;wsp:rsid wsp:val=&quot;00CA5083&quot;/&gt;&lt;wsp:rsid wsp:val=&quot;00CA5326&quot;/&gt;&lt;wsp:rsid wsp:val=&quot;00CA5463&quot;/&gt;&lt;wsp:rsid wsp:val=&quot;00CA5694&quot;/&gt;&lt;wsp:rsid wsp:val=&quot;00CA5F4B&quot;/&gt;&lt;wsp:rsid wsp:val=&quot;00CA6F3B&quot;/&gt;&lt;wsp:rsid wsp:val=&quot;00CA7657&quot;/&gt;&lt;wsp:rsid wsp:val=&quot;00CA7FDD&quot;/&gt;&lt;wsp:rsid wsp:val=&quot;00CB021B&quot;/&gt;&lt;wsp:rsid wsp:val=&quot;00CB023E&quot;/&gt;&lt;wsp:rsid wsp:val=&quot;00CB05E8&quot;/&gt;&lt;wsp:rsid wsp:val=&quot;00CB0C4D&quot;/&gt;&lt;wsp:rsid wsp:val=&quot;00CB0CEE&quot;/&gt;&lt;wsp:rsid wsp:val=&quot;00CB0DF0&quot;/&gt;&lt;wsp:rsid wsp:val=&quot;00CB11E0&quot;/&gt;&lt;wsp:rsid wsp:val=&quot;00CB13A3&quot;/&gt;&lt;wsp:rsid wsp:val=&quot;00CB13EA&quot;/&gt;&lt;wsp:rsid wsp:val=&quot;00CB1490&quot;/&gt;&lt;wsp:rsid wsp:val=&quot;00CB1591&quot;/&gt;&lt;wsp:rsid wsp:val=&quot;00CB1924&quot;/&gt;&lt;wsp:rsid wsp:val=&quot;00CB1DD2&quot;/&gt;&lt;wsp:rsid wsp:val=&quot;00CB2915&quot;/&gt;&lt;wsp:rsid wsp:val=&quot;00CB2E41&quot;/&gt;&lt;wsp:rsid wsp:val=&quot;00CB2F87&quot;/&gt;&lt;wsp:rsid wsp:val=&quot;00CB3523&quot;/&gt;&lt;wsp:rsid wsp:val=&quot;00CB3D78&quot;/&gt;&lt;wsp:rsid wsp:val=&quot;00CB4541&quot;/&gt;&lt;wsp:rsid wsp:val=&quot;00CB4ABE&quot;/&gt;&lt;wsp:rsid wsp:val=&quot;00CB4E9E&quot;/&gt;&lt;wsp:rsid wsp:val=&quot;00CB5FAA&quot;/&gt;&lt;wsp:rsid wsp:val=&quot;00CB607E&quot;/&gt;&lt;wsp:rsid wsp:val=&quot;00CB6112&quot;/&gt;&lt;wsp:rsid wsp:val=&quot;00CB65FF&quot;/&gt;&lt;wsp:rsid wsp:val=&quot;00CB68DF&quot;/&gt;&lt;wsp:rsid wsp:val=&quot;00CB70A6&quot;/&gt;&lt;wsp:rsid wsp:val=&quot;00CB7214&quot;/&gt;&lt;wsp:rsid wsp:val=&quot;00CB7577&quot;/&gt;&lt;wsp:rsid wsp:val=&quot;00CB7914&quot;/&gt;&lt;wsp:rsid wsp:val=&quot;00CB7EAC&quot;/&gt;&lt;wsp:rsid wsp:val=&quot;00CC0607&quot;/&gt;&lt;wsp:rsid wsp:val=&quot;00CC0DEB&quot;/&gt;&lt;wsp:rsid wsp:val=&quot;00CC1308&quot;/&gt;&lt;wsp:rsid wsp:val=&quot;00CC1425&quot;/&gt;&lt;wsp:rsid wsp:val=&quot;00CC162D&quot;/&gt;&lt;wsp:rsid wsp:val=&quot;00CC1750&quot;/&gt;&lt;wsp:rsid wsp:val=&quot;00CC1B59&quot;/&gt;&lt;wsp:rsid wsp:val=&quot;00CC1B6C&quot;/&gt;&lt;wsp:rsid wsp:val=&quot;00CC1BB0&quot;/&gt;&lt;wsp:rsid wsp:val=&quot;00CC1D33&quot;/&gt;&lt;wsp:rsid wsp:val=&quot;00CC259F&quot;/&gt;&lt;wsp:rsid wsp:val=&quot;00CC2AB0&quot;/&gt;&lt;wsp:rsid wsp:val=&quot;00CC3AD3&quot;/&gt;&lt;wsp:rsid wsp:val=&quot;00CC3D3F&quot;/&gt;&lt;wsp:rsid wsp:val=&quot;00CC42C4&quot;/&gt;&lt;wsp:rsid wsp:val=&quot;00CC4951&quot;/&gt;&lt;wsp:rsid wsp:val=&quot;00CC5005&quot;/&gt;&lt;wsp:rsid wsp:val=&quot;00CC51C0&quot;/&gt;&lt;wsp:rsid wsp:val=&quot;00CC5356&quot;/&gt;&lt;wsp:rsid wsp:val=&quot;00CC630F&quot;/&gt;&lt;wsp:rsid wsp:val=&quot;00CC6480&quot;/&gt;&lt;wsp:rsid wsp:val=&quot;00CC69D2&quot;/&gt;&lt;wsp:rsid wsp:val=&quot;00CC7081&quot;/&gt;&lt;wsp:rsid wsp:val=&quot;00CC70C9&quot;/&gt;&lt;wsp:rsid wsp:val=&quot;00CC757A&quot;/&gt;&lt;wsp:rsid wsp:val=&quot;00CC7F0A&quot;/&gt;&lt;wsp:rsid wsp:val=&quot;00CD04DC&quot;/&gt;&lt;wsp:rsid wsp:val=&quot;00CD0654&quot;/&gt;&lt;wsp:rsid wsp:val=&quot;00CD0DBD&quot;/&gt;&lt;wsp:rsid wsp:val=&quot;00CD126F&quot;/&gt;&lt;wsp:rsid wsp:val=&quot;00CD13A9&quot;/&gt;&lt;wsp:rsid wsp:val=&quot;00CD1C5C&quot;/&gt;&lt;wsp:rsid wsp:val=&quot;00CD1D38&quot;/&gt;&lt;wsp:rsid wsp:val=&quot;00CD1DD8&quot;/&gt;&lt;wsp:rsid wsp:val=&quot;00CD2737&quot;/&gt;&lt;wsp:rsid wsp:val=&quot;00CD2CBE&quot;/&gt;&lt;wsp:rsid wsp:val=&quot;00CD3100&quot;/&gt;&lt;wsp:rsid wsp:val=&quot;00CD33EE&quot;/&gt;&lt;wsp:rsid wsp:val=&quot;00CD352F&quot;/&gt;&lt;wsp:rsid wsp:val=&quot;00CD35C6&quot;/&gt;&lt;wsp:rsid wsp:val=&quot;00CD3656&quot;/&gt;&lt;wsp:rsid wsp:val=&quot;00CD39AB&quot;/&gt;&lt;wsp:rsid wsp:val=&quot;00CD4624&quot;/&gt;&lt;wsp:rsid wsp:val=&quot;00CD46C0&quot;/&gt;&lt;wsp:rsid wsp:val=&quot;00CD4C1E&quot;/&gt;&lt;wsp:rsid wsp:val=&quot;00CD56E5&quot;/&gt;&lt;wsp:rsid wsp:val=&quot;00CD59B4&quot;/&gt;&lt;wsp:rsid wsp:val=&quot;00CD5AEC&quot;/&gt;&lt;wsp:rsid wsp:val=&quot;00CD5CE9&quot;/&gt;&lt;wsp:rsid wsp:val=&quot;00CD6421&quot;/&gt;&lt;wsp:rsid wsp:val=&quot;00CD65F7&quot;/&gt;&lt;wsp:rsid wsp:val=&quot;00CD664C&quot;/&gt;&lt;wsp:rsid wsp:val=&quot;00CD6688&quot;/&gt;&lt;wsp:rsid wsp:val=&quot;00CD6BB6&quot;/&gt;&lt;wsp:rsid wsp:val=&quot;00CD6C1B&quot;/&gt;&lt;wsp:rsid wsp:val=&quot;00CD75CB&quot;/&gt;&lt;wsp:rsid wsp:val=&quot;00CD79D2&quot;/&gt;&lt;wsp:rsid wsp:val=&quot;00CE0380&quot;/&gt;&lt;wsp:rsid wsp:val=&quot;00CE0870&quot;/&gt;&lt;wsp:rsid wsp:val=&quot;00CE0F5B&quot;/&gt;&lt;wsp:rsid wsp:val=&quot;00CE0FB5&quot;/&gt;&lt;wsp:rsid wsp:val=&quot;00CE1246&quot;/&gt;&lt;wsp:rsid wsp:val=&quot;00CE1704&quot;/&gt;&lt;wsp:rsid wsp:val=&quot;00CE250C&quot;/&gt;&lt;wsp:rsid wsp:val=&quot;00CE2717&quot;/&gt;&lt;wsp:rsid wsp:val=&quot;00CE2BD4&quot;/&gt;&lt;wsp:rsid wsp:val=&quot;00CE2DFC&quot;/&gt;&lt;wsp:rsid wsp:val=&quot;00CE3154&quot;/&gt;&lt;wsp:rsid wsp:val=&quot;00CE3359&quot;/&gt;&lt;wsp:rsid wsp:val=&quot;00CE4038&quot;/&gt;&lt;wsp:rsid wsp:val=&quot;00CE4AC6&quot;/&gt;&lt;wsp:rsid wsp:val=&quot;00CE4B67&quot;/&gt;&lt;wsp:rsid wsp:val=&quot;00CE505E&quot;/&gt;&lt;wsp:rsid wsp:val=&quot;00CE5625&quot;/&gt;&lt;wsp:rsid wsp:val=&quot;00CE5665&quot;/&gt;&lt;wsp:rsid wsp:val=&quot;00CE5B25&quot;/&gt;&lt;wsp:rsid wsp:val=&quot;00CE5E82&quot;/&gt;&lt;wsp:rsid wsp:val=&quot;00CE67DA&quot;/&gt;&lt;wsp:rsid wsp:val=&quot;00CE6A2D&quot;/&gt;&lt;wsp:rsid wsp:val=&quot;00CE73F7&quot;/&gt;&lt;wsp:rsid wsp:val=&quot;00CE7542&quot;/&gt;&lt;wsp:rsid wsp:val=&quot;00CE793E&quot;/&gt;&lt;wsp:rsid wsp:val=&quot;00CE7B06&quot;/&gt;&lt;wsp:rsid wsp:val=&quot;00CE7E3B&quot;/&gt;&lt;wsp:rsid wsp:val=&quot;00CE7F90&quot;/&gt;&lt;wsp:rsid wsp:val=&quot;00CF02EC&quot;/&gt;&lt;wsp:rsid wsp:val=&quot;00CF09F4&quot;/&gt;&lt;wsp:rsid wsp:val=&quot;00CF0CCA&quot;/&gt;&lt;wsp:rsid wsp:val=&quot;00CF0FE2&quot;/&gt;&lt;wsp:rsid wsp:val=&quot;00CF114C&quot;/&gt;&lt;wsp:rsid wsp:val=&quot;00CF143A&quot;/&gt;&lt;wsp:rsid wsp:val=&quot;00CF1F89&quot;/&gt;&lt;wsp:rsid wsp:val=&quot;00CF229C&quot;/&gt;&lt;wsp:rsid wsp:val=&quot;00CF2609&quot;/&gt;&lt;wsp:rsid wsp:val=&quot;00CF2615&quot;/&gt;&lt;wsp:rsid wsp:val=&quot;00CF2651&quot;/&gt;&lt;wsp:rsid wsp:val=&quot;00CF26CE&quot;/&gt;&lt;wsp:rsid wsp:val=&quot;00CF2994&quot;/&gt;&lt;wsp:rsid wsp:val=&quot;00CF3782&quot;/&gt;&lt;wsp:rsid wsp:val=&quot;00CF3C0C&quot;/&gt;&lt;wsp:rsid wsp:val=&quot;00CF441E&quot;/&gt;&lt;wsp:rsid wsp:val=&quot;00CF446C&quot;/&gt;&lt;wsp:rsid wsp:val=&quot;00CF4616&quot;/&gt;&lt;wsp:rsid wsp:val=&quot;00CF484F&quot;/&gt;&lt;wsp:rsid wsp:val=&quot;00CF4B3E&quot;/&gt;&lt;wsp:rsid wsp:val=&quot;00CF4C29&quot;/&gt;&lt;wsp:rsid wsp:val=&quot;00CF5493&quot;/&gt;&lt;wsp:rsid wsp:val=&quot;00CF659D&quot;/&gt;&lt;wsp:rsid wsp:val=&quot;00CF6957&quot;/&gt;&lt;wsp:rsid wsp:val=&quot;00CF7B29&quot;/&gt;&lt;wsp:rsid wsp:val=&quot;00CF7F58&quot;/&gt;&lt;wsp:rsid wsp:val=&quot;00D00110&quot;/&gt;&lt;wsp:rsid wsp:val=&quot;00D003E7&quot;/&gt;&lt;wsp:rsid wsp:val=&quot;00D00496&quot;/&gt;&lt;wsp:rsid wsp:val=&quot;00D008C0&quot;/&gt;&lt;wsp:rsid wsp:val=&quot;00D0182D&quot;/&gt;&lt;wsp:rsid wsp:val=&quot;00D01F7D&quot;/&gt;&lt;wsp:rsid wsp:val=&quot;00D01FC4&quot;/&gt;&lt;wsp:rsid wsp:val=&quot;00D021A2&quot;/&gt;&lt;wsp:rsid wsp:val=&quot;00D02382&quot;/&gt;&lt;wsp:rsid wsp:val=&quot;00D02841&quot;/&gt;&lt;wsp:rsid wsp:val=&quot;00D02D7C&quot;/&gt;&lt;wsp:rsid wsp:val=&quot;00D02F1C&quot;/&gt;&lt;wsp:rsid wsp:val=&quot;00D03115&quot;/&gt;&lt;wsp:rsid wsp:val=&quot;00D03436&quot;/&gt;&lt;wsp:rsid wsp:val=&quot;00D0387E&quot;/&gt;&lt;wsp:rsid wsp:val=&quot;00D03FAC&quot;/&gt;&lt;wsp:rsid wsp:val=&quot;00D03FE8&quot;/&gt;&lt;wsp:rsid wsp:val=&quot;00D04429&quot;/&gt;&lt;wsp:rsid wsp:val=&quot;00D047D0&quot;/&gt;&lt;wsp:rsid wsp:val=&quot;00D04B24&quot;/&gt;&lt;wsp:rsid wsp:val=&quot;00D05080&quot;/&gt;&lt;wsp:rsid wsp:val=&quot;00D054B1&quot;/&gt;&lt;wsp:rsid wsp:val=&quot;00D06174&quot;/&gt;&lt;wsp:rsid wsp:val=&quot;00D063BC&quot;/&gt;&lt;wsp:rsid wsp:val=&quot;00D066C4&quot;/&gt;&lt;wsp:rsid wsp:val=&quot;00D06866&quot;/&gt;&lt;wsp:rsid wsp:val=&quot;00D06C9F&quot;/&gt;&lt;wsp:rsid wsp:val=&quot;00D06E44&quot;/&gt;&lt;wsp:rsid wsp:val=&quot;00D072FB&quot;/&gt;&lt;wsp:rsid wsp:val=&quot;00D074F8&quot;/&gt;&lt;wsp:rsid wsp:val=&quot;00D07581&quot;/&gt;&lt;wsp:rsid wsp:val=&quot;00D07AB2&quot;/&gt;&lt;wsp:rsid wsp:val=&quot;00D07B9F&quot;/&gt;&lt;wsp:rsid wsp:val=&quot;00D106D2&quot;/&gt;&lt;wsp:rsid wsp:val=&quot;00D10B45&quot;/&gt;&lt;wsp:rsid wsp:val=&quot;00D1107C&quot;/&gt;&lt;wsp:rsid wsp:val=&quot;00D1143D&quot;/&gt;&lt;wsp:rsid wsp:val=&quot;00D1152D&quot;/&gt;&lt;wsp:rsid wsp:val=&quot;00D11922&quot;/&gt;&lt;wsp:rsid wsp:val=&quot;00D11A48&quot;/&gt;&lt;wsp:rsid wsp:val=&quot;00D123C5&quot;/&gt;&lt;wsp:rsid wsp:val=&quot;00D12657&quot;/&gt;&lt;wsp:rsid wsp:val=&quot;00D128FF&quot;/&gt;&lt;wsp:rsid wsp:val=&quot;00D12A1F&quot;/&gt;&lt;wsp:rsid wsp:val=&quot;00D12F15&quot;/&gt;&lt;wsp:rsid wsp:val=&quot;00D13E7A&quot;/&gt;&lt;wsp:rsid wsp:val=&quot;00D14279&quot;/&gt;&lt;wsp:rsid wsp:val=&quot;00D148AA&quot;/&gt;&lt;wsp:rsid wsp:val=&quot;00D148FC&quot;/&gt;&lt;wsp:rsid wsp:val=&quot;00D15199&quot;/&gt;&lt;wsp:rsid wsp:val=&quot;00D158AE&quot;/&gt;&lt;wsp:rsid wsp:val=&quot;00D15B02&quot;/&gt;&lt;wsp:rsid wsp:val=&quot;00D15C1B&quot;/&gt;&lt;wsp:rsid wsp:val=&quot;00D15E58&quot;/&gt;&lt;wsp:rsid wsp:val=&quot;00D15E5D&quot;/&gt;&lt;wsp:rsid wsp:val=&quot;00D15F2F&quot;/&gt;&lt;wsp:rsid wsp:val=&quot;00D161AF&quot;/&gt;&lt;wsp:rsid wsp:val=&quot;00D16209&quot;/&gt;&lt;wsp:rsid wsp:val=&quot;00D16359&quot;/&gt;&lt;wsp:rsid wsp:val=&quot;00D16BC8&quot;/&gt;&lt;wsp:rsid wsp:val=&quot;00D16BED&quot;/&gt;&lt;wsp:rsid wsp:val=&quot;00D16FF2&quot;/&gt;&lt;wsp:rsid wsp:val=&quot;00D17154&quot;/&gt;&lt;wsp:rsid wsp:val=&quot;00D1719F&quot;/&gt;&lt;wsp:rsid wsp:val=&quot;00D17240&quot;/&gt;&lt;wsp:rsid wsp:val=&quot;00D1758C&quot;/&gt;&lt;wsp:rsid wsp:val=&quot;00D17B23&quot;/&gt;&lt;wsp:rsid wsp:val=&quot;00D17B74&quot;/&gt;&lt;wsp:rsid wsp:val=&quot;00D200DB&quot;/&gt;&lt;wsp:rsid wsp:val=&quot;00D20202&quot;/&gt;&lt;wsp:rsid wsp:val=&quot;00D20682&quot;/&gt;&lt;wsp:rsid wsp:val=&quot;00D20B37&quot;/&gt;&lt;wsp:rsid wsp:val=&quot;00D20BE8&quot;/&gt;&lt;wsp:rsid wsp:val=&quot;00D21502&quot;/&gt;&lt;wsp:rsid wsp:val=&quot;00D21E04&quot;/&gt;&lt;wsp:rsid wsp:val=&quot;00D21F47&quot;/&gt;&lt;wsp:rsid wsp:val=&quot;00D22114&quot;/&gt;&lt;wsp:rsid wsp:val=&quot;00D227AB&quot;/&gt;&lt;wsp:rsid wsp:val=&quot;00D22885&quot;/&gt;&lt;wsp:rsid wsp:val=&quot;00D22905&quot;/&gt;&lt;wsp:rsid wsp:val=&quot;00D22FCC&quot;/&gt;&lt;wsp:rsid wsp:val=&quot;00D23086&quot;/&gt;&lt;wsp:rsid wsp:val=&quot;00D233FA&quot;/&gt;&lt;wsp:rsid wsp:val=&quot;00D234D4&quot;/&gt;&lt;wsp:rsid wsp:val=&quot;00D24D9E&quot;/&gt;&lt;wsp:rsid wsp:val=&quot;00D255D5&quot;/&gt;&lt;wsp:rsid wsp:val=&quot;00D25710&quot;/&gt;&lt;wsp:rsid wsp:val=&quot;00D25F3C&quot;/&gt;&lt;wsp:rsid wsp:val=&quot;00D26215&quot;/&gt;&lt;wsp:rsid wsp:val=&quot;00D279EB&quot;/&gt;&lt;wsp:rsid wsp:val=&quot;00D27BC8&quot;/&gt;&lt;wsp:rsid wsp:val=&quot;00D30031&quot;/&gt;&lt;wsp:rsid wsp:val=&quot;00D30304&quot;/&gt;&lt;wsp:rsid wsp:val=&quot;00D303E6&quot;/&gt;&lt;wsp:rsid wsp:val=&quot;00D30990&quot;/&gt;&lt;wsp:rsid wsp:val=&quot;00D3107B&quot;/&gt;&lt;wsp:rsid wsp:val=&quot;00D311A8&quot;/&gt;&lt;wsp:rsid wsp:val=&quot;00D314EA&quot;/&gt;&lt;wsp:rsid wsp:val=&quot;00D32050&quot;/&gt;&lt;wsp:rsid wsp:val=&quot;00D3210D&quot;/&gt;&lt;wsp:rsid wsp:val=&quot;00D32D29&quot;/&gt;&lt;wsp:rsid wsp:val=&quot;00D33046&quot;/&gt;&lt;wsp:rsid wsp:val=&quot;00D3344F&quot;/&gt;&lt;wsp:rsid wsp:val=&quot;00D33951&quot;/&gt;&lt;wsp:rsid wsp:val=&quot;00D33992&quot;/&gt;&lt;wsp:rsid wsp:val=&quot;00D3404A&quot;/&gt;&lt;wsp:rsid wsp:val=&quot;00D34B0E&quot;/&gt;&lt;wsp:rsid wsp:val=&quot;00D34D68&quot;/&gt;&lt;wsp:rsid wsp:val=&quot;00D3521C&quot;/&gt;&lt;wsp:rsid wsp:val=&quot;00D357ED&quot;/&gt;&lt;wsp:rsid wsp:val=&quot;00D3593B&quot;/&gt;&lt;wsp:rsid wsp:val=&quot;00D35CE6&quot;/&gt;&lt;wsp:rsid wsp:val=&quot;00D3615D&quot;/&gt;&lt;wsp:rsid wsp:val=&quot;00D36225&quot;/&gt;&lt;wsp:rsid wsp:val=&quot;00D3635F&quot;/&gt;&lt;wsp:rsid wsp:val=&quot;00D363A6&quot;/&gt;&lt;wsp:rsid wsp:val=&quot;00D369CB&quot;/&gt;&lt;wsp:rsid wsp:val=&quot;00D36C20&quot;/&gt;&lt;wsp:rsid wsp:val=&quot;00D3704F&quot;/&gt;&lt;wsp:rsid wsp:val=&quot;00D371FE&quot;/&gt;&lt;wsp:rsid wsp:val=&quot;00D375BC&quot;/&gt;&lt;wsp:rsid wsp:val=&quot;00D37BED&quot;/&gt;&lt;wsp:rsid wsp:val=&quot;00D37FC9&quot;/&gt;&lt;wsp:rsid wsp:val=&quot;00D4027F&quot;/&gt;&lt;wsp:rsid wsp:val=&quot;00D40BAC&quot;/&gt;&lt;wsp:rsid wsp:val=&quot;00D413EF&quot;/&gt;&lt;wsp:rsid wsp:val=&quot;00D4159E&quot;/&gt;&lt;wsp:rsid wsp:val=&quot;00D41860&quot;/&gt;&lt;wsp:rsid wsp:val=&quot;00D41A19&quot;/&gt;&lt;wsp:rsid wsp:val=&quot;00D42598&quot;/&gt;&lt;wsp:rsid wsp:val=&quot;00D42715&quot;/&gt;&lt;wsp:rsid wsp:val=&quot;00D428FC&quot;/&gt;&lt;wsp:rsid wsp:val=&quot;00D42C6F&quot;/&gt;&lt;wsp:rsid wsp:val=&quot;00D43754&quot;/&gt;&lt;wsp:rsid wsp:val=&quot;00D437D7&quot;/&gt;&lt;wsp:rsid wsp:val=&quot;00D43C0E&quot;/&gt;&lt;wsp:rsid wsp:val=&quot;00D44849&quot;/&gt;&lt;wsp:rsid wsp:val=&quot;00D448C0&quot;/&gt;&lt;wsp:rsid wsp:val=&quot;00D44C01&quot;/&gt;&lt;wsp:rsid wsp:val=&quot;00D44FA1&quot;/&gt;&lt;wsp:rsid wsp:val=&quot;00D4506E&quot;/&gt;&lt;wsp:rsid wsp:val=&quot;00D451F5&quot;/&gt;&lt;wsp:rsid wsp:val=&quot;00D4535F&quot;/&gt;&lt;wsp:rsid wsp:val=&quot;00D454A3&quot;/&gt;&lt;wsp:rsid wsp:val=&quot;00D45927&quot;/&gt;&lt;wsp:rsid wsp:val=&quot;00D4599C&quot;/&gt;&lt;wsp:rsid wsp:val=&quot;00D45A96&quot;/&gt;&lt;wsp:rsid wsp:val=&quot;00D462FE&quot;/&gt;&lt;wsp:rsid wsp:val=&quot;00D464AD&quot;/&gt;&lt;wsp:rsid wsp:val=&quot;00D464D7&quot;/&gt;&lt;wsp:rsid wsp:val=&quot;00D4728E&quot;/&gt;&lt;wsp:rsid wsp:val=&quot;00D47407&quot;/&gt;&lt;wsp:rsid wsp:val=&quot;00D50182&quot;/&gt;&lt;wsp:rsid wsp:val=&quot;00D507F8&quot;/&gt;&lt;wsp:rsid wsp:val=&quot;00D5104A&quot;/&gt;&lt;wsp:rsid wsp:val=&quot;00D51380&quot;/&gt;&lt;wsp:rsid wsp:val=&quot;00D514C2&quot;/&gt;&lt;wsp:rsid wsp:val=&quot;00D51D6E&quot;/&gt;&lt;wsp:rsid wsp:val=&quot;00D52177&quot;/&gt;&lt;wsp:rsid wsp:val=&quot;00D52786&quot;/&gt;&lt;wsp:rsid wsp:val=&quot;00D53024&quot;/&gt;&lt;wsp:rsid wsp:val=&quot;00D53085&quot;/&gt;&lt;wsp:rsid wsp:val=&quot;00D531D9&quot;/&gt;&lt;wsp:rsid wsp:val=&quot;00D531DF&quot;/&gt;&lt;wsp:rsid wsp:val=&quot;00D534C8&quot;/&gt;&lt;wsp:rsid wsp:val=&quot;00D541D3&quot;/&gt;&lt;wsp:rsid wsp:val=&quot;00D54608&quot;/&gt;&lt;wsp:rsid wsp:val=&quot;00D54A11&quot;/&gt;&lt;wsp:rsid wsp:val=&quot;00D54AD8&quot;/&gt;&lt;wsp:rsid wsp:val=&quot;00D54D48&quot;/&gt;&lt;wsp:rsid wsp:val=&quot;00D55229&quot;/&gt;&lt;wsp:rsid wsp:val=&quot;00D553F4&quot;/&gt;&lt;wsp:rsid wsp:val=&quot;00D55436&quot;/&gt;&lt;wsp:rsid wsp:val=&quot;00D55B87&quot;/&gt;&lt;wsp:rsid wsp:val=&quot;00D55D6A&quot;/&gt;&lt;wsp:rsid wsp:val=&quot;00D55E18&quot;/&gt;&lt;wsp:rsid wsp:val=&quot;00D55F89&quot;/&gt;&lt;wsp:rsid wsp:val=&quot;00D5684D&quot;/&gt;&lt;wsp:rsid wsp:val=&quot;00D568FF&quot;/&gt;&lt;wsp:rsid wsp:val=&quot;00D56D9C&quot;/&gt;&lt;wsp:rsid wsp:val=&quot;00D56DDD&quot;/&gt;&lt;wsp:rsid wsp:val=&quot;00D571CD&quot;/&gt;&lt;wsp:rsid wsp:val=&quot;00D57C96&quot;/&gt;&lt;wsp:rsid wsp:val=&quot;00D6000D&quot;/&gt;&lt;wsp:rsid wsp:val=&quot;00D609E3&quot;/&gt;&lt;wsp:rsid wsp:val=&quot;00D60A22&quot;/&gt;&lt;wsp:rsid wsp:val=&quot;00D60BCF&quot;/&gt;&lt;wsp:rsid wsp:val=&quot;00D60CCB&quot;/&gt;&lt;wsp:rsid wsp:val=&quot;00D60F9F&quot;/&gt;&lt;wsp:rsid wsp:val=&quot;00D610ED&quot;/&gt;&lt;wsp:rsid wsp:val=&quot;00D61683&quot;/&gt;&lt;wsp:rsid wsp:val=&quot;00D61749&quot;/&gt;&lt;wsp:rsid wsp:val=&quot;00D6197E&quot;/&gt;&lt;wsp:rsid wsp:val=&quot;00D61AA6&quot;/&gt;&lt;wsp:rsid wsp:val=&quot;00D61FB1&quot;/&gt;&lt;wsp:rsid wsp:val=&quot;00D621ED&quot;/&gt;&lt;wsp:rsid wsp:val=&quot;00D625CC&quot;/&gt;&lt;wsp:rsid wsp:val=&quot;00D62749&quot;/&gt;&lt;wsp:rsid wsp:val=&quot;00D62919&quot;/&gt;&lt;wsp:rsid wsp:val=&quot;00D62F1A&quot;/&gt;&lt;wsp:rsid wsp:val=&quot;00D63214&quot;/&gt;&lt;wsp:rsid wsp:val=&quot;00D638C9&quot;/&gt;&lt;wsp:rsid wsp:val=&quot;00D63DFD&quot;/&gt;&lt;wsp:rsid wsp:val=&quot;00D6460F&quot;/&gt;&lt;wsp:rsid wsp:val=&quot;00D64670&quot;/&gt;&lt;wsp:rsid wsp:val=&quot;00D64AD9&quot;/&gt;&lt;wsp:rsid wsp:val=&quot;00D64ECC&quot;/&gt;&lt;wsp:rsid wsp:val=&quot;00D652B4&quot;/&gt;&lt;wsp:rsid wsp:val=&quot;00D6560F&quot;/&gt;&lt;wsp:rsid wsp:val=&quot;00D65C82&quot;/&gt;&lt;wsp:rsid wsp:val=&quot;00D65F3F&quot;/&gt;&lt;wsp:rsid wsp:val=&quot;00D66048&quot;/&gt;&lt;wsp:rsid wsp:val=&quot;00D6631E&quot;/&gt;&lt;wsp:rsid wsp:val=&quot;00D66A4C&quot;/&gt;&lt;wsp:rsid wsp:val=&quot;00D66E12&quot;/&gt;&lt;wsp:rsid wsp:val=&quot;00D6717B&quot;/&gt;&lt;wsp:rsid wsp:val=&quot;00D671AC&quot;/&gt;&lt;wsp:rsid wsp:val=&quot;00D6768A&quot;/&gt;&lt;wsp:rsid wsp:val=&quot;00D67BC4&quot;/&gt;&lt;wsp:rsid wsp:val=&quot;00D67DA6&quot;/&gt;&lt;wsp:rsid wsp:val=&quot;00D70BE1&quot;/&gt;&lt;wsp:rsid wsp:val=&quot;00D70F6B&quot;/&gt;&lt;wsp:rsid wsp:val=&quot;00D717D2&quot;/&gt;&lt;wsp:rsid wsp:val=&quot;00D71814&quot;/&gt;&lt;wsp:rsid wsp:val=&quot;00D71B07&quot;/&gt;&lt;wsp:rsid wsp:val=&quot;00D720E8&quot;/&gt;&lt;wsp:rsid wsp:val=&quot;00D72159&quot;/&gt;&lt;wsp:rsid wsp:val=&quot;00D7266A&quot;/&gt;&lt;wsp:rsid wsp:val=&quot;00D72711&quot;/&gt;&lt;wsp:rsid wsp:val=&quot;00D72917&quot;/&gt;&lt;wsp:rsid wsp:val=&quot;00D72DF4&quot;/&gt;&lt;wsp:rsid wsp:val=&quot;00D72EA6&quot;/&gt;&lt;wsp:rsid wsp:val=&quot;00D72F77&quot;/&gt;&lt;wsp:rsid wsp:val=&quot;00D73036&quot;/&gt;&lt;wsp:rsid wsp:val=&quot;00D731D9&quot;/&gt;&lt;wsp:rsid wsp:val=&quot;00D7320F&quot;/&gt;&lt;wsp:rsid wsp:val=&quot;00D73858&quot;/&gt;&lt;wsp:rsid wsp:val=&quot;00D73938&quot;/&gt;&lt;wsp:rsid wsp:val=&quot;00D739DA&quot;/&gt;&lt;wsp:rsid wsp:val=&quot;00D73ED7&quot;/&gt;&lt;wsp:rsid wsp:val=&quot;00D740FD&quot;/&gt;&lt;wsp:rsid wsp:val=&quot;00D74D28&quot;/&gt;&lt;wsp:rsid wsp:val=&quot;00D75928&quot;/&gt;&lt;wsp:rsid wsp:val=&quot;00D75A84&quot;/&gt;&lt;wsp:rsid wsp:val=&quot;00D75B33&quot;/&gt;&lt;wsp:rsid wsp:val=&quot;00D75E24&quot;/&gt;&lt;wsp:rsid wsp:val=&quot;00D761E9&quot;/&gt;&lt;wsp:rsid wsp:val=&quot;00D76263&quot;/&gt;&lt;wsp:rsid wsp:val=&quot;00D763CE&quot;/&gt;&lt;wsp:rsid wsp:val=&quot;00D76C02&quot;/&gt;&lt;wsp:rsid wsp:val=&quot;00D77C2F&quot;/&gt;&lt;wsp:rsid wsp:val=&quot;00D77C5E&quot;/&gt;&lt;wsp:rsid wsp:val=&quot;00D8008F&quot;/&gt;&lt;wsp:rsid wsp:val=&quot;00D80115&quot;/&gt;&lt;wsp:rsid wsp:val=&quot;00D806C6&quot;/&gt;&lt;wsp:rsid wsp:val=&quot;00D80EF1&quot;/&gt;&lt;wsp:rsid wsp:val=&quot;00D816FD&quot;/&gt;&lt;wsp:rsid wsp:val=&quot;00D81A80&quot;/&gt;&lt;wsp:rsid wsp:val=&quot;00D81AF9&quot;/&gt;&lt;wsp:rsid wsp:val=&quot;00D82185&quot;/&gt;&lt;wsp:rsid wsp:val=&quot;00D8221F&quot;/&gt;&lt;wsp:rsid wsp:val=&quot;00D827BE&quot;/&gt;&lt;wsp:rsid wsp:val=&quot;00D82BFA&quot;/&gt;&lt;wsp:rsid wsp:val=&quot;00D82CE4&quot;/&gt;&lt;wsp:rsid wsp:val=&quot;00D82DED&quot;/&gt;&lt;wsp:rsid wsp:val=&quot;00D82EA9&quot;/&gt;&lt;wsp:rsid wsp:val=&quot;00D8303D&quot;/&gt;&lt;wsp:rsid wsp:val=&quot;00D83ABE&quot;/&gt;&lt;wsp:rsid wsp:val=&quot;00D84076&quot;/&gt;&lt;wsp:rsid wsp:val=&quot;00D840E7&quot;/&gt;&lt;wsp:rsid wsp:val=&quot;00D84B7C&quot;/&gt;&lt;wsp:rsid wsp:val=&quot;00D84C3D&quot;/&gt;&lt;wsp:rsid wsp:val=&quot;00D857D7&quot;/&gt;&lt;wsp:rsid wsp:val=&quot;00D86B3B&quot;/&gt;&lt;wsp:rsid wsp:val=&quot;00D86BDE&quot;/&gt;&lt;wsp:rsid wsp:val=&quot;00D87322&quot;/&gt;&lt;wsp:rsid wsp:val=&quot;00D87462&quot;/&gt;&lt;wsp:rsid wsp:val=&quot;00D87743&quot;/&gt;&lt;wsp:rsid wsp:val=&quot;00D87AB8&quot;/&gt;&lt;wsp:rsid wsp:val=&quot;00D9049A&quot;/&gt;&lt;wsp:rsid wsp:val=&quot;00D905A0&quot;/&gt;&lt;wsp:rsid wsp:val=&quot;00D909ED&quot;/&gt;&lt;wsp:rsid wsp:val=&quot;00D90C72&quot;/&gt;&lt;wsp:rsid wsp:val=&quot;00D912ED&quot;/&gt;&lt;wsp:rsid wsp:val=&quot;00D9158D&quot;/&gt;&lt;wsp:rsid wsp:val=&quot;00D91CA0&quot;/&gt;&lt;wsp:rsid wsp:val=&quot;00D91F58&quot;/&gt;&lt;wsp:rsid wsp:val=&quot;00D9233A&quot;/&gt;&lt;wsp:rsid wsp:val=&quot;00D92AF2&quot;/&gt;&lt;wsp:rsid wsp:val=&quot;00D92B7F&quot;/&gt;&lt;wsp:rsid wsp:val=&quot;00D93577&quot;/&gt;&lt;wsp:rsid wsp:val=&quot;00D93738&quot;/&gt;&lt;wsp:rsid wsp:val=&quot;00D937A2&quot;/&gt;&lt;wsp:rsid wsp:val=&quot;00D93D73&quot;/&gt;&lt;wsp:rsid wsp:val=&quot;00D93DD9&quot;/&gt;&lt;wsp:rsid wsp:val=&quot;00D93F02&quot;/&gt;&lt;wsp:rsid wsp:val=&quot;00D94020&quot;/&gt;&lt;wsp:rsid wsp:val=&quot;00D9411E&quot;/&gt;&lt;wsp:rsid wsp:val=&quot;00D942FD&quot;/&gt;&lt;wsp:rsid wsp:val=&quot;00D947F6&quot;/&gt;&lt;wsp:rsid wsp:val=&quot;00D94E79&quot;/&gt;&lt;wsp:rsid wsp:val=&quot;00D95526&quot;/&gt;&lt;wsp:rsid wsp:val=&quot;00D960EC&quot;/&gt;&lt;wsp:rsid wsp:val=&quot;00D962CE&quot;/&gt;&lt;wsp:rsid wsp:val=&quot;00D96D8B&quot;/&gt;&lt;wsp:rsid wsp:val=&quot;00D9709A&quot;/&gt;&lt;wsp:rsid wsp:val=&quot;00D97947&quot;/&gt;&lt;wsp:rsid wsp:val=&quot;00DA0465&quot;/&gt;&lt;wsp:rsid wsp:val=&quot;00DA0589&quot;/&gt;&lt;wsp:rsid wsp:val=&quot;00DA08C4&quot;/&gt;&lt;wsp:rsid wsp:val=&quot;00DA0B0B&quot;/&gt;&lt;wsp:rsid wsp:val=&quot;00DA0B9D&quot;/&gt;&lt;wsp:rsid wsp:val=&quot;00DA0D86&quot;/&gt;&lt;wsp:rsid wsp:val=&quot;00DA15BA&quot;/&gt;&lt;wsp:rsid wsp:val=&quot;00DA1B4C&quot;/&gt;&lt;wsp:rsid wsp:val=&quot;00DA21C0&quot;/&gt;&lt;wsp:rsid wsp:val=&quot;00DA2532&quot;/&gt;&lt;wsp:rsid wsp:val=&quot;00DA2A0A&quot;/&gt;&lt;wsp:rsid wsp:val=&quot;00DA2B31&quot;/&gt;&lt;wsp:rsid wsp:val=&quot;00DA2BD2&quot;/&gt;&lt;wsp:rsid wsp:val=&quot;00DA31B0&quot;/&gt;&lt;wsp:rsid wsp:val=&quot;00DA3924&quot;/&gt;&lt;wsp:rsid wsp:val=&quot;00DA3F61&quot;/&gt;&lt;wsp:rsid wsp:val=&quot;00DA4707&quot;/&gt;&lt;wsp:rsid wsp:val=&quot;00DA5406&quot;/&gt;&lt;wsp:rsid wsp:val=&quot;00DA5410&quot;/&gt;&lt;wsp:rsid wsp:val=&quot;00DA5558&quot;/&gt;&lt;wsp:rsid wsp:val=&quot;00DA5AB8&quot;/&gt;&lt;wsp:rsid wsp:val=&quot;00DA6261&quot;/&gt;&lt;wsp:rsid wsp:val=&quot;00DA68B8&quot;/&gt;&lt;wsp:rsid wsp:val=&quot;00DA69EE&quot;/&gt;&lt;wsp:rsid wsp:val=&quot;00DA6AE3&quot;/&gt;&lt;wsp:rsid wsp:val=&quot;00DA6E8E&quot;/&gt;&lt;wsp:rsid wsp:val=&quot;00DA6EAA&quot;/&gt;&lt;wsp:rsid wsp:val=&quot;00DA6F9E&quot;/&gt;&lt;wsp:rsid wsp:val=&quot;00DA7288&quot;/&gt;&lt;wsp:rsid wsp:val=&quot;00DA77BE&quot;/&gt;&lt;wsp:rsid wsp:val=&quot;00DA7CBB&quot;/&gt;&lt;wsp:rsid wsp:val=&quot;00DA7CE8&quot;/&gt;&lt;wsp:rsid wsp:val=&quot;00DA7F4B&quot;/&gt;&lt;wsp:rsid wsp:val=&quot;00DB005C&quot;/&gt;&lt;wsp:rsid wsp:val=&quot;00DB0578&quot;/&gt;&lt;wsp:rsid wsp:val=&quot;00DB060E&quot;/&gt;&lt;wsp:rsid wsp:val=&quot;00DB0832&quot;/&gt;&lt;wsp:rsid wsp:val=&quot;00DB0DEB&quot;/&gt;&lt;wsp:rsid wsp:val=&quot;00DB0FD2&quot;/&gt;&lt;wsp:rsid wsp:val=&quot;00DB1048&quot;/&gt;&lt;wsp:rsid wsp:val=&quot;00DB1668&quot;/&gt;&lt;wsp:rsid wsp:val=&quot;00DB1AE8&quot;/&gt;&lt;wsp:rsid wsp:val=&quot;00DB1CEB&quot;/&gt;&lt;wsp:rsid wsp:val=&quot;00DB1D70&quot;/&gt;&lt;wsp:rsid wsp:val=&quot;00DB2583&quot;/&gt;&lt;wsp:rsid wsp:val=&quot;00DB2BD2&quot;/&gt;&lt;wsp:rsid wsp:val=&quot;00DB30ED&quot;/&gt;&lt;wsp:rsid wsp:val=&quot;00DB3127&quot;/&gt;&lt;wsp:rsid wsp:val=&quot;00DB3438&quot;/&gt;&lt;wsp:rsid wsp:val=&quot;00DB3C41&quot;/&gt;&lt;wsp:rsid wsp:val=&quot;00DB465F&quot;/&gt;&lt;wsp:rsid wsp:val=&quot;00DB6691&quot;/&gt;&lt;wsp:rsid wsp:val=&quot;00DB67AB&quot;/&gt;&lt;wsp:rsid wsp:val=&quot;00DB69B5&quot;/&gt;&lt;wsp:rsid wsp:val=&quot;00DB78F5&quot;/&gt;&lt;wsp:rsid wsp:val=&quot;00DC02B2&quot;/&gt;&lt;wsp:rsid wsp:val=&quot;00DC041C&quot;/&gt;&lt;wsp:rsid wsp:val=&quot;00DC089F&quot;/&gt;&lt;wsp:rsid wsp:val=&quot;00DC0F12&quot;/&gt;&lt;wsp:rsid wsp:val=&quot;00DC11A9&quot;/&gt;&lt;wsp:rsid wsp:val=&quot;00DC14D0&quot;/&gt;&lt;wsp:rsid wsp:val=&quot;00DC1DA6&quot;/&gt;&lt;wsp:rsid wsp:val=&quot;00DC24EC&quot;/&gt;&lt;wsp:rsid wsp:val=&quot;00DC263D&quot;/&gt;&lt;wsp:rsid wsp:val=&quot;00DC39B2&quot;/&gt;&lt;wsp:rsid wsp:val=&quot;00DC4252&quot;/&gt;&lt;wsp:rsid wsp:val=&quot;00DC4316&quot;/&gt;&lt;wsp:rsid wsp:val=&quot;00DC463A&quot;/&gt;&lt;wsp:rsid wsp:val=&quot;00DC47AE&quot;/&gt;&lt;wsp:rsid wsp:val=&quot;00DC4946&quot;/&gt;&lt;wsp:rsid wsp:val=&quot;00DC4EFD&quot;/&gt;&lt;wsp:rsid wsp:val=&quot;00DC59C9&quot;/&gt;&lt;wsp:rsid wsp:val=&quot;00DC6543&quot;/&gt;&lt;wsp:rsid wsp:val=&quot;00DC65B5&quot;/&gt;&lt;wsp:rsid wsp:val=&quot;00DC6941&quot;/&gt;&lt;wsp:rsid wsp:val=&quot;00DC6E5A&quot;/&gt;&lt;wsp:rsid wsp:val=&quot;00DC7885&quot;/&gt;&lt;wsp:rsid wsp:val=&quot;00DC78C4&quot;/&gt;&lt;wsp:rsid wsp:val=&quot;00DC7B6F&quot;/&gt;&lt;wsp:rsid wsp:val=&quot;00DD0246&quot;/&gt;&lt;wsp:rsid wsp:val=&quot;00DD0A70&quot;/&gt;&lt;wsp:rsid wsp:val=&quot;00DD0E58&quot;/&gt;&lt;wsp:rsid wsp:val=&quot;00DD1711&quot;/&gt;&lt;wsp:rsid wsp:val=&quot;00DD18E3&quot;/&gt;&lt;wsp:rsid wsp:val=&quot;00DD21F6&quot;/&gt;&lt;wsp:rsid wsp:val=&quot;00DD237A&quot;/&gt;&lt;wsp:rsid wsp:val=&quot;00DD25EE&quot;/&gt;&lt;wsp:rsid wsp:val=&quot;00DD2628&quot;/&gt;&lt;wsp:rsid wsp:val=&quot;00DD2795&quot;/&gt;&lt;wsp:rsid wsp:val=&quot;00DD2B5A&quot;/&gt;&lt;wsp:rsid wsp:val=&quot;00DD2BE0&quot;/&gt;&lt;wsp:rsid wsp:val=&quot;00DD2ED4&quot;/&gt;&lt;wsp:rsid wsp:val=&quot;00DD3337&quot;/&gt;&lt;wsp:rsid wsp:val=&quot;00DD460B&quot;/&gt;&lt;wsp:rsid wsp:val=&quot;00DD4684&quot;/&gt;&lt;wsp:rsid wsp:val=&quot;00DD493C&quot;/&gt;&lt;wsp:rsid wsp:val=&quot;00DD4A1A&quot;/&gt;&lt;wsp:rsid wsp:val=&quot;00DD4CC6&quot;/&gt;&lt;wsp:rsid wsp:val=&quot;00DD50A5&quot;/&gt;&lt;wsp:rsid wsp:val=&quot;00DD52CD&quot;/&gt;&lt;wsp:rsid wsp:val=&quot;00DD5454&quot;/&gt;&lt;wsp:rsid wsp:val=&quot;00DD58E5&quot;/&gt;&lt;wsp:rsid wsp:val=&quot;00DD5A0D&quot;/&gt;&lt;wsp:rsid wsp:val=&quot;00DD5FA7&quot;/&gt;&lt;wsp:rsid wsp:val=&quot;00DD60FC&quot;/&gt;&lt;wsp:rsid wsp:val=&quot;00DD6432&quot;/&gt;&lt;wsp:rsid wsp:val=&quot;00DD6C05&quot;/&gt;&lt;wsp:rsid wsp:val=&quot;00DD792A&quot;/&gt;&lt;wsp:rsid wsp:val=&quot;00DE0252&quot;/&gt;&lt;wsp:rsid wsp:val=&quot;00DE0711&quot;/&gt;&lt;wsp:rsid wsp:val=&quot;00DE0ECD&quot;/&gt;&lt;wsp:rsid wsp:val=&quot;00DE129C&quot;/&gt;&lt;wsp:rsid wsp:val=&quot;00DE14DE&quot;/&gt;&lt;wsp:rsid wsp:val=&quot;00DE1638&quot;/&gt;&lt;wsp:rsid wsp:val=&quot;00DE1699&quot;/&gt;&lt;wsp:rsid wsp:val=&quot;00DE1880&quot;/&gt;&lt;wsp:rsid wsp:val=&quot;00DE1935&quot;/&gt;&lt;wsp:rsid wsp:val=&quot;00DE1BE4&quot;/&gt;&lt;wsp:rsid wsp:val=&quot;00DE2B0D&quot;/&gt;&lt;wsp:rsid wsp:val=&quot;00DE2D43&quot;/&gt;&lt;wsp:rsid wsp:val=&quot;00DE377A&quot;/&gt;&lt;wsp:rsid wsp:val=&quot;00DE4271&quot;/&gt;&lt;wsp:rsid wsp:val=&quot;00DE453F&quot;/&gt;&lt;wsp:rsid wsp:val=&quot;00DE4590&quot;/&gt;&lt;wsp:rsid wsp:val=&quot;00DE45B5&quot;/&gt;&lt;wsp:rsid wsp:val=&quot;00DE4632&quot;/&gt;&lt;wsp:rsid wsp:val=&quot;00DE4A0E&quot;/&gt;&lt;wsp:rsid wsp:val=&quot;00DE4B59&quot;/&gt;&lt;wsp:rsid wsp:val=&quot;00DE4F72&quot;/&gt;&lt;wsp:rsid wsp:val=&quot;00DE5037&quot;/&gt;&lt;wsp:rsid wsp:val=&quot;00DE5287&quot;/&gt;&lt;wsp:rsid wsp:val=&quot;00DE55C6&quot;/&gt;&lt;wsp:rsid wsp:val=&quot;00DE6070&quot;/&gt;&lt;wsp:rsid wsp:val=&quot;00DE6142&quot;/&gt;&lt;wsp:rsid wsp:val=&quot;00DE6790&quot;/&gt;&lt;wsp:rsid wsp:val=&quot;00DE69E3&quot;/&gt;&lt;wsp:rsid wsp:val=&quot;00DE6FA7&quot;/&gt;&lt;wsp:rsid wsp:val=&quot;00DE731E&quot;/&gt;&lt;wsp:rsid wsp:val=&quot;00DE769F&quot;/&gt;&lt;wsp:rsid wsp:val=&quot;00DE7701&quot;/&gt;&lt;wsp:rsid wsp:val=&quot;00DE7726&quot;/&gt;&lt;wsp:rsid wsp:val=&quot;00DE793B&quot;/&gt;&lt;wsp:rsid wsp:val=&quot;00DE7CB7&quot;/&gt;&lt;wsp:rsid wsp:val=&quot;00DE7E7D&quot;/&gt;&lt;wsp:rsid wsp:val=&quot;00DF03D5&quot;/&gt;&lt;wsp:rsid wsp:val=&quot;00DF059A&quot;/&gt;&lt;wsp:rsid wsp:val=&quot;00DF06C5&quot;/&gt;&lt;wsp:rsid wsp:val=&quot;00DF0738&quot;/&gt;&lt;wsp:rsid wsp:val=&quot;00DF0866&quot;/&gt;&lt;wsp:rsid wsp:val=&quot;00DF0BF6&quot;/&gt;&lt;wsp:rsid wsp:val=&quot;00DF0CFC&quot;/&gt;&lt;wsp:rsid wsp:val=&quot;00DF10B1&quot;/&gt;&lt;wsp:rsid wsp:val=&quot;00DF1A2A&quot;/&gt;&lt;wsp:rsid wsp:val=&quot;00DF22D9&quot;/&gt;&lt;wsp:rsid wsp:val=&quot;00DF2339&quot;/&gt;&lt;wsp:rsid wsp:val=&quot;00DF25E9&quot;/&gt;&lt;wsp:rsid wsp:val=&quot;00DF2C22&quot;/&gt;&lt;wsp:rsid wsp:val=&quot;00DF3226&quot;/&gt;&lt;wsp:rsid wsp:val=&quot;00DF3536&quot;/&gt;&lt;wsp:rsid wsp:val=&quot;00DF36D5&quot;/&gt;&lt;wsp:rsid wsp:val=&quot;00DF3B61&quot;/&gt;&lt;wsp:rsid wsp:val=&quot;00DF4113&quot;/&gt;&lt;wsp:rsid wsp:val=&quot;00DF4CA4&quot;/&gt;&lt;wsp:rsid wsp:val=&quot;00DF57D2&quot;/&gt;&lt;wsp:rsid wsp:val=&quot;00DF5A1B&quot;/&gt;&lt;wsp:rsid wsp:val=&quot;00DF61CC&quot;/&gt;&lt;wsp:rsid wsp:val=&quot;00DF684E&quot;/&gt;&lt;wsp:rsid wsp:val=&quot;00DF6CE4&quot;/&gt;&lt;wsp:rsid wsp:val=&quot;00DF7481&quot;/&gt;&lt;wsp:rsid wsp:val=&quot;00DF7F0C&quot;/&gt;&lt;wsp:rsid wsp:val=&quot;00DF7FBC&quot;/&gt;&lt;wsp:rsid wsp:val=&quot;00E000AC&quot;/&gt;&lt;wsp:rsid wsp:val=&quot;00E00296&quot;/&gt;&lt;wsp:rsid wsp:val=&quot;00E00326&quot;/&gt;&lt;wsp:rsid wsp:val=&quot;00E003FA&quot;/&gt;&lt;wsp:rsid wsp:val=&quot;00E00AD1&quot;/&gt;&lt;wsp:rsid wsp:val=&quot;00E01358&quot;/&gt;&lt;wsp:rsid wsp:val=&quot;00E013E0&quot;/&gt;&lt;wsp:rsid wsp:val=&quot;00E014AA&quot;/&gt;&lt;wsp:rsid wsp:val=&quot;00E016C7&quot;/&gt;&lt;wsp:rsid wsp:val=&quot;00E017DA&quot;/&gt;&lt;wsp:rsid wsp:val=&quot;00E01837&quot;/&gt;&lt;wsp:rsid wsp:val=&quot;00E01A1A&quot;/&gt;&lt;wsp:rsid wsp:val=&quot;00E01B5C&quot;/&gt;&lt;wsp:rsid wsp:val=&quot;00E01BA4&quot;/&gt;&lt;wsp:rsid wsp:val=&quot;00E01F11&quot;/&gt;&lt;wsp:rsid wsp:val=&quot;00E02121&quot;/&gt;&lt;wsp:rsid wsp:val=&quot;00E02153&quot;/&gt;&lt;wsp:rsid wsp:val=&quot;00E029D5&quot;/&gt;&lt;wsp:rsid wsp:val=&quot;00E02BB8&quot;/&gt;&lt;wsp:rsid wsp:val=&quot;00E03356&quot;/&gt;&lt;wsp:rsid wsp:val=&quot;00E0339B&quot;/&gt;&lt;wsp:rsid wsp:val=&quot;00E035ED&quot;/&gt;&lt;wsp:rsid wsp:val=&quot;00E03944&quot;/&gt;&lt;wsp:rsid wsp:val=&quot;00E04022&quot;/&gt;&lt;wsp:rsid wsp:val=&quot;00E04406&quot;/&gt;&lt;wsp:rsid wsp:val=&quot;00E04C8F&quot;/&gt;&lt;wsp:rsid wsp:val=&quot;00E04DA3&quot;/&gt;&lt;wsp:rsid wsp:val=&quot;00E04F1C&quot;/&gt;&lt;wsp:rsid wsp:val=&quot;00E05235&quot;/&gt;&lt;wsp:rsid wsp:val=&quot;00E0537A&quot;/&gt;&lt;wsp:rsid wsp:val=&quot;00E05752&quot;/&gt;&lt;wsp:rsid wsp:val=&quot;00E05DC2&quot;/&gt;&lt;wsp:rsid wsp:val=&quot;00E05DEA&quot;/&gt;&lt;wsp:rsid wsp:val=&quot;00E065EB&quot;/&gt;&lt;wsp:rsid wsp:val=&quot;00E06C4B&quot;/&gt;&lt;wsp:rsid wsp:val=&quot;00E0724D&quot;/&gt;&lt;wsp:rsid wsp:val=&quot;00E07389&quot;/&gt;&lt;wsp:rsid wsp:val=&quot;00E07FA8&quot;/&gt;&lt;wsp:rsid wsp:val=&quot;00E10170&quot;/&gt;&lt;wsp:rsid wsp:val=&quot;00E10530&quot;/&gt;&lt;wsp:rsid wsp:val=&quot;00E108BD&quot;/&gt;&lt;wsp:rsid wsp:val=&quot;00E111FB&quot;/&gt;&lt;wsp:rsid wsp:val=&quot;00E115E7&quot;/&gt;&lt;wsp:rsid wsp:val=&quot;00E11D72&quot;/&gt;&lt;wsp:rsid wsp:val=&quot;00E1214E&quot;/&gt;&lt;wsp:rsid wsp:val=&quot;00E12291&quot;/&gt;&lt;wsp:rsid wsp:val=&quot;00E12547&quot;/&gt;&lt;wsp:rsid wsp:val=&quot;00E12A62&quot;/&gt;&lt;wsp:rsid wsp:val=&quot;00E131DA&quot;/&gt;&lt;wsp:rsid wsp:val=&quot;00E134FC&quot;/&gt;&lt;wsp:rsid wsp:val=&quot;00E139C4&quot;/&gt;&lt;wsp:rsid wsp:val=&quot;00E13C4D&quot;/&gt;&lt;wsp:rsid wsp:val=&quot;00E13E18&quot;/&gt;&lt;wsp:rsid wsp:val=&quot;00E13EC2&quot;/&gt;&lt;wsp:rsid wsp:val=&quot;00E13F22&quot;/&gt;&lt;wsp:rsid wsp:val=&quot;00E14349&quot;/&gt;&lt;wsp:rsid wsp:val=&quot;00E148DC&quot;/&gt;&lt;wsp:rsid wsp:val=&quot;00E1499B&quot;/&gt;&lt;wsp:rsid wsp:val=&quot;00E14A7A&quot;/&gt;&lt;wsp:rsid wsp:val=&quot;00E14DD7&quot;/&gt;&lt;wsp:rsid wsp:val=&quot;00E152F0&quot;/&gt;&lt;wsp:rsid wsp:val=&quot;00E153EE&quot;/&gt;&lt;wsp:rsid wsp:val=&quot;00E15854&quot;/&gt;&lt;wsp:rsid wsp:val=&quot;00E158AD&quot;/&gt;&lt;wsp:rsid wsp:val=&quot;00E15C89&quot;/&gt;&lt;wsp:rsid wsp:val=&quot;00E15E86&quot;/&gt;&lt;wsp:rsid wsp:val=&quot;00E167C8&quot;/&gt;&lt;wsp:rsid wsp:val=&quot;00E170EE&quot;/&gt;&lt;wsp:rsid wsp:val=&quot;00E17348&quot;/&gt;&lt;wsp:rsid wsp:val=&quot;00E17707&quot;/&gt;&lt;wsp:rsid wsp:val=&quot;00E177B0&quot;/&gt;&lt;wsp:rsid wsp:val=&quot;00E17B2F&quot;/&gt;&lt;wsp:rsid wsp:val=&quot;00E17E86&quot;/&gt;&lt;wsp:rsid wsp:val=&quot;00E17F53&quot;/&gt;&lt;wsp:rsid wsp:val=&quot;00E20277&quot;/&gt;&lt;wsp:rsid wsp:val=&quot;00E20361&quot;/&gt;&lt;wsp:rsid wsp:val=&quot;00E2049C&quot;/&gt;&lt;wsp:rsid wsp:val=&quot;00E20B8A&quot;/&gt;&lt;wsp:rsid wsp:val=&quot;00E20DDE&quot;/&gt;&lt;wsp:rsid wsp:val=&quot;00E2172A&quot;/&gt;&lt;wsp:rsid wsp:val=&quot;00E22E03&quot;/&gt;&lt;wsp:rsid wsp:val=&quot;00E22EE2&quot;/&gt;&lt;wsp:rsid wsp:val=&quot;00E2317F&quot;/&gt;&lt;wsp:rsid wsp:val=&quot;00E23740&quot;/&gt;&lt;wsp:rsid wsp:val=&quot;00E23ACC&quot;/&gt;&lt;wsp:rsid wsp:val=&quot;00E23FF4&quot;/&gt;&lt;wsp:rsid wsp:val=&quot;00E24791&quot;/&gt;&lt;wsp:rsid wsp:val=&quot;00E2486E&quot;/&gt;&lt;wsp:rsid wsp:val=&quot;00E24EB7&quot;/&gt;&lt;wsp:rsid wsp:val=&quot;00E25290&quot;/&gt;&lt;wsp:rsid wsp:val=&quot;00E25665&quot;/&gt;&lt;wsp:rsid wsp:val=&quot;00E25A4E&quot;/&gt;&lt;wsp:rsid wsp:val=&quot;00E25AC2&quot;/&gt;&lt;wsp:rsid wsp:val=&quot;00E25EFA&quot;/&gt;&lt;wsp:rsid wsp:val=&quot;00E265A7&quot;/&gt;&lt;wsp:rsid wsp:val=&quot;00E26A18&quot;/&gt;&lt;wsp:rsid wsp:val=&quot;00E2716F&quot;/&gt;&lt;wsp:rsid wsp:val=&quot;00E271E8&quot;/&gt;&lt;wsp:rsid wsp:val=&quot;00E2722E&quot;/&gt;&lt;wsp:rsid wsp:val=&quot;00E27A00&quot;/&gt;&lt;wsp:rsid wsp:val=&quot;00E27AC6&quot;/&gt;&lt;wsp:rsid wsp:val=&quot;00E27DB6&quot;/&gt;&lt;wsp:rsid wsp:val=&quot;00E27E76&quot;/&gt;&lt;wsp:rsid wsp:val=&quot;00E27EF7&quot;/&gt;&lt;wsp:rsid wsp:val=&quot;00E30DEE&quot;/&gt;&lt;wsp:rsid wsp:val=&quot;00E30F4B&quot;/&gt;&lt;wsp:rsid wsp:val=&quot;00E310DA&quot;/&gt;&lt;wsp:rsid wsp:val=&quot;00E31501&quot;/&gt;&lt;wsp:rsid wsp:val=&quot;00E31666&quot;/&gt;&lt;wsp:rsid wsp:val=&quot;00E31949&quot;/&gt;&lt;wsp:rsid wsp:val=&quot;00E320B7&quot;/&gt;&lt;wsp:rsid wsp:val=&quot;00E32765&quot;/&gt;&lt;wsp:rsid wsp:val=&quot;00E32AFE&quot;/&gt;&lt;wsp:rsid wsp:val=&quot;00E32C4E&quot;/&gt;&lt;wsp:rsid wsp:val=&quot;00E330E8&quot;/&gt;&lt;wsp:rsid wsp:val=&quot;00E33506&quot;/&gt;&lt;wsp:rsid wsp:val=&quot;00E33ECA&quot;/&gt;&lt;wsp:rsid wsp:val=&quot;00E340AC&quot;/&gt;&lt;wsp:rsid wsp:val=&quot;00E3428A&quot;/&gt;&lt;wsp:rsid wsp:val=&quot;00E34FC5&quot;/&gt;&lt;wsp:rsid wsp:val=&quot;00E35AA6&quot;/&gt;&lt;wsp:rsid wsp:val=&quot;00E35C89&quot;/&gt;&lt;wsp:rsid wsp:val=&quot;00E36195&quot;/&gt;&lt;wsp:rsid wsp:val=&quot;00E363B3&quot;/&gt;&lt;wsp:rsid wsp:val=&quot;00E36450&quot;/&gt;&lt;wsp:rsid wsp:val=&quot;00E36BF6&quot;/&gt;&lt;wsp:rsid wsp:val=&quot;00E3755E&quot;/&gt;&lt;wsp:rsid wsp:val=&quot;00E37CCC&quot;/&gt;&lt;wsp:rsid wsp:val=&quot;00E40058&quot;/&gt;&lt;wsp:rsid wsp:val=&quot;00E402A3&quot;/&gt;&lt;wsp:rsid wsp:val=&quot;00E407A2&quot;/&gt;&lt;wsp:rsid wsp:val=&quot;00E409C4&quot;/&gt;&lt;wsp:rsid wsp:val=&quot;00E40DE1&quot;/&gt;&lt;wsp:rsid wsp:val=&quot;00E40E96&quot;/&gt;&lt;wsp:rsid wsp:val=&quot;00E4126C&quot;/&gt;&lt;wsp:rsid wsp:val=&quot;00E412D5&quot;/&gt;&lt;wsp:rsid wsp:val=&quot;00E41BA4&quot;/&gt;&lt;wsp:rsid wsp:val=&quot;00E42410&quot;/&gt;&lt;wsp:rsid wsp:val=&quot;00E428F3&quot;/&gt;&lt;wsp:rsid wsp:val=&quot;00E429BA&quot;/&gt;&lt;wsp:rsid wsp:val=&quot;00E42CFD&quot;/&gt;&lt;wsp:rsid wsp:val=&quot;00E42D9E&quot;/&gt;&lt;wsp:rsid wsp:val=&quot;00E434F7&quot;/&gt;&lt;wsp:rsid wsp:val=&quot;00E43804&quot;/&gt;&lt;wsp:rsid wsp:val=&quot;00E43B35&quot;/&gt;&lt;wsp:rsid wsp:val=&quot;00E44441&quot;/&gt;&lt;wsp:rsid wsp:val=&quot;00E44C4F&quot;/&gt;&lt;wsp:rsid wsp:val=&quot;00E455BF&quot;/&gt;&lt;wsp:rsid wsp:val=&quot;00E45650&quot;/&gt;&lt;wsp:rsid wsp:val=&quot;00E45B1D&quot;/&gt;&lt;wsp:rsid wsp:val=&quot;00E4636D&quot;/&gt;&lt;wsp:rsid wsp:val=&quot;00E46569&quot;/&gt;&lt;wsp:rsid wsp:val=&quot;00E471B0&quot;/&gt;&lt;wsp:rsid wsp:val=&quot;00E474CD&quot;/&gt;&lt;wsp:rsid wsp:val=&quot;00E47A9E&quot;/&gt;&lt;wsp:rsid wsp:val=&quot;00E50592&quot;/&gt;&lt;wsp:rsid wsp:val=&quot;00E5087A&quot;/&gt;&lt;wsp:rsid wsp:val=&quot;00E50B5B&quot;/&gt;&lt;wsp:rsid wsp:val=&quot;00E51E77&quot;/&gt;&lt;wsp:rsid wsp:val=&quot;00E521B4&quot;/&gt;&lt;wsp:rsid wsp:val=&quot;00E521CA&quot;/&gt;&lt;wsp:rsid wsp:val=&quot;00E52628&quot;/&gt;&lt;wsp:rsid wsp:val=&quot;00E5274E&quot;/&gt;&lt;wsp:rsid wsp:val=&quot;00E530CA&quot;/&gt;&lt;wsp:rsid wsp:val=&quot;00E534EE&quot;/&gt;&lt;wsp:rsid wsp:val=&quot;00E538E5&quot;/&gt;&lt;wsp:rsid wsp:val=&quot;00E540B7&quot;/&gt;&lt;wsp:rsid wsp:val=&quot;00E54470&quot;/&gt;&lt;wsp:rsid wsp:val=&quot;00E5499E&quot;/&gt;&lt;wsp:rsid wsp:val=&quot;00E553BC&quot;/&gt;&lt;wsp:rsid wsp:val=&quot;00E556B0&quot;/&gt;&lt;wsp:rsid wsp:val=&quot;00E56529&quot;/&gt;&lt;wsp:rsid wsp:val=&quot;00E56602&quot;/&gt;&lt;wsp:rsid wsp:val=&quot;00E566F6&quot;/&gt;&lt;wsp:rsid wsp:val=&quot;00E5718E&quot;/&gt;&lt;wsp:rsid wsp:val=&quot;00E5747A&quot;/&gt;&lt;wsp:rsid wsp:val=&quot;00E577EB&quot;/&gt;&lt;wsp:rsid wsp:val=&quot;00E57D4C&quot;/&gt;&lt;wsp:rsid wsp:val=&quot;00E57EA9&quot;/&gt;&lt;wsp:rsid wsp:val=&quot;00E6000D&quot;/&gt;&lt;wsp:rsid wsp:val=&quot;00E602AE&quot;/&gt;&lt;wsp:rsid wsp:val=&quot;00E60B02&quot;/&gt;&lt;wsp:rsid wsp:val=&quot;00E60BC6&quot;/&gt;&lt;wsp:rsid wsp:val=&quot;00E6152C&quot;/&gt;&lt;wsp:rsid wsp:val=&quot;00E615CC&quot;/&gt;&lt;wsp:rsid wsp:val=&quot;00E61643&quot;/&gt;&lt;wsp:rsid wsp:val=&quot;00E61B64&quot;/&gt;&lt;wsp:rsid wsp:val=&quot;00E61DA2&quot;/&gt;&lt;wsp:rsid wsp:val=&quot;00E61FF7&quot;/&gt;&lt;wsp:rsid wsp:val=&quot;00E620A4&quot;/&gt;&lt;wsp:rsid wsp:val=&quot;00E62378&quot;/&gt;&lt;wsp:rsid wsp:val=&quot;00E62D08&quot;/&gt;&lt;wsp:rsid wsp:val=&quot;00E6342E&quot;/&gt;&lt;wsp:rsid wsp:val=&quot;00E634D7&quot;/&gt;&lt;wsp:rsid wsp:val=&quot;00E63888&quot;/&gt;&lt;wsp:rsid wsp:val=&quot;00E63A78&quot;/&gt;&lt;wsp:rsid wsp:val=&quot;00E64490&quot;/&gt;&lt;wsp:rsid wsp:val=&quot;00E648BC&quot;/&gt;&lt;wsp:rsid wsp:val=&quot;00E64F05&quot;/&gt;&lt;wsp:rsid wsp:val=&quot;00E6559F&quot;/&gt;&lt;wsp:rsid wsp:val=&quot;00E6597C&quot;/&gt;&lt;wsp:rsid wsp:val=&quot;00E65BD5&quot;/&gt;&lt;wsp:rsid wsp:val=&quot;00E666F7&quot;/&gt;&lt;wsp:rsid wsp:val=&quot;00E66817&quot;/&gt;&lt;wsp:rsid wsp:val=&quot;00E66B3B&quot;/&gt;&lt;wsp:rsid wsp:val=&quot;00E66C80&quot;/&gt;&lt;wsp:rsid wsp:val=&quot;00E66FCC&quot;/&gt;&lt;wsp:rsid wsp:val=&quot;00E6726C&quot;/&gt;&lt;wsp:rsid wsp:val=&quot;00E67305&quot;/&gt;&lt;wsp:rsid wsp:val=&quot;00E676E8&quot;/&gt;&lt;wsp:rsid wsp:val=&quot;00E67CFC&quot;/&gt;&lt;wsp:rsid wsp:val=&quot;00E67DE8&quot;/&gt;&lt;wsp:rsid wsp:val=&quot;00E67E17&quot;/&gt;&lt;wsp:rsid wsp:val=&quot;00E709FC&quot;/&gt;&lt;wsp:rsid wsp:val=&quot;00E70D65&quot;/&gt;&lt;wsp:rsid wsp:val=&quot;00E71116&quot;/&gt;&lt;wsp:rsid wsp:val=&quot;00E71C10&quot;/&gt;&lt;wsp:rsid wsp:val=&quot;00E72584&quot;/&gt;&lt;wsp:rsid wsp:val=&quot;00E727F7&quot;/&gt;&lt;wsp:rsid wsp:val=&quot;00E72C49&quot;/&gt;&lt;wsp:rsid wsp:val=&quot;00E72FC1&quot;/&gt;&lt;wsp:rsid wsp:val=&quot;00E73299&quot;/&gt;&lt;wsp:rsid wsp:val=&quot;00E73403&quot;/&gt;&lt;wsp:rsid wsp:val=&quot;00E735EB&quot;/&gt;&lt;wsp:rsid wsp:val=&quot;00E7375C&quot;/&gt;&lt;wsp:rsid wsp:val=&quot;00E737BA&quot;/&gt;&lt;wsp:rsid wsp:val=&quot;00E742CC&quot;/&gt;&lt;wsp:rsid wsp:val=&quot;00E758CF&quot;/&gt;&lt;wsp:rsid wsp:val=&quot;00E765B3&quot;/&gt;&lt;wsp:rsid wsp:val=&quot;00E76BE7&quot;/&gt;&lt;wsp:rsid wsp:val=&quot;00E76F87&quot;/&gt;&lt;wsp:rsid wsp:val=&quot;00E771D2&quot;/&gt;&lt;wsp:rsid wsp:val=&quot;00E77392&quot;/&gt;&lt;wsp:rsid wsp:val=&quot;00E77887&quot;/&gt;&lt;wsp:rsid wsp:val=&quot;00E77BA9&quot;/&gt;&lt;wsp:rsid wsp:val=&quot;00E77DB6&quot;/&gt;&lt;wsp:rsid wsp:val=&quot;00E77E9E&quot;/&gt;&lt;wsp:rsid wsp:val=&quot;00E77EA6&quot;/&gt;&lt;wsp:rsid wsp:val=&quot;00E82093&quot;/&gt;&lt;wsp:rsid wsp:val=&quot;00E82B78&quot;/&gt;&lt;wsp:rsid wsp:val=&quot;00E82DF6&quot;/&gt;&lt;wsp:rsid wsp:val=&quot;00E830E9&quot;/&gt;&lt;wsp:rsid wsp:val=&quot;00E83291&quot;/&gt;&lt;wsp:rsid wsp:val=&quot;00E84403&quot;/&gt;&lt;wsp:rsid wsp:val=&quot;00E84B2F&quot;/&gt;&lt;wsp:rsid wsp:val=&quot;00E84E72&quot;/&gt;&lt;wsp:rsid wsp:val=&quot;00E8503F&quot;/&gt;&lt;wsp:rsid wsp:val=&quot;00E85056&quot;/&gt;&lt;wsp:rsid wsp:val=&quot;00E855B7&quot;/&gt;&lt;wsp:rsid wsp:val=&quot;00E85A7E&quot;/&gt;&lt;wsp:rsid wsp:val=&quot;00E85EA8&quot;/&gt;&lt;wsp:rsid wsp:val=&quot;00E86976&quot;/&gt;&lt;wsp:rsid wsp:val=&quot;00E86E83&quot;/&gt;&lt;wsp:rsid wsp:val=&quot;00E86F0F&quot;/&gt;&lt;wsp:rsid wsp:val=&quot;00E87147&quot;/&gt;&lt;wsp:rsid wsp:val=&quot;00E87224&quot;/&gt;&lt;wsp:rsid wsp:val=&quot;00E87562&quot;/&gt;&lt;wsp:rsid wsp:val=&quot;00E875DC&quot;/&gt;&lt;wsp:rsid wsp:val=&quot;00E87610&quot;/&gt;&lt;wsp:rsid wsp:val=&quot;00E87F4F&quot;/&gt;&lt;wsp:rsid wsp:val=&quot;00E908A9&quot;/&gt;&lt;wsp:rsid wsp:val=&quot;00E90A0E&quot;/&gt;&lt;wsp:rsid wsp:val=&quot;00E90D5D&quot;/&gt;&lt;wsp:rsid wsp:val=&quot;00E90EE9&quot;/&gt;&lt;wsp:rsid wsp:val=&quot;00E9186D&quot;/&gt;&lt;wsp:rsid wsp:val=&quot;00E91C84&quot;/&gt;&lt;wsp:rsid wsp:val=&quot;00E91CFE&quot;/&gt;&lt;wsp:rsid wsp:val=&quot;00E91F54&quot;/&gt;&lt;wsp:rsid wsp:val=&quot;00E9227E&quot;/&gt;&lt;wsp:rsid wsp:val=&quot;00E92678&quot;/&gt;&lt;wsp:rsid wsp:val=&quot;00E928D2&quot;/&gt;&lt;wsp:rsid wsp:val=&quot;00E92A87&quot;/&gt;&lt;wsp:rsid wsp:val=&quot;00E93F31&quot;/&gt;&lt;wsp:rsid wsp:val=&quot;00E94090&quot;/&gt;&lt;wsp:rsid wsp:val=&quot;00E944CF&quot;/&gt;&lt;wsp:rsid wsp:val=&quot;00E94A17&quot;/&gt;&lt;wsp:rsid wsp:val=&quot;00E94A76&quot;/&gt;&lt;wsp:rsid wsp:val=&quot;00E95684&quot;/&gt;&lt;wsp:rsid wsp:val=&quot;00E963FE&quot;/&gt;&lt;wsp:rsid wsp:val=&quot;00E96CA8&quot;/&gt;&lt;wsp:rsid wsp:val=&quot;00E96D46&quot;/&gt;&lt;wsp:rsid wsp:val=&quot;00E96D63&quot;/&gt;&lt;wsp:rsid wsp:val=&quot;00E96EF3&quot;/&gt;&lt;wsp:rsid wsp:val=&quot;00E9740A&quot;/&gt;&lt;wsp:rsid wsp:val=&quot;00E97486&quot;/&gt;&lt;wsp:rsid wsp:val=&quot;00E9781E&quot;/&gt;&lt;wsp:rsid wsp:val=&quot;00E97A65&quot;/&gt;&lt;wsp:rsid wsp:val=&quot;00EA1304&quot;/&gt;&lt;wsp:rsid wsp:val=&quot;00EA16B4&quot;/&gt;&lt;wsp:rsid wsp:val=&quot;00EA1817&quot;/&gt;&lt;wsp:rsid wsp:val=&quot;00EA2141&quot;/&gt;&lt;wsp:rsid wsp:val=&quot;00EA2C52&quot;/&gt;&lt;wsp:rsid wsp:val=&quot;00EA2E5C&quot;/&gt;&lt;wsp:rsid wsp:val=&quot;00EA2FD3&quot;/&gt;&lt;wsp:rsid wsp:val=&quot;00EA3A05&quot;/&gt;&lt;wsp:rsid wsp:val=&quot;00EA3FBF&quot;/&gt;&lt;wsp:rsid wsp:val=&quot;00EA41D7&quot;/&gt;&lt;wsp:rsid wsp:val=&quot;00EA4686&quot;/&gt;&lt;wsp:rsid wsp:val=&quot;00EA56D4&quot;/&gt;&lt;wsp:rsid wsp:val=&quot;00EA5873&quot;/&gt;&lt;wsp:rsid wsp:val=&quot;00EA5BD7&quot;/&gt;&lt;wsp:rsid wsp:val=&quot;00EA5F94&quot;/&gt;&lt;wsp:rsid wsp:val=&quot;00EA6460&quot;/&gt;&lt;wsp:rsid wsp:val=&quot;00EA7481&quot;/&gt;&lt;wsp:rsid wsp:val=&quot;00EA7E71&quot;/&gt;&lt;wsp:rsid wsp:val=&quot;00EB0C4E&quot;/&gt;&lt;wsp:rsid wsp:val=&quot;00EB0CEF&quot;/&gt;&lt;wsp:rsid wsp:val=&quot;00EB0E26&quot;/&gt;&lt;wsp:rsid wsp:val=&quot;00EB0FD6&quot;/&gt;&lt;wsp:rsid wsp:val=&quot;00EB103B&quot;/&gt;&lt;wsp:rsid wsp:val=&quot;00EB118F&quot;/&gt;&lt;wsp:rsid wsp:val=&quot;00EB1426&quot;/&gt;&lt;wsp:rsid wsp:val=&quot;00EB1651&quot;/&gt;&lt;wsp:rsid wsp:val=&quot;00EB175E&quot;/&gt;&lt;wsp:rsid wsp:val=&quot;00EB1AE1&quot;/&gt;&lt;wsp:rsid wsp:val=&quot;00EB1DD9&quot;/&gt;&lt;wsp:rsid wsp:val=&quot;00EB1E28&quot;/&gt;&lt;wsp:rsid wsp:val=&quot;00EB2099&quot;/&gt;&lt;wsp:rsid wsp:val=&quot;00EB2167&quot;/&gt;&lt;wsp:rsid wsp:val=&quot;00EB2B15&quot;/&gt;&lt;wsp:rsid wsp:val=&quot;00EB2D68&quot;/&gt;&lt;wsp:rsid wsp:val=&quot;00EB3091&quot;/&gt;&lt;wsp:rsid wsp:val=&quot;00EB3210&quot;/&gt;&lt;wsp:rsid wsp:val=&quot;00EB322F&quot;/&gt;&lt;wsp:rsid wsp:val=&quot;00EB3308&quot;/&gt;&lt;wsp:rsid wsp:val=&quot;00EB3916&quot;/&gt;&lt;wsp:rsid wsp:val=&quot;00EB3CA7&quot;/&gt;&lt;wsp:rsid wsp:val=&quot;00EB3DD0&quot;/&gt;&lt;wsp:rsid wsp:val=&quot;00EB54AA&quot;/&gt;&lt;wsp:rsid wsp:val=&quot;00EB5672&quot;/&gt;&lt;wsp:rsid wsp:val=&quot;00EB57F6&quot;/&gt;&lt;wsp:rsid wsp:val=&quot;00EB5814&quot;/&gt;&lt;wsp:rsid wsp:val=&quot;00EB5AF8&quot;/&gt;&lt;wsp:rsid wsp:val=&quot;00EB5C48&quot;/&gt;&lt;wsp:rsid wsp:val=&quot;00EB61B0&quot;/&gt;&lt;wsp:rsid wsp:val=&quot;00EB7B8B&quot;/&gt;&lt;wsp:rsid wsp:val=&quot;00EC035D&quot;/&gt;&lt;wsp:rsid wsp:val=&quot;00EC098C&quot;/&gt;&lt;wsp:rsid wsp:val=&quot;00EC10FD&quot;/&gt;&lt;wsp:rsid wsp:val=&quot;00EC157C&quot;/&gt;&lt;wsp:rsid wsp:val=&quot;00EC16EB&quot;/&gt;&lt;wsp:rsid wsp:val=&quot;00EC1958&quot;/&gt;&lt;wsp:rsid wsp:val=&quot;00EC1F5A&quot;/&gt;&lt;wsp:rsid wsp:val=&quot;00EC238C&quot;/&gt;&lt;wsp:rsid wsp:val=&quot;00EC25C6&quot;/&gt;&lt;wsp:rsid wsp:val=&quot;00EC274F&quot;/&gt;&lt;wsp:rsid wsp:val=&quot;00EC291B&quot;/&gt;&lt;wsp:rsid wsp:val=&quot;00EC2E61&quot;/&gt;&lt;wsp:rsid wsp:val=&quot;00EC2EDB&quot;/&gt;&lt;wsp:rsid wsp:val=&quot;00EC329B&quot;/&gt;&lt;wsp:rsid wsp:val=&quot;00EC32AE&quot;/&gt;&lt;wsp:rsid wsp:val=&quot;00EC4032&quot;/&gt;&lt;wsp:rsid wsp:val=&quot;00EC4398&quot;/&gt;&lt;wsp:rsid wsp:val=&quot;00EC44DF&quot;/&gt;&lt;wsp:rsid wsp:val=&quot;00EC457B&quot;/&gt;&lt;wsp:rsid wsp:val=&quot;00EC5263&quot;/&gt;&lt;wsp:rsid wsp:val=&quot;00EC54D0&quot;/&gt;&lt;wsp:rsid wsp:val=&quot;00EC5554&quot;/&gt;&lt;wsp:rsid wsp:val=&quot;00EC588D&quot;/&gt;&lt;wsp:rsid wsp:val=&quot;00EC5AE6&quot;/&gt;&lt;wsp:rsid wsp:val=&quot;00EC642A&quot;/&gt;&lt;wsp:rsid wsp:val=&quot;00EC6581&quot;/&gt;&lt;wsp:rsid wsp:val=&quot;00EC6662&quot;/&gt;&lt;wsp:rsid wsp:val=&quot;00EC66B5&quot;/&gt;&lt;wsp:rsid wsp:val=&quot;00EC69BD&quot;/&gt;&lt;wsp:rsid wsp:val=&quot;00EC6E3B&quot;/&gt;&lt;wsp:rsid wsp:val=&quot;00EC6E55&quot;/&gt;&lt;wsp:rsid wsp:val=&quot;00EC6ECA&quot;/&gt;&lt;wsp:rsid wsp:val=&quot;00EC6F1E&quot;/&gt;&lt;wsp:rsid wsp:val=&quot;00EC755B&quot;/&gt;&lt;wsp:rsid wsp:val=&quot;00EC7BD0&quot;/&gt;&lt;wsp:rsid wsp:val=&quot;00EC7C6D&quot;/&gt;&lt;wsp:rsid wsp:val=&quot;00ED0532&quot;/&gt;&lt;wsp:rsid wsp:val=&quot;00ED07EE&quot;/&gt;&lt;wsp:rsid wsp:val=&quot;00ED0FED&quot;/&gt;&lt;wsp:rsid wsp:val=&quot;00ED15B5&quot;/&gt;&lt;wsp:rsid wsp:val=&quot;00ED1861&quot;/&gt;&lt;wsp:rsid wsp:val=&quot;00ED18A1&quot;/&gt;&lt;wsp:rsid wsp:val=&quot;00ED1C74&quot;/&gt;&lt;wsp:rsid wsp:val=&quot;00ED209E&quot;/&gt;&lt;wsp:rsid wsp:val=&quot;00ED2194&quot;/&gt;&lt;wsp:rsid wsp:val=&quot;00ED23B8&quot;/&gt;&lt;wsp:rsid wsp:val=&quot;00ED2406&quot;/&gt;&lt;wsp:rsid wsp:val=&quot;00ED2517&quot;/&gt;&lt;wsp:rsid wsp:val=&quot;00ED2B4D&quot;/&gt;&lt;wsp:rsid wsp:val=&quot;00ED2C3E&quot;/&gt;&lt;wsp:rsid wsp:val=&quot;00ED3376&quot;/&gt;&lt;wsp:rsid wsp:val=&quot;00ED339F&quot;/&gt;&lt;wsp:rsid wsp:val=&quot;00ED36A0&quot;/&gt;&lt;wsp:rsid wsp:val=&quot;00ED36D7&quot;/&gt;&lt;wsp:rsid wsp:val=&quot;00ED383A&quot;/&gt;&lt;wsp:rsid wsp:val=&quot;00ED3921&quot;/&gt;&lt;wsp:rsid wsp:val=&quot;00ED3B1C&quot;/&gt;&lt;wsp:rsid wsp:val=&quot;00ED40F9&quot;/&gt;&lt;wsp:rsid wsp:val=&quot;00ED456A&quot;/&gt;&lt;wsp:rsid wsp:val=&quot;00ED476F&quot;/&gt;&lt;wsp:rsid wsp:val=&quot;00ED47C4&quot;/&gt;&lt;wsp:rsid wsp:val=&quot;00ED47DD&quot;/&gt;&lt;wsp:rsid wsp:val=&quot;00ED4C7F&quot;/&gt;&lt;wsp:rsid wsp:val=&quot;00ED51FC&quot;/&gt;&lt;wsp:rsid wsp:val=&quot;00ED5337&quot;/&gt;&lt;wsp:rsid wsp:val=&quot;00ED5587&quot;/&gt;&lt;wsp:rsid wsp:val=&quot;00ED5BC3&quot;/&gt;&lt;wsp:rsid wsp:val=&quot;00ED5C37&quot;/&gt;&lt;wsp:rsid wsp:val=&quot;00ED5CAF&quot;/&gt;&lt;wsp:rsid wsp:val=&quot;00ED753B&quot;/&gt;&lt;wsp:rsid wsp:val=&quot;00ED7919&quot;/&gt;&lt;wsp:rsid wsp:val=&quot;00ED7ED6&quot;/&gt;&lt;wsp:rsid wsp:val=&quot;00EE00F6&quot;/&gt;&lt;wsp:rsid wsp:val=&quot;00EE0301&quot;/&gt;&lt;wsp:rsid wsp:val=&quot;00EE08B6&quot;/&gt;&lt;wsp:rsid wsp:val=&quot;00EE1298&quot;/&gt;&lt;wsp:rsid wsp:val=&quot;00EE2341&quot;/&gt;&lt;wsp:rsid wsp:val=&quot;00EE242F&quot;/&gt;&lt;wsp:rsid wsp:val=&quot;00EE2D04&quot;/&gt;&lt;wsp:rsid wsp:val=&quot;00EE2FA3&quot;/&gt;&lt;wsp:rsid wsp:val=&quot;00EE3319&quot;/&gt;&lt;wsp:rsid wsp:val=&quot;00EE3630&quot;/&gt;&lt;wsp:rsid wsp:val=&quot;00EE386C&quot;/&gt;&lt;wsp:rsid wsp:val=&quot;00EE41AD&quot;/&gt;&lt;wsp:rsid wsp:val=&quot;00EE4237&quot;/&gt;&lt;wsp:rsid wsp:val=&quot;00EE4680&quot;/&gt;&lt;wsp:rsid wsp:val=&quot;00EE4E5C&quot;/&gt;&lt;wsp:rsid wsp:val=&quot;00EE506A&quot;/&gt;&lt;wsp:rsid wsp:val=&quot;00EE564A&quot;/&gt;&lt;wsp:rsid wsp:val=&quot;00EE6685&quot;/&gt;&lt;wsp:rsid wsp:val=&quot;00EE6A25&quot;/&gt;&lt;wsp:rsid wsp:val=&quot;00EE7054&quot;/&gt;&lt;wsp:rsid wsp:val=&quot;00EE75DF&quot;/&gt;&lt;wsp:rsid wsp:val=&quot;00EE764D&quot;/&gt;&lt;wsp:rsid wsp:val=&quot;00EF0160&quot;/&gt;&lt;wsp:rsid wsp:val=&quot;00EF017D&quot;/&gt;&lt;wsp:rsid wsp:val=&quot;00EF0537&quot;/&gt;&lt;wsp:rsid wsp:val=&quot;00EF0BA0&quot;/&gt;&lt;wsp:rsid wsp:val=&quot;00EF0D2B&quot;/&gt;&lt;wsp:rsid wsp:val=&quot;00EF13EC&quot;/&gt;&lt;wsp:rsid wsp:val=&quot;00EF188B&quot;/&gt;&lt;wsp:rsid wsp:val=&quot;00EF1A04&quot;/&gt;&lt;wsp:rsid wsp:val=&quot;00EF254C&quot;/&gt;&lt;wsp:rsid wsp:val=&quot;00EF2D03&quot;/&gt;&lt;wsp:rsid wsp:val=&quot;00EF2F12&quot;/&gt;&lt;wsp:rsid wsp:val=&quot;00EF3128&quot;/&gt;&lt;wsp:rsid wsp:val=&quot;00EF3EA3&quot;/&gt;&lt;wsp:rsid wsp:val=&quot;00EF42F8&quot;/&gt;&lt;wsp:rsid wsp:val=&quot;00EF466A&quot;/&gt;&lt;wsp:rsid wsp:val=&quot;00EF4E5B&quot;/&gt;&lt;wsp:rsid wsp:val=&quot;00EF5253&quot;/&gt;&lt;wsp:rsid wsp:val=&quot;00EF5485&quot;/&gt;&lt;wsp:rsid wsp:val=&quot;00EF5536&quot;/&gt;&lt;wsp:rsid wsp:val=&quot;00EF5C78&quot;/&gt;&lt;wsp:rsid wsp:val=&quot;00EF66CA&quot;/&gt;&lt;wsp:rsid wsp:val=&quot;00EF68D3&quot;/&gt;&lt;wsp:rsid wsp:val=&quot;00EF691A&quot;/&gt;&lt;wsp:rsid wsp:val=&quot;00EF6978&quot;/&gt;&lt;wsp:rsid wsp:val=&quot;00EF75D4&quot;/&gt;&lt;wsp:rsid wsp:val=&quot;00EF789F&quot;/&gt;&lt;wsp:rsid wsp:val=&quot;00EF7FAA&quot;/&gt;&lt;wsp:rsid wsp:val=&quot;00F00029&quot;/&gt;&lt;wsp:rsid wsp:val=&quot;00F00168&quot;/&gt;&lt;wsp:rsid wsp:val=&quot;00F00237&quot;/&gt;&lt;wsp:rsid wsp:val=&quot;00F00561&quot;/&gt;&lt;wsp:rsid wsp:val=&quot;00F00A04&quot;/&gt;&lt;wsp:rsid wsp:val=&quot;00F00F32&quot;/&gt;&lt;wsp:rsid wsp:val=&quot;00F0125E&quot;/&gt;&lt;wsp:rsid wsp:val=&quot;00F019C6&quot;/&gt;&lt;wsp:rsid wsp:val=&quot;00F01A00&quot;/&gt;&lt;wsp:rsid wsp:val=&quot;00F01BF0&quot;/&gt;&lt;wsp:rsid wsp:val=&quot;00F01C30&quot;/&gt;&lt;wsp:rsid wsp:val=&quot;00F02515&quot;/&gt;&lt;wsp:rsid wsp:val=&quot;00F028BF&quot;/&gt;&lt;wsp:rsid wsp:val=&quot;00F02BA1&quot;/&gt;&lt;wsp:rsid wsp:val=&quot;00F02C53&quot;/&gt;&lt;wsp:rsid wsp:val=&quot;00F02D28&quot;/&gt;&lt;wsp:rsid wsp:val=&quot;00F03646&quot;/&gt;&lt;wsp:rsid wsp:val=&quot;00F03B91&quot;/&gt;&lt;wsp:rsid wsp:val=&quot;00F03D1D&quot;/&gt;&lt;wsp:rsid wsp:val=&quot;00F04699&quot;/&gt;&lt;wsp:rsid wsp:val=&quot;00F0621F&quot;/&gt;&lt;wsp:rsid wsp:val=&quot;00F0657D&quot;/&gt;&lt;wsp:rsid wsp:val=&quot;00F06969&quot;/&gt;&lt;wsp:rsid wsp:val=&quot;00F06DE8&quot;/&gt;&lt;wsp:rsid wsp:val=&quot;00F07491&quot;/&gt;&lt;wsp:rsid wsp:val=&quot;00F07A96&quot;/&gt;&lt;wsp:rsid wsp:val=&quot;00F102CB&quot;/&gt;&lt;wsp:rsid wsp:val=&quot;00F10347&quot;/&gt;&lt;wsp:rsid wsp:val=&quot;00F10C2B&quot;/&gt;&lt;wsp:rsid wsp:val=&quot;00F113DA&quot;/&gt;&lt;wsp:rsid wsp:val=&quot;00F12071&quot;/&gt;&lt;wsp:rsid wsp:val=&quot;00F12235&quot;/&gt;&lt;wsp:rsid wsp:val=&quot;00F1251B&quot;/&gt;&lt;wsp:rsid wsp:val=&quot;00F12C05&quot;/&gt;&lt;wsp:rsid wsp:val=&quot;00F12E7F&quot;/&gt;&lt;wsp:rsid wsp:val=&quot;00F13798&quot;/&gt;&lt;wsp:rsid wsp:val=&quot;00F13882&quot;/&gt;&lt;wsp:rsid wsp:val=&quot;00F13973&quot;/&gt;&lt;wsp:rsid wsp:val=&quot;00F141B9&quot;/&gt;&lt;wsp:rsid wsp:val=&quot;00F1453C&quot;/&gt;&lt;wsp:rsid wsp:val=&quot;00F14B37&quot;/&gt;&lt;wsp:rsid wsp:val=&quot;00F14BCE&quot;/&gt;&lt;wsp:rsid wsp:val=&quot;00F14E2E&quot;/&gt;&lt;wsp:rsid wsp:val=&quot;00F1568E&quot;/&gt;&lt;wsp:rsid wsp:val=&quot;00F15A80&quot;/&gt;&lt;wsp:rsid wsp:val=&quot;00F16804&quot;/&gt;&lt;wsp:rsid wsp:val=&quot;00F16908&quot;/&gt;&lt;wsp:rsid wsp:val=&quot;00F17351&quot;/&gt;&lt;wsp:rsid wsp:val=&quot;00F1739B&quot;/&gt;&lt;wsp:rsid wsp:val=&quot;00F206AD&quot;/&gt;&lt;wsp:rsid wsp:val=&quot;00F20B4D&quot;/&gt;&lt;wsp:rsid wsp:val=&quot;00F22BD2&quot;/&gt;&lt;wsp:rsid wsp:val=&quot;00F23071&quot;/&gt;&lt;wsp:rsid wsp:val=&quot;00F232AE&quot;/&gt;&lt;wsp:rsid wsp:val=&quot;00F2379E&quot;/&gt;&lt;wsp:rsid wsp:val=&quot;00F2403B&quot;/&gt;&lt;wsp:rsid wsp:val=&quot;00F24293&quot;/&gt;&lt;wsp:rsid wsp:val=&quot;00F2456C&quot;/&gt;&lt;wsp:rsid wsp:val=&quot;00F246B0&quot;/&gt;&lt;wsp:rsid wsp:val=&quot;00F246EB&quot;/&gt;&lt;wsp:rsid wsp:val=&quot;00F24AF4&quot;/&gt;&lt;wsp:rsid wsp:val=&quot;00F24C05&quot;/&gt;&lt;wsp:rsid wsp:val=&quot;00F24D0B&quot;/&gt;&lt;wsp:rsid wsp:val=&quot;00F24E5A&quot;/&gt;&lt;wsp:rsid wsp:val=&quot;00F24F71&quot;/&gt;&lt;wsp:rsid wsp:val=&quot;00F25365&quot;/&gt;&lt;wsp:rsid wsp:val=&quot;00F25588&quot;/&gt;&lt;wsp:rsid wsp:val=&quot;00F2588E&quot;/&gt;&lt;wsp:rsid wsp:val=&quot;00F25B27&quot;/&gt;&lt;wsp:rsid wsp:val=&quot;00F26063&quot;/&gt;&lt;wsp:rsid wsp:val=&quot;00F262AC&quot;/&gt;&lt;wsp:rsid wsp:val=&quot;00F26A5D&quot;/&gt;&lt;wsp:rsid wsp:val=&quot;00F26DB3&quot;/&gt;&lt;wsp:rsid wsp:val=&quot;00F2731E&quot;/&gt;&lt;wsp:rsid wsp:val=&quot;00F275FE&quot;/&gt;&lt;wsp:rsid wsp:val=&quot;00F27D93&quot;/&gt;&lt;wsp:rsid wsp:val=&quot;00F30A5C&quot;/&gt;&lt;wsp:rsid wsp:val=&quot;00F30C4F&quot;/&gt;&lt;wsp:rsid wsp:val=&quot;00F30C66&quot;/&gt;&lt;wsp:rsid wsp:val=&quot;00F31DCB&quot;/&gt;&lt;wsp:rsid wsp:val=&quot;00F32B87&quot;/&gt;&lt;wsp:rsid wsp:val=&quot;00F32E5E&quot;/&gt;&lt;wsp:rsid wsp:val=&quot;00F33112&quot;/&gt;&lt;wsp:rsid wsp:val=&quot;00F334FD&quot;/&gt;&lt;wsp:rsid wsp:val=&quot;00F338F6&quot;/&gt;&lt;wsp:rsid wsp:val=&quot;00F33BFF&quot;/&gt;&lt;wsp:rsid wsp:val=&quot;00F343E9&quot;/&gt;&lt;wsp:rsid wsp:val=&quot;00F34439&quot;/&gt;&lt;wsp:rsid wsp:val=&quot;00F345F0&quot;/&gt;&lt;wsp:rsid wsp:val=&quot;00F34798&quot;/&gt;&lt;wsp:rsid wsp:val=&quot;00F351D1&quot;/&gt;&lt;wsp:rsid wsp:val=&quot;00F3566D&quot;/&gt;&lt;wsp:rsid wsp:val=&quot;00F35CF5&quot;/&gt;&lt;wsp:rsid wsp:val=&quot;00F35E17&quot;/&gt;&lt;wsp:rsid wsp:val=&quot;00F362A0&quot;/&gt;&lt;wsp:rsid wsp:val=&quot;00F364FB&quot;/&gt;&lt;wsp:rsid wsp:val=&quot;00F369CD&quot;/&gt;&lt;wsp:rsid wsp:val=&quot;00F36DE2&quot;/&gt;&lt;wsp:rsid wsp:val=&quot;00F370F4&quot;/&gt;&lt;wsp:rsid wsp:val=&quot;00F37173&quot;/&gt;&lt;wsp:rsid wsp:val=&quot;00F37330&quot;/&gt;&lt;wsp:rsid wsp:val=&quot;00F376A2&quot;/&gt;&lt;wsp:rsid wsp:val=&quot;00F37F74&quot;/&gt;&lt;wsp:rsid wsp:val=&quot;00F41259&quot;/&gt;&lt;wsp:rsid wsp:val=&quot;00F41360&quot;/&gt;&lt;wsp:rsid wsp:val=&quot;00F416CF&quot;/&gt;&lt;wsp:rsid wsp:val=&quot;00F41CED&quot;/&gt;&lt;wsp:rsid wsp:val=&quot;00F41F11&quot;/&gt;&lt;wsp:rsid wsp:val=&quot;00F420FF&quot;/&gt;&lt;wsp:rsid wsp:val=&quot;00F428F5&quot;/&gt;&lt;wsp:rsid wsp:val=&quot;00F42988&quot;/&gt;&lt;wsp:rsid wsp:val=&quot;00F42A21&quot;/&gt;&lt;wsp:rsid wsp:val=&quot;00F432A3&quot;/&gt;&lt;wsp:rsid wsp:val=&quot;00F4345D&quot;/&gt;&lt;wsp:rsid wsp:val=&quot;00F434B0&quot;/&gt;&lt;wsp:rsid wsp:val=&quot;00F435C5&quot;/&gt;&lt;wsp:rsid wsp:val=&quot;00F4365C&quot;/&gt;&lt;wsp:rsid wsp:val=&quot;00F43788&quot;/&gt;&lt;wsp:rsid wsp:val=&quot;00F43A58&quot;/&gt;&lt;wsp:rsid wsp:val=&quot;00F43F39&quot;/&gt;&lt;wsp:rsid wsp:val=&quot;00F43FBE&quot;/&gt;&lt;wsp:rsid wsp:val=&quot;00F4415A&quot;/&gt;&lt;wsp:rsid wsp:val=&quot;00F442DA&quot;/&gt;&lt;wsp:rsid wsp:val=&quot;00F4443C&quot;/&gt;&lt;wsp:rsid wsp:val=&quot;00F444EF&quot;/&gt;&lt;wsp:rsid wsp:val=&quot;00F4462D&quot;/&gt;&lt;wsp:rsid wsp:val=&quot;00F44DB6&quot;/&gt;&lt;wsp:rsid wsp:val=&quot;00F44DBA&quot;/&gt;&lt;wsp:rsid wsp:val=&quot;00F44DE1&quot;/&gt;&lt;wsp:rsid wsp:val=&quot;00F456D2&quot;/&gt;&lt;wsp:rsid wsp:val=&quot;00F45B70&quot;/&gt;&lt;wsp:rsid wsp:val=&quot;00F45CA3&quot;/&gt;&lt;wsp:rsid wsp:val=&quot;00F45E48&quot;/&gt;&lt;wsp:rsid wsp:val=&quot;00F45EC0&quot;/&gt;&lt;wsp:rsid wsp:val=&quot;00F465B2&quot;/&gt;&lt;wsp:rsid wsp:val=&quot;00F46F73&quot;/&gt;&lt;wsp:rsid wsp:val=&quot;00F47959&quot;/&gt;&lt;wsp:rsid wsp:val=&quot;00F47BE9&quot;/&gt;&lt;wsp:rsid wsp:val=&quot;00F47C6B&quot;/&gt;&lt;wsp:rsid wsp:val=&quot;00F47CDE&quot;/&gt;&lt;wsp:rsid wsp:val=&quot;00F50363&quot;/&gt;&lt;wsp:rsid wsp:val=&quot;00F5097E&quot;/&gt;&lt;wsp:rsid wsp:val=&quot;00F50B45&quot;/&gt;&lt;wsp:rsid wsp:val=&quot;00F50BAA&quot;/&gt;&lt;wsp:rsid wsp:val=&quot;00F51197&quot;/&gt;&lt;wsp:rsid wsp:val=&quot;00F51260&quot;/&gt;&lt;wsp:rsid wsp:val=&quot;00F5154F&quot;/&gt;&lt;wsp:rsid wsp:val=&quot;00F5167A&quot;/&gt;&lt;wsp:rsid wsp:val=&quot;00F51769&quot;/&gt;&lt;wsp:rsid wsp:val=&quot;00F519F2&quot;/&gt;&lt;wsp:rsid wsp:val=&quot;00F51D5D&quot;/&gt;&lt;wsp:rsid wsp:val=&quot;00F520C9&quot;/&gt;&lt;wsp:rsid wsp:val=&quot;00F52101&quot;/&gt;&lt;wsp:rsid wsp:val=&quot;00F52B27&quot;/&gt;&lt;wsp:rsid wsp:val=&quot;00F52D7E&quot;/&gt;&lt;wsp:rsid wsp:val=&quot;00F531A6&quot;/&gt;&lt;wsp:rsid wsp:val=&quot;00F53253&quot;/&gt;&lt;wsp:rsid wsp:val=&quot;00F53318&quot;/&gt;&lt;wsp:rsid wsp:val=&quot;00F53634&quot;/&gt;&lt;wsp:rsid wsp:val=&quot;00F5373F&quot;/&gt;&lt;wsp:rsid wsp:val=&quot;00F5379F&quot;/&gt;&lt;wsp:rsid wsp:val=&quot;00F53BFA&quot;/&gt;&lt;wsp:rsid wsp:val=&quot;00F53F9B&quot;/&gt;&lt;wsp:rsid wsp:val=&quot;00F540BD&quot;/&gt;&lt;wsp:rsid wsp:val=&quot;00F54495&quot;/&gt;&lt;wsp:rsid wsp:val=&quot;00F55088&quot;/&gt;&lt;wsp:rsid wsp:val=&quot;00F567C0&quot;/&gt;&lt;wsp:rsid wsp:val=&quot;00F56B3F&quot;/&gt;&lt;wsp:rsid wsp:val=&quot;00F56C67&quot;/&gt;&lt;wsp:rsid wsp:val=&quot;00F56E02&quot;/&gt;&lt;wsp:rsid wsp:val=&quot;00F57AF4&quot;/&gt;&lt;wsp:rsid wsp:val=&quot;00F57FB8&quot;/&gt;&lt;wsp:rsid wsp:val=&quot;00F602DB&quot;/&gt;&lt;wsp:rsid wsp:val=&quot;00F604E2&quot;/&gt;&lt;wsp:rsid wsp:val=&quot;00F60625&quot;/&gt;&lt;wsp:rsid wsp:val=&quot;00F606F6&quot;/&gt;&lt;wsp:rsid wsp:val=&quot;00F6082D&quot;/&gt;&lt;wsp:rsid wsp:val=&quot;00F60CE2&quot;/&gt;&lt;wsp:rsid wsp:val=&quot;00F61060&quot;/&gt;&lt;wsp:rsid wsp:val=&quot;00F61345&quot;/&gt;&lt;wsp:rsid wsp:val=&quot;00F62684&quot;/&gt;&lt;wsp:rsid wsp:val=&quot;00F62C3B&quot;/&gt;&lt;wsp:rsid wsp:val=&quot;00F63AAD&quot;/&gt;&lt;wsp:rsid wsp:val=&quot;00F63E3E&quot;/&gt;&lt;wsp:rsid wsp:val=&quot;00F63EA3&quot;/&gt;&lt;wsp:rsid wsp:val=&quot;00F64258&quot;/&gt;&lt;wsp:rsid wsp:val=&quot;00F645FA&quot;/&gt;&lt;wsp:rsid wsp:val=&quot;00F645FC&quot;/&gt;&lt;wsp:rsid wsp:val=&quot;00F64A97&quot;/&gt;&lt;wsp:rsid wsp:val=&quot;00F65196&quot;/&gt;&lt;wsp:rsid wsp:val=&quot;00F65A8E&quot;/&gt;&lt;wsp:rsid wsp:val=&quot;00F65E6A&quot;/&gt;&lt;wsp:rsid wsp:val=&quot;00F662CB&quot;/&gt;&lt;wsp:rsid wsp:val=&quot;00F66730&quot;/&gt;&lt;wsp:rsid wsp:val=&quot;00F66923&quot;/&gt;&lt;wsp:rsid wsp:val=&quot;00F66B5B&quot;/&gt;&lt;wsp:rsid wsp:val=&quot;00F67BAF&quot;/&gt;&lt;wsp:rsid wsp:val=&quot;00F701C5&quot;/&gt;&lt;wsp:rsid wsp:val=&quot;00F70423&quot;/&gt;&lt;wsp:rsid wsp:val=&quot;00F71925&quot;/&gt;&lt;wsp:rsid wsp:val=&quot;00F719BC&quot;/&gt;&lt;wsp:rsid wsp:val=&quot;00F71EAF&quot;/&gt;&lt;wsp:rsid wsp:val=&quot;00F72036&quot;/&gt;&lt;wsp:rsid wsp:val=&quot;00F72055&quot;/&gt;&lt;wsp:rsid wsp:val=&quot;00F725BB&quot;/&gt;&lt;wsp:rsid wsp:val=&quot;00F725CF&quot;/&gt;&lt;wsp:rsid wsp:val=&quot;00F72A1C&quot;/&gt;&lt;wsp:rsid wsp:val=&quot;00F72BCC&quot;/&gt;&lt;wsp:rsid wsp:val=&quot;00F731A7&quot;/&gt;&lt;wsp:rsid wsp:val=&quot;00F73451&quot;/&gt;&lt;wsp:rsid wsp:val=&quot;00F7346A&quot;/&gt;&lt;wsp:rsid wsp:val=&quot;00F73624&quot;/&gt;&lt;wsp:rsid wsp:val=&quot;00F73926&quot;/&gt;&lt;wsp:rsid wsp:val=&quot;00F73972&quot;/&gt;&lt;wsp:rsid wsp:val=&quot;00F73AEE&quot;/&gt;&lt;wsp:rsid wsp:val=&quot;00F74112&quot;/&gt;&lt;wsp:rsid wsp:val=&quot;00F74495&quot;/&gt;&lt;wsp:rsid wsp:val=&quot;00F74664&quot;/&gt;&lt;wsp:rsid wsp:val=&quot;00F749A8&quot;/&gt;&lt;wsp:rsid wsp:val=&quot;00F74F62&quot;/&gt;&lt;wsp:rsid wsp:val=&quot;00F7562E&quot;/&gt;&lt;wsp:rsid wsp:val=&quot;00F75C56&quot;/&gt;&lt;wsp:rsid wsp:val=&quot;00F762BD&quot;/&gt;&lt;wsp:rsid wsp:val=&quot;00F7651F&quot;/&gt;&lt;wsp:rsid wsp:val=&quot;00F766FC&quot;/&gt;&lt;wsp:rsid wsp:val=&quot;00F76938&quot;/&gt;&lt;wsp:rsid wsp:val=&quot;00F76AC0&quot;/&gt;&lt;wsp:rsid wsp:val=&quot;00F76CCB&quot;/&gt;&lt;wsp:rsid wsp:val=&quot;00F77029&quot;/&gt;&lt;wsp:rsid wsp:val=&quot;00F773AF&quot;/&gt;&lt;wsp:rsid wsp:val=&quot;00F77644&quot;/&gt;&lt;wsp:rsid wsp:val=&quot;00F77AAE&quot;/&gt;&lt;wsp:rsid wsp:val=&quot;00F80275&quot;/&gt;&lt;wsp:rsid wsp:val=&quot;00F802FC&quot;/&gt;&lt;wsp:rsid wsp:val=&quot;00F80C4F&quot;/&gt;&lt;wsp:rsid wsp:val=&quot;00F80D49&quot;/&gt;&lt;wsp:rsid wsp:val=&quot;00F81178&quot;/&gt;&lt;wsp:rsid wsp:val=&quot;00F81444&quot;/&gt;&lt;wsp:rsid wsp:val=&quot;00F818C1&quot;/&gt;&lt;wsp:rsid wsp:val=&quot;00F81966&quot;/&gt;&lt;wsp:rsid wsp:val=&quot;00F82197&quot;/&gt;&lt;wsp:rsid wsp:val=&quot;00F822E6&quot;/&gt;&lt;wsp:rsid wsp:val=&quot;00F835D4&quot;/&gt;&lt;wsp:rsid wsp:val=&quot;00F83677&quot;/&gt;&lt;wsp:rsid wsp:val=&quot;00F83BB6&quot;/&gt;&lt;wsp:rsid wsp:val=&quot;00F83C18&quot;/&gt;&lt;wsp:rsid wsp:val=&quot;00F83CD8&quot;/&gt;&lt;wsp:rsid wsp:val=&quot;00F84216&quot;/&gt;&lt;wsp:rsid wsp:val=&quot;00F8504E&quot;/&gt;&lt;wsp:rsid wsp:val=&quot;00F85052&quot;/&gt;&lt;wsp:rsid wsp:val=&quot;00F851A9&quot;/&gt;&lt;wsp:rsid wsp:val=&quot;00F85290&quot;/&gt;&lt;wsp:rsid wsp:val=&quot;00F852E2&quot;/&gt;&lt;wsp:rsid wsp:val=&quot;00F86373&quot;/&gt;&lt;wsp:rsid wsp:val=&quot;00F863BA&quot;/&gt;&lt;wsp:rsid wsp:val=&quot;00F8722E&quot;/&gt;&lt;wsp:rsid wsp:val=&quot;00F87766&quot;/&gt;&lt;wsp:rsid wsp:val=&quot;00F877FB&quot;/&gt;&lt;wsp:rsid wsp:val=&quot;00F9023B&quot;/&gt;&lt;wsp:rsid wsp:val=&quot;00F90624&quot;/&gt;&lt;wsp:rsid wsp:val=&quot;00F906FF&quot;/&gt;&lt;wsp:rsid wsp:val=&quot;00F908D6&quot;/&gt;&lt;wsp:rsid wsp:val=&quot;00F90D29&quot;/&gt;&lt;wsp:rsid wsp:val=&quot;00F90D50&quot;/&gt;&lt;wsp:rsid wsp:val=&quot;00F91320&quot;/&gt;&lt;wsp:rsid wsp:val=&quot;00F9138D&quot;/&gt;&lt;wsp:rsid wsp:val=&quot;00F91546&quot;/&gt;&lt;wsp:rsid wsp:val=&quot;00F921E5&quot;/&gt;&lt;wsp:rsid wsp:val=&quot;00F9234D&quot;/&gt;&lt;wsp:rsid wsp:val=&quot;00F925D7&quot;/&gt;&lt;wsp:rsid wsp:val=&quot;00F92AED&quot;/&gt;&lt;wsp:rsid wsp:val=&quot;00F92DC7&quot;/&gt;&lt;wsp:rsid wsp:val=&quot;00F92EEE&quot;/&gt;&lt;wsp:rsid wsp:val=&quot;00F92FA9&quot;/&gt;&lt;wsp:rsid wsp:val=&quot;00F93023&quot;/&gt;&lt;wsp:rsid wsp:val=&quot;00F93048&quot;/&gt;&lt;wsp:rsid wsp:val=&quot;00F9313D&quot;/&gt;&lt;wsp:rsid wsp:val=&quot;00F9364B&quot;/&gt;&lt;wsp:rsid wsp:val=&quot;00F937B8&quot;/&gt;&lt;wsp:rsid wsp:val=&quot;00F93B13&quot;/&gt;&lt;wsp:rsid wsp:val=&quot;00F93B1D&quot;/&gt;&lt;wsp:rsid wsp:val=&quot;00F9412E&quot;/&gt;&lt;wsp:rsid wsp:val=&quot;00F942B6&quot;/&gt;&lt;wsp:rsid wsp:val=&quot;00F94342&quot;/&gt;&lt;wsp:rsid wsp:val=&quot;00F95173&quot;/&gt;&lt;wsp:rsid wsp:val=&quot;00F95567&quot;/&gt;&lt;wsp:rsid wsp:val=&quot;00F95BD7&quot;/&gt;&lt;wsp:rsid wsp:val=&quot;00F960E3&quot;/&gt;&lt;wsp:rsid wsp:val=&quot;00F9623B&quot;/&gt;&lt;wsp:rsid wsp:val=&quot;00F96422&quot;/&gt;&lt;wsp:rsid wsp:val=&quot;00F96684&quot;/&gt;&lt;wsp:rsid wsp:val=&quot;00F96763&quot;/&gt;&lt;wsp:rsid wsp:val=&quot;00F96A76&quot;/&gt;&lt;wsp:rsid wsp:val=&quot;00F96BC3&quot;/&gt;&lt;wsp:rsid wsp:val=&quot;00F96BEB&quot;/&gt;&lt;wsp:rsid wsp:val=&quot;00F96CA8&quot;/&gt;&lt;wsp:rsid wsp:val=&quot;00F97C96&quot;/&gt;&lt;wsp:rsid wsp:val=&quot;00F97DAE&quot;/&gt;&lt;wsp:rsid wsp:val=&quot;00FA01BA&quot;/&gt;&lt;wsp:rsid wsp:val=&quot;00FA020C&quot;/&gt;&lt;wsp:rsid wsp:val=&quot;00FA0564&quot;/&gt;&lt;wsp:rsid wsp:val=&quot;00FA0738&quot;/&gt;&lt;wsp:rsid wsp:val=&quot;00FA0B4F&quot;/&gt;&lt;wsp:rsid wsp:val=&quot;00FA1308&quot;/&gt;&lt;wsp:rsid wsp:val=&quot;00FA137E&quot;/&gt;&lt;wsp:rsid wsp:val=&quot;00FA1ACF&quot;/&gt;&lt;wsp:rsid wsp:val=&quot;00FA1BA2&quot;/&gt;&lt;wsp:rsid wsp:val=&quot;00FA1E3F&quot;/&gt;&lt;wsp:rsid wsp:val=&quot;00FA2174&quot;/&gt;&lt;wsp:rsid wsp:val=&quot;00FA23E8&quot;/&gt;&lt;wsp:rsid wsp:val=&quot;00FA2914&quot;/&gt;&lt;wsp:rsid wsp:val=&quot;00FA2B2E&quot;/&gt;&lt;wsp:rsid wsp:val=&quot;00FA2B62&quot;/&gt;&lt;wsp:rsid wsp:val=&quot;00FA30F2&quot;/&gt;&lt;wsp:rsid wsp:val=&quot;00FA37F8&quot;/&gt;&lt;wsp:rsid wsp:val=&quot;00FA3C42&quot;/&gt;&lt;wsp:rsid wsp:val=&quot;00FA4625&quot;/&gt;&lt;wsp:rsid wsp:val=&quot;00FA4687&quot;/&gt;&lt;wsp:rsid wsp:val=&quot;00FA48D3&quot;/&gt;&lt;wsp:rsid wsp:val=&quot;00FA499D&quot;/&gt;&lt;wsp:rsid wsp:val=&quot;00FA4A25&quot;/&gt;&lt;wsp:rsid wsp:val=&quot;00FA4B70&quot;/&gt;&lt;wsp:rsid wsp:val=&quot;00FA4CB6&quot;/&gt;&lt;wsp:rsid wsp:val=&quot;00FA4CF3&quot;/&gt;&lt;wsp:rsid wsp:val=&quot;00FA4DAB&quot;/&gt;&lt;wsp:rsid wsp:val=&quot;00FA5641&quot;/&gt;&lt;wsp:rsid wsp:val=&quot;00FA56A7&quot;/&gt;&lt;wsp:rsid wsp:val=&quot;00FA5BAB&quot;/&gt;&lt;wsp:rsid wsp:val=&quot;00FA60EC&quot;/&gt;&lt;wsp:rsid wsp:val=&quot;00FA66AD&quot;/&gt;&lt;wsp:rsid wsp:val=&quot;00FA6C75&quot;/&gt;&lt;wsp:rsid wsp:val=&quot;00FA6DE2&quot;/&gt;&lt;wsp:rsid wsp:val=&quot;00FA7042&quot;/&gt;&lt;wsp:rsid wsp:val=&quot;00FA78C8&quot;/&gt;&lt;wsp:rsid wsp:val=&quot;00FB024C&quot;/&gt;&lt;wsp:rsid wsp:val=&quot;00FB0C29&quot;/&gt;&lt;wsp:rsid wsp:val=&quot;00FB0CE8&quot;/&gt;&lt;wsp:rsid wsp:val=&quot;00FB0F90&quot;/&gt;&lt;wsp:rsid wsp:val=&quot;00FB12D1&quot;/&gt;&lt;wsp:rsid wsp:val=&quot;00FB15AB&quot;/&gt;&lt;wsp:rsid wsp:val=&quot;00FB18B2&quot;/&gt;&lt;wsp:rsid wsp:val=&quot;00FB22A3&quot;/&gt;&lt;wsp:rsid wsp:val=&quot;00FB3017&quot;/&gt;&lt;wsp:rsid wsp:val=&quot;00FB3377&quot;/&gt;&lt;wsp:rsid wsp:val=&quot;00FB34A9&quot;/&gt;&lt;wsp:rsid wsp:val=&quot;00FB3D7C&quot;/&gt;&lt;wsp:rsid wsp:val=&quot;00FB4408&quot;/&gt;&lt;wsp:rsid wsp:val=&quot;00FB4510&quot;/&gt;&lt;wsp:rsid wsp:val=&quot;00FB45DE&quot;/&gt;&lt;wsp:rsid wsp:val=&quot;00FB4625&quot;/&gt;&lt;wsp:rsid wsp:val=&quot;00FB5DF8&quot;/&gt;&lt;wsp:rsid wsp:val=&quot;00FB63E9&quot;/&gt;&lt;wsp:rsid wsp:val=&quot;00FB68A1&quot;/&gt;&lt;wsp:rsid wsp:val=&quot;00FB6AEA&quot;/&gt;&lt;wsp:rsid wsp:val=&quot;00FB6E0A&quot;/&gt;&lt;wsp:rsid wsp:val=&quot;00FB6F95&quot;/&gt;&lt;wsp:rsid wsp:val=&quot;00FB7175&quot;/&gt;&lt;wsp:rsid wsp:val=&quot;00FB74CB&quot;/&gt;&lt;wsp:rsid wsp:val=&quot;00FB7DE5&quot;/&gt;&lt;wsp:rsid wsp:val=&quot;00FB7F7E&quot;/&gt;&lt;wsp:rsid wsp:val=&quot;00FC061B&quot;/&gt;&lt;wsp:rsid wsp:val=&quot;00FC06D0&quot;/&gt;&lt;wsp:rsid wsp:val=&quot;00FC16D5&quot;/&gt;&lt;wsp:rsid wsp:val=&quot;00FC172C&quot;/&gt;&lt;wsp:rsid wsp:val=&quot;00FC1C86&quot;/&gt;&lt;wsp:rsid wsp:val=&quot;00FC1CB2&quot;/&gt;&lt;wsp:rsid wsp:val=&quot;00FC24D1&quot;/&gt;&lt;wsp:rsid wsp:val=&quot;00FC30DD&quot;/&gt;&lt;wsp:rsid wsp:val=&quot;00FC3ADF&quot;/&gt;&lt;wsp:rsid wsp:val=&quot;00FC3B90&quot;/&gt;&lt;wsp:rsid wsp:val=&quot;00FC3BF9&quot;/&gt;&lt;wsp:rsid wsp:val=&quot;00FC4018&quot;/&gt;&lt;wsp:rsid wsp:val=&quot;00FC4050&quot;/&gt;&lt;wsp:rsid wsp:val=&quot;00FC41D5&quot;/&gt;&lt;wsp:rsid wsp:val=&quot;00FC4C6A&quot;/&gt;&lt;wsp:rsid wsp:val=&quot;00FC4C77&quot;/&gt;&lt;wsp:rsid wsp:val=&quot;00FC563D&quot;/&gt;&lt;wsp:rsid wsp:val=&quot;00FC5684&quot;/&gt;&lt;wsp:rsid wsp:val=&quot;00FC608E&quot;/&gt;&lt;wsp:rsid wsp:val=&quot;00FC6B75&quot;/&gt;&lt;wsp:rsid wsp:val=&quot;00FC74DD&quot;/&gt;&lt;wsp:rsid wsp:val=&quot;00FC7546&quot;/&gt;&lt;wsp:rsid wsp:val=&quot;00FC75E1&quot;/&gt;&lt;wsp:rsid wsp:val=&quot;00FC7C38&quot;/&gt;&lt;wsp:rsid wsp:val=&quot;00FD0474&quot;/&gt;&lt;wsp:rsid wsp:val=&quot;00FD0959&quot;/&gt;&lt;wsp:rsid wsp:val=&quot;00FD100D&quot;/&gt;&lt;wsp:rsid wsp:val=&quot;00FD13E1&quot;/&gt;&lt;wsp:rsid wsp:val=&quot;00FD20FE&quot;/&gt;&lt;wsp:rsid wsp:val=&quot;00FD21A7&quot;/&gt;&lt;wsp:rsid wsp:val=&quot;00FD30F7&quot;/&gt;&lt;wsp:rsid wsp:val=&quot;00FD3299&quot;/&gt;&lt;wsp:rsid wsp:val=&quot;00FD38E6&quot;/&gt;&lt;wsp:rsid wsp:val=&quot;00FD3AEB&quot;/&gt;&lt;wsp:rsid wsp:val=&quot;00FD3E0E&quot;/&gt;&lt;wsp:rsid wsp:val=&quot;00FD4358&quot;/&gt;&lt;wsp:rsid wsp:val=&quot;00FD4970&quot;/&gt;&lt;wsp:rsid wsp:val=&quot;00FD4D62&quot;/&gt;&lt;wsp:rsid wsp:val=&quot;00FD4F58&quot;/&gt;&lt;wsp:rsid wsp:val=&quot;00FD58E5&quot;/&gt;&lt;wsp:rsid wsp:val=&quot;00FD609F&quot;/&gt;&lt;wsp:rsid wsp:val=&quot;00FD6F02&quot;/&gt;&lt;wsp:rsid wsp:val=&quot;00FD6F1E&quot;/&gt;&lt;wsp:rsid wsp:val=&quot;00FD72D1&quot;/&gt;&lt;wsp:rsid wsp:val=&quot;00FD73A1&quot;/&gt;&lt;wsp:rsid wsp:val=&quot;00FD7501&quot;/&gt;&lt;wsp:rsid wsp:val=&quot;00FD7F40&quot;/&gt;&lt;wsp:rsid wsp:val=&quot;00FE0075&quot;/&gt;&lt;wsp:rsid wsp:val=&quot;00FE0B82&quot;/&gt;&lt;wsp:rsid wsp:val=&quot;00FE0E9B&quot;/&gt;&lt;wsp:rsid wsp:val=&quot;00FE0FB6&quot;/&gt;&lt;wsp:rsid wsp:val=&quot;00FE1737&quot;/&gt;&lt;wsp:rsid wsp:val=&quot;00FE2319&quot;/&gt;&lt;wsp:rsid wsp:val=&quot;00FE2989&quot;/&gt;&lt;wsp:rsid wsp:val=&quot;00FE2ACE&quot;/&gt;&lt;wsp:rsid wsp:val=&quot;00FE2E4F&quot;/&gt;&lt;wsp:rsid wsp:val=&quot;00FE3A9D&quot;/&gt;&lt;wsp:rsid wsp:val=&quot;00FE3EC2&quot;/&gt;&lt;wsp:rsid wsp:val=&quot;00FE406A&quot;/&gt;&lt;wsp:rsid wsp:val=&quot;00FE4BF2&quot;/&gt;&lt;wsp:rsid wsp:val=&quot;00FE5105&quot;/&gt;&lt;wsp:rsid wsp:val=&quot;00FE5622&quot;/&gt;&lt;wsp:rsid wsp:val=&quot;00FE5669&quot;/&gt;&lt;wsp:rsid wsp:val=&quot;00FE583C&quot;/&gt;&lt;wsp:rsid wsp:val=&quot;00FE5916&quot;/&gt;&lt;wsp:rsid wsp:val=&quot;00FE598C&quot;/&gt;&lt;wsp:rsid wsp:val=&quot;00FE5D28&quot;/&gt;&lt;wsp:rsid wsp:val=&quot;00FE5FC5&quot;/&gt;&lt;wsp:rsid wsp:val=&quot;00FE6246&quot;/&gt;&lt;wsp:rsid wsp:val=&quot;00FE7670&quot;/&gt;&lt;wsp:rsid wsp:val=&quot;00FE7AE4&quot;/&gt;&lt;wsp:rsid wsp:val=&quot;00FE7F2F&quot;/&gt;&lt;wsp:rsid wsp:val=&quot;00FF1083&quot;/&gt;&lt;wsp:rsid wsp:val=&quot;00FF1247&quot;/&gt;&lt;wsp:rsid wsp:val=&quot;00FF1397&quot;/&gt;&lt;wsp:rsid wsp:val=&quot;00FF14A8&quot;/&gt;&lt;wsp:rsid wsp:val=&quot;00FF150A&quot;/&gt;&lt;wsp:rsid wsp:val=&quot;00FF1719&quot;/&gt;&lt;wsp:rsid wsp:val=&quot;00FF19FD&quot;/&gt;&lt;wsp:rsid wsp:val=&quot;00FF1CF1&quot;/&gt;&lt;wsp:rsid wsp:val=&quot;00FF2619&quot;/&gt;&lt;wsp:rsid wsp:val=&quot;00FF32FC&quot;/&gt;&lt;wsp:rsid wsp:val=&quot;00FF3355&quot;/&gt;&lt;wsp:rsid wsp:val=&quot;00FF3540&quot;/&gt;&lt;wsp:rsid wsp:val=&quot;00FF3979&quot;/&gt;&lt;wsp:rsid wsp:val=&quot;00FF3ADA&quot;/&gt;&lt;wsp:rsid wsp:val=&quot;00FF3CDB&quot;/&gt;&lt;wsp:rsid wsp:val=&quot;00FF3D4C&quot;/&gt;&lt;wsp:rsid wsp:val=&quot;00FF431A&quot;/&gt;&lt;wsp:rsid wsp:val=&quot;00FF48AF&quot;/&gt;&lt;wsp:rsid wsp:val=&quot;00FF4C70&quot;/&gt;&lt;wsp:rsid wsp:val=&quot;00FF4C96&quot;/&gt;&lt;wsp:rsid wsp:val=&quot;00FF4E2D&quot;/&gt;&lt;wsp:rsid wsp:val=&quot;00FF4FC7&quot;/&gt;&lt;wsp:rsid wsp:val=&quot;00FF57B8&quot;/&gt;&lt;wsp:rsid wsp:val=&quot;00FF59D1&quot;/&gt;&lt;wsp:rsid wsp:val=&quot;00FF62D4&quot;/&gt;&lt;wsp:rsid wsp:val=&quot;00FF6374&quot;/&gt;&lt;wsp:rsid wsp:val=&quot;00FF6A1B&quot;/&gt;&lt;wsp:rsid wsp:val=&quot;00FF6AFD&quot;/&gt;&lt;wsp:rsid wsp:val=&quot;00FF7210&quot;/&gt;&lt;wsp:rsid wsp:val=&quot;00FF74F4&quot;/&gt;&lt;wsp:rsid wsp:val=&quot;00FF797F&quot;/&gt;&lt;wsp:rsid wsp:val=&quot;00FF7B89&quot;/&gt;&lt;wsp:rsid wsp:val=&quot;01904007&quot;/&gt;&lt;wsp:rsid wsp:val=&quot;01B52F7F&quot;/&gt;&lt;wsp:rsid wsp:val=&quot;02920095&quot;/&gt;&lt;wsp:rsid wsp:val=&quot;02B37479&quot;/&gt;&lt;wsp:rsid wsp:val=&quot;02FE2009&quot;/&gt;&lt;wsp:rsid wsp:val=&quot;0323755B&quot;/&gt;&lt;wsp:rsid wsp:val=&quot;03553E87&quot;/&gt;&lt;wsp:rsid wsp:val=&quot;03A5656E&quot;/&gt;&lt;wsp:rsid wsp:val=&quot;03BA728A&quot;/&gt;&lt;wsp:rsid wsp:val=&quot;03EE0A38&quot;/&gt;&lt;wsp:rsid wsp:val=&quot;04421A04&quot;/&gt;&lt;wsp:rsid wsp:val=&quot;044B2B57&quot;/&gt;&lt;wsp:rsid wsp:val=&quot;04596379&quot;/&gt;&lt;wsp:rsid wsp:val=&quot;053F4E39&quot;/&gt;&lt;wsp:rsid wsp:val=&quot;056A6865&quot;/&gt;&lt;wsp:rsid wsp:val=&quot;05957097&quot;/&gt;&lt;wsp:rsid wsp:val=&quot;05E01426&quot;/&gt;&lt;wsp:rsid wsp:val=&quot;05F645A1&quot;/&gt;&lt;wsp:rsid wsp:val=&quot;07166A08&quot;/&gt;&lt;wsp:rsid wsp:val=&quot;072B69E6&quot;/&gt;&lt;wsp:rsid wsp:val=&quot;076A13D5&quot;/&gt;&lt;wsp:rsid wsp:val=&quot;07D773D9&quot;/&gt;&lt;wsp:rsid wsp:val=&quot;080404DD&quot;/&gt;&lt;wsp:rsid wsp:val=&quot;0827789D&quot;/&gt;&lt;wsp:rsid wsp:val=&quot;086806A7&quot;/&gt;&lt;wsp:rsid wsp:val=&quot;08D94574&quot;/&gt;&lt;wsp:rsid wsp:val=&quot;09167866&quot;/&gt;&lt;wsp:rsid wsp:val=&quot;092B0E42&quot;/&gt;&lt;wsp:rsid wsp:val=&quot;094C3896&quot;/&gt;&lt;wsp:rsid wsp:val=&quot;099D379E&quot;/&gt;&lt;wsp:rsid wsp:val=&quot;09E276C0&quot;/&gt;&lt;wsp:rsid wsp:val=&quot;09ED0EB9&quot;/&gt;&lt;wsp:rsid wsp:val=&quot;09F95097&quot;/&gt;&lt;wsp:rsid wsp:val=&quot;0A21406A&quot;/&gt;&lt;wsp:rsid wsp:val=&quot;0A4773D0&quot;/&gt;&lt;wsp:rsid wsp:val=&quot;0A565F04&quot;/&gt;&lt;wsp:rsid wsp:val=&quot;0A5F2353&quot;/&gt;&lt;wsp:rsid wsp:val=&quot;0ABD5FBA&quot;/&gt;&lt;wsp:rsid wsp:val=&quot;0B5A2007&quot;/&gt;&lt;wsp:rsid wsp:val=&quot;0B7B3911&quot;/&gt;&lt;wsp:rsid wsp:val=&quot;0BF201A5&quot;/&gt;&lt;wsp:rsid wsp:val=&quot;0C5E3A38&quot;/&gt;&lt;wsp:rsid wsp:val=&quot;0C7D34DA&quot;/&gt;&lt;wsp:rsid wsp:val=&quot;0CB005DE&quot;/&gt;&lt;wsp:rsid wsp:val=&quot;0D08446E&quot;/&gt;&lt;wsp:rsid wsp:val=&quot;0D2B78E3&quot;/&gt;&lt;wsp:rsid wsp:val=&quot;0D4E4DAD&quot;/&gt;&lt;wsp:rsid wsp:val=&quot;0D51796B&quot;/&gt;&lt;wsp:rsid wsp:val=&quot;0D666B65&quot;/&gt;&lt;wsp:rsid wsp:val=&quot;0D9B676D&quot;/&gt;&lt;wsp:rsid wsp:val=&quot;0DCD44D3&quot;/&gt;&lt;wsp:rsid wsp:val=&quot;0DF441E4&quot;/&gt;&lt;wsp:rsid wsp:val=&quot;0E665707&quot;/&gt;&lt;wsp:rsid wsp:val=&quot;0EB1331A&quot;/&gt;&lt;wsp:rsid wsp:val=&quot;0EDC7530&quot;/&gt;&lt;wsp:rsid wsp:val=&quot;0EDE5C75&quot;/&gt;&lt;wsp:rsid wsp:val=&quot;0EE36FD4&quot;/&gt;&lt;wsp:rsid wsp:val=&quot;0F955D60&quot;/&gt;&lt;wsp:rsid wsp:val=&quot;0FA90366&quot;/&gt;&lt;wsp:rsid wsp:val=&quot;0FF33576&quot;/&gt;&lt;wsp:rsid wsp:val=&quot;101D5AE6&quot;/&gt;&lt;wsp:rsid wsp:val=&quot;103D5811&quot;/&gt;&lt;wsp:rsid wsp:val=&quot;106E4209&quot;/&gt;&lt;wsp:rsid wsp:val=&quot;108630D2&quot;/&gt;&lt;wsp:rsid wsp:val=&quot;10883793&quot;/&gt;&lt;wsp:rsid wsp:val=&quot;108B1CFD&quot;/&gt;&lt;wsp:rsid wsp:val=&quot;109B144E&quot;/&gt;&lt;wsp:rsid wsp:val=&quot;10B46EE2&quot;/&gt;&lt;wsp:rsid wsp:val=&quot;10CC691B&quot;/&gt;&lt;wsp:rsid wsp:val=&quot;110D4BBB&quot;/&gt;&lt;wsp:rsid wsp:val=&quot;11165221&quot;/&gt;&lt;wsp:rsid wsp:val=&quot;115437EB&quot;/&gt;&lt;wsp:rsid wsp:val=&quot;12487426&quot;/&gt;&lt;wsp:rsid wsp:val=&quot;13487CE2&quot;/&gt;&lt;wsp:rsid wsp:val=&quot;13BB6E4D&quot;/&gt;&lt;wsp:rsid wsp:val=&quot;13C771A7&quot;/&gt;&lt;wsp:rsid wsp:val=&quot;145D37A8&quot;/&gt;&lt;wsp:rsid wsp:val=&quot;151A407D&quot;/&gt;&lt;wsp:rsid wsp:val=&quot;152067EE&quot;/&gt;&lt;wsp:rsid wsp:val=&quot;1609079A&quot;/&gt;&lt;wsp:rsid wsp:val=&quot;160D7807&quot;/&gt;&lt;wsp:rsid wsp:val=&quot;16315934&quot;/&gt;&lt;wsp:rsid wsp:val=&quot;164E43DF&quot;/&gt;&lt;wsp:rsid wsp:val=&quot;16707602&quot;/&gt;&lt;wsp:rsid wsp:val=&quot;16BC0232&quot;/&gt;&lt;wsp:rsid wsp:val=&quot;16EE1DF7&quot;/&gt;&lt;wsp:rsid wsp:val=&quot;171F61DF&quot;/&gt;&lt;wsp:rsid wsp:val=&quot;1783778D&quot;/&gt;&lt;wsp:rsid wsp:val=&quot;17C14FC3&quot;/&gt;&lt;wsp:rsid wsp:val=&quot;17EF7588&quot;/&gt;&lt;wsp:rsid wsp:val=&quot;183F1BA5&quot;/&gt;&lt;wsp:rsid wsp:val=&quot;184F140A&quot;/&gt;&lt;wsp:rsid wsp:val=&quot;186F37E2&quot;/&gt;&lt;wsp:rsid wsp:val=&quot;18FB0F66&quot;/&gt;&lt;wsp:rsid wsp:val=&quot;18FB7085&quot;/&gt;&lt;wsp:rsid wsp:val=&quot;19162B71&quot;/&gt;&lt;wsp:rsid wsp:val=&quot;19715863&quot;/&gt;&lt;wsp:rsid wsp:val=&quot;198753E9&quot;/&gt;&lt;wsp:rsid wsp:val=&quot;19C90D7B&quot;/&gt;&lt;wsp:rsid wsp:val=&quot;1A7B33B3&quot;/&gt;&lt;wsp:rsid wsp:val=&quot;1A88652C&quot;/&gt;&lt;wsp:rsid wsp:val=&quot;1A8F752E&quot;/&gt;&lt;wsp:rsid wsp:val=&quot;1A953298&quot;/&gt;&lt;wsp:rsid wsp:val=&quot;1AD95BC6&quot;/&gt;&lt;wsp:rsid wsp:val=&quot;1B5416E1&quot;/&gt;&lt;wsp:rsid wsp:val=&quot;1B565900&quot;/&gt;&lt;wsp:rsid wsp:val=&quot;1BCE3E3D&quot;/&gt;&lt;wsp:rsid wsp:val=&quot;1C4E50B2&quot;/&gt;&lt;wsp:rsid wsp:val=&quot;1C943B2A&quot;/&gt;&lt;wsp:rsid wsp:val=&quot;1CA71586&quot;/&gt;&lt;wsp:rsid wsp:val=&quot;1CB01854&quot;/&gt;&lt;wsp:rsid wsp:val=&quot;1D533F6A&quot;/&gt;&lt;wsp:rsid wsp:val=&quot;1D8C54C6&quot;/&gt;&lt;wsp:rsid wsp:val=&quot;1D933007&quot;/&gt;&lt;wsp:rsid wsp:val=&quot;1DB179FD&quot;/&gt;&lt;wsp:rsid wsp:val=&quot;1DE567F3&quot;/&gt;&lt;wsp:rsid wsp:val=&quot;1E8929A6&quot;/&gt;&lt;wsp:rsid wsp:val=&quot;1EC70060&quot;/&gt;&lt;wsp:rsid wsp:val=&quot;1EF27054&quot;/&gt;&lt;wsp:rsid wsp:val=&quot;1F2D5BAC&quot;/&gt;&lt;wsp:rsid wsp:val=&quot;1FFE0A96&quot;/&gt;&lt;wsp:rsid wsp:val=&quot;200640FC&quot;/&gt;&lt;wsp:rsid wsp:val=&quot;209C0BDB&quot;/&gt;&lt;wsp:rsid wsp:val=&quot;20B84BB9&quot;/&gt;&lt;wsp:rsid wsp:val=&quot;20BB38E7&quot;/&gt;&lt;wsp:rsid wsp:val=&quot;218B773D&quot;/&gt;&lt;wsp:rsid wsp:val=&quot;21AC6F9D&quot;/&gt;&lt;wsp:rsid wsp:val=&quot;21C16FD7&quot;/&gt;&lt;wsp:rsid wsp:val=&quot;224E132E&quot;/&gt;&lt;wsp:rsid wsp:val=&quot;22773A35&quot;/&gt;&lt;wsp:rsid wsp:val=&quot;22C244A5&quot;/&gt;&lt;wsp:rsid wsp:val=&quot;22CA5EAA&quot;/&gt;&lt;wsp:rsid wsp:val=&quot;231A049F&quot;/&gt;&lt;wsp:rsid wsp:val=&quot;239B6ED3&quot;/&gt;&lt;wsp:rsid wsp:val=&quot;23DF2CE7&quot;/&gt;&lt;wsp:rsid wsp:val=&quot;24490971&quot;/&gt;&lt;wsp:rsid wsp:val=&quot;248A2873&quot;/&gt;&lt;wsp:rsid wsp:val=&quot;24B91B41&quot;/&gt;&lt;wsp:rsid wsp:val=&quot;25020AE4&quot;/&gt;&lt;wsp:rsid wsp:val=&quot;251004E7&quot;/&gt;&lt;wsp:rsid wsp:val=&quot;25AF7328&quot;/&gt;&lt;wsp:rsid wsp:val=&quot;25CA697A&quot;/&gt;&lt;wsp:rsid wsp:val=&quot;26336213&quot;/&gt;&lt;wsp:rsid wsp:val=&quot;266712D5&quot;/&gt;&lt;wsp:rsid wsp:val=&quot;266B7CE1&quot;/&gt;&lt;wsp:rsid wsp:val=&quot;26C82176&quot;/&gt;&lt;wsp:rsid wsp:val=&quot;26FA7F38&quot;/&gt;&lt;wsp:rsid wsp:val=&quot;272357C9&quot;/&gt;&lt;wsp:rsid wsp:val=&quot;279E4B32&quot;/&gt;&lt;wsp:rsid wsp:val=&quot;27CC0F8A&quot;/&gt;&lt;wsp:rsid wsp:val=&quot;28362D4D&quot;/&gt;&lt;wsp:rsid wsp:val=&quot;28834FC2&quot;/&gt;&lt;wsp:rsid wsp:val=&quot;288D067D&quot;/&gt;&lt;wsp:rsid wsp:val=&quot;28BB61B8&quot;/&gt;&lt;wsp:rsid wsp:val=&quot;28C424DA&quot;/&gt;&lt;wsp:rsid wsp:val=&quot;28EF6012&quot;/&gt;&lt;wsp:rsid wsp:val=&quot;293943AB&quot;/&gt;&lt;wsp:rsid wsp:val=&quot;294A5328&quot;/&gt;&lt;wsp:rsid wsp:val=&quot;29562CBE&quot;/&gt;&lt;wsp:rsid wsp:val=&quot;297C1EF1&quot;/&gt;&lt;wsp:rsid wsp:val=&quot;29986D6E&quot;/&gt;&lt;wsp:rsid wsp:val=&quot;29B82DF9&quot;/&gt;&lt;wsp:rsid wsp:val=&quot;29DA2123&quot;/&gt;&lt;wsp:rsid wsp:val=&quot;2A1358E7&quot;/&gt;&lt;wsp:rsid wsp:val=&quot;2A1424A2&quot;/&gt;&lt;wsp:rsid wsp:val=&quot;2A2C044F&quot;/&gt;&lt;wsp:rsid wsp:val=&quot;2A5976D6&quot;/&gt;&lt;wsp:rsid wsp:val=&quot;2A667EDB&quot;/&gt;&lt;wsp:rsid wsp:val=&quot;2A867DD6&quot;/&gt;&lt;wsp:rsid wsp:val=&quot;2A9A10B9&quot;/&gt;&lt;wsp:rsid wsp:val=&quot;2ACD3BEC&quot;/&gt;&lt;wsp:rsid wsp:val=&quot;2BA528F7&quot;/&gt;&lt;wsp:rsid wsp:val=&quot;2C592B9B&quot;/&gt;&lt;wsp:rsid wsp:val=&quot;2CA96BB4&quot;/&gt;&lt;wsp:rsid wsp:val=&quot;2CC060EE&quot;/&gt;&lt;wsp:rsid wsp:val=&quot;2CEB42EE&quot;/&gt;&lt;wsp:rsid wsp:val=&quot;2CEE1C6D&quot;/&gt;&lt;wsp:rsid wsp:val=&quot;2CF94377&quot;/&gt;&lt;wsp:rsid wsp:val=&quot;2D60265C&quot;/&gt;&lt;wsp:rsid wsp:val=&quot;2D90533A&quot;/&gt;&lt;wsp:rsid wsp:val=&quot;2E75070D&quot;/&gt;&lt;wsp:rsid wsp:val=&quot;2E75790E&quot;/&gt;&lt;wsp:rsid wsp:val=&quot;2E9C7473&quot;/&gt;&lt;wsp:rsid wsp:val=&quot;2EB47F6B&quot;/&gt;&lt;wsp:rsid wsp:val=&quot;2FAF4850&quot;/&gt;&lt;wsp:rsid wsp:val=&quot;2FD15770&quot;/&gt;&lt;wsp:rsid wsp:val=&quot;305F12C7&quot;/&gt;&lt;wsp:rsid wsp:val=&quot;30B7776F&quot;/&gt;&lt;wsp:rsid wsp:val=&quot;31303E97&quot;/&gt;&lt;wsp:rsid wsp:val=&quot;31BC7E43&quot;/&gt;&lt;wsp:rsid wsp:val=&quot;322E27C9&quot;/&gt;&lt;wsp:rsid wsp:val=&quot;3268631D&quot;/&gt;&lt;wsp:rsid wsp:val=&quot;32B6014E&quot;/&gt;&lt;wsp:rsid wsp:val=&quot;33983990&quot;/&gt;&lt;wsp:rsid wsp:val=&quot;339972D2&quot;/&gt;&lt;wsp:rsid wsp:val=&quot;339A2B59&quot;/&gt;&lt;wsp:rsid wsp:val=&quot;33C1435D&quot;/&gt;&lt;wsp:rsid wsp:val=&quot;33C57E14&quot;/&gt;&lt;wsp:rsid wsp:val=&quot;33E312BB&quot;/&gt;&lt;wsp:rsid wsp:val=&quot;33EB32F2&quot;/&gt;&lt;wsp:rsid wsp:val=&quot;33ED430A&quot;/&gt;&lt;wsp:rsid wsp:val=&quot;34A777FF&quot;/&gt;&lt;wsp:rsid wsp:val=&quot;34AD215C&quot;/&gt;&lt;wsp:rsid wsp:val=&quot;356F4861&quot;/&gt;&lt;wsp:rsid wsp:val=&quot;35744F05&quot;/&gt;&lt;wsp:rsid wsp:val=&quot;35D65175&quot;/&gt;&lt;wsp:rsid wsp:val=&quot;36724672&quot;/&gt;&lt;wsp:rsid wsp:val=&quot;369F1C1F&quot;/&gt;&lt;wsp:rsid wsp:val=&quot;36C46922&quot;/&gt;&lt;wsp:rsid wsp:val=&quot;374F3B2F&quot;/&gt;&lt;wsp:rsid wsp:val=&quot;376003CF&quot;/&gt;&lt;wsp:rsid wsp:val=&quot;376D0368&quot;/&gt;&lt;wsp:rsid wsp:val=&quot;37E32F9A&quot;/&gt;&lt;wsp:rsid wsp:val=&quot;37F560F4&quot;/&gt;&lt;wsp:rsid wsp:val=&quot;389B6149&quot;/&gt;&lt;wsp:rsid wsp:val=&quot;389E5AAC&quot;/&gt;&lt;wsp:rsid wsp:val=&quot;38D618CA&quot;/&gt;&lt;wsp:rsid wsp:val=&quot;39014F7D&quot;/&gt;&lt;wsp:rsid wsp:val=&quot;39417FF5&quot;/&gt;&lt;wsp:rsid wsp:val=&quot;39532D82&quot;/&gt;&lt;wsp:rsid wsp:val=&quot;39A21F72&quot;/&gt;&lt;wsp:rsid wsp:val=&quot;39C31AF2&quot;/&gt;&lt;wsp:rsid wsp:val=&quot;39C36A5B&quot;/&gt;&lt;wsp:rsid wsp:val=&quot;39DA4BD5&quot;/&gt;&lt;wsp:rsid wsp:val=&quot;3A150264&quot;/&gt;&lt;wsp:rsid wsp:val=&quot;3A6B28F3&quot;/&gt;&lt;wsp:rsid wsp:val=&quot;3BD77ED0&quot;/&gt;&lt;wsp:rsid wsp:val=&quot;3BF7356A&quot;/&gt;&lt;wsp:rsid wsp:val=&quot;3C3B6104&quot;/&gt;&lt;wsp:rsid wsp:val=&quot;3C544E6E&quot;/&gt;&lt;wsp:rsid wsp:val=&quot;3C937972&quot;/&gt;&lt;wsp:rsid wsp:val=&quot;3CC06927&quot;/&gt;&lt;wsp:rsid wsp:val=&quot;3D853B21&quot;/&gt;&lt;wsp:rsid wsp:val=&quot;3DAF2871&quot;/&gt;&lt;wsp:rsid wsp:val=&quot;3E0165C6&quot;/&gt;&lt;wsp:rsid wsp:val=&quot;3E2C3208&quot;/&gt;&lt;wsp:rsid wsp:val=&quot;3E821DCF&quot;/&gt;&lt;wsp:rsid wsp:val=&quot;3EE90255&quot;/&gt;&lt;wsp:rsid wsp:val=&quot;3F1324E3&quot;/&gt;&lt;wsp:rsid wsp:val=&quot;3F195879&quot;/&gt;&lt;wsp:rsid wsp:val=&quot;3F1B2688&quot;/&gt;&lt;wsp:rsid wsp:val=&quot;3FF56548&quot;/&gt;&lt;wsp:rsid wsp:val=&quot;3FFE6A7F&quot;/&gt;&lt;wsp:rsid wsp:val=&quot;4015585F&quot;/&gt;&lt;wsp:rsid wsp:val=&quot;417F46C5&quot;/&gt;&lt;wsp:rsid wsp:val=&quot;422755D9&quot;/&gt;&lt;wsp:rsid wsp:val=&quot;42652B3F&quot;/&gt;&lt;wsp:rsid wsp:val=&quot;42E875BF&quot;/&gt;&lt;wsp:rsid wsp:val=&quot;433E3666&quot;/&gt;&lt;wsp:rsid wsp:val=&quot;43633399&quot;/&gt;&lt;wsp:rsid wsp:val=&quot;43B12C78&quot;/&gt;&lt;wsp:rsid wsp:val=&quot;448501F9&quot;/&gt;&lt;wsp:rsid wsp:val=&quot;44AE1FAF&quot;/&gt;&lt;wsp:rsid wsp:val=&quot;44E81115&quot;/&gt;&lt;wsp:rsid wsp:val=&quot;456304C5&quot;/&gt;&lt;wsp:rsid wsp:val=&quot;45BD215A&quot;/&gt;&lt;wsp:rsid wsp:val=&quot;45CD1A46&quot;/&gt;&lt;wsp:rsid wsp:val=&quot;462D0C89&quot;/&gt;&lt;wsp:rsid wsp:val=&quot;4636084B&quot;/&gt;&lt;wsp:rsid wsp:val=&quot;46506C11&quot;/&gt;&lt;wsp:rsid wsp:val=&quot;46DF32AF&quot;/&gt;&lt;wsp:rsid wsp:val=&quot;472F3A5C&quot;/&gt;&lt;wsp:rsid wsp:val=&quot;47594679&quot;/&gt;&lt;wsp:rsid wsp:val=&quot;47ED5B5F&quot;/&gt;&lt;wsp:rsid wsp:val=&quot;47FD6FCC&quot;/&gt;&lt;wsp:rsid wsp:val=&quot;48347217&quot;/&gt;&lt;wsp:rsid wsp:val=&quot;48B64B23&quot;/&gt;&lt;wsp:rsid wsp:val=&quot;48F96550&quot;/&gt;&lt;wsp:rsid wsp:val=&quot;492679B2&quot;/&gt;&lt;wsp:rsid wsp:val=&quot;49497B6C&quot;/&gt;&lt;wsp:rsid wsp:val=&quot;49660A12&quot;/&gt;&lt;wsp:rsid wsp:val=&quot;49C661D5&quot;/&gt;&lt;wsp:rsid wsp:val=&quot;49D626BA&quot;/&gt;&lt;wsp:rsid wsp:val=&quot;49EF206F&quot;/&gt;&lt;wsp:rsid wsp:val=&quot;4A1A2C9C&quot;/&gt;&lt;wsp:rsid wsp:val=&quot;4A350712&quot;/&gt;&lt;wsp:rsid wsp:val=&quot;4A4D411E&quot;/&gt;&lt;wsp:rsid wsp:val=&quot;4AB110E7&quot;/&gt;&lt;wsp:rsid wsp:val=&quot;4B0B5F1E&quot;/&gt;&lt;wsp:rsid wsp:val=&quot;4B3E4CC6&quot;/&gt;&lt;wsp:rsid wsp:val=&quot;4B9E2626&quot;/&gt;&lt;wsp:rsid wsp:val=&quot;4BC65E61&quot;/&gt;&lt;wsp:rsid wsp:val=&quot;4BDD7CAC&quot;/&gt;&lt;wsp:rsid wsp:val=&quot;4C3F3714&quot;/&gt;&lt;wsp:rsid wsp:val=&quot;4CB66873&quot;/&gt;&lt;wsp:rsid wsp:val=&quot;4D5512A6&quot;/&gt;&lt;wsp:rsid wsp:val=&quot;4D6E4BF8&quot;/&gt;&lt;wsp:rsid wsp:val=&quot;4DA451BE&quot;/&gt;&lt;wsp:rsid wsp:val=&quot;4DEE1582&quot;/&gt;&lt;wsp:rsid wsp:val=&quot;4E3F09D6&quot;/&gt;&lt;wsp:rsid wsp:val=&quot;4E4064A4&quot;/&gt;&lt;wsp:rsid wsp:val=&quot;4E787E97&quot;/&gt;&lt;wsp:rsid wsp:val=&quot;4E824921&quot;/&gt;&lt;wsp:rsid wsp:val=&quot;4E945A3C&quot;/&gt;&lt;wsp:rsid wsp:val=&quot;4EAF4003&quot;/&gt;&lt;wsp:rsid wsp:val=&quot;4ED55179&quot;/&gt;&lt;wsp:rsid wsp:val=&quot;4F2749C2&quot;/&gt;&lt;wsp:rsid wsp:val=&quot;4F405267&quot;/&gt;&lt;wsp:rsid wsp:val=&quot;4FA64580&quot;/&gt;&lt;wsp:rsid wsp:val=&quot;4FD74657&quot;/&gt;&lt;wsp:rsid wsp:val=&quot;4FE06A80&quot;/&gt;&lt;wsp:rsid wsp:val=&quot;4FE17582&quot;/&gt;&lt;wsp:rsid wsp:val=&quot;503F6DF4&quot;/&gt;&lt;wsp:rsid wsp:val=&quot;50905A3B&quot;/&gt;&lt;wsp:rsid wsp:val=&quot;50A91494&quot;/&gt;&lt;wsp:rsid wsp:val=&quot;50AF506E&quot;/&gt;&lt;wsp:rsid wsp:val=&quot;50D7647F&quot;/&gt;&lt;wsp:rsid wsp:val=&quot;51262697&quot;/&gt;&lt;wsp:rsid wsp:val=&quot;513C0A75&quot;/&gt;&lt;wsp:rsid wsp:val=&quot;51843EF1&quot;/&gt;&lt;wsp:rsid wsp:val=&quot;519C5CD8&quot;/&gt;&lt;wsp:rsid wsp:val=&quot;51AB1600&quot;/&gt;&lt;wsp:rsid wsp:val=&quot;52033936&quot;/&gt;&lt;wsp:rsid wsp:val=&quot;522B56F7&quot;/&gt;&lt;wsp:rsid wsp:val=&quot;52562BF1&quot;/&gt;&lt;wsp:rsid wsp:val=&quot;526A1AAB&quot;/&gt;&lt;wsp:rsid wsp:val=&quot;527E482E&quot;/&gt;&lt;wsp:rsid wsp:val=&quot;52A20D24&quot;/&gt;&lt;wsp:rsid wsp:val=&quot;52CD48B5&quot;/&gt;&lt;wsp:rsid wsp:val=&quot;532A7E1B&quot;/&gt;&lt;wsp:rsid wsp:val=&quot;534472D7&quot;/&gt;&lt;wsp:rsid wsp:val=&quot;53562019&quot;/&gt;&lt;wsp:rsid wsp:val=&quot;536924F3&quot;/&gt;&lt;wsp:rsid wsp:val=&quot;53DF638D&quot;/&gt;&lt;wsp:rsid wsp:val=&quot;541D7EF3&quot;/&gt;&lt;wsp:rsid wsp:val=&quot;54227B98&quot;/&gt;&lt;wsp:rsid wsp:val=&quot;54823852&quot;/&gt;&lt;wsp:rsid wsp:val=&quot;54F7137E&quot;/&gt;&lt;wsp:rsid wsp:val=&quot;557A1AD2&quot;/&gt;&lt;wsp:rsid wsp:val=&quot;55B00CDC&quot;/&gt;&lt;wsp:rsid wsp:val=&quot;55B473AC&quot;/&gt;&lt;wsp:rsid wsp:val=&quot;56335093&quot;/&gt;&lt;wsp:rsid wsp:val=&quot;56582DE2&quot;/&gt;&lt;wsp:rsid wsp:val=&quot;56C050DA&quot;/&gt;&lt;wsp:rsid wsp:val=&quot;56C851F5&quot;/&gt;&lt;wsp:rsid wsp:val=&quot;576D1373&quot;/&gt;&lt;wsp:rsid wsp:val=&quot;57845C63&quot;/&gt;&lt;wsp:rsid wsp:val=&quot;57CC3BB5&quot;/&gt;&lt;wsp:rsid wsp:val=&quot;58330E3D&quot;/&gt;&lt;wsp:rsid wsp:val=&quot;584949AE&quot;/&gt;&lt;wsp:rsid wsp:val=&quot;585154C0&quot;/&gt;&lt;wsp:rsid wsp:val=&quot;58536F80&quot;/&gt;&lt;wsp:rsid wsp:val=&quot;58602963&quot;/&gt;&lt;wsp:rsid wsp:val=&quot;586650F0&quot;/&gt;&lt;wsp:rsid wsp:val=&quot;591C3767&quot;/&gt;&lt;wsp:rsid wsp:val=&quot;59FE2D26&quot;/&gt;&lt;wsp:rsid wsp:val=&quot;5A0E08BC&quot;/&gt;&lt;wsp:rsid wsp:val=&quot;5A14569F&quot;/&gt;&lt;wsp:rsid wsp:val=&quot;5A1C3D0F&quot;/&gt;&lt;wsp:rsid wsp:val=&quot;5A3011EB&quot;/&gt;&lt;wsp:rsid wsp:val=&quot;5A7C7B14&quot;/&gt;&lt;wsp:rsid wsp:val=&quot;5A9F41D4&quot;/&gt;&lt;wsp:rsid wsp:val=&quot;5B6750FE&quot;/&gt;&lt;wsp:rsid wsp:val=&quot;5B812FC1&quot;/&gt;&lt;wsp:rsid wsp:val=&quot;5B9961BA&quot;/&gt;&lt;wsp:rsid wsp:val=&quot;5BCB2884&quot;/&gt;&lt;wsp:rsid wsp:val=&quot;5C253161&quot;/&gt;&lt;wsp:rsid wsp:val=&quot;5C31365A&quot;/&gt;&lt;wsp:rsid wsp:val=&quot;5C5816D5&quot;/&gt;&lt;wsp:rsid wsp:val=&quot;5C6E731E&quot;/&gt;&lt;wsp:rsid wsp:val=&quot;5CBF5572&quot;/&gt;&lt;wsp:rsid wsp:val=&quot;5D0B7E24&quot;/&gt;&lt;wsp:rsid wsp:val=&quot;5D0C02AA&quot;/&gt;&lt;wsp:rsid wsp:val=&quot;5D20757B&quot;/&gt;&lt;wsp:rsid wsp:val=&quot;5D7C3215&quot;/&gt;&lt;wsp:rsid wsp:val=&quot;5DAD3FBE&quot;/&gt;&lt;wsp:rsid wsp:val=&quot;5E312CCA&quot;/&gt;&lt;wsp:rsid wsp:val=&quot;5E8A123E&quot;/&gt;&lt;wsp:rsid wsp:val=&quot;5E92443D&quot;/&gt;&lt;wsp:rsid wsp:val=&quot;5EB35A42&quot;/&gt;&lt;wsp:rsid wsp:val=&quot;5F0A4B08&quot;/&gt;&lt;wsp:rsid wsp:val=&quot;5F8D1535&quot;/&gt;&lt;wsp:rsid wsp:val=&quot;5F95411D&quot;/&gt;&lt;wsp:rsid wsp:val=&quot;5F974DD7&quot;/&gt;&lt;wsp:rsid wsp:val=&quot;5FF347A0&quot;/&gt;&lt;wsp:rsid wsp:val=&quot;60050D0A&quot;/&gt;&lt;wsp:rsid wsp:val=&quot;600D643D&quot;/&gt;&lt;wsp:rsid wsp:val=&quot;60521D85&quot;/&gt;&lt;wsp:rsid wsp:val=&quot;605D356F&quot;/&gt;&lt;wsp:rsid wsp:val=&quot;60EC344B&quot;/&gt;&lt;wsp:rsid wsp:val=&quot;60F54484&quot;/&gt;&lt;wsp:rsid wsp:val=&quot;615658EE&quot;/&gt;&lt;wsp:rsid wsp:val=&quot;615E5935&quot;/&gt;&lt;wsp:rsid wsp:val=&quot;61A23A1A&quot;/&gt;&lt;wsp:rsid wsp:val=&quot;61CA359F&quot;/&gt;&lt;wsp:rsid wsp:val=&quot;624B08A7&quot;/&gt;&lt;wsp:rsid wsp:val=&quot;6274528B&quot;/&gt;&lt;wsp:rsid wsp:val=&quot;627F1C15&quot;/&gt;&lt;wsp:rsid wsp:val=&quot;62B90ADA&quot;/&gt;&lt;wsp:rsid wsp:val=&quot;63067368&quot;/&gt;&lt;wsp:rsid wsp:val=&quot;636A20D2&quot;/&gt;&lt;wsp:rsid wsp:val=&quot;637B5989&quot;/&gt;&lt;wsp:rsid wsp:val=&quot;63AA0D0D&quot;/&gt;&lt;wsp:rsid wsp:val=&quot;646111D5&quot;/&gt;&lt;wsp:rsid wsp:val=&quot;64914931&quot;/&gt;&lt;wsp:rsid wsp:val=&quot;652D5D3B&quot;/&gt;&lt;wsp:rsid wsp:val=&quot;653B7FE3&quot;/&gt;&lt;wsp:rsid wsp:val=&quot;668762B5&quot;/&gt;&lt;wsp:rsid wsp:val=&quot;66FA33A2&quot;/&gt;&lt;wsp:rsid wsp:val=&quot;67112A52&quot;/&gt;&lt;wsp:rsid wsp:val=&quot;671203FE&quot;/&gt;&lt;wsp:rsid wsp:val=&quot;676B6CF9&quot;/&gt;&lt;wsp:rsid wsp:val=&quot;677E3E01&quot;/&gt;&lt;wsp:rsid wsp:val=&quot;67EF5708&quot;/&gt;&lt;wsp:rsid wsp:val=&quot;685E3252&quot;/&gt;&lt;wsp:rsid wsp:val=&quot;69432CF1&quot;/&gt;&lt;wsp:rsid wsp:val=&quot;69547606&quot;/&gt;&lt;wsp:rsid wsp:val=&quot;696F37AB&quot;/&gt;&lt;wsp:rsid wsp:val=&quot;697D28AB&quot;/&gt;&lt;wsp:rsid wsp:val=&quot;6A1D6D4E&quot;/&gt;&lt;wsp:rsid wsp:val=&quot;6A593BA5&quot;/&gt;&lt;wsp:rsid wsp:val=&quot;6B1B0967&quot;/&gt;&lt;wsp:rsid wsp:val=&quot;6B920F86&quot;/&gt;&lt;wsp:rsid wsp:val=&quot;6BC03D24&quot;/&gt;&lt;wsp:rsid wsp:val=&quot;6C0E47D6&quot;/&gt;&lt;wsp:rsid wsp:val=&quot;6C6C2814&quot;/&gt;&lt;wsp:rsid wsp:val=&quot;6D1E188C&quot;/&gt;&lt;wsp:rsid wsp:val=&quot;6D3D19ED&quot;/&gt;&lt;wsp:rsid wsp:val=&quot;6D5301C5&quot;/&gt;&lt;wsp:rsid wsp:val=&quot;6D946491&quot;/&gt;&lt;wsp:rsid wsp:val=&quot;6E210F62&quot;/&gt;&lt;wsp:rsid wsp:val=&quot;6E2B1482&quot;/&gt;&lt;wsp:rsid wsp:val=&quot;6E3A4328&quot;/&gt;&lt;wsp:rsid wsp:val=&quot;6E9852ED&quot;/&gt;&lt;wsp:rsid wsp:val=&quot;6EB826D6&quot;/&gt;&lt;wsp:rsid wsp:val=&quot;6F3F0791&quot;/&gt;&lt;wsp:rsid wsp:val=&quot;7039390D&quot;/&gt;&lt;wsp:rsid wsp:val=&quot;704857D2&quot;/&gt;&lt;wsp:rsid wsp:val=&quot;70AD34E2&quot;/&gt;&lt;wsp:rsid wsp:val=&quot;70F31224&quot;/&gt;&lt;wsp:rsid wsp:val=&quot;710418E1&quot;/&gt;&lt;wsp:rsid wsp:val=&quot;71946E48&quot;/&gt;&lt;wsp:rsid wsp:val=&quot;723412BE&quot;/&gt;&lt;wsp:rsid wsp:val=&quot;728F7361&quot;/&gt;&lt;wsp:rsid wsp:val=&quot;72A65046&quot;/&gt;&lt;wsp:rsid wsp:val=&quot;732A5EA0&quot;/&gt;&lt;wsp:rsid wsp:val=&quot;733B144C&quot;/&gt;&lt;wsp:rsid wsp:val=&quot;734F28B9&quot;/&gt;&lt;wsp:rsid wsp:val=&quot;73890EE2&quot;/&gt;&lt;wsp:rsid wsp:val=&quot;73C85B40&quot;/&gt;&lt;wsp:rsid wsp:val=&quot;741802A5&quot;/&gt;&lt;wsp:rsid wsp:val=&quot;74390556&quot;/&gt;&lt;wsp:rsid wsp:val=&quot;747C3740&quot;/&gt;&lt;wsp:rsid wsp:val=&quot;74F26A35&quot;/&gt;&lt;wsp:rsid wsp:val=&quot;75B51ECF&quot;/&gt;&lt;wsp:rsid wsp:val=&quot;75EA47CE&quot;/&gt;&lt;wsp:rsid wsp:val=&quot;76426669&quot;/&gt;&lt;wsp:rsid wsp:val=&quot;76964626&quot;/&gt;&lt;wsp:rsid wsp:val=&quot;769A15AF&quot;/&gt;&lt;wsp:rsid wsp:val=&quot;775C53AC&quot;/&gt;&lt;wsp:rsid wsp:val=&quot;77B1317B&quot;/&gt;&lt;wsp:rsid wsp:val=&quot;77B31097&quot;/&gt;&lt;wsp:rsid wsp:val=&quot;7810051E&quot;/&gt;&lt;wsp:rsid wsp:val=&quot;7861350B&quot;/&gt;&lt;wsp:rsid wsp:val=&quot;786765F6&quot;/&gt;&lt;wsp:rsid wsp:val=&quot;78BC04E7&quot;/&gt;&lt;wsp:rsid wsp:val=&quot;78D57477&quot;/&gt;&lt;wsp:rsid wsp:val=&quot;79241D3B&quot;/&gt;&lt;wsp:rsid wsp:val=&quot;79A56B50&quot;/&gt;&lt;wsp:rsid wsp:val=&quot;79F7592F&quot;/&gt;&lt;wsp:rsid wsp:val=&quot;7A2F5A92&quot;/&gt;&lt;wsp:rsid wsp:val=&quot;7A6F0610&quot;/&gt;&lt;wsp:rsid wsp:val=&quot;7A751A95&quot;/&gt;&lt;wsp:rsid wsp:val=&quot;7A7D3826&quot;/&gt;&lt;wsp:rsid wsp:val=&quot;7AC82A82&quot;/&gt;&lt;wsp:rsid wsp:val=&quot;7B082B9B&quot;/&gt;&lt;wsp:rsid wsp:val=&quot;7B2E6E84&quot;/&gt;&lt;wsp:rsid wsp:val=&quot;7B3C0C28&quot;/&gt;&lt;wsp:rsid wsp:val=&quot;7B46149E&quot;/&gt;&lt;wsp:rsid wsp:val=&quot;7B48074C&quot;/&gt;&lt;wsp:rsid wsp:val=&quot;7B480EC1&quot;/&gt;&lt;wsp:rsid wsp:val=&quot;7BA44CE6&quot;/&gt;&lt;wsp:rsid wsp:val=&quot;7BD82EEA&quot;/&gt;&lt;wsp:rsid wsp:val=&quot;7BEA7714&quot;/&gt;&lt;wsp:rsid wsp:val=&quot;7BF074D5&quot;/&gt;&lt;wsp:rsid wsp:val=&quot;7BF25FCB&quot;/&gt;&lt;wsp:rsid wsp:val=&quot;7BF37812&quot;/&gt;&lt;wsp:rsid wsp:val=&quot;7C6B0C53&quot;/&gt;&lt;wsp:rsid wsp:val=&quot;7CC410F0&quot;/&gt;&lt;wsp:rsid wsp:val=&quot;7CCE4C27&quot;/&gt;&lt;wsp:rsid wsp:val=&quot;7CEF4309&quot;/&gt;&lt;wsp:rsid wsp:val=&quot;7DB25215&quot;/&gt;&lt;wsp:rsid wsp:val=&quot;7DD07E94&quot;/&gt;&lt;wsp:rsid wsp:val=&quot;7DDE28E3&quot;/&gt;&lt;wsp:rsid wsp:val=&quot;7E0D3668&quot;/&gt;&lt;wsp:rsid wsp:val=&quot;7E9A2C34&quot;/&gt;&lt;wsp:rsid wsp:val=&quot;7E9C025C&quot;/&gt;&lt;wsp:rsid wsp:val=&quot;7EAE30ED&quot;/&gt;&lt;wsp:rsid wsp:val=&quot;7ED047DB&quot;/&gt;&lt;wsp:rsid wsp:val=&quot;7ED2154C&quot;/&gt;&lt;wsp:rsid wsp:val=&quot;7F041C24&quot;/&gt;&lt;wsp:rsid wsp:val=&quot;7F0C0256&quot;/&gt;&lt;wsp:rsid wsp:val=&quot;7F3C19F3&quot;/&gt;&lt;wsp:rsid wsp:val=&quot;7F6A04A2&quot;/&gt;&lt;/wsp:rsids&gt;&lt;/w:docPr&gt;&lt;w:body&gt;&lt;w:p wsp:rsidR=&quot;00000000&quot; wsp:rsidRDefault=&quot;00BB3228&quot;&gt;&lt;w:pPr&gt;&lt;w:rPr&gt;&lt;wx:font wx:val=&quot;新宋体&quot;/&gt;&lt;/w:rPr&gt;&lt;/w:pPr&gt;&lt;m:oMathPara&gt;&lt;m:oMF04F04F04F04F04F04F04F04F04F04F04F04F04F04F04F04F04F04F04F04F04F04F04F04F04F04F04F04F04F04F04F04F04F04F04F04F04F04F04F04F04F04F04F04F04F04F04F04F04F04F04F04F04F04F04F04F04F04F04F04F04F04F04at41Ch&gt;&lt;m:nary&gt;&lt;m:naryPr&gt;&lt;m:chr m:val=&quot;∑&quot;/&gt;&lt;m:ctrlPr&gt;&lt;w:rPr&gt;&lt;w:rFont4s w4:as4cii4=&quot;C4amb4ria4 Ma4th&quot;4 w:4far4eas4t=&quot;4宋?04? F04w:hF04-anF04si=F04&quot;CaF04mbrF04ia F04MatF04h&quot;/F04&gt;&lt;wF04x:fF04ontF04 wxF04:vaF04l=&quot;F04CamF04briF04a MF04athF04&quot;/&gt;F04&lt;w:F04sz-F04cs F04w:vF04al=F04&quot;24F04&quot;/&gt;F04&lt;/wF04:rPF04r&gt;&lt;F04/m:F04ctrF04lPrF04&gt;&lt;/F044m:n4F04a4ryF044Pr&gt;4F04&lt;4m:F044sub4F04&gt;4&lt;mF044:r&gt;4F04&lt;4m:F044rPr4F04&gt;&lt;mF04:stF04y mF04:vaF04l=&quot;F04p&quot;/F04&gt;&lt;/m:41CrPr&gt;&lt;w:rPr&gt;&lt;w:rFonts w:ascii=&quot;Cambria Math&quot; w:fareast=&quot;宋体&quot; 04w:h-an04si=&quot;Ca04mbria 04Math&quot;/04&gt;&lt;wx:f04ont wx04:val=&quot;04Cambri04a Math04&quot;/&gt;&lt;w:0404sz-csn4 04w:a4val=0044&quot;24&quot;&gt;4/&gt;04&lt;&lt;4/w:rP0404r&gt;&lt;b4m:t04&gt;4&gt;i=0&lt;04/04m:&gt;4t&gt;&lt;/0&lt;44m:r&gt;04&lt;/04mr4:sub&gt;0&lt;m4&lt;m:sustp04&gt;&lt;m m:r&gt;04&lt;vam:rPr0=&quot;4&gt;&lt;m:s&quot;/t04y m&lt;/:va04lCr=&quot;p&quot;/0w:4&gt;&lt;/m:&lt;wr04Pr&gt;nt&lt;w:04rasPr&gt;&lt;w0&quot;C4:rFoniat04s wh&quot;:as04carii=&quot;C0=&quot;4ambria M1Cath&quot; w:fareast=&quot;?翁?04 n4w:h-ansa404i=&quot;Ca04mbr04ia&gt;4 Math&quot;0&lt;44/&gt;&lt;wx:04fo04nt b4wx:va04&gt;4l=&quot;Camb04r04ia M&gt;4ath&quot;04/&lt;4&gt;&lt;w:sz-0404cs w:r4val04=&quot;2&lt;m4&quot;/&gt;&lt;04/stw:rPr&gt;&lt;0 m4m:t&gt;n&lt;/vam04:t&gt;&lt;/=&quot;m:r04&gt;&lt;/&quot;/m:sup04&gt;&lt;/&lt;m:e&gt;&lt;m0Cr4:r&gt;&lt;m:rw:P04r&gt;&lt;m:&lt;wsty04 m:ntval=&quot;04pas&quot;/&gt;&lt;/m:0&quot;C4rPr&gt;&lt;w:&quot;?iar04Pr&gt;&lt;wh&quot;:rF04ontars w:a04s=&quot;cii=&quot;Ca0a 4mbria M&quot; a04th&quot; was:fa04reast=&quot;?04翁? 4w4:has04-4ans4i=&quot;C&quot;4C04am4bri4a Mat M414Ch&quot; w:hin4mt=&quot;fareastt4&quot;/&gt;&lt;wx:fomn4t wx:vala=&quot;4Cambria&quot; Ma4th&quot;/&gt;&lt;/w:sz4-cs w/:val=4&quot;24&quot;r/&gt;&lt;/w:4rPr:&gt;&lt;m:t&gt;C4&lt;/wm:t&gt;&lt;/m:4rt&gt;&lt;m:r&gt;&lt;m:4sr?Pr&gt;&lt;m:sty&lt;C4 m:val=o&quot;pa&quot;4/&gt;&lt;/am:rP&quot;r&gt;4&lt;=w:rPr&gt;r&lt;wb:4rFonts&quot;0 w:a4scii:= &quot;Camb4rtia  Math&quot; 4w:fsareast=4&quot;?t翁? 4w:ha04w4-a4nsi=&quot;Camas4404bria Matmhm4&quot;?04&quot; w:thinM4t=&quot;fa0m4reasn4t&quot;/&gt;a&lt;wx:04ft4on&quot;t wx:val=n4/&quot;C1Cambria /&quot;4Math&quot;/&gt;&lt;wr:sa4z-cs w::val=z4&quot;24&quot;/w&gt;&lt;?w:ve=4rtAt&lt;lign w:v:4oasl=&quot;subscariCC4pt&quot;/&gt;=&lt;/w:raP:4rb&gt;&lt;m:t&gt;i&quot;&lt;/0m:4:t&gt;&lt;/mr::r&gt;&lt;/y4m:et&gt;&quot;&lt;/m:nar&quot; 4y&gt; &lt;/m:oMsath&gt;4 &gt;&lt;/m:oMathPs:4ara&gt;&lt;/w:?tp&gt;&lt;a4w:sectPr wsb4p:rsidR=&quot;00 4000000&quot;&gt;&lt;w:=4pgSz w:w=&quot;12240&quot; w:h=&quot;15840&quot;/&gt;&lt;w:pgMar w:top=&quot;1440&quot; w:right=&quot;1800&quot; w:bottom=&quot;1440&quot; w:left=&quot;1800&quot; w:header=&quot;720&quot; w:footer=&quot;720&quot; w:gutter=&quot;0&quot;/&gt;&lt;w:cols w:space=&quot;720&quot;/&gt;&lt;/w:sectPr&gt;&lt;/w:body&gt;&lt;/w:wordDocument">
            <v:path/>
            <v:fill on="f" focussize="0,0"/>
            <v:stroke on="f"/>
            <v:imagedata r:id="rId117" chromakey="#FFFFFF" o:title=""/>
            <o:lock v:ext="edit" aspectratio="t"/>
            <w10:wrap type="none"/>
            <w10:anchorlock/>
          </v:shape>
        </w:pict>
      </w:r>
      <w:r>
        <w:rPr>
          <w:rFonts w:ascii="Times New Roman" w:hAnsi="Times New Roman"/>
          <w:szCs w:val="24"/>
          <w:highlight w:val="none"/>
        </w:rPr>
        <w:fldChar w:fldCharType="end"/>
      </w:r>
      <w:r>
        <w:rPr>
          <w:rFonts w:ascii="Times New Roman" w:hAnsi="Times New Roman"/>
          <w:szCs w:val="24"/>
          <w:highlight w:val="none"/>
        </w:rPr>
        <w:t>×V</w:t>
      </w:r>
      <w:r>
        <w:rPr>
          <w:rFonts w:ascii="Times New Roman" w:hAnsi="Times New Roman"/>
          <w:szCs w:val="24"/>
          <w:highlight w:val="none"/>
          <w:vertAlign w:val="subscript"/>
        </w:rPr>
        <w:t>i</w:t>
      </w:r>
      <w:r>
        <w:rPr>
          <w:rFonts w:ascii="Times New Roman" w:hAnsi="Times New Roman"/>
          <w:szCs w:val="24"/>
          <w:highlight w:val="none"/>
        </w:rPr>
        <w:t>×R</w:t>
      </w:r>
      <w:r>
        <w:rPr>
          <w:rFonts w:ascii="Times New Roman" w:hAnsi="Times New Roman"/>
          <w:szCs w:val="24"/>
          <w:highlight w:val="none"/>
          <w:vertAlign w:val="subscript"/>
        </w:rPr>
        <w:t>i</w:t>
      </w:r>
      <w:r>
        <w:rPr>
          <w:rFonts w:ascii="Times New Roman" w:hAnsi="Times New Roman"/>
          <w:szCs w:val="24"/>
          <w:highlight w:val="none"/>
        </w:rPr>
        <w:t>×</w:t>
      </w:r>
      <w:r>
        <w:rPr>
          <w:rFonts w:ascii="Times New Roman" w:hAnsi="Times New Roman"/>
          <w:szCs w:val="24"/>
          <w:highlight w:val="none"/>
          <w:vertAlign w:val="subscript"/>
        </w:rPr>
        <w:fldChar w:fldCharType="begin"/>
      </w:r>
      <w:r>
        <w:rPr>
          <w:rFonts w:ascii="Times New Roman" w:hAnsi="Times New Roman"/>
          <w:szCs w:val="24"/>
          <w:highlight w:val="none"/>
          <w:vertAlign w:val="subscript"/>
        </w:rPr>
        <w:instrText xml:space="preserve"> QUOTE </w:instrText>
      </w:r>
      <w:r>
        <w:rPr>
          <w:rFonts w:ascii="Times New Roman" w:hAnsi="Times New Roman" w:eastAsia="新宋体"/>
          <w:position w:val="-15"/>
          <w:szCs w:val="21"/>
          <w:highlight w:val="none"/>
        </w:rPr>
        <w:pict>
          <v:shape id="_x0000_i1036" o:spt="75" type="#_x0000_t75" style="height:23.15pt;width:6.25pt;" filled="f" o:preferrelative="t" stroked="f" coordsize="21600,21600"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isplayBackgroundShape/&gt;&lt;w:doNotEmbedSystemFonts/&gt;&lt;w:hideSpellingErrors/&gt;&lt;w:stylePaneFormatFilter w:val=&quot;3828&quot;/&gt;&lt;w:defaultTabStop w:val=&quot;420&quot;/&gt;&lt;w:drawingGridHorizontalSpacing w:val=&quot;105&quot;/&gt;&lt;w:drawingGridVerticalSpacing w:val=&quot;156&quot;/&gt;&lt;w:characterSpacingControl w:val=&quot;CompressPunctuation&quot;/&gt;&lt;w:webPageEncoding w:val=&quot;x-cp20936&quot;/&gt;&lt;w:optimizeForBrowser/&gt;&lt;w:savePreviewPicture/&gt;&lt;w:validateAgainstSchema w:val=&quot;off&quot;/&gt;&lt;w:saveInvalidXML w:val=&quot;off&quot;/&gt;&lt;w:ignoreMixedContent w:val=&quot;off&quot;/&gt;&lt;w:alwaysShowPlaceholderText w:val=&quot;off&quot;/&gt;&lt;w:doNotUnderlineInvalidXML/&gt;&lt;w:compat&gt;&lt;w:spaceForUL/&gt;&lt;w:balanceSingleByteDoubleByteWidth/&gt;&lt;w:doNotLeaveBackslashAlone/&gt;&lt;w:doNotExpandShiftReturn/&gt;&lt;w:adjustLineHeightInTable/&gt;&lt;w:breakWrappedTables/&gt;&lt;w:snapToGridInCell/&gt;&lt;w:dontGrowAutofit/&gt;&lt;w:useFELayout/&gt;&lt;/w:compat&gt;&lt;wsp:rsids&gt;&lt;wsp:rsidRoot wsp:val=&quot;00E25665&quot;/&gt;&lt;wsp:rsid wsp:val=&quot;000002F4&quot;/&gt;&lt;wsp:rsid wsp:val=&quot;00000996&quot;/&gt;&lt;wsp:rsid wsp:val=&quot;00000E1D&quot;/&gt;&lt;wsp:rsid wsp:val=&quot;00001111&quot;/&gt;&lt;wsp:rsid wsp:val=&quot;00001386&quot;/&gt;&lt;wsp:rsid wsp:val=&quot;00001B75&quot;/&gt;&lt;wsp:rsid wsp:val=&quot;00001D9E&quot;/&gt;&lt;wsp:rsid wsp:val=&quot;00002045&quot;/&gt;&lt;wsp:rsid wsp:val=&quot;0000266B&quot;/&gt;&lt;wsp:rsid wsp:val=&quot;00002E81&quot;/&gt;&lt;wsp:rsid wsp:val=&quot;000039AE&quot;/&gt;&lt;wsp:rsid wsp:val=&quot;00003DE4&quot;/&gt;&lt;wsp:rsid wsp:val=&quot;00003EDA&quot;/&gt;&lt;wsp:rsid wsp:val=&quot;0000494C&quot;/&gt;&lt;wsp:rsid wsp:val=&quot;00005521&quot;/&gt;&lt;wsp:rsid wsp:val=&quot;0000584D&quot;/&gt;&lt;wsp:rsid wsp:val=&quot;000058CC&quot;/&gt;&lt;wsp:rsid wsp:val=&quot;0000614F&quot;/&gt;&lt;wsp:rsid wsp:val=&quot;000064AB&quot;/&gt;&lt;wsp:rsid wsp:val=&quot;0000666C&quot;/&gt;&lt;wsp:rsid wsp:val=&quot;00006688&quot;/&gt;&lt;wsp:rsid wsp:val=&quot;000066CD&quot;/&gt;&lt;wsp:rsid wsp:val=&quot;0000695C&quot;/&gt;&lt;wsp:rsid wsp:val=&quot;000070B2&quot;/&gt;&lt;wsp:rsid wsp:val=&quot;00007363&quot;/&gt;&lt;wsp:rsid wsp:val=&quot;000076E0&quot;/&gt;&lt;wsp:rsid wsp:val=&quot;00007980&quot;/&gt;&lt;wsp:rsid wsp:val=&quot;00007C80&quot;/&gt;&lt;wsp:rsid wsp:val=&quot;00010141&quot;/&gt;&lt;wsp:rsid wsp:val=&quot;00010194&quot;/&gt;&lt;wsp:rsid wsp:val=&quot;0001030E&quot;/&gt;&lt;wsp:rsid wsp:val=&quot;000104E0&quot;/&gt;&lt;wsp:rsid wsp:val=&quot;00010A0B&quot;/&gt;&lt;wsp:rsid wsp:val=&quot;00010E6A&quot;/&gt;&lt;wsp:rsid wsp:val=&quot;00010E85&quot;/&gt;&lt;wsp:rsid wsp:val=&quot;00010FD3&quot;/&gt;&lt;wsp:rsid wsp:val=&quot;00011186&quot;/&gt;&lt;wsp:rsid wsp:val=&quot;00011C7F&quot;/&gt;&lt;wsp:rsid wsp:val=&quot;00011DA5&quot;/&gt;&lt;wsp:rsid wsp:val=&quot;00012A4A&quot;/&gt;&lt;wsp:rsid wsp:val=&quot;00012B34&quot;/&gt;&lt;wsp:rsid wsp:val=&quot;00012B68&quot;/&gt;&lt;wsp:rsid wsp:val=&quot;00012ED9&quot;/&gt;&lt;wsp:rsid wsp:val=&quot;0001305C&quot;/&gt;&lt;wsp:rsid wsp:val=&quot;00013190&quot;/&gt;&lt;wsp:rsid wsp:val=&quot;00013279&quot;/&gt;&lt;wsp:rsid wsp:val=&quot;000136FD&quot;/&gt;&lt;wsp:rsid wsp:val=&quot;000137BF&quot;/&gt;&lt;wsp:rsid wsp:val=&quot;000138C0&quot;/&gt;&lt;wsp:rsid wsp:val=&quot;00013CC2&quot;/&gt;&lt;wsp:rsid wsp:val=&quot;00014352&quot;/&gt;&lt;wsp:rsid wsp:val=&quot;000144D4&quot;/&gt;&lt;wsp:rsid wsp:val=&quot;00014C0C&quot;/&gt;&lt;wsp:rsid wsp:val=&quot;00014DBC&quot;/&gt;&lt;wsp:rsid wsp:val=&quot;00015013&quot;/&gt;&lt;wsp:rsid wsp:val=&quot;000151CB&quot;/&gt;&lt;wsp:rsid wsp:val=&quot;00015882&quot;/&gt;&lt;wsp:rsid wsp:val=&quot;00016693&quot;/&gt;&lt;wsp:rsid wsp:val=&quot;000177A7&quot;/&gt;&lt;wsp:rsid wsp:val=&quot;00017E37&quot;/&gt;&lt;wsp:rsid wsp:val=&quot;0002118C&quot;/&gt;&lt;wsp:rsid wsp:val=&quot;000212D8&quot;/&gt;&lt;wsp:rsid wsp:val=&quot;00021E7E&quot;/&gt;&lt;wsp:rsid wsp:val=&quot;00021F5A&quot;/&gt;&lt;wsp:rsid wsp:val=&quot;000225E0&quot;/&gt;&lt;wsp:rsid wsp:val=&quot;00022F93&quot;/&gt;&lt;wsp:rsid wsp:val=&quot;00023085&quot;/&gt;&lt;wsp:rsid wsp:val=&quot;00024048&quot;/&gt;&lt;wsp:rsid wsp:val=&quot;00024205&quot;/&gt;&lt;wsp:rsid wsp:val=&quot;000248BA&quot;/&gt;&lt;wsp:rsid wsp:val=&quot;0002508E&quot;/&gt;&lt;wsp:rsid wsp:val=&quot;0002526D&quot;/&gt;&lt;wsp:rsid wsp:val=&quot;00025A27&quot;/&gt;&lt;wsp:rsid wsp:val=&quot;00025D08&quot;/&gt;&lt;wsp:rsid wsp:val=&quot;000263BE&quot;/&gt;&lt;wsp:rsid wsp:val=&quot;000264D7&quot;/&gt;&lt;wsp:rsid wsp:val=&quot;000264DF&quot;/&gt;&lt;wsp:rsid wsp:val=&quot;00026B71&quot;/&gt;&lt;wsp:rsid wsp:val=&quot;00026F6B&quot;/&gt;&lt;wsp:rsid wsp:val=&quot;00030030&quot;/&gt;&lt;wsp:rsid wsp:val=&quot;000305A5&quot;/&gt;&lt;wsp:rsid wsp:val=&quot;0003084A&quot;/&gt;&lt;wsp:rsid wsp:val=&quot;00030C93&quot;/&gt;&lt;wsp:rsid wsp:val=&quot;00031182&quot;/&gt;&lt;wsp:rsid wsp:val=&quot;00032A51&quot;/&gt;&lt;wsp:rsid wsp:val=&quot;00032A8F&quot;/&gt;&lt;wsp:rsid wsp:val=&quot;0003362E&quot;/&gt;&lt;wsp:rsid wsp:val=&quot;0003467F&quot;/&gt;&lt;wsp:rsid wsp:val=&quot;00034AAF&quot;/&gt;&lt;wsp:rsid wsp:val=&quot;000350F0&quot;/&gt;&lt;wsp:rsid wsp:val=&quot;000357BE&quot;/&gt;&lt;wsp:rsid wsp:val=&quot;00035A62&quot;/&gt;&lt;wsp:rsid wsp:val=&quot;00035C0E&quot;/&gt;&lt;wsp:rsid wsp:val=&quot;00035D98&quot;/&gt;&lt;wsp:rsid wsp:val=&quot;00035FD0&quot;/&gt;&lt;wsp:rsid wsp:val=&quot;0003649D&quot;/&gt;&lt;wsp:rsid wsp:val=&quot;00036700&quot;/&gt;&lt;wsp:rsid wsp:val=&quot;00036D9C&quot;/&gt;&lt;wsp:rsid wsp:val=&quot;00036E45&quot;/&gt;&lt;wsp:rsid wsp:val=&quot;00037850&quot;/&gt;&lt;wsp:rsid wsp:val=&quot;00037ABA&quot;/&gt;&lt;wsp:rsid wsp:val=&quot;00037B31&quot;/&gt;&lt;wsp:rsid wsp:val=&quot;000400EF&quot;/&gt;&lt;wsp:rsid wsp:val=&quot;00040499&quot;/&gt;&lt;wsp:rsid wsp:val=&quot;000405AF&quot;/&gt;&lt;wsp:rsid wsp:val=&quot;000413AE&quot;/&gt;&lt;wsp:rsid wsp:val=&quot;00041503&quot;/&gt;&lt;wsp:rsid wsp:val=&quot;0004194D&quot;/&gt;&lt;wsp:rsid wsp:val=&quot;000421AF&quot;/&gt;&lt;wsp:rsid wsp:val=&quot;00042378&quot;/&gt;&lt;wsp:rsid wsp:val=&quot;0004362D&quot;/&gt;&lt;wsp:rsid wsp:val=&quot;00043AE3&quot;/&gt;&lt;wsp:rsid wsp:val=&quot;00043E78&quot;/&gt;&lt;wsp:rsid wsp:val=&quot;00044185&quot;/&gt;&lt;wsp:rsid wsp:val=&quot;0004468D&quot;/&gt;&lt;wsp:rsid wsp:val=&quot;00044CBA&quot;/&gt;&lt;wsp:rsid wsp:val=&quot;000451D6&quot;/&gt;&lt;wsp:rsid wsp:val=&quot;00045759&quot;/&gt;&lt;wsp:rsid wsp:val=&quot;00045A0C&quot;/&gt;&lt;wsp:rsid wsp:val=&quot;00045B6C&quot;/&gt;&lt;wsp:rsid wsp:val=&quot;000462D3&quot;/&gt;&lt;wsp:rsid wsp:val=&quot;0004631C&quot;/&gt;&lt;wsp:rsid wsp:val=&quot;000463D1&quot;/&gt;&lt;wsp:rsid wsp:val=&quot;0004686E&quot;/&gt;&lt;wsp:rsid wsp:val=&quot;00046C7B&quot;/&gt;&lt;wsp:rsid wsp:val=&quot;00046DAC&quot;/&gt;&lt;wsp:rsid wsp:val=&quot;0004712E&quot;/&gt;&lt;wsp:rsid wsp:val=&quot;00047301&quot;/&gt;&lt;wsp:rsid wsp:val=&quot;000474B5&quot;/&gt;&lt;wsp:rsid wsp:val=&quot;00047D0C&quot;/&gt;&lt;wsp:rsid wsp:val=&quot;00047E34&quot;/&gt;&lt;wsp:rsid wsp:val=&quot;00050561&quot;/&gt;&lt;wsp:rsid wsp:val=&quot;0005094A&quot;/&gt;&lt;wsp:rsid wsp:val=&quot;00050D11&quot;/&gt;&lt;wsp:rsid wsp:val=&quot;00050D6A&quot;/&gt;&lt;wsp:rsid wsp:val=&quot;000515CD&quot;/&gt;&lt;wsp:rsid wsp:val=&quot;00051838&quot;/&gt;&lt;wsp:rsid wsp:val=&quot;00051A77&quot;/&gt;&lt;wsp:rsid wsp:val=&quot;0005211F&quot;/&gt;&lt;wsp:rsid wsp:val=&quot;00052F29&quot;/&gt;&lt;wsp:rsid wsp:val=&quot;0005323C&quot;/&gt;&lt;wsp:rsid wsp:val=&quot;000540A4&quot;/&gt;&lt;wsp:rsid wsp:val=&quot;0005422F&quot;/&gt;&lt;wsp:rsid wsp:val=&quot;00054374&quot;/&gt;&lt;wsp:rsid wsp:val=&quot;000543CC&quot;/&gt;&lt;wsp:rsid wsp:val=&quot;00054835&quot;/&gt;&lt;wsp:rsid wsp:val=&quot;00054B5C&quot;/&gt;&lt;wsp:rsid wsp:val=&quot;00054B78&quot;/&gt;&lt;wsp:rsid wsp:val=&quot;00055105&quot;/&gt;&lt;wsp:rsid wsp:val=&quot;00055237&quot;/&gt;&lt;wsp:rsid wsp:val=&quot;000556CB&quot;/&gt;&lt;wsp:rsid wsp:val=&quot;0005573A&quot;/&gt;&lt;wsp:rsid wsp:val=&quot;00055937&quot;/&gt;&lt;wsp:rsid wsp:val=&quot;00055BC7&quot;/&gt;&lt;wsp:rsid wsp:val=&quot;00056413&quot;/&gt;&lt;wsp:rsid wsp:val=&quot;00056646&quot;/&gt;&lt;wsp:rsid wsp:val=&quot;00056C64&quot;/&gt;&lt;wsp:rsid wsp:val=&quot;00056D5A&quot;/&gt;&lt;wsp:rsid wsp:val=&quot;00057295&quot;/&gt;&lt;wsp:rsid wsp:val=&quot;000572E4&quot;/&gt;&lt;wsp:rsid wsp:val=&quot;000579DF&quot;/&gt;&lt;wsp:rsid wsp:val=&quot;00057E8B&quot;/&gt;&lt;wsp:rsid wsp:val=&quot;0006020C&quot;/&gt;&lt;wsp:rsid wsp:val=&quot;0006023D&quot;/&gt;&lt;wsp:rsid wsp:val=&quot;000607D2&quot;/&gt;&lt;wsp:rsid wsp:val=&quot;0006092E&quot;/&gt;&lt;wsp:rsid wsp:val=&quot;00060C90&quot;/&gt;&lt;wsp:rsid wsp:val=&quot;0006138B&quot;/&gt;&lt;wsp:rsid wsp:val=&quot;00061757&quot;/&gt;&lt;wsp:rsid wsp:val=&quot;00062483&quot;/&gt;&lt;wsp:rsid wsp:val=&quot;00062777&quot;/&gt;&lt;wsp:rsid wsp:val=&quot;000627EA&quot;/&gt;&lt;wsp:rsid wsp:val=&quot;00062C40&quot;/&gt;&lt;wsp:rsid wsp:val=&quot;00062E2F&quot;/&gt;&lt;wsp:rsid wsp:val=&quot;00062FAC&quot;/&gt;&lt;wsp:rsid wsp:val=&quot;000633EB&quot;/&gt;&lt;wsp:rsid wsp:val=&quot;000645D0&quot;/&gt;&lt;wsp:rsid wsp:val=&quot;00064954&quot;/&gt;&lt;wsp:rsid wsp:val=&quot;00064C74&quot;/&gt;&lt;wsp:rsid wsp:val=&quot;0006505A&quot;/&gt;&lt;wsp:rsid wsp:val=&quot;0006564E&quot;/&gt;&lt;wsp:rsid wsp:val=&quot;00065A4A&quot;/&gt;&lt;wsp:rsid wsp:val=&quot;000665D0&quot;/&gt;&lt;wsp:rsid wsp:val=&quot;00066A9B&quot;/&gt;&lt;wsp:rsid wsp:val=&quot;00066AEC&quot;/&gt;&lt;wsp:rsid wsp:val=&quot;00066BC2&quot;/&gt;&lt;wsp:rsid wsp:val=&quot;000674EE&quot;/&gt;&lt;wsp:rsid wsp:val=&quot;00070549&quot;/&gt;&lt;wsp:rsid wsp:val=&quot;0007133C&quot;/&gt;&lt;wsp:rsid wsp:val=&quot;0007186E&quot;/&gt;&lt;wsp:rsid wsp:val=&quot;00071B75&quot;/&gt;&lt;wsp:rsid wsp:val=&quot;00071FE6&quot;/&gt;&lt;wsp:rsid wsp:val=&quot;0007224A&quot;/&gt;&lt;wsp:rsid wsp:val=&quot;000725F5&quot;/&gt;&lt;wsp:rsid wsp:val=&quot;00072BFF&quot;/&gt;&lt;wsp:rsid wsp:val=&quot;00072DD1&quot;/&gt;&lt;wsp:rsid wsp:val=&quot;00072E57&quot;/&gt;&lt;wsp:rsid wsp:val=&quot;000737E6&quot;/&gt;&lt;wsp:rsid wsp:val=&quot;00073ADB&quot;/&gt;&lt;wsp:rsid wsp:val=&quot;00073C23&quot;/&gt;&lt;wsp:rsid wsp:val=&quot;00074275&quot;/&gt;&lt;wsp:rsid wsp:val=&quot;000747A4&quot;/&gt;&lt;wsp:rsid wsp:val=&quot;00074E84&quot;/&gt;&lt;wsp:rsid wsp:val=&quot;00075C75&quot;/&gt;&lt;wsp:rsid wsp:val=&quot;00075CA8&quot;/&gt;&lt;wsp:rsid wsp:val=&quot;000764F6&quot;/&gt;&lt;wsp:rsid wsp:val=&quot;00076C0F&quot;/&gt;&lt;wsp:rsid wsp:val=&quot;00076C58&quot;/&gt;&lt;wsp:rsid wsp:val=&quot;0008008D&quot;/&gt;&lt;wsp:rsid wsp:val=&quot;00080170&quot;/&gt;&lt;wsp:rsid wsp:val=&quot;0008048F&quot;/&gt;&lt;wsp:rsid wsp:val=&quot;00080ABD&quot;/&gt;&lt;wsp:rsid wsp:val=&quot;00080AFF&quot;/&gt;&lt;wsp:rsid wsp:val=&quot;00080CEF&quot;/&gt;&lt;wsp:rsid wsp:val=&quot;00080F08&quot;/&gt;&lt;wsp:rsid wsp:val=&quot;00080FC8&quot;/&gt;&lt;wsp:rsid wsp:val=&quot;0008168C&quot;/&gt;&lt;wsp:rsid wsp:val=&quot;00081FF1&quot;/&gt;&lt;wsp:rsid wsp:val=&quot;0008214C&quot;/&gt;&lt;wsp:rsid wsp:val=&quot;00082547&quot;/&gt;&lt;wsp:rsid wsp:val=&quot;0008259A&quot;/&gt;&lt;wsp:rsid wsp:val=&quot;000825F8&quot;/&gt;&lt;wsp:rsid wsp:val=&quot;00082C43&quot;/&gt;&lt;wsp:rsid wsp:val=&quot;0008413E&quot;/&gt;&lt;wsp:rsid wsp:val=&quot;0008436B&quot;/&gt;&lt;wsp:rsid wsp:val=&quot;00084389&quot;/&gt;&lt;wsp:rsid wsp:val=&quot;00084589&quot;/&gt;&lt;wsp:rsid wsp:val=&quot;0008462C&quot;/&gt;&lt;wsp:rsid wsp:val=&quot;00084813&quot;/&gt;&lt;wsp:rsid wsp:val=&quot;00084887&quot;/&gt;&lt;wsp:rsid wsp:val=&quot;00084A08&quot;/&gt;&lt;wsp:rsid wsp:val=&quot;000852AA&quot;/&gt;&lt;wsp:rsid wsp:val=&quot;00085319&quot;/&gt;&lt;wsp:rsid wsp:val=&quot;00085624&quot;/&gt;&lt;wsp:rsid wsp:val=&quot;00085A70&quot;/&gt;&lt;wsp:rsid wsp:val=&quot;00085BF1&quot;/&gt;&lt;wsp:rsid wsp:val=&quot;00086A76&quot;/&gt;&lt;wsp:rsid wsp:val=&quot;00086C64&quot;/&gt;&lt;wsp:rsid wsp:val=&quot;00086D52&quot;/&gt;&lt;wsp:rsid wsp:val=&quot;00086E6F&quot;/&gt;&lt;wsp:rsid wsp:val=&quot;00086E74&quot;/&gt;&lt;wsp:rsid wsp:val=&quot;00087258&quot;/&gt;&lt;wsp:rsid wsp:val=&quot;000872C5&quot;/&gt;&lt;wsp:rsid wsp:val=&quot;000876CE&quot;/&gt;&lt;wsp:rsid wsp:val=&quot;00087806&quot;/&gt;&lt;wsp:rsid wsp:val=&quot;00087C51&quot;/&gt;&lt;wsp:rsid wsp:val=&quot;00087E4F&quot;/&gt;&lt;wsp:rsid wsp:val=&quot;00087FB3&quot;/&gt;&lt;wsp:rsid wsp:val=&quot;0009008A&quot;/&gt;&lt;wsp:rsid wsp:val=&quot;00090176&quot;/&gt;&lt;wsp:rsid wsp:val=&quot;00090457&quot;/&gt;&lt;wsp:rsid wsp:val=&quot;000909A2&quot;/&gt;&lt;wsp:rsid wsp:val=&quot;000912A8&quot;/&gt;&lt;wsp:rsid wsp:val=&quot;0009159D&quot;/&gt;&lt;wsp:rsid wsp:val=&quot;00091926&quot;/&gt;&lt;wsp:rsid wsp:val=&quot;00091DA8&quot;/&gt;&lt;wsp:rsid wsp:val=&quot;0009297A&quot;/&gt;&lt;wsp:rsid wsp:val=&quot;00092AED&quot;/&gt;&lt;wsp:rsid wsp:val=&quot;00093248&quot;/&gt;&lt;wsp:rsid wsp:val=&quot;00093714&quot;/&gt;&lt;wsp:rsid wsp:val=&quot;0009387C&quot;/&gt;&lt;wsp:rsid wsp:val=&quot;0009407B&quot;/&gt;&lt;wsp:rsid wsp:val=&quot;00094D3B&quot;/&gt;&lt;wsp:rsid wsp:val=&quot;000955F6&quot;/&gt;&lt;wsp:rsid wsp:val=&quot;00095D99&quot;/&gt;&lt;wsp:rsid wsp:val=&quot;00095F41&quot;/&gt;&lt;wsp:rsid wsp:val=&quot;000967AB&quot;/&gt;&lt;wsp:rsid wsp:val=&quot;00096DD7&quot;/&gt;&lt;wsp:rsid wsp:val=&quot;00097C64&quot;/&gt;&lt;wsp:rsid wsp:val=&quot;000A023D&quot;/&gt;&lt;wsp:rsid wsp:val=&quot;000A02BA&quot;/&gt;&lt;wsp:rsid wsp:val=&quot;000A0793&quot;/&gt;&lt;wsp:rsid wsp:val=&quot;000A0F58&quot;/&gt;&lt;wsp:rsid wsp:val=&quot;000A1024&quot;/&gt;&lt;wsp:rsid wsp:val=&quot;000A1E19&quot;/&gt;&lt;wsp:rsid wsp:val=&quot;000A1EB9&quot;/&gt;&lt;wsp:rsid wsp:val=&quot;000A20A0&quot;/&gt;&lt;wsp:rsid wsp:val=&quot;000A242E&quot;/&gt;&lt;wsp:rsid wsp:val=&quot;000A2BFA&quot;/&gt;&lt;wsp:rsid wsp:val=&quot;000A2D6A&quot;/&gt;&lt;wsp:rsid wsp:val=&quot;000A3340&quot;/&gt;&lt;wsp:rsid wsp:val=&quot;000A3A40&quot;/&gt;&lt;wsp:rsid wsp:val=&quot;000A3D88&quot;/&gt;&lt;wsp:rsid wsp:val=&quot;000A42B3&quot;/&gt;&lt;wsp:rsid wsp:val=&quot;000A4656&quot;/&gt;&lt;wsp:rsid wsp:val=&quot;000A4A64&quot;/&gt;&lt;wsp:rsid wsp:val=&quot;000A4C57&quot;/&gt;&lt;wsp:rsid wsp:val=&quot;000A4CA2&quot;/&gt;&lt;wsp:rsid wsp:val=&quot;000A4D26&quot;/&gt;&lt;wsp:rsid wsp:val=&quot;000A542D&quot;/&gt;&lt;wsp:rsid wsp:val=&quot;000A54E2&quot;/&gt;&lt;wsp:rsid wsp:val=&quot;000A5DAD&quot;/&gt;&lt;wsp:rsid wsp:val=&quot;000A66E8&quot;/&gt;&lt;wsp:rsid wsp:val=&quot;000A67A7&quot;/&gt;&lt;wsp:rsid wsp:val=&quot;000A7FD9&quot;/&gt;&lt;wsp:rsid wsp:val=&quot;000B027D&quot;/&gt;&lt;wsp:rsid wsp:val=&quot;000B0939&quot;/&gt;&lt;wsp:rsid wsp:val=&quot;000B0B7A&quot;/&gt;&lt;wsp:rsid wsp:val=&quot;000B0C07&quot;/&gt;&lt;wsp:rsid wsp:val=&quot;000B0D22&quot;/&gt;&lt;wsp:rsid wsp:val=&quot;000B0F74&quot;/&gt;&lt;wsp:rsid wsp:val=&quot;000B10E8&quot;/&gt;&lt;wsp:rsid wsp:val=&quot;000B1E94&quot;/&gt;&lt;wsp:rsid wsp:val=&quot;000B2381&quot;/&gt;&lt;wsp:rsid wsp:val=&quot;000B24B1&quot;/&gt;&lt;wsp:rsid wsp:val=&quot;000B2631&quot;/&gt;&lt;wsp:rsid wsp:val=&quot;000B2A57&quot;/&gt;&lt;wsp:rsid wsp:val=&quot;000B2FE1&quot;/&gt;&lt;wsp:rsid wsp:val=&quot;000B331B&quot;/&gt;&lt;wsp:rsid wsp:val=&quot;000B352B&quot;/&gt;&lt;wsp:rsid wsp:val=&quot;000B3677&quot;/&gt;&lt;wsp:rsid wsp:val=&quot;000B3F1A&quot;/&gt;&lt;wsp:rsid wsp:val=&quot;000B4B0A&quot;/&gt;&lt;wsp:rsid wsp:val=&quot;000B5140&quot;/&gt;&lt;wsp:rsid wsp:val=&quot;000B56DD&quot;/&gt;&lt;wsp:rsid wsp:val=&quot;000B5869&quot;/&gt;&lt;wsp:rsid wsp:val=&quot;000B5E86&quot;/&gt;&lt;wsp:rsid wsp:val=&quot;000B6231&quot;/&gt;&lt;wsp:rsid wsp:val=&quot;000B6499&quot;/&gt;&lt;wsp:rsid wsp:val=&quot;000B6507&quot;/&gt;&lt;wsp:rsid wsp:val=&quot;000B672B&quot;/&gt;&lt;wsp:rsid wsp:val=&quot;000B6EF9&quot;/&gt;&lt;wsp:rsid wsp:val=&quot;000B7B15&quot;/&gt;&lt;wsp:rsid wsp:val=&quot;000B7F5D&quot;/&gt;&lt;wsp:rsid wsp:val=&quot;000B7FA5&quot;/&gt;&lt;wsp:rsid wsp:val=&quot;000C012A&quot;/&gt;&lt;wsp:rsid wsp:val=&quot;000C024B&quot;/&gt;&lt;wsp:rsid wsp:val=&quot;000C04AC&quot;/&gt;&lt;wsp:rsid wsp:val=&quot;000C05A3&quot;/&gt;&lt;wsp:rsid wsp:val=&quot;000C0602&quot;/&gt;&lt;wsp:rsid wsp:val=&quot;000C06D5&quot;/&gt;&lt;wsp:rsid wsp:val=&quot;000C079E&quot;/&gt;&lt;wsp:rsid wsp:val=&quot;000C0F24&quot;/&gt;&lt;wsp:rsid wsp:val=&quot;000C144D&quot;/&gt;&lt;wsp:rsid wsp:val=&quot;000C18CC&quot;/&gt;&lt;wsp:rsid wsp:val=&quot;000C191E&quot;/&gt;&lt;wsp:rsid wsp:val=&quot;000C198B&quot;/&gt;&lt;wsp:rsid wsp:val=&quot;000C1E23&quot;/&gt;&lt;wsp:rsid wsp:val=&quot;000C2381&quot;/&gt;&lt;wsp:rsid wsp:val=&quot;000C251B&quot;/&gt;&lt;wsp:rsid wsp:val=&quot;000C2EBB&quot;/&gt;&lt;wsp:rsid wsp:val=&quot;000C32B2&quot;/&gt;&lt;wsp:rsid wsp:val=&quot;000C3544&quot;/&gt;&lt;wsp:rsid wsp:val=&quot;000C455A&quot;/&gt;&lt;wsp:rsid wsp:val=&quot;000C4859&quot;/&gt;&lt;wsp:rsid wsp:val=&quot;000C4A04&quot;/&gt;&lt;wsp:rsid wsp:val=&quot;000C4CEC&quot;/&gt;&lt;wsp:rsid wsp:val=&quot;000C520B&quot;/&gt;&lt;wsp:rsid wsp:val=&quot;000C5427&quot;/&gt;&lt;wsp:rsid wsp:val=&quot;000C55F3&quot;/&gt;&lt;wsp:rsid wsp:val=&quot;000C5608&quot;/&gt;&lt;wsp:rsid wsp:val=&quot;000C5CC8&quot;/&gt;&lt;wsp:rsid wsp:val=&quot;000C5E37&quot;/&gt;&lt;wsp:rsid wsp:val=&quot;000C5EFC&quot;/&gt;&lt;wsp:rsid wsp:val=&quot;000C74EB&quot;/&gt;&lt;wsp:rsid wsp:val=&quot;000C7967&quot;/&gt;&lt;wsp:rsid wsp:val=&quot;000C7AAD&quot;/&gt;&lt;wsp:rsid wsp:val=&quot;000D0087&quot;/&gt;&lt;wsp:rsid wsp:val=&quot;000D01A5&quot;/&gt;&lt;wsp:rsid wsp:val=&quot;000D0590&quot;/&gt;&lt;wsp:rsid wsp:val=&quot;000D0A84&quot;/&gt;&lt;wsp:rsid wsp:val=&quot;000D11FD&quot;/&gt;&lt;wsp:rsid wsp:val=&quot;000D159B&quot;/&gt;&lt;wsp:rsid wsp:val=&quot;000D196A&quot;/&gt;&lt;wsp:rsid wsp:val=&quot;000D1EF7&quot;/&gt;&lt;wsp:rsid wsp:val=&quot;000D2140&quot;/&gt;&lt;wsp:rsid wsp:val=&quot;000D2444&quot;/&gt;&lt;wsp:rsid wsp:val=&quot;000D252E&quot;/&gt;&lt;wsp:rsid wsp:val=&quot;000D3396&quot;/&gt;&lt;wsp:rsid wsp:val=&quot;000D3792&quot;/&gt;&lt;wsp:rsid wsp:val=&quot;000D3BDA&quot;/&gt;&lt;wsp:rsid wsp:val=&quot;000D3C9A&quot;/&gt;&lt;wsp:rsid wsp:val=&quot;000D448D&quot;/&gt;&lt;wsp:rsid wsp:val=&quot;000D4656&quot;/&gt;&lt;wsp:rsid wsp:val=&quot;000D5AD5&quot;/&gt;&lt;wsp:rsid wsp:val=&quot;000D5D8D&quot;/&gt;&lt;wsp:rsid wsp:val=&quot;000D60B1&quot;/&gt;&lt;wsp:rsid wsp:val=&quot;000D6B8B&quot;/&gt;&lt;wsp:rsid wsp:val=&quot;000D6C82&quot;/&gt;&lt;wsp:rsid wsp:val=&quot;000D6D59&quot;/&gt;&lt;wsp:rsid wsp:val=&quot;000D7E4A&quot;/&gt;&lt;wsp:rsid wsp:val=&quot;000D7E96&quot;/&gt;&lt;wsp:rsid wsp:val=&quot;000E016E&quot;/&gt;&lt;wsp:rsid wsp:val=&quot;000E0239&quot;/&gt;&lt;wsp:rsid wsp:val=&quot;000E0374&quot;/&gt;&lt;wsp:rsid wsp:val=&quot;000E0578&quot;/&gt;&lt;wsp:rsid wsp:val=&quot;000E0598&quot;/&gt;&lt;wsp:rsid wsp:val=&quot;000E072C&quot;/&gt;&lt;wsp:rsid wsp:val=&quot;000E077E&quot;/&gt;&lt;wsp:rsid wsp:val=&quot;000E0D28&quot;/&gt;&lt;wsp:rsid wsp:val=&quot;000E0FDE&quot;/&gt;&lt;wsp:rsid wsp:val=&quot;000E12A0&quot;/&gt;&lt;wsp:rsid wsp:val=&quot;000E1F2A&quot;/&gt;&lt;wsp:rsid wsp:val=&quot;000E1F52&quot;/&gt;&lt;wsp:rsid wsp:val=&quot;000E21F3&quot;/&gt;&lt;wsp:rsid wsp:val=&quot;000E2C84&quot;/&gt;&lt;wsp:rsid wsp:val=&quot;000E3120&quot;/&gt;&lt;wsp:rsid wsp:val=&quot;000E3F11&quot;/&gt;&lt;wsp:rsid wsp:val=&quot;000E3FD2&quot;/&gt;&lt;wsp:rsid wsp:val=&quot;000E61E1&quot;/&gt;&lt;wsp:rsid wsp:val=&quot;000E69C6&quot;/&gt;&lt;wsp:rsid wsp:val=&quot;000E6C6D&quot;/&gt;&lt;wsp:rsid wsp:val=&quot;000E6EF5&quot;/&gt;&lt;wsp:rsid wsp:val=&quot;000E7167&quot;/&gt;&lt;wsp:rsid wsp:val=&quot;000E781F&quot;/&gt;&lt;wsp:rsid wsp:val=&quot;000E7AC1&quot;/&gt;&lt;wsp:rsid wsp:val=&quot;000E7F7D&quot;/&gt;&lt;wsp:rsid wsp:val=&quot;000F05AB&quot;/&gt;&lt;wsp:rsid wsp:val=&quot;000F05B5&quot;/&gt;&lt;wsp:rsid wsp:val=&quot;000F0E67&quot;/&gt;&lt;wsp:rsid wsp:val=&quot;000F1037&quot;/&gt;&lt;wsp:rsid wsp:val=&quot;000F17A8&quot;/&gt;&lt;wsp:rsid wsp:val=&quot;000F1DFE&quot;/&gt;&lt;wsp:rsid wsp:val=&quot;000F1EC9&quot;/&gt;&lt;wsp:rsid wsp:val=&quot;000F1ED6&quot;/&gt;&lt;wsp:rsid wsp:val=&quot;000F262B&quot;/&gt;&lt;wsp:rsid wsp:val=&quot;000F32C4&quot;/&gt;&lt;wsp:rsid wsp:val=&quot;000F35BC&quot;/&gt;&lt;wsp:rsid wsp:val=&quot;000F391F&quot;/&gt;&lt;wsp:rsid wsp:val=&quot;000F3AB3&quot;/&gt;&lt;wsp:rsid wsp:val=&quot;000F4024&quot;/&gt;&lt;wsp:rsid wsp:val=&quot;000F4205&quot;/&gt;&lt;wsp:rsid wsp:val=&quot;000F44F4&quot;/&gt;&lt;wsp:rsid wsp:val=&quot;000F48E2&quot;/&gt;&lt;wsp:rsid wsp:val=&quot;000F4EB4&quot;/&gt;&lt;wsp:rsid wsp:val=&quot;000F53DE&quot;/&gt;&lt;wsp:rsid wsp:val=&quot;000F53ED&quot;/&gt;&lt;wsp:rsid wsp:val=&quot;000F55B2&quot;/&gt;&lt;wsp:rsid wsp:val=&quot;000F5E33&quot;/&gt;&lt;wsp:rsid wsp:val=&quot;000F5F42&quot;/&gt;&lt;wsp:rsid wsp:val=&quot;000F68AD&quot;/&gt;&lt;wsp:rsid wsp:val=&quot;000F692E&quot;/&gt;&lt;wsp:rsid wsp:val=&quot;000F6DAE&quot;/&gt;&lt;wsp:rsid wsp:val=&quot;000F78E3&quot;/&gt;&lt;wsp:rsid wsp:val=&quot;000F79B5&quot;/&gt;&lt;wsp:rsid wsp:val=&quot;000F7BF5&quot;/&gt;&lt;wsp:rsid wsp:val=&quot;000F7CF0&quot;/&gt;&lt;wsp:rsid wsp:val=&quot;001009AE&quot;/&gt;&lt;wsp:rsid wsp:val=&quot;00101150&quot;/&gt;&lt;wsp:rsid wsp:val=&quot;00101773&quot;/&gt;&lt;wsp:rsid wsp:val=&quot;00101C15&quot;/&gt;&lt;wsp:rsid wsp:val=&quot;0010240E&quot;/&gt;&lt;wsp:rsid wsp:val=&quot;001026E3&quot;/&gt;&lt;wsp:rsid wsp:val=&quot;00102994&quot;/&gt;&lt;wsp:rsid wsp:val=&quot;00103442&quot;/&gt;&lt;wsp:rsid wsp:val=&quot;00103BD7&quot;/&gt;&lt;wsp:rsid wsp:val=&quot;001041D7&quot;/&gt;&lt;wsp:rsid wsp:val=&quot;00104254&quot;/&gt;&lt;wsp:rsid wsp:val=&quot;00104656&quot;/&gt;&lt;wsp:rsid wsp:val=&quot;00104799&quot;/&gt;&lt;wsp:rsid wsp:val=&quot;00105331&quot;/&gt;&lt;wsp:rsid wsp:val=&quot;0010633C&quot;/&gt;&lt;wsp:rsid wsp:val=&quot;00106758&quot;/&gt;&lt;wsp:rsid wsp:val=&quot;001072F7&quot;/&gt;&lt;wsp:rsid wsp:val=&quot;00107579&quot;/&gt;&lt;wsp:rsid wsp:val=&quot;0010772F&quot;/&gt;&lt;wsp:rsid wsp:val=&quot;00107BA5&quot;/&gt;&lt;wsp:rsid wsp:val=&quot;00107E85&quot;/&gt;&lt;wsp:rsid wsp:val=&quot;0011034A&quot;/&gt;&lt;wsp:rsid wsp:val=&quot;0011040E&quot;/&gt;&lt;wsp:rsid wsp:val=&quot;00110973&quot;/&gt;&lt;wsp:rsid wsp:val=&quot;001115E4&quot;/&gt;&lt;wsp:rsid wsp:val=&quot;001119C0&quot;/&gt;&lt;wsp:rsid wsp:val=&quot;00112439&quot;/&gt;&lt;wsp:rsid wsp:val=&quot;00112807&quot;/&gt;&lt;wsp:rsid wsp:val=&quot;001128B5&quot;/&gt;&lt;wsp:rsid wsp:val=&quot;00112ACA&quot;/&gt;&lt;wsp:rsid wsp:val=&quot;001130F4&quot;/&gt;&lt;wsp:rsid wsp:val=&quot;00113554&quot;/&gt;&lt;wsp:rsid wsp:val=&quot;001136F5&quot;/&gt;&lt;wsp:rsid wsp:val=&quot;001137A5&quot;/&gt;&lt;wsp:rsid wsp:val=&quot;001137E8&quot;/&gt;&lt;wsp:rsid wsp:val=&quot;00113972&quot;/&gt;&lt;wsp:rsid wsp:val=&quot;00113D54&quot;/&gt;&lt;wsp:rsid wsp:val=&quot;0011404D&quot;/&gt;&lt;wsp:rsid wsp:val=&quot;00114056&quot;/&gt;&lt;wsp:rsid wsp:val=&quot;00114671&quot;/&gt;&lt;wsp:rsid wsp:val=&quot;00114B05&quot;/&gt;&lt;wsp:rsid wsp:val=&quot;00114C88&quot;/&gt;&lt;wsp:rsid wsp:val=&quot;00115149&quot;/&gt;&lt;wsp:rsid wsp:val=&quot;0011553E&quot;/&gt;&lt;wsp:rsid wsp:val=&quot;0011601D&quot;/&gt;&lt;wsp:rsid wsp:val=&quot;001163F8&quot;/&gt;&lt;wsp:rsid wsp:val=&quot;001167AB&quot;/&gt;&lt;wsp:rsid wsp:val=&quot;00116F7F&quot;/&gt;&lt;wsp:rsid wsp:val=&quot;0011741C&quot;/&gt;&lt;wsp:rsid wsp:val=&quot;00117449&quot;/&gt;&lt;wsp:rsid wsp:val=&quot;0011747B&quot;/&gt;&lt;wsp:rsid wsp:val=&quot;00117571&quot;/&gt;&lt;wsp:rsid wsp:val=&quot;00117D73&quot;/&gt;&lt;wsp:rsid wsp:val=&quot;00117E16&quot;/&gt;&lt;wsp:rsid wsp:val=&quot;001201A9&quot;/&gt;&lt;wsp:rsid wsp:val=&quot;0012048A&quot;/&gt;&lt;wsp:rsid wsp:val=&quot;001204A5&quot;/&gt;&lt;wsp:rsid wsp:val=&quot;00120A5F&quot;/&gt;&lt;wsp:rsid wsp:val=&quot;00121050&quot;/&gt;&lt;wsp:rsid wsp:val=&quot;0012185A&quot;/&gt;&lt;wsp:rsid wsp:val=&quot;001218FC&quot;/&gt;&lt;wsp:rsid wsp:val=&quot;00121A25&quot;/&gt;&lt;wsp:rsid wsp:val=&quot;00121C3E&quot;/&gt;&lt;wsp:rsid wsp:val=&quot;0012201F&quot;/&gt;&lt;wsp:rsid wsp:val=&quot;00122278&quot;/&gt;&lt;wsp:rsid wsp:val=&quot;00122744&quot;/&gt;&lt;wsp:rsid wsp:val=&quot;00122D23&quot;/&gt;&lt;wsp:rsid wsp:val=&quot;0012334E&quot;/&gt;&lt;wsp:rsid wsp:val=&quot;00123601&quot;/&gt;&lt;wsp:rsid wsp:val=&quot;0012404A&quot;/&gt;&lt;wsp:rsid wsp:val=&quot;00124829&quot;/&gt;&lt;wsp:rsid wsp:val=&quot;00125444&quot;/&gt;&lt;wsp:rsid wsp:val=&quot;001257C2&quot;/&gt;&lt;wsp:rsid wsp:val=&quot;00125ADE&quot;/&gt;&lt;wsp:rsid wsp:val=&quot;00125AF6&quot;/&gt;&lt;wsp:rsid wsp:val=&quot;00125BD2&quot;/&gt;&lt;wsp:rsid wsp:val=&quot;00125E06&quot;/&gt;&lt;wsp:rsid wsp:val=&quot;00125F5A&quot;/&gt;&lt;wsp:rsid wsp:val=&quot;001263C0&quot;/&gt;&lt;wsp:rsid wsp:val=&quot;00126789&quot;/&gt;&lt;wsp:rsid wsp:val=&quot;0012684E&quot;/&gt;&lt;wsp:rsid wsp:val=&quot;00126C59&quot;/&gt;&lt;wsp:rsid wsp:val=&quot;00127975&quot;/&gt;&lt;wsp:rsid wsp:val=&quot;00127CF8&quot;/&gt;&lt;wsp:rsid wsp:val=&quot;00127DAD&quot;/&gt;&lt;wsp:rsid wsp:val=&quot;00127E99&quot;/&gt;&lt;wsp:rsid wsp:val=&quot;00127EF0&quot;/&gt;&lt;wsp:rsid wsp:val=&quot;00127F11&quot;/&gt;&lt;wsp:rsid wsp:val=&quot;00130120&quot;/&gt;&lt;wsp:rsid wsp:val=&quot;00130190&quot;/&gt;&lt;wsp:rsid wsp:val=&quot;0013019D&quot;/&gt;&lt;wsp:rsid wsp:val=&quot;001302B3&quot;/&gt;&lt;wsp:rsid wsp:val=&quot;001314D8&quot;/&gt;&lt;wsp:rsid wsp:val=&quot;0013166B&quot;/&gt;&lt;wsp:rsid wsp:val=&quot;00131850&quot;/&gt;&lt;wsp:rsid wsp:val=&quot;0013199B&quot;/&gt;&lt;wsp:rsid wsp:val=&quot;00131A5B&quot;/&gt;&lt;wsp:rsid wsp:val=&quot;00131F55&quot;/&gt;&lt;wsp:rsid wsp:val=&quot;00132714&quot;/&gt;&lt;wsp:rsid wsp:val=&quot;00132833&quot;/&gt;&lt;wsp:rsid wsp:val=&quot;00132A30&quot;/&gt;&lt;wsp:rsid wsp:val=&quot;00132D20&quot;/&gt;&lt;wsp:rsid wsp:val=&quot;001330DD&quot;/&gt;&lt;wsp:rsid wsp:val=&quot;00133A36&quot;/&gt;&lt;wsp:rsid wsp:val=&quot;00133A73&quot;/&gt;&lt;wsp:rsid wsp:val=&quot;00133AC4&quot;/&gt;&lt;wsp:rsid wsp:val=&quot;00133B58&quot;/&gt;&lt;wsp:rsid wsp:val=&quot;00134591&quot;/&gt;&lt;wsp:rsid wsp:val=&quot;001347D7&quot;/&gt;&lt;wsp:rsid wsp:val=&quot;0013485E&quot;/&gt;&lt;wsp:rsid wsp:val=&quot;00135340&quot;/&gt;&lt;wsp:rsid wsp:val=&quot;00136214&quot;/&gt;&lt;wsp:rsid wsp:val=&quot;00136711&quot;/&gt;&lt;wsp:rsid wsp:val=&quot;00136C3F&quot;/&gt;&lt;wsp:rsid wsp:val=&quot;001373C8&quot;/&gt;&lt;wsp:rsid wsp:val=&quot;00137481&quot;/&gt;&lt;wsp:rsid wsp:val=&quot;00140249&quot;/&gt;&lt;wsp:rsid wsp:val=&quot;00140A69&quot;/&gt;&lt;wsp:rsid wsp:val=&quot;00140D48&quot;/&gt;&lt;wsp:rsid wsp:val=&quot;001413A0&quot;/&gt;&lt;wsp:rsid wsp:val=&quot;001419C9&quot;/&gt;&lt;wsp:rsid wsp:val=&quot;00141A18&quot;/&gt;&lt;wsp:rsid wsp:val=&quot;00141B17&quot;/&gt;&lt;wsp:rsid wsp:val=&quot;00141BFF&quot;/&gt;&lt;wsp:rsid wsp:val=&quot;00141C46&quot;/&gt;&lt;wsp:rsid wsp:val=&quot;001426D9&quot;/&gt;&lt;wsp:rsid wsp:val=&quot;001427EA&quot;/&gt;&lt;wsp:rsid wsp:val=&quot;00142AC7&quot;/&gt;&lt;wsp:rsid wsp:val=&quot;0014306E&quot;/&gt;&lt;wsp:rsid wsp:val=&quot;00143F31&quot;/&gt;&lt;wsp:rsid wsp:val=&quot;00143F9A&quot;/&gt;&lt;wsp:rsid wsp:val=&quot;00144201&quot;/&gt;&lt;wsp:rsid wsp:val=&quot;0014458D&quot;/&gt;&lt;wsp:rsid wsp:val=&quot;00144CEC&quot;/&gt;&lt;wsp:rsid wsp:val=&quot;001453AC&quot;/&gt;&lt;wsp:rsid wsp:val=&quot;00145B32&quot;/&gt;&lt;wsp:rsid wsp:val=&quot;00145C18&quot;/&gt;&lt;wsp:rsid wsp:val=&quot;00145C56&quot;/&gt;&lt;wsp:rsid wsp:val=&quot;00145C82&quot;/&gt;&lt;wsp:rsid wsp:val=&quot;001467B8&quot;/&gt;&lt;wsp:rsid wsp:val=&quot;001468C0&quot;/&gt;&lt;wsp:rsid wsp:val=&quot;00147444&quot;/&gt;&lt;wsp:rsid wsp:val=&quot;001478D8&quot;/&gt;&lt;wsp:rsid wsp:val=&quot;00147E0D&quot;/&gt;&lt;wsp:rsid wsp:val=&quot;00147FC2&quot;/&gt;&lt;wsp:rsid wsp:val=&quot;00150833&quot;/&gt;&lt;wsp:rsid wsp:val=&quot;00152A42&quot;/&gt;&lt;wsp:rsid wsp:val=&quot;0015325B&quot;/&gt;&lt;wsp:rsid wsp:val=&quot;00153FC1&quot;/&gt;&lt;wsp:rsid wsp:val=&quot;00154067&quot;/&gt;&lt;wsp:rsid wsp:val=&quot;0015438C&quot;/&gt;&lt;wsp:rsid wsp:val=&quot;00154830&quot;/&gt;&lt;wsp:rsid wsp:val=&quot;00154D75&quot;/&gt;&lt;wsp:rsid wsp:val=&quot;0015602C&quot;/&gt;&lt;wsp:rsid wsp:val=&quot;0015638D&quot;/&gt;&lt;wsp:rsid wsp:val=&quot;001563E7&quot;/&gt;&lt;wsp:rsid wsp:val=&quot;00156902&quot;/&gt;&lt;wsp:rsid wsp:val=&quot;00156E56&quot;/&gt;&lt;wsp:rsid wsp:val=&quot;00156EC2&quot;/&gt;&lt;wsp:rsid wsp:val=&quot;0015704F&quot;/&gt;&lt;wsp:rsid wsp:val=&quot;001574C4&quot;/&gt;&lt;wsp:rsid wsp:val=&quot;00157569&quot;/&gt;&lt;wsp:rsid wsp:val=&quot;0015759B&quot;/&gt;&lt;wsp:rsid wsp:val=&quot;00157C14&quot;/&gt;&lt;wsp:rsid wsp:val=&quot;00157CA8&quot;/&gt;&lt;wsp:rsid wsp:val=&quot;00160CD4&quot;/&gt;&lt;wsp:rsid wsp:val=&quot;00160FB2&quot;/&gt;&lt;wsp:rsid wsp:val=&quot;001610AE&quot;/&gt;&lt;wsp:rsid wsp:val=&quot;00161770&quot;/&gt;&lt;wsp:rsid wsp:val=&quot;00161B2E&quot;/&gt;&lt;wsp:rsid wsp:val=&quot;00161E44&quot;/&gt;&lt;wsp:rsid wsp:val=&quot;001620F1&quot;/&gt;&lt;wsp:rsid wsp:val=&quot;001621F9&quot;/&gt;&lt;wsp:rsid wsp:val=&quot;00162BCF&quot;/&gt;&lt;wsp:rsid wsp:val=&quot;00163148&quot;/&gt;&lt;wsp:rsid wsp:val=&quot;00163B68&quot;/&gt;&lt;wsp:rsid wsp:val=&quot;00163F27&quot;/&gt;&lt;wsp:rsid wsp:val=&quot;001645AC&quot;/&gt;&lt;wsp:rsid wsp:val=&quot;0016475D&quot;/&gt;&lt;wsp:rsid wsp:val=&quot;00164BA4&quot;/&gt;&lt;wsp:rsid wsp:val=&quot;00164F30&quot;/&gt;&lt;wsp:rsid wsp:val=&quot;001651F8&quot;/&gt;&lt;wsp:rsid wsp:val=&quot;001658B0&quot;/&gt;&lt;wsp:rsid wsp:val=&quot;00165D04&quot;/&gt;&lt;wsp:rsid wsp:val=&quot;00166253&quot;/&gt;&lt;wsp:rsid wsp:val=&quot;00166384&quot;/&gt;&lt;wsp:rsid wsp:val=&quot;00166792&quot;/&gt;&lt;wsp:rsid wsp:val=&quot;0016693B&quot;/&gt;&lt;wsp:rsid wsp:val=&quot;00166DB8&quot;/&gt;&lt;wsp:rsid wsp:val=&quot;00166DFE&quot;/&gt;&lt;wsp:rsid wsp:val=&quot;00166F1A&quot;/&gt;&lt;wsp:rsid wsp:val=&quot;00166FD2&quot;/&gt;&lt;wsp:rsid wsp:val=&quot;0016712D&quot;/&gt;&lt;wsp:rsid wsp:val=&quot;001707FB&quot;/&gt;&lt;wsp:rsid wsp:val=&quot;00170844&quot;/&gt;&lt;wsp:rsid wsp:val=&quot;0017109E&quot;/&gt;&lt;wsp:rsid wsp:val=&quot;0017110B&quot;/&gt;&lt;wsp:rsid wsp:val=&quot;0017111C&quot;/&gt;&lt;wsp:rsid wsp:val=&quot;00171639&quot;/&gt;&lt;wsp:rsid wsp:val=&quot;00171815&quot;/&gt;&lt;wsp:rsid wsp:val=&quot;00171879&quot;/&gt;&lt;wsp:rsid wsp:val=&quot;0017236A&quot;/&gt;&lt;wsp:rsid wsp:val=&quot;00172373&quot;/&gt;&lt;wsp:rsid wsp:val=&quot;0017304A&quot;/&gt;&lt;wsp:rsid wsp:val=&quot;00173832&quot;/&gt;&lt;wsp:rsid wsp:val=&quot;00174EC9&quot;/&gt;&lt;wsp:rsid wsp:val=&quot;00175131&quot;/&gt;&lt;wsp:rsid wsp:val=&quot;0017555E&quot;/&gt;&lt;wsp:rsid wsp:val=&quot;00175B7D&quot;/&gt;&lt;wsp:rsid wsp:val=&quot;00175F2E&quot;/&gt;&lt;wsp:rsid wsp:val=&quot;0017604D&quot;/&gt;&lt;wsp:rsid wsp:val=&quot;001760AA&quot;/&gt;&lt;wsp:rsid wsp:val=&quot;00176270&quot;/&gt;&lt;wsp:rsid wsp:val=&quot;00176428&quot;/&gt;&lt;wsp:rsid wsp:val=&quot;00176566&quot;/&gt;&lt;wsp:rsid wsp:val=&quot;00176876&quot;/&gt;&lt;wsp:rsid wsp:val=&quot;00176930&quot;/&gt;&lt;wsp:rsid wsp:val=&quot;00176B28&quot;/&gt;&lt;wsp:rsid wsp:val=&quot;00176D23&quot;/&gt;&lt;wsp:rsid wsp:val=&quot;00177447&quot;/&gt;&lt;wsp:rsid wsp:val=&quot;001775EB&quot;/&gt;&lt;wsp:rsid wsp:val=&quot;001776CD&quot;/&gt;&lt;wsp:rsid wsp:val=&quot;00177921&quot;/&gt;&lt;wsp:rsid wsp:val=&quot;00177AA2&quot;/&gt;&lt;wsp:rsid wsp:val=&quot;00180353&quot;/&gt;&lt;wsp:rsid wsp:val=&quot;001805A1&quot;/&gt;&lt;wsp:rsid wsp:val=&quot;00180634&quot;/&gt;&lt;wsp:rsid wsp:val=&quot;0018074A&quot;/&gt;&lt;wsp:rsid wsp:val=&quot;00180BD8&quot;/&gt;&lt;wsp:rsid wsp:val=&quot;001816DA&quot;/&gt;&lt;wsp:rsid wsp:val=&quot;001816F5&quot;/&gt;&lt;wsp:rsid wsp:val=&quot;00181BD1&quot;/&gt;&lt;wsp:rsid wsp:val=&quot;00181CEB&quot;/&gt;&lt;wsp:rsid wsp:val=&quot;0018270D&quot;/&gt;&lt;wsp:rsid wsp:val=&quot;00182A99&quot;/&gt;&lt;wsp:rsid wsp:val=&quot;00182D0B&quot;/&gt;&lt;wsp:rsid wsp:val=&quot;00182D84&quot;/&gt;&lt;wsp:rsid wsp:val=&quot;00182FD2&quot;/&gt;&lt;wsp:rsid wsp:val=&quot;00183041&quot;/&gt;&lt;wsp:rsid wsp:val=&quot;00183289&quot;/&gt;&lt;wsp:rsid wsp:val=&quot;00183380&quot;/&gt;&lt;wsp:rsid wsp:val=&quot;0018362B&quot;/&gt;&lt;wsp:rsid wsp:val=&quot;0018379D&quot;/&gt;&lt;wsp:rsid wsp:val=&quot;001841C8&quot;/&gt;&lt;wsp:rsid wsp:val=&quot;00184522&quot;/&gt;&lt;wsp:rsid wsp:val=&quot;001847F2&quot;/&gt;&lt;wsp:rsid wsp:val=&quot;00184B1C&quot;/&gt;&lt;wsp:rsid wsp:val=&quot;001852A7&quot;/&gt;&lt;wsp:rsid wsp:val=&quot;001854AD&quot;/&gt;&lt;wsp:rsid wsp:val=&quot;00185ECC&quot;/&gt;&lt;wsp:rsid wsp:val=&quot;001863F1&quot;/&gt;&lt;wsp:rsid wsp:val=&quot;001867B2&quot;/&gt;&lt;wsp:rsid wsp:val=&quot;00186CEC&quot;/&gt;&lt;wsp:rsid wsp:val=&quot;00186FBA&quot;/&gt;&lt;wsp:rsid wsp:val=&quot;00187062&quot;/&gt;&lt;wsp:rsid wsp:val=&quot;00187718&quot;/&gt;&lt;wsp:rsid wsp:val=&quot;00187B9A&quot;/&gt;&lt;wsp:rsid wsp:val=&quot;001907A7&quot;/&gt;&lt;wsp:rsid wsp:val=&quot;00190F9E&quot;/&gt;&lt;wsp:rsid wsp:val=&quot;00191821&quot;/&gt;&lt;wsp:rsid wsp:val=&quot;00191B06&quot;/&gt;&lt;wsp:rsid wsp:val=&quot;00192CE3&quot;/&gt;&lt;wsp:rsid wsp:val=&quot;00193097&quot;/&gt;&lt;wsp:rsid wsp:val=&quot;001936CA&quot;/&gt;&lt;wsp:rsid wsp:val=&quot;00193DE0&quot;/&gt;&lt;wsp:rsid wsp:val=&quot;0019435B&quot;/&gt;&lt;wsp:rsid wsp:val=&quot;001948C3&quot;/&gt;&lt;wsp:rsid wsp:val=&quot;001949FF&quot;/&gt;&lt;wsp:rsid wsp:val=&quot;0019502B&quot;/&gt;&lt;wsp:rsid wsp:val=&quot;00195167&quot;/&gt;&lt;wsp:rsid wsp:val=&quot;001954D7&quot;/&gt;&lt;wsp:rsid wsp:val=&quot;0019641F&quot;/&gt;&lt;wsp:rsid wsp:val=&quot;00196C1F&quot;/&gt;&lt;wsp:rsid wsp:val=&quot;00196F2C&quot;/&gt;&lt;wsp:rsid wsp:val=&quot;00197002&quot;/&gt;&lt;wsp:rsid wsp:val=&quot;001A08F5&quot;/&gt;&lt;wsp:rsid wsp:val=&quot;001A0E79&quot;/&gt;&lt;wsp:rsid wsp:val=&quot;001A0EFE&quot;/&gt;&lt;wsp:rsid wsp:val=&quot;001A1369&quot;/&gt;&lt;wsp:rsid wsp:val=&quot;001A1A5C&quot;/&gt;&lt;wsp:rsid wsp:val=&quot;001A1A9A&quot;/&gt;&lt;wsp:rsid wsp:val=&quot;001A1BE3&quot;/&gt;&lt;wsp:rsid wsp:val=&quot;001A1D3B&quot;/&gt;&lt;wsp:rsid wsp:val=&quot;001A2599&quot;/&gt;&lt;wsp:rsid wsp:val=&quot;001A2903&quot;/&gt;&lt;wsp:rsid wsp:val=&quot;001A2D51&quot;/&gt;&lt;wsp:rsid wsp:val=&quot;001A316F&quot;/&gt;&lt;wsp:rsid wsp:val=&quot;001A358C&quot;/&gt;&lt;wsp:rsid wsp:val=&quot;001A376B&quot;/&gt;&lt;wsp:rsid wsp:val=&quot;001A38EC&quot;/&gt;&lt;wsp:rsid wsp:val=&quot;001A3A44&quot;/&gt;&lt;wsp:rsid wsp:val=&quot;001A3AF9&quot;/&gt;&lt;wsp:rsid wsp:val=&quot;001A3D03&quot;/&gt;&lt;wsp:rsid wsp:val=&quot;001A4018&quot;/&gt;&lt;wsp:rsid wsp:val=&quot;001A4998&quot;/&gt;&lt;wsp:rsid wsp:val=&quot;001A4A71&quot;/&gt;&lt;wsp:rsid wsp:val=&quot;001A4DE8&quot;/&gt;&lt;wsp:rsid wsp:val=&quot;001A4EE8&quot;/&gt;&lt;wsp:rsid wsp:val=&quot;001A5C77&quot;/&gt;&lt;wsp:rsid wsp:val=&quot;001A5DEE&quot;/&gt;&lt;wsp:rsid wsp:val=&quot;001A6457&quot;/&gt;&lt;wsp:rsid wsp:val=&quot;001A6969&quot;/&gt;&lt;wsp:rsid wsp:val=&quot;001A6F28&quot;/&gt;&lt;wsp:rsid wsp:val=&quot;001A7ACC&quot;/&gt;&lt;wsp:rsid wsp:val=&quot;001A7B31&quot;/&gt;&lt;wsp:rsid wsp:val=&quot;001A7C27&quot;/&gt;&lt;wsp:rsid wsp:val=&quot;001B0646&quot;/&gt;&lt;wsp:rsid wsp:val=&quot;001B11EF&quot;/&gt;&lt;wsp:rsid wsp:val=&quot;001B1435&quot;/&gt;&lt;wsp:rsid wsp:val=&quot;001B183F&quot;/&gt;&lt;wsp:rsid wsp:val=&quot;001B1961&quot;/&gt;&lt;wsp:rsid wsp:val=&quot;001B1976&quot;/&gt;&lt;wsp:rsid wsp:val=&quot;001B1D63&quot;/&gt;&lt;wsp:rsid wsp:val=&quot;001B2396&quot;/&gt;&lt;wsp:rsid wsp:val=&quot;001B2D6F&quot;/&gt;&lt;wsp:rsid wsp:val=&quot;001B3103&quot;/&gt;&lt;wsp:rsid wsp:val=&quot;001B3671&quot;/&gt;&lt;wsp:rsid wsp:val=&quot;001B3910&quot;/&gt;&lt;wsp:rsid wsp:val=&quot;001B3AFF&quot;/&gt;&lt;wsp:rsid wsp:val=&quot;001B3E4A&quot;/&gt;&lt;wsp:rsid wsp:val=&quot;001B490C&quot;/&gt;&lt;wsp:rsid wsp:val=&quot;001B49DB&quot;/&gt;&lt;wsp:rsid wsp:val=&quot;001B57D1&quot;/&gt;&lt;wsp:rsid wsp:val=&quot;001B59E7&quot;/&gt;&lt;wsp:rsid wsp:val=&quot;001B5A3C&quot;/&gt;&lt;wsp:rsid wsp:val=&quot;001B6367&quot;/&gt;&lt;wsp:rsid wsp:val=&quot;001B6FDE&quot;/&gt;&lt;wsp:rsid wsp:val=&quot;001B751F&quot;/&gt;&lt;wsp:rsid wsp:val=&quot;001B7550&quot;/&gt;&lt;wsp:rsid wsp:val=&quot;001B7976&quot;/&gt;&lt;wsp:rsid wsp:val=&quot;001C08A0&quot;/&gt;&lt;wsp:rsid wsp:val=&quot;001C0ACA&quot;/&gt;&lt;wsp:rsid wsp:val=&quot;001C0C7C&quot;/&gt;&lt;wsp:rsid wsp:val=&quot;001C0CB0&quot;/&gt;&lt;wsp:rsid wsp:val=&quot;001C11F4&quot;/&gt;&lt;wsp:rsid wsp:val=&quot;001C14F3&quot;/&gt;&lt;wsp:rsid wsp:val=&quot;001C18C0&quot;/&gt;&lt;wsp:rsid wsp:val=&quot;001C18EC&quot;/&gt;&lt;wsp:rsid wsp:val=&quot;001C259C&quot;/&gt;&lt;wsp:rsid wsp:val=&quot;001C289A&quot;/&gt;&lt;wsp:rsid wsp:val=&quot;001C2E80&quot;/&gt;&lt;wsp:rsid wsp:val=&quot;001C310B&quot;/&gt;&lt;wsp:rsid wsp:val=&quot;001C3335&quot;/&gt;&lt;wsp:rsid wsp:val=&quot;001C3A9C&quot;/&gt;&lt;wsp:rsid wsp:val=&quot;001C3DC3&quot;/&gt;&lt;wsp:rsid wsp:val=&quot;001C4377&quot;/&gt;&lt;wsp:rsid wsp:val=&quot;001C47EC&quot;/&gt;&lt;wsp:rsid wsp:val=&quot;001C4BDE&quot;/&gt;&lt;wsp:rsid wsp:val=&quot;001C4D95&quot;/&gt;&lt;wsp:rsid wsp:val=&quot;001C4E19&quot;/&gt;&lt;wsp:rsid wsp:val=&quot;001C511E&quot;/&gt;&lt;wsp:rsid wsp:val=&quot;001C5470&quot;/&gt;&lt;wsp:rsid wsp:val=&quot;001C605A&quot;/&gt;&lt;wsp:rsid wsp:val=&quot;001C6274&quot;/&gt;&lt;wsp:rsid wsp:val=&quot;001C65A9&quot;/&gt;&lt;wsp:rsid wsp:val=&quot;001C6CB1&quot;/&gt;&lt;wsp:rsid wsp:val=&quot;001C6EC0&quot;/&gt;&lt;wsp:rsid wsp:val=&quot;001C7102&quot;/&gt;&lt;wsp:rsid wsp:val=&quot;001C73E7&quot;/&gt;&lt;wsp:rsid wsp:val=&quot;001C7475&quot;/&gt;&lt;wsp:rsid wsp:val=&quot;001C74A3&quot;/&gt;&lt;wsp:rsid wsp:val=&quot;001D005A&quot;/&gt;&lt;wsp:rsid wsp:val=&quot;001D0516&quot;/&gt;&lt;wsp:rsid wsp:val=&quot;001D0AA7&quot;/&gt;&lt;wsp:rsid wsp:val=&quot;001D0CC6&quot;/&gt;&lt;wsp:rsid wsp:val=&quot;001D1299&quot;/&gt;&lt;wsp:rsid wsp:val=&quot;001D14E5&quot;/&gt;&lt;wsp:rsid wsp:val=&quot;001D15AC&quot;/&gt;&lt;wsp:rsid wsp:val=&quot;001D162D&quot;/&gt;&lt;wsp:rsid wsp:val=&quot;001D197B&quot;/&gt;&lt;wsp:rsid wsp:val=&quot;001D1C19&quot;/&gt;&lt;wsp:rsid wsp:val=&quot;001D1CB4&quot;/&gt;&lt;wsp:rsid wsp:val=&quot;001D2A08&quot;/&gt;&lt;wsp:rsid wsp:val=&quot;001D3457&quot;/&gt;&lt;wsp:rsid wsp:val=&quot;001D3E3D&quot;/&gt;&lt;wsp:rsid wsp:val=&quot;001D3F73&quot;/&gt;&lt;wsp:rsid wsp:val=&quot;001D4129&quot;/&gt;&lt;wsp:rsid wsp:val=&quot;001D4498&quot;/&gt;&lt;wsp:rsid wsp:val=&quot;001D4BDC&quot;/&gt;&lt;wsp:rsid wsp:val=&quot;001D56B7&quot;/&gt;&lt;wsp:rsid wsp:val=&quot;001D6010&quot;/&gt;&lt;wsp:rsid wsp:val=&quot;001D6186&quot;/&gt;&lt;wsp:rsid wsp:val=&quot;001D638F&quot;/&gt;&lt;wsp:rsid wsp:val=&quot;001D668A&quot;/&gt;&lt;wsp:rsid wsp:val=&quot;001D6724&quot;/&gt;&lt;wsp:rsid wsp:val=&quot;001D6803&quot;/&gt;&lt;wsp:rsid wsp:val=&quot;001D6C57&quot;/&gt;&lt;wsp:rsid wsp:val=&quot;001D7BAD&quot;/&gt;&lt;wsp:rsid wsp:val=&quot;001D7D45&quot;/&gt;&lt;wsp:rsid wsp:val=&quot;001E0952&quot;/&gt;&lt;wsp:rsid wsp:val=&quot;001E0D4B&quot;/&gt;&lt;wsp:rsid wsp:val=&quot;001E0FDF&quot;/&gt;&lt;wsp:rsid wsp:val=&quot;001E129D&quot;/&gt;&lt;wsp:rsid wsp:val=&quot;001E148A&quot;/&gt;&lt;wsp:rsid wsp:val=&quot;001E17FA&quot;/&gt;&lt;wsp:rsid wsp:val=&quot;001E1BB6&quot;/&gt;&lt;wsp:rsid wsp:val=&quot;001E1D02&quot;/&gt;&lt;wsp:rsid wsp:val=&quot;001E1DCF&quot;/&gt;&lt;wsp:rsid wsp:val=&quot;001E2259&quot;/&gt;&lt;wsp:rsid wsp:val=&quot;001E28DD&quot;/&gt;&lt;wsp:rsid wsp:val=&quot;001E2A9E&quot;/&gt;&lt;wsp:rsid wsp:val=&quot;001E31E9&quot;/&gt;&lt;wsp:rsid wsp:val=&quot;001E3338&quot;/&gt;&lt;wsp:rsid wsp:val=&quot;001E35AA&quot;/&gt;&lt;wsp:rsid wsp:val=&quot;001E39FA&quot;/&gt;&lt;wsp:rsid wsp:val=&quot;001E434F&quot;/&gt;&lt;wsp:rsid wsp:val=&quot;001E455A&quot;/&gt;&lt;wsp:rsid wsp:val=&quot;001E5616&quot;/&gt;&lt;wsp:rsid wsp:val=&quot;001E56E1&quot;/&gt;&lt;wsp:rsid wsp:val=&quot;001E5900&quot;/&gt;&lt;wsp:rsid wsp:val=&quot;001E5A4D&quot;/&gt;&lt;wsp:rsid wsp:val=&quot;001E6893&quot;/&gt;&lt;wsp:rsid wsp:val=&quot;001E6F86&quot;/&gt;&lt;wsp:rsid wsp:val=&quot;001E7005&quot;/&gt;&lt;wsp:rsid wsp:val=&quot;001E70BE&quot;/&gt;&lt;wsp:rsid wsp:val=&quot;001E71E7&quot;/&gt;&lt;wsp:rsid wsp:val=&quot;001E744E&quot;/&gt;&lt;wsp:rsid wsp:val=&quot;001E77A7&quot;/&gt;&lt;wsp:rsid wsp:val=&quot;001E797B&quot;/&gt;&lt;wsp:rsid wsp:val=&quot;001E7A2B&quot;/&gt;&lt;wsp:rsid wsp:val=&quot;001E7C32&quot;/&gt;&lt;wsp:rsid wsp:val=&quot;001E7D25&quot;/&gt;&lt;wsp:rsid wsp:val=&quot;001E7DAB&quot;/&gt;&lt;wsp:rsid wsp:val=&quot;001E7E25&quot;/&gt;&lt;wsp:rsid wsp:val=&quot;001F03AC&quot;/&gt;&lt;wsp:rsid wsp:val=&quot;001F095B&quot;/&gt;&lt;wsp:rsid wsp:val=&quot;001F10B3&quot;/&gt;&lt;wsp:rsid wsp:val=&quot;001F1254&quot;/&gt;&lt;wsp:rsid wsp:val=&quot;001F1F4B&quot;/&gt;&lt;wsp:rsid wsp:val=&quot;001F211E&quot;/&gt;&lt;wsp:rsid wsp:val=&quot;001F24D7&quot;/&gt;&lt;wsp:rsid wsp:val=&quot;001F2C04&quot;/&gt;&lt;wsp:rsid wsp:val=&quot;001F2D53&quot;/&gt;&lt;wsp:rsid wsp:val=&quot;001F2D7C&quot;/&gt;&lt;wsp:rsid wsp:val=&quot;001F3425&quot;/&gt;&lt;wsp:rsid wsp:val=&quot;001F4384&quot;/&gt;&lt;wsp:rsid wsp:val=&quot;001F5C45&quot;/&gt;&lt;wsp:rsid wsp:val=&quot;001F6076&quot;/&gt;&lt;wsp:rsid wsp:val=&quot;001F7196&quot;/&gt;&lt;wsp:rsid wsp:val=&quot;001F7E06&quot;/&gt;&lt;wsp:rsid wsp:val=&quot;001F7EF9&quot;/&gt;&lt;wsp:rsid wsp:val=&quot;00200033&quot;/&gt;&lt;wsp:rsid wsp:val=&quot;00200234&quot;/&gt;&lt;wsp:rsid wsp:val=&quot;002017FD&quot;/&gt;&lt;wsp:rsid wsp:val=&quot;002018A0&quot;/&gt;&lt;wsp:rsid wsp:val=&quot;00201D6D&quot;/&gt;&lt;wsp:rsid wsp:val=&quot;002022AA&quot;/&gt;&lt;wsp:rsid wsp:val=&quot;00202341&quot;/&gt;&lt;wsp:rsid wsp:val=&quot;002034E4&quot;/&gt;&lt;wsp:rsid wsp:val=&quot;00203873&quot;/&gt;&lt;wsp:rsid wsp:val=&quot;0020391F&quot;/&gt;&lt;wsp:rsid wsp:val=&quot;00203E6F&quot;/&gt;&lt;wsp:rsid wsp:val=&quot;00204572&quot;/&gt;&lt;wsp:rsid wsp:val=&quot;00204F2D&quot;/&gt;&lt;wsp:rsid wsp:val=&quot;00205188&quot;/&gt;&lt;wsp:rsid wsp:val=&quot;00205705&quot;/&gt;&lt;wsp:rsid wsp:val=&quot;00205F49&quot;/&gt;&lt;wsp:rsid wsp:val=&quot;00206143&quot;/&gt;&lt;wsp:rsid wsp:val=&quot;002062AB&quot;/&gt;&lt;wsp:rsid wsp:val=&quot;002064CF&quot;/&gt;&lt;wsp:rsid wsp:val=&quot;00206A32&quot;/&gt;&lt;wsp:rsid wsp:val=&quot;002072C2&quot;/&gt;&lt;wsp:rsid wsp:val=&quot;002076E3&quot;/&gt;&lt;wsp:rsid wsp:val=&quot;002077BC&quot;/&gt;&lt;wsp:rsid wsp:val=&quot;0021042C&quot;/&gt;&lt;wsp:rsid wsp:val=&quot;0021159D&quot;/&gt;&lt;wsp:rsid wsp:val=&quot;002119F7&quot;/&gt;&lt;wsp:rsid wsp:val=&quot;00212203&quot;/&gt;&lt;wsp:rsid wsp:val=&quot;002127F9&quot;/&gt;&lt;wsp:rsid wsp:val=&quot;002129A2&quot;/&gt;&lt;wsp:rsid wsp:val=&quot;00212D08&quot;/&gt;&lt;wsp:rsid wsp:val=&quot;00212EB1&quot;/&gt;&lt;wsp:rsid wsp:val=&quot;00212F70&quot;/&gt;&lt;wsp:rsid wsp:val=&quot;00212FD5&quot;/&gt;&lt;wsp:rsid wsp:val=&quot;002131DC&quot;/&gt;&lt;wsp:rsid wsp:val=&quot;00213AA3&quot;/&gt;&lt;wsp:rsid wsp:val=&quot;00213F70&quot;/&gt;&lt;wsp:rsid wsp:val=&quot;002143BC&quot;/&gt;&lt;wsp:rsid wsp:val=&quot;002144AB&quot;/&gt;&lt;wsp:rsid wsp:val=&quot;00214945&quot;/&gt;&lt;wsp:rsid wsp:val=&quot;00215010&quot;/&gt;&lt;wsp:rsid wsp:val=&quot;00215752&quot;/&gt;&lt;wsp:rsid wsp:val=&quot;00215C88&quot;/&gt;&lt;wsp:rsid wsp:val=&quot;00215CE1&quot;/&gt;&lt;wsp:rsid wsp:val=&quot;00215F04&quot;/&gt;&lt;wsp:rsid wsp:val=&quot;002162EC&quot;/&gt;&lt;wsp:rsid wsp:val=&quot;002169DD&quot;/&gt;&lt;wsp:rsid wsp:val=&quot;002173D2&quot;/&gt;&lt;wsp:rsid wsp:val=&quot;0021774D&quot;/&gt;&lt;wsp:rsid wsp:val=&quot;00217C6A&quot;/&gt;&lt;wsp:rsid wsp:val=&quot;0022006B&quot;/&gt;&lt;wsp:rsid wsp:val=&quot;00220132&quot;/&gt;&lt;wsp:rsid wsp:val=&quot;00220C5D&quot;/&gt;&lt;wsp:rsid wsp:val=&quot;00220FC8&quot;/&gt;&lt;wsp:rsid wsp:val=&quot;00221237&quot;/&gt;&lt;wsp:rsid wsp:val=&quot;002212E5&quot;/&gt;&lt;wsp:rsid wsp:val=&quot;002213D1&quot;/&gt;&lt;wsp:rsid wsp:val=&quot;00221D43&quot;/&gt;&lt;wsp:rsid wsp:val=&quot;002223F8&quot;/&gt;&lt;wsp:rsid wsp:val=&quot;00222F7A&quot;/&gt;&lt;wsp:rsid wsp:val=&quot;00223130&quot;/&gt;&lt;wsp:rsid wsp:val=&quot;00223BC4&quot;/&gt;&lt;wsp:rsid wsp:val=&quot;00224E68&quot;/&gt;&lt;wsp:rsid wsp:val=&quot;00224E8E&quot;/&gt;&lt;wsp:rsid wsp:val=&quot;002251B0&quot;/&gt;&lt;wsp:rsid wsp:val=&quot;002255B3&quot;/&gt;&lt;wsp:rsid wsp:val=&quot;00225609&quot;/&gt;&lt;wsp:rsid wsp:val=&quot;00225889&quot;/&gt;&lt;wsp:rsid wsp:val=&quot;00225E3D&quot;/&gt;&lt;wsp:rsid wsp:val=&quot;0022668B&quot;/&gt;&lt;wsp:rsid wsp:val=&quot;002273FF&quot;/&gt;&lt;wsp:rsid wsp:val=&quot;0022775A&quot;/&gt;&lt;wsp:rsid wsp:val=&quot;0022795C&quot;/&gt;&lt;wsp:rsid wsp:val=&quot;00227E37&quot;/&gt;&lt;wsp:rsid wsp:val=&quot;00230449&quot;/&gt;&lt;wsp:rsid wsp:val=&quot;00230905&quot;/&gt;&lt;wsp:rsid wsp:val=&quot;00230956&quot;/&gt;&lt;wsp:rsid wsp:val=&quot;00230E17&quot;/&gt;&lt;wsp:rsid wsp:val=&quot;00231148&quot;/&gt;&lt;wsp:rsid wsp:val=&quot;0023117A&quot;/&gt;&lt;wsp:rsid wsp:val=&quot;00231675&quot;/&gt;&lt;wsp:rsid wsp:val=&quot;0023175C&quot;/&gt;&lt;wsp:rsid wsp:val=&quot;00231904&quot;/&gt;&lt;wsp:rsid wsp:val=&quot;00231D9C&quot;/&gt;&lt;wsp:rsid wsp:val=&quot;00231E6D&quot;/&gt;&lt;wsp:rsid wsp:val=&quot;00232157&quot;/&gt;&lt;wsp:rsid wsp:val=&quot;00232942&quot;/&gt;&lt;wsp:rsid wsp:val=&quot;00232C7F&quot;/&gt;&lt;wsp:rsid wsp:val=&quot;00232E7E&quot;/&gt;&lt;wsp:rsid wsp:val=&quot;00232FE6&quot;/&gt;&lt;wsp:rsid wsp:val=&quot;00233772&quot;/&gt;&lt;wsp:rsid wsp:val=&quot;002338EE&quot;/&gt;&lt;wsp:rsid wsp:val=&quot;00233911&quot;/&gt;&lt;wsp:rsid wsp:val=&quot;00234049&quot;/&gt;&lt;wsp:rsid wsp:val=&quot;002345AC&quot;/&gt;&lt;wsp:rsid wsp:val=&quot;002350C8&quot;/&gt;&lt;wsp:rsid wsp:val=&quot;00235572&quot;/&gt;&lt;wsp:rsid wsp:val=&quot;002355EC&quot;/&gt;&lt;wsp:rsid wsp:val=&quot;0023568C&quot;/&gt;&lt;wsp:rsid wsp:val=&quot;0023596A&quot;/&gt;&lt;wsp:rsid wsp:val=&quot;00235C60&quot;/&gt;&lt;wsp:rsid wsp:val=&quot;00236A0B&quot;/&gt;&lt;wsp:rsid wsp:val=&quot;002379ED&quot;/&gt;&lt;wsp:rsid wsp:val=&quot;00237ABC&quot;/&gt;&lt;wsp:rsid wsp:val=&quot;00237E12&quot;/&gt;&lt;wsp:rsid wsp:val=&quot;0024016E&quot;/&gt;&lt;wsp:rsid wsp:val=&quot;00240A11&quot;/&gt;&lt;wsp:rsid wsp:val=&quot;00240BA3&quot;/&gt;&lt;wsp:rsid wsp:val=&quot;00240CFC&quot;/&gt;&lt;wsp:rsid wsp:val=&quot;00240E9B&quot;/&gt;&lt;wsp:rsid wsp:val=&quot;0024158C&quot;/&gt;&lt;wsp:rsid wsp:val=&quot;002417D4&quot;/&gt;&lt;wsp:rsid wsp:val=&quot;00241829&quot;/&gt;&lt;wsp:rsid wsp:val=&quot;00241953&quot;/&gt;&lt;wsp:rsid wsp:val=&quot;00241ED4&quot;/&gt;&lt;wsp:rsid wsp:val=&quot;00242586&quot;/&gt;&lt;wsp:rsid wsp:val=&quot;00243133&quot;/&gt;&lt;wsp:rsid wsp:val=&quot;0024340C&quot;/&gt;&lt;wsp:rsid wsp:val=&quot;00244271&quot;/&gt;&lt;wsp:rsid wsp:val=&quot;00244325&quot;/&gt;&lt;wsp:rsid wsp:val=&quot;00244582&quot;/&gt;&lt;wsp:rsid wsp:val=&quot;00244D59&quot;/&gt;&lt;wsp:rsid wsp:val=&quot;00244EBA&quot;/&gt;&lt;wsp:rsid wsp:val=&quot;00245291&quot;/&gt;&lt;wsp:rsid wsp:val=&quot;002453BD&quot;/&gt;&lt;wsp:rsid wsp:val=&quot;002457E6&quot;/&gt;&lt;wsp:rsid wsp:val=&quot;00245BD2&quot;/&gt;&lt;wsp:rsid wsp:val=&quot;00246478&quot;/&gt;&lt;wsp:rsid wsp:val=&quot;00246869&quot;/&gt;&lt;wsp:rsid wsp:val=&quot;00246BE6&quot;/&gt;&lt;wsp:rsid wsp:val=&quot;00246CC6&quot;/&gt;&lt;wsp:rsid wsp:val=&quot;00247035&quot;/&gt;&lt;wsp:rsid wsp:val=&quot;0024749C&quot;/&gt;&lt;wsp:rsid wsp:val=&quot;00247927&quot;/&gt;&lt;wsp:rsid wsp:val=&quot;00247BB3&quot;/&gt;&lt;wsp:rsid wsp:val=&quot;00247D95&quot;/&gt;&lt;wsp:rsid wsp:val=&quot;00247E1E&quot;/&gt;&lt;wsp:rsid wsp:val=&quot;00250181&quot;/&gt;&lt;wsp:rsid wsp:val=&quot;0025018F&quot;/&gt;&lt;wsp:rsid wsp:val=&quot;0025038F&quot;/&gt;&lt;wsp:rsid wsp:val=&quot;002508CA&quot;/&gt;&lt;wsp:rsid wsp:val=&quot;00250A9A&quot;/&gt;&lt;wsp:rsid wsp:val=&quot;0025148F&quot;/&gt;&lt;wsp:rsid wsp:val=&quot;002515EE&quot;/&gt;&lt;wsp:rsid wsp:val=&quot;002516C6&quot;/&gt;&lt;wsp:rsid wsp:val=&quot;00251903&quot;/&gt;&lt;wsp:rsid wsp:val=&quot;00252222&quot;/&gt;&lt;wsp:rsid wsp:val=&quot;00252710&quot;/&gt;&lt;wsp:rsid wsp:val=&quot;00252E2C&quot;/&gt;&lt;wsp:rsid wsp:val=&quot;00253593&quot;/&gt;&lt;wsp:rsid wsp:val=&quot;00253774&quot;/&gt;&lt;wsp:rsid wsp:val=&quot;00253CAB&quot;/&gt;&lt;wsp:rsid wsp:val=&quot;002540E9&quot;/&gt;&lt;wsp:rsid wsp:val=&quot;002541E5&quot;/&gt;&lt;wsp:rsid wsp:val=&quot;002542D5&quot;/&gt;&lt;wsp:rsid wsp:val=&quot;0025475B&quot;/&gt;&lt;wsp:rsid wsp:val=&quot;00254A36&quot;/&gt;&lt;wsp:rsid wsp:val=&quot;00254A3F&quot;/&gt;&lt;wsp:rsid wsp:val=&quot;0025518A&quot;/&gt;&lt;wsp:rsid wsp:val=&quot;00255657&quot;/&gt;&lt;wsp:rsid wsp:val=&quot;0025576A&quot;/&gt;&lt;wsp:rsid wsp:val=&quot;00255C63&quot;/&gt;&lt;wsp:rsid wsp:val=&quot;00255E88&quot;/&gt;&lt;wsp:rsid wsp:val=&quot;0025675C&quot;/&gt;&lt;wsp:rsid wsp:val=&quot;002570AF&quot;/&gt;&lt;wsp:rsid wsp:val=&quot;0025737D&quot;/&gt;&lt;wsp:rsid wsp:val=&quot;0025786C&quot;/&gt;&lt;wsp:rsid wsp:val=&quot;00257C0C&quot;/&gt;&lt;wsp:rsid wsp:val=&quot;00257FCE&quot;/&gt;&lt;wsp:rsid wsp:val=&quot;00260483&quot;/&gt;&lt;wsp:rsid wsp:val=&quot;002609D2&quot;/&gt;&lt;wsp:rsid wsp:val=&quot;00260AEE&quot;/&gt;&lt;wsp:rsid wsp:val=&quot;0026107D&quot;/&gt;&lt;wsp:rsid wsp:val=&quot;0026176D&quot;/&gt;&lt;wsp:rsid wsp:val=&quot;002619D9&quot;/&gt;&lt;wsp:rsid wsp:val=&quot;002623D3&quot;/&gt;&lt;wsp:rsid wsp:val=&quot;00262BA6&quot;/&gt;&lt;wsp:rsid wsp:val=&quot;00263AAE&quot;/&gt;&lt;wsp:rsid wsp:val=&quot;00264452&quot;/&gt;&lt;wsp:rsid wsp:val=&quot;002647E7&quot;/&gt;&lt;wsp:rsid wsp:val=&quot;00265EC4&quot;/&gt;&lt;wsp:rsid wsp:val=&quot;00265EF8&quot;/&gt;&lt;wsp:rsid wsp:val=&quot;002665F7&quot;/&gt;&lt;wsp:rsid wsp:val=&quot;00266692&quot;/&gt;&lt;wsp:rsid wsp:val=&quot;002669C9&quot;/&gt;&lt;wsp:rsid wsp:val=&quot;0026752D&quot;/&gt;&lt;wsp:rsid wsp:val=&quot;0027049B&quot;/&gt;&lt;wsp:rsid wsp:val=&quot;00270595&quot;/&gt;&lt;wsp:rsid wsp:val=&quot;00270811&quot;/&gt;&lt;wsp:rsid wsp:val=&quot;00270B18&quot;/&gt;&lt;wsp:rsid wsp:val=&quot;00270E85&quot;/&gt;&lt;wsp:rsid wsp:val=&quot;002714FD&quot;/&gt;&lt;wsp:rsid wsp:val=&quot;00271757&quot;/&gt;&lt;wsp:rsid wsp:val=&quot;002717E6&quot;/&gt;&lt;wsp:rsid wsp:val=&quot;00271DFE&quot;/&gt;&lt;wsp:rsid wsp:val=&quot;00272147&quot;/&gt;&lt;wsp:rsid wsp:val=&quot;00272326&quot;/&gt;&lt;wsp:rsid wsp:val=&quot;00272E76&quot;/&gt;&lt;wsp:rsid wsp:val=&quot;00273295&quot;/&gt;&lt;wsp:rsid wsp:val=&quot;00273626&quot;/&gt;&lt;wsp:rsid wsp:val=&quot;00273B40&quot;/&gt;&lt;wsp:rsid wsp:val=&quot;00273CD3&quot;/&gt;&lt;wsp:rsid wsp:val=&quot;0027408F&quot;/&gt;&lt;wsp:rsid wsp:val=&quot;0027527A&quot;/&gt;&lt;wsp:rsid wsp:val=&quot;0027548A&quot;/&gt;&lt;wsp:rsid wsp:val=&quot;00275564&quot;/&gt;&lt;wsp:rsid wsp:val=&quot;0027586E&quot;/&gt;&lt;wsp:rsid wsp:val=&quot;00275C33&quot;/&gt;&lt;wsp:rsid wsp:val=&quot;00275FA8&quot;/&gt;&lt;wsp:rsid wsp:val=&quot;00276021&quot;/&gt;&lt;wsp:rsid wsp:val=&quot;0027650D&quot;/&gt;&lt;wsp:rsid wsp:val=&quot;00276517&quot;/&gt;&lt;wsp:rsid wsp:val=&quot;002765FD&quot;/&gt;&lt;wsp:rsid wsp:val=&quot;00276641&quot;/&gt;&lt;wsp:rsid wsp:val=&quot;00276A9C&quot;/&gt;&lt;wsp:rsid wsp:val=&quot;002774E4&quot;/&gt;&lt;wsp:rsid wsp:val=&quot;002776F3&quot;/&gt;&lt;wsp:rsid wsp:val=&quot;00277823&quot;/&gt;&lt;wsp:rsid wsp:val=&quot;00277930&quot;/&gt;&lt;wsp:rsid wsp:val=&quot;002779DE&quot;/&gt;&lt;wsp:rsid wsp:val=&quot;00277A86&quot;/&gt;&lt;wsp:rsid wsp:val=&quot;00277BD0&quot;/&gt;&lt;wsp:rsid wsp:val=&quot;00277D34&quot;/&gt;&lt;wsp:rsid wsp:val=&quot;00280135&quot;/&gt;&lt;wsp:rsid wsp:val=&quot;0028019A&quot;/&gt;&lt;wsp:rsid wsp:val=&quot;002803EF&quot;/&gt;&lt;wsp:rsid wsp:val=&quot;002806BB&quot;/&gt;&lt;wsp:rsid wsp:val=&quot;00281488&quot;/&gt;&lt;wsp:rsid wsp:val=&quot;002816EB&quot;/&gt;&lt;wsp:rsid wsp:val=&quot;0028180D&quot;/&gt;&lt;wsp:rsid wsp:val=&quot;002818A3&quot;/&gt;&lt;wsp:rsid wsp:val=&quot;00281918&quot;/&gt;&lt;wsp:rsid wsp:val=&quot;00281B5A&quot;/&gt;&lt;wsp:rsid wsp:val=&quot;00281F4A&quot;/&gt;&lt;wsp:rsid wsp:val=&quot;002825F7&quot;/&gt;&lt;wsp:rsid wsp:val=&quot;00282716&quot;/&gt;&lt;wsp:rsid wsp:val=&quot;00282E3B&quot;/&gt;&lt;wsp:rsid wsp:val=&quot;0028338E&quot;/&gt;&lt;wsp:rsid wsp:val=&quot;002838EE&quot;/&gt;&lt;wsp:rsid wsp:val=&quot;00283B58&quot;/&gt;&lt;wsp:rsid wsp:val=&quot;00283CA2&quot;/&gt;&lt;wsp:rsid wsp:val=&quot;00284F26&quot;/&gt;&lt;wsp:rsid wsp:val=&quot;00284FF3&quot;/&gt;&lt;wsp:rsid wsp:val=&quot;0028501F&quot;/&gt;&lt;wsp:rsid wsp:val=&quot;00285105&quot;/&gt;&lt;wsp:rsid wsp:val=&quot;002851A3&quot;/&gt;&lt;wsp:rsid wsp:val=&quot;00285949&quot;/&gt;&lt;wsp:rsid wsp:val=&quot;00285AB1&quot;/&gt;&lt;wsp:rsid wsp:val=&quot;0028605C&quot;/&gt;&lt;wsp:rsid wsp:val=&quot;002865B7&quot;/&gt;&lt;wsp:rsid wsp:val=&quot;002866D7&quot;/&gt;&lt;wsp:rsid wsp:val=&quot;00286D02&quot;/&gt;&lt;wsp:rsid wsp:val=&quot;00286D52&quot;/&gt;&lt;wsp:rsid wsp:val=&quot;00286E89&quot;/&gt;&lt;wsp:rsid wsp:val=&quot;002872DD&quot;/&gt;&lt;wsp:rsid wsp:val=&quot;0028765A&quot;/&gt;&lt;wsp:rsid wsp:val=&quot;00287829&quot;/&gt;&lt;wsp:rsid wsp:val=&quot;00290055&quot;/&gt;&lt;wsp:rsid wsp:val=&quot;00290F4B&quot;/&gt;&lt;wsp:rsid wsp:val=&quot;00291068&quot;/&gt;&lt;wsp:rsid wsp:val=&quot;00291229&quot;/&gt;&lt;wsp:rsid wsp:val=&quot;002914AE&quot;/&gt;&lt;wsp:rsid wsp:val=&quot;002916BE&quot;/&gt;&lt;wsp:rsid wsp:val=&quot;00291822&quot;/&gt;&lt;wsp:rsid wsp:val=&quot;00292033&quot;/&gt;&lt;wsp:rsid wsp:val=&quot;00292569&quot;/&gt;&lt;wsp:rsid wsp:val=&quot;002928EB&quot;/&gt;&lt;wsp:rsid wsp:val=&quot;00292CA3&quot;/&gt;&lt;wsp:rsid wsp:val=&quot;00292CDF&quot;/&gt;&lt;wsp:rsid wsp:val=&quot;00293011&quot;/&gt;&lt;wsp:rsid wsp:val=&quot;00294293&quot;/&gt;&lt;wsp:rsid wsp:val=&quot;002944CA&quot;/&gt;&lt;wsp:rsid wsp:val=&quot;00294774&quot;/&gt;&lt;wsp:rsid wsp:val=&quot;00294CE1&quot;/&gt;&lt;wsp:rsid wsp:val=&quot;00295988&quot;/&gt;&lt;wsp:rsid wsp:val=&quot;002970B9&quot;/&gt;&lt;wsp:rsid wsp:val=&quot;00297514&quot;/&gt;&lt;wsp:rsid wsp:val=&quot;002979B8&quot;/&gt;&lt;wsp:rsid wsp:val=&quot;00297B81&quot;/&gt;&lt;wsp:rsid wsp:val=&quot;002A0019&quot;/&gt;&lt;wsp:rsid wsp:val=&quot;002A013A&quot;/&gt;&lt;wsp:rsid wsp:val=&quot;002A0409&quot;/&gt;&lt;wsp:rsid wsp:val=&quot;002A09A3&quot;/&gt;&lt;wsp:rsid wsp:val=&quot;002A0A6A&quot;/&gt;&lt;wsp:rsid wsp:val=&quot;002A0A7C&quot;/&gt;&lt;wsp:rsid wsp:val=&quot;002A0FC0&quot;/&gt;&lt;wsp:rsid wsp:val=&quot;002A130A&quot;/&gt;&lt;wsp:rsid wsp:val=&quot;002A1DC1&quot;/&gt;&lt;wsp:rsid wsp:val=&quot;002A1DF0&quot;/&gt;&lt;wsp:rsid wsp:val=&quot;002A200D&quot;/&gt;&lt;wsp:rsid wsp:val=&quot;002A2AA0&quot;/&gt;&lt;wsp:rsid wsp:val=&quot;002A2F6C&quot;/&gt;&lt;wsp:rsid wsp:val=&quot;002A4512&quot;/&gt;&lt;wsp:rsid wsp:val=&quot;002A4A14&quot;/&gt;&lt;wsp:rsid wsp:val=&quot;002A4FB2&quot;/&gt;&lt;wsp:rsid wsp:val=&quot;002A5317&quot;/&gt;&lt;wsp:rsid wsp:val=&quot;002A561B&quot;/&gt;&lt;wsp:rsid wsp:val=&quot;002A5CD9&quot;/&gt;&lt;wsp:rsid wsp:val=&quot;002A638C&quot;/&gt;&lt;wsp:rsid wsp:val=&quot;002A6455&quot;/&gt;&lt;wsp:rsid wsp:val=&quot;002A6747&quot;/&gt;&lt;wsp:rsid wsp:val=&quot;002A6799&quot;/&gt;&lt;wsp:rsid wsp:val=&quot;002A67CF&quot;/&gt;&lt;wsp:rsid wsp:val=&quot;002A728A&quot;/&gt;&lt;wsp:rsid wsp:val=&quot;002A7445&quot;/&gt;&lt;wsp:rsid wsp:val=&quot;002A7484&quot;/&gt;&lt;wsp:rsid wsp:val=&quot;002A74B5&quot;/&gt;&lt;wsp:rsid wsp:val=&quot;002A7A2D&quot;/&gt;&lt;wsp:rsid wsp:val=&quot;002A7B9C&quot;/&gt;&lt;wsp:rsid wsp:val=&quot;002B024B&quot;/&gt;&lt;wsp:rsid wsp:val=&quot;002B077B&quot;/&gt;&lt;wsp:rsid wsp:val=&quot;002B1177&quot;/&gt;&lt;wsp:rsid wsp:val=&quot;002B14B2&quot;/&gt;&lt;wsp:rsid wsp:val=&quot;002B1EA6&quot;/&gt;&lt;wsp:rsid wsp:val=&quot;002B2543&quot;/&gt;&lt;wsp:rsid wsp:val=&quot;002B2676&quot;/&gt;&lt;wsp:rsid wsp:val=&quot;002B3979&quot;/&gt;&lt;wsp:rsid wsp:val=&quot;002B421C&quot;/&gt;&lt;wsp:rsid wsp:val=&quot;002B429B&quot;/&gt;&lt;wsp:rsid wsp:val=&quot;002B4E48&quot;/&gt;&lt;wsp:rsid wsp:val=&quot;002B50B7&quot;/&gt;&lt;wsp:rsid wsp:val=&quot;002B5233&quot;/&gt;&lt;wsp:rsid wsp:val=&quot;002B5359&quot;/&gt;&lt;wsp:rsid wsp:val=&quot;002B5496&quot;/&gt;&lt;wsp:rsid wsp:val=&quot;002B5582&quot;/&gt;&lt;wsp:rsid wsp:val=&quot;002B5656&quot;/&gt;&lt;wsp:rsid wsp:val=&quot;002B5BF1&quot;/&gt;&lt;wsp:rsid wsp:val=&quot;002B5E26&quot;/&gt;&lt;wsp:rsid wsp:val=&quot;002B730C&quot;/&gt;&lt;wsp:rsid wsp:val=&quot;002B7E9E&quot;/&gt;&lt;wsp:rsid wsp:val=&quot;002C0990&quot;/&gt;&lt;wsp:rsid wsp:val=&quot;002C0A41&quot;/&gt;&lt;wsp:rsid wsp:val=&quot;002C0D48&quot;/&gt;&lt;wsp:rsid wsp:val=&quot;002C1145&quot;/&gt;&lt;wsp:rsid wsp:val=&quot;002C16E7&quot;/&gt;&lt;wsp:rsid wsp:val=&quot;002C1B46&quot;/&gt;&lt;wsp:rsid wsp:val=&quot;002C2555&quot;/&gt;&lt;wsp:rsid wsp:val=&quot;002C258E&quot;/&gt;&lt;wsp:rsid wsp:val=&quot;002C2BAB&quot;/&gt;&lt;wsp:rsid wsp:val=&quot;002C2DD6&quot;/&gt;&lt;wsp:rsid wsp:val=&quot;002C304E&quot;/&gt;&lt;wsp:rsid wsp:val=&quot;002C3EC9&quot;/&gt;&lt;wsp:rsid wsp:val=&quot;002C4283&quot;/&gt;&lt;wsp:rsid wsp:val=&quot;002C4447&quot;/&gt;&lt;wsp:rsid wsp:val=&quot;002C4589&quot;/&gt;&lt;wsp:rsid wsp:val=&quot;002C4959&quot;/&gt;&lt;wsp:rsid wsp:val=&quot;002C4D4E&quot;/&gt;&lt;wsp:rsid wsp:val=&quot;002C549C&quot;/&gt;&lt;wsp:rsid wsp:val=&quot;002C551F&quot;/&gt;&lt;wsp:rsid wsp:val=&quot;002C5661&quot;/&gt;&lt;wsp:rsid wsp:val=&quot;002C5A54&quot;/&gt;&lt;wsp:rsid wsp:val=&quot;002C5D33&quot;/&gt;&lt;wsp:rsid wsp:val=&quot;002C7401&quot;/&gt;&lt;wsp:rsid wsp:val=&quot;002C764C&quot;/&gt;&lt;wsp:rsid wsp:val=&quot;002C7768&quot;/&gt;&lt;wsp:rsid wsp:val=&quot;002C791D&quot;/&gt;&lt;wsp:rsid wsp:val=&quot;002C7C2A&quot;/&gt;&lt;wsp:rsid wsp:val=&quot;002C7C52&quot;/&gt;&lt;wsp:rsid wsp:val=&quot;002C7E47&quot;/&gt;&lt;wsp:rsid wsp:val=&quot;002D02FB&quot;/&gt;&lt;wsp:rsid wsp:val=&quot;002D0F85&quot;/&gt;&lt;wsp:rsid wsp:val=&quot;002D15B7&quot;/&gt;&lt;wsp:rsid wsp:val=&quot;002D17F0&quot;/&gt;&lt;wsp:rsid wsp:val=&quot;002D19DC&quot;/&gt;&lt;wsp:rsid wsp:val=&quot;002D1C94&quot;/&gt;&lt;wsp:rsid wsp:val=&quot;002D23E5&quot;/&gt;&lt;wsp:rsid wsp:val=&quot;002D2413&quot;/&gt;&lt;wsp:rsid wsp:val=&quot;002D253D&quot;/&gt;&lt;wsp:rsid wsp:val=&quot;002D29A8&quot;/&gt;&lt;wsp:rsid wsp:val=&quot;002D2BA5&quot;/&gt;&lt;wsp:rsid wsp:val=&quot;002D2C3D&quot;/&gt;&lt;wsp:rsid wsp:val=&quot;002D2D58&quot;/&gt;&lt;wsp:rsid wsp:val=&quot;002D2D9E&quot;/&gt;&lt;wsp:rsid wsp:val=&quot;002D3051&quot;/&gt;&lt;wsp:rsid wsp:val=&quot;002D3105&quot;/&gt;&lt;wsp:rsid wsp:val=&quot;002D3770&quot;/&gt;&lt;wsp:rsid wsp:val=&quot;002D3B52&quot;/&gt;&lt;wsp:rsid wsp:val=&quot;002D430B&quot;/&gt;&lt;wsp:rsid wsp:val=&quot;002D43F6&quot;/&gt;&lt;wsp:rsid wsp:val=&quot;002D44DB&quot;/&gt;&lt;wsp:rsid wsp:val=&quot;002D4DBB&quot;/&gt;&lt;wsp:rsid wsp:val=&quot;002D4E06&quot;/&gt;&lt;wsp:rsid wsp:val=&quot;002D4F1A&quot;/&gt;&lt;wsp:rsid wsp:val=&quot;002D4F90&quot;/&gt;&lt;wsp:rsid wsp:val=&quot;002D5707&quot;/&gt;&lt;wsp:rsid wsp:val=&quot;002D5DD5&quot;/&gt;&lt;wsp:rsid wsp:val=&quot;002D5DE4&quot;/&gt;&lt;wsp:rsid wsp:val=&quot;002D69D4&quot;/&gt;&lt;wsp:rsid wsp:val=&quot;002D6E0E&quot;/&gt;&lt;wsp:rsid wsp:val=&quot;002D6FF0&quot;/&gt;&lt;wsp:rsid wsp:val=&quot;002D75CE&quot;/&gt;&lt;wsp:rsid wsp:val=&quot;002D796B&quot;/&gt;&lt;wsp:rsid wsp:val=&quot;002D7BD4&quot;/&gt;&lt;wsp:rsid wsp:val=&quot;002D7E89&quot;/&gt;&lt;wsp:rsid wsp:val=&quot;002D7FA8&quot;/&gt;&lt;wsp:rsid wsp:val=&quot;002E0083&quot;/&gt;&lt;wsp:rsid wsp:val=&quot;002E00E7&quot;/&gt;&lt;wsp:rsid wsp:val=&quot;002E0AC5&quot;/&gt;&lt;wsp:rsid wsp:val=&quot;002E0C08&quot;/&gt;&lt;wsp:rsid wsp:val=&quot;002E174C&quot;/&gt;&lt;wsp:rsid wsp:val=&quot;002E1BF4&quot;/&gt;&lt;wsp:rsid wsp:val=&quot;002E1C44&quot;/&gt;&lt;wsp:rsid wsp:val=&quot;002E279C&quot;/&gt;&lt;wsp:rsid wsp:val=&quot;002E2A6E&quot;/&gt;&lt;wsp:rsid wsp:val=&quot;002E2C4C&quot;/&gt;&lt;wsp:rsid wsp:val=&quot;002E2FC0&quot;/&gt;&lt;wsp:rsid wsp:val=&quot;002E310A&quot;/&gt;&lt;wsp:rsid wsp:val=&quot;002E319F&quot;/&gt;&lt;wsp:rsid wsp:val=&quot;002E3410&quot;/&gt;&lt;wsp:rsid wsp:val=&quot;002E36F9&quot;/&gt;&lt;wsp:rsid wsp:val=&quot;002E3853&quot;/&gt;&lt;wsp:rsid wsp:val=&quot;002E3E14&quot;/&gt;&lt;wsp:rsid wsp:val=&quot;002E4501&quot;/&gt;&lt;wsp:rsid wsp:val=&quot;002E468E&quot;/&gt;&lt;wsp:rsid wsp:val=&quot;002E46B1&quot;/&gt;&lt;wsp:rsid wsp:val=&quot;002E4966&quot;/&gt;&lt;wsp:rsid wsp:val=&quot;002E4B93&quot;/&gt;&lt;wsp:rsid wsp:val=&quot;002E501A&quot;/&gt;&lt;wsp:rsid wsp:val=&quot;002E5315&quot;/&gt;&lt;wsp:rsid wsp:val=&quot;002E662C&quot;/&gt;&lt;wsp:rsid wsp:val=&quot;002E6943&quot;/&gt;&lt;wsp:rsid wsp:val=&quot;002E6949&quot;/&gt;&lt;wsp:rsid wsp:val=&quot;002E6C5A&quot;/&gt;&lt;wsp:rsid wsp:val=&quot;002E6CE5&quot;/&gt;&lt;wsp:rsid wsp:val=&quot;002E72F4&quot;/&gt;&lt;wsp:rsid wsp:val=&quot;002E7355&quot;/&gt;&lt;wsp:rsid wsp:val=&quot;002E7C02&quot;/&gt;&lt;wsp:rsid wsp:val=&quot;002E7C25&quot;/&gt;&lt;wsp:rsid wsp:val=&quot;002E7C67&quot;/&gt;&lt;wsp:rsid wsp:val=&quot;002F0057&quot;/&gt;&lt;wsp:rsid wsp:val=&quot;002F0280&quot;/&gt;&lt;wsp:rsid wsp:val=&quot;002F04A5&quot;/&gt;&lt;wsp:rsid wsp:val=&quot;002F0857&quot;/&gt;&lt;wsp:rsid wsp:val=&quot;002F0A1A&quot;/&gt;&lt;wsp:rsid wsp:val=&quot;002F0FCA&quot;/&gt;&lt;wsp:rsid wsp:val=&quot;002F12D6&quot;/&gt;&lt;wsp:rsid wsp:val=&quot;002F18C1&quot;/&gt;&lt;wsp:rsid wsp:val=&quot;002F1D4A&quot;/&gt;&lt;wsp:rsid wsp:val=&quot;002F2CDB&quot;/&gt;&lt;wsp:rsid wsp:val=&quot;002F3875&quot;/&gt;&lt;wsp:rsid wsp:val=&quot;002F4035&quot;/&gt;&lt;wsp:rsid wsp:val=&quot;002F408B&quot;/&gt;&lt;wsp:rsid wsp:val=&quot;002F4374&quot;/&gt;&lt;wsp:rsid wsp:val=&quot;002F4BED&quot;/&gt;&lt;wsp:rsid wsp:val=&quot;002F4DC0&quot;/&gt;&lt;wsp:rsid wsp:val=&quot;002F529D&quot;/&gt;&lt;wsp:rsid wsp:val=&quot;002F5622&quot;/&gt;&lt;wsp:rsid wsp:val=&quot;002F5CC5&quot;/&gt;&lt;wsp:rsid wsp:val=&quot;002F6423&quot;/&gt;&lt;wsp:rsid wsp:val=&quot;002F6598&quot;/&gt;&lt;wsp:rsid wsp:val=&quot;002F6A5D&quot;/&gt;&lt;wsp:rsid wsp:val=&quot;002F6AF5&quot;/&gt;&lt;wsp:rsid wsp:val=&quot;002F6D48&quot;/&gt;&lt;wsp:rsid wsp:val=&quot;002F6D9A&quot;/&gt;&lt;wsp:rsid wsp:val=&quot;002F7C37&quot;/&gt;&lt;wsp:rsid wsp:val=&quot;002F7F83&quot;/&gt;&lt;wsp:rsid wsp:val=&quot;00300269&quot;/&gt;&lt;wsp:rsid wsp:val=&quot;0030037D&quot;/&gt;&lt;wsp:rsid wsp:val=&quot;003006E5&quot;/&gt;&lt;wsp:rsid wsp:val=&quot;00300758&quot;/&gt;&lt;wsp:rsid wsp:val=&quot;003007C9&quot;/&gt;&lt;wsp:rsid wsp:val=&quot;00301BDA&quot;/&gt;&lt;wsp:rsid wsp:val=&quot;00301C4C&quot;/&gt;&lt;wsp:rsid wsp:val=&quot;00301CB8&quot;/&gt;&lt;wsp:rsid wsp:val=&quot;00301DE0&quot;/&gt;&lt;wsp:rsid wsp:val=&quot;00301DE5&quot;/&gt;&lt;wsp:rsid wsp:val=&quot;003022D9&quot;/&gt;&lt;wsp:rsid wsp:val=&quot;00302478&quot;/&gt;&lt;wsp:rsid wsp:val=&quot;00302828&quot;/&gt;&lt;wsp:rsid wsp:val=&quot;00302B4C&quot;/&gt;&lt;wsp:rsid wsp:val=&quot;00303BA6&quot;/&gt;&lt;wsp:rsid wsp:val=&quot;00303CBB&quot;/&gt;&lt;wsp:rsid wsp:val=&quot;00303DA4&quot;/&gt;&lt;wsp:rsid wsp:val=&quot;003046F6&quot;/&gt;&lt;wsp:rsid wsp:val=&quot;00304955&quot;/&gt;&lt;wsp:rsid wsp:val=&quot;00304B79&quot;/&gt;&lt;wsp:rsid wsp:val=&quot;003053C5&quot;/&gt;&lt;wsp:rsid wsp:val=&quot;0030548D&quot;/&gt;&lt;wsp:rsid wsp:val=&quot;00305806&quot;/&gt;&lt;wsp:rsid wsp:val=&quot;00306359&quot;/&gt;&lt;wsp:rsid wsp:val=&quot;0030654B&quot;/&gt;&lt;wsp:rsid wsp:val=&quot;00306BAD&quot;/&gt;&lt;wsp:rsid wsp:val=&quot;00306E1B&quot;/&gt;&lt;wsp:rsid wsp:val=&quot;003070DF&quot;/&gt;&lt;wsp:rsid wsp:val=&quot;00307372&quot;/&gt;&lt;wsp:rsid wsp:val=&quot;00307375&quot;/&gt;&lt;wsp:rsid wsp:val=&quot;0030784A&quot;/&gt;&lt;wsp:rsid wsp:val=&quot;003078EC&quot;/&gt;&lt;wsp:rsid wsp:val=&quot;00307E81&quot;/&gt;&lt;wsp:rsid wsp:val=&quot;00307FAF&quot;/&gt;&lt;wsp:rsid wsp:val=&quot;00310382&quot;/&gt;&lt;wsp:rsid wsp:val=&quot;00310AE3&quot;/&gt;&lt;wsp:rsid wsp:val=&quot;00310C28&quot;/&gt;&lt;wsp:rsid wsp:val=&quot;00311494&quot;/&gt;&lt;wsp:rsid wsp:val=&quot;0031183D&quot;/&gt;&lt;wsp:rsid wsp:val=&quot;00311881&quot;/&gt;&lt;wsp:rsid wsp:val=&quot;0031197E&quot;/&gt;&lt;wsp:rsid wsp:val=&quot;00311A43&quot;/&gt;&lt;wsp:rsid wsp:val=&quot;00311C95&quot;/&gt;&lt;wsp:rsid wsp:val=&quot;00311CEC&quot;/&gt;&lt;wsp:rsid wsp:val=&quot;00311E66&quot;/&gt;&lt;wsp:rsid wsp:val=&quot;00312297&quot;/&gt;&lt;wsp:rsid wsp:val=&quot;003123C6&quot;/&gt;&lt;wsp:rsid wsp:val=&quot;00312A2F&quot;/&gt;&lt;wsp:rsid wsp:val=&quot;003135F3&quot;/&gt;&lt;wsp:rsid wsp:val=&quot;00313661&quot;/&gt;&lt;wsp:rsid wsp:val=&quot;00313D10&quot;/&gt;&lt;wsp:rsid wsp:val=&quot;00314993&quot;/&gt;&lt;wsp:rsid wsp:val=&quot;00314CDC&quot;/&gt;&lt;wsp:rsid wsp:val=&quot;00314FF9&quot;/&gt;&lt;wsp:rsid wsp:val=&quot;0031537C&quot;/&gt;&lt;wsp:rsid wsp:val=&quot;0031579B&quot;/&gt;&lt;wsp:rsid wsp:val=&quot;003157BD&quot;/&gt;&lt;wsp:rsid wsp:val=&quot;00315DF4&quot;/&gt;&lt;wsp:rsid wsp:val=&quot;003162B9&quot;/&gt;&lt;wsp:rsid wsp:val=&quot;003163DC&quot;/&gt;&lt;wsp:rsid wsp:val=&quot;0031645A&quot;/&gt;&lt;wsp:rsid wsp:val=&quot;00316C5A&quot;/&gt;&lt;wsp:rsid wsp:val=&quot;003170F7&quot;/&gt;&lt;wsp:rsid wsp:val=&quot;003178C8&quot;/&gt;&lt;wsp:rsid wsp:val=&quot;00317937&quot;/&gt;&lt;wsp:rsid wsp:val=&quot;00317ECB&quot;/&gt;&lt;wsp:rsid wsp:val=&quot;00320085&quot;/&gt;&lt;wsp:rsid wsp:val=&quot;003200CD&quot;/&gt;&lt;wsp:rsid wsp:val=&quot;00320782&quot;/&gt;&lt;wsp:rsid wsp:val=&quot;00320873&quot;/&gt;&lt;wsp:rsid wsp:val=&quot;0032096D&quot;/&gt;&lt;wsp:rsid wsp:val=&quot;00320C02&quot;/&gt;&lt;wsp:rsid wsp:val=&quot;00320C5C&quot;/&gt;&lt;wsp:rsid wsp:val=&quot;00320CB5&quot;/&gt;&lt;wsp:rsid wsp:val=&quot;0032122C&quot;/&gt;&lt;wsp:rsid wsp:val=&quot;003215C6&quot;/&gt;&lt;wsp:rsid wsp:val=&quot;003215C8&quot;/&gt;&lt;wsp:rsid wsp:val=&quot;003215D5&quot;/&gt;&lt;wsp:rsid wsp:val=&quot;00322604&quot;/&gt;&lt;wsp:rsid wsp:val=&quot;00323152&quot;/&gt;&lt;wsp:rsid wsp:val=&quot;0032366B&quot;/&gt;&lt;wsp:rsid wsp:val=&quot;0032390A&quot;/&gt;&lt;wsp:rsid wsp:val=&quot;00323F82&quot;/&gt;&lt;wsp:rsid wsp:val=&quot;003240B9&quot;/&gt;&lt;wsp:rsid wsp:val=&quot;003248E2&quot;/&gt;&lt;wsp:rsid wsp:val=&quot;003252F0&quot;/&gt;&lt;wsp:rsid wsp:val=&quot;003255D9&quot;/&gt;&lt;wsp:rsid wsp:val=&quot;00325661&quot;/&gt;&lt;wsp:rsid wsp:val=&quot;00325800&quot;/&gt;&lt;wsp:rsid wsp:val=&quot;00325A90&quot;/&gt;&lt;wsp:rsid wsp:val=&quot;00325D3A&quot;/&gt;&lt;wsp:rsid wsp:val=&quot;003261AA&quot;/&gt;&lt;wsp:rsid wsp:val=&quot;00327485&quot;/&gt;&lt;wsp:rsid wsp:val=&quot;0032782F&quot;/&gt;&lt;wsp:rsid wsp:val=&quot;00327FA2&quot;/&gt;&lt;wsp:rsid wsp:val=&quot;003300A7&quot;/&gt;&lt;wsp:rsid wsp:val=&quot;00330A0F&quot;/&gt;&lt;wsp:rsid wsp:val=&quot;00330C21&quot;/&gt;&lt;wsp:rsid wsp:val=&quot;00331253&quot;/&gt;&lt;wsp:rsid wsp:val=&quot;0033139B&quot;/&gt;&lt;wsp:rsid wsp:val=&quot;003313E5&quot;/&gt;&lt;wsp:rsid wsp:val=&quot;0033183D&quot;/&gt;&lt;wsp:rsid wsp:val=&quot;00333127&quot;/&gt;&lt;wsp:rsid wsp:val=&quot;00333509&quot;/&gt;&lt;wsp:rsid wsp:val=&quot;00333EC5&quot;/&gt;&lt;wsp:rsid wsp:val=&quot;00333FA2&quot;/&gt;&lt;wsp:rsid wsp:val=&quot;00334332&quot;/&gt;&lt;wsp:rsid wsp:val=&quot;00334523&quot;/&gt;&lt;wsp:rsid wsp:val=&quot;00334B0E&quot;/&gt;&lt;wsp:rsid wsp:val=&quot;003351CE&quot;/&gt;&lt;wsp:rsid wsp:val=&quot;0033537A&quot;/&gt;&lt;wsp:rsid wsp:val=&quot;003353E1&quot;/&gt;&lt;wsp:rsid wsp:val=&quot;00335BB0&quot;/&gt;&lt;wsp:rsid wsp:val=&quot;00335BCE&quot;/&gt;&lt;wsp:rsid wsp:val=&quot;00335C99&quot;/&gt;&lt;wsp:rsid wsp:val=&quot;00336CD4&quot;/&gt;&lt;wsp:rsid wsp:val=&quot;00336EC7&quot;/&gt;&lt;wsp:rsid wsp:val=&quot;00336F7A&quot;/&gt;&lt;wsp:rsid wsp:val=&quot;00336FCA&quot;/&gt;&lt;wsp:rsid wsp:val=&quot;0033723A&quot;/&gt;&lt;wsp:rsid wsp:val=&quot;00337271&quot;/&gt;&lt;wsp:rsid wsp:val=&quot;003376F2&quot;/&gt;&lt;wsp:rsid wsp:val=&quot;003378A8&quot;/&gt;&lt;wsp:rsid wsp:val=&quot;0034055F&quot;/&gt;&lt;wsp:rsid wsp:val=&quot;00340804&quot;/&gt;&lt;wsp:rsid wsp:val=&quot;00340F41&quot;/&gt;&lt;wsp:rsid wsp:val=&quot;0034199A&quot;/&gt;&lt;wsp:rsid wsp:val=&quot;00341BBA&quot;/&gt;&lt;wsp:rsid wsp:val=&quot;003427FD&quot;/&gt;&lt;wsp:rsid wsp:val=&quot;00342A4A&quot;/&gt;&lt;wsp:rsid wsp:val=&quot;0034301F&quot;/&gt;&lt;wsp:rsid wsp:val=&quot;003438A2&quot;/&gt;&lt;wsp:rsid wsp:val=&quot;00343CEE&quot;/&gt;&lt;wsp:rsid wsp:val=&quot;00343D5D&quot;/&gt;&lt;wsp:rsid wsp:val=&quot;003440DE&quot;/&gt;&lt;wsp:rsid wsp:val=&quot;0034417B&quot;/&gt;&lt;wsp:rsid wsp:val=&quot;003442B5&quot;/&gt;&lt;wsp:rsid wsp:val=&quot;00344771&quot;/&gt;&lt;wsp:rsid wsp:val=&quot;003447FC&quot;/&gt;&lt;wsp:rsid wsp:val=&quot;0034500E&quot;/&gt;&lt;wsp:rsid wsp:val=&quot;003450B0&quot;/&gt;&lt;wsp:rsid wsp:val=&quot;00345476&quot;/&gt;&lt;wsp:rsid wsp:val=&quot;003456CE&quot;/&gt;&lt;wsp:rsid wsp:val=&quot;00345789&quot;/&gt;&lt;wsp:rsid wsp:val=&quot;003458F6&quot;/&gt;&lt;wsp:rsid wsp:val=&quot;00345968&quot;/&gt;&lt;wsp:rsid wsp:val=&quot;00345AE3&quot;/&gt;&lt;wsp:rsid wsp:val=&quot;00345B4D&quot;/&gt;&lt;wsp:rsid wsp:val=&quot;00345EFA&quot;/&gt;&lt;wsp:rsid wsp:val=&quot;00346290&quot;/&gt;&lt;wsp:rsid wsp:val=&quot;003463D7&quot;/&gt;&lt;wsp:rsid wsp:val=&quot;00346493&quot;/&gt;&lt;wsp:rsid wsp:val=&quot;00346582&quot;/&gt;&lt;wsp:rsid wsp:val=&quot;00346A6F&quot;/&gt;&lt;wsp:rsid wsp:val=&quot;00346BA9&quot;/&gt;&lt;wsp:rsid wsp:val=&quot;00347731&quot;/&gt;&lt;wsp:rsid wsp:val=&quot;00347870&quot;/&gt;&lt;wsp:rsid wsp:val=&quot;00347E26&quot;/&gt;&lt;wsp:rsid wsp:val=&quot;00347E2D&quot;/&gt;&lt;wsp:rsid wsp:val=&quot;00350103&quot;/&gt;&lt;wsp:rsid wsp:val=&quot;0035012C&quot;/&gt;&lt;wsp:rsid wsp:val=&quot;00350190&quot;/&gt;&lt;wsp:rsid wsp:val=&quot;003502B6&quot;/&gt;&lt;wsp:rsid wsp:val=&quot;003507E6&quot;/&gt;&lt;wsp:rsid wsp:val=&quot;00350DF0&quot;/&gt;&lt;wsp:rsid wsp:val=&quot;00350FEC&quot;/&gt;&lt;wsp:rsid wsp:val=&quot;00351B5B&quot;/&gt;&lt;wsp:rsid wsp:val=&quot;00351E8F&quot;/&gt;&lt;wsp:rsid wsp:val=&quot;0035245B&quot;/&gt;&lt;wsp:rsid wsp:val=&quot;0035282A&quot;/&gt;&lt;wsp:rsid wsp:val=&quot;00352D5B&quot;/&gt;&lt;wsp:rsid wsp:val=&quot;0035383B&quot;/&gt;&lt;wsp:rsid wsp:val=&quot;00353B23&quot;/&gt;&lt;wsp:rsid wsp:val=&quot;00353C91&quot;/&gt;&lt;wsp:rsid wsp:val=&quot;00354371&quot;/&gt;&lt;wsp:rsid wsp:val=&quot;0035559E&quot;/&gt;&lt;wsp:rsid wsp:val=&quot;00355943&quot;/&gt;&lt;wsp:rsid wsp:val=&quot;00355999&quot;/&gt;&lt;wsp:rsid wsp:val=&quot;00356BFE&quot;/&gt;&lt;wsp:rsid wsp:val=&quot;00357381&quot;/&gt;&lt;wsp:rsid wsp:val=&quot;00357721&quot;/&gt;&lt;wsp:rsid wsp:val=&quot;00357CA6&quot;/&gt;&lt;wsp:rsid wsp:val=&quot;00360509&quot;/&gt;&lt;wsp:rsid wsp:val=&quot;00360741&quot;/&gt;&lt;wsp:rsid wsp:val=&quot;003607D3&quot;/&gt;&lt;wsp:rsid wsp:val=&quot;00360CF9&quot;/&gt;&lt;wsp:rsid wsp:val=&quot;00361806&quot;/&gt;&lt;wsp:rsid wsp:val=&quot;00361CF4&quot;/&gt;&lt;wsp:rsid wsp:val=&quot;0036221A&quot;/&gt;&lt;wsp:rsid wsp:val=&quot;0036239E&quot;/&gt;&lt;wsp:rsid wsp:val=&quot;0036241A&quot;/&gt;&lt;wsp:rsid wsp:val=&quot;00363622&quot;/&gt;&lt;wsp:rsid wsp:val=&quot;003645E3&quot;/&gt;&lt;wsp:rsid wsp:val=&quot;00364626&quot;/&gt;&lt;wsp:rsid wsp:val=&quot;003646E4&quot;/&gt;&lt;wsp:rsid wsp:val=&quot;00364A73&quot;/&gt;&lt;wsp:rsid wsp:val=&quot;00365617&quot;/&gt;&lt;wsp:rsid wsp:val=&quot;0036566A&quot;/&gt;&lt;wsp:rsid wsp:val=&quot;003657A7&quot;/&gt;&lt;wsp:rsid wsp:val=&quot;0036594C&quot;/&gt;&lt;wsp:rsid wsp:val=&quot;00365BEC&quot;/&gt;&lt;wsp:rsid wsp:val=&quot;00365DEA&quot;/&gt;&lt;wsp:rsid wsp:val=&quot;00365EB6&quot;/&gt;&lt;wsp:rsid wsp:val=&quot;00366353&quot;/&gt;&lt;wsp:rsid wsp:val=&quot;003663C1&quot;/&gt;&lt;wsp:rsid wsp:val=&quot;00366467&quot;/&gt;&lt;wsp:rsid wsp:val=&quot;003666DD&quot;/&gt;&lt;wsp:rsid wsp:val=&quot;0036784F&quot;/&gt;&lt;wsp:rsid wsp:val=&quot;00367AD2&quot;/&gt;&lt;wsp:rsid wsp:val=&quot;00367CA1&quot;/&gt;&lt;wsp:rsid wsp:val=&quot;003701F5&quot;/&gt;&lt;wsp:rsid wsp:val=&quot;0037037B&quot;/&gt;&lt;wsp:rsid wsp:val=&quot;00370794&quot;/&gt;&lt;wsp:rsid wsp:val=&quot;00370B84&quot;/&gt;&lt;wsp:rsid wsp:val=&quot;003713CD&quot;/&gt;&lt;wsp:rsid wsp:val=&quot;003717B3&quot;/&gt;&lt;wsp:rsid wsp:val=&quot;00371AFA&quot;/&gt;&lt;wsp:rsid wsp:val=&quot;003723B9&quot;/&gt;&lt;wsp:rsid wsp:val=&quot;00372DCB&quot;/&gt;&lt;wsp:rsid wsp:val=&quot;003738AC&quot;/&gt;&lt;wsp:rsid wsp:val=&quot;003739CD&quot;/&gt;&lt;wsp:rsid wsp:val=&quot;00373A7E&quot;/&gt;&lt;wsp:rsid wsp:val=&quot;00373AD5&quot;/&gt;&lt;wsp:rsid wsp:val=&quot;00373C3F&quot;/&gt;&lt;wsp:rsid wsp:val=&quot;00373E88&quot;/&gt;&lt;wsp:rsid wsp:val=&quot;00373EE3&quot;/&gt;&lt;wsp:rsid wsp:val=&quot;003741FE&quot;/&gt;&lt;wsp:rsid wsp:val=&quot;00374403&quot;/&gt;&lt;wsp:rsid wsp:val=&quot;003748C6&quot;/&gt;&lt;wsp:rsid wsp:val=&quot;003751E8&quot;/&gt;&lt;wsp:rsid wsp:val=&quot;00375562&quot;/&gt;&lt;wsp:rsid wsp:val=&quot;003755A5&quot;/&gt;&lt;wsp:rsid wsp:val=&quot;00375CAD&quot;/&gt;&lt;wsp:rsid wsp:val=&quot;00375EEB&quot;/&gt;&lt;wsp:rsid wsp:val=&quot;0037640D&quot;/&gt;&lt;wsp:rsid wsp:val=&quot;003765B7&quot;/&gt;&lt;wsp:rsid wsp:val=&quot;00376854&quot;/&gt;&lt;wsp:rsid wsp:val=&quot;00376DFF&quot;/&gt;&lt;wsp:rsid wsp:val=&quot;003773E7&quot;/&gt;&lt;wsp:rsid wsp:val=&quot;00377914&quot;/&gt;&lt;wsp:rsid wsp:val=&quot;003779DE&quot;/&gt;&lt;wsp:rsid wsp:val=&quot;00377C79&quot;/&gt;&lt;wsp:rsid wsp:val=&quot;00377D79&quot;/&gt;&lt;wsp:rsid wsp:val=&quot;003802AA&quot;/&gt;&lt;wsp:rsid wsp:val=&quot;003806F4&quot;/&gt;&lt;wsp:rsid wsp:val=&quot;00381031&quot;/&gt;&lt;wsp:rsid wsp:val=&quot;003813BA&quot;/&gt;&lt;wsp:rsid wsp:val=&quot;00381605&quot;/&gt;&lt;wsp:rsid wsp:val=&quot;00381E59&quot;/&gt;&lt;wsp:rsid wsp:val=&quot;00382915&quot;/&gt;&lt;wsp:rsid wsp:val=&quot;00382A2E&quot;/&gt;&lt;wsp:rsid wsp:val=&quot;00383445&quot;/&gt;&lt;wsp:rsid wsp:val=&quot;0038355D&quot;/&gt;&lt;wsp:rsid wsp:val=&quot;00383C62&quot;/&gt;&lt;wsp:rsid wsp:val=&quot;0038424C&quot;/&gt;&lt;wsp:rsid wsp:val=&quot;003842F7&quot;/&gt;&lt;wsp:rsid wsp:val=&quot;003853B3&quot;/&gt;&lt;wsp:rsid wsp:val=&quot;00385BA9&quot;/&gt;&lt;wsp:rsid wsp:val=&quot;00385C88&quot;/&gt;&lt;wsp:rsid wsp:val=&quot;003862A0&quot;/&gt;&lt;wsp:rsid wsp:val=&quot;00386431&quot;/&gt;&lt;wsp:rsid wsp:val=&quot;00386549&quot;/&gt;&lt;wsp:rsid wsp:val=&quot;00386F6B&quot;/&gt;&lt;wsp:rsid wsp:val=&quot;00387830&quot;/&gt;&lt;wsp:rsid wsp:val=&quot;0038796C&quot;/&gt;&lt;wsp:rsid wsp:val=&quot;00387FE2&quot;/&gt;&lt;wsp:rsid wsp:val=&quot;00390172&quot;/&gt;&lt;wsp:rsid wsp:val=&quot;003906FF&quot;/&gt;&lt;wsp:rsid wsp:val=&quot;0039153F&quot;/&gt;&lt;wsp:rsid wsp:val=&quot;00391652&quot;/&gt;&lt;wsp:rsid wsp:val=&quot;00392391&quot;/&gt;&lt;wsp:rsid wsp:val=&quot;00392D0F&quot;/&gt;&lt;wsp:rsid wsp:val=&quot;0039342B&quot;/&gt;&lt;wsp:rsid wsp:val=&quot;0039344B&quot;/&gt;&lt;wsp:rsid wsp:val=&quot;0039366E&quot;/&gt;&lt;wsp:rsid wsp:val=&quot;0039483D&quot;/&gt;&lt;wsp:rsid wsp:val=&quot;00394916&quot;/&gt;&lt;wsp:rsid wsp:val=&quot;003949E4&quot;/&gt;&lt;wsp:rsid wsp:val=&quot;00394CED&quot;/&gt;&lt;wsp:rsid wsp:val=&quot;00394F8C&quot;/&gt;&lt;wsp:rsid wsp:val=&quot;00395069&quot;/&gt;&lt;wsp:rsid wsp:val=&quot;0039526B&quot;/&gt;&lt;wsp:rsid wsp:val=&quot;0039554B&quot;/&gt;&lt;wsp:rsid wsp:val=&quot;003955B2&quot;/&gt;&lt;wsp:rsid wsp:val=&quot;00395688&quot;/&gt;&lt;wsp:rsid wsp:val=&quot;00395CBD&quot;/&gt;&lt;wsp:rsid wsp:val=&quot;00395DA4&quot;/&gt;&lt;wsp:rsid wsp:val=&quot;00395EC4&quot;/&gt;&lt;wsp:rsid wsp:val=&quot;003962A8&quot;/&gt;&lt;wsp:rsid wsp:val=&quot;00396871&quot;/&gt;&lt;wsp:rsid wsp:val=&quot;00397C4F&quot;/&gt;&lt;wsp:rsid wsp:val=&quot;00397FD3&quot;/&gt;&lt;wsp:rsid wsp:val=&quot;003A01D0&quot;/&gt;&lt;wsp:rsid wsp:val=&quot;003A0596&quot;/&gt;&lt;wsp:rsid wsp:val=&quot;003A0768&quot;/&gt;&lt;wsp:rsid wsp:val=&quot;003A0820&quot;/&gt;&lt;wsp:rsid wsp:val=&quot;003A14B7&quot;/&gt;&lt;wsp:rsid wsp:val=&quot;003A17CC&quot;/&gt;&lt;wsp:rsid wsp:val=&quot;003A1910&quot;/&gt;&lt;wsp:rsid wsp:val=&quot;003A1997&quot;/&gt;&lt;wsp:rsid wsp:val=&quot;003A1EC8&quot;/&gt;&lt;wsp:rsid wsp:val=&quot;003A2490&quot;/&gt;&lt;wsp:rsid wsp:val=&quot;003A27D9&quot;/&gt;&lt;wsp:rsid wsp:val=&quot;003A2CED&quot;/&gt;&lt;wsp:rsid wsp:val=&quot;003A2F2D&quot;/&gt;&lt;wsp:rsid wsp:val=&quot;003A2FA0&quot;/&gt;&lt;wsp:rsid wsp:val=&quot;003A32D1&quot;/&gt;&lt;wsp:rsid wsp:val=&quot;003A34C4&quot;/&gt;&lt;wsp:rsid wsp:val=&quot;003A378B&quot;/&gt;&lt;wsp:rsid wsp:val=&quot;003A3B1A&quot;/&gt;&lt;wsp:rsid wsp:val=&quot;003A3E5D&quot;/&gt;&lt;wsp:rsid wsp:val=&quot;003A4101&quot;/&gt;&lt;wsp:rsid wsp:val=&quot;003A4658&quot;/&gt;&lt;wsp:rsid wsp:val=&quot;003A469E&quot;/&gt;&lt;wsp:rsid wsp:val=&quot;003A477C&quot;/&gt;&lt;wsp:rsid wsp:val=&quot;003A4E04&quot;/&gt;&lt;wsp:rsid wsp:val=&quot;003A53E8&quot;/&gt;&lt;wsp:rsid wsp:val=&quot;003A57D5&quot;/&gt;&lt;wsp:rsid wsp:val=&quot;003A5A42&quot;/&gt;&lt;wsp:rsid wsp:val=&quot;003A5ADE&quot;/&gt;&lt;wsp:rsid wsp:val=&quot;003A5E54&quot;/&gt;&lt;wsp:rsid wsp:val=&quot;003A61AC&quot;/&gt;&lt;wsp:rsid wsp:val=&quot;003A69BD&quot;/&gt;&lt;wsp:rsid wsp:val=&quot;003A71E0&quot;/&gt;&lt;wsp:rsid wsp:val=&quot;003A752F&quot;/&gt;&lt;wsp:rsid wsp:val=&quot;003A7805&quot;/&gt;&lt;wsp:rsid wsp:val=&quot;003A7926&quot;/&gt;&lt;wsp:rsid wsp:val=&quot;003A7D6D&quot;/&gt;&lt;wsp:rsid wsp:val=&quot;003B035A&quot;/&gt;&lt;wsp:rsid wsp:val=&quot;003B0469&quot;/&gt;&lt;wsp:rsid wsp:val=&quot;003B0516&quot;/&gt;&lt;wsp:rsid wsp:val=&quot;003B0B90&quot;/&gt;&lt;wsp:rsid wsp:val=&quot;003B123C&quot;/&gt;&lt;wsp:rsid wsp:val=&quot;003B136C&quot;/&gt;&lt;wsp:rsid wsp:val=&quot;003B196F&quot;/&gt;&lt;wsp:rsid wsp:val=&quot;003B19C2&quot;/&gt;&lt;wsp:rsid wsp:val=&quot;003B24D9&quot;/&gt;&lt;wsp:rsid wsp:val=&quot;003B2D38&quot;/&gt;&lt;wsp:rsid wsp:val=&quot;003B3093&quot;/&gt;&lt;wsp:rsid wsp:val=&quot;003B32E3&quot;/&gt;&lt;wsp:rsid wsp:val=&quot;003B342E&quot;/&gt;&lt;wsp:rsid wsp:val=&quot;003B34F5&quot;/&gt;&lt;wsp:rsid wsp:val=&quot;003B401F&quot;/&gt;&lt;wsp:rsid wsp:val=&quot;003B4781&quot;/&gt;&lt;wsp:rsid wsp:val=&quot;003B48DE&quot;/&gt;&lt;wsp:rsid wsp:val=&quot;003B4D2E&quot;/&gt;&lt;wsp:rsid wsp:val=&quot;003B4F6F&quot;/&gt;&lt;wsp:rsid wsp:val=&quot;003B51C4&quot;/&gt;&lt;wsp:rsid wsp:val=&quot;003B533B&quot;/&gt;&lt;wsp:rsid wsp:val=&quot;003B58EC&quot;/&gt;&lt;wsp:rsid wsp:val=&quot;003B5A1D&quot;/&gt;&lt;wsp:rsid wsp:val=&quot;003B5F0B&quot;/&gt;&lt;wsp:rsid wsp:val=&quot;003B5F46&quot;/&gt;&lt;wsp:rsid wsp:val=&quot;003B6756&quot;/&gt;&lt;wsp:rsid wsp:val=&quot;003B6868&quot;/&gt;&lt;wsp:rsid wsp:val=&quot;003B6FF0&quot;/&gt;&lt;wsp:rsid wsp:val=&quot;003B738E&quot;/&gt;&lt;wsp:rsid wsp:val=&quot;003B75AC&quot;/&gt;&lt;wsp:rsid wsp:val=&quot;003B7D80&quot;/&gt;&lt;wsp:rsid wsp:val=&quot;003B7E55&quot;/&gt;&lt;wsp:rsid wsp:val=&quot;003C0B4F&quot;/&gt;&lt;wsp:rsid wsp:val=&quot;003C0CD3&quot;/&gt;&lt;wsp:rsid wsp:val=&quot;003C1200&quot;/&gt;&lt;wsp:rsid wsp:val=&quot;003C124E&quot;/&gt;&lt;wsp:rsid wsp:val=&quot;003C127D&quot;/&gt;&lt;wsp:rsid wsp:val=&quot;003C1C7A&quot;/&gt;&lt;wsp:rsid wsp:val=&quot;003C1CFF&quot;/&gt;&lt;wsp:rsid wsp:val=&quot;003C1D5D&quot;/&gt;&lt;wsp:rsid wsp:val=&quot;003C21E9&quot;/&gt;&lt;wsp:rsid wsp:val=&quot;003C221B&quot;/&gt;&lt;wsp:rsid wsp:val=&quot;003C2806&quot;/&gt;&lt;wsp:rsid wsp:val=&quot;003C29FB&quot;/&gt;&lt;wsp:rsid wsp:val=&quot;003C2B75&quot;/&gt;&lt;wsp:rsid wsp:val=&quot;003C2C95&quot;/&gt;&lt;wsp:rsid wsp:val=&quot;003C2C9F&quot;/&gt;&lt;wsp:rsid wsp:val=&quot;003C2E2A&quot;/&gt;&lt;wsp:rsid wsp:val=&quot;003C3748&quot;/&gt;&lt;wsp:rsid wsp:val=&quot;003C3EA8&quot;/&gt;&lt;wsp:rsid wsp:val=&quot;003C40A0&quot;/&gt;&lt;wsp:rsid wsp:val=&quot;003C4278&quot;/&gt;&lt;wsp:rsid wsp:val=&quot;003C4300&quot;/&gt;&lt;wsp:rsid wsp:val=&quot;003C475F&quot;/&gt;&lt;wsp:rsid wsp:val=&quot;003C49BC&quot;/&gt;&lt;wsp:rsid wsp:val=&quot;003C4D85&quot;/&gt;&lt;wsp:rsid wsp:val=&quot;003C4EC4&quot;/&gt;&lt;wsp:rsid wsp:val=&quot;003C55AA&quot;/&gt;&lt;wsp:rsid wsp:val=&quot;003C6335&quot;/&gt;&lt;wsp:rsid wsp:val=&quot;003C656F&quot;/&gt;&lt;wsp:rsid wsp:val=&quot;003C6FEB&quot;/&gt;&lt;wsp:rsid wsp:val=&quot;003C7595&quot;/&gt;&lt;wsp:rsid wsp:val=&quot;003C7764&quot;/&gt;&lt;wsp:rsid wsp:val=&quot;003C7AFF&quot;/&gt;&lt;wsp:rsid wsp:val=&quot;003C7E63&quot;/&gt;&lt;wsp:rsid wsp:val=&quot;003C7ECD&quot;/&gt;&lt;wsp:rsid wsp:val=&quot;003D045D&quot;/&gt;&lt;wsp:rsid wsp:val=&quot;003D08A6&quot;/&gt;&lt;wsp:rsid wsp:val=&quot;003D09FE&quot;/&gt;&lt;wsp:rsid wsp:val=&quot;003D1255&quot;/&gt;&lt;wsp:rsid wsp:val=&quot;003D137F&quot;/&gt;&lt;wsp:rsid wsp:val=&quot;003D18FC&quot;/&gt;&lt;wsp:rsid wsp:val=&quot;003D194F&quot;/&gt;&lt;wsp:rsid wsp:val=&quot;003D2AB5&quot;/&gt;&lt;wsp:rsid wsp:val=&quot;003D308D&quot;/&gt;&lt;wsp:rsid wsp:val=&quot;003D370F&quot;/&gt;&lt;wsp:rsid wsp:val=&quot;003D3A18&quot;/&gt;&lt;wsp:rsid wsp:val=&quot;003D3D0C&quot;/&gt;&lt;wsp:rsid wsp:val=&quot;003D3D66&quot;/&gt;&lt;wsp:rsid wsp:val=&quot;003D4097&quot;/&gt;&lt;wsp:rsid wsp:val=&quot;003D4823&quot;/&gt;&lt;wsp:rsid wsp:val=&quot;003D4850&quot;/&gt;&lt;wsp:rsid wsp:val=&quot;003D4973&quot;/&gt;&lt;wsp:rsid wsp:val=&quot;003D5C10&quot;/&gt;&lt;wsp:rsid wsp:val=&quot;003D6227&quot;/&gt;&lt;wsp:rsid wsp:val=&quot;003D6534&quot;/&gt;&lt;wsp:rsid wsp:val=&quot;003D6758&quot;/&gt;&lt;wsp:rsid wsp:val=&quot;003D6E1D&quot;/&gt;&lt;wsp:rsid wsp:val=&quot;003D6F45&quot;/&gt;&lt;wsp:rsid wsp:val=&quot;003D7707&quot;/&gt;&lt;wsp:rsid wsp:val=&quot;003D7749&quot;/&gt;&lt;wsp:rsid wsp:val=&quot;003D7BEB&quot;/&gt;&lt;wsp:rsid wsp:val=&quot;003E04D7&quot;/&gt;&lt;wsp:rsid wsp:val=&quot;003E0CF3&quot;/&gt;&lt;wsp:rsid wsp:val=&quot;003E12B0&quot;/&gt;&lt;wsp:rsid wsp:val=&quot;003E1825&quot;/&gt;&lt;wsp:rsid wsp:val=&quot;003E1A9A&quot;/&gt;&lt;wsp:rsid wsp:val=&quot;003E1BC9&quot;/&gt;&lt;wsp:rsid wsp:val=&quot;003E28AC&quot;/&gt;&lt;wsp:rsid wsp:val=&quot;003E2B62&quot;/&gt;&lt;wsp:rsid wsp:val=&quot;003E3977&quot;/&gt;&lt;wsp:rsid wsp:val=&quot;003E39A7&quot;/&gt;&lt;wsp:rsid wsp:val=&quot;003E3F30&quot;/&gt;&lt;wsp:rsid wsp:val=&quot;003E40F2&quot;/&gt;&lt;wsp:rsid wsp:val=&quot;003E423B&quot;/&gt;&lt;wsp:rsid wsp:val=&quot;003E4288&quot;/&gt;&lt;wsp:rsid wsp:val=&quot;003E42B4&quot;/&gt;&lt;wsp:rsid wsp:val=&quot;003E44F5&quot;/&gt;&lt;wsp:rsid wsp:val=&quot;003E44F6&quot;/&gt;&lt;wsp:rsid wsp:val=&quot;003E56DD&quot;/&gt;&lt;wsp:rsid wsp:val=&quot;003E585B&quot;/&gt;&lt;wsp:rsid wsp:val=&quot;003E5950&quot;/&gt;&lt;wsp:rsid wsp:val=&quot;003E5E26&quot;/&gt;&lt;wsp:rsid wsp:val=&quot;003E6366&quot;/&gt;&lt;wsp:rsid wsp:val=&quot;003E6672&quot;/&gt;&lt;wsp:rsid wsp:val=&quot;003E6BB3&quot;/&gt;&lt;wsp:rsid wsp:val=&quot;003E72B7&quot;/&gt;&lt;wsp:rsid wsp:val=&quot;003E74C8&quot;/&gt;&lt;wsp:rsid wsp:val=&quot;003F1CC6&quot;/&gt;&lt;wsp:rsid wsp:val=&quot;003F1DE3&quot;/&gt;&lt;wsp:rsid wsp:val=&quot;003F2377&quot;/&gt;&lt;wsp:rsid wsp:val=&quot;003F253B&quot;/&gt;&lt;wsp:rsid wsp:val=&quot;003F27F7&quot;/&gt;&lt;wsp:rsid wsp:val=&quot;003F2A4E&quot;/&gt;&lt;wsp:rsid wsp:val=&quot;003F2AC6&quot;/&gt;&lt;wsp:rsid wsp:val=&quot;003F2CCF&quot;/&gt;&lt;wsp:rsid wsp:val=&quot;003F3902&quot;/&gt;&lt;wsp:rsid wsp:val=&quot;003F3CCE&quot;/&gt;&lt;wsp:rsid wsp:val=&quot;003F3F8A&quot;/&gt;&lt;wsp:rsid wsp:val=&quot;003F4189&quot;/&gt;&lt;wsp:rsid wsp:val=&quot;003F422B&quot;/&gt;&lt;wsp:rsid wsp:val=&quot;003F4997&quot;/&gt;&lt;wsp:rsid wsp:val=&quot;003F4BA8&quot;/&gt;&lt;wsp:rsid wsp:val=&quot;003F514F&quot;/&gt;&lt;wsp:rsid wsp:val=&quot;003F58AF&quot;/&gt;&lt;wsp:rsid wsp:val=&quot;003F5B8D&quot;/&gt;&lt;wsp:rsid wsp:val=&quot;003F5C47&quot;/&gt;&lt;wsp:rsid wsp:val=&quot;003F619E&quot;/&gt;&lt;wsp:rsid wsp:val=&quot;003F61B9&quot;/&gt;&lt;wsp:rsid wsp:val=&quot;003F643E&quot;/&gt;&lt;wsp:rsid wsp:val=&quot;003F66FB&quot;/&gt;&lt;wsp:rsid wsp:val=&quot;003F6C03&quot;/&gt;&lt;wsp:rsid wsp:val=&quot;003F6D42&quot;/&gt;&lt;wsp:rsid wsp:val=&quot;003F6D91&quot;/&gt;&lt;wsp:rsid wsp:val=&quot;003F70E7&quot;/&gt;&lt;wsp:rsid wsp:val=&quot;003F7650&quot;/&gt;&lt;wsp:rsid wsp:val=&quot;003F7722&quot;/&gt;&lt;wsp:rsid wsp:val=&quot;003F7F15&quot;/&gt;&lt;wsp:rsid wsp:val=&quot;003F7F4C&quot;/&gt;&lt;wsp:rsid wsp:val=&quot;0040000E&quot;/&gt;&lt;wsp:rsid wsp:val=&quot;004001C7&quot;/&gt;&lt;wsp:rsid wsp:val=&quot;00400BDA&quot;/&gt;&lt;wsp:rsid wsp:val=&quot;00400EA8&quot;/&gt;&lt;wsp:rsid wsp:val=&quot;00401374&quot;/&gt;&lt;wsp:rsid wsp:val=&quot;004013BC&quot;/&gt;&lt;wsp:rsid wsp:val=&quot;00401AA4&quot;/&gt;&lt;wsp:rsid wsp:val=&quot;00402305&quot;/&gt;&lt;wsp:rsid wsp:val=&quot;00402F6B&quot;/&gt;&lt;wsp:rsid wsp:val=&quot;004030F6&quot;/&gt;&lt;wsp:rsid wsp:val=&quot;00403112&quot;/&gt;&lt;wsp:rsid wsp:val=&quot;0040318C&quot;/&gt;&lt;wsp:rsid wsp:val=&quot;004031BC&quot;/&gt;&lt;wsp:rsid wsp:val=&quot;00403653&quot;/&gt;&lt;wsp:rsid wsp:val=&quot;00403977&quot;/&gt;&lt;wsp:rsid wsp:val=&quot;00404331&quot;/&gt;&lt;wsp:rsid wsp:val=&quot;004046A7&quot;/&gt;&lt;wsp:rsid wsp:val=&quot;00404DFC&quot;/&gt;&lt;wsp:rsid wsp:val=&quot;004050C4&quot;/&gt;&lt;wsp:rsid wsp:val=&quot;00405392&quot;/&gt;&lt;wsp:rsid wsp:val=&quot;004053B6&quot;/&gt;&lt;wsp:rsid wsp:val=&quot;004055B8&quot;/&gt;&lt;wsp:rsid wsp:val=&quot;00405CC5&quot;/&gt;&lt;wsp:rsid wsp:val=&quot;00406368&quot;/&gt;&lt;wsp:rsid wsp:val=&quot;00406417&quot;/&gt;&lt;wsp:rsid wsp:val=&quot;004068A5&quot;/&gt;&lt;wsp:rsid wsp:val=&quot;00406937&quot;/&gt;&lt;wsp:rsid wsp:val=&quot;00406950&quot;/&gt;&lt;wsp:rsid wsp:val=&quot;00406D89&quot;/&gt;&lt;wsp:rsid wsp:val=&quot;00407532&quot;/&gt;&lt;wsp:rsid wsp:val=&quot;004076BA&quot;/&gt;&lt;wsp:rsid wsp:val=&quot;0040789D&quot;/&gt;&lt;wsp:rsid wsp:val=&quot;00407956&quot;/&gt;&lt;wsp:rsid wsp:val=&quot;00407F03&quot;/&gt;&lt;wsp:rsid wsp:val=&quot;004100B7&quot;/&gt;&lt;wsp:rsid wsp:val=&quot;00410A94&quot;/&gt;&lt;wsp:rsid wsp:val=&quot;00411CBC&quot;/&gt;&lt;wsp:rsid wsp:val=&quot;0041228F&quot;/&gt;&lt;wsp:rsid wsp:val=&quot;004125BF&quot;/&gt;&lt;wsp:rsid wsp:val=&quot;00412611&quot;/&gt;&lt;wsp:rsid wsp:val=&quot;0041261B&quot;/&gt;&lt;wsp:rsid wsp:val=&quot;00412D84&quot;/&gt;&lt;wsp:rsid wsp:val=&quot;00412F7B&quot;/&gt;&lt;wsp:rsid wsp:val=&quot;004131F8&quot;/&gt;&lt;wsp:rsid wsp:val=&quot;00413280&quot;/&gt;&lt;wsp:rsid wsp:val=&quot;00413538&quot;/&gt;&lt;wsp:rsid wsp:val=&quot;0041359D&quot;/&gt;&lt;wsp:rsid wsp:val=&quot;00413A1F&quot;/&gt;&lt;wsp:rsid wsp:val=&quot;00413A55&quot;/&gt;&lt;wsp:rsid wsp:val=&quot;00413BF6&quot;/&gt;&lt;wsp:rsid wsp:val=&quot;00413EF1&quot;/&gt;&lt;wsp:rsid wsp:val=&quot;00414283&quot;/&gt;&lt;wsp:rsid wsp:val=&quot;004149A5&quot;/&gt;&lt;wsp:rsid wsp:val=&quot;00415025&quot;/&gt;&lt;wsp:rsid wsp:val=&quot;0041503A&quot;/&gt;&lt;wsp:rsid wsp:val=&quot;00415973&quot;/&gt;&lt;wsp:rsid wsp:val=&quot;0041602B&quot;/&gt;&lt;wsp:rsid wsp:val=&quot;00416250&quot;/&gt;&lt;wsp:rsid wsp:val=&quot;004163F2&quot;/&gt;&lt;wsp:rsid wsp:val=&quot;004167EC&quot;/&gt;&lt;wsp:rsid wsp:val=&quot;00416883&quot;/&gt;&lt;wsp:rsid wsp:val=&quot;00416DFE&quot;/&gt;&lt;wsp:rsid wsp:val=&quot;00416F49&quot;/&gt;&lt;wsp:rsid wsp:val=&quot;00417041&quot;/&gt;&lt;wsp:rsid wsp:val=&quot;00417337&quot;/&gt;&lt;wsp:rsid wsp:val=&quot;00417BF4&quot;/&gt;&lt;wsp:rsid wsp:val=&quot;004203B2&quot;/&gt;&lt;wsp:rsid wsp:val=&quot;00420511&quot;/&gt;&lt;wsp:rsid wsp:val=&quot;00420B7C&quot;/&gt;&lt;wsp:rsid wsp:val=&quot;004211F3&quot;/&gt;&lt;wsp:rsid wsp:val=&quot;004215A3&quot;/&gt;&lt;wsp:rsid wsp:val=&quot;00421814&quot;/&gt;&lt;wsp:rsid wsp:val=&quot;004219EC&quot;/&gt;&lt;wsp:rsid wsp:val=&quot;00421D91&quot;/&gt;&lt;wsp:rsid wsp:val=&quot;00421F5D&quot;/&gt;&lt;wsp:rsid wsp:val=&quot;004220E5&quot;/&gt;&lt;wsp:rsid wsp:val=&quot;004222A2&quot;/&gt;&lt;wsp:rsid wsp:val=&quot;0042338A&quot;/&gt;&lt;wsp:rsid wsp:val=&quot;0042375F&quot;/&gt;&lt;wsp:rsid wsp:val=&quot;0042396F&quot;/&gt;&lt;wsp:rsid wsp:val=&quot;00423B44&quot;/&gt;&lt;wsp:rsid wsp:val=&quot;00423E10&quot;/&gt;&lt;wsp:rsid wsp:val=&quot;004241E3&quot;/&gt;&lt;wsp:rsid wsp:val=&quot;004244C1&quot;/&gt;&lt;wsp:rsid wsp:val=&quot;00424551&quot;/&gt;&lt;wsp:rsid wsp:val=&quot;00424868&quot;/&gt;&lt;wsp:rsid wsp:val=&quot;00424B55&quot;/&gt;&lt;wsp:rsid wsp:val=&quot;00424B6D&quot;/&gt;&lt;wsp:rsid wsp:val=&quot;00424B6F&quot;/&gt;&lt;wsp:rsid wsp:val=&quot;00424BA4&quot;/&gt;&lt;wsp:rsid wsp:val=&quot;00424DC3&quot;/&gt;&lt;wsp:rsid wsp:val=&quot;00425106&quot;/&gt;&lt;wsp:rsid wsp:val=&quot;0042521E&quot;/&gt;&lt;wsp:rsid wsp:val=&quot;0042527A&quot;/&gt;&lt;wsp:rsid wsp:val=&quot;0042578C&quot;/&gt;&lt;wsp:rsid wsp:val=&quot;0042579D&quot;/&gt;&lt;wsp:rsid wsp:val=&quot;00425B19&quot;/&gt;&lt;wsp:rsid wsp:val=&quot;00426310&quot;/&gt;&lt;wsp:rsid wsp:val=&quot;004268F6&quot;/&gt;&lt;wsp:rsid wsp:val=&quot;00426F5F&quot;/&gt;&lt;wsp:rsid wsp:val=&quot;0042708D&quot;/&gt;&lt;wsp:rsid wsp:val=&quot;004271C8&quot;/&gt;&lt;wsp:rsid wsp:val=&quot;004273E3&quot;/&gt;&lt;wsp:rsid wsp:val=&quot;004276D2&quot;/&gt;&lt;wsp:rsid wsp:val=&quot;00427B2A&quot;/&gt;&lt;wsp:rsid wsp:val=&quot;00427D6F&quot;/&gt;&lt;wsp:rsid wsp:val=&quot;00427DA8&quot;/&gt;&lt;wsp:rsid wsp:val=&quot;00427E1E&quot;/&gt;&lt;wsp:rsid wsp:val=&quot;004302DD&quot;/&gt;&lt;wsp:rsid wsp:val=&quot;00430873&quot;/&gt;&lt;wsp:rsid wsp:val=&quot;00430D7F&quot;/&gt;&lt;wsp:rsid wsp:val=&quot;00430FA9&quot;/&gt;&lt;wsp:rsid wsp:val=&quot;00431317&quot;/&gt;&lt;wsp:rsid wsp:val=&quot;004314DB&quot;/&gt;&lt;wsp:rsid wsp:val=&quot;00431B25&quot;/&gt;&lt;wsp:rsid wsp:val=&quot;00431D57&quot;/&gt;&lt;wsp:rsid wsp:val=&quot;00432896&quot;/&gt;&lt;wsp:rsid wsp:val=&quot;00432F88&quot;/&gt;&lt;wsp:rsid wsp:val=&quot;004331E1&quot;/&gt;&lt;wsp:rsid wsp:val=&quot;00433717&quot;/&gt;&lt;wsp:rsid wsp:val=&quot;00433D2C&quot;/&gt;&lt;wsp:rsid wsp:val=&quot;00433EAB&quot;/&gt;&lt;wsp:rsid wsp:val=&quot;00434A40&quot;/&gt;&lt;wsp:rsid wsp:val=&quot;004357AA&quot;/&gt;&lt;wsp:rsid wsp:val=&quot;004358D3&quot;/&gt;&lt;wsp:rsid wsp:val=&quot;00435C4C&quot;/&gt;&lt;wsp:rsid wsp:val=&quot;00436097&quot;/&gt;&lt;wsp:rsid wsp:val=&quot;004369B2&quot;/&gt;&lt;wsp:rsid wsp:val=&quot;00436A98&quot;/&gt;&lt;wsp:rsid wsp:val=&quot;00436BD4&quot;/&gt;&lt;wsp:rsid wsp:val=&quot;00436E0E&quot;/&gt;&lt;wsp:rsid wsp:val=&quot;00436EE4&quot;/&gt;&lt;wsp:rsid wsp:val=&quot;004404C3&quot;/&gt;&lt;wsp:rsid wsp:val=&quot;00440F2D&quot;/&gt;&lt;wsp:rsid wsp:val=&quot;004419C5&quot;/&gt;&lt;wsp:rsid wsp:val=&quot;00441B0D&quot;/&gt;&lt;wsp:rsid wsp:val=&quot;00441E08&quot;/&gt;&lt;wsp:rsid wsp:val=&quot;0044225E&quot;/&gt;&lt;wsp:rsid wsp:val=&quot;00442485&quot;/&gt;&lt;wsp:rsid wsp:val=&quot;004425D0&quot;/&gt;&lt;wsp:rsid wsp:val=&quot;0044325F&quot;/&gt;&lt;wsp:rsid wsp:val=&quot;004433D0&quot;/&gt;&lt;wsp:rsid wsp:val=&quot;00443E2F&quot;/&gt;&lt;wsp:rsid wsp:val=&quot;00444A5B&quot;/&gt;&lt;wsp:rsid wsp:val=&quot;00444A7E&quot;/&gt;&lt;wsp:rsid wsp:val=&quot;00444B2A&quot;/&gt;&lt;wsp:rsid wsp:val=&quot;00444D99&quot;/&gt;&lt;wsp:rsid wsp:val=&quot;004453DE&quot;/&gt;&lt;wsp:rsid wsp:val=&quot;0044559D&quot;/&gt;&lt;wsp:rsid wsp:val=&quot;00445737&quot;/&gt;&lt;wsp:rsid wsp:val=&quot;004458EB&quot;/&gt;&lt;wsp:rsid wsp:val=&quot;00445D47&quot;/&gt;&lt;wsp:rsid wsp:val=&quot;004465E4&quot;/&gt;&lt;wsp:rsid wsp:val=&quot;0044688F&quot;/&gt;&lt;wsp:rsid wsp:val=&quot;0044693A&quot;/&gt;&lt;wsp:rsid wsp:val=&quot;00446CDE&quot;/&gt;&lt;wsp:rsid wsp:val=&quot;00446D01&quot;/&gt;&lt;wsp:rsid wsp:val=&quot;0044742D&quot;/&gt;&lt;wsp:rsid wsp:val=&quot;00447EAF&quot;/&gt;&lt;wsp:rsid wsp:val=&quot;004500DA&quot;/&gt;&lt;wsp:rsid wsp:val=&quot;0045055A&quot;/&gt;&lt;wsp:rsid wsp:val=&quot;004507FD&quot;/&gt;&lt;wsp:rsid wsp:val=&quot;00450A2B&quot;/&gt;&lt;wsp:rsid wsp:val=&quot;00451205&quot;/&gt;&lt;wsp:rsid wsp:val=&quot;00451255&quot;/&gt;&lt;wsp:rsid wsp:val=&quot;00451744&quot;/&gt;&lt;wsp:rsid wsp:val=&quot;00451C6F&quot;/&gt;&lt;wsp:rsid wsp:val=&quot;00451EE4&quot;/&gt;&lt;wsp:rsid wsp:val=&quot;004524AA&quot;/&gt;&lt;wsp:rsid wsp:val=&quot;004524AB&quot;/&gt;&lt;wsp:rsid wsp:val=&quot;0045280C&quot;/&gt;&lt;wsp:rsid wsp:val=&quot;00452880&quot;/&gt;&lt;wsp:rsid wsp:val=&quot;00452C8D&quot;/&gt;&lt;wsp:rsid wsp:val=&quot;0045363F&quot;/&gt;&lt;wsp:rsid wsp:val=&quot;004536AD&quot;/&gt;&lt;wsp:rsid wsp:val=&quot;00453D53&quot;/&gt;&lt;wsp:rsid wsp:val=&quot;00453D60&quot;/&gt;&lt;wsp:rsid wsp:val=&quot;00453E18&quot;/&gt;&lt;wsp:rsid wsp:val=&quot;00454D90&quot;/&gt;&lt;wsp:rsid wsp:val=&quot;00454F1E&quot;/&gt;&lt;wsp:rsid wsp:val=&quot;00454FAC&quot;/&gt;&lt;wsp:rsid wsp:val=&quot;0045608C&quot;/&gt;&lt;wsp:rsid wsp:val=&quot;0045692A&quot;/&gt;&lt;wsp:rsid wsp:val=&quot;004575C7&quot;/&gt;&lt;wsp:rsid wsp:val=&quot;00457665&quot;/&gt;&lt;wsp:rsid wsp:val=&quot;0045796B&quot;/&gt;&lt;wsp:rsid wsp:val=&quot;00457A92&quot;/&gt;&lt;wsp:rsid wsp:val=&quot;00457CDA&quot;/&gt;&lt;wsp:rsid wsp:val=&quot;0046014C&quot;/&gt;&lt;wsp:rsid wsp:val=&quot;004607BD&quot;/&gt;&lt;wsp:rsid wsp:val=&quot;00460D0D&quot;/&gt;&lt;wsp:rsid wsp:val=&quot;00461029&quot;/&gt;&lt;wsp:rsid wsp:val=&quot;00461236&quot;/&gt;&lt;wsp:rsid wsp:val=&quot;00461543&quot;/&gt;&lt;wsp:rsid wsp:val=&quot;004619CC&quot;/&gt;&lt;wsp:rsid wsp:val=&quot;00461DA9&quot;/&gt;&lt;wsp:rsid wsp:val=&quot;00462293&quot;/&gt;&lt;wsp:rsid wsp:val=&quot;00462798&quot;/&gt;&lt;wsp:rsid wsp:val=&quot;00462ADB&quot;/&gt;&lt;wsp:rsid wsp:val=&quot;00462B19&quot;/&gt;&lt;wsp:rsid wsp:val=&quot;00462B49&quot;/&gt;&lt;wsp:rsid wsp:val=&quot;0046304A&quot;/&gt;&lt;wsp:rsid wsp:val=&quot;004634B4&quot;/&gt;&lt;wsp:rsid wsp:val=&quot;00463504&quot;/&gt;&lt;wsp:rsid wsp:val=&quot;00463561&quot;/&gt;&lt;wsp:rsid wsp:val=&quot;00463929&quot;/&gt;&lt;wsp:rsid wsp:val=&quot;00463A15&quot;/&gt;&lt;wsp:rsid wsp:val=&quot;00463D30&quot;/&gt;&lt;wsp:rsid wsp:val=&quot;0046400F&quot;/&gt;&lt;wsp:rsid wsp:val=&quot;004649F7&quot;/&gt;&lt;wsp:rsid wsp:val=&quot;00465139&quot;/&gt;&lt;wsp:rsid wsp:val=&quot;00465365&quot;/&gt;&lt;wsp:rsid wsp:val=&quot;004653E2&quot;/&gt;&lt;wsp:rsid wsp:val=&quot;00465595&quot;/&gt;&lt;wsp:rsid wsp:val=&quot;0046575D&quot;/&gt;&lt;wsp:rsid wsp:val=&quot;00465AD5&quot;/&gt;&lt;wsp:rsid wsp:val=&quot;00465D29&quot;/&gt;&lt;wsp:rsid wsp:val=&quot;00465ED2&quot;/&gt;&lt;wsp:rsid wsp:val=&quot;00466B98&quot;/&gt;&lt;wsp:rsid wsp:val=&quot;00466E13&quot;/&gt;&lt;wsp:rsid wsp:val=&quot;00466F51&quot;/&gt;&lt;wsp:rsid wsp:val=&quot;00466FA2&quot;/&gt;&lt;wsp:rsid wsp:val=&quot;004673C0&quot;/&gt;&lt;wsp:rsid wsp:val=&quot;0046777A&quot;/&gt;&lt;wsp:rsid wsp:val=&quot;00467E53&quot;/&gt;&lt;wsp:rsid wsp:val=&quot;004702FC&quot;/&gt;&lt;wsp:rsid wsp:val=&quot;00470765&quot;/&gt;&lt;wsp:rsid wsp:val=&quot;00470970&quot;/&gt;&lt;wsp:rsid wsp:val=&quot;00471355&quot;/&gt;&lt;wsp:rsid wsp:val=&quot;004713E2&quot;/&gt;&lt;wsp:rsid wsp:val=&quot;00471A7E&quot;/&gt;&lt;wsp:rsid wsp:val=&quot;00471B18&quot;/&gt;&lt;wsp:rsid wsp:val=&quot;004723A4&quot;/&gt;&lt;wsp:rsid wsp:val=&quot;00472806&quot;/&gt;&lt;wsp:rsid wsp:val=&quot;00472ABB&quot;/&gt;&lt;wsp:rsid wsp:val=&quot;004734E8&quot;/&gt;&lt;wsp:rsid wsp:val=&quot;00473A78&quot;/&gt;&lt;wsp:rsid wsp:val=&quot;00473DF8&quot;/&gt;&lt;wsp:rsid wsp:val=&quot;00473EB5&quot;/&gt;&lt;wsp:rsid wsp:val=&quot;00475199&quot;/&gt;&lt;wsp:rsid wsp:val=&quot;004758AB&quot;/&gt;&lt;wsp:rsid wsp:val=&quot;00475A54&quot;/&gt;&lt;wsp:rsid wsp:val=&quot;00475D31&quot;/&gt;&lt;wsp:rsid wsp:val=&quot;004764D1&quot;/&gt;&lt;wsp:rsid wsp:val=&quot;00476771&quot;/&gt;&lt;wsp:rsid wsp:val=&quot;0047688F&quot;/&gt;&lt;wsp:rsid wsp:val=&quot;00476AF1&quot;/&gt;&lt;wsp:rsid wsp:val=&quot;00476C5A&quot;/&gt;&lt;wsp:rsid wsp:val=&quot;00476D0A&quot;/&gt;&lt;wsp:rsid wsp:val=&quot;00477364&quot;/&gt;&lt;wsp:rsid wsp:val=&quot;004779F7&quot;/&gt;&lt;wsp:rsid wsp:val=&quot;00477ACD&quot;/&gt;&lt;wsp:rsid wsp:val=&quot;00477B16&quot;/&gt;&lt;wsp:rsid wsp:val=&quot;0048031E&quot;/&gt;&lt;wsp:rsid wsp:val=&quot;004810E1&quot;/&gt;&lt;wsp:rsid wsp:val=&quot;00481152&quot;/&gt;&lt;wsp:rsid wsp:val=&quot;00481281&quot;/&gt;&lt;wsp:rsid wsp:val=&quot;0048197A&quot;/&gt;&lt;wsp:rsid wsp:val=&quot;004823F3&quot;/&gt;&lt;wsp:rsid wsp:val=&quot;00482681&quot;/&gt;&lt;wsp:rsid wsp:val=&quot;00482718&quot;/&gt;&lt;wsp:rsid wsp:val=&quot;004829EE&quot;/&gt;&lt;wsp:rsid wsp:val=&quot;0048317A&quot;/&gt;&lt;wsp:rsid wsp:val=&quot;00483263&quot;/&gt;&lt;wsp:rsid wsp:val=&quot;004833F9&quot;/&gt;&lt;wsp:rsid wsp:val=&quot;00483501&quot;/&gt;&lt;wsp:rsid wsp:val=&quot;00483566&quot;/&gt;&lt;wsp:rsid wsp:val=&quot;0048388E&quot;/&gt;&lt;wsp:rsid wsp:val=&quot;00483CE8&quot;/&gt;&lt;wsp:rsid wsp:val=&quot;004842BA&quot;/&gt;&lt;wsp:rsid wsp:val=&quot;00484408&quot;/&gt;&lt;wsp:rsid wsp:val=&quot;004846AA&quot;/&gt;&lt;wsp:rsid wsp:val=&quot;00484A66&quot;/&gt;&lt;wsp:rsid wsp:val=&quot;00484AB5&quot;/&gt;&lt;wsp:rsid wsp:val=&quot;00484DE9&quot;/&gt;&lt;wsp:rsid wsp:val=&quot;00485487&quot;/&gt;&lt;wsp:rsid wsp:val=&quot;00485CB8&quot;/&gt;&lt;wsp:rsid wsp:val=&quot;00485F09&quot;/&gt;&lt;wsp:rsid wsp:val=&quot;00485F0D&quot;/&gt;&lt;wsp:rsid wsp:val=&quot;0048618B&quot;/&gt;&lt;wsp:rsid wsp:val=&quot;004862AA&quot;/&gt;&lt;wsp:rsid wsp:val=&quot;00486356&quot;/&gt;&lt;wsp:rsid wsp:val=&quot;004866AD&quot;/&gt;&lt;wsp:rsid wsp:val=&quot;004867DD&quot;/&gt;&lt;wsp:rsid wsp:val=&quot;00486AD0&quot;/&gt;&lt;wsp:rsid wsp:val=&quot;00487522&quot;/&gt;&lt;wsp:rsid wsp:val=&quot;0049000B&quot;/&gt;&lt;wsp:rsid wsp:val=&quot;00490441&quot;/&gt;&lt;wsp:rsid wsp:val=&quot;00490484&quot;/&gt;&lt;wsp:rsid wsp:val=&quot;00490623&quot;/&gt;&lt;wsp:rsid wsp:val=&quot;004907EA&quot;/&gt;&lt;wsp:rsid wsp:val=&quot;00491CDA&quot;/&gt;&lt;wsp:rsid wsp:val=&quot;00492703&quot;/&gt;&lt;wsp:rsid wsp:val=&quot;004927E1&quot;/&gt;&lt;wsp:rsid wsp:val=&quot;00492D91&quot;/&gt;&lt;wsp:rsid wsp:val=&quot;004930A9&quot;/&gt;&lt;wsp:rsid wsp:val=&quot;00493387&quot;/&gt;&lt;wsp:rsid wsp:val=&quot;0049428B&quot;/&gt;&lt;wsp:rsid wsp:val=&quot;004946B6&quot;/&gt;&lt;wsp:rsid wsp:val=&quot;00494A65&quot;/&gt;&lt;wsp:rsid wsp:val=&quot;004956E6&quot;/&gt;&lt;wsp:rsid wsp:val=&quot;00495ABD&quot;/&gt;&lt;wsp:rsid wsp:val=&quot;00495F9B&quot;/&gt;&lt;wsp:rsid wsp:val=&quot;004963E7&quot;/&gt;&lt;wsp:rsid wsp:val=&quot;00496A96&quot;/&gt;&lt;wsp:rsid wsp:val=&quot;00496BA8&quot;/&gt;&lt;wsp:rsid wsp:val=&quot;00496D0B&quot;/&gt;&lt;wsp:rsid wsp:val=&quot;0049727F&quot;/&gt;&lt;wsp:rsid wsp:val=&quot;0049746B&quot;/&gt;&lt;wsp:rsid wsp:val=&quot;00497AE2&quot;/&gt;&lt;wsp:rsid wsp:val=&quot;004A0094&quot;/&gt;&lt;wsp:rsid wsp:val=&quot;004A01EC&quot;/&gt;&lt;wsp:rsid wsp:val=&quot;004A0756&quot;/&gt;&lt;wsp:rsid wsp:val=&quot;004A076C&quot;/&gt;&lt;wsp:rsid wsp:val=&quot;004A145B&quot;/&gt;&lt;wsp:rsid wsp:val=&quot;004A14DF&quot;/&gt;&lt;wsp:rsid wsp:val=&quot;004A1978&quot;/&gt;&lt;wsp:rsid wsp:val=&quot;004A1A75&quot;/&gt;&lt;wsp:rsid wsp:val=&quot;004A2234&quot;/&gt;&lt;wsp:rsid wsp:val=&quot;004A26D0&quot;/&gt;&lt;wsp:rsid wsp:val=&quot;004A2947&quot;/&gt;&lt;wsp:rsid wsp:val=&quot;004A295B&quot;/&gt;&lt;wsp:rsid wsp:val=&quot;004A2F95&quot;/&gt;&lt;wsp:rsid wsp:val=&quot;004A35DD&quot;/&gt;&lt;wsp:rsid wsp:val=&quot;004A3A0B&quot;/&gt;&lt;wsp:rsid wsp:val=&quot;004A42CA&quot;/&gt;&lt;wsp:rsid wsp:val=&quot;004A47EE&quot;/&gt;&lt;wsp:rsid wsp:val=&quot;004A4EB8&quot;/&gt;&lt;wsp:rsid wsp:val=&quot;004A4F64&quot;/&gt;&lt;wsp:rsid wsp:val=&quot;004A55C8&quot;/&gt;&lt;wsp:rsid wsp:val=&quot;004A5620&quot;/&gt;&lt;wsp:rsid wsp:val=&quot;004A57C4&quot;/&gt;&lt;wsp:rsid wsp:val=&quot;004A5EE8&quot;/&gt;&lt;wsp:rsid wsp:val=&quot;004A5F83&quot;/&gt;&lt;wsp:rsid wsp:val=&quot;004A6E01&quot;/&gt;&lt;wsp:rsid wsp:val=&quot;004A704E&quot;/&gt;&lt;wsp:rsid wsp:val=&quot;004A775E&quot;/&gt;&lt;wsp:rsid wsp:val=&quot;004A77C1&quot;/&gt;&lt;wsp:rsid wsp:val=&quot;004B0414&quot;/&gt;&lt;wsp:rsid wsp:val=&quot;004B0911&quot;/&gt;&lt;wsp:rsid wsp:val=&quot;004B0B74&quot;/&gt;&lt;wsp:rsid wsp:val=&quot;004B0E9E&quot;/&gt;&lt;wsp:rsid wsp:val=&quot;004B0EA4&quot;/&gt;&lt;wsp:rsid wsp:val=&quot;004B20C4&quot;/&gt;&lt;wsp:rsid wsp:val=&quot;004B2516&quot;/&gt;&lt;wsp:rsid wsp:val=&quot;004B26EA&quot;/&gt;&lt;wsp:rsid wsp:val=&quot;004B2C32&quot;/&gt;&lt;wsp:rsid wsp:val=&quot;004B318F&quot;/&gt;&lt;wsp:rsid wsp:val=&quot;004B35F2&quot;/&gt;&lt;wsp:rsid wsp:val=&quot;004B379F&quot;/&gt;&lt;wsp:rsid wsp:val=&quot;004B383E&quot;/&gt;&lt;wsp:rsid wsp:val=&quot;004B3B88&quot;/&gt;&lt;wsp:rsid wsp:val=&quot;004B41F8&quot;/&gt;&lt;wsp:rsid wsp:val=&quot;004B44FB&quot;/&gt;&lt;wsp:rsid wsp:val=&quot;004B4633&quot;/&gt;&lt;wsp:rsid wsp:val=&quot;004B4AAC&quot;/&gt;&lt;wsp:rsid wsp:val=&quot;004B5012&quot;/&gt;&lt;wsp:rsid wsp:val=&quot;004B50D4&quot;/&gt;&lt;wsp:rsid wsp:val=&quot;004B50E4&quot;/&gt;&lt;wsp:rsid wsp:val=&quot;004B565B&quot;/&gt;&lt;wsp:rsid wsp:val=&quot;004B5771&quot;/&gt;&lt;wsp:rsid wsp:val=&quot;004B6183&quot;/&gt;&lt;wsp:rsid wsp:val=&quot;004B6226&quot;/&gt;&lt;wsp:rsid wsp:val=&quot;004B6F7B&quot;/&gt;&lt;wsp:rsid wsp:val=&quot;004B710C&quot;/&gt;&lt;wsp:rsid wsp:val=&quot;004B769F&quot;/&gt;&lt;wsp:rsid wsp:val=&quot;004B79C8&quot;/&gt;&lt;wsp:rsid wsp:val=&quot;004B7B4E&quot;/&gt;&lt;wsp:rsid wsp:val=&quot;004B7F89&quot;/&gt;&lt;wsp:rsid wsp:val=&quot;004B7FC4&quot;/&gt;&lt;wsp:rsid wsp:val=&quot;004C0205&quot;/&gt;&lt;wsp:rsid wsp:val=&quot;004C05B7&quot;/&gt;&lt;wsp:rsid wsp:val=&quot;004C06DD&quot;/&gt;&lt;wsp:rsid wsp:val=&quot;004C0873&quot;/&gt;&lt;wsp:rsid wsp:val=&quot;004C09CB&quot;/&gt;&lt;wsp:rsid wsp:val=&quot;004C0B23&quot;/&gt;&lt;wsp:rsid wsp:val=&quot;004C0EEA&quot;/&gt;&lt;wsp:rsid wsp:val=&quot;004C0FC1&quot;/&gt;&lt;wsp:rsid wsp:val=&quot;004C1286&quot;/&gt;&lt;wsp:rsid wsp:val=&quot;004C157D&quot;/&gt;&lt;wsp:rsid wsp:val=&quot;004C17AA&quot;/&gt;&lt;wsp:rsid wsp:val=&quot;004C21B4&quot;/&gt;&lt;wsp:rsid wsp:val=&quot;004C29DD&quot;/&gt;&lt;wsp:rsid wsp:val=&quot;004C2D9F&quot;/&gt;&lt;wsp:rsid wsp:val=&quot;004C30F1&quot;/&gt;&lt;wsp:rsid wsp:val=&quot;004C3224&quot;/&gt;&lt;wsp:rsid wsp:val=&quot;004C3756&quot;/&gt;&lt;wsp:rsid wsp:val=&quot;004C3994&quot;/&gt;&lt;wsp:rsid wsp:val=&quot;004C430B&quot;/&gt;&lt;wsp:rsid wsp:val=&quot;004C4648&quot;/&gt;&lt;wsp:rsid wsp:val=&quot;004C4837&quot;/&gt;&lt;wsp:rsid wsp:val=&quot;004C49F8&quot;/&gt;&lt;wsp:rsid wsp:val=&quot;004C4A84&quot;/&gt;&lt;wsp:rsid wsp:val=&quot;004C5203&quot;/&gt;&lt;wsp:rsid wsp:val=&quot;004C5E09&quot;/&gt;&lt;wsp:rsid wsp:val=&quot;004C5E1C&quot;/&gt;&lt;wsp:rsid wsp:val=&quot;004C6033&quot;/&gt;&lt;wsp:rsid wsp:val=&quot;004C6EC4&quot;/&gt;&lt;wsp:rsid wsp:val=&quot;004C6F64&quot;/&gt;&lt;wsp:rsid wsp:val=&quot;004C7873&quot;/&gt;&lt;wsp:rsid wsp:val=&quot;004C7E44&quot;/&gt;&lt;wsp:rsid wsp:val=&quot;004D026F&quot;/&gt;&lt;wsp:rsid wsp:val=&quot;004D0396&quot;/&gt;&lt;wsp:rsid wsp:val=&quot;004D084D&quot;/&gt;&lt;wsp:rsid wsp:val=&quot;004D138E&quot;/&gt;&lt;wsp:rsid wsp:val=&quot;004D1B28&quot;/&gt;&lt;wsp:rsid wsp:val=&quot;004D1DFA&quot;/&gt;&lt;wsp:rsid wsp:val=&quot;004D2AE7&quot;/&gt;&lt;wsp:rsid wsp:val=&quot;004D2EDA&quot;/&gt;&lt;wsp:rsid wsp:val=&quot;004D3490&quot;/&gt;&lt;wsp:rsid wsp:val=&quot;004D363F&quot;/&gt;&lt;wsp:rsid wsp:val=&quot;004D3E14&quot;/&gt;&lt;wsp:rsid wsp:val=&quot;004D401D&quot;/&gt;&lt;wsp:rsid wsp:val=&quot;004D469F&quot;/&gt;&lt;wsp:rsid wsp:val=&quot;004D49B5&quot;/&gt;&lt;wsp:rsid wsp:val=&quot;004D5903&quot;/&gt;&lt;wsp:rsid wsp:val=&quot;004D5B7D&quot;/&gt;&lt;wsp:rsid wsp:val=&quot;004D5E0E&quot;/&gt;&lt;wsp:rsid wsp:val=&quot;004D5F54&quot;/&gt;&lt;wsp:rsid wsp:val=&quot;004D6517&quot;/&gt;&lt;wsp:rsid wsp:val=&quot;004D6817&quot;/&gt;&lt;wsp:rsid wsp:val=&quot;004D68B0&quot;/&gt;&lt;wsp:rsid wsp:val=&quot;004D6945&quot;/&gt;&lt;wsp:rsid wsp:val=&quot;004D6A97&quot;/&gt;&lt;wsp:rsid wsp:val=&quot;004D706D&quot;/&gt;&lt;wsp:rsid wsp:val=&quot;004D7638&quot;/&gt;&lt;wsp:rsid wsp:val=&quot;004E0169&quot;/&gt;&lt;wsp:rsid wsp:val=&quot;004E0422&quot;/&gt;&lt;wsp:rsid wsp:val=&quot;004E0447&quot;/&gt;&lt;wsp:rsid wsp:val=&quot;004E0717&quot;/&gt;&lt;wsp:rsid wsp:val=&quot;004E0832&quot;/&gt;&lt;wsp:rsid wsp:val=&quot;004E08C1&quot;/&gt;&lt;wsp:rsid wsp:val=&quot;004E0D19&quot;/&gt;&lt;wsp:rsid wsp:val=&quot;004E0DA8&quot;/&gt;&lt;wsp:rsid wsp:val=&quot;004E0F0D&quot;/&gt;&lt;wsp:rsid wsp:val=&quot;004E1368&quot;/&gt;&lt;wsp:rsid wsp:val=&quot;004E14B9&quot;/&gt;&lt;wsp:rsid wsp:val=&quot;004E17AB&quot;/&gt;&lt;wsp:rsid wsp:val=&quot;004E17CE&quot;/&gt;&lt;wsp:rsid wsp:val=&quot;004E19B3&quot;/&gt;&lt;wsp:rsid wsp:val=&quot;004E1C8A&quot;/&gt;&lt;wsp:rsid wsp:val=&quot;004E2107&quot;/&gt;&lt;wsp:rsid wsp:val=&quot;004E2744&quot;/&gt;&lt;wsp:rsid wsp:val=&quot;004E2787&quot;/&gt;&lt;wsp:rsid wsp:val=&quot;004E2E2D&quot;/&gt;&lt;wsp:rsid wsp:val=&quot;004E3174&quot;/&gt;&lt;wsp:rsid wsp:val=&quot;004E34E1&quot;/&gt;&lt;wsp:rsid wsp:val=&quot;004E4054&quot;/&gt;&lt;wsp:rsid wsp:val=&quot;004E4C7F&quot;/&gt;&lt;wsp:rsid wsp:val=&quot;004E4D16&quot;/&gt;&lt;wsp:rsid wsp:val=&quot;004E571C&quot;/&gt;&lt;wsp:rsid wsp:val=&quot;004E5DE2&quot;/&gt;&lt;wsp:rsid wsp:val=&quot;004E6225&quot;/&gt;&lt;wsp:rsid wsp:val=&quot;004E63D8&quot;/&gt;&lt;wsp:rsid wsp:val=&quot;004E676C&quot;/&gt;&lt;wsp:rsid wsp:val=&quot;004E6B09&quot;/&gt;&lt;wsp:rsid wsp:val=&quot;004E7E57&quot;/&gt;&lt;wsp:rsid wsp:val=&quot;004E7EE9&quot;/&gt;&lt;wsp:rsid wsp:val=&quot;004F04C6&quot;/&gt;&lt;wsp:rsid wsp:val=&quot;004F128F&quot;/&gt;&lt;wsp:rsid wsp:val=&quot;004F1535&quot;/&gt;&lt;wsp:rsid wsp:val=&quot;004F1CBC&quot;/&gt;&lt;wsp:rsid wsp:val=&quot;004F229D&quot;/&gt;&lt;wsp:rsid wsp:val=&quot;004F28D3&quot;/&gt;&lt;wsp:rsid wsp:val=&quot;004F2DA5&quot;/&gt;&lt;wsp:rsid wsp:val=&quot;004F304E&quot;/&gt;&lt;wsp:rsid wsp:val=&quot;004F396E&quot;/&gt;&lt;wsp:rsid wsp:val=&quot;004F3B0A&quot;/&gt;&lt;wsp:rsid wsp:val=&quot;004F3D7E&quot;/&gt;&lt;wsp:rsid wsp:val=&quot;004F45DC&quot;/&gt;&lt;wsp:rsid wsp:val=&quot;004F4761&quot;/&gt;&lt;wsp:rsid wsp:val=&quot;004F4BB8&quot;/&gt;&lt;wsp:rsid wsp:val=&quot;004F4DD3&quot;/&gt;&lt;wsp:rsid wsp:val=&quot;004F51F0&quot;/&gt;&lt;wsp:rsid wsp:val=&quot;004F52A1&quot;/&gt;&lt;wsp:rsid wsp:val=&quot;004F565E&quot;/&gt;&lt;wsp:rsid wsp:val=&quot;004F64D9&quot;/&gt;&lt;wsp:rsid wsp:val=&quot;004F6683&quot;/&gt;&lt;wsp:rsid wsp:val=&quot;004F67C7&quot;/&gt;&lt;wsp:rsid wsp:val=&quot;004F67E8&quot;/&gt;&lt;wsp:rsid wsp:val=&quot;004F69BE&quot;/&gt;&lt;wsp:rsid wsp:val=&quot;004F6A6F&quot;/&gt;&lt;wsp:rsid wsp:val=&quot;004F6BC4&quot;/&gt;&lt;wsp:rsid wsp:val=&quot;004F7188&quot;/&gt;&lt;wsp:rsid wsp:val=&quot;004F7337&quot;/&gt;&lt;wsp:rsid wsp:val=&quot;004F734E&quot;/&gt;&lt;wsp:rsid wsp:val=&quot;004F7525&quot;/&gt;&lt;wsp:rsid wsp:val=&quot;004F7F67&quot;/&gt;&lt;wsp:rsid wsp:val=&quot;005000B9&quot;/&gt;&lt;wsp:rsid wsp:val=&quot;00500673&quot;/&gt;&lt;wsp:rsid wsp:val=&quot;00500A0D&quot;/&gt;&lt;wsp:rsid wsp:val=&quot;00501591&quot;/&gt;&lt;wsp:rsid wsp:val=&quot;005018B8&quot;/&gt;&lt;wsp:rsid wsp:val=&quot;00501A86&quot;/&gt;&lt;wsp:rsid wsp:val=&quot;00501C97&quot;/&gt;&lt;wsp:rsid wsp:val=&quot;005029F1&quot;/&gt;&lt;wsp:rsid wsp:val=&quot;00503389&quot;/&gt;&lt;wsp:rsid wsp:val=&quot;005034A7&quot;/&gt;&lt;wsp:rsid wsp:val=&quot;00504578&quot;/&gt;&lt;wsp:rsid wsp:val=&quot;005046E1&quot;/&gt;&lt;wsp:rsid wsp:val=&quot;005049B5&quot;/&gt;&lt;wsp:rsid wsp:val=&quot;00504BCC&quot;/&gt;&lt;wsp:rsid wsp:val=&quot;005052FF&quot;/&gt;&lt;wsp:rsid wsp:val=&quot;0050544B&quot;/&gt;&lt;wsp:rsid wsp:val=&quot;005057A4&quot;/&gt;&lt;wsp:rsid wsp:val=&quot;00505992&quot;/&gt;&lt;wsp:rsid wsp:val=&quot;00505C46&quot;/&gt;&lt;wsp:rsid wsp:val=&quot;005066BE&quot;/&gt;&lt;wsp:rsid wsp:val=&quot;00506852&quot;/&gt;&lt;wsp:rsid wsp:val=&quot;00506913&quot;/&gt;&lt;wsp:rsid wsp:val=&quot;00506ABB&quot;/&gt;&lt;wsp:rsid wsp:val=&quot;00506FDE&quot;/&gt;&lt;wsp:rsid wsp:val=&quot;00507686&quot;/&gt;&lt;wsp:rsid wsp:val=&quot;00507C7E&quot;/&gt;&lt;wsp:rsid wsp:val=&quot;00507E65&quot;/&gt;&lt;wsp:rsid wsp:val=&quot;00510028&quot;/&gt;&lt;wsp:rsid wsp:val=&quot;00510685&quot;/&gt;&lt;wsp:rsid wsp:val=&quot;00510A02&quot;/&gt;&lt;wsp:rsid wsp:val=&quot;00511421&quot;/&gt;&lt;wsp:rsid wsp:val=&quot;00511485&quot;/&gt;&lt;wsp:rsid wsp:val=&quot;00511503&quot;/&gt;&lt;wsp:rsid wsp:val=&quot;00511690&quot;/&gt;&lt;wsp:rsid wsp:val=&quot;005116D5&quot;/&gt;&lt;wsp:rsid wsp:val=&quot;0051198C&quot;/&gt;&lt;wsp:rsid wsp:val=&quot;00511EA7&quot;/&gt;&lt;wsp:rsid wsp:val=&quot;00511FBB&quot;/&gt;&lt;wsp:rsid wsp:val=&quot;00511FCE&quot;/&gt;&lt;wsp:rsid wsp:val=&quot;0051234A&quot;/&gt;&lt;wsp:rsid wsp:val=&quot;00512BB6&quot;/&gt;&lt;wsp:rsid wsp:val=&quot;00512FD8&quot;/&gt;&lt;wsp:rsid wsp:val=&quot;00513324&quot;/&gt;&lt;wsp:rsid wsp:val=&quot;0051374C&quot;/&gt;&lt;wsp:rsid wsp:val=&quot;0051383D&quot;/&gt;&lt;wsp:rsid wsp:val=&quot;00513FA4&quot;/&gt;&lt;wsp:rsid wsp:val=&quot;00514400&quot;/&gt;&lt;wsp:rsid wsp:val=&quot;00514D4E&quot;/&gt;&lt;wsp:rsid wsp:val=&quot;005154E4&quot;/&gt;&lt;wsp:rsid wsp:val=&quot;005155FA&quot;/&gt;&lt;wsp:rsid wsp:val=&quot;00515ADA&quot;/&gt;&lt;wsp:rsid wsp:val=&quot;00515D2C&quot;/&gt;&lt;wsp:rsid wsp:val=&quot;00515D4C&quot;/&gt;&lt;wsp:rsid wsp:val=&quot;005160D8&quot;/&gt;&lt;wsp:rsid wsp:val=&quot;005161B6&quot;/&gt;&lt;wsp:rsid wsp:val=&quot;005163DF&quot;/&gt;&lt;wsp:rsid wsp:val=&quot;00516DF1&quot;/&gt;&lt;wsp:rsid wsp:val=&quot;00517152&quot;/&gt;&lt;wsp:rsid wsp:val=&quot;005172DF&quot;/&gt;&lt;wsp:rsid wsp:val=&quot;005177AA&quot;/&gt;&lt;wsp:rsid wsp:val=&quot;0052006D&quot;/&gt;&lt;wsp:rsid wsp:val=&quot;005201C2&quot;/&gt;&lt;wsp:rsid wsp:val=&quot;00520351&quot;/&gt;&lt;wsp:rsid wsp:val=&quot;00520ADC&quot;/&gt;&lt;wsp:rsid wsp:val=&quot;005210BA&quot;/&gt;&lt;wsp:rsid wsp:val=&quot;005217D0&quot;/&gt;&lt;wsp:rsid wsp:val=&quot;00521889&quot;/&gt;&lt;wsp:rsid wsp:val=&quot;00521B4E&quot;/&gt;&lt;wsp:rsid wsp:val=&quot;005220FF&quot;/&gt;&lt;wsp:rsid wsp:val=&quot;00522530&quot;/&gt;&lt;wsp:rsid wsp:val=&quot;0052265C&quot;/&gt;&lt;wsp:rsid wsp:val=&quot;00522AC2&quot;/&gt;&lt;wsp:rsid wsp:val=&quot;00522B68&quot;/&gt;&lt;wsp:rsid wsp:val=&quot;00522E96&quot;/&gt;&lt;wsp:rsid wsp:val=&quot;00522F01&quot;/&gt;&lt;wsp:rsid wsp:val=&quot;0052306E&quot;/&gt;&lt;wsp:rsid wsp:val=&quot;00523087&quot;/&gt;&lt;wsp:rsid wsp:val=&quot;005232B4&quot;/&gt;&lt;wsp:rsid wsp:val=&quot;00523897&quot;/&gt;&lt;wsp:rsid wsp:val=&quot;005238B7&quot;/&gt;&lt;wsp:rsid wsp:val=&quot;00523F9C&quot;/&gt;&lt;wsp:rsid wsp:val=&quot;00523FE9&quot;/&gt;&lt;wsp:rsid wsp:val=&quot;00524F9F&quot;/&gt;&lt;wsp:rsid wsp:val=&quot;00524FB5&quot;/&gt;&lt;wsp:rsid wsp:val=&quot;005250B5&quot;/&gt;&lt;wsp:rsid wsp:val=&quot;00525355&quot;/&gt;&lt;wsp:rsid wsp:val=&quot;00525772&quot;/&gt;&lt;wsp:rsid wsp:val=&quot;00525F53&quot;/&gt;&lt;wsp:rsid wsp:val=&quot;0052645A&quot;/&gt;&lt;wsp:rsid wsp:val=&quot;005269D2&quot;/&gt;&lt;wsp:rsid wsp:val=&quot;00526A8F&quot;/&gt;&lt;wsp:rsid wsp:val=&quot;00526EB2&quot;/&gt;&lt;wsp:rsid wsp:val=&quot;00526FFB&quot;/&gt;&lt;wsp:rsid wsp:val=&quot;00527045&quot;/&gt;&lt;wsp:rsid wsp:val=&quot;0052715F&quot;/&gt;&lt;wsp:rsid wsp:val=&quot;00527837&quot;/&gt;&lt;wsp:rsid wsp:val=&quot;005278BC&quot;/&gt;&lt;wsp:rsid wsp:val=&quot;00527F76&quot;/&gt;&lt;wsp:rsid wsp:val=&quot;00527F7A&quot;/&gt;&lt;wsp:rsid wsp:val=&quot;00530415&quot;/&gt;&lt;wsp:rsid wsp:val=&quot;00530898&quot;/&gt;&lt;wsp:rsid wsp:val=&quot;00530B3C&quot;/&gt;&lt;wsp:rsid wsp:val=&quot;00531061&quot;/&gt;&lt;wsp:rsid wsp:val=&quot;005318C5&quot;/&gt;&lt;wsp:rsid wsp:val=&quot;00531A3B&quot;/&gt;&lt;wsp:rsid wsp:val=&quot;005327D2&quot;/&gt;&lt;wsp:rsid wsp:val=&quot;00532C13&quot;/&gt;&lt;wsp:rsid wsp:val=&quot;00533370&quot;/&gt;&lt;wsp:rsid wsp:val=&quot;00534107&quot;/&gt;&lt;wsp:rsid wsp:val=&quot;0053539C&quot;/&gt;&lt;wsp:rsid wsp:val=&quot;005354BA&quot;/&gt;&lt;wsp:rsid wsp:val=&quot;00535532&quot;/&gt;&lt;wsp:rsid wsp:val=&quot;00535E42&quot;/&gt;&lt;wsp:rsid wsp:val=&quot;00536268&quot;/&gt;&lt;wsp:rsid wsp:val=&quot;005362D8&quot;/&gt;&lt;wsp:rsid wsp:val=&quot;00536350&quot;/&gt;&lt;wsp:rsid wsp:val=&quot;00536761&quot;/&gt;&lt;wsp:rsid wsp:val=&quot;00537367&quot;/&gt;&lt;wsp:rsid wsp:val=&quot;0053769F&quot;/&gt;&lt;wsp:rsid wsp:val=&quot;005376F7&quot;/&gt;&lt;wsp:rsid wsp:val=&quot;00537FEA&quot;/&gt;&lt;wsp:rsid wsp:val=&quot;00540021&quot;/&gt;&lt;wsp:rsid wsp:val=&quot;00540ED3&quot;/&gt;&lt;wsp:rsid wsp:val=&quot;00540F86&quot;/&gt;&lt;wsp:rsid wsp:val=&quot;00540FA6&quot;/&gt;&lt;wsp:rsid wsp:val=&quot;005415A9&quot;/&gt;&lt;wsp:rsid wsp:val=&quot;0054187E&quot;/&gt;&lt;wsp:rsid wsp:val=&quot;00541974&quot;/&gt;&lt;wsp:rsid wsp:val=&quot;005419B7&quot;/&gt;&lt;wsp:rsid wsp:val=&quot;00541BA3&quot;/&gt;&lt;wsp:rsid wsp:val=&quot;00541BFF&quot;/&gt;&lt;wsp:rsid wsp:val=&quot;00541E07&quot;/&gt;&lt;wsp:rsid wsp:val=&quot;005420FB&quot;/&gt;&lt;wsp:rsid wsp:val=&quot;005427D9&quot;/&gt;&lt;wsp:rsid wsp:val=&quot;005429F0&quot;/&gt;&lt;wsp:rsid wsp:val=&quot;00542C94&quot;/&gt;&lt;wsp:rsid wsp:val=&quot;0054313E&quot;/&gt;&lt;wsp:rsid wsp:val=&quot;00543202&quot;/&gt;&lt;wsp:rsid wsp:val=&quot;0054349E&quot;/&gt;&lt;wsp:rsid wsp:val=&quot;005435FF&quot;/&gt;&lt;wsp:rsid wsp:val=&quot;00544054&quot;/&gt;&lt;wsp:rsid wsp:val=&quot;0054413A&quot;/&gt;&lt;wsp:rsid wsp:val=&quot;00544175&quot;/&gt;&lt;wsp:rsid wsp:val=&quot;00544A2D&quot;/&gt;&lt;wsp:rsid wsp:val=&quot;00544B35&quot;/&gt;&lt;wsp:rsid wsp:val=&quot;005452E9&quot;/&gt;&lt;wsp:rsid wsp:val=&quot;005455D3&quot;/&gt;&lt;wsp:rsid wsp:val=&quot;00545672&quot;/&gt;&lt;wsp:rsid wsp:val=&quot;00545B3F&quot;/&gt;&lt;wsp:rsid wsp:val=&quot;00545C7C&quot;/&gt;&lt;wsp:rsid wsp:val=&quot;005465A8&quot;/&gt;&lt;wsp:rsid wsp:val=&quot;00546DC6&quot;/&gt;&lt;wsp:rsid wsp:val=&quot;00546EB4&quot;/&gt;&lt;wsp:rsid wsp:val=&quot;00547404&quot;/&gt;&lt;wsp:rsid wsp:val=&quot;00547CE2&quot;/&gt;&lt;wsp:rsid wsp:val=&quot;00550120&quot;/&gt;&lt;wsp:rsid wsp:val=&quot;00550AC8&quot;/&gt;&lt;wsp:rsid wsp:val=&quot;00551029&quot;/&gt;&lt;wsp:rsid wsp:val=&quot;00551222&quot;/&gt;&lt;wsp:rsid wsp:val=&quot;005514AC&quot;/&gt;&lt;wsp:rsid wsp:val=&quot;0055166F&quot;/&gt;&lt;wsp:rsid wsp:val=&quot;0055172F&quot;/&gt;&lt;wsp:rsid wsp:val=&quot;0055178F&quot;/&gt;&lt;wsp:rsid wsp:val=&quot;00551B23&quot;/&gt;&lt;wsp:rsid wsp:val=&quot;00552951&quot;/&gt;&lt;wsp:rsid wsp:val=&quot;00552E12&quot;/&gt;&lt;wsp:rsid wsp:val=&quot;00553073&quot;/&gt;&lt;wsp:rsid wsp:val=&quot;00553660&quot;/&gt;&lt;wsp:rsid wsp:val=&quot;005539B7&quot;/&gt;&lt;wsp:rsid wsp:val=&quot;005546C4&quot;/&gt;&lt;wsp:rsid wsp:val=&quot;00554C03&quot;/&gt;&lt;wsp:rsid wsp:val=&quot;005552F6&quot;/&gt;&lt;wsp:rsid wsp:val=&quot;00555654&quot;/&gt;&lt;wsp:rsid wsp:val=&quot;0055588C&quot;/&gt;&lt;wsp:rsid wsp:val=&quot;00555976&quot;/&gt;&lt;wsp:rsid wsp:val=&quot;005559C9&quot;/&gt;&lt;wsp:rsid wsp:val=&quot;00555DF8&quot;/&gt;&lt;wsp:rsid wsp:val=&quot;00556014&quot;/&gt;&lt;wsp:rsid wsp:val=&quot;005562E2&quot;/&gt;&lt;wsp:rsid wsp:val=&quot;005565DB&quot;/&gt;&lt;wsp:rsid wsp:val=&quot;00556E18&quot;/&gt;&lt;wsp:rsid wsp:val=&quot;00556F27&quot;/&gt;&lt;wsp:rsid wsp:val=&quot;00556FB4&quot;/&gt;&lt;wsp:rsid wsp:val=&quot;00557513&quot;/&gt;&lt;wsp:rsid wsp:val=&quot;005577B8&quot;/&gt;&lt;wsp:rsid wsp:val=&quot;00557AD0&quot;/&gt;&lt;wsp:rsid wsp:val=&quot;00557BA8&quot;/&gt;&lt;wsp:rsid wsp:val=&quot;0056092E&quot;/&gt;&lt;wsp:rsid wsp:val=&quot;00561017&quot;/&gt;&lt;wsp:rsid wsp:val=&quot;0056167C&quot;/&gt;&lt;wsp:rsid wsp:val=&quot;00561706&quot;/&gt;&lt;wsp:rsid wsp:val=&quot;00561DA1&quot;/&gt;&lt;wsp:rsid wsp:val=&quot;00561F95&quot;/&gt;&lt;wsp:rsid wsp:val=&quot;0056285A&quot;/&gt;&lt;wsp:rsid wsp:val=&quot;00562E0B&quot;/&gt;&lt;wsp:rsid wsp:val=&quot;0056337D&quot;/&gt;&lt;wsp:rsid wsp:val=&quot;00563832&quot;/&gt;&lt;wsp:rsid wsp:val=&quot;005638F7&quot;/&gt;&lt;wsp:rsid wsp:val=&quot;00563A6B&quot;/&gt;&lt;wsp:rsid wsp:val=&quot;00563DE8&quot;/&gt;&lt;wsp:rsid wsp:val=&quot;0056411C&quot;/&gt;&lt;wsp:rsid wsp:val=&quot;00564210&quot;/&gt;&lt;wsp:rsid wsp:val=&quot;005653BB&quot;/&gt;&lt;wsp:rsid wsp:val=&quot;00565427&quot;/&gt;&lt;wsp:rsid wsp:val=&quot;0056562D&quot;/&gt;&lt;wsp:rsid wsp:val=&quot;00565883&quot;/&gt;&lt;wsp:rsid wsp:val=&quot;005662E7&quot;/&gt;&lt;wsp:rsid wsp:val=&quot;005663FA&quot;/&gt;&lt;wsp:rsid wsp:val=&quot;00566B7F&quot;/&gt;&lt;wsp:rsid wsp:val=&quot;00566C9D&quot;/&gt;&lt;wsp:rsid wsp:val=&quot;00566D0C&quot;/&gt;&lt;wsp:rsid wsp:val=&quot;00566F97&quot;/&gt;&lt;wsp:rsid wsp:val=&quot;0056761A&quot;/&gt;&lt;wsp:rsid wsp:val=&quot;00567E12&quot;/&gt;&lt;wsp:rsid wsp:val=&quot;00567F32&quot;/&gt;&lt;wsp:rsid wsp:val=&quot;00570150&quot;/&gt;&lt;wsp:rsid wsp:val=&quot;00570615&quot;/&gt;&lt;wsp:rsid wsp:val=&quot;005708C0&quot;/&gt;&lt;wsp:rsid wsp:val=&quot;005713EF&quot;/&gt;&lt;wsp:rsid wsp:val=&quot;00571C16&quot;/&gt;&lt;wsp:rsid wsp:val=&quot;00571CDC&quot;/&gt;&lt;wsp:rsid wsp:val=&quot;00572412&quot;/&gt;&lt;wsp:rsid wsp:val=&quot;005725AA&quot;/&gt;&lt;wsp:rsid wsp:val=&quot;00572C59&quot;/&gt;&lt;wsp:rsid wsp:val=&quot;005736DF&quot;/&gt;&lt;wsp:rsid wsp:val=&quot;005738C4&quot;/&gt;&lt;wsp:rsid wsp:val=&quot;0057453C&quot;/&gt;&lt;wsp:rsid wsp:val=&quot;005746A5&quot;/&gt;&lt;wsp:rsid wsp:val=&quot;00574E9F&quot;/&gt;&lt;wsp:rsid wsp:val=&quot;00574EB2&quot;/&gt;&lt;wsp:rsid wsp:val=&quot;005750FF&quot;/&gt;&lt;wsp:rsid wsp:val=&quot;00575781&quot;/&gt;&lt;wsp:rsid wsp:val=&quot;00575986&quot;/&gt;&lt;wsp:rsid wsp:val=&quot;005762FE&quot;/&gt;&lt;wsp:rsid wsp:val=&quot;005765AB&quot;/&gt;&lt;wsp:rsid wsp:val=&quot;00576679&quot;/&gt;&lt;wsp:rsid wsp:val=&quot;005766D0&quot;/&gt;&lt;wsp:rsid wsp:val=&quot;0057677F&quot;/&gt;&lt;wsp:rsid wsp:val=&quot;00576BC9&quot;/&gt;&lt;wsp:rsid wsp:val=&quot;005770B6&quot;/&gt;&lt;wsp:rsid wsp:val=&quot;00577A78&quot;/&gt;&lt;wsp:rsid wsp:val=&quot;00577E31&quot;/&gt;&lt;wsp:rsid wsp:val=&quot;0058063A&quot;/&gt;&lt;wsp:rsid wsp:val=&quot;00580E4D&quot;/&gt;&lt;wsp:rsid wsp:val=&quot;00581A0A&quot;/&gt;&lt;wsp:rsid wsp:val=&quot;00581DA5&quot;/&gt;&lt;wsp:rsid wsp:val=&quot;00581EAA&quot;/&gt;&lt;wsp:rsid wsp:val=&quot;005823CA&quot;/&gt;&lt;wsp:rsid wsp:val=&quot;0058267A&quot;/&gt;&lt;wsp:rsid wsp:val=&quot;00582928&quot;/&gt;&lt;wsp:rsid wsp:val=&quot;00582C0C&quot;/&gt;&lt;wsp:rsid wsp:val=&quot;00582D4D&quot;/&gt;&lt;wsp:rsid wsp:val=&quot;005837DF&quot;/&gt;&lt;wsp:rsid wsp:val=&quot;005838F8&quot;/&gt;&lt;wsp:rsid wsp:val=&quot;005849CA&quot;/&gt;&lt;wsp:rsid wsp:val=&quot;00584EF9&quot;/&gt;&lt;wsp:rsid wsp:val=&quot;0058500A&quot;/&gt;&lt;wsp:rsid wsp:val=&quot;00585304&quot;/&gt;&lt;wsp:rsid wsp:val=&quot;00585453&quot;/&gt;&lt;wsp:rsid wsp:val=&quot;00585765&quot;/&gt;&lt;wsp:rsid wsp:val=&quot;00585C38&quot;/&gt;&lt;wsp:rsid wsp:val=&quot;0058625F&quot;/&gt;&lt;wsp:rsid wsp:val=&quot;0058626E&quot;/&gt;&lt;wsp:rsid wsp:val=&quot;00586689&quot;/&gt;&lt;wsp:rsid wsp:val=&quot;00586DE9&quot;/&gt;&lt;wsp:rsid wsp:val=&quot;00587252&quot;/&gt;&lt;wsp:rsid wsp:val=&quot;00587373&quot;/&gt;&lt;wsp:rsid wsp:val=&quot;00587A4E&quot;/&gt;&lt;wsp:rsid wsp:val=&quot;00587C62&quot;/&gt;&lt;wsp:rsid wsp:val=&quot;00587CD8&quot;/&gt;&lt;wsp:rsid wsp:val=&quot;00587CEE&quot;/&gt;&lt;wsp:rsid wsp:val=&quot;005902D2&quot;/&gt;&lt;wsp:rsid wsp:val=&quot;00590B52&quot;/&gt;&lt;wsp:rsid wsp:val=&quot;0059103B&quot;/&gt;&lt;wsp:rsid wsp:val=&quot;0059196C&quot;/&gt;&lt;wsp:rsid wsp:val=&quot;00591C75&quot;/&gt;&lt;wsp:rsid wsp:val=&quot;005920AF&quot;/&gt;&lt;wsp:rsid wsp:val=&quot;005923E0&quot;/&gt;&lt;wsp:rsid wsp:val=&quot;005929DF&quot;/&gt;&lt;wsp:rsid wsp:val=&quot;00592B20&quot;/&gt;&lt;wsp:rsid wsp:val=&quot;0059338E&quot;/&gt;&lt;wsp:rsid wsp:val=&quot;00593474&quot;/&gt;&lt;wsp:rsid wsp:val=&quot;005935B7&quot;/&gt;&lt;wsp:rsid wsp:val=&quot;005936A9&quot;/&gt;&lt;wsp:rsid wsp:val=&quot;00593982&quot;/&gt;&lt;wsp:rsid wsp:val=&quot;00593BC6&quot;/&gt;&lt;wsp:rsid wsp:val=&quot;00594137&quot;/&gt;&lt;wsp:rsid wsp:val=&quot;00594373&quot;/&gt;&lt;wsp:rsid wsp:val=&quot;005946C3&quot;/&gt;&lt;wsp:rsid wsp:val=&quot;00594899&quot;/&gt;&lt;wsp:rsid wsp:val=&quot;005949EA&quot;/&gt;&lt;wsp:rsid wsp:val=&quot;00594EA5&quot;/&gt;&lt;wsp:rsid wsp:val=&quot;005951C3&quot;/&gt;&lt;wsp:rsid wsp:val=&quot;005954DD&quot;/&gt;&lt;wsp:rsid wsp:val=&quot;00595733&quot;/&gt;&lt;wsp:rsid wsp:val=&quot;00595BDA&quot;/&gt;&lt;wsp:rsid wsp:val=&quot;00595E0E&quot;/&gt;&lt;wsp:rsid wsp:val=&quot;00596139&quot;/&gt;&lt;wsp:rsid wsp:val=&quot;0059676F&quot;/&gt;&lt;wsp:rsid wsp:val=&quot;005969AE&quot;/&gt;&lt;wsp:rsid wsp:val=&quot;00596A76&quot;/&gt;&lt;wsp:rsid wsp:val=&quot;00596C06&quot;/&gt;&lt;wsp:rsid wsp:val=&quot;0059713C&quot;/&gt;&lt;wsp:rsid wsp:val=&quot;00597255&quot;/&gt;&lt;wsp:rsid wsp:val=&quot;0059748C&quot;/&gt;&lt;wsp:rsid wsp:val=&quot;00597572&quot;/&gt;&lt;wsp:rsid wsp:val=&quot;005A041B&quot;/&gt;&lt;wsp:rsid wsp:val=&quot;005A0436&quot;/&gt;&lt;wsp:rsid wsp:val=&quot;005A0ACC&quot;/&gt;&lt;wsp:rsid wsp:val=&quot;005A0FE6&quot;/&gt;&lt;wsp:rsid wsp:val=&quot;005A10A9&quot;/&gt;&lt;wsp:rsid wsp:val=&quot;005A1168&quot;/&gt;&lt;wsp:rsid wsp:val=&quot;005A11D8&quot;/&gt;&lt;wsp:rsid wsp:val=&quot;005A13C8&quot;/&gt;&lt;wsp:rsid wsp:val=&quot;005A172C&quot;/&gt;&lt;wsp:rsid wsp:val=&quot;005A1920&quot;/&gt;&lt;wsp:rsid wsp:val=&quot;005A1A58&quot;/&gt;&lt;wsp:rsid wsp:val=&quot;005A1BA4&quot;/&gt;&lt;wsp:rsid wsp:val=&quot;005A275F&quot;/&gt;&lt;wsp:rsid wsp:val=&quot;005A2777&quot;/&gt;&lt;wsp:rsid wsp:val=&quot;005A2BD9&quot;/&gt;&lt;wsp:rsid wsp:val=&quot;005A30E7&quot;/&gt;&lt;wsp:rsid wsp:val=&quot;005A35C6&quot;/&gt;&lt;wsp:rsid wsp:val=&quot;005A4122&quot;/&gt;&lt;wsp:rsid wsp:val=&quot;005A416E&quot;/&gt;&lt;wsp:rsid wsp:val=&quot;005A4799&quot;/&gt;&lt;wsp:rsid wsp:val=&quot;005A4BA9&quot;/&gt;&lt;wsp:rsid wsp:val=&quot;005A4EB6&quot;/&gt;&lt;wsp:rsid wsp:val=&quot;005A5C75&quot;/&gt;&lt;wsp:rsid wsp:val=&quot;005A5D0A&quot;/&gt;&lt;wsp:rsid wsp:val=&quot;005A6A87&quot;/&gt;&lt;wsp:rsid wsp:val=&quot;005A75E7&quot;/&gt;&lt;wsp:rsid wsp:val=&quot;005A78D9&quot;/&gt;&lt;wsp:rsid wsp:val=&quot;005A7988&quot;/&gt;&lt;wsp:rsid wsp:val=&quot;005A7AAA&quot;/&gt;&lt;wsp:rsid wsp:val=&quot;005A7D19&quot;/&gt;&lt;wsp:rsid wsp:val=&quot;005B0C80&quot;/&gt;&lt;wsp:rsid wsp:val=&quot;005B0DAB&quot;/&gt;&lt;wsp:rsid wsp:val=&quot;005B0ED5&quot;/&gt;&lt;wsp:rsid wsp:val=&quot;005B0FB4&quot;/&gt;&lt;wsp:rsid wsp:val=&quot;005B14A2&quot;/&gt;&lt;wsp:rsid wsp:val=&quot;005B20A8&quot;/&gt;&lt;wsp:rsid wsp:val=&quot;005B23E4&quot;/&gt;&lt;wsp:rsid wsp:val=&quot;005B267B&quot;/&gt;&lt;wsp:rsid wsp:val=&quot;005B2F77&quot;/&gt;&lt;wsp:rsid wsp:val=&quot;005B32BC&quot;/&gt;&lt;wsp:rsid wsp:val=&quot;005B3563&quot;/&gt;&lt;wsp:rsid wsp:val=&quot;005B3883&quot;/&gt;&lt;wsp:rsid wsp:val=&quot;005B46F0&quot;/&gt;&lt;wsp:rsid wsp:val=&quot;005B47BB&quot;/&gt;&lt;wsp:rsid wsp:val=&quot;005B48C2&quot;/&gt;&lt;wsp:rsid wsp:val=&quot;005B4AD6&quot;/&gt;&lt;wsp:rsid wsp:val=&quot;005B4DCF&quot;/&gt;&lt;wsp:rsid wsp:val=&quot;005B5254&quot;/&gt;&lt;wsp:rsid wsp:val=&quot;005B5822&quot;/&gt;&lt;wsp:rsid wsp:val=&quot;005B5889&quot;/&gt;&lt;wsp:rsid wsp:val=&quot;005B5A31&quot;/&gt;&lt;wsp:rsid wsp:val=&quot;005B5B83&quot;/&gt;&lt;wsp:rsid wsp:val=&quot;005B5CC5&quot;/&gt;&lt;wsp:rsid wsp:val=&quot;005B6747&quot;/&gt;&lt;wsp:rsid wsp:val=&quot;005B69BF&quot;/&gt;&lt;wsp:rsid wsp:val=&quot;005B6D69&quot;/&gt;&lt;wsp:rsid wsp:val=&quot;005B7683&quot;/&gt;&lt;wsp:rsid wsp:val=&quot;005B78FF&quot;/&gt;&lt;wsp:rsid wsp:val=&quot;005B7967&quot;/&gt;&lt;wsp:rsid wsp:val=&quot;005B7BE2&quot;/&gt;&lt;wsp:rsid wsp:val=&quot;005B7C3A&quot;/&gt;&lt;wsp:rsid wsp:val=&quot;005C0637&quot;/&gt;&lt;wsp:rsid wsp:val=&quot;005C0742&quot;/&gt;&lt;wsp:rsid wsp:val=&quot;005C0A88&quot;/&gt;&lt;wsp:rsid wsp:val=&quot;005C13D3&quot;/&gt;&lt;wsp:rsid wsp:val=&quot;005C1AAE&quot;/&gt;&lt;wsp:rsid wsp:val=&quot;005C2F23&quot;/&gt;&lt;wsp:rsid wsp:val=&quot;005C3016&quot;/&gt;&lt;wsp:rsid wsp:val=&quot;005C3162&quot;/&gt;&lt;wsp:rsid wsp:val=&quot;005C3C3A&quot;/&gt;&lt;wsp:rsid wsp:val=&quot;005C433D&quot;/&gt;&lt;wsp:rsid wsp:val=&quot;005C439B&quot;/&gt;&lt;wsp:rsid wsp:val=&quot;005C443B&quot;/&gt;&lt;wsp:rsid wsp:val=&quot;005C475E&quot;/&gt;&lt;wsp:rsid wsp:val=&quot;005C4988&quot;/&gt;&lt;wsp:rsid wsp:val=&quot;005C49ED&quot;/&gt;&lt;wsp:rsid wsp:val=&quot;005C4AA5&quot;/&gt;&lt;wsp:rsid wsp:val=&quot;005C5010&quot;/&gt;&lt;wsp:rsid wsp:val=&quot;005C5233&quot;/&gt;&lt;wsp:rsid wsp:val=&quot;005C59DE&quot;/&gt;&lt;wsp:rsid wsp:val=&quot;005C5ADF&quot;/&gt;&lt;wsp:rsid wsp:val=&quot;005C5E60&quot;/&gt;&lt;wsp:rsid wsp:val=&quot;005C6CA4&quot;/&gt;&lt;wsp:rsid wsp:val=&quot;005C6D6E&quot;/&gt;&lt;wsp:rsid wsp:val=&quot;005C6DC4&quot;/&gt;&lt;wsp:rsid wsp:val=&quot;005C7E2E&quot;/&gt;&lt;wsp:rsid wsp:val=&quot;005D03E7&quot;/&gt;&lt;wsp:rsid wsp:val=&quot;005D0A95&quot;/&gt;&lt;wsp:rsid wsp:val=&quot;005D11F8&quot;/&gt;&lt;wsp:rsid wsp:val=&quot;005D144F&quot;/&gt;&lt;wsp:rsid wsp:val=&quot;005D1605&quot;/&gt;&lt;wsp:rsid wsp:val=&quot;005D1E78&quot;/&gt;&lt;wsp:rsid wsp:val=&quot;005D1FA8&quot;/&gt;&lt;wsp:rsid wsp:val=&quot;005D2652&quot;/&gt;&lt;wsp:rsid wsp:val=&quot;005D2710&quot;/&gt;&lt;wsp:rsid wsp:val=&quot;005D3121&quot;/&gt;&lt;wsp:rsid wsp:val=&quot;005D36D8&quot;/&gt;&lt;wsp:rsid wsp:val=&quot;005D37DC&quot;/&gt;&lt;wsp:rsid wsp:val=&quot;005D383C&quot;/&gt;&lt;wsp:rsid wsp:val=&quot;005D39EA&quot;/&gt;&lt;wsp:rsid wsp:val=&quot;005D3A34&quot;/&gt;&lt;wsp:rsid wsp:val=&quot;005D3CBF&quot;/&gt;&lt;wsp:rsid wsp:val=&quot;005D4569&quot;/&gt;&lt;wsp:rsid wsp:val=&quot;005D49CB&quot;/&gt;&lt;wsp:rsid wsp:val=&quot;005D4DD2&quot;/&gt;&lt;wsp:rsid wsp:val=&quot;005D509D&quot;/&gt;&lt;wsp:rsid wsp:val=&quot;005D51B2&quot;/&gt;&lt;wsp:rsid wsp:val=&quot;005D51BA&quot;/&gt;&lt;wsp:rsid wsp:val=&quot;005D5C4A&quot;/&gt;&lt;wsp:rsid wsp:val=&quot;005D5F4A&quot;/&gt;&lt;wsp:rsid wsp:val=&quot;005D64BE&quot;/&gt;&lt;wsp:rsid wsp:val=&quot;005D6BED&quot;/&gt;&lt;wsp:rsid wsp:val=&quot;005D6D6A&quot;/&gt;&lt;wsp:rsid wsp:val=&quot;005D7240&quot;/&gt;&lt;wsp:rsid wsp:val=&quot;005D7B5D&quot;/&gt;&lt;wsp:rsid wsp:val=&quot;005D7DA5&quot;/&gt;&lt;wsp:rsid wsp:val=&quot;005E0705&quot;/&gt;&lt;wsp:rsid wsp:val=&quot;005E0864&quot;/&gt;&lt;wsp:rsid wsp:val=&quot;005E0BCA&quot;/&gt;&lt;wsp:rsid wsp:val=&quot;005E0C66&quot;/&gt;&lt;wsp:rsid wsp:val=&quot;005E0FAA&quot;/&gt;&lt;wsp:rsid wsp:val=&quot;005E13FE&quot;/&gt;&lt;wsp:rsid wsp:val=&quot;005E176B&quot;/&gt;&lt;wsp:rsid wsp:val=&quot;005E1BB6&quot;/&gt;&lt;wsp:rsid wsp:val=&quot;005E26E7&quot;/&gt;&lt;wsp:rsid wsp:val=&quot;005E2C4C&quot;/&gt;&lt;wsp:rsid wsp:val=&quot;005E33A1&quot;/&gt;&lt;wsp:rsid wsp:val=&quot;005E383D&quot;/&gt;&lt;wsp:rsid wsp:val=&quot;005E3A01&quot;/&gt;&lt;wsp:rsid wsp:val=&quot;005E410C&quot;/&gt;&lt;wsp:rsid wsp:val=&quot;005E4144&quot;/&gt;&lt;wsp:rsid wsp:val=&quot;005E4284&quot;/&gt;&lt;wsp:rsid wsp:val=&quot;005E4369&quot;/&gt;&lt;wsp:rsid wsp:val=&quot;005E43DC&quot;/&gt;&lt;wsp:rsid wsp:val=&quot;005E49C2&quot;/&gt;&lt;wsp:rsid wsp:val=&quot;005E4E91&quot;/&gt;&lt;wsp:rsid wsp:val=&quot;005E4EA3&quot;/&gt;&lt;wsp:rsid wsp:val=&quot;005E4F31&quot;/&gt;&lt;wsp:rsid wsp:val=&quot;005E573F&quot;/&gt;&lt;wsp:rsid wsp:val=&quot;005E5D90&quot;/&gt;&lt;wsp:rsid wsp:val=&quot;005E5D9C&quot;/&gt;&lt;wsp:rsid wsp:val=&quot;005E6424&quot;/&gt;&lt;wsp:rsid wsp:val=&quot;005E6D47&quot;/&gt;&lt;wsp:rsid wsp:val=&quot;005E72E6&quot;/&gt;&lt;wsp:rsid wsp:val=&quot;005E7AA1&quot;/&gt;&lt;wsp:rsid wsp:val=&quot;005E7E68&quot;/&gt;&lt;wsp:rsid wsp:val=&quot;005F1770&quot;/&gt;&lt;wsp:rsid wsp:val=&quot;005F239C&quot;/&gt;&lt;wsp:rsid wsp:val=&quot;005F23C1&quot;/&gt;&lt;wsp:rsid wsp:val=&quot;005F23C9&quot;/&gt;&lt;wsp:rsid wsp:val=&quot;005F24DF&quot;/&gt;&lt;wsp:rsid wsp:val=&quot;005F27C9&quot;/&gt;&lt;wsp:rsid wsp:val=&quot;005F2888&quot;/&gt;&lt;wsp:rsid wsp:val=&quot;005F2DBF&quot;/&gt;&lt;wsp:rsid wsp:val=&quot;005F3ABA&quot;/&gt;&lt;wsp:rsid wsp:val=&quot;005F4B22&quot;/&gt;&lt;wsp:rsid wsp:val=&quot;005F5810&quot;/&gt;&lt;wsp:rsid wsp:val=&quot;005F59D3&quot;/&gt;&lt;wsp:rsid wsp:val=&quot;005F5DF3&quot;/&gt;&lt;wsp:rsid wsp:val=&quot;005F691D&quot;/&gt;&lt;wsp:rsid wsp:val=&quot;005F6C83&quot;/&gt;&lt;wsp:rsid wsp:val=&quot;00600504&quot;/&gt;&lt;wsp:rsid wsp:val=&quot;00600829&quot;/&gt;&lt;wsp:rsid wsp:val=&quot;00600BEB&quot;/&gt;&lt;wsp:rsid wsp:val=&quot;0060170E&quot;/&gt;&lt;wsp:rsid wsp:val=&quot;006019FF&quot;/&gt;&lt;wsp:rsid wsp:val=&quot;00601CC9&quot;/&gt;&lt;wsp:rsid wsp:val=&quot;00602E33&quot;/&gt;&lt;wsp:rsid wsp:val=&quot;00602EBB&quot;/&gt;&lt;wsp:rsid wsp:val=&quot;00602ED2&quot;/&gt;&lt;wsp:rsid wsp:val=&quot;00603786&quot;/&gt;&lt;wsp:rsid wsp:val=&quot;00603D52&quot;/&gt;&lt;wsp:rsid wsp:val=&quot;0060448F&quot;/&gt;&lt;wsp:rsid wsp:val=&quot;0060460D&quot;/&gt;&lt;wsp:rsid wsp:val=&quot;00604A67&quot;/&gt;&lt;wsp:rsid wsp:val=&quot;00604DD2&quot;/&gt;&lt;wsp:rsid wsp:val=&quot;0060520D&quot;/&gt;&lt;wsp:rsid wsp:val=&quot;00605223&quot;/&gt;&lt;wsp:rsid wsp:val=&quot;0060558E&quot;/&gt;&lt;wsp:rsid wsp:val=&quot;0060575A&quot;/&gt;&lt;wsp:rsid wsp:val=&quot;006058DD&quot;/&gt;&lt;wsp:rsid wsp:val=&quot;00605B68&quot;/&gt;&lt;wsp:rsid wsp:val=&quot;00605BA4&quot;/&gt;&lt;wsp:rsid wsp:val=&quot;00605D37&quot;/&gt;&lt;wsp:rsid wsp:val=&quot;00606140&quot;/&gt;&lt;wsp:rsid wsp:val=&quot;00606DD1&quot;/&gt;&lt;wsp:rsid wsp:val=&quot;00607650&quot;/&gt;&lt;wsp:rsid wsp:val=&quot;0061049C&quot;/&gt;&lt;wsp:rsid wsp:val=&quot;00610953&quot;/&gt;&lt;wsp:rsid wsp:val=&quot;00610D35&quot;/&gt;&lt;wsp:rsid wsp:val=&quot;00610F4C&quot;/&gt;&lt;wsp:rsid wsp:val=&quot;006110B0&quot;/&gt;&lt;wsp:rsid wsp:val=&quot;00611558&quot;/&gt;&lt;wsp:rsid wsp:val=&quot;006117A4&quot;/&gt;&lt;wsp:rsid wsp:val=&quot;00612707&quot;/&gt;&lt;wsp:rsid wsp:val=&quot;00614632&quot;/&gt;&lt;wsp:rsid wsp:val=&quot;00614BDC&quot;/&gt;&lt;wsp:rsid wsp:val=&quot;00614FB4&quot;/&gt;&lt;wsp:rsid wsp:val=&quot;006155A8&quot;/&gt;&lt;wsp:rsid wsp:val=&quot;00615D4C&quot;/&gt;&lt;wsp:rsid wsp:val=&quot;00615E3E&quot;/&gt;&lt;wsp:rsid wsp:val=&quot;0061672C&quot;/&gt;&lt;wsp:rsid wsp:val=&quot;006168DA&quot;/&gt;&lt;wsp:rsid wsp:val=&quot;00616DEF&quot;/&gt;&lt;wsp:rsid wsp:val=&quot;00616F4C&quot;/&gt;&lt;wsp:rsid wsp:val=&quot;00617030&quot;/&gt;&lt;wsp:rsid wsp:val=&quot;006203E4&quot;/&gt;&lt;wsp:rsid wsp:val=&quot;00620684&quot;/&gt;&lt;wsp:rsid wsp:val=&quot;00620AF3&quot;/&gt;&lt;wsp:rsid wsp:val=&quot;00620B05&quot;/&gt;&lt;wsp:rsid wsp:val=&quot;006210BA&quot;/&gt;&lt;wsp:rsid wsp:val=&quot;00621306&quot;/&gt;&lt;wsp:rsid wsp:val=&quot;0062164F&quot;/&gt;&lt;wsp:rsid wsp:val=&quot;00622EFB&quot;/&gt;&lt;wsp:rsid wsp:val=&quot;006232B5&quot;/&gt;&lt;wsp:rsid wsp:val=&quot;006233D1&quot;/&gt;&lt;wsp:rsid wsp:val=&quot;00623500&quot;/&gt;&lt;wsp:rsid wsp:val=&quot;00623733&quot;/&gt;&lt;wsp:rsid wsp:val=&quot;00623B03&quot;/&gt;&lt;wsp:rsid wsp:val=&quot;006241D2&quot;/&gt;&lt;wsp:rsid wsp:val=&quot;006242B8&quot;/&gt;&lt;wsp:rsid wsp:val=&quot;00624524&quot;/&gt;&lt;wsp:rsid wsp:val=&quot;0062463F&quot;/&gt;&lt;wsp:rsid wsp:val=&quot;0062492E&quot;/&gt;&lt;wsp:rsid wsp:val=&quot;00624C83&quot;/&gt;&lt;wsp:rsid wsp:val=&quot;00624DE0&quot;/&gt;&lt;wsp:rsid wsp:val=&quot;00624E0D&quot;/&gt;&lt;wsp:rsid wsp:val=&quot;00624FC3&quot;/&gt;&lt;wsp:rsid wsp:val=&quot;00625426&quot;/&gt;&lt;wsp:rsid wsp:val=&quot;006255FE&quot;/&gt;&lt;wsp:rsid wsp:val=&quot;00625AD6&quot;/&gt;&lt;wsp:rsid wsp:val=&quot;006261E2&quot;/&gt;&lt;wsp:rsid wsp:val=&quot;00626959&quot;/&gt;&lt;wsp:rsid wsp:val=&quot;00626C5A&quot;/&gt;&lt;wsp:rsid wsp:val=&quot;00626D0C&quot;/&gt;&lt;wsp:rsid wsp:val=&quot;00627654&quot;/&gt;&lt;wsp:rsid wsp:val=&quot;00627812&quot;/&gt;&lt;wsp:rsid wsp:val=&quot;006301DA&quot;/&gt;&lt;wsp:rsid wsp:val=&quot;00630600&quot;/&gt;&lt;wsp:rsid wsp:val=&quot;00630C33&quot;/&gt;&lt;wsp:rsid wsp:val=&quot;0063223F&quot;/&gt;&lt;wsp:rsid wsp:val=&quot;006322D3&quot;/&gt;&lt;wsp:rsid wsp:val=&quot;00632327&quot;/&gt;&lt;wsp:rsid wsp:val=&quot;00632707&quot;/&gt;&lt;wsp:rsid wsp:val=&quot;00632746&quot;/&gt;&lt;wsp:rsid wsp:val=&quot;006327CA&quot;/&gt;&lt;wsp:rsid wsp:val=&quot;00632E5D&quot;/&gt;&lt;wsp:rsid wsp:val=&quot;00632EE4&quot;/&gt;&lt;wsp:rsid wsp:val=&quot;00633262&quot;/&gt;&lt;wsp:rsid wsp:val=&quot;00633871&quot;/&gt;&lt;wsp:rsid wsp:val=&quot;006338CE&quot;/&gt;&lt;wsp:rsid wsp:val=&quot;00633AB4&quot;/&gt;&lt;wsp:rsid wsp:val=&quot;00633CFF&quot;/&gt;&lt;wsp:rsid wsp:val=&quot;00634136&quot;/&gt;&lt;wsp:rsid wsp:val=&quot;00635450&quot;/&gt;&lt;wsp:rsid wsp:val=&quot;00636172&quot;/&gt;&lt;wsp:rsid wsp:val=&quot;00636823&quot;/&gt;&lt;wsp:rsid wsp:val=&quot;00636DDD&quot;/&gt;&lt;wsp:rsid wsp:val=&quot;00636F9A&quot;/&gt;&lt;wsp:rsid wsp:val=&quot;006373B9&quot;/&gt;&lt;wsp:rsid wsp:val=&quot;006374DA&quot;/&gt;&lt;wsp:rsid wsp:val=&quot;00637BF0&quot;/&gt;&lt;wsp:rsid wsp:val=&quot;00637DFB&quot;/&gt;&lt;wsp:rsid wsp:val=&quot;00637E3D&quot;/&gt;&lt;wsp:rsid wsp:val=&quot;00640693&quot;/&gt;&lt;wsp:rsid wsp:val=&quot;006409F2&quot;/&gt;&lt;wsp:rsid wsp:val=&quot;00640AAD&quot;/&gt;&lt;wsp:rsid wsp:val=&quot;00640FB8&quot;/&gt;&lt;wsp:rsid wsp:val=&quot;00641AF2&quot;/&gt;&lt;wsp:rsid wsp:val=&quot;00641E91&quot;/&gt;&lt;wsp:rsid wsp:val=&quot;00642073&quot;/&gt;&lt;wsp:rsid wsp:val=&quot;006421F4&quot;/&gt;&lt;wsp:rsid wsp:val=&quot;00642510&quot;/&gt;&lt;wsp:rsid wsp:val=&quot;0064263A&quot;/&gt;&lt;wsp:rsid wsp:val=&quot;00642883&quot;/&gt;&lt;wsp:rsid wsp:val=&quot;0064288A&quot;/&gt;&lt;wsp:rsid wsp:val=&quot;00642F02&quot;/&gt;&lt;wsp:rsid wsp:val=&quot;00642F92&quot;/&gt;&lt;wsp:rsid wsp:val=&quot;006432C2&quot;/&gt;&lt;wsp:rsid wsp:val=&quot;0064357D&quot;/&gt;&lt;wsp:rsid wsp:val=&quot;0064360E&quot;/&gt;&lt;wsp:rsid wsp:val=&quot;0064371F&quot;/&gt;&lt;wsp:rsid wsp:val=&quot;0064377B&quot;/&gt;&lt;wsp:rsid wsp:val=&quot;00644366&quot;/&gt;&lt;wsp:rsid wsp:val=&quot;00644637&quot;/&gt;&lt;wsp:rsid wsp:val=&quot;00644728&quot;/&gt;&lt;wsp:rsid wsp:val=&quot;00644802&quot;/&gt;&lt;wsp:rsid wsp:val=&quot;0064561F&quot;/&gt;&lt;wsp:rsid wsp:val=&quot;00645758&quot;/&gt;&lt;wsp:rsid wsp:val=&quot;00645B4B&quot;/&gt;&lt;wsp:rsid wsp:val=&quot;00645DD9&quot;/&gt;&lt;wsp:rsid wsp:val=&quot;0064673E&quot;/&gt;&lt;wsp:rsid wsp:val=&quot;00646B22&quot;/&gt;&lt;wsp:rsid wsp:val=&quot;00646CD2&quot;/&gt;&lt;wsp:rsid wsp:val=&quot;00646F90&quot;/&gt;&lt;wsp:rsid wsp:val=&quot;006470FB&quot;/&gt;&lt;wsp:rsid wsp:val=&quot;0064743E&quot;/&gt;&lt;wsp:rsid wsp:val=&quot;006479F6&quot;/&gt;&lt;wsp:rsid wsp:val=&quot;00647AE0&quot;/&gt;&lt;wsp:rsid wsp:val=&quot;00647C35&quot;/&gt;&lt;wsp:rsid wsp:val=&quot;00650F44&quot;/&gt;&lt;wsp:rsid wsp:val=&quot;00651251&quot;/&gt;&lt;wsp:rsid wsp:val=&quot;0065137A&quot;/&gt;&lt;wsp:rsid wsp:val=&quot;006513D5&quot;/&gt;&lt;wsp:rsid wsp:val=&quot;00651B3C&quot;/&gt;&lt;wsp:rsid wsp:val=&quot;00652714&quot;/&gt;&lt;wsp:rsid wsp:val=&quot;006527BF&quot;/&gt;&lt;wsp:rsid wsp:val=&quot;006529E8&quot;/&gt;&lt;wsp:rsid wsp:val=&quot;006532EF&quot;/&gt;&lt;wsp:rsid wsp:val=&quot;006539EF&quot;/&gt;&lt;wsp:rsid wsp:val=&quot;00654685&quot;/&gt;&lt;wsp:rsid wsp:val=&quot;00654986&quot;/&gt;&lt;wsp:rsid wsp:val=&quot;00654D98&quot;/&gt;&lt;wsp:rsid wsp:val=&quot;006551BF&quot;/&gt;&lt;wsp:rsid wsp:val=&quot;00655789&quot;/&gt;&lt;wsp:rsid wsp:val=&quot;00655912&quot;/&gt;&lt;wsp:rsid wsp:val=&quot;006559E6&quot;/&gt;&lt;wsp:rsid wsp:val=&quot;00655C95&quot;/&gt;&lt;wsp:rsid wsp:val=&quot;00655CE2&quot;/&gt;&lt;wsp:rsid wsp:val=&quot;00655DCA&quot;/&gt;&lt;wsp:rsid wsp:val=&quot;006566D8&quot;/&gt;&lt;wsp:rsid wsp:val=&quot;006571D0&quot;/&gt;&lt;wsp:rsid wsp:val=&quot;006578FA&quot;/&gt;&lt;wsp:rsid wsp:val=&quot;00657A7C&quot;/&gt;&lt;wsp:rsid wsp:val=&quot;00657C73&quot;/&gt;&lt;wsp:rsid wsp:val=&quot;00657CA7&quot;/&gt;&lt;wsp:rsid wsp:val=&quot;00657E5E&quot;/&gt;&lt;wsp:rsid wsp:val=&quot;0066078B&quot;/&gt;&lt;wsp:rsid wsp:val=&quot;00661B89&quot;/&gt;&lt;wsp:rsid wsp:val=&quot;00661CF9&quot;/&gt;&lt;wsp:rsid wsp:val=&quot;00661DEE&quot;/&gt;&lt;wsp:rsid wsp:val=&quot;00662747&quot;/&gt;&lt;wsp:rsid wsp:val=&quot;006629AC&quot;/&gt;&lt;wsp:rsid wsp:val=&quot;00662F64&quot;/&gt;&lt;wsp:rsid wsp:val=&quot;00663307&quot;/&gt;&lt;wsp:rsid wsp:val=&quot;00663825&quot;/&gt;&lt;wsp:rsid wsp:val=&quot;00663898&quot;/&gt;&lt;wsp:rsid wsp:val=&quot;00663EB3&quot;/&gt;&lt;wsp:rsid wsp:val=&quot;00663EF8&quot;/&gt;&lt;wsp:rsid wsp:val=&quot;0066439C&quot;/&gt;&lt;wsp:rsid wsp:val=&quot;006643EE&quot;/&gt;&lt;wsp:rsid wsp:val=&quot;0066464A&quot;/&gt;&lt;wsp:rsid wsp:val=&quot;00665264&quot;/&gt;&lt;wsp:rsid wsp:val=&quot;006656BA&quot;/&gt;&lt;wsp:rsid wsp:val=&quot;00665BD7&quot;/&gt;&lt;wsp:rsid wsp:val=&quot;00665C26&quot;/&gt;&lt;wsp:rsid wsp:val=&quot;00665F82&quot;/&gt;&lt;wsp:rsid wsp:val=&quot;00667788&quot;/&gt;&lt;wsp:rsid wsp:val=&quot;00667A66&quot;/&gt;&lt;wsp:rsid wsp:val=&quot;00667E10&quot;/&gt;&lt;wsp:rsid wsp:val=&quot;0067003F&quot;/&gt;&lt;wsp:rsid wsp:val=&quot;00670597&quot;/&gt;&lt;wsp:rsid wsp:val=&quot;0067095A&quot;/&gt;&lt;wsp:rsid wsp:val=&quot;006710B5&quot;/&gt;&lt;wsp:rsid wsp:val=&quot;00671532&quot;/&gt;&lt;wsp:rsid wsp:val=&quot;0067154A&quot;/&gt;&lt;wsp:rsid wsp:val=&quot;006715F5&quot;/&gt;&lt;wsp:rsid wsp:val=&quot;0067237F&quot;/&gt;&lt;wsp:rsid wsp:val=&quot;0067264C&quot;/&gt;&lt;wsp:rsid wsp:val=&quot;006729A4&quot;/&gt;&lt;wsp:rsid wsp:val=&quot;006729AE&quot;/&gt;&lt;wsp:rsid wsp:val=&quot;00672AB5&quot;/&gt;&lt;wsp:rsid wsp:val=&quot;00673005&quot;/&gt;&lt;wsp:rsid wsp:val=&quot;00673FB1&quot;/&gt;&lt;wsp:rsid wsp:val=&quot;006747D0&quot;/&gt;&lt;wsp:rsid wsp:val=&quot;00674A54&quot;/&gt;&lt;wsp:rsid wsp:val=&quot;00674AF3&quot;/&gt;&lt;wsp:rsid wsp:val=&quot;00674B2E&quot;/&gt;&lt;wsp:rsid wsp:val=&quot;00674C1B&quot;/&gt;&lt;wsp:rsid wsp:val=&quot;006756F4&quot;/&gt;&lt;wsp:rsid wsp:val=&quot;00675A1D&quot;/&gt;&lt;wsp:rsid wsp:val=&quot;00675C08&quot;/&gt;&lt;wsp:rsid wsp:val=&quot;0067691B&quot;/&gt;&lt;wsp:rsid wsp:val=&quot;00676B58&quot;/&gt;&lt;wsp:rsid wsp:val=&quot;00676BC8&quot;/&gt;&lt;wsp:rsid wsp:val=&quot;006778CC&quot;/&gt;&lt;wsp:rsid wsp:val=&quot;00677A7D&quot;/&gt;&lt;wsp:rsid wsp:val=&quot;00677D82&quot;/&gt;&lt;wsp:rsid wsp:val=&quot;00677DDD&quot;/&gt;&lt;wsp:rsid wsp:val=&quot;00680023&quot;/&gt;&lt;wsp:rsid wsp:val=&quot;00680103&quot;/&gt;&lt;wsp:rsid wsp:val=&quot;006804BC&quot;/&gt;&lt;wsp:rsid wsp:val=&quot;006805AF&quot;/&gt;&lt;wsp:rsid wsp:val=&quot;00680918&quot;/&gt;&lt;wsp:rsid wsp:val=&quot;00680971&quot;/&gt;&lt;wsp:rsid wsp:val=&quot;00681701&quot;/&gt;&lt;wsp:rsid wsp:val=&quot;00682612&quot;/&gt;&lt;wsp:rsid wsp:val=&quot;00682915&quot;/&gt;&lt;wsp:rsid wsp:val=&quot;00683066&quot;/&gt;&lt;wsp:rsid wsp:val=&quot;006830FC&quot;/&gt;&lt;wsp:rsid wsp:val=&quot;00683454&quot;/&gt;&lt;wsp:rsid wsp:val=&quot;0068358C&quot;/&gt;&lt;wsp:rsid wsp:val=&quot;006835D5&quot;/&gt;&lt;wsp:rsid wsp:val=&quot;00683B3C&quot;/&gt;&lt;wsp:rsid wsp:val=&quot;00684216&quot;/&gt;&lt;wsp:rsid wsp:val=&quot;00684236&quot;/&gt;&lt;wsp:rsid wsp:val=&quot;0068441A&quot;/&gt;&lt;wsp:rsid wsp:val=&quot;006852D6&quot;/&gt;&lt;wsp:rsid wsp:val=&quot;00685956&quot;/&gt;&lt;wsp:rsid wsp:val=&quot;00685B94&quot;/&gt;&lt;wsp:rsid wsp:val=&quot;006869B7&quot;/&gt;&lt;wsp:rsid wsp:val=&quot;0068763F&quot;/&gt;&lt;wsp:rsid wsp:val=&quot;00687C12&quot;/&gt;&lt;wsp:rsid wsp:val=&quot;006916ED&quot;/&gt;&lt;wsp:rsid wsp:val=&quot;00691743&quot;/&gt;&lt;wsp:rsid wsp:val=&quot;006918AF&quot;/&gt;&lt;wsp:rsid wsp:val=&quot;00691E3F&quot;/&gt;&lt;wsp:rsid wsp:val=&quot;006925D0&quot;/&gt;&lt;wsp:rsid wsp:val=&quot;0069260E&quot;/&gt;&lt;wsp:rsid wsp:val=&quot;0069272B&quot;/&gt;&lt;wsp:rsid wsp:val=&quot;006927A8&quot;/&gt;&lt;wsp:rsid wsp:val=&quot;0069292F&quot;/&gt;&lt;wsp:rsid wsp:val=&quot;00692B41&quot;/&gt;&lt;wsp:rsid wsp:val=&quot;00692B72&quot;/&gt;&lt;wsp:rsid wsp:val=&quot;00692C56&quot;/&gt;&lt;wsp:rsid wsp:val=&quot;00692DA5&quot;/&gt;&lt;wsp:rsid wsp:val=&quot;00693428&quot;/&gt;&lt;wsp:rsid wsp:val=&quot;0069391E&quot;/&gt;&lt;wsp:rsid wsp:val=&quot;00693D87&quot;/&gt;&lt;wsp:rsid wsp:val=&quot;0069411F&quot;/&gt;&lt;wsp:rsid wsp:val=&quot;006945C8&quot;/&gt;&lt;wsp:rsid wsp:val=&quot;006949DD&quot;/&gt;&lt;wsp:rsid wsp:val=&quot;00694AE0&quot;/&gt;&lt;wsp:rsid wsp:val=&quot;00694F3A&quot;/&gt;&lt;wsp:rsid wsp:val=&quot;0069520E&quot;/&gt;&lt;wsp:rsid wsp:val=&quot;00695742&quot;/&gt;&lt;wsp:rsid wsp:val=&quot;006957B6&quot;/&gt;&lt;wsp:rsid wsp:val=&quot;00695A62&quot;/&gt;&lt;wsp:rsid wsp:val=&quot;006961EB&quot;/&gt;&lt;wsp:rsid wsp:val=&quot;00696553&quot;/&gt;&lt;wsp:rsid wsp:val=&quot;0069679A&quot;/&gt;&lt;wsp:rsid wsp:val=&quot;00696DC0&quot;/&gt;&lt;wsp:rsid wsp:val=&quot;00697082&quot;/&gt;&lt;wsp:rsid wsp:val=&quot;0069784D&quot;/&gt;&lt;wsp:rsid wsp:val=&quot;006978F3&quot;/&gt;&lt;wsp:rsid wsp:val=&quot;006979AD&quot;/&gt;&lt;wsp:rsid wsp:val=&quot;00697C58&quot;/&gt;&lt;wsp:rsid wsp:val=&quot;006A09DE&quot;/&gt;&lt;wsp:rsid wsp:val=&quot;006A0A62&quot;/&gt;&lt;wsp:rsid wsp:val=&quot;006A1258&quot;/&gt;&lt;wsp:rsid wsp:val=&quot;006A1361&quot;/&gt;&lt;wsp:rsid wsp:val=&quot;006A1B09&quot;/&gt;&lt;wsp:rsid wsp:val=&quot;006A1BBC&quot;/&gt;&lt;wsp:rsid wsp:val=&quot;006A1FAA&quot;/&gt;&lt;wsp:rsid wsp:val=&quot;006A21E6&quot;/&gt;&lt;wsp:rsid wsp:val=&quot;006A2725&quot;/&gt;&lt;wsp:rsid wsp:val=&quot;006A2938&quot;/&gt;&lt;wsp:rsid wsp:val=&quot;006A29BE&quot;/&gt;&lt;wsp:rsid wsp:val=&quot;006A29E0&quot;/&gt;&lt;wsp:rsid wsp:val=&quot;006A2C99&quot;/&gt;&lt;wsp:rsid wsp:val=&quot;006A2D0F&quot;/&gt;&lt;wsp:rsid wsp:val=&quot;006A2D27&quot;/&gt;&lt;wsp:rsid wsp:val=&quot;006A2FF4&quot;/&gt;&lt;wsp:rsid wsp:val=&quot;006A3164&quot;/&gt;&lt;wsp:rsid wsp:val=&quot;006A34D7&quot;/&gt;&lt;wsp:rsid wsp:val=&quot;006A3560&quot;/&gt;&lt;wsp:rsid wsp:val=&quot;006A4A6A&quot;/&gt;&lt;wsp:rsid wsp:val=&quot;006A4C87&quot;/&gt;&lt;wsp:rsid wsp:val=&quot;006A5395&quot;/&gt;&lt;wsp:rsid wsp:val=&quot;006A5B1C&quot;/&gt;&lt;wsp:rsid wsp:val=&quot;006A5CFA&quot;/&gt;&lt;wsp:rsid wsp:val=&quot;006A6AA4&quot;/&gt;&lt;wsp:rsid wsp:val=&quot;006A6B6F&quot;/&gt;&lt;wsp:rsid wsp:val=&quot;006A6B8B&quot;/&gt;&lt;wsp:rsid wsp:val=&quot;006A6E99&quot;/&gt;&lt;wsp:rsid wsp:val=&quot;006A76ED&quot;/&gt;&lt;wsp:rsid wsp:val=&quot;006A777F&quot;/&gt;&lt;wsp:rsid wsp:val=&quot;006A79DA&quot;/&gt;&lt;wsp:rsid wsp:val=&quot;006B0312&quot;/&gt;&lt;wsp:rsid wsp:val=&quot;006B071C&quot;/&gt;&lt;wsp:rsid wsp:val=&quot;006B08A3&quot;/&gt;&lt;wsp:rsid wsp:val=&quot;006B08CD&quot;/&gt;&lt;wsp:rsid wsp:val=&quot;006B0BFB&quot;/&gt;&lt;wsp:rsid wsp:val=&quot;006B0FDE&quot;/&gt;&lt;wsp:rsid wsp:val=&quot;006B1196&quot;/&gt;&lt;wsp:rsid wsp:val=&quot;006B1229&quot;/&gt;&lt;wsp:rsid wsp:val=&quot;006B149C&quot;/&gt;&lt;wsp:rsid wsp:val=&quot;006B169E&quot;/&gt;&lt;wsp:rsid wsp:val=&quot;006B186C&quot;/&gt;&lt;wsp:rsid wsp:val=&quot;006B1A90&quot;/&gt;&lt;wsp:rsid wsp:val=&quot;006B2A69&quot;/&gt;&lt;wsp:rsid wsp:val=&quot;006B35C9&quot;/&gt;&lt;wsp:rsid wsp:val=&quot;006B41E6&quot;/&gt;&lt;wsp:rsid wsp:val=&quot;006B430E&quot;/&gt;&lt;wsp:rsid wsp:val=&quot;006B4457&quot;/&gt;&lt;wsp:rsid wsp:val=&quot;006B4AEC&quot;/&gt;&lt;wsp:rsid wsp:val=&quot;006B5047&quot;/&gt;&lt;wsp:rsid wsp:val=&quot;006B5451&quot;/&gt;&lt;wsp:rsid wsp:val=&quot;006B56C5&quot;/&gt;&lt;wsp:rsid wsp:val=&quot;006B591E&quot;/&gt;&lt;wsp:rsid wsp:val=&quot;006B5B30&quot;/&gt;&lt;wsp:rsid wsp:val=&quot;006B5F3A&quot;/&gt;&lt;wsp:rsid wsp:val=&quot;006B60DE&quot;/&gt;&lt;wsp:rsid wsp:val=&quot;006B656F&quot;/&gt;&lt;wsp:rsid wsp:val=&quot;006B6B9C&quot;/&gt;&lt;wsp:rsid wsp:val=&quot;006B6F13&quot;/&gt;&lt;wsp:rsid wsp:val=&quot;006B716B&quot;/&gt;&lt;wsp:rsid wsp:val=&quot;006B727D&quot;/&gt;&lt;wsp:rsid wsp:val=&quot;006B73BF&quot;/&gt;&lt;wsp:rsid wsp:val=&quot;006B7AE9&quot;/&gt;&lt;wsp:rsid wsp:val=&quot;006B7DB5&quot;/&gt;&lt;wsp:rsid wsp:val=&quot;006C0021&quot;/&gt;&lt;wsp:rsid wsp:val=&quot;006C0030&quot;/&gt;&lt;wsp:rsid wsp:val=&quot;006C04E9&quot;/&gt;&lt;wsp:rsid wsp:val=&quot;006C0770&quot;/&gt;&lt;wsp:rsid wsp:val=&quot;006C09BC&quot;/&gt;&lt;wsp:rsid wsp:val=&quot;006C0D78&quot;/&gt;&lt;wsp:rsid wsp:val=&quot;006C131A&quot;/&gt;&lt;wsp:rsid wsp:val=&quot;006C1696&quot;/&gt;&lt;wsp:rsid wsp:val=&quot;006C1B7D&quot;/&gt;&lt;wsp:rsid wsp:val=&quot;006C1FE3&quot;/&gt;&lt;wsp:rsid wsp:val=&quot;006C2084&quot;/&gt;&lt;wsp:rsid wsp:val=&quot;006C2334&quot;/&gt;&lt;wsp:rsid wsp:val=&quot;006C289A&quot;/&gt;&lt;wsp:rsid wsp:val=&quot;006C2D49&quot;/&gt;&lt;wsp:rsid wsp:val=&quot;006C2F1C&quot;/&gt;&lt;wsp:rsid wsp:val=&quot;006C2F91&quot;/&gt;&lt;wsp:rsid wsp:val=&quot;006C2FA1&quot;/&gt;&lt;wsp:rsid wsp:val=&quot;006C32AB&quot;/&gt;&lt;wsp:rsid wsp:val=&quot;006C3349&quot;/&gt;&lt;wsp:rsid wsp:val=&quot;006C33A5&quot;/&gt;&lt;wsp:rsid wsp:val=&quot;006C36D1&quot;/&gt;&lt;wsp:rsid wsp:val=&quot;006C3A9F&quot;/&gt;&lt;wsp:rsid wsp:val=&quot;006C3AE5&quot;/&gt;&lt;wsp:rsid wsp:val=&quot;006C3E1F&quot;/&gt;&lt;wsp:rsid wsp:val=&quot;006C3FAC&quot;/&gt;&lt;wsp:rsid wsp:val=&quot;006C41A5&quot;/&gt;&lt;wsp:rsid wsp:val=&quot;006C47BA&quot;/&gt;&lt;wsp:rsid wsp:val=&quot;006C4D82&quot;/&gt;&lt;wsp:rsid wsp:val=&quot;006C53E1&quot;/&gt;&lt;wsp:rsid wsp:val=&quot;006C5741&quot;/&gt;&lt;wsp:rsid wsp:val=&quot;006C5AB9&quot;/&gt;&lt;wsp:rsid wsp:val=&quot;006C5BC7&quot;/&gt;&lt;wsp:rsid wsp:val=&quot;006C603E&quot;/&gt;&lt;wsp:rsid wsp:val=&quot;006C617C&quot;/&gt;&lt;wsp:rsid wsp:val=&quot;006C61DF&quot;/&gt;&lt;wsp:rsid wsp:val=&quot;006C6804&quot;/&gt;&lt;wsp:rsid wsp:val=&quot;006C6925&quot;/&gt;&lt;wsp:rsid wsp:val=&quot;006C7152&quot;/&gt;&lt;wsp:rsid wsp:val=&quot;006C7D2A&quot;/&gt;&lt;wsp:rsid wsp:val=&quot;006C7D59&quot;/&gt;&lt;wsp:rsid wsp:val=&quot;006C7D8D&quot;/&gt;&lt;wsp:rsid wsp:val=&quot;006C7F1C&quot;/&gt;&lt;wsp:rsid wsp:val=&quot;006D049A&quot;/&gt;&lt;wsp:rsid wsp:val=&quot;006D0784&quot;/&gt;&lt;wsp:rsid wsp:val=&quot;006D0975&quot;/&gt;&lt;wsp:rsid wsp:val=&quot;006D0BC5&quot;/&gt;&lt;wsp:rsid wsp:val=&quot;006D12BD&quot;/&gt;&lt;wsp:rsid wsp:val=&quot;006D1968&quot;/&gt;&lt;wsp:rsid wsp:val=&quot;006D1A85&quot;/&gt;&lt;wsp:rsid wsp:val=&quot;006D234A&quot;/&gt;&lt;wsp:rsid wsp:val=&quot;006D2600&quot;/&gt;&lt;wsp:rsid wsp:val=&quot;006D2624&quot;/&gt;&lt;wsp:rsid wsp:val=&quot;006D26C2&quot;/&gt;&lt;wsp:rsid wsp:val=&quot;006D2C38&quot;/&gt;&lt;wsp:rsid wsp:val=&quot;006D2D75&quot;/&gt;&lt;wsp:rsid wsp:val=&quot;006D2DC6&quot;/&gt;&lt;wsp:rsid wsp:val=&quot;006D33B1&quot;/&gt;&lt;wsp:rsid wsp:val=&quot;006D3816&quot;/&gt;&lt;wsp:rsid wsp:val=&quot;006D38AB&quot;/&gt;&lt;wsp:rsid wsp:val=&quot;006D3BEA&quot;/&gt;&lt;wsp:rsid wsp:val=&quot;006D3DA5&quot;/&gt;&lt;wsp:rsid wsp:val=&quot;006D4178&quot;/&gt;&lt;wsp:rsid wsp:val=&quot;006D41E1&quot;/&gt;&lt;wsp:rsid wsp:val=&quot;006D4307&quot;/&gt;&lt;wsp:rsid wsp:val=&quot;006D4623&quot;/&gt;&lt;wsp:rsid wsp:val=&quot;006D46E2&quot;/&gt;&lt;wsp:rsid wsp:val=&quot;006D53FB&quot;/&gt;&lt;wsp:rsid wsp:val=&quot;006D54E4&quot;/&gt;&lt;wsp:rsid wsp:val=&quot;006D55ED&quot;/&gt;&lt;wsp:rsid wsp:val=&quot;006D5D8E&quot;/&gt;&lt;wsp:rsid wsp:val=&quot;006D5FEF&quot;/&gt;&lt;wsp:rsid wsp:val=&quot;006D6608&quot;/&gt;&lt;wsp:rsid wsp:val=&quot;006D67D8&quot;/&gt;&lt;wsp:rsid wsp:val=&quot;006D6B23&quot;/&gt;&lt;wsp:rsid wsp:val=&quot;006D6CAF&quot;/&gt;&lt;wsp:rsid wsp:val=&quot;006D756D&quot;/&gt;&lt;wsp:rsid wsp:val=&quot;006D7615&quot;/&gt;&lt;wsp:rsid wsp:val=&quot;006D7DA3&quot;/&gt;&lt;wsp:rsid wsp:val=&quot;006E1102&quot;/&gt;&lt;wsp:rsid wsp:val=&quot;006E1418&quot;/&gt;&lt;wsp:rsid wsp:val=&quot;006E1479&quot;/&gt;&lt;wsp:rsid wsp:val=&quot;006E158C&quot;/&gt;&lt;wsp:rsid wsp:val=&quot;006E1C1E&quot;/&gt;&lt;wsp:rsid wsp:val=&quot;006E1CAA&quot;/&gt;&lt;wsp:rsid wsp:val=&quot;006E2642&quot;/&gt;&lt;wsp:rsid wsp:val=&quot;006E30C1&quot;/&gt;&lt;wsp:rsid wsp:val=&quot;006E386A&quot;/&gt;&lt;wsp:rsid wsp:val=&quot;006E3CC9&quot;/&gt;&lt;wsp:rsid wsp:val=&quot;006E4237&quot;/&gt;&lt;wsp:rsid wsp:val=&quot;006E43F0&quot;/&gt;&lt;wsp:rsid wsp:val=&quot;006E53F0&quot;/&gt;&lt;wsp:rsid wsp:val=&quot;006E5415&quot;/&gt;&lt;wsp:rsid wsp:val=&quot;006E5992&quot;/&gt;&lt;wsp:rsid wsp:val=&quot;006E5ABF&quot;/&gt;&lt;wsp:rsid wsp:val=&quot;006E6461&quot;/&gt;&lt;wsp:rsid wsp:val=&quot;006E64CA&quot;/&gt;&lt;wsp:rsid wsp:val=&quot;006E6BF9&quot;/&gt;&lt;wsp:rsid wsp:val=&quot;006E6E96&quot;/&gt;&lt;wsp:rsid wsp:val=&quot;006E75A7&quot;/&gt;&lt;wsp:rsid wsp:val=&quot;006E777E&quot;/&gt;&lt;wsp:rsid wsp:val=&quot;006E797F&quot;/&gt;&lt;wsp:rsid wsp:val=&quot;006F000C&quot;/&gt;&lt;wsp:rsid wsp:val=&quot;006F0164&quot;/&gt;&lt;wsp:rsid wsp:val=&quot;006F0B72&quot;/&gt;&lt;wsp:rsid wsp:val=&quot;006F0D0D&quot;/&gt;&lt;wsp:rsid wsp:val=&quot;006F11B0&quot;/&gt;&lt;wsp:rsid wsp:val=&quot;006F1242&quot;/&gt;&lt;wsp:rsid wsp:val=&quot;006F127D&quot;/&gt;&lt;wsp:rsid wsp:val=&quot;006F1749&quot;/&gt;&lt;wsp:rsid wsp:val=&quot;006F1A7E&quot;/&gt;&lt;wsp:rsid wsp:val=&quot;006F2191&quot;/&gt;&lt;wsp:rsid wsp:val=&quot;006F269D&quot;/&gt;&lt;wsp:rsid wsp:val=&quot;006F26A8&quot;/&gt;&lt;wsp:rsid wsp:val=&quot;006F2855&quot;/&gt;&lt;wsp:rsid wsp:val=&quot;006F2920&quot;/&gt;&lt;wsp:rsid wsp:val=&quot;006F300C&quot;/&gt;&lt;wsp:rsid wsp:val=&quot;006F351E&quot;/&gt;&lt;wsp:rsid wsp:val=&quot;006F388D&quot;/&gt;&lt;wsp:rsid wsp:val=&quot;006F3A12&quot;/&gt;&lt;wsp:rsid wsp:val=&quot;006F4226&quot;/&gt;&lt;wsp:rsid wsp:val=&quot;006F47CF&quot;/&gt;&lt;wsp:rsid wsp:val=&quot;006F4F37&quot;/&gt;&lt;wsp:rsid wsp:val=&quot;006F5352&quot;/&gt;&lt;wsp:rsid wsp:val=&quot;006F5358&quot;/&gt;&lt;wsp:rsid wsp:val=&quot;006F54AF&quot;/&gt;&lt;wsp:rsid wsp:val=&quot;006F557E&quot;/&gt;&lt;wsp:rsid wsp:val=&quot;006F575D&quot;/&gt;&lt;wsp:rsid wsp:val=&quot;006F57D0&quot;/&gt;&lt;wsp:rsid wsp:val=&quot;006F6207&quot;/&gt;&lt;wsp:rsid wsp:val=&quot;006F62C6&quot;/&gt;&lt;wsp:rsid wsp:val=&quot;006F6526&quot;/&gt;&lt;wsp:rsid wsp:val=&quot;006F7267&quot;/&gt;&lt;wsp:rsid wsp:val=&quot;006F75C9&quot;/&gt;&lt;wsp:rsid wsp:val=&quot;006F76FF&quot;/&gt;&lt;wsp:rsid wsp:val=&quot;007002F4&quot;/&gt;&lt;wsp:rsid wsp:val=&quot;00700340&quot;/&gt;&lt;wsp:rsid wsp:val=&quot;007003EE&quot;/&gt;&lt;wsp:rsid wsp:val=&quot;0070057D&quot;/&gt;&lt;wsp:rsid wsp:val=&quot;00700620&quot;/&gt;&lt;wsp:rsid wsp:val=&quot;007008FE&quot;/&gt;&lt;wsp:rsid wsp:val=&quot;007009E2&quot;/&gt;&lt;wsp:rsid wsp:val=&quot;00700E7B&quot;/&gt;&lt;wsp:rsid wsp:val=&quot;00700FBF&quot;/&gt;&lt;wsp:rsid wsp:val=&quot;007015B7&quot;/&gt;&lt;wsp:rsid wsp:val=&quot;00701906&quot;/&gt;&lt;wsp:rsid wsp:val=&quot;00701A65&quot;/&gt;&lt;wsp:rsid wsp:val=&quot;00701C64&quot;/&gt;&lt;wsp:rsid wsp:val=&quot;0070224D&quot;/&gt;&lt;wsp:rsid wsp:val=&quot;007026B9&quot;/&gt;&lt;wsp:rsid wsp:val=&quot;007032AB&quot;/&gt;&lt;wsp:rsid wsp:val=&quot;00703460&quot;/&gt;&lt;wsp:rsid wsp:val=&quot;00703563&quot;/&gt;&lt;wsp:rsid wsp:val=&quot;007035D4&quot;/&gt;&lt;wsp:rsid wsp:val=&quot;007036B0&quot;/&gt;&lt;wsp:rsid wsp:val=&quot;00703B34&quot;/&gt;&lt;wsp:rsid wsp:val=&quot;00703EE2&quot;/&gt;&lt;wsp:rsid wsp:val=&quot;0070423B&quot;/&gt;&lt;wsp:rsid wsp:val=&quot;007046F3&quot;/&gt;&lt;wsp:rsid wsp:val=&quot;00704DA3&quot;/&gt;&lt;wsp:rsid wsp:val=&quot;00704E33&quot;/&gt;&lt;wsp:rsid wsp:val=&quot;0070569E&quot;/&gt;&lt;wsp:rsid wsp:val=&quot;007057B4&quot;/&gt;&lt;wsp:rsid wsp:val=&quot;00705B2B&quot;/&gt;&lt;wsp:rsid wsp:val=&quot;00705E63&quot;/&gt;&lt;wsp:rsid wsp:val=&quot;00705FF0&quot;/&gt;&lt;wsp:rsid wsp:val=&quot;00706DDA&quot;/&gt;&lt;wsp:rsid wsp:val=&quot;00706FFC&quot;/&gt;&lt;wsp:rsid wsp:val=&quot;007070B4&quot;/&gt;&lt;wsp:rsid wsp:val=&quot;0070743D&quot;/&gt;&lt;wsp:rsid wsp:val=&quot;00707447&quot;/&gt;&lt;wsp:rsid wsp:val=&quot;00710267&quot;/&gt;&lt;wsp:rsid wsp:val=&quot;00710960&quot;/&gt;&lt;wsp:rsid wsp:val=&quot;00710B50&quot;/&gt;&lt;wsp:rsid wsp:val=&quot;00710CD9&quot;/&gt;&lt;wsp:rsid wsp:val=&quot;00711DB7&quot;/&gt;&lt;wsp:rsid wsp:val=&quot;00711ED3&quot;/&gt;&lt;wsp:rsid wsp:val=&quot;00711F0C&quot;/&gt;&lt;wsp:rsid wsp:val=&quot;007120F7&quot;/&gt;&lt;wsp:rsid wsp:val=&quot;00712140&quot;/&gt;&lt;wsp:rsid wsp:val=&quot;0071220F&quot;/&gt;&lt;wsp:rsid wsp:val=&quot;0071298C&quot;/&gt;&lt;wsp:rsid wsp:val=&quot;007129DA&quot;/&gt;&lt;wsp:rsid wsp:val=&quot;00713696&quot;/&gt;&lt;wsp:rsid wsp:val=&quot;00713F80&quot;/&gt;&lt;wsp:rsid wsp:val=&quot;00713FE7&quot;/&gt;&lt;wsp:rsid wsp:val=&quot;007141C7&quot;/&gt;&lt;wsp:rsid wsp:val=&quot;00714365&quot;/&gt;&lt;wsp:rsid wsp:val=&quot;0071464E&quot;/&gt;&lt;wsp:rsid wsp:val=&quot;00714B35&quot;/&gt;&lt;wsp:rsid wsp:val=&quot;00714C87&quot;/&gt;&lt;wsp:rsid wsp:val=&quot;00714CC7&quot;/&gt;&lt;wsp:rsid wsp:val=&quot;00715407&quot;/&gt;&lt;wsp:rsid wsp:val=&quot;007156C6&quot;/&gt;&lt;wsp:rsid wsp:val=&quot;00715C64&quot;/&gt;&lt;wsp:rsid wsp:val=&quot;0071628B&quot;/&gt;&lt;wsp:rsid wsp:val=&quot;007166FF&quot;/&gt;&lt;wsp:rsid wsp:val=&quot;00716AAC&quot;/&gt;&lt;wsp:rsid wsp:val=&quot;00716C8C&quot;/&gt;&lt;wsp:rsid wsp:val=&quot;00716FB8&quot;/&gt;&lt;wsp:rsid wsp:val=&quot;007170AA&quot;/&gt;&lt;wsp:rsid wsp:val=&quot;00717890&quot;/&gt;&lt;wsp:rsid wsp:val=&quot;00717D9D&quot;/&gt;&lt;wsp:rsid wsp:val=&quot;00717EBD&quot;/&gt;&lt;wsp:rsid wsp:val=&quot;0072007F&quot;/&gt;&lt;wsp:rsid wsp:val=&quot;00720B98&quot;/&gt;&lt;wsp:rsid wsp:val=&quot;00720CF7&quot;/&gt;&lt;wsp:rsid wsp:val=&quot;00720E29&quot;/&gt;&lt;wsp:rsid wsp:val=&quot;00720FFB&quot;/&gt;&lt;wsp:rsid wsp:val=&quot;00721316&quot;/&gt;&lt;wsp:rsid wsp:val=&quot;007215E6&quot;/&gt;&lt;wsp:rsid wsp:val=&quot;00721838&quot;/&gt;&lt;wsp:rsid wsp:val=&quot;007219BD&quot;/&gt;&lt;wsp:rsid wsp:val=&quot;00722943&quot;/&gt;&lt;wsp:rsid wsp:val=&quot;00722A9B&quot;/&gt;&lt;wsp:rsid wsp:val=&quot;00722DA2&quot;/&gt;&lt;wsp:rsid wsp:val=&quot;007237FC&quot;/&gt;&lt;wsp:rsid wsp:val=&quot;007239E5&quot;/&gt;&lt;wsp:rsid wsp:val=&quot;00723F65&quot;/&gt;&lt;wsp:rsid wsp:val=&quot;007242E3&quot;/&gt;&lt;wsp:rsid wsp:val=&quot;00724492&quot;/&gt;&lt;wsp:rsid wsp:val=&quot;00724C67&quot;/&gt;&lt;wsp:rsid wsp:val=&quot;00724C99&quot;/&gt;&lt;wsp:rsid wsp:val=&quot;00724D89&quot;/&gt;&lt;wsp:rsid wsp:val=&quot;007253AC&quot;/&gt;&lt;wsp:rsid wsp:val=&quot;007258E3&quot;/&gt;&lt;wsp:rsid wsp:val=&quot;00725C9E&quot;/&gt;&lt;wsp:rsid wsp:val=&quot;00725E3A&quot;/&gt;&lt;wsp:rsid wsp:val=&quot;00725F19&quot;/&gt;&lt;wsp:rsid wsp:val=&quot;007266AD&quot;/&gt;&lt;wsp:rsid wsp:val=&quot;00726C07&quot;/&gt;&lt;wsp:rsid wsp:val=&quot;00727109&quot;/&gt;&lt;wsp:rsid wsp:val=&quot;00727B4B&quot;/&gt;&lt;wsp:rsid wsp:val=&quot;00727DD0&quot;/&gt;&lt;wsp:rsid wsp:val=&quot;00727E4E&quot;/&gt;&lt;wsp:rsid wsp:val=&quot;0073013A&quot;/&gt;&lt;wsp:rsid wsp:val=&quot;00730AC2&quot;/&gt;&lt;wsp:rsid wsp:val=&quot;00730D04&quot;/&gt;&lt;wsp:rsid wsp:val=&quot;00731275&quot;/&gt;&lt;wsp:rsid wsp:val=&quot;0073150D&quot;/&gt;&lt;wsp:rsid wsp:val=&quot;007315F4&quot;/&gt;&lt;wsp:rsid wsp:val=&quot;0073251D&quot;/&gt;&lt;wsp:rsid wsp:val=&quot;00732641&quot;/&gt;&lt;wsp:rsid wsp:val=&quot;00733248&quot;/&gt;&lt;wsp:rsid wsp:val=&quot;007348A8&quot;/&gt;&lt;wsp:rsid wsp:val=&quot;0073516D&quot;/&gt;&lt;wsp:rsid wsp:val=&quot;007355FE&quot;/&gt;&lt;wsp:rsid wsp:val=&quot;007359A5&quot;/&gt;&lt;wsp:rsid wsp:val=&quot;00735B51&quot;/&gt;&lt;wsp:rsid wsp:val=&quot;00735E11&quot;/&gt;&lt;wsp:rsid wsp:val=&quot;00736CBF&quot;/&gt;&lt;wsp:rsid wsp:val=&quot;007372D0&quot;/&gt;&lt;wsp:rsid wsp:val=&quot;007374C9&quot;/&gt;&lt;wsp:rsid wsp:val=&quot;007374E8&quot;/&gt;&lt;wsp:rsid wsp:val=&quot;0073758C&quot;/&gt;&lt;wsp:rsid wsp:val=&quot;00737651&quot;/&gt;&lt;wsp:rsid wsp:val=&quot;00737671&quot;/&gt;&lt;wsp:rsid wsp:val=&quot;00737773&quot;/&gt;&lt;wsp:rsid wsp:val=&quot;00737F6F&quot;/&gt;&lt;wsp:rsid wsp:val=&quot;0074047E&quot;/&gt;&lt;wsp:rsid wsp:val=&quot;0074076C&quot;/&gt;&lt;wsp:rsid wsp:val=&quot;0074097B&quot;/&gt;&lt;wsp:rsid wsp:val=&quot;007416E8&quot;/&gt;&lt;wsp:rsid wsp:val=&quot;00741953&quot;/&gt;&lt;wsp:rsid wsp:val=&quot;007424B6&quot;/&gt;&lt;wsp:rsid wsp:val=&quot;0074293E&quot;/&gt;&lt;wsp:rsid wsp:val=&quot;00742ADA&quot;/&gt;&lt;wsp:rsid wsp:val=&quot;00742FC7&quot;/&gt;&lt;wsp:rsid wsp:val=&quot;007443B2&quot;/&gt;&lt;wsp:rsid wsp:val=&quot;00744696&quot;/&gt;&lt;wsp:rsid wsp:val=&quot;007446EA&quot;/&gt;&lt;wsp:rsid wsp:val=&quot;0074503F&quot;/&gt;&lt;wsp:rsid wsp:val=&quot;00745041&quot;/&gt;&lt;wsp:rsid wsp:val=&quot;00745719&quot;/&gt;&lt;wsp:rsid wsp:val=&quot;007459E5&quot;/&gt;&lt;wsp:rsid wsp:val=&quot;00745AE5&quot;/&gt;&lt;wsp:rsid wsp:val=&quot;00745CCE&quot;/&gt;&lt;wsp:rsid wsp:val=&quot;00746574&quot;/&gt;&lt;wsp:rsid wsp:val=&quot;00746F69&quot;/&gt;&lt;wsp:rsid wsp:val=&quot;0074732D&quot;/&gt;&lt;wsp:rsid wsp:val=&quot;00747566&quot;/&gt;&lt;wsp:rsid wsp:val=&quot;0074780C&quot;/&gt;&lt;wsp:rsid wsp:val=&quot;00747910&quot;/&gt;&lt;wsp:rsid wsp:val=&quot;00747AC0&quot;/&gt;&lt;wsp:rsid wsp:val=&quot;00747F25&quot;/&gt;&lt;wsp:rsid wsp:val=&quot;00750335&quot;/&gt;&lt;wsp:rsid wsp:val=&quot;007503C6&quot;/&gt;&lt;wsp:rsid wsp:val=&quot;007509E0&quot;/&gt;&lt;wsp:rsid wsp:val=&quot;00751016&quot;/&gt;&lt;wsp:rsid wsp:val=&quot;007510B1&quot;/&gt;&lt;wsp:rsid wsp:val=&quot;0075149A&quot;/&gt;&lt;wsp:rsid wsp:val=&quot;00751A17&quot;/&gt;&lt;wsp:rsid wsp:val=&quot;00751DF6&quot;/&gt;&lt;wsp:rsid wsp:val=&quot;0075230F&quot;/&gt;&lt;wsp:rsid wsp:val=&quot;0075261B&quot;/&gt;&lt;wsp:rsid wsp:val=&quot;00753233&quot;/&gt;&lt;wsp:rsid wsp:val=&quot;007535BA&quot;/&gt;&lt;wsp:rsid wsp:val=&quot;00753B78&quot;/&gt;&lt;wsp:rsid wsp:val=&quot;00754014&quot;/&gt;&lt;wsp:rsid wsp:val=&quot;007542E0&quot;/&gt;&lt;wsp:rsid wsp:val=&quot;007547AB&quot;/&gt;&lt;wsp:rsid wsp:val=&quot;007548EA&quot;/&gt;&lt;wsp:rsid wsp:val=&quot;00754F31&quot;/&gt;&lt;wsp:rsid wsp:val=&quot;00755248&quot;/&gt;&lt;wsp:rsid wsp:val=&quot;00755480&quot;/&gt;&lt;wsp:rsid wsp:val=&quot;00755892&quot;/&gt;&lt;wsp:rsid wsp:val=&quot;00755901&quot;/&gt;&lt;wsp:rsid wsp:val=&quot;00756164&quot;/&gt;&lt;wsp:rsid wsp:val=&quot;00756541&quot;/&gt;&lt;wsp:rsid wsp:val=&quot;0075732A&quot;/&gt;&lt;wsp:rsid wsp:val=&quot;007576F7&quot;/&gt;&lt;wsp:rsid wsp:val=&quot;0075772E&quot;/&gt;&lt;wsp:rsid wsp:val=&quot;007577B9&quot;/&gt;&lt;wsp:rsid wsp:val=&quot;00757ECF&quot;/&gt;&lt;wsp:rsid wsp:val=&quot;007605BF&quot;/&gt;&lt;wsp:rsid wsp:val=&quot;00760A42&quot;/&gt;&lt;wsp:rsid wsp:val=&quot;00760B69&quot;/&gt;&lt;wsp:rsid wsp:val=&quot;00762076&quot;/&gt;&lt;wsp:rsid wsp:val=&quot;0076216C&quot;/&gt;&lt;wsp:rsid wsp:val=&quot;0076299F&quot;/&gt;&lt;wsp:rsid wsp:val=&quot;00762B7D&quot;/&gt;&lt;wsp:rsid wsp:val=&quot;00762DBA&quot;/&gt;&lt;wsp:rsid wsp:val=&quot;00762E9B&quot;/&gt;&lt;wsp:rsid wsp:val=&quot;00762F93&quot;/&gt;&lt;wsp:rsid wsp:val=&quot;00763AE0&quot;/&gt;&lt;wsp:rsid wsp:val=&quot;00763AEE&quot;/&gt;&lt;wsp:rsid wsp:val=&quot;00764541&quot;/&gt;&lt;wsp:rsid wsp:val=&quot;00764629&quot;/&gt;&lt;wsp:rsid wsp:val=&quot;007646EF&quot;/&gt;&lt;wsp:rsid wsp:val=&quot;0076495D&quot;/&gt;&lt;wsp:rsid wsp:val=&quot;00764C1E&quot;/&gt;&lt;wsp:rsid wsp:val=&quot;00764CBB&quot;/&gt;&lt;wsp:rsid wsp:val=&quot;00764F9E&quot;/&gt;&lt;wsp:rsid wsp:val=&quot;0076505A&quot;/&gt;&lt;wsp:rsid wsp:val=&quot;0076592B&quot;/&gt;&lt;wsp:rsid wsp:val=&quot;00765C17&quot;/&gt;&lt;wsp:rsid wsp:val=&quot;00765CF9&quot;/&gt;&lt;wsp:rsid wsp:val=&quot;00765FD7&quot;/&gt;&lt;wsp:rsid wsp:val=&quot;00766504&quot;/&gt;&lt;wsp:rsid wsp:val=&quot;00766A32&quot;/&gt;&lt;wsp:rsid wsp:val=&quot;00766CE7&quot;/&gt;&lt;wsp:rsid wsp:val=&quot;00767256&quot;/&gt;&lt;wsp:rsid wsp:val=&quot;00767A58&quot;/&gt;&lt;wsp:rsid wsp:val=&quot;00770198&quot;/&gt;&lt;wsp:rsid wsp:val=&quot;00770326&quot;/&gt;&lt;wsp:rsid wsp:val=&quot;007705F7&quot;/&gt;&lt;wsp:rsid wsp:val=&quot;007709E3&quot;/&gt;&lt;wsp:rsid wsp:val=&quot;00770A08&quot;/&gt;&lt;wsp:rsid wsp:val=&quot;00770A29&quot;/&gt;&lt;wsp:rsid wsp:val=&quot;00770ABA&quot;/&gt;&lt;wsp:rsid wsp:val=&quot;00770B9F&quot;/&gt;&lt;wsp:rsid wsp:val=&quot;007712B2&quot;/&gt;&lt;wsp:rsid wsp:val=&quot;00771431&quot;/&gt;&lt;wsp:rsid wsp:val=&quot;00771877&quot;/&gt;&lt;wsp:rsid wsp:val=&quot;00771A1F&quot;/&gt;&lt;wsp:rsid wsp:val=&quot;00771A7A&quot;/&gt;&lt;wsp:rsid wsp:val=&quot;00773111&quot;/&gt;&lt;wsp:rsid wsp:val=&quot;00773219&quot;/&gt;&lt;wsp:rsid wsp:val=&quot;0077350E&quot;/&gt;&lt;wsp:rsid wsp:val=&quot;00773851&quot;/&gt;&lt;wsp:rsid wsp:val=&quot;007738DB&quot;/&gt;&lt;wsp:rsid wsp:val=&quot;00773BBF&quot;/&gt;&lt;wsp:rsid wsp:val=&quot;00773EB7&quot;/&gt;&lt;wsp:rsid wsp:val=&quot;00773F2C&quot;/&gt;&lt;wsp:rsid wsp:val=&quot;00774471&quot;/&gt;&lt;wsp:rsid wsp:val=&quot;0077497F&quot;/&gt;&lt;wsp:rsid wsp:val=&quot;00775616&quot;/&gt;&lt;wsp:rsid wsp:val=&quot;00775A93&quot;/&gt;&lt;wsp:rsid wsp:val=&quot;007763CC&quot;/&gt;&lt;wsp:rsid wsp:val=&quot;00776404&quot;/&gt;&lt;wsp:rsid wsp:val=&quot;00776407&quot;/&gt;&lt;wsp:rsid wsp:val=&quot;00776409&quot;/&gt;&lt;wsp:rsid wsp:val=&quot;00776E14&quot;/&gt;&lt;wsp:rsid wsp:val=&quot;007802FB&quot;/&gt;&lt;wsp:rsid wsp:val=&quot;007805EA&quot;/&gt;&lt;wsp:rsid wsp:val=&quot;00780726&quot;/&gt;&lt;wsp:rsid wsp:val=&quot;00780A8F&quot;/&gt;&lt;wsp:rsid wsp:val=&quot;00781370&quot;/&gt;&lt;wsp:rsid wsp:val=&quot;007814E8&quot;/&gt;&lt;wsp:rsid wsp:val=&quot;007815B3&quot;/&gt;&lt;wsp:rsid wsp:val=&quot;0078239D&quot;/&gt;&lt;wsp:rsid wsp:val=&quot;0078250A&quot;/&gt;&lt;wsp:rsid wsp:val=&quot;00782A94&quot;/&gt;&lt;wsp:rsid wsp:val=&quot;00782EAD&quot;/&gt;&lt;wsp:rsid wsp:val=&quot;0078316A&quot;/&gt;&lt;wsp:rsid wsp:val=&quot;00783693&quot;/&gt;&lt;wsp:rsid wsp:val=&quot;007836A4&quot;/&gt;&lt;wsp:rsid wsp:val=&quot;00783824&quot;/&gt;&lt;wsp:rsid wsp:val=&quot;00783AD9&quot;/&gt;&lt;wsp:rsid wsp:val=&quot;00783F96&quot;/&gt;&lt;wsp:rsid wsp:val=&quot;0078409F&quot;/&gt;&lt;wsp:rsid wsp:val=&quot;00784144&quot;/&gt;&lt;wsp:rsid wsp:val=&quot;00784361&quot;/&gt;&lt;wsp:rsid wsp:val=&quot;007843FC&quot;/&gt;&lt;wsp:rsid wsp:val=&quot;00784DBF&quot;/&gt;&lt;wsp:rsid wsp:val=&quot;00784ECA&quot;/&gt;&lt;wsp:rsid wsp:val=&quot;007854F0&quot;/&gt;&lt;wsp:rsid wsp:val=&quot;007856F0&quot;/&gt;&lt;wsp:rsid wsp:val=&quot;00785CD6&quot;/&gt;&lt;wsp:rsid wsp:val=&quot;00786CB3&quot;/&gt;&lt;wsp:rsid wsp:val=&quot;00787284&quot;/&gt;&lt;wsp:rsid wsp:val=&quot;00787299&quot;/&gt;&lt;wsp:rsid wsp:val=&quot;00787391&quot;/&gt;&lt;wsp:rsid wsp:val=&quot;00787588&quot;/&gt;&lt;wsp:rsid wsp:val=&quot;00787761&quot;/&gt;&lt;wsp:rsid wsp:val=&quot;00787AE8&quot;/&gt;&lt;wsp:rsid wsp:val=&quot;00787E70&quot;/&gt;&lt;wsp:rsid wsp:val=&quot;00787FFA&quot;/&gt;&lt;wsp:rsid wsp:val=&quot;007905C0&quot;/&gt;&lt;wsp:rsid wsp:val=&quot;007906E9&quot;/&gt;&lt;wsp:rsid wsp:val=&quot;0079074F&quot;/&gt;&lt;wsp:rsid wsp:val=&quot;0079098A&quot;/&gt;&lt;wsp:rsid wsp:val=&quot;0079196A&quot;/&gt;&lt;wsp:rsid wsp:val=&quot;00791A8E&quot;/&gt;&lt;wsp:rsid wsp:val=&quot;00791F0C&quot;/&gt;&lt;wsp:rsid wsp:val=&quot;007922BC&quot;/&gt;&lt;wsp:rsid wsp:val=&quot;00792948&quot;/&gt;&lt;wsp:rsid wsp:val=&quot;00793033&quot;/&gt;&lt;wsp:rsid wsp:val=&quot;00793603&quot;/&gt;&lt;wsp:rsid wsp:val=&quot;00793EAE&quot;/&gt;&lt;wsp:rsid wsp:val=&quot;00793F0E&quot;/&gt;&lt;wsp:rsid wsp:val=&quot;00793FFF&quot;/&gt;&lt;wsp:rsid wsp:val=&quot;00794205&quot;/&gt;&lt;wsp:rsid wsp:val=&quot;0079479C&quot;/&gt;&lt;wsp:rsid wsp:val=&quot;00794A0E&quot;/&gt;&lt;wsp:rsid wsp:val=&quot;00794A14&quot;/&gt;&lt;wsp:rsid wsp:val=&quot;00794D8C&quot;/&gt;&lt;wsp:rsid wsp:val=&quot;0079539C&quot;/&gt;&lt;wsp:rsid wsp:val=&quot;00795682&quot;/&gt;&lt;wsp:rsid wsp:val=&quot;00795BF3&quot;/&gt;&lt;wsp:rsid wsp:val=&quot;00795E74&quot;/&gt;&lt;wsp:rsid wsp:val=&quot;0079670E&quot;/&gt;&lt;wsp:rsid wsp:val=&quot;00796880&quot;/&gt;&lt;wsp:rsid wsp:val=&quot;007977DC&quot;/&gt;&lt;wsp:rsid wsp:val=&quot;00797931&quot;/&gt;&lt;wsp:rsid wsp:val=&quot;007A1746&quot;/&gt;&lt;wsp:rsid wsp:val=&quot;007A2966&quot;/&gt;&lt;wsp:rsid wsp:val=&quot;007A2A83&quot;/&gt;&lt;wsp:rsid wsp:val=&quot;007A2A98&quot;/&gt;&lt;wsp:rsid wsp:val=&quot;007A2D2C&quot;/&gt;&lt;wsp:rsid wsp:val=&quot;007A3735&quot;/&gt;&lt;wsp:rsid wsp:val=&quot;007A3910&quot;/&gt;&lt;wsp:rsid wsp:val=&quot;007A41BD&quot;/&gt;&lt;wsp:rsid wsp:val=&quot;007A4323&quot;/&gt;&lt;wsp:rsid wsp:val=&quot;007A5186&quot;/&gt;&lt;wsp:rsid wsp:val=&quot;007A5507&quot;/&gt;&lt;wsp:rsid wsp:val=&quot;007A55C9&quot;/&gt;&lt;wsp:rsid wsp:val=&quot;007A55DE&quot;/&gt;&lt;wsp:rsid wsp:val=&quot;007A5672&quot;/&gt;&lt;wsp:rsid wsp:val=&quot;007A577F&quot;/&gt;&lt;wsp:rsid wsp:val=&quot;007A5A46&quot;/&gt;&lt;wsp:rsid wsp:val=&quot;007A5DF6&quot;/&gt;&lt;wsp:rsid wsp:val=&quot;007A60BF&quot;/&gt;&lt;wsp:rsid wsp:val=&quot;007A617E&quot;/&gt;&lt;wsp:rsid wsp:val=&quot;007A6184&quot;/&gt;&lt;wsp:rsid wsp:val=&quot;007A61BA&quot;/&gt;&lt;wsp:rsid wsp:val=&quot;007A63F1&quot;/&gt;&lt;wsp:rsid wsp:val=&quot;007A6716&quot;/&gt;&lt;wsp:rsid wsp:val=&quot;007A689F&quot;/&gt;&lt;wsp:rsid wsp:val=&quot;007A6F9B&quot;/&gt;&lt;wsp:rsid wsp:val=&quot;007A6FC6&quot;/&gt;&lt;wsp:rsid wsp:val=&quot;007A77E2&quot;/&gt;&lt;wsp:rsid wsp:val=&quot;007A7BC3&quot;/&gt;&lt;wsp:rsid wsp:val=&quot;007B05FD&quot;/&gt;&lt;wsp:rsid wsp:val=&quot;007B0681&quot;/&gt;&lt;wsp:rsid wsp:val=&quot;007B0F26&quot;/&gt;&lt;wsp:rsid wsp:val=&quot;007B0FA2&quot;/&gt;&lt;wsp:rsid wsp:val=&quot;007B12CF&quot;/&gt;&lt;wsp:rsid wsp:val=&quot;007B33BB&quot;/&gt;&lt;wsp:rsid wsp:val=&quot;007B36B0&quot;/&gt;&lt;wsp:rsid wsp:val=&quot;007B4A76&quot;/&gt;&lt;wsp:rsid wsp:val=&quot;007B4C13&quot;/&gt;&lt;wsp:rsid wsp:val=&quot;007B4D2B&quot;/&gt;&lt;wsp:rsid wsp:val=&quot;007B4EE1&quot;/&gt;&lt;wsp:rsid wsp:val=&quot;007B52FE&quot;/&gt;&lt;wsp:rsid wsp:val=&quot;007B5F37&quot;/&gt;&lt;wsp:rsid wsp:val=&quot;007B609A&quot;/&gt;&lt;wsp:rsid wsp:val=&quot;007B60D6&quot;/&gt;&lt;wsp:rsid wsp:val=&quot;007B6136&quot;/&gt;&lt;wsp:rsid wsp:val=&quot;007B64F8&quot;/&gt;&lt;wsp:rsid wsp:val=&quot;007B663E&quot;/&gt;&lt;wsp:rsid wsp:val=&quot;007B6A3E&quot;/&gt;&lt;wsp:rsid wsp:val=&quot;007B6EB3&quot;/&gt;&lt;wsp:rsid wsp:val=&quot;007B6F1C&quot;/&gt;&lt;wsp:rsid wsp:val=&quot;007B7501&quot;/&gt;&lt;wsp:rsid wsp:val=&quot;007B7C07&quot;/&gt;&lt;wsp:rsid wsp:val=&quot;007B7D4F&quot;/&gt;&lt;wsp:rsid wsp:val=&quot;007B7DD3&quot;/&gt;&lt;wsp:rsid wsp:val=&quot;007B7E01&quot;/&gt;&lt;wsp:rsid wsp:val=&quot;007C0412&quot;/&gt;&lt;wsp:rsid wsp:val=&quot;007C08B8&quot;/&gt;&lt;wsp:rsid wsp:val=&quot;007C0BF6&quot;/&gt;&lt;wsp:rsid wsp:val=&quot;007C1292&quot;/&gt;&lt;wsp:rsid wsp:val=&quot;007C16F9&quot;/&gt;&lt;wsp:rsid wsp:val=&quot;007C1B5D&quot;/&gt;&lt;wsp:rsid wsp:val=&quot;007C1C23&quot;/&gt;&lt;wsp:rsid wsp:val=&quot;007C1E05&quot;/&gt;&lt;wsp:rsid wsp:val=&quot;007C24E2&quot;/&gt;&lt;wsp:rsid wsp:val=&quot;007C280B&quot;/&gt;&lt;wsp:rsid wsp:val=&quot;007C32E5&quot;/&gt;&lt;wsp:rsid wsp:val=&quot;007C3392&quot;/&gt;&lt;wsp:rsid wsp:val=&quot;007C4654&quot;/&gt;&lt;wsp:rsid wsp:val=&quot;007C46C8&quot;/&gt;&lt;wsp:rsid wsp:val=&quot;007C47EB&quot;/&gt;&lt;wsp:rsid wsp:val=&quot;007C4D27&quot;/&gt;&lt;wsp:rsid wsp:val=&quot;007C5294&quot;/&gt;&lt;wsp:rsid wsp:val=&quot;007C54F3&quot;/&gt;&lt;wsp:rsid wsp:val=&quot;007C5A5E&quot;/&gt;&lt;wsp:rsid wsp:val=&quot;007C5B90&quot;/&gt;&lt;wsp:rsid wsp:val=&quot;007C5BEA&quot;/&gt;&lt;wsp:rsid wsp:val=&quot;007C608A&quot;/&gt;&lt;wsp:rsid wsp:val=&quot;007C64BA&quot;/&gt;&lt;wsp:rsid wsp:val=&quot;007C64F6&quot;/&gt;&lt;wsp:rsid wsp:val=&quot;007C668A&quot;/&gt;&lt;wsp:rsid wsp:val=&quot;007C6CFE&quot;/&gt;&lt;wsp:rsid wsp:val=&quot;007C6D9E&quot;/&gt;&lt;wsp:rsid wsp:val=&quot;007C6E57&quot;/&gt;&lt;wsp:rsid wsp:val=&quot;007C6EE5&quot;/&gt;&lt;wsp:rsid wsp:val=&quot;007C6FD8&quot;/&gt;&lt;wsp:rsid wsp:val=&quot;007C714F&quot;/&gt;&lt;wsp:rsid wsp:val=&quot;007C7870&quot;/&gt;&lt;wsp:rsid wsp:val=&quot;007C7952&quot;/&gt;&lt;wsp:rsid wsp:val=&quot;007C7B7D&quot;/&gt;&lt;wsp:rsid wsp:val=&quot;007C7B91&quot;/&gt;&lt;wsp:rsid wsp:val=&quot;007D0381&quot;/&gt;&lt;wsp:rsid wsp:val=&quot;007D0A06&quot;/&gt;&lt;wsp:rsid wsp:val=&quot;007D0A28&quot;/&gt;&lt;wsp:rsid wsp:val=&quot;007D0B79&quot;/&gt;&lt;wsp:rsid wsp:val=&quot;007D0D65&quot;/&gt;&lt;wsp:rsid wsp:val=&quot;007D2061&quot;/&gt;&lt;wsp:rsid wsp:val=&quot;007D24E8&quot;/&gt;&lt;wsp:rsid wsp:val=&quot;007D286C&quot;/&gt;&lt;wsp:rsid wsp:val=&quot;007D2C15&quot;/&gt;&lt;wsp:rsid wsp:val=&quot;007D2DD6&quot;/&gt;&lt;wsp:rsid wsp:val=&quot;007D30D4&quot;/&gt;&lt;wsp:rsid wsp:val=&quot;007D36A5&quot;/&gt;&lt;wsp:rsid wsp:val=&quot;007D3B5C&quot;/&gt;&lt;wsp:rsid wsp:val=&quot;007D3EEE&quot;/&gt;&lt;wsp:rsid wsp:val=&quot;007D461C&quot;/&gt;&lt;wsp:rsid wsp:val=&quot;007D4C97&quot;/&gt;&lt;wsp:rsid wsp:val=&quot;007D4EBB&quot;/&gt;&lt;wsp:rsid wsp:val=&quot;007D526C&quot;/&gt;&lt;wsp:rsid wsp:val=&quot;007D5D1B&quot;/&gt;&lt;wsp:rsid wsp:val=&quot;007D6509&quot;/&gt;&lt;wsp:rsid wsp:val=&quot;007D659B&quot;/&gt;&lt;wsp:rsid wsp:val=&quot;007D65A8&quot;/&gt;&lt;wsp:rsid wsp:val=&quot;007D683C&quot;/&gt;&lt;wsp:rsid wsp:val=&quot;007D6A47&quot;/&gt;&lt;wsp:rsid wsp:val=&quot;007D7DE9&quot;/&gt;&lt;wsp:rsid wsp:val=&quot;007D7E64&quot;/&gt;&lt;wsp:rsid wsp:val=&quot;007D7F67&quot;/&gt;&lt;wsp:rsid wsp:val=&quot;007D7FB8&quot;/&gt;&lt;wsp:rsid wsp:val=&quot;007E042F&quot;/&gt;&lt;wsp:rsid wsp:val=&quot;007E0979&quot;/&gt;&lt;wsp:rsid wsp:val=&quot;007E19F2&quot;/&gt;&lt;wsp:rsid wsp:val=&quot;007E1F0E&quot;/&gt;&lt;wsp:rsid wsp:val=&quot;007E20CA&quot;/&gt;&lt;wsp:rsid wsp:val=&quot;007E2274&quot;/&gt;&lt;wsp:rsid wsp:val=&quot;007E24B9&quot;/&gt;&lt;wsp:rsid wsp:val=&quot;007E28D4&quot;/&gt;&lt;wsp:rsid wsp:val=&quot;007E3D2A&quot;/&gt;&lt;wsp:rsid wsp:val=&quot;007E3D4E&quot;/&gt;&lt;wsp:rsid wsp:val=&quot;007E40D8&quot;/&gt;&lt;wsp:rsid wsp:val=&quot;007E411E&quot;/&gt;&lt;wsp:rsid wsp:val=&quot;007E46BC&quot;/&gt;&lt;wsp:rsid wsp:val=&quot;007E4B3E&quot;/&gt;&lt;wsp:rsid wsp:val=&quot;007E557F&quot;/&gt;&lt;wsp:rsid wsp:val=&quot;007E5628&quot;/&gt;&lt;wsp:rsid wsp:val=&quot;007E5C41&quot;/&gt;&lt;wsp:rsid wsp:val=&quot;007E5E56&quot;/&gt;&lt;wsp:rsid wsp:val=&quot;007E612A&quot;/&gt;&lt;wsp:rsid wsp:val=&quot;007E6703&quot;/&gt;&lt;wsp:rsid wsp:val=&quot;007E6C4B&quot;/&gt;&lt;wsp:rsid wsp:val=&quot;007E7033&quot;/&gt;&lt;wsp:rsid wsp:val=&quot;007E78A2&quot;/&gt;&lt;wsp:rsid wsp:val=&quot;007E7B6B&quot;/&gt;&lt;wsp:rsid wsp:val=&quot;007F0D0B&quot;/&gt;&lt;wsp:rsid wsp:val=&quot;007F0D67&quot;/&gt;&lt;wsp:rsid wsp:val=&quot;007F1029&quot;/&gt;&lt;wsp:rsid wsp:val=&quot;007F11C2&quot;/&gt;&lt;wsp:rsid wsp:val=&quot;007F14FA&quot;/&gt;&lt;wsp:rsid wsp:val=&quot;007F15C6&quot;/&gt;&lt;wsp:rsid wsp:val=&quot;007F1D12&quot;/&gt;&lt;wsp:rsid wsp:val=&quot;007F1FD1&quot;/&gt;&lt;wsp:rsid wsp:val=&quot;007F21A6&quot;/&gt;&lt;wsp:rsid wsp:val=&quot;007F29F6&quot;/&gt;&lt;wsp:rsid wsp:val=&quot;007F2B96&quot;/&gt;&lt;wsp:rsid wsp:val=&quot;007F2CF5&quot;/&gt;&lt;wsp:rsid wsp:val=&quot;007F2E84&quot;/&gt;&lt;wsp:rsid wsp:val=&quot;007F3ACE&quot;/&gt;&lt;wsp:rsid wsp:val=&quot;007F4B5F&quot;/&gt;&lt;wsp:rsid wsp:val=&quot;007F4CFD&quot;/&gt;&lt;wsp:rsid wsp:val=&quot;007F5A28&quot;/&gt;&lt;wsp:rsid wsp:val=&quot;007F611D&quot;/&gt;&lt;wsp:rsid wsp:val=&quot;007F650D&quot;/&gt;&lt;wsp:rsid wsp:val=&quot;007F7A17&quot;/&gt;&lt;wsp:rsid wsp:val=&quot;007F7A26&quot;/&gt;&lt;wsp:rsid wsp:val=&quot;00800ED0&quot;/&gt;&lt;wsp:rsid wsp:val=&quot;00801094&quot;/&gt;&lt;wsp:rsid wsp:val=&quot;0080146B&quot;/&gt;&lt;wsp:rsid wsp:val=&quot;00801B5F&quot;/&gt;&lt;wsp:rsid wsp:val=&quot;008020EC&quot;/&gt;&lt;wsp:rsid wsp:val=&quot;00802394&quot;/&gt;&lt;wsp:rsid wsp:val=&quot;00803975&quot;/&gt;&lt;wsp:rsid wsp:val=&quot;00803A0B&quot;/&gt;&lt;wsp:rsid wsp:val=&quot;00804158&quot;/&gt;&lt;wsp:rsid wsp:val=&quot;00804393&quot;/&gt;&lt;wsp:rsid wsp:val=&quot;008047DB&quot;/&gt;&lt;wsp:rsid wsp:val=&quot;00804CA1&quot;/&gt;&lt;wsp:rsid wsp:val=&quot;00805042&quot;/&gt;&lt;wsp:rsid wsp:val=&quot;0080515E&quot;/&gt;&lt;wsp:rsid wsp:val=&quot;00805268&quot;/&gt;&lt;wsp:rsid wsp:val=&quot;00805F65&quot;/&gt;&lt;wsp:rsid wsp:val=&quot;0080626E&quot;/&gt;&lt;wsp:rsid wsp:val=&quot;008062AA&quot;/&gt;&lt;wsp:rsid wsp:val=&quot;00806FE0&quot;/&gt;&lt;wsp:rsid wsp:val=&quot;00807176&quot;/&gt;&lt;wsp:rsid wsp:val=&quot;008077BA&quot;/&gt;&lt;wsp:rsid wsp:val=&quot;008078E6&quot;/&gt;&lt;wsp:rsid wsp:val=&quot;00807C6D&quot;/&gt;&lt;wsp:rsid wsp:val=&quot;00807FE8&quot;/&gt;&lt;wsp:rsid wsp:val=&quot;0081000D&quot;/&gt;&lt;wsp:rsid wsp:val=&quot;00810211&quot;/&gt;&lt;wsp:rsid wsp:val=&quot;008102D9&quot;/&gt;&lt;wsp:rsid wsp:val=&quot;00810437&quot;/&gt;&lt;wsp:rsid wsp:val=&quot;00810A75&quot;/&gt;&lt;wsp:rsid wsp:val=&quot;00810CE0&quot;/&gt;&lt;wsp:rsid wsp:val=&quot;008112F4&quot;/&gt;&lt;wsp:rsid wsp:val=&quot;00811505&quot;/&gt;&lt;wsp:rsid wsp:val=&quot;0081154D&quot;/&gt;&lt;wsp:rsid wsp:val=&quot;0081156E&quot;/&gt;&lt;wsp:rsid wsp:val=&quot;00811BB3&quot;/&gt;&lt;wsp:rsid wsp:val=&quot;00811D66&quot;/&gt;&lt;wsp:rsid wsp:val=&quot;00812431&quot;/&gt;&lt;wsp:rsid wsp:val=&quot;00812E0E&quot;/&gt;&lt;wsp:rsid wsp:val=&quot;008130E1&quot;/&gt;&lt;wsp:rsid wsp:val=&quot;00813455&quot;/&gt;&lt;wsp:rsid wsp:val=&quot;00813A2D&quot;/&gt;&lt;wsp:rsid wsp:val=&quot;00813FE4&quot;/&gt;&lt;wsp:rsid wsp:val=&quot;00815082&quot;/&gt;&lt;wsp:rsid wsp:val=&quot;00816077&quot;/&gt;&lt;wsp:rsid wsp:val=&quot;0081614B&quot;/&gt;&lt;wsp:rsid wsp:val=&quot;008161CE&quot;/&gt;&lt;wsp:rsid wsp:val=&quot;008164FA&quot;/&gt;&lt;wsp:rsid wsp:val=&quot;008165F2&quot;/&gt;&lt;wsp:rsid wsp:val=&quot;00817293&quot;/&gt;&lt;wsp:rsid wsp:val=&quot;0081773A&quot;/&gt;&lt;wsp:rsid wsp:val=&quot;00817910&quot;/&gt;&lt;wsp:rsid wsp:val=&quot;00817D54&quot;/&gt;&lt;wsp:rsid wsp:val=&quot;00820487&quot;/&gt;&lt;wsp:rsid wsp:val=&quot;00820C7B&quot;/&gt;&lt;wsp:rsid wsp:val=&quot;00820E0C&quot;/&gt;&lt;wsp:rsid wsp:val=&quot;00820E6E&quot;/&gt;&lt;wsp:rsid wsp:val=&quot;00821652&quot;/&gt;&lt;wsp:rsid wsp:val=&quot;008217E9&quot;/&gt;&lt;wsp:rsid wsp:val=&quot;0082189F&quot;/&gt;&lt;wsp:rsid wsp:val=&quot;008224E5&quot;/&gt;&lt;wsp:rsid wsp:val=&quot;00822E5E&quot;/&gt;&lt;wsp:rsid wsp:val=&quot;00823D28&quot;/&gt;&lt;wsp:rsid wsp:val=&quot;00824597&quot;/&gt;&lt;wsp:rsid wsp:val=&quot;008245D7&quot;/&gt;&lt;wsp:rsid wsp:val=&quot;00824B99&quot;/&gt;&lt;wsp:rsid wsp:val=&quot;00824D96&quot;/&gt;&lt;wsp:rsid wsp:val=&quot;0082580A&quot;/&gt;&lt;wsp:rsid wsp:val=&quot;00825837&quot;/&gt;&lt;wsp:rsid wsp:val=&quot;00825ABA&quot;/&gt;&lt;wsp:rsid wsp:val=&quot;00825B13&quot;/&gt;&lt;wsp:rsid wsp:val=&quot;00826305&quot;/&gt;&lt;wsp:rsid wsp:val=&quot;0082685F&quot;/&gt;&lt;wsp:rsid wsp:val=&quot;0082721E&quot;/&gt;&lt;wsp:rsid wsp:val=&quot;008273A5&quot;/&gt;&lt;wsp:rsid wsp:val=&quot;00827C10&quot;/&gt;&lt;wsp:rsid wsp:val=&quot;0083013C&quot;/&gt;&lt;wsp:rsid wsp:val=&quot;008302CC&quot;/&gt;&lt;wsp:rsid wsp:val=&quot;0083087D&quot;/&gt;&lt;wsp:rsid wsp:val=&quot;00830D57&quot;/&gt;&lt;wsp:rsid wsp:val=&quot;00830F6A&quot;/&gt;&lt;wsp:rsid wsp:val=&quot;00831CD5&quot;/&gt;&lt;wsp:rsid wsp:val=&quot;00831DF8&quot;/&gt;&lt;wsp:rsid wsp:val=&quot;008320A3&quot;/&gt;&lt;wsp:rsid wsp:val=&quot;0083277B&quot;/&gt;&lt;wsp:rsid wsp:val=&quot;0083283B&quot;/&gt;&lt;wsp:rsid wsp:val=&quot;008331FC&quot;/&gt;&lt;wsp:rsid wsp:val=&quot;0083336C&quot;/&gt;&lt;wsp:rsid wsp:val=&quot;008334E2&quot;/&gt;&lt;wsp:rsid wsp:val=&quot;00833A89&quot;/&gt;&lt;wsp:rsid wsp:val=&quot;008340FF&quot;/&gt;&lt;wsp:rsid wsp:val=&quot;00834518&quot;/&gt;&lt;wsp:rsid wsp:val=&quot;0083459E&quot;/&gt;&lt;wsp:rsid wsp:val=&quot;00834654&quot;/&gt;&lt;wsp:rsid wsp:val=&quot;00834B6B&quot;/&gt;&lt;wsp:rsid wsp:val=&quot;00834D57&quot;/&gt;&lt;wsp:rsid wsp:val=&quot;0083518C&quot;/&gt;&lt;wsp:rsid wsp:val=&quot;008351C2&quot;/&gt;&lt;wsp:rsid wsp:val=&quot;00835402&quot;/&gt;&lt;wsp:rsid wsp:val=&quot;00835465&quot;/&gt;&lt;wsp:rsid wsp:val=&quot;0083556E&quot;/&gt;&lt;wsp:rsid wsp:val=&quot;008357B6&quot;/&gt;&lt;wsp:rsid wsp:val=&quot;00836333&quot;/&gt;&lt;wsp:rsid wsp:val=&quot;0083636F&quot;/&gt;&lt;wsp:rsid wsp:val=&quot;008364DB&quot;/&gt;&lt;wsp:rsid wsp:val=&quot;00836890&quot;/&gt;&lt;wsp:rsid wsp:val=&quot;008368D3&quot;/&gt;&lt;wsp:rsid wsp:val=&quot;00836D3F&quot;/&gt;&lt;wsp:rsid wsp:val=&quot;00836E4C&quot;/&gt;&lt;wsp:rsid wsp:val=&quot;00837195&quot;/&gt;&lt;wsp:rsid wsp:val=&quot;008372DB&quot;/&gt;&lt;wsp:rsid wsp:val=&quot;008376E2&quot;/&gt;&lt;wsp:rsid wsp:val=&quot;00837CAA&quot;/&gt;&lt;wsp:rsid wsp:val=&quot;00837D52&quot;/&gt;&lt;wsp:rsid wsp:val=&quot;00837E52&quot;/&gt;&lt;wsp:rsid wsp:val=&quot;008400DF&quot;/&gt;&lt;wsp:rsid wsp:val=&quot;00840289&quot;/&gt;&lt;wsp:rsid wsp:val=&quot;00840E66&quot;/&gt;&lt;wsp:rsid wsp:val=&quot;0084222F&quot;/&gt;&lt;wsp:rsid wsp:val=&quot;00842887&quot;/&gt;&lt;wsp:rsid wsp:val=&quot;00842C09&quot;/&gt;&lt;wsp:rsid wsp:val=&quot;00842D37&quot;/&gt;&lt;wsp:rsid wsp:val=&quot;00843567&quot;/&gt;&lt;wsp:rsid wsp:val=&quot;00843A27&quot;/&gt;&lt;wsp:rsid wsp:val=&quot;00843F07&quot;/&gt;&lt;wsp:rsid wsp:val=&quot;00843F99&quot;/&gt;&lt;wsp:rsid wsp:val=&quot;0084442A&quot;/&gt;&lt;wsp:rsid wsp:val=&quot;00844D21&quot;/&gt;&lt;wsp:rsid wsp:val=&quot;0084503A&quot;/&gt;&lt;wsp:rsid wsp:val=&quot;008450B4&quot;/&gt;&lt;wsp:rsid wsp:val=&quot;008453E0&quot;/&gt;&lt;wsp:rsid wsp:val=&quot;008455DC&quot;/&gt;&lt;wsp:rsid wsp:val=&quot;00845E12&quot;/&gt;&lt;wsp:rsid wsp:val=&quot;00846256&quot;/&gt;&lt;wsp:rsid wsp:val=&quot;00846354&quot;/&gt;&lt;wsp:rsid wsp:val=&quot;0084657F&quot;/&gt;&lt;wsp:rsid wsp:val=&quot;0084799C&quot;/&gt;&lt;wsp:rsid wsp:val=&quot;00847D7F&quot;/&gt;&lt;wsp:rsid wsp:val=&quot;00847E56&quot;/&gt;&lt;wsp:rsid wsp:val=&quot;008504E0&quot;/&gt;&lt;wsp:rsid wsp:val=&quot;00850E46&quot;/&gt;&lt;wsp:rsid wsp:val=&quot;00850EF9&quot;/&gt;&lt;wsp:rsid wsp:val=&quot;008514CA&quot;/&gt;&lt;wsp:rsid wsp:val=&quot;00851509&quot;/&gt;&lt;wsp:rsid wsp:val=&quot;008521B9&quot;/&gt;&lt;wsp:rsid wsp:val=&quot;00852EED&quot;/&gt;&lt;wsp:rsid wsp:val=&quot;00853877&quot;/&gt;&lt;wsp:rsid wsp:val=&quot;00853CB9&quot;/&gt;&lt;wsp:rsid wsp:val=&quot;00853D57&quot;/&gt;&lt;wsp:rsid wsp:val=&quot;00854BE7&quot;/&gt;&lt;wsp:rsid wsp:val=&quot;00856740&quot;/&gt;&lt;wsp:rsid wsp:val=&quot;008570BF&quot;/&gt;&lt;wsp:rsid wsp:val=&quot;00857A94&quot;/&gt;&lt;wsp:rsid wsp:val=&quot;00857E3F&quot;/&gt;&lt;wsp:rsid wsp:val=&quot;00857EEA&quot;/&gt;&lt;wsp:rsid wsp:val=&quot;008600D3&quot;/&gt;&lt;wsp:rsid wsp:val=&quot;00860C28&quot;/&gt;&lt;wsp:rsid wsp:val=&quot;00862375&quot;/&gt;&lt;wsp:rsid wsp:val=&quot;0086248F&quot;/&gt;&lt;wsp:rsid wsp:val=&quot;0086255C&quot;/&gt;&lt;wsp:rsid wsp:val=&quot;00862604&quot;/&gt;&lt;wsp:rsid wsp:val=&quot;00862B84&quot;/&gt;&lt;wsp:rsid wsp:val=&quot;00862C97&quot;/&gt;&lt;wsp:rsid wsp:val=&quot;008632A6&quot;/&gt;&lt;wsp:rsid wsp:val=&quot;00863404&quot;/&gt;&lt;wsp:rsid wsp:val=&quot;00863FCD&quot;/&gt;&lt;wsp:rsid wsp:val=&quot;00864C77&quot;/&gt;&lt;wsp:rsid wsp:val=&quot;0086563E&quot;/&gt;&lt;wsp:rsid wsp:val=&quot;00865B9E&quot;/&gt;&lt;wsp:rsid wsp:val=&quot;008660DB&quot;/&gt;&lt;wsp:rsid wsp:val=&quot;00866103&quot;/&gt;&lt;wsp:rsid wsp:val=&quot;00866676&quot;/&gt;&lt;wsp:rsid wsp:val=&quot;008670EF&quot;/&gt;&lt;wsp:rsid wsp:val=&quot;00867146&quot;/&gt;&lt;wsp:rsid wsp:val=&quot;0087027A&quot;/&gt;&lt;wsp:rsid wsp:val=&quot;00870301&quot;/&gt;&lt;wsp:rsid wsp:val=&quot;008703EB&quot;/&gt;&lt;wsp:rsid wsp:val=&quot;008703EC&quot;/&gt;&lt;wsp:rsid wsp:val=&quot;0087049B&quot;/&gt;&lt;wsp:rsid wsp:val=&quot;0087050A&quot;/&gt;&lt;wsp:rsid wsp:val=&quot;00870A62&quot;/&gt;&lt;wsp:rsid wsp:val=&quot;00870B5C&quot;/&gt;&lt;wsp:rsid wsp:val=&quot;00871037&quot;/&gt;&lt;wsp:rsid wsp:val=&quot;008713A5&quot;/&gt;&lt;wsp:rsid wsp:val=&quot;0087147B&quot;/&gt;&lt;wsp:rsid wsp:val=&quot;008719F3&quot;/&gt;&lt;wsp:rsid wsp:val=&quot;00871B45&quot;/&gt;&lt;wsp:rsid wsp:val=&quot;00871B83&quot;/&gt;&lt;wsp:rsid wsp:val=&quot;00871E76&quot;/&gt;&lt;wsp:rsid wsp:val=&quot;00872B3C&quot;/&gt;&lt;wsp:rsid wsp:val=&quot;00872EEB&quot;/&gt;&lt;wsp:rsid wsp:val=&quot;00872F07&quot;/&gt;&lt;wsp:rsid wsp:val=&quot;0087331B&quot;/&gt;&lt;wsp:rsid wsp:val=&quot;008737A8&quot;/&gt;&lt;wsp:rsid wsp:val=&quot;008737D5&quot;/&gt;&lt;wsp:rsid wsp:val=&quot;00873B80&quot;/&gt;&lt;wsp:rsid wsp:val=&quot;00873E56&quot;/&gt;&lt;wsp:rsid wsp:val=&quot;0087446E&quot;/&gt;&lt;wsp:rsid wsp:val=&quot;00874D4D&quot;/&gt;&lt;wsp:rsid wsp:val=&quot;00875187&quot;/&gt;&lt;wsp:rsid wsp:val=&quot;008752B9&quot;/&gt;&lt;wsp:rsid wsp:val=&quot;008755CB&quot;/&gt;&lt;wsp:rsid wsp:val=&quot;00875D26&quot;/&gt;&lt;wsp:rsid wsp:val=&quot;00875D4D&quot;/&gt;&lt;wsp:rsid wsp:val=&quot;00875DDC&quot;/&gt;&lt;wsp:rsid wsp:val=&quot;00876128&quot;/&gt;&lt;wsp:rsid wsp:val=&quot;00876179&quot;/&gt;&lt;wsp:rsid wsp:val=&quot;008763BF&quot;/&gt;&lt;wsp:rsid wsp:val=&quot;0087673F&quot;/&gt;&lt;wsp:rsid wsp:val=&quot;008768EF&quot;/&gt;&lt;wsp:rsid wsp:val=&quot;00876A02&quot;/&gt;&lt;wsp:rsid wsp:val=&quot;00876D71&quot;/&gt;&lt;wsp:rsid wsp:val=&quot;0087720C&quot;/&gt;&lt;wsp:rsid wsp:val=&quot;00877BEF&quot;/&gt;&lt;wsp:rsid wsp:val=&quot;00877DEA&quot;/&gt;&lt;wsp:rsid wsp:val=&quot;00880150&quot;/&gt;&lt;wsp:rsid wsp:val=&quot;00881065&quot;/&gt;&lt;wsp:rsid wsp:val=&quot;00882997&quot;/&gt;&lt;wsp:rsid wsp:val=&quot;00883320&quot;/&gt;&lt;wsp:rsid wsp:val=&quot;00883385&quot;/&gt;&lt;wsp:rsid wsp:val=&quot;00883722&quot;/&gt;&lt;wsp:rsid wsp:val=&quot;00884081&quot;/&gt;&lt;wsp:rsid wsp:val=&quot;00884088&quot;/&gt;&lt;wsp:rsid wsp:val=&quot;00884A0F&quot;/&gt;&lt;wsp:rsid wsp:val=&quot;0088509A&quot;/&gt;&lt;wsp:rsid wsp:val=&quot;00885996&quot;/&gt;&lt;wsp:rsid wsp:val=&quot;008859ED&quot;/&gt;&lt;wsp:rsid wsp:val=&quot;00885B39&quot;/&gt;&lt;wsp:rsid wsp:val=&quot;008860A3&quot;/&gt;&lt;wsp:rsid wsp:val=&quot;00886328&quot;/&gt;&lt;wsp:rsid wsp:val=&quot;00886994&quot;/&gt;&lt;wsp:rsid wsp:val=&quot;00886B20&quot;/&gt;&lt;wsp:rsid wsp:val=&quot;00886CC6&quot;/&gt;&lt;wsp:rsid wsp:val=&quot;00886FA6&quot;/&gt;&lt;wsp:rsid wsp:val=&quot;008879C6&quot;/&gt;&lt;wsp:rsid wsp:val=&quot;00890D40&quot;/&gt;&lt;wsp:rsid wsp:val=&quot;008911CA&quot;/&gt;&lt;wsp:rsid wsp:val=&quot;00891542&quot;/&gt;&lt;wsp:rsid wsp:val=&quot;00892068&quot;/&gt;&lt;wsp:rsid wsp:val=&quot;0089218A&quot;/&gt;&lt;wsp:rsid wsp:val=&quot;00892336&quot;/&gt;&lt;wsp:rsid wsp:val=&quot;00892743&quot;/&gt;&lt;wsp:rsid wsp:val=&quot;00892AAC&quot;/&gt;&lt;wsp:rsid wsp:val=&quot;00892C31&quot;/&gt;&lt;wsp:rsid wsp:val=&quot;00892E86&quot;/&gt;&lt;wsp:rsid wsp:val=&quot;008932B3&quot;/&gt;&lt;wsp:rsid wsp:val=&quot;0089365B&quot;/&gt;&lt;wsp:rsid wsp:val=&quot;008939E7&quot;/&gt;&lt;wsp:rsid wsp:val=&quot;00893D82&quot;/&gt;&lt;wsp:rsid wsp:val=&quot;00894485&quot;/&gt;&lt;wsp:rsid wsp:val=&quot;00894CE3&quot;/&gt;&lt;wsp:rsid wsp:val=&quot;00895384&quot;/&gt;&lt;wsp:rsid wsp:val=&quot;00895746&quot;/&gt;&lt;wsp:rsid wsp:val=&quot;00895A61&quot;/&gt;&lt;wsp:rsid wsp:val=&quot;00896A81&quot;/&gt;&lt;wsp:rsid wsp:val=&quot;00897214&quot;/&gt;&lt;wsp:rsid wsp:val=&quot;00897795&quot;/&gt;&lt;wsp:rsid wsp:val=&quot;008A0059&quot;/&gt;&lt;wsp:rsid wsp:val=&quot;008A06F6&quot;/&gt;&lt;wsp:rsid wsp:val=&quot;008A12AC&quot;/&gt;&lt;wsp:rsid wsp:val=&quot;008A1322&quot;/&gt;&lt;wsp:rsid wsp:val=&quot;008A1639&quot;/&gt;&lt;wsp:rsid wsp:val=&quot;008A1962&quot;/&gt;&lt;wsp:rsid wsp:val=&quot;008A1DB6&quot;/&gt;&lt;wsp:rsid wsp:val=&quot;008A22D1&quot;/&gt;&lt;wsp:rsid wsp:val=&quot;008A249A&quot;/&gt;&lt;wsp:rsid wsp:val=&quot;008A27E8&quot;/&gt;&lt;wsp:rsid wsp:val=&quot;008A2C3A&quot;/&gt;&lt;wsp:rsid wsp:val=&quot;008A2D51&quot;/&gt;&lt;wsp:rsid wsp:val=&quot;008A315C&quot;/&gt;&lt;wsp:rsid wsp:val=&quot;008A328B&quot;/&gt;&lt;wsp:rsid wsp:val=&quot;008A3A6C&quot;/&gt;&lt;wsp:rsid wsp:val=&quot;008A3BEA&quot;/&gt;&lt;wsp:rsid wsp:val=&quot;008A4202&quot;/&gt;&lt;wsp:rsid wsp:val=&quot;008A4C3A&quot;/&gt;&lt;wsp:rsid wsp:val=&quot;008A564B&quot;/&gt;&lt;wsp:rsid wsp:val=&quot;008A5D10&quot;/&gt;&lt;wsp:rsid wsp:val=&quot;008A5E9B&quot;/&gt;&lt;wsp:rsid wsp:val=&quot;008A6343&quot;/&gt;&lt;wsp:rsid wsp:val=&quot;008A6499&quot;/&gt;&lt;wsp:rsid wsp:val=&quot;008A65B9&quot;/&gt;&lt;wsp:rsid wsp:val=&quot;008A68E6&quot;/&gt;&lt;wsp:rsid wsp:val=&quot;008A6B63&quot;/&gt;&lt;wsp:rsid wsp:val=&quot;008A7F95&quot;/&gt;&lt;wsp:rsid wsp:val=&quot;008B0549&quot;/&gt;&lt;wsp:rsid wsp:val=&quot;008B0BDD&quot;/&gt;&lt;wsp:rsid wsp:val=&quot;008B0BE4&quot;/&gt;&lt;wsp:rsid wsp:val=&quot;008B11AA&quot;/&gt;&lt;wsp:rsid wsp:val=&quot;008B12AB&quot;/&gt;&lt;wsp:rsid wsp:val=&quot;008B1867&quot;/&gt;&lt;wsp:rsid wsp:val=&quot;008B217B&quot;/&gt;&lt;wsp:rsid wsp:val=&quot;008B23F4&quot;/&gt;&lt;wsp:rsid wsp:val=&quot;008B25BE&quot;/&gt;&lt;wsp:rsid wsp:val=&quot;008B26ED&quot;/&gt;&lt;wsp:rsid wsp:val=&quot;008B2E88&quot;/&gt;&lt;wsp:rsid wsp:val=&quot;008B3858&quot;/&gt;&lt;wsp:rsid wsp:val=&quot;008B3AC2&quot;/&gt;&lt;wsp:rsid wsp:val=&quot;008B3C14&quot;/&gt;&lt;wsp:rsid wsp:val=&quot;008B4019&quot;/&gt;&lt;wsp:rsid wsp:val=&quot;008B424A&quot;/&gt;&lt;wsp:rsid wsp:val=&quot;008B42FD&quot;/&gt;&lt;wsp:rsid wsp:val=&quot;008B43A7&quot;/&gt;&lt;wsp:rsid wsp:val=&quot;008B4918&quot;/&gt;&lt;wsp:rsid wsp:val=&quot;008B4BD8&quot;/&gt;&lt;wsp:rsid wsp:val=&quot;008B5362&quot;/&gt;&lt;wsp:rsid wsp:val=&quot;008B5795&quot;/&gt;&lt;wsp:rsid wsp:val=&quot;008B613A&quot;/&gt;&lt;wsp:rsid wsp:val=&quot;008B63F5&quot;/&gt;&lt;wsp:rsid wsp:val=&quot;008B64EE&quot;/&gt;&lt;wsp:rsid wsp:val=&quot;008B66AE&quot;/&gt;&lt;wsp:rsid wsp:val=&quot;008B684A&quot;/&gt;&lt;wsp:rsid wsp:val=&quot;008B68C8&quot;/&gt;&lt;wsp:rsid wsp:val=&quot;008B6C4D&quot;/&gt;&lt;wsp:rsid wsp:val=&quot;008B707D&quot;/&gt;&lt;wsp:rsid wsp:val=&quot;008B7128&quot;/&gt;&lt;wsp:rsid wsp:val=&quot;008B721A&quot;/&gt;&lt;wsp:rsid wsp:val=&quot;008B7372&quot;/&gt;&lt;wsp:rsid wsp:val=&quot;008B7754&quot;/&gt;&lt;wsp:rsid wsp:val=&quot;008B7B30&quot;/&gt;&lt;wsp:rsid wsp:val=&quot;008C001E&quot;/&gt;&lt;wsp:rsid wsp:val=&quot;008C0054&quot;/&gt;&lt;wsp:rsid wsp:val=&quot;008C009A&quot;/&gt;&lt;wsp:rsid wsp:val=&quot;008C060D&quot;/&gt;&lt;wsp:rsid wsp:val=&quot;008C0C20&quot;/&gt;&lt;wsp:rsid wsp:val=&quot;008C1183&quot;/&gt;&lt;wsp:rsid wsp:val=&quot;008C15FC&quot;/&gt;&lt;wsp:rsid wsp:val=&quot;008C1822&quot;/&gt;&lt;wsp:rsid wsp:val=&quot;008C2159&quot;/&gt;&lt;wsp:rsid wsp:val=&quot;008C2169&quot;/&gt;&lt;wsp:rsid wsp:val=&quot;008C252A&quot;/&gt;&lt;wsp:rsid wsp:val=&quot;008C2A6F&quot;/&gt;&lt;wsp:rsid wsp:val=&quot;008C34B6&quot;/&gt;&lt;wsp:rsid wsp:val=&quot;008C3607&quot;/&gt;&lt;wsp:rsid wsp:val=&quot;008C368F&quot;/&gt;&lt;wsp:rsid wsp:val=&quot;008C37AE&quot;/&gt;&lt;wsp:rsid wsp:val=&quot;008C3A7D&quot;/&gt;&lt;wsp:rsid wsp:val=&quot;008C41A4&quot;/&gt;&lt;wsp:rsid wsp:val=&quot;008C4615&quot;/&gt;&lt;wsp:rsid wsp:val=&quot;008C4988&quot;/&gt;&lt;wsp:rsid wsp:val=&quot;008C4B14&quot;/&gt;&lt;wsp:rsid wsp:val=&quot;008C531B&quot;/&gt;&lt;wsp:rsid wsp:val=&quot;008C62A3&quot;/&gt;&lt;wsp:rsid wsp:val=&quot;008C69FF&quot;/&gt;&lt;wsp:rsid wsp:val=&quot;008C71B0&quot;/&gt;&lt;wsp:rsid wsp:val=&quot;008C7908&quot;/&gt;&lt;wsp:rsid wsp:val=&quot;008D0C56&quot;/&gt;&lt;wsp:rsid wsp:val=&quot;008D1292&quot;/&gt;&lt;wsp:rsid wsp:val=&quot;008D1940&quot;/&gt;&lt;wsp:rsid wsp:val=&quot;008D19EC&quot;/&gt;&lt;wsp:rsid wsp:val=&quot;008D21DF&quot;/&gt;&lt;wsp:rsid wsp:val=&quot;008D2530&quot;/&gt;&lt;wsp:rsid wsp:val=&quot;008D2719&quot;/&gt;&lt;wsp:rsid wsp:val=&quot;008D2989&quot;/&gt;&lt;wsp:rsid wsp:val=&quot;008D2BED&quot;/&gt;&lt;wsp:rsid wsp:val=&quot;008D2E1C&quot;/&gt;&lt;wsp:rsid wsp:val=&quot;008D2F07&quot;/&gt;&lt;wsp:rsid wsp:val=&quot;008D32EE&quot;/&gt;&lt;wsp:rsid wsp:val=&quot;008D3DF6&quot;/&gt;&lt;wsp:rsid wsp:val=&quot;008D4916&quot;/&gt;&lt;wsp:rsid wsp:val=&quot;008D4FC9&quot;/&gt;&lt;wsp:rsid wsp:val=&quot;008D52B2&quot;/&gt;&lt;wsp:rsid wsp:val=&quot;008D566D&quot;/&gt;&lt;wsp:rsid wsp:val=&quot;008D5AF6&quot;/&gt;&lt;wsp:rsid wsp:val=&quot;008D6026&quot;/&gt;&lt;wsp:rsid wsp:val=&quot;008D6199&quot;/&gt;&lt;wsp:rsid wsp:val=&quot;008D62AC&quot;/&gt;&lt;wsp:rsid wsp:val=&quot;008D672A&quot;/&gt;&lt;wsp:rsid wsp:val=&quot;008D68EB&quot;/&gt;&lt;wsp:rsid wsp:val=&quot;008D6989&quot;/&gt;&lt;wsp:rsid wsp:val=&quot;008D6B09&quot;/&gt;&lt;wsp:rsid wsp:val=&quot;008D6CA0&quot;/&gt;&lt;wsp:rsid wsp:val=&quot;008D6F7B&quot;/&gt;&lt;wsp:rsid wsp:val=&quot;008D735A&quot;/&gt;&lt;wsp:rsid wsp:val=&quot;008D73AD&quot;/&gt;&lt;wsp:rsid wsp:val=&quot;008D7C34&quot;/&gt;&lt;wsp:rsid wsp:val=&quot;008D7F1C&quot;/&gt;&lt;wsp:rsid wsp:val=&quot;008E001F&quot;/&gt;&lt;wsp:rsid wsp:val=&quot;008E0447&quot;/&gt;&lt;wsp:rsid wsp:val=&quot;008E09E0&quot;/&gt;&lt;wsp:rsid wsp:val=&quot;008E195A&quot;/&gt;&lt;wsp:rsid wsp:val=&quot;008E1DDD&quot;/&gt;&lt;wsp:rsid wsp:val=&quot;008E1F8B&quot;/&gt;&lt;wsp:rsid wsp:val=&quot;008E2AF4&quot;/&gt;&lt;wsp:rsid wsp:val=&quot;008E2B3E&quot;/&gt;&lt;wsp:rsid wsp:val=&quot;008E3056&quot;/&gt;&lt;wsp:rsid wsp:val=&quot;008E3526&quot;/&gt;&lt;wsp:rsid wsp:val=&quot;008E4011&quot;/&gt;&lt;wsp:rsid wsp:val=&quot;008E4431&quot;/&gt;&lt;wsp:rsid wsp:val=&quot;008E479D&quot;/&gt;&lt;wsp:rsid wsp:val=&quot;008E51EB&quot;/&gt;&lt;wsp:rsid wsp:val=&quot;008E5461&quot;/&gt;&lt;wsp:rsid wsp:val=&quot;008E5A50&quot;/&gt;&lt;wsp:rsid wsp:val=&quot;008E6615&quot;/&gt;&lt;wsp:rsid wsp:val=&quot;008E66C5&quot;/&gt;&lt;wsp:rsid wsp:val=&quot;008E7193&quot;/&gt;&lt;wsp:rsid wsp:val=&quot;008E71E2&quot;/&gt;&lt;wsp:rsid wsp:val=&quot;008E72C3&quot;/&gt;&lt;wsp:rsid wsp:val=&quot;008F021F&quot;/&gt;&lt;wsp:rsid wsp:val=&quot;008F03E8&quot;/&gt;&lt;wsp:rsid wsp:val=&quot;008F0559&quot;/&gt;&lt;wsp:rsid wsp:val=&quot;008F0AC6&quot;/&gt;&lt;wsp:rsid wsp:val=&quot;008F0AE4&quot;/&gt;&lt;wsp:rsid wsp:val=&quot;008F0C94&quot;/&gt;&lt;wsp:rsid wsp:val=&quot;008F10D7&quot;/&gt;&lt;wsp:rsid wsp:val=&quot;008F1433&quot;/&gt;&lt;wsp:rsid wsp:val=&quot;008F18B1&quot;/&gt;&lt;wsp:rsid wsp:val=&quot;008F1A40&quot;/&gt;&lt;wsp:rsid wsp:val=&quot;008F1A68&quot;/&gt;&lt;wsp:rsid wsp:val=&quot;008F2257&quot;/&gt;&lt;wsp:rsid wsp:val=&quot;008F2319&quot;/&gt;&lt;wsp:rsid wsp:val=&quot;008F26EA&quot;/&gt;&lt;wsp:rsid wsp:val=&quot;008F2A7D&quot;/&gt;&lt;wsp:rsid wsp:val=&quot;008F2B4B&quot;/&gt;&lt;wsp:rsid wsp:val=&quot;008F2FAA&quot;/&gt;&lt;wsp:rsid wsp:val=&quot;008F32DC&quot;/&gt;&lt;wsp:rsid wsp:val=&quot;008F3642&quot;/&gt;&lt;wsp:rsid wsp:val=&quot;008F3BE1&quot;/&gt;&lt;wsp:rsid wsp:val=&quot;008F3ED5&quot;/&gt;&lt;wsp:rsid wsp:val=&quot;008F40F2&quot;/&gt;&lt;wsp:rsid wsp:val=&quot;008F4954&quot;/&gt;&lt;wsp:rsid wsp:val=&quot;008F4F9B&quot;/&gt;&lt;wsp:rsid wsp:val=&quot;008F5433&quot;/&gt;&lt;wsp:rsid wsp:val=&quot;008F66D0&quot;/&gt;&lt;wsp:rsid wsp:val=&quot;008F677C&quot;/&gt;&lt;wsp:rsid wsp:val=&quot;008F6FEA&quot;/&gt;&lt;wsp:rsid wsp:val=&quot;008F746C&quot;/&gt;&lt;wsp:rsid wsp:val=&quot;008F7A17&quot;/&gt;&lt;wsp:rsid wsp:val=&quot;008F7A19&quot;/&gt;&lt;wsp:rsid wsp:val=&quot;008F7A57&quot;/&gt;&lt;wsp:rsid wsp:val=&quot;00900673&quot;/&gt;&lt;wsp:rsid wsp:val=&quot;009006F6&quot;/&gt;&lt;wsp:rsid wsp:val=&quot;00900A55&quot;/&gt;&lt;wsp:rsid wsp:val=&quot;009018E1&quot;/&gt;&lt;wsp:rsid wsp:val=&quot;00901DAA&quot;/&gt;&lt;wsp:rsid wsp:val=&quot;0090209F&quot;/&gt;&lt;wsp:rsid wsp:val=&quot;00902247&quot;/&gt;&lt;wsp:rsid wsp:val=&quot;00902787&quot;/&gt;&lt;wsp:rsid wsp:val=&quot;00902D44&quot;/&gt;&lt;wsp:rsid wsp:val=&quot;009030BD&quot;/&gt;&lt;wsp:rsid wsp:val=&quot;00903148&quot;/&gt;&lt;wsp:rsid wsp:val=&quot;00904681&quot;/&gt;&lt;wsp:rsid wsp:val=&quot;00904AA8&quot;/&gt;&lt;wsp:rsid wsp:val=&quot;009052C2&quot;/&gt;&lt;wsp:rsid wsp:val=&quot;00905529&quot;/&gt;&lt;wsp:rsid wsp:val=&quot;00905565&quot;/&gt;&lt;wsp:rsid wsp:val=&quot;009055D9&quot;/&gt;&lt;wsp:rsid wsp:val=&quot;00905999&quot;/&gt;&lt;wsp:rsid wsp:val=&quot;00905E93&quot;/&gt;&lt;wsp:rsid wsp:val=&quot;00906664&quot;/&gt;&lt;wsp:rsid wsp:val=&quot;0090675E&quot;/&gt;&lt;wsp:rsid wsp:val=&quot;0090688D&quot;/&gt;&lt;wsp:rsid wsp:val=&quot;009076E8&quot;/&gt;&lt;wsp:rsid wsp:val=&quot;00910433&quot;/&gt;&lt;wsp:rsid wsp:val=&quot;00910F00&quot;/&gt;&lt;wsp:rsid wsp:val=&quot;00911C91&quot;/&gt;&lt;wsp:rsid wsp:val=&quot;00911E44&quot;/&gt;&lt;wsp:rsid wsp:val=&quot;009124BF&quot;/&gt;&lt;wsp:rsid wsp:val=&quot;00912E6C&quot;/&gt;&lt;wsp:rsid wsp:val=&quot;0091301D&quot;/&gt;&lt;wsp:rsid wsp:val=&quot;00913472&quot;/&gt;&lt;wsp:rsid wsp:val=&quot;00913754&quot;/&gt;&lt;wsp:rsid wsp:val=&quot;009138AC&quot;/&gt;&lt;wsp:rsid wsp:val=&quot;009138C8&quot;/&gt;&lt;wsp:rsid wsp:val=&quot;00913C82&quot;/&gt;&lt;wsp:rsid wsp:val=&quot;00913D8C&quot;/&gt;&lt;wsp:rsid wsp:val=&quot;00913E0A&quot;/&gt;&lt;wsp:rsid wsp:val=&quot;009140AC&quot;/&gt;&lt;wsp:rsid wsp:val=&quot;0091443E&quot;/&gt;&lt;wsp:rsid wsp:val=&quot;0091452E&quot;/&gt;&lt;wsp:rsid wsp:val=&quot;009145B2&quot;/&gt;&lt;wsp:rsid wsp:val=&quot;0091493E&quot;/&gt;&lt;wsp:rsid wsp:val=&quot;00914E26&quot;/&gt;&lt;wsp:rsid wsp:val=&quot;00914F99&quot;/&gt;&lt;wsp:rsid wsp:val=&quot;009150B4&quot;/&gt;&lt;wsp:rsid wsp:val=&quot;0091607A&quot;/&gt;&lt;wsp:rsid wsp:val=&quot;0091652C&quot;/&gt;&lt;wsp:rsid wsp:val=&quot;0091698E&quot;/&gt;&lt;wsp:rsid wsp:val=&quot;00916B85&quot;/&gt;&lt;wsp:rsid wsp:val=&quot;00917156&quot;/&gt;&lt;wsp:rsid wsp:val=&quot;0091725A&quot;/&gt;&lt;wsp:rsid wsp:val=&quot;009172AD&quot;/&gt;&lt;wsp:rsid wsp:val=&quot;0091738F&quot;/&gt;&lt;wsp:rsid wsp:val=&quot;00917583&quot;/&gt;&lt;wsp:rsid wsp:val=&quot;00917C97&quot;/&gt;&lt;wsp:rsid wsp:val=&quot;00917F71&quot;/&gt;&lt;wsp:rsid wsp:val=&quot;00920195&quot;/&gt;&lt;wsp:rsid wsp:val=&quot;00920788&quot;/&gt;&lt;wsp:rsid wsp:val=&quot;009214A7&quot;/&gt;&lt;wsp:rsid wsp:val=&quot;009215C7&quot;/&gt;&lt;wsp:rsid wsp:val=&quot;00921AFE&quot;/&gt;&lt;wsp:rsid wsp:val=&quot;00921E15&quot;/&gt;&lt;wsp:rsid wsp:val=&quot;009223B4&quot;/&gt;&lt;wsp:rsid wsp:val=&quot;0092243B&quot;/&gt;&lt;wsp:rsid wsp:val=&quot;00922674&quot;/&gt;&lt;wsp:rsid wsp:val=&quot;00923E72&quot;/&gt;&lt;wsp:rsid wsp:val=&quot;00923FFC&quot;/&gt;&lt;wsp:rsid wsp:val=&quot;009245CF&quot;/&gt;&lt;wsp:rsid wsp:val=&quot;00924CA4&quot;/&gt;&lt;wsp:rsid wsp:val=&quot;00924DE7&quot;/&gt;&lt;wsp:rsid wsp:val=&quot;00924F20&quot;/&gt;&lt;wsp:rsid wsp:val=&quot;00925142&quot;/&gt;&lt;wsp:rsid wsp:val=&quot;0092569D&quot;/&gt;&lt;wsp:rsid wsp:val=&quot;009258D5&quot;/&gt;&lt;wsp:rsid wsp:val=&quot;00925D8F&quot;/&gt;&lt;wsp:rsid wsp:val=&quot;00926153&quot;/&gt;&lt;wsp:rsid wsp:val=&quot;00926704&quot;/&gt;&lt;wsp:rsid wsp:val=&quot;00926787&quot;/&gt;&lt;wsp:rsid wsp:val=&quot;00926F95&quot;/&gt;&lt;wsp:rsid wsp:val=&quot;009274E9&quot;/&gt;&lt;wsp:rsid wsp:val=&quot;00927615&quot;/&gt;&lt;wsp:rsid wsp:val=&quot;009277CE&quot;/&gt;&lt;wsp:rsid wsp:val=&quot;009278C3&quot;/&gt;&lt;wsp:rsid wsp:val=&quot;00930252&quot;/&gt;&lt;wsp:rsid wsp:val=&quot;009305BD&quot;/&gt;&lt;wsp:rsid wsp:val=&quot;00930968&quot;/&gt;&lt;wsp:rsid wsp:val=&quot;00930DD8&quot;/&gt;&lt;wsp:rsid wsp:val=&quot;00930F1B&quot;/&gt;&lt;wsp:rsid wsp:val=&quot;009318FA&quot;/&gt;&lt;wsp:rsid wsp:val=&quot;00932294&quot;/&gt;&lt;wsp:rsid wsp:val=&quot;00932B6D&quot;/&gt;&lt;wsp:rsid wsp:val=&quot;00932E24&quot;/&gt;&lt;wsp:rsid wsp:val=&quot;00932F4F&quot;/&gt;&lt;wsp:rsid wsp:val=&quot;009331E1&quot;/&gt;&lt;wsp:rsid wsp:val=&quot;00933233&quot;/&gt;&lt;wsp:rsid wsp:val=&quot;009334C8&quot;/&gt;&lt;wsp:rsid wsp:val=&quot;009342B8&quot;/&gt;&lt;wsp:rsid wsp:val=&quot;009348D4&quot;/&gt;&lt;wsp:rsid wsp:val=&quot;0093498E&quot;/&gt;&lt;wsp:rsid wsp:val=&quot;00935322&quot;/&gt;&lt;wsp:rsid wsp:val=&quot;00935501&quot;/&gt;&lt;wsp:rsid wsp:val=&quot;00935719&quot;/&gt;&lt;wsp:rsid wsp:val=&quot;0093578B&quot;/&gt;&lt;wsp:rsid wsp:val=&quot;00935F9A&quot;/&gt;&lt;wsp:rsid wsp:val=&quot;0093675C&quot;/&gt;&lt;wsp:rsid wsp:val=&quot;00936A1C&quot;/&gt;&lt;wsp:rsid wsp:val=&quot;00936C25&quot;/&gt;&lt;wsp:rsid wsp:val=&quot;009378B7&quot;/&gt;&lt;wsp:rsid wsp:val=&quot;009379B1&quot;/&gt;&lt;wsp:rsid wsp:val=&quot;00937DBC&quot;/&gt;&lt;wsp:rsid wsp:val=&quot;00940442&quot;/&gt;&lt;wsp:rsid wsp:val=&quot;00940F42&quot;/&gt;&lt;wsp:rsid wsp:val=&quot;009410AF&quot;/&gt;&lt;wsp:rsid wsp:val=&quot;0094127E&quot;/&gt;&lt;wsp:rsid wsp:val=&quot;0094130D&quot;/&gt;&lt;wsp:rsid wsp:val=&quot;00941397&quot;/&gt;&lt;wsp:rsid wsp:val=&quot;009413C3&quot;/&gt;&lt;wsp:rsid wsp:val=&quot;0094161D&quot;/&gt;&lt;wsp:rsid wsp:val=&quot;0094165D&quot;/&gt;&lt;wsp:rsid wsp:val=&quot;009417F7&quot;/&gt;&lt;wsp:rsid wsp:val=&quot;00941F29&quot;/&gt;&lt;wsp:rsid wsp:val=&quot;009424EB&quot;/&gt;&lt;wsp:rsid wsp:val=&quot;00942536&quot;/&gt;&lt;wsp:rsid wsp:val=&quot;00942883&quot;/&gt;&lt;wsp:rsid wsp:val=&quot;00942B93&quot;/&gt;&lt;wsp:rsid wsp:val=&quot;00942C2E&quot;/&gt;&lt;wsp:rsid wsp:val=&quot;00942D6B&quot;/&gt;&lt;wsp:rsid wsp:val=&quot;00942DE4&quot;/&gt;&lt;wsp:rsid wsp:val=&quot;009432BE&quot;/&gt;&lt;wsp:rsid wsp:val=&quot;00943DBB&quot;/&gt;&lt;wsp:rsid wsp:val=&quot;00944076&quot;/&gt;&lt;wsp:rsid wsp:val=&quot;009442CB&quot;/&gt;&lt;wsp:rsid wsp:val=&quot;009443C5&quot;/&gt;&lt;wsp:rsid wsp:val=&quot;00944797&quot;/&gt;&lt;wsp:rsid wsp:val=&quot;00944A1D&quot;/&gt;&lt;wsp:rsid wsp:val=&quot;00944B7A&quot;/&gt;&lt;wsp:rsid wsp:val=&quot;00945157&quot;/&gt;&lt;wsp:rsid wsp:val=&quot;009451CD&quot;/&gt;&lt;wsp:rsid wsp:val=&quot;00945637&quot;/&gt;&lt;wsp:rsid wsp:val=&quot;00945867&quot;/&gt;&lt;wsp:rsid wsp:val=&quot;00945F59&quot;/&gt;&lt;wsp:rsid wsp:val=&quot;009460F8&quot;/&gt;&lt;wsp:rsid wsp:val=&quot;00946A8E&quot;/&gt;&lt;wsp:rsid wsp:val=&quot;009470C6&quot;/&gt;&lt;wsp:rsid wsp:val=&quot;00947396&quot;/&gt;&lt;wsp:rsid wsp:val=&quot;00947675&quot;/&gt;&lt;wsp:rsid wsp:val=&quot;0094798D&quot;/&gt;&lt;wsp:rsid wsp:val=&quot;00947C74&quot;/&gt;&lt;wsp:rsid wsp:val=&quot;00947F25&quot;/&gt;&lt;wsp:rsid wsp:val=&quot;00950A3E&quot;/&gt;&lt;wsp:rsid wsp:val=&quot;00950B8F&quot;/&gt;&lt;wsp:rsid wsp:val=&quot;00950CBF&quot;/&gt;&lt;wsp:rsid wsp:val=&quot;009512F2&quot;/&gt;&lt;wsp:rsid wsp:val=&quot;0095133A&quot;/&gt;&lt;wsp:rsid wsp:val=&quot;0095187A&quot;/&gt;&lt;wsp:rsid wsp:val=&quot;00951DBB&quot;/&gt;&lt;wsp:rsid wsp:val=&quot;009521E9&quot;/&gt;&lt;wsp:rsid wsp:val=&quot;00952649&quot;/&gt;&lt;wsp:rsid wsp:val=&quot;009528FC&quot;/&gt;&lt;wsp:rsid wsp:val=&quot;0095348A&quot;/&gt;&lt;wsp:rsid wsp:val=&quot;00953899&quot;/&gt;&lt;wsp:rsid wsp:val=&quot;009538FB&quot;/&gt;&lt;wsp:rsid wsp:val=&quot;00953D2F&quot;/&gt;&lt;wsp:rsid wsp:val=&quot;009540F8&quot;/&gt;&lt;wsp:rsid wsp:val=&quot;00954115&quot;/&gt;&lt;wsp:rsid wsp:val=&quot;009543FD&quot;/&gt;&lt;wsp:rsid wsp:val=&quot;00954E33&quot;/&gt;&lt;wsp:rsid wsp:val=&quot;009551B2&quot;/&gt;&lt;wsp:rsid wsp:val=&quot;00955355&quot;/&gt;&lt;wsp:rsid wsp:val=&quot;00955FCA&quot;/&gt;&lt;wsp:rsid wsp:val=&quot;00956019&quot;/&gt;&lt;wsp:rsid wsp:val=&quot;009566C2&quot;/&gt;&lt;wsp:rsid wsp:val=&quot;009567AE&quot;/&gt;&lt;wsp:rsid wsp:val=&quot;00956BE4&quot;/&gt;&lt;wsp:rsid wsp:val=&quot;00956CCA&quot;/&gt;&lt;wsp:rsid wsp:val=&quot;00956E09&quot;/&gt;&lt;wsp:rsid wsp:val=&quot;0095731C&quot;/&gt;&lt;wsp:rsid wsp:val=&quot;009574D4&quot;/&gt;&lt;wsp:rsid wsp:val=&quot;00957603&quot;/&gt;&lt;wsp:rsid wsp:val=&quot;009579C3&quot;/&gt;&lt;wsp:rsid wsp:val=&quot;00960328&quot;/&gt;&lt;wsp:rsid wsp:val=&quot;00960433&quot;/&gt;&lt;wsp:rsid wsp:val=&quot;0096054B&quot;/&gt;&lt;wsp:rsid wsp:val=&quot;009606D5&quot;/&gt;&lt;wsp:rsid wsp:val=&quot;0096081C&quot;/&gt;&lt;wsp:rsid wsp:val=&quot;00960DA6&quot;/&gt;&lt;wsp:rsid wsp:val=&quot;00961322&quot;/&gt;&lt;wsp:rsid wsp:val=&quot;009618F3&quot;/&gt;&lt;wsp:rsid wsp:val=&quot;009622C6&quot;/&gt;&lt;wsp:rsid wsp:val=&quot;0096295F&quot;/&gt;&lt;wsp:rsid wsp:val=&quot;00962C9C&quot;/&gt;&lt;wsp:rsid wsp:val=&quot;0096321D&quot;/&gt;&lt;wsp:rsid wsp:val=&quot;0096322E&quot;/&gt;&lt;wsp:rsid wsp:val=&quot;00963335&quot;/&gt;&lt;wsp:rsid wsp:val=&quot;00963641&quot;/&gt;&lt;wsp:rsid wsp:val=&quot;00963875&quot;/&gt;&lt;wsp:rsid wsp:val=&quot;00963C8F&quot;/&gt;&lt;wsp:rsid wsp:val=&quot;00963ED6&quot;/&gt;&lt;wsp:rsid wsp:val=&quot;00964B5B&quot;/&gt;&lt;wsp:rsid wsp:val=&quot;00964C3B&quot;/&gt;&lt;wsp:rsid wsp:val=&quot;00964CC2&quot;/&gt;&lt;wsp:rsid wsp:val=&quot;00964FAD&quot;/&gt;&lt;wsp:rsid wsp:val=&quot;00965101&quot;/&gt;&lt;wsp:rsid wsp:val=&quot;0096561E&quot;/&gt;&lt;wsp:rsid wsp:val=&quot;00965B52&quot;/&gt;&lt;wsp:rsid wsp:val=&quot;00965F8B&quot;/&gt;&lt;wsp:rsid wsp:val=&quot;00965F9A&quot;/&gt;&lt;wsp:rsid wsp:val=&quot;0096657D&quot;/&gt;&lt;wsp:rsid wsp:val=&quot;009665E7&quot;/&gt;&lt;wsp:rsid wsp:val=&quot;009666AE&quot;/&gt;&lt;wsp:rsid wsp:val=&quot;009677C7&quot;/&gt;&lt;wsp:rsid wsp:val=&quot;009677F1&quot;/&gt;&lt;wsp:rsid wsp:val=&quot;00967B00&quot;/&gt;&lt;wsp:rsid wsp:val=&quot;009702E2&quot;/&gt;&lt;wsp:rsid wsp:val=&quot;00970446&quot;/&gt;&lt;wsp:rsid wsp:val=&quot;009708FB&quot;/&gt;&lt;wsp:rsid wsp:val=&quot;009709D6&quot;/&gt;&lt;wsp:rsid wsp:val=&quot;00970A36&quot;/&gt;&lt;wsp:rsid wsp:val=&quot;00970B6F&quot;/&gt;&lt;wsp:rsid wsp:val=&quot;00970DB1&quot;/&gt;&lt;wsp:rsid wsp:val=&quot;00971474&quot;/&gt;&lt;wsp:rsid wsp:val=&quot;00972173&quot;/&gt;&lt;wsp:rsid wsp:val=&quot;00972500&quot;/&gt;&lt;wsp:rsid wsp:val=&quot;009726BC&quot;/&gt;&lt;wsp:rsid wsp:val=&quot;00972A56&quot;/&gt;&lt;wsp:rsid wsp:val=&quot;0097314D&quot;/&gt;&lt;wsp:rsid wsp:val=&quot;00974009&quot;/&gt;&lt;wsp:rsid wsp:val=&quot;00974281&quot;/&gt;&lt;wsp:rsid wsp:val=&quot;00974385&quot;/&gt;&lt;wsp:rsid wsp:val=&quot;0097490F&quot;/&gt;&lt;wsp:rsid wsp:val=&quot;00974E70&quot;/&gt;&lt;wsp:rsid wsp:val=&quot;009751DE&quot;/&gt;&lt;wsp:rsid wsp:val=&quot;0097522C&quot;/&gt;&lt;wsp:rsid wsp:val=&quot;00975C40&quot;/&gt;&lt;wsp:rsid wsp:val=&quot;00976280&quot;/&gt;&lt;wsp:rsid wsp:val=&quot;009767B3&quot;/&gt;&lt;wsp:rsid wsp:val=&quot;00977339&quot;/&gt;&lt;wsp:rsid wsp:val=&quot;00977631&quot;/&gt;&lt;wsp:rsid wsp:val=&quot;00977768&quot;/&gt;&lt;wsp:rsid wsp:val=&quot;00977C81&quot;/&gt;&lt;wsp:rsid wsp:val=&quot;0098000F&quot;/&gt;&lt;wsp:rsid wsp:val=&quot;009809EF&quot;/&gt;&lt;wsp:rsid wsp:val=&quot;009815B0&quot;/&gt;&lt;wsp:rsid wsp:val=&quot;00981623&quot;/&gt;&lt;wsp:rsid wsp:val=&quot;00981770&quot;/&gt;&lt;wsp:rsid wsp:val=&quot;00982263&quot;/&gt;&lt;wsp:rsid wsp:val=&quot;009827FC&quot;/&gt;&lt;wsp:rsid wsp:val=&quot;00982EF3&quot;/&gt;&lt;wsp:rsid wsp:val=&quot;00983181&quot;/&gt;&lt;wsp:rsid wsp:val=&quot;009836FF&quot;/&gt;&lt;wsp:rsid wsp:val=&quot;00984331&quot;/&gt;&lt;wsp:rsid wsp:val=&quot;00984692&quot;/&gt;&lt;wsp:rsid wsp:val=&quot;009846D6&quot;/&gt;&lt;wsp:rsid wsp:val=&quot;00984F5C&quot;/&gt;&lt;wsp:rsid wsp:val=&quot;009854B8&quot;/&gt;&lt;wsp:rsid wsp:val=&quot;0098554A&quot;/&gt;&lt;wsp:rsid wsp:val=&quot;00985748&quot;/&gt;&lt;wsp:rsid wsp:val=&quot;009858AA&quot;/&gt;&lt;wsp:rsid wsp:val=&quot;009859E5&quot;/&gt;&lt;wsp:rsid wsp:val=&quot;00985A44&quot;/&gt;&lt;wsp:rsid wsp:val=&quot;00985AAA&quot;/&gt;&lt;wsp:rsid wsp:val=&quot;00985F05&quot;/&gt;&lt;wsp:rsid wsp:val=&quot;0098628D&quot;/&gt;&lt;wsp:rsid wsp:val=&quot;00986495&quot;/&gt;&lt;wsp:rsid wsp:val=&quot;00986C40&quot;/&gt;&lt;wsp:rsid wsp:val=&quot;00986CA7&quot;/&gt;&lt;wsp:rsid wsp:val=&quot;00986D53&quot;/&gt;&lt;wsp:rsid wsp:val=&quot;0098765D&quot;/&gt;&lt;wsp:rsid wsp:val=&quot;00987A80&quot;/&gt;&lt;wsp:rsid wsp:val=&quot;00987D3F&quot;/&gt;&lt;wsp:rsid wsp:val=&quot;00987EA3&quot;/&gt;&lt;wsp:rsid wsp:val=&quot;00990326&quot;/&gt;&lt;wsp:rsid wsp:val=&quot;0099062D&quot;/&gt;&lt;wsp:rsid wsp:val=&quot;00990807&quot;/&gt;&lt;wsp:rsid wsp:val=&quot;0099148B&quot;/&gt;&lt;wsp:rsid wsp:val=&quot;009918F8&quot;/&gt;&lt;wsp:rsid wsp:val=&quot;00992110&quot;/&gt;&lt;wsp:rsid wsp:val=&quot;00992722&quot;/&gt;&lt;wsp:rsid wsp:val=&quot;0099282B&quot;/&gt;&lt;wsp:rsid wsp:val=&quot;00992E70&quot;/&gt;&lt;wsp:rsid wsp:val=&quot;009934A0&quot;/&gt;&lt;wsp:rsid wsp:val=&quot;00993B9D&quot;/&gt;&lt;wsp:rsid wsp:val=&quot;00993DB7&quot;/&gt;&lt;wsp:rsid wsp:val=&quot;00994137&quot;/&gt;&lt;wsp:rsid wsp:val=&quot;00995038&quot;/&gt;&lt;wsp:rsid wsp:val=&quot;00995298&quot;/&gt;&lt;wsp:rsid wsp:val=&quot;0099529A&quot;/&gt;&lt;wsp:rsid wsp:val=&quot;009953D6&quot;/&gt;&lt;wsp:rsid wsp:val=&quot;00995538&quot;/&gt;&lt;wsp:rsid wsp:val=&quot;00995A2D&quot;/&gt;&lt;wsp:rsid wsp:val=&quot;00996523&quot;/&gt;&lt;wsp:rsid wsp:val=&quot;009967EC&quot;/&gt;&lt;wsp:rsid wsp:val=&quot;00996871&quot;/&gt;&lt;wsp:rsid wsp:val=&quot;00996B8F&quot;/&gt;&lt;wsp:rsid wsp:val=&quot;00996E38&quot;/&gt;&lt;wsp:rsid wsp:val=&quot;00997447&quot;/&gt;&lt;wsp:rsid wsp:val=&quot;0099746C&quot;/&gt;&lt;wsp:rsid wsp:val=&quot;00997889&quot;/&gt;&lt;wsp:rsid wsp:val=&quot;00997952&quot;/&gt;&lt;wsp:rsid wsp:val=&quot;00997F33&quot;/&gt;&lt;wsp:rsid wsp:val=&quot;009A00F8&quot;/&gt;&lt;wsp:rsid wsp:val=&quot;009A0194&quot;/&gt;&lt;wsp:rsid wsp:val=&quot;009A033A&quot;/&gt;&lt;wsp:rsid wsp:val=&quot;009A066E&quot;/&gt;&lt;wsp:rsid wsp:val=&quot;009A0D2D&quot;/&gt;&lt;wsp:rsid wsp:val=&quot;009A0EA0&quot;/&gt;&lt;wsp:rsid wsp:val=&quot;009A0F27&quot;/&gt;&lt;wsp:rsid wsp:val=&quot;009A1CA5&quot;/&gt;&lt;wsp:rsid wsp:val=&quot;009A1F94&quot;/&gt;&lt;wsp:rsid wsp:val=&quot;009A1FE0&quot;/&gt;&lt;wsp:rsid wsp:val=&quot;009A247B&quot;/&gt;&lt;wsp:rsid wsp:val=&quot;009A26EA&quot;/&gt;&lt;wsp:rsid wsp:val=&quot;009A2FB0&quot;/&gt;&lt;wsp:rsid wsp:val=&quot;009A33F1&quot;/&gt;&lt;wsp:rsid wsp:val=&quot;009A406A&quot;/&gt;&lt;wsp:rsid wsp:val=&quot;009A4086&quot;/&gt;&lt;wsp:rsid wsp:val=&quot;009A427E&quot;/&gt;&lt;wsp:rsid wsp:val=&quot;009A436C&quot;/&gt;&lt;wsp:rsid wsp:val=&quot;009A4C57&quot;/&gt;&lt;wsp:rsid wsp:val=&quot;009A52B6&quot;/&gt;&lt;wsp:rsid wsp:val=&quot;009A53DA&quot;/&gt;&lt;wsp:rsid wsp:val=&quot;009A5FCC&quot;/&gt;&lt;wsp:rsid wsp:val=&quot;009A5FD7&quot;/&gt;&lt;wsp:rsid wsp:val=&quot;009A615C&quot;/&gt;&lt;wsp:rsid wsp:val=&quot;009A75F6&quot;/&gt;&lt;wsp:rsid wsp:val=&quot;009A76F6&quot;/&gt;&lt;wsp:rsid wsp:val=&quot;009A77EF&quot;/&gt;&lt;wsp:rsid wsp:val=&quot;009A785D&quot;/&gt;&lt;wsp:rsid wsp:val=&quot;009A7B4C&quot;/&gt;&lt;wsp:rsid wsp:val=&quot;009B00BE&quot;/&gt;&lt;wsp:rsid wsp:val=&quot;009B06E8&quot;/&gt;&lt;wsp:rsid wsp:val=&quot;009B1412&quot;/&gt;&lt;wsp:rsid wsp:val=&quot;009B175C&quot;/&gt;&lt;wsp:rsid wsp:val=&quot;009B1AEA&quot;/&gt;&lt;wsp:rsid wsp:val=&quot;009B1ED9&quot;/&gt;&lt;wsp:rsid wsp:val=&quot;009B1FB2&quot;/&gt;&lt;wsp:rsid wsp:val=&quot;009B2950&quot;/&gt;&lt;wsp:rsid wsp:val=&quot;009B2A38&quot;/&gt;&lt;wsp:rsid wsp:val=&quot;009B31E2&quot;/&gt;&lt;wsp:rsid wsp:val=&quot;009B3BDB&quot;/&gt;&lt;wsp:rsid wsp:val=&quot;009B3E98&quot;/&gt;&lt;wsp:rsid wsp:val=&quot;009B4381&quot;/&gt;&lt;wsp:rsid wsp:val=&quot;009B4948&quot;/&gt;&lt;wsp:rsid wsp:val=&quot;009B5CEF&quot;/&gt;&lt;wsp:rsid wsp:val=&quot;009B62BC&quot;/&gt;&lt;wsp:rsid wsp:val=&quot;009B67DA&quot;/&gt;&lt;wsp:rsid wsp:val=&quot;009B6B01&quot;/&gt;&lt;wsp:rsid wsp:val=&quot;009B6D77&quot;/&gt;&lt;wsp:rsid wsp:val=&quot;009B70FC&quot;/&gt;&lt;wsp:rsid wsp:val=&quot;009B737F&quot;/&gt;&lt;wsp:rsid wsp:val=&quot;009B768C&quot;/&gt;&lt;wsp:rsid wsp:val=&quot;009B78FD&quot;/&gt;&lt;wsp:rsid wsp:val=&quot;009B7B0A&quot;/&gt;&lt;wsp:rsid wsp:val=&quot;009B7CC6&quot;/&gt;&lt;wsp:rsid wsp:val=&quot;009B7E01&quot;/&gt;&lt;wsp:rsid wsp:val=&quot;009B7F95&quot;/&gt;&lt;wsp:rsid wsp:val=&quot;009C0001&quot;/&gt;&lt;wsp:rsid wsp:val=&quot;009C006D&quot;/&gt;&lt;wsp:rsid wsp:val=&quot;009C0447&quot;/&gt;&lt;wsp:rsid wsp:val=&quot;009C0954&quot;/&gt;&lt;wsp:rsid wsp:val=&quot;009C0B5E&quot;/&gt;&lt;wsp:rsid wsp:val=&quot;009C0BC4&quot;/&gt;&lt;wsp:rsid wsp:val=&quot;009C0CD6&quot;/&gt;&lt;wsp:rsid wsp:val=&quot;009C11C1&quot;/&gt;&lt;wsp:rsid wsp:val=&quot;009C12A5&quot;/&gt;&lt;wsp:rsid wsp:val=&quot;009C1371&quot;/&gt;&lt;wsp:rsid wsp:val=&quot;009C1609&quot;/&gt;&lt;wsp:rsid wsp:val=&quot;009C1C83&quot;/&gt;&lt;wsp:rsid wsp:val=&quot;009C2399&quot;/&gt;&lt;wsp:rsid wsp:val=&quot;009C24A4&quot;/&gt;&lt;wsp:rsid wsp:val=&quot;009C270D&quot;/&gt;&lt;wsp:rsid wsp:val=&quot;009C2ABD&quot;/&gt;&lt;wsp:rsid wsp:val=&quot;009C2D41&quot;/&gt;&lt;wsp:rsid wsp:val=&quot;009C2FC0&quot;/&gt;&lt;wsp:rsid wsp:val=&quot;009C3067&quot;/&gt;&lt;wsp:rsid wsp:val=&quot;009C3533&quot;/&gt;&lt;wsp:rsid wsp:val=&quot;009C361B&quot;/&gt;&lt;wsp:rsid wsp:val=&quot;009C3933&quot;/&gt;&lt;wsp:rsid wsp:val=&quot;009C42B4&quot;/&gt;&lt;wsp:rsid wsp:val=&quot;009C48BE&quot;/&gt;&lt;wsp:rsid wsp:val=&quot;009C5027&quot;/&gt;&lt;wsp:rsid wsp:val=&quot;009C510C&quot;/&gt;&lt;wsp:rsid wsp:val=&quot;009C5530&quot;/&gt;&lt;wsp:rsid wsp:val=&quot;009C5756&quot;/&gt;&lt;wsp:rsid wsp:val=&quot;009C58CA&quot;/&gt;&lt;wsp:rsid wsp:val=&quot;009C58D6&quot;/&gt;&lt;wsp:rsid wsp:val=&quot;009C5D19&quot;/&gt;&lt;wsp:rsid wsp:val=&quot;009C6965&quot;/&gt;&lt;wsp:rsid wsp:val=&quot;009C6A73&quot;/&gt;&lt;wsp:rsid wsp:val=&quot;009C72F7&quot;/&gt;&lt;wsp:rsid wsp:val=&quot;009C7671&quot;/&gt;&lt;wsp:rsid wsp:val=&quot;009C7849&quot;/&gt;&lt;wsp:rsid wsp:val=&quot;009C7FF0&quot;/&gt;&lt;wsp:rsid wsp:val=&quot;009D0A08&quot;/&gt;&lt;wsp:rsid wsp:val=&quot;009D0B6A&quot;/&gt;&lt;wsp:rsid wsp:val=&quot;009D10BD&quot;/&gt;&lt;wsp:rsid wsp:val=&quot;009D19E4&quot;/&gt;&lt;wsp:rsid wsp:val=&quot;009D1A06&quot;/&gt;&lt;wsp:rsid wsp:val=&quot;009D1C3C&quot;/&gt;&lt;wsp:rsid wsp:val=&quot;009D2055&quot;/&gt;&lt;wsp:rsid wsp:val=&quot;009D273D&quot;/&gt;&lt;wsp:rsid wsp:val=&quot;009D2A84&quot;/&gt;&lt;wsp:rsid wsp:val=&quot;009D3231&quot;/&gt;&lt;wsp:rsid wsp:val=&quot;009D349D&quot;/&gt;&lt;wsp:rsid wsp:val=&quot;009D3591&quot;/&gt;&lt;wsp:rsid wsp:val=&quot;009D3862&quot;/&gt;&lt;wsp:rsid wsp:val=&quot;009D3C76&quot;/&gt;&lt;wsp:rsid wsp:val=&quot;009D3D0C&quot;/&gt;&lt;wsp:rsid wsp:val=&quot;009D3D6C&quot;/&gt;&lt;wsp:rsid wsp:val=&quot;009D3FEE&quot;/&gt;&lt;wsp:rsid wsp:val=&quot;009D4355&quot;/&gt;&lt;wsp:rsid wsp:val=&quot;009D4EE3&quot;/&gt;&lt;wsp:rsid wsp:val=&quot;009D5126&quot;/&gt;&lt;wsp:rsid wsp:val=&quot;009D5566&quot;/&gt;&lt;wsp:rsid wsp:val=&quot;009D5B36&quot;/&gt;&lt;wsp:rsid wsp:val=&quot;009D5BEE&quot;/&gt;&lt;wsp:rsid wsp:val=&quot;009D5F84&quot;/&gt;&lt;wsp:rsid wsp:val=&quot;009D62B6&quot;/&gt;&lt;wsp:rsid wsp:val=&quot;009D6617&quot;/&gt;&lt;wsp:rsid wsp:val=&quot;009D67B9&quot;/&gt;&lt;wsp:rsid wsp:val=&quot;009D6A31&quot;/&gt;&lt;wsp:rsid wsp:val=&quot;009D6CDE&quot;/&gt;&lt;wsp:rsid wsp:val=&quot;009D74EF&quot;/&gt;&lt;wsp:rsid wsp:val=&quot;009D7F92&quot;/&gt;&lt;wsp:rsid wsp:val=&quot;009E1225&quot;/&gt;&lt;wsp:rsid wsp:val=&quot;009E136A&quot;/&gt;&lt;wsp:rsid wsp:val=&quot;009E1399&quot;/&gt;&lt;wsp:rsid wsp:val=&quot;009E1632&quot;/&gt;&lt;wsp:rsid wsp:val=&quot;009E17B2&quot;/&gt;&lt;wsp:rsid wsp:val=&quot;009E18AB&quot;/&gt;&lt;wsp:rsid wsp:val=&quot;009E1BB0&quot;/&gt;&lt;wsp:rsid wsp:val=&quot;009E21CD&quot;/&gt;&lt;wsp:rsid wsp:val=&quot;009E225D&quot;/&gt;&lt;wsp:rsid wsp:val=&quot;009E2314&quot;/&gt;&lt;wsp:rsid wsp:val=&quot;009E25D2&quot;/&gt;&lt;wsp:rsid wsp:val=&quot;009E2737&quot;/&gt;&lt;wsp:rsid wsp:val=&quot;009E2CC9&quot;/&gt;&lt;wsp:rsid wsp:val=&quot;009E3181&quot;/&gt;&lt;wsp:rsid wsp:val=&quot;009E3192&quot;/&gt;&lt;wsp:rsid wsp:val=&quot;009E3400&quot;/&gt;&lt;wsp:rsid wsp:val=&quot;009E3933&quot;/&gt;&lt;wsp:rsid wsp:val=&quot;009E41A2&quot;/&gt;&lt;wsp:rsid wsp:val=&quot;009E41E0&quot;/&gt;&lt;wsp:rsid wsp:val=&quot;009E4459&quot;/&gt;&lt;wsp:rsid wsp:val=&quot;009E47CA&quot;/&gt;&lt;wsp:rsid wsp:val=&quot;009E56A2&quot;/&gt;&lt;wsp:rsid wsp:val=&quot;009E5D1D&quot;/&gt;&lt;wsp:rsid wsp:val=&quot;009E6321&quot;/&gt;&lt;wsp:rsid wsp:val=&quot;009E6762&quot;/&gt;&lt;wsp:rsid wsp:val=&quot;009E6979&quot;/&gt;&lt;wsp:rsid wsp:val=&quot;009E699D&quot;/&gt;&lt;wsp:rsid wsp:val=&quot;009E7342&quot;/&gt;&lt;wsp:rsid wsp:val=&quot;009E7922&quot;/&gt;&lt;wsp:rsid wsp:val=&quot;009F00D5&quot;/&gt;&lt;wsp:rsid wsp:val=&quot;009F09F4&quot;/&gt;&lt;wsp:rsid wsp:val=&quot;009F0BE1&quot;/&gt;&lt;wsp:rsid wsp:val=&quot;009F0F83&quot;/&gt;&lt;wsp:rsid wsp:val=&quot;009F135E&quot;/&gt;&lt;wsp:rsid wsp:val=&quot;009F2089&quot;/&gt;&lt;wsp:rsid wsp:val=&quot;009F2474&quot;/&gt;&lt;wsp:rsid wsp:val=&quot;009F25DE&quot;/&gt;&lt;wsp:rsid wsp:val=&quot;009F2731&quot;/&gt;&lt;wsp:rsid wsp:val=&quot;009F2A6C&quot;/&gt;&lt;wsp:rsid wsp:val=&quot;009F2EFE&quot;/&gt;&lt;wsp:rsid wsp:val=&quot;009F3128&quot;/&gt;&lt;wsp:rsid wsp:val=&quot;009F35C2&quot;/&gt;&lt;wsp:rsid wsp:val=&quot;009F3853&quot;/&gt;&lt;wsp:rsid wsp:val=&quot;009F3BDB&quot;/&gt;&lt;wsp:rsid wsp:val=&quot;009F4B13&quot;/&gt;&lt;wsp:rsid wsp:val=&quot;009F4C1D&quot;/&gt;&lt;wsp:rsid wsp:val=&quot;009F53C7&quot;/&gt;&lt;wsp:rsid wsp:val=&quot;009F5B5C&quot;/&gt;&lt;wsp:rsid wsp:val=&quot;009F743D&quot;/&gt;&lt;wsp:rsid wsp:val=&quot;00A00079&quot;/&gt;&lt;wsp:rsid wsp:val=&quot;00A003A1&quot;/&gt;&lt;wsp:rsid wsp:val=&quot;00A00B2C&quot;/&gt;&lt;wsp:rsid wsp:val=&quot;00A00FA2&quot;/&gt;&lt;wsp:rsid wsp:val=&quot;00A01103&quot;/&gt;&lt;wsp:rsid wsp:val=&quot;00A0120D&quot;/&gt;&lt;wsp:rsid wsp:val=&quot;00A01B20&quot;/&gt;&lt;wsp:rsid wsp:val=&quot;00A01C34&quot;/&gt;&lt;wsp:rsid wsp:val=&quot;00A021E2&quot;/&gt;&lt;wsp:rsid wsp:val=&quot;00A035FF&quot;/&gt;&lt;wsp:rsid wsp:val=&quot;00A0371D&quot;/&gt;&lt;wsp:rsid wsp:val=&quot;00A03A59&quot;/&gt;&lt;wsp:rsid wsp:val=&quot;00A03ACB&quot;/&gt;&lt;wsp:rsid wsp:val=&quot;00A03BB5&quot;/&gt;&lt;wsp:rsid wsp:val=&quot;00A03F77&quot;/&gt;&lt;wsp:rsid wsp:val=&quot;00A0427E&quot;/&gt;&lt;wsp:rsid wsp:val=&quot;00A042F8&quot;/&gt;&lt;wsp:rsid wsp:val=&quot;00A0452C&quot;/&gt;&lt;wsp:rsid wsp:val=&quot;00A046E7&quot;/&gt;&lt;wsp:rsid wsp:val=&quot;00A04B32&quot;/&gt;&lt;wsp:rsid wsp:val=&quot;00A04D0F&quot;/&gt;&lt;wsp:rsid wsp:val=&quot;00A04F77&quot;/&gt;&lt;wsp:rsid wsp:val=&quot;00A050F3&quot;/&gt;&lt;wsp:rsid wsp:val=&quot;00A05343&quot;/&gt;&lt;wsp:rsid wsp:val=&quot;00A053C7&quot;/&gt;&lt;wsp:rsid wsp:val=&quot;00A05677&quot;/&gt;&lt;wsp:rsid wsp:val=&quot;00A0591E&quot;/&gt;&lt;wsp:rsid wsp:val=&quot;00A05B4A&quot;/&gt;&lt;wsp:rsid wsp:val=&quot;00A05C2D&quot;/&gt;&lt;wsp:rsid wsp:val=&quot;00A06A03&quot;/&gt;&lt;wsp:rsid wsp:val=&quot;00A06BC1&quot;/&gt;&lt;wsp:rsid wsp:val=&quot;00A06C9D&quot;/&gt;&lt;wsp:rsid wsp:val=&quot;00A06DB5&quot;/&gt;&lt;wsp:rsid wsp:val=&quot;00A0748F&quot;/&gt;&lt;wsp:rsid wsp:val=&quot;00A079F1&quot;/&gt;&lt;wsp:rsid wsp:val=&quot;00A07B2C&quot;/&gt;&lt;wsp:rsid wsp:val=&quot;00A10D9B&quot;/&gt;&lt;wsp:rsid wsp:val=&quot;00A1145F&quot;/&gt;&lt;wsp:rsid wsp:val=&quot;00A11C52&quot;/&gt;&lt;wsp:rsid wsp:val=&quot;00A11C5C&quot;/&gt;&lt;wsp:rsid wsp:val=&quot;00A11D1F&quot;/&gt;&lt;wsp:rsid wsp:val=&quot;00A11D8C&quot;/&gt;&lt;wsp:rsid wsp:val=&quot;00A12172&quot;/&gt;&lt;wsp:rsid wsp:val=&quot;00A1222A&quot;/&gt;&lt;wsp:rsid wsp:val=&quot;00A12826&quot;/&gt;&lt;wsp:rsid wsp:val=&quot;00A12B42&quot;/&gt;&lt;wsp:rsid wsp:val=&quot;00A12F4B&quot;/&gt;&lt;wsp:rsid wsp:val=&quot;00A13143&quot;/&gt;&lt;wsp:rsid wsp:val=&quot;00A132CA&quot;/&gt;&lt;wsp:rsid wsp:val=&quot;00A1382C&quot;/&gt;&lt;wsp:rsid wsp:val=&quot;00A13CB4&quot;/&gt;&lt;wsp:rsid wsp:val=&quot;00A13ED1&quot;/&gt;&lt;wsp:rsid wsp:val=&quot;00A14295&quot;/&gt;&lt;wsp:rsid wsp:val=&quot;00A14943&quot;/&gt;&lt;wsp:rsid wsp:val=&quot;00A14F37&quot;/&gt;&lt;wsp:rsid wsp:val=&quot;00A15042&quot;/&gt;&lt;wsp:rsid wsp:val=&quot;00A1539F&quot;/&gt;&lt;wsp:rsid wsp:val=&quot;00A157CB&quot;/&gt;&lt;wsp:rsid wsp:val=&quot;00A15C90&quot;/&gt;&lt;wsp:rsid wsp:val=&quot;00A16650&quot;/&gt;&lt;wsp:rsid wsp:val=&quot;00A1679E&quot;/&gt;&lt;wsp:rsid wsp:val=&quot;00A167F7&quot;/&gt;&lt;wsp:rsid wsp:val=&quot;00A16F8F&quot;/&gt;&lt;wsp:rsid wsp:val=&quot;00A170BE&quot;/&gt;&lt;wsp:rsid wsp:val=&quot;00A17933&quot;/&gt;&lt;wsp:rsid wsp:val=&quot;00A17A3B&quot;/&gt;&lt;wsp:rsid wsp:val=&quot;00A17E2E&quot;/&gt;&lt;wsp:rsid wsp:val=&quot;00A17E9E&quot;/&gt;&lt;wsp:rsid wsp:val=&quot;00A17F35&quot;/&gt;&lt;wsp:rsid wsp:val=&quot;00A20289&quot;/&gt;&lt;wsp:rsid wsp:val=&quot;00A20639&quot;/&gt;&lt;wsp:rsid wsp:val=&quot;00A20776&quot;/&gt;&lt;wsp:rsid wsp:val=&quot;00A2117F&quot;/&gt;&lt;wsp:rsid wsp:val=&quot;00A21576&quot;/&gt;&lt;wsp:rsid wsp:val=&quot;00A2171D&quot;/&gt;&lt;wsp:rsid wsp:val=&quot;00A21B33&quot;/&gt;&lt;wsp:rsid wsp:val=&quot;00A21DCA&quot;/&gt;&lt;wsp:rsid wsp:val=&quot;00A22051&quot;/&gt;&lt;wsp:rsid wsp:val=&quot;00A2218B&quot;/&gt;&lt;wsp:rsid wsp:val=&quot;00A225B4&quot;/&gt;&lt;wsp:rsid wsp:val=&quot;00A2271E&quot;/&gt;&lt;wsp:rsid wsp:val=&quot;00A22F56&quot;/&gt;&lt;wsp:rsid wsp:val=&quot;00A22F88&quot;/&gt;&lt;wsp:rsid wsp:val=&quot;00A2308A&quot;/&gt;&lt;wsp:rsid wsp:val=&quot;00A23590&quot;/&gt;&lt;wsp:rsid wsp:val=&quot;00A238C6&quot;/&gt;&lt;wsp:rsid wsp:val=&quot;00A23A88&quot;/&gt;&lt;wsp:rsid wsp:val=&quot;00A2422C&quot;/&gt;&lt;wsp:rsid wsp:val=&quot;00A24560&quot;/&gt;&lt;wsp:rsid wsp:val=&quot;00A2545A&quot;/&gt;&lt;wsp:rsid wsp:val=&quot;00A2602E&quot;/&gt;&lt;wsp:rsid wsp:val=&quot;00A26074&quot;/&gt;&lt;wsp:rsid wsp:val=&quot;00A262C7&quot;/&gt;&lt;wsp:rsid wsp:val=&quot;00A268FA&quot;/&gt;&lt;wsp:rsid wsp:val=&quot;00A26F35&quot;/&gt;&lt;wsp:rsid wsp:val=&quot;00A273D4&quot;/&gt;&lt;wsp:rsid wsp:val=&quot;00A27E4F&quot;/&gt;&lt;wsp:rsid wsp:val=&quot;00A30547&quot;/&gt;&lt;wsp:rsid wsp:val=&quot;00A3120C&quot;/&gt;&lt;wsp:rsid wsp:val=&quot;00A3128D&quot;/&gt;&lt;wsp:rsid wsp:val=&quot;00A314D1&quot;/&gt;&lt;wsp:rsid wsp:val=&quot;00A31A46&quot;/&gt;&lt;wsp:rsid wsp:val=&quot;00A32C96&quot;/&gt;&lt;wsp:rsid wsp:val=&quot;00A32F8C&quot;/&gt;&lt;wsp:rsid wsp:val=&quot;00A337F3&quot;/&gt;&lt;wsp:rsid wsp:val=&quot;00A33B92&quot;/&gt;&lt;wsp:rsid wsp:val=&quot;00A33BE3&quot;/&gt;&lt;wsp:rsid wsp:val=&quot;00A33F6F&quot;/&gt;&lt;wsp:rsid wsp:val=&quot;00A34D3A&quot;/&gt;&lt;wsp:rsid wsp:val=&quot;00A35436&quot;/&gt;&lt;wsp:rsid wsp:val=&quot;00A35738&quot;/&gt;&lt;wsp:rsid wsp:val=&quot;00A359EA&quot;/&gt;&lt;wsp:rsid wsp:val=&quot;00A35D94&quot;/&gt;&lt;wsp:rsid wsp:val=&quot;00A366BA&quot;/&gt;&lt;wsp:rsid wsp:val=&quot;00A368E3&quot;/&gt;&lt;wsp:rsid wsp:val=&quot;00A3692B&quot;/&gt;&lt;wsp:rsid wsp:val=&quot;00A36B57&quot;/&gt;&lt;wsp:rsid wsp:val=&quot;00A3700D&quot;/&gt;&lt;wsp:rsid wsp:val=&quot;00A37631&quot;/&gt;&lt;wsp:rsid wsp:val=&quot;00A37781&quot;/&gt;&lt;wsp:rsid wsp:val=&quot;00A37CC5&quot;/&gt;&lt;wsp:rsid wsp:val=&quot;00A40B3E&quot;/&gt;&lt;wsp:rsid wsp:val=&quot;00A40D83&quot;/&gt;&lt;wsp:rsid wsp:val=&quot;00A40E71&quot;/&gt;&lt;wsp:rsid wsp:val=&quot;00A40FBA&quot;/&gt;&lt;wsp:rsid wsp:val=&quot;00A413DD&quot;/&gt;&lt;wsp:rsid wsp:val=&quot;00A41CCD&quot;/&gt;&lt;wsp:rsid wsp:val=&quot;00A42096&quot;/&gt;&lt;wsp:rsid wsp:val=&quot;00A4242B&quot;/&gt;&lt;wsp:rsid wsp:val=&quot;00A428EF&quot;/&gt;&lt;wsp:rsid wsp:val=&quot;00A4329F&quot;/&gt;&lt;wsp:rsid wsp:val=&quot;00A440DF&quot;/&gt;&lt;wsp:rsid wsp:val=&quot;00A44179&quot;/&gt;&lt;wsp:rsid wsp:val=&quot;00A44670&quot;/&gt;&lt;wsp:rsid wsp:val=&quot;00A44DA3&quot;/&gt;&lt;wsp:rsid wsp:val=&quot;00A44E6A&quot;/&gt;&lt;wsp:rsid wsp:val=&quot;00A44ED9&quot;/&gt;&lt;wsp:rsid wsp:val=&quot;00A4577B&quot;/&gt;&lt;wsp:rsid wsp:val=&quot;00A45CB1&quot;/&gt;&lt;wsp:rsid wsp:val=&quot;00A4666B&quot;/&gt;&lt;wsp:rsid wsp:val=&quot;00A4670E&quot;/&gt;&lt;wsp:rsid wsp:val=&quot;00A46945&quot;/&gt;&lt;wsp:rsid wsp:val=&quot;00A46C7F&quot;/&gt;&lt;wsp:rsid wsp:val=&quot;00A473F9&quot;/&gt;&lt;wsp:rsid wsp:val=&quot;00A47643&quot;/&gt;&lt;wsp:rsid wsp:val=&quot;00A477F7&quot;/&gt;&lt;wsp:rsid wsp:val=&quot;00A500FD&quot;/&gt;&lt;wsp:rsid wsp:val=&quot;00A50553&quot;/&gt;&lt;wsp:rsid wsp:val=&quot;00A50660&quot;/&gt;&lt;wsp:rsid wsp:val=&quot;00A5088A&quot;/&gt;&lt;wsp:rsid wsp:val=&quot;00A5096D&quot;/&gt;&lt;wsp:rsid wsp:val=&quot;00A511E0&quot;/&gt;&lt;wsp:rsid wsp:val=&quot;00A512A8&quot;/&gt;&lt;wsp:rsid wsp:val=&quot;00A514C9&quot;/&gt;&lt;wsp:rsid wsp:val=&quot;00A51952&quot;/&gt;&lt;wsp:rsid wsp:val=&quot;00A519DB&quot;/&gt;&lt;wsp:rsid wsp:val=&quot;00A51A02&quot;/&gt;&lt;wsp:rsid wsp:val=&quot;00A51AE9&quot;/&gt;&lt;wsp:rsid wsp:val=&quot;00A523BC&quot;/&gt;&lt;wsp:rsid wsp:val=&quot;00A528CB&quot;/&gt;&lt;wsp:rsid wsp:val=&quot;00A529D3&quot;/&gt;&lt;wsp:rsid wsp:val=&quot;00A52C2D&quot;/&gt;&lt;wsp:rsid wsp:val=&quot;00A52D14&quot;/&gt;&lt;wsp:rsid wsp:val=&quot;00A52F05&quot;/&gt;&lt;wsp:rsid wsp:val=&quot;00A52F13&quot;/&gt;&lt;wsp:rsid wsp:val=&quot;00A532B3&quot;/&gt;&lt;wsp:rsid wsp:val=&quot;00A53BFE&quot;/&gt;&lt;wsp:rsid wsp:val=&quot;00A540AE&quot;/&gt;&lt;wsp:rsid wsp:val=&quot;00A54192&quot;/&gt;&lt;wsp:rsid wsp:val=&quot;00A54C91&quot;/&gt;&lt;wsp:rsid wsp:val=&quot;00A54D24&quot;/&gt;&lt;wsp:rsid wsp:val=&quot;00A55178&quot;/&gt;&lt;wsp:rsid wsp:val=&quot;00A553ED&quot;/&gt;&lt;wsp:rsid wsp:val=&quot;00A5550C&quot;/&gt;&lt;wsp:rsid wsp:val=&quot;00A555FE&quot;/&gt;&lt;wsp:rsid wsp:val=&quot;00A5563C&quot;/&gt;&lt;wsp:rsid wsp:val=&quot;00A55896&quot;/&gt;&lt;wsp:rsid wsp:val=&quot;00A55D3B&quot;/&gt;&lt;wsp:rsid wsp:val=&quot;00A55EED&quot;/&gt;&lt;wsp:rsid wsp:val=&quot;00A560F1&quot;/&gt;&lt;wsp:rsid wsp:val=&quot;00A563C5&quot;/&gt;&lt;wsp:rsid wsp:val=&quot;00A56C1A&quot;/&gt;&lt;wsp:rsid wsp:val=&quot;00A56CF4&quot;/&gt;&lt;wsp:rsid wsp:val=&quot;00A5745B&quot;/&gt;&lt;wsp:rsid wsp:val=&quot;00A57647&quot;/&gt;&lt;wsp:rsid wsp:val=&quot;00A577CA&quot;/&gt;&lt;wsp:rsid wsp:val=&quot;00A578B1&quot;/&gt;&lt;wsp:rsid wsp:val=&quot;00A57933&quot;/&gt;&lt;wsp:rsid wsp:val=&quot;00A57CA1&quot;/&gt;&lt;wsp:rsid wsp:val=&quot;00A60921&quot;/&gt;&lt;wsp:rsid wsp:val=&quot;00A60AD1&quot;/&gt;&lt;wsp:rsid wsp:val=&quot;00A611EE&quot;/&gt;&lt;wsp:rsid wsp:val=&quot;00A61867&quot;/&gt;&lt;wsp:rsid wsp:val=&quot;00A61C2E&quot;/&gt;&lt;wsp:rsid wsp:val=&quot;00A61CF5&quot;/&gt;&lt;wsp:rsid wsp:val=&quot;00A6217D&quot;/&gt;&lt;wsp:rsid wsp:val=&quot;00A621AA&quot;/&gt;&lt;wsp:rsid wsp:val=&quot;00A62312&quot;/&gt;&lt;wsp:rsid wsp:val=&quot;00A62605&quot;/&gt;&lt;wsp:rsid wsp:val=&quot;00A62708&quot;/&gt;&lt;wsp:rsid wsp:val=&quot;00A62B02&quot;/&gt;&lt;wsp:rsid wsp:val=&quot;00A62B81&quot;/&gt;&lt;wsp:rsid wsp:val=&quot;00A63338&quot;/&gt;&lt;wsp:rsid wsp:val=&quot;00A6355E&quot;/&gt;&lt;wsp:rsid wsp:val=&quot;00A636D1&quot;/&gt;&lt;wsp:rsid wsp:val=&quot;00A63B3D&quot;/&gt;&lt;wsp:rsid wsp:val=&quot;00A63E7F&quot;/&gt;&lt;wsp:rsid wsp:val=&quot;00A63FAC&quot;/&gt;&lt;wsp:rsid wsp:val=&quot;00A646B6&quot;/&gt;&lt;wsp:rsid wsp:val=&quot;00A647EB&quot;/&gt;&lt;wsp:rsid wsp:val=&quot;00A65006&quot;/&gt;&lt;wsp:rsid wsp:val=&quot;00A6546B&quot;/&gt;&lt;wsp:rsid wsp:val=&quot;00A65AC9&quot;/&gt;&lt;wsp:rsid wsp:val=&quot;00A65B1F&quot;/&gt;&lt;wsp:rsid wsp:val=&quot;00A669C9&quot;/&gt;&lt;wsp:rsid wsp:val=&quot;00A66AF5&quot;/&gt;&lt;wsp:rsid wsp:val=&quot;00A670F8&quot;/&gt;&lt;wsp:rsid wsp:val=&quot;00A67A15&quot;/&gt;&lt;wsp:rsid wsp:val=&quot;00A67ACB&quot;/&gt;&lt;wsp:rsid wsp:val=&quot;00A67D19&quot;/&gt;&lt;wsp:rsid wsp:val=&quot;00A70388&quot;/&gt;&lt;wsp:rsid wsp:val=&quot;00A708B1&quot;/&gt;&lt;wsp:rsid wsp:val=&quot;00A7092F&quot;/&gt;&lt;wsp:rsid wsp:val=&quot;00A70FB9&quot;/&gt;&lt;wsp:rsid wsp:val=&quot;00A7142D&quot;/&gt;&lt;wsp:rsid wsp:val=&quot;00A72282&quot;/&gt;&lt;wsp:rsid wsp:val=&quot;00A72909&quot;/&gt;&lt;wsp:rsid wsp:val=&quot;00A72C0E&quot;/&gt;&lt;wsp:rsid wsp:val=&quot;00A72EE2&quot;/&gt;&lt;wsp:rsid wsp:val=&quot;00A731A9&quot;/&gt;&lt;wsp:rsid wsp:val=&quot;00A73448&quot;/&gt;&lt;wsp:rsid wsp:val=&quot;00A7372B&quot;/&gt;&lt;wsp:rsid wsp:val=&quot;00A73BA9&quot;/&gt;&lt;wsp:rsid wsp:val=&quot;00A73CFD&quot;/&gt;&lt;wsp:rsid wsp:val=&quot;00A742D0&quot;/&gt;&lt;wsp:rsid wsp:val=&quot;00A7573D&quot;/&gt;&lt;wsp:rsid wsp:val=&quot;00A76551&quot;/&gt;&lt;wsp:rsid wsp:val=&quot;00A766E6&quot;/&gt;&lt;wsp:rsid wsp:val=&quot;00A7695D&quot;/&gt;&lt;wsp:rsid wsp:val=&quot;00A76A04&quot;/&gt;&lt;wsp:rsid wsp:val=&quot;00A76AED&quot;/&gt;&lt;wsp:rsid wsp:val=&quot;00A76DCC&quot;/&gt;&lt;wsp:rsid wsp:val=&quot;00A770CE&quot;/&gt;&lt;wsp:rsid wsp:val=&quot;00A77389&quot;/&gt;&lt;wsp:rsid wsp:val=&quot;00A7762A&quot;/&gt;&lt;wsp:rsid wsp:val=&quot;00A77BC7&quot;/&gt;&lt;wsp:rsid wsp:val=&quot;00A77D57&quot;/&gt;&lt;wsp:rsid wsp:val=&quot;00A77E07&quot;/&gt;&lt;wsp:rsid wsp:val=&quot;00A80457&quot;/&gt;&lt;wsp:rsid wsp:val=&quot;00A80E5E&quot;/&gt;&lt;wsp:rsid wsp:val=&quot;00A8101E&quot;/&gt;&lt;wsp:rsid wsp:val=&quot;00A8145D&quot;/&gt;&lt;wsp:rsid wsp:val=&quot;00A81AE8&quot;/&gt;&lt;wsp:rsid wsp:val=&quot;00A81F5C&quot;/&gt;&lt;wsp:rsid wsp:val=&quot;00A8204D&quot;/&gt;&lt;wsp:rsid wsp:val=&quot;00A8241B&quot;/&gt;&lt;wsp:rsid wsp:val=&quot;00A82AF9&quot;/&gt;&lt;wsp:rsid wsp:val=&quot;00A832F4&quot;/&gt;&lt;wsp:rsid wsp:val=&quot;00A83964&quot;/&gt;&lt;wsp:rsid wsp:val=&quot;00A83972&quot;/&gt;&lt;wsp:rsid wsp:val=&quot;00A83C83&quot;/&gt;&lt;wsp:rsid wsp:val=&quot;00A83FEC&quot;/&gt;&lt;wsp:rsid wsp:val=&quot;00A840FE&quot;/&gt;&lt;wsp:rsid wsp:val=&quot;00A84602&quot;/&gt;&lt;wsp:rsid wsp:val=&quot;00A849C1&quot;/&gt;&lt;wsp:rsid wsp:val=&quot;00A84EA4&quot;/&gt;&lt;wsp:rsid wsp:val=&quot;00A85615&quot;/&gt;&lt;wsp:rsid wsp:val=&quot;00A85686&quot;/&gt;&lt;wsp:rsid wsp:val=&quot;00A85AC7&quot;/&gt;&lt;wsp:rsid wsp:val=&quot;00A86CA2&quot;/&gt;&lt;wsp:rsid wsp:val=&quot;00A8725B&quot;/&gt;&lt;wsp:rsid wsp:val=&quot;00A87443&quot;/&gt;&lt;wsp:rsid wsp:val=&quot;00A87D9B&quot;/&gt;&lt;wsp:rsid wsp:val=&quot;00A90DA6&quot;/&gt;&lt;wsp:rsid wsp:val=&quot;00A91D74&quot;/&gt;&lt;wsp:rsid wsp:val=&quot;00A91E13&quot;/&gt;&lt;wsp:rsid wsp:val=&quot;00A9280F&quot;/&gt;&lt;wsp:rsid wsp:val=&quot;00A92CF1&quot;/&gt;&lt;wsp:rsid wsp:val=&quot;00A92E21&quot;/&gt;&lt;wsp:rsid wsp:val=&quot;00A92EAF&quot;/&gt;&lt;wsp:rsid wsp:val=&quot;00A93183&quot;/&gt;&lt;wsp:rsid wsp:val=&quot;00A932E6&quot;/&gt;&lt;wsp:rsid wsp:val=&quot;00A934AD&quot;/&gt;&lt;wsp:rsid wsp:val=&quot;00A93756&quot;/&gt;&lt;wsp:rsid wsp:val=&quot;00A939A3&quot;/&gt;&lt;wsp:rsid wsp:val=&quot;00A939E0&quot;/&gt;&lt;wsp:rsid wsp:val=&quot;00A93A0B&quot;/&gt;&lt;wsp:rsid wsp:val=&quot;00A93ED3&quot;/&gt;&lt;wsp:rsid wsp:val=&quot;00A9402B&quot;/&gt;&lt;wsp:rsid wsp:val=&quot;00A94217&quot;/&gt;&lt;wsp:rsid wsp:val=&quot;00A94458&quot;/&gt;&lt;wsp:rsid wsp:val=&quot;00A94AA1&quot;/&gt;&lt;wsp:rsid wsp:val=&quot;00A94ACA&quot;/&gt;&lt;wsp:rsid wsp:val=&quot;00A9526C&quot;/&gt;&lt;wsp:rsid wsp:val=&quot;00A9573C&quot;/&gt;&lt;wsp:rsid wsp:val=&quot;00A957C3&quot;/&gt;&lt;wsp:rsid wsp:val=&quot;00A95860&quot;/&gt;&lt;wsp:rsid wsp:val=&quot;00A958A9&quot;/&gt;&lt;wsp:rsid wsp:val=&quot;00A95910&quot;/&gt;&lt;wsp:rsid wsp:val=&quot;00A95D10&quot;/&gt;&lt;wsp:rsid wsp:val=&quot;00A95EC7&quot;/&gt;&lt;wsp:rsid wsp:val=&quot;00A9643A&quot;/&gt;&lt;wsp:rsid wsp:val=&quot;00A9707F&quot;/&gt;&lt;wsp:rsid wsp:val=&quot;00A97760&quot;/&gt;&lt;wsp:rsid wsp:val=&quot;00A97804&quot;/&gt;&lt;wsp:rsid wsp:val=&quot;00A97922&quot;/&gt;&lt;wsp:rsid wsp:val=&quot;00A979B9&quot;/&gt;&lt;wsp:rsid wsp:val=&quot;00A97BE0&quot;/&gt;&lt;wsp:rsid wsp:val=&quot;00A97EBC&quot;/&gt;&lt;wsp:rsid wsp:val=&quot;00AA0646&quot;/&gt;&lt;wsp:rsid wsp:val=&quot;00AA06FC&quot;/&gt;&lt;wsp:rsid wsp:val=&quot;00AA16C8&quot;/&gt;&lt;wsp:rsid wsp:val=&quot;00AA1B83&quot;/&gt;&lt;wsp:rsid wsp:val=&quot;00AA1C2B&quot;/&gt;&lt;wsp:rsid wsp:val=&quot;00AA1DD5&quot;/&gt;&lt;wsp:rsid wsp:val=&quot;00AA25B4&quot;/&gt;&lt;wsp:rsid wsp:val=&quot;00AA25C9&quot;/&gt;&lt;wsp:rsid wsp:val=&quot;00AA3C0D&quot;/&gt;&lt;wsp:rsid wsp:val=&quot;00AA4063&quot;/&gt;&lt;wsp:rsid wsp:val=&quot;00AA42E3&quot;/&gt;&lt;wsp:rsid wsp:val=&quot;00AA438C&quot;/&gt;&lt;wsp:rsid wsp:val=&quot;00AA4493&quot;/&gt;&lt;wsp:rsid wsp:val=&quot;00AA457F&quot;/&gt;&lt;wsp:rsid wsp:val=&quot;00AA4631&quot;/&gt;&lt;wsp:rsid wsp:val=&quot;00AA489C&quot;/&gt;&lt;wsp:rsid wsp:val=&quot;00AA494A&quot;/&gt;&lt;wsp:rsid wsp:val=&quot;00AA502F&quot;/&gt;&lt;wsp:rsid wsp:val=&quot;00AA538E&quot;/&gt;&lt;wsp:rsid wsp:val=&quot;00AA53DD&quot;/&gt;&lt;wsp:rsid wsp:val=&quot;00AA53FB&quot;/&gt;&lt;wsp:rsid wsp:val=&quot;00AA6234&quot;/&gt;&lt;wsp:rsid wsp:val=&quot;00AA6437&quot;/&gt;&lt;wsp:rsid wsp:val=&quot;00AA64B1&quot;/&gt;&lt;wsp:rsid wsp:val=&quot;00AA6C67&quot;/&gt;&lt;wsp:rsid wsp:val=&quot;00AA705C&quot;/&gt;&lt;wsp:rsid wsp:val=&quot;00AA72AF&quot;/&gt;&lt;wsp:rsid wsp:val=&quot;00AA7848&quot;/&gt;&lt;wsp:rsid wsp:val=&quot;00AA7856&quot;/&gt;&lt;wsp:rsid wsp:val=&quot;00AA7863&quot;/&gt;&lt;wsp:rsid wsp:val=&quot;00AA7890&quot;/&gt;&lt;wsp:rsid wsp:val=&quot;00AA78B4&quot;/&gt;&lt;wsp:rsid wsp:val=&quot;00AA7954&quot;/&gt;&lt;wsp:rsid wsp:val=&quot;00AA7C43&quot;/&gt;&lt;wsp:rsid wsp:val=&quot;00AA7CE3&quot;/&gt;&lt;wsp:rsid wsp:val=&quot;00AA7FB6&quot;/&gt;&lt;wsp:rsid wsp:val=&quot;00AB0247&quot;/&gt;&lt;wsp:rsid wsp:val=&quot;00AB0267&quot;/&gt;&lt;wsp:rsid wsp:val=&quot;00AB0652&quot;/&gt;&lt;wsp:rsid wsp:val=&quot;00AB0762&quot;/&gt;&lt;wsp:rsid wsp:val=&quot;00AB1276&quot;/&gt;&lt;wsp:rsid wsp:val=&quot;00AB17BB&quot;/&gt;&lt;wsp:rsid wsp:val=&quot;00AB1C8B&quot;/&gt;&lt;wsp:rsid wsp:val=&quot;00AB264A&quot;/&gt;&lt;wsp:rsid wsp:val=&quot;00AB2796&quot;/&gt;&lt;wsp:rsid wsp:val=&quot;00AB2DB2&quot;/&gt;&lt;wsp:rsid wsp:val=&quot;00AB3604&quot;/&gt;&lt;wsp:rsid wsp:val=&quot;00AB3752&quot;/&gt;&lt;wsp:rsid wsp:val=&quot;00AB37C6&quot;/&gt;&lt;wsp:rsid wsp:val=&quot;00AB3A50&quot;/&gt;&lt;wsp:rsid wsp:val=&quot;00AB3AE9&quot;/&gt;&lt;wsp:rsid wsp:val=&quot;00AB3BB7&quot;/&gt;&lt;wsp:rsid wsp:val=&quot;00AB3BC4&quot;/&gt;&lt;wsp:rsid wsp:val=&quot;00AB3ED2&quot;/&gt;&lt;wsp:rsid wsp:val=&quot;00AB4121&quot;/&gt;&lt;wsp:rsid wsp:val=&quot;00AB5A60&quot;/&gt;&lt;wsp:rsid wsp:val=&quot;00AB639D&quot;/&gt;&lt;wsp:rsid wsp:val=&quot;00AB65A0&quot;/&gt;&lt;wsp:rsid wsp:val=&quot;00AB6C83&quot;/&gt;&lt;wsp:rsid wsp:val=&quot;00AB73FF&quot;/&gt;&lt;wsp:rsid wsp:val=&quot;00AB7672&quot;/&gt;&lt;wsp:rsid wsp:val=&quot;00AB7743&quot;/&gt;&lt;wsp:rsid wsp:val=&quot;00AB7D57&quot;/&gt;&lt;wsp:rsid wsp:val=&quot;00AC0D16&quot;/&gt;&lt;wsp:rsid wsp:val=&quot;00AC14FD&quot;/&gt;&lt;wsp:rsid wsp:val=&quot;00AC1A69&quot;/&gt;&lt;wsp:rsid wsp:val=&quot;00AC1DBC&quot;/&gt;&lt;wsp:rsid wsp:val=&quot;00AC1F01&quot;/&gt;&lt;wsp:rsid wsp:val=&quot;00AC23A1&quot;/&gt;&lt;wsp:rsid wsp:val=&quot;00AC2A32&quot;/&gt;&lt;wsp:rsid wsp:val=&quot;00AC3AFE&quot;/&gt;&lt;wsp:rsid wsp:val=&quot;00AC3B8D&quot;/&gt;&lt;wsp:rsid wsp:val=&quot;00AC3BBD&quot;/&gt;&lt;wsp:rsid wsp:val=&quot;00AC4359&quot;/&gt;&lt;wsp:rsid wsp:val=&quot;00AC44C9&quot;/&gt;&lt;wsp:rsid wsp:val=&quot;00AC472D&quot;/&gt;&lt;wsp:rsid wsp:val=&quot;00AC47B2&quot;/&gt;&lt;wsp:rsid wsp:val=&quot;00AC4C2B&quot;/&gt;&lt;wsp:rsid wsp:val=&quot;00AC4FF1&quot;/&gt;&lt;wsp:rsid wsp:val=&quot;00AC5879&quot;/&gt;&lt;wsp:rsid wsp:val=&quot;00AC6391&quot;/&gt;&lt;wsp:rsid wsp:val=&quot;00AC6CD0&quot;/&gt;&lt;wsp:rsid wsp:val=&quot;00AC71C8&quot;/&gt;&lt;wsp:rsid wsp:val=&quot;00AC71C9&quot;/&gt;&lt;wsp:rsid wsp:val=&quot;00AC75FF&quot;/&gt;&lt;wsp:rsid wsp:val=&quot;00AC7B41&quot;/&gt;&lt;wsp:rsid wsp:val=&quot;00AD005E&quot;/&gt;&lt;wsp:rsid wsp:val=&quot;00AD0115&quot;/&gt;&lt;wsp:rsid wsp:val=&quot;00AD0C33&quot;/&gt;&lt;wsp:rsid wsp:val=&quot;00AD1701&quot;/&gt;&lt;wsp:rsid wsp:val=&quot;00AD1B71&quot;/&gt;&lt;wsp:rsid wsp:val=&quot;00AD1B8E&quot;/&gt;&lt;wsp:rsid wsp:val=&quot;00AD26FB&quot;/&gt;&lt;wsp:rsid wsp:val=&quot;00AD270A&quot;/&gt;&lt;wsp:rsid wsp:val=&quot;00AD2DD9&quot;/&gt;&lt;wsp:rsid wsp:val=&quot;00AD33E4&quot;/&gt;&lt;wsp:rsid wsp:val=&quot;00AD360C&quot;/&gt;&lt;wsp:rsid wsp:val=&quot;00AD36A2&quot;/&gt;&lt;wsp:rsid wsp:val=&quot;00AD3954&quot;/&gt;&lt;wsp:rsid wsp:val=&quot;00AD3B49&quot;/&gt;&lt;wsp:rsid wsp:val=&quot;00AD3BD7&quot;/&gt;&lt;wsp:rsid wsp:val=&quot;00AD3DAB&quot;/&gt;&lt;wsp:rsid wsp:val=&quot;00AD3EB4&quot;/&gt;&lt;wsp:rsid wsp:val=&quot;00AD44B0&quot;/&gt;&lt;wsp:rsid wsp:val=&quot;00AD4B01&quot;/&gt;&lt;wsp:rsid wsp:val=&quot;00AD4CA5&quot;/&gt;&lt;wsp:rsid wsp:val=&quot;00AD4ED8&quot;/&gt;&lt;wsp:rsid wsp:val=&quot;00AD552C&quot;/&gt;&lt;wsp:rsid wsp:val=&quot;00AD5826&quot;/&gt;&lt;wsp:rsid wsp:val=&quot;00AD5996&quot;/&gt;&lt;wsp:rsid wsp:val=&quot;00AD65B1&quot;/&gt;&lt;wsp:rsid wsp:val=&quot;00AD6827&quot;/&gt;&lt;wsp:rsid wsp:val=&quot;00AD6CE9&quot;/&gt;&lt;wsp:rsid wsp:val=&quot;00AD7107&quot;/&gt;&lt;wsp:rsid wsp:val=&quot;00AD73D2&quot;/&gt;&lt;wsp:rsid wsp:val=&quot;00AD74DF&quot;/&gt;&lt;wsp:rsid wsp:val=&quot;00AD74E1&quot;/&gt;&lt;wsp:rsid wsp:val=&quot;00AD76C7&quot;/&gt;&lt;wsp:rsid wsp:val=&quot;00AD7771&quot;/&gt;&lt;wsp:rsid wsp:val=&quot;00AD7853&quot;/&gt;&lt;wsp:rsid wsp:val=&quot;00AD78B7&quot;/&gt;&lt;wsp:rsid wsp:val=&quot;00AD7BA6&quot;/&gt;&lt;wsp:rsid wsp:val=&quot;00AD7D3A&quot;/&gt;&lt;wsp:rsid wsp:val=&quot;00AD7E34&quot;/&gt;&lt;wsp:rsid wsp:val=&quot;00AE03CB&quot;/&gt;&lt;wsp:rsid wsp:val=&quot;00AE060D&quot;/&gt;&lt;wsp:rsid wsp:val=&quot;00AE0730&quot;/&gt;&lt;wsp:rsid wsp:val=&quot;00AE1414&quot;/&gt;&lt;wsp:rsid wsp:val=&quot;00AE16BD&quot;/&gt;&lt;wsp:rsid wsp:val=&quot;00AE1815&quot;/&gt;&lt;wsp:rsid wsp:val=&quot;00AE1AD9&quot;/&gt;&lt;wsp:rsid wsp:val=&quot;00AE22FE&quot;/&gt;&lt;wsp:rsid wsp:val=&quot;00AE2719&quot;/&gt;&lt;wsp:rsid wsp:val=&quot;00AE2EB2&quot;/&gt;&lt;wsp:rsid wsp:val=&quot;00AE3406&quot;/&gt;&lt;wsp:rsid wsp:val=&quot;00AE3873&quot;/&gt;&lt;wsp:rsid wsp:val=&quot;00AE3B88&quot;/&gt;&lt;wsp:rsid wsp:val=&quot;00AE3FFD&quot;/&gt;&lt;wsp:rsid wsp:val=&quot;00AE4C4B&quot;/&gt;&lt;wsp:rsid wsp:val=&quot;00AE5507&quot;/&gt;&lt;wsp:rsid wsp:val=&quot;00AE5AA2&quot;/&gt;&lt;wsp:rsid wsp:val=&quot;00AE5AA7&quot;/&gt;&lt;wsp:rsid wsp:val=&quot;00AE6327&quot;/&gt;&lt;wsp:rsid wsp:val=&quot;00AE654F&quot;/&gt;&lt;wsp:rsid wsp:val=&quot;00AE6F94&quot;/&gt;&lt;wsp:rsid wsp:val=&quot;00AE7387&quot;/&gt;&lt;wsp:rsid wsp:val=&quot;00AE7614&quot;/&gt;&lt;wsp:rsid wsp:val=&quot;00AE76B7&quot;/&gt;&lt;wsp:rsid wsp:val=&quot;00AE7F41&quot;/&gt;&lt;wsp:rsid wsp:val=&quot;00AE7F77&quot;/&gt;&lt;wsp:rsid wsp:val=&quot;00AF007A&quot;/&gt;&lt;wsp:rsid wsp:val=&quot;00AF0423&quot;/&gt;&lt;wsp:rsid wsp:val=&quot;00AF068C&quot;/&gt;&lt;wsp:rsid wsp:val=&quot;00AF0A02&quot;/&gt;&lt;wsp:rsid wsp:val=&quot;00AF0EC7&quot;/&gt;&lt;wsp:rsid wsp:val=&quot;00AF1558&quot;/&gt;&lt;wsp:rsid wsp:val=&quot;00AF175A&quot;/&gt;&lt;wsp:rsid wsp:val=&quot;00AF18C9&quot;/&gt;&lt;wsp:rsid wsp:val=&quot;00AF1E20&quot;/&gt;&lt;wsp:rsid wsp:val=&quot;00AF2379&quot;/&gt;&lt;wsp:rsid wsp:val=&quot;00AF2872&quot;/&gt;&lt;wsp:rsid wsp:val=&quot;00AF2950&quot;/&gt;&lt;wsp:rsid wsp:val=&quot;00AF2F18&quot;/&gt;&lt;wsp:rsid wsp:val=&quot;00AF40E6&quot;/&gt;&lt;wsp:rsid wsp:val=&quot;00AF4150&quot;/&gt;&lt;wsp:rsid wsp:val=&quot;00AF422B&quot;/&gt;&lt;wsp:rsid wsp:val=&quot;00AF4441&quot;/&gt;&lt;wsp:rsid wsp:val=&quot;00AF47BF&quot;/&gt;&lt;wsp:rsid wsp:val=&quot;00AF4A3C&quot;/&gt;&lt;wsp:rsid wsp:val=&quot;00AF4D1B&quot;/&gt;&lt;wsp:rsid wsp:val=&quot;00AF4DF1&quot;/&gt;&lt;wsp:rsid wsp:val=&quot;00AF5578&quot;/&gt;&lt;wsp:rsid wsp:val=&quot;00AF565E&quot;/&gt;&lt;wsp:rsid wsp:val=&quot;00AF5DAA&quot;/&gt;&lt;wsp:rsid wsp:val=&quot;00AF5DEB&quot;/&gt;&lt;wsp:rsid wsp:val=&quot;00AF66D6&quot;/&gt;&lt;wsp:rsid wsp:val=&quot;00AF695E&quot;/&gt;&lt;wsp:rsid wsp:val=&quot;00AF6D47&quot;/&gt;&lt;wsp:rsid wsp:val=&quot;00AF6D7C&quot;/&gt;&lt;wsp:rsid wsp:val=&quot;00AF6F95&quot;/&gt;&lt;wsp:rsid wsp:val=&quot;00AF71BE&quot;/&gt;&lt;wsp:rsid wsp:val=&quot;00AF7D9B&quot;/&gt;&lt;wsp:rsid wsp:val=&quot;00AF7E13&quot;/&gt;&lt;wsp:rsid wsp:val=&quot;00AF7F40&quot;/&gt;&lt;wsp:rsid wsp:val=&quot;00B00502&quot;/&gt;&lt;wsp:rsid wsp:val=&quot;00B0051B&quot;/&gt;&lt;wsp:rsid wsp:val=&quot;00B0075C&quot;/&gt;&lt;wsp:rsid wsp:val=&quot;00B009A9&quot;/&gt;&lt;wsp:rsid wsp:val=&quot;00B01251&quot;/&gt;&lt;wsp:rsid wsp:val=&quot;00B015A7&quot;/&gt;&lt;wsp:rsid wsp:val=&quot;00B022A1&quot;/&gt;&lt;wsp:rsid wsp:val=&quot;00B031E5&quot;/&gt;&lt;wsp:rsid wsp:val=&quot;00B03C47&quot;/&gt;&lt;wsp:rsid wsp:val=&quot;00B03C7E&quot;/&gt;&lt;wsp:rsid wsp:val=&quot;00B03D06&quot;/&gt;&lt;wsp:rsid wsp:val=&quot;00B04C29&quot;/&gt;&lt;wsp:rsid wsp:val=&quot;00B04C2F&quot;/&gt;&lt;wsp:rsid wsp:val=&quot;00B04D61&quot;/&gt;&lt;wsp:rsid wsp:val=&quot;00B04F9A&quot;/&gt;&lt;wsp:rsid wsp:val=&quot;00B0579F&quot;/&gt;&lt;wsp:rsid wsp:val=&quot;00B05980&quot;/&gt;&lt;wsp:rsid wsp:val=&quot;00B05BCB&quot;/&gt;&lt;wsp:rsid wsp:val=&quot;00B064AF&quot;/&gt;&lt;wsp:rsid wsp:val=&quot;00B06710&quot;/&gt;&lt;wsp:rsid wsp:val=&quot;00B06ED8&quot;/&gt;&lt;wsp:rsid wsp:val=&quot;00B07174&quot;/&gt;&lt;wsp:rsid wsp:val=&quot;00B07213&quot;/&gt;&lt;wsp:rsid wsp:val=&quot;00B072E9&quot;/&gt;&lt;wsp:rsid wsp:val=&quot;00B07890&quot;/&gt;&lt;wsp:rsid wsp:val=&quot;00B07D7B&quot;/&gt;&lt;wsp:rsid wsp:val=&quot;00B10030&quot;/&gt;&lt;wsp:rsid wsp:val=&quot;00B1015F&quot;/&gt;&lt;wsp:rsid wsp:val=&quot;00B105D9&quot;/&gt;&lt;wsp:rsid wsp:val=&quot;00B107A1&quot;/&gt;&lt;wsp:rsid wsp:val=&quot;00B11639&quot;/&gt;&lt;wsp:rsid wsp:val=&quot;00B11FB6&quot;/&gt;&lt;wsp:rsid wsp:val=&quot;00B1207C&quot;/&gt;&lt;wsp:rsid wsp:val=&quot;00B12740&quot;/&gt;&lt;wsp:rsid wsp:val=&quot;00B12EBA&quot;/&gt;&lt;wsp:rsid wsp:val=&quot;00B13959&quot;/&gt;&lt;wsp:rsid wsp:val=&quot;00B1440A&quot;/&gt;&lt;wsp:rsid wsp:val=&quot;00B14A71&quot;/&gt;&lt;wsp:rsid wsp:val=&quot;00B14BB2&quot;/&gt;&lt;wsp:rsid wsp:val=&quot;00B15E5C&quot;/&gt;&lt;wsp:rsid wsp:val=&quot;00B16402&quot;/&gt;&lt;wsp:rsid wsp:val=&quot;00B169F6&quot;/&gt;&lt;wsp:rsid wsp:val=&quot;00B1743B&quot;/&gt;&lt;wsp:rsid wsp:val=&quot;00B17DFF&quot;/&gt;&lt;wsp:rsid wsp:val=&quot;00B17F50&quot;/&gt;&lt;wsp:rsid wsp:val=&quot;00B21652&quot;/&gt;&lt;wsp:rsid wsp:val=&quot;00B21B94&quot;/&gt;&lt;wsp:rsid wsp:val=&quot;00B21ED4&quot;/&gt;&lt;wsp:rsid wsp:val=&quot;00B227EF&quot;/&gt;&lt;wsp:rsid wsp:val=&quot;00B22CCA&quot;/&gt;&lt;wsp:rsid wsp:val=&quot;00B231E5&quot;/&gt;&lt;wsp:rsid wsp:val=&quot;00B2333B&quot;/&gt;&lt;wsp:rsid wsp:val=&quot;00B23AE5&quot;/&gt;&lt;wsp:rsid wsp:val=&quot;00B249EB&quot;/&gt;&lt;wsp:rsid wsp:val=&quot;00B24A7C&quot;/&gt;&lt;wsp:rsid wsp:val=&quot;00B24C9C&quot;/&gt;&lt;wsp:rsid wsp:val=&quot;00B24E39&quot;/&gt;&lt;wsp:rsid wsp:val=&quot;00B24EEE&quot;/&gt;&lt;wsp:rsid wsp:val=&quot;00B26120&quot;/&gt;&lt;wsp:rsid wsp:val=&quot;00B26377&quot;/&gt;&lt;wsp:rsid wsp:val=&quot;00B26542&quot;/&gt;&lt;wsp:rsid wsp:val=&quot;00B266EE&quot;/&gt;&lt;wsp:rsid wsp:val=&quot;00B26851&quot;/&gt;&lt;wsp:rsid wsp:val=&quot;00B26BD6&quot;/&gt;&lt;wsp:rsid wsp:val=&quot;00B27D5B&quot;/&gt;&lt;wsp:rsid wsp:val=&quot;00B309EC&quot;/&gt;&lt;wsp:rsid wsp:val=&quot;00B30A1F&quot;/&gt;&lt;wsp:rsid wsp:val=&quot;00B3182D&quot;/&gt;&lt;wsp:rsid wsp:val=&quot;00B31899&quot;/&gt;&lt;wsp:rsid wsp:val=&quot;00B31B2F&quot;/&gt;&lt;wsp:rsid wsp:val=&quot;00B31B96&quot;/&gt;&lt;wsp:rsid wsp:val=&quot;00B31E9B&quot;/&gt;&lt;wsp:rsid wsp:val=&quot;00B31F8A&quot;/&gt;&lt;wsp:rsid wsp:val=&quot;00B32A7E&quot;/&gt;&lt;wsp:rsid wsp:val=&quot;00B32F02&quot;/&gt;&lt;wsp:rsid wsp:val=&quot;00B32F2A&quot;/&gt;&lt;wsp:rsid wsp:val=&quot;00B33124&quot;/&gt;&lt;wsp:rsid wsp:val=&quot;00B33824&quot;/&gt;&lt;wsp:rsid wsp:val=&quot;00B33998&quot;/&gt;&lt;wsp:rsid wsp:val=&quot;00B34043&quot;/&gt;&lt;wsp:rsid wsp:val=&quot;00B34552&quot;/&gt;&lt;wsp:rsid wsp:val=&quot;00B348D8&quot;/&gt;&lt;wsp:rsid wsp:val=&quot;00B34B04&quot;/&gt;&lt;wsp:rsid wsp:val=&quot;00B34B91&quot;/&gt;&lt;wsp:rsid wsp:val=&quot;00B3573E&quot;/&gt;&lt;wsp:rsid wsp:val=&quot;00B3640A&quot;/&gt;&lt;wsp:rsid wsp:val=&quot;00B36548&quot;/&gt;&lt;wsp:rsid wsp:val=&quot;00B36859&quot;/&gt;&lt;wsp:rsid wsp:val=&quot;00B369AB&quot;/&gt;&lt;wsp:rsid wsp:val=&quot;00B36A26&quot;/&gt;&lt;wsp:rsid wsp:val=&quot;00B36C4F&quot;/&gt;&lt;wsp:rsid wsp:val=&quot;00B37498&quot;/&gt;&lt;wsp:rsid wsp:val=&quot;00B378F8&quot;/&gt;&lt;wsp:rsid wsp:val=&quot;00B37AB0&quot;/&gt;&lt;wsp:rsid wsp:val=&quot;00B37FA5&quot;/&gt;&lt;wsp:rsid wsp:val=&quot;00B400E1&quot;/&gt;&lt;wsp:rsid wsp:val=&quot;00B40B81&quot;/&gt;&lt;wsp:rsid wsp:val=&quot;00B41020&quot;/&gt;&lt;wsp:rsid wsp:val=&quot;00B415EA&quot;/&gt;&lt;wsp:rsid wsp:val=&quot;00B41B5A&quot;/&gt;&lt;wsp:rsid wsp:val=&quot;00B426FC&quot;/&gt;&lt;wsp:rsid wsp:val=&quot;00B43153&quot;/&gt;&lt;wsp:rsid wsp:val=&quot;00B43367&quot;/&gt;&lt;wsp:rsid wsp:val=&quot;00B434E8&quot;/&gt;&lt;wsp:rsid wsp:val=&quot;00B437FD&quot;/&gt;&lt;wsp:rsid wsp:val=&quot;00B43A64&quot;/&gt;&lt;wsp:rsid wsp:val=&quot;00B43E2B&quot;/&gt;&lt;wsp:rsid wsp:val=&quot;00B43E2C&quot;/&gt;&lt;wsp:rsid wsp:val=&quot;00B4405D&quot;/&gt;&lt;wsp:rsid wsp:val=&quot;00B44419&quot;/&gt;&lt;wsp:rsid wsp:val=&quot;00B44431&quot;/&gt;&lt;wsp:rsid wsp:val=&quot;00B44596&quot;/&gt;&lt;wsp:rsid wsp:val=&quot;00B445F6&quot;/&gt;&lt;wsp:rsid wsp:val=&quot;00B446F2&quot;/&gt;&lt;wsp:rsid wsp:val=&quot;00B44742&quot;/&gt;&lt;wsp:rsid wsp:val=&quot;00B4481D&quot;/&gt;&lt;wsp:rsid wsp:val=&quot;00B4499F&quot;/&gt;&lt;wsp:rsid wsp:val=&quot;00B44A84&quot;/&gt;&lt;wsp:rsid wsp:val=&quot;00B456F3&quot;/&gt;&lt;wsp:rsid wsp:val=&quot;00B45C10&quot;/&gt;&lt;wsp:rsid wsp:val=&quot;00B46556&quot;/&gt;&lt;wsp:rsid wsp:val=&quot;00B46E3E&quot;/&gt;&lt;wsp:rsid wsp:val=&quot;00B46F96&quot;/&gt;&lt;wsp:rsid wsp:val=&quot;00B47759&quot;/&gt;&lt;wsp:rsid wsp:val=&quot;00B4782A&quot;/&gt;&lt;wsp:rsid wsp:val=&quot;00B47C02&quot;/&gt;&lt;wsp:rsid wsp:val=&quot;00B47F21&quot;/&gt;&lt;wsp:rsid wsp:val=&quot;00B5025F&quot;/&gt;&lt;wsp:rsid wsp:val=&quot;00B502C0&quot;/&gt;&lt;wsp:rsid wsp:val=&quot;00B508CB&quot;/&gt;&lt;wsp:rsid wsp:val=&quot;00B50A59&quot;/&gt;&lt;wsp:rsid wsp:val=&quot;00B50ADD&quot;/&gt;&lt;wsp:rsid wsp:val=&quot;00B50F6D&quot;/&gt;&lt;wsp:rsid wsp:val=&quot;00B50FFC&quot;/&gt;&lt;wsp:rsid wsp:val=&quot;00B51937&quot;/&gt;&lt;wsp:rsid wsp:val=&quot;00B51BB6&quot;/&gt;&lt;wsp:rsid wsp:val=&quot;00B51E10&quot;/&gt;&lt;wsp:rsid wsp:val=&quot;00B51E9F&quot;/&gt;&lt;wsp:rsid wsp:val=&quot;00B52916&quot;/&gt;&lt;wsp:rsid wsp:val=&quot;00B52C41&quot;/&gt;&lt;wsp:rsid wsp:val=&quot;00B52CE9&quot;/&gt;&lt;wsp:rsid wsp:val=&quot;00B53198&quot;/&gt;&lt;wsp:rsid wsp:val=&quot;00B53275&quot;/&gt;&lt;wsp:rsid wsp:val=&quot;00B53547&quot;/&gt;&lt;wsp:rsid wsp:val=&quot;00B5364E&quot;/&gt;&lt;wsp:rsid wsp:val=&quot;00B536D1&quot;/&gt;&lt;wsp:rsid wsp:val=&quot;00B537CA&quot;/&gt;&lt;wsp:rsid wsp:val=&quot;00B539BC&quot;/&gt;&lt;wsp:rsid wsp:val=&quot;00B53B8E&quot;/&gt;&lt;wsp:rsid wsp:val=&quot;00B54070&quot;/&gt;&lt;wsp:rsid wsp:val=&quot;00B54822&quot;/&gt;&lt;wsp:rsid wsp:val=&quot;00B54A71&quot;/&gt;&lt;wsp:rsid wsp:val=&quot;00B54C98&quot;/&gt;&lt;wsp:rsid wsp:val=&quot;00B54FBE&quot;/&gt;&lt;wsp:rsid wsp:val=&quot;00B5532E&quot;/&gt;&lt;wsp:rsid wsp:val=&quot;00B556E4&quot;/&gt;&lt;wsp:rsid wsp:val=&quot;00B5621D&quot;/&gt;&lt;wsp:rsid wsp:val=&quot;00B565C7&quot;/&gt;&lt;wsp:rsid wsp:val=&quot;00B566AE&quot;/&gt;&lt;wsp:rsid wsp:val=&quot;00B567AB&quot;/&gt;&lt;wsp:rsid wsp:val=&quot;00B56D1E&quot;/&gt;&lt;wsp:rsid wsp:val=&quot;00B56EF9&quot;/&gt;&lt;wsp:rsid wsp:val=&quot;00B56F73&quot;/&gt;&lt;wsp:rsid wsp:val=&quot;00B5729E&quot;/&gt;&lt;wsp:rsid wsp:val=&quot;00B57A7A&quot;/&gt;&lt;wsp:rsid wsp:val=&quot;00B6048D&quot;/&gt;&lt;wsp:rsid wsp:val=&quot;00B604FA&quot;/&gt;&lt;wsp:rsid wsp:val=&quot;00B60638&quot;/&gt;&lt;wsp:rsid wsp:val=&quot;00B606CE&quot;/&gt;&lt;wsp:rsid wsp:val=&quot;00B608CA&quot;/&gt;&lt;wsp:rsid wsp:val=&quot;00B61157&quot;/&gt;&lt;wsp:rsid wsp:val=&quot;00B61403&quot;/&gt;&lt;wsp:rsid wsp:val=&quot;00B6189B&quot;/&gt;&lt;wsp:rsid wsp:val=&quot;00B61E9E&quot;/&gt;&lt;wsp:rsid wsp:val=&quot;00B62252&quot;/&gt;&lt;wsp:rsid wsp:val=&quot;00B62326&quot;/&gt;&lt;wsp:rsid wsp:val=&quot;00B62916&quot;/&gt;&lt;wsp:rsid wsp:val=&quot;00B62C8D&quot;/&gt;&lt;wsp:rsid wsp:val=&quot;00B62D2C&quot;/&gt;&lt;wsp:rsid wsp:val=&quot;00B63E0C&quot;/&gt;&lt;wsp:rsid wsp:val=&quot;00B6485E&quot;/&gt;&lt;wsp:rsid wsp:val=&quot;00B64ACD&quot;/&gt;&lt;wsp:rsid wsp:val=&quot;00B64E60&quot;/&gt;&lt;wsp:rsid wsp:val=&quot;00B65217&quot;/&gt;&lt;wsp:rsid wsp:val=&quot;00B659EB&quot;/&gt;&lt;wsp:rsid wsp:val=&quot;00B65B05&quot;/&gt;&lt;wsp:rsid wsp:val=&quot;00B65DC9&quot;/&gt;&lt;wsp:rsid wsp:val=&quot;00B65FB3&quot;/&gt;&lt;wsp:rsid wsp:val=&quot;00B6601F&quot;/&gt;&lt;wsp:rsid wsp:val=&quot;00B66172&quot;/&gt;&lt;wsp:rsid wsp:val=&quot;00B661CD&quot;/&gt;&lt;wsp:rsid wsp:val=&quot;00B662C4&quot;/&gt;&lt;wsp:rsid wsp:val=&quot;00B66408&quot;/&gt;&lt;wsp:rsid wsp:val=&quot;00B668C7&quot;/&gt;&lt;wsp:rsid wsp:val=&quot;00B67081&quot;/&gt;&lt;wsp:rsid wsp:val=&quot;00B67659&quot;/&gt;&lt;wsp:rsid wsp:val=&quot;00B67895&quot;/&gt;&lt;wsp:rsid wsp:val=&quot;00B70334&quot;/&gt;&lt;wsp:rsid wsp:val=&quot;00B704DA&quot;/&gt;&lt;wsp:rsid wsp:val=&quot;00B70680&quot;/&gt;&lt;wsp:rsid wsp:val=&quot;00B70A34&quot;/&gt;&lt;wsp:rsid wsp:val=&quot;00B71039&quot;/&gt;&lt;wsp:rsid wsp:val=&quot;00B7109D&quot;/&gt;&lt;wsp:rsid wsp:val=&quot;00B712D5&quot;/&gt;&lt;wsp:rsid wsp:val=&quot;00B71763&quot;/&gt;&lt;wsp:rsid wsp:val=&quot;00B722B3&quot;/&gt;&lt;wsp:rsid wsp:val=&quot;00B727D5&quot;/&gt;&lt;wsp:rsid wsp:val=&quot;00B72DF1&quot;/&gt;&lt;wsp:rsid wsp:val=&quot;00B73376&quot;/&gt;&lt;wsp:rsid wsp:val=&quot;00B73F80&quot;/&gt;&lt;wsp:rsid wsp:val=&quot;00B740C2&quot;/&gt;&lt;wsp:rsid wsp:val=&quot;00B74250&quot;/&gt;&lt;wsp:rsid wsp:val=&quot;00B745EA&quot;/&gt;&lt;wsp:rsid wsp:val=&quot;00B74D70&quot;/&gt;&lt;wsp:rsid wsp:val=&quot;00B74E14&quot;/&gt;&lt;wsp:rsid wsp:val=&quot;00B75379&quot;/&gt;&lt;wsp:rsid wsp:val=&quot;00B7555A&quot;/&gt;&lt;wsp:rsid wsp:val=&quot;00B75B93&quot;/&gt;&lt;wsp:rsid wsp:val=&quot;00B75BE7&quot;/&gt;&lt;wsp:rsid wsp:val=&quot;00B760C0&quot;/&gt;&lt;wsp:rsid wsp:val=&quot;00B7658B&quot;/&gt;&lt;wsp:rsid wsp:val=&quot;00B770A2&quot;/&gt;&lt;wsp:rsid wsp:val=&quot;00B77570&quot;/&gt;&lt;wsp:rsid wsp:val=&quot;00B777A3&quot;/&gt;&lt;wsp:rsid wsp:val=&quot;00B77B9F&quot;/&gt;&lt;wsp:rsid wsp:val=&quot;00B807A9&quot;/&gt;&lt;wsp:rsid wsp:val=&quot;00B80C38&quot;/&gt;&lt;wsp:rsid wsp:val=&quot;00B80EA2&quot;/&gt;&lt;wsp:rsid wsp:val=&quot;00B81042&quot;/&gt;&lt;wsp:rsid wsp:val=&quot;00B8129B&quot;/&gt;&lt;wsp:rsid wsp:val=&quot;00B812C2&quot;/&gt;&lt;wsp:rsid wsp:val=&quot;00B81637&quot;/&gt;&lt;wsp:rsid wsp:val=&quot;00B81CF9&quot;/&gt;&lt;wsp:rsid wsp:val=&quot;00B82449&quot;/&gt;&lt;wsp:rsid wsp:val=&quot;00B824F2&quot;/&gt;&lt;wsp:rsid wsp:val=&quot;00B828F4&quot;/&gt;&lt;wsp:rsid wsp:val=&quot;00B82C97&quot;/&gt;&lt;wsp:rsid wsp:val=&quot;00B8305A&quot;/&gt;&lt;wsp:rsid wsp:val=&quot;00B83175&quot;/&gt;&lt;wsp:rsid wsp:val=&quot;00B83862&quot;/&gt;&lt;wsp:rsid wsp:val=&quot;00B839D3&quot;/&gt;&lt;wsp:rsid wsp:val=&quot;00B83B44&quot;/&gt;&lt;wsp:rsid wsp:val=&quot;00B83DD0&quot;/&gt;&lt;wsp:rsid wsp:val=&quot;00B83FDF&quot;/&gt;&lt;wsp:rsid wsp:val=&quot;00B844EB&quot;/&gt;&lt;wsp:rsid wsp:val=&quot;00B847DD&quot;/&gt;&lt;wsp:rsid wsp:val=&quot;00B847F2&quot;/&gt;&lt;wsp:rsid wsp:val=&quot;00B85313&quot;/&gt;&lt;wsp:rsid wsp:val=&quot;00B85869&quot;/&gt;&lt;wsp:rsid wsp:val=&quot;00B858FF&quot;/&gt;&lt;wsp:rsid wsp:val=&quot;00B85D99&quot;/&gt;&lt;wsp:rsid wsp:val=&quot;00B85F84&quot;/&gt;&lt;wsp:rsid wsp:val=&quot;00B8622C&quot;/&gt;&lt;wsp:rsid wsp:val=&quot;00B8682D&quot;/&gt;&lt;wsp:rsid wsp:val=&quot;00B86936&quot;/&gt;&lt;wsp:rsid wsp:val=&quot;00B869A6&quot;/&gt;&lt;wsp:rsid wsp:val=&quot;00B86AF6&quot;/&gt;&lt;wsp:rsid wsp:val=&quot;00B86CB8&quot;/&gt;&lt;wsp:rsid wsp:val=&quot;00B86DD9&quot;/&gt;&lt;wsp:rsid wsp:val=&quot;00B87594&quot;/&gt;&lt;wsp:rsid wsp:val=&quot;00B87908&quot;/&gt;&lt;wsp:rsid wsp:val=&quot;00B879CE&quot;/&gt;&lt;wsp:rsid wsp:val=&quot;00B90A6F&quot;/&gt;&lt;wsp:rsid wsp:val=&quot;00B90BD3&quot;/&gt;&lt;wsp:rsid wsp:val=&quot;00B91A5A&quot;/&gt;&lt;wsp:rsid wsp:val=&quot;00B91E00&quot;/&gt;&lt;wsp:rsid wsp:val=&quot;00B920D1&quot;/&gt;&lt;wsp:rsid wsp:val=&quot;00B92264&quot;/&gt;&lt;wsp:rsid wsp:val=&quot;00B9238A&quot;/&gt;&lt;wsp:rsid wsp:val=&quot;00B924A8&quot;/&gt;&lt;wsp:rsid wsp:val=&quot;00B925F2&quot;/&gt;&lt;wsp:rsid wsp:val=&quot;00B92DA2&quot;/&gt;&lt;wsp:rsid wsp:val=&quot;00B93421&quot;/&gt;&lt;wsp:rsid wsp:val=&quot;00B9389A&quot;/&gt;&lt;wsp:rsid wsp:val=&quot;00B93BF9&quot;/&gt;&lt;wsp:rsid wsp:val=&quot;00B93EC4&quot;/&gt;&lt;wsp:rsid wsp:val=&quot;00B94031&quot;/&gt;&lt;wsp:rsid wsp:val=&quot;00B943EC&quot;/&gt;&lt;wsp:rsid wsp:val=&quot;00B94787&quot;/&gt;&lt;wsp:rsid wsp:val=&quot;00B94905&quot;/&gt;&lt;wsp:rsid wsp:val=&quot;00B9497E&quot;/&gt;&lt;wsp:rsid wsp:val=&quot;00B94A04&quot;/&gt;&lt;wsp:rsid wsp:val=&quot;00B94C11&quot;/&gt;&lt;wsp:rsid wsp:val=&quot;00B94C82&quot;/&gt;&lt;wsp:rsid wsp:val=&quot;00B94E35&quot;/&gt;&lt;wsp:rsid wsp:val=&quot;00B951AC&quot;/&gt;&lt;wsp:rsid wsp:val=&quot;00B95825&quot;/&gt;&lt;wsp:rsid wsp:val=&quot;00B9582B&quot;/&gt;&lt;wsp:rsid wsp:val=&quot;00B95D7D&quot;/&gt;&lt;wsp:rsid wsp:val=&quot;00B9671E&quot;/&gt;&lt;wsp:rsid wsp:val=&quot;00B96740&quot;/&gt;&lt;wsp:rsid wsp:val=&quot;00B96972&quot;/&gt;&lt;wsp:rsid wsp:val=&quot;00B96A44&quot;/&gt;&lt;wsp:rsid wsp:val=&quot;00B96D36&quot;/&gt;&lt;wsp:rsid wsp:val=&quot;00B97537&quot;/&gt;&lt;wsp:rsid wsp:val=&quot;00B97A91&quot;/&gt;&lt;wsp:rsid wsp:val=&quot;00BA03D8&quot;/&gt;&lt;wsp:rsid wsp:val=&quot;00BA0401&quot;/&gt;&lt;wsp:rsid wsp:val=&quot;00BA051A&quot;/&gt;&lt;wsp:rsid wsp:val=&quot;00BA051D&quot;/&gt;&lt;wsp:rsid wsp:val=&quot;00BA061E&quot;/&gt;&lt;wsp:rsid wsp:val=&quot;00BA062A&quot;/&gt;&lt;wsp:rsid wsp:val=&quot;00BA077C&quot;/&gt;&lt;wsp:rsid wsp:val=&quot;00BA0AF4&quot;/&gt;&lt;wsp:rsid wsp:val=&quot;00BA1111&quot;/&gt;&lt;wsp:rsid wsp:val=&quot;00BA1417&quot;/&gt;&lt;wsp:rsid wsp:val=&quot;00BA1B97&quot;/&gt;&lt;wsp:rsid wsp:val=&quot;00BA1BBD&quot;/&gt;&lt;wsp:rsid wsp:val=&quot;00BA1D13&quot;/&gt;&lt;wsp:rsid wsp:val=&quot;00BA24CE&quot;/&gt;&lt;wsp:rsid wsp:val=&quot;00BA30E4&quot;/&gt;&lt;wsp:rsid wsp:val=&quot;00BA32BD&quot;/&gt;&lt;wsp:rsid wsp:val=&quot;00BA33E0&quot;/&gt;&lt;wsp:rsid wsp:val=&quot;00BA47E4&quot;/&gt;&lt;wsp:rsid wsp:val=&quot;00BA4879&quot;/&gt;&lt;wsp:rsid wsp:val=&quot;00BA603E&quot;/&gt;&lt;wsp:rsid wsp:val=&quot;00BA63D0&quot;/&gt;&lt;wsp:rsid wsp:val=&quot;00BA706E&quot;/&gt;&lt;wsp:rsid wsp:val=&quot;00BA7113&quot;/&gt;&lt;wsp:rsid wsp:val=&quot;00BA77DD&quot;/&gt;&lt;wsp:rsid wsp:val=&quot;00BA7A32&quot;/&gt;&lt;wsp:rsid wsp:val=&quot;00BB00BC&quot;/&gt;&lt;wsp:rsid wsp:val=&quot;00BB011D&quot;/&gt;&lt;wsp:rsid wsp:val=&quot;00BB013B&quot;/&gt;&lt;wsp:rsid wsp:val=&quot;00BB01AF&quot;/&gt;&lt;wsp:rsid wsp:val=&quot;00BB09C7&quot;/&gt;&lt;wsp:rsid wsp:val=&quot;00BB0E6B&quot;/&gt;&lt;wsp:rsid wsp:val=&quot;00BB0EFC&quot;/&gt;&lt;wsp:rsid wsp:val=&quot;00BB1778&quot;/&gt;&lt;wsp:rsid wsp:val=&quot;00BB187A&quot;/&gt;&lt;wsp:rsid wsp:val=&quot;00BB2003&quot;/&gt;&lt;wsp:rsid wsp:val=&quot;00BB2411&quot;/&gt;&lt;wsp:rsid wsp:val=&quot;00BB2860&quot;/&gt;&lt;wsp:rsid wsp:val=&quot;00BB2B50&quot;/&gt;&lt;wsp:rsid wsp:val=&quot;00BB2BCC&quot;/&gt;&lt;wsp:rsid wsp:val=&quot;00BB31B3&quot;/&gt;&lt;wsp:rsid wsp:val=&quot;00BB3852&quot;/&gt;&lt;wsp:rsid wsp:val=&quot;00BB38E5&quot;/&gt;&lt;wsp:rsid wsp:val=&quot;00BB39B0&quot;/&gt;&lt;wsp:rsid wsp:val=&quot;00BB40F8&quot;/&gt;&lt;wsp:rsid wsp:val=&quot;00BB4CE9&quot;/&gt;&lt;wsp:rsid wsp:val=&quot;00BB546A&quot;/&gt;&lt;wsp:rsid wsp:val=&quot;00BB5489&quot;/&gt;&lt;wsp:rsid wsp:val=&quot;00BB5780&quot;/&gt;&lt;wsp:rsid wsp:val=&quot;00BB57FE&quot;/&gt;&lt;wsp:rsid wsp:val=&quot;00BB5B2E&quot;/&gt;&lt;wsp:rsid wsp:val=&quot;00BB5D63&quot;/&gt;&lt;wsp:rsid wsp:val=&quot;00BB6075&quot;/&gt;&lt;wsp:rsid wsp:val=&quot;00BB69E6&quot;/&gt;&lt;wsp:rsid wsp:val=&quot;00BB6B5D&quot;/&gt;&lt;wsp:rsid wsp:val=&quot;00BB6C4F&quot;/&gt;&lt;wsp:rsid wsp:val=&quot;00BB733C&quot;/&gt;&lt;wsp:rsid wsp:val=&quot;00BB7AA1&quot;/&gt;&lt;wsp:rsid wsp:val=&quot;00BB7B0B&quot;/&gt;&lt;wsp:rsid wsp:val=&quot;00BB7C97&quot;/&gt;&lt;wsp:rsid wsp:val=&quot;00BB7E20&quot;/&gt;&lt;wsp:rsid wsp:val=&quot;00BC0A32&quot;/&gt;&lt;wsp:rsid wsp:val=&quot;00BC0B04&quot;/&gt;&lt;wsp:rsid wsp:val=&quot;00BC15D9&quot;/&gt;&lt;wsp:rsid wsp:val=&quot;00BC15E4&quot;/&gt;&lt;wsp:rsid wsp:val=&quot;00BC1706&quot;/&gt;&lt;wsp:rsid wsp:val=&quot;00BC1808&quot;/&gt;&lt;wsp:rsid wsp:val=&quot;00BC1F84&quot;/&gt;&lt;wsp:rsid wsp:val=&quot;00BC20F7&quot;/&gt;&lt;wsp:rsid wsp:val=&quot;00BC336F&quot;/&gt;&lt;wsp:rsid wsp:val=&quot;00BC3699&quot;/&gt;&lt;wsp:rsid wsp:val=&quot;00BC36E4&quot;/&gt;&lt;wsp:rsid wsp:val=&quot;00BC394B&quot;/&gt;&lt;wsp:rsid wsp:val=&quot;00BC3D6C&quot;/&gt;&lt;wsp:rsid wsp:val=&quot;00BC3F8C&quot;/&gt;&lt;wsp:rsid wsp:val=&quot;00BC3F8E&quot;/&gt;&lt;wsp:rsid wsp:val=&quot;00BC4B8E&quot;/&gt;&lt;wsp:rsid wsp:val=&quot;00BC50CF&quot;/&gt;&lt;wsp:rsid wsp:val=&quot;00BC54AB&quot;/&gt;&lt;wsp:rsid wsp:val=&quot;00BC55A8&quot;/&gt;&lt;wsp:rsid wsp:val=&quot;00BC58FA&quot;/&gt;&lt;wsp:rsid wsp:val=&quot;00BC6172&quot;/&gt;&lt;wsp:rsid wsp:val=&quot;00BC6465&quot;/&gt;&lt;wsp:rsid wsp:val=&quot;00BC6D75&quot;/&gt;&lt;wsp:rsid wsp:val=&quot;00BC7141&quot;/&gt;&lt;wsp:rsid wsp:val=&quot;00BC74C8&quot;/&gt;&lt;wsp:rsid wsp:val=&quot;00BC776D&quot;/&gt;&lt;wsp:rsid wsp:val=&quot;00BC7972&quot;/&gt;&lt;wsp:rsid wsp:val=&quot;00BC7FD0&quot;/&gt;&lt;wsp:rsid wsp:val=&quot;00BD02B4&quot;/&gt;&lt;wsp:rsid wsp:val=&quot;00BD0445&quot;/&gt;&lt;wsp:rsid wsp:val=&quot;00BD045D&quot;/&gt;&lt;wsp:rsid wsp:val=&quot;00BD0571&quot;/&gt;&lt;wsp:rsid wsp:val=&quot;00BD0C41&quot;/&gt;&lt;wsp:rsid wsp:val=&quot;00BD1276&quot;/&gt;&lt;wsp:rsid wsp:val=&quot;00BD176D&quot;/&gt;&lt;wsp:rsid wsp:val=&quot;00BD1E92&quot;/&gt;&lt;wsp:rsid wsp:val=&quot;00BD24B5&quot;/&gt;&lt;wsp:rsid wsp:val=&quot;00BD2B39&quot;/&gt;&lt;wsp:rsid wsp:val=&quot;00BD3409&quot;/&gt;&lt;wsp:rsid wsp:val=&quot;00BD3869&quot;/&gt;&lt;wsp:rsid wsp:val=&quot;00BD3873&quot;/&gt;&lt;wsp:rsid wsp:val=&quot;00BD3BD0&quot;/&gt;&lt;wsp:rsid wsp:val=&quot;00BD3D77&quot;/&gt;&lt;wsp:rsid wsp:val=&quot;00BD3DA2&quot;/&gt;&lt;wsp:rsid wsp:val=&quot;00BD3EAE&quot;/&gt;&lt;wsp:rsid wsp:val=&quot;00BD42E5&quot;/&gt;&lt;wsp:rsid wsp:val=&quot;00BD446F&quot;/&gt;&lt;wsp:rsid wsp:val=&quot;00BD5015&quot;/&gt;&lt;wsp:rsid wsp:val=&quot;00BD5237&quot;/&gt;&lt;wsp:rsid wsp:val=&quot;00BD54E2&quot;/&gt;&lt;wsp:rsid wsp:val=&quot;00BD5810&quot;/&gt;&lt;wsp:rsid wsp:val=&quot;00BD588D&quot;/&gt;&lt;wsp:rsid wsp:val=&quot;00BD5C45&quot;/&gt;&lt;wsp:rsid wsp:val=&quot;00BD615F&quot;/&gt;&lt;wsp:rsid wsp:val=&quot;00BD6284&quot;/&gt;&lt;wsp:rsid wsp:val=&quot;00BD62D0&quot;/&gt;&lt;wsp:rsid wsp:val=&quot;00BD6BE3&quot;/&gt;&lt;wsp:rsid wsp:val=&quot;00BD7413&quot;/&gt;&lt;wsp:rsid wsp:val=&quot;00BD76C0&quot;/&gt;&lt;wsp:rsid wsp:val=&quot;00BD7725&quot;/&gt;&lt;wsp:rsid wsp:val=&quot;00BD791F&quot;/&gt;&lt;wsp:rsid wsp:val=&quot;00BD7D37&quot;/&gt;&lt;wsp:rsid wsp:val=&quot;00BD7EBA&quot;/&gt;&lt;wsp:rsid wsp:val=&quot;00BE0170&quot;/&gt;&lt;wsp:rsid wsp:val=&quot;00BE074E&quot;/&gt;&lt;wsp:rsid wsp:val=&quot;00BE0805&quot;/&gt;&lt;wsp:rsid wsp:val=&quot;00BE0D23&quot;/&gt;&lt;wsp:rsid wsp:val=&quot;00BE11F5&quot;/&gt;&lt;wsp:rsid wsp:val=&quot;00BE1A4D&quot;/&gt;&lt;wsp:rsid wsp:val=&quot;00BE1F2C&quot;/&gt;&lt;wsp:rsid wsp:val=&quot;00BE2E39&quot;/&gt;&lt;wsp:rsid wsp:val=&quot;00BE2E9A&quot;/&gt;&lt;wsp:rsid wsp:val=&quot;00BE33B9&quot;/&gt;&lt;wsp:rsid wsp:val=&quot;00BE34D6&quot;/&gt;&lt;wsp:rsid wsp:val=&quot;00BE3759&quot;/&gt;&lt;wsp:rsid wsp:val=&quot;00BE38CF&quot;/&gt;&lt;wsp:rsid wsp:val=&quot;00BE432D&quot;/&gt;&lt;wsp:rsid wsp:val=&quot;00BE4530&quot;/&gt;&lt;wsp:rsid wsp:val=&quot;00BE45FA&quot;/&gt;&lt;wsp:rsid wsp:val=&quot;00BE4A54&quot;/&gt;&lt;wsp:rsid wsp:val=&quot;00BE580A&quot;/&gt;&lt;wsp:rsid wsp:val=&quot;00BE614D&quot;/&gt;&lt;wsp:rsid wsp:val=&quot;00BE6274&quot;/&gt;&lt;wsp:rsid wsp:val=&quot;00BE632A&quot;/&gt;&lt;wsp:rsid wsp:val=&quot;00BE69A5&quot;/&gt;&lt;wsp:rsid wsp:val=&quot;00BE69BA&quot;/&gt;&lt;wsp:rsid wsp:val=&quot;00BE6B19&quot;/&gt;&lt;wsp:rsid wsp:val=&quot;00BE6BD5&quot;/&gt;&lt;wsp:rsid wsp:val=&quot;00BE6E5D&quot;/&gt;&lt;wsp:rsid wsp:val=&quot;00BE781E&quot;/&gt;&lt;wsp:rsid wsp:val=&quot;00BE7B95&quot;/&gt;&lt;wsp:rsid wsp:val=&quot;00BE7C45&quot;/&gt;&lt;wsp:rsid wsp:val=&quot;00BE7E0D&quot;/&gt;&lt;wsp:rsid wsp:val=&quot;00BF0319&quot;/&gt;&lt;wsp:rsid wsp:val=&quot;00BF14FA&quot;/&gt;&lt;wsp:rsid wsp:val=&quot;00BF1794&quot;/&gt;&lt;wsp:rsid wsp:val=&quot;00BF1B4B&quot;/&gt;&lt;wsp:rsid wsp:val=&quot;00BF1F1F&quot;/&gt;&lt;wsp:rsid wsp:val=&quot;00BF212D&quot;/&gt;&lt;wsp:rsid wsp:val=&quot;00BF229F&quot;/&gt;&lt;wsp:rsid wsp:val=&quot;00BF2C45&quot;/&gt;&lt;wsp:rsid wsp:val=&quot;00BF2D13&quot;/&gt;&lt;wsp:rsid wsp:val=&quot;00BF2FE5&quot;/&gt;&lt;wsp:rsid wsp:val=&quot;00BF330C&quot;/&gt;&lt;wsp:rsid wsp:val=&quot;00BF3B9A&quot;/&gt;&lt;wsp:rsid wsp:val=&quot;00BF3C8B&quot;/&gt;&lt;wsp:rsid wsp:val=&quot;00BF3D89&quot;/&gt;&lt;wsp:rsid wsp:val=&quot;00BF3F6F&quot;/&gt;&lt;wsp:rsid wsp:val=&quot;00BF466A&quot;/&gt;&lt;wsp:rsid wsp:val=&quot;00BF4BDD&quot;/&gt;&lt;wsp:rsid wsp:val=&quot;00BF5477&quot;/&gt;&lt;wsp:rsid wsp:val=&quot;00BF5948&quot;/&gt;&lt;wsp:rsid wsp:val=&quot;00BF60D6&quot;/&gt;&lt;wsp:rsid wsp:val=&quot;00BF662C&quot;/&gt;&lt;wsp:rsid wsp:val=&quot;00BF695C&quot;/&gt;&lt;wsp:rsid wsp:val=&quot;00BF69D6&quot;/&gt;&lt;wsp:rsid wsp:val=&quot;00BF73EE&quot;/&gt;&lt;wsp:rsid wsp:val=&quot;00BF79D8&quot;/&gt;&lt;wsp:rsid wsp:val=&quot;00C001EC&quot;/&gt;&lt;wsp:rsid wsp:val=&quot;00C003E0&quot;/&gt;&lt;wsp:rsid wsp:val=&quot;00C004A6&quot;/&gt;&lt;wsp:rsid wsp:val=&quot;00C00AF0&quot;/&gt;&lt;wsp:rsid wsp:val=&quot;00C027BD&quot;/&gt;&lt;wsp:rsid wsp:val=&quot;00C0299A&quot;/&gt;&lt;wsp:rsid wsp:val=&quot;00C02A0F&quot;/&gt;&lt;wsp:rsid wsp:val=&quot;00C0306E&quot;/&gt;&lt;wsp:rsid wsp:val=&quot;00C032D8&quot;/&gt;&lt;wsp:rsid wsp:val=&quot;00C03787&quot;/&gt;&lt;wsp:rsid wsp:val=&quot;00C03855&quot;/&gt;&lt;wsp:rsid wsp:val=&quot;00C03898&quot;/&gt;&lt;wsp:rsid wsp:val=&quot;00C03B1A&quot;/&gt;&lt;wsp:rsid wsp:val=&quot;00C03B7C&quot;/&gt;&lt;wsp:rsid wsp:val=&quot;00C04440&quot;/&gt;&lt;wsp:rsid wsp:val=&quot;00C04445&quot;/&gt;&lt;wsp:rsid wsp:val=&quot;00C0460D&quot;/&gt;&lt;wsp:rsid wsp:val=&quot;00C04CB2&quot;/&gt;&lt;wsp:rsid wsp:val=&quot;00C058A7&quot;/&gt;&lt;wsp:rsid wsp:val=&quot;00C059D3&quot;/&gt;&lt;wsp:rsid wsp:val=&quot;00C05D35&quot;/&gt;&lt;wsp:rsid wsp:val=&quot;00C05E2F&quot;/&gt;&lt;wsp:rsid wsp:val=&quot;00C06884&quot;/&gt;&lt;wsp:rsid wsp:val=&quot;00C06942&quot;/&gt;&lt;wsp:rsid wsp:val=&quot;00C07352&quot;/&gt;&lt;wsp:rsid wsp:val=&quot;00C0735B&quot;/&gt;&lt;wsp:rsid wsp:val=&quot;00C0767B&quot;/&gt;&lt;wsp:rsid wsp:val=&quot;00C0788D&quot;/&gt;&lt;wsp:rsid wsp:val=&quot;00C078BE&quot;/&gt;&lt;wsp:rsid wsp:val=&quot;00C07979&quot;/&gt;&lt;wsp:rsid wsp:val=&quot;00C07CBC&quot;/&gt;&lt;wsp:rsid wsp:val=&quot;00C07D82&quot;/&gt;&lt;wsp:rsid wsp:val=&quot;00C10227&quot;/&gt;&lt;wsp:rsid wsp:val=&quot;00C106DD&quot;/&gt;&lt;wsp:rsid wsp:val=&quot;00C10E1A&quot;/&gt;&lt;wsp:rsid wsp:val=&quot;00C113CE&quot;/&gt;&lt;wsp:rsid wsp:val=&quot;00C115A7&quot;/&gt;&lt;wsp:rsid wsp:val=&quot;00C11968&quot;/&gt;&lt;wsp:rsid wsp:val=&quot;00C11C26&quot;/&gt;&lt;wsp:rsid wsp:val=&quot;00C11CBF&quot;/&gt;&lt;wsp:rsid wsp:val=&quot;00C11D16&quot;/&gt;&lt;wsp:rsid wsp:val=&quot;00C1256E&quot;/&gt;&lt;wsp:rsid wsp:val=&quot;00C126C4&quot;/&gt;&lt;wsp:rsid wsp:val=&quot;00C126F2&quot;/&gt;&lt;wsp:rsid wsp:val=&quot;00C12858&quot;/&gt;&lt;wsp:rsid wsp:val=&quot;00C13165&quot;/&gt;&lt;wsp:rsid wsp:val=&quot;00C13615&quot;/&gt;&lt;wsp:rsid wsp:val=&quot;00C13BFA&quot;/&gt;&lt;wsp:rsid wsp:val=&quot;00C13FBA&quot;/&gt;&lt;wsp:rsid wsp:val=&quot;00C140F4&quot;/&gt;&lt;wsp:rsid wsp:val=&quot;00C14DEB&quot;/&gt;&lt;wsp:rsid wsp:val=&quot;00C15CD8&quot;/&gt;&lt;wsp:rsid wsp:val=&quot;00C15DEF&quot;/&gt;&lt;wsp:rsid wsp:val=&quot;00C15EFD&quot;/&gt;&lt;wsp:rsid wsp:val=&quot;00C160E0&quot;/&gt;&lt;wsp:rsid wsp:val=&quot;00C16621&quot;/&gt;&lt;wsp:rsid wsp:val=&quot;00C16FA3&quot;/&gt;&lt;wsp:rsid wsp:val=&quot;00C1700F&quot;/&gt;&lt;wsp:rsid wsp:val=&quot;00C174C8&quot;/&gt;&lt;wsp:rsid wsp:val=&quot;00C17C7A&quot;/&gt;&lt;wsp:rsid wsp:val=&quot;00C17DE9&quot;/&gt;&lt;wsp:rsid wsp:val=&quot;00C206E5&quot;/&gt;&lt;wsp:rsid wsp:val=&quot;00C20BE1&quot;/&gt;&lt;wsp:rsid wsp:val=&quot;00C21547&quot;/&gt;&lt;wsp:rsid wsp:val=&quot;00C2158C&quot;/&gt;&lt;wsp:rsid wsp:val=&quot;00C21709&quot;/&gt;&lt;wsp:rsid wsp:val=&quot;00C22434&quot;/&gt;&lt;wsp:rsid wsp:val=&quot;00C2273D&quot;/&gt;&lt;wsp:rsid wsp:val=&quot;00C22762&quot;/&gt;&lt;wsp:rsid wsp:val=&quot;00C22E56&quot;/&gt;&lt;wsp:rsid wsp:val=&quot;00C2354E&quot;/&gt;&lt;wsp:rsid wsp:val=&quot;00C23DAB&quot;/&gt;&lt;wsp:rsid wsp:val=&quot;00C24183&quot;/&gt;&lt;wsp:rsid wsp:val=&quot;00C2431E&quot;/&gt;&lt;wsp:rsid wsp:val=&quot;00C243E3&quot;/&gt;&lt;wsp:rsid wsp:val=&quot;00C246DD&quot;/&gt;&lt;wsp:rsid wsp:val=&quot;00C24740&quot;/&gt;&lt;wsp:rsid wsp:val=&quot;00C24934&quot;/&gt;&lt;wsp:rsid wsp:val=&quot;00C24942&quot;/&gt;&lt;wsp:rsid wsp:val=&quot;00C24E53&quot;/&gt;&lt;wsp:rsid wsp:val=&quot;00C24FEE&quot;/&gt;&lt;wsp:rsid wsp:val=&quot;00C254F0&quot;/&gt;&lt;wsp:rsid wsp:val=&quot;00C25663&quot;/&gt;&lt;wsp:rsid wsp:val=&quot;00C25B4D&quot;/&gt;&lt;wsp:rsid wsp:val=&quot;00C25D3E&quot;/&gt;&lt;wsp:rsid wsp:val=&quot;00C25EC4&quot;/&gt;&lt;wsp:rsid wsp:val=&quot;00C261A0&quot;/&gt;&lt;wsp:rsid wsp:val=&quot;00C26CCF&quot;/&gt;&lt;wsp:rsid wsp:val=&quot;00C2700D&quot;/&gt;&lt;wsp:rsid wsp:val=&quot;00C272AF&quot;/&gt;&lt;wsp:rsid wsp:val=&quot;00C273CF&quot;/&gt;&lt;wsp:rsid wsp:val=&quot;00C27598&quot;/&gt;&lt;wsp:rsid wsp:val=&quot;00C276A1&quot;/&gt;&lt;wsp:rsid wsp:val=&quot;00C27834&quot;/&gt;&lt;wsp:rsid wsp:val=&quot;00C30D21&quot;/&gt;&lt;wsp:rsid wsp:val=&quot;00C317C7&quot;/&gt;&lt;wsp:rsid wsp:val=&quot;00C31A76&quot;/&gt;&lt;wsp:rsid wsp:val=&quot;00C31AFE&quot;/&gt;&lt;wsp:rsid wsp:val=&quot;00C31BD5&quot;/&gt;&lt;wsp:rsid wsp:val=&quot;00C32075&quot;/&gt;&lt;wsp:rsid wsp:val=&quot;00C321CA&quot;/&gt;&lt;wsp:rsid wsp:val=&quot;00C32737&quot;/&gt;&lt;wsp:rsid wsp:val=&quot;00C32A1A&quot;/&gt;&lt;wsp:rsid wsp:val=&quot;00C32B34&quot;/&gt;&lt;wsp:rsid wsp:val=&quot;00C333B4&quot;/&gt;&lt;wsp:rsid wsp:val=&quot;00C3353C&quot;/&gt;&lt;wsp:rsid wsp:val=&quot;00C33679&quot;/&gt;&lt;wsp:rsid wsp:val=&quot;00C3390D&quot;/&gt;&lt;wsp:rsid wsp:val=&quot;00C33C7E&quot;/&gt;&lt;wsp:rsid wsp:val=&quot;00C33CAB&quot;/&gt;&lt;wsp:rsid wsp:val=&quot;00C34141&quot;/&gt;&lt;wsp:rsid wsp:val=&quot;00C3435D&quot;/&gt;&lt;wsp:rsid wsp:val=&quot;00C34A3E&quot;/&gt;&lt;wsp:rsid wsp:val=&quot;00C34B99&quot;/&gt;&lt;wsp:rsid wsp:val=&quot;00C3513A&quot;/&gt;&lt;wsp:rsid wsp:val=&quot;00C35292&quot;/&gt;&lt;wsp:rsid wsp:val=&quot;00C35D3C&quot;/&gt;&lt;wsp:rsid wsp:val=&quot;00C35E6C&quot;/&gt;&lt;wsp:rsid wsp:val=&quot;00C361CF&quot;/&gt;&lt;wsp:rsid wsp:val=&quot;00C36788&quot;/&gt;&lt;wsp:rsid wsp:val=&quot;00C36C58&quot;/&gt;&lt;wsp:rsid wsp:val=&quot;00C374CC&quot;/&gt;&lt;wsp:rsid wsp:val=&quot;00C37A0B&quot;/&gt;&lt;wsp:rsid wsp:val=&quot;00C37CB6&quot;/&gt;&lt;wsp:rsid wsp:val=&quot;00C37F28&quot;/&gt;&lt;wsp:rsid wsp:val=&quot;00C40BFA&quot;/&gt;&lt;wsp:rsid wsp:val=&quot;00C41210&quot;/&gt;&lt;wsp:rsid wsp:val=&quot;00C414A7&quot;/&gt;&lt;wsp:rsid wsp:val=&quot;00C41F9A&quot;/&gt;&lt;wsp:rsid wsp:val=&quot;00C424CE&quot;/&gt;&lt;wsp:rsid wsp:val=&quot;00C424FE&quot;/&gt;&lt;wsp:rsid wsp:val=&quot;00C43181&quot;/&gt;&lt;wsp:rsid wsp:val=&quot;00C4342D&quot;/&gt;&lt;wsp:rsid wsp:val=&quot;00C43898&quot;/&gt;&lt;wsp:rsid wsp:val=&quot;00C438B1&quot;/&gt;&lt;wsp:rsid wsp:val=&quot;00C43AE1&quot;/&gt;&lt;wsp:rsid wsp:val=&quot;00C4461D&quot;/&gt;&lt;wsp:rsid wsp:val=&quot;00C449EB&quot;/&gt;&lt;wsp:rsid wsp:val=&quot;00C44B2C&quot;/&gt;&lt;wsp:rsid wsp:val=&quot;00C44E68&quot;/&gt;&lt;wsp:rsid wsp:val=&quot;00C45CCA&quot;/&gt;&lt;wsp:rsid wsp:val=&quot;00C46676&quot;/&gt;&lt;wsp:rsid wsp:val=&quot;00C46A5E&quot;/&gt;&lt;wsp:rsid wsp:val=&quot;00C47055&quot;/&gt;&lt;wsp:rsid wsp:val=&quot;00C470C6&quot;/&gt;&lt;wsp:rsid wsp:val=&quot;00C473D4&quot;/&gt;&lt;wsp:rsid wsp:val=&quot;00C502F2&quot;/&gt;&lt;wsp:rsid wsp:val=&quot;00C5081F&quot;/&gt;&lt;wsp:rsid wsp:val=&quot;00C50904&quot;/&gt;&lt;wsp:rsid wsp:val=&quot;00C50FE9&quot;/&gt;&lt;wsp:rsid wsp:val=&quot;00C52309&quot;/&gt;&lt;wsp:rsid wsp:val=&quot;00C52711&quot;/&gt;&lt;wsp:rsid wsp:val=&quot;00C52D2E&quot;/&gt;&lt;wsp:rsid wsp:val=&quot;00C53285&quot;/&gt;&lt;wsp:rsid wsp:val=&quot;00C532D3&quot;/&gt;&lt;wsp:rsid wsp:val=&quot;00C5345E&quot;/&gt;&lt;wsp:rsid wsp:val=&quot;00C53732&quot;/&gt;&lt;wsp:rsid wsp:val=&quot;00C537B7&quot;/&gt;&lt;wsp:rsid wsp:val=&quot;00C53C4D&quot;/&gt;&lt;wsp:rsid wsp:val=&quot;00C53F2E&quot;/&gt;&lt;wsp:rsid wsp:val=&quot;00C53FD8&quot;/&gt;&lt;wsp:rsid wsp:val=&quot;00C543D9&quot;/&gt;&lt;wsp:rsid wsp:val=&quot;00C545BA&quot;/&gt;&lt;wsp:rsid wsp:val=&quot;00C54680&quot;/&gt;&lt;wsp:rsid wsp:val=&quot;00C54EDD&quot;/&gt;&lt;wsp:rsid wsp:val=&quot;00C550DB&quot;/&gt;&lt;wsp:rsid wsp:val=&quot;00C551A6&quot;/&gt;&lt;wsp:rsid wsp:val=&quot;00C5536F&quot;/&gt;&lt;wsp:rsid wsp:val=&quot;00C554B2&quot;/&gt;&lt;wsp:rsid wsp:val=&quot;00C55B46&quot;/&gt;&lt;wsp:rsid wsp:val=&quot;00C56516&quot;/&gt;&lt;wsp:rsid wsp:val=&quot;00C567C6&quot;/&gt;&lt;wsp:rsid wsp:val=&quot;00C5688A&quot;/&gt;&lt;wsp:rsid wsp:val=&quot;00C568B1&quot;/&gt;&lt;wsp:rsid wsp:val=&quot;00C56F83&quot;/&gt;&lt;wsp:rsid wsp:val=&quot;00C575E1&quot;/&gt;&lt;wsp:rsid wsp:val=&quot;00C5761B&quot;/&gt;&lt;wsp:rsid wsp:val=&quot;00C5767A&quot;/&gt;&lt;wsp:rsid wsp:val=&quot;00C576F9&quot;/&gt;&lt;wsp:rsid wsp:val=&quot;00C57749&quot;/&gt;&lt;wsp:rsid wsp:val=&quot;00C57851&quot;/&gt;&lt;wsp:rsid wsp:val=&quot;00C5785B&quot;/&gt;&lt;wsp:rsid wsp:val=&quot;00C57B13&quot;/&gt;&lt;wsp:rsid wsp:val=&quot;00C57BDA&quot;/&gt;&lt;wsp:rsid wsp:val=&quot;00C57D5B&quot;/&gt;&lt;wsp:rsid wsp:val=&quot;00C57F7B&quot;/&gt;&lt;wsp:rsid wsp:val=&quot;00C606D6&quot;/&gt;&lt;wsp:rsid wsp:val=&quot;00C60AC9&quot;/&gt;&lt;wsp:rsid wsp:val=&quot;00C60BC0&quot;/&gt;&lt;wsp:rsid wsp:val=&quot;00C60F96&quot;/&gt;&lt;wsp:rsid wsp:val=&quot;00C61068&quot;/&gt;&lt;wsp:rsid wsp:val=&quot;00C61299&quot;/&gt;&lt;wsp:rsid wsp:val=&quot;00C61342&quot;/&gt;&lt;wsp:rsid wsp:val=&quot;00C6150E&quot;/&gt;&lt;wsp:rsid wsp:val=&quot;00C618A9&quot;/&gt;&lt;wsp:rsid wsp:val=&quot;00C618CD&quot;/&gt;&lt;wsp:rsid wsp:val=&quot;00C61AED&quot;/&gt;&lt;wsp:rsid wsp:val=&quot;00C61B05&quot;/&gt;&lt;wsp:rsid wsp:val=&quot;00C61C23&quot;/&gt;&lt;wsp:rsid wsp:val=&quot;00C625EC&quot;/&gt;&lt;wsp:rsid wsp:val=&quot;00C62E42&quot;/&gt;&lt;wsp:rsid wsp:val=&quot;00C62F74&quot;/&gt;&lt;wsp:rsid wsp:val=&quot;00C62F8B&quot;/&gt;&lt;wsp:rsid wsp:val=&quot;00C63281&quot;/&gt;&lt;wsp:rsid wsp:val=&quot;00C63448&quot;/&gt;&lt;wsp:rsid wsp:val=&quot;00C6363E&quot;/&gt;&lt;wsp:rsid wsp:val=&quot;00C63D1C&quot;/&gt;&lt;wsp:rsid wsp:val=&quot;00C6437F&quot;/&gt;&lt;wsp:rsid wsp:val=&quot;00C645E4&quot;/&gt;&lt;wsp:rsid wsp:val=&quot;00C64A11&quot;/&gt;&lt;wsp:rsid wsp:val=&quot;00C64ABA&quot;/&gt;&lt;wsp:rsid wsp:val=&quot;00C64B88&quot;/&gt;&lt;wsp:rsid wsp:val=&quot;00C64C46&quot;/&gt;&lt;wsp:rsid wsp:val=&quot;00C65872&quot;/&gt;&lt;wsp:rsid wsp:val=&quot;00C668F8&quot;/&gt;&lt;wsp:rsid wsp:val=&quot;00C66A6E&quot;/&gt;&lt;wsp:rsid wsp:val=&quot;00C66D96&quot;/&gt;&lt;wsp:rsid wsp:val=&quot;00C66F78&quot;/&gt;&lt;wsp:rsid wsp:val=&quot;00C66FA8&quot;/&gt;&lt;wsp:rsid wsp:val=&quot;00C7137D&quot;/&gt;&lt;wsp:rsid wsp:val=&quot;00C717DB&quot;/&gt;&lt;wsp:rsid wsp:val=&quot;00C71F59&quot;/&gt;&lt;wsp:rsid wsp:val=&quot;00C72570&quot;/&gt;&lt;wsp:rsid wsp:val=&quot;00C725EE&quot;/&gt;&lt;wsp:rsid wsp:val=&quot;00C72664&quot;/&gt;&lt;wsp:rsid wsp:val=&quot;00C72817&quot;/&gt;&lt;wsp:rsid wsp:val=&quot;00C72BC3&quot;/&gt;&lt;wsp:rsid wsp:val=&quot;00C73842&quot;/&gt;&lt;wsp:rsid wsp:val=&quot;00C740AC&quot;/&gt;&lt;wsp:rsid wsp:val=&quot;00C74129&quot;/&gt;&lt;wsp:rsid wsp:val=&quot;00C746E7&quot;/&gt;&lt;wsp:rsid wsp:val=&quot;00C7480E&quot;/&gt;&lt;wsp:rsid wsp:val=&quot;00C74A85&quot;/&gt;&lt;wsp:rsid wsp:val=&quot;00C74F88&quot;/&gt;&lt;wsp:rsid wsp:val=&quot;00C75502&quot;/&gt;&lt;wsp:rsid wsp:val=&quot;00C7580C&quot;/&gt;&lt;wsp:rsid wsp:val=&quot;00C75A4C&quot;/&gt;&lt;wsp:rsid wsp:val=&quot;00C76492&quot;/&gt;&lt;wsp:rsid wsp:val=&quot;00C764B2&quot;/&gt;&lt;wsp:rsid wsp:val=&quot;00C769F2&quot;/&gt;&lt;wsp:rsid wsp:val=&quot;00C76EDE&quot;/&gt;&lt;wsp:rsid wsp:val=&quot;00C771DD&quot;/&gt;&lt;wsp:rsid wsp:val=&quot;00C77671&quot;/&gt;&lt;wsp:rsid wsp:val=&quot;00C77F5C&quot;/&gt;&lt;wsp:rsid wsp:val=&quot;00C800F2&quot;/&gt;&lt;wsp:rsid wsp:val=&quot;00C8034F&quot;/&gt;&lt;wsp:rsid wsp:val=&quot;00C80A04&quot;/&gt;&lt;wsp:rsid wsp:val=&quot;00C812AF&quot;/&gt;&lt;wsp:rsid wsp:val=&quot;00C81486&quot;/&gt;&lt;wsp:rsid wsp:val=&quot;00C81CB5&quot;/&gt;&lt;wsp:rsid wsp:val=&quot;00C8243F&quot;/&gt;&lt;wsp:rsid wsp:val=&quot;00C83138&quot;/&gt;&lt;wsp:rsid wsp:val=&quot;00C8379F&quot;/&gt;&lt;wsp:rsid wsp:val=&quot;00C83A43&quot;/&gt;&lt;wsp:rsid wsp:val=&quot;00C83F90&quot;/&gt;&lt;wsp:rsid wsp:val=&quot;00C84259&quot;/&gt;&lt;wsp:rsid wsp:val=&quot;00C843F6&quot;/&gt;&lt;wsp:rsid wsp:val=&quot;00C84AEA&quot;/&gt;&lt;wsp:rsid wsp:val=&quot;00C84C16&quot;/&gt;&lt;wsp:rsid wsp:val=&quot;00C84D06&quot;/&gt;&lt;wsp:rsid wsp:val=&quot;00C84FD0&quot;/&gt;&lt;wsp:rsid wsp:val=&quot;00C85479&quot;/&gt;&lt;wsp:rsid wsp:val=&quot;00C859EE&quot;/&gt;&lt;wsp:rsid wsp:val=&quot;00C85A54&quot;/&gt;&lt;wsp:rsid wsp:val=&quot;00C85C60&quot;/&gt;&lt;wsp:rsid wsp:val=&quot;00C85D44&quot;/&gt;&lt;wsp:rsid wsp:val=&quot;00C85E37&quot;/&gt;&lt;wsp:rsid wsp:val=&quot;00C8606D&quot;/&gt;&lt;wsp:rsid wsp:val=&quot;00C863E9&quot;/&gt;&lt;wsp:rsid wsp:val=&quot;00C86ECA&quot;/&gt;&lt;wsp:rsid wsp:val=&quot;00C8760A&quot;/&gt;&lt;wsp:rsid wsp:val=&quot;00C87C14&quot;/&gt;&lt;wsp:rsid wsp:val=&quot;00C87CFF&quot;/&gt;&lt;wsp:rsid wsp:val=&quot;00C87E67&quot;/&gt;&lt;wsp:rsid wsp:val=&quot;00C87EBD&quot;/&gt;&lt;wsp:rsid wsp:val=&quot;00C907EB&quot;/&gt;&lt;wsp:rsid wsp:val=&quot;00C908EF&quot;/&gt;&lt;wsp:rsid wsp:val=&quot;00C90B9F&quot;/&gt;&lt;wsp:rsid wsp:val=&quot;00C9110A&quot;/&gt;&lt;wsp:rsid wsp:val=&quot;00C91415&quot;/&gt;&lt;wsp:rsid wsp:val=&quot;00C917E5&quot;/&gt;&lt;wsp:rsid wsp:val=&quot;00C91F37&quot;/&gt;&lt;wsp:rsid wsp:val=&quot;00C91F8B&quot;/&gt;&lt;wsp:rsid wsp:val=&quot;00C92241&quot;/&gt;&lt;wsp:rsid wsp:val=&quot;00C92A6B&quot;/&gt;&lt;wsp:rsid wsp:val=&quot;00C92B85&quot;/&gt;&lt;wsp:rsid wsp:val=&quot;00C92F53&quot;/&gt;&lt;wsp:rsid wsp:val=&quot;00C931FE&quot;/&gt;&lt;wsp:rsid wsp:val=&quot;00C93238&quot;/&gt;&lt;wsp:rsid wsp:val=&quot;00C933B8&quot;/&gt;&lt;wsp:rsid wsp:val=&quot;00C933D2&quot;/&gt;&lt;wsp:rsid wsp:val=&quot;00C943B9&quot;/&gt;&lt;wsp:rsid wsp:val=&quot;00C94D96&quot;/&gt;&lt;wsp:rsid wsp:val=&quot;00C9509A&quot;/&gt;&lt;wsp:rsid wsp:val=&quot;00C955E3&quot;/&gt;&lt;wsp:rsid wsp:val=&quot;00C96835&quot;/&gt;&lt;wsp:rsid wsp:val=&quot;00C96A9B&quot;/&gt;&lt;wsp:rsid wsp:val=&quot;00C96F59&quot;/&gt;&lt;wsp:rsid wsp:val=&quot;00C97485&quot;/&gt;&lt;wsp:rsid wsp:val=&quot;00C975A8&quot;/&gt;&lt;wsp:rsid wsp:val=&quot;00C97AF5&quot;/&gt;&lt;wsp:rsid wsp:val=&quot;00CA001C&quot;/&gt;&lt;wsp:rsid wsp:val=&quot;00CA01BC&quot;/&gt;&lt;wsp:rsid wsp:val=&quot;00CA0ABE&quot;/&gt;&lt;wsp:rsid wsp:val=&quot;00CA0EE9&quot;/&gt;&lt;wsp:rsid wsp:val=&quot;00CA1535&quot;/&gt;&lt;wsp:rsid wsp:val=&quot;00CA21F9&quot;/&gt;&lt;wsp:rsid wsp:val=&quot;00CA2376&quot;/&gt;&lt;wsp:rsid wsp:val=&quot;00CA317C&quot;/&gt;&lt;wsp:rsid wsp:val=&quot;00CA39B2&quot;/&gt;&lt;wsp:rsid wsp:val=&quot;00CA3AAF&quot;/&gt;&lt;wsp:rsid wsp:val=&quot;00CA3E82&quot;/&gt;&lt;wsp:rsid wsp:val=&quot;00CA412A&quot;/&gt;&lt;wsp:rsid wsp:val=&quot;00CA430A&quot;/&gt;&lt;wsp:rsid wsp:val=&quot;00CA45A0&quot;/&gt;&lt;wsp:rsid wsp:val=&quot;00CA4716&quot;/&gt;&lt;wsp:rsid wsp:val=&quot;00CA4AED&quot;/&gt;&lt;wsp:rsid wsp:val=&quot;00CA502F&quot;/&gt;&lt;wsp:rsid wsp:val=&quot;00CA5083&quot;/&gt;&lt;wsp:rsid wsp:val=&quot;00CA5326&quot;/&gt;&lt;wsp:rsid wsp:val=&quot;00CA5463&quot;/&gt;&lt;wsp:rsid wsp:val=&quot;00CA5694&quot;/&gt;&lt;wsp:rsid wsp:val=&quot;00CA5F4B&quot;/&gt;&lt;wsp:rsid wsp:val=&quot;00CA6F3B&quot;/&gt;&lt;wsp:rsid wsp:val=&quot;00CA7657&quot;/&gt;&lt;wsp:rsid wsp:val=&quot;00CA7FDD&quot;/&gt;&lt;wsp:rsid wsp:val=&quot;00CB021B&quot;/&gt;&lt;wsp:rsid wsp:val=&quot;00CB023E&quot;/&gt;&lt;wsp:rsid wsp:val=&quot;00CB05E8&quot;/&gt;&lt;wsp:rsid wsp:val=&quot;00CB0C4D&quot;/&gt;&lt;wsp:rsid wsp:val=&quot;00CB0CEE&quot;/&gt;&lt;wsp:rsid wsp:val=&quot;00CB0DF0&quot;/&gt;&lt;wsp:rsid wsp:val=&quot;00CB11E0&quot;/&gt;&lt;wsp:rsid wsp:val=&quot;00CB13A3&quot;/&gt;&lt;wsp:rsid wsp:val=&quot;00CB13EA&quot;/&gt;&lt;wsp:rsid wsp:val=&quot;00CB1490&quot;/&gt;&lt;wsp:rsid wsp:val=&quot;00CB1591&quot;/&gt;&lt;wsp:rsid wsp:val=&quot;00CB1924&quot;/&gt;&lt;wsp:rsid wsp:val=&quot;00CB1DD2&quot;/&gt;&lt;wsp:rsid wsp:val=&quot;00CB2915&quot;/&gt;&lt;wsp:rsid wsp:val=&quot;00CB2E41&quot;/&gt;&lt;wsp:rsid wsp:val=&quot;00CB2F87&quot;/&gt;&lt;wsp:rsid wsp:val=&quot;00CB3523&quot;/&gt;&lt;wsp:rsid wsp:val=&quot;00CB3D78&quot;/&gt;&lt;wsp:rsid wsp:val=&quot;00CB4541&quot;/&gt;&lt;wsp:rsid wsp:val=&quot;00CB4ABE&quot;/&gt;&lt;wsp:rsid wsp:val=&quot;00CB4E9E&quot;/&gt;&lt;wsp:rsid wsp:val=&quot;00CB5FAA&quot;/&gt;&lt;wsp:rsid wsp:val=&quot;00CB607E&quot;/&gt;&lt;wsp:rsid wsp:val=&quot;00CB6112&quot;/&gt;&lt;wsp:rsid wsp:val=&quot;00CB65FF&quot;/&gt;&lt;wsp:rsid wsp:val=&quot;00CB68DF&quot;/&gt;&lt;wsp:rsid wsp:val=&quot;00CB70A6&quot;/&gt;&lt;wsp:rsid wsp:val=&quot;00CB7214&quot;/&gt;&lt;wsp:rsid wsp:val=&quot;00CB7577&quot;/&gt;&lt;wsp:rsid wsp:val=&quot;00CB7914&quot;/&gt;&lt;wsp:rsid wsp:val=&quot;00CB7EAC&quot;/&gt;&lt;wsp:rsid wsp:val=&quot;00CC0607&quot;/&gt;&lt;wsp:rsid wsp:val=&quot;00CC0DEB&quot;/&gt;&lt;wsp:rsid wsp:val=&quot;00CC1308&quot;/&gt;&lt;wsp:rsid wsp:val=&quot;00CC1425&quot;/&gt;&lt;wsp:rsid wsp:val=&quot;00CC162D&quot;/&gt;&lt;wsp:rsid wsp:val=&quot;00CC1750&quot;/&gt;&lt;wsp:rsid wsp:val=&quot;00CC1B59&quot;/&gt;&lt;wsp:rsid wsp:val=&quot;00CC1B6C&quot;/&gt;&lt;wsp:rsid wsp:val=&quot;00CC1BB0&quot;/&gt;&lt;wsp:rsid wsp:val=&quot;00CC1D33&quot;/&gt;&lt;wsp:rsid wsp:val=&quot;00CC259F&quot;/&gt;&lt;wsp:rsid wsp:val=&quot;00CC2AB0&quot;/&gt;&lt;wsp:rsid wsp:val=&quot;00CC3AD3&quot;/&gt;&lt;wsp:rsid wsp:val=&quot;00CC3D3F&quot;/&gt;&lt;wsp:rsid wsp:val=&quot;00CC42C4&quot;/&gt;&lt;wsp:rsid wsp:val=&quot;00CC4951&quot;/&gt;&lt;wsp:rsid wsp:val=&quot;00CC5005&quot;/&gt;&lt;wsp:rsid wsp:val=&quot;00CC51C0&quot;/&gt;&lt;wsp:rsid wsp:val=&quot;00CC5356&quot;/&gt;&lt;wsp:rsid wsp:val=&quot;00CC630F&quot;/&gt;&lt;wsp:rsid wsp:val=&quot;00CC6480&quot;/&gt;&lt;wsp:rsid wsp:val=&quot;00CC69D2&quot;/&gt;&lt;wsp:rsid wsp:val=&quot;00CC7081&quot;/&gt;&lt;wsp:rsid wsp:val=&quot;00CC70C9&quot;/&gt;&lt;wsp:rsid wsp:val=&quot;00CC757A&quot;/&gt;&lt;wsp:rsid wsp:val=&quot;00CC7F0A&quot;/&gt;&lt;wsp:rsid wsp:val=&quot;00CD04DC&quot;/&gt;&lt;wsp:rsid wsp:val=&quot;00CD0654&quot;/&gt;&lt;wsp:rsid wsp:val=&quot;00CD0DBD&quot;/&gt;&lt;wsp:rsid wsp:val=&quot;00CD126F&quot;/&gt;&lt;wsp:rsid wsp:val=&quot;00CD13A9&quot;/&gt;&lt;wsp:rsid wsp:val=&quot;00CD1C5C&quot;/&gt;&lt;wsp:rsid wsp:val=&quot;00CD1D38&quot;/&gt;&lt;wsp:rsid wsp:val=&quot;00CD1DD8&quot;/&gt;&lt;wsp:rsid wsp:val=&quot;00CD2737&quot;/&gt;&lt;wsp:rsid wsp:val=&quot;00CD2CBE&quot;/&gt;&lt;wsp:rsid wsp:val=&quot;00CD3100&quot;/&gt;&lt;wsp:rsid wsp:val=&quot;00CD33EE&quot;/&gt;&lt;wsp:rsid wsp:val=&quot;00CD352F&quot;/&gt;&lt;wsp:rsid wsp:val=&quot;00CD35C6&quot;/&gt;&lt;wsp:rsid wsp:val=&quot;00CD3656&quot;/&gt;&lt;wsp:rsid wsp:val=&quot;00CD39AB&quot;/&gt;&lt;wsp:rsid wsp:val=&quot;00CD4624&quot;/&gt;&lt;wsp:rsid wsp:val=&quot;00CD46C0&quot;/&gt;&lt;wsp:rsid wsp:val=&quot;00CD4C1E&quot;/&gt;&lt;wsp:rsid wsp:val=&quot;00CD56E5&quot;/&gt;&lt;wsp:rsid wsp:val=&quot;00CD59B4&quot;/&gt;&lt;wsp:rsid wsp:val=&quot;00CD5AEC&quot;/&gt;&lt;wsp:rsid wsp:val=&quot;00CD5CE9&quot;/&gt;&lt;wsp:rsid wsp:val=&quot;00CD6421&quot;/&gt;&lt;wsp:rsid wsp:val=&quot;00CD65F7&quot;/&gt;&lt;wsp:rsid wsp:val=&quot;00CD664C&quot;/&gt;&lt;wsp:rsid wsp:val=&quot;00CD6688&quot;/&gt;&lt;wsp:rsid wsp:val=&quot;00CD6BB6&quot;/&gt;&lt;wsp:rsid wsp:val=&quot;00CD6C1B&quot;/&gt;&lt;wsp:rsid wsp:val=&quot;00CD75CB&quot;/&gt;&lt;wsp:rsid wsp:val=&quot;00CD79D2&quot;/&gt;&lt;wsp:rsid wsp:val=&quot;00CE0380&quot;/&gt;&lt;wsp:rsid wsp:val=&quot;00CE0870&quot;/&gt;&lt;wsp:rsid wsp:val=&quot;00CE0F5B&quot;/&gt;&lt;wsp:rsid wsp:val=&quot;00CE0FB5&quot;/&gt;&lt;wsp:rsid wsp:val=&quot;00CE1246&quot;/&gt;&lt;wsp:rsid wsp:val=&quot;00CE1704&quot;/&gt;&lt;wsp:rsid wsp:val=&quot;00CE250C&quot;/&gt;&lt;wsp:rsid wsp:val=&quot;00CE2717&quot;/&gt;&lt;wsp:rsid wsp:val=&quot;00CE2BD4&quot;/&gt;&lt;wsp:rsid wsp:val=&quot;00CE2DFC&quot;/&gt;&lt;wsp:rsid wsp:val=&quot;00CE3154&quot;/&gt;&lt;wsp:rsid wsp:val=&quot;00CE3359&quot;/&gt;&lt;wsp:rsid wsp:val=&quot;00CE4038&quot;/&gt;&lt;wsp:rsid wsp:val=&quot;00CE4AC6&quot;/&gt;&lt;wsp:rsid wsp:val=&quot;00CE4B67&quot;/&gt;&lt;wsp:rsid wsp:val=&quot;00CE505E&quot;/&gt;&lt;wsp:rsid wsp:val=&quot;00CE5625&quot;/&gt;&lt;wsp:rsid wsp:val=&quot;00CE5665&quot;/&gt;&lt;wsp:rsid wsp:val=&quot;00CE5B25&quot;/&gt;&lt;wsp:rsid wsp:val=&quot;00CE5E82&quot;/&gt;&lt;wsp:rsid wsp:val=&quot;00CE67DA&quot;/&gt;&lt;wsp:rsid wsp:val=&quot;00CE6A2D&quot;/&gt;&lt;wsp:rsid wsp:val=&quot;00CE73F7&quot;/&gt;&lt;wsp:rsid wsp:val=&quot;00CE7542&quot;/&gt;&lt;wsp:rsid wsp:val=&quot;00CE793E&quot;/&gt;&lt;wsp:rsid wsp:val=&quot;00CE7B06&quot;/&gt;&lt;wsp:rsid wsp:val=&quot;00CE7E3B&quot;/&gt;&lt;wsp:rsid wsp:val=&quot;00CE7F90&quot;/&gt;&lt;wsp:rsid wsp:val=&quot;00CF02EC&quot;/&gt;&lt;wsp:rsid wsp:val=&quot;00CF09F4&quot;/&gt;&lt;wsp:rsid wsp:val=&quot;00CF0CCA&quot;/&gt;&lt;wsp:rsid wsp:val=&quot;00CF0FE2&quot;/&gt;&lt;wsp:rsid wsp:val=&quot;00CF114C&quot;/&gt;&lt;wsp:rsid wsp:val=&quot;00CF143A&quot;/&gt;&lt;wsp:rsid wsp:val=&quot;00CF1F89&quot;/&gt;&lt;wsp:rsid wsp:val=&quot;00CF229C&quot;/&gt;&lt;wsp:rsid wsp:val=&quot;00CF2609&quot;/&gt;&lt;wsp:rsid wsp:val=&quot;00CF2615&quot;/&gt;&lt;wsp:rsid wsp:val=&quot;00CF2651&quot;/&gt;&lt;wsp:rsid wsp:val=&quot;00CF26CE&quot;/&gt;&lt;wsp:rsid wsp:val=&quot;00CF2994&quot;/&gt;&lt;wsp:rsid wsp:val=&quot;00CF3782&quot;/&gt;&lt;wsp:rsid wsp:val=&quot;00CF3C0C&quot;/&gt;&lt;wsp:rsid wsp:val=&quot;00CF441E&quot;/&gt;&lt;wsp:rsid wsp:val=&quot;00CF446C&quot;/&gt;&lt;wsp:rsid wsp:val=&quot;00CF4616&quot;/&gt;&lt;wsp:rsid wsp:val=&quot;00CF484F&quot;/&gt;&lt;wsp:rsid wsp:val=&quot;00CF4B3E&quot;/&gt;&lt;wsp:rsid wsp:val=&quot;00CF4C29&quot;/&gt;&lt;wsp:rsid wsp:val=&quot;00CF5493&quot;/&gt;&lt;wsp:rsid wsp:val=&quot;00CF659D&quot;/&gt;&lt;wsp:rsid wsp:val=&quot;00CF6957&quot;/&gt;&lt;wsp:rsid wsp:val=&quot;00CF7B29&quot;/&gt;&lt;wsp:rsid wsp:val=&quot;00CF7F58&quot;/&gt;&lt;wsp:rsid wsp:val=&quot;00D00110&quot;/&gt;&lt;wsp:rsid wsp:val=&quot;00D003E7&quot;/&gt;&lt;wsp:rsid wsp:val=&quot;00D00496&quot;/&gt;&lt;wsp:rsid wsp:val=&quot;00D008C0&quot;/&gt;&lt;wsp:rsid wsp:val=&quot;00D0182D&quot;/&gt;&lt;wsp:rsid wsp:val=&quot;00D01F7D&quot;/&gt;&lt;wsp:rsid wsp:val=&quot;00D01FC4&quot;/&gt;&lt;wsp:rsid wsp:val=&quot;00D021A2&quot;/&gt;&lt;wsp:rsid wsp:val=&quot;00D02382&quot;/&gt;&lt;wsp:rsid wsp:val=&quot;00D02841&quot;/&gt;&lt;wsp:rsid wsp:val=&quot;00D02D7C&quot;/&gt;&lt;wsp:rsid wsp:val=&quot;00D02F1C&quot;/&gt;&lt;wsp:rsid wsp:val=&quot;00D03115&quot;/&gt;&lt;wsp:rsid wsp:val=&quot;00D03436&quot;/&gt;&lt;wsp:rsid wsp:val=&quot;00D0387E&quot;/&gt;&lt;wsp:rsid wsp:val=&quot;00D03FAC&quot;/&gt;&lt;wsp:rsid wsp:val=&quot;00D03FE8&quot;/&gt;&lt;wsp:rsid wsp:val=&quot;00D04429&quot;/&gt;&lt;wsp:rsid wsp:val=&quot;00D047D0&quot;/&gt;&lt;wsp:rsid wsp:val=&quot;00D04B24&quot;/&gt;&lt;wsp:rsid wsp:val=&quot;00D05080&quot;/&gt;&lt;wsp:rsid wsp:val=&quot;00D054B1&quot;/&gt;&lt;wsp:rsid wsp:val=&quot;00D06174&quot;/&gt;&lt;wsp:rsid wsp:val=&quot;00D063BC&quot;/&gt;&lt;wsp:rsid wsp:val=&quot;00D066C4&quot;/&gt;&lt;wsp:rsid wsp:val=&quot;00D06866&quot;/&gt;&lt;wsp:rsid wsp:val=&quot;00D06C9F&quot;/&gt;&lt;wsp:rsid wsp:val=&quot;00D06E44&quot;/&gt;&lt;wsp:rsid wsp:val=&quot;00D072FB&quot;/&gt;&lt;wsp:rsid wsp:val=&quot;00D074F8&quot;/&gt;&lt;wsp:rsid wsp:val=&quot;00D07581&quot;/&gt;&lt;wsp:rsid wsp:val=&quot;00D07AB2&quot;/&gt;&lt;wsp:rsid wsp:val=&quot;00D07B9F&quot;/&gt;&lt;wsp:rsid wsp:val=&quot;00D106D2&quot;/&gt;&lt;wsp:rsid wsp:val=&quot;00D10B45&quot;/&gt;&lt;wsp:rsid wsp:val=&quot;00D1107C&quot;/&gt;&lt;wsp:rsid wsp:val=&quot;00D1143D&quot;/&gt;&lt;wsp:rsid wsp:val=&quot;00D1152D&quot;/&gt;&lt;wsp:rsid wsp:val=&quot;00D11922&quot;/&gt;&lt;wsp:rsid wsp:val=&quot;00D11A48&quot;/&gt;&lt;wsp:rsid wsp:val=&quot;00D123C5&quot;/&gt;&lt;wsp:rsid wsp:val=&quot;00D12657&quot;/&gt;&lt;wsp:rsid wsp:val=&quot;00D128FF&quot;/&gt;&lt;wsp:rsid wsp:val=&quot;00D12A1F&quot;/&gt;&lt;wsp:rsid wsp:val=&quot;00D12F15&quot;/&gt;&lt;wsp:rsid wsp:val=&quot;00D13E7A&quot;/&gt;&lt;wsp:rsid wsp:val=&quot;00D14279&quot;/&gt;&lt;wsp:rsid wsp:val=&quot;00D148AA&quot;/&gt;&lt;wsp:rsid wsp:val=&quot;00D148FC&quot;/&gt;&lt;wsp:rsid wsp:val=&quot;00D15199&quot;/&gt;&lt;wsp:rsid wsp:val=&quot;00D158AE&quot;/&gt;&lt;wsp:rsid wsp:val=&quot;00D15B02&quot;/&gt;&lt;wsp:rsid wsp:val=&quot;00D15C1B&quot;/&gt;&lt;wsp:rsid wsp:val=&quot;00D15E58&quot;/&gt;&lt;wsp:rsid wsp:val=&quot;00D15E5D&quot;/&gt;&lt;wsp:rsid wsp:val=&quot;00D15F2F&quot;/&gt;&lt;wsp:rsid wsp:val=&quot;00D161AF&quot;/&gt;&lt;wsp:rsid wsp:val=&quot;00D16209&quot;/&gt;&lt;wsp:rsid wsp:val=&quot;00D16359&quot;/&gt;&lt;wsp:rsid wsp:val=&quot;00D16BC8&quot;/&gt;&lt;wsp:rsid wsp:val=&quot;00D16BED&quot;/&gt;&lt;wsp:rsid wsp:val=&quot;00D16FF2&quot;/&gt;&lt;wsp:rsid wsp:val=&quot;00D17154&quot;/&gt;&lt;wsp:rsid wsp:val=&quot;00D1719F&quot;/&gt;&lt;wsp:rsid wsp:val=&quot;00D17240&quot;/&gt;&lt;wsp:rsid wsp:val=&quot;00D1758C&quot;/&gt;&lt;wsp:rsid wsp:val=&quot;00D17B23&quot;/&gt;&lt;wsp:rsid wsp:val=&quot;00D17B74&quot;/&gt;&lt;wsp:rsid wsp:val=&quot;00D200DB&quot;/&gt;&lt;wsp:rsid wsp:val=&quot;00D20202&quot;/&gt;&lt;wsp:rsid wsp:val=&quot;00D20682&quot;/&gt;&lt;wsp:rsid wsp:val=&quot;00D20B37&quot;/&gt;&lt;wsp:rsid wsp:val=&quot;00D20BE8&quot;/&gt;&lt;wsp:rsid wsp:val=&quot;00D21502&quot;/&gt;&lt;wsp:rsid wsp:val=&quot;00D21E04&quot;/&gt;&lt;wsp:rsid wsp:val=&quot;00D21F47&quot;/&gt;&lt;wsp:rsid wsp:val=&quot;00D22114&quot;/&gt;&lt;wsp:rsid wsp:val=&quot;00D227AB&quot;/&gt;&lt;wsp:rsid wsp:val=&quot;00D22885&quot;/&gt;&lt;wsp:rsid wsp:val=&quot;00D22905&quot;/&gt;&lt;wsp:rsid wsp:val=&quot;00D22FCC&quot;/&gt;&lt;wsp:rsid wsp:val=&quot;00D23086&quot;/&gt;&lt;wsp:rsid wsp:val=&quot;00D233FA&quot;/&gt;&lt;wsp:rsid wsp:val=&quot;00D234D4&quot;/&gt;&lt;wsp:rsid wsp:val=&quot;00D24D9E&quot;/&gt;&lt;wsp:rsid wsp:val=&quot;00D255D5&quot;/&gt;&lt;wsp:rsid wsp:val=&quot;00D25710&quot;/&gt;&lt;wsp:rsid wsp:val=&quot;00D25F3C&quot;/&gt;&lt;wsp:rsid wsp:val=&quot;00D26215&quot;/&gt;&lt;wsp:rsid wsp:val=&quot;00D279EB&quot;/&gt;&lt;wsp:rsid wsp:val=&quot;00D27BC8&quot;/&gt;&lt;wsp:rsid wsp:val=&quot;00D30031&quot;/&gt;&lt;wsp:rsid wsp:val=&quot;00D30304&quot;/&gt;&lt;wsp:rsid wsp:val=&quot;00D303E6&quot;/&gt;&lt;wsp:rsid wsp:val=&quot;00D30990&quot;/&gt;&lt;wsp:rsid wsp:val=&quot;00D3107B&quot;/&gt;&lt;wsp:rsid wsp:val=&quot;00D311A8&quot;/&gt;&lt;wsp:rsid wsp:val=&quot;00D314EA&quot;/&gt;&lt;wsp:rsid wsp:val=&quot;00D32050&quot;/&gt;&lt;wsp:rsid wsp:val=&quot;00D3210D&quot;/&gt;&lt;wsp:rsid wsp:val=&quot;00D32D29&quot;/&gt;&lt;wsp:rsid wsp:val=&quot;00D33046&quot;/&gt;&lt;wsp:rsid wsp:val=&quot;00D3344F&quot;/&gt;&lt;wsp:rsid wsp:val=&quot;00D33951&quot;/&gt;&lt;wsp:rsid wsp:val=&quot;00D33992&quot;/&gt;&lt;wsp:rsid wsp:val=&quot;00D3404A&quot;/&gt;&lt;wsp:rsid wsp:val=&quot;00D34B0E&quot;/&gt;&lt;wsp:rsid wsp:val=&quot;00D34D68&quot;/&gt;&lt;wsp:rsid wsp:val=&quot;00D3521C&quot;/&gt;&lt;wsp:rsid wsp:val=&quot;00D357ED&quot;/&gt;&lt;wsp:rsid wsp:val=&quot;00D3593B&quot;/&gt;&lt;wsp:rsid wsp:val=&quot;00D35CE6&quot;/&gt;&lt;wsp:rsid wsp:val=&quot;00D3615D&quot;/&gt;&lt;wsp:rsid wsp:val=&quot;00D36225&quot;/&gt;&lt;wsp:rsid wsp:val=&quot;00D3635F&quot;/&gt;&lt;wsp:rsid wsp:val=&quot;00D363A6&quot;/&gt;&lt;wsp:rsid wsp:val=&quot;00D369CB&quot;/&gt;&lt;wsp:rsid wsp:val=&quot;00D36C20&quot;/&gt;&lt;wsp:rsid wsp:val=&quot;00D3704F&quot;/&gt;&lt;wsp:rsid wsp:val=&quot;00D371FE&quot;/&gt;&lt;wsp:rsid wsp:val=&quot;00D375BC&quot;/&gt;&lt;wsp:rsid wsp:val=&quot;00D37BED&quot;/&gt;&lt;wsp:rsid wsp:val=&quot;00D37FC9&quot;/&gt;&lt;wsp:rsid wsp:val=&quot;00D4027F&quot;/&gt;&lt;wsp:rsid wsp:val=&quot;00D40BAC&quot;/&gt;&lt;wsp:rsid wsp:val=&quot;00D413EF&quot;/&gt;&lt;wsp:rsid wsp:val=&quot;00D4159E&quot;/&gt;&lt;wsp:rsid wsp:val=&quot;00D41860&quot;/&gt;&lt;wsp:rsid wsp:val=&quot;00D41A19&quot;/&gt;&lt;wsp:rsid wsp:val=&quot;00D42598&quot;/&gt;&lt;wsp:rsid wsp:val=&quot;00D42715&quot;/&gt;&lt;wsp:rsid wsp:val=&quot;00D428FC&quot;/&gt;&lt;wsp:rsid wsp:val=&quot;00D42C6F&quot;/&gt;&lt;wsp:rsid wsp:val=&quot;00D43754&quot;/&gt;&lt;wsp:rsid wsp:val=&quot;00D437D7&quot;/&gt;&lt;wsp:rsid wsp:val=&quot;00D43C0E&quot;/&gt;&lt;wsp:rsid wsp:val=&quot;00D44849&quot;/&gt;&lt;wsp:rsid wsp:val=&quot;00D448C0&quot;/&gt;&lt;wsp:rsid wsp:val=&quot;00D44C01&quot;/&gt;&lt;wsp:rsid wsp:val=&quot;00D44FA1&quot;/&gt;&lt;wsp:rsid wsp:val=&quot;00D4506E&quot;/&gt;&lt;wsp:rsid wsp:val=&quot;00D451F5&quot;/&gt;&lt;wsp:rsid wsp:val=&quot;00D4535F&quot;/&gt;&lt;wsp:rsid wsp:val=&quot;00D454A3&quot;/&gt;&lt;wsp:rsid wsp:val=&quot;00D45927&quot;/&gt;&lt;wsp:rsid wsp:val=&quot;00D4599C&quot;/&gt;&lt;wsp:rsid wsp:val=&quot;00D45A96&quot;/&gt;&lt;wsp:rsid wsp:val=&quot;00D462FE&quot;/&gt;&lt;wsp:rsid wsp:val=&quot;00D464AD&quot;/&gt;&lt;wsp:rsid wsp:val=&quot;00D464D7&quot;/&gt;&lt;wsp:rsid wsp:val=&quot;00D4728E&quot;/&gt;&lt;wsp:rsid wsp:val=&quot;00D47407&quot;/&gt;&lt;wsp:rsid wsp:val=&quot;00D50182&quot;/&gt;&lt;wsp:rsid wsp:val=&quot;00D507F8&quot;/&gt;&lt;wsp:rsid wsp:val=&quot;00D5104A&quot;/&gt;&lt;wsp:rsid wsp:val=&quot;00D51380&quot;/&gt;&lt;wsp:rsid wsp:val=&quot;00D514C2&quot;/&gt;&lt;wsp:rsid wsp:val=&quot;00D51D6E&quot;/&gt;&lt;wsp:rsid wsp:val=&quot;00D52177&quot;/&gt;&lt;wsp:rsid wsp:val=&quot;00D52786&quot;/&gt;&lt;wsp:rsid wsp:val=&quot;00D53024&quot;/&gt;&lt;wsp:rsid wsp:val=&quot;00D53085&quot;/&gt;&lt;wsp:rsid wsp:val=&quot;00D531D9&quot;/&gt;&lt;wsp:rsid wsp:val=&quot;00D531DF&quot;/&gt;&lt;wsp:rsid wsp:val=&quot;00D534C8&quot;/&gt;&lt;wsp:rsid wsp:val=&quot;00D541D3&quot;/&gt;&lt;wsp:rsid wsp:val=&quot;00D54608&quot;/&gt;&lt;wsp:rsid wsp:val=&quot;00D54A11&quot;/&gt;&lt;wsp:rsid wsp:val=&quot;00D54AD8&quot;/&gt;&lt;wsp:rsid wsp:val=&quot;00D54D48&quot;/&gt;&lt;wsp:rsid wsp:val=&quot;00D55229&quot;/&gt;&lt;wsp:rsid wsp:val=&quot;00D553F4&quot;/&gt;&lt;wsp:rsid wsp:val=&quot;00D55436&quot;/&gt;&lt;wsp:rsid wsp:val=&quot;00D55B87&quot;/&gt;&lt;wsp:rsid wsp:val=&quot;00D55D6A&quot;/&gt;&lt;wsp:rsid wsp:val=&quot;00D55E18&quot;/&gt;&lt;wsp:rsid wsp:val=&quot;00D55F89&quot;/&gt;&lt;wsp:rsid wsp:val=&quot;00D5684D&quot;/&gt;&lt;wsp:rsid wsp:val=&quot;00D568FF&quot;/&gt;&lt;wsp:rsid wsp:val=&quot;00D56D9C&quot;/&gt;&lt;wsp:rsid wsp:val=&quot;00D56DDD&quot;/&gt;&lt;wsp:rsid wsp:val=&quot;00D571CD&quot;/&gt;&lt;wsp:rsid wsp:val=&quot;00D57C96&quot;/&gt;&lt;wsp:rsid wsp:val=&quot;00D6000D&quot;/&gt;&lt;wsp:rsid wsp:val=&quot;00D609E3&quot;/&gt;&lt;wsp:rsid wsp:val=&quot;00D60A22&quot;/&gt;&lt;wsp:rsid wsp:val=&quot;00D60BCF&quot;/&gt;&lt;wsp:rsid wsp:val=&quot;00D60CCB&quot;/&gt;&lt;wsp:rsid wsp:val=&quot;00D60F9F&quot;/&gt;&lt;wsp:rsid wsp:val=&quot;00D610ED&quot;/&gt;&lt;wsp:rsid wsp:val=&quot;00D61683&quot;/&gt;&lt;wsp:rsid wsp:val=&quot;00D61749&quot;/&gt;&lt;wsp:rsid wsp:val=&quot;00D6197E&quot;/&gt;&lt;wsp:rsid wsp:val=&quot;00D61AA6&quot;/&gt;&lt;wsp:rsid wsp:val=&quot;00D61FB1&quot;/&gt;&lt;wsp:rsid wsp:val=&quot;00D621ED&quot;/&gt;&lt;wsp:rsid wsp:val=&quot;00D625CC&quot;/&gt;&lt;wsp:rsid wsp:val=&quot;00D62749&quot;/&gt;&lt;wsp:rsid wsp:val=&quot;00D62919&quot;/&gt;&lt;wsp:rsid wsp:val=&quot;00D62F1A&quot;/&gt;&lt;wsp:rsid wsp:val=&quot;00D63214&quot;/&gt;&lt;wsp:rsid wsp:val=&quot;00D638C9&quot;/&gt;&lt;wsp:rsid wsp:val=&quot;00D63DFD&quot;/&gt;&lt;wsp:rsid wsp:val=&quot;00D6460F&quot;/&gt;&lt;wsp:rsid wsp:val=&quot;00D64670&quot;/&gt;&lt;wsp:rsid wsp:val=&quot;00D64AD9&quot;/&gt;&lt;wsp:rsid wsp:val=&quot;00D64ECC&quot;/&gt;&lt;wsp:rsid wsp:val=&quot;00D652B4&quot;/&gt;&lt;wsp:rsid wsp:val=&quot;00D6560F&quot;/&gt;&lt;wsp:rsid wsp:val=&quot;00D65C82&quot;/&gt;&lt;wsp:rsid wsp:val=&quot;00D65F3F&quot;/&gt;&lt;wsp:rsid wsp:val=&quot;00D66048&quot;/&gt;&lt;wsp:rsid wsp:val=&quot;00D6631E&quot;/&gt;&lt;wsp:rsid wsp:val=&quot;00D66A4C&quot;/&gt;&lt;wsp:rsid wsp:val=&quot;00D66E12&quot;/&gt;&lt;wsp:rsid wsp:val=&quot;00D6717B&quot;/&gt;&lt;wsp:rsid wsp:val=&quot;00D671AC&quot;/&gt;&lt;wsp:rsid wsp:val=&quot;00D6768A&quot;/&gt;&lt;wsp:rsid wsp:val=&quot;00D67BC4&quot;/&gt;&lt;wsp:rsid wsp:val=&quot;00D67DA6&quot;/&gt;&lt;wsp:rsid wsp:val=&quot;00D70BE1&quot;/&gt;&lt;wsp:rsid wsp:val=&quot;00D70F6B&quot;/&gt;&lt;wsp:rsid wsp:val=&quot;00D717D2&quot;/&gt;&lt;wsp:rsid wsp:val=&quot;00D71814&quot;/&gt;&lt;wsp:rsid wsp:val=&quot;00D71B07&quot;/&gt;&lt;wsp:rsid wsp:val=&quot;00D720E8&quot;/&gt;&lt;wsp:rsid wsp:val=&quot;00D72159&quot;/&gt;&lt;wsp:rsid wsp:val=&quot;00D7266A&quot;/&gt;&lt;wsp:rsid wsp:val=&quot;00D72711&quot;/&gt;&lt;wsp:rsid wsp:val=&quot;00D72917&quot;/&gt;&lt;wsp:rsid wsp:val=&quot;00D72DF4&quot;/&gt;&lt;wsp:rsid wsp:val=&quot;00D72EA6&quot;/&gt;&lt;wsp:rsid wsp:val=&quot;00D72F77&quot;/&gt;&lt;wsp:rsid wsp:val=&quot;00D73036&quot;/&gt;&lt;wsp:rsid wsp:val=&quot;00D731D9&quot;/&gt;&lt;wsp:rsid wsp:val=&quot;00D7320F&quot;/&gt;&lt;wsp:rsid wsp:val=&quot;00D73858&quot;/&gt;&lt;wsp:rsid wsp:val=&quot;00D73938&quot;/&gt;&lt;wsp:rsid wsp:val=&quot;00D739DA&quot;/&gt;&lt;wsp:rsid wsp:val=&quot;00D73ED7&quot;/&gt;&lt;wsp:rsid wsp:val=&quot;00D740FD&quot;/&gt;&lt;wsp:rsid wsp:val=&quot;00D74D28&quot;/&gt;&lt;wsp:rsid wsp:val=&quot;00D75928&quot;/&gt;&lt;wsp:rsid wsp:val=&quot;00D75A84&quot;/&gt;&lt;wsp:rsid wsp:val=&quot;00D75B33&quot;/&gt;&lt;wsp:rsid wsp:val=&quot;00D75E24&quot;/&gt;&lt;wsp:rsid wsp:val=&quot;00D761E9&quot;/&gt;&lt;wsp:rsid wsp:val=&quot;00D76263&quot;/&gt;&lt;wsp:rsid wsp:val=&quot;00D763CE&quot;/&gt;&lt;wsp:rsid wsp:val=&quot;00D76C02&quot;/&gt;&lt;wsp:rsid wsp:val=&quot;00D77C2F&quot;/&gt;&lt;wsp:rsid wsp:val=&quot;00D77C5E&quot;/&gt;&lt;wsp:rsid wsp:val=&quot;00D8008F&quot;/&gt;&lt;wsp:rsid wsp:val=&quot;00D80115&quot;/&gt;&lt;wsp:rsid wsp:val=&quot;00D806C6&quot;/&gt;&lt;wsp:rsid wsp:val=&quot;00D80EF1&quot;/&gt;&lt;wsp:rsid wsp:val=&quot;00D816FD&quot;/&gt;&lt;wsp:rsid wsp:val=&quot;00D81A80&quot;/&gt;&lt;wsp:rsid wsp:val=&quot;00D81AF9&quot;/&gt;&lt;wsp:rsid wsp:val=&quot;00D82185&quot;/&gt;&lt;wsp:rsid wsp:val=&quot;00D8221F&quot;/&gt;&lt;wsp:rsid wsp:val=&quot;00D827BE&quot;/&gt;&lt;wsp:rsid wsp:val=&quot;00D82BFA&quot;/&gt;&lt;wsp:rsid wsp:val=&quot;00D82CE4&quot;/&gt;&lt;wsp:rsid wsp:val=&quot;00D82DED&quot;/&gt;&lt;wsp:rsid wsp:val=&quot;00D82EA9&quot;/&gt;&lt;wsp:rsid wsp:val=&quot;00D8303D&quot;/&gt;&lt;wsp:rsid wsp:val=&quot;00D83ABE&quot;/&gt;&lt;wsp:rsid wsp:val=&quot;00D84076&quot;/&gt;&lt;wsp:rsid wsp:val=&quot;00D840E7&quot;/&gt;&lt;wsp:rsid wsp:val=&quot;00D84B7C&quot;/&gt;&lt;wsp:rsid wsp:val=&quot;00D84C3D&quot;/&gt;&lt;wsp:rsid wsp:val=&quot;00D857D7&quot;/&gt;&lt;wsp:rsid wsp:val=&quot;00D86B3B&quot;/&gt;&lt;wsp:rsid wsp:val=&quot;00D86BDE&quot;/&gt;&lt;wsp:rsid wsp:val=&quot;00D87322&quot;/&gt;&lt;wsp:rsid wsp:val=&quot;00D87462&quot;/&gt;&lt;wsp:rsid wsp:val=&quot;00D87743&quot;/&gt;&lt;wsp:rsid wsp:val=&quot;00D87AB8&quot;/&gt;&lt;wsp:rsid wsp:val=&quot;00D9049A&quot;/&gt;&lt;wsp:rsid wsp:val=&quot;00D905A0&quot;/&gt;&lt;wsp:rsid wsp:val=&quot;00D909ED&quot;/&gt;&lt;wsp:rsid wsp:val=&quot;00D90C72&quot;/&gt;&lt;wsp:rsid wsp:val=&quot;00D912ED&quot;/&gt;&lt;wsp:rsid wsp:val=&quot;00D9158D&quot;/&gt;&lt;wsp:rsid wsp:val=&quot;00D91CA0&quot;/&gt;&lt;wsp:rsid wsp:val=&quot;00D91F58&quot;/&gt;&lt;wsp:rsid wsp:val=&quot;00D9233A&quot;/&gt;&lt;wsp:rsid wsp:val=&quot;00D92AF2&quot;/&gt;&lt;wsp:rsid wsp:val=&quot;00D92B7F&quot;/&gt;&lt;wsp:rsid wsp:val=&quot;00D93577&quot;/&gt;&lt;wsp:rsid wsp:val=&quot;00D93738&quot;/&gt;&lt;wsp:rsid wsp:val=&quot;00D937A2&quot;/&gt;&lt;wsp:rsid wsp:val=&quot;00D93D73&quot;/&gt;&lt;wsp:rsid wsp:val=&quot;00D93DD9&quot;/&gt;&lt;wsp:rsid wsp:val=&quot;00D93F02&quot;/&gt;&lt;wsp:rsid wsp:val=&quot;00D94020&quot;/&gt;&lt;wsp:rsid wsp:val=&quot;00D9411E&quot;/&gt;&lt;wsp:rsid wsp:val=&quot;00D942FD&quot;/&gt;&lt;wsp:rsid wsp:val=&quot;00D947F6&quot;/&gt;&lt;wsp:rsid wsp:val=&quot;00D94E79&quot;/&gt;&lt;wsp:rsid wsp:val=&quot;00D95526&quot;/&gt;&lt;wsp:rsid wsp:val=&quot;00D960EC&quot;/&gt;&lt;wsp:rsid wsp:val=&quot;00D962CE&quot;/&gt;&lt;wsp:rsid wsp:val=&quot;00D96D8B&quot;/&gt;&lt;wsp:rsid wsp:val=&quot;00D9709A&quot;/&gt;&lt;wsp:rsid wsp:val=&quot;00D97947&quot;/&gt;&lt;wsp:rsid wsp:val=&quot;00DA0465&quot;/&gt;&lt;wsp:rsid wsp:val=&quot;00DA0589&quot;/&gt;&lt;wsp:rsid wsp:val=&quot;00DA08C4&quot;/&gt;&lt;wsp:rsid wsp:val=&quot;00DA0B0B&quot;/&gt;&lt;wsp:rsid wsp:val=&quot;00DA0B9D&quot;/&gt;&lt;wsp:rsid wsp:val=&quot;00DA0D86&quot;/&gt;&lt;wsp:rsid wsp:val=&quot;00DA15BA&quot;/&gt;&lt;wsp:rsid wsp:val=&quot;00DA1B4C&quot;/&gt;&lt;wsp:rsid wsp:val=&quot;00DA21C0&quot;/&gt;&lt;wsp:rsid wsp:val=&quot;00DA2532&quot;/&gt;&lt;wsp:rsid wsp:val=&quot;00DA2A0A&quot;/&gt;&lt;wsp:rsid wsp:val=&quot;00DA2B31&quot;/&gt;&lt;wsp:rsid wsp:val=&quot;00DA2BD2&quot;/&gt;&lt;wsp:rsid wsp:val=&quot;00DA31B0&quot;/&gt;&lt;wsp:rsid wsp:val=&quot;00DA3924&quot;/&gt;&lt;wsp:rsid wsp:val=&quot;00DA3F61&quot;/&gt;&lt;wsp:rsid wsp:val=&quot;00DA4707&quot;/&gt;&lt;wsp:rsid wsp:val=&quot;00DA5406&quot;/&gt;&lt;wsp:rsid wsp:val=&quot;00DA5410&quot;/&gt;&lt;wsp:rsid wsp:val=&quot;00DA5558&quot;/&gt;&lt;wsp:rsid wsp:val=&quot;00DA5AB8&quot;/&gt;&lt;wsp:rsid wsp:val=&quot;00DA6261&quot;/&gt;&lt;wsp:rsid wsp:val=&quot;00DA68B8&quot;/&gt;&lt;wsp:rsid wsp:val=&quot;00DA69EE&quot;/&gt;&lt;wsp:rsid wsp:val=&quot;00DA6AE3&quot;/&gt;&lt;wsp:rsid wsp:val=&quot;00DA6E8E&quot;/&gt;&lt;wsp:rsid wsp:val=&quot;00DA6EAA&quot;/&gt;&lt;wsp:rsid wsp:val=&quot;00DA6F9E&quot;/&gt;&lt;wsp:rsid wsp:val=&quot;00DA7288&quot;/&gt;&lt;wsp:rsid wsp:val=&quot;00DA77BE&quot;/&gt;&lt;wsp:rsid wsp:val=&quot;00DA7CBB&quot;/&gt;&lt;wsp:rsid wsp:val=&quot;00DA7CE8&quot;/&gt;&lt;wsp:rsid wsp:val=&quot;00DA7F4B&quot;/&gt;&lt;wsp:rsid wsp:val=&quot;00DB005C&quot;/&gt;&lt;wsp:rsid wsp:val=&quot;00DB0578&quot;/&gt;&lt;wsp:rsid wsp:val=&quot;00DB060E&quot;/&gt;&lt;wsp:rsid wsp:val=&quot;00DB0832&quot;/&gt;&lt;wsp:rsid wsp:val=&quot;00DB0DEB&quot;/&gt;&lt;wsp:rsid wsp:val=&quot;00DB0FD2&quot;/&gt;&lt;wsp:rsid wsp:val=&quot;00DB1048&quot;/&gt;&lt;wsp:rsid wsp:val=&quot;00DB1668&quot;/&gt;&lt;wsp:rsid wsp:val=&quot;00DB1AE8&quot;/&gt;&lt;wsp:rsid wsp:val=&quot;00DB1CEB&quot;/&gt;&lt;wsp:rsid wsp:val=&quot;00DB1D70&quot;/&gt;&lt;wsp:rsid wsp:val=&quot;00DB2583&quot;/&gt;&lt;wsp:rsid wsp:val=&quot;00DB2BD2&quot;/&gt;&lt;wsp:rsid wsp:val=&quot;00DB30ED&quot;/&gt;&lt;wsp:rsid wsp:val=&quot;00DB3127&quot;/&gt;&lt;wsp:rsid wsp:val=&quot;00DB3438&quot;/&gt;&lt;wsp:rsid wsp:val=&quot;00DB3C41&quot;/&gt;&lt;wsp:rsid wsp:val=&quot;00DB465F&quot;/&gt;&lt;wsp:rsid wsp:val=&quot;00DB6691&quot;/&gt;&lt;wsp:rsid wsp:val=&quot;00DB67AB&quot;/&gt;&lt;wsp:rsid wsp:val=&quot;00DB69B5&quot;/&gt;&lt;wsp:rsid wsp:val=&quot;00DB78F5&quot;/&gt;&lt;wsp:rsid wsp:val=&quot;00DC02B2&quot;/&gt;&lt;wsp:rsid wsp:val=&quot;00DC041C&quot;/&gt;&lt;wsp:rsid wsp:val=&quot;00DC089F&quot;/&gt;&lt;wsp:rsid wsp:val=&quot;00DC0F12&quot;/&gt;&lt;wsp:rsid wsp:val=&quot;00DC11A9&quot;/&gt;&lt;wsp:rsid wsp:val=&quot;00DC14D0&quot;/&gt;&lt;wsp:rsid wsp:val=&quot;00DC1DA6&quot;/&gt;&lt;wsp:rsid wsp:val=&quot;00DC24EC&quot;/&gt;&lt;wsp:rsid wsp:val=&quot;00DC263D&quot;/&gt;&lt;wsp:rsid wsp:val=&quot;00DC39B2&quot;/&gt;&lt;wsp:rsid wsp:val=&quot;00DC4252&quot;/&gt;&lt;wsp:rsid wsp:val=&quot;00DC4316&quot;/&gt;&lt;wsp:rsid wsp:val=&quot;00DC463A&quot;/&gt;&lt;wsp:rsid wsp:val=&quot;00DC47AE&quot;/&gt;&lt;wsp:rsid wsp:val=&quot;00DC4946&quot;/&gt;&lt;wsp:rsid wsp:val=&quot;00DC4EFD&quot;/&gt;&lt;wsp:rsid wsp:val=&quot;00DC59C9&quot;/&gt;&lt;wsp:rsid wsp:val=&quot;00DC6543&quot;/&gt;&lt;wsp:rsid wsp:val=&quot;00DC65B5&quot;/&gt;&lt;wsp:rsid wsp:val=&quot;00DC6941&quot;/&gt;&lt;wsp:rsid wsp:val=&quot;00DC6E5A&quot;/&gt;&lt;wsp:rsid wsp:val=&quot;00DC7885&quot;/&gt;&lt;wsp:rsid wsp:val=&quot;00DC78C4&quot;/&gt;&lt;wsp:rsid wsp:val=&quot;00DC7B6F&quot;/&gt;&lt;wsp:rsid wsp:val=&quot;00DD0246&quot;/&gt;&lt;wsp:rsid wsp:val=&quot;00DD0A70&quot;/&gt;&lt;wsp:rsid wsp:val=&quot;00DD0E58&quot;/&gt;&lt;wsp:rsid wsp:val=&quot;00DD1711&quot;/&gt;&lt;wsp:rsid wsp:val=&quot;00DD18E3&quot;/&gt;&lt;wsp:rsid wsp:val=&quot;00DD21F6&quot;/&gt;&lt;wsp:rsid wsp:val=&quot;00DD237A&quot;/&gt;&lt;wsp:rsid wsp:val=&quot;00DD25EE&quot;/&gt;&lt;wsp:rsid wsp:val=&quot;00DD2628&quot;/&gt;&lt;wsp:rsid wsp:val=&quot;00DD2795&quot;/&gt;&lt;wsp:rsid wsp:val=&quot;00DD2B5A&quot;/&gt;&lt;wsp:rsid wsp:val=&quot;00DD2BE0&quot;/&gt;&lt;wsp:rsid wsp:val=&quot;00DD2ED4&quot;/&gt;&lt;wsp:rsid wsp:val=&quot;00DD3337&quot;/&gt;&lt;wsp:rsid wsp:val=&quot;00DD460B&quot;/&gt;&lt;wsp:rsid wsp:val=&quot;00DD4684&quot;/&gt;&lt;wsp:rsid wsp:val=&quot;00DD493C&quot;/&gt;&lt;wsp:rsid wsp:val=&quot;00DD4A1A&quot;/&gt;&lt;wsp:rsid wsp:val=&quot;00DD4CC6&quot;/&gt;&lt;wsp:rsid wsp:val=&quot;00DD50A5&quot;/&gt;&lt;wsp:rsid wsp:val=&quot;00DD52CD&quot;/&gt;&lt;wsp:rsid wsp:val=&quot;00DD5454&quot;/&gt;&lt;wsp:rsid wsp:val=&quot;00DD58E5&quot;/&gt;&lt;wsp:rsid wsp:val=&quot;00DD5A0D&quot;/&gt;&lt;wsp:rsid wsp:val=&quot;00DD5FA7&quot;/&gt;&lt;wsp:rsid wsp:val=&quot;00DD60FC&quot;/&gt;&lt;wsp:rsid wsp:val=&quot;00DD6432&quot;/&gt;&lt;wsp:rsid wsp:val=&quot;00DD6C05&quot;/&gt;&lt;wsp:rsid wsp:val=&quot;00DD792A&quot;/&gt;&lt;wsp:rsid wsp:val=&quot;00DE0252&quot;/&gt;&lt;wsp:rsid wsp:val=&quot;00DE0711&quot;/&gt;&lt;wsp:rsid wsp:val=&quot;00DE0ECD&quot;/&gt;&lt;wsp:rsid wsp:val=&quot;00DE129C&quot;/&gt;&lt;wsp:rsid wsp:val=&quot;00DE14DE&quot;/&gt;&lt;wsp:rsid wsp:val=&quot;00DE1638&quot;/&gt;&lt;wsp:rsid wsp:val=&quot;00DE1699&quot;/&gt;&lt;wsp:rsid wsp:val=&quot;00DE1880&quot;/&gt;&lt;wsp:rsid wsp:val=&quot;00DE1935&quot;/&gt;&lt;wsp:rsid wsp:val=&quot;00DE1BE4&quot;/&gt;&lt;wsp:rsid wsp:val=&quot;00DE2B0D&quot;/&gt;&lt;wsp:rsid wsp:val=&quot;00DE2D43&quot;/&gt;&lt;wsp:rsid wsp:val=&quot;00DE377A&quot;/&gt;&lt;wsp:rsid wsp:val=&quot;00DE4271&quot;/&gt;&lt;wsp:rsid wsp:val=&quot;00DE453F&quot;/&gt;&lt;wsp:rsid wsp:val=&quot;00DE4590&quot;/&gt;&lt;wsp:rsid wsp:val=&quot;00DE45B5&quot;/&gt;&lt;wsp:rsid wsp:val=&quot;00DE4632&quot;/&gt;&lt;wsp:rsid wsp:val=&quot;00DE4A0E&quot;/&gt;&lt;wsp:rsid wsp:val=&quot;00DE4B59&quot;/&gt;&lt;wsp:rsid wsp:val=&quot;00DE4F72&quot;/&gt;&lt;wsp:rsid wsp:val=&quot;00DE5037&quot;/&gt;&lt;wsp:rsid wsp:val=&quot;00DE5287&quot;/&gt;&lt;wsp:rsid wsp:val=&quot;00DE55C6&quot;/&gt;&lt;wsp:rsid wsp:val=&quot;00DE6070&quot;/&gt;&lt;wsp:rsid wsp:val=&quot;00DE6142&quot;/&gt;&lt;wsp:rsid wsp:val=&quot;00DE6790&quot;/&gt;&lt;wsp:rsid wsp:val=&quot;00DE69E3&quot;/&gt;&lt;wsp:rsid wsp:val=&quot;00DE6FA7&quot;/&gt;&lt;wsp:rsid wsp:val=&quot;00DE731E&quot;/&gt;&lt;wsp:rsid wsp:val=&quot;00DE769F&quot;/&gt;&lt;wsp:rsid wsp:val=&quot;00DE7701&quot;/&gt;&lt;wsp:rsid wsp:val=&quot;00DE7726&quot;/&gt;&lt;wsp:rsid wsp:val=&quot;00DE793B&quot;/&gt;&lt;wsp:rsid wsp:val=&quot;00DE7CB7&quot;/&gt;&lt;wsp:rsid wsp:val=&quot;00DE7E7D&quot;/&gt;&lt;wsp:rsid wsp:val=&quot;00DF03D5&quot;/&gt;&lt;wsp:rsid wsp:val=&quot;00DF059A&quot;/&gt;&lt;wsp:rsid wsp:val=&quot;00DF06C5&quot;/&gt;&lt;wsp:rsid wsp:val=&quot;00DF0738&quot;/&gt;&lt;wsp:rsid wsp:val=&quot;00DF0866&quot;/&gt;&lt;wsp:rsid wsp:val=&quot;00DF0BF6&quot;/&gt;&lt;wsp:rsid wsp:val=&quot;00DF0CFC&quot;/&gt;&lt;wsp:rsid wsp:val=&quot;00DF10B1&quot;/&gt;&lt;wsp:rsid wsp:val=&quot;00DF1A2A&quot;/&gt;&lt;wsp:rsid wsp:val=&quot;00DF22D9&quot;/&gt;&lt;wsp:rsid wsp:val=&quot;00DF2339&quot;/&gt;&lt;wsp:rsid wsp:val=&quot;00DF25E9&quot;/&gt;&lt;wsp:rsid wsp:val=&quot;00DF2C22&quot;/&gt;&lt;wsp:rsid wsp:val=&quot;00DF3226&quot;/&gt;&lt;wsp:rsid wsp:val=&quot;00DF3536&quot;/&gt;&lt;wsp:rsid wsp:val=&quot;00DF36D5&quot;/&gt;&lt;wsp:rsid wsp:val=&quot;00DF3B61&quot;/&gt;&lt;wsp:rsid wsp:val=&quot;00DF4113&quot;/&gt;&lt;wsp:rsid wsp:val=&quot;00DF4CA4&quot;/&gt;&lt;wsp:rsid wsp:val=&quot;00DF57D2&quot;/&gt;&lt;wsp:rsid wsp:val=&quot;00DF5A1B&quot;/&gt;&lt;wsp:rsid wsp:val=&quot;00DF61CC&quot;/&gt;&lt;wsp:rsid wsp:val=&quot;00DF684E&quot;/&gt;&lt;wsp:rsid wsp:val=&quot;00DF6CE4&quot;/&gt;&lt;wsp:rsid wsp:val=&quot;00DF7481&quot;/&gt;&lt;wsp:rsid wsp:val=&quot;00DF7F0C&quot;/&gt;&lt;wsp:rsid wsp:val=&quot;00DF7FBC&quot;/&gt;&lt;wsp:rsid wsp:val=&quot;00E000AC&quot;/&gt;&lt;wsp:rsid wsp:val=&quot;00E00296&quot;/&gt;&lt;wsp:rsid wsp:val=&quot;00E00326&quot;/&gt;&lt;wsp:rsid wsp:val=&quot;00E003FA&quot;/&gt;&lt;wsp:rsid wsp:val=&quot;00E00AD1&quot;/&gt;&lt;wsp:rsid wsp:val=&quot;00E01358&quot;/&gt;&lt;wsp:rsid wsp:val=&quot;00E013E0&quot;/&gt;&lt;wsp:rsid wsp:val=&quot;00E014AA&quot;/&gt;&lt;wsp:rsid wsp:val=&quot;00E016C7&quot;/&gt;&lt;wsp:rsid wsp:val=&quot;00E017DA&quot;/&gt;&lt;wsp:rsid wsp:val=&quot;00E01837&quot;/&gt;&lt;wsp:rsid wsp:val=&quot;00E01A1A&quot;/&gt;&lt;wsp:rsid wsp:val=&quot;00E01B5C&quot;/&gt;&lt;wsp:rsid wsp:val=&quot;00E01BA4&quot;/&gt;&lt;wsp:rsid wsp:val=&quot;00E01F11&quot;/&gt;&lt;wsp:rsid wsp:val=&quot;00E02121&quot;/&gt;&lt;wsp:rsid wsp:val=&quot;00E02153&quot;/&gt;&lt;wsp:rsid wsp:val=&quot;00E029D5&quot;/&gt;&lt;wsp:rsid wsp:val=&quot;00E02BB8&quot;/&gt;&lt;wsp:rsid wsp:val=&quot;00E03356&quot;/&gt;&lt;wsp:rsid wsp:val=&quot;00E0339B&quot;/&gt;&lt;wsp:rsid wsp:val=&quot;00E035ED&quot;/&gt;&lt;wsp:rsid wsp:val=&quot;00E03944&quot;/&gt;&lt;wsp:rsid wsp:val=&quot;00E04022&quot;/&gt;&lt;wsp:rsid wsp:val=&quot;00E04406&quot;/&gt;&lt;wsp:rsid wsp:val=&quot;00E04C8F&quot;/&gt;&lt;wsp:rsid wsp:val=&quot;00E04DA3&quot;/&gt;&lt;wsp:rsid wsp:val=&quot;00E04F1C&quot;/&gt;&lt;wsp:rsid wsp:val=&quot;00E05235&quot;/&gt;&lt;wsp:rsid wsp:val=&quot;00E0537A&quot;/&gt;&lt;wsp:rsid wsp:val=&quot;00E05752&quot;/&gt;&lt;wsp:rsid wsp:val=&quot;00E05DC2&quot;/&gt;&lt;wsp:rsid wsp:val=&quot;00E05DEA&quot;/&gt;&lt;wsp:rsid wsp:val=&quot;00E065EB&quot;/&gt;&lt;wsp:rsid wsp:val=&quot;00E06C4B&quot;/&gt;&lt;wsp:rsid wsp:val=&quot;00E0724D&quot;/&gt;&lt;wsp:rsid wsp:val=&quot;00E07389&quot;/&gt;&lt;wsp:rsid wsp:val=&quot;00E07FA8&quot;/&gt;&lt;wsp:rsid wsp:val=&quot;00E10170&quot;/&gt;&lt;wsp:rsid wsp:val=&quot;00E10530&quot;/&gt;&lt;wsp:rsid wsp:val=&quot;00E108BD&quot;/&gt;&lt;wsp:rsid wsp:val=&quot;00E111FB&quot;/&gt;&lt;wsp:rsid wsp:val=&quot;00E115E7&quot;/&gt;&lt;wsp:rsid wsp:val=&quot;00E11D72&quot;/&gt;&lt;wsp:rsid wsp:val=&quot;00E1214E&quot;/&gt;&lt;wsp:rsid wsp:val=&quot;00E12291&quot;/&gt;&lt;wsp:rsid wsp:val=&quot;00E12547&quot;/&gt;&lt;wsp:rsid wsp:val=&quot;00E12A62&quot;/&gt;&lt;wsp:rsid wsp:val=&quot;00E131DA&quot;/&gt;&lt;wsp:rsid wsp:val=&quot;00E134FC&quot;/&gt;&lt;wsp:rsid wsp:val=&quot;00E139C4&quot;/&gt;&lt;wsp:rsid wsp:val=&quot;00E13C4D&quot;/&gt;&lt;wsp:rsid wsp:val=&quot;00E13E18&quot;/&gt;&lt;wsp:rsid wsp:val=&quot;00E13EC2&quot;/&gt;&lt;wsp:rsid wsp:val=&quot;00E13F22&quot;/&gt;&lt;wsp:rsid wsp:val=&quot;00E14349&quot;/&gt;&lt;wsp:rsid wsp:val=&quot;00E148DC&quot;/&gt;&lt;wsp:rsid wsp:val=&quot;00E1499B&quot;/&gt;&lt;wsp:rsid wsp:val=&quot;00E14A7A&quot;/&gt;&lt;wsp:rsid wsp:val=&quot;00E14DD7&quot;/&gt;&lt;wsp:rsid wsp:val=&quot;00E152F0&quot;/&gt;&lt;wsp:rsid wsp:val=&quot;00E153EE&quot;/&gt;&lt;wsp:rsid wsp:val=&quot;00E15854&quot;/&gt;&lt;wsp:rsid wsp:val=&quot;00E158AD&quot;/&gt;&lt;wsp:rsid wsp:val=&quot;00E15C89&quot;/&gt;&lt;wsp:rsid wsp:val=&quot;00E15E86&quot;/&gt;&lt;wsp:rsid wsp:val=&quot;00E167C8&quot;/&gt;&lt;wsp:rsid wsp:val=&quot;00E170EE&quot;/&gt;&lt;wsp:rsid wsp:val=&quot;00E17348&quot;/&gt;&lt;wsp:rsid wsp:val=&quot;00E17707&quot;/&gt;&lt;wsp:rsid wsp:val=&quot;00E177B0&quot;/&gt;&lt;wsp:rsid wsp:val=&quot;00E17B2F&quot;/&gt;&lt;wsp:rsid wsp:val=&quot;00E17E86&quot;/&gt;&lt;wsp:rsid wsp:val=&quot;00E17F53&quot;/&gt;&lt;wsp:rsid wsp:val=&quot;00E20277&quot;/&gt;&lt;wsp:rsid wsp:val=&quot;00E20361&quot;/&gt;&lt;wsp:rsid wsp:val=&quot;00E2049C&quot;/&gt;&lt;wsp:rsid wsp:val=&quot;00E20B8A&quot;/&gt;&lt;wsp:rsid wsp:val=&quot;00E20DDE&quot;/&gt;&lt;wsp:rsid wsp:val=&quot;00E2172A&quot;/&gt;&lt;wsp:rsid wsp:val=&quot;00E22E03&quot;/&gt;&lt;wsp:rsid wsp:val=&quot;00E22EE2&quot;/&gt;&lt;wsp:rsid wsp:val=&quot;00E2317F&quot;/&gt;&lt;wsp:rsid wsp:val=&quot;00E23740&quot;/&gt;&lt;wsp:rsid wsp:val=&quot;00E23ACC&quot;/&gt;&lt;wsp:rsid wsp:val=&quot;00E23FF4&quot;/&gt;&lt;wsp:rsid wsp:val=&quot;00E24791&quot;/&gt;&lt;wsp:rsid wsp:val=&quot;00E2486E&quot;/&gt;&lt;wsp:rsid wsp:val=&quot;00E24EB7&quot;/&gt;&lt;wsp:rsid wsp:val=&quot;00E25290&quot;/&gt;&lt;wsp:rsid wsp:val=&quot;00E25665&quot;/&gt;&lt;wsp:rsid wsp:val=&quot;00E25A4E&quot;/&gt;&lt;wsp:rsid wsp:val=&quot;00E25AC2&quot;/&gt;&lt;wsp:rsid wsp:val=&quot;00E25EFA&quot;/&gt;&lt;wsp:rsid wsp:val=&quot;00E265A7&quot;/&gt;&lt;wsp:rsid wsp:val=&quot;00E26A18&quot;/&gt;&lt;wsp:rsid wsp:val=&quot;00E2716F&quot;/&gt;&lt;wsp:rsid wsp:val=&quot;00E271E8&quot;/&gt;&lt;wsp:rsid wsp:val=&quot;00E2722E&quot;/&gt;&lt;wsp:rsid wsp:val=&quot;00E27A00&quot;/&gt;&lt;wsp:rsid wsp:val=&quot;00E27AC6&quot;/&gt;&lt;wsp:rsid wsp:val=&quot;00E27DB6&quot;/&gt;&lt;wsp:rsid wsp:val=&quot;00E27E76&quot;/&gt;&lt;wsp:rsid wsp:val=&quot;00E27EF7&quot;/&gt;&lt;wsp:rsid wsp:val=&quot;00E30DEE&quot;/&gt;&lt;wsp:rsid wsp:val=&quot;00E30F4B&quot;/&gt;&lt;wsp:rsid wsp:val=&quot;00E310DA&quot;/&gt;&lt;wsp:rsid wsp:val=&quot;00E31501&quot;/&gt;&lt;wsp:rsid wsp:val=&quot;00E31666&quot;/&gt;&lt;wsp:rsid wsp:val=&quot;00E31949&quot;/&gt;&lt;wsp:rsid wsp:val=&quot;00E320B7&quot;/&gt;&lt;wsp:rsid wsp:val=&quot;00E32765&quot;/&gt;&lt;wsp:rsid wsp:val=&quot;00E32AFE&quot;/&gt;&lt;wsp:rsid wsp:val=&quot;00E32C4E&quot;/&gt;&lt;wsp:rsid wsp:val=&quot;00E330E8&quot;/&gt;&lt;wsp:rsid wsp:val=&quot;00E33506&quot;/&gt;&lt;wsp:rsid wsp:val=&quot;00E33ECA&quot;/&gt;&lt;wsp:rsid wsp:val=&quot;00E340AC&quot;/&gt;&lt;wsp:rsid wsp:val=&quot;00E3428A&quot;/&gt;&lt;wsp:rsid wsp:val=&quot;00E34FC5&quot;/&gt;&lt;wsp:rsid wsp:val=&quot;00E35AA6&quot;/&gt;&lt;wsp:rsid wsp:val=&quot;00E35C89&quot;/&gt;&lt;wsp:rsid wsp:val=&quot;00E36195&quot;/&gt;&lt;wsp:rsid wsp:val=&quot;00E363B3&quot;/&gt;&lt;wsp:rsid wsp:val=&quot;00E36450&quot;/&gt;&lt;wsp:rsid wsp:val=&quot;00E36BF6&quot;/&gt;&lt;wsp:rsid wsp:val=&quot;00E3755E&quot;/&gt;&lt;wsp:rsid wsp:val=&quot;00E37CCC&quot;/&gt;&lt;wsp:rsid wsp:val=&quot;00E40058&quot;/&gt;&lt;wsp:rsid wsp:val=&quot;00E402A3&quot;/&gt;&lt;wsp:rsid wsp:val=&quot;00E407A2&quot;/&gt;&lt;wsp:rsid wsp:val=&quot;00E409C4&quot;/&gt;&lt;wsp:rsid wsp:val=&quot;00E40DE1&quot;/&gt;&lt;wsp:rsid wsp:val=&quot;00E40E96&quot;/&gt;&lt;wsp:rsid wsp:val=&quot;00E4126C&quot;/&gt;&lt;wsp:rsid wsp:val=&quot;00E412D5&quot;/&gt;&lt;wsp:rsid wsp:val=&quot;00E41BA4&quot;/&gt;&lt;wsp:rsid wsp:val=&quot;00E42410&quot;/&gt;&lt;wsp:rsid wsp:val=&quot;00E428F3&quot;/&gt;&lt;wsp:rsid wsp:val=&quot;00E429BA&quot;/&gt;&lt;wsp:rsid wsp:val=&quot;00E42CFD&quot;/&gt;&lt;wsp:rsid wsp:val=&quot;00E42D9E&quot;/&gt;&lt;wsp:rsid wsp:val=&quot;00E434F7&quot;/&gt;&lt;wsp:rsid wsp:val=&quot;00E43804&quot;/&gt;&lt;wsp:rsid wsp:val=&quot;00E43B35&quot;/&gt;&lt;wsp:rsid wsp:val=&quot;00E44441&quot;/&gt;&lt;wsp:rsid wsp:val=&quot;00E44C4F&quot;/&gt;&lt;wsp:rsid wsp:val=&quot;00E455BF&quot;/&gt;&lt;wsp:rsid wsp:val=&quot;00E45650&quot;/&gt;&lt;wsp:rsid wsp:val=&quot;00E45B1D&quot;/&gt;&lt;wsp:rsid wsp:val=&quot;00E4636D&quot;/&gt;&lt;wsp:rsid wsp:val=&quot;00E46569&quot;/&gt;&lt;wsp:rsid wsp:val=&quot;00E471B0&quot;/&gt;&lt;wsp:rsid wsp:val=&quot;00E474CD&quot;/&gt;&lt;wsp:rsid wsp:val=&quot;00E47A9E&quot;/&gt;&lt;wsp:rsid wsp:val=&quot;00E50592&quot;/&gt;&lt;wsp:rsid wsp:val=&quot;00E5087A&quot;/&gt;&lt;wsp:rsid wsp:val=&quot;00E50B5B&quot;/&gt;&lt;wsp:rsid wsp:val=&quot;00E51E77&quot;/&gt;&lt;wsp:rsid wsp:val=&quot;00E521B4&quot;/&gt;&lt;wsp:rsid wsp:val=&quot;00E521CA&quot;/&gt;&lt;wsp:rsid wsp:val=&quot;00E52628&quot;/&gt;&lt;wsp:rsid wsp:val=&quot;00E5274E&quot;/&gt;&lt;wsp:rsid wsp:val=&quot;00E530CA&quot;/&gt;&lt;wsp:rsid wsp:val=&quot;00E534EE&quot;/&gt;&lt;wsp:rsid wsp:val=&quot;00E538E5&quot;/&gt;&lt;wsp:rsid wsp:val=&quot;00E540B7&quot;/&gt;&lt;wsp:rsid wsp:val=&quot;00E54470&quot;/&gt;&lt;wsp:rsid wsp:val=&quot;00E5499E&quot;/&gt;&lt;wsp:rsid wsp:val=&quot;00E553BC&quot;/&gt;&lt;wsp:rsid wsp:val=&quot;00E556B0&quot;/&gt;&lt;wsp:rsid wsp:val=&quot;00E56529&quot;/&gt;&lt;wsp:rsid wsp:val=&quot;00E56602&quot;/&gt;&lt;wsp:rsid wsp:val=&quot;00E566F6&quot;/&gt;&lt;wsp:rsid wsp:val=&quot;00E5718E&quot;/&gt;&lt;wsp:rsid wsp:val=&quot;00E5747A&quot;/&gt;&lt;wsp:rsid wsp:val=&quot;00E577EB&quot;/&gt;&lt;wsp:rsid wsp:val=&quot;00E57D4C&quot;/&gt;&lt;wsp:rsid wsp:val=&quot;00E57EA9&quot;/&gt;&lt;wsp:rsid wsp:val=&quot;00E6000D&quot;/&gt;&lt;wsp:rsid wsp:val=&quot;00E602AE&quot;/&gt;&lt;wsp:rsid wsp:val=&quot;00E60B02&quot;/&gt;&lt;wsp:rsid wsp:val=&quot;00E60BC6&quot;/&gt;&lt;wsp:rsid wsp:val=&quot;00E6152C&quot;/&gt;&lt;wsp:rsid wsp:val=&quot;00E615CC&quot;/&gt;&lt;wsp:rsid wsp:val=&quot;00E61643&quot;/&gt;&lt;wsp:rsid wsp:val=&quot;00E61B64&quot;/&gt;&lt;wsp:rsid wsp:val=&quot;00E61DA2&quot;/&gt;&lt;wsp:rsid wsp:val=&quot;00E61FF7&quot;/&gt;&lt;wsp:rsid wsp:val=&quot;00E620A4&quot;/&gt;&lt;wsp:rsid wsp:val=&quot;00E62378&quot;/&gt;&lt;wsp:rsid wsp:val=&quot;00E62D08&quot;/&gt;&lt;wsp:rsid wsp:val=&quot;00E6342E&quot;/&gt;&lt;wsp:rsid wsp:val=&quot;00E634D7&quot;/&gt;&lt;wsp:rsid wsp:val=&quot;00E63888&quot;/&gt;&lt;wsp:rsid wsp:val=&quot;00E63A78&quot;/&gt;&lt;wsp:rsid wsp:val=&quot;00E64490&quot;/&gt;&lt;wsp:rsid wsp:val=&quot;00E648BC&quot;/&gt;&lt;wsp:rsid wsp:val=&quot;00E64F05&quot;/&gt;&lt;wsp:rsid wsp:val=&quot;00E6559F&quot;/&gt;&lt;wsp:rsid wsp:val=&quot;00E6597C&quot;/&gt;&lt;wsp:rsid wsp:val=&quot;00E65BD5&quot;/&gt;&lt;wsp:rsid wsp:val=&quot;00E666F7&quot;/&gt;&lt;wsp:rsid wsp:val=&quot;00E66817&quot;/&gt;&lt;wsp:rsid wsp:val=&quot;00E66B3B&quot;/&gt;&lt;wsp:rsid wsp:val=&quot;00E66C80&quot;/&gt;&lt;wsp:rsid wsp:val=&quot;00E66FCC&quot;/&gt;&lt;wsp:rsid wsp:val=&quot;00E6726C&quot;/&gt;&lt;wsp:rsid wsp:val=&quot;00E67305&quot;/&gt;&lt;wsp:rsid wsp:val=&quot;00E676E8&quot;/&gt;&lt;wsp:rsid wsp:val=&quot;00E67CFC&quot;/&gt;&lt;wsp:rsid wsp:val=&quot;00E67DE8&quot;/&gt;&lt;wsp:rsid wsp:val=&quot;00E67E17&quot;/&gt;&lt;wsp:rsid wsp:val=&quot;00E709FC&quot;/&gt;&lt;wsp:rsid wsp:val=&quot;00E70D65&quot;/&gt;&lt;wsp:rsid wsp:val=&quot;00E71116&quot;/&gt;&lt;wsp:rsid wsp:val=&quot;00E71C10&quot;/&gt;&lt;wsp:rsid wsp:val=&quot;00E72584&quot;/&gt;&lt;wsp:rsid wsp:val=&quot;00E727F7&quot;/&gt;&lt;wsp:rsid wsp:val=&quot;00E72C49&quot;/&gt;&lt;wsp:rsid wsp:val=&quot;00E72FC1&quot;/&gt;&lt;wsp:rsid wsp:val=&quot;00E73299&quot;/&gt;&lt;wsp:rsid wsp:val=&quot;00E73403&quot;/&gt;&lt;wsp:rsid wsp:val=&quot;00E735EB&quot;/&gt;&lt;wsp:rsid wsp:val=&quot;00E7375C&quot;/&gt;&lt;wsp:rsid wsp:val=&quot;00E737BA&quot;/&gt;&lt;wsp:rsid wsp:val=&quot;00E742CC&quot;/&gt;&lt;wsp:rsid wsp:val=&quot;00E758CF&quot;/&gt;&lt;wsp:rsid wsp:val=&quot;00E765B3&quot;/&gt;&lt;wsp:rsid wsp:val=&quot;00E76BE7&quot;/&gt;&lt;wsp:rsid wsp:val=&quot;00E76F87&quot;/&gt;&lt;wsp:rsid wsp:val=&quot;00E771D2&quot;/&gt;&lt;wsp:rsid wsp:val=&quot;00E77392&quot;/&gt;&lt;wsp:rsid wsp:val=&quot;00E77887&quot;/&gt;&lt;wsp:rsid wsp:val=&quot;00E77BA9&quot;/&gt;&lt;wsp:rsid wsp:val=&quot;00E77DB6&quot;/&gt;&lt;wsp:rsid wsp:val=&quot;00E77E9E&quot;/&gt;&lt;wsp:rsid wsp:val=&quot;00E77EA6&quot;/&gt;&lt;wsp:rsid wsp:val=&quot;00E82093&quot;/&gt;&lt;wsp:rsid wsp:val=&quot;00E82B78&quot;/&gt;&lt;wsp:rsid wsp:val=&quot;00E82DF6&quot;/&gt;&lt;wsp:rsid wsp:val=&quot;00E830E9&quot;/&gt;&lt;wsp:rsid wsp:val=&quot;00E83291&quot;/&gt;&lt;wsp:rsid wsp:val=&quot;00E84403&quot;/&gt;&lt;wsp:rsid wsp:val=&quot;00E84B2F&quot;/&gt;&lt;wsp:rsid wsp:val=&quot;00E84E72&quot;/&gt;&lt;wsp:rsid wsp:val=&quot;00E8503F&quot;/&gt;&lt;wsp:rsid wsp:val=&quot;00E85056&quot;/&gt;&lt;wsp:rsid wsp:val=&quot;00E855B7&quot;/&gt;&lt;wsp:rsid wsp:val=&quot;00E85A7E&quot;/&gt;&lt;wsp:rsid wsp:val=&quot;00E85EA8&quot;/&gt;&lt;wsp:rsid wsp:val=&quot;00E86976&quot;/&gt;&lt;wsp:rsid wsp:val=&quot;00E86E83&quot;/&gt;&lt;wsp:rsid wsp:val=&quot;00E86F0F&quot;/&gt;&lt;wsp:rsid wsp:val=&quot;00E87147&quot;/&gt;&lt;wsp:rsid wsp:val=&quot;00E87224&quot;/&gt;&lt;wsp:rsid wsp:val=&quot;00E87562&quot;/&gt;&lt;wsp:rsid wsp:val=&quot;00E875DC&quot;/&gt;&lt;wsp:rsid wsp:val=&quot;00E87610&quot;/&gt;&lt;wsp:rsid wsp:val=&quot;00E87F4F&quot;/&gt;&lt;wsp:rsid wsp:val=&quot;00E908A9&quot;/&gt;&lt;wsp:rsid wsp:val=&quot;00E90A0E&quot;/&gt;&lt;wsp:rsid wsp:val=&quot;00E90D5D&quot;/&gt;&lt;wsp:rsid wsp:val=&quot;00E90EE9&quot;/&gt;&lt;wsp:rsid wsp:val=&quot;00E9186D&quot;/&gt;&lt;wsp:rsid wsp:val=&quot;00E91C84&quot;/&gt;&lt;wsp:rsid wsp:val=&quot;00E91CFE&quot;/&gt;&lt;wsp:rsid wsp:val=&quot;00E91F54&quot;/&gt;&lt;wsp:rsid wsp:val=&quot;00E9227E&quot;/&gt;&lt;wsp:rsid wsp:val=&quot;00E92678&quot;/&gt;&lt;wsp:rsid wsp:val=&quot;00E928D2&quot;/&gt;&lt;wsp:rsid wsp:val=&quot;00E92A87&quot;/&gt;&lt;wsp:rsid wsp:val=&quot;00E93F31&quot;/&gt;&lt;wsp:rsid wsp:val=&quot;00E94090&quot;/&gt;&lt;wsp:rsid wsp:val=&quot;00E944CF&quot;/&gt;&lt;wsp:rsid wsp:val=&quot;00E94A17&quot;/&gt;&lt;wsp:rsid wsp:val=&quot;00E94A76&quot;/&gt;&lt;wsp:rsid wsp:val=&quot;00E95684&quot;/&gt;&lt;wsp:rsid wsp:val=&quot;00E963FE&quot;/&gt;&lt;wsp:rsid wsp:val=&quot;00E96CA8&quot;/&gt;&lt;wsp:rsid wsp:val=&quot;00E96D46&quot;/&gt;&lt;wsp:rsid wsp:val=&quot;00E96D63&quot;/&gt;&lt;wsp:rsid wsp:val=&quot;00E96EF3&quot;/&gt;&lt;wsp:rsid wsp:val=&quot;00E9740A&quot;/&gt;&lt;wsp:rsid wsp:val=&quot;00E97486&quot;/&gt;&lt;wsp:rsid wsp:val=&quot;00E9781E&quot;/&gt;&lt;wsp:rsid wsp:val=&quot;00E97A65&quot;/&gt;&lt;wsp:rsid wsp:val=&quot;00EA1304&quot;/&gt;&lt;wsp:rsid wsp:val=&quot;00EA16B4&quot;/&gt;&lt;wsp:rsid wsp:val=&quot;00EA1817&quot;/&gt;&lt;wsp:rsid wsp:val=&quot;00EA2141&quot;/&gt;&lt;wsp:rsid wsp:val=&quot;00EA2C52&quot;/&gt;&lt;wsp:rsid wsp:val=&quot;00EA2E5C&quot;/&gt;&lt;wsp:rsid wsp:val=&quot;00EA2FD3&quot;/&gt;&lt;wsp:rsid wsp:val=&quot;00EA3A05&quot;/&gt;&lt;wsp:rsid wsp:val=&quot;00EA3FBF&quot;/&gt;&lt;wsp:rsid wsp:val=&quot;00EA41D7&quot;/&gt;&lt;wsp:rsid wsp:val=&quot;00EA4686&quot;/&gt;&lt;wsp:rsid wsp:val=&quot;00EA56D4&quot;/&gt;&lt;wsp:rsid wsp:val=&quot;00EA5873&quot;/&gt;&lt;wsp:rsid wsp:val=&quot;00EA5BD7&quot;/&gt;&lt;wsp:rsid wsp:val=&quot;00EA5F94&quot;/&gt;&lt;wsp:rsid wsp:val=&quot;00EA6460&quot;/&gt;&lt;wsp:rsid wsp:val=&quot;00EA7481&quot;/&gt;&lt;wsp:rsid wsp:val=&quot;00EA7E71&quot;/&gt;&lt;wsp:rsid wsp:val=&quot;00EB0C4E&quot;/&gt;&lt;wsp:rsid wsp:val=&quot;00EB0CEF&quot;/&gt;&lt;wsp:rsid wsp:val=&quot;00EB0E26&quot;/&gt;&lt;wsp:rsid wsp:val=&quot;00EB0FD6&quot;/&gt;&lt;wsp:rsid wsp:val=&quot;00EB103B&quot;/&gt;&lt;wsp:rsid wsp:val=&quot;00EB118F&quot;/&gt;&lt;wsp:rsid wsp:val=&quot;00EB1426&quot;/&gt;&lt;wsp:rsid wsp:val=&quot;00EB1651&quot;/&gt;&lt;wsp:rsid wsp:val=&quot;00EB175E&quot;/&gt;&lt;wsp:rsid wsp:val=&quot;00EB1AE1&quot;/&gt;&lt;wsp:rsid wsp:val=&quot;00EB1DD9&quot;/&gt;&lt;wsp:rsid wsp:val=&quot;00EB1E28&quot;/&gt;&lt;wsp:rsid wsp:val=&quot;00EB2099&quot;/&gt;&lt;wsp:rsid wsp:val=&quot;00EB2167&quot;/&gt;&lt;wsp:rsid wsp:val=&quot;00EB2B15&quot;/&gt;&lt;wsp:rsid wsp:val=&quot;00EB2D68&quot;/&gt;&lt;wsp:rsid wsp:val=&quot;00EB3091&quot;/&gt;&lt;wsp:rsid wsp:val=&quot;00EB3210&quot;/&gt;&lt;wsp:rsid wsp:val=&quot;00EB322F&quot;/&gt;&lt;wsp:rsid wsp:val=&quot;00EB3308&quot;/&gt;&lt;wsp:rsid wsp:val=&quot;00EB3916&quot;/&gt;&lt;wsp:rsid wsp:val=&quot;00EB3CA7&quot;/&gt;&lt;wsp:rsid wsp:val=&quot;00EB3DD0&quot;/&gt;&lt;wsp:rsid wsp:val=&quot;00EB54AA&quot;/&gt;&lt;wsp:rsid wsp:val=&quot;00EB5672&quot;/&gt;&lt;wsp:rsid wsp:val=&quot;00EB57F6&quot;/&gt;&lt;wsp:rsid wsp:val=&quot;00EB5814&quot;/&gt;&lt;wsp:rsid wsp:val=&quot;00EB5AF8&quot;/&gt;&lt;wsp:rsid wsp:val=&quot;00EB5C48&quot;/&gt;&lt;wsp:rsid wsp:val=&quot;00EB61B0&quot;/&gt;&lt;wsp:rsid wsp:val=&quot;00EB7B8B&quot;/&gt;&lt;wsp:rsid wsp:val=&quot;00EC035D&quot;/&gt;&lt;wsp:rsid wsp:val=&quot;00EC098C&quot;/&gt;&lt;wsp:rsid wsp:val=&quot;00EC10FD&quot;/&gt;&lt;wsp:rsid wsp:val=&quot;00EC157C&quot;/&gt;&lt;wsp:rsid wsp:val=&quot;00EC16EB&quot;/&gt;&lt;wsp:rsid wsp:val=&quot;00EC1958&quot;/&gt;&lt;wsp:rsid wsp:val=&quot;00EC1F5A&quot;/&gt;&lt;wsp:rsid wsp:val=&quot;00EC238C&quot;/&gt;&lt;wsp:rsid wsp:val=&quot;00EC25C6&quot;/&gt;&lt;wsp:rsid wsp:val=&quot;00EC274F&quot;/&gt;&lt;wsp:rsid wsp:val=&quot;00EC291B&quot;/&gt;&lt;wsp:rsid wsp:val=&quot;00EC2E61&quot;/&gt;&lt;wsp:rsid wsp:val=&quot;00EC2EDB&quot;/&gt;&lt;wsp:rsid wsp:val=&quot;00EC329B&quot;/&gt;&lt;wsp:rsid wsp:val=&quot;00EC32AE&quot;/&gt;&lt;wsp:rsid wsp:val=&quot;00EC4032&quot;/&gt;&lt;wsp:rsid wsp:val=&quot;00EC4398&quot;/&gt;&lt;wsp:rsid wsp:val=&quot;00EC44DF&quot;/&gt;&lt;wsp:rsid wsp:val=&quot;00EC457B&quot;/&gt;&lt;wsp:rsid wsp:val=&quot;00EC5263&quot;/&gt;&lt;wsp:rsid wsp:val=&quot;00EC54D0&quot;/&gt;&lt;wsp:rsid wsp:val=&quot;00EC5554&quot;/&gt;&lt;wsp:rsid wsp:val=&quot;00EC588D&quot;/&gt;&lt;wsp:rsid wsp:val=&quot;00EC5AE6&quot;/&gt;&lt;wsp:rsid wsp:val=&quot;00EC642A&quot;/&gt;&lt;wsp:rsid wsp:val=&quot;00EC6581&quot;/&gt;&lt;wsp:rsid wsp:val=&quot;00EC6662&quot;/&gt;&lt;wsp:rsid wsp:val=&quot;00EC66B5&quot;/&gt;&lt;wsp:rsid wsp:val=&quot;00EC69BD&quot;/&gt;&lt;wsp:rsid wsp:val=&quot;00EC6E3B&quot;/&gt;&lt;wsp:rsid wsp:val=&quot;00EC6E55&quot;/&gt;&lt;wsp:rsid wsp:val=&quot;00EC6ECA&quot;/&gt;&lt;wsp:rsid wsp:val=&quot;00EC6F1E&quot;/&gt;&lt;wsp:rsid wsp:val=&quot;00EC755B&quot;/&gt;&lt;wsp:rsid wsp:val=&quot;00EC7BD0&quot;/&gt;&lt;wsp:rsid wsp:val=&quot;00EC7C6D&quot;/&gt;&lt;wsp:rsid wsp:val=&quot;00ED0532&quot;/&gt;&lt;wsp:rsid wsp:val=&quot;00ED07EE&quot;/&gt;&lt;wsp:rsid wsp:val=&quot;00ED0FED&quot;/&gt;&lt;wsp:rsid wsp:val=&quot;00ED15B5&quot;/&gt;&lt;wsp:rsid wsp:val=&quot;00ED1861&quot;/&gt;&lt;wsp:rsid wsp:val=&quot;00ED18A1&quot;/&gt;&lt;wsp:rsid wsp:val=&quot;00ED1C74&quot;/&gt;&lt;wsp:rsid wsp:val=&quot;00ED209E&quot;/&gt;&lt;wsp:rsid wsp:val=&quot;00ED2194&quot;/&gt;&lt;wsp:rsid wsp:val=&quot;00ED23B8&quot;/&gt;&lt;wsp:rsid wsp:val=&quot;00ED2406&quot;/&gt;&lt;wsp:rsid wsp:val=&quot;00ED2517&quot;/&gt;&lt;wsp:rsid wsp:val=&quot;00ED2B4D&quot;/&gt;&lt;wsp:rsid wsp:val=&quot;00ED2C3E&quot;/&gt;&lt;wsp:rsid wsp:val=&quot;00ED3376&quot;/&gt;&lt;wsp:rsid wsp:val=&quot;00ED339F&quot;/&gt;&lt;wsp:rsid wsp:val=&quot;00ED36A0&quot;/&gt;&lt;wsp:rsid wsp:val=&quot;00ED36D7&quot;/&gt;&lt;wsp:rsid wsp:val=&quot;00ED383A&quot;/&gt;&lt;wsp:rsid wsp:val=&quot;00ED3921&quot;/&gt;&lt;wsp:rsid wsp:val=&quot;00ED3B1C&quot;/&gt;&lt;wsp:rsid wsp:val=&quot;00ED40F9&quot;/&gt;&lt;wsp:rsid wsp:val=&quot;00ED456A&quot;/&gt;&lt;wsp:rsid wsp:val=&quot;00ED476F&quot;/&gt;&lt;wsp:rsid wsp:val=&quot;00ED47C4&quot;/&gt;&lt;wsp:rsid wsp:val=&quot;00ED47DD&quot;/&gt;&lt;wsp:rsid wsp:val=&quot;00ED4C7F&quot;/&gt;&lt;wsp:rsid wsp:val=&quot;00ED51FC&quot;/&gt;&lt;wsp:rsid wsp:val=&quot;00ED5337&quot;/&gt;&lt;wsp:rsid wsp:val=&quot;00ED5587&quot;/&gt;&lt;wsp:rsid wsp:val=&quot;00ED5BC3&quot;/&gt;&lt;wsp:rsid wsp:val=&quot;00ED5C37&quot;/&gt;&lt;wsp:rsid wsp:val=&quot;00ED5CAF&quot;/&gt;&lt;wsp:rsid wsp:val=&quot;00ED753B&quot;/&gt;&lt;wsp:rsid wsp:val=&quot;00ED7919&quot;/&gt;&lt;wsp:rsid wsp:val=&quot;00ED7ED6&quot;/&gt;&lt;wsp:rsid wsp:val=&quot;00EE00F6&quot;/&gt;&lt;wsp:rsid wsp:val=&quot;00EE0301&quot;/&gt;&lt;wsp:rsid wsp:val=&quot;00EE08B6&quot;/&gt;&lt;wsp:rsid wsp:val=&quot;00EE1298&quot;/&gt;&lt;wsp:rsid wsp:val=&quot;00EE2341&quot;/&gt;&lt;wsp:rsid wsp:val=&quot;00EE242F&quot;/&gt;&lt;wsp:rsid wsp:val=&quot;00EE2D04&quot;/&gt;&lt;wsp:rsid wsp:val=&quot;00EE2FA3&quot;/&gt;&lt;wsp:rsid wsp:val=&quot;00EE3319&quot;/&gt;&lt;wsp:rsid wsp:val=&quot;00EE3630&quot;/&gt;&lt;wsp:rsid wsp:val=&quot;00EE386C&quot;/&gt;&lt;wsp:rsid wsp:val=&quot;00EE41AD&quot;/&gt;&lt;wsp:rsid wsp:val=&quot;00EE4237&quot;/&gt;&lt;wsp:rsid wsp:val=&quot;00EE4680&quot;/&gt;&lt;wsp:rsid wsp:val=&quot;00EE4E5C&quot;/&gt;&lt;wsp:rsid wsp:val=&quot;00EE506A&quot;/&gt;&lt;wsp:rsid wsp:val=&quot;00EE564A&quot;/&gt;&lt;wsp:rsid wsp:val=&quot;00EE6685&quot;/&gt;&lt;wsp:rsid wsp:val=&quot;00EE6A25&quot;/&gt;&lt;wsp:rsid wsp:val=&quot;00EE7054&quot;/&gt;&lt;wsp:rsid wsp:val=&quot;00EE75DF&quot;/&gt;&lt;wsp:rsid wsp:val=&quot;00EE764D&quot;/&gt;&lt;wsp:rsid wsp:val=&quot;00EF0160&quot;/&gt;&lt;wsp:rsid wsp:val=&quot;00EF017D&quot;/&gt;&lt;wsp:rsid wsp:val=&quot;00EF0537&quot;/&gt;&lt;wsp:rsid wsp:val=&quot;00EF0BA0&quot;/&gt;&lt;wsp:rsid wsp:val=&quot;00EF0D2B&quot;/&gt;&lt;wsp:rsid wsp:val=&quot;00EF13EC&quot;/&gt;&lt;wsp:rsid wsp:val=&quot;00EF188B&quot;/&gt;&lt;wsp:rsid wsp:val=&quot;00EF1A04&quot;/&gt;&lt;wsp:rsid wsp:val=&quot;00EF254C&quot;/&gt;&lt;wsp:rsid wsp:val=&quot;00EF2D03&quot;/&gt;&lt;wsp:rsid wsp:val=&quot;00EF2F12&quot;/&gt;&lt;wsp:rsid wsp:val=&quot;00EF3128&quot;/&gt;&lt;wsp:rsid wsp:val=&quot;00EF3EA3&quot;/&gt;&lt;wsp:rsid wsp:val=&quot;00EF42F8&quot;/&gt;&lt;wsp:rsid wsp:val=&quot;00EF466A&quot;/&gt;&lt;wsp:rsid wsp:val=&quot;00EF4E5B&quot;/&gt;&lt;wsp:rsid wsp:val=&quot;00EF5253&quot;/&gt;&lt;wsp:rsid wsp:val=&quot;00EF5485&quot;/&gt;&lt;wsp:rsid wsp:val=&quot;00EF5536&quot;/&gt;&lt;wsp:rsid wsp:val=&quot;00EF5C78&quot;/&gt;&lt;wsp:rsid wsp:val=&quot;00EF66CA&quot;/&gt;&lt;wsp:rsid wsp:val=&quot;00EF68D3&quot;/&gt;&lt;wsp:rsid wsp:val=&quot;00EF691A&quot;/&gt;&lt;wsp:rsid wsp:val=&quot;00EF6978&quot;/&gt;&lt;wsp:rsid wsp:val=&quot;00EF75D4&quot;/&gt;&lt;wsp:rsid wsp:val=&quot;00EF789F&quot;/&gt;&lt;wsp:rsid wsp:val=&quot;00EF7FAA&quot;/&gt;&lt;wsp:rsid wsp:val=&quot;00F00029&quot;/&gt;&lt;wsp:rsid wsp:val=&quot;00F00168&quot;/&gt;&lt;wsp:rsid wsp:val=&quot;00F00237&quot;/&gt;&lt;wsp:rsid wsp:val=&quot;00F00561&quot;/&gt;&lt;wsp:rsid wsp:val=&quot;00F00A04&quot;/&gt;&lt;wsp:rsid wsp:val=&quot;00F00F32&quot;/&gt;&lt;wsp:rsid wsp:val=&quot;00F0125E&quot;/&gt;&lt;wsp:rsid wsp:val=&quot;00F019C6&quot;/&gt;&lt;wsp:rsid wsp:val=&quot;00F01A00&quot;/&gt;&lt;wsp:rsid wsp:val=&quot;00F01BF0&quot;/&gt;&lt;wsp:rsid wsp:val=&quot;00F01C30&quot;/&gt;&lt;wsp:rsid wsp:val=&quot;00F02515&quot;/&gt;&lt;wsp:rsid wsp:val=&quot;00F028BF&quot;/&gt;&lt;wsp:rsid wsp:val=&quot;00F02BA1&quot;/&gt;&lt;wsp:rsid wsp:val=&quot;00F02C53&quot;/&gt;&lt;wsp:rsid wsp:val=&quot;00F02D28&quot;/&gt;&lt;wsp:rsid wsp:val=&quot;00F03646&quot;/&gt;&lt;wsp:rsid wsp:val=&quot;00F03B91&quot;/&gt;&lt;wsp:rsid wsp:val=&quot;00F03D1D&quot;/&gt;&lt;wsp:rsid wsp:val=&quot;00F04699&quot;/&gt;&lt;wsp:rsid wsp:val=&quot;00F0621F&quot;/&gt;&lt;wsp:rsid wsp:val=&quot;00F0657D&quot;/&gt;&lt;wsp:rsid wsp:val=&quot;00F06969&quot;/&gt;&lt;wsp:rsid wsp:val=&quot;00F06DE8&quot;/&gt;&lt;wsp:rsid wsp:val=&quot;00F07491&quot;/&gt;&lt;wsp:rsid wsp:val=&quot;00F07A96&quot;/&gt;&lt;wsp:rsid wsp:val=&quot;00F102CB&quot;/&gt;&lt;wsp:rsid wsp:val=&quot;00F10347&quot;/&gt;&lt;wsp:rsid wsp:val=&quot;00F10C2B&quot;/&gt;&lt;wsp:rsid wsp:val=&quot;00F113DA&quot;/&gt;&lt;wsp:rsid wsp:val=&quot;00F12071&quot;/&gt;&lt;wsp:rsid wsp:val=&quot;00F12235&quot;/&gt;&lt;wsp:rsid wsp:val=&quot;00F1251B&quot;/&gt;&lt;wsp:rsid wsp:val=&quot;00F12C05&quot;/&gt;&lt;wsp:rsid wsp:val=&quot;00F12E7F&quot;/&gt;&lt;wsp:rsid wsp:val=&quot;00F13798&quot;/&gt;&lt;wsp:rsid wsp:val=&quot;00F13882&quot;/&gt;&lt;wsp:rsid wsp:val=&quot;00F13973&quot;/&gt;&lt;wsp:rsid wsp:val=&quot;00F141B9&quot;/&gt;&lt;wsp:rsid wsp:val=&quot;00F1453C&quot;/&gt;&lt;wsp:rsid wsp:val=&quot;00F14B37&quot;/&gt;&lt;wsp:rsid wsp:val=&quot;00F14BCE&quot;/&gt;&lt;wsp:rsid wsp:val=&quot;00F14E2E&quot;/&gt;&lt;wsp:rsid wsp:val=&quot;00F1568E&quot;/&gt;&lt;wsp:rsid wsp:val=&quot;00F15A80&quot;/&gt;&lt;wsp:rsid wsp:val=&quot;00F16804&quot;/&gt;&lt;wsp:rsid wsp:val=&quot;00F16908&quot;/&gt;&lt;wsp:rsid wsp:val=&quot;00F17351&quot;/&gt;&lt;wsp:rsid wsp:val=&quot;00F1739B&quot;/&gt;&lt;wsp:rsid wsp:val=&quot;00F206AD&quot;/&gt;&lt;wsp:rsid wsp:val=&quot;00F20B4D&quot;/&gt;&lt;wsp:rsid wsp:val=&quot;00F22BD2&quot;/&gt;&lt;wsp:rsid wsp:val=&quot;00F23071&quot;/&gt;&lt;wsp:rsid wsp:val=&quot;00F232AE&quot;/&gt;&lt;wsp:rsid wsp:val=&quot;00F2379E&quot;/&gt;&lt;wsp:rsid wsp:val=&quot;00F2403B&quot;/&gt;&lt;wsp:rsid wsp:val=&quot;00F24293&quot;/&gt;&lt;wsp:rsid wsp:val=&quot;00F2456C&quot;/&gt;&lt;wsp:rsid wsp:val=&quot;00F246B0&quot;/&gt;&lt;wsp:rsid wsp:val=&quot;00F246EB&quot;/&gt;&lt;wsp:rsid wsp:val=&quot;00F24AF4&quot;/&gt;&lt;wsp:rsid wsp:val=&quot;00F24C05&quot;/&gt;&lt;wsp:rsid wsp:val=&quot;00F24D0B&quot;/&gt;&lt;wsp:rsid wsp:val=&quot;00F24E5A&quot;/&gt;&lt;wsp:rsid wsp:val=&quot;00F24F71&quot;/&gt;&lt;wsp:rsid wsp:val=&quot;00F25365&quot;/&gt;&lt;wsp:rsid wsp:val=&quot;00F25588&quot;/&gt;&lt;wsp:rsid wsp:val=&quot;00F2588E&quot;/&gt;&lt;wsp:rsid wsp:val=&quot;00F25B27&quot;/&gt;&lt;wsp:rsid wsp:val=&quot;00F26063&quot;/&gt;&lt;wsp:rsid wsp:val=&quot;00F262AC&quot;/&gt;&lt;wsp:rsid wsp:val=&quot;00F26A5D&quot;/&gt;&lt;wsp:rsid wsp:val=&quot;00F26DB3&quot;/&gt;&lt;wsp:rsid wsp:val=&quot;00F2731E&quot;/&gt;&lt;wsp:rsid wsp:val=&quot;00F275FE&quot;/&gt;&lt;wsp:rsid wsp:val=&quot;00F27D93&quot;/&gt;&lt;wsp:rsid wsp:val=&quot;00F30A5C&quot;/&gt;&lt;wsp:rsid wsp:val=&quot;00F30C4F&quot;/&gt;&lt;wsp:rsid wsp:val=&quot;00F30C66&quot;/&gt;&lt;wsp:rsid wsp:val=&quot;00F31DCB&quot;/&gt;&lt;wsp:rsid wsp:val=&quot;00F32B87&quot;/&gt;&lt;wsp:rsid wsp:val=&quot;00F32E5E&quot;/&gt;&lt;wsp:rsid wsp:val=&quot;00F33112&quot;/&gt;&lt;wsp:rsid wsp:val=&quot;00F334FD&quot;/&gt;&lt;wsp:rsid wsp:val=&quot;00F338F6&quot;/&gt;&lt;wsp:rsid wsp:val=&quot;00F33BFF&quot;/&gt;&lt;wsp:rsid wsp:val=&quot;00F343E9&quot;/&gt;&lt;wsp:rsid wsp:val=&quot;00F34439&quot;/&gt;&lt;wsp:rsid wsp:val=&quot;00F345F0&quot;/&gt;&lt;wsp:rsid wsp:val=&quot;00F34798&quot;/&gt;&lt;wsp:rsid wsp:val=&quot;00F351D1&quot;/&gt;&lt;wsp:rsid wsp:val=&quot;00F3566D&quot;/&gt;&lt;wsp:rsid wsp:val=&quot;00F35CF5&quot;/&gt;&lt;wsp:rsid wsp:val=&quot;00F35E17&quot;/&gt;&lt;wsp:rsid wsp:val=&quot;00F362A0&quot;/&gt;&lt;wsp:rsid wsp:val=&quot;00F364FB&quot;/&gt;&lt;wsp:rsid wsp:val=&quot;00F369CD&quot;/&gt;&lt;wsp:rsid wsp:val=&quot;00F36DE2&quot;/&gt;&lt;wsp:rsid wsp:val=&quot;00F370F4&quot;/&gt;&lt;wsp:rsid wsp:val=&quot;00F37173&quot;/&gt;&lt;wsp:rsid wsp:val=&quot;00F37330&quot;/&gt;&lt;wsp:rsid wsp:val=&quot;00F376A2&quot;/&gt;&lt;wsp:rsid wsp:val=&quot;00F37F74&quot;/&gt;&lt;wsp:rsid wsp:val=&quot;00F41259&quot;/&gt;&lt;wsp:rsid wsp:val=&quot;00F41360&quot;/&gt;&lt;wsp:rsid wsp:val=&quot;00F416CF&quot;/&gt;&lt;wsp:rsid wsp:val=&quot;00F41CED&quot;/&gt;&lt;wsp:rsid wsp:val=&quot;00F41F11&quot;/&gt;&lt;wsp:rsid wsp:val=&quot;00F420FF&quot;/&gt;&lt;wsp:rsid wsp:val=&quot;00F428F5&quot;/&gt;&lt;wsp:rsid wsp:val=&quot;00F42988&quot;/&gt;&lt;wsp:rsid wsp:val=&quot;00F42A21&quot;/&gt;&lt;wsp:rsid wsp:val=&quot;00F432A3&quot;/&gt;&lt;wsp:rsid wsp:val=&quot;00F4345D&quot;/&gt;&lt;wsp:rsid wsp:val=&quot;00F434B0&quot;/&gt;&lt;wsp:rsid wsp:val=&quot;00F435C5&quot;/&gt;&lt;wsp:rsid wsp:val=&quot;00F4365C&quot;/&gt;&lt;wsp:rsid wsp:val=&quot;00F43788&quot;/&gt;&lt;wsp:rsid wsp:val=&quot;00F43A58&quot;/&gt;&lt;wsp:rsid wsp:val=&quot;00F43F39&quot;/&gt;&lt;wsp:rsid wsp:val=&quot;00F43FBE&quot;/&gt;&lt;wsp:rsid wsp:val=&quot;00F4415A&quot;/&gt;&lt;wsp:rsid wsp:val=&quot;00F442DA&quot;/&gt;&lt;wsp:rsid wsp:val=&quot;00F4443C&quot;/&gt;&lt;wsp:rsid wsp:val=&quot;00F444EF&quot;/&gt;&lt;wsp:rsid wsp:val=&quot;00F4462D&quot;/&gt;&lt;wsp:rsid wsp:val=&quot;00F44DB6&quot;/&gt;&lt;wsp:rsid wsp:val=&quot;00F44DBA&quot;/&gt;&lt;wsp:rsid wsp:val=&quot;00F44DE1&quot;/&gt;&lt;wsp:rsid wsp:val=&quot;00F456D2&quot;/&gt;&lt;wsp:rsid wsp:val=&quot;00F45B70&quot;/&gt;&lt;wsp:rsid wsp:val=&quot;00F45CA3&quot;/&gt;&lt;wsp:rsid wsp:val=&quot;00F45E48&quot;/&gt;&lt;wsp:rsid wsp:val=&quot;00F45EC0&quot;/&gt;&lt;wsp:rsid wsp:val=&quot;00F465B2&quot;/&gt;&lt;wsp:rsid wsp:val=&quot;00F46F73&quot;/&gt;&lt;wsp:rsid wsp:val=&quot;00F47959&quot;/&gt;&lt;wsp:rsid wsp:val=&quot;00F47BE9&quot;/&gt;&lt;wsp:rsid wsp:val=&quot;00F47C6B&quot;/&gt;&lt;wsp:rsid wsp:val=&quot;00F47CDE&quot;/&gt;&lt;wsp:rsid wsp:val=&quot;00F50363&quot;/&gt;&lt;wsp:rsid wsp:val=&quot;00F5097E&quot;/&gt;&lt;wsp:rsid wsp:val=&quot;00F50B45&quot;/&gt;&lt;wsp:rsid wsp:val=&quot;00F50BAA&quot;/&gt;&lt;wsp:rsid wsp:val=&quot;00F51197&quot;/&gt;&lt;wsp:rsid wsp:val=&quot;00F51260&quot;/&gt;&lt;wsp:rsid wsp:val=&quot;00F5154F&quot;/&gt;&lt;wsp:rsid wsp:val=&quot;00F5167A&quot;/&gt;&lt;wsp:rsid wsp:val=&quot;00F51769&quot;/&gt;&lt;wsp:rsid wsp:val=&quot;00F519F2&quot;/&gt;&lt;wsp:rsid wsp:val=&quot;00F51D5D&quot;/&gt;&lt;wsp:rsid wsp:val=&quot;00F520C9&quot;/&gt;&lt;wsp:rsid wsp:val=&quot;00F52101&quot;/&gt;&lt;wsp:rsid wsp:val=&quot;00F52B27&quot;/&gt;&lt;wsp:rsid wsp:val=&quot;00F52D7E&quot;/&gt;&lt;wsp:rsid wsp:val=&quot;00F531A6&quot;/&gt;&lt;wsp:rsid wsp:val=&quot;00F53253&quot;/&gt;&lt;wsp:rsid wsp:val=&quot;00F53318&quot;/&gt;&lt;wsp:rsid wsp:val=&quot;00F53634&quot;/&gt;&lt;wsp:rsid wsp:val=&quot;00F5373F&quot;/&gt;&lt;wsp:rsid wsp:val=&quot;00F5379F&quot;/&gt;&lt;wsp:rsid wsp:val=&quot;00F53BFA&quot;/&gt;&lt;wsp:rsid wsp:val=&quot;00F53F9B&quot;/&gt;&lt;wsp:rsid wsp:val=&quot;00F540BD&quot;/&gt;&lt;wsp:rsid wsp:val=&quot;00F54495&quot;/&gt;&lt;wsp:rsid wsp:val=&quot;00F55088&quot;/&gt;&lt;wsp:rsid wsp:val=&quot;00F567C0&quot;/&gt;&lt;wsp:rsid wsp:val=&quot;00F56B3F&quot;/&gt;&lt;wsp:rsid wsp:val=&quot;00F56C67&quot;/&gt;&lt;wsp:rsid wsp:val=&quot;00F56E02&quot;/&gt;&lt;wsp:rsid wsp:val=&quot;00F57AF4&quot;/&gt;&lt;wsp:rsid wsp:val=&quot;00F57FB8&quot;/&gt;&lt;wsp:rsid wsp:val=&quot;00F602DB&quot;/&gt;&lt;wsp:rsid wsp:val=&quot;00F604E2&quot;/&gt;&lt;wsp:rsid wsp:val=&quot;00F60625&quot;/&gt;&lt;wsp:rsid wsp:val=&quot;00F606F6&quot;/&gt;&lt;wsp:rsid wsp:val=&quot;00F6082D&quot;/&gt;&lt;wsp:rsid wsp:val=&quot;00F60CE2&quot;/&gt;&lt;wsp:rsid wsp:val=&quot;00F61060&quot;/&gt;&lt;wsp:rsid wsp:val=&quot;00F61345&quot;/&gt;&lt;wsp:rsid wsp:val=&quot;00F62684&quot;/&gt;&lt;wsp:rsid wsp:val=&quot;00F62C3B&quot;/&gt;&lt;wsp:rsid wsp:val=&quot;00F63AAD&quot;/&gt;&lt;wsp:rsid wsp:val=&quot;00F63E3E&quot;/&gt;&lt;wsp:rsid wsp:val=&quot;00F63EA3&quot;/&gt;&lt;wsp:rsid wsp:val=&quot;00F64258&quot;/&gt;&lt;wsp:rsid wsp:val=&quot;00F645FA&quot;/&gt;&lt;wsp:rsid wsp:val=&quot;00F645FC&quot;/&gt;&lt;wsp:rsid wsp:val=&quot;00F64A97&quot;/&gt;&lt;wsp:rsid wsp:val=&quot;00F65196&quot;/&gt;&lt;wsp:rsid wsp:val=&quot;00F65A8E&quot;/&gt;&lt;wsp:rsid wsp:val=&quot;00F65E6A&quot;/&gt;&lt;wsp:rsid wsp:val=&quot;00F662CB&quot;/&gt;&lt;wsp:rsid wsp:val=&quot;00F66730&quot;/&gt;&lt;wsp:rsid wsp:val=&quot;00F66923&quot;/&gt;&lt;wsp:rsid wsp:val=&quot;00F66B5B&quot;/&gt;&lt;wsp:rsid wsp:val=&quot;00F67BAF&quot;/&gt;&lt;wsp:rsid wsp:val=&quot;00F701C5&quot;/&gt;&lt;wsp:rsid wsp:val=&quot;00F70423&quot;/&gt;&lt;wsp:rsid wsp:val=&quot;00F71925&quot;/&gt;&lt;wsp:rsid wsp:val=&quot;00F719BC&quot;/&gt;&lt;wsp:rsid wsp:val=&quot;00F71EAF&quot;/&gt;&lt;wsp:rsid wsp:val=&quot;00F72036&quot;/&gt;&lt;wsp:rsid wsp:val=&quot;00F72055&quot;/&gt;&lt;wsp:rsid wsp:val=&quot;00F725BB&quot;/&gt;&lt;wsp:rsid wsp:val=&quot;00F725CF&quot;/&gt;&lt;wsp:rsid wsp:val=&quot;00F72A1C&quot;/&gt;&lt;wsp:rsid wsp:val=&quot;00F72BCC&quot;/&gt;&lt;wsp:rsid wsp:val=&quot;00F731A7&quot;/&gt;&lt;wsp:rsid wsp:val=&quot;00F73451&quot;/&gt;&lt;wsp:rsid wsp:val=&quot;00F7346A&quot;/&gt;&lt;wsp:rsid wsp:val=&quot;00F73624&quot;/&gt;&lt;wsp:rsid wsp:val=&quot;00F73926&quot;/&gt;&lt;wsp:rsid wsp:val=&quot;00F73972&quot;/&gt;&lt;wsp:rsid wsp:val=&quot;00F73AEE&quot;/&gt;&lt;wsp:rsid wsp:val=&quot;00F74112&quot;/&gt;&lt;wsp:rsid wsp:val=&quot;00F74495&quot;/&gt;&lt;wsp:rsid wsp:val=&quot;00F74664&quot;/&gt;&lt;wsp:rsid wsp:val=&quot;00F749A8&quot;/&gt;&lt;wsp:rsid wsp:val=&quot;00F74F62&quot;/&gt;&lt;wsp:rsid wsp:val=&quot;00F7562E&quot;/&gt;&lt;wsp:rsid wsp:val=&quot;00F75C56&quot;/&gt;&lt;wsp:rsid wsp:val=&quot;00F762BD&quot;/&gt;&lt;wsp:rsid wsp:val=&quot;00F7651F&quot;/&gt;&lt;wsp:rsid wsp:val=&quot;00F766FC&quot;/&gt;&lt;wsp:rsid wsp:val=&quot;00F76938&quot;/&gt;&lt;wsp:rsid wsp:val=&quot;00F76AC0&quot;/&gt;&lt;wsp:rsid wsp:val=&quot;00F76CCB&quot;/&gt;&lt;wsp:rsid wsp:val=&quot;00F77029&quot;/&gt;&lt;wsp:rsid wsp:val=&quot;00F773AF&quot;/&gt;&lt;wsp:rsid wsp:val=&quot;00F77644&quot;/&gt;&lt;wsp:rsid wsp:val=&quot;00F77AAE&quot;/&gt;&lt;wsp:rsid wsp:val=&quot;00F80275&quot;/&gt;&lt;wsp:rsid wsp:val=&quot;00F802FC&quot;/&gt;&lt;wsp:rsid wsp:val=&quot;00F80C4F&quot;/&gt;&lt;wsp:rsid wsp:val=&quot;00F80D49&quot;/&gt;&lt;wsp:rsid wsp:val=&quot;00F81178&quot;/&gt;&lt;wsp:rsid wsp:val=&quot;00F81444&quot;/&gt;&lt;wsp:rsid wsp:val=&quot;00F818C1&quot;/&gt;&lt;wsp:rsid wsp:val=&quot;00F81966&quot;/&gt;&lt;wsp:rsid wsp:val=&quot;00F82197&quot;/&gt;&lt;wsp:rsid wsp:val=&quot;00F822E6&quot;/&gt;&lt;wsp:rsid wsp:val=&quot;00F835D4&quot;/&gt;&lt;wsp:rsid wsp:val=&quot;00F83677&quot;/&gt;&lt;wsp:rsid wsp:val=&quot;00F83BB6&quot;/&gt;&lt;wsp:rsid wsp:val=&quot;00F83C18&quot;/&gt;&lt;wsp:rsid wsp:val=&quot;00F83CD8&quot;/&gt;&lt;wsp:rsid wsp:val=&quot;00F84216&quot;/&gt;&lt;wsp:rsid wsp:val=&quot;00F8504E&quot;/&gt;&lt;wsp:rsid wsp:val=&quot;00F85052&quot;/&gt;&lt;wsp:rsid wsp:val=&quot;00F851A9&quot;/&gt;&lt;wsp:rsid wsp:val=&quot;00F85290&quot;/&gt;&lt;wsp:rsid wsp:val=&quot;00F852E2&quot;/&gt;&lt;wsp:rsid wsp:val=&quot;00F86373&quot;/&gt;&lt;wsp:rsid wsp:val=&quot;00F863BA&quot;/&gt;&lt;wsp:rsid wsp:val=&quot;00F8722E&quot;/&gt;&lt;wsp:rsid wsp:val=&quot;00F87766&quot;/&gt;&lt;wsp:rsid wsp:val=&quot;00F877FB&quot;/&gt;&lt;wsp:rsid wsp:val=&quot;00F9023B&quot;/&gt;&lt;wsp:rsid wsp:val=&quot;00F90624&quot;/&gt;&lt;wsp:rsid wsp:val=&quot;00F906FF&quot;/&gt;&lt;wsp:rsid wsp:val=&quot;00F908D6&quot;/&gt;&lt;wsp:rsid wsp:val=&quot;00F90D29&quot;/&gt;&lt;wsp:rsid wsp:val=&quot;00F90D50&quot;/&gt;&lt;wsp:rsid wsp:val=&quot;00F91320&quot;/&gt;&lt;wsp:rsid wsp:val=&quot;00F9138D&quot;/&gt;&lt;wsp:rsid wsp:val=&quot;00F91546&quot;/&gt;&lt;wsp:rsid wsp:val=&quot;00F921E5&quot;/&gt;&lt;wsp:rsid wsp:val=&quot;00F9234D&quot;/&gt;&lt;wsp:rsid wsp:val=&quot;00F925D7&quot;/&gt;&lt;wsp:rsid wsp:val=&quot;00F92AED&quot;/&gt;&lt;wsp:rsid wsp:val=&quot;00F92DC7&quot;/&gt;&lt;wsp:rsid wsp:val=&quot;00F92EEE&quot;/&gt;&lt;wsp:rsid wsp:val=&quot;00F92FA9&quot;/&gt;&lt;wsp:rsid wsp:val=&quot;00F93023&quot;/&gt;&lt;wsp:rsid wsp:val=&quot;00F93048&quot;/&gt;&lt;wsp:rsid wsp:val=&quot;00F9313D&quot;/&gt;&lt;wsp:rsid wsp:val=&quot;00F9364B&quot;/&gt;&lt;wsp:rsid wsp:val=&quot;00F937B8&quot;/&gt;&lt;wsp:rsid wsp:val=&quot;00F93B13&quot;/&gt;&lt;wsp:rsid wsp:val=&quot;00F93B1D&quot;/&gt;&lt;wsp:rsid wsp:val=&quot;00F9412E&quot;/&gt;&lt;wsp:rsid wsp:val=&quot;00F942B6&quot;/&gt;&lt;wsp:rsid wsp:val=&quot;00F94342&quot;/&gt;&lt;wsp:rsid wsp:val=&quot;00F95173&quot;/&gt;&lt;wsp:rsid wsp:val=&quot;00F95567&quot;/&gt;&lt;wsp:rsid wsp:val=&quot;00F95BD7&quot;/&gt;&lt;wsp:rsid wsp:val=&quot;00F960E3&quot;/&gt;&lt;wsp:rsid wsp:val=&quot;00F9623B&quot;/&gt;&lt;wsp:rsid wsp:val=&quot;00F96422&quot;/&gt;&lt;wsp:rsid wsp:val=&quot;00F96684&quot;/&gt;&lt;wsp:rsid wsp:val=&quot;00F96763&quot;/&gt;&lt;wsp:rsid wsp:val=&quot;00F96A76&quot;/&gt;&lt;wsp:rsid wsp:val=&quot;00F96BC3&quot;/&gt;&lt;wsp:rsid wsp:val=&quot;00F96BEB&quot;/&gt;&lt;wsp:rsid wsp:val=&quot;00F96CA8&quot;/&gt;&lt;wsp:rsid wsp:val=&quot;00F97C96&quot;/&gt;&lt;wsp:rsid wsp:val=&quot;00F97DAE&quot;/&gt;&lt;wsp:rsid wsp:val=&quot;00FA01BA&quot;/&gt;&lt;wsp:rsid wsp:val=&quot;00FA020C&quot;/&gt;&lt;wsp:rsid wsp:val=&quot;00FA0564&quot;/&gt;&lt;wsp:rsid wsp:val=&quot;00FA0738&quot;/&gt;&lt;wsp:rsid wsp:val=&quot;00FA0B4F&quot;/&gt;&lt;wsp:rsid wsp:val=&quot;00FA1308&quot;/&gt;&lt;wsp:rsid wsp:val=&quot;00FA137E&quot;/&gt;&lt;wsp:rsid wsp:val=&quot;00FA1ACF&quot;/&gt;&lt;wsp:rsid wsp:val=&quot;00FA1BA2&quot;/&gt;&lt;wsp:rsid wsp:val=&quot;00FA1E3F&quot;/&gt;&lt;wsp:rsid wsp:val=&quot;00FA2174&quot;/&gt;&lt;wsp:rsid wsp:val=&quot;00FA23E8&quot;/&gt;&lt;wsp:rsid wsp:val=&quot;00FA2914&quot;/&gt;&lt;wsp:rsid wsp:val=&quot;00FA2B2E&quot;/&gt;&lt;wsp:rsid wsp:val=&quot;00FA2B62&quot;/&gt;&lt;wsp:rsid wsp:val=&quot;00FA30F2&quot;/&gt;&lt;wsp:rsid wsp:val=&quot;00FA37F8&quot;/&gt;&lt;wsp:rsid wsp:val=&quot;00FA3C42&quot;/&gt;&lt;wsp:rsid wsp:val=&quot;00FA4625&quot;/&gt;&lt;wsp:rsid wsp:val=&quot;00FA4687&quot;/&gt;&lt;wsp:rsid wsp:val=&quot;00FA48D3&quot;/&gt;&lt;wsp:rsid wsp:val=&quot;00FA499D&quot;/&gt;&lt;wsp:rsid wsp:val=&quot;00FA4A25&quot;/&gt;&lt;wsp:rsid wsp:val=&quot;00FA4B70&quot;/&gt;&lt;wsp:rsid wsp:val=&quot;00FA4CB6&quot;/&gt;&lt;wsp:rsid wsp:val=&quot;00FA4CF3&quot;/&gt;&lt;wsp:rsid wsp:val=&quot;00FA4DAB&quot;/&gt;&lt;wsp:rsid wsp:val=&quot;00FA5641&quot;/&gt;&lt;wsp:rsid wsp:val=&quot;00FA56A7&quot;/&gt;&lt;wsp:rsid wsp:val=&quot;00FA5BAB&quot;/&gt;&lt;wsp:rsid wsp:val=&quot;00FA60EC&quot;/&gt;&lt;wsp:rsid wsp:val=&quot;00FA66AD&quot;/&gt;&lt;wsp:rsid wsp:val=&quot;00FA6C75&quot;/&gt;&lt;wsp:rsid wsp:val=&quot;00FA6DE2&quot;/&gt;&lt;wsp:rsid wsp:val=&quot;00FA7042&quot;/&gt;&lt;wsp:rsid wsp:val=&quot;00FA78C8&quot;/&gt;&lt;wsp:rsid wsp:val=&quot;00FB024C&quot;/&gt;&lt;wsp:rsid wsp:val=&quot;00FB0C29&quot;/&gt;&lt;wsp:rsid wsp:val=&quot;00FB0CE8&quot;/&gt;&lt;wsp:rsid wsp:val=&quot;00FB0F90&quot;/&gt;&lt;wsp:rsid wsp:val=&quot;00FB12D1&quot;/&gt;&lt;wsp:rsid wsp:val=&quot;00FB15AB&quot;/&gt;&lt;wsp:rsid wsp:val=&quot;00FB18B2&quot;/&gt;&lt;wsp:rsid wsp:val=&quot;00FB22A3&quot;/&gt;&lt;wsp:rsid wsp:val=&quot;00FB3017&quot;/&gt;&lt;wsp:rsid wsp:val=&quot;00FB3377&quot;/&gt;&lt;wsp:rsid wsp:val=&quot;00FB34A9&quot;/&gt;&lt;wsp:rsid wsp:val=&quot;00FB3D7C&quot;/&gt;&lt;wsp:rsid wsp:val=&quot;00FB4408&quot;/&gt;&lt;wsp:rsid wsp:val=&quot;00FB4510&quot;/&gt;&lt;wsp:rsid wsp:val=&quot;00FB45DE&quot;/&gt;&lt;wsp:rsid wsp:val=&quot;00FB4625&quot;/&gt;&lt;wsp:rsid wsp:val=&quot;00FB5DF8&quot;/&gt;&lt;wsp:rsid wsp:val=&quot;00FB63E9&quot;/&gt;&lt;wsp:rsid wsp:val=&quot;00FB68A1&quot;/&gt;&lt;wsp:rsid wsp:val=&quot;00FB6AEA&quot;/&gt;&lt;wsp:rsid wsp:val=&quot;00FB6E0A&quot;/&gt;&lt;wsp:rsid wsp:val=&quot;00FB6F95&quot;/&gt;&lt;wsp:rsid wsp:val=&quot;00FB7175&quot;/&gt;&lt;wsp:rsid wsp:val=&quot;00FB74CB&quot;/&gt;&lt;wsp:rsid wsp:val=&quot;00FB7DE5&quot;/&gt;&lt;wsp:rsid wsp:val=&quot;00FB7F7E&quot;/&gt;&lt;wsp:rsid wsp:val=&quot;00FC061B&quot;/&gt;&lt;wsp:rsid wsp:val=&quot;00FC06D0&quot;/&gt;&lt;wsp:rsid wsp:val=&quot;00FC16D5&quot;/&gt;&lt;wsp:rsid wsp:val=&quot;00FC172C&quot;/&gt;&lt;wsp:rsid wsp:val=&quot;00FC1C86&quot;/&gt;&lt;wsp:rsid wsp:val=&quot;00FC1CB2&quot;/&gt;&lt;wsp:rsid wsp:val=&quot;00FC24D1&quot;/&gt;&lt;wsp:rsid wsp:val=&quot;00FC30DD&quot;/&gt;&lt;wsp:rsid wsp:val=&quot;00FC3ADF&quot;/&gt;&lt;wsp:rsid wsp:val=&quot;00FC3B90&quot;/&gt;&lt;wsp:rsid wsp:val=&quot;00FC3BF9&quot;/&gt;&lt;wsp:rsid wsp:val=&quot;00FC4018&quot;/&gt;&lt;wsp:rsid wsp:val=&quot;00FC4050&quot;/&gt;&lt;wsp:rsid wsp:val=&quot;00FC41D5&quot;/&gt;&lt;wsp:rsid wsp:val=&quot;00FC4C6A&quot;/&gt;&lt;wsp:rsid wsp:val=&quot;00FC4C77&quot;/&gt;&lt;wsp:rsid wsp:val=&quot;00FC563D&quot;/&gt;&lt;wsp:rsid wsp:val=&quot;00FC5684&quot;/&gt;&lt;wsp:rsid wsp:val=&quot;00FC608E&quot;/&gt;&lt;wsp:rsid wsp:val=&quot;00FC6B75&quot;/&gt;&lt;wsp:rsid wsp:val=&quot;00FC74DD&quot;/&gt;&lt;wsp:rsid wsp:val=&quot;00FC7546&quot;/&gt;&lt;wsp:rsid wsp:val=&quot;00FC75E1&quot;/&gt;&lt;wsp:rsid wsp:val=&quot;00FC7C38&quot;/&gt;&lt;wsp:rsid wsp:val=&quot;00FD0474&quot;/&gt;&lt;wsp:rsid wsp:val=&quot;00FD0959&quot;/&gt;&lt;wsp:rsid wsp:val=&quot;00FD100D&quot;/&gt;&lt;wsp:rsid wsp:val=&quot;00FD13E1&quot;/&gt;&lt;wsp:rsid wsp:val=&quot;00FD20FE&quot;/&gt;&lt;wsp:rsid wsp:val=&quot;00FD21A7&quot;/&gt;&lt;wsp:rsid wsp:val=&quot;00FD30F7&quot;/&gt;&lt;wsp:rsid wsp:val=&quot;00FD3299&quot;/&gt;&lt;wsp:rsid wsp:val=&quot;00FD38E6&quot;/&gt;&lt;wsp:rsid wsp:val=&quot;00FD3AEB&quot;/&gt;&lt;wsp:rsid wsp:val=&quot;00FD3E0E&quot;/&gt;&lt;wsp:rsid wsp:val=&quot;00FD4358&quot;/&gt;&lt;wsp:rsid wsp:val=&quot;00FD4970&quot;/&gt;&lt;wsp:rsid wsp:val=&quot;00FD4D62&quot;/&gt;&lt;wsp:rsid wsp:val=&quot;00FD4F58&quot;/&gt;&lt;wsp:rsid wsp:val=&quot;00FD58E5&quot;/&gt;&lt;wsp:rsid wsp:val=&quot;00FD609F&quot;/&gt;&lt;wsp:rsid wsp:val=&quot;00FD6F02&quot;/&gt;&lt;wsp:rsid wsp:val=&quot;00FD6F1E&quot;/&gt;&lt;wsp:rsid wsp:val=&quot;00FD72D1&quot;/&gt;&lt;wsp:rsid wsp:val=&quot;00FD73A1&quot;/&gt;&lt;wsp:rsid wsp:val=&quot;00FD7501&quot;/&gt;&lt;wsp:rsid wsp:val=&quot;00FD7F40&quot;/&gt;&lt;wsp:rsid wsp:val=&quot;00FE0075&quot;/&gt;&lt;wsp:rsid wsp:val=&quot;00FE0B82&quot;/&gt;&lt;wsp:rsid wsp:val=&quot;00FE0E9B&quot;/&gt;&lt;wsp:rsid wsp:val=&quot;00FE0FB6&quot;/&gt;&lt;wsp:rsid wsp:val=&quot;00FE1737&quot;/&gt;&lt;wsp:rsid wsp:val=&quot;00FE2319&quot;/&gt;&lt;wsp:rsid wsp:val=&quot;00FE2989&quot;/&gt;&lt;wsp:rsid wsp:val=&quot;00FE2ACE&quot;/&gt;&lt;wsp:rsid wsp:val=&quot;00FE2E4F&quot;/&gt;&lt;wsp:rsid wsp:val=&quot;00FE3A9D&quot;/&gt;&lt;wsp:rsid wsp:val=&quot;00FE3EC2&quot;/&gt;&lt;wsp:rsid wsp:val=&quot;00FE406A&quot;/&gt;&lt;wsp:rsid wsp:val=&quot;00FE4BF2&quot;/&gt;&lt;wsp:rsid wsp:val=&quot;00FE5105&quot;/&gt;&lt;wsp:rsid wsp:val=&quot;00FE5622&quot;/&gt;&lt;wsp:rsid wsp:val=&quot;00FE5669&quot;/&gt;&lt;wsp:rsid wsp:val=&quot;00FE583C&quot;/&gt;&lt;wsp:rsid wsp:val=&quot;00FE5916&quot;/&gt;&lt;wsp:rsid wsp:val=&quot;00FE598C&quot;/&gt;&lt;wsp:rsid wsp:val=&quot;00FE5D28&quot;/&gt;&lt;wsp:rsid wsp:val=&quot;00FE5FC5&quot;/&gt;&lt;wsp:rsid wsp:val=&quot;00FE6246&quot;/&gt;&lt;wsp:rsid wsp:val=&quot;00FE7670&quot;/&gt;&lt;wsp:rsid wsp:val=&quot;00FE7AE4&quot;/&gt;&lt;wsp:rsid wsp:val=&quot;00FE7F2F&quot;/&gt;&lt;wsp:rsid wsp:val=&quot;00FF1083&quot;/&gt;&lt;wsp:rsid wsp:val=&quot;00FF1247&quot;/&gt;&lt;wsp:rsid wsp:val=&quot;00FF1397&quot;/&gt;&lt;wsp:rsid wsp:val=&quot;00FF14A8&quot;/&gt;&lt;wsp:rsid wsp:val=&quot;00FF150A&quot;/&gt;&lt;wsp:rsid wsp:val=&quot;00FF1719&quot;/&gt;&lt;wsp:rsid wsp:val=&quot;00FF19FD&quot;/&gt;&lt;wsp:rsid wsp:val=&quot;00FF1CF1&quot;/&gt;&lt;wsp:rsid wsp:val=&quot;00FF2619&quot;/&gt;&lt;wsp:rsid wsp:val=&quot;00FF32FC&quot;/&gt;&lt;wsp:rsid wsp:val=&quot;00FF3355&quot;/&gt;&lt;wsp:rsid wsp:val=&quot;00FF3540&quot;/&gt;&lt;wsp:rsid wsp:val=&quot;00FF3979&quot;/&gt;&lt;wsp:rsid wsp:val=&quot;00FF3ADA&quot;/&gt;&lt;wsp:rsid wsp:val=&quot;00FF3CDB&quot;/&gt;&lt;wsp:rsid wsp:val=&quot;00FF3D4C&quot;/&gt;&lt;wsp:rsid wsp:val=&quot;00FF431A&quot;/&gt;&lt;wsp:rsid wsp:val=&quot;00FF48AF&quot;/&gt;&lt;wsp:rsid wsp:val=&quot;00FF4C70&quot;/&gt;&lt;wsp:rsid wsp:val=&quot;00FF4C96&quot;/&gt;&lt;wsp:rsid wsp:val=&quot;00FF4E2D&quot;/&gt;&lt;wsp:rsid wsp:val=&quot;00FF4FC7&quot;/&gt;&lt;wsp:rsid wsp:val=&quot;00FF57B8&quot;/&gt;&lt;wsp:rsid wsp:val=&quot;00FF59D1&quot;/&gt;&lt;wsp:rsid wsp:val=&quot;00FF62D4&quot;/&gt;&lt;wsp:rsid wsp:val=&quot;00FF6374&quot;/&gt;&lt;wsp:rsid wsp:val=&quot;00FF6A1B&quot;/&gt;&lt;wsp:rsid wsp:val=&quot;00FF6AFD&quot;/&gt;&lt;wsp:rsid wsp:val=&quot;00FF7210&quot;/&gt;&lt;wsp:rsid wsp:val=&quot;00FF74F4&quot;/&gt;&lt;wsp:rsid wsp:val=&quot;00FF797F&quot;/&gt;&lt;wsp:rsid wsp:val=&quot;00FF7B89&quot;/&gt;&lt;wsp:rsid wsp:val=&quot;01904007&quot;/&gt;&lt;wsp:rsid wsp:val=&quot;01B52F7F&quot;/&gt;&lt;wsp:rsid wsp:val=&quot;02920095&quot;/&gt;&lt;wsp:rsid wsp:val=&quot;02B37479&quot;/&gt;&lt;wsp:rsid wsp:val=&quot;02FE2009&quot;/&gt;&lt;wsp:rsid wsp:val=&quot;0323755B&quot;/&gt;&lt;wsp:rsid wsp:val=&quot;03553E87&quot;/&gt;&lt;wsp:rsid wsp:val=&quot;03A5656E&quot;/&gt;&lt;wsp:rsid wsp:val=&quot;03BA728A&quot;/&gt;&lt;wsp:rsid wsp:val=&quot;03EE0A38&quot;/&gt;&lt;wsp:rsid wsp:val=&quot;04421A04&quot;/&gt;&lt;wsp:rsid wsp:val=&quot;044B2B57&quot;/&gt;&lt;wsp:rsid wsp:val=&quot;04596379&quot;/&gt;&lt;wsp:rsid wsp:val=&quot;053F4E39&quot;/&gt;&lt;wsp:rsid wsp:val=&quot;056A6865&quot;/&gt;&lt;wsp:rsid wsp:val=&quot;05957097&quot;/&gt;&lt;wsp:rsid wsp:val=&quot;05E01426&quot;/&gt;&lt;wsp:rsid wsp:val=&quot;05F645A1&quot;/&gt;&lt;wsp:rsid wsp:val=&quot;07166A08&quot;/&gt;&lt;wsp:rsid wsp:val=&quot;072B69E6&quot;/&gt;&lt;wsp:rsid wsp:val=&quot;076A13D5&quot;/&gt;&lt;wsp:rsid wsp:val=&quot;07D773D9&quot;/&gt;&lt;wsp:rsid wsp:val=&quot;080404DD&quot;/&gt;&lt;wsp:rsid wsp:val=&quot;0827789D&quot;/&gt;&lt;wsp:rsid wsp:val=&quot;086806A7&quot;/&gt;&lt;wsp:rsid wsp:val=&quot;08D94574&quot;/&gt;&lt;wsp:rsid wsp:val=&quot;09167866&quot;/&gt;&lt;wsp:rsid wsp:val=&quot;092B0E42&quot;/&gt;&lt;wsp:rsid wsp:val=&quot;094C3896&quot;/&gt;&lt;wsp:rsid wsp:val=&quot;099D379E&quot;/&gt;&lt;wsp:rsid wsp:val=&quot;09E276C0&quot;/&gt;&lt;wsp:rsid wsp:val=&quot;09ED0EB9&quot;/&gt;&lt;wsp:rsid wsp:val=&quot;09F95097&quot;/&gt;&lt;wsp:rsid wsp:val=&quot;0A21406A&quot;/&gt;&lt;wsp:rsid wsp:val=&quot;0A4773D0&quot;/&gt;&lt;wsp:rsid wsp:val=&quot;0A565F04&quot;/&gt;&lt;wsp:rsid wsp:val=&quot;0A5F2353&quot;/&gt;&lt;wsp:rsid wsp:val=&quot;0ABD5FBA&quot;/&gt;&lt;wsp:rsid wsp:val=&quot;0B5A2007&quot;/&gt;&lt;wsp:rsid wsp:val=&quot;0B7B3911&quot;/&gt;&lt;wsp:rsid wsp:val=&quot;0BF201A5&quot;/&gt;&lt;wsp:rsid wsp:val=&quot;0C5E3A38&quot;/&gt;&lt;wsp:rsid wsp:val=&quot;0C7D34DA&quot;/&gt;&lt;wsp:rsid wsp:val=&quot;0CB005DE&quot;/&gt;&lt;wsp:rsid wsp:val=&quot;0D08446E&quot;/&gt;&lt;wsp:rsid wsp:val=&quot;0D2B78E3&quot;/&gt;&lt;wsp:rsid wsp:val=&quot;0D4E4DAD&quot;/&gt;&lt;wsp:rsid wsp:val=&quot;0D51796B&quot;/&gt;&lt;wsp:rsid wsp:val=&quot;0D666B65&quot;/&gt;&lt;wsp:rsid wsp:val=&quot;0D9B676D&quot;/&gt;&lt;wsp:rsid wsp:val=&quot;0DCD44D3&quot;/&gt;&lt;wsp:rsid wsp:val=&quot;0DF441E4&quot;/&gt;&lt;wsp:rsid wsp:val=&quot;0E665707&quot;/&gt;&lt;wsp:rsid wsp:val=&quot;0EB1331A&quot;/&gt;&lt;wsp:rsid wsp:val=&quot;0EDC7530&quot;/&gt;&lt;wsp:rsid wsp:val=&quot;0EDE5C75&quot;/&gt;&lt;wsp:rsid wsp:val=&quot;0EE36FD4&quot;/&gt;&lt;wsp:rsid wsp:val=&quot;0F955D60&quot;/&gt;&lt;wsp:rsid wsp:val=&quot;0FA90366&quot;/&gt;&lt;wsp:rsid wsp:val=&quot;0FF33576&quot;/&gt;&lt;wsp:rsid wsp:val=&quot;101D5AE6&quot;/&gt;&lt;wsp:rsid wsp:val=&quot;103D5811&quot;/&gt;&lt;wsp:rsid wsp:val=&quot;106E4209&quot;/&gt;&lt;wsp:rsid wsp:val=&quot;108630D2&quot;/&gt;&lt;wsp:rsid wsp:val=&quot;10883793&quot;/&gt;&lt;wsp:rsid wsp:val=&quot;108B1CFD&quot;/&gt;&lt;wsp:rsid wsp:val=&quot;109B144E&quot;/&gt;&lt;wsp:rsid wsp:val=&quot;10B46EE2&quot;/&gt;&lt;wsp:rsid wsp:val=&quot;10CC691B&quot;/&gt;&lt;wsp:rsid wsp:val=&quot;110D4BBB&quot;/&gt;&lt;wsp:rsid wsp:val=&quot;11165221&quot;/&gt;&lt;wsp:rsid wsp:val=&quot;115437EB&quot;/&gt;&lt;wsp:rsid wsp:val=&quot;12487426&quot;/&gt;&lt;wsp:rsid wsp:val=&quot;13487CE2&quot;/&gt;&lt;wsp:rsid wsp:val=&quot;13BB6E4D&quot;/&gt;&lt;wsp:rsid wsp:val=&quot;13C771A7&quot;/&gt;&lt;wsp:rsid wsp:val=&quot;145D37A8&quot;/&gt;&lt;wsp:rsid wsp:val=&quot;151A407D&quot;/&gt;&lt;wsp:rsid wsp:val=&quot;152067EE&quot;/&gt;&lt;wsp:rsid wsp:val=&quot;1609079A&quot;/&gt;&lt;wsp:rsid wsp:val=&quot;160D7807&quot;/&gt;&lt;wsp:rsid wsp:val=&quot;16315934&quot;/&gt;&lt;wsp:rsid wsp:val=&quot;164E43DF&quot;/&gt;&lt;wsp:rsid wsp:val=&quot;16707602&quot;/&gt;&lt;wsp:rsid wsp:val=&quot;16BC0232&quot;/&gt;&lt;wsp:rsid wsp:val=&quot;16EE1DF7&quot;/&gt;&lt;wsp:rsid wsp:val=&quot;171F61DF&quot;/&gt;&lt;wsp:rsid wsp:val=&quot;1783778D&quot;/&gt;&lt;wsp:rsid wsp:val=&quot;17C14FC3&quot;/&gt;&lt;wsp:rsid wsp:val=&quot;17EF7588&quot;/&gt;&lt;wsp:rsid wsp:val=&quot;183F1BA5&quot;/&gt;&lt;wsp:rsid wsp:val=&quot;184F140A&quot;/&gt;&lt;wsp:rsid wsp:val=&quot;186F37E2&quot;/&gt;&lt;wsp:rsid wsp:val=&quot;18FB0F66&quot;/&gt;&lt;wsp:rsid wsp:val=&quot;18FB7085&quot;/&gt;&lt;wsp:rsid wsp:val=&quot;19162B71&quot;/&gt;&lt;wsp:rsid wsp:val=&quot;19715863&quot;/&gt;&lt;wsp:rsid wsp:val=&quot;198753E9&quot;/&gt;&lt;wsp:rsid wsp:val=&quot;19C90D7B&quot;/&gt;&lt;wsp:rsid wsp:val=&quot;1A7B33B3&quot;/&gt;&lt;wsp:rsid wsp:val=&quot;1A88652C&quot;/&gt;&lt;wsp:rsid wsp:val=&quot;1A8F752E&quot;/&gt;&lt;wsp:rsid wsp:val=&quot;1A953298&quot;/&gt;&lt;wsp:rsid wsp:val=&quot;1AD95BC6&quot;/&gt;&lt;wsp:rsid wsp:val=&quot;1B5416E1&quot;/&gt;&lt;wsp:rsid wsp:val=&quot;1B565900&quot;/&gt;&lt;wsp:rsid wsp:val=&quot;1BCE3E3D&quot;/&gt;&lt;wsp:rsid wsp:val=&quot;1C4E50B2&quot;/&gt;&lt;wsp:rsid wsp:val=&quot;1C943B2A&quot;/&gt;&lt;wsp:rsid wsp:val=&quot;1CA71586&quot;/&gt;&lt;wsp:rsid wsp:val=&quot;1CB01854&quot;/&gt;&lt;wsp:rsid wsp:val=&quot;1D533F6A&quot;/&gt;&lt;wsp:rsid wsp:val=&quot;1D8C54C6&quot;/&gt;&lt;wsp:rsid wsp:val=&quot;1D933007&quot;/&gt;&lt;wsp:rsid wsp:val=&quot;1DB179FD&quot;/&gt;&lt;wsp:rsid wsp:val=&quot;1DE567F3&quot;/&gt;&lt;wsp:rsid wsp:val=&quot;1E8929A6&quot;/&gt;&lt;wsp:rsid wsp:val=&quot;1EC70060&quot;/&gt;&lt;wsp:rsid wsp:val=&quot;1EF27054&quot;/&gt;&lt;wsp:rsid wsp:val=&quot;1F2D5BAC&quot;/&gt;&lt;wsp:rsid wsp:val=&quot;1FFE0A96&quot;/&gt;&lt;wsp:rsid wsp:val=&quot;200640FC&quot;/&gt;&lt;wsp:rsid wsp:val=&quot;209C0BDB&quot;/&gt;&lt;wsp:rsid wsp:val=&quot;20B84BB9&quot;/&gt;&lt;wsp:rsid wsp:val=&quot;20BB38E7&quot;/&gt;&lt;wsp:rsid wsp:val=&quot;218B773D&quot;/&gt;&lt;wsp:rsid wsp:val=&quot;21AC6F9D&quot;/&gt;&lt;wsp:rsid wsp:val=&quot;21C16FD7&quot;/&gt;&lt;wsp:rsid wsp:val=&quot;224E132E&quot;/&gt;&lt;wsp:rsid wsp:val=&quot;22773A35&quot;/&gt;&lt;wsp:rsid wsp:val=&quot;22C244A5&quot;/&gt;&lt;wsp:rsid wsp:val=&quot;22CA5EAA&quot;/&gt;&lt;wsp:rsid wsp:val=&quot;231A049F&quot;/&gt;&lt;wsp:rsid wsp:val=&quot;239B6ED3&quot;/&gt;&lt;wsp:rsid wsp:val=&quot;23DF2CE7&quot;/&gt;&lt;wsp:rsid wsp:val=&quot;24490971&quot;/&gt;&lt;wsp:rsid wsp:val=&quot;248A2873&quot;/&gt;&lt;wsp:rsid wsp:val=&quot;24B91B41&quot;/&gt;&lt;wsp:rsid wsp:val=&quot;25020AE4&quot;/&gt;&lt;wsp:rsid wsp:val=&quot;251004E7&quot;/&gt;&lt;wsp:rsid wsp:val=&quot;25AF7328&quot;/&gt;&lt;wsp:rsid wsp:val=&quot;25CA697A&quot;/&gt;&lt;wsp:rsid wsp:val=&quot;26336213&quot;/&gt;&lt;wsp:rsid wsp:val=&quot;266712D5&quot;/&gt;&lt;wsp:rsid wsp:val=&quot;266B7CE1&quot;/&gt;&lt;wsp:rsid wsp:val=&quot;26C82176&quot;/&gt;&lt;wsp:rsid wsp:val=&quot;26FA7F38&quot;/&gt;&lt;wsp:rsid wsp:val=&quot;272357C9&quot;/&gt;&lt;wsp:rsid wsp:val=&quot;279E4B32&quot;/&gt;&lt;wsp:rsid wsp:val=&quot;27CC0F8A&quot;/&gt;&lt;wsp:rsid wsp:val=&quot;28362D4D&quot;/&gt;&lt;wsp:rsid wsp:val=&quot;28834FC2&quot;/&gt;&lt;wsp:rsid wsp:val=&quot;288D067D&quot;/&gt;&lt;wsp:rsid wsp:val=&quot;28BB61B8&quot;/&gt;&lt;wsp:rsid wsp:val=&quot;28C424DA&quot;/&gt;&lt;wsp:rsid wsp:val=&quot;28EF6012&quot;/&gt;&lt;wsp:rsid wsp:val=&quot;293943AB&quot;/&gt;&lt;wsp:rsid wsp:val=&quot;294A5328&quot;/&gt;&lt;wsp:rsid wsp:val=&quot;29562CBE&quot;/&gt;&lt;wsp:rsid wsp:val=&quot;297C1EF1&quot;/&gt;&lt;wsp:rsid wsp:val=&quot;29986D6E&quot;/&gt;&lt;wsp:rsid wsp:val=&quot;29B82DF9&quot;/&gt;&lt;wsp:rsid wsp:val=&quot;29DA2123&quot;/&gt;&lt;wsp:rsid wsp:val=&quot;2A1358E7&quot;/&gt;&lt;wsp:rsid wsp:val=&quot;2A1424A2&quot;/&gt;&lt;wsp:rsid wsp:val=&quot;2A2C044F&quot;/&gt;&lt;wsp:rsid wsp:val=&quot;2A5976D6&quot;/&gt;&lt;wsp:rsid wsp:val=&quot;2A667EDB&quot;/&gt;&lt;wsp:rsid wsp:val=&quot;2A867DD6&quot;/&gt;&lt;wsp:rsid wsp:val=&quot;2A9A10B9&quot;/&gt;&lt;wsp:rsid wsp:val=&quot;2ACD3BEC&quot;/&gt;&lt;wsp:rsid wsp:val=&quot;2BA528F7&quot;/&gt;&lt;wsp:rsid wsp:val=&quot;2C592B9B&quot;/&gt;&lt;wsp:rsid wsp:val=&quot;2CA96BB4&quot;/&gt;&lt;wsp:rsid wsp:val=&quot;2CC060EE&quot;/&gt;&lt;wsp:rsid wsp:val=&quot;2CEB42EE&quot;/&gt;&lt;wsp:rsid wsp:val=&quot;2CEE1C6D&quot;/&gt;&lt;wsp:rsid wsp:val=&quot;2CF94377&quot;/&gt;&lt;wsp:rsid wsp:val=&quot;2D60265C&quot;/&gt;&lt;wsp:rsid wsp:val=&quot;2D90533A&quot;/&gt;&lt;wsp:rsid wsp:val=&quot;2E75070D&quot;/&gt;&lt;wsp:rsid wsp:val=&quot;2E75790E&quot;/&gt;&lt;wsp:rsid wsp:val=&quot;2E9C7473&quot;/&gt;&lt;wsp:rsid wsp:val=&quot;2EB47F6B&quot;/&gt;&lt;wsp:rsid wsp:val=&quot;2FAF4850&quot;/&gt;&lt;wsp:rsid wsp:val=&quot;2FD15770&quot;/&gt;&lt;wsp:rsid wsp:val=&quot;305F12C7&quot;/&gt;&lt;wsp:rsid wsp:val=&quot;30B7776F&quot;/&gt;&lt;wsp:rsid wsp:val=&quot;31303E97&quot;/&gt;&lt;wsp:rsid wsp:val=&quot;31BC7E43&quot;/&gt;&lt;wsp:rsid wsp:val=&quot;322E27C9&quot;/&gt;&lt;wsp:rsid wsp:val=&quot;3268631D&quot;/&gt;&lt;wsp:rsid wsp:val=&quot;32B6014E&quot;/&gt;&lt;wsp:rsid wsp:val=&quot;33983990&quot;/&gt;&lt;wsp:rsid wsp:val=&quot;339972D2&quot;/&gt;&lt;wsp:rsid wsp:val=&quot;339A2B59&quot;/&gt;&lt;wsp:rsid wsp:val=&quot;33C1435D&quot;/&gt;&lt;wsp:rsid wsp:val=&quot;33C57E14&quot;/&gt;&lt;wsp:rsid wsp:val=&quot;33E312BB&quot;/&gt;&lt;wsp:rsid wsp:val=&quot;33EB32F2&quot;/&gt;&lt;wsp:rsid wsp:val=&quot;33ED430A&quot;/&gt;&lt;wsp:rsid wsp:val=&quot;34A777FF&quot;/&gt;&lt;wsp:rsid wsp:val=&quot;34AD215C&quot;/&gt;&lt;wsp:rsid wsp:val=&quot;356F4861&quot;/&gt;&lt;wsp:rsid wsp:val=&quot;35744F05&quot;/&gt;&lt;wsp:rsid wsp:val=&quot;35D65175&quot;/&gt;&lt;wsp:rsid wsp:val=&quot;36724672&quot;/&gt;&lt;wsp:rsid wsp:val=&quot;369F1C1F&quot;/&gt;&lt;wsp:rsid wsp:val=&quot;36C46922&quot;/&gt;&lt;wsp:rsid wsp:val=&quot;374F3B2F&quot;/&gt;&lt;wsp:rsid wsp:val=&quot;376003CF&quot;/&gt;&lt;wsp:rsid wsp:val=&quot;376D0368&quot;/&gt;&lt;wsp:rsid wsp:val=&quot;37E32F9A&quot;/&gt;&lt;wsp:rsid wsp:val=&quot;37F560F4&quot;/&gt;&lt;wsp:rsid wsp:val=&quot;389B6149&quot;/&gt;&lt;wsp:rsid wsp:val=&quot;389E5AAC&quot;/&gt;&lt;wsp:rsid wsp:val=&quot;38D618CA&quot;/&gt;&lt;wsp:rsid wsp:val=&quot;39014F7D&quot;/&gt;&lt;wsp:rsid wsp:val=&quot;39417FF5&quot;/&gt;&lt;wsp:rsid wsp:val=&quot;39532D82&quot;/&gt;&lt;wsp:rsid wsp:val=&quot;39A21F72&quot;/&gt;&lt;wsp:rsid wsp:val=&quot;39C31AF2&quot;/&gt;&lt;wsp:rsid wsp:val=&quot;39C36A5B&quot;/&gt;&lt;wsp:rsid wsp:val=&quot;39DA4BD5&quot;/&gt;&lt;wsp:rsid wsp:val=&quot;3A150264&quot;/&gt;&lt;wsp:rsid wsp:val=&quot;3A6B28F3&quot;/&gt;&lt;wsp:rsid wsp:val=&quot;3BD77ED0&quot;/&gt;&lt;wsp:rsid wsp:val=&quot;3BF7356A&quot;/&gt;&lt;wsp:rsid wsp:val=&quot;3C3B6104&quot;/&gt;&lt;wsp:rsid wsp:val=&quot;3C544E6E&quot;/&gt;&lt;wsp:rsid wsp:val=&quot;3C937972&quot;/&gt;&lt;wsp:rsid wsp:val=&quot;3CC06927&quot;/&gt;&lt;wsp:rsid wsp:val=&quot;3D853B21&quot;/&gt;&lt;wsp:rsid wsp:val=&quot;3DAF2871&quot;/&gt;&lt;wsp:rsid wsp:val=&quot;3E0165C6&quot;/&gt;&lt;wsp:rsid wsp:val=&quot;3E2C3208&quot;/&gt;&lt;wsp:rsid wsp:val=&quot;3E821DCF&quot;/&gt;&lt;wsp:rsid wsp:val=&quot;3EE90255&quot;/&gt;&lt;wsp:rsid wsp:val=&quot;3F1324E3&quot;/&gt;&lt;wsp:rsid wsp:val=&quot;3F195879&quot;/&gt;&lt;wsp:rsid wsp:val=&quot;3F1B2688&quot;/&gt;&lt;wsp:rsid wsp:val=&quot;3FF56548&quot;/&gt;&lt;wsp:rsid wsp:val=&quot;3FFE6A7F&quot;/&gt;&lt;wsp:rsid wsp:val=&quot;4015585F&quot;/&gt;&lt;wsp:rsid wsp:val=&quot;417F46C5&quot;/&gt;&lt;wsp:rsid wsp:val=&quot;422755D9&quot;/&gt;&lt;wsp:rsid wsp:val=&quot;42652B3F&quot;/&gt;&lt;wsp:rsid wsp:val=&quot;42E875BF&quot;/&gt;&lt;wsp:rsid wsp:val=&quot;433E3666&quot;/&gt;&lt;wsp:rsid wsp:val=&quot;43633399&quot;/&gt;&lt;wsp:rsid wsp:val=&quot;43B12C78&quot;/&gt;&lt;wsp:rsid wsp:val=&quot;448501F9&quot;/&gt;&lt;wsp:rsid wsp:val=&quot;44AE1FAF&quot;/&gt;&lt;wsp:rsid wsp:val=&quot;44E81115&quot;/&gt;&lt;wsp:rsid wsp:val=&quot;456304C5&quot;/&gt;&lt;wsp:rsid wsp:val=&quot;45BD215A&quot;/&gt;&lt;wsp:rsid wsp:val=&quot;45CD1A46&quot;/&gt;&lt;wsp:rsid wsp:val=&quot;462D0C89&quot;/&gt;&lt;wsp:rsid wsp:val=&quot;4636084B&quot;/&gt;&lt;wsp:rsid wsp:val=&quot;46506C11&quot;/&gt;&lt;wsp:rsid wsp:val=&quot;46DF32AF&quot;/&gt;&lt;wsp:rsid wsp:val=&quot;472F3A5C&quot;/&gt;&lt;wsp:rsid wsp:val=&quot;47594679&quot;/&gt;&lt;wsp:rsid wsp:val=&quot;47ED5B5F&quot;/&gt;&lt;wsp:rsid wsp:val=&quot;47FD6FCC&quot;/&gt;&lt;wsp:rsid wsp:val=&quot;48347217&quot;/&gt;&lt;wsp:rsid wsp:val=&quot;48B64B23&quot;/&gt;&lt;wsp:rsid wsp:val=&quot;48F96550&quot;/&gt;&lt;wsp:rsid wsp:val=&quot;492679B2&quot;/&gt;&lt;wsp:rsid wsp:val=&quot;49497B6C&quot;/&gt;&lt;wsp:rsid wsp:val=&quot;49660A12&quot;/&gt;&lt;wsp:rsid wsp:val=&quot;49C661D5&quot;/&gt;&lt;wsp:rsid wsp:val=&quot;49D626BA&quot;/&gt;&lt;wsp:rsid wsp:val=&quot;49EF206F&quot;/&gt;&lt;wsp:rsid wsp:val=&quot;4A1A2C9C&quot;/&gt;&lt;wsp:rsid wsp:val=&quot;4A350712&quot;/&gt;&lt;wsp:rsid wsp:val=&quot;4A4D411E&quot;/&gt;&lt;wsp:rsid wsp:val=&quot;4AB110E7&quot;/&gt;&lt;wsp:rsid wsp:val=&quot;4B0B5F1E&quot;/&gt;&lt;wsp:rsid wsp:val=&quot;4B3E4CC6&quot;/&gt;&lt;wsp:rsid wsp:val=&quot;4B9E2626&quot;/&gt;&lt;wsp:rsid wsp:val=&quot;4BC65E61&quot;/&gt;&lt;wsp:rsid wsp:val=&quot;4BDD7CAC&quot;/&gt;&lt;wsp:rsid wsp:val=&quot;4C3F3714&quot;/&gt;&lt;wsp:rsid wsp:val=&quot;4CB66873&quot;/&gt;&lt;wsp:rsid wsp:val=&quot;4D5512A6&quot;/&gt;&lt;wsp:rsid wsp:val=&quot;4D6E4BF8&quot;/&gt;&lt;wsp:rsid wsp:val=&quot;4DA451BE&quot;/&gt;&lt;wsp:rsid wsp:val=&quot;4DEE1582&quot;/&gt;&lt;wsp:rsid wsp:val=&quot;4E3F09D6&quot;/&gt;&lt;wsp:rsid wsp:val=&quot;4E4064A4&quot;/&gt;&lt;wsp:rsid wsp:val=&quot;4E787E97&quot;/&gt;&lt;wsp:rsid wsp:val=&quot;4E824921&quot;/&gt;&lt;wsp:rsid wsp:val=&quot;4E945A3C&quot;/&gt;&lt;wsp:rsid wsp:val=&quot;4EAF4003&quot;/&gt;&lt;wsp:rsid wsp:val=&quot;4ED55179&quot;/&gt;&lt;wsp:rsid wsp:val=&quot;4F2749C2&quot;/&gt;&lt;wsp:rsid wsp:val=&quot;4F405267&quot;/&gt;&lt;wsp:rsid wsp:val=&quot;4FA64580&quot;/&gt;&lt;wsp:rsid wsp:val=&quot;4FD74657&quot;/&gt;&lt;wsp:rsid wsp:val=&quot;4FE06A80&quot;/&gt;&lt;wsp:rsid wsp:val=&quot;4FE17582&quot;/&gt;&lt;wsp:rsid wsp:val=&quot;503F6DF4&quot;/&gt;&lt;wsp:rsid wsp:val=&quot;50905A3B&quot;/&gt;&lt;wsp:rsid wsp:val=&quot;50A91494&quot;/&gt;&lt;wsp:rsid wsp:val=&quot;50AF506E&quot;/&gt;&lt;wsp:rsid wsp:val=&quot;50D7647F&quot;/&gt;&lt;wsp:rsid wsp:val=&quot;51262697&quot;/&gt;&lt;wsp:rsid wsp:val=&quot;513C0A75&quot;/&gt;&lt;wsp:rsid wsp:val=&quot;51843EF1&quot;/&gt;&lt;wsp:rsid wsp:val=&quot;519C5CD8&quot;/&gt;&lt;wsp:rsid wsp:val=&quot;51AB1600&quot;/&gt;&lt;wsp:rsid wsp:val=&quot;52033936&quot;/&gt;&lt;wsp:rsid wsp:val=&quot;522B56F7&quot;/&gt;&lt;wsp:rsid wsp:val=&quot;52562BF1&quot;/&gt;&lt;wsp:rsid wsp:val=&quot;526A1AAB&quot;/&gt;&lt;wsp:rsid wsp:val=&quot;527E482E&quot;/&gt;&lt;wsp:rsid wsp:val=&quot;52A20D24&quot;/&gt;&lt;wsp:rsid wsp:val=&quot;52CD48B5&quot;/&gt;&lt;wsp:rsid wsp:val=&quot;532A7E1B&quot;/&gt;&lt;wsp:rsid wsp:val=&quot;534472D7&quot;/&gt;&lt;wsp:rsid wsp:val=&quot;53562019&quot;/&gt;&lt;wsp:rsid wsp:val=&quot;536924F3&quot;/&gt;&lt;wsp:rsid wsp:val=&quot;53DF638D&quot;/&gt;&lt;wsp:rsid wsp:val=&quot;541D7EF3&quot;/&gt;&lt;wsp:rsid wsp:val=&quot;54227B98&quot;/&gt;&lt;wsp:rsid wsp:val=&quot;54823852&quot;/&gt;&lt;wsp:rsid wsp:val=&quot;54F7137E&quot;/&gt;&lt;wsp:rsid wsp:val=&quot;557A1AD2&quot;/&gt;&lt;wsp:rsid wsp:val=&quot;55B00CDC&quot;/&gt;&lt;wsp:rsid wsp:val=&quot;55B473AC&quot;/&gt;&lt;wsp:rsid wsp:val=&quot;56335093&quot;/&gt;&lt;wsp:rsid wsp:val=&quot;56582DE2&quot;/&gt;&lt;wsp:rsid wsp:val=&quot;56C050DA&quot;/&gt;&lt;wsp:rsid wsp:val=&quot;56C851F5&quot;/&gt;&lt;wsp:rsid wsp:val=&quot;576D1373&quot;/&gt;&lt;wsp:rsid wsp:val=&quot;57845C63&quot;/&gt;&lt;wsp:rsid wsp:val=&quot;57CC3BB5&quot;/&gt;&lt;wsp:rsid wsp:val=&quot;58330E3D&quot;/&gt;&lt;wsp:rsid wsp:val=&quot;584949AE&quot;/&gt;&lt;wsp:rsid wsp:val=&quot;585154C0&quot;/&gt;&lt;wsp:rsid wsp:val=&quot;58536F80&quot;/&gt;&lt;wsp:rsid wsp:val=&quot;58602963&quot;/&gt;&lt;wsp:rsid wsp:val=&quot;586650F0&quot;/&gt;&lt;wsp:rsid wsp:val=&quot;591C3767&quot;/&gt;&lt;wsp:rsid wsp:val=&quot;59FE2D26&quot;/&gt;&lt;wsp:rsid wsp:val=&quot;5A0E08BC&quot;/&gt;&lt;wsp:rsid wsp:val=&quot;5A14569F&quot;/&gt;&lt;wsp:rsid wsp:val=&quot;5A1C3D0F&quot;/&gt;&lt;wsp:rsid wsp:val=&quot;5A3011EB&quot;/&gt;&lt;wsp:rsid wsp:val=&quot;5A7C7B14&quot;/&gt;&lt;wsp:rsid wsp:val=&quot;5A9F41D4&quot;/&gt;&lt;wsp:rsid wsp:val=&quot;5B6750FE&quot;/&gt;&lt;wsp:rsid wsp:val=&quot;5B812FC1&quot;/&gt;&lt;wsp:rsid wsp:val=&quot;5B9961BA&quot;/&gt;&lt;wsp:rsid wsp:val=&quot;5BCB2884&quot;/&gt;&lt;wsp:rsid wsp:val=&quot;5C253161&quot;/&gt;&lt;wsp:rsid wsp:val=&quot;5C31365A&quot;/&gt;&lt;wsp:rsid wsp:val=&quot;5C5816D5&quot;/&gt;&lt;wsp:rsid wsp:val=&quot;5C6E731E&quot;/&gt;&lt;wsp:rsid wsp:val=&quot;5CBF5572&quot;/&gt;&lt;wsp:rsid wsp:val=&quot;5D0B7E24&quot;/&gt;&lt;wsp:rsid wsp:val=&quot;5D0C02AA&quot;/&gt;&lt;wsp:rsid wsp:val=&quot;5D20757B&quot;/&gt;&lt;wsp:rsid wsp:val=&quot;5D7C3215&quot;/&gt;&lt;wsp:rsid wsp:val=&quot;5DAD3FBE&quot;/&gt;&lt;wsp:rsid wsp:val=&quot;5E312CCA&quot;/&gt;&lt;wsp:rsid wsp:val=&quot;5E8A123E&quot;/&gt;&lt;wsp:rsid wsp:val=&quot;5E92443D&quot;/&gt;&lt;wsp:rsid wsp:val=&quot;5EB35A42&quot;/&gt;&lt;wsp:rsid wsp:val=&quot;5F0A4B08&quot;/&gt;&lt;wsp:rsid wsp:val=&quot;5F8D1535&quot;/&gt;&lt;wsp:rsid wsp:val=&quot;5F95411D&quot;/&gt;&lt;wsp:rsid wsp:val=&quot;5F974DD7&quot;/&gt;&lt;wsp:rsid wsp:val=&quot;5FF347A0&quot;/&gt;&lt;wsp:rsid wsp:val=&quot;60050D0A&quot;/&gt;&lt;wsp:rsid wsp:val=&quot;600D643D&quot;/&gt;&lt;wsp:rsid wsp:val=&quot;60521D85&quot;/&gt;&lt;wsp:rsid wsp:val=&quot;605D356F&quot;/&gt;&lt;wsp:rsid wsp:val=&quot;60EC344B&quot;/&gt;&lt;wsp:rsid wsp:val=&quot;60F54484&quot;/&gt;&lt;wsp:rsid wsp:val=&quot;615658EE&quot;/&gt;&lt;wsp:rsid wsp:val=&quot;615E5935&quot;/&gt;&lt;wsp:rsid wsp:val=&quot;61A23A1A&quot;/&gt;&lt;wsp:rsid wsp:val=&quot;61CA359F&quot;/&gt;&lt;wsp:rsid wsp:val=&quot;624B08A7&quot;/&gt;&lt;wsp:rsid wsp:val=&quot;6274528B&quot;/&gt;&lt;wsp:rsid wsp:val=&quot;627F1C15&quot;/&gt;&lt;wsp:rsid wsp:val=&quot;62B90ADA&quot;/&gt;&lt;wsp:rsid wsp:val=&quot;63067368&quot;/&gt;&lt;wsp:rsid wsp:val=&quot;636A20D2&quot;/&gt;&lt;wsp:rsid wsp:val=&quot;637B5989&quot;/&gt;&lt;wsp:rsid wsp:val=&quot;63AA0D0D&quot;/&gt;&lt;wsp:rsid wsp:val=&quot;646111D5&quot;/&gt;&lt;wsp:rsid wsp:val=&quot;64914931&quot;/&gt;&lt;wsp:rsid wsp:val=&quot;652D5D3B&quot;/&gt;&lt;wsp:rsid wsp:val=&quot;653B7FE3&quot;/&gt;&lt;wsp:rsid wsp:val=&quot;668762B5&quot;/&gt;&lt;wsp:rsid wsp:val=&quot;66FA33A2&quot;/&gt;&lt;wsp:rsid wsp:val=&quot;67112A52&quot;/&gt;&lt;wsp:rsid wsp:val=&quot;671203FE&quot;/&gt;&lt;wsp:rsid wsp:val=&quot;676B6CF9&quot;/&gt;&lt;wsp:rsid wsp:val=&quot;677E3E01&quot;/&gt;&lt;wsp:rsid wsp:val=&quot;67EF5708&quot;/&gt;&lt;wsp:rsid wsp:val=&quot;685E3252&quot;/&gt;&lt;wsp:rsid wsp:val=&quot;69432CF1&quot;/&gt;&lt;wsp:rsid wsp:val=&quot;69547606&quot;/&gt;&lt;wsp:rsid wsp:val=&quot;696F37AB&quot;/&gt;&lt;wsp:rsid wsp:val=&quot;697D28AB&quot;/&gt;&lt;wsp:rsid wsp:val=&quot;6A1D6D4E&quot;/&gt;&lt;wsp:rsid wsp:val=&quot;6A593BA5&quot;/&gt;&lt;wsp:rsid wsp:val=&quot;6B1B0967&quot;/&gt;&lt;wsp:rsid wsp:val=&quot;6B920F86&quot;/&gt;&lt;wsp:rsid wsp:val=&quot;6BC03D24&quot;/&gt;&lt;wsp:rsid wsp:val=&quot;6C0E47D6&quot;/&gt;&lt;wsp:rsid wsp:val=&quot;6C6C2814&quot;/&gt;&lt;wsp:rsid wsp:val=&quot;6D1E188C&quot;/&gt;&lt;wsp:rsid wsp:val=&quot;6D3D19ED&quot;/&gt;&lt;wsp:rsid wsp:val=&quot;6D5301C5&quot;/&gt;&lt;wsp:rsid wsp:val=&quot;6D946491&quot;/&gt;&lt;wsp:rsid wsp:val=&quot;6E210F62&quot;/&gt;&lt;wsp:rsid wsp:val=&quot;6E2B1482&quot;/&gt;&lt;wsp:rsid wsp:val=&quot;6E3A4328&quot;/&gt;&lt;wsp:rsid wsp:val=&quot;6E9852ED&quot;/&gt;&lt;wsp:rsid wsp:val=&quot;6EB826D6&quot;/&gt;&lt;wsp:rsid wsp:val=&quot;6F3F0791&quot;/&gt;&lt;wsp:rsid wsp:val=&quot;7039390D&quot;/&gt;&lt;wsp:rsid wsp:val=&quot;704857D2&quot;/&gt;&lt;wsp:rsid wsp:val=&quot;70AD34E2&quot;/&gt;&lt;wsp:rsid wsp:val=&quot;70F31224&quot;/&gt;&lt;wsp:rsid wsp:val=&quot;710418E1&quot;/&gt;&lt;wsp:rsid wsp:val=&quot;71946E48&quot;/&gt;&lt;wsp:rsid wsp:val=&quot;723412BE&quot;/&gt;&lt;wsp:rsid wsp:val=&quot;728F7361&quot;/&gt;&lt;wsp:rsid wsp:val=&quot;72A65046&quot;/&gt;&lt;wsp:rsid wsp:val=&quot;732A5EA0&quot;/&gt;&lt;wsp:rsid wsp:val=&quot;733B144C&quot;/&gt;&lt;wsp:rsid wsp:val=&quot;734F28B9&quot;/&gt;&lt;wsp:rsid wsp:val=&quot;73890EE2&quot;/&gt;&lt;wsp:rsid wsp:val=&quot;73C85B40&quot;/&gt;&lt;wsp:rsid wsp:val=&quot;741802A5&quot;/&gt;&lt;wsp:rsid wsp:val=&quot;74390556&quot;/&gt;&lt;wsp:rsid wsp:val=&quot;747C3740&quot;/&gt;&lt;wsp:rsid wsp:val=&quot;74F26A35&quot;/&gt;&lt;wsp:rsid wsp:val=&quot;75B51ECF&quot;/&gt;&lt;wsp:rsid wsp:val=&quot;75EA47CE&quot;/&gt;&lt;wsp:rsid wsp:val=&quot;76426669&quot;/&gt;&lt;wsp:rsid wsp:val=&quot;76964626&quot;/&gt;&lt;wsp:rsid wsp:val=&quot;769A15AF&quot;/&gt;&lt;wsp:rsid wsp:val=&quot;775C53AC&quot;/&gt;&lt;wsp:rsid wsp:val=&quot;77B1317B&quot;/&gt;&lt;wsp:rsid wsp:val=&quot;77B31097&quot;/&gt;&lt;wsp:rsid wsp:val=&quot;7810051E&quot;/&gt;&lt;wsp:rsid wsp:val=&quot;7861350B&quot;/&gt;&lt;wsp:rsid wsp:val=&quot;786765F6&quot;/&gt;&lt;wsp:rsid wsp:val=&quot;78BC04E7&quot;/&gt;&lt;wsp:rsid wsp:val=&quot;78D57477&quot;/&gt;&lt;wsp:rsid wsp:val=&quot;79241D3B&quot;/&gt;&lt;wsp:rsid wsp:val=&quot;79A56B50&quot;/&gt;&lt;wsp:rsid wsp:val=&quot;79F7592F&quot;/&gt;&lt;wsp:rsid wsp:val=&quot;7A2F5A92&quot;/&gt;&lt;wsp:rsid wsp:val=&quot;7A6F0610&quot;/&gt;&lt;wsp:rsid wsp:val=&quot;7A751A95&quot;/&gt;&lt;wsp:rsid wsp:val=&quot;7A7D3826&quot;/&gt;&lt;wsp:rsid wsp:val=&quot;7AC82A82&quot;/&gt;&lt;wsp:rsid wsp:val=&quot;7B082B9B&quot;/&gt;&lt;wsp:rsid wsp:val=&quot;7B2E6E84&quot;/&gt;&lt;wsp:rsid wsp:val=&quot;7B3C0C28&quot;/&gt;&lt;wsp:rsid wsp:val=&quot;7B46149E&quot;/&gt;&lt;wsp:rsid wsp:val=&quot;7B48074C&quot;/&gt;&lt;wsp:rsid wsp:val=&quot;7B480EC1&quot;/&gt;&lt;wsp:rsid wsp:val=&quot;7BA44CE6&quot;/&gt;&lt;wsp:rsid wsp:val=&quot;7BD82EEA&quot;/&gt;&lt;wsp:rsid wsp:val=&quot;7BEA7714&quot;/&gt;&lt;wsp:rsid wsp:val=&quot;7BF074D5&quot;/&gt;&lt;wsp:rsid wsp:val=&quot;7BF25FCB&quot;/&gt;&lt;wsp:rsid wsp:val=&quot;7BF37812&quot;/&gt;&lt;wsp:rsid wsp:val=&quot;7C6B0C53&quot;/&gt;&lt;wsp:rsid wsp:val=&quot;7CC410F0&quot;/&gt;&lt;wsp:rsid wsp:val=&quot;7CCE4C27&quot;/&gt;&lt;wsp:rsid wsp:val=&quot;7CEF4309&quot;/&gt;&lt;wsp:rsid wsp:val=&quot;7DB25215&quot;/&gt;&lt;wsp:rsid wsp:val=&quot;7DD07E94&quot;/&gt;&lt;wsp:rsid wsp:val=&quot;7DDE28E3&quot;/&gt;&lt;wsp:rsid wsp:val=&quot;7E0D3668&quot;/&gt;&lt;wsp:rsid wsp:val=&quot;7E9A2C34&quot;/&gt;&lt;wsp:rsid wsp:val=&quot;7E9C025C&quot;/&gt;&lt;wsp:rsid wsp:val=&quot;7EAE30ED&quot;/&gt;&lt;wsp:rsid wsp:val=&quot;7ED047DB&quot;/&gt;&lt;wsp:rsid wsp:val=&quot;7ED2154C&quot;/&gt;&lt;wsp:rsid wsp:val=&quot;7F041C24&quot;/&gt;&lt;wsp:rsid wsp:val=&quot;7F0C0256&quot;/&gt;&lt;wsp:rsid wsp:val=&quot;7F3C19F3&quot;/&gt;&lt;wsp:rsid wsp:val=&quot;7F6A04A2&quot;/&gt;&lt;/wsp:rsids&gt;&lt;/w:docPr&gt;&lt;w:body&gt;&lt;w:p wsp:rsidR=&quot;00000000&quot; wsp:rsidRDefault=&quot;002F6598&quot;&gt;&lt;w:pPr&gt;&lt;w:rPr&gt;&lt;wx:font wx:val=&quot;新宋体&quot;/&gt;&lt;/w:rPr&gt;&lt;/w:pPr&gt;&lt;m:oMathPara&gt;&lt;m:oMF04F04F04F04F04F04F04F04F04F04F04F04F04F04F04F04F04F04F04F04F04F04F04F04F04F04F04F04F04F04F04F04F04F04F04F04F04F04F04F04F04F04F04F04F04F04F04F04F04F04F04F04F04F04F04F04F04F04F04F04F04F04F04at41Ch&gt;&lt;m:r&gt;&lt;m:rPr&gt;&lt;m:sty m:val=&quot;p&quot;/&gt;&lt;/m:rPr&gt;&lt;w:rPr&gt;&lt;w:rFonts w:ascii=&quot;Cambria Math&quot; w:fareast=&quot;宋?4? 04w:h04-an04si=04&quot;Ca04mbr04ia 04Mat04h&quot;/04&gt;&lt;w04x:f04ont04 wx04:va04l=&quot;04Cam04bri04a M04ath04&quot;/&gt;04&lt;w:04sz-04cs 04w:v04al=04&quot;2404&quot;/&gt;04&lt;/w04:rP04r&gt;&lt;04m:t04&gt;δF04&lt;/mF04:t&gt;F04&lt;/mF04:r&gt;F04&lt;/mF04:oMF04athF04&gt;&lt;/F04m:oF04MatF04hPaFii04r&quot;Ca&gt;Fmb04&lt;ia/wFMa04:h&quot;p&gt;Fw:04&lt;arw:Fas04s=&quot;ecF?404tPr4F04 w4sF04p4:rF044sidF044R=&quot;04041C04000004&quot;&gt;&lt;w:4pgSz 4w:w=&quot;4122404&quot; w:h4=&quot;158440&quot;/&gt;4&lt;w:pg4Mar w4:top=4&quot;14404&quot; w:r4ight=4&quot;18004&quot; w:b4ottom4=&quot;14440&quot; w:4left=4&quot;18004&quot; w:h4eader4=&quot;7204&quot; w:footer=&quot;720&quot; w:gutter=&quot;0&quot;/&gt;&lt;w:cols w:space=&quot;720&quot;/&gt;&lt;/w:sectPr&gt;&lt;/w:body&gt;&lt;/w:wordDocument">
            <v:path/>
            <v:fill on="f" focussize="0,0"/>
            <v:stroke on="f"/>
            <v:imagedata r:id="rId118" chromakey="#FFFFFF" o:title=""/>
            <o:lock v:ext="edit" aspectratio="t"/>
            <w10:wrap type="none"/>
            <w10:anchorlock/>
          </v:shape>
        </w:pict>
      </w:r>
      <w:r>
        <w:rPr>
          <w:rFonts w:ascii="Times New Roman" w:hAnsi="Times New Roman"/>
          <w:szCs w:val="24"/>
          <w:highlight w:val="none"/>
          <w:vertAlign w:val="subscript"/>
        </w:rPr>
        <w:instrText xml:space="preserve"> </w:instrText>
      </w:r>
      <w:r>
        <w:rPr>
          <w:rFonts w:ascii="Times New Roman" w:hAnsi="Times New Roman"/>
          <w:szCs w:val="24"/>
          <w:highlight w:val="none"/>
          <w:vertAlign w:val="subscript"/>
        </w:rPr>
        <w:fldChar w:fldCharType="separate"/>
      </w:r>
      <w:r>
        <w:rPr>
          <w:rFonts w:ascii="Times New Roman" w:hAnsi="Times New Roman" w:eastAsia="新宋体"/>
          <w:position w:val="-15"/>
          <w:szCs w:val="21"/>
          <w:highlight w:val="none"/>
        </w:rPr>
        <w:pict>
          <v:shape id="_x0000_i1037" o:spt="75" type="#_x0000_t75" style="height:23.15pt;width:6.25pt;" filled="f" o:preferrelative="t" stroked="f" coordsize="21600,21600"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isplayBackgroundShape/&gt;&lt;w:doNotEmbedSystemFonts/&gt;&lt;w:hideSpellingErrors/&gt;&lt;w:stylePaneFormatFilter w:val=&quot;3828&quot;/&gt;&lt;w:defaultTabStop w:val=&quot;420&quot;/&gt;&lt;w:drawingGridHorizontalSpacing w:val=&quot;105&quot;/&gt;&lt;w:drawingGridVerticalSpacing w:val=&quot;156&quot;/&gt;&lt;w:characterSpacingControl w:val=&quot;CompressPunctuation&quot;/&gt;&lt;w:webPageEncoding w:val=&quot;x-cp20936&quot;/&gt;&lt;w:optimizeForBrowser/&gt;&lt;w:savePreviewPicture/&gt;&lt;w:validateAgainstSchema w:val=&quot;off&quot;/&gt;&lt;w:saveInvalidXML w:val=&quot;off&quot;/&gt;&lt;w:ignoreMixedContent w:val=&quot;off&quot;/&gt;&lt;w:alwaysShowPlaceholderText w:val=&quot;off&quot;/&gt;&lt;w:doNotUnderlineInvalidXML/&gt;&lt;w:compat&gt;&lt;w:spaceForUL/&gt;&lt;w:balanceSingleByteDoubleByteWidth/&gt;&lt;w:doNotLeaveBackslashAlone/&gt;&lt;w:doNotExpandShiftReturn/&gt;&lt;w:adjustLineHeightInTable/&gt;&lt;w:breakWrappedTables/&gt;&lt;w:snapToGridInCell/&gt;&lt;w:dontGrowAutofit/&gt;&lt;w:useFELayout/&gt;&lt;/w:compat&gt;&lt;wsp:rsids&gt;&lt;wsp:rsidRoot wsp:val=&quot;00E25665&quot;/&gt;&lt;wsp:rsid wsp:val=&quot;000002F4&quot;/&gt;&lt;wsp:rsid wsp:val=&quot;00000996&quot;/&gt;&lt;wsp:rsid wsp:val=&quot;00000E1D&quot;/&gt;&lt;wsp:rsid wsp:val=&quot;00001111&quot;/&gt;&lt;wsp:rsid wsp:val=&quot;00001386&quot;/&gt;&lt;wsp:rsid wsp:val=&quot;00001B75&quot;/&gt;&lt;wsp:rsid wsp:val=&quot;00001D9E&quot;/&gt;&lt;wsp:rsid wsp:val=&quot;00002045&quot;/&gt;&lt;wsp:rsid wsp:val=&quot;0000266B&quot;/&gt;&lt;wsp:rsid wsp:val=&quot;00002E81&quot;/&gt;&lt;wsp:rsid wsp:val=&quot;000039AE&quot;/&gt;&lt;wsp:rsid wsp:val=&quot;00003DE4&quot;/&gt;&lt;wsp:rsid wsp:val=&quot;00003EDA&quot;/&gt;&lt;wsp:rsid wsp:val=&quot;0000494C&quot;/&gt;&lt;wsp:rsid wsp:val=&quot;00005521&quot;/&gt;&lt;wsp:rsid wsp:val=&quot;0000584D&quot;/&gt;&lt;wsp:rsid wsp:val=&quot;000058CC&quot;/&gt;&lt;wsp:rsid wsp:val=&quot;0000614F&quot;/&gt;&lt;wsp:rsid wsp:val=&quot;000064AB&quot;/&gt;&lt;wsp:rsid wsp:val=&quot;0000666C&quot;/&gt;&lt;wsp:rsid wsp:val=&quot;00006688&quot;/&gt;&lt;wsp:rsid wsp:val=&quot;000066CD&quot;/&gt;&lt;wsp:rsid wsp:val=&quot;0000695C&quot;/&gt;&lt;wsp:rsid wsp:val=&quot;000070B2&quot;/&gt;&lt;wsp:rsid wsp:val=&quot;00007363&quot;/&gt;&lt;wsp:rsid wsp:val=&quot;000076E0&quot;/&gt;&lt;wsp:rsid wsp:val=&quot;00007980&quot;/&gt;&lt;wsp:rsid wsp:val=&quot;00007C80&quot;/&gt;&lt;wsp:rsid wsp:val=&quot;00010141&quot;/&gt;&lt;wsp:rsid wsp:val=&quot;00010194&quot;/&gt;&lt;wsp:rsid wsp:val=&quot;0001030E&quot;/&gt;&lt;wsp:rsid wsp:val=&quot;000104E0&quot;/&gt;&lt;wsp:rsid wsp:val=&quot;00010A0B&quot;/&gt;&lt;wsp:rsid wsp:val=&quot;00010E6A&quot;/&gt;&lt;wsp:rsid wsp:val=&quot;00010E85&quot;/&gt;&lt;wsp:rsid wsp:val=&quot;00010FD3&quot;/&gt;&lt;wsp:rsid wsp:val=&quot;00011186&quot;/&gt;&lt;wsp:rsid wsp:val=&quot;00011C7F&quot;/&gt;&lt;wsp:rsid wsp:val=&quot;00011DA5&quot;/&gt;&lt;wsp:rsid wsp:val=&quot;00012A4A&quot;/&gt;&lt;wsp:rsid wsp:val=&quot;00012B34&quot;/&gt;&lt;wsp:rsid wsp:val=&quot;00012B68&quot;/&gt;&lt;wsp:rsid wsp:val=&quot;00012ED9&quot;/&gt;&lt;wsp:rsid wsp:val=&quot;0001305C&quot;/&gt;&lt;wsp:rsid wsp:val=&quot;00013190&quot;/&gt;&lt;wsp:rsid wsp:val=&quot;00013279&quot;/&gt;&lt;wsp:rsid wsp:val=&quot;000136FD&quot;/&gt;&lt;wsp:rsid wsp:val=&quot;000137BF&quot;/&gt;&lt;wsp:rsid wsp:val=&quot;000138C0&quot;/&gt;&lt;wsp:rsid wsp:val=&quot;00013CC2&quot;/&gt;&lt;wsp:rsid wsp:val=&quot;00014352&quot;/&gt;&lt;wsp:rsid wsp:val=&quot;000144D4&quot;/&gt;&lt;wsp:rsid wsp:val=&quot;00014C0C&quot;/&gt;&lt;wsp:rsid wsp:val=&quot;00014DBC&quot;/&gt;&lt;wsp:rsid wsp:val=&quot;00015013&quot;/&gt;&lt;wsp:rsid wsp:val=&quot;000151CB&quot;/&gt;&lt;wsp:rsid wsp:val=&quot;00015882&quot;/&gt;&lt;wsp:rsid wsp:val=&quot;00016693&quot;/&gt;&lt;wsp:rsid wsp:val=&quot;000177A7&quot;/&gt;&lt;wsp:rsid wsp:val=&quot;00017E37&quot;/&gt;&lt;wsp:rsid wsp:val=&quot;0002118C&quot;/&gt;&lt;wsp:rsid wsp:val=&quot;000212D8&quot;/&gt;&lt;wsp:rsid wsp:val=&quot;00021E7E&quot;/&gt;&lt;wsp:rsid wsp:val=&quot;00021F5A&quot;/&gt;&lt;wsp:rsid wsp:val=&quot;000225E0&quot;/&gt;&lt;wsp:rsid wsp:val=&quot;00022F93&quot;/&gt;&lt;wsp:rsid wsp:val=&quot;00023085&quot;/&gt;&lt;wsp:rsid wsp:val=&quot;00024048&quot;/&gt;&lt;wsp:rsid wsp:val=&quot;00024205&quot;/&gt;&lt;wsp:rsid wsp:val=&quot;000248BA&quot;/&gt;&lt;wsp:rsid wsp:val=&quot;0002508E&quot;/&gt;&lt;wsp:rsid wsp:val=&quot;0002526D&quot;/&gt;&lt;wsp:rsid wsp:val=&quot;00025A27&quot;/&gt;&lt;wsp:rsid wsp:val=&quot;00025D08&quot;/&gt;&lt;wsp:rsid wsp:val=&quot;000263BE&quot;/&gt;&lt;wsp:rsid wsp:val=&quot;000264D7&quot;/&gt;&lt;wsp:rsid wsp:val=&quot;000264DF&quot;/&gt;&lt;wsp:rsid wsp:val=&quot;00026B71&quot;/&gt;&lt;wsp:rsid wsp:val=&quot;00026F6B&quot;/&gt;&lt;wsp:rsid wsp:val=&quot;00030030&quot;/&gt;&lt;wsp:rsid wsp:val=&quot;000305A5&quot;/&gt;&lt;wsp:rsid wsp:val=&quot;0003084A&quot;/&gt;&lt;wsp:rsid wsp:val=&quot;00030C93&quot;/&gt;&lt;wsp:rsid wsp:val=&quot;00031182&quot;/&gt;&lt;wsp:rsid wsp:val=&quot;00032A51&quot;/&gt;&lt;wsp:rsid wsp:val=&quot;00032A8F&quot;/&gt;&lt;wsp:rsid wsp:val=&quot;0003362E&quot;/&gt;&lt;wsp:rsid wsp:val=&quot;0003467F&quot;/&gt;&lt;wsp:rsid wsp:val=&quot;00034AAF&quot;/&gt;&lt;wsp:rsid wsp:val=&quot;000350F0&quot;/&gt;&lt;wsp:rsid wsp:val=&quot;000357BE&quot;/&gt;&lt;wsp:rsid wsp:val=&quot;00035A62&quot;/&gt;&lt;wsp:rsid wsp:val=&quot;00035C0E&quot;/&gt;&lt;wsp:rsid wsp:val=&quot;00035D98&quot;/&gt;&lt;wsp:rsid wsp:val=&quot;00035FD0&quot;/&gt;&lt;wsp:rsid wsp:val=&quot;0003649D&quot;/&gt;&lt;wsp:rsid wsp:val=&quot;00036700&quot;/&gt;&lt;wsp:rsid wsp:val=&quot;00036D9C&quot;/&gt;&lt;wsp:rsid wsp:val=&quot;00036E45&quot;/&gt;&lt;wsp:rsid wsp:val=&quot;00037850&quot;/&gt;&lt;wsp:rsid wsp:val=&quot;00037ABA&quot;/&gt;&lt;wsp:rsid wsp:val=&quot;00037B31&quot;/&gt;&lt;wsp:rsid wsp:val=&quot;000400EF&quot;/&gt;&lt;wsp:rsid wsp:val=&quot;00040499&quot;/&gt;&lt;wsp:rsid wsp:val=&quot;000405AF&quot;/&gt;&lt;wsp:rsid wsp:val=&quot;000413AE&quot;/&gt;&lt;wsp:rsid wsp:val=&quot;00041503&quot;/&gt;&lt;wsp:rsid wsp:val=&quot;0004194D&quot;/&gt;&lt;wsp:rsid wsp:val=&quot;000421AF&quot;/&gt;&lt;wsp:rsid wsp:val=&quot;00042378&quot;/&gt;&lt;wsp:rsid wsp:val=&quot;0004362D&quot;/&gt;&lt;wsp:rsid wsp:val=&quot;00043AE3&quot;/&gt;&lt;wsp:rsid wsp:val=&quot;00043E78&quot;/&gt;&lt;wsp:rsid wsp:val=&quot;00044185&quot;/&gt;&lt;wsp:rsid wsp:val=&quot;0004468D&quot;/&gt;&lt;wsp:rsid wsp:val=&quot;00044CBA&quot;/&gt;&lt;wsp:rsid wsp:val=&quot;000451D6&quot;/&gt;&lt;wsp:rsid wsp:val=&quot;00045759&quot;/&gt;&lt;wsp:rsid wsp:val=&quot;00045A0C&quot;/&gt;&lt;wsp:rsid wsp:val=&quot;00045B6C&quot;/&gt;&lt;wsp:rsid wsp:val=&quot;000462D3&quot;/&gt;&lt;wsp:rsid wsp:val=&quot;0004631C&quot;/&gt;&lt;wsp:rsid wsp:val=&quot;000463D1&quot;/&gt;&lt;wsp:rsid wsp:val=&quot;0004686E&quot;/&gt;&lt;wsp:rsid wsp:val=&quot;00046C7B&quot;/&gt;&lt;wsp:rsid wsp:val=&quot;00046DAC&quot;/&gt;&lt;wsp:rsid wsp:val=&quot;0004712E&quot;/&gt;&lt;wsp:rsid wsp:val=&quot;00047301&quot;/&gt;&lt;wsp:rsid wsp:val=&quot;000474B5&quot;/&gt;&lt;wsp:rsid wsp:val=&quot;00047D0C&quot;/&gt;&lt;wsp:rsid wsp:val=&quot;00047E34&quot;/&gt;&lt;wsp:rsid wsp:val=&quot;00050561&quot;/&gt;&lt;wsp:rsid wsp:val=&quot;0005094A&quot;/&gt;&lt;wsp:rsid wsp:val=&quot;00050D11&quot;/&gt;&lt;wsp:rsid wsp:val=&quot;00050D6A&quot;/&gt;&lt;wsp:rsid wsp:val=&quot;000515CD&quot;/&gt;&lt;wsp:rsid wsp:val=&quot;00051838&quot;/&gt;&lt;wsp:rsid wsp:val=&quot;00051A77&quot;/&gt;&lt;wsp:rsid wsp:val=&quot;0005211F&quot;/&gt;&lt;wsp:rsid wsp:val=&quot;00052F29&quot;/&gt;&lt;wsp:rsid wsp:val=&quot;0005323C&quot;/&gt;&lt;wsp:rsid wsp:val=&quot;000540A4&quot;/&gt;&lt;wsp:rsid wsp:val=&quot;0005422F&quot;/&gt;&lt;wsp:rsid wsp:val=&quot;00054374&quot;/&gt;&lt;wsp:rsid wsp:val=&quot;000543CC&quot;/&gt;&lt;wsp:rsid wsp:val=&quot;00054835&quot;/&gt;&lt;wsp:rsid wsp:val=&quot;00054B5C&quot;/&gt;&lt;wsp:rsid wsp:val=&quot;00054B78&quot;/&gt;&lt;wsp:rsid wsp:val=&quot;00055105&quot;/&gt;&lt;wsp:rsid wsp:val=&quot;00055237&quot;/&gt;&lt;wsp:rsid wsp:val=&quot;000556CB&quot;/&gt;&lt;wsp:rsid wsp:val=&quot;0005573A&quot;/&gt;&lt;wsp:rsid wsp:val=&quot;00055937&quot;/&gt;&lt;wsp:rsid wsp:val=&quot;00055BC7&quot;/&gt;&lt;wsp:rsid wsp:val=&quot;00056413&quot;/&gt;&lt;wsp:rsid wsp:val=&quot;00056646&quot;/&gt;&lt;wsp:rsid wsp:val=&quot;00056C64&quot;/&gt;&lt;wsp:rsid wsp:val=&quot;00056D5A&quot;/&gt;&lt;wsp:rsid wsp:val=&quot;00057295&quot;/&gt;&lt;wsp:rsid wsp:val=&quot;000572E4&quot;/&gt;&lt;wsp:rsid wsp:val=&quot;000579DF&quot;/&gt;&lt;wsp:rsid wsp:val=&quot;00057E8B&quot;/&gt;&lt;wsp:rsid wsp:val=&quot;0006020C&quot;/&gt;&lt;wsp:rsid wsp:val=&quot;0006023D&quot;/&gt;&lt;wsp:rsid wsp:val=&quot;000607D2&quot;/&gt;&lt;wsp:rsid wsp:val=&quot;0006092E&quot;/&gt;&lt;wsp:rsid wsp:val=&quot;00060C90&quot;/&gt;&lt;wsp:rsid wsp:val=&quot;0006138B&quot;/&gt;&lt;wsp:rsid wsp:val=&quot;00061757&quot;/&gt;&lt;wsp:rsid wsp:val=&quot;00062483&quot;/&gt;&lt;wsp:rsid wsp:val=&quot;00062777&quot;/&gt;&lt;wsp:rsid wsp:val=&quot;000627EA&quot;/&gt;&lt;wsp:rsid wsp:val=&quot;00062C40&quot;/&gt;&lt;wsp:rsid wsp:val=&quot;00062E2F&quot;/&gt;&lt;wsp:rsid wsp:val=&quot;00062FAC&quot;/&gt;&lt;wsp:rsid wsp:val=&quot;000633EB&quot;/&gt;&lt;wsp:rsid wsp:val=&quot;000645D0&quot;/&gt;&lt;wsp:rsid wsp:val=&quot;00064954&quot;/&gt;&lt;wsp:rsid wsp:val=&quot;00064C74&quot;/&gt;&lt;wsp:rsid wsp:val=&quot;0006505A&quot;/&gt;&lt;wsp:rsid wsp:val=&quot;0006564E&quot;/&gt;&lt;wsp:rsid wsp:val=&quot;00065A4A&quot;/&gt;&lt;wsp:rsid wsp:val=&quot;000665D0&quot;/&gt;&lt;wsp:rsid wsp:val=&quot;00066A9B&quot;/&gt;&lt;wsp:rsid wsp:val=&quot;00066AEC&quot;/&gt;&lt;wsp:rsid wsp:val=&quot;00066BC2&quot;/&gt;&lt;wsp:rsid wsp:val=&quot;000674EE&quot;/&gt;&lt;wsp:rsid wsp:val=&quot;00070549&quot;/&gt;&lt;wsp:rsid wsp:val=&quot;0007133C&quot;/&gt;&lt;wsp:rsid wsp:val=&quot;0007186E&quot;/&gt;&lt;wsp:rsid wsp:val=&quot;00071B75&quot;/&gt;&lt;wsp:rsid wsp:val=&quot;00071FE6&quot;/&gt;&lt;wsp:rsid wsp:val=&quot;0007224A&quot;/&gt;&lt;wsp:rsid wsp:val=&quot;000725F5&quot;/&gt;&lt;wsp:rsid wsp:val=&quot;00072BFF&quot;/&gt;&lt;wsp:rsid wsp:val=&quot;00072DD1&quot;/&gt;&lt;wsp:rsid wsp:val=&quot;00072E57&quot;/&gt;&lt;wsp:rsid wsp:val=&quot;000737E6&quot;/&gt;&lt;wsp:rsid wsp:val=&quot;00073ADB&quot;/&gt;&lt;wsp:rsid wsp:val=&quot;00073C23&quot;/&gt;&lt;wsp:rsid wsp:val=&quot;00074275&quot;/&gt;&lt;wsp:rsid wsp:val=&quot;000747A4&quot;/&gt;&lt;wsp:rsid wsp:val=&quot;00074E84&quot;/&gt;&lt;wsp:rsid wsp:val=&quot;00075C75&quot;/&gt;&lt;wsp:rsid wsp:val=&quot;00075CA8&quot;/&gt;&lt;wsp:rsid wsp:val=&quot;000764F6&quot;/&gt;&lt;wsp:rsid wsp:val=&quot;00076C0F&quot;/&gt;&lt;wsp:rsid wsp:val=&quot;00076C58&quot;/&gt;&lt;wsp:rsid wsp:val=&quot;0008008D&quot;/&gt;&lt;wsp:rsid wsp:val=&quot;00080170&quot;/&gt;&lt;wsp:rsid wsp:val=&quot;0008048F&quot;/&gt;&lt;wsp:rsid wsp:val=&quot;00080ABD&quot;/&gt;&lt;wsp:rsid wsp:val=&quot;00080AFF&quot;/&gt;&lt;wsp:rsid wsp:val=&quot;00080CEF&quot;/&gt;&lt;wsp:rsid wsp:val=&quot;00080F08&quot;/&gt;&lt;wsp:rsid wsp:val=&quot;00080FC8&quot;/&gt;&lt;wsp:rsid wsp:val=&quot;0008168C&quot;/&gt;&lt;wsp:rsid wsp:val=&quot;00081FF1&quot;/&gt;&lt;wsp:rsid wsp:val=&quot;0008214C&quot;/&gt;&lt;wsp:rsid wsp:val=&quot;00082547&quot;/&gt;&lt;wsp:rsid wsp:val=&quot;0008259A&quot;/&gt;&lt;wsp:rsid wsp:val=&quot;000825F8&quot;/&gt;&lt;wsp:rsid wsp:val=&quot;00082C43&quot;/&gt;&lt;wsp:rsid wsp:val=&quot;0008413E&quot;/&gt;&lt;wsp:rsid wsp:val=&quot;0008436B&quot;/&gt;&lt;wsp:rsid wsp:val=&quot;00084389&quot;/&gt;&lt;wsp:rsid wsp:val=&quot;00084589&quot;/&gt;&lt;wsp:rsid wsp:val=&quot;0008462C&quot;/&gt;&lt;wsp:rsid wsp:val=&quot;00084813&quot;/&gt;&lt;wsp:rsid wsp:val=&quot;00084887&quot;/&gt;&lt;wsp:rsid wsp:val=&quot;00084A08&quot;/&gt;&lt;wsp:rsid wsp:val=&quot;000852AA&quot;/&gt;&lt;wsp:rsid wsp:val=&quot;00085319&quot;/&gt;&lt;wsp:rsid wsp:val=&quot;00085624&quot;/&gt;&lt;wsp:rsid wsp:val=&quot;00085A70&quot;/&gt;&lt;wsp:rsid wsp:val=&quot;00085BF1&quot;/&gt;&lt;wsp:rsid wsp:val=&quot;00086A76&quot;/&gt;&lt;wsp:rsid wsp:val=&quot;00086C64&quot;/&gt;&lt;wsp:rsid wsp:val=&quot;00086D52&quot;/&gt;&lt;wsp:rsid wsp:val=&quot;00086E6F&quot;/&gt;&lt;wsp:rsid wsp:val=&quot;00086E74&quot;/&gt;&lt;wsp:rsid wsp:val=&quot;00087258&quot;/&gt;&lt;wsp:rsid wsp:val=&quot;000872C5&quot;/&gt;&lt;wsp:rsid wsp:val=&quot;000876CE&quot;/&gt;&lt;wsp:rsid wsp:val=&quot;00087806&quot;/&gt;&lt;wsp:rsid wsp:val=&quot;00087C51&quot;/&gt;&lt;wsp:rsid wsp:val=&quot;00087E4F&quot;/&gt;&lt;wsp:rsid wsp:val=&quot;00087FB3&quot;/&gt;&lt;wsp:rsid wsp:val=&quot;0009008A&quot;/&gt;&lt;wsp:rsid wsp:val=&quot;00090176&quot;/&gt;&lt;wsp:rsid wsp:val=&quot;00090457&quot;/&gt;&lt;wsp:rsid wsp:val=&quot;000909A2&quot;/&gt;&lt;wsp:rsid wsp:val=&quot;000912A8&quot;/&gt;&lt;wsp:rsid wsp:val=&quot;0009159D&quot;/&gt;&lt;wsp:rsid wsp:val=&quot;00091926&quot;/&gt;&lt;wsp:rsid wsp:val=&quot;00091DA8&quot;/&gt;&lt;wsp:rsid wsp:val=&quot;0009297A&quot;/&gt;&lt;wsp:rsid wsp:val=&quot;00092AED&quot;/&gt;&lt;wsp:rsid wsp:val=&quot;00093248&quot;/&gt;&lt;wsp:rsid wsp:val=&quot;00093714&quot;/&gt;&lt;wsp:rsid wsp:val=&quot;0009387C&quot;/&gt;&lt;wsp:rsid wsp:val=&quot;0009407B&quot;/&gt;&lt;wsp:rsid wsp:val=&quot;00094D3B&quot;/&gt;&lt;wsp:rsid wsp:val=&quot;000955F6&quot;/&gt;&lt;wsp:rsid wsp:val=&quot;00095D99&quot;/&gt;&lt;wsp:rsid wsp:val=&quot;00095F41&quot;/&gt;&lt;wsp:rsid wsp:val=&quot;000967AB&quot;/&gt;&lt;wsp:rsid wsp:val=&quot;00096DD7&quot;/&gt;&lt;wsp:rsid wsp:val=&quot;00097C64&quot;/&gt;&lt;wsp:rsid wsp:val=&quot;000A023D&quot;/&gt;&lt;wsp:rsid wsp:val=&quot;000A02BA&quot;/&gt;&lt;wsp:rsid wsp:val=&quot;000A0793&quot;/&gt;&lt;wsp:rsid wsp:val=&quot;000A0F58&quot;/&gt;&lt;wsp:rsid wsp:val=&quot;000A1024&quot;/&gt;&lt;wsp:rsid wsp:val=&quot;000A1E19&quot;/&gt;&lt;wsp:rsid wsp:val=&quot;000A1EB9&quot;/&gt;&lt;wsp:rsid wsp:val=&quot;000A20A0&quot;/&gt;&lt;wsp:rsid wsp:val=&quot;000A242E&quot;/&gt;&lt;wsp:rsid wsp:val=&quot;000A2BFA&quot;/&gt;&lt;wsp:rsid wsp:val=&quot;000A2D6A&quot;/&gt;&lt;wsp:rsid wsp:val=&quot;000A3340&quot;/&gt;&lt;wsp:rsid wsp:val=&quot;000A3A40&quot;/&gt;&lt;wsp:rsid wsp:val=&quot;000A3D88&quot;/&gt;&lt;wsp:rsid wsp:val=&quot;000A42B3&quot;/&gt;&lt;wsp:rsid wsp:val=&quot;000A4656&quot;/&gt;&lt;wsp:rsid wsp:val=&quot;000A4A64&quot;/&gt;&lt;wsp:rsid wsp:val=&quot;000A4C57&quot;/&gt;&lt;wsp:rsid wsp:val=&quot;000A4CA2&quot;/&gt;&lt;wsp:rsid wsp:val=&quot;000A4D26&quot;/&gt;&lt;wsp:rsid wsp:val=&quot;000A542D&quot;/&gt;&lt;wsp:rsid wsp:val=&quot;000A54E2&quot;/&gt;&lt;wsp:rsid wsp:val=&quot;000A5DAD&quot;/&gt;&lt;wsp:rsid wsp:val=&quot;000A66E8&quot;/&gt;&lt;wsp:rsid wsp:val=&quot;000A67A7&quot;/&gt;&lt;wsp:rsid wsp:val=&quot;000A7FD9&quot;/&gt;&lt;wsp:rsid wsp:val=&quot;000B027D&quot;/&gt;&lt;wsp:rsid wsp:val=&quot;000B0939&quot;/&gt;&lt;wsp:rsid wsp:val=&quot;000B0B7A&quot;/&gt;&lt;wsp:rsid wsp:val=&quot;000B0C07&quot;/&gt;&lt;wsp:rsid wsp:val=&quot;000B0D22&quot;/&gt;&lt;wsp:rsid wsp:val=&quot;000B0F74&quot;/&gt;&lt;wsp:rsid wsp:val=&quot;000B10E8&quot;/&gt;&lt;wsp:rsid wsp:val=&quot;000B1E94&quot;/&gt;&lt;wsp:rsid wsp:val=&quot;000B2381&quot;/&gt;&lt;wsp:rsid wsp:val=&quot;000B24B1&quot;/&gt;&lt;wsp:rsid wsp:val=&quot;000B2631&quot;/&gt;&lt;wsp:rsid wsp:val=&quot;000B2A57&quot;/&gt;&lt;wsp:rsid wsp:val=&quot;000B2FE1&quot;/&gt;&lt;wsp:rsid wsp:val=&quot;000B331B&quot;/&gt;&lt;wsp:rsid wsp:val=&quot;000B352B&quot;/&gt;&lt;wsp:rsid wsp:val=&quot;000B3677&quot;/&gt;&lt;wsp:rsid wsp:val=&quot;000B3F1A&quot;/&gt;&lt;wsp:rsid wsp:val=&quot;000B4B0A&quot;/&gt;&lt;wsp:rsid wsp:val=&quot;000B5140&quot;/&gt;&lt;wsp:rsid wsp:val=&quot;000B56DD&quot;/&gt;&lt;wsp:rsid wsp:val=&quot;000B5869&quot;/&gt;&lt;wsp:rsid wsp:val=&quot;000B5E86&quot;/&gt;&lt;wsp:rsid wsp:val=&quot;000B6231&quot;/&gt;&lt;wsp:rsid wsp:val=&quot;000B6499&quot;/&gt;&lt;wsp:rsid wsp:val=&quot;000B6507&quot;/&gt;&lt;wsp:rsid wsp:val=&quot;000B672B&quot;/&gt;&lt;wsp:rsid wsp:val=&quot;000B6EF9&quot;/&gt;&lt;wsp:rsid wsp:val=&quot;000B7B15&quot;/&gt;&lt;wsp:rsid wsp:val=&quot;000B7F5D&quot;/&gt;&lt;wsp:rsid wsp:val=&quot;000B7FA5&quot;/&gt;&lt;wsp:rsid wsp:val=&quot;000C012A&quot;/&gt;&lt;wsp:rsid wsp:val=&quot;000C024B&quot;/&gt;&lt;wsp:rsid wsp:val=&quot;000C04AC&quot;/&gt;&lt;wsp:rsid wsp:val=&quot;000C05A3&quot;/&gt;&lt;wsp:rsid wsp:val=&quot;000C0602&quot;/&gt;&lt;wsp:rsid wsp:val=&quot;000C06D5&quot;/&gt;&lt;wsp:rsid wsp:val=&quot;000C079E&quot;/&gt;&lt;wsp:rsid wsp:val=&quot;000C0F24&quot;/&gt;&lt;wsp:rsid wsp:val=&quot;000C144D&quot;/&gt;&lt;wsp:rsid wsp:val=&quot;000C18CC&quot;/&gt;&lt;wsp:rsid wsp:val=&quot;000C191E&quot;/&gt;&lt;wsp:rsid wsp:val=&quot;000C198B&quot;/&gt;&lt;wsp:rsid wsp:val=&quot;000C1E23&quot;/&gt;&lt;wsp:rsid wsp:val=&quot;000C2381&quot;/&gt;&lt;wsp:rsid wsp:val=&quot;000C251B&quot;/&gt;&lt;wsp:rsid wsp:val=&quot;000C2EBB&quot;/&gt;&lt;wsp:rsid wsp:val=&quot;000C32B2&quot;/&gt;&lt;wsp:rsid wsp:val=&quot;000C3544&quot;/&gt;&lt;wsp:rsid wsp:val=&quot;000C455A&quot;/&gt;&lt;wsp:rsid wsp:val=&quot;000C4859&quot;/&gt;&lt;wsp:rsid wsp:val=&quot;000C4A04&quot;/&gt;&lt;wsp:rsid wsp:val=&quot;000C4CEC&quot;/&gt;&lt;wsp:rsid wsp:val=&quot;000C520B&quot;/&gt;&lt;wsp:rsid wsp:val=&quot;000C5427&quot;/&gt;&lt;wsp:rsid wsp:val=&quot;000C55F3&quot;/&gt;&lt;wsp:rsid wsp:val=&quot;000C5608&quot;/&gt;&lt;wsp:rsid wsp:val=&quot;000C5CC8&quot;/&gt;&lt;wsp:rsid wsp:val=&quot;000C5E37&quot;/&gt;&lt;wsp:rsid wsp:val=&quot;000C5EFC&quot;/&gt;&lt;wsp:rsid wsp:val=&quot;000C74EB&quot;/&gt;&lt;wsp:rsid wsp:val=&quot;000C7967&quot;/&gt;&lt;wsp:rsid wsp:val=&quot;000C7AAD&quot;/&gt;&lt;wsp:rsid wsp:val=&quot;000D0087&quot;/&gt;&lt;wsp:rsid wsp:val=&quot;000D01A5&quot;/&gt;&lt;wsp:rsid wsp:val=&quot;000D0590&quot;/&gt;&lt;wsp:rsid wsp:val=&quot;000D0A84&quot;/&gt;&lt;wsp:rsid wsp:val=&quot;000D11FD&quot;/&gt;&lt;wsp:rsid wsp:val=&quot;000D159B&quot;/&gt;&lt;wsp:rsid wsp:val=&quot;000D196A&quot;/&gt;&lt;wsp:rsid wsp:val=&quot;000D1EF7&quot;/&gt;&lt;wsp:rsid wsp:val=&quot;000D2140&quot;/&gt;&lt;wsp:rsid wsp:val=&quot;000D2444&quot;/&gt;&lt;wsp:rsid wsp:val=&quot;000D252E&quot;/&gt;&lt;wsp:rsid wsp:val=&quot;000D3396&quot;/&gt;&lt;wsp:rsid wsp:val=&quot;000D3792&quot;/&gt;&lt;wsp:rsid wsp:val=&quot;000D3BDA&quot;/&gt;&lt;wsp:rsid wsp:val=&quot;000D3C9A&quot;/&gt;&lt;wsp:rsid wsp:val=&quot;000D448D&quot;/&gt;&lt;wsp:rsid wsp:val=&quot;000D4656&quot;/&gt;&lt;wsp:rsid wsp:val=&quot;000D5AD5&quot;/&gt;&lt;wsp:rsid wsp:val=&quot;000D5D8D&quot;/&gt;&lt;wsp:rsid wsp:val=&quot;000D60B1&quot;/&gt;&lt;wsp:rsid wsp:val=&quot;000D6B8B&quot;/&gt;&lt;wsp:rsid wsp:val=&quot;000D6C82&quot;/&gt;&lt;wsp:rsid wsp:val=&quot;000D6D59&quot;/&gt;&lt;wsp:rsid wsp:val=&quot;000D7E4A&quot;/&gt;&lt;wsp:rsid wsp:val=&quot;000D7E96&quot;/&gt;&lt;wsp:rsid wsp:val=&quot;000E016E&quot;/&gt;&lt;wsp:rsid wsp:val=&quot;000E0239&quot;/&gt;&lt;wsp:rsid wsp:val=&quot;000E0374&quot;/&gt;&lt;wsp:rsid wsp:val=&quot;000E0578&quot;/&gt;&lt;wsp:rsid wsp:val=&quot;000E0598&quot;/&gt;&lt;wsp:rsid wsp:val=&quot;000E072C&quot;/&gt;&lt;wsp:rsid wsp:val=&quot;000E077E&quot;/&gt;&lt;wsp:rsid wsp:val=&quot;000E0D28&quot;/&gt;&lt;wsp:rsid wsp:val=&quot;000E0FDE&quot;/&gt;&lt;wsp:rsid wsp:val=&quot;000E12A0&quot;/&gt;&lt;wsp:rsid wsp:val=&quot;000E1F2A&quot;/&gt;&lt;wsp:rsid wsp:val=&quot;000E1F52&quot;/&gt;&lt;wsp:rsid wsp:val=&quot;000E21F3&quot;/&gt;&lt;wsp:rsid wsp:val=&quot;000E2C84&quot;/&gt;&lt;wsp:rsid wsp:val=&quot;000E3120&quot;/&gt;&lt;wsp:rsid wsp:val=&quot;000E3F11&quot;/&gt;&lt;wsp:rsid wsp:val=&quot;000E3FD2&quot;/&gt;&lt;wsp:rsid wsp:val=&quot;000E61E1&quot;/&gt;&lt;wsp:rsid wsp:val=&quot;000E69C6&quot;/&gt;&lt;wsp:rsid wsp:val=&quot;000E6C6D&quot;/&gt;&lt;wsp:rsid wsp:val=&quot;000E6EF5&quot;/&gt;&lt;wsp:rsid wsp:val=&quot;000E7167&quot;/&gt;&lt;wsp:rsid wsp:val=&quot;000E781F&quot;/&gt;&lt;wsp:rsid wsp:val=&quot;000E7AC1&quot;/&gt;&lt;wsp:rsid wsp:val=&quot;000E7F7D&quot;/&gt;&lt;wsp:rsid wsp:val=&quot;000F05AB&quot;/&gt;&lt;wsp:rsid wsp:val=&quot;000F05B5&quot;/&gt;&lt;wsp:rsid wsp:val=&quot;000F0E67&quot;/&gt;&lt;wsp:rsid wsp:val=&quot;000F1037&quot;/&gt;&lt;wsp:rsid wsp:val=&quot;000F17A8&quot;/&gt;&lt;wsp:rsid wsp:val=&quot;000F1DFE&quot;/&gt;&lt;wsp:rsid wsp:val=&quot;000F1EC9&quot;/&gt;&lt;wsp:rsid wsp:val=&quot;000F1ED6&quot;/&gt;&lt;wsp:rsid wsp:val=&quot;000F262B&quot;/&gt;&lt;wsp:rsid wsp:val=&quot;000F32C4&quot;/&gt;&lt;wsp:rsid wsp:val=&quot;000F35BC&quot;/&gt;&lt;wsp:rsid wsp:val=&quot;000F391F&quot;/&gt;&lt;wsp:rsid wsp:val=&quot;000F3AB3&quot;/&gt;&lt;wsp:rsid wsp:val=&quot;000F4024&quot;/&gt;&lt;wsp:rsid wsp:val=&quot;000F4205&quot;/&gt;&lt;wsp:rsid wsp:val=&quot;000F44F4&quot;/&gt;&lt;wsp:rsid wsp:val=&quot;000F48E2&quot;/&gt;&lt;wsp:rsid wsp:val=&quot;000F4EB4&quot;/&gt;&lt;wsp:rsid wsp:val=&quot;000F53DE&quot;/&gt;&lt;wsp:rsid wsp:val=&quot;000F53ED&quot;/&gt;&lt;wsp:rsid wsp:val=&quot;000F55B2&quot;/&gt;&lt;wsp:rsid wsp:val=&quot;000F5E33&quot;/&gt;&lt;wsp:rsid wsp:val=&quot;000F5F42&quot;/&gt;&lt;wsp:rsid wsp:val=&quot;000F68AD&quot;/&gt;&lt;wsp:rsid wsp:val=&quot;000F692E&quot;/&gt;&lt;wsp:rsid wsp:val=&quot;000F6DAE&quot;/&gt;&lt;wsp:rsid wsp:val=&quot;000F78E3&quot;/&gt;&lt;wsp:rsid wsp:val=&quot;000F79B5&quot;/&gt;&lt;wsp:rsid wsp:val=&quot;000F7BF5&quot;/&gt;&lt;wsp:rsid wsp:val=&quot;000F7CF0&quot;/&gt;&lt;wsp:rsid wsp:val=&quot;001009AE&quot;/&gt;&lt;wsp:rsid wsp:val=&quot;00101150&quot;/&gt;&lt;wsp:rsid wsp:val=&quot;00101773&quot;/&gt;&lt;wsp:rsid wsp:val=&quot;00101C15&quot;/&gt;&lt;wsp:rsid wsp:val=&quot;0010240E&quot;/&gt;&lt;wsp:rsid wsp:val=&quot;001026E3&quot;/&gt;&lt;wsp:rsid wsp:val=&quot;00102994&quot;/&gt;&lt;wsp:rsid wsp:val=&quot;00103442&quot;/&gt;&lt;wsp:rsid wsp:val=&quot;00103BD7&quot;/&gt;&lt;wsp:rsid wsp:val=&quot;001041D7&quot;/&gt;&lt;wsp:rsid wsp:val=&quot;00104254&quot;/&gt;&lt;wsp:rsid wsp:val=&quot;00104656&quot;/&gt;&lt;wsp:rsid wsp:val=&quot;00104799&quot;/&gt;&lt;wsp:rsid wsp:val=&quot;00105331&quot;/&gt;&lt;wsp:rsid wsp:val=&quot;0010633C&quot;/&gt;&lt;wsp:rsid wsp:val=&quot;00106758&quot;/&gt;&lt;wsp:rsid wsp:val=&quot;001072F7&quot;/&gt;&lt;wsp:rsid wsp:val=&quot;00107579&quot;/&gt;&lt;wsp:rsid wsp:val=&quot;0010772F&quot;/&gt;&lt;wsp:rsid wsp:val=&quot;00107BA5&quot;/&gt;&lt;wsp:rsid wsp:val=&quot;00107E85&quot;/&gt;&lt;wsp:rsid wsp:val=&quot;0011034A&quot;/&gt;&lt;wsp:rsid wsp:val=&quot;0011040E&quot;/&gt;&lt;wsp:rsid wsp:val=&quot;00110973&quot;/&gt;&lt;wsp:rsid wsp:val=&quot;001115E4&quot;/&gt;&lt;wsp:rsid wsp:val=&quot;001119C0&quot;/&gt;&lt;wsp:rsid wsp:val=&quot;00112439&quot;/&gt;&lt;wsp:rsid wsp:val=&quot;00112807&quot;/&gt;&lt;wsp:rsid wsp:val=&quot;001128B5&quot;/&gt;&lt;wsp:rsid wsp:val=&quot;00112ACA&quot;/&gt;&lt;wsp:rsid wsp:val=&quot;001130F4&quot;/&gt;&lt;wsp:rsid wsp:val=&quot;00113554&quot;/&gt;&lt;wsp:rsid wsp:val=&quot;001136F5&quot;/&gt;&lt;wsp:rsid wsp:val=&quot;001137A5&quot;/&gt;&lt;wsp:rsid wsp:val=&quot;001137E8&quot;/&gt;&lt;wsp:rsid wsp:val=&quot;00113972&quot;/&gt;&lt;wsp:rsid wsp:val=&quot;00113D54&quot;/&gt;&lt;wsp:rsid wsp:val=&quot;0011404D&quot;/&gt;&lt;wsp:rsid wsp:val=&quot;00114056&quot;/&gt;&lt;wsp:rsid wsp:val=&quot;00114671&quot;/&gt;&lt;wsp:rsid wsp:val=&quot;00114B05&quot;/&gt;&lt;wsp:rsid wsp:val=&quot;00114C88&quot;/&gt;&lt;wsp:rsid wsp:val=&quot;00115149&quot;/&gt;&lt;wsp:rsid wsp:val=&quot;0011553E&quot;/&gt;&lt;wsp:rsid wsp:val=&quot;0011601D&quot;/&gt;&lt;wsp:rsid wsp:val=&quot;001163F8&quot;/&gt;&lt;wsp:rsid wsp:val=&quot;001167AB&quot;/&gt;&lt;wsp:rsid wsp:val=&quot;00116F7F&quot;/&gt;&lt;wsp:rsid wsp:val=&quot;0011741C&quot;/&gt;&lt;wsp:rsid wsp:val=&quot;00117449&quot;/&gt;&lt;wsp:rsid wsp:val=&quot;0011747B&quot;/&gt;&lt;wsp:rsid wsp:val=&quot;00117571&quot;/&gt;&lt;wsp:rsid wsp:val=&quot;00117D73&quot;/&gt;&lt;wsp:rsid wsp:val=&quot;00117E16&quot;/&gt;&lt;wsp:rsid wsp:val=&quot;001201A9&quot;/&gt;&lt;wsp:rsid wsp:val=&quot;0012048A&quot;/&gt;&lt;wsp:rsid wsp:val=&quot;001204A5&quot;/&gt;&lt;wsp:rsid wsp:val=&quot;00120A5F&quot;/&gt;&lt;wsp:rsid wsp:val=&quot;00121050&quot;/&gt;&lt;wsp:rsid wsp:val=&quot;0012185A&quot;/&gt;&lt;wsp:rsid wsp:val=&quot;001218FC&quot;/&gt;&lt;wsp:rsid wsp:val=&quot;00121A25&quot;/&gt;&lt;wsp:rsid wsp:val=&quot;00121C3E&quot;/&gt;&lt;wsp:rsid wsp:val=&quot;0012201F&quot;/&gt;&lt;wsp:rsid wsp:val=&quot;00122278&quot;/&gt;&lt;wsp:rsid wsp:val=&quot;00122744&quot;/&gt;&lt;wsp:rsid wsp:val=&quot;00122D23&quot;/&gt;&lt;wsp:rsid wsp:val=&quot;0012334E&quot;/&gt;&lt;wsp:rsid wsp:val=&quot;00123601&quot;/&gt;&lt;wsp:rsid wsp:val=&quot;0012404A&quot;/&gt;&lt;wsp:rsid wsp:val=&quot;00124829&quot;/&gt;&lt;wsp:rsid wsp:val=&quot;00125444&quot;/&gt;&lt;wsp:rsid wsp:val=&quot;001257C2&quot;/&gt;&lt;wsp:rsid wsp:val=&quot;00125ADE&quot;/&gt;&lt;wsp:rsid wsp:val=&quot;00125AF6&quot;/&gt;&lt;wsp:rsid wsp:val=&quot;00125BD2&quot;/&gt;&lt;wsp:rsid wsp:val=&quot;00125E06&quot;/&gt;&lt;wsp:rsid wsp:val=&quot;00125F5A&quot;/&gt;&lt;wsp:rsid wsp:val=&quot;001263C0&quot;/&gt;&lt;wsp:rsid wsp:val=&quot;00126789&quot;/&gt;&lt;wsp:rsid wsp:val=&quot;0012684E&quot;/&gt;&lt;wsp:rsid wsp:val=&quot;00126C59&quot;/&gt;&lt;wsp:rsid wsp:val=&quot;00127975&quot;/&gt;&lt;wsp:rsid wsp:val=&quot;00127CF8&quot;/&gt;&lt;wsp:rsid wsp:val=&quot;00127DAD&quot;/&gt;&lt;wsp:rsid wsp:val=&quot;00127E99&quot;/&gt;&lt;wsp:rsid wsp:val=&quot;00127EF0&quot;/&gt;&lt;wsp:rsid wsp:val=&quot;00127F11&quot;/&gt;&lt;wsp:rsid wsp:val=&quot;00130120&quot;/&gt;&lt;wsp:rsid wsp:val=&quot;00130190&quot;/&gt;&lt;wsp:rsid wsp:val=&quot;0013019D&quot;/&gt;&lt;wsp:rsid wsp:val=&quot;001302B3&quot;/&gt;&lt;wsp:rsid wsp:val=&quot;001314D8&quot;/&gt;&lt;wsp:rsid wsp:val=&quot;0013166B&quot;/&gt;&lt;wsp:rsid wsp:val=&quot;00131850&quot;/&gt;&lt;wsp:rsid wsp:val=&quot;0013199B&quot;/&gt;&lt;wsp:rsid wsp:val=&quot;00131A5B&quot;/&gt;&lt;wsp:rsid wsp:val=&quot;00131F55&quot;/&gt;&lt;wsp:rsid wsp:val=&quot;00132714&quot;/&gt;&lt;wsp:rsid wsp:val=&quot;00132833&quot;/&gt;&lt;wsp:rsid wsp:val=&quot;00132A30&quot;/&gt;&lt;wsp:rsid wsp:val=&quot;00132D20&quot;/&gt;&lt;wsp:rsid wsp:val=&quot;001330DD&quot;/&gt;&lt;wsp:rsid wsp:val=&quot;00133A36&quot;/&gt;&lt;wsp:rsid wsp:val=&quot;00133A73&quot;/&gt;&lt;wsp:rsid wsp:val=&quot;00133AC4&quot;/&gt;&lt;wsp:rsid wsp:val=&quot;00133B58&quot;/&gt;&lt;wsp:rsid wsp:val=&quot;00134591&quot;/&gt;&lt;wsp:rsid wsp:val=&quot;001347D7&quot;/&gt;&lt;wsp:rsid wsp:val=&quot;0013485E&quot;/&gt;&lt;wsp:rsid wsp:val=&quot;00135340&quot;/&gt;&lt;wsp:rsid wsp:val=&quot;00136214&quot;/&gt;&lt;wsp:rsid wsp:val=&quot;00136711&quot;/&gt;&lt;wsp:rsid wsp:val=&quot;00136C3F&quot;/&gt;&lt;wsp:rsid wsp:val=&quot;001373C8&quot;/&gt;&lt;wsp:rsid wsp:val=&quot;00137481&quot;/&gt;&lt;wsp:rsid wsp:val=&quot;00140249&quot;/&gt;&lt;wsp:rsid wsp:val=&quot;00140A69&quot;/&gt;&lt;wsp:rsid wsp:val=&quot;00140D48&quot;/&gt;&lt;wsp:rsid wsp:val=&quot;001413A0&quot;/&gt;&lt;wsp:rsid wsp:val=&quot;001419C9&quot;/&gt;&lt;wsp:rsid wsp:val=&quot;00141A18&quot;/&gt;&lt;wsp:rsid wsp:val=&quot;00141B17&quot;/&gt;&lt;wsp:rsid wsp:val=&quot;00141BFF&quot;/&gt;&lt;wsp:rsid wsp:val=&quot;00141C46&quot;/&gt;&lt;wsp:rsid wsp:val=&quot;001426D9&quot;/&gt;&lt;wsp:rsid wsp:val=&quot;001427EA&quot;/&gt;&lt;wsp:rsid wsp:val=&quot;00142AC7&quot;/&gt;&lt;wsp:rsid wsp:val=&quot;0014306E&quot;/&gt;&lt;wsp:rsid wsp:val=&quot;00143F31&quot;/&gt;&lt;wsp:rsid wsp:val=&quot;00143F9A&quot;/&gt;&lt;wsp:rsid wsp:val=&quot;00144201&quot;/&gt;&lt;wsp:rsid wsp:val=&quot;0014458D&quot;/&gt;&lt;wsp:rsid wsp:val=&quot;00144CEC&quot;/&gt;&lt;wsp:rsid wsp:val=&quot;001453AC&quot;/&gt;&lt;wsp:rsid wsp:val=&quot;00145B32&quot;/&gt;&lt;wsp:rsid wsp:val=&quot;00145C18&quot;/&gt;&lt;wsp:rsid wsp:val=&quot;00145C56&quot;/&gt;&lt;wsp:rsid wsp:val=&quot;00145C82&quot;/&gt;&lt;wsp:rsid wsp:val=&quot;001467B8&quot;/&gt;&lt;wsp:rsid wsp:val=&quot;001468C0&quot;/&gt;&lt;wsp:rsid wsp:val=&quot;00147444&quot;/&gt;&lt;wsp:rsid wsp:val=&quot;001478D8&quot;/&gt;&lt;wsp:rsid wsp:val=&quot;00147E0D&quot;/&gt;&lt;wsp:rsid wsp:val=&quot;00147FC2&quot;/&gt;&lt;wsp:rsid wsp:val=&quot;00150833&quot;/&gt;&lt;wsp:rsid wsp:val=&quot;00152A42&quot;/&gt;&lt;wsp:rsid wsp:val=&quot;0015325B&quot;/&gt;&lt;wsp:rsid wsp:val=&quot;00153FC1&quot;/&gt;&lt;wsp:rsid wsp:val=&quot;00154067&quot;/&gt;&lt;wsp:rsid wsp:val=&quot;0015438C&quot;/&gt;&lt;wsp:rsid wsp:val=&quot;00154830&quot;/&gt;&lt;wsp:rsid wsp:val=&quot;00154D75&quot;/&gt;&lt;wsp:rsid wsp:val=&quot;0015602C&quot;/&gt;&lt;wsp:rsid wsp:val=&quot;0015638D&quot;/&gt;&lt;wsp:rsid wsp:val=&quot;001563E7&quot;/&gt;&lt;wsp:rsid wsp:val=&quot;00156902&quot;/&gt;&lt;wsp:rsid wsp:val=&quot;00156E56&quot;/&gt;&lt;wsp:rsid wsp:val=&quot;00156EC2&quot;/&gt;&lt;wsp:rsid wsp:val=&quot;0015704F&quot;/&gt;&lt;wsp:rsid wsp:val=&quot;001574C4&quot;/&gt;&lt;wsp:rsid wsp:val=&quot;00157569&quot;/&gt;&lt;wsp:rsid wsp:val=&quot;0015759B&quot;/&gt;&lt;wsp:rsid wsp:val=&quot;00157C14&quot;/&gt;&lt;wsp:rsid wsp:val=&quot;00157CA8&quot;/&gt;&lt;wsp:rsid wsp:val=&quot;00160CD4&quot;/&gt;&lt;wsp:rsid wsp:val=&quot;00160FB2&quot;/&gt;&lt;wsp:rsid wsp:val=&quot;001610AE&quot;/&gt;&lt;wsp:rsid wsp:val=&quot;00161770&quot;/&gt;&lt;wsp:rsid wsp:val=&quot;00161B2E&quot;/&gt;&lt;wsp:rsid wsp:val=&quot;00161E44&quot;/&gt;&lt;wsp:rsid wsp:val=&quot;001620F1&quot;/&gt;&lt;wsp:rsid wsp:val=&quot;001621F9&quot;/&gt;&lt;wsp:rsid wsp:val=&quot;00162BCF&quot;/&gt;&lt;wsp:rsid wsp:val=&quot;00163148&quot;/&gt;&lt;wsp:rsid wsp:val=&quot;00163B68&quot;/&gt;&lt;wsp:rsid wsp:val=&quot;00163F27&quot;/&gt;&lt;wsp:rsid wsp:val=&quot;001645AC&quot;/&gt;&lt;wsp:rsid wsp:val=&quot;0016475D&quot;/&gt;&lt;wsp:rsid wsp:val=&quot;00164BA4&quot;/&gt;&lt;wsp:rsid wsp:val=&quot;00164F30&quot;/&gt;&lt;wsp:rsid wsp:val=&quot;001651F8&quot;/&gt;&lt;wsp:rsid wsp:val=&quot;001658B0&quot;/&gt;&lt;wsp:rsid wsp:val=&quot;00165D04&quot;/&gt;&lt;wsp:rsid wsp:val=&quot;00166253&quot;/&gt;&lt;wsp:rsid wsp:val=&quot;00166384&quot;/&gt;&lt;wsp:rsid wsp:val=&quot;00166792&quot;/&gt;&lt;wsp:rsid wsp:val=&quot;0016693B&quot;/&gt;&lt;wsp:rsid wsp:val=&quot;00166DB8&quot;/&gt;&lt;wsp:rsid wsp:val=&quot;00166DFE&quot;/&gt;&lt;wsp:rsid wsp:val=&quot;00166F1A&quot;/&gt;&lt;wsp:rsid wsp:val=&quot;00166FD2&quot;/&gt;&lt;wsp:rsid wsp:val=&quot;0016712D&quot;/&gt;&lt;wsp:rsid wsp:val=&quot;001707FB&quot;/&gt;&lt;wsp:rsid wsp:val=&quot;00170844&quot;/&gt;&lt;wsp:rsid wsp:val=&quot;0017109E&quot;/&gt;&lt;wsp:rsid wsp:val=&quot;0017110B&quot;/&gt;&lt;wsp:rsid wsp:val=&quot;0017111C&quot;/&gt;&lt;wsp:rsid wsp:val=&quot;00171639&quot;/&gt;&lt;wsp:rsid wsp:val=&quot;00171815&quot;/&gt;&lt;wsp:rsid wsp:val=&quot;00171879&quot;/&gt;&lt;wsp:rsid wsp:val=&quot;0017236A&quot;/&gt;&lt;wsp:rsid wsp:val=&quot;00172373&quot;/&gt;&lt;wsp:rsid wsp:val=&quot;0017304A&quot;/&gt;&lt;wsp:rsid wsp:val=&quot;00173832&quot;/&gt;&lt;wsp:rsid wsp:val=&quot;00174EC9&quot;/&gt;&lt;wsp:rsid wsp:val=&quot;00175131&quot;/&gt;&lt;wsp:rsid wsp:val=&quot;0017555E&quot;/&gt;&lt;wsp:rsid wsp:val=&quot;00175B7D&quot;/&gt;&lt;wsp:rsid wsp:val=&quot;00175F2E&quot;/&gt;&lt;wsp:rsid wsp:val=&quot;0017604D&quot;/&gt;&lt;wsp:rsid wsp:val=&quot;001760AA&quot;/&gt;&lt;wsp:rsid wsp:val=&quot;00176270&quot;/&gt;&lt;wsp:rsid wsp:val=&quot;00176428&quot;/&gt;&lt;wsp:rsid wsp:val=&quot;00176566&quot;/&gt;&lt;wsp:rsid wsp:val=&quot;00176876&quot;/&gt;&lt;wsp:rsid wsp:val=&quot;00176930&quot;/&gt;&lt;wsp:rsid wsp:val=&quot;00176B28&quot;/&gt;&lt;wsp:rsid wsp:val=&quot;00176D23&quot;/&gt;&lt;wsp:rsid wsp:val=&quot;00177447&quot;/&gt;&lt;wsp:rsid wsp:val=&quot;001775EB&quot;/&gt;&lt;wsp:rsid wsp:val=&quot;001776CD&quot;/&gt;&lt;wsp:rsid wsp:val=&quot;00177921&quot;/&gt;&lt;wsp:rsid wsp:val=&quot;00177AA2&quot;/&gt;&lt;wsp:rsid wsp:val=&quot;00180353&quot;/&gt;&lt;wsp:rsid wsp:val=&quot;001805A1&quot;/&gt;&lt;wsp:rsid wsp:val=&quot;00180634&quot;/&gt;&lt;wsp:rsid wsp:val=&quot;0018074A&quot;/&gt;&lt;wsp:rsid wsp:val=&quot;00180BD8&quot;/&gt;&lt;wsp:rsid wsp:val=&quot;001816DA&quot;/&gt;&lt;wsp:rsid wsp:val=&quot;001816F5&quot;/&gt;&lt;wsp:rsid wsp:val=&quot;00181BD1&quot;/&gt;&lt;wsp:rsid wsp:val=&quot;00181CEB&quot;/&gt;&lt;wsp:rsid wsp:val=&quot;0018270D&quot;/&gt;&lt;wsp:rsid wsp:val=&quot;00182A99&quot;/&gt;&lt;wsp:rsid wsp:val=&quot;00182D0B&quot;/&gt;&lt;wsp:rsid wsp:val=&quot;00182D84&quot;/&gt;&lt;wsp:rsid wsp:val=&quot;00182FD2&quot;/&gt;&lt;wsp:rsid wsp:val=&quot;00183041&quot;/&gt;&lt;wsp:rsid wsp:val=&quot;00183289&quot;/&gt;&lt;wsp:rsid wsp:val=&quot;00183380&quot;/&gt;&lt;wsp:rsid wsp:val=&quot;0018362B&quot;/&gt;&lt;wsp:rsid wsp:val=&quot;0018379D&quot;/&gt;&lt;wsp:rsid wsp:val=&quot;001841C8&quot;/&gt;&lt;wsp:rsid wsp:val=&quot;00184522&quot;/&gt;&lt;wsp:rsid wsp:val=&quot;001847F2&quot;/&gt;&lt;wsp:rsid wsp:val=&quot;00184B1C&quot;/&gt;&lt;wsp:rsid wsp:val=&quot;001852A7&quot;/&gt;&lt;wsp:rsid wsp:val=&quot;001854AD&quot;/&gt;&lt;wsp:rsid wsp:val=&quot;00185ECC&quot;/&gt;&lt;wsp:rsid wsp:val=&quot;001863F1&quot;/&gt;&lt;wsp:rsid wsp:val=&quot;001867B2&quot;/&gt;&lt;wsp:rsid wsp:val=&quot;00186CEC&quot;/&gt;&lt;wsp:rsid wsp:val=&quot;00186FBA&quot;/&gt;&lt;wsp:rsid wsp:val=&quot;00187062&quot;/&gt;&lt;wsp:rsid wsp:val=&quot;00187718&quot;/&gt;&lt;wsp:rsid wsp:val=&quot;00187B9A&quot;/&gt;&lt;wsp:rsid wsp:val=&quot;001907A7&quot;/&gt;&lt;wsp:rsid wsp:val=&quot;00190F9E&quot;/&gt;&lt;wsp:rsid wsp:val=&quot;00191821&quot;/&gt;&lt;wsp:rsid wsp:val=&quot;00191B06&quot;/&gt;&lt;wsp:rsid wsp:val=&quot;00192CE3&quot;/&gt;&lt;wsp:rsid wsp:val=&quot;00193097&quot;/&gt;&lt;wsp:rsid wsp:val=&quot;001936CA&quot;/&gt;&lt;wsp:rsid wsp:val=&quot;00193DE0&quot;/&gt;&lt;wsp:rsid wsp:val=&quot;0019435B&quot;/&gt;&lt;wsp:rsid wsp:val=&quot;001948C3&quot;/&gt;&lt;wsp:rsid wsp:val=&quot;001949FF&quot;/&gt;&lt;wsp:rsid wsp:val=&quot;0019502B&quot;/&gt;&lt;wsp:rsid wsp:val=&quot;00195167&quot;/&gt;&lt;wsp:rsid wsp:val=&quot;001954D7&quot;/&gt;&lt;wsp:rsid wsp:val=&quot;0019641F&quot;/&gt;&lt;wsp:rsid wsp:val=&quot;00196C1F&quot;/&gt;&lt;wsp:rsid wsp:val=&quot;00196F2C&quot;/&gt;&lt;wsp:rsid wsp:val=&quot;00197002&quot;/&gt;&lt;wsp:rsid wsp:val=&quot;001A08F5&quot;/&gt;&lt;wsp:rsid wsp:val=&quot;001A0E79&quot;/&gt;&lt;wsp:rsid wsp:val=&quot;001A0EFE&quot;/&gt;&lt;wsp:rsid wsp:val=&quot;001A1369&quot;/&gt;&lt;wsp:rsid wsp:val=&quot;001A1A5C&quot;/&gt;&lt;wsp:rsid wsp:val=&quot;001A1A9A&quot;/&gt;&lt;wsp:rsid wsp:val=&quot;001A1BE3&quot;/&gt;&lt;wsp:rsid wsp:val=&quot;001A1D3B&quot;/&gt;&lt;wsp:rsid wsp:val=&quot;001A2599&quot;/&gt;&lt;wsp:rsid wsp:val=&quot;001A2903&quot;/&gt;&lt;wsp:rsid wsp:val=&quot;001A2D51&quot;/&gt;&lt;wsp:rsid wsp:val=&quot;001A316F&quot;/&gt;&lt;wsp:rsid wsp:val=&quot;001A358C&quot;/&gt;&lt;wsp:rsid wsp:val=&quot;001A376B&quot;/&gt;&lt;wsp:rsid wsp:val=&quot;001A38EC&quot;/&gt;&lt;wsp:rsid wsp:val=&quot;001A3A44&quot;/&gt;&lt;wsp:rsid wsp:val=&quot;001A3AF9&quot;/&gt;&lt;wsp:rsid wsp:val=&quot;001A3D03&quot;/&gt;&lt;wsp:rsid wsp:val=&quot;001A4018&quot;/&gt;&lt;wsp:rsid wsp:val=&quot;001A4998&quot;/&gt;&lt;wsp:rsid wsp:val=&quot;001A4A71&quot;/&gt;&lt;wsp:rsid wsp:val=&quot;001A4DE8&quot;/&gt;&lt;wsp:rsid wsp:val=&quot;001A4EE8&quot;/&gt;&lt;wsp:rsid wsp:val=&quot;001A5C77&quot;/&gt;&lt;wsp:rsid wsp:val=&quot;001A5DEE&quot;/&gt;&lt;wsp:rsid wsp:val=&quot;001A6457&quot;/&gt;&lt;wsp:rsid wsp:val=&quot;001A6969&quot;/&gt;&lt;wsp:rsid wsp:val=&quot;001A6F28&quot;/&gt;&lt;wsp:rsid wsp:val=&quot;001A7ACC&quot;/&gt;&lt;wsp:rsid wsp:val=&quot;001A7B31&quot;/&gt;&lt;wsp:rsid wsp:val=&quot;001A7C27&quot;/&gt;&lt;wsp:rsid wsp:val=&quot;001B0646&quot;/&gt;&lt;wsp:rsid wsp:val=&quot;001B11EF&quot;/&gt;&lt;wsp:rsid wsp:val=&quot;001B1435&quot;/&gt;&lt;wsp:rsid wsp:val=&quot;001B183F&quot;/&gt;&lt;wsp:rsid wsp:val=&quot;001B1961&quot;/&gt;&lt;wsp:rsid wsp:val=&quot;001B1976&quot;/&gt;&lt;wsp:rsid wsp:val=&quot;001B1D63&quot;/&gt;&lt;wsp:rsid wsp:val=&quot;001B2396&quot;/&gt;&lt;wsp:rsid wsp:val=&quot;001B2D6F&quot;/&gt;&lt;wsp:rsid wsp:val=&quot;001B3103&quot;/&gt;&lt;wsp:rsid wsp:val=&quot;001B3671&quot;/&gt;&lt;wsp:rsid wsp:val=&quot;001B3910&quot;/&gt;&lt;wsp:rsid wsp:val=&quot;001B3AFF&quot;/&gt;&lt;wsp:rsid wsp:val=&quot;001B3E4A&quot;/&gt;&lt;wsp:rsid wsp:val=&quot;001B490C&quot;/&gt;&lt;wsp:rsid wsp:val=&quot;001B49DB&quot;/&gt;&lt;wsp:rsid wsp:val=&quot;001B57D1&quot;/&gt;&lt;wsp:rsid wsp:val=&quot;001B59E7&quot;/&gt;&lt;wsp:rsid wsp:val=&quot;001B5A3C&quot;/&gt;&lt;wsp:rsid wsp:val=&quot;001B6367&quot;/&gt;&lt;wsp:rsid wsp:val=&quot;001B6FDE&quot;/&gt;&lt;wsp:rsid wsp:val=&quot;001B751F&quot;/&gt;&lt;wsp:rsid wsp:val=&quot;001B7550&quot;/&gt;&lt;wsp:rsid wsp:val=&quot;001B7976&quot;/&gt;&lt;wsp:rsid wsp:val=&quot;001C08A0&quot;/&gt;&lt;wsp:rsid wsp:val=&quot;001C0ACA&quot;/&gt;&lt;wsp:rsid wsp:val=&quot;001C0C7C&quot;/&gt;&lt;wsp:rsid wsp:val=&quot;001C0CB0&quot;/&gt;&lt;wsp:rsid wsp:val=&quot;001C11F4&quot;/&gt;&lt;wsp:rsid wsp:val=&quot;001C14F3&quot;/&gt;&lt;wsp:rsid wsp:val=&quot;001C18C0&quot;/&gt;&lt;wsp:rsid wsp:val=&quot;001C18EC&quot;/&gt;&lt;wsp:rsid wsp:val=&quot;001C259C&quot;/&gt;&lt;wsp:rsid wsp:val=&quot;001C289A&quot;/&gt;&lt;wsp:rsid wsp:val=&quot;001C2E80&quot;/&gt;&lt;wsp:rsid wsp:val=&quot;001C310B&quot;/&gt;&lt;wsp:rsid wsp:val=&quot;001C3335&quot;/&gt;&lt;wsp:rsid wsp:val=&quot;001C3A9C&quot;/&gt;&lt;wsp:rsid wsp:val=&quot;001C3DC3&quot;/&gt;&lt;wsp:rsid wsp:val=&quot;001C4377&quot;/&gt;&lt;wsp:rsid wsp:val=&quot;001C47EC&quot;/&gt;&lt;wsp:rsid wsp:val=&quot;001C4BDE&quot;/&gt;&lt;wsp:rsid wsp:val=&quot;001C4D95&quot;/&gt;&lt;wsp:rsid wsp:val=&quot;001C4E19&quot;/&gt;&lt;wsp:rsid wsp:val=&quot;001C511E&quot;/&gt;&lt;wsp:rsid wsp:val=&quot;001C5470&quot;/&gt;&lt;wsp:rsid wsp:val=&quot;001C605A&quot;/&gt;&lt;wsp:rsid wsp:val=&quot;001C6274&quot;/&gt;&lt;wsp:rsid wsp:val=&quot;001C65A9&quot;/&gt;&lt;wsp:rsid wsp:val=&quot;001C6CB1&quot;/&gt;&lt;wsp:rsid wsp:val=&quot;001C6EC0&quot;/&gt;&lt;wsp:rsid wsp:val=&quot;001C7102&quot;/&gt;&lt;wsp:rsid wsp:val=&quot;001C73E7&quot;/&gt;&lt;wsp:rsid wsp:val=&quot;001C7475&quot;/&gt;&lt;wsp:rsid wsp:val=&quot;001C74A3&quot;/&gt;&lt;wsp:rsid wsp:val=&quot;001D005A&quot;/&gt;&lt;wsp:rsid wsp:val=&quot;001D0516&quot;/&gt;&lt;wsp:rsid wsp:val=&quot;001D0AA7&quot;/&gt;&lt;wsp:rsid wsp:val=&quot;001D0CC6&quot;/&gt;&lt;wsp:rsid wsp:val=&quot;001D1299&quot;/&gt;&lt;wsp:rsid wsp:val=&quot;001D14E5&quot;/&gt;&lt;wsp:rsid wsp:val=&quot;001D15AC&quot;/&gt;&lt;wsp:rsid wsp:val=&quot;001D162D&quot;/&gt;&lt;wsp:rsid wsp:val=&quot;001D197B&quot;/&gt;&lt;wsp:rsid wsp:val=&quot;001D1C19&quot;/&gt;&lt;wsp:rsid wsp:val=&quot;001D1CB4&quot;/&gt;&lt;wsp:rsid wsp:val=&quot;001D2A08&quot;/&gt;&lt;wsp:rsid wsp:val=&quot;001D3457&quot;/&gt;&lt;wsp:rsid wsp:val=&quot;001D3E3D&quot;/&gt;&lt;wsp:rsid wsp:val=&quot;001D3F73&quot;/&gt;&lt;wsp:rsid wsp:val=&quot;001D4129&quot;/&gt;&lt;wsp:rsid wsp:val=&quot;001D4498&quot;/&gt;&lt;wsp:rsid wsp:val=&quot;001D4BDC&quot;/&gt;&lt;wsp:rsid wsp:val=&quot;001D56B7&quot;/&gt;&lt;wsp:rsid wsp:val=&quot;001D6010&quot;/&gt;&lt;wsp:rsid wsp:val=&quot;001D6186&quot;/&gt;&lt;wsp:rsid wsp:val=&quot;001D638F&quot;/&gt;&lt;wsp:rsid wsp:val=&quot;001D668A&quot;/&gt;&lt;wsp:rsid wsp:val=&quot;001D6724&quot;/&gt;&lt;wsp:rsid wsp:val=&quot;001D6803&quot;/&gt;&lt;wsp:rsid wsp:val=&quot;001D6C57&quot;/&gt;&lt;wsp:rsid wsp:val=&quot;001D7BAD&quot;/&gt;&lt;wsp:rsid wsp:val=&quot;001D7D45&quot;/&gt;&lt;wsp:rsid wsp:val=&quot;001E0952&quot;/&gt;&lt;wsp:rsid wsp:val=&quot;001E0D4B&quot;/&gt;&lt;wsp:rsid wsp:val=&quot;001E0FDF&quot;/&gt;&lt;wsp:rsid wsp:val=&quot;001E129D&quot;/&gt;&lt;wsp:rsid wsp:val=&quot;001E148A&quot;/&gt;&lt;wsp:rsid wsp:val=&quot;001E17FA&quot;/&gt;&lt;wsp:rsid wsp:val=&quot;001E1BB6&quot;/&gt;&lt;wsp:rsid wsp:val=&quot;001E1D02&quot;/&gt;&lt;wsp:rsid wsp:val=&quot;001E1DCF&quot;/&gt;&lt;wsp:rsid wsp:val=&quot;001E2259&quot;/&gt;&lt;wsp:rsid wsp:val=&quot;001E28DD&quot;/&gt;&lt;wsp:rsid wsp:val=&quot;001E2A9E&quot;/&gt;&lt;wsp:rsid wsp:val=&quot;001E31E9&quot;/&gt;&lt;wsp:rsid wsp:val=&quot;001E3338&quot;/&gt;&lt;wsp:rsid wsp:val=&quot;001E35AA&quot;/&gt;&lt;wsp:rsid wsp:val=&quot;001E39FA&quot;/&gt;&lt;wsp:rsid wsp:val=&quot;001E434F&quot;/&gt;&lt;wsp:rsid wsp:val=&quot;001E455A&quot;/&gt;&lt;wsp:rsid wsp:val=&quot;001E5616&quot;/&gt;&lt;wsp:rsid wsp:val=&quot;001E56E1&quot;/&gt;&lt;wsp:rsid wsp:val=&quot;001E5900&quot;/&gt;&lt;wsp:rsid wsp:val=&quot;001E5A4D&quot;/&gt;&lt;wsp:rsid wsp:val=&quot;001E6893&quot;/&gt;&lt;wsp:rsid wsp:val=&quot;001E6F86&quot;/&gt;&lt;wsp:rsid wsp:val=&quot;001E7005&quot;/&gt;&lt;wsp:rsid wsp:val=&quot;001E70BE&quot;/&gt;&lt;wsp:rsid wsp:val=&quot;001E71E7&quot;/&gt;&lt;wsp:rsid wsp:val=&quot;001E744E&quot;/&gt;&lt;wsp:rsid wsp:val=&quot;001E77A7&quot;/&gt;&lt;wsp:rsid wsp:val=&quot;001E797B&quot;/&gt;&lt;wsp:rsid wsp:val=&quot;001E7A2B&quot;/&gt;&lt;wsp:rsid wsp:val=&quot;001E7C32&quot;/&gt;&lt;wsp:rsid wsp:val=&quot;001E7D25&quot;/&gt;&lt;wsp:rsid wsp:val=&quot;001E7DAB&quot;/&gt;&lt;wsp:rsid wsp:val=&quot;001E7E25&quot;/&gt;&lt;wsp:rsid wsp:val=&quot;001F03AC&quot;/&gt;&lt;wsp:rsid wsp:val=&quot;001F095B&quot;/&gt;&lt;wsp:rsid wsp:val=&quot;001F10B3&quot;/&gt;&lt;wsp:rsid wsp:val=&quot;001F1254&quot;/&gt;&lt;wsp:rsid wsp:val=&quot;001F1F4B&quot;/&gt;&lt;wsp:rsid wsp:val=&quot;001F211E&quot;/&gt;&lt;wsp:rsid wsp:val=&quot;001F24D7&quot;/&gt;&lt;wsp:rsid wsp:val=&quot;001F2C04&quot;/&gt;&lt;wsp:rsid wsp:val=&quot;001F2D53&quot;/&gt;&lt;wsp:rsid wsp:val=&quot;001F2D7C&quot;/&gt;&lt;wsp:rsid wsp:val=&quot;001F3425&quot;/&gt;&lt;wsp:rsid wsp:val=&quot;001F4384&quot;/&gt;&lt;wsp:rsid wsp:val=&quot;001F5C45&quot;/&gt;&lt;wsp:rsid wsp:val=&quot;001F6076&quot;/&gt;&lt;wsp:rsid wsp:val=&quot;001F7196&quot;/&gt;&lt;wsp:rsid wsp:val=&quot;001F7E06&quot;/&gt;&lt;wsp:rsid wsp:val=&quot;001F7EF9&quot;/&gt;&lt;wsp:rsid wsp:val=&quot;00200033&quot;/&gt;&lt;wsp:rsid wsp:val=&quot;00200234&quot;/&gt;&lt;wsp:rsid wsp:val=&quot;002017FD&quot;/&gt;&lt;wsp:rsid wsp:val=&quot;002018A0&quot;/&gt;&lt;wsp:rsid wsp:val=&quot;00201D6D&quot;/&gt;&lt;wsp:rsid wsp:val=&quot;002022AA&quot;/&gt;&lt;wsp:rsid wsp:val=&quot;00202341&quot;/&gt;&lt;wsp:rsid wsp:val=&quot;002034E4&quot;/&gt;&lt;wsp:rsid wsp:val=&quot;00203873&quot;/&gt;&lt;wsp:rsid wsp:val=&quot;0020391F&quot;/&gt;&lt;wsp:rsid wsp:val=&quot;00203E6F&quot;/&gt;&lt;wsp:rsid wsp:val=&quot;00204572&quot;/&gt;&lt;wsp:rsid wsp:val=&quot;00204F2D&quot;/&gt;&lt;wsp:rsid wsp:val=&quot;00205188&quot;/&gt;&lt;wsp:rsid wsp:val=&quot;00205705&quot;/&gt;&lt;wsp:rsid wsp:val=&quot;00205F49&quot;/&gt;&lt;wsp:rsid wsp:val=&quot;00206143&quot;/&gt;&lt;wsp:rsid wsp:val=&quot;002062AB&quot;/&gt;&lt;wsp:rsid wsp:val=&quot;002064CF&quot;/&gt;&lt;wsp:rsid wsp:val=&quot;00206A32&quot;/&gt;&lt;wsp:rsid wsp:val=&quot;002072C2&quot;/&gt;&lt;wsp:rsid wsp:val=&quot;002076E3&quot;/&gt;&lt;wsp:rsid wsp:val=&quot;002077BC&quot;/&gt;&lt;wsp:rsid wsp:val=&quot;0021042C&quot;/&gt;&lt;wsp:rsid wsp:val=&quot;0021159D&quot;/&gt;&lt;wsp:rsid wsp:val=&quot;002119F7&quot;/&gt;&lt;wsp:rsid wsp:val=&quot;00212203&quot;/&gt;&lt;wsp:rsid wsp:val=&quot;002127F9&quot;/&gt;&lt;wsp:rsid wsp:val=&quot;002129A2&quot;/&gt;&lt;wsp:rsid wsp:val=&quot;00212D08&quot;/&gt;&lt;wsp:rsid wsp:val=&quot;00212EB1&quot;/&gt;&lt;wsp:rsid wsp:val=&quot;00212F70&quot;/&gt;&lt;wsp:rsid wsp:val=&quot;00212FD5&quot;/&gt;&lt;wsp:rsid wsp:val=&quot;002131DC&quot;/&gt;&lt;wsp:rsid wsp:val=&quot;00213AA3&quot;/&gt;&lt;wsp:rsid wsp:val=&quot;00213F70&quot;/&gt;&lt;wsp:rsid wsp:val=&quot;002143BC&quot;/&gt;&lt;wsp:rsid wsp:val=&quot;002144AB&quot;/&gt;&lt;wsp:rsid wsp:val=&quot;00214945&quot;/&gt;&lt;wsp:rsid wsp:val=&quot;00215010&quot;/&gt;&lt;wsp:rsid wsp:val=&quot;00215752&quot;/&gt;&lt;wsp:rsid wsp:val=&quot;00215C88&quot;/&gt;&lt;wsp:rsid wsp:val=&quot;00215CE1&quot;/&gt;&lt;wsp:rsid wsp:val=&quot;00215F04&quot;/&gt;&lt;wsp:rsid wsp:val=&quot;002162EC&quot;/&gt;&lt;wsp:rsid wsp:val=&quot;002169DD&quot;/&gt;&lt;wsp:rsid wsp:val=&quot;002173D2&quot;/&gt;&lt;wsp:rsid wsp:val=&quot;0021774D&quot;/&gt;&lt;wsp:rsid wsp:val=&quot;00217C6A&quot;/&gt;&lt;wsp:rsid wsp:val=&quot;0022006B&quot;/&gt;&lt;wsp:rsid wsp:val=&quot;00220132&quot;/&gt;&lt;wsp:rsid wsp:val=&quot;00220C5D&quot;/&gt;&lt;wsp:rsid wsp:val=&quot;00220FC8&quot;/&gt;&lt;wsp:rsid wsp:val=&quot;00221237&quot;/&gt;&lt;wsp:rsid wsp:val=&quot;002212E5&quot;/&gt;&lt;wsp:rsid wsp:val=&quot;002213D1&quot;/&gt;&lt;wsp:rsid wsp:val=&quot;00221D43&quot;/&gt;&lt;wsp:rsid wsp:val=&quot;002223F8&quot;/&gt;&lt;wsp:rsid wsp:val=&quot;00222F7A&quot;/&gt;&lt;wsp:rsid wsp:val=&quot;00223130&quot;/&gt;&lt;wsp:rsid wsp:val=&quot;00223BC4&quot;/&gt;&lt;wsp:rsid wsp:val=&quot;00224E68&quot;/&gt;&lt;wsp:rsid wsp:val=&quot;00224E8E&quot;/&gt;&lt;wsp:rsid wsp:val=&quot;002251B0&quot;/&gt;&lt;wsp:rsid wsp:val=&quot;002255B3&quot;/&gt;&lt;wsp:rsid wsp:val=&quot;00225609&quot;/&gt;&lt;wsp:rsid wsp:val=&quot;00225889&quot;/&gt;&lt;wsp:rsid wsp:val=&quot;00225E3D&quot;/&gt;&lt;wsp:rsid wsp:val=&quot;0022668B&quot;/&gt;&lt;wsp:rsid wsp:val=&quot;002273FF&quot;/&gt;&lt;wsp:rsid wsp:val=&quot;0022775A&quot;/&gt;&lt;wsp:rsid wsp:val=&quot;0022795C&quot;/&gt;&lt;wsp:rsid wsp:val=&quot;00227E37&quot;/&gt;&lt;wsp:rsid wsp:val=&quot;00230449&quot;/&gt;&lt;wsp:rsid wsp:val=&quot;00230905&quot;/&gt;&lt;wsp:rsid wsp:val=&quot;00230956&quot;/&gt;&lt;wsp:rsid wsp:val=&quot;00230E17&quot;/&gt;&lt;wsp:rsid wsp:val=&quot;00231148&quot;/&gt;&lt;wsp:rsid wsp:val=&quot;0023117A&quot;/&gt;&lt;wsp:rsid wsp:val=&quot;00231675&quot;/&gt;&lt;wsp:rsid wsp:val=&quot;0023175C&quot;/&gt;&lt;wsp:rsid wsp:val=&quot;00231904&quot;/&gt;&lt;wsp:rsid wsp:val=&quot;00231D9C&quot;/&gt;&lt;wsp:rsid wsp:val=&quot;00231E6D&quot;/&gt;&lt;wsp:rsid wsp:val=&quot;00232157&quot;/&gt;&lt;wsp:rsid wsp:val=&quot;00232942&quot;/&gt;&lt;wsp:rsid wsp:val=&quot;00232C7F&quot;/&gt;&lt;wsp:rsid wsp:val=&quot;00232E7E&quot;/&gt;&lt;wsp:rsid wsp:val=&quot;00232FE6&quot;/&gt;&lt;wsp:rsid wsp:val=&quot;00233772&quot;/&gt;&lt;wsp:rsid wsp:val=&quot;002338EE&quot;/&gt;&lt;wsp:rsid wsp:val=&quot;00233911&quot;/&gt;&lt;wsp:rsid wsp:val=&quot;00234049&quot;/&gt;&lt;wsp:rsid wsp:val=&quot;002345AC&quot;/&gt;&lt;wsp:rsid wsp:val=&quot;002350C8&quot;/&gt;&lt;wsp:rsid wsp:val=&quot;00235572&quot;/&gt;&lt;wsp:rsid wsp:val=&quot;002355EC&quot;/&gt;&lt;wsp:rsid wsp:val=&quot;0023568C&quot;/&gt;&lt;wsp:rsid wsp:val=&quot;0023596A&quot;/&gt;&lt;wsp:rsid wsp:val=&quot;00235C60&quot;/&gt;&lt;wsp:rsid wsp:val=&quot;00236A0B&quot;/&gt;&lt;wsp:rsid wsp:val=&quot;002379ED&quot;/&gt;&lt;wsp:rsid wsp:val=&quot;00237ABC&quot;/&gt;&lt;wsp:rsid wsp:val=&quot;00237E12&quot;/&gt;&lt;wsp:rsid wsp:val=&quot;0024016E&quot;/&gt;&lt;wsp:rsid wsp:val=&quot;00240A11&quot;/&gt;&lt;wsp:rsid wsp:val=&quot;00240BA3&quot;/&gt;&lt;wsp:rsid wsp:val=&quot;00240CFC&quot;/&gt;&lt;wsp:rsid wsp:val=&quot;00240E9B&quot;/&gt;&lt;wsp:rsid wsp:val=&quot;0024158C&quot;/&gt;&lt;wsp:rsid wsp:val=&quot;002417D4&quot;/&gt;&lt;wsp:rsid wsp:val=&quot;00241829&quot;/&gt;&lt;wsp:rsid wsp:val=&quot;00241953&quot;/&gt;&lt;wsp:rsid wsp:val=&quot;00241ED4&quot;/&gt;&lt;wsp:rsid wsp:val=&quot;00242586&quot;/&gt;&lt;wsp:rsid wsp:val=&quot;00243133&quot;/&gt;&lt;wsp:rsid wsp:val=&quot;0024340C&quot;/&gt;&lt;wsp:rsid wsp:val=&quot;00244271&quot;/&gt;&lt;wsp:rsid wsp:val=&quot;00244325&quot;/&gt;&lt;wsp:rsid wsp:val=&quot;00244582&quot;/&gt;&lt;wsp:rsid wsp:val=&quot;00244D59&quot;/&gt;&lt;wsp:rsid wsp:val=&quot;00244EBA&quot;/&gt;&lt;wsp:rsid wsp:val=&quot;00245291&quot;/&gt;&lt;wsp:rsid wsp:val=&quot;002453BD&quot;/&gt;&lt;wsp:rsid wsp:val=&quot;002457E6&quot;/&gt;&lt;wsp:rsid wsp:val=&quot;00245BD2&quot;/&gt;&lt;wsp:rsid wsp:val=&quot;00246478&quot;/&gt;&lt;wsp:rsid wsp:val=&quot;00246869&quot;/&gt;&lt;wsp:rsid wsp:val=&quot;00246BE6&quot;/&gt;&lt;wsp:rsid wsp:val=&quot;00246CC6&quot;/&gt;&lt;wsp:rsid wsp:val=&quot;00247035&quot;/&gt;&lt;wsp:rsid wsp:val=&quot;0024749C&quot;/&gt;&lt;wsp:rsid wsp:val=&quot;00247927&quot;/&gt;&lt;wsp:rsid wsp:val=&quot;00247BB3&quot;/&gt;&lt;wsp:rsid wsp:val=&quot;00247D95&quot;/&gt;&lt;wsp:rsid wsp:val=&quot;00247E1E&quot;/&gt;&lt;wsp:rsid wsp:val=&quot;00250181&quot;/&gt;&lt;wsp:rsid wsp:val=&quot;0025018F&quot;/&gt;&lt;wsp:rsid wsp:val=&quot;0025038F&quot;/&gt;&lt;wsp:rsid wsp:val=&quot;002508CA&quot;/&gt;&lt;wsp:rsid wsp:val=&quot;00250A9A&quot;/&gt;&lt;wsp:rsid wsp:val=&quot;0025148F&quot;/&gt;&lt;wsp:rsid wsp:val=&quot;002515EE&quot;/&gt;&lt;wsp:rsid wsp:val=&quot;002516C6&quot;/&gt;&lt;wsp:rsid wsp:val=&quot;00251903&quot;/&gt;&lt;wsp:rsid wsp:val=&quot;00252222&quot;/&gt;&lt;wsp:rsid wsp:val=&quot;00252710&quot;/&gt;&lt;wsp:rsid wsp:val=&quot;00252E2C&quot;/&gt;&lt;wsp:rsid wsp:val=&quot;00253593&quot;/&gt;&lt;wsp:rsid wsp:val=&quot;00253774&quot;/&gt;&lt;wsp:rsid wsp:val=&quot;00253CAB&quot;/&gt;&lt;wsp:rsid wsp:val=&quot;002540E9&quot;/&gt;&lt;wsp:rsid wsp:val=&quot;002541E5&quot;/&gt;&lt;wsp:rsid wsp:val=&quot;002542D5&quot;/&gt;&lt;wsp:rsid wsp:val=&quot;0025475B&quot;/&gt;&lt;wsp:rsid wsp:val=&quot;00254A36&quot;/&gt;&lt;wsp:rsid wsp:val=&quot;00254A3F&quot;/&gt;&lt;wsp:rsid wsp:val=&quot;0025518A&quot;/&gt;&lt;wsp:rsid wsp:val=&quot;00255657&quot;/&gt;&lt;wsp:rsid wsp:val=&quot;0025576A&quot;/&gt;&lt;wsp:rsid wsp:val=&quot;00255C63&quot;/&gt;&lt;wsp:rsid wsp:val=&quot;00255E88&quot;/&gt;&lt;wsp:rsid wsp:val=&quot;0025675C&quot;/&gt;&lt;wsp:rsid wsp:val=&quot;002570AF&quot;/&gt;&lt;wsp:rsid wsp:val=&quot;0025737D&quot;/&gt;&lt;wsp:rsid wsp:val=&quot;0025786C&quot;/&gt;&lt;wsp:rsid wsp:val=&quot;00257C0C&quot;/&gt;&lt;wsp:rsid wsp:val=&quot;00257FCE&quot;/&gt;&lt;wsp:rsid wsp:val=&quot;00260483&quot;/&gt;&lt;wsp:rsid wsp:val=&quot;002609D2&quot;/&gt;&lt;wsp:rsid wsp:val=&quot;00260AEE&quot;/&gt;&lt;wsp:rsid wsp:val=&quot;0026107D&quot;/&gt;&lt;wsp:rsid wsp:val=&quot;0026176D&quot;/&gt;&lt;wsp:rsid wsp:val=&quot;002619D9&quot;/&gt;&lt;wsp:rsid wsp:val=&quot;002623D3&quot;/&gt;&lt;wsp:rsid wsp:val=&quot;00262BA6&quot;/&gt;&lt;wsp:rsid wsp:val=&quot;00263AAE&quot;/&gt;&lt;wsp:rsid wsp:val=&quot;00264452&quot;/&gt;&lt;wsp:rsid wsp:val=&quot;002647E7&quot;/&gt;&lt;wsp:rsid wsp:val=&quot;00265EC4&quot;/&gt;&lt;wsp:rsid wsp:val=&quot;00265EF8&quot;/&gt;&lt;wsp:rsid wsp:val=&quot;002665F7&quot;/&gt;&lt;wsp:rsid wsp:val=&quot;00266692&quot;/&gt;&lt;wsp:rsid wsp:val=&quot;002669C9&quot;/&gt;&lt;wsp:rsid wsp:val=&quot;0026752D&quot;/&gt;&lt;wsp:rsid wsp:val=&quot;0027049B&quot;/&gt;&lt;wsp:rsid wsp:val=&quot;00270595&quot;/&gt;&lt;wsp:rsid wsp:val=&quot;00270811&quot;/&gt;&lt;wsp:rsid wsp:val=&quot;00270B18&quot;/&gt;&lt;wsp:rsid wsp:val=&quot;00270E85&quot;/&gt;&lt;wsp:rsid wsp:val=&quot;002714FD&quot;/&gt;&lt;wsp:rsid wsp:val=&quot;00271757&quot;/&gt;&lt;wsp:rsid wsp:val=&quot;002717E6&quot;/&gt;&lt;wsp:rsid wsp:val=&quot;00271DFE&quot;/&gt;&lt;wsp:rsid wsp:val=&quot;00272147&quot;/&gt;&lt;wsp:rsid wsp:val=&quot;00272326&quot;/&gt;&lt;wsp:rsid wsp:val=&quot;00272E76&quot;/&gt;&lt;wsp:rsid wsp:val=&quot;00273295&quot;/&gt;&lt;wsp:rsid wsp:val=&quot;00273626&quot;/&gt;&lt;wsp:rsid wsp:val=&quot;00273B40&quot;/&gt;&lt;wsp:rsid wsp:val=&quot;00273CD3&quot;/&gt;&lt;wsp:rsid wsp:val=&quot;0027408F&quot;/&gt;&lt;wsp:rsid wsp:val=&quot;0027527A&quot;/&gt;&lt;wsp:rsid wsp:val=&quot;0027548A&quot;/&gt;&lt;wsp:rsid wsp:val=&quot;00275564&quot;/&gt;&lt;wsp:rsid wsp:val=&quot;0027586E&quot;/&gt;&lt;wsp:rsid wsp:val=&quot;00275C33&quot;/&gt;&lt;wsp:rsid wsp:val=&quot;00275FA8&quot;/&gt;&lt;wsp:rsid wsp:val=&quot;00276021&quot;/&gt;&lt;wsp:rsid wsp:val=&quot;0027650D&quot;/&gt;&lt;wsp:rsid wsp:val=&quot;00276517&quot;/&gt;&lt;wsp:rsid wsp:val=&quot;002765FD&quot;/&gt;&lt;wsp:rsid wsp:val=&quot;00276641&quot;/&gt;&lt;wsp:rsid wsp:val=&quot;00276A9C&quot;/&gt;&lt;wsp:rsid wsp:val=&quot;002774E4&quot;/&gt;&lt;wsp:rsid wsp:val=&quot;002776F3&quot;/&gt;&lt;wsp:rsid wsp:val=&quot;00277823&quot;/&gt;&lt;wsp:rsid wsp:val=&quot;00277930&quot;/&gt;&lt;wsp:rsid wsp:val=&quot;002779DE&quot;/&gt;&lt;wsp:rsid wsp:val=&quot;00277A86&quot;/&gt;&lt;wsp:rsid wsp:val=&quot;00277BD0&quot;/&gt;&lt;wsp:rsid wsp:val=&quot;00277D34&quot;/&gt;&lt;wsp:rsid wsp:val=&quot;00280135&quot;/&gt;&lt;wsp:rsid wsp:val=&quot;0028019A&quot;/&gt;&lt;wsp:rsid wsp:val=&quot;002803EF&quot;/&gt;&lt;wsp:rsid wsp:val=&quot;002806BB&quot;/&gt;&lt;wsp:rsid wsp:val=&quot;00281488&quot;/&gt;&lt;wsp:rsid wsp:val=&quot;002816EB&quot;/&gt;&lt;wsp:rsid wsp:val=&quot;0028180D&quot;/&gt;&lt;wsp:rsid wsp:val=&quot;002818A3&quot;/&gt;&lt;wsp:rsid wsp:val=&quot;00281918&quot;/&gt;&lt;wsp:rsid wsp:val=&quot;00281B5A&quot;/&gt;&lt;wsp:rsid wsp:val=&quot;00281F4A&quot;/&gt;&lt;wsp:rsid wsp:val=&quot;002825F7&quot;/&gt;&lt;wsp:rsid wsp:val=&quot;00282716&quot;/&gt;&lt;wsp:rsid wsp:val=&quot;00282E3B&quot;/&gt;&lt;wsp:rsid wsp:val=&quot;0028338E&quot;/&gt;&lt;wsp:rsid wsp:val=&quot;002838EE&quot;/&gt;&lt;wsp:rsid wsp:val=&quot;00283B58&quot;/&gt;&lt;wsp:rsid wsp:val=&quot;00283CA2&quot;/&gt;&lt;wsp:rsid wsp:val=&quot;00284F26&quot;/&gt;&lt;wsp:rsid wsp:val=&quot;00284FF3&quot;/&gt;&lt;wsp:rsid wsp:val=&quot;0028501F&quot;/&gt;&lt;wsp:rsid wsp:val=&quot;00285105&quot;/&gt;&lt;wsp:rsid wsp:val=&quot;002851A3&quot;/&gt;&lt;wsp:rsid wsp:val=&quot;00285949&quot;/&gt;&lt;wsp:rsid wsp:val=&quot;00285AB1&quot;/&gt;&lt;wsp:rsid wsp:val=&quot;0028605C&quot;/&gt;&lt;wsp:rsid wsp:val=&quot;002865B7&quot;/&gt;&lt;wsp:rsid wsp:val=&quot;002866D7&quot;/&gt;&lt;wsp:rsid wsp:val=&quot;00286D02&quot;/&gt;&lt;wsp:rsid wsp:val=&quot;00286D52&quot;/&gt;&lt;wsp:rsid wsp:val=&quot;00286E89&quot;/&gt;&lt;wsp:rsid wsp:val=&quot;002872DD&quot;/&gt;&lt;wsp:rsid wsp:val=&quot;0028765A&quot;/&gt;&lt;wsp:rsid wsp:val=&quot;00287829&quot;/&gt;&lt;wsp:rsid wsp:val=&quot;00290055&quot;/&gt;&lt;wsp:rsid wsp:val=&quot;00290F4B&quot;/&gt;&lt;wsp:rsid wsp:val=&quot;00291068&quot;/&gt;&lt;wsp:rsid wsp:val=&quot;00291229&quot;/&gt;&lt;wsp:rsid wsp:val=&quot;002914AE&quot;/&gt;&lt;wsp:rsid wsp:val=&quot;002916BE&quot;/&gt;&lt;wsp:rsid wsp:val=&quot;00291822&quot;/&gt;&lt;wsp:rsid wsp:val=&quot;00292033&quot;/&gt;&lt;wsp:rsid wsp:val=&quot;00292569&quot;/&gt;&lt;wsp:rsid wsp:val=&quot;002928EB&quot;/&gt;&lt;wsp:rsid wsp:val=&quot;00292CA3&quot;/&gt;&lt;wsp:rsid wsp:val=&quot;00292CDF&quot;/&gt;&lt;wsp:rsid wsp:val=&quot;00293011&quot;/&gt;&lt;wsp:rsid wsp:val=&quot;00294293&quot;/&gt;&lt;wsp:rsid wsp:val=&quot;002944CA&quot;/&gt;&lt;wsp:rsid wsp:val=&quot;00294774&quot;/&gt;&lt;wsp:rsid wsp:val=&quot;00294CE1&quot;/&gt;&lt;wsp:rsid wsp:val=&quot;00295988&quot;/&gt;&lt;wsp:rsid wsp:val=&quot;002970B9&quot;/&gt;&lt;wsp:rsid wsp:val=&quot;00297514&quot;/&gt;&lt;wsp:rsid wsp:val=&quot;002979B8&quot;/&gt;&lt;wsp:rsid wsp:val=&quot;00297B81&quot;/&gt;&lt;wsp:rsid wsp:val=&quot;002A0019&quot;/&gt;&lt;wsp:rsid wsp:val=&quot;002A013A&quot;/&gt;&lt;wsp:rsid wsp:val=&quot;002A0409&quot;/&gt;&lt;wsp:rsid wsp:val=&quot;002A09A3&quot;/&gt;&lt;wsp:rsid wsp:val=&quot;002A0A6A&quot;/&gt;&lt;wsp:rsid wsp:val=&quot;002A0A7C&quot;/&gt;&lt;wsp:rsid wsp:val=&quot;002A0FC0&quot;/&gt;&lt;wsp:rsid wsp:val=&quot;002A130A&quot;/&gt;&lt;wsp:rsid wsp:val=&quot;002A1DC1&quot;/&gt;&lt;wsp:rsid wsp:val=&quot;002A1DF0&quot;/&gt;&lt;wsp:rsid wsp:val=&quot;002A200D&quot;/&gt;&lt;wsp:rsid wsp:val=&quot;002A2AA0&quot;/&gt;&lt;wsp:rsid wsp:val=&quot;002A2F6C&quot;/&gt;&lt;wsp:rsid wsp:val=&quot;002A4512&quot;/&gt;&lt;wsp:rsid wsp:val=&quot;002A4A14&quot;/&gt;&lt;wsp:rsid wsp:val=&quot;002A4FB2&quot;/&gt;&lt;wsp:rsid wsp:val=&quot;002A5317&quot;/&gt;&lt;wsp:rsid wsp:val=&quot;002A561B&quot;/&gt;&lt;wsp:rsid wsp:val=&quot;002A5CD9&quot;/&gt;&lt;wsp:rsid wsp:val=&quot;002A638C&quot;/&gt;&lt;wsp:rsid wsp:val=&quot;002A6455&quot;/&gt;&lt;wsp:rsid wsp:val=&quot;002A6747&quot;/&gt;&lt;wsp:rsid wsp:val=&quot;002A6799&quot;/&gt;&lt;wsp:rsid wsp:val=&quot;002A67CF&quot;/&gt;&lt;wsp:rsid wsp:val=&quot;002A728A&quot;/&gt;&lt;wsp:rsid wsp:val=&quot;002A7445&quot;/&gt;&lt;wsp:rsid wsp:val=&quot;002A7484&quot;/&gt;&lt;wsp:rsid wsp:val=&quot;002A74B5&quot;/&gt;&lt;wsp:rsid wsp:val=&quot;002A7A2D&quot;/&gt;&lt;wsp:rsid wsp:val=&quot;002A7B9C&quot;/&gt;&lt;wsp:rsid wsp:val=&quot;002B024B&quot;/&gt;&lt;wsp:rsid wsp:val=&quot;002B077B&quot;/&gt;&lt;wsp:rsid wsp:val=&quot;002B1177&quot;/&gt;&lt;wsp:rsid wsp:val=&quot;002B14B2&quot;/&gt;&lt;wsp:rsid wsp:val=&quot;002B1EA6&quot;/&gt;&lt;wsp:rsid wsp:val=&quot;002B2543&quot;/&gt;&lt;wsp:rsid wsp:val=&quot;002B2676&quot;/&gt;&lt;wsp:rsid wsp:val=&quot;002B3979&quot;/&gt;&lt;wsp:rsid wsp:val=&quot;002B421C&quot;/&gt;&lt;wsp:rsid wsp:val=&quot;002B429B&quot;/&gt;&lt;wsp:rsid wsp:val=&quot;002B4E48&quot;/&gt;&lt;wsp:rsid wsp:val=&quot;002B50B7&quot;/&gt;&lt;wsp:rsid wsp:val=&quot;002B5233&quot;/&gt;&lt;wsp:rsid wsp:val=&quot;002B5359&quot;/&gt;&lt;wsp:rsid wsp:val=&quot;002B5496&quot;/&gt;&lt;wsp:rsid wsp:val=&quot;002B5582&quot;/&gt;&lt;wsp:rsid wsp:val=&quot;002B5656&quot;/&gt;&lt;wsp:rsid wsp:val=&quot;002B5BF1&quot;/&gt;&lt;wsp:rsid wsp:val=&quot;002B5E26&quot;/&gt;&lt;wsp:rsid wsp:val=&quot;002B730C&quot;/&gt;&lt;wsp:rsid wsp:val=&quot;002B7E9E&quot;/&gt;&lt;wsp:rsid wsp:val=&quot;002C0990&quot;/&gt;&lt;wsp:rsid wsp:val=&quot;002C0A41&quot;/&gt;&lt;wsp:rsid wsp:val=&quot;002C0D48&quot;/&gt;&lt;wsp:rsid wsp:val=&quot;002C1145&quot;/&gt;&lt;wsp:rsid wsp:val=&quot;002C16E7&quot;/&gt;&lt;wsp:rsid wsp:val=&quot;002C1B46&quot;/&gt;&lt;wsp:rsid wsp:val=&quot;002C2555&quot;/&gt;&lt;wsp:rsid wsp:val=&quot;002C258E&quot;/&gt;&lt;wsp:rsid wsp:val=&quot;002C2BAB&quot;/&gt;&lt;wsp:rsid wsp:val=&quot;002C2DD6&quot;/&gt;&lt;wsp:rsid wsp:val=&quot;002C304E&quot;/&gt;&lt;wsp:rsid wsp:val=&quot;002C3EC9&quot;/&gt;&lt;wsp:rsid wsp:val=&quot;002C4283&quot;/&gt;&lt;wsp:rsid wsp:val=&quot;002C4447&quot;/&gt;&lt;wsp:rsid wsp:val=&quot;002C4589&quot;/&gt;&lt;wsp:rsid wsp:val=&quot;002C4959&quot;/&gt;&lt;wsp:rsid wsp:val=&quot;002C4D4E&quot;/&gt;&lt;wsp:rsid wsp:val=&quot;002C549C&quot;/&gt;&lt;wsp:rsid wsp:val=&quot;002C551F&quot;/&gt;&lt;wsp:rsid wsp:val=&quot;002C5661&quot;/&gt;&lt;wsp:rsid wsp:val=&quot;002C5A54&quot;/&gt;&lt;wsp:rsid wsp:val=&quot;002C5D33&quot;/&gt;&lt;wsp:rsid wsp:val=&quot;002C7401&quot;/&gt;&lt;wsp:rsid wsp:val=&quot;002C764C&quot;/&gt;&lt;wsp:rsid wsp:val=&quot;002C7768&quot;/&gt;&lt;wsp:rsid wsp:val=&quot;002C791D&quot;/&gt;&lt;wsp:rsid wsp:val=&quot;002C7C2A&quot;/&gt;&lt;wsp:rsid wsp:val=&quot;002C7C52&quot;/&gt;&lt;wsp:rsid wsp:val=&quot;002C7E47&quot;/&gt;&lt;wsp:rsid wsp:val=&quot;002D02FB&quot;/&gt;&lt;wsp:rsid wsp:val=&quot;002D0F85&quot;/&gt;&lt;wsp:rsid wsp:val=&quot;002D15B7&quot;/&gt;&lt;wsp:rsid wsp:val=&quot;002D17F0&quot;/&gt;&lt;wsp:rsid wsp:val=&quot;002D19DC&quot;/&gt;&lt;wsp:rsid wsp:val=&quot;002D1C94&quot;/&gt;&lt;wsp:rsid wsp:val=&quot;002D23E5&quot;/&gt;&lt;wsp:rsid wsp:val=&quot;002D2413&quot;/&gt;&lt;wsp:rsid wsp:val=&quot;002D253D&quot;/&gt;&lt;wsp:rsid wsp:val=&quot;002D29A8&quot;/&gt;&lt;wsp:rsid wsp:val=&quot;002D2BA5&quot;/&gt;&lt;wsp:rsid wsp:val=&quot;002D2C3D&quot;/&gt;&lt;wsp:rsid wsp:val=&quot;002D2D58&quot;/&gt;&lt;wsp:rsid wsp:val=&quot;002D2D9E&quot;/&gt;&lt;wsp:rsid wsp:val=&quot;002D3051&quot;/&gt;&lt;wsp:rsid wsp:val=&quot;002D3105&quot;/&gt;&lt;wsp:rsid wsp:val=&quot;002D3770&quot;/&gt;&lt;wsp:rsid wsp:val=&quot;002D3B52&quot;/&gt;&lt;wsp:rsid wsp:val=&quot;002D430B&quot;/&gt;&lt;wsp:rsid wsp:val=&quot;002D43F6&quot;/&gt;&lt;wsp:rsid wsp:val=&quot;002D44DB&quot;/&gt;&lt;wsp:rsid wsp:val=&quot;002D4DBB&quot;/&gt;&lt;wsp:rsid wsp:val=&quot;002D4E06&quot;/&gt;&lt;wsp:rsid wsp:val=&quot;002D4F1A&quot;/&gt;&lt;wsp:rsid wsp:val=&quot;002D4F90&quot;/&gt;&lt;wsp:rsid wsp:val=&quot;002D5707&quot;/&gt;&lt;wsp:rsid wsp:val=&quot;002D5DD5&quot;/&gt;&lt;wsp:rsid wsp:val=&quot;002D5DE4&quot;/&gt;&lt;wsp:rsid wsp:val=&quot;002D69D4&quot;/&gt;&lt;wsp:rsid wsp:val=&quot;002D6E0E&quot;/&gt;&lt;wsp:rsid wsp:val=&quot;002D6FF0&quot;/&gt;&lt;wsp:rsid wsp:val=&quot;002D75CE&quot;/&gt;&lt;wsp:rsid wsp:val=&quot;002D796B&quot;/&gt;&lt;wsp:rsid wsp:val=&quot;002D7BD4&quot;/&gt;&lt;wsp:rsid wsp:val=&quot;002D7E89&quot;/&gt;&lt;wsp:rsid wsp:val=&quot;002D7FA8&quot;/&gt;&lt;wsp:rsid wsp:val=&quot;002E0083&quot;/&gt;&lt;wsp:rsid wsp:val=&quot;002E00E7&quot;/&gt;&lt;wsp:rsid wsp:val=&quot;002E0AC5&quot;/&gt;&lt;wsp:rsid wsp:val=&quot;002E0C08&quot;/&gt;&lt;wsp:rsid wsp:val=&quot;002E174C&quot;/&gt;&lt;wsp:rsid wsp:val=&quot;002E1BF4&quot;/&gt;&lt;wsp:rsid wsp:val=&quot;002E1C44&quot;/&gt;&lt;wsp:rsid wsp:val=&quot;002E279C&quot;/&gt;&lt;wsp:rsid wsp:val=&quot;002E2A6E&quot;/&gt;&lt;wsp:rsid wsp:val=&quot;002E2C4C&quot;/&gt;&lt;wsp:rsid wsp:val=&quot;002E2FC0&quot;/&gt;&lt;wsp:rsid wsp:val=&quot;002E310A&quot;/&gt;&lt;wsp:rsid wsp:val=&quot;002E319F&quot;/&gt;&lt;wsp:rsid wsp:val=&quot;002E3410&quot;/&gt;&lt;wsp:rsid wsp:val=&quot;002E36F9&quot;/&gt;&lt;wsp:rsid wsp:val=&quot;002E3853&quot;/&gt;&lt;wsp:rsid wsp:val=&quot;002E3E14&quot;/&gt;&lt;wsp:rsid wsp:val=&quot;002E4501&quot;/&gt;&lt;wsp:rsid wsp:val=&quot;002E468E&quot;/&gt;&lt;wsp:rsid wsp:val=&quot;002E46B1&quot;/&gt;&lt;wsp:rsid wsp:val=&quot;002E4966&quot;/&gt;&lt;wsp:rsid wsp:val=&quot;002E4B93&quot;/&gt;&lt;wsp:rsid wsp:val=&quot;002E501A&quot;/&gt;&lt;wsp:rsid wsp:val=&quot;002E5315&quot;/&gt;&lt;wsp:rsid wsp:val=&quot;002E662C&quot;/&gt;&lt;wsp:rsid wsp:val=&quot;002E6943&quot;/&gt;&lt;wsp:rsid wsp:val=&quot;002E6949&quot;/&gt;&lt;wsp:rsid wsp:val=&quot;002E6C5A&quot;/&gt;&lt;wsp:rsid wsp:val=&quot;002E6CE5&quot;/&gt;&lt;wsp:rsid wsp:val=&quot;002E72F4&quot;/&gt;&lt;wsp:rsid wsp:val=&quot;002E7355&quot;/&gt;&lt;wsp:rsid wsp:val=&quot;002E7C02&quot;/&gt;&lt;wsp:rsid wsp:val=&quot;002E7C25&quot;/&gt;&lt;wsp:rsid wsp:val=&quot;002E7C67&quot;/&gt;&lt;wsp:rsid wsp:val=&quot;002F0057&quot;/&gt;&lt;wsp:rsid wsp:val=&quot;002F0280&quot;/&gt;&lt;wsp:rsid wsp:val=&quot;002F04A5&quot;/&gt;&lt;wsp:rsid wsp:val=&quot;002F0857&quot;/&gt;&lt;wsp:rsid wsp:val=&quot;002F0A1A&quot;/&gt;&lt;wsp:rsid wsp:val=&quot;002F0FCA&quot;/&gt;&lt;wsp:rsid wsp:val=&quot;002F12D6&quot;/&gt;&lt;wsp:rsid wsp:val=&quot;002F18C1&quot;/&gt;&lt;wsp:rsid wsp:val=&quot;002F1D4A&quot;/&gt;&lt;wsp:rsid wsp:val=&quot;002F2CDB&quot;/&gt;&lt;wsp:rsid wsp:val=&quot;002F3875&quot;/&gt;&lt;wsp:rsid wsp:val=&quot;002F4035&quot;/&gt;&lt;wsp:rsid wsp:val=&quot;002F408B&quot;/&gt;&lt;wsp:rsid wsp:val=&quot;002F4374&quot;/&gt;&lt;wsp:rsid wsp:val=&quot;002F4BED&quot;/&gt;&lt;wsp:rsid wsp:val=&quot;002F4DC0&quot;/&gt;&lt;wsp:rsid wsp:val=&quot;002F529D&quot;/&gt;&lt;wsp:rsid wsp:val=&quot;002F5622&quot;/&gt;&lt;wsp:rsid wsp:val=&quot;002F5CC5&quot;/&gt;&lt;wsp:rsid wsp:val=&quot;002F6423&quot;/&gt;&lt;wsp:rsid wsp:val=&quot;002F6598&quot;/&gt;&lt;wsp:rsid wsp:val=&quot;002F6A5D&quot;/&gt;&lt;wsp:rsid wsp:val=&quot;002F6AF5&quot;/&gt;&lt;wsp:rsid wsp:val=&quot;002F6D48&quot;/&gt;&lt;wsp:rsid wsp:val=&quot;002F6D9A&quot;/&gt;&lt;wsp:rsid wsp:val=&quot;002F7C37&quot;/&gt;&lt;wsp:rsid wsp:val=&quot;002F7F83&quot;/&gt;&lt;wsp:rsid wsp:val=&quot;00300269&quot;/&gt;&lt;wsp:rsid wsp:val=&quot;0030037D&quot;/&gt;&lt;wsp:rsid wsp:val=&quot;003006E5&quot;/&gt;&lt;wsp:rsid wsp:val=&quot;00300758&quot;/&gt;&lt;wsp:rsid wsp:val=&quot;003007C9&quot;/&gt;&lt;wsp:rsid wsp:val=&quot;00301BDA&quot;/&gt;&lt;wsp:rsid wsp:val=&quot;00301C4C&quot;/&gt;&lt;wsp:rsid wsp:val=&quot;00301CB8&quot;/&gt;&lt;wsp:rsid wsp:val=&quot;00301DE0&quot;/&gt;&lt;wsp:rsid wsp:val=&quot;00301DE5&quot;/&gt;&lt;wsp:rsid wsp:val=&quot;003022D9&quot;/&gt;&lt;wsp:rsid wsp:val=&quot;00302478&quot;/&gt;&lt;wsp:rsid wsp:val=&quot;00302828&quot;/&gt;&lt;wsp:rsid wsp:val=&quot;00302B4C&quot;/&gt;&lt;wsp:rsid wsp:val=&quot;00303BA6&quot;/&gt;&lt;wsp:rsid wsp:val=&quot;00303CBB&quot;/&gt;&lt;wsp:rsid wsp:val=&quot;00303DA4&quot;/&gt;&lt;wsp:rsid wsp:val=&quot;003046F6&quot;/&gt;&lt;wsp:rsid wsp:val=&quot;00304955&quot;/&gt;&lt;wsp:rsid wsp:val=&quot;00304B79&quot;/&gt;&lt;wsp:rsid wsp:val=&quot;003053C5&quot;/&gt;&lt;wsp:rsid wsp:val=&quot;0030548D&quot;/&gt;&lt;wsp:rsid wsp:val=&quot;00305806&quot;/&gt;&lt;wsp:rsid wsp:val=&quot;00306359&quot;/&gt;&lt;wsp:rsid wsp:val=&quot;0030654B&quot;/&gt;&lt;wsp:rsid wsp:val=&quot;00306BAD&quot;/&gt;&lt;wsp:rsid wsp:val=&quot;00306E1B&quot;/&gt;&lt;wsp:rsid wsp:val=&quot;003070DF&quot;/&gt;&lt;wsp:rsid wsp:val=&quot;00307372&quot;/&gt;&lt;wsp:rsid wsp:val=&quot;00307375&quot;/&gt;&lt;wsp:rsid wsp:val=&quot;0030784A&quot;/&gt;&lt;wsp:rsid wsp:val=&quot;003078EC&quot;/&gt;&lt;wsp:rsid wsp:val=&quot;00307E81&quot;/&gt;&lt;wsp:rsid wsp:val=&quot;00307FAF&quot;/&gt;&lt;wsp:rsid wsp:val=&quot;00310382&quot;/&gt;&lt;wsp:rsid wsp:val=&quot;00310AE3&quot;/&gt;&lt;wsp:rsid wsp:val=&quot;00310C28&quot;/&gt;&lt;wsp:rsid wsp:val=&quot;00311494&quot;/&gt;&lt;wsp:rsid wsp:val=&quot;0031183D&quot;/&gt;&lt;wsp:rsid wsp:val=&quot;00311881&quot;/&gt;&lt;wsp:rsid wsp:val=&quot;0031197E&quot;/&gt;&lt;wsp:rsid wsp:val=&quot;00311A43&quot;/&gt;&lt;wsp:rsid wsp:val=&quot;00311C95&quot;/&gt;&lt;wsp:rsid wsp:val=&quot;00311CEC&quot;/&gt;&lt;wsp:rsid wsp:val=&quot;00311E66&quot;/&gt;&lt;wsp:rsid wsp:val=&quot;00312297&quot;/&gt;&lt;wsp:rsid wsp:val=&quot;003123C6&quot;/&gt;&lt;wsp:rsid wsp:val=&quot;00312A2F&quot;/&gt;&lt;wsp:rsid wsp:val=&quot;003135F3&quot;/&gt;&lt;wsp:rsid wsp:val=&quot;00313661&quot;/&gt;&lt;wsp:rsid wsp:val=&quot;00313D10&quot;/&gt;&lt;wsp:rsid wsp:val=&quot;00314993&quot;/&gt;&lt;wsp:rsid wsp:val=&quot;00314CDC&quot;/&gt;&lt;wsp:rsid wsp:val=&quot;00314FF9&quot;/&gt;&lt;wsp:rsid wsp:val=&quot;0031537C&quot;/&gt;&lt;wsp:rsid wsp:val=&quot;0031579B&quot;/&gt;&lt;wsp:rsid wsp:val=&quot;003157BD&quot;/&gt;&lt;wsp:rsid wsp:val=&quot;00315DF4&quot;/&gt;&lt;wsp:rsid wsp:val=&quot;003162B9&quot;/&gt;&lt;wsp:rsid wsp:val=&quot;003163DC&quot;/&gt;&lt;wsp:rsid wsp:val=&quot;0031645A&quot;/&gt;&lt;wsp:rsid wsp:val=&quot;00316C5A&quot;/&gt;&lt;wsp:rsid wsp:val=&quot;003170F7&quot;/&gt;&lt;wsp:rsid wsp:val=&quot;003178C8&quot;/&gt;&lt;wsp:rsid wsp:val=&quot;00317937&quot;/&gt;&lt;wsp:rsid wsp:val=&quot;00317ECB&quot;/&gt;&lt;wsp:rsid wsp:val=&quot;00320085&quot;/&gt;&lt;wsp:rsid wsp:val=&quot;003200CD&quot;/&gt;&lt;wsp:rsid wsp:val=&quot;00320782&quot;/&gt;&lt;wsp:rsid wsp:val=&quot;00320873&quot;/&gt;&lt;wsp:rsid wsp:val=&quot;0032096D&quot;/&gt;&lt;wsp:rsid wsp:val=&quot;00320C02&quot;/&gt;&lt;wsp:rsid wsp:val=&quot;00320C5C&quot;/&gt;&lt;wsp:rsid wsp:val=&quot;00320CB5&quot;/&gt;&lt;wsp:rsid wsp:val=&quot;0032122C&quot;/&gt;&lt;wsp:rsid wsp:val=&quot;003215C6&quot;/&gt;&lt;wsp:rsid wsp:val=&quot;003215C8&quot;/&gt;&lt;wsp:rsid wsp:val=&quot;003215D5&quot;/&gt;&lt;wsp:rsid wsp:val=&quot;00322604&quot;/&gt;&lt;wsp:rsid wsp:val=&quot;00323152&quot;/&gt;&lt;wsp:rsid wsp:val=&quot;0032366B&quot;/&gt;&lt;wsp:rsid wsp:val=&quot;0032390A&quot;/&gt;&lt;wsp:rsid wsp:val=&quot;00323F82&quot;/&gt;&lt;wsp:rsid wsp:val=&quot;003240B9&quot;/&gt;&lt;wsp:rsid wsp:val=&quot;003248E2&quot;/&gt;&lt;wsp:rsid wsp:val=&quot;003252F0&quot;/&gt;&lt;wsp:rsid wsp:val=&quot;003255D9&quot;/&gt;&lt;wsp:rsid wsp:val=&quot;00325661&quot;/&gt;&lt;wsp:rsid wsp:val=&quot;00325800&quot;/&gt;&lt;wsp:rsid wsp:val=&quot;00325A90&quot;/&gt;&lt;wsp:rsid wsp:val=&quot;00325D3A&quot;/&gt;&lt;wsp:rsid wsp:val=&quot;003261AA&quot;/&gt;&lt;wsp:rsid wsp:val=&quot;00327485&quot;/&gt;&lt;wsp:rsid wsp:val=&quot;0032782F&quot;/&gt;&lt;wsp:rsid wsp:val=&quot;00327FA2&quot;/&gt;&lt;wsp:rsid wsp:val=&quot;003300A7&quot;/&gt;&lt;wsp:rsid wsp:val=&quot;00330A0F&quot;/&gt;&lt;wsp:rsid wsp:val=&quot;00330C21&quot;/&gt;&lt;wsp:rsid wsp:val=&quot;00331253&quot;/&gt;&lt;wsp:rsid wsp:val=&quot;0033139B&quot;/&gt;&lt;wsp:rsid wsp:val=&quot;003313E5&quot;/&gt;&lt;wsp:rsid wsp:val=&quot;0033183D&quot;/&gt;&lt;wsp:rsid wsp:val=&quot;00333127&quot;/&gt;&lt;wsp:rsid wsp:val=&quot;00333509&quot;/&gt;&lt;wsp:rsid wsp:val=&quot;00333EC5&quot;/&gt;&lt;wsp:rsid wsp:val=&quot;00333FA2&quot;/&gt;&lt;wsp:rsid wsp:val=&quot;00334332&quot;/&gt;&lt;wsp:rsid wsp:val=&quot;00334523&quot;/&gt;&lt;wsp:rsid wsp:val=&quot;00334B0E&quot;/&gt;&lt;wsp:rsid wsp:val=&quot;003351CE&quot;/&gt;&lt;wsp:rsid wsp:val=&quot;0033537A&quot;/&gt;&lt;wsp:rsid wsp:val=&quot;003353E1&quot;/&gt;&lt;wsp:rsid wsp:val=&quot;00335BB0&quot;/&gt;&lt;wsp:rsid wsp:val=&quot;00335BCE&quot;/&gt;&lt;wsp:rsid wsp:val=&quot;00335C99&quot;/&gt;&lt;wsp:rsid wsp:val=&quot;00336CD4&quot;/&gt;&lt;wsp:rsid wsp:val=&quot;00336EC7&quot;/&gt;&lt;wsp:rsid wsp:val=&quot;00336F7A&quot;/&gt;&lt;wsp:rsid wsp:val=&quot;00336FCA&quot;/&gt;&lt;wsp:rsid wsp:val=&quot;0033723A&quot;/&gt;&lt;wsp:rsid wsp:val=&quot;00337271&quot;/&gt;&lt;wsp:rsid wsp:val=&quot;003376F2&quot;/&gt;&lt;wsp:rsid wsp:val=&quot;003378A8&quot;/&gt;&lt;wsp:rsid wsp:val=&quot;0034055F&quot;/&gt;&lt;wsp:rsid wsp:val=&quot;00340804&quot;/&gt;&lt;wsp:rsid wsp:val=&quot;00340F41&quot;/&gt;&lt;wsp:rsid wsp:val=&quot;0034199A&quot;/&gt;&lt;wsp:rsid wsp:val=&quot;00341BBA&quot;/&gt;&lt;wsp:rsid wsp:val=&quot;003427FD&quot;/&gt;&lt;wsp:rsid wsp:val=&quot;00342A4A&quot;/&gt;&lt;wsp:rsid wsp:val=&quot;0034301F&quot;/&gt;&lt;wsp:rsid wsp:val=&quot;003438A2&quot;/&gt;&lt;wsp:rsid wsp:val=&quot;00343CEE&quot;/&gt;&lt;wsp:rsid wsp:val=&quot;00343D5D&quot;/&gt;&lt;wsp:rsid wsp:val=&quot;003440DE&quot;/&gt;&lt;wsp:rsid wsp:val=&quot;0034417B&quot;/&gt;&lt;wsp:rsid wsp:val=&quot;003442B5&quot;/&gt;&lt;wsp:rsid wsp:val=&quot;00344771&quot;/&gt;&lt;wsp:rsid wsp:val=&quot;003447FC&quot;/&gt;&lt;wsp:rsid wsp:val=&quot;0034500E&quot;/&gt;&lt;wsp:rsid wsp:val=&quot;003450B0&quot;/&gt;&lt;wsp:rsid wsp:val=&quot;00345476&quot;/&gt;&lt;wsp:rsid wsp:val=&quot;003456CE&quot;/&gt;&lt;wsp:rsid wsp:val=&quot;00345789&quot;/&gt;&lt;wsp:rsid wsp:val=&quot;003458F6&quot;/&gt;&lt;wsp:rsid wsp:val=&quot;00345968&quot;/&gt;&lt;wsp:rsid wsp:val=&quot;00345AE3&quot;/&gt;&lt;wsp:rsid wsp:val=&quot;00345B4D&quot;/&gt;&lt;wsp:rsid wsp:val=&quot;00345EFA&quot;/&gt;&lt;wsp:rsid wsp:val=&quot;00346290&quot;/&gt;&lt;wsp:rsid wsp:val=&quot;003463D7&quot;/&gt;&lt;wsp:rsid wsp:val=&quot;00346493&quot;/&gt;&lt;wsp:rsid wsp:val=&quot;00346582&quot;/&gt;&lt;wsp:rsid wsp:val=&quot;00346A6F&quot;/&gt;&lt;wsp:rsid wsp:val=&quot;00346BA9&quot;/&gt;&lt;wsp:rsid wsp:val=&quot;00347731&quot;/&gt;&lt;wsp:rsid wsp:val=&quot;00347870&quot;/&gt;&lt;wsp:rsid wsp:val=&quot;00347E26&quot;/&gt;&lt;wsp:rsid wsp:val=&quot;00347E2D&quot;/&gt;&lt;wsp:rsid wsp:val=&quot;00350103&quot;/&gt;&lt;wsp:rsid wsp:val=&quot;0035012C&quot;/&gt;&lt;wsp:rsid wsp:val=&quot;00350190&quot;/&gt;&lt;wsp:rsid wsp:val=&quot;003502B6&quot;/&gt;&lt;wsp:rsid wsp:val=&quot;003507E6&quot;/&gt;&lt;wsp:rsid wsp:val=&quot;00350DF0&quot;/&gt;&lt;wsp:rsid wsp:val=&quot;00350FEC&quot;/&gt;&lt;wsp:rsid wsp:val=&quot;00351B5B&quot;/&gt;&lt;wsp:rsid wsp:val=&quot;00351E8F&quot;/&gt;&lt;wsp:rsid wsp:val=&quot;0035245B&quot;/&gt;&lt;wsp:rsid wsp:val=&quot;0035282A&quot;/&gt;&lt;wsp:rsid wsp:val=&quot;00352D5B&quot;/&gt;&lt;wsp:rsid wsp:val=&quot;0035383B&quot;/&gt;&lt;wsp:rsid wsp:val=&quot;00353B23&quot;/&gt;&lt;wsp:rsid wsp:val=&quot;00353C91&quot;/&gt;&lt;wsp:rsid wsp:val=&quot;00354371&quot;/&gt;&lt;wsp:rsid wsp:val=&quot;0035559E&quot;/&gt;&lt;wsp:rsid wsp:val=&quot;00355943&quot;/&gt;&lt;wsp:rsid wsp:val=&quot;00355999&quot;/&gt;&lt;wsp:rsid wsp:val=&quot;00356BFE&quot;/&gt;&lt;wsp:rsid wsp:val=&quot;00357381&quot;/&gt;&lt;wsp:rsid wsp:val=&quot;00357721&quot;/&gt;&lt;wsp:rsid wsp:val=&quot;00357CA6&quot;/&gt;&lt;wsp:rsid wsp:val=&quot;00360509&quot;/&gt;&lt;wsp:rsid wsp:val=&quot;00360741&quot;/&gt;&lt;wsp:rsid wsp:val=&quot;003607D3&quot;/&gt;&lt;wsp:rsid wsp:val=&quot;00360CF9&quot;/&gt;&lt;wsp:rsid wsp:val=&quot;00361806&quot;/&gt;&lt;wsp:rsid wsp:val=&quot;00361CF4&quot;/&gt;&lt;wsp:rsid wsp:val=&quot;0036221A&quot;/&gt;&lt;wsp:rsid wsp:val=&quot;0036239E&quot;/&gt;&lt;wsp:rsid wsp:val=&quot;0036241A&quot;/&gt;&lt;wsp:rsid wsp:val=&quot;00363622&quot;/&gt;&lt;wsp:rsid wsp:val=&quot;003645E3&quot;/&gt;&lt;wsp:rsid wsp:val=&quot;00364626&quot;/&gt;&lt;wsp:rsid wsp:val=&quot;003646E4&quot;/&gt;&lt;wsp:rsid wsp:val=&quot;00364A73&quot;/&gt;&lt;wsp:rsid wsp:val=&quot;00365617&quot;/&gt;&lt;wsp:rsid wsp:val=&quot;0036566A&quot;/&gt;&lt;wsp:rsid wsp:val=&quot;003657A7&quot;/&gt;&lt;wsp:rsid wsp:val=&quot;0036594C&quot;/&gt;&lt;wsp:rsid wsp:val=&quot;00365BEC&quot;/&gt;&lt;wsp:rsid wsp:val=&quot;00365DEA&quot;/&gt;&lt;wsp:rsid wsp:val=&quot;00365EB6&quot;/&gt;&lt;wsp:rsid wsp:val=&quot;00366353&quot;/&gt;&lt;wsp:rsid wsp:val=&quot;003663C1&quot;/&gt;&lt;wsp:rsid wsp:val=&quot;00366467&quot;/&gt;&lt;wsp:rsid wsp:val=&quot;003666DD&quot;/&gt;&lt;wsp:rsid wsp:val=&quot;0036784F&quot;/&gt;&lt;wsp:rsid wsp:val=&quot;00367AD2&quot;/&gt;&lt;wsp:rsid wsp:val=&quot;00367CA1&quot;/&gt;&lt;wsp:rsid wsp:val=&quot;003701F5&quot;/&gt;&lt;wsp:rsid wsp:val=&quot;0037037B&quot;/&gt;&lt;wsp:rsid wsp:val=&quot;00370794&quot;/&gt;&lt;wsp:rsid wsp:val=&quot;00370B84&quot;/&gt;&lt;wsp:rsid wsp:val=&quot;003713CD&quot;/&gt;&lt;wsp:rsid wsp:val=&quot;003717B3&quot;/&gt;&lt;wsp:rsid wsp:val=&quot;00371AFA&quot;/&gt;&lt;wsp:rsid wsp:val=&quot;003723B9&quot;/&gt;&lt;wsp:rsid wsp:val=&quot;00372DCB&quot;/&gt;&lt;wsp:rsid wsp:val=&quot;003738AC&quot;/&gt;&lt;wsp:rsid wsp:val=&quot;003739CD&quot;/&gt;&lt;wsp:rsid wsp:val=&quot;00373A7E&quot;/&gt;&lt;wsp:rsid wsp:val=&quot;00373AD5&quot;/&gt;&lt;wsp:rsid wsp:val=&quot;00373C3F&quot;/&gt;&lt;wsp:rsid wsp:val=&quot;00373E88&quot;/&gt;&lt;wsp:rsid wsp:val=&quot;00373EE3&quot;/&gt;&lt;wsp:rsid wsp:val=&quot;003741FE&quot;/&gt;&lt;wsp:rsid wsp:val=&quot;00374403&quot;/&gt;&lt;wsp:rsid wsp:val=&quot;003748C6&quot;/&gt;&lt;wsp:rsid wsp:val=&quot;003751E8&quot;/&gt;&lt;wsp:rsid wsp:val=&quot;00375562&quot;/&gt;&lt;wsp:rsid wsp:val=&quot;003755A5&quot;/&gt;&lt;wsp:rsid wsp:val=&quot;00375CAD&quot;/&gt;&lt;wsp:rsid wsp:val=&quot;00375EEB&quot;/&gt;&lt;wsp:rsid wsp:val=&quot;0037640D&quot;/&gt;&lt;wsp:rsid wsp:val=&quot;003765B7&quot;/&gt;&lt;wsp:rsid wsp:val=&quot;00376854&quot;/&gt;&lt;wsp:rsid wsp:val=&quot;00376DFF&quot;/&gt;&lt;wsp:rsid wsp:val=&quot;003773E7&quot;/&gt;&lt;wsp:rsid wsp:val=&quot;00377914&quot;/&gt;&lt;wsp:rsid wsp:val=&quot;003779DE&quot;/&gt;&lt;wsp:rsid wsp:val=&quot;00377C79&quot;/&gt;&lt;wsp:rsid wsp:val=&quot;00377D79&quot;/&gt;&lt;wsp:rsid wsp:val=&quot;003802AA&quot;/&gt;&lt;wsp:rsid wsp:val=&quot;003806F4&quot;/&gt;&lt;wsp:rsid wsp:val=&quot;00381031&quot;/&gt;&lt;wsp:rsid wsp:val=&quot;003813BA&quot;/&gt;&lt;wsp:rsid wsp:val=&quot;00381605&quot;/&gt;&lt;wsp:rsid wsp:val=&quot;00381E59&quot;/&gt;&lt;wsp:rsid wsp:val=&quot;00382915&quot;/&gt;&lt;wsp:rsid wsp:val=&quot;00382A2E&quot;/&gt;&lt;wsp:rsid wsp:val=&quot;00383445&quot;/&gt;&lt;wsp:rsid wsp:val=&quot;0038355D&quot;/&gt;&lt;wsp:rsid wsp:val=&quot;00383C62&quot;/&gt;&lt;wsp:rsid wsp:val=&quot;0038424C&quot;/&gt;&lt;wsp:rsid wsp:val=&quot;003842F7&quot;/&gt;&lt;wsp:rsid wsp:val=&quot;003853B3&quot;/&gt;&lt;wsp:rsid wsp:val=&quot;00385BA9&quot;/&gt;&lt;wsp:rsid wsp:val=&quot;00385C88&quot;/&gt;&lt;wsp:rsid wsp:val=&quot;003862A0&quot;/&gt;&lt;wsp:rsid wsp:val=&quot;00386431&quot;/&gt;&lt;wsp:rsid wsp:val=&quot;00386549&quot;/&gt;&lt;wsp:rsid wsp:val=&quot;00386F6B&quot;/&gt;&lt;wsp:rsid wsp:val=&quot;00387830&quot;/&gt;&lt;wsp:rsid wsp:val=&quot;0038796C&quot;/&gt;&lt;wsp:rsid wsp:val=&quot;00387FE2&quot;/&gt;&lt;wsp:rsid wsp:val=&quot;00390172&quot;/&gt;&lt;wsp:rsid wsp:val=&quot;003906FF&quot;/&gt;&lt;wsp:rsid wsp:val=&quot;0039153F&quot;/&gt;&lt;wsp:rsid wsp:val=&quot;00391652&quot;/&gt;&lt;wsp:rsid wsp:val=&quot;00392391&quot;/&gt;&lt;wsp:rsid wsp:val=&quot;00392D0F&quot;/&gt;&lt;wsp:rsid wsp:val=&quot;0039342B&quot;/&gt;&lt;wsp:rsid wsp:val=&quot;0039344B&quot;/&gt;&lt;wsp:rsid wsp:val=&quot;0039366E&quot;/&gt;&lt;wsp:rsid wsp:val=&quot;0039483D&quot;/&gt;&lt;wsp:rsid wsp:val=&quot;00394916&quot;/&gt;&lt;wsp:rsid wsp:val=&quot;003949E4&quot;/&gt;&lt;wsp:rsid wsp:val=&quot;00394CED&quot;/&gt;&lt;wsp:rsid wsp:val=&quot;00394F8C&quot;/&gt;&lt;wsp:rsid wsp:val=&quot;00395069&quot;/&gt;&lt;wsp:rsid wsp:val=&quot;0039526B&quot;/&gt;&lt;wsp:rsid wsp:val=&quot;0039554B&quot;/&gt;&lt;wsp:rsid wsp:val=&quot;003955B2&quot;/&gt;&lt;wsp:rsid wsp:val=&quot;00395688&quot;/&gt;&lt;wsp:rsid wsp:val=&quot;00395CBD&quot;/&gt;&lt;wsp:rsid wsp:val=&quot;00395DA4&quot;/&gt;&lt;wsp:rsid wsp:val=&quot;00395EC4&quot;/&gt;&lt;wsp:rsid wsp:val=&quot;003962A8&quot;/&gt;&lt;wsp:rsid wsp:val=&quot;00396871&quot;/&gt;&lt;wsp:rsid wsp:val=&quot;00397C4F&quot;/&gt;&lt;wsp:rsid wsp:val=&quot;00397FD3&quot;/&gt;&lt;wsp:rsid wsp:val=&quot;003A01D0&quot;/&gt;&lt;wsp:rsid wsp:val=&quot;003A0596&quot;/&gt;&lt;wsp:rsid wsp:val=&quot;003A0768&quot;/&gt;&lt;wsp:rsid wsp:val=&quot;003A0820&quot;/&gt;&lt;wsp:rsid wsp:val=&quot;003A14B7&quot;/&gt;&lt;wsp:rsid wsp:val=&quot;003A17CC&quot;/&gt;&lt;wsp:rsid wsp:val=&quot;003A1910&quot;/&gt;&lt;wsp:rsid wsp:val=&quot;003A1997&quot;/&gt;&lt;wsp:rsid wsp:val=&quot;003A1EC8&quot;/&gt;&lt;wsp:rsid wsp:val=&quot;003A2490&quot;/&gt;&lt;wsp:rsid wsp:val=&quot;003A27D9&quot;/&gt;&lt;wsp:rsid wsp:val=&quot;003A2CED&quot;/&gt;&lt;wsp:rsid wsp:val=&quot;003A2F2D&quot;/&gt;&lt;wsp:rsid wsp:val=&quot;003A2FA0&quot;/&gt;&lt;wsp:rsid wsp:val=&quot;003A32D1&quot;/&gt;&lt;wsp:rsid wsp:val=&quot;003A34C4&quot;/&gt;&lt;wsp:rsid wsp:val=&quot;003A378B&quot;/&gt;&lt;wsp:rsid wsp:val=&quot;003A3B1A&quot;/&gt;&lt;wsp:rsid wsp:val=&quot;003A3E5D&quot;/&gt;&lt;wsp:rsid wsp:val=&quot;003A4101&quot;/&gt;&lt;wsp:rsid wsp:val=&quot;003A4658&quot;/&gt;&lt;wsp:rsid wsp:val=&quot;003A469E&quot;/&gt;&lt;wsp:rsid wsp:val=&quot;003A477C&quot;/&gt;&lt;wsp:rsid wsp:val=&quot;003A4E04&quot;/&gt;&lt;wsp:rsid wsp:val=&quot;003A53E8&quot;/&gt;&lt;wsp:rsid wsp:val=&quot;003A57D5&quot;/&gt;&lt;wsp:rsid wsp:val=&quot;003A5A42&quot;/&gt;&lt;wsp:rsid wsp:val=&quot;003A5ADE&quot;/&gt;&lt;wsp:rsid wsp:val=&quot;003A5E54&quot;/&gt;&lt;wsp:rsid wsp:val=&quot;003A61AC&quot;/&gt;&lt;wsp:rsid wsp:val=&quot;003A69BD&quot;/&gt;&lt;wsp:rsid wsp:val=&quot;003A71E0&quot;/&gt;&lt;wsp:rsid wsp:val=&quot;003A752F&quot;/&gt;&lt;wsp:rsid wsp:val=&quot;003A7805&quot;/&gt;&lt;wsp:rsid wsp:val=&quot;003A7926&quot;/&gt;&lt;wsp:rsid wsp:val=&quot;003A7D6D&quot;/&gt;&lt;wsp:rsid wsp:val=&quot;003B035A&quot;/&gt;&lt;wsp:rsid wsp:val=&quot;003B0469&quot;/&gt;&lt;wsp:rsid wsp:val=&quot;003B0516&quot;/&gt;&lt;wsp:rsid wsp:val=&quot;003B0B90&quot;/&gt;&lt;wsp:rsid wsp:val=&quot;003B123C&quot;/&gt;&lt;wsp:rsid wsp:val=&quot;003B136C&quot;/&gt;&lt;wsp:rsid wsp:val=&quot;003B196F&quot;/&gt;&lt;wsp:rsid wsp:val=&quot;003B19C2&quot;/&gt;&lt;wsp:rsid wsp:val=&quot;003B24D9&quot;/&gt;&lt;wsp:rsid wsp:val=&quot;003B2D38&quot;/&gt;&lt;wsp:rsid wsp:val=&quot;003B3093&quot;/&gt;&lt;wsp:rsid wsp:val=&quot;003B32E3&quot;/&gt;&lt;wsp:rsid wsp:val=&quot;003B342E&quot;/&gt;&lt;wsp:rsid wsp:val=&quot;003B34F5&quot;/&gt;&lt;wsp:rsid wsp:val=&quot;003B401F&quot;/&gt;&lt;wsp:rsid wsp:val=&quot;003B4781&quot;/&gt;&lt;wsp:rsid wsp:val=&quot;003B48DE&quot;/&gt;&lt;wsp:rsid wsp:val=&quot;003B4D2E&quot;/&gt;&lt;wsp:rsid wsp:val=&quot;003B4F6F&quot;/&gt;&lt;wsp:rsid wsp:val=&quot;003B51C4&quot;/&gt;&lt;wsp:rsid wsp:val=&quot;003B533B&quot;/&gt;&lt;wsp:rsid wsp:val=&quot;003B58EC&quot;/&gt;&lt;wsp:rsid wsp:val=&quot;003B5A1D&quot;/&gt;&lt;wsp:rsid wsp:val=&quot;003B5F0B&quot;/&gt;&lt;wsp:rsid wsp:val=&quot;003B5F46&quot;/&gt;&lt;wsp:rsid wsp:val=&quot;003B6756&quot;/&gt;&lt;wsp:rsid wsp:val=&quot;003B6868&quot;/&gt;&lt;wsp:rsid wsp:val=&quot;003B6FF0&quot;/&gt;&lt;wsp:rsid wsp:val=&quot;003B738E&quot;/&gt;&lt;wsp:rsid wsp:val=&quot;003B75AC&quot;/&gt;&lt;wsp:rsid wsp:val=&quot;003B7D80&quot;/&gt;&lt;wsp:rsid wsp:val=&quot;003B7E55&quot;/&gt;&lt;wsp:rsid wsp:val=&quot;003C0B4F&quot;/&gt;&lt;wsp:rsid wsp:val=&quot;003C0CD3&quot;/&gt;&lt;wsp:rsid wsp:val=&quot;003C1200&quot;/&gt;&lt;wsp:rsid wsp:val=&quot;003C124E&quot;/&gt;&lt;wsp:rsid wsp:val=&quot;003C127D&quot;/&gt;&lt;wsp:rsid wsp:val=&quot;003C1C7A&quot;/&gt;&lt;wsp:rsid wsp:val=&quot;003C1CFF&quot;/&gt;&lt;wsp:rsid wsp:val=&quot;003C1D5D&quot;/&gt;&lt;wsp:rsid wsp:val=&quot;003C21E9&quot;/&gt;&lt;wsp:rsid wsp:val=&quot;003C221B&quot;/&gt;&lt;wsp:rsid wsp:val=&quot;003C2806&quot;/&gt;&lt;wsp:rsid wsp:val=&quot;003C29FB&quot;/&gt;&lt;wsp:rsid wsp:val=&quot;003C2B75&quot;/&gt;&lt;wsp:rsid wsp:val=&quot;003C2C95&quot;/&gt;&lt;wsp:rsid wsp:val=&quot;003C2C9F&quot;/&gt;&lt;wsp:rsid wsp:val=&quot;003C2E2A&quot;/&gt;&lt;wsp:rsid wsp:val=&quot;003C3748&quot;/&gt;&lt;wsp:rsid wsp:val=&quot;003C3EA8&quot;/&gt;&lt;wsp:rsid wsp:val=&quot;003C40A0&quot;/&gt;&lt;wsp:rsid wsp:val=&quot;003C4278&quot;/&gt;&lt;wsp:rsid wsp:val=&quot;003C4300&quot;/&gt;&lt;wsp:rsid wsp:val=&quot;003C475F&quot;/&gt;&lt;wsp:rsid wsp:val=&quot;003C49BC&quot;/&gt;&lt;wsp:rsid wsp:val=&quot;003C4D85&quot;/&gt;&lt;wsp:rsid wsp:val=&quot;003C4EC4&quot;/&gt;&lt;wsp:rsid wsp:val=&quot;003C55AA&quot;/&gt;&lt;wsp:rsid wsp:val=&quot;003C6335&quot;/&gt;&lt;wsp:rsid wsp:val=&quot;003C656F&quot;/&gt;&lt;wsp:rsid wsp:val=&quot;003C6FEB&quot;/&gt;&lt;wsp:rsid wsp:val=&quot;003C7595&quot;/&gt;&lt;wsp:rsid wsp:val=&quot;003C7764&quot;/&gt;&lt;wsp:rsid wsp:val=&quot;003C7AFF&quot;/&gt;&lt;wsp:rsid wsp:val=&quot;003C7E63&quot;/&gt;&lt;wsp:rsid wsp:val=&quot;003C7ECD&quot;/&gt;&lt;wsp:rsid wsp:val=&quot;003D045D&quot;/&gt;&lt;wsp:rsid wsp:val=&quot;003D08A6&quot;/&gt;&lt;wsp:rsid wsp:val=&quot;003D09FE&quot;/&gt;&lt;wsp:rsid wsp:val=&quot;003D1255&quot;/&gt;&lt;wsp:rsid wsp:val=&quot;003D137F&quot;/&gt;&lt;wsp:rsid wsp:val=&quot;003D18FC&quot;/&gt;&lt;wsp:rsid wsp:val=&quot;003D194F&quot;/&gt;&lt;wsp:rsid wsp:val=&quot;003D2AB5&quot;/&gt;&lt;wsp:rsid wsp:val=&quot;003D308D&quot;/&gt;&lt;wsp:rsid wsp:val=&quot;003D370F&quot;/&gt;&lt;wsp:rsid wsp:val=&quot;003D3A18&quot;/&gt;&lt;wsp:rsid wsp:val=&quot;003D3D0C&quot;/&gt;&lt;wsp:rsid wsp:val=&quot;003D3D66&quot;/&gt;&lt;wsp:rsid wsp:val=&quot;003D4097&quot;/&gt;&lt;wsp:rsid wsp:val=&quot;003D4823&quot;/&gt;&lt;wsp:rsid wsp:val=&quot;003D4850&quot;/&gt;&lt;wsp:rsid wsp:val=&quot;003D4973&quot;/&gt;&lt;wsp:rsid wsp:val=&quot;003D5C10&quot;/&gt;&lt;wsp:rsid wsp:val=&quot;003D6227&quot;/&gt;&lt;wsp:rsid wsp:val=&quot;003D6534&quot;/&gt;&lt;wsp:rsid wsp:val=&quot;003D6758&quot;/&gt;&lt;wsp:rsid wsp:val=&quot;003D6E1D&quot;/&gt;&lt;wsp:rsid wsp:val=&quot;003D6F45&quot;/&gt;&lt;wsp:rsid wsp:val=&quot;003D7707&quot;/&gt;&lt;wsp:rsid wsp:val=&quot;003D7749&quot;/&gt;&lt;wsp:rsid wsp:val=&quot;003D7BEB&quot;/&gt;&lt;wsp:rsid wsp:val=&quot;003E04D7&quot;/&gt;&lt;wsp:rsid wsp:val=&quot;003E0CF3&quot;/&gt;&lt;wsp:rsid wsp:val=&quot;003E12B0&quot;/&gt;&lt;wsp:rsid wsp:val=&quot;003E1825&quot;/&gt;&lt;wsp:rsid wsp:val=&quot;003E1A9A&quot;/&gt;&lt;wsp:rsid wsp:val=&quot;003E1BC9&quot;/&gt;&lt;wsp:rsid wsp:val=&quot;003E28AC&quot;/&gt;&lt;wsp:rsid wsp:val=&quot;003E2B62&quot;/&gt;&lt;wsp:rsid wsp:val=&quot;003E3977&quot;/&gt;&lt;wsp:rsid wsp:val=&quot;003E39A7&quot;/&gt;&lt;wsp:rsid wsp:val=&quot;003E3F30&quot;/&gt;&lt;wsp:rsid wsp:val=&quot;003E40F2&quot;/&gt;&lt;wsp:rsid wsp:val=&quot;003E423B&quot;/&gt;&lt;wsp:rsid wsp:val=&quot;003E4288&quot;/&gt;&lt;wsp:rsid wsp:val=&quot;003E42B4&quot;/&gt;&lt;wsp:rsid wsp:val=&quot;003E44F5&quot;/&gt;&lt;wsp:rsid wsp:val=&quot;003E44F6&quot;/&gt;&lt;wsp:rsid wsp:val=&quot;003E56DD&quot;/&gt;&lt;wsp:rsid wsp:val=&quot;003E585B&quot;/&gt;&lt;wsp:rsid wsp:val=&quot;003E5950&quot;/&gt;&lt;wsp:rsid wsp:val=&quot;003E5E26&quot;/&gt;&lt;wsp:rsid wsp:val=&quot;003E6366&quot;/&gt;&lt;wsp:rsid wsp:val=&quot;003E6672&quot;/&gt;&lt;wsp:rsid wsp:val=&quot;003E6BB3&quot;/&gt;&lt;wsp:rsid wsp:val=&quot;003E72B7&quot;/&gt;&lt;wsp:rsid wsp:val=&quot;003E74C8&quot;/&gt;&lt;wsp:rsid wsp:val=&quot;003F1CC6&quot;/&gt;&lt;wsp:rsid wsp:val=&quot;003F1DE3&quot;/&gt;&lt;wsp:rsid wsp:val=&quot;003F2377&quot;/&gt;&lt;wsp:rsid wsp:val=&quot;003F253B&quot;/&gt;&lt;wsp:rsid wsp:val=&quot;003F27F7&quot;/&gt;&lt;wsp:rsid wsp:val=&quot;003F2A4E&quot;/&gt;&lt;wsp:rsid wsp:val=&quot;003F2AC6&quot;/&gt;&lt;wsp:rsid wsp:val=&quot;003F2CCF&quot;/&gt;&lt;wsp:rsid wsp:val=&quot;003F3902&quot;/&gt;&lt;wsp:rsid wsp:val=&quot;003F3CCE&quot;/&gt;&lt;wsp:rsid wsp:val=&quot;003F3F8A&quot;/&gt;&lt;wsp:rsid wsp:val=&quot;003F4189&quot;/&gt;&lt;wsp:rsid wsp:val=&quot;003F422B&quot;/&gt;&lt;wsp:rsid wsp:val=&quot;003F4997&quot;/&gt;&lt;wsp:rsid wsp:val=&quot;003F4BA8&quot;/&gt;&lt;wsp:rsid wsp:val=&quot;003F514F&quot;/&gt;&lt;wsp:rsid wsp:val=&quot;003F58AF&quot;/&gt;&lt;wsp:rsid wsp:val=&quot;003F5B8D&quot;/&gt;&lt;wsp:rsid wsp:val=&quot;003F5C47&quot;/&gt;&lt;wsp:rsid wsp:val=&quot;003F619E&quot;/&gt;&lt;wsp:rsid wsp:val=&quot;003F61B9&quot;/&gt;&lt;wsp:rsid wsp:val=&quot;003F643E&quot;/&gt;&lt;wsp:rsid wsp:val=&quot;003F66FB&quot;/&gt;&lt;wsp:rsid wsp:val=&quot;003F6C03&quot;/&gt;&lt;wsp:rsid wsp:val=&quot;003F6D42&quot;/&gt;&lt;wsp:rsid wsp:val=&quot;003F6D91&quot;/&gt;&lt;wsp:rsid wsp:val=&quot;003F70E7&quot;/&gt;&lt;wsp:rsid wsp:val=&quot;003F7650&quot;/&gt;&lt;wsp:rsid wsp:val=&quot;003F7722&quot;/&gt;&lt;wsp:rsid wsp:val=&quot;003F7F15&quot;/&gt;&lt;wsp:rsid wsp:val=&quot;003F7F4C&quot;/&gt;&lt;wsp:rsid wsp:val=&quot;0040000E&quot;/&gt;&lt;wsp:rsid wsp:val=&quot;004001C7&quot;/&gt;&lt;wsp:rsid wsp:val=&quot;00400BDA&quot;/&gt;&lt;wsp:rsid wsp:val=&quot;00400EA8&quot;/&gt;&lt;wsp:rsid wsp:val=&quot;00401374&quot;/&gt;&lt;wsp:rsid wsp:val=&quot;004013BC&quot;/&gt;&lt;wsp:rsid wsp:val=&quot;00401AA4&quot;/&gt;&lt;wsp:rsid wsp:val=&quot;00402305&quot;/&gt;&lt;wsp:rsid wsp:val=&quot;00402F6B&quot;/&gt;&lt;wsp:rsid wsp:val=&quot;004030F6&quot;/&gt;&lt;wsp:rsid wsp:val=&quot;00403112&quot;/&gt;&lt;wsp:rsid wsp:val=&quot;0040318C&quot;/&gt;&lt;wsp:rsid wsp:val=&quot;004031BC&quot;/&gt;&lt;wsp:rsid wsp:val=&quot;00403653&quot;/&gt;&lt;wsp:rsid wsp:val=&quot;00403977&quot;/&gt;&lt;wsp:rsid wsp:val=&quot;00404331&quot;/&gt;&lt;wsp:rsid wsp:val=&quot;004046A7&quot;/&gt;&lt;wsp:rsid wsp:val=&quot;00404DFC&quot;/&gt;&lt;wsp:rsid wsp:val=&quot;004050C4&quot;/&gt;&lt;wsp:rsid wsp:val=&quot;00405392&quot;/&gt;&lt;wsp:rsid wsp:val=&quot;004053B6&quot;/&gt;&lt;wsp:rsid wsp:val=&quot;004055B8&quot;/&gt;&lt;wsp:rsid wsp:val=&quot;00405CC5&quot;/&gt;&lt;wsp:rsid wsp:val=&quot;00406368&quot;/&gt;&lt;wsp:rsid wsp:val=&quot;00406417&quot;/&gt;&lt;wsp:rsid wsp:val=&quot;004068A5&quot;/&gt;&lt;wsp:rsid wsp:val=&quot;00406937&quot;/&gt;&lt;wsp:rsid wsp:val=&quot;00406950&quot;/&gt;&lt;wsp:rsid wsp:val=&quot;00406D89&quot;/&gt;&lt;wsp:rsid wsp:val=&quot;00407532&quot;/&gt;&lt;wsp:rsid wsp:val=&quot;004076BA&quot;/&gt;&lt;wsp:rsid wsp:val=&quot;0040789D&quot;/&gt;&lt;wsp:rsid wsp:val=&quot;00407956&quot;/&gt;&lt;wsp:rsid wsp:val=&quot;00407F03&quot;/&gt;&lt;wsp:rsid wsp:val=&quot;004100B7&quot;/&gt;&lt;wsp:rsid wsp:val=&quot;00410A94&quot;/&gt;&lt;wsp:rsid wsp:val=&quot;00411CBC&quot;/&gt;&lt;wsp:rsid wsp:val=&quot;0041228F&quot;/&gt;&lt;wsp:rsid wsp:val=&quot;004125BF&quot;/&gt;&lt;wsp:rsid wsp:val=&quot;00412611&quot;/&gt;&lt;wsp:rsid wsp:val=&quot;0041261B&quot;/&gt;&lt;wsp:rsid wsp:val=&quot;00412D84&quot;/&gt;&lt;wsp:rsid wsp:val=&quot;00412F7B&quot;/&gt;&lt;wsp:rsid wsp:val=&quot;004131F8&quot;/&gt;&lt;wsp:rsid wsp:val=&quot;00413280&quot;/&gt;&lt;wsp:rsid wsp:val=&quot;00413538&quot;/&gt;&lt;wsp:rsid wsp:val=&quot;0041359D&quot;/&gt;&lt;wsp:rsid wsp:val=&quot;00413A1F&quot;/&gt;&lt;wsp:rsid wsp:val=&quot;00413A55&quot;/&gt;&lt;wsp:rsid wsp:val=&quot;00413BF6&quot;/&gt;&lt;wsp:rsid wsp:val=&quot;00413EF1&quot;/&gt;&lt;wsp:rsid wsp:val=&quot;00414283&quot;/&gt;&lt;wsp:rsid wsp:val=&quot;004149A5&quot;/&gt;&lt;wsp:rsid wsp:val=&quot;00415025&quot;/&gt;&lt;wsp:rsid wsp:val=&quot;0041503A&quot;/&gt;&lt;wsp:rsid wsp:val=&quot;00415973&quot;/&gt;&lt;wsp:rsid wsp:val=&quot;0041602B&quot;/&gt;&lt;wsp:rsid wsp:val=&quot;00416250&quot;/&gt;&lt;wsp:rsid wsp:val=&quot;004163F2&quot;/&gt;&lt;wsp:rsid wsp:val=&quot;004167EC&quot;/&gt;&lt;wsp:rsid wsp:val=&quot;00416883&quot;/&gt;&lt;wsp:rsid wsp:val=&quot;00416DFE&quot;/&gt;&lt;wsp:rsid wsp:val=&quot;00416F49&quot;/&gt;&lt;wsp:rsid wsp:val=&quot;00417041&quot;/&gt;&lt;wsp:rsid wsp:val=&quot;00417337&quot;/&gt;&lt;wsp:rsid wsp:val=&quot;00417BF4&quot;/&gt;&lt;wsp:rsid wsp:val=&quot;004203B2&quot;/&gt;&lt;wsp:rsid wsp:val=&quot;00420511&quot;/&gt;&lt;wsp:rsid wsp:val=&quot;00420B7C&quot;/&gt;&lt;wsp:rsid wsp:val=&quot;004211F3&quot;/&gt;&lt;wsp:rsid wsp:val=&quot;004215A3&quot;/&gt;&lt;wsp:rsid wsp:val=&quot;00421814&quot;/&gt;&lt;wsp:rsid wsp:val=&quot;004219EC&quot;/&gt;&lt;wsp:rsid wsp:val=&quot;00421D91&quot;/&gt;&lt;wsp:rsid wsp:val=&quot;00421F5D&quot;/&gt;&lt;wsp:rsid wsp:val=&quot;004220E5&quot;/&gt;&lt;wsp:rsid wsp:val=&quot;004222A2&quot;/&gt;&lt;wsp:rsid wsp:val=&quot;0042338A&quot;/&gt;&lt;wsp:rsid wsp:val=&quot;0042375F&quot;/&gt;&lt;wsp:rsid wsp:val=&quot;0042396F&quot;/&gt;&lt;wsp:rsid wsp:val=&quot;00423B44&quot;/&gt;&lt;wsp:rsid wsp:val=&quot;00423E10&quot;/&gt;&lt;wsp:rsid wsp:val=&quot;004241E3&quot;/&gt;&lt;wsp:rsid wsp:val=&quot;004244C1&quot;/&gt;&lt;wsp:rsid wsp:val=&quot;00424551&quot;/&gt;&lt;wsp:rsid wsp:val=&quot;00424868&quot;/&gt;&lt;wsp:rsid wsp:val=&quot;00424B55&quot;/&gt;&lt;wsp:rsid wsp:val=&quot;00424B6D&quot;/&gt;&lt;wsp:rsid wsp:val=&quot;00424B6F&quot;/&gt;&lt;wsp:rsid wsp:val=&quot;00424BA4&quot;/&gt;&lt;wsp:rsid wsp:val=&quot;00424DC3&quot;/&gt;&lt;wsp:rsid wsp:val=&quot;00425106&quot;/&gt;&lt;wsp:rsid wsp:val=&quot;0042521E&quot;/&gt;&lt;wsp:rsid wsp:val=&quot;0042527A&quot;/&gt;&lt;wsp:rsid wsp:val=&quot;0042578C&quot;/&gt;&lt;wsp:rsid wsp:val=&quot;0042579D&quot;/&gt;&lt;wsp:rsid wsp:val=&quot;00425B19&quot;/&gt;&lt;wsp:rsid wsp:val=&quot;00426310&quot;/&gt;&lt;wsp:rsid wsp:val=&quot;004268F6&quot;/&gt;&lt;wsp:rsid wsp:val=&quot;00426F5F&quot;/&gt;&lt;wsp:rsid wsp:val=&quot;0042708D&quot;/&gt;&lt;wsp:rsid wsp:val=&quot;004271C8&quot;/&gt;&lt;wsp:rsid wsp:val=&quot;004273E3&quot;/&gt;&lt;wsp:rsid wsp:val=&quot;004276D2&quot;/&gt;&lt;wsp:rsid wsp:val=&quot;00427B2A&quot;/&gt;&lt;wsp:rsid wsp:val=&quot;00427D6F&quot;/&gt;&lt;wsp:rsid wsp:val=&quot;00427DA8&quot;/&gt;&lt;wsp:rsid wsp:val=&quot;00427E1E&quot;/&gt;&lt;wsp:rsid wsp:val=&quot;004302DD&quot;/&gt;&lt;wsp:rsid wsp:val=&quot;00430873&quot;/&gt;&lt;wsp:rsid wsp:val=&quot;00430D7F&quot;/&gt;&lt;wsp:rsid wsp:val=&quot;00430FA9&quot;/&gt;&lt;wsp:rsid wsp:val=&quot;00431317&quot;/&gt;&lt;wsp:rsid wsp:val=&quot;004314DB&quot;/&gt;&lt;wsp:rsid wsp:val=&quot;00431B25&quot;/&gt;&lt;wsp:rsid wsp:val=&quot;00431D57&quot;/&gt;&lt;wsp:rsid wsp:val=&quot;00432896&quot;/&gt;&lt;wsp:rsid wsp:val=&quot;00432F88&quot;/&gt;&lt;wsp:rsid wsp:val=&quot;004331E1&quot;/&gt;&lt;wsp:rsid wsp:val=&quot;00433717&quot;/&gt;&lt;wsp:rsid wsp:val=&quot;00433D2C&quot;/&gt;&lt;wsp:rsid wsp:val=&quot;00433EAB&quot;/&gt;&lt;wsp:rsid wsp:val=&quot;00434A40&quot;/&gt;&lt;wsp:rsid wsp:val=&quot;004357AA&quot;/&gt;&lt;wsp:rsid wsp:val=&quot;004358D3&quot;/&gt;&lt;wsp:rsid wsp:val=&quot;00435C4C&quot;/&gt;&lt;wsp:rsid wsp:val=&quot;00436097&quot;/&gt;&lt;wsp:rsid wsp:val=&quot;004369B2&quot;/&gt;&lt;wsp:rsid wsp:val=&quot;00436A98&quot;/&gt;&lt;wsp:rsid wsp:val=&quot;00436BD4&quot;/&gt;&lt;wsp:rsid wsp:val=&quot;00436E0E&quot;/&gt;&lt;wsp:rsid wsp:val=&quot;00436EE4&quot;/&gt;&lt;wsp:rsid wsp:val=&quot;004404C3&quot;/&gt;&lt;wsp:rsid wsp:val=&quot;00440F2D&quot;/&gt;&lt;wsp:rsid wsp:val=&quot;004419C5&quot;/&gt;&lt;wsp:rsid wsp:val=&quot;00441B0D&quot;/&gt;&lt;wsp:rsid wsp:val=&quot;00441E08&quot;/&gt;&lt;wsp:rsid wsp:val=&quot;0044225E&quot;/&gt;&lt;wsp:rsid wsp:val=&quot;00442485&quot;/&gt;&lt;wsp:rsid wsp:val=&quot;004425D0&quot;/&gt;&lt;wsp:rsid wsp:val=&quot;0044325F&quot;/&gt;&lt;wsp:rsid wsp:val=&quot;004433D0&quot;/&gt;&lt;wsp:rsid wsp:val=&quot;00443E2F&quot;/&gt;&lt;wsp:rsid wsp:val=&quot;00444A5B&quot;/&gt;&lt;wsp:rsid wsp:val=&quot;00444A7E&quot;/&gt;&lt;wsp:rsid wsp:val=&quot;00444B2A&quot;/&gt;&lt;wsp:rsid wsp:val=&quot;00444D99&quot;/&gt;&lt;wsp:rsid wsp:val=&quot;004453DE&quot;/&gt;&lt;wsp:rsid wsp:val=&quot;0044559D&quot;/&gt;&lt;wsp:rsid wsp:val=&quot;00445737&quot;/&gt;&lt;wsp:rsid wsp:val=&quot;004458EB&quot;/&gt;&lt;wsp:rsid wsp:val=&quot;00445D47&quot;/&gt;&lt;wsp:rsid wsp:val=&quot;004465E4&quot;/&gt;&lt;wsp:rsid wsp:val=&quot;0044688F&quot;/&gt;&lt;wsp:rsid wsp:val=&quot;0044693A&quot;/&gt;&lt;wsp:rsid wsp:val=&quot;00446CDE&quot;/&gt;&lt;wsp:rsid wsp:val=&quot;00446D01&quot;/&gt;&lt;wsp:rsid wsp:val=&quot;0044742D&quot;/&gt;&lt;wsp:rsid wsp:val=&quot;00447EAF&quot;/&gt;&lt;wsp:rsid wsp:val=&quot;004500DA&quot;/&gt;&lt;wsp:rsid wsp:val=&quot;0045055A&quot;/&gt;&lt;wsp:rsid wsp:val=&quot;004507FD&quot;/&gt;&lt;wsp:rsid wsp:val=&quot;00450A2B&quot;/&gt;&lt;wsp:rsid wsp:val=&quot;00451205&quot;/&gt;&lt;wsp:rsid wsp:val=&quot;00451255&quot;/&gt;&lt;wsp:rsid wsp:val=&quot;00451744&quot;/&gt;&lt;wsp:rsid wsp:val=&quot;00451C6F&quot;/&gt;&lt;wsp:rsid wsp:val=&quot;00451EE4&quot;/&gt;&lt;wsp:rsid wsp:val=&quot;004524AA&quot;/&gt;&lt;wsp:rsid wsp:val=&quot;004524AB&quot;/&gt;&lt;wsp:rsid wsp:val=&quot;0045280C&quot;/&gt;&lt;wsp:rsid wsp:val=&quot;00452880&quot;/&gt;&lt;wsp:rsid wsp:val=&quot;00452C8D&quot;/&gt;&lt;wsp:rsid wsp:val=&quot;0045363F&quot;/&gt;&lt;wsp:rsid wsp:val=&quot;004536AD&quot;/&gt;&lt;wsp:rsid wsp:val=&quot;00453D53&quot;/&gt;&lt;wsp:rsid wsp:val=&quot;00453D60&quot;/&gt;&lt;wsp:rsid wsp:val=&quot;00453E18&quot;/&gt;&lt;wsp:rsid wsp:val=&quot;00454D90&quot;/&gt;&lt;wsp:rsid wsp:val=&quot;00454F1E&quot;/&gt;&lt;wsp:rsid wsp:val=&quot;00454FAC&quot;/&gt;&lt;wsp:rsid wsp:val=&quot;0045608C&quot;/&gt;&lt;wsp:rsid wsp:val=&quot;0045692A&quot;/&gt;&lt;wsp:rsid wsp:val=&quot;004575C7&quot;/&gt;&lt;wsp:rsid wsp:val=&quot;00457665&quot;/&gt;&lt;wsp:rsid wsp:val=&quot;0045796B&quot;/&gt;&lt;wsp:rsid wsp:val=&quot;00457A92&quot;/&gt;&lt;wsp:rsid wsp:val=&quot;00457CDA&quot;/&gt;&lt;wsp:rsid wsp:val=&quot;0046014C&quot;/&gt;&lt;wsp:rsid wsp:val=&quot;004607BD&quot;/&gt;&lt;wsp:rsid wsp:val=&quot;00460D0D&quot;/&gt;&lt;wsp:rsid wsp:val=&quot;00461029&quot;/&gt;&lt;wsp:rsid wsp:val=&quot;00461236&quot;/&gt;&lt;wsp:rsid wsp:val=&quot;00461543&quot;/&gt;&lt;wsp:rsid wsp:val=&quot;004619CC&quot;/&gt;&lt;wsp:rsid wsp:val=&quot;00461DA9&quot;/&gt;&lt;wsp:rsid wsp:val=&quot;00462293&quot;/&gt;&lt;wsp:rsid wsp:val=&quot;00462798&quot;/&gt;&lt;wsp:rsid wsp:val=&quot;00462ADB&quot;/&gt;&lt;wsp:rsid wsp:val=&quot;00462B19&quot;/&gt;&lt;wsp:rsid wsp:val=&quot;00462B49&quot;/&gt;&lt;wsp:rsid wsp:val=&quot;0046304A&quot;/&gt;&lt;wsp:rsid wsp:val=&quot;004634B4&quot;/&gt;&lt;wsp:rsid wsp:val=&quot;00463504&quot;/&gt;&lt;wsp:rsid wsp:val=&quot;00463561&quot;/&gt;&lt;wsp:rsid wsp:val=&quot;00463929&quot;/&gt;&lt;wsp:rsid wsp:val=&quot;00463A15&quot;/&gt;&lt;wsp:rsid wsp:val=&quot;00463D30&quot;/&gt;&lt;wsp:rsid wsp:val=&quot;0046400F&quot;/&gt;&lt;wsp:rsid wsp:val=&quot;004649F7&quot;/&gt;&lt;wsp:rsid wsp:val=&quot;00465139&quot;/&gt;&lt;wsp:rsid wsp:val=&quot;00465365&quot;/&gt;&lt;wsp:rsid wsp:val=&quot;004653E2&quot;/&gt;&lt;wsp:rsid wsp:val=&quot;00465595&quot;/&gt;&lt;wsp:rsid wsp:val=&quot;0046575D&quot;/&gt;&lt;wsp:rsid wsp:val=&quot;00465AD5&quot;/&gt;&lt;wsp:rsid wsp:val=&quot;00465D29&quot;/&gt;&lt;wsp:rsid wsp:val=&quot;00465ED2&quot;/&gt;&lt;wsp:rsid wsp:val=&quot;00466B98&quot;/&gt;&lt;wsp:rsid wsp:val=&quot;00466E13&quot;/&gt;&lt;wsp:rsid wsp:val=&quot;00466F51&quot;/&gt;&lt;wsp:rsid wsp:val=&quot;00466FA2&quot;/&gt;&lt;wsp:rsid wsp:val=&quot;004673C0&quot;/&gt;&lt;wsp:rsid wsp:val=&quot;0046777A&quot;/&gt;&lt;wsp:rsid wsp:val=&quot;00467E53&quot;/&gt;&lt;wsp:rsid wsp:val=&quot;004702FC&quot;/&gt;&lt;wsp:rsid wsp:val=&quot;00470765&quot;/&gt;&lt;wsp:rsid wsp:val=&quot;00470970&quot;/&gt;&lt;wsp:rsid wsp:val=&quot;00471355&quot;/&gt;&lt;wsp:rsid wsp:val=&quot;004713E2&quot;/&gt;&lt;wsp:rsid wsp:val=&quot;00471A7E&quot;/&gt;&lt;wsp:rsid wsp:val=&quot;00471B18&quot;/&gt;&lt;wsp:rsid wsp:val=&quot;004723A4&quot;/&gt;&lt;wsp:rsid wsp:val=&quot;00472806&quot;/&gt;&lt;wsp:rsid wsp:val=&quot;00472ABB&quot;/&gt;&lt;wsp:rsid wsp:val=&quot;004734E8&quot;/&gt;&lt;wsp:rsid wsp:val=&quot;00473A78&quot;/&gt;&lt;wsp:rsid wsp:val=&quot;00473DF8&quot;/&gt;&lt;wsp:rsid wsp:val=&quot;00473EB5&quot;/&gt;&lt;wsp:rsid wsp:val=&quot;00475199&quot;/&gt;&lt;wsp:rsid wsp:val=&quot;004758AB&quot;/&gt;&lt;wsp:rsid wsp:val=&quot;00475A54&quot;/&gt;&lt;wsp:rsid wsp:val=&quot;00475D31&quot;/&gt;&lt;wsp:rsid wsp:val=&quot;004764D1&quot;/&gt;&lt;wsp:rsid wsp:val=&quot;00476771&quot;/&gt;&lt;wsp:rsid wsp:val=&quot;0047688F&quot;/&gt;&lt;wsp:rsid wsp:val=&quot;00476AF1&quot;/&gt;&lt;wsp:rsid wsp:val=&quot;00476C5A&quot;/&gt;&lt;wsp:rsid wsp:val=&quot;00476D0A&quot;/&gt;&lt;wsp:rsid wsp:val=&quot;00477364&quot;/&gt;&lt;wsp:rsid wsp:val=&quot;004779F7&quot;/&gt;&lt;wsp:rsid wsp:val=&quot;00477ACD&quot;/&gt;&lt;wsp:rsid wsp:val=&quot;00477B16&quot;/&gt;&lt;wsp:rsid wsp:val=&quot;0048031E&quot;/&gt;&lt;wsp:rsid wsp:val=&quot;004810E1&quot;/&gt;&lt;wsp:rsid wsp:val=&quot;00481152&quot;/&gt;&lt;wsp:rsid wsp:val=&quot;00481281&quot;/&gt;&lt;wsp:rsid wsp:val=&quot;0048197A&quot;/&gt;&lt;wsp:rsid wsp:val=&quot;004823F3&quot;/&gt;&lt;wsp:rsid wsp:val=&quot;00482681&quot;/&gt;&lt;wsp:rsid wsp:val=&quot;00482718&quot;/&gt;&lt;wsp:rsid wsp:val=&quot;004829EE&quot;/&gt;&lt;wsp:rsid wsp:val=&quot;0048317A&quot;/&gt;&lt;wsp:rsid wsp:val=&quot;00483263&quot;/&gt;&lt;wsp:rsid wsp:val=&quot;004833F9&quot;/&gt;&lt;wsp:rsid wsp:val=&quot;00483501&quot;/&gt;&lt;wsp:rsid wsp:val=&quot;00483566&quot;/&gt;&lt;wsp:rsid wsp:val=&quot;0048388E&quot;/&gt;&lt;wsp:rsid wsp:val=&quot;00483CE8&quot;/&gt;&lt;wsp:rsid wsp:val=&quot;004842BA&quot;/&gt;&lt;wsp:rsid wsp:val=&quot;00484408&quot;/&gt;&lt;wsp:rsid wsp:val=&quot;004846AA&quot;/&gt;&lt;wsp:rsid wsp:val=&quot;00484A66&quot;/&gt;&lt;wsp:rsid wsp:val=&quot;00484AB5&quot;/&gt;&lt;wsp:rsid wsp:val=&quot;00484DE9&quot;/&gt;&lt;wsp:rsid wsp:val=&quot;00485487&quot;/&gt;&lt;wsp:rsid wsp:val=&quot;00485CB8&quot;/&gt;&lt;wsp:rsid wsp:val=&quot;00485F09&quot;/&gt;&lt;wsp:rsid wsp:val=&quot;00485F0D&quot;/&gt;&lt;wsp:rsid wsp:val=&quot;0048618B&quot;/&gt;&lt;wsp:rsid wsp:val=&quot;004862AA&quot;/&gt;&lt;wsp:rsid wsp:val=&quot;00486356&quot;/&gt;&lt;wsp:rsid wsp:val=&quot;004866AD&quot;/&gt;&lt;wsp:rsid wsp:val=&quot;004867DD&quot;/&gt;&lt;wsp:rsid wsp:val=&quot;00486AD0&quot;/&gt;&lt;wsp:rsid wsp:val=&quot;00487522&quot;/&gt;&lt;wsp:rsid wsp:val=&quot;0049000B&quot;/&gt;&lt;wsp:rsid wsp:val=&quot;00490441&quot;/&gt;&lt;wsp:rsid wsp:val=&quot;00490484&quot;/&gt;&lt;wsp:rsid wsp:val=&quot;00490623&quot;/&gt;&lt;wsp:rsid wsp:val=&quot;004907EA&quot;/&gt;&lt;wsp:rsid wsp:val=&quot;00491CDA&quot;/&gt;&lt;wsp:rsid wsp:val=&quot;00492703&quot;/&gt;&lt;wsp:rsid wsp:val=&quot;004927E1&quot;/&gt;&lt;wsp:rsid wsp:val=&quot;00492D91&quot;/&gt;&lt;wsp:rsid wsp:val=&quot;004930A9&quot;/&gt;&lt;wsp:rsid wsp:val=&quot;00493387&quot;/&gt;&lt;wsp:rsid wsp:val=&quot;0049428B&quot;/&gt;&lt;wsp:rsid wsp:val=&quot;004946B6&quot;/&gt;&lt;wsp:rsid wsp:val=&quot;00494A65&quot;/&gt;&lt;wsp:rsid wsp:val=&quot;004956E6&quot;/&gt;&lt;wsp:rsid wsp:val=&quot;00495ABD&quot;/&gt;&lt;wsp:rsid wsp:val=&quot;00495F9B&quot;/&gt;&lt;wsp:rsid wsp:val=&quot;004963E7&quot;/&gt;&lt;wsp:rsid wsp:val=&quot;00496A96&quot;/&gt;&lt;wsp:rsid wsp:val=&quot;00496BA8&quot;/&gt;&lt;wsp:rsid wsp:val=&quot;00496D0B&quot;/&gt;&lt;wsp:rsid wsp:val=&quot;0049727F&quot;/&gt;&lt;wsp:rsid wsp:val=&quot;0049746B&quot;/&gt;&lt;wsp:rsid wsp:val=&quot;00497AE2&quot;/&gt;&lt;wsp:rsid wsp:val=&quot;004A0094&quot;/&gt;&lt;wsp:rsid wsp:val=&quot;004A01EC&quot;/&gt;&lt;wsp:rsid wsp:val=&quot;004A0756&quot;/&gt;&lt;wsp:rsid wsp:val=&quot;004A076C&quot;/&gt;&lt;wsp:rsid wsp:val=&quot;004A145B&quot;/&gt;&lt;wsp:rsid wsp:val=&quot;004A14DF&quot;/&gt;&lt;wsp:rsid wsp:val=&quot;004A1978&quot;/&gt;&lt;wsp:rsid wsp:val=&quot;004A1A75&quot;/&gt;&lt;wsp:rsid wsp:val=&quot;004A2234&quot;/&gt;&lt;wsp:rsid wsp:val=&quot;004A26D0&quot;/&gt;&lt;wsp:rsid wsp:val=&quot;004A2947&quot;/&gt;&lt;wsp:rsid wsp:val=&quot;004A295B&quot;/&gt;&lt;wsp:rsid wsp:val=&quot;004A2F95&quot;/&gt;&lt;wsp:rsid wsp:val=&quot;004A35DD&quot;/&gt;&lt;wsp:rsid wsp:val=&quot;004A3A0B&quot;/&gt;&lt;wsp:rsid wsp:val=&quot;004A42CA&quot;/&gt;&lt;wsp:rsid wsp:val=&quot;004A47EE&quot;/&gt;&lt;wsp:rsid wsp:val=&quot;004A4EB8&quot;/&gt;&lt;wsp:rsid wsp:val=&quot;004A4F64&quot;/&gt;&lt;wsp:rsid wsp:val=&quot;004A55C8&quot;/&gt;&lt;wsp:rsid wsp:val=&quot;004A5620&quot;/&gt;&lt;wsp:rsid wsp:val=&quot;004A57C4&quot;/&gt;&lt;wsp:rsid wsp:val=&quot;004A5EE8&quot;/&gt;&lt;wsp:rsid wsp:val=&quot;004A5F83&quot;/&gt;&lt;wsp:rsid wsp:val=&quot;004A6E01&quot;/&gt;&lt;wsp:rsid wsp:val=&quot;004A704E&quot;/&gt;&lt;wsp:rsid wsp:val=&quot;004A775E&quot;/&gt;&lt;wsp:rsid wsp:val=&quot;004A77C1&quot;/&gt;&lt;wsp:rsid wsp:val=&quot;004B0414&quot;/&gt;&lt;wsp:rsid wsp:val=&quot;004B0911&quot;/&gt;&lt;wsp:rsid wsp:val=&quot;004B0B74&quot;/&gt;&lt;wsp:rsid wsp:val=&quot;004B0E9E&quot;/&gt;&lt;wsp:rsid wsp:val=&quot;004B0EA4&quot;/&gt;&lt;wsp:rsid wsp:val=&quot;004B20C4&quot;/&gt;&lt;wsp:rsid wsp:val=&quot;004B2516&quot;/&gt;&lt;wsp:rsid wsp:val=&quot;004B26EA&quot;/&gt;&lt;wsp:rsid wsp:val=&quot;004B2C32&quot;/&gt;&lt;wsp:rsid wsp:val=&quot;004B318F&quot;/&gt;&lt;wsp:rsid wsp:val=&quot;004B35F2&quot;/&gt;&lt;wsp:rsid wsp:val=&quot;004B379F&quot;/&gt;&lt;wsp:rsid wsp:val=&quot;004B383E&quot;/&gt;&lt;wsp:rsid wsp:val=&quot;004B3B88&quot;/&gt;&lt;wsp:rsid wsp:val=&quot;004B41F8&quot;/&gt;&lt;wsp:rsid wsp:val=&quot;004B44FB&quot;/&gt;&lt;wsp:rsid wsp:val=&quot;004B4633&quot;/&gt;&lt;wsp:rsid wsp:val=&quot;004B4AAC&quot;/&gt;&lt;wsp:rsid wsp:val=&quot;004B5012&quot;/&gt;&lt;wsp:rsid wsp:val=&quot;004B50D4&quot;/&gt;&lt;wsp:rsid wsp:val=&quot;004B50E4&quot;/&gt;&lt;wsp:rsid wsp:val=&quot;004B565B&quot;/&gt;&lt;wsp:rsid wsp:val=&quot;004B5771&quot;/&gt;&lt;wsp:rsid wsp:val=&quot;004B6183&quot;/&gt;&lt;wsp:rsid wsp:val=&quot;004B6226&quot;/&gt;&lt;wsp:rsid wsp:val=&quot;004B6F7B&quot;/&gt;&lt;wsp:rsid wsp:val=&quot;004B710C&quot;/&gt;&lt;wsp:rsid wsp:val=&quot;004B769F&quot;/&gt;&lt;wsp:rsid wsp:val=&quot;004B79C8&quot;/&gt;&lt;wsp:rsid wsp:val=&quot;004B7B4E&quot;/&gt;&lt;wsp:rsid wsp:val=&quot;004B7F89&quot;/&gt;&lt;wsp:rsid wsp:val=&quot;004B7FC4&quot;/&gt;&lt;wsp:rsid wsp:val=&quot;004C0205&quot;/&gt;&lt;wsp:rsid wsp:val=&quot;004C05B7&quot;/&gt;&lt;wsp:rsid wsp:val=&quot;004C06DD&quot;/&gt;&lt;wsp:rsid wsp:val=&quot;004C0873&quot;/&gt;&lt;wsp:rsid wsp:val=&quot;004C09CB&quot;/&gt;&lt;wsp:rsid wsp:val=&quot;004C0B23&quot;/&gt;&lt;wsp:rsid wsp:val=&quot;004C0EEA&quot;/&gt;&lt;wsp:rsid wsp:val=&quot;004C0FC1&quot;/&gt;&lt;wsp:rsid wsp:val=&quot;004C1286&quot;/&gt;&lt;wsp:rsid wsp:val=&quot;004C157D&quot;/&gt;&lt;wsp:rsid wsp:val=&quot;004C17AA&quot;/&gt;&lt;wsp:rsid wsp:val=&quot;004C21B4&quot;/&gt;&lt;wsp:rsid wsp:val=&quot;004C29DD&quot;/&gt;&lt;wsp:rsid wsp:val=&quot;004C2D9F&quot;/&gt;&lt;wsp:rsid wsp:val=&quot;004C30F1&quot;/&gt;&lt;wsp:rsid wsp:val=&quot;004C3224&quot;/&gt;&lt;wsp:rsid wsp:val=&quot;004C3756&quot;/&gt;&lt;wsp:rsid wsp:val=&quot;004C3994&quot;/&gt;&lt;wsp:rsid wsp:val=&quot;004C430B&quot;/&gt;&lt;wsp:rsid wsp:val=&quot;004C4648&quot;/&gt;&lt;wsp:rsid wsp:val=&quot;004C4837&quot;/&gt;&lt;wsp:rsid wsp:val=&quot;004C49F8&quot;/&gt;&lt;wsp:rsid wsp:val=&quot;004C4A84&quot;/&gt;&lt;wsp:rsid wsp:val=&quot;004C5203&quot;/&gt;&lt;wsp:rsid wsp:val=&quot;004C5E09&quot;/&gt;&lt;wsp:rsid wsp:val=&quot;004C5E1C&quot;/&gt;&lt;wsp:rsid wsp:val=&quot;004C6033&quot;/&gt;&lt;wsp:rsid wsp:val=&quot;004C6EC4&quot;/&gt;&lt;wsp:rsid wsp:val=&quot;004C6F64&quot;/&gt;&lt;wsp:rsid wsp:val=&quot;004C7873&quot;/&gt;&lt;wsp:rsid wsp:val=&quot;004C7E44&quot;/&gt;&lt;wsp:rsid wsp:val=&quot;004D026F&quot;/&gt;&lt;wsp:rsid wsp:val=&quot;004D0396&quot;/&gt;&lt;wsp:rsid wsp:val=&quot;004D084D&quot;/&gt;&lt;wsp:rsid wsp:val=&quot;004D138E&quot;/&gt;&lt;wsp:rsid wsp:val=&quot;004D1B28&quot;/&gt;&lt;wsp:rsid wsp:val=&quot;004D1DFA&quot;/&gt;&lt;wsp:rsid wsp:val=&quot;004D2AE7&quot;/&gt;&lt;wsp:rsid wsp:val=&quot;004D2EDA&quot;/&gt;&lt;wsp:rsid wsp:val=&quot;004D3490&quot;/&gt;&lt;wsp:rsid wsp:val=&quot;004D363F&quot;/&gt;&lt;wsp:rsid wsp:val=&quot;004D3E14&quot;/&gt;&lt;wsp:rsid wsp:val=&quot;004D401D&quot;/&gt;&lt;wsp:rsid wsp:val=&quot;004D469F&quot;/&gt;&lt;wsp:rsid wsp:val=&quot;004D49B5&quot;/&gt;&lt;wsp:rsid wsp:val=&quot;004D5903&quot;/&gt;&lt;wsp:rsid wsp:val=&quot;004D5B7D&quot;/&gt;&lt;wsp:rsid wsp:val=&quot;004D5E0E&quot;/&gt;&lt;wsp:rsid wsp:val=&quot;004D5F54&quot;/&gt;&lt;wsp:rsid wsp:val=&quot;004D6517&quot;/&gt;&lt;wsp:rsid wsp:val=&quot;004D6817&quot;/&gt;&lt;wsp:rsid wsp:val=&quot;004D68B0&quot;/&gt;&lt;wsp:rsid wsp:val=&quot;004D6945&quot;/&gt;&lt;wsp:rsid wsp:val=&quot;004D6A97&quot;/&gt;&lt;wsp:rsid wsp:val=&quot;004D706D&quot;/&gt;&lt;wsp:rsid wsp:val=&quot;004D7638&quot;/&gt;&lt;wsp:rsid wsp:val=&quot;004E0169&quot;/&gt;&lt;wsp:rsid wsp:val=&quot;004E0422&quot;/&gt;&lt;wsp:rsid wsp:val=&quot;004E0447&quot;/&gt;&lt;wsp:rsid wsp:val=&quot;004E0717&quot;/&gt;&lt;wsp:rsid wsp:val=&quot;004E0832&quot;/&gt;&lt;wsp:rsid wsp:val=&quot;004E08C1&quot;/&gt;&lt;wsp:rsid wsp:val=&quot;004E0D19&quot;/&gt;&lt;wsp:rsid wsp:val=&quot;004E0DA8&quot;/&gt;&lt;wsp:rsid wsp:val=&quot;004E0F0D&quot;/&gt;&lt;wsp:rsid wsp:val=&quot;004E1368&quot;/&gt;&lt;wsp:rsid wsp:val=&quot;004E14B9&quot;/&gt;&lt;wsp:rsid wsp:val=&quot;004E17AB&quot;/&gt;&lt;wsp:rsid wsp:val=&quot;004E17CE&quot;/&gt;&lt;wsp:rsid wsp:val=&quot;004E19B3&quot;/&gt;&lt;wsp:rsid wsp:val=&quot;004E1C8A&quot;/&gt;&lt;wsp:rsid wsp:val=&quot;004E2107&quot;/&gt;&lt;wsp:rsid wsp:val=&quot;004E2744&quot;/&gt;&lt;wsp:rsid wsp:val=&quot;004E2787&quot;/&gt;&lt;wsp:rsid wsp:val=&quot;004E2E2D&quot;/&gt;&lt;wsp:rsid wsp:val=&quot;004E3174&quot;/&gt;&lt;wsp:rsid wsp:val=&quot;004E34E1&quot;/&gt;&lt;wsp:rsid wsp:val=&quot;004E4054&quot;/&gt;&lt;wsp:rsid wsp:val=&quot;004E4C7F&quot;/&gt;&lt;wsp:rsid wsp:val=&quot;004E4D16&quot;/&gt;&lt;wsp:rsid wsp:val=&quot;004E571C&quot;/&gt;&lt;wsp:rsid wsp:val=&quot;004E5DE2&quot;/&gt;&lt;wsp:rsid wsp:val=&quot;004E6225&quot;/&gt;&lt;wsp:rsid wsp:val=&quot;004E63D8&quot;/&gt;&lt;wsp:rsid wsp:val=&quot;004E676C&quot;/&gt;&lt;wsp:rsid wsp:val=&quot;004E6B09&quot;/&gt;&lt;wsp:rsid wsp:val=&quot;004E7E57&quot;/&gt;&lt;wsp:rsid wsp:val=&quot;004E7EE9&quot;/&gt;&lt;wsp:rsid wsp:val=&quot;004F04C6&quot;/&gt;&lt;wsp:rsid wsp:val=&quot;004F128F&quot;/&gt;&lt;wsp:rsid wsp:val=&quot;004F1535&quot;/&gt;&lt;wsp:rsid wsp:val=&quot;004F1CBC&quot;/&gt;&lt;wsp:rsid wsp:val=&quot;004F229D&quot;/&gt;&lt;wsp:rsid wsp:val=&quot;004F28D3&quot;/&gt;&lt;wsp:rsid wsp:val=&quot;004F2DA5&quot;/&gt;&lt;wsp:rsid wsp:val=&quot;004F304E&quot;/&gt;&lt;wsp:rsid wsp:val=&quot;004F396E&quot;/&gt;&lt;wsp:rsid wsp:val=&quot;004F3B0A&quot;/&gt;&lt;wsp:rsid wsp:val=&quot;004F3D7E&quot;/&gt;&lt;wsp:rsid wsp:val=&quot;004F45DC&quot;/&gt;&lt;wsp:rsid wsp:val=&quot;004F4761&quot;/&gt;&lt;wsp:rsid wsp:val=&quot;004F4BB8&quot;/&gt;&lt;wsp:rsid wsp:val=&quot;004F4DD3&quot;/&gt;&lt;wsp:rsid wsp:val=&quot;004F51F0&quot;/&gt;&lt;wsp:rsid wsp:val=&quot;004F52A1&quot;/&gt;&lt;wsp:rsid wsp:val=&quot;004F565E&quot;/&gt;&lt;wsp:rsid wsp:val=&quot;004F64D9&quot;/&gt;&lt;wsp:rsid wsp:val=&quot;004F6683&quot;/&gt;&lt;wsp:rsid wsp:val=&quot;004F67C7&quot;/&gt;&lt;wsp:rsid wsp:val=&quot;004F67E8&quot;/&gt;&lt;wsp:rsid wsp:val=&quot;004F69BE&quot;/&gt;&lt;wsp:rsid wsp:val=&quot;004F6A6F&quot;/&gt;&lt;wsp:rsid wsp:val=&quot;004F6BC4&quot;/&gt;&lt;wsp:rsid wsp:val=&quot;004F7188&quot;/&gt;&lt;wsp:rsid wsp:val=&quot;004F7337&quot;/&gt;&lt;wsp:rsid wsp:val=&quot;004F734E&quot;/&gt;&lt;wsp:rsid wsp:val=&quot;004F7525&quot;/&gt;&lt;wsp:rsid wsp:val=&quot;004F7F67&quot;/&gt;&lt;wsp:rsid wsp:val=&quot;005000B9&quot;/&gt;&lt;wsp:rsid wsp:val=&quot;00500673&quot;/&gt;&lt;wsp:rsid wsp:val=&quot;00500A0D&quot;/&gt;&lt;wsp:rsid wsp:val=&quot;00501591&quot;/&gt;&lt;wsp:rsid wsp:val=&quot;005018B8&quot;/&gt;&lt;wsp:rsid wsp:val=&quot;00501A86&quot;/&gt;&lt;wsp:rsid wsp:val=&quot;00501C97&quot;/&gt;&lt;wsp:rsid wsp:val=&quot;005029F1&quot;/&gt;&lt;wsp:rsid wsp:val=&quot;00503389&quot;/&gt;&lt;wsp:rsid wsp:val=&quot;005034A7&quot;/&gt;&lt;wsp:rsid wsp:val=&quot;00504578&quot;/&gt;&lt;wsp:rsid wsp:val=&quot;005046E1&quot;/&gt;&lt;wsp:rsid wsp:val=&quot;005049B5&quot;/&gt;&lt;wsp:rsid wsp:val=&quot;00504BCC&quot;/&gt;&lt;wsp:rsid wsp:val=&quot;005052FF&quot;/&gt;&lt;wsp:rsid wsp:val=&quot;0050544B&quot;/&gt;&lt;wsp:rsid wsp:val=&quot;005057A4&quot;/&gt;&lt;wsp:rsid wsp:val=&quot;00505992&quot;/&gt;&lt;wsp:rsid wsp:val=&quot;00505C46&quot;/&gt;&lt;wsp:rsid wsp:val=&quot;005066BE&quot;/&gt;&lt;wsp:rsid wsp:val=&quot;00506852&quot;/&gt;&lt;wsp:rsid wsp:val=&quot;00506913&quot;/&gt;&lt;wsp:rsid wsp:val=&quot;00506ABB&quot;/&gt;&lt;wsp:rsid wsp:val=&quot;00506FDE&quot;/&gt;&lt;wsp:rsid wsp:val=&quot;00507686&quot;/&gt;&lt;wsp:rsid wsp:val=&quot;00507C7E&quot;/&gt;&lt;wsp:rsid wsp:val=&quot;00507E65&quot;/&gt;&lt;wsp:rsid wsp:val=&quot;00510028&quot;/&gt;&lt;wsp:rsid wsp:val=&quot;00510685&quot;/&gt;&lt;wsp:rsid wsp:val=&quot;00510A02&quot;/&gt;&lt;wsp:rsid wsp:val=&quot;00511421&quot;/&gt;&lt;wsp:rsid wsp:val=&quot;00511485&quot;/&gt;&lt;wsp:rsid wsp:val=&quot;00511503&quot;/&gt;&lt;wsp:rsid wsp:val=&quot;00511690&quot;/&gt;&lt;wsp:rsid wsp:val=&quot;005116D5&quot;/&gt;&lt;wsp:rsid wsp:val=&quot;0051198C&quot;/&gt;&lt;wsp:rsid wsp:val=&quot;00511EA7&quot;/&gt;&lt;wsp:rsid wsp:val=&quot;00511FBB&quot;/&gt;&lt;wsp:rsid wsp:val=&quot;00511FCE&quot;/&gt;&lt;wsp:rsid wsp:val=&quot;0051234A&quot;/&gt;&lt;wsp:rsid wsp:val=&quot;00512BB6&quot;/&gt;&lt;wsp:rsid wsp:val=&quot;00512FD8&quot;/&gt;&lt;wsp:rsid wsp:val=&quot;00513324&quot;/&gt;&lt;wsp:rsid wsp:val=&quot;0051374C&quot;/&gt;&lt;wsp:rsid wsp:val=&quot;0051383D&quot;/&gt;&lt;wsp:rsid wsp:val=&quot;00513FA4&quot;/&gt;&lt;wsp:rsid wsp:val=&quot;00514400&quot;/&gt;&lt;wsp:rsid wsp:val=&quot;00514D4E&quot;/&gt;&lt;wsp:rsid wsp:val=&quot;005154E4&quot;/&gt;&lt;wsp:rsid wsp:val=&quot;005155FA&quot;/&gt;&lt;wsp:rsid wsp:val=&quot;00515ADA&quot;/&gt;&lt;wsp:rsid wsp:val=&quot;00515D2C&quot;/&gt;&lt;wsp:rsid wsp:val=&quot;00515D4C&quot;/&gt;&lt;wsp:rsid wsp:val=&quot;005160D8&quot;/&gt;&lt;wsp:rsid wsp:val=&quot;005161B6&quot;/&gt;&lt;wsp:rsid wsp:val=&quot;005163DF&quot;/&gt;&lt;wsp:rsid wsp:val=&quot;00516DF1&quot;/&gt;&lt;wsp:rsid wsp:val=&quot;00517152&quot;/&gt;&lt;wsp:rsid wsp:val=&quot;005172DF&quot;/&gt;&lt;wsp:rsid wsp:val=&quot;005177AA&quot;/&gt;&lt;wsp:rsid wsp:val=&quot;0052006D&quot;/&gt;&lt;wsp:rsid wsp:val=&quot;005201C2&quot;/&gt;&lt;wsp:rsid wsp:val=&quot;00520351&quot;/&gt;&lt;wsp:rsid wsp:val=&quot;00520ADC&quot;/&gt;&lt;wsp:rsid wsp:val=&quot;005210BA&quot;/&gt;&lt;wsp:rsid wsp:val=&quot;005217D0&quot;/&gt;&lt;wsp:rsid wsp:val=&quot;00521889&quot;/&gt;&lt;wsp:rsid wsp:val=&quot;00521B4E&quot;/&gt;&lt;wsp:rsid wsp:val=&quot;005220FF&quot;/&gt;&lt;wsp:rsid wsp:val=&quot;00522530&quot;/&gt;&lt;wsp:rsid wsp:val=&quot;0052265C&quot;/&gt;&lt;wsp:rsid wsp:val=&quot;00522AC2&quot;/&gt;&lt;wsp:rsid wsp:val=&quot;00522B68&quot;/&gt;&lt;wsp:rsid wsp:val=&quot;00522E96&quot;/&gt;&lt;wsp:rsid wsp:val=&quot;00522F01&quot;/&gt;&lt;wsp:rsid wsp:val=&quot;0052306E&quot;/&gt;&lt;wsp:rsid wsp:val=&quot;00523087&quot;/&gt;&lt;wsp:rsid wsp:val=&quot;005232B4&quot;/&gt;&lt;wsp:rsid wsp:val=&quot;00523897&quot;/&gt;&lt;wsp:rsid wsp:val=&quot;005238B7&quot;/&gt;&lt;wsp:rsid wsp:val=&quot;00523F9C&quot;/&gt;&lt;wsp:rsid wsp:val=&quot;00523FE9&quot;/&gt;&lt;wsp:rsid wsp:val=&quot;00524F9F&quot;/&gt;&lt;wsp:rsid wsp:val=&quot;00524FB5&quot;/&gt;&lt;wsp:rsid wsp:val=&quot;005250B5&quot;/&gt;&lt;wsp:rsid wsp:val=&quot;00525355&quot;/&gt;&lt;wsp:rsid wsp:val=&quot;00525772&quot;/&gt;&lt;wsp:rsid wsp:val=&quot;00525F53&quot;/&gt;&lt;wsp:rsid wsp:val=&quot;0052645A&quot;/&gt;&lt;wsp:rsid wsp:val=&quot;005269D2&quot;/&gt;&lt;wsp:rsid wsp:val=&quot;00526A8F&quot;/&gt;&lt;wsp:rsid wsp:val=&quot;00526EB2&quot;/&gt;&lt;wsp:rsid wsp:val=&quot;00526FFB&quot;/&gt;&lt;wsp:rsid wsp:val=&quot;00527045&quot;/&gt;&lt;wsp:rsid wsp:val=&quot;0052715F&quot;/&gt;&lt;wsp:rsid wsp:val=&quot;00527837&quot;/&gt;&lt;wsp:rsid wsp:val=&quot;005278BC&quot;/&gt;&lt;wsp:rsid wsp:val=&quot;00527F76&quot;/&gt;&lt;wsp:rsid wsp:val=&quot;00527F7A&quot;/&gt;&lt;wsp:rsid wsp:val=&quot;00530415&quot;/&gt;&lt;wsp:rsid wsp:val=&quot;00530898&quot;/&gt;&lt;wsp:rsid wsp:val=&quot;00530B3C&quot;/&gt;&lt;wsp:rsid wsp:val=&quot;00531061&quot;/&gt;&lt;wsp:rsid wsp:val=&quot;005318C5&quot;/&gt;&lt;wsp:rsid wsp:val=&quot;00531A3B&quot;/&gt;&lt;wsp:rsid wsp:val=&quot;005327D2&quot;/&gt;&lt;wsp:rsid wsp:val=&quot;00532C13&quot;/&gt;&lt;wsp:rsid wsp:val=&quot;00533370&quot;/&gt;&lt;wsp:rsid wsp:val=&quot;00534107&quot;/&gt;&lt;wsp:rsid wsp:val=&quot;0053539C&quot;/&gt;&lt;wsp:rsid wsp:val=&quot;005354BA&quot;/&gt;&lt;wsp:rsid wsp:val=&quot;00535532&quot;/&gt;&lt;wsp:rsid wsp:val=&quot;00535E42&quot;/&gt;&lt;wsp:rsid wsp:val=&quot;00536268&quot;/&gt;&lt;wsp:rsid wsp:val=&quot;005362D8&quot;/&gt;&lt;wsp:rsid wsp:val=&quot;00536350&quot;/&gt;&lt;wsp:rsid wsp:val=&quot;00536761&quot;/&gt;&lt;wsp:rsid wsp:val=&quot;00537367&quot;/&gt;&lt;wsp:rsid wsp:val=&quot;0053769F&quot;/&gt;&lt;wsp:rsid wsp:val=&quot;005376F7&quot;/&gt;&lt;wsp:rsid wsp:val=&quot;00537FEA&quot;/&gt;&lt;wsp:rsid wsp:val=&quot;00540021&quot;/&gt;&lt;wsp:rsid wsp:val=&quot;00540ED3&quot;/&gt;&lt;wsp:rsid wsp:val=&quot;00540F86&quot;/&gt;&lt;wsp:rsid wsp:val=&quot;00540FA6&quot;/&gt;&lt;wsp:rsid wsp:val=&quot;005415A9&quot;/&gt;&lt;wsp:rsid wsp:val=&quot;0054187E&quot;/&gt;&lt;wsp:rsid wsp:val=&quot;00541974&quot;/&gt;&lt;wsp:rsid wsp:val=&quot;005419B7&quot;/&gt;&lt;wsp:rsid wsp:val=&quot;00541BA3&quot;/&gt;&lt;wsp:rsid wsp:val=&quot;00541BFF&quot;/&gt;&lt;wsp:rsid wsp:val=&quot;00541E07&quot;/&gt;&lt;wsp:rsid wsp:val=&quot;005420FB&quot;/&gt;&lt;wsp:rsid wsp:val=&quot;005427D9&quot;/&gt;&lt;wsp:rsid wsp:val=&quot;005429F0&quot;/&gt;&lt;wsp:rsid wsp:val=&quot;00542C94&quot;/&gt;&lt;wsp:rsid wsp:val=&quot;0054313E&quot;/&gt;&lt;wsp:rsid wsp:val=&quot;00543202&quot;/&gt;&lt;wsp:rsid wsp:val=&quot;0054349E&quot;/&gt;&lt;wsp:rsid wsp:val=&quot;005435FF&quot;/&gt;&lt;wsp:rsid wsp:val=&quot;00544054&quot;/&gt;&lt;wsp:rsid wsp:val=&quot;0054413A&quot;/&gt;&lt;wsp:rsid wsp:val=&quot;00544175&quot;/&gt;&lt;wsp:rsid wsp:val=&quot;00544A2D&quot;/&gt;&lt;wsp:rsid wsp:val=&quot;00544B35&quot;/&gt;&lt;wsp:rsid wsp:val=&quot;005452E9&quot;/&gt;&lt;wsp:rsid wsp:val=&quot;005455D3&quot;/&gt;&lt;wsp:rsid wsp:val=&quot;00545672&quot;/&gt;&lt;wsp:rsid wsp:val=&quot;00545B3F&quot;/&gt;&lt;wsp:rsid wsp:val=&quot;00545C7C&quot;/&gt;&lt;wsp:rsid wsp:val=&quot;005465A8&quot;/&gt;&lt;wsp:rsid wsp:val=&quot;00546DC6&quot;/&gt;&lt;wsp:rsid wsp:val=&quot;00546EB4&quot;/&gt;&lt;wsp:rsid wsp:val=&quot;00547404&quot;/&gt;&lt;wsp:rsid wsp:val=&quot;00547CE2&quot;/&gt;&lt;wsp:rsid wsp:val=&quot;00550120&quot;/&gt;&lt;wsp:rsid wsp:val=&quot;00550AC8&quot;/&gt;&lt;wsp:rsid wsp:val=&quot;00551029&quot;/&gt;&lt;wsp:rsid wsp:val=&quot;00551222&quot;/&gt;&lt;wsp:rsid wsp:val=&quot;005514AC&quot;/&gt;&lt;wsp:rsid wsp:val=&quot;0055166F&quot;/&gt;&lt;wsp:rsid wsp:val=&quot;0055172F&quot;/&gt;&lt;wsp:rsid wsp:val=&quot;0055178F&quot;/&gt;&lt;wsp:rsid wsp:val=&quot;00551B23&quot;/&gt;&lt;wsp:rsid wsp:val=&quot;00552951&quot;/&gt;&lt;wsp:rsid wsp:val=&quot;00552E12&quot;/&gt;&lt;wsp:rsid wsp:val=&quot;00553073&quot;/&gt;&lt;wsp:rsid wsp:val=&quot;00553660&quot;/&gt;&lt;wsp:rsid wsp:val=&quot;005539B7&quot;/&gt;&lt;wsp:rsid wsp:val=&quot;005546C4&quot;/&gt;&lt;wsp:rsid wsp:val=&quot;00554C03&quot;/&gt;&lt;wsp:rsid wsp:val=&quot;005552F6&quot;/&gt;&lt;wsp:rsid wsp:val=&quot;00555654&quot;/&gt;&lt;wsp:rsid wsp:val=&quot;0055588C&quot;/&gt;&lt;wsp:rsid wsp:val=&quot;00555976&quot;/&gt;&lt;wsp:rsid wsp:val=&quot;005559C9&quot;/&gt;&lt;wsp:rsid wsp:val=&quot;00555DF8&quot;/&gt;&lt;wsp:rsid wsp:val=&quot;00556014&quot;/&gt;&lt;wsp:rsid wsp:val=&quot;005562E2&quot;/&gt;&lt;wsp:rsid wsp:val=&quot;005565DB&quot;/&gt;&lt;wsp:rsid wsp:val=&quot;00556E18&quot;/&gt;&lt;wsp:rsid wsp:val=&quot;00556F27&quot;/&gt;&lt;wsp:rsid wsp:val=&quot;00556FB4&quot;/&gt;&lt;wsp:rsid wsp:val=&quot;00557513&quot;/&gt;&lt;wsp:rsid wsp:val=&quot;005577B8&quot;/&gt;&lt;wsp:rsid wsp:val=&quot;00557AD0&quot;/&gt;&lt;wsp:rsid wsp:val=&quot;00557BA8&quot;/&gt;&lt;wsp:rsid wsp:val=&quot;0056092E&quot;/&gt;&lt;wsp:rsid wsp:val=&quot;00561017&quot;/&gt;&lt;wsp:rsid wsp:val=&quot;0056167C&quot;/&gt;&lt;wsp:rsid wsp:val=&quot;00561706&quot;/&gt;&lt;wsp:rsid wsp:val=&quot;00561DA1&quot;/&gt;&lt;wsp:rsid wsp:val=&quot;00561F95&quot;/&gt;&lt;wsp:rsid wsp:val=&quot;0056285A&quot;/&gt;&lt;wsp:rsid wsp:val=&quot;00562E0B&quot;/&gt;&lt;wsp:rsid wsp:val=&quot;0056337D&quot;/&gt;&lt;wsp:rsid wsp:val=&quot;00563832&quot;/&gt;&lt;wsp:rsid wsp:val=&quot;005638F7&quot;/&gt;&lt;wsp:rsid wsp:val=&quot;00563A6B&quot;/&gt;&lt;wsp:rsid wsp:val=&quot;00563DE8&quot;/&gt;&lt;wsp:rsid wsp:val=&quot;0056411C&quot;/&gt;&lt;wsp:rsid wsp:val=&quot;00564210&quot;/&gt;&lt;wsp:rsid wsp:val=&quot;005653BB&quot;/&gt;&lt;wsp:rsid wsp:val=&quot;00565427&quot;/&gt;&lt;wsp:rsid wsp:val=&quot;0056562D&quot;/&gt;&lt;wsp:rsid wsp:val=&quot;00565883&quot;/&gt;&lt;wsp:rsid wsp:val=&quot;005662E7&quot;/&gt;&lt;wsp:rsid wsp:val=&quot;005663FA&quot;/&gt;&lt;wsp:rsid wsp:val=&quot;00566B7F&quot;/&gt;&lt;wsp:rsid wsp:val=&quot;00566C9D&quot;/&gt;&lt;wsp:rsid wsp:val=&quot;00566D0C&quot;/&gt;&lt;wsp:rsid wsp:val=&quot;00566F97&quot;/&gt;&lt;wsp:rsid wsp:val=&quot;0056761A&quot;/&gt;&lt;wsp:rsid wsp:val=&quot;00567E12&quot;/&gt;&lt;wsp:rsid wsp:val=&quot;00567F32&quot;/&gt;&lt;wsp:rsid wsp:val=&quot;00570150&quot;/&gt;&lt;wsp:rsid wsp:val=&quot;00570615&quot;/&gt;&lt;wsp:rsid wsp:val=&quot;005708C0&quot;/&gt;&lt;wsp:rsid wsp:val=&quot;005713EF&quot;/&gt;&lt;wsp:rsid wsp:val=&quot;00571C16&quot;/&gt;&lt;wsp:rsid wsp:val=&quot;00571CDC&quot;/&gt;&lt;wsp:rsid wsp:val=&quot;00572412&quot;/&gt;&lt;wsp:rsid wsp:val=&quot;005725AA&quot;/&gt;&lt;wsp:rsid wsp:val=&quot;00572C59&quot;/&gt;&lt;wsp:rsid wsp:val=&quot;005736DF&quot;/&gt;&lt;wsp:rsid wsp:val=&quot;005738C4&quot;/&gt;&lt;wsp:rsid wsp:val=&quot;0057453C&quot;/&gt;&lt;wsp:rsid wsp:val=&quot;005746A5&quot;/&gt;&lt;wsp:rsid wsp:val=&quot;00574E9F&quot;/&gt;&lt;wsp:rsid wsp:val=&quot;00574EB2&quot;/&gt;&lt;wsp:rsid wsp:val=&quot;005750FF&quot;/&gt;&lt;wsp:rsid wsp:val=&quot;00575781&quot;/&gt;&lt;wsp:rsid wsp:val=&quot;00575986&quot;/&gt;&lt;wsp:rsid wsp:val=&quot;005762FE&quot;/&gt;&lt;wsp:rsid wsp:val=&quot;005765AB&quot;/&gt;&lt;wsp:rsid wsp:val=&quot;00576679&quot;/&gt;&lt;wsp:rsid wsp:val=&quot;005766D0&quot;/&gt;&lt;wsp:rsid wsp:val=&quot;0057677F&quot;/&gt;&lt;wsp:rsid wsp:val=&quot;00576BC9&quot;/&gt;&lt;wsp:rsid wsp:val=&quot;005770B6&quot;/&gt;&lt;wsp:rsid wsp:val=&quot;00577A78&quot;/&gt;&lt;wsp:rsid wsp:val=&quot;00577E31&quot;/&gt;&lt;wsp:rsid wsp:val=&quot;0058063A&quot;/&gt;&lt;wsp:rsid wsp:val=&quot;00580E4D&quot;/&gt;&lt;wsp:rsid wsp:val=&quot;00581A0A&quot;/&gt;&lt;wsp:rsid wsp:val=&quot;00581DA5&quot;/&gt;&lt;wsp:rsid wsp:val=&quot;00581EAA&quot;/&gt;&lt;wsp:rsid wsp:val=&quot;005823CA&quot;/&gt;&lt;wsp:rsid wsp:val=&quot;0058267A&quot;/&gt;&lt;wsp:rsid wsp:val=&quot;00582928&quot;/&gt;&lt;wsp:rsid wsp:val=&quot;00582C0C&quot;/&gt;&lt;wsp:rsid wsp:val=&quot;00582D4D&quot;/&gt;&lt;wsp:rsid wsp:val=&quot;005837DF&quot;/&gt;&lt;wsp:rsid wsp:val=&quot;005838F8&quot;/&gt;&lt;wsp:rsid wsp:val=&quot;005849CA&quot;/&gt;&lt;wsp:rsid wsp:val=&quot;00584EF9&quot;/&gt;&lt;wsp:rsid wsp:val=&quot;0058500A&quot;/&gt;&lt;wsp:rsid wsp:val=&quot;00585304&quot;/&gt;&lt;wsp:rsid wsp:val=&quot;00585453&quot;/&gt;&lt;wsp:rsid wsp:val=&quot;00585765&quot;/&gt;&lt;wsp:rsid wsp:val=&quot;00585C38&quot;/&gt;&lt;wsp:rsid wsp:val=&quot;0058625F&quot;/&gt;&lt;wsp:rsid wsp:val=&quot;0058626E&quot;/&gt;&lt;wsp:rsid wsp:val=&quot;00586689&quot;/&gt;&lt;wsp:rsid wsp:val=&quot;00586DE9&quot;/&gt;&lt;wsp:rsid wsp:val=&quot;00587252&quot;/&gt;&lt;wsp:rsid wsp:val=&quot;00587373&quot;/&gt;&lt;wsp:rsid wsp:val=&quot;00587A4E&quot;/&gt;&lt;wsp:rsid wsp:val=&quot;00587C62&quot;/&gt;&lt;wsp:rsid wsp:val=&quot;00587CD8&quot;/&gt;&lt;wsp:rsid wsp:val=&quot;00587CEE&quot;/&gt;&lt;wsp:rsid wsp:val=&quot;005902D2&quot;/&gt;&lt;wsp:rsid wsp:val=&quot;00590B52&quot;/&gt;&lt;wsp:rsid wsp:val=&quot;0059103B&quot;/&gt;&lt;wsp:rsid wsp:val=&quot;0059196C&quot;/&gt;&lt;wsp:rsid wsp:val=&quot;00591C75&quot;/&gt;&lt;wsp:rsid wsp:val=&quot;005920AF&quot;/&gt;&lt;wsp:rsid wsp:val=&quot;005923E0&quot;/&gt;&lt;wsp:rsid wsp:val=&quot;005929DF&quot;/&gt;&lt;wsp:rsid wsp:val=&quot;00592B20&quot;/&gt;&lt;wsp:rsid wsp:val=&quot;0059338E&quot;/&gt;&lt;wsp:rsid wsp:val=&quot;00593474&quot;/&gt;&lt;wsp:rsid wsp:val=&quot;005935B7&quot;/&gt;&lt;wsp:rsid wsp:val=&quot;005936A9&quot;/&gt;&lt;wsp:rsid wsp:val=&quot;00593982&quot;/&gt;&lt;wsp:rsid wsp:val=&quot;00593BC6&quot;/&gt;&lt;wsp:rsid wsp:val=&quot;00594137&quot;/&gt;&lt;wsp:rsid wsp:val=&quot;00594373&quot;/&gt;&lt;wsp:rsid wsp:val=&quot;005946C3&quot;/&gt;&lt;wsp:rsid wsp:val=&quot;00594899&quot;/&gt;&lt;wsp:rsid wsp:val=&quot;005949EA&quot;/&gt;&lt;wsp:rsid wsp:val=&quot;00594EA5&quot;/&gt;&lt;wsp:rsid wsp:val=&quot;005951C3&quot;/&gt;&lt;wsp:rsid wsp:val=&quot;005954DD&quot;/&gt;&lt;wsp:rsid wsp:val=&quot;00595733&quot;/&gt;&lt;wsp:rsid wsp:val=&quot;00595BDA&quot;/&gt;&lt;wsp:rsid wsp:val=&quot;00595E0E&quot;/&gt;&lt;wsp:rsid wsp:val=&quot;00596139&quot;/&gt;&lt;wsp:rsid wsp:val=&quot;0059676F&quot;/&gt;&lt;wsp:rsid wsp:val=&quot;005969AE&quot;/&gt;&lt;wsp:rsid wsp:val=&quot;00596A76&quot;/&gt;&lt;wsp:rsid wsp:val=&quot;00596C06&quot;/&gt;&lt;wsp:rsid wsp:val=&quot;0059713C&quot;/&gt;&lt;wsp:rsid wsp:val=&quot;00597255&quot;/&gt;&lt;wsp:rsid wsp:val=&quot;0059748C&quot;/&gt;&lt;wsp:rsid wsp:val=&quot;00597572&quot;/&gt;&lt;wsp:rsid wsp:val=&quot;005A041B&quot;/&gt;&lt;wsp:rsid wsp:val=&quot;005A0436&quot;/&gt;&lt;wsp:rsid wsp:val=&quot;005A0ACC&quot;/&gt;&lt;wsp:rsid wsp:val=&quot;005A0FE6&quot;/&gt;&lt;wsp:rsid wsp:val=&quot;005A10A9&quot;/&gt;&lt;wsp:rsid wsp:val=&quot;005A1168&quot;/&gt;&lt;wsp:rsid wsp:val=&quot;005A11D8&quot;/&gt;&lt;wsp:rsid wsp:val=&quot;005A13C8&quot;/&gt;&lt;wsp:rsid wsp:val=&quot;005A172C&quot;/&gt;&lt;wsp:rsid wsp:val=&quot;005A1920&quot;/&gt;&lt;wsp:rsid wsp:val=&quot;005A1A58&quot;/&gt;&lt;wsp:rsid wsp:val=&quot;005A1BA4&quot;/&gt;&lt;wsp:rsid wsp:val=&quot;005A275F&quot;/&gt;&lt;wsp:rsid wsp:val=&quot;005A2777&quot;/&gt;&lt;wsp:rsid wsp:val=&quot;005A2BD9&quot;/&gt;&lt;wsp:rsid wsp:val=&quot;005A30E7&quot;/&gt;&lt;wsp:rsid wsp:val=&quot;005A35C6&quot;/&gt;&lt;wsp:rsid wsp:val=&quot;005A4122&quot;/&gt;&lt;wsp:rsid wsp:val=&quot;005A416E&quot;/&gt;&lt;wsp:rsid wsp:val=&quot;005A4799&quot;/&gt;&lt;wsp:rsid wsp:val=&quot;005A4BA9&quot;/&gt;&lt;wsp:rsid wsp:val=&quot;005A4EB6&quot;/&gt;&lt;wsp:rsid wsp:val=&quot;005A5C75&quot;/&gt;&lt;wsp:rsid wsp:val=&quot;005A5D0A&quot;/&gt;&lt;wsp:rsid wsp:val=&quot;005A6A87&quot;/&gt;&lt;wsp:rsid wsp:val=&quot;005A75E7&quot;/&gt;&lt;wsp:rsid wsp:val=&quot;005A78D9&quot;/&gt;&lt;wsp:rsid wsp:val=&quot;005A7988&quot;/&gt;&lt;wsp:rsid wsp:val=&quot;005A7AAA&quot;/&gt;&lt;wsp:rsid wsp:val=&quot;005A7D19&quot;/&gt;&lt;wsp:rsid wsp:val=&quot;005B0C80&quot;/&gt;&lt;wsp:rsid wsp:val=&quot;005B0DAB&quot;/&gt;&lt;wsp:rsid wsp:val=&quot;005B0ED5&quot;/&gt;&lt;wsp:rsid wsp:val=&quot;005B0FB4&quot;/&gt;&lt;wsp:rsid wsp:val=&quot;005B14A2&quot;/&gt;&lt;wsp:rsid wsp:val=&quot;005B20A8&quot;/&gt;&lt;wsp:rsid wsp:val=&quot;005B23E4&quot;/&gt;&lt;wsp:rsid wsp:val=&quot;005B267B&quot;/&gt;&lt;wsp:rsid wsp:val=&quot;005B2F77&quot;/&gt;&lt;wsp:rsid wsp:val=&quot;005B32BC&quot;/&gt;&lt;wsp:rsid wsp:val=&quot;005B3563&quot;/&gt;&lt;wsp:rsid wsp:val=&quot;005B3883&quot;/&gt;&lt;wsp:rsid wsp:val=&quot;005B46F0&quot;/&gt;&lt;wsp:rsid wsp:val=&quot;005B47BB&quot;/&gt;&lt;wsp:rsid wsp:val=&quot;005B48C2&quot;/&gt;&lt;wsp:rsid wsp:val=&quot;005B4AD6&quot;/&gt;&lt;wsp:rsid wsp:val=&quot;005B4DCF&quot;/&gt;&lt;wsp:rsid wsp:val=&quot;005B5254&quot;/&gt;&lt;wsp:rsid wsp:val=&quot;005B5822&quot;/&gt;&lt;wsp:rsid wsp:val=&quot;005B5889&quot;/&gt;&lt;wsp:rsid wsp:val=&quot;005B5A31&quot;/&gt;&lt;wsp:rsid wsp:val=&quot;005B5B83&quot;/&gt;&lt;wsp:rsid wsp:val=&quot;005B5CC5&quot;/&gt;&lt;wsp:rsid wsp:val=&quot;005B6747&quot;/&gt;&lt;wsp:rsid wsp:val=&quot;005B69BF&quot;/&gt;&lt;wsp:rsid wsp:val=&quot;005B6D69&quot;/&gt;&lt;wsp:rsid wsp:val=&quot;005B7683&quot;/&gt;&lt;wsp:rsid wsp:val=&quot;005B78FF&quot;/&gt;&lt;wsp:rsid wsp:val=&quot;005B7967&quot;/&gt;&lt;wsp:rsid wsp:val=&quot;005B7BE2&quot;/&gt;&lt;wsp:rsid wsp:val=&quot;005B7C3A&quot;/&gt;&lt;wsp:rsid wsp:val=&quot;005C0637&quot;/&gt;&lt;wsp:rsid wsp:val=&quot;005C0742&quot;/&gt;&lt;wsp:rsid wsp:val=&quot;005C0A88&quot;/&gt;&lt;wsp:rsid wsp:val=&quot;005C13D3&quot;/&gt;&lt;wsp:rsid wsp:val=&quot;005C1AAE&quot;/&gt;&lt;wsp:rsid wsp:val=&quot;005C2F23&quot;/&gt;&lt;wsp:rsid wsp:val=&quot;005C3016&quot;/&gt;&lt;wsp:rsid wsp:val=&quot;005C3162&quot;/&gt;&lt;wsp:rsid wsp:val=&quot;005C3C3A&quot;/&gt;&lt;wsp:rsid wsp:val=&quot;005C433D&quot;/&gt;&lt;wsp:rsid wsp:val=&quot;005C439B&quot;/&gt;&lt;wsp:rsid wsp:val=&quot;005C443B&quot;/&gt;&lt;wsp:rsid wsp:val=&quot;005C475E&quot;/&gt;&lt;wsp:rsid wsp:val=&quot;005C4988&quot;/&gt;&lt;wsp:rsid wsp:val=&quot;005C49ED&quot;/&gt;&lt;wsp:rsid wsp:val=&quot;005C4AA5&quot;/&gt;&lt;wsp:rsid wsp:val=&quot;005C5010&quot;/&gt;&lt;wsp:rsid wsp:val=&quot;005C5233&quot;/&gt;&lt;wsp:rsid wsp:val=&quot;005C59DE&quot;/&gt;&lt;wsp:rsid wsp:val=&quot;005C5ADF&quot;/&gt;&lt;wsp:rsid wsp:val=&quot;005C5E60&quot;/&gt;&lt;wsp:rsid wsp:val=&quot;005C6CA4&quot;/&gt;&lt;wsp:rsid wsp:val=&quot;005C6D6E&quot;/&gt;&lt;wsp:rsid wsp:val=&quot;005C6DC4&quot;/&gt;&lt;wsp:rsid wsp:val=&quot;005C7E2E&quot;/&gt;&lt;wsp:rsid wsp:val=&quot;005D03E7&quot;/&gt;&lt;wsp:rsid wsp:val=&quot;005D0A95&quot;/&gt;&lt;wsp:rsid wsp:val=&quot;005D11F8&quot;/&gt;&lt;wsp:rsid wsp:val=&quot;005D144F&quot;/&gt;&lt;wsp:rsid wsp:val=&quot;005D1605&quot;/&gt;&lt;wsp:rsid wsp:val=&quot;005D1E78&quot;/&gt;&lt;wsp:rsid wsp:val=&quot;005D1FA8&quot;/&gt;&lt;wsp:rsid wsp:val=&quot;005D2652&quot;/&gt;&lt;wsp:rsid wsp:val=&quot;005D2710&quot;/&gt;&lt;wsp:rsid wsp:val=&quot;005D3121&quot;/&gt;&lt;wsp:rsid wsp:val=&quot;005D36D8&quot;/&gt;&lt;wsp:rsid wsp:val=&quot;005D37DC&quot;/&gt;&lt;wsp:rsid wsp:val=&quot;005D383C&quot;/&gt;&lt;wsp:rsid wsp:val=&quot;005D39EA&quot;/&gt;&lt;wsp:rsid wsp:val=&quot;005D3A34&quot;/&gt;&lt;wsp:rsid wsp:val=&quot;005D3CBF&quot;/&gt;&lt;wsp:rsid wsp:val=&quot;005D4569&quot;/&gt;&lt;wsp:rsid wsp:val=&quot;005D49CB&quot;/&gt;&lt;wsp:rsid wsp:val=&quot;005D4DD2&quot;/&gt;&lt;wsp:rsid wsp:val=&quot;005D509D&quot;/&gt;&lt;wsp:rsid wsp:val=&quot;005D51B2&quot;/&gt;&lt;wsp:rsid wsp:val=&quot;005D51BA&quot;/&gt;&lt;wsp:rsid wsp:val=&quot;005D5C4A&quot;/&gt;&lt;wsp:rsid wsp:val=&quot;005D5F4A&quot;/&gt;&lt;wsp:rsid wsp:val=&quot;005D64BE&quot;/&gt;&lt;wsp:rsid wsp:val=&quot;005D6BED&quot;/&gt;&lt;wsp:rsid wsp:val=&quot;005D6D6A&quot;/&gt;&lt;wsp:rsid wsp:val=&quot;005D7240&quot;/&gt;&lt;wsp:rsid wsp:val=&quot;005D7B5D&quot;/&gt;&lt;wsp:rsid wsp:val=&quot;005D7DA5&quot;/&gt;&lt;wsp:rsid wsp:val=&quot;005E0705&quot;/&gt;&lt;wsp:rsid wsp:val=&quot;005E0864&quot;/&gt;&lt;wsp:rsid wsp:val=&quot;005E0BCA&quot;/&gt;&lt;wsp:rsid wsp:val=&quot;005E0C66&quot;/&gt;&lt;wsp:rsid wsp:val=&quot;005E0FAA&quot;/&gt;&lt;wsp:rsid wsp:val=&quot;005E13FE&quot;/&gt;&lt;wsp:rsid wsp:val=&quot;005E176B&quot;/&gt;&lt;wsp:rsid wsp:val=&quot;005E1BB6&quot;/&gt;&lt;wsp:rsid wsp:val=&quot;005E26E7&quot;/&gt;&lt;wsp:rsid wsp:val=&quot;005E2C4C&quot;/&gt;&lt;wsp:rsid wsp:val=&quot;005E33A1&quot;/&gt;&lt;wsp:rsid wsp:val=&quot;005E383D&quot;/&gt;&lt;wsp:rsid wsp:val=&quot;005E3A01&quot;/&gt;&lt;wsp:rsid wsp:val=&quot;005E410C&quot;/&gt;&lt;wsp:rsid wsp:val=&quot;005E4144&quot;/&gt;&lt;wsp:rsid wsp:val=&quot;005E4284&quot;/&gt;&lt;wsp:rsid wsp:val=&quot;005E4369&quot;/&gt;&lt;wsp:rsid wsp:val=&quot;005E43DC&quot;/&gt;&lt;wsp:rsid wsp:val=&quot;005E49C2&quot;/&gt;&lt;wsp:rsid wsp:val=&quot;005E4E91&quot;/&gt;&lt;wsp:rsid wsp:val=&quot;005E4EA3&quot;/&gt;&lt;wsp:rsid wsp:val=&quot;005E4F31&quot;/&gt;&lt;wsp:rsid wsp:val=&quot;005E573F&quot;/&gt;&lt;wsp:rsid wsp:val=&quot;005E5D90&quot;/&gt;&lt;wsp:rsid wsp:val=&quot;005E5D9C&quot;/&gt;&lt;wsp:rsid wsp:val=&quot;005E6424&quot;/&gt;&lt;wsp:rsid wsp:val=&quot;005E6D47&quot;/&gt;&lt;wsp:rsid wsp:val=&quot;005E72E6&quot;/&gt;&lt;wsp:rsid wsp:val=&quot;005E7AA1&quot;/&gt;&lt;wsp:rsid wsp:val=&quot;005E7E68&quot;/&gt;&lt;wsp:rsid wsp:val=&quot;005F1770&quot;/&gt;&lt;wsp:rsid wsp:val=&quot;005F239C&quot;/&gt;&lt;wsp:rsid wsp:val=&quot;005F23C1&quot;/&gt;&lt;wsp:rsid wsp:val=&quot;005F23C9&quot;/&gt;&lt;wsp:rsid wsp:val=&quot;005F24DF&quot;/&gt;&lt;wsp:rsid wsp:val=&quot;005F27C9&quot;/&gt;&lt;wsp:rsid wsp:val=&quot;005F2888&quot;/&gt;&lt;wsp:rsid wsp:val=&quot;005F2DBF&quot;/&gt;&lt;wsp:rsid wsp:val=&quot;005F3ABA&quot;/&gt;&lt;wsp:rsid wsp:val=&quot;005F4B22&quot;/&gt;&lt;wsp:rsid wsp:val=&quot;005F5810&quot;/&gt;&lt;wsp:rsid wsp:val=&quot;005F59D3&quot;/&gt;&lt;wsp:rsid wsp:val=&quot;005F5DF3&quot;/&gt;&lt;wsp:rsid wsp:val=&quot;005F691D&quot;/&gt;&lt;wsp:rsid wsp:val=&quot;005F6C83&quot;/&gt;&lt;wsp:rsid wsp:val=&quot;00600504&quot;/&gt;&lt;wsp:rsid wsp:val=&quot;00600829&quot;/&gt;&lt;wsp:rsid wsp:val=&quot;00600BEB&quot;/&gt;&lt;wsp:rsid wsp:val=&quot;0060170E&quot;/&gt;&lt;wsp:rsid wsp:val=&quot;006019FF&quot;/&gt;&lt;wsp:rsid wsp:val=&quot;00601CC9&quot;/&gt;&lt;wsp:rsid wsp:val=&quot;00602E33&quot;/&gt;&lt;wsp:rsid wsp:val=&quot;00602EBB&quot;/&gt;&lt;wsp:rsid wsp:val=&quot;00602ED2&quot;/&gt;&lt;wsp:rsid wsp:val=&quot;00603786&quot;/&gt;&lt;wsp:rsid wsp:val=&quot;00603D52&quot;/&gt;&lt;wsp:rsid wsp:val=&quot;0060448F&quot;/&gt;&lt;wsp:rsid wsp:val=&quot;0060460D&quot;/&gt;&lt;wsp:rsid wsp:val=&quot;00604A67&quot;/&gt;&lt;wsp:rsid wsp:val=&quot;00604DD2&quot;/&gt;&lt;wsp:rsid wsp:val=&quot;0060520D&quot;/&gt;&lt;wsp:rsid wsp:val=&quot;00605223&quot;/&gt;&lt;wsp:rsid wsp:val=&quot;0060558E&quot;/&gt;&lt;wsp:rsid wsp:val=&quot;0060575A&quot;/&gt;&lt;wsp:rsid wsp:val=&quot;006058DD&quot;/&gt;&lt;wsp:rsid wsp:val=&quot;00605B68&quot;/&gt;&lt;wsp:rsid wsp:val=&quot;00605BA4&quot;/&gt;&lt;wsp:rsid wsp:val=&quot;00605D37&quot;/&gt;&lt;wsp:rsid wsp:val=&quot;00606140&quot;/&gt;&lt;wsp:rsid wsp:val=&quot;00606DD1&quot;/&gt;&lt;wsp:rsid wsp:val=&quot;00607650&quot;/&gt;&lt;wsp:rsid wsp:val=&quot;0061049C&quot;/&gt;&lt;wsp:rsid wsp:val=&quot;00610953&quot;/&gt;&lt;wsp:rsid wsp:val=&quot;00610D35&quot;/&gt;&lt;wsp:rsid wsp:val=&quot;00610F4C&quot;/&gt;&lt;wsp:rsid wsp:val=&quot;006110B0&quot;/&gt;&lt;wsp:rsid wsp:val=&quot;00611558&quot;/&gt;&lt;wsp:rsid wsp:val=&quot;006117A4&quot;/&gt;&lt;wsp:rsid wsp:val=&quot;00612707&quot;/&gt;&lt;wsp:rsid wsp:val=&quot;00614632&quot;/&gt;&lt;wsp:rsid wsp:val=&quot;00614BDC&quot;/&gt;&lt;wsp:rsid wsp:val=&quot;00614FB4&quot;/&gt;&lt;wsp:rsid wsp:val=&quot;006155A8&quot;/&gt;&lt;wsp:rsid wsp:val=&quot;00615D4C&quot;/&gt;&lt;wsp:rsid wsp:val=&quot;00615E3E&quot;/&gt;&lt;wsp:rsid wsp:val=&quot;0061672C&quot;/&gt;&lt;wsp:rsid wsp:val=&quot;006168DA&quot;/&gt;&lt;wsp:rsid wsp:val=&quot;00616DEF&quot;/&gt;&lt;wsp:rsid wsp:val=&quot;00616F4C&quot;/&gt;&lt;wsp:rsid wsp:val=&quot;00617030&quot;/&gt;&lt;wsp:rsid wsp:val=&quot;006203E4&quot;/&gt;&lt;wsp:rsid wsp:val=&quot;00620684&quot;/&gt;&lt;wsp:rsid wsp:val=&quot;00620AF3&quot;/&gt;&lt;wsp:rsid wsp:val=&quot;00620B05&quot;/&gt;&lt;wsp:rsid wsp:val=&quot;006210BA&quot;/&gt;&lt;wsp:rsid wsp:val=&quot;00621306&quot;/&gt;&lt;wsp:rsid wsp:val=&quot;0062164F&quot;/&gt;&lt;wsp:rsid wsp:val=&quot;00622EFB&quot;/&gt;&lt;wsp:rsid wsp:val=&quot;006232B5&quot;/&gt;&lt;wsp:rsid wsp:val=&quot;006233D1&quot;/&gt;&lt;wsp:rsid wsp:val=&quot;00623500&quot;/&gt;&lt;wsp:rsid wsp:val=&quot;00623733&quot;/&gt;&lt;wsp:rsid wsp:val=&quot;00623B03&quot;/&gt;&lt;wsp:rsid wsp:val=&quot;006241D2&quot;/&gt;&lt;wsp:rsid wsp:val=&quot;006242B8&quot;/&gt;&lt;wsp:rsid wsp:val=&quot;00624524&quot;/&gt;&lt;wsp:rsid wsp:val=&quot;0062463F&quot;/&gt;&lt;wsp:rsid wsp:val=&quot;0062492E&quot;/&gt;&lt;wsp:rsid wsp:val=&quot;00624C83&quot;/&gt;&lt;wsp:rsid wsp:val=&quot;00624DE0&quot;/&gt;&lt;wsp:rsid wsp:val=&quot;00624E0D&quot;/&gt;&lt;wsp:rsid wsp:val=&quot;00624FC3&quot;/&gt;&lt;wsp:rsid wsp:val=&quot;00625426&quot;/&gt;&lt;wsp:rsid wsp:val=&quot;006255FE&quot;/&gt;&lt;wsp:rsid wsp:val=&quot;00625AD6&quot;/&gt;&lt;wsp:rsid wsp:val=&quot;006261E2&quot;/&gt;&lt;wsp:rsid wsp:val=&quot;00626959&quot;/&gt;&lt;wsp:rsid wsp:val=&quot;00626C5A&quot;/&gt;&lt;wsp:rsid wsp:val=&quot;00626D0C&quot;/&gt;&lt;wsp:rsid wsp:val=&quot;00627654&quot;/&gt;&lt;wsp:rsid wsp:val=&quot;00627812&quot;/&gt;&lt;wsp:rsid wsp:val=&quot;006301DA&quot;/&gt;&lt;wsp:rsid wsp:val=&quot;00630600&quot;/&gt;&lt;wsp:rsid wsp:val=&quot;00630C33&quot;/&gt;&lt;wsp:rsid wsp:val=&quot;0063223F&quot;/&gt;&lt;wsp:rsid wsp:val=&quot;006322D3&quot;/&gt;&lt;wsp:rsid wsp:val=&quot;00632327&quot;/&gt;&lt;wsp:rsid wsp:val=&quot;00632707&quot;/&gt;&lt;wsp:rsid wsp:val=&quot;00632746&quot;/&gt;&lt;wsp:rsid wsp:val=&quot;006327CA&quot;/&gt;&lt;wsp:rsid wsp:val=&quot;00632E5D&quot;/&gt;&lt;wsp:rsid wsp:val=&quot;00632EE4&quot;/&gt;&lt;wsp:rsid wsp:val=&quot;00633262&quot;/&gt;&lt;wsp:rsid wsp:val=&quot;00633871&quot;/&gt;&lt;wsp:rsid wsp:val=&quot;006338CE&quot;/&gt;&lt;wsp:rsid wsp:val=&quot;00633AB4&quot;/&gt;&lt;wsp:rsid wsp:val=&quot;00633CFF&quot;/&gt;&lt;wsp:rsid wsp:val=&quot;00634136&quot;/&gt;&lt;wsp:rsid wsp:val=&quot;00635450&quot;/&gt;&lt;wsp:rsid wsp:val=&quot;00636172&quot;/&gt;&lt;wsp:rsid wsp:val=&quot;00636823&quot;/&gt;&lt;wsp:rsid wsp:val=&quot;00636DDD&quot;/&gt;&lt;wsp:rsid wsp:val=&quot;00636F9A&quot;/&gt;&lt;wsp:rsid wsp:val=&quot;006373B9&quot;/&gt;&lt;wsp:rsid wsp:val=&quot;006374DA&quot;/&gt;&lt;wsp:rsid wsp:val=&quot;00637BF0&quot;/&gt;&lt;wsp:rsid wsp:val=&quot;00637DFB&quot;/&gt;&lt;wsp:rsid wsp:val=&quot;00637E3D&quot;/&gt;&lt;wsp:rsid wsp:val=&quot;00640693&quot;/&gt;&lt;wsp:rsid wsp:val=&quot;006409F2&quot;/&gt;&lt;wsp:rsid wsp:val=&quot;00640AAD&quot;/&gt;&lt;wsp:rsid wsp:val=&quot;00640FB8&quot;/&gt;&lt;wsp:rsid wsp:val=&quot;00641AF2&quot;/&gt;&lt;wsp:rsid wsp:val=&quot;00641E91&quot;/&gt;&lt;wsp:rsid wsp:val=&quot;00642073&quot;/&gt;&lt;wsp:rsid wsp:val=&quot;006421F4&quot;/&gt;&lt;wsp:rsid wsp:val=&quot;00642510&quot;/&gt;&lt;wsp:rsid wsp:val=&quot;0064263A&quot;/&gt;&lt;wsp:rsid wsp:val=&quot;00642883&quot;/&gt;&lt;wsp:rsid wsp:val=&quot;0064288A&quot;/&gt;&lt;wsp:rsid wsp:val=&quot;00642F02&quot;/&gt;&lt;wsp:rsid wsp:val=&quot;00642F92&quot;/&gt;&lt;wsp:rsid wsp:val=&quot;006432C2&quot;/&gt;&lt;wsp:rsid wsp:val=&quot;0064357D&quot;/&gt;&lt;wsp:rsid wsp:val=&quot;0064360E&quot;/&gt;&lt;wsp:rsid wsp:val=&quot;0064371F&quot;/&gt;&lt;wsp:rsid wsp:val=&quot;0064377B&quot;/&gt;&lt;wsp:rsid wsp:val=&quot;00644366&quot;/&gt;&lt;wsp:rsid wsp:val=&quot;00644637&quot;/&gt;&lt;wsp:rsid wsp:val=&quot;00644728&quot;/&gt;&lt;wsp:rsid wsp:val=&quot;00644802&quot;/&gt;&lt;wsp:rsid wsp:val=&quot;0064561F&quot;/&gt;&lt;wsp:rsid wsp:val=&quot;00645758&quot;/&gt;&lt;wsp:rsid wsp:val=&quot;00645B4B&quot;/&gt;&lt;wsp:rsid wsp:val=&quot;00645DD9&quot;/&gt;&lt;wsp:rsid wsp:val=&quot;0064673E&quot;/&gt;&lt;wsp:rsid wsp:val=&quot;00646B22&quot;/&gt;&lt;wsp:rsid wsp:val=&quot;00646CD2&quot;/&gt;&lt;wsp:rsid wsp:val=&quot;00646F90&quot;/&gt;&lt;wsp:rsid wsp:val=&quot;006470FB&quot;/&gt;&lt;wsp:rsid wsp:val=&quot;0064743E&quot;/&gt;&lt;wsp:rsid wsp:val=&quot;006479F6&quot;/&gt;&lt;wsp:rsid wsp:val=&quot;00647AE0&quot;/&gt;&lt;wsp:rsid wsp:val=&quot;00647C35&quot;/&gt;&lt;wsp:rsid wsp:val=&quot;00650F44&quot;/&gt;&lt;wsp:rsid wsp:val=&quot;00651251&quot;/&gt;&lt;wsp:rsid wsp:val=&quot;0065137A&quot;/&gt;&lt;wsp:rsid wsp:val=&quot;006513D5&quot;/&gt;&lt;wsp:rsid wsp:val=&quot;00651B3C&quot;/&gt;&lt;wsp:rsid wsp:val=&quot;00652714&quot;/&gt;&lt;wsp:rsid wsp:val=&quot;006527BF&quot;/&gt;&lt;wsp:rsid wsp:val=&quot;006529E8&quot;/&gt;&lt;wsp:rsid wsp:val=&quot;006532EF&quot;/&gt;&lt;wsp:rsid wsp:val=&quot;006539EF&quot;/&gt;&lt;wsp:rsid wsp:val=&quot;00654685&quot;/&gt;&lt;wsp:rsid wsp:val=&quot;00654986&quot;/&gt;&lt;wsp:rsid wsp:val=&quot;00654D98&quot;/&gt;&lt;wsp:rsid wsp:val=&quot;006551BF&quot;/&gt;&lt;wsp:rsid wsp:val=&quot;00655789&quot;/&gt;&lt;wsp:rsid wsp:val=&quot;00655912&quot;/&gt;&lt;wsp:rsid wsp:val=&quot;006559E6&quot;/&gt;&lt;wsp:rsid wsp:val=&quot;00655C95&quot;/&gt;&lt;wsp:rsid wsp:val=&quot;00655CE2&quot;/&gt;&lt;wsp:rsid wsp:val=&quot;00655DCA&quot;/&gt;&lt;wsp:rsid wsp:val=&quot;006566D8&quot;/&gt;&lt;wsp:rsid wsp:val=&quot;006571D0&quot;/&gt;&lt;wsp:rsid wsp:val=&quot;006578FA&quot;/&gt;&lt;wsp:rsid wsp:val=&quot;00657A7C&quot;/&gt;&lt;wsp:rsid wsp:val=&quot;00657C73&quot;/&gt;&lt;wsp:rsid wsp:val=&quot;00657CA7&quot;/&gt;&lt;wsp:rsid wsp:val=&quot;00657E5E&quot;/&gt;&lt;wsp:rsid wsp:val=&quot;0066078B&quot;/&gt;&lt;wsp:rsid wsp:val=&quot;00661B89&quot;/&gt;&lt;wsp:rsid wsp:val=&quot;00661CF9&quot;/&gt;&lt;wsp:rsid wsp:val=&quot;00661DEE&quot;/&gt;&lt;wsp:rsid wsp:val=&quot;00662747&quot;/&gt;&lt;wsp:rsid wsp:val=&quot;006629AC&quot;/&gt;&lt;wsp:rsid wsp:val=&quot;00662F64&quot;/&gt;&lt;wsp:rsid wsp:val=&quot;00663307&quot;/&gt;&lt;wsp:rsid wsp:val=&quot;00663825&quot;/&gt;&lt;wsp:rsid wsp:val=&quot;00663898&quot;/&gt;&lt;wsp:rsid wsp:val=&quot;00663EB3&quot;/&gt;&lt;wsp:rsid wsp:val=&quot;00663EF8&quot;/&gt;&lt;wsp:rsid wsp:val=&quot;0066439C&quot;/&gt;&lt;wsp:rsid wsp:val=&quot;006643EE&quot;/&gt;&lt;wsp:rsid wsp:val=&quot;0066464A&quot;/&gt;&lt;wsp:rsid wsp:val=&quot;00665264&quot;/&gt;&lt;wsp:rsid wsp:val=&quot;006656BA&quot;/&gt;&lt;wsp:rsid wsp:val=&quot;00665BD7&quot;/&gt;&lt;wsp:rsid wsp:val=&quot;00665C26&quot;/&gt;&lt;wsp:rsid wsp:val=&quot;00665F82&quot;/&gt;&lt;wsp:rsid wsp:val=&quot;00667788&quot;/&gt;&lt;wsp:rsid wsp:val=&quot;00667A66&quot;/&gt;&lt;wsp:rsid wsp:val=&quot;00667E10&quot;/&gt;&lt;wsp:rsid wsp:val=&quot;0067003F&quot;/&gt;&lt;wsp:rsid wsp:val=&quot;00670597&quot;/&gt;&lt;wsp:rsid wsp:val=&quot;0067095A&quot;/&gt;&lt;wsp:rsid wsp:val=&quot;006710B5&quot;/&gt;&lt;wsp:rsid wsp:val=&quot;00671532&quot;/&gt;&lt;wsp:rsid wsp:val=&quot;0067154A&quot;/&gt;&lt;wsp:rsid wsp:val=&quot;006715F5&quot;/&gt;&lt;wsp:rsid wsp:val=&quot;0067237F&quot;/&gt;&lt;wsp:rsid wsp:val=&quot;0067264C&quot;/&gt;&lt;wsp:rsid wsp:val=&quot;006729A4&quot;/&gt;&lt;wsp:rsid wsp:val=&quot;006729AE&quot;/&gt;&lt;wsp:rsid wsp:val=&quot;00672AB5&quot;/&gt;&lt;wsp:rsid wsp:val=&quot;00673005&quot;/&gt;&lt;wsp:rsid wsp:val=&quot;00673FB1&quot;/&gt;&lt;wsp:rsid wsp:val=&quot;006747D0&quot;/&gt;&lt;wsp:rsid wsp:val=&quot;00674A54&quot;/&gt;&lt;wsp:rsid wsp:val=&quot;00674AF3&quot;/&gt;&lt;wsp:rsid wsp:val=&quot;00674B2E&quot;/&gt;&lt;wsp:rsid wsp:val=&quot;00674C1B&quot;/&gt;&lt;wsp:rsid wsp:val=&quot;006756F4&quot;/&gt;&lt;wsp:rsid wsp:val=&quot;00675A1D&quot;/&gt;&lt;wsp:rsid wsp:val=&quot;00675C08&quot;/&gt;&lt;wsp:rsid wsp:val=&quot;0067691B&quot;/&gt;&lt;wsp:rsid wsp:val=&quot;00676B58&quot;/&gt;&lt;wsp:rsid wsp:val=&quot;00676BC8&quot;/&gt;&lt;wsp:rsid wsp:val=&quot;006778CC&quot;/&gt;&lt;wsp:rsid wsp:val=&quot;00677A7D&quot;/&gt;&lt;wsp:rsid wsp:val=&quot;00677D82&quot;/&gt;&lt;wsp:rsid wsp:val=&quot;00677DDD&quot;/&gt;&lt;wsp:rsid wsp:val=&quot;00680023&quot;/&gt;&lt;wsp:rsid wsp:val=&quot;00680103&quot;/&gt;&lt;wsp:rsid wsp:val=&quot;006804BC&quot;/&gt;&lt;wsp:rsid wsp:val=&quot;006805AF&quot;/&gt;&lt;wsp:rsid wsp:val=&quot;00680918&quot;/&gt;&lt;wsp:rsid wsp:val=&quot;00680971&quot;/&gt;&lt;wsp:rsid wsp:val=&quot;00681701&quot;/&gt;&lt;wsp:rsid wsp:val=&quot;00682612&quot;/&gt;&lt;wsp:rsid wsp:val=&quot;00682915&quot;/&gt;&lt;wsp:rsid wsp:val=&quot;00683066&quot;/&gt;&lt;wsp:rsid wsp:val=&quot;006830FC&quot;/&gt;&lt;wsp:rsid wsp:val=&quot;00683454&quot;/&gt;&lt;wsp:rsid wsp:val=&quot;0068358C&quot;/&gt;&lt;wsp:rsid wsp:val=&quot;006835D5&quot;/&gt;&lt;wsp:rsid wsp:val=&quot;00683B3C&quot;/&gt;&lt;wsp:rsid wsp:val=&quot;00684216&quot;/&gt;&lt;wsp:rsid wsp:val=&quot;00684236&quot;/&gt;&lt;wsp:rsid wsp:val=&quot;0068441A&quot;/&gt;&lt;wsp:rsid wsp:val=&quot;006852D6&quot;/&gt;&lt;wsp:rsid wsp:val=&quot;00685956&quot;/&gt;&lt;wsp:rsid wsp:val=&quot;00685B94&quot;/&gt;&lt;wsp:rsid wsp:val=&quot;006869B7&quot;/&gt;&lt;wsp:rsid wsp:val=&quot;0068763F&quot;/&gt;&lt;wsp:rsid wsp:val=&quot;00687C12&quot;/&gt;&lt;wsp:rsid wsp:val=&quot;006916ED&quot;/&gt;&lt;wsp:rsid wsp:val=&quot;00691743&quot;/&gt;&lt;wsp:rsid wsp:val=&quot;006918AF&quot;/&gt;&lt;wsp:rsid wsp:val=&quot;00691E3F&quot;/&gt;&lt;wsp:rsid wsp:val=&quot;006925D0&quot;/&gt;&lt;wsp:rsid wsp:val=&quot;0069260E&quot;/&gt;&lt;wsp:rsid wsp:val=&quot;0069272B&quot;/&gt;&lt;wsp:rsid wsp:val=&quot;006927A8&quot;/&gt;&lt;wsp:rsid wsp:val=&quot;0069292F&quot;/&gt;&lt;wsp:rsid wsp:val=&quot;00692B41&quot;/&gt;&lt;wsp:rsid wsp:val=&quot;00692B72&quot;/&gt;&lt;wsp:rsid wsp:val=&quot;00692C56&quot;/&gt;&lt;wsp:rsid wsp:val=&quot;00692DA5&quot;/&gt;&lt;wsp:rsid wsp:val=&quot;00693428&quot;/&gt;&lt;wsp:rsid wsp:val=&quot;0069391E&quot;/&gt;&lt;wsp:rsid wsp:val=&quot;00693D87&quot;/&gt;&lt;wsp:rsid wsp:val=&quot;0069411F&quot;/&gt;&lt;wsp:rsid wsp:val=&quot;006945C8&quot;/&gt;&lt;wsp:rsid wsp:val=&quot;006949DD&quot;/&gt;&lt;wsp:rsid wsp:val=&quot;00694AE0&quot;/&gt;&lt;wsp:rsid wsp:val=&quot;00694F3A&quot;/&gt;&lt;wsp:rsid wsp:val=&quot;0069520E&quot;/&gt;&lt;wsp:rsid wsp:val=&quot;00695742&quot;/&gt;&lt;wsp:rsid wsp:val=&quot;006957B6&quot;/&gt;&lt;wsp:rsid wsp:val=&quot;00695A62&quot;/&gt;&lt;wsp:rsid wsp:val=&quot;006961EB&quot;/&gt;&lt;wsp:rsid wsp:val=&quot;00696553&quot;/&gt;&lt;wsp:rsid wsp:val=&quot;0069679A&quot;/&gt;&lt;wsp:rsid wsp:val=&quot;00696DC0&quot;/&gt;&lt;wsp:rsid wsp:val=&quot;00697082&quot;/&gt;&lt;wsp:rsid wsp:val=&quot;0069784D&quot;/&gt;&lt;wsp:rsid wsp:val=&quot;006978F3&quot;/&gt;&lt;wsp:rsid wsp:val=&quot;006979AD&quot;/&gt;&lt;wsp:rsid wsp:val=&quot;00697C58&quot;/&gt;&lt;wsp:rsid wsp:val=&quot;006A09DE&quot;/&gt;&lt;wsp:rsid wsp:val=&quot;006A0A62&quot;/&gt;&lt;wsp:rsid wsp:val=&quot;006A1258&quot;/&gt;&lt;wsp:rsid wsp:val=&quot;006A1361&quot;/&gt;&lt;wsp:rsid wsp:val=&quot;006A1B09&quot;/&gt;&lt;wsp:rsid wsp:val=&quot;006A1BBC&quot;/&gt;&lt;wsp:rsid wsp:val=&quot;006A1FAA&quot;/&gt;&lt;wsp:rsid wsp:val=&quot;006A21E6&quot;/&gt;&lt;wsp:rsid wsp:val=&quot;006A2725&quot;/&gt;&lt;wsp:rsid wsp:val=&quot;006A2938&quot;/&gt;&lt;wsp:rsid wsp:val=&quot;006A29BE&quot;/&gt;&lt;wsp:rsid wsp:val=&quot;006A29E0&quot;/&gt;&lt;wsp:rsid wsp:val=&quot;006A2C99&quot;/&gt;&lt;wsp:rsid wsp:val=&quot;006A2D0F&quot;/&gt;&lt;wsp:rsid wsp:val=&quot;006A2D27&quot;/&gt;&lt;wsp:rsid wsp:val=&quot;006A2FF4&quot;/&gt;&lt;wsp:rsid wsp:val=&quot;006A3164&quot;/&gt;&lt;wsp:rsid wsp:val=&quot;006A34D7&quot;/&gt;&lt;wsp:rsid wsp:val=&quot;006A3560&quot;/&gt;&lt;wsp:rsid wsp:val=&quot;006A4A6A&quot;/&gt;&lt;wsp:rsid wsp:val=&quot;006A4C87&quot;/&gt;&lt;wsp:rsid wsp:val=&quot;006A5395&quot;/&gt;&lt;wsp:rsid wsp:val=&quot;006A5B1C&quot;/&gt;&lt;wsp:rsid wsp:val=&quot;006A5CFA&quot;/&gt;&lt;wsp:rsid wsp:val=&quot;006A6AA4&quot;/&gt;&lt;wsp:rsid wsp:val=&quot;006A6B6F&quot;/&gt;&lt;wsp:rsid wsp:val=&quot;006A6B8B&quot;/&gt;&lt;wsp:rsid wsp:val=&quot;006A6E99&quot;/&gt;&lt;wsp:rsid wsp:val=&quot;006A76ED&quot;/&gt;&lt;wsp:rsid wsp:val=&quot;006A777F&quot;/&gt;&lt;wsp:rsid wsp:val=&quot;006A79DA&quot;/&gt;&lt;wsp:rsid wsp:val=&quot;006B0312&quot;/&gt;&lt;wsp:rsid wsp:val=&quot;006B071C&quot;/&gt;&lt;wsp:rsid wsp:val=&quot;006B08A3&quot;/&gt;&lt;wsp:rsid wsp:val=&quot;006B08CD&quot;/&gt;&lt;wsp:rsid wsp:val=&quot;006B0BFB&quot;/&gt;&lt;wsp:rsid wsp:val=&quot;006B0FDE&quot;/&gt;&lt;wsp:rsid wsp:val=&quot;006B1196&quot;/&gt;&lt;wsp:rsid wsp:val=&quot;006B1229&quot;/&gt;&lt;wsp:rsid wsp:val=&quot;006B149C&quot;/&gt;&lt;wsp:rsid wsp:val=&quot;006B169E&quot;/&gt;&lt;wsp:rsid wsp:val=&quot;006B186C&quot;/&gt;&lt;wsp:rsid wsp:val=&quot;006B1A90&quot;/&gt;&lt;wsp:rsid wsp:val=&quot;006B2A69&quot;/&gt;&lt;wsp:rsid wsp:val=&quot;006B35C9&quot;/&gt;&lt;wsp:rsid wsp:val=&quot;006B41E6&quot;/&gt;&lt;wsp:rsid wsp:val=&quot;006B430E&quot;/&gt;&lt;wsp:rsid wsp:val=&quot;006B4457&quot;/&gt;&lt;wsp:rsid wsp:val=&quot;006B4AEC&quot;/&gt;&lt;wsp:rsid wsp:val=&quot;006B5047&quot;/&gt;&lt;wsp:rsid wsp:val=&quot;006B5451&quot;/&gt;&lt;wsp:rsid wsp:val=&quot;006B56C5&quot;/&gt;&lt;wsp:rsid wsp:val=&quot;006B591E&quot;/&gt;&lt;wsp:rsid wsp:val=&quot;006B5B30&quot;/&gt;&lt;wsp:rsid wsp:val=&quot;006B5F3A&quot;/&gt;&lt;wsp:rsid wsp:val=&quot;006B60DE&quot;/&gt;&lt;wsp:rsid wsp:val=&quot;006B656F&quot;/&gt;&lt;wsp:rsid wsp:val=&quot;006B6B9C&quot;/&gt;&lt;wsp:rsid wsp:val=&quot;006B6F13&quot;/&gt;&lt;wsp:rsid wsp:val=&quot;006B716B&quot;/&gt;&lt;wsp:rsid wsp:val=&quot;006B727D&quot;/&gt;&lt;wsp:rsid wsp:val=&quot;006B73BF&quot;/&gt;&lt;wsp:rsid wsp:val=&quot;006B7AE9&quot;/&gt;&lt;wsp:rsid wsp:val=&quot;006B7DB5&quot;/&gt;&lt;wsp:rsid wsp:val=&quot;006C0021&quot;/&gt;&lt;wsp:rsid wsp:val=&quot;006C0030&quot;/&gt;&lt;wsp:rsid wsp:val=&quot;006C04E9&quot;/&gt;&lt;wsp:rsid wsp:val=&quot;006C0770&quot;/&gt;&lt;wsp:rsid wsp:val=&quot;006C09BC&quot;/&gt;&lt;wsp:rsid wsp:val=&quot;006C0D78&quot;/&gt;&lt;wsp:rsid wsp:val=&quot;006C131A&quot;/&gt;&lt;wsp:rsid wsp:val=&quot;006C1696&quot;/&gt;&lt;wsp:rsid wsp:val=&quot;006C1B7D&quot;/&gt;&lt;wsp:rsid wsp:val=&quot;006C1FE3&quot;/&gt;&lt;wsp:rsid wsp:val=&quot;006C2084&quot;/&gt;&lt;wsp:rsid wsp:val=&quot;006C2334&quot;/&gt;&lt;wsp:rsid wsp:val=&quot;006C289A&quot;/&gt;&lt;wsp:rsid wsp:val=&quot;006C2D49&quot;/&gt;&lt;wsp:rsid wsp:val=&quot;006C2F1C&quot;/&gt;&lt;wsp:rsid wsp:val=&quot;006C2F91&quot;/&gt;&lt;wsp:rsid wsp:val=&quot;006C2FA1&quot;/&gt;&lt;wsp:rsid wsp:val=&quot;006C32AB&quot;/&gt;&lt;wsp:rsid wsp:val=&quot;006C3349&quot;/&gt;&lt;wsp:rsid wsp:val=&quot;006C33A5&quot;/&gt;&lt;wsp:rsid wsp:val=&quot;006C36D1&quot;/&gt;&lt;wsp:rsid wsp:val=&quot;006C3A9F&quot;/&gt;&lt;wsp:rsid wsp:val=&quot;006C3AE5&quot;/&gt;&lt;wsp:rsid wsp:val=&quot;006C3E1F&quot;/&gt;&lt;wsp:rsid wsp:val=&quot;006C3FAC&quot;/&gt;&lt;wsp:rsid wsp:val=&quot;006C41A5&quot;/&gt;&lt;wsp:rsid wsp:val=&quot;006C47BA&quot;/&gt;&lt;wsp:rsid wsp:val=&quot;006C4D82&quot;/&gt;&lt;wsp:rsid wsp:val=&quot;006C53E1&quot;/&gt;&lt;wsp:rsid wsp:val=&quot;006C5741&quot;/&gt;&lt;wsp:rsid wsp:val=&quot;006C5AB9&quot;/&gt;&lt;wsp:rsid wsp:val=&quot;006C5BC7&quot;/&gt;&lt;wsp:rsid wsp:val=&quot;006C603E&quot;/&gt;&lt;wsp:rsid wsp:val=&quot;006C617C&quot;/&gt;&lt;wsp:rsid wsp:val=&quot;006C61DF&quot;/&gt;&lt;wsp:rsid wsp:val=&quot;006C6804&quot;/&gt;&lt;wsp:rsid wsp:val=&quot;006C6925&quot;/&gt;&lt;wsp:rsid wsp:val=&quot;006C7152&quot;/&gt;&lt;wsp:rsid wsp:val=&quot;006C7D2A&quot;/&gt;&lt;wsp:rsid wsp:val=&quot;006C7D59&quot;/&gt;&lt;wsp:rsid wsp:val=&quot;006C7D8D&quot;/&gt;&lt;wsp:rsid wsp:val=&quot;006C7F1C&quot;/&gt;&lt;wsp:rsid wsp:val=&quot;006D049A&quot;/&gt;&lt;wsp:rsid wsp:val=&quot;006D0784&quot;/&gt;&lt;wsp:rsid wsp:val=&quot;006D0975&quot;/&gt;&lt;wsp:rsid wsp:val=&quot;006D0BC5&quot;/&gt;&lt;wsp:rsid wsp:val=&quot;006D12BD&quot;/&gt;&lt;wsp:rsid wsp:val=&quot;006D1968&quot;/&gt;&lt;wsp:rsid wsp:val=&quot;006D1A85&quot;/&gt;&lt;wsp:rsid wsp:val=&quot;006D234A&quot;/&gt;&lt;wsp:rsid wsp:val=&quot;006D2600&quot;/&gt;&lt;wsp:rsid wsp:val=&quot;006D2624&quot;/&gt;&lt;wsp:rsid wsp:val=&quot;006D26C2&quot;/&gt;&lt;wsp:rsid wsp:val=&quot;006D2C38&quot;/&gt;&lt;wsp:rsid wsp:val=&quot;006D2D75&quot;/&gt;&lt;wsp:rsid wsp:val=&quot;006D2DC6&quot;/&gt;&lt;wsp:rsid wsp:val=&quot;006D33B1&quot;/&gt;&lt;wsp:rsid wsp:val=&quot;006D3816&quot;/&gt;&lt;wsp:rsid wsp:val=&quot;006D38AB&quot;/&gt;&lt;wsp:rsid wsp:val=&quot;006D3BEA&quot;/&gt;&lt;wsp:rsid wsp:val=&quot;006D3DA5&quot;/&gt;&lt;wsp:rsid wsp:val=&quot;006D4178&quot;/&gt;&lt;wsp:rsid wsp:val=&quot;006D41E1&quot;/&gt;&lt;wsp:rsid wsp:val=&quot;006D4307&quot;/&gt;&lt;wsp:rsid wsp:val=&quot;006D4623&quot;/&gt;&lt;wsp:rsid wsp:val=&quot;006D46E2&quot;/&gt;&lt;wsp:rsid wsp:val=&quot;006D53FB&quot;/&gt;&lt;wsp:rsid wsp:val=&quot;006D54E4&quot;/&gt;&lt;wsp:rsid wsp:val=&quot;006D55ED&quot;/&gt;&lt;wsp:rsid wsp:val=&quot;006D5D8E&quot;/&gt;&lt;wsp:rsid wsp:val=&quot;006D5FEF&quot;/&gt;&lt;wsp:rsid wsp:val=&quot;006D6608&quot;/&gt;&lt;wsp:rsid wsp:val=&quot;006D67D8&quot;/&gt;&lt;wsp:rsid wsp:val=&quot;006D6B23&quot;/&gt;&lt;wsp:rsid wsp:val=&quot;006D6CAF&quot;/&gt;&lt;wsp:rsid wsp:val=&quot;006D756D&quot;/&gt;&lt;wsp:rsid wsp:val=&quot;006D7615&quot;/&gt;&lt;wsp:rsid wsp:val=&quot;006D7DA3&quot;/&gt;&lt;wsp:rsid wsp:val=&quot;006E1102&quot;/&gt;&lt;wsp:rsid wsp:val=&quot;006E1418&quot;/&gt;&lt;wsp:rsid wsp:val=&quot;006E1479&quot;/&gt;&lt;wsp:rsid wsp:val=&quot;006E158C&quot;/&gt;&lt;wsp:rsid wsp:val=&quot;006E1C1E&quot;/&gt;&lt;wsp:rsid wsp:val=&quot;006E1CAA&quot;/&gt;&lt;wsp:rsid wsp:val=&quot;006E2642&quot;/&gt;&lt;wsp:rsid wsp:val=&quot;006E30C1&quot;/&gt;&lt;wsp:rsid wsp:val=&quot;006E386A&quot;/&gt;&lt;wsp:rsid wsp:val=&quot;006E3CC9&quot;/&gt;&lt;wsp:rsid wsp:val=&quot;006E4237&quot;/&gt;&lt;wsp:rsid wsp:val=&quot;006E43F0&quot;/&gt;&lt;wsp:rsid wsp:val=&quot;006E53F0&quot;/&gt;&lt;wsp:rsid wsp:val=&quot;006E5415&quot;/&gt;&lt;wsp:rsid wsp:val=&quot;006E5992&quot;/&gt;&lt;wsp:rsid wsp:val=&quot;006E5ABF&quot;/&gt;&lt;wsp:rsid wsp:val=&quot;006E6461&quot;/&gt;&lt;wsp:rsid wsp:val=&quot;006E64CA&quot;/&gt;&lt;wsp:rsid wsp:val=&quot;006E6BF9&quot;/&gt;&lt;wsp:rsid wsp:val=&quot;006E6E96&quot;/&gt;&lt;wsp:rsid wsp:val=&quot;006E75A7&quot;/&gt;&lt;wsp:rsid wsp:val=&quot;006E777E&quot;/&gt;&lt;wsp:rsid wsp:val=&quot;006E797F&quot;/&gt;&lt;wsp:rsid wsp:val=&quot;006F000C&quot;/&gt;&lt;wsp:rsid wsp:val=&quot;006F0164&quot;/&gt;&lt;wsp:rsid wsp:val=&quot;006F0B72&quot;/&gt;&lt;wsp:rsid wsp:val=&quot;006F0D0D&quot;/&gt;&lt;wsp:rsid wsp:val=&quot;006F11B0&quot;/&gt;&lt;wsp:rsid wsp:val=&quot;006F1242&quot;/&gt;&lt;wsp:rsid wsp:val=&quot;006F127D&quot;/&gt;&lt;wsp:rsid wsp:val=&quot;006F1749&quot;/&gt;&lt;wsp:rsid wsp:val=&quot;006F1A7E&quot;/&gt;&lt;wsp:rsid wsp:val=&quot;006F2191&quot;/&gt;&lt;wsp:rsid wsp:val=&quot;006F269D&quot;/&gt;&lt;wsp:rsid wsp:val=&quot;006F26A8&quot;/&gt;&lt;wsp:rsid wsp:val=&quot;006F2855&quot;/&gt;&lt;wsp:rsid wsp:val=&quot;006F2920&quot;/&gt;&lt;wsp:rsid wsp:val=&quot;006F300C&quot;/&gt;&lt;wsp:rsid wsp:val=&quot;006F351E&quot;/&gt;&lt;wsp:rsid wsp:val=&quot;006F388D&quot;/&gt;&lt;wsp:rsid wsp:val=&quot;006F3A12&quot;/&gt;&lt;wsp:rsid wsp:val=&quot;006F4226&quot;/&gt;&lt;wsp:rsid wsp:val=&quot;006F47CF&quot;/&gt;&lt;wsp:rsid wsp:val=&quot;006F4F37&quot;/&gt;&lt;wsp:rsid wsp:val=&quot;006F5352&quot;/&gt;&lt;wsp:rsid wsp:val=&quot;006F5358&quot;/&gt;&lt;wsp:rsid wsp:val=&quot;006F54AF&quot;/&gt;&lt;wsp:rsid wsp:val=&quot;006F557E&quot;/&gt;&lt;wsp:rsid wsp:val=&quot;006F575D&quot;/&gt;&lt;wsp:rsid wsp:val=&quot;006F57D0&quot;/&gt;&lt;wsp:rsid wsp:val=&quot;006F6207&quot;/&gt;&lt;wsp:rsid wsp:val=&quot;006F62C6&quot;/&gt;&lt;wsp:rsid wsp:val=&quot;006F6526&quot;/&gt;&lt;wsp:rsid wsp:val=&quot;006F7267&quot;/&gt;&lt;wsp:rsid wsp:val=&quot;006F75C9&quot;/&gt;&lt;wsp:rsid wsp:val=&quot;006F76FF&quot;/&gt;&lt;wsp:rsid wsp:val=&quot;007002F4&quot;/&gt;&lt;wsp:rsid wsp:val=&quot;00700340&quot;/&gt;&lt;wsp:rsid wsp:val=&quot;007003EE&quot;/&gt;&lt;wsp:rsid wsp:val=&quot;0070057D&quot;/&gt;&lt;wsp:rsid wsp:val=&quot;00700620&quot;/&gt;&lt;wsp:rsid wsp:val=&quot;007008FE&quot;/&gt;&lt;wsp:rsid wsp:val=&quot;007009E2&quot;/&gt;&lt;wsp:rsid wsp:val=&quot;00700E7B&quot;/&gt;&lt;wsp:rsid wsp:val=&quot;00700FBF&quot;/&gt;&lt;wsp:rsid wsp:val=&quot;007015B7&quot;/&gt;&lt;wsp:rsid wsp:val=&quot;00701906&quot;/&gt;&lt;wsp:rsid wsp:val=&quot;00701A65&quot;/&gt;&lt;wsp:rsid wsp:val=&quot;00701C64&quot;/&gt;&lt;wsp:rsid wsp:val=&quot;0070224D&quot;/&gt;&lt;wsp:rsid wsp:val=&quot;007026B9&quot;/&gt;&lt;wsp:rsid wsp:val=&quot;007032AB&quot;/&gt;&lt;wsp:rsid wsp:val=&quot;00703460&quot;/&gt;&lt;wsp:rsid wsp:val=&quot;00703563&quot;/&gt;&lt;wsp:rsid wsp:val=&quot;007035D4&quot;/&gt;&lt;wsp:rsid wsp:val=&quot;007036B0&quot;/&gt;&lt;wsp:rsid wsp:val=&quot;00703B34&quot;/&gt;&lt;wsp:rsid wsp:val=&quot;00703EE2&quot;/&gt;&lt;wsp:rsid wsp:val=&quot;0070423B&quot;/&gt;&lt;wsp:rsid wsp:val=&quot;007046F3&quot;/&gt;&lt;wsp:rsid wsp:val=&quot;00704DA3&quot;/&gt;&lt;wsp:rsid wsp:val=&quot;00704E33&quot;/&gt;&lt;wsp:rsid wsp:val=&quot;0070569E&quot;/&gt;&lt;wsp:rsid wsp:val=&quot;007057B4&quot;/&gt;&lt;wsp:rsid wsp:val=&quot;00705B2B&quot;/&gt;&lt;wsp:rsid wsp:val=&quot;00705E63&quot;/&gt;&lt;wsp:rsid wsp:val=&quot;00705FF0&quot;/&gt;&lt;wsp:rsid wsp:val=&quot;00706DDA&quot;/&gt;&lt;wsp:rsid wsp:val=&quot;00706FFC&quot;/&gt;&lt;wsp:rsid wsp:val=&quot;007070B4&quot;/&gt;&lt;wsp:rsid wsp:val=&quot;0070743D&quot;/&gt;&lt;wsp:rsid wsp:val=&quot;00707447&quot;/&gt;&lt;wsp:rsid wsp:val=&quot;00710267&quot;/&gt;&lt;wsp:rsid wsp:val=&quot;00710960&quot;/&gt;&lt;wsp:rsid wsp:val=&quot;00710B50&quot;/&gt;&lt;wsp:rsid wsp:val=&quot;00710CD9&quot;/&gt;&lt;wsp:rsid wsp:val=&quot;00711DB7&quot;/&gt;&lt;wsp:rsid wsp:val=&quot;00711ED3&quot;/&gt;&lt;wsp:rsid wsp:val=&quot;00711F0C&quot;/&gt;&lt;wsp:rsid wsp:val=&quot;007120F7&quot;/&gt;&lt;wsp:rsid wsp:val=&quot;00712140&quot;/&gt;&lt;wsp:rsid wsp:val=&quot;0071220F&quot;/&gt;&lt;wsp:rsid wsp:val=&quot;0071298C&quot;/&gt;&lt;wsp:rsid wsp:val=&quot;007129DA&quot;/&gt;&lt;wsp:rsid wsp:val=&quot;00713696&quot;/&gt;&lt;wsp:rsid wsp:val=&quot;00713F80&quot;/&gt;&lt;wsp:rsid wsp:val=&quot;00713FE7&quot;/&gt;&lt;wsp:rsid wsp:val=&quot;007141C7&quot;/&gt;&lt;wsp:rsid wsp:val=&quot;00714365&quot;/&gt;&lt;wsp:rsid wsp:val=&quot;0071464E&quot;/&gt;&lt;wsp:rsid wsp:val=&quot;00714B35&quot;/&gt;&lt;wsp:rsid wsp:val=&quot;00714C87&quot;/&gt;&lt;wsp:rsid wsp:val=&quot;00714CC7&quot;/&gt;&lt;wsp:rsid wsp:val=&quot;00715407&quot;/&gt;&lt;wsp:rsid wsp:val=&quot;007156C6&quot;/&gt;&lt;wsp:rsid wsp:val=&quot;00715C64&quot;/&gt;&lt;wsp:rsid wsp:val=&quot;0071628B&quot;/&gt;&lt;wsp:rsid wsp:val=&quot;007166FF&quot;/&gt;&lt;wsp:rsid wsp:val=&quot;00716AAC&quot;/&gt;&lt;wsp:rsid wsp:val=&quot;00716C8C&quot;/&gt;&lt;wsp:rsid wsp:val=&quot;00716FB8&quot;/&gt;&lt;wsp:rsid wsp:val=&quot;007170AA&quot;/&gt;&lt;wsp:rsid wsp:val=&quot;00717890&quot;/&gt;&lt;wsp:rsid wsp:val=&quot;00717D9D&quot;/&gt;&lt;wsp:rsid wsp:val=&quot;00717EBD&quot;/&gt;&lt;wsp:rsid wsp:val=&quot;0072007F&quot;/&gt;&lt;wsp:rsid wsp:val=&quot;00720B98&quot;/&gt;&lt;wsp:rsid wsp:val=&quot;00720CF7&quot;/&gt;&lt;wsp:rsid wsp:val=&quot;00720E29&quot;/&gt;&lt;wsp:rsid wsp:val=&quot;00720FFB&quot;/&gt;&lt;wsp:rsid wsp:val=&quot;00721316&quot;/&gt;&lt;wsp:rsid wsp:val=&quot;007215E6&quot;/&gt;&lt;wsp:rsid wsp:val=&quot;00721838&quot;/&gt;&lt;wsp:rsid wsp:val=&quot;007219BD&quot;/&gt;&lt;wsp:rsid wsp:val=&quot;00722943&quot;/&gt;&lt;wsp:rsid wsp:val=&quot;00722A9B&quot;/&gt;&lt;wsp:rsid wsp:val=&quot;00722DA2&quot;/&gt;&lt;wsp:rsid wsp:val=&quot;007237FC&quot;/&gt;&lt;wsp:rsid wsp:val=&quot;007239E5&quot;/&gt;&lt;wsp:rsid wsp:val=&quot;00723F65&quot;/&gt;&lt;wsp:rsid wsp:val=&quot;007242E3&quot;/&gt;&lt;wsp:rsid wsp:val=&quot;00724492&quot;/&gt;&lt;wsp:rsid wsp:val=&quot;00724C67&quot;/&gt;&lt;wsp:rsid wsp:val=&quot;00724C99&quot;/&gt;&lt;wsp:rsid wsp:val=&quot;00724D89&quot;/&gt;&lt;wsp:rsid wsp:val=&quot;007253AC&quot;/&gt;&lt;wsp:rsid wsp:val=&quot;007258E3&quot;/&gt;&lt;wsp:rsid wsp:val=&quot;00725C9E&quot;/&gt;&lt;wsp:rsid wsp:val=&quot;00725E3A&quot;/&gt;&lt;wsp:rsid wsp:val=&quot;00725F19&quot;/&gt;&lt;wsp:rsid wsp:val=&quot;007266AD&quot;/&gt;&lt;wsp:rsid wsp:val=&quot;00726C07&quot;/&gt;&lt;wsp:rsid wsp:val=&quot;00727109&quot;/&gt;&lt;wsp:rsid wsp:val=&quot;00727B4B&quot;/&gt;&lt;wsp:rsid wsp:val=&quot;00727DD0&quot;/&gt;&lt;wsp:rsid wsp:val=&quot;00727E4E&quot;/&gt;&lt;wsp:rsid wsp:val=&quot;0073013A&quot;/&gt;&lt;wsp:rsid wsp:val=&quot;00730AC2&quot;/&gt;&lt;wsp:rsid wsp:val=&quot;00730D04&quot;/&gt;&lt;wsp:rsid wsp:val=&quot;00731275&quot;/&gt;&lt;wsp:rsid wsp:val=&quot;0073150D&quot;/&gt;&lt;wsp:rsid wsp:val=&quot;007315F4&quot;/&gt;&lt;wsp:rsid wsp:val=&quot;0073251D&quot;/&gt;&lt;wsp:rsid wsp:val=&quot;00732641&quot;/&gt;&lt;wsp:rsid wsp:val=&quot;00733248&quot;/&gt;&lt;wsp:rsid wsp:val=&quot;007348A8&quot;/&gt;&lt;wsp:rsid wsp:val=&quot;0073516D&quot;/&gt;&lt;wsp:rsid wsp:val=&quot;007355FE&quot;/&gt;&lt;wsp:rsid wsp:val=&quot;007359A5&quot;/&gt;&lt;wsp:rsid wsp:val=&quot;00735B51&quot;/&gt;&lt;wsp:rsid wsp:val=&quot;00735E11&quot;/&gt;&lt;wsp:rsid wsp:val=&quot;00736CBF&quot;/&gt;&lt;wsp:rsid wsp:val=&quot;007372D0&quot;/&gt;&lt;wsp:rsid wsp:val=&quot;007374C9&quot;/&gt;&lt;wsp:rsid wsp:val=&quot;007374E8&quot;/&gt;&lt;wsp:rsid wsp:val=&quot;0073758C&quot;/&gt;&lt;wsp:rsid wsp:val=&quot;00737651&quot;/&gt;&lt;wsp:rsid wsp:val=&quot;00737671&quot;/&gt;&lt;wsp:rsid wsp:val=&quot;00737773&quot;/&gt;&lt;wsp:rsid wsp:val=&quot;00737F6F&quot;/&gt;&lt;wsp:rsid wsp:val=&quot;0074047E&quot;/&gt;&lt;wsp:rsid wsp:val=&quot;0074076C&quot;/&gt;&lt;wsp:rsid wsp:val=&quot;0074097B&quot;/&gt;&lt;wsp:rsid wsp:val=&quot;007416E8&quot;/&gt;&lt;wsp:rsid wsp:val=&quot;00741953&quot;/&gt;&lt;wsp:rsid wsp:val=&quot;007424B6&quot;/&gt;&lt;wsp:rsid wsp:val=&quot;0074293E&quot;/&gt;&lt;wsp:rsid wsp:val=&quot;00742ADA&quot;/&gt;&lt;wsp:rsid wsp:val=&quot;00742FC7&quot;/&gt;&lt;wsp:rsid wsp:val=&quot;007443B2&quot;/&gt;&lt;wsp:rsid wsp:val=&quot;00744696&quot;/&gt;&lt;wsp:rsid wsp:val=&quot;007446EA&quot;/&gt;&lt;wsp:rsid wsp:val=&quot;0074503F&quot;/&gt;&lt;wsp:rsid wsp:val=&quot;00745041&quot;/&gt;&lt;wsp:rsid wsp:val=&quot;00745719&quot;/&gt;&lt;wsp:rsid wsp:val=&quot;007459E5&quot;/&gt;&lt;wsp:rsid wsp:val=&quot;00745AE5&quot;/&gt;&lt;wsp:rsid wsp:val=&quot;00745CCE&quot;/&gt;&lt;wsp:rsid wsp:val=&quot;00746574&quot;/&gt;&lt;wsp:rsid wsp:val=&quot;00746F69&quot;/&gt;&lt;wsp:rsid wsp:val=&quot;0074732D&quot;/&gt;&lt;wsp:rsid wsp:val=&quot;00747566&quot;/&gt;&lt;wsp:rsid wsp:val=&quot;0074780C&quot;/&gt;&lt;wsp:rsid wsp:val=&quot;00747910&quot;/&gt;&lt;wsp:rsid wsp:val=&quot;00747AC0&quot;/&gt;&lt;wsp:rsid wsp:val=&quot;00747F25&quot;/&gt;&lt;wsp:rsid wsp:val=&quot;00750335&quot;/&gt;&lt;wsp:rsid wsp:val=&quot;007503C6&quot;/&gt;&lt;wsp:rsid wsp:val=&quot;007509E0&quot;/&gt;&lt;wsp:rsid wsp:val=&quot;00751016&quot;/&gt;&lt;wsp:rsid wsp:val=&quot;007510B1&quot;/&gt;&lt;wsp:rsid wsp:val=&quot;0075149A&quot;/&gt;&lt;wsp:rsid wsp:val=&quot;00751A17&quot;/&gt;&lt;wsp:rsid wsp:val=&quot;00751DF6&quot;/&gt;&lt;wsp:rsid wsp:val=&quot;0075230F&quot;/&gt;&lt;wsp:rsid wsp:val=&quot;0075261B&quot;/&gt;&lt;wsp:rsid wsp:val=&quot;00753233&quot;/&gt;&lt;wsp:rsid wsp:val=&quot;007535BA&quot;/&gt;&lt;wsp:rsid wsp:val=&quot;00753B78&quot;/&gt;&lt;wsp:rsid wsp:val=&quot;00754014&quot;/&gt;&lt;wsp:rsid wsp:val=&quot;007542E0&quot;/&gt;&lt;wsp:rsid wsp:val=&quot;007547AB&quot;/&gt;&lt;wsp:rsid wsp:val=&quot;007548EA&quot;/&gt;&lt;wsp:rsid wsp:val=&quot;00754F31&quot;/&gt;&lt;wsp:rsid wsp:val=&quot;00755248&quot;/&gt;&lt;wsp:rsid wsp:val=&quot;00755480&quot;/&gt;&lt;wsp:rsid wsp:val=&quot;00755892&quot;/&gt;&lt;wsp:rsid wsp:val=&quot;00755901&quot;/&gt;&lt;wsp:rsid wsp:val=&quot;00756164&quot;/&gt;&lt;wsp:rsid wsp:val=&quot;00756541&quot;/&gt;&lt;wsp:rsid wsp:val=&quot;0075732A&quot;/&gt;&lt;wsp:rsid wsp:val=&quot;007576F7&quot;/&gt;&lt;wsp:rsid wsp:val=&quot;0075772E&quot;/&gt;&lt;wsp:rsid wsp:val=&quot;007577B9&quot;/&gt;&lt;wsp:rsid wsp:val=&quot;00757ECF&quot;/&gt;&lt;wsp:rsid wsp:val=&quot;007605BF&quot;/&gt;&lt;wsp:rsid wsp:val=&quot;00760A42&quot;/&gt;&lt;wsp:rsid wsp:val=&quot;00760B69&quot;/&gt;&lt;wsp:rsid wsp:val=&quot;00762076&quot;/&gt;&lt;wsp:rsid wsp:val=&quot;0076216C&quot;/&gt;&lt;wsp:rsid wsp:val=&quot;0076299F&quot;/&gt;&lt;wsp:rsid wsp:val=&quot;00762B7D&quot;/&gt;&lt;wsp:rsid wsp:val=&quot;00762DBA&quot;/&gt;&lt;wsp:rsid wsp:val=&quot;00762E9B&quot;/&gt;&lt;wsp:rsid wsp:val=&quot;00762F93&quot;/&gt;&lt;wsp:rsid wsp:val=&quot;00763AE0&quot;/&gt;&lt;wsp:rsid wsp:val=&quot;00763AEE&quot;/&gt;&lt;wsp:rsid wsp:val=&quot;00764541&quot;/&gt;&lt;wsp:rsid wsp:val=&quot;00764629&quot;/&gt;&lt;wsp:rsid wsp:val=&quot;007646EF&quot;/&gt;&lt;wsp:rsid wsp:val=&quot;0076495D&quot;/&gt;&lt;wsp:rsid wsp:val=&quot;00764C1E&quot;/&gt;&lt;wsp:rsid wsp:val=&quot;00764CBB&quot;/&gt;&lt;wsp:rsid wsp:val=&quot;00764F9E&quot;/&gt;&lt;wsp:rsid wsp:val=&quot;0076505A&quot;/&gt;&lt;wsp:rsid wsp:val=&quot;0076592B&quot;/&gt;&lt;wsp:rsid wsp:val=&quot;00765C17&quot;/&gt;&lt;wsp:rsid wsp:val=&quot;00765CF9&quot;/&gt;&lt;wsp:rsid wsp:val=&quot;00765FD7&quot;/&gt;&lt;wsp:rsid wsp:val=&quot;00766504&quot;/&gt;&lt;wsp:rsid wsp:val=&quot;00766A32&quot;/&gt;&lt;wsp:rsid wsp:val=&quot;00766CE7&quot;/&gt;&lt;wsp:rsid wsp:val=&quot;00767256&quot;/&gt;&lt;wsp:rsid wsp:val=&quot;00767A58&quot;/&gt;&lt;wsp:rsid wsp:val=&quot;00770198&quot;/&gt;&lt;wsp:rsid wsp:val=&quot;00770326&quot;/&gt;&lt;wsp:rsid wsp:val=&quot;007705F7&quot;/&gt;&lt;wsp:rsid wsp:val=&quot;007709E3&quot;/&gt;&lt;wsp:rsid wsp:val=&quot;00770A08&quot;/&gt;&lt;wsp:rsid wsp:val=&quot;00770A29&quot;/&gt;&lt;wsp:rsid wsp:val=&quot;00770ABA&quot;/&gt;&lt;wsp:rsid wsp:val=&quot;00770B9F&quot;/&gt;&lt;wsp:rsid wsp:val=&quot;007712B2&quot;/&gt;&lt;wsp:rsid wsp:val=&quot;00771431&quot;/&gt;&lt;wsp:rsid wsp:val=&quot;00771877&quot;/&gt;&lt;wsp:rsid wsp:val=&quot;00771A1F&quot;/&gt;&lt;wsp:rsid wsp:val=&quot;00771A7A&quot;/&gt;&lt;wsp:rsid wsp:val=&quot;00773111&quot;/&gt;&lt;wsp:rsid wsp:val=&quot;00773219&quot;/&gt;&lt;wsp:rsid wsp:val=&quot;0077350E&quot;/&gt;&lt;wsp:rsid wsp:val=&quot;00773851&quot;/&gt;&lt;wsp:rsid wsp:val=&quot;007738DB&quot;/&gt;&lt;wsp:rsid wsp:val=&quot;00773BBF&quot;/&gt;&lt;wsp:rsid wsp:val=&quot;00773EB7&quot;/&gt;&lt;wsp:rsid wsp:val=&quot;00773F2C&quot;/&gt;&lt;wsp:rsid wsp:val=&quot;00774471&quot;/&gt;&lt;wsp:rsid wsp:val=&quot;0077497F&quot;/&gt;&lt;wsp:rsid wsp:val=&quot;00775616&quot;/&gt;&lt;wsp:rsid wsp:val=&quot;00775A93&quot;/&gt;&lt;wsp:rsid wsp:val=&quot;007763CC&quot;/&gt;&lt;wsp:rsid wsp:val=&quot;00776404&quot;/&gt;&lt;wsp:rsid wsp:val=&quot;00776407&quot;/&gt;&lt;wsp:rsid wsp:val=&quot;00776409&quot;/&gt;&lt;wsp:rsid wsp:val=&quot;00776E14&quot;/&gt;&lt;wsp:rsid wsp:val=&quot;007802FB&quot;/&gt;&lt;wsp:rsid wsp:val=&quot;007805EA&quot;/&gt;&lt;wsp:rsid wsp:val=&quot;00780726&quot;/&gt;&lt;wsp:rsid wsp:val=&quot;00780A8F&quot;/&gt;&lt;wsp:rsid wsp:val=&quot;00781370&quot;/&gt;&lt;wsp:rsid wsp:val=&quot;007814E8&quot;/&gt;&lt;wsp:rsid wsp:val=&quot;007815B3&quot;/&gt;&lt;wsp:rsid wsp:val=&quot;0078239D&quot;/&gt;&lt;wsp:rsid wsp:val=&quot;0078250A&quot;/&gt;&lt;wsp:rsid wsp:val=&quot;00782A94&quot;/&gt;&lt;wsp:rsid wsp:val=&quot;00782EAD&quot;/&gt;&lt;wsp:rsid wsp:val=&quot;0078316A&quot;/&gt;&lt;wsp:rsid wsp:val=&quot;00783693&quot;/&gt;&lt;wsp:rsid wsp:val=&quot;007836A4&quot;/&gt;&lt;wsp:rsid wsp:val=&quot;00783824&quot;/&gt;&lt;wsp:rsid wsp:val=&quot;00783AD9&quot;/&gt;&lt;wsp:rsid wsp:val=&quot;00783F96&quot;/&gt;&lt;wsp:rsid wsp:val=&quot;0078409F&quot;/&gt;&lt;wsp:rsid wsp:val=&quot;00784144&quot;/&gt;&lt;wsp:rsid wsp:val=&quot;00784361&quot;/&gt;&lt;wsp:rsid wsp:val=&quot;007843FC&quot;/&gt;&lt;wsp:rsid wsp:val=&quot;00784DBF&quot;/&gt;&lt;wsp:rsid wsp:val=&quot;00784ECA&quot;/&gt;&lt;wsp:rsid wsp:val=&quot;007854F0&quot;/&gt;&lt;wsp:rsid wsp:val=&quot;007856F0&quot;/&gt;&lt;wsp:rsid wsp:val=&quot;00785CD6&quot;/&gt;&lt;wsp:rsid wsp:val=&quot;00786CB3&quot;/&gt;&lt;wsp:rsid wsp:val=&quot;00787284&quot;/&gt;&lt;wsp:rsid wsp:val=&quot;00787299&quot;/&gt;&lt;wsp:rsid wsp:val=&quot;00787391&quot;/&gt;&lt;wsp:rsid wsp:val=&quot;00787588&quot;/&gt;&lt;wsp:rsid wsp:val=&quot;00787761&quot;/&gt;&lt;wsp:rsid wsp:val=&quot;00787AE8&quot;/&gt;&lt;wsp:rsid wsp:val=&quot;00787E70&quot;/&gt;&lt;wsp:rsid wsp:val=&quot;00787FFA&quot;/&gt;&lt;wsp:rsid wsp:val=&quot;007905C0&quot;/&gt;&lt;wsp:rsid wsp:val=&quot;007906E9&quot;/&gt;&lt;wsp:rsid wsp:val=&quot;0079074F&quot;/&gt;&lt;wsp:rsid wsp:val=&quot;0079098A&quot;/&gt;&lt;wsp:rsid wsp:val=&quot;0079196A&quot;/&gt;&lt;wsp:rsid wsp:val=&quot;00791A8E&quot;/&gt;&lt;wsp:rsid wsp:val=&quot;00791F0C&quot;/&gt;&lt;wsp:rsid wsp:val=&quot;007922BC&quot;/&gt;&lt;wsp:rsid wsp:val=&quot;00792948&quot;/&gt;&lt;wsp:rsid wsp:val=&quot;00793033&quot;/&gt;&lt;wsp:rsid wsp:val=&quot;00793603&quot;/&gt;&lt;wsp:rsid wsp:val=&quot;00793EAE&quot;/&gt;&lt;wsp:rsid wsp:val=&quot;00793F0E&quot;/&gt;&lt;wsp:rsid wsp:val=&quot;00793FFF&quot;/&gt;&lt;wsp:rsid wsp:val=&quot;00794205&quot;/&gt;&lt;wsp:rsid wsp:val=&quot;0079479C&quot;/&gt;&lt;wsp:rsid wsp:val=&quot;00794A0E&quot;/&gt;&lt;wsp:rsid wsp:val=&quot;00794A14&quot;/&gt;&lt;wsp:rsid wsp:val=&quot;00794D8C&quot;/&gt;&lt;wsp:rsid wsp:val=&quot;0079539C&quot;/&gt;&lt;wsp:rsid wsp:val=&quot;00795682&quot;/&gt;&lt;wsp:rsid wsp:val=&quot;00795BF3&quot;/&gt;&lt;wsp:rsid wsp:val=&quot;00795E74&quot;/&gt;&lt;wsp:rsid wsp:val=&quot;0079670E&quot;/&gt;&lt;wsp:rsid wsp:val=&quot;00796880&quot;/&gt;&lt;wsp:rsid wsp:val=&quot;007977DC&quot;/&gt;&lt;wsp:rsid wsp:val=&quot;00797931&quot;/&gt;&lt;wsp:rsid wsp:val=&quot;007A1746&quot;/&gt;&lt;wsp:rsid wsp:val=&quot;007A2966&quot;/&gt;&lt;wsp:rsid wsp:val=&quot;007A2A83&quot;/&gt;&lt;wsp:rsid wsp:val=&quot;007A2A98&quot;/&gt;&lt;wsp:rsid wsp:val=&quot;007A2D2C&quot;/&gt;&lt;wsp:rsid wsp:val=&quot;007A3735&quot;/&gt;&lt;wsp:rsid wsp:val=&quot;007A3910&quot;/&gt;&lt;wsp:rsid wsp:val=&quot;007A41BD&quot;/&gt;&lt;wsp:rsid wsp:val=&quot;007A4323&quot;/&gt;&lt;wsp:rsid wsp:val=&quot;007A5186&quot;/&gt;&lt;wsp:rsid wsp:val=&quot;007A5507&quot;/&gt;&lt;wsp:rsid wsp:val=&quot;007A55C9&quot;/&gt;&lt;wsp:rsid wsp:val=&quot;007A55DE&quot;/&gt;&lt;wsp:rsid wsp:val=&quot;007A5672&quot;/&gt;&lt;wsp:rsid wsp:val=&quot;007A577F&quot;/&gt;&lt;wsp:rsid wsp:val=&quot;007A5A46&quot;/&gt;&lt;wsp:rsid wsp:val=&quot;007A5DF6&quot;/&gt;&lt;wsp:rsid wsp:val=&quot;007A60BF&quot;/&gt;&lt;wsp:rsid wsp:val=&quot;007A617E&quot;/&gt;&lt;wsp:rsid wsp:val=&quot;007A6184&quot;/&gt;&lt;wsp:rsid wsp:val=&quot;007A61BA&quot;/&gt;&lt;wsp:rsid wsp:val=&quot;007A63F1&quot;/&gt;&lt;wsp:rsid wsp:val=&quot;007A6716&quot;/&gt;&lt;wsp:rsid wsp:val=&quot;007A689F&quot;/&gt;&lt;wsp:rsid wsp:val=&quot;007A6F9B&quot;/&gt;&lt;wsp:rsid wsp:val=&quot;007A6FC6&quot;/&gt;&lt;wsp:rsid wsp:val=&quot;007A77E2&quot;/&gt;&lt;wsp:rsid wsp:val=&quot;007A7BC3&quot;/&gt;&lt;wsp:rsid wsp:val=&quot;007B05FD&quot;/&gt;&lt;wsp:rsid wsp:val=&quot;007B0681&quot;/&gt;&lt;wsp:rsid wsp:val=&quot;007B0F26&quot;/&gt;&lt;wsp:rsid wsp:val=&quot;007B0FA2&quot;/&gt;&lt;wsp:rsid wsp:val=&quot;007B12CF&quot;/&gt;&lt;wsp:rsid wsp:val=&quot;007B33BB&quot;/&gt;&lt;wsp:rsid wsp:val=&quot;007B36B0&quot;/&gt;&lt;wsp:rsid wsp:val=&quot;007B4A76&quot;/&gt;&lt;wsp:rsid wsp:val=&quot;007B4C13&quot;/&gt;&lt;wsp:rsid wsp:val=&quot;007B4D2B&quot;/&gt;&lt;wsp:rsid wsp:val=&quot;007B4EE1&quot;/&gt;&lt;wsp:rsid wsp:val=&quot;007B52FE&quot;/&gt;&lt;wsp:rsid wsp:val=&quot;007B5F37&quot;/&gt;&lt;wsp:rsid wsp:val=&quot;007B609A&quot;/&gt;&lt;wsp:rsid wsp:val=&quot;007B60D6&quot;/&gt;&lt;wsp:rsid wsp:val=&quot;007B6136&quot;/&gt;&lt;wsp:rsid wsp:val=&quot;007B64F8&quot;/&gt;&lt;wsp:rsid wsp:val=&quot;007B663E&quot;/&gt;&lt;wsp:rsid wsp:val=&quot;007B6A3E&quot;/&gt;&lt;wsp:rsid wsp:val=&quot;007B6EB3&quot;/&gt;&lt;wsp:rsid wsp:val=&quot;007B6F1C&quot;/&gt;&lt;wsp:rsid wsp:val=&quot;007B7501&quot;/&gt;&lt;wsp:rsid wsp:val=&quot;007B7C07&quot;/&gt;&lt;wsp:rsid wsp:val=&quot;007B7D4F&quot;/&gt;&lt;wsp:rsid wsp:val=&quot;007B7DD3&quot;/&gt;&lt;wsp:rsid wsp:val=&quot;007B7E01&quot;/&gt;&lt;wsp:rsid wsp:val=&quot;007C0412&quot;/&gt;&lt;wsp:rsid wsp:val=&quot;007C08B8&quot;/&gt;&lt;wsp:rsid wsp:val=&quot;007C0BF6&quot;/&gt;&lt;wsp:rsid wsp:val=&quot;007C1292&quot;/&gt;&lt;wsp:rsid wsp:val=&quot;007C16F9&quot;/&gt;&lt;wsp:rsid wsp:val=&quot;007C1B5D&quot;/&gt;&lt;wsp:rsid wsp:val=&quot;007C1C23&quot;/&gt;&lt;wsp:rsid wsp:val=&quot;007C1E05&quot;/&gt;&lt;wsp:rsid wsp:val=&quot;007C24E2&quot;/&gt;&lt;wsp:rsid wsp:val=&quot;007C280B&quot;/&gt;&lt;wsp:rsid wsp:val=&quot;007C32E5&quot;/&gt;&lt;wsp:rsid wsp:val=&quot;007C3392&quot;/&gt;&lt;wsp:rsid wsp:val=&quot;007C4654&quot;/&gt;&lt;wsp:rsid wsp:val=&quot;007C46C8&quot;/&gt;&lt;wsp:rsid wsp:val=&quot;007C47EB&quot;/&gt;&lt;wsp:rsid wsp:val=&quot;007C4D27&quot;/&gt;&lt;wsp:rsid wsp:val=&quot;007C5294&quot;/&gt;&lt;wsp:rsid wsp:val=&quot;007C54F3&quot;/&gt;&lt;wsp:rsid wsp:val=&quot;007C5A5E&quot;/&gt;&lt;wsp:rsid wsp:val=&quot;007C5B90&quot;/&gt;&lt;wsp:rsid wsp:val=&quot;007C5BEA&quot;/&gt;&lt;wsp:rsid wsp:val=&quot;007C608A&quot;/&gt;&lt;wsp:rsid wsp:val=&quot;007C64BA&quot;/&gt;&lt;wsp:rsid wsp:val=&quot;007C64F6&quot;/&gt;&lt;wsp:rsid wsp:val=&quot;007C668A&quot;/&gt;&lt;wsp:rsid wsp:val=&quot;007C6CFE&quot;/&gt;&lt;wsp:rsid wsp:val=&quot;007C6D9E&quot;/&gt;&lt;wsp:rsid wsp:val=&quot;007C6E57&quot;/&gt;&lt;wsp:rsid wsp:val=&quot;007C6EE5&quot;/&gt;&lt;wsp:rsid wsp:val=&quot;007C6FD8&quot;/&gt;&lt;wsp:rsid wsp:val=&quot;007C714F&quot;/&gt;&lt;wsp:rsid wsp:val=&quot;007C7870&quot;/&gt;&lt;wsp:rsid wsp:val=&quot;007C7952&quot;/&gt;&lt;wsp:rsid wsp:val=&quot;007C7B7D&quot;/&gt;&lt;wsp:rsid wsp:val=&quot;007C7B91&quot;/&gt;&lt;wsp:rsid wsp:val=&quot;007D0381&quot;/&gt;&lt;wsp:rsid wsp:val=&quot;007D0A06&quot;/&gt;&lt;wsp:rsid wsp:val=&quot;007D0A28&quot;/&gt;&lt;wsp:rsid wsp:val=&quot;007D0B79&quot;/&gt;&lt;wsp:rsid wsp:val=&quot;007D0D65&quot;/&gt;&lt;wsp:rsid wsp:val=&quot;007D2061&quot;/&gt;&lt;wsp:rsid wsp:val=&quot;007D24E8&quot;/&gt;&lt;wsp:rsid wsp:val=&quot;007D286C&quot;/&gt;&lt;wsp:rsid wsp:val=&quot;007D2C15&quot;/&gt;&lt;wsp:rsid wsp:val=&quot;007D2DD6&quot;/&gt;&lt;wsp:rsid wsp:val=&quot;007D30D4&quot;/&gt;&lt;wsp:rsid wsp:val=&quot;007D36A5&quot;/&gt;&lt;wsp:rsid wsp:val=&quot;007D3B5C&quot;/&gt;&lt;wsp:rsid wsp:val=&quot;007D3EEE&quot;/&gt;&lt;wsp:rsid wsp:val=&quot;007D461C&quot;/&gt;&lt;wsp:rsid wsp:val=&quot;007D4C97&quot;/&gt;&lt;wsp:rsid wsp:val=&quot;007D4EBB&quot;/&gt;&lt;wsp:rsid wsp:val=&quot;007D526C&quot;/&gt;&lt;wsp:rsid wsp:val=&quot;007D5D1B&quot;/&gt;&lt;wsp:rsid wsp:val=&quot;007D6509&quot;/&gt;&lt;wsp:rsid wsp:val=&quot;007D659B&quot;/&gt;&lt;wsp:rsid wsp:val=&quot;007D65A8&quot;/&gt;&lt;wsp:rsid wsp:val=&quot;007D683C&quot;/&gt;&lt;wsp:rsid wsp:val=&quot;007D6A47&quot;/&gt;&lt;wsp:rsid wsp:val=&quot;007D7DE9&quot;/&gt;&lt;wsp:rsid wsp:val=&quot;007D7E64&quot;/&gt;&lt;wsp:rsid wsp:val=&quot;007D7F67&quot;/&gt;&lt;wsp:rsid wsp:val=&quot;007D7FB8&quot;/&gt;&lt;wsp:rsid wsp:val=&quot;007E042F&quot;/&gt;&lt;wsp:rsid wsp:val=&quot;007E0979&quot;/&gt;&lt;wsp:rsid wsp:val=&quot;007E19F2&quot;/&gt;&lt;wsp:rsid wsp:val=&quot;007E1F0E&quot;/&gt;&lt;wsp:rsid wsp:val=&quot;007E20CA&quot;/&gt;&lt;wsp:rsid wsp:val=&quot;007E2274&quot;/&gt;&lt;wsp:rsid wsp:val=&quot;007E24B9&quot;/&gt;&lt;wsp:rsid wsp:val=&quot;007E28D4&quot;/&gt;&lt;wsp:rsid wsp:val=&quot;007E3D2A&quot;/&gt;&lt;wsp:rsid wsp:val=&quot;007E3D4E&quot;/&gt;&lt;wsp:rsid wsp:val=&quot;007E40D8&quot;/&gt;&lt;wsp:rsid wsp:val=&quot;007E411E&quot;/&gt;&lt;wsp:rsid wsp:val=&quot;007E46BC&quot;/&gt;&lt;wsp:rsid wsp:val=&quot;007E4B3E&quot;/&gt;&lt;wsp:rsid wsp:val=&quot;007E557F&quot;/&gt;&lt;wsp:rsid wsp:val=&quot;007E5628&quot;/&gt;&lt;wsp:rsid wsp:val=&quot;007E5C41&quot;/&gt;&lt;wsp:rsid wsp:val=&quot;007E5E56&quot;/&gt;&lt;wsp:rsid wsp:val=&quot;007E612A&quot;/&gt;&lt;wsp:rsid wsp:val=&quot;007E6703&quot;/&gt;&lt;wsp:rsid wsp:val=&quot;007E6C4B&quot;/&gt;&lt;wsp:rsid wsp:val=&quot;007E7033&quot;/&gt;&lt;wsp:rsid wsp:val=&quot;007E78A2&quot;/&gt;&lt;wsp:rsid wsp:val=&quot;007E7B6B&quot;/&gt;&lt;wsp:rsid wsp:val=&quot;007F0D0B&quot;/&gt;&lt;wsp:rsid wsp:val=&quot;007F0D67&quot;/&gt;&lt;wsp:rsid wsp:val=&quot;007F1029&quot;/&gt;&lt;wsp:rsid wsp:val=&quot;007F11C2&quot;/&gt;&lt;wsp:rsid wsp:val=&quot;007F14FA&quot;/&gt;&lt;wsp:rsid wsp:val=&quot;007F15C6&quot;/&gt;&lt;wsp:rsid wsp:val=&quot;007F1D12&quot;/&gt;&lt;wsp:rsid wsp:val=&quot;007F1FD1&quot;/&gt;&lt;wsp:rsid wsp:val=&quot;007F21A6&quot;/&gt;&lt;wsp:rsid wsp:val=&quot;007F29F6&quot;/&gt;&lt;wsp:rsid wsp:val=&quot;007F2B96&quot;/&gt;&lt;wsp:rsid wsp:val=&quot;007F2CF5&quot;/&gt;&lt;wsp:rsid wsp:val=&quot;007F2E84&quot;/&gt;&lt;wsp:rsid wsp:val=&quot;007F3ACE&quot;/&gt;&lt;wsp:rsid wsp:val=&quot;007F4B5F&quot;/&gt;&lt;wsp:rsid wsp:val=&quot;007F4CFD&quot;/&gt;&lt;wsp:rsid wsp:val=&quot;007F5A28&quot;/&gt;&lt;wsp:rsid wsp:val=&quot;007F611D&quot;/&gt;&lt;wsp:rsid wsp:val=&quot;007F650D&quot;/&gt;&lt;wsp:rsid wsp:val=&quot;007F7A17&quot;/&gt;&lt;wsp:rsid wsp:val=&quot;007F7A26&quot;/&gt;&lt;wsp:rsid wsp:val=&quot;00800ED0&quot;/&gt;&lt;wsp:rsid wsp:val=&quot;00801094&quot;/&gt;&lt;wsp:rsid wsp:val=&quot;0080146B&quot;/&gt;&lt;wsp:rsid wsp:val=&quot;00801B5F&quot;/&gt;&lt;wsp:rsid wsp:val=&quot;008020EC&quot;/&gt;&lt;wsp:rsid wsp:val=&quot;00802394&quot;/&gt;&lt;wsp:rsid wsp:val=&quot;00803975&quot;/&gt;&lt;wsp:rsid wsp:val=&quot;00803A0B&quot;/&gt;&lt;wsp:rsid wsp:val=&quot;00804158&quot;/&gt;&lt;wsp:rsid wsp:val=&quot;00804393&quot;/&gt;&lt;wsp:rsid wsp:val=&quot;008047DB&quot;/&gt;&lt;wsp:rsid wsp:val=&quot;00804CA1&quot;/&gt;&lt;wsp:rsid wsp:val=&quot;00805042&quot;/&gt;&lt;wsp:rsid wsp:val=&quot;0080515E&quot;/&gt;&lt;wsp:rsid wsp:val=&quot;00805268&quot;/&gt;&lt;wsp:rsid wsp:val=&quot;00805F65&quot;/&gt;&lt;wsp:rsid wsp:val=&quot;0080626E&quot;/&gt;&lt;wsp:rsid wsp:val=&quot;008062AA&quot;/&gt;&lt;wsp:rsid wsp:val=&quot;00806FE0&quot;/&gt;&lt;wsp:rsid wsp:val=&quot;00807176&quot;/&gt;&lt;wsp:rsid wsp:val=&quot;008077BA&quot;/&gt;&lt;wsp:rsid wsp:val=&quot;008078E6&quot;/&gt;&lt;wsp:rsid wsp:val=&quot;00807C6D&quot;/&gt;&lt;wsp:rsid wsp:val=&quot;00807FE8&quot;/&gt;&lt;wsp:rsid wsp:val=&quot;0081000D&quot;/&gt;&lt;wsp:rsid wsp:val=&quot;00810211&quot;/&gt;&lt;wsp:rsid wsp:val=&quot;008102D9&quot;/&gt;&lt;wsp:rsid wsp:val=&quot;00810437&quot;/&gt;&lt;wsp:rsid wsp:val=&quot;00810A75&quot;/&gt;&lt;wsp:rsid wsp:val=&quot;00810CE0&quot;/&gt;&lt;wsp:rsid wsp:val=&quot;008112F4&quot;/&gt;&lt;wsp:rsid wsp:val=&quot;00811505&quot;/&gt;&lt;wsp:rsid wsp:val=&quot;0081154D&quot;/&gt;&lt;wsp:rsid wsp:val=&quot;0081156E&quot;/&gt;&lt;wsp:rsid wsp:val=&quot;00811BB3&quot;/&gt;&lt;wsp:rsid wsp:val=&quot;00811D66&quot;/&gt;&lt;wsp:rsid wsp:val=&quot;00812431&quot;/&gt;&lt;wsp:rsid wsp:val=&quot;00812E0E&quot;/&gt;&lt;wsp:rsid wsp:val=&quot;008130E1&quot;/&gt;&lt;wsp:rsid wsp:val=&quot;00813455&quot;/&gt;&lt;wsp:rsid wsp:val=&quot;00813A2D&quot;/&gt;&lt;wsp:rsid wsp:val=&quot;00813FE4&quot;/&gt;&lt;wsp:rsid wsp:val=&quot;00815082&quot;/&gt;&lt;wsp:rsid wsp:val=&quot;00816077&quot;/&gt;&lt;wsp:rsid wsp:val=&quot;0081614B&quot;/&gt;&lt;wsp:rsid wsp:val=&quot;008161CE&quot;/&gt;&lt;wsp:rsid wsp:val=&quot;008164FA&quot;/&gt;&lt;wsp:rsid wsp:val=&quot;008165F2&quot;/&gt;&lt;wsp:rsid wsp:val=&quot;00817293&quot;/&gt;&lt;wsp:rsid wsp:val=&quot;0081773A&quot;/&gt;&lt;wsp:rsid wsp:val=&quot;00817910&quot;/&gt;&lt;wsp:rsid wsp:val=&quot;00817D54&quot;/&gt;&lt;wsp:rsid wsp:val=&quot;00820487&quot;/&gt;&lt;wsp:rsid wsp:val=&quot;00820C7B&quot;/&gt;&lt;wsp:rsid wsp:val=&quot;00820E0C&quot;/&gt;&lt;wsp:rsid wsp:val=&quot;00820E6E&quot;/&gt;&lt;wsp:rsid wsp:val=&quot;00821652&quot;/&gt;&lt;wsp:rsid wsp:val=&quot;008217E9&quot;/&gt;&lt;wsp:rsid wsp:val=&quot;0082189F&quot;/&gt;&lt;wsp:rsid wsp:val=&quot;008224E5&quot;/&gt;&lt;wsp:rsid wsp:val=&quot;00822E5E&quot;/&gt;&lt;wsp:rsid wsp:val=&quot;00823D28&quot;/&gt;&lt;wsp:rsid wsp:val=&quot;00824597&quot;/&gt;&lt;wsp:rsid wsp:val=&quot;008245D7&quot;/&gt;&lt;wsp:rsid wsp:val=&quot;00824B99&quot;/&gt;&lt;wsp:rsid wsp:val=&quot;00824D96&quot;/&gt;&lt;wsp:rsid wsp:val=&quot;0082580A&quot;/&gt;&lt;wsp:rsid wsp:val=&quot;00825837&quot;/&gt;&lt;wsp:rsid wsp:val=&quot;00825ABA&quot;/&gt;&lt;wsp:rsid wsp:val=&quot;00825B13&quot;/&gt;&lt;wsp:rsid wsp:val=&quot;00826305&quot;/&gt;&lt;wsp:rsid wsp:val=&quot;0082685F&quot;/&gt;&lt;wsp:rsid wsp:val=&quot;0082721E&quot;/&gt;&lt;wsp:rsid wsp:val=&quot;008273A5&quot;/&gt;&lt;wsp:rsid wsp:val=&quot;00827C10&quot;/&gt;&lt;wsp:rsid wsp:val=&quot;0083013C&quot;/&gt;&lt;wsp:rsid wsp:val=&quot;008302CC&quot;/&gt;&lt;wsp:rsid wsp:val=&quot;0083087D&quot;/&gt;&lt;wsp:rsid wsp:val=&quot;00830D57&quot;/&gt;&lt;wsp:rsid wsp:val=&quot;00830F6A&quot;/&gt;&lt;wsp:rsid wsp:val=&quot;00831CD5&quot;/&gt;&lt;wsp:rsid wsp:val=&quot;00831DF8&quot;/&gt;&lt;wsp:rsid wsp:val=&quot;008320A3&quot;/&gt;&lt;wsp:rsid wsp:val=&quot;0083277B&quot;/&gt;&lt;wsp:rsid wsp:val=&quot;0083283B&quot;/&gt;&lt;wsp:rsid wsp:val=&quot;008331FC&quot;/&gt;&lt;wsp:rsid wsp:val=&quot;0083336C&quot;/&gt;&lt;wsp:rsid wsp:val=&quot;008334E2&quot;/&gt;&lt;wsp:rsid wsp:val=&quot;00833A89&quot;/&gt;&lt;wsp:rsid wsp:val=&quot;008340FF&quot;/&gt;&lt;wsp:rsid wsp:val=&quot;00834518&quot;/&gt;&lt;wsp:rsid wsp:val=&quot;0083459E&quot;/&gt;&lt;wsp:rsid wsp:val=&quot;00834654&quot;/&gt;&lt;wsp:rsid wsp:val=&quot;00834B6B&quot;/&gt;&lt;wsp:rsid wsp:val=&quot;00834D57&quot;/&gt;&lt;wsp:rsid wsp:val=&quot;0083518C&quot;/&gt;&lt;wsp:rsid wsp:val=&quot;008351C2&quot;/&gt;&lt;wsp:rsid wsp:val=&quot;00835402&quot;/&gt;&lt;wsp:rsid wsp:val=&quot;00835465&quot;/&gt;&lt;wsp:rsid wsp:val=&quot;0083556E&quot;/&gt;&lt;wsp:rsid wsp:val=&quot;008357B6&quot;/&gt;&lt;wsp:rsid wsp:val=&quot;00836333&quot;/&gt;&lt;wsp:rsid wsp:val=&quot;0083636F&quot;/&gt;&lt;wsp:rsid wsp:val=&quot;008364DB&quot;/&gt;&lt;wsp:rsid wsp:val=&quot;00836890&quot;/&gt;&lt;wsp:rsid wsp:val=&quot;008368D3&quot;/&gt;&lt;wsp:rsid wsp:val=&quot;00836D3F&quot;/&gt;&lt;wsp:rsid wsp:val=&quot;00836E4C&quot;/&gt;&lt;wsp:rsid wsp:val=&quot;00837195&quot;/&gt;&lt;wsp:rsid wsp:val=&quot;008372DB&quot;/&gt;&lt;wsp:rsid wsp:val=&quot;008376E2&quot;/&gt;&lt;wsp:rsid wsp:val=&quot;00837CAA&quot;/&gt;&lt;wsp:rsid wsp:val=&quot;00837D52&quot;/&gt;&lt;wsp:rsid wsp:val=&quot;00837E52&quot;/&gt;&lt;wsp:rsid wsp:val=&quot;008400DF&quot;/&gt;&lt;wsp:rsid wsp:val=&quot;00840289&quot;/&gt;&lt;wsp:rsid wsp:val=&quot;00840E66&quot;/&gt;&lt;wsp:rsid wsp:val=&quot;0084222F&quot;/&gt;&lt;wsp:rsid wsp:val=&quot;00842887&quot;/&gt;&lt;wsp:rsid wsp:val=&quot;00842C09&quot;/&gt;&lt;wsp:rsid wsp:val=&quot;00842D37&quot;/&gt;&lt;wsp:rsid wsp:val=&quot;00843567&quot;/&gt;&lt;wsp:rsid wsp:val=&quot;00843A27&quot;/&gt;&lt;wsp:rsid wsp:val=&quot;00843F07&quot;/&gt;&lt;wsp:rsid wsp:val=&quot;00843F99&quot;/&gt;&lt;wsp:rsid wsp:val=&quot;0084442A&quot;/&gt;&lt;wsp:rsid wsp:val=&quot;00844D21&quot;/&gt;&lt;wsp:rsid wsp:val=&quot;0084503A&quot;/&gt;&lt;wsp:rsid wsp:val=&quot;008450B4&quot;/&gt;&lt;wsp:rsid wsp:val=&quot;008453E0&quot;/&gt;&lt;wsp:rsid wsp:val=&quot;008455DC&quot;/&gt;&lt;wsp:rsid wsp:val=&quot;00845E12&quot;/&gt;&lt;wsp:rsid wsp:val=&quot;00846256&quot;/&gt;&lt;wsp:rsid wsp:val=&quot;00846354&quot;/&gt;&lt;wsp:rsid wsp:val=&quot;0084657F&quot;/&gt;&lt;wsp:rsid wsp:val=&quot;0084799C&quot;/&gt;&lt;wsp:rsid wsp:val=&quot;00847D7F&quot;/&gt;&lt;wsp:rsid wsp:val=&quot;00847E56&quot;/&gt;&lt;wsp:rsid wsp:val=&quot;008504E0&quot;/&gt;&lt;wsp:rsid wsp:val=&quot;00850E46&quot;/&gt;&lt;wsp:rsid wsp:val=&quot;00850EF9&quot;/&gt;&lt;wsp:rsid wsp:val=&quot;008514CA&quot;/&gt;&lt;wsp:rsid wsp:val=&quot;00851509&quot;/&gt;&lt;wsp:rsid wsp:val=&quot;008521B9&quot;/&gt;&lt;wsp:rsid wsp:val=&quot;00852EED&quot;/&gt;&lt;wsp:rsid wsp:val=&quot;00853877&quot;/&gt;&lt;wsp:rsid wsp:val=&quot;00853CB9&quot;/&gt;&lt;wsp:rsid wsp:val=&quot;00853D57&quot;/&gt;&lt;wsp:rsid wsp:val=&quot;00854BE7&quot;/&gt;&lt;wsp:rsid wsp:val=&quot;00856740&quot;/&gt;&lt;wsp:rsid wsp:val=&quot;008570BF&quot;/&gt;&lt;wsp:rsid wsp:val=&quot;00857A94&quot;/&gt;&lt;wsp:rsid wsp:val=&quot;00857E3F&quot;/&gt;&lt;wsp:rsid wsp:val=&quot;00857EEA&quot;/&gt;&lt;wsp:rsid wsp:val=&quot;008600D3&quot;/&gt;&lt;wsp:rsid wsp:val=&quot;00860C28&quot;/&gt;&lt;wsp:rsid wsp:val=&quot;00862375&quot;/&gt;&lt;wsp:rsid wsp:val=&quot;0086248F&quot;/&gt;&lt;wsp:rsid wsp:val=&quot;0086255C&quot;/&gt;&lt;wsp:rsid wsp:val=&quot;00862604&quot;/&gt;&lt;wsp:rsid wsp:val=&quot;00862B84&quot;/&gt;&lt;wsp:rsid wsp:val=&quot;00862C97&quot;/&gt;&lt;wsp:rsid wsp:val=&quot;008632A6&quot;/&gt;&lt;wsp:rsid wsp:val=&quot;00863404&quot;/&gt;&lt;wsp:rsid wsp:val=&quot;00863FCD&quot;/&gt;&lt;wsp:rsid wsp:val=&quot;00864C77&quot;/&gt;&lt;wsp:rsid wsp:val=&quot;0086563E&quot;/&gt;&lt;wsp:rsid wsp:val=&quot;00865B9E&quot;/&gt;&lt;wsp:rsid wsp:val=&quot;008660DB&quot;/&gt;&lt;wsp:rsid wsp:val=&quot;00866103&quot;/&gt;&lt;wsp:rsid wsp:val=&quot;00866676&quot;/&gt;&lt;wsp:rsid wsp:val=&quot;008670EF&quot;/&gt;&lt;wsp:rsid wsp:val=&quot;00867146&quot;/&gt;&lt;wsp:rsid wsp:val=&quot;0087027A&quot;/&gt;&lt;wsp:rsid wsp:val=&quot;00870301&quot;/&gt;&lt;wsp:rsid wsp:val=&quot;008703EB&quot;/&gt;&lt;wsp:rsid wsp:val=&quot;008703EC&quot;/&gt;&lt;wsp:rsid wsp:val=&quot;0087049B&quot;/&gt;&lt;wsp:rsid wsp:val=&quot;0087050A&quot;/&gt;&lt;wsp:rsid wsp:val=&quot;00870A62&quot;/&gt;&lt;wsp:rsid wsp:val=&quot;00870B5C&quot;/&gt;&lt;wsp:rsid wsp:val=&quot;00871037&quot;/&gt;&lt;wsp:rsid wsp:val=&quot;008713A5&quot;/&gt;&lt;wsp:rsid wsp:val=&quot;0087147B&quot;/&gt;&lt;wsp:rsid wsp:val=&quot;008719F3&quot;/&gt;&lt;wsp:rsid wsp:val=&quot;00871B45&quot;/&gt;&lt;wsp:rsid wsp:val=&quot;00871B83&quot;/&gt;&lt;wsp:rsid wsp:val=&quot;00871E76&quot;/&gt;&lt;wsp:rsid wsp:val=&quot;00872B3C&quot;/&gt;&lt;wsp:rsid wsp:val=&quot;00872EEB&quot;/&gt;&lt;wsp:rsid wsp:val=&quot;00872F07&quot;/&gt;&lt;wsp:rsid wsp:val=&quot;0087331B&quot;/&gt;&lt;wsp:rsid wsp:val=&quot;008737A8&quot;/&gt;&lt;wsp:rsid wsp:val=&quot;008737D5&quot;/&gt;&lt;wsp:rsid wsp:val=&quot;00873B80&quot;/&gt;&lt;wsp:rsid wsp:val=&quot;00873E56&quot;/&gt;&lt;wsp:rsid wsp:val=&quot;0087446E&quot;/&gt;&lt;wsp:rsid wsp:val=&quot;00874D4D&quot;/&gt;&lt;wsp:rsid wsp:val=&quot;00875187&quot;/&gt;&lt;wsp:rsid wsp:val=&quot;008752B9&quot;/&gt;&lt;wsp:rsid wsp:val=&quot;008755CB&quot;/&gt;&lt;wsp:rsid wsp:val=&quot;00875D26&quot;/&gt;&lt;wsp:rsid wsp:val=&quot;00875D4D&quot;/&gt;&lt;wsp:rsid wsp:val=&quot;00875DDC&quot;/&gt;&lt;wsp:rsid wsp:val=&quot;00876128&quot;/&gt;&lt;wsp:rsid wsp:val=&quot;00876179&quot;/&gt;&lt;wsp:rsid wsp:val=&quot;008763BF&quot;/&gt;&lt;wsp:rsid wsp:val=&quot;0087673F&quot;/&gt;&lt;wsp:rsid wsp:val=&quot;008768EF&quot;/&gt;&lt;wsp:rsid wsp:val=&quot;00876A02&quot;/&gt;&lt;wsp:rsid wsp:val=&quot;00876D71&quot;/&gt;&lt;wsp:rsid wsp:val=&quot;0087720C&quot;/&gt;&lt;wsp:rsid wsp:val=&quot;00877BEF&quot;/&gt;&lt;wsp:rsid wsp:val=&quot;00877DEA&quot;/&gt;&lt;wsp:rsid wsp:val=&quot;00880150&quot;/&gt;&lt;wsp:rsid wsp:val=&quot;00881065&quot;/&gt;&lt;wsp:rsid wsp:val=&quot;00882997&quot;/&gt;&lt;wsp:rsid wsp:val=&quot;00883320&quot;/&gt;&lt;wsp:rsid wsp:val=&quot;00883385&quot;/&gt;&lt;wsp:rsid wsp:val=&quot;00883722&quot;/&gt;&lt;wsp:rsid wsp:val=&quot;00884081&quot;/&gt;&lt;wsp:rsid wsp:val=&quot;00884088&quot;/&gt;&lt;wsp:rsid wsp:val=&quot;00884A0F&quot;/&gt;&lt;wsp:rsid wsp:val=&quot;0088509A&quot;/&gt;&lt;wsp:rsid wsp:val=&quot;00885996&quot;/&gt;&lt;wsp:rsid wsp:val=&quot;008859ED&quot;/&gt;&lt;wsp:rsid wsp:val=&quot;00885B39&quot;/&gt;&lt;wsp:rsid wsp:val=&quot;008860A3&quot;/&gt;&lt;wsp:rsid wsp:val=&quot;00886328&quot;/&gt;&lt;wsp:rsid wsp:val=&quot;00886994&quot;/&gt;&lt;wsp:rsid wsp:val=&quot;00886B20&quot;/&gt;&lt;wsp:rsid wsp:val=&quot;00886CC6&quot;/&gt;&lt;wsp:rsid wsp:val=&quot;00886FA6&quot;/&gt;&lt;wsp:rsid wsp:val=&quot;008879C6&quot;/&gt;&lt;wsp:rsid wsp:val=&quot;00890D40&quot;/&gt;&lt;wsp:rsid wsp:val=&quot;008911CA&quot;/&gt;&lt;wsp:rsid wsp:val=&quot;00891542&quot;/&gt;&lt;wsp:rsid wsp:val=&quot;00892068&quot;/&gt;&lt;wsp:rsid wsp:val=&quot;0089218A&quot;/&gt;&lt;wsp:rsid wsp:val=&quot;00892336&quot;/&gt;&lt;wsp:rsid wsp:val=&quot;00892743&quot;/&gt;&lt;wsp:rsid wsp:val=&quot;00892AAC&quot;/&gt;&lt;wsp:rsid wsp:val=&quot;00892C31&quot;/&gt;&lt;wsp:rsid wsp:val=&quot;00892E86&quot;/&gt;&lt;wsp:rsid wsp:val=&quot;008932B3&quot;/&gt;&lt;wsp:rsid wsp:val=&quot;0089365B&quot;/&gt;&lt;wsp:rsid wsp:val=&quot;008939E7&quot;/&gt;&lt;wsp:rsid wsp:val=&quot;00893D82&quot;/&gt;&lt;wsp:rsid wsp:val=&quot;00894485&quot;/&gt;&lt;wsp:rsid wsp:val=&quot;00894CE3&quot;/&gt;&lt;wsp:rsid wsp:val=&quot;00895384&quot;/&gt;&lt;wsp:rsid wsp:val=&quot;00895746&quot;/&gt;&lt;wsp:rsid wsp:val=&quot;00895A61&quot;/&gt;&lt;wsp:rsid wsp:val=&quot;00896A81&quot;/&gt;&lt;wsp:rsid wsp:val=&quot;00897214&quot;/&gt;&lt;wsp:rsid wsp:val=&quot;00897795&quot;/&gt;&lt;wsp:rsid wsp:val=&quot;008A0059&quot;/&gt;&lt;wsp:rsid wsp:val=&quot;008A06F6&quot;/&gt;&lt;wsp:rsid wsp:val=&quot;008A12AC&quot;/&gt;&lt;wsp:rsid wsp:val=&quot;008A1322&quot;/&gt;&lt;wsp:rsid wsp:val=&quot;008A1639&quot;/&gt;&lt;wsp:rsid wsp:val=&quot;008A1962&quot;/&gt;&lt;wsp:rsid wsp:val=&quot;008A1DB6&quot;/&gt;&lt;wsp:rsid wsp:val=&quot;008A22D1&quot;/&gt;&lt;wsp:rsid wsp:val=&quot;008A249A&quot;/&gt;&lt;wsp:rsid wsp:val=&quot;008A27E8&quot;/&gt;&lt;wsp:rsid wsp:val=&quot;008A2C3A&quot;/&gt;&lt;wsp:rsid wsp:val=&quot;008A2D51&quot;/&gt;&lt;wsp:rsid wsp:val=&quot;008A315C&quot;/&gt;&lt;wsp:rsid wsp:val=&quot;008A328B&quot;/&gt;&lt;wsp:rsid wsp:val=&quot;008A3A6C&quot;/&gt;&lt;wsp:rsid wsp:val=&quot;008A3BEA&quot;/&gt;&lt;wsp:rsid wsp:val=&quot;008A4202&quot;/&gt;&lt;wsp:rsid wsp:val=&quot;008A4C3A&quot;/&gt;&lt;wsp:rsid wsp:val=&quot;008A564B&quot;/&gt;&lt;wsp:rsid wsp:val=&quot;008A5D10&quot;/&gt;&lt;wsp:rsid wsp:val=&quot;008A5E9B&quot;/&gt;&lt;wsp:rsid wsp:val=&quot;008A6343&quot;/&gt;&lt;wsp:rsid wsp:val=&quot;008A6499&quot;/&gt;&lt;wsp:rsid wsp:val=&quot;008A65B9&quot;/&gt;&lt;wsp:rsid wsp:val=&quot;008A68E6&quot;/&gt;&lt;wsp:rsid wsp:val=&quot;008A6B63&quot;/&gt;&lt;wsp:rsid wsp:val=&quot;008A7F95&quot;/&gt;&lt;wsp:rsid wsp:val=&quot;008B0549&quot;/&gt;&lt;wsp:rsid wsp:val=&quot;008B0BDD&quot;/&gt;&lt;wsp:rsid wsp:val=&quot;008B0BE4&quot;/&gt;&lt;wsp:rsid wsp:val=&quot;008B11AA&quot;/&gt;&lt;wsp:rsid wsp:val=&quot;008B12AB&quot;/&gt;&lt;wsp:rsid wsp:val=&quot;008B1867&quot;/&gt;&lt;wsp:rsid wsp:val=&quot;008B217B&quot;/&gt;&lt;wsp:rsid wsp:val=&quot;008B23F4&quot;/&gt;&lt;wsp:rsid wsp:val=&quot;008B25BE&quot;/&gt;&lt;wsp:rsid wsp:val=&quot;008B26ED&quot;/&gt;&lt;wsp:rsid wsp:val=&quot;008B2E88&quot;/&gt;&lt;wsp:rsid wsp:val=&quot;008B3858&quot;/&gt;&lt;wsp:rsid wsp:val=&quot;008B3AC2&quot;/&gt;&lt;wsp:rsid wsp:val=&quot;008B3C14&quot;/&gt;&lt;wsp:rsid wsp:val=&quot;008B4019&quot;/&gt;&lt;wsp:rsid wsp:val=&quot;008B424A&quot;/&gt;&lt;wsp:rsid wsp:val=&quot;008B42FD&quot;/&gt;&lt;wsp:rsid wsp:val=&quot;008B43A7&quot;/&gt;&lt;wsp:rsid wsp:val=&quot;008B4918&quot;/&gt;&lt;wsp:rsid wsp:val=&quot;008B4BD8&quot;/&gt;&lt;wsp:rsid wsp:val=&quot;008B5362&quot;/&gt;&lt;wsp:rsid wsp:val=&quot;008B5795&quot;/&gt;&lt;wsp:rsid wsp:val=&quot;008B613A&quot;/&gt;&lt;wsp:rsid wsp:val=&quot;008B63F5&quot;/&gt;&lt;wsp:rsid wsp:val=&quot;008B64EE&quot;/&gt;&lt;wsp:rsid wsp:val=&quot;008B66AE&quot;/&gt;&lt;wsp:rsid wsp:val=&quot;008B684A&quot;/&gt;&lt;wsp:rsid wsp:val=&quot;008B68C8&quot;/&gt;&lt;wsp:rsid wsp:val=&quot;008B6C4D&quot;/&gt;&lt;wsp:rsid wsp:val=&quot;008B707D&quot;/&gt;&lt;wsp:rsid wsp:val=&quot;008B7128&quot;/&gt;&lt;wsp:rsid wsp:val=&quot;008B721A&quot;/&gt;&lt;wsp:rsid wsp:val=&quot;008B7372&quot;/&gt;&lt;wsp:rsid wsp:val=&quot;008B7754&quot;/&gt;&lt;wsp:rsid wsp:val=&quot;008B7B30&quot;/&gt;&lt;wsp:rsid wsp:val=&quot;008C001E&quot;/&gt;&lt;wsp:rsid wsp:val=&quot;008C0054&quot;/&gt;&lt;wsp:rsid wsp:val=&quot;008C009A&quot;/&gt;&lt;wsp:rsid wsp:val=&quot;008C060D&quot;/&gt;&lt;wsp:rsid wsp:val=&quot;008C0C20&quot;/&gt;&lt;wsp:rsid wsp:val=&quot;008C1183&quot;/&gt;&lt;wsp:rsid wsp:val=&quot;008C15FC&quot;/&gt;&lt;wsp:rsid wsp:val=&quot;008C1822&quot;/&gt;&lt;wsp:rsid wsp:val=&quot;008C2159&quot;/&gt;&lt;wsp:rsid wsp:val=&quot;008C2169&quot;/&gt;&lt;wsp:rsid wsp:val=&quot;008C252A&quot;/&gt;&lt;wsp:rsid wsp:val=&quot;008C2A6F&quot;/&gt;&lt;wsp:rsid wsp:val=&quot;008C34B6&quot;/&gt;&lt;wsp:rsid wsp:val=&quot;008C3607&quot;/&gt;&lt;wsp:rsid wsp:val=&quot;008C368F&quot;/&gt;&lt;wsp:rsid wsp:val=&quot;008C37AE&quot;/&gt;&lt;wsp:rsid wsp:val=&quot;008C3A7D&quot;/&gt;&lt;wsp:rsid wsp:val=&quot;008C41A4&quot;/&gt;&lt;wsp:rsid wsp:val=&quot;008C4615&quot;/&gt;&lt;wsp:rsid wsp:val=&quot;008C4988&quot;/&gt;&lt;wsp:rsid wsp:val=&quot;008C4B14&quot;/&gt;&lt;wsp:rsid wsp:val=&quot;008C531B&quot;/&gt;&lt;wsp:rsid wsp:val=&quot;008C62A3&quot;/&gt;&lt;wsp:rsid wsp:val=&quot;008C69FF&quot;/&gt;&lt;wsp:rsid wsp:val=&quot;008C71B0&quot;/&gt;&lt;wsp:rsid wsp:val=&quot;008C7908&quot;/&gt;&lt;wsp:rsid wsp:val=&quot;008D0C56&quot;/&gt;&lt;wsp:rsid wsp:val=&quot;008D1292&quot;/&gt;&lt;wsp:rsid wsp:val=&quot;008D1940&quot;/&gt;&lt;wsp:rsid wsp:val=&quot;008D19EC&quot;/&gt;&lt;wsp:rsid wsp:val=&quot;008D21DF&quot;/&gt;&lt;wsp:rsid wsp:val=&quot;008D2530&quot;/&gt;&lt;wsp:rsid wsp:val=&quot;008D2719&quot;/&gt;&lt;wsp:rsid wsp:val=&quot;008D2989&quot;/&gt;&lt;wsp:rsid wsp:val=&quot;008D2BED&quot;/&gt;&lt;wsp:rsid wsp:val=&quot;008D2E1C&quot;/&gt;&lt;wsp:rsid wsp:val=&quot;008D2F07&quot;/&gt;&lt;wsp:rsid wsp:val=&quot;008D32EE&quot;/&gt;&lt;wsp:rsid wsp:val=&quot;008D3DF6&quot;/&gt;&lt;wsp:rsid wsp:val=&quot;008D4916&quot;/&gt;&lt;wsp:rsid wsp:val=&quot;008D4FC9&quot;/&gt;&lt;wsp:rsid wsp:val=&quot;008D52B2&quot;/&gt;&lt;wsp:rsid wsp:val=&quot;008D566D&quot;/&gt;&lt;wsp:rsid wsp:val=&quot;008D5AF6&quot;/&gt;&lt;wsp:rsid wsp:val=&quot;008D6026&quot;/&gt;&lt;wsp:rsid wsp:val=&quot;008D6199&quot;/&gt;&lt;wsp:rsid wsp:val=&quot;008D62AC&quot;/&gt;&lt;wsp:rsid wsp:val=&quot;008D672A&quot;/&gt;&lt;wsp:rsid wsp:val=&quot;008D68EB&quot;/&gt;&lt;wsp:rsid wsp:val=&quot;008D6989&quot;/&gt;&lt;wsp:rsid wsp:val=&quot;008D6B09&quot;/&gt;&lt;wsp:rsid wsp:val=&quot;008D6CA0&quot;/&gt;&lt;wsp:rsid wsp:val=&quot;008D6F7B&quot;/&gt;&lt;wsp:rsid wsp:val=&quot;008D735A&quot;/&gt;&lt;wsp:rsid wsp:val=&quot;008D73AD&quot;/&gt;&lt;wsp:rsid wsp:val=&quot;008D7C34&quot;/&gt;&lt;wsp:rsid wsp:val=&quot;008D7F1C&quot;/&gt;&lt;wsp:rsid wsp:val=&quot;008E001F&quot;/&gt;&lt;wsp:rsid wsp:val=&quot;008E0447&quot;/&gt;&lt;wsp:rsid wsp:val=&quot;008E09E0&quot;/&gt;&lt;wsp:rsid wsp:val=&quot;008E195A&quot;/&gt;&lt;wsp:rsid wsp:val=&quot;008E1DDD&quot;/&gt;&lt;wsp:rsid wsp:val=&quot;008E1F8B&quot;/&gt;&lt;wsp:rsid wsp:val=&quot;008E2AF4&quot;/&gt;&lt;wsp:rsid wsp:val=&quot;008E2B3E&quot;/&gt;&lt;wsp:rsid wsp:val=&quot;008E3056&quot;/&gt;&lt;wsp:rsid wsp:val=&quot;008E3526&quot;/&gt;&lt;wsp:rsid wsp:val=&quot;008E4011&quot;/&gt;&lt;wsp:rsid wsp:val=&quot;008E4431&quot;/&gt;&lt;wsp:rsid wsp:val=&quot;008E479D&quot;/&gt;&lt;wsp:rsid wsp:val=&quot;008E51EB&quot;/&gt;&lt;wsp:rsid wsp:val=&quot;008E5461&quot;/&gt;&lt;wsp:rsid wsp:val=&quot;008E5A50&quot;/&gt;&lt;wsp:rsid wsp:val=&quot;008E6615&quot;/&gt;&lt;wsp:rsid wsp:val=&quot;008E66C5&quot;/&gt;&lt;wsp:rsid wsp:val=&quot;008E7193&quot;/&gt;&lt;wsp:rsid wsp:val=&quot;008E71E2&quot;/&gt;&lt;wsp:rsid wsp:val=&quot;008E72C3&quot;/&gt;&lt;wsp:rsid wsp:val=&quot;008F021F&quot;/&gt;&lt;wsp:rsid wsp:val=&quot;008F03E8&quot;/&gt;&lt;wsp:rsid wsp:val=&quot;008F0559&quot;/&gt;&lt;wsp:rsid wsp:val=&quot;008F0AC6&quot;/&gt;&lt;wsp:rsid wsp:val=&quot;008F0AE4&quot;/&gt;&lt;wsp:rsid wsp:val=&quot;008F0C94&quot;/&gt;&lt;wsp:rsid wsp:val=&quot;008F10D7&quot;/&gt;&lt;wsp:rsid wsp:val=&quot;008F1433&quot;/&gt;&lt;wsp:rsid wsp:val=&quot;008F18B1&quot;/&gt;&lt;wsp:rsid wsp:val=&quot;008F1A40&quot;/&gt;&lt;wsp:rsid wsp:val=&quot;008F1A68&quot;/&gt;&lt;wsp:rsid wsp:val=&quot;008F2257&quot;/&gt;&lt;wsp:rsid wsp:val=&quot;008F2319&quot;/&gt;&lt;wsp:rsid wsp:val=&quot;008F26EA&quot;/&gt;&lt;wsp:rsid wsp:val=&quot;008F2A7D&quot;/&gt;&lt;wsp:rsid wsp:val=&quot;008F2B4B&quot;/&gt;&lt;wsp:rsid wsp:val=&quot;008F2FAA&quot;/&gt;&lt;wsp:rsid wsp:val=&quot;008F32DC&quot;/&gt;&lt;wsp:rsid wsp:val=&quot;008F3642&quot;/&gt;&lt;wsp:rsid wsp:val=&quot;008F3BE1&quot;/&gt;&lt;wsp:rsid wsp:val=&quot;008F3ED5&quot;/&gt;&lt;wsp:rsid wsp:val=&quot;008F40F2&quot;/&gt;&lt;wsp:rsid wsp:val=&quot;008F4954&quot;/&gt;&lt;wsp:rsid wsp:val=&quot;008F4F9B&quot;/&gt;&lt;wsp:rsid wsp:val=&quot;008F5433&quot;/&gt;&lt;wsp:rsid wsp:val=&quot;008F66D0&quot;/&gt;&lt;wsp:rsid wsp:val=&quot;008F677C&quot;/&gt;&lt;wsp:rsid wsp:val=&quot;008F6FEA&quot;/&gt;&lt;wsp:rsid wsp:val=&quot;008F746C&quot;/&gt;&lt;wsp:rsid wsp:val=&quot;008F7A17&quot;/&gt;&lt;wsp:rsid wsp:val=&quot;008F7A19&quot;/&gt;&lt;wsp:rsid wsp:val=&quot;008F7A57&quot;/&gt;&lt;wsp:rsid wsp:val=&quot;00900673&quot;/&gt;&lt;wsp:rsid wsp:val=&quot;009006F6&quot;/&gt;&lt;wsp:rsid wsp:val=&quot;00900A55&quot;/&gt;&lt;wsp:rsid wsp:val=&quot;009018E1&quot;/&gt;&lt;wsp:rsid wsp:val=&quot;00901DAA&quot;/&gt;&lt;wsp:rsid wsp:val=&quot;0090209F&quot;/&gt;&lt;wsp:rsid wsp:val=&quot;00902247&quot;/&gt;&lt;wsp:rsid wsp:val=&quot;00902787&quot;/&gt;&lt;wsp:rsid wsp:val=&quot;00902D44&quot;/&gt;&lt;wsp:rsid wsp:val=&quot;009030BD&quot;/&gt;&lt;wsp:rsid wsp:val=&quot;00903148&quot;/&gt;&lt;wsp:rsid wsp:val=&quot;00904681&quot;/&gt;&lt;wsp:rsid wsp:val=&quot;00904AA8&quot;/&gt;&lt;wsp:rsid wsp:val=&quot;009052C2&quot;/&gt;&lt;wsp:rsid wsp:val=&quot;00905529&quot;/&gt;&lt;wsp:rsid wsp:val=&quot;00905565&quot;/&gt;&lt;wsp:rsid wsp:val=&quot;009055D9&quot;/&gt;&lt;wsp:rsid wsp:val=&quot;00905999&quot;/&gt;&lt;wsp:rsid wsp:val=&quot;00905E93&quot;/&gt;&lt;wsp:rsid wsp:val=&quot;00906664&quot;/&gt;&lt;wsp:rsid wsp:val=&quot;0090675E&quot;/&gt;&lt;wsp:rsid wsp:val=&quot;0090688D&quot;/&gt;&lt;wsp:rsid wsp:val=&quot;009076E8&quot;/&gt;&lt;wsp:rsid wsp:val=&quot;00910433&quot;/&gt;&lt;wsp:rsid wsp:val=&quot;00910F00&quot;/&gt;&lt;wsp:rsid wsp:val=&quot;00911C91&quot;/&gt;&lt;wsp:rsid wsp:val=&quot;00911E44&quot;/&gt;&lt;wsp:rsid wsp:val=&quot;009124BF&quot;/&gt;&lt;wsp:rsid wsp:val=&quot;00912E6C&quot;/&gt;&lt;wsp:rsid wsp:val=&quot;0091301D&quot;/&gt;&lt;wsp:rsid wsp:val=&quot;00913472&quot;/&gt;&lt;wsp:rsid wsp:val=&quot;00913754&quot;/&gt;&lt;wsp:rsid wsp:val=&quot;009138AC&quot;/&gt;&lt;wsp:rsid wsp:val=&quot;009138C8&quot;/&gt;&lt;wsp:rsid wsp:val=&quot;00913C82&quot;/&gt;&lt;wsp:rsid wsp:val=&quot;00913D8C&quot;/&gt;&lt;wsp:rsid wsp:val=&quot;00913E0A&quot;/&gt;&lt;wsp:rsid wsp:val=&quot;009140AC&quot;/&gt;&lt;wsp:rsid wsp:val=&quot;0091443E&quot;/&gt;&lt;wsp:rsid wsp:val=&quot;0091452E&quot;/&gt;&lt;wsp:rsid wsp:val=&quot;009145B2&quot;/&gt;&lt;wsp:rsid wsp:val=&quot;0091493E&quot;/&gt;&lt;wsp:rsid wsp:val=&quot;00914E26&quot;/&gt;&lt;wsp:rsid wsp:val=&quot;00914F99&quot;/&gt;&lt;wsp:rsid wsp:val=&quot;009150B4&quot;/&gt;&lt;wsp:rsid wsp:val=&quot;0091607A&quot;/&gt;&lt;wsp:rsid wsp:val=&quot;0091652C&quot;/&gt;&lt;wsp:rsid wsp:val=&quot;0091698E&quot;/&gt;&lt;wsp:rsid wsp:val=&quot;00916B85&quot;/&gt;&lt;wsp:rsid wsp:val=&quot;00917156&quot;/&gt;&lt;wsp:rsid wsp:val=&quot;0091725A&quot;/&gt;&lt;wsp:rsid wsp:val=&quot;009172AD&quot;/&gt;&lt;wsp:rsid wsp:val=&quot;0091738F&quot;/&gt;&lt;wsp:rsid wsp:val=&quot;00917583&quot;/&gt;&lt;wsp:rsid wsp:val=&quot;00917C97&quot;/&gt;&lt;wsp:rsid wsp:val=&quot;00917F71&quot;/&gt;&lt;wsp:rsid wsp:val=&quot;00920195&quot;/&gt;&lt;wsp:rsid wsp:val=&quot;00920788&quot;/&gt;&lt;wsp:rsid wsp:val=&quot;009214A7&quot;/&gt;&lt;wsp:rsid wsp:val=&quot;009215C7&quot;/&gt;&lt;wsp:rsid wsp:val=&quot;00921AFE&quot;/&gt;&lt;wsp:rsid wsp:val=&quot;00921E15&quot;/&gt;&lt;wsp:rsid wsp:val=&quot;009223B4&quot;/&gt;&lt;wsp:rsid wsp:val=&quot;0092243B&quot;/&gt;&lt;wsp:rsid wsp:val=&quot;00922674&quot;/&gt;&lt;wsp:rsid wsp:val=&quot;00923E72&quot;/&gt;&lt;wsp:rsid wsp:val=&quot;00923FFC&quot;/&gt;&lt;wsp:rsid wsp:val=&quot;009245CF&quot;/&gt;&lt;wsp:rsid wsp:val=&quot;00924CA4&quot;/&gt;&lt;wsp:rsid wsp:val=&quot;00924DE7&quot;/&gt;&lt;wsp:rsid wsp:val=&quot;00924F20&quot;/&gt;&lt;wsp:rsid wsp:val=&quot;00925142&quot;/&gt;&lt;wsp:rsid wsp:val=&quot;0092569D&quot;/&gt;&lt;wsp:rsid wsp:val=&quot;009258D5&quot;/&gt;&lt;wsp:rsid wsp:val=&quot;00925D8F&quot;/&gt;&lt;wsp:rsid wsp:val=&quot;00926153&quot;/&gt;&lt;wsp:rsid wsp:val=&quot;00926704&quot;/&gt;&lt;wsp:rsid wsp:val=&quot;00926787&quot;/&gt;&lt;wsp:rsid wsp:val=&quot;00926F95&quot;/&gt;&lt;wsp:rsid wsp:val=&quot;009274E9&quot;/&gt;&lt;wsp:rsid wsp:val=&quot;00927615&quot;/&gt;&lt;wsp:rsid wsp:val=&quot;009277CE&quot;/&gt;&lt;wsp:rsid wsp:val=&quot;009278C3&quot;/&gt;&lt;wsp:rsid wsp:val=&quot;00930252&quot;/&gt;&lt;wsp:rsid wsp:val=&quot;009305BD&quot;/&gt;&lt;wsp:rsid wsp:val=&quot;00930968&quot;/&gt;&lt;wsp:rsid wsp:val=&quot;00930DD8&quot;/&gt;&lt;wsp:rsid wsp:val=&quot;00930F1B&quot;/&gt;&lt;wsp:rsid wsp:val=&quot;009318FA&quot;/&gt;&lt;wsp:rsid wsp:val=&quot;00932294&quot;/&gt;&lt;wsp:rsid wsp:val=&quot;00932B6D&quot;/&gt;&lt;wsp:rsid wsp:val=&quot;00932E24&quot;/&gt;&lt;wsp:rsid wsp:val=&quot;00932F4F&quot;/&gt;&lt;wsp:rsid wsp:val=&quot;009331E1&quot;/&gt;&lt;wsp:rsid wsp:val=&quot;00933233&quot;/&gt;&lt;wsp:rsid wsp:val=&quot;009334C8&quot;/&gt;&lt;wsp:rsid wsp:val=&quot;009342B8&quot;/&gt;&lt;wsp:rsid wsp:val=&quot;009348D4&quot;/&gt;&lt;wsp:rsid wsp:val=&quot;0093498E&quot;/&gt;&lt;wsp:rsid wsp:val=&quot;00935322&quot;/&gt;&lt;wsp:rsid wsp:val=&quot;00935501&quot;/&gt;&lt;wsp:rsid wsp:val=&quot;00935719&quot;/&gt;&lt;wsp:rsid wsp:val=&quot;0093578B&quot;/&gt;&lt;wsp:rsid wsp:val=&quot;00935F9A&quot;/&gt;&lt;wsp:rsid wsp:val=&quot;0093675C&quot;/&gt;&lt;wsp:rsid wsp:val=&quot;00936A1C&quot;/&gt;&lt;wsp:rsid wsp:val=&quot;00936C25&quot;/&gt;&lt;wsp:rsid wsp:val=&quot;009378B7&quot;/&gt;&lt;wsp:rsid wsp:val=&quot;009379B1&quot;/&gt;&lt;wsp:rsid wsp:val=&quot;00937DBC&quot;/&gt;&lt;wsp:rsid wsp:val=&quot;00940442&quot;/&gt;&lt;wsp:rsid wsp:val=&quot;00940F42&quot;/&gt;&lt;wsp:rsid wsp:val=&quot;009410AF&quot;/&gt;&lt;wsp:rsid wsp:val=&quot;0094127E&quot;/&gt;&lt;wsp:rsid wsp:val=&quot;0094130D&quot;/&gt;&lt;wsp:rsid wsp:val=&quot;00941397&quot;/&gt;&lt;wsp:rsid wsp:val=&quot;009413C3&quot;/&gt;&lt;wsp:rsid wsp:val=&quot;0094161D&quot;/&gt;&lt;wsp:rsid wsp:val=&quot;0094165D&quot;/&gt;&lt;wsp:rsid wsp:val=&quot;009417F7&quot;/&gt;&lt;wsp:rsid wsp:val=&quot;00941F29&quot;/&gt;&lt;wsp:rsid wsp:val=&quot;009424EB&quot;/&gt;&lt;wsp:rsid wsp:val=&quot;00942536&quot;/&gt;&lt;wsp:rsid wsp:val=&quot;00942883&quot;/&gt;&lt;wsp:rsid wsp:val=&quot;00942B93&quot;/&gt;&lt;wsp:rsid wsp:val=&quot;00942C2E&quot;/&gt;&lt;wsp:rsid wsp:val=&quot;00942D6B&quot;/&gt;&lt;wsp:rsid wsp:val=&quot;00942DE4&quot;/&gt;&lt;wsp:rsid wsp:val=&quot;009432BE&quot;/&gt;&lt;wsp:rsid wsp:val=&quot;00943DBB&quot;/&gt;&lt;wsp:rsid wsp:val=&quot;00944076&quot;/&gt;&lt;wsp:rsid wsp:val=&quot;009442CB&quot;/&gt;&lt;wsp:rsid wsp:val=&quot;009443C5&quot;/&gt;&lt;wsp:rsid wsp:val=&quot;00944797&quot;/&gt;&lt;wsp:rsid wsp:val=&quot;00944A1D&quot;/&gt;&lt;wsp:rsid wsp:val=&quot;00944B7A&quot;/&gt;&lt;wsp:rsid wsp:val=&quot;00945157&quot;/&gt;&lt;wsp:rsid wsp:val=&quot;009451CD&quot;/&gt;&lt;wsp:rsid wsp:val=&quot;00945637&quot;/&gt;&lt;wsp:rsid wsp:val=&quot;00945867&quot;/&gt;&lt;wsp:rsid wsp:val=&quot;00945F59&quot;/&gt;&lt;wsp:rsid wsp:val=&quot;009460F8&quot;/&gt;&lt;wsp:rsid wsp:val=&quot;00946A8E&quot;/&gt;&lt;wsp:rsid wsp:val=&quot;009470C6&quot;/&gt;&lt;wsp:rsid wsp:val=&quot;00947396&quot;/&gt;&lt;wsp:rsid wsp:val=&quot;00947675&quot;/&gt;&lt;wsp:rsid wsp:val=&quot;0094798D&quot;/&gt;&lt;wsp:rsid wsp:val=&quot;00947C74&quot;/&gt;&lt;wsp:rsid wsp:val=&quot;00947F25&quot;/&gt;&lt;wsp:rsid wsp:val=&quot;00950A3E&quot;/&gt;&lt;wsp:rsid wsp:val=&quot;00950B8F&quot;/&gt;&lt;wsp:rsid wsp:val=&quot;00950CBF&quot;/&gt;&lt;wsp:rsid wsp:val=&quot;009512F2&quot;/&gt;&lt;wsp:rsid wsp:val=&quot;0095133A&quot;/&gt;&lt;wsp:rsid wsp:val=&quot;0095187A&quot;/&gt;&lt;wsp:rsid wsp:val=&quot;00951DBB&quot;/&gt;&lt;wsp:rsid wsp:val=&quot;009521E9&quot;/&gt;&lt;wsp:rsid wsp:val=&quot;00952649&quot;/&gt;&lt;wsp:rsid wsp:val=&quot;009528FC&quot;/&gt;&lt;wsp:rsid wsp:val=&quot;0095348A&quot;/&gt;&lt;wsp:rsid wsp:val=&quot;00953899&quot;/&gt;&lt;wsp:rsid wsp:val=&quot;009538FB&quot;/&gt;&lt;wsp:rsid wsp:val=&quot;00953D2F&quot;/&gt;&lt;wsp:rsid wsp:val=&quot;009540F8&quot;/&gt;&lt;wsp:rsid wsp:val=&quot;00954115&quot;/&gt;&lt;wsp:rsid wsp:val=&quot;009543FD&quot;/&gt;&lt;wsp:rsid wsp:val=&quot;00954E33&quot;/&gt;&lt;wsp:rsid wsp:val=&quot;009551B2&quot;/&gt;&lt;wsp:rsid wsp:val=&quot;00955355&quot;/&gt;&lt;wsp:rsid wsp:val=&quot;00955FCA&quot;/&gt;&lt;wsp:rsid wsp:val=&quot;00956019&quot;/&gt;&lt;wsp:rsid wsp:val=&quot;009566C2&quot;/&gt;&lt;wsp:rsid wsp:val=&quot;009567AE&quot;/&gt;&lt;wsp:rsid wsp:val=&quot;00956BE4&quot;/&gt;&lt;wsp:rsid wsp:val=&quot;00956CCA&quot;/&gt;&lt;wsp:rsid wsp:val=&quot;00956E09&quot;/&gt;&lt;wsp:rsid wsp:val=&quot;0095731C&quot;/&gt;&lt;wsp:rsid wsp:val=&quot;009574D4&quot;/&gt;&lt;wsp:rsid wsp:val=&quot;00957603&quot;/&gt;&lt;wsp:rsid wsp:val=&quot;009579C3&quot;/&gt;&lt;wsp:rsid wsp:val=&quot;00960328&quot;/&gt;&lt;wsp:rsid wsp:val=&quot;00960433&quot;/&gt;&lt;wsp:rsid wsp:val=&quot;0096054B&quot;/&gt;&lt;wsp:rsid wsp:val=&quot;009606D5&quot;/&gt;&lt;wsp:rsid wsp:val=&quot;0096081C&quot;/&gt;&lt;wsp:rsid wsp:val=&quot;00960DA6&quot;/&gt;&lt;wsp:rsid wsp:val=&quot;00961322&quot;/&gt;&lt;wsp:rsid wsp:val=&quot;009618F3&quot;/&gt;&lt;wsp:rsid wsp:val=&quot;009622C6&quot;/&gt;&lt;wsp:rsid wsp:val=&quot;0096295F&quot;/&gt;&lt;wsp:rsid wsp:val=&quot;00962C9C&quot;/&gt;&lt;wsp:rsid wsp:val=&quot;0096321D&quot;/&gt;&lt;wsp:rsid wsp:val=&quot;0096322E&quot;/&gt;&lt;wsp:rsid wsp:val=&quot;00963335&quot;/&gt;&lt;wsp:rsid wsp:val=&quot;00963641&quot;/&gt;&lt;wsp:rsid wsp:val=&quot;00963875&quot;/&gt;&lt;wsp:rsid wsp:val=&quot;00963C8F&quot;/&gt;&lt;wsp:rsid wsp:val=&quot;00963ED6&quot;/&gt;&lt;wsp:rsid wsp:val=&quot;00964B5B&quot;/&gt;&lt;wsp:rsid wsp:val=&quot;00964C3B&quot;/&gt;&lt;wsp:rsid wsp:val=&quot;00964CC2&quot;/&gt;&lt;wsp:rsid wsp:val=&quot;00964FAD&quot;/&gt;&lt;wsp:rsid wsp:val=&quot;00965101&quot;/&gt;&lt;wsp:rsid wsp:val=&quot;0096561E&quot;/&gt;&lt;wsp:rsid wsp:val=&quot;00965B52&quot;/&gt;&lt;wsp:rsid wsp:val=&quot;00965F8B&quot;/&gt;&lt;wsp:rsid wsp:val=&quot;00965F9A&quot;/&gt;&lt;wsp:rsid wsp:val=&quot;0096657D&quot;/&gt;&lt;wsp:rsid wsp:val=&quot;009665E7&quot;/&gt;&lt;wsp:rsid wsp:val=&quot;009666AE&quot;/&gt;&lt;wsp:rsid wsp:val=&quot;009677C7&quot;/&gt;&lt;wsp:rsid wsp:val=&quot;009677F1&quot;/&gt;&lt;wsp:rsid wsp:val=&quot;00967B00&quot;/&gt;&lt;wsp:rsid wsp:val=&quot;009702E2&quot;/&gt;&lt;wsp:rsid wsp:val=&quot;00970446&quot;/&gt;&lt;wsp:rsid wsp:val=&quot;009708FB&quot;/&gt;&lt;wsp:rsid wsp:val=&quot;009709D6&quot;/&gt;&lt;wsp:rsid wsp:val=&quot;00970A36&quot;/&gt;&lt;wsp:rsid wsp:val=&quot;00970B6F&quot;/&gt;&lt;wsp:rsid wsp:val=&quot;00970DB1&quot;/&gt;&lt;wsp:rsid wsp:val=&quot;00971474&quot;/&gt;&lt;wsp:rsid wsp:val=&quot;00972173&quot;/&gt;&lt;wsp:rsid wsp:val=&quot;00972500&quot;/&gt;&lt;wsp:rsid wsp:val=&quot;009726BC&quot;/&gt;&lt;wsp:rsid wsp:val=&quot;00972A56&quot;/&gt;&lt;wsp:rsid wsp:val=&quot;0097314D&quot;/&gt;&lt;wsp:rsid wsp:val=&quot;00974009&quot;/&gt;&lt;wsp:rsid wsp:val=&quot;00974281&quot;/&gt;&lt;wsp:rsid wsp:val=&quot;00974385&quot;/&gt;&lt;wsp:rsid wsp:val=&quot;0097490F&quot;/&gt;&lt;wsp:rsid wsp:val=&quot;00974E70&quot;/&gt;&lt;wsp:rsid wsp:val=&quot;009751DE&quot;/&gt;&lt;wsp:rsid wsp:val=&quot;0097522C&quot;/&gt;&lt;wsp:rsid wsp:val=&quot;00975C40&quot;/&gt;&lt;wsp:rsid wsp:val=&quot;00976280&quot;/&gt;&lt;wsp:rsid wsp:val=&quot;009767B3&quot;/&gt;&lt;wsp:rsid wsp:val=&quot;00977339&quot;/&gt;&lt;wsp:rsid wsp:val=&quot;00977631&quot;/&gt;&lt;wsp:rsid wsp:val=&quot;00977768&quot;/&gt;&lt;wsp:rsid wsp:val=&quot;00977C81&quot;/&gt;&lt;wsp:rsid wsp:val=&quot;0098000F&quot;/&gt;&lt;wsp:rsid wsp:val=&quot;009809EF&quot;/&gt;&lt;wsp:rsid wsp:val=&quot;009815B0&quot;/&gt;&lt;wsp:rsid wsp:val=&quot;00981623&quot;/&gt;&lt;wsp:rsid wsp:val=&quot;00981770&quot;/&gt;&lt;wsp:rsid wsp:val=&quot;00982263&quot;/&gt;&lt;wsp:rsid wsp:val=&quot;009827FC&quot;/&gt;&lt;wsp:rsid wsp:val=&quot;00982EF3&quot;/&gt;&lt;wsp:rsid wsp:val=&quot;00983181&quot;/&gt;&lt;wsp:rsid wsp:val=&quot;009836FF&quot;/&gt;&lt;wsp:rsid wsp:val=&quot;00984331&quot;/&gt;&lt;wsp:rsid wsp:val=&quot;00984692&quot;/&gt;&lt;wsp:rsid wsp:val=&quot;009846D6&quot;/&gt;&lt;wsp:rsid wsp:val=&quot;00984F5C&quot;/&gt;&lt;wsp:rsid wsp:val=&quot;009854B8&quot;/&gt;&lt;wsp:rsid wsp:val=&quot;0098554A&quot;/&gt;&lt;wsp:rsid wsp:val=&quot;00985748&quot;/&gt;&lt;wsp:rsid wsp:val=&quot;009858AA&quot;/&gt;&lt;wsp:rsid wsp:val=&quot;009859E5&quot;/&gt;&lt;wsp:rsid wsp:val=&quot;00985A44&quot;/&gt;&lt;wsp:rsid wsp:val=&quot;00985AAA&quot;/&gt;&lt;wsp:rsid wsp:val=&quot;00985F05&quot;/&gt;&lt;wsp:rsid wsp:val=&quot;0098628D&quot;/&gt;&lt;wsp:rsid wsp:val=&quot;00986495&quot;/&gt;&lt;wsp:rsid wsp:val=&quot;00986C40&quot;/&gt;&lt;wsp:rsid wsp:val=&quot;00986CA7&quot;/&gt;&lt;wsp:rsid wsp:val=&quot;00986D53&quot;/&gt;&lt;wsp:rsid wsp:val=&quot;0098765D&quot;/&gt;&lt;wsp:rsid wsp:val=&quot;00987A80&quot;/&gt;&lt;wsp:rsid wsp:val=&quot;00987D3F&quot;/&gt;&lt;wsp:rsid wsp:val=&quot;00987EA3&quot;/&gt;&lt;wsp:rsid wsp:val=&quot;00990326&quot;/&gt;&lt;wsp:rsid wsp:val=&quot;0099062D&quot;/&gt;&lt;wsp:rsid wsp:val=&quot;00990807&quot;/&gt;&lt;wsp:rsid wsp:val=&quot;0099148B&quot;/&gt;&lt;wsp:rsid wsp:val=&quot;009918F8&quot;/&gt;&lt;wsp:rsid wsp:val=&quot;00992110&quot;/&gt;&lt;wsp:rsid wsp:val=&quot;00992722&quot;/&gt;&lt;wsp:rsid wsp:val=&quot;0099282B&quot;/&gt;&lt;wsp:rsid wsp:val=&quot;00992E70&quot;/&gt;&lt;wsp:rsid wsp:val=&quot;009934A0&quot;/&gt;&lt;wsp:rsid wsp:val=&quot;00993B9D&quot;/&gt;&lt;wsp:rsid wsp:val=&quot;00993DB7&quot;/&gt;&lt;wsp:rsid wsp:val=&quot;00994137&quot;/&gt;&lt;wsp:rsid wsp:val=&quot;00995038&quot;/&gt;&lt;wsp:rsid wsp:val=&quot;00995298&quot;/&gt;&lt;wsp:rsid wsp:val=&quot;0099529A&quot;/&gt;&lt;wsp:rsid wsp:val=&quot;009953D6&quot;/&gt;&lt;wsp:rsid wsp:val=&quot;00995538&quot;/&gt;&lt;wsp:rsid wsp:val=&quot;00995A2D&quot;/&gt;&lt;wsp:rsid wsp:val=&quot;00996523&quot;/&gt;&lt;wsp:rsid wsp:val=&quot;009967EC&quot;/&gt;&lt;wsp:rsid wsp:val=&quot;00996871&quot;/&gt;&lt;wsp:rsid wsp:val=&quot;00996B8F&quot;/&gt;&lt;wsp:rsid wsp:val=&quot;00996E38&quot;/&gt;&lt;wsp:rsid wsp:val=&quot;00997447&quot;/&gt;&lt;wsp:rsid wsp:val=&quot;0099746C&quot;/&gt;&lt;wsp:rsid wsp:val=&quot;00997889&quot;/&gt;&lt;wsp:rsid wsp:val=&quot;00997952&quot;/&gt;&lt;wsp:rsid wsp:val=&quot;00997F33&quot;/&gt;&lt;wsp:rsid wsp:val=&quot;009A00F8&quot;/&gt;&lt;wsp:rsid wsp:val=&quot;009A0194&quot;/&gt;&lt;wsp:rsid wsp:val=&quot;009A033A&quot;/&gt;&lt;wsp:rsid wsp:val=&quot;009A066E&quot;/&gt;&lt;wsp:rsid wsp:val=&quot;009A0D2D&quot;/&gt;&lt;wsp:rsid wsp:val=&quot;009A0EA0&quot;/&gt;&lt;wsp:rsid wsp:val=&quot;009A0F27&quot;/&gt;&lt;wsp:rsid wsp:val=&quot;009A1CA5&quot;/&gt;&lt;wsp:rsid wsp:val=&quot;009A1F94&quot;/&gt;&lt;wsp:rsid wsp:val=&quot;009A1FE0&quot;/&gt;&lt;wsp:rsid wsp:val=&quot;009A247B&quot;/&gt;&lt;wsp:rsid wsp:val=&quot;009A26EA&quot;/&gt;&lt;wsp:rsid wsp:val=&quot;009A2FB0&quot;/&gt;&lt;wsp:rsid wsp:val=&quot;009A33F1&quot;/&gt;&lt;wsp:rsid wsp:val=&quot;009A406A&quot;/&gt;&lt;wsp:rsid wsp:val=&quot;009A4086&quot;/&gt;&lt;wsp:rsid wsp:val=&quot;009A427E&quot;/&gt;&lt;wsp:rsid wsp:val=&quot;009A436C&quot;/&gt;&lt;wsp:rsid wsp:val=&quot;009A4C57&quot;/&gt;&lt;wsp:rsid wsp:val=&quot;009A52B6&quot;/&gt;&lt;wsp:rsid wsp:val=&quot;009A53DA&quot;/&gt;&lt;wsp:rsid wsp:val=&quot;009A5FCC&quot;/&gt;&lt;wsp:rsid wsp:val=&quot;009A5FD7&quot;/&gt;&lt;wsp:rsid wsp:val=&quot;009A615C&quot;/&gt;&lt;wsp:rsid wsp:val=&quot;009A75F6&quot;/&gt;&lt;wsp:rsid wsp:val=&quot;009A76F6&quot;/&gt;&lt;wsp:rsid wsp:val=&quot;009A77EF&quot;/&gt;&lt;wsp:rsid wsp:val=&quot;009A785D&quot;/&gt;&lt;wsp:rsid wsp:val=&quot;009A7B4C&quot;/&gt;&lt;wsp:rsid wsp:val=&quot;009B00BE&quot;/&gt;&lt;wsp:rsid wsp:val=&quot;009B06E8&quot;/&gt;&lt;wsp:rsid wsp:val=&quot;009B1412&quot;/&gt;&lt;wsp:rsid wsp:val=&quot;009B175C&quot;/&gt;&lt;wsp:rsid wsp:val=&quot;009B1AEA&quot;/&gt;&lt;wsp:rsid wsp:val=&quot;009B1ED9&quot;/&gt;&lt;wsp:rsid wsp:val=&quot;009B1FB2&quot;/&gt;&lt;wsp:rsid wsp:val=&quot;009B2950&quot;/&gt;&lt;wsp:rsid wsp:val=&quot;009B2A38&quot;/&gt;&lt;wsp:rsid wsp:val=&quot;009B31E2&quot;/&gt;&lt;wsp:rsid wsp:val=&quot;009B3BDB&quot;/&gt;&lt;wsp:rsid wsp:val=&quot;009B3E98&quot;/&gt;&lt;wsp:rsid wsp:val=&quot;009B4381&quot;/&gt;&lt;wsp:rsid wsp:val=&quot;009B4948&quot;/&gt;&lt;wsp:rsid wsp:val=&quot;009B5CEF&quot;/&gt;&lt;wsp:rsid wsp:val=&quot;009B62BC&quot;/&gt;&lt;wsp:rsid wsp:val=&quot;009B67DA&quot;/&gt;&lt;wsp:rsid wsp:val=&quot;009B6B01&quot;/&gt;&lt;wsp:rsid wsp:val=&quot;009B6D77&quot;/&gt;&lt;wsp:rsid wsp:val=&quot;009B70FC&quot;/&gt;&lt;wsp:rsid wsp:val=&quot;009B737F&quot;/&gt;&lt;wsp:rsid wsp:val=&quot;009B768C&quot;/&gt;&lt;wsp:rsid wsp:val=&quot;009B78FD&quot;/&gt;&lt;wsp:rsid wsp:val=&quot;009B7B0A&quot;/&gt;&lt;wsp:rsid wsp:val=&quot;009B7CC6&quot;/&gt;&lt;wsp:rsid wsp:val=&quot;009B7E01&quot;/&gt;&lt;wsp:rsid wsp:val=&quot;009B7F95&quot;/&gt;&lt;wsp:rsid wsp:val=&quot;009C0001&quot;/&gt;&lt;wsp:rsid wsp:val=&quot;009C006D&quot;/&gt;&lt;wsp:rsid wsp:val=&quot;009C0447&quot;/&gt;&lt;wsp:rsid wsp:val=&quot;009C0954&quot;/&gt;&lt;wsp:rsid wsp:val=&quot;009C0B5E&quot;/&gt;&lt;wsp:rsid wsp:val=&quot;009C0BC4&quot;/&gt;&lt;wsp:rsid wsp:val=&quot;009C0CD6&quot;/&gt;&lt;wsp:rsid wsp:val=&quot;009C11C1&quot;/&gt;&lt;wsp:rsid wsp:val=&quot;009C12A5&quot;/&gt;&lt;wsp:rsid wsp:val=&quot;009C1371&quot;/&gt;&lt;wsp:rsid wsp:val=&quot;009C1609&quot;/&gt;&lt;wsp:rsid wsp:val=&quot;009C1C83&quot;/&gt;&lt;wsp:rsid wsp:val=&quot;009C2399&quot;/&gt;&lt;wsp:rsid wsp:val=&quot;009C24A4&quot;/&gt;&lt;wsp:rsid wsp:val=&quot;009C270D&quot;/&gt;&lt;wsp:rsid wsp:val=&quot;009C2ABD&quot;/&gt;&lt;wsp:rsid wsp:val=&quot;009C2D41&quot;/&gt;&lt;wsp:rsid wsp:val=&quot;009C2FC0&quot;/&gt;&lt;wsp:rsid wsp:val=&quot;009C3067&quot;/&gt;&lt;wsp:rsid wsp:val=&quot;009C3533&quot;/&gt;&lt;wsp:rsid wsp:val=&quot;009C361B&quot;/&gt;&lt;wsp:rsid wsp:val=&quot;009C3933&quot;/&gt;&lt;wsp:rsid wsp:val=&quot;009C42B4&quot;/&gt;&lt;wsp:rsid wsp:val=&quot;009C48BE&quot;/&gt;&lt;wsp:rsid wsp:val=&quot;009C5027&quot;/&gt;&lt;wsp:rsid wsp:val=&quot;009C510C&quot;/&gt;&lt;wsp:rsid wsp:val=&quot;009C5530&quot;/&gt;&lt;wsp:rsid wsp:val=&quot;009C5756&quot;/&gt;&lt;wsp:rsid wsp:val=&quot;009C58CA&quot;/&gt;&lt;wsp:rsid wsp:val=&quot;009C58D6&quot;/&gt;&lt;wsp:rsid wsp:val=&quot;009C5D19&quot;/&gt;&lt;wsp:rsid wsp:val=&quot;009C6965&quot;/&gt;&lt;wsp:rsid wsp:val=&quot;009C6A73&quot;/&gt;&lt;wsp:rsid wsp:val=&quot;009C72F7&quot;/&gt;&lt;wsp:rsid wsp:val=&quot;009C7671&quot;/&gt;&lt;wsp:rsid wsp:val=&quot;009C7849&quot;/&gt;&lt;wsp:rsid wsp:val=&quot;009C7FF0&quot;/&gt;&lt;wsp:rsid wsp:val=&quot;009D0A08&quot;/&gt;&lt;wsp:rsid wsp:val=&quot;009D0B6A&quot;/&gt;&lt;wsp:rsid wsp:val=&quot;009D10BD&quot;/&gt;&lt;wsp:rsid wsp:val=&quot;009D19E4&quot;/&gt;&lt;wsp:rsid wsp:val=&quot;009D1A06&quot;/&gt;&lt;wsp:rsid wsp:val=&quot;009D1C3C&quot;/&gt;&lt;wsp:rsid wsp:val=&quot;009D2055&quot;/&gt;&lt;wsp:rsid wsp:val=&quot;009D273D&quot;/&gt;&lt;wsp:rsid wsp:val=&quot;009D2A84&quot;/&gt;&lt;wsp:rsid wsp:val=&quot;009D3231&quot;/&gt;&lt;wsp:rsid wsp:val=&quot;009D349D&quot;/&gt;&lt;wsp:rsid wsp:val=&quot;009D3591&quot;/&gt;&lt;wsp:rsid wsp:val=&quot;009D3862&quot;/&gt;&lt;wsp:rsid wsp:val=&quot;009D3C76&quot;/&gt;&lt;wsp:rsid wsp:val=&quot;009D3D0C&quot;/&gt;&lt;wsp:rsid wsp:val=&quot;009D3D6C&quot;/&gt;&lt;wsp:rsid wsp:val=&quot;009D3FEE&quot;/&gt;&lt;wsp:rsid wsp:val=&quot;009D4355&quot;/&gt;&lt;wsp:rsid wsp:val=&quot;009D4EE3&quot;/&gt;&lt;wsp:rsid wsp:val=&quot;009D5126&quot;/&gt;&lt;wsp:rsid wsp:val=&quot;009D5566&quot;/&gt;&lt;wsp:rsid wsp:val=&quot;009D5B36&quot;/&gt;&lt;wsp:rsid wsp:val=&quot;009D5BEE&quot;/&gt;&lt;wsp:rsid wsp:val=&quot;009D5F84&quot;/&gt;&lt;wsp:rsid wsp:val=&quot;009D62B6&quot;/&gt;&lt;wsp:rsid wsp:val=&quot;009D6617&quot;/&gt;&lt;wsp:rsid wsp:val=&quot;009D67B9&quot;/&gt;&lt;wsp:rsid wsp:val=&quot;009D6A31&quot;/&gt;&lt;wsp:rsid wsp:val=&quot;009D6CDE&quot;/&gt;&lt;wsp:rsid wsp:val=&quot;009D74EF&quot;/&gt;&lt;wsp:rsid wsp:val=&quot;009D7F92&quot;/&gt;&lt;wsp:rsid wsp:val=&quot;009E1225&quot;/&gt;&lt;wsp:rsid wsp:val=&quot;009E136A&quot;/&gt;&lt;wsp:rsid wsp:val=&quot;009E1399&quot;/&gt;&lt;wsp:rsid wsp:val=&quot;009E1632&quot;/&gt;&lt;wsp:rsid wsp:val=&quot;009E17B2&quot;/&gt;&lt;wsp:rsid wsp:val=&quot;009E18AB&quot;/&gt;&lt;wsp:rsid wsp:val=&quot;009E1BB0&quot;/&gt;&lt;wsp:rsid wsp:val=&quot;009E21CD&quot;/&gt;&lt;wsp:rsid wsp:val=&quot;009E225D&quot;/&gt;&lt;wsp:rsid wsp:val=&quot;009E2314&quot;/&gt;&lt;wsp:rsid wsp:val=&quot;009E25D2&quot;/&gt;&lt;wsp:rsid wsp:val=&quot;009E2737&quot;/&gt;&lt;wsp:rsid wsp:val=&quot;009E2CC9&quot;/&gt;&lt;wsp:rsid wsp:val=&quot;009E3181&quot;/&gt;&lt;wsp:rsid wsp:val=&quot;009E3192&quot;/&gt;&lt;wsp:rsid wsp:val=&quot;009E3400&quot;/&gt;&lt;wsp:rsid wsp:val=&quot;009E3933&quot;/&gt;&lt;wsp:rsid wsp:val=&quot;009E41A2&quot;/&gt;&lt;wsp:rsid wsp:val=&quot;009E41E0&quot;/&gt;&lt;wsp:rsid wsp:val=&quot;009E4459&quot;/&gt;&lt;wsp:rsid wsp:val=&quot;009E47CA&quot;/&gt;&lt;wsp:rsid wsp:val=&quot;009E56A2&quot;/&gt;&lt;wsp:rsid wsp:val=&quot;009E5D1D&quot;/&gt;&lt;wsp:rsid wsp:val=&quot;009E6321&quot;/&gt;&lt;wsp:rsid wsp:val=&quot;009E6762&quot;/&gt;&lt;wsp:rsid wsp:val=&quot;009E6979&quot;/&gt;&lt;wsp:rsid wsp:val=&quot;009E699D&quot;/&gt;&lt;wsp:rsid wsp:val=&quot;009E7342&quot;/&gt;&lt;wsp:rsid wsp:val=&quot;009E7922&quot;/&gt;&lt;wsp:rsid wsp:val=&quot;009F00D5&quot;/&gt;&lt;wsp:rsid wsp:val=&quot;009F09F4&quot;/&gt;&lt;wsp:rsid wsp:val=&quot;009F0BE1&quot;/&gt;&lt;wsp:rsid wsp:val=&quot;009F0F83&quot;/&gt;&lt;wsp:rsid wsp:val=&quot;009F135E&quot;/&gt;&lt;wsp:rsid wsp:val=&quot;009F2089&quot;/&gt;&lt;wsp:rsid wsp:val=&quot;009F2474&quot;/&gt;&lt;wsp:rsid wsp:val=&quot;009F25DE&quot;/&gt;&lt;wsp:rsid wsp:val=&quot;009F2731&quot;/&gt;&lt;wsp:rsid wsp:val=&quot;009F2A6C&quot;/&gt;&lt;wsp:rsid wsp:val=&quot;009F2EFE&quot;/&gt;&lt;wsp:rsid wsp:val=&quot;009F3128&quot;/&gt;&lt;wsp:rsid wsp:val=&quot;009F35C2&quot;/&gt;&lt;wsp:rsid wsp:val=&quot;009F3853&quot;/&gt;&lt;wsp:rsid wsp:val=&quot;009F3BDB&quot;/&gt;&lt;wsp:rsid wsp:val=&quot;009F4B13&quot;/&gt;&lt;wsp:rsid wsp:val=&quot;009F4C1D&quot;/&gt;&lt;wsp:rsid wsp:val=&quot;009F53C7&quot;/&gt;&lt;wsp:rsid wsp:val=&quot;009F5B5C&quot;/&gt;&lt;wsp:rsid wsp:val=&quot;009F743D&quot;/&gt;&lt;wsp:rsid wsp:val=&quot;00A00079&quot;/&gt;&lt;wsp:rsid wsp:val=&quot;00A003A1&quot;/&gt;&lt;wsp:rsid wsp:val=&quot;00A00B2C&quot;/&gt;&lt;wsp:rsid wsp:val=&quot;00A00FA2&quot;/&gt;&lt;wsp:rsid wsp:val=&quot;00A01103&quot;/&gt;&lt;wsp:rsid wsp:val=&quot;00A0120D&quot;/&gt;&lt;wsp:rsid wsp:val=&quot;00A01B20&quot;/&gt;&lt;wsp:rsid wsp:val=&quot;00A01C34&quot;/&gt;&lt;wsp:rsid wsp:val=&quot;00A021E2&quot;/&gt;&lt;wsp:rsid wsp:val=&quot;00A035FF&quot;/&gt;&lt;wsp:rsid wsp:val=&quot;00A0371D&quot;/&gt;&lt;wsp:rsid wsp:val=&quot;00A03A59&quot;/&gt;&lt;wsp:rsid wsp:val=&quot;00A03ACB&quot;/&gt;&lt;wsp:rsid wsp:val=&quot;00A03BB5&quot;/&gt;&lt;wsp:rsid wsp:val=&quot;00A03F77&quot;/&gt;&lt;wsp:rsid wsp:val=&quot;00A0427E&quot;/&gt;&lt;wsp:rsid wsp:val=&quot;00A042F8&quot;/&gt;&lt;wsp:rsid wsp:val=&quot;00A0452C&quot;/&gt;&lt;wsp:rsid wsp:val=&quot;00A046E7&quot;/&gt;&lt;wsp:rsid wsp:val=&quot;00A04B32&quot;/&gt;&lt;wsp:rsid wsp:val=&quot;00A04D0F&quot;/&gt;&lt;wsp:rsid wsp:val=&quot;00A04F77&quot;/&gt;&lt;wsp:rsid wsp:val=&quot;00A050F3&quot;/&gt;&lt;wsp:rsid wsp:val=&quot;00A05343&quot;/&gt;&lt;wsp:rsid wsp:val=&quot;00A053C7&quot;/&gt;&lt;wsp:rsid wsp:val=&quot;00A05677&quot;/&gt;&lt;wsp:rsid wsp:val=&quot;00A0591E&quot;/&gt;&lt;wsp:rsid wsp:val=&quot;00A05B4A&quot;/&gt;&lt;wsp:rsid wsp:val=&quot;00A05C2D&quot;/&gt;&lt;wsp:rsid wsp:val=&quot;00A06A03&quot;/&gt;&lt;wsp:rsid wsp:val=&quot;00A06BC1&quot;/&gt;&lt;wsp:rsid wsp:val=&quot;00A06C9D&quot;/&gt;&lt;wsp:rsid wsp:val=&quot;00A06DB5&quot;/&gt;&lt;wsp:rsid wsp:val=&quot;00A0748F&quot;/&gt;&lt;wsp:rsid wsp:val=&quot;00A079F1&quot;/&gt;&lt;wsp:rsid wsp:val=&quot;00A07B2C&quot;/&gt;&lt;wsp:rsid wsp:val=&quot;00A10D9B&quot;/&gt;&lt;wsp:rsid wsp:val=&quot;00A1145F&quot;/&gt;&lt;wsp:rsid wsp:val=&quot;00A11C52&quot;/&gt;&lt;wsp:rsid wsp:val=&quot;00A11C5C&quot;/&gt;&lt;wsp:rsid wsp:val=&quot;00A11D1F&quot;/&gt;&lt;wsp:rsid wsp:val=&quot;00A11D8C&quot;/&gt;&lt;wsp:rsid wsp:val=&quot;00A12172&quot;/&gt;&lt;wsp:rsid wsp:val=&quot;00A1222A&quot;/&gt;&lt;wsp:rsid wsp:val=&quot;00A12826&quot;/&gt;&lt;wsp:rsid wsp:val=&quot;00A12B42&quot;/&gt;&lt;wsp:rsid wsp:val=&quot;00A12F4B&quot;/&gt;&lt;wsp:rsid wsp:val=&quot;00A13143&quot;/&gt;&lt;wsp:rsid wsp:val=&quot;00A132CA&quot;/&gt;&lt;wsp:rsid wsp:val=&quot;00A1382C&quot;/&gt;&lt;wsp:rsid wsp:val=&quot;00A13CB4&quot;/&gt;&lt;wsp:rsid wsp:val=&quot;00A13ED1&quot;/&gt;&lt;wsp:rsid wsp:val=&quot;00A14295&quot;/&gt;&lt;wsp:rsid wsp:val=&quot;00A14943&quot;/&gt;&lt;wsp:rsid wsp:val=&quot;00A14F37&quot;/&gt;&lt;wsp:rsid wsp:val=&quot;00A15042&quot;/&gt;&lt;wsp:rsid wsp:val=&quot;00A1539F&quot;/&gt;&lt;wsp:rsid wsp:val=&quot;00A157CB&quot;/&gt;&lt;wsp:rsid wsp:val=&quot;00A15C90&quot;/&gt;&lt;wsp:rsid wsp:val=&quot;00A16650&quot;/&gt;&lt;wsp:rsid wsp:val=&quot;00A1679E&quot;/&gt;&lt;wsp:rsid wsp:val=&quot;00A167F7&quot;/&gt;&lt;wsp:rsid wsp:val=&quot;00A16F8F&quot;/&gt;&lt;wsp:rsid wsp:val=&quot;00A170BE&quot;/&gt;&lt;wsp:rsid wsp:val=&quot;00A17933&quot;/&gt;&lt;wsp:rsid wsp:val=&quot;00A17A3B&quot;/&gt;&lt;wsp:rsid wsp:val=&quot;00A17E2E&quot;/&gt;&lt;wsp:rsid wsp:val=&quot;00A17E9E&quot;/&gt;&lt;wsp:rsid wsp:val=&quot;00A17F35&quot;/&gt;&lt;wsp:rsid wsp:val=&quot;00A20289&quot;/&gt;&lt;wsp:rsid wsp:val=&quot;00A20639&quot;/&gt;&lt;wsp:rsid wsp:val=&quot;00A20776&quot;/&gt;&lt;wsp:rsid wsp:val=&quot;00A2117F&quot;/&gt;&lt;wsp:rsid wsp:val=&quot;00A21576&quot;/&gt;&lt;wsp:rsid wsp:val=&quot;00A2171D&quot;/&gt;&lt;wsp:rsid wsp:val=&quot;00A21B33&quot;/&gt;&lt;wsp:rsid wsp:val=&quot;00A21DCA&quot;/&gt;&lt;wsp:rsid wsp:val=&quot;00A22051&quot;/&gt;&lt;wsp:rsid wsp:val=&quot;00A2218B&quot;/&gt;&lt;wsp:rsid wsp:val=&quot;00A225B4&quot;/&gt;&lt;wsp:rsid wsp:val=&quot;00A2271E&quot;/&gt;&lt;wsp:rsid wsp:val=&quot;00A22F56&quot;/&gt;&lt;wsp:rsid wsp:val=&quot;00A22F88&quot;/&gt;&lt;wsp:rsid wsp:val=&quot;00A2308A&quot;/&gt;&lt;wsp:rsid wsp:val=&quot;00A23590&quot;/&gt;&lt;wsp:rsid wsp:val=&quot;00A238C6&quot;/&gt;&lt;wsp:rsid wsp:val=&quot;00A23A88&quot;/&gt;&lt;wsp:rsid wsp:val=&quot;00A2422C&quot;/&gt;&lt;wsp:rsid wsp:val=&quot;00A24560&quot;/&gt;&lt;wsp:rsid wsp:val=&quot;00A2545A&quot;/&gt;&lt;wsp:rsid wsp:val=&quot;00A2602E&quot;/&gt;&lt;wsp:rsid wsp:val=&quot;00A26074&quot;/&gt;&lt;wsp:rsid wsp:val=&quot;00A262C7&quot;/&gt;&lt;wsp:rsid wsp:val=&quot;00A268FA&quot;/&gt;&lt;wsp:rsid wsp:val=&quot;00A26F35&quot;/&gt;&lt;wsp:rsid wsp:val=&quot;00A273D4&quot;/&gt;&lt;wsp:rsid wsp:val=&quot;00A27E4F&quot;/&gt;&lt;wsp:rsid wsp:val=&quot;00A30547&quot;/&gt;&lt;wsp:rsid wsp:val=&quot;00A3120C&quot;/&gt;&lt;wsp:rsid wsp:val=&quot;00A3128D&quot;/&gt;&lt;wsp:rsid wsp:val=&quot;00A314D1&quot;/&gt;&lt;wsp:rsid wsp:val=&quot;00A31A46&quot;/&gt;&lt;wsp:rsid wsp:val=&quot;00A32C96&quot;/&gt;&lt;wsp:rsid wsp:val=&quot;00A32F8C&quot;/&gt;&lt;wsp:rsid wsp:val=&quot;00A337F3&quot;/&gt;&lt;wsp:rsid wsp:val=&quot;00A33B92&quot;/&gt;&lt;wsp:rsid wsp:val=&quot;00A33BE3&quot;/&gt;&lt;wsp:rsid wsp:val=&quot;00A33F6F&quot;/&gt;&lt;wsp:rsid wsp:val=&quot;00A34D3A&quot;/&gt;&lt;wsp:rsid wsp:val=&quot;00A35436&quot;/&gt;&lt;wsp:rsid wsp:val=&quot;00A35738&quot;/&gt;&lt;wsp:rsid wsp:val=&quot;00A359EA&quot;/&gt;&lt;wsp:rsid wsp:val=&quot;00A35D94&quot;/&gt;&lt;wsp:rsid wsp:val=&quot;00A366BA&quot;/&gt;&lt;wsp:rsid wsp:val=&quot;00A368E3&quot;/&gt;&lt;wsp:rsid wsp:val=&quot;00A3692B&quot;/&gt;&lt;wsp:rsid wsp:val=&quot;00A36B57&quot;/&gt;&lt;wsp:rsid wsp:val=&quot;00A3700D&quot;/&gt;&lt;wsp:rsid wsp:val=&quot;00A37631&quot;/&gt;&lt;wsp:rsid wsp:val=&quot;00A37781&quot;/&gt;&lt;wsp:rsid wsp:val=&quot;00A37CC5&quot;/&gt;&lt;wsp:rsid wsp:val=&quot;00A40B3E&quot;/&gt;&lt;wsp:rsid wsp:val=&quot;00A40D83&quot;/&gt;&lt;wsp:rsid wsp:val=&quot;00A40E71&quot;/&gt;&lt;wsp:rsid wsp:val=&quot;00A40FBA&quot;/&gt;&lt;wsp:rsid wsp:val=&quot;00A413DD&quot;/&gt;&lt;wsp:rsid wsp:val=&quot;00A41CCD&quot;/&gt;&lt;wsp:rsid wsp:val=&quot;00A42096&quot;/&gt;&lt;wsp:rsid wsp:val=&quot;00A4242B&quot;/&gt;&lt;wsp:rsid wsp:val=&quot;00A428EF&quot;/&gt;&lt;wsp:rsid wsp:val=&quot;00A4329F&quot;/&gt;&lt;wsp:rsid wsp:val=&quot;00A440DF&quot;/&gt;&lt;wsp:rsid wsp:val=&quot;00A44179&quot;/&gt;&lt;wsp:rsid wsp:val=&quot;00A44670&quot;/&gt;&lt;wsp:rsid wsp:val=&quot;00A44DA3&quot;/&gt;&lt;wsp:rsid wsp:val=&quot;00A44E6A&quot;/&gt;&lt;wsp:rsid wsp:val=&quot;00A44ED9&quot;/&gt;&lt;wsp:rsid wsp:val=&quot;00A4577B&quot;/&gt;&lt;wsp:rsid wsp:val=&quot;00A45CB1&quot;/&gt;&lt;wsp:rsid wsp:val=&quot;00A4666B&quot;/&gt;&lt;wsp:rsid wsp:val=&quot;00A4670E&quot;/&gt;&lt;wsp:rsid wsp:val=&quot;00A46945&quot;/&gt;&lt;wsp:rsid wsp:val=&quot;00A46C7F&quot;/&gt;&lt;wsp:rsid wsp:val=&quot;00A473F9&quot;/&gt;&lt;wsp:rsid wsp:val=&quot;00A47643&quot;/&gt;&lt;wsp:rsid wsp:val=&quot;00A477F7&quot;/&gt;&lt;wsp:rsid wsp:val=&quot;00A500FD&quot;/&gt;&lt;wsp:rsid wsp:val=&quot;00A50553&quot;/&gt;&lt;wsp:rsid wsp:val=&quot;00A50660&quot;/&gt;&lt;wsp:rsid wsp:val=&quot;00A5088A&quot;/&gt;&lt;wsp:rsid wsp:val=&quot;00A5096D&quot;/&gt;&lt;wsp:rsid wsp:val=&quot;00A511E0&quot;/&gt;&lt;wsp:rsid wsp:val=&quot;00A512A8&quot;/&gt;&lt;wsp:rsid wsp:val=&quot;00A514C9&quot;/&gt;&lt;wsp:rsid wsp:val=&quot;00A51952&quot;/&gt;&lt;wsp:rsid wsp:val=&quot;00A519DB&quot;/&gt;&lt;wsp:rsid wsp:val=&quot;00A51A02&quot;/&gt;&lt;wsp:rsid wsp:val=&quot;00A51AE9&quot;/&gt;&lt;wsp:rsid wsp:val=&quot;00A523BC&quot;/&gt;&lt;wsp:rsid wsp:val=&quot;00A528CB&quot;/&gt;&lt;wsp:rsid wsp:val=&quot;00A529D3&quot;/&gt;&lt;wsp:rsid wsp:val=&quot;00A52C2D&quot;/&gt;&lt;wsp:rsid wsp:val=&quot;00A52D14&quot;/&gt;&lt;wsp:rsid wsp:val=&quot;00A52F05&quot;/&gt;&lt;wsp:rsid wsp:val=&quot;00A52F13&quot;/&gt;&lt;wsp:rsid wsp:val=&quot;00A532B3&quot;/&gt;&lt;wsp:rsid wsp:val=&quot;00A53BFE&quot;/&gt;&lt;wsp:rsid wsp:val=&quot;00A540AE&quot;/&gt;&lt;wsp:rsid wsp:val=&quot;00A54192&quot;/&gt;&lt;wsp:rsid wsp:val=&quot;00A54C91&quot;/&gt;&lt;wsp:rsid wsp:val=&quot;00A54D24&quot;/&gt;&lt;wsp:rsid wsp:val=&quot;00A55178&quot;/&gt;&lt;wsp:rsid wsp:val=&quot;00A553ED&quot;/&gt;&lt;wsp:rsid wsp:val=&quot;00A5550C&quot;/&gt;&lt;wsp:rsid wsp:val=&quot;00A555FE&quot;/&gt;&lt;wsp:rsid wsp:val=&quot;00A5563C&quot;/&gt;&lt;wsp:rsid wsp:val=&quot;00A55896&quot;/&gt;&lt;wsp:rsid wsp:val=&quot;00A55D3B&quot;/&gt;&lt;wsp:rsid wsp:val=&quot;00A55EED&quot;/&gt;&lt;wsp:rsid wsp:val=&quot;00A560F1&quot;/&gt;&lt;wsp:rsid wsp:val=&quot;00A563C5&quot;/&gt;&lt;wsp:rsid wsp:val=&quot;00A56C1A&quot;/&gt;&lt;wsp:rsid wsp:val=&quot;00A56CF4&quot;/&gt;&lt;wsp:rsid wsp:val=&quot;00A5745B&quot;/&gt;&lt;wsp:rsid wsp:val=&quot;00A57647&quot;/&gt;&lt;wsp:rsid wsp:val=&quot;00A577CA&quot;/&gt;&lt;wsp:rsid wsp:val=&quot;00A578B1&quot;/&gt;&lt;wsp:rsid wsp:val=&quot;00A57933&quot;/&gt;&lt;wsp:rsid wsp:val=&quot;00A57CA1&quot;/&gt;&lt;wsp:rsid wsp:val=&quot;00A60921&quot;/&gt;&lt;wsp:rsid wsp:val=&quot;00A60AD1&quot;/&gt;&lt;wsp:rsid wsp:val=&quot;00A611EE&quot;/&gt;&lt;wsp:rsid wsp:val=&quot;00A61867&quot;/&gt;&lt;wsp:rsid wsp:val=&quot;00A61C2E&quot;/&gt;&lt;wsp:rsid wsp:val=&quot;00A61CF5&quot;/&gt;&lt;wsp:rsid wsp:val=&quot;00A6217D&quot;/&gt;&lt;wsp:rsid wsp:val=&quot;00A621AA&quot;/&gt;&lt;wsp:rsid wsp:val=&quot;00A62312&quot;/&gt;&lt;wsp:rsid wsp:val=&quot;00A62605&quot;/&gt;&lt;wsp:rsid wsp:val=&quot;00A62708&quot;/&gt;&lt;wsp:rsid wsp:val=&quot;00A62B02&quot;/&gt;&lt;wsp:rsid wsp:val=&quot;00A62B81&quot;/&gt;&lt;wsp:rsid wsp:val=&quot;00A63338&quot;/&gt;&lt;wsp:rsid wsp:val=&quot;00A6355E&quot;/&gt;&lt;wsp:rsid wsp:val=&quot;00A636D1&quot;/&gt;&lt;wsp:rsid wsp:val=&quot;00A63B3D&quot;/&gt;&lt;wsp:rsid wsp:val=&quot;00A63E7F&quot;/&gt;&lt;wsp:rsid wsp:val=&quot;00A63FAC&quot;/&gt;&lt;wsp:rsid wsp:val=&quot;00A646B6&quot;/&gt;&lt;wsp:rsid wsp:val=&quot;00A647EB&quot;/&gt;&lt;wsp:rsid wsp:val=&quot;00A65006&quot;/&gt;&lt;wsp:rsid wsp:val=&quot;00A6546B&quot;/&gt;&lt;wsp:rsid wsp:val=&quot;00A65AC9&quot;/&gt;&lt;wsp:rsid wsp:val=&quot;00A65B1F&quot;/&gt;&lt;wsp:rsid wsp:val=&quot;00A669C9&quot;/&gt;&lt;wsp:rsid wsp:val=&quot;00A66AF5&quot;/&gt;&lt;wsp:rsid wsp:val=&quot;00A670F8&quot;/&gt;&lt;wsp:rsid wsp:val=&quot;00A67A15&quot;/&gt;&lt;wsp:rsid wsp:val=&quot;00A67ACB&quot;/&gt;&lt;wsp:rsid wsp:val=&quot;00A67D19&quot;/&gt;&lt;wsp:rsid wsp:val=&quot;00A70388&quot;/&gt;&lt;wsp:rsid wsp:val=&quot;00A708B1&quot;/&gt;&lt;wsp:rsid wsp:val=&quot;00A7092F&quot;/&gt;&lt;wsp:rsid wsp:val=&quot;00A70FB9&quot;/&gt;&lt;wsp:rsid wsp:val=&quot;00A7142D&quot;/&gt;&lt;wsp:rsid wsp:val=&quot;00A72282&quot;/&gt;&lt;wsp:rsid wsp:val=&quot;00A72909&quot;/&gt;&lt;wsp:rsid wsp:val=&quot;00A72C0E&quot;/&gt;&lt;wsp:rsid wsp:val=&quot;00A72EE2&quot;/&gt;&lt;wsp:rsid wsp:val=&quot;00A731A9&quot;/&gt;&lt;wsp:rsid wsp:val=&quot;00A73448&quot;/&gt;&lt;wsp:rsid wsp:val=&quot;00A7372B&quot;/&gt;&lt;wsp:rsid wsp:val=&quot;00A73BA9&quot;/&gt;&lt;wsp:rsid wsp:val=&quot;00A73CFD&quot;/&gt;&lt;wsp:rsid wsp:val=&quot;00A742D0&quot;/&gt;&lt;wsp:rsid wsp:val=&quot;00A7573D&quot;/&gt;&lt;wsp:rsid wsp:val=&quot;00A76551&quot;/&gt;&lt;wsp:rsid wsp:val=&quot;00A766E6&quot;/&gt;&lt;wsp:rsid wsp:val=&quot;00A7695D&quot;/&gt;&lt;wsp:rsid wsp:val=&quot;00A76A04&quot;/&gt;&lt;wsp:rsid wsp:val=&quot;00A76AED&quot;/&gt;&lt;wsp:rsid wsp:val=&quot;00A76DCC&quot;/&gt;&lt;wsp:rsid wsp:val=&quot;00A770CE&quot;/&gt;&lt;wsp:rsid wsp:val=&quot;00A77389&quot;/&gt;&lt;wsp:rsid wsp:val=&quot;00A7762A&quot;/&gt;&lt;wsp:rsid wsp:val=&quot;00A77BC7&quot;/&gt;&lt;wsp:rsid wsp:val=&quot;00A77D57&quot;/&gt;&lt;wsp:rsid wsp:val=&quot;00A77E07&quot;/&gt;&lt;wsp:rsid wsp:val=&quot;00A80457&quot;/&gt;&lt;wsp:rsid wsp:val=&quot;00A80E5E&quot;/&gt;&lt;wsp:rsid wsp:val=&quot;00A8101E&quot;/&gt;&lt;wsp:rsid wsp:val=&quot;00A8145D&quot;/&gt;&lt;wsp:rsid wsp:val=&quot;00A81AE8&quot;/&gt;&lt;wsp:rsid wsp:val=&quot;00A81F5C&quot;/&gt;&lt;wsp:rsid wsp:val=&quot;00A8204D&quot;/&gt;&lt;wsp:rsid wsp:val=&quot;00A8241B&quot;/&gt;&lt;wsp:rsid wsp:val=&quot;00A82AF9&quot;/&gt;&lt;wsp:rsid wsp:val=&quot;00A832F4&quot;/&gt;&lt;wsp:rsid wsp:val=&quot;00A83964&quot;/&gt;&lt;wsp:rsid wsp:val=&quot;00A83972&quot;/&gt;&lt;wsp:rsid wsp:val=&quot;00A83C83&quot;/&gt;&lt;wsp:rsid wsp:val=&quot;00A83FEC&quot;/&gt;&lt;wsp:rsid wsp:val=&quot;00A840FE&quot;/&gt;&lt;wsp:rsid wsp:val=&quot;00A84602&quot;/&gt;&lt;wsp:rsid wsp:val=&quot;00A849C1&quot;/&gt;&lt;wsp:rsid wsp:val=&quot;00A84EA4&quot;/&gt;&lt;wsp:rsid wsp:val=&quot;00A85615&quot;/&gt;&lt;wsp:rsid wsp:val=&quot;00A85686&quot;/&gt;&lt;wsp:rsid wsp:val=&quot;00A85AC7&quot;/&gt;&lt;wsp:rsid wsp:val=&quot;00A86CA2&quot;/&gt;&lt;wsp:rsid wsp:val=&quot;00A8725B&quot;/&gt;&lt;wsp:rsid wsp:val=&quot;00A87443&quot;/&gt;&lt;wsp:rsid wsp:val=&quot;00A87D9B&quot;/&gt;&lt;wsp:rsid wsp:val=&quot;00A90DA6&quot;/&gt;&lt;wsp:rsid wsp:val=&quot;00A91D74&quot;/&gt;&lt;wsp:rsid wsp:val=&quot;00A91E13&quot;/&gt;&lt;wsp:rsid wsp:val=&quot;00A9280F&quot;/&gt;&lt;wsp:rsid wsp:val=&quot;00A92CF1&quot;/&gt;&lt;wsp:rsid wsp:val=&quot;00A92E21&quot;/&gt;&lt;wsp:rsid wsp:val=&quot;00A92EAF&quot;/&gt;&lt;wsp:rsid wsp:val=&quot;00A93183&quot;/&gt;&lt;wsp:rsid wsp:val=&quot;00A932E6&quot;/&gt;&lt;wsp:rsid wsp:val=&quot;00A934AD&quot;/&gt;&lt;wsp:rsid wsp:val=&quot;00A93756&quot;/&gt;&lt;wsp:rsid wsp:val=&quot;00A939A3&quot;/&gt;&lt;wsp:rsid wsp:val=&quot;00A939E0&quot;/&gt;&lt;wsp:rsid wsp:val=&quot;00A93A0B&quot;/&gt;&lt;wsp:rsid wsp:val=&quot;00A93ED3&quot;/&gt;&lt;wsp:rsid wsp:val=&quot;00A9402B&quot;/&gt;&lt;wsp:rsid wsp:val=&quot;00A94217&quot;/&gt;&lt;wsp:rsid wsp:val=&quot;00A94458&quot;/&gt;&lt;wsp:rsid wsp:val=&quot;00A94AA1&quot;/&gt;&lt;wsp:rsid wsp:val=&quot;00A94ACA&quot;/&gt;&lt;wsp:rsid wsp:val=&quot;00A9526C&quot;/&gt;&lt;wsp:rsid wsp:val=&quot;00A9573C&quot;/&gt;&lt;wsp:rsid wsp:val=&quot;00A957C3&quot;/&gt;&lt;wsp:rsid wsp:val=&quot;00A95860&quot;/&gt;&lt;wsp:rsid wsp:val=&quot;00A958A9&quot;/&gt;&lt;wsp:rsid wsp:val=&quot;00A95910&quot;/&gt;&lt;wsp:rsid wsp:val=&quot;00A95D10&quot;/&gt;&lt;wsp:rsid wsp:val=&quot;00A95EC7&quot;/&gt;&lt;wsp:rsid wsp:val=&quot;00A9643A&quot;/&gt;&lt;wsp:rsid wsp:val=&quot;00A9707F&quot;/&gt;&lt;wsp:rsid wsp:val=&quot;00A97760&quot;/&gt;&lt;wsp:rsid wsp:val=&quot;00A97804&quot;/&gt;&lt;wsp:rsid wsp:val=&quot;00A97922&quot;/&gt;&lt;wsp:rsid wsp:val=&quot;00A979B9&quot;/&gt;&lt;wsp:rsid wsp:val=&quot;00A97BE0&quot;/&gt;&lt;wsp:rsid wsp:val=&quot;00A97EBC&quot;/&gt;&lt;wsp:rsid wsp:val=&quot;00AA0646&quot;/&gt;&lt;wsp:rsid wsp:val=&quot;00AA06FC&quot;/&gt;&lt;wsp:rsid wsp:val=&quot;00AA16C8&quot;/&gt;&lt;wsp:rsid wsp:val=&quot;00AA1B83&quot;/&gt;&lt;wsp:rsid wsp:val=&quot;00AA1C2B&quot;/&gt;&lt;wsp:rsid wsp:val=&quot;00AA1DD5&quot;/&gt;&lt;wsp:rsid wsp:val=&quot;00AA25B4&quot;/&gt;&lt;wsp:rsid wsp:val=&quot;00AA25C9&quot;/&gt;&lt;wsp:rsid wsp:val=&quot;00AA3C0D&quot;/&gt;&lt;wsp:rsid wsp:val=&quot;00AA4063&quot;/&gt;&lt;wsp:rsid wsp:val=&quot;00AA42E3&quot;/&gt;&lt;wsp:rsid wsp:val=&quot;00AA438C&quot;/&gt;&lt;wsp:rsid wsp:val=&quot;00AA4493&quot;/&gt;&lt;wsp:rsid wsp:val=&quot;00AA457F&quot;/&gt;&lt;wsp:rsid wsp:val=&quot;00AA4631&quot;/&gt;&lt;wsp:rsid wsp:val=&quot;00AA489C&quot;/&gt;&lt;wsp:rsid wsp:val=&quot;00AA494A&quot;/&gt;&lt;wsp:rsid wsp:val=&quot;00AA502F&quot;/&gt;&lt;wsp:rsid wsp:val=&quot;00AA538E&quot;/&gt;&lt;wsp:rsid wsp:val=&quot;00AA53DD&quot;/&gt;&lt;wsp:rsid wsp:val=&quot;00AA53FB&quot;/&gt;&lt;wsp:rsid wsp:val=&quot;00AA6234&quot;/&gt;&lt;wsp:rsid wsp:val=&quot;00AA6437&quot;/&gt;&lt;wsp:rsid wsp:val=&quot;00AA64B1&quot;/&gt;&lt;wsp:rsid wsp:val=&quot;00AA6C67&quot;/&gt;&lt;wsp:rsid wsp:val=&quot;00AA705C&quot;/&gt;&lt;wsp:rsid wsp:val=&quot;00AA72AF&quot;/&gt;&lt;wsp:rsid wsp:val=&quot;00AA7848&quot;/&gt;&lt;wsp:rsid wsp:val=&quot;00AA7856&quot;/&gt;&lt;wsp:rsid wsp:val=&quot;00AA7863&quot;/&gt;&lt;wsp:rsid wsp:val=&quot;00AA7890&quot;/&gt;&lt;wsp:rsid wsp:val=&quot;00AA78B4&quot;/&gt;&lt;wsp:rsid wsp:val=&quot;00AA7954&quot;/&gt;&lt;wsp:rsid wsp:val=&quot;00AA7C43&quot;/&gt;&lt;wsp:rsid wsp:val=&quot;00AA7CE3&quot;/&gt;&lt;wsp:rsid wsp:val=&quot;00AA7FB6&quot;/&gt;&lt;wsp:rsid wsp:val=&quot;00AB0247&quot;/&gt;&lt;wsp:rsid wsp:val=&quot;00AB0267&quot;/&gt;&lt;wsp:rsid wsp:val=&quot;00AB0652&quot;/&gt;&lt;wsp:rsid wsp:val=&quot;00AB0762&quot;/&gt;&lt;wsp:rsid wsp:val=&quot;00AB1276&quot;/&gt;&lt;wsp:rsid wsp:val=&quot;00AB17BB&quot;/&gt;&lt;wsp:rsid wsp:val=&quot;00AB1C8B&quot;/&gt;&lt;wsp:rsid wsp:val=&quot;00AB264A&quot;/&gt;&lt;wsp:rsid wsp:val=&quot;00AB2796&quot;/&gt;&lt;wsp:rsid wsp:val=&quot;00AB2DB2&quot;/&gt;&lt;wsp:rsid wsp:val=&quot;00AB3604&quot;/&gt;&lt;wsp:rsid wsp:val=&quot;00AB3752&quot;/&gt;&lt;wsp:rsid wsp:val=&quot;00AB37C6&quot;/&gt;&lt;wsp:rsid wsp:val=&quot;00AB3A50&quot;/&gt;&lt;wsp:rsid wsp:val=&quot;00AB3AE9&quot;/&gt;&lt;wsp:rsid wsp:val=&quot;00AB3BB7&quot;/&gt;&lt;wsp:rsid wsp:val=&quot;00AB3BC4&quot;/&gt;&lt;wsp:rsid wsp:val=&quot;00AB3ED2&quot;/&gt;&lt;wsp:rsid wsp:val=&quot;00AB4121&quot;/&gt;&lt;wsp:rsid wsp:val=&quot;00AB5A60&quot;/&gt;&lt;wsp:rsid wsp:val=&quot;00AB639D&quot;/&gt;&lt;wsp:rsid wsp:val=&quot;00AB65A0&quot;/&gt;&lt;wsp:rsid wsp:val=&quot;00AB6C83&quot;/&gt;&lt;wsp:rsid wsp:val=&quot;00AB73FF&quot;/&gt;&lt;wsp:rsid wsp:val=&quot;00AB7672&quot;/&gt;&lt;wsp:rsid wsp:val=&quot;00AB7743&quot;/&gt;&lt;wsp:rsid wsp:val=&quot;00AB7D57&quot;/&gt;&lt;wsp:rsid wsp:val=&quot;00AC0D16&quot;/&gt;&lt;wsp:rsid wsp:val=&quot;00AC14FD&quot;/&gt;&lt;wsp:rsid wsp:val=&quot;00AC1A69&quot;/&gt;&lt;wsp:rsid wsp:val=&quot;00AC1DBC&quot;/&gt;&lt;wsp:rsid wsp:val=&quot;00AC1F01&quot;/&gt;&lt;wsp:rsid wsp:val=&quot;00AC23A1&quot;/&gt;&lt;wsp:rsid wsp:val=&quot;00AC2A32&quot;/&gt;&lt;wsp:rsid wsp:val=&quot;00AC3AFE&quot;/&gt;&lt;wsp:rsid wsp:val=&quot;00AC3B8D&quot;/&gt;&lt;wsp:rsid wsp:val=&quot;00AC3BBD&quot;/&gt;&lt;wsp:rsid wsp:val=&quot;00AC4359&quot;/&gt;&lt;wsp:rsid wsp:val=&quot;00AC44C9&quot;/&gt;&lt;wsp:rsid wsp:val=&quot;00AC472D&quot;/&gt;&lt;wsp:rsid wsp:val=&quot;00AC47B2&quot;/&gt;&lt;wsp:rsid wsp:val=&quot;00AC4C2B&quot;/&gt;&lt;wsp:rsid wsp:val=&quot;00AC4FF1&quot;/&gt;&lt;wsp:rsid wsp:val=&quot;00AC5879&quot;/&gt;&lt;wsp:rsid wsp:val=&quot;00AC6391&quot;/&gt;&lt;wsp:rsid wsp:val=&quot;00AC6CD0&quot;/&gt;&lt;wsp:rsid wsp:val=&quot;00AC71C8&quot;/&gt;&lt;wsp:rsid wsp:val=&quot;00AC71C9&quot;/&gt;&lt;wsp:rsid wsp:val=&quot;00AC75FF&quot;/&gt;&lt;wsp:rsid wsp:val=&quot;00AC7B41&quot;/&gt;&lt;wsp:rsid wsp:val=&quot;00AD005E&quot;/&gt;&lt;wsp:rsid wsp:val=&quot;00AD0115&quot;/&gt;&lt;wsp:rsid wsp:val=&quot;00AD0C33&quot;/&gt;&lt;wsp:rsid wsp:val=&quot;00AD1701&quot;/&gt;&lt;wsp:rsid wsp:val=&quot;00AD1B71&quot;/&gt;&lt;wsp:rsid wsp:val=&quot;00AD1B8E&quot;/&gt;&lt;wsp:rsid wsp:val=&quot;00AD26FB&quot;/&gt;&lt;wsp:rsid wsp:val=&quot;00AD270A&quot;/&gt;&lt;wsp:rsid wsp:val=&quot;00AD2DD9&quot;/&gt;&lt;wsp:rsid wsp:val=&quot;00AD33E4&quot;/&gt;&lt;wsp:rsid wsp:val=&quot;00AD360C&quot;/&gt;&lt;wsp:rsid wsp:val=&quot;00AD36A2&quot;/&gt;&lt;wsp:rsid wsp:val=&quot;00AD3954&quot;/&gt;&lt;wsp:rsid wsp:val=&quot;00AD3B49&quot;/&gt;&lt;wsp:rsid wsp:val=&quot;00AD3BD7&quot;/&gt;&lt;wsp:rsid wsp:val=&quot;00AD3DAB&quot;/&gt;&lt;wsp:rsid wsp:val=&quot;00AD3EB4&quot;/&gt;&lt;wsp:rsid wsp:val=&quot;00AD44B0&quot;/&gt;&lt;wsp:rsid wsp:val=&quot;00AD4B01&quot;/&gt;&lt;wsp:rsid wsp:val=&quot;00AD4CA5&quot;/&gt;&lt;wsp:rsid wsp:val=&quot;00AD4ED8&quot;/&gt;&lt;wsp:rsid wsp:val=&quot;00AD552C&quot;/&gt;&lt;wsp:rsid wsp:val=&quot;00AD5826&quot;/&gt;&lt;wsp:rsid wsp:val=&quot;00AD5996&quot;/&gt;&lt;wsp:rsid wsp:val=&quot;00AD65B1&quot;/&gt;&lt;wsp:rsid wsp:val=&quot;00AD6827&quot;/&gt;&lt;wsp:rsid wsp:val=&quot;00AD6CE9&quot;/&gt;&lt;wsp:rsid wsp:val=&quot;00AD7107&quot;/&gt;&lt;wsp:rsid wsp:val=&quot;00AD73D2&quot;/&gt;&lt;wsp:rsid wsp:val=&quot;00AD74DF&quot;/&gt;&lt;wsp:rsid wsp:val=&quot;00AD74E1&quot;/&gt;&lt;wsp:rsid wsp:val=&quot;00AD76C7&quot;/&gt;&lt;wsp:rsid wsp:val=&quot;00AD7771&quot;/&gt;&lt;wsp:rsid wsp:val=&quot;00AD7853&quot;/&gt;&lt;wsp:rsid wsp:val=&quot;00AD78B7&quot;/&gt;&lt;wsp:rsid wsp:val=&quot;00AD7BA6&quot;/&gt;&lt;wsp:rsid wsp:val=&quot;00AD7D3A&quot;/&gt;&lt;wsp:rsid wsp:val=&quot;00AD7E34&quot;/&gt;&lt;wsp:rsid wsp:val=&quot;00AE03CB&quot;/&gt;&lt;wsp:rsid wsp:val=&quot;00AE060D&quot;/&gt;&lt;wsp:rsid wsp:val=&quot;00AE0730&quot;/&gt;&lt;wsp:rsid wsp:val=&quot;00AE1414&quot;/&gt;&lt;wsp:rsid wsp:val=&quot;00AE16BD&quot;/&gt;&lt;wsp:rsid wsp:val=&quot;00AE1815&quot;/&gt;&lt;wsp:rsid wsp:val=&quot;00AE1AD9&quot;/&gt;&lt;wsp:rsid wsp:val=&quot;00AE22FE&quot;/&gt;&lt;wsp:rsid wsp:val=&quot;00AE2719&quot;/&gt;&lt;wsp:rsid wsp:val=&quot;00AE2EB2&quot;/&gt;&lt;wsp:rsid wsp:val=&quot;00AE3406&quot;/&gt;&lt;wsp:rsid wsp:val=&quot;00AE3873&quot;/&gt;&lt;wsp:rsid wsp:val=&quot;00AE3B88&quot;/&gt;&lt;wsp:rsid wsp:val=&quot;00AE3FFD&quot;/&gt;&lt;wsp:rsid wsp:val=&quot;00AE4C4B&quot;/&gt;&lt;wsp:rsid wsp:val=&quot;00AE5507&quot;/&gt;&lt;wsp:rsid wsp:val=&quot;00AE5AA2&quot;/&gt;&lt;wsp:rsid wsp:val=&quot;00AE5AA7&quot;/&gt;&lt;wsp:rsid wsp:val=&quot;00AE6327&quot;/&gt;&lt;wsp:rsid wsp:val=&quot;00AE654F&quot;/&gt;&lt;wsp:rsid wsp:val=&quot;00AE6F94&quot;/&gt;&lt;wsp:rsid wsp:val=&quot;00AE7387&quot;/&gt;&lt;wsp:rsid wsp:val=&quot;00AE7614&quot;/&gt;&lt;wsp:rsid wsp:val=&quot;00AE76B7&quot;/&gt;&lt;wsp:rsid wsp:val=&quot;00AE7F41&quot;/&gt;&lt;wsp:rsid wsp:val=&quot;00AE7F77&quot;/&gt;&lt;wsp:rsid wsp:val=&quot;00AF007A&quot;/&gt;&lt;wsp:rsid wsp:val=&quot;00AF0423&quot;/&gt;&lt;wsp:rsid wsp:val=&quot;00AF068C&quot;/&gt;&lt;wsp:rsid wsp:val=&quot;00AF0A02&quot;/&gt;&lt;wsp:rsid wsp:val=&quot;00AF0EC7&quot;/&gt;&lt;wsp:rsid wsp:val=&quot;00AF1558&quot;/&gt;&lt;wsp:rsid wsp:val=&quot;00AF175A&quot;/&gt;&lt;wsp:rsid wsp:val=&quot;00AF18C9&quot;/&gt;&lt;wsp:rsid wsp:val=&quot;00AF1E20&quot;/&gt;&lt;wsp:rsid wsp:val=&quot;00AF2379&quot;/&gt;&lt;wsp:rsid wsp:val=&quot;00AF2872&quot;/&gt;&lt;wsp:rsid wsp:val=&quot;00AF2950&quot;/&gt;&lt;wsp:rsid wsp:val=&quot;00AF2F18&quot;/&gt;&lt;wsp:rsid wsp:val=&quot;00AF40E6&quot;/&gt;&lt;wsp:rsid wsp:val=&quot;00AF4150&quot;/&gt;&lt;wsp:rsid wsp:val=&quot;00AF422B&quot;/&gt;&lt;wsp:rsid wsp:val=&quot;00AF4441&quot;/&gt;&lt;wsp:rsid wsp:val=&quot;00AF47BF&quot;/&gt;&lt;wsp:rsid wsp:val=&quot;00AF4A3C&quot;/&gt;&lt;wsp:rsid wsp:val=&quot;00AF4D1B&quot;/&gt;&lt;wsp:rsid wsp:val=&quot;00AF4DF1&quot;/&gt;&lt;wsp:rsid wsp:val=&quot;00AF5578&quot;/&gt;&lt;wsp:rsid wsp:val=&quot;00AF565E&quot;/&gt;&lt;wsp:rsid wsp:val=&quot;00AF5DAA&quot;/&gt;&lt;wsp:rsid wsp:val=&quot;00AF5DEB&quot;/&gt;&lt;wsp:rsid wsp:val=&quot;00AF66D6&quot;/&gt;&lt;wsp:rsid wsp:val=&quot;00AF695E&quot;/&gt;&lt;wsp:rsid wsp:val=&quot;00AF6D47&quot;/&gt;&lt;wsp:rsid wsp:val=&quot;00AF6D7C&quot;/&gt;&lt;wsp:rsid wsp:val=&quot;00AF6F95&quot;/&gt;&lt;wsp:rsid wsp:val=&quot;00AF71BE&quot;/&gt;&lt;wsp:rsid wsp:val=&quot;00AF7D9B&quot;/&gt;&lt;wsp:rsid wsp:val=&quot;00AF7E13&quot;/&gt;&lt;wsp:rsid wsp:val=&quot;00AF7F40&quot;/&gt;&lt;wsp:rsid wsp:val=&quot;00B00502&quot;/&gt;&lt;wsp:rsid wsp:val=&quot;00B0051B&quot;/&gt;&lt;wsp:rsid wsp:val=&quot;00B0075C&quot;/&gt;&lt;wsp:rsid wsp:val=&quot;00B009A9&quot;/&gt;&lt;wsp:rsid wsp:val=&quot;00B01251&quot;/&gt;&lt;wsp:rsid wsp:val=&quot;00B015A7&quot;/&gt;&lt;wsp:rsid wsp:val=&quot;00B022A1&quot;/&gt;&lt;wsp:rsid wsp:val=&quot;00B031E5&quot;/&gt;&lt;wsp:rsid wsp:val=&quot;00B03C47&quot;/&gt;&lt;wsp:rsid wsp:val=&quot;00B03C7E&quot;/&gt;&lt;wsp:rsid wsp:val=&quot;00B03D06&quot;/&gt;&lt;wsp:rsid wsp:val=&quot;00B04C29&quot;/&gt;&lt;wsp:rsid wsp:val=&quot;00B04C2F&quot;/&gt;&lt;wsp:rsid wsp:val=&quot;00B04D61&quot;/&gt;&lt;wsp:rsid wsp:val=&quot;00B04F9A&quot;/&gt;&lt;wsp:rsid wsp:val=&quot;00B0579F&quot;/&gt;&lt;wsp:rsid wsp:val=&quot;00B05980&quot;/&gt;&lt;wsp:rsid wsp:val=&quot;00B05BCB&quot;/&gt;&lt;wsp:rsid wsp:val=&quot;00B064AF&quot;/&gt;&lt;wsp:rsid wsp:val=&quot;00B06710&quot;/&gt;&lt;wsp:rsid wsp:val=&quot;00B06ED8&quot;/&gt;&lt;wsp:rsid wsp:val=&quot;00B07174&quot;/&gt;&lt;wsp:rsid wsp:val=&quot;00B07213&quot;/&gt;&lt;wsp:rsid wsp:val=&quot;00B072E9&quot;/&gt;&lt;wsp:rsid wsp:val=&quot;00B07890&quot;/&gt;&lt;wsp:rsid wsp:val=&quot;00B07D7B&quot;/&gt;&lt;wsp:rsid wsp:val=&quot;00B10030&quot;/&gt;&lt;wsp:rsid wsp:val=&quot;00B1015F&quot;/&gt;&lt;wsp:rsid wsp:val=&quot;00B105D9&quot;/&gt;&lt;wsp:rsid wsp:val=&quot;00B107A1&quot;/&gt;&lt;wsp:rsid wsp:val=&quot;00B11639&quot;/&gt;&lt;wsp:rsid wsp:val=&quot;00B11FB6&quot;/&gt;&lt;wsp:rsid wsp:val=&quot;00B1207C&quot;/&gt;&lt;wsp:rsid wsp:val=&quot;00B12740&quot;/&gt;&lt;wsp:rsid wsp:val=&quot;00B12EBA&quot;/&gt;&lt;wsp:rsid wsp:val=&quot;00B13959&quot;/&gt;&lt;wsp:rsid wsp:val=&quot;00B1440A&quot;/&gt;&lt;wsp:rsid wsp:val=&quot;00B14A71&quot;/&gt;&lt;wsp:rsid wsp:val=&quot;00B14BB2&quot;/&gt;&lt;wsp:rsid wsp:val=&quot;00B15E5C&quot;/&gt;&lt;wsp:rsid wsp:val=&quot;00B16402&quot;/&gt;&lt;wsp:rsid wsp:val=&quot;00B169F6&quot;/&gt;&lt;wsp:rsid wsp:val=&quot;00B1743B&quot;/&gt;&lt;wsp:rsid wsp:val=&quot;00B17DFF&quot;/&gt;&lt;wsp:rsid wsp:val=&quot;00B17F50&quot;/&gt;&lt;wsp:rsid wsp:val=&quot;00B21652&quot;/&gt;&lt;wsp:rsid wsp:val=&quot;00B21B94&quot;/&gt;&lt;wsp:rsid wsp:val=&quot;00B21ED4&quot;/&gt;&lt;wsp:rsid wsp:val=&quot;00B227EF&quot;/&gt;&lt;wsp:rsid wsp:val=&quot;00B22CCA&quot;/&gt;&lt;wsp:rsid wsp:val=&quot;00B231E5&quot;/&gt;&lt;wsp:rsid wsp:val=&quot;00B2333B&quot;/&gt;&lt;wsp:rsid wsp:val=&quot;00B23AE5&quot;/&gt;&lt;wsp:rsid wsp:val=&quot;00B249EB&quot;/&gt;&lt;wsp:rsid wsp:val=&quot;00B24A7C&quot;/&gt;&lt;wsp:rsid wsp:val=&quot;00B24C9C&quot;/&gt;&lt;wsp:rsid wsp:val=&quot;00B24E39&quot;/&gt;&lt;wsp:rsid wsp:val=&quot;00B24EEE&quot;/&gt;&lt;wsp:rsid wsp:val=&quot;00B26120&quot;/&gt;&lt;wsp:rsid wsp:val=&quot;00B26377&quot;/&gt;&lt;wsp:rsid wsp:val=&quot;00B26542&quot;/&gt;&lt;wsp:rsid wsp:val=&quot;00B266EE&quot;/&gt;&lt;wsp:rsid wsp:val=&quot;00B26851&quot;/&gt;&lt;wsp:rsid wsp:val=&quot;00B26BD6&quot;/&gt;&lt;wsp:rsid wsp:val=&quot;00B27D5B&quot;/&gt;&lt;wsp:rsid wsp:val=&quot;00B309EC&quot;/&gt;&lt;wsp:rsid wsp:val=&quot;00B30A1F&quot;/&gt;&lt;wsp:rsid wsp:val=&quot;00B3182D&quot;/&gt;&lt;wsp:rsid wsp:val=&quot;00B31899&quot;/&gt;&lt;wsp:rsid wsp:val=&quot;00B31B2F&quot;/&gt;&lt;wsp:rsid wsp:val=&quot;00B31B96&quot;/&gt;&lt;wsp:rsid wsp:val=&quot;00B31E9B&quot;/&gt;&lt;wsp:rsid wsp:val=&quot;00B31F8A&quot;/&gt;&lt;wsp:rsid wsp:val=&quot;00B32A7E&quot;/&gt;&lt;wsp:rsid wsp:val=&quot;00B32F02&quot;/&gt;&lt;wsp:rsid wsp:val=&quot;00B32F2A&quot;/&gt;&lt;wsp:rsid wsp:val=&quot;00B33124&quot;/&gt;&lt;wsp:rsid wsp:val=&quot;00B33824&quot;/&gt;&lt;wsp:rsid wsp:val=&quot;00B33998&quot;/&gt;&lt;wsp:rsid wsp:val=&quot;00B34043&quot;/&gt;&lt;wsp:rsid wsp:val=&quot;00B34552&quot;/&gt;&lt;wsp:rsid wsp:val=&quot;00B348D8&quot;/&gt;&lt;wsp:rsid wsp:val=&quot;00B34B04&quot;/&gt;&lt;wsp:rsid wsp:val=&quot;00B34B91&quot;/&gt;&lt;wsp:rsid wsp:val=&quot;00B3573E&quot;/&gt;&lt;wsp:rsid wsp:val=&quot;00B3640A&quot;/&gt;&lt;wsp:rsid wsp:val=&quot;00B36548&quot;/&gt;&lt;wsp:rsid wsp:val=&quot;00B36859&quot;/&gt;&lt;wsp:rsid wsp:val=&quot;00B369AB&quot;/&gt;&lt;wsp:rsid wsp:val=&quot;00B36A26&quot;/&gt;&lt;wsp:rsid wsp:val=&quot;00B36C4F&quot;/&gt;&lt;wsp:rsid wsp:val=&quot;00B37498&quot;/&gt;&lt;wsp:rsid wsp:val=&quot;00B378F8&quot;/&gt;&lt;wsp:rsid wsp:val=&quot;00B37AB0&quot;/&gt;&lt;wsp:rsid wsp:val=&quot;00B37FA5&quot;/&gt;&lt;wsp:rsid wsp:val=&quot;00B400E1&quot;/&gt;&lt;wsp:rsid wsp:val=&quot;00B40B81&quot;/&gt;&lt;wsp:rsid wsp:val=&quot;00B41020&quot;/&gt;&lt;wsp:rsid wsp:val=&quot;00B415EA&quot;/&gt;&lt;wsp:rsid wsp:val=&quot;00B41B5A&quot;/&gt;&lt;wsp:rsid wsp:val=&quot;00B426FC&quot;/&gt;&lt;wsp:rsid wsp:val=&quot;00B43153&quot;/&gt;&lt;wsp:rsid wsp:val=&quot;00B43367&quot;/&gt;&lt;wsp:rsid wsp:val=&quot;00B434E8&quot;/&gt;&lt;wsp:rsid wsp:val=&quot;00B437FD&quot;/&gt;&lt;wsp:rsid wsp:val=&quot;00B43A64&quot;/&gt;&lt;wsp:rsid wsp:val=&quot;00B43E2B&quot;/&gt;&lt;wsp:rsid wsp:val=&quot;00B43E2C&quot;/&gt;&lt;wsp:rsid wsp:val=&quot;00B4405D&quot;/&gt;&lt;wsp:rsid wsp:val=&quot;00B44419&quot;/&gt;&lt;wsp:rsid wsp:val=&quot;00B44431&quot;/&gt;&lt;wsp:rsid wsp:val=&quot;00B44596&quot;/&gt;&lt;wsp:rsid wsp:val=&quot;00B445F6&quot;/&gt;&lt;wsp:rsid wsp:val=&quot;00B446F2&quot;/&gt;&lt;wsp:rsid wsp:val=&quot;00B44742&quot;/&gt;&lt;wsp:rsid wsp:val=&quot;00B4481D&quot;/&gt;&lt;wsp:rsid wsp:val=&quot;00B4499F&quot;/&gt;&lt;wsp:rsid wsp:val=&quot;00B44A84&quot;/&gt;&lt;wsp:rsid wsp:val=&quot;00B456F3&quot;/&gt;&lt;wsp:rsid wsp:val=&quot;00B45C10&quot;/&gt;&lt;wsp:rsid wsp:val=&quot;00B46556&quot;/&gt;&lt;wsp:rsid wsp:val=&quot;00B46E3E&quot;/&gt;&lt;wsp:rsid wsp:val=&quot;00B46F96&quot;/&gt;&lt;wsp:rsid wsp:val=&quot;00B47759&quot;/&gt;&lt;wsp:rsid wsp:val=&quot;00B4782A&quot;/&gt;&lt;wsp:rsid wsp:val=&quot;00B47C02&quot;/&gt;&lt;wsp:rsid wsp:val=&quot;00B47F21&quot;/&gt;&lt;wsp:rsid wsp:val=&quot;00B5025F&quot;/&gt;&lt;wsp:rsid wsp:val=&quot;00B502C0&quot;/&gt;&lt;wsp:rsid wsp:val=&quot;00B508CB&quot;/&gt;&lt;wsp:rsid wsp:val=&quot;00B50A59&quot;/&gt;&lt;wsp:rsid wsp:val=&quot;00B50ADD&quot;/&gt;&lt;wsp:rsid wsp:val=&quot;00B50F6D&quot;/&gt;&lt;wsp:rsid wsp:val=&quot;00B50FFC&quot;/&gt;&lt;wsp:rsid wsp:val=&quot;00B51937&quot;/&gt;&lt;wsp:rsid wsp:val=&quot;00B51BB6&quot;/&gt;&lt;wsp:rsid wsp:val=&quot;00B51E10&quot;/&gt;&lt;wsp:rsid wsp:val=&quot;00B51E9F&quot;/&gt;&lt;wsp:rsid wsp:val=&quot;00B52916&quot;/&gt;&lt;wsp:rsid wsp:val=&quot;00B52C41&quot;/&gt;&lt;wsp:rsid wsp:val=&quot;00B52CE9&quot;/&gt;&lt;wsp:rsid wsp:val=&quot;00B53198&quot;/&gt;&lt;wsp:rsid wsp:val=&quot;00B53275&quot;/&gt;&lt;wsp:rsid wsp:val=&quot;00B53547&quot;/&gt;&lt;wsp:rsid wsp:val=&quot;00B5364E&quot;/&gt;&lt;wsp:rsid wsp:val=&quot;00B536D1&quot;/&gt;&lt;wsp:rsid wsp:val=&quot;00B537CA&quot;/&gt;&lt;wsp:rsid wsp:val=&quot;00B539BC&quot;/&gt;&lt;wsp:rsid wsp:val=&quot;00B53B8E&quot;/&gt;&lt;wsp:rsid wsp:val=&quot;00B54070&quot;/&gt;&lt;wsp:rsid wsp:val=&quot;00B54822&quot;/&gt;&lt;wsp:rsid wsp:val=&quot;00B54A71&quot;/&gt;&lt;wsp:rsid wsp:val=&quot;00B54C98&quot;/&gt;&lt;wsp:rsid wsp:val=&quot;00B54FBE&quot;/&gt;&lt;wsp:rsid wsp:val=&quot;00B5532E&quot;/&gt;&lt;wsp:rsid wsp:val=&quot;00B556E4&quot;/&gt;&lt;wsp:rsid wsp:val=&quot;00B5621D&quot;/&gt;&lt;wsp:rsid wsp:val=&quot;00B565C7&quot;/&gt;&lt;wsp:rsid wsp:val=&quot;00B566AE&quot;/&gt;&lt;wsp:rsid wsp:val=&quot;00B567AB&quot;/&gt;&lt;wsp:rsid wsp:val=&quot;00B56D1E&quot;/&gt;&lt;wsp:rsid wsp:val=&quot;00B56EF9&quot;/&gt;&lt;wsp:rsid wsp:val=&quot;00B56F73&quot;/&gt;&lt;wsp:rsid wsp:val=&quot;00B5729E&quot;/&gt;&lt;wsp:rsid wsp:val=&quot;00B57A7A&quot;/&gt;&lt;wsp:rsid wsp:val=&quot;00B6048D&quot;/&gt;&lt;wsp:rsid wsp:val=&quot;00B604FA&quot;/&gt;&lt;wsp:rsid wsp:val=&quot;00B60638&quot;/&gt;&lt;wsp:rsid wsp:val=&quot;00B606CE&quot;/&gt;&lt;wsp:rsid wsp:val=&quot;00B608CA&quot;/&gt;&lt;wsp:rsid wsp:val=&quot;00B61157&quot;/&gt;&lt;wsp:rsid wsp:val=&quot;00B61403&quot;/&gt;&lt;wsp:rsid wsp:val=&quot;00B6189B&quot;/&gt;&lt;wsp:rsid wsp:val=&quot;00B61E9E&quot;/&gt;&lt;wsp:rsid wsp:val=&quot;00B62252&quot;/&gt;&lt;wsp:rsid wsp:val=&quot;00B62326&quot;/&gt;&lt;wsp:rsid wsp:val=&quot;00B62916&quot;/&gt;&lt;wsp:rsid wsp:val=&quot;00B62C8D&quot;/&gt;&lt;wsp:rsid wsp:val=&quot;00B62D2C&quot;/&gt;&lt;wsp:rsid wsp:val=&quot;00B63E0C&quot;/&gt;&lt;wsp:rsid wsp:val=&quot;00B6485E&quot;/&gt;&lt;wsp:rsid wsp:val=&quot;00B64ACD&quot;/&gt;&lt;wsp:rsid wsp:val=&quot;00B64E60&quot;/&gt;&lt;wsp:rsid wsp:val=&quot;00B65217&quot;/&gt;&lt;wsp:rsid wsp:val=&quot;00B659EB&quot;/&gt;&lt;wsp:rsid wsp:val=&quot;00B65B05&quot;/&gt;&lt;wsp:rsid wsp:val=&quot;00B65DC9&quot;/&gt;&lt;wsp:rsid wsp:val=&quot;00B65FB3&quot;/&gt;&lt;wsp:rsid wsp:val=&quot;00B6601F&quot;/&gt;&lt;wsp:rsid wsp:val=&quot;00B66172&quot;/&gt;&lt;wsp:rsid wsp:val=&quot;00B661CD&quot;/&gt;&lt;wsp:rsid wsp:val=&quot;00B662C4&quot;/&gt;&lt;wsp:rsid wsp:val=&quot;00B66408&quot;/&gt;&lt;wsp:rsid wsp:val=&quot;00B668C7&quot;/&gt;&lt;wsp:rsid wsp:val=&quot;00B67081&quot;/&gt;&lt;wsp:rsid wsp:val=&quot;00B67659&quot;/&gt;&lt;wsp:rsid wsp:val=&quot;00B67895&quot;/&gt;&lt;wsp:rsid wsp:val=&quot;00B70334&quot;/&gt;&lt;wsp:rsid wsp:val=&quot;00B704DA&quot;/&gt;&lt;wsp:rsid wsp:val=&quot;00B70680&quot;/&gt;&lt;wsp:rsid wsp:val=&quot;00B70A34&quot;/&gt;&lt;wsp:rsid wsp:val=&quot;00B71039&quot;/&gt;&lt;wsp:rsid wsp:val=&quot;00B7109D&quot;/&gt;&lt;wsp:rsid wsp:val=&quot;00B712D5&quot;/&gt;&lt;wsp:rsid wsp:val=&quot;00B71763&quot;/&gt;&lt;wsp:rsid wsp:val=&quot;00B722B3&quot;/&gt;&lt;wsp:rsid wsp:val=&quot;00B727D5&quot;/&gt;&lt;wsp:rsid wsp:val=&quot;00B72DF1&quot;/&gt;&lt;wsp:rsid wsp:val=&quot;00B73376&quot;/&gt;&lt;wsp:rsid wsp:val=&quot;00B73F80&quot;/&gt;&lt;wsp:rsid wsp:val=&quot;00B740C2&quot;/&gt;&lt;wsp:rsid wsp:val=&quot;00B74250&quot;/&gt;&lt;wsp:rsid wsp:val=&quot;00B745EA&quot;/&gt;&lt;wsp:rsid wsp:val=&quot;00B74D70&quot;/&gt;&lt;wsp:rsid wsp:val=&quot;00B74E14&quot;/&gt;&lt;wsp:rsid wsp:val=&quot;00B75379&quot;/&gt;&lt;wsp:rsid wsp:val=&quot;00B7555A&quot;/&gt;&lt;wsp:rsid wsp:val=&quot;00B75B93&quot;/&gt;&lt;wsp:rsid wsp:val=&quot;00B75BE7&quot;/&gt;&lt;wsp:rsid wsp:val=&quot;00B760C0&quot;/&gt;&lt;wsp:rsid wsp:val=&quot;00B7658B&quot;/&gt;&lt;wsp:rsid wsp:val=&quot;00B770A2&quot;/&gt;&lt;wsp:rsid wsp:val=&quot;00B77570&quot;/&gt;&lt;wsp:rsid wsp:val=&quot;00B777A3&quot;/&gt;&lt;wsp:rsid wsp:val=&quot;00B77B9F&quot;/&gt;&lt;wsp:rsid wsp:val=&quot;00B807A9&quot;/&gt;&lt;wsp:rsid wsp:val=&quot;00B80C38&quot;/&gt;&lt;wsp:rsid wsp:val=&quot;00B80EA2&quot;/&gt;&lt;wsp:rsid wsp:val=&quot;00B81042&quot;/&gt;&lt;wsp:rsid wsp:val=&quot;00B8129B&quot;/&gt;&lt;wsp:rsid wsp:val=&quot;00B812C2&quot;/&gt;&lt;wsp:rsid wsp:val=&quot;00B81637&quot;/&gt;&lt;wsp:rsid wsp:val=&quot;00B81CF9&quot;/&gt;&lt;wsp:rsid wsp:val=&quot;00B82449&quot;/&gt;&lt;wsp:rsid wsp:val=&quot;00B824F2&quot;/&gt;&lt;wsp:rsid wsp:val=&quot;00B828F4&quot;/&gt;&lt;wsp:rsid wsp:val=&quot;00B82C97&quot;/&gt;&lt;wsp:rsid wsp:val=&quot;00B8305A&quot;/&gt;&lt;wsp:rsid wsp:val=&quot;00B83175&quot;/&gt;&lt;wsp:rsid wsp:val=&quot;00B83862&quot;/&gt;&lt;wsp:rsid wsp:val=&quot;00B839D3&quot;/&gt;&lt;wsp:rsid wsp:val=&quot;00B83B44&quot;/&gt;&lt;wsp:rsid wsp:val=&quot;00B83DD0&quot;/&gt;&lt;wsp:rsid wsp:val=&quot;00B83FDF&quot;/&gt;&lt;wsp:rsid wsp:val=&quot;00B844EB&quot;/&gt;&lt;wsp:rsid wsp:val=&quot;00B847DD&quot;/&gt;&lt;wsp:rsid wsp:val=&quot;00B847F2&quot;/&gt;&lt;wsp:rsid wsp:val=&quot;00B85313&quot;/&gt;&lt;wsp:rsid wsp:val=&quot;00B85869&quot;/&gt;&lt;wsp:rsid wsp:val=&quot;00B858FF&quot;/&gt;&lt;wsp:rsid wsp:val=&quot;00B85D99&quot;/&gt;&lt;wsp:rsid wsp:val=&quot;00B85F84&quot;/&gt;&lt;wsp:rsid wsp:val=&quot;00B8622C&quot;/&gt;&lt;wsp:rsid wsp:val=&quot;00B8682D&quot;/&gt;&lt;wsp:rsid wsp:val=&quot;00B86936&quot;/&gt;&lt;wsp:rsid wsp:val=&quot;00B869A6&quot;/&gt;&lt;wsp:rsid wsp:val=&quot;00B86AF6&quot;/&gt;&lt;wsp:rsid wsp:val=&quot;00B86CB8&quot;/&gt;&lt;wsp:rsid wsp:val=&quot;00B86DD9&quot;/&gt;&lt;wsp:rsid wsp:val=&quot;00B87594&quot;/&gt;&lt;wsp:rsid wsp:val=&quot;00B87908&quot;/&gt;&lt;wsp:rsid wsp:val=&quot;00B879CE&quot;/&gt;&lt;wsp:rsid wsp:val=&quot;00B90A6F&quot;/&gt;&lt;wsp:rsid wsp:val=&quot;00B90BD3&quot;/&gt;&lt;wsp:rsid wsp:val=&quot;00B91A5A&quot;/&gt;&lt;wsp:rsid wsp:val=&quot;00B91E00&quot;/&gt;&lt;wsp:rsid wsp:val=&quot;00B920D1&quot;/&gt;&lt;wsp:rsid wsp:val=&quot;00B92264&quot;/&gt;&lt;wsp:rsid wsp:val=&quot;00B9238A&quot;/&gt;&lt;wsp:rsid wsp:val=&quot;00B924A8&quot;/&gt;&lt;wsp:rsid wsp:val=&quot;00B925F2&quot;/&gt;&lt;wsp:rsid wsp:val=&quot;00B92DA2&quot;/&gt;&lt;wsp:rsid wsp:val=&quot;00B93421&quot;/&gt;&lt;wsp:rsid wsp:val=&quot;00B9389A&quot;/&gt;&lt;wsp:rsid wsp:val=&quot;00B93BF9&quot;/&gt;&lt;wsp:rsid wsp:val=&quot;00B93EC4&quot;/&gt;&lt;wsp:rsid wsp:val=&quot;00B94031&quot;/&gt;&lt;wsp:rsid wsp:val=&quot;00B943EC&quot;/&gt;&lt;wsp:rsid wsp:val=&quot;00B94787&quot;/&gt;&lt;wsp:rsid wsp:val=&quot;00B94905&quot;/&gt;&lt;wsp:rsid wsp:val=&quot;00B9497E&quot;/&gt;&lt;wsp:rsid wsp:val=&quot;00B94A04&quot;/&gt;&lt;wsp:rsid wsp:val=&quot;00B94C11&quot;/&gt;&lt;wsp:rsid wsp:val=&quot;00B94C82&quot;/&gt;&lt;wsp:rsid wsp:val=&quot;00B94E35&quot;/&gt;&lt;wsp:rsid wsp:val=&quot;00B951AC&quot;/&gt;&lt;wsp:rsid wsp:val=&quot;00B95825&quot;/&gt;&lt;wsp:rsid wsp:val=&quot;00B9582B&quot;/&gt;&lt;wsp:rsid wsp:val=&quot;00B95D7D&quot;/&gt;&lt;wsp:rsid wsp:val=&quot;00B9671E&quot;/&gt;&lt;wsp:rsid wsp:val=&quot;00B96740&quot;/&gt;&lt;wsp:rsid wsp:val=&quot;00B96972&quot;/&gt;&lt;wsp:rsid wsp:val=&quot;00B96A44&quot;/&gt;&lt;wsp:rsid wsp:val=&quot;00B96D36&quot;/&gt;&lt;wsp:rsid wsp:val=&quot;00B97537&quot;/&gt;&lt;wsp:rsid wsp:val=&quot;00B97A91&quot;/&gt;&lt;wsp:rsid wsp:val=&quot;00BA03D8&quot;/&gt;&lt;wsp:rsid wsp:val=&quot;00BA0401&quot;/&gt;&lt;wsp:rsid wsp:val=&quot;00BA051A&quot;/&gt;&lt;wsp:rsid wsp:val=&quot;00BA051D&quot;/&gt;&lt;wsp:rsid wsp:val=&quot;00BA061E&quot;/&gt;&lt;wsp:rsid wsp:val=&quot;00BA062A&quot;/&gt;&lt;wsp:rsid wsp:val=&quot;00BA077C&quot;/&gt;&lt;wsp:rsid wsp:val=&quot;00BA0AF4&quot;/&gt;&lt;wsp:rsid wsp:val=&quot;00BA1111&quot;/&gt;&lt;wsp:rsid wsp:val=&quot;00BA1417&quot;/&gt;&lt;wsp:rsid wsp:val=&quot;00BA1B97&quot;/&gt;&lt;wsp:rsid wsp:val=&quot;00BA1BBD&quot;/&gt;&lt;wsp:rsid wsp:val=&quot;00BA1D13&quot;/&gt;&lt;wsp:rsid wsp:val=&quot;00BA24CE&quot;/&gt;&lt;wsp:rsid wsp:val=&quot;00BA30E4&quot;/&gt;&lt;wsp:rsid wsp:val=&quot;00BA32BD&quot;/&gt;&lt;wsp:rsid wsp:val=&quot;00BA33E0&quot;/&gt;&lt;wsp:rsid wsp:val=&quot;00BA47E4&quot;/&gt;&lt;wsp:rsid wsp:val=&quot;00BA4879&quot;/&gt;&lt;wsp:rsid wsp:val=&quot;00BA603E&quot;/&gt;&lt;wsp:rsid wsp:val=&quot;00BA63D0&quot;/&gt;&lt;wsp:rsid wsp:val=&quot;00BA706E&quot;/&gt;&lt;wsp:rsid wsp:val=&quot;00BA7113&quot;/&gt;&lt;wsp:rsid wsp:val=&quot;00BA77DD&quot;/&gt;&lt;wsp:rsid wsp:val=&quot;00BA7A32&quot;/&gt;&lt;wsp:rsid wsp:val=&quot;00BB00BC&quot;/&gt;&lt;wsp:rsid wsp:val=&quot;00BB011D&quot;/&gt;&lt;wsp:rsid wsp:val=&quot;00BB013B&quot;/&gt;&lt;wsp:rsid wsp:val=&quot;00BB01AF&quot;/&gt;&lt;wsp:rsid wsp:val=&quot;00BB09C7&quot;/&gt;&lt;wsp:rsid wsp:val=&quot;00BB0E6B&quot;/&gt;&lt;wsp:rsid wsp:val=&quot;00BB0EFC&quot;/&gt;&lt;wsp:rsid wsp:val=&quot;00BB1778&quot;/&gt;&lt;wsp:rsid wsp:val=&quot;00BB187A&quot;/&gt;&lt;wsp:rsid wsp:val=&quot;00BB2003&quot;/&gt;&lt;wsp:rsid wsp:val=&quot;00BB2411&quot;/&gt;&lt;wsp:rsid wsp:val=&quot;00BB2860&quot;/&gt;&lt;wsp:rsid wsp:val=&quot;00BB2B50&quot;/&gt;&lt;wsp:rsid wsp:val=&quot;00BB2BCC&quot;/&gt;&lt;wsp:rsid wsp:val=&quot;00BB31B3&quot;/&gt;&lt;wsp:rsid wsp:val=&quot;00BB3852&quot;/&gt;&lt;wsp:rsid wsp:val=&quot;00BB38E5&quot;/&gt;&lt;wsp:rsid wsp:val=&quot;00BB39B0&quot;/&gt;&lt;wsp:rsid wsp:val=&quot;00BB40F8&quot;/&gt;&lt;wsp:rsid wsp:val=&quot;00BB4CE9&quot;/&gt;&lt;wsp:rsid wsp:val=&quot;00BB546A&quot;/&gt;&lt;wsp:rsid wsp:val=&quot;00BB5489&quot;/&gt;&lt;wsp:rsid wsp:val=&quot;00BB5780&quot;/&gt;&lt;wsp:rsid wsp:val=&quot;00BB57FE&quot;/&gt;&lt;wsp:rsid wsp:val=&quot;00BB5B2E&quot;/&gt;&lt;wsp:rsid wsp:val=&quot;00BB5D63&quot;/&gt;&lt;wsp:rsid wsp:val=&quot;00BB6075&quot;/&gt;&lt;wsp:rsid wsp:val=&quot;00BB69E6&quot;/&gt;&lt;wsp:rsid wsp:val=&quot;00BB6B5D&quot;/&gt;&lt;wsp:rsid wsp:val=&quot;00BB6C4F&quot;/&gt;&lt;wsp:rsid wsp:val=&quot;00BB733C&quot;/&gt;&lt;wsp:rsid wsp:val=&quot;00BB7AA1&quot;/&gt;&lt;wsp:rsid wsp:val=&quot;00BB7B0B&quot;/&gt;&lt;wsp:rsid wsp:val=&quot;00BB7C97&quot;/&gt;&lt;wsp:rsid wsp:val=&quot;00BB7E20&quot;/&gt;&lt;wsp:rsid wsp:val=&quot;00BC0A32&quot;/&gt;&lt;wsp:rsid wsp:val=&quot;00BC0B04&quot;/&gt;&lt;wsp:rsid wsp:val=&quot;00BC15D9&quot;/&gt;&lt;wsp:rsid wsp:val=&quot;00BC15E4&quot;/&gt;&lt;wsp:rsid wsp:val=&quot;00BC1706&quot;/&gt;&lt;wsp:rsid wsp:val=&quot;00BC1808&quot;/&gt;&lt;wsp:rsid wsp:val=&quot;00BC1F84&quot;/&gt;&lt;wsp:rsid wsp:val=&quot;00BC20F7&quot;/&gt;&lt;wsp:rsid wsp:val=&quot;00BC336F&quot;/&gt;&lt;wsp:rsid wsp:val=&quot;00BC3699&quot;/&gt;&lt;wsp:rsid wsp:val=&quot;00BC36E4&quot;/&gt;&lt;wsp:rsid wsp:val=&quot;00BC394B&quot;/&gt;&lt;wsp:rsid wsp:val=&quot;00BC3D6C&quot;/&gt;&lt;wsp:rsid wsp:val=&quot;00BC3F8C&quot;/&gt;&lt;wsp:rsid wsp:val=&quot;00BC3F8E&quot;/&gt;&lt;wsp:rsid wsp:val=&quot;00BC4B8E&quot;/&gt;&lt;wsp:rsid wsp:val=&quot;00BC50CF&quot;/&gt;&lt;wsp:rsid wsp:val=&quot;00BC54AB&quot;/&gt;&lt;wsp:rsid wsp:val=&quot;00BC55A8&quot;/&gt;&lt;wsp:rsid wsp:val=&quot;00BC58FA&quot;/&gt;&lt;wsp:rsid wsp:val=&quot;00BC6172&quot;/&gt;&lt;wsp:rsid wsp:val=&quot;00BC6465&quot;/&gt;&lt;wsp:rsid wsp:val=&quot;00BC6D75&quot;/&gt;&lt;wsp:rsid wsp:val=&quot;00BC7141&quot;/&gt;&lt;wsp:rsid wsp:val=&quot;00BC74C8&quot;/&gt;&lt;wsp:rsid wsp:val=&quot;00BC776D&quot;/&gt;&lt;wsp:rsid wsp:val=&quot;00BC7972&quot;/&gt;&lt;wsp:rsid wsp:val=&quot;00BC7FD0&quot;/&gt;&lt;wsp:rsid wsp:val=&quot;00BD02B4&quot;/&gt;&lt;wsp:rsid wsp:val=&quot;00BD0445&quot;/&gt;&lt;wsp:rsid wsp:val=&quot;00BD045D&quot;/&gt;&lt;wsp:rsid wsp:val=&quot;00BD0571&quot;/&gt;&lt;wsp:rsid wsp:val=&quot;00BD0C41&quot;/&gt;&lt;wsp:rsid wsp:val=&quot;00BD1276&quot;/&gt;&lt;wsp:rsid wsp:val=&quot;00BD176D&quot;/&gt;&lt;wsp:rsid wsp:val=&quot;00BD1E92&quot;/&gt;&lt;wsp:rsid wsp:val=&quot;00BD24B5&quot;/&gt;&lt;wsp:rsid wsp:val=&quot;00BD2B39&quot;/&gt;&lt;wsp:rsid wsp:val=&quot;00BD3409&quot;/&gt;&lt;wsp:rsid wsp:val=&quot;00BD3869&quot;/&gt;&lt;wsp:rsid wsp:val=&quot;00BD3873&quot;/&gt;&lt;wsp:rsid wsp:val=&quot;00BD3BD0&quot;/&gt;&lt;wsp:rsid wsp:val=&quot;00BD3D77&quot;/&gt;&lt;wsp:rsid wsp:val=&quot;00BD3DA2&quot;/&gt;&lt;wsp:rsid wsp:val=&quot;00BD3EAE&quot;/&gt;&lt;wsp:rsid wsp:val=&quot;00BD42E5&quot;/&gt;&lt;wsp:rsid wsp:val=&quot;00BD446F&quot;/&gt;&lt;wsp:rsid wsp:val=&quot;00BD5015&quot;/&gt;&lt;wsp:rsid wsp:val=&quot;00BD5237&quot;/&gt;&lt;wsp:rsid wsp:val=&quot;00BD54E2&quot;/&gt;&lt;wsp:rsid wsp:val=&quot;00BD5810&quot;/&gt;&lt;wsp:rsid wsp:val=&quot;00BD588D&quot;/&gt;&lt;wsp:rsid wsp:val=&quot;00BD5C45&quot;/&gt;&lt;wsp:rsid wsp:val=&quot;00BD615F&quot;/&gt;&lt;wsp:rsid wsp:val=&quot;00BD6284&quot;/&gt;&lt;wsp:rsid wsp:val=&quot;00BD62D0&quot;/&gt;&lt;wsp:rsid wsp:val=&quot;00BD6BE3&quot;/&gt;&lt;wsp:rsid wsp:val=&quot;00BD7413&quot;/&gt;&lt;wsp:rsid wsp:val=&quot;00BD76C0&quot;/&gt;&lt;wsp:rsid wsp:val=&quot;00BD7725&quot;/&gt;&lt;wsp:rsid wsp:val=&quot;00BD791F&quot;/&gt;&lt;wsp:rsid wsp:val=&quot;00BD7D37&quot;/&gt;&lt;wsp:rsid wsp:val=&quot;00BD7EBA&quot;/&gt;&lt;wsp:rsid wsp:val=&quot;00BE0170&quot;/&gt;&lt;wsp:rsid wsp:val=&quot;00BE074E&quot;/&gt;&lt;wsp:rsid wsp:val=&quot;00BE0805&quot;/&gt;&lt;wsp:rsid wsp:val=&quot;00BE0D23&quot;/&gt;&lt;wsp:rsid wsp:val=&quot;00BE11F5&quot;/&gt;&lt;wsp:rsid wsp:val=&quot;00BE1A4D&quot;/&gt;&lt;wsp:rsid wsp:val=&quot;00BE1F2C&quot;/&gt;&lt;wsp:rsid wsp:val=&quot;00BE2E39&quot;/&gt;&lt;wsp:rsid wsp:val=&quot;00BE2E9A&quot;/&gt;&lt;wsp:rsid wsp:val=&quot;00BE33B9&quot;/&gt;&lt;wsp:rsid wsp:val=&quot;00BE34D6&quot;/&gt;&lt;wsp:rsid wsp:val=&quot;00BE3759&quot;/&gt;&lt;wsp:rsid wsp:val=&quot;00BE38CF&quot;/&gt;&lt;wsp:rsid wsp:val=&quot;00BE432D&quot;/&gt;&lt;wsp:rsid wsp:val=&quot;00BE4530&quot;/&gt;&lt;wsp:rsid wsp:val=&quot;00BE45FA&quot;/&gt;&lt;wsp:rsid wsp:val=&quot;00BE4A54&quot;/&gt;&lt;wsp:rsid wsp:val=&quot;00BE580A&quot;/&gt;&lt;wsp:rsid wsp:val=&quot;00BE614D&quot;/&gt;&lt;wsp:rsid wsp:val=&quot;00BE6274&quot;/&gt;&lt;wsp:rsid wsp:val=&quot;00BE632A&quot;/&gt;&lt;wsp:rsid wsp:val=&quot;00BE69A5&quot;/&gt;&lt;wsp:rsid wsp:val=&quot;00BE69BA&quot;/&gt;&lt;wsp:rsid wsp:val=&quot;00BE6B19&quot;/&gt;&lt;wsp:rsid wsp:val=&quot;00BE6BD5&quot;/&gt;&lt;wsp:rsid wsp:val=&quot;00BE6E5D&quot;/&gt;&lt;wsp:rsid wsp:val=&quot;00BE781E&quot;/&gt;&lt;wsp:rsid wsp:val=&quot;00BE7B95&quot;/&gt;&lt;wsp:rsid wsp:val=&quot;00BE7C45&quot;/&gt;&lt;wsp:rsid wsp:val=&quot;00BE7E0D&quot;/&gt;&lt;wsp:rsid wsp:val=&quot;00BF0319&quot;/&gt;&lt;wsp:rsid wsp:val=&quot;00BF14FA&quot;/&gt;&lt;wsp:rsid wsp:val=&quot;00BF1794&quot;/&gt;&lt;wsp:rsid wsp:val=&quot;00BF1B4B&quot;/&gt;&lt;wsp:rsid wsp:val=&quot;00BF1F1F&quot;/&gt;&lt;wsp:rsid wsp:val=&quot;00BF212D&quot;/&gt;&lt;wsp:rsid wsp:val=&quot;00BF229F&quot;/&gt;&lt;wsp:rsid wsp:val=&quot;00BF2C45&quot;/&gt;&lt;wsp:rsid wsp:val=&quot;00BF2D13&quot;/&gt;&lt;wsp:rsid wsp:val=&quot;00BF2FE5&quot;/&gt;&lt;wsp:rsid wsp:val=&quot;00BF330C&quot;/&gt;&lt;wsp:rsid wsp:val=&quot;00BF3B9A&quot;/&gt;&lt;wsp:rsid wsp:val=&quot;00BF3C8B&quot;/&gt;&lt;wsp:rsid wsp:val=&quot;00BF3D89&quot;/&gt;&lt;wsp:rsid wsp:val=&quot;00BF3F6F&quot;/&gt;&lt;wsp:rsid wsp:val=&quot;00BF466A&quot;/&gt;&lt;wsp:rsid wsp:val=&quot;00BF4BDD&quot;/&gt;&lt;wsp:rsid wsp:val=&quot;00BF5477&quot;/&gt;&lt;wsp:rsid wsp:val=&quot;00BF5948&quot;/&gt;&lt;wsp:rsid wsp:val=&quot;00BF60D6&quot;/&gt;&lt;wsp:rsid wsp:val=&quot;00BF662C&quot;/&gt;&lt;wsp:rsid wsp:val=&quot;00BF695C&quot;/&gt;&lt;wsp:rsid wsp:val=&quot;00BF69D6&quot;/&gt;&lt;wsp:rsid wsp:val=&quot;00BF73EE&quot;/&gt;&lt;wsp:rsid wsp:val=&quot;00BF79D8&quot;/&gt;&lt;wsp:rsid wsp:val=&quot;00C001EC&quot;/&gt;&lt;wsp:rsid wsp:val=&quot;00C003E0&quot;/&gt;&lt;wsp:rsid wsp:val=&quot;00C004A6&quot;/&gt;&lt;wsp:rsid wsp:val=&quot;00C00AF0&quot;/&gt;&lt;wsp:rsid wsp:val=&quot;00C027BD&quot;/&gt;&lt;wsp:rsid wsp:val=&quot;00C0299A&quot;/&gt;&lt;wsp:rsid wsp:val=&quot;00C02A0F&quot;/&gt;&lt;wsp:rsid wsp:val=&quot;00C0306E&quot;/&gt;&lt;wsp:rsid wsp:val=&quot;00C032D8&quot;/&gt;&lt;wsp:rsid wsp:val=&quot;00C03787&quot;/&gt;&lt;wsp:rsid wsp:val=&quot;00C03855&quot;/&gt;&lt;wsp:rsid wsp:val=&quot;00C03898&quot;/&gt;&lt;wsp:rsid wsp:val=&quot;00C03B1A&quot;/&gt;&lt;wsp:rsid wsp:val=&quot;00C03B7C&quot;/&gt;&lt;wsp:rsid wsp:val=&quot;00C04440&quot;/&gt;&lt;wsp:rsid wsp:val=&quot;00C04445&quot;/&gt;&lt;wsp:rsid wsp:val=&quot;00C0460D&quot;/&gt;&lt;wsp:rsid wsp:val=&quot;00C04CB2&quot;/&gt;&lt;wsp:rsid wsp:val=&quot;00C058A7&quot;/&gt;&lt;wsp:rsid wsp:val=&quot;00C059D3&quot;/&gt;&lt;wsp:rsid wsp:val=&quot;00C05D35&quot;/&gt;&lt;wsp:rsid wsp:val=&quot;00C05E2F&quot;/&gt;&lt;wsp:rsid wsp:val=&quot;00C06884&quot;/&gt;&lt;wsp:rsid wsp:val=&quot;00C06942&quot;/&gt;&lt;wsp:rsid wsp:val=&quot;00C07352&quot;/&gt;&lt;wsp:rsid wsp:val=&quot;00C0735B&quot;/&gt;&lt;wsp:rsid wsp:val=&quot;00C0767B&quot;/&gt;&lt;wsp:rsid wsp:val=&quot;00C0788D&quot;/&gt;&lt;wsp:rsid wsp:val=&quot;00C078BE&quot;/&gt;&lt;wsp:rsid wsp:val=&quot;00C07979&quot;/&gt;&lt;wsp:rsid wsp:val=&quot;00C07CBC&quot;/&gt;&lt;wsp:rsid wsp:val=&quot;00C07D82&quot;/&gt;&lt;wsp:rsid wsp:val=&quot;00C10227&quot;/&gt;&lt;wsp:rsid wsp:val=&quot;00C106DD&quot;/&gt;&lt;wsp:rsid wsp:val=&quot;00C10E1A&quot;/&gt;&lt;wsp:rsid wsp:val=&quot;00C113CE&quot;/&gt;&lt;wsp:rsid wsp:val=&quot;00C115A7&quot;/&gt;&lt;wsp:rsid wsp:val=&quot;00C11968&quot;/&gt;&lt;wsp:rsid wsp:val=&quot;00C11C26&quot;/&gt;&lt;wsp:rsid wsp:val=&quot;00C11CBF&quot;/&gt;&lt;wsp:rsid wsp:val=&quot;00C11D16&quot;/&gt;&lt;wsp:rsid wsp:val=&quot;00C1256E&quot;/&gt;&lt;wsp:rsid wsp:val=&quot;00C126C4&quot;/&gt;&lt;wsp:rsid wsp:val=&quot;00C126F2&quot;/&gt;&lt;wsp:rsid wsp:val=&quot;00C12858&quot;/&gt;&lt;wsp:rsid wsp:val=&quot;00C13165&quot;/&gt;&lt;wsp:rsid wsp:val=&quot;00C13615&quot;/&gt;&lt;wsp:rsid wsp:val=&quot;00C13BFA&quot;/&gt;&lt;wsp:rsid wsp:val=&quot;00C13FBA&quot;/&gt;&lt;wsp:rsid wsp:val=&quot;00C140F4&quot;/&gt;&lt;wsp:rsid wsp:val=&quot;00C14DEB&quot;/&gt;&lt;wsp:rsid wsp:val=&quot;00C15CD8&quot;/&gt;&lt;wsp:rsid wsp:val=&quot;00C15DEF&quot;/&gt;&lt;wsp:rsid wsp:val=&quot;00C15EFD&quot;/&gt;&lt;wsp:rsid wsp:val=&quot;00C160E0&quot;/&gt;&lt;wsp:rsid wsp:val=&quot;00C16621&quot;/&gt;&lt;wsp:rsid wsp:val=&quot;00C16FA3&quot;/&gt;&lt;wsp:rsid wsp:val=&quot;00C1700F&quot;/&gt;&lt;wsp:rsid wsp:val=&quot;00C174C8&quot;/&gt;&lt;wsp:rsid wsp:val=&quot;00C17C7A&quot;/&gt;&lt;wsp:rsid wsp:val=&quot;00C17DE9&quot;/&gt;&lt;wsp:rsid wsp:val=&quot;00C206E5&quot;/&gt;&lt;wsp:rsid wsp:val=&quot;00C20BE1&quot;/&gt;&lt;wsp:rsid wsp:val=&quot;00C21547&quot;/&gt;&lt;wsp:rsid wsp:val=&quot;00C2158C&quot;/&gt;&lt;wsp:rsid wsp:val=&quot;00C21709&quot;/&gt;&lt;wsp:rsid wsp:val=&quot;00C22434&quot;/&gt;&lt;wsp:rsid wsp:val=&quot;00C2273D&quot;/&gt;&lt;wsp:rsid wsp:val=&quot;00C22762&quot;/&gt;&lt;wsp:rsid wsp:val=&quot;00C22E56&quot;/&gt;&lt;wsp:rsid wsp:val=&quot;00C2354E&quot;/&gt;&lt;wsp:rsid wsp:val=&quot;00C23DAB&quot;/&gt;&lt;wsp:rsid wsp:val=&quot;00C24183&quot;/&gt;&lt;wsp:rsid wsp:val=&quot;00C2431E&quot;/&gt;&lt;wsp:rsid wsp:val=&quot;00C243E3&quot;/&gt;&lt;wsp:rsid wsp:val=&quot;00C246DD&quot;/&gt;&lt;wsp:rsid wsp:val=&quot;00C24740&quot;/&gt;&lt;wsp:rsid wsp:val=&quot;00C24934&quot;/&gt;&lt;wsp:rsid wsp:val=&quot;00C24942&quot;/&gt;&lt;wsp:rsid wsp:val=&quot;00C24E53&quot;/&gt;&lt;wsp:rsid wsp:val=&quot;00C24FEE&quot;/&gt;&lt;wsp:rsid wsp:val=&quot;00C254F0&quot;/&gt;&lt;wsp:rsid wsp:val=&quot;00C25663&quot;/&gt;&lt;wsp:rsid wsp:val=&quot;00C25B4D&quot;/&gt;&lt;wsp:rsid wsp:val=&quot;00C25D3E&quot;/&gt;&lt;wsp:rsid wsp:val=&quot;00C25EC4&quot;/&gt;&lt;wsp:rsid wsp:val=&quot;00C261A0&quot;/&gt;&lt;wsp:rsid wsp:val=&quot;00C26CCF&quot;/&gt;&lt;wsp:rsid wsp:val=&quot;00C2700D&quot;/&gt;&lt;wsp:rsid wsp:val=&quot;00C272AF&quot;/&gt;&lt;wsp:rsid wsp:val=&quot;00C273CF&quot;/&gt;&lt;wsp:rsid wsp:val=&quot;00C27598&quot;/&gt;&lt;wsp:rsid wsp:val=&quot;00C276A1&quot;/&gt;&lt;wsp:rsid wsp:val=&quot;00C27834&quot;/&gt;&lt;wsp:rsid wsp:val=&quot;00C30D21&quot;/&gt;&lt;wsp:rsid wsp:val=&quot;00C317C7&quot;/&gt;&lt;wsp:rsid wsp:val=&quot;00C31A76&quot;/&gt;&lt;wsp:rsid wsp:val=&quot;00C31AFE&quot;/&gt;&lt;wsp:rsid wsp:val=&quot;00C31BD5&quot;/&gt;&lt;wsp:rsid wsp:val=&quot;00C32075&quot;/&gt;&lt;wsp:rsid wsp:val=&quot;00C321CA&quot;/&gt;&lt;wsp:rsid wsp:val=&quot;00C32737&quot;/&gt;&lt;wsp:rsid wsp:val=&quot;00C32A1A&quot;/&gt;&lt;wsp:rsid wsp:val=&quot;00C32B34&quot;/&gt;&lt;wsp:rsid wsp:val=&quot;00C333B4&quot;/&gt;&lt;wsp:rsid wsp:val=&quot;00C3353C&quot;/&gt;&lt;wsp:rsid wsp:val=&quot;00C33679&quot;/&gt;&lt;wsp:rsid wsp:val=&quot;00C3390D&quot;/&gt;&lt;wsp:rsid wsp:val=&quot;00C33C7E&quot;/&gt;&lt;wsp:rsid wsp:val=&quot;00C33CAB&quot;/&gt;&lt;wsp:rsid wsp:val=&quot;00C34141&quot;/&gt;&lt;wsp:rsid wsp:val=&quot;00C3435D&quot;/&gt;&lt;wsp:rsid wsp:val=&quot;00C34A3E&quot;/&gt;&lt;wsp:rsid wsp:val=&quot;00C34B99&quot;/&gt;&lt;wsp:rsid wsp:val=&quot;00C3513A&quot;/&gt;&lt;wsp:rsid wsp:val=&quot;00C35292&quot;/&gt;&lt;wsp:rsid wsp:val=&quot;00C35D3C&quot;/&gt;&lt;wsp:rsid wsp:val=&quot;00C35E6C&quot;/&gt;&lt;wsp:rsid wsp:val=&quot;00C361CF&quot;/&gt;&lt;wsp:rsid wsp:val=&quot;00C36788&quot;/&gt;&lt;wsp:rsid wsp:val=&quot;00C36C58&quot;/&gt;&lt;wsp:rsid wsp:val=&quot;00C374CC&quot;/&gt;&lt;wsp:rsid wsp:val=&quot;00C37A0B&quot;/&gt;&lt;wsp:rsid wsp:val=&quot;00C37CB6&quot;/&gt;&lt;wsp:rsid wsp:val=&quot;00C37F28&quot;/&gt;&lt;wsp:rsid wsp:val=&quot;00C40BFA&quot;/&gt;&lt;wsp:rsid wsp:val=&quot;00C41210&quot;/&gt;&lt;wsp:rsid wsp:val=&quot;00C414A7&quot;/&gt;&lt;wsp:rsid wsp:val=&quot;00C41F9A&quot;/&gt;&lt;wsp:rsid wsp:val=&quot;00C424CE&quot;/&gt;&lt;wsp:rsid wsp:val=&quot;00C424FE&quot;/&gt;&lt;wsp:rsid wsp:val=&quot;00C43181&quot;/&gt;&lt;wsp:rsid wsp:val=&quot;00C4342D&quot;/&gt;&lt;wsp:rsid wsp:val=&quot;00C43898&quot;/&gt;&lt;wsp:rsid wsp:val=&quot;00C438B1&quot;/&gt;&lt;wsp:rsid wsp:val=&quot;00C43AE1&quot;/&gt;&lt;wsp:rsid wsp:val=&quot;00C4461D&quot;/&gt;&lt;wsp:rsid wsp:val=&quot;00C449EB&quot;/&gt;&lt;wsp:rsid wsp:val=&quot;00C44B2C&quot;/&gt;&lt;wsp:rsid wsp:val=&quot;00C44E68&quot;/&gt;&lt;wsp:rsid wsp:val=&quot;00C45CCA&quot;/&gt;&lt;wsp:rsid wsp:val=&quot;00C46676&quot;/&gt;&lt;wsp:rsid wsp:val=&quot;00C46A5E&quot;/&gt;&lt;wsp:rsid wsp:val=&quot;00C47055&quot;/&gt;&lt;wsp:rsid wsp:val=&quot;00C470C6&quot;/&gt;&lt;wsp:rsid wsp:val=&quot;00C473D4&quot;/&gt;&lt;wsp:rsid wsp:val=&quot;00C502F2&quot;/&gt;&lt;wsp:rsid wsp:val=&quot;00C5081F&quot;/&gt;&lt;wsp:rsid wsp:val=&quot;00C50904&quot;/&gt;&lt;wsp:rsid wsp:val=&quot;00C50FE9&quot;/&gt;&lt;wsp:rsid wsp:val=&quot;00C52309&quot;/&gt;&lt;wsp:rsid wsp:val=&quot;00C52711&quot;/&gt;&lt;wsp:rsid wsp:val=&quot;00C52D2E&quot;/&gt;&lt;wsp:rsid wsp:val=&quot;00C53285&quot;/&gt;&lt;wsp:rsid wsp:val=&quot;00C532D3&quot;/&gt;&lt;wsp:rsid wsp:val=&quot;00C5345E&quot;/&gt;&lt;wsp:rsid wsp:val=&quot;00C53732&quot;/&gt;&lt;wsp:rsid wsp:val=&quot;00C537B7&quot;/&gt;&lt;wsp:rsid wsp:val=&quot;00C53C4D&quot;/&gt;&lt;wsp:rsid wsp:val=&quot;00C53F2E&quot;/&gt;&lt;wsp:rsid wsp:val=&quot;00C53FD8&quot;/&gt;&lt;wsp:rsid wsp:val=&quot;00C543D9&quot;/&gt;&lt;wsp:rsid wsp:val=&quot;00C545BA&quot;/&gt;&lt;wsp:rsid wsp:val=&quot;00C54680&quot;/&gt;&lt;wsp:rsid wsp:val=&quot;00C54EDD&quot;/&gt;&lt;wsp:rsid wsp:val=&quot;00C550DB&quot;/&gt;&lt;wsp:rsid wsp:val=&quot;00C551A6&quot;/&gt;&lt;wsp:rsid wsp:val=&quot;00C5536F&quot;/&gt;&lt;wsp:rsid wsp:val=&quot;00C554B2&quot;/&gt;&lt;wsp:rsid wsp:val=&quot;00C55B46&quot;/&gt;&lt;wsp:rsid wsp:val=&quot;00C56516&quot;/&gt;&lt;wsp:rsid wsp:val=&quot;00C567C6&quot;/&gt;&lt;wsp:rsid wsp:val=&quot;00C5688A&quot;/&gt;&lt;wsp:rsid wsp:val=&quot;00C568B1&quot;/&gt;&lt;wsp:rsid wsp:val=&quot;00C56F83&quot;/&gt;&lt;wsp:rsid wsp:val=&quot;00C575E1&quot;/&gt;&lt;wsp:rsid wsp:val=&quot;00C5761B&quot;/&gt;&lt;wsp:rsid wsp:val=&quot;00C5767A&quot;/&gt;&lt;wsp:rsid wsp:val=&quot;00C576F9&quot;/&gt;&lt;wsp:rsid wsp:val=&quot;00C57749&quot;/&gt;&lt;wsp:rsid wsp:val=&quot;00C57851&quot;/&gt;&lt;wsp:rsid wsp:val=&quot;00C5785B&quot;/&gt;&lt;wsp:rsid wsp:val=&quot;00C57B13&quot;/&gt;&lt;wsp:rsid wsp:val=&quot;00C57BDA&quot;/&gt;&lt;wsp:rsid wsp:val=&quot;00C57D5B&quot;/&gt;&lt;wsp:rsid wsp:val=&quot;00C57F7B&quot;/&gt;&lt;wsp:rsid wsp:val=&quot;00C606D6&quot;/&gt;&lt;wsp:rsid wsp:val=&quot;00C60AC9&quot;/&gt;&lt;wsp:rsid wsp:val=&quot;00C60BC0&quot;/&gt;&lt;wsp:rsid wsp:val=&quot;00C60F96&quot;/&gt;&lt;wsp:rsid wsp:val=&quot;00C61068&quot;/&gt;&lt;wsp:rsid wsp:val=&quot;00C61299&quot;/&gt;&lt;wsp:rsid wsp:val=&quot;00C61342&quot;/&gt;&lt;wsp:rsid wsp:val=&quot;00C6150E&quot;/&gt;&lt;wsp:rsid wsp:val=&quot;00C618A9&quot;/&gt;&lt;wsp:rsid wsp:val=&quot;00C618CD&quot;/&gt;&lt;wsp:rsid wsp:val=&quot;00C61AED&quot;/&gt;&lt;wsp:rsid wsp:val=&quot;00C61B05&quot;/&gt;&lt;wsp:rsid wsp:val=&quot;00C61C23&quot;/&gt;&lt;wsp:rsid wsp:val=&quot;00C625EC&quot;/&gt;&lt;wsp:rsid wsp:val=&quot;00C62E42&quot;/&gt;&lt;wsp:rsid wsp:val=&quot;00C62F74&quot;/&gt;&lt;wsp:rsid wsp:val=&quot;00C62F8B&quot;/&gt;&lt;wsp:rsid wsp:val=&quot;00C63281&quot;/&gt;&lt;wsp:rsid wsp:val=&quot;00C63448&quot;/&gt;&lt;wsp:rsid wsp:val=&quot;00C6363E&quot;/&gt;&lt;wsp:rsid wsp:val=&quot;00C63D1C&quot;/&gt;&lt;wsp:rsid wsp:val=&quot;00C6437F&quot;/&gt;&lt;wsp:rsid wsp:val=&quot;00C645E4&quot;/&gt;&lt;wsp:rsid wsp:val=&quot;00C64A11&quot;/&gt;&lt;wsp:rsid wsp:val=&quot;00C64ABA&quot;/&gt;&lt;wsp:rsid wsp:val=&quot;00C64B88&quot;/&gt;&lt;wsp:rsid wsp:val=&quot;00C64C46&quot;/&gt;&lt;wsp:rsid wsp:val=&quot;00C65872&quot;/&gt;&lt;wsp:rsid wsp:val=&quot;00C668F8&quot;/&gt;&lt;wsp:rsid wsp:val=&quot;00C66A6E&quot;/&gt;&lt;wsp:rsid wsp:val=&quot;00C66D96&quot;/&gt;&lt;wsp:rsid wsp:val=&quot;00C66F78&quot;/&gt;&lt;wsp:rsid wsp:val=&quot;00C66FA8&quot;/&gt;&lt;wsp:rsid wsp:val=&quot;00C7137D&quot;/&gt;&lt;wsp:rsid wsp:val=&quot;00C717DB&quot;/&gt;&lt;wsp:rsid wsp:val=&quot;00C71F59&quot;/&gt;&lt;wsp:rsid wsp:val=&quot;00C72570&quot;/&gt;&lt;wsp:rsid wsp:val=&quot;00C725EE&quot;/&gt;&lt;wsp:rsid wsp:val=&quot;00C72664&quot;/&gt;&lt;wsp:rsid wsp:val=&quot;00C72817&quot;/&gt;&lt;wsp:rsid wsp:val=&quot;00C72BC3&quot;/&gt;&lt;wsp:rsid wsp:val=&quot;00C73842&quot;/&gt;&lt;wsp:rsid wsp:val=&quot;00C740AC&quot;/&gt;&lt;wsp:rsid wsp:val=&quot;00C74129&quot;/&gt;&lt;wsp:rsid wsp:val=&quot;00C746E7&quot;/&gt;&lt;wsp:rsid wsp:val=&quot;00C7480E&quot;/&gt;&lt;wsp:rsid wsp:val=&quot;00C74A85&quot;/&gt;&lt;wsp:rsid wsp:val=&quot;00C74F88&quot;/&gt;&lt;wsp:rsid wsp:val=&quot;00C75502&quot;/&gt;&lt;wsp:rsid wsp:val=&quot;00C7580C&quot;/&gt;&lt;wsp:rsid wsp:val=&quot;00C75A4C&quot;/&gt;&lt;wsp:rsid wsp:val=&quot;00C76492&quot;/&gt;&lt;wsp:rsid wsp:val=&quot;00C764B2&quot;/&gt;&lt;wsp:rsid wsp:val=&quot;00C769F2&quot;/&gt;&lt;wsp:rsid wsp:val=&quot;00C76EDE&quot;/&gt;&lt;wsp:rsid wsp:val=&quot;00C771DD&quot;/&gt;&lt;wsp:rsid wsp:val=&quot;00C77671&quot;/&gt;&lt;wsp:rsid wsp:val=&quot;00C77F5C&quot;/&gt;&lt;wsp:rsid wsp:val=&quot;00C800F2&quot;/&gt;&lt;wsp:rsid wsp:val=&quot;00C8034F&quot;/&gt;&lt;wsp:rsid wsp:val=&quot;00C80A04&quot;/&gt;&lt;wsp:rsid wsp:val=&quot;00C812AF&quot;/&gt;&lt;wsp:rsid wsp:val=&quot;00C81486&quot;/&gt;&lt;wsp:rsid wsp:val=&quot;00C81CB5&quot;/&gt;&lt;wsp:rsid wsp:val=&quot;00C8243F&quot;/&gt;&lt;wsp:rsid wsp:val=&quot;00C83138&quot;/&gt;&lt;wsp:rsid wsp:val=&quot;00C8379F&quot;/&gt;&lt;wsp:rsid wsp:val=&quot;00C83A43&quot;/&gt;&lt;wsp:rsid wsp:val=&quot;00C83F90&quot;/&gt;&lt;wsp:rsid wsp:val=&quot;00C84259&quot;/&gt;&lt;wsp:rsid wsp:val=&quot;00C843F6&quot;/&gt;&lt;wsp:rsid wsp:val=&quot;00C84AEA&quot;/&gt;&lt;wsp:rsid wsp:val=&quot;00C84C16&quot;/&gt;&lt;wsp:rsid wsp:val=&quot;00C84D06&quot;/&gt;&lt;wsp:rsid wsp:val=&quot;00C84FD0&quot;/&gt;&lt;wsp:rsid wsp:val=&quot;00C85479&quot;/&gt;&lt;wsp:rsid wsp:val=&quot;00C859EE&quot;/&gt;&lt;wsp:rsid wsp:val=&quot;00C85A54&quot;/&gt;&lt;wsp:rsid wsp:val=&quot;00C85C60&quot;/&gt;&lt;wsp:rsid wsp:val=&quot;00C85D44&quot;/&gt;&lt;wsp:rsid wsp:val=&quot;00C85E37&quot;/&gt;&lt;wsp:rsid wsp:val=&quot;00C8606D&quot;/&gt;&lt;wsp:rsid wsp:val=&quot;00C863E9&quot;/&gt;&lt;wsp:rsid wsp:val=&quot;00C86ECA&quot;/&gt;&lt;wsp:rsid wsp:val=&quot;00C8760A&quot;/&gt;&lt;wsp:rsid wsp:val=&quot;00C87C14&quot;/&gt;&lt;wsp:rsid wsp:val=&quot;00C87CFF&quot;/&gt;&lt;wsp:rsid wsp:val=&quot;00C87E67&quot;/&gt;&lt;wsp:rsid wsp:val=&quot;00C87EBD&quot;/&gt;&lt;wsp:rsid wsp:val=&quot;00C907EB&quot;/&gt;&lt;wsp:rsid wsp:val=&quot;00C908EF&quot;/&gt;&lt;wsp:rsid wsp:val=&quot;00C90B9F&quot;/&gt;&lt;wsp:rsid wsp:val=&quot;00C9110A&quot;/&gt;&lt;wsp:rsid wsp:val=&quot;00C91415&quot;/&gt;&lt;wsp:rsid wsp:val=&quot;00C917E5&quot;/&gt;&lt;wsp:rsid wsp:val=&quot;00C91F37&quot;/&gt;&lt;wsp:rsid wsp:val=&quot;00C91F8B&quot;/&gt;&lt;wsp:rsid wsp:val=&quot;00C92241&quot;/&gt;&lt;wsp:rsid wsp:val=&quot;00C92A6B&quot;/&gt;&lt;wsp:rsid wsp:val=&quot;00C92B85&quot;/&gt;&lt;wsp:rsid wsp:val=&quot;00C92F53&quot;/&gt;&lt;wsp:rsid wsp:val=&quot;00C931FE&quot;/&gt;&lt;wsp:rsid wsp:val=&quot;00C93238&quot;/&gt;&lt;wsp:rsid wsp:val=&quot;00C933B8&quot;/&gt;&lt;wsp:rsid wsp:val=&quot;00C933D2&quot;/&gt;&lt;wsp:rsid wsp:val=&quot;00C943B9&quot;/&gt;&lt;wsp:rsid wsp:val=&quot;00C94D96&quot;/&gt;&lt;wsp:rsid wsp:val=&quot;00C9509A&quot;/&gt;&lt;wsp:rsid wsp:val=&quot;00C955E3&quot;/&gt;&lt;wsp:rsid wsp:val=&quot;00C96835&quot;/&gt;&lt;wsp:rsid wsp:val=&quot;00C96A9B&quot;/&gt;&lt;wsp:rsid wsp:val=&quot;00C96F59&quot;/&gt;&lt;wsp:rsid wsp:val=&quot;00C97485&quot;/&gt;&lt;wsp:rsid wsp:val=&quot;00C975A8&quot;/&gt;&lt;wsp:rsid wsp:val=&quot;00C97AF5&quot;/&gt;&lt;wsp:rsid wsp:val=&quot;00CA001C&quot;/&gt;&lt;wsp:rsid wsp:val=&quot;00CA01BC&quot;/&gt;&lt;wsp:rsid wsp:val=&quot;00CA0ABE&quot;/&gt;&lt;wsp:rsid wsp:val=&quot;00CA0EE9&quot;/&gt;&lt;wsp:rsid wsp:val=&quot;00CA1535&quot;/&gt;&lt;wsp:rsid wsp:val=&quot;00CA21F9&quot;/&gt;&lt;wsp:rsid wsp:val=&quot;00CA2376&quot;/&gt;&lt;wsp:rsid wsp:val=&quot;00CA317C&quot;/&gt;&lt;wsp:rsid wsp:val=&quot;00CA39B2&quot;/&gt;&lt;wsp:rsid wsp:val=&quot;00CA3AAF&quot;/&gt;&lt;wsp:rsid wsp:val=&quot;00CA3E82&quot;/&gt;&lt;wsp:rsid wsp:val=&quot;00CA412A&quot;/&gt;&lt;wsp:rsid wsp:val=&quot;00CA430A&quot;/&gt;&lt;wsp:rsid wsp:val=&quot;00CA45A0&quot;/&gt;&lt;wsp:rsid wsp:val=&quot;00CA4716&quot;/&gt;&lt;wsp:rsid wsp:val=&quot;00CA4AED&quot;/&gt;&lt;wsp:rsid wsp:val=&quot;00CA502F&quot;/&gt;&lt;wsp:rsid wsp:val=&quot;00CA5083&quot;/&gt;&lt;wsp:rsid wsp:val=&quot;00CA5326&quot;/&gt;&lt;wsp:rsid wsp:val=&quot;00CA5463&quot;/&gt;&lt;wsp:rsid wsp:val=&quot;00CA5694&quot;/&gt;&lt;wsp:rsid wsp:val=&quot;00CA5F4B&quot;/&gt;&lt;wsp:rsid wsp:val=&quot;00CA6F3B&quot;/&gt;&lt;wsp:rsid wsp:val=&quot;00CA7657&quot;/&gt;&lt;wsp:rsid wsp:val=&quot;00CA7FDD&quot;/&gt;&lt;wsp:rsid wsp:val=&quot;00CB021B&quot;/&gt;&lt;wsp:rsid wsp:val=&quot;00CB023E&quot;/&gt;&lt;wsp:rsid wsp:val=&quot;00CB05E8&quot;/&gt;&lt;wsp:rsid wsp:val=&quot;00CB0C4D&quot;/&gt;&lt;wsp:rsid wsp:val=&quot;00CB0CEE&quot;/&gt;&lt;wsp:rsid wsp:val=&quot;00CB0DF0&quot;/&gt;&lt;wsp:rsid wsp:val=&quot;00CB11E0&quot;/&gt;&lt;wsp:rsid wsp:val=&quot;00CB13A3&quot;/&gt;&lt;wsp:rsid wsp:val=&quot;00CB13EA&quot;/&gt;&lt;wsp:rsid wsp:val=&quot;00CB1490&quot;/&gt;&lt;wsp:rsid wsp:val=&quot;00CB1591&quot;/&gt;&lt;wsp:rsid wsp:val=&quot;00CB1924&quot;/&gt;&lt;wsp:rsid wsp:val=&quot;00CB1DD2&quot;/&gt;&lt;wsp:rsid wsp:val=&quot;00CB2915&quot;/&gt;&lt;wsp:rsid wsp:val=&quot;00CB2E41&quot;/&gt;&lt;wsp:rsid wsp:val=&quot;00CB2F87&quot;/&gt;&lt;wsp:rsid wsp:val=&quot;00CB3523&quot;/&gt;&lt;wsp:rsid wsp:val=&quot;00CB3D78&quot;/&gt;&lt;wsp:rsid wsp:val=&quot;00CB4541&quot;/&gt;&lt;wsp:rsid wsp:val=&quot;00CB4ABE&quot;/&gt;&lt;wsp:rsid wsp:val=&quot;00CB4E9E&quot;/&gt;&lt;wsp:rsid wsp:val=&quot;00CB5FAA&quot;/&gt;&lt;wsp:rsid wsp:val=&quot;00CB607E&quot;/&gt;&lt;wsp:rsid wsp:val=&quot;00CB6112&quot;/&gt;&lt;wsp:rsid wsp:val=&quot;00CB65FF&quot;/&gt;&lt;wsp:rsid wsp:val=&quot;00CB68DF&quot;/&gt;&lt;wsp:rsid wsp:val=&quot;00CB70A6&quot;/&gt;&lt;wsp:rsid wsp:val=&quot;00CB7214&quot;/&gt;&lt;wsp:rsid wsp:val=&quot;00CB7577&quot;/&gt;&lt;wsp:rsid wsp:val=&quot;00CB7914&quot;/&gt;&lt;wsp:rsid wsp:val=&quot;00CB7EAC&quot;/&gt;&lt;wsp:rsid wsp:val=&quot;00CC0607&quot;/&gt;&lt;wsp:rsid wsp:val=&quot;00CC0DEB&quot;/&gt;&lt;wsp:rsid wsp:val=&quot;00CC1308&quot;/&gt;&lt;wsp:rsid wsp:val=&quot;00CC1425&quot;/&gt;&lt;wsp:rsid wsp:val=&quot;00CC162D&quot;/&gt;&lt;wsp:rsid wsp:val=&quot;00CC1750&quot;/&gt;&lt;wsp:rsid wsp:val=&quot;00CC1B59&quot;/&gt;&lt;wsp:rsid wsp:val=&quot;00CC1B6C&quot;/&gt;&lt;wsp:rsid wsp:val=&quot;00CC1BB0&quot;/&gt;&lt;wsp:rsid wsp:val=&quot;00CC1D33&quot;/&gt;&lt;wsp:rsid wsp:val=&quot;00CC259F&quot;/&gt;&lt;wsp:rsid wsp:val=&quot;00CC2AB0&quot;/&gt;&lt;wsp:rsid wsp:val=&quot;00CC3AD3&quot;/&gt;&lt;wsp:rsid wsp:val=&quot;00CC3D3F&quot;/&gt;&lt;wsp:rsid wsp:val=&quot;00CC42C4&quot;/&gt;&lt;wsp:rsid wsp:val=&quot;00CC4951&quot;/&gt;&lt;wsp:rsid wsp:val=&quot;00CC5005&quot;/&gt;&lt;wsp:rsid wsp:val=&quot;00CC51C0&quot;/&gt;&lt;wsp:rsid wsp:val=&quot;00CC5356&quot;/&gt;&lt;wsp:rsid wsp:val=&quot;00CC630F&quot;/&gt;&lt;wsp:rsid wsp:val=&quot;00CC6480&quot;/&gt;&lt;wsp:rsid wsp:val=&quot;00CC69D2&quot;/&gt;&lt;wsp:rsid wsp:val=&quot;00CC7081&quot;/&gt;&lt;wsp:rsid wsp:val=&quot;00CC70C9&quot;/&gt;&lt;wsp:rsid wsp:val=&quot;00CC757A&quot;/&gt;&lt;wsp:rsid wsp:val=&quot;00CC7F0A&quot;/&gt;&lt;wsp:rsid wsp:val=&quot;00CD04DC&quot;/&gt;&lt;wsp:rsid wsp:val=&quot;00CD0654&quot;/&gt;&lt;wsp:rsid wsp:val=&quot;00CD0DBD&quot;/&gt;&lt;wsp:rsid wsp:val=&quot;00CD126F&quot;/&gt;&lt;wsp:rsid wsp:val=&quot;00CD13A9&quot;/&gt;&lt;wsp:rsid wsp:val=&quot;00CD1C5C&quot;/&gt;&lt;wsp:rsid wsp:val=&quot;00CD1D38&quot;/&gt;&lt;wsp:rsid wsp:val=&quot;00CD1DD8&quot;/&gt;&lt;wsp:rsid wsp:val=&quot;00CD2737&quot;/&gt;&lt;wsp:rsid wsp:val=&quot;00CD2CBE&quot;/&gt;&lt;wsp:rsid wsp:val=&quot;00CD3100&quot;/&gt;&lt;wsp:rsid wsp:val=&quot;00CD33EE&quot;/&gt;&lt;wsp:rsid wsp:val=&quot;00CD352F&quot;/&gt;&lt;wsp:rsid wsp:val=&quot;00CD35C6&quot;/&gt;&lt;wsp:rsid wsp:val=&quot;00CD3656&quot;/&gt;&lt;wsp:rsid wsp:val=&quot;00CD39AB&quot;/&gt;&lt;wsp:rsid wsp:val=&quot;00CD4624&quot;/&gt;&lt;wsp:rsid wsp:val=&quot;00CD46C0&quot;/&gt;&lt;wsp:rsid wsp:val=&quot;00CD4C1E&quot;/&gt;&lt;wsp:rsid wsp:val=&quot;00CD56E5&quot;/&gt;&lt;wsp:rsid wsp:val=&quot;00CD59B4&quot;/&gt;&lt;wsp:rsid wsp:val=&quot;00CD5AEC&quot;/&gt;&lt;wsp:rsid wsp:val=&quot;00CD5CE9&quot;/&gt;&lt;wsp:rsid wsp:val=&quot;00CD6421&quot;/&gt;&lt;wsp:rsid wsp:val=&quot;00CD65F7&quot;/&gt;&lt;wsp:rsid wsp:val=&quot;00CD664C&quot;/&gt;&lt;wsp:rsid wsp:val=&quot;00CD6688&quot;/&gt;&lt;wsp:rsid wsp:val=&quot;00CD6BB6&quot;/&gt;&lt;wsp:rsid wsp:val=&quot;00CD6C1B&quot;/&gt;&lt;wsp:rsid wsp:val=&quot;00CD75CB&quot;/&gt;&lt;wsp:rsid wsp:val=&quot;00CD79D2&quot;/&gt;&lt;wsp:rsid wsp:val=&quot;00CE0380&quot;/&gt;&lt;wsp:rsid wsp:val=&quot;00CE0870&quot;/&gt;&lt;wsp:rsid wsp:val=&quot;00CE0F5B&quot;/&gt;&lt;wsp:rsid wsp:val=&quot;00CE0FB5&quot;/&gt;&lt;wsp:rsid wsp:val=&quot;00CE1246&quot;/&gt;&lt;wsp:rsid wsp:val=&quot;00CE1704&quot;/&gt;&lt;wsp:rsid wsp:val=&quot;00CE250C&quot;/&gt;&lt;wsp:rsid wsp:val=&quot;00CE2717&quot;/&gt;&lt;wsp:rsid wsp:val=&quot;00CE2BD4&quot;/&gt;&lt;wsp:rsid wsp:val=&quot;00CE2DFC&quot;/&gt;&lt;wsp:rsid wsp:val=&quot;00CE3154&quot;/&gt;&lt;wsp:rsid wsp:val=&quot;00CE3359&quot;/&gt;&lt;wsp:rsid wsp:val=&quot;00CE4038&quot;/&gt;&lt;wsp:rsid wsp:val=&quot;00CE4AC6&quot;/&gt;&lt;wsp:rsid wsp:val=&quot;00CE4B67&quot;/&gt;&lt;wsp:rsid wsp:val=&quot;00CE505E&quot;/&gt;&lt;wsp:rsid wsp:val=&quot;00CE5625&quot;/&gt;&lt;wsp:rsid wsp:val=&quot;00CE5665&quot;/&gt;&lt;wsp:rsid wsp:val=&quot;00CE5B25&quot;/&gt;&lt;wsp:rsid wsp:val=&quot;00CE5E82&quot;/&gt;&lt;wsp:rsid wsp:val=&quot;00CE67DA&quot;/&gt;&lt;wsp:rsid wsp:val=&quot;00CE6A2D&quot;/&gt;&lt;wsp:rsid wsp:val=&quot;00CE73F7&quot;/&gt;&lt;wsp:rsid wsp:val=&quot;00CE7542&quot;/&gt;&lt;wsp:rsid wsp:val=&quot;00CE793E&quot;/&gt;&lt;wsp:rsid wsp:val=&quot;00CE7B06&quot;/&gt;&lt;wsp:rsid wsp:val=&quot;00CE7E3B&quot;/&gt;&lt;wsp:rsid wsp:val=&quot;00CE7F90&quot;/&gt;&lt;wsp:rsid wsp:val=&quot;00CF02EC&quot;/&gt;&lt;wsp:rsid wsp:val=&quot;00CF09F4&quot;/&gt;&lt;wsp:rsid wsp:val=&quot;00CF0CCA&quot;/&gt;&lt;wsp:rsid wsp:val=&quot;00CF0FE2&quot;/&gt;&lt;wsp:rsid wsp:val=&quot;00CF114C&quot;/&gt;&lt;wsp:rsid wsp:val=&quot;00CF143A&quot;/&gt;&lt;wsp:rsid wsp:val=&quot;00CF1F89&quot;/&gt;&lt;wsp:rsid wsp:val=&quot;00CF229C&quot;/&gt;&lt;wsp:rsid wsp:val=&quot;00CF2609&quot;/&gt;&lt;wsp:rsid wsp:val=&quot;00CF2615&quot;/&gt;&lt;wsp:rsid wsp:val=&quot;00CF2651&quot;/&gt;&lt;wsp:rsid wsp:val=&quot;00CF26CE&quot;/&gt;&lt;wsp:rsid wsp:val=&quot;00CF2994&quot;/&gt;&lt;wsp:rsid wsp:val=&quot;00CF3782&quot;/&gt;&lt;wsp:rsid wsp:val=&quot;00CF3C0C&quot;/&gt;&lt;wsp:rsid wsp:val=&quot;00CF441E&quot;/&gt;&lt;wsp:rsid wsp:val=&quot;00CF446C&quot;/&gt;&lt;wsp:rsid wsp:val=&quot;00CF4616&quot;/&gt;&lt;wsp:rsid wsp:val=&quot;00CF484F&quot;/&gt;&lt;wsp:rsid wsp:val=&quot;00CF4B3E&quot;/&gt;&lt;wsp:rsid wsp:val=&quot;00CF4C29&quot;/&gt;&lt;wsp:rsid wsp:val=&quot;00CF5493&quot;/&gt;&lt;wsp:rsid wsp:val=&quot;00CF659D&quot;/&gt;&lt;wsp:rsid wsp:val=&quot;00CF6957&quot;/&gt;&lt;wsp:rsid wsp:val=&quot;00CF7B29&quot;/&gt;&lt;wsp:rsid wsp:val=&quot;00CF7F58&quot;/&gt;&lt;wsp:rsid wsp:val=&quot;00D00110&quot;/&gt;&lt;wsp:rsid wsp:val=&quot;00D003E7&quot;/&gt;&lt;wsp:rsid wsp:val=&quot;00D00496&quot;/&gt;&lt;wsp:rsid wsp:val=&quot;00D008C0&quot;/&gt;&lt;wsp:rsid wsp:val=&quot;00D0182D&quot;/&gt;&lt;wsp:rsid wsp:val=&quot;00D01F7D&quot;/&gt;&lt;wsp:rsid wsp:val=&quot;00D01FC4&quot;/&gt;&lt;wsp:rsid wsp:val=&quot;00D021A2&quot;/&gt;&lt;wsp:rsid wsp:val=&quot;00D02382&quot;/&gt;&lt;wsp:rsid wsp:val=&quot;00D02841&quot;/&gt;&lt;wsp:rsid wsp:val=&quot;00D02D7C&quot;/&gt;&lt;wsp:rsid wsp:val=&quot;00D02F1C&quot;/&gt;&lt;wsp:rsid wsp:val=&quot;00D03115&quot;/&gt;&lt;wsp:rsid wsp:val=&quot;00D03436&quot;/&gt;&lt;wsp:rsid wsp:val=&quot;00D0387E&quot;/&gt;&lt;wsp:rsid wsp:val=&quot;00D03FAC&quot;/&gt;&lt;wsp:rsid wsp:val=&quot;00D03FE8&quot;/&gt;&lt;wsp:rsid wsp:val=&quot;00D04429&quot;/&gt;&lt;wsp:rsid wsp:val=&quot;00D047D0&quot;/&gt;&lt;wsp:rsid wsp:val=&quot;00D04B24&quot;/&gt;&lt;wsp:rsid wsp:val=&quot;00D05080&quot;/&gt;&lt;wsp:rsid wsp:val=&quot;00D054B1&quot;/&gt;&lt;wsp:rsid wsp:val=&quot;00D06174&quot;/&gt;&lt;wsp:rsid wsp:val=&quot;00D063BC&quot;/&gt;&lt;wsp:rsid wsp:val=&quot;00D066C4&quot;/&gt;&lt;wsp:rsid wsp:val=&quot;00D06866&quot;/&gt;&lt;wsp:rsid wsp:val=&quot;00D06C9F&quot;/&gt;&lt;wsp:rsid wsp:val=&quot;00D06E44&quot;/&gt;&lt;wsp:rsid wsp:val=&quot;00D072FB&quot;/&gt;&lt;wsp:rsid wsp:val=&quot;00D074F8&quot;/&gt;&lt;wsp:rsid wsp:val=&quot;00D07581&quot;/&gt;&lt;wsp:rsid wsp:val=&quot;00D07AB2&quot;/&gt;&lt;wsp:rsid wsp:val=&quot;00D07B9F&quot;/&gt;&lt;wsp:rsid wsp:val=&quot;00D106D2&quot;/&gt;&lt;wsp:rsid wsp:val=&quot;00D10B45&quot;/&gt;&lt;wsp:rsid wsp:val=&quot;00D1107C&quot;/&gt;&lt;wsp:rsid wsp:val=&quot;00D1143D&quot;/&gt;&lt;wsp:rsid wsp:val=&quot;00D1152D&quot;/&gt;&lt;wsp:rsid wsp:val=&quot;00D11922&quot;/&gt;&lt;wsp:rsid wsp:val=&quot;00D11A48&quot;/&gt;&lt;wsp:rsid wsp:val=&quot;00D123C5&quot;/&gt;&lt;wsp:rsid wsp:val=&quot;00D12657&quot;/&gt;&lt;wsp:rsid wsp:val=&quot;00D128FF&quot;/&gt;&lt;wsp:rsid wsp:val=&quot;00D12A1F&quot;/&gt;&lt;wsp:rsid wsp:val=&quot;00D12F15&quot;/&gt;&lt;wsp:rsid wsp:val=&quot;00D13E7A&quot;/&gt;&lt;wsp:rsid wsp:val=&quot;00D14279&quot;/&gt;&lt;wsp:rsid wsp:val=&quot;00D148AA&quot;/&gt;&lt;wsp:rsid wsp:val=&quot;00D148FC&quot;/&gt;&lt;wsp:rsid wsp:val=&quot;00D15199&quot;/&gt;&lt;wsp:rsid wsp:val=&quot;00D158AE&quot;/&gt;&lt;wsp:rsid wsp:val=&quot;00D15B02&quot;/&gt;&lt;wsp:rsid wsp:val=&quot;00D15C1B&quot;/&gt;&lt;wsp:rsid wsp:val=&quot;00D15E58&quot;/&gt;&lt;wsp:rsid wsp:val=&quot;00D15E5D&quot;/&gt;&lt;wsp:rsid wsp:val=&quot;00D15F2F&quot;/&gt;&lt;wsp:rsid wsp:val=&quot;00D161AF&quot;/&gt;&lt;wsp:rsid wsp:val=&quot;00D16209&quot;/&gt;&lt;wsp:rsid wsp:val=&quot;00D16359&quot;/&gt;&lt;wsp:rsid wsp:val=&quot;00D16BC8&quot;/&gt;&lt;wsp:rsid wsp:val=&quot;00D16BED&quot;/&gt;&lt;wsp:rsid wsp:val=&quot;00D16FF2&quot;/&gt;&lt;wsp:rsid wsp:val=&quot;00D17154&quot;/&gt;&lt;wsp:rsid wsp:val=&quot;00D1719F&quot;/&gt;&lt;wsp:rsid wsp:val=&quot;00D17240&quot;/&gt;&lt;wsp:rsid wsp:val=&quot;00D1758C&quot;/&gt;&lt;wsp:rsid wsp:val=&quot;00D17B23&quot;/&gt;&lt;wsp:rsid wsp:val=&quot;00D17B74&quot;/&gt;&lt;wsp:rsid wsp:val=&quot;00D200DB&quot;/&gt;&lt;wsp:rsid wsp:val=&quot;00D20202&quot;/&gt;&lt;wsp:rsid wsp:val=&quot;00D20682&quot;/&gt;&lt;wsp:rsid wsp:val=&quot;00D20B37&quot;/&gt;&lt;wsp:rsid wsp:val=&quot;00D20BE8&quot;/&gt;&lt;wsp:rsid wsp:val=&quot;00D21502&quot;/&gt;&lt;wsp:rsid wsp:val=&quot;00D21E04&quot;/&gt;&lt;wsp:rsid wsp:val=&quot;00D21F47&quot;/&gt;&lt;wsp:rsid wsp:val=&quot;00D22114&quot;/&gt;&lt;wsp:rsid wsp:val=&quot;00D227AB&quot;/&gt;&lt;wsp:rsid wsp:val=&quot;00D22885&quot;/&gt;&lt;wsp:rsid wsp:val=&quot;00D22905&quot;/&gt;&lt;wsp:rsid wsp:val=&quot;00D22FCC&quot;/&gt;&lt;wsp:rsid wsp:val=&quot;00D23086&quot;/&gt;&lt;wsp:rsid wsp:val=&quot;00D233FA&quot;/&gt;&lt;wsp:rsid wsp:val=&quot;00D234D4&quot;/&gt;&lt;wsp:rsid wsp:val=&quot;00D24D9E&quot;/&gt;&lt;wsp:rsid wsp:val=&quot;00D255D5&quot;/&gt;&lt;wsp:rsid wsp:val=&quot;00D25710&quot;/&gt;&lt;wsp:rsid wsp:val=&quot;00D25F3C&quot;/&gt;&lt;wsp:rsid wsp:val=&quot;00D26215&quot;/&gt;&lt;wsp:rsid wsp:val=&quot;00D279EB&quot;/&gt;&lt;wsp:rsid wsp:val=&quot;00D27BC8&quot;/&gt;&lt;wsp:rsid wsp:val=&quot;00D30031&quot;/&gt;&lt;wsp:rsid wsp:val=&quot;00D30304&quot;/&gt;&lt;wsp:rsid wsp:val=&quot;00D303E6&quot;/&gt;&lt;wsp:rsid wsp:val=&quot;00D30990&quot;/&gt;&lt;wsp:rsid wsp:val=&quot;00D3107B&quot;/&gt;&lt;wsp:rsid wsp:val=&quot;00D311A8&quot;/&gt;&lt;wsp:rsid wsp:val=&quot;00D314EA&quot;/&gt;&lt;wsp:rsid wsp:val=&quot;00D32050&quot;/&gt;&lt;wsp:rsid wsp:val=&quot;00D3210D&quot;/&gt;&lt;wsp:rsid wsp:val=&quot;00D32D29&quot;/&gt;&lt;wsp:rsid wsp:val=&quot;00D33046&quot;/&gt;&lt;wsp:rsid wsp:val=&quot;00D3344F&quot;/&gt;&lt;wsp:rsid wsp:val=&quot;00D33951&quot;/&gt;&lt;wsp:rsid wsp:val=&quot;00D33992&quot;/&gt;&lt;wsp:rsid wsp:val=&quot;00D3404A&quot;/&gt;&lt;wsp:rsid wsp:val=&quot;00D34B0E&quot;/&gt;&lt;wsp:rsid wsp:val=&quot;00D34D68&quot;/&gt;&lt;wsp:rsid wsp:val=&quot;00D3521C&quot;/&gt;&lt;wsp:rsid wsp:val=&quot;00D357ED&quot;/&gt;&lt;wsp:rsid wsp:val=&quot;00D3593B&quot;/&gt;&lt;wsp:rsid wsp:val=&quot;00D35CE6&quot;/&gt;&lt;wsp:rsid wsp:val=&quot;00D3615D&quot;/&gt;&lt;wsp:rsid wsp:val=&quot;00D36225&quot;/&gt;&lt;wsp:rsid wsp:val=&quot;00D3635F&quot;/&gt;&lt;wsp:rsid wsp:val=&quot;00D363A6&quot;/&gt;&lt;wsp:rsid wsp:val=&quot;00D369CB&quot;/&gt;&lt;wsp:rsid wsp:val=&quot;00D36C20&quot;/&gt;&lt;wsp:rsid wsp:val=&quot;00D3704F&quot;/&gt;&lt;wsp:rsid wsp:val=&quot;00D371FE&quot;/&gt;&lt;wsp:rsid wsp:val=&quot;00D375BC&quot;/&gt;&lt;wsp:rsid wsp:val=&quot;00D37BED&quot;/&gt;&lt;wsp:rsid wsp:val=&quot;00D37FC9&quot;/&gt;&lt;wsp:rsid wsp:val=&quot;00D4027F&quot;/&gt;&lt;wsp:rsid wsp:val=&quot;00D40BAC&quot;/&gt;&lt;wsp:rsid wsp:val=&quot;00D413EF&quot;/&gt;&lt;wsp:rsid wsp:val=&quot;00D4159E&quot;/&gt;&lt;wsp:rsid wsp:val=&quot;00D41860&quot;/&gt;&lt;wsp:rsid wsp:val=&quot;00D41A19&quot;/&gt;&lt;wsp:rsid wsp:val=&quot;00D42598&quot;/&gt;&lt;wsp:rsid wsp:val=&quot;00D42715&quot;/&gt;&lt;wsp:rsid wsp:val=&quot;00D428FC&quot;/&gt;&lt;wsp:rsid wsp:val=&quot;00D42C6F&quot;/&gt;&lt;wsp:rsid wsp:val=&quot;00D43754&quot;/&gt;&lt;wsp:rsid wsp:val=&quot;00D437D7&quot;/&gt;&lt;wsp:rsid wsp:val=&quot;00D43C0E&quot;/&gt;&lt;wsp:rsid wsp:val=&quot;00D44849&quot;/&gt;&lt;wsp:rsid wsp:val=&quot;00D448C0&quot;/&gt;&lt;wsp:rsid wsp:val=&quot;00D44C01&quot;/&gt;&lt;wsp:rsid wsp:val=&quot;00D44FA1&quot;/&gt;&lt;wsp:rsid wsp:val=&quot;00D4506E&quot;/&gt;&lt;wsp:rsid wsp:val=&quot;00D451F5&quot;/&gt;&lt;wsp:rsid wsp:val=&quot;00D4535F&quot;/&gt;&lt;wsp:rsid wsp:val=&quot;00D454A3&quot;/&gt;&lt;wsp:rsid wsp:val=&quot;00D45927&quot;/&gt;&lt;wsp:rsid wsp:val=&quot;00D4599C&quot;/&gt;&lt;wsp:rsid wsp:val=&quot;00D45A96&quot;/&gt;&lt;wsp:rsid wsp:val=&quot;00D462FE&quot;/&gt;&lt;wsp:rsid wsp:val=&quot;00D464AD&quot;/&gt;&lt;wsp:rsid wsp:val=&quot;00D464D7&quot;/&gt;&lt;wsp:rsid wsp:val=&quot;00D4728E&quot;/&gt;&lt;wsp:rsid wsp:val=&quot;00D47407&quot;/&gt;&lt;wsp:rsid wsp:val=&quot;00D50182&quot;/&gt;&lt;wsp:rsid wsp:val=&quot;00D507F8&quot;/&gt;&lt;wsp:rsid wsp:val=&quot;00D5104A&quot;/&gt;&lt;wsp:rsid wsp:val=&quot;00D51380&quot;/&gt;&lt;wsp:rsid wsp:val=&quot;00D514C2&quot;/&gt;&lt;wsp:rsid wsp:val=&quot;00D51D6E&quot;/&gt;&lt;wsp:rsid wsp:val=&quot;00D52177&quot;/&gt;&lt;wsp:rsid wsp:val=&quot;00D52786&quot;/&gt;&lt;wsp:rsid wsp:val=&quot;00D53024&quot;/&gt;&lt;wsp:rsid wsp:val=&quot;00D53085&quot;/&gt;&lt;wsp:rsid wsp:val=&quot;00D531D9&quot;/&gt;&lt;wsp:rsid wsp:val=&quot;00D531DF&quot;/&gt;&lt;wsp:rsid wsp:val=&quot;00D534C8&quot;/&gt;&lt;wsp:rsid wsp:val=&quot;00D541D3&quot;/&gt;&lt;wsp:rsid wsp:val=&quot;00D54608&quot;/&gt;&lt;wsp:rsid wsp:val=&quot;00D54A11&quot;/&gt;&lt;wsp:rsid wsp:val=&quot;00D54AD8&quot;/&gt;&lt;wsp:rsid wsp:val=&quot;00D54D48&quot;/&gt;&lt;wsp:rsid wsp:val=&quot;00D55229&quot;/&gt;&lt;wsp:rsid wsp:val=&quot;00D553F4&quot;/&gt;&lt;wsp:rsid wsp:val=&quot;00D55436&quot;/&gt;&lt;wsp:rsid wsp:val=&quot;00D55B87&quot;/&gt;&lt;wsp:rsid wsp:val=&quot;00D55D6A&quot;/&gt;&lt;wsp:rsid wsp:val=&quot;00D55E18&quot;/&gt;&lt;wsp:rsid wsp:val=&quot;00D55F89&quot;/&gt;&lt;wsp:rsid wsp:val=&quot;00D5684D&quot;/&gt;&lt;wsp:rsid wsp:val=&quot;00D568FF&quot;/&gt;&lt;wsp:rsid wsp:val=&quot;00D56D9C&quot;/&gt;&lt;wsp:rsid wsp:val=&quot;00D56DDD&quot;/&gt;&lt;wsp:rsid wsp:val=&quot;00D571CD&quot;/&gt;&lt;wsp:rsid wsp:val=&quot;00D57C96&quot;/&gt;&lt;wsp:rsid wsp:val=&quot;00D6000D&quot;/&gt;&lt;wsp:rsid wsp:val=&quot;00D609E3&quot;/&gt;&lt;wsp:rsid wsp:val=&quot;00D60A22&quot;/&gt;&lt;wsp:rsid wsp:val=&quot;00D60BCF&quot;/&gt;&lt;wsp:rsid wsp:val=&quot;00D60CCB&quot;/&gt;&lt;wsp:rsid wsp:val=&quot;00D60F9F&quot;/&gt;&lt;wsp:rsid wsp:val=&quot;00D610ED&quot;/&gt;&lt;wsp:rsid wsp:val=&quot;00D61683&quot;/&gt;&lt;wsp:rsid wsp:val=&quot;00D61749&quot;/&gt;&lt;wsp:rsid wsp:val=&quot;00D6197E&quot;/&gt;&lt;wsp:rsid wsp:val=&quot;00D61AA6&quot;/&gt;&lt;wsp:rsid wsp:val=&quot;00D61FB1&quot;/&gt;&lt;wsp:rsid wsp:val=&quot;00D621ED&quot;/&gt;&lt;wsp:rsid wsp:val=&quot;00D625CC&quot;/&gt;&lt;wsp:rsid wsp:val=&quot;00D62749&quot;/&gt;&lt;wsp:rsid wsp:val=&quot;00D62919&quot;/&gt;&lt;wsp:rsid wsp:val=&quot;00D62F1A&quot;/&gt;&lt;wsp:rsid wsp:val=&quot;00D63214&quot;/&gt;&lt;wsp:rsid wsp:val=&quot;00D638C9&quot;/&gt;&lt;wsp:rsid wsp:val=&quot;00D63DFD&quot;/&gt;&lt;wsp:rsid wsp:val=&quot;00D6460F&quot;/&gt;&lt;wsp:rsid wsp:val=&quot;00D64670&quot;/&gt;&lt;wsp:rsid wsp:val=&quot;00D64AD9&quot;/&gt;&lt;wsp:rsid wsp:val=&quot;00D64ECC&quot;/&gt;&lt;wsp:rsid wsp:val=&quot;00D652B4&quot;/&gt;&lt;wsp:rsid wsp:val=&quot;00D6560F&quot;/&gt;&lt;wsp:rsid wsp:val=&quot;00D65C82&quot;/&gt;&lt;wsp:rsid wsp:val=&quot;00D65F3F&quot;/&gt;&lt;wsp:rsid wsp:val=&quot;00D66048&quot;/&gt;&lt;wsp:rsid wsp:val=&quot;00D6631E&quot;/&gt;&lt;wsp:rsid wsp:val=&quot;00D66A4C&quot;/&gt;&lt;wsp:rsid wsp:val=&quot;00D66E12&quot;/&gt;&lt;wsp:rsid wsp:val=&quot;00D6717B&quot;/&gt;&lt;wsp:rsid wsp:val=&quot;00D671AC&quot;/&gt;&lt;wsp:rsid wsp:val=&quot;00D6768A&quot;/&gt;&lt;wsp:rsid wsp:val=&quot;00D67BC4&quot;/&gt;&lt;wsp:rsid wsp:val=&quot;00D67DA6&quot;/&gt;&lt;wsp:rsid wsp:val=&quot;00D70BE1&quot;/&gt;&lt;wsp:rsid wsp:val=&quot;00D70F6B&quot;/&gt;&lt;wsp:rsid wsp:val=&quot;00D717D2&quot;/&gt;&lt;wsp:rsid wsp:val=&quot;00D71814&quot;/&gt;&lt;wsp:rsid wsp:val=&quot;00D71B07&quot;/&gt;&lt;wsp:rsid wsp:val=&quot;00D720E8&quot;/&gt;&lt;wsp:rsid wsp:val=&quot;00D72159&quot;/&gt;&lt;wsp:rsid wsp:val=&quot;00D7266A&quot;/&gt;&lt;wsp:rsid wsp:val=&quot;00D72711&quot;/&gt;&lt;wsp:rsid wsp:val=&quot;00D72917&quot;/&gt;&lt;wsp:rsid wsp:val=&quot;00D72DF4&quot;/&gt;&lt;wsp:rsid wsp:val=&quot;00D72EA6&quot;/&gt;&lt;wsp:rsid wsp:val=&quot;00D72F77&quot;/&gt;&lt;wsp:rsid wsp:val=&quot;00D73036&quot;/&gt;&lt;wsp:rsid wsp:val=&quot;00D731D9&quot;/&gt;&lt;wsp:rsid wsp:val=&quot;00D7320F&quot;/&gt;&lt;wsp:rsid wsp:val=&quot;00D73858&quot;/&gt;&lt;wsp:rsid wsp:val=&quot;00D73938&quot;/&gt;&lt;wsp:rsid wsp:val=&quot;00D739DA&quot;/&gt;&lt;wsp:rsid wsp:val=&quot;00D73ED7&quot;/&gt;&lt;wsp:rsid wsp:val=&quot;00D740FD&quot;/&gt;&lt;wsp:rsid wsp:val=&quot;00D74D28&quot;/&gt;&lt;wsp:rsid wsp:val=&quot;00D75928&quot;/&gt;&lt;wsp:rsid wsp:val=&quot;00D75A84&quot;/&gt;&lt;wsp:rsid wsp:val=&quot;00D75B33&quot;/&gt;&lt;wsp:rsid wsp:val=&quot;00D75E24&quot;/&gt;&lt;wsp:rsid wsp:val=&quot;00D761E9&quot;/&gt;&lt;wsp:rsid wsp:val=&quot;00D76263&quot;/&gt;&lt;wsp:rsid wsp:val=&quot;00D763CE&quot;/&gt;&lt;wsp:rsid wsp:val=&quot;00D76C02&quot;/&gt;&lt;wsp:rsid wsp:val=&quot;00D77C2F&quot;/&gt;&lt;wsp:rsid wsp:val=&quot;00D77C5E&quot;/&gt;&lt;wsp:rsid wsp:val=&quot;00D8008F&quot;/&gt;&lt;wsp:rsid wsp:val=&quot;00D80115&quot;/&gt;&lt;wsp:rsid wsp:val=&quot;00D806C6&quot;/&gt;&lt;wsp:rsid wsp:val=&quot;00D80EF1&quot;/&gt;&lt;wsp:rsid wsp:val=&quot;00D816FD&quot;/&gt;&lt;wsp:rsid wsp:val=&quot;00D81A80&quot;/&gt;&lt;wsp:rsid wsp:val=&quot;00D81AF9&quot;/&gt;&lt;wsp:rsid wsp:val=&quot;00D82185&quot;/&gt;&lt;wsp:rsid wsp:val=&quot;00D8221F&quot;/&gt;&lt;wsp:rsid wsp:val=&quot;00D827BE&quot;/&gt;&lt;wsp:rsid wsp:val=&quot;00D82BFA&quot;/&gt;&lt;wsp:rsid wsp:val=&quot;00D82CE4&quot;/&gt;&lt;wsp:rsid wsp:val=&quot;00D82DED&quot;/&gt;&lt;wsp:rsid wsp:val=&quot;00D82EA9&quot;/&gt;&lt;wsp:rsid wsp:val=&quot;00D8303D&quot;/&gt;&lt;wsp:rsid wsp:val=&quot;00D83ABE&quot;/&gt;&lt;wsp:rsid wsp:val=&quot;00D84076&quot;/&gt;&lt;wsp:rsid wsp:val=&quot;00D840E7&quot;/&gt;&lt;wsp:rsid wsp:val=&quot;00D84B7C&quot;/&gt;&lt;wsp:rsid wsp:val=&quot;00D84C3D&quot;/&gt;&lt;wsp:rsid wsp:val=&quot;00D857D7&quot;/&gt;&lt;wsp:rsid wsp:val=&quot;00D86B3B&quot;/&gt;&lt;wsp:rsid wsp:val=&quot;00D86BDE&quot;/&gt;&lt;wsp:rsid wsp:val=&quot;00D87322&quot;/&gt;&lt;wsp:rsid wsp:val=&quot;00D87462&quot;/&gt;&lt;wsp:rsid wsp:val=&quot;00D87743&quot;/&gt;&lt;wsp:rsid wsp:val=&quot;00D87AB8&quot;/&gt;&lt;wsp:rsid wsp:val=&quot;00D9049A&quot;/&gt;&lt;wsp:rsid wsp:val=&quot;00D905A0&quot;/&gt;&lt;wsp:rsid wsp:val=&quot;00D909ED&quot;/&gt;&lt;wsp:rsid wsp:val=&quot;00D90C72&quot;/&gt;&lt;wsp:rsid wsp:val=&quot;00D912ED&quot;/&gt;&lt;wsp:rsid wsp:val=&quot;00D9158D&quot;/&gt;&lt;wsp:rsid wsp:val=&quot;00D91CA0&quot;/&gt;&lt;wsp:rsid wsp:val=&quot;00D91F58&quot;/&gt;&lt;wsp:rsid wsp:val=&quot;00D9233A&quot;/&gt;&lt;wsp:rsid wsp:val=&quot;00D92AF2&quot;/&gt;&lt;wsp:rsid wsp:val=&quot;00D92B7F&quot;/&gt;&lt;wsp:rsid wsp:val=&quot;00D93577&quot;/&gt;&lt;wsp:rsid wsp:val=&quot;00D93738&quot;/&gt;&lt;wsp:rsid wsp:val=&quot;00D937A2&quot;/&gt;&lt;wsp:rsid wsp:val=&quot;00D93D73&quot;/&gt;&lt;wsp:rsid wsp:val=&quot;00D93DD9&quot;/&gt;&lt;wsp:rsid wsp:val=&quot;00D93F02&quot;/&gt;&lt;wsp:rsid wsp:val=&quot;00D94020&quot;/&gt;&lt;wsp:rsid wsp:val=&quot;00D9411E&quot;/&gt;&lt;wsp:rsid wsp:val=&quot;00D942FD&quot;/&gt;&lt;wsp:rsid wsp:val=&quot;00D947F6&quot;/&gt;&lt;wsp:rsid wsp:val=&quot;00D94E79&quot;/&gt;&lt;wsp:rsid wsp:val=&quot;00D95526&quot;/&gt;&lt;wsp:rsid wsp:val=&quot;00D960EC&quot;/&gt;&lt;wsp:rsid wsp:val=&quot;00D962CE&quot;/&gt;&lt;wsp:rsid wsp:val=&quot;00D96D8B&quot;/&gt;&lt;wsp:rsid wsp:val=&quot;00D9709A&quot;/&gt;&lt;wsp:rsid wsp:val=&quot;00D97947&quot;/&gt;&lt;wsp:rsid wsp:val=&quot;00DA0465&quot;/&gt;&lt;wsp:rsid wsp:val=&quot;00DA0589&quot;/&gt;&lt;wsp:rsid wsp:val=&quot;00DA08C4&quot;/&gt;&lt;wsp:rsid wsp:val=&quot;00DA0B0B&quot;/&gt;&lt;wsp:rsid wsp:val=&quot;00DA0B9D&quot;/&gt;&lt;wsp:rsid wsp:val=&quot;00DA0D86&quot;/&gt;&lt;wsp:rsid wsp:val=&quot;00DA15BA&quot;/&gt;&lt;wsp:rsid wsp:val=&quot;00DA1B4C&quot;/&gt;&lt;wsp:rsid wsp:val=&quot;00DA21C0&quot;/&gt;&lt;wsp:rsid wsp:val=&quot;00DA2532&quot;/&gt;&lt;wsp:rsid wsp:val=&quot;00DA2A0A&quot;/&gt;&lt;wsp:rsid wsp:val=&quot;00DA2B31&quot;/&gt;&lt;wsp:rsid wsp:val=&quot;00DA2BD2&quot;/&gt;&lt;wsp:rsid wsp:val=&quot;00DA31B0&quot;/&gt;&lt;wsp:rsid wsp:val=&quot;00DA3924&quot;/&gt;&lt;wsp:rsid wsp:val=&quot;00DA3F61&quot;/&gt;&lt;wsp:rsid wsp:val=&quot;00DA4707&quot;/&gt;&lt;wsp:rsid wsp:val=&quot;00DA5406&quot;/&gt;&lt;wsp:rsid wsp:val=&quot;00DA5410&quot;/&gt;&lt;wsp:rsid wsp:val=&quot;00DA5558&quot;/&gt;&lt;wsp:rsid wsp:val=&quot;00DA5AB8&quot;/&gt;&lt;wsp:rsid wsp:val=&quot;00DA6261&quot;/&gt;&lt;wsp:rsid wsp:val=&quot;00DA68B8&quot;/&gt;&lt;wsp:rsid wsp:val=&quot;00DA69EE&quot;/&gt;&lt;wsp:rsid wsp:val=&quot;00DA6AE3&quot;/&gt;&lt;wsp:rsid wsp:val=&quot;00DA6E8E&quot;/&gt;&lt;wsp:rsid wsp:val=&quot;00DA6EAA&quot;/&gt;&lt;wsp:rsid wsp:val=&quot;00DA6F9E&quot;/&gt;&lt;wsp:rsid wsp:val=&quot;00DA7288&quot;/&gt;&lt;wsp:rsid wsp:val=&quot;00DA77BE&quot;/&gt;&lt;wsp:rsid wsp:val=&quot;00DA7CBB&quot;/&gt;&lt;wsp:rsid wsp:val=&quot;00DA7CE8&quot;/&gt;&lt;wsp:rsid wsp:val=&quot;00DA7F4B&quot;/&gt;&lt;wsp:rsid wsp:val=&quot;00DB005C&quot;/&gt;&lt;wsp:rsid wsp:val=&quot;00DB0578&quot;/&gt;&lt;wsp:rsid wsp:val=&quot;00DB060E&quot;/&gt;&lt;wsp:rsid wsp:val=&quot;00DB0832&quot;/&gt;&lt;wsp:rsid wsp:val=&quot;00DB0DEB&quot;/&gt;&lt;wsp:rsid wsp:val=&quot;00DB0FD2&quot;/&gt;&lt;wsp:rsid wsp:val=&quot;00DB1048&quot;/&gt;&lt;wsp:rsid wsp:val=&quot;00DB1668&quot;/&gt;&lt;wsp:rsid wsp:val=&quot;00DB1AE8&quot;/&gt;&lt;wsp:rsid wsp:val=&quot;00DB1CEB&quot;/&gt;&lt;wsp:rsid wsp:val=&quot;00DB1D70&quot;/&gt;&lt;wsp:rsid wsp:val=&quot;00DB2583&quot;/&gt;&lt;wsp:rsid wsp:val=&quot;00DB2BD2&quot;/&gt;&lt;wsp:rsid wsp:val=&quot;00DB30ED&quot;/&gt;&lt;wsp:rsid wsp:val=&quot;00DB3127&quot;/&gt;&lt;wsp:rsid wsp:val=&quot;00DB3438&quot;/&gt;&lt;wsp:rsid wsp:val=&quot;00DB3C41&quot;/&gt;&lt;wsp:rsid wsp:val=&quot;00DB465F&quot;/&gt;&lt;wsp:rsid wsp:val=&quot;00DB6691&quot;/&gt;&lt;wsp:rsid wsp:val=&quot;00DB67AB&quot;/&gt;&lt;wsp:rsid wsp:val=&quot;00DB69B5&quot;/&gt;&lt;wsp:rsid wsp:val=&quot;00DB78F5&quot;/&gt;&lt;wsp:rsid wsp:val=&quot;00DC02B2&quot;/&gt;&lt;wsp:rsid wsp:val=&quot;00DC041C&quot;/&gt;&lt;wsp:rsid wsp:val=&quot;00DC089F&quot;/&gt;&lt;wsp:rsid wsp:val=&quot;00DC0F12&quot;/&gt;&lt;wsp:rsid wsp:val=&quot;00DC11A9&quot;/&gt;&lt;wsp:rsid wsp:val=&quot;00DC14D0&quot;/&gt;&lt;wsp:rsid wsp:val=&quot;00DC1DA6&quot;/&gt;&lt;wsp:rsid wsp:val=&quot;00DC24EC&quot;/&gt;&lt;wsp:rsid wsp:val=&quot;00DC263D&quot;/&gt;&lt;wsp:rsid wsp:val=&quot;00DC39B2&quot;/&gt;&lt;wsp:rsid wsp:val=&quot;00DC4252&quot;/&gt;&lt;wsp:rsid wsp:val=&quot;00DC4316&quot;/&gt;&lt;wsp:rsid wsp:val=&quot;00DC463A&quot;/&gt;&lt;wsp:rsid wsp:val=&quot;00DC47AE&quot;/&gt;&lt;wsp:rsid wsp:val=&quot;00DC4946&quot;/&gt;&lt;wsp:rsid wsp:val=&quot;00DC4EFD&quot;/&gt;&lt;wsp:rsid wsp:val=&quot;00DC59C9&quot;/&gt;&lt;wsp:rsid wsp:val=&quot;00DC6543&quot;/&gt;&lt;wsp:rsid wsp:val=&quot;00DC65B5&quot;/&gt;&lt;wsp:rsid wsp:val=&quot;00DC6941&quot;/&gt;&lt;wsp:rsid wsp:val=&quot;00DC6E5A&quot;/&gt;&lt;wsp:rsid wsp:val=&quot;00DC7885&quot;/&gt;&lt;wsp:rsid wsp:val=&quot;00DC78C4&quot;/&gt;&lt;wsp:rsid wsp:val=&quot;00DC7B6F&quot;/&gt;&lt;wsp:rsid wsp:val=&quot;00DD0246&quot;/&gt;&lt;wsp:rsid wsp:val=&quot;00DD0A70&quot;/&gt;&lt;wsp:rsid wsp:val=&quot;00DD0E58&quot;/&gt;&lt;wsp:rsid wsp:val=&quot;00DD1711&quot;/&gt;&lt;wsp:rsid wsp:val=&quot;00DD18E3&quot;/&gt;&lt;wsp:rsid wsp:val=&quot;00DD21F6&quot;/&gt;&lt;wsp:rsid wsp:val=&quot;00DD237A&quot;/&gt;&lt;wsp:rsid wsp:val=&quot;00DD25EE&quot;/&gt;&lt;wsp:rsid wsp:val=&quot;00DD2628&quot;/&gt;&lt;wsp:rsid wsp:val=&quot;00DD2795&quot;/&gt;&lt;wsp:rsid wsp:val=&quot;00DD2B5A&quot;/&gt;&lt;wsp:rsid wsp:val=&quot;00DD2BE0&quot;/&gt;&lt;wsp:rsid wsp:val=&quot;00DD2ED4&quot;/&gt;&lt;wsp:rsid wsp:val=&quot;00DD3337&quot;/&gt;&lt;wsp:rsid wsp:val=&quot;00DD460B&quot;/&gt;&lt;wsp:rsid wsp:val=&quot;00DD4684&quot;/&gt;&lt;wsp:rsid wsp:val=&quot;00DD493C&quot;/&gt;&lt;wsp:rsid wsp:val=&quot;00DD4A1A&quot;/&gt;&lt;wsp:rsid wsp:val=&quot;00DD4CC6&quot;/&gt;&lt;wsp:rsid wsp:val=&quot;00DD50A5&quot;/&gt;&lt;wsp:rsid wsp:val=&quot;00DD52CD&quot;/&gt;&lt;wsp:rsid wsp:val=&quot;00DD5454&quot;/&gt;&lt;wsp:rsid wsp:val=&quot;00DD58E5&quot;/&gt;&lt;wsp:rsid wsp:val=&quot;00DD5A0D&quot;/&gt;&lt;wsp:rsid wsp:val=&quot;00DD5FA7&quot;/&gt;&lt;wsp:rsid wsp:val=&quot;00DD60FC&quot;/&gt;&lt;wsp:rsid wsp:val=&quot;00DD6432&quot;/&gt;&lt;wsp:rsid wsp:val=&quot;00DD6C05&quot;/&gt;&lt;wsp:rsid wsp:val=&quot;00DD792A&quot;/&gt;&lt;wsp:rsid wsp:val=&quot;00DE0252&quot;/&gt;&lt;wsp:rsid wsp:val=&quot;00DE0711&quot;/&gt;&lt;wsp:rsid wsp:val=&quot;00DE0ECD&quot;/&gt;&lt;wsp:rsid wsp:val=&quot;00DE129C&quot;/&gt;&lt;wsp:rsid wsp:val=&quot;00DE14DE&quot;/&gt;&lt;wsp:rsid wsp:val=&quot;00DE1638&quot;/&gt;&lt;wsp:rsid wsp:val=&quot;00DE1699&quot;/&gt;&lt;wsp:rsid wsp:val=&quot;00DE1880&quot;/&gt;&lt;wsp:rsid wsp:val=&quot;00DE1935&quot;/&gt;&lt;wsp:rsid wsp:val=&quot;00DE1BE4&quot;/&gt;&lt;wsp:rsid wsp:val=&quot;00DE2B0D&quot;/&gt;&lt;wsp:rsid wsp:val=&quot;00DE2D43&quot;/&gt;&lt;wsp:rsid wsp:val=&quot;00DE377A&quot;/&gt;&lt;wsp:rsid wsp:val=&quot;00DE4271&quot;/&gt;&lt;wsp:rsid wsp:val=&quot;00DE453F&quot;/&gt;&lt;wsp:rsid wsp:val=&quot;00DE4590&quot;/&gt;&lt;wsp:rsid wsp:val=&quot;00DE45B5&quot;/&gt;&lt;wsp:rsid wsp:val=&quot;00DE4632&quot;/&gt;&lt;wsp:rsid wsp:val=&quot;00DE4A0E&quot;/&gt;&lt;wsp:rsid wsp:val=&quot;00DE4B59&quot;/&gt;&lt;wsp:rsid wsp:val=&quot;00DE4F72&quot;/&gt;&lt;wsp:rsid wsp:val=&quot;00DE5037&quot;/&gt;&lt;wsp:rsid wsp:val=&quot;00DE5287&quot;/&gt;&lt;wsp:rsid wsp:val=&quot;00DE55C6&quot;/&gt;&lt;wsp:rsid wsp:val=&quot;00DE6070&quot;/&gt;&lt;wsp:rsid wsp:val=&quot;00DE6142&quot;/&gt;&lt;wsp:rsid wsp:val=&quot;00DE6790&quot;/&gt;&lt;wsp:rsid wsp:val=&quot;00DE69E3&quot;/&gt;&lt;wsp:rsid wsp:val=&quot;00DE6FA7&quot;/&gt;&lt;wsp:rsid wsp:val=&quot;00DE731E&quot;/&gt;&lt;wsp:rsid wsp:val=&quot;00DE769F&quot;/&gt;&lt;wsp:rsid wsp:val=&quot;00DE7701&quot;/&gt;&lt;wsp:rsid wsp:val=&quot;00DE7726&quot;/&gt;&lt;wsp:rsid wsp:val=&quot;00DE793B&quot;/&gt;&lt;wsp:rsid wsp:val=&quot;00DE7CB7&quot;/&gt;&lt;wsp:rsid wsp:val=&quot;00DE7E7D&quot;/&gt;&lt;wsp:rsid wsp:val=&quot;00DF03D5&quot;/&gt;&lt;wsp:rsid wsp:val=&quot;00DF059A&quot;/&gt;&lt;wsp:rsid wsp:val=&quot;00DF06C5&quot;/&gt;&lt;wsp:rsid wsp:val=&quot;00DF0738&quot;/&gt;&lt;wsp:rsid wsp:val=&quot;00DF0866&quot;/&gt;&lt;wsp:rsid wsp:val=&quot;00DF0BF6&quot;/&gt;&lt;wsp:rsid wsp:val=&quot;00DF0CFC&quot;/&gt;&lt;wsp:rsid wsp:val=&quot;00DF10B1&quot;/&gt;&lt;wsp:rsid wsp:val=&quot;00DF1A2A&quot;/&gt;&lt;wsp:rsid wsp:val=&quot;00DF22D9&quot;/&gt;&lt;wsp:rsid wsp:val=&quot;00DF2339&quot;/&gt;&lt;wsp:rsid wsp:val=&quot;00DF25E9&quot;/&gt;&lt;wsp:rsid wsp:val=&quot;00DF2C22&quot;/&gt;&lt;wsp:rsid wsp:val=&quot;00DF3226&quot;/&gt;&lt;wsp:rsid wsp:val=&quot;00DF3536&quot;/&gt;&lt;wsp:rsid wsp:val=&quot;00DF36D5&quot;/&gt;&lt;wsp:rsid wsp:val=&quot;00DF3B61&quot;/&gt;&lt;wsp:rsid wsp:val=&quot;00DF4113&quot;/&gt;&lt;wsp:rsid wsp:val=&quot;00DF4CA4&quot;/&gt;&lt;wsp:rsid wsp:val=&quot;00DF57D2&quot;/&gt;&lt;wsp:rsid wsp:val=&quot;00DF5A1B&quot;/&gt;&lt;wsp:rsid wsp:val=&quot;00DF61CC&quot;/&gt;&lt;wsp:rsid wsp:val=&quot;00DF684E&quot;/&gt;&lt;wsp:rsid wsp:val=&quot;00DF6CE4&quot;/&gt;&lt;wsp:rsid wsp:val=&quot;00DF7481&quot;/&gt;&lt;wsp:rsid wsp:val=&quot;00DF7F0C&quot;/&gt;&lt;wsp:rsid wsp:val=&quot;00DF7FBC&quot;/&gt;&lt;wsp:rsid wsp:val=&quot;00E000AC&quot;/&gt;&lt;wsp:rsid wsp:val=&quot;00E00296&quot;/&gt;&lt;wsp:rsid wsp:val=&quot;00E00326&quot;/&gt;&lt;wsp:rsid wsp:val=&quot;00E003FA&quot;/&gt;&lt;wsp:rsid wsp:val=&quot;00E00AD1&quot;/&gt;&lt;wsp:rsid wsp:val=&quot;00E01358&quot;/&gt;&lt;wsp:rsid wsp:val=&quot;00E013E0&quot;/&gt;&lt;wsp:rsid wsp:val=&quot;00E014AA&quot;/&gt;&lt;wsp:rsid wsp:val=&quot;00E016C7&quot;/&gt;&lt;wsp:rsid wsp:val=&quot;00E017DA&quot;/&gt;&lt;wsp:rsid wsp:val=&quot;00E01837&quot;/&gt;&lt;wsp:rsid wsp:val=&quot;00E01A1A&quot;/&gt;&lt;wsp:rsid wsp:val=&quot;00E01B5C&quot;/&gt;&lt;wsp:rsid wsp:val=&quot;00E01BA4&quot;/&gt;&lt;wsp:rsid wsp:val=&quot;00E01F11&quot;/&gt;&lt;wsp:rsid wsp:val=&quot;00E02121&quot;/&gt;&lt;wsp:rsid wsp:val=&quot;00E02153&quot;/&gt;&lt;wsp:rsid wsp:val=&quot;00E029D5&quot;/&gt;&lt;wsp:rsid wsp:val=&quot;00E02BB8&quot;/&gt;&lt;wsp:rsid wsp:val=&quot;00E03356&quot;/&gt;&lt;wsp:rsid wsp:val=&quot;00E0339B&quot;/&gt;&lt;wsp:rsid wsp:val=&quot;00E035ED&quot;/&gt;&lt;wsp:rsid wsp:val=&quot;00E03944&quot;/&gt;&lt;wsp:rsid wsp:val=&quot;00E04022&quot;/&gt;&lt;wsp:rsid wsp:val=&quot;00E04406&quot;/&gt;&lt;wsp:rsid wsp:val=&quot;00E04C8F&quot;/&gt;&lt;wsp:rsid wsp:val=&quot;00E04DA3&quot;/&gt;&lt;wsp:rsid wsp:val=&quot;00E04F1C&quot;/&gt;&lt;wsp:rsid wsp:val=&quot;00E05235&quot;/&gt;&lt;wsp:rsid wsp:val=&quot;00E0537A&quot;/&gt;&lt;wsp:rsid wsp:val=&quot;00E05752&quot;/&gt;&lt;wsp:rsid wsp:val=&quot;00E05DC2&quot;/&gt;&lt;wsp:rsid wsp:val=&quot;00E05DEA&quot;/&gt;&lt;wsp:rsid wsp:val=&quot;00E065EB&quot;/&gt;&lt;wsp:rsid wsp:val=&quot;00E06C4B&quot;/&gt;&lt;wsp:rsid wsp:val=&quot;00E0724D&quot;/&gt;&lt;wsp:rsid wsp:val=&quot;00E07389&quot;/&gt;&lt;wsp:rsid wsp:val=&quot;00E07FA8&quot;/&gt;&lt;wsp:rsid wsp:val=&quot;00E10170&quot;/&gt;&lt;wsp:rsid wsp:val=&quot;00E10530&quot;/&gt;&lt;wsp:rsid wsp:val=&quot;00E108BD&quot;/&gt;&lt;wsp:rsid wsp:val=&quot;00E111FB&quot;/&gt;&lt;wsp:rsid wsp:val=&quot;00E115E7&quot;/&gt;&lt;wsp:rsid wsp:val=&quot;00E11D72&quot;/&gt;&lt;wsp:rsid wsp:val=&quot;00E1214E&quot;/&gt;&lt;wsp:rsid wsp:val=&quot;00E12291&quot;/&gt;&lt;wsp:rsid wsp:val=&quot;00E12547&quot;/&gt;&lt;wsp:rsid wsp:val=&quot;00E12A62&quot;/&gt;&lt;wsp:rsid wsp:val=&quot;00E131DA&quot;/&gt;&lt;wsp:rsid wsp:val=&quot;00E134FC&quot;/&gt;&lt;wsp:rsid wsp:val=&quot;00E139C4&quot;/&gt;&lt;wsp:rsid wsp:val=&quot;00E13C4D&quot;/&gt;&lt;wsp:rsid wsp:val=&quot;00E13E18&quot;/&gt;&lt;wsp:rsid wsp:val=&quot;00E13EC2&quot;/&gt;&lt;wsp:rsid wsp:val=&quot;00E13F22&quot;/&gt;&lt;wsp:rsid wsp:val=&quot;00E14349&quot;/&gt;&lt;wsp:rsid wsp:val=&quot;00E148DC&quot;/&gt;&lt;wsp:rsid wsp:val=&quot;00E1499B&quot;/&gt;&lt;wsp:rsid wsp:val=&quot;00E14A7A&quot;/&gt;&lt;wsp:rsid wsp:val=&quot;00E14DD7&quot;/&gt;&lt;wsp:rsid wsp:val=&quot;00E152F0&quot;/&gt;&lt;wsp:rsid wsp:val=&quot;00E153EE&quot;/&gt;&lt;wsp:rsid wsp:val=&quot;00E15854&quot;/&gt;&lt;wsp:rsid wsp:val=&quot;00E158AD&quot;/&gt;&lt;wsp:rsid wsp:val=&quot;00E15C89&quot;/&gt;&lt;wsp:rsid wsp:val=&quot;00E15E86&quot;/&gt;&lt;wsp:rsid wsp:val=&quot;00E167C8&quot;/&gt;&lt;wsp:rsid wsp:val=&quot;00E170EE&quot;/&gt;&lt;wsp:rsid wsp:val=&quot;00E17348&quot;/&gt;&lt;wsp:rsid wsp:val=&quot;00E17707&quot;/&gt;&lt;wsp:rsid wsp:val=&quot;00E177B0&quot;/&gt;&lt;wsp:rsid wsp:val=&quot;00E17B2F&quot;/&gt;&lt;wsp:rsid wsp:val=&quot;00E17E86&quot;/&gt;&lt;wsp:rsid wsp:val=&quot;00E17F53&quot;/&gt;&lt;wsp:rsid wsp:val=&quot;00E20277&quot;/&gt;&lt;wsp:rsid wsp:val=&quot;00E20361&quot;/&gt;&lt;wsp:rsid wsp:val=&quot;00E2049C&quot;/&gt;&lt;wsp:rsid wsp:val=&quot;00E20B8A&quot;/&gt;&lt;wsp:rsid wsp:val=&quot;00E20DDE&quot;/&gt;&lt;wsp:rsid wsp:val=&quot;00E2172A&quot;/&gt;&lt;wsp:rsid wsp:val=&quot;00E22E03&quot;/&gt;&lt;wsp:rsid wsp:val=&quot;00E22EE2&quot;/&gt;&lt;wsp:rsid wsp:val=&quot;00E2317F&quot;/&gt;&lt;wsp:rsid wsp:val=&quot;00E23740&quot;/&gt;&lt;wsp:rsid wsp:val=&quot;00E23ACC&quot;/&gt;&lt;wsp:rsid wsp:val=&quot;00E23FF4&quot;/&gt;&lt;wsp:rsid wsp:val=&quot;00E24791&quot;/&gt;&lt;wsp:rsid wsp:val=&quot;00E2486E&quot;/&gt;&lt;wsp:rsid wsp:val=&quot;00E24EB7&quot;/&gt;&lt;wsp:rsid wsp:val=&quot;00E25290&quot;/&gt;&lt;wsp:rsid wsp:val=&quot;00E25665&quot;/&gt;&lt;wsp:rsid wsp:val=&quot;00E25A4E&quot;/&gt;&lt;wsp:rsid wsp:val=&quot;00E25AC2&quot;/&gt;&lt;wsp:rsid wsp:val=&quot;00E25EFA&quot;/&gt;&lt;wsp:rsid wsp:val=&quot;00E265A7&quot;/&gt;&lt;wsp:rsid wsp:val=&quot;00E26A18&quot;/&gt;&lt;wsp:rsid wsp:val=&quot;00E2716F&quot;/&gt;&lt;wsp:rsid wsp:val=&quot;00E271E8&quot;/&gt;&lt;wsp:rsid wsp:val=&quot;00E2722E&quot;/&gt;&lt;wsp:rsid wsp:val=&quot;00E27A00&quot;/&gt;&lt;wsp:rsid wsp:val=&quot;00E27AC6&quot;/&gt;&lt;wsp:rsid wsp:val=&quot;00E27DB6&quot;/&gt;&lt;wsp:rsid wsp:val=&quot;00E27E76&quot;/&gt;&lt;wsp:rsid wsp:val=&quot;00E27EF7&quot;/&gt;&lt;wsp:rsid wsp:val=&quot;00E30DEE&quot;/&gt;&lt;wsp:rsid wsp:val=&quot;00E30F4B&quot;/&gt;&lt;wsp:rsid wsp:val=&quot;00E310DA&quot;/&gt;&lt;wsp:rsid wsp:val=&quot;00E31501&quot;/&gt;&lt;wsp:rsid wsp:val=&quot;00E31666&quot;/&gt;&lt;wsp:rsid wsp:val=&quot;00E31949&quot;/&gt;&lt;wsp:rsid wsp:val=&quot;00E320B7&quot;/&gt;&lt;wsp:rsid wsp:val=&quot;00E32765&quot;/&gt;&lt;wsp:rsid wsp:val=&quot;00E32AFE&quot;/&gt;&lt;wsp:rsid wsp:val=&quot;00E32C4E&quot;/&gt;&lt;wsp:rsid wsp:val=&quot;00E330E8&quot;/&gt;&lt;wsp:rsid wsp:val=&quot;00E33506&quot;/&gt;&lt;wsp:rsid wsp:val=&quot;00E33ECA&quot;/&gt;&lt;wsp:rsid wsp:val=&quot;00E340AC&quot;/&gt;&lt;wsp:rsid wsp:val=&quot;00E3428A&quot;/&gt;&lt;wsp:rsid wsp:val=&quot;00E34FC5&quot;/&gt;&lt;wsp:rsid wsp:val=&quot;00E35AA6&quot;/&gt;&lt;wsp:rsid wsp:val=&quot;00E35C89&quot;/&gt;&lt;wsp:rsid wsp:val=&quot;00E36195&quot;/&gt;&lt;wsp:rsid wsp:val=&quot;00E363B3&quot;/&gt;&lt;wsp:rsid wsp:val=&quot;00E36450&quot;/&gt;&lt;wsp:rsid wsp:val=&quot;00E36BF6&quot;/&gt;&lt;wsp:rsid wsp:val=&quot;00E3755E&quot;/&gt;&lt;wsp:rsid wsp:val=&quot;00E37CCC&quot;/&gt;&lt;wsp:rsid wsp:val=&quot;00E40058&quot;/&gt;&lt;wsp:rsid wsp:val=&quot;00E402A3&quot;/&gt;&lt;wsp:rsid wsp:val=&quot;00E407A2&quot;/&gt;&lt;wsp:rsid wsp:val=&quot;00E409C4&quot;/&gt;&lt;wsp:rsid wsp:val=&quot;00E40DE1&quot;/&gt;&lt;wsp:rsid wsp:val=&quot;00E40E96&quot;/&gt;&lt;wsp:rsid wsp:val=&quot;00E4126C&quot;/&gt;&lt;wsp:rsid wsp:val=&quot;00E412D5&quot;/&gt;&lt;wsp:rsid wsp:val=&quot;00E41BA4&quot;/&gt;&lt;wsp:rsid wsp:val=&quot;00E42410&quot;/&gt;&lt;wsp:rsid wsp:val=&quot;00E428F3&quot;/&gt;&lt;wsp:rsid wsp:val=&quot;00E429BA&quot;/&gt;&lt;wsp:rsid wsp:val=&quot;00E42CFD&quot;/&gt;&lt;wsp:rsid wsp:val=&quot;00E42D9E&quot;/&gt;&lt;wsp:rsid wsp:val=&quot;00E434F7&quot;/&gt;&lt;wsp:rsid wsp:val=&quot;00E43804&quot;/&gt;&lt;wsp:rsid wsp:val=&quot;00E43B35&quot;/&gt;&lt;wsp:rsid wsp:val=&quot;00E44441&quot;/&gt;&lt;wsp:rsid wsp:val=&quot;00E44C4F&quot;/&gt;&lt;wsp:rsid wsp:val=&quot;00E455BF&quot;/&gt;&lt;wsp:rsid wsp:val=&quot;00E45650&quot;/&gt;&lt;wsp:rsid wsp:val=&quot;00E45B1D&quot;/&gt;&lt;wsp:rsid wsp:val=&quot;00E4636D&quot;/&gt;&lt;wsp:rsid wsp:val=&quot;00E46569&quot;/&gt;&lt;wsp:rsid wsp:val=&quot;00E471B0&quot;/&gt;&lt;wsp:rsid wsp:val=&quot;00E474CD&quot;/&gt;&lt;wsp:rsid wsp:val=&quot;00E47A9E&quot;/&gt;&lt;wsp:rsid wsp:val=&quot;00E50592&quot;/&gt;&lt;wsp:rsid wsp:val=&quot;00E5087A&quot;/&gt;&lt;wsp:rsid wsp:val=&quot;00E50B5B&quot;/&gt;&lt;wsp:rsid wsp:val=&quot;00E51E77&quot;/&gt;&lt;wsp:rsid wsp:val=&quot;00E521B4&quot;/&gt;&lt;wsp:rsid wsp:val=&quot;00E521CA&quot;/&gt;&lt;wsp:rsid wsp:val=&quot;00E52628&quot;/&gt;&lt;wsp:rsid wsp:val=&quot;00E5274E&quot;/&gt;&lt;wsp:rsid wsp:val=&quot;00E530CA&quot;/&gt;&lt;wsp:rsid wsp:val=&quot;00E534EE&quot;/&gt;&lt;wsp:rsid wsp:val=&quot;00E538E5&quot;/&gt;&lt;wsp:rsid wsp:val=&quot;00E540B7&quot;/&gt;&lt;wsp:rsid wsp:val=&quot;00E54470&quot;/&gt;&lt;wsp:rsid wsp:val=&quot;00E5499E&quot;/&gt;&lt;wsp:rsid wsp:val=&quot;00E553BC&quot;/&gt;&lt;wsp:rsid wsp:val=&quot;00E556B0&quot;/&gt;&lt;wsp:rsid wsp:val=&quot;00E56529&quot;/&gt;&lt;wsp:rsid wsp:val=&quot;00E56602&quot;/&gt;&lt;wsp:rsid wsp:val=&quot;00E566F6&quot;/&gt;&lt;wsp:rsid wsp:val=&quot;00E5718E&quot;/&gt;&lt;wsp:rsid wsp:val=&quot;00E5747A&quot;/&gt;&lt;wsp:rsid wsp:val=&quot;00E577EB&quot;/&gt;&lt;wsp:rsid wsp:val=&quot;00E57D4C&quot;/&gt;&lt;wsp:rsid wsp:val=&quot;00E57EA9&quot;/&gt;&lt;wsp:rsid wsp:val=&quot;00E6000D&quot;/&gt;&lt;wsp:rsid wsp:val=&quot;00E602AE&quot;/&gt;&lt;wsp:rsid wsp:val=&quot;00E60B02&quot;/&gt;&lt;wsp:rsid wsp:val=&quot;00E60BC6&quot;/&gt;&lt;wsp:rsid wsp:val=&quot;00E6152C&quot;/&gt;&lt;wsp:rsid wsp:val=&quot;00E615CC&quot;/&gt;&lt;wsp:rsid wsp:val=&quot;00E61643&quot;/&gt;&lt;wsp:rsid wsp:val=&quot;00E61B64&quot;/&gt;&lt;wsp:rsid wsp:val=&quot;00E61DA2&quot;/&gt;&lt;wsp:rsid wsp:val=&quot;00E61FF7&quot;/&gt;&lt;wsp:rsid wsp:val=&quot;00E620A4&quot;/&gt;&lt;wsp:rsid wsp:val=&quot;00E62378&quot;/&gt;&lt;wsp:rsid wsp:val=&quot;00E62D08&quot;/&gt;&lt;wsp:rsid wsp:val=&quot;00E6342E&quot;/&gt;&lt;wsp:rsid wsp:val=&quot;00E634D7&quot;/&gt;&lt;wsp:rsid wsp:val=&quot;00E63888&quot;/&gt;&lt;wsp:rsid wsp:val=&quot;00E63A78&quot;/&gt;&lt;wsp:rsid wsp:val=&quot;00E64490&quot;/&gt;&lt;wsp:rsid wsp:val=&quot;00E648BC&quot;/&gt;&lt;wsp:rsid wsp:val=&quot;00E64F05&quot;/&gt;&lt;wsp:rsid wsp:val=&quot;00E6559F&quot;/&gt;&lt;wsp:rsid wsp:val=&quot;00E6597C&quot;/&gt;&lt;wsp:rsid wsp:val=&quot;00E65BD5&quot;/&gt;&lt;wsp:rsid wsp:val=&quot;00E666F7&quot;/&gt;&lt;wsp:rsid wsp:val=&quot;00E66817&quot;/&gt;&lt;wsp:rsid wsp:val=&quot;00E66B3B&quot;/&gt;&lt;wsp:rsid wsp:val=&quot;00E66C80&quot;/&gt;&lt;wsp:rsid wsp:val=&quot;00E66FCC&quot;/&gt;&lt;wsp:rsid wsp:val=&quot;00E6726C&quot;/&gt;&lt;wsp:rsid wsp:val=&quot;00E67305&quot;/&gt;&lt;wsp:rsid wsp:val=&quot;00E676E8&quot;/&gt;&lt;wsp:rsid wsp:val=&quot;00E67CFC&quot;/&gt;&lt;wsp:rsid wsp:val=&quot;00E67DE8&quot;/&gt;&lt;wsp:rsid wsp:val=&quot;00E67E17&quot;/&gt;&lt;wsp:rsid wsp:val=&quot;00E709FC&quot;/&gt;&lt;wsp:rsid wsp:val=&quot;00E70D65&quot;/&gt;&lt;wsp:rsid wsp:val=&quot;00E71116&quot;/&gt;&lt;wsp:rsid wsp:val=&quot;00E71C10&quot;/&gt;&lt;wsp:rsid wsp:val=&quot;00E72584&quot;/&gt;&lt;wsp:rsid wsp:val=&quot;00E727F7&quot;/&gt;&lt;wsp:rsid wsp:val=&quot;00E72C49&quot;/&gt;&lt;wsp:rsid wsp:val=&quot;00E72FC1&quot;/&gt;&lt;wsp:rsid wsp:val=&quot;00E73299&quot;/&gt;&lt;wsp:rsid wsp:val=&quot;00E73403&quot;/&gt;&lt;wsp:rsid wsp:val=&quot;00E735EB&quot;/&gt;&lt;wsp:rsid wsp:val=&quot;00E7375C&quot;/&gt;&lt;wsp:rsid wsp:val=&quot;00E737BA&quot;/&gt;&lt;wsp:rsid wsp:val=&quot;00E742CC&quot;/&gt;&lt;wsp:rsid wsp:val=&quot;00E758CF&quot;/&gt;&lt;wsp:rsid wsp:val=&quot;00E765B3&quot;/&gt;&lt;wsp:rsid wsp:val=&quot;00E76BE7&quot;/&gt;&lt;wsp:rsid wsp:val=&quot;00E76F87&quot;/&gt;&lt;wsp:rsid wsp:val=&quot;00E771D2&quot;/&gt;&lt;wsp:rsid wsp:val=&quot;00E77392&quot;/&gt;&lt;wsp:rsid wsp:val=&quot;00E77887&quot;/&gt;&lt;wsp:rsid wsp:val=&quot;00E77BA9&quot;/&gt;&lt;wsp:rsid wsp:val=&quot;00E77DB6&quot;/&gt;&lt;wsp:rsid wsp:val=&quot;00E77E9E&quot;/&gt;&lt;wsp:rsid wsp:val=&quot;00E77EA6&quot;/&gt;&lt;wsp:rsid wsp:val=&quot;00E82093&quot;/&gt;&lt;wsp:rsid wsp:val=&quot;00E82B78&quot;/&gt;&lt;wsp:rsid wsp:val=&quot;00E82DF6&quot;/&gt;&lt;wsp:rsid wsp:val=&quot;00E830E9&quot;/&gt;&lt;wsp:rsid wsp:val=&quot;00E83291&quot;/&gt;&lt;wsp:rsid wsp:val=&quot;00E84403&quot;/&gt;&lt;wsp:rsid wsp:val=&quot;00E84B2F&quot;/&gt;&lt;wsp:rsid wsp:val=&quot;00E84E72&quot;/&gt;&lt;wsp:rsid wsp:val=&quot;00E8503F&quot;/&gt;&lt;wsp:rsid wsp:val=&quot;00E85056&quot;/&gt;&lt;wsp:rsid wsp:val=&quot;00E855B7&quot;/&gt;&lt;wsp:rsid wsp:val=&quot;00E85A7E&quot;/&gt;&lt;wsp:rsid wsp:val=&quot;00E85EA8&quot;/&gt;&lt;wsp:rsid wsp:val=&quot;00E86976&quot;/&gt;&lt;wsp:rsid wsp:val=&quot;00E86E83&quot;/&gt;&lt;wsp:rsid wsp:val=&quot;00E86F0F&quot;/&gt;&lt;wsp:rsid wsp:val=&quot;00E87147&quot;/&gt;&lt;wsp:rsid wsp:val=&quot;00E87224&quot;/&gt;&lt;wsp:rsid wsp:val=&quot;00E87562&quot;/&gt;&lt;wsp:rsid wsp:val=&quot;00E875DC&quot;/&gt;&lt;wsp:rsid wsp:val=&quot;00E87610&quot;/&gt;&lt;wsp:rsid wsp:val=&quot;00E87F4F&quot;/&gt;&lt;wsp:rsid wsp:val=&quot;00E908A9&quot;/&gt;&lt;wsp:rsid wsp:val=&quot;00E90A0E&quot;/&gt;&lt;wsp:rsid wsp:val=&quot;00E90D5D&quot;/&gt;&lt;wsp:rsid wsp:val=&quot;00E90EE9&quot;/&gt;&lt;wsp:rsid wsp:val=&quot;00E9186D&quot;/&gt;&lt;wsp:rsid wsp:val=&quot;00E91C84&quot;/&gt;&lt;wsp:rsid wsp:val=&quot;00E91CFE&quot;/&gt;&lt;wsp:rsid wsp:val=&quot;00E91F54&quot;/&gt;&lt;wsp:rsid wsp:val=&quot;00E9227E&quot;/&gt;&lt;wsp:rsid wsp:val=&quot;00E92678&quot;/&gt;&lt;wsp:rsid wsp:val=&quot;00E928D2&quot;/&gt;&lt;wsp:rsid wsp:val=&quot;00E92A87&quot;/&gt;&lt;wsp:rsid wsp:val=&quot;00E93F31&quot;/&gt;&lt;wsp:rsid wsp:val=&quot;00E94090&quot;/&gt;&lt;wsp:rsid wsp:val=&quot;00E944CF&quot;/&gt;&lt;wsp:rsid wsp:val=&quot;00E94A17&quot;/&gt;&lt;wsp:rsid wsp:val=&quot;00E94A76&quot;/&gt;&lt;wsp:rsid wsp:val=&quot;00E95684&quot;/&gt;&lt;wsp:rsid wsp:val=&quot;00E963FE&quot;/&gt;&lt;wsp:rsid wsp:val=&quot;00E96CA8&quot;/&gt;&lt;wsp:rsid wsp:val=&quot;00E96D46&quot;/&gt;&lt;wsp:rsid wsp:val=&quot;00E96D63&quot;/&gt;&lt;wsp:rsid wsp:val=&quot;00E96EF3&quot;/&gt;&lt;wsp:rsid wsp:val=&quot;00E9740A&quot;/&gt;&lt;wsp:rsid wsp:val=&quot;00E97486&quot;/&gt;&lt;wsp:rsid wsp:val=&quot;00E9781E&quot;/&gt;&lt;wsp:rsid wsp:val=&quot;00E97A65&quot;/&gt;&lt;wsp:rsid wsp:val=&quot;00EA1304&quot;/&gt;&lt;wsp:rsid wsp:val=&quot;00EA16B4&quot;/&gt;&lt;wsp:rsid wsp:val=&quot;00EA1817&quot;/&gt;&lt;wsp:rsid wsp:val=&quot;00EA2141&quot;/&gt;&lt;wsp:rsid wsp:val=&quot;00EA2C52&quot;/&gt;&lt;wsp:rsid wsp:val=&quot;00EA2E5C&quot;/&gt;&lt;wsp:rsid wsp:val=&quot;00EA2FD3&quot;/&gt;&lt;wsp:rsid wsp:val=&quot;00EA3A05&quot;/&gt;&lt;wsp:rsid wsp:val=&quot;00EA3FBF&quot;/&gt;&lt;wsp:rsid wsp:val=&quot;00EA41D7&quot;/&gt;&lt;wsp:rsid wsp:val=&quot;00EA4686&quot;/&gt;&lt;wsp:rsid wsp:val=&quot;00EA56D4&quot;/&gt;&lt;wsp:rsid wsp:val=&quot;00EA5873&quot;/&gt;&lt;wsp:rsid wsp:val=&quot;00EA5BD7&quot;/&gt;&lt;wsp:rsid wsp:val=&quot;00EA5F94&quot;/&gt;&lt;wsp:rsid wsp:val=&quot;00EA6460&quot;/&gt;&lt;wsp:rsid wsp:val=&quot;00EA7481&quot;/&gt;&lt;wsp:rsid wsp:val=&quot;00EA7E71&quot;/&gt;&lt;wsp:rsid wsp:val=&quot;00EB0C4E&quot;/&gt;&lt;wsp:rsid wsp:val=&quot;00EB0CEF&quot;/&gt;&lt;wsp:rsid wsp:val=&quot;00EB0E26&quot;/&gt;&lt;wsp:rsid wsp:val=&quot;00EB0FD6&quot;/&gt;&lt;wsp:rsid wsp:val=&quot;00EB103B&quot;/&gt;&lt;wsp:rsid wsp:val=&quot;00EB118F&quot;/&gt;&lt;wsp:rsid wsp:val=&quot;00EB1426&quot;/&gt;&lt;wsp:rsid wsp:val=&quot;00EB1651&quot;/&gt;&lt;wsp:rsid wsp:val=&quot;00EB175E&quot;/&gt;&lt;wsp:rsid wsp:val=&quot;00EB1AE1&quot;/&gt;&lt;wsp:rsid wsp:val=&quot;00EB1DD9&quot;/&gt;&lt;wsp:rsid wsp:val=&quot;00EB1E28&quot;/&gt;&lt;wsp:rsid wsp:val=&quot;00EB2099&quot;/&gt;&lt;wsp:rsid wsp:val=&quot;00EB2167&quot;/&gt;&lt;wsp:rsid wsp:val=&quot;00EB2B15&quot;/&gt;&lt;wsp:rsid wsp:val=&quot;00EB2D68&quot;/&gt;&lt;wsp:rsid wsp:val=&quot;00EB3091&quot;/&gt;&lt;wsp:rsid wsp:val=&quot;00EB3210&quot;/&gt;&lt;wsp:rsid wsp:val=&quot;00EB322F&quot;/&gt;&lt;wsp:rsid wsp:val=&quot;00EB3308&quot;/&gt;&lt;wsp:rsid wsp:val=&quot;00EB3916&quot;/&gt;&lt;wsp:rsid wsp:val=&quot;00EB3CA7&quot;/&gt;&lt;wsp:rsid wsp:val=&quot;00EB3DD0&quot;/&gt;&lt;wsp:rsid wsp:val=&quot;00EB54AA&quot;/&gt;&lt;wsp:rsid wsp:val=&quot;00EB5672&quot;/&gt;&lt;wsp:rsid wsp:val=&quot;00EB57F6&quot;/&gt;&lt;wsp:rsid wsp:val=&quot;00EB5814&quot;/&gt;&lt;wsp:rsid wsp:val=&quot;00EB5AF8&quot;/&gt;&lt;wsp:rsid wsp:val=&quot;00EB5C48&quot;/&gt;&lt;wsp:rsid wsp:val=&quot;00EB61B0&quot;/&gt;&lt;wsp:rsid wsp:val=&quot;00EB7B8B&quot;/&gt;&lt;wsp:rsid wsp:val=&quot;00EC035D&quot;/&gt;&lt;wsp:rsid wsp:val=&quot;00EC098C&quot;/&gt;&lt;wsp:rsid wsp:val=&quot;00EC10FD&quot;/&gt;&lt;wsp:rsid wsp:val=&quot;00EC157C&quot;/&gt;&lt;wsp:rsid wsp:val=&quot;00EC16EB&quot;/&gt;&lt;wsp:rsid wsp:val=&quot;00EC1958&quot;/&gt;&lt;wsp:rsid wsp:val=&quot;00EC1F5A&quot;/&gt;&lt;wsp:rsid wsp:val=&quot;00EC238C&quot;/&gt;&lt;wsp:rsid wsp:val=&quot;00EC25C6&quot;/&gt;&lt;wsp:rsid wsp:val=&quot;00EC274F&quot;/&gt;&lt;wsp:rsid wsp:val=&quot;00EC291B&quot;/&gt;&lt;wsp:rsid wsp:val=&quot;00EC2E61&quot;/&gt;&lt;wsp:rsid wsp:val=&quot;00EC2EDB&quot;/&gt;&lt;wsp:rsid wsp:val=&quot;00EC329B&quot;/&gt;&lt;wsp:rsid wsp:val=&quot;00EC32AE&quot;/&gt;&lt;wsp:rsid wsp:val=&quot;00EC4032&quot;/&gt;&lt;wsp:rsid wsp:val=&quot;00EC4398&quot;/&gt;&lt;wsp:rsid wsp:val=&quot;00EC44DF&quot;/&gt;&lt;wsp:rsid wsp:val=&quot;00EC457B&quot;/&gt;&lt;wsp:rsid wsp:val=&quot;00EC5263&quot;/&gt;&lt;wsp:rsid wsp:val=&quot;00EC54D0&quot;/&gt;&lt;wsp:rsid wsp:val=&quot;00EC5554&quot;/&gt;&lt;wsp:rsid wsp:val=&quot;00EC588D&quot;/&gt;&lt;wsp:rsid wsp:val=&quot;00EC5AE6&quot;/&gt;&lt;wsp:rsid wsp:val=&quot;00EC642A&quot;/&gt;&lt;wsp:rsid wsp:val=&quot;00EC6581&quot;/&gt;&lt;wsp:rsid wsp:val=&quot;00EC6662&quot;/&gt;&lt;wsp:rsid wsp:val=&quot;00EC66B5&quot;/&gt;&lt;wsp:rsid wsp:val=&quot;00EC69BD&quot;/&gt;&lt;wsp:rsid wsp:val=&quot;00EC6E3B&quot;/&gt;&lt;wsp:rsid wsp:val=&quot;00EC6E55&quot;/&gt;&lt;wsp:rsid wsp:val=&quot;00EC6ECA&quot;/&gt;&lt;wsp:rsid wsp:val=&quot;00EC6F1E&quot;/&gt;&lt;wsp:rsid wsp:val=&quot;00EC755B&quot;/&gt;&lt;wsp:rsid wsp:val=&quot;00EC7BD0&quot;/&gt;&lt;wsp:rsid wsp:val=&quot;00EC7C6D&quot;/&gt;&lt;wsp:rsid wsp:val=&quot;00ED0532&quot;/&gt;&lt;wsp:rsid wsp:val=&quot;00ED07EE&quot;/&gt;&lt;wsp:rsid wsp:val=&quot;00ED0FED&quot;/&gt;&lt;wsp:rsid wsp:val=&quot;00ED15B5&quot;/&gt;&lt;wsp:rsid wsp:val=&quot;00ED1861&quot;/&gt;&lt;wsp:rsid wsp:val=&quot;00ED18A1&quot;/&gt;&lt;wsp:rsid wsp:val=&quot;00ED1C74&quot;/&gt;&lt;wsp:rsid wsp:val=&quot;00ED209E&quot;/&gt;&lt;wsp:rsid wsp:val=&quot;00ED2194&quot;/&gt;&lt;wsp:rsid wsp:val=&quot;00ED23B8&quot;/&gt;&lt;wsp:rsid wsp:val=&quot;00ED2406&quot;/&gt;&lt;wsp:rsid wsp:val=&quot;00ED2517&quot;/&gt;&lt;wsp:rsid wsp:val=&quot;00ED2B4D&quot;/&gt;&lt;wsp:rsid wsp:val=&quot;00ED2C3E&quot;/&gt;&lt;wsp:rsid wsp:val=&quot;00ED3376&quot;/&gt;&lt;wsp:rsid wsp:val=&quot;00ED339F&quot;/&gt;&lt;wsp:rsid wsp:val=&quot;00ED36A0&quot;/&gt;&lt;wsp:rsid wsp:val=&quot;00ED36D7&quot;/&gt;&lt;wsp:rsid wsp:val=&quot;00ED383A&quot;/&gt;&lt;wsp:rsid wsp:val=&quot;00ED3921&quot;/&gt;&lt;wsp:rsid wsp:val=&quot;00ED3B1C&quot;/&gt;&lt;wsp:rsid wsp:val=&quot;00ED40F9&quot;/&gt;&lt;wsp:rsid wsp:val=&quot;00ED456A&quot;/&gt;&lt;wsp:rsid wsp:val=&quot;00ED476F&quot;/&gt;&lt;wsp:rsid wsp:val=&quot;00ED47C4&quot;/&gt;&lt;wsp:rsid wsp:val=&quot;00ED47DD&quot;/&gt;&lt;wsp:rsid wsp:val=&quot;00ED4C7F&quot;/&gt;&lt;wsp:rsid wsp:val=&quot;00ED51FC&quot;/&gt;&lt;wsp:rsid wsp:val=&quot;00ED5337&quot;/&gt;&lt;wsp:rsid wsp:val=&quot;00ED5587&quot;/&gt;&lt;wsp:rsid wsp:val=&quot;00ED5BC3&quot;/&gt;&lt;wsp:rsid wsp:val=&quot;00ED5C37&quot;/&gt;&lt;wsp:rsid wsp:val=&quot;00ED5CAF&quot;/&gt;&lt;wsp:rsid wsp:val=&quot;00ED753B&quot;/&gt;&lt;wsp:rsid wsp:val=&quot;00ED7919&quot;/&gt;&lt;wsp:rsid wsp:val=&quot;00ED7ED6&quot;/&gt;&lt;wsp:rsid wsp:val=&quot;00EE00F6&quot;/&gt;&lt;wsp:rsid wsp:val=&quot;00EE0301&quot;/&gt;&lt;wsp:rsid wsp:val=&quot;00EE08B6&quot;/&gt;&lt;wsp:rsid wsp:val=&quot;00EE1298&quot;/&gt;&lt;wsp:rsid wsp:val=&quot;00EE2341&quot;/&gt;&lt;wsp:rsid wsp:val=&quot;00EE242F&quot;/&gt;&lt;wsp:rsid wsp:val=&quot;00EE2D04&quot;/&gt;&lt;wsp:rsid wsp:val=&quot;00EE2FA3&quot;/&gt;&lt;wsp:rsid wsp:val=&quot;00EE3319&quot;/&gt;&lt;wsp:rsid wsp:val=&quot;00EE3630&quot;/&gt;&lt;wsp:rsid wsp:val=&quot;00EE386C&quot;/&gt;&lt;wsp:rsid wsp:val=&quot;00EE41AD&quot;/&gt;&lt;wsp:rsid wsp:val=&quot;00EE4237&quot;/&gt;&lt;wsp:rsid wsp:val=&quot;00EE4680&quot;/&gt;&lt;wsp:rsid wsp:val=&quot;00EE4E5C&quot;/&gt;&lt;wsp:rsid wsp:val=&quot;00EE506A&quot;/&gt;&lt;wsp:rsid wsp:val=&quot;00EE564A&quot;/&gt;&lt;wsp:rsid wsp:val=&quot;00EE6685&quot;/&gt;&lt;wsp:rsid wsp:val=&quot;00EE6A25&quot;/&gt;&lt;wsp:rsid wsp:val=&quot;00EE7054&quot;/&gt;&lt;wsp:rsid wsp:val=&quot;00EE75DF&quot;/&gt;&lt;wsp:rsid wsp:val=&quot;00EE764D&quot;/&gt;&lt;wsp:rsid wsp:val=&quot;00EF0160&quot;/&gt;&lt;wsp:rsid wsp:val=&quot;00EF017D&quot;/&gt;&lt;wsp:rsid wsp:val=&quot;00EF0537&quot;/&gt;&lt;wsp:rsid wsp:val=&quot;00EF0BA0&quot;/&gt;&lt;wsp:rsid wsp:val=&quot;00EF0D2B&quot;/&gt;&lt;wsp:rsid wsp:val=&quot;00EF13EC&quot;/&gt;&lt;wsp:rsid wsp:val=&quot;00EF188B&quot;/&gt;&lt;wsp:rsid wsp:val=&quot;00EF1A04&quot;/&gt;&lt;wsp:rsid wsp:val=&quot;00EF254C&quot;/&gt;&lt;wsp:rsid wsp:val=&quot;00EF2D03&quot;/&gt;&lt;wsp:rsid wsp:val=&quot;00EF2F12&quot;/&gt;&lt;wsp:rsid wsp:val=&quot;00EF3128&quot;/&gt;&lt;wsp:rsid wsp:val=&quot;00EF3EA3&quot;/&gt;&lt;wsp:rsid wsp:val=&quot;00EF42F8&quot;/&gt;&lt;wsp:rsid wsp:val=&quot;00EF466A&quot;/&gt;&lt;wsp:rsid wsp:val=&quot;00EF4E5B&quot;/&gt;&lt;wsp:rsid wsp:val=&quot;00EF5253&quot;/&gt;&lt;wsp:rsid wsp:val=&quot;00EF5485&quot;/&gt;&lt;wsp:rsid wsp:val=&quot;00EF5536&quot;/&gt;&lt;wsp:rsid wsp:val=&quot;00EF5C78&quot;/&gt;&lt;wsp:rsid wsp:val=&quot;00EF66CA&quot;/&gt;&lt;wsp:rsid wsp:val=&quot;00EF68D3&quot;/&gt;&lt;wsp:rsid wsp:val=&quot;00EF691A&quot;/&gt;&lt;wsp:rsid wsp:val=&quot;00EF6978&quot;/&gt;&lt;wsp:rsid wsp:val=&quot;00EF75D4&quot;/&gt;&lt;wsp:rsid wsp:val=&quot;00EF789F&quot;/&gt;&lt;wsp:rsid wsp:val=&quot;00EF7FAA&quot;/&gt;&lt;wsp:rsid wsp:val=&quot;00F00029&quot;/&gt;&lt;wsp:rsid wsp:val=&quot;00F00168&quot;/&gt;&lt;wsp:rsid wsp:val=&quot;00F00237&quot;/&gt;&lt;wsp:rsid wsp:val=&quot;00F00561&quot;/&gt;&lt;wsp:rsid wsp:val=&quot;00F00A04&quot;/&gt;&lt;wsp:rsid wsp:val=&quot;00F00F32&quot;/&gt;&lt;wsp:rsid wsp:val=&quot;00F0125E&quot;/&gt;&lt;wsp:rsid wsp:val=&quot;00F019C6&quot;/&gt;&lt;wsp:rsid wsp:val=&quot;00F01A00&quot;/&gt;&lt;wsp:rsid wsp:val=&quot;00F01BF0&quot;/&gt;&lt;wsp:rsid wsp:val=&quot;00F01C30&quot;/&gt;&lt;wsp:rsid wsp:val=&quot;00F02515&quot;/&gt;&lt;wsp:rsid wsp:val=&quot;00F028BF&quot;/&gt;&lt;wsp:rsid wsp:val=&quot;00F02BA1&quot;/&gt;&lt;wsp:rsid wsp:val=&quot;00F02C53&quot;/&gt;&lt;wsp:rsid wsp:val=&quot;00F02D28&quot;/&gt;&lt;wsp:rsid wsp:val=&quot;00F03646&quot;/&gt;&lt;wsp:rsid wsp:val=&quot;00F03B91&quot;/&gt;&lt;wsp:rsid wsp:val=&quot;00F03D1D&quot;/&gt;&lt;wsp:rsid wsp:val=&quot;00F04699&quot;/&gt;&lt;wsp:rsid wsp:val=&quot;00F0621F&quot;/&gt;&lt;wsp:rsid wsp:val=&quot;00F0657D&quot;/&gt;&lt;wsp:rsid wsp:val=&quot;00F06969&quot;/&gt;&lt;wsp:rsid wsp:val=&quot;00F06DE8&quot;/&gt;&lt;wsp:rsid wsp:val=&quot;00F07491&quot;/&gt;&lt;wsp:rsid wsp:val=&quot;00F07A96&quot;/&gt;&lt;wsp:rsid wsp:val=&quot;00F102CB&quot;/&gt;&lt;wsp:rsid wsp:val=&quot;00F10347&quot;/&gt;&lt;wsp:rsid wsp:val=&quot;00F10C2B&quot;/&gt;&lt;wsp:rsid wsp:val=&quot;00F113DA&quot;/&gt;&lt;wsp:rsid wsp:val=&quot;00F12071&quot;/&gt;&lt;wsp:rsid wsp:val=&quot;00F12235&quot;/&gt;&lt;wsp:rsid wsp:val=&quot;00F1251B&quot;/&gt;&lt;wsp:rsid wsp:val=&quot;00F12C05&quot;/&gt;&lt;wsp:rsid wsp:val=&quot;00F12E7F&quot;/&gt;&lt;wsp:rsid wsp:val=&quot;00F13798&quot;/&gt;&lt;wsp:rsid wsp:val=&quot;00F13882&quot;/&gt;&lt;wsp:rsid wsp:val=&quot;00F13973&quot;/&gt;&lt;wsp:rsid wsp:val=&quot;00F141B9&quot;/&gt;&lt;wsp:rsid wsp:val=&quot;00F1453C&quot;/&gt;&lt;wsp:rsid wsp:val=&quot;00F14B37&quot;/&gt;&lt;wsp:rsid wsp:val=&quot;00F14BCE&quot;/&gt;&lt;wsp:rsid wsp:val=&quot;00F14E2E&quot;/&gt;&lt;wsp:rsid wsp:val=&quot;00F1568E&quot;/&gt;&lt;wsp:rsid wsp:val=&quot;00F15A80&quot;/&gt;&lt;wsp:rsid wsp:val=&quot;00F16804&quot;/&gt;&lt;wsp:rsid wsp:val=&quot;00F16908&quot;/&gt;&lt;wsp:rsid wsp:val=&quot;00F17351&quot;/&gt;&lt;wsp:rsid wsp:val=&quot;00F1739B&quot;/&gt;&lt;wsp:rsid wsp:val=&quot;00F206AD&quot;/&gt;&lt;wsp:rsid wsp:val=&quot;00F20B4D&quot;/&gt;&lt;wsp:rsid wsp:val=&quot;00F22BD2&quot;/&gt;&lt;wsp:rsid wsp:val=&quot;00F23071&quot;/&gt;&lt;wsp:rsid wsp:val=&quot;00F232AE&quot;/&gt;&lt;wsp:rsid wsp:val=&quot;00F2379E&quot;/&gt;&lt;wsp:rsid wsp:val=&quot;00F2403B&quot;/&gt;&lt;wsp:rsid wsp:val=&quot;00F24293&quot;/&gt;&lt;wsp:rsid wsp:val=&quot;00F2456C&quot;/&gt;&lt;wsp:rsid wsp:val=&quot;00F246B0&quot;/&gt;&lt;wsp:rsid wsp:val=&quot;00F246EB&quot;/&gt;&lt;wsp:rsid wsp:val=&quot;00F24AF4&quot;/&gt;&lt;wsp:rsid wsp:val=&quot;00F24C05&quot;/&gt;&lt;wsp:rsid wsp:val=&quot;00F24D0B&quot;/&gt;&lt;wsp:rsid wsp:val=&quot;00F24E5A&quot;/&gt;&lt;wsp:rsid wsp:val=&quot;00F24F71&quot;/&gt;&lt;wsp:rsid wsp:val=&quot;00F25365&quot;/&gt;&lt;wsp:rsid wsp:val=&quot;00F25588&quot;/&gt;&lt;wsp:rsid wsp:val=&quot;00F2588E&quot;/&gt;&lt;wsp:rsid wsp:val=&quot;00F25B27&quot;/&gt;&lt;wsp:rsid wsp:val=&quot;00F26063&quot;/&gt;&lt;wsp:rsid wsp:val=&quot;00F262AC&quot;/&gt;&lt;wsp:rsid wsp:val=&quot;00F26A5D&quot;/&gt;&lt;wsp:rsid wsp:val=&quot;00F26DB3&quot;/&gt;&lt;wsp:rsid wsp:val=&quot;00F2731E&quot;/&gt;&lt;wsp:rsid wsp:val=&quot;00F275FE&quot;/&gt;&lt;wsp:rsid wsp:val=&quot;00F27D93&quot;/&gt;&lt;wsp:rsid wsp:val=&quot;00F30A5C&quot;/&gt;&lt;wsp:rsid wsp:val=&quot;00F30C4F&quot;/&gt;&lt;wsp:rsid wsp:val=&quot;00F30C66&quot;/&gt;&lt;wsp:rsid wsp:val=&quot;00F31DCB&quot;/&gt;&lt;wsp:rsid wsp:val=&quot;00F32B87&quot;/&gt;&lt;wsp:rsid wsp:val=&quot;00F32E5E&quot;/&gt;&lt;wsp:rsid wsp:val=&quot;00F33112&quot;/&gt;&lt;wsp:rsid wsp:val=&quot;00F334FD&quot;/&gt;&lt;wsp:rsid wsp:val=&quot;00F338F6&quot;/&gt;&lt;wsp:rsid wsp:val=&quot;00F33BFF&quot;/&gt;&lt;wsp:rsid wsp:val=&quot;00F343E9&quot;/&gt;&lt;wsp:rsid wsp:val=&quot;00F34439&quot;/&gt;&lt;wsp:rsid wsp:val=&quot;00F345F0&quot;/&gt;&lt;wsp:rsid wsp:val=&quot;00F34798&quot;/&gt;&lt;wsp:rsid wsp:val=&quot;00F351D1&quot;/&gt;&lt;wsp:rsid wsp:val=&quot;00F3566D&quot;/&gt;&lt;wsp:rsid wsp:val=&quot;00F35CF5&quot;/&gt;&lt;wsp:rsid wsp:val=&quot;00F35E17&quot;/&gt;&lt;wsp:rsid wsp:val=&quot;00F362A0&quot;/&gt;&lt;wsp:rsid wsp:val=&quot;00F364FB&quot;/&gt;&lt;wsp:rsid wsp:val=&quot;00F369CD&quot;/&gt;&lt;wsp:rsid wsp:val=&quot;00F36DE2&quot;/&gt;&lt;wsp:rsid wsp:val=&quot;00F370F4&quot;/&gt;&lt;wsp:rsid wsp:val=&quot;00F37173&quot;/&gt;&lt;wsp:rsid wsp:val=&quot;00F37330&quot;/&gt;&lt;wsp:rsid wsp:val=&quot;00F376A2&quot;/&gt;&lt;wsp:rsid wsp:val=&quot;00F37F74&quot;/&gt;&lt;wsp:rsid wsp:val=&quot;00F41259&quot;/&gt;&lt;wsp:rsid wsp:val=&quot;00F41360&quot;/&gt;&lt;wsp:rsid wsp:val=&quot;00F416CF&quot;/&gt;&lt;wsp:rsid wsp:val=&quot;00F41CED&quot;/&gt;&lt;wsp:rsid wsp:val=&quot;00F41F11&quot;/&gt;&lt;wsp:rsid wsp:val=&quot;00F420FF&quot;/&gt;&lt;wsp:rsid wsp:val=&quot;00F428F5&quot;/&gt;&lt;wsp:rsid wsp:val=&quot;00F42988&quot;/&gt;&lt;wsp:rsid wsp:val=&quot;00F42A21&quot;/&gt;&lt;wsp:rsid wsp:val=&quot;00F432A3&quot;/&gt;&lt;wsp:rsid wsp:val=&quot;00F4345D&quot;/&gt;&lt;wsp:rsid wsp:val=&quot;00F434B0&quot;/&gt;&lt;wsp:rsid wsp:val=&quot;00F435C5&quot;/&gt;&lt;wsp:rsid wsp:val=&quot;00F4365C&quot;/&gt;&lt;wsp:rsid wsp:val=&quot;00F43788&quot;/&gt;&lt;wsp:rsid wsp:val=&quot;00F43A58&quot;/&gt;&lt;wsp:rsid wsp:val=&quot;00F43F39&quot;/&gt;&lt;wsp:rsid wsp:val=&quot;00F43FBE&quot;/&gt;&lt;wsp:rsid wsp:val=&quot;00F4415A&quot;/&gt;&lt;wsp:rsid wsp:val=&quot;00F442DA&quot;/&gt;&lt;wsp:rsid wsp:val=&quot;00F4443C&quot;/&gt;&lt;wsp:rsid wsp:val=&quot;00F444EF&quot;/&gt;&lt;wsp:rsid wsp:val=&quot;00F4462D&quot;/&gt;&lt;wsp:rsid wsp:val=&quot;00F44DB6&quot;/&gt;&lt;wsp:rsid wsp:val=&quot;00F44DBA&quot;/&gt;&lt;wsp:rsid wsp:val=&quot;00F44DE1&quot;/&gt;&lt;wsp:rsid wsp:val=&quot;00F456D2&quot;/&gt;&lt;wsp:rsid wsp:val=&quot;00F45B70&quot;/&gt;&lt;wsp:rsid wsp:val=&quot;00F45CA3&quot;/&gt;&lt;wsp:rsid wsp:val=&quot;00F45E48&quot;/&gt;&lt;wsp:rsid wsp:val=&quot;00F45EC0&quot;/&gt;&lt;wsp:rsid wsp:val=&quot;00F465B2&quot;/&gt;&lt;wsp:rsid wsp:val=&quot;00F46F73&quot;/&gt;&lt;wsp:rsid wsp:val=&quot;00F47959&quot;/&gt;&lt;wsp:rsid wsp:val=&quot;00F47BE9&quot;/&gt;&lt;wsp:rsid wsp:val=&quot;00F47C6B&quot;/&gt;&lt;wsp:rsid wsp:val=&quot;00F47CDE&quot;/&gt;&lt;wsp:rsid wsp:val=&quot;00F50363&quot;/&gt;&lt;wsp:rsid wsp:val=&quot;00F5097E&quot;/&gt;&lt;wsp:rsid wsp:val=&quot;00F50B45&quot;/&gt;&lt;wsp:rsid wsp:val=&quot;00F50BAA&quot;/&gt;&lt;wsp:rsid wsp:val=&quot;00F51197&quot;/&gt;&lt;wsp:rsid wsp:val=&quot;00F51260&quot;/&gt;&lt;wsp:rsid wsp:val=&quot;00F5154F&quot;/&gt;&lt;wsp:rsid wsp:val=&quot;00F5167A&quot;/&gt;&lt;wsp:rsid wsp:val=&quot;00F51769&quot;/&gt;&lt;wsp:rsid wsp:val=&quot;00F519F2&quot;/&gt;&lt;wsp:rsid wsp:val=&quot;00F51D5D&quot;/&gt;&lt;wsp:rsid wsp:val=&quot;00F520C9&quot;/&gt;&lt;wsp:rsid wsp:val=&quot;00F52101&quot;/&gt;&lt;wsp:rsid wsp:val=&quot;00F52B27&quot;/&gt;&lt;wsp:rsid wsp:val=&quot;00F52D7E&quot;/&gt;&lt;wsp:rsid wsp:val=&quot;00F531A6&quot;/&gt;&lt;wsp:rsid wsp:val=&quot;00F53253&quot;/&gt;&lt;wsp:rsid wsp:val=&quot;00F53318&quot;/&gt;&lt;wsp:rsid wsp:val=&quot;00F53634&quot;/&gt;&lt;wsp:rsid wsp:val=&quot;00F5373F&quot;/&gt;&lt;wsp:rsid wsp:val=&quot;00F5379F&quot;/&gt;&lt;wsp:rsid wsp:val=&quot;00F53BFA&quot;/&gt;&lt;wsp:rsid wsp:val=&quot;00F53F9B&quot;/&gt;&lt;wsp:rsid wsp:val=&quot;00F540BD&quot;/&gt;&lt;wsp:rsid wsp:val=&quot;00F54495&quot;/&gt;&lt;wsp:rsid wsp:val=&quot;00F55088&quot;/&gt;&lt;wsp:rsid wsp:val=&quot;00F567C0&quot;/&gt;&lt;wsp:rsid wsp:val=&quot;00F56B3F&quot;/&gt;&lt;wsp:rsid wsp:val=&quot;00F56C67&quot;/&gt;&lt;wsp:rsid wsp:val=&quot;00F56E02&quot;/&gt;&lt;wsp:rsid wsp:val=&quot;00F57AF4&quot;/&gt;&lt;wsp:rsid wsp:val=&quot;00F57FB8&quot;/&gt;&lt;wsp:rsid wsp:val=&quot;00F602DB&quot;/&gt;&lt;wsp:rsid wsp:val=&quot;00F604E2&quot;/&gt;&lt;wsp:rsid wsp:val=&quot;00F60625&quot;/&gt;&lt;wsp:rsid wsp:val=&quot;00F606F6&quot;/&gt;&lt;wsp:rsid wsp:val=&quot;00F6082D&quot;/&gt;&lt;wsp:rsid wsp:val=&quot;00F60CE2&quot;/&gt;&lt;wsp:rsid wsp:val=&quot;00F61060&quot;/&gt;&lt;wsp:rsid wsp:val=&quot;00F61345&quot;/&gt;&lt;wsp:rsid wsp:val=&quot;00F62684&quot;/&gt;&lt;wsp:rsid wsp:val=&quot;00F62C3B&quot;/&gt;&lt;wsp:rsid wsp:val=&quot;00F63AAD&quot;/&gt;&lt;wsp:rsid wsp:val=&quot;00F63E3E&quot;/&gt;&lt;wsp:rsid wsp:val=&quot;00F63EA3&quot;/&gt;&lt;wsp:rsid wsp:val=&quot;00F64258&quot;/&gt;&lt;wsp:rsid wsp:val=&quot;00F645FA&quot;/&gt;&lt;wsp:rsid wsp:val=&quot;00F645FC&quot;/&gt;&lt;wsp:rsid wsp:val=&quot;00F64A97&quot;/&gt;&lt;wsp:rsid wsp:val=&quot;00F65196&quot;/&gt;&lt;wsp:rsid wsp:val=&quot;00F65A8E&quot;/&gt;&lt;wsp:rsid wsp:val=&quot;00F65E6A&quot;/&gt;&lt;wsp:rsid wsp:val=&quot;00F662CB&quot;/&gt;&lt;wsp:rsid wsp:val=&quot;00F66730&quot;/&gt;&lt;wsp:rsid wsp:val=&quot;00F66923&quot;/&gt;&lt;wsp:rsid wsp:val=&quot;00F66B5B&quot;/&gt;&lt;wsp:rsid wsp:val=&quot;00F67BAF&quot;/&gt;&lt;wsp:rsid wsp:val=&quot;00F701C5&quot;/&gt;&lt;wsp:rsid wsp:val=&quot;00F70423&quot;/&gt;&lt;wsp:rsid wsp:val=&quot;00F71925&quot;/&gt;&lt;wsp:rsid wsp:val=&quot;00F719BC&quot;/&gt;&lt;wsp:rsid wsp:val=&quot;00F71EAF&quot;/&gt;&lt;wsp:rsid wsp:val=&quot;00F72036&quot;/&gt;&lt;wsp:rsid wsp:val=&quot;00F72055&quot;/&gt;&lt;wsp:rsid wsp:val=&quot;00F725BB&quot;/&gt;&lt;wsp:rsid wsp:val=&quot;00F725CF&quot;/&gt;&lt;wsp:rsid wsp:val=&quot;00F72A1C&quot;/&gt;&lt;wsp:rsid wsp:val=&quot;00F72BCC&quot;/&gt;&lt;wsp:rsid wsp:val=&quot;00F731A7&quot;/&gt;&lt;wsp:rsid wsp:val=&quot;00F73451&quot;/&gt;&lt;wsp:rsid wsp:val=&quot;00F7346A&quot;/&gt;&lt;wsp:rsid wsp:val=&quot;00F73624&quot;/&gt;&lt;wsp:rsid wsp:val=&quot;00F73926&quot;/&gt;&lt;wsp:rsid wsp:val=&quot;00F73972&quot;/&gt;&lt;wsp:rsid wsp:val=&quot;00F73AEE&quot;/&gt;&lt;wsp:rsid wsp:val=&quot;00F74112&quot;/&gt;&lt;wsp:rsid wsp:val=&quot;00F74495&quot;/&gt;&lt;wsp:rsid wsp:val=&quot;00F74664&quot;/&gt;&lt;wsp:rsid wsp:val=&quot;00F749A8&quot;/&gt;&lt;wsp:rsid wsp:val=&quot;00F74F62&quot;/&gt;&lt;wsp:rsid wsp:val=&quot;00F7562E&quot;/&gt;&lt;wsp:rsid wsp:val=&quot;00F75C56&quot;/&gt;&lt;wsp:rsid wsp:val=&quot;00F762BD&quot;/&gt;&lt;wsp:rsid wsp:val=&quot;00F7651F&quot;/&gt;&lt;wsp:rsid wsp:val=&quot;00F766FC&quot;/&gt;&lt;wsp:rsid wsp:val=&quot;00F76938&quot;/&gt;&lt;wsp:rsid wsp:val=&quot;00F76AC0&quot;/&gt;&lt;wsp:rsid wsp:val=&quot;00F76CCB&quot;/&gt;&lt;wsp:rsid wsp:val=&quot;00F77029&quot;/&gt;&lt;wsp:rsid wsp:val=&quot;00F773AF&quot;/&gt;&lt;wsp:rsid wsp:val=&quot;00F77644&quot;/&gt;&lt;wsp:rsid wsp:val=&quot;00F77AAE&quot;/&gt;&lt;wsp:rsid wsp:val=&quot;00F80275&quot;/&gt;&lt;wsp:rsid wsp:val=&quot;00F802FC&quot;/&gt;&lt;wsp:rsid wsp:val=&quot;00F80C4F&quot;/&gt;&lt;wsp:rsid wsp:val=&quot;00F80D49&quot;/&gt;&lt;wsp:rsid wsp:val=&quot;00F81178&quot;/&gt;&lt;wsp:rsid wsp:val=&quot;00F81444&quot;/&gt;&lt;wsp:rsid wsp:val=&quot;00F818C1&quot;/&gt;&lt;wsp:rsid wsp:val=&quot;00F81966&quot;/&gt;&lt;wsp:rsid wsp:val=&quot;00F82197&quot;/&gt;&lt;wsp:rsid wsp:val=&quot;00F822E6&quot;/&gt;&lt;wsp:rsid wsp:val=&quot;00F835D4&quot;/&gt;&lt;wsp:rsid wsp:val=&quot;00F83677&quot;/&gt;&lt;wsp:rsid wsp:val=&quot;00F83BB6&quot;/&gt;&lt;wsp:rsid wsp:val=&quot;00F83C18&quot;/&gt;&lt;wsp:rsid wsp:val=&quot;00F83CD8&quot;/&gt;&lt;wsp:rsid wsp:val=&quot;00F84216&quot;/&gt;&lt;wsp:rsid wsp:val=&quot;00F8504E&quot;/&gt;&lt;wsp:rsid wsp:val=&quot;00F85052&quot;/&gt;&lt;wsp:rsid wsp:val=&quot;00F851A9&quot;/&gt;&lt;wsp:rsid wsp:val=&quot;00F85290&quot;/&gt;&lt;wsp:rsid wsp:val=&quot;00F852E2&quot;/&gt;&lt;wsp:rsid wsp:val=&quot;00F86373&quot;/&gt;&lt;wsp:rsid wsp:val=&quot;00F863BA&quot;/&gt;&lt;wsp:rsid wsp:val=&quot;00F8722E&quot;/&gt;&lt;wsp:rsid wsp:val=&quot;00F87766&quot;/&gt;&lt;wsp:rsid wsp:val=&quot;00F877FB&quot;/&gt;&lt;wsp:rsid wsp:val=&quot;00F9023B&quot;/&gt;&lt;wsp:rsid wsp:val=&quot;00F90624&quot;/&gt;&lt;wsp:rsid wsp:val=&quot;00F906FF&quot;/&gt;&lt;wsp:rsid wsp:val=&quot;00F908D6&quot;/&gt;&lt;wsp:rsid wsp:val=&quot;00F90D29&quot;/&gt;&lt;wsp:rsid wsp:val=&quot;00F90D50&quot;/&gt;&lt;wsp:rsid wsp:val=&quot;00F91320&quot;/&gt;&lt;wsp:rsid wsp:val=&quot;00F9138D&quot;/&gt;&lt;wsp:rsid wsp:val=&quot;00F91546&quot;/&gt;&lt;wsp:rsid wsp:val=&quot;00F921E5&quot;/&gt;&lt;wsp:rsid wsp:val=&quot;00F9234D&quot;/&gt;&lt;wsp:rsid wsp:val=&quot;00F925D7&quot;/&gt;&lt;wsp:rsid wsp:val=&quot;00F92AED&quot;/&gt;&lt;wsp:rsid wsp:val=&quot;00F92DC7&quot;/&gt;&lt;wsp:rsid wsp:val=&quot;00F92EEE&quot;/&gt;&lt;wsp:rsid wsp:val=&quot;00F92FA9&quot;/&gt;&lt;wsp:rsid wsp:val=&quot;00F93023&quot;/&gt;&lt;wsp:rsid wsp:val=&quot;00F93048&quot;/&gt;&lt;wsp:rsid wsp:val=&quot;00F9313D&quot;/&gt;&lt;wsp:rsid wsp:val=&quot;00F9364B&quot;/&gt;&lt;wsp:rsid wsp:val=&quot;00F937B8&quot;/&gt;&lt;wsp:rsid wsp:val=&quot;00F93B13&quot;/&gt;&lt;wsp:rsid wsp:val=&quot;00F93B1D&quot;/&gt;&lt;wsp:rsid wsp:val=&quot;00F9412E&quot;/&gt;&lt;wsp:rsid wsp:val=&quot;00F942B6&quot;/&gt;&lt;wsp:rsid wsp:val=&quot;00F94342&quot;/&gt;&lt;wsp:rsid wsp:val=&quot;00F95173&quot;/&gt;&lt;wsp:rsid wsp:val=&quot;00F95567&quot;/&gt;&lt;wsp:rsid wsp:val=&quot;00F95BD7&quot;/&gt;&lt;wsp:rsid wsp:val=&quot;00F960E3&quot;/&gt;&lt;wsp:rsid wsp:val=&quot;00F9623B&quot;/&gt;&lt;wsp:rsid wsp:val=&quot;00F96422&quot;/&gt;&lt;wsp:rsid wsp:val=&quot;00F96684&quot;/&gt;&lt;wsp:rsid wsp:val=&quot;00F96763&quot;/&gt;&lt;wsp:rsid wsp:val=&quot;00F96A76&quot;/&gt;&lt;wsp:rsid wsp:val=&quot;00F96BC3&quot;/&gt;&lt;wsp:rsid wsp:val=&quot;00F96BEB&quot;/&gt;&lt;wsp:rsid wsp:val=&quot;00F96CA8&quot;/&gt;&lt;wsp:rsid wsp:val=&quot;00F97C96&quot;/&gt;&lt;wsp:rsid wsp:val=&quot;00F97DAE&quot;/&gt;&lt;wsp:rsid wsp:val=&quot;00FA01BA&quot;/&gt;&lt;wsp:rsid wsp:val=&quot;00FA020C&quot;/&gt;&lt;wsp:rsid wsp:val=&quot;00FA0564&quot;/&gt;&lt;wsp:rsid wsp:val=&quot;00FA0738&quot;/&gt;&lt;wsp:rsid wsp:val=&quot;00FA0B4F&quot;/&gt;&lt;wsp:rsid wsp:val=&quot;00FA1308&quot;/&gt;&lt;wsp:rsid wsp:val=&quot;00FA137E&quot;/&gt;&lt;wsp:rsid wsp:val=&quot;00FA1ACF&quot;/&gt;&lt;wsp:rsid wsp:val=&quot;00FA1BA2&quot;/&gt;&lt;wsp:rsid wsp:val=&quot;00FA1E3F&quot;/&gt;&lt;wsp:rsid wsp:val=&quot;00FA2174&quot;/&gt;&lt;wsp:rsid wsp:val=&quot;00FA23E8&quot;/&gt;&lt;wsp:rsid wsp:val=&quot;00FA2914&quot;/&gt;&lt;wsp:rsid wsp:val=&quot;00FA2B2E&quot;/&gt;&lt;wsp:rsid wsp:val=&quot;00FA2B62&quot;/&gt;&lt;wsp:rsid wsp:val=&quot;00FA30F2&quot;/&gt;&lt;wsp:rsid wsp:val=&quot;00FA37F8&quot;/&gt;&lt;wsp:rsid wsp:val=&quot;00FA3C42&quot;/&gt;&lt;wsp:rsid wsp:val=&quot;00FA4625&quot;/&gt;&lt;wsp:rsid wsp:val=&quot;00FA4687&quot;/&gt;&lt;wsp:rsid wsp:val=&quot;00FA48D3&quot;/&gt;&lt;wsp:rsid wsp:val=&quot;00FA499D&quot;/&gt;&lt;wsp:rsid wsp:val=&quot;00FA4A25&quot;/&gt;&lt;wsp:rsid wsp:val=&quot;00FA4B70&quot;/&gt;&lt;wsp:rsid wsp:val=&quot;00FA4CB6&quot;/&gt;&lt;wsp:rsid wsp:val=&quot;00FA4CF3&quot;/&gt;&lt;wsp:rsid wsp:val=&quot;00FA4DAB&quot;/&gt;&lt;wsp:rsid wsp:val=&quot;00FA5641&quot;/&gt;&lt;wsp:rsid wsp:val=&quot;00FA56A7&quot;/&gt;&lt;wsp:rsid wsp:val=&quot;00FA5BAB&quot;/&gt;&lt;wsp:rsid wsp:val=&quot;00FA60EC&quot;/&gt;&lt;wsp:rsid wsp:val=&quot;00FA66AD&quot;/&gt;&lt;wsp:rsid wsp:val=&quot;00FA6C75&quot;/&gt;&lt;wsp:rsid wsp:val=&quot;00FA6DE2&quot;/&gt;&lt;wsp:rsid wsp:val=&quot;00FA7042&quot;/&gt;&lt;wsp:rsid wsp:val=&quot;00FA78C8&quot;/&gt;&lt;wsp:rsid wsp:val=&quot;00FB024C&quot;/&gt;&lt;wsp:rsid wsp:val=&quot;00FB0C29&quot;/&gt;&lt;wsp:rsid wsp:val=&quot;00FB0CE8&quot;/&gt;&lt;wsp:rsid wsp:val=&quot;00FB0F90&quot;/&gt;&lt;wsp:rsid wsp:val=&quot;00FB12D1&quot;/&gt;&lt;wsp:rsid wsp:val=&quot;00FB15AB&quot;/&gt;&lt;wsp:rsid wsp:val=&quot;00FB18B2&quot;/&gt;&lt;wsp:rsid wsp:val=&quot;00FB22A3&quot;/&gt;&lt;wsp:rsid wsp:val=&quot;00FB3017&quot;/&gt;&lt;wsp:rsid wsp:val=&quot;00FB3377&quot;/&gt;&lt;wsp:rsid wsp:val=&quot;00FB34A9&quot;/&gt;&lt;wsp:rsid wsp:val=&quot;00FB3D7C&quot;/&gt;&lt;wsp:rsid wsp:val=&quot;00FB4408&quot;/&gt;&lt;wsp:rsid wsp:val=&quot;00FB4510&quot;/&gt;&lt;wsp:rsid wsp:val=&quot;00FB45DE&quot;/&gt;&lt;wsp:rsid wsp:val=&quot;00FB4625&quot;/&gt;&lt;wsp:rsid wsp:val=&quot;00FB5DF8&quot;/&gt;&lt;wsp:rsid wsp:val=&quot;00FB63E9&quot;/&gt;&lt;wsp:rsid wsp:val=&quot;00FB68A1&quot;/&gt;&lt;wsp:rsid wsp:val=&quot;00FB6AEA&quot;/&gt;&lt;wsp:rsid wsp:val=&quot;00FB6E0A&quot;/&gt;&lt;wsp:rsid wsp:val=&quot;00FB6F95&quot;/&gt;&lt;wsp:rsid wsp:val=&quot;00FB7175&quot;/&gt;&lt;wsp:rsid wsp:val=&quot;00FB74CB&quot;/&gt;&lt;wsp:rsid wsp:val=&quot;00FB7DE5&quot;/&gt;&lt;wsp:rsid wsp:val=&quot;00FB7F7E&quot;/&gt;&lt;wsp:rsid wsp:val=&quot;00FC061B&quot;/&gt;&lt;wsp:rsid wsp:val=&quot;00FC06D0&quot;/&gt;&lt;wsp:rsid wsp:val=&quot;00FC16D5&quot;/&gt;&lt;wsp:rsid wsp:val=&quot;00FC172C&quot;/&gt;&lt;wsp:rsid wsp:val=&quot;00FC1C86&quot;/&gt;&lt;wsp:rsid wsp:val=&quot;00FC1CB2&quot;/&gt;&lt;wsp:rsid wsp:val=&quot;00FC24D1&quot;/&gt;&lt;wsp:rsid wsp:val=&quot;00FC30DD&quot;/&gt;&lt;wsp:rsid wsp:val=&quot;00FC3ADF&quot;/&gt;&lt;wsp:rsid wsp:val=&quot;00FC3B90&quot;/&gt;&lt;wsp:rsid wsp:val=&quot;00FC3BF9&quot;/&gt;&lt;wsp:rsid wsp:val=&quot;00FC4018&quot;/&gt;&lt;wsp:rsid wsp:val=&quot;00FC4050&quot;/&gt;&lt;wsp:rsid wsp:val=&quot;00FC41D5&quot;/&gt;&lt;wsp:rsid wsp:val=&quot;00FC4C6A&quot;/&gt;&lt;wsp:rsid wsp:val=&quot;00FC4C77&quot;/&gt;&lt;wsp:rsid wsp:val=&quot;00FC563D&quot;/&gt;&lt;wsp:rsid wsp:val=&quot;00FC5684&quot;/&gt;&lt;wsp:rsid wsp:val=&quot;00FC608E&quot;/&gt;&lt;wsp:rsid wsp:val=&quot;00FC6B75&quot;/&gt;&lt;wsp:rsid wsp:val=&quot;00FC74DD&quot;/&gt;&lt;wsp:rsid wsp:val=&quot;00FC7546&quot;/&gt;&lt;wsp:rsid wsp:val=&quot;00FC75E1&quot;/&gt;&lt;wsp:rsid wsp:val=&quot;00FC7C38&quot;/&gt;&lt;wsp:rsid wsp:val=&quot;00FD0474&quot;/&gt;&lt;wsp:rsid wsp:val=&quot;00FD0959&quot;/&gt;&lt;wsp:rsid wsp:val=&quot;00FD100D&quot;/&gt;&lt;wsp:rsid wsp:val=&quot;00FD13E1&quot;/&gt;&lt;wsp:rsid wsp:val=&quot;00FD20FE&quot;/&gt;&lt;wsp:rsid wsp:val=&quot;00FD21A7&quot;/&gt;&lt;wsp:rsid wsp:val=&quot;00FD30F7&quot;/&gt;&lt;wsp:rsid wsp:val=&quot;00FD3299&quot;/&gt;&lt;wsp:rsid wsp:val=&quot;00FD38E6&quot;/&gt;&lt;wsp:rsid wsp:val=&quot;00FD3AEB&quot;/&gt;&lt;wsp:rsid wsp:val=&quot;00FD3E0E&quot;/&gt;&lt;wsp:rsid wsp:val=&quot;00FD4358&quot;/&gt;&lt;wsp:rsid wsp:val=&quot;00FD4970&quot;/&gt;&lt;wsp:rsid wsp:val=&quot;00FD4D62&quot;/&gt;&lt;wsp:rsid wsp:val=&quot;00FD4F58&quot;/&gt;&lt;wsp:rsid wsp:val=&quot;00FD58E5&quot;/&gt;&lt;wsp:rsid wsp:val=&quot;00FD609F&quot;/&gt;&lt;wsp:rsid wsp:val=&quot;00FD6F02&quot;/&gt;&lt;wsp:rsid wsp:val=&quot;00FD6F1E&quot;/&gt;&lt;wsp:rsid wsp:val=&quot;00FD72D1&quot;/&gt;&lt;wsp:rsid wsp:val=&quot;00FD73A1&quot;/&gt;&lt;wsp:rsid wsp:val=&quot;00FD7501&quot;/&gt;&lt;wsp:rsid wsp:val=&quot;00FD7F40&quot;/&gt;&lt;wsp:rsid wsp:val=&quot;00FE0075&quot;/&gt;&lt;wsp:rsid wsp:val=&quot;00FE0B82&quot;/&gt;&lt;wsp:rsid wsp:val=&quot;00FE0E9B&quot;/&gt;&lt;wsp:rsid wsp:val=&quot;00FE0FB6&quot;/&gt;&lt;wsp:rsid wsp:val=&quot;00FE1737&quot;/&gt;&lt;wsp:rsid wsp:val=&quot;00FE2319&quot;/&gt;&lt;wsp:rsid wsp:val=&quot;00FE2989&quot;/&gt;&lt;wsp:rsid wsp:val=&quot;00FE2ACE&quot;/&gt;&lt;wsp:rsid wsp:val=&quot;00FE2E4F&quot;/&gt;&lt;wsp:rsid wsp:val=&quot;00FE3A9D&quot;/&gt;&lt;wsp:rsid wsp:val=&quot;00FE3EC2&quot;/&gt;&lt;wsp:rsid wsp:val=&quot;00FE406A&quot;/&gt;&lt;wsp:rsid wsp:val=&quot;00FE4BF2&quot;/&gt;&lt;wsp:rsid wsp:val=&quot;00FE5105&quot;/&gt;&lt;wsp:rsid wsp:val=&quot;00FE5622&quot;/&gt;&lt;wsp:rsid wsp:val=&quot;00FE5669&quot;/&gt;&lt;wsp:rsid wsp:val=&quot;00FE583C&quot;/&gt;&lt;wsp:rsid wsp:val=&quot;00FE5916&quot;/&gt;&lt;wsp:rsid wsp:val=&quot;00FE598C&quot;/&gt;&lt;wsp:rsid wsp:val=&quot;00FE5D28&quot;/&gt;&lt;wsp:rsid wsp:val=&quot;00FE5FC5&quot;/&gt;&lt;wsp:rsid wsp:val=&quot;00FE6246&quot;/&gt;&lt;wsp:rsid wsp:val=&quot;00FE7670&quot;/&gt;&lt;wsp:rsid wsp:val=&quot;00FE7AE4&quot;/&gt;&lt;wsp:rsid wsp:val=&quot;00FE7F2F&quot;/&gt;&lt;wsp:rsid wsp:val=&quot;00FF1083&quot;/&gt;&lt;wsp:rsid wsp:val=&quot;00FF1247&quot;/&gt;&lt;wsp:rsid wsp:val=&quot;00FF1397&quot;/&gt;&lt;wsp:rsid wsp:val=&quot;00FF14A8&quot;/&gt;&lt;wsp:rsid wsp:val=&quot;00FF150A&quot;/&gt;&lt;wsp:rsid wsp:val=&quot;00FF1719&quot;/&gt;&lt;wsp:rsid wsp:val=&quot;00FF19FD&quot;/&gt;&lt;wsp:rsid wsp:val=&quot;00FF1CF1&quot;/&gt;&lt;wsp:rsid wsp:val=&quot;00FF2619&quot;/&gt;&lt;wsp:rsid wsp:val=&quot;00FF32FC&quot;/&gt;&lt;wsp:rsid wsp:val=&quot;00FF3355&quot;/&gt;&lt;wsp:rsid wsp:val=&quot;00FF3540&quot;/&gt;&lt;wsp:rsid wsp:val=&quot;00FF3979&quot;/&gt;&lt;wsp:rsid wsp:val=&quot;00FF3ADA&quot;/&gt;&lt;wsp:rsid wsp:val=&quot;00FF3CDB&quot;/&gt;&lt;wsp:rsid wsp:val=&quot;00FF3D4C&quot;/&gt;&lt;wsp:rsid wsp:val=&quot;00FF431A&quot;/&gt;&lt;wsp:rsid wsp:val=&quot;00FF48AF&quot;/&gt;&lt;wsp:rsid wsp:val=&quot;00FF4C70&quot;/&gt;&lt;wsp:rsid wsp:val=&quot;00FF4C96&quot;/&gt;&lt;wsp:rsid wsp:val=&quot;00FF4E2D&quot;/&gt;&lt;wsp:rsid wsp:val=&quot;00FF4FC7&quot;/&gt;&lt;wsp:rsid wsp:val=&quot;00FF57B8&quot;/&gt;&lt;wsp:rsid wsp:val=&quot;00FF59D1&quot;/&gt;&lt;wsp:rsid wsp:val=&quot;00FF62D4&quot;/&gt;&lt;wsp:rsid wsp:val=&quot;00FF6374&quot;/&gt;&lt;wsp:rsid wsp:val=&quot;00FF6A1B&quot;/&gt;&lt;wsp:rsid wsp:val=&quot;00FF6AFD&quot;/&gt;&lt;wsp:rsid wsp:val=&quot;00FF7210&quot;/&gt;&lt;wsp:rsid wsp:val=&quot;00FF74F4&quot;/&gt;&lt;wsp:rsid wsp:val=&quot;00FF797F&quot;/&gt;&lt;wsp:rsid wsp:val=&quot;00FF7B89&quot;/&gt;&lt;wsp:rsid wsp:val=&quot;01904007&quot;/&gt;&lt;wsp:rsid wsp:val=&quot;01B52F7F&quot;/&gt;&lt;wsp:rsid wsp:val=&quot;02920095&quot;/&gt;&lt;wsp:rsid wsp:val=&quot;02B37479&quot;/&gt;&lt;wsp:rsid wsp:val=&quot;02FE2009&quot;/&gt;&lt;wsp:rsid wsp:val=&quot;0323755B&quot;/&gt;&lt;wsp:rsid wsp:val=&quot;03553E87&quot;/&gt;&lt;wsp:rsid wsp:val=&quot;03A5656E&quot;/&gt;&lt;wsp:rsid wsp:val=&quot;03BA728A&quot;/&gt;&lt;wsp:rsid wsp:val=&quot;03EE0A38&quot;/&gt;&lt;wsp:rsid wsp:val=&quot;04421A04&quot;/&gt;&lt;wsp:rsid wsp:val=&quot;044B2B57&quot;/&gt;&lt;wsp:rsid wsp:val=&quot;04596379&quot;/&gt;&lt;wsp:rsid wsp:val=&quot;053F4E39&quot;/&gt;&lt;wsp:rsid wsp:val=&quot;056A6865&quot;/&gt;&lt;wsp:rsid wsp:val=&quot;05957097&quot;/&gt;&lt;wsp:rsid wsp:val=&quot;05E01426&quot;/&gt;&lt;wsp:rsid wsp:val=&quot;05F645A1&quot;/&gt;&lt;wsp:rsid wsp:val=&quot;07166A08&quot;/&gt;&lt;wsp:rsid wsp:val=&quot;072B69E6&quot;/&gt;&lt;wsp:rsid wsp:val=&quot;076A13D5&quot;/&gt;&lt;wsp:rsid wsp:val=&quot;07D773D9&quot;/&gt;&lt;wsp:rsid wsp:val=&quot;080404DD&quot;/&gt;&lt;wsp:rsid wsp:val=&quot;0827789D&quot;/&gt;&lt;wsp:rsid wsp:val=&quot;086806A7&quot;/&gt;&lt;wsp:rsid wsp:val=&quot;08D94574&quot;/&gt;&lt;wsp:rsid wsp:val=&quot;09167866&quot;/&gt;&lt;wsp:rsid wsp:val=&quot;092B0E42&quot;/&gt;&lt;wsp:rsid wsp:val=&quot;094C3896&quot;/&gt;&lt;wsp:rsid wsp:val=&quot;099D379E&quot;/&gt;&lt;wsp:rsid wsp:val=&quot;09E276C0&quot;/&gt;&lt;wsp:rsid wsp:val=&quot;09ED0EB9&quot;/&gt;&lt;wsp:rsid wsp:val=&quot;09F95097&quot;/&gt;&lt;wsp:rsid wsp:val=&quot;0A21406A&quot;/&gt;&lt;wsp:rsid wsp:val=&quot;0A4773D0&quot;/&gt;&lt;wsp:rsid wsp:val=&quot;0A565F04&quot;/&gt;&lt;wsp:rsid wsp:val=&quot;0A5F2353&quot;/&gt;&lt;wsp:rsid wsp:val=&quot;0ABD5FBA&quot;/&gt;&lt;wsp:rsid wsp:val=&quot;0B5A2007&quot;/&gt;&lt;wsp:rsid wsp:val=&quot;0B7B3911&quot;/&gt;&lt;wsp:rsid wsp:val=&quot;0BF201A5&quot;/&gt;&lt;wsp:rsid wsp:val=&quot;0C5E3A38&quot;/&gt;&lt;wsp:rsid wsp:val=&quot;0C7D34DA&quot;/&gt;&lt;wsp:rsid wsp:val=&quot;0CB005DE&quot;/&gt;&lt;wsp:rsid wsp:val=&quot;0D08446E&quot;/&gt;&lt;wsp:rsid wsp:val=&quot;0D2B78E3&quot;/&gt;&lt;wsp:rsid wsp:val=&quot;0D4E4DAD&quot;/&gt;&lt;wsp:rsid wsp:val=&quot;0D51796B&quot;/&gt;&lt;wsp:rsid wsp:val=&quot;0D666B65&quot;/&gt;&lt;wsp:rsid wsp:val=&quot;0D9B676D&quot;/&gt;&lt;wsp:rsid wsp:val=&quot;0DCD44D3&quot;/&gt;&lt;wsp:rsid wsp:val=&quot;0DF441E4&quot;/&gt;&lt;wsp:rsid wsp:val=&quot;0E665707&quot;/&gt;&lt;wsp:rsid wsp:val=&quot;0EB1331A&quot;/&gt;&lt;wsp:rsid wsp:val=&quot;0EDC7530&quot;/&gt;&lt;wsp:rsid wsp:val=&quot;0EDE5C75&quot;/&gt;&lt;wsp:rsid wsp:val=&quot;0EE36FD4&quot;/&gt;&lt;wsp:rsid wsp:val=&quot;0F955D60&quot;/&gt;&lt;wsp:rsid wsp:val=&quot;0FA90366&quot;/&gt;&lt;wsp:rsid wsp:val=&quot;0FF33576&quot;/&gt;&lt;wsp:rsid wsp:val=&quot;101D5AE6&quot;/&gt;&lt;wsp:rsid wsp:val=&quot;103D5811&quot;/&gt;&lt;wsp:rsid wsp:val=&quot;106E4209&quot;/&gt;&lt;wsp:rsid wsp:val=&quot;108630D2&quot;/&gt;&lt;wsp:rsid wsp:val=&quot;10883793&quot;/&gt;&lt;wsp:rsid wsp:val=&quot;108B1CFD&quot;/&gt;&lt;wsp:rsid wsp:val=&quot;109B144E&quot;/&gt;&lt;wsp:rsid wsp:val=&quot;10B46EE2&quot;/&gt;&lt;wsp:rsid wsp:val=&quot;10CC691B&quot;/&gt;&lt;wsp:rsid wsp:val=&quot;110D4BBB&quot;/&gt;&lt;wsp:rsid wsp:val=&quot;11165221&quot;/&gt;&lt;wsp:rsid wsp:val=&quot;115437EB&quot;/&gt;&lt;wsp:rsid wsp:val=&quot;12487426&quot;/&gt;&lt;wsp:rsid wsp:val=&quot;13487CE2&quot;/&gt;&lt;wsp:rsid wsp:val=&quot;13BB6E4D&quot;/&gt;&lt;wsp:rsid wsp:val=&quot;13C771A7&quot;/&gt;&lt;wsp:rsid wsp:val=&quot;145D37A8&quot;/&gt;&lt;wsp:rsid wsp:val=&quot;151A407D&quot;/&gt;&lt;wsp:rsid wsp:val=&quot;152067EE&quot;/&gt;&lt;wsp:rsid wsp:val=&quot;1609079A&quot;/&gt;&lt;wsp:rsid wsp:val=&quot;160D7807&quot;/&gt;&lt;wsp:rsid wsp:val=&quot;16315934&quot;/&gt;&lt;wsp:rsid wsp:val=&quot;164E43DF&quot;/&gt;&lt;wsp:rsid wsp:val=&quot;16707602&quot;/&gt;&lt;wsp:rsid wsp:val=&quot;16BC0232&quot;/&gt;&lt;wsp:rsid wsp:val=&quot;16EE1DF7&quot;/&gt;&lt;wsp:rsid wsp:val=&quot;171F61DF&quot;/&gt;&lt;wsp:rsid wsp:val=&quot;1783778D&quot;/&gt;&lt;wsp:rsid wsp:val=&quot;17C14FC3&quot;/&gt;&lt;wsp:rsid wsp:val=&quot;17EF7588&quot;/&gt;&lt;wsp:rsid wsp:val=&quot;183F1BA5&quot;/&gt;&lt;wsp:rsid wsp:val=&quot;184F140A&quot;/&gt;&lt;wsp:rsid wsp:val=&quot;186F37E2&quot;/&gt;&lt;wsp:rsid wsp:val=&quot;18FB0F66&quot;/&gt;&lt;wsp:rsid wsp:val=&quot;18FB7085&quot;/&gt;&lt;wsp:rsid wsp:val=&quot;19162B71&quot;/&gt;&lt;wsp:rsid wsp:val=&quot;19715863&quot;/&gt;&lt;wsp:rsid wsp:val=&quot;198753E9&quot;/&gt;&lt;wsp:rsid wsp:val=&quot;19C90D7B&quot;/&gt;&lt;wsp:rsid wsp:val=&quot;1A7B33B3&quot;/&gt;&lt;wsp:rsid wsp:val=&quot;1A88652C&quot;/&gt;&lt;wsp:rsid wsp:val=&quot;1A8F752E&quot;/&gt;&lt;wsp:rsid wsp:val=&quot;1A953298&quot;/&gt;&lt;wsp:rsid wsp:val=&quot;1AD95BC6&quot;/&gt;&lt;wsp:rsid wsp:val=&quot;1B5416E1&quot;/&gt;&lt;wsp:rsid wsp:val=&quot;1B565900&quot;/&gt;&lt;wsp:rsid wsp:val=&quot;1BCE3E3D&quot;/&gt;&lt;wsp:rsid wsp:val=&quot;1C4E50B2&quot;/&gt;&lt;wsp:rsid wsp:val=&quot;1C943B2A&quot;/&gt;&lt;wsp:rsid wsp:val=&quot;1CA71586&quot;/&gt;&lt;wsp:rsid wsp:val=&quot;1CB01854&quot;/&gt;&lt;wsp:rsid wsp:val=&quot;1D533F6A&quot;/&gt;&lt;wsp:rsid wsp:val=&quot;1D8C54C6&quot;/&gt;&lt;wsp:rsid wsp:val=&quot;1D933007&quot;/&gt;&lt;wsp:rsid wsp:val=&quot;1DB179FD&quot;/&gt;&lt;wsp:rsid wsp:val=&quot;1DE567F3&quot;/&gt;&lt;wsp:rsid wsp:val=&quot;1E8929A6&quot;/&gt;&lt;wsp:rsid wsp:val=&quot;1EC70060&quot;/&gt;&lt;wsp:rsid wsp:val=&quot;1EF27054&quot;/&gt;&lt;wsp:rsid wsp:val=&quot;1F2D5BAC&quot;/&gt;&lt;wsp:rsid wsp:val=&quot;1FFE0A96&quot;/&gt;&lt;wsp:rsid wsp:val=&quot;200640FC&quot;/&gt;&lt;wsp:rsid wsp:val=&quot;209C0BDB&quot;/&gt;&lt;wsp:rsid wsp:val=&quot;20B84BB9&quot;/&gt;&lt;wsp:rsid wsp:val=&quot;20BB38E7&quot;/&gt;&lt;wsp:rsid wsp:val=&quot;218B773D&quot;/&gt;&lt;wsp:rsid wsp:val=&quot;21AC6F9D&quot;/&gt;&lt;wsp:rsid wsp:val=&quot;21C16FD7&quot;/&gt;&lt;wsp:rsid wsp:val=&quot;224E132E&quot;/&gt;&lt;wsp:rsid wsp:val=&quot;22773A35&quot;/&gt;&lt;wsp:rsid wsp:val=&quot;22C244A5&quot;/&gt;&lt;wsp:rsid wsp:val=&quot;22CA5EAA&quot;/&gt;&lt;wsp:rsid wsp:val=&quot;231A049F&quot;/&gt;&lt;wsp:rsid wsp:val=&quot;239B6ED3&quot;/&gt;&lt;wsp:rsid wsp:val=&quot;23DF2CE7&quot;/&gt;&lt;wsp:rsid wsp:val=&quot;24490971&quot;/&gt;&lt;wsp:rsid wsp:val=&quot;248A2873&quot;/&gt;&lt;wsp:rsid wsp:val=&quot;24B91B41&quot;/&gt;&lt;wsp:rsid wsp:val=&quot;25020AE4&quot;/&gt;&lt;wsp:rsid wsp:val=&quot;251004E7&quot;/&gt;&lt;wsp:rsid wsp:val=&quot;25AF7328&quot;/&gt;&lt;wsp:rsid wsp:val=&quot;25CA697A&quot;/&gt;&lt;wsp:rsid wsp:val=&quot;26336213&quot;/&gt;&lt;wsp:rsid wsp:val=&quot;266712D5&quot;/&gt;&lt;wsp:rsid wsp:val=&quot;266B7CE1&quot;/&gt;&lt;wsp:rsid wsp:val=&quot;26C82176&quot;/&gt;&lt;wsp:rsid wsp:val=&quot;26FA7F38&quot;/&gt;&lt;wsp:rsid wsp:val=&quot;272357C9&quot;/&gt;&lt;wsp:rsid wsp:val=&quot;279E4B32&quot;/&gt;&lt;wsp:rsid wsp:val=&quot;27CC0F8A&quot;/&gt;&lt;wsp:rsid wsp:val=&quot;28362D4D&quot;/&gt;&lt;wsp:rsid wsp:val=&quot;28834FC2&quot;/&gt;&lt;wsp:rsid wsp:val=&quot;288D067D&quot;/&gt;&lt;wsp:rsid wsp:val=&quot;28BB61B8&quot;/&gt;&lt;wsp:rsid wsp:val=&quot;28C424DA&quot;/&gt;&lt;wsp:rsid wsp:val=&quot;28EF6012&quot;/&gt;&lt;wsp:rsid wsp:val=&quot;293943AB&quot;/&gt;&lt;wsp:rsid wsp:val=&quot;294A5328&quot;/&gt;&lt;wsp:rsid wsp:val=&quot;29562CBE&quot;/&gt;&lt;wsp:rsid wsp:val=&quot;297C1EF1&quot;/&gt;&lt;wsp:rsid wsp:val=&quot;29986D6E&quot;/&gt;&lt;wsp:rsid wsp:val=&quot;29B82DF9&quot;/&gt;&lt;wsp:rsid wsp:val=&quot;29DA2123&quot;/&gt;&lt;wsp:rsid wsp:val=&quot;2A1358E7&quot;/&gt;&lt;wsp:rsid wsp:val=&quot;2A1424A2&quot;/&gt;&lt;wsp:rsid wsp:val=&quot;2A2C044F&quot;/&gt;&lt;wsp:rsid wsp:val=&quot;2A5976D6&quot;/&gt;&lt;wsp:rsid wsp:val=&quot;2A667EDB&quot;/&gt;&lt;wsp:rsid wsp:val=&quot;2A867DD6&quot;/&gt;&lt;wsp:rsid wsp:val=&quot;2A9A10B9&quot;/&gt;&lt;wsp:rsid wsp:val=&quot;2ACD3BEC&quot;/&gt;&lt;wsp:rsid wsp:val=&quot;2BA528F7&quot;/&gt;&lt;wsp:rsid wsp:val=&quot;2C592B9B&quot;/&gt;&lt;wsp:rsid wsp:val=&quot;2CA96BB4&quot;/&gt;&lt;wsp:rsid wsp:val=&quot;2CC060EE&quot;/&gt;&lt;wsp:rsid wsp:val=&quot;2CEB42EE&quot;/&gt;&lt;wsp:rsid wsp:val=&quot;2CEE1C6D&quot;/&gt;&lt;wsp:rsid wsp:val=&quot;2CF94377&quot;/&gt;&lt;wsp:rsid wsp:val=&quot;2D60265C&quot;/&gt;&lt;wsp:rsid wsp:val=&quot;2D90533A&quot;/&gt;&lt;wsp:rsid wsp:val=&quot;2E75070D&quot;/&gt;&lt;wsp:rsid wsp:val=&quot;2E75790E&quot;/&gt;&lt;wsp:rsid wsp:val=&quot;2E9C7473&quot;/&gt;&lt;wsp:rsid wsp:val=&quot;2EB47F6B&quot;/&gt;&lt;wsp:rsid wsp:val=&quot;2FAF4850&quot;/&gt;&lt;wsp:rsid wsp:val=&quot;2FD15770&quot;/&gt;&lt;wsp:rsid wsp:val=&quot;305F12C7&quot;/&gt;&lt;wsp:rsid wsp:val=&quot;30B7776F&quot;/&gt;&lt;wsp:rsid wsp:val=&quot;31303E97&quot;/&gt;&lt;wsp:rsid wsp:val=&quot;31BC7E43&quot;/&gt;&lt;wsp:rsid wsp:val=&quot;322E27C9&quot;/&gt;&lt;wsp:rsid wsp:val=&quot;3268631D&quot;/&gt;&lt;wsp:rsid wsp:val=&quot;32B6014E&quot;/&gt;&lt;wsp:rsid wsp:val=&quot;33983990&quot;/&gt;&lt;wsp:rsid wsp:val=&quot;339972D2&quot;/&gt;&lt;wsp:rsid wsp:val=&quot;339A2B59&quot;/&gt;&lt;wsp:rsid wsp:val=&quot;33C1435D&quot;/&gt;&lt;wsp:rsid wsp:val=&quot;33C57E14&quot;/&gt;&lt;wsp:rsid wsp:val=&quot;33E312BB&quot;/&gt;&lt;wsp:rsid wsp:val=&quot;33EB32F2&quot;/&gt;&lt;wsp:rsid wsp:val=&quot;33ED430A&quot;/&gt;&lt;wsp:rsid wsp:val=&quot;34A777FF&quot;/&gt;&lt;wsp:rsid wsp:val=&quot;34AD215C&quot;/&gt;&lt;wsp:rsid wsp:val=&quot;356F4861&quot;/&gt;&lt;wsp:rsid wsp:val=&quot;35744F05&quot;/&gt;&lt;wsp:rsid wsp:val=&quot;35D65175&quot;/&gt;&lt;wsp:rsid wsp:val=&quot;36724672&quot;/&gt;&lt;wsp:rsid wsp:val=&quot;369F1C1F&quot;/&gt;&lt;wsp:rsid wsp:val=&quot;36C46922&quot;/&gt;&lt;wsp:rsid wsp:val=&quot;374F3B2F&quot;/&gt;&lt;wsp:rsid wsp:val=&quot;376003CF&quot;/&gt;&lt;wsp:rsid wsp:val=&quot;376D0368&quot;/&gt;&lt;wsp:rsid wsp:val=&quot;37E32F9A&quot;/&gt;&lt;wsp:rsid wsp:val=&quot;37F560F4&quot;/&gt;&lt;wsp:rsid wsp:val=&quot;389B6149&quot;/&gt;&lt;wsp:rsid wsp:val=&quot;389E5AAC&quot;/&gt;&lt;wsp:rsid wsp:val=&quot;38D618CA&quot;/&gt;&lt;wsp:rsid wsp:val=&quot;39014F7D&quot;/&gt;&lt;wsp:rsid wsp:val=&quot;39417FF5&quot;/&gt;&lt;wsp:rsid wsp:val=&quot;39532D82&quot;/&gt;&lt;wsp:rsid wsp:val=&quot;39A21F72&quot;/&gt;&lt;wsp:rsid wsp:val=&quot;39C31AF2&quot;/&gt;&lt;wsp:rsid wsp:val=&quot;39C36A5B&quot;/&gt;&lt;wsp:rsid wsp:val=&quot;39DA4BD5&quot;/&gt;&lt;wsp:rsid wsp:val=&quot;3A150264&quot;/&gt;&lt;wsp:rsid wsp:val=&quot;3A6B28F3&quot;/&gt;&lt;wsp:rsid wsp:val=&quot;3BD77ED0&quot;/&gt;&lt;wsp:rsid wsp:val=&quot;3BF7356A&quot;/&gt;&lt;wsp:rsid wsp:val=&quot;3C3B6104&quot;/&gt;&lt;wsp:rsid wsp:val=&quot;3C544E6E&quot;/&gt;&lt;wsp:rsid wsp:val=&quot;3C937972&quot;/&gt;&lt;wsp:rsid wsp:val=&quot;3CC06927&quot;/&gt;&lt;wsp:rsid wsp:val=&quot;3D853B21&quot;/&gt;&lt;wsp:rsid wsp:val=&quot;3DAF2871&quot;/&gt;&lt;wsp:rsid wsp:val=&quot;3E0165C6&quot;/&gt;&lt;wsp:rsid wsp:val=&quot;3E2C3208&quot;/&gt;&lt;wsp:rsid wsp:val=&quot;3E821DCF&quot;/&gt;&lt;wsp:rsid wsp:val=&quot;3EE90255&quot;/&gt;&lt;wsp:rsid wsp:val=&quot;3F1324E3&quot;/&gt;&lt;wsp:rsid wsp:val=&quot;3F195879&quot;/&gt;&lt;wsp:rsid wsp:val=&quot;3F1B2688&quot;/&gt;&lt;wsp:rsid wsp:val=&quot;3FF56548&quot;/&gt;&lt;wsp:rsid wsp:val=&quot;3FFE6A7F&quot;/&gt;&lt;wsp:rsid wsp:val=&quot;4015585F&quot;/&gt;&lt;wsp:rsid wsp:val=&quot;417F46C5&quot;/&gt;&lt;wsp:rsid wsp:val=&quot;422755D9&quot;/&gt;&lt;wsp:rsid wsp:val=&quot;42652B3F&quot;/&gt;&lt;wsp:rsid wsp:val=&quot;42E875BF&quot;/&gt;&lt;wsp:rsid wsp:val=&quot;433E3666&quot;/&gt;&lt;wsp:rsid wsp:val=&quot;43633399&quot;/&gt;&lt;wsp:rsid wsp:val=&quot;43B12C78&quot;/&gt;&lt;wsp:rsid wsp:val=&quot;448501F9&quot;/&gt;&lt;wsp:rsid wsp:val=&quot;44AE1FAF&quot;/&gt;&lt;wsp:rsid wsp:val=&quot;44E81115&quot;/&gt;&lt;wsp:rsid wsp:val=&quot;456304C5&quot;/&gt;&lt;wsp:rsid wsp:val=&quot;45BD215A&quot;/&gt;&lt;wsp:rsid wsp:val=&quot;45CD1A46&quot;/&gt;&lt;wsp:rsid wsp:val=&quot;462D0C89&quot;/&gt;&lt;wsp:rsid wsp:val=&quot;4636084B&quot;/&gt;&lt;wsp:rsid wsp:val=&quot;46506C11&quot;/&gt;&lt;wsp:rsid wsp:val=&quot;46DF32AF&quot;/&gt;&lt;wsp:rsid wsp:val=&quot;472F3A5C&quot;/&gt;&lt;wsp:rsid wsp:val=&quot;47594679&quot;/&gt;&lt;wsp:rsid wsp:val=&quot;47ED5B5F&quot;/&gt;&lt;wsp:rsid wsp:val=&quot;47FD6FCC&quot;/&gt;&lt;wsp:rsid wsp:val=&quot;48347217&quot;/&gt;&lt;wsp:rsid wsp:val=&quot;48B64B23&quot;/&gt;&lt;wsp:rsid wsp:val=&quot;48F96550&quot;/&gt;&lt;wsp:rsid wsp:val=&quot;492679B2&quot;/&gt;&lt;wsp:rsid wsp:val=&quot;49497B6C&quot;/&gt;&lt;wsp:rsid wsp:val=&quot;49660A12&quot;/&gt;&lt;wsp:rsid wsp:val=&quot;49C661D5&quot;/&gt;&lt;wsp:rsid wsp:val=&quot;49D626BA&quot;/&gt;&lt;wsp:rsid wsp:val=&quot;49EF206F&quot;/&gt;&lt;wsp:rsid wsp:val=&quot;4A1A2C9C&quot;/&gt;&lt;wsp:rsid wsp:val=&quot;4A350712&quot;/&gt;&lt;wsp:rsid wsp:val=&quot;4A4D411E&quot;/&gt;&lt;wsp:rsid wsp:val=&quot;4AB110E7&quot;/&gt;&lt;wsp:rsid wsp:val=&quot;4B0B5F1E&quot;/&gt;&lt;wsp:rsid wsp:val=&quot;4B3E4CC6&quot;/&gt;&lt;wsp:rsid wsp:val=&quot;4B9E2626&quot;/&gt;&lt;wsp:rsid wsp:val=&quot;4BC65E61&quot;/&gt;&lt;wsp:rsid wsp:val=&quot;4BDD7CAC&quot;/&gt;&lt;wsp:rsid wsp:val=&quot;4C3F3714&quot;/&gt;&lt;wsp:rsid wsp:val=&quot;4CB66873&quot;/&gt;&lt;wsp:rsid wsp:val=&quot;4D5512A6&quot;/&gt;&lt;wsp:rsid wsp:val=&quot;4D6E4BF8&quot;/&gt;&lt;wsp:rsid wsp:val=&quot;4DA451BE&quot;/&gt;&lt;wsp:rsid wsp:val=&quot;4DEE1582&quot;/&gt;&lt;wsp:rsid wsp:val=&quot;4E3F09D6&quot;/&gt;&lt;wsp:rsid wsp:val=&quot;4E4064A4&quot;/&gt;&lt;wsp:rsid wsp:val=&quot;4E787E97&quot;/&gt;&lt;wsp:rsid wsp:val=&quot;4E824921&quot;/&gt;&lt;wsp:rsid wsp:val=&quot;4E945A3C&quot;/&gt;&lt;wsp:rsid wsp:val=&quot;4EAF4003&quot;/&gt;&lt;wsp:rsid wsp:val=&quot;4ED55179&quot;/&gt;&lt;wsp:rsid wsp:val=&quot;4F2749C2&quot;/&gt;&lt;wsp:rsid wsp:val=&quot;4F405267&quot;/&gt;&lt;wsp:rsid wsp:val=&quot;4FA64580&quot;/&gt;&lt;wsp:rsid wsp:val=&quot;4FD74657&quot;/&gt;&lt;wsp:rsid wsp:val=&quot;4FE06A80&quot;/&gt;&lt;wsp:rsid wsp:val=&quot;4FE17582&quot;/&gt;&lt;wsp:rsid wsp:val=&quot;503F6DF4&quot;/&gt;&lt;wsp:rsid wsp:val=&quot;50905A3B&quot;/&gt;&lt;wsp:rsid wsp:val=&quot;50A91494&quot;/&gt;&lt;wsp:rsid wsp:val=&quot;50AF506E&quot;/&gt;&lt;wsp:rsid wsp:val=&quot;50D7647F&quot;/&gt;&lt;wsp:rsid wsp:val=&quot;51262697&quot;/&gt;&lt;wsp:rsid wsp:val=&quot;513C0A75&quot;/&gt;&lt;wsp:rsid wsp:val=&quot;51843EF1&quot;/&gt;&lt;wsp:rsid wsp:val=&quot;519C5CD8&quot;/&gt;&lt;wsp:rsid wsp:val=&quot;51AB1600&quot;/&gt;&lt;wsp:rsid wsp:val=&quot;52033936&quot;/&gt;&lt;wsp:rsid wsp:val=&quot;522B56F7&quot;/&gt;&lt;wsp:rsid wsp:val=&quot;52562BF1&quot;/&gt;&lt;wsp:rsid wsp:val=&quot;526A1AAB&quot;/&gt;&lt;wsp:rsid wsp:val=&quot;527E482E&quot;/&gt;&lt;wsp:rsid wsp:val=&quot;52A20D24&quot;/&gt;&lt;wsp:rsid wsp:val=&quot;52CD48B5&quot;/&gt;&lt;wsp:rsid wsp:val=&quot;532A7E1B&quot;/&gt;&lt;wsp:rsid wsp:val=&quot;534472D7&quot;/&gt;&lt;wsp:rsid wsp:val=&quot;53562019&quot;/&gt;&lt;wsp:rsid wsp:val=&quot;536924F3&quot;/&gt;&lt;wsp:rsid wsp:val=&quot;53DF638D&quot;/&gt;&lt;wsp:rsid wsp:val=&quot;541D7EF3&quot;/&gt;&lt;wsp:rsid wsp:val=&quot;54227B98&quot;/&gt;&lt;wsp:rsid wsp:val=&quot;54823852&quot;/&gt;&lt;wsp:rsid wsp:val=&quot;54F7137E&quot;/&gt;&lt;wsp:rsid wsp:val=&quot;557A1AD2&quot;/&gt;&lt;wsp:rsid wsp:val=&quot;55B00CDC&quot;/&gt;&lt;wsp:rsid wsp:val=&quot;55B473AC&quot;/&gt;&lt;wsp:rsid wsp:val=&quot;56335093&quot;/&gt;&lt;wsp:rsid wsp:val=&quot;56582DE2&quot;/&gt;&lt;wsp:rsid wsp:val=&quot;56C050DA&quot;/&gt;&lt;wsp:rsid wsp:val=&quot;56C851F5&quot;/&gt;&lt;wsp:rsid wsp:val=&quot;576D1373&quot;/&gt;&lt;wsp:rsid wsp:val=&quot;57845C63&quot;/&gt;&lt;wsp:rsid wsp:val=&quot;57CC3BB5&quot;/&gt;&lt;wsp:rsid wsp:val=&quot;58330E3D&quot;/&gt;&lt;wsp:rsid wsp:val=&quot;584949AE&quot;/&gt;&lt;wsp:rsid wsp:val=&quot;585154C0&quot;/&gt;&lt;wsp:rsid wsp:val=&quot;58536F80&quot;/&gt;&lt;wsp:rsid wsp:val=&quot;58602963&quot;/&gt;&lt;wsp:rsid wsp:val=&quot;586650F0&quot;/&gt;&lt;wsp:rsid wsp:val=&quot;591C3767&quot;/&gt;&lt;wsp:rsid wsp:val=&quot;59FE2D26&quot;/&gt;&lt;wsp:rsid wsp:val=&quot;5A0E08BC&quot;/&gt;&lt;wsp:rsid wsp:val=&quot;5A14569F&quot;/&gt;&lt;wsp:rsid wsp:val=&quot;5A1C3D0F&quot;/&gt;&lt;wsp:rsid wsp:val=&quot;5A3011EB&quot;/&gt;&lt;wsp:rsid wsp:val=&quot;5A7C7B14&quot;/&gt;&lt;wsp:rsid wsp:val=&quot;5A9F41D4&quot;/&gt;&lt;wsp:rsid wsp:val=&quot;5B6750FE&quot;/&gt;&lt;wsp:rsid wsp:val=&quot;5B812FC1&quot;/&gt;&lt;wsp:rsid wsp:val=&quot;5B9961BA&quot;/&gt;&lt;wsp:rsid wsp:val=&quot;5BCB2884&quot;/&gt;&lt;wsp:rsid wsp:val=&quot;5C253161&quot;/&gt;&lt;wsp:rsid wsp:val=&quot;5C31365A&quot;/&gt;&lt;wsp:rsid wsp:val=&quot;5C5816D5&quot;/&gt;&lt;wsp:rsid wsp:val=&quot;5C6E731E&quot;/&gt;&lt;wsp:rsid wsp:val=&quot;5CBF5572&quot;/&gt;&lt;wsp:rsid wsp:val=&quot;5D0B7E24&quot;/&gt;&lt;wsp:rsid wsp:val=&quot;5D0C02AA&quot;/&gt;&lt;wsp:rsid wsp:val=&quot;5D20757B&quot;/&gt;&lt;wsp:rsid wsp:val=&quot;5D7C3215&quot;/&gt;&lt;wsp:rsid wsp:val=&quot;5DAD3FBE&quot;/&gt;&lt;wsp:rsid wsp:val=&quot;5E312CCA&quot;/&gt;&lt;wsp:rsid wsp:val=&quot;5E8A123E&quot;/&gt;&lt;wsp:rsid wsp:val=&quot;5E92443D&quot;/&gt;&lt;wsp:rsid wsp:val=&quot;5EB35A42&quot;/&gt;&lt;wsp:rsid wsp:val=&quot;5F0A4B08&quot;/&gt;&lt;wsp:rsid wsp:val=&quot;5F8D1535&quot;/&gt;&lt;wsp:rsid wsp:val=&quot;5F95411D&quot;/&gt;&lt;wsp:rsid wsp:val=&quot;5F974DD7&quot;/&gt;&lt;wsp:rsid wsp:val=&quot;5FF347A0&quot;/&gt;&lt;wsp:rsid wsp:val=&quot;60050D0A&quot;/&gt;&lt;wsp:rsid wsp:val=&quot;600D643D&quot;/&gt;&lt;wsp:rsid wsp:val=&quot;60521D85&quot;/&gt;&lt;wsp:rsid wsp:val=&quot;605D356F&quot;/&gt;&lt;wsp:rsid wsp:val=&quot;60EC344B&quot;/&gt;&lt;wsp:rsid wsp:val=&quot;60F54484&quot;/&gt;&lt;wsp:rsid wsp:val=&quot;615658EE&quot;/&gt;&lt;wsp:rsid wsp:val=&quot;615E5935&quot;/&gt;&lt;wsp:rsid wsp:val=&quot;61A23A1A&quot;/&gt;&lt;wsp:rsid wsp:val=&quot;61CA359F&quot;/&gt;&lt;wsp:rsid wsp:val=&quot;624B08A7&quot;/&gt;&lt;wsp:rsid wsp:val=&quot;6274528B&quot;/&gt;&lt;wsp:rsid wsp:val=&quot;627F1C15&quot;/&gt;&lt;wsp:rsid wsp:val=&quot;62B90ADA&quot;/&gt;&lt;wsp:rsid wsp:val=&quot;63067368&quot;/&gt;&lt;wsp:rsid wsp:val=&quot;636A20D2&quot;/&gt;&lt;wsp:rsid wsp:val=&quot;637B5989&quot;/&gt;&lt;wsp:rsid wsp:val=&quot;63AA0D0D&quot;/&gt;&lt;wsp:rsid wsp:val=&quot;646111D5&quot;/&gt;&lt;wsp:rsid wsp:val=&quot;64914931&quot;/&gt;&lt;wsp:rsid wsp:val=&quot;652D5D3B&quot;/&gt;&lt;wsp:rsid wsp:val=&quot;653B7FE3&quot;/&gt;&lt;wsp:rsid wsp:val=&quot;668762B5&quot;/&gt;&lt;wsp:rsid wsp:val=&quot;66FA33A2&quot;/&gt;&lt;wsp:rsid wsp:val=&quot;67112A52&quot;/&gt;&lt;wsp:rsid wsp:val=&quot;671203FE&quot;/&gt;&lt;wsp:rsid wsp:val=&quot;676B6CF9&quot;/&gt;&lt;wsp:rsid wsp:val=&quot;677E3E01&quot;/&gt;&lt;wsp:rsid wsp:val=&quot;67EF5708&quot;/&gt;&lt;wsp:rsid wsp:val=&quot;685E3252&quot;/&gt;&lt;wsp:rsid wsp:val=&quot;69432CF1&quot;/&gt;&lt;wsp:rsid wsp:val=&quot;69547606&quot;/&gt;&lt;wsp:rsid wsp:val=&quot;696F37AB&quot;/&gt;&lt;wsp:rsid wsp:val=&quot;697D28AB&quot;/&gt;&lt;wsp:rsid wsp:val=&quot;6A1D6D4E&quot;/&gt;&lt;wsp:rsid wsp:val=&quot;6A593BA5&quot;/&gt;&lt;wsp:rsid wsp:val=&quot;6B1B0967&quot;/&gt;&lt;wsp:rsid wsp:val=&quot;6B920F86&quot;/&gt;&lt;wsp:rsid wsp:val=&quot;6BC03D24&quot;/&gt;&lt;wsp:rsid wsp:val=&quot;6C0E47D6&quot;/&gt;&lt;wsp:rsid wsp:val=&quot;6C6C2814&quot;/&gt;&lt;wsp:rsid wsp:val=&quot;6D1E188C&quot;/&gt;&lt;wsp:rsid wsp:val=&quot;6D3D19ED&quot;/&gt;&lt;wsp:rsid wsp:val=&quot;6D5301C5&quot;/&gt;&lt;wsp:rsid wsp:val=&quot;6D946491&quot;/&gt;&lt;wsp:rsid wsp:val=&quot;6E210F62&quot;/&gt;&lt;wsp:rsid wsp:val=&quot;6E2B1482&quot;/&gt;&lt;wsp:rsid wsp:val=&quot;6E3A4328&quot;/&gt;&lt;wsp:rsid wsp:val=&quot;6E9852ED&quot;/&gt;&lt;wsp:rsid wsp:val=&quot;6EB826D6&quot;/&gt;&lt;wsp:rsid wsp:val=&quot;6F3F0791&quot;/&gt;&lt;wsp:rsid wsp:val=&quot;7039390D&quot;/&gt;&lt;wsp:rsid wsp:val=&quot;704857D2&quot;/&gt;&lt;wsp:rsid wsp:val=&quot;70AD34E2&quot;/&gt;&lt;wsp:rsid wsp:val=&quot;70F31224&quot;/&gt;&lt;wsp:rsid wsp:val=&quot;710418E1&quot;/&gt;&lt;wsp:rsid wsp:val=&quot;71946E48&quot;/&gt;&lt;wsp:rsid wsp:val=&quot;723412BE&quot;/&gt;&lt;wsp:rsid wsp:val=&quot;728F7361&quot;/&gt;&lt;wsp:rsid wsp:val=&quot;72A65046&quot;/&gt;&lt;wsp:rsid wsp:val=&quot;732A5EA0&quot;/&gt;&lt;wsp:rsid wsp:val=&quot;733B144C&quot;/&gt;&lt;wsp:rsid wsp:val=&quot;734F28B9&quot;/&gt;&lt;wsp:rsid wsp:val=&quot;73890EE2&quot;/&gt;&lt;wsp:rsid wsp:val=&quot;73C85B40&quot;/&gt;&lt;wsp:rsid wsp:val=&quot;741802A5&quot;/&gt;&lt;wsp:rsid wsp:val=&quot;74390556&quot;/&gt;&lt;wsp:rsid wsp:val=&quot;747C3740&quot;/&gt;&lt;wsp:rsid wsp:val=&quot;74F26A35&quot;/&gt;&lt;wsp:rsid wsp:val=&quot;75B51ECF&quot;/&gt;&lt;wsp:rsid wsp:val=&quot;75EA47CE&quot;/&gt;&lt;wsp:rsid wsp:val=&quot;76426669&quot;/&gt;&lt;wsp:rsid wsp:val=&quot;76964626&quot;/&gt;&lt;wsp:rsid wsp:val=&quot;769A15AF&quot;/&gt;&lt;wsp:rsid wsp:val=&quot;775C53AC&quot;/&gt;&lt;wsp:rsid wsp:val=&quot;77B1317B&quot;/&gt;&lt;wsp:rsid wsp:val=&quot;77B31097&quot;/&gt;&lt;wsp:rsid wsp:val=&quot;7810051E&quot;/&gt;&lt;wsp:rsid wsp:val=&quot;7861350B&quot;/&gt;&lt;wsp:rsid wsp:val=&quot;786765F6&quot;/&gt;&lt;wsp:rsid wsp:val=&quot;78BC04E7&quot;/&gt;&lt;wsp:rsid wsp:val=&quot;78D57477&quot;/&gt;&lt;wsp:rsid wsp:val=&quot;79241D3B&quot;/&gt;&lt;wsp:rsid wsp:val=&quot;79A56B50&quot;/&gt;&lt;wsp:rsid wsp:val=&quot;79F7592F&quot;/&gt;&lt;wsp:rsid wsp:val=&quot;7A2F5A92&quot;/&gt;&lt;wsp:rsid wsp:val=&quot;7A6F0610&quot;/&gt;&lt;wsp:rsid wsp:val=&quot;7A751A95&quot;/&gt;&lt;wsp:rsid wsp:val=&quot;7A7D3826&quot;/&gt;&lt;wsp:rsid wsp:val=&quot;7AC82A82&quot;/&gt;&lt;wsp:rsid wsp:val=&quot;7B082B9B&quot;/&gt;&lt;wsp:rsid wsp:val=&quot;7B2E6E84&quot;/&gt;&lt;wsp:rsid wsp:val=&quot;7B3C0C28&quot;/&gt;&lt;wsp:rsid wsp:val=&quot;7B46149E&quot;/&gt;&lt;wsp:rsid wsp:val=&quot;7B48074C&quot;/&gt;&lt;wsp:rsid wsp:val=&quot;7B480EC1&quot;/&gt;&lt;wsp:rsid wsp:val=&quot;7BA44CE6&quot;/&gt;&lt;wsp:rsid wsp:val=&quot;7BD82EEA&quot;/&gt;&lt;wsp:rsid wsp:val=&quot;7BEA7714&quot;/&gt;&lt;wsp:rsid wsp:val=&quot;7BF074D5&quot;/&gt;&lt;wsp:rsid wsp:val=&quot;7BF25FCB&quot;/&gt;&lt;wsp:rsid wsp:val=&quot;7BF37812&quot;/&gt;&lt;wsp:rsid wsp:val=&quot;7C6B0C53&quot;/&gt;&lt;wsp:rsid wsp:val=&quot;7CC410F0&quot;/&gt;&lt;wsp:rsid wsp:val=&quot;7CCE4C27&quot;/&gt;&lt;wsp:rsid wsp:val=&quot;7CEF4309&quot;/&gt;&lt;wsp:rsid wsp:val=&quot;7DB25215&quot;/&gt;&lt;wsp:rsid wsp:val=&quot;7DD07E94&quot;/&gt;&lt;wsp:rsid wsp:val=&quot;7DDE28E3&quot;/&gt;&lt;wsp:rsid wsp:val=&quot;7E0D3668&quot;/&gt;&lt;wsp:rsid wsp:val=&quot;7E9A2C34&quot;/&gt;&lt;wsp:rsid wsp:val=&quot;7E9C025C&quot;/&gt;&lt;wsp:rsid wsp:val=&quot;7EAE30ED&quot;/&gt;&lt;wsp:rsid wsp:val=&quot;7ED047DB&quot;/&gt;&lt;wsp:rsid wsp:val=&quot;7ED2154C&quot;/&gt;&lt;wsp:rsid wsp:val=&quot;7F041C24&quot;/&gt;&lt;wsp:rsid wsp:val=&quot;7F0C0256&quot;/&gt;&lt;wsp:rsid wsp:val=&quot;7F3C19F3&quot;/&gt;&lt;wsp:rsid wsp:val=&quot;7F6A04A2&quot;/&gt;&lt;/wsp:rsids&gt;&lt;/w:docPr&gt;&lt;w:body&gt;&lt;w:p wsp:rsidR=&quot;00000000&quot; wsp:rsidRDefault=&quot;002F6598&quot;&gt;&lt;w:pPr&gt;&lt;w:rPr&gt;&lt;wx:font wx:val=&quot;新宋体&quot;/&gt;&lt;/w:rPr&gt;&lt;/w:pPr&gt;&lt;m:oMathPara&gt;&lt;m:oMF04F04F04F04F04F04F04F04F04F04F04F04F04F04F04F04F04F04F04F04F04F04F04F04F04F04F04F04F04F04F04F04F04F04F04F04F04F04F04F04F04F04F04F04F04F04F04F04F04F04F04F04F04F04F04F04F04F04F04F04F04F04F04at41Ch&gt;&lt;m:r&gt;&lt;m:rPr&gt;&lt;m:sty m:val=&quot;p&quot;/&gt;&lt;/m:rPr&gt;&lt;w:rPr&gt;&lt;w:rFonts w:ascii=&quot;Cambria Math&quot; w:fareast=&quot;宋?4? 04w:h04-an04si=04&quot;Ca04mbr04ia 04Mat04h&quot;/04&gt;&lt;w04x:f04ont04 wx04:va04l=&quot;04Cam04bri04a M04ath04&quot;/&gt;04&lt;w:04sz-04cs 04w:v04al=04&quot;2404&quot;/&gt;04&lt;/w04:rP04r&gt;&lt;04m:t04&gt;δF04&lt;/mF04:t&gt;F04&lt;/mF04:r&gt;F04&lt;/mF04:oMF04athF04&gt;&lt;/F04m:oF04MatF04hPaFii04r&quot;Ca&gt;Fmb04&lt;ia/wFMa04:h&quot;p&gt;Fw:04&lt;arw:Fas04s=&quot;ecF?404tPr4F04 w4sF04p4:rF044sidF044R=&quot;04041C04000004&quot;&gt;&lt;w:4pgSz 4w:w=&quot;4122404&quot; w:h4=&quot;158440&quot;/&gt;4&lt;w:pg4Mar w4:top=4&quot;14404&quot; w:r4ight=4&quot;18004&quot; w:b4ottom4=&quot;14440&quot; w:4left=4&quot;18004&quot; w:h4eader4=&quot;7204&quot; w:footer=&quot;720&quot; w:gutter=&quot;0&quot;/&gt;&lt;w:cols w:space=&quot;720&quot;/&gt;&lt;/w:sectPr&gt;&lt;/w:body&gt;&lt;/w:wordDocument">
            <v:path/>
            <v:fill on="f" focussize="0,0"/>
            <v:stroke on="f"/>
            <v:imagedata r:id="rId118" chromakey="#FFFFFF" o:title=""/>
            <o:lock v:ext="edit" aspectratio="t"/>
            <w10:wrap type="none"/>
            <w10:anchorlock/>
          </v:shape>
        </w:pict>
      </w:r>
      <w:r>
        <w:rPr>
          <w:rFonts w:ascii="Times New Roman" w:hAnsi="Times New Roman"/>
          <w:szCs w:val="24"/>
          <w:highlight w:val="none"/>
          <w:vertAlign w:val="subscript"/>
        </w:rPr>
        <w:fldChar w:fldCharType="end"/>
      </w:r>
      <w:r>
        <w:rPr>
          <w:rFonts w:ascii="Times New Roman" w:hAnsi="Times New Roman"/>
          <w:szCs w:val="24"/>
          <w:highlight w:val="none"/>
          <w:vertAlign w:val="subscript"/>
        </w:rPr>
        <w:t>i</w:t>
      </w:r>
      <w:r>
        <w:rPr>
          <w:rFonts w:ascii="Times New Roman" w:hAnsi="Times New Roman"/>
          <w:szCs w:val="24"/>
          <w:highlight w:val="none"/>
        </w:rPr>
        <w:t>×10</w:t>
      </w:r>
      <w:r>
        <w:rPr>
          <w:rFonts w:ascii="Times New Roman" w:hAnsi="Times New Roman"/>
          <w:szCs w:val="24"/>
          <w:highlight w:val="none"/>
          <w:vertAlign w:val="superscript"/>
        </w:rPr>
        <w:t>-6</w:t>
      </w:r>
    </w:p>
    <w:p w14:paraId="6BC70809">
      <w:pPr>
        <w:ind w:firstLine="364" w:firstLineChars="152"/>
        <w:rPr>
          <w:rFonts w:ascii="Times New Roman" w:hAnsi="Times New Roman"/>
          <w:szCs w:val="24"/>
          <w:highlight w:val="none"/>
        </w:rPr>
      </w:pPr>
      <w:r>
        <w:rPr>
          <w:rFonts w:ascii="Times New Roman" w:hAnsi="Times New Roman"/>
          <w:szCs w:val="24"/>
          <w:highlight w:val="none"/>
        </w:rPr>
        <w:t>式中：</w:t>
      </w:r>
    </w:p>
    <w:p w14:paraId="77AE3879">
      <w:pPr>
        <w:ind w:firstLine="480"/>
        <w:rPr>
          <w:rFonts w:ascii="Times New Roman" w:hAnsi="Times New Roman"/>
          <w:szCs w:val="24"/>
          <w:highlight w:val="none"/>
        </w:rPr>
      </w:pPr>
      <w:r>
        <w:rPr>
          <w:rFonts w:ascii="Times New Roman" w:hAnsi="Times New Roman"/>
          <w:szCs w:val="24"/>
          <w:highlight w:val="none"/>
        </w:rPr>
        <w:t>E</w:t>
      </w:r>
      <w:r>
        <w:rPr>
          <w:rFonts w:ascii="Times New Roman" w:hAnsi="Times New Roman"/>
          <w:szCs w:val="24"/>
          <w:highlight w:val="none"/>
          <w:vertAlign w:val="subscript"/>
        </w:rPr>
        <w:t>年许可</w:t>
      </w:r>
      <w:r>
        <w:rPr>
          <w:rFonts w:ascii="Times New Roman" w:hAnsi="Times New Roman"/>
          <w:szCs w:val="24"/>
          <w:highlight w:val="none"/>
        </w:rPr>
        <w:t>—锅炉排污单位污染物年许可排放量，吨；</w:t>
      </w:r>
    </w:p>
    <w:p w14:paraId="52F4DD38">
      <w:pPr>
        <w:ind w:firstLine="480"/>
        <w:rPr>
          <w:rFonts w:ascii="Times New Roman" w:hAnsi="Times New Roman"/>
          <w:szCs w:val="24"/>
          <w:highlight w:val="none"/>
        </w:rPr>
      </w:pPr>
      <w:r>
        <w:rPr>
          <w:rFonts w:ascii="Times New Roman" w:hAnsi="Times New Roman"/>
          <w:szCs w:val="24"/>
          <w:highlight w:val="none"/>
        </w:rPr>
        <w:t>C</w:t>
      </w:r>
      <w:r>
        <w:rPr>
          <w:rFonts w:ascii="Times New Roman" w:hAnsi="Times New Roman"/>
          <w:szCs w:val="24"/>
          <w:highlight w:val="none"/>
          <w:vertAlign w:val="subscript"/>
        </w:rPr>
        <w:t>i</w:t>
      </w:r>
      <w:r>
        <w:rPr>
          <w:rFonts w:ascii="Times New Roman" w:hAnsi="Times New Roman"/>
          <w:szCs w:val="24"/>
          <w:highlight w:val="none"/>
        </w:rPr>
        <w:t>—第i个主要排放口污染物排放标准浓度限值，毫克/立方米；</w:t>
      </w:r>
    </w:p>
    <w:p w14:paraId="141059B0">
      <w:pPr>
        <w:ind w:firstLine="480"/>
        <w:rPr>
          <w:rFonts w:ascii="Times New Roman" w:hAnsi="Times New Roman"/>
          <w:szCs w:val="24"/>
          <w:highlight w:val="none"/>
        </w:rPr>
      </w:pPr>
      <w:r>
        <w:rPr>
          <w:rFonts w:ascii="Times New Roman" w:hAnsi="Times New Roman"/>
          <w:szCs w:val="24"/>
          <w:highlight w:val="none"/>
        </w:rPr>
        <w:t>V</w:t>
      </w:r>
      <w:r>
        <w:rPr>
          <w:rFonts w:ascii="Times New Roman" w:hAnsi="Times New Roman"/>
          <w:szCs w:val="24"/>
          <w:highlight w:val="none"/>
          <w:vertAlign w:val="subscript"/>
        </w:rPr>
        <w:t>i</w:t>
      </w:r>
      <w:r>
        <w:rPr>
          <w:rFonts w:ascii="Times New Roman" w:hAnsi="Times New Roman"/>
          <w:szCs w:val="24"/>
          <w:highlight w:val="none"/>
        </w:rPr>
        <w:t>—第i个主要排放口基准烟气量，标立方米/千克或标立方米/立方米；</w:t>
      </w:r>
    </w:p>
    <w:p w14:paraId="24707DAE">
      <w:pPr>
        <w:ind w:firstLine="480"/>
        <w:rPr>
          <w:rFonts w:ascii="Times New Roman" w:hAnsi="Times New Roman"/>
          <w:szCs w:val="24"/>
          <w:highlight w:val="none"/>
        </w:rPr>
      </w:pPr>
      <w:r>
        <w:rPr>
          <w:rFonts w:ascii="Times New Roman" w:hAnsi="Times New Roman"/>
          <w:szCs w:val="24"/>
          <w:highlight w:val="none"/>
        </w:rPr>
        <w:t>R</w:t>
      </w:r>
      <w:r>
        <w:rPr>
          <w:rFonts w:ascii="Times New Roman" w:hAnsi="Times New Roman"/>
          <w:szCs w:val="24"/>
          <w:highlight w:val="none"/>
          <w:vertAlign w:val="subscript"/>
        </w:rPr>
        <w:t>i</w:t>
      </w:r>
      <w:r>
        <w:rPr>
          <w:rFonts w:ascii="Times New Roman" w:hAnsi="Times New Roman"/>
          <w:szCs w:val="24"/>
          <w:highlight w:val="none"/>
        </w:rPr>
        <w:t>—第i个主要排放口所对应的锅炉前三年年平均燃料使用量（未投运或投运不满一年的锅炉按照设计年燃料使用量进行选取，投运满一年但未满三年的锅炉按运行周期年平均燃料使用量选取，当前三年或周期年年平均燃料使用量超过设计燃料使用量时，按设计燃料使用量选取），吨或万立方米；</w:t>
      </w:r>
    </w:p>
    <w:p w14:paraId="29FDF018">
      <w:pPr>
        <w:ind w:firstLine="480"/>
        <w:rPr>
          <w:rFonts w:ascii="Times New Roman" w:hAnsi="Times New Roman"/>
          <w:szCs w:val="24"/>
          <w:highlight w:val="none"/>
        </w:rPr>
      </w:pPr>
      <w:r>
        <w:rPr>
          <w:rFonts w:ascii="Times New Roman" w:hAnsi="Times New Roman"/>
          <w:szCs w:val="24"/>
          <w:highlight w:val="none"/>
          <w:vertAlign w:val="subscript"/>
        </w:rPr>
        <w:fldChar w:fldCharType="begin"/>
      </w:r>
      <w:r>
        <w:rPr>
          <w:rFonts w:ascii="Times New Roman" w:hAnsi="Times New Roman"/>
          <w:szCs w:val="24"/>
          <w:highlight w:val="none"/>
          <w:vertAlign w:val="subscript"/>
        </w:rPr>
        <w:instrText xml:space="preserve"> QUOTE </w:instrText>
      </w:r>
      <w:r>
        <w:rPr>
          <w:rFonts w:ascii="Times New Roman" w:hAnsi="Times New Roman" w:eastAsia="新宋体"/>
          <w:position w:val="-15"/>
          <w:szCs w:val="21"/>
          <w:highlight w:val="none"/>
        </w:rPr>
        <w:pict>
          <v:shape id="_x0000_i1038" o:spt="75" type="#_x0000_t75" style="height:23.15pt;width:6.25pt;" filled="f" o:preferrelative="t" stroked="f" coordsize="21600,21600"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isplayBackgroundShape/&gt;&lt;w:doNotEmbedSystemFonts/&gt;&lt;w:hideSpellingErrors/&gt;&lt;w:stylePaneFormatFilter w:val=&quot;3828&quot;/&gt;&lt;w:defaultTabStop w:val=&quot;420&quot;/&gt;&lt;w:drawingGridHorizontalSpacing w:val=&quot;105&quot;/&gt;&lt;w:drawingGridVerticalSpacing w:val=&quot;156&quot;/&gt;&lt;w:characterSpacingControl w:val=&quot;CompressPunctuation&quot;/&gt;&lt;w:webPageEncoding w:val=&quot;x-cp20936&quot;/&gt;&lt;w:optimizeForBrowser/&gt;&lt;w:savePreviewPicture/&gt;&lt;w:validateAgainstSchema w:val=&quot;off&quot;/&gt;&lt;w:saveInvalidXML w:val=&quot;off&quot;/&gt;&lt;w:ignoreMixedContent w:val=&quot;off&quot;/&gt;&lt;w:alwaysShowPlaceholderText w:val=&quot;off&quot;/&gt;&lt;w:doNotUnderlineInvalidXML/&gt;&lt;w:compat&gt;&lt;w:spaceForUL/&gt;&lt;w:balanceSingleByteDoubleByteWidth/&gt;&lt;w:doNotLeaveBackslashAlone/&gt;&lt;w:doNotExpandShiftReturn/&gt;&lt;w:adjustLineHeightInTable/&gt;&lt;w:breakWrappedTables/&gt;&lt;w:snapToGridInCell/&gt;&lt;w:dontGrowAutofit/&gt;&lt;w:useFELayout/&gt;&lt;/w:compat&gt;&lt;wsp:rsids&gt;&lt;wsp:rsidRoot wsp:val=&quot;00E25665&quot;/&gt;&lt;wsp:rsid wsp:val=&quot;000002F4&quot;/&gt;&lt;wsp:rsid wsp:val=&quot;00000996&quot;/&gt;&lt;wsp:rsid wsp:val=&quot;00000E1D&quot;/&gt;&lt;wsp:rsid wsp:val=&quot;00001111&quot;/&gt;&lt;wsp:rsid wsp:val=&quot;00001386&quot;/&gt;&lt;wsp:rsid wsp:val=&quot;00001B75&quot;/&gt;&lt;wsp:rsid wsp:val=&quot;00001D9E&quot;/&gt;&lt;wsp:rsid wsp:val=&quot;00002045&quot;/&gt;&lt;wsp:rsid wsp:val=&quot;0000266B&quot;/&gt;&lt;wsp:rsid wsp:val=&quot;00002E81&quot;/&gt;&lt;wsp:rsid wsp:val=&quot;000039AE&quot;/&gt;&lt;wsp:rsid wsp:val=&quot;00003DE4&quot;/&gt;&lt;wsp:rsid wsp:val=&quot;00003EDA&quot;/&gt;&lt;wsp:rsid wsp:val=&quot;0000494C&quot;/&gt;&lt;wsp:rsid wsp:val=&quot;00005521&quot;/&gt;&lt;wsp:rsid wsp:val=&quot;0000584D&quot;/&gt;&lt;wsp:rsid wsp:val=&quot;000058CC&quot;/&gt;&lt;wsp:rsid wsp:val=&quot;0000614F&quot;/&gt;&lt;wsp:rsid wsp:val=&quot;000064AB&quot;/&gt;&lt;wsp:rsid wsp:val=&quot;0000666C&quot;/&gt;&lt;wsp:rsid wsp:val=&quot;00006688&quot;/&gt;&lt;wsp:rsid wsp:val=&quot;000066CD&quot;/&gt;&lt;wsp:rsid wsp:val=&quot;0000695C&quot;/&gt;&lt;wsp:rsid wsp:val=&quot;000070B2&quot;/&gt;&lt;wsp:rsid wsp:val=&quot;00007363&quot;/&gt;&lt;wsp:rsid wsp:val=&quot;000076E0&quot;/&gt;&lt;wsp:rsid wsp:val=&quot;00007980&quot;/&gt;&lt;wsp:rsid wsp:val=&quot;00007C80&quot;/&gt;&lt;wsp:rsid wsp:val=&quot;00010141&quot;/&gt;&lt;wsp:rsid wsp:val=&quot;00010194&quot;/&gt;&lt;wsp:rsid wsp:val=&quot;0001030E&quot;/&gt;&lt;wsp:rsid wsp:val=&quot;000104E0&quot;/&gt;&lt;wsp:rsid wsp:val=&quot;00010A0B&quot;/&gt;&lt;wsp:rsid wsp:val=&quot;00010E6A&quot;/&gt;&lt;wsp:rsid wsp:val=&quot;00010E85&quot;/&gt;&lt;wsp:rsid wsp:val=&quot;00010FD3&quot;/&gt;&lt;wsp:rsid wsp:val=&quot;00011186&quot;/&gt;&lt;wsp:rsid wsp:val=&quot;00011C7F&quot;/&gt;&lt;wsp:rsid wsp:val=&quot;00011DA5&quot;/&gt;&lt;wsp:rsid wsp:val=&quot;00012A4A&quot;/&gt;&lt;wsp:rsid wsp:val=&quot;00012B34&quot;/&gt;&lt;wsp:rsid wsp:val=&quot;00012B68&quot;/&gt;&lt;wsp:rsid wsp:val=&quot;00012ED9&quot;/&gt;&lt;wsp:rsid wsp:val=&quot;0001305C&quot;/&gt;&lt;wsp:rsid wsp:val=&quot;00013190&quot;/&gt;&lt;wsp:rsid wsp:val=&quot;00013279&quot;/&gt;&lt;wsp:rsid wsp:val=&quot;000136FD&quot;/&gt;&lt;wsp:rsid wsp:val=&quot;000137BF&quot;/&gt;&lt;wsp:rsid wsp:val=&quot;000138C0&quot;/&gt;&lt;wsp:rsid wsp:val=&quot;00013CC2&quot;/&gt;&lt;wsp:rsid wsp:val=&quot;00014352&quot;/&gt;&lt;wsp:rsid wsp:val=&quot;000144D4&quot;/&gt;&lt;wsp:rsid wsp:val=&quot;00014C0C&quot;/&gt;&lt;wsp:rsid wsp:val=&quot;00014DBC&quot;/&gt;&lt;wsp:rsid wsp:val=&quot;00015013&quot;/&gt;&lt;wsp:rsid wsp:val=&quot;000151CB&quot;/&gt;&lt;wsp:rsid wsp:val=&quot;00015882&quot;/&gt;&lt;wsp:rsid wsp:val=&quot;00016693&quot;/&gt;&lt;wsp:rsid wsp:val=&quot;000177A7&quot;/&gt;&lt;wsp:rsid wsp:val=&quot;00017E37&quot;/&gt;&lt;wsp:rsid wsp:val=&quot;0002118C&quot;/&gt;&lt;wsp:rsid wsp:val=&quot;000212D8&quot;/&gt;&lt;wsp:rsid wsp:val=&quot;00021E7E&quot;/&gt;&lt;wsp:rsid wsp:val=&quot;00021F5A&quot;/&gt;&lt;wsp:rsid wsp:val=&quot;000225E0&quot;/&gt;&lt;wsp:rsid wsp:val=&quot;00022F93&quot;/&gt;&lt;wsp:rsid wsp:val=&quot;00023085&quot;/&gt;&lt;wsp:rsid wsp:val=&quot;00024048&quot;/&gt;&lt;wsp:rsid wsp:val=&quot;00024205&quot;/&gt;&lt;wsp:rsid wsp:val=&quot;000248BA&quot;/&gt;&lt;wsp:rsid wsp:val=&quot;0002508E&quot;/&gt;&lt;wsp:rsid wsp:val=&quot;0002526D&quot;/&gt;&lt;wsp:rsid wsp:val=&quot;00025A27&quot;/&gt;&lt;wsp:rsid wsp:val=&quot;00025D08&quot;/&gt;&lt;wsp:rsid wsp:val=&quot;000263BE&quot;/&gt;&lt;wsp:rsid wsp:val=&quot;000264D7&quot;/&gt;&lt;wsp:rsid wsp:val=&quot;000264DF&quot;/&gt;&lt;wsp:rsid wsp:val=&quot;00026B71&quot;/&gt;&lt;wsp:rsid wsp:val=&quot;00026F6B&quot;/&gt;&lt;wsp:rsid wsp:val=&quot;00030030&quot;/&gt;&lt;wsp:rsid wsp:val=&quot;000305A5&quot;/&gt;&lt;wsp:rsid wsp:val=&quot;0003084A&quot;/&gt;&lt;wsp:rsid wsp:val=&quot;00030C93&quot;/&gt;&lt;wsp:rsid wsp:val=&quot;00031182&quot;/&gt;&lt;wsp:rsid wsp:val=&quot;00032A51&quot;/&gt;&lt;wsp:rsid wsp:val=&quot;00032A8F&quot;/&gt;&lt;wsp:rsid wsp:val=&quot;0003362E&quot;/&gt;&lt;wsp:rsid wsp:val=&quot;0003467F&quot;/&gt;&lt;wsp:rsid wsp:val=&quot;00034AAF&quot;/&gt;&lt;wsp:rsid wsp:val=&quot;000350F0&quot;/&gt;&lt;wsp:rsid wsp:val=&quot;000357BE&quot;/&gt;&lt;wsp:rsid wsp:val=&quot;00035A62&quot;/&gt;&lt;wsp:rsid wsp:val=&quot;00035C0E&quot;/&gt;&lt;wsp:rsid wsp:val=&quot;00035D98&quot;/&gt;&lt;wsp:rsid wsp:val=&quot;00035FD0&quot;/&gt;&lt;wsp:rsid wsp:val=&quot;0003649D&quot;/&gt;&lt;wsp:rsid wsp:val=&quot;00036700&quot;/&gt;&lt;wsp:rsid wsp:val=&quot;00036D9C&quot;/&gt;&lt;wsp:rsid wsp:val=&quot;00036E45&quot;/&gt;&lt;wsp:rsid wsp:val=&quot;00037850&quot;/&gt;&lt;wsp:rsid wsp:val=&quot;00037ABA&quot;/&gt;&lt;wsp:rsid wsp:val=&quot;00037B31&quot;/&gt;&lt;wsp:rsid wsp:val=&quot;000400EF&quot;/&gt;&lt;wsp:rsid wsp:val=&quot;00040499&quot;/&gt;&lt;wsp:rsid wsp:val=&quot;000405AF&quot;/&gt;&lt;wsp:rsid wsp:val=&quot;000413AE&quot;/&gt;&lt;wsp:rsid wsp:val=&quot;00041503&quot;/&gt;&lt;wsp:rsid wsp:val=&quot;0004194D&quot;/&gt;&lt;wsp:rsid wsp:val=&quot;000421AF&quot;/&gt;&lt;wsp:rsid wsp:val=&quot;00042378&quot;/&gt;&lt;wsp:rsid wsp:val=&quot;0004362D&quot;/&gt;&lt;wsp:rsid wsp:val=&quot;00043AE3&quot;/&gt;&lt;wsp:rsid wsp:val=&quot;00043E78&quot;/&gt;&lt;wsp:rsid wsp:val=&quot;00044185&quot;/&gt;&lt;wsp:rsid wsp:val=&quot;0004468D&quot;/&gt;&lt;wsp:rsid wsp:val=&quot;00044CBA&quot;/&gt;&lt;wsp:rsid wsp:val=&quot;000451D6&quot;/&gt;&lt;wsp:rsid wsp:val=&quot;00045759&quot;/&gt;&lt;wsp:rsid wsp:val=&quot;00045A0C&quot;/&gt;&lt;wsp:rsid wsp:val=&quot;00045B6C&quot;/&gt;&lt;wsp:rsid wsp:val=&quot;000462D3&quot;/&gt;&lt;wsp:rsid wsp:val=&quot;0004631C&quot;/&gt;&lt;wsp:rsid wsp:val=&quot;000463D1&quot;/&gt;&lt;wsp:rsid wsp:val=&quot;0004686E&quot;/&gt;&lt;wsp:rsid wsp:val=&quot;00046C7B&quot;/&gt;&lt;wsp:rsid wsp:val=&quot;00046DAC&quot;/&gt;&lt;wsp:rsid wsp:val=&quot;0004712E&quot;/&gt;&lt;wsp:rsid wsp:val=&quot;00047301&quot;/&gt;&lt;wsp:rsid wsp:val=&quot;000474B5&quot;/&gt;&lt;wsp:rsid wsp:val=&quot;00047D0C&quot;/&gt;&lt;wsp:rsid wsp:val=&quot;00047E34&quot;/&gt;&lt;wsp:rsid wsp:val=&quot;00050561&quot;/&gt;&lt;wsp:rsid wsp:val=&quot;0005094A&quot;/&gt;&lt;wsp:rsid wsp:val=&quot;00050D11&quot;/&gt;&lt;wsp:rsid wsp:val=&quot;00050D6A&quot;/&gt;&lt;wsp:rsid wsp:val=&quot;000515CD&quot;/&gt;&lt;wsp:rsid wsp:val=&quot;00051838&quot;/&gt;&lt;wsp:rsid wsp:val=&quot;00051A77&quot;/&gt;&lt;wsp:rsid wsp:val=&quot;0005211F&quot;/&gt;&lt;wsp:rsid wsp:val=&quot;00052F29&quot;/&gt;&lt;wsp:rsid wsp:val=&quot;0005323C&quot;/&gt;&lt;wsp:rsid wsp:val=&quot;000540A4&quot;/&gt;&lt;wsp:rsid wsp:val=&quot;0005422F&quot;/&gt;&lt;wsp:rsid wsp:val=&quot;00054374&quot;/&gt;&lt;wsp:rsid wsp:val=&quot;000543CC&quot;/&gt;&lt;wsp:rsid wsp:val=&quot;00054835&quot;/&gt;&lt;wsp:rsid wsp:val=&quot;00054B5C&quot;/&gt;&lt;wsp:rsid wsp:val=&quot;00054B78&quot;/&gt;&lt;wsp:rsid wsp:val=&quot;00055105&quot;/&gt;&lt;wsp:rsid wsp:val=&quot;00055237&quot;/&gt;&lt;wsp:rsid wsp:val=&quot;000556CB&quot;/&gt;&lt;wsp:rsid wsp:val=&quot;0005573A&quot;/&gt;&lt;wsp:rsid wsp:val=&quot;00055937&quot;/&gt;&lt;wsp:rsid wsp:val=&quot;00055BC7&quot;/&gt;&lt;wsp:rsid wsp:val=&quot;00056413&quot;/&gt;&lt;wsp:rsid wsp:val=&quot;00056646&quot;/&gt;&lt;wsp:rsid wsp:val=&quot;00056C64&quot;/&gt;&lt;wsp:rsid wsp:val=&quot;00056D5A&quot;/&gt;&lt;wsp:rsid wsp:val=&quot;00057295&quot;/&gt;&lt;wsp:rsid wsp:val=&quot;000572E4&quot;/&gt;&lt;wsp:rsid wsp:val=&quot;000579DF&quot;/&gt;&lt;wsp:rsid wsp:val=&quot;00057E8B&quot;/&gt;&lt;wsp:rsid wsp:val=&quot;0006020C&quot;/&gt;&lt;wsp:rsid wsp:val=&quot;0006023D&quot;/&gt;&lt;wsp:rsid wsp:val=&quot;000607D2&quot;/&gt;&lt;wsp:rsid wsp:val=&quot;0006092E&quot;/&gt;&lt;wsp:rsid wsp:val=&quot;00060C90&quot;/&gt;&lt;wsp:rsid wsp:val=&quot;0006138B&quot;/&gt;&lt;wsp:rsid wsp:val=&quot;00061757&quot;/&gt;&lt;wsp:rsid wsp:val=&quot;00062483&quot;/&gt;&lt;wsp:rsid wsp:val=&quot;00062777&quot;/&gt;&lt;wsp:rsid wsp:val=&quot;000627EA&quot;/&gt;&lt;wsp:rsid wsp:val=&quot;00062C40&quot;/&gt;&lt;wsp:rsid wsp:val=&quot;00062E2F&quot;/&gt;&lt;wsp:rsid wsp:val=&quot;00062FAC&quot;/&gt;&lt;wsp:rsid wsp:val=&quot;000633EB&quot;/&gt;&lt;wsp:rsid wsp:val=&quot;000645D0&quot;/&gt;&lt;wsp:rsid wsp:val=&quot;00064954&quot;/&gt;&lt;wsp:rsid wsp:val=&quot;00064C74&quot;/&gt;&lt;wsp:rsid wsp:val=&quot;0006505A&quot;/&gt;&lt;wsp:rsid wsp:val=&quot;0006564E&quot;/&gt;&lt;wsp:rsid wsp:val=&quot;00065A4A&quot;/&gt;&lt;wsp:rsid wsp:val=&quot;000665D0&quot;/&gt;&lt;wsp:rsid wsp:val=&quot;00066A9B&quot;/&gt;&lt;wsp:rsid wsp:val=&quot;00066AEC&quot;/&gt;&lt;wsp:rsid wsp:val=&quot;00066BC2&quot;/&gt;&lt;wsp:rsid wsp:val=&quot;000674EE&quot;/&gt;&lt;wsp:rsid wsp:val=&quot;00070549&quot;/&gt;&lt;wsp:rsid wsp:val=&quot;0007133C&quot;/&gt;&lt;wsp:rsid wsp:val=&quot;0007186E&quot;/&gt;&lt;wsp:rsid wsp:val=&quot;00071B75&quot;/&gt;&lt;wsp:rsid wsp:val=&quot;00071FE6&quot;/&gt;&lt;wsp:rsid wsp:val=&quot;0007224A&quot;/&gt;&lt;wsp:rsid wsp:val=&quot;000725F5&quot;/&gt;&lt;wsp:rsid wsp:val=&quot;00072BFF&quot;/&gt;&lt;wsp:rsid wsp:val=&quot;00072DD1&quot;/&gt;&lt;wsp:rsid wsp:val=&quot;00072E57&quot;/&gt;&lt;wsp:rsid wsp:val=&quot;000737E6&quot;/&gt;&lt;wsp:rsid wsp:val=&quot;00073ADB&quot;/&gt;&lt;wsp:rsid wsp:val=&quot;00073C23&quot;/&gt;&lt;wsp:rsid wsp:val=&quot;00074275&quot;/&gt;&lt;wsp:rsid wsp:val=&quot;000747A4&quot;/&gt;&lt;wsp:rsid wsp:val=&quot;00074E84&quot;/&gt;&lt;wsp:rsid wsp:val=&quot;00075C75&quot;/&gt;&lt;wsp:rsid wsp:val=&quot;00075CA8&quot;/&gt;&lt;wsp:rsid wsp:val=&quot;000764F6&quot;/&gt;&lt;wsp:rsid wsp:val=&quot;00076C0F&quot;/&gt;&lt;wsp:rsid wsp:val=&quot;00076C58&quot;/&gt;&lt;wsp:rsid wsp:val=&quot;0008008D&quot;/&gt;&lt;wsp:rsid wsp:val=&quot;00080170&quot;/&gt;&lt;wsp:rsid wsp:val=&quot;0008048F&quot;/&gt;&lt;wsp:rsid wsp:val=&quot;00080ABD&quot;/&gt;&lt;wsp:rsid wsp:val=&quot;00080AFF&quot;/&gt;&lt;wsp:rsid wsp:val=&quot;00080CEF&quot;/&gt;&lt;wsp:rsid wsp:val=&quot;00080F08&quot;/&gt;&lt;wsp:rsid wsp:val=&quot;00080FC8&quot;/&gt;&lt;wsp:rsid wsp:val=&quot;0008168C&quot;/&gt;&lt;wsp:rsid wsp:val=&quot;00081FF1&quot;/&gt;&lt;wsp:rsid wsp:val=&quot;0008214C&quot;/&gt;&lt;wsp:rsid wsp:val=&quot;00082547&quot;/&gt;&lt;wsp:rsid wsp:val=&quot;0008259A&quot;/&gt;&lt;wsp:rsid wsp:val=&quot;000825F8&quot;/&gt;&lt;wsp:rsid wsp:val=&quot;00082C43&quot;/&gt;&lt;wsp:rsid wsp:val=&quot;0008413E&quot;/&gt;&lt;wsp:rsid wsp:val=&quot;0008436B&quot;/&gt;&lt;wsp:rsid wsp:val=&quot;00084389&quot;/&gt;&lt;wsp:rsid wsp:val=&quot;00084589&quot;/&gt;&lt;wsp:rsid wsp:val=&quot;0008462C&quot;/&gt;&lt;wsp:rsid wsp:val=&quot;00084813&quot;/&gt;&lt;wsp:rsid wsp:val=&quot;00084887&quot;/&gt;&lt;wsp:rsid wsp:val=&quot;00084A08&quot;/&gt;&lt;wsp:rsid wsp:val=&quot;000852AA&quot;/&gt;&lt;wsp:rsid wsp:val=&quot;00085319&quot;/&gt;&lt;wsp:rsid wsp:val=&quot;00085624&quot;/&gt;&lt;wsp:rsid wsp:val=&quot;00085A70&quot;/&gt;&lt;wsp:rsid wsp:val=&quot;00085BF1&quot;/&gt;&lt;wsp:rsid wsp:val=&quot;00086A76&quot;/&gt;&lt;wsp:rsid wsp:val=&quot;00086C64&quot;/&gt;&lt;wsp:rsid wsp:val=&quot;00086D52&quot;/&gt;&lt;wsp:rsid wsp:val=&quot;00086E6F&quot;/&gt;&lt;wsp:rsid wsp:val=&quot;00086E74&quot;/&gt;&lt;wsp:rsid wsp:val=&quot;00087258&quot;/&gt;&lt;wsp:rsid wsp:val=&quot;000872C5&quot;/&gt;&lt;wsp:rsid wsp:val=&quot;000876CE&quot;/&gt;&lt;wsp:rsid wsp:val=&quot;00087806&quot;/&gt;&lt;wsp:rsid wsp:val=&quot;00087C51&quot;/&gt;&lt;wsp:rsid wsp:val=&quot;00087E4F&quot;/&gt;&lt;wsp:rsid wsp:val=&quot;00087FB3&quot;/&gt;&lt;wsp:rsid wsp:val=&quot;0009008A&quot;/&gt;&lt;wsp:rsid wsp:val=&quot;00090176&quot;/&gt;&lt;wsp:rsid wsp:val=&quot;00090457&quot;/&gt;&lt;wsp:rsid wsp:val=&quot;000909A2&quot;/&gt;&lt;wsp:rsid wsp:val=&quot;000912A8&quot;/&gt;&lt;wsp:rsid wsp:val=&quot;0009159D&quot;/&gt;&lt;wsp:rsid wsp:val=&quot;00091926&quot;/&gt;&lt;wsp:rsid wsp:val=&quot;00091DA8&quot;/&gt;&lt;wsp:rsid wsp:val=&quot;0009297A&quot;/&gt;&lt;wsp:rsid wsp:val=&quot;00092AED&quot;/&gt;&lt;wsp:rsid wsp:val=&quot;00093248&quot;/&gt;&lt;wsp:rsid wsp:val=&quot;00093714&quot;/&gt;&lt;wsp:rsid wsp:val=&quot;0009387C&quot;/&gt;&lt;wsp:rsid wsp:val=&quot;0009407B&quot;/&gt;&lt;wsp:rsid wsp:val=&quot;00094D3B&quot;/&gt;&lt;wsp:rsid wsp:val=&quot;000955F6&quot;/&gt;&lt;wsp:rsid wsp:val=&quot;00095D99&quot;/&gt;&lt;wsp:rsid wsp:val=&quot;00095F41&quot;/&gt;&lt;wsp:rsid wsp:val=&quot;000967AB&quot;/&gt;&lt;wsp:rsid wsp:val=&quot;00096DD7&quot;/&gt;&lt;wsp:rsid wsp:val=&quot;00097C64&quot;/&gt;&lt;wsp:rsid wsp:val=&quot;000A023D&quot;/&gt;&lt;wsp:rsid wsp:val=&quot;000A02BA&quot;/&gt;&lt;wsp:rsid wsp:val=&quot;000A0793&quot;/&gt;&lt;wsp:rsid wsp:val=&quot;000A0F58&quot;/&gt;&lt;wsp:rsid wsp:val=&quot;000A1024&quot;/&gt;&lt;wsp:rsid wsp:val=&quot;000A1E19&quot;/&gt;&lt;wsp:rsid wsp:val=&quot;000A1EB9&quot;/&gt;&lt;wsp:rsid wsp:val=&quot;000A20A0&quot;/&gt;&lt;wsp:rsid wsp:val=&quot;000A242E&quot;/&gt;&lt;wsp:rsid wsp:val=&quot;000A2BFA&quot;/&gt;&lt;wsp:rsid wsp:val=&quot;000A2D6A&quot;/&gt;&lt;wsp:rsid wsp:val=&quot;000A3340&quot;/&gt;&lt;wsp:rsid wsp:val=&quot;000A3A40&quot;/&gt;&lt;wsp:rsid wsp:val=&quot;000A3D88&quot;/&gt;&lt;wsp:rsid wsp:val=&quot;000A42B3&quot;/&gt;&lt;wsp:rsid wsp:val=&quot;000A4656&quot;/&gt;&lt;wsp:rsid wsp:val=&quot;000A4A64&quot;/&gt;&lt;wsp:rsid wsp:val=&quot;000A4C57&quot;/&gt;&lt;wsp:rsid wsp:val=&quot;000A4CA2&quot;/&gt;&lt;wsp:rsid wsp:val=&quot;000A4D26&quot;/&gt;&lt;wsp:rsid wsp:val=&quot;000A542D&quot;/&gt;&lt;wsp:rsid wsp:val=&quot;000A54E2&quot;/&gt;&lt;wsp:rsid wsp:val=&quot;000A5DAD&quot;/&gt;&lt;wsp:rsid wsp:val=&quot;000A66E8&quot;/&gt;&lt;wsp:rsid wsp:val=&quot;000A67A7&quot;/&gt;&lt;wsp:rsid wsp:val=&quot;000A7FD9&quot;/&gt;&lt;wsp:rsid wsp:val=&quot;000B027D&quot;/&gt;&lt;wsp:rsid wsp:val=&quot;000B0939&quot;/&gt;&lt;wsp:rsid wsp:val=&quot;000B0B7A&quot;/&gt;&lt;wsp:rsid wsp:val=&quot;000B0C07&quot;/&gt;&lt;wsp:rsid wsp:val=&quot;000B0D22&quot;/&gt;&lt;wsp:rsid wsp:val=&quot;000B0F74&quot;/&gt;&lt;wsp:rsid wsp:val=&quot;000B10E8&quot;/&gt;&lt;wsp:rsid wsp:val=&quot;000B1E94&quot;/&gt;&lt;wsp:rsid wsp:val=&quot;000B2381&quot;/&gt;&lt;wsp:rsid wsp:val=&quot;000B24B1&quot;/&gt;&lt;wsp:rsid wsp:val=&quot;000B2631&quot;/&gt;&lt;wsp:rsid wsp:val=&quot;000B2A57&quot;/&gt;&lt;wsp:rsid wsp:val=&quot;000B2FE1&quot;/&gt;&lt;wsp:rsid wsp:val=&quot;000B331B&quot;/&gt;&lt;wsp:rsid wsp:val=&quot;000B352B&quot;/&gt;&lt;wsp:rsid wsp:val=&quot;000B3677&quot;/&gt;&lt;wsp:rsid wsp:val=&quot;000B3F1A&quot;/&gt;&lt;wsp:rsid wsp:val=&quot;000B4B0A&quot;/&gt;&lt;wsp:rsid wsp:val=&quot;000B5140&quot;/&gt;&lt;wsp:rsid wsp:val=&quot;000B56DD&quot;/&gt;&lt;wsp:rsid wsp:val=&quot;000B5869&quot;/&gt;&lt;wsp:rsid wsp:val=&quot;000B5E86&quot;/&gt;&lt;wsp:rsid wsp:val=&quot;000B6231&quot;/&gt;&lt;wsp:rsid wsp:val=&quot;000B6499&quot;/&gt;&lt;wsp:rsid wsp:val=&quot;000B6507&quot;/&gt;&lt;wsp:rsid wsp:val=&quot;000B672B&quot;/&gt;&lt;wsp:rsid wsp:val=&quot;000B6EF9&quot;/&gt;&lt;wsp:rsid wsp:val=&quot;000B7B15&quot;/&gt;&lt;wsp:rsid wsp:val=&quot;000B7F5D&quot;/&gt;&lt;wsp:rsid wsp:val=&quot;000B7FA5&quot;/&gt;&lt;wsp:rsid wsp:val=&quot;000C012A&quot;/&gt;&lt;wsp:rsid wsp:val=&quot;000C024B&quot;/&gt;&lt;wsp:rsid wsp:val=&quot;000C04AC&quot;/&gt;&lt;wsp:rsid wsp:val=&quot;000C05A3&quot;/&gt;&lt;wsp:rsid wsp:val=&quot;000C0602&quot;/&gt;&lt;wsp:rsid wsp:val=&quot;000C06D5&quot;/&gt;&lt;wsp:rsid wsp:val=&quot;000C079E&quot;/&gt;&lt;wsp:rsid wsp:val=&quot;000C0F24&quot;/&gt;&lt;wsp:rsid wsp:val=&quot;000C144D&quot;/&gt;&lt;wsp:rsid wsp:val=&quot;000C18CC&quot;/&gt;&lt;wsp:rsid wsp:val=&quot;000C191E&quot;/&gt;&lt;wsp:rsid wsp:val=&quot;000C198B&quot;/&gt;&lt;wsp:rsid wsp:val=&quot;000C1E23&quot;/&gt;&lt;wsp:rsid wsp:val=&quot;000C2381&quot;/&gt;&lt;wsp:rsid wsp:val=&quot;000C251B&quot;/&gt;&lt;wsp:rsid wsp:val=&quot;000C2EBB&quot;/&gt;&lt;wsp:rsid wsp:val=&quot;000C32B2&quot;/&gt;&lt;wsp:rsid wsp:val=&quot;000C3544&quot;/&gt;&lt;wsp:rsid wsp:val=&quot;000C455A&quot;/&gt;&lt;wsp:rsid wsp:val=&quot;000C4859&quot;/&gt;&lt;wsp:rsid wsp:val=&quot;000C4A04&quot;/&gt;&lt;wsp:rsid wsp:val=&quot;000C4CEC&quot;/&gt;&lt;wsp:rsid wsp:val=&quot;000C520B&quot;/&gt;&lt;wsp:rsid wsp:val=&quot;000C5427&quot;/&gt;&lt;wsp:rsid wsp:val=&quot;000C55F3&quot;/&gt;&lt;wsp:rsid wsp:val=&quot;000C5608&quot;/&gt;&lt;wsp:rsid wsp:val=&quot;000C5CC8&quot;/&gt;&lt;wsp:rsid wsp:val=&quot;000C5E37&quot;/&gt;&lt;wsp:rsid wsp:val=&quot;000C5EFC&quot;/&gt;&lt;wsp:rsid wsp:val=&quot;000C74EB&quot;/&gt;&lt;wsp:rsid wsp:val=&quot;000C7967&quot;/&gt;&lt;wsp:rsid wsp:val=&quot;000C7AAD&quot;/&gt;&lt;wsp:rsid wsp:val=&quot;000D0087&quot;/&gt;&lt;wsp:rsid wsp:val=&quot;000D01A5&quot;/&gt;&lt;wsp:rsid wsp:val=&quot;000D0590&quot;/&gt;&lt;wsp:rsid wsp:val=&quot;000D0A84&quot;/&gt;&lt;wsp:rsid wsp:val=&quot;000D11FD&quot;/&gt;&lt;wsp:rsid wsp:val=&quot;000D159B&quot;/&gt;&lt;wsp:rsid wsp:val=&quot;000D196A&quot;/&gt;&lt;wsp:rsid wsp:val=&quot;000D1EF7&quot;/&gt;&lt;wsp:rsid wsp:val=&quot;000D2140&quot;/&gt;&lt;wsp:rsid wsp:val=&quot;000D2444&quot;/&gt;&lt;wsp:rsid wsp:val=&quot;000D252E&quot;/&gt;&lt;wsp:rsid wsp:val=&quot;000D3396&quot;/&gt;&lt;wsp:rsid wsp:val=&quot;000D3792&quot;/&gt;&lt;wsp:rsid wsp:val=&quot;000D3BDA&quot;/&gt;&lt;wsp:rsid wsp:val=&quot;000D3C9A&quot;/&gt;&lt;wsp:rsid wsp:val=&quot;000D448D&quot;/&gt;&lt;wsp:rsid wsp:val=&quot;000D4656&quot;/&gt;&lt;wsp:rsid wsp:val=&quot;000D5AD5&quot;/&gt;&lt;wsp:rsid wsp:val=&quot;000D5D8D&quot;/&gt;&lt;wsp:rsid wsp:val=&quot;000D60B1&quot;/&gt;&lt;wsp:rsid wsp:val=&quot;000D6B8B&quot;/&gt;&lt;wsp:rsid wsp:val=&quot;000D6C82&quot;/&gt;&lt;wsp:rsid wsp:val=&quot;000D6D59&quot;/&gt;&lt;wsp:rsid wsp:val=&quot;000D7E4A&quot;/&gt;&lt;wsp:rsid wsp:val=&quot;000D7E96&quot;/&gt;&lt;wsp:rsid wsp:val=&quot;000E016E&quot;/&gt;&lt;wsp:rsid wsp:val=&quot;000E0239&quot;/&gt;&lt;wsp:rsid wsp:val=&quot;000E0374&quot;/&gt;&lt;wsp:rsid wsp:val=&quot;000E0578&quot;/&gt;&lt;wsp:rsid wsp:val=&quot;000E0598&quot;/&gt;&lt;wsp:rsid wsp:val=&quot;000E072C&quot;/&gt;&lt;wsp:rsid wsp:val=&quot;000E077E&quot;/&gt;&lt;wsp:rsid wsp:val=&quot;000E0D28&quot;/&gt;&lt;wsp:rsid wsp:val=&quot;000E0FDE&quot;/&gt;&lt;wsp:rsid wsp:val=&quot;000E12A0&quot;/&gt;&lt;wsp:rsid wsp:val=&quot;000E1F2A&quot;/&gt;&lt;wsp:rsid wsp:val=&quot;000E1F52&quot;/&gt;&lt;wsp:rsid wsp:val=&quot;000E21F3&quot;/&gt;&lt;wsp:rsid wsp:val=&quot;000E2C84&quot;/&gt;&lt;wsp:rsid wsp:val=&quot;000E3120&quot;/&gt;&lt;wsp:rsid wsp:val=&quot;000E3F11&quot;/&gt;&lt;wsp:rsid wsp:val=&quot;000E3FD2&quot;/&gt;&lt;wsp:rsid wsp:val=&quot;000E61E1&quot;/&gt;&lt;wsp:rsid wsp:val=&quot;000E69C6&quot;/&gt;&lt;wsp:rsid wsp:val=&quot;000E6C6D&quot;/&gt;&lt;wsp:rsid wsp:val=&quot;000E6EF5&quot;/&gt;&lt;wsp:rsid wsp:val=&quot;000E7167&quot;/&gt;&lt;wsp:rsid wsp:val=&quot;000E781F&quot;/&gt;&lt;wsp:rsid wsp:val=&quot;000E7AC1&quot;/&gt;&lt;wsp:rsid wsp:val=&quot;000E7F7D&quot;/&gt;&lt;wsp:rsid wsp:val=&quot;000F05AB&quot;/&gt;&lt;wsp:rsid wsp:val=&quot;000F05B5&quot;/&gt;&lt;wsp:rsid wsp:val=&quot;000F0E67&quot;/&gt;&lt;wsp:rsid wsp:val=&quot;000F1037&quot;/&gt;&lt;wsp:rsid wsp:val=&quot;000F17A8&quot;/&gt;&lt;wsp:rsid wsp:val=&quot;000F1DFE&quot;/&gt;&lt;wsp:rsid wsp:val=&quot;000F1EC9&quot;/&gt;&lt;wsp:rsid wsp:val=&quot;000F1ED6&quot;/&gt;&lt;wsp:rsid wsp:val=&quot;000F262B&quot;/&gt;&lt;wsp:rsid wsp:val=&quot;000F32C4&quot;/&gt;&lt;wsp:rsid wsp:val=&quot;000F35BC&quot;/&gt;&lt;wsp:rsid wsp:val=&quot;000F391F&quot;/&gt;&lt;wsp:rsid wsp:val=&quot;000F3AB3&quot;/&gt;&lt;wsp:rsid wsp:val=&quot;000F4024&quot;/&gt;&lt;wsp:rsid wsp:val=&quot;000F4205&quot;/&gt;&lt;wsp:rsid wsp:val=&quot;000F44F4&quot;/&gt;&lt;wsp:rsid wsp:val=&quot;000F48E2&quot;/&gt;&lt;wsp:rsid wsp:val=&quot;000F4EB4&quot;/&gt;&lt;wsp:rsid wsp:val=&quot;000F53DE&quot;/&gt;&lt;wsp:rsid wsp:val=&quot;000F53ED&quot;/&gt;&lt;wsp:rsid wsp:val=&quot;000F55B2&quot;/&gt;&lt;wsp:rsid wsp:val=&quot;000F5E33&quot;/&gt;&lt;wsp:rsid wsp:val=&quot;000F5F42&quot;/&gt;&lt;wsp:rsid wsp:val=&quot;000F68AD&quot;/&gt;&lt;wsp:rsid wsp:val=&quot;000F692E&quot;/&gt;&lt;wsp:rsid wsp:val=&quot;000F6DAE&quot;/&gt;&lt;wsp:rsid wsp:val=&quot;000F78E3&quot;/&gt;&lt;wsp:rsid wsp:val=&quot;000F79B5&quot;/&gt;&lt;wsp:rsid wsp:val=&quot;000F7BF5&quot;/&gt;&lt;wsp:rsid wsp:val=&quot;000F7CF0&quot;/&gt;&lt;wsp:rsid wsp:val=&quot;001009AE&quot;/&gt;&lt;wsp:rsid wsp:val=&quot;00101150&quot;/&gt;&lt;wsp:rsid wsp:val=&quot;00101773&quot;/&gt;&lt;wsp:rsid wsp:val=&quot;00101C15&quot;/&gt;&lt;wsp:rsid wsp:val=&quot;0010240E&quot;/&gt;&lt;wsp:rsid wsp:val=&quot;001026E3&quot;/&gt;&lt;wsp:rsid wsp:val=&quot;00102994&quot;/&gt;&lt;wsp:rsid wsp:val=&quot;00103442&quot;/&gt;&lt;wsp:rsid wsp:val=&quot;00103BD7&quot;/&gt;&lt;wsp:rsid wsp:val=&quot;001041D7&quot;/&gt;&lt;wsp:rsid wsp:val=&quot;00104254&quot;/&gt;&lt;wsp:rsid wsp:val=&quot;00104656&quot;/&gt;&lt;wsp:rsid wsp:val=&quot;00104799&quot;/&gt;&lt;wsp:rsid wsp:val=&quot;00105331&quot;/&gt;&lt;wsp:rsid wsp:val=&quot;0010633C&quot;/&gt;&lt;wsp:rsid wsp:val=&quot;00106758&quot;/&gt;&lt;wsp:rsid wsp:val=&quot;001072F7&quot;/&gt;&lt;wsp:rsid wsp:val=&quot;00107579&quot;/&gt;&lt;wsp:rsid wsp:val=&quot;0010772F&quot;/&gt;&lt;wsp:rsid wsp:val=&quot;00107BA5&quot;/&gt;&lt;wsp:rsid wsp:val=&quot;00107E85&quot;/&gt;&lt;wsp:rsid wsp:val=&quot;0011034A&quot;/&gt;&lt;wsp:rsid wsp:val=&quot;0011040E&quot;/&gt;&lt;wsp:rsid wsp:val=&quot;00110973&quot;/&gt;&lt;wsp:rsid wsp:val=&quot;001115E4&quot;/&gt;&lt;wsp:rsid wsp:val=&quot;001119C0&quot;/&gt;&lt;wsp:rsid wsp:val=&quot;00112439&quot;/&gt;&lt;wsp:rsid wsp:val=&quot;00112807&quot;/&gt;&lt;wsp:rsid wsp:val=&quot;001128B5&quot;/&gt;&lt;wsp:rsid wsp:val=&quot;00112ACA&quot;/&gt;&lt;wsp:rsid wsp:val=&quot;001130F4&quot;/&gt;&lt;wsp:rsid wsp:val=&quot;00113554&quot;/&gt;&lt;wsp:rsid wsp:val=&quot;001136F5&quot;/&gt;&lt;wsp:rsid wsp:val=&quot;001137A5&quot;/&gt;&lt;wsp:rsid wsp:val=&quot;001137E8&quot;/&gt;&lt;wsp:rsid wsp:val=&quot;00113972&quot;/&gt;&lt;wsp:rsid wsp:val=&quot;00113D54&quot;/&gt;&lt;wsp:rsid wsp:val=&quot;0011404D&quot;/&gt;&lt;wsp:rsid wsp:val=&quot;00114056&quot;/&gt;&lt;wsp:rsid wsp:val=&quot;00114671&quot;/&gt;&lt;wsp:rsid wsp:val=&quot;00114B05&quot;/&gt;&lt;wsp:rsid wsp:val=&quot;00114C88&quot;/&gt;&lt;wsp:rsid wsp:val=&quot;00115149&quot;/&gt;&lt;wsp:rsid wsp:val=&quot;0011553E&quot;/&gt;&lt;wsp:rsid wsp:val=&quot;0011601D&quot;/&gt;&lt;wsp:rsid wsp:val=&quot;001163F8&quot;/&gt;&lt;wsp:rsid wsp:val=&quot;001167AB&quot;/&gt;&lt;wsp:rsid wsp:val=&quot;00116F7F&quot;/&gt;&lt;wsp:rsid wsp:val=&quot;0011741C&quot;/&gt;&lt;wsp:rsid wsp:val=&quot;00117449&quot;/&gt;&lt;wsp:rsid wsp:val=&quot;0011747B&quot;/&gt;&lt;wsp:rsid wsp:val=&quot;00117571&quot;/&gt;&lt;wsp:rsid wsp:val=&quot;00117D73&quot;/&gt;&lt;wsp:rsid wsp:val=&quot;00117E16&quot;/&gt;&lt;wsp:rsid wsp:val=&quot;001201A9&quot;/&gt;&lt;wsp:rsid wsp:val=&quot;0012048A&quot;/&gt;&lt;wsp:rsid wsp:val=&quot;001204A5&quot;/&gt;&lt;wsp:rsid wsp:val=&quot;00120A5F&quot;/&gt;&lt;wsp:rsid wsp:val=&quot;00121050&quot;/&gt;&lt;wsp:rsid wsp:val=&quot;0012185A&quot;/&gt;&lt;wsp:rsid wsp:val=&quot;001218FC&quot;/&gt;&lt;wsp:rsid wsp:val=&quot;00121A25&quot;/&gt;&lt;wsp:rsid wsp:val=&quot;00121C3E&quot;/&gt;&lt;wsp:rsid wsp:val=&quot;0012201F&quot;/&gt;&lt;wsp:rsid wsp:val=&quot;00122278&quot;/&gt;&lt;wsp:rsid wsp:val=&quot;00122744&quot;/&gt;&lt;wsp:rsid wsp:val=&quot;00122D23&quot;/&gt;&lt;wsp:rsid wsp:val=&quot;0012334E&quot;/&gt;&lt;wsp:rsid wsp:val=&quot;00123601&quot;/&gt;&lt;wsp:rsid wsp:val=&quot;0012404A&quot;/&gt;&lt;wsp:rsid wsp:val=&quot;00124829&quot;/&gt;&lt;wsp:rsid wsp:val=&quot;00125444&quot;/&gt;&lt;wsp:rsid wsp:val=&quot;001257C2&quot;/&gt;&lt;wsp:rsid wsp:val=&quot;00125ADE&quot;/&gt;&lt;wsp:rsid wsp:val=&quot;00125AF6&quot;/&gt;&lt;wsp:rsid wsp:val=&quot;00125BD2&quot;/&gt;&lt;wsp:rsid wsp:val=&quot;00125E06&quot;/&gt;&lt;wsp:rsid wsp:val=&quot;00125F5A&quot;/&gt;&lt;wsp:rsid wsp:val=&quot;001263C0&quot;/&gt;&lt;wsp:rsid wsp:val=&quot;00126789&quot;/&gt;&lt;wsp:rsid wsp:val=&quot;0012684E&quot;/&gt;&lt;wsp:rsid wsp:val=&quot;00126C59&quot;/&gt;&lt;wsp:rsid wsp:val=&quot;00127975&quot;/&gt;&lt;wsp:rsid wsp:val=&quot;00127CF8&quot;/&gt;&lt;wsp:rsid wsp:val=&quot;00127DAD&quot;/&gt;&lt;wsp:rsid wsp:val=&quot;00127E99&quot;/&gt;&lt;wsp:rsid wsp:val=&quot;00127EF0&quot;/&gt;&lt;wsp:rsid wsp:val=&quot;00127F11&quot;/&gt;&lt;wsp:rsid wsp:val=&quot;00130120&quot;/&gt;&lt;wsp:rsid wsp:val=&quot;00130190&quot;/&gt;&lt;wsp:rsid wsp:val=&quot;0013019D&quot;/&gt;&lt;wsp:rsid wsp:val=&quot;001302B3&quot;/&gt;&lt;wsp:rsid wsp:val=&quot;001314D8&quot;/&gt;&lt;wsp:rsid wsp:val=&quot;0013166B&quot;/&gt;&lt;wsp:rsid wsp:val=&quot;00131850&quot;/&gt;&lt;wsp:rsid wsp:val=&quot;0013199B&quot;/&gt;&lt;wsp:rsid wsp:val=&quot;00131A5B&quot;/&gt;&lt;wsp:rsid wsp:val=&quot;00131F55&quot;/&gt;&lt;wsp:rsid wsp:val=&quot;00132714&quot;/&gt;&lt;wsp:rsid wsp:val=&quot;00132833&quot;/&gt;&lt;wsp:rsid wsp:val=&quot;00132A30&quot;/&gt;&lt;wsp:rsid wsp:val=&quot;00132D20&quot;/&gt;&lt;wsp:rsid wsp:val=&quot;001330DD&quot;/&gt;&lt;wsp:rsid wsp:val=&quot;00133A36&quot;/&gt;&lt;wsp:rsid wsp:val=&quot;00133A73&quot;/&gt;&lt;wsp:rsid wsp:val=&quot;00133AC4&quot;/&gt;&lt;wsp:rsid wsp:val=&quot;00133B58&quot;/&gt;&lt;wsp:rsid wsp:val=&quot;00134591&quot;/&gt;&lt;wsp:rsid wsp:val=&quot;001347D7&quot;/&gt;&lt;wsp:rsid wsp:val=&quot;0013485E&quot;/&gt;&lt;wsp:rsid wsp:val=&quot;00135340&quot;/&gt;&lt;wsp:rsid wsp:val=&quot;00136214&quot;/&gt;&lt;wsp:rsid wsp:val=&quot;00136711&quot;/&gt;&lt;wsp:rsid wsp:val=&quot;00136C3F&quot;/&gt;&lt;wsp:rsid wsp:val=&quot;001373C8&quot;/&gt;&lt;wsp:rsid wsp:val=&quot;00137481&quot;/&gt;&lt;wsp:rsid wsp:val=&quot;00140249&quot;/&gt;&lt;wsp:rsid wsp:val=&quot;00140A69&quot;/&gt;&lt;wsp:rsid wsp:val=&quot;00140D48&quot;/&gt;&lt;wsp:rsid wsp:val=&quot;001413A0&quot;/&gt;&lt;wsp:rsid wsp:val=&quot;001419C9&quot;/&gt;&lt;wsp:rsid wsp:val=&quot;00141A18&quot;/&gt;&lt;wsp:rsid wsp:val=&quot;00141B17&quot;/&gt;&lt;wsp:rsid wsp:val=&quot;00141BFF&quot;/&gt;&lt;wsp:rsid wsp:val=&quot;00141C46&quot;/&gt;&lt;wsp:rsid wsp:val=&quot;001426D9&quot;/&gt;&lt;wsp:rsid wsp:val=&quot;001427EA&quot;/&gt;&lt;wsp:rsid wsp:val=&quot;00142AC7&quot;/&gt;&lt;wsp:rsid wsp:val=&quot;0014306E&quot;/&gt;&lt;wsp:rsid wsp:val=&quot;00143F31&quot;/&gt;&lt;wsp:rsid wsp:val=&quot;00143F9A&quot;/&gt;&lt;wsp:rsid wsp:val=&quot;00144201&quot;/&gt;&lt;wsp:rsid wsp:val=&quot;0014458D&quot;/&gt;&lt;wsp:rsid wsp:val=&quot;00144CEC&quot;/&gt;&lt;wsp:rsid wsp:val=&quot;001453AC&quot;/&gt;&lt;wsp:rsid wsp:val=&quot;00145B32&quot;/&gt;&lt;wsp:rsid wsp:val=&quot;00145C18&quot;/&gt;&lt;wsp:rsid wsp:val=&quot;00145C56&quot;/&gt;&lt;wsp:rsid wsp:val=&quot;00145C82&quot;/&gt;&lt;wsp:rsid wsp:val=&quot;001467B8&quot;/&gt;&lt;wsp:rsid wsp:val=&quot;001468C0&quot;/&gt;&lt;wsp:rsid wsp:val=&quot;00147444&quot;/&gt;&lt;wsp:rsid wsp:val=&quot;001478D8&quot;/&gt;&lt;wsp:rsid wsp:val=&quot;00147E0D&quot;/&gt;&lt;wsp:rsid wsp:val=&quot;00147FC2&quot;/&gt;&lt;wsp:rsid wsp:val=&quot;00150833&quot;/&gt;&lt;wsp:rsid wsp:val=&quot;00152A42&quot;/&gt;&lt;wsp:rsid wsp:val=&quot;0015325B&quot;/&gt;&lt;wsp:rsid wsp:val=&quot;00153FC1&quot;/&gt;&lt;wsp:rsid wsp:val=&quot;00154067&quot;/&gt;&lt;wsp:rsid wsp:val=&quot;0015438C&quot;/&gt;&lt;wsp:rsid wsp:val=&quot;00154830&quot;/&gt;&lt;wsp:rsid wsp:val=&quot;00154D75&quot;/&gt;&lt;wsp:rsid wsp:val=&quot;0015602C&quot;/&gt;&lt;wsp:rsid wsp:val=&quot;0015638D&quot;/&gt;&lt;wsp:rsid wsp:val=&quot;001563E7&quot;/&gt;&lt;wsp:rsid wsp:val=&quot;00156902&quot;/&gt;&lt;wsp:rsid wsp:val=&quot;00156E56&quot;/&gt;&lt;wsp:rsid wsp:val=&quot;00156EC2&quot;/&gt;&lt;wsp:rsid wsp:val=&quot;0015704F&quot;/&gt;&lt;wsp:rsid wsp:val=&quot;001574C4&quot;/&gt;&lt;wsp:rsid wsp:val=&quot;00157569&quot;/&gt;&lt;wsp:rsid wsp:val=&quot;0015759B&quot;/&gt;&lt;wsp:rsid wsp:val=&quot;00157C14&quot;/&gt;&lt;wsp:rsid wsp:val=&quot;00157CA8&quot;/&gt;&lt;wsp:rsid wsp:val=&quot;00160CD4&quot;/&gt;&lt;wsp:rsid wsp:val=&quot;00160FB2&quot;/&gt;&lt;wsp:rsid wsp:val=&quot;001610AE&quot;/&gt;&lt;wsp:rsid wsp:val=&quot;00161770&quot;/&gt;&lt;wsp:rsid wsp:val=&quot;00161B2E&quot;/&gt;&lt;wsp:rsid wsp:val=&quot;00161E44&quot;/&gt;&lt;wsp:rsid wsp:val=&quot;001620F1&quot;/&gt;&lt;wsp:rsid wsp:val=&quot;001621F9&quot;/&gt;&lt;wsp:rsid wsp:val=&quot;00162BCF&quot;/&gt;&lt;wsp:rsid wsp:val=&quot;00163148&quot;/&gt;&lt;wsp:rsid wsp:val=&quot;00163B68&quot;/&gt;&lt;wsp:rsid wsp:val=&quot;00163F27&quot;/&gt;&lt;wsp:rsid wsp:val=&quot;001645AC&quot;/&gt;&lt;wsp:rsid wsp:val=&quot;0016475D&quot;/&gt;&lt;wsp:rsid wsp:val=&quot;00164BA4&quot;/&gt;&lt;wsp:rsid wsp:val=&quot;00164F30&quot;/&gt;&lt;wsp:rsid wsp:val=&quot;001651F8&quot;/&gt;&lt;wsp:rsid wsp:val=&quot;001658B0&quot;/&gt;&lt;wsp:rsid wsp:val=&quot;00165D04&quot;/&gt;&lt;wsp:rsid wsp:val=&quot;00166253&quot;/&gt;&lt;wsp:rsid wsp:val=&quot;00166384&quot;/&gt;&lt;wsp:rsid wsp:val=&quot;00166792&quot;/&gt;&lt;wsp:rsid wsp:val=&quot;0016693B&quot;/&gt;&lt;wsp:rsid wsp:val=&quot;00166DB8&quot;/&gt;&lt;wsp:rsid wsp:val=&quot;00166DFE&quot;/&gt;&lt;wsp:rsid wsp:val=&quot;00166F1A&quot;/&gt;&lt;wsp:rsid wsp:val=&quot;00166FD2&quot;/&gt;&lt;wsp:rsid wsp:val=&quot;0016712D&quot;/&gt;&lt;wsp:rsid wsp:val=&quot;001707FB&quot;/&gt;&lt;wsp:rsid wsp:val=&quot;00170844&quot;/&gt;&lt;wsp:rsid wsp:val=&quot;0017109E&quot;/&gt;&lt;wsp:rsid wsp:val=&quot;0017110B&quot;/&gt;&lt;wsp:rsid wsp:val=&quot;0017111C&quot;/&gt;&lt;wsp:rsid wsp:val=&quot;00171639&quot;/&gt;&lt;wsp:rsid wsp:val=&quot;00171815&quot;/&gt;&lt;wsp:rsid wsp:val=&quot;00171879&quot;/&gt;&lt;wsp:rsid wsp:val=&quot;0017236A&quot;/&gt;&lt;wsp:rsid wsp:val=&quot;00172373&quot;/&gt;&lt;wsp:rsid wsp:val=&quot;0017304A&quot;/&gt;&lt;wsp:rsid wsp:val=&quot;00173832&quot;/&gt;&lt;wsp:rsid wsp:val=&quot;00174EC9&quot;/&gt;&lt;wsp:rsid wsp:val=&quot;00175131&quot;/&gt;&lt;wsp:rsid wsp:val=&quot;0017555E&quot;/&gt;&lt;wsp:rsid wsp:val=&quot;00175B7D&quot;/&gt;&lt;wsp:rsid wsp:val=&quot;00175F2E&quot;/&gt;&lt;wsp:rsid wsp:val=&quot;0017604D&quot;/&gt;&lt;wsp:rsid wsp:val=&quot;001760AA&quot;/&gt;&lt;wsp:rsid wsp:val=&quot;00176270&quot;/&gt;&lt;wsp:rsid wsp:val=&quot;00176428&quot;/&gt;&lt;wsp:rsid wsp:val=&quot;00176566&quot;/&gt;&lt;wsp:rsid wsp:val=&quot;00176876&quot;/&gt;&lt;wsp:rsid wsp:val=&quot;00176930&quot;/&gt;&lt;wsp:rsid wsp:val=&quot;00176B28&quot;/&gt;&lt;wsp:rsid wsp:val=&quot;00176D23&quot;/&gt;&lt;wsp:rsid wsp:val=&quot;00177447&quot;/&gt;&lt;wsp:rsid wsp:val=&quot;001775EB&quot;/&gt;&lt;wsp:rsid wsp:val=&quot;001776CD&quot;/&gt;&lt;wsp:rsid wsp:val=&quot;00177921&quot;/&gt;&lt;wsp:rsid wsp:val=&quot;00177AA2&quot;/&gt;&lt;wsp:rsid wsp:val=&quot;00180353&quot;/&gt;&lt;wsp:rsid wsp:val=&quot;001805A1&quot;/&gt;&lt;wsp:rsid wsp:val=&quot;00180634&quot;/&gt;&lt;wsp:rsid wsp:val=&quot;0018074A&quot;/&gt;&lt;wsp:rsid wsp:val=&quot;00180BD8&quot;/&gt;&lt;wsp:rsid wsp:val=&quot;001816DA&quot;/&gt;&lt;wsp:rsid wsp:val=&quot;001816F5&quot;/&gt;&lt;wsp:rsid wsp:val=&quot;00181BD1&quot;/&gt;&lt;wsp:rsid wsp:val=&quot;00181CEB&quot;/&gt;&lt;wsp:rsid wsp:val=&quot;0018270D&quot;/&gt;&lt;wsp:rsid wsp:val=&quot;00182A99&quot;/&gt;&lt;wsp:rsid wsp:val=&quot;00182D0B&quot;/&gt;&lt;wsp:rsid wsp:val=&quot;00182D84&quot;/&gt;&lt;wsp:rsid wsp:val=&quot;00182FD2&quot;/&gt;&lt;wsp:rsid wsp:val=&quot;00183041&quot;/&gt;&lt;wsp:rsid wsp:val=&quot;00183289&quot;/&gt;&lt;wsp:rsid wsp:val=&quot;00183380&quot;/&gt;&lt;wsp:rsid wsp:val=&quot;0018362B&quot;/&gt;&lt;wsp:rsid wsp:val=&quot;0018379D&quot;/&gt;&lt;wsp:rsid wsp:val=&quot;001841C8&quot;/&gt;&lt;wsp:rsid wsp:val=&quot;00184522&quot;/&gt;&lt;wsp:rsid wsp:val=&quot;001847F2&quot;/&gt;&lt;wsp:rsid wsp:val=&quot;00184B1C&quot;/&gt;&lt;wsp:rsid wsp:val=&quot;001852A7&quot;/&gt;&lt;wsp:rsid wsp:val=&quot;001854AD&quot;/&gt;&lt;wsp:rsid wsp:val=&quot;00185ECC&quot;/&gt;&lt;wsp:rsid wsp:val=&quot;001863F1&quot;/&gt;&lt;wsp:rsid wsp:val=&quot;001867B2&quot;/&gt;&lt;wsp:rsid wsp:val=&quot;00186CEC&quot;/&gt;&lt;wsp:rsid wsp:val=&quot;00186FBA&quot;/&gt;&lt;wsp:rsid wsp:val=&quot;00187062&quot;/&gt;&lt;wsp:rsid wsp:val=&quot;00187718&quot;/&gt;&lt;wsp:rsid wsp:val=&quot;00187B9A&quot;/&gt;&lt;wsp:rsid wsp:val=&quot;001907A7&quot;/&gt;&lt;wsp:rsid wsp:val=&quot;00190F9E&quot;/&gt;&lt;wsp:rsid wsp:val=&quot;00191821&quot;/&gt;&lt;wsp:rsid wsp:val=&quot;00191B06&quot;/&gt;&lt;wsp:rsid wsp:val=&quot;00192CE3&quot;/&gt;&lt;wsp:rsid wsp:val=&quot;00193097&quot;/&gt;&lt;wsp:rsid wsp:val=&quot;001936CA&quot;/&gt;&lt;wsp:rsid wsp:val=&quot;00193DE0&quot;/&gt;&lt;wsp:rsid wsp:val=&quot;0019435B&quot;/&gt;&lt;wsp:rsid wsp:val=&quot;001948C3&quot;/&gt;&lt;wsp:rsid wsp:val=&quot;001949FF&quot;/&gt;&lt;wsp:rsid wsp:val=&quot;0019502B&quot;/&gt;&lt;wsp:rsid wsp:val=&quot;00195167&quot;/&gt;&lt;wsp:rsid wsp:val=&quot;001954D7&quot;/&gt;&lt;wsp:rsid wsp:val=&quot;0019641F&quot;/&gt;&lt;wsp:rsid wsp:val=&quot;00196C1F&quot;/&gt;&lt;wsp:rsid wsp:val=&quot;00196F2C&quot;/&gt;&lt;wsp:rsid wsp:val=&quot;00197002&quot;/&gt;&lt;wsp:rsid wsp:val=&quot;001A08F5&quot;/&gt;&lt;wsp:rsid wsp:val=&quot;001A0E79&quot;/&gt;&lt;wsp:rsid wsp:val=&quot;001A0EFE&quot;/&gt;&lt;wsp:rsid wsp:val=&quot;001A1369&quot;/&gt;&lt;wsp:rsid wsp:val=&quot;001A1A5C&quot;/&gt;&lt;wsp:rsid wsp:val=&quot;001A1A9A&quot;/&gt;&lt;wsp:rsid wsp:val=&quot;001A1BE3&quot;/&gt;&lt;wsp:rsid wsp:val=&quot;001A1D3B&quot;/&gt;&lt;wsp:rsid wsp:val=&quot;001A2599&quot;/&gt;&lt;wsp:rsid wsp:val=&quot;001A2903&quot;/&gt;&lt;wsp:rsid wsp:val=&quot;001A2D51&quot;/&gt;&lt;wsp:rsid wsp:val=&quot;001A316F&quot;/&gt;&lt;wsp:rsid wsp:val=&quot;001A358C&quot;/&gt;&lt;wsp:rsid wsp:val=&quot;001A376B&quot;/&gt;&lt;wsp:rsid wsp:val=&quot;001A38EC&quot;/&gt;&lt;wsp:rsid wsp:val=&quot;001A3A44&quot;/&gt;&lt;wsp:rsid wsp:val=&quot;001A3AF9&quot;/&gt;&lt;wsp:rsid wsp:val=&quot;001A3D03&quot;/&gt;&lt;wsp:rsid wsp:val=&quot;001A4018&quot;/&gt;&lt;wsp:rsid wsp:val=&quot;001A4998&quot;/&gt;&lt;wsp:rsid wsp:val=&quot;001A4A71&quot;/&gt;&lt;wsp:rsid wsp:val=&quot;001A4DE8&quot;/&gt;&lt;wsp:rsid wsp:val=&quot;001A4EE8&quot;/&gt;&lt;wsp:rsid wsp:val=&quot;001A5C77&quot;/&gt;&lt;wsp:rsid wsp:val=&quot;001A5DEE&quot;/&gt;&lt;wsp:rsid wsp:val=&quot;001A6457&quot;/&gt;&lt;wsp:rsid wsp:val=&quot;001A6969&quot;/&gt;&lt;wsp:rsid wsp:val=&quot;001A6F28&quot;/&gt;&lt;wsp:rsid wsp:val=&quot;001A7ACC&quot;/&gt;&lt;wsp:rsid wsp:val=&quot;001A7B31&quot;/&gt;&lt;wsp:rsid wsp:val=&quot;001A7C27&quot;/&gt;&lt;wsp:rsid wsp:val=&quot;001B0646&quot;/&gt;&lt;wsp:rsid wsp:val=&quot;001B11EF&quot;/&gt;&lt;wsp:rsid wsp:val=&quot;001B1435&quot;/&gt;&lt;wsp:rsid wsp:val=&quot;001B183F&quot;/&gt;&lt;wsp:rsid wsp:val=&quot;001B1961&quot;/&gt;&lt;wsp:rsid wsp:val=&quot;001B1976&quot;/&gt;&lt;wsp:rsid wsp:val=&quot;001B1D63&quot;/&gt;&lt;wsp:rsid wsp:val=&quot;001B2396&quot;/&gt;&lt;wsp:rsid wsp:val=&quot;001B2D6F&quot;/&gt;&lt;wsp:rsid wsp:val=&quot;001B3103&quot;/&gt;&lt;wsp:rsid wsp:val=&quot;001B3671&quot;/&gt;&lt;wsp:rsid wsp:val=&quot;001B3910&quot;/&gt;&lt;wsp:rsid wsp:val=&quot;001B3AFF&quot;/&gt;&lt;wsp:rsid wsp:val=&quot;001B3E4A&quot;/&gt;&lt;wsp:rsid wsp:val=&quot;001B490C&quot;/&gt;&lt;wsp:rsid wsp:val=&quot;001B49DB&quot;/&gt;&lt;wsp:rsid wsp:val=&quot;001B57D1&quot;/&gt;&lt;wsp:rsid wsp:val=&quot;001B59E7&quot;/&gt;&lt;wsp:rsid wsp:val=&quot;001B5A3C&quot;/&gt;&lt;wsp:rsid wsp:val=&quot;001B6367&quot;/&gt;&lt;wsp:rsid wsp:val=&quot;001B6FDE&quot;/&gt;&lt;wsp:rsid wsp:val=&quot;001B751F&quot;/&gt;&lt;wsp:rsid wsp:val=&quot;001B7550&quot;/&gt;&lt;wsp:rsid wsp:val=&quot;001B7976&quot;/&gt;&lt;wsp:rsid wsp:val=&quot;001C08A0&quot;/&gt;&lt;wsp:rsid wsp:val=&quot;001C0ACA&quot;/&gt;&lt;wsp:rsid wsp:val=&quot;001C0C7C&quot;/&gt;&lt;wsp:rsid wsp:val=&quot;001C0CB0&quot;/&gt;&lt;wsp:rsid wsp:val=&quot;001C11F4&quot;/&gt;&lt;wsp:rsid wsp:val=&quot;001C14F3&quot;/&gt;&lt;wsp:rsid wsp:val=&quot;001C18C0&quot;/&gt;&lt;wsp:rsid wsp:val=&quot;001C18EC&quot;/&gt;&lt;wsp:rsid wsp:val=&quot;001C259C&quot;/&gt;&lt;wsp:rsid wsp:val=&quot;001C289A&quot;/&gt;&lt;wsp:rsid wsp:val=&quot;001C2E80&quot;/&gt;&lt;wsp:rsid wsp:val=&quot;001C310B&quot;/&gt;&lt;wsp:rsid wsp:val=&quot;001C3335&quot;/&gt;&lt;wsp:rsid wsp:val=&quot;001C3A9C&quot;/&gt;&lt;wsp:rsid wsp:val=&quot;001C3DC3&quot;/&gt;&lt;wsp:rsid wsp:val=&quot;001C4377&quot;/&gt;&lt;wsp:rsid wsp:val=&quot;001C47EC&quot;/&gt;&lt;wsp:rsid wsp:val=&quot;001C4BDE&quot;/&gt;&lt;wsp:rsid wsp:val=&quot;001C4D95&quot;/&gt;&lt;wsp:rsid wsp:val=&quot;001C4E19&quot;/&gt;&lt;wsp:rsid wsp:val=&quot;001C511E&quot;/&gt;&lt;wsp:rsid wsp:val=&quot;001C5470&quot;/&gt;&lt;wsp:rsid wsp:val=&quot;001C605A&quot;/&gt;&lt;wsp:rsid wsp:val=&quot;001C6274&quot;/&gt;&lt;wsp:rsid wsp:val=&quot;001C65A9&quot;/&gt;&lt;wsp:rsid wsp:val=&quot;001C6CB1&quot;/&gt;&lt;wsp:rsid wsp:val=&quot;001C6EC0&quot;/&gt;&lt;wsp:rsid wsp:val=&quot;001C7102&quot;/&gt;&lt;wsp:rsid wsp:val=&quot;001C73E7&quot;/&gt;&lt;wsp:rsid wsp:val=&quot;001C7475&quot;/&gt;&lt;wsp:rsid wsp:val=&quot;001C74A3&quot;/&gt;&lt;wsp:rsid wsp:val=&quot;001D005A&quot;/&gt;&lt;wsp:rsid wsp:val=&quot;001D0516&quot;/&gt;&lt;wsp:rsid wsp:val=&quot;001D0AA7&quot;/&gt;&lt;wsp:rsid wsp:val=&quot;001D0CC6&quot;/&gt;&lt;wsp:rsid wsp:val=&quot;001D1299&quot;/&gt;&lt;wsp:rsid wsp:val=&quot;001D14E5&quot;/&gt;&lt;wsp:rsid wsp:val=&quot;001D15AC&quot;/&gt;&lt;wsp:rsid wsp:val=&quot;001D162D&quot;/&gt;&lt;wsp:rsid wsp:val=&quot;001D197B&quot;/&gt;&lt;wsp:rsid wsp:val=&quot;001D1C19&quot;/&gt;&lt;wsp:rsid wsp:val=&quot;001D1CB4&quot;/&gt;&lt;wsp:rsid wsp:val=&quot;001D2A08&quot;/&gt;&lt;wsp:rsid wsp:val=&quot;001D3457&quot;/&gt;&lt;wsp:rsid wsp:val=&quot;001D3E3D&quot;/&gt;&lt;wsp:rsid wsp:val=&quot;001D3F73&quot;/&gt;&lt;wsp:rsid wsp:val=&quot;001D4129&quot;/&gt;&lt;wsp:rsid wsp:val=&quot;001D4498&quot;/&gt;&lt;wsp:rsid wsp:val=&quot;001D4BDC&quot;/&gt;&lt;wsp:rsid wsp:val=&quot;001D56B7&quot;/&gt;&lt;wsp:rsid wsp:val=&quot;001D6010&quot;/&gt;&lt;wsp:rsid wsp:val=&quot;001D6186&quot;/&gt;&lt;wsp:rsid wsp:val=&quot;001D638F&quot;/&gt;&lt;wsp:rsid wsp:val=&quot;001D668A&quot;/&gt;&lt;wsp:rsid wsp:val=&quot;001D6724&quot;/&gt;&lt;wsp:rsid wsp:val=&quot;001D6803&quot;/&gt;&lt;wsp:rsid wsp:val=&quot;001D6C57&quot;/&gt;&lt;wsp:rsid wsp:val=&quot;001D7BAD&quot;/&gt;&lt;wsp:rsid wsp:val=&quot;001D7D45&quot;/&gt;&lt;wsp:rsid wsp:val=&quot;001E0952&quot;/&gt;&lt;wsp:rsid wsp:val=&quot;001E0D4B&quot;/&gt;&lt;wsp:rsid wsp:val=&quot;001E0FDF&quot;/&gt;&lt;wsp:rsid wsp:val=&quot;001E129D&quot;/&gt;&lt;wsp:rsid wsp:val=&quot;001E148A&quot;/&gt;&lt;wsp:rsid wsp:val=&quot;001E17FA&quot;/&gt;&lt;wsp:rsid wsp:val=&quot;001E1BB6&quot;/&gt;&lt;wsp:rsid wsp:val=&quot;001E1D02&quot;/&gt;&lt;wsp:rsid wsp:val=&quot;001E1DCF&quot;/&gt;&lt;wsp:rsid wsp:val=&quot;001E2259&quot;/&gt;&lt;wsp:rsid wsp:val=&quot;001E28DD&quot;/&gt;&lt;wsp:rsid wsp:val=&quot;001E2A9E&quot;/&gt;&lt;wsp:rsid wsp:val=&quot;001E31E9&quot;/&gt;&lt;wsp:rsid wsp:val=&quot;001E3338&quot;/&gt;&lt;wsp:rsid wsp:val=&quot;001E35AA&quot;/&gt;&lt;wsp:rsid wsp:val=&quot;001E39FA&quot;/&gt;&lt;wsp:rsid wsp:val=&quot;001E434F&quot;/&gt;&lt;wsp:rsid wsp:val=&quot;001E455A&quot;/&gt;&lt;wsp:rsid wsp:val=&quot;001E5616&quot;/&gt;&lt;wsp:rsid wsp:val=&quot;001E56E1&quot;/&gt;&lt;wsp:rsid wsp:val=&quot;001E5900&quot;/&gt;&lt;wsp:rsid wsp:val=&quot;001E5A4D&quot;/&gt;&lt;wsp:rsid wsp:val=&quot;001E6893&quot;/&gt;&lt;wsp:rsid wsp:val=&quot;001E6F86&quot;/&gt;&lt;wsp:rsid wsp:val=&quot;001E7005&quot;/&gt;&lt;wsp:rsid wsp:val=&quot;001E70BE&quot;/&gt;&lt;wsp:rsid wsp:val=&quot;001E71E7&quot;/&gt;&lt;wsp:rsid wsp:val=&quot;001E744E&quot;/&gt;&lt;wsp:rsid wsp:val=&quot;001E77A7&quot;/&gt;&lt;wsp:rsid wsp:val=&quot;001E797B&quot;/&gt;&lt;wsp:rsid wsp:val=&quot;001E7A2B&quot;/&gt;&lt;wsp:rsid wsp:val=&quot;001E7C32&quot;/&gt;&lt;wsp:rsid wsp:val=&quot;001E7D25&quot;/&gt;&lt;wsp:rsid wsp:val=&quot;001E7DAB&quot;/&gt;&lt;wsp:rsid wsp:val=&quot;001E7E25&quot;/&gt;&lt;wsp:rsid wsp:val=&quot;001F03AC&quot;/&gt;&lt;wsp:rsid wsp:val=&quot;001F095B&quot;/&gt;&lt;wsp:rsid wsp:val=&quot;001F10B3&quot;/&gt;&lt;wsp:rsid wsp:val=&quot;001F1254&quot;/&gt;&lt;wsp:rsid wsp:val=&quot;001F1F4B&quot;/&gt;&lt;wsp:rsid wsp:val=&quot;001F211E&quot;/&gt;&lt;wsp:rsid wsp:val=&quot;001F24D7&quot;/&gt;&lt;wsp:rsid wsp:val=&quot;001F2C04&quot;/&gt;&lt;wsp:rsid wsp:val=&quot;001F2D53&quot;/&gt;&lt;wsp:rsid wsp:val=&quot;001F2D7C&quot;/&gt;&lt;wsp:rsid wsp:val=&quot;001F3425&quot;/&gt;&lt;wsp:rsid wsp:val=&quot;001F4384&quot;/&gt;&lt;wsp:rsid wsp:val=&quot;001F5C45&quot;/&gt;&lt;wsp:rsid wsp:val=&quot;001F6076&quot;/&gt;&lt;wsp:rsid wsp:val=&quot;001F7196&quot;/&gt;&lt;wsp:rsid wsp:val=&quot;001F7E06&quot;/&gt;&lt;wsp:rsid wsp:val=&quot;001F7EF9&quot;/&gt;&lt;wsp:rsid wsp:val=&quot;00200033&quot;/&gt;&lt;wsp:rsid wsp:val=&quot;00200234&quot;/&gt;&lt;wsp:rsid wsp:val=&quot;002017FD&quot;/&gt;&lt;wsp:rsid wsp:val=&quot;002018A0&quot;/&gt;&lt;wsp:rsid wsp:val=&quot;00201D6D&quot;/&gt;&lt;wsp:rsid wsp:val=&quot;002022AA&quot;/&gt;&lt;wsp:rsid wsp:val=&quot;00202341&quot;/&gt;&lt;wsp:rsid wsp:val=&quot;002034E4&quot;/&gt;&lt;wsp:rsid wsp:val=&quot;00203873&quot;/&gt;&lt;wsp:rsid wsp:val=&quot;0020391F&quot;/&gt;&lt;wsp:rsid wsp:val=&quot;00203E6F&quot;/&gt;&lt;wsp:rsid wsp:val=&quot;00204572&quot;/&gt;&lt;wsp:rsid wsp:val=&quot;00204F2D&quot;/&gt;&lt;wsp:rsid wsp:val=&quot;00205188&quot;/&gt;&lt;wsp:rsid wsp:val=&quot;00205705&quot;/&gt;&lt;wsp:rsid wsp:val=&quot;00205F49&quot;/&gt;&lt;wsp:rsid wsp:val=&quot;00206143&quot;/&gt;&lt;wsp:rsid wsp:val=&quot;002062AB&quot;/&gt;&lt;wsp:rsid wsp:val=&quot;002064CF&quot;/&gt;&lt;wsp:rsid wsp:val=&quot;00206A32&quot;/&gt;&lt;wsp:rsid wsp:val=&quot;002072C2&quot;/&gt;&lt;wsp:rsid wsp:val=&quot;002076E3&quot;/&gt;&lt;wsp:rsid wsp:val=&quot;002077BC&quot;/&gt;&lt;wsp:rsid wsp:val=&quot;0021042C&quot;/&gt;&lt;wsp:rsid wsp:val=&quot;0021159D&quot;/&gt;&lt;wsp:rsid wsp:val=&quot;002119F7&quot;/&gt;&lt;wsp:rsid wsp:val=&quot;00212203&quot;/&gt;&lt;wsp:rsid wsp:val=&quot;002127F9&quot;/&gt;&lt;wsp:rsid wsp:val=&quot;002129A2&quot;/&gt;&lt;wsp:rsid wsp:val=&quot;00212D08&quot;/&gt;&lt;wsp:rsid wsp:val=&quot;00212EB1&quot;/&gt;&lt;wsp:rsid wsp:val=&quot;00212F70&quot;/&gt;&lt;wsp:rsid wsp:val=&quot;00212FD5&quot;/&gt;&lt;wsp:rsid wsp:val=&quot;002131DC&quot;/&gt;&lt;wsp:rsid wsp:val=&quot;00213AA3&quot;/&gt;&lt;wsp:rsid wsp:val=&quot;00213F70&quot;/&gt;&lt;wsp:rsid wsp:val=&quot;002143BC&quot;/&gt;&lt;wsp:rsid wsp:val=&quot;002144AB&quot;/&gt;&lt;wsp:rsid wsp:val=&quot;00214945&quot;/&gt;&lt;wsp:rsid wsp:val=&quot;00215010&quot;/&gt;&lt;wsp:rsid wsp:val=&quot;00215752&quot;/&gt;&lt;wsp:rsid wsp:val=&quot;00215C88&quot;/&gt;&lt;wsp:rsid wsp:val=&quot;00215CE1&quot;/&gt;&lt;wsp:rsid wsp:val=&quot;00215F04&quot;/&gt;&lt;wsp:rsid wsp:val=&quot;002162EC&quot;/&gt;&lt;wsp:rsid wsp:val=&quot;002169DD&quot;/&gt;&lt;wsp:rsid wsp:val=&quot;002173D2&quot;/&gt;&lt;wsp:rsid wsp:val=&quot;0021774D&quot;/&gt;&lt;wsp:rsid wsp:val=&quot;00217C6A&quot;/&gt;&lt;wsp:rsid wsp:val=&quot;0022006B&quot;/&gt;&lt;wsp:rsid wsp:val=&quot;00220132&quot;/&gt;&lt;wsp:rsid wsp:val=&quot;00220C5D&quot;/&gt;&lt;wsp:rsid wsp:val=&quot;00220FC8&quot;/&gt;&lt;wsp:rsid wsp:val=&quot;00221237&quot;/&gt;&lt;wsp:rsid wsp:val=&quot;002212E5&quot;/&gt;&lt;wsp:rsid wsp:val=&quot;002213D1&quot;/&gt;&lt;wsp:rsid wsp:val=&quot;00221D43&quot;/&gt;&lt;wsp:rsid wsp:val=&quot;002223F8&quot;/&gt;&lt;wsp:rsid wsp:val=&quot;00222F7A&quot;/&gt;&lt;wsp:rsid wsp:val=&quot;00223130&quot;/&gt;&lt;wsp:rsid wsp:val=&quot;00223BC4&quot;/&gt;&lt;wsp:rsid wsp:val=&quot;00224E68&quot;/&gt;&lt;wsp:rsid wsp:val=&quot;00224E8E&quot;/&gt;&lt;wsp:rsid wsp:val=&quot;002251B0&quot;/&gt;&lt;wsp:rsid wsp:val=&quot;002255B3&quot;/&gt;&lt;wsp:rsid wsp:val=&quot;00225609&quot;/&gt;&lt;wsp:rsid wsp:val=&quot;00225889&quot;/&gt;&lt;wsp:rsid wsp:val=&quot;00225E3D&quot;/&gt;&lt;wsp:rsid wsp:val=&quot;0022668B&quot;/&gt;&lt;wsp:rsid wsp:val=&quot;002273FF&quot;/&gt;&lt;wsp:rsid wsp:val=&quot;0022775A&quot;/&gt;&lt;wsp:rsid wsp:val=&quot;0022795C&quot;/&gt;&lt;wsp:rsid wsp:val=&quot;00227E37&quot;/&gt;&lt;wsp:rsid wsp:val=&quot;00230449&quot;/&gt;&lt;wsp:rsid wsp:val=&quot;00230905&quot;/&gt;&lt;wsp:rsid wsp:val=&quot;00230956&quot;/&gt;&lt;wsp:rsid wsp:val=&quot;00230E17&quot;/&gt;&lt;wsp:rsid wsp:val=&quot;00231148&quot;/&gt;&lt;wsp:rsid wsp:val=&quot;0023117A&quot;/&gt;&lt;wsp:rsid wsp:val=&quot;00231675&quot;/&gt;&lt;wsp:rsid wsp:val=&quot;0023175C&quot;/&gt;&lt;wsp:rsid wsp:val=&quot;00231904&quot;/&gt;&lt;wsp:rsid wsp:val=&quot;00231D9C&quot;/&gt;&lt;wsp:rsid wsp:val=&quot;00231E6D&quot;/&gt;&lt;wsp:rsid wsp:val=&quot;00232157&quot;/&gt;&lt;wsp:rsid wsp:val=&quot;00232942&quot;/&gt;&lt;wsp:rsid wsp:val=&quot;00232C7F&quot;/&gt;&lt;wsp:rsid wsp:val=&quot;00232E7E&quot;/&gt;&lt;wsp:rsid wsp:val=&quot;00232FE6&quot;/&gt;&lt;wsp:rsid wsp:val=&quot;00233772&quot;/&gt;&lt;wsp:rsid wsp:val=&quot;002338EE&quot;/&gt;&lt;wsp:rsid wsp:val=&quot;00233911&quot;/&gt;&lt;wsp:rsid wsp:val=&quot;00234049&quot;/&gt;&lt;wsp:rsid wsp:val=&quot;002345AC&quot;/&gt;&lt;wsp:rsid wsp:val=&quot;002350C8&quot;/&gt;&lt;wsp:rsid wsp:val=&quot;00235572&quot;/&gt;&lt;wsp:rsid wsp:val=&quot;002355EC&quot;/&gt;&lt;wsp:rsid wsp:val=&quot;0023568C&quot;/&gt;&lt;wsp:rsid wsp:val=&quot;0023596A&quot;/&gt;&lt;wsp:rsid wsp:val=&quot;00235C60&quot;/&gt;&lt;wsp:rsid wsp:val=&quot;00236A0B&quot;/&gt;&lt;wsp:rsid wsp:val=&quot;002379ED&quot;/&gt;&lt;wsp:rsid wsp:val=&quot;00237ABC&quot;/&gt;&lt;wsp:rsid wsp:val=&quot;00237E12&quot;/&gt;&lt;wsp:rsid wsp:val=&quot;0024016E&quot;/&gt;&lt;wsp:rsid wsp:val=&quot;00240A11&quot;/&gt;&lt;wsp:rsid wsp:val=&quot;00240BA3&quot;/&gt;&lt;wsp:rsid wsp:val=&quot;00240CFC&quot;/&gt;&lt;wsp:rsid wsp:val=&quot;00240E9B&quot;/&gt;&lt;wsp:rsid wsp:val=&quot;0024158C&quot;/&gt;&lt;wsp:rsid wsp:val=&quot;002417D4&quot;/&gt;&lt;wsp:rsid wsp:val=&quot;00241829&quot;/&gt;&lt;wsp:rsid wsp:val=&quot;00241953&quot;/&gt;&lt;wsp:rsid wsp:val=&quot;00241ED4&quot;/&gt;&lt;wsp:rsid wsp:val=&quot;00242586&quot;/&gt;&lt;wsp:rsid wsp:val=&quot;00243133&quot;/&gt;&lt;wsp:rsid wsp:val=&quot;0024340C&quot;/&gt;&lt;wsp:rsid wsp:val=&quot;00244271&quot;/&gt;&lt;wsp:rsid wsp:val=&quot;00244325&quot;/&gt;&lt;wsp:rsid wsp:val=&quot;00244582&quot;/&gt;&lt;wsp:rsid wsp:val=&quot;00244D59&quot;/&gt;&lt;wsp:rsid wsp:val=&quot;00244EBA&quot;/&gt;&lt;wsp:rsid wsp:val=&quot;00245291&quot;/&gt;&lt;wsp:rsid wsp:val=&quot;002453BD&quot;/&gt;&lt;wsp:rsid wsp:val=&quot;002457E6&quot;/&gt;&lt;wsp:rsid wsp:val=&quot;00245BD2&quot;/&gt;&lt;wsp:rsid wsp:val=&quot;00246478&quot;/&gt;&lt;wsp:rsid wsp:val=&quot;00246869&quot;/&gt;&lt;wsp:rsid wsp:val=&quot;00246BE6&quot;/&gt;&lt;wsp:rsid wsp:val=&quot;00246CC6&quot;/&gt;&lt;wsp:rsid wsp:val=&quot;00247035&quot;/&gt;&lt;wsp:rsid wsp:val=&quot;0024749C&quot;/&gt;&lt;wsp:rsid wsp:val=&quot;00247927&quot;/&gt;&lt;wsp:rsid wsp:val=&quot;00247BB3&quot;/&gt;&lt;wsp:rsid wsp:val=&quot;00247D95&quot;/&gt;&lt;wsp:rsid wsp:val=&quot;00247E1E&quot;/&gt;&lt;wsp:rsid wsp:val=&quot;00250181&quot;/&gt;&lt;wsp:rsid wsp:val=&quot;0025018F&quot;/&gt;&lt;wsp:rsid wsp:val=&quot;0025038F&quot;/&gt;&lt;wsp:rsid wsp:val=&quot;002508CA&quot;/&gt;&lt;wsp:rsid wsp:val=&quot;00250A9A&quot;/&gt;&lt;wsp:rsid wsp:val=&quot;0025148F&quot;/&gt;&lt;wsp:rsid wsp:val=&quot;002515EE&quot;/&gt;&lt;wsp:rsid wsp:val=&quot;002516C6&quot;/&gt;&lt;wsp:rsid wsp:val=&quot;00251903&quot;/&gt;&lt;wsp:rsid wsp:val=&quot;00252222&quot;/&gt;&lt;wsp:rsid wsp:val=&quot;00252710&quot;/&gt;&lt;wsp:rsid wsp:val=&quot;00252E2C&quot;/&gt;&lt;wsp:rsid wsp:val=&quot;00253593&quot;/&gt;&lt;wsp:rsid wsp:val=&quot;00253774&quot;/&gt;&lt;wsp:rsid wsp:val=&quot;00253CAB&quot;/&gt;&lt;wsp:rsid wsp:val=&quot;002540E9&quot;/&gt;&lt;wsp:rsid wsp:val=&quot;002541E5&quot;/&gt;&lt;wsp:rsid wsp:val=&quot;002542D5&quot;/&gt;&lt;wsp:rsid wsp:val=&quot;0025475B&quot;/&gt;&lt;wsp:rsid wsp:val=&quot;00254A36&quot;/&gt;&lt;wsp:rsid wsp:val=&quot;00254A3F&quot;/&gt;&lt;wsp:rsid wsp:val=&quot;0025518A&quot;/&gt;&lt;wsp:rsid wsp:val=&quot;00255657&quot;/&gt;&lt;wsp:rsid wsp:val=&quot;0025576A&quot;/&gt;&lt;wsp:rsid wsp:val=&quot;00255C63&quot;/&gt;&lt;wsp:rsid wsp:val=&quot;00255E88&quot;/&gt;&lt;wsp:rsid wsp:val=&quot;0025675C&quot;/&gt;&lt;wsp:rsid wsp:val=&quot;002570AF&quot;/&gt;&lt;wsp:rsid wsp:val=&quot;0025737D&quot;/&gt;&lt;wsp:rsid wsp:val=&quot;0025786C&quot;/&gt;&lt;wsp:rsid wsp:val=&quot;00257C0C&quot;/&gt;&lt;wsp:rsid wsp:val=&quot;00257FCE&quot;/&gt;&lt;wsp:rsid wsp:val=&quot;00260483&quot;/&gt;&lt;wsp:rsid wsp:val=&quot;002609D2&quot;/&gt;&lt;wsp:rsid wsp:val=&quot;00260AEE&quot;/&gt;&lt;wsp:rsid wsp:val=&quot;0026107D&quot;/&gt;&lt;wsp:rsid wsp:val=&quot;0026176D&quot;/&gt;&lt;wsp:rsid wsp:val=&quot;002619D9&quot;/&gt;&lt;wsp:rsid wsp:val=&quot;002623D3&quot;/&gt;&lt;wsp:rsid wsp:val=&quot;00262BA6&quot;/&gt;&lt;wsp:rsid wsp:val=&quot;00263AAE&quot;/&gt;&lt;wsp:rsid wsp:val=&quot;00264452&quot;/&gt;&lt;wsp:rsid wsp:val=&quot;002647E7&quot;/&gt;&lt;wsp:rsid wsp:val=&quot;00265EC4&quot;/&gt;&lt;wsp:rsid wsp:val=&quot;00265EF8&quot;/&gt;&lt;wsp:rsid wsp:val=&quot;002665F7&quot;/&gt;&lt;wsp:rsid wsp:val=&quot;00266692&quot;/&gt;&lt;wsp:rsid wsp:val=&quot;002669C9&quot;/&gt;&lt;wsp:rsid wsp:val=&quot;0026752D&quot;/&gt;&lt;wsp:rsid wsp:val=&quot;0027049B&quot;/&gt;&lt;wsp:rsid wsp:val=&quot;00270595&quot;/&gt;&lt;wsp:rsid wsp:val=&quot;00270811&quot;/&gt;&lt;wsp:rsid wsp:val=&quot;00270B18&quot;/&gt;&lt;wsp:rsid wsp:val=&quot;00270E85&quot;/&gt;&lt;wsp:rsid wsp:val=&quot;002714FD&quot;/&gt;&lt;wsp:rsid wsp:val=&quot;00271757&quot;/&gt;&lt;wsp:rsid wsp:val=&quot;002717E6&quot;/&gt;&lt;wsp:rsid wsp:val=&quot;00271DFE&quot;/&gt;&lt;wsp:rsid wsp:val=&quot;00272147&quot;/&gt;&lt;wsp:rsid wsp:val=&quot;00272326&quot;/&gt;&lt;wsp:rsid wsp:val=&quot;00272E76&quot;/&gt;&lt;wsp:rsid wsp:val=&quot;00273295&quot;/&gt;&lt;wsp:rsid wsp:val=&quot;00273626&quot;/&gt;&lt;wsp:rsid wsp:val=&quot;00273B40&quot;/&gt;&lt;wsp:rsid wsp:val=&quot;00273CD3&quot;/&gt;&lt;wsp:rsid wsp:val=&quot;0027408F&quot;/&gt;&lt;wsp:rsid wsp:val=&quot;0027527A&quot;/&gt;&lt;wsp:rsid wsp:val=&quot;0027548A&quot;/&gt;&lt;wsp:rsid wsp:val=&quot;00275564&quot;/&gt;&lt;wsp:rsid wsp:val=&quot;0027586E&quot;/&gt;&lt;wsp:rsid wsp:val=&quot;00275C33&quot;/&gt;&lt;wsp:rsid wsp:val=&quot;00275FA8&quot;/&gt;&lt;wsp:rsid wsp:val=&quot;00276021&quot;/&gt;&lt;wsp:rsid wsp:val=&quot;0027650D&quot;/&gt;&lt;wsp:rsid wsp:val=&quot;00276517&quot;/&gt;&lt;wsp:rsid wsp:val=&quot;002765FD&quot;/&gt;&lt;wsp:rsid wsp:val=&quot;00276641&quot;/&gt;&lt;wsp:rsid wsp:val=&quot;00276A9C&quot;/&gt;&lt;wsp:rsid wsp:val=&quot;002774E4&quot;/&gt;&lt;wsp:rsid wsp:val=&quot;002776F3&quot;/&gt;&lt;wsp:rsid wsp:val=&quot;00277823&quot;/&gt;&lt;wsp:rsid wsp:val=&quot;00277930&quot;/&gt;&lt;wsp:rsid wsp:val=&quot;002779DE&quot;/&gt;&lt;wsp:rsid wsp:val=&quot;00277A86&quot;/&gt;&lt;wsp:rsid wsp:val=&quot;00277BD0&quot;/&gt;&lt;wsp:rsid wsp:val=&quot;00277D34&quot;/&gt;&lt;wsp:rsid wsp:val=&quot;00280135&quot;/&gt;&lt;wsp:rsid wsp:val=&quot;0028019A&quot;/&gt;&lt;wsp:rsid wsp:val=&quot;002803EF&quot;/&gt;&lt;wsp:rsid wsp:val=&quot;002806BB&quot;/&gt;&lt;wsp:rsid wsp:val=&quot;00281488&quot;/&gt;&lt;wsp:rsid wsp:val=&quot;002816EB&quot;/&gt;&lt;wsp:rsid wsp:val=&quot;0028180D&quot;/&gt;&lt;wsp:rsid wsp:val=&quot;002818A3&quot;/&gt;&lt;wsp:rsid wsp:val=&quot;00281918&quot;/&gt;&lt;wsp:rsid wsp:val=&quot;00281B5A&quot;/&gt;&lt;wsp:rsid wsp:val=&quot;00281F4A&quot;/&gt;&lt;wsp:rsid wsp:val=&quot;002825F7&quot;/&gt;&lt;wsp:rsid wsp:val=&quot;00282716&quot;/&gt;&lt;wsp:rsid wsp:val=&quot;00282E3B&quot;/&gt;&lt;wsp:rsid wsp:val=&quot;0028338E&quot;/&gt;&lt;wsp:rsid wsp:val=&quot;002838EE&quot;/&gt;&lt;wsp:rsid wsp:val=&quot;00283B58&quot;/&gt;&lt;wsp:rsid wsp:val=&quot;00283CA2&quot;/&gt;&lt;wsp:rsid wsp:val=&quot;00284F26&quot;/&gt;&lt;wsp:rsid wsp:val=&quot;00284FF3&quot;/&gt;&lt;wsp:rsid wsp:val=&quot;0028501F&quot;/&gt;&lt;wsp:rsid wsp:val=&quot;00285105&quot;/&gt;&lt;wsp:rsid wsp:val=&quot;002851A3&quot;/&gt;&lt;wsp:rsid wsp:val=&quot;00285949&quot;/&gt;&lt;wsp:rsid wsp:val=&quot;00285AB1&quot;/&gt;&lt;wsp:rsid wsp:val=&quot;0028605C&quot;/&gt;&lt;wsp:rsid wsp:val=&quot;002865B7&quot;/&gt;&lt;wsp:rsid wsp:val=&quot;002866D7&quot;/&gt;&lt;wsp:rsid wsp:val=&quot;00286D02&quot;/&gt;&lt;wsp:rsid wsp:val=&quot;00286D52&quot;/&gt;&lt;wsp:rsid wsp:val=&quot;00286E89&quot;/&gt;&lt;wsp:rsid wsp:val=&quot;002872DD&quot;/&gt;&lt;wsp:rsid wsp:val=&quot;0028765A&quot;/&gt;&lt;wsp:rsid wsp:val=&quot;00287829&quot;/&gt;&lt;wsp:rsid wsp:val=&quot;00290055&quot;/&gt;&lt;wsp:rsid wsp:val=&quot;00290F4B&quot;/&gt;&lt;wsp:rsid wsp:val=&quot;00291068&quot;/&gt;&lt;wsp:rsid wsp:val=&quot;00291229&quot;/&gt;&lt;wsp:rsid wsp:val=&quot;002914AE&quot;/&gt;&lt;wsp:rsid wsp:val=&quot;002916BE&quot;/&gt;&lt;wsp:rsid wsp:val=&quot;00291822&quot;/&gt;&lt;wsp:rsid wsp:val=&quot;00292033&quot;/&gt;&lt;wsp:rsid wsp:val=&quot;00292569&quot;/&gt;&lt;wsp:rsid wsp:val=&quot;002928EB&quot;/&gt;&lt;wsp:rsid wsp:val=&quot;00292CA3&quot;/&gt;&lt;wsp:rsid wsp:val=&quot;00292CDF&quot;/&gt;&lt;wsp:rsid wsp:val=&quot;00293011&quot;/&gt;&lt;wsp:rsid wsp:val=&quot;00294293&quot;/&gt;&lt;wsp:rsid wsp:val=&quot;002944CA&quot;/&gt;&lt;wsp:rsid wsp:val=&quot;00294774&quot;/&gt;&lt;wsp:rsid wsp:val=&quot;00294CE1&quot;/&gt;&lt;wsp:rsid wsp:val=&quot;00295988&quot;/&gt;&lt;wsp:rsid wsp:val=&quot;002970B9&quot;/&gt;&lt;wsp:rsid wsp:val=&quot;00297514&quot;/&gt;&lt;wsp:rsid wsp:val=&quot;002979B8&quot;/&gt;&lt;wsp:rsid wsp:val=&quot;00297B81&quot;/&gt;&lt;wsp:rsid wsp:val=&quot;002A0019&quot;/&gt;&lt;wsp:rsid wsp:val=&quot;002A013A&quot;/&gt;&lt;wsp:rsid wsp:val=&quot;002A0409&quot;/&gt;&lt;wsp:rsid wsp:val=&quot;002A09A3&quot;/&gt;&lt;wsp:rsid wsp:val=&quot;002A0A6A&quot;/&gt;&lt;wsp:rsid wsp:val=&quot;002A0A7C&quot;/&gt;&lt;wsp:rsid wsp:val=&quot;002A0FC0&quot;/&gt;&lt;wsp:rsid wsp:val=&quot;002A130A&quot;/&gt;&lt;wsp:rsid wsp:val=&quot;002A1DC1&quot;/&gt;&lt;wsp:rsid wsp:val=&quot;002A1DF0&quot;/&gt;&lt;wsp:rsid wsp:val=&quot;002A200D&quot;/&gt;&lt;wsp:rsid wsp:val=&quot;002A2AA0&quot;/&gt;&lt;wsp:rsid wsp:val=&quot;002A2F6C&quot;/&gt;&lt;wsp:rsid wsp:val=&quot;002A4512&quot;/&gt;&lt;wsp:rsid wsp:val=&quot;002A4A14&quot;/&gt;&lt;wsp:rsid wsp:val=&quot;002A4FB2&quot;/&gt;&lt;wsp:rsid wsp:val=&quot;002A5317&quot;/&gt;&lt;wsp:rsid wsp:val=&quot;002A561B&quot;/&gt;&lt;wsp:rsid wsp:val=&quot;002A5CD9&quot;/&gt;&lt;wsp:rsid wsp:val=&quot;002A638C&quot;/&gt;&lt;wsp:rsid wsp:val=&quot;002A6455&quot;/&gt;&lt;wsp:rsid wsp:val=&quot;002A6747&quot;/&gt;&lt;wsp:rsid wsp:val=&quot;002A6799&quot;/&gt;&lt;wsp:rsid wsp:val=&quot;002A67CF&quot;/&gt;&lt;wsp:rsid wsp:val=&quot;002A728A&quot;/&gt;&lt;wsp:rsid wsp:val=&quot;002A7445&quot;/&gt;&lt;wsp:rsid wsp:val=&quot;002A7484&quot;/&gt;&lt;wsp:rsid wsp:val=&quot;002A74B5&quot;/&gt;&lt;wsp:rsid wsp:val=&quot;002A7A2D&quot;/&gt;&lt;wsp:rsid wsp:val=&quot;002A7B9C&quot;/&gt;&lt;wsp:rsid wsp:val=&quot;002B024B&quot;/&gt;&lt;wsp:rsid wsp:val=&quot;002B077B&quot;/&gt;&lt;wsp:rsid wsp:val=&quot;002B1177&quot;/&gt;&lt;wsp:rsid wsp:val=&quot;002B14B2&quot;/&gt;&lt;wsp:rsid wsp:val=&quot;002B1EA6&quot;/&gt;&lt;wsp:rsid wsp:val=&quot;002B2543&quot;/&gt;&lt;wsp:rsid wsp:val=&quot;002B2676&quot;/&gt;&lt;wsp:rsid wsp:val=&quot;002B3979&quot;/&gt;&lt;wsp:rsid wsp:val=&quot;002B421C&quot;/&gt;&lt;wsp:rsid wsp:val=&quot;002B429B&quot;/&gt;&lt;wsp:rsid wsp:val=&quot;002B4E48&quot;/&gt;&lt;wsp:rsid wsp:val=&quot;002B50B7&quot;/&gt;&lt;wsp:rsid wsp:val=&quot;002B5233&quot;/&gt;&lt;wsp:rsid wsp:val=&quot;002B5359&quot;/&gt;&lt;wsp:rsid wsp:val=&quot;002B5496&quot;/&gt;&lt;wsp:rsid wsp:val=&quot;002B5582&quot;/&gt;&lt;wsp:rsid wsp:val=&quot;002B5656&quot;/&gt;&lt;wsp:rsid wsp:val=&quot;002B5BF1&quot;/&gt;&lt;wsp:rsid wsp:val=&quot;002B5E26&quot;/&gt;&lt;wsp:rsid wsp:val=&quot;002B730C&quot;/&gt;&lt;wsp:rsid wsp:val=&quot;002B7E9E&quot;/&gt;&lt;wsp:rsid wsp:val=&quot;002C0990&quot;/&gt;&lt;wsp:rsid wsp:val=&quot;002C0A41&quot;/&gt;&lt;wsp:rsid wsp:val=&quot;002C0D48&quot;/&gt;&lt;wsp:rsid wsp:val=&quot;002C1145&quot;/&gt;&lt;wsp:rsid wsp:val=&quot;002C16E7&quot;/&gt;&lt;wsp:rsid wsp:val=&quot;002C1B46&quot;/&gt;&lt;wsp:rsid wsp:val=&quot;002C2555&quot;/&gt;&lt;wsp:rsid wsp:val=&quot;002C258E&quot;/&gt;&lt;wsp:rsid wsp:val=&quot;002C2BAB&quot;/&gt;&lt;wsp:rsid wsp:val=&quot;002C2DD6&quot;/&gt;&lt;wsp:rsid wsp:val=&quot;002C304E&quot;/&gt;&lt;wsp:rsid wsp:val=&quot;002C3EC9&quot;/&gt;&lt;wsp:rsid wsp:val=&quot;002C4283&quot;/&gt;&lt;wsp:rsid wsp:val=&quot;002C4447&quot;/&gt;&lt;wsp:rsid wsp:val=&quot;002C4589&quot;/&gt;&lt;wsp:rsid wsp:val=&quot;002C4959&quot;/&gt;&lt;wsp:rsid wsp:val=&quot;002C4D4E&quot;/&gt;&lt;wsp:rsid wsp:val=&quot;002C549C&quot;/&gt;&lt;wsp:rsid wsp:val=&quot;002C551F&quot;/&gt;&lt;wsp:rsid wsp:val=&quot;002C5661&quot;/&gt;&lt;wsp:rsid wsp:val=&quot;002C5A54&quot;/&gt;&lt;wsp:rsid wsp:val=&quot;002C5D33&quot;/&gt;&lt;wsp:rsid wsp:val=&quot;002C7401&quot;/&gt;&lt;wsp:rsid wsp:val=&quot;002C764C&quot;/&gt;&lt;wsp:rsid wsp:val=&quot;002C7768&quot;/&gt;&lt;wsp:rsid wsp:val=&quot;002C791D&quot;/&gt;&lt;wsp:rsid wsp:val=&quot;002C7C2A&quot;/&gt;&lt;wsp:rsid wsp:val=&quot;002C7C52&quot;/&gt;&lt;wsp:rsid wsp:val=&quot;002C7E47&quot;/&gt;&lt;wsp:rsid wsp:val=&quot;002D02FB&quot;/&gt;&lt;wsp:rsid wsp:val=&quot;002D0F85&quot;/&gt;&lt;wsp:rsid wsp:val=&quot;002D15B7&quot;/&gt;&lt;wsp:rsid wsp:val=&quot;002D17F0&quot;/&gt;&lt;wsp:rsid wsp:val=&quot;002D19DC&quot;/&gt;&lt;wsp:rsid wsp:val=&quot;002D1C94&quot;/&gt;&lt;wsp:rsid wsp:val=&quot;002D23E5&quot;/&gt;&lt;wsp:rsid wsp:val=&quot;002D2413&quot;/&gt;&lt;wsp:rsid wsp:val=&quot;002D253D&quot;/&gt;&lt;wsp:rsid wsp:val=&quot;002D29A8&quot;/&gt;&lt;wsp:rsid wsp:val=&quot;002D2BA5&quot;/&gt;&lt;wsp:rsid wsp:val=&quot;002D2C3D&quot;/&gt;&lt;wsp:rsid wsp:val=&quot;002D2D58&quot;/&gt;&lt;wsp:rsid wsp:val=&quot;002D2D9E&quot;/&gt;&lt;wsp:rsid wsp:val=&quot;002D3051&quot;/&gt;&lt;wsp:rsid wsp:val=&quot;002D3105&quot;/&gt;&lt;wsp:rsid wsp:val=&quot;002D3770&quot;/&gt;&lt;wsp:rsid wsp:val=&quot;002D3B52&quot;/&gt;&lt;wsp:rsid wsp:val=&quot;002D430B&quot;/&gt;&lt;wsp:rsid wsp:val=&quot;002D43F6&quot;/&gt;&lt;wsp:rsid wsp:val=&quot;002D44DB&quot;/&gt;&lt;wsp:rsid wsp:val=&quot;002D4DBB&quot;/&gt;&lt;wsp:rsid wsp:val=&quot;002D4E06&quot;/&gt;&lt;wsp:rsid wsp:val=&quot;002D4F1A&quot;/&gt;&lt;wsp:rsid wsp:val=&quot;002D4F90&quot;/&gt;&lt;wsp:rsid wsp:val=&quot;002D5707&quot;/&gt;&lt;wsp:rsid wsp:val=&quot;002D5DD5&quot;/&gt;&lt;wsp:rsid wsp:val=&quot;002D5DE4&quot;/&gt;&lt;wsp:rsid wsp:val=&quot;002D69D4&quot;/&gt;&lt;wsp:rsid wsp:val=&quot;002D6E0E&quot;/&gt;&lt;wsp:rsid wsp:val=&quot;002D6FF0&quot;/&gt;&lt;wsp:rsid wsp:val=&quot;002D75CE&quot;/&gt;&lt;wsp:rsid wsp:val=&quot;002D796B&quot;/&gt;&lt;wsp:rsid wsp:val=&quot;002D7BD4&quot;/&gt;&lt;wsp:rsid wsp:val=&quot;002D7E89&quot;/&gt;&lt;wsp:rsid wsp:val=&quot;002D7FA8&quot;/&gt;&lt;wsp:rsid wsp:val=&quot;002E0083&quot;/&gt;&lt;wsp:rsid wsp:val=&quot;002E00E7&quot;/&gt;&lt;wsp:rsid wsp:val=&quot;002E0AC5&quot;/&gt;&lt;wsp:rsid wsp:val=&quot;002E0C08&quot;/&gt;&lt;wsp:rsid wsp:val=&quot;002E174C&quot;/&gt;&lt;wsp:rsid wsp:val=&quot;002E1BF4&quot;/&gt;&lt;wsp:rsid wsp:val=&quot;002E1C44&quot;/&gt;&lt;wsp:rsid wsp:val=&quot;002E279C&quot;/&gt;&lt;wsp:rsid wsp:val=&quot;002E2A6E&quot;/&gt;&lt;wsp:rsid wsp:val=&quot;002E2C4C&quot;/&gt;&lt;wsp:rsid wsp:val=&quot;002E2FC0&quot;/&gt;&lt;wsp:rsid wsp:val=&quot;002E310A&quot;/&gt;&lt;wsp:rsid wsp:val=&quot;002E319F&quot;/&gt;&lt;wsp:rsid wsp:val=&quot;002E3410&quot;/&gt;&lt;wsp:rsid wsp:val=&quot;002E36F9&quot;/&gt;&lt;wsp:rsid wsp:val=&quot;002E3853&quot;/&gt;&lt;wsp:rsid wsp:val=&quot;002E3E14&quot;/&gt;&lt;wsp:rsid wsp:val=&quot;002E4501&quot;/&gt;&lt;wsp:rsid wsp:val=&quot;002E468E&quot;/&gt;&lt;wsp:rsid wsp:val=&quot;002E46B1&quot;/&gt;&lt;wsp:rsid wsp:val=&quot;002E4966&quot;/&gt;&lt;wsp:rsid wsp:val=&quot;002E4B93&quot;/&gt;&lt;wsp:rsid wsp:val=&quot;002E501A&quot;/&gt;&lt;wsp:rsid wsp:val=&quot;002E5315&quot;/&gt;&lt;wsp:rsid wsp:val=&quot;002E662C&quot;/&gt;&lt;wsp:rsid wsp:val=&quot;002E6943&quot;/&gt;&lt;wsp:rsid wsp:val=&quot;002E6949&quot;/&gt;&lt;wsp:rsid wsp:val=&quot;002E6C5A&quot;/&gt;&lt;wsp:rsid wsp:val=&quot;002E6CE5&quot;/&gt;&lt;wsp:rsid wsp:val=&quot;002E72F4&quot;/&gt;&lt;wsp:rsid wsp:val=&quot;002E7355&quot;/&gt;&lt;wsp:rsid wsp:val=&quot;002E7C02&quot;/&gt;&lt;wsp:rsid wsp:val=&quot;002E7C25&quot;/&gt;&lt;wsp:rsid wsp:val=&quot;002E7C67&quot;/&gt;&lt;wsp:rsid wsp:val=&quot;002F0057&quot;/&gt;&lt;wsp:rsid wsp:val=&quot;002F0280&quot;/&gt;&lt;wsp:rsid wsp:val=&quot;002F04A5&quot;/&gt;&lt;wsp:rsid wsp:val=&quot;002F0857&quot;/&gt;&lt;wsp:rsid wsp:val=&quot;002F0A1A&quot;/&gt;&lt;wsp:rsid wsp:val=&quot;002F0FCA&quot;/&gt;&lt;wsp:rsid wsp:val=&quot;002F12D6&quot;/&gt;&lt;wsp:rsid wsp:val=&quot;002F18C1&quot;/&gt;&lt;wsp:rsid wsp:val=&quot;002F1D4A&quot;/&gt;&lt;wsp:rsid wsp:val=&quot;002F2CDB&quot;/&gt;&lt;wsp:rsid wsp:val=&quot;002F3875&quot;/&gt;&lt;wsp:rsid wsp:val=&quot;002F4035&quot;/&gt;&lt;wsp:rsid wsp:val=&quot;002F408B&quot;/&gt;&lt;wsp:rsid wsp:val=&quot;002F4374&quot;/&gt;&lt;wsp:rsid wsp:val=&quot;002F4BED&quot;/&gt;&lt;wsp:rsid wsp:val=&quot;002F4DC0&quot;/&gt;&lt;wsp:rsid wsp:val=&quot;002F529D&quot;/&gt;&lt;wsp:rsid wsp:val=&quot;002F5622&quot;/&gt;&lt;wsp:rsid wsp:val=&quot;002F5CC5&quot;/&gt;&lt;wsp:rsid wsp:val=&quot;002F6423&quot;/&gt;&lt;wsp:rsid wsp:val=&quot;002F6A5D&quot;/&gt;&lt;wsp:rsid wsp:val=&quot;002F6AF5&quot;/&gt;&lt;wsp:rsid wsp:val=&quot;002F6D48&quot;/&gt;&lt;wsp:rsid wsp:val=&quot;002F6D9A&quot;/&gt;&lt;wsp:rsid wsp:val=&quot;002F7C37&quot;/&gt;&lt;wsp:rsid wsp:val=&quot;002F7F83&quot;/&gt;&lt;wsp:rsid wsp:val=&quot;00300269&quot;/&gt;&lt;wsp:rsid wsp:val=&quot;0030037D&quot;/&gt;&lt;wsp:rsid wsp:val=&quot;003006E5&quot;/&gt;&lt;wsp:rsid wsp:val=&quot;00300758&quot;/&gt;&lt;wsp:rsid wsp:val=&quot;003007C9&quot;/&gt;&lt;wsp:rsid wsp:val=&quot;00301BDA&quot;/&gt;&lt;wsp:rsid wsp:val=&quot;00301C4C&quot;/&gt;&lt;wsp:rsid wsp:val=&quot;00301CB8&quot;/&gt;&lt;wsp:rsid wsp:val=&quot;00301DE0&quot;/&gt;&lt;wsp:rsid wsp:val=&quot;00301DE5&quot;/&gt;&lt;wsp:rsid wsp:val=&quot;003022D9&quot;/&gt;&lt;wsp:rsid wsp:val=&quot;00302478&quot;/&gt;&lt;wsp:rsid wsp:val=&quot;00302828&quot;/&gt;&lt;wsp:rsid wsp:val=&quot;00302B4C&quot;/&gt;&lt;wsp:rsid wsp:val=&quot;00303BA6&quot;/&gt;&lt;wsp:rsid wsp:val=&quot;00303CBB&quot;/&gt;&lt;wsp:rsid wsp:val=&quot;00303DA4&quot;/&gt;&lt;wsp:rsid wsp:val=&quot;003046F6&quot;/&gt;&lt;wsp:rsid wsp:val=&quot;00304955&quot;/&gt;&lt;wsp:rsid wsp:val=&quot;00304B79&quot;/&gt;&lt;wsp:rsid wsp:val=&quot;003053C5&quot;/&gt;&lt;wsp:rsid wsp:val=&quot;0030548D&quot;/&gt;&lt;wsp:rsid wsp:val=&quot;00305806&quot;/&gt;&lt;wsp:rsid wsp:val=&quot;00306359&quot;/&gt;&lt;wsp:rsid wsp:val=&quot;0030654B&quot;/&gt;&lt;wsp:rsid wsp:val=&quot;00306BAD&quot;/&gt;&lt;wsp:rsid wsp:val=&quot;00306E1B&quot;/&gt;&lt;wsp:rsid wsp:val=&quot;003070DF&quot;/&gt;&lt;wsp:rsid wsp:val=&quot;00307372&quot;/&gt;&lt;wsp:rsid wsp:val=&quot;00307375&quot;/&gt;&lt;wsp:rsid wsp:val=&quot;0030784A&quot;/&gt;&lt;wsp:rsid wsp:val=&quot;003078EC&quot;/&gt;&lt;wsp:rsid wsp:val=&quot;00307E81&quot;/&gt;&lt;wsp:rsid wsp:val=&quot;00307FAF&quot;/&gt;&lt;wsp:rsid wsp:val=&quot;00310382&quot;/&gt;&lt;wsp:rsid wsp:val=&quot;00310AE3&quot;/&gt;&lt;wsp:rsid wsp:val=&quot;00310C28&quot;/&gt;&lt;wsp:rsid wsp:val=&quot;00311494&quot;/&gt;&lt;wsp:rsid wsp:val=&quot;0031183D&quot;/&gt;&lt;wsp:rsid wsp:val=&quot;00311881&quot;/&gt;&lt;wsp:rsid wsp:val=&quot;0031197E&quot;/&gt;&lt;wsp:rsid wsp:val=&quot;00311A43&quot;/&gt;&lt;wsp:rsid wsp:val=&quot;00311C95&quot;/&gt;&lt;wsp:rsid wsp:val=&quot;00311CEC&quot;/&gt;&lt;wsp:rsid wsp:val=&quot;00311E66&quot;/&gt;&lt;wsp:rsid wsp:val=&quot;00312297&quot;/&gt;&lt;wsp:rsid wsp:val=&quot;003123C6&quot;/&gt;&lt;wsp:rsid wsp:val=&quot;00312A2F&quot;/&gt;&lt;wsp:rsid wsp:val=&quot;003135F3&quot;/&gt;&lt;wsp:rsid wsp:val=&quot;00313661&quot;/&gt;&lt;wsp:rsid wsp:val=&quot;00313D10&quot;/&gt;&lt;wsp:rsid wsp:val=&quot;00314993&quot;/&gt;&lt;wsp:rsid wsp:val=&quot;00314CDC&quot;/&gt;&lt;wsp:rsid wsp:val=&quot;00314FF9&quot;/&gt;&lt;wsp:rsid wsp:val=&quot;0031537C&quot;/&gt;&lt;wsp:rsid wsp:val=&quot;0031579B&quot;/&gt;&lt;wsp:rsid wsp:val=&quot;003157BD&quot;/&gt;&lt;wsp:rsid wsp:val=&quot;00315DF4&quot;/&gt;&lt;wsp:rsid wsp:val=&quot;003162B9&quot;/&gt;&lt;wsp:rsid wsp:val=&quot;003163DC&quot;/&gt;&lt;wsp:rsid wsp:val=&quot;0031645A&quot;/&gt;&lt;wsp:rsid wsp:val=&quot;00316C5A&quot;/&gt;&lt;wsp:rsid wsp:val=&quot;003170F7&quot;/&gt;&lt;wsp:rsid wsp:val=&quot;003178C8&quot;/&gt;&lt;wsp:rsid wsp:val=&quot;00317937&quot;/&gt;&lt;wsp:rsid wsp:val=&quot;00317ECB&quot;/&gt;&lt;wsp:rsid wsp:val=&quot;00320085&quot;/&gt;&lt;wsp:rsid wsp:val=&quot;003200CD&quot;/&gt;&lt;wsp:rsid wsp:val=&quot;00320782&quot;/&gt;&lt;wsp:rsid wsp:val=&quot;00320873&quot;/&gt;&lt;wsp:rsid wsp:val=&quot;0032096D&quot;/&gt;&lt;wsp:rsid wsp:val=&quot;00320C02&quot;/&gt;&lt;wsp:rsid wsp:val=&quot;00320C5C&quot;/&gt;&lt;wsp:rsid wsp:val=&quot;00320CB5&quot;/&gt;&lt;wsp:rsid wsp:val=&quot;0032122C&quot;/&gt;&lt;wsp:rsid wsp:val=&quot;003215C6&quot;/&gt;&lt;wsp:rsid wsp:val=&quot;003215C8&quot;/&gt;&lt;wsp:rsid wsp:val=&quot;003215D5&quot;/&gt;&lt;wsp:rsid wsp:val=&quot;00322604&quot;/&gt;&lt;wsp:rsid wsp:val=&quot;00323152&quot;/&gt;&lt;wsp:rsid wsp:val=&quot;0032366B&quot;/&gt;&lt;wsp:rsid wsp:val=&quot;0032390A&quot;/&gt;&lt;wsp:rsid wsp:val=&quot;00323F82&quot;/&gt;&lt;wsp:rsid wsp:val=&quot;003240B9&quot;/&gt;&lt;wsp:rsid wsp:val=&quot;003248E2&quot;/&gt;&lt;wsp:rsid wsp:val=&quot;003252F0&quot;/&gt;&lt;wsp:rsid wsp:val=&quot;003255D9&quot;/&gt;&lt;wsp:rsid wsp:val=&quot;00325661&quot;/&gt;&lt;wsp:rsid wsp:val=&quot;00325800&quot;/&gt;&lt;wsp:rsid wsp:val=&quot;00325A90&quot;/&gt;&lt;wsp:rsid wsp:val=&quot;00325D3A&quot;/&gt;&lt;wsp:rsid wsp:val=&quot;003261AA&quot;/&gt;&lt;wsp:rsid wsp:val=&quot;00327485&quot;/&gt;&lt;wsp:rsid wsp:val=&quot;0032782F&quot;/&gt;&lt;wsp:rsid wsp:val=&quot;00327FA2&quot;/&gt;&lt;wsp:rsid wsp:val=&quot;003300A7&quot;/&gt;&lt;wsp:rsid wsp:val=&quot;00330A0F&quot;/&gt;&lt;wsp:rsid wsp:val=&quot;00330C21&quot;/&gt;&lt;wsp:rsid wsp:val=&quot;00331253&quot;/&gt;&lt;wsp:rsid wsp:val=&quot;0033139B&quot;/&gt;&lt;wsp:rsid wsp:val=&quot;003313E5&quot;/&gt;&lt;wsp:rsid wsp:val=&quot;0033183D&quot;/&gt;&lt;wsp:rsid wsp:val=&quot;00333127&quot;/&gt;&lt;wsp:rsid wsp:val=&quot;00333509&quot;/&gt;&lt;wsp:rsid wsp:val=&quot;00333EC5&quot;/&gt;&lt;wsp:rsid wsp:val=&quot;00333FA2&quot;/&gt;&lt;wsp:rsid wsp:val=&quot;00334332&quot;/&gt;&lt;wsp:rsid wsp:val=&quot;00334523&quot;/&gt;&lt;wsp:rsid wsp:val=&quot;00334B0E&quot;/&gt;&lt;wsp:rsid wsp:val=&quot;003351CE&quot;/&gt;&lt;wsp:rsid wsp:val=&quot;0033537A&quot;/&gt;&lt;wsp:rsid wsp:val=&quot;003353E1&quot;/&gt;&lt;wsp:rsid wsp:val=&quot;00335BB0&quot;/&gt;&lt;wsp:rsid wsp:val=&quot;00335BCE&quot;/&gt;&lt;wsp:rsid wsp:val=&quot;00335C99&quot;/&gt;&lt;wsp:rsid wsp:val=&quot;00336CD4&quot;/&gt;&lt;wsp:rsid wsp:val=&quot;00336EC7&quot;/&gt;&lt;wsp:rsid wsp:val=&quot;00336F7A&quot;/&gt;&lt;wsp:rsid wsp:val=&quot;00336FCA&quot;/&gt;&lt;wsp:rsid wsp:val=&quot;0033723A&quot;/&gt;&lt;wsp:rsid wsp:val=&quot;00337271&quot;/&gt;&lt;wsp:rsid wsp:val=&quot;003376F2&quot;/&gt;&lt;wsp:rsid wsp:val=&quot;003378A8&quot;/&gt;&lt;wsp:rsid wsp:val=&quot;0034055F&quot;/&gt;&lt;wsp:rsid wsp:val=&quot;00340804&quot;/&gt;&lt;wsp:rsid wsp:val=&quot;00340F41&quot;/&gt;&lt;wsp:rsid wsp:val=&quot;0034199A&quot;/&gt;&lt;wsp:rsid wsp:val=&quot;00341BBA&quot;/&gt;&lt;wsp:rsid wsp:val=&quot;003427FD&quot;/&gt;&lt;wsp:rsid wsp:val=&quot;00342A4A&quot;/&gt;&lt;wsp:rsid wsp:val=&quot;0034301F&quot;/&gt;&lt;wsp:rsid wsp:val=&quot;003438A2&quot;/&gt;&lt;wsp:rsid wsp:val=&quot;00343CEE&quot;/&gt;&lt;wsp:rsid wsp:val=&quot;00343D5D&quot;/&gt;&lt;wsp:rsid wsp:val=&quot;003440DE&quot;/&gt;&lt;wsp:rsid wsp:val=&quot;0034417B&quot;/&gt;&lt;wsp:rsid wsp:val=&quot;003442B5&quot;/&gt;&lt;wsp:rsid wsp:val=&quot;00344771&quot;/&gt;&lt;wsp:rsid wsp:val=&quot;003447FC&quot;/&gt;&lt;wsp:rsid wsp:val=&quot;0034500E&quot;/&gt;&lt;wsp:rsid wsp:val=&quot;003450B0&quot;/&gt;&lt;wsp:rsid wsp:val=&quot;00345476&quot;/&gt;&lt;wsp:rsid wsp:val=&quot;003456CE&quot;/&gt;&lt;wsp:rsid wsp:val=&quot;00345789&quot;/&gt;&lt;wsp:rsid wsp:val=&quot;003458F6&quot;/&gt;&lt;wsp:rsid wsp:val=&quot;00345968&quot;/&gt;&lt;wsp:rsid wsp:val=&quot;00345AE3&quot;/&gt;&lt;wsp:rsid wsp:val=&quot;00345B4D&quot;/&gt;&lt;wsp:rsid wsp:val=&quot;00345EFA&quot;/&gt;&lt;wsp:rsid wsp:val=&quot;00346290&quot;/&gt;&lt;wsp:rsid wsp:val=&quot;003463D7&quot;/&gt;&lt;wsp:rsid wsp:val=&quot;00346493&quot;/&gt;&lt;wsp:rsid wsp:val=&quot;00346582&quot;/&gt;&lt;wsp:rsid wsp:val=&quot;00346A6F&quot;/&gt;&lt;wsp:rsid wsp:val=&quot;00346BA9&quot;/&gt;&lt;wsp:rsid wsp:val=&quot;00347731&quot;/&gt;&lt;wsp:rsid wsp:val=&quot;00347870&quot;/&gt;&lt;wsp:rsid wsp:val=&quot;00347E26&quot;/&gt;&lt;wsp:rsid wsp:val=&quot;00347E2D&quot;/&gt;&lt;wsp:rsid wsp:val=&quot;00350103&quot;/&gt;&lt;wsp:rsid wsp:val=&quot;0035012C&quot;/&gt;&lt;wsp:rsid wsp:val=&quot;00350190&quot;/&gt;&lt;wsp:rsid wsp:val=&quot;003502B6&quot;/&gt;&lt;wsp:rsid wsp:val=&quot;003507E6&quot;/&gt;&lt;wsp:rsid wsp:val=&quot;00350DF0&quot;/&gt;&lt;wsp:rsid wsp:val=&quot;00350FEC&quot;/&gt;&lt;wsp:rsid wsp:val=&quot;00351B5B&quot;/&gt;&lt;wsp:rsid wsp:val=&quot;00351E8F&quot;/&gt;&lt;wsp:rsid wsp:val=&quot;0035245B&quot;/&gt;&lt;wsp:rsid wsp:val=&quot;0035282A&quot;/&gt;&lt;wsp:rsid wsp:val=&quot;00352D5B&quot;/&gt;&lt;wsp:rsid wsp:val=&quot;0035383B&quot;/&gt;&lt;wsp:rsid wsp:val=&quot;00353B23&quot;/&gt;&lt;wsp:rsid wsp:val=&quot;00353C91&quot;/&gt;&lt;wsp:rsid wsp:val=&quot;00354371&quot;/&gt;&lt;wsp:rsid wsp:val=&quot;0035559E&quot;/&gt;&lt;wsp:rsid wsp:val=&quot;00355943&quot;/&gt;&lt;wsp:rsid wsp:val=&quot;00355999&quot;/&gt;&lt;wsp:rsid wsp:val=&quot;00356BFE&quot;/&gt;&lt;wsp:rsid wsp:val=&quot;00357381&quot;/&gt;&lt;wsp:rsid wsp:val=&quot;00357721&quot;/&gt;&lt;wsp:rsid wsp:val=&quot;00357CA6&quot;/&gt;&lt;wsp:rsid wsp:val=&quot;00360509&quot;/&gt;&lt;wsp:rsid wsp:val=&quot;00360741&quot;/&gt;&lt;wsp:rsid wsp:val=&quot;003607D3&quot;/&gt;&lt;wsp:rsid wsp:val=&quot;00360CF9&quot;/&gt;&lt;wsp:rsid wsp:val=&quot;00361806&quot;/&gt;&lt;wsp:rsid wsp:val=&quot;00361CF4&quot;/&gt;&lt;wsp:rsid wsp:val=&quot;0036221A&quot;/&gt;&lt;wsp:rsid wsp:val=&quot;0036239E&quot;/&gt;&lt;wsp:rsid wsp:val=&quot;0036241A&quot;/&gt;&lt;wsp:rsid wsp:val=&quot;00363622&quot;/&gt;&lt;wsp:rsid wsp:val=&quot;003645E3&quot;/&gt;&lt;wsp:rsid wsp:val=&quot;00364626&quot;/&gt;&lt;wsp:rsid wsp:val=&quot;003646E4&quot;/&gt;&lt;wsp:rsid wsp:val=&quot;00364A73&quot;/&gt;&lt;wsp:rsid wsp:val=&quot;00365617&quot;/&gt;&lt;wsp:rsid wsp:val=&quot;0036566A&quot;/&gt;&lt;wsp:rsid wsp:val=&quot;003657A7&quot;/&gt;&lt;wsp:rsid wsp:val=&quot;0036594C&quot;/&gt;&lt;wsp:rsid wsp:val=&quot;00365BEC&quot;/&gt;&lt;wsp:rsid wsp:val=&quot;00365DEA&quot;/&gt;&lt;wsp:rsid wsp:val=&quot;00365EB6&quot;/&gt;&lt;wsp:rsid wsp:val=&quot;00366353&quot;/&gt;&lt;wsp:rsid wsp:val=&quot;003663C1&quot;/&gt;&lt;wsp:rsid wsp:val=&quot;00366467&quot;/&gt;&lt;wsp:rsid wsp:val=&quot;003666DD&quot;/&gt;&lt;wsp:rsid wsp:val=&quot;0036784F&quot;/&gt;&lt;wsp:rsid wsp:val=&quot;00367AD2&quot;/&gt;&lt;wsp:rsid wsp:val=&quot;00367CA1&quot;/&gt;&lt;wsp:rsid wsp:val=&quot;003701F5&quot;/&gt;&lt;wsp:rsid wsp:val=&quot;0037037B&quot;/&gt;&lt;wsp:rsid wsp:val=&quot;00370794&quot;/&gt;&lt;wsp:rsid wsp:val=&quot;00370B84&quot;/&gt;&lt;wsp:rsid wsp:val=&quot;003713CD&quot;/&gt;&lt;wsp:rsid wsp:val=&quot;003717B3&quot;/&gt;&lt;wsp:rsid wsp:val=&quot;00371AFA&quot;/&gt;&lt;wsp:rsid wsp:val=&quot;003723B9&quot;/&gt;&lt;wsp:rsid wsp:val=&quot;00372DCB&quot;/&gt;&lt;wsp:rsid wsp:val=&quot;003738AC&quot;/&gt;&lt;wsp:rsid wsp:val=&quot;003739CD&quot;/&gt;&lt;wsp:rsid wsp:val=&quot;00373A7E&quot;/&gt;&lt;wsp:rsid wsp:val=&quot;00373AD5&quot;/&gt;&lt;wsp:rsid wsp:val=&quot;00373C3F&quot;/&gt;&lt;wsp:rsid wsp:val=&quot;00373E88&quot;/&gt;&lt;wsp:rsid wsp:val=&quot;00373EE3&quot;/&gt;&lt;wsp:rsid wsp:val=&quot;003741FE&quot;/&gt;&lt;wsp:rsid wsp:val=&quot;00374403&quot;/&gt;&lt;wsp:rsid wsp:val=&quot;003748C6&quot;/&gt;&lt;wsp:rsid wsp:val=&quot;003751E8&quot;/&gt;&lt;wsp:rsid wsp:val=&quot;00375562&quot;/&gt;&lt;wsp:rsid wsp:val=&quot;003755A5&quot;/&gt;&lt;wsp:rsid wsp:val=&quot;00375CAD&quot;/&gt;&lt;wsp:rsid wsp:val=&quot;00375EEB&quot;/&gt;&lt;wsp:rsid wsp:val=&quot;0037640D&quot;/&gt;&lt;wsp:rsid wsp:val=&quot;003765B7&quot;/&gt;&lt;wsp:rsid wsp:val=&quot;00376854&quot;/&gt;&lt;wsp:rsid wsp:val=&quot;00376DFF&quot;/&gt;&lt;wsp:rsid wsp:val=&quot;003773E7&quot;/&gt;&lt;wsp:rsid wsp:val=&quot;00377914&quot;/&gt;&lt;wsp:rsid wsp:val=&quot;003779DE&quot;/&gt;&lt;wsp:rsid wsp:val=&quot;00377C79&quot;/&gt;&lt;wsp:rsid wsp:val=&quot;00377D79&quot;/&gt;&lt;wsp:rsid wsp:val=&quot;003802AA&quot;/&gt;&lt;wsp:rsid wsp:val=&quot;003806F4&quot;/&gt;&lt;wsp:rsid wsp:val=&quot;00381031&quot;/&gt;&lt;wsp:rsid wsp:val=&quot;003813BA&quot;/&gt;&lt;wsp:rsid wsp:val=&quot;00381605&quot;/&gt;&lt;wsp:rsid wsp:val=&quot;00381E59&quot;/&gt;&lt;wsp:rsid wsp:val=&quot;00382915&quot;/&gt;&lt;wsp:rsid wsp:val=&quot;00382A2E&quot;/&gt;&lt;wsp:rsid wsp:val=&quot;00383445&quot;/&gt;&lt;wsp:rsid wsp:val=&quot;0038355D&quot;/&gt;&lt;wsp:rsid wsp:val=&quot;00383C62&quot;/&gt;&lt;wsp:rsid wsp:val=&quot;0038424C&quot;/&gt;&lt;wsp:rsid wsp:val=&quot;003842F7&quot;/&gt;&lt;wsp:rsid wsp:val=&quot;003853B3&quot;/&gt;&lt;wsp:rsid wsp:val=&quot;00385BA9&quot;/&gt;&lt;wsp:rsid wsp:val=&quot;00385C88&quot;/&gt;&lt;wsp:rsid wsp:val=&quot;003862A0&quot;/&gt;&lt;wsp:rsid wsp:val=&quot;00386431&quot;/&gt;&lt;wsp:rsid wsp:val=&quot;00386549&quot;/&gt;&lt;wsp:rsid wsp:val=&quot;00386F6B&quot;/&gt;&lt;wsp:rsid wsp:val=&quot;00387830&quot;/&gt;&lt;wsp:rsid wsp:val=&quot;0038796C&quot;/&gt;&lt;wsp:rsid wsp:val=&quot;00387FE2&quot;/&gt;&lt;wsp:rsid wsp:val=&quot;00390172&quot;/&gt;&lt;wsp:rsid wsp:val=&quot;003906FF&quot;/&gt;&lt;wsp:rsid wsp:val=&quot;0039153F&quot;/&gt;&lt;wsp:rsid wsp:val=&quot;00391652&quot;/&gt;&lt;wsp:rsid wsp:val=&quot;00392391&quot;/&gt;&lt;wsp:rsid wsp:val=&quot;00392D0F&quot;/&gt;&lt;wsp:rsid wsp:val=&quot;0039342B&quot;/&gt;&lt;wsp:rsid wsp:val=&quot;0039344B&quot;/&gt;&lt;wsp:rsid wsp:val=&quot;0039366E&quot;/&gt;&lt;wsp:rsid wsp:val=&quot;0039483D&quot;/&gt;&lt;wsp:rsid wsp:val=&quot;00394916&quot;/&gt;&lt;wsp:rsid wsp:val=&quot;003949E4&quot;/&gt;&lt;wsp:rsid wsp:val=&quot;00394CED&quot;/&gt;&lt;wsp:rsid wsp:val=&quot;00394F8C&quot;/&gt;&lt;wsp:rsid wsp:val=&quot;00395069&quot;/&gt;&lt;wsp:rsid wsp:val=&quot;0039526B&quot;/&gt;&lt;wsp:rsid wsp:val=&quot;0039554B&quot;/&gt;&lt;wsp:rsid wsp:val=&quot;003955B2&quot;/&gt;&lt;wsp:rsid wsp:val=&quot;00395688&quot;/&gt;&lt;wsp:rsid wsp:val=&quot;00395CBD&quot;/&gt;&lt;wsp:rsid wsp:val=&quot;00395DA4&quot;/&gt;&lt;wsp:rsid wsp:val=&quot;00395EC4&quot;/&gt;&lt;wsp:rsid wsp:val=&quot;003962A8&quot;/&gt;&lt;wsp:rsid wsp:val=&quot;00396871&quot;/&gt;&lt;wsp:rsid wsp:val=&quot;00397C4F&quot;/&gt;&lt;wsp:rsid wsp:val=&quot;00397FD3&quot;/&gt;&lt;wsp:rsid wsp:val=&quot;003A01D0&quot;/&gt;&lt;wsp:rsid wsp:val=&quot;003A0596&quot;/&gt;&lt;wsp:rsid wsp:val=&quot;003A0768&quot;/&gt;&lt;wsp:rsid wsp:val=&quot;003A0820&quot;/&gt;&lt;wsp:rsid wsp:val=&quot;003A14B7&quot;/&gt;&lt;wsp:rsid wsp:val=&quot;003A17CC&quot;/&gt;&lt;wsp:rsid wsp:val=&quot;003A1910&quot;/&gt;&lt;wsp:rsid wsp:val=&quot;003A1997&quot;/&gt;&lt;wsp:rsid wsp:val=&quot;003A1EC8&quot;/&gt;&lt;wsp:rsid wsp:val=&quot;003A2490&quot;/&gt;&lt;wsp:rsid wsp:val=&quot;003A27D9&quot;/&gt;&lt;wsp:rsid wsp:val=&quot;003A2CED&quot;/&gt;&lt;wsp:rsid wsp:val=&quot;003A2F2D&quot;/&gt;&lt;wsp:rsid wsp:val=&quot;003A2FA0&quot;/&gt;&lt;wsp:rsid wsp:val=&quot;003A32D1&quot;/&gt;&lt;wsp:rsid wsp:val=&quot;003A34C4&quot;/&gt;&lt;wsp:rsid wsp:val=&quot;003A378B&quot;/&gt;&lt;wsp:rsid wsp:val=&quot;003A3B1A&quot;/&gt;&lt;wsp:rsid wsp:val=&quot;003A3E5D&quot;/&gt;&lt;wsp:rsid wsp:val=&quot;003A4101&quot;/&gt;&lt;wsp:rsid wsp:val=&quot;003A4658&quot;/&gt;&lt;wsp:rsid wsp:val=&quot;003A469E&quot;/&gt;&lt;wsp:rsid wsp:val=&quot;003A477C&quot;/&gt;&lt;wsp:rsid wsp:val=&quot;003A4E04&quot;/&gt;&lt;wsp:rsid wsp:val=&quot;003A53E8&quot;/&gt;&lt;wsp:rsid wsp:val=&quot;003A57D5&quot;/&gt;&lt;wsp:rsid wsp:val=&quot;003A5A42&quot;/&gt;&lt;wsp:rsid wsp:val=&quot;003A5ADE&quot;/&gt;&lt;wsp:rsid wsp:val=&quot;003A5E54&quot;/&gt;&lt;wsp:rsid wsp:val=&quot;003A61AC&quot;/&gt;&lt;wsp:rsid wsp:val=&quot;003A69BD&quot;/&gt;&lt;wsp:rsid wsp:val=&quot;003A71E0&quot;/&gt;&lt;wsp:rsid wsp:val=&quot;003A752F&quot;/&gt;&lt;wsp:rsid wsp:val=&quot;003A7805&quot;/&gt;&lt;wsp:rsid wsp:val=&quot;003A7926&quot;/&gt;&lt;wsp:rsid wsp:val=&quot;003A7D6D&quot;/&gt;&lt;wsp:rsid wsp:val=&quot;003B035A&quot;/&gt;&lt;wsp:rsid wsp:val=&quot;003B0469&quot;/&gt;&lt;wsp:rsid wsp:val=&quot;003B0516&quot;/&gt;&lt;wsp:rsid wsp:val=&quot;003B0B90&quot;/&gt;&lt;wsp:rsid wsp:val=&quot;003B123C&quot;/&gt;&lt;wsp:rsid wsp:val=&quot;003B136C&quot;/&gt;&lt;wsp:rsid wsp:val=&quot;003B196F&quot;/&gt;&lt;wsp:rsid wsp:val=&quot;003B19C2&quot;/&gt;&lt;wsp:rsid wsp:val=&quot;003B24D9&quot;/&gt;&lt;wsp:rsid wsp:val=&quot;003B2D38&quot;/&gt;&lt;wsp:rsid wsp:val=&quot;003B3093&quot;/&gt;&lt;wsp:rsid wsp:val=&quot;003B32E3&quot;/&gt;&lt;wsp:rsid wsp:val=&quot;003B342E&quot;/&gt;&lt;wsp:rsid wsp:val=&quot;003B34F5&quot;/&gt;&lt;wsp:rsid wsp:val=&quot;003B401F&quot;/&gt;&lt;wsp:rsid wsp:val=&quot;003B4781&quot;/&gt;&lt;wsp:rsid wsp:val=&quot;003B48DE&quot;/&gt;&lt;wsp:rsid wsp:val=&quot;003B4D2E&quot;/&gt;&lt;wsp:rsid wsp:val=&quot;003B4F6F&quot;/&gt;&lt;wsp:rsid wsp:val=&quot;003B51C4&quot;/&gt;&lt;wsp:rsid wsp:val=&quot;003B533B&quot;/&gt;&lt;wsp:rsid wsp:val=&quot;003B58EC&quot;/&gt;&lt;wsp:rsid wsp:val=&quot;003B5A1D&quot;/&gt;&lt;wsp:rsid wsp:val=&quot;003B5F0B&quot;/&gt;&lt;wsp:rsid wsp:val=&quot;003B5F46&quot;/&gt;&lt;wsp:rsid wsp:val=&quot;003B6756&quot;/&gt;&lt;wsp:rsid wsp:val=&quot;003B6868&quot;/&gt;&lt;wsp:rsid wsp:val=&quot;003B6FF0&quot;/&gt;&lt;wsp:rsid wsp:val=&quot;003B738E&quot;/&gt;&lt;wsp:rsid wsp:val=&quot;003B75AC&quot;/&gt;&lt;wsp:rsid wsp:val=&quot;003B7D80&quot;/&gt;&lt;wsp:rsid wsp:val=&quot;003B7E55&quot;/&gt;&lt;wsp:rsid wsp:val=&quot;003C0B4F&quot;/&gt;&lt;wsp:rsid wsp:val=&quot;003C0CD3&quot;/&gt;&lt;wsp:rsid wsp:val=&quot;003C1200&quot;/&gt;&lt;wsp:rsid wsp:val=&quot;003C124E&quot;/&gt;&lt;wsp:rsid wsp:val=&quot;003C127D&quot;/&gt;&lt;wsp:rsid wsp:val=&quot;003C1C7A&quot;/&gt;&lt;wsp:rsid wsp:val=&quot;003C1CFF&quot;/&gt;&lt;wsp:rsid wsp:val=&quot;003C1D5D&quot;/&gt;&lt;wsp:rsid wsp:val=&quot;003C21E9&quot;/&gt;&lt;wsp:rsid wsp:val=&quot;003C221B&quot;/&gt;&lt;wsp:rsid wsp:val=&quot;003C2806&quot;/&gt;&lt;wsp:rsid wsp:val=&quot;003C29FB&quot;/&gt;&lt;wsp:rsid wsp:val=&quot;003C2B75&quot;/&gt;&lt;wsp:rsid wsp:val=&quot;003C2C95&quot;/&gt;&lt;wsp:rsid wsp:val=&quot;003C2C9F&quot;/&gt;&lt;wsp:rsid wsp:val=&quot;003C2E2A&quot;/&gt;&lt;wsp:rsid wsp:val=&quot;003C3748&quot;/&gt;&lt;wsp:rsid wsp:val=&quot;003C3EA8&quot;/&gt;&lt;wsp:rsid wsp:val=&quot;003C40A0&quot;/&gt;&lt;wsp:rsid wsp:val=&quot;003C4278&quot;/&gt;&lt;wsp:rsid wsp:val=&quot;003C4300&quot;/&gt;&lt;wsp:rsid wsp:val=&quot;003C475F&quot;/&gt;&lt;wsp:rsid wsp:val=&quot;003C49BC&quot;/&gt;&lt;wsp:rsid wsp:val=&quot;003C4D85&quot;/&gt;&lt;wsp:rsid wsp:val=&quot;003C4EC4&quot;/&gt;&lt;wsp:rsid wsp:val=&quot;003C55AA&quot;/&gt;&lt;wsp:rsid wsp:val=&quot;003C6335&quot;/&gt;&lt;wsp:rsid wsp:val=&quot;003C656F&quot;/&gt;&lt;wsp:rsid wsp:val=&quot;003C6FEB&quot;/&gt;&lt;wsp:rsid wsp:val=&quot;003C7595&quot;/&gt;&lt;wsp:rsid wsp:val=&quot;003C7764&quot;/&gt;&lt;wsp:rsid wsp:val=&quot;003C7AFF&quot;/&gt;&lt;wsp:rsid wsp:val=&quot;003C7E63&quot;/&gt;&lt;wsp:rsid wsp:val=&quot;003C7ECD&quot;/&gt;&lt;wsp:rsid wsp:val=&quot;003D045D&quot;/&gt;&lt;wsp:rsid wsp:val=&quot;003D08A6&quot;/&gt;&lt;wsp:rsid wsp:val=&quot;003D09FE&quot;/&gt;&lt;wsp:rsid wsp:val=&quot;003D1255&quot;/&gt;&lt;wsp:rsid wsp:val=&quot;003D137F&quot;/&gt;&lt;wsp:rsid wsp:val=&quot;003D18FC&quot;/&gt;&lt;wsp:rsid wsp:val=&quot;003D194F&quot;/&gt;&lt;wsp:rsid wsp:val=&quot;003D2AB5&quot;/&gt;&lt;wsp:rsid wsp:val=&quot;003D308D&quot;/&gt;&lt;wsp:rsid wsp:val=&quot;003D370F&quot;/&gt;&lt;wsp:rsid wsp:val=&quot;003D3A18&quot;/&gt;&lt;wsp:rsid wsp:val=&quot;003D3D0C&quot;/&gt;&lt;wsp:rsid wsp:val=&quot;003D3D66&quot;/&gt;&lt;wsp:rsid wsp:val=&quot;003D4097&quot;/&gt;&lt;wsp:rsid wsp:val=&quot;003D4823&quot;/&gt;&lt;wsp:rsid wsp:val=&quot;003D4850&quot;/&gt;&lt;wsp:rsid wsp:val=&quot;003D4973&quot;/&gt;&lt;wsp:rsid wsp:val=&quot;003D5C10&quot;/&gt;&lt;wsp:rsid wsp:val=&quot;003D6227&quot;/&gt;&lt;wsp:rsid wsp:val=&quot;003D6534&quot;/&gt;&lt;wsp:rsid wsp:val=&quot;003D6758&quot;/&gt;&lt;wsp:rsid wsp:val=&quot;003D6E1D&quot;/&gt;&lt;wsp:rsid wsp:val=&quot;003D6F45&quot;/&gt;&lt;wsp:rsid wsp:val=&quot;003D7707&quot;/&gt;&lt;wsp:rsid wsp:val=&quot;003D7749&quot;/&gt;&lt;wsp:rsid wsp:val=&quot;003D7BEB&quot;/&gt;&lt;wsp:rsid wsp:val=&quot;003E04D7&quot;/&gt;&lt;wsp:rsid wsp:val=&quot;003E0CF3&quot;/&gt;&lt;wsp:rsid wsp:val=&quot;003E12B0&quot;/&gt;&lt;wsp:rsid wsp:val=&quot;003E1825&quot;/&gt;&lt;wsp:rsid wsp:val=&quot;003E1A9A&quot;/&gt;&lt;wsp:rsid wsp:val=&quot;003E1BC9&quot;/&gt;&lt;wsp:rsid wsp:val=&quot;003E28AC&quot;/&gt;&lt;wsp:rsid wsp:val=&quot;003E2B62&quot;/&gt;&lt;wsp:rsid wsp:val=&quot;003E3977&quot;/&gt;&lt;wsp:rsid wsp:val=&quot;003E39A7&quot;/&gt;&lt;wsp:rsid wsp:val=&quot;003E3F30&quot;/&gt;&lt;wsp:rsid wsp:val=&quot;003E40F2&quot;/&gt;&lt;wsp:rsid wsp:val=&quot;003E423B&quot;/&gt;&lt;wsp:rsid wsp:val=&quot;003E4288&quot;/&gt;&lt;wsp:rsid wsp:val=&quot;003E42B4&quot;/&gt;&lt;wsp:rsid wsp:val=&quot;003E44F5&quot;/&gt;&lt;wsp:rsid wsp:val=&quot;003E44F6&quot;/&gt;&lt;wsp:rsid wsp:val=&quot;003E56DD&quot;/&gt;&lt;wsp:rsid wsp:val=&quot;003E585B&quot;/&gt;&lt;wsp:rsid wsp:val=&quot;003E5950&quot;/&gt;&lt;wsp:rsid wsp:val=&quot;003E5E26&quot;/&gt;&lt;wsp:rsid wsp:val=&quot;003E6366&quot;/&gt;&lt;wsp:rsid wsp:val=&quot;003E6672&quot;/&gt;&lt;wsp:rsid wsp:val=&quot;003E6BB3&quot;/&gt;&lt;wsp:rsid wsp:val=&quot;003E72B7&quot;/&gt;&lt;wsp:rsid wsp:val=&quot;003E74C8&quot;/&gt;&lt;wsp:rsid wsp:val=&quot;003F1CC6&quot;/&gt;&lt;wsp:rsid wsp:val=&quot;003F1DE3&quot;/&gt;&lt;wsp:rsid wsp:val=&quot;003F2377&quot;/&gt;&lt;wsp:rsid wsp:val=&quot;003F253B&quot;/&gt;&lt;wsp:rsid wsp:val=&quot;003F27F7&quot;/&gt;&lt;wsp:rsid wsp:val=&quot;003F2A4E&quot;/&gt;&lt;wsp:rsid wsp:val=&quot;003F2AC6&quot;/&gt;&lt;wsp:rsid wsp:val=&quot;003F2CCF&quot;/&gt;&lt;wsp:rsid wsp:val=&quot;003F3902&quot;/&gt;&lt;wsp:rsid wsp:val=&quot;003F3CCE&quot;/&gt;&lt;wsp:rsid wsp:val=&quot;003F3F8A&quot;/&gt;&lt;wsp:rsid wsp:val=&quot;003F4189&quot;/&gt;&lt;wsp:rsid wsp:val=&quot;003F422B&quot;/&gt;&lt;wsp:rsid wsp:val=&quot;003F4997&quot;/&gt;&lt;wsp:rsid wsp:val=&quot;003F4BA8&quot;/&gt;&lt;wsp:rsid wsp:val=&quot;003F514F&quot;/&gt;&lt;wsp:rsid wsp:val=&quot;003F58AF&quot;/&gt;&lt;wsp:rsid wsp:val=&quot;003F5B8D&quot;/&gt;&lt;wsp:rsid wsp:val=&quot;003F5C47&quot;/&gt;&lt;wsp:rsid wsp:val=&quot;003F619E&quot;/&gt;&lt;wsp:rsid wsp:val=&quot;003F61B9&quot;/&gt;&lt;wsp:rsid wsp:val=&quot;003F643E&quot;/&gt;&lt;wsp:rsid wsp:val=&quot;003F66FB&quot;/&gt;&lt;wsp:rsid wsp:val=&quot;003F6C03&quot;/&gt;&lt;wsp:rsid wsp:val=&quot;003F6D42&quot;/&gt;&lt;wsp:rsid wsp:val=&quot;003F6D91&quot;/&gt;&lt;wsp:rsid wsp:val=&quot;003F70E7&quot;/&gt;&lt;wsp:rsid wsp:val=&quot;003F7650&quot;/&gt;&lt;wsp:rsid wsp:val=&quot;003F7722&quot;/&gt;&lt;wsp:rsid wsp:val=&quot;003F7F15&quot;/&gt;&lt;wsp:rsid wsp:val=&quot;003F7F4C&quot;/&gt;&lt;wsp:rsid wsp:val=&quot;0040000E&quot;/&gt;&lt;wsp:rsid wsp:val=&quot;004001C7&quot;/&gt;&lt;wsp:rsid wsp:val=&quot;00400BDA&quot;/&gt;&lt;wsp:rsid wsp:val=&quot;00400EA8&quot;/&gt;&lt;wsp:rsid wsp:val=&quot;00401374&quot;/&gt;&lt;wsp:rsid wsp:val=&quot;004013BC&quot;/&gt;&lt;wsp:rsid wsp:val=&quot;00401AA4&quot;/&gt;&lt;wsp:rsid wsp:val=&quot;00402305&quot;/&gt;&lt;wsp:rsid wsp:val=&quot;00402F6B&quot;/&gt;&lt;wsp:rsid wsp:val=&quot;004030F6&quot;/&gt;&lt;wsp:rsid wsp:val=&quot;00403112&quot;/&gt;&lt;wsp:rsid wsp:val=&quot;0040318C&quot;/&gt;&lt;wsp:rsid wsp:val=&quot;004031BC&quot;/&gt;&lt;wsp:rsid wsp:val=&quot;00403653&quot;/&gt;&lt;wsp:rsid wsp:val=&quot;00403977&quot;/&gt;&lt;wsp:rsid wsp:val=&quot;00404331&quot;/&gt;&lt;wsp:rsid wsp:val=&quot;004046A7&quot;/&gt;&lt;wsp:rsid wsp:val=&quot;00404DFC&quot;/&gt;&lt;wsp:rsid wsp:val=&quot;004050C4&quot;/&gt;&lt;wsp:rsid wsp:val=&quot;00405392&quot;/&gt;&lt;wsp:rsid wsp:val=&quot;004053B6&quot;/&gt;&lt;wsp:rsid wsp:val=&quot;004055B8&quot;/&gt;&lt;wsp:rsid wsp:val=&quot;00405CC5&quot;/&gt;&lt;wsp:rsid wsp:val=&quot;00406368&quot;/&gt;&lt;wsp:rsid wsp:val=&quot;00406417&quot;/&gt;&lt;wsp:rsid wsp:val=&quot;004068A5&quot;/&gt;&lt;wsp:rsid wsp:val=&quot;00406937&quot;/&gt;&lt;wsp:rsid wsp:val=&quot;00406950&quot;/&gt;&lt;wsp:rsid wsp:val=&quot;00406D89&quot;/&gt;&lt;wsp:rsid wsp:val=&quot;00407532&quot;/&gt;&lt;wsp:rsid wsp:val=&quot;004076BA&quot;/&gt;&lt;wsp:rsid wsp:val=&quot;0040789D&quot;/&gt;&lt;wsp:rsid wsp:val=&quot;00407956&quot;/&gt;&lt;wsp:rsid wsp:val=&quot;00407F03&quot;/&gt;&lt;wsp:rsid wsp:val=&quot;004100B7&quot;/&gt;&lt;wsp:rsid wsp:val=&quot;00410A94&quot;/&gt;&lt;wsp:rsid wsp:val=&quot;00411CBC&quot;/&gt;&lt;wsp:rsid wsp:val=&quot;0041228F&quot;/&gt;&lt;wsp:rsid wsp:val=&quot;004125BF&quot;/&gt;&lt;wsp:rsid wsp:val=&quot;00412611&quot;/&gt;&lt;wsp:rsid wsp:val=&quot;0041261B&quot;/&gt;&lt;wsp:rsid wsp:val=&quot;00412D84&quot;/&gt;&lt;wsp:rsid wsp:val=&quot;00412F7B&quot;/&gt;&lt;wsp:rsid wsp:val=&quot;004131F8&quot;/&gt;&lt;wsp:rsid wsp:val=&quot;00413280&quot;/&gt;&lt;wsp:rsid wsp:val=&quot;00413538&quot;/&gt;&lt;wsp:rsid wsp:val=&quot;0041359D&quot;/&gt;&lt;wsp:rsid wsp:val=&quot;00413A1F&quot;/&gt;&lt;wsp:rsid wsp:val=&quot;00413A55&quot;/&gt;&lt;wsp:rsid wsp:val=&quot;00413BF6&quot;/&gt;&lt;wsp:rsid wsp:val=&quot;00413EF1&quot;/&gt;&lt;wsp:rsid wsp:val=&quot;00414283&quot;/&gt;&lt;wsp:rsid wsp:val=&quot;004149A5&quot;/&gt;&lt;wsp:rsid wsp:val=&quot;00415025&quot;/&gt;&lt;wsp:rsid wsp:val=&quot;0041503A&quot;/&gt;&lt;wsp:rsid wsp:val=&quot;00415973&quot;/&gt;&lt;wsp:rsid wsp:val=&quot;0041602B&quot;/&gt;&lt;wsp:rsid wsp:val=&quot;00416250&quot;/&gt;&lt;wsp:rsid wsp:val=&quot;004163F2&quot;/&gt;&lt;wsp:rsid wsp:val=&quot;004167EC&quot;/&gt;&lt;wsp:rsid wsp:val=&quot;00416883&quot;/&gt;&lt;wsp:rsid wsp:val=&quot;00416DFE&quot;/&gt;&lt;wsp:rsid wsp:val=&quot;00416F49&quot;/&gt;&lt;wsp:rsid wsp:val=&quot;00417041&quot;/&gt;&lt;wsp:rsid wsp:val=&quot;00417337&quot;/&gt;&lt;wsp:rsid wsp:val=&quot;00417BF4&quot;/&gt;&lt;wsp:rsid wsp:val=&quot;004203B2&quot;/&gt;&lt;wsp:rsid wsp:val=&quot;00420511&quot;/&gt;&lt;wsp:rsid wsp:val=&quot;00420B7C&quot;/&gt;&lt;wsp:rsid wsp:val=&quot;004211F3&quot;/&gt;&lt;wsp:rsid wsp:val=&quot;004215A3&quot;/&gt;&lt;wsp:rsid wsp:val=&quot;00421814&quot;/&gt;&lt;wsp:rsid wsp:val=&quot;004219EC&quot;/&gt;&lt;wsp:rsid wsp:val=&quot;00421D91&quot;/&gt;&lt;wsp:rsid wsp:val=&quot;00421F5D&quot;/&gt;&lt;wsp:rsid wsp:val=&quot;004220E5&quot;/&gt;&lt;wsp:rsid wsp:val=&quot;004222A2&quot;/&gt;&lt;wsp:rsid wsp:val=&quot;0042338A&quot;/&gt;&lt;wsp:rsid wsp:val=&quot;0042375F&quot;/&gt;&lt;wsp:rsid wsp:val=&quot;0042396F&quot;/&gt;&lt;wsp:rsid wsp:val=&quot;00423B44&quot;/&gt;&lt;wsp:rsid wsp:val=&quot;00423E10&quot;/&gt;&lt;wsp:rsid wsp:val=&quot;004241E3&quot;/&gt;&lt;wsp:rsid wsp:val=&quot;004244C1&quot;/&gt;&lt;wsp:rsid wsp:val=&quot;00424551&quot;/&gt;&lt;wsp:rsid wsp:val=&quot;00424868&quot;/&gt;&lt;wsp:rsid wsp:val=&quot;00424B55&quot;/&gt;&lt;wsp:rsid wsp:val=&quot;00424B6D&quot;/&gt;&lt;wsp:rsid wsp:val=&quot;00424B6F&quot;/&gt;&lt;wsp:rsid wsp:val=&quot;00424BA4&quot;/&gt;&lt;wsp:rsid wsp:val=&quot;00424DC3&quot;/&gt;&lt;wsp:rsid wsp:val=&quot;00425106&quot;/&gt;&lt;wsp:rsid wsp:val=&quot;0042521E&quot;/&gt;&lt;wsp:rsid wsp:val=&quot;0042527A&quot;/&gt;&lt;wsp:rsid wsp:val=&quot;0042578C&quot;/&gt;&lt;wsp:rsid wsp:val=&quot;0042579D&quot;/&gt;&lt;wsp:rsid wsp:val=&quot;00425B19&quot;/&gt;&lt;wsp:rsid wsp:val=&quot;00426310&quot;/&gt;&lt;wsp:rsid wsp:val=&quot;004268F6&quot;/&gt;&lt;wsp:rsid wsp:val=&quot;00426F5F&quot;/&gt;&lt;wsp:rsid wsp:val=&quot;0042708D&quot;/&gt;&lt;wsp:rsid wsp:val=&quot;004271C8&quot;/&gt;&lt;wsp:rsid wsp:val=&quot;004273E3&quot;/&gt;&lt;wsp:rsid wsp:val=&quot;004276D2&quot;/&gt;&lt;wsp:rsid wsp:val=&quot;00427B2A&quot;/&gt;&lt;wsp:rsid wsp:val=&quot;00427D6F&quot;/&gt;&lt;wsp:rsid wsp:val=&quot;00427DA8&quot;/&gt;&lt;wsp:rsid wsp:val=&quot;00427E1E&quot;/&gt;&lt;wsp:rsid wsp:val=&quot;004302DD&quot;/&gt;&lt;wsp:rsid wsp:val=&quot;00430873&quot;/&gt;&lt;wsp:rsid wsp:val=&quot;00430D7F&quot;/&gt;&lt;wsp:rsid wsp:val=&quot;00430FA9&quot;/&gt;&lt;wsp:rsid wsp:val=&quot;00431317&quot;/&gt;&lt;wsp:rsid wsp:val=&quot;004314DB&quot;/&gt;&lt;wsp:rsid wsp:val=&quot;00431B25&quot;/&gt;&lt;wsp:rsid wsp:val=&quot;00431D57&quot;/&gt;&lt;wsp:rsid wsp:val=&quot;00432896&quot;/&gt;&lt;wsp:rsid wsp:val=&quot;00432F88&quot;/&gt;&lt;wsp:rsid wsp:val=&quot;004331E1&quot;/&gt;&lt;wsp:rsid wsp:val=&quot;00433717&quot;/&gt;&lt;wsp:rsid wsp:val=&quot;00433D2C&quot;/&gt;&lt;wsp:rsid wsp:val=&quot;00433EAB&quot;/&gt;&lt;wsp:rsid wsp:val=&quot;00434A40&quot;/&gt;&lt;wsp:rsid wsp:val=&quot;004357AA&quot;/&gt;&lt;wsp:rsid wsp:val=&quot;004358D3&quot;/&gt;&lt;wsp:rsid wsp:val=&quot;00435C4C&quot;/&gt;&lt;wsp:rsid wsp:val=&quot;00436097&quot;/&gt;&lt;wsp:rsid wsp:val=&quot;004369B2&quot;/&gt;&lt;wsp:rsid wsp:val=&quot;00436A98&quot;/&gt;&lt;wsp:rsid wsp:val=&quot;00436BD4&quot;/&gt;&lt;wsp:rsid wsp:val=&quot;00436E0E&quot;/&gt;&lt;wsp:rsid wsp:val=&quot;00436EE4&quot;/&gt;&lt;wsp:rsid wsp:val=&quot;004404C3&quot;/&gt;&lt;wsp:rsid wsp:val=&quot;00440F2D&quot;/&gt;&lt;wsp:rsid wsp:val=&quot;004419C5&quot;/&gt;&lt;wsp:rsid wsp:val=&quot;00441B0D&quot;/&gt;&lt;wsp:rsid wsp:val=&quot;00441E08&quot;/&gt;&lt;wsp:rsid wsp:val=&quot;0044225E&quot;/&gt;&lt;wsp:rsid wsp:val=&quot;00442485&quot;/&gt;&lt;wsp:rsid wsp:val=&quot;004425D0&quot;/&gt;&lt;wsp:rsid wsp:val=&quot;0044325F&quot;/&gt;&lt;wsp:rsid wsp:val=&quot;004433D0&quot;/&gt;&lt;wsp:rsid wsp:val=&quot;00443E2F&quot;/&gt;&lt;wsp:rsid wsp:val=&quot;00444A5B&quot;/&gt;&lt;wsp:rsid wsp:val=&quot;00444A7E&quot;/&gt;&lt;wsp:rsid wsp:val=&quot;00444B2A&quot;/&gt;&lt;wsp:rsid wsp:val=&quot;00444D99&quot;/&gt;&lt;wsp:rsid wsp:val=&quot;004453DE&quot;/&gt;&lt;wsp:rsid wsp:val=&quot;0044559D&quot;/&gt;&lt;wsp:rsid wsp:val=&quot;00445737&quot;/&gt;&lt;wsp:rsid wsp:val=&quot;004458EB&quot;/&gt;&lt;wsp:rsid wsp:val=&quot;00445D47&quot;/&gt;&lt;wsp:rsid wsp:val=&quot;004465E4&quot;/&gt;&lt;wsp:rsid wsp:val=&quot;0044688F&quot;/&gt;&lt;wsp:rsid wsp:val=&quot;0044693A&quot;/&gt;&lt;wsp:rsid wsp:val=&quot;00446CDE&quot;/&gt;&lt;wsp:rsid wsp:val=&quot;00446D01&quot;/&gt;&lt;wsp:rsid wsp:val=&quot;0044742D&quot;/&gt;&lt;wsp:rsid wsp:val=&quot;00447EAF&quot;/&gt;&lt;wsp:rsid wsp:val=&quot;004500DA&quot;/&gt;&lt;wsp:rsid wsp:val=&quot;0045055A&quot;/&gt;&lt;wsp:rsid wsp:val=&quot;004507FD&quot;/&gt;&lt;wsp:rsid wsp:val=&quot;00450A2B&quot;/&gt;&lt;wsp:rsid wsp:val=&quot;00451205&quot;/&gt;&lt;wsp:rsid wsp:val=&quot;00451255&quot;/&gt;&lt;wsp:rsid wsp:val=&quot;00451744&quot;/&gt;&lt;wsp:rsid wsp:val=&quot;00451C6F&quot;/&gt;&lt;wsp:rsid wsp:val=&quot;00451EE4&quot;/&gt;&lt;wsp:rsid wsp:val=&quot;004524AA&quot;/&gt;&lt;wsp:rsid wsp:val=&quot;004524AB&quot;/&gt;&lt;wsp:rsid wsp:val=&quot;0045280C&quot;/&gt;&lt;wsp:rsid wsp:val=&quot;00452880&quot;/&gt;&lt;wsp:rsid wsp:val=&quot;00452C8D&quot;/&gt;&lt;wsp:rsid wsp:val=&quot;0045363F&quot;/&gt;&lt;wsp:rsid wsp:val=&quot;004536AD&quot;/&gt;&lt;wsp:rsid wsp:val=&quot;00453D53&quot;/&gt;&lt;wsp:rsid wsp:val=&quot;00453D60&quot;/&gt;&lt;wsp:rsid wsp:val=&quot;00453E18&quot;/&gt;&lt;wsp:rsid wsp:val=&quot;00454D90&quot;/&gt;&lt;wsp:rsid wsp:val=&quot;00454F1E&quot;/&gt;&lt;wsp:rsid wsp:val=&quot;00454FAC&quot;/&gt;&lt;wsp:rsid wsp:val=&quot;0045608C&quot;/&gt;&lt;wsp:rsid wsp:val=&quot;0045692A&quot;/&gt;&lt;wsp:rsid wsp:val=&quot;004575C7&quot;/&gt;&lt;wsp:rsid wsp:val=&quot;00457665&quot;/&gt;&lt;wsp:rsid wsp:val=&quot;0045796B&quot;/&gt;&lt;wsp:rsid wsp:val=&quot;00457A92&quot;/&gt;&lt;wsp:rsid wsp:val=&quot;00457CDA&quot;/&gt;&lt;wsp:rsid wsp:val=&quot;0046014C&quot;/&gt;&lt;wsp:rsid wsp:val=&quot;004607BD&quot;/&gt;&lt;wsp:rsid wsp:val=&quot;00460D0D&quot;/&gt;&lt;wsp:rsid wsp:val=&quot;00461029&quot;/&gt;&lt;wsp:rsid wsp:val=&quot;00461236&quot;/&gt;&lt;wsp:rsid wsp:val=&quot;00461543&quot;/&gt;&lt;wsp:rsid wsp:val=&quot;004619CC&quot;/&gt;&lt;wsp:rsid wsp:val=&quot;00461DA9&quot;/&gt;&lt;wsp:rsid wsp:val=&quot;00462293&quot;/&gt;&lt;wsp:rsid wsp:val=&quot;00462798&quot;/&gt;&lt;wsp:rsid wsp:val=&quot;00462ADB&quot;/&gt;&lt;wsp:rsid wsp:val=&quot;00462B19&quot;/&gt;&lt;wsp:rsid wsp:val=&quot;00462B49&quot;/&gt;&lt;wsp:rsid wsp:val=&quot;0046304A&quot;/&gt;&lt;wsp:rsid wsp:val=&quot;004634B4&quot;/&gt;&lt;wsp:rsid wsp:val=&quot;00463504&quot;/&gt;&lt;wsp:rsid wsp:val=&quot;00463561&quot;/&gt;&lt;wsp:rsid wsp:val=&quot;00463929&quot;/&gt;&lt;wsp:rsid wsp:val=&quot;00463A15&quot;/&gt;&lt;wsp:rsid wsp:val=&quot;00463D30&quot;/&gt;&lt;wsp:rsid wsp:val=&quot;0046400F&quot;/&gt;&lt;wsp:rsid wsp:val=&quot;004649F7&quot;/&gt;&lt;wsp:rsid wsp:val=&quot;00465139&quot;/&gt;&lt;wsp:rsid wsp:val=&quot;00465365&quot;/&gt;&lt;wsp:rsid wsp:val=&quot;004653E2&quot;/&gt;&lt;wsp:rsid wsp:val=&quot;00465595&quot;/&gt;&lt;wsp:rsid wsp:val=&quot;0046575D&quot;/&gt;&lt;wsp:rsid wsp:val=&quot;00465AD5&quot;/&gt;&lt;wsp:rsid wsp:val=&quot;00465D29&quot;/&gt;&lt;wsp:rsid wsp:val=&quot;00465ED2&quot;/&gt;&lt;wsp:rsid wsp:val=&quot;00466B98&quot;/&gt;&lt;wsp:rsid wsp:val=&quot;00466E13&quot;/&gt;&lt;wsp:rsid wsp:val=&quot;00466F51&quot;/&gt;&lt;wsp:rsid wsp:val=&quot;00466FA2&quot;/&gt;&lt;wsp:rsid wsp:val=&quot;004673C0&quot;/&gt;&lt;wsp:rsid wsp:val=&quot;0046777A&quot;/&gt;&lt;wsp:rsid wsp:val=&quot;00467E53&quot;/&gt;&lt;wsp:rsid wsp:val=&quot;004702FC&quot;/&gt;&lt;wsp:rsid wsp:val=&quot;00470765&quot;/&gt;&lt;wsp:rsid wsp:val=&quot;00470970&quot;/&gt;&lt;wsp:rsid wsp:val=&quot;00471355&quot;/&gt;&lt;wsp:rsid wsp:val=&quot;004713E2&quot;/&gt;&lt;wsp:rsid wsp:val=&quot;00471A7E&quot;/&gt;&lt;wsp:rsid wsp:val=&quot;00471B18&quot;/&gt;&lt;wsp:rsid wsp:val=&quot;004723A4&quot;/&gt;&lt;wsp:rsid wsp:val=&quot;00472806&quot;/&gt;&lt;wsp:rsid wsp:val=&quot;00472ABB&quot;/&gt;&lt;wsp:rsid wsp:val=&quot;004734E8&quot;/&gt;&lt;wsp:rsid wsp:val=&quot;00473A78&quot;/&gt;&lt;wsp:rsid wsp:val=&quot;00473DF8&quot;/&gt;&lt;wsp:rsid wsp:val=&quot;00473EB5&quot;/&gt;&lt;wsp:rsid wsp:val=&quot;00475199&quot;/&gt;&lt;wsp:rsid wsp:val=&quot;004758AB&quot;/&gt;&lt;wsp:rsid wsp:val=&quot;00475A54&quot;/&gt;&lt;wsp:rsid wsp:val=&quot;00475D31&quot;/&gt;&lt;wsp:rsid wsp:val=&quot;004764D1&quot;/&gt;&lt;wsp:rsid wsp:val=&quot;00476771&quot;/&gt;&lt;wsp:rsid wsp:val=&quot;0047688F&quot;/&gt;&lt;wsp:rsid wsp:val=&quot;00476AF1&quot;/&gt;&lt;wsp:rsid wsp:val=&quot;00476C5A&quot;/&gt;&lt;wsp:rsid wsp:val=&quot;00476D0A&quot;/&gt;&lt;wsp:rsid wsp:val=&quot;00477364&quot;/&gt;&lt;wsp:rsid wsp:val=&quot;004779F7&quot;/&gt;&lt;wsp:rsid wsp:val=&quot;00477ACD&quot;/&gt;&lt;wsp:rsid wsp:val=&quot;00477B16&quot;/&gt;&lt;wsp:rsid wsp:val=&quot;0048031E&quot;/&gt;&lt;wsp:rsid wsp:val=&quot;004810E1&quot;/&gt;&lt;wsp:rsid wsp:val=&quot;00481152&quot;/&gt;&lt;wsp:rsid wsp:val=&quot;00481281&quot;/&gt;&lt;wsp:rsid wsp:val=&quot;0048197A&quot;/&gt;&lt;wsp:rsid wsp:val=&quot;004823F3&quot;/&gt;&lt;wsp:rsid wsp:val=&quot;00482681&quot;/&gt;&lt;wsp:rsid wsp:val=&quot;00482718&quot;/&gt;&lt;wsp:rsid wsp:val=&quot;004829EE&quot;/&gt;&lt;wsp:rsid wsp:val=&quot;0048317A&quot;/&gt;&lt;wsp:rsid wsp:val=&quot;00483263&quot;/&gt;&lt;wsp:rsid wsp:val=&quot;004833F9&quot;/&gt;&lt;wsp:rsid wsp:val=&quot;00483501&quot;/&gt;&lt;wsp:rsid wsp:val=&quot;00483566&quot;/&gt;&lt;wsp:rsid wsp:val=&quot;0048388E&quot;/&gt;&lt;wsp:rsid wsp:val=&quot;00483CE8&quot;/&gt;&lt;wsp:rsid wsp:val=&quot;004842BA&quot;/&gt;&lt;wsp:rsid wsp:val=&quot;00484408&quot;/&gt;&lt;wsp:rsid wsp:val=&quot;004846AA&quot;/&gt;&lt;wsp:rsid wsp:val=&quot;00484A66&quot;/&gt;&lt;wsp:rsid wsp:val=&quot;00484AB5&quot;/&gt;&lt;wsp:rsid wsp:val=&quot;00484DE9&quot;/&gt;&lt;wsp:rsid wsp:val=&quot;00485487&quot;/&gt;&lt;wsp:rsid wsp:val=&quot;00485CB8&quot;/&gt;&lt;wsp:rsid wsp:val=&quot;00485F09&quot;/&gt;&lt;wsp:rsid wsp:val=&quot;00485F0D&quot;/&gt;&lt;wsp:rsid wsp:val=&quot;0048618B&quot;/&gt;&lt;wsp:rsid wsp:val=&quot;004862AA&quot;/&gt;&lt;wsp:rsid wsp:val=&quot;00486356&quot;/&gt;&lt;wsp:rsid wsp:val=&quot;004866AD&quot;/&gt;&lt;wsp:rsid wsp:val=&quot;004867DD&quot;/&gt;&lt;wsp:rsid wsp:val=&quot;00486AD0&quot;/&gt;&lt;wsp:rsid wsp:val=&quot;00487522&quot;/&gt;&lt;wsp:rsid wsp:val=&quot;0049000B&quot;/&gt;&lt;wsp:rsid wsp:val=&quot;00490441&quot;/&gt;&lt;wsp:rsid wsp:val=&quot;00490484&quot;/&gt;&lt;wsp:rsid wsp:val=&quot;00490623&quot;/&gt;&lt;wsp:rsid wsp:val=&quot;004907EA&quot;/&gt;&lt;wsp:rsid wsp:val=&quot;00491CDA&quot;/&gt;&lt;wsp:rsid wsp:val=&quot;00492703&quot;/&gt;&lt;wsp:rsid wsp:val=&quot;004927E1&quot;/&gt;&lt;wsp:rsid wsp:val=&quot;00492D91&quot;/&gt;&lt;wsp:rsid wsp:val=&quot;004930A9&quot;/&gt;&lt;wsp:rsid wsp:val=&quot;00493387&quot;/&gt;&lt;wsp:rsid wsp:val=&quot;0049428B&quot;/&gt;&lt;wsp:rsid wsp:val=&quot;004946B6&quot;/&gt;&lt;wsp:rsid wsp:val=&quot;00494A65&quot;/&gt;&lt;wsp:rsid wsp:val=&quot;004956E6&quot;/&gt;&lt;wsp:rsid wsp:val=&quot;00495ABD&quot;/&gt;&lt;wsp:rsid wsp:val=&quot;00495F9B&quot;/&gt;&lt;wsp:rsid wsp:val=&quot;004963E7&quot;/&gt;&lt;wsp:rsid wsp:val=&quot;00496A96&quot;/&gt;&lt;wsp:rsid wsp:val=&quot;00496BA8&quot;/&gt;&lt;wsp:rsid wsp:val=&quot;00496D0B&quot;/&gt;&lt;wsp:rsid wsp:val=&quot;0049727F&quot;/&gt;&lt;wsp:rsid wsp:val=&quot;0049746B&quot;/&gt;&lt;wsp:rsid wsp:val=&quot;00497AE2&quot;/&gt;&lt;wsp:rsid wsp:val=&quot;004A0094&quot;/&gt;&lt;wsp:rsid wsp:val=&quot;004A01EC&quot;/&gt;&lt;wsp:rsid wsp:val=&quot;004A0756&quot;/&gt;&lt;wsp:rsid wsp:val=&quot;004A076C&quot;/&gt;&lt;wsp:rsid wsp:val=&quot;004A145B&quot;/&gt;&lt;wsp:rsid wsp:val=&quot;004A14DF&quot;/&gt;&lt;wsp:rsid wsp:val=&quot;004A1978&quot;/&gt;&lt;wsp:rsid wsp:val=&quot;004A1A75&quot;/&gt;&lt;wsp:rsid wsp:val=&quot;004A2234&quot;/&gt;&lt;wsp:rsid wsp:val=&quot;004A26D0&quot;/&gt;&lt;wsp:rsid wsp:val=&quot;004A2947&quot;/&gt;&lt;wsp:rsid wsp:val=&quot;004A295B&quot;/&gt;&lt;wsp:rsid wsp:val=&quot;004A2F95&quot;/&gt;&lt;wsp:rsid wsp:val=&quot;004A35DD&quot;/&gt;&lt;wsp:rsid wsp:val=&quot;004A3A0B&quot;/&gt;&lt;wsp:rsid wsp:val=&quot;004A42CA&quot;/&gt;&lt;wsp:rsid wsp:val=&quot;004A47EE&quot;/&gt;&lt;wsp:rsid wsp:val=&quot;004A4EB8&quot;/&gt;&lt;wsp:rsid wsp:val=&quot;004A4F64&quot;/&gt;&lt;wsp:rsid wsp:val=&quot;004A55C8&quot;/&gt;&lt;wsp:rsid wsp:val=&quot;004A5620&quot;/&gt;&lt;wsp:rsid wsp:val=&quot;004A57C4&quot;/&gt;&lt;wsp:rsid wsp:val=&quot;004A5EE8&quot;/&gt;&lt;wsp:rsid wsp:val=&quot;004A5F83&quot;/&gt;&lt;wsp:rsid wsp:val=&quot;004A6E01&quot;/&gt;&lt;wsp:rsid wsp:val=&quot;004A704E&quot;/&gt;&lt;wsp:rsid wsp:val=&quot;004A775E&quot;/&gt;&lt;wsp:rsid wsp:val=&quot;004A77C1&quot;/&gt;&lt;wsp:rsid wsp:val=&quot;004B0414&quot;/&gt;&lt;wsp:rsid wsp:val=&quot;004B0911&quot;/&gt;&lt;wsp:rsid wsp:val=&quot;004B0B74&quot;/&gt;&lt;wsp:rsid wsp:val=&quot;004B0E9E&quot;/&gt;&lt;wsp:rsid wsp:val=&quot;004B0EA4&quot;/&gt;&lt;wsp:rsid wsp:val=&quot;004B20C4&quot;/&gt;&lt;wsp:rsid wsp:val=&quot;004B2516&quot;/&gt;&lt;wsp:rsid wsp:val=&quot;004B26EA&quot;/&gt;&lt;wsp:rsid wsp:val=&quot;004B2C32&quot;/&gt;&lt;wsp:rsid wsp:val=&quot;004B318F&quot;/&gt;&lt;wsp:rsid wsp:val=&quot;004B35F2&quot;/&gt;&lt;wsp:rsid wsp:val=&quot;004B379F&quot;/&gt;&lt;wsp:rsid wsp:val=&quot;004B383E&quot;/&gt;&lt;wsp:rsid wsp:val=&quot;004B3B88&quot;/&gt;&lt;wsp:rsid wsp:val=&quot;004B41F8&quot;/&gt;&lt;wsp:rsid wsp:val=&quot;004B44FB&quot;/&gt;&lt;wsp:rsid wsp:val=&quot;004B4633&quot;/&gt;&lt;wsp:rsid wsp:val=&quot;004B4AAC&quot;/&gt;&lt;wsp:rsid wsp:val=&quot;004B5012&quot;/&gt;&lt;wsp:rsid wsp:val=&quot;004B50D4&quot;/&gt;&lt;wsp:rsid wsp:val=&quot;004B50E4&quot;/&gt;&lt;wsp:rsid wsp:val=&quot;004B565B&quot;/&gt;&lt;wsp:rsid wsp:val=&quot;004B5771&quot;/&gt;&lt;wsp:rsid wsp:val=&quot;004B6183&quot;/&gt;&lt;wsp:rsid wsp:val=&quot;004B6226&quot;/&gt;&lt;wsp:rsid wsp:val=&quot;004B6F7B&quot;/&gt;&lt;wsp:rsid wsp:val=&quot;004B710C&quot;/&gt;&lt;wsp:rsid wsp:val=&quot;004B769F&quot;/&gt;&lt;wsp:rsid wsp:val=&quot;004B79C8&quot;/&gt;&lt;wsp:rsid wsp:val=&quot;004B7B4E&quot;/&gt;&lt;wsp:rsid wsp:val=&quot;004B7F89&quot;/&gt;&lt;wsp:rsid wsp:val=&quot;004B7FC4&quot;/&gt;&lt;wsp:rsid wsp:val=&quot;004C0205&quot;/&gt;&lt;wsp:rsid wsp:val=&quot;004C05B7&quot;/&gt;&lt;wsp:rsid wsp:val=&quot;004C06DD&quot;/&gt;&lt;wsp:rsid wsp:val=&quot;004C0873&quot;/&gt;&lt;wsp:rsid wsp:val=&quot;004C09CB&quot;/&gt;&lt;wsp:rsid wsp:val=&quot;004C0B23&quot;/&gt;&lt;wsp:rsid wsp:val=&quot;004C0EEA&quot;/&gt;&lt;wsp:rsid wsp:val=&quot;004C0FC1&quot;/&gt;&lt;wsp:rsid wsp:val=&quot;004C1286&quot;/&gt;&lt;wsp:rsid wsp:val=&quot;004C157D&quot;/&gt;&lt;wsp:rsid wsp:val=&quot;004C17AA&quot;/&gt;&lt;wsp:rsid wsp:val=&quot;004C21B4&quot;/&gt;&lt;wsp:rsid wsp:val=&quot;004C29DD&quot;/&gt;&lt;wsp:rsid wsp:val=&quot;004C2D9F&quot;/&gt;&lt;wsp:rsid wsp:val=&quot;004C30F1&quot;/&gt;&lt;wsp:rsid wsp:val=&quot;004C3224&quot;/&gt;&lt;wsp:rsid wsp:val=&quot;004C3756&quot;/&gt;&lt;wsp:rsid wsp:val=&quot;004C3994&quot;/&gt;&lt;wsp:rsid wsp:val=&quot;004C430B&quot;/&gt;&lt;wsp:rsid wsp:val=&quot;004C4648&quot;/&gt;&lt;wsp:rsid wsp:val=&quot;004C4837&quot;/&gt;&lt;wsp:rsid wsp:val=&quot;004C49F8&quot;/&gt;&lt;wsp:rsid wsp:val=&quot;004C4A84&quot;/&gt;&lt;wsp:rsid wsp:val=&quot;004C5203&quot;/&gt;&lt;wsp:rsid wsp:val=&quot;004C5E09&quot;/&gt;&lt;wsp:rsid wsp:val=&quot;004C5E1C&quot;/&gt;&lt;wsp:rsid wsp:val=&quot;004C6033&quot;/&gt;&lt;wsp:rsid wsp:val=&quot;004C6EC4&quot;/&gt;&lt;wsp:rsid wsp:val=&quot;004C6F64&quot;/&gt;&lt;wsp:rsid wsp:val=&quot;004C7873&quot;/&gt;&lt;wsp:rsid wsp:val=&quot;004C7E44&quot;/&gt;&lt;wsp:rsid wsp:val=&quot;004D026F&quot;/&gt;&lt;wsp:rsid wsp:val=&quot;004D0396&quot;/&gt;&lt;wsp:rsid wsp:val=&quot;004D084D&quot;/&gt;&lt;wsp:rsid wsp:val=&quot;004D138E&quot;/&gt;&lt;wsp:rsid wsp:val=&quot;004D1B28&quot;/&gt;&lt;wsp:rsid wsp:val=&quot;004D1DFA&quot;/&gt;&lt;wsp:rsid wsp:val=&quot;004D2AE7&quot;/&gt;&lt;wsp:rsid wsp:val=&quot;004D2EDA&quot;/&gt;&lt;wsp:rsid wsp:val=&quot;004D3490&quot;/&gt;&lt;wsp:rsid wsp:val=&quot;004D363F&quot;/&gt;&lt;wsp:rsid wsp:val=&quot;004D3E14&quot;/&gt;&lt;wsp:rsid wsp:val=&quot;004D401D&quot;/&gt;&lt;wsp:rsid wsp:val=&quot;004D469F&quot;/&gt;&lt;wsp:rsid wsp:val=&quot;004D49B5&quot;/&gt;&lt;wsp:rsid wsp:val=&quot;004D5903&quot;/&gt;&lt;wsp:rsid wsp:val=&quot;004D5B7D&quot;/&gt;&lt;wsp:rsid wsp:val=&quot;004D5E0E&quot;/&gt;&lt;wsp:rsid wsp:val=&quot;004D5F54&quot;/&gt;&lt;wsp:rsid wsp:val=&quot;004D6517&quot;/&gt;&lt;wsp:rsid wsp:val=&quot;004D6817&quot;/&gt;&lt;wsp:rsid wsp:val=&quot;004D68B0&quot;/&gt;&lt;wsp:rsid wsp:val=&quot;004D6945&quot;/&gt;&lt;wsp:rsid wsp:val=&quot;004D6A97&quot;/&gt;&lt;wsp:rsid wsp:val=&quot;004D706D&quot;/&gt;&lt;wsp:rsid wsp:val=&quot;004D7638&quot;/&gt;&lt;wsp:rsid wsp:val=&quot;004E0169&quot;/&gt;&lt;wsp:rsid wsp:val=&quot;004E0422&quot;/&gt;&lt;wsp:rsid wsp:val=&quot;004E0447&quot;/&gt;&lt;wsp:rsid wsp:val=&quot;004E0717&quot;/&gt;&lt;wsp:rsid wsp:val=&quot;004E0832&quot;/&gt;&lt;wsp:rsid wsp:val=&quot;004E08C1&quot;/&gt;&lt;wsp:rsid wsp:val=&quot;004E0D19&quot;/&gt;&lt;wsp:rsid wsp:val=&quot;004E0DA8&quot;/&gt;&lt;wsp:rsid wsp:val=&quot;004E0F0D&quot;/&gt;&lt;wsp:rsid wsp:val=&quot;004E1368&quot;/&gt;&lt;wsp:rsid wsp:val=&quot;004E14B9&quot;/&gt;&lt;wsp:rsid wsp:val=&quot;004E17AB&quot;/&gt;&lt;wsp:rsid wsp:val=&quot;004E17CE&quot;/&gt;&lt;wsp:rsid wsp:val=&quot;004E19B3&quot;/&gt;&lt;wsp:rsid wsp:val=&quot;004E1C8A&quot;/&gt;&lt;wsp:rsid wsp:val=&quot;004E2107&quot;/&gt;&lt;wsp:rsid wsp:val=&quot;004E2744&quot;/&gt;&lt;wsp:rsid wsp:val=&quot;004E2787&quot;/&gt;&lt;wsp:rsid wsp:val=&quot;004E2E2D&quot;/&gt;&lt;wsp:rsid wsp:val=&quot;004E3174&quot;/&gt;&lt;wsp:rsid wsp:val=&quot;004E34E1&quot;/&gt;&lt;wsp:rsid wsp:val=&quot;004E4054&quot;/&gt;&lt;wsp:rsid wsp:val=&quot;004E4C7F&quot;/&gt;&lt;wsp:rsid wsp:val=&quot;004E4D16&quot;/&gt;&lt;wsp:rsid wsp:val=&quot;004E571C&quot;/&gt;&lt;wsp:rsid wsp:val=&quot;004E5DE2&quot;/&gt;&lt;wsp:rsid wsp:val=&quot;004E6225&quot;/&gt;&lt;wsp:rsid wsp:val=&quot;004E63D8&quot;/&gt;&lt;wsp:rsid wsp:val=&quot;004E676C&quot;/&gt;&lt;wsp:rsid wsp:val=&quot;004E6B09&quot;/&gt;&lt;wsp:rsid wsp:val=&quot;004E7E57&quot;/&gt;&lt;wsp:rsid wsp:val=&quot;004E7EE9&quot;/&gt;&lt;wsp:rsid wsp:val=&quot;004F04C6&quot;/&gt;&lt;wsp:rsid wsp:val=&quot;004F128F&quot;/&gt;&lt;wsp:rsid wsp:val=&quot;004F1535&quot;/&gt;&lt;wsp:rsid wsp:val=&quot;004F1CBC&quot;/&gt;&lt;wsp:rsid wsp:val=&quot;004F229D&quot;/&gt;&lt;wsp:rsid wsp:val=&quot;004F28D3&quot;/&gt;&lt;wsp:rsid wsp:val=&quot;004F2DA5&quot;/&gt;&lt;wsp:rsid wsp:val=&quot;004F304E&quot;/&gt;&lt;wsp:rsid wsp:val=&quot;004F396E&quot;/&gt;&lt;wsp:rsid wsp:val=&quot;004F3B0A&quot;/&gt;&lt;wsp:rsid wsp:val=&quot;004F3D7E&quot;/&gt;&lt;wsp:rsid wsp:val=&quot;004F45DC&quot;/&gt;&lt;wsp:rsid wsp:val=&quot;004F4761&quot;/&gt;&lt;wsp:rsid wsp:val=&quot;004F4BB8&quot;/&gt;&lt;wsp:rsid wsp:val=&quot;004F4DD3&quot;/&gt;&lt;wsp:rsid wsp:val=&quot;004F51F0&quot;/&gt;&lt;wsp:rsid wsp:val=&quot;004F52A1&quot;/&gt;&lt;wsp:rsid wsp:val=&quot;004F565E&quot;/&gt;&lt;wsp:rsid wsp:val=&quot;004F64D9&quot;/&gt;&lt;wsp:rsid wsp:val=&quot;004F6683&quot;/&gt;&lt;wsp:rsid wsp:val=&quot;004F67C7&quot;/&gt;&lt;wsp:rsid wsp:val=&quot;004F67E8&quot;/&gt;&lt;wsp:rsid wsp:val=&quot;004F69BE&quot;/&gt;&lt;wsp:rsid wsp:val=&quot;004F6A6F&quot;/&gt;&lt;wsp:rsid wsp:val=&quot;004F6BC4&quot;/&gt;&lt;wsp:rsid wsp:val=&quot;004F7188&quot;/&gt;&lt;wsp:rsid wsp:val=&quot;004F7337&quot;/&gt;&lt;wsp:rsid wsp:val=&quot;004F734E&quot;/&gt;&lt;wsp:rsid wsp:val=&quot;004F7525&quot;/&gt;&lt;wsp:rsid wsp:val=&quot;004F7F67&quot;/&gt;&lt;wsp:rsid wsp:val=&quot;005000B9&quot;/&gt;&lt;wsp:rsid wsp:val=&quot;00500673&quot;/&gt;&lt;wsp:rsid wsp:val=&quot;00500A0D&quot;/&gt;&lt;wsp:rsid wsp:val=&quot;00501591&quot;/&gt;&lt;wsp:rsid wsp:val=&quot;005018B8&quot;/&gt;&lt;wsp:rsid wsp:val=&quot;00501A86&quot;/&gt;&lt;wsp:rsid wsp:val=&quot;00501C97&quot;/&gt;&lt;wsp:rsid wsp:val=&quot;005029F1&quot;/&gt;&lt;wsp:rsid wsp:val=&quot;00503389&quot;/&gt;&lt;wsp:rsid wsp:val=&quot;005034A7&quot;/&gt;&lt;wsp:rsid wsp:val=&quot;00504578&quot;/&gt;&lt;wsp:rsid wsp:val=&quot;005046E1&quot;/&gt;&lt;wsp:rsid wsp:val=&quot;005049B5&quot;/&gt;&lt;wsp:rsid wsp:val=&quot;00504BCC&quot;/&gt;&lt;wsp:rsid wsp:val=&quot;005052FF&quot;/&gt;&lt;wsp:rsid wsp:val=&quot;0050544B&quot;/&gt;&lt;wsp:rsid wsp:val=&quot;005057A4&quot;/&gt;&lt;wsp:rsid wsp:val=&quot;00505992&quot;/&gt;&lt;wsp:rsid wsp:val=&quot;00505C46&quot;/&gt;&lt;wsp:rsid wsp:val=&quot;005066BE&quot;/&gt;&lt;wsp:rsid wsp:val=&quot;00506852&quot;/&gt;&lt;wsp:rsid wsp:val=&quot;00506913&quot;/&gt;&lt;wsp:rsid wsp:val=&quot;00506ABB&quot;/&gt;&lt;wsp:rsid wsp:val=&quot;00506FDE&quot;/&gt;&lt;wsp:rsid wsp:val=&quot;00507686&quot;/&gt;&lt;wsp:rsid wsp:val=&quot;00507C7E&quot;/&gt;&lt;wsp:rsid wsp:val=&quot;00507E65&quot;/&gt;&lt;wsp:rsid wsp:val=&quot;00510028&quot;/&gt;&lt;wsp:rsid wsp:val=&quot;00510685&quot;/&gt;&lt;wsp:rsid wsp:val=&quot;00510A02&quot;/&gt;&lt;wsp:rsid wsp:val=&quot;00511421&quot;/&gt;&lt;wsp:rsid wsp:val=&quot;00511485&quot;/&gt;&lt;wsp:rsid wsp:val=&quot;00511503&quot;/&gt;&lt;wsp:rsid wsp:val=&quot;00511690&quot;/&gt;&lt;wsp:rsid wsp:val=&quot;005116D5&quot;/&gt;&lt;wsp:rsid wsp:val=&quot;0051198C&quot;/&gt;&lt;wsp:rsid wsp:val=&quot;00511EA7&quot;/&gt;&lt;wsp:rsid wsp:val=&quot;00511FBB&quot;/&gt;&lt;wsp:rsid wsp:val=&quot;00511FCE&quot;/&gt;&lt;wsp:rsid wsp:val=&quot;0051234A&quot;/&gt;&lt;wsp:rsid wsp:val=&quot;00512BB6&quot;/&gt;&lt;wsp:rsid wsp:val=&quot;00512FD8&quot;/&gt;&lt;wsp:rsid wsp:val=&quot;00513324&quot;/&gt;&lt;wsp:rsid wsp:val=&quot;0051374C&quot;/&gt;&lt;wsp:rsid wsp:val=&quot;0051383D&quot;/&gt;&lt;wsp:rsid wsp:val=&quot;00513FA4&quot;/&gt;&lt;wsp:rsid wsp:val=&quot;00514400&quot;/&gt;&lt;wsp:rsid wsp:val=&quot;00514D4E&quot;/&gt;&lt;wsp:rsid wsp:val=&quot;005154E4&quot;/&gt;&lt;wsp:rsid wsp:val=&quot;005155FA&quot;/&gt;&lt;wsp:rsid wsp:val=&quot;00515ADA&quot;/&gt;&lt;wsp:rsid wsp:val=&quot;00515D2C&quot;/&gt;&lt;wsp:rsid wsp:val=&quot;00515D4C&quot;/&gt;&lt;wsp:rsid wsp:val=&quot;005160D8&quot;/&gt;&lt;wsp:rsid wsp:val=&quot;005161B6&quot;/&gt;&lt;wsp:rsid wsp:val=&quot;005163DF&quot;/&gt;&lt;wsp:rsid wsp:val=&quot;00516DF1&quot;/&gt;&lt;wsp:rsid wsp:val=&quot;00517152&quot;/&gt;&lt;wsp:rsid wsp:val=&quot;005172DF&quot;/&gt;&lt;wsp:rsid wsp:val=&quot;005177AA&quot;/&gt;&lt;wsp:rsid wsp:val=&quot;0052006D&quot;/&gt;&lt;wsp:rsid wsp:val=&quot;005201C2&quot;/&gt;&lt;wsp:rsid wsp:val=&quot;00520351&quot;/&gt;&lt;wsp:rsid wsp:val=&quot;00520ADC&quot;/&gt;&lt;wsp:rsid wsp:val=&quot;005210BA&quot;/&gt;&lt;wsp:rsid wsp:val=&quot;005217D0&quot;/&gt;&lt;wsp:rsid wsp:val=&quot;00521889&quot;/&gt;&lt;wsp:rsid wsp:val=&quot;00521B4E&quot;/&gt;&lt;wsp:rsid wsp:val=&quot;005220FF&quot;/&gt;&lt;wsp:rsid wsp:val=&quot;00522530&quot;/&gt;&lt;wsp:rsid wsp:val=&quot;0052265C&quot;/&gt;&lt;wsp:rsid wsp:val=&quot;00522AC2&quot;/&gt;&lt;wsp:rsid wsp:val=&quot;00522B68&quot;/&gt;&lt;wsp:rsid wsp:val=&quot;00522E96&quot;/&gt;&lt;wsp:rsid wsp:val=&quot;00522F01&quot;/&gt;&lt;wsp:rsid wsp:val=&quot;0052306E&quot;/&gt;&lt;wsp:rsid wsp:val=&quot;00523087&quot;/&gt;&lt;wsp:rsid wsp:val=&quot;005232B4&quot;/&gt;&lt;wsp:rsid wsp:val=&quot;00523897&quot;/&gt;&lt;wsp:rsid wsp:val=&quot;005238B7&quot;/&gt;&lt;wsp:rsid wsp:val=&quot;00523F9C&quot;/&gt;&lt;wsp:rsid wsp:val=&quot;00523FE9&quot;/&gt;&lt;wsp:rsid wsp:val=&quot;00524F9F&quot;/&gt;&lt;wsp:rsid wsp:val=&quot;00524FB5&quot;/&gt;&lt;wsp:rsid wsp:val=&quot;005250B5&quot;/&gt;&lt;wsp:rsid wsp:val=&quot;00525355&quot;/&gt;&lt;wsp:rsid wsp:val=&quot;00525772&quot;/&gt;&lt;wsp:rsid wsp:val=&quot;00525F53&quot;/&gt;&lt;wsp:rsid wsp:val=&quot;0052645A&quot;/&gt;&lt;wsp:rsid wsp:val=&quot;005269D2&quot;/&gt;&lt;wsp:rsid wsp:val=&quot;00526A8F&quot;/&gt;&lt;wsp:rsid wsp:val=&quot;00526EB2&quot;/&gt;&lt;wsp:rsid wsp:val=&quot;00526FFB&quot;/&gt;&lt;wsp:rsid wsp:val=&quot;00527045&quot;/&gt;&lt;wsp:rsid wsp:val=&quot;0052715F&quot;/&gt;&lt;wsp:rsid wsp:val=&quot;00527837&quot;/&gt;&lt;wsp:rsid wsp:val=&quot;005278BC&quot;/&gt;&lt;wsp:rsid wsp:val=&quot;00527F76&quot;/&gt;&lt;wsp:rsid wsp:val=&quot;00527F7A&quot;/&gt;&lt;wsp:rsid wsp:val=&quot;00530415&quot;/&gt;&lt;wsp:rsid wsp:val=&quot;00530898&quot;/&gt;&lt;wsp:rsid wsp:val=&quot;00530B3C&quot;/&gt;&lt;wsp:rsid wsp:val=&quot;00531061&quot;/&gt;&lt;wsp:rsid wsp:val=&quot;005318C5&quot;/&gt;&lt;wsp:rsid wsp:val=&quot;00531A3B&quot;/&gt;&lt;wsp:rsid wsp:val=&quot;005327D2&quot;/&gt;&lt;wsp:rsid wsp:val=&quot;00532C13&quot;/&gt;&lt;wsp:rsid wsp:val=&quot;00533370&quot;/&gt;&lt;wsp:rsid wsp:val=&quot;00534107&quot;/&gt;&lt;wsp:rsid wsp:val=&quot;0053539C&quot;/&gt;&lt;wsp:rsid wsp:val=&quot;005354BA&quot;/&gt;&lt;wsp:rsid wsp:val=&quot;00535532&quot;/&gt;&lt;wsp:rsid wsp:val=&quot;00535E42&quot;/&gt;&lt;wsp:rsid wsp:val=&quot;00536268&quot;/&gt;&lt;wsp:rsid wsp:val=&quot;005362D8&quot;/&gt;&lt;wsp:rsid wsp:val=&quot;00536350&quot;/&gt;&lt;wsp:rsid wsp:val=&quot;00536761&quot;/&gt;&lt;wsp:rsid wsp:val=&quot;00537367&quot;/&gt;&lt;wsp:rsid wsp:val=&quot;0053769F&quot;/&gt;&lt;wsp:rsid wsp:val=&quot;005376F7&quot;/&gt;&lt;wsp:rsid wsp:val=&quot;00537FEA&quot;/&gt;&lt;wsp:rsid wsp:val=&quot;00540021&quot;/&gt;&lt;wsp:rsid wsp:val=&quot;00540ED3&quot;/&gt;&lt;wsp:rsid wsp:val=&quot;00540F86&quot;/&gt;&lt;wsp:rsid wsp:val=&quot;00540FA6&quot;/&gt;&lt;wsp:rsid wsp:val=&quot;005415A9&quot;/&gt;&lt;wsp:rsid wsp:val=&quot;0054187E&quot;/&gt;&lt;wsp:rsid wsp:val=&quot;00541974&quot;/&gt;&lt;wsp:rsid wsp:val=&quot;005419B7&quot;/&gt;&lt;wsp:rsid wsp:val=&quot;00541BA3&quot;/&gt;&lt;wsp:rsid wsp:val=&quot;00541BFF&quot;/&gt;&lt;wsp:rsid wsp:val=&quot;00541E07&quot;/&gt;&lt;wsp:rsid wsp:val=&quot;005420FB&quot;/&gt;&lt;wsp:rsid wsp:val=&quot;005427D9&quot;/&gt;&lt;wsp:rsid wsp:val=&quot;005429F0&quot;/&gt;&lt;wsp:rsid wsp:val=&quot;00542C94&quot;/&gt;&lt;wsp:rsid wsp:val=&quot;0054313E&quot;/&gt;&lt;wsp:rsid wsp:val=&quot;00543202&quot;/&gt;&lt;wsp:rsid wsp:val=&quot;0054349E&quot;/&gt;&lt;wsp:rsid wsp:val=&quot;005435FF&quot;/&gt;&lt;wsp:rsid wsp:val=&quot;00544054&quot;/&gt;&lt;wsp:rsid wsp:val=&quot;0054413A&quot;/&gt;&lt;wsp:rsid wsp:val=&quot;00544175&quot;/&gt;&lt;wsp:rsid wsp:val=&quot;00544A2D&quot;/&gt;&lt;wsp:rsid wsp:val=&quot;00544B35&quot;/&gt;&lt;wsp:rsid wsp:val=&quot;005452E9&quot;/&gt;&lt;wsp:rsid wsp:val=&quot;005455D3&quot;/&gt;&lt;wsp:rsid wsp:val=&quot;00545672&quot;/&gt;&lt;wsp:rsid wsp:val=&quot;00545B3F&quot;/&gt;&lt;wsp:rsid wsp:val=&quot;00545C7C&quot;/&gt;&lt;wsp:rsid wsp:val=&quot;005465A8&quot;/&gt;&lt;wsp:rsid wsp:val=&quot;00546DC6&quot;/&gt;&lt;wsp:rsid wsp:val=&quot;00546EB4&quot;/&gt;&lt;wsp:rsid wsp:val=&quot;00547404&quot;/&gt;&lt;wsp:rsid wsp:val=&quot;00547CE2&quot;/&gt;&lt;wsp:rsid wsp:val=&quot;00550120&quot;/&gt;&lt;wsp:rsid wsp:val=&quot;00550AC8&quot;/&gt;&lt;wsp:rsid wsp:val=&quot;00551029&quot;/&gt;&lt;wsp:rsid wsp:val=&quot;00551222&quot;/&gt;&lt;wsp:rsid wsp:val=&quot;005514AC&quot;/&gt;&lt;wsp:rsid wsp:val=&quot;0055166F&quot;/&gt;&lt;wsp:rsid wsp:val=&quot;0055172F&quot;/&gt;&lt;wsp:rsid wsp:val=&quot;0055178F&quot;/&gt;&lt;wsp:rsid wsp:val=&quot;00551B23&quot;/&gt;&lt;wsp:rsid wsp:val=&quot;00552951&quot;/&gt;&lt;wsp:rsid wsp:val=&quot;00552E12&quot;/&gt;&lt;wsp:rsid wsp:val=&quot;00553073&quot;/&gt;&lt;wsp:rsid wsp:val=&quot;00553660&quot;/&gt;&lt;wsp:rsid wsp:val=&quot;005539B7&quot;/&gt;&lt;wsp:rsid wsp:val=&quot;005546C4&quot;/&gt;&lt;wsp:rsid wsp:val=&quot;00554C03&quot;/&gt;&lt;wsp:rsid wsp:val=&quot;005552F6&quot;/&gt;&lt;wsp:rsid wsp:val=&quot;00555654&quot;/&gt;&lt;wsp:rsid wsp:val=&quot;0055588C&quot;/&gt;&lt;wsp:rsid wsp:val=&quot;00555976&quot;/&gt;&lt;wsp:rsid wsp:val=&quot;005559C9&quot;/&gt;&lt;wsp:rsid wsp:val=&quot;00555DF8&quot;/&gt;&lt;wsp:rsid wsp:val=&quot;00556014&quot;/&gt;&lt;wsp:rsid wsp:val=&quot;005562E2&quot;/&gt;&lt;wsp:rsid wsp:val=&quot;005565DB&quot;/&gt;&lt;wsp:rsid wsp:val=&quot;00556E18&quot;/&gt;&lt;wsp:rsid wsp:val=&quot;00556F27&quot;/&gt;&lt;wsp:rsid wsp:val=&quot;00556FB4&quot;/&gt;&lt;wsp:rsid wsp:val=&quot;00557513&quot;/&gt;&lt;wsp:rsid wsp:val=&quot;005577B8&quot;/&gt;&lt;wsp:rsid wsp:val=&quot;00557AD0&quot;/&gt;&lt;wsp:rsid wsp:val=&quot;00557BA8&quot;/&gt;&lt;wsp:rsid wsp:val=&quot;0056092E&quot;/&gt;&lt;wsp:rsid wsp:val=&quot;00561017&quot;/&gt;&lt;wsp:rsid wsp:val=&quot;0056167C&quot;/&gt;&lt;wsp:rsid wsp:val=&quot;00561706&quot;/&gt;&lt;wsp:rsid wsp:val=&quot;00561DA1&quot;/&gt;&lt;wsp:rsid wsp:val=&quot;00561F95&quot;/&gt;&lt;wsp:rsid wsp:val=&quot;0056285A&quot;/&gt;&lt;wsp:rsid wsp:val=&quot;00562E0B&quot;/&gt;&lt;wsp:rsid wsp:val=&quot;0056337D&quot;/&gt;&lt;wsp:rsid wsp:val=&quot;00563832&quot;/&gt;&lt;wsp:rsid wsp:val=&quot;005638F7&quot;/&gt;&lt;wsp:rsid wsp:val=&quot;00563A6B&quot;/&gt;&lt;wsp:rsid wsp:val=&quot;00563DE8&quot;/&gt;&lt;wsp:rsid wsp:val=&quot;0056411C&quot;/&gt;&lt;wsp:rsid wsp:val=&quot;00564210&quot;/&gt;&lt;wsp:rsid wsp:val=&quot;005653BB&quot;/&gt;&lt;wsp:rsid wsp:val=&quot;00565427&quot;/&gt;&lt;wsp:rsid wsp:val=&quot;0056562D&quot;/&gt;&lt;wsp:rsid wsp:val=&quot;00565883&quot;/&gt;&lt;wsp:rsid wsp:val=&quot;005662E7&quot;/&gt;&lt;wsp:rsid wsp:val=&quot;005663FA&quot;/&gt;&lt;wsp:rsid wsp:val=&quot;00566B7F&quot;/&gt;&lt;wsp:rsid wsp:val=&quot;00566C9D&quot;/&gt;&lt;wsp:rsid wsp:val=&quot;00566D0C&quot;/&gt;&lt;wsp:rsid wsp:val=&quot;00566F97&quot;/&gt;&lt;wsp:rsid wsp:val=&quot;0056761A&quot;/&gt;&lt;wsp:rsid wsp:val=&quot;00567E12&quot;/&gt;&lt;wsp:rsid wsp:val=&quot;00567F32&quot;/&gt;&lt;wsp:rsid wsp:val=&quot;00570150&quot;/&gt;&lt;wsp:rsid wsp:val=&quot;00570615&quot;/&gt;&lt;wsp:rsid wsp:val=&quot;005708C0&quot;/&gt;&lt;wsp:rsid wsp:val=&quot;005713EF&quot;/&gt;&lt;wsp:rsid wsp:val=&quot;00571C16&quot;/&gt;&lt;wsp:rsid wsp:val=&quot;00571CDC&quot;/&gt;&lt;wsp:rsid wsp:val=&quot;00572412&quot;/&gt;&lt;wsp:rsid wsp:val=&quot;005725AA&quot;/&gt;&lt;wsp:rsid wsp:val=&quot;00572C59&quot;/&gt;&lt;wsp:rsid wsp:val=&quot;005736DF&quot;/&gt;&lt;wsp:rsid wsp:val=&quot;005738C4&quot;/&gt;&lt;wsp:rsid wsp:val=&quot;0057453C&quot;/&gt;&lt;wsp:rsid wsp:val=&quot;005746A5&quot;/&gt;&lt;wsp:rsid wsp:val=&quot;00574E9F&quot;/&gt;&lt;wsp:rsid wsp:val=&quot;00574EB2&quot;/&gt;&lt;wsp:rsid wsp:val=&quot;005750FF&quot;/&gt;&lt;wsp:rsid wsp:val=&quot;00575781&quot;/&gt;&lt;wsp:rsid wsp:val=&quot;00575986&quot;/&gt;&lt;wsp:rsid wsp:val=&quot;005762FE&quot;/&gt;&lt;wsp:rsid wsp:val=&quot;005765AB&quot;/&gt;&lt;wsp:rsid wsp:val=&quot;00576679&quot;/&gt;&lt;wsp:rsid wsp:val=&quot;005766D0&quot;/&gt;&lt;wsp:rsid wsp:val=&quot;0057677F&quot;/&gt;&lt;wsp:rsid wsp:val=&quot;00576BC9&quot;/&gt;&lt;wsp:rsid wsp:val=&quot;005770B6&quot;/&gt;&lt;wsp:rsid wsp:val=&quot;00577A78&quot;/&gt;&lt;wsp:rsid wsp:val=&quot;00577E31&quot;/&gt;&lt;wsp:rsid wsp:val=&quot;0058063A&quot;/&gt;&lt;wsp:rsid wsp:val=&quot;00580E4D&quot;/&gt;&lt;wsp:rsid wsp:val=&quot;00581A0A&quot;/&gt;&lt;wsp:rsid wsp:val=&quot;00581DA5&quot;/&gt;&lt;wsp:rsid wsp:val=&quot;00581EAA&quot;/&gt;&lt;wsp:rsid wsp:val=&quot;005823CA&quot;/&gt;&lt;wsp:rsid wsp:val=&quot;0058267A&quot;/&gt;&lt;wsp:rsid wsp:val=&quot;00582928&quot;/&gt;&lt;wsp:rsid wsp:val=&quot;00582C0C&quot;/&gt;&lt;wsp:rsid wsp:val=&quot;00582D4D&quot;/&gt;&lt;wsp:rsid wsp:val=&quot;005837DF&quot;/&gt;&lt;wsp:rsid wsp:val=&quot;005838F8&quot;/&gt;&lt;wsp:rsid wsp:val=&quot;005849CA&quot;/&gt;&lt;wsp:rsid wsp:val=&quot;00584EF9&quot;/&gt;&lt;wsp:rsid wsp:val=&quot;0058500A&quot;/&gt;&lt;wsp:rsid wsp:val=&quot;00585304&quot;/&gt;&lt;wsp:rsid wsp:val=&quot;00585453&quot;/&gt;&lt;wsp:rsid wsp:val=&quot;00585765&quot;/&gt;&lt;wsp:rsid wsp:val=&quot;00585C38&quot;/&gt;&lt;wsp:rsid wsp:val=&quot;0058625F&quot;/&gt;&lt;wsp:rsid wsp:val=&quot;0058626E&quot;/&gt;&lt;wsp:rsid wsp:val=&quot;00586689&quot;/&gt;&lt;wsp:rsid wsp:val=&quot;00586DE9&quot;/&gt;&lt;wsp:rsid wsp:val=&quot;00587252&quot;/&gt;&lt;wsp:rsid wsp:val=&quot;00587373&quot;/&gt;&lt;wsp:rsid wsp:val=&quot;00587A4E&quot;/&gt;&lt;wsp:rsid wsp:val=&quot;00587C62&quot;/&gt;&lt;wsp:rsid wsp:val=&quot;00587CD8&quot;/&gt;&lt;wsp:rsid wsp:val=&quot;00587CEE&quot;/&gt;&lt;wsp:rsid wsp:val=&quot;005902D2&quot;/&gt;&lt;wsp:rsid wsp:val=&quot;00590B52&quot;/&gt;&lt;wsp:rsid wsp:val=&quot;0059103B&quot;/&gt;&lt;wsp:rsid wsp:val=&quot;0059196C&quot;/&gt;&lt;wsp:rsid wsp:val=&quot;00591C75&quot;/&gt;&lt;wsp:rsid wsp:val=&quot;005920AF&quot;/&gt;&lt;wsp:rsid wsp:val=&quot;005923E0&quot;/&gt;&lt;wsp:rsid wsp:val=&quot;005929DF&quot;/&gt;&lt;wsp:rsid wsp:val=&quot;00592B20&quot;/&gt;&lt;wsp:rsid wsp:val=&quot;0059338E&quot;/&gt;&lt;wsp:rsid wsp:val=&quot;00593474&quot;/&gt;&lt;wsp:rsid wsp:val=&quot;005935B7&quot;/&gt;&lt;wsp:rsid wsp:val=&quot;005936A9&quot;/&gt;&lt;wsp:rsid wsp:val=&quot;00593982&quot;/&gt;&lt;wsp:rsid wsp:val=&quot;00593BC6&quot;/&gt;&lt;wsp:rsid wsp:val=&quot;00594137&quot;/&gt;&lt;wsp:rsid wsp:val=&quot;00594373&quot;/&gt;&lt;wsp:rsid wsp:val=&quot;005946C3&quot;/&gt;&lt;wsp:rsid wsp:val=&quot;00594899&quot;/&gt;&lt;wsp:rsid wsp:val=&quot;005949EA&quot;/&gt;&lt;wsp:rsid wsp:val=&quot;00594EA5&quot;/&gt;&lt;wsp:rsid wsp:val=&quot;005951C3&quot;/&gt;&lt;wsp:rsid wsp:val=&quot;005954DD&quot;/&gt;&lt;wsp:rsid wsp:val=&quot;00595733&quot;/&gt;&lt;wsp:rsid wsp:val=&quot;00595BDA&quot;/&gt;&lt;wsp:rsid wsp:val=&quot;00595E0E&quot;/&gt;&lt;wsp:rsid wsp:val=&quot;00596139&quot;/&gt;&lt;wsp:rsid wsp:val=&quot;0059676F&quot;/&gt;&lt;wsp:rsid wsp:val=&quot;005969AE&quot;/&gt;&lt;wsp:rsid wsp:val=&quot;00596A76&quot;/&gt;&lt;wsp:rsid wsp:val=&quot;00596C06&quot;/&gt;&lt;wsp:rsid wsp:val=&quot;0059713C&quot;/&gt;&lt;wsp:rsid wsp:val=&quot;00597255&quot;/&gt;&lt;wsp:rsid wsp:val=&quot;0059748C&quot;/&gt;&lt;wsp:rsid wsp:val=&quot;00597572&quot;/&gt;&lt;wsp:rsid wsp:val=&quot;005A041B&quot;/&gt;&lt;wsp:rsid wsp:val=&quot;005A0436&quot;/&gt;&lt;wsp:rsid wsp:val=&quot;005A0ACC&quot;/&gt;&lt;wsp:rsid wsp:val=&quot;005A0FE6&quot;/&gt;&lt;wsp:rsid wsp:val=&quot;005A10A9&quot;/&gt;&lt;wsp:rsid wsp:val=&quot;005A1168&quot;/&gt;&lt;wsp:rsid wsp:val=&quot;005A11D8&quot;/&gt;&lt;wsp:rsid wsp:val=&quot;005A13C8&quot;/&gt;&lt;wsp:rsid wsp:val=&quot;005A172C&quot;/&gt;&lt;wsp:rsid wsp:val=&quot;005A1920&quot;/&gt;&lt;wsp:rsid wsp:val=&quot;005A1A58&quot;/&gt;&lt;wsp:rsid wsp:val=&quot;005A1BA4&quot;/&gt;&lt;wsp:rsid wsp:val=&quot;005A275F&quot;/&gt;&lt;wsp:rsid wsp:val=&quot;005A2777&quot;/&gt;&lt;wsp:rsid wsp:val=&quot;005A2BD9&quot;/&gt;&lt;wsp:rsid wsp:val=&quot;005A30E7&quot;/&gt;&lt;wsp:rsid wsp:val=&quot;005A35C6&quot;/&gt;&lt;wsp:rsid wsp:val=&quot;005A4122&quot;/&gt;&lt;wsp:rsid wsp:val=&quot;005A416E&quot;/&gt;&lt;wsp:rsid wsp:val=&quot;005A4799&quot;/&gt;&lt;wsp:rsid wsp:val=&quot;005A4BA9&quot;/&gt;&lt;wsp:rsid wsp:val=&quot;005A4EB6&quot;/&gt;&lt;wsp:rsid wsp:val=&quot;005A5C75&quot;/&gt;&lt;wsp:rsid wsp:val=&quot;005A5D0A&quot;/&gt;&lt;wsp:rsid wsp:val=&quot;005A6A87&quot;/&gt;&lt;wsp:rsid wsp:val=&quot;005A75E7&quot;/&gt;&lt;wsp:rsid wsp:val=&quot;005A78D9&quot;/&gt;&lt;wsp:rsid wsp:val=&quot;005A7988&quot;/&gt;&lt;wsp:rsid wsp:val=&quot;005A7AAA&quot;/&gt;&lt;wsp:rsid wsp:val=&quot;005A7D19&quot;/&gt;&lt;wsp:rsid wsp:val=&quot;005B0C80&quot;/&gt;&lt;wsp:rsid wsp:val=&quot;005B0DAB&quot;/&gt;&lt;wsp:rsid wsp:val=&quot;005B0ED5&quot;/&gt;&lt;wsp:rsid wsp:val=&quot;005B0FB4&quot;/&gt;&lt;wsp:rsid wsp:val=&quot;005B14A2&quot;/&gt;&lt;wsp:rsid wsp:val=&quot;005B20A8&quot;/&gt;&lt;wsp:rsid wsp:val=&quot;005B23E4&quot;/&gt;&lt;wsp:rsid wsp:val=&quot;005B267B&quot;/&gt;&lt;wsp:rsid wsp:val=&quot;005B2F77&quot;/&gt;&lt;wsp:rsid wsp:val=&quot;005B32BC&quot;/&gt;&lt;wsp:rsid wsp:val=&quot;005B3563&quot;/&gt;&lt;wsp:rsid wsp:val=&quot;005B3883&quot;/&gt;&lt;wsp:rsid wsp:val=&quot;005B46F0&quot;/&gt;&lt;wsp:rsid wsp:val=&quot;005B47BB&quot;/&gt;&lt;wsp:rsid wsp:val=&quot;005B48C2&quot;/&gt;&lt;wsp:rsid wsp:val=&quot;005B4AD6&quot;/&gt;&lt;wsp:rsid wsp:val=&quot;005B4DCF&quot;/&gt;&lt;wsp:rsid wsp:val=&quot;005B5254&quot;/&gt;&lt;wsp:rsid wsp:val=&quot;005B5822&quot;/&gt;&lt;wsp:rsid wsp:val=&quot;005B5889&quot;/&gt;&lt;wsp:rsid wsp:val=&quot;005B5A31&quot;/&gt;&lt;wsp:rsid wsp:val=&quot;005B5B83&quot;/&gt;&lt;wsp:rsid wsp:val=&quot;005B5CC5&quot;/&gt;&lt;wsp:rsid wsp:val=&quot;005B6747&quot;/&gt;&lt;wsp:rsid wsp:val=&quot;005B69BF&quot;/&gt;&lt;wsp:rsid wsp:val=&quot;005B6D69&quot;/&gt;&lt;wsp:rsid wsp:val=&quot;005B7683&quot;/&gt;&lt;wsp:rsid wsp:val=&quot;005B78FF&quot;/&gt;&lt;wsp:rsid wsp:val=&quot;005B7967&quot;/&gt;&lt;wsp:rsid wsp:val=&quot;005B7BE2&quot;/&gt;&lt;wsp:rsid wsp:val=&quot;005B7C3A&quot;/&gt;&lt;wsp:rsid wsp:val=&quot;005C0637&quot;/&gt;&lt;wsp:rsid wsp:val=&quot;005C0742&quot;/&gt;&lt;wsp:rsid wsp:val=&quot;005C0A88&quot;/&gt;&lt;wsp:rsid wsp:val=&quot;005C13D3&quot;/&gt;&lt;wsp:rsid wsp:val=&quot;005C1AAE&quot;/&gt;&lt;wsp:rsid wsp:val=&quot;005C2F23&quot;/&gt;&lt;wsp:rsid wsp:val=&quot;005C3016&quot;/&gt;&lt;wsp:rsid wsp:val=&quot;005C3162&quot;/&gt;&lt;wsp:rsid wsp:val=&quot;005C3C3A&quot;/&gt;&lt;wsp:rsid wsp:val=&quot;005C433D&quot;/&gt;&lt;wsp:rsid wsp:val=&quot;005C439B&quot;/&gt;&lt;wsp:rsid wsp:val=&quot;005C443B&quot;/&gt;&lt;wsp:rsid wsp:val=&quot;005C475E&quot;/&gt;&lt;wsp:rsid wsp:val=&quot;005C4988&quot;/&gt;&lt;wsp:rsid wsp:val=&quot;005C49ED&quot;/&gt;&lt;wsp:rsid wsp:val=&quot;005C4AA5&quot;/&gt;&lt;wsp:rsid wsp:val=&quot;005C5010&quot;/&gt;&lt;wsp:rsid wsp:val=&quot;005C5233&quot;/&gt;&lt;wsp:rsid wsp:val=&quot;005C59DE&quot;/&gt;&lt;wsp:rsid wsp:val=&quot;005C5ADF&quot;/&gt;&lt;wsp:rsid wsp:val=&quot;005C5E60&quot;/&gt;&lt;wsp:rsid wsp:val=&quot;005C6CA4&quot;/&gt;&lt;wsp:rsid wsp:val=&quot;005C6D6E&quot;/&gt;&lt;wsp:rsid wsp:val=&quot;005C6DC4&quot;/&gt;&lt;wsp:rsid wsp:val=&quot;005C7E2E&quot;/&gt;&lt;wsp:rsid wsp:val=&quot;005D03E7&quot;/&gt;&lt;wsp:rsid wsp:val=&quot;005D0A95&quot;/&gt;&lt;wsp:rsid wsp:val=&quot;005D11F8&quot;/&gt;&lt;wsp:rsid wsp:val=&quot;005D144F&quot;/&gt;&lt;wsp:rsid wsp:val=&quot;005D1605&quot;/&gt;&lt;wsp:rsid wsp:val=&quot;005D1E78&quot;/&gt;&lt;wsp:rsid wsp:val=&quot;005D1FA8&quot;/&gt;&lt;wsp:rsid wsp:val=&quot;005D2652&quot;/&gt;&lt;wsp:rsid wsp:val=&quot;005D2710&quot;/&gt;&lt;wsp:rsid wsp:val=&quot;005D3121&quot;/&gt;&lt;wsp:rsid wsp:val=&quot;005D36D8&quot;/&gt;&lt;wsp:rsid wsp:val=&quot;005D37DC&quot;/&gt;&lt;wsp:rsid wsp:val=&quot;005D383C&quot;/&gt;&lt;wsp:rsid wsp:val=&quot;005D39EA&quot;/&gt;&lt;wsp:rsid wsp:val=&quot;005D3A34&quot;/&gt;&lt;wsp:rsid wsp:val=&quot;005D3CBF&quot;/&gt;&lt;wsp:rsid wsp:val=&quot;005D4569&quot;/&gt;&lt;wsp:rsid wsp:val=&quot;005D49CB&quot;/&gt;&lt;wsp:rsid wsp:val=&quot;005D4DD2&quot;/&gt;&lt;wsp:rsid wsp:val=&quot;005D509D&quot;/&gt;&lt;wsp:rsid wsp:val=&quot;005D51B2&quot;/&gt;&lt;wsp:rsid wsp:val=&quot;005D51BA&quot;/&gt;&lt;wsp:rsid wsp:val=&quot;005D5C4A&quot;/&gt;&lt;wsp:rsid wsp:val=&quot;005D5F4A&quot;/&gt;&lt;wsp:rsid wsp:val=&quot;005D64BE&quot;/&gt;&lt;wsp:rsid wsp:val=&quot;005D6BED&quot;/&gt;&lt;wsp:rsid wsp:val=&quot;005D6D6A&quot;/&gt;&lt;wsp:rsid wsp:val=&quot;005D7240&quot;/&gt;&lt;wsp:rsid wsp:val=&quot;005D7B5D&quot;/&gt;&lt;wsp:rsid wsp:val=&quot;005D7DA5&quot;/&gt;&lt;wsp:rsid wsp:val=&quot;005E0705&quot;/&gt;&lt;wsp:rsid wsp:val=&quot;005E0864&quot;/&gt;&lt;wsp:rsid wsp:val=&quot;005E0BCA&quot;/&gt;&lt;wsp:rsid wsp:val=&quot;005E0C66&quot;/&gt;&lt;wsp:rsid wsp:val=&quot;005E0FAA&quot;/&gt;&lt;wsp:rsid wsp:val=&quot;005E13FE&quot;/&gt;&lt;wsp:rsid wsp:val=&quot;005E176B&quot;/&gt;&lt;wsp:rsid wsp:val=&quot;005E1BB6&quot;/&gt;&lt;wsp:rsid wsp:val=&quot;005E26E7&quot;/&gt;&lt;wsp:rsid wsp:val=&quot;005E2C4C&quot;/&gt;&lt;wsp:rsid wsp:val=&quot;005E33A1&quot;/&gt;&lt;wsp:rsid wsp:val=&quot;005E383D&quot;/&gt;&lt;wsp:rsid wsp:val=&quot;005E3A01&quot;/&gt;&lt;wsp:rsid wsp:val=&quot;005E410C&quot;/&gt;&lt;wsp:rsid wsp:val=&quot;005E4144&quot;/&gt;&lt;wsp:rsid wsp:val=&quot;005E4284&quot;/&gt;&lt;wsp:rsid wsp:val=&quot;005E4369&quot;/&gt;&lt;wsp:rsid wsp:val=&quot;005E43DC&quot;/&gt;&lt;wsp:rsid wsp:val=&quot;005E49C2&quot;/&gt;&lt;wsp:rsid wsp:val=&quot;005E4E91&quot;/&gt;&lt;wsp:rsid wsp:val=&quot;005E4EA3&quot;/&gt;&lt;wsp:rsid wsp:val=&quot;005E4F31&quot;/&gt;&lt;wsp:rsid wsp:val=&quot;005E573F&quot;/&gt;&lt;wsp:rsid wsp:val=&quot;005E5D90&quot;/&gt;&lt;wsp:rsid wsp:val=&quot;005E5D9C&quot;/&gt;&lt;wsp:rsid wsp:val=&quot;005E6424&quot;/&gt;&lt;wsp:rsid wsp:val=&quot;005E6D47&quot;/&gt;&lt;wsp:rsid wsp:val=&quot;005E72E6&quot;/&gt;&lt;wsp:rsid wsp:val=&quot;005E7AA1&quot;/&gt;&lt;wsp:rsid wsp:val=&quot;005E7E68&quot;/&gt;&lt;wsp:rsid wsp:val=&quot;005F1770&quot;/&gt;&lt;wsp:rsid wsp:val=&quot;005F239C&quot;/&gt;&lt;wsp:rsid wsp:val=&quot;005F23C1&quot;/&gt;&lt;wsp:rsid wsp:val=&quot;005F23C9&quot;/&gt;&lt;wsp:rsid wsp:val=&quot;005F24DF&quot;/&gt;&lt;wsp:rsid wsp:val=&quot;005F27C9&quot;/&gt;&lt;wsp:rsid wsp:val=&quot;005F2888&quot;/&gt;&lt;wsp:rsid wsp:val=&quot;005F2DBF&quot;/&gt;&lt;wsp:rsid wsp:val=&quot;005F3ABA&quot;/&gt;&lt;wsp:rsid wsp:val=&quot;005F4B22&quot;/&gt;&lt;wsp:rsid wsp:val=&quot;005F5810&quot;/&gt;&lt;wsp:rsid wsp:val=&quot;005F59D3&quot;/&gt;&lt;wsp:rsid wsp:val=&quot;005F5DF3&quot;/&gt;&lt;wsp:rsid wsp:val=&quot;005F691D&quot;/&gt;&lt;wsp:rsid wsp:val=&quot;005F6C83&quot;/&gt;&lt;wsp:rsid wsp:val=&quot;00600504&quot;/&gt;&lt;wsp:rsid wsp:val=&quot;00600829&quot;/&gt;&lt;wsp:rsid wsp:val=&quot;00600BEB&quot;/&gt;&lt;wsp:rsid wsp:val=&quot;0060170E&quot;/&gt;&lt;wsp:rsid wsp:val=&quot;006019FF&quot;/&gt;&lt;wsp:rsid wsp:val=&quot;00601CC9&quot;/&gt;&lt;wsp:rsid wsp:val=&quot;00602E33&quot;/&gt;&lt;wsp:rsid wsp:val=&quot;00602EBB&quot;/&gt;&lt;wsp:rsid wsp:val=&quot;00602ED2&quot;/&gt;&lt;wsp:rsid wsp:val=&quot;00603786&quot;/&gt;&lt;wsp:rsid wsp:val=&quot;00603D52&quot;/&gt;&lt;wsp:rsid wsp:val=&quot;0060448F&quot;/&gt;&lt;wsp:rsid wsp:val=&quot;0060460D&quot;/&gt;&lt;wsp:rsid wsp:val=&quot;00604A67&quot;/&gt;&lt;wsp:rsid wsp:val=&quot;00604DD2&quot;/&gt;&lt;wsp:rsid wsp:val=&quot;0060520D&quot;/&gt;&lt;wsp:rsid wsp:val=&quot;00605223&quot;/&gt;&lt;wsp:rsid wsp:val=&quot;0060558E&quot;/&gt;&lt;wsp:rsid wsp:val=&quot;0060575A&quot;/&gt;&lt;wsp:rsid wsp:val=&quot;006058DD&quot;/&gt;&lt;wsp:rsid wsp:val=&quot;00605B68&quot;/&gt;&lt;wsp:rsid wsp:val=&quot;00605BA4&quot;/&gt;&lt;wsp:rsid wsp:val=&quot;00605D37&quot;/&gt;&lt;wsp:rsid wsp:val=&quot;00606140&quot;/&gt;&lt;wsp:rsid wsp:val=&quot;00606DD1&quot;/&gt;&lt;wsp:rsid wsp:val=&quot;00607650&quot;/&gt;&lt;wsp:rsid wsp:val=&quot;0061049C&quot;/&gt;&lt;wsp:rsid wsp:val=&quot;00610953&quot;/&gt;&lt;wsp:rsid wsp:val=&quot;00610D35&quot;/&gt;&lt;wsp:rsid wsp:val=&quot;00610F4C&quot;/&gt;&lt;wsp:rsid wsp:val=&quot;006110B0&quot;/&gt;&lt;wsp:rsid wsp:val=&quot;00611558&quot;/&gt;&lt;wsp:rsid wsp:val=&quot;006117A4&quot;/&gt;&lt;wsp:rsid wsp:val=&quot;00612707&quot;/&gt;&lt;wsp:rsid wsp:val=&quot;00614632&quot;/&gt;&lt;wsp:rsid wsp:val=&quot;00614BDC&quot;/&gt;&lt;wsp:rsid wsp:val=&quot;00614FB4&quot;/&gt;&lt;wsp:rsid wsp:val=&quot;006155A8&quot;/&gt;&lt;wsp:rsid wsp:val=&quot;00615D4C&quot;/&gt;&lt;wsp:rsid wsp:val=&quot;00615E3E&quot;/&gt;&lt;wsp:rsid wsp:val=&quot;0061672C&quot;/&gt;&lt;wsp:rsid wsp:val=&quot;006168DA&quot;/&gt;&lt;wsp:rsid wsp:val=&quot;00616DEF&quot;/&gt;&lt;wsp:rsid wsp:val=&quot;00616F4C&quot;/&gt;&lt;wsp:rsid wsp:val=&quot;00617030&quot;/&gt;&lt;wsp:rsid wsp:val=&quot;006203E4&quot;/&gt;&lt;wsp:rsid wsp:val=&quot;00620684&quot;/&gt;&lt;wsp:rsid wsp:val=&quot;00620AF3&quot;/&gt;&lt;wsp:rsid wsp:val=&quot;00620B05&quot;/&gt;&lt;wsp:rsid wsp:val=&quot;006210BA&quot;/&gt;&lt;wsp:rsid wsp:val=&quot;00621306&quot;/&gt;&lt;wsp:rsid wsp:val=&quot;0062164F&quot;/&gt;&lt;wsp:rsid wsp:val=&quot;00622EFB&quot;/&gt;&lt;wsp:rsid wsp:val=&quot;006232B5&quot;/&gt;&lt;wsp:rsid wsp:val=&quot;006233D1&quot;/&gt;&lt;wsp:rsid wsp:val=&quot;00623500&quot;/&gt;&lt;wsp:rsid wsp:val=&quot;00623733&quot;/&gt;&lt;wsp:rsid wsp:val=&quot;00623B03&quot;/&gt;&lt;wsp:rsid wsp:val=&quot;006241D2&quot;/&gt;&lt;wsp:rsid wsp:val=&quot;006242B8&quot;/&gt;&lt;wsp:rsid wsp:val=&quot;00624524&quot;/&gt;&lt;wsp:rsid wsp:val=&quot;0062463F&quot;/&gt;&lt;wsp:rsid wsp:val=&quot;0062492E&quot;/&gt;&lt;wsp:rsid wsp:val=&quot;00624C83&quot;/&gt;&lt;wsp:rsid wsp:val=&quot;00624DE0&quot;/&gt;&lt;wsp:rsid wsp:val=&quot;00624E0D&quot;/&gt;&lt;wsp:rsid wsp:val=&quot;00624FC3&quot;/&gt;&lt;wsp:rsid wsp:val=&quot;00625426&quot;/&gt;&lt;wsp:rsid wsp:val=&quot;006255FE&quot;/&gt;&lt;wsp:rsid wsp:val=&quot;00625AD6&quot;/&gt;&lt;wsp:rsid wsp:val=&quot;006261E2&quot;/&gt;&lt;wsp:rsid wsp:val=&quot;00626959&quot;/&gt;&lt;wsp:rsid wsp:val=&quot;00626C5A&quot;/&gt;&lt;wsp:rsid wsp:val=&quot;00626D0C&quot;/&gt;&lt;wsp:rsid wsp:val=&quot;00627654&quot;/&gt;&lt;wsp:rsid wsp:val=&quot;00627812&quot;/&gt;&lt;wsp:rsid wsp:val=&quot;006301DA&quot;/&gt;&lt;wsp:rsid wsp:val=&quot;00630600&quot;/&gt;&lt;wsp:rsid wsp:val=&quot;00630C33&quot;/&gt;&lt;wsp:rsid wsp:val=&quot;0063223F&quot;/&gt;&lt;wsp:rsid wsp:val=&quot;006322D3&quot;/&gt;&lt;wsp:rsid wsp:val=&quot;00632327&quot;/&gt;&lt;wsp:rsid wsp:val=&quot;00632707&quot;/&gt;&lt;wsp:rsid wsp:val=&quot;00632746&quot;/&gt;&lt;wsp:rsid wsp:val=&quot;006327CA&quot;/&gt;&lt;wsp:rsid wsp:val=&quot;00632E5D&quot;/&gt;&lt;wsp:rsid wsp:val=&quot;00632EE4&quot;/&gt;&lt;wsp:rsid wsp:val=&quot;00633262&quot;/&gt;&lt;wsp:rsid wsp:val=&quot;00633871&quot;/&gt;&lt;wsp:rsid wsp:val=&quot;006338CE&quot;/&gt;&lt;wsp:rsid wsp:val=&quot;00633AB4&quot;/&gt;&lt;wsp:rsid wsp:val=&quot;00633CFF&quot;/&gt;&lt;wsp:rsid wsp:val=&quot;00634136&quot;/&gt;&lt;wsp:rsid wsp:val=&quot;00635450&quot;/&gt;&lt;wsp:rsid wsp:val=&quot;00636172&quot;/&gt;&lt;wsp:rsid wsp:val=&quot;00636823&quot;/&gt;&lt;wsp:rsid wsp:val=&quot;00636DDD&quot;/&gt;&lt;wsp:rsid wsp:val=&quot;00636F9A&quot;/&gt;&lt;wsp:rsid wsp:val=&quot;006373B9&quot;/&gt;&lt;wsp:rsid wsp:val=&quot;006374DA&quot;/&gt;&lt;wsp:rsid wsp:val=&quot;00637BF0&quot;/&gt;&lt;wsp:rsid wsp:val=&quot;00637DFB&quot;/&gt;&lt;wsp:rsid wsp:val=&quot;00637E3D&quot;/&gt;&lt;wsp:rsid wsp:val=&quot;00640693&quot;/&gt;&lt;wsp:rsid wsp:val=&quot;006409F2&quot;/&gt;&lt;wsp:rsid wsp:val=&quot;00640AAD&quot;/&gt;&lt;wsp:rsid wsp:val=&quot;00640FB8&quot;/&gt;&lt;wsp:rsid wsp:val=&quot;00641AF2&quot;/&gt;&lt;wsp:rsid wsp:val=&quot;00641E91&quot;/&gt;&lt;wsp:rsid wsp:val=&quot;00642073&quot;/&gt;&lt;wsp:rsid wsp:val=&quot;006421F4&quot;/&gt;&lt;wsp:rsid wsp:val=&quot;00642510&quot;/&gt;&lt;wsp:rsid wsp:val=&quot;0064263A&quot;/&gt;&lt;wsp:rsid wsp:val=&quot;00642883&quot;/&gt;&lt;wsp:rsid wsp:val=&quot;0064288A&quot;/&gt;&lt;wsp:rsid wsp:val=&quot;00642F02&quot;/&gt;&lt;wsp:rsid wsp:val=&quot;00642F92&quot;/&gt;&lt;wsp:rsid wsp:val=&quot;006432C2&quot;/&gt;&lt;wsp:rsid wsp:val=&quot;0064357D&quot;/&gt;&lt;wsp:rsid wsp:val=&quot;0064360E&quot;/&gt;&lt;wsp:rsid wsp:val=&quot;0064371F&quot;/&gt;&lt;wsp:rsid wsp:val=&quot;0064377B&quot;/&gt;&lt;wsp:rsid wsp:val=&quot;00644366&quot;/&gt;&lt;wsp:rsid wsp:val=&quot;00644637&quot;/&gt;&lt;wsp:rsid wsp:val=&quot;00644728&quot;/&gt;&lt;wsp:rsid wsp:val=&quot;00644802&quot;/&gt;&lt;wsp:rsid wsp:val=&quot;0064561F&quot;/&gt;&lt;wsp:rsid wsp:val=&quot;00645758&quot;/&gt;&lt;wsp:rsid wsp:val=&quot;00645B4B&quot;/&gt;&lt;wsp:rsid wsp:val=&quot;00645DD9&quot;/&gt;&lt;wsp:rsid wsp:val=&quot;0064673E&quot;/&gt;&lt;wsp:rsid wsp:val=&quot;00646B22&quot;/&gt;&lt;wsp:rsid wsp:val=&quot;00646CD2&quot;/&gt;&lt;wsp:rsid wsp:val=&quot;00646F90&quot;/&gt;&lt;wsp:rsid wsp:val=&quot;006470FB&quot;/&gt;&lt;wsp:rsid wsp:val=&quot;0064743E&quot;/&gt;&lt;wsp:rsid wsp:val=&quot;006479F6&quot;/&gt;&lt;wsp:rsid wsp:val=&quot;00647AE0&quot;/&gt;&lt;wsp:rsid wsp:val=&quot;00647C35&quot;/&gt;&lt;wsp:rsid wsp:val=&quot;00650F44&quot;/&gt;&lt;wsp:rsid wsp:val=&quot;00651251&quot;/&gt;&lt;wsp:rsid wsp:val=&quot;0065137A&quot;/&gt;&lt;wsp:rsid wsp:val=&quot;006513D5&quot;/&gt;&lt;wsp:rsid wsp:val=&quot;00651B3C&quot;/&gt;&lt;wsp:rsid wsp:val=&quot;00652714&quot;/&gt;&lt;wsp:rsid wsp:val=&quot;006527BF&quot;/&gt;&lt;wsp:rsid wsp:val=&quot;006529E8&quot;/&gt;&lt;wsp:rsid wsp:val=&quot;006532EF&quot;/&gt;&lt;wsp:rsid wsp:val=&quot;006539EF&quot;/&gt;&lt;wsp:rsid wsp:val=&quot;00654685&quot;/&gt;&lt;wsp:rsid wsp:val=&quot;00654986&quot;/&gt;&lt;wsp:rsid wsp:val=&quot;00654D98&quot;/&gt;&lt;wsp:rsid wsp:val=&quot;006551BF&quot;/&gt;&lt;wsp:rsid wsp:val=&quot;00655789&quot;/&gt;&lt;wsp:rsid wsp:val=&quot;00655912&quot;/&gt;&lt;wsp:rsid wsp:val=&quot;006559E6&quot;/&gt;&lt;wsp:rsid wsp:val=&quot;00655C95&quot;/&gt;&lt;wsp:rsid wsp:val=&quot;00655CE2&quot;/&gt;&lt;wsp:rsid wsp:val=&quot;00655DCA&quot;/&gt;&lt;wsp:rsid wsp:val=&quot;006566D8&quot;/&gt;&lt;wsp:rsid wsp:val=&quot;006571D0&quot;/&gt;&lt;wsp:rsid wsp:val=&quot;006578FA&quot;/&gt;&lt;wsp:rsid wsp:val=&quot;00657A7C&quot;/&gt;&lt;wsp:rsid wsp:val=&quot;00657C73&quot;/&gt;&lt;wsp:rsid wsp:val=&quot;00657CA7&quot;/&gt;&lt;wsp:rsid wsp:val=&quot;00657E5E&quot;/&gt;&lt;wsp:rsid wsp:val=&quot;0066078B&quot;/&gt;&lt;wsp:rsid wsp:val=&quot;00661B89&quot;/&gt;&lt;wsp:rsid wsp:val=&quot;00661CF9&quot;/&gt;&lt;wsp:rsid wsp:val=&quot;00661DEE&quot;/&gt;&lt;wsp:rsid wsp:val=&quot;00662747&quot;/&gt;&lt;wsp:rsid wsp:val=&quot;006629AC&quot;/&gt;&lt;wsp:rsid wsp:val=&quot;00662F64&quot;/&gt;&lt;wsp:rsid wsp:val=&quot;00663307&quot;/&gt;&lt;wsp:rsid wsp:val=&quot;00663825&quot;/&gt;&lt;wsp:rsid wsp:val=&quot;00663898&quot;/&gt;&lt;wsp:rsid wsp:val=&quot;00663EB3&quot;/&gt;&lt;wsp:rsid wsp:val=&quot;00663EF8&quot;/&gt;&lt;wsp:rsid wsp:val=&quot;0066439C&quot;/&gt;&lt;wsp:rsid wsp:val=&quot;006643EE&quot;/&gt;&lt;wsp:rsid wsp:val=&quot;0066464A&quot;/&gt;&lt;wsp:rsid wsp:val=&quot;00665264&quot;/&gt;&lt;wsp:rsid wsp:val=&quot;006656BA&quot;/&gt;&lt;wsp:rsid wsp:val=&quot;00665BD7&quot;/&gt;&lt;wsp:rsid wsp:val=&quot;00665C26&quot;/&gt;&lt;wsp:rsid wsp:val=&quot;00665F82&quot;/&gt;&lt;wsp:rsid wsp:val=&quot;00667788&quot;/&gt;&lt;wsp:rsid wsp:val=&quot;00667A66&quot;/&gt;&lt;wsp:rsid wsp:val=&quot;00667E10&quot;/&gt;&lt;wsp:rsid wsp:val=&quot;0067003F&quot;/&gt;&lt;wsp:rsid wsp:val=&quot;00670597&quot;/&gt;&lt;wsp:rsid wsp:val=&quot;0067095A&quot;/&gt;&lt;wsp:rsid wsp:val=&quot;006710B5&quot;/&gt;&lt;wsp:rsid wsp:val=&quot;00671532&quot;/&gt;&lt;wsp:rsid wsp:val=&quot;0067154A&quot;/&gt;&lt;wsp:rsid wsp:val=&quot;006715F5&quot;/&gt;&lt;wsp:rsid wsp:val=&quot;0067237F&quot;/&gt;&lt;wsp:rsid wsp:val=&quot;0067264C&quot;/&gt;&lt;wsp:rsid wsp:val=&quot;006729A4&quot;/&gt;&lt;wsp:rsid wsp:val=&quot;006729AE&quot;/&gt;&lt;wsp:rsid wsp:val=&quot;00672AB5&quot;/&gt;&lt;wsp:rsid wsp:val=&quot;00673005&quot;/&gt;&lt;wsp:rsid wsp:val=&quot;00673FB1&quot;/&gt;&lt;wsp:rsid wsp:val=&quot;006747D0&quot;/&gt;&lt;wsp:rsid wsp:val=&quot;00674A54&quot;/&gt;&lt;wsp:rsid wsp:val=&quot;00674AF3&quot;/&gt;&lt;wsp:rsid wsp:val=&quot;00674B2E&quot;/&gt;&lt;wsp:rsid wsp:val=&quot;00674C1B&quot;/&gt;&lt;wsp:rsid wsp:val=&quot;006756F4&quot;/&gt;&lt;wsp:rsid wsp:val=&quot;00675A1D&quot;/&gt;&lt;wsp:rsid wsp:val=&quot;00675C08&quot;/&gt;&lt;wsp:rsid wsp:val=&quot;0067691B&quot;/&gt;&lt;wsp:rsid wsp:val=&quot;00676B58&quot;/&gt;&lt;wsp:rsid wsp:val=&quot;00676BC8&quot;/&gt;&lt;wsp:rsid wsp:val=&quot;006778CC&quot;/&gt;&lt;wsp:rsid wsp:val=&quot;00677A7D&quot;/&gt;&lt;wsp:rsid wsp:val=&quot;00677D82&quot;/&gt;&lt;wsp:rsid wsp:val=&quot;00677DDD&quot;/&gt;&lt;wsp:rsid wsp:val=&quot;00680023&quot;/&gt;&lt;wsp:rsid wsp:val=&quot;00680103&quot;/&gt;&lt;wsp:rsid wsp:val=&quot;006804BC&quot;/&gt;&lt;wsp:rsid wsp:val=&quot;006805AF&quot;/&gt;&lt;wsp:rsid wsp:val=&quot;00680918&quot;/&gt;&lt;wsp:rsid wsp:val=&quot;00680971&quot;/&gt;&lt;wsp:rsid wsp:val=&quot;00681701&quot;/&gt;&lt;wsp:rsid wsp:val=&quot;00682612&quot;/&gt;&lt;wsp:rsid wsp:val=&quot;00682915&quot;/&gt;&lt;wsp:rsid wsp:val=&quot;00683066&quot;/&gt;&lt;wsp:rsid wsp:val=&quot;006830FC&quot;/&gt;&lt;wsp:rsid wsp:val=&quot;00683454&quot;/&gt;&lt;wsp:rsid wsp:val=&quot;0068358C&quot;/&gt;&lt;wsp:rsid wsp:val=&quot;006835D5&quot;/&gt;&lt;wsp:rsid wsp:val=&quot;00683B3C&quot;/&gt;&lt;wsp:rsid wsp:val=&quot;00684216&quot;/&gt;&lt;wsp:rsid wsp:val=&quot;00684236&quot;/&gt;&lt;wsp:rsid wsp:val=&quot;0068441A&quot;/&gt;&lt;wsp:rsid wsp:val=&quot;006852D6&quot;/&gt;&lt;wsp:rsid wsp:val=&quot;00685956&quot;/&gt;&lt;wsp:rsid wsp:val=&quot;00685B94&quot;/&gt;&lt;wsp:rsid wsp:val=&quot;006869B7&quot;/&gt;&lt;wsp:rsid wsp:val=&quot;0068763F&quot;/&gt;&lt;wsp:rsid wsp:val=&quot;00687C12&quot;/&gt;&lt;wsp:rsid wsp:val=&quot;006916ED&quot;/&gt;&lt;wsp:rsid wsp:val=&quot;00691743&quot;/&gt;&lt;wsp:rsid wsp:val=&quot;006918AF&quot;/&gt;&lt;wsp:rsid wsp:val=&quot;00691E3F&quot;/&gt;&lt;wsp:rsid wsp:val=&quot;006925D0&quot;/&gt;&lt;wsp:rsid wsp:val=&quot;0069260E&quot;/&gt;&lt;wsp:rsid wsp:val=&quot;0069272B&quot;/&gt;&lt;wsp:rsid wsp:val=&quot;006927A8&quot;/&gt;&lt;wsp:rsid wsp:val=&quot;0069292F&quot;/&gt;&lt;wsp:rsid wsp:val=&quot;00692B41&quot;/&gt;&lt;wsp:rsid wsp:val=&quot;00692B72&quot;/&gt;&lt;wsp:rsid wsp:val=&quot;00692C56&quot;/&gt;&lt;wsp:rsid wsp:val=&quot;00692DA5&quot;/&gt;&lt;wsp:rsid wsp:val=&quot;00693428&quot;/&gt;&lt;wsp:rsid wsp:val=&quot;0069391E&quot;/&gt;&lt;wsp:rsid wsp:val=&quot;00693D87&quot;/&gt;&lt;wsp:rsid wsp:val=&quot;0069411F&quot;/&gt;&lt;wsp:rsid wsp:val=&quot;006945C8&quot;/&gt;&lt;wsp:rsid wsp:val=&quot;006949DD&quot;/&gt;&lt;wsp:rsid wsp:val=&quot;00694AE0&quot;/&gt;&lt;wsp:rsid wsp:val=&quot;00694F3A&quot;/&gt;&lt;wsp:rsid wsp:val=&quot;0069520E&quot;/&gt;&lt;wsp:rsid wsp:val=&quot;00695742&quot;/&gt;&lt;wsp:rsid wsp:val=&quot;006957B6&quot;/&gt;&lt;wsp:rsid wsp:val=&quot;00695A62&quot;/&gt;&lt;wsp:rsid wsp:val=&quot;006961EB&quot;/&gt;&lt;wsp:rsid wsp:val=&quot;00696553&quot;/&gt;&lt;wsp:rsid wsp:val=&quot;0069679A&quot;/&gt;&lt;wsp:rsid wsp:val=&quot;00696DC0&quot;/&gt;&lt;wsp:rsid wsp:val=&quot;00697082&quot;/&gt;&lt;wsp:rsid wsp:val=&quot;0069784D&quot;/&gt;&lt;wsp:rsid wsp:val=&quot;006978F3&quot;/&gt;&lt;wsp:rsid wsp:val=&quot;006979AD&quot;/&gt;&lt;wsp:rsid wsp:val=&quot;00697C58&quot;/&gt;&lt;wsp:rsid wsp:val=&quot;006A09DE&quot;/&gt;&lt;wsp:rsid wsp:val=&quot;006A0A62&quot;/&gt;&lt;wsp:rsid wsp:val=&quot;006A1258&quot;/&gt;&lt;wsp:rsid wsp:val=&quot;006A1361&quot;/&gt;&lt;wsp:rsid wsp:val=&quot;006A1B09&quot;/&gt;&lt;wsp:rsid wsp:val=&quot;006A1BBC&quot;/&gt;&lt;wsp:rsid wsp:val=&quot;006A1FAA&quot;/&gt;&lt;wsp:rsid wsp:val=&quot;006A21E6&quot;/&gt;&lt;wsp:rsid wsp:val=&quot;006A2725&quot;/&gt;&lt;wsp:rsid wsp:val=&quot;006A2938&quot;/&gt;&lt;wsp:rsid wsp:val=&quot;006A29BE&quot;/&gt;&lt;wsp:rsid wsp:val=&quot;006A29E0&quot;/&gt;&lt;wsp:rsid wsp:val=&quot;006A2C99&quot;/&gt;&lt;wsp:rsid wsp:val=&quot;006A2D0F&quot;/&gt;&lt;wsp:rsid wsp:val=&quot;006A2D27&quot;/&gt;&lt;wsp:rsid wsp:val=&quot;006A2FF4&quot;/&gt;&lt;wsp:rsid wsp:val=&quot;006A3164&quot;/&gt;&lt;wsp:rsid wsp:val=&quot;006A34D7&quot;/&gt;&lt;wsp:rsid wsp:val=&quot;006A3560&quot;/&gt;&lt;wsp:rsid wsp:val=&quot;006A4A6A&quot;/&gt;&lt;wsp:rsid wsp:val=&quot;006A4C87&quot;/&gt;&lt;wsp:rsid wsp:val=&quot;006A5395&quot;/&gt;&lt;wsp:rsid wsp:val=&quot;006A5B1C&quot;/&gt;&lt;wsp:rsid wsp:val=&quot;006A5CFA&quot;/&gt;&lt;wsp:rsid wsp:val=&quot;006A6AA4&quot;/&gt;&lt;wsp:rsid wsp:val=&quot;006A6B6F&quot;/&gt;&lt;wsp:rsid wsp:val=&quot;006A6B8B&quot;/&gt;&lt;wsp:rsid wsp:val=&quot;006A6E99&quot;/&gt;&lt;wsp:rsid wsp:val=&quot;006A76ED&quot;/&gt;&lt;wsp:rsid wsp:val=&quot;006A777F&quot;/&gt;&lt;wsp:rsid wsp:val=&quot;006A79DA&quot;/&gt;&lt;wsp:rsid wsp:val=&quot;006B0312&quot;/&gt;&lt;wsp:rsid wsp:val=&quot;006B071C&quot;/&gt;&lt;wsp:rsid wsp:val=&quot;006B08A3&quot;/&gt;&lt;wsp:rsid wsp:val=&quot;006B08CD&quot;/&gt;&lt;wsp:rsid wsp:val=&quot;006B0BFB&quot;/&gt;&lt;wsp:rsid wsp:val=&quot;006B0FDE&quot;/&gt;&lt;wsp:rsid wsp:val=&quot;006B1196&quot;/&gt;&lt;wsp:rsid wsp:val=&quot;006B1229&quot;/&gt;&lt;wsp:rsid wsp:val=&quot;006B149C&quot;/&gt;&lt;wsp:rsid wsp:val=&quot;006B169E&quot;/&gt;&lt;wsp:rsid wsp:val=&quot;006B186C&quot;/&gt;&lt;wsp:rsid wsp:val=&quot;006B1A90&quot;/&gt;&lt;wsp:rsid wsp:val=&quot;006B2A69&quot;/&gt;&lt;wsp:rsid wsp:val=&quot;006B35C9&quot;/&gt;&lt;wsp:rsid wsp:val=&quot;006B41E6&quot;/&gt;&lt;wsp:rsid wsp:val=&quot;006B430E&quot;/&gt;&lt;wsp:rsid wsp:val=&quot;006B4457&quot;/&gt;&lt;wsp:rsid wsp:val=&quot;006B4AEC&quot;/&gt;&lt;wsp:rsid wsp:val=&quot;006B5047&quot;/&gt;&lt;wsp:rsid wsp:val=&quot;006B5451&quot;/&gt;&lt;wsp:rsid wsp:val=&quot;006B56C5&quot;/&gt;&lt;wsp:rsid wsp:val=&quot;006B591E&quot;/&gt;&lt;wsp:rsid wsp:val=&quot;006B5B30&quot;/&gt;&lt;wsp:rsid wsp:val=&quot;006B5F3A&quot;/&gt;&lt;wsp:rsid wsp:val=&quot;006B60DE&quot;/&gt;&lt;wsp:rsid wsp:val=&quot;006B656F&quot;/&gt;&lt;wsp:rsid wsp:val=&quot;006B6B9C&quot;/&gt;&lt;wsp:rsid wsp:val=&quot;006B6F13&quot;/&gt;&lt;wsp:rsid wsp:val=&quot;006B716B&quot;/&gt;&lt;wsp:rsid wsp:val=&quot;006B727D&quot;/&gt;&lt;wsp:rsid wsp:val=&quot;006B73BF&quot;/&gt;&lt;wsp:rsid wsp:val=&quot;006B7AE9&quot;/&gt;&lt;wsp:rsid wsp:val=&quot;006B7DB5&quot;/&gt;&lt;wsp:rsid wsp:val=&quot;006C0021&quot;/&gt;&lt;wsp:rsid wsp:val=&quot;006C0030&quot;/&gt;&lt;wsp:rsid wsp:val=&quot;006C04E9&quot;/&gt;&lt;wsp:rsid wsp:val=&quot;006C0770&quot;/&gt;&lt;wsp:rsid wsp:val=&quot;006C09BC&quot;/&gt;&lt;wsp:rsid wsp:val=&quot;006C0D78&quot;/&gt;&lt;wsp:rsid wsp:val=&quot;006C131A&quot;/&gt;&lt;wsp:rsid wsp:val=&quot;006C1696&quot;/&gt;&lt;wsp:rsid wsp:val=&quot;006C1B7D&quot;/&gt;&lt;wsp:rsid wsp:val=&quot;006C1FE3&quot;/&gt;&lt;wsp:rsid wsp:val=&quot;006C2084&quot;/&gt;&lt;wsp:rsid wsp:val=&quot;006C2334&quot;/&gt;&lt;wsp:rsid wsp:val=&quot;006C289A&quot;/&gt;&lt;wsp:rsid wsp:val=&quot;006C2D49&quot;/&gt;&lt;wsp:rsid wsp:val=&quot;006C2F1C&quot;/&gt;&lt;wsp:rsid wsp:val=&quot;006C2F91&quot;/&gt;&lt;wsp:rsid wsp:val=&quot;006C2FA1&quot;/&gt;&lt;wsp:rsid wsp:val=&quot;006C32AB&quot;/&gt;&lt;wsp:rsid wsp:val=&quot;006C3349&quot;/&gt;&lt;wsp:rsid wsp:val=&quot;006C33A5&quot;/&gt;&lt;wsp:rsid wsp:val=&quot;006C36D1&quot;/&gt;&lt;wsp:rsid wsp:val=&quot;006C3A9F&quot;/&gt;&lt;wsp:rsid wsp:val=&quot;006C3AE5&quot;/&gt;&lt;wsp:rsid wsp:val=&quot;006C3E1F&quot;/&gt;&lt;wsp:rsid wsp:val=&quot;006C3FAC&quot;/&gt;&lt;wsp:rsid wsp:val=&quot;006C41A5&quot;/&gt;&lt;wsp:rsid wsp:val=&quot;006C47BA&quot;/&gt;&lt;wsp:rsid wsp:val=&quot;006C4D82&quot;/&gt;&lt;wsp:rsid wsp:val=&quot;006C53E1&quot;/&gt;&lt;wsp:rsid wsp:val=&quot;006C5741&quot;/&gt;&lt;wsp:rsid wsp:val=&quot;006C5AB9&quot;/&gt;&lt;wsp:rsid wsp:val=&quot;006C5BC7&quot;/&gt;&lt;wsp:rsid wsp:val=&quot;006C603E&quot;/&gt;&lt;wsp:rsid wsp:val=&quot;006C617C&quot;/&gt;&lt;wsp:rsid wsp:val=&quot;006C61DF&quot;/&gt;&lt;wsp:rsid wsp:val=&quot;006C6804&quot;/&gt;&lt;wsp:rsid wsp:val=&quot;006C6925&quot;/&gt;&lt;wsp:rsid wsp:val=&quot;006C7152&quot;/&gt;&lt;wsp:rsid wsp:val=&quot;006C7D2A&quot;/&gt;&lt;wsp:rsid wsp:val=&quot;006C7D59&quot;/&gt;&lt;wsp:rsid wsp:val=&quot;006C7D8D&quot;/&gt;&lt;wsp:rsid wsp:val=&quot;006C7F1C&quot;/&gt;&lt;wsp:rsid wsp:val=&quot;006D049A&quot;/&gt;&lt;wsp:rsid wsp:val=&quot;006D0784&quot;/&gt;&lt;wsp:rsid wsp:val=&quot;006D0975&quot;/&gt;&lt;wsp:rsid wsp:val=&quot;006D0BC5&quot;/&gt;&lt;wsp:rsid wsp:val=&quot;006D12BD&quot;/&gt;&lt;wsp:rsid wsp:val=&quot;006D1968&quot;/&gt;&lt;wsp:rsid wsp:val=&quot;006D1A85&quot;/&gt;&lt;wsp:rsid wsp:val=&quot;006D234A&quot;/&gt;&lt;wsp:rsid wsp:val=&quot;006D2600&quot;/&gt;&lt;wsp:rsid wsp:val=&quot;006D2624&quot;/&gt;&lt;wsp:rsid wsp:val=&quot;006D26C2&quot;/&gt;&lt;wsp:rsid wsp:val=&quot;006D2C38&quot;/&gt;&lt;wsp:rsid wsp:val=&quot;006D2D75&quot;/&gt;&lt;wsp:rsid wsp:val=&quot;006D2DC6&quot;/&gt;&lt;wsp:rsid wsp:val=&quot;006D33B1&quot;/&gt;&lt;wsp:rsid wsp:val=&quot;006D3816&quot;/&gt;&lt;wsp:rsid wsp:val=&quot;006D38AB&quot;/&gt;&lt;wsp:rsid wsp:val=&quot;006D3BEA&quot;/&gt;&lt;wsp:rsid wsp:val=&quot;006D3DA5&quot;/&gt;&lt;wsp:rsid wsp:val=&quot;006D4178&quot;/&gt;&lt;wsp:rsid wsp:val=&quot;006D41E1&quot;/&gt;&lt;wsp:rsid wsp:val=&quot;006D4307&quot;/&gt;&lt;wsp:rsid wsp:val=&quot;006D4623&quot;/&gt;&lt;wsp:rsid wsp:val=&quot;006D46E2&quot;/&gt;&lt;wsp:rsid wsp:val=&quot;006D53FB&quot;/&gt;&lt;wsp:rsid wsp:val=&quot;006D54E4&quot;/&gt;&lt;wsp:rsid wsp:val=&quot;006D55ED&quot;/&gt;&lt;wsp:rsid wsp:val=&quot;006D5D8E&quot;/&gt;&lt;wsp:rsid wsp:val=&quot;006D5FEF&quot;/&gt;&lt;wsp:rsid wsp:val=&quot;006D6608&quot;/&gt;&lt;wsp:rsid wsp:val=&quot;006D67D8&quot;/&gt;&lt;wsp:rsid wsp:val=&quot;006D6B23&quot;/&gt;&lt;wsp:rsid wsp:val=&quot;006D6CAF&quot;/&gt;&lt;wsp:rsid wsp:val=&quot;006D756D&quot;/&gt;&lt;wsp:rsid wsp:val=&quot;006D7615&quot;/&gt;&lt;wsp:rsid wsp:val=&quot;006D7DA3&quot;/&gt;&lt;wsp:rsid wsp:val=&quot;006E1102&quot;/&gt;&lt;wsp:rsid wsp:val=&quot;006E1418&quot;/&gt;&lt;wsp:rsid wsp:val=&quot;006E1479&quot;/&gt;&lt;wsp:rsid wsp:val=&quot;006E158C&quot;/&gt;&lt;wsp:rsid wsp:val=&quot;006E1C1E&quot;/&gt;&lt;wsp:rsid wsp:val=&quot;006E1CAA&quot;/&gt;&lt;wsp:rsid wsp:val=&quot;006E2642&quot;/&gt;&lt;wsp:rsid wsp:val=&quot;006E30C1&quot;/&gt;&lt;wsp:rsid wsp:val=&quot;006E386A&quot;/&gt;&lt;wsp:rsid wsp:val=&quot;006E3CC9&quot;/&gt;&lt;wsp:rsid wsp:val=&quot;006E4237&quot;/&gt;&lt;wsp:rsid wsp:val=&quot;006E43F0&quot;/&gt;&lt;wsp:rsid wsp:val=&quot;006E53F0&quot;/&gt;&lt;wsp:rsid wsp:val=&quot;006E5415&quot;/&gt;&lt;wsp:rsid wsp:val=&quot;006E5992&quot;/&gt;&lt;wsp:rsid wsp:val=&quot;006E5ABF&quot;/&gt;&lt;wsp:rsid wsp:val=&quot;006E6461&quot;/&gt;&lt;wsp:rsid wsp:val=&quot;006E64CA&quot;/&gt;&lt;wsp:rsid wsp:val=&quot;006E6BF9&quot;/&gt;&lt;wsp:rsid wsp:val=&quot;006E6E96&quot;/&gt;&lt;wsp:rsid wsp:val=&quot;006E75A7&quot;/&gt;&lt;wsp:rsid wsp:val=&quot;006E777E&quot;/&gt;&lt;wsp:rsid wsp:val=&quot;006E797F&quot;/&gt;&lt;wsp:rsid wsp:val=&quot;006F000C&quot;/&gt;&lt;wsp:rsid wsp:val=&quot;006F0164&quot;/&gt;&lt;wsp:rsid wsp:val=&quot;006F0B72&quot;/&gt;&lt;wsp:rsid wsp:val=&quot;006F0D0D&quot;/&gt;&lt;wsp:rsid wsp:val=&quot;006F11B0&quot;/&gt;&lt;wsp:rsid wsp:val=&quot;006F1242&quot;/&gt;&lt;wsp:rsid wsp:val=&quot;006F127D&quot;/&gt;&lt;wsp:rsid wsp:val=&quot;006F1749&quot;/&gt;&lt;wsp:rsid wsp:val=&quot;006F1A7E&quot;/&gt;&lt;wsp:rsid wsp:val=&quot;006F2191&quot;/&gt;&lt;wsp:rsid wsp:val=&quot;006F269D&quot;/&gt;&lt;wsp:rsid wsp:val=&quot;006F26A8&quot;/&gt;&lt;wsp:rsid wsp:val=&quot;006F2855&quot;/&gt;&lt;wsp:rsid wsp:val=&quot;006F2920&quot;/&gt;&lt;wsp:rsid wsp:val=&quot;006F300C&quot;/&gt;&lt;wsp:rsid wsp:val=&quot;006F351E&quot;/&gt;&lt;wsp:rsid wsp:val=&quot;006F388D&quot;/&gt;&lt;wsp:rsid wsp:val=&quot;006F3A12&quot;/&gt;&lt;wsp:rsid wsp:val=&quot;006F4226&quot;/&gt;&lt;wsp:rsid wsp:val=&quot;006F47CF&quot;/&gt;&lt;wsp:rsid wsp:val=&quot;006F4F37&quot;/&gt;&lt;wsp:rsid wsp:val=&quot;006F5352&quot;/&gt;&lt;wsp:rsid wsp:val=&quot;006F5358&quot;/&gt;&lt;wsp:rsid wsp:val=&quot;006F54AF&quot;/&gt;&lt;wsp:rsid wsp:val=&quot;006F557E&quot;/&gt;&lt;wsp:rsid wsp:val=&quot;006F575D&quot;/&gt;&lt;wsp:rsid wsp:val=&quot;006F57D0&quot;/&gt;&lt;wsp:rsid wsp:val=&quot;006F6207&quot;/&gt;&lt;wsp:rsid wsp:val=&quot;006F62C6&quot;/&gt;&lt;wsp:rsid wsp:val=&quot;006F6526&quot;/&gt;&lt;wsp:rsid wsp:val=&quot;006F7267&quot;/&gt;&lt;wsp:rsid wsp:val=&quot;006F75C9&quot;/&gt;&lt;wsp:rsid wsp:val=&quot;006F76FF&quot;/&gt;&lt;wsp:rsid wsp:val=&quot;007002F4&quot;/&gt;&lt;wsp:rsid wsp:val=&quot;00700340&quot;/&gt;&lt;wsp:rsid wsp:val=&quot;007003EE&quot;/&gt;&lt;wsp:rsid wsp:val=&quot;0070057D&quot;/&gt;&lt;wsp:rsid wsp:val=&quot;00700620&quot;/&gt;&lt;wsp:rsid wsp:val=&quot;007008FE&quot;/&gt;&lt;wsp:rsid wsp:val=&quot;007009E2&quot;/&gt;&lt;wsp:rsid wsp:val=&quot;00700E7B&quot;/&gt;&lt;wsp:rsid wsp:val=&quot;00700FBF&quot;/&gt;&lt;wsp:rsid wsp:val=&quot;007015B7&quot;/&gt;&lt;wsp:rsid wsp:val=&quot;00701906&quot;/&gt;&lt;wsp:rsid wsp:val=&quot;00701A65&quot;/&gt;&lt;wsp:rsid wsp:val=&quot;00701C64&quot;/&gt;&lt;wsp:rsid wsp:val=&quot;0070224D&quot;/&gt;&lt;wsp:rsid wsp:val=&quot;007026B9&quot;/&gt;&lt;wsp:rsid wsp:val=&quot;007032AB&quot;/&gt;&lt;wsp:rsid wsp:val=&quot;00703460&quot;/&gt;&lt;wsp:rsid wsp:val=&quot;00703563&quot;/&gt;&lt;wsp:rsid wsp:val=&quot;007035D4&quot;/&gt;&lt;wsp:rsid wsp:val=&quot;007036B0&quot;/&gt;&lt;wsp:rsid wsp:val=&quot;00703B34&quot;/&gt;&lt;wsp:rsid wsp:val=&quot;00703EE2&quot;/&gt;&lt;wsp:rsid wsp:val=&quot;0070423B&quot;/&gt;&lt;wsp:rsid wsp:val=&quot;007046F3&quot;/&gt;&lt;wsp:rsid wsp:val=&quot;00704DA3&quot;/&gt;&lt;wsp:rsid wsp:val=&quot;00704E33&quot;/&gt;&lt;wsp:rsid wsp:val=&quot;0070569E&quot;/&gt;&lt;wsp:rsid wsp:val=&quot;007057B4&quot;/&gt;&lt;wsp:rsid wsp:val=&quot;00705B2B&quot;/&gt;&lt;wsp:rsid wsp:val=&quot;00705E63&quot;/&gt;&lt;wsp:rsid wsp:val=&quot;00705FF0&quot;/&gt;&lt;wsp:rsid wsp:val=&quot;00706DDA&quot;/&gt;&lt;wsp:rsid wsp:val=&quot;00706FFC&quot;/&gt;&lt;wsp:rsid wsp:val=&quot;007070B4&quot;/&gt;&lt;wsp:rsid wsp:val=&quot;0070743D&quot;/&gt;&lt;wsp:rsid wsp:val=&quot;00707447&quot;/&gt;&lt;wsp:rsid wsp:val=&quot;00710267&quot;/&gt;&lt;wsp:rsid wsp:val=&quot;00710960&quot;/&gt;&lt;wsp:rsid wsp:val=&quot;00710B50&quot;/&gt;&lt;wsp:rsid wsp:val=&quot;00710CD9&quot;/&gt;&lt;wsp:rsid wsp:val=&quot;00711DB7&quot;/&gt;&lt;wsp:rsid wsp:val=&quot;00711ED3&quot;/&gt;&lt;wsp:rsid wsp:val=&quot;00711F0C&quot;/&gt;&lt;wsp:rsid wsp:val=&quot;007120F7&quot;/&gt;&lt;wsp:rsid wsp:val=&quot;00712140&quot;/&gt;&lt;wsp:rsid wsp:val=&quot;0071220F&quot;/&gt;&lt;wsp:rsid wsp:val=&quot;0071298C&quot;/&gt;&lt;wsp:rsid wsp:val=&quot;007129DA&quot;/&gt;&lt;wsp:rsid wsp:val=&quot;00713696&quot;/&gt;&lt;wsp:rsid wsp:val=&quot;00713F80&quot;/&gt;&lt;wsp:rsid wsp:val=&quot;00713FE7&quot;/&gt;&lt;wsp:rsid wsp:val=&quot;007141C7&quot;/&gt;&lt;wsp:rsid wsp:val=&quot;00714365&quot;/&gt;&lt;wsp:rsid wsp:val=&quot;0071464E&quot;/&gt;&lt;wsp:rsid wsp:val=&quot;00714B35&quot;/&gt;&lt;wsp:rsid wsp:val=&quot;00714C87&quot;/&gt;&lt;wsp:rsid wsp:val=&quot;00714CC7&quot;/&gt;&lt;wsp:rsid wsp:val=&quot;00715407&quot;/&gt;&lt;wsp:rsid wsp:val=&quot;007156C6&quot;/&gt;&lt;wsp:rsid wsp:val=&quot;00715C64&quot;/&gt;&lt;wsp:rsid wsp:val=&quot;0071628B&quot;/&gt;&lt;wsp:rsid wsp:val=&quot;007166FF&quot;/&gt;&lt;wsp:rsid wsp:val=&quot;00716AAC&quot;/&gt;&lt;wsp:rsid wsp:val=&quot;00716C8C&quot;/&gt;&lt;wsp:rsid wsp:val=&quot;00716FB8&quot;/&gt;&lt;wsp:rsid wsp:val=&quot;007170AA&quot;/&gt;&lt;wsp:rsid wsp:val=&quot;00717890&quot;/&gt;&lt;wsp:rsid wsp:val=&quot;00717D9D&quot;/&gt;&lt;wsp:rsid wsp:val=&quot;00717EBD&quot;/&gt;&lt;wsp:rsid wsp:val=&quot;0072007F&quot;/&gt;&lt;wsp:rsid wsp:val=&quot;00720B98&quot;/&gt;&lt;wsp:rsid wsp:val=&quot;00720CF7&quot;/&gt;&lt;wsp:rsid wsp:val=&quot;00720E29&quot;/&gt;&lt;wsp:rsid wsp:val=&quot;00720FFB&quot;/&gt;&lt;wsp:rsid wsp:val=&quot;00721316&quot;/&gt;&lt;wsp:rsid wsp:val=&quot;007215E6&quot;/&gt;&lt;wsp:rsid wsp:val=&quot;00721838&quot;/&gt;&lt;wsp:rsid wsp:val=&quot;007219BD&quot;/&gt;&lt;wsp:rsid wsp:val=&quot;00722943&quot;/&gt;&lt;wsp:rsid wsp:val=&quot;00722A9B&quot;/&gt;&lt;wsp:rsid wsp:val=&quot;00722DA2&quot;/&gt;&lt;wsp:rsid wsp:val=&quot;007237FC&quot;/&gt;&lt;wsp:rsid wsp:val=&quot;007239E5&quot;/&gt;&lt;wsp:rsid wsp:val=&quot;00723F65&quot;/&gt;&lt;wsp:rsid wsp:val=&quot;007242E3&quot;/&gt;&lt;wsp:rsid wsp:val=&quot;00724492&quot;/&gt;&lt;wsp:rsid wsp:val=&quot;00724C67&quot;/&gt;&lt;wsp:rsid wsp:val=&quot;00724C99&quot;/&gt;&lt;wsp:rsid wsp:val=&quot;00724D89&quot;/&gt;&lt;wsp:rsid wsp:val=&quot;007253AC&quot;/&gt;&lt;wsp:rsid wsp:val=&quot;007258E3&quot;/&gt;&lt;wsp:rsid wsp:val=&quot;00725C9E&quot;/&gt;&lt;wsp:rsid wsp:val=&quot;00725E3A&quot;/&gt;&lt;wsp:rsid wsp:val=&quot;00725F19&quot;/&gt;&lt;wsp:rsid wsp:val=&quot;007266AD&quot;/&gt;&lt;wsp:rsid wsp:val=&quot;00726C07&quot;/&gt;&lt;wsp:rsid wsp:val=&quot;00727109&quot;/&gt;&lt;wsp:rsid wsp:val=&quot;00727B4B&quot;/&gt;&lt;wsp:rsid wsp:val=&quot;00727DD0&quot;/&gt;&lt;wsp:rsid wsp:val=&quot;00727E4E&quot;/&gt;&lt;wsp:rsid wsp:val=&quot;0073013A&quot;/&gt;&lt;wsp:rsid wsp:val=&quot;00730AC2&quot;/&gt;&lt;wsp:rsid wsp:val=&quot;00730D04&quot;/&gt;&lt;wsp:rsid wsp:val=&quot;00731275&quot;/&gt;&lt;wsp:rsid wsp:val=&quot;0073150D&quot;/&gt;&lt;wsp:rsid wsp:val=&quot;007315F4&quot;/&gt;&lt;wsp:rsid wsp:val=&quot;0073251D&quot;/&gt;&lt;wsp:rsid wsp:val=&quot;00732641&quot;/&gt;&lt;wsp:rsid wsp:val=&quot;00733248&quot;/&gt;&lt;wsp:rsid wsp:val=&quot;007348A8&quot;/&gt;&lt;wsp:rsid wsp:val=&quot;0073516D&quot;/&gt;&lt;wsp:rsid wsp:val=&quot;007355FE&quot;/&gt;&lt;wsp:rsid wsp:val=&quot;007359A5&quot;/&gt;&lt;wsp:rsid wsp:val=&quot;00735B51&quot;/&gt;&lt;wsp:rsid wsp:val=&quot;00735E11&quot;/&gt;&lt;wsp:rsid wsp:val=&quot;00736CBF&quot;/&gt;&lt;wsp:rsid wsp:val=&quot;007372D0&quot;/&gt;&lt;wsp:rsid wsp:val=&quot;007374C9&quot;/&gt;&lt;wsp:rsid wsp:val=&quot;007374E8&quot;/&gt;&lt;wsp:rsid wsp:val=&quot;0073758C&quot;/&gt;&lt;wsp:rsid wsp:val=&quot;00737651&quot;/&gt;&lt;wsp:rsid wsp:val=&quot;00737671&quot;/&gt;&lt;wsp:rsid wsp:val=&quot;00737773&quot;/&gt;&lt;wsp:rsid wsp:val=&quot;00737F6F&quot;/&gt;&lt;wsp:rsid wsp:val=&quot;0074047E&quot;/&gt;&lt;wsp:rsid wsp:val=&quot;0074076C&quot;/&gt;&lt;wsp:rsid wsp:val=&quot;0074097B&quot;/&gt;&lt;wsp:rsid wsp:val=&quot;007416E8&quot;/&gt;&lt;wsp:rsid wsp:val=&quot;00741953&quot;/&gt;&lt;wsp:rsid wsp:val=&quot;007424B6&quot;/&gt;&lt;wsp:rsid wsp:val=&quot;0074293E&quot;/&gt;&lt;wsp:rsid wsp:val=&quot;00742ADA&quot;/&gt;&lt;wsp:rsid wsp:val=&quot;00742FC7&quot;/&gt;&lt;wsp:rsid wsp:val=&quot;007443B2&quot;/&gt;&lt;wsp:rsid wsp:val=&quot;00744696&quot;/&gt;&lt;wsp:rsid wsp:val=&quot;007446EA&quot;/&gt;&lt;wsp:rsid wsp:val=&quot;0074503F&quot;/&gt;&lt;wsp:rsid wsp:val=&quot;00745041&quot;/&gt;&lt;wsp:rsid wsp:val=&quot;00745719&quot;/&gt;&lt;wsp:rsid wsp:val=&quot;007459E5&quot;/&gt;&lt;wsp:rsid wsp:val=&quot;00745AE5&quot;/&gt;&lt;wsp:rsid wsp:val=&quot;00745CCE&quot;/&gt;&lt;wsp:rsid wsp:val=&quot;00746574&quot;/&gt;&lt;wsp:rsid wsp:val=&quot;00746F69&quot;/&gt;&lt;wsp:rsid wsp:val=&quot;0074732D&quot;/&gt;&lt;wsp:rsid wsp:val=&quot;00747566&quot;/&gt;&lt;wsp:rsid wsp:val=&quot;0074780C&quot;/&gt;&lt;wsp:rsid wsp:val=&quot;00747910&quot;/&gt;&lt;wsp:rsid wsp:val=&quot;00747AC0&quot;/&gt;&lt;wsp:rsid wsp:val=&quot;00747F25&quot;/&gt;&lt;wsp:rsid wsp:val=&quot;00750335&quot;/&gt;&lt;wsp:rsid wsp:val=&quot;007503C6&quot;/&gt;&lt;wsp:rsid wsp:val=&quot;007509E0&quot;/&gt;&lt;wsp:rsid wsp:val=&quot;00751016&quot;/&gt;&lt;wsp:rsid wsp:val=&quot;007510B1&quot;/&gt;&lt;wsp:rsid wsp:val=&quot;0075149A&quot;/&gt;&lt;wsp:rsid wsp:val=&quot;00751A17&quot;/&gt;&lt;wsp:rsid wsp:val=&quot;00751DF6&quot;/&gt;&lt;wsp:rsid wsp:val=&quot;0075230F&quot;/&gt;&lt;wsp:rsid wsp:val=&quot;0075261B&quot;/&gt;&lt;wsp:rsid wsp:val=&quot;00753233&quot;/&gt;&lt;wsp:rsid wsp:val=&quot;007535BA&quot;/&gt;&lt;wsp:rsid wsp:val=&quot;00753B78&quot;/&gt;&lt;wsp:rsid wsp:val=&quot;00754014&quot;/&gt;&lt;wsp:rsid wsp:val=&quot;007542E0&quot;/&gt;&lt;wsp:rsid wsp:val=&quot;007547AB&quot;/&gt;&lt;wsp:rsid wsp:val=&quot;007548EA&quot;/&gt;&lt;wsp:rsid wsp:val=&quot;00754F31&quot;/&gt;&lt;wsp:rsid wsp:val=&quot;00755248&quot;/&gt;&lt;wsp:rsid wsp:val=&quot;00755480&quot;/&gt;&lt;wsp:rsid wsp:val=&quot;00755892&quot;/&gt;&lt;wsp:rsid wsp:val=&quot;00755901&quot;/&gt;&lt;wsp:rsid wsp:val=&quot;00756164&quot;/&gt;&lt;wsp:rsid wsp:val=&quot;00756541&quot;/&gt;&lt;wsp:rsid wsp:val=&quot;0075732A&quot;/&gt;&lt;wsp:rsid wsp:val=&quot;007576F7&quot;/&gt;&lt;wsp:rsid wsp:val=&quot;0075772E&quot;/&gt;&lt;wsp:rsid wsp:val=&quot;007577B9&quot;/&gt;&lt;wsp:rsid wsp:val=&quot;00757ECF&quot;/&gt;&lt;wsp:rsid wsp:val=&quot;007605BF&quot;/&gt;&lt;wsp:rsid wsp:val=&quot;00760A42&quot;/&gt;&lt;wsp:rsid wsp:val=&quot;00760B69&quot;/&gt;&lt;wsp:rsid wsp:val=&quot;00762076&quot;/&gt;&lt;wsp:rsid wsp:val=&quot;0076216C&quot;/&gt;&lt;wsp:rsid wsp:val=&quot;0076299F&quot;/&gt;&lt;wsp:rsid wsp:val=&quot;00762B7D&quot;/&gt;&lt;wsp:rsid wsp:val=&quot;00762DBA&quot;/&gt;&lt;wsp:rsid wsp:val=&quot;00762E9B&quot;/&gt;&lt;wsp:rsid wsp:val=&quot;00762F93&quot;/&gt;&lt;wsp:rsid wsp:val=&quot;00763AE0&quot;/&gt;&lt;wsp:rsid wsp:val=&quot;00763AEE&quot;/&gt;&lt;wsp:rsid wsp:val=&quot;00764541&quot;/&gt;&lt;wsp:rsid wsp:val=&quot;00764629&quot;/&gt;&lt;wsp:rsid wsp:val=&quot;007646EF&quot;/&gt;&lt;wsp:rsid wsp:val=&quot;0076495D&quot;/&gt;&lt;wsp:rsid wsp:val=&quot;00764C1E&quot;/&gt;&lt;wsp:rsid wsp:val=&quot;00764CBB&quot;/&gt;&lt;wsp:rsid wsp:val=&quot;00764F9E&quot;/&gt;&lt;wsp:rsid wsp:val=&quot;0076505A&quot;/&gt;&lt;wsp:rsid wsp:val=&quot;0076592B&quot;/&gt;&lt;wsp:rsid wsp:val=&quot;00765C17&quot;/&gt;&lt;wsp:rsid wsp:val=&quot;00765CF9&quot;/&gt;&lt;wsp:rsid wsp:val=&quot;00765FD7&quot;/&gt;&lt;wsp:rsid wsp:val=&quot;00766504&quot;/&gt;&lt;wsp:rsid wsp:val=&quot;00766A32&quot;/&gt;&lt;wsp:rsid wsp:val=&quot;00766CE7&quot;/&gt;&lt;wsp:rsid wsp:val=&quot;00767256&quot;/&gt;&lt;wsp:rsid wsp:val=&quot;00767A58&quot;/&gt;&lt;wsp:rsid wsp:val=&quot;00770198&quot;/&gt;&lt;wsp:rsid wsp:val=&quot;00770326&quot;/&gt;&lt;wsp:rsid wsp:val=&quot;007705F7&quot;/&gt;&lt;wsp:rsid wsp:val=&quot;007709E3&quot;/&gt;&lt;wsp:rsid wsp:val=&quot;00770A08&quot;/&gt;&lt;wsp:rsid wsp:val=&quot;00770A29&quot;/&gt;&lt;wsp:rsid wsp:val=&quot;00770ABA&quot;/&gt;&lt;wsp:rsid wsp:val=&quot;00770B9F&quot;/&gt;&lt;wsp:rsid wsp:val=&quot;007712B2&quot;/&gt;&lt;wsp:rsid wsp:val=&quot;00771431&quot;/&gt;&lt;wsp:rsid wsp:val=&quot;00771877&quot;/&gt;&lt;wsp:rsid wsp:val=&quot;00771A1F&quot;/&gt;&lt;wsp:rsid wsp:val=&quot;00771A7A&quot;/&gt;&lt;wsp:rsid wsp:val=&quot;00773111&quot;/&gt;&lt;wsp:rsid wsp:val=&quot;00773219&quot;/&gt;&lt;wsp:rsid wsp:val=&quot;0077350E&quot;/&gt;&lt;wsp:rsid wsp:val=&quot;00773851&quot;/&gt;&lt;wsp:rsid wsp:val=&quot;007738DB&quot;/&gt;&lt;wsp:rsid wsp:val=&quot;00773BBF&quot;/&gt;&lt;wsp:rsid wsp:val=&quot;00773EB7&quot;/&gt;&lt;wsp:rsid wsp:val=&quot;00773F2C&quot;/&gt;&lt;wsp:rsid wsp:val=&quot;00774471&quot;/&gt;&lt;wsp:rsid wsp:val=&quot;0077497F&quot;/&gt;&lt;wsp:rsid wsp:val=&quot;00775616&quot;/&gt;&lt;wsp:rsid wsp:val=&quot;00775A93&quot;/&gt;&lt;wsp:rsid wsp:val=&quot;007763CC&quot;/&gt;&lt;wsp:rsid wsp:val=&quot;00776404&quot;/&gt;&lt;wsp:rsid wsp:val=&quot;00776407&quot;/&gt;&lt;wsp:rsid wsp:val=&quot;00776409&quot;/&gt;&lt;wsp:rsid wsp:val=&quot;00776E14&quot;/&gt;&lt;wsp:rsid wsp:val=&quot;007802FB&quot;/&gt;&lt;wsp:rsid wsp:val=&quot;007805EA&quot;/&gt;&lt;wsp:rsid wsp:val=&quot;00780726&quot;/&gt;&lt;wsp:rsid wsp:val=&quot;00780A8F&quot;/&gt;&lt;wsp:rsid wsp:val=&quot;00781370&quot;/&gt;&lt;wsp:rsid wsp:val=&quot;007814E8&quot;/&gt;&lt;wsp:rsid wsp:val=&quot;007815B3&quot;/&gt;&lt;wsp:rsid wsp:val=&quot;0078239D&quot;/&gt;&lt;wsp:rsid wsp:val=&quot;0078250A&quot;/&gt;&lt;wsp:rsid wsp:val=&quot;00782A94&quot;/&gt;&lt;wsp:rsid wsp:val=&quot;00782EAD&quot;/&gt;&lt;wsp:rsid wsp:val=&quot;0078316A&quot;/&gt;&lt;wsp:rsid wsp:val=&quot;00783693&quot;/&gt;&lt;wsp:rsid wsp:val=&quot;007836A4&quot;/&gt;&lt;wsp:rsid wsp:val=&quot;00783824&quot;/&gt;&lt;wsp:rsid wsp:val=&quot;00783AD9&quot;/&gt;&lt;wsp:rsid wsp:val=&quot;00783F96&quot;/&gt;&lt;wsp:rsid wsp:val=&quot;0078409F&quot;/&gt;&lt;wsp:rsid wsp:val=&quot;00784144&quot;/&gt;&lt;wsp:rsid wsp:val=&quot;00784361&quot;/&gt;&lt;wsp:rsid wsp:val=&quot;007843FC&quot;/&gt;&lt;wsp:rsid wsp:val=&quot;00784DBF&quot;/&gt;&lt;wsp:rsid wsp:val=&quot;00784ECA&quot;/&gt;&lt;wsp:rsid wsp:val=&quot;007854F0&quot;/&gt;&lt;wsp:rsid wsp:val=&quot;007856F0&quot;/&gt;&lt;wsp:rsid wsp:val=&quot;00785CD6&quot;/&gt;&lt;wsp:rsid wsp:val=&quot;00786CB3&quot;/&gt;&lt;wsp:rsid wsp:val=&quot;00787284&quot;/&gt;&lt;wsp:rsid wsp:val=&quot;00787299&quot;/&gt;&lt;wsp:rsid wsp:val=&quot;00787391&quot;/&gt;&lt;wsp:rsid wsp:val=&quot;00787588&quot;/&gt;&lt;wsp:rsid wsp:val=&quot;00787761&quot;/&gt;&lt;wsp:rsid wsp:val=&quot;00787AE8&quot;/&gt;&lt;wsp:rsid wsp:val=&quot;00787E70&quot;/&gt;&lt;wsp:rsid wsp:val=&quot;00787FFA&quot;/&gt;&lt;wsp:rsid wsp:val=&quot;007905C0&quot;/&gt;&lt;wsp:rsid wsp:val=&quot;007906E9&quot;/&gt;&lt;wsp:rsid wsp:val=&quot;0079074F&quot;/&gt;&lt;wsp:rsid wsp:val=&quot;0079098A&quot;/&gt;&lt;wsp:rsid wsp:val=&quot;0079196A&quot;/&gt;&lt;wsp:rsid wsp:val=&quot;00791A8E&quot;/&gt;&lt;wsp:rsid wsp:val=&quot;00791F0C&quot;/&gt;&lt;wsp:rsid wsp:val=&quot;007922BC&quot;/&gt;&lt;wsp:rsid wsp:val=&quot;00792948&quot;/&gt;&lt;wsp:rsid wsp:val=&quot;00793033&quot;/&gt;&lt;wsp:rsid wsp:val=&quot;00793603&quot;/&gt;&lt;wsp:rsid wsp:val=&quot;00793EAE&quot;/&gt;&lt;wsp:rsid wsp:val=&quot;00793F0E&quot;/&gt;&lt;wsp:rsid wsp:val=&quot;00793FFF&quot;/&gt;&lt;wsp:rsid wsp:val=&quot;00794205&quot;/&gt;&lt;wsp:rsid wsp:val=&quot;0079479C&quot;/&gt;&lt;wsp:rsid wsp:val=&quot;00794A0E&quot;/&gt;&lt;wsp:rsid wsp:val=&quot;00794A14&quot;/&gt;&lt;wsp:rsid wsp:val=&quot;00794D8C&quot;/&gt;&lt;wsp:rsid wsp:val=&quot;0079539C&quot;/&gt;&lt;wsp:rsid wsp:val=&quot;00795682&quot;/&gt;&lt;wsp:rsid wsp:val=&quot;00795BF3&quot;/&gt;&lt;wsp:rsid wsp:val=&quot;00795E74&quot;/&gt;&lt;wsp:rsid wsp:val=&quot;0079670E&quot;/&gt;&lt;wsp:rsid wsp:val=&quot;00796880&quot;/&gt;&lt;wsp:rsid wsp:val=&quot;007977DC&quot;/&gt;&lt;wsp:rsid wsp:val=&quot;00797931&quot;/&gt;&lt;wsp:rsid wsp:val=&quot;007A1746&quot;/&gt;&lt;wsp:rsid wsp:val=&quot;007A2966&quot;/&gt;&lt;wsp:rsid wsp:val=&quot;007A2A83&quot;/&gt;&lt;wsp:rsid wsp:val=&quot;007A2A98&quot;/&gt;&lt;wsp:rsid wsp:val=&quot;007A2D2C&quot;/&gt;&lt;wsp:rsid wsp:val=&quot;007A3735&quot;/&gt;&lt;wsp:rsid wsp:val=&quot;007A3910&quot;/&gt;&lt;wsp:rsid wsp:val=&quot;007A41BD&quot;/&gt;&lt;wsp:rsid wsp:val=&quot;007A4323&quot;/&gt;&lt;wsp:rsid wsp:val=&quot;007A5186&quot;/&gt;&lt;wsp:rsid wsp:val=&quot;007A5507&quot;/&gt;&lt;wsp:rsid wsp:val=&quot;007A55C9&quot;/&gt;&lt;wsp:rsid wsp:val=&quot;007A55DE&quot;/&gt;&lt;wsp:rsid wsp:val=&quot;007A5672&quot;/&gt;&lt;wsp:rsid wsp:val=&quot;007A577F&quot;/&gt;&lt;wsp:rsid wsp:val=&quot;007A5A46&quot;/&gt;&lt;wsp:rsid wsp:val=&quot;007A5DF6&quot;/&gt;&lt;wsp:rsid wsp:val=&quot;007A60BF&quot;/&gt;&lt;wsp:rsid wsp:val=&quot;007A617E&quot;/&gt;&lt;wsp:rsid wsp:val=&quot;007A6184&quot;/&gt;&lt;wsp:rsid wsp:val=&quot;007A61BA&quot;/&gt;&lt;wsp:rsid wsp:val=&quot;007A63F1&quot;/&gt;&lt;wsp:rsid wsp:val=&quot;007A6716&quot;/&gt;&lt;wsp:rsid wsp:val=&quot;007A689F&quot;/&gt;&lt;wsp:rsid wsp:val=&quot;007A6F9B&quot;/&gt;&lt;wsp:rsid wsp:val=&quot;007A6FC6&quot;/&gt;&lt;wsp:rsid wsp:val=&quot;007A77E2&quot;/&gt;&lt;wsp:rsid wsp:val=&quot;007A7BC3&quot;/&gt;&lt;wsp:rsid wsp:val=&quot;007B05FD&quot;/&gt;&lt;wsp:rsid wsp:val=&quot;007B0681&quot;/&gt;&lt;wsp:rsid wsp:val=&quot;007B0F26&quot;/&gt;&lt;wsp:rsid wsp:val=&quot;007B0FA2&quot;/&gt;&lt;wsp:rsid wsp:val=&quot;007B12CF&quot;/&gt;&lt;wsp:rsid wsp:val=&quot;007B33BB&quot;/&gt;&lt;wsp:rsid wsp:val=&quot;007B36B0&quot;/&gt;&lt;wsp:rsid wsp:val=&quot;007B4A76&quot;/&gt;&lt;wsp:rsid wsp:val=&quot;007B4C13&quot;/&gt;&lt;wsp:rsid wsp:val=&quot;007B4D2B&quot;/&gt;&lt;wsp:rsid wsp:val=&quot;007B4EE1&quot;/&gt;&lt;wsp:rsid wsp:val=&quot;007B52FE&quot;/&gt;&lt;wsp:rsid wsp:val=&quot;007B5F37&quot;/&gt;&lt;wsp:rsid wsp:val=&quot;007B609A&quot;/&gt;&lt;wsp:rsid wsp:val=&quot;007B60D6&quot;/&gt;&lt;wsp:rsid wsp:val=&quot;007B6136&quot;/&gt;&lt;wsp:rsid wsp:val=&quot;007B64F8&quot;/&gt;&lt;wsp:rsid wsp:val=&quot;007B663E&quot;/&gt;&lt;wsp:rsid wsp:val=&quot;007B6A3E&quot;/&gt;&lt;wsp:rsid wsp:val=&quot;007B6EB3&quot;/&gt;&lt;wsp:rsid wsp:val=&quot;007B6F1C&quot;/&gt;&lt;wsp:rsid wsp:val=&quot;007B7501&quot;/&gt;&lt;wsp:rsid wsp:val=&quot;007B7C07&quot;/&gt;&lt;wsp:rsid wsp:val=&quot;007B7D4F&quot;/&gt;&lt;wsp:rsid wsp:val=&quot;007B7DD3&quot;/&gt;&lt;wsp:rsid wsp:val=&quot;007B7E01&quot;/&gt;&lt;wsp:rsid wsp:val=&quot;007C0412&quot;/&gt;&lt;wsp:rsid wsp:val=&quot;007C08B8&quot;/&gt;&lt;wsp:rsid wsp:val=&quot;007C0BF6&quot;/&gt;&lt;wsp:rsid wsp:val=&quot;007C1292&quot;/&gt;&lt;wsp:rsid wsp:val=&quot;007C16F9&quot;/&gt;&lt;wsp:rsid wsp:val=&quot;007C1B5D&quot;/&gt;&lt;wsp:rsid wsp:val=&quot;007C1C23&quot;/&gt;&lt;wsp:rsid wsp:val=&quot;007C1E05&quot;/&gt;&lt;wsp:rsid wsp:val=&quot;007C24E2&quot;/&gt;&lt;wsp:rsid wsp:val=&quot;007C280B&quot;/&gt;&lt;wsp:rsid wsp:val=&quot;007C32E5&quot;/&gt;&lt;wsp:rsid wsp:val=&quot;007C3392&quot;/&gt;&lt;wsp:rsid wsp:val=&quot;007C4654&quot;/&gt;&lt;wsp:rsid wsp:val=&quot;007C46C8&quot;/&gt;&lt;wsp:rsid wsp:val=&quot;007C47EB&quot;/&gt;&lt;wsp:rsid wsp:val=&quot;007C4D27&quot;/&gt;&lt;wsp:rsid wsp:val=&quot;007C5294&quot;/&gt;&lt;wsp:rsid wsp:val=&quot;007C54F3&quot;/&gt;&lt;wsp:rsid wsp:val=&quot;007C5A5E&quot;/&gt;&lt;wsp:rsid wsp:val=&quot;007C5B90&quot;/&gt;&lt;wsp:rsid wsp:val=&quot;007C5BEA&quot;/&gt;&lt;wsp:rsid wsp:val=&quot;007C608A&quot;/&gt;&lt;wsp:rsid wsp:val=&quot;007C64BA&quot;/&gt;&lt;wsp:rsid wsp:val=&quot;007C64F6&quot;/&gt;&lt;wsp:rsid wsp:val=&quot;007C668A&quot;/&gt;&lt;wsp:rsid wsp:val=&quot;007C6CFE&quot;/&gt;&lt;wsp:rsid wsp:val=&quot;007C6D9E&quot;/&gt;&lt;wsp:rsid wsp:val=&quot;007C6E57&quot;/&gt;&lt;wsp:rsid wsp:val=&quot;007C6EE5&quot;/&gt;&lt;wsp:rsid wsp:val=&quot;007C6FD8&quot;/&gt;&lt;wsp:rsid wsp:val=&quot;007C714F&quot;/&gt;&lt;wsp:rsid wsp:val=&quot;007C7870&quot;/&gt;&lt;wsp:rsid wsp:val=&quot;007C7952&quot;/&gt;&lt;wsp:rsid wsp:val=&quot;007C7B7D&quot;/&gt;&lt;wsp:rsid wsp:val=&quot;007C7B91&quot;/&gt;&lt;wsp:rsid wsp:val=&quot;007D0381&quot;/&gt;&lt;wsp:rsid wsp:val=&quot;007D0A06&quot;/&gt;&lt;wsp:rsid wsp:val=&quot;007D0A28&quot;/&gt;&lt;wsp:rsid wsp:val=&quot;007D0B79&quot;/&gt;&lt;wsp:rsid wsp:val=&quot;007D0D65&quot;/&gt;&lt;wsp:rsid wsp:val=&quot;007D2061&quot;/&gt;&lt;wsp:rsid wsp:val=&quot;007D24E8&quot;/&gt;&lt;wsp:rsid wsp:val=&quot;007D286C&quot;/&gt;&lt;wsp:rsid wsp:val=&quot;007D2C15&quot;/&gt;&lt;wsp:rsid wsp:val=&quot;007D2DD6&quot;/&gt;&lt;wsp:rsid wsp:val=&quot;007D30D4&quot;/&gt;&lt;wsp:rsid wsp:val=&quot;007D36A5&quot;/&gt;&lt;wsp:rsid wsp:val=&quot;007D3B5C&quot;/&gt;&lt;wsp:rsid wsp:val=&quot;007D3EEE&quot;/&gt;&lt;wsp:rsid wsp:val=&quot;007D461C&quot;/&gt;&lt;wsp:rsid wsp:val=&quot;007D4C97&quot;/&gt;&lt;wsp:rsid wsp:val=&quot;007D4EBB&quot;/&gt;&lt;wsp:rsid wsp:val=&quot;007D526C&quot;/&gt;&lt;wsp:rsid wsp:val=&quot;007D5D1B&quot;/&gt;&lt;wsp:rsid wsp:val=&quot;007D6509&quot;/&gt;&lt;wsp:rsid wsp:val=&quot;007D659B&quot;/&gt;&lt;wsp:rsid wsp:val=&quot;007D65A8&quot;/&gt;&lt;wsp:rsid wsp:val=&quot;007D683C&quot;/&gt;&lt;wsp:rsid wsp:val=&quot;007D6A47&quot;/&gt;&lt;wsp:rsid wsp:val=&quot;007D7DE9&quot;/&gt;&lt;wsp:rsid wsp:val=&quot;007D7E64&quot;/&gt;&lt;wsp:rsid wsp:val=&quot;007D7F67&quot;/&gt;&lt;wsp:rsid wsp:val=&quot;007D7FB8&quot;/&gt;&lt;wsp:rsid wsp:val=&quot;007E042F&quot;/&gt;&lt;wsp:rsid wsp:val=&quot;007E0979&quot;/&gt;&lt;wsp:rsid wsp:val=&quot;007E19F2&quot;/&gt;&lt;wsp:rsid wsp:val=&quot;007E1F0E&quot;/&gt;&lt;wsp:rsid wsp:val=&quot;007E20CA&quot;/&gt;&lt;wsp:rsid wsp:val=&quot;007E2274&quot;/&gt;&lt;wsp:rsid wsp:val=&quot;007E24B9&quot;/&gt;&lt;wsp:rsid wsp:val=&quot;007E28D4&quot;/&gt;&lt;wsp:rsid wsp:val=&quot;007E3D2A&quot;/&gt;&lt;wsp:rsid wsp:val=&quot;007E3D4E&quot;/&gt;&lt;wsp:rsid wsp:val=&quot;007E40D8&quot;/&gt;&lt;wsp:rsid wsp:val=&quot;007E411E&quot;/&gt;&lt;wsp:rsid wsp:val=&quot;007E46BC&quot;/&gt;&lt;wsp:rsid wsp:val=&quot;007E4B3E&quot;/&gt;&lt;wsp:rsid wsp:val=&quot;007E557F&quot;/&gt;&lt;wsp:rsid wsp:val=&quot;007E5628&quot;/&gt;&lt;wsp:rsid wsp:val=&quot;007E5C41&quot;/&gt;&lt;wsp:rsid wsp:val=&quot;007E5E56&quot;/&gt;&lt;wsp:rsid wsp:val=&quot;007E612A&quot;/&gt;&lt;wsp:rsid wsp:val=&quot;007E6703&quot;/&gt;&lt;wsp:rsid wsp:val=&quot;007E6C4B&quot;/&gt;&lt;wsp:rsid wsp:val=&quot;007E7033&quot;/&gt;&lt;wsp:rsid wsp:val=&quot;007E78A2&quot;/&gt;&lt;wsp:rsid wsp:val=&quot;007E7B6B&quot;/&gt;&lt;wsp:rsid wsp:val=&quot;007F0D0B&quot;/&gt;&lt;wsp:rsid wsp:val=&quot;007F0D67&quot;/&gt;&lt;wsp:rsid wsp:val=&quot;007F1029&quot;/&gt;&lt;wsp:rsid wsp:val=&quot;007F11C2&quot;/&gt;&lt;wsp:rsid wsp:val=&quot;007F14FA&quot;/&gt;&lt;wsp:rsid wsp:val=&quot;007F15C6&quot;/&gt;&lt;wsp:rsid wsp:val=&quot;007F1D12&quot;/&gt;&lt;wsp:rsid wsp:val=&quot;007F1FD1&quot;/&gt;&lt;wsp:rsid wsp:val=&quot;007F21A6&quot;/&gt;&lt;wsp:rsid wsp:val=&quot;007F29F6&quot;/&gt;&lt;wsp:rsid wsp:val=&quot;007F2B96&quot;/&gt;&lt;wsp:rsid wsp:val=&quot;007F2CF5&quot;/&gt;&lt;wsp:rsid wsp:val=&quot;007F2E84&quot;/&gt;&lt;wsp:rsid wsp:val=&quot;007F3ACE&quot;/&gt;&lt;wsp:rsid wsp:val=&quot;007F4B5F&quot;/&gt;&lt;wsp:rsid wsp:val=&quot;007F4CFD&quot;/&gt;&lt;wsp:rsid wsp:val=&quot;007F5A28&quot;/&gt;&lt;wsp:rsid wsp:val=&quot;007F611D&quot;/&gt;&lt;wsp:rsid wsp:val=&quot;007F650D&quot;/&gt;&lt;wsp:rsid wsp:val=&quot;007F7A17&quot;/&gt;&lt;wsp:rsid wsp:val=&quot;007F7A26&quot;/&gt;&lt;wsp:rsid wsp:val=&quot;00800ED0&quot;/&gt;&lt;wsp:rsid wsp:val=&quot;00801094&quot;/&gt;&lt;wsp:rsid wsp:val=&quot;0080146B&quot;/&gt;&lt;wsp:rsid wsp:val=&quot;00801B5F&quot;/&gt;&lt;wsp:rsid wsp:val=&quot;008020EC&quot;/&gt;&lt;wsp:rsid wsp:val=&quot;00802394&quot;/&gt;&lt;wsp:rsid wsp:val=&quot;00803975&quot;/&gt;&lt;wsp:rsid wsp:val=&quot;00803A0B&quot;/&gt;&lt;wsp:rsid wsp:val=&quot;00804158&quot;/&gt;&lt;wsp:rsid wsp:val=&quot;00804393&quot;/&gt;&lt;wsp:rsid wsp:val=&quot;008047DB&quot;/&gt;&lt;wsp:rsid wsp:val=&quot;00804CA1&quot;/&gt;&lt;wsp:rsid wsp:val=&quot;00805042&quot;/&gt;&lt;wsp:rsid wsp:val=&quot;0080515E&quot;/&gt;&lt;wsp:rsid wsp:val=&quot;00805268&quot;/&gt;&lt;wsp:rsid wsp:val=&quot;00805F65&quot;/&gt;&lt;wsp:rsid wsp:val=&quot;0080626E&quot;/&gt;&lt;wsp:rsid wsp:val=&quot;008062AA&quot;/&gt;&lt;wsp:rsid wsp:val=&quot;00806FE0&quot;/&gt;&lt;wsp:rsid wsp:val=&quot;00807176&quot;/&gt;&lt;wsp:rsid wsp:val=&quot;008077BA&quot;/&gt;&lt;wsp:rsid wsp:val=&quot;008078E6&quot;/&gt;&lt;wsp:rsid wsp:val=&quot;00807C6D&quot;/&gt;&lt;wsp:rsid wsp:val=&quot;00807FE8&quot;/&gt;&lt;wsp:rsid wsp:val=&quot;0081000D&quot;/&gt;&lt;wsp:rsid wsp:val=&quot;00810211&quot;/&gt;&lt;wsp:rsid wsp:val=&quot;008102D9&quot;/&gt;&lt;wsp:rsid wsp:val=&quot;00810437&quot;/&gt;&lt;wsp:rsid wsp:val=&quot;00810A75&quot;/&gt;&lt;wsp:rsid wsp:val=&quot;00810CE0&quot;/&gt;&lt;wsp:rsid wsp:val=&quot;008112F4&quot;/&gt;&lt;wsp:rsid wsp:val=&quot;00811505&quot;/&gt;&lt;wsp:rsid wsp:val=&quot;0081154D&quot;/&gt;&lt;wsp:rsid wsp:val=&quot;0081156E&quot;/&gt;&lt;wsp:rsid wsp:val=&quot;00811BB3&quot;/&gt;&lt;wsp:rsid wsp:val=&quot;00811D66&quot;/&gt;&lt;wsp:rsid wsp:val=&quot;00812431&quot;/&gt;&lt;wsp:rsid wsp:val=&quot;00812E0E&quot;/&gt;&lt;wsp:rsid wsp:val=&quot;008130E1&quot;/&gt;&lt;wsp:rsid wsp:val=&quot;00813455&quot;/&gt;&lt;wsp:rsid wsp:val=&quot;00813A2D&quot;/&gt;&lt;wsp:rsid wsp:val=&quot;00813FE4&quot;/&gt;&lt;wsp:rsid wsp:val=&quot;00815082&quot;/&gt;&lt;wsp:rsid wsp:val=&quot;00816077&quot;/&gt;&lt;wsp:rsid wsp:val=&quot;0081614B&quot;/&gt;&lt;wsp:rsid wsp:val=&quot;008161CE&quot;/&gt;&lt;wsp:rsid wsp:val=&quot;008164FA&quot;/&gt;&lt;wsp:rsid wsp:val=&quot;008165F2&quot;/&gt;&lt;wsp:rsid wsp:val=&quot;00817293&quot;/&gt;&lt;wsp:rsid wsp:val=&quot;0081773A&quot;/&gt;&lt;wsp:rsid wsp:val=&quot;00817910&quot;/&gt;&lt;wsp:rsid wsp:val=&quot;00817D54&quot;/&gt;&lt;wsp:rsid wsp:val=&quot;00820487&quot;/&gt;&lt;wsp:rsid wsp:val=&quot;00820C7B&quot;/&gt;&lt;wsp:rsid wsp:val=&quot;00820E0C&quot;/&gt;&lt;wsp:rsid wsp:val=&quot;00820E6E&quot;/&gt;&lt;wsp:rsid wsp:val=&quot;00821652&quot;/&gt;&lt;wsp:rsid wsp:val=&quot;008217E9&quot;/&gt;&lt;wsp:rsid wsp:val=&quot;0082189F&quot;/&gt;&lt;wsp:rsid wsp:val=&quot;008224E5&quot;/&gt;&lt;wsp:rsid wsp:val=&quot;00822E5E&quot;/&gt;&lt;wsp:rsid wsp:val=&quot;00823D28&quot;/&gt;&lt;wsp:rsid wsp:val=&quot;00824597&quot;/&gt;&lt;wsp:rsid wsp:val=&quot;008245D7&quot;/&gt;&lt;wsp:rsid wsp:val=&quot;00824B99&quot;/&gt;&lt;wsp:rsid wsp:val=&quot;00824D96&quot;/&gt;&lt;wsp:rsid wsp:val=&quot;0082580A&quot;/&gt;&lt;wsp:rsid wsp:val=&quot;00825837&quot;/&gt;&lt;wsp:rsid wsp:val=&quot;00825ABA&quot;/&gt;&lt;wsp:rsid wsp:val=&quot;00825B13&quot;/&gt;&lt;wsp:rsid wsp:val=&quot;00826305&quot;/&gt;&lt;wsp:rsid wsp:val=&quot;0082685F&quot;/&gt;&lt;wsp:rsid wsp:val=&quot;0082721E&quot;/&gt;&lt;wsp:rsid wsp:val=&quot;008273A5&quot;/&gt;&lt;wsp:rsid wsp:val=&quot;00827C10&quot;/&gt;&lt;wsp:rsid wsp:val=&quot;0083013C&quot;/&gt;&lt;wsp:rsid wsp:val=&quot;008302CC&quot;/&gt;&lt;wsp:rsid wsp:val=&quot;0083087D&quot;/&gt;&lt;wsp:rsid wsp:val=&quot;00830D57&quot;/&gt;&lt;wsp:rsid wsp:val=&quot;00830F6A&quot;/&gt;&lt;wsp:rsid wsp:val=&quot;00831CD5&quot;/&gt;&lt;wsp:rsid wsp:val=&quot;00831DF8&quot;/&gt;&lt;wsp:rsid wsp:val=&quot;008320A3&quot;/&gt;&lt;wsp:rsid wsp:val=&quot;0083277B&quot;/&gt;&lt;wsp:rsid wsp:val=&quot;0083283B&quot;/&gt;&lt;wsp:rsid wsp:val=&quot;008331FC&quot;/&gt;&lt;wsp:rsid wsp:val=&quot;0083336C&quot;/&gt;&lt;wsp:rsid wsp:val=&quot;008334E2&quot;/&gt;&lt;wsp:rsid wsp:val=&quot;00833A89&quot;/&gt;&lt;wsp:rsid wsp:val=&quot;008340FF&quot;/&gt;&lt;wsp:rsid wsp:val=&quot;00834518&quot;/&gt;&lt;wsp:rsid wsp:val=&quot;0083459E&quot;/&gt;&lt;wsp:rsid wsp:val=&quot;00834654&quot;/&gt;&lt;wsp:rsid wsp:val=&quot;00834B6B&quot;/&gt;&lt;wsp:rsid wsp:val=&quot;00834D57&quot;/&gt;&lt;wsp:rsid wsp:val=&quot;0083518C&quot;/&gt;&lt;wsp:rsid wsp:val=&quot;008351C2&quot;/&gt;&lt;wsp:rsid wsp:val=&quot;00835402&quot;/&gt;&lt;wsp:rsid wsp:val=&quot;00835465&quot;/&gt;&lt;wsp:rsid wsp:val=&quot;0083556E&quot;/&gt;&lt;wsp:rsid wsp:val=&quot;008357B6&quot;/&gt;&lt;wsp:rsid wsp:val=&quot;00836333&quot;/&gt;&lt;wsp:rsid wsp:val=&quot;0083636F&quot;/&gt;&lt;wsp:rsid wsp:val=&quot;008364DB&quot;/&gt;&lt;wsp:rsid wsp:val=&quot;00836890&quot;/&gt;&lt;wsp:rsid wsp:val=&quot;008368D3&quot;/&gt;&lt;wsp:rsid wsp:val=&quot;00836D3F&quot;/&gt;&lt;wsp:rsid wsp:val=&quot;00836E4C&quot;/&gt;&lt;wsp:rsid wsp:val=&quot;00837195&quot;/&gt;&lt;wsp:rsid wsp:val=&quot;008372DB&quot;/&gt;&lt;wsp:rsid wsp:val=&quot;008376E2&quot;/&gt;&lt;wsp:rsid wsp:val=&quot;00837CAA&quot;/&gt;&lt;wsp:rsid wsp:val=&quot;00837D52&quot;/&gt;&lt;wsp:rsid wsp:val=&quot;00837E52&quot;/&gt;&lt;wsp:rsid wsp:val=&quot;008400DF&quot;/&gt;&lt;wsp:rsid wsp:val=&quot;00840289&quot;/&gt;&lt;wsp:rsid wsp:val=&quot;00840E66&quot;/&gt;&lt;wsp:rsid wsp:val=&quot;0084222F&quot;/&gt;&lt;wsp:rsid wsp:val=&quot;00842887&quot;/&gt;&lt;wsp:rsid wsp:val=&quot;00842C09&quot;/&gt;&lt;wsp:rsid wsp:val=&quot;00842D37&quot;/&gt;&lt;wsp:rsid wsp:val=&quot;00843567&quot;/&gt;&lt;wsp:rsid wsp:val=&quot;00843A27&quot;/&gt;&lt;wsp:rsid wsp:val=&quot;00843F07&quot;/&gt;&lt;wsp:rsid wsp:val=&quot;00843F99&quot;/&gt;&lt;wsp:rsid wsp:val=&quot;0084442A&quot;/&gt;&lt;wsp:rsid wsp:val=&quot;00844D21&quot;/&gt;&lt;wsp:rsid wsp:val=&quot;0084503A&quot;/&gt;&lt;wsp:rsid wsp:val=&quot;008450B4&quot;/&gt;&lt;wsp:rsid wsp:val=&quot;008453E0&quot;/&gt;&lt;wsp:rsid wsp:val=&quot;008455DC&quot;/&gt;&lt;wsp:rsid wsp:val=&quot;00845E12&quot;/&gt;&lt;wsp:rsid wsp:val=&quot;00846256&quot;/&gt;&lt;wsp:rsid wsp:val=&quot;00846354&quot;/&gt;&lt;wsp:rsid wsp:val=&quot;0084657F&quot;/&gt;&lt;wsp:rsid wsp:val=&quot;0084799C&quot;/&gt;&lt;wsp:rsid wsp:val=&quot;00847D7F&quot;/&gt;&lt;wsp:rsid wsp:val=&quot;00847E56&quot;/&gt;&lt;wsp:rsid wsp:val=&quot;008504E0&quot;/&gt;&lt;wsp:rsid wsp:val=&quot;00850E46&quot;/&gt;&lt;wsp:rsid wsp:val=&quot;00850EF9&quot;/&gt;&lt;wsp:rsid wsp:val=&quot;008514CA&quot;/&gt;&lt;wsp:rsid wsp:val=&quot;00851509&quot;/&gt;&lt;wsp:rsid wsp:val=&quot;008521B9&quot;/&gt;&lt;wsp:rsid wsp:val=&quot;00852EED&quot;/&gt;&lt;wsp:rsid wsp:val=&quot;00853877&quot;/&gt;&lt;wsp:rsid wsp:val=&quot;00853CB9&quot;/&gt;&lt;wsp:rsid wsp:val=&quot;00853D57&quot;/&gt;&lt;wsp:rsid wsp:val=&quot;00854BE7&quot;/&gt;&lt;wsp:rsid wsp:val=&quot;00856740&quot;/&gt;&lt;wsp:rsid wsp:val=&quot;008570BF&quot;/&gt;&lt;wsp:rsid wsp:val=&quot;00857A94&quot;/&gt;&lt;wsp:rsid wsp:val=&quot;00857E3F&quot;/&gt;&lt;wsp:rsid wsp:val=&quot;00857EEA&quot;/&gt;&lt;wsp:rsid wsp:val=&quot;008600D3&quot;/&gt;&lt;wsp:rsid wsp:val=&quot;00860C28&quot;/&gt;&lt;wsp:rsid wsp:val=&quot;00862375&quot;/&gt;&lt;wsp:rsid wsp:val=&quot;0086248F&quot;/&gt;&lt;wsp:rsid wsp:val=&quot;0086255C&quot;/&gt;&lt;wsp:rsid wsp:val=&quot;00862604&quot;/&gt;&lt;wsp:rsid wsp:val=&quot;00862B84&quot;/&gt;&lt;wsp:rsid wsp:val=&quot;00862C97&quot;/&gt;&lt;wsp:rsid wsp:val=&quot;008632A6&quot;/&gt;&lt;wsp:rsid wsp:val=&quot;00863404&quot;/&gt;&lt;wsp:rsid wsp:val=&quot;00863FCD&quot;/&gt;&lt;wsp:rsid wsp:val=&quot;00864C77&quot;/&gt;&lt;wsp:rsid wsp:val=&quot;0086563E&quot;/&gt;&lt;wsp:rsid wsp:val=&quot;00865B9E&quot;/&gt;&lt;wsp:rsid wsp:val=&quot;008660DB&quot;/&gt;&lt;wsp:rsid wsp:val=&quot;00866103&quot;/&gt;&lt;wsp:rsid wsp:val=&quot;00866676&quot;/&gt;&lt;wsp:rsid wsp:val=&quot;008670EF&quot;/&gt;&lt;wsp:rsid wsp:val=&quot;00867146&quot;/&gt;&lt;wsp:rsid wsp:val=&quot;0087027A&quot;/&gt;&lt;wsp:rsid wsp:val=&quot;00870301&quot;/&gt;&lt;wsp:rsid wsp:val=&quot;008703EB&quot;/&gt;&lt;wsp:rsid wsp:val=&quot;008703EC&quot;/&gt;&lt;wsp:rsid wsp:val=&quot;0087049B&quot;/&gt;&lt;wsp:rsid wsp:val=&quot;0087050A&quot;/&gt;&lt;wsp:rsid wsp:val=&quot;00870A62&quot;/&gt;&lt;wsp:rsid wsp:val=&quot;00870B5C&quot;/&gt;&lt;wsp:rsid wsp:val=&quot;00871037&quot;/&gt;&lt;wsp:rsid wsp:val=&quot;008713A5&quot;/&gt;&lt;wsp:rsid wsp:val=&quot;0087147B&quot;/&gt;&lt;wsp:rsid wsp:val=&quot;008719F3&quot;/&gt;&lt;wsp:rsid wsp:val=&quot;00871B45&quot;/&gt;&lt;wsp:rsid wsp:val=&quot;00871B83&quot;/&gt;&lt;wsp:rsid wsp:val=&quot;00871E76&quot;/&gt;&lt;wsp:rsid wsp:val=&quot;00872B3C&quot;/&gt;&lt;wsp:rsid wsp:val=&quot;00872EEB&quot;/&gt;&lt;wsp:rsid wsp:val=&quot;00872F07&quot;/&gt;&lt;wsp:rsid wsp:val=&quot;0087331B&quot;/&gt;&lt;wsp:rsid wsp:val=&quot;008737A8&quot;/&gt;&lt;wsp:rsid wsp:val=&quot;008737D5&quot;/&gt;&lt;wsp:rsid wsp:val=&quot;00873B80&quot;/&gt;&lt;wsp:rsid wsp:val=&quot;00873E56&quot;/&gt;&lt;wsp:rsid wsp:val=&quot;0087446E&quot;/&gt;&lt;wsp:rsid wsp:val=&quot;00874D4D&quot;/&gt;&lt;wsp:rsid wsp:val=&quot;00875187&quot;/&gt;&lt;wsp:rsid wsp:val=&quot;008752B9&quot;/&gt;&lt;wsp:rsid wsp:val=&quot;008755CB&quot;/&gt;&lt;wsp:rsid wsp:val=&quot;00875D26&quot;/&gt;&lt;wsp:rsid wsp:val=&quot;00875D4D&quot;/&gt;&lt;wsp:rsid wsp:val=&quot;00875DDC&quot;/&gt;&lt;wsp:rsid wsp:val=&quot;00876128&quot;/&gt;&lt;wsp:rsid wsp:val=&quot;00876179&quot;/&gt;&lt;wsp:rsid wsp:val=&quot;008763BF&quot;/&gt;&lt;wsp:rsid wsp:val=&quot;0087673F&quot;/&gt;&lt;wsp:rsid wsp:val=&quot;008768EF&quot;/&gt;&lt;wsp:rsid wsp:val=&quot;00876A02&quot;/&gt;&lt;wsp:rsid wsp:val=&quot;00876D71&quot;/&gt;&lt;wsp:rsid wsp:val=&quot;0087720C&quot;/&gt;&lt;wsp:rsid wsp:val=&quot;00877BEF&quot;/&gt;&lt;wsp:rsid wsp:val=&quot;00877DEA&quot;/&gt;&lt;wsp:rsid wsp:val=&quot;00880150&quot;/&gt;&lt;wsp:rsid wsp:val=&quot;00881065&quot;/&gt;&lt;wsp:rsid wsp:val=&quot;00882997&quot;/&gt;&lt;wsp:rsid wsp:val=&quot;00883320&quot;/&gt;&lt;wsp:rsid wsp:val=&quot;00883385&quot;/&gt;&lt;wsp:rsid wsp:val=&quot;00883722&quot;/&gt;&lt;wsp:rsid wsp:val=&quot;00884081&quot;/&gt;&lt;wsp:rsid wsp:val=&quot;00884088&quot;/&gt;&lt;wsp:rsid wsp:val=&quot;00884A0F&quot;/&gt;&lt;wsp:rsid wsp:val=&quot;0088509A&quot;/&gt;&lt;wsp:rsid wsp:val=&quot;00885996&quot;/&gt;&lt;wsp:rsid wsp:val=&quot;008859ED&quot;/&gt;&lt;wsp:rsid wsp:val=&quot;00885B39&quot;/&gt;&lt;wsp:rsid wsp:val=&quot;008860A3&quot;/&gt;&lt;wsp:rsid wsp:val=&quot;00886328&quot;/&gt;&lt;wsp:rsid wsp:val=&quot;00886994&quot;/&gt;&lt;wsp:rsid wsp:val=&quot;00886B20&quot;/&gt;&lt;wsp:rsid wsp:val=&quot;00886CC6&quot;/&gt;&lt;wsp:rsid wsp:val=&quot;00886FA6&quot;/&gt;&lt;wsp:rsid wsp:val=&quot;008879C6&quot;/&gt;&lt;wsp:rsid wsp:val=&quot;00890D40&quot;/&gt;&lt;wsp:rsid wsp:val=&quot;008911CA&quot;/&gt;&lt;wsp:rsid wsp:val=&quot;00891542&quot;/&gt;&lt;wsp:rsid wsp:val=&quot;00892068&quot;/&gt;&lt;wsp:rsid wsp:val=&quot;0089218A&quot;/&gt;&lt;wsp:rsid wsp:val=&quot;00892336&quot;/&gt;&lt;wsp:rsid wsp:val=&quot;00892743&quot;/&gt;&lt;wsp:rsid wsp:val=&quot;00892AAC&quot;/&gt;&lt;wsp:rsid wsp:val=&quot;00892C31&quot;/&gt;&lt;wsp:rsid wsp:val=&quot;00892E86&quot;/&gt;&lt;wsp:rsid wsp:val=&quot;008932B3&quot;/&gt;&lt;wsp:rsid wsp:val=&quot;0089365B&quot;/&gt;&lt;wsp:rsid wsp:val=&quot;008939E7&quot;/&gt;&lt;wsp:rsid wsp:val=&quot;00893D82&quot;/&gt;&lt;wsp:rsid wsp:val=&quot;00894485&quot;/&gt;&lt;wsp:rsid wsp:val=&quot;00894CE3&quot;/&gt;&lt;wsp:rsid wsp:val=&quot;00895384&quot;/&gt;&lt;wsp:rsid wsp:val=&quot;00895746&quot;/&gt;&lt;wsp:rsid wsp:val=&quot;00895A61&quot;/&gt;&lt;wsp:rsid wsp:val=&quot;00896A81&quot;/&gt;&lt;wsp:rsid wsp:val=&quot;00897214&quot;/&gt;&lt;wsp:rsid wsp:val=&quot;00897795&quot;/&gt;&lt;wsp:rsid wsp:val=&quot;008A0059&quot;/&gt;&lt;wsp:rsid wsp:val=&quot;008A06F6&quot;/&gt;&lt;wsp:rsid wsp:val=&quot;008A12AC&quot;/&gt;&lt;wsp:rsid wsp:val=&quot;008A1322&quot;/&gt;&lt;wsp:rsid wsp:val=&quot;008A1639&quot;/&gt;&lt;wsp:rsid wsp:val=&quot;008A1962&quot;/&gt;&lt;wsp:rsid wsp:val=&quot;008A1DB6&quot;/&gt;&lt;wsp:rsid wsp:val=&quot;008A22D1&quot;/&gt;&lt;wsp:rsid wsp:val=&quot;008A249A&quot;/&gt;&lt;wsp:rsid wsp:val=&quot;008A27E8&quot;/&gt;&lt;wsp:rsid wsp:val=&quot;008A2C3A&quot;/&gt;&lt;wsp:rsid wsp:val=&quot;008A2D51&quot;/&gt;&lt;wsp:rsid wsp:val=&quot;008A315C&quot;/&gt;&lt;wsp:rsid wsp:val=&quot;008A328B&quot;/&gt;&lt;wsp:rsid wsp:val=&quot;008A3A6C&quot;/&gt;&lt;wsp:rsid wsp:val=&quot;008A3BEA&quot;/&gt;&lt;wsp:rsid wsp:val=&quot;008A4202&quot;/&gt;&lt;wsp:rsid wsp:val=&quot;008A4C3A&quot;/&gt;&lt;wsp:rsid wsp:val=&quot;008A564B&quot;/&gt;&lt;wsp:rsid wsp:val=&quot;008A5D10&quot;/&gt;&lt;wsp:rsid wsp:val=&quot;008A5E9B&quot;/&gt;&lt;wsp:rsid wsp:val=&quot;008A6343&quot;/&gt;&lt;wsp:rsid wsp:val=&quot;008A6499&quot;/&gt;&lt;wsp:rsid wsp:val=&quot;008A65B9&quot;/&gt;&lt;wsp:rsid wsp:val=&quot;008A68E6&quot;/&gt;&lt;wsp:rsid wsp:val=&quot;008A6B63&quot;/&gt;&lt;wsp:rsid wsp:val=&quot;008A7F95&quot;/&gt;&lt;wsp:rsid wsp:val=&quot;008B0549&quot;/&gt;&lt;wsp:rsid wsp:val=&quot;008B0BDD&quot;/&gt;&lt;wsp:rsid wsp:val=&quot;008B0BE4&quot;/&gt;&lt;wsp:rsid wsp:val=&quot;008B11AA&quot;/&gt;&lt;wsp:rsid wsp:val=&quot;008B12AB&quot;/&gt;&lt;wsp:rsid wsp:val=&quot;008B1867&quot;/&gt;&lt;wsp:rsid wsp:val=&quot;008B217B&quot;/&gt;&lt;wsp:rsid wsp:val=&quot;008B23F4&quot;/&gt;&lt;wsp:rsid wsp:val=&quot;008B25BE&quot;/&gt;&lt;wsp:rsid wsp:val=&quot;008B26ED&quot;/&gt;&lt;wsp:rsid wsp:val=&quot;008B2E88&quot;/&gt;&lt;wsp:rsid wsp:val=&quot;008B3858&quot;/&gt;&lt;wsp:rsid wsp:val=&quot;008B3AC2&quot;/&gt;&lt;wsp:rsid wsp:val=&quot;008B3C14&quot;/&gt;&lt;wsp:rsid wsp:val=&quot;008B4019&quot;/&gt;&lt;wsp:rsid wsp:val=&quot;008B424A&quot;/&gt;&lt;wsp:rsid wsp:val=&quot;008B42FD&quot;/&gt;&lt;wsp:rsid wsp:val=&quot;008B43A7&quot;/&gt;&lt;wsp:rsid wsp:val=&quot;008B4918&quot;/&gt;&lt;wsp:rsid wsp:val=&quot;008B4BD8&quot;/&gt;&lt;wsp:rsid wsp:val=&quot;008B5362&quot;/&gt;&lt;wsp:rsid wsp:val=&quot;008B5795&quot;/&gt;&lt;wsp:rsid wsp:val=&quot;008B613A&quot;/&gt;&lt;wsp:rsid wsp:val=&quot;008B63F5&quot;/&gt;&lt;wsp:rsid wsp:val=&quot;008B64EE&quot;/&gt;&lt;wsp:rsid wsp:val=&quot;008B66AE&quot;/&gt;&lt;wsp:rsid wsp:val=&quot;008B684A&quot;/&gt;&lt;wsp:rsid wsp:val=&quot;008B68C8&quot;/&gt;&lt;wsp:rsid wsp:val=&quot;008B6C4D&quot;/&gt;&lt;wsp:rsid wsp:val=&quot;008B707D&quot;/&gt;&lt;wsp:rsid wsp:val=&quot;008B7128&quot;/&gt;&lt;wsp:rsid wsp:val=&quot;008B721A&quot;/&gt;&lt;wsp:rsid wsp:val=&quot;008B7372&quot;/&gt;&lt;wsp:rsid wsp:val=&quot;008B7754&quot;/&gt;&lt;wsp:rsid wsp:val=&quot;008B7B30&quot;/&gt;&lt;wsp:rsid wsp:val=&quot;008C001E&quot;/&gt;&lt;wsp:rsid wsp:val=&quot;008C0054&quot;/&gt;&lt;wsp:rsid wsp:val=&quot;008C009A&quot;/&gt;&lt;wsp:rsid wsp:val=&quot;008C060D&quot;/&gt;&lt;wsp:rsid wsp:val=&quot;008C0C20&quot;/&gt;&lt;wsp:rsid wsp:val=&quot;008C1183&quot;/&gt;&lt;wsp:rsid wsp:val=&quot;008C15FC&quot;/&gt;&lt;wsp:rsid wsp:val=&quot;008C1822&quot;/&gt;&lt;wsp:rsid wsp:val=&quot;008C2159&quot;/&gt;&lt;wsp:rsid wsp:val=&quot;008C2169&quot;/&gt;&lt;wsp:rsid wsp:val=&quot;008C252A&quot;/&gt;&lt;wsp:rsid wsp:val=&quot;008C2A6F&quot;/&gt;&lt;wsp:rsid wsp:val=&quot;008C34B6&quot;/&gt;&lt;wsp:rsid wsp:val=&quot;008C3607&quot;/&gt;&lt;wsp:rsid wsp:val=&quot;008C368F&quot;/&gt;&lt;wsp:rsid wsp:val=&quot;008C37AE&quot;/&gt;&lt;wsp:rsid wsp:val=&quot;008C3A7D&quot;/&gt;&lt;wsp:rsid wsp:val=&quot;008C41A4&quot;/&gt;&lt;wsp:rsid wsp:val=&quot;008C4615&quot;/&gt;&lt;wsp:rsid wsp:val=&quot;008C4988&quot;/&gt;&lt;wsp:rsid wsp:val=&quot;008C4B14&quot;/&gt;&lt;wsp:rsid wsp:val=&quot;008C531B&quot;/&gt;&lt;wsp:rsid wsp:val=&quot;008C62A3&quot;/&gt;&lt;wsp:rsid wsp:val=&quot;008C69FF&quot;/&gt;&lt;wsp:rsid wsp:val=&quot;008C71B0&quot;/&gt;&lt;wsp:rsid wsp:val=&quot;008C7908&quot;/&gt;&lt;wsp:rsid wsp:val=&quot;008D0C56&quot;/&gt;&lt;wsp:rsid wsp:val=&quot;008D1292&quot;/&gt;&lt;wsp:rsid wsp:val=&quot;008D1940&quot;/&gt;&lt;wsp:rsid wsp:val=&quot;008D19EC&quot;/&gt;&lt;wsp:rsid wsp:val=&quot;008D21DF&quot;/&gt;&lt;wsp:rsid wsp:val=&quot;008D2530&quot;/&gt;&lt;wsp:rsid wsp:val=&quot;008D2719&quot;/&gt;&lt;wsp:rsid wsp:val=&quot;008D2989&quot;/&gt;&lt;wsp:rsid wsp:val=&quot;008D2BED&quot;/&gt;&lt;wsp:rsid wsp:val=&quot;008D2E1C&quot;/&gt;&lt;wsp:rsid wsp:val=&quot;008D2F07&quot;/&gt;&lt;wsp:rsid wsp:val=&quot;008D32EE&quot;/&gt;&lt;wsp:rsid wsp:val=&quot;008D3DF6&quot;/&gt;&lt;wsp:rsid wsp:val=&quot;008D4916&quot;/&gt;&lt;wsp:rsid wsp:val=&quot;008D4FC9&quot;/&gt;&lt;wsp:rsid wsp:val=&quot;008D52B2&quot;/&gt;&lt;wsp:rsid wsp:val=&quot;008D566D&quot;/&gt;&lt;wsp:rsid wsp:val=&quot;008D5AF6&quot;/&gt;&lt;wsp:rsid wsp:val=&quot;008D6026&quot;/&gt;&lt;wsp:rsid wsp:val=&quot;008D6199&quot;/&gt;&lt;wsp:rsid wsp:val=&quot;008D62AC&quot;/&gt;&lt;wsp:rsid wsp:val=&quot;008D672A&quot;/&gt;&lt;wsp:rsid wsp:val=&quot;008D68EB&quot;/&gt;&lt;wsp:rsid wsp:val=&quot;008D6989&quot;/&gt;&lt;wsp:rsid wsp:val=&quot;008D6B09&quot;/&gt;&lt;wsp:rsid wsp:val=&quot;008D6CA0&quot;/&gt;&lt;wsp:rsid wsp:val=&quot;008D6F7B&quot;/&gt;&lt;wsp:rsid wsp:val=&quot;008D735A&quot;/&gt;&lt;wsp:rsid wsp:val=&quot;008D73AD&quot;/&gt;&lt;wsp:rsid wsp:val=&quot;008D7C34&quot;/&gt;&lt;wsp:rsid wsp:val=&quot;008D7F1C&quot;/&gt;&lt;wsp:rsid wsp:val=&quot;008E001F&quot;/&gt;&lt;wsp:rsid wsp:val=&quot;008E0447&quot;/&gt;&lt;wsp:rsid wsp:val=&quot;008E09E0&quot;/&gt;&lt;wsp:rsid wsp:val=&quot;008E195A&quot;/&gt;&lt;wsp:rsid wsp:val=&quot;008E1DDD&quot;/&gt;&lt;wsp:rsid wsp:val=&quot;008E1F8B&quot;/&gt;&lt;wsp:rsid wsp:val=&quot;008E2AF4&quot;/&gt;&lt;wsp:rsid wsp:val=&quot;008E2B3E&quot;/&gt;&lt;wsp:rsid wsp:val=&quot;008E3056&quot;/&gt;&lt;wsp:rsid wsp:val=&quot;008E3526&quot;/&gt;&lt;wsp:rsid wsp:val=&quot;008E4011&quot;/&gt;&lt;wsp:rsid wsp:val=&quot;008E4431&quot;/&gt;&lt;wsp:rsid wsp:val=&quot;008E479D&quot;/&gt;&lt;wsp:rsid wsp:val=&quot;008E51EB&quot;/&gt;&lt;wsp:rsid wsp:val=&quot;008E5461&quot;/&gt;&lt;wsp:rsid wsp:val=&quot;008E5A50&quot;/&gt;&lt;wsp:rsid wsp:val=&quot;008E6615&quot;/&gt;&lt;wsp:rsid wsp:val=&quot;008E66C5&quot;/&gt;&lt;wsp:rsid wsp:val=&quot;008E7193&quot;/&gt;&lt;wsp:rsid wsp:val=&quot;008E71E2&quot;/&gt;&lt;wsp:rsid wsp:val=&quot;008E72C3&quot;/&gt;&lt;wsp:rsid wsp:val=&quot;008F021F&quot;/&gt;&lt;wsp:rsid wsp:val=&quot;008F03E8&quot;/&gt;&lt;wsp:rsid wsp:val=&quot;008F0559&quot;/&gt;&lt;wsp:rsid wsp:val=&quot;008F0AC6&quot;/&gt;&lt;wsp:rsid wsp:val=&quot;008F0AE4&quot;/&gt;&lt;wsp:rsid wsp:val=&quot;008F0C94&quot;/&gt;&lt;wsp:rsid wsp:val=&quot;008F10D7&quot;/&gt;&lt;wsp:rsid wsp:val=&quot;008F1433&quot;/&gt;&lt;wsp:rsid wsp:val=&quot;008F18B1&quot;/&gt;&lt;wsp:rsid wsp:val=&quot;008F1A40&quot;/&gt;&lt;wsp:rsid wsp:val=&quot;008F1A68&quot;/&gt;&lt;wsp:rsid wsp:val=&quot;008F2257&quot;/&gt;&lt;wsp:rsid wsp:val=&quot;008F2319&quot;/&gt;&lt;wsp:rsid wsp:val=&quot;008F26EA&quot;/&gt;&lt;wsp:rsid wsp:val=&quot;008F2A7D&quot;/&gt;&lt;wsp:rsid wsp:val=&quot;008F2B4B&quot;/&gt;&lt;wsp:rsid wsp:val=&quot;008F2FAA&quot;/&gt;&lt;wsp:rsid wsp:val=&quot;008F32DC&quot;/&gt;&lt;wsp:rsid wsp:val=&quot;008F3642&quot;/&gt;&lt;wsp:rsid wsp:val=&quot;008F3BE1&quot;/&gt;&lt;wsp:rsid wsp:val=&quot;008F3ED5&quot;/&gt;&lt;wsp:rsid wsp:val=&quot;008F40F2&quot;/&gt;&lt;wsp:rsid wsp:val=&quot;008F4954&quot;/&gt;&lt;wsp:rsid wsp:val=&quot;008F4F9B&quot;/&gt;&lt;wsp:rsid wsp:val=&quot;008F5433&quot;/&gt;&lt;wsp:rsid wsp:val=&quot;008F66D0&quot;/&gt;&lt;wsp:rsid wsp:val=&quot;008F677C&quot;/&gt;&lt;wsp:rsid wsp:val=&quot;008F6FEA&quot;/&gt;&lt;wsp:rsid wsp:val=&quot;008F746C&quot;/&gt;&lt;wsp:rsid wsp:val=&quot;008F7A17&quot;/&gt;&lt;wsp:rsid wsp:val=&quot;008F7A19&quot;/&gt;&lt;wsp:rsid wsp:val=&quot;008F7A57&quot;/&gt;&lt;wsp:rsid wsp:val=&quot;00900673&quot;/&gt;&lt;wsp:rsid wsp:val=&quot;009006F6&quot;/&gt;&lt;wsp:rsid wsp:val=&quot;00900A55&quot;/&gt;&lt;wsp:rsid wsp:val=&quot;009018E1&quot;/&gt;&lt;wsp:rsid wsp:val=&quot;00901DAA&quot;/&gt;&lt;wsp:rsid wsp:val=&quot;0090209F&quot;/&gt;&lt;wsp:rsid wsp:val=&quot;00902247&quot;/&gt;&lt;wsp:rsid wsp:val=&quot;00902787&quot;/&gt;&lt;wsp:rsid wsp:val=&quot;00902D44&quot;/&gt;&lt;wsp:rsid wsp:val=&quot;009030BD&quot;/&gt;&lt;wsp:rsid wsp:val=&quot;00903148&quot;/&gt;&lt;wsp:rsid wsp:val=&quot;00904681&quot;/&gt;&lt;wsp:rsid wsp:val=&quot;00904AA8&quot;/&gt;&lt;wsp:rsid wsp:val=&quot;009052C2&quot;/&gt;&lt;wsp:rsid wsp:val=&quot;00905529&quot;/&gt;&lt;wsp:rsid wsp:val=&quot;00905565&quot;/&gt;&lt;wsp:rsid wsp:val=&quot;009055D9&quot;/&gt;&lt;wsp:rsid wsp:val=&quot;00905999&quot;/&gt;&lt;wsp:rsid wsp:val=&quot;00905E93&quot;/&gt;&lt;wsp:rsid wsp:val=&quot;00906664&quot;/&gt;&lt;wsp:rsid wsp:val=&quot;0090675E&quot;/&gt;&lt;wsp:rsid wsp:val=&quot;0090688D&quot;/&gt;&lt;wsp:rsid wsp:val=&quot;009076E8&quot;/&gt;&lt;wsp:rsid wsp:val=&quot;00910433&quot;/&gt;&lt;wsp:rsid wsp:val=&quot;00910F00&quot;/&gt;&lt;wsp:rsid wsp:val=&quot;00911C91&quot;/&gt;&lt;wsp:rsid wsp:val=&quot;00911E44&quot;/&gt;&lt;wsp:rsid wsp:val=&quot;009124BF&quot;/&gt;&lt;wsp:rsid wsp:val=&quot;00912E6C&quot;/&gt;&lt;wsp:rsid wsp:val=&quot;0091301D&quot;/&gt;&lt;wsp:rsid wsp:val=&quot;00913472&quot;/&gt;&lt;wsp:rsid wsp:val=&quot;00913754&quot;/&gt;&lt;wsp:rsid wsp:val=&quot;009138AC&quot;/&gt;&lt;wsp:rsid wsp:val=&quot;009138C8&quot;/&gt;&lt;wsp:rsid wsp:val=&quot;00913C82&quot;/&gt;&lt;wsp:rsid wsp:val=&quot;00913D8C&quot;/&gt;&lt;wsp:rsid wsp:val=&quot;00913E0A&quot;/&gt;&lt;wsp:rsid wsp:val=&quot;009140AC&quot;/&gt;&lt;wsp:rsid wsp:val=&quot;0091443E&quot;/&gt;&lt;wsp:rsid wsp:val=&quot;0091452E&quot;/&gt;&lt;wsp:rsid wsp:val=&quot;009145B2&quot;/&gt;&lt;wsp:rsid wsp:val=&quot;0091493E&quot;/&gt;&lt;wsp:rsid wsp:val=&quot;00914E26&quot;/&gt;&lt;wsp:rsid wsp:val=&quot;00914F99&quot;/&gt;&lt;wsp:rsid wsp:val=&quot;009150B4&quot;/&gt;&lt;wsp:rsid wsp:val=&quot;0091607A&quot;/&gt;&lt;wsp:rsid wsp:val=&quot;0091652C&quot;/&gt;&lt;wsp:rsid wsp:val=&quot;0091698E&quot;/&gt;&lt;wsp:rsid wsp:val=&quot;00916B85&quot;/&gt;&lt;wsp:rsid wsp:val=&quot;00917156&quot;/&gt;&lt;wsp:rsid wsp:val=&quot;0091725A&quot;/&gt;&lt;wsp:rsid wsp:val=&quot;009172AD&quot;/&gt;&lt;wsp:rsid wsp:val=&quot;0091738F&quot;/&gt;&lt;wsp:rsid wsp:val=&quot;00917583&quot;/&gt;&lt;wsp:rsid wsp:val=&quot;00917C97&quot;/&gt;&lt;wsp:rsid wsp:val=&quot;00917F71&quot;/&gt;&lt;wsp:rsid wsp:val=&quot;00920195&quot;/&gt;&lt;wsp:rsid wsp:val=&quot;00920788&quot;/&gt;&lt;wsp:rsid wsp:val=&quot;009214A7&quot;/&gt;&lt;wsp:rsid wsp:val=&quot;009215C7&quot;/&gt;&lt;wsp:rsid wsp:val=&quot;00921AFE&quot;/&gt;&lt;wsp:rsid wsp:val=&quot;00921E15&quot;/&gt;&lt;wsp:rsid wsp:val=&quot;009223B4&quot;/&gt;&lt;wsp:rsid wsp:val=&quot;0092243B&quot;/&gt;&lt;wsp:rsid wsp:val=&quot;00922674&quot;/&gt;&lt;wsp:rsid wsp:val=&quot;00923E72&quot;/&gt;&lt;wsp:rsid wsp:val=&quot;00923FFC&quot;/&gt;&lt;wsp:rsid wsp:val=&quot;009245CF&quot;/&gt;&lt;wsp:rsid wsp:val=&quot;00924CA4&quot;/&gt;&lt;wsp:rsid wsp:val=&quot;00924DE7&quot;/&gt;&lt;wsp:rsid wsp:val=&quot;00924F20&quot;/&gt;&lt;wsp:rsid wsp:val=&quot;00925142&quot;/&gt;&lt;wsp:rsid wsp:val=&quot;0092569D&quot;/&gt;&lt;wsp:rsid wsp:val=&quot;009258D5&quot;/&gt;&lt;wsp:rsid wsp:val=&quot;00925D8F&quot;/&gt;&lt;wsp:rsid wsp:val=&quot;00926153&quot;/&gt;&lt;wsp:rsid wsp:val=&quot;00926704&quot;/&gt;&lt;wsp:rsid wsp:val=&quot;00926787&quot;/&gt;&lt;wsp:rsid wsp:val=&quot;00926F95&quot;/&gt;&lt;wsp:rsid wsp:val=&quot;009274E9&quot;/&gt;&lt;wsp:rsid wsp:val=&quot;00927615&quot;/&gt;&lt;wsp:rsid wsp:val=&quot;009277CE&quot;/&gt;&lt;wsp:rsid wsp:val=&quot;009278C3&quot;/&gt;&lt;wsp:rsid wsp:val=&quot;00930252&quot;/&gt;&lt;wsp:rsid wsp:val=&quot;009305BD&quot;/&gt;&lt;wsp:rsid wsp:val=&quot;00930968&quot;/&gt;&lt;wsp:rsid wsp:val=&quot;00930DD8&quot;/&gt;&lt;wsp:rsid wsp:val=&quot;00930F1B&quot;/&gt;&lt;wsp:rsid wsp:val=&quot;009318FA&quot;/&gt;&lt;wsp:rsid wsp:val=&quot;00932294&quot;/&gt;&lt;wsp:rsid wsp:val=&quot;00932B6D&quot;/&gt;&lt;wsp:rsid wsp:val=&quot;00932E24&quot;/&gt;&lt;wsp:rsid wsp:val=&quot;00932F4F&quot;/&gt;&lt;wsp:rsid wsp:val=&quot;009331E1&quot;/&gt;&lt;wsp:rsid wsp:val=&quot;00933233&quot;/&gt;&lt;wsp:rsid wsp:val=&quot;009334C8&quot;/&gt;&lt;wsp:rsid wsp:val=&quot;009342B8&quot;/&gt;&lt;wsp:rsid wsp:val=&quot;009348D4&quot;/&gt;&lt;wsp:rsid wsp:val=&quot;0093498E&quot;/&gt;&lt;wsp:rsid wsp:val=&quot;00935322&quot;/&gt;&lt;wsp:rsid wsp:val=&quot;00935501&quot;/&gt;&lt;wsp:rsid wsp:val=&quot;00935719&quot;/&gt;&lt;wsp:rsid wsp:val=&quot;0093578B&quot;/&gt;&lt;wsp:rsid wsp:val=&quot;00935F9A&quot;/&gt;&lt;wsp:rsid wsp:val=&quot;0093675C&quot;/&gt;&lt;wsp:rsid wsp:val=&quot;00936A1C&quot;/&gt;&lt;wsp:rsid wsp:val=&quot;00936C25&quot;/&gt;&lt;wsp:rsid wsp:val=&quot;009378B7&quot;/&gt;&lt;wsp:rsid wsp:val=&quot;009379B1&quot;/&gt;&lt;wsp:rsid wsp:val=&quot;00937DBC&quot;/&gt;&lt;wsp:rsid wsp:val=&quot;00940442&quot;/&gt;&lt;wsp:rsid wsp:val=&quot;00940F42&quot;/&gt;&lt;wsp:rsid wsp:val=&quot;009410AF&quot;/&gt;&lt;wsp:rsid wsp:val=&quot;0094127E&quot;/&gt;&lt;wsp:rsid wsp:val=&quot;0094130D&quot;/&gt;&lt;wsp:rsid wsp:val=&quot;00941397&quot;/&gt;&lt;wsp:rsid wsp:val=&quot;009413C3&quot;/&gt;&lt;wsp:rsid wsp:val=&quot;0094161D&quot;/&gt;&lt;wsp:rsid wsp:val=&quot;0094165D&quot;/&gt;&lt;wsp:rsid wsp:val=&quot;009417F7&quot;/&gt;&lt;wsp:rsid wsp:val=&quot;00941F29&quot;/&gt;&lt;wsp:rsid wsp:val=&quot;009424EB&quot;/&gt;&lt;wsp:rsid wsp:val=&quot;00942536&quot;/&gt;&lt;wsp:rsid wsp:val=&quot;00942883&quot;/&gt;&lt;wsp:rsid wsp:val=&quot;00942B93&quot;/&gt;&lt;wsp:rsid wsp:val=&quot;00942C2E&quot;/&gt;&lt;wsp:rsid wsp:val=&quot;00942D6B&quot;/&gt;&lt;wsp:rsid wsp:val=&quot;00942DE4&quot;/&gt;&lt;wsp:rsid wsp:val=&quot;009432BE&quot;/&gt;&lt;wsp:rsid wsp:val=&quot;00943DBB&quot;/&gt;&lt;wsp:rsid wsp:val=&quot;00944076&quot;/&gt;&lt;wsp:rsid wsp:val=&quot;009442CB&quot;/&gt;&lt;wsp:rsid wsp:val=&quot;009443C5&quot;/&gt;&lt;wsp:rsid wsp:val=&quot;00944797&quot;/&gt;&lt;wsp:rsid wsp:val=&quot;00944A1D&quot;/&gt;&lt;wsp:rsid wsp:val=&quot;00944B7A&quot;/&gt;&lt;wsp:rsid wsp:val=&quot;00945157&quot;/&gt;&lt;wsp:rsid wsp:val=&quot;009451CD&quot;/&gt;&lt;wsp:rsid wsp:val=&quot;00945637&quot;/&gt;&lt;wsp:rsid wsp:val=&quot;00945867&quot;/&gt;&lt;wsp:rsid wsp:val=&quot;00945F59&quot;/&gt;&lt;wsp:rsid wsp:val=&quot;009460F8&quot;/&gt;&lt;wsp:rsid wsp:val=&quot;00946A8E&quot;/&gt;&lt;wsp:rsid wsp:val=&quot;009470C6&quot;/&gt;&lt;wsp:rsid wsp:val=&quot;00947396&quot;/&gt;&lt;wsp:rsid wsp:val=&quot;00947675&quot;/&gt;&lt;wsp:rsid wsp:val=&quot;0094798D&quot;/&gt;&lt;wsp:rsid wsp:val=&quot;00947C74&quot;/&gt;&lt;wsp:rsid wsp:val=&quot;00947F25&quot;/&gt;&lt;wsp:rsid wsp:val=&quot;00950A3E&quot;/&gt;&lt;wsp:rsid wsp:val=&quot;00950B8F&quot;/&gt;&lt;wsp:rsid wsp:val=&quot;00950CBF&quot;/&gt;&lt;wsp:rsid wsp:val=&quot;009512F2&quot;/&gt;&lt;wsp:rsid wsp:val=&quot;0095133A&quot;/&gt;&lt;wsp:rsid wsp:val=&quot;0095187A&quot;/&gt;&lt;wsp:rsid wsp:val=&quot;00951DBB&quot;/&gt;&lt;wsp:rsid wsp:val=&quot;009521E9&quot;/&gt;&lt;wsp:rsid wsp:val=&quot;00952649&quot;/&gt;&lt;wsp:rsid wsp:val=&quot;009528FC&quot;/&gt;&lt;wsp:rsid wsp:val=&quot;0095348A&quot;/&gt;&lt;wsp:rsid wsp:val=&quot;00953899&quot;/&gt;&lt;wsp:rsid wsp:val=&quot;009538FB&quot;/&gt;&lt;wsp:rsid wsp:val=&quot;00953D2F&quot;/&gt;&lt;wsp:rsid wsp:val=&quot;009540F8&quot;/&gt;&lt;wsp:rsid wsp:val=&quot;00954115&quot;/&gt;&lt;wsp:rsid wsp:val=&quot;009543FD&quot;/&gt;&lt;wsp:rsid wsp:val=&quot;00954E33&quot;/&gt;&lt;wsp:rsid wsp:val=&quot;009551B2&quot;/&gt;&lt;wsp:rsid wsp:val=&quot;00955355&quot;/&gt;&lt;wsp:rsid wsp:val=&quot;00955FCA&quot;/&gt;&lt;wsp:rsid wsp:val=&quot;00956019&quot;/&gt;&lt;wsp:rsid wsp:val=&quot;009566C2&quot;/&gt;&lt;wsp:rsid wsp:val=&quot;009567AE&quot;/&gt;&lt;wsp:rsid wsp:val=&quot;00956BE4&quot;/&gt;&lt;wsp:rsid wsp:val=&quot;00956CCA&quot;/&gt;&lt;wsp:rsid wsp:val=&quot;00956E09&quot;/&gt;&lt;wsp:rsid wsp:val=&quot;0095731C&quot;/&gt;&lt;wsp:rsid wsp:val=&quot;009574D4&quot;/&gt;&lt;wsp:rsid wsp:val=&quot;00957603&quot;/&gt;&lt;wsp:rsid wsp:val=&quot;009579C3&quot;/&gt;&lt;wsp:rsid wsp:val=&quot;00960328&quot;/&gt;&lt;wsp:rsid wsp:val=&quot;00960433&quot;/&gt;&lt;wsp:rsid wsp:val=&quot;0096054B&quot;/&gt;&lt;wsp:rsid wsp:val=&quot;009606D5&quot;/&gt;&lt;wsp:rsid wsp:val=&quot;0096081C&quot;/&gt;&lt;wsp:rsid wsp:val=&quot;00960DA6&quot;/&gt;&lt;wsp:rsid wsp:val=&quot;00961322&quot;/&gt;&lt;wsp:rsid wsp:val=&quot;009618F3&quot;/&gt;&lt;wsp:rsid wsp:val=&quot;009622C6&quot;/&gt;&lt;wsp:rsid wsp:val=&quot;0096295F&quot;/&gt;&lt;wsp:rsid wsp:val=&quot;00962C9C&quot;/&gt;&lt;wsp:rsid wsp:val=&quot;0096321D&quot;/&gt;&lt;wsp:rsid wsp:val=&quot;0096322E&quot;/&gt;&lt;wsp:rsid wsp:val=&quot;00963335&quot;/&gt;&lt;wsp:rsid wsp:val=&quot;00963641&quot;/&gt;&lt;wsp:rsid wsp:val=&quot;00963875&quot;/&gt;&lt;wsp:rsid wsp:val=&quot;00963C8F&quot;/&gt;&lt;wsp:rsid wsp:val=&quot;00963ED6&quot;/&gt;&lt;wsp:rsid wsp:val=&quot;00964B5B&quot;/&gt;&lt;wsp:rsid wsp:val=&quot;00964C3B&quot;/&gt;&lt;wsp:rsid wsp:val=&quot;00964CC2&quot;/&gt;&lt;wsp:rsid wsp:val=&quot;00964FAD&quot;/&gt;&lt;wsp:rsid wsp:val=&quot;00965101&quot;/&gt;&lt;wsp:rsid wsp:val=&quot;0096561E&quot;/&gt;&lt;wsp:rsid wsp:val=&quot;00965B52&quot;/&gt;&lt;wsp:rsid wsp:val=&quot;00965F8B&quot;/&gt;&lt;wsp:rsid wsp:val=&quot;00965F9A&quot;/&gt;&lt;wsp:rsid wsp:val=&quot;0096657D&quot;/&gt;&lt;wsp:rsid wsp:val=&quot;009665E7&quot;/&gt;&lt;wsp:rsid wsp:val=&quot;009666AE&quot;/&gt;&lt;wsp:rsid wsp:val=&quot;009677C7&quot;/&gt;&lt;wsp:rsid wsp:val=&quot;009677F1&quot;/&gt;&lt;wsp:rsid wsp:val=&quot;00967B00&quot;/&gt;&lt;wsp:rsid wsp:val=&quot;009702E2&quot;/&gt;&lt;wsp:rsid wsp:val=&quot;00970446&quot;/&gt;&lt;wsp:rsid wsp:val=&quot;009708FB&quot;/&gt;&lt;wsp:rsid wsp:val=&quot;009709D6&quot;/&gt;&lt;wsp:rsid wsp:val=&quot;00970A36&quot;/&gt;&lt;wsp:rsid wsp:val=&quot;00970B6F&quot;/&gt;&lt;wsp:rsid wsp:val=&quot;00970DB1&quot;/&gt;&lt;wsp:rsid wsp:val=&quot;00971474&quot;/&gt;&lt;wsp:rsid wsp:val=&quot;00972173&quot;/&gt;&lt;wsp:rsid wsp:val=&quot;00972500&quot;/&gt;&lt;wsp:rsid wsp:val=&quot;009726BC&quot;/&gt;&lt;wsp:rsid wsp:val=&quot;00972A56&quot;/&gt;&lt;wsp:rsid wsp:val=&quot;0097314D&quot;/&gt;&lt;wsp:rsid wsp:val=&quot;00974009&quot;/&gt;&lt;wsp:rsid wsp:val=&quot;00974281&quot;/&gt;&lt;wsp:rsid wsp:val=&quot;00974385&quot;/&gt;&lt;wsp:rsid wsp:val=&quot;0097490F&quot;/&gt;&lt;wsp:rsid wsp:val=&quot;00974E70&quot;/&gt;&lt;wsp:rsid wsp:val=&quot;009751DE&quot;/&gt;&lt;wsp:rsid wsp:val=&quot;0097522C&quot;/&gt;&lt;wsp:rsid wsp:val=&quot;00975C40&quot;/&gt;&lt;wsp:rsid wsp:val=&quot;00976280&quot;/&gt;&lt;wsp:rsid wsp:val=&quot;009767B3&quot;/&gt;&lt;wsp:rsid wsp:val=&quot;00977339&quot;/&gt;&lt;wsp:rsid wsp:val=&quot;00977631&quot;/&gt;&lt;wsp:rsid wsp:val=&quot;00977768&quot;/&gt;&lt;wsp:rsid wsp:val=&quot;00977C81&quot;/&gt;&lt;wsp:rsid wsp:val=&quot;0098000F&quot;/&gt;&lt;wsp:rsid wsp:val=&quot;009809EF&quot;/&gt;&lt;wsp:rsid wsp:val=&quot;009815B0&quot;/&gt;&lt;wsp:rsid wsp:val=&quot;00981623&quot;/&gt;&lt;wsp:rsid wsp:val=&quot;00981770&quot;/&gt;&lt;wsp:rsid wsp:val=&quot;00982263&quot;/&gt;&lt;wsp:rsid wsp:val=&quot;009827FC&quot;/&gt;&lt;wsp:rsid wsp:val=&quot;00982EF3&quot;/&gt;&lt;wsp:rsid wsp:val=&quot;00983181&quot;/&gt;&lt;wsp:rsid wsp:val=&quot;009836FF&quot;/&gt;&lt;wsp:rsid wsp:val=&quot;00984331&quot;/&gt;&lt;wsp:rsid wsp:val=&quot;00984692&quot;/&gt;&lt;wsp:rsid wsp:val=&quot;009846D6&quot;/&gt;&lt;wsp:rsid wsp:val=&quot;00984F5C&quot;/&gt;&lt;wsp:rsid wsp:val=&quot;009854B8&quot;/&gt;&lt;wsp:rsid wsp:val=&quot;0098554A&quot;/&gt;&lt;wsp:rsid wsp:val=&quot;00985748&quot;/&gt;&lt;wsp:rsid wsp:val=&quot;009858AA&quot;/&gt;&lt;wsp:rsid wsp:val=&quot;009859E5&quot;/&gt;&lt;wsp:rsid wsp:val=&quot;00985A44&quot;/&gt;&lt;wsp:rsid wsp:val=&quot;00985AAA&quot;/&gt;&lt;wsp:rsid wsp:val=&quot;00985F05&quot;/&gt;&lt;wsp:rsid wsp:val=&quot;0098628D&quot;/&gt;&lt;wsp:rsid wsp:val=&quot;00986495&quot;/&gt;&lt;wsp:rsid wsp:val=&quot;00986C40&quot;/&gt;&lt;wsp:rsid wsp:val=&quot;00986CA7&quot;/&gt;&lt;wsp:rsid wsp:val=&quot;00986D53&quot;/&gt;&lt;wsp:rsid wsp:val=&quot;0098765D&quot;/&gt;&lt;wsp:rsid wsp:val=&quot;00987A80&quot;/&gt;&lt;wsp:rsid wsp:val=&quot;00987D3F&quot;/&gt;&lt;wsp:rsid wsp:val=&quot;00987EA3&quot;/&gt;&lt;wsp:rsid wsp:val=&quot;00990326&quot;/&gt;&lt;wsp:rsid wsp:val=&quot;0099062D&quot;/&gt;&lt;wsp:rsid wsp:val=&quot;00990807&quot;/&gt;&lt;wsp:rsid wsp:val=&quot;0099148B&quot;/&gt;&lt;wsp:rsid wsp:val=&quot;009918F8&quot;/&gt;&lt;wsp:rsid wsp:val=&quot;00992110&quot;/&gt;&lt;wsp:rsid wsp:val=&quot;00992722&quot;/&gt;&lt;wsp:rsid wsp:val=&quot;0099282B&quot;/&gt;&lt;wsp:rsid wsp:val=&quot;00992E70&quot;/&gt;&lt;wsp:rsid wsp:val=&quot;009934A0&quot;/&gt;&lt;wsp:rsid wsp:val=&quot;00993B9D&quot;/&gt;&lt;wsp:rsid wsp:val=&quot;00993DB7&quot;/&gt;&lt;wsp:rsid wsp:val=&quot;00994137&quot;/&gt;&lt;wsp:rsid wsp:val=&quot;00995038&quot;/&gt;&lt;wsp:rsid wsp:val=&quot;00995298&quot;/&gt;&lt;wsp:rsid wsp:val=&quot;0099529A&quot;/&gt;&lt;wsp:rsid wsp:val=&quot;009953D6&quot;/&gt;&lt;wsp:rsid wsp:val=&quot;00995538&quot;/&gt;&lt;wsp:rsid wsp:val=&quot;00995A2D&quot;/&gt;&lt;wsp:rsid wsp:val=&quot;00996523&quot;/&gt;&lt;wsp:rsid wsp:val=&quot;009967EC&quot;/&gt;&lt;wsp:rsid wsp:val=&quot;00996871&quot;/&gt;&lt;wsp:rsid wsp:val=&quot;00996B8F&quot;/&gt;&lt;wsp:rsid wsp:val=&quot;00996E38&quot;/&gt;&lt;wsp:rsid wsp:val=&quot;00997447&quot;/&gt;&lt;wsp:rsid wsp:val=&quot;0099746C&quot;/&gt;&lt;wsp:rsid wsp:val=&quot;00997889&quot;/&gt;&lt;wsp:rsid wsp:val=&quot;00997952&quot;/&gt;&lt;wsp:rsid wsp:val=&quot;00997F33&quot;/&gt;&lt;wsp:rsid wsp:val=&quot;009A00F8&quot;/&gt;&lt;wsp:rsid wsp:val=&quot;009A0194&quot;/&gt;&lt;wsp:rsid wsp:val=&quot;009A033A&quot;/&gt;&lt;wsp:rsid wsp:val=&quot;009A066E&quot;/&gt;&lt;wsp:rsid wsp:val=&quot;009A0D2D&quot;/&gt;&lt;wsp:rsid wsp:val=&quot;009A0EA0&quot;/&gt;&lt;wsp:rsid wsp:val=&quot;009A0F27&quot;/&gt;&lt;wsp:rsid wsp:val=&quot;009A1CA5&quot;/&gt;&lt;wsp:rsid wsp:val=&quot;009A1F94&quot;/&gt;&lt;wsp:rsid wsp:val=&quot;009A1FE0&quot;/&gt;&lt;wsp:rsid wsp:val=&quot;009A247B&quot;/&gt;&lt;wsp:rsid wsp:val=&quot;009A26EA&quot;/&gt;&lt;wsp:rsid wsp:val=&quot;009A2FB0&quot;/&gt;&lt;wsp:rsid wsp:val=&quot;009A33F1&quot;/&gt;&lt;wsp:rsid wsp:val=&quot;009A406A&quot;/&gt;&lt;wsp:rsid wsp:val=&quot;009A4086&quot;/&gt;&lt;wsp:rsid wsp:val=&quot;009A427E&quot;/&gt;&lt;wsp:rsid wsp:val=&quot;009A436C&quot;/&gt;&lt;wsp:rsid wsp:val=&quot;009A4C57&quot;/&gt;&lt;wsp:rsid wsp:val=&quot;009A52B6&quot;/&gt;&lt;wsp:rsid wsp:val=&quot;009A53DA&quot;/&gt;&lt;wsp:rsid wsp:val=&quot;009A5FCC&quot;/&gt;&lt;wsp:rsid wsp:val=&quot;009A5FD7&quot;/&gt;&lt;wsp:rsid wsp:val=&quot;009A615C&quot;/&gt;&lt;wsp:rsid wsp:val=&quot;009A75F6&quot;/&gt;&lt;wsp:rsid wsp:val=&quot;009A76F6&quot;/&gt;&lt;wsp:rsid wsp:val=&quot;009A77EF&quot;/&gt;&lt;wsp:rsid wsp:val=&quot;009A785D&quot;/&gt;&lt;wsp:rsid wsp:val=&quot;009A7B4C&quot;/&gt;&lt;wsp:rsid wsp:val=&quot;009B00BE&quot;/&gt;&lt;wsp:rsid wsp:val=&quot;009B06E8&quot;/&gt;&lt;wsp:rsid wsp:val=&quot;009B1412&quot;/&gt;&lt;wsp:rsid wsp:val=&quot;009B175C&quot;/&gt;&lt;wsp:rsid wsp:val=&quot;009B1AEA&quot;/&gt;&lt;wsp:rsid wsp:val=&quot;009B1ED9&quot;/&gt;&lt;wsp:rsid wsp:val=&quot;009B1FB2&quot;/&gt;&lt;wsp:rsid wsp:val=&quot;009B2950&quot;/&gt;&lt;wsp:rsid wsp:val=&quot;009B2A38&quot;/&gt;&lt;wsp:rsid wsp:val=&quot;009B31E2&quot;/&gt;&lt;wsp:rsid wsp:val=&quot;009B3BDB&quot;/&gt;&lt;wsp:rsid wsp:val=&quot;009B3E98&quot;/&gt;&lt;wsp:rsid wsp:val=&quot;009B4381&quot;/&gt;&lt;wsp:rsid wsp:val=&quot;009B4948&quot;/&gt;&lt;wsp:rsid wsp:val=&quot;009B5CEF&quot;/&gt;&lt;wsp:rsid wsp:val=&quot;009B62BC&quot;/&gt;&lt;wsp:rsid wsp:val=&quot;009B67DA&quot;/&gt;&lt;wsp:rsid wsp:val=&quot;009B6B01&quot;/&gt;&lt;wsp:rsid wsp:val=&quot;009B6D77&quot;/&gt;&lt;wsp:rsid wsp:val=&quot;009B70FC&quot;/&gt;&lt;wsp:rsid wsp:val=&quot;009B737F&quot;/&gt;&lt;wsp:rsid wsp:val=&quot;009B768C&quot;/&gt;&lt;wsp:rsid wsp:val=&quot;009B78FD&quot;/&gt;&lt;wsp:rsid wsp:val=&quot;009B7B0A&quot;/&gt;&lt;wsp:rsid wsp:val=&quot;009B7CC6&quot;/&gt;&lt;wsp:rsid wsp:val=&quot;009B7E01&quot;/&gt;&lt;wsp:rsid wsp:val=&quot;009B7F95&quot;/&gt;&lt;wsp:rsid wsp:val=&quot;009C0001&quot;/&gt;&lt;wsp:rsid wsp:val=&quot;009C006D&quot;/&gt;&lt;wsp:rsid wsp:val=&quot;009C0447&quot;/&gt;&lt;wsp:rsid wsp:val=&quot;009C0954&quot;/&gt;&lt;wsp:rsid wsp:val=&quot;009C0B5E&quot;/&gt;&lt;wsp:rsid wsp:val=&quot;009C0BC4&quot;/&gt;&lt;wsp:rsid wsp:val=&quot;009C0CD6&quot;/&gt;&lt;wsp:rsid wsp:val=&quot;009C11C1&quot;/&gt;&lt;wsp:rsid wsp:val=&quot;009C12A5&quot;/&gt;&lt;wsp:rsid wsp:val=&quot;009C1371&quot;/&gt;&lt;wsp:rsid wsp:val=&quot;009C1609&quot;/&gt;&lt;wsp:rsid wsp:val=&quot;009C1C83&quot;/&gt;&lt;wsp:rsid wsp:val=&quot;009C2399&quot;/&gt;&lt;wsp:rsid wsp:val=&quot;009C24A4&quot;/&gt;&lt;wsp:rsid wsp:val=&quot;009C270D&quot;/&gt;&lt;wsp:rsid wsp:val=&quot;009C2ABD&quot;/&gt;&lt;wsp:rsid wsp:val=&quot;009C2D41&quot;/&gt;&lt;wsp:rsid wsp:val=&quot;009C2FC0&quot;/&gt;&lt;wsp:rsid wsp:val=&quot;009C3067&quot;/&gt;&lt;wsp:rsid wsp:val=&quot;009C3533&quot;/&gt;&lt;wsp:rsid wsp:val=&quot;009C361B&quot;/&gt;&lt;wsp:rsid wsp:val=&quot;009C3933&quot;/&gt;&lt;wsp:rsid wsp:val=&quot;009C42B4&quot;/&gt;&lt;wsp:rsid wsp:val=&quot;009C48BE&quot;/&gt;&lt;wsp:rsid wsp:val=&quot;009C5027&quot;/&gt;&lt;wsp:rsid wsp:val=&quot;009C510C&quot;/&gt;&lt;wsp:rsid wsp:val=&quot;009C5530&quot;/&gt;&lt;wsp:rsid wsp:val=&quot;009C5756&quot;/&gt;&lt;wsp:rsid wsp:val=&quot;009C58CA&quot;/&gt;&lt;wsp:rsid wsp:val=&quot;009C58D6&quot;/&gt;&lt;wsp:rsid wsp:val=&quot;009C5D19&quot;/&gt;&lt;wsp:rsid wsp:val=&quot;009C6965&quot;/&gt;&lt;wsp:rsid wsp:val=&quot;009C6A73&quot;/&gt;&lt;wsp:rsid wsp:val=&quot;009C72F7&quot;/&gt;&lt;wsp:rsid wsp:val=&quot;009C7671&quot;/&gt;&lt;wsp:rsid wsp:val=&quot;009C7849&quot;/&gt;&lt;wsp:rsid wsp:val=&quot;009C7FF0&quot;/&gt;&lt;wsp:rsid wsp:val=&quot;009D0A08&quot;/&gt;&lt;wsp:rsid wsp:val=&quot;009D0B6A&quot;/&gt;&lt;wsp:rsid wsp:val=&quot;009D10BD&quot;/&gt;&lt;wsp:rsid wsp:val=&quot;009D19E4&quot;/&gt;&lt;wsp:rsid wsp:val=&quot;009D1A06&quot;/&gt;&lt;wsp:rsid wsp:val=&quot;009D1C3C&quot;/&gt;&lt;wsp:rsid wsp:val=&quot;009D2055&quot;/&gt;&lt;wsp:rsid wsp:val=&quot;009D273D&quot;/&gt;&lt;wsp:rsid wsp:val=&quot;009D2A84&quot;/&gt;&lt;wsp:rsid wsp:val=&quot;009D3231&quot;/&gt;&lt;wsp:rsid wsp:val=&quot;009D349D&quot;/&gt;&lt;wsp:rsid wsp:val=&quot;009D3591&quot;/&gt;&lt;wsp:rsid wsp:val=&quot;009D3862&quot;/&gt;&lt;wsp:rsid wsp:val=&quot;009D3C76&quot;/&gt;&lt;wsp:rsid wsp:val=&quot;009D3D0C&quot;/&gt;&lt;wsp:rsid wsp:val=&quot;009D3D6C&quot;/&gt;&lt;wsp:rsid wsp:val=&quot;009D3FEE&quot;/&gt;&lt;wsp:rsid wsp:val=&quot;009D4355&quot;/&gt;&lt;wsp:rsid wsp:val=&quot;009D4EE3&quot;/&gt;&lt;wsp:rsid wsp:val=&quot;009D5126&quot;/&gt;&lt;wsp:rsid wsp:val=&quot;009D5566&quot;/&gt;&lt;wsp:rsid wsp:val=&quot;009D5B36&quot;/&gt;&lt;wsp:rsid wsp:val=&quot;009D5BEE&quot;/&gt;&lt;wsp:rsid wsp:val=&quot;009D5F84&quot;/&gt;&lt;wsp:rsid wsp:val=&quot;009D62B6&quot;/&gt;&lt;wsp:rsid wsp:val=&quot;009D6617&quot;/&gt;&lt;wsp:rsid wsp:val=&quot;009D67B9&quot;/&gt;&lt;wsp:rsid wsp:val=&quot;009D6A31&quot;/&gt;&lt;wsp:rsid wsp:val=&quot;009D6CDE&quot;/&gt;&lt;wsp:rsid wsp:val=&quot;009D74EF&quot;/&gt;&lt;wsp:rsid wsp:val=&quot;009D7F92&quot;/&gt;&lt;wsp:rsid wsp:val=&quot;009E1225&quot;/&gt;&lt;wsp:rsid wsp:val=&quot;009E136A&quot;/&gt;&lt;wsp:rsid wsp:val=&quot;009E1399&quot;/&gt;&lt;wsp:rsid wsp:val=&quot;009E1632&quot;/&gt;&lt;wsp:rsid wsp:val=&quot;009E17B2&quot;/&gt;&lt;wsp:rsid wsp:val=&quot;009E18AB&quot;/&gt;&lt;wsp:rsid wsp:val=&quot;009E1BB0&quot;/&gt;&lt;wsp:rsid wsp:val=&quot;009E21CD&quot;/&gt;&lt;wsp:rsid wsp:val=&quot;009E225D&quot;/&gt;&lt;wsp:rsid wsp:val=&quot;009E2314&quot;/&gt;&lt;wsp:rsid wsp:val=&quot;009E25D2&quot;/&gt;&lt;wsp:rsid wsp:val=&quot;009E2737&quot;/&gt;&lt;wsp:rsid wsp:val=&quot;009E2CC9&quot;/&gt;&lt;wsp:rsid wsp:val=&quot;009E3181&quot;/&gt;&lt;wsp:rsid wsp:val=&quot;009E3192&quot;/&gt;&lt;wsp:rsid wsp:val=&quot;009E3400&quot;/&gt;&lt;wsp:rsid wsp:val=&quot;009E3933&quot;/&gt;&lt;wsp:rsid wsp:val=&quot;009E41A2&quot;/&gt;&lt;wsp:rsid wsp:val=&quot;009E41E0&quot;/&gt;&lt;wsp:rsid wsp:val=&quot;009E4459&quot;/&gt;&lt;wsp:rsid wsp:val=&quot;009E47CA&quot;/&gt;&lt;wsp:rsid wsp:val=&quot;009E56A2&quot;/&gt;&lt;wsp:rsid wsp:val=&quot;009E5D1D&quot;/&gt;&lt;wsp:rsid wsp:val=&quot;009E6321&quot;/&gt;&lt;wsp:rsid wsp:val=&quot;009E6762&quot;/&gt;&lt;wsp:rsid wsp:val=&quot;009E6979&quot;/&gt;&lt;wsp:rsid wsp:val=&quot;009E699D&quot;/&gt;&lt;wsp:rsid wsp:val=&quot;009E7342&quot;/&gt;&lt;wsp:rsid wsp:val=&quot;009E7922&quot;/&gt;&lt;wsp:rsid wsp:val=&quot;009F00D5&quot;/&gt;&lt;wsp:rsid wsp:val=&quot;009F09F4&quot;/&gt;&lt;wsp:rsid wsp:val=&quot;009F0BE1&quot;/&gt;&lt;wsp:rsid wsp:val=&quot;009F0F83&quot;/&gt;&lt;wsp:rsid wsp:val=&quot;009F135E&quot;/&gt;&lt;wsp:rsid wsp:val=&quot;009F2089&quot;/&gt;&lt;wsp:rsid wsp:val=&quot;009F2474&quot;/&gt;&lt;wsp:rsid wsp:val=&quot;009F25DE&quot;/&gt;&lt;wsp:rsid wsp:val=&quot;009F2731&quot;/&gt;&lt;wsp:rsid wsp:val=&quot;009F2A6C&quot;/&gt;&lt;wsp:rsid wsp:val=&quot;009F2EFE&quot;/&gt;&lt;wsp:rsid wsp:val=&quot;009F3128&quot;/&gt;&lt;wsp:rsid wsp:val=&quot;009F35C2&quot;/&gt;&lt;wsp:rsid wsp:val=&quot;009F3853&quot;/&gt;&lt;wsp:rsid wsp:val=&quot;009F3BDB&quot;/&gt;&lt;wsp:rsid wsp:val=&quot;009F4B13&quot;/&gt;&lt;wsp:rsid wsp:val=&quot;009F4C1D&quot;/&gt;&lt;wsp:rsid wsp:val=&quot;009F53C7&quot;/&gt;&lt;wsp:rsid wsp:val=&quot;009F5B5C&quot;/&gt;&lt;wsp:rsid wsp:val=&quot;009F743D&quot;/&gt;&lt;wsp:rsid wsp:val=&quot;00A00079&quot;/&gt;&lt;wsp:rsid wsp:val=&quot;00A003A1&quot;/&gt;&lt;wsp:rsid wsp:val=&quot;00A00B2C&quot;/&gt;&lt;wsp:rsid wsp:val=&quot;00A00FA2&quot;/&gt;&lt;wsp:rsid wsp:val=&quot;00A01103&quot;/&gt;&lt;wsp:rsid wsp:val=&quot;00A0120D&quot;/&gt;&lt;wsp:rsid wsp:val=&quot;00A01B20&quot;/&gt;&lt;wsp:rsid wsp:val=&quot;00A01C34&quot;/&gt;&lt;wsp:rsid wsp:val=&quot;00A021E2&quot;/&gt;&lt;wsp:rsid wsp:val=&quot;00A035FF&quot;/&gt;&lt;wsp:rsid wsp:val=&quot;00A0371D&quot;/&gt;&lt;wsp:rsid wsp:val=&quot;00A03A59&quot;/&gt;&lt;wsp:rsid wsp:val=&quot;00A03ACB&quot;/&gt;&lt;wsp:rsid wsp:val=&quot;00A03BB5&quot;/&gt;&lt;wsp:rsid wsp:val=&quot;00A03F77&quot;/&gt;&lt;wsp:rsid wsp:val=&quot;00A0427E&quot;/&gt;&lt;wsp:rsid wsp:val=&quot;00A042F8&quot;/&gt;&lt;wsp:rsid wsp:val=&quot;00A0452C&quot;/&gt;&lt;wsp:rsid wsp:val=&quot;00A046E7&quot;/&gt;&lt;wsp:rsid wsp:val=&quot;00A04B32&quot;/&gt;&lt;wsp:rsid wsp:val=&quot;00A04D0F&quot;/&gt;&lt;wsp:rsid wsp:val=&quot;00A04F77&quot;/&gt;&lt;wsp:rsid wsp:val=&quot;00A050F3&quot;/&gt;&lt;wsp:rsid wsp:val=&quot;00A05343&quot;/&gt;&lt;wsp:rsid wsp:val=&quot;00A053C7&quot;/&gt;&lt;wsp:rsid wsp:val=&quot;00A05677&quot;/&gt;&lt;wsp:rsid wsp:val=&quot;00A0591E&quot;/&gt;&lt;wsp:rsid wsp:val=&quot;00A05B4A&quot;/&gt;&lt;wsp:rsid wsp:val=&quot;00A05C2D&quot;/&gt;&lt;wsp:rsid wsp:val=&quot;00A06A03&quot;/&gt;&lt;wsp:rsid wsp:val=&quot;00A06BC1&quot;/&gt;&lt;wsp:rsid wsp:val=&quot;00A06C9D&quot;/&gt;&lt;wsp:rsid wsp:val=&quot;00A06DB5&quot;/&gt;&lt;wsp:rsid wsp:val=&quot;00A0748F&quot;/&gt;&lt;wsp:rsid wsp:val=&quot;00A079F1&quot;/&gt;&lt;wsp:rsid wsp:val=&quot;00A07B2C&quot;/&gt;&lt;wsp:rsid wsp:val=&quot;00A10D9B&quot;/&gt;&lt;wsp:rsid wsp:val=&quot;00A1145F&quot;/&gt;&lt;wsp:rsid wsp:val=&quot;00A11C52&quot;/&gt;&lt;wsp:rsid wsp:val=&quot;00A11C5C&quot;/&gt;&lt;wsp:rsid wsp:val=&quot;00A11D1F&quot;/&gt;&lt;wsp:rsid wsp:val=&quot;00A11D8C&quot;/&gt;&lt;wsp:rsid wsp:val=&quot;00A12172&quot;/&gt;&lt;wsp:rsid wsp:val=&quot;00A1222A&quot;/&gt;&lt;wsp:rsid wsp:val=&quot;00A12826&quot;/&gt;&lt;wsp:rsid wsp:val=&quot;00A12B42&quot;/&gt;&lt;wsp:rsid wsp:val=&quot;00A12F4B&quot;/&gt;&lt;wsp:rsid wsp:val=&quot;00A13143&quot;/&gt;&lt;wsp:rsid wsp:val=&quot;00A132CA&quot;/&gt;&lt;wsp:rsid wsp:val=&quot;00A1382C&quot;/&gt;&lt;wsp:rsid wsp:val=&quot;00A13CB4&quot;/&gt;&lt;wsp:rsid wsp:val=&quot;00A13ED1&quot;/&gt;&lt;wsp:rsid wsp:val=&quot;00A14295&quot;/&gt;&lt;wsp:rsid wsp:val=&quot;00A14943&quot;/&gt;&lt;wsp:rsid wsp:val=&quot;00A14F37&quot;/&gt;&lt;wsp:rsid wsp:val=&quot;00A15042&quot;/&gt;&lt;wsp:rsid wsp:val=&quot;00A1539F&quot;/&gt;&lt;wsp:rsid wsp:val=&quot;00A157CB&quot;/&gt;&lt;wsp:rsid wsp:val=&quot;00A15C90&quot;/&gt;&lt;wsp:rsid wsp:val=&quot;00A16650&quot;/&gt;&lt;wsp:rsid wsp:val=&quot;00A1679E&quot;/&gt;&lt;wsp:rsid wsp:val=&quot;00A167F7&quot;/&gt;&lt;wsp:rsid wsp:val=&quot;00A16F8F&quot;/&gt;&lt;wsp:rsid wsp:val=&quot;00A170BE&quot;/&gt;&lt;wsp:rsid wsp:val=&quot;00A17933&quot;/&gt;&lt;wsp:rsid wsp:val=&quot;00A17A3B&quot;/&gt;&lt;wsp:rsid wsp:val=&quot;00A17E2E&quot;/&gt;&lt;wsp:rsid wsp:val=&quot;00A17E9E&quot;/&gt;&lt;wsp:rsid wsp:val=&quot;00A17F35&quot;/&gt;&lt;wsp:rsid wsp:val=&quot;00A20289&quot;/&gt;&lt;wsp:rsid wsp:val=&quot;00A20639&quot;/&gt;&lt;wsp:rsid wsp:val=&quot;00A20776&quot;/&gt;&lt;wsp:rsid wsp:val=&quot;00A2117F&quot;/&gt;&lt;wsp:rsid wsp:val=&quot;00A21576&quot;/&gt;&lt;wsp:rsid wsp:val=&quot;00A2171D&quot;/&gt;&lt;wsp:rsid wsp:val=&quot;00A21B33&quot;/&gt;&lt;wsp:rsid wsp:val=&quot;00A21DCA&quot;/&gt;&lt;wsp:rsid wsp:val=&quot;00A22051&quot;/&gt;&lt;wsp:rsid wsp:val=&quot;00A2218B&quot;/&gt;&lt;wsp:rsid wsp:val=&quot;00A225B4&quot;/&gt;&lt;wsp:rsid wsp:val=&quot;00A2271E&quot;/&gt;&lt;wsp:rsid wsp:val=&quot;00A22F56&quot;/&gt;&lt;wsp:rsid wsp:val=&quot;00A22F88&quot;/&gt;&lt;wsp:rsid wsp:val=&quot;00A2308A&quot;/&gt;&lt;wsp:rsid wsp:val=&quot;00A23590&quot;/&gt;&lt;wsp:rsid wsp:val=&quot;00A238C6&quot;/&gt;&lt;wsp:rsid wsp:val=&quot;00A23A88&quot;/&gt;&lt;wsp:rsid wsp:val=&quot;00A2422C&quot;/&gt;&lt;wsp:rsid wsp:val=&quot;00A24560&quot;/&gt;&lt;wsp:rsid wsp:val=&quot;00A2545A&quot;/&gt;&lt;wsp:rsid wsp:val=&quot;00A2602E&quot;/&gt;&lt;wsp:rsid wsp:val=&quot;00A26074&quot;/&gt;&lt;wsp:rsid wsp:val=&quot;00A262C7&quot;/&gt;&lt;wsp:rsid wsp:val=&quot;00A268FA&quot;/&gt;&lt;wsp:rsid wsp:val=&quot;00A26F35&quot;/&gt;&lt;wsp:rsid wsp:val=&quot;00A273D4&quot;/&gt;&lt;wsp:rsid wsp:val=&quot;00A27E4F&quot;/&gt;&lt;wsp:rsid wsp:val=&quot;00A30547&quot;/&gt;&lt;wsp:rsid wsp:val=&quot;00A3120C&quot;/&gt;&lt;wsp:rsid wsp:val=&quot;00A3128D&quot;/&gt;&lt;wsp:rsid wsp:val=&quot;00A314D1&quot;/&gt;&lt;wsp:rsid wsp:val=&quot;00A31A46&quot;/&gt;&lt;wsp:rsid wsp:val=&quot;00A32C96&quot;/&gt;&lt;wsp:rsid wsp:val=&quot;00A32F8C&quot;/&gt;&lt;wsp:rsid wsp:val=&quot;00A337F3&quot;/&gt;&lt;wsp:rsid wsp:val=&quot;00A33B92&quot;/&gt;&lt;wsp:rsid wsp:val=&quot;00A33BE3&quot;/&gt;&lt;wsp:rsid wsp:val=&quot;00A33F6F&quot;/&gt;&lt;wsp:rsid wsp:val=&quot;00A34D3A&quot;/&gt;&lt;wsp:rsid wsp:val=&quot;00A35436&quot;/&gt;&lt;wsp:rsid wsp:val=&quot;00A35738&quot;/&gt;&lt;wsp:rsid wsp:val=&quot;00A359EA&quot;/&gt;&lt;wsp:rsid wsp:val=&quot;00A35D94&quot;/&gt;&lt;wsp:rsid wsp:val=&quot;00A366BA&quot;/&gt;&lt;wsp:rsid wsp:val=&quot;00A368E3&quot;/&gt;&lt;wsp:rsid wsp:val=&quot;00A3692B&quot;/&gt;&lt;wsp:rsid wsp:val=&quot;00A36B57&quot;/&gt;&lt;wsp:rsid wsp:val=&quot;00A3700D&quot;/&gt;&lt;wsp:rsid wsp:val=&quot;00A37631&quot;/&gt;&lt;wsp:rsid wsp:val=&quot;00A37781&quot;/&gt;&lt;wsp:rsid wsp:val=&quot;00A37CC5&quot;/&gt;&lt;wsp:rsid wsp:val=&quot;00A40B3E&quot;/&gt;&lt;wsp:rsid wsp:val=&quot;00A40D83&quot;/&gt;&lt;wsp:rsid wsp:val=&quot;00A40E71&quot;/&gt;&lt;wsp:rsid wsp:val=&quot;00A40FBA&quot;/&gt;&lt;wsp:rsid wsp:val=&quot;00A413DD&quot;/&gt;&lt;wsp:rsid wsp:val=&quot;00A41CCD&quot;/&gt;&lt;wsp:rsid wsp:val=&quot;00A42096&quot;/&gt;&lt;wsp:rsid wsp:val=&quot;00A4242B&quot;/&gt;&lt;wsp:rsid wsp:val=&quot;00A428EF&quot;/&gt;&lt;wsp:rsid wsp:val=&quot;00A4329F&quot;/&gt;&lt;wsp:rsid wsp:val=&quot;00A440DF&quot;/&gt;&lt;wsp:rsid wsp:val=&quot;00A44179&quot;/&gt;&lt;wsp:rsid wsp:val=&quot;00A44670&quot;/&gt;&lt;wsp:rsid wsp:val=&quot;00A44DA3&quot;/&gt;&lt;wsp:rsid wsp:val=&quot;00A44E6A&quot;/&gt;&lt;wsp:rsid wsp:val=&quot;00A44ED9&quot;/&gt;&lt;wsp:rsid wsp:val=&quot;00A4577B&quot;/&gt;&lt;wsp:rsid wsp:val=&quot;00A45CB1&quot;/&gt;&lt;wsp:rsid wsp:val=&quot;00A4666B&quot;/&gt;&lt;wsp:rsid wsp:val=&quot;00A4670E&quot;/&gt;&lt;wsp:rsid wsp:val=&quot;00A46945&quot;/&gt;&lt;wsp:rsid wsp:val=&quot;00A46C7F&quot;/&gt;&lt;wsp:rsid wsp:val=&quot;00A473F9&quot;/&gt;&lt;wsp:rsid wsp:val=&quot;00A47643&quot;/&gt;&lt;wsp:rsid wsp:val=&quot;00A477F7&quot;/&gt;&lt;wsp:rsid wsp:val=&quot;00A500FD&quot;/&gt;&lt;wsp:rsid wsp:val=&quot;00A50553&quot;/&gt;&lt;wsp:rsid wsp:val=&quot;00A50660&quot;/&gt;&lt;wsp:rsid wsp:val=&quot;00A5088A&quot;/&gt;&lt;wsp:rsid wsp:val=&quot;00A5096D&quot;/&gt;&lt;wsp:rsid wsp:val=&quot;00A511E0&quot;/&gt;&lt;wsp:rsid wsp:val=&quot;00A512A8&quot;/&gt;&lt;wsp:rsid wsp:val=&quot;00A514C9&quot;/&gt;&lt;wsp:rsid wsp:val=&quot;00A51952&quot;/&gt;&lt;wsp:rsid wsp:val=&quot;00A519DB&quot;/&gt;&lt;wsp:rsid wsp:val=&quot;00A51A02&quot;/&gt;&lt;wsp:rsid wsp:val=&quot;00A51AE9&quot;/&gt;&lt;wsp:rsid wsp:val=&quot;00A523BC&quot;/&gt;&lt;wsp:rsid wsp:val=&quot;00A528CB&quot;/&gt;&lt;wsp:rsid wsp:val=&quot;00A529D3&quot;/&gt;&lt;wsp:rsid wsp:val=&quot;00A52C2D&quot;/&gt;&lt;wsp:rsid wsp:val=&quot;00A52D14&quot;/&gt;&lt;wsp:rsid wsp:val=&quot;00A52F05&quot;/&gt;&lt;wsp:rsid wsp:val=&quot;00A52F13&quot;/&gt;&lt;wsp:rsid wsp:val=&quot;00A532B3&quot;/&gt;&lt;wsp:rsid wsp:val=&quot;00A53BFE&quot;/&gt;&lt;wsp:rsid wsp:val=&quot;00A540AE&quot;/&gt;&lt;wsp:rsid wsp:val=&quot;00A54192&quot;/&gt;&lt;wsp:rsid wsp:val=&quot;00A54C91&quot;/&gt;&lt;wsp:rsid wsp:val=&quot;00A54D24&quot;/&gt;&lt;wsp:rsid wsp:val=&quot;00A55178&quot;/&gt;&lt;wsp:rsid wsp:val=&quot;00A553ED&quot;/&gt;&lt;wsp:rsid wsp:val=&quot;00A5550C&quot;/&gt;&lt;wsp:rsid wsp:val=&quot;00A555FE&quot;/&gt;&lt;wsp:rsid wsp:val=&quot;00A5563C&quot;/&gt;&lt;wsp:rsid wsp:val=&quot;00A55896&quot;/&gt;&lt;wsp:rsid wsp:val=&quot;00A55D3B&quot;/&gt;&lt;wsp:rsid wsp:val=&quot;00A55EED&quot;/&gt;&lt;wsp:rsid wsp:val=&quot;00A560F1&quot;/&gt;&lt;wsp:rsid wsp:val=&quot;00A563C5&quot;/&gt;&lt;wsp:rsid wsp:val=&quot;00A56C1A&quot;/&gt;&lt;wsp:rsid wsp:val=&quot;00A56CF4&quot;/&gt;&lt;wsp:rsid wsp:val=&quot;00A5745B&quot;/&gt;&lt;wsp:rsid wsp:val=&quot;00A57647&quot;/&gt;&lt;wsp:rsid wsp:val=&quot;00A577CA&quot;/&gt;&lt;wsp:rsid wsp:val=&quot;00A578B1&quot;/&gt;&lt;wsp:rsid wsp:val=&quot;00A57933&quot;/&gt;&lt;wsp:rsid wsp:val=&quot;00A57CA1&quot;/&gt;&lt;wsp:rsid wsp:val=&quot;00A60921&quot;/&gt;&lt;wsp:rsid wsp:val=&quot;00A60AD1&quot;/&gt;&lt;wsp:rsid wsp:val=&quot;00A611EE&quot;/&gt;&lt;wsp:rsid wsp:val=&quot;00A61867&quot;/&gt;&lt;wsp:rsid wsp:val=&quot;00A61C2E&quot;/&gt;&lt;wsp:rsid wsp:val=&quot;00A61CF5&quot;/&gt;&lt;wsp:rsid wsp:val=&quot;00A6217D&quot;/&gt;&lt;wsp:rsid wsp:val=&quot;00A621AA&quot;/&gt;&lt;wsp:rsid wsp:val=&quot;00A62312&quot;/&gt;&lt;wsp:rsid wsp:val=&quot;00A62605&quot;/&gt;&lt;wsp:rsid wsp:val=&quot;00A62708&quot;/&gt;&lt;wsp:rsid wsp:val=&quot;00A62B02&quot;/&gt;&lt;wsp:rsid wsp:val=&quot;00A62B81&quot;/&gt;&lt;wsp:rsid wsp:val=&quot;00A63338&quot;/&gt;&lt;wsp:rsid wsp:val=&quot;00A6355E&quot;/&gt;&lt;wsp:rsid wsp:val=&quot;00A636D1&quot;/&gt;&lt;wsp:rsid wsp:val=&quot;00A63B3D&quot;/&gt;&lt;wsp:rsid wsp:val=&quot;00A63E7F&quot;/&gt;&lt;wsp:rsid wsp:val=&quot;00A63FAC&quot;/&gt;&lt;wsp:rsid wsp:val=&quot;00A646B6&quot;/&gt;&lt;wsp:rsid wsp:val=&quot;00A647EB&quot;/&gt;&lt;wsp:rsid wsp:val=&quot;00A65006&quot;/&gt;&lt;wsp:rsid wsp:val=&quot;00A6546B&quot;/&gt;&lt;wsp:rsid wsp:val=&quot;00A65AC9&quot;/&gt;&lt;wsp:rsid wsp:val=&quot;00A65B1F&quot;/&gt;&lt;wsp:rsid wsp:val=&quot;00A669C9&quot;/&gt;&lt;wsp:rsid wsp:val=&quot;00A66AF5&quot;/&gt;&lt;wsp:rsid wsp:val=&quot;00A670F8&quot;/&gt;&lt;wsp:rsid wsp:val=&quot;00A67A15&quot;/&gt;&lt;wsp:rsid wsp:val=&quot;00A67ACB&quot;/&gt;&lt;wsp:rsid wsp:val=&quot;00A67D19&quot;/&gt;&lt;wsp:rsid wsp:val=&quot;00A70388&quot;/&gt;&lt;wsp:rsid wsp:val=&quot;00A708B1&quot;/&gt;&lt;wsp:rsid wsp:val=&quot;00A7092F&quot;/&gt;&lt;wsp:rsid wsp:val=&quot;00A70FB9&quot;/&gt;&lt;wsp:rsid wsp:val=&quot;00A7142D&quot;/&gt;&lt;wsp:rsid wsp:val=&quot;00A72282&quot;/&gt;&lt;wsp:rsid wsp:val=&quot;00A72909&quot;/&gt;&lt;wsp:rsid wsp:val=&quot;00A72C0E&quot;/&gt;&lt;wsp:rsid wsp:val=&quot;00A72EE2&quot;/&gt;&lt;wsp:rsid wsp:val=&quot;00A731A9&quot;/&gt;&lt;wsp:rsid wsp:val=&quot;00A73448&quot;/&gt;&lt;wsp:rsid wsp:val=&quot;00A7372B&quot;/&gt;&lt;wsp:rsid wsp:val=&quot;00A73BA9&quot;/&gt;&lt;wsp:rsid wsp:val=&quot;00A73CFD&quot;/&gt;&lt;wsp:rsid wsp:val=&quot;00A742D0&quot;/&gt;&lt;wsp:rsid wsp:val=&quot;00A7573D&quot;/&gt;&lt;wsp:rsid wsp:val=&quot;00A76551&quot;/&gt;&lt;wsp:rsid wsp:val=&quot;00A766E6&quot;/&gt;&lt;wsp:rsid wsp:val=&quot;00A7695D&quot;/&gt;&lt;wsp:rsid wsp:val=&quot;00A76A04&quot;/&gt;&lt;wsp:rsid wsp:val=&quot;00A76AED&quot;/&gt;&lt;wsp:rsid wsp:val=&quot;00A76DCC&quot;/&gt;&lt;wsp:rsid wsp:val=&quot;00A770CE&quot;/&gt;&lt;wsp:rsid wsp:val=&quot;00A77389&quot;/&gt;&lt;wsp:rsid wsp:val=&quot;00A7762A&quot;/&gt;&lt;wsp:rsid wsp:val=&quot;00A77BC7&quot;/&gt;&lt;wsp:rsid wsp:val=&quot;00A77D57&quot;/&gt;&lt;wsp:rsid wsp:val=&quot;00A77E07&quot;/&gt;&lt;wsp:rsid wsp:val=&quot;00A80457&quot;/&gt;&lt;wsp:rsid wsp:val=&quot;00A80E5E&quot;/&gt;&lt;wsp:rsid wsp:val=&quot;00A8101E&quot;/&gt;&lt;wsp:rsid wsp:val=&quot;00A8145D&quot;/&gt;&lt;wsp:rsid wsp:val=&quot;00A81AE8&quot;/&gt;&lt;wsp:rsid wsp:val=&quot;00A81F5C&quot;/&gt;&lt;wsp:rsid wsp:val=&quot;00A8204D&quot;/&gt;&lt;wsp:rsid wsp:val=&quot;00A8241B&quot;/&gt;&lt;wsp:rsid wsp:val=&quot;00A82AF9&quot;/&gt;&lt;wsp:rsid wsp:val=&quot;00A832F4&quot;/&gt;&lt;wsp:rsid wsp:val=&quot;00A83964&quot;/&gt;&lt;wsp:rsid wsp:val=&quot;00A83972&quot;/&gt;&lt;wsp:rsid wsp:val=&quot;00A83C83&quot;/&gt;&lt;wsp:rsid wsp:val=&quot;00A83FEC&quot;/&gt;&lt;wsp:rsid wsp:val=&quot;00A840FE&quot;/&gt;&lt;wsp:rsid wsp:val=&quot;00A84602&quot;/&gt;&lt;wsp:rsid wsp:val=&quot;00A849C1&quot;/&gt;&lt;wsp:rsid wsp:val=&quot;00A84EA4&quot;/&gt;&lt;wsp:rsid wsp:val=&quot;00A85615&quot;/&gt;&lt;wsp:rsid wsp:val=&quot;00A85686&quot;/&gt;&lt;wsp:rsid wsp:val=&quot;00A85AC7&quot;/&gt;&lt;wsp:rsid wsp:val=&quot;00A86CA2&quot;/&gt;&lt;wsp:rsid wsp:val=&quot;00A8725B&quot;/&gt;&lt;wsp:rsid wsp:val=&quot;00A87443&quot;/&gt;&lt;wsp:rsid wsp:val=&quot;00A87D9B&quot;/&gt;&lt;wsp:rsid wsp:val=&quot;00A90DA6&quot;/&gt;&lt;wsp:rsid wsp:val=&quot;00A91D74&quot;/&gt;&lt;wsp:rsid wsp:val=&quot;00A91E13&quot;/&gt;&lt;wsp:rsid wsp:val=&quot;00A9280F&quot;/&gt;&lt;wsp:rsid wsp:val=&quot;00A92CF1&quot;/&gt;&lt;wsp:rsid wsp:val=&quot;00A92E21&quot;/&gt;&lt;wsp:rsid wsp:val=&quot;00A92EAF&quot;/&gt;&lt;wsp:rsid wsp:val=&quot;00A93183&quot;/&gt;&lt;wsp:rsid wsp:val=&quot;00A932E6&quot;/&gt;&lt;wsp:rsid wsp:val=&quot;00A934AD&quot;/&gt;&lt;wsp:rsid wsp:val=&quot;00A93756&quot;/&gt;&lt;wsp:rsid wsp:val=&quot;00A939A3&quot;/&gt;&lt;wsp:rsid wsp:val=&quot;00A939E0&quot;/&gt;&lt;wsp:rsid wsp:val=&quot;00A93A0B&quot;/&gt;&lt;wsp:rsid wsp:val=&quot;00A93ED3&quot;/&gt;&lt;wsp:rsid wsp:val=&quot;00A9402B&quot;/&gt;&lt;wsp:rsid wsp:val=&quot;00A94217&quot;/&gt;&lt;wsp:rsid wsp:val=&quot;00A94458&quot;/&gt;&lt;wsp:rsid wsp:val=&quot;00A94AA1&quot;/&gt;&lt;wsp:rsid wsp:val=&quot;00A94ACA&quot;/&gt;&lt;wsp:rsid wsp:val=&quot;00A9526C&quot;/&gt;&lt;wsp:rsid wsp:val=&quot;00A9573C&quot;/&gt;&lt;wsp:rsid wsp:val=&quot;00A957C3&quot;/&gt;&lt;wsp:rsid wsp:val=&quot;00A95860&quot;/&gt;&lt;wsp:rsid wsp:val=&quot;00A958A9&quot;/&gt;&lt;wsp:rsid wsp:val=&quot;00A95910&quot;/&gt;&lt;wsp:rsid wsp:val=&quot;00A95D10&quot;/&gt;&lt;wsp:rsid wsp:val=&quot;00A95EC7&quot;/&gt;&lt;wsp:rsid wsp:val=&quot;00A9643A&quot;/&gt;&lt;wsp:rsid wsp:val=&quot;00A9707F&quot;/&gt;&lt;wsp:rsid wsp:val=&quot;00A97760&quot;/&gt;&lt;wsp:rsid wsp:val=&quot;00A97804&quot;/&gt;&lt;wsp:rsid wsp:val=&quot;00A97922&quot;/&gt;&lt;wsp:rsid wsp:val=&quot;00A979B9&quot;/&gt;&lt;wsp:rsid wsp:val=&quot;00A97BE0&quot;/&gt;&lt;wsp:rsid wsp:val=&quot;00A97EBC&quot;/&gt;&lt;wsp:rsid wsp:val=&quot;00AA0646&quot;/&gt;&lt;wsp:rsid wsp:val=&quot;00AA06FC&quot;/&gt;&lt;wsp:rsid wsp:val=&quot;00AA16C8&quot;/&gt;&lt;wsp:rsid wsp:val=&quot;00AA1B83&quot;/&gt;&lt;wsp:rsid wsp:val=&quot;00AA1C2B&quot;/&gt;&lt;wsp:rsid wsp:val=&quot;00AA1DD5&quot;/&gt;&lt;wsp:rsid wsp:val=&quot;00AA25B4&quot;/&gt;&lt;wsp:rsid wsp:val=&quot;00AA25C9&quot;/&gt;&lt;wsp:rsid wsp:val=&quot;00AA3C0D&quot;/&gt;&lt;wsp:rsid wsp:val=&quot;00AA4063&quot;/&gt;&lt;wsp:rsid wsp:val=&quot;00AA42E3&quot;/&gt;&lt;wsp:rsid wsp:val=&quot;00AA438C&quot;/&gt;&lt;wsp:rsid wsp:val=&quot;00AA4493&quot;/&gt;&lt;wsp:rsid wsp:val=&quot;00AA457F&quot;/&gt;&lt;wsp:rsid wsp:val=&quot;00AA4631&quot;/&gt;&lt;wsp:rsid wsp:val=&quot;00AA489C&quot;/&gt;&lt;wsp:rsid wsp:val=&quot;00AA494A&quot;/&gt;&lt;wsp:rsid wsp:val=&quot;00AA502F&quot;/&gt;&lt;wsp:rsid wsp:val=&quot;00AA538E&quot;/&gt;&lt;wsp:rsid wsp:val=&quot;00AA53DD&quot;/&gt;&lt;wsp:rsid wsp:val=&quot;00AA53FB&quot;/&gt;&lt;wsp:rsid wsp:val=&quot;00AA6234&quot;/&gt;&lt;wsp:rsid wsp:val=&quot;00AA6437&quot;/&gt;&lt;wsp:rsid wsp:val=&quot;00AA64B1&quot;/&gt;&lt;wsp:rsid wsp:val=&quot;00AA6C67&quot;/&gt;&lt;wsp:rsid wsp:val=&quot;00AA705C&quot;/&gt;&lt;wsp:rsid wsp:val=&quot;00AA72AF&quot;/&gt;&lt;wsp:rsid wsp:val=&quot;00AA7848&quot;/&gt;&lt;wsp:rsid wsp:val=&quot;00AA7856&quot;/&gt;&lt;wsp:rsid wsp:val=&quot;00AA7863&quot;/&gt;&lt;wsp:rsid wsp:val=&quot;00AA7890&quot;/&gt;&lt;wsp:rsid wsp:val=&quot;00AA78B4&quot;/&gt;&lt;wsp:rsid wsp:val=&quot;00AA7954&quot;/&gt;&lt;wsp:rsid wsp:val=&quot;00AA7C43&quot;/&gt;&lt;wsp:rsid wsp:val=&quot;00AA7CE3&quot;/&gt;&lt;wsp:rsid wsp:val=&quot;00AA7FB6&quot;/&gt;&lt;wsp:rsid wsp:val=&quot;00AB0247&quot;/&gt;&lt;wsp:rsid wsp:val=&quot;00AB0267&quot;/&gt;&lt;wsp:rsid wsp:val=&quot;00AB0652&quot;/&gt;&lt;wsp:rsid wsp:val=&quot;00AB0762&quot;/&gt;&lt;wsp:rsid wsp:val=&quot;00AB1276&quot;/&gt;&lt;wsp:rsid wsp:val=&quot;00AB17BB&quot;/&gt;&lt;wsp:rsid wsp:val=&quot;00AB1C8B&quot;/&gt;&lt;wsp:rsid wsp:val=&quot;00AB264A&quot;/&gt;&lt;wsp:rsid wsp:val=&quot;00AB2796&quot;/&gt;&lt;wsp:rsid wsp:val=&quot;00AB2DB2&quot;/&gt;&lt;wsp:rsid wsp:val=&quot;00AB3604&quot;/&gt;&lt;wsp:rsid wsp:val=&quot;00AB3752&quot;/&gt;&lt;wsp:rsid wsp:val=&quot;00AB37C6&quot;/&gt;&lt;wsp:rsid wsp:val=&quot;00AB3A50&quot;/&gt;&lt;wsp:rsid wsp:val=&quot;00AB3AE9&quot;/&gt;&lt;wsp:rsid wsp:val=&quot;00AB3BB7&quot;/&gt;&lt;wsp:rsid wsp:val=&quot;00AB3BC4&quot;/&gt;&lt;wsp:rsid wsp:val=&quot;00AB3ED2&quot;/&gt;&lt;wsp:rsid wsp:val=&quot;00AB4121&quot;/&gt;&lt;wsp:rsid wsp:val=&quot;00AB5A60&quot;/&gt;&lt;wsp:rsid wsp:val=&quot;00AB639D&quot;/&gt;&lt;wsp:rsid wsp:val=&quot;00AB65A0&quot;/&gt;&lt;wsp:rsid wsp:val=&quot;00AB6C83&quot;/&gt;&lt;wsp:rsid wsp:val=&quot;00AB73FF&quot;/&gt;&lt;wsp:rsid wsp:val=&quot;00AB7672&quot;/&gt;&lt;wsp:rsid wsp:val=&quot;00AB7743&quot;/&gt;&lt;wsp:rsid wsp:val=&quot;00AB7D57&quot;/&gt;&lt;wsp:rsid wsp:val=&quot;00AC0D16&quot;/&gt;&lt;wsp:rsid wsp:val=&quot;00AC14FD&quot;/&gt;&lt;wsp:rsid wsp:val=&quot;00AC1A69&quot;/&gt;&lt;wsp:rsid wsp:val=&quot;00AC1DBC&quot;/&gt;&lt;wsp:rsid wsp:val=&quot;00AC1F01&quot;/&gt;&lt;wsp:rsid wsp:val=&quot;00AC23A1&quot;/&gt;&lt;wsp:rsid wsp:val=&quot;00AC2A32&quot;/&gt;&lt;wsp:rsid wsp:val=&quot;00AC3AFE&quot;/&gt;&lt;wsp:rsid wsp:val=&quot;00AC3B8D&quot;/&gt;&lt;wsp:rsid wsp:val=&quot;00AC3BBD&quot;/&gt;&lt;wsp:rsid wsp:val=&quot;00AC4359&quot;/&gt;&lt;wsp:rsid wsp:val=&quot;00AC44C9&quot;/&gt;&lt;wsp:rsid wsp:val=&quot;00AC472D&quot;/&gt;&lt;wsp:rsid wsp:val=&quot;00AC47B2&quot;/&gt;&lt;wsp:rsid wsp:val=&quot;00AC4C2B&quot;/&gt;&lt;wsp:rsid wsp:val=&quot;00AC4FF1&quot;/&gt;&lt;wsp:rsid wsp:val=&quot;00AC5879&quot;/&gt;&lt;wsp:rsid wsp:val=&quot;00AC6391&quot;/&gt;&lt;wsp:rsid wsp:val=&quot;00AC6CD0&quot;/&gt;&lt;wsp:rsid wsp:val=&quot;00AC71C8&quot;/&gt;&lt;wsp:rsid wsp:val=&quot;00AC71C9&quot;/&gt;&lt;wsp:rsid wsp:val=&quot;00AC75FF&quot;/&gt;&lt;wsp:rsid wsp:val=&quot;00AC7B41&quot;/&gt;&lt;wsp:rsid wsp:val=&quot;00AD005E&quot;/&gt;&lt;wsp:rsid wsp:val=&quot;00AD0115&quot;/&gt;&lt;wsp:rsid wsp:val=&quot;00AD0C33&quot;/&gt;&lt;wsp:rsid wsp:val=&quot;00AD1701&quot;/&gt;&lt;wsp:rsid wsp:val=&quot;00AD1B71&quot;/&gt;&lt;wsp:rsid wsp:val=&quot;00AD1B8E&quot;/&gt;&lt;wsp:rsid wsp:val=&quot;00AD26FB&quot;/&gt;&lt;wsp:rsid wsp:val=&quot;00AD270A&quot;/&gt;&lt;wsp:rsid wsp:val=&quot;00AD2DD9&quot;/&gt;&lt;wsp:rsid wsp:val=&quot;00AD33E4&quot;/&gt;&lt;wsp:rsid wsp:val=&quot;00AD360C&quot;/&gt;&lt;wsp:rsid wsp:val=&quot;00AD36A2&quot;/&gt;&lt;wsp:rsid wsp:val=&quot;00AD3954&quot;/&gt;&lt;wsp:rsid wsp:val=&quot;00AD3B49&quot;/&gt;&lt;wsp:rsid wsp:val=&quot;00AD3BD7&quot;/&gt;&lt;wsp:rsid wsp:val=&quot;00AD3DAB&quot;/&gt;&lt;wsp:rsid wsp:val=&quot;00AD3EB4&quot;/&gt;&lt;wsp:rsid wsp:val=&quot;00AD44B0&quot;/&gt;&lt;wsp:rsid wsp:val=&quot;00AD4B01&quot;/&gt;&lt;wsp:rsid wsp:val=&quot;00AD4CA5&quot;/&gt;&lt;wsp:rsid wsp:val=&quot;00AD4ED8&quot;/&gt;&lt;wsp:rsid wsp:val=&quot;00AD552C&quot;/&gt;&lt;wsp:rsid wsp:val=&quot;00AD5826&quot;/&gt;&lt;wsp:rsid wsp:val=&quot;00AD5996&quot;/&gt;&lt;wsp:rsid wsp:val=&quot;00AD65B1&quot;/&gt;&lt;wsp:rsid wsp:val=&quot;00AD6827&quot;/&gt;&lt;wsp:rsid wsp:val=&quot;00AD6CE9&quot;/&gt;&lt;wsp:rsid wsp:val=&quot;00AD7107&quot;/&gt;&lt;wsp:rsid wsp:val=&quot;00AD73D2&quot;/&gt;&lt;wsp:rsid wsp:val=&quot;00AD74DF&quot;/&gt;&lt;wsp:rsid wsp:val=&quot;00AD74E1&quot;/&gt;&lt;wsp:rsid wsp:val=&quot;00AD76C7&quot;/&gt;&lt;wsp:rsid wsp:val=&quot;00AD7771&quot;/&gt;&lt;wsp:rsid wsp:val=&quot;00AD7853&quot;/&gt;&lt;wsp:rsid wsp:val=&quot;00AD78B7&quot;/&gt;&lt;wsp:rsid wsp:val=&quot;00AD7BA6&quot;/&gt;&lt;wsp:rsid wsp:val=&quot;00AD7D3A&quot;/&gt;&lt;wsp:rsid wsp:val=&quot;00AD7E34&quot;/&gt;&lt;wsp:rsid wsp:val=&quot;00AE03CB&quot;/&gt;&lt;wsp:rsid wsp:val=&quot;00AE060D&quot;/&gt;&lt;wsp:rsid wsp:val=&quot;00AE0730&quot;/&gt;&lt;wsp:rsid wsp:val=&quot;00AE1414&quot;/&gt;&lt;wsp:rsid wsp:val=&quot;00AE16BD&quot;/&gt;&lt;wsp:rsid wsp:val=&quot;00AE1815&quot;/&gt;&lt;wsp:rsid wsp:val=&quot;00AE1AD9&quot;/&gt;&lt;wsp:rsid wsp:val=&quot;00AE22FE&quot;/&gt;&lt;wsp:rsid wsp:val=&quot;00AE2719&quot;/&gt;&lt;wsp:rsid wsp:val=&quot;00AE2EB2&quot;/&gt;&lt;wsp:rsid wsp:val=&quot;00AE3406&quot;/&gt;&lt;wsp:rsid wsp:val=&quot;00AE3873&quot;/&gt;&lt;wsp:rsid wsp:val=&quot;00AE3B88&quot;/&gt;&lt;wsp:rsid wsp:val=&quot;00AE3FFD&quot;/&gt;&lt;wsp:rsid wsp:val=&quot;00AE4C4B&quot;/&gt;&lt;wsp:rsid wsp:val=&quot;00AE5507&quot;/&gt;&lt;wsp:rsid wsp:val=&quot;00AE5AA2&quot;/&gt;&lt;wsp:rsid wsp:val=&quot;00AE5AA7&quot;/&gt;&lt;wsp:rsid wsp:val=&quot;00AE6327&quot;/&gt;&lt;wsp:rsid wsp:val=&quot;00AE654F&quot;/&gt;&lt;wsp:rsid wsp:val=&quot;00AE6F94&quot;/&gt;&lt;wsp:rsid wsp:val=&quot;00AE7387&quot;/&gt;&lt;wsp:rsid wsp:val=&quot;00AE7614&quot;/&gt;&lt;wsp:rsid wsp:val=&quot;00AE76B7&quot;/&gt;&lt;wsp:rsid wsp:val=&quot;00AE7F41&quot;/&gt;&lt;wsp:rsid wsp:val=&quot;00AE7F77&quot;/&gt;&lt;wsp:rsid wsp:val=&quot;00AF007A&quot;/&gt;&lt;wsp:rsid wsp:val=&quot;00AF0423&quot;/&gt;&lt;wsp:rsid wsp:val=&quot;00AF068C&quot;/&gt;&lt;wsp:rsid wsp:val=&quot;00AF0A02&quot;/&gt;&lt;wsp:rsid wsp:val=&quot;00AF0EC7&quot;/&gt;&lt;wsp:rsid wsp:val=&quot;00AF1558&quot;/&gt;&lt;wsp:rsid wsp:val=&quot;00AF175A&quot;/&gt;&lt;wsp:rsid wsp:val=&quot;00AF18C9&quot;/&gt;&lt;wsp:rsid wsp:val=&quot;00AF1E20&quot;/&gt;&lt;wsp:rsid wsp:val=&quot;00AF2379&quot;/&gt;&lt;wsp:rsid wsp:val=&quot;00AF2872&quot;/&gt;&lt;wsp:rsid wsp:val=&quot;00AF2950&quot;/&gt;&lt;wsp:rsid wsp:val=&quot;00AF2F18&quot;/&gt;&lt;wsp:rsid wsp:val=&quot;00AF40E6&quot;/&gt;&lt;wsp:rsid wsp:val=&quot;00AF4150&quot;/&gt;&lt;wsp:rsid wsp:val=&quot;00AF422B&quot;/&gt;&lt;wsp:rsid wsp:val=&quot;00AF4441&quot;/&gt;&lt;wsp:rsid wsp:val=&quot;00AF47BF&quot;/&gt;&lt;wsp:rsid wsp:val=&quot;00AF4A3C&quot;/&gt;&lt;wsp:rsid wsp:val=&quot;00AF4D1B&quot;/&gt;&lt;wsp:rsid wsp:val=&quot;00AF4DF1&quot;/&gt;&lt;wsp:rsid wsp:val=&quot;00AF5578&quot;/&gt;&lt;wsp:rsid wsp:val=&quot;00AF565E&quot;/&gt;&lt;wsp:rsid wsp:val=&quot;00AF5DAA&quot;/&gt;&lt;wsp:rsid wsp:val=&quot;00AF5DEB&quot;/&gt;&lt;wsp:rsid wsp:val=&quot;00AF66D6&quot;/&gt;&lt;wsp:rsid wsp:val=&quot;00AF695E&quot;/&gt;&lt;wsp:rsid wsp:val=&quot;00AF6D47&quot;/&gt;&lt;wsp:rsid wsp:val=&quot;00AF6D7C&quot;/&gt;&lt;wsp:rsid wsp:val=&quot;00AF6F95&quot;/&gt;&lt;wsp:rsid wsp:val=&quot;00AF71BE&quot;/&gt;&lt;wsp:rsid wsp:val=&quot;00AF7D9B&quot;/&gt;&lt;wsp:rsid wsp:val=&quot;00AF7E13&quot;/&gt;&lt;wsp:rsid wsp:val=&quot;00AF7F40&quot;/&gt;&lt;wsp:rsid wsp:val=&quot;00B00502&quot;/&gt;&lt;wsp:rsid wsp:val=&quot;00B0051B&quot;/&gt;&lt;wsp:rsid wsp:val=&quot;00B0075C&quot;/&gt;&lt;wsp:rsid wsp:val=&quot;00B009A9&quot;/&gt;&lt;wsp:rsid wsp:val=&quot;00B01251&quot;/&gt;&lt;wsp:rsid wsp:val=&quot;00B015A7&quot;/&gt;&lt;wsp:rsid wsp:val=&quot;00B022A1&quot;/&gt;&lt;wsp:rsid wsp:val=&quot;00B031E5&quot;/&gt;&lt;wsp:rsid wsp:val=&quot;00B03C47&quot;/&gt;&lt;wsp:rsid wsp:val=&quot;00B03C7E&quot;/&gt;&lt;wsp:rsid wsp:val=&quot;00B03D06&quot;/&gt;&lt;wsp:rsid wsp:val=&quot;00B04C29&quot;/&gt;&lt;wsp:rsid wsp:val=&quot;00B04C2F&quot;/&gt;&lt;wsp:rsid wsp:val=&quot;00B04D61&quot;/&gt;&lt;wsp:rsid wsp:val=&quot;00B04F9A&quot;/&gt;&lt;wsp:rsid wsp:val=&quot;00B0579F&quot;/&gt;&lt;wsp:rsid wsp:val=&quot;00B05980&quot;/&gt;&lt;wsp:rsid wsp:val=&quot;00B05BCB&quot;/&gt;&lt;wsp:rsid wsp:val=&quot;00B064AF&quot;/&gt;&lt;wsp:rsid wsp:val=&quot;00B06710&quot;/&gt;&lt;wsp:rsid wsp:val=&quot;00B06ED8&quot;/&gt;&lt;wsp:rsid wsp:val=&quot;00B07174&quot;/&gt;&lt;wsp:rsid wsp:val=&quot;00B07213&quot;/&gt;&lt;wsp:rsid wsp:val=&quot;00B072E9&quot;/&gt;&lt;wsp:rsid wsp:val=&quot;00B07890&quot;/&gt;&lt;wsp:rsid wsp:val=&quot;00B07D7B&quot;/&gt;&lt;wsp:rsid wsp:val=&quot;00B10030&quot;/&gt;&lt;wsp:rsid wsp:val=&quot;00B1015F&quot;/&gt;&lt;wsp:rsid wsp:val=&quot;00B105D9&quot;/&gt;&lt;wsp:rsid wsp:val=&quot;00B107A1&quot;/&gt;&lt;wsp:rsid wsp:val=&quot;00B11639&quot;/&gt;&lt;wsp:rsid wsp:val=&quot;00B11FB6&quot;/&gt;&lt;wsp:rsid wsp:val=&quot;00B1207C&quot;/&gt;&lt;wsp:rsid wsp:val=&quot;00B12740&quot;/&gt;&lt;wsp:rsid wsp:val=&quot;00B12EBA&quot;/&gt;&lt;wsp:rsid wsp:val=&quot;00B13959&quot;/&gt;&lt;wsp:rsid wsp:val=&quot;00B1440A&quot;/&gt;&lt;wsp:rsid wsp:val=&quot;00B14A71&quot;/&gt;&lt;wsp:rsid wsp:val=&quot;00B14BB2&quot;/&gt;&lt;wsp:rsid wsp:val=&quot;00B15E5C&quot;/&gt;&lt;wsp:rsid wsp:val=&quot;00B16402&quot;/&gt;&lt;wsp:rsid wsp:val=&quot;00B169F6&quot;/&gt;&lt;wsp:rsid wsp:val=&quot;00B1743B&quot;/&gt;&lt;wsp:rsid wsp:val=&quot;00B17DFF&quot;/&gt;&lt;wsp:rsid wsp:val=&quot;00B17F50&quot;/&gt;&lt;wsp:rsid wsp:val=&quot;00B21652&quot;/&gt;&lt;wsp:rsid wsp:val=&quot;00B21B94&quot;/&gt;&lt;wsp:rsid wsp:val=&quot;00B21ED4&quot;/&gt;&lt;wsp:rsid wsp:val=&quot;00B227EF&quot;/&gt;&lt;wsp:rsid wsp:val=&quot;00B22CCA&quot;/&gt;&lt;wsp:rsid wsp:val=&quot;00B231E5&quot;/&gt;&lt;wsp:rsid wsp:val=&quot;00B2333B&quot;/&gt;&lt;wsp:rsid wsp:val=&quot;00B23AE5&quot;/&gt;&lt;wsp:rsid wsp:val=&quot;00B249EB&quot;/&gt;&lt;wsp:rsid wsp:val=&quot;00B24A7C&quot;/&gt;&lt;wsp:rsid wsp:val=&quot;00B24C9C&quot;/&gt;&lt;wsp:rsid wsp:val=&quot;00B24E39&quot;/&gt;&lt;wsp:rsid wsp:val=&quot;00B24EEE&quot;/&gt;&lt;wsp:rsid wsp:val=&quot;00B26120&quot;/&gt;&lt;wsp:rsid wsp:val=&quot;00B26377&quot;/&gt;&lt;wsp:rsid wsp:val=&quot;00B26542&quot;/&gt;&lt;wsp:rsid wsp:val=&quot;00B266EE&quot;/&gt;&lt;wsp:rsid wsp:val=&quot;00B26851&quot;/&gt;&lt;wsp:rsid wsp:val=&quot;00B26BD6&quot;/&gt;&lt;wsp:rsid wsp:val=&quot;00B27D5B&quot;/&gt;&lt;wsp:rsid wsp:val=&quot;00B309EC&quot;/&gt;&lt;wsp:rsid wsp:val=&quot;00B30A1F&quot;/&gt;&lt;wsp:rsid wsp:val=&quot;00B3182D&quot;/&gt;&lt;wsp:rsid wsp:val=&quot;00B31899&quot;/&gt;&lt;wsp:rsid wsp:val=&quot;00B31B2F&quot;/&gt;&lt;wsp:rsid wsp:val=&quot;00B31B96&quot;/&gt;&lt;wsp:rsid wsp:val=&quot;00B31E9B&quot;/&gt;&lt;wsp:rsid wsp:val=&quot;00B31F8A&quot;/&gt;&lt;wsp:rsid wsp:val=&quot;00B32A7E&quot;/&gt;&lt;wsp:rsid wsp:val=&quot;00B32F02&quot;/&gt;&lt;wsp:rsid wsp:val=&quot;00B32F2A&quot;/&gt;&lt;wsp:rsid wsp:val=&quot;00B33124&quot;/&gt;&lt;wsp:rsid wsp:val=&quot;00B33824&quot;/&gt;&lt;wsp:rsid wsp:val=&quot;00B33998&quot;/&gt;&lt;wsp:rsid wsp:val=&quot;00B34043&quot;/&gt;&lt;wsp:rsid wsp:val=&quot;00B34552&quot;/&gt;&lt;wsp:rsid wsp:val=&quot;00B348D8&quot;/&gt;&lt;wsp:rsid wsp:val=&quot;00B34B04&quot;/&gt;&lt;wsp:rsid wsp:val=&quot;00B34B91&quot;/&gt;&lt;wsp:rsid wsp:val=&quot;00B3573E&quot;/&gt;&lt;wsp:rsid wsp:val=&quot;00B3640A&quot;/&gt;&lt;wsp:rsid wsp:val=&quot;00B36548&quot;/&gt;&lt;wsp:rsid wsp:val=&quot;00B36859&quot;/&gt;&lt;wsp:rsid wsp:val=&quot;00B369AB&quot;/&gt;&lt;wsp:rsid wsp:val=&quot;00B36A26&quot;/&gt;&lt;wsp:rsid wsp:val=&quot;00B36C4F&quot;/&gt;&lt;wsp:rsid wsp:val=&quot;00B37498&quot;/&gt;&lt;wsp:rsid wsp:val=&quot;00B378F8&quot;/&gt;&lt;wsp:rsid wsp:val=&quot;00B37AB0&quot;/&gt;&lt;wsp:rsid wsp:val=&quot;00B37FA5&quot;/&gt;&lt;wsp:rsid wsp:val=&quot;00B400E1&quot;/&gt;&lt;wsp:rsid wsp:val=&quot;00B40B81&quot;/&gt;&lt;wsp:rsid wsp:val=&quot;00B41020&quot;/&gt;&lt;wsp:rsid wsp:val=&quot;00B415EA&quot;/&gt;&lt;wsp:rsid wsp:val=&quot;00B41B5A&quot;/&gt;&lt;wsp:rsid wsp:val=&quot;00B426FC&quot;/&gt;&lt;wsp:rsid wsp:val=&quot;00B43153&quot;/&gt;&lt;wsp:rsid wsp:val=&quot;00B43367&quot;/&gt;&lt;wsp:rsid wsp:val=&quot;00B434E8&quot;/&gt;&lt;wsp:rsid wsp:val=&quot;00B437FD&quot;/&gt;&lt;wsp:rsid wsp:val=&quot;00B43A64&quot;/&gt;&lt;wsp:rsid wsp:val=&quot;00B43E2B&quot;/&gt;&lt;wsp:rsid wsp:val=&quot;00B43E2C&quot;/&gt;&lt;wsp:rsid wsp:val=&quot;00B4405D&quot;/&gt;&lt;wsp:rsid wsp:val=&quot;00B44419&quot;/&gt;&lt;wsp:rsid wsp:val=&quot;00B44431&quot;/&gt;&lt;wsp:rsid wsp:val=&quot;00B44596&quot;/&gt;&lt;wsp:rsid wsp:val=&quot;00B445F6&quot;/&gt;&lt;wsp:rsid wsp:val=&quot;00B446F2&quot;/&gt;&lt;wsp:rsid wsp:val=&quot;00B44742&quot;/&gt;&lt;wsp:rsid wsp:val=&quot;00B4481D&quot;/&gt;&lt;wsp:rsid wsp:val=&quot;00B4499F&quot;/&gt;&lt;wsp:rsid wsp:val=&quot;00B44A84&quot;/&gt;&lt;wsp:rsid wsp:val=&quot;00B456F3&quot;/&gt;&lt;wsp:rsid wsp:val=&quot;00B45C10&quot;/&gt;&lt;wsp:rsid wsp:val=&quot;00B46556&quot;/&gt;&lt;wsp:rsid wsp:val=&quot;00B46E3E&quot;/&gt;&lt;wsp:rsid wsp:val=&quot;00B46F96&quot;/&gt;&lt;wsp:rsid wsp:val=&quot;00B47759&quot;/&gt;&lt;wsp:rsid wsp:val=&quot;00B4782A&quot;/&gt;&lt;wsp:rsid wsp:val=&quot;00B47C02&quot;/&gt;&lt;wsp:rsid wsp:val=&quot;00B47F21&quot;/&gt;&lt;wsp:rsid wsp:val=&quot;00B5025F&quot;/&gt;&lt;wsp:rsid wsp:val=&quot;00B502C0&quot;/&gt;&lt;wsp:rsid wsp:val=&quot;00B508CB&quot;/&gt;&lt;wsp:rsid wsp:val=&quot;00B50A59&quot;/&gt;&lt;wsp:rsid wsp:val=&quot;00B50ADD&quot;/&gt;&lt;wsp:rsid wsp:val=&quot;00B50F6D&quot;/&gt;&lt;wsp:rsid wsp:val=&quot;00B50FFC&quot;/&gt;&lt;wsp:rsid wsp:val=&quot;00B51937&quot;/&gt;&lt;wsp:rsid wsp:val=&quot;00B51BB6&quot;/&gt;&lt;wsp:rsid wsp:val=&quot;00B51E10&quot;/&gt;&lt;wsp:rsid wsp:val=&quot;00B51E9F&quot;/&gt;&lt;wsp:rsid wsp:val=&quot;00B52916&quot;/&gt;&lt;wsp:rsid wsp:val=&quot;00B52C41&quot;/&gt;&lt;wsp:rsid wsp:val=&quot;00B52CE9&quot;/&gt;&lt;wsp:rsid wsp:val=&quot;00B53198&quot;/&gt;&lt;wsp:rsid wsp:val=&quot;00B53275&quot;/&gt;&lt;wsp:rsid wsp:val=&quot;00B53547&quot;/&gt;&lt;wsp:rsid wsp:val=&quot;00B5364E&quot;/&gt;&lt;wsp:rsid wsp:val=&quot;00B536D1&quot;/&gt;&lt;wsp:rsid wsp:val=&quot;00B537CA&quot;/&gt;&lt;wsp:rsid wsp:val=&quot;00B539BC&quot;/&gt;&lt;wsp:rsid wsp:val=&quot;00B53B8E&quot;/&gt;&lt;wsp:rsid wsp:val=&quot;00B54070&quot;/&gt;&lt;wsp:rsid wsp:val=&quot;00B54822&quot;/&gt;&lt;wsp:rsid wsp:val=&quot;00B54A71&quot;/&gt;&lt;wsp:rsid wsp:val=&quot;00B54C98&quot;/&gt;&lt;wsp:rsid wsp:val=&quot;00B54FBE&quot;/&gt;&lt;wsp:rsid wsp:val=&quot;00B5532E&quot;/&gt;&lt;wsp:rsid wsp:val=&quot;00B556E4&quot;/&gt;&lt;wsp:rsid wsp:val=&quot;00B5621D&quot;/&gt;&lt;wsp:rsid wsp:val=&quot;00B565C7&quot;/&gt;&lt;wsp:rsid wsp:val=&quot;00B566AE&quot;/&gt;&lt;wsp:rsid wsp:val=&quot;00B567AB&quot;/&gt;&lt;wsp:rsid wsp:val=&quot;00B56D1E&quot;/&gt;&lt;wsp:rsid wsp:val=&quot;00B56EF9&quot;/&gt;&lt;wsp:rsid wsp:val=&quot;00B56F73&quot;/&gt;&lt;wsp:rsid wsp:val=&quot;00B5729E&quot;/&gt;&lt;wsp:rsid wsp:val=&quot;00B57A7A&quot;/&gt;&lt;wsp:rsid wsp:val=&quot;00B6048D&quot;/&gt;&lt;wsp:rsid wsp:val=&quot;00B604FA&quot;/&gt;&lt;wsp:rsid wsp:val=&quot;00B60638&quot;/&gt;&lt;wsp:rsid wsp:val=&quot;00B606CE&quot;/&gt;&lt;wsp:rsid wsp:val=&quot;00B608CA&quot;/&gt;&lt;wsp:rsid wsp:val=&quot;00B61157&quot;/&gt;&lt;wsp:rsid wsp:val=&quot;00B61403&quot;/&gt;&lt;wsp:rsid wsp:val=&quot;00B6189B&quot;/&gt;&lt;wsp:rsid wsp:val=&quot;00B61E9E&quot;/&gt;&lt;wsp:rsid wsp:val=&quot;00B62252&quot;/&gt;&lt;wsp:rsid wsp:val=&quot;00B62326&quot;/&gt;&lt;wsp:rsid wsp:val=&quot;00B62916&quot;/&gt;&lt;wsp:rsid wsp:val=&quot;00B62C8D&quot;/&gt;&lt;wsp:rsid wsp:val=&quot;00B62D2C&quot;/&gt;&lt;wsp:rsid wsp:val=&quot;00B63E0C&quot;/&gt;&lt;wsp:rsid wsp:val=&quot;00B6485E&quot;/&gt;&lt;wsp:rsid wsp:val=&quot;00B64ACD&quot;/&gt;&lt;wsp:rsid wsp:val=&quot;00B64E60&quot;/&gt;&lt;wsp:rsid wsp:val=&quot;00B65217&quot;/&gt;&lt;wsp:rsid wsp:val=&quot;00B659EB&quot;/&gt;&lt;wsp:rsid wsp:val=&quot;00B65B05&quot;/&gt;&lt;wsp:rsid wsp:val=&quot;00B65DC9&quot;/&gt;&lt;wsp:rsid wsp:val=&quot;00B65FB3&quot;/&gt;&lt;wsp:rsid wsp:val=&quot;00B6601F&quot;/&gt;&lt;wsp:rsid wsp:val=&quot;00B66172&quot;/&gt;&lt;wsp:rsid wsp:val=&quot;00B661CD&quot;/&gt;&lt;wsp:rsid wsp:val=&quot;00B662C4&quot;/&gt;&lt;wsp:rsid wsp:val=&quot;00B66408&quot;/&gt;&lt;wsp:rsid wsp:val=&quot;00B668C7&quot;/&gt;&lt;wsp:rsid wsp:val=&quot;00B67081&quot;/&gt;&lt;wsp:rsid wsp:val=&quot;00B67659&quot;/&gt;&lt;wsp:rsid wsp:val=&quot;00B67895&quot;/&gt;&lt;wsp:rsid wsp:val=&quot;00B70334&quot;/&gt;&lt;wsp:rsid wsp:val=&quot;00B704DA&quot;/&gt;&lt;wsp:rsid wsp:val=&quot;00B70680&quot;/&gt;&lt;wsp:rsid wsp:val=&quot;00B70A34&quot;/&gt;&lt;wsp:rsid wsp:val=&quot;00B71039&quot;/&gt;&lt;wsp:rsid wsp:val=&quot;00B7109D&quot;/&gt;&lt;wsp:rsid wsp:val=&quot;00B712D5&quot;/&gt;&lt;wsp:rsid wsp:val=&quot;00B71763&quot;/&gt;&lt;wsp:rsid wsp:val=&quot;00B722B3&quot;/&gt;&lt;wsp:rsid wsp:val=&quot;00B727D5&quot;/&gt;&lt;wsp:rsid wsp:val=&quot;00B72DF1&quot;/&gt;&lt;wsp:rsid wsp:val=&quot;00B73376&quot;/&gt;&lt;wsp:rsid wsp:val=&quot;00B73F80&quot;/&gt;&lt;wsp:rsid wsp:val=&quot;00B740C2&quot;/&gt;&lt;wsp:rsid wsp:val=&quot;00B74250&quot;/&gt;&lt;wsp:rsid wsp:val=&quot;00B745EA&quot;/&gt;&lt;wsp:rsid wsp:val=&quot;00B74D70&quot;/&gt;&lt;wsp:rsid wsp:val=&quot;00B74E14&quot;/&gt;&lt;wsp:rsid wsp:val=&quot;00B75379&quot;/&gt;&lt;wsp:rsid wsp:val=&quot;00B7555A&quot;/&gt;&lt;wsp:rsid wsp:val=&quot;00B75B93&quot;/&gt;&lt;wsp:rsid wsp:val=&quot;00B75BE7&quot;/&gt;&lt;wsp:rsid wsp:val=&quot;00B760C0&quot;/&gt;&lt;wsp:rsid wsp:val=&quot;00B7658B&quot;/&gt;&lt;wsp:rsid wsp:val=&quot;00B770A2&quot;/&gt;&lt;wsp:rsid wsp:val=&quot;00B77570&quot;/&gt;&lt;wsp:rsid wsp:val=&quot;00B777A3&quot;/&gt;&lt;wsp:rsid wsp:val=&quot;00B77B9F&quot;/&gt;&lt;wsp:rsid wsp:val=&quot;00B807A9&quot;/&gt;&lt;wsp:rsid wsp:val=&quot;00B80C38&quot;/&gt;&lt;wsp:rsid wsp:val=&quot;00B80EA2&quot;/&gt;&lt;wsp:rsid wsp:val=&quot;00B81042&quot;/&gt;&lt;wsp:rsid wsp:val=&quot;00B8129B&quot;/&gt;&lt;wsp:rsid wsp:val=&quot;00B812C2&quot;/&gt;&lt;wsp:rsid wsp:val=&quot;00B81637&quot;/&gt;&lt;wsp:rsid wsp:val=&quot;00B81CF9&quot;/&gt;&lt;wsp:rsid wsp:val=&quot;00B82449&quot;/&gt;&lt;wsp:rsid wsp:val=&quot;00B824F2&quot;/&gt;&lt;wsp:rsid wsp:val=&quot;00B828F4&quot;/&gt;&lt;wsp:rsid wsp:val=&quot;00B82C97&quot;/&gt;&lt;wsp:rsid wsp:val=&quot;00B8305A&quot;/&gt;&lt;wsp:rsid wsp:val=&quot;00B83175&quot;/&gt;&lt;wsp:rsid wsp:val=&quot;00B83862&quot;/&gt;&lt;wsp:rsid wsp:val=&quot;00B839D3&quot;/&gt;&lt;wsp:rsid wsp:val=&quot;00B83B44&quot;/&gt;&lt;wsp:rsid wsp:val=&quot;00B83DD0&quot;/&gt;&lt;wsp:rsid wsp:val=&quot;00B83FDF&quot;/&gt;&lt;wsp:rsid wsp:val=&quot;00B844EB&quot;/&gt;&lt;wsp:rsid wsp:val=&quot;00B847DD&quot;/&gt;&lt;wsp:rsid wsp:val=&quot;00B847F2&quot;/&gt;&lt;wsp:rsid wsp:val=&quot;00B85313&quot;/&gt;&lt;wsp:rsid wsp:val=&quot;00B85869&quot;/&gt;&lt;wsp:rsid wsp:val=&quot;00B858FF&quot;/&gt;&lt;wsp:rsid wsp:val=&quot;00B85D99&quot;/&gt;&lt;wsp:rsid wsp:val=&quot;00B85F84&quot;/&gt;&lt;wsp:rsid wsp:val=&quot;00B8622C&quot;/&gt;&lt;wsp:rsid wsp:val=&quot;00B8682D&quot;/&gt;&lt;wsp:rsid wsp:val=&quot;00B86936&quot;/&gt;&lt;wsp:rsid wsp:val=&quot;00B869A6&quot;/&gt;&lt;wsp:rsid wsp:val=&quot;00B86AF6&quot;/&gt;&lt;wsp:rsid wsp:val=&quot;00B86CB8&quot;/&gt;&lt;wsp:rsid wsp:val=&quot;00B86DD9&quot;/&gt;&lt;wsp:rsid wsp:val=&quot;00B87594&quot;/&gt;&lt;wsp:rsid wsp:val=&quot;00B87908&quot;/&gt;&lt;wsp:rsid wsp:val=&quot;00B879CE&quot;/&gt;&lt;wsp:rsid wsp:val=&quot;00B90A6F&quot;/&gt;&lt;wsp:rsid wsp:val=&quot;00B90BD3&quot;/&gt;&lt;wsp:rsid wsp:val=&quot;00B91A5A&quot;/&gt;&lt;wsp:rsid wsp:val=&quot;00B91E00&quot;/&gt;&lt;wsp:rsid wsp:val=&quot;00B920D1&quot;/&gt;&lt;wsp:rsid wsp:val=&quot;00B92264&quot;/&gt;&lt;wsp:rsid wsp:val=&quot;00B9238A&quot;/&gt;&lt;wsp:rsid wsp:val=&quot;00B924A8&quot;/&gt;&lt;wsp:rsid wsp:val=&quot;00B925F2&quot;/&gt;&lt;wsp:rsid wsp:val=&quot;00B92DA2&quot;/&gt;&lt;wsp:rsid wsp:val=&quot;00B93421&quot;/&gt;&lt;wsp:rsid wsp:val=&quot;00B9389A&quot;/&gt;&lt;wsp:rsid wsp:val=&quot;00B93BF9&quot;/&gt;&lt;wsp:rsid wsp:val=&quot;00B93EC4&quot;/&gt;&lt;wsp:rsid wsp:val=&quot;00B94031&quot;/&gt;&lt;wsp:rsid wsp:val=&quot;00B943EC&quot;/&gt;&lt;wsp:rsid wsp:val=&quot;00B94787&quot;/&gt;&lt;wsp:rsid wsp:val=&quot;00B94905&quot;/&gt;&lt;wsp:rsid wsp:val=&quot;00B9497E&quot;/&gt;&lt;wsp:rsid wsp:val=&quot;00B94A04&quot;/&gt;&lt;wsp:rsid wsp:val=&quot;00B94C11&quot;/&gt;&lt;wsp:rsid wsp:val=&quot;00B94C82&quot;/&gt;&lt;wsp:rsid wsp:val=&quot;00B94E35&quot;/&gt;&lt;wsp:rsid wsp:val=&quot;00B951AC&quot;/&gt;&lt;wsp:rsid wsp:val=&quot;00B95825&quot;/&gt;&lt;wsp:rsid wsp:val=&quot;00B9582B&quot;/&gt;&lt;wsp:rsid wsp:val=&quot;00B95D7D&quot;/&gt;&lt;wsp:rsid wsp:val=&quot;00B9671E&quot;/&gt;&lt;wsp:rsid wsp:val=&quot;00B96740&quot;/&gt;&lt;wsp:rsid wsp:val=&quot;00B96972&quot;/&gt;&lt;wsp:rsid wsp:val=&quot;00B96A44&quot;/&gt;&lt;wsp:rsid wsp:val=&quot;00B96D36&quot;/&gt;&lt;wsp:rsid wsp:val=&quot;00B97537&quot;/&gt;&lt;wsp:rsid wsp:val=&quot;00B97A91&quot;/&gt;&lt;wsp:rsid wsp:val=&quot;00BA03D8&quot;/&gt;&lt;wsp:rsid wsp:val=&quot;00BA0401&quot;/&gt;&lt;wsp:rsid wsp:val=&quot;00BA051A&quot;/&gt;&lt;wsp:rsid wsp:val=&quot;00BA051D&quot;/&gt;&lt;wsp:rsid wsp:val=&quot;00BA061E&quot;/&gt;&lt;wsp:rsid wsp:val=&quot;00BA062A&quot;/&gt;&lt;wsp:rsid wsp:val=&quot;00BA077C&quot;/&gt;&lt;wsp:rsid wsp:val=&quot;00BA0AF4&quot;/&gt;&lt;wsp:rsid wsp:val=&quot;00BA1111&quot;/&gt;&lt;wsp:rsid wsp:val=&quot;00BA1417&quot;/&gt;&lt;wsp:rsid wsp:val=&quot;00BA1B97&quot;/&gt;&lt;wsp:rsid wsp:val=&quot;00BA1BBD&quot;/&gt;&lt;wsp:rsid wsp:val=&quot;00BA1D13&quot;/&gt;&lt;wsp:rsid wsp:val=&quot;00BA24CE&quot;/&gt;&lt;wsp:rsid wsp:val=&quot;00BA30E4&quot;/&gt;&lt;wsp:rsid wsp:val=&quot;00BA32BD&quot;/&gt;&lt;wsp:rsid wsp:val=&quot;00BA33E0&quot;/&gt;&lt;wsp:rsid wsp:val=&quot;00BA47E4&quot;/&gt;&lt;wsp:rsid wsp:val=&quot;00BA4879&quot;/&gt;&lt;wsp:rsid wsp:val=&quot;00BA603E&quot;/&gt;&lt;wsp:rsid wsp:val=&quot;00BA63D0&quot;/&gt;&lt;wsp:rsid wsp:val=&quot;00BA706E&quot;/&gt;&lt;wsp:rsid wsp:val=&quot;00BA7113&quot;/&gt;&lt;wsp:rsid wsp:val=&quot;00BA77DD&quot;/&gt;&lt;wsp:rsid wsp:val=&quot;00BA7A32&quot;/&gt;&lt;wsp:rsid wsp:val=&quot;00BB00BC&quot;/&gt;&lt;wsp:rsid wsp:val=&quot;00BB011D&quot;/&gt;&lt;wsp:rsid wsp:val=&quot;00BB013B&quot;/&gt;&lt;wsp:rsid wsp:val=&quot;00BB01AF&quot;/&gt;&lt;wsp:rsid wsp:val=&quot;00BB09C7&quot;/&gt;&lt;wsp:rsid wsp:val=&quot;00BB0E6B&quot;/&gt;&lt;wsp:rsid wsp:val=&quot;00BB0EFC&quot;/&gt;&lt;wsp:rsid wsp:val=&quot;00BB1778&quot;/&gt;&lt;wsp:rsid wsp:val=&quot;00BB187A&quot;/&gt;&lt;wsp:rsid wsp:val=&quot;00BB2003&quot;/&gt;&lt;wsp:rsid wsp:val=&quot;00BB2411&quot;/&gt;&lt;wsp:rsid wsp:val=&quot;00BB2860&quot;/&gt;&lt;wsp:rsid wsp:val=&quot;00BB2B50&quot;/&gt;&lt;wsp:rsid wsp:val=&quot;00BB2BCC&quot;/&gt;&lt;wsp:rsid wsp:val=&quot;00BB31B3&quot;/&gt;&lt;wsp:rsid wsp:val=&quot;00BB3852&quot;/&gt;&lt;wsp:rsid wsp:val=&quot;00BB38E5&quot;/&gt;&lt;wsp:rsid wsp:val=&quot;00BB39B0&quot;/&gt;&lt;wsp:rsid wsp:val=&quot;00BB40F8&quot;/&gt;&lt;wsp:rsid wsp:val=&quot;00BB4CE9&quot;/&gt;&lt;wsp:rsid wsp:val=&quot;00BB546A&quot;/&gt;&lt;wsp:rsid wsp:val=&quot;00BB5489&quot;/&gt;&lt;wsp:rsid wsp:val=&quot;00BB5780&quot;/&gt;&lt;wsp:rsid wsp:val=&quot;00BB57FE&quot;/&gt;&lt;wsp:rsid wsp:val=&quot;00BB5B2E&quot;/&gt;&lt;wsp:rsid wsp:val=&quot;00BB5D63&quot;/&gt;&lt;wsp:rsid wsp:val=&quot;00BB6075&quot;/&gt;&lt;wsp:rsid wsp:val=&quot;00BB69E6&quot;/&gt;&lt;wsp:rsid wsp:val=&quot;00BB6B5D&quot;/&gt;&lt;wsp:rsid wsp:val=&quot;00BB6C4F&quot;/&gt;&lt;wsp:rsid wsp:val=&quot;00BB733C&quot;/&gt;&lt;wsp:rsid wsp:val=&quot;00BB7AA1&quot;/&gt;&lt;wsp:rsid wsp:val=&quot;00BB7B0B&quot;/&gt;&lt;wsp:rsid wsp:val=&quot;00BB7C97&quot;/&gt;&lt;wsp:rsid wsp:val=&quot;00BB7E20&quot;/&gt;&lt;wsp:rsid wsp:val=&quot;00BC0A32&quot;/&gt;&lt;wsp:rsid wsp:val=&quot;00BC0B04&quot;/&gt;&lt;wsp:rsid wsp:val=&quot;00BC15D9&quot;/&gt;&lt;wsp:rsid wsp:val=&quot;00BC15E4&quot;/&gt;&lt;wsp:rsid wsp:val=&quot;00BC1706&quot;/&gt;&lt;wsp:rsid wsp:val=&quot;00BC1808&quot;/&gt;&lt;wsp:rsid wsp:val=&quot;00BC1F84&quot;/&gt;&lt;wsp:rsid wsp:val=&quot;00BC20F7&quot;/&gt;&lt;wsp:rsid wsp:val=&quot;00BC336F&quot;/&gt;&lt;wsp:rsid wsp:val=&quot;00BC3699&quot;/&gt;&lt;wsp:rsid wsp:val=&quot;00BC36E4&quot;/&gt;&lt;wsp:rsid wsp:val=&quot;00BC394B&quot;/&gt;&lt;wsp:rsid wsp:val=&quot;00BC3D6C&quot;/&gt;&lt;wsp:rsid wsp:val=&quot;00BC3F8C&quot;/&gt;&lt;wsp:rsid wsp:val=&quot;00BC3F8E&quot;/&gt;&lt;wsp:rsid wsp:val=&quot;00BC4B8E&quot;/&gt;&lt;wsp:rsid wsp:val=&quot;00BC50CF&quot;/&gt;&lt;wsp:rsid wsp:val=&quot;00BC54AB&quot;/&gt;&lt;wsp:rsid wsp:val=&quot;00BC55A8&quot;/&gt;&lt;wsp:rsid wsp:val=&quot;00BC58FA&quot;/&gt;&lt;wsp:rsid wsp:val=&quot;00BC6172&quot;/&gt;&lt;wsp:rsid wsp:val=&quot;00BC6465&quot;/&gt;&lt;wsp:rsid wsp:val=&quot;00BC6D75&quot;/&gt;&lt;wsp:rsid wsp:val=&quot;00BC7141&quot;/&gt;&lt;wsp:rsid wsp:val=&quot;00BC74C8&quot;/&gt;&lt;wsp:rsid wsp:val=&quot;00BC776D&quot;/&gt;&lt;wsp:rsid wsp:val=&quot;00BC7972&quot;/&gt;&lt;wsp:rsid wsp:val=&quot;00BC7FD0&quot;/&gt;&lt;wsp:rsid wsp:val=&quot;00BD02B4&quot;/&gt;&lt;wsp:rsid wsp:val=&quot;00BD0445&quot;/&gt;&lt;wsp:rsid wsp:val=&quot;00BD045D&quot;/&gt;&lt;wsp:rsid wsp:val=&quot;00BD0571&quot;/&gt;&lt;wsp:rsid wsp:val=&quot;00BD0C41&quot;/&gt;&lt;wsp:rsid wsp:val=&quot;00BD1276&quot;/&gt;&lt;wsp:rsid wsp:val=&quot;00BD176D&quot;/&gt;&lt;wsp:rsid wsp:val=&quot;00BD1E92&quot;/&gt;&lt;wsp:rsid wsp:val=&quot;00BD24B5&quot;/&gt;&lt;wsp:rsid wsp:val=&quot;00BD2B39&quot;/&gt;&lt;wsp:rsid wsp:val=&quot;00BD3409&quot;/&gt;&lt;wsp:rsid wsp:val=&quot;00BD3869&quot;/&gt;&lt;wsp:rsid wsp:val=&quot;00BD3873&quot;/&gt;&lt;wsp:rsid wsp:val=&quot;00BD3BD0&quot;/&gt;&lt;wsp:rsid wsp:val=&quot;00BD3D77&quot;/&gt;&lt;wsp:rsid wsp:val=&quot;00BD3DA2&quot;/&gt;&lt;wsp:rsid wsp:val=&quot;00BD3EAE&quot;/&gt;&lt;wsp:rsid wsp:val=&quot;00BD42E5&quot;/&gt;&lt;wsp:rsid wsp:val=&quot;00BD446F&quot;/&gt;&lt;wsp:rsid wsp:val=&quot;00BD5015&quot;/&gt;&lt;wsp:rsid wsp:val=&quot;00BD5237&quot;/&gt;&lt;wsp:rsid wsp:val=&quot;00BD54E2&quot;/&gt;&lt;wsp:rsid wsp:val=&quot;00BD5810&quot;/&gt;&lt;wsp:rsid wsp:val=&quot;00BD588D&quot;/&gt;&lt;wsp:rsid wsp:val=&quot;00BD5C45&quot;/&gt;&lt;wsp:rsid wsp:val=&quot;00BD615F&quot;/&gt;&lt;wsp:rsid wsp:val=&quot;00BD6284&quot;/&gt;&lt;wsp:rsid wsp:val=&quot;00BD62D0&quot;/&gt;&lt;wsp:rsid wsp:val=&quot;00BD6BE3&quot;/&gt;&lt;wsp:rsid wsp:val=&quot;00BD7413&quot;/&gt;&lt;wsp:rsid wsp:val=&quot;00BD76C0&quot;/&gt;&lt;wsp:rsid wsp:val=&quot;00BD7725&quot;/&gt;&lt;wsp:rsid wsp:val=&quot;00BD791F&quot;/&gt;&lt;wsp:rsid wsp:val=&quot;00BD7D37&quot;/&gt;&lt;wsp:rsid wsp:val=&quot;00BD7EBA&quot;/&gt;&lt;wsp:rsid wsp:val=&quot;00BE0170&quot;/&gt;&lt;wsp:rsid wsp:val=&quot;00BE074E&quot;/&gt;&lt;wsp:rsid wsp:val=&quot;00BE0805&quot;/&gt;&lt;wsp:rsid wsp:val=&quot;00BE0D23&quot;/&gt;&lt;wsp:rsid wsp:val=&quot;00BE11F5&quot;/&gt;&lt;wsp:rsid wsp:val=&quot;00BE1A4D&quot;/&gt;&lt;wsp:rsid wsp:val=&quot;00BE1F2C&quot;/&gt;&lt;wsp:rsid wsp:val=&quot;00BE2E39&quot;/&gt;&lt;wsp:rsid wsp:val=&quot;00BE2E9A&quot;/&gt;&lt;wsp:rsid wsp:val=&quot;00BE33B9&quot;/&gt;&lt;wsp:rsid wsp:val=&quot;00BE34D6&quot;/&gt;&lt;wsp:rsid wsp:val=&quot;00BE3759&quot;/&gt;&lt;wsp:rsid wsp:val=&quot;00BE38CF&quot;/&gt;&lt;wsp:rsid wsp:val=&quot;00BE432D&quot;/&gt;&lt;wsp:rsid wsp:val=&quot;00BE4530&quot;/&gt;&lt;wsp:rsid wsp:val=&quot;00BE45FA&quot;/&gt;&lt;wsp:rsid wsp:val=&quot;00BE4A54&quot;/&gt;&lt;wsp:rsid wsp:val=&quot;00BE580A&quot;/&gt;&lt;wsp:rsid wsp:val=&quot;00BE614D&quot;/&gt;&lt;wsp:rsid wsp:val=&quot;00BE6274&quot;/&gt;&lt;wsp:rsid wsp:val=&quot;00BE632A&quot;/&gt;&lt;wsp:rsid wsp:val=&quot;00BE69A5&quot;/&gt;&lt;wsp:rsid wsp:val=&quot;00BE69BA&quot;/&gt;&lt;wsp:rsid wsp:val=&quot;00BE6B19&quot;/&gt;&lt;wsp:rsid wsp:val=&quot;00BE6BD5&quot;/&gt;&lt;wsp:rsid wsp:val=&quot;00BE6E5D&quot;/&gt;&lt;wsp:rsid wsp:val=&quot;00BE781E&quot;/&gt;&lt;wsp:rsid wsp:val=&quot;00BE7B95&quot;/&gt;&lt;wsp:rsid wsp:val=&quot;00BE7C45&quot;/&gt;&lt;wsp:rsid wsp:val=&quot;00BE7E0D&quot;/&gt;&lt;wsp:rsid wsp:val=&quot;00BF0319&quot;/&gt;&lt;wsp:rsid wsp:val=&quot;00BF14FA&quot;/&gt;&lt;wsp:rsid wsp:val=&quot;00BF1794&quot;/&gt;&lt;wsp:rsid wsp:val=&quot;00BF1B4B&quot;/&gt;&lt;wsp:rsid wsp:val=&quot;00BF1F1F&quot;/&gt;&lt;wsp:rsid wsp:val=&quot;00BF212D&quot;/&gt;&lt;wsp:rsid wsp:val=&quot;00BF229F&quot;/&gt;&lt;wsp:rsid wsp:val=&quot;00BF2C45&quot;/&gt;&lt;wsp:rsid wsp:val=&quot;00BF2D13&quot;/&gt;&lt;wsp:rsid wsp:val=&quot;00BF2FE5&quot;/&gt;&lt;wsp:rsid wsp:val=&quot;00BF330C&quot;/&gt;&lt;wsp:rsid wsp:val=&quot;00BF3B9A&quot;/&gt;&lt;wsp:rsid wsp:val=&quot;00BF3C8B&quot;/&gt;&lt;wsp:rsid wsp:val=&quot;00BF3D89&quot;/&gt;&lt;wsp:rsid wsp:val=&quot;00BF3F6F&quot;/&gt;&lt;wsp:rsid wsp:val=&quot;00BF466A&quot;/&gt;&lt;wsp:rsid wsp:val=&quot;00BF4BDD&quot;/&gt;&lt;wsp:rsid wsp:val=&quot;00BF5477&quot;/&gt;&lt;wsp:rsid wsp:val=&quot;00BF5948&quot;/&gt;&lt;wsp:rsid wsp:val=&quot;00BF60D6&quot;/&gt;&lt;wsp:rsid wsp:val=&quot;00BF662C&quot;/&gt;&lt;wsp:rsid wsp:val=&quot;00BF695C&quot;/&gt;&lt;wsp:rsid wsp:val=&quot;00BF69D6&quot;/&gt;&lt;wsp:rsid wsp:val=&quot;00BF73EE&quot;/&gt;&lt;wsp:rsid wsp:val=&quot;00BF79D8&quot;/&gt;&lt;wsp:rsid wsp:val=&quot;00C001EC&quot;/&gt;&lt;wsp:rsid wsp:val=&quot;00C003E0&quot;/&gt;&lt;wsp:rsid wsp:val=&quot;00C004A6&quot;/&gt;&lt;wsp:rsid wsp:val=&quot;00C00AF0&quot;/&gt;&lt;wsp:rsid wsp:val=&quot;00C027BD&quot;/&gt;&lt;wsp:rsid wsp:val=&quot;00C0299A&quot;/&gt;&lt;wsp:rsid wsp:val=&quot;00C02A0F&quot;/&gt;&lt;wsp:rsid wsp:val=&quot;00C0306E&quot;/&gt;&lt;wsp:rsid wsp:val=&quot;00C032D8&quot;/&gt;&lt;wsp:rsid wsp:val=&quot;00C03787&quot;/&gt;&lt;wsp:rsid wsp:val=&quot;00C03855&quot;/&gt;&lt;wsp:rsid wsp:val=&quot;00C03898&quot;/&gt;&lt;wsp:rsid wsp:val=&quot;00C03B1A&quot;/&gt;&lt;wsp:rsid wsp:val=&quot;00C03B7C&quot;/&gt;&lt;wsp:rsid wsp:val=&quot;00C04440&quot;/&gt;&lt;wsp:rsid wsp:val=&quot;00C04445&quot;/&gt;&lt;wsp:rsid wsp:val=&quot;00C0460D&quot;/&gt;&lt;wsp:rsid wsp:val=&quot;00C04CB2&quot;/&gt;&lt;wsp:rsid wsp:val=&quot;00C058A7&quot;/&gt;&lt;wsp:rsid wsp:val=&quot;00C059D3&quot;/&gt;&lt;wsp:rsid wsp:val=&quot;00C05D35&quot;/&gt;&lt;wsp:rsid wsp:val=&quot;00C05E2F&quot;/&gt;&lt;wsp:rsid wsp:val=&quot;00C06884&quot;/&gt;&lt;wsp:rsid wsp:val=&quot;00C06942&quot;/&gt;&lt;wsp:rsid wsp:val=&quot;00C07352&quot;/&gt;&lt;wsp:rsid wsp:val=&quot;00C0735B&quot;/&gt;&lt;wsp:rsid wsp:val=&quot;00C0767B&quot;/&gt;&lt;wsp:rsid wsp:val=&quot;00C0788D&quot;/&gt;&lt;wsp:rsid wsp:val=&quot;00C078BE&quot;/&gt;&lt;wsp:rsid wsp:val=&quot;00C07979&quot;/&gt;&lt;wsp:rsid wsp:val=&quot;00C07CBC&quot;/&gt;&lt;wsp:rsid wsp:val=&quot;00C07D82&quot;/&gt;&lt;wsp:rsid wsp:val=&quot;00C10227&quot;/&gt;&lt;wsp:rsid wsp:val=&quot;00C106DD&quot;/&gt;&lt;wsp:rsid wsp:val=&quot;00C10E1A&quot;/&gt;&lt;wsp:rsid wsp:val=&quot;00C113CE&quot;/&gt;&lt;wsp:rsid wsp:val=&quot;00C115A7&quot;/&gt;&lt;wsp:rsid wsp:val=&quot;00C11968&quot;/&gt;&lt;wsp:rsid wsp:val=&quot;00C11C26&quot;/&gt;&lt;wsp:rsid wsp:val=&quot;00C11CBF&quot;/&gt;&lt;wsp:rsid wsp:val=&quot;00C11D16&quot;/&gt;&lt;wsp:rsid wsp:val=&quot;00C1256E&quot;/&gt;&lt;wsp:rsid wsp:val=&quot;00C126C4&quot;/&gt;&lt;wsp:rsid wsp:val=&quot;00C126F2&quot;/&gt;&lt;wsp:rsid wsp:val=&quot;00C12858&quot;/&gt;&lt;wsp:rsid wsp:val=&quot;00C13165&quot;/&gt;&lt;wsp:rsid wsp:val=&quot;00C13615&quot;/&gt;&lt;wsp:rsid wsp:val=&quot;00C13BFA&quot;/&gt;&lt;wsp:rsid wsp:val=&quot;00C13FBA&quot;/&gt;&lt;wsp:rsid wsp:val=&quot;00C140F4&quot;/&gt;&lt;wsp:rsid wsp:val=&quot;00C14DEB&quot;/&gt;&lt;wsp:rsid wsp:val=&quot;00C15CD8&quot;/&gt;&lt;wsp:rsid wsp:val=&quot;00C15DEF&quot;/&gt;&lt;wsp:rsid wsp:val=&quot;00C15EFD&quot;/&gt;&lt;wsp:rsid wsp:val=&quot;00C160E0&quot;/&gt;&lt;wsp:rsid wsp:val=&quot;00C16621&quot;/&gt;&lt;wsp:rsid wsp:val=&quot;00C16FA3&quot;/&gt;&lt;wsp:rsid wsp:val=&quot;00C1700F&quot;/&gt;&lt;wsp:rsid wsp:val=&quot;00C174C8&quot;/&gt;&lt;wsp:rsid wsp:val=&quot;00C17C7A&quot;/&gt;&lt;wsp:rsid wsp:val=&quot;00C17DE9&quot;/&gt;&lt;wsp:rsid wsp:val=&quot;00C206E5&quot;/&gt;&lt;wsp:rsid wsp:val=&quot;00C20BE1&quot;/&gt;&lt;wsp:rsid wsp:val=&quot;00C21547&quot;/&gt;&lt;wsp:rsid wsp:val=&quot;00C2158C&quot;/&gt;&lt;wsp:rsid wsp:val=&quot;00C21709&quot;/&gt;&lt;wsp:rsid wsp:val=&quot;00C22434&quot;/&gt;&lt;wsp:rsid wsp:val=&quot;00C2273D&quot;/&gt;&lt;wsp:rsid wsp:val=&quot;00C22762&quot;/&gt;&lt;wsp:rsid wsp:val=&quot;00C22E56&quot;/&gt;&lt;wsp:rsid wsp:val=&quot;00C2354E&quot;/&gt;&lt;wsp:rsid wsp:val=&quot;00C23DAB&quot;/&gt;&lt;wsp:rsid wsp:val=&quot;00C24183&quot;/&gt;&lt;wsp:rsid wsp:val=&quot;00C2431E&quot;/&gt;&lt;wsp:rsid wsp:val=&quot;00C243E3&quot;/&gt;&lt;wsp:rsid wsp:val=&quot;00C246DD&quot;/&gt;&lt;wsp:rsid wsp:val=&quot;00C24740&quot;/&gt;&lt;wsp:rsid wsp:val=&quot;00C24934&quot;/&gt;&lt;wsp:rsid wsp:val=&quot;00C24942&quot;/&gt;&lt;wsp:rsid wsp:val=&quot;00C24E53&quot;/&gt;&lt;wsp:rsid wsp:val=&quot;00C24FEE&quot;/&gt;&lt;wsp:rsid wsp:val=&quot;00C254F0&quot;/&gt;&lt;wsp:rsid wsp:val=&quot;00C25663&quot;/&gt;&lt;wsp:rsid wsp:val=&quot;00C25B4D&quot;/&gt;&lt;wsp:rsid wsp:val=&quot;00C25D3E&quot;/&gt;&lt;wsp:rsid wsp:val=&quot;00C25EC4&quot;/&gt;&lt;wsp:rsid wsp:val=&quot;00C261A0&quot;/&gt;&lt;wsp:rsid wsp:val=&quot;00C26CCF&quot;/&gt;&lt;wsp:rsid wsp:val=&quot;00C2700D&quot;/&gt;&lt;wsp:rsid wsp:val=&quot;00C272AF&quot;/&gt;&lt;wsp:rsid wsp:val=&quot;00C273CF&quot;/&gt;&lt;wsp:rsid wsp:val=&quot;00C27598&quot;/&gt;&lt;wsp:rsid wsp:val=&quot;00C276A1&quot;/&gt;&lt;wsp:rsid wsp:val=&quot;00C27834&quot;/&gt;&lt;wsp:rsid wsp:val=&quot;00C30D21&quot;/&gt;&lt;wsp:rsid wsp:val=&quot;00C317C7&quot;/&gt;&lt;wsp:rsid wsp:val=&quot;00C31A76&quot;/&gt;&lt;wsp:rsid wsp:val=&quot;00C31AFE&quot;/&gt;&lt;wsp:rsid wsp:val=&quot;00C31BD5&quot;/&gt;&lt;wsp:rsid wsp:val=&quot;00C32075&quot;/&gt;&lt;wsp:rsid wsp:val=&quot;00C321CA&quot;/&gt;&lt;wsp:rsid wsp:val=&quot;00C32737&quot;/&gt;&lt;wsp:rsid wsp:val=&quot;00C32A1A&quot;/&gt;&lt;wsp:rsid wsp:val=&quot;00C32B34&quot;/&gt;&lt;wsp:rsid wsp:val=&quot;00C333B4&quot;/&gt;&lt;wsp:rsid wsp:val=&quot;00C3353C&quot;/&gt;&lt;wsp:rsid wsp:val=&quot;00C33679&quot;/&gt;&lt;wsp:rsid wsp:val=&quot;00C3390D&quot;/&gt;&lt;wsp:rsid wsp:val=&quot;00C33C7E&quot;/&gt;&lt;wsp:rsid wsp:val=&quot;00C33CAB&quot;/&gt;&lt;wsp:rsid wsp:val=&quot;00C34141&quot;/&gt;&lt;wsp:rsid wsp:val=&quot;00C3435D&quot;/&gt;&lt;wsp:rsid wsp:val=&quot;00C34A3E&quot;/&gt;&lt;wsp:rsid wsp:val=&quot;00C34B99&quot;/&gt;&lt;wsp:rsid wsp:val=&quot;00C3513A&quot;/&gt;&lt;wsp:rsid wsp:val=&quot;00C35292&quot;/&gt;&lt;wsp:rsid wsp:val=&quot;00C35D3C&quot;/&gt;&lt;wsp:rsid wsp:val=&quot;00C35E6C&quot;/&gt;&lt;wsp:rsid wsp:val=&quot;00C361CF&quot;/&gt;&lt;wsp:rsid wsp:val=&quot;00C36788&quot;/&gt;&lt;wsp:rsid wsp:val=&quot;00C36C58&quot;/&gt;&lt;wsp:rsid wsp:val=&quot;00C374CC&quot;/&gt;&lt;wsp:rsid wsp:val=&quot;00C37A0B&quot;/&gt;&lt;wsp:rsid wsp:val=&quot;00C37CB6&quot;/&gt;&lt;wsp:rsid wsp:val=&quot;00C37F28&quot;/&gt;&lt;wsp:rsid wsp:val=&quot;00C40BFA&quot;/&gt;&lt;wsp:rsid wsp:val=&quot;00C41210&quot;/&gt;&lt;wsp:rsid wsp:val=&quot;00C414A7&quot;/&gt;&lt;wsp:rsid wsp:val=&quot;00C41F9A&quot;/&gt;&lt;wsp:rsid wsp:val=&quot;00C424CE&quot;/&gt;&lt;wsp:rsid wsp:val=&quot;00C424FE&quot;/&gt;&lt;wsp:rsid wsp:val=&quot;00C43181&quot;/&gt;&lt;wsp:rsid wsp:val=&quot;00C4342D&quot;/&gt;&lt;wsp:rsid wsp:val=&quot;00C43898&quot;/&gt;&lt;wsp:rsid wsp:val=&quot;00C438B1&quot;/&gt;&lt;wsp:rsid wsp:val=&quot;00C43AE1&quot;/&gt;&lt;wsp:rsid wsp:val=&quot;00C4461D&quot;/&gt;&lt;wsp:rsid wsp:val=&quot;00C449EB&quot;/&gt;&lt;wsp:rsid wsp:val=&quot;00C44B2C&quot;/&gt;&lt;wsp:rsid wsp:val=&quot;00C44E68&quot;/&gt;&lt;wsp:rsid wsp:val=&quot;00C45CCA&quot;/&gt;&lt;wsp:rsid wsp:val=&quot;00C46676&quot;/&gt;&lt;wsp:rsid wsp:val=&quot;00C46A5E&quot;/&gt;&lt;wsp:rsid wsp:val=&quot;00C47055&quot;/&gt;&lt;wsp:rsid wsp:val=&quot;00C470C6&quot;/&gt;&lt;wsp:rsid wsp:val=&quot;00C473D4&quot;/&gt;&lt;wsp:rsid wsp:val=&quot;00C502F2&quot;/&gt;&lt;wsp:rsid wsp:val=&quot;00C5081F&quot;/&gt;&lt;wsp:rsid wsp:val=&quot;00C50904&quot;/&gt;&lt;wsp:rsid wsp:val=&quot;00C50FE9&quot;/&gt;&lt;wsp:rsid wsp:val=&quot;00C52309&quot;/&gt;&lt;wsp:rsid wsp:val=&quot;00C52711&quot;/&gt;&lt;wsp:rsid wsp:val=&quot;00C52D2E&quot;/&gt;&lt;wsp:rsid wsp:val=&quot;00C53285&quot;/&gt;&lt;wsp:rsid wsp:val=&quot;00C532D3&quot;/&gt;&lt;wsp:rsid wsp:val=&quot;00C5345E&quot;/&gt;&lt;wsp:rsid wsp:val=&quot;00C53732&quot;/&gt;&lt;wsp:rsid wsp:val=&quot;00C537B7&quot;/&gt;&lt;wsp:rsid wsp:val=&quot;00C53C4D&quot;/&gt;&lt;wsp:rsid wsp:val=&quot;00C53F2E&quot;/&gt;&lt;wsp:rsid wsp:val=&quot;00C53FD8&quot;/&gt;&lt;wsp:rsid wsp:val=&quot;00C543D9&quot;/&gt;&lt;wsp:rsid wsp:val=&quot;00C545BA&quot;/&gt;&lt;wsp:rsid wsp:val=&quot;00C54680&quot;/&gt;&lt;wsp:rsid wsp:val=&quot;00C54EDD&quot;/&gt;&lt;wsp:rsid wsp:val=&quot;00C550DB&quot;/&gt;&lt;wsp:rsid wsp:val=&quot;00C551A6&quot;/&gt;&lt;wsp:rsid wsp:val=&quot;00C5536F&quot;/&gt;&lt;wsp:rsid wsp:val=&quot;00C554B2&quot;/&gt;&lt;wsp:rsid wsp:val=&quot;00C55B46&quot;/&gt;&lt;wsp:rsid wsp:val=&quot;00C56516&quot;/&gt;&lt;wsp:rsid wsp:val=&quot;00C567C6&quot;/&gt;&lt;wsp:rsid wsp:val=&quot;00C5688A&quot;/&gt;&lt;wsp:rsid wsp:val=&quot;00C568B1&quot;/&gt;&lt;wsp:rsid wsp:val=&quot;00C56F83&quot;/&gt;&lt;wsp:rsid wsp:val=&quot;00C575E1&quot;/&gt;&lt;wsp:rsid wsp:val=&quot;00C5761B&quot;/&gt;&lt;wsp:rsid wsp:val=&quot;00C5767A&quot;/&gt;&lt;wsp:rsid wsp:val=&quot;00C576F9&quot;/&gt;&lt;wsp:rsid wsp:val=&quot;00C57749&quot;/&gt;&lt;wsp:rsid wsp:val=&quot;00C57851&quot;/&gt;&lt;wsp:rsid wsp:val=&quot;00C5785B&quot;/&gt;&lt;wsp:rsid wsp:val=&quot;00C57B13&quot;/&gt;&lt;wsp:rsid wsp:val=&quot;00C57BDA&quot;/&gt;&lt;wsp:rsid wsp:val=&quot;00C57D5B&quot;/&gt;&lt;wsp:rsid wsp:val=&quot;00C57F7B&quot;/&gt;&lt;wsp:rsid wsp:val=&quot;00C606D6&quot;/&gt;&lt;wsp:rsid wsp:val=&quot;00C60AC9&quot;/&gt;&lt;wsp:rsid wsp:val=&quot;00C60BC0&quot;/&gt;&lt;wsp:rsid wsp:val=&quot;00C60F96&quot;/&gt;&lt;wsp:rsid wsp:val=&quot;00C61068&quot;/&gt;&lt;wsp:rsid wsp:val=&quot;00C61299&quot;/&gt;&lt;wsp:rsid wsp:val=&quot;00C61342&quot;/&gt;&lt;wsp:rsid wsp:val=&quot;00C6150E&quot;/&gt;&lt;wsp:rsid wsp:val=&quot;00C618A9&quot;/&gt;&lt;wsp:rsid wsp:val=&quot;00C618CD&quot;/&gt;&lt;wsp:rsid wsp:val=&quot;00C61AED&quot;/&gt;&lt;wsp:rsid wsp:val=&quot;00C61B05&quot;/&gt;&lt;wsp:rsid wsp:val=&quot;00C61C23&quot;/&gt;&lt;wsp:rsid wsp:val=&quot;00C625EC&quot;/&gt;&lt;wsp:rsid wsp:val=&quot;00C62E42&quot;/&gt;&lt;wsp:rsid wsp:val=&quot;00C62F74&quot;/&gt;&lt;wsp:rsid wsp:val=&quot;00C62F8B&quot;/&gt;&lt;wsp:rsid wsp:val=&quot;00C63281&quot;/&gt;&lt;wsp:rsid wsp:val=&quot;00C63448&quot;/&gt;&lt;wsp:rsid wsp:val=&quot;00C6363E&quot;/&gt;&lt;wsp:rsid wsp:val=&quot;00C63D1C&quot;/&gt;&lt;wsp:rsid wsp:val=&quot;00C6437F&quot;/&gt;&lt;wsp:rsid wsp:val=&quot;00C645E4&quot;/&gt;&lt;wsp:rsid wsp:val=&quot;00C64A11&quot;/&gt;&lt;wsp:rsid wsp:val=&quot;00C64ABA&quot;/&gt;&lt;wsp:rsid wsp:val=&quot;00C64B88&quot;/&gt;&lt;wsp:rsid wsp:val=&quot;00C64C46&quot;/&gt;&lt;wsp:rsid wsp:val=&quot;00C65872&quot;/&gt;&lt;wsp:rsid wsp:val=&quot;00C668F8&quot;/&gt;&lt;wsp:rsid wsp:val=&quot;00C66A6E&quot;/&gt;&lt;wsp:rsid wsp:val=&quot;00C66D96&quot;/&gt;&lt;wsp:rsid wsp:val=&quot;00C66F78&quot;/&gt;&lt;wsp:rsid wsp:val=&quot;00C66FA8&quot;/&gt;&lt;wsp:rsid wsp:val=&quot;00C7137D&quot;/&gt;&lt;wsp:rsid wsp:val=&quot;00C717DB&quot;/&gt;&lt;wsp:rsid wsp:val=&quot;00C71F59&quot;/&gt;&lt;wsp:rsid wsp:val=&quot;00C72570&quot;/&gt;&lt;wsp:rsid wsp:val=&quot;00C725EE&quot;/&gt;&lt;wsp:rsid wsp:val=&quot;00C72664&quot;/&gt;&lt;wsp:rsid wsp:val=&quot;00C72817&quot;/&gt;&lt;wsp:rsid wsp:val=&quot;00C72BC3&quot;/&gt;&lt;wsp:rsid wsp:val=&quot;00C73842&quot;/&gt;&lt;wsp:rsid wsp:val=&quot;00C740AC&quot;/&gt;&lt;wsp:rsid wsp:val=&quot;00C74129&quot;/&gt;&lt;wsp:rsid wsp:val=&quot;00C746E7&quot;/&gt;&lt;wsp:rsid wsp:val=&quot;00C7480E&quot;/&gt;&lt;wsp:rsid wsp:val=&quot;00C74A85&quot;/&gt;&lt;wsp:rsid wsp:val=&quot;00C74F88&quot;/&gt;&lt;wsp:rsid wsp:val=&quot;00C75502&quot;/&gt;&lt;wsp:rsid wsp:val=&quot;00C7580C&quot;/&gt;&lt;wsp:rsid wsp:val=&quot;00C75A4C&quot;/&gt;&lt;wsp:rsid wsp:val=&quot;00C76492&quot;/&gt;&lt;wsp:rsid wsp:val=&quot;00C764B2&quot;/&gt;&lt;wsp:rsid wsp:val=&quot;00C769F2&quot;/&gt;&lt;wsp:rsid wsp:val=&quot;00C76EDE&quot;/&gt;&lt;wsp:rsid wsp:val=&quot;00C771DD&quot;/&gt;&lt;wsp:rsid wsp:val=&quot;00C77671&quot;/&gt;&lt;wsp:rsid wsp:val=&quot;00C77F5C&quot;/&gt;&lt;wsp:rsid wsp:val=&quot;00C800F2&quot;/&gt;&lt;wsp:rsid wsp:val=&quot;00C8034F&quot;/&gt;&lt;wsp:rsid wsp:val=&quot;00C80A04&quot;/&gt;&lt;wsp:rsid wsp:val=&quot;00C812AF&quot;/&gt;&lt;wsp:rsid wsp:val=&quot;00C81486&quot;/&gt;&lt;wsp:rsid wsp:val=&quot;00C81CB5&quot;/&gt;&lt;wsp:rsid wsp:val=&quot;00C8243F&quot;/&gt;&lt;wsp:rsid wsp:val=&quot;00C83138&quot;/&gt;&lt;wsp:rsid wsp:val=&quot;00C8379F&quot;/&gt;&lt;wsp:rsid wsp:val=&quot;00C83A43&quot;/&gt;&lt;wsp:rsid wsp:val=&quot;00C83F90&quot;/&gt;&lt;wsp:rsid wsp:val=&quot;00C84259&quot;/&gt;&lt;wsp:rsid wsp:val=&quot;00C843F6&quot;/&gt;&lt;wsp:rsid wsp:val=&quot;00C84AEA&quot;/&gt;&lt;wsp:rsid wsp:val=&quot;00C84C16&quot;/&gt;&lt;wsp:rsid wsp:val=&quot;00C84D06&quot;/&gt;&lt;wsp:rsid wsp:val=&quot;00C84FD0&quot;/&gt;&lt;wsp:rsid wsp:val=&quot;00C85479&quot;/&gt;&lt;wsp:rsid wsp:val=&quot;00C859EE&quot;/&gt;&lt;wsp:rsid wsp:val=&quot;00C85A54&quot;/&gt;&lt;wsp:rsid wsp:val=&quot;00C85C60&quot;/&gt;&lt;wsp:rsid wsp:val=&quot;00C85D44&quot;/&gt;&lt;wsp:rsid wsp:val=&quot;00C85E37&quot;/&gt;&lt;wsp:rsid wsp:val=&quot;00C8606D&quot;/&gt;&lt;wsp:rsid wsp:val=&quot;00C863E9&quot;/&gt;&lt;wsp:rsid wsp:val=&quot;00C86ECA&quot;/&gt;&lt;wsp:rsid wsp:val=&quot;00C8760A&quot;/&gt;&lt;wsp:rsid wsp:val=&quot;00C87C14&quot;/&gt;&lt;wsp:rsid wsp:val=&quot;00C87CFF&quot;/&gt;&lt;wsp:rsid wsp:val=&quot;00C87E67&quot;/&gt;&lt;wsp:rsid wsp:val=&quot;00C87EBD&quot;/&gt;&lt;wsp:rsid wsp:val=&quot;00C907EB&quot;/&gt;&lt;wsp:rsid wsp:val=&quot;00C908EF&quot;/&gt;&lt;wsp:rsid wsp:val=&quot;00C90B9F&quot;/&gt;&lt;wsp:rsid wsp:val=&quot;00C9110A&quot;/&gt;&lt;wsp:rsid wsp:val=&quot;00C91415&quot;/&gt;&lt;wsp:rsid wsp:val=&quot;00C917E5&quot;/&gt;&lt;wsp:rsid wsp:val=&quot;00C91F37&quot;/&gt;&lt;wsp:rsid wsp:val=&quot;00C91F8B&quot;/&gt;&lt;wsp:rsid wsp:val=&quot;00C92241&quot;/&gt;&lt;wsp:rsid wsp:val=&quot;00C92A6B&quot;/&gt;&lt;wsp:rsid wsp:val=&quot;00C92B85&quot;/&gt;&lt;wsp:rsid wsp:val=&quot;00C92F53&quot;/&gt;&lt;wsp:rsid wsp:val=&quot;00C931FE&quot;/&gt;&lt;wsp:rsid wsp:val=&quot;00C93238&quot;/&gt;&lt;wsp:rsid wsp:val=&quot;00C933B8&quot;/&gt;&lt;wsp:rsid wsp:val=&quot;00C933D2&quot;/&gt;&lt;wsp:rsid wsp:val=&quot;00C943B9&quot;/&gt;&lt;wsp:rsid wsp:val=&quot;00C94D96&quot;/&gt;&lt;wsp:rsid wsp:val=&quot;00C9509A&quot;/&gt;&lt;wsp:rsid wsp:val=&quot;00C955E3&quot;/&gt;&lt;wsp:rsid wsp:val=&quot;00C96835&quot;/&gt;&lt;wsp:rsid wsp:val=&quot;00C96A9B&quot;/&gt;&lt;wsp:rsid wsp:val=&quot;00C96F59&quot;/&gt;&lt;wsp:rsid wsp:val=&quot;00C97485&quot;/&gt;&lt;wsp:rsid wsp:val=&quot;00C975A8&quot;/&gt;&lt;wsp:rsid wsp:val=&quot;00C97AF5&quot;/&gt;&lt;wsp:rsid wsp:val=&quot;00CA001C&quot;/&gt;&lt;wsp:rsid wsp:val=&quot;00CA01BC&quot;/&gt;&lt;wsp:rsid wsp:val=&quot;00CA0ABE&quot;/&gt;&lt;wsp:rsid wsp:val=&quot;00CA0EE9&quot;/&gt;&lt;wsp:rsid wsp:val=&quot;00CA1535&quot;/&gt;&lt;wsp:rsid wsp:val=&quot;00CA21F9&quot;/&gt;&lt;wsp:rsid wsp:val=&quot;00CA2376&quot;/&gt;&lt;wsp:rsid wsp:val=&quot;00CA317C&quot;/&gt;&lt;wsp:rsid wsp:val=&quot;00CA39B2&quot;/&gt;&lt;wsp:rsid wsp:val=&quot;00CA3AAF&quot;/&gt;&lt;wsp:rsid wsp:val=&quot;00CA3E82&quot;/&gt;&lt;wsp:rsid wsp:val=&quot;00CA412A&quot;/&gt;&lt;wsp:rsid wsp:val=&quot;00CA430A&quot;/&gt;&lt;wsp:rsid wsp:val=&quot;00CA45A0&quot;/&gt;&lt;wsp:rsid wsp:val=&quot;00CA4716&quot;/&gt;&lt;wsp:rsid wsp:val=&quot;00CA4AED&quot;/&gt;&lt;wsp:rsid wsp:val=&quot;00CA502F&quot;/&gt;&lt;wsp:rsid wsp:val=&quot;00CA5083&quot;/&gt;&lt;wsp:rsid wsp:val=&quot;00CA5326&quot;/&gt;&lt;wsp:rsid wsp:val=&quot;00CA5463&quot;/&gt;&lt;wsp:rsid wsp:val=&quot;00CA5694&quot;/&gt;&lt;wsp:rsid wsp:val=&quot;00CA5F4B&quot;/&gt;&lt;wsp:rsid wsp:val=&quot;00CA6F3B&quot;/&gt;&lt;wsp:rsid wsp:val=&quot;00CA7657&quot;/&gt;&lt;wsp:rsid wsp:val=&quot;00CA7FDD&quot;/&gt;&lt;wsp:rsid wsp:val=&quot;00CB021B&quot;/&gt;&lt;wsp:rsid wsp:val=&quot;00CB023E&quot;/&gt;&lt;wsp:rsid wsp:val=&quot;00CB05E8&quot;/&gt;&lt;wsp:rsid wsp:val=&quot;00CB0C4D&quot;/&gt;&lt;wsp:rsid wsp:val=&quot;00CB0CEE&quot;/&gt;&lt;wsp:rsid wsp:val=&quot;00CB0DF0&quot;/&gt;&lt;wsp:rsid wsp:val=&quot;00CB11E0&quot;/&gt;&lt;wsp:rsid wsp:val=&quot;00CB13A3&quot;/&gt;&lt;wsp:rsid wsp:val=&quot;00CB13EA&quot;/&gt;&lt;wsp:rsid wsp:val=&quot;00CB1490&quot;/&gt;&lt;wsp:rsid wsp:val=&quot;00CB1591&quot;/&gt;&lt;wsp:rsid wsp:val=&quot;00CB1924&quot;/&gt;&lt;wsp:rsid wsp:val=&quot;00CB1DD2&quot;/&gt;&lt;wsp:rsid wsp:val=&quot;00CB2915&quot;/&gt;&lt;wsp:rsid wsp:val=&quot;00CB2E41&quot;/&gt;&lt;wsp:rsid wsp:val=&quot;00CB2F87&quot;/&gt;&lt;wsp:rsid wsp:val=&quot;00CB3523&quot;/&gt;&lt;wsp:rsid wsp:val=&quot;00CB3D78&quot;/&gt;&lt;wsp:rsid wsp:val=&quot;00CB4541&quot;/&gt;&lt;wsp:rsid wsp:val=&quot;00CB4ABE&quot;/&gt;&lt;wsp:rsid wsp:val=&quot;00CB4E9E&quot;/&gt;&lt;wsp:rsid wsp:val=&quot;00CB5FAA&quot;/&gt;&lt;wsp:rsid wsp:val=&quot;00CB607E&quot;/&gt;&lt;wsp:rsid wsp:val=&quot;00CB6112&quot;/&gt;&lt;wsp:rsid wsp:val=&quot;00CB65FF&quot;/&gt;&lt;wsp:rsid wsp:val=&quot;00CB68DF&quot;/&gt;&lt;wsp:rsid wsp:val=&quot;00CB70A6&quot;/&gt;&lt;wsp:rsid wsp:val=&quot;00CB7214&quot;/&gt;&lt;wsp:rsid wsp:val=&quot;00CB7577&quot;/&gt;&lt;wsp:rsid wsp:val=&quot;00CB7914&quot;/&gt;&lt;wsp:rsid wsp:val=&quot;00CB7EAC&quot;/&gt;&lt;wsp:rsid wsp:val=&quot;00CC0607&quot;/&gt;&lt;wsp:rsid wsp:val=&quot;00CC0DEB&quot;/&gt;&lt;wsp:rsid wsp:val=&quot;00CC1308&quot;/&gt;&lt;wsp:rsid wsp:val=&quot;00CC1425&quot;/&gt;&lt;wsp:rsid wsp:val=&quot;00CC162D&quot;/&gt;&lt;wsp:rsid wsp:val=&quot;00CC1750&quot;/&gt;&lt;wsp:rsid wsp:val=&quot;00CC1B59&quot;/&gt;&lt;wsp:rsid wsp:val=&quot;00CC1B6C&quot;/&gt;&lt;wsp:rsid wsp:val=&quot;00CC1BB0&quot;/&gt;&lt;wsp:rsid wsp:val=&quot;00CC1D33&quot;/&gt;&lt;wsp:rsid wsp:val=&quot;00CC259F&quot;/&gt;&lt;wsp:rsid wsp:val=&quot;00CC2AB0&quot;/&gt;&lt;wsp:rsid wsp:val=&quot;00CC3AD3&quot;/&gt;&lt;wsp:rsid wsp:val=&quot;00CC3D3F&quot;/&gt;&lt;wsp:rsid wsp:val=&quot;00CC42C4&quot;/&gt;&lt;wsp:rsid wsp:val=&quot;00CC4951&quot;/&gt;&lt;wsp:rsid wsp:val=&quot;00CC5005&quot;/&gt;&lt;wsp:rsid wsp:val=&quot;00CC51C0&quot;/&gt;&lt;wsp:rsid wsp:val=&quot;00CC5356&quot;/&gt;&lt;wsp:rsid wsp:val=&quot;00CC630F&quot;/&gt;&lt;wsp:rsid wsp:val=&quot;00CC6480&quot;/&gt;&lt;wsp:rsid wsp:val=&quot;00CC69D2&quot;/&gt;&lt;wsp:rsid wsp:val=&quot;00CC7081&quot;/&gt;&lt;wsp:rsid wsp:val=&quot;00CC70C9&quot;/&gt;&lt;wsp:rsid wsp:val=&quot;00CC757A&quot;/&gt;&lt;wsp:rsid wsp:val=&quot;00CC7F0A&quot;/&gt;&lt;wsp:rsid wsp:val=&quot;00CD04DC&quot;/&gt;&lt;wsp:rsid wsp:val=&quot;00CD0654&quot;/&gt;&lt;wsp:rsid wsp:val=&quot;00CD0DBD&quot;/&gt;&lt;wsp:rsid wsp:val=&quot;00CD126F&quot;/&gt;&lt;wsp:rsid wsp:val=&quot;00CD13A9&quot;/&gt;&lt;wsp:rsid wsp:val=&quot;00CD1C5C&quot;/&gt;&lt;wsp:rsid wsp:val=&quot;00CD1D38&quot;/&gt;&lt;wsp:rsid wsp:val=&quot;00CD1DD8&quot;/&gt;&lt;wsp:rsid wsp:val=&quot;00CD2737&quot;/&gt;&lt;wsp:rsid wsp:val=&quot;00CD2CBE&quot;/&gt;&lt;wsp:rsid wsp:val=&quot;00CD3100&quot;/&gt;&lt;wsp:rsid wsp:val=&quot;00CD33EE&quot;/&gt;&lt;wsp:rsid wsp:val=&quot;00CD352F&quot;/&gt;&lt;wsp:rsid wsp:val=&quot;00CD35C6&quot;/&gt;&lt;wsp:rsid wsp:val=&quot;00CD3656&quot;/&gt;&lt;wsp:rsid wsp:val=&quot;00CD39AB&quot;/&gt;&lt;wsp:rsid wsp:val=&quot;00CD4624&quot;/&gt;&lt;wsp:rsid wsp:val=&quot;00CD46C0&quot;/&gt;&lt;wsp:rsid wsp:val=&quot;00CD4C1E&quot;/&gt;&lt;wsp:rsid wsp:val=&quot;00CD56E5&quot;/&gt;&lt;wsp:rsid wsp:val=&quot;00CD59B4&quot;/&gt;&lt;wsp:rsid wsp:val=&quot;00CD5AEC&quot;/&gt;&lt;wsp:rsid wsp:val=&quot;00CD5CE9&quot;/&gt;&lt;wsp:rsid wsp:val=&quot;00CD6421&quot;/&gt;&lt;wsp:rsid wsp:val=&quot;00CD65F7&quot;/&gt;&lt;wsp:rsid wsp:val=&quot;00CD664C&quot;/&gt;&lt;wsp:rsid wsp:val=&quot;00CD6688&quot;/&gt;&lt;wsp:rsid wsp:val=&quot;00CD6BB6&quot;/&gt;&lt;wsp:rsid wsp:val=&quot;00CD6C1B&quot;/&gt;&lt;wsp:rsid wsp:val=&quot;00CD75CB&quot;/&gt;&lt;wsp:rsid wsp:val=&quot;00CD79D2&quot;/&gt;&lt;wsp:rsid wsp:val=&quot;00CE0380&quot;/&gt;&lt;wsp:rsid wsp:val=&quot;00CE0870&quot;/&gt;&lt;wsp:rsid wsp:val=&quot;00CE0F5B&quot;/&gt;&lt;wsp:rsid wsp:val=&quot;00CE0FB5&quot;/&gt;&lt;wsp:rsid wsp:val=&quot;00CE1246&quot;/&gt;&lt;wsp:rsid wsp:val=&quot;00CE1704&quot;/&gt;&lt;wsp:rsid wsp:val=&quot;00CE250C&quot;/&gt;&lt;wsp:rsid wsp:val=&quot;00CE2717&quot;/&gt;&lt;wsp:rsid wsp:val=&quot;00CE2BD4&quot;/&gt;&lt;wsp:rsid wsp:val=&quot;00CE2DFC&quot;/&gt;&lt;wsp:rsid wsp:val=&quot;00CE3154&quot;/&gt;&lt;wsp:rsid wsp:val=&quot;00CE3359&quot;/&gt;&lt;wsp:rsid wsp:val=&quot;00CE4038&quot;/&gt;&lt;wsp:rsid wsp:val=&quot;00CE4AC6&quot;/&gt;&lt;wsp:rsid wsp:val=&quot;00CE4B67&quot;/&gt;&lt;wsp:rsid wsp:val=&quot;00CE505E&quot;/&gt;&lt;wsp:rsid wsp:val=&quot;00CE5625&quot;/&gt;&lt;wsp:rsid wsp:val=&quot;00CE5665&quot;/&gt;&lt;wsp:rsid wsp:val=&quot;00CE5B25&quot;/&gt;&lt;wsp:rsid wsp:val=&quot;00CE5E82&quot;/&gt;&lt;wsp:rsid wsp:val=&quot;00CE67DA&quot;/&gt;&lt;wsp:rsid wsp:val=&quot;00CE6A2D&quot;/&gt;&lt;wsp:rsid wsp:val=&quot;00CE73F7&quot;/&gt;&lt;wsp:rsid wsp:val=&quot;00CE7542&quot;/&gt;&lt;wsp:rsid wsp:val=&quot;00CE793E&quot;/&gt;&lt;wsp:rsid wsp:val=&quot;00CE7B06&quot;/&gt;&lt;wsp:rsid wsp:val=&quot;00CE7E3B&quot;/&gt;&lt;wsp:rsid wsp:val=&quot;00CE7F90&quot;/&gt;&lt;wsp:rsid wsp:val=&quot;00CF02EC&quot;/&gt;&lt;wsp:rsid wsp:val=&quot;00CF09F4&quot;/&gt;&lt;wsp:rsid wsp:val=&quot;00CF0CCA&quot;/&gt;&lt;wsp:rsid wsp:val=&quot;00CF0FE2&quot;/&gt;&lt;wsp:rsid wsp:val=&quot;00CF114C&quot;/&gt;&lt;wsp:rsid wsp:val=&quot;00CF143A&quot;/&gt;&lt;wsp:rsid wsp:val=&quot;00CF1F89&quot;/&gt;&lt;wsp:rsid wsp:val=&quot;00CF229C&quot;/&gt;&lt;wsp:rsid wsp:val=&quot;00CF2609&quot;/&gt;&lt;wsp:rsid wsp:val=&quot;00CF2615&quot;/&gt;&lt;wsp:rsid wsp:val=&quot;00CF2651&quot;/&gt;&lt;wsp:rsid wsp:val=&quot;00CF26CE&quot;/&gt;&lt;wsp:rsid wsp:val=&quot;00CF2994&quot;/&gt;&lt;wsp:rsid wsp:val=&quot;00CF3782&quot;/&gt;&lt;wsp:rsid wsp:val=&quot;00CF3C0C&quot;/&gt;&lt;wsp:rsid wsp:val=&quot;00CF441E&quot;/&gt;&lt;wsp:rsid wsp:val=&quot;00CF446C&quot;/&gt;&lt;wsp:rsid wsp:val=&quot;00CF4616&quot;/&gt;&lt;wsp:rsid wsp:val=&quot;00CF484F&quot;/&gt;&lt;wsp:rsid wsp:val=&quot;00CF4B3E&quot;/&gt;&lt;wsp:rsid wsp:val=&quot;00CF4C29&quot;/&gt;&lt;wsp:rsid wsp:val=&quot;00CF5493&quot;/&gt;&lt;wsp:rsid wsp:val=&quot;00CF659D&quot;/&gt;&lt;wsp:rsid wsp:val=&quot;00CF6957&quot;/&gt;&lt;wsp:rsid wsp:val=&quot;00CF7B29&quot;/&gt;&lt;wsp:rsid wsp:val=&quot;00CF7F58&quot;/&gt;&lt;wsp:rsid wsp:val=&quot;00D00110&quot;/&gt;&lt;wsp:rsid wsp:val=&quot;00D003E7&quot;/&gt;&lt;wsp:rsid wsp:val=&quot;00D00496&quot;/&gt;&lt;wsp:rsid wsp:val=&quot;00D008C0&quot;/&gt;&lt;wsp:rsid wsp:val=&quot;00D0182D&quot;/&gt;&lt;wsp:rsid wsp:val=&quot;00D01F7D&quot;/&gt;&lt;wsp:rsid wsp:val=&quot;00D01FC4&quot;/&gt;&lt;wsp:rsid wsp:val=&quot;00D021A2&quot;/&gt;&lt;wsp:rsid wsp:val=&quot;00D02382&quot;/&gt;&lt;wsp:rsid wsp:val=&quot;00D02841&quot;/&gt;&lt;wsp:rsid wsp:val=&quot;00D02D7C&quot;/&gt;&lt;wsp:rsid wsp:val=&quot;00D02F1C&quot;/&gt;&lt;wsp:rsid wsp:val=&quot;00D03115&quot;/&gt;&lt;wsp:rsid wsp:val=&quot;00D03436&quot;/&gt;&lt;wsp:rsid wsp:val=&quot;00D0387E&quot;/&gt;&lt;wsp:rsid wsp:val=&quot;00D03FAC&quot;/&gt;&lt;wsp:rsid wsp:val=&quot;00D03FE8&quot;/&gt;&lt;wsp:rsid wsp:val=&quot;00D04429&quot;/&gt;&lt;wsp:rsid wsp:val=&quot;00D047D0&quot;/&gt;&lt;wsp:rsid wsp:val=&quot;00D04B24&quot;/&gt;&lt;wsp:rsid wsp:val=&quot;00D05080&quot;/&gt;&lt;wsp:rsid wsp:val=&quot;00D054B1&quot;/&gt;&lt;wsp:rsid wsp:val=&quot;00D06174&quot;/&gt;&lt;wsp:rsid wsp:val=&quot;00D063BC&quot;/&gt;&lt;wsp:rsid wsp:val=&quot;00D066C4&quot;/&gt;&lt;wsp:rsid wsp:val=&quot;00D06866&quot;/&gt;&lt;wsp:rsid wsp:val=&quot;00D06C9F&quot;/&gt;&lt;wsp:rsid wsp:val=&quot;00D06E44&quot;/&gt;&lt;wsp:rsid wsp:val=&quot;00D072FB&quot;/&gt;&lt;wsp:rsid wsp:val=&quot;00D074F8&quot;/&gt;&lt;wsp:rsid wsp:val=&quot;00D07581&quot;/&gt;&lt;wsp:rsid wsp:val=&quot;00D07AB2&quot;/&gt;&lt;wsp:rsid wsp:val=&quot;00D07B9F&quot;/&gt;&lt;wsp:rsid wsp:val=&quot;00D106D2&quot;/&gt;&lt;wsp:rsid wsp:val=&quot;00D10B45&quot;/&gt;&lt;wsp:rsid wsp:val=&quot;00D1107C&quot;/&gt;&lt;wsp:rsid wsp:val=&quot;00D1143D&quot;/&gt;&lt;wsp:rsid wsp:val=&quot;00D1152D&quot;/&gt;&lt;wsp:rsid wsp:val=&quot;00D11922&quot;/&gt;&lt;wsp:rsid wsp:val=&quot;00D11A48&quot;/&gt;&lt;wsp:rsid wsp:val=&quot;00D123C5&quot;/&gt;&lt;wsp:rsid wsp:val=&quot;00D12657&quot;/&gt;&lt;wsp:rsid wsp:val=&quot;00D128FF&quot;/&gt;&lt;wsp:rsid wsp:val=&quot;00D12A1F&quot;/&gt;&lt;wsp:rsid wsp:val=&quot;00D12F15&quot;/&gt;&lt;wsp:rsid wsp:val=&quot;00D13E7A&quot;/&gt;&lt;wsp:rsid wsp:val=&quot;00D14279&quot;/&gt;&lt;wsp:rsid wsp:val=&quot;00D148AA&quot;/&gt;&lt;wsp:rsid wsp:val=&quot;00D148FC&quot;/&gt;&lt;wsp:rsid wsp:val=&quot;00D15199&quot;/&gt;&lt;wsp:rsid wsp:val=&quot;00D158AE&quot;/&gt;&lt;wsp:rsid wsp:val=&quot;00D15B02&quot;/&gt;&lt;wsp:rsid wsp:val=&quot;00D15C1B&quot;/&gt;&lt;wsp:rsid wsp:val=&quot;00D15E58&quot;/&gt;&lt;wsp:rsid wsp:val=&quot;00D15E5D&quot;/&gt;&lt;wsp:rsid wsp:val=&quot;00D15F2F&quot;/&gt;&lt;wsp:rsid wsp:val=&quot;00D161AF&quot;/&gt;&lt;wsp:rsid wsp:val=&quot;00D16209&quot;/&gt;&lt;wsp:rsid wsp:val=&quot;00D16359&quot;/&gt;&lt;wsp:rsid wsp:val=&quot;00D16BC8&quot;/&gt;&lt;wsp:rsid wsp:val=&quot;00D16BED&quot;/&gt;&lt;wsp:rsid wsp:val=&quot;00D16FF2&quot;/&gt;&lt;wsp:rsid wsp:val=&quot;00D17154&quot;/&gt;&lt;wsp:rsid wsp:val=&quot;00D1719F&quot;/&gt;&lt;wsp:rsid wsp:val=&quot;00D17240&quot;/&gt;&lt;wsp:rsid wsp:val=&quot;00D1758C&quot;/&gt;&lt;wsp:rsid wsp:val=&quot;00D17B23&quot;/&gt;&lt;wsp:rsid wsp:val=&quot;00D17B74&quot;/&gt;&lt;wsp:rsid wsp:val=&quot;00D200DB&quot;/&gt;&lt;wsp:rsid wsp:val=&quot;00D20202&quot;/&gt;&lt;wsp:rsid wsp:val=&quot;00D20682&quot;/&gt;&lt;wsp:rsid wsp:val=&quot;00D20B37&quot;/&gt;&lt;wsp:rsid wsp:val=&quot;00D20BE8&quot;/&gt;&lt;wsp:rsid wsp:val=&quot;00D21502&quot;/&gt;&lt;wsp:rsid wsp:val=&quot;00D21E04&quot;/&gt;&lt;wsp:rsid wsp:val=&quot;00D21F47&quot;/&gt;&lt;wsp:rsid wsp:val=&quot;00D22114&quot;/&gt;&lt;wsp:rsid wsp:val=&quot;00D227AB&quot;/&gt;&lt;wsp:rsid wsp:val=&quot;00D22885&quot;/&gt;&lt;wsp:rsid wsp:val=&quot;00D22905&quot;/&gt;&lt;wsp:rsid wsp:val=&quot;00D22FCC&quot;/&gt;&lt;wsp:rsid wsp:val=&quot;00D23086&quot;/&gt;&lt;wsp:rsid wsp:val=&quot;00D233FA&quot;/&gt;&lt;wsp:rsid wsp:val=&quot;00D234D4&quot;/&gt;&lt;wsp:rsid wsp:val=&quot;00D24D9E&quot;/&gt;&lt;wsp:rsid wsp:val=&quot;00D255D5&quot;/&gt;&lt;wsp:rsid wsp:val=&quot;00D25710&quot;/&gt;&lt;wsp:rsid wsp:val=&quot;00D25F3C&quot;/&gt;&lt;wsp:rsid wsp:val=&quot;00D26215&quot;/&gt;&lt;wsp:rsid wsp:val=&quot;00D279EB&quot;/&gt;&lt;wsp:rsid wsp:val=&quot;00D27BC8&quot;/&gt;&lt;wsp:rsid wsp:val=&quot;00D30031&quot;/&gt;&lt;wsp:rsid wsp:val=&quot;00D30304&quot;/&gt;&lt;wsp:rsid wsp:val=&quot;00D303E6&quot;/&gt;&lt;wsp:rsid wsp:val=&quot;00D30990&quot;/&gt;&lt;wsp:rsid wsp:val=&quot;00D3107B&quot;/&gt;&lt;wsp:rsid wsp:val=&quot;00D311A8&quot;/&gt;&lt;wsp:rsid wsp:val=&quot;00D314EA&quot;/&gt;&lt;wsp:rsid wsp:val=&quot;00D32050&quot;/&gt;&lt;wsp:rsid wsp:val=&quot;00D3210D&quot;/&gt;&lt;wsp:rsid wsp:val=&quot;00D32D29&quot;/&gt;&lt;wsp:rsid wsp:val=&quot;00D33046&quot;/&gt;&lt;wsp:rsid wsp:val=&quot;00D3344F&quot;/&gt;&lt;wsp:rsid wsp:val=&quot;00D33951&quot;/&gt;&lt;wsp:rsid wsp:val=&quot;00D33992&quot;/&gt;&lt;wsp:rsid wsp:val=&quot;00D3404A&quot;/&gt;&lt;wsp:rsid wsp:val=&quot;00D34B0E&quot;/&gt;&lt;wsp:rsid wsp:val=&quot;00D34D68&quot;/&gt;&lt;wsp:rsid wsp:val=&quot;00D3521C&quot;/&gt;&lt;wsp:rsid wsp:val=&quot;00D357ED&quot;/&gt;&lt;wsp:rsid wsp:val=&quot;00D3593B&quot;/&gt;&lt;wsp:rsid wsp:val=&quot;00D35CE6&quot;/&gt;&lt;wsp:rsid wsp:val=&quot;00D3615D&quot;/&gt;&lt;wsp:rsid wsp:val=&quot;00D36225&quot;/&gt;&lt;wsp:rsid wsp:val=&quot;00D3635F&quot;/&gt;&lt;wsp:rsid wsp:val=&quot;00D363A6&quot;/&gt;&lt;wsp:rsid wsp:val=&quot;00D369CB&quot;/&gt;&lt;wsp:rsid wsp:val=&quot;00D36C20&quot;/&gt;&lt;wsp:rsid wsp:val=&quot;00D3704F&quot;/&gt;&lt;wsp:rsid wsp:val=&quot;00D371FE&quot;/&gt;&lt;wsp:rsid wsp:val=&quot;00D375BC&quot;/&gt;&lt;wsp:rsid wsp:val=&quot;00D37BED&quot;/&gt;&lt;wsp:rsid wsp:val=&quot;00D37FC9&quot;/&gt;&lt;wsp:rsid wsp:val=&quot;00D4027F&quot;/&gt;&lt;wsp:rsid wsp:val=&quot;00D40BAC&quot;/&gt;&lt;wsp:rsid wsp:val=&quot;00D413EF&quot;/&gt;&lt;wsp:rsid wsp:val=&quot;00D4159E&quot;/&gt;&lt;wsp:rsid wsp:val=&quot;00D41860&quot;/&gt;&lt;wsp:rsid wsp:val=&quot;00D41A19&quot;/&gt;&lt;wsp:rsid wsp:val=&quot;00D42598&quot;/&gt;&lt;wsp:rsid wsp:val=&quot;00D42715&quot;/&gt;&lt;wsp:rsid wsp:val=&quot;00D428FC&quot;/&gt;&lt;wsp:rsid wsp:val=&quot;00D42C6F&quot;/&gt;&lt;wsp:rsid wsp:val=&quot;00D43754&quot;/&gt;&lt;wsp:rsid wsp:val=&quot;00D437D7&quot;/&gt;&lt;wsp:rsid wsp:val=&quot;00D43C0E&quot;/&gt;&lt;wsp:rsid wsp:val=&quot;00D44849&quot;/&gt;&lt;wsp:rsid wsp:val=&quot;00D448C0&quot;/&gt;&lt;wsp:rsid wsp:val=&quot;00D44C01&quot;/&gt;&lt;wsp:rsid wsp:val=&quot;00D44FA1&quot;/&gt;&lt;wsp:rsid wsp:val=&quot;00D4506E&quot;/&gt;&lt;wsp:rsid wsp:val=&quot;00D451F5&quot;/&gt;&lt;wsp:rsid wsp:val=&quot;00D4535F&quot;/&gt;&lt;wsp:rsid wsp:val=&quot;00D454A3&quot;/&gt;&lt;wsp:rsid wsp:val=&quot;00D45927&quot;/&gt;&lt;wsp:rsid wsp:val=&quot;00D4599C&quot;/&gt;&lt;wsp:rsid wsp:val=&quot;00D45A96&quot;/&gt;&lt;wsp:rsid wsp:val=&quot;00D462FE&quot;/&gt;&lt;wsp:rsid wsp:val=&quot;00D464AD&quot;/&gt;&lt;wsp:rsid wsp:val=&quot;00D464D7&quot;/&gt;&lt;wsp:rsid wsp:val=&quot;00D4728E&quot;/&gt;&lt;wsp:rsid wsp:val=&quot;00D47407&quot;/&gt;&lt;wsp:rsid wsp:val=&quot;00D50182&quot;/&gt;&lt;wsp:rsid wsp:val=&quot;00D507F8&quot;/&gt;&lt;wsp:rsid wsp:val=&quot;00D5104A&quot;/&gt;&lt;wsp:rsid wsp:val=&quot;00D51380&quot;/&gt;&lt;wsp:rsid wsp:val=&quot;00D514C2&quot;/&gt;&lt;wsp:rsid wsp:val=&quot;00D51D6E&quot;/&gt;&lt;wsp:rsid wsp:val=&quot;00D52177&quot;/&gt;&lt;wsp:rsid wsp:val=&quot;00D52786&quot;/&gt;&lt;wsp:rsid wsp:val=&quot;00D53024&quot;/&gt;&lt;wsp:rsid wsp:val=&quot;00D53085&quot;/&gt;&lt;wsp:rsid wsp:val=&quot;00D531D9&quot;/&gt;&lt;wsp:rsid wsp:val=&quot;00D531DF&quot;/&gt;&lt;wsp:rsid wsp:val=&quot;00D534C8&quot;/&gt;&lt;wsp:rsid wsp:val=&quot;00D541D3&quot;/&gt;&lt;wsp:rsid wsp:val=&quot;00D54608&quot;/&gt;&lt;wsp:rsid wsp:val=&quot;00D54A11&quot;/&gt;&lt;wsp:rsid wsp:val=&quot;00D54AD8&quot;/&gt;&lt;wsp:rsid wsp:val=&quot;00D54D48&quot;/&gt;&lt;wsp:rsid wsp:val=&quot;00D55229&quot;/&gt;&lt;wsp:rsid wsp:val=&quot;00D553F4&quot;/&gt;&lt;wsp:rsid wsp:val=&quot;00D55436&quot;/&gt;&lt;wsp:rsid wsp:val=&quot;00D55B87&quot;/&gt;&lt;wsp:rsid wsp:val=&quot;00D55D6A&quot;/&gt;&lt;wsp:rsid wsp:val=&quot;00D55E18&quot;/&gt;&lt;wsp:rsid wsp:val=&quot;00D55F89&quot;/&gt;&lt;wsp:rsid wsp:val=&quot;00D5684D&quot;/&gt;&lt;wsp:rsid wsp:val=&quot;00D568FF&quot;/&gt;&lt;wsp:rsid wsp:val=&quot;00D56D9C&quot;/&gt;&lt;wsp:rsid wsp:val=&quot;00D56DDD&quot;/&gt;&lt;wsp:rsid wsp:val=&quot;00D571CD&quot;/&gt;&lt;wsp:rsid wsp:val=&quot;00D57C96&quot;/&gt;&lt;wsp:rsid wsp:val=&quot;00D6000D&quot;/&gt;&lt;wsp:rsid wsp:val=&quot;00D609E3&quot;/&gt;&lt;wsp:rsid wsp:val=&quot;00D60A22&quot;/&gt;&lt;wsp:rsid wsp:val=&quot;00D60BCF&quot;/&gt;&lt;wsp:rsid wsp:val=&quot;00D60CCB&quot;/&gt;&lt;wsp:rsid wsp:val=&quot;00D60F9F&quot;/&gt;&lt;wsp:rsid wsp:val=&quot;00D610ED&quot;/&gt;&lt;wsp:rsid wsp:val=&quot;00D61683&quot;/&gt;&lt;wsp:rsid wsp:val=&quot;00D61749&quot;/&gt;&lt;wsp:rsid wsp:val=&quot;00D6197E&quot;/&gt;&lt;wsp:rsid wsp:val=&quot;00D61AA6&quot;/&gt;&lt;wsp:rsid wsp:val=&quot;00D61FB1&quot;/&gt;&lt;wsp:rsid wsp:val=&quot;00D621ED&quot;/&gt;&lt;wsp:rsid wsp:val=&quot;00D625CC&quot;/&gt;&lt;wsp:rsid wsp:val=&quot;00D62749&quot;/&gt;&lt;wsp:rsid wsp:val=&quot;00D62919&quot;/&gt;&lt;wsp:rsid wsp:val=&quot;00D62F1A&quot;/&gt;&lt;wsp:rsid wsp:val=&quot;00D63214&quot;/&gt;&lt;wsp:rsid wsp:val=&quot;00D638C9&quot;/&gt;&lt;wsp:rsid wsp:val=&quot;00D63DFD&quot;/&gt;&lt;wsp:rsid wsp:val=&quot;00D6460F&quot;/&gt;&lt;wsp:rsid wsp:val=&quot;00D64670&quot;/&gt;&lt;wsp:rsid wsp:val=&quot;00D64AD9&quot;/&gt;&lt;wsp:rsid wsp:val=&quot;00D64ECC&quot;/&gt;&lt;wsp:rsid wsp:val=&quot;00D652B4&quot;/&gt;&lt;wsp:rsid wsp:val=&quot;00D6560F&quot;/&gt;&lt;wsp:rsid wsp:val=&quot;00D65C82&quot;/&gt;&lt;wsp:rsid wsp:val=&quot;00D65F3F&quot;/&gt;&lt;wsp:rsid wsp:val=&quot;00D66048&quot;/&gt;&lt;wsp:rsid wsp:val=&quot;00D6631E&quot;/&gt;&lt;wsp:rsid wsp:val=&quot;00D66A4C&quot;/&gt;&lt;wsp:rsid wsp:val=&quot;00D66E12&quot;/&gt;&lt;wsp:rsid wsp:val=&quot;00D6717B&quot;/&gt;&lt;wsp:rsid wsp:val=&quot;00D671AC&quot;/&gt;&lt;wsp:rsid wsp:val=&quot;00D6768A&quot;/&gt;&lt;wsp:rsid wsp:val=&quot;00D67BC4&quot;/&gt;&lt;wsp:rsid wsp:val=&quot;00D67DA6&quot;/&gt;&lt;wsp:rsid wsp:val=&quot;00D70BE1&quot;/&gt;&lt;wsp:rsid wsp:val=&quot;00D70F6B&quot;/&gt;&lt;wsp:rsid wsp:val=&quot;00D717D2&quot;/&gt;&lt;wsp:rsid wsp:val=&quot;00D71814&quot;/&gt;&lt;wsp:rsid wsp:val=&quot;00D71B07&quot;/&gt;&lt;wsp:rsid wsp:val=&quot;00D720E8&quot;/&gt;&lt;wsp:rsid wsp:val=&quot;00D72159&quot;/&gt;&lt;wsp:rsid wsp:val=&quot;00D7266A&quot;/&gt;&lt;wsp:rsid wsp:val=&quot;00D72711&quot;/&gt;&lt;wsp:rsid wsp:val=&quot;00D72917&quot;/&gt;&lt;wsp:rsid wsp:val=&quot;00D72DF4&quot;/&gt;&lt;wsp:rsid wsp:val=&quot;00D72EA6&quot;/&gt;&lt;wsp:rsid wsp:val=&quot;00D72F77&quot;/&gt;&lt;wsp:rsid wsp:val=&quot;00D73036&quot;/&gt;&lt;wsp:rsid wsp:val=&quot;00D731D9&quot;/&gt;&lt;wsp:rsid wsp:val=&quot;00D7320F&quot;/&gt;&lt;wsp:rsid wsp:val=&quot;00D73858&quot;/&gt;&lt;wsp:rsid wsp:val=&quot;00D73938&quot;/&gt;&lt;wsp:rsid wsp:val=&quot;00D739DA&quot;/&gt;&lt;wsp:rsid wsp:val=&quot;00D73ED7&quot;/&gt;&lt;wsp:rsid wsp:val=&quot;00D740FD&quot;/&gt;&lt;wsp:rsid wsp:val=&quot;00D74D28&quot;/&gt;&lt;wsp:rsid wsp:val=&quot;00D75928&quot;/&gt;&lt;wsp:rsid wsp:val=&quot;00D75A84&quot;/&gt;&lt;wsp:rsid wsp:val=&quot;00D75B33&quot;/&gt;&lt;wsp:rsid wsp:val=&quot;00D75E24&quot;/&gt;&lt;wsp:rsid wsp:val=&quot;00D761E9&quot;/&gt;&lt;wsp:rsid wsp:val=&quot;00D76263&quot;/&gt;&lt;wsp:rsid wsp:val=&quot;00D763CE&quot;/&gt;&lt;wsp:rsid wsp:val=&quot;00D76C02&quot;/&gt;&lt;wsp:rsid wsp:val=&quot;00D77C2F&quot;/&gt;&lt;wsp:rsid wsp:val=&quot;00D77C5E&quot;/&gt;&lt;wsp:rsid wsp:val=&quot;00D8008F&quot;/&gt;&lt;wsp:rsid wsp:val=&quot;00D80115&quot;/&gt;&lt;wsp:rsid wsp:val=&quot;00D806C6&quot;/&gt;&lt;wsp:rsid wsp:val=&quot;00D80EF1&quot;/&gt;&lt;wsp:rsid wsp:val=&quot;00D816FD&quot;/&gt;&lt;wsp:rsid wsp:val=&quot;00D81A80&quot;/&gt;&lt;wsp:rsid wsp:val=&quot;00D81AF9&quot;/&gt;&lt;wsp:rsid wsp:val=&quot;00D82185&quot;/&gt;&lt;wsp:rsid wsp:val=&quot;00D8221F&quot;/&gt;&lt;wsp:rsid wsp:val=&quot;00D827BE&quot;/&gt;&lt;wsp:rsid wsp:val=&quot;00D82BFA&quot;/&gt;&lt;wsp:rsid wsp:val=&quot;00D82CE4&quot;/&gt;&lt;wsp:rsid wsp:val=&quot;00D82DED&quot;/&gt;&lt;wsp:rsid wsp:val=&quot;00D82EA9&quot;/&gt;&lt;wsp:rsid wsp:val=&quot;00D8303D&quot;/&gt;&lt;wsp:rsid wsp:val=&quot;00D83ABE&quot;/&gt;&lt;wsp:rsid wsp:val=&quot;00D84076&quot;/&gt;&lt;wsp:rsid wsp:val=&quot;00D840E7&quot;/&gt;&lt;wsp:rsid wsp:val=&quot;00D84B7C&quot;/&gt;&lt;wsp:rsid wsp:val=&quot;00D84C3D&quot;/&gt;&lt;wsp:rsid wsp:val=&quot;00D857D7&quot;/&gt;&lt;wsp:rsid wsp:val=&quot;00D86B3B&quot;/&gt;&lt;wsp:rsid wsp:val=&quot;00D86BDE&quot;/&gt;&lt;wsp:rsid wsp:val=&quot;00D87322&quot;/&gt;&lt;wsp:rsid wsp:val=&quot;00D87462&quot;/&gt;&lt;wsp:rsid wsp:val=&quot;00D87743&quot;/&gt;&lt;wsp:rsid wsp:val=&quot;00D87AB8&quot;/&gt;&lt;wsp:rsid wsp:val=&quot;00D9049A&quot;/&gt;&lt;wsp:rsid wsp:val=&quot;00D905A0&quot;/&gt;&lt;wsp:rsid wsp:val=&quot;00D909ED&quot;/&gt;&lt;wsp:rsid wsp:val=&quot;00D90C72&quot;/&gt;&lt;wsp:rsid wsp:val=&quot;00D912ED&quot;/&gt;&lt;wsp:rsid wsp:val=&quot;00D9158D&quot;/&gt;&lt;wsp:rsid wsp:val=&quot;00D91CA0&quot;/&gt;&lt;wsp:rsid wsp:val=&quot;00D91F58&quot;/&gt;&lt;wsp:rsid wsp:val=&quot;00D9233A&quot;/&gt;&lt;wsp:rsid wsp:val=&quot;00D92AF2&quot;/&gt;&lt;wsp:rsid wsp:val=&quot;00D92B7F&quot;/&gt;&lt;wsp:rsid wsp:val=&quot;00D93577&quot;/&gt;&lt;wsp:rsid wsp:val=&quot;00D93738&quot;/&gt;&lt;wsp:rsid wsp:val=&quot;00D937A2&quot;/&gt;&lt;wsp:rsid wsp:val=&quot;00D93D73&quot;/&gt;&lt;wsp:rsid wsp:val=&quot;00D93DD9&quot;/&gt;&lt;wsp:rsid wsp:val=&quot;00D93F02&quot;/&gt;&lt;wsp:rsid wsp:val=&quot;00D94020&quot;/&gt;&lt;wsp:rsid wsp:val=&quot;00D9411E&quot;/&gt;&lt;wsp:rsid wsp:val=&quot;00D942FD&quot;/&gt;&lt;wsp:rsid wsp:val=&quot;00D947F6&quot;/&gt;&lt;wsp:rsid wsp:val=&quot;00D94E79&quot;/&gt;&lt;wsp:rsid wsp:val=&quot;00D95526&quot;/&gt;&lt;wsp:rsid wsp:val=&quot;00D960EC&quot;/&gt;&lt;wsp:rsid wsp:val=&quot;00D962CE&quot;/&gt;&lt;wsp:rsid wsp:val=&quot;00D96D8B&quot;/&gt;&lt;wsp:rsid wsp:val=&quot;00D9709A&quot;/&gt;&lt;wsp:rsid wsp:val=&quot;00D97947&quot;/&gt;&lt;wsp:rsid wsp:val=&quot;00DA0465&quot;/&gt;&lt;wsp:rsid wsp:val=&quot;00DA0589&quot;/&gt;&lt;wsp:rsid wsp:val=&quot;00DA08C4&quot;/&gt;&lt;wsp:rsid wsp:val=&quot;00DA0B0B&quot;/&gt;&lt;wsp:rsid wsp:val=&quot;00DA0B9D&quot;/&gt;&lt;wsp:rsid wsp:val=&quot;00DA0D86&quot;/&gt;&lt;wsp:rsid wsp:val=&quot;00DA15BA&quot;/&gt;&lt;wsp:rsid wsp:val=&quot;00DA1B4C&quot;/&gt;&lt;wsp:rsid wsp:val=&quot;00DA21C0&quot;/&gt;&lt;wsp:rsid wsp:val=&quot;00DA2532&quot;/&gt;&lt;wsp:rsid wsp:val=&quot;00DA2A0A&quot;/&gt;&lt;wsp:rsid wsp:val=&quot;00DA2B31&quot;/&gt;&lt;wsp:rsid wsp:val=&quot;00DA2BD2&quot;/&gt;&lt;wsp:rsid wsp:val=&quot;00DA31B0&quot;/&gt;&lt;wsp:rsid wsp:val=&quot;00DA3924&quot;/&gt;&lt;wsp:rsid wsp:val=&quot;00DA3F61&quot;/&gt;&lt;wsp:rsid wsp:val=&quot;00DA4707&quot;/&gt;&lt;wsp:rsid wsp:val=&quot;00DA5406&quot;/&gt;&lt;wsp:rsid wsp:val=&quot;00DA5410&quot;/&gt;&lt;wsp:rsid wsp:val=&quot;00DA5558&quot;/&gt;&lt;wsp:rsid wsp:val=&quot;00DA5AB8&quot;/&gt;&lt;wsp:rsid wsp:val=&quot;00DA6261&quot;/&gt;&lt;wsp:rsid wsp:val=&quot;00DA68B8&quot;/&gt;&lt;wsp:rsid wsp:val=&quot;00DA69EE&quot;/&gt;&lt;wsp:rsid wsp:val=&quot;00DA6AE3&quot;/&gt;&lt;wsp:rsid wsp:val=&quot;00DA6E8E&quot;/&gt;&lt;wsp:rsid wsp:val=&quot;00DA6EAA&quot;/&gt;&lt;wsp:rsid wsp:val=&quot;00DA6F9E&quot;/&gt;&lt;wsp:rsid wsp:val=&quot;00DA7288&quot;/&gt;&lt;wsp:rsid wsp:val=&quot;00DA77BE&quot;/&gt;&lt;wsp:rsid wsp:val=&quot;00DA7CBB&quot;/&gt;&lt;wsp:rsid wsp:val=&quot;00DA7CE8&quot;/&gt;&lt;wsp:rsid wsp:val=&quot;00DA7F4B&quot;/&gt;&lt;wsp:rsid wsp:val=&quot;00DB005C&quot;/&gt;&lt;wsp:rsid wsp:val=&quot;00DB0578&quot;/&gt;&lt;wsp:rsid wsp:val=&quot;00DB060E&quot;/&gt;&lt;wsp:rsid wsp:val=&quot;00DB0832&quot;/&gt;&lt;wsp:rsid wsp:val=&quot;00DB0DEB&quot;/&gt;&lt;wsp:rsid wsp:val=&quot;00DB0FD2&quot;/&gt;&lt;wsp:rsid wsp:val=&quot;00DB1048&quot;/&gt;&lt;wsp:rsid wsp:val=&quot;00DB1668&quot;/&gt;&lt;wsp:rsid wsp:val=&quot;00DB1AE8&quot;/&gt;&lt;wsp:rsid wsp:val=&quot;00DB1CEB&quot;/&gt;&lt;wsp:rsid wsp:val=&quot;00DB1D70&quot;/&gt;&lt;wsp:rsid wsp:val=&quot;00DB2583&quot;/&gt;&lt;wsp:rsid wsp:val=&quot;00DB2BD2&quot;/&gt;&lt;wsp:rsid wsp:val=&quot;00DB30ED&quot;/&gt;&lt;wsp:rsid wsp:val=&quot;00DB3127&quot;/&gt;&lt;wsp:rsid wsp:val=&quot;00DB3438&quot;/&gt;&lt;wsp:rsid wsp:val=&quot;00DB3C41&quot;/&gt;&lt;wsp:rsid wsp:val=&quot;00DB465F&quot;/&gt;&lt;wsp:rsid wsp:val=&quot;00DB6691&quot;/&gt;&lt;wsp:rsid wsp:val=&quot;00DB67AB&quot;/&gt;&lt;wsp:rsid wsp:val=&quot;00DB69B5&quot;/&gt;&lt;wsp:rsid wsp:val=&quot;00DB78F5&quot;/&gt;&lt;wsp:rsid wsp:val=&quot;00DC02B2&quot;/&gt;&lt;wsp:rsid wsp:val=&quot;00DC041C&quot;/&gt;&lt;wsp:rsid wsp:val=&quot;00DC089F&quot;/&gt;&lt;wsp:rsid wsp:val=&quot;00DC0F12&quot;/&gt;&lt;wsp:rsid wsp:val=&quot;00DC11A9&quot;/&gt;&lt;wsp:rsid wsp:val=&quot;00DC14D0&quot;/&gt;&lt;wsp:rsid wsp:val=&quot;00DC1DA6&quot;/&gt;&lt;wsp:rsid wsp:val=&quot;00DC24EC&quot;/&gt;&lt;wsp:rsid wsp:val=&quot;00DC263D&quot;/&gt;&lt;wsp:rsid wsp:val=&quot;00DC39B2&quot;/&gt;&lt;wsp:rsid wsp:val=&quot;00DC4252&quot;/&gt;&lt;wsp:rsid wsp:val=&quot;00DC4316&quot;/&gt;&lt;wsp:rsid wsp:val=&quot;00DC463A&quot;/&gt;&lt;wsp:rsid wsp:val=&quot;00DC47AE&quot;/&gt;&lt;wsp:rsid wsp:val=&quot;00DC4946&quot;/&gt;&lt;wsp:rsid wsp:val=&quot;00DC4EFD&quot;/&gt;&lt;wsp:rsid wsp:val=&quot;00DC59C9&quot;/&gt;&lt;wsp:rsid wsp:val=&quot;00DC6543&quot;/&gt;&lt;wsp:rsid wsp:val=&quot;00DC65B5&quot;/&gt;&lt;wsp:rsid wsp:val=&quot;00DC6941&quot;/&gt;&lt;wsp:rsid wsp:val=&quot;00DC6E5A&quot;/&gt;&lt;wsp:rsid wsp:val=&quot;00DC7885&quot;/&gt;&lt;wsp:rsid wsp:val=&quot;00DC78C4&quot;/&gt;&lt;wsp:rsid wsp:val=&quot;00DC7B6F&quot;/&gt;&lt;wsp:rsid wsp:val=&quot;00DD0246&quot;/&gt;&lt;wsp:rsid wsp:val=&quot;00DD0A70&quot;/&gt;&lt;wsp:rsid wsp:val=&quot;00DD0E58&quot;/&gt;&lt;wsp:rsid wsp:val=&quot;00DD1711&quot;/&gt;&lt;wsp:rsid wsp:val=&quot;00DD18E3&quot;/&gt;&lt;wsp:rsid wsp:val=&quot;00DD21F6&quot;/&gt;&lt;wsp:rsid wsp:val=&quot;00DD237A&quot;/&gt;&lt;wsp:rsid wsp:val=&quot;00DD25EE&quot;/&gt;&lt;wsp:rsid wsp:val=&quot;00DD2628&quot;/&gt;&lt;wsp:rsid wsp:val=&quot;00DD2795&quot;/&gt;&lt;wsp:rsid wsp:val=&quot;00DD2B5A&quot;/&gt;&lt;wsp:rsid wsp:val=&quot;00DD2BE0&quot;/&gt;&lt;wsp:rsid wsp:val=&quot;00DD2ED4&quot;/&gt;&lt;wsp:rsid wsp:val=&quot;00DD3337&quot;/&gt;&lt;wsp:rsid wsp:val=&quot;00DD460B&quot;/&gt;&lt;wsp:rsid wsp:val=&quot;00DD4684&quot;/&gt;&lt;wsp:rsid wsp:val=&quot;00DD493C&quot;/&gt;&lt;wsp:rsid wsp:val=&quot;00DD4A1A&quot;/&gt;&lt;wsp:rsid wsp:val=&quot;00DD4CC6&quot;/&gt;&lt;wsp:rsid wsp:val=&quot;00DD50A5&quot;/&gt;&lt;wsp:rsid wsp:val=&quot;00DD52CD&quot;/&gt;&lt;wsp:rsid wsp:val=&quot;00DD5454&quot;/&gt;&lt;wsp:rsid wsp:val=&quot;00DD58E5&quot;/&gt;&lt;wsp:rsid wsp:val=&quot;00DD5A0D&quot;/&gt;&lt;wsp:rsid wsp:val=&quot;00DD5FA7&quot;/&gt;&lt;wsp:rsid wsp:val=&quot;00DD60FC&quot;/&gt;&lt;wsp:rsid wsp:val=&quot;00DD6432&quot;/&gt;&lt;wsp:rsid wsp:val=&quot;00DD6C05&quot;/&gt;&lt;wsp:rsid wsp:val=&quot;00DD792A&quot;/&gt;&lt;wsp:rsid wsp:val=&quot;00DE0252&quot;/&gt;&lt;wsp:rsid wsp:val=&quot;00DE0711&quot;/&gt;&lt;wsp:rsid wsp:val=&quot;00DE0ECD&quot;/&gt;&lt;wsp:rsid wsp:val=&quot;00DE129C&quot;/&gt;&lt;wsp:rsid wsp:val=&quot;00DE14DE&quot;/&gt;&lt;wsp:rsid wsp:val=&quot;00DE1638&quot;/&gt;&lt;wsp:rsid wsp:val=&quot;00DE1699&quot;/&gt;&lt;wsp:rsid wsp:val=&quot;00DE1880&quot;/&gt;&lt;wsp:rsid wsp:val=&quot;00DE1935&quot;/&gt;&lt;wsp:rsid wsp:val=&quot;00DE1BE4&quot;/&gt;&lt;wsp:rsid wsp:val=&quot;00DE2B0D&quot;/&gt;&lt;wsp:rsid wsp:val=&quot;00DE2D43&quot;/&gt;&lt;wsp:rsid wsp:val=&quot;00DE377A&quot;/&gt;&lt;wsp:rsid wsp:val=&quot;00DE4271&quot;/&gt;&lt;wsp:rsid wsp:val=&quot;00DE453F&quot;/&gt;&lt;wsp:rsid wsp:val=&quot;00DE4590&quot;/&gt;&lt;wsp:rsid wsp:val=&quot;00DE45B5&quot;/&gt;&lt;wsp:rsid wsp:val=&quot;00DE4632&quot;/&gt;&lt;wsp:rsid wsp:val=&quot;00DE4A0E&quot;/&gt;&lt;wsp:rsid wsp:val=&quot;00DE4B59&quot;/&gt;&lt;wsp:rsid wsp:val=&quot;00DE4F72&quot;/&gt;&lt;wsp:rsid wsp:val=&quot;00DE5037&quot;/&gt;&lt;wsp:rsid wsp:val=&quot;00DE5287&quot;/&gt;&lt;wsp:rsid wsp:val=&quot;00DE55C6&quot;/&gt;&lt;wsp:rsid wsp:val=&quot;00DE6070&quot;/&gt;&lt;wsp:rsid wsp:val=&quot;00DE6142&quot;/&gt;&lt;wsp:rsid wsp:val=&quot;00DE6790&quot;/&gt;&lt;wsp:rsid wsp:val=&quot;00DE69E3&quot;/&gt;&lt;wsp:rsid wsp:val=&quot;00DE6FA7&quot;/&gt;&lt;wsp:rsid wsp:val=&quot;00DE731E&quot;/&gt;&lt;wsp:rsid wsp:val=&quot;00DE769F&quot;/&gt;&lt;wsp:rsid wsp:val=&quot;00DE7701&quot;/&gt;&lt;wsp:rsid wsp:val=&quot;00DE7726&quot;/&gt;&lt;wsp:rsid wsp:val=&quot;00DE793B&quot;/&gt;&lt;wsp:rsid wsp:val=&quot;00DE7CB7&quot;/&gt;&lt;wsp:rsid wsp:val=&quot;00DE7E7D&quot;/&gt;&lt;wsp:rsid wsp:val=&quot;00DF03D5&quot;/&gt;&lt;wsp:rsid wsp:val=&quot;00DF059A&quot;/&gt;&lt;wsp:rsid wsp:val=&quot;00DF06C5&quot;/&gt;&lt;wsp:rsid wsp:val=&quot;00DF0738&quot;/&gt;&lt;wsp:rsid wsp:val=&quot;00DF0866&quot;/&gt;&lt;wsp:rsid wsp:val=&quot;00DF0BF6&quot;/&gt;&lt;wsp:rsid wsp:val=&quot;00DF0CFC&quot;/&gt;&lt;wsp:rsid wsp:val=&quot;00DF10B1&quot;/&gt;&lt;wsp:rsid wsp:val=&quot;00DF1A2A&quot;/&gt;&lt;wsp:rsid wsp:val=&quot;00DF22D9&quot;/&gt;&lt;wsp:rsid wsp:val=&quot;00DF2339&quot;/&gt;&lt;wsp:rsid wsp:val=&quot;00DF25E9&quot;/&gt;&lt;wsp:rsid wsp:val=&quot;00DF2C22&quot;/&gt;&lt;wsp:rsid wsp:val=&quot;00DF3226&quot;/&gt;&lt;wsp:rsid wsp:val=&quot;00DF3536&quot;/&gt;&lt;wsp:rsid wsp:val=&quot;00DF36D5&quot;/&gt;&lt;wsp:rsid wsp:val=&quot;00DF3B61&quot;/&gt;&lt;wsp:rsid wsp:val=&quot;00DF4113&quot;/&gt;&lt;wsp:rsid wsp:val=&quot;00DF4CA4&quot;/&gt;&lt;wsp:rsid wsp:val=&quot;00DF57D2&quot;/&gt;&lt;wsp:rsid wsp:val=&quot;00DF5A1B&quot;/&gt;&lt;wsp:rsid wsp:val=&quot;00DF61CC&quot;/&gt;&lt;wsp:rsid wsp:val=&quot;00DF684E&quot;/&gt;&lt;wsp:rsid wsp:val=&quot;00DF6CE4&quot;/&gt;&lt;wsp:rsid wsp:val=&quot;00DF7481&quot;/&gt;&lt;wsp:rsid wsp:val=&quot;00DF7F0C&quot;/&gt;&lt;wsp:rsid wsp:val=&quot;00DF7FBC&quot;/&gt;&lt;wsp:rsid wsp:val=&quot;00E000AC&quot;/&gt;&lt;wsp:rsid wsp:val=&quot;00E00296&quot;/&gt;&lt;wsp:rsid wsp:val=&quot;00E00326&quot;/&gt;&lt;wsp:rsid wsp:val=&quot;00E003FA&quot;/&gt;&lt;wsp:rsid wsp:val=&quot;00E00AD1&quot;/&gt;&lt;wsp:rsid wsp:val=&quot;00E01358&quot;/&gt;&lt;wsp:rsid wsp:val=&quot;00E013E0&quot;/&gt;&lt;wsp:rsid wsp:val=&quot;00E014AA&quot;/&gt;&lt;wsp:rsid wsp:val=&quot;00E016C7&quot;/&gt;&lt;wsp:rsid wsp:val=&quot;00E017DA&quot;/&gt;&lt;wsp:rsid wsp:val=&quot;00E01837&quot;/&gt;&lt;wsp:rsid wsp:val=&quot;00E01A1A&quot;/&gt;&lt;wsp:rsid wsp:val=&quot;00E01B5C&quot;/&gt;&lt;wsp:rsid wsp:val=&quot;00E01BA4&quot;/&gt;&lt;wsp:rsid wsp:val=&quot;00E01F11&quot;/&gt;&lt;wsp:rsid wsp:val=&quot;00E02121&quot;/&gt;&lt;wsp:rsid wsp:val=&quot;00E02153&quot;/&gt;&lt;wsp:rsid wsp:val=&quot;00E029D5&quot;/&gt;&lt;wsp:rsid wsp:val=&quot;00E02BB8&quot;/&gt;&lt;wsp:rsid wsp:val=&quot;00E03356&quot;/&gt;&lt;wsp:rsid wsp:val=&quot;00E0339B&quot;/&gt;&lt;wsp:rsid wsp:val=&quot;00E035ED&quot;/&gt;&lt;wsp:rsid wsp:val=&quot;00E03944&quot;/&gt;&lt;wsp:rsid wsp:val=&quot;00E04022&quot;/&gt;&lt;wsp:rsid wsp:val=&quot;00E04406&quot;/&gt;&lt;wsp:rsid wsp:val=&quot;00E04C8F&quot;/&gt;&lt;wsp:rsid wsp:val=&quot;00E04DA3&quot;/&gt;&lt;wsp:rsid wsp:val=&quot;00E04F1C&quot;/&gt;&lt;wsp:rsid wsp:val=&quot;00E05235&quot;/&gt;&lt;wsp:rsid wsp:val=&quot;00E0537A&quot;/&gt;&lt;wsp:rsid wsp:val=&quot;00E05752&quot;/&gt;&lt;wsp:rsid wsp:val=&quot;00E05DC2&quot;/&gt;&lt;wsp:rsid wsp:val=&quot;00E05DEA&quot;/&gt;&lt;wsp:rsid wsp:val=&quot;00E065EB&quot;/&gt;&lt;wsp:rsid wsp:val=&quot;00E06C4B&quot;/&gt;&lt;wsp:rsid wsp:val=&quot;00E0724D&quot;/&gt;&lt;wsp:rsid wsp:val=&quot;00E07389&quot;/&gt;&lt;wsp:rsid wsp:val=&quot;00E07FA8&quot;/&gt;&lt;wsp:rsid wsp:val=&quot;00E10170&quot;/&gt;&lt;wsp:rsid wsp:val=&quot;00E10530&quot;/&gt;&lt;wsp:rsid wsp:val=&quot;00E108BD&quot;/&gt;&lt;wsp:rsid wsp:val=&quot;00E111FB&quot;/&gt;&lt;wsp:rsid wsp:val=&quot;00E115E7&quot;/&gt;&lt;wsp:rsid wsp:val=&quot;00E11C21&quot;/&gt;&lt;wsp:rsid wsp:val=&quot;00E11D72&quot;/&gt;&lt;wsp:rsid wsp:val=&quot;00E1214E&quot;/&gt;&lt;wsp:rsid wsp:val=&quot;00E12291&quot;/&gt;&lt;wsp:rsid wsp:val=&quot;00E12547&quot;/&gt;&lt;wsp:rsid wsp:val=&quot;00E12A62&quot;/&gt;&lt;wsp:rsid wsp:val=&quot;00E131DA&quot;/&gt;&lt;wsp:rsid wsp:val=&quot;00E134FC&quot;/&gt;&lt;wsp:rsid wsp:val=&quot;00E139C4&quot;/&gt;&lt;wsp:rsid wsp:val=&quot;00E13C4D&quot;/&gt;&lt;wsp:rsid wsp:val=&quot;00E13E18&quot;/&gt;&lt;wsp:rsid wsp:val=&quot;00E13EC2&quot;/&gt;&lt;wsp:rsid wsp:val=&quot;00E13F22&quot;/&gt;&lt;wsp:rsid wsp:val=&quot;00E14349&quot;/&gt;&lt;wsp:rsid wsp:val=&quot;00E148DC&quot;/&gt;&lt;wsp:rsid wsp:val=&quot;00E1499B&quot;/&gt;&lt;wsp:rsid wsp:val=&quot;00E14A7A&quot;/&gt;&lt;wsp:rsid wsp:val=&quot;00E14DD7&quot;/&gt;&lt;wsp:rsid wsp:val=&quot;00E152F0&quot;/&gt;&lt;wsp:rsid wsp:val=&quot;00E153EE&quot;/&gt;&lt;wsp:rsid wsp:val=&quot;00E15854&quot;/&gt;&lt;wsp:rsid wsp:val=&quot;00E158AD&quot;/&gt;&lt;wsp:rsid wsp:val=&quot;00E15C89&quot;/&gt;&lt;wsp:rsid wsp:val=&quot;00E15E86&quot;/&gt;&lt;wsp:rsid wsp:val=&quot;00E167C8&quot;/&gt;&lt;wsp:rsid wsp:val=&quot;00E170EE&quot;/&gt;&lt;wsp:rsid wsp:val=&quot;00E17348&quot;/&gt;&lt;wsp:rsid wsp:val=&quot;00E17707&quot;/&gt;&lt;wsp:rsid wsp:val=&quot;00E177B0&quot;/&gt;&lt;wsp:rsid wsp:val=&quot;00E17B2F&quot;/&gt;&lt;wsp:rsid wsp:val=&quot;00E17E86&quot;/&gt;&lt;wsp:rsid wsp:val=&quot;00E17F53&quot;/&gt;&lt;wsp:rsid wsp:val=&quot;00E20277&quot;/&gt;&lt;wsp:rsid wsp:val=&quot;00E20361&quot;/&gt;&lt;wsp:rsid wsp:val=&quot;00E2049C&quot;/&gt;&lt;wsp:rsid wsp:val=&quot;00E20B8A&quot;/&gt;&lt;wsp:rsid wsp:val=&quot;00E20DDE&quot;/&gt;&lt;wsp:rsid wsp:val=&quot;00E2172A&quot;/&gt;&lt;wsp:rsid wsp:val=&quot;00E22E03&quot;/&gt;&lt;wsp:rsid wsp:val=&quot;00E22EE2&quot;/&gt;&lt;wsp:rsid wsp:val=&quot;00E2317F&quot;/&gt;&lt;wsp:rsid wsp:val=&quot;00E23740&quot;/&gt;&lt;wsp:rsid wsp:val=&quot;00E23ACC&quot;/&gt;&lt;wsp:rsid wsp:val=&quot;00E23FF4&quot;/&gt;&lt;wsp:rsid wsp:val=&quot;00E24791&quot;/&gt;&lt;wsp:rsid wsp:val=&quot;00E2486E&quot;/&gt;&lt;wsp:rsid wsp:val=&quot;00E24EB7&quot;/&gt;&lt;wsp:rsid wsp:val=&quot;00E25290&quot;/&gt;&lt;wsp:rsid wsp:val=&quot;00E25665&quot;/&gt;&lt;wsp:rsid wsp:val=&quot;00E25A4E&quot;/&gt;&lt;wsp:rsid wsp:val=&quot;00E25AC2&quot;/&gt;&lt;wsp:rsid wsp:val=&quot;00E25EFA&quot;/&gt;&lt;wsp:rsid wsp:val=&quot;00E265A7&quot;/&gt;&lt;wsp:rsid wsp:val=&quot;00E26A18&quot;/&gt;&lt;wsp:rsid wsp:val=&quot;00E2716F&quot;/&gt;&lt;wsp:rsid wsp:val=&quot;00E271E8&quot;/&gt;&lt;wsp:rsid wsp:val=&quot;00E2722E&quot;/&gt;&lt;wsp:rsid wsp:val=&quot;00E27A00&quot;/&gt;&lt;wsp:rsid wsp:val=&quot;00E27AC6&quot;/&gt;&lt;wsp:rsid wsp:val=&quot;00E27DB6&quot;/&gt;&lt;wsp:rsid wsp:val=&quot;00E27E76&quot;/&gt;&lt;wsp:rsid wsp:val=&quot;00E27EF7&quot;/&gt;&lt;wsp:rsid wsp:val=&quot;00E30DEE&quot;/&gt;&lt;wsp:rsid wsp:val=&quot;00E30F4B&quot;/&gt;&lt;wsp:rsid wsp:val=&quot;00E310DA&quot;/&gt;&lt;wsp:rsid wsp:val=&quot;00E31501&quot;/&gt;&lt;wsp:rsid wsp:val=&quot;00E31666&quot;/&gt;&lt;wsp:rsid wsp:val=&quot;00E31949&quot;/&gt;&lt;wsp:rsid wsp:val=&quot;00E320B7&quot;/&gt;&lt;wsp:rsid wsp:val=&quot;00E32765&quot;/&gt;&lt;wsp:rsid wsp:val=&quot;00E32AFE&quot;/&gt;&lt;wsp:rsid wsp:val=&quot;00E32C4E&quot;/&gt;&lt;wsp:rsid wsp:val=&quot;00E330E8&quot;/&gt;&lt;wsp:rsid wsp:val=&quot;00E33506&quot;/&gt;&lt;wsp:rsid wsp:val=&quot;00E33ECA&quot;/&gt;&lt;wsp:rsid wsp:val=&quot;00E340AC&quot;/&gt;&lt;wsp:rsid wsp:val=&quot;00E3428A&quot;/&gt;&lt;wsp:rsid wsp:val=&quot;00E34FC5&quot;/&gt;&lt;wsp:rsid wsp:val=&quot;00E35AA6&quot;/&gt;&lt;wsp:rsid wsp:val=&quot;00E35C89&quot;/&gt;&lt;wsp:rsid wsp:val=&quot;00E36195&quot;/&gt;&lt;wsp:rsid wsp:val=&quot;00E363B3&quot;/&gt;&lt;wsp:rsid wsp:val=&quot;00E36450&quot;/&gt;&lt;wsp:rsid wsp:val=&quot;00E36BF6&quot;/&gt;&lt;wsp:rsid wsp:val=&quot;00E3755E&quot;/&gt;&lt;wsp:rsid wsp:val=&quot;00E37CCC&quot;/&gt;&lt;wsp:rsid wsp:val=&quot;00E40058&quot;/&gt;&lt;wsp:rsid wsp:val=&quot;00E402A3&quot;/&gt;&lt;wsp:rsid wsp:val=&quot;00E407A2&quot;/&gt;&lt;wsp:rsid wsp:val=&quot;00E409C4&quot;/&gt;&lt;wsp:rsid wsp:val=&quot;00E40DE1&quot;/&gt;&lt;wsp:rsid wsp:val=&quot;00E40E96&quot;/&gt;&lt;wsp:rsid wsp:val=&quot;00E4126C&quot;/&gt;&lt;wsp:rsid wsp:val=&quot;00E412D5&quot;/&gt;&lt;wsp:rsid wsp:val=&quot;00E41BA4&quot;/&gt;&lt;wsp:rsid wsp:val=&quot;00E42410&quot;/&gt;&lt;wsp:rsid wsp:val=&quot;00E428F3&quot;/&gt;&lt;wsp:rsid wsp:val=&quot;00E429BA&quot;/&gt;&lt;wsp:rsid wsp:val=&quot;00E42CFD&quot;/&gt;&lt;wsp:rsid wsp:val=&quot;00E42D9E&quot;/&gt;&lt;wsp:rsid wsp:val=&quot;00E434F7&quot;/&gt;&lt;wsp:rsid wsp:val=&quot;00E43804&quot;/&gt;&lt;wsp:rsid wsp:val=&quot;00E43B35&quot;/&gt;&lt;wsp:rsid wsp:val=&quot;00E44441&quot;/&gt;&lt;wsp:rsid wsp:val=&quot;00E44C4F&quot;/&gt;&lt;wsp:rsid wsp:val=&quot;00E455BF&quot;/&gt;&lt;wsp:rsid wsp:val=&quot;00E45650&quot;/&gt;&lt;wsp:rsid wsp:val=&quot;00E45B1D&quot;/&gt;&lt;wsp:rsid wsp:val=&quot;00E4636D&quot;/&gt;&lt;wsp:rsid wsp:val=&quot;00E46569&quot;/&gt;&lt;wsp:rsid wsp:val=&quot;00E471B0&quot;/&gt;&lt;wsp:rsid wsp:val=&quot;00E474CD&quot;/&gt;&lt;wsp:rsid wsp:val=&quot;00E47A9E&quot;/&gt;&lt;wsp:rsid wsp:val=&quot;00E50592&quot;/&gt;&lt;wsp:rsid wsp:val=&quot;00E5087A&quot;/&gt;&lt;wsp:rsid wsp:val=&quot;00E50B5B&quot;/&gt;&lt;wsp:rsid wsp:val=&quot;00E51E77&quot;/&gt;&lt;wsp:rsid wsp:val=&quot;00E521B4&quot;/&gt;&lt;wsp:rsid wsp:val=&quot;00E521CA&quot;/&gt;&lt;wsp:rsid wsp:val=&quot;00E52628&quot;/&gt;&lt;wsp:rsid wsp:val=&quot;00E5274E&quot;/&gt;&lt;wsp:rsid wsp:val=&quot;00E530CA&quot;/&gt;&lt;wsp:rsid wsp:val=&quot;00E534EE&quot;/&gt;&lt;wsp:rsid wsp:val=&quot;00E538E5&quot;/&gt;&lt;wsp:rsid wsp:val=&quot;00E540B7&quot;/&gt;&lt;wsp:rsid wsp:val=&quot;00E54470&quot;/&gt;&lt;wsp:rsid wsp:val=&quot;00E5499E&quot;/&gt;&lt;wsp:rsid wsp:val=&quot;00E553BC&quot;/&gt;&lt;wsp:rsid wsp:val=&quot;00E556B0&quot;/&gt;&lt;wsp:rsid wsp:val=&quot;00E56529&quot;/&gt;&lt;wsp:rsid wsp:val=&quot;00E56602&quot;/&gt;&lt;wsp:rsid wsp:val=&quot;00E566F6&quot;/&gt;&lt;wsp:rsid wsp:val=&quot;00E5718E&quot;/&gt;&lt;wsp:rsid wsp:val=&quot;00E5747A&quot;/&gt;&lt;wsp:rsid wsp:val=&quot;00E577EB&quot;/&gt;&lt;wsp:rsid wsp:val=&quot;00E57D4C&quot;/&gt;&lt;wsp:rsid wsp:val=&quot;00E57EA9&quot;/&gt;&lt;wsp:rsid wsp:val=&quot;00E6000D&quot;/&gt;&lt;wsp:rsid wsp:val=&quot;00E602AE&quot;/&gt;&lt;wsp:rsid wsp:val=&quot;00E60B02&quot;/&gt;&lt;wsp:rsid wsp:val=&quot;00E60BC6&quot;/&gt;&lt;wsp:rsid wsp:val=&quot;00E6152C&quot;/&gt;&lt;wsp:rsid wsp:val=&quot;00E615CC&quot;/&gt;&lt;wsp:rsid wsp:val=&quot;00E61643&quot;/&gt;&lt;wsp:rsid wsp:val=&quot;00E61B64&quot;/&gt;&lt;wsp:rsid wsp:val=&quot;00E61DA2&quot;/&gt;&lt;wsp:rsid wsp:val=&quot;00E61FF7&quot;/&gt;&lt;wsp:rsid wsp:val=&quot;00E620A4&quot;/&gt;&lt;wsp:rsid wsp:val=&quot;00E62378&quot;/&gt;&lt;wsp:rsid wsp:val=&quot;00E62D08&quot;/&gt;&lt;wsp:rsid wsp:val=&quot;00E6342E&quot;/&gt;&lt;wsp:rsid wsp:val=&quot;00E634D7&quot;/&gt;&lt;wsp:rsid wsp:val=&quot;00E63888&quot;/&gt;&lt;wsp:rsid wsp:val=&quot;00E63A78&quot;/&gt;&lt;wsp:rsid wsp:val=&quot;00E64490&quot;/&gt;&lt;wsp:rsid wsp:val=&quot;00E648BC&quot;/&gt;&lt;wsp:rsid wsp:val=&quot;00E64F05&quot;/&gt;&lt;wsp:rsid wsp:val=&quot;00E6559F&quot;/&gt;&lt;wsp:rsid wsp:val=&quot;00E6597C&quot;/&gt;&lt;wsp:rsid wsp:val=&quot;00E65BD5&quot;/&gt;&lt;wsp:rsid wsp:val=&quot;00E666F7&quot;/&gt;&lt;wsp:rsid wsp:val=&quot;00E66817&quot;/&gt;&lt;wsp:rsid wsp:val=&quot;00E66B3B&quot;/&gt;&lt;wsp:rsid wsp:val=&quot;00E66C80&quot;/&gt;&lt;wsp:rsid wsp:val=&quot;00E66FCC&quot;/&gt;&lt;wsp:rsid wsp:val=&quot;00E6726C&quot;/&gt;&lt;wsp:rsid wsp:val=&quot;00E67305&quot;/&gt;&lt;wsp:rsid wsp:val=&quot;00E676E8&quot;/&gt;&lt;wsp:rsid wsp:val=&quot;00E67CFC&quot;/&gt;&lt;wsp:rsid wsp:val=&quot;00E67DE8&quot;/&gt;&lt;wsp:rsid wsp:val=&quot;00E67E17&quot;/&gt;&lt;wsp:rsid wsp:val=&quot;00E709FC&quot;/&gt;&lt;wsp:rsid wsp:val=&quot;00E70D65&quot;/&gt;&lt;wsp:rsid wsp:val=&quot;00E71116&quot;/&gt;&lt;wsp:rsid wsp:val=&quot;00E71C10&quot;/&gt;&lt;wsp:rsid wsp:val=&quot;00E72584&quot;/&gt;&lt;wsp:rsid wsp:val=&quot;00E727F7&quot;/&gt;&lt;wsp:rsid wsp:val=&quot;00E72C49&quot;/&gt;&lt;wsp:rsid wsp:val=&quot;00E72FC1&quot;/&gt;&lt;wsp:rsid wsp:val=&quot;00E73299&quot;/&gt;&lt;wsp:rsid wsp:val=&quot;00E73403&quot;/&gt;&lt;wsp:rsid wsp:val=&quot;00E735EB&quot;/&gt;&lt;wsp:rsid wsp:val=&quot;00E7375C&quot;/&gt;&lt;wsp:rsid wsp:val=&quot;00E737BA&quot;/&gt;&lt;wsp:rsid wsp:val=&quot;00E742CC&quot;/&gt;&lt;wsp:rsid wsp:val=&quot;00E758CF&quot;/&gt;&lt;wsp:rsid wsp:val=&quot;00E765B3&quot;/&gt;&lt;wsp:rsid wsp:val=&quot;00E76BE7&quot;/&gt;&lt;wsp:rsid wsp:val=&quot;00E76F87&quot;/&gt;&lt;wsp:rsid wsp:val=&quot;00E771D2&quot;/&gt;&lt;wsp:rsid wsp:val=&quot;00E77392&quot;/&gt;&lt;wsp:rsid wsp:val=&quot;00E77887&quot;/&gt;&lt;wsp:rsid wsp:val=&quot;00E77BA9&quot;/&gt;&lt;wsp:rsid wsp:val=&quot;00E77DB6&quot;/&gt;&lt;wsp:rsid wsp:val=&quot;00E77E9E&quot;/&gt;&lt;wsp:rsid wsp:val=&quot;00E77EA6&quot;/&gt;&lt;wsp:rsid wsp:val=&quot;00E82093&quot;/&gt;&lt;wsp:rsid wsp:val=&quot;00E82B78&quot;/&gt;&lt;wsp:rsid wsp:val=&quot;00E82DF6&quot;/&gt;&lt;wsp:rsid wsp:val=&quot;00E830E9&quot;/&gt;&lt;wsp:rsid wsp:val=&quot;00E83291&quot;/&gt;&lt;wsp:rsid wsp:val=&quot;00E84403&quot;/&gt;&lt;wsp:rsid wsp:val=&quot;00E84B2F&quot;/&gt;&lt;wsp:rsid wsp:val=&quot;00E84E72&quot;/&gt;&lt;wsp:rsid wsp:val=&quot;00E8503F&quot;/&gt;&lt;wsp:rsid wsp:val=&quot;00E85056&quot;/&gt;&lt;wsp:rsid wsp:val=&quot;00E855B7&quot;/&gt;&lt;wsp:rsid wsp:val=&quot;00E85A7E&quot;/&gt;&lt;wsp:rsid wsp:val=&quot;00E85EA8&quot;/&gt;&lt;wsp:rsid wsp:val=&quot;00E86976&quot;/&gt;&lt;wsp:rsid wsp:val=&quot;00E86E83&quot;/&gt;&lt;wsp:rsid wsp:val=&quot;00E86F0F&quot;/&gt;&lt;wsp:rsid wsp:val=&quot;00E87147&quot;/&gt;&lt;wsp:rsid wsp:val=&quot;00E87224&quot;/&gt;&lt;wsp:rsid wsp:val=&quot;00E87562&quot;/&gt;&lt;wsp:rsid wsp:val=&quot;00E875DC&quot;/&gt;&lt;wsp:rsid wsp:val=&quot;00E87610&quot;/&gt;&lt;wsp:rsid wsp:val=&quot;00E87F4F&quot;/&gt;&lt;wsp:rsid wsp:val=&quot;00E908A9&quot;/&gt;&lt;wsp:rsid wsp:val=&quot;00E90A0E&quot;/&gt;&lt;wsp:rsid wsp:val=&quot;00E90D5D&quot;/&gt;&lt;wsp:rsid wsp:val=&quot;00E90EE9&quot;/&gt;&lt;wsp:rsid wsp:val=&quot;00E9186D&quot;/&gt;&lt;wsp:rsid wsp:val=&quot;00E91C84&quot;/&gt;&lt;wsp:rsid wsp:val=&quot;00E91CFE&quot;/&gt;&lt;wsp:rsid wsp:val=&quot;00E91F54&quot;/&gt;&lt;wsp:rsid wsp:val=&quot;00E9227E&quot;/&gt;&lt;wsp:rsid wsp:val=&quot;00E92678&quot;/&gt;&lt;wsp:rsid wsp:val=&quot;00E928D2&quot;/&gt;&lt;wsp:rsid wsp:val=&quot;00E92A87&quot;/&gt;&lt;wsp:rsid wsp:val=&quot;00E93F31&quot;/&gt;&lt;wsp:rsid wsp:val=&quot;00E94090&quot;/&gt;&lt;wsp:rsid wsp:val=&quot;00E944CF&quot;/&gt;&lt;wsp:rsid wsp:val=&quot;00E94A17&quot;/&gt;&lt;wsp:rsid wsp:val=&quot;00E94A76&quot;/&gt;&lt;wsp:rsid wsp:val=&quot;00E95684&quot;/&gt;&lt;wsp:rsid wsp:val=&quot;00E963FE&quot;/&gt;&lt;wsp:rsid wsp:val=&quot;00E96CA8&quot;/&gt;&lt;wsp:rsid wsp:val=&quot;00E96D46&quot;/&gt;&lt;wsp:rsid wsp:val=&quot;00E96D63&quot;/&gt;&lt;wsp:rsid wsp:val=&quot;00E96EF3&quot;/&gt;&lt;wsp:rsid wsp:val=&quot;00E9740A&quot;/&gt;&lt;wsp:rsid wsp:val=&quot;00E97486&quot;/&gt;&lt;wsp:rsid wsp:val=&quot;00E9781E&quot;/&gt;&lt;wsp:rsid wsp:val=&quot;00E97A65&quot;/&gt;&lt;wsp:rsid wsp:val=&quot;00EA1304&quot;/&gt;&lt;wsp:rsid wsp:val=&quot;00EA16B4&quot;/&gt;&lt;wsp:rsid wsp:val=&quot;00EA1817&quot;/&gt;&lt;wsp:rsid wsp:val=&quot;00EA2141&quot;/&gt;&lt;wsp:rsid wsp:val=&quot;00EA2C52&quot;/&gt;&lt;wsp:rsid wsp:val=&quot;00EA2E5C&quot;/&gt;&lt;wsp:rsid wsp:val=&quot;00EA2FD3&quot;/&gt;&lt;wsp:rsid wsp:val=&quot;00EA3A05&quot;/&gt;&lt;wsp:rsid wsp:val=&quot;00EA3FBF&quot;/&gt;&lt;wsp:rsid wsp:val=&quot;00EA41D7&quot;/&gt;&lt;wsp:rsid wsp:val=&quot;00EA4686&quot;/&gt;&lt;wsp:rsid wsp:val=&quot;00EA56D4&quot;/&gt;&lt;wsp:rsid wsp:val=&quot;00EA5873&quot;/&gt;&lt;wsp:rsid wsp:val=&quot;00EA5BD7&quot;/&gt;&lt;wsp:rsid wsp:val=&quot;00EA5F94&quot;/&gt;&lt;wsp:rsid wsp:val=&quot;00EA6460&quot;/&gt;&lt;wsp:rsid wsp:val=&quot;00EA7481&quot;/&gt;&lt;wsp:rsid wsp:val=&quot;00EA7E71&quot;/&gt;&lt;wsp:rsid wsp:val=&quot;00EB0C4E&quot;/&gt;&lt;wsp:rsid wsp:val=&quot;00EB0CEF&quot;/&gt;&lt;wsp:rsid wsp:val=&quot;00EB0E26&quot;/&gt;&lt;wsp:rsid wsp:val=&quot;00EB0FD6&quot;/&gt;&lt;wsp:rsid wsp:val=&quot;00EB103B&quot;/&gt;&lt;wsp:rsid wsp:val=&quot;00EB118F&quot;/&gt;&lt;wsp:rsid wsp:val=&quot;00EB1426&quot;/&gt;&lt;wsp:rsid wsp:val=&quot;00EB1651&quot;/&gt;&lt;wsp:rsid wsp:val=&quot;00EB175E&quot;/&gt;&lt;wsp:rsid wsp:val=&quot;00EB1AE1&quot;/&gt;&lt;wsp:rsid wsp:val=&quot;00EB1DD9&quot;/&gt;&lt;wsp:rsid wsp:val=&quot;00EB1E28&quot;/&gt;&lt;wsp:rsid wsp:val=&quot;00EB2099&quot;/&gt;&lt;wsp:rsid wsp:val=&quot;00EB2167&quot;/&gt;&lt;wsp:rsid wsp:val=&quot;00EB2B15&quot;/&gt;&lt;wsp:rsid wsp:val=&quot;00EB2D68&quot;/&gt;&lt;wsp:rsid wsp:val=&quot;00EB3091&quot;/&gt;&lt;wsp:rsid wsp:val=&quot;00EB3210&quot;/&gt;&lt;wsp:rsid wsp:val=&quot;00EB322F&quot;/&gt;&lt;wsp:rsid wsp:val=&quot;00EB3308&quot;/&gt;&lt;wsp:rsid wsp:val=&quot;00EB3916&quot;/&gt;&lt;wsp:rsid wsp:val=&quot;00EB3CA7&quot;/&gt;&lt;wsp:rsid wsp:val=&quot;00EB3DD0&quot;/&gt;&lt;wsp:rsid wsp:val=&quot;00EB54AA&quot;/&gt;&lt;wsp:rsid wsp:val=&quot;00EB5672&quot;/&gt;&lt;wsp:rsid wsp:val=&quot;00EB57F6&quot;/&gt;&lt;wsp:rsid wsp:val=&quot;00EB5814&quot;/&gt;&lt;wsp:rsid wsp:val=&quot;00EB5AF8&quot;/&gt;&lt;wsp:rsid wsp:val=&quot;00EB5C48&quot;/&gt;&lt;wsp:rsid wsp:val=&quot;00EB61B0&quot;/&gt;&lt;wsp:rsid wsp:val=&quot;00EB7B8B&quot;/&gt;&lt;wsp:rsid wsp:val=&quot;00EC035D&quot;/&gt;&lt;wsp:rsid wsp:val=&quot;00EC098C&quot;/&gt;&lt;wsp:rsid wsp:val=&quot;00EC10FD&quot;/&gt;&lt;wsp:rsid wsp:val=&quot;00EC157C&quot;/&gt;&lt;wsp:rsid wsp:val=&quot;00EC16EB&quot;/&gt;&lt;wsp:rsid wsp:val=&quot;00EC1958&quot;/&gt;&lt;wsp:rsid wsp:val=&quot;00EC1F5A&quot;/&gt;&lt;wsp:rsid wsp:val=&quot;00EC238C&quot;/&gt;&lt;wsp:rsid wsp:val=&quot;00EC25C6&quot;/&gt;&lt;wsp:rsid wsp:val=&quot;00EC274F&quot;/&gt;&lt;wsp:rsid wsp:val=&quot;00EC291B&quot;/&gt;&lt;wsp:rsid wsp:val=&quot;00EC2E61&quot;/&gt;&lt;wsp:rsid wsp:val=&quot;00EC2EDB&quot;/&gt;&lt;wsp:rsid wsp:val=&quot;00EC329B&quot;/&gt;&lt;wsp:rsid wsp:val=&quot;00EC32AE&quot;/&gt;&lt;wsp:rsid wsp:val=&quot;00EC4032&quot;/&gt;&lt;wsp:rsid wsp:val=&quot;00EC4398&quot;/&gt;&lt;wsp:rsid wsp:val=&quot;00EC44DF&quot;/&gt;&lt;wsp:rsid wsp:val=&quot;00EC457B&quot;/&gt;&lt;wsp:rsid wsp:val=&quot;00EC5263&quot;/&gt;&lt;wsp:rsid wsp:val=&quot;00EC54D0&quot;/&gt;&lt;wsp:rsid wsp:val=&quot;00EC5554&quot;/&gt;&lt;wsp:rsid wsp:val=&quot;00EC588D&quot;/&gt;&lt;wsp:rsid wsp:val=&quot;00EC5AE6&quot;/&gt;&lt;wsp:rsid wsp:val=&quot;00EC642A&quot;/&gt;&lt;wsp:rsid wsp:val=&quot;00EC6581&quot;/&gt;&lt;wsp:rsid wsp:val=&quot;00EC6662&quot;/&gt;&lt;wsp:rsid wsp:val=&quot;00EC66B5&quot;/&gt;&lt;wsp:rsid wsp:val=&quot;00EC69BD&quot;/&gt;&lt;wsp:rsid wsp:val=&quot;00EC6E3B&quot;/&gt;&lt;wsp:rsid wsp:val=&quot;00EC6E55&quot;/&gt;&lt;wsp:rsid wsp:val=&quot;00EC6ECA&quot;/&gt;&lt;wsp:rsid wsp:val=&quot;00EC6F1E&quot;/&gt;&lt;wsp:rsid wsp:val=&quot;00EC755B&quot;/&gt;&lt;wsp:rsid wsp:val=&quot;00EC7BD0&quot;/&gt;&lt;wsp:rsid wsp:val=&quot;00EC7C6D&quot;/&gt;&lt;wsp:rsid wsp:val=&quot;00ED0532&quot;/&gt;&lt;wsp:rsid wsp:val=&quot;00ED07EE&quot;/&gt;&lt;wsp:rsid wsp:val=&quot;00ED0FED&quot;/&gt;&lt;wsp:rsid wsp:val=&quot;00ED15B5&quot;/&gt;&lt;wsp:rsid wsp:val=&quot;00ED1861&quot;/&gt;&lt;wsp:rsid wsp:val=&quot;00ED18A1&quot;/&gt;&lt;wsp:rsid wsp:val=&quot;00ED1C74&quot;/&gt;&lt;wsp:rsid wsp:val=&quot;00ED209E&quot;/&gt;&lt;wsp:rsid wsp:val=&quot;00ED2194&quot;/&gt;&lt;wsp:rsid wsp:val=&quot;00ED23B8&quot;/&gt;&lt;wsp:rsid wsp:val=&quot;00ED2406&quot;/&gt;&lt;wsp:rsid wsp:val=&quot;00ED2517&quot;/&gt;&lt;wsp:rsid wsp:val=&quot;00ED2B4D&quot;/&gt;&lt;wsp:rsid wsp:val=&quot;00ED2C3E&quot;/&gt;&lt;wsp:rsid wsp:val=&quot;00ED3376&quot;/&gt;&lt;wsp:rsid wsp:val=&quot;00ED339F&quot;/&gt;&lt;wsp:rsid wsp:val=&quot;00ED36A0&quot;/&gt;&lt;wsp:rsid wsp:val=&quot;00ED36D7&quot;/&gt;&lt;wsp:rsid wsp:val=&quot;00ED383A&quot;/&gt;&lt;wsp:rsid wsp:val=&quot;00ED3921&quot;/&gt;&lt;wsp:rsid wsp:val=&quot;00ED3B1C&quot;/&gt;&lt;wsp:rsid wsp:val=&quot;00ED40F9&quot;/&gt;&lt;wsp:rsid wsp:val=&quot;00ED456A&quot;/&gt;&lt;wsp:rsid wsp:val=&quot;00ED476F&quot;/&gt;&lt;wsp:rsid wsp:val=&quot;00ED47C4&quot;/&gt;&lt;wsp:rsid wsp:val=&quot;00ED47DD&quot;/&gt;&lt;wsp:rsid wsp:val=&quot;00ED4C7F&quot;/&gt;&lt;wsp:rsid wsp:val=&quot;00ED51FC&quot;/&gt;&lt;wsp:rsid wsp:val=&quot;00ED5337&quot;/&gt;&lt;wsp:rsid wsp:val=&quot;00ED5587&quot;/&gt;&lt;wsp:rsid wsp:val=&quot;00ED5BC3&quot;/&gt;&lt;wsp:rsid wsp:val=&quot;00ED5C37&quot;/&gt;&lt;wsp:rsid wsp:val=&quot;00ED5CAF&quot;/&gt;&lt;wsp:rsid wsp:val=&quot;00ED753B&quot;/&gt;&lt;wsp:rsid wsp:val=&quot;00ED7919&quot;/&gt;&lt;wsp:rsid wsp:val=&quot;00ED7ED6&quot;/&gt;&lt;wsp:rsid wsp:val=&quot;00EE00F6&quot;/&gt;&lt;wsp:rsid wsp:val=&quot;00EE0301&quot;/&gt;&lt;wsp:rsid wsp:val=&quot;00EE08B6&quot;/&gt;&lt;wsp:rsid wsp:val=&quot;00EE1298&quot;/&gt;&lt;wsp:rsid wsp:val=&quot;00EE2341&quot;/&gt;&lt;wsp:rsid wsp:val=&quot;00EE242F&quot;/&gt;&lt;wsp:rsid wsp:val=&quot;00EE2D04&quot;/&gt;&lt;wsp:rsid wsp:val=&quot;00EE2FA3&quot;/&gt;&lt;wsp:rsid wsp:val=&quot;00EE3319&quot;/&gt;&lt;wsp:rsid wsp:val=&quot;00EE3630&quot;/&gt;&lt;wsp:rsid wsp:val=&quot;00EE386C&quot;/&gt;&lt;wsp:rsid wsp:val=&quot;00EE41AD&quot;/&gt;&lt;wsp:rsid wsp:val=&quot;00EE4237&quot;/&gt;&lt;wsp:rsid wsp:val=&quot;00EE4680&quot;/&gt;&lt;wsp:rsid wsp:val=&quot;00EE4E5C&quot;/&gt;&lt;wsp:rsid wsp:val=&quot;00EE506A&quot;/&gt;&lt;wsp:rsid wsp:val=&quot;00EE564A&quot;/&gt;&lt;wsp:rsid wsp:val=&quot;00EE6685&quot;/&gt;&lt;wsp:rsid wsp:val=&quot;00EE6A25&quot;/&gt;&lt;wsp:rsid wsp:val=&quot;00EE7054&quot;/&gt;&lt;wsp:rsid wsp:val=&quot;00EE75DF&quot;/&gt;&lt;wsp:rsid wsp:val=&quot;00EE764D&quot;/&gt;&lt;wsp:rsid wsp:val=&quot;00EF0160&quot;/&gt;&lt;wsp:rsid wsp:val=&quot;00EF017D&quot;/&gt;&lt;wsp:rsid wsp:val=&quot;00EF0537&quot;/&gt;&lt;wsp:rsid wsp:val=&quot;00EF0BA0&quot;/&gt;&lt;wsp:rsid wsp:val=&quot;00EF0D2B&quot;/&gt;&lt;wsp:rsid wsp:val=&quot;00EF13EC&quot;/&gt;&lt;wsp:rsid wsp:val=&quot;00EF188B&quot;/&gt;&lt;wsp:rsid wsp:val=&quot;00EF1A04&quot;/&gt;&lt;wsp:rsid wsp:val=&quot;00EF254C&quot;/&gt;&lt;wsp:rsid wsp:val=&quot;00EF2D03&quot;/&gt;&lt;wsp:rsid wsp:val=&quot;00EF2F12&quot;/&gt;&lt;wsp:rsid wsp:val=&quot;00EF3128&quot;/&gt;&lt;wsp:rsid wsp:val=&quot;00EF3EA3&quot;/&gt;&lt;wsp:rsid wsp:val=&quot;00EF42F8&quot;/&gt;&lt;wsp:rsid wsp:val=&quot;00EF466A&quot;/&gt;&lt;wsp:rsid wsp:val=&quot;00EF4E5B&quot;/&gt;&lt;wsp:rsid wsp:val=&quot;00EF5253&quot;/&gt;&lt;wsp:rsid wsp:val=&quot;00EF5485&quot;/&gt;&lt;wsp:rsid wsp:val=&quot;00EF5536&quot;/&gt;&lt;wsp:rsid wsp:val=&quot;00EF5C78&quot;/&gt;&lt;wsp:rsid wsp:val=&quot;00EF66CA&quot;/&gt;&lt;wsp:rsid wsp:val=&quot;00EF68D3&quot;/&gt;&lt;wsp:rsid wsp:val=&quot;00EF691A&quot;/&gt;&lt;wsp:rsid wsp:val=&quot;00EF6978&quot;/&gt;&lt;wsp:rsid wsp:val=&quot;00EF75D4&quot;/&gt;&lt;wsp:rsid wsp:val=&quot;00EF789F&quot;/&gt;&lt;wsp:rsid wsp:val=&quot;00EF7FAA&quot;/&gt;&lt;wsp:rsid wsp:val=&quot;00F00029&quot;/&gt;&lt;wsp:rsid wsp:val=&quot;00F00168&quot;/&gt;&lt;wsp:rsid wsp:val=&quot;00F00237&quot;/&gt;&lt;wsp:rsid wsp:val=&quot;00F00561&quot;/&gt;&lt;wsp:rsid wsp:val=&quot;00F00A04&quot;/&gt;&lt;wsp:rsid wsp:val=&quot;00F00F32&quot;/&gt;&lt;wsp:rsid wsp:val=&quot;00F0125E&quot;/&gt;&lt;wsp:rsid wsp:val=&quot;00F019C6&quot;/&gt;&lt;wsp:rsid wsp:val=&quot;00F01A00&quot;/&gt;&lt;wsp:rsid wsp:val=&quot;00F01BF0&quot;/&gt;&lt;wsp:rsid wsp:val=&quot;00F01C30&quot;/&gt;&lt;wsp:rsid wsp:val=&quot;00F02515&quot;/&gt;&lt;wsp:rsid wsp:val=&quot;00F028BF&quot;/&gt;&lt;wsp:rsid wsp:val=&quot;00F02BA1&quot;/&gt;&lt;wsp:rsid wsp:val=&quot;00F02C53&quot;/&gt;&lt;wsp:rsid wsp:val=&quot;00F02D28&quot;/&gt;&lt;wsp:rsid wsp:val=&quot;00F03646&quot;/&gt;&lt;wsp:rsid wsp:val=&quot;00F03B91&quot;/&gt;&lt;wsp:rsid wsp:val=&quot;00F03D1D&quot;/&gt;&lt;wsp:rsid wsp:val=&quot;00F04699&quot;/&gt;&lt;wsp:rsid wsp:val=&quot;00F0621F&quot;/&gt;&lt;wsp:rsid wsp:val=&quot;00F0657D&quot;/&gt;&lt;wsp:rsid wsp:val=&quot;00F06969&quot;/&gt;&lt;wsp:rsid wsp:val=&quot;00F06DE8&quot;/&gt;&lt;wsp:rsid wsp:val=&quot;00F07491&quot;/&gt;&lt;wsp:rsid wsp:val=&quot;00F07A96&quot;/&gt;&lt;wsp:rsid wsp:val=&quot;00F102CB&quot;/&gt;&lt;wsp:rsid wsp:val=&quot;00F10347&quot;/&gt;&lt;wsp:rsid wsp:val=&quot;00F10C2B&quot;/&gt;&lt;wsp:rsid wsp:val=&quot;00F113DA&quot;/&gt;&lt;wsp:rsid wsp:val=&quot;00F12071&quot;/&gt;&lt;wsp:rsid wsp:val=&quot;00F12235&quot;/&gt;&lt;wsp:rsid wsp:val=&quot;00F1251B&quot;/&gt;&lt;wsp:rsid wsp:val=&quot;00F12C05&quot;/&gt;&lt;wsp:rsid wsp:val=&quot;00F12E7F&quot;/&gt;&lt;wsp:rsid wsp:val=&quot;00F13798&quot;/&gt;&lt;wsp:rsid wsp:val=&quot;00F13882&quot;/&gt;&lt;wsp:rsid wsp:val=&quot;00F13973&quot;/&gt;&lt;wsp:rsid wsp:val=&quot;00F141B9&quot;/&gt;&lt;wsp:rsid wsp:val=&quot;00F1453C&quot;/&gt;&lt;wsp:rsid wsp:val=&quot;00F14B37&quot;/&gt;&lt;wsp:rsid wsp:val=&quot;00F14BCE&quot;/&gt;&lt;wsp:rsid wsp:val=&quot;00F14E2E&quot;/&gt;&lt;wsp:rsid wsp:val=&quot;00F1568E&quot;/&gt;&lt;wsp:rsid wsp:val=&quot;00F15A80&quot;/&gt;&lt;wsp:rsid wsp:val=&quot;00F16804&quot;/&gt;&lt;wsp:rsid wsp:val=&quot;00F16908&quot;/&gt;&lt;wsp:rsid wsp:val=&quot;00F17351&quot;/&gt;&lt;wsp:rsid wsp:val=&quot;00F1739B&quot;/&gt;&lt;wsp:rsid wsp:val=&quot;00F206AD&quot;/&gt;&lt;wsp:rsid wsp:val=&quot;00F20B4D&quot;/&gt;&lt;wsp:rsid wsp:val=&quot;00F22BD2&quot;/&gt;&lt;wsp:rsid wsp:val=&quot;00F23071&quot;/&gt;&lt;wsp:rsid wsp:val=&quot;00F232AE&quot;/&gt;&lt;wsp:rsid wsp:val=&quot;00F2379E&quot;/&gt;&lt;wsp:rsid wsp:val=&quot;00F2403B&quot;/&gt;&lt;wsp:rsid wsp:val=&quot;00F24293&quot;/&gt;&lt;wsp:rsid wsp:val=&quot;00F2456C&quot;/&gt;&lt;wsp:rsid wsp:val=&quot;00F246B0&quot;/&gt;&lt;wsp:rsid wsp:val=&quot;00F246EB&quot;/&gt;&lt;wsp:rsid wsp:val=&quot;00F24AF4&quot;/&gt;&lt;wsp:rsid wsp:val=&quot;00F24C05&quot;/&gt;&lt;wsp:rsid wsp:val=&quot;00F24D0B&quot;/&gt;&lt;wsp:rsid wsp:val=&quot;00F24E5A&quot;/&gt;&lt;wsp:rsid wsp:val=&quot;00F24F71&quot;/&gt;&lt;wsp:rsid wsp:val=&quot;00F25365&quot;/&gt;&lt;wsp:rsid wsp:val=&quot;00F25588&quot;/&gt;&lt;wsp:rsid wsp:val=&quot;00F2588E&quot;/&gt;&lt;wsp:rsid wsp:val=&quot;00F25B27&quot;/&gt;&lt;wsp:rsid wsp:val=&quot;00F26063&quot;/&gt;&lt;wsp:rsid wsp:val=&quot;00F262AC&quot;/&gt;&lt;wsp:rsid wsp:val=&quot;00F26A5D&quot;/&gt;&lt;wsp:rsid wsp:val=&quot;00F26DB3&quot;/&gt;&lt;wsp:rsid wsp:val=&quot;00F2731E&quot;/&gt;&lt;wsp:rsid wsp:val=&quot;00F275FE&quot;/&gt;&lt;wsp:rsid wsp:val=&quot;00F27D93&quot;/&gt;&lt;wsp:rsid wsp:val=&quot;00F30A5C&quot;/&gt;&lt;wsp:rsid wsp:val=&quot;00F30C4F&quot;/&gt;&lt;wsp:rsid wsp:val=&quot;00F30C66&quot;/&gt;&lt;wsp:rsid wsp:val=&quot;00F31DCB&quot;/&gt;&lt;wsp:rsid wsp:val=&quot;00F32B87&quot;/&gt;&lt;wsp:rsid wsp:val=&quot;00F32E5E&quot;/&gt;&lt;wsp:rsid wsp:val=&quot;00F33112&quot;/&gt;&lt;wsp:rsid wsp:val=&quot;00F334FD&quot;/&gt;&lt;wsp:rsid wsp:val=&quot;00F338F6&quot;/&gt;&lt;wsp:rsid wsp:val=&quot;00F33BFF&quot;/&gt;&lt;wsp:rsid wsp:val=&quot;00F343E9&quot;/&gt;&lt;wsp:rsid wsp:val=&quot;00F34439&quot;/&gt;&lt;wsp:rsid wsp:val=&quot;00F345F0&quot;/&gt;&lt;wsp:rsid wsp:val=&quot;00F34798&quot;/&gt;&lt;wsp:rsid wsp:val=&quot;00F351D1&quot;/&gt;&lt;wsp:rsid wsp:val=&quot;00F3566D&quot;/&gt;&lt;wsp:rsid wsp:val=&quot;00F35CF5&quot;/&gt;&lt;wsp:rsid wsp:val=&quot;00F35E17&quot;/&gt;&lt;wsp:rsid wsp:val=&quot;00F362A0&quot;/&gt;&lt;wsp:rsid wsp:val=&quot;00F364FB&quot;/&gt;&lt;wsp:rsid wsp:val=&quot;00F369CD&quot;/&gt;&lt;wsp:rsid wsp:val=&quot;00F36DE2&quot;/&gt;&lt;wsp:rsid wsp:val=&quot;00F370F4&quot;/&gt;&lt;wsp:rsid wsp:val=&quot;00F37173&quot;/&gt;&lt;wsp:rsid wsp:val=&quot;00F37330&quot;/&gt;&lt;wsp:rsid wsp:val=&quot;00F376A2&quot;/&gt;&lt;wsp:rsid wsp:val=&quot;00F37F74&quot;/&gt;&lt;wsp:rsid wsp:val=&quot;00F41259&quot;/&gt;&lt;wsp:rsid wsp:val=&quot;00F41360&quot;/&gt;&lt;wsp:rsid wsp:val=&quot;00F416CF&quot;/&gt;&lt;wsp:rsid wsp:val=&quot;00F41CED&quot;/&gt;&lt;wsp:rsid wsp:val=&quot;00F41F11&quot;/&gt;&lt;wsp:rsid wsp:val=&quot;00F420FF&quot;/&gt;&lt;wsp:rsid wsp:val=&quot;00F428F5&quot;/&gt;&lt;wsp:rsid wsp:val=&quot;00F42988&quot;/&gt;&lt;wsp:rsid wsp:val=&quot;00F42A21&quot;/&gt;&lt;wsp:rsid wsp:val=&quot;00F432A3&quot;/&gt;&lt;wsp:rsid wsp:val=&quot;00F4345D&quot;/&gt;&lt;wsp:rsid wsp:val=&quot;00F434B0&quot;/&gt;&lt;wsp:rsid wsp:val=&quot;00F435C5&quot;/&gt;&lt;wsp:rsid wsp:val=&quot;00F4365C&quot;/&gt;&lt;wsp:rsid wsp:val=&quot;00F43788&quot;/&gt;&lt;wsp:rsid wsp:val=&quot;00F43A58&quot;/&gt;&lt;wsp:rsid wsp:val=&quot;00F43F39&quot;/&gt;&lt;wsp:rsid wsp:val=&quot;00F43FBE&quot;/&gt;&lt;wsp:rsid wsp:val=&quot;00F4415A&quot;/&gt;&lt;wsp:rsid wsp:val=&quot;00F442DA&quot;/&gt;&lt;wsp:rsid wsp:val=&quot;00F4443C&quot;/&gt;&lt;wsp:rsid wsp:val=&quot;00F444EF&quot;/&gt;&lt;wsp:rsid wsp:val=&quot;00F4462D&quot;/&gt;&lt;wsp:rsid wsp:val=&quot;00F44DB6&quot;/&gt;&lt;wsp:rsid wsp:val=&quot;00F44DBA&quot;/&gt;&lt;wsp:rsid wsp:val=&quot;00F44DE1&quot;/&gt;&lt;wsp:rsid wsp:val=&quot;00F456D2&quot;/&gt;&lt;wsp:rsid wsp:val=&quot;00F45B70&quot;/&gt;&lt;wsp:rsid wsp:val=&quot;00F45CA3&quot;/&gt;&lt;wsp:rsid wsp:val=&quot;00F45E48&quot;/&gt;&lt;wsp:rsid wsp:val=&quot;00F45EC0&quot;/&gt;&lt;wsp:rsid wsp:val=&quot;00F465B2&quot;/&gt;&lt;wsp:rsid wsp:val=&quot;00F46F73&quot;/&gt;&lt;wsp:rsid wsp:val=&quot;00F47959&quot;/&gt;&lt;wsp:rsid wsp:val=&quot;00F47BE9&quot;/&gt;&lt;wsp:rsid wsp:val=&quot;00F47C6B&quot;/&gt;&lt;wsp:rsid wsp:val=&quot;00F47CDE&quot;/&gt;&lt;wsp:rsid wsp:val=&quot;00F50363&quot;/&gt;&lt;wsp:rsid wsp:val=&quot;00F5097E&quot;/&gt;&lt;wsp:rsid wsp:val=&quot;00F50B45&quot;/&gt;&lt;wsp:rsid wsp:val=&quot;00F50BAA&quot;/&gt;&lt;wsp:rsid wsp:val=&quot;00F51197&quot;/&gt;&lt;wsp:rsid wsp:val=&quot;00F51260&quot;/&gt;&lt;wsp:rsid wsp:val=&quot;00F5154F&quot;/&gt;&lt;wsp:rsid wsp:val=&quot;00F5167A&quot;/&gt;&lt;wsp:rsid wsp:val=&quot;00F51769&quot;/&gt;&lt;wsp:rsid wsp:val=&quot;00F519F2&quot;/&gt;&lt;wsp:rsid wsp:val=&quot;00F51D5D&quot;/&gt;&lt;wsp:rsid wsp:val=&quot;00F520C9&quot;/&gt;&lt;wsp:rsid wsp:val=&quot;00F52101&quot;/&gt;&lt;wsp:rsid wsp:val=&quot;00F52B27&quot;/&gt;&lt;wsp:rsid wsp:val=&quot;00F52D7E&quot;/&gt;&lt;wsp:rsid wsp:val=&quot;00F531A6&quot;/&gt;&lt;wsp:rsid wsp:val=&quot;00F53253&quot;/&gt;&lt;wsp:rsid wsp:val=&quot;00F53318&quot;/&gt;&lt;wsp:rsid wsp:val=&quot;00F53634&quot;/&gt;&lt;wsp:rsid wsp:val=&quot;00F5373F&quot;/&gt;&lt;wsp:rsid wsp:val=&quot;00F5379F&quot;/&gt;&lt;wsp:rsid wsp:val=&quot;00F53BFA&quot;/&gt;&lt;wsp:rsid wsp:val=&quot;00F53F9B&quot;/&gt;&lt;wsp:rsid wsp:val=&quot;00F540BD&quot;/&gt;&lt;wsp:rsid wsp:val=&quot;00F54495&quot;/&gt;&lt;wsp:rsid wsp:val=&quot;00F55088&quot;/&gt;&lt;wsp:rsid wsp:val=&quot;00F567C0&quot;/&gt;&lt;wsp:rsid wsp:val=&quot;00F56B3F&quot;/&gt;&lt;wsp:rsid wsp:val=&quot;00F56C67&quot;/&gt;&lt;wsp:rsid wsp:val=&quot;00F56E02&quot;/&gt;&lt;wsp:rsid wsp:val=&quot;00F57AF4&quot;/&gt;&lt;wsp:rsid wsp:val=&quot;00F57FB8&quot;/&gt;&lt;wsp:rsid wsp:val=&quot;00F602DB&quot;/&gt;&lt;wsp:rsid wsp:val=&quot;00F604E2&quot;/&gt;&lt;wsp:rsid wsp:val=&quot;00F60625&quot;/&gt;&lt;wsp:rsid wsp:val=&quot;00F606F6&quot;/&gt;&lt;wsp:rsid wsp:val=&quot;00F6082D&quot;/&gt;&lt;wsp:rsid wsp:val=&quot;00F60CE2&quot;/&gt;&lt;wsp:rsid wsp:val=&quot;00F61060&quot;/&gt;&lt;wsp:rsid wsp:val=&quot;00F61345&quot;/&gt;&lt;wsp:rsid wsp:val=&quot;00F62684&quot;/&gt;&lt;wsp:rsid wsp:val=&quot;00F62C3B&quot;/&gt;&lt;wsp:rsid wsp:val=&quot;00F63AAD&quot;/&gt;&lt;wsp:rsid wsp:val=&quot;00F63E3E&quot;/&gt;&lt;wsp:rsid wsp:val=&quot;00F63EA3&quot;/&gt;&lt;wsp:rsid wsp:val=&quot;00F64258&quot;/&gt;&lt;wsp:rsid wsp:val=&quot;00F645FA&quot;/&gt;&lt;wsp:rsid wsp:val=&quot;00F645FC&quot;/&gt;&lt;wsp:rsid wsp:val=&quot;00F64A97&quot;/&gt;&lt;wsp:rsid wsp:val=&quot;00F65196&quot;/&gt;&lt;wsp:rsid wsp:val=&quot;00F65A8E&quot;/&gt;&lt;wsp:rsid wsp:val=&quot;00F65E6A&quot;/&gt;&lt;wsp:rsid wsp:val=&quot;00F662CB&quot;/&gt;&lt;wsp:rsid wsp:val=&quot;00F66730&quot;/&gt;&lt;wsp:rsid wsp:val=&quot;00F66923&quot;/&gt;&lt;wsp:rsid wsp:val=&quot;00F66B5B&quot;/&gt;&lt;wsp:rsid wsp:val=&quot;00F67BAF&quot;/&gt;&lt;wsp:rsid wsp:val=&quot;00F701C5&quot;/&gt;&lt;wsp:rsid wsp:val=&quot;00F70423&quot;/&gt;&lt;wsp:rsid wsp:val=&quot;00F71925&quot;/&gt;&lt;wsp:rsid wsp:val=&quot;00F719BC&quot;/&gt;&lt;wsp:rsid wsp:val=&quot;00F71EAF&quot;/&gt;&lt;wsp:rsid wsp:val=&quot;00F72036&quot;/&gt;&lt;wsp:rsid wsp:val=&quot;00F72055&quot;/&gt;&lt;wsp:rsid wsp:val=&quot;00F725BB&quot;/&gt;&lt;wsp:rsid wsp:val=&quot;00F725CF&quot;/&gt;&lt;wsp:rsid wsp:val=&quot;00F72A1C&quot;/&gt;&lt;wsp:rsid wsp:val=&quot;00F72BCC&quot;/&gt;&lt;wsp:rsid wsp:val=&quot;00F731A7&quot;/&gt;&lt;wsp:rsid wsp:val=&quot;00F73451&quot;/&gt;&lt;wsp:rsid wsp:val=&quot;00F7346A&quot;/&gt;&lt;wsp:rsid wsp:val=&quot;00F73624&quot;/&gt;&lt;wsp:rsid wsp:val=&quot;00F73926&quot;/&gt;&lt;wsp:rsid wsp:val=&quot;00F73972&quot;/&gt;&lt;wsp:rsid wsp:val=&quot;00F73AEE&quot;/&gt;&lt;wsp:rsid wsp:val=&quot;00F74112&quot;/&gt;&lt;wsp:rsid wsp:val=&quot;00F74495&quot;/&gt;&lt;wsp:rsid wsp:val=&quot;00F74664&quot;/&gt;&lt;wsp:rsid wsp:val=&quot;00F749A8&quot;/&gt;&lt;wsp:rsid wsp:val=&quot;00F74F62&quot;/&gt;&lt;wsp:rsid wsp:val=&quot;00F7562E&quot;/&gt;&lt;wsp:rsid wsp:val=&quot;00F75C56&quot;/&gt;&lt;wsp:rsid wsp:val=&quot;00F762BD&quot;/&gt;&lt;wsp:rsid wsp:val=&quot;00F7651F&quot;/&gt;&lt;wsp:rsid wsp:val=&quot;00F766FC&quot;/&gt;&lt;wsp:rsid wsp:val=&quot;00F76938&quot;/&gt;&lt;wsp:rsid wsp:val=&quot;00F76AC0&quot;/&gt;&lt;wsp:rsid wsp:val=&quot;00F76CCB&quot;/&gt;&lt;wsp:rsid wsp:val=&quot;00F77029&quot;/&gt;&lt;wsp:rsid wsp:val=&quot;00F773AF&quot;/&gt;&lt;wsp:rsid wsp:val=&quot;00F77644&quot;/&gt;&lt;wsp:rsid wsp:val=&quot;00F77AAE&quot;/&gt;&lt;wsp:rsid wsp:val=&quot;00F80275&quot;/&gt;&lt;wsp:rsid wsp:val=&quot;00F802FC&quot;/&gt;&lt;wsp:rsid wsp:val=&quot;00F80C4F&quot;/&gt;&lt;wsp:rsid wsp:val=&quot;00F80D49&quot;/&gt;&lt;wsp:rsid wsp:val=&quot;00F81178&quot;/&gt;&lt;wsp:rsid wsp:val=&quot;00F81444&quot;/&gt;&lt;wsp:rsid wsp:val=&quot;00F818C1&quot;/&gt;&lt;wsp:rsid wsp:val=&quot;00F81966&quot;/&gt;&lt;wsp:rsid wsp:val=&quot;00F82197&quot;/&gt;&lt;wsp:rsid wsp:val=&quot;00F822E6&quot;/&gt;&lt;wsp:rsid wsp:val=&quot;00F835D4&quot;/&gt;&lt;wsp:rsid wsp:val=&quot;00F83677&quot;/&gt;&lt;wsp:rsid wsp:val=&quot;00F83BB6&quot;/&gt;&lt;wsp:rsid wsp:val=&quot;00F83C18&quot;/&gt;&lt;wsp:rsid wsp:val=&quot;00F83CD8&quot;/&gt;&lt;wsp:rsid wsp:val=&quot;00F84216&quot;/&gt;&lt;wsp:rsid wsp:val=&quot;00F8504E&quot;/&gt;&lt;wsp:rsid wsp:val=&quot;00F85052&quot;/&gt;&lt;wsp:rsid wsp:val=&quot;00F851A9&quot;/&gt;&lt;wsp:rsid wsp:val=&quot;00F85290&quot;/&gt;&lt;wsp:rsid wsp:val=&quot;00F852E2&quot;/&gt;&lt;wsp:rsid wsp:val=&quot;00F86373&quot;/&gt;&lt;wsp:rsid wsp:val=&quot;00F863BA&quot;/&gt;&lt;wsp:rsid wsp:val=&quot;00F8722E&quot;/&gt;&lt;wsp:rsid wsp:val=&quot;00F87766&quot;/&gt;&lt;wsp:rsid wsp:val=&quot;00F877FB&quot;/&gt;&lt;wsp:rsid wsp:val=&quot;00F9023B&quot;/&gt;&lt;wsp:rsid wsp:val=&quot;00F90624&quot;/&gt;&lt;wsp:rsid wsp:val=&quot;00F906FF&quot;/&gt;&lt;wsp:rsid wsp:val=&quot;00F908D6&quot;/&gt;&lt;wsp:rsid wsp:val=&quot;00F90D29&quot;/&gt;&lt;wsp:rsid wsp:val=&quot;00F90D50&quot;/&gt;&lt;wsp:rsid wsp:val=&quot;00F91320&quot;/&gt;&lt;wsp:rsid wsp:val=&quot;00F9138D&quot;/&gt;&lt;wsp:rsid wsp:val=&quot;00F91546&quot;/&gt;&lt;wsp:rsid wsp:val=&quot;00F921E5&quot;/&gt;&lt;wsp:rsid wsp:val=&quot;00F9234D&quot;/&gt;&lt;wsp:rsid wsp:val=&quot;00F925D7&quot;/&gt;&lt;wsp:rsid wsp:val=&quot;00F92AED&quot;/&gt;&lt;wsp:rsid wsp:val=&quot;00F92DC7&quot;/&gt;&lt;wsp:rsid wsp:val=&quot;00F92EEE&quot;/&gt;&lt;wsp:rsid wsp:val=&quot;00F92FA9&quot;/&gt;&lt;wsp:rsid wsp:val=&quot;00F93023&quot;/&gt;&lt;wsp:rsid wsp:val=&quot;00F93048&quot;/&gt;&lt;wsp:rsid wsp:val=&quot;00F9313D&quot;/&gt;&lt;wsp:rsid wsp:val=&quot;00F9364B&quot;/&gt;&lt;wsp:rsid wsp:val=&quot;00F937B8&quot;/&gt;&lt;wsp:rsid wsp:val=&quot;00F93B13&quot;/&gt;&lt;wsp:rsid wsp:val=&quot;00F93B1D&quot;/&gt;&lt;wsp:rsid wsp:val=&quot;00F9412E&quot;/&gt;&lt;wsp:rsid wsp:val=&quot;00F942B6&quot;/&gt;&lt;wsp:rsid wsp:val=&quot;00F94342&quot;/&gt;&lt;wsp:rsid wsp:val=&quot;00F95173&quot;/&gt;&lt;wsp:rsid wsp:val=&quot;00F95567&quot;/&gt;&lt;wsp:rsid wsp:val=&quot;00F95BD7&quot;/&gt;&lt;wsp:rsid wsp:val=&quot;00F960E3&quot;/&gt;&lt;wsp:rsid wsp:val=&quot;00F9623B&quot;/&gt;&lt;wsp:rsid wsp:val=&quot;00F96422&quot;/&gt;&lt;wsp:rsid wsp:val=&quot;00F96684&quot;/&gt;&lt;wsp:rsid wsp:val=&quot;00F96763&quot;/&gt;&lt;wsp:rsid wsp:val=&quot;00F96A76&quot;/&gt;&lt;wsp:rsid wsp:val=&quot;00F96BC3&quot;/&gt;&lt;wsp:rsid wsp:val=&quot;00F96BEB&quot;/&gt;&lt;wsp:rsid wsp:val=&quot;00F96CA8&quot;/&gt;&lt;wsp:rsid wsp:val=&quot;00F97C96&quot;/&gt;&lt;wsp:rsid wsp:val=&quot;00F97DAE&quot;/&gt;&lt;wsp:rsid wsp:val=&quot;00FA01BA&quot;/&gt;&lt;wsp:rsid wsp:val=&quot;00FA020C&quot;/&gt;&lt;wsp:rsid wsp:val=&quot;00FA0564&quot;/&gt;&lt;wsp:rsid wsp:val=&quot;00FA0738&quot;/&gt;&lt;wsp:rsid wsp:val=&quot;00FA0B4F&quot;/&gt;&lt;wsp:rsid wsp:val=&quot;00FA1308&quot;/&gt;&lt;wsp:rsid wsp:val=&quot;00FA137E&quot;/&gt;&lt;wsp:rsid wsp:val=&quot;00FA1ACF&quot;/&gt;&lt;wsp:rsid wsp:val=&quot;00FA1BA2&quot;/&gt;&lt;wsp:rsid wsp:val=&quot;00FA1E3F&quot;/&gt;&lt;wsp:rsid wsp:val=&quot;00FA2174&quot;/&gt;&lt;wsp:rsid wsp:val=&quot;00FA23E8&quot;/&gt;&lt;wsp:rsid wsp:val=&quot;00FA2914&quot;/&gt;&lt;wsp:rsid wsp:val=&quot;00FA2B2E&quot;/&gt;&lt;wsp:rsid wsp:val=&quot;00FA2B62&quot;/&gt;&lt;wsp:rsid wsp:val=&quot;00FA30F2&quot;/&gt;&lt;wsp:rsid wsp:val=&quot;00FA37F8&quot;/&gt;&lt;wsp:rsid wsp:val=&quot;00FA3C42&quot;/&gt;&lt;wsp:rsid wsp:val=&quot;00FA4625&quot;/&gt;&lt;wsp:rsid wsp:val=&quot;00FA4687&quot;/&gt;&lt;wsp:rsid wsp:val=&quot;00FA48D3&quot;/&gt;&lt;wsp:rsid wsp:val=&quot;00FA499D&quot;/&gt;&lt;wsp:rsid wsp:val=&quot;00FA4A25&quot;/&gt;&lt;wsp:rsid wsp:val=&quot;00FA4B70&quot;/&gt;&lt;wsp:rsid wsp:val=&quot;00FA4CB6&quot;/&gt;&lt;wsp:rsid wsp:val=&quot;00FA4CF3&quot;/&gt;&lt;wsp:rsid wsp:val=&quot;00FA4DAB&quot;/&gt;&lt;wsp:rsid wsp:val=&quot;00FA5641&quot;/&gt;&lt;wsp:rsid wsp:val=&quot;00FA56A7&quot;/&gt;&lt;wsp:rsid wsp:val=&quot;00FA5BAB&quot;/&gt;&lt;wsp:rsid wsp:val=&quot;00FA60EC&quot;/&gt;&lt;wsp:rsid wsp:val=&quot;00FA66AD&quot;/&gt;&lt;wsp:rsid wsp:val=&quot;00FA6C75&quot;/&gt;&lt;wsp:rsid wsp:val=&quot;00FA6DE2&quot;/&gt;&lt;wsp:rsid wsp:val=&quot;00FA7042&quot;/&gt;&lt;wsp:rsid wsp:val=&quot;00FA78C8&quot;/&gt;&lt;wsp:rsid wsp:val=&quot;00FB024C&quot;/&gt;&lt;wsp:rsid wsp:val=&quot;00FB0C29&quot;/&gt;&lt;wsp:rsid wsp:val=&quot;00FB0CE8&quot;/&gt;&lt;wsp:rsid wsp:val=&quot;00FB0F90&quot;/&gt;&lt;wsp:rsid wsp:val=&quot;00FB12D1&quot;/&gt;&lt;wsp:rsid wsp:val=&quot;00FB15AB&quot;/&gt;&lt;wsp:rsid wsp:val=&quot;00FB18B2&quot;/&gt;&lt;wsp:rsid wsp:val=&quot;00FB22A3&quot;/&gt;&lt;wsp:rsid wsp:val=&quot;00FB3017&quot;/&gt;&lt;wsp:rsid wsp:val=&quot;00FB3377&quot;/&gt;&lt;wsp:rsid wsp:val=&quot;00FB34A9&quot;/&gt;&lt;wsp:rsid wsp:val=&quot;00FB3D7C&quot;/&gt;&lt;wsp:rsid wsp:val=&quot;00FB4408&quot;/&gt;&lt;wsp:rsid wsp:val=&quot;00FB4510&quot;/&gt;&lt;wsp:rsid wsp:val=&quot;00FB45DE&quot;/&gt;&lt;wsp:rsid wsp:val=&quot;00FB4625&quot;/&gt;&lt;wsp:rsid wsp:val=&quot;00FB5DF8&quot;/&gt;&lt;wsp:rsid wsp:val=&quot;00FB63E9&quot;/&gt;&lt;wsp:rsid wsp:val=&quot;00FB68A1&quot;/&gt;&lt;wsp:rsid wsp:val=&quot;00FB6AEA&quot;/&gt;&lt;wsp:rsid wsp:val=&quot;00FB6E0A&quot;/&gt;&lt;wsp:rsid wsp:val=&quot;00FB6F95&quot;/&gt;&lt;wsp:rsid wsp:val=&quot;00FB7175&quot;/&gt;&lt;wsp:rsid wsp:val=&quot;00FB74CB&quot;/&gt;&lt;wsp:rsid wsp:val=&quot;00FB7DE5&quot;/&gt;&lt;wsp:rsid wsp:val=&quot;00FB7F7E&quot;/&gt;&lt;wsp:rsid wsp:val=&quot;00FC061B&quot;/&gt;&lt;wsp:rsid wsp:val=&quot;00FC06D0&quot;/&gt;&lt;wsp:rsid wsp:val=&quot;00FC16D5&quot;/&gt;&lt;wsp:rsid wsp:val=&quot;00FC172C&quot;/&gt;&lt;wsp:rsid wsp:val=&quot;00FC1C86&quot;/&gt;&lt;wsp:rsid wsp:val=&quot;00FC1CB2&quot;/&gt;&lt;wsp:rsid wsp:val=&quot;00FC24D1&quot;/&gt;&lt;wsp:rsid wsp:val=&quot;00FC30DD&quot;/&gt;&lt;wsp:rsid wsp:val=&quot;00FC3ADF&quot;/&gt;&lt;wsp:rsid wsp:val=&quot;00FC3B90&quot;/&gt;&lt;wsp:rsid wsp:val=&quot;00FC3BF9&quot;/&gt;&lt;wsp:rsid wsp:val=&quot;00FC4018&quot;/&gt;&lt;wsp:rsid wsp:val=&quot;00FC4050&quot;/&gt;&lt;wsp:rsid wsp:val=&quot;00FC41D5&quot;/&gt;&lt;wsp:rsid wsp:val=&quot;00FC4C6A&quot;/&gt;&lt;wsp:rsid wsp:val=&quot;00FC4C77&quot;/&gt;&lt;wsp:rsid wsp:val=&quot;00FC563D&quot;/&gt;&lt;wsp:rsid wsp:val=&quot;00FC5684&quot;/&gt;&lt;wsp:rsid wsp:val=&quot;00FC608E&quot;/&gt;&lt;wsp:rsid wsp:val=&quot;00FC6B75&quot;/&gt;&lt;wsp:rsid wsp:val=&quot;00FC74DD&quot;/&gt;&lt;wsp:rsid wsp:val=&quot;00FC7546&quot;/&gt;&lt;wsp:rsid wsp:val=&quot;00FC75E1&quot;/&gt;&lt;wsp:rsid wsp:val=&quot;00FC7C38&quot;/&gt;&lt;wsp:rsid wsp:val=&quot;00FD0474&quot;/&gt;&lt;wsp:rsid wsp:val=&quot;00FD0959&quot;/&gt;&lt;wsp:rsid wsp:val=&quot;00FD100D&quot;/&gt;&lt;wsp:rsid wsp:val=&quot;00FD13E1&quot;/&gt;&lt;wsp:rsid wsp:val=&quot;00FD20FE&quot;/&gt;&lt;wsp:rsid wsp:val=&quot;00FD21A7&quot;/&gt;&lt;wsp:rsid wsp:val=&quot;00FD30F7&quot;/&gt;&lt;wsp:rsid wsp:val=&quot;00FD3299&quot;/&gt;&lt;wsp:rsid wsp:val=&quot;00FD38E6&quot;/&gt;&lt;wsp:rsid wsp:val=&quot;00FD3AEB&quot;/&gt;&lt;wsp:rsid wsp:val=&quot;00FD3E0E&quot;/&gt;&lt;wsp:rsid wsp:val=&quot;00FD4358&quot;/&gt;&lt;wsp:rsid wsp:val=&quot;00FD4970&quot;/&gt;&lt;wsp:rsid wsp:val=&quot;00FD4D62&quot;/&gt;&lt;wsp:rsid wsp:val=&quot;00FD4F58&quot;/&gt;&lt;wsp:rsid wsp:val=&quot;00FD58E5&quot;/&gt;&lt;wsp:rsid wsp:val=&quot;00FD609F&quot;/&gt;&lt;wsp:rsid wsp:val=&quot;00FD6F02&quot;/&gt;&lt;wsp:rsid wsp:val=&quot;00FD6F1E&quot;/&gt;&lt;wsp:rsid wsp:val=&quot;00FD72D1&quot;/&gt;&lt;wsp:rsid wsp:val=&quot;00FD73A1&quot;/&gt;&lt;wsp:rsid wsp:val=&quot;00FD7501&quot;/&gt;&lt;wsp:rsid wsp:val=&quot;00FD7F40&quot;/&gt;&lt;wsp:rsid wsp:val=&quot;00FE0075&quot;/&gt;&lt;wsp:rsid wsp:val=&quot;00FE0B82&quot;/&gt;&lt;wsp:rsid wsp:val=&quot;00FE0E9B&quot;/&gt;&lt;wsp:rsid wsp:val=&quot;00FE0FB6&quot;/&gt;&lt;wsp:rsid wsp:val=&quot;00FE1737&quot;/&gt;&lt;wsp:rsid wsp:val=&quot;00FE2319&quot;/&gt;&lt;wsp:rsid wsp:val=&quot;00FE2989&quot;/&gt;&lt;wsp:rsid wsp:val=&quot;00FE2ACE&quot;/&gt;&lt;wsp:rsid wsp:val=&quot;00FE2E4F&quot;/&gt;&lt;wsp:rsid wsp:val=&quot;00FE3A9D&quot;/&gt;&lt;wsp:rsid wsp:val=&quot;00FE3EC2&quot;/&gt;&lt;wsp:rsid wsp:val=&quot;00FE406A&quot;/&gt;&lt;wsp:rsid wsp:val=&quot;00FE4BF2&quot;/&gt;&lt;wsp:rsid wsp:val=&quot;00FE5105&quot;/&gt;&lt;wsp:rsid wsp:val=&quot;00FE5622&quot;/&gt;&lt;wsp:rsid wsp:val=&quot;00FE5669&quot;/&gt;&lt;wsp:rsid wsp:val=&quot;00FE583C&quot;/&gt;&lt;wsp:rsid wsp:val=&quot;00FE5916&quot;/&gt;&lt;wsp:rsid wsp:val=&quot;00FE598C&quot;/&gt;&lt;wsp:rsid wsp:val=&quot;00FE5D28&quot;/&gt;&lt;wsp:rsid wsp:val=&quot;00FE5FC5&quot;/&gt;&lt;wsp:rsid wsp:val=&quot;00FE6246&quot;/&gt;&lt;wsp:rsid wsp:val=&quot;00FE7670&quot;/&gt;&lt;wsp:rsid wsp:val=&quot;00FE7AE4&quot;/&gt;&lt;wsp:rsid wsp:val=&quot;00FE7F2F&quot;/&gt;&lt;wsp:rsid wsp:val=&quot;00FF1083&quot;/&gt;&lt;wsp:rsid wsp:val=&quot;00FF1247&quot;/&gt;&lt;wsp:rsid wsp:val=&quot;00FF1397&quot;/&gt;&lt;wsp:rsid wsp:val=&quot;00FF14A8&quot;/&gt;&lt;wsp:rsid wsp:val=&quot;00FF150A&quot;/&gt;&lt;wsp:rsid wsp:val=&quot;00FF1719&quot;/&gt;&lt;wsp:rsid wsp:val=&quot;00FF19FD&quot;/&gt;&lt;wsp:rsid wsp:val=&quot;00FF1CF1&quot;/&gt;&lt;wsp:rsid wsp:val=&quot;00FF2619&quot;/&gt;&lt;wsp:rsid wsp:val=&quot;00FF32FC&quot;/&gt;&lt;wsp:rsid wsp:val=&quot;00FF3355&quot;/&gt;&lt;wsp:rsid wsp:val=&quot;00FF3540&quot;/&gt;&lt;wsp:rsid wsp:val=&quot;00FF3979&quot;/&gt;&lt;wsp:rsid wsp:val=&quot;00FF3ADA&quot;/&gt;&lt;wsp:rsid wsp:val=&quot;00FF3CDB&quot;/&gt;&lt;wsp:rsid wsp:val=&quot;00FF3D4C&quot;/&gt;&lt;wsp:rsid wsp:val=&quot;00FF431A&quot;/&gt;&lt;wsp:rsid wsp:val=&quot;00FF48AF&quot;/&gt;&lt;wsp:rsid wsp:val=&quot;00FF4C70&quot;/&gt;&lt;wsp:rsid wsp:val=&quot;00FF4C96&quot;/&gt;&lt;wsp:rsid wsp:val=&quot;00FF4E2D&quot;/&gt;&lt;wsp:rsid wsp:val=&quot;00FF4FC7&quot;/&gt;&lt;wsp:rsid wsp:val=&quot;00FF57B8&quot;/&gt;&lt;wsp:rsid wsp:val=&quot;00FF59D1&quot;/&gt;&lt;wsp:rsid wsp:val=&quot;00FF62D4&quot;/&gt;&lt;wsp:rsid wsp:val=&quot;00FF6374&quot;/&gt;&lt;wsp:rsid wsp:val=&quot;00FF6A1B&quot;/&gt;&lt;wsp:rsid wsp:val=&quot;00FF6AFD&quot;/&gt;&lt;wsp:rsid wsp:val=&quot;00FF7210&quot;/&gt;&lt;wsp:rsid wsp:val=&quot;00FF74F4&quot;/&gt;&lt;wsp:rsid wsp:val=&quot;00FF797F&quot;/&gt;&lt;wsp:rsid wsp:val=&quot;00FF7B89&quot;/&gt;&lt;wsp:rsid wsp:val=&quot;01904007&quot;/&gt;&lt;wsp:rsid wsp:val=&quot;01B52F7F&quot;/&gt;&lt;wsp:rsid wsp:val=&quot;02920095&quot;/&gt;&lt;wsp:rsid wsp:val=&quot;02B37479&quot;/&gt;&lt;wsp:rsid wsp:val=&quot;02FE2009&quot;/&gt;&lt;wsp:rsid wsp:val=&quot;0323755B&quot;/&gt;&lt;wsp:rsid wsp:val=&quot;03553E87&quot;/&gt;&lt;wsp:rsid wsp:val=&quot;03A5656E&quot;/&gt;&lt;wsp:rsid wsp:val=&quot;03BA728A&quot;/&gt;&lt;wsp:rsid wsp:val=&quot;03EE0A38&quot;/&gt;&lt;wsp:rsid wsp:val=&quot;04421A04&quot;/&gt;&lt;wsp:rsid wsp:val=&quot;044B2B57&quot;/&gt;&lt;wsp:rsid wsp:val=&quot;04596379&quot;/&gt;&lt;wsp:rsid wsp:val=&quot;053F4E39&quot;/&gt;&lt;wsp:rsid wsp:val=&quot;056A6865&quot;/&gt;&lt;wsp:rsid wsp:val=&quot;05957097&quot;/&gt;&lt;wsp:rsid wsp:val=&quot;05E01426&quot;/&gt;&lt;wsp:rsid wsp:val=&quot;05F645A1&quot;/&gt;&lt;wsp:rsid wsp:val=&quot;07166A08&quot;/&gt;&lt;wsp:rsid wsp:val=&quot;072B69E6&quot;/&gt;&lt;wsp:rsid wsp:val=&quot;076A13D5&quot;/&gt;&lt;wsp:rsid wsp:val=&quot;07D773D9&quot;/&gt;&lt;wsp:rsid wsp:val=&quot;080404DD&quot;/&gt;&lt;wsp:rsid wsp:val=&quot;0827789D&quot;/&gt;&lt;wsp:rsid wsp:val=&quot;086806A7&quot;/&gt;&lt;wsp:rsid wsp:val=&quot;08D94574&quot;/&gt;&lt;wsp:rsid wsp:val=&quot;09167866&quot;/&gt;&lt;wsp:rsid wsp:val=&quot;092B0E42&quot;/&gt;&lt;wsp:rsid wsp:val=&quot;094C3896&quot;/&gt;&lt;wsp:rsid wsp:val=&quot;099D379E&quot;/&gt;&lt;wsp:rsid wsp:val=&quot;09E276C0&quot;/&gt;&lt;wsp:rsid wsp:val=&quot;09ED0EB9&quot;/&gt;&lt;wsp:rsid wsp:val=&quot;09F95097&quot;/&gt;&lt;wsp:rsid wsp:val=&quot;0A21406A&quot;/&gt;&lt;wsp:rsid wsp:val=&quot;0A4773D0&quot;/&gt;&lt;wsp:rsid wsp:val=&quot;0A565F04&quot;/&gt;&lt;wsp:rsid wsp:val=&quot;0A5F2353&quot;/&gt;&lt;wsp:rsid wsp:val=&quot;0ABD5FBA&quot;/&gt;&lt;wsp:rsid wsp:val=&quot;0B5A2007&quot;/&gt;&lt;wsp:rsid wsp:val=&quot;0B7B3911&quot;/&gt;&lt;wsp:rsid wsp:val=&quot;0BF201A5&quot;/&gt;&lt;wsp:rsid wsp:val=&quot;0C5E3A38&quot;/&gt;&lt;wsp:rsid wsp:val=&quot;0C7D34DA&quot;/&gt;&lt;wsp:rsid wsp:val=&quot;0CB005DE&quot;/&gt;&lt;wsp:rsid wsp:val=&quot;0D08446E&quot;/&gt;&lt;wsp:rsid wsp:val=&quot;0D2B78E3&quot;/&gt;&lt;wsp:rsid wsp:val=&quot;0D4E4DAD&quot;/&gt;&lt;wsp:rsid wsp:val=&quot;0D51796B&quot;/&gt;&lt;wsp:rsid wsp:val=&quot;0D666B65&quot;/&gt;&lt;wsp:rsid wsp:val=&quot;0D9B676D&quot;/&gt;&lt;wsp:rsid wsp:val=&quot;0DCD44D3&quot;/&gt;&lt;wsp:rsid wsp:val=&quot;0DF441E4&quot;/&gt;&lt;wsp:rsid wsp:val=&quot;0E665707&quot;/&gt;&lt;wsp:rsid wsp:val=&quot;0EB1331A&quot;/&gt;&lt;wsp:rsid wsp:val=&quot;0EDC7530&quot;/&gt;&lt;wsp:rsid wsp:val=&quot;0EDE5C75&quot;/&gt;&lt;wsp:rsid wsp:val=&quot;0EE36FD4&quot;/&gt;&lt;wsp:rsid wsp:val=&quot;0F955D60&quot;/&gt;&lt;wsp:rsid wsp:val=&quot;0FA90366&quot;/&gt;&lt;wsp:rsid wsp:val=&quot;0FF33576&quot;/&gt;&lt;wsp:rsid wsp:val=&quot;101D5AE6&quot;/&gt;&lt;wsp:rsid wsp:val=&quot;103D5811&quot;/&gt;&lt;wsp:rsid wsp:val=&quot;106E4209&quot;/&gt;&lt;wsp:rsid wsp:val=&quot;108630D2&quot;/&gt;&lt;wsp:rsid wsp:val=&quot;10883793&quot;/&gt;&lt;wsp:rsid wsp:val=&quot;108B1CFD&quot;/&gt;&lt;wsp:rsid wsp:val=&quot;109B144E&quot;/&gt;&lt;wsp:rsid wsp:val=&quot;10B46EE2&quot;/&gt;&lt;wsp:rsid wsp:val=&quot;10CC691B&quot;/&gt;&lt;wsp:rsid wsp:val=&quot;110D4BBB&quot;/&gt;&lt;wsp:rsid wsp:val=&quot;11165221&quot;/&gt;&lt;wsp:rsid wsp:val=&quot;115437EB&quot;/&gt;&lt;wsp:rsid wsp:val=&quot;12487426&quot;/&gt;&lt;wsp:rsid wsp:val=&quot;13487CE2&quot;/&gt;&lt;wsp:rsid wsp:val=&quot;13BB6E4D&quot;/&gt;&lt;wsp:rsid wsp:val=&quot;13C771A7&quot;/&gt;&lt;wsp:rsid wsp:val=&quot;145D37A8&quot;/&gt;&lt;wsp:rsid wsp:val=&quot;151A407D&quot;/&gt;&lt;wsp:rsid wsp:val=&quot;152067EE&quot;/&gt;&lt;wsp:rsid wsp:val=&quot;1609079A&quot;/&gt;&lt;wsp:rsid wsp:val=&quot;160D7807&quot;/&gt;&lt;wsp:rsid wsp:val=&quot;16315934&quot;/&gt;&lt;wsp:rsid wsp:val=&quot;164E43DF&quot;/&gt;&lt;wsp:rsid wsp:val=&quot;16707602&quot;/&gt;&lt;wsp:rsid wsp:val=&quot;16BC0232&quot;/&gt;&lt;wsp:rsid wsp:val=&quot;16EE1DF7&quot;/&gt;&lt;wsp:rsid wsp:val=&quot;171F61DF&quot;/&gt;&lt;wsp:rsid wsp:val=&quot;1783778D&quot;/&gt;&lt;wsp:rsid wsp:val=&quot;17C14FC3&quot;/&gt;&lt;wsp:rsid wsp:val=&quot;17EF7588&quot;/&gt;&lt;wsp:rsid wsp:val=&quot;183F1BA5&quot;/&gt;&lt;wsp:rsid wsp:val=&quot;184F140A&quot;/&gt;&lt;wsp:rsid wsp:val=&quot;186F37E2&quot;/&gt;&lt;wsp:rsid wsp:val=&quot;18FB0F66&quot;/&gt;&lt;wsp:rsid wsp:val=&quot;18FB7085&quot;/&gt;&lt;wsp:rsid wsp:val=&quot;19162B71&quot;/&gt;&lt;wsp:rsid wsp:val=&quot;19715863&quot;/&gt;&lt;wsp:rsid wsp:val=&quot;198753E9&quot;/&gt;&lt;wsp:rsid wsp:val=&quot;19C90D7B&quot;/&gt;&lt;wsp:rsid wsp:val=&quot;1A7B33B3&quot;/&gt;&lt;wsp:rsid wsp:val=&quot;1A88652C&quot;/&gt;&lt;wsp:rsid wsp:val=&quot;1A8F752E&quot;/&gt;&lt;wsp:rsid wsp:val=&quot;1A953298&quot;/&gt;&lt;wsp:rsid wsp:val=&quot;1AD95BC6&quot;/&gt;&lt;wsp:rsid wsp:val=&quot;1B5416E1&quot;/&gt;&lt;wsp:rsid wsp:val=&quot;1B565900&quot;/&gt;&lt;wsp:rsid wsp:val=&quot;1BCE3E3D&quot;/&gt;&lt;wsp:rsid wsp:val=&quot;1C4E50B2&quot;/&gt;&lt;wsp:rsid wsp:val=&quot;1C943B2A&quot;/&gt;&lt;wsp:rsid wsp:val=&quot;1CA71586&quot;/&gt;&lt;wsp:rsid wsp:val=&quot;1CB01854&quot;/&gt;&lt;wsp:rsid wsp:val=&quot;1D533F6A&quot;/&gt;&lt;wsp:rsid wsp:val=&quot;1D8C54C6&quot;/&gt;&lt;wsp:rsid wsp:val=&quot;1D933007&quot;/&gt;&lt;wsp:rsid wsp:val=&quot;1DB179FD&quot;/&gt;&lt;wsp:rsid wsp:val=&quot;1DE567F3&quot;/&gt;&lt;wsp:rsid wsp:val=&quot;1E8929A6&quot;/&gt;&lt;wsp:rsid wsp:val=&quot;1EC70060&quot;/&gt;&lt;wsp:rsid wsp:val=&quot;1EF27054&quot;/&gt;&lt;wsp:rsid wsp:val=&quot;1F2D5BAC&quot;/&gt;&lt;wsp:rsid wsp:val=&quot;1FFE0A96&quot;/&gt;&lt;wsp:rsid wsp:val=&quot;200640FC&quot;/&gt;&lt;wsp:rsid wsp:val=&quot;209C0BDB&quot;/&gt;&lt;wsp:rsid wsp:val=&quot;20B84BB9&quot;/&gt;&lt;wsp:rsid wsp:val=&quot;20BB38E7&quot;/&gt;&lt;wsp:rsid wsp:val=&quot;218B773D&quot;/&gt;&lt;wsp:rsid wsp:val=&quot;21AC6F9D&quot;/&gt;&lt;wsp:rsid wsp:val=&quot;21C16FD7&quot;/&gt;&lt;wsp:rsid wsp:val=&quot;224E132E&quot;/&gt;&lt;wsp:rsid wsp:val=&quot;22773A35&quot;/&gt;&lt;wsp:rsid wsp:val=&quot;22C244A5&quot;/&gt;&lt;wsp:rsid wsp:val=&quot;22CA5EAA&quot;/&gt;&lt;wsp:rsid wsp:val=&quot;231A049F&quot;/&gt;&lt;wsp:rsid wsp:val=&quot;239B6ED3&quot;/&gt;&lt;wsp:rsid wsp:val=&quot;23DF2CE7&quot;/&gt;&lt;wsp:rsid wsp:val=&quot;24490971&quot;/&gt;&lt;wsp:rsid wsp:val=&quot;248A2873&quot;/&gt;&lt;wsp:rsid wsp:val=&quot;24B91B41&quot;/&gt;&lt;wsp:rsid wsp:val=&quot;25020AE4&quot;/&gt;&lt;wsp:rsid wsp:val=&quot;251004E7&quot;/&gt;&lt;wsp:rsid wsp:val=&quot;25AF7328&quot;/&gt;&lt;wsp:rsid wsp:val=&quot;25CA697A&quot;/&gt;&lt;wsp:rsid wsp:val=&quot;26336213&quot;/&gt;&lt;wsp:rsid wsp:val=&quot;266712D5&quot;/&gt;&lt;wsp:rsid wsp:val=&quot;266B7CE1&quot;/&gt;&lt;wsp:rsid wsp:val=&quot;26C82176&quot;/&gt;&lt;wsp:rsid wsp:val=&quot;26FA7F38&quot;/&gt;&lt;wsp:rsid wsp:val=&quot;272357C9&quot;/&gt;&lt;wsp:rsid wsp:val=&quot;279E4B32&quot;/&gt;&lt;wsp:rsid wsp:val=&quot;27CC0F8A&quot;/&gt;&lt;wsp:rsid wsp:val=&quot;28362D4D&quot;/&gt;&lt;wsp:rsid wsp:val=&quot;28834FC2&quot;/&gt;&lt;wsp:rsid wsp:val=&quot;288D067D&quot;/&gt;&lt;wsp:rsid wsp:val=&quot;28BB61B8&quot;/&gt;&lt;wsp:rsid wsp:val=&quot;28C424DA&quot;/&gt;&lt;wsp:rsid wsp:val=&quot;28EF6012&quot;/&gt;&lt;wsp:rsid wsp:val=&quot;293943AB&quot;/&gt;&lt;wsp:rsid wsp:val=&quot;294A5328&quot;/&gt;&lt;wsp:rsid wsp:val=&quot;29562CBE&quot;/&gt;&lt;wsp:rsid wsp:val=&quot;297C1EF1&quot;/&gt;&lt;wsp:rsid wsp:val=&quot;29986D6E&quot;/&gt;&lt;wsp:rsid wsp:val=&quot;29B82DF9&quot;/&gt;&lt;wsp:rsid wsp:val=&quot;29DA2123&quot;/&gt;&lt;wsp:rsid wsp:val=&quot;2A1358E7&quot;/&gt;&lt;wsp:rsid wsp:val=&quot;2A1424A2&quot;/&gt;&lt;wsp:rsid wsp:val=&quot;2A2C044F&quot;/&gt;&lt;wsp:rsid wsp:val=&quot;2A5976D6&quot;/&gt;&lt;wsp:rsid wsp:val=&quot;2A667EDB&quot;/&gt;&lt;wsp:rsid wsp:val=&quot;2A867DD6&quot;/&gt;&lt;wsp:rsid wsp:val=&quot;2A9A10B9&quot;/&gt;&lt;wsp:rsid wsp:val=&quot;2ACD3BEC&quot;/&gt;&lt;wsp:rsid wsp:val=&quot;2BA528F7&quot;/&gt;&lt;wsp:rsid wsp:val=&quot;2C592B9B&quot;/&gt;&lt;wsp:rsid wsp:val=&quot;2CA96BB4&quot;/&gt;&lt;wsp:rsid wsp:val=&quot;2CC060EE&quot;/&gt;&lt;wsp:rsid wsp:val=&quot;2CEB42EE&quot;/&gt;&lt;wsp:rsid wsp:val=&quot;2CEE1C6D&quot;/&gt;&lt;wsp:rsid wsp:val=&quot;2CF94377&quot;/&gt;&lt;wsp:rsid wsp:val=&quot;2D60265C&quot;/&gt;&lt;wsp:rsid wsp:val=&quot;2D90533A&quot;/&gt;&lt;wsp:rsid wsp:val=&quot;2E75070D&quot;/&gt;&lt;wsp:rsid wsp:val=&quot;2E75790E&quot;/&gt;&lt;wsp:rsid wsp:val=&quot;2E9C7473&quot;/&gt;&lt;wsp:rsid wsp:val=&quot;2EB47F6B&quot;/&gt;&lt;wsp:rsid wsp:val=&quot;2FAF4850&quot;/&gt;&lt;wsp:rsid wsp:val=&quot;2FD15770&quot;/&gt;&lt;wsp:rsid wsp:val=&quot;305F12C7&quot;/&gt;&lt;wsp:rsid wsp:val=&quot;30B7776F&quot;/&gt;&lt;wsp:rsid wsp:val=&quot;31303E97&quot;/&gt;&lt;wsp:rsid wsp:val=&quot;31BC7E43&quot;/&gt;&lt;wsp:rsid wsp:val=&quot;322E27C9&quot;/&gt;&lt;wsp:rsid wsp:val=&quot;3268631D&quot;/&gt;&lt;wsp:rsid wsp:val=&quot;32B6014E&quot;/&gt;&lt;wsp:rsid wsp:val=&quot;33983990&quot;/&gt;&lt;wsp:rsid wsp:val=&quot;339972D2&quot;/&gt;&lt;wsp:rsid wsp:val=&quot;339A2B59&quot;/&gt;&lt;wsp:rsid wsp:val=&quot;33C1435D&quot;/&gt;&lt;wsp:rsid wsp:val=&quot;33C57E14&quot;/&gt;&lt;wsp:rsid wsp:val=&quot;33E312BB&quot;/&gt;&lt;wsp:rsid wsp:val=&quot;33EB32F2&quot;/&gt;&lt;wsp:rsid wsp:val=&quot;33ED430A&quot;/&gt;&lt;wsp:rsid wsp:val=&quot;34A777FF&quot;/&gt;&lt;wsp:rsid wsp:val=&quot;34AD215C&quot;/&gt;&lt;wsp:rsid wsp:val=&quot;356F4861&quot;/&gt;&lt;wsp:rsid wsp:val=&quot;35744F05&quot;/&gt;&lt;wsp:rsid wsp:val=&quot;35D65175&quot;/&gt;&lt;wsp:rsid wsp:val=&quot;36724672&quot;/&gt;&lt;wsp:rsid wsp:val=&quot;369F1C1F&quot;/&gt;&lt;wsp:rsid wsp:val=&quot;36C46922&quot;/&gt;&lt;wsp:rsid wsp:val=&quot;374F3B2F&quot;/&gt;&lt;wsp:rsid wsp:val=&quot;376003CF&quot;/&gt;&lt;wsp:rsid wsp:val=&quot;376D0368&quot;/&gt;&lt;wsp:rsid wsp:val=&quot;37E32F9A&quot;/&gt;&lt;wsp:rsid wsp:val=&quot;37F560F4&quot;/&gt;&lt;wsp:rsid wsp:val=&quot;389B6149&quot;/&gt;&lt;wsp:rsid wsp:val=&quot;389E5AAC&quot;/&gt;&lt;wsp:rsid wsp:val=&quot;38D618CA&quot;/&gt;&lt;wsp:rsid wsp:val=&quot;39014F7D&quot;/&gt;&lt;wsp:rsid wsp:val=&quot;39417FF5&quot;/&gt;&lt;wsp:rsid wsp:val=&quot;39532D82&quot;/&gt;&lt;wsp:rsid wsp:val=&quot;39A21F72&quot;/&gt;&lt;wsp:rsid wsp:val=&quot;39C31AF2&quot;/&gt;&lt;wsp:rsid wsp:val=&quot;39C36A5B&quot;/&gt;&lt;wsp:rsid wsp:val=&quot;39DA4BD5&quot;/&gt;&lt;wsp:rsid wsp:val=&quot;3A150264&quot;/&gt;&lt;wsp:rsid wsp:val=&quot;3A6B28F3&quot;/&gt;&lt;wsp:rsid wsp:val=&quot;3BD77ED0&quot;/&gt;&lt;wsp:rsid wsp:val=&quot;3BF7356A&quot;/&gt;&lt;wsp:rsid wsp:val=&quot;3C3B6104&quot;/&gt;&lt;wsp:rsid wsp:val=&quot;3C544E6E&quot;/&gt;&lt;wsp:rsid wsp:val=&quot;3C937972&quot;/&gt;&lt;wsp:rsid wsp:val=&quot;3CC06927&quot;/&gt;&lt;wsp:rsid wsp:val=&quot;3D853B21&quot;/&gt;&lt;wsp:rsid wsp:val=&quot;3DAF2871&quot;/&gt;&lt;wsp:rsid wsp:val=&quot;3E0165C6&quot;/&gt;&lt;wsp:rsid wsp:val=&quot;3E2C3208&quot;/&gt;&lt;wsp:rsid wsp:val=&quot;3E821DCF&quot;/&gt;&lt;wsp:rsid wsp:val=&quot;3EE90255&quot;/&gt;&lt;wsp:rsid wsp:val=&quot;3F1324E3&quot;/&gt;&lt;wsp:rsid wsp:val=&quot;3F195879&quot;/&gt;&lt;wsp:rsid wsp:val=&quot;3F1B2688&quot;/&gt;&lt;wsp:rsid wsp:val=&quot;3FF56548&quot;/&gt;&lt;wsp:rsid wsp:val=&quot;3FFE6A7F&quot;/&gt;&lt;wsp:rsid wsp:val=&quot;4015585F&quot;/&gt;&lt;wsp:rsid wsp:val=&quot;417F46C5&quot;/&gt;&lt;wsp:rsid wsp:val=&quot;422755D9&quot;/&gt;&lt;wsp:rsid wsp:val=&quot;42652B3F&quot;/&gt;&lt;wsp:rsid wsp:val=&quot;42E875BF&quot;/&gt;&lt;wsp:rsid wsp:val=&quot;433E3666&quot;/&gt;&lt;wsp:rsid wsp:val=&quot;43633399&quot;/&gt;&lt;wsp:rsid wsp:val=&quot;43B12C78&quot;/&gt;&lt;wsp:rsid wsp:val=&quot;448501F9&quot;/&gt;&lt;wsp:rsid wsp:val=&quot;44AE1FAF&quot;/&gt;&lt;wsp:rsid wsp:val=&quot;44E81115&quot;/&gt;&lt;wsp:rsid wsp:val=&quot;456304C5&quot;/&gt;&lt;wsp:rsid wsp:val=&quot;45BD215A&quot;/&gt;&lt;wsp:rsid wsp:val=&quot;45CD1A46&quot;/&gt;&lt;wsp:rsid wsp:val=&quot;462D0C89&quot;/&gt;&lt;wsp:rsid wsp:val=&quot;4636084B&quot;/&gt;&lt;wsp:rsid wsp:val=&quot;46506C11&quot;/&gt;&lt;wsp:rsid wsp:val=&quot;46DF32AF&quot;/&gt;&lt;wsp:rsid wsp:val=&quot;472F3A5C&quot;/&gt;&lt;wsp:rsid wsp:val=&quot;47594679&quot;/&gt;&lt;wsp:rsid wsp:val=&quot;47ED5B5F&quot;/&gt;&lt;wsp:rsid wsp:val=&quot;47FD6FCC&quot;/&gt;&lt;wsp:rsid wsp:val=&quot;48347217&quot;/&gt;&lt;wsp:rsid wsp:val=&quot;48B64B23&quot;/&gt;&lt;wsp:rsid wsp:val=&quot;48F96550&quot;/&gt;&lt;wsp:rsid wsp:val=&quot;492679B2&quot;/&gt;&lt;wsp:rsid wsp:val=&quot;49497B6C&quot;/&gt;&lt;wsp:rsid wsp:val=&quot;49660A12&quot;/&gt;&lt;wsp:rsid wsp:val=&quot;49C661D5&quot;/&gt;&lt;wsp:rsid wsp:val=&quot;49D626BA&quot;/&gt;&lt;wsp:rsid wsp:val=&quot;49EF206F&quot;/&gt;&lt;wsp:rsid wsp:val=&quot;4A1A2C9C&quot;/&gt;&lt;wsp:rsid wsp:val=&quot;4A350712&quot;/&gt;&lt;wsp:rsid wsp:val=&quot;4A4D411E&quot;/&gt;&lt;wsp:rsid wsp:val=&quot;4AB110E7&quot;/&gt;&lt;wsp:rsid wsp:val=&quot;4B0B5F1E&quot;/&gt;&lt;wsp:rsid wsp:val=&quot;4B3E4CC6&quot;/&gt;&lt;wsp:rsid wsp:val=&quot;4B9E2626&quot;/&gt;&lt;wsp:rsid wsp:val=&quot;4BC65E61&quot;/&gt;&lt;wsp:rsid wsp:val=&quot;4BDD7CAC&quot;/&gt;&lt;wsp:rsid wsp:val=&quot;4C3F3714&quot;/&gt;&lt;wsp:rsid wsp:val=&quot;4CB66873&quot;/&gt;&lt;wsp:rsid wsp:val=&quot;4D5512A6&quot;/&gt;&lt;wsp:rsid wsp:val=&quot;4D6E4BF8&quot;/&gt;&lt;wsp:rsid wsp:val=&quot;4DA451BE&quot;/&gt;&lt;wsp:rsid wsp:val=&quot;4DEE1582&quot;/&gt;&lt;wsp:rsid wsp:val=&quot;4E3F09D6&quot;/&gt;&lt;wsp:rsid wsp:val=&quot;4E4064A4&quot;/&gt;&lt;wsp:rsid wsp:val=&quot;4E787E97&quot;/&gt;&lt;wsp:rsid wsp:val=&quot;4E824921&quot;/&gt;&lt;wsp:rsid wsp:val=&quot;4E945A3C&quot;/&gt;&lt;wsp:rsid wsp:val=&quot;4EAF4003&quot;/&gt;&lt;wsp:rsid wsp:val=&quot;4ED55179&quot;/&gt;&lt;wsp:rsid wsp:val=&quot;4F2749C2&quot;/&gt;&lt;wsp:rsid wsp:val=&quot;4F405267&quot;/&gt;&lt;wsp:rsid wsp:val=&quot;4FA64580&quot;/&gt;&lt;wsp:rsid wsp:val=&quot;4FD74657&quot;/&gt;&lt;wsp:rsid wsp:val=&quot;4FE06A80&quot;/&gt;&lt;wsp:rsid wsp:val=&quot;4FE17582&quot;/&gt;&lt;wsp:rsid wsp:val=&quot;503F6DF4&quot;/&gt;&lt;wsp:rsid wsp:val=&quot;50905A3B&quot;/&gt;&lt;wsp:rsid wsp:val=&quot;50A91494&quot;/&gt;&lt;wsp:rsid wsp:val=&quot;50AF506E&quot;/&gt;&lt;wsp:rsid wsp:val=&quot;50D7647F&quot;/&gt;&lt;wsp:rsid wsp:val=&quot;51262697&quot;/&gt;&lt;wsp:rsid wsp:val=&quot;513C0A75&quot;/&gt;&lt;wsp:rsid wsp:val=&quot;51843EF1&quot;/&gt;&lt;wsp:rsid wsp:val=&quot;519C5CD8&quot;/&gt;&lt;wsp:rsid wsp:val=&quot;51AB1600&quot;/&gt;&lt;wsp:rsid wsp:val=&quot;52033936&quot;/&gt;&lt;wsp:rsid wsp:val=&quot;522B56F7&quot;/&gt;&lt;wsp:rsid wsp:val=&quot;52562BF1&quot;/&gt;&lt;wsp:rsid wsp:val=&quot;526A1AAB&quot;/&gt;&lt;wsp:rsid wsp:val=&quot;527E482E&quot;/&gt;&lt;wsp:rsid wsp:val=&quot;52A20D24&quot;/&gt;&lt;wsp:rsid wsp:val=&quot;52CD48B5&quot;/&gt;&lt;wsp:rsid wsp:val=&quot;532A7E1B&quot;/&gt;&lt;wsp:rsid wsp:val=&quot;534472D7&quot;/&gt;&lt;wsp:rsid wsp:val=&quot;53562019&quot;/&gt;&lt;wsp:rsid wsp:val=&quot;536924F3&quot;/&gt;&lt;wsp:rsid wsp:val=&quot;53DF638D&quot;/&gt;&lt;wsp:rsid wsp:val=&quot;541D7EF3&quot;/&gt;&lt;wsp:rsid wsp:val=&quot;54227B98&quot;/&gt;&lt;wsp:rsid wsp:val=&quot;54823852&quot;/&gt;&lt;wsp:rsid wsp:val=&quot;54F7137E&quot;/&gt;&lt;wsp:rsid wsp:val=&quot;557A1AD2&quot;/&gt;&lt;wsp:rsid wsp:val=&quot;55B00CDC&quot;/&gt;&lt;wsp:rsid wsp:val=&quot;55B473AC&quot;/&gt;&lt;wsp:rsid wsp:val=&quot;56335093&quot;/&gt;&lt;wsp:rsid wsp:val=&quot;56582DE2&quot;/&gt;&lt;wsp:rsid wsp:val=&quot;56C050DA&quot;/&gt;&lt;wsp:rsid wsp:val=&quot;56C851F5&quot;/&gt;&lt;wsp:rsid wsp:val=&quot;576D1373&quot;/&gt;&lt;wsp:rsid wsp:val=&quot;57845C63&quot;/&gt;&lt;wsp:rsid wsp:val=&quot;57CC3BB5&quot;/&gt;&lt;wsp:rsid wsp:val=&quot;58330E3D&quot;/&gt;&lt;wsp:rsid wsp:val=&quot;584949AE&quot;/&gt;&lt;wsp:rsid wsp:val=&quot;585154C0&quot;/&gt;&lt;wsp:rsid wsp:val=&quot;58536F80&quot;/&gt;&lt;wsp:rsid wsp:val=&quot;58602963&quot;/&gt;&lt;wsp:rsid wsp:val=&quot;586650F0&quot;/&gt;&lt;wsp:rsid wsp:val=&quot;591C3767&quot;/&gt;&lt;wsp:rsid wsp:val=&quot;59FE2D26&quot;/&gt;&lt;wsp:rsid wsp:val=&quot;5A0E08BC&quot;/&gt;&lt;wsp:rsid wsp:val=&quot;5A14569F&quot;/&gt;&lt;wsp:rsid wsp:val=&quot;5A1C3D0F&quot;/&gt;&lt;wsp:rsid wsp:val=&quot;5A3011EB&quot;/&gt;&lt;wsp:rsid wsp:val=&quot;5A7C7B14&quot;/&gt;&lt;wsp:rsid wsp:val=&quot;5A9F41D4&quot;/&gt;&lt;wsp:rsid wsp:val=&quot;5B6750FE&quot;/&gt;&lt;wsp:rsid wsp:val=&quot;5B812FC1&quot;/&gt;&lt;wsp:rsid wsp:val=&quot;5B9961BA&quot;/&gt;&lt;wsp:rsid wsp:val=&quot;5BCB2884&quot;/&gt;&lt;wsp:rsid wsp:val=&quot;5C253161&quot;/&gt;&lt;wsp:rsid wsp:val=&quot;5C31365A&quot;/&gt;&lt;wsp:rsid wsp:val=&quot;5C5816D5&quot;/&gt;&lt;wsp:rsid wsp:val=&quot;5C6E731E&quot;/&gt;&lt;wsp:rsid wsp:val=&quot;5CBF5572&quot;/&gt;&lt;wsp:rsid wsp:val=&quot;5D0B7E24&quot;/&gt;&lt;wsp:rsid wsp:val=&quot;5D0C02AA&quot;/&gt;&lt;wsp:rsid wsp:val=&quot;5D20757B&quot;/&gt;&lt;wsp:rsid wsp:val=&quot;5D7C3215&quot;/&gt;&lt;wsp:rsid wsp:val=&quot;5DAD3FBE&quot;/&gt;&lt;wsp:rsid wsp:val=&quot;5E312CCA&quot;/&gt;&lt;wsp:rsid wsp:val=&quot;5E8A123E&quot;/&gt;&lt;wsp:rsid wsp:val=&quot;5E92443D&quot;/&gt;&lt;wsp:rsid wsp:val=&quot;5EB35A42&quot;/&gt;&lt;wsp:rsid wsp:val=&quot;5F0A4B08&quot;/&gt;&lt;wsp:rsid wsp:val=&quot;5F8D1535&quot;/&gt;&lt;wsp:rsid wsp:val=&quot;5F95411D&quot;/&gt;&lt;wsp:rsid wsp:val=&quot;5F974DD7&quot;/&gt;&lt;wsp:rsid wsp:val=&quot;5FF347A0&quot;/&gt;&lt;wsp:rsid wsp:val=&quot;60050D0A&quot;/&gt;&lt;wsp:rsid wsp:val=&quot;600D643D&quot;/&gt;&lt;wsp:rsid wsp:val=&quot;60521D85&quot;/&gt;&lt;wsp:rsid wsp:val=&quot;605D356F&quot;/&gt;&lt;wsp:rsid wsp:val=&quot;60EC344B&quot;/&gt;&lt;wsp:rsid wsp:val=&quot;60F54484&quot;/&gt;&lt;wsp:rsid wsp:val=&quot;615658EE&quot;/&gt;&lt;wsp:rsid wsp:val=&quot;615E5935&quot;/&gt;&lt;wsp:rsid wsp:val=&quot;61A23A1A&quot;/&gt;&lt;wsp:rsid wsp:val=&quot;61CA359F&quot;/&gt;&lt;wsp:rsid wsp:val=&quot;624B08A7&quot;/&gt;&lt;wsp:rsid wsp:val=&quot;6274528B&quot;/&gt;&lt;wsp:rsid wsp:val=&quot;627F1C15&quot;/&gt;&lt;wsp:rsid wsp:val=&quot;62B90ADA&quot;/&gt;&lt;wsp:rsid wsp:val=&quot;63067368&quot;/&gt;&lt;wsp:rsid wsp:val=&quot;636A20D2&quot;/&gt;&lt;wsp:rsid wsp:val=&quot;637B5989&quot;/&gt;&lt;wsp:rsid wsp:val=&quot;63AA0D0D&quot;/&gt;&lt;wsp:rsid wsp:val=&quot;646111D5&quot;/&gt;&lt;wsp:rsid wsp:val=&quot;64914931&quot;/&gt;&lt;wsp:rsid wsp:val=&quot;652D5D3B&quot;/&gt;&lt;wsp:rsid wsp:val=&quot;653B7FE3&quot;/&gt;&lt;wsp:rsid wsp:val=&quot;668762B5&quot;/&gt;&lt;wsp:rsid wsp:val=&quot;66FA33A2&quot;/&gt;&lt;wsp:rsid wsp:val=&quot;67112A52&quot;/&gt;&lt;wsp:rsid wsp:val=&quot;671203FE&quot;/&gt;&lt;wsp:rsid wsp:val=&quot;676B6CF9&quot;/&gt;&lt;wsp:rsid wsp:val=&quot;677E3E01&quot;/&gt;&lt;wsp:rsid wsp:val=&quot;67EF5708&quot;/&gt;&lt;wsp:rsid wsp:val=&quot;685E3252&quot;/&gt;&lt;wsp:rsid wsp:val=&quot;69432CF1&quot;/&gt;&lt;wsp:rsid wsp:val=&quot;69547606&quot;/&gt;&lt;wsp:rsid wsp:val=&quot;696F37AB&quot;/&gt;&lt;wsp:rsid wsp:val=&quot;697D28AB&quot;/&gt;&lt;wsp:rsid wsp:val=&quot;6A1D6D4E&quot;/&gt;&lt;wsp:rsid wsp:val=&quot;6A593BA5&quot;/&gt;&lt;wsp:rsid wsp:val=&quot;6B1B0967&quot;/&gt;&lt;wsp:rsid wsp:val=&quot;6B920F86&quot;/&gt;&lt;wsp:rsid wsp:val=&quot;6BC03D24&quot;/&gt;&lt;wsp:rsid wsp:val=&quot;6C0E47D6&quot;/&gt;&lt;wsp:rsid wsp:val=&quot;6C6C2814&quot;/&gt;&lt;wsp:rsid wsp:val=&quot;6D1E188C&quot;/&gt;&lt;wsp:rsid wsp:val=&quot;6D3D19ED&quot;/&gt;&lt;wsp:rsid wsp:val=&quot;6D5301C5&quot;/&gt;&lt;wsp:rsid wsp:val=&quot;6D946491&quot;/&gt;&lt;wsp:rsid wsp:val=&quot;6E210F62&quot;/&gt;&lt;wsp:rsid wsp:val=&quot;6E2B1482&quot;/&gt;&lt;wsp:rsid wsp:val=&quot;6E3A4328&quot;/&gt;&lt;wsp:rsid wsp:val=&quot;6E9852ED&quot;/&gt;&lt;wsp:rsid wsp:val=&quot;6EB826D6&quot;/&gt;&lt;wsp:rsid wsp:val=&quot;6F3F0791&quot;/&gt;&lt;wsp:rsid wsp:val=&quot;7039390D&quot;/&gt;&lt;wsp:rsid wsp:val=&quot;704857D2&quot;/&gt;&lt;wsp:rsid wsp:val=&quot;70AD34E2&quot;/&gt;&lt;wsp:rsid wsp:val=&quot;70F31224&quot;/&gt;&lt;wsp:rsid wsp:val=&quot;710418E1&quot;/&gt;&lt;wsp:rsid wsp:val=&quot;71946E48&quot;/&gt;&lt;wsp:rsid wsp:val=&quot;723412BE&quot;/&gt;&lt;wsp:rsid wsp:val=&quot;728F7361&quot;/&gt;&lt;wsp:rsid wsp:val=&quot;72A65046&quot;/&gt;&lt;wsp:rsid wsp:val=&quot;732A5EA0&quot;/&gt;&lt;wsp:rsid wsp:val=&quot;733B144C&quot;/&gt;&lt;wsp:rsid wsp:val=&quot;734F28B9&quot;/&gt;&lt;wsp:rsid wsp:val=&quot;73890EE2&quot;/&gt;&lt;wsp:rsid wsp:val=&quot;73C85B40&quot;/&gt;&lt;wsp:rsid wsp:val=&quot;741802A5&quot;/&gt;&lt;wsp:rsid wsp:val=&quot;74390556&quot;/&gt;&lt;wsp:rsid wsp:val=&quot;747C3740&quot;/&gt;&lt;wsp:rsid wsp:val=&quot;74F26A35&quot;/&gt;&lt;wsp:rsid wsp:val=&quot;75B51ECF&quot;/&gt;&lt;wsp:rsid wsp:val=&quot;75EA47CE&quot;/&gt;&lt;wsp:rsid wsp:val=&quot;76426669&quot;/&gt;&lt;wsp:rsid wsp:val=&quot;76964626&quot;/&gt;&lt;wsp:rsid wsp:val=&quot;769A15AF&quot;/&gt;&lt;wsp:rsid wsp:val=&quot;775C53AC&quot;/&gt;&lt;wsp:rsid wsp:val=&quot;77B1317B&quot;/&gt;&lt;wsp:rsid wsp:val=&quot;77B31097&quot;/&gt;&lt;wsp:rsid wsp:val=&quot;7810051E&quot;/&gt;&lt;wsp:rsid wsp:val=&quot;7861350B&quot;/&gt;&lt;wsp:rsid wsp:val=&quot;786765F6&quot;/&gt;&lt;wsp:rsid wsp:val=&quot;78BC04E7&quot;/&gt;&lt;wsp:rsid wsp:val=&quot;78D57477&quot;/&gt;&lt;wsp:rsid wsp:val=&quot;79241D3B&quot;/&gt;&lt;wsp:rsid wsp:val=&quot;79A56B50&quot;/&gt;&lt;wsp:rsid wsp:val=&quot;79F7592F&quot;/&gt;&lt;wsp:rsid wsp:val=&quot;7A2F5A92&quot;/&gt;&lt;wsp:rsid wsp:val=&quot;7A6F0610&quot;/&gt;&lt;wsp:rsid wsp:val=&quot;7A751A95&quot;/&gt;&lt;wsp:rsid wsp:val=&quot;7A7D3826&quot;/&gt;&lt;wsp:rsid wsp:val=&quot;7AC82A82&quot;/&gt;&lt;wsp:rsid wsp:val=&quot;7B082B9B&quot;/&gt;&lt;wsp:rsid wsp:val=&quot;7B2E6E84&quot;/&gt;&lt;wsp:rsid wsp:val=&quot;7B3C0C28&quot;/&gt;&lt;wsp:rsid wsp:val=&quot;7B46149E&quot;/&gt;&lt;wsp:rsid wsp:val=&quot;7B48074C&quot;/&gt;&lt;wsp:rsid wsp:val=&quot;7B480EC1&quot;/&gt;&lt;wsp:rsid wsp:val=&quot;7BA44CE6&quot;/&gt;&lt;wsp:rsid wsp:val=&quot;7BD82EEA&quot;/&gt;&lt;wsp:rsid wsp:val=&quot;7BEA7714&quot;/&gt;&lt;wsp:rsid wsp:val=&quot;7BF074D5&quot;/&gt;&lt;wsp:rsid wsp:val=&quot;7BF25FCB&quot;/&gt;&lt;wsp:rsid wsp:val=&quot;7BF37812&quot;/&gt;&lt;wsp:rsid wsp:val=&quot;7C6B0C53&quot;/&gt;&lt;wsp:rsid wsp:val=&quot;7CC410F0&quot;/&gt;&lt;wsp:rsid wsp:val=&quot;7CCE4C27&quot;/&gt;&lt;wsp:rsid wsp:val=&quot;7CEF4309&quot;/&gt;&lt;wsp:rsid wsp:val=&quot;7DB25215&quot;/&gt;&lt;wsp:rsid wsp:val=&quot;7DD07E94&quot;/&gt;&lt;wsp:rsid wsp:val=&quot;7DDE28E3&quot;/&gt;&lt;wsp:rsid wsp:val=&quot;7E0D3668&quot;/&gt;&lt;wsp:rsid wsp:val=&quot;7E9A2C34&quot;/&gt;&lt;wsp:rsid wsp:val=&quot;7E9C025C&quot;/&gt;&lt;wsp:rsid wsp:val=&quot;7EAE30ED&quot;/&gt;&lt;wsp:rsid wsp:val=&quot;7ED047DB&quot;/&gt;&lt;wsp:rsid wsp:val=&quot;7ED2154C&quot;/&gt;&lt;wsp:rsid wsp:val=&quot;7F041C24&quot;/&gt;&lt;wsp:rsid wsp:val=&quot;7F0C0256&quot;/&gt;&lt;wsp:rsid wsp:val=&quot;7F3C19F3&quot;/&gt;&lt;wsp:rsid wsp:val=&quot;7F6A04A2&quot;/&gt;&lt;/wsp:rsids&gt;&lt;/w:docPr&gt;&lt;w:body&gt;&lt;w:p wsp:rsidR=&quot;00000000&quot; wsp:rsidRDefault=&quot;00E11C21&quot;&gt;&lt;w:pPr&gt;&lt;w:rPr&gt;&lt;wx:font wx:val=&quot;新宋体&quot;/&gt;&lt;/w:rPr&gt;&lt;/w:pPr&gt;&lt;m:oMathPara&gt;&lt;m:oMF04F04F04F04F04F04F04F04F04F04F04F04F04F04F04F04F04F04F04F04F04F04F04F04F04F04F04F04F04F04F04F04F04F04F04F04F04F04F04F04F04F04F04F04F04F04F04F04F04F04F04F04F04F04F04F04F04F04F04F04F04F04F04at41Ch&gt;&lt;m:r&gt;&lt;m:rPr&gt;&lt;m:sty m:val=&quot;p&quot;/&gt;&lt;/m:rPr&gt;&lt;w:rPr&gt;&lt;w:rFonts w:ascii=&quot;Cambria Math&quot; w:fareast=&quot;宋?4? 04w:h04-an04si=04&quot;Ca04mbr04ia 04Mat04h&quot;/04&gt;&lt;w04x:f04ont04 wx04:va04l=&quot;04Cam04bri04a M04ath04&quot;/&gt;04&lt;w:04sz-04cs 04w:v04al=04&quot;2404&quot;/&gt;04&lt;/w04:rP04r&gt;&lt;04m:t04&gt;δF04&lt;/mF04:t&gt;F04&lt;/mF04:r&gt;F04&lt;/mF04:oMF04athF04&gt;&lt;/F04m:oF04MatF04hPaFii04r&quot;Ca&gt;Fmb04&lt;ia/wFMa04:h&quot;p&gt;Fw:04&lt;arw:Fas04s=&quot;ecF?404tPr4F04 w4sF04p4:rF044sidF044R=&quot;04041C04000004&quot;&gt;&lt;w:4pgSz 4w:w=&quot;4122404&quot; w:h4=&quot;158440&quot;/&gt;4&lt;w:pg4Mar w4:top=4&quot;14404&quot; w:r4ight=4&quot;18004&quot; w:b4ottom4=&quot;14440&quot; w:4left=4&quot;18004&quot; w:h4eader4=&quot;7204&quot; w:footer=&quot;720&quot; w:gutter=&quot;0&quot;/&gt;&lt;w:cols w:space=&quot;720&quot;/&gt;&lt;/w:sectPr&gt;&lt;/w:body&gt;&lt;/w:wordDocument">
            <v:path/>
            <v:fill on="f" focussize="0,0"/>
            <v:stroke on="f"/>
            <v:imagedata r:id="rId118" chromakey="#FFFFFF" o:title=""/>
            <o:lock v:ext="edit" aspectratio="t"/>
            <w10:wrap type="none"/>
            <w10:anchorlock/>
          </v:shape>
        </w:pict>
      </w:r>
      <w:r>
        <w:rPr>
          <w:rFonts w:ascii="Times New Roman" w:hAnsi="Times New Roman"/>
          <w:szCs w:val="24"/>
          <w:highlight w:val="none"/>
          <w:vertAlign w:val="subscript"/>
        </w:rPr>
        <w:instrText xml:space="preserve"> </w:instrText>
      </w:r>
      <w:r>
        <w:rPr>
          <w:rFonts w:ascii="Times New Roman" w:hAnsi="Times New Roman"/>
          <w:szCs w:val="24"/>
          <w:highlight w:val="none"/>
          <w:vertAlign w:val="subscript"/>
        </w:rPr>
        <w:fldChar w:fldCharType="separate"/>
      </w:r>
      <w:r>
        <w:rPr>
          <w:rFonts w:ascii="Times New Roman" w:hAnsi="Times New Roman" w:eastAsia="新宋体"/>
          <w:position w:val="-15"/>
          <w:szCs w:val="21"/>
          <w:highlight w:val="none"/>
        </w:rPr>
        <w:pict>
          <v:shape id="_x0000_i1039" o:spt="75" type="#_x0000_t75" style="height:23.15pt;width:6.25pt;" filled="f" o:preferrelative="t" stroked="f" coordsize="21600,21600"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isplayBackgroundShape/&gt;&lt;w:doNotEmbedSystemFonts/&gt;&lt;w:hideSpellingErrors/&gt;&lt;w:stylePaneFormatFilter w:val=&quot;3828&quot;/&gt;&lt;w:defaultTabStop w:val=&quot;420&quot;/&gt;&lt;w:drawingGridHorizontalSpacing w:val=&quot;105&quot;/&gt;&lt;w:drawingGridVerticalSpacing w:val=&quot;156&quot;/&gt;&lt;w:characterSpacingControl w:val=&quot;CompressPunctuation&quot;/&gt;&lt;w:webPageEncoding w:val=&quot;x-cp20936&quot;/&gt;&lt;w:optimizeForBrowser/&gt;&lt;w:savePreviewPicture/&gt;&lt;w:validateAgainstSchema w:val=&quot;off&quot;/&gt;&lt;w:saveInvalidXML w:val=&quot;off&quot;/&gt;&lt;w:ignoreMixedContent w:val=&quot;off&quot;/&gt;&lt;w:alwaysShowPlaceholderText w:val=&quot;off&quot;/&gt;&lt;w:doNotUnderlineInvalidXML/&gt;&lt;w:compat&gt;&lt;w:spaceForUL/&gt;&lt;w:balanceSingleByteDoubleByteWidth/&gt;&lt;w:doNotLeaveBackslashAlone/&gt;&lt;w:doNotExpandShiftReturn/&gt;&lt;w:adjustLineHeightInTable/&gt;&lt;w:breakWrappedTables/&gt;&lt;w:snapToGridInCell/&gt;&lt;w:dontGrowAutofit/&gt;&lt;w:useFELayout/&gt;&lt;/w:compat&gt;&lt;wsp:rsids&gt;&lt;wsp:rsidRoot wsp:val=&quot;00E25665&quot;/&gt;&lt;wsp:rsid wsp:val=&quot;000002F4&quot;/&gt;&lt;wsp:rsid wsp:val=&quot;00000996&quot;/&gt;&lt;wsp:rsid wsp:val=&quot;00000E1D&quot;/&gt;&lt;wsp:rsid wsp:val=&quot;00001111&quot;/&gt;&lt;wsp:rsid wsp:val=&quot;00001386&quot;/&gt;&lt;wsp:rsid wsp:val=&quot;00001B75&quot;/&gt;&lt;wsp:rsid wsp:val=&quot;00001D9E&quot;/&gt;&lt;wsp:rsid wsp:val=&quot;00002045&quot;/&gt;&lt;wsp:rsid wsp:val=&quot;0000266B&quot;/&gt;&lt;wsp:rsid wsp:val=&quot;00002E81&quot;/&gt;&lt;wsp:rsid wsp:val=&quot;000039AE&quot;/&gt;&lt;wsp:rsid wsp:val=&quot;00003DE4&quot;/&gt;&lt;wsp:rsid wsp:val=&quot;00003EDA&quot;/&gt;&lt;wsp:rsid wsp:val=&quot;0000494C&quot;/&gt;&lt;wsp:rsid wsp:val=&quot;00005521&quot;/&gt;&lt;wsp:rsid wsp:val=&quot;0000584D&quot;/&gt;&lt;wsp:rsid wsp:val=&quot;000058CC&quot;/&gt;&lt;wsp:rsid wsp:val=&quot;0000614F&quot;/&gt;&lt;wsp:rsid wsp:val=&quot;000064AB&quot;/&gt;&lt;wsp:rsid wsp:val=&quot;0000666C&quot;/&gt;&lt;wsp:rsid wsp:val=&quot;00006688&quot;/&gt;&lt;wsp:rsid wsp:val=&quot;000066CD&quot;/&gt;&lt;wsp:rsid wsp:val=&quot;0000695C&quot;/&gt;&lt;wsp:rsid wsp:val=&quot;000070B2&quot;/&gt;&lt;wsp:rsid wsp:val=&quot;00007363&quot;/&gt;&lt;wsp:rsid wsp:val=&quot;000076E0&quot;/&gt;&lt;wsp:rsid wsp:val=&quot;00007980&quot;/&gt;&lt;wsp:rsid wsp:val=&quot;00007C80&quot;/&gt;&lt;wsp:rsid wsp:val=&quot;00010141&quot;/&gt;&lt;wsp:rsid wsp:val=&quot;00010194&quot;/&gt;&lt;wsp:rsid wsp:val=&quot;0001030E&quot;/&gt;&lt;wsp:rsid wsp:val=&quot;000104E0&quot;/&gt;&lt;wsp:rsid wsp:val=&quot;00010A0B&quot;/&gt;&lt;wsp:rsid wsp:val=&quot;00010E6A&quot;/&gt;&lt;wsp:rsid wsp:val=&quot;00010E85&quot;/&gt;&lt;wsp:rsid wsp:val=&quot;00010FD3&quot;/&gt;&lt;wsp:rsid wsp:val=&quot;00011186&quot;/&gt;&lt;wsp:rsid wsp:val=&quot;00011C7F&quot;/&gt;&lt;wsp:rsid wsp:val=&quot;00011DA5&quot;/&gt;&lt;wsp:rsid wsp:val=&quot;00012A4A&quot;/&gt;&lt;wsp:rsid wsp:val=&quot;00012B34&quot;/&gt;&lt;wsp:rsid wsp:val=&quot;00012B68&quot;/&gt;&lt;wsp:rsid wsp:val=&quot;00012ED9&quot;/&gt;&lt;wsp:rsid wsp:val=&quot;0001305C&quot;/&gt;&lt;wsp:rsid wsp:val=&quot;00013190&quot;/&gt;&lt;wsp:rsid wsp:val=&quot;00013279&quot;/&gt;&lt;wsp:rsid wsp:val=&quot;000136FD&quot;/&gt;&lt;wsp:rsid wsp:val=&quot;000137BF&quot;/&gt;&lt;wsp:rsid wsp:val=&quot;000138C0&quot;/&gt;&lt;wsp:rsid wsp:val=&quot;00013CC2&quot;/&gt;&lt;wsp:rsid wsp:val=&quot;00014352&quot;/&gt;&lt;wsp:rsid wsp:val=&quot;000144D4&quot;/&gt;&lt;wsp:rsid wsp:val=&quot;00014C0C&quot;/&gt;&lt;wsp:rsid wsp:val=&quot;00014DBC&quot;/&gt;&lt;wsp:rsid wsp:val=&quot;00015013&quot;/&gt;&lt;wsp:rsid wsp:val=&quot;000151CB&quot;/&gt;&lt;wsp:rsid wsp:val=&quot;00015882&quot;/&gt;&lt;wsp:rsid wsp:val=&quot;00016693&quot;/&gt;&lt;wsp:rsid wsp:val=&quot;000177A7&quot;/&gt;&lt;wsp:rsid wsp:val=&quot;00017E37&quot;/&gt;&lt;wsp:rsid wsp:val=&quot;0002118C&quot;/&gt;&lt;wsp:rsid wsp:val=&quot;000212D8&quot;/&gt;&lt;wsp:rsid wsp:val=&quot;00021E7E&quot;/&gt;&lt;wsp:rsid wsp:val=&quot;00021F5A&quot;/&gt;&lt;wsp:rsid wsp:val=&quot;000225E0&quot;/&gt;&lt;wsp:rsid wsp:val=&quot;00022F93&quot;/&gt;&lt;wsp:rsid wsp:val=&quot;00023085&quot;/&gt;&lt;wsp:rsid wsp:val=&quot;00024048&quot;/&gt;&lt;wsp:rsid wsp:val=&quot;00024205&quot;/&gt;&lt;wsp:rsid wsp:val=&quot;000248BA&quot;/&gt;&lt;wsp:rsid wsp:val=&quot;0002508E&quot;/&gt;&lt;wsp:rsid wsp:val=&quot;0002526D&quot;/&gt;&lt;wsp:rsid wsp:val=&quot;00025A27&quot;/&gt;&lt;wsp:rsid wsp:val=&quot;00025D08&quot;/&gt;&lt;wsp:rsid wsp:val=&quot;000263BE&quot;/&gt;&lt;wsp:rsid wsp:val=&quot;000264D7&quot;/&gt;&lt;wsp:rsid wsp:val=&quot;000264DF&quot;/&gt;&lt;wsp:rsid wsp:val=&quot;00026B71&quot;/&gt;&lt;wsp:rsid wsp:val=&quot;00026F6B&quot;/&gt;&lt;wsp:rsid wsp:val=&quot;00030030&quot;/&gt;&lt;wsp:rsid wsp:val=&quot;000305A5&quot;/&gt;&lt;wsp:rsid wsp:val=&quot;0003084A&quot;/&gt;&lt;wsp:rsid wsp:val=&quot;00030C93&quot;/&gt;&lt;wsp:rsid wsp:val=&quot;00031182&quot;/&gt;&lt;wsp:rsid wsp:val=&quot;00032A51&quot;/&gt;&lt;wsp:rsid wsp:val=&quot;00032A8F&quot;/&gt;&lt;wsp:rsid wsp:val=&quot;0003362E&quot;/&gt;&lt;wsp:rsid wsp:val=&quot;0003467F&quot;/&gt;&lt;wsp:rsid wsp:val=&quot;00034AAF&quot;/&gt;&lt;wsp:rsid wsp:val=&quot;000350F0&quot;/&gt;&lt;wsp:rsid wsp:val=&quot;000357BE&quot;/&gt;&lt;wsp:rsid wsp:val=&quot;00035A62&quot;/&gt;&lt;wsp:rsid wsp:val=&quot;00035C0E&quot;/&gt;&lt;wsp:rsid wsp:val=&quot;00035D98&quot;/&gt;&lt;wsp:rsid wsp:val=&quot;00035FD0&quot;/&gt;&lt;wsp:rsid wsp:val=&quot;0003649D&quot;/&gt;&lt;wsp:rsid wsp:val=&quot;00036700&quot;/&gt;&lt;wsp:rsid wsp:val=&quot;00036D9C&quot;/&gt;&lt;wsp:rsid wsp:val=&quot;00036E45&quot;/&gt;&lt;wsp:rsid wsp:val=&quot;00037850&quot;/&gt;&lt;wsp:rsid wsp:val=&quot;00037ABA&quot;/&gt;&lt;wsp:rsid wsp:val=&quot;00037B31&quot;/&gt;&lt;wsp:rsid wsp:val=&quot;000400EF&quot;/&gt;&lt;wsp:rsid wsp:val=&quot;00040499&quot;/&gt;&lt;wsp:rsid wsp:val=&quot;000405AF&quot;/&gt;&lt;wsp:rsid wsp:val=&quot;000413AE&quot;/&gt;&lt;wsp:rsid wsp:val=&quot;00041503&quot;/&gt;&lt;wsp:rsid wsp:val=&quot;0004194D&quot;/&gt;&lt;wsp:rsid wsp:val=&quot;000421AF&quot;/&gt;&lt;wsp:rsid wsp:val=&quot;00042378&quot;/&gt;&lt;wsp:rsid wsp:val=&quot;0004362D&quot;/&gt;&lt;wsp:rsid wsp:val=&quot;00043AE3&quot;/&gt;&lt;wsp:rsid wsp:val=&quot;00043E78&quot;/&gt;&lt;wsp:rsid wsp:val=&quot;00044185&quot;/&gt;&lt;wsp:rsid wsp:val=&quot;0004468D&quot;/&gt;&lt;wsp:rsid wsp:val=&quot;00044CBA&quot;/&gt;&lt;wsp:rsid wsp:val=&quot;000451D6&quot;/&gt;&lt;wsp:rsid wsp:val=&quot;00045759&quot;/&gt;&lt;wsp:rsid wsp:val=&quot;00045A0C&quot;/&gt;&lt;wsp:rsid wsp:val=&quot;00045B6C&quot;/&gt;&lt;wsp:rsid wsp:val=&quot;000462D3&quot;/&gt;&lt;wsp:rsid wsp:val=&quot;0004631C&quot;/&gt;&lt;wsp:rsid wsp:val=&quot;000463D1&quot;/&gt;&lt;wsp:rsid wsp:val=&quot;0004686E&quot;/&gt;&lt;wsp:rsid wsp:val=&quot;00046C7B&quot;/&gt;&lt;wsp:rsid wsp:val=&quot;00046DAC&quot;/&gt;&lt;wsp:rsid wsp:val=&quot;0004712E&quot;/&gt;&lt;wsp:rsid wsp:val=&quot;00047301&quot;/&gt;&lt;wsp:rsid wsp:val=&quot;000474B5&quot;/&gt;&lt;wsp:rsid wsp:val=&quot;00047D0C&quot;/&gt;&lt;wsp:rsid wsp:val=&quot;00047E34&quot;/&gt;&lt;wsp:rsid wsp:val=&quot;00050561&quot;/&gt;&lt;wsp:rsid wsp:val=&quot;0005094A&quot;/&gt;&lt;wsp:rsid wsp:val=&quot;00050D11&quot;/&gt;&lt;wsp:rsid wsp:val=&quot;00050D6A&quot;/&gt;&lt;wsp:rsid wsp:val=&quot;000515CD&quot;/&gt;&lt;wsp:rsid wsp:val=&quot;00051838&quot;/&gt;&lt;wsp:rsid wsp:val=&quot;00051A77&quot;/&gt;&lt;wsp:rsid wsp:val=&quot;0005211F&quot;/&gt;&lt;wsp:rsid wsp:val=&quot;00052F29&quot;/&gt;&lt;wsp:rsid wsp:val=&quot;0005323C&quot;/&gt;&lt;wsp:rsid wsp:val=&quot;000540A4&quot;/&gt;&lt;wsp:rsid wsp:val=&quot;0005422F&quot;/&gt;&lt;wsp:rsid wsp:val=&quot;00054374&quot;/&gt;&lt;wsp:rsid wsp:val=&quot;000543CC&quot;/&gt;&lt;wsp:rsid wsp:val=&quot;00054835&quot;/&gt;&lt;wsp:rsid wsp:val=&quot;00054B5C&quot;/&gt;&lt;wsp:rsid wsp:val=&quot;00054B78&quot;/&gt;&lt;wsp:rsid wsp:val=&quot;00055105&quot;/&gt;&lt;wsp:rsid wsp:val=&quot;00055237&quot;/&gt;&lt;wsp:rsid wsp:val=&quot;000556CB&quot;/&gt;&lt;wsp:rsid wsp:val=&quot;0005573A&quot;/&gt;&lt;wsp:rsid wsp:val=&quot;00055937&quot;/&gt;&lt;wsp:rsid wsp:val=&quot;00055BC7&quot;/&gt;&lt;wsp:rsid wsp:val=&quot;00056413&quot;/&gt;&lt;wsp:rsid wsp:val=&quot;00056646&quot;/&gt;&lt;wsp:rsid wsp:val=&quot;00056C64&quot;/&gt;&lt;wsp:rsid wsp:val=&quot;00056D5A&quot;/&gt;&lt;wsp:rsid wsp:val=&quot;00057295&quot;/&gt;&lt;wsp:rsid wsp:val=&quot;000572E4&quot;/&gt;&lt;wsp:rsid wsp:val=&quot;000579DF&quot;/&gt;&lt;wsp:rsid wsp:val=&quot;00057E8B&quot;/&gt;&lt;wsp:rsid wsp:val=&quot;0006020C&quot;/&gt;&lt;wsp:rsid wsp:val=&quot;0006023D&quot;/&gt;&lt;wsp:rsid wsp:val=&quot;000607D2&quot;/&gt;&lt;wsp:rsid wsp:val=&quot;0006092E&quot;/&gt;&lt;wsp:rsid wsp:val=&quot;00060C90&quot;/&gt;&lt;wsp:rsid wsp:val=&quot;0006138B&quot;/&gt;&lt;wsp:rsid wsp:val=&quot;00061757&quot;/&gt;&lt;wsp:rsid wsp:val=&quot;00062483&quot;/&gt;&lt;wsp:rsid wsp:val=&quot;00062777&quot;/&gt;&lt;wsp:rsid wsp:val=&quot;000627EA&quot;/&gt;&lt;wsp:rsid wsp:val=&quot;00062C40&quot;/&gt;&lt;wsp:rsid wsp:val=&quot;00062E2F&quot;/&gt;&lt;wsp:rsid wsp:val=&quot;00062FAC&quot;/&gt;&lt;wsp:rsid wsp:val=&quot;000633EB&quot;/&gt;&lt;wsp:rsid wsp:val=&quot;000645D0&quot;/&gt;&lt;wsp:rsid wsp:val=&quot;00064954&quot;/&gt;&lt;wsp:rsid wsp:val=&quot;00064C74&quot;/&gt;&lt;wsp:rsid wsp:val=&quot;0006505A&quot;/&gt;&lt;wsp:rsid wsp:val=&quot;0006564E&quot;/&gt;&lt;wsp:rsid wsp:val=&quot;00065A4A&quot;/&gt;&lt;wsp:rsid wsp:val=&quot;000665D0&quot;/&gt;&lt;wsp:rsid wsp:val=&quot;00066A9B&quot;/&gt;&lt;wsp:rsid wsp:val=&quot;00066AEC&quot;/&gt;&lt;wsp:rsid wsp:val=&quot;00066BC2&quot;/&gt;&lt;wsp:rsid wsp:val=&quot;000674EE&quot;/&gt;&lt;wsp:rsid wsp:val=&quot;00070549&quot;/&gt;&lt;wsp:rsid wsp:val=&quot;0007133C&quot;/&gt;&lt;wsp:rsid wsp:val=&quot;0007186E&quot;/&gt;&lt;wsp:rsid wsp:val=&quot;00071B75&quot;/&gt;&lt;wsp:rsid wsp:val=&quot;00071FE6&quot;/&gt;&lt;wsp:rsid wsp:val=&quot;0007224A&quot;/&gt;&lt;wsp:rsid wsp:val=&quot;000725F5&quot;/&gt;&lt;wsp:rsid wsp:val=&quot;00072BFF&quot;/&gt;&lt;wsp:rsid wsp:val=&quot;00072DD1&quot;/&gt;&lt;wsp:rsid wsp:val=&quot;00072E57&quot;/&gt;&lt;wsp:rsid wsp:val=&quot;000737E6&quot;/&gt;&lt;wsp:rsid wsp:val=&quot;00073ADB&quot;/&gt;&lt;wsp:rsid wsp:val=&quot;00073C23&quot;/&gt;&lt;wsp:rsid wsp:val=&quot;00074275&quot;/&gt;&lt;wsp:rsid wsp:val=&quot;000747A4&quot;/&gt;&lt;wsp:rsid wsp:val=&quot;00074E84&quot;/&gt;&lt;wsp:rsid wsp:val=&quot;00075C75&quot;/&gt;&lt;wsp:rsid wsp:val=&quot;00075CA8&quot;/&gt;&lt;wsp:rsid wsp:val=&quot;000764F6&quot;/&gt;&lt;wsp:rsid wsp:val=&quot;00076C0F&quot;/&gt;&lt;wsp:rsid wsp:val=&quot;00076C58&quot;/&gt;&lt;wsp:rsid wsp:val=&quot;0008008D&quot;/&gt;&lt;wsp:rsid wsp:val=&quot;00080170&quot;/&gt;&lt;wsp:rsid wsp:val=&quot;0008048F&quot;/&gt;&lt;wsp:rsid wsp:val=&quot;00080ABD&quot;/&gt;&lt;wsp:rsid wsp:val=&quot;00080AFF&quot;/&gt;&lt;wsp:rsid wsp:val=&quot;00080CEF&quot;/&gt;&lt;wsp:rsid wsp:val=&quot;00080F08&quot;/&gt;&lt;wsp:rsid wsp:val=&quot;00080FC8&quot;/&gt;&lt;wsp:rsid wsp:val=&quot;0008168C&quot;/&gt;&lt;wsp:rsid wsp:val=&quot;00081FF1&quot;/&gt;&lt;wsp:rsid wsp:val=&quot;0008214C&quot;/&gt;&lt;wsp:rsid wsp:val=&quot;00082547&quot;/&gt;&lt;wsp:rsid wsp:val=&quot;0008259A&quot;/&gt;&lt;wsp:rsid wsp:val=&quot;000825F8&quot;/&gt;&lt;wsp:rsid wsp:val=&quot;00082C43&quot;/&gt;&lt;wsp:rsid wsp:val=&quot;0008413E&quot;/&gt;&lt;wsp:rsid wsp:val=&quot;0008436B&quot;/&gt;&lt;wsp:rsid wsp:val=&quot;00084389&quot;/&gt;&lt;wsp:rsid wsp:val=&quot;00084589&quot;/&gt;&lt;wsp:rsid wsp:val=&quot;0008462C&quot;/&gt;&lt;wsp:rsid wsp:val=&quot;00084813&quot;/&gt;&lt;wsp:rsid wsp:val=&quot;00084887&quot;/&gt;&lt;wsp:rsid wsp:val=&quot;00084A08&quot;/&gt;&lt;wsp:rsid wsp:val=&quot;000852AA&quot;/&gt;&lt;wsp:rsid wsp:val=&quot;00085319&quot;/&gt;&lt;wsp:rsid wsp:val=&quot;00085624&quot;/&gt;&lt;wsp:rsid wsp:val=&quot;00085A70&quot;/&gt;&lt;wsp:rsid wsp:val=&quot;00085BF1&quot;/&gt;&lt;wsp:rsid wsp:val=&quot;00086A76&quot;/&gt;&lt;wsp:rsid wsp:val=&quot;00086C64&quot;/&gt;&lt;wsp:rsid wsp:val=&quot;00086D52&quot;/&gt;&lt;wsp:rsid wsp:val=&quot;00086E6F&quot;/&gt;&lt;wsp:rsid wsp:val=&quot;00086E74&quot;/&gt;&lt;wsp:rsid wsp:val=&quot;00087258&quot;/&gt;&lt;wsp:rsid wsp:val=&quot;000872C5&quot;/&gt;&lt;wsp:rsid wsp:val=&quot;000876CE&quot;/&gt;&lt;wsp:rsid wsp:val=&quot;00087806&quot;/&gt;&lt;wsp:rsid wsp:val=&quot;00087C51&quot;/&gt;&lt;wsp:rsid wsp:val=&quot;00087E4F&quot;/&gt;&lt;wsp:rsid wsp:val=&quot;00087FB3&quot;/&gt;&lt;wsp:rsid wsp:val=&quot;0009008A&quot;/&gt;&lt;wsp:rsid wsp:val=&quot;00090176&quot;/&gt;&lt;wsp:rsid wsp:val=&quot;00090457&quot;/&gt;&lt;wsp:rsid wsp:val=&quot;000909A2&quot;/&gt;&lt;wsp:rsid wsp:val=&quot;000912A8&quot;/&gt;&lt;wsp:rsid wsp:val=&quot;0009159D&quot;/&gt;&lt;wsp:rsid wsp:val=&quot;00091926&quot;/&gt;&lt;wsp:rsid wsp:val=&quot;00091DA8&quot;/&gt;&lt;wsp:rsid wsp:val=&quot;0009297A&quot;/&gt;&lt;wsp:rsid wsp:val=&quot;00092AED&quot;/&gt;&lt;wsp:rsid wsp:val=&quot;00093248&quot;/&gt;&lt;wsp:rsid wsp:val=&quot;00093714&quot;/&gt;&lt;wsp:rsid wsp:val=&quot;0009387C&quot;/&gt;&lt;wsp:rsid wsp:val=&quot;0009407B&quot;/&gt;&lt;wsp:rsid wsp:val=&quot;00094D3B&quot;/&gt;&lt;wsp:rsid wsp:val=&quot;000955F6&quot;/&gt;&lt;wsp:rsid wsp:val=&quot;00095D99&quot;/&gt;&lt;wsp:rsid wsp:val=&quot;00095F41&quot;/&gt;&lt;wsp:rsid wsp:val=&quot;000967AB&quot;/&gt;&lt;wsp:rsid wsp:val=&quot;00096DD7&quot;/&gt;&lt;wsp:rsid wsp:val=&quot;00097C64&quot;/&gt;&lt;wsp:rsid wsp:val=&quot;000A023D&quot;/&gt;&lt;wsp:rsid wsp:val=&quot;000A02BA&quot;/&gt;&lt;wsp:rsid wsp:val=&quot;000A0793&quot;/&gt;&lt;wsp:rsid wsp:val=&quot;000A0F58&quot;/&gt;&lt;wsp:rsid wsp:val=&quot;000A1024&quot;/&gt;&lt;wsp:rsid wsp:val=&quot;000A1E19&quot;/&gt;&lt;wsp:rsid wsp:val=&quot;000A1EB9&quot;/&gt;&lt;wsp:rsid wsp:val=&quot;000A20A0&quot;/&gt;&lt;wsp:rsid wsp:val=&quot;000A242E&quot;/&gt;&lt;wsp:rsid wsp:val=&quot;000A2BFA&quot;/&gt;&lt;wsp:rsid wsp:val=&quot;000A2D6A&quot;/&gt;&lt;wsp:rsid wsp:val=&quot;000A3340&quot;/&gt;&lt;wsp:rsid wsp:val=&quot;000A3A40&quot;/&gt;&lt;wsp:rsid wsp:val=&quot;000A3D88&quot;/&gt;&lt;wsp:rsid wsp:val=&quot;000A42B3&quot;/&gt;&lt;wsp:rsid wsp:val=&quot;000A4656&quot;/&gt;&lt;wsp:rsid wsp:val=&quot;000A4A64&quot;/&gt;&lt;wsp:rsid wsp:val=&quot;000A4C57&quot;/&gt;&lt;wsp:rsid wsp:val=&quot;000A4CA2&quot;/&gt;&lt;wsp:rsid wsp:val=&quot;000A4D26&quot;/&gt;&lt;wsp:rsid wsp:val=&quot;000A542D&quot;/&gt;&lt;wsp:rsid wsp:val=&quot;000A54E2&quot;/&gt;&lt;wsp:rsid wsp:val=&quot;000A5DAD&quot;/&gt;&lt;wsp:rsid wsp:val=&quot;000A66E8&quot;/&gt;&lt;wsp:rsid wsp:val=&quot;000A67A7&quot;/&gt;&lt;wsp:rsid wsp:val=&quot;000A7FD9&quot;/&gt;&lt;wsp:rsid wsp:val=&quot;000B027D&quot;/&gt;&lt;wsp:rsid wsp:val=&quot;000B0939&quot;/&gt;&lt;wsp:rsid wsp:val=&quot;000B0B7A&quot;/&gt;&lt;wsp:rsid wsp:val=&quot;000B0C07&quot;/&gt;&lt;wsp:rsid wsp:val=&quot;000B0D22&quot;/&gt;&lt;wsp:rsid wsp:val=&quot;000B0F74&quot;/&gt;&lt;wsp:rsid wsp:val=&quot;000B10E8&quot;/&gt;&lt;wsp:rsid wsp:val=&quot;000B1E94&quot;/&gt;&lt;wsp:rsid wsp:val=&quot;000B2381&quot;/&gt;&lt;wsp:rsid wsp:val=&quot;000B24B1&quot;/&gt;&lt;wsp:rsid wsp:val=&quot;000B2631&quot;/&gt;&lt;wsp:rsid wsp:val=&quot;000B2A57&quot;/&gt;&lt;wsp:rsid wsp:val=&quot;000B2FE1&quot;/&gt;&lt;wsp:rsid wsp:val=&quot;000B331B&quot;/&gt;&lt;wsp:rsid wsp:val=&quot;000B352B&quot;/&gt;&lt;wsp:rsid wsp:val=&quot;000B3677&quot;/&gt;&lt;wsp:rsid wsp:val=&quot;000B3F1A&quot;/&gt;&lt;wsp:rsid wsp:val=&quot;000B4B0A&quot;/&gt;&lt;wsp:rsid wsp:val=&quot;000B5140&quot;/&gt;&lt;wsp:rsid wsp:val=&quot;000B56DD&quot;/&gt;&lt;wsp:rsid wsp:val=&quot;000B5869&quot;/&gt;&lt;wsp:rsid wsp:val=&quot;000B5E86&quot;/&gt;&lt;wsp:rsid wsp:val=&quot;000B6231&quot;/&gt;&lt;wsp:rsid wsp:val=&quot;000B6499&quot;/&gt;&lt;wsp:rsid wsp:val=&quot;000B6507&quot;/&gt;&lt;wsp:rsid wsp:val=&quot;000B672B&quot;/&gt;&lt;wsp:rsid wsp:val=&quot;000B6EF9&quot;/&gt;&lt;wsp:rsid wsp:val=&quot;000B7B15&quot;/&gt;&lt;wsp:rsid wsp:val=&quot;000B7F5D&quot;/&gt;&lt;wsp:rsid wsp:val=&quot;000B7FA5&quot;/&gt;&lt;wsp:rsid wsp:val=&quot;000C012A&quot;/&gt;&lt;wsp:rsid wsp:val=&quot;000C024B&quot;/&gt;&lt;wsp:rsid wsp:val=&quot;000C04AC&quot;/&gt;&lt;wsp:rsid wsp:val=&quot;000C05A3&quot;/&gt;&lt;wsp:rsid wsp:val=&quot;000C0602&quot;/&gt;&lt;wsp:rsid wsp:val=&quot;000C06D5&quot;/&gt;&lt;wsp:rsid wsp:val=&quot;000C079E&quot;/&gt;&lt;wsp:rsid wsp:val=&quot;000C0F24&quot;/&gt;&lt;wsp:rsid wsp:val=&quot;000C144D&quot;/&gt;&lt;wsp:rsid wsp:val=&quot;000C18CC&quot;/&gt;&lt;wsp:rsid wsp:val=&quot;000C191E&quot;/&gt;&lt;wsp:rsid wsp:val=&quot;000C198B&quot;/&gt;&lt;wsp:rsid wsp:val=&quot;000C1E23&quot;/&gt;&lt;wsp:rsid wsp:val=&quot;000C2381&quot;/&gt;&lt;wsp:rsid wsp:val=&quot;000C251B&quot;/&gt;&lt;wsp:rsid wsp:val=&quot;000C2EBB&quot;/&gt;&lt;wsp:rsid wsp:val=&quot;000C32B2&quot;/&gt;&lt;wsp:rsid wsp:val=&quot;000C3544&quot;/&gt;&lt;wsp:rsid wsp:val=&quot;000C455A&quot;/&gt;&lt;wsp:rsid wsp:val=&quot;000C4859&quot;/&gt;&lt;wsp:rsid wsp:val=&quot;000C4A04&quot;/&gt;&lt;wsp:rsid wsp:val=&quot;000C4CEC&quot;/&gt;&lt;wsp:rsid wsp:val=&quot;000C520B&quot;/&gt;&lt;wsp:rsid wsp:val=&quot;000C5427&quot;/&gt;&lt;wsp:rsid wsp:val=&quot;000C55F3&quot;/&gt;&lt;wsp:rsid wsp:val=&quot;000C5608&quot;/&gt;&lt;wsp:rsid wsp:val=&quot;000C5CC8&quot;/&gt;&lt;wsp:rsid wsp:val=&quot;000C5E37&quot;/&gt;&lt;wsp:rsid wsp:val=&quot;000C5EFC&quot;/&gt;&lt;wsp:rsid wsp:val=&quot;000C74EB&quot;/&gt;&lt;wsp:rsid wsp:val=&quot;000C7967&quot;/&gt;&lt;wsp:rsid wsp:val=&quot;000C7AAD&quot;/&gt;&lt;wsp:rsid wsp:val=&quot;000D0087&quot;/&gt;&lt;wsp:rsid wsp:val=&quot;000D01A5&quot;/&gt;&lt;wsp:rsid wsp:val=&quot;000D0590&quot;/&gt;&lt;wsp:rsid wsp:val=&quot;000D0A84&quot;/&gt;&lt;wsp:rsid wsp:val=&quot;000D11FD&quot;/&gt;&lt;wsp:rsid wsp:val=&quot;000D159B&quot;/&gt;&lt;wsp:rsid wsp:val=&quot;000D196A&quot;/&gt;&lt;wsp:rsid wsp:val=&quot;000D1EF7&quot;/&gt;&lt;wsp:rsid wsp:val=&quot;000D2140&quot;/&gt;&lt;wsp:rsid wsp:val=&quot;000D2444&quot;/&gt;&lt;wsp:rsid wsp:val=&quot;000D252E&quot;/&gt;&lt;wsp:rsid wsp:val=&quot;000D3396&quot;/&gt;&lt;wsp:rsid wsp:val=&quot;000D3792&quot;/&gt;&lt;wsp:rsid wsp:val=&quot;000D3BDA&quot;/&gt;&lt;wsp:rsid wsp:val=&quot;000D3C9A&quot;/&gt;&lt;wsp:rsid wsp:val=&quot;000D448D&quot;/&gt;&lt;wsp:rsid wsp:val=&quot;000D4656&quot;/&gt;&lt;wsp:rsid wsp:val=&quot;000D5AD5&quot;/&gt;&lt;wsp:rsid wsp:val=&quot;000D5D8D&quot;/&gt;&lt;wsp:rsid wsp:val=&quot;000D60B1&quot;/&gt;&lt;wsp:rsid wsp:val=&quot;000D6B8B&quot;/&gt;&lt;wsp:rsid wsp:val=&quot;000D6C82&quot;/&gt;&lt;wsp:rsid wsp:val=&quot;000D6D59&quot;/&gt;&lt;wsp:rsid wsp:val=&quot;000D7E4A&quot;/&gt;&lt;wsp:rsid wsp:val=&quot;000D7E96&quot;/&gt;&lt;wsp:rsid wsp:val=&quot;000E016E&quot;/&gt;&lt;wsp:rsid wsp:val=&quot;000E0239&quot;/&gt;&lt;wsp:rsid wsp:val=&quot;000E0374&quot;/&gt;&lt;wsp:rsid wsp:val=&quot;000E0578&quot;/&gt;&lt;wsp:rsid wsp:val=&quot;000E0598&quot;/&gt;&lt;wsp:rsid wsp:val=&quot;000E072C&quot;/&gt;&lt;wsp:rsid wsp:val=&quot;000E077E&quot;/&gt;&lt;wsp:rsid wsp:val=&quot;000E0D28&quot;/&gt;&lt;wsp:rsid wsp:val=&quot;000E0FDE&quot;/&gt;&lt;wsp:rsid wsp:val=&quot;000E12A0&quot;/&gt;&lt;wsp:rsid wsp:val=&quot;000E1F2A&quot;/&gt;&lt;wsp:rsid wsp:val=&quot;000E1F52&quot;/&gt;&lt;wsp:rsid wsp:val=&quot;000E21F3&quot;/&gt;&lt;wsp:rsid wsp:val=&quot;000E2C84&quot;/&gt;&lt;wsp:rsid wsp:val=&quot;000E3120&quot;/&gt;&lt;wsp:rsid wsp:val=&quot;000E3F11&quot;/&gt;&lt;wsp:rsid wsp:val=&quot;000E3FD2&quot;/&gt;&lt;wsp:rsid wsp:val=&quot;000E61E1&quot;/&gt;&lt;wsp:rsid wsp:val=&quot;000E69C6&quot;/&gt;&lt;wsp:rsid wsp:val=&quot;000E6C6D&quot;/&gt;&lt;wsp:rsid wsp:val=&quot;000E6EF5&quot;/&gt;&lt;wsp:rsid wsp:val=&quot;000E7167&quot;/&gt;&lt;wsp:rsid wsp:val=&quot;000E781F&quot;/&gt;&lt;wsp:rsid wsp:val=&quot;000E7AC1&quot;/&gt;&lt;wsp:rsid wsp:val=&quot;000E7F7D&quot;/&gt;&lt;wsp:rsid wsp:val=&quot;000F05AB&quot;/&gt;&lt;wsp:rsid wsp:val=&quot;000F05B5&quot;/&gt;&lt;wsp:rsid wsp:val=&quot;000F0E67&quot;/&gt;&lt;wsp:rsid wsp:val=&quot;000F1037&quot;/&gt;&lt;wsp:rsid wsp:val=&quot;000F17A8&quot;/&gt;&lt;wsp:rsid wsp:val=&quot;000F1DFE&quot;/&gt;&lt;wsp:rsid wsp:val=&quot;000F1EC9&quot;/&gt;&lt;wsp:rsid wsp:val=&quot;000F1ED6&quot;/&gt;&lt;wsp:rsid wsp:val=&quot;000F262B&quot;/&gt;&lt;wsp:rsid wsp:val=&quot;000F32C4&quot;/&gt;&lt;wsp:rsid wsp:val=&quot;000F35BC&quot;/&gt;&lt;wsp:rsid wsp:val=&quot;000F391F&quot;/&gt;&lt;wsp:rsid wsp:val=&quot;000F3AB3&quot;/&gt;&lt;wsp:rsid wsp:val=&quot;000F4024&quot;/&gt;&lt;wsp:rsid wsp:val=&quot;000F4205&quot;/&gt;&lt;wsp:rsid wsp:val=&quot;000F44F4&quot;/&gt;&lt;wsp:rsid wsp:val=&quot;000F48E2&quot;/&gt;&lt;wsp:rsid wsp:val=&quot;000F4EB4&quot;/&gt;&lt;wsp:rsid wsp:val=&quot;000F53DE&quot;/&gt;&lt;wsp:rsid wsp:val=&quot;000F53ED&quot;/&gt;&lt;wsp:rsid wsp:val=&quot;000F55B2&quot;/&gt;&lt;wsp:rsid wsp:val=&quot;000F5E33&quot;/&gt;&lt;wsp:rsid wsp:val=&quot;000F5F42&quot;/&gt;&lt;wsp:rsid wsp:val=&quot;000F68AD&quot;/&gt;&lt;wsp:rsid wsp:val=&quot;000F692E&quot;/&gt;&lt;wsp:rsid wsp:val=&quot;000F6DAE&quot;/&gt;&lt;wsp:rsid wsp:val=&quot;000F78E3&quot;/&gt;&lt;wsp:rsid wsp:val=&quot;000F79B5&quot;/&gt;&lt;wsp:rsid wsp:val=&quot;000F7BF5&quot;/&gt;&lt;wsp:rsid wsp:val=&quot;000F7CF0&quot;/&gt;&lt;wsp:rsid wsp:val=&quot;001009AE&quot;/&gt;&lt;wsp:rsid wsp:val=&quot;00101150&quot;/&gt;&lt;wsp:rsid wsp:val=&quot;00101773&quot;/&gt;&lt;wsp:rsid wsp:val=&quot;00101C15&quot;/&gt;&lt;wsp:rsid wsp:val=&quot;0010240E&quot;/&gt;&lt;wsp:rsid wsp:val=&quot;001026E3&quot;/&gt;&lt;wsp:rsid wsp:val=&quot;00102994&quot;/&gt;&lt;wsp:rsid wsp:val=&quot;00103442&quot;/&gt;&lt;wsp:rsid wsp:val=&quot;00103BD7&quot;/&gt;&lt;wsp:rsid wsp:val=&quot;001041D7&quot;/&gt;&lt;wsp:rsid wsp:val=&quot;00104254&quot;/&gt;&lt;wsp:rsid wsp:val=&quot;00104656&quot;/&gt;&lt;wsp:rsid wsp:val=&quot;00104799&quot;/&gt;&lt;wsp:rsid wsp:val=&quot;00105331&quot;/&gt;&lt;wsp:rsid wsp:val=&quot;0010633C&quot;/&gt;&lt;wsp:rsid wsp:val=&quot;00106758&quot;/&gt;&lt;wsp:rsid wsp:val=&quot;001072F7&quot;/&gt;&lt;wsp:rsid wsp:val=&quot;00107579&quot;/&gt;&lt;wsp:rsid wsp:val=&quot;0010772F&quot;/&gt;&lt;wsp:rsid wsp:val=&quot;00107BA5&quot;/&gt;&lt;wsp:rsid wsp:val=&quot;00107E85&quot;/&gt;&lt;wsp:rsid wsp:val=&quot;0011034A&quot;/&gt;&lt;wsp:rsid wsp:val=&quot;0011040E&quot;/&gt;&lt;wsp:rsid wsp:val=&quot;00110973&quot;/&gt;&lt;wsp:rsid wsp:val=&quot;001115E4&quot;/&gt;&lt;wsp:rsid wsp:val=&quot;001119C0&quot;/&gt;&lt;wsp:rsid wsp:val=&quot;00112439&quot;/&gt;&lt;wsp:rsid wsp:val=&quot;00112807&quot;/&gt;&lt;wsp:rsid wsp:val=&quot;001128B5&quot;/&gt;&lt;wsp:rsid wsp:val=&quot;00112ACA&quot;/&gt;&lt;wsp:rsid wsp:val=&quot;001130F4&quot;/&gt;&lt;wsp:rsid wsp:val=&quot;00113554&quot;/&gt;&lt;wsp:rsid wsp:val=&quot;001136F5&quot;/&gt;&lt;wsp:rsid wsp:val=&quot;001137A5&quot;/&gt;&lt;wsp:rsid wsp:val=&quot;001137E8&quot;/&gt;&lt;wsp:rsid wsp:val=&quot;00113972&quot;/&gt;&lt;wsp:rsid wsp:val=&quot;00113D54&quot;/&gt;&lt;wsp:rsid wsp:val=&quot;0011404D&quot;/&gt;&lt;wsp:rsid wsp:val=&quot;00114056&quot;/&gt;&lt;wsp:rsid wsp:val=&quot;00114671&quot;/&gt;&lt;wsp:rsid wsp:val=&quot;00114B05&quot;/&gt;&lt;wsp:rsid wsp:val=&quot;00114C88&quot;/&gt;&lt;wsp:rsid wsp:val=&quot;00115149&quot;/&gt;&lt;wsp:rsid wsp:val=&quot;0011553E&quot;/&gt;&lt;wsp:rsid wsp:val=&quot;0011601D&quot;/&gt;&lt;wsp:rsid wsp:val=&quot;001163F8&quot;/&gt;&lt;wsp:rsid wsp:val=&quot;001167AB&quot;/&gt;&lt;wsp:rsid wsp:val=&quot;00116F7F&quot;/&gt;&lt;wsp:rsid wsp:val=&quot;0011741C&quot;/&gt;&lt;wsp:rsid wsp:val=&quot;00117449&quot;/&gt;&lt;wsp:rsid wsp:val=&quot;0011747B&quot;/&gt;&lt;wsp:rsid wsp:val=&quot;00117571&quot;/&gt;&lt;wsp:rsid wsp:val=&quot;00117D73&quot;/&gt;&lt;wsp:rsid wsp:val=&quot;00117E16&quot;/&gt;&lt;wsp:rsid wsp:val=&quot;001201A9&quot;/&gt;&lt;wsp:rsid wsp:val=&quot;0012048A&quot;/&gt;&lt;wsp:rsid wsp:val=&quot;001204A5&quot;/&gt;&lt;wsp:rsid wsp:val=&quot;00120A5F&quot;/&gt;&lt;wsp:rsid wsp:val=&quot;00121050&quot;/&gt;&lt;wsp:rsid wsp:val=&quot;0012185A&quot;/&gt;&lt;wsp:rsid wsp:val=&quot;001218FC&quot;/&gt;&lt;wsp:rsid wsp:val=&quot;00121A25&quot;/&gt;&lt;wsp:rsid wsp:val=&quot;00121C3E&quot;/&gt;&lt;wsp:rsid wsp:val=&quot;0012201F&quot;/&gt;&lt;wsp:rsid wsp:val=&quot;00122278&quot;/&gt;&lt;wsp:rsid wsp:val=&quot;00122744&quot;/&gt;&lt;wsp:rsid wsp:val=&quot;00122D23&quot;/&gt;&lt;wsp:rsid wsp:val=&quot;0012334E&quot;/&gt;&lt;wsp:rsid wsp:val=&quot;00123601&quot;/&gt;&lt;wsp:rsid wsp:val=&quot;0012404A&quot;/&gt;&lt;wsp:rsid wsp:val=&quot;00124829&quot;/&gt;&lt;wsp:rsid wsp:val=&quot;00125444&quot;/&gt;&lt;wsp:rsid wsp:val=&quot;001257C2&quot;/&gt;&lt;wsp:rsid wsp:val=&quot;00125ADE&quot;/&gt;&lt;wsp:rsid wsp:val=&quot;00125AF6&quot;/&gt;&lt;wsp:rsid wsp:val=&quot;00125BD2&quot;/&gt;&lt;wsp:rsid wsp:val=&quot;00125E06&quot;/&gt;&lt;wsp:rsid wsp:val=&quot;00125F5A&quot;/&gt;&lt;wsp:rsid wsp:val=&quot;001263C0&quot;/&gt;&lt;wsp:rsid wsp:val=&quot;00126789&quot;/&gt;&lt;wsp:rsid wsp:val=&quot;0012684E&quot;/&gt;&lt;wsp:rsid wsp:val=&quot;00126C59&quot;/&gt;&lt;wsp:rsid wsp:val=&quot;00127975&quot;/&gt;&lt;wsp:rsid wsp:val=&quot;00127CF8&quot;/&gt;&lt;wsp:rsid wsp:val=&quot;00127DAD&quot;/&gt;&lt;wsp:rsid wsp:val=&quot;00127E99&quot;/&gt;&lt;wsp:rsid wsp:val=&quot;00127EF0&quot;/&gt;&lt;wsp:rsid wsp:val=&quot;00127F11&quot;/&gt;&lt;wsp:rsid wsp:val=&quot;00130120&quot;/&gt;&lt;wsp:rsid wsp:val=&quot;00130190&quot;/&gt;&lt;wsp:rsid wsp:val=&quot;0013019D&quot;/&gt;&lt;wsp:rsid wsp:val=&quot;001302B3&quot;/&gt;&lt;wsp:rsid wsp:val=&quot;001314D8&quot;/&gt;&lt;wsp:rsid wsp:val=&quot;0013166B&quot;/&gt;&lt;wsp:rsid wsp:val=&quot;00131850&quot;/&gt;&lt;wsp:rsid wsp:val=&quot;0013199B&quot;/&gt;&lt;wsp:rsid wsp:val=&quot;00131A5B&quot;/&gt;&lt;wsp:rsid wsp:val=&quot;00131F55&quot;/&gt;&lt;wsp:rsid wsp:val=&quot;00132714&quot;/&gt;&lt;wsp:rsid wsp:val=&quot;00132833&quot;/&gt;&lt;wsp:rsid wsp:val=&quot;00132A30&quot;/&gt;&lt;wsp:rsid wsp:val=&quot;00132D20&quot;/&gt;&lt;wsp:rsid wsp:val=&quot;001330DD&quot;/&gt;&lt;wsp:rsid wsp:val=&quot;00133A36&quot;/&gt;&lt;wsp:rsid wsp:val=&quot;00133A73&quot;/&gt;&lt;wsp:rsid wsp:val=&quot;00133AC4&quot;/&gt;&lt;wsp:rsid wsp:val=&quot;00133B58&quot;/&gt;&lt;wsp:rsid wsp:val=&quot;00134591&quot;/&gt;&lt;wsp:rsid wsp:val=&quot;001347D7&quot;/&gt;&lt;wsp:rsid wsp:val=&quot;0013485E&quot;/&gt;&lt;wsp:rsid wsp:val=&quot;00135340&quot;/&gt;&lt;wsp:rsid wsp:val=&quot;00136214&quot;/&gt;&lt;wsp:rsid wsp:val=&quot;00136711&quot;/&gt;&lt;wsp:rsid wsp:val=&quot;00136C3F&quot;/&gt;&lt;wsp:rsid wsp:val=&quot;001373C8&quot;/&gt;&lt;wsp:rsid wsp:val=&quot;00137481&quot;/&gt;&lt;wsp:rsid wsp:val=&quot;00140249&quot;/&gt;&lt;wsp:rsid wsp:val=&quot;00140A69&quot;/&gt;&lt;wsp:rsid wsp:val=&quot;00140D48&quot;/&gt;&lt;wsp:rsid wsp:val=&quot;001413A0&quot;/&gt;&lt;wsp:rsid wsp:val=&quot;001419C9&quot;/&gt;&lt;wsp:rsid wsp:val=&quot;00141A18&quot;/&gt;&lt;wsp:rsid wsp:val=&quot;00141B17&quot;/&gt;&lt;wsp:rsid wsp:val=&quot;00141BFF&quot;/&gt;&lt;wsp:rsid wsp:val=&quot;00141C46&quot;/&gt;&lt;wsp:rsid wsp:val=&quot;001426D9&quot;/&gt;&lt;wsp:rsid wsp:val=&quot;001427EA&quot;/&gt;&lt;wsp:rsid wsp:val=&quot;00142AC7&quot;/&gt;&lt;wsp:rsid wsp:val=&quot;0014306E&quot;/&gt;&lt;wsp:rsid wsp:val=&quot;00143F31&quot;/&gt;&lt;wsp:rsid wsp:val=&quot;00143F9A&quot;/&gt;&lt;wsp:rsid wsp:val=&quot;00144201&quot;/&gt;&lt;wsp:rsid wsp:val=&quot;0014458D&quot;/&gt;&lt;wsp:rsid wsp:val=&quot;00144CEC&quot;/&gt;&lt;wsp:rsid wsp:val=&quot;001453AC&quot;/&gt;&lt;wsp:rsid wsp:val=&quot;00145B32&quot;/&gt;&lt;wsp:rsid wsp:val=&quot;00145C18&quot;/&gt;&lt;wsp:rsid wsp:val=&quot;00145C56&quot;/&gt;&lt;wsp:rsid wsp:val=&quot;00145C82&quot;/&gt;&lt;wsp:rsid wsp:val=&quot;001467B8&quot;/&gt;&lt;wsp:rsid wsp:val=&quot;001468C0&quot;/&gt;&lt;wsp:rsid wsp:val=&quot;00147444&quot;/&gt;&lt;wsp:rsid wsp:val=&quot;001478D8&quot;/&gt;&lt;wsp:rsid wsp:val=&quot;00147E0D&quot;/&gt;&lt;wsp:rsid wsp:val=&quot;00147FC2&quot;/&gt;&lt;wsp:rsid wsp:val=&quot;00150833&quot;/&gt;&lt;wsp:rsid wsp:val=&quot;00152A42&quot;/&gt;&lt;wsp:rsid wsp:val=&quot;0015325B&quot;/&gt;&lt;wsp:rsid wsp:val=&quot;00153FC1&quot;/&gt;&lt;wsp:rsid wsp:val=&quot;00154067&quot;/&gt;&lt;wsp:rsid wsp:val=&quot;0015438C&quot;/&gt;&lt;wsp:rsid wsp:val=&quot;00154830&quot;/&gt;&lt;wsp:rsid wsp:val=&quot;00154D75&quot;/&gt;&lt;wsp:rsid wsp:val=&quot;0015602C&quot;/&gt;&lt;wsp:rsid wsp:val=&quot;0015638D&quot;/&gt;&lt;wsp:rsid wsp:val=&quot;001563E7&quot;/&gt;&lt;wsp:rsid wsp:val=&quot;00156902&quot;/&gt;&lt;wsp:rsid wsp:val=&quot;00156E56&quot;/&gt;&lt;wsp:rsid wsp:val=&quot;00156EC2&quot;/&gt;&lt;wsp:rsid wsp:val=&quot;0015704F&quot;/&gt;&lt;wsp:rsid wsp:val=&quot;001574C4&quot;/&gt;&lt;wsp:rsid wsp:val=&quot;00157569&quot;/&gt;&lt;wsp:rsid wsp:val=&quot;0015759B&quot;/&gt;&lt;wsp:rsid wsp:val=&quot;00157C14&quot;/&gt;&lt;wsp:rsid wsp:val=&quot;00157CA8&quot;/&gt;&lt;wsp:rsid wsp:val=&quot;00160CD4&quot;/&gt;&lt;wsp:rsid wsp:val=&quot;00160FB2&quot;/&gt;&lt;wsp:rsid wsp:val=&quot;001610AE&quot;/&gt;&lt;wsp:rsid wsp:val=&quot;00161770&quot;/&gt;&lt;wsp:rsid wsp:val=&quot;00161B2E&quot;/&gt;&lt;wsp:rsid wsp:val=&quot;00161E44&quot;/&gt;&lt;wsp:rsid wsp:val=&quot;001620F1&quot;/&gt;&lt;wsp:rsid wsp:val=&quot;001621F9&quot;/&gt;&lt;wsp:rsid wsp:val=&quot;00162BCF&quot;/&gt;&lt;wsp:rsid wsp:val=&quot;00163148&quot;/&gt;&lt;wsp:rsid wsp:val=&quot;00163B68&quot;/&gt;&lt;wsp:rsid wsp:val=&quot;00163F27&quot;/&gt;&lt;wsp:rsid wsp:val=&quot;001645AC&quot;/&gt;&lt;wsp:rsid wsp:val=&quot;0016475D&quot;/&gt;&lt;wsp:rsid wsp:val=&quot;00164BA4&quot;/&gt;&lt;wsp:rsid wsp:val=&quot;00164F30&quot;/&gt;&lt;wsp:rsid wsp:val=&quot;001651F8&quot;/&gt;&lt;wsp:rsid wsp:val=&quot;001658B0&quot;/&gt;&lt;wsp:rsid wsp:val=&quot;00165D04&quot;/&gt;&lt;wsp:rsid wsp:val=&quot;00166253&quot;/&gt;&lt;wsp:rsid wsp:val=&quot;00166384&quot;/&gt;&lt;wsp:rsid wsp:val=&quot;00166792&quot;/&gt;&lt;wsp:rsid wsp:val=&quot;0016693B&quot;/&gt;&lt;wsp:rsid wsp:val=&quot;00166DB8&quot;/&gt;&lt;wsp:rsid wsp:val=&quot;00166DFE&quot;/&gt;&lt;wsp:rsid wsp:val=&quot;00166F1A&quot;/&gt;&lt;wsp:rsid wsp:val=&quot;00166FD2&quot;/&gt;&lt;wsp:rsid wsp:val=&quot;0016712D&quot;/&gt;&lt;wsp:rsid wsp:val=&quot;001707FB&quot;/&gt;&lt;wsp:rsid wsp:val=&quot;00170844&quot;/&gt;&lt;wsp:rsid wsp:val=&quot;0017109E&quot;/&gt;&lt;wsp:rsid wsp:val=&quot;0017110B&quot;/&gt;&lt;wsp:rsid wsp:val=&quot;0017111C&quot;/&gt;&lt;wsp:rsid wsp:val=&quot;00171639&quot;/&gt;&lt;wsp:rsid wsp:val=&quot;00171815&quot;/&gt;&lt;wsp:rsid wsp:val=&quot;00171879&quot;/&gt;&lt;wsp:rsid wsp:val=&quot;0017236A&quot;/&gt;&lt;wsp:rsid wsp:val=&quot;00172373&quot;/&gt;&lt;wsp:rsid wsp:val=&quot;0017304A&quot;/&gt;&lt;wsp:rsid wsp:val=&quot;00173832&quot;/&gt;&lt;wsp:rsid wsp:val=&quot;00174EC9&quot;/&gt;&lt;wsp:rsid wsp:val=&quot;00175131&quot;/&gt;&lt;wsp:rsid wsp:val=&quot;0017555E&quot;/&gt;&lt;wsp:rsid wsp:val=&quot;00175B7D&quot;/&gt;&lt;wsp:rsid wsp:val=&quot;00175F2E&quot;/&gt;&lt;wsp:rsid wsp:val=&quot;0017604D&quot;/&gt;&lt;wsp:rsid wsp:val=&quot;001760AA&quot;/&gt;&lt;wsp:rsid wsp:val=&quot;00176270&quot;/&gt;&lt;wsp:rsid wsp:val=&quot;00176428&quot;/&gt;&lt;wsp:rsid wsp:val=&quot;00176566&quot;/&gt;&lt;wsp:rsid wsp:val=&quot;00176876&quot;/&gt;&lt;wsp:rsid wsp:val=&quot;00176930&quot;/&gt;&lt;wsp:rsid wsp:val=&quot;00176B28&quot;/&gt;&lt;wsp:rsid wsp:val=&quot;00176D23&quot;/&gt;&lt;wsp:rsid wsp:val=&quot;00177447&quot;/&gt;&lt;wsp:rsid wsp:val=&quot;001775EB&quot;/&gt;&lt;wsp:rsid wsp:val=&quot;001776CD&quot;/&gt;&lt;wsp:rsid wsp:val=&quot;00177921&quot;/&gt;&lt;wsp:rsid wsp:val=&quot;00177AA2&quot;/&gt;&lt;wsp:rsid wsp:val=&quot;00180353&quot;/&gt;&lt;wsp:rsid wsp:val=&quot;001805A1&quot;/&gt;&lt;wsp:rsid wsp:val=&quot;00180634&quot;/&gt;&lt;wsp:rsid wsp:val=&quot;0018074A&quot;/&gt;&lt;wsp:rsid wsp:val=&quot;00180BD8&quot;/&gt;&lt;wsp:rsid wsp:val=&quot;001816DA&quot;/&gt;&lt;wsp:rsid wsp:val=&quot;001816F5&quot;/&gt;&lt;wsp:rsid wsp:val=&quot;00181BD1&quot;/&gt;&lt;wsp:rsid wsp:val=&quot;00181CEB&quot;/&gt;&lt;wsp:rsid wsp:val=&quot;0018270D&quot;/&gt;&lt;wsp:rsid wsp:val=&quot;00182A99&quot;/&gt;&lt;wsp:rsid wsp:val=&quot;00182D0B&quot;/&gt;&lt;wsp:rsid wsp:val=&quot;00182D84&quot;/&gt;&lt;wsp:rsid wsp:val=&quot;00182FD2&quot;/&gt;&lt;wsp:rsid wsp:val=&quot;00183041&quot;/&gt;&lt;wsp:rsid wsp:val=&quot;00183289&quot;/&gt;&lt;wsp:rsid wsp:val=&quot;00183380&quot;/&gt;&lt;wsp:rsid wsp:val=&quot;0018362B&quot;/&gt;&lt;wsp:rsid wsp:val=&quot;0018379D&quot;/&gt;&lt;wsp:rsid wsp:val=&quot;001841C8&quot;/&gt;&lt;wsp:rsid wsp:val=&quot;00184522&quot;/&gt;&lt;wsp:rsid wsp:val=&quot;001847F2&quot;/&gt;&lt;wsp:rsid wsp:val=&quot;00184B1C&quot;/&gt;&lt;wsp:rsid wsp:val=&quot;001852A7&quot;/&gt;&lt;wsp:rsid wsp:val=&quot;001854AD&quot;/&gt;&lt;wsp:rsid wsp:val=&quot;00185ECC&quot;/&gt;&lt;wsp:rsid wsp:val=&quot;001863F1&quot;/&gt;&lt;wsp:rsid wsp:val=&quot;001867B2&quot;/&gt;&lt;wsp:rsid wsp:val=&quot;00186CEC&quot;/&gt;&lt;wsp:rsid wsp:val=&quot;00186FBA&quot;/&gt;&lt;wsp:rsid wsp:val=&quot;00187062&quot;/&gt;&lt;wsp:rsid wsp:val=&quot;00187718&quot;/&gt;&lt;wsp:rsid wsp:val=&quot;00187B9A&quot;/&gt;&lt;wsp:rsid wsp:val=&quot;001907A7&quot;/&gt;&lt;wsp:rsid wsp:val=&quot;00190F9E&quot;/&gt;&lt;wsp:rsid wsp:val=&quot;00191821&quot;/&gt;&lt;wsp:rsid wsp:val=&quot;00191B06&quot;/&gt;&lt;wsp:rsid wsp:val=&quot;00192CE3&quot;/&gt;&lt;wsp:rsid wsp:val=&quot;00193097&quot;/&gt;&lt;wsp:rsid wsp:val=&quot;001936CA&quot;/&gt;&lt;wsp:rsid wsp:val=&quot;00193DE0&quot;/&gt;&lt;wsp:rsid wsp:val=&quot;0019435B&quot;/&gt;&lt;wsp:rsid wsp:val=&quot;001948C3&quot;/&gt;&lt;wsp:rsid wsp:val=&quot;001949FF&quot;/&gt;&lt;wsp:rsid wsp:val=&quot;0019502B&quot;/&gt;&lt;wsp:rsid wsp:val=&quot;00195167&quot;/&gt;&lt;wsp:rsid wsp:val=&quot;001954D7&quot;/&gt;&lt;wsp:rsid wsp:val=&quot;0019641F&quot;/&gt;&lt;wsp:rsid wsp:val=&quot;00196C1F&quot;/&gt;&lt;wsp:rsid wsp:val=&quot;00196F2C&quot;/&gt;&lt;wsp:rsid wsp:val=&quot;00197002&quot;/&gt;&lt;wsp:rsid wsp:val=&quot;001A08F5&quot;/&gt;&lt;wsp:rsid wsp:val=&quot;001A0E79&quot;/&gt;&lt;wsp:rsid wsp:val=&quot;001A0EFE&quot;/&gt;&lt;wsp:rsid wsp:val=&quot;001A1369&quot;/&gt;&lt;wsp:rsid wsp:val=&quot;001A1A5C&quot;/&gt;&lt;wsp:rsid wsp:val=&quot;001A1A9A&quot;/&gt;&lt;wsp:rsid wsp:val=&quot;001A1BE3&quot;/&gt;&lt;wsp:rsid wsp:val=&quot;001A1D3B&quot;/&gt;&lt;wsp:rsid wsp:val=&quot;001A2599&quot;/&gt;&lt;wsp:rsid wsp:val=&quot;001A2903&quot;/&gt;&lt;wsp:rsid wsp:val=&quot;001A2D51&quot;/&gt;&lt;wsp:rsid wsp:val=&quot;001A316F&quot;/&gt;&lt;wsp:rsid wsp:val=&quot;001A358C&quot;/&gt;&lt;wsp:rsid wsp:val=&quot;001A376B&quot;/&gt;&lt;wsp:rsid wsp:val=&quot;001A38EC&quot;/&gt;&lt;wsp:rsid wsp:val=&quot;001A3A44&quot;/&gt;&lt;wsp:rsid wsp:val=&quot;001A3AF9&quot;/&gt;&lt;wsp:rsid wsp:val=&quot;001A3D03&quot;/&gt;&lt;wsp:rsid wsp:val=&quot;001A4018&quot;/&gt;&lt;wsp:rsid wsp:val=&quot;001A4998&quot;/&gt;&lt;wsp:rsid wsp:val=&quot;001A4A71&quot;/&gt;&lt;wsp:rsid wsp:val=&quot;001A4DE8&quot;/&gt;&lt;wsp:rsid wsp:val=&quot;001A4EE8&quot;/&gt;&lt;wsp:rsid wsp:val=&quot;001A5C77&quot;/&gt;&lt;wsp:rsid wsp:val=&quot;001A5DEE&quot;/&gt;&lt;wsp:rsid wsp:val=&quot;001A6457&quot;/&gt;&lt;wsp:rsid wsp:val=&quot;001A6969&quot;/&gt;&lt;wsp:rsid wsp:val=&quot;001A6F28&quot;/&gt;&lt;wsp:rsid wsp:val=&quot;001A7ACC&quot;/&gt;&lt;wsp:rsid wsp:val=&quot;001A7B31&quot;/&gt;&lt;wsp:rsid wsp:val=&quot;001A7C27&quot;/&gt;&lt;wsp:rsid wsp:val=&quot;001B0646&quot;/&gt;&lt;wsp:rsid wsp:val=&quot;001B11EF&quot;/&gt;&lt;wsp:rsid wsp:val=&quot;001B1435&quot;/&gt;&lt;wsp:rsid wsp:val=&quot;001B183F&quot;/&gt;&lt;wsp:rsid wsp:val=&quot;001B1961&quot;/&gt;&lt;wsp:rsid wsp:val=&quot;001B1976&quot;/&gt;&lt;wsp:rsid wsp:val=&quot;001B1D63&quot;/&gt;&lt;wsp:rsid wsp:val=&quot;001B2396&quot;/&gt;&lt;wsp:rsid wsp:val=&quot;001B2D6F&quot;/&gt;&lt;wsp:rsid wsp:val=&quot;001B3103&quot;/&gt;&lt;wsp:rsid wsp:val=&quot;001B3671&quot;/&gt;&lt;wsp:rsid wsp:val=&quot;001B3910&quot;/&gt;&lt;wsp:rsid wsp:val=&quot;001B3AFF&quot;/&gt;&lt;wsp:rsid wsp:val=&quot;001B3E4A&quot;/&gt;&lt;wsp:rsid wsp:val=&quot;001B490C&quot;/&gt;&lt;wsp:rsid wsp:val=&quot;001B49DB&quot;/&gt;&lt;wsp:rsid wsp:val=&quot;001B57D1&quot;/&gt;&lt;wsp:rsid wsp:val=&quot;001B59E7&quot;/&gt;&lt;wsp:rsid wsp:val=&quot;001B5A3C&quot;/&gt;&lt;wsp:rsid wsp:val=&quot;001B6367&quot;/&gt;&lt;wsp:rsid wsp:val=&quot;001B6FDE&quot;/&gt;&lt;wsp:rsid wsp:val=&quot;001B751F&quot;/&gt;&lt;wsp:rsid wsp:val=&quot;001B7550&quot;/&gt;&lt;wsp:rsid wsp:val=&quot;001B7976&quot;/&gt;&lt;wsp:rsid wsp:val=&quot;001C08A0&quot;/&gt;&lt;wsp:rsid wsp:val=&quot;001C0ACA&quot;/&gt;&lt;wsp:rsid wsp:val=&quot;001C0C7C&quot;/&gt;&lt;wsp:rsid wsp:val=&quot;001C0CB0&quot;/&gt;&lt;wsp:rsid wsp:val=&quot;001C11F4&quot;/&gt;&lt;wsp:rsid wsp:val=&quot;001C14F3&quot;/&gt;&lt;wsp:rsid wsp:val=&quot;001C18C0&quot;/&gt;&lt;wsp:rsid wsp:val=&quot;001C18EC&quot;/&gt;&lt;wsp:rsid wsp:val=&quot;001C259C&quot;/&gt;&lt;wsp:rsid wsp:val=&quot;001C289A&quot;/&gt;&lt;wsp:rsid wsp:val=&quot;001C2E80&quot;/&gt;&lt;wsp:rsid wsp:val=&quot;001C310B&quot;/&gt;&lt;wsp:rsid wsp:val=&quot;001C3335&quot;/&gt;&lt;wsp:rsid wsp:val=&quot;001C3A9C&quot;/&gt;&lt;wsp:rsid wsp:val=&quot;001C3DC3&quot;/&gt;&lt;wsp:rsid wsp:val=&quot;001C4377&quot;/&gt;&lt;wsp:rsid wsp:val=&quot;001C47EC&quot;/&gt;&lt;wsp:rsid wsp:val=&quot;001C4BDE&quot;/&gt;&lt;wsp:rsid wsp:val=&quot;001C4D95&quot;/&gt;&lt;wsp:rsid wsp:val=&quot;001C4E19&quot;/&gt;&lt;wsp:rsid wsp:val=&quot;001C511E&quot;/&gt;&lt;wsp:rsid wsp:val=&quot;001C5470&quot;/&gt;&lt;wsp:rsid wsp:val=&quot;001C605A&quot;/&gt;&lt;wsp:rsid wsp:val=&quot;001C6274&quot;/&gt;&lt;wsp:rsid wsp:val=&quot;001C65A9&quot;/&gt;&lt;wsp:rsid wsp:val=&quot;001C6CB1&quot;/&gt;&lt;wsp:rsid wsp:val=&quot;001C6EC0&quot;/&gt;&lt;wsp:rsid wsp:val=&quot;001C7102&quot;/&gt;&lt;wsp:rsid wsp:val=&quot;001C73E7&quot;/&gt;&lt;wsp:rsid wsp:val=&quot;001C7475&quot;/&gt;&lt;wsp:rsid wsp:val=&quot;001C74A3&quot;/&gt;&lt;wsp:rsid wsp:val=&quot;001D005A&quot;/&gt;&lt;wsp:rsid wsp:val=&quot;001D0516&quot;/&gt;&lt;wsp:rsid wsp:val=&quot;001D0AA7&quot;/&gt;&lt;wsp:rsid wsp:val=&quot;001D0CC6&quot;/&gt;&lt;wsp:rsid wsp:val=&quot;001D1299&quot;/&gt;&lt;wsp:rsid wsp:val=&quot;001D14E5&quot;/&gt;&lt;wsp:rsid wsp:val=&quot;001D15AC&quot;/&gt;&lt;wsp:rsid wsp:val=&quot;001D162D&quot;/&gt;&lt;wsp:rsid wsp:val=&quot;001D197B&quot;/&gt;&lt;wsp:rsid wsp:val=&quot;001D1C19&quot;/&gt;&lt;wsp:rsid wsp:val=&quot;001D1CB4&quot;/&gt;&lt;wsp:rsid wsp:val=&quot;001D2A08&quot;/&gt;&lt;wsp:rsid wsp:val=&quot;001D3457&quot;/&gt;&lt;wsp:rsid wsp:val=&quot;001D3E3D&quot;/&gt;&lt;wsp:rsid wsp:val=&quot;001D3F73&quot;/&gt;&lt;wsp:rsid wsp:val=&quot;001D4129&quot;/&gt;&lt;wsp:rsid wsp:val=&quot;001D4498&quot;/&gt;&lt;wsp:rsid wsp:val=&quot;001D4BDC&quot;/&gt;&lt;wsp:rsid wsp:val=&quot;001D56B7&quot;/&gt;&lt;wsp:rsid wsp:val=&quot;001D6010&quot;/&gt;&lt;wsp:rsid wsp:val=&quot;001D6186&quot;/&gt;&lt;wsp:rsid wsp:val=&quot;001D638F&quot;/&gt;&lt;wsp:rsid wsp:val=&quot;001D668A&quot;/&gt;&lt;wsp:rsid wsp:val=&quot;001D6724&quot;/&gt;&lt;wsp:rsid wsp:val=&quot;001D6803&quot;/&gt;&lt;wsp:rsid wsp:val=&quot;001D6C57&quot;/&gt;&lt;wsp:rsid wsp:val=&quot;001D7BAD&quot;/&gt;&lt;wsp:rsid wsp:val=&quot;001D7D45&quot;/&gt;&lt;wsp:rsid wsp:val=&quot;001E0952&quot;/&gt;&lt;wsp:rsid wsp:val=&quot;001E0D4B&quot;/&gt;&lt;wsp:rsid wsp:val=&quot;001E0FDF&quot;/&gt;&lt;wsp:rsid wsp:val=&quot;001E129D&quot;/&gt;&lt;wsp:rsid wsp:val=&quot;001E148A&quot;/&gt;&lt;wsp:rsid wsp:val=&quot;001E17FA&quot;/&gt;&lt;wsp:rsid wsp:val=&quot;001E1BB6&quot;/&gt;&lt;wsp:rsid wsp:val=&quot;001E1D02&quot;/&gt;&lt;wsp:rsid wsp:val=&quot;001E1DCF&quot;/&gt;&lt;wsp:rsid wsp:val=&quot;001E2259&quot;/&gt;&lt;wsp:rsid wsp:val=&quot;001E28DD&quot;/&gt;&lt;wsp:rsid wsp:val=&quot;001E2A9E&quot;/&gt;&lt;wsp:rsid wsp:val=&quot;001E31E9&quot;/&gt;&lt;wsp:rsid wsp:val=&quot;001E3338&quot;/&gt;&lt;wsp:rsid wsp:val=&quot;001E35AA&quot;/&gt;&lt;wsp:rsid wsp:val=&quot;001E39FA&quot;/&gt;&lt;wsp:rsid wsp:val=&quot;001E434F&quot;/&gt;&lt;wsp:rsid wsp:val=&quot;001E455A&quot;/&gt;&lt;wsp:rsid wsp:val=&quot;001E5616&quot;/&gt;&lt;wsp:rsid wsp:val=&quot;001E56E1&quot;/&gt;&lt;wsp:rsid wsp:val=&quot;001E5900&quot;/&gt;&lt;wsp:rsid wsp:val=&quot;001E5A4D&quot;/&gt;&lt;wsp:rsid wsp:val=&quot;001E6893&quot;/&gt;&lt;wsp:rsid wsp:val=&quot;001E6F86&quot;/&gt;&lt;wsp:rsid wsp:val=&quot;001E7005&quot;/&gt;&lt;wsp:rsid wsp:val=&quot;001E70BE&quot;/&gt;&lt;wsp:rsid wsp:val=&quot;001E71E7&quot;/&gt;&lt;wsp:rsid wsp:val=&quot;001E744E&quot;/&gt;&lt;wsp:rsid wsp:val=&quot;001E77A7&quot;/&gt;&lt;wsp:rsid wsp:val=&quot;001E797B&quot;/&gt;&lt;wsp:rsid wsp:val=&quot;001E7A2B&quot;/&gt;&lt;wsp:rsid wsp:val=&quot;001E7C32&quot;/&gt;&lt;wsp:rsid wsp:val=&quot;001E7D25&quot;/&gt;&lt;wsp:rsid wsp:val=&quot;001E7DAB&quot;/&gt;&lt;wsp:rsid wsp:val=&quot;001E7E25&quot;/&gt;&lt;wsp:rsid wsp:val=&quot;001F03AC&quot;/&gt;&lt;wsp:rsid wsp:val=&quot;001F095B&quot;/&gt;&lt;wsp:rsid wsp:val=&quot;001F10B3&quot;/&gt;&lt;wsp:rsid wsp:val=&quot;001F1254&quot;/&gt;&lt;wsp:rsid wsp:val=&quot;001F1F4B&quot;/&gt;&lt;wsp:rsid wsp:val=&quot;001F211E&quot;/&gt;&lt;wsp:rsid wsp:val=&quot;001F24D7&quot;/&gt;&lt;wsp:rsid wsp:val=&quot;001F2C04&quot;/&gt;&lt;wsp:rsid wsp:val=&quot;001F2D53&quot;/&gt;&lt;wsp:rsid wsp:val=&quot;001F2D7C&quot;/&gt;&lt;wsp:rsid wsp:val=&quot;001F3425&quot;/&gt;&lt;wsp:rsid wsp:val=&quot;001F4384&quot;/&gt;&lt;wsp:rsid wsp:val=&quot;001F5C45&quot;/&gt;&lt;wsp:rsid wsp:val=&quot;001F6076&quot;/&gt;&lt;wsp:rsid wsp:val=&quot;001F7196&quot;/&gt;&lt;wsp:rsid wsp:val=&quot;001F7E06&quot;/&gt;&lt;wsp:rsid wsp:val=&quot;001F7EF9&quot;/&gt;&lt;wsp:rsid wsp:val=&quot;00200033&quot;/&gt;&lt;wsp:rsid wsp:val=&quot;00200234&quot;/&gt;&lt;wsp:rsid wsp:val=&quot;002017FD&quot;/&gt;&lt;wsp:rsid wsp:val=&quot;002018A0&quot;/&gt;&lt;wsp:rsid wsp:val=&quot;00201D6D&quot;/&gt;&lt;wsp:rsid wsp:val=&quot;002022AA&quot;/&gt;&lt;wsp:rsid wsp:val=&quot;00202341&quot;/&gt;&lt;wsp:rsid wsp:val=&quot;002034E4&quot;/&gt;&lt;wsp:rsid wsp:val=&quot;00203873&quot;/&gt;&lt;wsp:rsid wsp:val=&quot;0020391F&quot;/&gt;&lt;wsp:rsid wsp:val=&quot;00203E6F&quot;/&gt;&lt;wsp:rsid wsp:val=&quot;00204572&quot;/&gt;&lt;wsp:rsid wsp:val=&quot;00204F2D&quot;/&gt;&lt;wsp:rsid wsp:val=&quot;00205188&quot;/&gt;&lt;wsp:rsid wsp:val=&quot;00205705&quot;/&gt;&lt;wsp:rsid wsp:val=&quot;00205F49&quot;/&gt;&lt;wsp:rsid wsp:val=&quot;00206143&quot;/&gt;&lt;wsp:rsid wsp:val=&quot;002062AB&quot;/&gt;&lt;wsp:rsid wsp:val=&quot;002064CF&quot;/&gt;&lt;wsp:rsid wsp:val=&quot;00206A32&quot;/&gt;&lt;wsp:rsid wsp:val=&quot;002072C2&quot;/&gt;&lt;wsp:rsid wsp:val=&quot;002076E3&quot;/&gt;&lt;wsp:rsid wsp:val=&quot;002077BC&quot;/&gt;&lt;wsp:rsid wsp:val=&quot;0021042C&quot;/&gt;&lt;wsp:rsid wsp:val=&quot;0021159D&quot;/&gt;&lt;wsp:rsid wsp:val=&quot;002119F7&quot;/&gt;&lt;wsp:rsid wsp:val=&quot;00212203&quot;/&gt;&lt;wsp:rsid wsp:val=&quot;002127F9&quot;/&gt;&lt;wsp:rsid wsp:val=&quot;002129A2&quot;/&gt;&lt;wsp:rsid wsp:val=&quot;00212D08&quot;/&gt;&lt;wsp:rsid wsp:val=&quot;00212EB1&quot;/&gt;&lt;wsp:rsid wsp:val=&quot;00212F70&quot;/&gt;&lt;wsp:rsid wsp:val=&quot;00212FD5&quot;/&gt;&lt;wsp:rsid wsp:val=&quot;002131DC&quot;/&gt;&lt;wsp:rsid wsp:val=&quot;00213AA3&quot;/&gt;&lt;wsp:rsid wsp:val=&quot;00213F70&quot;/&gt;&lt;wsp:rsid wsp:val=&quot;002143BC&quot;/&gt;&lt;wsp:rsid wsp:val=&quot;002144AB&quot;/&gt;&lt;wsp:rsid wsp:val=&quot;00214945&quot;/&gt;&lt;wsp:rsid wsp:val=&quot;00215010&quot;/&gt;&lt;wsp:rsid wsp:val=&quot;00215752&quot;/&gt;&lt;wsp:rsid wsp:val=&quot;00215C88&quot;/&gt;&lt;wsp:rsid wsp:val=&quot;00215CE1&quot;/&gt;&lt;wsp:rsid wsp:val=&quot;00215F04&quot;/&gt;&lt;wsp:rsid wsp:val=&quot;002162EC&quot;/&gt;&lt;wsp:rsid wsp:val=&quot;002169DD&quot;/&gt;&lt;wsp:rsid wsp:val=&quot;002173D2&quot;/&gt;&lt;wsp:rsid wsp:val=&quot;0021774D&quot;/&gt;&lt;wsp:rsid wsp:val=&quot;00217C6A&quot;/&gt;&lt;wsp:rsid wsp:val=&quot;0022006B&quot;/&gt;&lt;wsp:rsid wsp:val=&quot;00220132&quot;/&gt;&lt;wsp:rsid wsp:val=&quot;00220C5D&quot;/&gt;&lt;wsp:rsid wsp:val=&quot;00220FC8&quot;/&gt;&lt;wsp:rsid wsp:val=&quot;00221237&quot;/&gt;&lt;wsp:rsid wsp:val=&quot;002212E5&quot;/&gt;&lt;wsp:rsid wsp:val=&quot;002213D1&quot;/&gt;&lt;wsp:rsid wsp:val=&quot;00221D43&quot;/&gt;&lt;wsp:rsid wsp:val=&quot;002223F8&quot;/&gt;&lt;wsp:rsid wsp:val=&quot;00222F7A&quot;/&gt;&lt;wsp:rsid wsp:val=&quot;00223130&quot;/&gt;&lt;wsp:rsid wsp:val=&quot;00223BC4&quot;/&gt;&lt;wsp:rsid wsp:val=&quot;00224E68&quot;/&gt;&lt;wsp:rsid wsp:val=&quot;00224E8E&quot;/&gt;&lt;wsp:rsid wsp:val=&quot;002251B0&quot;/&gt;&lt;wsp:rsid wsp:val=&quot;002255B3&quot;/&gt;&lt;wsp:rsid wsp:val=&quot;00225609&quot;/&gt;&lt;wsp:rsid wsp:val=&quot;00225889&quot;/&gt;&lt;wsp:rsid wsp:val=&quot;00225E3D&quot;/&gt;&lt;wsp:rsid wsp:val=&quot;0022668B&quot;/&gt;&lt;wsp:rsid wsp:val=&quot;002273FF&quot;/&gt;&lt;wsp:rsid wsp:val=&quot;0022775A&quot;/&gt;&lt;wsp:rsid wsp:val=&quot;0022795C&quot;/&gt;&lt;wsp:rsid wsp:val=&quot;00227E37&quot;/&gt;&lt;wsp:rsid wsp:val=&quot;00230449&quot;/&gt;&lt;wsp:rsid wsp:val=&quot;00230905&quot;/&gt;&lt;wsp:rsid wsp:val=&quot;00230956&quot;/&gt;&lt;wsp:rsid wsp:val=&quot;00230E17&quot;/&gt;&lt;wsp:rsid wsp:val=&quot;00231148&quot;/&gt;&lt;wsp:rsid wsp:val=&quot;0023117A&quot;/&gt;&lt;wsp:rsid wsp:val=&quot;00231675&quot;/&gt;&lt;wsp:rsid wsp:val=&quot;0023175C&quot;/&gt;&lt;wsp:rsid wsp:val=&quot;00231904&quot;/&gt;&lt;wsp:rsid wsp:val=&quot;00231D9C&quot;/&gt;&lt;wsp:rsid wsp:val=&quot;00231E6D&quot;/&gt;&lt;wsp:rsid wsp:val=&quot;00232157&quot;/&gt;&lt;wsp:rsid wsp:val=&quot;00232942&quot;/&gt;&lt;wsp:rsid wsp:val=&quot;00232C7F&quot;/&gt;&lt;wsp:rsid wsp:val=&quot;00232E7E&quot;/&gt;&lt;wsp:rsid wsp:val=&quot;00232FE6&quot;/&gt;&lt;wsp:rsid wsp:val=&quot;00233772&quot;/&gt;&lt;wsp:rsid wsp:val=&quot;002338EE&quot;/&gt;&lt;wsp:rsid wsp:val=&quot;00233911&quot;/&gt;&lt;wsp:rsid wsp:val=&quot;00234049&quot;/&gt;&lt;wsp:rsid wsp:val=&quot;002345AC&quot;/&gt;&lt;wsp:rsid wsp:val=&quot;002350C8&quot;/&gt;&lt;wsp:rsid wsp:val=&quot;00235572&quot;/&gt;&lt;wsp:rsid wsp:val=&quot;002355EC&quot;/&gt;&lt;wsp:rsid wsp:val=&quot;0023568C&quot;/&gt;&lt;wsp:rsid wsp:val=&quot;0023596A&quot;/&gt;&lt;wsp:rsid wsp:val=&quot;00235C60&quot;/&gt;&lt;wsp:rsid wsp:val=&quot;00236A0B&quot;/&gt;&lt;wsp:rsid wsp:val=&quot;002379ED&quot;/&gt;&lt;wsp:rsid wsp:val=&quot;00237ABC&quot;/&gt;&lt;wsp:rsid wsp:val=&quot;00237E12&quot;/&gt;&lt;wsp:rsid wsp:val=&quot;0024016E&quot;/&gt;&lt;wsp:rsid wsp:val=&quot;00240A11&quot;/&gt;&lt;wsp:rsid wsp:val=&quot;00240BA3&quot;/&gt;&lt;wsp:rsid wsp:val=&quot;00240CFC&quot;/&gt;&lt;wsp:rsid wsp:val=&quot;00240E9B&quot;/&gt;&lt;wsp:rsid wsp:val=&quot;0024158C&quot;/&gt;&lt;wsp:rsid wsp:val=&quot;002417D4&quot;/&gt;&lt;wsp:rsid wsp:val=&quot;00241829&quot;/&gt;&lt;wsp:rsid wsp:val=&quot;00241953&quot;/&gt;&lt;wsp:rsid wsp:val=&quot;00241ED4&quot;/&gt;&lt;wsp:rsid wsp:val=&quot;00242586&quot;/&gt;&lt;wsp:rsid wsp:val=&quot;00243133&quot;/&gt;&lt;wsp:rsid wsp:val=&quot;0024340C&quot;/&gt;&lt;wsp:rsid wsp:val=&quot;00244271&quot;/&gt;&lt;wsp:rsid wsp:val=&quot;00244325&quot;/&gt;&lt;wsp:rsid wsp:val=&quot;00244582&quot;/&gt;&lt;wsp:rsid wsp:val=&quot;00244D59&quot;/&gt;&lt;wsp:rsid wsp:val=&quot;00244EBA&quot;/&gt;&lt;wsp:rsid wsp:val=&quot;00245291&quot;/&gt;&lt;wsp:rsid wsp:val=&quot;002453BD&quot;/&gt;&lt;wsp:rsid wsp:val=&quot;002457E6&quot;/&gt;&lt;wsp:rsid wsp:val=&quot;00245BD2&quot;/&gt;&lt;wsp:rsid wsp:val=&quot;00246478&quot;/&gt;&lt;wsp:rsid wsp:val=&quot;00246869&quot;/&gt;&lt;wsp:rsid wsp:val=&quot;00246BE6&quot;/&gt;&lt;wsp:rsid wsp:val=&quot;00246CC6&quot;/&gt;&lt;wsp:rsid wsp:val=&quot;00247035&quot;/&gt;&lt;wsp:rsid wsp:val=&quot;0024749C&quot;/&gt;&lt;wsp:rsid wsp:val=&quot;00247927&quot;/&gt;&lt;wsp:rsid wsp:val=&quot;00247BB3&quot;/&gt;&lt;wsp:rsid wsp:val=&quot;00247D95&quot;/&gt;&lt;wsp:rsid wsp:val=&quot;00247E1E&quot;/&gt;&lt;wsp:rsid wsp:val=&quot;00250181&quot;/&gt;&lt;wsp:rsid wsp:val=&quot;0025018F&quot;/&gt;&lt;wsp:rsid wsp:val=&quot;0025038F&quot;/&gt;&lt;wsp:rsid wsp:val=&quot;002508CA&quot;/&gt;&lt;wsp:rsid wsp:val=&quot;00250A9A&quot;/&gt;&lt;wsp:rsid wsp:val=&quot;0025148F&quot;/&gt;&lt;wsp:rsid wsp:val=&quot;002515EE&quot;/&gt;&lt;wsp:rsid wsp:val=&quot;002516C6&quot;/&gt;&lt;wsp:rsid wsp:val=&quot;00251903&quot;/&gt;&lt;wsp:rsid wsp:val=&quot;00252222&quot;/&gt;&lt;wsp:rsid wsp:val=&quot;00252710&quot;/&gt;&lt;wsp:rsid wsp:val=&quot;00252E2C&quot;/&gt;&lt;wsp:rsid wsp:val=&quot;00253593&quot;/&gt;&lt;wsp:rsid wsp:val=&quot;00253774&quot;/&gt;&lt;wsp:rsid wsp:val=&quot;00253CAB&quot;/&gt;&lt;wsp:rsid wsp:val=&quot;002540E9&quot;/&gt;&lt;wsp:rsid wsp:val=&quot;002541E5&quot;/&gt;&lt;wsp:rsid wsp:val=&quot;002542D5&quot;/&gt;&lt;wsp:rsid wsp:val=&quot;0025475B&quot;/&gt;&lt;wsp:rsid wsp:val=&quot;00254A36&quot;/&gt;&lt;wsp:rsid wsp:val=&quot;00254A3F&quot;/&gt;&lt;wsp:rsid wsp:val=&quot;0025518A&quot;/&gt;&lt;wsp:rsid wsp:val=&quot;00255657&quot;/&gt;&lt;wsp:rsid wsp:val=&quot;0025576A&quot;/&gt;&lt;wsp:rsid wsp:val=&quot;00255C63&quot;/&gt;&lt;wsp:rsid wsp:val=&quot;00255E88&quot;/&gt;&lt;wsp:rsid wsp:val=&quot;0025675C&quot;/&gt;&lt;wsp:rsid wsp:val=&quot;002570AF&quot;/&gt;&lt;wsp:rsid wsp:val=&quot;0025737D&quot;/&gt;&lt;wsp:rsid wsp:val=&quot;0025786C&quot;/&gt;&lt;wsp:rsid wsp:val=&quot;00257C0C&quot;/&gt;&lt;wsp:rsid wsp:val=&quot;00257FCE&quot;/&gt;&lt;wsp:rsid wsp:val=&quot;00260483&quot;/&gt;&lt;wsp:rsid wsp:val=&quot;002609D2&quot;/&gt;&lt;wsp:rsid wsp:val=&quot;00260AEE&quot;/&gt;&lt;wsp:rsid wsp:val=&quot;0026107D&quot;/&gt;&lt;wsp:rsid wsp:val=&quot;0026176D&quot;/&gt;&lt;wsp:rsid wsp:val=&quot;002619D9&quot;/&gt;&lt;wsp:rsid wsp:val=&quot;002623D3&quot;/&gt;&lt;wsp:rsid wsp:val=&quot;00262BA6&quot;/&gt;&lt;wsp:rsid wsp:val=&quot;00263AAE&quot;/&gt;&lt;wsp:rsid wsp:val=&quot;00264452&quot;/&gt;&lt;wsp:rsid wsp:val=&quot;002647E7&quot;/&gt;&lt;wsp:rsid wsp:val=&quot;00265EC4&quot;/&gt;&lt;wsp:rsid wsp:val=&quot;00265EF8&quot;/&gt;&lt;wsp:rsid wsp:val=&quot;002665F7&quot;/&gt;&lt;wsp:rsid wsp:val=&quot;00266692&quot;/&gt;&lt;wsp:rsid wsp:val=&quot;002669C9&quot;/&gt;&lt;wsp:rsid wsp:val=&quot;0026752D&quot;/&gt;&lt;wsp:rsid wsp:val=&quot;0027049B&quot;/&gt;&lt;wsp:rsid wsp:val=&quot;00270595&quot;/&gt;&lt;wsp:rsid wsp:val=&quot;00270811&quot;/&gt;&lt;wsp:rsid wsp:val=&quot;00270B18&quot;/&gt;&lt;wsp:rsid wsp:val=&quot;00270E85&quot;/&gt;&lt;wsp:rsid wsp:val=&quot;002714FD&quot;/&gt;&lt;wsp:rsid wsp:val=&quot;00271757&quot;/&gt;&lt;wsp:rsid wsp:val=&quot;002717E6&quot;/&gt;&lt;wsp:rsid wsp:val=&quot;00271DFE&quot;/&gt;&lt;wsp:rsid wsp:val=&quot;00272147&quot;/&gt;&lt;wsp:rsid wsp:val=&quot;00272326&quot;/&gt;&lt;wsp:rsid wsp:val=&quot;00272E76&quot;/&gt;&lt;wsp:rsid wsp:val=&quot;00273295&quot;/&gt;&lt;wsp:rsid wsp:val=&quot;00273626&quot;/&gt;&lt;wsp:rsid wsp:val=&quot;00273B40&quot;/&gt;&lt;wsp:rsid wsp:val=&quot;00273CD3&quot;/&gt;&lt;wsp:rsid wsp:val=&quot;0027408F&quot;/&gt;&lt;wsp:rsid wsp:val=&quot;0027527A&quot;/&gt;&lt;wsp:rsid wsp:val=&quot;0027548A&quot;/&gt;&lt;wsp:rsid wsp:val=&quot;00275564&quot;/&gt;&lt;wsp:rsid wsp:val=&quot;0027586E&quot;/&gt;&lt;wsp:rsid wsp:val=&quot;00275C33&quot;/&gt;&lt;wsp:rsid wsp:val=&quot;00275FA8&quot;/&gt;&lt;wsp:rsid wsp:val=&quot;00276021&quot;/&gt;&lt;wsp:rsid wsp:val=&quot;0027650D&quot;/&gt;&lt;wsp:rsid wsp:val=&quot;00276517&quot;/&gt;&lt;wsp:rsid wsp:val=&quot;002765FD&quot;/&gt;&lt;wsp:rsid wsp:val=&quot;00276641&quot;/&gt;&lt;wsp:rsid wsp:val=&quot;00276A9C&quot;/&gt;&lt;wsp:rsid wsp:val=&quot;002774E4&quot;/&gt;&lt;wsp:rsid wsp:val=&quot;002776F3&quot;/&gt;&lt;wsp:rsid wsp:val=&quot;00277823&quot;/&gt;&lt;wsp:rsid wsp:val=&quot;00277930&quot;/&gt;&lt;wsp:rsid wsp:val=&quot;002779DE&quot;/&gt;&lt;wsp:rsid wsp:val=&quot;00277A86&quot;/&gt;&lt;wsp:rsid wsp:val=&quot;00277BD0&quot;/&gt;&lt;wsp:rsid wsp:val=&quot;00277D34&quot;/&gt;&lt;wsp:rsid wsp:val=&quot;00280135&quot;/&gt;&lt;wsp:rsid wsp:val=&quot;0028019A&quot;/&gt;&lt;wsp:rsid wsp:val=&quot;002803EF&quot;/&gt;&lt;wsp:rsid wsp:val=&quot;002806BB&quot;/&gt;&lt;wsp:rsid wsp:val=&quot;00281488&quot;/&gt;&lt;wsp:rsid wsp:val=&quot;002816EB&quot;/&gt;&lt;wsp:rsid wsp:val=&quot;0028180D&quot;/&gt;&lt;wsp:rsid wsp:val=&quot;002818A3&quot;/&gt;&lt;wsp:rsid wsp:val=&quot;00281918&quot;/&gt;&lt;wsp:rsid wsp:val=&quot;00281B5A&quot;/&gt;&lt;wsp:rsid wsp:val=&quot;00281F4A&quot;/&gt;&lt;wsp:rsid wsp:val=&quot;002825F7&quot;/&gt;&lt;wsp:rsid wsp:val=&quot;00282716&quot;/&gt;&lt;wsp:rsid wsp:val=&quot;00282E3B&quot;/&gt;&lt;wsp:rsid wsp:val=&quot;0028338E&quot;/&gt;&lt;wsp:rsid wsp:val=&quot;002838EE&quot;/&gt;&lt;wsp:rsid wsp:val=&quot;00283B58&quot;/&gt;&lt;wsp:rsid wsp:val=&quot;00283CA2&quot;/&gt;&lt;wsp:rsid wsp:val=&quot;00284F26&quot;/&gt;&lt;wsp:rsid wsp:val=&quot;00284FF3&quot;/&gt;&lt;wsp:rsid wsp:val=&quot;0028501F&quot;/&gt;&lt;wsp:rsid wsp:val=&quot;00285105&quot;/&gt;&lt;wsp:rsid wsp:val=&quot;002851A3&quot;/&gt;&lt;wsp:rsid wsp:val=&quot;00285949&quot;/&gt;&lt;wsp:rsid wsp:val=&quot;00285AB1&quot;/&gt;&lt;wsp:rsid wsp:val=&quot;0028605C&quot;/&gt;&lt;wsp:rsid wsp:val=&quot;002865B7&quot;/&gt;&lt;wsp:rsid wsp:val=&quot;002866D7&quot;/&gt;&lt;wsp:rsid wsp:val=&quot;00286D02&quot;/&gt;&lt;wsp:rsid wsp:val=&quot;00286D52&quot;/&gt;&lt;wsp:rsid wsp:val=&quot;00286E89&quot;/&gt;&lt;wsp:rsid wsp:val=&quot;002872DD&quot;/&gt;&lt;wsp:rsid wsp:val=&quot;0028765A&quot;/&gt;&lt;wsp:rsid wsp:val=&quot;00287829&quot;/&gt;&lt;wsp:rsid wsp:val=&quot;00290055&quot;/&gt;&lt;wsp:rsid wsp:val=&quot;00290F4B&quot;/&gt;&lt;wsp:rsid wsp:val=&quot;00291068&quot;/&gt;&lt;wsp:rsid wsp:val=&quot;00291229&quot;/&gt;&lt;wsp:rsid wsp:val=&quot;002914AE&quot;/&gt;&lt;wsp:rsid wsp:val=&quot;002916BE&quot;/&gt;&lt;wsp:rsid wsp:val=&quot;00291822&quot;/&gt;&lt;wsp:rsid wsp:val=&quot;00292033&quot;/&gt;&lt;wsp:rsid wsp:val=&quot;00292569&quot;/&gt;&lt;wsp:rsid wsp:val=&quot;002928EB&quot;/&gt;&lt;wsp:rsid wsp:val=&quot;00292CA3&quot;/&gt;&lt;wsp:rsid wsp:val=&quot;00292CDF&quot;/&gt;&lt;wsp:rsid wsp:val=&quot;00293011&quot;/&gt;&lt;wsp:rsid wsp:val=&quot;00294293&quot;/&gt;&lt;wsp:rsid wsp:val=&quot;002944CA&quot;/&gt;&lt;wsp:rsid wsp:val=&quot;00294774&quot;/&gt;&lt;wsp:rsid wsp:val=&quot;00294CE1&quot;/&gt;&lt;wsp:rsid wsp:val=&quot;00295988&quot;/&gt;&lt;wsp:rsid wsp:val=&quot;002970B9&quot;/&gt;&lt;wsp:rsid wsp:val=&quot;00297514&quot;/&gt;&lt;wsp:rsid wsp:val=&quot;002979B8&quot;/&gt;&lt;wsp:rsid wsp:val=&quot;00297B81&quot;/&gt;&lt;wsp:rsid wsp:val=&quot;002A0019&quot;/&gt;&lt;wsp:rsid wsp:val=&quot;002A013A&quot;/&gt;&lt;wsp:rsid wsp:val=&quot;002A0409&quot;/&gt;&lt;wsp:rsid wsp:val=&quot;002A09A3&quot;/&gt;&lt;wsp:rsid wsp:val=&quot;002A0A6A&quot;/&gt;&lt;wsp:rsid wsp:val=&quot;002A0A7C&quot;/&gt;&lt;wsp:rsid wsp:val=&quot;002A0FC0&quot;/&gt;&lt;wsp:rsid wsp:val=&quot;002A130A&quot;/&gt;&lt;wsp:rsid wsp:val=&quot;002A1DC1&quot;/&gt;&lt;wsp:rsid wsp:val=&quot;002A1DF0&quot;/&gt;&lt;wsp:rsid wsp:val=&quot;002A200D&quot;/&gt;&lt;wsp:rsid wsp:val=&quot;002A2AA0&quot;/&gt;&lt;wsp:rsid wsp:val=&quot;002A2F6C&quot;/&gt;&lt;wsp:rsid wsp:val=&quot;002A4512&quot;/&gt;&lt;wsp:rsid wsp:val=&quot;002A4A14&quot;/&gt;&lt;wsp:rsid wsp:val=&quot;002A4FB2&quot;/&gt;&lt;wsp:rsid wsp:val=&quot;002A5317&quot;/&gt;&lt;wsp:rsid wsp:val=&quot;002A561B&quot;/&gt;&lt;wsp:rsid wsp:val=&quot;002A5CD9&quot;/&gt;&lt;wsp:rsid wsp:val=&quot;002A638C&quot;/&gt;&lt;wsp:rsid wsp:val=&quot;002A6455&quot;/&gt;&lt;wsp:rsid wsp:val=&quot;002A6747&quot;/&gt;&lt;wsp:rsid wsp:val=&quot;002A6799&quot;/&gt;&lt;wsp:rsid wsp:val=&quot;002A67CF&quot;/&gt;&lt;wsp:rsid wsp:val=&quot;002A728A&quot;/&gt;&lt;wsp:rsid wsp:val=&quot;002A7445&quot;/&gt;&lt;wsp:rsid wsp:val=&quot;002A7484&quot;/&gt;&lt;wsp:rsid wsp:val=&quot;002A74B5&quot;/&gt;&lt;wsp:rsid wsp:val=&quot;002A7A2D&quot;/&gt;&lt;wsp:rsid wsp:val=&quot;002A7B9C&quot;/&gt;&lt;wsp:rsid wsp:val=&quot;002B024B&quot;/&gt;&lt;wsp:rsid wsp:val=&quot;002B077B&quot;/&gt;&lt;wsp:rsid wsp:val=&quot;002B1177&quot;/&gt;&lt;wsp:rsid wsp:val=&quot;002B14B2&quot;/&gt;&lt;wsp:rsid wsp:val=&quot;002B1EA6&quot;/&gt;&lt;wsp:rsid wsp:val=&quot;002B2543&quot;/&gt;&lt;wsp:rsid wsp:val=&quot;002B2676&quot;/&gt;&lt;wsp:rsid wsp:val=&quot;002B3979&quot;/&gt;&lt;wsp:rsid wsp:val=&quot;002B421C&quot;/&gt;&lt;wsp:rsid wsp:val=&quot;002B429B&quot;/&gt;&lt;wsp:rsid wsp:val=&quot;002B4E48&quot;/&gt;&lt;wsp:rsid wsp:val=&quot;002B50B7&quot;/&gt;&lt;wsp:rsid wsp:val=&quot;002B5233&quot;/&gt;&lt;wsp:rsid wsp:val=&quot;002B5359&quot;/&gt;&lt;wsp:rsid wsp:val=&quot;002B5496&quot;/&gt;&lt;wsp:rsid wsp:val=&quot;002B5582&quot;/&gt;&lt;wsp:rsid wsp:val=&quot;002B5656&quot;/&gt;&lt;wsp:rsid wsp:val=&quot;002B5BF1&quot;/&gt;&lt;wsp:rsid wsp:val=&quot;002B5E26&quot;/&gt;&lt;wsp:rsid wsp:val=&quot;002B730C&quot;/&gt;&lt;wsp:rsid wsp:val=&quot;002B7E9E&quot;/&gt;&lt;wsp:rsid wsp:val=&quot;002C0990&quot;/&gt;&lt;wsp:rsid wsp:val=&quot;002C0A41&quot;/&gt;&lt;wsp:rsid wsp:val=&quot;002C0D48&quot;/&gt;&lt;wsp:rsid wsp:val=&quot;002C1145&quot;/&gt;&lt;wsp:rsid wsp:val=&quot;002C16E7&quot;/&gt;&lt;wsp:rsid wsp:val=&quot;002C1B46&quot;/&gt;&lt;wsp:rsid wsp:val=&quot;002C2555&quot;/&gt;&lt;wsp:rsid wsp:val=&quot;002C258E&quot;/&gt;&lt;wsp:rsid wsp:val=&quot;002C2BAB&quot;/&gt;&lt;wsp:rsid wsp:val=&quot;002C2DD6&quot;/&gt;&lt;wsp:rsid wsp:val=&quot;002C304E&quot;/&gt;&lt;wsp:rsid wsp:val=&quot;002C3EC9&quot;/&gt;&lt;wsp:rsid wsp:val=&quot;002C4283&quot;/&gt;&lt;wsp:rsid wsp:val=&quot;002C4447&quot;/&gt;&lt;wsp:rsid wsp:val=&quot;002C4589&quot;/&gt;&lt;wsp:rsid wsp:val=&quot;002C4959&quot;/&gt;&lt;wsp:rsid wsp:val=&quot;002C4D4E&quot;/&gt;&lt;wsp:rsid wsp:val=&quot;002C549C&quot;/&gt;&lt;wsp:rsid wsp:val=&quot;002C551F&quot;/&gt;&lt;wsp:rsid wsp:val=&quot;002C5661&quot;/&gt;&lt;wsp:rsid wsp:val=&quot;002C5A54&quot;/&gt;&lt;wsp:rsid wsp:val=&quot;002C5D33&quot;/&gt;&lt;wsp:rsid wsp:val=&quot;002C7401&quot;/&gt;&lt;wsp:rsid wsp:val=&quot;002C764C&quot;/&gt;&lt;wsp:rsid wsp:val=&quot;002C7768&quot;/&gt;&lt;wsp:rsid wsp:val=&quot;002C791D&quot;/&gt;&lt;wsp:rsid wsp:val=&quot;002C7C2A&quot;/&gt;&lt;wsp:rsid wsp:val=&quot;002C7C52&quot;/&gt;&lt;wsp:rsid wsp:val=&quot;002C7E47&quot;/&gt;&lt;wsp:rsid wsp:val=&quot;002D02FB&quot;/&gt;&lt;wsp:rsid wsp:val=&quot;002D0F85&quot;/&gt;&lt;wsp:rsid wsp:val=&quot;002D15B7&quot;/&gt;&lt;wsp:rsid wsp:val=&quot;002D17F0&quot;/&gt;&lt;wsp:rsid wsp:val=&quot;002D19DC&quot;/&gt;&lt;wsp:rsid wsp:val=&quot;002D1C94&quot;/&gt;&lt;wsp:rsid wsp:val=&quot;002D23E5&quot;/&gt;&lt;wsp:rsid wsp:val=&quot;002D2413&quot;/&gt;&lt;wsp:rsid wsp:val=&quot;002D253D&quot;/&gt;&lt;wsp:rsid wsp:val=&quot;002D29A8&quot;/&gt;&lt;wsp:rsid wsp:val=&quot;002D2BA5&quot;/&gt;&lt;wsp:rsid wsp:val=&quot;002D2C3D&quot;/&gt;&lt;wsp:rsid wsp:val=&quot;002D2D58&quot;/&gt;&lt;wsp:rsid wsp:val=&quot;002D2D9E&quot;/&gt;&lt;wsp:rsid wsp:val=&quot;002D3051&quot;/&gt;&lt;wsp:rsid wsp:val=&quot;002D3105&quot;/&gt;&lt;wsp:rsid wsp:val=&quot;002D3770&quot;/&gt;&lt;wsp:rsid wsp:val=&quot;002D3B52&quot;/&gt;&lt;wsp:rsid wsp:val=&quot;002D430B&quot;/&gt;&lt;wsp:rsid wsp:val=&quot;002D43F6&quot;/&gt;&lt;wsp:rsid wsp:val=&quot;002D44DB&quot;/&gt;&lt;wsp:rsid wsp:val=&quot;002D4DBB&quot;/&gt;&lt;wsp:rsid wsp:val=&quot;002D4E06&quot;/&gt;&lt;wsp:rsid wsp:val=&quot;002D4F1A&quot;/&gt;&lt;wsp:rsid wsp:val=&quot;002D4F90&quot;/&gt;&lt;wsp:rsid wsp:val=&quot;002D5707&quot;/&gt;&lt;wsp:rsid wsp:val=&quot;002D5DD5&quot;/&gt;&lt;wsp:rsid wsp:val=&quot;002D5DE4&quot;/&gt;&lt;wsp:rsid wsp:val=&quot;002D69D4&quot;/&gt;&lt;wsp:rsid wsp:val=&quot;002D6E0E&quot;/&gt;&lt;wsp:rsid wsp:val=&quot;002D6FF0&quot;/&gt;&lt;wsp:rsid wsp:val=&quot;002D75CE&quot;/&gt;&lt;wsp:rsid wsp:val=&quot;002D796B&quot;/&gt;&lt;wsp:rsid wsp:val=&quot;002D7BD4&quot;/&gt;&lt;wsp:rsid wsp:val=&quot;002D7E89&quot;/&gt;&lt;wsp:rsid wsp:val=&quot;002D7FA8&quot;/&gt;&lt;wsp:rsid wsp:val=&quot;002E0083&quot;/&gt;&lt;wsp:rsid wsp:val=&quot;002E00E7&quot;/&gt;&lt;wsp:rsid wsp:val=&quot;002E0AC5&quot;/&gt;&lt;wsp:rsid wsp:val=&quot;002E0C08&quot;/&gt;&lt;wsp:rsid wsp:val=&quot;002E174C&quot;/&gt;&lt;wsp:rsid wsp:val=&quot;002E1BF4&quot;/&gt;&lt;wsp:rsid wsp:val=&quot;002E1C44&quot;/&gt;&lt;wsp:rsid wsp:val=&quot;002E279C&quot;/&gt;&lt;wsp:rsid wsp:val=&quot;002E2A6E&quot;/&gt;&lt;wsp:rsid wsp:val=&quot;002E2C4C&quot;/&gt;&lt;wsp:rsid wsp:val=&quot;002E2FC0&quot;/&gt;&lt;wsp:rsid wsp:val=&quot;002E310A&quot;/&gt;&lt;wsp:rsid wsp:val=&quot;002E319F&quot;/&gt;&lt;wsp:rsid wsp:val=&quot;002E3410&quot;/&gt;&lt;wsp:rsid wsp:val=&quot;002E36F9&quot;/&gt;&lt;wsp:rsid wsp:val=&quot;002E3853&quot;/&gt;&lt;wsp:rsid wsp:val=&quot;002E3E14&quot;/&gt;&lt;wsp:rsid wsp:val=&quot;002E4501&quot;/&gt;&lt;wsp:rsid wsp:val=&quot;002E468E&quot;/&gt;&lt;wsp:rsid wsp:val=&quot;002E46B1&quot;/&gt;&lt;wsp:rsid wsp:val=&quot;002E4966&quot;/&gt;&lt;wsp:rsid wsp:val=&quot;002E4B93&quot;/&gt;&lt;wsp:rsid wsp:val=&quot;002E501A&quot;/&gt;&lt;wsp:rsid wsp:val=&quot;002E5315&quot;/&gt;&lt;wsp:rsid wsp:val=&quot;002E662C&quot;/&gt;&lt;wsp:rsid wsp:val=&quot;002E6943&quot;/&gt;&lt;wsp:rsid wsp:val=&quot;002E6949&quot;/&gt;&lt;wsp:rsid wsp:val=&quot;002E6C5A&quot;/&gt;&lt;wsp:rsid wsp:val=&quot;002E6CE5&quot;/&gt;&lt;wsp:rsid wsp:val=&quot;002E72F4&quot;/&gt;&lt;wsp:rsid wsp:val=&quot;002E7355&quot;/&gt;&lt;wsp:rsid wsp:val=&quot;002E7C02&quot;/&gt;&lt;wsp:rsid wsp:val=&quot;002E7C25&quot;/&gt;&lt;wsp:rsid wsp:val=&quot;002E7C67&quot;/&gt;&lt;wsp:rsid wsp:val=&quot;002F0057&quot;/&gt;&lt;wsp:rsid wsp:val=&quot;002F0280&quot;/&gt;&lt;wsp:rsid wsp:val=&quot;002F04A5&quot;/&gt;&lt;wsp:rsid wsp:val=&quot;002F0857&quot;/&gt;&lt;wsp:rsid wsp:val=&quot;002F0A1A&quot;/&gt;&lt;wsp:rsid wsp:val=&quot;002F0FCA&quot;/&gt;&lt;wsp:rsid wsp:val=&quot;002F12D6&quot;/&gt;&lt;wsp:rsid wsp:val=&quot;002F18C1&quot;/&gt;&lt;wsp:rsid wsp:val=&quot;002F1D4A&quot;/&gt;&lt;wsp:rsid wsp:val=&quot;002F2CDB&quot;/&gt;&lt;wsp:rsid wsp:val=&quot;002F3875&quot;/&gt;&lt;wsp:rsid wsp:val=&quot;002F4035&quot;/&gt;&lt;wsp:rsid wsp:val=&quot;002F408B&quot;/&gt;&lt;wsp:rsid wsp:val=&quot;002F4374&quot;/&gt;&lt;wsp:rsid wsp:val=&quot;002F4BED&quot;/&gt;&lt;wsp:rsid wsp:val=&quot;002F4DC0&quot;/&gt;&lt;wsp:rsid wsp:val=&quot;002F529D&quot;/&gt;&lt;wsp:rsid wsp:val=&quot;002F5622&quot;/&gt;&lt;wsp:rsid wsp:val=&quot;002F5CC5&quot;/&gt;&lt;wsp:rsid wsp:val=&quot;002F6423&quot;/&gt;&lt;wsp:rsid wsp:val=&quot;002F6A5D&quot;/&gt;&lt;wsp:rsid wsp:val=&quot;002F6AF5&quot;/&gt;&lt;wsp:rsid wsp:val=&quot;002F6D48&quot;/&gt;&lt;wsp:rsid wsp:val=&quot;002F6D9A&quot;/&gt;&lt;wsp:rsid wsp:val=&quot;002F7C37&quot;/&gt;&lt;wsp:rsid wsp:val=&quot;002F7F83&quot;/&gt;&lt;wsp:rsid wsp:val=&quot;00300269&quot;/&gt;&lt;wsp:rsid wsp:val=&quot;0030037D&quot;/&gt;&lt;wsp:rsid wsp:val=&quot;003006E5&quot;/&gt;&lt;wsp:rsid wsp:val=&quot;00300758&quot;/&gt;&lt;wsp:rsid wsp:val=&quot;003007C9&quot;/&gt;&lt;wsp:rsid wsp:val=&quot;00301BDA&quot;/&gt;&lt;wsp:rsid wsp:val=&quot;00301C4C&quot;/&gt;&lt;wsp:rsid wsp:val=&quot;00301CB8&quot;/&gt;&lt;wsp:rsid wsp:val=&quot;00301DE0&quot;/&gt;&lt;wsp:rsid wsp:val=&quot;00301DE5&quot;/&gt;&lt;wsp:rsid wsp:val=&quot;003022D9&quot;/&gt;&lt;wsp:rsid wsp:val=&quot;00302478&quot;/&gt;&lt;wsp:rsid wsp:val=&quot;00302828&quot;/&gt;&lt;wsp:rsid wsp:val=&quot;00302B4C&quot;/&gt;&lt;wsp:rsid wsp:val=&quot;00303BA6&quot;/&gt;&lt;wsp:rsid wsp:val=&quot;00303CBB&quot;/&gt;&lt;wsp:rsid wsp:val=&quot;00303DA4&quot;/&gt;&lt;wsp:rsid wsp:val=&quot;003046F6&quot;/&gt;&lt;wsp:rsid wsp:val=&quot;00304955&quot;/&gt;&lt;wsp:rsid wsp:val=&quot;00304B79&quot;/&gt;&lt;wsp:rsid wsp:val=&quot;003053C5&quot;/&gt;&lt;wsp:rsid wsp:val=&quot;0030548D&quot;/&gt;&lt;wsp:rsid wsp:val=&quot;00305806&quot;/&gt;&lt;wsp:rsid wsp:val=&quot;00306359&quot;/&gt;&lt;wsp:rsid wsp:val=&quot;0030654B&quot;/&gt;&lt;wsp:rsid wsp:val=&quot;00306BAD&quot;/&gt;&lt;wsp:rsid wsp:val=&quot;00306E1B&quot;/&gt;&lt;wsp:rsid wsp:val=&quot;003070DF&quot;/&gt;&lt;wsp:rsid wsp:val=&quot;00307372&quot;/&gt;&lt;wsp:rsid wsp:val=&quot;00307375&quot;/&gt;&lt;wsp:rsid wsp:val=&quot;0030784A&quot;/&gt;&lt;wsp:rsid wsp:val=&quot;003078EC&quot;/&gt;&lt;wsp:rsid wsp:val=&quot;00307E81&quot;/&gt;&lt;wsp:rsid wsp:val=&quot;00307FAF&quot;/&gt;&lt;wsp:rsid wsp:val=&quot;00310382&quot;/&gt;&lt;wsp:rsid wsp:val=&quot;00310AE3&quot;/&gt;&lt;wsp:rsid wsp:val=&quot;00310C28&quot;/&gt;&lt;wsp:rsid wsp:val=&quot;00311494&quot;/&gt;&lt;wsp:rsid wsp:val=&quot;0031183D&quot;/&gt;&lt;wsp:rsid wsp:val=&quot;00311881&quot;/&gt;&lt;wsp:rsid wsp:val=&quot;0031197E&quot;/&gt;&lt;wsp:rsid wsp:val=&quot;00311A43&quot;/&gt;&lt;wsp:rsid wsp:val=&quot;00311C95&quot;/&gt;&lt;wsp:rsid wsp:val=&quot;00311CEC&quot;/&gt;&lt;wsp:rsid wsp:val=&quot;00311E66&quot;/&gt;&lt;wsp:rsid wsp:val=&quot;00312297&quot;/&gt;&lt;wsp:rsid wsp:val=&quot;003123C6&quot;/&gt;&lt;wsp:rsid wsp:val=&quot;00312A2F&quot;/&gt;&lt;wsp:rsid wsp:val=&quot;003135F3&quot;/&gt;&lt;wsp:rsid wsp:val=&quot;00313661&quot;/&gt;&lt;wsp:rsid wsp:val=&quot;00313D10&quot;/&gt;&lt;wsp:rsid wsp:val=&quot;00314993&quot;/&gt;&lt;wsp:rsid wsp:val=&quot;00314CDC&quot;/&gt;&lt;wsp:rsid wsp:val=&quot;00314FF9&quot;/&gt;&lt;wsp:rsid wsp:val=&quot;0031537C&quot;/&gt;&lt;wsp:rsid wsp:val=&quot;0031579B&quot;/&gt;&lt;wsp:rsid wsp:val=&quot;003157BD&quot;/&gt;&lt;wsp:rsid wsp:val=&quot;00315DF4&quot;/&gt;&lt;wsp:rsid wsp:val=&quot;003162B9&quot;/&gt;&lt;wsp:rsid wsp:val=&quot;003163DC&quot;/&gt;&lt;wsp:rsid wsp:val=&quot;0031645A&quot;/&gt;&lt;wsp:rsid wsp:val=&quot;00316C5A&quot;/&gt;&lt;wsp:rsid wsp:val=&quot;003170F7&quot;/&gt;&lt;wsp:rsid wsp:val=&quot;003178C8&quot;/&gt;&lt;wsp:rsid wsp:val=&quot;00317937&quot;/&gt;&lt;wsp:rsid wsp:val=&quot;00317ECB&quot;/&gt;&lt;wsp:rsid wsp:val=&quot;00320085&quot;/&gt;&lt;wsp:rsid wsp:val=&quot;003200CD&quot;/&gt;&lt;wsp:rsid wsp:val=&quot;00320782&quot;/&gt;&lt;wsp:rsid wsp:val=&quot;00320873&quot;/&gt;&lt;wsp:rsid wsp:val=&quot;0032096D&quot;/&gt;&lt;wsp:rsid wsp:val=&quot;00320C02&quot;/&gt;&lt;wsp:rsid wsp:val=&quot;00320C5C&quot;/&gt;&lt;wsp:rsid wsp:val=&quot;00320CB5&quot;/&gt;&lt;wsp:rsid wsp:val=&quot;0032122C&quot;/&gt;&lt;wsp:rsid wsp:val=&quot;003215C6&quot;/&gt;&lt;wsp:rsid wsp:val=&quot;003215C8&quot;/&gt;&lt;wsp:rsid wsp:val=&quot;003215D5&quot;/&gt;&lt;wsp:rsid wsp:val=&quot;00322604&quot;/&gt;&lt;wsp:rsid wsp:val=&quot;00323152&quot;/&gt;&lt;wsp:rsid wsp:val=&quot;0032366B&quot;/&gt;&lt;wsp:rsid wsp:val=&quot;0032390A&quot;/&gt;&lt;wsp:rsid wsp:val=&quot;00323F82&quot;/&gt;&lt;wsp:rsid wsp:val=&quot;003240B9&quot;/&gt;&lt;wsp:rsid wsp:val=&quot;003248E2&quot;/&gt;&lt;wsp:rsid wsp:val=&quot;003252F0&quot;/&gt;&lt;wsp:rsid wsp:val=&quot;003255D9&quot;/&gt;&lt;wsp:rsid wsp:val=&quot;00325661&quot;/&gt;&lt;wsp:rsid wsp:val=&quot;00325800&quot;/&gt;&lt;wsp:rsid wsp:val=&quot;00325A90&quot;/&gt;&lt;wsp:rsid wsp:val=&quot;00325D3A&quot;/&gt;&lt;wsp:rsid wsp:val=&quot;003261AA&quot;/&gt;&lt;wsp:rsid wsp:val=&quot;00327485&quot;/&gt;&lt;wsp:rsid wsp:val=&quot;0032782F&quot;/&gt;&lt;wsp:rsid wsp:val=&quot;00327FA2&quot;/&gt;&lt;wsp:rsid wsp:val=&quot;003300A7&quot;/&gt;&lt;wsp:rsid wsp:val=&quot;00330A0F&quot;/&gt;&lt;wsp:rsid wsp:val=&quot;00330C21&quot;/&gt;&lt;wsp:rsid wsp:val=&quot;00331253&quot;/&gt;&lt;wsp:rsid wsp:val=&quot;0033139B&quot;/&gt;&lt;wsp:rsid wsp:val=&quot;003313E5&quot;/&gt;&lt;wsp:rsid wsp:val=&quot;0033183D&quot;/&gt;&lt;wsp:rsid wsp:val=&quot;00333127&quot;/&gt;&lt;wsp:rsid wsp:val=&quot;00333509&quot;/&gt;&lt;wsp:rsid wsp:val=&quot;00333EC5&quot;/&gt;&lt;wsp:rsid wsp:val=&quot;00333FA2&quot;/&gt;&lt;wsp:rsid wsp:val=&quot;00334332&quot;/&gt;&lt;wsp:rsid wsp:val=&quot;00334523&quot;/&gt;&lt;wsp:rsid wsp:val=&quot;00334B0E&quot;/&gt;&lt;wsp:rsid wsp:val=&quot;003351CE&quot;/&gt;&lt;wsp:rsid wsp:val=&quot;0033537A&quot;/&gt;&lt;wsp:rsid wsp:val=&quot;003353E1&quot;/&gt;&lt;wsp:rsid wsp:val=&quot;00335BB0&quot;/&gt;&lt;wsp:rsid wsp:val=&quot;00335BCE&quot;/&gt;&lt;wsp:rsid wsp:val=&quot;00335C99&quot;/&gt;&lt;wsp:rsid wsp:val=&quot;00336CD4&quot;/&gt;&lt;wsp:rsid wsp:val=&quot;00336EC7&quot;/&gt;&lt;wsp:rsid wsp:val=&quot;00336F7A&quot;/&gt;&lt;wsp:rsid wsp:val=&quot;00336FCA&quot;/&gt;&lt;wsp:rsid wsp:val=&quot;0033723A&quot;/&gt;&lt;wsp:rsid wsp:val=&quot;00337271&quot;/&gt;&lt;wsp:rsid wsp:val=&quot;003376F2&quot;/&gt;&lt;wsp:rsid wsp:val=&quot;003378A8&quot;/&gt;&lt;wsp:rsid wsp:val=&quot;0034055F&quot;/&gt;&lt;wsp:rsid wsp:val=&quot;00340804&quot;/&gt;&lt;wsp:rsid wsp:val=&quot;00340F41&quot;/&gt;&lt;wsp:rsid wsp:val=&quot;0034199A&quot;/&gt;&lt;wsp:rsid wsp:val=&quot;00341BBA&quot;/&gt;&lt;wsp:rsid wsp:val=&quot;003427FD&quot;/&gt;&lt;wsp:rsid wsp:val=&quot;00342A4A&quot;/&gt;&lt;wsp:rsid wsp:val=&quot;0034301F&quot;/&gt;&lt;wsp:rsid wsp:val=&quot;003438A2&quot;/&gt;&lt;wsp:rsid wsp:val=&quot;00343CEE&quot;/&gt;&lt;wsp:rsid wsp:val=&quot;00343D5D&quot;/&gt;&lt;wsp:rsid wsp:val=&quot;003440DE&quot;/&gt;&lt;wsp:rsid wsp:val=&quot;0034417B&quot;/&gt;&lt;wsp:rsid wsp:val=&quot;003442B5&quot;/&gt;&lt;wsp:rsid wsp:val=&quot;00344771&quot;/&gt;&lt;wsp:rsid wsp:val=&quot;003447FC&quot;/&gt;&lt;wsp:rsid wsp:val=&quot;0034500E&quot;/&gt;&lt;wsp:rsid wsp:val=&quot;003450B0&quot;/&gt;&lt;wsp:rsid wsp:val=&quot;00345476&quot;/&gt;&lt;wsp:rsid wsp:val=&quot;003456CE&quot;/&gt;&lt;wsp:rsid wsp:val=&quot;00345789&quot;/&gt;&lt;wsp:rsid wsp:val=&quot;003458F6&quot;/&gt;&lt;wsp:rsid wsp:val=&quot;00345968&quot;/&gt;&lt;wsp:rsid wsp:val=&quot;00345AE3&quot;/&gt;&lt;wsp:rsid wsp:val=&quot;00345B4D&quot;/&gt;&lt;wsp:rsid wsp:val=&quot;00345EFA&quot;/&gt;&lt;wsp:rsid wsp:val=&quot;00346290&quot;/&gt;&lt;wsp:rsid wsp:val=&quot;003463D7&quot;/&gt;&lt;wsp:rsid wsp:val=&quot;00346493&quot;/&gt;&lt;wsp:rsid wsp:val=&quot;00346582&quot;/&gt;&lt;wsp:rsid wsp:val=&quot;00346A6F&quot;/&gt;&lt;wsp:rsid wsp:val=&quot;00346BA9&quot;/&gt;&lt;wsp:rsid wsp:val=&quot;00347731&quot;/&gt;&lt;wsp:rsid wsp:val=&quot;00347870&quot;/&gt;&lt;wsp:rsid wsp:val=&quot;00347E26&quot;/&gt;&lt;wsp:rsid wsp:val=&quot;00347E2D&quot;/&gt;&lt;wsp:rsid wsp:val=&quot;00350103&quot;/&gt;&lt;wsp:rsid wsp:val=&quot;0035012C&quot;/&gt;&lt;wsp:rsid wsp:val=&quot;00350190&quot;/&gt;&lt;wsp:rsid wsp:val=&quot;003502B6&quot;/&gt;&lt;wsp:rsid wsp:val=&quot;003507E6&quot;/&gt;&lt;wsp:rsid wsp:val=&quot;00350DF0&quot;/&gt;&lt;wsp:rsid wsp:val=&quot;00350FEC&quot;/&gt;&lt;wsp:rsid wsp:val=&quot;00351B5B&quot;/&gt;&lt;wsp:rsid wsp:val=&quot;00351E8F&quot;/&gt;&lt;wsp:rsid wsp:val=&quot;0035245B&quot;/&gt;&lt;wsp:rsid wsp:val=&quot;0035282A&quot;/&gt;&lt;wsp:rsid wsp:val=&quot;00352D5B&quot;/&gt;&lt;wsp:rsid wsp:val=&quot;0035383B&quot;/&gt;&lt;wsp:rsid wsp:val=&quot;00353B23&quot;/&gt;&lt;wsp:rsid wsp:val=&quot;00353C91&quot;/&gt;&lt;wsp:rsid wsp:val=&quot;00354371&quot;/&gt;&lt;wsp:rsid wsp:val=&quot;0035559E&quot;/&gt;&lt;wsp:rsid wsp:val=&quot;00355943&quot;/&gt;&lt;wsp:rsid wsp:val=&quot;00355999&quot;/&gt;&lt;wsp:rsid wsp:val=&quot;00356BFE&quot;/&gt;&lt;wsp:rsid wsp:val=&quot;00357381&quot;/&gt;&lt;wsp:rsid wsp:val=&quot;00357721&quot;/&gt;&lt;wsp:rsid wsp:val=&quot;00357CA6&quot;/&gt;&lt;wsp:rsid wsp:val=&quot;00360509&quot;/&gt;&lt;wsp:rsid wsp:val=&quot;00360741&quot;/&gt;&lt;wsp:rsid wsp:val=&quot;003607D3&quot;/&gt;&lt;wsp:rsid wsp:val=&quot;00360CF9&quot;/&gt;&lt;wsp:rsid wsp:val=&quot;00361806&quot;/&gt;&lt;wsp:rsid wsp:val=&quot;00361CF4&quot;/&gt;&lt;wsp:rsid wsp:val=&quot;0036221A&quot;/&gt;&lt;wsp:rsid wsp:val=&quot;0036239E&quot;/&gt;&lt;wsp:rsid wsp:val=&quot;0036241A&quot;/&gt;&lt;wsp:rsid wsp:val=&quot;00363622&quot;/&gt;&lt;wsp:rsid wsp:val=&quot;003645E3&quot;/&gt;&lt;wsp:rsid wsp:val=&quot;00364626&quot;/&gt;&lt;wsp:rsid wsp:val=&quot;003646E4&quot;/&gt;&lt;wsp:rsid wsp:val=&quot;00364A73&quot;/&gt;&lt;wsp:rsid wsp:val=&quot;00365617&quot;/&gt;&lt;wsp:rsid wsp:val=&quot;0036566A&quot;/&gt;&lt;wsp:rsid wsp:val=&quot;003657A7&quot;/&gt;&lt;wsp:rsid wsp:val=&quot;0036594C&quot;/&gt;&lt;wsp:rsid wsp:val=&quot;00365BEC&quot;/&gt;&lt;wsp:rsid wsp:val=&quot;00365DEA&quot;/&gt;&lt;wsp:rsid wsp:val=&quot;00365EB6&quot;/&gt;&lt;wsp:rsid wsp:val=&quot;00366353&quot;/&gt;&lt;wsp:rsid wsp:val=&quot;003663C1&quot;/&gt;&lt;wsp:rsid wsp:val=&quot;00366467&quot;/&gt;&lt;wsp:rsid wsp:val=&quot;003666DD&quot;/&gt;&lt;wsp:rsid wsp:val=&quot;0036784F&quot;/&gt;&lt;wsp:rsid wsp:val=&quot;00367AD2&quot;/&gt;&lt;wsp:rsid wsp:val=&quot;00367CA1&quot;/&gt;&lt;wsp:rsid wsp:val=&quot;003701F5&quot;/&gt;&lt;wsp:rsid wsp:val=&quot;0037037B&quot;/&gt;&lt;wsp:rsid wsp:val=&quot;00370794&quot;/&gt;&lt;wsp:rsid wsp:val=&quot;00370B84&quot;/&gt;&lt;wsp:rsid wsp:val=&quot;003713CD&quot;/&gt;&lt;wsp:rsid wsp:val=&quot;003717B3&quot;/&gt;&lt;wsp:rsid wsp:val=&quot;00371AFA&quot;/&gt;&lt;wsp:rsid wsp:val=&quot;003723B9&quot;/&gt;&lt;wsp:rsid wsp:val=&quot;00372DCB&quot;/&gt;&lt;wsp:rsid wsp:val=&quot;003738AC&quot;/&gt;&lt;wsp:rsid wsp:val=&quot;003739CD&quot;/&gt;&lt;wsp:rsid wsp:val=&quot;00373A7E&quot;/&gt;&lt;wsp:rsid wsp:val=&quot;00373AD5&quot;/&gt;&lt;wsp:rsid wsp:val=&quot;00373C3F&quot;/&gt;&lt;wsp:rsid wsp:val=&quot;00373E88&quot;/&gt;&lt;wsp:rsid wsp:val=&quot;00373EE3&quot;/&gt;&lt;wsp:rsid wsp:val=&quot;003741FE&quot;/&gt;&lt;wsp:rsid wsp:val=&quot;00374403&quot;/&gt;&lt;wsp:rsid wsp:val=&quot;003748C6&quot;/&gt;&lt;wsp:rsid wsp:val=&quot;003751E8&quot;/&gt;&lt;wsp:rsid wsp:val=&quot;00375562&quot;/&gt;&lt;wsp:rsid wsp:val=&quot;003755A5&quot;/&gt;&lt;wsp:rsid wsp:val=&quot;00375CAD&quot;/&gt;&lt;wsp:rsid wsp:val=&quot;00375EEB&quot;/&gt;&lt;wsp:rsid wsp:val=&quot;0037640D&quot;/&gt;&lt;wsp:rsid wsp:val=&quot;003765B7&quot;/&gt;&lt;wsp:rsid wsp:val=&quot;00376854&quot;/&gt;&lt;wsp:rsid wsp:val=&quot;00376DFF&quot;/&gt;&lt;wsp:rsid wsp:val=&quot;003773E7&quot;/&gt;&lt;wsp:rsid wsp:val=&quot;00377914&quot;/&gt;&lt;wsp:rsid wsp:val=&quot;003779DE&quot;/&gt;&lt;wsp:rsid wsp:val=&quot;00377C79&quot;/&gt;&lt;wsp:rsid wsp:val=&quot;00377D79&quot;/&gt;&lt;wsp:rsid wsp:val=&quot;003802AA&quot;/&gt;&lt;wsp:rsid wsp:val=&quot;003806F4&quot;/&gt;&lt;wsp:rsid wsp:val=&quot;00381031&quot;/&gt;&lt;wsp:rsid wsp:val=&quot;003813BA&quot;/&gt;&lt;wsp:rsid wsp:val=&quot;00381605&quot;/&gt;&lt;wsp:rsid wsp:val=&quot;00381E59&quot;/&gt;&lt;wsp:rsid wsp:val=&quot;00382915&quot;/&gt;&lt;wsp:rsid wsp:val=&quot;00382A2E&quot;/&gt;&lt;wsp:rsid wsp:val=&quot;00383445&quot;/&gt;&lt;wsp:rsid wsp:val=&quot;0038355D&quot;/&gt;&lt;wsp:rsid wsp:val=&quot;00383C62&quot;/&gt;&lt;wsp:rsid wsp:val=&quot;0038424C&quot;/&gt;&lt;wsp:rsid wsp:val=&quot;003842F7&quot;/&gt;&lt;wsp:rsid wsp:val=&quot;003853B3&quot;/&gt;&lt;wsp:rsid wsp:val=&quot;00385BA9&quot;/&gt;&lt;wsp:rsid wsp:val=&quot;00385C88&quot;/&gt;&lt;wsp:rsid wsp:val=&quot;003862A0&quot;/&gt;&lt;wsp:rsid wsp:val=&quot;00386431&quot;/&gt;&lt;wsp:rsid wsp:val=&quot;00386549&quot;/&gt;&lt;wsp:rsid wsp:val=&quot;00386F6B&quot;/&gt;&lt;wsp:rsid wsp:val=&quot;00387830&quot;/&gt;&lt;wsp:rsid wsp:val=&quot;0038796C&quot;/&gt;&lt;wsp:rsid wsp:val=&quot;00387FE2&quot;/&gt;&lt;wsp:rsid wsp:val=&quot;00390172&quot;/&gt;&lt;wsp:rsid wsp:val=&quot;003906FF&quot;/&gt;&lt;wsp:rsid wsp:val=&quot;0039153F&quot;/&gt;&lt;wsp:rsid wsp:val=&quot;00391652&quot;/&gt;&lt;wsp:rsid wsp:val=&quot;00392391&quot;/&gt;&lt;wsp:rsid wsp:val=&quot;00392D0F&quot;/&gt;&lt;wsp:rsid wsp:val=&quot;0039342B&quot;/&gt;&lt;wsp:rsid wsp:val=&quot;0039344B&quot;/&gt;&lt;wsp:rsid wsp:val=&quot;0039366E&quot;/&gt;&lt;wsp:rsid wsp:val=&quot;0039483D&quot;/&gt;&lt;wsp:rsid wsp:val=&quot;00394916&quot;/&gt;&lt;wsp:rsid wsp:val=&quot;003949E4&quot;/&gt;&lt;wsp:rsid wsp:val=&quot;00394CED&quot;/&gt;&lt;wsp:rsid wsp:val=&quot;00394F8C&quot;/&gt;&lt;wsp:rsid wsp:val=&quot;00395069&quot;/&gt;&lt;wsp:rsid wsp:val=&quot;0039526B&quot;/&gt;&lt;wsp:rsid wsp:val=&quot;0039554B&quot;/&gt;&lt;wsp:rsid wsp:val=&quot;003955B2&quot;/&gt;&lt;wsp:rsid wsp:val=&quot;00395688&quot;/&gt;&lt;wsp:rsid wsp:val=&quot;00395CBD&quot;/&gt;&lt;wsp:rsid wsp:val=&quot;00395DA4&quot;/&gt;&lt;wsp:rsid wsp:val=&quot;00395EC4&quot;/&gt;&lt;wsp:rsid wsp:val=&quot;003962A8&quot;/&gt;&lt;wsp:rsid wsp:val=&quot;00396871&quot;/&gt;&lt;wsp:rsid wsp:val=&quot;00397C4F&quot;/&gt;&lt;wsp:rsid wsp:val=&quot;00397FD3&quot;/&gt;&lt;wsp:rsid wsp:val=&quot;003A01D0&quot;/&gt;&lt;wsp:rsid wsp:val=&quot;003A0596&quot;/&gt;&lt;wsp:rsid wsp:val=&quot;003A0768&quot;/&gt;&lt;wsp:rsid wsp:val=&quot;003A0820&quot;/&gt;&lt;wsp:rsid wsp:val=&quot;003A14B7&quot;/&gt;&lt;wsp:rsid wsp:val=&quot;003A17CC&quot;/&gt;&lt;wsp:rsid wsp:val=&quot;003A1910&quot;/&gt;&lt;wsp:rsid wsp:val=&quot;003A1997&quot;/&gt;&lt;wsp:rsid wsp:val=&quot;003A1EC8&quot;/&gt;&lt;wsp:rsid wsp:val=&quot;003A2490&quot;/&gt;&lt;wsp:rsid wsp:val=&quot;003A27D9&quot;/&gt;&lt;wsp:rsid wsp:val=&quot;003A2CED&quot;/&gt;&lt;wsp:rsid wsp:val=&quot;003A2F2D&quot;/&gt;&lt;wsp:rsid wsp:val=&quot;003A2FA0&quot;/&gt;&lt;wsp:rsid wsp:val=&quot;003A32D1&quot;/&gt;&lt;wsp:rsid wsp:val=&quot;003A34C4&quot;/&gt;&lt;wsp:rsid wsp:val=&quot;003A378B&quot;/&gt;&lt;wsp:rsid wsp:val=&quot;003A3B1A&quot;/&gt;&lt;wsp:rsid wsp:val=&quot;003A3E5D&quot;/&gt;&lt;wsp:rsid wsp:val=&quot;003A4101&quot;/&gt;&lt;wsp:rsid wsp:val=&quot;003A4658&quot;/&gt;&lt;wsp:rsid wsp:val=&quot;003A469E&quot;/&gt;&lt;wsp:rsid wsp:val=&quot;003A477C&quot;/&gt;&lt;wsp:rsid wsp:val=&quot;003A4E04&quot;/&gt;&lt;wsp:rsid wsp:val=&quot;003A53E8&quot;/&gt;&lt;wsp:rsid wsp:val=&quot;003A57D5&quot;/&gt;&lt;wsp:rsid wsp:val=&quot;003A5A42&quot;/&gt;&lt;wsp:rsid wsp:val=&quot;003A5ADE&quot;/&gt;&lt;wsp:rsid wsp:val=&quot;003A5E54&quot;/&gt;&lt;wsp:rsid wsp:val=&quot;003A61AC&quot;/&gt;&lt;wsp:rsid wsp:val=&quot;003A69BD&quot;/&gt;&lt;wsp:rsid wsp:val=&quot;003A71E0&quot;/&gt;&lt;wsp:rsid wsp:val=&quot;003A752F&quot;/&gt;&lt;wsp:rsid wsp:val=&quot;003A7805&quot;/&gt;&lt;wsp:rsid wsp:val=&quot;003A7926&quot;/&gt;&lt;wsp:rsid wsp:val=&quot;003A7D6D&quot;/&gt;&lt;wsp:rsid wsp:val=&quot;003B035A&quot;/&gt;&lt;wsp:rsid wsp:val=&quot;003B0469&quot;/&gt;&lt;wsp:rsid wsp:val=&quot;003B0516&quot;/&gt;&lt;wsp:rsid wsp:val=&quot;003B0B90&quot;/&gt;&lt;wsp:rsid wsp:val=&quot;003B123C&quot;/&gt;&lt;wsp:rsid wsp:val=&quot;003B136C&quot;/&gt;&lt;wsp:rsid wsp:val=&quot;003B196F&quot;/&gt;&lt;wsp:rsid wsp:val=&quot;003B19C2&quot;/&gt;&lt;wsp:rsid wsp:val=&quot;003B24D9&quot;/&gt;&lt;wsp:rsid wsp:val=&quot;003B2D38&quot;/&gt;&lt;wsp:rsid wsp:val=&quot;003B3093&quot;/&gt;&lt;wsp:rsid wsp:val=&quot;003B32E3&quot;/&gt;&lt;wsp:rsid wsp:val=&quot;003B342E&quot;/&gt;&lt;wsp:rsid wsp:val=&quot;003B34F5&quot;/&gt;&lt;wsp:rsid wsp:val=&quot;003B401F&quot;/&gt;&lt;wsp:rsid wsp:val=&quot;003B4781&quot;/&gt;&lt;wsp:rsid wsp:val=&quot;003B48DE&quot;/&gt;&lt;wsp:rsid wsp:val=&quot;003B4D2E&quot;/&gt;&lt;wsp:rsid wsp:val=&quot;003B4F6F&quot;/&gt;&lt;wsp:rsid wsp:val=&quot;003B51C4&quot;/&gt;&lt;wsp:rsid wsp:val=&quot;003B533B&quot;/&gt;&lt;wsp:rsid wsp:val=&quot;003B58EC&quot;/&gt;&lt;wsp:rsid wsp:val=&quot;003B5A1D&quot;/&gt;&lt;wsp:rsid wsp:val=&quot;003B5F0B&quot;/&gt;&lt;wsp:rsid wsp:val=&quot;003B5F46&quot;/&gt;&lt;wsp:rsid wsp:val=&quot;003B6756&quot;/&gt;&lt;wsp:rsid wsp:val=&quot;003B6868&quot;/&gt;&lt;wsp:rsid wsp:val=&quot;003B6FF0&quot;/&gt;&lt;wsp:rsid wsp:val=&quot;003B738E&quot;/&gt;&lt;wsp:rsid wsp:val=&quot;003B75AC&quot;/&gt;&lt;wsp:rsid wsp:val=&quot;003B7D80&quot;/&gt;&lt;wsp:rsid wsp:val=&quot;003B7E55&quot;/&gt;&lt;wsp:rsid wsp:val=&quot;003C0B4F&quot;/&gt;&lt;wsp:rsid wsp:val=&quot;003C0CD3&quot;/&gt;&lt;wsp:rsid wsp:val=&quot;003C1200&quot;/&gt;&lt;wsp:rsid wsp:val=&quot;003C124E&quot;/&gt;&lt;wsp:rsid wsp:val=&quot;003C127D&quot;/&gt;&lt;wsp:rsid wsp:val=&quot;003C1C7A&quot;/&gt;&lt;wsp:rsid wsp:val=&quot;003C1CFF&quot;/&gt;&lt;wsp:rsid wsp:val=&quot;003C1D5D&quot;/&gt;&lt;wsp:rsid wsp:val=&quot;003C21E9&quot;/&gt;&lt;wsp:rsid wsp:val=&quot;003C221B&quot;/&gt;&lt;wsp:rsid wsp:val=&quot;003C2806&quot;/&gt;&lt;wsp:rsid wsp:val=&quot;003C29FB&quot;/&gt;&lt;wsp:rsid wsp:val=&quot;003C2B75&quot;/&gt;&lt;wsp:rsid wsp:val=&quot;003C2C95&quot;/&gt;&lt;wsp:rsid wsp:val=&quot;003C2C9F&quot;/&gt;&lt;wsp:rsid wsp:val=&quot;003C2E2A&quot;/&gt;&lt;wsp:rsid wsp:val=&quot;003C3748&quot;/&gt;&lt;wsp:rsid wsp:val=&quot;003C3EA8&quot;/&gt;&lt;wsp:rsid wsp:val=&quot;003C40A0&quot;/&gt;&lt;wsp:rsid wsp:val=&quot;003C4278&quot;/&gt;&lt;wsp:rsid wsp:val=&quot;003C4300&quot;/&gt;&lt;wsp:rsid wsp:val=&quot;003C475F&quot;/&gt;&lt;wsp:rsid wsp:val=&quot;003C49BC&quot;/&gt;&lt;wsp:rsid wsp:val=&quot;003C4D85&quot;/&gt;&lt;wsp:rsid wsp:val=&quot;003C4EC4&quot;/&gt;&lt;wsp:rsid wsp:val=&quot;003C55AA&quot;/&gt;&lt;wsp:rsid wsp:val=&quot;003C6335&quot;/&gt;&lt;wsp:rsid wsp:val=&quot;003C656F&quot;/&gt;&lt;wsp:rsid wsp:val=&quot;003C6FEB&quot;/&gt;&lt;wsp:rsid wsp:val=&quot;003C7595&quot;/&gt;&lt;wsp:rsid wsp:val=&quot;003C7764&quot;/&gt;&lt;wsp:rsid wsp:val=&quot;003C7AFF&quot;/&gt;&lt;wsp:rsid wsp:val=&quot;003C7E63&quot;/&gt;&lt;wsp:rsid wsp:val=&quot;003C7ECD&quot;/&gt;&lt;wsp:rsid wsp:val=&quot;003D045D&quot;/&gt;&lt;wsp:rsid wsp:val=&quot;003D08A6&quot;/&gt;&lt;wsp:rsid wsp:val=&quot;003D09FE&quot;/&gt;&lt;wsp:rsid wsp:val=&quot;003D1255&quot;/&gt;&lt;wsp:rsid wsp:val=&quot;003D137F&quot;/&gt;&lt;wsp:rsid wsp:val=&quot;003D18FC&quot;/&gt;&lt;wsp:rsid wsp:val=&quot;003D194F&quot;/&gt;&lt;wsp:rsid wsp:val=&quot;003D2AB5&quot;/&gt;&lt;wsp:rsid wsp:val=&quot;003D308D&quot;/&gt;&lt;wsp:rsid wsp:val=&quot;003D370F&quot;/&gt;&lt;wsp:rsid wsp:val=&quot;003D3A18&quot;/&gt;&lt;wsp:rsid wsp:val=&quot;003D3D0C&quot;/&gt;&lt;wsp:rsid wsp:val=&quot;003D3D66&quot;/&gt;&lt;wsp:rsid wsp:val=&quot;003D4097&quot;/&gt;&lt;wsp:rsid wsp:val=&quot;003D4823&quot;/&gt;&lt;wsp:rsid wsp:val=&quot;003D4850&quot;/&gt;&lt;wsp:rsid wsp:val=&quot;003D4973&quot;/&gt;&lt;wsp:rsid wsp:val=&quot;003D5C10&quot;/&gt;&lt;wsp:rsid wsp:val=&quot;003D6227&quot;/&gt;&lt;wsp:rsid wsp:val=&quot;003D6534&quot;/&gt;&lt;wsp:rsid wsp:val=&quot;003D6758&quot;/&gt;&lt;wsp:rsid wsp:val=&quot;003D6E1D&quot;/&gt;&lt;wsp:rsid wsp:val=&quot;003D6F45&quot;/&gt;&lt;wsp:rsid wsp:val=&quot;003D7707&quot;/&gt;&lt;wsp:rsid wsp:val=&quot;003D7749&quot;/&gt;&lt;wsp:rsid wsp:val=&quot;003D7BEB&quot;/&gt;&lt;wsp:rsid wsp:val=&quot;003E04D7&quot;/&gt;&lt;wsp:rsid wsp:val=&quot;003E0CF3&quot;/&gt;&lt;wsp:rsid wsp:val=&quot;003E12B0&quot;/&gt;&lt;wsp:rsid wsp:val=&quot;003E1825&quot;/&gt;&lt;wsp:rsid wsp:val=&quot;003E1A9A&quot;/&gt;&lt;wsp:rsid wsp:val=&quot;003E1BC9&quot;/&gt;&lt;wsp:rsid wsp:val=&quot;003E28AC&quot;/&gt;&lt;wsp:rsid wsp:val=&quot;003E2B62&quot;/&gt;&lt;wsp:rsid wsp:val=&quot;003E3977&quot;/&gt;&lt;wsp:rsid wsp:val=&quot;003E39A7&quot;/&gt;&lt;wsp:rsid wsp:val=&quot;003E3F30&quot;/&gt;&lt;wsp:rsid wsp:val=&quot;003E40F2&quot;/&gt;&lt;wsp:rsid wsp:val=&quot;003E423B&quot;/&gt;&lt;wsp:rsid wsp:val=&quot;003E4288&quot;/&gt;&lt;wsp:rsid wsp:val=&quot;003E42B4&quot;/&gt;&lt;wsp:rsid wsp:val=&quot;003E44F5&quot;/&gt;&lt;wsp:rsid wsp:val=&quot;003E44F6&quot;/&gt;&lt;wsp:rsid wsp:val=&quot;003E56DD&quot;/&gt;&lt;wsp:rsid wsp:val=&quot;003E585B&quot;/&gt;&lt;wsp:rsid wsp:val=&quot;003E5950&quot;/&gt;&lt;wsp:rsid wsp:val=&quot;003E5E26&quot;/&gt;&lt;wsp:rsid wsp:val=&quot;003E6366&quot;/&gt;&lt;wsp:rsid wsp:val=&quot;003E6672&quot;/&gt;&lt;wsp:rsid wsp:val=&quot;003E6BB3&quot;/&gt;&lt;wsp:rsid wsp:val=&quot;003E72B7&quot;/&gt;&lt;wsp:rsid wsp:val=&quot;003E74C8&quot;/&gt;&lt;wsp:rsid wsp:val=&quot;003F1CC6&quot;/&gt;&lt;wsp:rsid wsp:val=&quot;003F1DE3&quot;/&gt;&lt;wsp:rsid wsp:val=&quot;003F2377&quot;/&gt;&lt;wsp:rsid wsp:val=&quot;003F253B&quot;/&gt;&lt;wsp:rsid wsp:val=&quot;003F27F7&quot;/&gt;&lt;wsp:rsid wsp:val=&quot;003F2A4E&quot;/&gt;&lt;wsp:rsid wsp:val=&quot;003F2AC6&quot;/&gt;&lt;wsp:rsid wsp:val=&quot;003F2CCF&quot;/&gt;&lt;wsp:rsid wsp:val=&quot;003F3902&quot;/&gt;&lt;wsp:rsid wsp:val=&quot;003F3CCE&quot;/&gt;&lt;wsp:rsid wsp:val=&quot;003F3F8A&quot;/&gt;&lt;wsp:rsid wsp:val=&quot;003F4189&quot;/&gt;&lt;wsp:rsid wsp:val=&quot;003F422B&quot;/&gt;&lt;wsp:rsid wsp:val=&quot;003F4997&quot;/&gt;&lt;wsp:rsid wsp:val=&quot;003F4BA8&quot;/&gt;&lt;wsp:rsid wsp:val=&quot;003F514F&quot;/&gt;&lt;wsp:rsid wsp:val=&quot;003F58AF&quot;/&gt;&lt;wsp:rsid wsp:val=&quot;003F5B8D&quot;/&gt;&lt;wsp:rsid wsp:val=&quot;003F5C47&quot;/&gt;&lt;wsp:rsid wsp:val=&quot;003F619E&quot;/&gt;&lt;wsp:rsid wsp:val=&quot;003F61B9&quot;/&gt;&lt;wsp:rsid wsp:val=&quot;003F643E&quot;/&gt;&lt;wsp:rsid wsp:val=&quot;003F66FB&quot;/&gt;&lt;wsp:rsid wsp:val=&quot;003F6C03&quot;/&gt;&lt;wsp:rsid wsp:val=&quot;003F6D42&quot;/&gt;&lt;wsp:rsid wsp:val=&quot;003F6D91&quot;/&gt;&lt;wsp:rsid wsp:val=&quot;003F70E7&quot;/&gt;&lt;wsp:rsid wsp:val=&quot;003F7650&quot;/&gt;&lt;wsp:rsid wsp:val=&quot;003F7722&quot;/&gt;&lt;wsp:rsid wsp:val=&quot;003F7F15&quot;/&gt;&lt;wsp:rsid wsp:val=&quot;003F7F4C&quot;/&gt;&lt;wsp:rsid wsp:val=&quot;0040000E&quot;/&gt;&lt;wsp:rsid wsp:val=&quot;004001C7&quot;/&gt;&lt;wsp:rsid wsp:val=&quot;00400BDA&quot;/&gt;&lt;wsp:rsid wsp:val=&quot;00400EA8&quot;/&gt;&lt;wsp:rsid wsp:val=&quot;00401374&quot;/&gt;&lt;wsp:rsid wsp:val=&quot;004013BC&quot;/&gt;&lt;wsp:rsid wsp:val=&quot;00401AA4&quot;/&gt;&lt;wsp:rsid wsp:val=&quot;00402305&quot;/&gt;&lt;wsp:rsid wsp:val=&quot;00402F6B&quot;/&gt;&lt;wsp:rsid wsp:val=&quot;004030F6&quot;/&gt;&lt;wsp:rsid wsp:val=&quot;00403112&quot;/&gt;&lt;wsp:rsid wsp:val=&quot;0040318C&quot;/&gt;&lt;wsp:rsid wsp:val=&quot;004031BC&quot;/&gt;&lt;wsp:rsid wsp:val=&quot;00403653&quot;/&gt;&lt;wsp:rsid wsp:val=&quot;00403977&quot;/&gt;&lt;wsp:rsid wsp:val=&quot;00404331&quot;/&gt;&lt;wsp:rsid wsp:val=&quot;004046A7&quot;/&gt;&lt;wsp:rsid wsp:val=&quot;00404DFC&quot;/&gt;&lt;wsp:rsid wsp:val=&quot;004050C4&quot;/&gt;&lt;wsp:rsid wsp:val=&quot;00405392&quot;/&gt;&lt;wsp:rsid wsp:val=&quot;004053B6&quot;/&gt;&lt;wsp:rsid wsp:val=&quot;004055B8&quot;/&gt;&lt;wsp:rsid wsp:val=&quot;00405CC5&quot;/&gt;&lt;wsp:rsid wsp:val=&quot;00406368&quot;/&gt;&lt;wsp:rsid wsp:val=&quot;00406417&quot;/&gt;&lt;wsp:rsid wsp:val=&quot;004068A5&quot;/&gt;&lt;wsp:rsid wsp:val=&quot;00406937&quot;/&gt;&lt;wsp:rsid wsp:val=&quot;00406950&quot;/&gt;&lt;wsp:rsid wsp:val=&quot;00406D89&quot;/&gt;&lt;wsp:rsid wsp:val=&quot;00407532&quot;/&gt;&lt;wsp:rsid wsp:val=&quot;004076BA&quot;/&gt;&lt;wsp:rsid wsp:val=&quot;0040789D&quot;/&gt;&lt;wsp:rsid wsp:val=&quot;00407956&quot;/&gt;&lt;wsp:rsid wsp:val=&quot;00407F03&quot;/&gt;&lt;wsp:rsid wsp:val=&quot;004100B7&quot;/&gt;&lt;wsp:rsid wsp:val=&quot;00410A94&quot;/&gt;&lt;wsp:rsid wsp:val=&quot;00411CBC&quot;/&gt;&lt;wsp:rsid wsp:val=&quot;0041228F&quot;/&gt;&lt;wsp:rsid wsp:val=&quot;004125BF&quot;/&gt;&lt;wsp:rsid wsp:val=&quot;00412611&quot;/&gt;&lt;wsp:rsid wsp:val=&quot;0041261B&quot;/&gt;&lt;wsp:rsid wsp:val=&quot;00412D84&quot;/&gt;&lt;wsp:rsid wsp:val=&quot;00412F7B&quot;/&gt;&lt;wsp:rsid wsp:val=&quot;004131F8&quot;/&gt;&lt;wsp:rsid wsp:val=&quot;00413280&quot;/&gt;&lt;wsp:rsid wsp:val=&quot;00413538&quot;/&gt;&lt;wsp:rsid wsp:val=&quot;0041359D&quot;/&gt;&lt;wsp:rsid wsp:val=&quot;00413A1F&quot;/&gt;&lt;wsp:rsid wsp:val=&quot;00413A55&quot;/&gt;&lt;wsp:rsid wsp:val=&quot;00413BF6&quot;/&gt;&lt;wsp:rsid wsp:val=&quot;00413EF1&quot;/&gt;&lt;wsp:rsid wsp:val=&quot;00414283&quot;/&gt;&lt;wsp:rsid wsp:val=&quot;004149A5&quot;/&gt;&lt;wsp:rsid wsp:val=&quot;00415025&quot;/&gt;&lt;wsp:rsid wsp:val=&quot;0041503A&quot;/&gt;&lt;wsp:rsid wsp:val=&quot;00415973&quot;/&gt;&lt;wsp:rsid wsp:val=&quot;0041602B&quot;/&gt;&lt;wsp:rsid wsp:val=&quot;00416250&quot;/&gt;&lt;wsp:rsid wsp:val=&quot;004163F2&quot;/&gt;&lt;wsp:rsid wsp:val=&quot;004167EC&quot;/&gt;&lt;wsp:rsid wsp:val=&quot;00416883&quot;/&gt;&lt;wsp:rsid wsp:val=&quot;00416DFE&quot;/&gt;&lt;wsp:rsid wsp:val=&quot;00416F49&quot;/&gt;&lt;wsp:rsid wsp:val=&quot;00417041&quot;/&gt;&lt;wsp:rsid wsp:val=&quot;00417337&quot;/&gt;&lt;wsp:rsid wsp:val=&quot;00417BF4&quot;/&gt;&lt;wsp:rsid wsp:val=&quot;004203B2&quot;/&gt;&lt;wsp:rsid wsp:val=&quot;00420511&quot;/&gt;&lt;wsp:rsid wsp:val=&quot;00420B7C&quot;/&gt;&lt;wsp:rsid wsp:val=&quot;004211F3&quot;/&gt;&lt;wsp:rsid wsp:val=&quot;004215A3&quot;/&gt;&lt;wsp:rsid wsp:val=&quot;00421814&quot;/&gt;&lt;wsp:rsid wsp:val=&quot;004219EC&quot;/&gt;&lt;wsp:rsid wsp:val=&quot;00421D91&quot;/&gt;&lt;wsp:rsid wsp:val=&quot;00421F5D&quot;/&gt;&lt;wsp:rsid wsp:val=&quot;004220E5&quot;/&gt;&lt;wsp:rsid wsp:val=&quot;004222A2&quot;/&gt;&lt;wsp:rsid wsp:val=&quot;0042338A&quot;/&gt;&lt;wsp:rsid wsp:val=&quot;0042375F&quot;/&gt;&lt;wsp:rsid wsp:val=&quot;0042396F&quot;/&gt;&lt;wsp:rsid wsp:val=&quot;00423B44&quot;/&gt;&lt;wsp:rsid wsp:val=&quot;00423E10&quot;/&gt;&lt;wsp:rsid wsp:val=&quot;004241E3&quot;/&gt;&lt;wsp:rsid wsp:val=&quot;004244C1&quot;/&gt;&lt;wsp:rsid wsp:val=&quot;00424551&quot;/&gt;&lt;wsp:rsid wsp:val=&quot;00424868&quot;/&gt;&lt;wsp:rsid wsp:val=&quot;00424B55&quot;/&gt;&lt;wsp:rsid wsp:val=&quot;00424B6D&quot;/&gt;&lt;wsp:rsid wsp:val=&quot;00424B6F&quot;/&gt;&lt;wsp:rsid wsp:val=&quot;00424BA4&quot;/&gt;&lt;wsp:rsid wsp:val=&quot;00424DC3&quot;/&gt;&lt;wsp:rsid wsp:val=&quot;00425106&quot;/&gt;&lt;wsp:rsid wsp:val=&quot;0042521E&quot;/&gt;&lt;wsp:rsid wsp:val=&quot;0042527A&quot;/&gt;&lt;wsp:rsid wsp:val=&quot;0042578C&quot;/&gt;&lt;wsp:rsid wsp:val=&quot;0042579D&quot;/&gt;&lt;wsp:rsid wsp:val=&quot;00425B19&quot;/&gt;&lt;wsp:rsid wsp:val=&quot;00426310&quot;/&gt;&lt;wsp:rsid wsp:val=&quot;004268F6&quot;/&gt;&lt;wsp:rsid wsp:val=&quot;00426F5F&quot;/&gt;&lt;wsp:rsid wsp:val=&quot;0042708D&quot;/&gt;&lt;wsp:rsid wsp:val=&quot;004271C8&quot;/&gt;&lt;wsp:rsid wsp:val=&quot;004273E3&quot;/&gt;&lt;wsp:rsid wsp:val=&quot;004276D2&quot;/&gt;&lt;wsp:rsid wsp:val=&quot;00427B2A&quot;/&gt;&lt;wsp:rsid wsp:val=&quot;00427D6F&quot;/&gt;&lt;wsp:rsid wsp:val=&quot;00427DA8&quot;/&gt;&lt;wsp:rsid wsp:val=&quot;00427E1E&quot;/&gt;&lt;wsp:rsid wsp:val=&quot;004302DD&quot;/&gt;&lt;wsp:rsid wsp:val=&quot;00430873&quot;/&gt;&lt;wsp:rsid wsp:val=&quot;00430D7F&quot;/&gt;&lt;wsp:rsid wsp:val=&quot;00430FA9&quot;/&gt;&lt;wsp:rsid wsp:val=&quot;00431317&quot;/&gt;&lt;wsp:rsid wsp:val=&quot;004314DB&quot;/&gt;&lt;wsp:rsid wsp:val=&quot;00431B25&quot;/&gt;&lt;wsp:rsid wsp:val=&quot;00431D57&quot;/&gt;&lt;wsp:rsid wsp:val=&quot;00432896&quot;/&gt;&lt;wsp:rsid wsp:val=&quot;00432F88&quot;/&gt;&lt;wsp:rsid wsp:val=&quot;004331E1&quot;/&gt;&lt;wsp:rsid wsp:val=&quot;00433717&quot;/&gt;&lt;wsp:rsid wsp:val=&quot;00433D2C&quot;/&gt;&lt;wsp:rsid wsp:val=&quot;00433EAB&quot;/&gt;&lt;wsp:rsid wsp:val=&quot;00434A40&quot;/&gt;&lt;wsp:rsid wsp:val=&quot;004357AA&quot;/&gt;&lt;wsp:rsid wsp:val=&quot;004358D3&quot;/&gt;&lt;wsp:rsid wsp:val=&quot;00435C4C&quot;/&gt;&lt;wsp:rsid wsp:val=&quot;00436097&quot;/&gt;&lt;wsp:rsid wsp:val=&quot;004369B2&quot;/&gt;&lt;wsp:rsid wsp:val=&quot;00436A98&quot;/&gt;&lt;wsp:rsid wsp:val=&quot;00436BD4&quot;/&gt;&lt;wsp:rsid wsp:val=&quot;00436E0E&quot;/&gt;&lt;wsp:rsid wsp:val=&quot;00436EE4&quot;/&gt;&lt;wsp:rsid wsp:val=&quot;004404C3&quot;/&gt;&lt;wsp:rsid wsp:val=&quot;00440F2D&quot;/&gt;&lt;wsp:rsid wsp:val=&quot;004419C5&quot;/&gt;&lt;wsp:rsid wsp:val=&quot;00441B0D&quot;/&gt;&lt;wsp:rsid wsp:val=&quot;00441E08&quot;/&gt;&lt;wsp:rsid wsp:val=&quot;0044225E&quot;/&gt;&lt;wsp:rsid wsp:val=&quot;00442485&quot;/&gt;&lt;wsp:rsid wsp:val=&quot;004425D0&quot;/&gt;&lt;wsp:rsid wsp:val=&quot;0044325F&quot;/&gt;&lt;wsp:rsid wsp:val=&quot;004433D0&quot;/&gt;&lt;wsp:rsid wsp:val=&quot;00443E2F&quot;/&gt;&lt;wsp:rsid wsp:val=&quot;00444A5B&quot;/&gt;&lt;wsp:rsid wsp:val=&quot;00444A7E&quot;/&gt;&lt;wsp:rsid wsp:val=&quot;00444B2A&quot;/&gt;&lt;wsp:rsid wsp:val=&quot;00444D99&quot;/&gt;&lt;wsp:rsid wsp:val=&quot;004453DE&quot;/&gt;&lt;wsp:rsid wsp:val=&quot;0044559D&quot;/&gt;&lt;wsp:rsid wsp:val=&quot;00445737&quot;/&gt;&lt;wsp:rsid wsp:val=&quot;004458EB&quot;/&gt;&lt;wsp:rsid wsp:val=&quot;00445D47&quot;/&gt;&lt;wsp:rsid wsp:val=&quot;004465E4&quot;/&gt;&lt;wsp:rsid wsp:val=&quot;0044688F&quot;/&gt;&lt;wsp:rsid wsp:val=&quot;0044693A&quot;/&gt;&lt;wsp:rsid wsp:val=&quot;00446CDE&quot;/&gt;&lt;wsp:rsid wsp:val=&quot;00446D01&quot;/&gt;&lt;wsp:rsid wsp:val=&quot;0044742D&quot;/&gt;&lt;wsp:rsid wsp:val=&quot;00447EAF&quot;/&gt;&lt;wsp:rsid wsp:val=&quot;004500DA&quot;/&gt;&lt;wsp:rsid wsp:val=&quot;0045055A&quot;/&gt;&lt;wsp:rsid wsp:val=&quot;004507FD&quot;/&gt;&lt;wsp:rsid wsp:val=&quot;00450A2B&quot;/&gt;&lt;wsp:rsid wsp:val=&quot;00451205&quot;/&gt;&lt;wsp:rsid wsp:val=&quot;00451255&quot;/&gt;&lt;wsp:rsid wsp:val=&quot;00451744&quot;/&gt;&lt;wsp:rsid wsp:val=&quot;00451C6F&quot;/&gt;&lt;wsp:rsid wsp:val=&quot;00451EE4&quot;/&gt;&lt;wsp:rsid wsp:val=&quot;004524AA&quot;/&gt;&lt;wsp:rsid wsp:val=&quot;004524AB&quot;/&gt;&lt;wsp:rsid wsp:val=&quot;0045280C&quot;/&gt;&lt;wsp:rsid wsp:val=&quot;00452880&quot;/&gt;&lt;wsp:rsid wsp:val=&quot;00452C8D&quot;/&gt;&lt;wsp:rsid wsp:val=&quot;0045363F&quot;/&gt;&lt;wsp:rsid wsp:val=&quot;004536AD&quot;/&gt;&lt;wsp:rsid wsp:val=&quot;00453D53&quot;/&gt;&lt;wsp:rsid wsp:val=&quot;00453D60&quot;/&gt;&lt;wsp:rsid wsp:val=&quot;00453E18&quot;/&gt;&lt;wsp:rsid wsp:val=&quot;00454D90&quot;/&gt;&lt;wsp:rsid wsp:val=&quot;00454F1E&quot;/&gt;&lt;wsp:rsid wsp:val=&quot;00454FAC&quot;/&gt;&lt;wsp:rsid wsp:val=&quot;0045608C&quot;/&gt;&lt;wsp:rsid wsp:val=&quot;0045692A&quot;/&gt;&lt;wsp:rsid wsp:val=&quot;004575C7&quot;/&gt;&lt;wsp:rsid wsp:val=&quot;00457665&quot;/&gt;&lt;wsp:rsid wsp:val=&quot;0045796B&quot;/&gt;&lt;wsp:rsid wsp:val=&quot;00457A92&quot;/&gt;&lt;wsp:rsid wsp:val=&quot;00457CDA&quot;/&gt;&lt;wsp:rsid wsp:val=&quot;0046014C&quot;/&gt;&lt;wsp:rsid wsp:val=&quot;004607BD&quot;/&gt;&lt;wsp:rsid wsp:val=&quot;00460D0D&quot;/&gt;&lt;wsp:rsid wsp:val=&quot;00461029&quot;/&gt;&lt;wsp:rsid wsp:val=&quot;00461236&quot;/&gt;&lt;wsp:rsid wsp:val=&quot;00461543&quot;/&gt;&lt;wsp:rsid wsp:val=&quot;004619CC&quot;/&gt;&lt;wsp:rsid wsp:val=&quot;00461DA9&quot;/&gt;&lt;wsp:rsid wsp:val=&quot;00462293&quot;/&gt;&lt;wsp:rsid wsp:val=&quot;00462798&quot;/&gt;&lt;wsp:rsid wsp:val=&quot;00462ADB&quot;/&gt;&lt;wsp:rsid wsp:val=&quot;00462B19&quot;/&gt;&lt;wsp:rsid wsp:val=&quot;00462B49&quot;/&gt;&lt;wsp:rsid wsp:val=&quot;0046304A&quot;/&gt;&lt;wsp:rsid wsp:val=&quot;004634B4&quot;/&gt;&lt;wsp:rsid wsp:val=&quot;00463504&quot;/&gt;&lt;wsp:rsid wsp:val=&quot;00463561&quot;/&gt;&lt;wsp:rsid wsp:val=&quot;00463929&quot;/&gt;&lt;wsp:rsid wsp:val=&quot;00463A15&quot;/&gt;&lt;wsp:rsid wsp:val=&quot;00463D30&quot;/&gt;&lt;wsp:rsid wsp:val=&quot;0046400F&quot;/&gt;&lt;wsp:rsid wsp:val=&quot;004649F7&quot;/&gt;&lt;wsp:rsid wsp:val=&quot;00465139&quot;/&gt;&lt;wsp:rsid wsp:val=&quot;00465365&quot;/&gt;&lt;wsp:rsid wsp:val=&quot;004653E2&quot;/&gt;&lt;wsp:rsid wsp:val=&quot;00465595&quot;/&gt;&lt;wsp:rsid wsp:val=&quot;0046575D&quot;/&gt;&lt;wsp:rsid wsp:val=&quot;00465AD5&quot;/&gt;&lt;wsp:rsid wsp:val=&quot;00465D29&quot;/&gt;&lt;wsp:rsid wsp:val=&quot;00465ED2&quot;/&gt;&lt;wsp:rsid wsp:val=&quot;00466B98&quot;/&gt;&lt;wsp:rsid wsp:val=&quot;00466E13&quot;/&gt;&lt;wsp:rsid wsp:val=&quot;00466F51&quot;/&gt;&lt;wsp:rsid wsp:val=&quot;00466FA2&quot;/&gt;&lt;wsp:rsid wsp:val=&quot;004673C0&quot;/&gt;&lt;wsp:rsid wsp:val=&quot;0046777A&quot;/&gt;&lt;wsp:rsid wsp:val=&quot;00467E53&quot;/&gt;&lt;wsp:rsid wsp:val=&quot;004702FC&quot;/&gt;&lt;wsp:rsid wsp:val=&quot;00470765&quot;/&gt;&lt;wsp:rsid wsp:val=&quot;00470970&quot;/&gt;&lt;wsp:rsid wsp:val=&quot;00471355&quot;/&gt;&lt;wsp:rsid wsp:val=&quot;004713E2&quot;/&gt;&lt;wsp:rsid wsp:val=&quot;00471A7E&quot;/&gt;&lt;wsp:rsid wsp:val=&quot;00471B18&quot;/&gt;&lt;wsp:rsid wsp:val=&quot;004723A4&quot;/&gt;&lt;wsp:rsid wsp:val=&quot;00472806&quot;/&gt;&lt;wsp:rsid wsp:val=&quot;00472ABB&quot;/&gt;&lt;wsp:rsid wsp:val=&quot;004734E8&quot;/&gt;&lt;wsp:rsid wsp:val=&quot;00473A78&quot;/&gt;&lt;wsp:rsid wsp:val=&quot;00473DF8&quot;/&gt;&lt;wsp:rsid wsp:val=&quot;00473EB5&quot;/&gt;&lt;wsp:rsid wsp:val=&quot;00475199&quot;/&gt;&lt;wsp:rsid wsp:val=&quot;004758AB&quot;/&gt;&lt;wsp:rsid wsp:val=&quot;00475A54&quot;/&gt;&lt;wsp:rsid wsp:val=&quot;00475D31&quot;/&gt;&lt;wsp:rsid wsp:val=&quot;004764D1&quot;/&gt;&lt;wsp:rsid wsp:val=&quot;00476771&quot;/&gt;&lt;wsp:rsid wsp:val=&quot;0047688F&quot;/&gt;&lt;wsp:rsid wsp:val=&quot;00476AF1&quot;/&gt;&lt;wsp:rsid wsp:val=&quot;00476C5A&quot;/&gt;&lt;wsp:rsid wsp:val=&quot;00476D0A&quot;/&gt;&lt;wsp:rsid wsp:val=&quot;00477364&quot;/&gt;&lt;wsp:rsid wsp:val=&quot;004779F7&quot;/&gt;&lt;wsp:rsid wsp:val=&quot;00477ACD&quot;/&gt;&lt;wsp:rsid wsp:val=&quot;00477B16&quot;/&gt;&lt;wsp:rsid wsp:val=&quot;0048031E&quot;/&gt;&lt;wsp:rsid wsp:val=&quot;004810E1&quot;/&gt;&lt;wsp:rsid wsp:val=&quot;00481152&quot;/&gt;&lt;wsp:rsid wsp:val=&quot;00481281&quot;/&gt;&lt;wsp:rsid wsp:val=&quot;0048197A&quot;/&gt;&lt;wsp:rsid wsp:val=&quot;004823F3&quot;/&gt;&lt;wsp:rsid wsp:val=&quot;00482681&quot;/&gt;&lt;wsp:rsid wsp:val=&quot;00482718&quot;/&gt;&lt;wsp:rsid wsp:val=&quot;004829EE&quot;/&gt;&lt;wsp:rsid wsp:val=&quot;0048317A&quot;/&gt;&lt;wsp:rsid wsp:val=&quot;00483263&quot;/&gt;&lt;wsp:rsid wsp:val=&quot;004833F9&quot;/&gt;&lt;wsp:rsid wsp:val=&quot;00483501&quot;/&gt;&lt;wsp:rsid wsp:val=&quot;00483566&quot;/&gt;&lt;wsp:rsid wsp:val=&quot;0048388E&quot;/&gt;&lt;wsp:rsid wsp:val=&quot;00483CE8&quot;/&gt;&lt;wsp:rsid wsp:val=&quot;004842BA&quot;/&gt;&lt;wsp:rsid wsp:val=&quot;00484408&quot;/&gt;&lt;wsp:rsid wsp:val=&quot;004846AA&quot;/&gt;&lt;wsp:rsid wsp:val=&quot;00484A66&quot;/&gt;&lt;wsp:rsid wsp:val=&quot;00484AB5&quot;/&gt;&lt;wsp:rsid wsp:val=&quot;00484DE9&quot;/&gt;&lt;wsp:rsid wsp:val=&quot;00485487&quot;/&gt;&lt;wsp:rsid wsp:val=&quot;00485CB8&quot;/&gt;&lt;wsp:rsid wsp:val=&quot;00485F09&quot;/&gt;&lt;wsp:rsid wsp:val=&quot;00485F0D&quot;/&gt;&lt;wsp:rsid wsp:val=&quot;0048618B&quot;/&gt;&lt;wsp:rsid wsp:val=&quot;004862AA&quot;/&gt;&lt;wsp:rsid wsp:val=&quot;00486356&quot;/&gt;&lt;wsp:rsid wsp:val=&quot;004866AD&quot;/&gt;&lt;wsp:rsid wsp:val=&quot;004867DD&quot;/&gt;&lt;wsp:rsid wsp:val=&quot;00486AD0&quot;/&gt;&lt;wsp:rsid wsp:val=&quot;00487522&quot;/&gt;&lt;wsp:rsid wsp:val=&quot;0049000B&quot;/&gt;&lt;wsp:rsid wsp:val=&quot;00490441&quot;/&gt;&lt;wsp:rsid wsp:val=&quot;00490484&quot;/&gt;&lt;wsp:rsid wsp:val=&quot;00490623&quot;/&gt;&lt;wsp:rsid wsp:val=&quot;004907EA&quot;/&gt;&lt;wsp:rsid wsp:val=&quot;00491CDA&quot;/&gt;&lt;wsp:rsid wsp:val=&quot;00492703&quot;/&gt;&lt;wsp:rsid wsp:val=&quot;004927E1&quot;/&gt;&lt;wsp:rsid wsp:val=&quot;00492D91&quot;/&gt;&lt;wsp:rsid wsp:val=&quot;004930A9&quot;/&gt;&lt;wsp:rsid wsp:val=&quot;00493387&quot;/&gt;&lt;wsp:rsid wsp:val=&quot;0049428B&quot;/&gt;&lt;wsp:rsid wsp:val=&quot;004946B6&quot;/&gt;&lt;wsp:rsid wsp:val=&quot;00494A65&quot;/&gt;&lt;wsp:rsid wsp:val=&quot;004956E6&quot;/&gt;&lt;wsp:rsid wsp:val=&quot;00495ABD&quot;/&gt;&lt;wsp:rsid wsp:val=&quot;00495F9B&quot;/&gt;&lt;wsp:rsid wsp:val=&quot;004963E7&quot;/&gt;&lt;wsp:rsid wsp:val=&quot;00496A96&quot;/&gt;&lt;wsp:rsid wsp:val=&quot;00496BA8&quot;/&gt;&lt;wsp:rsid wsp:val=&quot;00496D0B&quot;/&gt;&lt;wsp:rsid wsp:val=&quot;0049727F&quot;/&gt;&lt;wsp:rsid wsp:val=&quot;0049746B&quot;/&gt;&lt;wsp:rsid wsp:val=&quot;00497AE2&quot;/&gt;&lt;wsp:rsid wsp:val=&quot;004A0094&quot;/&gt;&lt;wsp:rsid wsp:val=&quot;004A01EC&quot;/&gt;&lt;wsp:rsid wsp:val=&quot;004A0756&quot;/&gt;&lt;wsp:rsid wsp:val=&quot;004A076C&quot;/&gt;&lt;wsp:rsid wsp:val=&quot;004A145B&quot;/&gt;&lt;wsp:rsid wsp:val=&quot;004A14DF&quot;/&gt;&lt;wsp:rsid wsp:val=&quot;004A1978&quot;/&gt;&lt;wsp:rsid wsp:val=&quot;004A1A75&quot;/&gt;&lt;wsp:rsid wsp:val=&quot;004A2234&quot;/&gt;&lt;wsp:rsid wsp:val=&quot;004A26D0&quot;/&gt;&lt;wsp:rsid wsp:val=&quot;004A2947&quot;/&gt;&lt;wsp:rsid wsp:val=&quot;004A295B&quot;/&gt;&lt;wsp:rsid wsp:val=&quot;004A2F95&quot;/&gt;&lt;wsp:rsid wsp:val=&quot;004A35DD&quot;/&gt;&lt;wsp:rsid wsp:val=&quot;004A3A0B&quot;/&gt;&lt;wsp:rsid wsp:val=&quot;004A42CA&quot;/&gt;&lt;wsp:rsid wsp:val=&quot;004A47EE&quot;/&gt;&lt;wsp:rsid wsp:val=&quot;004A4EB8&quot;/&gt;&lt;wsp:rsid wsp:val=&quot;004A4F64&quot;/&gt;&lt;wsp:rsid wsp:val=&quot;004A55C8&quot;/&gt;&lt;wsp:rsid wsp:val=&quot;004A5620&quot;/&gt;&lt;wsp:rsid wsp:val=&quot;004A57C4&quot;/&gt;&lt;wsp:rsid wsp:val=&quot;004A5EE8&quot;/&gt;&lt;wsp:rsid wsp:val=&quot;004A5F83&quot;/&gt;&lt;wsp:rsid wsp:val=&quot;004A6E01&quot;/&gt;&lt;wsp:rsid wsp:val=&quot;004A704E&quot;/&gt;&lt;wsp:rsid wsp:val=&quot;004A775E&quot;/&gt;&lt;wsp:rsid wsp:val=&quot;004A77C1&quot;/&gt;&lt;wsp:rsid wsp:val=&quot;004B0414&quot;/&gt;&lt;wsp:rsid wsp:val=&quot;004B0911&quot;/&gt;&lt;wsp:rsid wsp:val=&quot;004B0B74&quot;/&gt;&lt;wsp:rsid wsp:val=&quot;004B0E9E&quot;/&gt;&lt;wsp:rsid wsp:val=&quot;004B0EA4&quot;/&gt;&lt;wsp:rsid wsp:val=&quot;004B20C4&quot;/&gt;&lt;wsp:rsid wsp:val=&quot;004B2516&quot;/&gt;&lt;wsp:rsid wsp:val=&quot;004B26EA&quot;/&gt;&lt;wsp:rsid wsp:val=&quot;004B2C32&quot;/&gt;&lt;wsp:rsid wsp:val=&quot;004B318F&quot;/&gt;&lt;wsp:rsid wsp:val=&quot;004B35F2&quot;/&gt;&lt;wsp:rsid wsp:val=&quot;004B379F&quot;/&gt;&lt;wsp:rsid wsp:val=&quot;004B383E&quot;/&gt;&lt;wsp:rsid wsp:val=&quot;004B3B88&quot;/&gt;&lt;wsp:rsid wsp:val=&quot;004B41F8&quot;/&gt;&lt;wsp:rsid wsp:val=&quot;004B44FB&quot;/&gt;&lt;wsp:rsid wsp:val=&quot;004B4633&quot;/&gt;&lt;wsp:rsid wsp:val=&quot;004B4AAC&quot;/&gt;&lt;wsp:rsid wsp:val=&quot;004B5012&quot;/&gt;&lt;wsp:rsid wsp:val=&quot;004B50D4&quot;/&gt;&lt;wsp:rsid wsp:val=&quot;004B50E4&quot;/&gt;&lt;wsp:rsid wsp:val=&quot;004B565B&quot;/&gt;&lt;wsp:rsid wsp:val=&quot;004B5771&quot;/&gt;&lt;wsp:rsid wsp:val=&quot;004B6183&quot;/&gt;&lt;wsp:rsid wsp:val=&quot;004B6226&quot;/&gt;&lt;wsp:rsid wsp:val=&quot;004B6F7B&quot;/&gt;&lt;wsp:rsid wsp:val=&quot;004B710C&quot;/&gt;&lt;wsp:rsid wsp:val=&quot;004B769F&quot;/&gt;&lt;wsp:rsid wsp:val=&quot;004B79C8&quot;/&gt;&lt;wsp:rsid wsp:val=&quot;004B7B4E&quot;/&gt;&lt;wsp:rsid wsp:val=&quot;004B7F89&quot;/&gt;&lt;wsp:rsid wsp:val=&quot;004B7FC4&quot;/&gt;&lt;wsp:rsid wsp:val=&quot;004C0205&quot;/&gt;&lt;wsp:rsid wsp:val=&quot;004C05B7&quot;/&gt;&lt;wsp:rsid wsp:val=&quot;004C06DD&quot;/&gt;&lt;wsp:rsid wsp:val=&quot;004C0873&quot;/&gt;&lt;wsp:rsid wsp:val=&quot;004C09CB&quot;/&gt;&lt;wsp:rsid wsp:val=&quot;004C0B23&quot;/&gt;&lt;wsp:rsid wsp:val=&quot;004C0EEA&quot;/&gt;&lt;wsp:rsid wsp:val=&quot;004C0FC1&quot;/&gt;&lt;wsp:rsid wsp:val=&quot;004C1286&quot;/&gt;&lt;wsp:rsid wsp:val=&quot;004C157D&quot;/&gt;&lt;wsp:rsid wsp:val=&quot;004C17AA&quot;/&gt;&lt;wsp:rsid wsp:val=&quot;004C21B4&quot;/&gt;&lt;wsp:rsid wsp:val=&quot;004C29DD&quot;/&gt;&lt;wsp:rsid wsp:val=&quot;004C2D9F&quot;/&gt;&lt;wsp:rsid wsp:val=&quot;004C30F1&quot;/&gt;&lt;wsp:rsid wsp:val=&quot;004C3224&quot;/&gt;&lt;wsp:rsid wsp:val=&quot;004C3756&quot;/&gt;&lt;wsp:rsid wsp:val=&quot;004C3994&quot;/&gt;&lt;wsp:rsid wsp:val=&quot;004C430B&quot;/&gt;&lt;wsp:rsid wsp:val=&quot;004C4648&quot;/&gt;&lt;wsp:rsid wsp:val=&quot;004C4837&quot;/&gt;&lt;wsp:rsid wsp:val=&quot;004C49F8&quot;/&gt;&lt;wsp:rsid wsp:val=&quot;004C4A84&quot;/&gt;&lt;wsp:rsid wsp:val=&quot;004C5203&quot;/&gt;&lt;wsp:rsid wsp:val=&quot;004C5E09&quot;/&gt;&lt;wsp:rsid wsp:val=&quot;004C5E1C&quot;/&gt;&lt;wsp:rsid wsp:val=&quot;004C6033&quot;/&gt;&lt;wsp:rsid wsp:val=&quot;004C6EC4&quot;/&gt;&lt;wsp:rsid wsp:val=&quot;004C6F64&quot;/&gt;&lt;wsp:rsid wsp:val=&quot;004C7873&quot;/&gt;&lt;wsp:rsid wsp:val=&quot;004C7E44&quot;/&gt;&lt;wsp:rsid wsp:val=&quot;004D026F&quot;/&gt;&lt;wsp:rsid wsp:val=&quot;004D0396&quot;/&gt;&lt;wsp:rsid wsp:val=&quot;004D084D&quot;/&gt;&lt;wsp:rsid wsp:val=&quot;004D138E&quot;/&gt;&lt;wsp:rsid wsp:val=&quot;004D1B28&quot;/&gt;&lt;wsp:rsid wsp:val=&quot;004D1DFA&quot;/&gt;&lt;wsp:rsid wsp:val=&quot;004D2AE7&quot;/&gt;&lt;wsp:rsid wsp:val=&quot;004D2EDA&quot;/&gt;&lt;wsp:rsid wsp:val=&quot;004D3490&quot;/&gt;&lt;wsp:rsid wsp:val=&quot;004D363F&quot;/&gt;&lt;wsp:rsid wsp:val=&quot;004D3E14&quot;/&gt;&lt;wsp:rsid wsp:val=&quot;004D401D&quot;/&gt;&lt;wsp:rsid wsp:val=&quot;004D469F&quot;/&gt;&lt;wsp:rsid wsp:val=&quot;004D49B5&quot;/&gt;&lt;wsp:rsid wsp:val=&quot;004D5903&quot;/&gt;&lt;wsp:rsid wsp:val=&quot;004D5B7D&quot;/&gt;&lt;wsp:rsid wsp:val=&quot;004D5E0E&quot;/&gt;&lt;wsp:rsid wsp:val=&quot;004D5F54&quot;/&gt;&lt;wsp:rsid wsp:val=&quot;004D6517&quot;/&gt;&lt;wsp:rsid wsp:val=&quot;004D6817&quot;/&gt;&lt;wsp:rsid wsp:val=&quot;004D68B0&quot;/&gt;&lt;wsp:rsid wsp:val=&quot;004D6945&quot;/&gt;&lt;wsp:rsid wsp:val=&quot;004D6A97&quot;/&gt;&lt;wsp:rsid wsp:val=&quot;004D706D&quot;/&gt;&lt;wsp:rsid wsp:val=&quot;004D7638&quot;/&gt;&lt;wsp:rsid wsp:val=&quot;004E0169&quot;/&gt;&lt;wsp:rsid wsp:val=&quot;004E0422&quot;/&gt;&lt;wsp:rsid wsp:val=&quot;004E0447&quot;/&gt;&lt;wsp:rsid wsp:val=&quot;004E0717&quot;/&gt;&lt;wsp:rsid wsp:val=&quot;004E0832&quot;/&gt;&lt;wsp:rsid wsp:val=&quot;004E08C1&quot;/&gt;&lt;wsp:rsid wsp:val=&quot;004E0D19&quot;/&gt;&lt;wsp:rsid wsp:val=&quot;004E0DA8&quot;/&gt;&lt;wsp:rsid wsp:val=&quot;004E0F0D&quot;/&gt;&lt;wsp:rsid wsp:val=&quot;004E1368&quot;/&gt;&lt;wsp:rsid wsp:val=&quot;004E14B9&quot;/&gt;&lt;wsp:rsid wsp:val=&quot;004E17AB&quot;/&gt;&lt;wsp:rsid wsp:val=&quot;004E17CE&quot;/&gt;&lt;wsp:rsid wsp:val=&quot;004E19B3&quot;/&gt;&lt;wsp:rsid wsp:val=&quot;004E1C8A&quot;/&gt;&lt;wsp:rsid wsp:val=&quot;004E2107&quot;/&gt;&lt;wsp:rsid wsp:val=&quot;004E2744&quot;/&gt;&lt;wsp:rsid wsp:val=&quot;004E2787&quot;/&gt;&lt;wsp:rsid wsp:val=&quot;004E2E2D&quot;/&gt;&lt;wsp:rsid wsp:val=&quot;004E3174&quot;/&gt;&lt;wsp:rsid wsp:val=&quot;004E34E1&quot;/&gt;&lt;wsp:rsid wsp:val=&quot;004E4054&quot;/&gt;&lt;wsp:rsid wsp:val=&quot;004E4C7F&quot;/&gt;&lt;wsp:rsid wsp:val=&quot;004E4D16&quot;/&gt;&lt;wsp:rsid wsp:val=&quot;004E571C&quot;/&gt;&lt;wsp:rsid wsp:val=&quot;004E5DE2&quot;/&gt;&lt;wsp:rsid wsp:val=&quot;004E6225&quot;/&gt;&lt;wsp:rsid wsp:val=&quot;004E63D8&quot;/&gt;&lt;wsp:rsid wsp:val=&quot;004E676C&quot;/&gt;&lt;wsp:rsid wsp:val=&quot;004E6B09&quot;/&gt;&lt;wsp:rsid wsp:val=&quot;004E7E57&quot;/&gt;&lt;wsp:rsid wsp:val=&quot;004E7EE9&quot;/&gt;&lt;wsp:rsid wsp:val=&quot;004F04C6&quot;/&gt;&lt;wsp:rsid wsp:val=&quot;004F128F&quot;/&gt;&lt;wsp:rsid wsp:val=&quot;004F1535&quot;/&gt;&lt;wsp:rsid wsp:val=&quot;004F1CBC&quot;/&gt;&lt;wsp:rsid wsp:val=&quot;004F229D&quot;/&gt;&lt;wsp:rsid wsp:val=&quot;004F28D3&quot;/&gt;&lt;wsp:rsid wsp:val=&quot;004F2DA5&quot;/&gt;&lt;wsp:rsid wsp:val=&quot;004F304E&quot;/&gt;&lt;wsp:rsid wsp:val=&quot;004F396E&quot;/&gt;&lt;wsp:rsid wsp:val=&quot;004F3B0A&quot;/&gt;&lt;wsp:rsid wsp:val=&quot;004F3D7E&quot;/&gt;&lt;wsp:rsid wsp:val=&quot;004F45DC&quot;/&gt;&lt;wsp:rsid wsp:val=&quot;004F4761&quot;/&gt;&lt;wsp:rsid wsp:val=&quot;004F4BB8&quot;/&gt;&lt;wsp:rsid wsp:val=&quot;004F4DD3&quot;/&gt;&lt;wsp:rsid wsp:val=&quot;004F51F0&quot;/&gt;&lt;wsp:rsid wsp:val=&quot;004F52A1&quot;/&gt;&lt;wsp:rsid wsp:val=&quot;004F565E&quot;/&gt;&lt;wsp:rsid wsp:val=&quot;004F64D9&quot;/&gt;&lt;wsp:rsid wsp:val=&quot;004F6683&quot;/&gt;&lt;wsp:rsid wsp:val=&quot;004F67C7&quot;/&gt;&lt;wsp:rsid wsp:val=&quot;004F67E8&quot;/&gt;&lt;wsp:rsid wsp:val=&quot;004F69BE&quot;/&gt;&lt;wsp:rsid wsp:val=&quot;004F6A6F&quot;/&gt;&lt;wsp:rsid wsp:val=&quot;004F6BC4&quot;/&gt;&lt;wsp:rsid wsp:val=&quot;004F7188&quot;/&gt;&lt;wsp:rsid wsp:val=&quot;004F7337&quot;/&gt;&lt;wsp:rsid wsp:val=&quot;004F734E&quot;/&gt;&lt;wsp:rsid wsp:val=&quot;004F7525&quot;/&gt;&lt;wsp:rsid wsp:val=&quot;004F7F67&quot;/&gt;&lt;wsp:rsid wsp:val=&quot;005000B9&quot;/&gt;&lt;wsp:rsid wsp:val=&quot;00500673&quot;/&gt;&lt;wsp:rsid wsp:val=&quot;00500A0D&quot;/&gt;&lt;wsp:rsid wsp:val=&quot;00501591&quot;/&gt;&lt;wsp:rsid wsp:val=&quot;005018B8&quot;/&gt;&lt;wsp:rsid wsp:val=&quot;00501A86&quot;/&gt;&lt;wsp:rsid wsp:val=&quot;00501C97&quot;/&gt;&lt;wsp:rsid wsp:val=&quot;005029F1&quot;/&gt;&lt;wsp:rsid wsp:val=&quot;00503389&quot;/&gt;&lt;wsp:rsid wsp:val=&quot;005034A7&quot;/&gt;&lt;wsp:rsid wsp:val=&quot;00504578&quot;/&gt;&lt;wsp:rsid wsp:val=&quot;005046E1&quot;/&gt;&lt;wsp:rsid wsp:val=&quot;005049B5&quot;/&gt;&lt;wsp:rsid wsp:val=&quot;00504BCC&quot;/&gt;&lt;wsp:rsid wsp:val=&quot;005052FF&quot;/&gt;&lt;wsp:rsid wsp:val=&quot;0050544B&quot;/&gt;&lt;wsp:rsid wsp:val=&quot;005057A4&quot;/&gt;&lt;wsp:rsid wsp:val=&quot;00505992&quot;/&gt;&lt;wsp:rsid wsp:val=&quot;00505C46&quot;/&gt;&lt;wsp:rsid wsp:val=&quot;005066BE&quot;/&gt;&lt;wsp:rsid wsp:val=&quot;00506852&quot;/&gt;&lt;wsp:rsid wsp:val=&quot;00506913&quot;/&gt;&lt;wsp:rsid wsp:val=&quot;00506ABB&quot;/&gt;&lt;wsp:rsid wsp:val=&quot;00506FDE&quot;/&gt;&lt;wsp:rsid wsp:val=&quot;00507686&quot;/&gt;&lt;wsp:rsid wsp:val=&quot;00507C7E&quot;/&gt;&lt;wsp:rsid wsp:val=&quot;00507E65&quot;/&gt;&lt;wsp:rsid wsp:val=&quot;00510028&quot;/&gt;&lt;wsp:rsid wsp:val=&quot;00510685&quot;/&gt;&lt;wsp:rsid wsp:val=&quot;00510A02&quot;/&gt;&lt;wsp:rsid wsp:val=&quot;00511421&quot;/&gt;&lt;wsp:rsid wsp:val=&quot;00511485&quot;/&gt;&lt;wsp:rsid wsp:val=&quot;00511503&quot;/&gt;&lt;wsp:rsid wsp:val=&quot;00511690&quot;/&gt;&lt;wsp:rsid wsp:val=&quot;005116D5&quot;/&gt;&lt;wsp:rsid wsp:val=&quot;0051198C&quot;/&gt;&lt;wsp:rsid wsp:val=&quot;00511EA7&quot;/&gt;&lt;wsp:rsid wsp:val=&quot;00511FBB&quot;/&gt;&lt;wsp:rsid wsp:val=&quot;00511FCE&quot;/&gt;&lt;wsp:rsid wsp:val=&quot;0051234A&quot;/&gt;&lt;wsp:rsid wsp:val=&quot;00512BB6&quot;/&gt;&lt;wsp:rsid wsp:val=&quot;00512FD8&quot;/&gt;&lt;wsp:rsid wsp:val=&quot;00513324&quot;/&gt;&lt;wsp:rsid wsp:val=&quot;0051374C&quot;/&gt;&lt;wsp:rsid wsp:val=&quot;0051383D&quot;/&gt;&lt;wsp:rsid wsp:val=&quot;00513FA4&quot;/&gt;&lt;wsp:rsid wsp:val=&quot;00514400&quot;/&gt;&lt;wsp:rsid wsp:val=&quot;00514D4E&quot;/&gt;&lt;wsp:rsid wsp:val=&quot;005154E4&quot;/&gt;&lt;wsp:rsid wsp:val=&quot;005155FA&quot;/&gt;&lt;wsp:rsid wsp:val=&quot;00515ADA&quot;/&gt;&lt;wsp:rsid wsp:val=&quot;00515D2C&quot;/&gt;&lt;wsp:rsid wsp:val=&quot;00515D4C&quot;/&gt;&lt;wsp:rsid wsp:val=&quot;005160D8&quot;/&gt;&lt;wsp:rsid wsp:val=&quot;005161B6&quot;/&gt;&lt;wsp:rsid wsp:val=&quot;005163DF&quot;/&gt;&lt;wsp:rsid wsp:val=&quot;00516DF1&quot;/&gt;&lt;wsp:rsid wsp:val=&quot;00517152&quot;/&gt;&lt;wsp:rsid wsp:val=&quot;005172DF&quot;/&gt;&lt;wsp:rsid wsp:val=&quot;005177AA&quot;/&gt;&lt;wsp:rsid wsp:val=&quot;0052006D&quot;/&gt;&lt;wsp:rsid wsp:val=&quot;005201C2&quot;/&gt;&lt;wsp:rsid wsp:val=&quot;00520351&quot;/&gt;&lt;wsp:rsid wsp:val=&quot;00520ADC&quot;/&gt;&lt;wsp:rsid wsp:val=&quot;005210BA&quot;/&gt;&lt;wsp:rsid wsp:val=&quot;005217D0&quot;/&gt;&lt;wsp:rsid wsp:val=&quot;00521889&quot;/&gt;&lt;wsp:rsid wsp:val=&quot;00521B4E&quot;/&gt;&lt;wsp:rsid wsp:val=&quot;005220FF&quot;/&gt;&lt;wsp:rsid wsp:val=&quot;00522530&quot;/&gt;&lt;wsp:rsid wsp:val=&quot;0052265C&quot;/&gt;&lt;wsp:rsid wsp:val=&quot;00522AC2&quot;/&gt;&lt;wsp:rsid wsp:val=&quot;00522B68&quot;/&gt;&lt;wsp:rsid wsp:val=&quot;00522E96&quot;/&gt;&lt;wsp:rsid wsp:val=&quot;00522F01&quot;/&gt;&lt;wsp:rsid wsp:val=&quot;0052306E&quot;/&gt;&lt;wsp:rsid wsp:val=&quot;00523087&quot;/&gt;&lt;wsp:rsid wsp:val=&quot;005232B4&quot;/&gt;&lt;wsp:rsid wsp:val=&quot;00523897&quot;/&gt;&lt;wsp:rsid wsp:val=&quot;005238B7&quot;/&gt;&lt;wsp:rsid wsp:val=&quot;00523F9C&quot;/&gt;&lt;wsp:rsid wsp:val=&quot;00523FE9&quot;/&gt;&lt;wsp:rsid wsp:val=&quot;00524F9F&quot;/&gt;&lt;wsp:rsid wsp:val=&quot;00524FB5&quot;/&gt;&lt;wsp:rsid wsp:val=&quot;005250B5&quot;/&gt;&lt;wsp:rsid wsp:val=&quot;00525355&quot;/&gt;&lt;wsp:rsid wsp:val=&quot;00525772&quot;/&gt;&lt;wsp:rsid wsp:val=&quot;00525F53&quot;/&gt;&lt;wsp:rsid wsp:val=&quot;0052645A&quot;/&gt;&lt;wsp:rsid wsp:val=&quot;005269D2&quot;/&gt;&lt;wsp:rsid wsp:val=&quot;00526A8F&quot;/&gt;&lt;wsp:rsid wsp:val=&quot;00526EB2&quot;/&gt;&lt;wsp:rsid wsp:val=&quot;00526FFB&quot;/&gt;&lt;wsp:rsid wsp:val=&quot;00527045&quot;/&gt;&lt;wsp:rsid wsp:val=&quot;0052715F&quot;/&gt;&lt;wsp:rsid wsp:val=&quot;00527837&quot;/&gt;&lt;wsp:rsid wsp:val=&quot;005278BC&quot;/&gt;&lt;wsp:rsid wsp:val=&quot;00527F76&quot;/&gt;&lt;wsp:rsid wsp:val=&quot;00527F7A&quot;/&gt;&lt;wsp:rsid wsp:val=&quot;00530415&quot;/&gt;&lt;wsp:rsid wsp:val=&quot;00530898&quot;/&gt;&lt;wsp:rsid wsp:val=&quot;00530B3C&quot;/&gt;&lt;wsp:rsid wsp:val=&quot;00531061&quot;/&gt;&lt;wsp:rsid wsp:val=&quot;005318C5&quot;/&gt;&lt;wsp:rsid wsp:val=&quot;00531A3B&quot;/&gt;&lt;wsp:rsid wsp:val=&quot;005327D2&quot;/&gt;&lt;wsp:rsid wsp:val=&quot;00532C13&quot;/&gt;&lt;wsp:rsid wsp:val=&quot;00533370&quot;/&gt;&lt;wsp:rsid wsp:val=&quot;00534107&quot;/&gt;&lt;wsp:rsid wsp:val=&quot;0053539C&quot;/&gt;&lt;wsp:rsid wsp:val=&quot;005354BA&quot;/&gt;&lt;wsp:rsid wsp:val=&quot;00535532&quot;/&gt;&lt;wsp:rsid wsp:val=&quot;00535E42&quot;/&gt;&lt;wsp:rsid wsp:val=&quot;00536268&quot;/&gt;&lt;wsp:rsid wsp:val=&quot;005362D8&quot;/&gt;&lt;wsp:rsid wsp:val=&quot;00536350&quot;/&gt;&lt;wsp:rsid wsp:val=&quot;00536761&quot;/&gt;&lt;wsp:rsid wsp:val=&quot;00537367&quot;/&gt;&lt;wsp:rsid wsp:val=&quot;0053769F&quot;/&gt;&lt;wsp:rsid wsp:val=&quot;005376F7&quot;/&gt;&lt;wsp:rsid wsp:val=&quot;00537FEA&quot;/&gt;&lt;wsp:rsid wsp:val=&quot;00540021&quot;/&gt;&lt;wsp:rsid wsp:val=&quot;00540ED3&quot;/&gt;&lt;wsp:rsid wsp:val=&quot;00540F86&quot;/&gt;&lt;wsp:rsid wsp:val=&quot;00540FA6&quot;/&gt;&lt;wsp:rsid wsp:val=&quot;005415A9&quot;/&gt;&lt;wsp:rsid wsp:val=&quot;0054187E&quot;/&gt;&lt;wsp:rsid wsp:val=&quot;00541974&quot;/&gt;&lt;wsp:rsid wsp:val=&quot;005419B7&quot;/&gt;&lt;wsp:rsid wsp:val=&quot;00541BA3&quot;/&gt;&lt;wsp:rsid wsp:val=&quot;00541BFF&quot;/&gt;&lt;wsp:rsid wsp:val=&quot;00541E07&quot;/&gt;&lt;wsp:rsid wsp:val=&quot;005420FB&quot;/&gt;&lt;wsp:rsid wsp:val=&quot;005427D9&quot;/&gt;&lt;wsp:rsid wsp:val=&quot;005429F0&quot;/&gt;&lt;wsp:rsid wsp:val=&quot;00542C94&quot;/&gt;&lt;wsp:rsid wsp:val=&quot;0054313E&quot;/&gt;&lt;wsp:rsid wsp:val=&quot;00543202&quot;/&gt;&lt;wsp:rsid wsp:val=&quot;0054349E&quot;/&gt;&lt;wsp:rsid wsp:val=&quot;005435FF&quot;/&gt;&lt;wsp:rsid wsp:val=&quot;00544054&quot;/&gt;&lt;wsp:rsid wsp:val=&quot;0054413A&quot;/&gt;&lt;wsp:rsid wsp:val=&quot;00544175&quot;/&gt;&lt;wsp:rsid wsp:val=&quot;00544A2D&quot;/&gt;&lt;wsp:rsid wsp:val=&quot;00544B35&quot;/&gt;&lt;wsp:rsid wsp:val=&quot;005452E9&quot;/&gt;&lt;wsp:rsid wsp:val=&quot;005455D3&quot;/&gt;&lt;wsp:rsid wsp:val=&quot;00545672&quot;/&gt;&lt;wsp:rsid wsp:val=&quot;00545B3F&quot;/&gt;&lt;wsp:rsid wsp:val=&quot;00545C7C&quot;/&gt;&lt;wsp:rsid wsp:val=&quot;005465A8&quot;/&gt;&lt;wsp:rsid wsp:val=&quot;00546DC6&quot;/&gt;&lt;wsp:rsid wsp:val=&quot;00546EB4&quot;/&gt;&lt;wsp:rsid wsp:val=&quot;00547404&quot;/&gt;&lt;wsp:rsid wsp:val=&quot;00547CE2&quot;/&gt;&lt;wsp:rsid wsp:val=&quot;00550120&quot;/&gt;&lt;wsp:rsid wsp:val=&quot;00550AC8&quot;/&gt;&lt;wsp:rsid wsp:val=&quot;00551029&quot;/&gt;&lt;wsp:rsid wsp:val=&quot;00551222&quot;/&gt;&lt;wsp:rsid wsp:val=&quot;005514AC&quot;/&gt;&lt;wsp:rsid wsp:val=&quot;0055166F&quot;/&gt;&lt;wsp:rsid wsp:val=&quot;0055172F&quot;/&gt;&lt;wsp:rsid wsp:val=&quot;0055178F&quot;/&gt;&lt;wsp:rsid wsp:val=&quot;00551B23&quot;/&gt;&lt;wsp:rsid wsp:val=&quot;00552951&quot;/&gt;&lt;wsp:rsid wsp:val=&quot;00552E12&quot;/&gt;&lt;wsp:rsid wsp:val=&quot;00553073&quot;/&gt;&lt;wsp:rsid wsp:val=&quot;00553660&quot;/&gt;&lt;wsp:rsid wsp:val=&quot;005539B7&quot;/&gt;&lt;wsp:rsid wsp:val=&quot;005546C4&quot;/&gt;&lt;wsp:rsid wsp:val=&quot;00554C03&quot;/&gt;&lt;wsp:rsid wsp:val=&quot;005552F6&quot;/&gt;&lt;wsp:rsid wsp:val=&quot;00555654&quot;/&gt;&lt;wsp:rsid wsp:val=&quot;0055588C&quot;/&gt;&lt;wsp:rsid wsp:val=&quot;00555976&quot;/&gt;&lt;wsp:rsid wsp:val=&quot;005559C9&quot;/&gt;&lt;wsp:rsid wsp:val=&quot;00555DF8&quot;/&gt;&lt;wsp:rsid wsp:val=&quot;00556014&quot;/&gt;&lt;wsp:rsid wsp:val=&quot;005562E2&quot;/&gt;&lt;wsp:rsid wsp:val=&quot;005565DB&quot;/&gt;&lt;wsp:rsid wsp:val=&quot;00556E18&quot;/&gt;&lt;wsp:rsid wsp:val=&quot;00556F27&quot;/&gt;&lt;wsp:rsid wsp:val=&quot;00556FB4&quot;/&gt;&lt;wsp:rsid wsp:val=&quot;00557513&quot;/&gt;&lt;wsp:rsid wsp:val=&quot;005577B8&quot;/&gt;&lt;wsp:rsid wsp:val=&quot;00557AD0&quot;/&gt;&lt;wsp:rsid wsp:val=&quot;00557BA8&quot;/&gt;&lt;wsp:rsid wsp:val=&quot;0056092E&quot;/&gt;&lt;wsp:rsid wsp:val=&quot;00561017&quot;/&gt;&lt;wsp:rsid wsp:val=&quot;0056167C&quot;/&gt;&lt;wsp:rsid wsp:val=&quot;00561706&quot;/&gt;&lt;wsp:rsid wsp:val=&quot;00561DA1&quot;/&gt;&lt;wsp:rsid wsp:val=&quot;00561F95&quot;/&gt;&lt;wsp:rsid wsp:val=&quot;0056285A&quot;/&gt;&lt;wsp:rsid wsp:val=&quot;00562E0B&quot;/&gt;&lt;wsp:rsid wsp:val=&quot;0056337D&quot;/&gt;&lt;wsp:rsid wsp:val=&quot;00563832&quot;/&gt;&lt;wsp:rsid wsp:val=&quot;005638F7&quot;/&gt;&lt;wsp:rsid wsp:val=&quot;00563A6B&quot;/&gt;&lt;wsp:rsid wsp:val=&quot;00563DE8&quot;/&gt;&lt;wsp:rsid wsp:val=&quot;0056411C&quot;/&gt;&lt;wsp:rsid wsp:val=&quot;00564210&quot;/&gt;&lt;wsp:rsid wsp:val=&quot;005653BB&quot;/&gt;&lt;wsp:rsid wsp:val=&quot;00565427&quot;/&gt;&lt;wsp:rsid wsp:val=&quot;0056562D&quot;/&gt;&lt;wsp:rsid wsp:val=&quot;00565883&quot;/&gt;&lt;wsp:rsid wsp:val=&quot;005662E7&quot;/&gt;&lt;wsp:rsid wsp:val=&quot;005663FA&quot;/&gt;&lt;wsp:rsid wsp:val=&quot;00566B7F&quot;/&gt;&lt;wsp:rsid wsp:val=&quot;00566C9D&quot;/&gt;&lt;wsp:rsid wsp:val=&quot;00566D0C&quot;/&gt;&lt;wsp:rsid wsp:val=&quot;00566F97&quot;/&gt;&lt;wsp:rsid wsp:val=&quot;0056761A&quot;/&gt;&lt;wsp:rsid wsp:val=&quot;00567E12&quot;/&gt;&lt;wsp:rsid wsp:val=&quot;00567F32&quot;/&gt;&lt;wsp:rsid wsp:val=&quot;00570150&quot;/&gt;&lt;wsp:rsid wsp:val=&quot;00570615&quot;/&gt;&lt;wsp:rsid wsp:val=&quot;005708C0&quot;/&gt;&lt;wsp:rsid wsp:val=&quot;005713EF&quot;/&gt;&lt;wsp:rsid wsp:val=&quot;00571C16&quot;/&gt;&lt;wsp:rsid wsp:val=&quot;00571CDC&quot;/&gt;&lt;wsp:rsid wsp:val=&quot;00572412&quot;/&gt;&lt;wsp:rsid wsp:val=&quot;005725AA&quot;/&gt;&lt;wsp:rsid wsp:val=&quot;00572C59&quot;/&gt;&lt;wsp:rsid wsp:val=&quot;005736DF&quot;/&gt;&lt;wsp:rsid wsp:val=&quot;005738C4&quot;/&gt;&lt;wsp:rsid wsp:val=&quot;0057453C&quot;/&gt;&lt;wsp:rsid wsp:val=&quot;005746A5&quot;/&gt;&lt;wsp:rsid wsp:val=&quot;00574E9F&quot;/&gt;&lt;wsp:rsid wsp:val=&quot;00574EB2&quot;/&gt;&lt;wsp:rsid wsp:val=&quot;005750FF&quot;/&gt;&lt;wsp:rsid wsp:val=&quot;00575781&quot;/&gt;&lt;wsp:rsid wsp:val=&quot;00575986&quot;/&gt;&lt;wsp:rsid wsp:val=&quot;005762FE&quot;/&gt;&lt;wsp:rsid wsp:val=&quot;005765AB&quot;/&gt;&lt;wsp:rsid wsp:val=&quot;00576679&quot;/&gt;&lt;wsp:rsid wsp:val=&quot;005766D0&quot;/&gt;&lt;wsp:rsid wsp:val=&quot;0057677F&quot;/&gt;&lt;wsp:rsid wsp:val=&quot;00576BC9&quot;/&gt;&lt;wsp:rsid wsp:val=&quot;005770B6&quot;/&gt;&lt;wsp:rsid wsp:val=&quot;00577A78&quot;/&gt;&lt;wsp:rsid wsp:val=&quot;00577E31&quot;/&gt;&lt;wsp:rsid wsp:val=&quot;0058063A&quot;/&gt;&lt;wsp:rsid wsp:val=&quot;00580E4D&quot;/&gt;&lt;wsp:rsid wsp:val=&quot;00581A0A&quot;/&gt;&lt;wsp:rsid wsp:val=&quot;00581DA5&quot;/&gt;&lt;wsp:rsid wsp:val=&quot;00581EAA&quot;/&gt;&lt;wsp:rsid wsp:val=&quot;005823CA&quot;/&gt;&lt;wsp:rsid wsp:val=&quot;0058267A&quot;/&gt;&lt;wsp:rsid wsp:val=&quot;00582928&quot;/&gt;&lt;wsp:rsid wsp:val=&quot;00582C0C&quot;/&gt;&lt;wsp:rsid wsp:val=&quot;00582D4D&quot;/&gt;&lt;wsp:rsid wsp:val=&quot;005837DF&quot;/&gt;&lt;wsp:rsid wsp:val=&quot;005838F8&quot;/&gt;&lt;wsp:rsid wsp:val=&quot;005849CA&quot;/&gt;&lt;wsp:rsid wsp:val=&quot;00584EF9&quot;/&gt;&lt;wsp:rsid wsp:val=&quot;0058500A&quot;/&gt;&lt;wsp:rsid wsp:val=&quot;00585304&quot;/&gt;&lt;wsp:rsid wsp:val=&quot;00585453&quot;/&gt;&lt;wsp:rsid wsp:val=&quot;00585765&quot;/&gt;&lt;wsp:rsid wsp:val=&quot;00585C38&quot;/&gt;&lt;wsp:rsid wsp:val=&quot;0058625F&quot;/&gt;&lt;wsp:rsid wsp:val=&quot;0058626E&quot;/&gt;&lt;wsp:rsid wsp:val=&quot;00586689&quot;/&gt;&lt;wsp:rsid wsp:val=&quot;00586DE9&quot;/&gt;&lt;wsp:rsid wsp:val=&quot;00587252&quot;/&gt;&lt;wsp:rsid wsp:val=&quot;00587373&quot;/&gt;&lt;wsp:rsid wsp:val=&quot;00587A4E&quot;/&gt;&lt;wsp:rsid wsp:val=&quot;00587C62&quot;/&gt;&lt;wsp:rsid wsp:val=&quot;00587CD8&quot;/&gt;&lt;wsp:rsid wsp:val=&quot;00587CEE&quot;/&gt;&lt;wsp:rsid wsp:val=&quot;005902D2&quot;/&gt;&lt;wsp:rsid wsp:val=&quot;00590B52&quot;/&gt;&lt;wsp:rsid wsp:val=&quot;0059103B&quot;/&gt;&lt;wsp:rsid wsp:val=&quot;0059196C&quot;/&gt;&lt;wsp:rsid wsp:val=&quot;00591C75&quot;/&gt;&lt;wsp:rsid wsp:val=&quot;005920AF&quot;/&gt;&lt;wsp:rsid wsp:val=&quot;005923E0&quot;/&gt;&lt;wsp:rsid wsp:val=&quot;005929DF&quot;/&gt;&lt;wsp:rsid wsp:val=&quot;00592B20&quot;/&gt;&lt;wsp:rsid wsp:val=&quot;0059338E&quot;/&gt;&lt;wsp:rsid wsp:val=&quot;00593474&quot;/&gt;&lt;wsp:rsid wsp:val=&quot;005935B7&quot;/&gt;&lt;wsp:rsid wsp:val=&quot;005936A9&quot;/&gt;&lt;wsp:rsid wsp:val=&quot;00593982&quot;/&gt;&lt;wsp:rsid wsp:val=&quot;00593BC6&quot;/&gt;&lt;wsp:rsid wsp:val=&quot;00594137&quot;/&gt;&lt;wsp:rsid wsp:val=&quot;00594373&quot;/&gt;&lt;wsp:rsid wsp:val=&quot;005946C3&quot;/&gt;&lt;wsp:rsid wsp:val=&quot;00594899&quot;/&gt;&lt;wsp:rsid wsp:val=&quot;005949EA&quot;/&gt;&lt;wsp:rsid wsp:val=&quot;00594EA5&quot;/&gt;&lt;wsp:rsid wsp:val=&quot;005951C3&quot;/&gt;&lt;wsp:rsid wsp:val=&quot;005954DD&quot;/&gt;&lt;wsp:rsid wsp:val=&quot;00595733&quot;/&gt;&lt;wsp:rsid wsp:val=&quot;00595BDA&quot;/&gt;&lt;wsp:rsid wsp:val=&quot;00595E0E&quot;/&gt;&lt;wsp:rsid wsp:val=&quot;00596139&quot;/&gt;&lt;wsp:rsid wsp:val=&quot;0059676F&quot;/&gt;&lt;wsp:rsid wsp:val=&quot;005969AE&quot;/&gt;&lt;wsp:rsid wsp:val=&quot;00596A76&quot;/&gt;&lt;wsp:rsid wsp:val=&quot;00596C06&quot;/&gt;&lt;wsp:rsid wsp:val=&quot;0059713C&quot;/&gt;&lt;wsp:rsid wsp:val=&quot;00597255&quot;/&gt;&lt;wsp:rsid wsp:val=&quot;0059748C&quot;/&gt;&lt;wsp:rsid wsp:val=&quot;00597572&quot;/&gt;&lt;wsp:rsid wsp:val=&quot;005A041B&quot;/&gt;&lt;wsp:rsid wsp:val=&quot;005A0436&quot;/&gt;&lt;wsp:rsid wsp:val=&quot;005A0ACC&quot;/&gt;&lt;wsp:rsid wsp:val=&quot;005A0FE6&quot;/&gt;&lt;wsp:rsid wsp:val=&quot;005A10A9&quot;/&gt;&lt;wsp:rsid wsp:val=&quot;005A1168&quot;/&gt;&lt;wsp:rsid wsp:val=&quot;005A11D8&quot;/&gt;&lt;wsp:rsid wsp:val=&quot;005A13C8&quot;/&gt;&lt;wsp:rsid wsp:val=&quot;005A172C&quot;/&gt;&lt;wsp:rsid wsp:val=&quot;005A1920&quot;/&gt;&lt;wsp:rsid wsp:val=&quot;005A1A58&quot;/&gt;&lt;wsp:rsid wsp:val=&quot;005A1BA4&quot;/&gt;&lt;wsp:rsid wsp:val=&quot;005A275F&quot;/&gt;&lt;wsp:rsid wsp:val=&quot;005A2777&quot;/&gt;&lt;wsp:rsid wsp:val=&quot;005A2BD9&quot;/&gt;&lt;wsp:rsid wsp:val=&quot;005A30E7&quot;/&gt;&lt;wsp:rsid wsp:val=&quot;005A35C6&quot;/&gt;&lt;wsp:rsid wsp:val=&quot;005A4122&quot;/&gt;&lt;wsp:rsid wsp:val=&quot;005A416E&quot;/&gt;&lt;wsp:rsid wsp:val=&quot;005A4799&quot;/&gt;&lt;wsp:rsid wsp:val=&quot;005A4BA9&quot;/&gt;&lt;wsp:rsid wsp:val=&quot;005A4EB6&quot;/&gt;&lt;wsp:rsid wsp:val=&quot;005A5C75&quot;/&gt;&lt;wsp:rsid wsp:val=&quot;005A5D0A&quot;/&gt;&lt;wsp:rsid wsp:val=&quot;005A6A87&quot;/&gt;&lt;wsp:rsid wsp:val=&quot;005A75E7&quot;/&gt;&lt;wsp:rsid wsp:val=&quot;005A78D9&quot;/&gt;&lt;wsp:rsid wsp:val=&quot;005A7988&quot;/&gt;&lt;wsp:rsid wsp:val=&quot;005A7AAA&quot;/&gt;&lt;wsp:rsid wsp:val=&quot;005A7D19&quot;/&gt;&lt;wsp:rsid wsp:val=&quot;005B0C80&quot;/&gt;&lt;wsp:rsid wsp:val=&quot;005B0DAB&quot;/&gt;&lt;wsp:rsid wsp:val=&quot;005B0ED5&quot;/&gt;&lt;wsp:rsid wsp:val=&quot;005B0FB4&quot;/&gt;&lt;wsp:rsid wsp:val=&quot;005B14A2&quot;/&gt;&lt;wsp:rsid wsp:val=&quot;005B20A8&quot;/&gt;&lt;wsp:rsid wsp:val=&quot;005B23E4&quot;/&gt;&lt;wsp:rsid wsp:val=&quot;005B267B&quot;/&gt;&lt;wsp:rsid wsp:val=&quot;005B2F77&quot;/&gt;&lt;wsp:rsid wsp:val=&quot;005B32BC&quot;/&gt;&lt;wsp:rsid wsp:val=&quot;005B3563&quot;/&gt;&lt;wsp:rsid wsp:val=&quot;005B3883&quot;/&gt;&lt;wsp:rsid wsp:val=&quot;005B46F0&quot;/&gt;&lt;wsp:rsid wsp:val=&quot;005B47BB&quot;/&gt;&lt;wsp:rsid wsp:val=&quot;005B48C2&quot;/&gt;&lt;wsp:rsid wsp:val=&quot;005B4AD6&quot;/&gt;&lt;wsp:rsid wsp:val=&quot;005B4DCF&quot;/&gt;&lt;wsp:rsid wsp:val=&quot;005B5254&quot;/&gt;&lt;wsp:rsid wsp:val=&quot;005B5822&quot;/&gt;&lt;wsp:rsid wsp:val=&quot;005B5889&quot;/&gt;&lt;wsp:rsid wsp:val=&quot;005B5A31&quot;/&gt;&lt;wsp:rsid wsp:val=&quot;005B5B83&quot;/&gt;&lt;wsp:rsid wsp:val=&quot;005B5CC5&quot;/&gt;&lt;wsp:rsid wsp:val=&quot;005B6747&quot;/&gt;&lt;wsp:rsid wsp:val=&quot;005B69BF&quot;/&gt;&lt;wsp:rsid wsp:val=&quot;005B6D69&quot;/&gt;&lt;wsp:rsid wsp:val=&quot;005B7683&quot;/&gt;&lt;wsp:rsid wsp:val=&quot;005B78FF&quot;/&gt;&lt;wsp:rsid wsp:val=&quot;005B7967&quot;/&gt;&lt;wsp:rsid wsp:val=&quot;005B7BE2&quot;/&gt;&lt;wsp:rsid wsp:val=&quot;005B7C3A&quot;/&gt;&lt;wsp:rsid wsp:val=&quot;005C0637&quot;/&gt;&lt;wsp:rsid wsp:val=&quot;005C0742&quot;/&gt;&lt;wsp:rsid wsp:val=&quot;005C0A88&quot;/&gt;&lt;wsp:rsid wsp:val=&quot;005C13D3&quot;/&gt;&lt;wsp:rsid wsp:val=&quot;005C1AAE&quot;/&gt;&lt;wsp:rsid wsp:val=&quot;005C2F23&quot;/&gt;&lt;wsp:rsid wsp:val=&quot;005C3016&quot;/&gt;&lt;wsp:rsid wsp:val=&quot;005C3162&quot;/&gt;&lt;wsp:rsid wsp:val=&quot;005C3C3A&quot;/&gt;&lt;wsp:rsid wsp:val=&quot;005C433D&quot;/&gt;&lt;wsp:rsid wsp:val=&quot;005C439B&quot;/&gt;&lt;wsp:rsid wsp:val=&quot;005C443B&quot;/&gt;&lt;wsp:rsid wsp:val=&quot;005C475E&quot;/&gt;&lt;wsp:rsid wsp:val=&quot;005C4988&quot;/&gt;&lt;wsp:rsid wsp:val=&quot;005C49ED&quot;/&gt;&lt;wsp:rsid wsp:val=&quot;005C4AA5&quot;/&gt;&lt;wsp:rsid wsp:val=&quot;005C5010&quot;/&gt;&lt;wsp:rsid wsp:val=&quot;005C5233&quot;/&gt;&lt;wsp:rsid wsp:val=&quot;005C59DE&quot;/&gt;&lt;wsp:rsid wsp:val=&quot;005C5ADF&quot;/&gt;&lt;wsp:rsid wsp:val=&quot;005C5E60&quot;/&gt;&lt;wsp:rsid wsp:val=&quot;005C6CA4&quot;/&gt;&lt;wsp:rsid wsp:val=&quot;005C6D6E&quot;/&gt;&lt;wsp:rsid wsp:val=&quot;005C6DC4&quot;/&gt;&lt;wsp:rsid wsp:val=&quot;005C7E2E&quot;/&gt;&lt;wsp:rsid wsp:val=&quot;005D03E7&quot;/&gt;&lt;wsp:rsid wsp:val=&quot;005D0A95&quot;/&gt;&lt;wsp:rsid wsp:val=&quot;005D11F8&quot;/&gt;&lt;wsp:rsid wsp:val=&quot;005D144F&quot;/&gt;&lt;wsp:rsid wsp:val=&quot;005D1605&quot;/&gt;&lt;wsp:rsid wsp:val=&quot;005D1E78&quot;/&gt;&lt;wsp:rsid wsp:val=&quot;005D1FA8&quot;/&gt;&lt;wsp:rsid wsp:val=&quot;005D2652&quot;/&gt;&lt;wsp:rsid wsp:val=&quot;005D2710&quot;/&gt;&lt;wsp:rsid wsp:val=&quot;005D3121&quot;/&gt;&lt;wsp:rsid wsp:val=&quot;005D36D8&quot;/&gt;&lt;wsp:rsid wsp:val=&quot;005D37DC&quot;/&gt;&lt;wsp:rsid wsp:val=&quot;005D383C&quot;/&gt;&lt;wsp:rsid wsp:val=&quot;005D39EA&quot;/&gt;&lt;wsp:rsid wsp:val=&quot;005D3A34&quot;/&gt;&lt;wsp:rsid wsp:val=&quot;005D3CBF&quot;/&gt;&lt;wsp:rsid wsp:val=&quot;005D4569&quot;/&gt;&lt;wsp:rsid wsp:val=&quot;005D49CB&quot;/&gt;&lt;wsp:rsid wsp:val=&quot;005D4DD2&quot;/&gt;&lt;wsp:rsid wsp:val=&quot;005D509D&quot;/&gt;&lt;wsp:rsid wsp:val=&quot;005D51B2&quot;/&gt;&lt;wsp:rsid wsp:val=&quot;005D51BA&quot;/&gt;&lt;wsp:rsid wsp:val=&quot;005D5C4A&quot;/&gt;&lt;wsp:rsid wsp:val=&quot;005D5F4A&quot;/&gt;&lt;wsp:rsid wsp:val=&quot;005D64BE&quot;/&gt;&lt;wsp:rsid wsp:val=&quot;005D6BED&quot;/&gt;&lt;wsp:rsid wsp:val=&quot;005D6D6A&quot;/&gt;&lt;wsp:rsid wsp:val=&quot;005D7240&quot;/&gt;&lt;wsp:rsid wsp:val=&quot;005D7B5D&quot;/&gt;&lt;wsp:rsid wsp:val=&quot;005D7DA5&quot;/&gt;&lt;wsp:rsid wsp:val=&quot;005E0705&quot;/&gt;&lt;wsp:rsid wsp:val=&quot;005E0864&quot;/&gt;&lt;wsp:rsid wsp:val=&quot;005E0BCA&quot;/&gt;&lt;wsp:rsid wsp:val=&quot;005E0C66&quot;/&gt;&lt;wsp:rsid wsp:val=&quot;005E0FAA&quot;/&gt;&lt;wsp:rsid wsp:val=&quot;005E13FE&quot;/&gt;&lt;wsp:rsid wsp:val=&quot;005E176B&quot;/&gt;&lt;wsp:rsid wsp:val=&quot;005E1BB6&quot;/&gt;&lt;wsp:rsid wsp:val=&quot;005E26E7&quot;/&gt;&lt;wsp:rsid wsp:val=&quot;005E2C4C&quot;/&gt;&lt;wsp:rsid wsp:val=&quot;005E33A1&quot;/&gt;&lt;wsp:rsid wsp:val=&quot;005E383D&quot;/&gt;&lt;wsp:rsid wsp:val=&quot;005E3A01&quot;/&gt;&lt;wsp:rsid wsp:val=&quot;005E410C&quot;/&gt;&lt;wsp:rsid wsp:val=&quot;005E4144&quot;/&gt;&lt;wsp:rsid wsp:val=&quot;005E4284&quot;/&gt;&lt;wsp:rsid wsp:val=&quot;005E4369&quot;/&gt;&lt;wsp:rsid wsp:val=&quot;005E43DC&quot;/&gt;&lt;wsp:rsid wsp:val=&quot;005E49C2&quot;/&gt;&lt;wsp:rsid wsp:val=&quot;005E4E91&quot;/&gt;&lt;wsp:rsid wsp:val=&quot;005E4EA3&quot;/&gt;&lt;wsp:rsid wsp:val=&quot;005E4F31&quot;/&gt;&lt;wsp:rsid wsp:val=&quot;005E573F&quot;/&gt;&lt;wsp:rsid wsp:val=&quot;005E5D90&quot;/&gt;&lt;wsp:rsid wsp:val=&quot;005E5D9C&quot;/&gt;&lt;wsp:rsid wsp:val=&quot;005E6424&quot;/&gt;&lt;wsp:rsid wsp:val=&quot;005E6D47&quot;/&gt;&lt;wsp:rsid wsp:val=&quot;005E72E6&quot;/&gt;&lt;wsp:rsid wsp:val=&quot;005E7AA1&quot;/&gt;&lt;wsp:rsid wsp:val=&quot;005E7E68&quot;/&gt;&lt;wsp:rsid wsp:val=&quot;005F1770&quot;/&gt;&lt;wsp:rsid wsp:val=&quot;005F239C&quot;/&gt;&lt;wsp:rsid wsp:val=&quot;005F23C1&quot;/&gt;&lt;wsp:rsid wsp:val=&quot;005F23C9&quot;/&gt;&lt;wsp:rsid wsp:val=&quot;005F24DF&quot;/&gt;&lt;wsp:rsid wsp:val=&quot;005F27C9&quot;/&gt;&lt;wsp:rsid wsp:val=&quot;005F2888&quot;/&gt;&lt;wsp:rsid wsp:val=&quot;005F2DBF&quot;/&gt;&lt;wsp:rsid wsp:val=&quot;005F3ABA&quot;/&gt;&lt;wsp:rsid wsp:val=&quot;005F4B22&quot;/&gt;&lt;wsp:rsid wsp:val=&quot;005F5810&quot;/&gt;&lt;wsp:rsid wsp:val=&quot;005F59D3&quot;/&gt;&lt;wsp:rsid wsp:val=&quot;005F5DF3&quot;/&gt;&lt;wsp:rsid wsp:val=&quot;005F691D&quot;/&gt;&lt;wsp:rsid wsp:val=&quot;005F6C83&quot;/&gt;&lt;wsp:rsid wsp:val=&quot;00600504&quot;/&gt;&lt;wsp:rsid wsp:val=&quot;00600829&quot;/&gt;&lt;wsp:rsid wsp:val=&quot;00600BEB&quot;/&gt;&lt;wsp:rsid wsp:val=&quot;0060170E&quot;/&gt;&lt;wsp:rsid wsp:val=&quot;006019FF&quot;/&gt;&lt;wsp:rsid wsp:val=&quot;00601CC9&quot;/&gt;&lt;wsp:rsid wsp:val=&quot;00602E33&quot;/&gt;&lt;wsp:rsid wsp:val=&quot;00602EBB&quot;/&gt;&lt;wsp:rsid wsp:val=&quot;00602ED2&quot;/&gt;&lt;wsp:rsid wsp:val=&quot;00603786&quot;/&gt;&lt;wsp:rsid wsp:val=&quot;00603D52&quot;/&gt;&lt;wsp:rsid wsp:val=&quot;0060448F&quot;/&gt;&lt;wsp:rsid wsp:val=&quot;0060460D&quot;/&gt;&lt;wsp:rsid wsp:val=&quot;00604A67&quot;/&gt;&lt;wsp:rsid wsp:val=&quot;00604DD2&quot;/&gt;&lt;wsp:rsid wsp:val=&quot;0060520D&quot;/&gt;&lt;wsp:rsid wsp:val=&quot;00605223&quot;/&gt;&lt;wsp:rsid wsp:val=&quot;0060558E&quot;/&gt;&lt;wsp:rsid wsp:val=&quot;0060575A&quot;/&gt;&lt;wsp:rsid wsp:val=&quot;006058DD&quot;/&gt;&lt;wsp:rsid wsp:val=&quot;00605B68&quot;/&gt;&lt;wsp:rsid wsp:val=&quot;00605BA4&quot;/&gt;&lt;wsp:rsid wsp:val=&quot;00605D37&quot;/&gt;&lt;wsp:rsid wsp:val=&quot;00606140&quot;/&gt;&lt;wsp:rsid wsp:val=&quot;00606DD1&quot;/&gt;&lt;wsp:rsid wsp:val=&quot;00607650&quot;/&gt;&lt;wsp:rsid wsp:val=&quot;0061049C&quot;/&gt;&lt;wsp:rsid wsp:val=&quot;00610953&quot;/&gt;&lt;wsp:rsid wsp:val=&quot;00610D35&quot;/&gt;&lt;wsp:rsid wsp:val=&quot;00610F4C&quot;/&gt;&lt;wsp:rsid wsp:val=&quot;006110B0&quot;/&gt;&lt;wsp:rsid wsp:val=&quot;00611558&quot;/&gt;&lt;wsp:rsid wsp:val=&quot;006117A4&quot;/&gt;&lt;wsp:rsid wsp:val=&quot;00612707&quot;/&gt;&lt;wsp:rsid wsp:val=&quot;00614632&quot;/&gt;&lt;wsp:rsid wsp:val=&quot;00614BDC&quot;/&gt;&lt;wsp:rsid wsp:val=&quot;00614FB4&quot;/&gt;&lt;wsp:rsid wsp:val=&quot;006155A8&quot;/&gt;&lt;wsp:rsid wsp:val=&quot;00615D4C&quot;/&gt;&lt;wsp:rsid wsp:val=&quot;00615E3E&quot;/&gt;&lt;wsp:rsid wsp:val=&quot;0061672C&quot;/&gt;&lt;wsp:rsid wsp:val=&quot;006168DA&quot;/&gt;&lt;wsp:rsid wsp:val=&quot;00616DEF&quot;/&gt;&lt;wsp:rsid wsp:val=&quot;00616F4C&quot;/&gt;&lt;wsp:rsid wsp:val=&quot;00617030&quot;/&gt;&lt;wsp:rsid wsp:val=&quot;006203E4&quot;/&gt;&lt;wsp:rsid wsp:val=&quot;00620684&quot;/&gt;&lt;wsp:rsid wsp:val=&quot;00620AF3&quot;/&gt;&lt;wsp:rsid wsp:val=&quot;00620B05&quot;/&gt;&lt;wsp:rsid wsp:val=&quot;006210BA&quot;/&gt;&lt;wsp:rsid wsp:val=&quot;00621306&quot;/&gt;&lt;wsp:rsid wsp:val=&quot;0062164F&quot;/&gt;&lt;wsp:rsid wsp:val=&quot;00622EFB&quot;/&gt;&lt;wsp:rsid wsp:val=&quot;006232B5&quot;/&gt;&lt;wsp:rsid wsp:val=&quot;006233D1&quot;/&gt;&lt;wsp:rsid wsp:val=&quot;00623500&quot;/&gt;&lt;wsp:rsid wsp:val=&quot;00623733&quot;/&gt;&lt;wsp:rsid wsp:val=&quot;00623B03&quot;/&gt;&lt;wsp:rsid wsp:val=&quot;006241D2&quot;/&gt;&lt;wsp:rsid wsp:val=&quot;006242B8&quot;/&gt;&lt;wsp:rsid wsp:val=&quot;00624524&quot;/&gt;&lt;wsp:rsid wsp:val=&quot;0062463F&quot;/&gt;&lt;wsp:rsid wsp:val=&quot;0062492E&quot;/&gt;&lt;wsp:rsid wsp:val=&quot;00624C83&quot;/&gt;&lt;wsp:rsid wsp:val=&quot;00624DE0&quot;/&gt;&lt;wsp:rsid wsp:val=&quot;00624E0D&quot;/&gt;&lt;wsp:rsid wsp:val=&quot;00624FC3&quot;/&gt;&lt;wsp:rsid wsp:val=&quot;00625426&quot;/&gt;&lt;wsp:rsid wsp:val=&quot;006255FE&quot;/&gt;&lt;wsp:rsid wsp:val=&quot;00625AD6&quot;/&gt;&lt;wsp:rsid wsp:val=&quot;006261E2&quot;/&gt;&lt;wsp:rsid wsp:val=&quot;00626959&quot;/&gt;&lt;wsp:rsid wsp:val=&quot;00626C5A&quot;/&gt;&lt;wsp:rsid wsp:val=&quot;00626D0C&quot;/&gt;&lt;wsp:rsid wsp:val=&quot;00627654&quot;/&gt;&lt;wsp:rsid wsp:val=&quot;00627812&quot;/&gt;&lt;wsp:rsid wsp:val=&quot;006301DA&quot;/&gt;&lt;wsp:rsid wsp:val=&quot;00630600&quot;/&gt;&lt;wsp:rsid wsp:val=&quot;00630C33&quot;/&gt;&lt;wsp:rsid wsp:val=&quot;0063223F&quot;/&gt;&lt;wsp:rsid wsp:val=&quot;006322D3&quot;/&gt;&lt;wsp:rsid wsp:val=&quot;00632327&quot;/&gt;&lt;wsp:rsid wsp:val=&quot;00632707&quot;/&gt;&lt;wsp:rsid wsp:val=&quot;00632746&quot;/&gt;&lt;wsp:rsid wsp:val=&quot;006327CA&quot;/&gt;&lt;wsp:rsid wsp:val=&quot;00632E5D&quot;/&gt;&lt;wsp:rsid wsp:val=&quot;00632EE4&quot;/&gt;&lt;wsp:rsid wsp:val=&quot;00633262&quot;/&gt;&lt;wsp:rsid wsp:val=&quot;00633871&quot;/&gt;&lt;wsp:rsid wsp:val=&quot;006338CE&quot;/&gt;&lt;wsp:rsid wsp:val=&quot;00633AB4&quot;/&gt;&lt;wsp:rsid wsp:val=&quot;00633CFF&quot;/&gt;&lt;wsp:rsid wsp:val=&quot;00634136&quot;/&gt;&lt;wsp:rsid wsp:val=&quot;00635450&quot;/&gt;&lt;wsp:rsid wsp:val=&quot;00636172&quot;/&gt;&lt;wsp:rsid wsp:val=&quot;00636823&quot;/&gt;&lt;wsp:rsid wsp:val=&quot;00636DDD&quot;/&gt;&lt;wsp:rsid wsp:val=&quot;00636F9A&quot;/&gt;&lt;wsp:rsid wsp:val=&quot;006373B9&quot;/&gt;&lt;wsp:rsid wsp:val=&quot;006374DA&quot;/&gt;&lt;wsp:rsid wsp:val=&quot;00637BF0&quot;/&gt;&lt;wsp:rsid wsp:val=&quot;00637DFB&quot;/&gt;&lt;wsp:rsid wsp:val=&quot;00637E3D&quot;/&gt;&lt;wsp:rsid wsp:val=&quot;00640693&quot;/&gt;&lt;wsp:rsid wsp:val=&quot;006409F2&quot;/&gt;&lt;wsp:rsid wsp:val=&quot;00640AAD&quot;/&gt;&lt;wsp:rsid wsp:val=&quot;00640FB8&quot;/&gt;&lt;wsp:rsid wsp:val=&quot;00641AF2&quot;/&gt;&lt;wsp:rsid wsp:val=&quot;00641E91&quot;/&gt;&lt;wsp:rsid wsp:val=&quot;00642073&quot;/&gt;&lt;wsp:rsid wsp:val=&quot;006421F4&quot;/&gt;&lt;wsp:rsid wsp:val=&quot;00642510&quot;/&gt;&lt;wsp:rsid wsp:val=&quot;0064263A&quot;/&gt;&lt;wsp:rsid wsp:val=&quot;00642883&quot;/&gt;&lt;wsp:rsid wsp:val=&quot;0064288A&quot;/&gt;&lt;wsp:rsid wsp:val=&quot;00642F02&quot;/&gt;&lt;wsp:rsid wsp:val=&quot;00642F92&quot;/&gt;&lt;wsp:rsid wsp:val=&quot;006432C2&quot;/&gt;&lt;wsp:rsid wsp:val=&quot;0064357D&quot;/&gt;&lt;wsp:rsid wsp:val=&quot;0064360E&quot;/&gt;&lt;wsp:rsid wsp:val=&quot;0064371F&quot;/&gt;&lt;wsp:rsid wsp:val=&quot;0064377B&quot;/&gt;&lt;wsp:rsid wsp:val=&quot;00644366&quot;/&gt;&lt;wsp:rsid wsp:val=&quot;00644637&quot;/&gt;&lt;wsp:rsid wsp:val=&quot;00644728&quot;/&gt;&lt;wsp:rsid wsp:val=&quot;00644802&quot;/&gt;&lt;wsp:rsid wsp:val=&quot;0064561F&quot;/&gt;&lt;wsp:rsid wsp:val=&quot;00645758&quot;/&gt;&lt;wsp:rsid wsp:val=&quot;00645B4B&quot;/&gt;&lt;wsp:rsid wsp:val=&quot;00645DD9&quot;/&gt;&lt;wsp:rsid wsp:val=&quot;0064673E&quot;/&gt;&lt;wsp:rsid wsp:val=&quot;00646B22&quot;/&gt;&lt;wsp:rsid wsp:val=&quot;00646CD2&quot;/&gt;&lt;wsp:rsid wsp:val=&quot;00646F90&quot;/&gt;&lt;wsp:rsid wsp:val=&quot;006470FB&quot;/&gt;&lt;wsp:rsid wsp:val=&quot;0064743E&quot;/&gt;&lt;wsp:rsid wsp:val=&quot;006479F6&quot;/&gt;&lt;wsp:rsid wsp:val=&quot;00647AE0&quot;/&gt;&lt;wsp:rsid wsp:val=&quot;00647C35&quot;/&gt;&lt;wsp:rsid wsp:val=&quot;00650F44&quot;/&gt;&lt;wsp:rsid wsp:val=&quot;00651251&quot;/&gt;&lt;wsp:rsid wsp:val=&quot;0065137A&quot;/&gt;&lt;wsp:rsid wsp:val=&quot;006513D5&quot;/&gt;&lt;wsp:rsid wsp:val=&quot;00651B3C&quot;/&gt;&lt;wsp:rsid wsp:val=&quot;00652714&quot;/&gt;&lt;wsp:rsid wsp:val=&quot;006527BF&quot;/&gt;&lt;wsp:rsid wsp:val=&quot;006529E8&quot;/&gt;&lt;wsp:rsid wsp:val=&quot;006532EF&quot;/&gt;&lt;wsp:rsid wsp:val=&quot;006539EF&quot;/&gt;&lt;wsp:rsid wsp:val=&quot;00654685&quot;/&gt;&lt;wsp:rsid wsp:val=&quot;00654986&quot;/&gt;&lt;wsp:rsid wsp:val=&quot;00654D98&quot;/&gt;&lt;wsp:rsid wsp:val=&quot;006551BF&quot;/&gt;&lt;wsp:rsid wsp:val=&quot;00655789&quot;/&gt;&lt;wsp:rsid wsp:val=&quot;00655912&quot;/&gt;&lt;wsp:rsid wsp:val=&quot;006559E6&quot;/&gt;&lt;wsp:rsid wsp:val=&quot;00655C95&quot;/&gt;&lt;wsp:rsid wsp:val=&quot;00655CE2&quot;/&gt;&lt;wsp:rsid wsp:val=&quot;00655DCA&quot;/&gt;&lt;wsp:rsid wsp:val=&quot;006566D8&quot;/&gt;&lt;wsp:rsid wsp:val=&quot;006571D0&quot;/&gt;&lt;wsp:rsid wsp:val=&quot;006578FA&quot;/&gt;&lt;wsp:rsid wsp:val=&quot;00657A7C&quot;/&gt;&lt;wsp:rsid wsp:val=&quot;00657C73&quot;/&gt;&lt;wsp:rsid wsp:val=&quot;00657CA7&quot;/&gt;&lt;wsp:rsid wsp:val=&quot;00657E5E&quot;/&gt;&lt;wsp:rsid wsp:val=&quot;0066078B&quot;/&gt;&lt;wsp:rsid wsp:val=&quot;00661B89&quot;/&gt;&lt;wsp:rsid wsp:val=&quot;00661CF9&quot;/&gt;&lt;wsp:rsid wsp:val=&quot;00661DEE&quot;/&gt;&lt;wsp:rsid wsp:val=&quot;00662747&quot;/&gt;&lt;wsp:rsid wsp:val=&quot;006629AC&quot;/&gt;&lt;wsp:rsid wsp:val=&quot;00662F64&quot;/&gt;&lt;wsp:rsid wsp:val=&quot;00663307&quot;/&gt;&lt;wsp:rsid wsp:val=&quot;00663825&quot;/&gt;&lt;wsp:rsid wsp:val=&quot;00663898&quot;/&gt;&lt;wsp:rsid wsp:val=&quot;00663EB3&quot;/&gt;&lt;wsp:rsid wsp:val=&quot;00663EF8&quot;/&gt;&lt;wsp:rsid wsp:val=&quot;0066439C&quot;/&gt;&lt;wsp:rsid wsp:val=&quot;006643EE&quot;/&gt;&lt;wsp:rsid wsp:val=&quot;0066464A&quot;/&gt;&lt;wsp:rsid wsp:val=&quot;00665264&quot;/&gt;&lt;wsp:rsid wsp:val=&quot;006656BA&quot;/&gt;&lt;wsp:rsid wsp:val=&quot;00665BD7&quot;/&gt;&lt;wsp:rsid wsp:val=&quot;00665C26&quot;/&gt;&lt;wsp:rsid wsp:val=&quot;00665F82&quot;/&gt;&lt;wsp:rsid wsp:val=&quot;00667788&quot;/&gt;&lt;wsp:rsid wsp:val=&quot;00667A66&quot;/&gt;&lt;wsp:rsid wsp:val=&quot;00667E10&quot;/&gt;&lt;wsp:rsid wsp:val=&quot;0067003F&quot;/&gt;&lt;wsp:rsid wsp:val=&quot;00670597&quot;/&gt;&lt;wsp:rsid wsp:val=&quot;0067095A&quot;/&gt;&lt;wsp:rsid wsp:val=&quot;006710B5&quot;/&gt;&lt;wsp:rsid wsp:val=&quot;00671532&quot;/&gt;&lt;wsp:rsid wsp:val=&quot;0067154A&quot;/&gt;&lt;wsp:rsid wsp:val=&quot;006715F5&quot;/&gt;&lt;wsp:rsid wsp:val=&quot;0067237F&quot;/&gt;&lt;wsp:rsid wsp:val=&quot;0067264C&quot;/&gt;&lt;wsp:rsid wsp:val=&quot;006729A4&quot;/&gt;&lt;wsp:rsid wsp:val=&quot;006729AE&quot;/&gt;&lt;wsp:rsid wsp:val=&quot;00672AB5&quot;/&gt;&lt;wsp:rsid wsp:val=&quot;00673005&quot;/&gt;&lt;wsp:rsid wsp:val=&quot;00673FB1&quot;/&gt;&lt;wsp:rsid wsp:val=&quot;006747D0&quot;/&gt;&lt;wsp:rsid wsp:val=&quot;00674A54&quot;/&gt;&lt;wsp:rsid wsp:val=&quot;00674AF3&quot;/&gt;&lt;wsp:rsid wsp:val=&quot;00674B2E&quot;/&gt;&lt;wsp:rsid wsp:val=&quot;00674C1B&quot;/&gt;&lt;wsp:rsid wsp:val=&quot;006756F4&quot;/&gt;&lt;wsp:rsid wsp:val=&quot;00675A1D&quot;/&gt;&lt;wsp:rsid wsp:val=&quot;00675C08&quot;/&gt;&lt;wsp:rsid wsp:val=&quot;0067691B&quot;/&gt;&lt;wsp:rsid wsp:val=&quot;00676B58&quot;/&gt;&lt;wsp:rsid wsp:val=&quot;00676BC8&quot;/&gt;&lt;wsp:rsid wsp:val=&quot;006778CC&quot;/&gt;&lt;wsp:rsid wsp:val=&quot;00677A7D&quot;/&gt;&lt;wsp:rsid wsp:val=&quot;00677D82&quot;/&gt;&lt;wsp:rsid wsp:val=&quot;00677DDD&quot;/&gt;&lt;wsp:rsid wsp:val=&quot;00680023&quot;/&gt;&lt;wsp:rsid wsp:val=&quot;00680103&quot;/&gt;&lt;wsp:rsid wsp:val=&quot;006804BC&quot;/&gt;&lt;wsp:rsid wsp:val=&quot;006805AF&quot;/&gt;&lt;wsp:rsid wsp:val=&quot;00680918&quot;/&gt;&lt;wsp:rsid wsp:val=&quot;00680971&quot;/&gt;&lt;wsp:rsid wsp:val=&quot;00681701&quot;/&gt;&lt;wsp:rsid wsp:val=&quot;00682612&quot;/&gt;&lt;wsp:rsid wsp:val=&quot;00682915&quot;/&gt;&lt;wsp:rsid wsp:val=&quot;00683066&quot;/&gt;&lt;wsp:rsid wsp:val=&quot;006830FC&quot;/&gt;&lt;wsp:rsid wsp:val=&quot;00683454&quot;/&gt;&lt;wsp:rsid wsp:val=&quot;0068358C&quot;/&gt;&lt;wsp:rsid wsp:val=&quot;006835D5&quot;/&gt;&lt;wsp:rsid wsp:val=&quot;00683B3C&quot;/&gt;&lt;wsp:rsid wsp:val=&quot;00684216&quot;/&gt;&lt;wsp:rsid wsp:val=&quot;00684236&quot;/&gt;&lt;wsp:rsid wsp:val=&quot;0068441A&quot;/&gt;&lt;wsp:rsid wsp:val=&quot;006852D6&quot;/&gt;&lt;wsp:rsid wsp:val=&quot;00685956&quot;/&gt;&lt;wsp:rsid wsp:val=&quot;00685B94&quot;/&gt;&lt;wsp:rsid wsp:val=&quot;006869B7&quot;/&gt;&lt;wsp:rsid wsp:val=&quot;0068763F&quot;/&gt;&lt;wsp:rsid wsp:val=&quot;00687C12&quot;/&gt;&lt;wsp:rsid wsp:val=&quot;006916ED&quot;/&gt;&lt;wsp:rsid wsp:val=&quot;00691743&quot;/&gt;&lt;wsp:rsid wsp:val=&quot;006918AF&quot;/&gt;&lt;wsp:rsid wsp:val=&quot;00691E3F&quot;/&gt;&lt;wsp:rsid wsp:val=&quot;006925D0&quot;/&gt;&lt;wsp:rsid wsp:val=&quot;0069260E&quot;/&gt;&lt;wsp:rsid wsp:val=&quot;0069272B&quot;/&gt;&lt;wsp:rsid wsp:val=&quot;006927A8&quot;/&gt;&lt;wsp:rsid wsp:val=&quot;0069292F&quot;/&gt;&lt;wsp:rsid wsp:val=&quot;00692B41&quot;/&gt;&lt;wsp:rsid wsp:val=&quot;00692B72&quot;/&gt;&lt;wsp:rsid wsp:val=&quot;00692C56&quot;/&gt;&lt;wsp:rsid wsp:val=&quot;00692DA5&quot;/&gt;&lt;wsp:rsid wsp:val=&quot;00693428&quot;/&gt;&lt;wsp:rsid wsp:val=&quot;0069391E&quot;/&gt;&lt;wsp:rsid wsp:val=&quot;00693D87&quot;/&gt;&lt;wsp:rsid wsp:val=&quot;0069411F&quot;/&gt;&lt;wsp:rsid wsp:val=&quot;006945C8&quot;/&gt;&lt;wsp:rsid wsp:val=&quot;006949DD&quot;/&gt;&lt;wsp:rsid wsp:val=&quot;00694AE0&quot;/&gt;&lt;wsp:rsid wsp:val=&quot;00694F3A&quot;/&gt;&lt;wsp:rsid wsp:val=&quot;0069520E&quot;/&gt;&lt;wsp:rsid wsp:val=&quot;00695742&quot;/&gt;&lt;wsp:rsid wsp:val=&quot;006957B6&quot;/&gt;&lt;wsp:rsid wsp:val=&quot;00695A62&quot;/&gt;&lt;wsp:rsid wsp:val=&quot;006961EB&quot;/&gt;&lt;wsp:rsid wsp:val=&quot;00696553&quot;/&gt;&lt;wsp:rsid wsp:val=&quot;0069679A&quot;/&gt;&lt;wsp:rsid wsp:val=&quot;00696DC0&quot;/&gt;&lt;wsp:rsid wsp:val=&quot;00697082&quot;/&gt;&lt;wsp:rsid wsp:val=&quot;0069784D&quot;/&gt;&lt;wsp:rsid wsp:val=&quot;006978F3&quot;/&gt;&lt;wsp:rsid wsp:val=&quot;006979AD&quot;/&gt;&lt;wsp:rsid wsp:val=&quot;00697C58&quot;/&gt;&lt;wsp:rsid wsp:val=&quot;006A09DE&quot;/&gt;&lt;wsp:rsid wsp:val=&quot;006A0A62&quot;/&gt;&lt;wsp:rsid wsp:val=&quot;006A1258&quot;/&gt;&lt;wsp:rsid wsp:val=&quot;006A1361&quot;/&gt;&lt;wsp:rsid wsp:val=&quot;006A1B09&quot;/&gt;&lt;wsp:rsid wsp:val=&quot;006A1BBC&quot;/&gt;&lt;wsp:rsid wsp:val=&quot;006A1FAA&quot;/&gt;&lt;wsp:rsid wsp:val=&quot;006A21E6&quot;/&gt;&lt;wsp:rsid wsp:val=&quot;006A2725&quot;/&gt;&lt;wsp:rsid wsp:val=&quot;006A2938&quot;/&gt;&lt;wsp:rsid wsp:val=&quot;006A29BE&quot;/&gt;&lt;wsp:rsid wsp:val=&quot;006A29E0&quot;/&gt;&lt;wsp:rsid wsp:val=&quot;006A2C99&quot;/&gt;&lt;wsp:rsid wsp:val=&quot;006A2D0F&quot;/&gt;&lt;wsp:rsid wsp:val=&quot;006A2D27&quot;/&gt;&lt;wsp:rsid wsp:val=&quot;006A2FF4&quot;/&gt;&lt;wsp:rsid wsp:val=&quot;006A3164&quot;/&gt;&lt;wsp:rsid wsp:val=&quot;006A34D7&quot;/&gt;&lt;wsp:rsid wsp:val=&quot;006A3560&quot;/&gt;&lt;wsp:rsid wsp:val=&quot;006A4A6A&quot;/&gt;&lt;wsp:rsid wsp:val=&quot;006A4C87&quot;/&gt;&lt;wsp:rsid wsp:val=&quot;006A5395&quot;/&gt;&lt;wsp:rsid wsp:val=&quot;006A5B1C&quot;/&gt;&lt;wsp:rsid wsp:val=&quot;006A5CFA&quot;/&gt;&lt;wsp:rsid wsp:val=&quot;006A6AA4&quot;/&gt;&lt;wsp:rsid wsp:val=&quot;006A6B6F&quot;/&gt;&lt;wsp:rsid wsp:val=&quot;006A6B8B&quot;/&gt;&lt;wsp:rsid wsp:val=&quot;006A6E99&quot;/&gt;&lt;wsp:rsid wsp:val=&quot;006A76ED&quot;/&gt;&lt;wsp:rsid wsp:val=&quot;006A777F&quot;/&gt;&lt;wsp:rsid wsp:val=&quot;006A79DA&quot;/&gt;&lt;wsp:rsid wsp:val=&quot;006B0312&quot;/&gt;&lt;wsp:rsid wsp:val=&quot;006B071C&quot;/&gt;&lt;wsp:rsid wsp:val=&quot;006B08A3&quot;/&gt;&lt;wsp:rsid wsp:val=&quot;006B08CD&quot;/&gt;&lt;wsp:rsid wsp:val=&quot;006B0BFB&quot;/&gt;&lt;wsp:rsid wsp:val=&quot;006B0FDE&quot;/&gt;&lt;wsp:rsid wsp:val=&quot;006B1196&quot;/&gt;&lt;wsp:rsid wsp:val=&quot;006B1229&quot;/&gt;&lt;wsp:rsid wsp:val=&quot;006B149C&quot;/&gt;&lt;wsp:rsid wsp:val=&quot;006B169E&quot;/&gt;&lt;wsp:rsid wsp:val=&quot;006B186C&quot;/&gt;&lt;wsp:rsid wsp:val=&quot;006B1A90&quot;/&gt;&lt;wsp:rsid wsp:val=&quot;006B2A69&quot;/&gt;&lt;wsp:rsid wsp:val=&quot;006B35C9&quot;/&gt;&lt;wsp:rsid wsp:val=&quot;006B41E6&quot;/&gt;&lt;wsp:rsid wsp:val=&quot;006B430E&quot;/&gt;&lt;wsp:rsid wsp:val=&quot;006B4457&quot;/&gt;&lt;wsp:rsid wsp:val=&quot;006B4AEC&quot;/&gt;&lt;wsp:rsid wsp:val=&quot;006B5047&quot;/&gt;&lt;wsp:rsid wsp:val=&quot;006B5451&quot;/&gt;&lt;wsp:rsid wsp:val=&quot;006B56C5&quot;/&gt;&lt;wsp:rsid wsp:val=&quot;006B591E&quot;/&gt;&lt;wsp:rsid wsp:val=&quot;006B5B30&quot;/&gt;&lt;wsp:rsid wsp:val=&quot;006B5F3A&quot;/&gt;&lt;wsp:rsid wsp:val=&quot;006B60DE&quot;/&gt;&lt;wsp:rsid wsp:val=&quot;006B656F&quot;/&gt;&lt;wsp:rsid wsp:val=&quot;006B6B9C&quot;/&gt;&lt;wsp:rsid wsp:val=&quot;006B6F13&quot;/&gt;&lt;wsp:rsid wsp:val=&quot;006B716B&quot;/&gt;&lt;wsp:rsid wsp:val=&quot;006B727D&quot;/&gt;&lt;wsp:rsid wsp:val=&quot;006B73BF&quot;/&gt;&lt;wsp:rsid wsp:val=&quot;006B7AE9&quot;/&gt;&lt;wsp:rsid wsp:val=&quot;006B7DB5&quot;/&gt;&lt;wsp:rsid wsp:val=&quot;006C0021&quot;/&gt;&lt;wsp:rsid wsp:val=&quot;006C0030&quot;/&gt;&lt;wsp:rsid wsp:val=&quot;006C04E9&quot;/&gt;&lt;wsp:rsid wsp:val=&quot;006C0770&quot;/&gt;&lt;wsp:rsid wsp:val=&quot;006C09BC&quot;/&gt;&lt;wsp:rsid wsp:val=&quot;006C0D78&quot;/&gt;&lt;wsp:rsid wsp:val=&quot;006C131A&quot;/&gt;&lt;wsp:rsid wsp:val=&quot;006C1696&quot;/&gt;&lt;wsp:rsid wsp:val=&quot;006C1B7D&quot;/&gt;&lt;wsp:rsid wsp:val=&quot;006C1FE3&quot;/&gt;&lt;wsp:rsid wsp:val=&quot;006C2084&quot;/&gt;&lt;wsp:rsid wsp:val=&quot;006C2334&quot;/&gt;&lt;wsp:rsid wsp:val=&quot;006C289A&quot;/&gt;&lt;wsp:rsid wsp:val=&quot;006C2D49&quot;/&gt;&lt;wsp:rsid wsp:val=&quot;006C2F1C&quot;/&gt;&lt;wsp:rsid wsp:val=&quot;006C2F91&quot;/&gt;&lt;wsp:rsid wsp:val=&quot;006C2FA1&quot;/&gt;&lt;wsp:rsid wsp:val=&quot;006C32AB&quot;/&gt;&lt;wsp:rsid wsp:val=&quot;006C3349&quot;/&gt;&lt;wsp:rsid wsp:val=&quot;006C33A5&quot;/&gt;&lt;wsp:rsid wsp:val=&quot;006C36D1&quot;/&gt;&lt;wsp:rsid wsp:val=&quot;006C3A9F&quot;/&gt;&lt;wsp:rsid wsp:val=&quot;006C3AE5&quot;/&gt;&lt;wsp:rsid wsp:val=&quot;006C3E1F&quot;/&gt;&lt;wsp:rsid wsp:val=&quot;006C3FAC&quot;/&gt;&lt;wsp:rsid wsp:val=&quot;006C41A5&quot;/&gt;&lt;wsp:rsid wsp:val=&quot;006C47BA&quot;/&gt;&lt;wsp:rsid wsp:val=&quot;006C4D82&quot;/&gt;&lt;wsp:rsid wsp:val=&quot;006C53E1&quot;/&gt;&lt;wsp:rsid wsp:val=&quot;006C5741&quot;/&gt;&lt;wsp:rsid wsp:val=&quot;006C5AB9&quot;/&gt;&lt;wsp:rsid wsp:val=&quot;006C5BC7&quot;/&gt;&lt;wsp:rsid wsp:val=&quot;006C603E&quot;/&gt;&lt;wsp:rsid wsp:val=&quot;006C617C&quot;/&gt;&lt;wsp:rsid wsp:val=&quot;006C61DF&quot;/&gt;&lt;wsp:rsid wsp:val=&quot;006C6804&quot;/&gt;&lt;wsp:rsid wsp:val=&quot;006C6925&quot;/&gt;&lt;wsp:rsid wsp:val=&quot;006C7152&quot;/&gt;&lt;wsp:rsid wsp:val=&quot;006C7D2A&quot;/&gt;&lt;wsp:rsid wsp:val=&quot;006C7D59&quot;/&gt;&lt;wsp:rsid wsp:val=&quot;006C7D8D&quot;/&gt;&lt;wsp:rsid wsp:val=&quot;006C7F1C&quot;/&gt;&lt;wsp:rsid wsp:val=&quot;006D049A&quot;/&gt;&lt;wsp:rsid wsp:val=&quot;006D0784&quot;/&gt;&lt;wsp:rsid wsp:val=&quot;006D0975&quot;/&gt;&lt;wsp:rsid wsp:val=&quot;006D0BC5&quot;/&gt;&lt;wsp:rsid wsp:val=&quot;006D12BD&quot;/&gt;&lt;wsp:rsid wsp:val=&quot;006D1968&quot;/&gt;&lt;wsp:rsid wsp:val=&quot;006D1A85&quot;/&gt;&lt;wsp:rsid wsp:val=&quot;006D234A&quot;/&gt;&lt;wsp:rsid wsp:val=&quot;006D2600&quot;/&gt;&lt;wsp:rsid wsp:val=&quot;006D2624&quot;/&gt;&lt;wsp:rsid wsp:val=&quot;006D26C2&quot;/&gt;&lt;wsp:rsid wsp:val=&quot;006D2C38&quot;/&gt;&lt;wsp:rsid wsp:val=&quot;006D2D75&quot;/&gt;&lt;wsp:rsid wsp:val=&quot;006D2DC6&quot;/&gt;&lt;wsp:rsid wsp:val=&quot;006D33B1&quot;/&gt;&lt;wsp:rsid wsp:val=&quot;006D3816&quot;/&gt;&lt;wsp:rsid wsp:val=&quot;006D38AB&quot;/&gt;&lt;wsp:rsid wsp:val=&quot;006D3BEA&quot;/&gt;&lt;wsp:rsid wsp:val=&quot;006D3DA5&quot;/&gt;&lt;wsp:rsid wsp:val=&quot;006D4178&quot;/&gt;&lt;wsp:rsid wsp:val=&quot;006D41E1&quot;/&gt;&lt;wsp:rsid wsp:val=&quot;006D4307&quot;/&gt;&lt;wsp:rsid wsp:val=&quot;006D4623&quot;/&gt;&lt;wsp:rsid wsp:val=&quot;006D46E2&quot;/&gt;&lt;wsp:rsid wsp:val=&quot;006D53FB&quot;/&gt;&lt;wsp:rsid wsp:val=&quot;006D54E4&quot;/&gt;&lt;wsp:rsid wsp:val=&quot;006D55ED&quot;/&gt;&lt;wsp:rsid wsp:val=&quot;006D5D8E&quot;/&gt;&lt;wsp:rsid wsp:val=&quot;006D5FEF&quot;/&gt;&lt;wsp:rsid wsp:val=&quot;006D6608&quot;/&gt;&lt;wsp:rsid wsp:val=&quot;006D67D8&quot;/&gt;&lt;wsp:rsid wsp:val=&quot;006D6B23&quot;/&gt;&lt;wsp:rsid wsp:val=&quot;006D6CAF&quot;/&gt;&lt;wsp:rsid wsp:val=&quot;006D756D&quot;/&gt;&lt;wsp:rsid wsp:val=&quot;006D7615&quot;/&gt;&lt;wsp:rsid wsp:val=&quot;006D7DA3&quot;/&gt;&lt;wsp:rsid wsp:val=&quot;006E1102&quot;/&gt;&lt;wsp:rsid wsp:val=&quot;006E1418&quot;/&gt;&lt;wsp:rsid wsp:val=&quot;006E1479&quot;/&gt;&lt;wsp:rsid wsp:val=&quot;006E158C&quot;/&gt;&lt;wsp:rsid wsp:val=&quot;006E1C1E&quot;/&gt;&lt;wsp:rsid wsp:val=&quot;006E1CAA&quot;/&gt;&lt;wsp:rsid wsp:val=&quot;006E2642&quot;/&gt;&lt;wsp:rsid wsp:val=&quot;006E30C1&quot;/&gt;&lt;wsp:rsid wsp:val=&quot;006E386A&quot;/&gt;&lt;wsp:rsid wsp:val=&quot;006E3CC9&quot;/&gt;&lt;wsp:rsid wsp:val=&quot;006E4237&quot;/&gt;&lt;wsp:rsid wsp:val=&quot;006E43F0&quot;/&gt;&lt;wsp:rsid wsp:val=&quot;006E53F0&quot;/&gt;&lt;wsp:rsid wsp:val=&quot;006E5415&quot;/&gt;&lt;wsp:rsid wsp:val=&quot;006E5992&quot;/&gt;&lt;wsp:rsid wsp:val=&quot;006E5ABF&quot;/&gt;&lt;wsp:rsid wsp:val=&quot;006E6461&quot;/&gt;&lt;wsp:rsid wsp:val=&quot;006E64CA&quot;/&gt;&lt;wsp:rsid wsp:val=&quot;006E6BF9&quot;/&gt;&lt;wsp:rsid wsp:val=&quot;006E6E96&quot;/&gt;&lt;wsp:rsid wsp:val=&quot;006E75A7&quot;/&gt;&lt;wsp:rsid wsp:val=&quot;006E777E&quot;/&gt;&lt;wsp:rsid wsp:val=&quot;006E797F&quot;/&gt;&lt;wsp:rsid wsp:val=&quot;006F000C&quot;/&gt;&lt;wsp:rsid wsp:val=&quot;006F0164&quot;/&gt;&lt;wsp:rsid wsp:val=&quot;006F0B72&quot;/&gt;&lt;wsp:rsid wsp:val=&quot;006F0D0D&quot;/&gt;&lt;wsp:rsid wsp:val=&quot;006F11B0&quot;/&gt;&lt;wsp:rsid wsp:val=&quot;006F1242&quot;/&gt;&lt;wsp:rsid wsp:val=&quot;006F127D&quot;/&gt;&lt;wsp:rsid wsp:val=&quot;006F1749&quot;/&gt;&lt;wsp:rsid wsp:val=&quot;006F1A7E&quot;/&gt;&lt;wsp:rsid wsp:val=&quot;006F2191&quot;/&gt;&lt;wsp:rsid wsp:val=&quot;006F269D&quot;/&gt;&lt;wsp:rsid wsp:val=&quot;006F26A8&quot;/&gt;&lt;wsp:rsid wsp:val=&quot;006F2855&quot;/&gt;&lt;wsp:rsid wsp:val=&quot;006F2920&quot;/&gt;&lt;wsp:rsid wsp:val=&quot;006F300C&quot;/&gt;&lt;wsp:rsid wsp:val=&quot;006F351E&quot;/&gt;&lt;wsp:rsid wsp:val=&quot;006F388D&quot;/&gt;&lt;wsp:rsid wsp:val=&quot;006F3A12&quot;/&gt;&lt;wsp:rsid wsp:val=&quot;006F4226&quot;/&gt;&lt;wsp:rsid wsp:val=&quot;006F47CF&quot;/&gt;&lt;wsp:rsid wsp:val=&quot;006F4F37&quot;/&gt;&lt;wsp:rsid wsp:val=&quot;006F5352&quot;/&gt;&lt;wsp:rsid wsp:val=&quot;006F5358&quot;/&gt;&lt;wsp:rsid wsp:val=&quot;006F54AF&quot;/&gt;&lt;wsp:rsid wsp:val=&quot;006F557E&quot;/&gt;&lt;wsp:rsid wsp:val=&quot;006F575D&quot;/&gt;&lt;wsp:rsid wsp:val=&quot;006F57D0&quot;/&gt;&lt;wsp:rsid wsp:val=&quot;006F6207&quot;/&gt;&lt;wsp:rsid wsp:val=&quot;006F62C6&quot;/&gt;&lt;wsp:rsid wsp:val=&quot;006F6526&quot;/&gt;&lt;wsp:rsid wsp:val=&quot;006F7267&quot;/&gt;&lt;wsp:rsid wsp:val=&quot;006F75C9&quot;/&gt;&lt;wsp:rsid wsp:val=&quot;006F76FF&quot;/&gt;&lt;wsp:rsid wsp:val=&quot;007002F4&quot;/&gt;&lt;wsp:rsid wsp:val=&quot;00700340&quot;/&gt;&lt;wsp:rsid wsp:val=&quot;007003EE&quot;/&gt;&lt;wsp:rsid wsp:val=&quot;0070057D&quot;/&gt;&lt;wsp:rsid wsp:val=&quot;00700620&quot;/&gt;&lt;wsp:rsid wsp:val=&quot;007008FE&quot;/&gt;&lt;wsp:rsid wsp:val=&quot;007009E2&quot;/&gt;&lt;wsp:rsid wsp:val=&quot;00700E7B&quot;/&gt;&lt;wsp:rsid wsp:val=&quot;00700FBF&quot;/&gt;&lt;wsp:rsid wsp:val=&quot;007015B7&quot;/&gt;&lt;wsp:rsid wsp:val=&quot;00701906&quot;/&gt;&lt;wsp:rsid wsp:val=&quot;00701A65&quot;/&gt;&lt;wsp:rsid wsp:val=&quot;00701C64&quot;/&gt;&lt;wsp:rsid wsp:val=&quot;0070224D&quot;/&gt;&lt;wsp:rsid wsp:val=&quot;007026B9&quot;/&gt;&lt;wsp:rsid wsp:val=&quot;007032AB&quot;/&gt;&lt;wsp:rsid wsp:val=&quot;00703460&quot;/&gt;&lt;wsp:rsid wsp:val=&quot;00703563&quot;/&gt;&lt;wsp:rsid wsp:val=&quot;007035D4&quot;/&gt;&lt;wsp:rsid wsp:val=&quot;007036B0&quot;/&gt;&lt;wsp:rsid wsp:val=&quot;00703B34&quot;/&gt;&lt;wsp:rsid wsp:val=&quot;00703EE2&quot;/&gt;&lt;wsp:rsid wsp:val=&quot;0070423B&quot;/&gt;&lt;wsp:rsid wsp:val=&quot;007046F3&quot;/&gt;&lt;wsp:rsid wsp:val=&quot;00704DA3&quot;/&gt;&lt;wsp:rsid wsp:val=&quot;00704E33&quot;/&gt;&lt;wsp:rsid wsp:val=&quot;0070569E&quot;/&gt;&lt;wsp:rsid wsp:val=&quot;007057B4&quot;/&gt;&lt;wsp:rsid wsp:val=&quot;00705B2B&quot;/&gt;&lt;wsp:rsid wsp:val=&quot;00705E63&quot;/&gt;&lt;wsp:rsid wsp:val=&quot;00705FF0&quot;/&gt;&lt;wsp:rsid wsp:val=&quot;00706DDA&quot;/&gt;&lt;wsp:rsid wsp:val=&quot;00706FFC&quot;/&gt;&lt;wsp:rsid wsp:val=&quot;007070B4&quot;/&gt;&lt;wsp:rsid wsp:val=&quot;0070743D&quot;/&gt;&lt;wsp:rsid wsp:val=&quot;00707447&quot;/&gt;&lt;wsp:rsid wsp:val=&quot;00710267&quot;/&gt;&lt;wsp:rsid wsp:val=&quot;00710960&quot;/&gt;&lt;wsp:rsid wsp:val=&quot;00710B50&quot;/&gt;&lt;wsp:rsid wsp:val=&quot;00710CD9&quot;/&gt;&lt;wsp:rsid wsp:val=&quot;00711DB7&quot;/&gt;&lt;wsp:rsid wsp:val=&quot;00711ED3&quot;/&gt;&lt;wsp:rsid wsp:val=&quot;00711F0C&quot;/&gt;&lt;wsp:rsid wsp:val=&quot;007120F7&quot;/&gt;&lt;wsp:rsid wsp:val=&quot;00712140&quot;/&gt;&lt;wsp:rsid wsp:val=&quot;0071220F&quot;/&gt;&lt;wsp:rsid wsp:val=&quot;0071298C&quot;/&gt;&lt;wsp:rsid wsp:val=&quot;007129DA&quot;/&gt;&lt;wsp:rsid wsp:val=&quot;00713696&quot;/&gt;&lt;wsp:rsid wsp:val=&quot;00713F80&quot;/&gt;&lt;wsp:rsid wsp:val=&quot;00713FE7&quot;/&gt;&lt;wsp:rsid wsp:val=&quot;007141C7&quot;/&gt;&lt;wsp:rsid wsp:val=&quot;00714365&quot;/&gt;&lt;wsp:rsid wsp:val=&quot;0071464E&quot;/&gt;&lt;wsp:rsid wsp:val=&quot;00714B35&quot;/&gt;&lt;wsp:rsid wsp:val=&quot;00714C87&quot;/&gt;&lt;wsp:rsid wsp:val=&quot;00714CC7&quot;/&gt;&lt;wsp:rsid wsp:val=&quot;00715407&quot;/&gt;&lt;wsp:rsid wsp:val=&quot;007156C6&quot;/&gt;&lt;wsp:rsid wsp:val=&quot;00715C64&quot;/&gt;&lt;wsp:rsid wsp:val=&quot;0071628B&quot;/&gt;&lt;wsp:rsid wsp:val=&quot;007166FF&quot;/&gt;&lt;wsp:rsid wsp:val=&quot;00716AAC&quot;/&gt;&lt;wsp:rsid wsp:val=&quot;00716C8C&quot;/&gt;&lt;wsp:rsid wsp:val=&quot;00716FB8&quot;/&gt;&lt;wsp:rsid wsp:val=&quot;007170AA&quot;/&gt;&lt;wsp:rsid wsp:val=&quot;00717890&quot;/&gt;&lt;wsp:rsid wsp:val=&quot;00717D9D&quot;/&gt;&lt;wsp:rsid wsp:val=&quot;00717EBD&quot;/&gt;&lt;wsp:rsid wsp:val=&quot;0072007F&quot;/&gt;&lt;wsp:rsid wsp:val=&quot;00720B98&quot;/&gt;&lt;wsp:rsid wsp:val=&quot;00720CF7&quot;/&gt;&lt;wsp:rsid wsp:val=&quot;00720E29&quot;/&gt;&lt;wsp:rsid wsp:val=&quot;00720FFB&quot;/&gt;&lt;wsp:rsid wsp:val=&quot;00721316&quot;/&gt;&lt;wsp:rsid wsp:val=&quot;007215E6&quot;/&gt;&lt;wsp:rsid wsp:val=&quot;00721838&quot;/&gt;&lt;wsp:rsid wsp:val=&quot;007219BD&quot;/&gt;&lt;wsp:rsid wsp:val=&quot;00722943&quot;/&gt;&lt;wsp:rsid wsp:val=&quot;00722A9B&quot;/&gt;&lt;wsp:rsid wsp:val=&quot;00722DA2&quot;/&gt;&lt;wsp:rsid wsp:val=&quot;007237FC&quot;/&gt;&lt;wsp:rsid wsp:val=&quot;007239E5&quot;/&gt;&lt;wsp:rsid wsp:val=&quot;00723F65&quot;/&gt;&lt;wsp:rsid wsp:val=&quot;007242E3&quot;/&gt;&lt;wsp:rsid wsp:val=&quot;00724492&quot;/&gt;&lt;wsp:rsid wsp:val=&quot;00724C67&quot;/&gt;&lt;wsp:rsid wsp:val=&quot;00724C99&quot;/&gt;&lt;wsp:rsid wsp:val=&quot;00724D89&quot;/&gt;&lt;wsp:rsid wsp:val=&quot;007253AC&quot;/&gt;&lt;wsp:rsid wsp:val=&quot;007258E3&quot;/&gt;&lt;wsp:rsid wsp:val=&quot;00725C9E&quot;/&gt;&lt;wsp:rsid wsp:val=&quot;00725E3A&quot;/&gt;&lt;wsp:rsid wsp:val=&quot;00725F19&quot;/&gt;&lt;wsp:rsid wsp:val=&quot;007266AD&quot;/&gt;&lt;wsp:rsid wsp:val=&quot;00726C07&quot;/&gt;&lt;wsp:rsid wsp:val=&quot;00727109&quot;/&gt;&lt;wsp:rsid wsp:val=&quot;00727B4B&quot;/&gt;&lt;wsp:rsid wsp:val=&quot;00727DD0&quot;/&gt;&lt;wsp:rsid wsp:val=&quot;00727E4E&quot;/&gt;&lt;wsp:rsid wsp:val=&quot;0073013A&quot;/&gt;&lt;wsp:rsid wsp:val=&quot;00730AC2&quot;/&gt;&lt;wsp:rsid wsp:val=&quot;00730D04&quot;/&gt;&lt;wsp:rsid wsp:val=&quot;00731275&quot;/&gt;&lt;wsp:rsid wsp:val=&quot;0073150D&quot;/&gt;&lt;wsp:rsid wsp:val=&quot;007315F4&quot;/&gt;&lt;wsp:rsid wsp:val=&quot;0073251D&quot;/&gt;&lt;wsp:rsid wsp:val=&quot;00732641&quot;/&gt;&lt;wsp:rsid wsp:val=&quot;00733248&quot;/&gt;&lt;wsp:rsid wsp:val=&quot;007348A8&quot;/&gt;&lt;wsp:rsid wsp:val=&quot;0073516D&quot;/&gt;&lt;wsp:rsid wsp:val=&quot;007355FE&quot;/&gt;&lt;wsp:rsid wsp:val=&quot;007359A5&quot;/&gt;&lt;wsp:rsid wsp:val=&quot;00735B51&quot;/&gt;&lt;wsp:rsid wsp:val=&quot;00735E11&quot;/&gt;&lt;wsp:rsid wsp:val=&quot;00736CBF&quot;/&gt;&lt;wsp:rsid wsp:val=&quot;007372D0&quot;/&gt;&lt;wsp:rsid wsp:val=&quot;007374C9&quot;/&gt;&lt;wsp:rsid wsp:val=&quot;007374E8&quot;/&gt;&lt;wsp:rsid wsp:val=&quot;0073758C&quot;/&gt;&lt;wsp:rsid wsp:val=&quot;00737651&quot;/&gt;&lt;wsp:rsid wsp:val=&quot;00737671&quot;/&gt;&lt;wsp:rsid wsp:val=&quot;00737773&quot;/&gt;&lt;wsp:rsid wsp:val=&quot;00737F6F&quot;/&gt;&lt;wsp:rsid wsp:val=&quot;0074047E&quot;/&gt;&lt;wsp:rsid wsp:val=&quot;0074076C&quot;/&gt;&lt;wsp:rsid wsp:val=&quot;0074097B&quot;/&gt;&lt;wsp:rsid wsp:val=&quot;007416E8&quot;/&gt;&lt;wsp:rsid wsp:val=&quot;00741953&quot;/&gt;&lt;wsp:rsid wsp:val=&quot;007424B6&quot;/&gt;&lt;wsp:rsid wsp:val=&quot;0074293E&quot;/&gt;&lt;wsp:rsid wsp:val=&quot;00742ADA&quot;/&gt;&lt;wsp:rsid wsp:val=&quot;00742FC7&quot;/&gt;&lt;wsp:rsid wsp:val=&quot;007443B2&quot;/&gt;&lt;wsp:rsid wsp:val=&quot;00744696&quot;/&gt;&lt;wsp:rsid wsp:val=&quot;007446EA&quot;/&gt;&lt;wsp:rsid wsp:val=&quot;0074503F&quot;/&gt;&lt;wsp:rsid wsp:val=&quot;00745041&quot;/&gt;&lt;wsp:rsid wsp:val=&quot;00745719&quot;/&gt;&lt;wsp:rsid wsp:val=&quot;007459E5&quot;/&gt;&lt;wsp:rsid wsp:val=&quot;00745AE5&quot;/&gt;&lt;wsp:rsid wsp:val=&quot;00745CCE&quot;/&gt;&lt;wsp:rsid wsp:val=&quot;00746574&quot;/&gt;&lt;wsp:rsid wsp:val=&quot;00746F69&quot;/&gt;&lt;wsp:rsid wsp:val=&quot;0074732D&quot;/&gt;&lt;wsp:rsid wsp:val=&quot;00747566&quot;/&gt;&lt;wsp:rsid wsp:val=&quot;0074780C&quot;/&gt;&lt;wsp:rsid wsp:val=&quot;00747910&quot;/&gt;&lt;wsp:rsid wsp:val=&quot;00747AC0&quot;/&gt;&lt;wsp:rsid wsp:val=&quot;00747F25&quot;/&gt;&lt;wsp:rsid wsp:val=&quot;00750335&quot;/&gt;&lt;wsp:rsid wsp:val=&quot;007503C6&quot;/&gt;&lt;wsp:rsid wsp:val=&quot;007509E0&quot;/&gt;&lt;wsp:rsid wsp:val=&quot;00751016&quot;/&gt;&lt;wsp:rsid wsp:val=&quot;007510B1&quot;/&gt;&lt;wsp:rsid wsp:val=&quot;0075149A&quot;/&gt;&lt;wsp:rsid wsp:val=&quot;00751A17&quot;/&gt;&lt;wsp:rsid wsp:val=&quot;00751DF6&quot;/&gt;&lt;wsp:rsid wsp:val=&quot;0075230F&quot;/&gt;&lt;wsp:rsid wsp:val=&quot;0075261B&quot;/&gt;&lt;wsp:rsid wsp:val=&quot;00753233&quot;/&gt;&lt;wsp:rsid wsp:val=&quot;007535BA&quot;/&gt;&lt;wsp:rsid wsp:val=&quot;00753B78&quot;/&gt;&lt;wsp:rsid wsp:val=&quot;00754014&quot;/&gt;&lt;wsp:rsid wsp:val=&quot;007542E0&quot;/&gt;&lt;wsp:rsid wsp:val=&quot;007547AB&quot;/&gt;&lt;wsp:rsid wsp:val=&quot;007548EA&quot;/&gt;&lt;wsp:rsid wsp:val=&quot;00754F31&quot;/&gt;&lt;wsp:rsid wsp:val=&quot;00755248&quot;/&gt;&lt;wsp:rsid wsp:val=&quot;00755480&quot;/&gt;&lt;wsp:rsid wsp:val=&quot;00755892&quot;/&gt;&lt;wsp:rsid wsp:val=&quot;00755901&quot;/&gt;&lt;wsp:rsid wsp:val=&quot;00756164&quot;/&gt;&lt;wsp:rsid wsp:val=&quot;00756541&quot;/&gt;&lt;wsp:rsid wsp:val=&quot;0075732A&quot;/&gt;&lt;wsp:rsid wsp:val=&quot;007576F7&quot;/&gt;&lt;wsp:rsid wsp:val=&quot;0075772E&quot;/&gt;&lt;wsp:rsid wsp:val=&quot;007577B9&quot;/&gt;&lt;wsp:rsid wsp:val=&quot;00757ECF&quot;/&gt;&lt;wsp:rsid wsp:val=&quot;007605BF&quot;/&gt;&lt;wsp:rsid wsp:val=&quot;00760A42&quot;/&gt;&lt;wsp:rsid wsp:val=&quot;00760B69&quot;/&gt;&lt;wsp:rsid wsp:val=&quot;00762076&quot;/&gt;&lt;wsp:rsid wsp:val=&quot;0076216C&quot;/&gt;&lt;wsp:rsid wsp:val=&quot;0076299F&quot;/&gt;&lt;wsp:rsid wsp:val=&quot;00762B7D&quot;/&gt;&lt;wsp:rsid wsp:val=&quot;00762DBA&quot;/&gt;&lt;wsp:rsid wsp:val=&quot;00762E9B&quot;/&gt;&lt;wsp:rsid wsp:val=&quot;00762F93&quot;/&gt;&lt;wsp:rsid wsp:val=&quot;00763AE0&quot;/&gt;&lt;wsp:rsid wsp:val=&quot;00763AEE&quot;/&gt;&lt;wsp:rsid wsp:val=&quot;00764541&quot;/&gt;&lt;wsp:rsid wsp:val=&quot;00764629&quot;/&gt;&lt;wsp:rsid wsp:val=&quot;007646EF&quot;/&gt;&lt;wsp:rsid wsp:val=&quot;0076495D&quot;/&gt;&lt;wsp:rsid wsp:val=&quot;00764C1E&quot;/&gt;&lt;wsp:rsid wsp:val=&quot;00764CBB&quot;/&gt;&lt;wsp:rsid wsp:val=&quot;00764F9E&quot;/&gt;&lt;wsp:rsid wsp:val=&quot;0076505A&quot;/&gt;&lt;wsp:rsid wsp:val=&quot;0076592B&quot;/&gt;&lt;wsp:rsid wsp:val=&quot;00765C17&quot;/&gt;&lt;wsp:rsid wsp:val=&quot;00765CF9&quot;/&gt;&lt;wsp:rsid wsp:val=&quot;00765FD7&quot;/&gt;&lt;wsp:rsid wsp:val=&quot;00766504&quot;/&gt;&lt;wsp:rsid wsp:val=&quot;00766A32&quot;/&gt;&lt;wsp:rsid wsp:val=&quot;00766CE7&quot;/&gt;&lt;wsp:rsid wsp:val=&quot;00767256&quot;/&gt;&lt;wsp:rsid wsp:val=&quot;00767A58&quot;/&gt;&lt;wsp:rsid wsp:val=&quot;00770198&quot;/&gt;&lt;wsp:rsid wsp:val=&quot;00770326&quot;/&gt;&lt;wsp:rsid wsp:val=&quot;007705F7&quot;/&gt;&lt;wsp:rsid wsp:val=&quot;007709E3&quot;/&gt;&lt;wsp:rsid wsp:val=&quot;00770A08&quot;/&gt;&lt;wsp:rsid wsp:val=&quot;00770A29&quot;/&gt;&lt;wsp:rsid wsp:val=&quot;00770ABA&quot;/&gt;&lt;wsp:rsid wsp:val=&quot;00770B9F&quot;/&gt;&lt;wsp:rsid wsp:val=&quot;007712B2&quot;/&gt;&lt;wsp:rsid wsp:val=&quot;00771431&quot;/&gt;&lt;wsp:rsid wsp:val=&quot;00771877&quot;/&gt;&lt;wsp:rsid wsp:val=&quot;00771A1F&quot;/&gt;&lt;wsp:rsid wsp:val=&quot;00771A7A&quot;/&gt;&lt;wsp:rsid wsp:val=&quot;00773111&quot;/&gt;&lt;wsp:rsid wsp:val=&quot;00773219&quot;/&gt;&lt;wsp:rsid wsp:val=&quot;0077350E&quot;/&gt;&lt;wsp:rsid wsp:val=&quot;00773851&quot;/&gt;&lt;wsp:rsid wsp:val=&quot;007738DB&quot;/&gt;&lt;wsp:rsid wsp:val=&quot;00773BBF&quot;/&gt;&lt;wsp:rsid wsp:val=&quot;00773EB7&quot;/&gt;&lt;wsp:rsid wsp:val=&quot;00773F2C&quot;/&gt;&lt;wsp:rsid wsp:val=&quot;00774471&quot;/&gt;&lt;wsp:rsid wsp:val=&quot;0077497F&quot;/&gt;&lt;wsp:rsid wsp:val=&quot;00775616&quot;/&gt;&lt;wsp:rsid wsp:val=&quot;00775A93&quot;/&gt;&lt;wsp:rsid wsp:val=&quot;007763CC&quot;/&gt;&lt;wsp:rsid wsp:val=&quot;00776404&quot;/&gt;&lt;wsp:rsid wsp:val=&quot;00776407&quot;/&gt;&lt;wsp:rsid wsp:val=&quot;00776409&quot;/&gt;&lt;wsp:rsid wsp:val=&quot;00776E14&quot;/&gt;&lt;wsp:rsid wsp:val=&quot;007802FB&quot;/&gt;&lt;wsp:rsid wsp:val=&quot;007805EA&quot;/&gt;&lt;wsp:rsid wsp:val=&quot;00780726&quot;/&gt;&lt;wsp:rsid wsp:val=&quot;00780A8F&quot;/&gt;&lt;wsp:rsid wsp:val=&quot;00781370&quot;/&gt;&lt;wsp:rsid wsp:val=&quot;007814E8&quot;/&gt;&lt;wsp:rsid wsp:val=&quot;007815B3&quot;/&gt;&lt;wsp:rsid wsp:val=&quot;0078239D&quot;/&gt;&lt;wsp:rsid wsp:val=&quot;0078250A&quot;/&gt;&lt;wsp:rsid wsp:val=&quot;00782A94&quot;/&gt;&lt;wsp:rsid wsp:val=&quot;00782EAD&quot;/&gt;&lt;wsp:rsid wsp:val=&quot;0078316A&quot;/&gt;&lt;wsp:rsid wsp:val=&quot;00783693&quot;/&gt;&lt;wsp:rsid wsp:val=&quot;007836A4&quot;/&gt;&lt;wsp:rsid wsp:val=&quot;00783824&quot;/&gt;&lt;wsp:rsid wsp:val=&quot;00783AD9&quot;/&gt;&lt;wsp:rsid wsp:val=&quot;00783F96&quot;/&gt;&lt;wsp:rsid wsp:val=&quot;0078409F&quot;/&gt;&lt;wsp:rsid wsp:val=&quot;00784144&quot;/&gt;&lt;wsp:rsid wsp:val=&quot;00784361&quot;/&gt;&lt;wsp:rsid wsp:val=&quot;007843FC&quot;/&gt;&lt;wsp:rsid wsp:val=&quot;00784DBF&quot;/&gt;&lt;wsp:rsid wsp:val=&quot;00784ECA&quot;/&gt;&lt;wsp:rsid wsp:val=&quot;007854F0&quot;/&gt;&lt;wsp:rsid wsp:val=&quot;007856F0&quot;/&gt;&lt;wsp:rsid wsp:val=&quot;00785CD6&quot;/&gt;&lt;wsp:rsid wsp:val=&quot;00786CB3&quot;/&gt;&lt;wsp:rsid wsp:val=&quot;00787284&quot;/&gt;&lt;wsp:rsid wsp:val=&quot;00787299&quot;/&gt;&lt;wsp:rsid wsp:val=&quot;00787391&quot;/&gt;&lt;wsp:rsid wsp:val=&quot;00787588&quot;/&gt;&lt;wsp:rsid wsp:val=&quot;00787761&quot;/&gt;&lt;wsp:rsid wsp:val=&quot;00787AE8&quot;/&gt;&lt;wsp:rsid wsp:val=&quot;00787E70&quot;/&gt;&lt;wsp:rsid wsp:val=&quot;00787FFA&quot;/&gt;&lt;wsp:rsid wsp:val=&quot;007905C0&quot;/&gt;&lt;wsp:rsid wsp:val=&quot;007906E9&quot;/&gt;&lt;wsp:rsid wsp:val=&quot;0079074F&quot;/&gt;&lt;wsp:rsid wsp:val=&quot;0079098A&quot;/&gt;&lt;wsp:rsid wsp:val=&quot;0079196A&quot;/&gt;&lt;wsp:rsid wsp:val=&quot;00791A8E&quot;/&gt;&lt;wsp:rsid wsp:val=&quot;00791F0C&quot;/&gt;&lt;wsp:rsid wsp:val=&quot;007922BC&quot;/&gt;&lt;wsp:rsid wsp:val=&quot;00792948&quot;/&gt;&lt;wsp:rsid wsp:val=&quot;00793033&quot;/&gt;&lt;wsp:rsid wsp:val=&quot;00793603&quot;/&gt;&lt;wsp:rsid wsp:val=&quot;00793EAE&quot;/&gt;&lt;wsp:rsid wsp:val=&quot;00793F0E&quot;/&gt;&lt;wsp:rsid wsp:val=&quot;00793FFF&quot;/&gt;&lt;wsp:rsid wsp:val=&quot;00794205&quot;/&gt;&lt;wsp:rsid wsp:val=&quot;0079479C&quot;/&gt;&lt;wsp:rsid wsp:val=&quot;00794A0E&quot;/&gt;&lt;wsp:rsid wsp:val=&quot;00794A14&quot;/&gt;&lt;wsp:rsid wsp:val=&quot;00794D8C&quot;/&gt;&lt;wsp:rsid wsp:val=&quot;0079539C&quot;/&gt;&lt;wsp:rsid wsp:val=&quot;00795682&quot;/&gt;&lt;wsp:rsid wsp:val=&quot;00795BF3&quot;/&gt;&lt;wsp:rsid wsp:val=&quot;00795E74&quot;/&gt;&lt;wsp:rsid wsp:val=&quot;0079670E&quot;/&gt;&lt;wsp:rsid wsp:val=&quot;00796880&quot;/&gt;&lt;wsp:rsid wsp:val=&quot;007977DC&quot;/&gt;&lt;wsp:rsid wsp:val=&quot;00797931&quot;/&gt;&lt;wsp:rsid wsp:val=&quot;007A1746&quot;/&gt;&lt;wsp:rsid wsp:val=&quot;007A2966&quot;/&gt;&lt;wsp:rsid wsp:val=&quot;007A2A83&quot;/&gt;&lt;wsp:rsid wsp:val=&quot;007A2A98&quot;/&gt;&lt;wsp:rsid wsp:val=&quot;007A2D2C&quot;/&gt;&lt;wsp:rsid wsp:val=&quot;007A3735&quot;/&gt;&lt;wsp:rsid wsp:val=&quot;007A3910&quot;/&gt;&lt;wsp:rsid wsp:val=&quot;007A41BD&quot;/&gt;&lt;wsp:rsid wsp:val=&quot;007A4323&quot;/&gt;&lt;wsp:rsid wsp:val=&quot;007A5186&quot;/&gt;&lt;wsp:rsid wsp:val=&quot;007A5507&quot;/&gt;&lt;wsp:rsid wsp:val=&quot;007A55C9&quot;/&gt;&lt;wsp:rsid wsp:val=&quot;007A55DE&quot;/&gt;&lt;wsp:rsid wsp:val=&quot;007A5672&quot;/&gt;&lt;wsp:rsid wsp:val=&quot;007A577F&quot;/&gt;&lt;wsp:rsid wsp:val=&quot;007A5A46&quot;/&gt;&lt;wsp:rsid wsp:val=&quot;007A5DF6&quot;/&gt;&lt;wsp:rsid wsp:val=&quot;007A60BF&quot;/&gt;&lt;wsp:rsid wsp:val=&quot;007A617E&quot;/&gt;&lt;wsp:rsid wsp:val=&quot;007A6184&quot;/&gt;&lt;wsp:rsid wsp:val=&quot;007A61BA&quot;/&gt;&lt;wsp:rsid wsp:val=&quot;007A63F1&quot;/&gt;&lt;wsp:rsid wsp:val=&quot;007A6716&quot;/&gt;&lt;wsp:rsid wsp:val=&quot;007A689F&quot;/&gt;&lt;wsp:rsid wsp:val=&quot;007A6F9B&quot;/&gt;&lt;wsp:rsid wsp:val=&quot;007A6FC6&quot;/&gt;&lt;wsp:rsid wsp:val=&quot;007A77E2&quot;/&gt;&lt;wsp:rsid wsp:val=&quot;007A7BC3&quot;/&gt;&lt;wsp:rsid wsp:val=&quot;007B05FD&quot;/&gt;&lt;wsp:rsid wsp:val=&quot;007B0681&quot;/&gt;&lt;wsp:rsid wsp:val=&quot;007B0F26&quot;/&gt;&lt;wsp:rsid wsp:val=&quot;007B0FA2&quot;/&gt;&lt;wsp:rsid wsp:val=&quot;007B12CF&quot;/&gt;&lt;wsp:rsid wsp:val=&quot;007B33BB&quot;/&gt;&lt;wsp:rsid wsp:val=&quot;007B36B0&quot;/&gt;&lt;wsp:rsid wsp:val=&quot;007B4A76&quot;/&gt;&lt;wsp:rsid wsp:val=&quot;007B4C13&quot;/&gt;&lt;wsp:rsid wsp:val=&quot;007B4D2B&quot;/&gt;&lt;wsp:rsid wsp:val=&quot;007B4EE1&quot;/&gt;&lt;wsp:rsid wsp:val=&quot;007B52FE&quot;/&gt;&lt;wsp:rsid wsp:val=&quot;007B5F37&quot;/&gt;&lt;wsp:rsid wsp:val=&quot;007B609A&quot;/&gt;&lt;wsp:rsid wsp:val=&quot;007B60D6&quot;/&gt;&lt;wsp:rsid wsp:val=&quot;007B6136&quot;/&gt;&lt;wsp:rsid wsp:val=&quot;007B64F8&quot;/&gt;&lt;wsp:rsid wsp:val=&quot;007B663E&quot;/&gt;&lt;wsp:rsid wsp:val=&quot;007B6A3E&quot;/&gt;&lt;wsp:rsid wsp:val=&quot;007B6EB3&quot;/&gt;&lt;wsp:rsid wsp:val=&quot;007B6F1C&quot;/&gt;&lt;wsp:rsid wsp:val=&quot;007B7501&quot;/&gt;&lt;wsp:rsid wsp:val=&quot;007B7C07&quot;/&gt;&lt;wsp:rsid wsp:val=&quot;007B7D4F&quot;/&gt;&lt;wsp:rsid wsp:val=&quot;007B7DD3&quot;/&gt;&lt;wsp:rsid wsp:val=&quot;007B7E01&quot;/&gt;&lt;wsp:rsid wsp:val=&quot;007C0412&quot;/&gt;&lt;wsp:rsid wsp:val=&quot;007C08B8&quot;/&gt;&lt;wsp:rsid wsp:val=&quot;007C0BF6&quot;/&gt;&lt;wsp:rsid wsp:val=&quot;007C1292&quot;/&gt;&lt;wsp:rsid wsp:val=&quot;007C16F9&quot;/&gt;&lt;wsp:rsid wsp:val=&quot;007C1B5D&quot;/&gt;&lt;wsp:rsid wsp:val=&quot;007C1C23&quot;/&gt;&lt;wsp:rsid wsp:val=&quot;007C1E05&quot;/&gt;&lt;wsp:rsid wsp:val=&quot;007C24E2&quot;/&gt;&lt;wsp:rsid wsp:val=&quot;007C280B&quot;/&gt;&lt;wsp:rsid wsp:val=&quot;007C32E5&quot;/&gt;&lt;wsp:rsid wsp:val=&quot;007C3392&quot;/&gt;&lt;wsp:rsid wsp:val=&quot;007C4654&quot;/&gt;&lt;wsp:rsid wsp:val=&quot;007C46C8&quot;/&gt;&lt;wsp:rsid wsp:val=&quot;007C47EB&quot;/&gt;&lt;wsp:rsid wsp:val=&quot;007C4D27&quot;/&gt;&lt;wsp:rsid wsp:val=&quot;007C5294&quot;/&gt;&lt;wsp:rsid wsp:val=&quot;007C54F3&quot;/&gt;&lt;wsp:rsid wsp:val=&quot;007C5A5E&quot;/&gt;&lt;wsp:rsid wsp:val=&quot;007C5B90&quot;/&gt;&lt;wsp:rsid wsp:val=&quot;007C5BEA&quot;/&gt;&lt;wsp:rsid wsp:val=&quot;007C608A&quot;/&gt;&lt;wsp:rsid wsp:val=&quot;007C64BA&quot;/&gt;&lt;wsp:rsid wsp:val=&quot;007C64F6&quot;/&gt;&lt;wsp:rsid wsp:val=&quot;007C668A&quot;/&gt;&lt;wsp:rsid wsp:val=&quot;007C6CFE&quot;/&gt;&lt;wsp:rsid wsp:val=&quot;007C6D9E&quot;/&gt;&lt;wsp:rsid wsp:val=&quot;007C6E57&quot;/&gt;&lt;wsp:rsid wsp:val=&quot;007C6EE5&quot;/&gt;&lt;wsp:rsid wsp:val=&quot;007C6FD8&quot;/&gt;&lt;wsp:rsid wsp:val=&quot;007C714F&quot;/&gt;&lt;wsp:rsid wsp:val=&quot;007C7870&quot;/&gt;&lt;wsp:rsid wsp:val=&quot;007C7952&quot;/&gt;&lt;wsp:rsid wsp:val=&quot;007C7B7D&quot;/&gt;&lt;wsp:rsid wsp:val=&quot;007C7B91&quot;/&gt;&lt;wsp:rsid wsp:val=&quot;007D0381&quot;/&gt;&lt;wsp:rsid wsp:val=&quot;007D0A06&quot;/&gt;&lt;wsp:rsid wsp:val=&quot;007D0A28&quot;/&gt;&lt;wsp:rsid wsp:val=&quot;007D0B79&quot;/&gt;&lt;wsp:rsid wsp:val=&quot;007D0D65&quot;/&gt;&lt;wsp:rsid wsp:val=&quot;007D2061&quot;/&gt;&lt;wsp:rsid wsp:val=&quot;007D24E8&quot;/&gt;&lt;wsp:rsid wsp:val=&quot;007D286C&quot;/&gt;&lt;wsp:rsid wsp:val=&quot;007D2C15&quot;/&gt;&lt;wsp:rsid wsp:val=&quot;007D2DD6&quot;/&gt;&lt;wsp:rsid wsp:val=&quot;007D30D4&quot;/&gt;&lt;wsp:rsid wsp:val=&quot;007D36A5&quot;/&gt;&lt;wsp:rsid wsp:val=&quot;007D3B5C&quot;/&gt;&lt;wsp:rsid wsp:val=&quot;007D3EEE&quot;/&gt;&lt;wsp:rsid wsp:val=&quot;007D461C&quot;/&gt;&lt;wsp:rsid wsp:val=&quot;007D4C97&quot;/&gt;&lt;wsp:rsid wsp:val=&quot;007D4EBB&quot;/&gt;&lt;wsp:rsid wsp:val=&quot;007D526C&quot;/&gt;&lt;wsp:rsid wsp:val=&quot;007D5D1B&quot;/&gt;&lt;wsp:rsid wsp:val=&quot;007D6509&quot;/&gt;&lt;wsp:rsid wsp:val=&quot;007D659B&quot;/&gt;&lt;wsp:rsid wsp:val=&quot;007D65A8&quot;/&gt;&lt;wsp:rsid wsp:val=&quot;007D683C&quot;/&gt;&lt;wsp:rsid wsp:val=&quot;007D6A47&quot;/&gt;&lt;wsp:rsid wsp:val=&quot;007D7DE9&quot;/&gt;&lt;wsp:rsid wsp:val=&quot;007D7E64&quot;/&gt;&lt;wsp:rsid wsp:val=&quot;007D7F67&quot;/&gt;&lt;wsp:rsid wsp:val=&quot;007D7FB8&quot;/&gt;&lt;wsp:rsid wsp:val=&quot;007E042F&quot;/&gt;&lt;wsp:rsid wsp:val=&quot;007E0979&quot;/&gt;&lt;wsp:rsid wsp:val=&quot;007E19F2&quot;/&gt;&lt;wsp:rsid wsp:val=&quot;007E1F0E&quot;/&gt;&lt;wsp:rsid wsp:val=&quot;007E20CA&quot;/&gt;&lt;wsp:rsid wsp:val=&quot;007E2274&quot;/&gt;&lt;wsp:rsid wsp:val=&quot;007E24B9&quot;/&gt;&lt;wsp:rsid wsp:val=&quot;007E28D4&quot;/&gt;&lt;wsp:rsid wsp:val=&quot;007E3D2A&quot;/&gt;&lt;wsp:rsid wsp:val=&quot;007E3D4E&quot;/&gt;&lt;wsp:rsid wsp:val=&quot;007E40D8&quot;/&gt;&lt;wsp:rsid wsp:val=&quot;007E411E&quot;/&gt;&lt;wsp:rsid wsp:val=&quot;007E46BC&quot;/&gt;&lt;wsp:rsid wsp:val=&quot;007E4B3E&quot;/&gt;&lt;wsp:rsid wsp:val=&quot;007E557F&quot;/&gt;&lt;wsp:rsid wsp:val=&quot;007E5628&quot;/&gt;&lt;wsp:rsid wsp:val=&quot;007E5C41&quot;/&gt;&lt;wsp:rsid wsp:val=&quot;007E5E56&quot;/&gt;&lt;wsp:rsid wsp:val=&quot;007E612A&quot;/&gt;&lt;wsp:rsid wsp:val=&quot;007E6703&quot;/&gt;&lt;wsp:rsid wsp:val=&quot;007E6C4B&quot;/&gt;&lt;wsp:rsid wsp:val=&quot;007E7033&quot;/&gt;&lt;wsp:rsid wsp:val=&quot;007E78A2&quot;/&gt;&lt;wsp:rsid wsp:val=&quot;007E7B6B&quot;/&gt;&lt;wsp:rsid wsp:val=&quot;007F0D0B&quot;/&gt;&lt;wsp:rsid wsp:val=&quot;007F0D67&quot;/&gt;&lt;wsp:rsid wsp:val=&quot;007F1029&quot;/&gt;&lt;wsp:rsid wsp:val=&quot;007F11C2&quot;/&gt;&lt;wsp:rsid wsp:val=&quot;007F14FA&quot;/&gt;&lt;wsp:rsid wsp:val=&quot;007F15C6&quot;/&gt;&lt;wsp:rsid wsp:val=&quot;007F1D12&quot;/&gt;&lt;wsp:rsid wsp:val=&quot;007F1FD1&quot;/&gt;&lt;wsp:rsid wsp:val=&quot;007F21A6&quot;/&gt;&lt;wsp:rsid wsp:val=&quot;007F29F6&quot;/&gt;&lt;wsp:rsid wsp:val=&quot;007F2B96&quot;/&gt;&lt;wsp:rsid wsp:val=&quot;007F2CF5&quot;/&gt;&lt;wsp:rsid wsp:val=&quot;007F2E84&quot;/&gt;&lt;wsp:rsid wsp:val=&quot;007F3ACE&quot;/&gt;&lt;wsp:rsid wsp:val=&quot;007F4B5F&quot;/&gt;&lt;wsp:rsid wsp:val=&quot;007F4CFD&quot;/&gt;&lt;wsp:rsid wsp:val=&quot;007F5A28&quot;/&gt;&lt;wsp:rsid wsp:val=&quot;007F611D&quot;/&gt;&lt;wsp:rsid wsp:val=&quot;007F650D&quot;/&gt;&lt;wsp:rsid wsp:val=&quot;007F7A17&quot;/&gt;&lt;wsp:rsid wsp:val=&quot;007F7A26&quot;/&gt;&lt;wsp:rsid wsp:val=&quot;00800ED0&quot;/&gt;&lt;wsp:rsid wsp:val=&quot;00801094&quot;/&gt;&lt;wsp:rsid wsp:val=&quot;0080146B&quot;/&gt;&lt;wsp:rsid wsp:val=&quot;00801B5F&quot;/&gt;&lt;wsp:rsid wsp:val=&quot;008020EC&quot;/&gt;&lt;wsp:rsid wsp:val=&quot;00802394&quot;/&gt;&lt;wsp:rsid wsp:val=&quot;00803975&quot;/&gt;&lt;wsp:rsid wsp:val=&quot;00803A0B&quot;/&gt;&lt;wsp:rsid wsp:val=&quot;00804158&quot;/&gt;&lt;wsp:rsid wsp:val=&quot;00804393&quot;/&gt;&lt;wsp:rsid wsp:val=&quot;008047DB&quot;/&gt;&lt;wsp:rsid wsp:val=&quot;00804CA1&quot;/&gt;&lt;wsp:rsid wsp:val=&quot;00805042&quot;/&gt;&lt;wsp:rsid wsp:val=&quot;0080515E&quot;/&gt;&lt;wsp:rsid wsp:val=&quot;00805268&quot;/&gt;&lt;wsp:rsid wsp:val=&quot;00805F65&quot;/&gt;&lt;wsp:rsid wsp:val=&quot;0080626E&quot;/&gt;&lt;wsp:rsid wsp:val=&quot;008062AA&quot;/&gt;&lt;wsp:rsid wsp:val=&quot;00806FE0&quot;/&gt;&lt;wsp:rsid wsp:val=&quot;00807176&quot;/&gt;&lt;wsp:rsid wsp:val=&quot;008077BA&quot;/&gt;&lt;wsp:rsid wsp:val=&quot;008078E6&quot;/&gt;&lt;wsp:rsid wsp:val=&quot;00807C6D&quot;/&gt;&lt;wsp:rsid wsp:val=&quot;00807FE8&quot;/&gt;&lt;wsp:rsid wsp:val=&quot;0081000D&quot;/&gt;&lt;wsp:rsid wsp:val=&quot;00810211&quot;/&gt;&lt;wsp:rsid wsp:val=&quot;008102D9&quot;/&gt;&lt;wsp:rsid wsp:val=&quot;00810437&quot;/&gt;&lt;wsp:rsid wsp:val=&quot;00810A75&quot;/&gt;&lt;wsp:rsid wsp:val=&quot;00810CE0&quot;/&gt;&lt;wsp:rsid wsp:val=&quot;008112F4&quot;/&gt;&lt;wsp:rsid wsp:val=&quot;00811505&quot;/&gt;&lt;wsp:rsid wsp:val=&quot;0081154D&quot;/&gt;&lt;wsp:rsid wsp:val=&quot;0081156E&quot;/&gt;&lt;wsp:rsid wsp:val=&quot;00811BB3&quot;/&gt;&lt;wsp:rsid wsp:val=&quot;00811D66&quot;/&gt;&lt;wsp:rsid wsp:val=&quot;00812431&quot;/&gt;&lt;wsp:rsid wsp:val=&quot;00812E0E&quot;/&gt;&lt;wsp:rsid wsp:val=&quot;008130E1&quot;/&gt;&lt;wsp:rsid wsp:val=&quot;00813455&quot;/&gt;&lt;wsp:rsid wsp:val=&quot;00813A2D&quot;/&gt;&lt;wsp:rsid wsp:val=&quot;00813FE4&quot;/&gt;&lt;wsp:rsid wsp:val=&quot;00815082&quot;/&gt;&lt;wsp:rsid wsp:val=&quot;00816077&quot;/&gt;&lt;wsp:rsid wsp:val=&quot;0081614B&quot;/&gt;&lt;wsp:rsid wsp:val=&quot;008161CE&quot;/&gt;&lt;wsp:rsid wsp:val=&quot;008164FA&quot;/&gt;&lt;wsp:rsid wsp:val=&quot;008165F2&quot;/&gt;&lt;wsp:rsid wsp:val=&quot;00817293&quot;/&gt;&lt;wsp:rsid wsp:val=&quot;0081773A&quot;/&gt;&lt;wsp:rsid wsp:val=&quot;00817910&quot;/&gt;&lt;wsp:rsid wsp:val=&quot;00817D54&quot;/&gt;&lt;wsp:rsid wsp:val=&quot;00820487&quot;/&gt;&lt;wsp:rsid wsp:val=&quot;00820C7B&quot;/&gt;&lt;wsp:rsid wsp:val=&quot;00820E0C&quot;/&gt;&lt;wsp:rsid wsp:val=&quot;00820E6E&quot;/&gt;&lt;wsp:rsid wsp:val=&quot;00821652&quot;/&gt;&lt;wsp:rsid wsp:val=&quot;008217E9&quot;/&gt;&lt;wsp:rsid wsp:val=&quot;0082189F&quot;/&gt;&lt;wsp:rsid wsp:val=&quot;008224E5&quot;/&gt;&lt;wsp:rsid wsp:val=&quot;00822E5E&quot;/&gt;&lt;wsp:rsid wsp:val=&quot;00823D28&quot;/&gt;&lt;wsp:rsid wsp:val=&quot;00824597&quot;/&gt;&lt;wsp:rsid wsp:val=&quot;008245D7&quot;/&gt;&lt;wsp:rsid wsp:val=&quot;00824B99&quot;/&gt;&lt;wsp:rsid wsp:val=&quot;00824D96&quot;/&gt;&lt;wsp:rsid wsp:val=&quot;0082580A&quot;/&gt;&lt;wsp:rsid wsp:val=&quot;00825837&quot;/&gt;&lt;wsp:rsid wsp:val=&quot;00825ABA&quot;/&gt;&lt;wsp:rsid wsp:val=&quot;00825B13&quot;/&gt;&lt;wsp:rsid wsp:val=&quot;00826305&quot;/&gt;&lt;wsp:rsid wsp:val=&quot;0082685F&quot;/&gt;&lt;wsp:rsid wsp:val=&quot;0082721E&quot;/&gt;&lt;wsp:rsid wsp:val=&quot;008273A5&quot;/&gt;&lt;wsp:rsid wsp:val=&quot;00827C10&quot;/&gt;&lt;wsp:rsid wsp:val=&quot;0083013C&quot;/&gt;&lt;wsp:rsid wsp:val=&quot;008302CC&quot;/&gt;&lt;wsp:rsid wsp:val=&quot;0083087D&quot;/&gt;&lt;wsp:rsid wsp:val=&quot;00830D57&quot;/&gt;&lt;wsp:rsid wsp:val=&quot;00830F6A&quot;/&gt;&lt;wsp:rsid wsp:val=&quot;00831CD5&quot;/&gt;&lt;wsp:rsid wsp:val=&quot;00831DF8&quot;/&gt;&lt;wsp:rsid wsp:val=&quot;008320A3&quot;/&gt;&lt;wsp:rsid wsp:val=&quot;0083277B&quot;/&gt;&lt;wsp:rsid wsp:val=&quot;0083283B&quot;/&gt;&lt;wsp:rsid wsp:val=&quot;008331FC&quot;/&gt;&lt;wsp:rsid wsp:val=&quot;0083336C&quot;/&gt;&lt;wsp:rsid wsp:val=&quot;008334E2&quot;/&gt;&lt;wsp:rsid wsp:val=&quot;00833A89&quot;/&gt;&lt;wsp:rsid wsp:val=&quot;008340FF&quot;/&gt;&lt;wsp:rsid wsp:val=&quot;00834518&quot;/&gt;&lt;wsp:rsid wsp:val=&quot;0083459E&quot;/&gt;&lt;wsp:rsid wsp:val=&quot;00834654&quot;/&gt;&lt;wsp:rsid wsp:val=&quot;00834B6B&quot;/&gt;&lt;wsp:rsid wsp:val=&quot;00834D57&quot;/&gt;&lt;wsp:rsid wsp:val=&quot;0083518C&quot;/&gt;&lt;wsp:rsid wsp:val=&quot;008351C2&quot;/&gt;&lt;wsp:rsid wsp:val=&quot;00835402&quot;/&gt;&lt;wsp:rsid wsp:val=&quot;00835465&quot;/&gt;&lt;wsp:rsid wsp:val=&quot;0083556E&quot;/&gt;&lt;wsp:rsid wsp:val=&quot;008357B6&quot;/&gt;&lt;wsp:rsid wsp:val=&quot;00836333&quot;/&gt;&lt;wsp:rsid wsp:val=&quot;0083636F&quot;/&gt;&lt;wsp:rsid wsp:val=&quot;008364DB&quot;/&gt;&lt;wsp:rsid wsp:val=&quot;00836890&quot;/&gt;&lt;wsp:rsid wsp:val=&quot;008368D3&quot;/&gt;&lt;wsp:rsid wsp:val=&quot;00836D3F&quot;/&gt;&lt;wsp:rsid wsp:val=&quot;00836E4C&quot;/&gt;&lt;wsp:rsid wsp:val=&quot;00837195&quot;/&gt;&lt;wsp:rsid wsp:val=&quot;008372DB&quot;/&gt;&lt;wsp:rsid wsp:val=&quot;008376E2&quot;/&gt;&lt;wsp:rsid wsp:val=&quot;00837CAA&quot;/&gt;&lt;wsp:rsid wsp:val=&quot;00837D52&quot;/&gt;&lt;wsp:rsid wsp:val=&quot;00837E52&quot;/&gt;&lt;wsp:rsid wsp:val=&quot;008400DF&quot;/&gt;&lt;wsp:rsid wsp:val=&quot;00840289&quot;/&gt;&lt;wsp:rsid wsp:val=&quot;00840E66&quot;/&gt;&lt;wsp:rsid wsp:val=&quot;0084222F&quot;/&gt;&lt;wsp:rsid wsp:val=&quot;00842887&quot;/&gt;&lt;wsp:rsid wsp:val=&quot;00842C09&quot;/&gt;&lt;wsp:rsid wsp:val=&quot;00842D37&quot;/&gt;&lt;wsp:rsid wsp:val=&quot;00843567&quot;/&gt;&lt;wsp:rsid wsp:val=&quot;00843A27&quot;/&gt;&lt;wsp:rsid wsp:val=&quot;00843F07&quot;/&gt;&lt;wsp:rsid wsp:val=&quot;00843F99&quot;/&gt;&lt;wsp:rsid wsp:val=&quot;0084442A&quot;/&gt;&lt;wsp:rsid wsp:val=&quot;00844D21&quot;/&gt;&lt;wsp:rsid wsp:val=&quot;0084503A&quot;/&gt;&lt;wsp:rsid wsp:val=&quot;008450B4&quot;/&gt;&lt;wsp:rsid wsp:val=&quot;008453E0&quot;/&gt;&lt;wsp:rsid wsp:val=&quot;008455DC&quot;/&gt;&lt;wsp:rsid wsp:val=&quot;00845E12&quot;/&gt;&lt;wsp:rsid wsp:val=&quot;00846256&quot;/&gt;&lt;wsp:rsid wsp:val=&quot;00846354&quot;/&gt;&lt;wsp:rsid wsp:val=&quot;0084657F&quot;/&gt;&lt;wsp:rsid wsp:val=&quot;0084799C&quot;/&gt;&lt;wsp:rsid wsp:val=&quot;00847D7F&quot;/&gt;&lt;wsp:rsid wsp:val=&quot;00847E56&quot;/&gt;&lt;wsp:rsid wsp:val=&quot;008504E0&quot;/&gt;&lt;wsp:rsid wsp:val=&quot;00850E46&quot;/&gt;&lt;wsp:rsid wsp:val=&quot;00850EF9&quot;/&gt;&lt;wsp:rsid wsp:val=&quot;008514CA&quot;/&gt;&lt;wsp:rsid wsp:val=&quot;00851509&quot;/&gt;&lt;wsp:rsid wsp:val=&quot;008521B9&quot;/&gt;&lt;wsp:rsid wsp:val=&quot;00852EED&quot;/&gt;&lt;wsp:rsid wsp:val=&quot;00853877&quot;/&gt;&lt;wsp:rsid wsp:val=&quot;00853CB9&quot;/&gt;&lt;wsp:rsid wsp:val=&quot;00853D57&quot;/&gt;&lt;wsp:rsid wsp:val=&quot;00854BE7&quot;/&gt;&lt;wsp:rsid wsp:val=&quot;00856740&quot;/&gt;&lt;wsp:rsid wsp:val=&quot;008570BF&quot;/&gt;&lt;wsp:rsid wsp:val=&quot;00857A94&quot;/&gt;&lt;wsp:rsid wsp:val=&quot;00857E3F&quot;/&gt;&lt;wsp:rsid wsp:val=&quot;00857EEA&quot;/&gt;&lt;wsp:rsid wsp:val=&quot;008600D3&quot;/&gt;&lt;wsp:rsid wsp:val=&quot;00860C28&quot;/&gt;&lt;wsp:rsid wsp:val=&quot;00862375&quot;/&gt;&lt;wsp:rsid wsp:val=&quot;0086248F&quot;/&gt;&lt;wsp:rsid wsp:val=&quot;0086255C&quot;/&gt;&lt;wsp:rsid wsp:val=&quot;00862604&quot;/&gt;&lt;wsp:rsid wsp:val=&quot;00862B84&quot;/&gt;&lt;wsp:rsid wsp:val=&quot;00862C97&quot;/&gt;&lt;wsp:rsid wsp:val=&quot;008632A6&quot;/&gt;&lt;wsp:rsid wsp:val=&quot;00863404&quot;/&gt;&lt;wsp:rsid wsp:val=&quot;00863FCD&quot;/&gt;&lt;wsp:rsid wsp:val=&quot;00864C77&quot;/&gt;&lt;wsp:rsid wsp:val=&quot;0086563E&quot;/&gt;&lt;wsp:rsid wsp:val=&quot;00865B9E&quot;/&gt;&lt;wsp:rsid wsp:val=&quot;008660DB&quot;/&gt;&lt;wsp:rsid wsp:val=&quot;00866103&quot;/&gt;&lt;wsp:rsid wsp:val=&quot;00866676&quot;/&gt;&lt;wsp:rsid wsp:val=&quot;008670EF&quot;/&gt;&lt;wsp:rsid wsp:val=&quot;00867146&quot;/&gt;&lt;wsp:rsid wsp:val=&quot;0087027A&quot;/&gt;&lt;wsp:rsid wsp:val=&quot;00870301&quot;/&gt;&lt;wsp:rsid wsp:val=&quot;008703EB&quot;/&gt;&lt;wsp:rsid wsp:val=&quot;008703EC&quot;/&gt;&lt;wsp:rsid wsp:val=&quot;0087049B&quot;/&gt;&lt;wsp:rsid wsp:val=&quot;0087050A&quot;/&gt;&lt;wsp:rsid wsp:val=&quot;00870A62&quot;/&gt;&lt;wsp:rsid wsp:val=&quot;00870B5C&quot;/&gt;&lt;wsp:rsid wsp:val=&quot;00871037&quot;/&gt;&lt;wsp:rsid wsp:val=&quot;008713A5&quot;/&gt;&lt;wsp:rsid wsp:val=&quot;0087147B&quot;/&gt;&lt;wsp:rsid wsp:val=&quot;008719F3&quot;/&gt;&lt;wsp:rsid wsp:val=&quot;00871B45&quot;/&gt;&lt;wsp:rsid wsp:val=&quot;00871B83&quot;/&gt;&lt;wsp:rsid wsp:val=&quot;00871E76&quot;/&gt;&lt;wsp:rsid wsp:val=&quot;00872B3C&quot;/&gt;&lt;wsp:rsid wsp:val=&quot;00872EEB&quot;/&gt;&lt;wsp:rsid wsp:val=&quot;00872F07&quot;/&gt;&lt;wsp:rsid wsp:val=&quot;0087331B&quot;/&gt;&lt;wsp:rsid wsp:val=&quot;008737A8&quot;/&gt;&lt;wsp:rsid wsp:val=&quot;008737D5&quot;/&gt;&lt;wsp:rsid wsp:val=&quot;00873B80&quot;/&gt;&lt;wsp:rsid wsp:val=&quot;00873E56&quot;/&gt;&lt;wsp:rsid wsp:val=&quot;0087446E&quot;/&gt;&lt;wsp:rsid wsp:val=&quot;00874D4D&quot;/&gt;&lt;wsp:rsid wsp:val=&quot;00875187&quot;/&gt;&lt;wsp:rsid wsp:val=&quot;008752B9&quot;/&gt;&lt;wsp:rsid wsp:val=&quot;008755CB&quot;/&gt;&lt;wsp:rsid wsp:val=&quot;00875D26&quot;/&gt;&lt;wsp:rsid wsp:val=&quot;00875D4D&quot;/&gt;&lt;wsp:rsid wsp:val=&quot;00875DDC&quot;/&gt;&lt;wsp:rsid wsp:val=&quot;00876128&quot;/&gt;&lt;wsp:rsid wsp:val=&quot;00876179&quot;/&gt;&lt;wsp:rsid wsp:val=&quot;008763BF&quot;/&gt;&lt;wsp:rsid wsp:val=&quot;0087673F&quot;/&gt;&lt;wsp:rsid wsp:val=&quot;008768EF&quot;/&gt;&lt;wsp:rsid wsp:val=&quot;00876A02&quot;/&gt;&lt;wsp:rsid wsp:val=&quot;00876D71&quot;/&gt;&lt;wsp:rsid wsp:val=&quot;0087720C&quot;/&gt;&lt;wsp:rsid wsp:val=&quot;00877BEF&quot;/&gt;&lt;wsp:rsid wsp:val=&quot;00877DEA&quot;/&gt;&lt;wsp:rsid wsp:val=&quot;00880150&quot;/&gt;&lt;wsp:rsid wsp:val=&quot;00881065&quot;/&gt;&lt;wsp:rsid wsp:val=&quot;00882997&quot;/&gt;&lt;wsp:rsid wsp:val=&quot;00883320&quot;/&gt;&lt;wsp:rsid wsp:val=&quot;00883385&quot;/&gt;&lt;wsp:rsid wsp:val=&quot;00883722&quot;/&gt;&lt;wsp:rsid wsp:val=&quot;00884081&quot;/&gt;&lt;wsp:rsid wsp:val=&quot;00884088&quot;/&gt;&lt;wsp:rsid wsp:val=&quot;00884A0F&quot;/&gt;&lt;wsp:rsid wsp:val=&quot;0088509A&quot;/&gt;&lt;wsp:rsid wsp:val=&quot;00885996&quot;/&gt;&lt;wsp:rsid wsp:val=&quot;008859ED&quot;/&gt;&lt;wsp:rsid wsp:val=&quot;00885B39&quot;/&gt;&lt;wsp:rsid wsp:val=&quot;008860A3&quot;/&gt;&lt;wsp:rsid wsp:val=&quot;00886328&quot;/&gt;&lt;wsp:rsid wsp:val=&quot;00886994&quot;/&gt;&lt;wsp:rsid wsp:val=&quot;00886B20&quot;/&gt;&lt;wsp:rsid wsp:val=&quot;00886CC6&quot;/&gt;&lt;wsp:rsid wsp:val=&quot;00886FA6&quot;/&gt;&lt;wsp:rsid wsp:val=&quot;008879C6&quot;/&gt;&lt;wsp:rsid wsp:val=&quot;00890D40&quot;/&gt;&lt;wsp:rsid wsp:val=&quot;008911CA&quot;/&gt;&lt;wsp:rsid wsp:val=&quot;00891542&quot;/&gt;&lt;wsp:rsid wsp:val=&quot;00892068&quot;/&gt;&lt;wsp:rsid wsp:val=&quot;0089218A&quot;/&gt;&lt;wsp:rsid wsp:val=&quot;00892336&quot;/&gt;&lt;wsp:rsid wsp:val=&quot;00892743&quot;/&gt;&lt;wsp:rsid wsp:val=&quot;00892AAC&quot;/&gt;&lt;wsp:rsid wsp:val=&quot;00892C31&quot;/&gt;&lt;wsp:rsid wsp:val=&quot;00892E86&quot;/&gt;&lt;wsp:rsid wsp:val=&quot;008932B3&quot;/&gt;&lt;wsp:rsid wsp:val=&quot;0089365B&quot;/&gt;&lt;wsp:rsid wsp:val=&quot;008939E7&quot;/&gt;&lt;wsp:rsid wsp:val=&quot;00893D82&quot;/&gt;&lt;wsp:rsid wsp:val=&quot;00894485&quot;/&gt;&lt;wsp:rsid wsp:val=&quot;00894CE3&quot;/&gt;&lt;wsp:rsid wsp:val=&quot;00895384&quot;/&gt;&lt;wsp:rsid wsp:val=&quot;00895746&quot;/&gt;&lt;wsp:rsid wsp:val=&quot;00895A61&quot;/&gt;&lt;wsp:rsid wsp:val=&quot;00896A81&quot;/&gt;&lt;wsp:rsid wsp:val=&quot;00897214&quot;/&gt;&lt;wsp:rsid wsp:val=&quot;00897795&quot;/&gt;&lt;wsp:rsid wsp:val=&quot;008A0059&quot;/&gt;&lt;wsp:rsid wsp:val=&quot;008A06F6&quot;/&gt;&lt;wsp:rsid wsp:val=&quot;008A12AC&quot;/&gt;&lt;wsp:rsid wsp:val=&quot;008A1322&quot;/&gt;&lt;wsp:rsid wsp:val=&quot;008A1639&quot;/&gt;&lt;wsp:rsid wsp:val=&quot;008A1962&quot;/&gt;&lt;wsp:rsid wsp:val=&quot;008A1DB6&quot;/&gt;&lt;wsp:rsid wsp:val=&quot;008A22D1&quot;/&gt;&lt;wsp:rsid wsp:val=&quot;008A249A&quot;/&gt;&lt;wsp:rsid wsp:val=&quot;008A27E8&quot;/&gt;&lt;wsp:rsid wsp:val=&quot;008A2C3A&quot;/&gt;&lt;wsp:rsid wsp:val=&quot;008A2D51&quot;/&gt;&lt;wsp:rsid wsp:val=&quot;008A315C&quot;/&gt;&lt;wsp:rsid wsp:val=&quot;008A328B&quot;/&gt;&lt;wsp:rsid wsp:val=&quot;008A3A6C&quot;/&gt;&lt;wsp:rsid wsp:val=&quot;008A3BEA&quot;/&gt;&lt;wsp:rsid wsp:val=&quot;008A4202&quot;/&gt;&lt;wsp:rsid wsp:val=&quot;008A4C3A&quot;/&gt;&lt;wsp:rsid wsp:val=&quot;008A564B&quot;/&gt;&lt;wsp:rsid wsp:val=&quot;008A5D10&quot;/&gt;&lt;wsp:rsid wsp:val=&quot;008A5E9B&quot;/&gt;&lt;wsp:rsid wsp:val=&quot;008A6343&quot;/&gt;&lt;wsp:rsid wsp:val=&quot;008A6499&quot;/&gt;&lt;wsp:rsid wsp:val=&quot;008A65B9&quot;/&gt;&lt;wsp:rsid wsp:val=&quot;008A68E6&quot;/&gt;&lt;wsp:rsid wsp:val=&quot;008A6B63&quot;/&gt;&lt;wsp:rsid wsp:val=&quot;008A7F95&quot;/&gt;&lt;wsp:rsid wsp:val=&quot;008B0549&quot;/&gt;&lt;wsp:rsid wsp:val=&quot;008B0BDD&quot;/&gt;&lt;wsp:rsid wsp:val=&quot;008B0BE4&quot;/&gt;&lt;wsp:rsid wsp:val=&quot;008B11AA&quot;/&gt;&lt;wsp:rsid wsp:val=&quot;008B12AB&quot;/&gt;&lt;wsp:rsid wsp:val=&quot;008B1867&quot;/&gt;&lt;wsp:rsid wsp:val=&quot;008B217B&quot;/&gt;&lt;wsp:rsid wsp:val=&quot;008B23F4&quot;/&gt;&lt;wsp:rsid wsp:val=&quot;008B25BE&quot;/&gt;&lt;wsp:rsid wsp:val=&quot;008B26ED&quot;/&gt;&lt;wsp:rsid wsp:val=&quot;008B2E88&quot;/&gt;&lt;wsp:rsid wsp:val=&quot;008B3858&quot;/&gt;&lt;wsp:rsid wsp:val=&quot;008B3AC2&quot;/&gt;&lt;wsp:rsid wsp:val=&quot;008B3C14&quot;/&gt;&lt;wsp:rsid wsp:val=&quot;008B4019&quot;/&gt;&lt;wsp:rsid wsp:val=&quot;008B424A&quot;/&gt;&lt;wsp:rsid wsp:val=&quot;008B42FD&quot;/&gt;&lt;wsp:rsid wsp:val=&quot;008B43A7&quot;/&gt;&lt;wsp:rsid wsp:val=&quot;008B4918&quot;/&gt;&lt;wsp:rsid wsp:val=&quot;008B4BD8&quot;/&gt;&lt;wsp:rsid wsp:val=&quot;008B5362&quot;/&gt;&lt;wsp:rsid wsp:val=&quot;008B5795&quot;/&gt;&lt;wsp:rsid wsp:val=&quot;008B613A&quot;/&gt;&lt;wsp:rsid wsp:val=&quot;008B63F5&quot;/&gt;&lt;wsp:rsid wsp:val=&quot;008B64EE&quot;/&gt;&lt;wsp:rsid wsp:val=&quot;008B66AE&quot;/&gt;&lt;wsp:rsid wsp:val=&quot;008B684A&quot;/&gt;&lt;wsp:rsid wsp:val=&quot;008B68C8&quot;/&gt;&lt;wsp:rsid wsp:val=&quot;008B6C4D&quot;/&gt;&lt;wsp:rsid wsp:val=&quot;008B707D&quot;/&gt;&lt;wsp:rsid wsp:val=&quot;008B7128&quot;/&gt;&lt;wsp:rsid wsp:val=&quot;008B721A&quot;/&gt;&lt;wsp:rsid wsp:val=&quot;008B7372&quot;/&gt;&lt;wsp:rsid wsp:val=&quot;008B7754&quot;/&gt;&lt;wsp:rsid wsp:val=&quot;008B7B30&quot;/&gt;&lt;wsp:rsid wsp:val=&quot;008C001E&quot;/&gt;&lt;wsp:rsid wsp:val=&quot;008C0054&quot;/&gt;&lt;wsp:rsid wsp:val=&quot;008C009A&quot;/&gt;&lt;wsp:rsid wsp:val=&quot;008C060D&quot;/&gt;&lt;wsp:rsid wsp:val=&quot;008C0C20&quot;/&gt;&lt;wsp:rsid wsp:val=&quot;008C1183&quot;/&gt;&lt;wsp:rsid wsp:val=&quot;008C15FC&quot;/&gt;&lt;wsp:rsid wsp:val=&quot;008C1822&quot;/&gt;&lt;wsp:rsid wsp:val=&quot;008C2159&quot;/&gt;&lt;wsp:rsid wsp:val=&quot;008C2169&quot;/&gt;&lt;wsp:rsid wsp:val=&quot;008C252A&quot;/&gt;&lt;wsp:rsid wsp:val=&quot;008C2A6F&quot;/&gt;&lt;wsp:rsid wsp:val=&quot;008C34B6&quot;/&gt;&lt;wsp:rsid wsp:val=&quot;008C3607&quot;/&gt;&lt;wsp:rsid wsp:val=&quot;008C368F&quot;/&gt;&lt;wsp:rsid wsp:val=&quot;008C37AE&quot;/&gt;&lt;wsp:rsid wsp:val=&quot;008C3A7D&quot;/&gt;&lt;wsp:rsid wsp:val=&quot;008C41A4&quot;/&gt;&lt;wsp:rsid wsp:val=&quot;008C4615&quot;/&gt;&lt;wsp:rsid wsp:val=&quot;008C4988&quot;/&gt;&lt;wsp:rsid wsp:val=&quot;008C4B14&quot;/&gt;&lt;wsp:rsid wsp:val=&quot;008C531B&quot;/&gt;&lt;wsp:rsid wsp:val=&quot;008C62A3&quot;/&gt;&lt;wsp:rsid wsp:val=&quot;008C69FF&quot;/&gt;&lt;wsp:rsid wsp:val=&quot;008C71B0&quot;/&gt;&lt;wsp:rsid wsp:val=&quot;008C7908&quot;/&gt;&lt;wsp:rsid wsp:val=&quot;008D0C56&quot;/&gt;&lt;wsp:rsid wsp:val=&quot;008D1292&quot;/&gt;&lt;wsp:rsid wsp:val=&quot;008D1940&quot;/&gt;&lt;wsp:rsid wsp:val=&quot;008D19EC&quot;/&gt;&lt;wsp:rsid wsp:val=&quot;008D21DF&quot;/&gt;&lt;wsp:rsid wsp:val=&quot;008D2530&quot;/&gt;&lt;wsp:rsid wsp:val=&quot;008D2719&quot;/&gt;&lt;wsp:rsid wsp:val=&quot;008D2989&quot;/&gt;&lt;wsp:rsid wsp:val=&quot;008D2BED&quot;/&gt;&lt;wsp:rsid wsp:val=&quot;008D2E1C&quot;/&gt;&lt;wsp:rsid wsp:val=&quot;008D2F07&quot;/&gt;&lt;wsp:rsid wsp:val=&quot;008D32EE&quot;/&gt;&lt;wsp:rsid wsp:val=&quot;008D3DF6&quot;/&gt;&lt;wsp:rsid wsp:val=&quot;008D4916&quot;/&gt;&lt;wsp:rsid wsp:val=&quot;008D4FC9&quot;/&gt;&lt;wsp:rsid wsp:val=&quot;008D52B2&quot;/&gt;&lt;wsp:rsid wsp:val=&quot;008D566D&quot;/&gt;&lt;wsp:rsid wsp:val=&quot;008D5AF6&quot;/&gt;&lt;wsp:rsid wsp:val=&quot;008D6026&quot;/&gt;&lt;wsp:rsid wsp:val=&quot;008D6199&quot;/&gt;&lt;wsp:rsid wsp:val=&quot;008D62AC&quot;/&gt;&lt;wsp:rsid wsp:val=&quot;008D672A&quot;/&gt;&lt;wsp:rsid wsp:val=&quot;008D68EB&quot;/&gt;&lt;wsp:rsid wsp:val=&quot;008D6989&quot;/&gt;&lt;wsp:rsid wsp:val=&quot;008D6B09&quot;/&gt;&lt;wsp:rsid wsp:val=&quot;008D6CA0&quot;/&gt;&lt;wsp:rsid wsp:val=&quot;008D6F7B&quot;/&gt;&lt;wsp:rsid wsp:val=&quot;008D735A&quot;/&gt;&lt;wsp:rsid wsp:val=&quot;008D73AD&quot;/&gt;&lt;wsp:rsid wsp:val=&quot;008D7C34&quot;/&gt;&lt;wsp:rsid wsp:val=&quot;008D7F1C&quot;/&gt;&lt;wsp:rsid wsp:val=&quot;008E001F&quot;/&gt;&lt;wsp:rsid wsp:val=&quot;008E0447&quot;/&gt;&lt;wsp:rsid wsp:val=&quot;008E09E0&quot;/&gt;&lt;wsp:rsid wsp:val=&quot;008E195A&quot;/&gt;&lt;wsp:rsid wsp:val=&quot;008E1DDD&quot;/&gt;&lt;wsp:rsid wsp:val=&quot;008E1F8B&quot;/&gt;&lt;wsp:rsid wsp:val=&quot;008E2AF4&quot;/&gt;&lt;wsp:rsid wsp:val=&quot;008E2B3E&quot;/&gt;&lt;wsp:rsid wsp:val=&quot;008E3056&quot;/&gt;&lt;wsp:rsid wsp:val=&quot;008E3526&quot;/&gt;&lt;wsp:rsid wsp:val=&quot;008E4011&quot;/&gt;&lt;wsp:rsid wsp:val=&quot;008E4431&quot;/&gt;&lt;wsp:rsid wsp:val=&quot;008E479D&quot;/&gt;&lt;wsp:rsid wsp:val=&quot;008E51EB&quot;/&gt;&lt;wsp:rsid wsp:val=&quot;008E5461&quot;/&gt;&lt;wsp:rsid wsp:val=&quot;008E5A50&quot;/&gt;&lt;wsp:rsid wsp:val=&quot;008E6615&quot;/&gt;&lt;wsp:rsid wsp:val=&quot;008E66C5&quot;/&gt;&lt;wsp:rsid wsp:val=&quot;008E7193&quot;/&gt;&lt;wsp:rsid wsp:val=&quot;008E71E2&quot;/&gt;&lt;wsp:rsid wsp:val=&quot;008E72C3&quot;/&gt;&lt;wsp:rsid wsp:val=&quot;008F021F&quot;/&gt;&lt;wsp:rsid wsp:val=&quot;008F03E8&quot;/&gt;&lt;wsp:rsid wsp:val=&quot;008F0559&quot;/&gt;&lt;wsp:rsid wsp:val=&quot;008F0AC6&quot;/&gt;&lt;wsp:rsid wsp:val=&quot;008F0AE4&quot;/&gt;&lt;wsp:rsid wsp:val=&quot;008F0C94&quot;/&gt;&lt;wsp:rsid wsp:val=&quot;008F10D7&quot;/&gt;&lt;wsp:rsid wsp:val=&quot;008F1433&quot;/&gt;&lt;wsp:rsid wsp:val=&quot;008F18B1&quot;/&gt;&lt;wsp:rsid wsp:val=&quot;008F1A40&quot;/&gt;&lt;wsp:rsid wsp:val=&quot;008F1A68&quot;/&gt;&lt;wsp:rsid wsp:val=&quot;008F2257&quot;/&gt;&lt;wsp:rsid wsp:val=&quot;008F2319&quot;/&gt;&lt;wsp:rsid wsp:val=&quot;008F26EA&quot;/&gt;&lt;wsp:rsid wsp:val=&quot;008F2A7D&quot;/&gt;&lt;wsp:rsid wsp:val=&quot;008F2B4B&quot;/&gt;&lt;wsp:rsid wsp:val=&quot;008F2FAA&quot;/&gt;&lt;wsp:rsid wsp:val=&quot;008F32DC&quot;/&gt;&lt;wsp:rsid wsp:val=&quot;008F3642&quot;/&gt;&lt;wsp:rsid wsp:val=&quot;008F3BE1&quot;/&gt;&lt;wsp:rsid wsp:val=&quot;008F3ED5&quot;/&gt;&lt;wsp:rsid wsp:val=&quot;008F40F2&quot;/&gt;&lt;wsp:rsid wsp:val=&quot;008F4954&quot;/&gt;&lt;wsp:rsid wsp:val=&quot;008F4F9B&quot;/&gt;&lt;wsp:rsid wsp:val=&quot;008F5433&quot;/&gt;&lt;wsp:rsid wsp:val=&quot;008F66D0&quot;/&gt;&lt;wsp:rsid wsp:val=&quot;008F677C&quot;/&gt;&lt;wsp:rsid wsp:val=&quot;008F6FEA&quot;/&gt;&lt;wsp:rsid wsp:val=&quot;008F746C&quot;/&gt;&lt;wsp:rsid wsp:val=&quot;008F7A17&quot;/&gt;&lt;wsp:rsid wsp:val=&quot;008F7A19&quot;/&gt;&lt;wsp:rsid wsp:val=&quot;008F7A57&quot;/&gt;&lt;wsp:rsid wsp:val=&quot;00900673&quot;/&gt;&lt;wsp:rsid wsp:val=&quot;009006F6&quot;/&gt;&lt;wsp:rsid wsp:val=&quot;00900A55&quot;/&gt;&lt;wsp:rsid wsp:val=&quot;009018E1&quot;/&gt;&lt;wsp:rsid wsp:val=&quot;00901DAA&quot;/&gt;&lt;wsp:rsid wsp:val=&quot;0090209F&quot;/&gt;&lt;wsp:rsid wsp:val=&quot;00902247&quot;/&gt;&lt;wsp:rsid wsp:val=&quot;00902787&quot;/&gt;&lt;wsp:rsid wsp:val=&quot;00902D44&quot;/&gt;&lt;wsp:rsid wsp:val=&quot;009030BD&quot;/&gt;&lt;wsp:rsid wsp:val=&quot;00903148&quot;/&gt;&lt;wsp:rsid wsp:val=&quot;00904681&quot;/&gt;&lt;wsp:rsid wsp:val=&quot;00904AA8&quot;/&gt;&lt;wsp:rsid wsp:val=&quot;009052C2&quot;/&gt;&lt;wsp:rsid wsp:val=&quot;00905529&quot;/&gt;&lt;wsp:rsid wsp:val=&quot;00905565&quot;/&gt;&lt;wsp:rsid wsp:val=&quot;009055D9&quot;/&gt;&lt;wsp:rsid wsp:val=&quot;00905999&quot;/&gt;&lt;wsp:rsid wsp:val=&quot;00905E93&quot;/&gt;&lt;wsp:rsid wsp:val=&quot;00906664&quot;/&gt;&lt;wsp:rsid wsp:val=&quot;0090675E&quot;/&gt;&lt;wsp:rsid wsp:val=&quot;0090688D&quot;/&gt;&lt;wsp:rsid wsp:val=&quot;009076E8&quot;/&gt;&lt;wsp:rsid wsp:val=&quot;00910433&quot;/&gt;&lt;wsp:rsid wsp:val=&quot;00910F00&quot;/&gt;&lt;wsp:rsid wsp:val=&quot;00911C91&quot;/&gt;&lt;wsp:rsid wsp:val=&quot;00911E44&quot;/&gt;&lt;wsp:rsid wsp:val=&quot;009124BF&quot;/&gt;&lt;wsp:rsid wsp:val=&quot;00912E6C&quot;/&gt;&lt;wsp:rsid wsp:val=&quot;0091301D&quot;/&gt;&lt;wsp:rsid wsp:val=&quot;00913472&quot;/&gt;&lt;wsp:rsid wsp:val=&quot;00913754&quot;/&gt;&lt;wsp:rsid wsp:val=&quot;009138AC&quot;/&gt;&lt;wsp:rsid wsp:val=&quot;009138C8&quot;/&gt;&lt;wsp:rsid wsp:val=&quot;00913C82&quot;/&gt;&lt;wsp:rsid wsp:val=&quot;00913D8C&quot;/&gt;&lt;wsp:rsid wsp:val=&quot;00913E0A&quot;/&gt;&lt;wsp:rsid wsp:val=&quot;009140AC&quot;/&gt;&lt;wsp:rsid wsp:val=&quot;0091443E&quot;/&gt;&lt;wsp:rsid wsp:val=&quot;0091452E&quot;/&gt;&lt;wsp:rsid wsp:val=&quot;009145B2&quot;/&gt;&lt;wsp:rsid wsp:val=&quot;0091493E&quot;/&gt;&lt;wsp:rsid wsp:val=&quot;00914E26&quot;/&gt;&lt;wsp:rsid wsp:val=&quot;00914F99&quot;/&gt;&lt;wsp:rsid wsp:val=&quot;009150B4&quot;/&gt;&lt;wsp:rsid wsp:val=&quot;0091607A&quot;/&gt;&lt;wsp:rsid wsp:val=&quot;0091652C&quot;/&gt;&lt;wsp:rsid wsp:val=&quot;0091698E&quot;/&gt;&lt;wsp:rsid wsp:val=&quot;00916B85&quot;/&gt;&lt;wsp:rsid wsp:val=&quot;00917156&quot;/&gt;&lt;wsp:rsid wsp:val=&quot;0091725A&quot;/&gt;&lt;wsp:rsid wsp:val=&quot;009172AD&quot;/&gt;&lt;wsp:rsid wsp:val=&quot;0091738F&quot;/&gt;&lt;wsp:rsid wsp:val=&quot;00917583&quot;/&gt;&lt;wsp:rsid wsp:val=&quot;00917C97&quot;/&gt;&lt;wsp:rsid wsp:val=&quot;00917F71&quot;/&gt;&lt;wsp:rsid wsp:val=&quot;00920195&quot;/&gt;&lt;wsp:rsid wsp:val=&quot;00920788&quot;/&gt;&lt;wsp:rsid wsp:val=&quot;009214A7&quot;/&gt;&lt;wsp:rsid wsp:val=&quot;009215C7&quot;/&gt;&lt;wsp:rsid wsp:val=&quot;00921AFE&quot;/&gt;&lt;wsp:rsid wsp:val=&quot;00921E15&quot;/&gt;&lt;wsp:rsid wsp:val=&quot;009223B4&quot;/&gt;&lt;wsp:rsid wsp:val=&quot;0092243B&quot;/&gt;&lt;wsp:rsid wsp:val=&quot;00922674&quot;/&gt;&lt;wsp:rsid wsp:val=&quot;00923E72&quot;/&gt;&lt;wsp:rsid wsp:val=&quot;00923FFC&quot;/&gt;&lt;wsp:rsid wsp:val=&quot;009245CF&quot;/&gt;&lt;wsp:rsid wsp:val=&quot;00924CA4&quot;/&gt;&lt;wsp:rsid wsp:val=&quot;00924DE7&quot;/&gt;&lt;wsp:rsid wsp:val=&quot;00924F20&quot;/&gt;&lt;wsp:rsid wsp:val=&quot;00925142&quot;/&gt;&lt;wsp:rsid wsp:val=&quot;0092569D&quot;/&gt;&lt;wsp:rsid wsp:val=&quot;009258D5&quot;/&gt;&lt;wsp:rsid wsp:val=&quot;00925D8F&quot;/&gt;&lt;wsp:rsid wsp:val=&quot;00926153&quot;/&gt;&lt;wsp:rsid wsp:val=&quot;00926704&quot;/&gt;&lt;wsp:rsid wsp:val=&quot;00926787&quot;/&gt;&lt;wsp:rsid wsp:val=&quot;00926F95&quot;/&gt;&lt;wsp:rsid wsp:val=&quot;009274E9&quot;/&gt;&lt;wsp:rsid wsp:val=&quot;00927615&quot;/&gt;&lt;wsp:rsid wsp:val=&quot;009277CE&quot;/&gt;&lt;wsp:rsid wsp:val=&quot;009278C3&quot;/&gt;&lt;wsp:rsid wsp:val=&quot;00930252&quot;/&gt;&lt;wsp:rsid wsp:val=&quot;009305BD&quot;/&gt;&lt;wsp:rsid wsp:val=&quot;00930968&quot;/&gt;&lt;wsp:rsid wsp:val=&quot;00930DD8&quot;/&gt;&lt;wsp:rsid wsp:val=&quot;00930F1B&quot;/&gt;&lt;wsp:rsid wsp:val=&quot;009318FA&quot;/&gt;&lt;wsp:rsid wsp:val=&quot;00932294&quot;/&gt;&lt;wsp:rsid wsp:val=&quot;00932B6D&quot;/&gt;&lt;wsp:rsid wsp:val=&quot;00932E24&quot;/&gt;&lt;wsp:rsid wsp:val=&quot;00932F4F&quot;/&gt;&lt;wsp:rsid wsp:val=&quot;009331E1&quot;/&gt;&lt;wsp:rsid wsp:val=&quot;00933233&quot;/&gt;&lt;wsp:rsid wsp:val=&quot;009334C8&quot;/&gt;&lt;wsp:rsid wsp:val=&quot;009342B8&quot;/&gt;&lt;wsp:rsid wsp:val=&quot;009348D4&quot;/&gt;&lt;wsp:rsid wsp:val=&quot;0093498E&quot;/&gt;&lt;wsp:rsid wsp:val=&quot;00935322&quot;/&gt;&lt;wsp:rsid wsp:val=&quot;00935501&quot;/&gt;&lt;wsp:rsid wsp:val=&quot;00935719&quot;/&gt;&lt;wsp:rsid wsp:val=&quot;0093578B&quot;/&gt;&lt;wsp:rsid wsp:val=&quot;00935F9A&quot;/&gt;&lt;wsp:rsid wsp:val=&quot;0093675C&quot;/&gt;&lt;wsp:rsid wsp:val=&quot;00936A1C&quot;/&gt;&lt;wsp:rsid wsp:val=&quot;00936C25&quot;/&gt;&lt;wsp:rsid wsp:val=&quot;009378B7&quot;/&gt;&lt;wsp:rsid wsp:val=&quot;009379B1&quot;/&gt;&lt;wsp:rsid wsp:val=&quot;00937DBC&quot;/&gt;&lt;wsp:rsid wsp:val=&quot;00940442&quot;/&gt;&lt;wsp:rsid wsp:val=&quot;00940F42&quot;/&gt;&lt;wsp:rsid wsp:val=&quot;009410AF&quot;/&gt;&lt;wsp:rsid wsp:val=&quot;0094127E&quot;/&gt;&lt;wsp:rsid wsp:val=&quot;0094130D&quot;/&gt;&lt;wsp:rsid wsp:val=&quot;00941397&quot;/&gt;&lt;wsp:rsid wsp:val=&quot;009413C3&quot;/&gt;&lt;wsp:rsid wsp:val=&quot;0094161D&quot;/&gt;&lt;wsp:rsid wsp:val=&quot;0094165D&quot;/&gt;&lt;wsp:rsid wsp:val=&quot;009417F7&quot;/&gt;&lt;wsp:rsid wsp:val=&quot;00941F29&quot;/&gt;&lt;wsp:rsid wsp:val=&quot;009424EB&quot;/&gt;&lt;wsp:rsid wsp:val=&quot;00942536&quot;/&gt;&lt;wsp:rsid wsp:val=&quot;00942883&quot;/&gt;&lt;wsp:rsid wsp:val=&quot;00942B93&quot;/&gt;&lt;wsp:rsid wsp:val=&quot;00942C2E&quot;/&gt;&lt;wsp:rsid wsp:val=&quot;00942D6B&quot;/&gt;&lt;wsp:rsid wsp:val=&quot;00942DE4&quot;/&gt;&lt;wsp:rsid wsp:val=&quot;009432BE&quot;/&gt;&lt;wsp:rsid wsp:val=&quot;00943DBB&quot;/&gt;&lt;wsp:rsid wsp:val=&quot;00944076&quot;/&gt;&lt;wsp:rsid wsp:val=&quot;009442CB&quot;/&gt;&lt;wsp:rsid wsp:val=&quot;009443C5&quot;/&gt;&lt;wsp:rsid wsp:val=&quot;00944797&quot;/&gt;&lt;wsp:rsid wsp:val=&quot;00944A1D&quot;/&gt;&lt;wsp:rsid wsp:val=&quot;00944B7A&quot;/&gt;&lt;wsp:rsid wsp:val=&quot;00945157&quot;/&gt;&lt;wsp:rsid wsp:val=&quot;009451CD&quot;/&gt;&lt;wsp:rsid wsp:val=&quot;00945637&quot;/&gt;&lt;wsp:rsid wsp:val=&quot;00945867&quot;/&gt;&lt;wsp:rsid wsp:val=&quot;00945F59&quot;/&gt;&lt;wsp:rsid wsp:val=&quot;009460F8&quot;/&gt;&lt;wsp:rsid wsp:val=&quot;00946A8E&quot;/&gt;&lt;wsp:rsid wsp:val=&quot;009470C6&quot;/&gt;&lt;wsp:rsid wsp:val=&quot;00947396&quot;/&gt;&lt;wsp:rsid wsp:val=&quot;00947675&quot;/&gt;&lt;wsp:rsid wsp:val=&quot;0094798D&quot;/&gt;&lt;wsp:rsid wsp:val=&quot;00947C74&quot;/&gt;&lt;wsp:rsid wsp:val=&quot;00947F25&quot;/&gt;&lt;wsp:rsid wsp:val=&quot;00950A3E&quot;/&gt;&lt;wsp:rsid wsp:val=&quot;00950B8F&quot;/&gt;&lt;wsp:rsid wsp:val=&quot;00950CBF&quot;/&gt;&lt;wsp:rsid wsp:val=&quot;009512F2&quot;/&gt;&lt;wsp:rsid wsp:val=&quot;0095133A&quot;/&gt;&lt;wsp:rsid wsp:val=&quot;0095187A&quot;/&gt;&lt;wsp:rsid wsp:val=&quot;00951DBB&quot;/&gt;&lt;wsp:rsid wsp:val=&quot;009521E9&quot;/&gt;&lt;wsp:rsid wsp:val=&quot;00952649&quot;/&gt;&lt;wsp:rsid wsp:val=&quot;009528FC&quot;/&gt;&lt;wsp:rsid wsp:val=&quot;0095348A&quot;/&gt;&lt;wsp:rsid wsp:val=&quot;00953899&quot;/&gt;&lt;wsp:rsid wsp:val=&quot;009538FB&quot;/&gt;&lt;wsp:rsid wsp:val=&quot;00953D2F&quot;/&gt;&lt;wsp:rsid wsp:val=&quot;009540F8&quot;/&gt;&lt;wsp:rsid wsp:val=&quot;00954115&quot;/&gt;&lt;wsp:rsid wsp:val=&quot;009543FD&quot;/&gt;&lt;wsp:rsid wsp:val=&quot;00954E33&quot;/&gt;&lt;wsp:rsid wsp:val=&quot;009551B2&quot;/&gt;&lt;wsp:rsid wsp:val=&quot;00955355&quot;/&gt;&lt;wsp:rsid wsp:val=&quot;00955FCA&quot;/&gt;&lt;wsp:rsid wsp:val=&quot;00956019&quot;/&gt;&lt;wsp:rsid wsp:val=&quot;009566C2&quot;/&gt;&lt;wsp:rsid wsp:val=&quot;009567AE&quot;/&gt;&lt;wsp:rsid wsp:val=&quot;00956BE4&quot;/&gt;&lt;wsp:rsid wsp:val=&quot;00956CCA&quot;/&gt;&lt;wsp:rsid wsp:val=&quot;00956E09&quot;/&gt;&lt;wsp:rsid wsp:val=&quot;0095731C&quot;/&gt;&lt;wsp:rsid wsp:val=&quot;009574D4&quot;/&gt;&lt;wsp:rsid wsp:val=&quot;00957603&quot;/&gt;&lt;wsp:rsid wsp:val=&quot;009579C3&quot;/&gt;&lt;wsp:rsid wsp:val=&quot;00960328&quot;/&gt;&lt;wsp:rsid wsp:val=&quot;00960433&quot;/&gt;&lt;wsp:rsid wsp:val=&quot;0096054B&quot;/&gt;&lt;wsp:rsid wsp:val=&quot;009606D5&quot;/&gt;&lt;wsp:rsid wsp:val=&quot;0096081C&quot;/&gt;&lt;wsp:rsid wsp:val=&quot;00960DA6&quot;/&gt;&lt;wsp:rsid wsp:val=&quot;00961322&quot;/&gt;&lt;wsp:rsid wsp:val=&quot;009618F3&quot;/&gt;&lt;wsp:rsid wsp:val=&quot;009622C6&quot;/&gt;&lt;wsp:rsid wsp:val=&quot;0096295F&quot;/&gt;&lt;wsp:rsid wsp:val=&quot;00962C9C&quot;/&gt;&lt;wsp:rsid wsp:val=&quot;0096321D&quot;/&gt;&lt;wsp:rsid wsp:val=&quot;0096322E&quot;/&gt;&lt;wsp:rsid wsp:val=&quot;00963335&quot;/&gt;&lt;wsp:rsid wsp:val=&quot;00963641&quot;/&gt;&lt;wsp:rsid wsp:val=&quot;00963875&quot;/&gt;&lt;wsp:rsid wsp:val=&quot;00963C8F&quot;/&gt;&lt;wsp:rsid wsp:val=&quot;00963ED6&quot;/&gt;&lt;wsp:rsid wsp:val=&quot;00964B5B&quot;/&gt;&lt;wsp:rsid wsp:val=&quot;00964C3B&quot;/&gt;&lt;wsp:rsid wsp:val=&quot;00964CC2&quot;/&gt;&lt;wsp:rsid wsp:val=&quot;00964FAD&quot;/&gt;&lt;wsp:rsid wsp:val=&quot;00965101&quot;/&gt;&lt;wsp:rsid wsp:val=&quot;0096561E&quot;/&gt;&lt;wsp:rsid wsp:val=&quot;00965B52&quot;/&gt;&lt;wsp:rsid wsp:val=&quot;00965F8B&quot;/&gt;&lt;wsp:rsid wsp:val=&quot;00965F9A&quot;/&gt;&lt;wsp:rsid wsp:val=&quot;0096657D&quot;/&gt;&lt;wsp:rsid wsp:val=&quot;009665E7&quot;/&gt;&lt;wsp:rsid wsp:val=&quot;009666AE&quot;/&gt;&lt;wsp:rsid wsp:val=&quot;009677C7&quot;/&gt;&lt;wsp:rsid wsp:val=&quot;009677F1&quot;/&gt;&lt;wsp:rsid wsp:val=&quot;00967B00&quot;/&gt;&lt;wsp:rsid wsp:val=&quot;009702E2&quot;/&gt;&lt;wsp:rsid wsp:val=&quot;00970446&quot;/&gt;&lt;wsp:rsid wsp:val=&quot;009708FB&quot;/&gt;&lt;wsp:rsid wsp:val=&quot;009709D6&quot;/&gt;&lt;wsp:rsid wsp:val=&quot;00970A36&quot;/&gt;&lt;wsp:rsid wsp:val=&quot;00970B6F&quot;/&gt;&lt;wsp:rsid wsp:val=&quot;00970DB1&quot;/&gt;&lt;wsp:rsid wsp:val=&quot;00971474&quot;/&gt;&lt;wsp:rsid wsp:val=&quot;00972173&quot;/&gt;&lt;wsp:rsid wsp:val=&quot;00972500&quot;/&gt;&lt;wsp:rsid wsp:val=&quot;009726BC&quot;/&gt;&lt;wsp:rsid wsp:val=&quot;00972A56&quot;/&gt;&lt;wsp:rsid wsp:val=&quot;0097314D&quot;/&gt;&lt;wsp:rsid wsp:val=&quot;00974009&quot;/&gt;&lt;wsp:rsid wsp:val=&quot;00974281&quot;/&gt;&lt;wsp:rsid wsp:val=&quot;00974385&quot;/&gt;&lt;wsp:rsid wsp:val=&quot;0097490F&quot;/&gt;&lt;wsp:rsid wsp:val=&quot;00974E70&quot;/&gt;&lt;wsp:rsid wsp:val=&quot;009751DE&quot;/&gt;&lt;wsp:rsid wsp:val=&quot;0097522C&quot;/&gt;&lt;wsp:rsid wsp:val=&quot;00975C40&quot;/&gt;&lt;wsp:rsid wsp:val=&quot;00976280&quot;/&gt;&lt;wsp:rsid wsp:val=&quot;009767B3&quot;/&gt;&lt;wsp:rsid wsp:val=&quot;00977339&quot;/&gt;&lt;wsp:rsid wsp:val=&quot;00977631&quot;/&gt;&lt;wsp:rsid wsp:val=&quot;00977768&quot;/&gt;&lt;wsp:rsid wsp:val=&quot;00977C81&quot;/&gt;&lt;wsp:rsid wsp:val=&quot;0098000F&quot;/&gt;&lt;wsp:rsid wsp:val=&quot;009809EF&quot;/&gt;&lt;wsp:rsid wsp:val=&quot;009815B0&quot;/&gt;&lt;wsp:rsid wsp:val=&quot;00981623&quot;/&gt;&lt;wsp:rsid wsp:val=&quot;00981770&quot;/&gt;&lt;wsp:rsid wsp:val=&quot;00982263&quot;/&gt;&lt;wsp:rsid wsp:val=&quot;009827FC&quot;/&gt;&lt;wsp:rsid wsp:val=&quot;00982EF3&quot;/&gt;&lt;wsp:rsid wsp:val=&quot;00983181&quot;/&gt;&lt;wsp:rsid wsp:val=&quot;009836FF&quot;/&gt;&lt;wsp:rsid wsp:val=&quot;00984331&quot;/&gt;&lt;wsp:rsid wsp:val=&quot;00984692&quot;/&gt;&lt;wsp:rsid wsp:val=&quot;009846D6&quot;/&gt;&lt;wsp:rsid wsp:val=&quot;00984F5C&quot;/&gt;&lt;wsp:rsid wsp:val=&quot;009854B8&quot;/&gt;&lt;wsp:rsid wsp:val=&quot;0098554A&quot;/&gt;&lt;wsp:rsid wsp:val=&quot;00985748&quot;/&gt;&lt;wsp:rsid wsp:val=&quot;009858AA&quot;/&gt;&lt;wsp:rsid wsp:val=&quot;009859E5&quot;/&gt;&lt;wsp:rsid wsp:val=&quot;00985A44&quot;/&gt;&lt;wsp:rsid wsp:val=&quot;00985AAA&quot;/&gt;&lt;wsp:rsid wsp:val=&quot;00985F05&quot;/&gt;&lt;wsp:rsid wsp:val=&quot;0098628D&quot;/&gt;&lt;wsp:rsid wsp:val=&quot;00986495&quot;/&gt;&lt;wsp:rsid wsp:val=&quot;00986C40&quot;/&gt;&lt;wsp:rsid wsp:val=&quot;00986CA7&quot;/&gt;&lt;wsp:rsid wsp:val=&quot;00986D53&quot;/&gt;&lt;wsp:rsid wsp:val=&quot;0098765D&quot;/&gt;&lt;wsp:rsid wsp:val=&quot;00987A80&quot;/&gt;&lt;wsp:rsid wsp:val=&quot;00987D3F&quot;/&gt;&lt;wsp:rsid wsp:val=&quot;00987EA3&quot;/&gt;&lt;wsp:rsid wsp:val=&quot;00990326&quot;/&gt;&lt;wsp:rsid wsp:val=&quot;0099062D&quot;/&gt;&lt;wsp:rsid wsp:val=&quot;00990807&quot;/&gt;&lt;wsp:rsid wsp:val=&quot;0099148B&quot;/&gt;&lt;wsp:rsid wsp:val=&quot;009918F8&quot;/&gt;&lt;wsp:rsid wsp:val=&quot;00992110&quot;/&gt;&lt;wsp:rsid wsp:val=&quot;00992722&quot;/&gt;&lt;wsp:rsid wsp:val=&quot;0099282B&quot;/&gt;&lt;wsp:rsid wsp:val=&quot;00992E70&quot;/&gt;&lt;wsp:rsid wsp:val=&quot;009934A0&quot;/&gt;&lt;wsp:rsid wsp:val=&quot;00993B9D&quot;/&gt;&lt;wsp:rsid wsp:val=&quot;00993DB7&quot;/&gt;&lt;wsp:rsid wsp:val=&quot;00994137&quot;/&gt;&lt;wsp:rsid wsp:val=&quot;00995038&quot;/&gt;&lt;wsp:rsid wsp:val=&quot;00995298&quot;/&gt;&lt;wsp:rsid wsp:val=&quot;0099529A&quot;/&gt;&lt;wsp:rsid wsp:val=&quot;009953D6&quot;/&gt;&lt;wsp:rsid wsp:val=&quot;00995538&quot;/&gt;&lt;wsp:rsid wsp:val=&quot;00995A2D&quot;/&gt;&lt;wsp:rsid wsp:val=&quot;00996523&quot;/&gt;&lt;wsp:rsid wsp:val=&quot;009967EC&quot;/&gt;&lt;wsp:rsid wsp:val=&quot;00996871&quot;/&gt;&lt;wsp:rsid wsp:val=&quot;00996B8F&quot;/&gt;&lt;wsp:rsid wsp:val=&quot;00996E38&quot;/&gt;&lt;wsp:rsid wsp:val=&quot;00997447&quot;/&gt;&lt;wsp:rsid wsp:val=&quot;0099746C&quot;/&gt;&lt;wsp:rsid wsp:val=&quot;00997889&quot;/&gt;&lt;wsp:rsid wsp:val=&quot;00997952&quot;/&gt;&lt;wsp:rsid wsp:val=&quot;00997F33&quot;/&gt;&lt;wsp:rsid wsp:val=&quot;009A00F8&quot;/&gt;&lt;wsp:rsid wsp:val=&quot;009A0194&quot;/&gt;&lt;wsp:rsid wsp:val=&quot;009A033A&quot;/&gt;&lt;wsp:rsid wsp:val=&quot;009A066E&quot;/&gt;&lt;wsp:rsid wsp:val=&quot;009A0D2D&quot;/&gt;&lt;wsp:rsid wsp:val=&quot;009A0EA0&quot;/&gt;&lt;wsp:rsid wsp:val=&quot;009A0F27&quot;/&gt;&lt;wsp:rsid wsp:val=&quot;009A1CA5&quot;/&gt;&lt;wsp:rsid wsp:val=&quot;009A1F94&quot;/&gt;&lt;wsp:rsid wsp:val=&quot;009A1FE0&quot;/&gt;&lt;wsp:rsid wsp:val=&quot;009A247B&quot;/&gt;&lt;wsp:rsid wsp:val=&quot;009A26EA&quot;/&gt;&lt;wsp:rsid wsp:val=&quot;009A2FB0&quot;/&gt;&lt;wsp:rsid wsp:val=&quot;009A33F1&quot;/&gt;&lt;wsp:rsid wsp:val=&quot;009A406A&quot;/&gt;&lt;wsp:rsid wsp:val=&quot;009A4086&quot;/&gt;&lt;wsp:rsid wsp:val=&quot;009A427E&quot;/&gt;&lt;wsp:rsid wsp:val=&quot;009A436C&quot;/&gt;&lt;wsp:rsid wsp:val=&quot;009A4C57&quot;/&gt;&lt;wsp:rsid wsp:val=&quot;009A52B6&quot;/&gt;&lt;wsp:rsid wsp:val=&quot;009A53DA&quot;/&gt;&lt;wsp:rsid wsp:val=&quot;009A5FCC&quot;/&gt;&lt;wsp:rsid wsp:val=&quot;009A5FD7&quot;/&gt;&lt;wsp:rsid wsp:val=&quot;009A615C&quot;/&gt;&lt;wsp:rsid wsp:val=&quot;009A75F6&quot;/&gt;&lt;wsp:rsid wsp:val=&quot;009A76F6&quot;/&gt;&lt;wsp:rsid wsp:val=&quot;009A77EF&quot;/&gt;&lt;wsp:rsid wsp:val=&quot;009A785D&quot;/&gt;&lt;wsp:rsid wsp:val=&quot;009A7B4C&quot;/&gt;&lt;wsp:rsid wsp:val=&quot;009B00BE&quot;/&gt;&lt;wsp:rsid wsp:val=&quot;009B06E8&quot;/&gt;&lt;wsp:rsid wsp:val=&quot;009B1412&quot;/&gt;&lt;wsp:rsid wsp:val=&quot;009B175C&quot;/&gt;&lt;wsp:rsid wsp:val=&quot;009B1AEA&quot;/&gt;&lt;wsp:rsid wsp:val=&quot;009B1ED9&quot;/&gt;&lt;wsp:rsid wsp:val=&quot;009B1FB2&quot;/&gt;&lt;wsp:rsid wsp:val=&quot;009B2950&quot;/&gt;&lt;wsp:rsid wsp:val=&quot;009B2A38&quot;/&gt;&lt;wsp:rsid wsp:val=&quot;009B31E2&quot;/&gt;&lt;wsp:rsid wsp:val=&quot;009B3BDB&quot;/&gt;&lt;wsp:rsid wsp:val=&quot;009B3E98&quot;/&gt;&lt;wsp:rsid wsp:val=&quot;009B4381&quot;/&gt;&lt;wsp:rsid wsp:val=&quot;009B4948&quot;/&gt;&lt;wsp:rsid wsp:val=&quot;009B5CEF&quot;/&gt;&lt;wsp:rsid wsp:val=&quot;009B62BC&quot;/&gt;&lt;wsp:rsid wsp:val=&quot;009B67DA&quot;/&gt;&lt;wsp:rsid wsp:val=&quot;009B6B01&quot;/&gt;&lt;wsp:rsid wsp:val=&quot;009B6D77&quot;/&gt;&lt;wsp:rsid wsp:val=&quot;009B70FC&quot;/&gt;&lt;wsp:rsid wsp:val=&quot;009B737F&quot;/&gt;&lt;wsp:rsid wsp:val=&quot;009B768C&quot;/&gt;&lt;wsp:rsid wsp:val=&quot;009B78FD&quot;/&gt;&lt;wsp:rsid wsp:val=&quot;009B7B0A&quot;/&gt;&lt;wsp:rsid wsp:val=&quot;009B7CC6&quot;/&gt;&lt;wsp:rsid wsp:val=&quot;009B7E01&quot;/&gt;&lt;wsp:rsid wsp:val=&quot;009B7F95&quot;/&gt;&lt;wsp:rsid wsp:val=&quot;009C0001&quot;/&gt;&lt;wsp:rsid wsp:val=&quot;009C006D&quot;/&gt;&lt;wsp:rsid wsp:val=&quot;009C0447&quot;/&gt;&lt;wsp:rsid wsp:val=&quot;009C0954&quot;/&gt;&lt;wsp:rsid wsp:val=&quot;009C0B5E&quot;/&gt;&lt;wsp:rsid wsp:val=&quot;009C0BC4&quot;/&gt;&lt;wsp:rsid wsp:val=&quot;009C0CD6&quot;/&gt;&lt;wsp:rsid wsp:val=&quot;009C11C1&quot;/&gt;&lt;wsp:rsid wsp:val=&quot;009C12A5&quot;/&gt;&lt;wsp:rsid wsp:val=&quot;009C1371&quot;/&gt;&lt;wsp:rsid wsp:val=&quot;009C1609&quot;/&gt;&lt;wsp:rsid wsp:val=&quot;009C1C83&quot;/&gt;&lt;wsp:rsid wsp:val=&quot;009C2399&quot;/&gt;&lt;wsp:rsid wsp:val=&quot;009C24A4&quot;/&gt;&lt;wsp:rsid wsp:val=&quot;009C270D&quot;/&gt;&lt;wsp:rsid wsp:val=&quot;009C2ABD&quot;/&gt;&lt;wsp:rsid wsp:val=&quot;009C2D41&quot;/&gt;&lt;wsp:rsid wsp:val=&quot;009C2FC0&quot;/&gt;&lt;wsp:rsid wsp:val=&quot;009C3067&quot;/&gt;&lt;wsp:rsid wsp:val=&quot;009C3533&quot;/&gt;&lt;wsp:rsid wsp:val=&quot;009C361B&quot;/&gt;&lt;wsp:rsid wsp:val=&quot;009C3933&quot;/&gt;&lt;wsp:rsid wsp:val=&quot;009C42B4&quot;/&gt;&lt;wsp:rsid wsp:val=&quot;009C48BE&quot;/&gt;&lt;wsp:rsid wsp:val=&quot;009C5027&quot;/&gt;&lt;wsp:rsid wsp:val=&quot;009C510C&quot;/&gt;&lt;wsp:rsid wsp:val=&quot;009C5530&quot;/&gt;&lt;wsp:rsid wsp:val=&quot;009C5756&quot;/&gt;&lt;wsp:rsid wsp:val=&quot;009C58CA&quot;/&gt;&lt;wsp:rsid wsp:val=&quot;009C58D6&quot;/&gt;&lt;wsp:rsid wsp:val=&quot;009C5D19&quot;/&gt;&lt;wsp:rsid wsp:val=&quot;009C6965&quot;/&gt;&lt;wsp:rsid wsp:val=&quot;009C6A73&quot;/&gt;&lt;wsp:rsid wsp:val=&quot;009C72F7&quot;/&gt;&lt;wsp:rsid wsp:val=&quot;009C7671&quot;/&gt;&lt;wsp:rsid wsp:val=&quot;009C7849&quot;/&gt;&lt;wsp:rsid wsp:val=&quot;009C7FF0&quot;/&gt;&lt;wsp:rsid wsp:val=&quot;009D0A08&quot;/&gt;&lt;wsp:rsid wsp:val=&quot;009D0B6A&quot;/&gt;&lt;wsp:rsid wsp:val=&quot;009D10BD&quot;/&gt;&lt;wsp:rsid wsp:val=&quot;009D19E4&quot;/&gt;&lt;wsp:rsid wsp:val=&quot;009D1A06&quot;/&gt;&lt;wsp:rsid wsp:val=&quot;009D1C3C&quot;/&gt;&lt;wsp:rsid wsp:val=&quot;009D2055&quot;/&gt;&lt;wsp:rsid wsp:val=&quot;009D273D&quot;/&gt;&lt;wsp:rsid wsp:val=&quot;009D2A84&quot;/&gt;&lt;wsp:rsid wsp:val=&quot;009D3231&quot;/&gt;&lt;wsp:rsid wsp:val=&quot;009D349D&quot;/&gt;&lt;wsp:rsid wsp:val=&quot;009D3591&quot;/&gt;&lt;wsp:rsid wsp:val=&quot;009D3862&quot;/&gt;&lt;wsp:rsid wsp:val=&quot;009D3C76&quot;/&gt;&lt;wsp:rsid wsp:val=&quot;009D3D0C&quot;/&gt;&lt;wsp:rsid wsp:val=&quot;009D3D6C&quot;/&gt;&lt;wsp:rsid wsp:val=&quot;009D3FEE&quot;/&gt;&lt;wsp:rsid wsp:val=&quot;009D4355&quot;/&gt;&lt;wsp:rsid wsp:val=&quot;009D4EE3&quot;/&gt;&lt;wsp:rsid wsp:val=&quot;009D5126&quot;/&gt;&lt;wsp:rsid wsp:val=&quot;009D5566&quot;/&gt;&lt;wsp:rsid wsp:val=&quot;009D5B36&quot;/&gt;&lt;wsp:rsid wsp:val=&quot;009D5BEE&quot;/&gt;&lt;wsp:rsid wsp:val=&quot;009D5F84&quot;/&gt;&lt;wsp:rsid wsp:val=&quot;009D62B6&quot;/&gt;&lt;wsp:rsid wsp:val=&quot;009D6617&quot;/&gt;&lt;wsp:rsid wsp:val=&quot;009D67B9&quot;/&gt;&lt;wsp:rsid wsp:val=&quot;009D6A31&quot;/&gt;&lt;wsp:rsid wsp:val=&quot;009D6CDE&quot;/&gt;&lt;wsp:rsid wsp:val=&quot;009D74EF&quot;/&gt;&lt;wsp:rsid wsp:val=&quot;009D7F92&quot;/&gt;&lt;wsp:rsid wsp:val=&quot;009E1225&quot;/&gt;&lt;wsp:rsid wsp:val=&quot;009E136A&quot;/&gt;&lt;wsp:rsid wsp:val=&quot;009E1399&quot;/&gt;&lt;wsp:rsid wsp:val=&quot;009E1632&quot;/&gt;&lt;wsp:rsid wsp:val=&quot;009E17B2&quot;/&gt;&lt;wsp:rsid wsp:val=&quot;009E18AB&quot;/&gt;&lt;wsp:rsid wsp:val=&quot;009E1BB0&quot;/&gt;&lt;wsp:rsid wsp:val=&quot;009E21CD&quot;/&gt;&lt;wsp:rsid wsp:val=&quot;009E225D&quot;/&gt;&lt;wsp:rsid wsp:val=&quot;009E2314&quot;/&gt;&lt;wsp:rsid wsp:val=&quot;009E25D2&quot;/&gt;&lt;wsp:rsid wsp:val=&quot;009E2737&quot;/&gt;&lt;wsp:rsid wsp:val=&quot;009E2CC9&quot;/&gt;&lt;wsp:rsid wsp:val=&quot;009E3181&quot;/&gt;&lt;wsp:rsid wsp:val=&quot;009E3192&quot;/&gt;&lt;wsp:rsid wsp:val=&quot;009E3400&quot;/&gt;&lt;wsp:rsid wsp:val=&quot;009E3933&quot;/&gt;&lt;wsp:rsid wsp:val=&quot;009E41A2&quot;/&gt;&lt;wsp:rsid wsp:val=&quot;009E41E0&quot;/&gt;&lt;wsp:rsid wsp:val=&quot;009E4459&quot;/&gt;&lt;wsp:rsid wsp:val=&quot;009E47CA&quot;/&gt;&lt;wsp:rsid wsp:val=&quot;009E56A2&quot;/&gt;&lt;wsp:rsid wsp:val=&quot;009E5D1D&quot;/&gt;&lt;wsp:rsid wsp:val=&quot;009E6321&quot;/&gt;&lt;wsp:rsid wsp:val=&quot;009E6762&quot;/&gt;&lt;wsp:rsid wsp:val=&quot;009E6979&quot;/&gt;&lt;wsp:rsid wsp:val=&quot;009E699D&quot;/&gt;&lt;wsp:rsid wsp:val=&quot;009E7342&quot;/&gt;&lt;wsp:rsid wsp:val=&quot;009E7922&quot;/&gt;&lt;wsp:rsid wsp:val=&quot;009F00D5&quot;/&gt;&lt;wsp:rsid wsp:val=&quot;009F09F4&quot;/&gt;&lt;wsp:rsid wsp:val=&quot;009F0BE1&quot;/&gt;&lt;wsp:rsid wsp:val=&quot;009F0F83&quot;/&gt;&lt;wsp:rsid wsp:val=&quot;009F135E&quot;/&gt;&lt;wsp:rsid wsp:val=&quot;009F2089&quot;/&gt;&lt;wsp:rsid wsp:val=&quot;009F2474&quot;/&gt;&lt;wsp:rsid wsp:val=&quot;009F25DE&quot;/&gt;&lt;wsp:rsid wsp:val=&quot;009F2731&quot;/&gt;&lt;wsp:rsid wsp:val=&quot;009F2A6C&quot;/&gt;&lt;wsp:rsid wsp:val=&quot;009F2EFE&quot;/&gt;&lt;wsp:rsid wsp:val=&quot;009F3128&quot;/&gt;&lt;wsp:rsid wsp:val=&quot;009F35C2&quot;/&gt;&lt;wsp:rsid wsp:val=&quot;009F3853&quot;/&gt;&lt;wsp:rsid wsp:val=&quot;009F3BDB&quot;/&gt;&lt;wsp:rsid wsp:val=&quot;009F4B13&quot;/&gt;&lt;wsp:rsid wsp:val=&quot;009F4C1D&quot;/&gt;&lt;wsp:rsid wsp:val=&quot;009F53C7&quot;/&gt;&lt;wsp:rsid wsp:val=&quot;009F5B5C&quot;/&gt;&lt;wsp:rsid wsp:val=&quot;009F743D&quot;/&gt;&lt;wsp:rsid wsp:val=&quot;00A00079&quot;/&gt;&lt;wsp:rsid wsp:val=&quot;00A003A1&quot;/&gt;&lt;wsp:rsid wsp:val=&quot;00A00B2C&quot;/&gt;&lt;wsp:rsid wsp:val=&quot;00A00FA2&quot;/&gt;&lt;wsp:rsid wsp:val=&quot;00A01103&quot;/&gt;&lt;wsp:rsid wsp:val=&quot;00A0120D&quot;/&gt;&lt;wsp:rsid wsp:val=&quot;00A01B20&quot;/&gt;&lt;wsp:rsid wsp:val=&quot;00A01C34&quot;/&gt;&lt;wsp:rsid wsp:val=&quot;00A021E2&quot;/&gt;&lt;wsp:rsid wsp:val=&quot;00A035FF&quot;/&gt;&lt;wsp:rsid wsp:val=&quot;00A0371D&quot;/&gt;&lt;wsp:rsid wsp:val=&quot;00A03A59&quot;/&gt;&lt;wsp:rsid wsp:val=&quot;00A03ACB&quot;/&gt;&lt;wsp:rsid wsp:val=&quot;00A03BB5&quot;/&gt;&lt;wsp:rsid wsp:val=&quot;00A03F77&quot;/&gt;&lt;wsp:rsid wsp:val=&quot;00A0427E&quot;/&gt;&lt;wsp:rsid wsp:val=&quot;00A042F8&quot;/&gt;&lt;wsp:rsid wsp:val=&quot;00A0452C&quot;/&gt;&lt;wsp:rsid wsp:val=&quot;00A046E7&quot;/&gt;&lt;wsp:rsid wsp:val=&quot;00A04B32&quot;/&gt;&lt;wsp:rsid wsp:val=&quot;00A04D0F&quot;/&gt;&lt;wsp:rsid wsp:val=&quot;00A04F77&quot;/&gt;&lt;wsp:rsid wsp:val=&quot;00A050F3&quot;/&gt;&lt;wsp:rsid wsp:val=&quot;00A05343&quot;/&gt;&lt;wsp:rsid wsp:val=&quot;00A053C7&quot;/&gt;&lt;wsp:rsid wsp:val=&quot;00A05677&quot;/&gt;&lt;wsp:rsid wsp:val=&quot;00A0591E&quot;/&gt;&lt;wsp:rsid wsp:val=&quot;00A05B4A&quot;/&gt;&lt;wsp:rsid wsp:val=&quot;00A05C2D&quot;/&gt;&lt;wsp:rsid wsp:val=&quot;00A06A03&quot;/&gt;&lt;wsp:rsid wsp:val=&quot;00A06BC1&quot;/&gt;&lt;wsp:rsid wsp:val=&quot;00A06C9D&quot;/&gt;&lt;wsp:rsid wsp:val=&quot;00A06DB5&quot;/&gt;&lt;wsp:rsid wsp:val=&quot;00A0748F&quot;/&gt;&lt;wsp:rsid wsp:val=&quot;00A079F1&quot;/&gt;&lt;wsp:rsid wsp:val=&quot;00A07B2C&quot;/&gt;&lt;wsp:rsid wsp:val=&quot;00A10D9B&quot;/&gt;&lt;wsp:rsid wsp:val=&quot;00A1145F&quot;/&gt;&lt;wsp:rsid wsp:val=&quot;00A11C52&quot;/&gt;&lt;wsp:rsid wsp:val=&quot;00A11C5C&quot;/&gt;&lt;wsp:rsid wsp:val=&quot;00A11D1F&quot;/&gt;&lt;wsp:rsid wsp:val=&quot;00A11D8C&quot;/&gt;&lt;wsp:rsid wsp:val=&quot;00A12172&quot;/&gt;&lt;wsp:rsid wsp:val=&quot;00A1222A&quot;/&gt;&lt;wsp:rsid wsp:val=&quot;00A12826&quot;/&gt;&lt;wsp:rsid wsp:val=&quot;00A12B42&quot;/&gt;&lt;wsp:rsid wsp:val=&quot;00A12F4B&quot;/&gt;&lt;wsp:rsid wsp:val=&quot;00A13143&quot;/&gt;&lt;wsp:rsid wsp:val=&quot;00A132CA&quot;/&gt;&lt;wsp:rsid wsp:val=&quot;00A1382C&quot;/&gt;&lt;wsp:rsid wsp:val=&quot;00A13CB4&quot;/&gt;&lt;wsp:rsid wsp:val=&quot;00A13ED1&quot;/&gt;&lt;wsp:rsid wsp:val=&quot;00A14295&quot;/&gt;&lt;wsp:rsid wsp:val=&quot;00A14943&quot;/&gt;&lt;wsp:rsid wsp:val=&quot;00A14F37&quot;/&gt;&lt;wsp:rsid wsp:val=&quot;00A15042&quot;/&gt;&lt;wsp:rsid wsp:val=&quot;00A1539F&quot;/&gt;&lt;wsp:rsid wsp:val=&quot;00A157CB&quot;/&gt;&lt;wsp:rsid wsp:val=&quot;00A15C90&quot;/&gt;&lt;wsp:rsid wsp:val=&quot;00A16650&quot;/&gt;&lt;wsp:rsid wsp:val=&quot;00A1679E&quot;/&gt;&lt;wsp:rsid wsp:val=&quot;00A167F7&quot;/&gt;&lt;wsp:rsid wsp:val=&quot;00A16F8F&quot;/&gt;&lt;wsp:rsid wsp:val=&quot;00A170BE&quot;/&gt;&lt;wsp:rsid wsp:val=&quot;00A17933&quot;/&gt;&lt;wsp:rsid wsp:val=&quot;00A17A3B&quot;/&gt;&lt;wsp:rsid wsp:val=&quot;00A17E2E&quot;/&gt;&lt;wsp:rsid wsp:val=&quot;00A17E9E&quot;/&gt;&lt;wsp:rsid wsp:val=&quot;00A17F35&quot;/&gt;&lt;wsp:rsid wsp:val=&quot;00A20289&quot;/&gt;&lt;wsp:rsid wsp:val=&quot;00A20639&quot;/&gt;&lt;wsp:rsid wsp:val=&quot;00A20776&quot;/&gt;&lt;wsp:rsid wsp:val=&quot;00A2117F&quot;/&gt;&lt;wsp:rsid wsp:val=&quot;00A21576&quot;/&gt;&lt;wsp:rsid wsp:val=&quot;00A2171D&quot;/&gt;&lt;wsp:rsid wsp:val=&quot;00A21B33&quot;/&gt;&lt;wsp:rsid wsp:val=&quot;00A21DCA&quot;/&gt;&lt;wsp:rsid wsp:val=&quot;00A22051&quot;/&gt;&lt;wsp:rsid wsp:val=&quot;00A2218B&quot;/&gt;&lt;wsp:rsid wsp:val=&quot;00A225B4&quot;/&gt;&lt;wsp:rsid wsp:val=&quot;00A2271E&quot;/&gt;&lt;wsp:rsid wsp:val=&quot;00A22F56&quot;/&gt;&lt;wsp:rsid wsp:val=&quot;00A22F88&quot;/&gt;&lt;wsp:rsid wsp:val=&quot;00A2308A&quot;/&gt;&lt;wsp:rsid wsp:val=&quot;00A23590&quot;/&gt;&lt;wsp:rsid wsp:val=&quot;00A238C6&quot;/&gt;&lt;wsp:rsid wsp:val=&quot;00A23A88&quot;/&gt;&lt;wsp:rsid wsp:val=&quot;00A2422C&quot;/&gt;&lt;wsp:rsid wsp:val=&quot;00A24560&quot;/&gt;&lt;wsp:rsid wsp:val=&quot;00A2545A&quot;/&gt;&lt;wsp:rsid wsp:val=&quot;00A2602E&quot;/&gt;&lt;wsp:rsid wsp:val=&quot;00A26074&quot;/&gt;&lt;wsp:rsid wsp:val=&quot;00A262C7&quot;/&gt;&lt;wsp:rsid wsp:val=&quot;00A268FA&quot;/&gt;&lt;wsp:rsid wsp:val=&quot;00A26F35&quot;/&gt;&lt;wsp:rsid wsp:val=&quot;00A273D4&quot;/&gt;&lt;wsp:rsid wsp:val=&quot;00A27E4F&quot;/&gt;&lt;wsp:rsid wsp:val=&quot;00A30547&quot;/&gt;&lt;wsp:rsid wsp:val=&quot;00A3120C&quot;/&gt;&lt;wsp:rsid wsp:val=&quot;00A3128D&quot;/&gt;&lt;wsp:rsid wsp:val=&quot;00A314D1&quot;/&gt;&lt;wsp:rsid wsp:val=&quot;00A31A46&quot;/&gt;&lt;wsp:rsid wsp:val=&quot;00A32C96&quot;/&gt;&lt;wsp:rsid wsp:val=&quot;00A32F8C&quot;/&gt;&lt;wsp:rsid wsp:val=&quot;00A337F3&quot;/&gt;&lt;wsp:rsid wsp:val=&quot;00A33B92&quot;/&gt;&lt;wsp:rsid wsp:val=&quot;00A33BE3&quot;/&gt;&lt;wsp:rsid wsp:val=&quot;00A33F6F&quot;/&gt;&lt;wsp:rsid wsp:val=&quot;00A34D3A&quot;/&gt;&lt;wsp:rsid wsp:val=&quot;00A35436&quot;/&gt;&lt;wsp:rsid wsp:val=&quot;00A35738&quot;/&gt;&lt;wsp:rsid wsp:val=&quot;00A359EA&quot;/&gt;&lt;wsp:rsid wsp:val=&quot;00A35D94&quot;/&gt;&lt;wsp:rsid wsp:val=&quot;00A366BA&quot;/&gt;&lt;wsp:rsid wsp:val=&quot;00A368E3&quot;/&gt;&lt;wsp:rsid wsp:val=&quot;00A3692B&quot;/&gt;&lt;wsp:rsid wsp:val=&quot;00A36B57&quot;/&gt;&lt;wsp:rsid wsp:val=&quot;00A3700D&quot;/&gt;&lt;wsp:rsid wsp:val=&quot;00A37631&quot;/&gt;&lt;wsp:rsid wsp:val=&quot;00A37781&quot;/&gt;&lt;wsp:rsid wsp:val=&quot;00A37CC5&quot;/&gt;&lt;wsp:rsid wsp:val=&quot;00A40B3E&quot;/&gt;&lt;wsp:rsid wsp:val=&quot;00A40D83&quot;/&gt;&lt;wsp:rsid wsp:val=&quot;00A40E71&quot;/&gt;&lt;wsp:rsid wsp:val=&quot;00A40FBA&quot;/&gt;&lt;wsp:rsid wsp:val=&quot;00A413DD&quot;/&gt;&lt;wsp:rsid wsp:val=&quot;00A41CCD&quot;/&gt;&lt;wsp:rsid wsp:val=&quot;00A42096&quot;/&gt;&lt;wsp:rsid wsp:val=&quot;00A4242B&quot;/&gt;&lt;wsp:rsid wsp:val=&quot;00A428EF&quot;/&gt;&lt;wsp:rsid wsp:val=&quot;00A4329F&quot;/&gt;&lt;wsp:rsid wsp:val=&quot;00A440DF&quot;/&gt;&lt;wsp:rsid wsp:val=&quot;00A44179&quot;/&gt;&lt;wsp:rsid wsp:val=&quot;00A44670&quot;/&gt;&lt;wsp:rsid wsp:val=&quot;00A44DA3&quot;/&gt;&lt;wsp:rsid wsp:val=&quot;00A44E6A&quot;/&gt;&lt;wsp:rsid wsp:val=&quot;00A44ED9&quot;/&gt;&lt;wsp:rsid wsp:val=&quot;00A4577B&quot;/&gt;&lt;wsp:rsid wsp:val=&quot;00A45CB1&quot;/&gt;&lt;wsp:rsid wsp:val=&quot;00A4666B&quot;/&gt;&lt;wsp:rsid wsp:val=&quot;00A4670E&quot;/&gt;&lt;wsp:rsid wsp:val=&quot;00A46945&quot;/&gt;&lt;wsp:rsid wsp:val=&quot;00A46C7F&quot;/&gt;&lt;wsp:rsid wsp:val=&quot;00A473F9&quot;/&gt;&lt;wsp:rsid wsp:val=&quot;00A47643&quot;/&gt;&lt;wsp:rsid wsp:val=&quot;00A477F7&quot;/&gt;&lt;wsp:rsid wsp:val=&quot;00A500FD&quot;/&gt;&lt;wsp:rsid wsp:val=&quot;00A50553&quot;/&gt;&lt;wsp:rsid wsp:val=&quot;00A50660&quot;/&gt;&lt;wsp:rsid wsp:val=&quot;00A5088A&quot;/&gt;&lt;wsp:rsid wsp:val=&quot;00A5096D&quot;/&gt;&lt;wsp:rsid wsp:val=&quot;00A511E0&quot;/&gt;&lt;wsp:rsid wsp:val=&quot;00A512A8&quot;/&gt;&lt;wsp:rsid wsp:val=&quot;00A514C9&quot;/&gt;&lt;wsp:rsid wsp:val=&quot;00A51952&quot;/&gt;&lt;wsp:rsid wsp:val=&quot;00A519DB&quot;/&gt;&lt;wsp:rsid wsp:val=&quot;00A51A02&quot;/&gt;&lt;wsp:rsid wsp:val=&quot;00A51AE9&quot;/&gt;&lt;wsp:rsid wsp:val=&quot;00A523BC&quot;/&gt;&lt;wsp:rsid wsp:val=&quot;00A528CB&quot;/&gt;&lt;wsp:rsid wsp:val=&quot;00A529D3&quot;/&gt;&lt;wsp:rsid wsp:val=&quot;00A52C2D&quot;/&gt;&lt;wsp:rsid wsp:val=&quot;00A52D14&quot;/&gt;&lt;wsp:rsid wsp:val=&quot;00A52F05&quot;/&gt;&lt;wsp:rsid wsp:val=&quot;00A52F13&quot;/&gt;&lt;wsp:rsid wsp:val=&quot;00A532B3&quot;/&gt;&lt;wsp:rsid wsp:val=&quot;00A53BFE&quot;/&gt;&lt;wsp:rsid wsp:val=&quot;00A540AE&quot;/&gt;&lt;wsp:rsid wsp:val=&quot;00A54192&quot;/&gt;&lt;wsp:rsid wsp:val=&quot;00A54C91&quot;/&gt;&lt;wsp:rsid wsp:val=&quot;00A54D24&quot;/&gt;&lt;wsp:rsid wsp:val=&quot;00A55178&quot;/&gt;&lt;wsp:rsid wsp:val=&quot;00A553ED&quot;/&gt;&lt;wsp:rsid wsp:val=&quot;00A5550C&quot;/&gt;&lt;wsp:rsid wsp:val=&quot;00A555FE&quot;/&gt;&lt;wsp:rsid wsp:val=&quot;00A5563C&quot;/&gt;&lt;wsp:rsid wsp:val=&quot;00A55896&quot;/&gt;&lt;wsp:rsid wsp:val=&quot;00A55D3B&quot;/&gt;&lt;wsp:rsid wsp:val=&quot;00A55EED&quot;/&gt;&lt;wsp:rsid wsp:val=&quot;00A560F1&quot;/&gt;&lt;wsp:rsid wsp:val=&quot;00A563C5&quot;/&gt;&lt;wsp:rsid wsp:val=&quot;00A56C1A&quot;/&gt;&lt;wsp:rsid wsp:val=&quot;00A56CF4&quot;/&gt;&lt;wsp:rsid wsp:val=&quot;00A5745B&quot;/&gt;&lt;wsp:rsid wsp:val=&quot;00A57647&quot;/&gt;&lt;wsp:rsid wsp:val=&quot;00A577CA&quot;/&gt;&lt;wsp:rsid wsp:val=&quot;00A578B1&quot;/&gt;&lt;wsp:rsid wsp:val=&quot;00A57933&quot;/&gt;&lt;wsp:rsid wsp:val=&quot;00A57CA1&quot;/&gt;&lt;wsp:rsid wsp:val=&quot;00A60921&quot;/&gt;&lt;wsp:rsid wsp:val=&quot;00A60AD1&quot;/&gt;&lt;wsp:rsid wsp:val=&quot;00A611EE&quot;/&gt;&lt;wsp:rsid wsp:val=&quot;00A61867&quot;/&gt;&lt;wsp:rsid wsp:val=&quot;00A61C2E&quot;/&gt;&lt;wsp:rsid wsp:val=&quot;00A61CF5&quot;/&gt;&lt;wsp:rsid wsp:val=&quot;00A6217D&quot;/&gt;&lt;wsp:rsid wsp:val=&quot;00A621AA&quot;/&gt;&lt;wsp:rsid wsp:val=&quot;00A62312&quot;/&gt;&lt;wsp:rsid wsp:val=&quot;00A62605&quot;/&gt;&lt;wsp:rsid wsp:val=&quot;00A62708&quot;/&gt;&lt;wsp:rsid wsp:val=&quot;00A62B02&quot;/&gt;&lt;wsp:rsid wsp:val=&quot;00A62B81&quot;/&gt;&lt;wsp:rsid wsp:val=&quot;00A63338&quot;/&gt;&lt;wsp:rsid wsp:val=&quot;00A6355E&quot;/&gt;&lt;wsp:rsid wsp:val=&quot;00A636D1&quot;/&gt;&lt;wsp:rsid wsp:val=&quot;00A63B3D&quot;/&gt;&lt;wsp:rsid wsp:val=&quot;00A63E7F&quot;/&gt;&lt;wsp:rsid wsp:val=&quot;00A63FAC&quot;/&gt;&lt;wsp:rsid wsp:val=&quot;00A646B6&quot;/&gt;&lt;wsp:rsid wsp:val=&quot;00A647EB&quot;/&gt;&lt;wsp:rsid wsp:val=&quot;00A65006&quot;/&gt;&lt;wsp:rsid wsp:val=&quot;00A6546B&quot;/&gt;&lt;wsp:rsid wsp:val=&quot;00A65AC9&quot;/&gt;&lt;wsp:rsid wsp:val=&quot;00A65B1F&quot;/&gt;&lt;wsp:rsid wsp:val=&quot;00A669C9&quot;/&gt;&lt;wsp:rsid wsp:val=&quot;00A66AF5&quot;/&gt;&lt;wsp:rsid wsp:val=&quot;00A670F8&quot;/&gt;&lt;wsp:rsid wsp:val=&quot;00A67A15&quot;/&gt;&lt;wsp:rsid wsp:val=&quot;00A67ACB&quot;/&gt;&lt;wsp:rsid wsp:val=&quot;00A67D19&quot;/&gt;&lt;wsp:rsid wsp:val=&quot;00A70388&quot;/&gt;&lt;wsp:rsid wsp:val=&quot;00A708B1&quot;/&gt;&lt;wsp:rsid wsp:val=&quot;00A7092F&quot;/&gt;&lt;wsp:rsid wsp:val=&quot;00A70FB9&quot;/&gt;&lt;wsp:rsid wsp:val=&quot;00A7142D&quot;/&gt;&lt;wsp:rsid wsp:val=&quot;00A72282&quot;/&gt;&lt;wsp:rsid wsp:val=&quot;00A72909&quot;/&gt;&lt;wsp:rsid wsp:val=&quot;00A72C0E&quot;/&gt;&lt;wsp:rsid wsp:val=&quot;00A72EE2&quot;/&gt;&lt;wsp:rsid wsp:val=&quot;00A731A9&quot;/&gt;&lt;wsp:rsid wsp:val=&quot;00A73448&quot;/&gt;&lt;wsp:rsid wsp:val=&quot;00A7372B&quot;/&gt;&lt;wsp:rsid wsp:val=&quot;00A73BA9&quot;/&gt;&lt;wsp:rsid wsp:val=&quot;00A73CFD&quot;/&gt;&lt;wsp:rsid wsp:val=&quot;00A742D0&quot;/&gt;&lt;wsp:rsid wsp:val=&quot;00A7573D&quot;/&gt;&lt;wsp:rsid wsp:val=&quot;00A76551&quot;/&gt;&lt;wsp:rsid wsp:val=&quot;00A766E6&quot;/&gt;&lt;wsp:rsid wsp:val=&quot;00A7695D&quot;/&gt;&lt;wsp:rsid wsp:val=&quot;00A76A04&quot;/&gt;&lt;wsp:rsid wsp:val=&quot;00A76AED&quot;/&gt;&lt;wsp:rsid wsp:val=&quot;00A76DCC&quot;/&gt;&lt;wsp:rsid wsp:val=&quot;00A770CE&quot;/&gt;&lt;wsp:rsid wsp:val=&quot;00A77389&quot;/&gt;&lt;wsp:rsid wsp:val=&quot;00A7762A&quot;/&gt;&lt;wsp:rsid wsp:val=&quot;00A77BC7&quot;/&gt;&lt;wsp:rsid wsp:val=&quot;00A77D57&quot;/&gt;&lt;wsp:rsid wsp:val=&quot;00A77E07&quot;/&gt;&lt;wsp:rsid wsp:val=&quot;00A80457&quot;/&gt;&lt;wsp:rsid wsp:val=&quot;00A80E5E&quot;/&gt;&lt;wsp:rsid wsp:val=&quot;00A8101E&quot;/&gt;&lt;wsp:rsid wsp:val=&quot;00A8145D&quot;/&gt;&lt;wsp:rsid wsp:val=&quot;00A81AE8&quot;/&gt;&lt;wsp:rsid wsp:val=&quot;00A81F5C&quot;/&gt;&lt;wsp:rsid wsp:val=&quot;00A8204D&quot;/&gt;&lt;wsp:rsid wsp:val=&quot;00A8241B&quot;/&gt;&lt;wsp:rsid wsp:val=&quot;00A82AF9&quot;/&gt;&lt;wsp:rsid wsp:val=&quot;00A832F4&quot;/&gt;&lt;wsp:rsid wsp:val=&quot;00A83964&quot;/&gt;&lt;wsp:rsid wsp:val=&quot;00A83972&quot;/&gt;&lt;wsp:rsid wsp:val=&quot;00A83C83&quot;/&gt;&lt;wsp:rsid wsp:val=&quot;00A83FEC&quot;/&gt;&lt;wsp:rsid wsp:val=&quot;00A840FE&quot;/&gt;&lt;wsp:rsid wsp:val=&quot;00A84602&quot;/&gt;&lt;wsp:rsid wsp:val=&quot;00A849C1&quot;/&gt;&lt;wsp:rsid wsp:val=&quot;00A84EA4&quot;/&gt;&lt;wsp:rsid wsp:val=&quot;00A85615&quot;/&gt;&lt;wsp:rsid wsp:val=&quot;00A85686&quot;/&gt;&lt;wsp:rsid wsp:val=&quot;00A85AC7&quot;/&gt;&lt;wsp:rsid wsp:val=&quot;00A86CA2&quot;/&gt;&lt;wsp:rsid wsp:val=&quot;00A8725B&quot;/&gt;&lt;wsp:rsid wsp:val=&quot;00A87443&quot;/&gt;&lt;wsp:rsid wsp:val=&quot;00A87D9B&quot;/&gt;&lt;wsp:rsid wsp:val=&quot;00A90DA6&quot;/&gt;&lt;wsp:rsid wsp:val=&quot;00A91D74&quot;/&gt;&lt;wsp:rsid wsp:val=&quot;00A91E13&quot;/&gt;&lt;wsp:rsid wsp:val=&quot;00A9280F&quot;/&gt;&lt;wsp:rsid wsp:val=&quot;00A92CF1&quot;/&gt;&lt;wsp:rsid wsp:val=&quot;00A92E21&quot;/&gt;&lt;wsp:rsid wsp:val=&quot;00A92EAF&quot;/&gt;&lt;wsp:rsid wsp:val=&quot;00A93183&quot;/&gt;&lt;wsp:rsid wsp:val=&quot;00A932E6&quot;/&gt;&lt;wsp:rsid wsp:val=&quot;00A934AD&quot;/&gt;&lt;wsp:rsid wsp:val=&quot;00A93756&quot;/&gt;&lt;wsp:rsid wsp:val=&quot;00A939A3&quot;/&gt;&lt;wsp:rsid wsp:val=&quot;00A939E0&quot;/&gt;&lt;wsp:rsid wsp:val=&quot;00A93A0B&quot;/&gt;&lt;wsp:rsid wsp:val=&quot;00A93ED3&quot;/&gt;&lt;wsp:rsid wsp:val=&quot;00A9402B&quot;/&gt;&lt;wsp:rsid wsp:val=&quot;00A94217&quot;/&gt;&lt;wsp:rsid wsp:val=&quot;00A94458&quot;/&gt;&lt;wsp:rsid wsp:val=&quot;00A94AA1&quot;/&gt;&lt;wsp:rsid wsp:val=&quot;00A94ACA&quot;/&gt;&lt;wsp:rsid wsp:val=&quot;00A9526C&quot;/&gt;&lt;wsp:rsid wsp:val=&quot;00A9573C&quot;/&gt;&lt;wsp:rsid wsp:val=&quot;00A957C3&quot;/&gt;&lt;wsp:rsid wsp:val=&quot;00A95860&quot;/&gt;&lt;wsp:rsid wsp:val=&quot;00A958A9&quot;/&gt;&lt;wsp:rsid wsp:val=&quot;00A95910&quot;/&gt;&lt;wsp:rsid wsp:val=&quot;00A95D10&quot;/&gt;&lt;wsp:rsid wsp:val=&quot;00A95EC7&quot;/&gt;&lt;wsp:rsid wsp:val=&quot;00A9643A&quot;/&gt;&lt;wsp:rsid wsp:val=&quot;00A9707F&quot;/&gt;&lt;wsp:rsid wsp:val=&quot;00A97760&quot;/&gt;&lt;wsp:rsid wsp:val=&quot;00A97804&quot;/&gt;&lt;wsp:rsid wsp:val=&quot;00A97922&quot;/&gt;&lt;wsp:rsid wsp:val=&quot;00A979B9&quot;/&gt;&lt;wsp:rsid wsp:val=&quot;00A97BE0&quot;/&gt;&lt;wsp:rsid wsp:val=&quot;00A97EBC&quot;/&gt;&lt;wsp:rsid wsp:val=&quot;00AA0646&quot;/&gt;&lt;wsp:rsid wsp:val=&quot;00AA06FC&quot;/&gt;&lt;wsp:rsid wsp:val=&quot;00AA16C8&quot;/&gt;&lt;wsp:rsid wsp:val=&quot;00AA1B83&quot;/&gt;&lt;wsp:rsid wsp:val=&quot;00AA1C2B&quot;/&gt;&lt;wsp:rsid wsp:val=&quot;00AA1DD5&quot;/&gt;&lt;wsp:rsid wsp:val=&quot;00AA25B4&quot;/&gt;&lt;wsp:rsid wsp:val=&quot;00AA25C9&quot;/&gt;&lt;wsp:rsid wsp:val=&quot;00AA3C0D&quot;/&gt;&lt;wsp:rsid wsp:val=&quot;00AA4063&quot;/&gt;&lt;wsp:rsid wsp:val=&quot;00AA42E3&quot;/&gt;&lt;wsp:rsid wsp:val=&quot;00AA438C&quot;/&gt;&lt;wsp:rsid wsp:val=&quot;00AA4493&quot;/&gt;&lt;wsp:rsid wsp:val=&quot;00AA457F&quot;/&gt;&lt;wsp:rsid wsp:val=&quot;00AA4631&quot;/&gt;&lt;wsp:rsid wsp:val=&quot;00AA489C&quot;/&gt;&lt;wsp:rsid wsp:val=&quot;00AA494A&quot;/&gt;&lt;wsp:rsid wsp:val=&quot;00AA502F&quot;/&gt;&lt;wsp:rsid wsp:val=&quot;00AA538E&quot;/&gt;&lt;wsp:rsid wsp:val=&quot;00AA53DD&quot;/&gt;&lt;wsp:rsid wsp:val=&quot;00AA53FB&quot;/&gt;&lt;wsp:rsid wsp:val=&quot;00AA6234&quot;/&gt;&lt;wsp:rsid wsp:val=&quot;00AA6437&quot;/&gt;&lt;wsp:rsid wsp:val=&quot;00AA64B1&quot;/&gt;&lt;wsp:rsid wsp:val=&quot;00AA6C67&quot;/&gt;&lt;wsp:rsid wsp:val=&quot;00AA705C&quot;/&gt;&lt;wsp:rsid wsp:val=&quot;00AA72AF&quot;/&gt;&lt;wsp:rsid wsp:val=&quot;00AA7848&quot;/&gt;&lt;wsp:rsid wsp:val=&quot;00AA7856&quot;/&gt;&lt;wsp:rsid wsp:val=&quot;00AA7863&quot;/&gt;&lt;wsp:rsid wsp:val=&quot;00AA7890&quot;/&gt;&lt;wsp:rsid wsp:val=&quot;00AA78B4&quot;/&gt;&lt;wsp:rsid wsp:val=&quot;00AA7954&quot;/&gt;&lt;wsp:rsid wsp:val=&quot;00AA7C43&quot;/&gt;&lt;wsp:rsid wsp:val=&quot;00AA7CE3&quot;/&gt;&lt;wsp:rsid wsp:val=&quot;00AA7FB6&quot;/&gt;&lt;wsp:rsid wsp:val=&quot;00AB0247&quot;/&gt;&lt;wsp:rsid wsp:val=&quot;00AB0267&quot;/&gt;&lt;wsp:rsid wsp:val=&quot;00AB0652&quot;/&gt;&lt;wsp:rsid wsp:val=&quot;00AB0762&quot;/&gt;&lt;wsp:rsid wsp:val=&quot;00AB1276&quot;/&gt;&lt;wsp:rsid wsp:val=&quot;00AB17BB&quot;/&gt;&lt;wsp:rsid wsp:val=&quot;00AB1C8B&quot;/&gt;&lt;wsp:rsid wsp:val=&quot;00AB264A&quot;/&gt;&lt;wsp:rsid wsp:val=&quot;00AB2796&quot;/&gt;&lt;wsp:rsid wsp:val=&quot;00AB2DB2&quot;/&gt;&lt;wsp:rsid wsp:val=&quot;00AB3604&quot;/&gt;&lt;wsp:rsid wsp:val=&quot;00AB3752&quot;/&gt;&lt;wsp:rsid wsp:val=&quot;00AB37C6&quot;/&gt;&lt;wsp:rsid wsp:val=&quot;00AB3A50&quot;/&gt;&lt;wsp:rsid wsp:val=&quot;00AB3AE9&quot;/&gt;&lt;wsp:rsid wsp:val=&quot;00AB3BB7&quot;/&gt;&lt;wsp:rsid wsp:val=&quot;00AB3BC4&quot;/&gt;&lt;wsp:rsid wsp:val=&quot;00AB3ED2&quot;/&gt;&lt;wsp:rsid wsp:val=&quot;00AB4121&quot;/&gt;&lt;wsp:rsid wsp:val=&quot;00AB5A60&quot;/&gt;&lt;wsp:rsid wsp:val=&quot;00AB639D&quot;/&gt;&lt;wsp:rsid wsp:val=&quot;00AB65A0&quot;/&gt;&lt;wsp:rsid wsp:val=&quot;00AB6C83&quot;/&gt;&lt;wsp:rsid wsp:val=&quot;00AB73FF&quot;/&gt;&lt;wsp:rsid wsp:val=&quot;00AB7672&quot;/&gt;&lt;wsp:rsid wsp:val=&quot;00AB7743&quot;/&gt;&lt;wsp:rsid wsp:val=&quot;00AB7D57&quot;/&gt;&lt;wsp:rsid wsp:val=&quot;00AC0D16&quot;/&gt;&lt;wsp:rsid wsp:val=&quot;00AC14FD&quot;/&gt;&lt;wsp:rsid wsp:val=&quot;00AC1A69&quot;/&gt;&lt;wsp:rsid wsp:val=&quot;00AC1DBC&quot;/&gt;&lt;wsp:rsid wsp:val=&quot;00AC1F01&quot;/&gt;&lt;wsp:rsid wsp:val=&quot;00AC23A1&quot;/&gt;&lt;wsp:rsid wsp:val=&quot;00AC2A32&quot;/&gt;&lt;wsp:rsid wsp:val=&quot;00AC3AFE&quot;/&gt;&lt;wsp:rsid wsp:val=&quot;00AC3B8D&quot;/&gt;&lt;wsp:rsid wsp:val=&quot;00AC3BBD&quot;/&gt;&lt;wsp:rsid wsp:val=&quot;00AC4359&quot;/&gt;&lt;wsp:rsid wsp:val=&quot;00AC44C9&quot;/&gt;&lt;wsp:rsid wsp:val=&quot;00AC472D&quot;/&gt;&lt;wsp:rsid wsp:val=&quot;00AC47B2&quot;/&gt;&lt;wsp:rsid wsp:val=&quot;00AC4C2B&quot;/&gt;&lt;wsp:rsid wsp:val=&quot;00AC4FF1&quot;/&gt;&lt;wsp:rsid wsp:val=&quot;00AC5879&quot;/&gt;&lt;wsp:rsid wsp:val=&quot;00AC6391&quot;/&gt;&lt;wsp:rsid wsp:val=&quot;00AC6CD0&quot;/&gt;&lt;wsp:rsid wsp:val=&quot;00AC71C8&quot;/&gt;&lt;wsp:rsid wsp:val=&quot;00AC71C9&quot;/&gt;&lt;wsp:rsid wsp:val=&quot;00AC75FF&quot;/&gt;&lt;wsp:rsid wsp:val=&quot;00AC7B41&quot;/&gt;&lt;wsp:rsid wsp:val=&quot;00AD005E&quot;/&gt;&lt;wsp:rsid wsp:val=&quot;00AD0115&quot;/&gt;&lt;wsp:rsid wsp:val=&quot;00AD0C33&quot;/&gt;&lt;wsp:rsid wsp:val=&quot;00AD1701&quot;/&gt;&lt;wsp:rsid wsp:val=&quot;00AD1B71&quot;/&gt;&lt;wsp:rsid wsp:val=&quot;00AD1B8E&quot;/&gt;&lt;wsp:rsid wsp:val=&quot;00AD26FB&quot;/&gt;&lt;wsp:rsid wsp:val=&quot;00AD270A&quot;/&gt;&lt;wsp:rsid wsp:val=&quot;00AD2DD9&quot;/&gt;&lt;wsp:rsid wsp:val=&quot;00AD33E4&quot;/&gt;&lt;wsp:rsid wsp:val=&quot;00AD360C&quot;/&gt;&lt;wsp:rsid wsp:val=&quot;00AD36A2&quot;/&gt;&lt;wsp:rsid wsp:val=&quot;00AD3954&quot;/&gt;&lt;wsp:rsid wsp:val=&quot;00AD3B49&quot;/&gt;&lt;wsp:rsid wsp:val=&quot;00AD3BD7&quot;/&gt;&lt;wsp:rsid wsp:val=&quot;00AD3DAB&quot;/&gt;&lt;wsp:rsid wsp:val=&quot;00AD3EB4&quot;/&gt;&lt;wsp:rsid wsp:val=&quot;00AD44B0&quot;/&gt;&lt;wsp:rsid wsp:val=&quot;00AD4B01&quot;/&gt;&lt;wsp:rsid wsp:val=&quot;00AD4CA5&quot;/&gt;&lt;wsp:rsid wsp:val=&quot;00AD4ED8&quot;/&gt;&lt;wsp:rsid wsp:val=&quot;00AD552C&quot;/&gt;&lt;wsp:rsid wsp:val=&quot;00AD5826&quot;/&gt;&lt;wsp:rsid wsp:val=&quot;00AD5996&quot;/&gt;&lt;wsp:rsid wsp:val=&quot;00AD65B1&quot;/&gt;&lt;wsp:rsid wsp:val=&quot;00AD6827&quot;/&gt;&lt;wsp:rsid wsp:val=&quot;00AD6CE9&quot;/&gt;&lt;wsp:rsid wsp:val=&quot;00AD7107&quot;/&gt;&lt;wsp:rsid wsp:val=&quot;00AD73D2&quot;/&gt;&lt;wsp:rsid wsp:val=&quot;00AD74DF&quot;/&gt;&lt;wsp:rsid wsp:val=&quot;00AD74E1&quot;/&gt;&lt;wsp:rsid wsp:val=&quot;00AD76C7&quot;/&gt;&lt;wsp:rsid wsp:val=&quot;00AD7771&quot;/&gt;&lt;wsp:rsid wsp:val=&quot;00AD7853&quot;/&gt;&lt;wsp:rsid wsp:val=&quot;00AD78B7&quot;/&gt;&lt;wsp:rsid wsp:val=&quot;00AD7BA6&quot;/&gt;&lt;wsp:rsid wsp:val=&quot;00AD7D3A&quot;/&gt;&lt;wsp:rsid wsp:val=&quot;00AD7E34&quot;/&gt;&lt;wsp:rsid wsp:val=&quot;00AE03CB&quot;/&gt;&lt;wsp:rsid wsp:val=&quot;00AE060D&quot;/&gt;&lt;wsp:rsid wsp:val=&quot;00AE0730&quot;/&gt;&lt;wsp:rsid wsp:val=&quot;00AE1414&quot;/&gt;&lt;wsp:rsid wsp:val=&quot;00AE16BD&quot;/&gt;&lt;wsp:rsid wsp:val=&quot;00AE1815&quot;/&gt;&lt;wsp:rsid wsp:val=&quot;00AE1AD9&quot;/&gt;&lt;wsp:rsid wsp:val=&quot;00AE22FE&quot;/&gt;&lt;wsp:rsid wsp:val=&quot;00AE2719&quot;/&gt;&lt;wsp:rsid wsp:val=&quot;00AE2EB2&quot;/&gt;&lt;wsp:rsid wsp:val=&quot;00AE3406&quot;/&gt;&lt;wsp:rsid wsp:val=&quot;00AE3873&quot;/&gt;&lt;wsp:rsid wsp:val=&quot;00AE3B88&quot;/&gt;&lt;wsp:rsid wsp:val=&quot;00AE3FFD&quot;/&gt;&lt;wsp:rsid wsp:val=&quot;00AE4C4B&quot;/&gt;&lt;wsp:rsid wsp:val=&quot;00AE5507&quot;/&gt;&lt;wsp:rsid wsp:val=&quot;00AE5AA2&quot;/&gt;&lt;wsp:rsid wsp:val=&quot;00AE5AA7&quot;/&gt;&lt;wsp:rsid wsp:val=&quot;00AE6327&quot;/&gt;&lt;wsp:rsid wsp:val=&quot;00AE654F&quot;/&gt;&lt;wsp:rsid wsp:val=&quot;00AE6F94&quot;/&gt;&lt;wsp:rsid wsp:val=&quot;00AE7387&quot;/&gt;&lt;wsp:rsid wsp:val=&quot;00AE7614&quot;/&gt;&lt;wsp:rsid wsp:val=&quot;00AE76B7&quot;/&gt;&lt;wsp:rsid wsp:val=&quot;00AE7F41&quot;/&gt;&lt;wsp:rsid wsp:val=&quot;00AE7F77&quot;/&gt;&lt;wsp:rsid wsp:val=&quot;00AF007A&quot;/&gt;&lt;wsp:rsid wsp:val=&quot;00AF0423&quot;/&gt;&lt;wsp:rsid wsp:val=&quot;00AF068C&quot;/&gt;&lt;wsp:rsid wsp:val=&quot;00AF0A02&quot;/&gt;&lt;wsp:rsid wsp:val=&quot;00AF0EC7&quot;/&gt;&lt;wsp:rsid wsp:val=&quot;00AF1558&quot;/&gt;&lt;wsp:rsid wsp:val=&quot;00AF175A&quot;/&gt;&lt;wsp:rsid wsp:val=&quot;00AF18C9&quot;/&gt;&lt;wsp:rsid wsp:val=&quot;00AF1E20&quot;/&gt;&lt;wsp:rsid wsp:val=&quot;00AF2379&quot;/&gt;&lt;wsp:rsid wsp:val=&quot;00AF2872&quot;/&gt;&lt;wsp:rsid wsp:val=&quot;00AF2950&quot;/&gt;&lt;wsp:rsid wsp:val=&quot;00AF2F18&quot;/&gt;&lt;wsp:rsid wsp:val=&quot;00AF40E6&quot;/&gt;&lt;wsp:rsid wsp:val=&quot;00AF4150&quot;/&gt;&lt;wsp:rsid wsp:val=&quot;00AF422B&quot;/&gt;&lt;wsp:rsid wsp:val=&quot;00AF4441&quot;/&gt;&lt;wsp:rsid wsp:val=&quot;00AF47BF&quot;/&gt;&lt;wsp:rsid wsp:val=&quot;00AF4A3C&quot;/&gt;&lt;wsp:rsid wsp:val=&quot;00AF4D1B&quot;/&gt;&lt;wsp:rsid wsp:val=&quot;00AF4DF1&quot;/&gt;&lt;wsp:rsid wsp:val=&quot;00AF5578&quot;/&gt;&lt;wsp:rsid wsp:val=&quot;00AF565E&quot;/&gt;&lt;wsp:rsid wsp:val=&quot;00AF5DAA&quot;/&gt;&lt;wsp:rsid wsp:val=&quot;00AF5DEB&quot;/&gt;&lt;wsp:rsid wsp:val=&quot;00AF66D6&quot;/&gt;&lt;wsp:rsid wsp:val=&quot;00AF695E&quot;/&gt;&lt;wsp:rsid wsp:val=&quot;00AF6D47&quot;/&gt;&lt;wsp:rsid wsp:val=&quot;00AF6D7C&quot;/&gt;&lt;wsp:rsid wsp:val=&quot;00AF6F95&quot;/&gt;&lt;wsp:rsid wsp:val=&quot;00AF71BE&quot;/&gt;&lt;wsp:rsid wsp:val=&quot;00AF7D9B&quot;/&gt;&lt;wsp:rsid wsp:val=&quot;00AF7E13&quot;/&gt;&lt;wsp:rsid wsp:val=&quot;00AF7F40&quot;/&gt;&lt;wsp:rsid wsp:val=&quot;00B00502&quot;/&gt;&lt;wsp:rsid wsp:val=&quot;00B0051B&quot;/&gt;&lt;wsp:rsid wsp:val=&quot;00B0075C&quot;/&gt;&lt;wsp:rsid wsp:val=&quot;00B009A9&quot;/&gt;&lt;wsp:rsid wsp:val=&quot;00B01251&quot;/&gt;&lt;wsp:rsid wsp:val=&quot;00B015A7&quot;/&gt;&lt;wsp:rsid wsp:val=&quot;00B022A1&quot;/&gt;&lt;wsp:rsid wsp:val=&quot;00B031E5&quot;/&gt;&lt;wsp:rsid wsp:val=&quot;00B03C47&quot;/&gt;&lt;wsp:rsid wsp:val=&quot;00B03C7E&quot;/&gt;&lt;wsp:rsid wsp:val=&quot;00B03D06&quot;/&gt;&lt;wsp:rsid wsp:val=&quot;00B04C29&quot;/&gt;&lt;wsp:rsid wsp:val=&quot;00B04C2F&quot;/&gt;&lt;wsp:rsid wsp:val=&quot;00B04D61&quot;/&gt;&lt;wsp:rsid wsp:val=&quot;00B04F9A&quot;/&gt;&lt;wsp:rsid wsp:val=&quot;00B0579F&quot;/&gt;&lt;wsp:rsid wsp:val=&quot;00B05980&quot;/&gt;&lt;wsp:rsid wsp:val=&quot;00B05BCB&quot;/&gt;&lt;wsp:rsid wsp:val=&quot;00B064AF&quot;/&gt;&lt;wsp:rsid wsp:val=&quot;00B06710&quot;/&gt;&lt;wsp:rsid wsp:val=&quot;00B06ED8&quot;/&gt;&lt;wsp:rsid wsp:val=&quot;00B07174&quot;/&gt;&lt;wsp:rsid wsp:val=&quot;00B07213&quot;/&gt;&lt;wsp:rsid wsp:val=&quot;00B072E9&quot;/&gt;&lt;wsp:rsid wsp:val=&quot;00B07890&quot;/&gt;&lt;wsp:rsid wsp:val=&quot;00B07D7B&quot;/&gt;&lt;wsp:rsid wsp:val=&quot;00B10030&quot;/&gt;&lt;wsp:rsid wsp:val=&quot;00B1015F&quot;/&gt;&lt;wsp:rsid wsp:val=&quot;00B105D9&quot;/&gt;&lt;wsp:rsid wsp:val=&quot;00B107A1&quot;/&gt;&lt;wsp:rsid wsp:val=&quot;00B11639&quot;/&gt;&lt;wsp:rsid wsp:val=&quot;00B11FB6&quot;/&gt;&lt;wsp:rsid wsp:val=&quot;00B1207C&quot;/&gt;&lt;wsp:rsid wsp:val=&quot;00B12740&quot;/&gt;&lt;wsp:rsid wsp:val=&quot;00B12EBA&quot;/&gt;&lt;wsp:rsid wsp:val=&quot;00B13959&quot;/&gt;&lt;wsp:rsid wsp:val=&quot;00B1440A&quot;/&gt;&lt;wsp:rsid wsp:val=&quot;00B14A71&quot;/&gt;&lt;wsp:rsid wsp:val=&quot;00B14BB2&quot;/&gt;&lt;wsp:rsid wsp:val=&quot;00B15E5C&quot;/&gt;&lt;wsp:rsid wsp:val=&quot;00B16402&quot;/&gt;&lt;wsp:rsid wsp:val=&quot;00B169F6&quot;/&gt;&lt;wsp:rsid wsp:val=&quot;00B1743B&quot;/&gt;&lt;wsp:rsid wsp:val=&quot;00B17DFF&quot;/&gt;&lt;wsp:rsid wsp:val=&quot;00B17F50&quot;/&gt;&lt;wsp:rsid wsp:val=&quot;00B21652&quot;/&gt;&lt;wsp:rsid wsp:val=&quot;00B21B94&quot;/&gt;&lt;wsp:rsid wsp:val=&quot;00B21ED4&quot;/&gt;&lt;wsp:rsid wsp:val=&quot;00B227EF&quot;/&gt;&lt;wsp:rsid wsp:val=&quot;00B22CCA&quot;/&gt;&lt;wsp:rsid wsp:val=&quot;00B231E5&quot;/&gt;&lt;wsp:rsid wsp:val=&quot;00B2333B&quot;/&gt;&lt;wsp:rsid wsp:val=&quot;00B23AE5&quot;/&gt;&lt;wsp:rsid wsp:val=&quot;00B249EB&quot;/&gt;&lt;wsp:rsid wsp:val=&quot;00B24A7C&quot;/&gt;&lt;wsp:rsid wsp:val=&quot;00B24C9C&quot;/&gt;&lt;wsp:rsid wsp:val=&quot;00B24E39&quot;/&gt;&lt;wsp:rsid wsp:val=&quot;00B24EEE&quot;/&gt;&lt;wsp:rsid wsp:val=&quot;00B26120&quot;/&gt;&lt;wsp:rsid wsp:val=&quot;00B26377&quot;/&gt;&lt;wsp:rsid wsp:val=&quot;00B26542&quot;/&gt;&lt;wsp:rsid wsp:val=&quot;00B266EE&quot;/&gt;&lt;wsp:rsid wsp:val=&quot;00B26851&quot;/&gt;&lt;wsp:rsid wsp:val=&quot;00B26BD6&quot;/&gt;&lt;wsp:rsid wsp:val=&quot;00B27D5B&quot;/&gt;&lt;wsp:rsid wsp:val=&quot;00B309EC&quot;/&gt;&lt;wsp:rsid wsp:val=&quot;00B30A1F&quot;/&gt;&lt;wsp:rsid wsp:val=&quot;00B3182D&quot;/&gt;&lt;wsp:rsid wsp:val=&quot;00B31899&quot;/&gt;&lt;wsp:rsid wsp:val=&quot;00B31B2F&quot;/&gt;&lt;wsp:rsid wsp:val=&quot;00B31B96&quot;/&gt;&lt;wsp:rsid wsp:val=&quot;00B31E9B&quot;/&gt;&lt;wsp:rsid wsp:val=&quot;00B31F8A&quot;/&gt;&lt;wsp:rsid wsp:val=&quot;00B32A7E&quot;/&gt;&lt;wsp:rsid wsp:val=&quot;00B32F02&quot;/&gt;&lt;wsp:rsid wsp:val=&quot;00B32F2A&quot;/&gt;&lt;wsp:rsid wsp:val=&quot;00B33124&quot;/&gt;&lt;wsp:rsid wsp:val=&quot;00B33824&quot;/&gt;&lt;wsp:rsid wsp:val=&quot;00B33998&quot;/&gt;&lt;wsp:rsid wsp:val=&quot;00B34043&quot;/&gt;&lt;wsp:rsid wsp:val=&quot;00B34552&quot;/&gt;&lt;wsp:rsid wsp:val=&quot;00B348D8&quot;/&gt;&lt;wsp:rsid wsp:val=&quot;00B34B04&quot;/&gt;&lt;wsp:rsid wsp:val=&quot;00B34B91&quot;/&gt;&lt;wsp:rsid wsp:val=&quot;00B3573E&quot;/&gt;&lt;wsp:rsid wsp:val=&quot;00B3640A&quot;/&gt;&lt;wsp:rsid wsp:val=&quot;00B36548&quot;/&gt;&lt;wsp:rsid wsp:val=&quot;00B36859&quot;/&gt;&lt;wsp:rsid wsp:val=&quot;00B369AB&quot;/&gt;&lt;wsp:rsid wsp:val=&quot;00B36A26&quot;/&gt;&lt;wsp:rsid wsp:val=&quot;00B36C4F&quot;/&gt;&lt;wsp:rsid wsp:val=&quot;00B37498&quot;/&gt;&lt;wsp:rsid wsp:val=&quot;00B378F8&quot;/&gt;&lt;wsp:rsid wsp:val=&quot;00B37AB0&quot;/&gt;&lt;wsp:rsid wsp:val=&quot;00B37FA5&quot;/&gt;&lt;wsp:rsid wsp:val=&quot;00B400E1&quot;/&gt;&lt;wsp:rsid wsp:val=&quot;00B40B81&quot;/&gt;&lt;wsp:rsid wsp:val=&quot;00B41020&quot;/&gt;&lt;wsp:rsid wsp:val=&quot;00B415EA&quot;/&gt;&lt;wsp:rsid wsp:val=&quot;00B41B5A&quot;/&gt;&lt;wsp:rsid wsp:val=&quot;00B426FC&quot;/&gt;&lt;wsp:rsid wsp:val=&quot;00B43153&quot;/&gt;&lt;wsp:rsid wsp:val=&quot;00B43367&quot;/&gt;&lt;wsp:rsid wsp:val=&quot;00B434E8&quot;/&gt;&lt;wsp:rsid wsp:val=&quot;00B437FD&quot;/&gt;&lt;wsp:rsid wsp:val=&quot;00B43A64&quot;/&gt;&lt;wsp:rsid wsp:val=&quot;00B43E2B&quot;/&gt;&lt;wsp:rsid wsp:val=&quot;00B43E2C&quot;/&gt;&lt;wsp:rsid wsp:val=&quot;00B4405D&quot;/&gt;&lt;wsp:rsid wsp:val=&quot;00B44419&quot;/&gt;&lt;wsp:rsid wsp:val=&quot;00B44431&quot;/&gt;&lt;wsp:rsid wsp:val=&quot;00B44596&quot;/&gt;&lt;wsp:rsid wsp:val=&quot;00B445F6&quot;/&gt;&lt;wsp:rsid wsp:val=&quot;00B446F2&quot;/&gt;&lt;wsp:rsid wsp:val=&quot;00B44742&quot;/&gt;&lt;wsp:rsid wsp:val=&quot;00B4481D&quot;/&gt;&lt;wsp:rsid wsp:val=&quot;00B4499F&quot;/&gt;&lt;wsp:rsid wsp:val=&quot;00B44A84&quot;/&gt;&lt;wsp:rsid wsp:val=&quot;00B456F3&quot;/&gt;&lt;wsp:rsid wsp:val=&quot;00B45C10&quot;/&gt;&lt;wsp:rsid wsp:val=&quot;00B46556&quot;/&gt;&lt;wsp:rsid wsp:val=&quot;00B46E3E&quot;/&gt;&lt;wsp:rsid wsp:val=&quot;00B46F96&quot;/&gt;&lt;wsp:rsid wsp:val=&quot;00B47759&quot;/&gt;&lt;wsp:rsid wsp:val=&quot;00B4782A&quot;/&gt;&lt;wsp:rsid wsp:val=&quot;00B47C02&quot;/&gt;&lt;wsp:rsid wsp:val=&quot;00B47F21&quot;/&gt;&lt;wsp:rsid wsp:val=&quot;00B5025F&quot;/&gt;&lt;wsp:rsid wsp:val=&quot;00B502C0&quot;/&gt;&lt;wsp:rsid wsp:val=&quot;00B508CB&quot;/&gt;&lt;wsp:rsid wsp:val=&quot;00B50A59&quot;/&gt;&lt;wsp:rsid wsp:val=&quot;00B50ADD&quot;/&gt;&lt;wsp:rsid wsp:val=&quot;00B50F6D&quot;/&gt;&lt;wsp:rsid wsp:val=&quot;00B50FFC&quot;/&gt;&lt;wsp:rsid wsp:val=&quot;00B51937&quot;/&gt;&lt;wsp:rsid wsp:val=&quot;00B51BB6&quot;/&gt;&lt;wsp:rsid wsp:val=&quot;00B51E10&quot;/&gt;&lt;wsp:rsid wsp:val=&quot;00B51E9F&quot;/&gt;&lt;wsp:rsid wsp:val=&quot;00B52916&quot;/&gt;&lt;wsp:rsid wsp:val=&quot;00B52C41&quot;/&gt;&lt;wsp:rsid wsp:val=&quot;00B52CE9&quot;/&gt;&lt;wsp:rsid wsp:val=&quot;00B53198&quot;/&gt;&lt;wsp:rsid wsp:val=&quot;00B53275&quot;/&gt;&lt;wsp:rsid wsp:val=&quot;00B53547&quot;/&gt;&lt;wsp:rsid wsp:val=&quot;00B5364E&quot;/&gt;&lt;wsp:rsid wsp:val=&quot;00B536D1&quot;/&gt;&lt;wsp:rsid wsp:val=&quot;00B537CA&quot;/&gt;&lt;wsp:rsid wsp:val=&quot;00B539BC&quot;/&gt;&lt;wsp:rsid wsp:val=&quot;00B53B8E&quot;/&gt;&lt;wsp:rsid wsp:val=&quot;00B54070&quot;/&gt;&lt;wsp:rsid wsp:val=&quot;00B54822&quot;/&gt;&lt;wsp:rsid wsp:val=&quot;00B54A71&quot;/&gt;&lt;wsp:rsid wsp:val=&quot;00B54C98&quot;/&gt;&lt;wsp:rsid wsp:val=&quot;00B54FBE&quot;/&gt;&lt;wsp:rsid wsp:val=&quot;00B5532E&quot;/&gt;&lt;wsp:rsid wsp:val=&quot;00B556E4&quot;/&gt;&lt;wsp:rsid wsp:val=&quot;00B5621D&quot;/&gt;&lt;wsp:rsid wsp:val=&quot;00B565C7&quot;/&gt;&lt;wsp:rsid wsp:val=&quot;00B566AE&quot;/&gt;&lt;wsp:rsid wsp:val=&quot;00B567AB&quot;/&gt;&lt;wsp:rsid wsp:val=&quot;00B56D1E&quot;/&gt;&lt;wsp:rsid wsp:val=&quot;00B56EF9&quot;/&gt;&lt;wsp:rsid wsp:val=&quot;00B56F73&quot;/&gt;&lt;wsp:rsid wsp:val=&quot;00B5729E&quot;/&gt;&lt;wsp:rsid wsp:val=&quot;00B57A7A&quot;/&gt;&lt;wsp:rsid wsp:val=&quot;00B6048D&quot;/&gt;&lt;wsp:rsid wsp:val=&quot;00B604FA&quot;/&gt;&lt;wsp:rsid wsp:val=&quot;00B60638&quot;/&gt;&lt;wsp:rsid wsp:val=&quot;00B606CE&quot;/&gt;&lt;wsp:rsid wsp:val=&quot;00B608CA&quot;/&gt;&lt;wsp:rsid wsp:val=&quot;00B61157&quot;/&gt;&lt;wsp:rsid wsp:val=&quot;00B61403&quot;/&gt;&lt;wsp:rsid wsp:val=&quot;00B6189B&quot;/&gt;&lt;wsp:rsid wsp:val=&quot;00B61E9E&quot;/&gt;&lt;wsp:rsid wsp:val=&quot;00B62252&quot;/&gt;&lt;wsp:rsid wsp:val=&quot;00B62326&quot;/&gt;&lt;wsp:rsid wsp:val=&quot;00B62916&quot;/&gt;&lt;wsp:rsid wsp:val=&quot;00B62C8D&quot;/&gt;&lt;wsp:rsid wsp:val=&quot;00B62D2C&quot;/&gt;&lt;wsp:rsid wsp:val=&quot;00B63E0C&quot;/&gt;&lt;wsp:rsid wsp:val=&quot;00B6485E&quot;/&gt;&lt;wsp:rsid wsp:val=&quot;00B64ACD&quot;/&gt;&lt;wsp:rsid wsp:val=&quot;00B64E60&quot;/&gt;&lt;wsp:rsid wsp:val=&quot;00B65217&quot;/&gt;&lt;wsp:rsid wsp:val=&quot;00B659EB&quot;/&gt;&lt;wsp:rsid wsp:val=&quot;00B65B05&quot;/&gt;&lt;wsp:rsid wsp:val=&quot;00B65DC9&quot;/&gt;&lt;wsp:rsid wsp:val=&quot;00B65FB3&quot;/&gt;&lt;wsp:rsid wsp:val=&quot;00B6601F&quot;/&gt;&lt;wsp:rsid wsp:val=&quot;00B66172&quot;/&gt;&lt;wsp:rsid wsp:val=&quot;00B661CD&quot;/&gt;&lt;wsp:rsid wsp:val=&quot;00B662C4&quot;/&gt;&lt;wsp:rsid wsp:val=&quot;00B66408&quot;/&gt;&lt;wsp:rsid wsp:val=&quot;00B668C7&quot;/&gt;&lt;wsp:rsid wsp:val=&quot;00B67081&quot;/&gt;&lt;wsp:rsid wsp:val=&quot;00B67659&quot;/&gt;&lt;wsp:rsid wsp:val=&quot;00B67895&quot;/&gt;&lt;wsp:rsid wsp:val=&quot;00B70334&quot;/&gt;&lt;wsp:rsid wsp:val=&quot;00B704DA&quot;/&gt;&lt;wsp:rsid wsp:val=&quot;00B70680&quot;/&gt;&lt;wsp:rsid wsp:val=&quot;00B70A34&quot;/&gt;&lt;wsp:rsid wsp:val=&quot;00B71039&quot;/&gt;&lt;wsp:rsid wsp:val=&quot;00B7109D&quot;/&gt;&lt;wsp:rsid wsp:val=&quot;00B712D5&quot;/&gt;&lt;wsp:rsid wsp:val=&quot;00B71763&quot;/&gt;&lt;wsp:rsid wsp:val=&quot;00B722B3&quot;/&gt;&lt;wsp:rsid wsp:val=&quot;00B727D5&quot;/&gt;&lt;wsp:rsid wsp:val=&quot;00B72DF1&quot;/&gt;&lt;wsp:rsid wsp:val=&quot;00B73376&quot;/&gt;&lt;wsp:rsid wsp:val=&quot;00B73F80&quot;/&gt;&lt;wsp:rsid wsp:val=&quot;00B740C2&quot;/&gt;&lt;wsp:rsid wsp:val=&quot;00B74250&quot;/&gt;&lt;wsp:rsid wsp:val=&quot;00B745EA&quot;/&gt;&lt;wsp:rsid wsp:val=&quot;00B74D70&quot;/&gt;&lt;wsp:rsid wsp:val=&quot;00B74E14&quot;/&gt;&lt;wsp:rsid wsp:val=&quot;00B75379&quot;/&gt;&lt;wsp:rsid wsp:val=&quot;00B7555A&quot;/&gt;&lt;wsp:rsid wsp:val=&quot;00B75B93&quot;/&gt;&lt;wsp:rsid wsp:val=&quot;00B75BE7&quot;/&gt;&lt;wsp:rsid wsp:val=&quot;00B760C0&quot;/&gt;&lt;wsp:rsid wsp:val=&quot;00B7658B&quot;/&gt;&lt;wsp:rsid wsp:val=&quot;00B770A2&quot;/&gt;&lt;wsp:rsid wsp:val=&quot;00B77570&quot;/&gt;&lt;wsp:rsid wsp:val=&quot;00B777A3&quot;/&gt;&lt;wsp:rsid wsp:val=&quot;00B77B9F&quot;/&gt;&lt;wsp:rsid wsp:val=&quot;00B807A9&quot;/&gt;&lt;wsp:rsid wsp:val=&quot;00B80C38&quot;/&gt;&lt;wsp:rsid wsp:val=&quot;00B80EA2&quot;/&gt;&lt;wsp:rsid wsp:val=&quot;00B81042&quot;/&gt;&lt;wsp:rsid wsp:val=&quot;00B8129B&quot;/&gt;&lt;wsp:rsid wsp:val=&quot;00B812C2&quot;/&gt;&lt;wsp:rsid wsp:val=&quot;00B81637&quot;/&gt;&lt;wsp:rsid wsp:val=&quot;00B81CF9&quot;/&gt;&lt;wsp:rsid wsp:val=&quot;00B82449&quot;/&gt;&lt;wsp:rsid wsp:val=&quot;00B824F2&quot;/&gt;&lt;wsp:rsid wsp:val=&quot;00B828F4&quot;/&gt;&lt;wsp:rsid wsp:val=&quot;00B82C97&quot;/&gt;&lt;wsp:rsid wsp:val=&quot;00B8305A&quot;/&gt;&lt;wsp:rsid wsp:val=&quot;00B83175&quot;/&gt;&lt;wsp:rsid wsp:val=&quot;00B83862&quot;/&gt;&lt;wsp:rsid wsp:val=&quot;00B839D3&quot;/&gt;&lt;wsp:rsid wsp:val=&quot;00B83B44&quot;/&gt;&lt;wsp:rsid wsp:val=&quot;00B83DD0&quot;/&gt;&lt;wsp:rsid wsp:val=&quot;00B83FDF&quot;/&gt;&lt;wsp:rsid wsp:val=&quot;00B844EB&quot;/&gt;&lt;wsp:rsid wsp:val=&quot;00B847DD&quot;/&gt;&lt;wsp:rsid wsp:val=&quot;00B847F2&quot;/&gt;&lt;wsp:rsid wsp:val=&quot;00B85313&quot;/&gt;&lt;wsp:rsid wsp:val=&quot;00B85869&quot;/&gt;&lt;wsp:rsid wsp:val=&quot;00B858FF&quot;/&gt;&lt;wsp:rsid wsp:val=&quot;00B85D99&quot;/&gt;&lt;wsp:rsid wsp:val=&quot;00B85F84&quot;/&gt;&lt;wsp:rsid wsp:val=&quot;00B8622C&quot;/&gt;&lt;wsp:rsid wsp:val=&quot;00B8682D&quot;/&gt;&lt;wsp:rsid wsp:val=&quot;00B86936&quot;/&gt;&lt;wsp:rsid wsp:val=&quot;00B869A6&quot;/&gt;&lt;wsp:rsid wsp:val=&quot;00B86AF6&quot;/&gt;&lt;wsp:rsid wsp:val=&quot;00B86CB8&quot;/&gt;&lt;wsp:rsid wsp:val=&quot;00B86DD9&quot;/&gt;&lt;wsp:rsid wsp:val=&quot;00B87594&quot;/&gt;&lt;wsp:rsid wsp:val=&quot;00B87908&quot;/&gt;&lt;wsp:rsid wsp:val=&quot;00B879CE&quot;/&gt;&lt;wsp:rsid wsp:val=&quot;00B90A6F&quot;/&gt;&lt;wsp:rsid wsp:val=&quot;00B90BD3&quot;/&gt;&lt;wsp:rsid wsp:val=&quot;00B91A5A&quot;/&gt;&lt;wsp:rsid wsp:val=&quot;00B91E00&quot;/&gt;&lt;wsp:rsid wsp:val=&quot;00B920D1&quot;/&gt;&lt;wsp:rsid wsp:val=&quot;00B92264&quot;/&gt;&lt;wsp:rsid wsp:val=&quot;00B9238A&quot;/&gt;&lt;wsp:rsid wsp:val=&quot;00B924A8&quot;/&gt;&lt;wsp:rsid wsp:val=&quot;00B925F2&quot;/&gt;&lt;wsp:rsid wsp:val=&quot;00B92DA2&quot;/&gt;&lt;wsp:rsid wsp:val=&quot;00B93421&quot;/&gt;&lt;wsp:rsid wsp:val=&quot;00B9389A&quot;/&gt;&lt;wsp:rsid wsp:val=&quot;00B93BF9&quot;/&gt;&lt;wsp:rsid wsp:val=&quot;00B93EC4&quot;/&gt;&lt;wsp:rsid wsp:val=&quot;00B94031&quot;/&gt;&lt;wsp:rsid wsp:val=&quot;00B943EC&quot;/&gt;&lt;wsp:rsid wsp:val=&quot;00B94787&quot;/&gt;&lt;wsp:rsid wsp:val=&quot;00B94905&quot;/&gt;&lt;wsp:rsid wsp:val=&quot;00B9497E&quot;/&gt;&lt;wsp:rsid wsp:val=&quot;00B94A04&quot;/&gt;&lt;wsp:rsid wsp:val=&quot;00B94C11&quot;/&gt;&lt;wsp:rsid wsp:val=&quot;00B94C82&quot;/&gt;&lt;wsp:rsid wsp:val=&quot;00B94E35&quot;/&gt;&lt;wsp:rsid wsp:val=&quot;00B951AC&quot;/&gt;&lt;wsp:rsid wsp:val=&quot;00B95825&quot;/&gt;&lt;wsp:rsid wsp:val=&quot;00B9582B&quot;/&gt;&lt;wsp:rsid wsp:val=&quot;00B95D7D&quot;/&gt;&lt;wsp:rsid wsp:val=&quot;00B9671E&quot;/&gt;&lt;wsp:rsid wsp:val=&quot;00B96740&quot;/&gt;&lt;wsp:rsid wsp:val=&quot;00B96972&quot;/&gt;&lt;wsp:rsid wsp:val=&quot;00B96A44&quot;/&gt;&lt;wsp:rsid wsp:val=&quot;00B96D36&quot;/&gt;&lt;wsp:rsid wsp:val=&quot;00B97537&quot;/&gt;&lt;wsp:rsid wsp:val=&quot;00B97A91&quot;/&gt;&lt;wsp:rsid wsp:val=&quot;00BA03D8&quot;/&gt;&lt;wsp:rsid wsp:val=&quot;00BA0401&quot;/&gt;&lt;wsp:rsid wsp:val=&quot;00BA051A&quot;/&gt;&lt;wsp:rsid wsp:val=&quot;00BA051D&quot;/&gt;&lt;wsp:rsid wsp:val=&quot;00BA061E&quot;/&gt;&lt;wsp:rsid wsp:val=&quot;00BA062A&quot;/&gt;&lt;wsp:rsid wsp:val=&quot;00BA077C&quot;/&gt;&lt;wsp:rsid wsp:val=&quot;00BA0AF4&quot;/&gt;&lt;wsp:rsid wsp:val=&quot;00BA1111&quot;/&gt;&lt;wsp:rsid wsp:val=&quot;00BA1417&quot;/&gt;&lt;wsp:rsid wsp:val=&quot;00BA1B97&quot;/&gt;&lt;wsp:rsid wsp:val=&quot;00BA1BBD&quot;/&gt;&lt;wsp:rsid wsp:val=&quot;00BA1D13&quot;/&gt;&lt;wsp:rsid wsp:val=&quot;00BA24CE&quot;/&gt;&lt;wsp:rsid wsp:val=&quot;00BA30E4&quot;/&gt;&lt;wsp:rsid wsp:val=&quot;00BA32BD&quot;/&gt;&lt;wsp:rsid wsp:val=&quot;00BA33E0&quot;/&gt;&lt;wsp:rsid wsp:val=&quot;00BA47E4&quot;/&gt;&lt;wsp:rsid wsp:val=&quot;00BA4879&quot;/&gt;&lt;wsp:rsid wsp:val=&quot;00BA603E&quot;/&gt;&lt;wsp:rsid wsp:val=&quot;00BA63D0&quot;/&gt;&lt;wsp:rsid wsp:val=&quot;00BA706E&quot;/&gt;&lt;wsp:rsid wsp:val=&quot;00BA7113&quot;/&gt;&lt;wsp:rsid wsp:val=&quot;00BA77DD&quot;/&gt;&lt;wsp:rsid wsp:val=&quot;00BA7A32&quot;/&gt;&lt;wsp:rsid wsp:val=&quot;00BB00BC&quot;/&gt;&lt;wsp:rsid wsp:val=&quot;00BB011D&quot;/&gt;&lt;wsp:rsid wsp:val=&quot;00BB013B&quot;/&gt;&lt;wsp:rsid wsp:val=&quot;00BB01AF&quot;/&gt;&lt;wsp:rsid wsp:val=&quot;00BB09C7&quot;/&gt;&lt;wsp:rsid wsp:val=&quot;00BB0E6B&quot;/&gt;&lt;wsp:rsid wsp:val=&quot;00BB0EFC&quot;/&gt;&lt;wsp:rsid wsp:val=&quot;00BB1778&quot;/&gt;&lt;wsp:rsid wsp:val=&quot;00BB187A&quot;/&gt;&lt;wsp:rsid wsp:val=&quot;00BB2003&quot;/&gt;&lt;wsp:rsid wsp:val=&quot;00BB2411&quot;/&gt;&lt;wsp:rsid wsp:val=&quot;00BB2860&quot;/&gt;&lt;wsp:rsid wsp:val=&quot;00BB2B50&quot;/&gt;&lt;wsp:rsid wsp:val=&quot;00BB2BCC&quot;/&gt;&lt;wsp:rsid wsp:val=&quot;00BB31B3&quot;/&gt;&lt;wsp:rsid wsp:val=&quot;00BB3852&quot;/&gt;&lt;wsp:rsid wsp:val=&quot;00BB38E5&quot;/&gt;&lt;wsp:rsid wsp:val=&quot;00BB39B0&quot;/&gt;&lt;wsp:rsid wsp:val=&quot;00BB40F8&quot;/&gt;&lt;wsp:rsid wsp:val=&quot;00BB4CE9&quot;/&gt;&lt;wsp:rsid wsp:val=&quot;00BB546A&quot;/&gt;&lt;wsp:rsid wsp:val=&quot;00BB5489&quot;/&gt;&lt;wsp:rsid wsp:val=&quot;00BB5780&quot;/&gt;&lt;wsp:rsid wsp:val=&quot;00BB57FE&quot;/&gt;&lt;wsp:rsid wsp:val=&quot;00BB5B2E&quot;/&gt;&lt;wsp:rsid wsp:val=&quot;00BB5D63&quot;/&gt;&lt;wsp:rsid wsp:val=&quot;00BB6075&quot;/&gt;&lt;wsp:rsid wsp:val=&quot;00BB69E6&quot;/&gt;&lt;wsp:rsid wsp:val=&quot;00BB6B5D&quot;/&gt;&lt;wsp:rsid wsp:val=&quot;00BB6C4F&quot;/&gt;&lt;wsp:rsid wsp:val=&quot;00BB733C&quot;/&gt;&lt;wsp:rsid wsp:val=&quot;00BB7AA1&quot;/&gt;&lt;wsp:rsid wsp:val=&quot;00BB7B0B&quot;/&gt;&lt;wsp:rsid wsp:val=&quot;00BB7C97&quot;/&gt;&lt;wsp:rsid wsp:val=&quot;00BB7E20&quot;/&gt;&lt;wsp:rsid wsp:val=&quot;00BC0A32&quot;/&gt;&lt;wsp:rsid wsp:val=&quot;00BC0B04&quot;/&gt;&lt;wsp:rsid wsp:val=&quot;00BC15D9&quot;/&gt;&lt;wsp:rsid wsp:val=&quot;00BC15E4&quot;/&gt;&lt;wsp:rsid wsp:val=&quot;00BC1706&quot;/&gt;&lt;wsp:rsid wsp:val=&quot;00BC1808&quot;/&gt;&lt;wsp:rsid wsp:val=&quot;00BC1F84&quot;/&gt;&lt;wsp:rsid wsp:val=&quot;00BC20F7&quot;/&gt;&lt;wsp:rsid wsp:val=&quot;00BC336F&quot;/&gt;&lt;wsp:rsid wsp:val=&quot;00BC3699&quot;/&gt;&lt;wsp:rsid wsp:val=&quot;00BC36E4&quot;/&gt;&lt;wsp:rsid wsp:val=&quot;00BC394B&quot;/&gt;&lt;wsp:rsid wsp:val=&quot;00BC3D6C&quot;/&gt;&lt;wsp:rsid wsp:val=&quot;00BC3F8C&quot;/&gt;&lt;wsp:rsid wsp:val=&quot;00BC3F8E&quot;/&gt;&lt;wsp:rsid wsp:val=&quot;00BC4B8E&quot;/&gt;&lt;wsp:rsid wsp:val=&quot;00BC50CF&quot;/&gt;&lt;wsp:rsid wsp:val=&quot;00BC54AB&quot;/&gt;&lt;wsp:rsid wsp:val=&quot;00BC55A8&quot;/&gt;&lt;wsp:rsid wsp:val=&quot;00BC58FA&quot;/&gt;&lt;wsp:rsid wsp:val=&quot;00BC6172&quot;/&gt;&lt;wsp:rsid wsp:val=&quot;00BC6465&quot;/&gt;&lt;wsp:rsid wsp:val=&quot;00BC6D75&quot;/&gt;&lt;wsp:rsid wsp:val=&quot;00BC7141&quot;/&gt;&lt;wsp:rsid wsp:val=&quot;00BC74C8&quot;/&gt;&lt;wsp:rsid wsp:val=&quot;00BC776D&quot;/&gt;&lt;wsp:rsid wsp:val=&quot;00BC7972&quot;/&gt;&lt;wsp:rsid wsp:val=&quot;00BC7FD0&quot;/&gt;&lt;wsp:rsid wsp:val=&quot;00BD02B4&quot;/&gt;&lt;wsp:rsid wsp:val=&quot;00BD0445&quot;/&gt;&lt;wsp:rsid wsp:val=&quot;00BD045D&quot;/&gt;&lt;wsp:rsid wsp:val=&quot;00BD0571&quot;/&gt;&lt;wsp:rsid wsp:val=&quot;00BD0C41&quot;/&gt;&lt;wsp:rsid wsp:val=&quot;00BD1276&quot;/&gt;&lt;wsp:rsid wsp:val=&quot;00BD176D&quot;/&gt;&lt;wsp:rsid wsp:val=&quot;00BD1E92&quot;/&gt;&lt;wsp:rsid wsp:val=&quot;00BD24B5&quot;/&gt;&lt;wsp:rsid wsp:val=&quot;00BD2B39&quot;/&gt;&lt;wsp:rsid wsp:val=&quot;00BD3409&quot;/&gt;&lt;wsp:rsid wsp:val=&quot;00BD3869&quot;/&gt;&lt;wsp:rsid wsp:val=&quot;00BD3873&quot;/&gt;&lt;wsp:rsid wsp:val=&quot;00BD3BD0&quot;/&gt;&lt;wsp:rsid wsp:val=&quot;00BD3D77&quot;/&gt;&lt;wsp:rsid wsp:val=&quot;00BD3DA2&quot;/&gt;&lt;wsp:rsid wsp:val=&quot;00BD3EAE&quot;/&gt;&lt;wsp:rsid wsp:val=&quot;00BD42E5&quot;/&gt;&lt;wsp:rsid wsp:val=&quot;00BD446F&quot;/&gt;&lt;wsp:rsid wsp:val=&quot;00BD5015&quot;/&gt;&lt;wsp:rsid wsp:val=&quot;00BD5237&quot;/&gt;&lt;wsp:rsid wsp:val=&quot;00BD54E2&quot;/&gt;&lt;wsp:rsid wsp:val=&quot;00BD5810&quot;/&gt;&lt;wsp:rsid wsp:val=&quot;00BD588D&quot;/&gt;&lt;wsp:rsid wsp:val=&quot;00BD5C45&quot;/&gt;&lt;wsp:rsid wsp:val=&quot;00BD615F&quot;/&gt;&lt;wsp:rsid wsp:val=&quot;00BD6284&quot;/&gt;&lt;wsp:rsid wsp:val=&quot;00BD62D0&quot;/&gt;&lt;wsp:rsid wsp:val=&quot;00BD6BE3&quot;/&gt;&lt;wsp:rsid wsp:val=&quot;00BD7413&quot;/&gt;&lt;wsp:rsid wsp:val=&quot;00BD76C0&quot;/&gt;&lt;wsp:rsid wsp:val=&quot;00BD7725&quot;/&gt;&lt;wsp:rsid wsp:val=&quot;00BD791F&quot;/&gt;&lt;wsp:rsid wsp:val=&quot;00BD7D37&quot;/&gt;&lt;wsp:rsid wsp:val=&quot;00BD7EBA&quot;/&gt;&lt;wsp:rsid wsp:val=&quot;00BE0170&quot;/&gt;&lt;wsp:rsid wsp:val=&quot;00BE074E&quot;/&gt;&lt;wsp:rsid wsp:val=&quot;00BE0805&quot;/&gt;&lt;wsp:rsid wsp:val=&quot;00BE0D23&quot;/&gt;&lt;wsp:rsid wsp:val=&quot;00BE11F5&quot;/&gt;&lt;wsp:rsid wsp:val=&quot;00BE1A4D&quot;/&gt;&lt;wsp:rsid wsp:val=&quot;00BE1F2C&quot;/&gt;&lt;wsp:rsid wsp:val=&quot;00BE2E39&quot;/&gt;&lt;wsp:rsid wsp:val=&quot;00BE2E9A&quot;/&gt;&lt;wsp:rsid wsp:val=&quot;00BE33B9&quot;/&gt;&lt;wsp:rsid wsp:val=&quot;00BE34D6&quot;/&gt;&lt;wsp:rsid wsp:val=&quot;00BE3759&quot;/&gt;&lt;wsp:rsid wsp:val=&quot;00BE38CF&quot;/&gt;&lt;wsp:rsid wsp:val=&quot;00BE432D&quot;/&gt;&lt;wsp:rsid wsp:val=&quot;00BE4530&quot;/&gt;&lt;wsp:rsid wsp:val=&quot;00BE45FA&quot;/&gt;&lt;wsp:rsid wsp:val=&quot;00BE4A54&quot;/&gt;&lt;wsp:rsid wsp:val=&quot;00BE580A&quot;/&gt;&lt;wsp:rsid wsp:val=&quot;00BE614D&quot;/&gt;&lt;wsp:rsid wsp:val=&quot;00BE6274&quot;/&gt;&lt;wsp:rsid wsp:val=&quot;00BE632A&quot;/&gt;&lt;wsp:rsid wsp:val=&quot;00BE69A5&quot;/&gt;&lt;wsp:rsid wsp:val=&quot;00BE69BA&quot;/&gt;&lt;wsp:rsid wsp:val=&quot;00BE6B19&quot;/&gt;&lt;wsp:rsid wsp:val=&quot;00BE6BD5&quot;/&gt;&lt;wsp:rsid wsp:val=&quot;00BE6E5D&quot;/&gt;&lt;wsp:rsid wsp:val=&quot;00BE781E&quot;/&gt;&lt;wsp:rsid wsp:val=&quot;00BE7B95&quot;/&gt;&lt;wsp:rsid wsp:val=&quot;00BE7C45&quot;/&gt;&lt;wsp:rsid wsp:val=&quot;00BE7E0D&quot;/&gt;&lt;wsp:rsid wsp:val=&quot;00BF0319&quot;/&gt;&lt;wsp:rsid wsp:val=&quot;00BF14FA&quot;/&gt;&lt;wsp:rsid wsp:val=&quot;00BF1794&quot;/&gt;&lt;wsp:rsid wsp:val=&quot;00BF1B4B&quot;/&gt;&lt;wsp:rsid wsp:val=&quot;00BF1F1F&quot;/&gt;&lt;wsp:rsid wsp:val=&quot;00BF212D&quot;/&gt;&lt;wsp:rsid wsp:val=&quot;00BF229F&quot;/&gt;&lt;wsp:rsid wsp:val=&quot;00BF2C45&quot;/&gt;&lt;wsp:rsid wsp:val=&quot;00BF2D13&quot;/&gt;&lt;wsp:rsid wsp:val=&quot;00BF2FE5&quot;/&gt;&lt;wsp:rsid wsp:val=&quot;00BF330C&quot;/&gt;&lt;wsp:rsid wsp:val=&quot;00BF3B9A&quot;/&gt;&lt;wsp:rsid wsp:val=&quot;00BF3C8B&quot;/&gt;&lt;wsp:rsid wsp:val=&quot;00BF3D89&quot;/&gt;&lt;wsp:rsid wsp:val=&quot;00BF3F6F&quot;/&gt;&lt;wsp:rsid wsp:val=&quot;00BF466A&quot;/&gt;&lt;wsp:rsid wsp:val=&quot;00BF4BDD&quot;/&gt;&lt;wsp:rsid wsp:val=&quot;00BF5477&quot;/&gt;&lt;wsp:rsid wsp:val=&quot;00BF5948&quot;/&gt;&lt;wsp:rsid wsp:val=&quot;00BF60D6&quot;/&gt;&lt;wsp:rsid wsp:val=&quot;00BF662C&quot;/&gt;&lt;wsp:rsid wsp:val=&quot;00BF695C&quot;/&gt;&lt;wsp:rsid wsp:val=&quot;00BF69D6&quot;/&gt;&lt;wsp:rsid wsp:val=&quot;00BF73EE&quot;/&gt;&lt;wsp:rsid wsp:val=&quot;00BF79D8&quot;/&gt;&lt;wsp:rsid wsp:val=&quot;00C001EC&quot;/&gt;&lt;wsp:rsid wsp:val=&quot;00C003E0&quot;/&gt;&lt;wsp:rsid wsp:val=&quot;00C004A6&quot;/&gt;&lt;wsp:rsid wsp:val=&quot;00C00AF0&quot;/&gt;&lt;wsp:rsid wsp:val=&quot;00C027BD&quot;/&gt;&lt;wsp:rsid wsp:val=&quot;00C0299A&quot;/&gt;&lt;wsp:rsid wsp:val=&quot;00C02A0F&quot;/&gt;&lt;wsp:rsid wsp:val=&quot;00C0306E&quot;/&gt;&lt;wsp:rsid wsp:val=&quot;00C032D8&quot;/&gt;&lt;wsp:rsid wsp:val=&quot;00C03787&quot;/&gt;&lt;wsp:rsid wsp:val=&quot;00C03855&quot;/&gt;&lt;wsp:rsid wsp:val=&quot;00C03898&quot;/&gt;&lt;wsp:rsid wsp:val=&quot;00C03B1A&quot;/&gt;&lt;wsp:rsid wsp:val=&quot;00C03B7C&quot;/&gt;&lt;wsp:rsid wsp:val=&quot;00C04440&quot;/&gt;&lt;wsp:rsid wsp:val=&quot;00C04445&quot;/&gt;&lt;wsp:rsid wsp:val=&quot;00C0460D&quot;/&gt;&lt;wsp:rsid wsp:val=&quot;00C04CB2&quot;/&gt;&lt;wsp:rsid wsp:val=&quot;00C058A7&quot;/&gt;&lt;wsp:rsid wsp:val=&quot;00C059D3&quot;/&gt;&lt;wsp:rsid wsp:val=&quot;00C05D35&quot;/&gt;&lt;wsp:rsid wsp:val=&quot;00C05E2F&quot;/&gt;&lt;wsp:rsid wsp:val=&quot;00C06884&quot;/&gt;&lt;wsp:rsid wsp:val=&quot;00C06942&quot;/&gt;&lt;wsp:rsid wsp:val=&quot;00C07352&quot;/&gt;&lt;wsp:rsid wsp:val=&quot;00C0735B&quot;/&gt;&lt;wsp:rsid wsp:val=&quot;00C0767B&quot;/&gt;&lt;wsp:rsid wsp:val=&quot;00C0788D&quot;/&gt;&lt;wsp:rsid wsp:val=&quot;00C078BE&quot;/&gt;&lt;wsp:rsid wsp:val=&quot;00C07979&quot;/&gt;&lt;wsp:rsid wsp:val=&quot;00C07CBC&quot;/&gt;&lt;wsp:rsid wsp:val=&quot;00C07D82&quot;/&gt;&lt;wsp:rsid wsp:val=&quot;00C10227&quot;/&gt;&lt;wsp:rsid wsp:val=&quot;00C106DD&quot;/&gt;&lt;wsp:rsid wsp:val=&quot;00C10E1A&quot;/&gt;&lt;wsp:rsid wsp:val=&quot;00C113CE&quot;/&gt;&lt;wsp:rsid wsp:val=&quot;00C115A7&quot;/&gt;&lt;wsp:rsid wsp:val=&quot;00C11968&quot;/&gt;&lt;wsp:rsid wsp:val=&quot;00C11C26&quot;/&gt;&lt;wsp:rsid wsp:val=&quot;00C11CBF&quot;/&gt;&lt;wsp:rsid wsp:val=&quot;00C11D16&quot;/&gt;&lt;wsp:rsid wsp:val=&quot;00C1256E&quot;/&gt;&lt;wsp:rsid wsp:val=&quot;00C126C4&quot;/&gt;&lt;wsp:rsid wsp:val=&quot;00C126F2&quot;/&gt;&lt;wsp:rsid wsp:val=&quot;00C12858&quot;/&gt;&lt;wsp:rsid wsp:val=&quot;00C13165&quot;/&gt;&lt;wsp:rsid wsp:val=&quot;00C13615&quot;/&gt;&lt;wsp:rsid wsp:val=&quot;00C13BFA&quot;/&gt;&lt;wsp:rsid wsp:val=&quot;00C13FBA&quot;/&gt;&lt;wsp:rsid wsp:val=&quot;00C140F4&quot;/&gt;&lt;wsp:rsid wsp:val=&quot;00C14DEB&quot;/&gt;&lt;wsp:rsid wsp:val=&quot;00C15CD8&quot;/&gt;&lt;wsp:rsid wsp:val=&quot;00C15DEF&quot;/&gt;&lt;wsp:rsid wsp:val=&quot;00C15EFD&quot;/&gt;&lt;wsp:rsid wsp:val=&quot;00C160E0&quot;/&gt;&lt;wsp:rsid wsp:val=&quot;00C16621&quot;/&gt;&lt;wsp:rsid wsp:val=&quot;00C16FA3&quot;/&gt;&lt;wsp:rsid wsp:val=&quot;00C1700F&quot;/&gt;&lt;wsp:rsid wsp:val=&quot;00C174C8&quot;/&gt;&lt;wsp:rsid wsp:val=&quot;00C17C7A&quot;/&gt;&lt;wsp:rsid wsp:val=&quot;00C17DE9&quot;/&gt;&lt;wsp:rsid wsp:val=&quot;00C206E5&quot;/&gt;&lt;wsp:rsid wsp:val=&quot;00C20BE1&quot;/&gt;&lt;wsp:rsid wsp:val=&quot;00C21547&quot;/&gt;&lt;wsp:rsid wsp:val=&quot;00C2158C&quot;/&gt;&lt;wsp:rsid wsp:val=&quot;00C21709&quot;/&gt;&lt;wsp:rsid wsp:val=&quot;00C22434&quot;/&gt;&lt;wsp:rsid wsp:val=&quot;00C2273D&quot;/&gt;&lt;wsp:rsid wsp:val=&quot;00C22762&quot;/&gt;&lt;wsp:rsid wsp:val=&quot;00C22E56&quot;/&gt;&lt;wsp:rsid wsp:val=&quot;00C2354E&quot;/&gt;&lt;wsp:rsid wsp:val=&quot;00C23DAB&quot;/&gt;&lt;wsp:rsid wsp:val=&quot;00C24183&quot;/&gt;&lt;wsp:rsid wsp:val=&quot;00C2431E&quot;/&gt;&lt;wsp:rsid wsp:val=&quot;00C243E3&quot;/&gt;&lt;wsp:rsid wsp:val=&quot;00C246DD&quot;/&gt;&lt;wsp:rsid wsp:val=&quot;00C24740&quot;/&gt;&lt;wsp:rsid wsp:val=&quot;00C24934&quot;/&gt;&lt;wsp:rsid wsp:val=&quot;00C24942&quot;/&gt;&lt;wsp:rsid wsp:val=&quot;00C24E53&quot;/&gt;&lt;wsp:rsid wsp:val=&quot;00C24FEE&quot;/&gt;&lt;wsp:rsid wsp:val=&quot;00C254F0&quot;/&gt;&lt;wsp:rsid wsp:val=&quot;00C25663&quot;/&gt;&lt;wsp:rsid wsp:val=&quot;00C25B4D&quot;/&gt;&lt;wsp:rsid wsp:val=&quot;00C25D3E&quot;/&gt;&lt;wsp:rsid wsp:val=&quot;00C25EC4&quot;/&gt;&lt;wsp:rsid wsp:val=&quot;00C261A0&quot;/&gt;&lt;wsp:rsid wsp:val=&quot;00C26CCF&quot;/&gt;&lt;wsp:rsid wsp:val=&quot;00C2700D&quot;/&gt;&lt;wsp:rsid wsp:val=&quot;00C272AF&quot;/&gt;&lt;wsp:rsid wsp:val=&quot;00C273CF&quot;/&gt;&lt;wsp:rsid wsp:val=&quot;00C27598&quot;/&gt;&lt;wsp:rsid wsp:val=&quot;00C276A1&quot;/&gt;&lt;wsp:rsid wsp:val=&quot;00C27834&quot;/&gt;&lt;wsp:rsid wsp:val=&quot;00C30D21&quot;/&gt;&lt;wsp:rsid wsp:val=&quot;00C317C7&quot;/&gt;&lt;wsp:rsid wsp:val=&quot;00C31A76&quot;/&gt;&lt;wsp:rsid wsp:val=&quot;00C31AFE&quot;/&gt;&lt;wsp:rsid wsp:val=&quot;00C31BD5&quot;/&gt;&lt;wsp:rsid wsp:val=&quot;00C32075&quot;/&gt;&lt;wsp:rsid wsp:val=&quot;00C321CA&quot;/&gt;&lt;wsp:rsid wsp:val=&quot;00C32737&quot;/&gt;&lt;wsp:rsid wsp:val=&quot;00C32A1A&quot;/&gt;&lt;wsp:rsid wsp:val=&quot;00C32B34&quot;/&gt;&lt;wsp:rsid wsp:val=&quot;00C333B4&quot;/&gt;&lt;wsp:rsid wsp:val=&quot;00C3353C&quot;/&gt;&lt;wsp:rsid wsp:val=&quot;00C33679&quot;/&gt;&lt;wsp:rsid wsp:val=&quot;00C3390D&quot;/&gt;&lt;wsp:rsid wsp:val=&quot;00C33C7E&quot;/&gt;&lt;wsp:rsid wsp:val=&quot;00C33CAB&quot;/&gt;&lt;wsp:rsid wsp:val=&quot;00C34141&quot;/&gt;&lt;wsp:rsid wsp:val=&quot;00C3435D&quot;/&gt;&lt;wsp:rsid wsp:val=&quot;00C34A3E&quot;/&gt;&lt;wsp:rsid wsp:val=&quot;00C34B99&quot;/&gt;&lt;wsp:rsid wsp:val=&quot;00C3513A&quot;/&gt;&lt;wsp:rsid wsp:val=&quot;00C35292&quot;/&gt;&lt;wsp:rsid wsp:val=&quot;00C35D3C&quot;/&gt;&lt;wsp:rsid wsp:val=&quot;00C35E6C&quot;/&gt;&lt;wsp:rsid wsp:val=&quot;00C361CF&quot;/&gt;&lt;wsp:rsid wsp:val=&quot;00C36788&quot;/&gt;&lt;wsp:rsid wsp:val=&quot;00C36C58&quot;/&gt;&lt;wsp:rsid wsp:val=&quot;00C374CC&quot;/&gt;&lt;wsp:rsid wsp:val=&quot;00C37A0B&quot;/&gt;&lt;wsp:rsid wsp:val=&quot;00C37CB6&quot;/&gt;&lt;wsp:rsid wsp:val=&quot;00C37F28&quot;/&gt;&lt;wsp:rsid wsp:val=&quot;00C40BFA&quot;/&gt;&lt;wsp:rsid wsp:val=&quot;00C41210&quot;/&gt;&lt;wsp:rsid wsp:val=&quot;00C414A7&quot;/&gt;&lt;wsp:rsid wsp:val=&quot;00C41F9A&quot;/&gt;&lt;wsp:rsid wsp:val=&quot;00C424CE&quot;/&gt;&lt;wsp:rsid wsp:val=&quot;00C424FE&quot;/&gt;&lt;wsp:rsid wsp:val=&quot;00C43181&quot;/&gt;&lt;wsp:rsid wsp:val=&quot;00C4342D&quot;/&gt;&lt;wsp:rsid wsp:val=&quot;00C43898&quot;/&gt;&lt;wsp:rsid wsp:val=&quot;00C438B1&quot;/&gt;&lt;wsp:rsid wsp:val=&quot;00C43AE1&quot;/&gt;&lt;wsp:rsid wsp:val=&quot;00C4461D&quot;/&gt;&lt;wsp:rsid wsp:val=&quot;00C449EB&quot;/&gt;&lt;wsp:rsid wsp:val=&quot;00C44B2C&quot;/&gt;&lt;wsp:rsid wsp:val=&quot;00C44E68&quot;/&gt;&lt;wsp:rsid wsp:val=&quot;00C45CCA&quot;/&gt;&lt;wsp:rsid wsp:val=&quot;00C46676&quot;/&gt;&lt;wsp:rsid wsp:val=&quot;00C46A5E&quot;/&gt;&lt;wsp:rsid wsp:val=&quot;00C47055&quot;/&gt;&lt;wsp:rsid wsp:val=&quot;00C470C6&quot;/&gt;&lt;wsp:rsid wsp:val=&quot;00C473D4&quot;/&gt;&lt;wsp:rsid wsp:val=&quot;00C502F2&quot;/&gt;&lt;wsp:rsid wsp:val=&quot;00C5081F&quot;/&gt;&lt;wsp:rsid wsp:val=&quot;00C50904&quot;/&gt;&lt;wsp:rsid wsp:val=&quot;00C50FE9&quot;/&gt;&lt;wsp:rsid wsp:val=&quot;00C52309&quot;/&gt;&lt;wsp:rsid wsp:val=&quot;00C52711&quot;/&gt;&lt;wsp:rsid wsp:val=&quot;00C52D2E&quot;/&gt;&lt;wsp:rsid wsp:val=&quot;00C53285&quot;/&gt;&lt;wsp:rsid wsp:val=&quot;00C532D3&quot;/&gt;&lt;wsp:rsid wsp:val=&quot;00C5345E&quot;/&gt;&lt;wsp:rsid wsp:val=&quot;00C53732&quot;/&gt;&lt;wsp:rsid wsp:val=&quot;00C537B7&quot;/&gt;&lt;wsp:rsid wsp:val=&quot;00C53C4D&quot;/&gt;&lt;wsp:rsid wsp:val=&quot;00C53F2E&quot;/&gt;&lt;wsp:rsid wsp:val=&quot;00C53FD8&quot;/&gt;&lt;wsp:rsid wsp:val=&quot;00C543D9&quot;/&gt;&lt;wsp:rsid wsp:val=&quot;00C545BA&quot;/&gt;&lt;wsp:rsid wsp:val=&quot;00C54680&quot;/&gt;&lt;wsp:rsid wsp:val=&quot;00C54EDD&quot;/&gt;&lt;wsp:rsid wsp:val=&quot;00C550DB&quot;/&gt;&lt;wsp:rsid wsp:val=&quot;00C551A6&quot;/&gt;&lt;wsp:rsid wsp:val=&quot;00C5536F&quot;/&gt;&lt;wsp:rsid wsp:val=&quot;00C554B2&quot;/&gt;&lt;wsp:rsid wsp:val=&quot;00C55B46&quot;/&gt;&lt;wsp:rsid wsp:val=&quot;00C56516&quot;/&gt;&lt;wsp:rsid wsp:val=&quot;00C567C6&quot;/&gt;&lt;wsp:rsid wsp:val=&quot;00C5688A&quot;/&gt;&lt;wsp:rsid wsp:val=&quot;00C568B1&quot;/&gt;&lt;wsp:rsid wsp:val=&quot;00C56F83&quot;/&gt;&lt;wsp:rsid wsp:val=&quot;00C575E1&quot;/&gt;&lt;wsp:rsid wsp:val=&quot;00C5761B&quot;/&gt;&lt;wsp:rsid wsp:val=&quot;00C5767A&quot;/&gt;&lt;wsp:rsid wsp:val=&quot;00C576F9&quot;/&gt;&lt;wsp:rsid wsp:val=&quot;00C57749&quot;/&gt;&lt;wsp:rsid wsp:val=&quot;00C57851&quot;/&gt;&lt;wsp:rsid wsp:val=&quot;00C5785B&quot;/&gt;&lt;wsp:rsid wsp:val=&quot;00C57B13&quot;/&gt;&lt;wsp:rsid wsp:val=&quot;00C57BDA&quot;/&gt;&lt;wsp:rsid wsp:val=&quot;00C57D5B&quot;/&gt;&lt;wsp:rsid wsp:val=&quot;00C57F7B&quot;/&gt;&lt;wsp:rsid wsp:val=&quot;00C606D6&quot;/&gt;&lt;wsp:rsid wsp:val=&quot;00C60AC9&quot;/&gt;&lt;wsp:rsid wsp:val=&quot;00C60BC0&quot;/&gt;&lt;wsp:rsid wsp:val=&quot;00C60F96&quot;/&gt;&lt;wsp:rsid wsp:val=&quot;00C61068&quot;/&gt;&lt;wsp:rsid wsp:val=&quot;00C61299&quot;/&gt;&lt;wsp:rsid wsp:val=&quot;00C61342&quot;/&gt;&lt;wsp:rsid wsp:val=&quot;00C6150E&quot;/&gt;&lt;wsp:rsid wsp:val=&quot;00C618A9&quot;/&gt;&lt;wsp:rsid wsp:val=&quot;00C618CD&quot;/&gt;&lt;wsp:rsid wsp:val=&quot;00C61AED&quot;/&gt;&lt;wsp:rsid wsp:val=&quot;00C61B05&quot;/&gt;&lt;wsp:rsid wsp:val=&quot;00C61C23&quot;/&gt;&lt;wsp:rsid wsp:val=&quot;00C625EC&quot;/&gt;&lt;wsp:rsid wsp:val=&quot;00C62E42&quot;/&gt;&lt;wsp:rsid wsp:val=&quot;00C62F74&quot;/&gt;&lt;wsp:rsid wsp:val=&quot;00C62F8B&quot;/&gt;&lt;wsp:rsid wsp:val=&quot;00C63281&quot;/&gt;&lt;wsp:rsid wsp:val=&quot;00C63448&quot;/&gt;&lt;wsp:rsid wsp:val=&quot;00C6363E&quot;/&gt;&lt;wsp:rsid wsp:val=&quot;00C63D1C&quot;/&gt;&lt;wsp:rsid wsp:val=&quot;00C6437F&quot;/&gt;&lt;wsp:rsid wsp:val=&quot;00C645E4&quot;/&gt;&lt;wsp:rsid wsp:val=&quot;00C64A11&quot;/&gt;&lt;wsp:rsid wsp:val=&quot;00C64ABA&quot;/&gt;&lt;wsp:rsid wsp:val=&quot;00C64B88&quot;/&gt;&lt;wsp:rsid wsp:val=&quot;00C64C46&quot;/&gt;&lt;wsp:rsid wsp:val=&quot;00C65872&quot;/&gt;&lt;wsp:rsid wsp:val=&quot;00C668F8&quot;/&gt;&lt;wsp:rsid wsp:val=&quot;00C66A6E&quot;/&gt;&lt;wsp:rsid wsp:val=&quot;00C66D96&quot;/&gt;&lt;wsp:rsid wsp:val=&quot;00C66F78&quot;/&gt;&lt;wsp:rsid wsp:val=&quot;00C66FA8&quot;/&gt;&lt;wsp:rsid wsp:val=&quot;00C7137D&quot;/&gt;&lt;wsp:rsid wsp:val=&quot;00C717DB&quot;/&gt;&lt;wsp:rsid wsp:val=&quot;00C71F59&quot;/&gt;&lt;wsp:rsid wsp:val=&quot;00C72570&quot;/&gt;&lt;wsp:rsid wsp:val=&quot;00C725EE&quot;/&gt;&lt;wsp:rsid wsp:val=&quot;00C72664&quot;/&gt;&lt;wsp:rsid wsp:val=&quot;00C72817&quot;/&gt;&lt;wsp:rsid wsp:val=&quot;00C72BC3&quot;/&gt;&lt;wsp:rsid wsp:val=&quot;00C73842&quot;/&gt;&lt;wsp:rsid wsp:val=&quot;00C740AC&quot;/&gt;&lt;wsp:rsid wsp:val=&quot;00C74129&quot;/&gt;&lt;wsp:rsid wsp:val=&quot;00C746E7&quot;/&gt;&lt;wsp:rsid wsp:val=&quot;00C7480E&quot;/&gt;&lt;wsp:rsid wsp:val=&quot;00C74A85&quot;/&gt;&lt;wsp:rsid wsp:val=&quot;00C74F88&quot;/&gt;&lt;wsp:rsid wsp:val=&quot;00C75502&quot;/&gt;&lt;wsp:rsid wsp:val=&quot;00C7580C&quot;/&gt;&lt;wsp:rsid wsp:val=&quot;00C75A4C&quot;/&gt;&lt;wsp:rsid wsp:val=&quot;00C76492&quot;/&gt;&lt;wsp:rsid wsp:val=&quot;00C764B2&quot;/&gt;&lt;wsp:rsid wsp:val=&quot;00C769F2&quot;/&gt;&lt;wsp:rsid wsp:val=&quot;00C76EDE&quot;/&gt;&lt;wsp:rsid wsp:val=&quot;00C771DD&quot;/&gt;&lt;wsp:rsid wsp:val=&quot;00C77671&quot;/&gt;&lt;wsp:rsid wsp:val=&quot;00C77F5C&quot;/&gt;&lt;wsp:rsid wsp:val=&quot;00C800F2&quot;/&gt;&lt;wsp:rsid wsp:val=&quot;00C8034F&quot;/&gt;&lt;wsp:rsid wsp:val=&quot;00C80A04&quot;/&gt;&lt;wsp:rsid wsp:val=&quot;00C812AF&quot;/&gt;&lt;wsp:rsid wsp:val=&quot;00C81486&quot;/&gt;&lt;wsp:rsid wsp:val=&quot;00C81CB5&quot;/&gt;&lt;wsp:rsid wsp:val=&quot;00C8243F&quot;/&gt;&lt;wsp:rsid wsp:val=&quot;00C83138&quot;/&gt;&lt;wsp:rsid wsp:val=&quot;00C8379F&quot;/&gt;&lt;wsp:rsid wsp:val=&quot;00C83A43&quot;/&gt;&lt;wsp:rsid wsp:val=&quot;00C83F90&quot;/&gt;&lt;wsp:rsid wsp:val=&quot;00C84259&quot;/&gt;&lt;wsp:rsid wsp:val=&quot;00C843F6&quot;/&gt;&lt;wsp:rsid wsp:val=&quot;00C84AEA&quot;/&gt;&lt;wsp:rsid wsp:val=&quot;00C84C16&quot;/&gt;&lt;wsp:rsid wsp:val=&quot;00C84D06&quot;/&gt;&lt;wsp:rsid wsp:val=&quot;00C84FD0&quot;/&gt;&lt;wsp:rsid wsp:val=&quot;00C85479&quot;/&gt;&lt;wsp:rsid wsp:val=&quot;00C859EE&quot;/&gt;&lt;wsp:rsid wsp:val=&quot;00C85A54&quot;/&gt;&lt;wsp:rsid wsp:val=&quot;00C85C60&quot;/&gt;&lt;wsp:rsid wsp:val=&quot;00C85D44&quot;/&gt;&lt;wsp:rsid wsp:val=&quot;00C85E37&quot;/&gt;&lt;wsp:rsid wsp:val=&quot;00C8606D&quot;/&gt;&lt;wsp:rsid wsp:val=&quot;00C863E9&quot;/&gt;&lt;wsp:rsid wsp:val=&quot;00C86ECA&quot;/&gt;&lt;wsp:rsid wsp:val=&quot;00C8760A&quot;/&gt;&lt;wsp:rsid wsp:val=&quot;00C87C14&quot;/&gt;&lt;wsp:rsid wsp:val=&quot;00C87CFF&quot;/&gt;&lt;wsp:rsid wsp:val=&quot;00C87E67&quot;/&gt;&lt;wsp:rsid wsp:val=&quot;00C87EBD&quot;/&gt;&lt;wsp:rsid wsp:val=&quot;00C907EB&quot;/&gt;&lt;wsp:rsid wsp:val=&quot;00C908EF&quot;/&gt;&lt;wsp:rsid wsp:val=&quot;00C90B9F&quot;/&gt;&lt;wsp:rsid wsp:val=&quot;00C9110A&quot;/&gt;&lt;wsp:rsid wsp:val=&quot;00C91415&quot;/&gt;&lt;wsp:rsid wsp:val=&quot;00C917E5&quot;/&gt;&lt;wsp:rsid wsp:val=&quot;00C91F37&quot;/&gt;&lt;wsp:rsid wsp:val=&quot;00C91F8B&quot;/&gt;&lt;wsp:rsid wsp:val=&quot;00C92241&quot;/&gt;&lt;wsp:rsid wsp:val=&quot;00C92A6B&quot;/&gt;&lt;wsp:rsid wsp:val=&quot;00C92B85&quot;/&gt;&lt;wsp:rsid wsp:val=&quot;00C92F53&quot;/&gt;&lt;wsp:rsid wsp:val=&quot;00C931FE&quot;/&gt;&lt;wsp:rsid wsp:val=&quot;00C93238&quot;/&gt;&lt;wsp:rsid wsp:val=&quot;00C933B8&quot;/&gt;&lt;wsp:rsid wsp:val=&quot;00C933D2&quot;/&gt;&lt;wsp:rsid wsp:val=&quot;00C943B9&quot;/&gt;&lt;wsp:rsid wsp:val=&quot;00C94D96&quot;/&gt;&lt;wsp:rsid wsp:val=&quot;00C9509A&quot;/&gt;&lt;wsp:rsid wsp:val=&quot;00C955E3&quot;/&gt;&lt;wsp:rsid wsp:val=&quot;00C96835&quot;/&gt;&lt;wsp:rsid wsp:val=&quot;00C96A9B&quot;/&gt;&lt;wsp:rsid wsp:val=&quot;00C96F59&quot;/&gt;&lt;wsp:rsid wsp:val=&quot;00C97485&quot;/&gt;&lt;wsp:rsid wsp:val=&quot;00C975A8&quot;/&gt;&lt;wsp:rsid wsp:val=&quot;00C97AF5&quot;/&gt;&lt;wsp:rsid wsp:val=&quot;00CA001C&quot;/&gt;&lt;wsp:rsid wsp:val=&quot;00CA01BC&quot;/&gt;&lt;wsp:rsid wsp:val=&quot;00CA0ABE&quot;/&gt;&lt;wsp:rsid wsp:val=&quot;00CA0EE9&quot;/&gt;&lt;wsp:rsid wsp:val=&quot;00CA1535&quot;/&gt;&lt;wsp:rsid wsp:val=&quot;00CA21F9&quot;/&gt;&lt;wsp:rsid wsp:val=&quot;00CA2376&quot;/&gt;&lt;wsp:rsid wsp:val=&quot;00CA317C&quot;/&gt;&lt;wsp:rsid wsp:val=&quot;00CA39B2&quot;/&gt;&lt;wsp:rsid wsp:val=&quot;00CA3AAF&quot;/&gt;&lt;wsp:rsid wsp:val=&quot;00CA3E82&quot;/&gt;&lt;wsp:rsid wsp:val=&quot;00CA412A&quot;/&gt;&lt;wsp:rsid wsp:val=&quot;00CA430A&quot;/&gt;&lt;wsp:rsid wsp:val=&quot;00CA45A0&quot;/&gt;&lt;wsp:rsid wsp:val=&quot;00CA4716&quot;/&gt;&lt;wsp:rsid wsp:val=&quot;00CA4AED&quot;/&gt;&lt;wsp:rsid wsp:val=&quot;00CA502F&quot;/&gt;&lt;wsp:rsid wsp:val=&quot;00CA5083&quot;/&gt;&lt;wsp:rsid wsp:val=&quot;00CA5326&quot;/&gt;&lt;wsp:rsid wsp:val=&quot;00CA5463&quot;/&gt;&lt;wsp:rsid wsp:val=&quot;00CA5694&quot;/&gt;&lt;wsp:rsid wsp:val=&quot;00CA5F4B&quot;/&gt;&lt;wsp:rsid wsp:val=&quot;00CA6F3B&quot;/&gt;&lt;wsp:rsid wsp:val=&quot;00CA7657&quot;/&gt;&lt;wsp:rsid wsp:val=&quot;00CA7FDD&quot;/&gt;&lt;wsp:rsid wsp:val=&quot;00CB021B&quot;/&gt;&lt;wsp:rsid wsp:val=&quot;00CB023E&quot;/&gt;&lt;wsp:rsid wsp:val=&quot;00CB05E8&quot;/&gt;&lt;wsp:rsid wsp:val=&quot;00CB0C4D&quot;/&gt;&lt;wsp:rsid wsp:val=&quot;00CB0CEE&quot;/&gt;&lt;wsp:rsid wsp:val=&quot;00CB0DF0&quot;/&gt;&lt;wsp:rsid wsp:val=&quot;00CB11E0&quot;/&gt;&lt;wsp:rsid wsp:val=&quot;00CB13A3&quot;/&gt;&lt;wsp:rsid wsp:val=&quot;00CB13EA&quot;/&gt;&lt;wsp:rsid wsp:val=&quot;00CB1490&quot;/&gt;&lt;wsp:rsid wsp:val=&quot;00CB1591&quot;/&gt;&lt;wsp:rsid wsp:val=&quot;00CB1924&quot;/&gt;&lt;wsp:rsid wsp:val=&quot;00CB1DD2&quot;/&gt;&lt;wsp:rsid wsp:val=&quot;00CB2915&quot;/&gt;&lt;wsp:rsid wsp:val=&quot;00CB2E41&quot;/&gt;&lt;wsp:rsid wsp:val=&quot;00CB2F87&quot;/&gt;&lt;wsp:rsid wsp:val=&quot;00CB3523&quot;/&gt;&lt;wsp:rsid wsp:val=&quot;00CB3D78&quot;/&gt;&lt;wsp:rsid wsp:val=&quot;00CB4541&quot;/&gt;&lt;wsp:rsid wsp:val=&quot;00CB4ABE&quot;/&gt;&lt;wsp:rsid wsp:val=&quot;00CB4E9E&quot;/&gt;&lt;wsp:rsid wsp:val=&quot;00CB5FAA&quot;/&gt;&lt;wsp:rsid wsp:val=&quot;00CB607E&quot;/&gt;&lt;wsp:rsid wsp:val=&quot;00CB6112&quot;/&gt;&lt;wsp:rsid wsp:val=&quot;00CB65FF&quot;/&gt;&lt;wsp:rsid wsp:val=&quot;00CB68DF&quot;/&gt;&lt;wsp:rsid wsp:val=&quot;00CB70A6&quot;/&gt;&lt;wsp:rsid wsp:val=&quot;00CB7214&quot;/&gt;&lt;wsp:rsid wsp:val=&quot;00CB7577&quot;/&gt;&lt;wsp:rsid wsp:val=&quot;00CB7914&quot;/&gt;&lt;wsp:rsid wsp:val=&quot;00CB7EAC&quot;/&gt;&lt;wsp:rsid wsp:val=&quot;00CC0607&quot;/&gt;&lt;wsp:rsid wsp:val=&quot;00CC0DEB&quot;/&gt;&lt;wsp:rsid wsp:val=&quot;00CC1308&quot;/&gt;&lt;wsp:rsid wsp:val=&quot;00CC1425&quot;/&gt;&lt;wsp:rsid wsp:val=&quot;00CC162D&quot;/&gt;&lt;wsp:rsid wsp:val=&quot;00CC1750&quot;/&gt;&lt;wsp:rsid wsp:val=&quot;00CC1B59&quot;/&gt;&lt;wsp:rsid wsp:val=&quot;00CC1B6C&quot;/&gt;&lt;wsp:rsid wsp:val=&quot;00CC1BB0&quot;/&gt;&lt;wsp:rsid wsp:val=&quot;00CC1D33&quot;/&gt;&lt;wsp:rsid wsp:val=&quot;00CC259F&quot;/&gt;&lt;wsp:rsid wsp:val=&quot;00CC2AB0&quot;/&gt;&lt;wsp:rsid wsp:val=&quot;00CC3AD3&quot;/&gt;&lt;wsp:rsid wsp:val=&quot;00CC3D3F&quot;/&gt;&lt;wsp:rsid wsp:val=&quot;00CC42C4&quot;/&gt;&lt;wsp:rsid wsp:val=&quot;00CC4951&quot;/&gt;&lt;wsp:rsid wsp:val=&quot;00CC5005&quot;/&gt;&lt;wsp:rsid wsp:val=&quot;00CC51C0&quot;/&gt;&lt;wsp:rsid wsp:val=&quot;00CC5356&quot;/&gt;&lt;wsp:rsid wsp:val=&quot;00CC630F&quot;/&gt;&lt;wsp:rsid wsp:val=&quot;00CC6480&quot;/&gt;&lt;wsp:rsid wsp:val=&quot;00CC69D2&quot;/&gt;&lt;wsp:rsid wsp:val=&quot;00CC7081&quot;/&gt;&lt;wsp:rsid wsp:val=&quot;00CC70C9&quot;/&gt;&lt;wsp:rsid wsp:val=&quot;00CC757A&quot;/&gt;&lt;wsp:rsid wsp:val=&quot;00CC7F0A&quot;/&gt;&lt;wsp:rsid wsp:val=&quot;00CD04DC&quot;/&gt;&lt;wsp:rsid wsp:val=&quot;00CD0654&quot;/&gt;&lt;wsp:rsid wsp:val=&quot;00CD0DBD&quot;/&gt;&lt;wsp:rsid wsp:val=&quot;00CD126F&quot;/&gt;&lt;wsp:rsid wsp:val=&quot;00CD13A9&quot;/&gt;&lt;wsp:rsid wsp:val=&quot;00CD1C5C&quot;/&gt;&lt;wsp:rsid wsp:val=&quot;00CD1D38&quot;/&gt;&lt;wsp:rsid wsp:val=&quot;00CD1DD8&quot;/&gt;&lt;wsp:rsid wsp:val=&quot;00CD2737&quot;/&gt;&lt;wsp:rsid wsp:val=&quot;00CD2CBE&quot;/&gt;&lt;wsp:rsid wsp:val=&quot;00CD3100&quot;/&gt;&lt;wsp:rsid wsp:val=&quot;00CD33EE&quot;/&gt;&lt;wsp:rsid wsp:val=&quot;00CD352F&quot;/&gt;&lt;wsp:rsid wsp:val=&quot;00CD35C6&quot;/&gt;&lt;wsp:rsid wsp:val=&quot;00CD3656&quot;/&gt;&lt;wsp:rsid wsp:val=&quot;00CD39AB&quot;/&gt;&lt;wsp:rsid wsp:val=&quot;00CD4624&quot;/&gt;&lt;wsp:rsid wsp:val=&quot;00CD46C0&quot;/&gt;&lt;wsp:rsid wsp:val=&quot;00CD4C1E&quot;/&gt;&lt;wsp:rsid wsp:val=&quot;00CD56E5&quot;/&gt;&lt;wsp:rsid wsp:val=&quot;00CD59B4&quot;/&gt;&lt;wsp:rsid wsp:val=&quot;00CD5AEC&quot;/&gt;&lt;wsp:rsid wsp:val=&quot;00CD5CE9&quot;/&gt;&lt;wsp:rsid wsp:val=&quot;00CD6421&quot;/&gt;&lt;wsp:rsid wsp:val=&quot;00CD65F7&quot;/&gt;&lt;wsp:rsid wsp:val=&quot;00CD664C&quot;/&gt;&lt;wsp:rsid wsp:val=&quot;00CD6688&quot;/&gt;&lt;wsp:rsid wsp:val=&quot;00CD6BB6&quot;/&gt;&lt;wsp:rsid wsp:val=&quot;00CD6C1B&quot;/&gt;&lt;wsp:rsid wsp:val=&quot;00CD75CB&quot;/&gt;&lt;wsp:rsid wsp:val=&quot;00CD79D2&quot;/&gt;&lt;wsp:rsid wsp:val=&quot;00CE0380&quot;/&gt;&lt;wsp:rsid wsp:val=&quot;00CE0870&quot;/&gt;&lt;wsp:rsid wsp:val=&quot;00CE0F5B&quot;/&gt;&lt;wsp:rsid wsp:val=&quot;00CE0FB5&quot;/&gt;&lt;wsp:rsid wsp:val=&quot;00CE1246&quot;/&gt;&lt;wsp:rsid wsp:val=&quot;00CE1704&quot;/&gt;&lt;wsp:rsid wsp:val=&quot;00CE250C&quot;/&gt;&lt;wsp:rsid wsp:val=&quot;00CE2717&quot;/&gt;&lt;wsp:rsid wsp:val=&quot;00CE2BD4&quot;/&gt;&lt;wsp:rsid wsp:val=&quot;00CE2DFC&quot;/&gt;&lt;wsp:rsid wsp:val=&quot;00CE3154&quot;/&gt;&lt;wsp:rsid wsp:val=&quot;00CE3359&quot;/&gt;&lt;wsp:rsid wsp:val=&quot;00CE4038&quot;/&gt;&lt;wsp:rsid wsp:val=&quot;00CE4AC6&quot;/&gt;&lt;wsp:rsid wsp:val=&quot;00CE4B67&quot;/&gt;&lt;wsp:rsid wsp:val=&quot;00CE505E&quot;/&gt;&lt;wsp:rsid wsp:val=&quot;00CE5625&quot;/&gt;&lt;wsp:rsid wsp:val=&quot;00CE5665&quot;/&gt;&lt;wsp:rsid wsp:val=&quot;00CE5B25&quot;/&gt;&lt;wsp:rsid wsp:val=&quot;00CE5E82&quot;/&gt;&lt;wsp:rsid wsp:val=&quot;00CE67DA&quot;/&gt;&lt;wsp:rsid wsp:val=&quot;00CE6A2D&quot;/&gt;&lt;wsp:rsid wsp:val=&quot;00CE73F7&quot;/&gt;&lt;wsp:rsid wsp:val=&quot;00CE7542&quot;/&gt;&lt;wsp:rsid wsp:val=&quot;00CE793E&quot;/&gt;&lt;wsp:rsid wsp:val=&quot;00CE7B06&quot;/&gt;&lt;wsp:rsid wsp:val=&quot;00CE7E3B&quot;/&gt;&lt;wsp:rsid wsp:val=&quot;00CE7F90&quot;/&gt;&lt;wsp:rsid wsp:val=&quot;00CF02EC&quot;/&gt;&lt;wsp:rsid wsp:val=&quot;00CF09F4&quot;/&gt;&lt;wsp:rsid wsp:val=&quot;00CF0CCA&quot;/&gt;&lt;wsp:rsid wsp:val=&quot;00CF0FE2&quot;/&gt;&lt;wsp:rsid wsp:val=&quot;00CF114C&quot;/&gt;&lt;wsp:rsid wsp:val=&quot;00CF143A&quot;/&gt;&lt;wsp:rsid wsp:val=&quot;00CF1F89&quot;/&gt;&lt;wsp:rsid wsp:val=&quot;00CF229C&quot;/&gt;&lt;wsp:rsid wsp:val=&quot;00CF2609&quot;/&gt;&lt;wsp:rsid wsp:val=&quot;00CF2615&quot;/&gt;&lt;wsp:rsid wsp:val=&quot;00CF2651&quot;/&gt;&lt;wsp:rsid wsp:val=&quot;00CF26CE&quot;/&gt;&lt;wsp:rsid wsp:val=&quot;00CF2994&quot;/&gt;&lt;wsp:rsid wsp:val=&quot;00CF3782&quot;/&gt;&lt;wsp:rsid wsp:val=&quot;00CF3C0C&quot;/&gt;&lt;wsp:rsid wsp:val=&quot;00CF441E&quot;/&gt;&lt;wsp:rsid wsp:val=&quot;00CF446C&quot;/&gt;&lt;wsp:rsid wsp:val=&quot;00CF4616&quot;/&gt;&lt;wsp:rsid wsp:val=&quot;00CF484F&quot;/&gt;&lt;wsp:rsid wsp:val=&quot;00CF4B3E&quot;/&gt;&lt;wsp:rsid wsp:val=&quot;00CF4C29&quot;/&gt;&lt;wsp:rsid wsp:val=&quot;00CF5493&quot;/&gt;&lt;wsp:rsid wsp:val=&quot;00CF659D&quot;/&gt;&lt;wsp:rsid wsp:val=&quot;00CF6957&quot;/&gt;&lt;wsp:rsid wsp:val=&quot;00CF7B29&quot;/&gt;&lt;wsp:rsid wsp:val=&quot;00CF7F58&quot;/&gt;&lt;wsp:rsid wsp:val=&quot;00D00110&quot;/&gt;&lt;wsp:rsid wsp:val=&quot;00D003E7&quot;/&gt;&lt;wsp:rsid wsp:val=&quot;00D00496&quot;/&gt;&lt;wsp:rsid wsp:val=&quot;00D008C0&quot;/&gt;&lt;wsp:rsid wsp:val=&quot;00D0182D&quot;/&gt;&lt;wsp:rsid wsp:val=&quot;00D01F7D&quot;/&gt;&lt;wsp:rsid wsp:val=&quot;00D01FC4&quot;/&gt;&lt;wsp:rsid wsp:val=&quot;00D021A2&quot;/&gt;&lt;wsp:rsid wsp:val=&quot;00D02382&quot;/&gt;&lt;wsp:rsid wsp:val=&quot;00D02841&quot;/&gt;&lt;wsp:rsid wsp:val=&quot;00D02D7C&quot;/&gt;&lt;wsp:rsid wsp:val=&quot;00D02F1C&quot;/&gt;&lt;wsp:rsid wsp:val=&quot;00D03115&quot;/&gt;&lt;wsp:rsid wsp:val=&quot;00D03436&quot;/&gt;&lt;wsp:rsid wsp:val=&quot;00D0387E&quot;/&gt;&lt;wsp:rsid wsp:val=&quot;00D03FAC&quot;/&gt;&lt;wsp:rsid wsp:val=&quot;00D03FE8&quot;/&gt;&lt;wsp:rsid wsp:val=&quot;00D04429&quot;/&gt;&lt;wsp:rsid wsp:val=&quot;00D047D0&quot;/&gt;&lt;wsp:rsid wsp:val=&quot;00D04B24&quot;/&gt;&lt;wsp:rsid wsp:val=&quot;00D05080&quot;/&gt;&lt;wsp:rsid wsp:val=&quot;00D054B1&quot;/&gt;&lt;wsp:rsid wsp:val=&quot;00D06174&quot;/&gt;&lt;wsp:rsid wsp:val=&quot;00D063BC&quot;/&gt;&lt;wsp:rsid wsp:val=&quot;00D066C4&quot;/&gt;&lt;wsp:rsid wsp:val=&quot;00D06866&quot;/&gt;&lt;wsp:rsid wsp:val=&quot;00D06C9F&quot;/&gt;&lt;wsp:rsid wsp:val=&quot;00D06E44&quot;/&gt;&lt;wsp:rsid wsp:val=&quot;00D072FB&quot;/&gt;&lt;wsp:rsid wsp:val=&quot;00D074F8&quot;/&gt;&lt;wsp:rsid wsp:val=&quot;00D07581&quot;/&gt;&lt;wsp:rsid wsp:val=&quot;00D07AB2&quot;/&gt;&lt;wsp:rsid wsp:val=&quot;00D07B9F&quot;/&gt;&lt;wsp:rsid wsp:val=&quot;00D106D2&quot;/&gt;&lt;wsp:rsid wsp:val=&quot;00D10B45&quot;/&gt;&lt;wsp:rsid wsp:val=&quot;00D1107C&quot;/&gt;&lt;wsp:rsid wsp:val=&quot;00D1143D&quot;/&gt;&lt;wsp:rsid wsp:val=&quot;00D1152D&quot;/&gt;&lt;wsp:rsid wsp:val=&quot;00D11922&quot;/&gt;&lt;wsp:rsid wsp:val=&quot;00D11A48&quot;/&gt;&lt;wsp:rsid wsp:val=&quot;00D123C5&quot;/&gt;&lt;wsp:rsid wsp:val=&quot;00D12657&quot;/&gt;&lt;wsp:rsid wsp:val=&quot;00D128FF&quot;/&gt;&lt;wsp:rsid wsp:val=&quot;00D12A1F&quot;/&gt;&lt;wsp:rsid wsp:val=&quot;00D12F15&quot;/&gt;&lt;wsp:rsid wsp:val=&quot;00D13E7A&quot;/&gt;&lt;wsp:rsid wsp:val=&quot;00D14279&quot;/&gt;&lt;wsp:rsid wsp:val=&quot;00D148AA&quot;/&gt;&lt;wsp:rsid wsp:val=&quot;00D148FC&quot;/&gt;&lt;wsp:rsid wsp:val=&quot;00D15199&quot;/&gt;&lt;wsp:rsid wsp:val=&quot;00D158AE&quot;/&gt;&lt;wsp:rsid wsp:val=&quot;00D15B02&quot;/&gt;&lt;wsp:rsid wsp:val=&quot;00D15C1B&quot;/&gt;&lt;wsp:rsid wsp:val=&quot;00D15E58&quot;/&gt;&lt;wsp:rsid wsp:val=&quot;00D15E5D&quot;/&gt;&lt;wsp:rsid wsp:val=&quot;00D15F2F&quot;/&gt;&lt;wsp:rsid wsp:val=&quot;00D161AF&quot;/&gt;&lt;wsp:rsid wsp:val=&quot;00D16209&quot;/&gt;&lt;wsp:rsid wsp:val=&quot;00D16359&quot;/&gt;&lt;wsp:rsid wsp:val=&quot;00D16BC8&quot;/&gt;&lt;wsp:rsid wsp:val=&quot;00D16BED&quot;/&gt;&lt;wsp:rsid wsp:val=&quot;00D16FF2&quot;/&gt;&lt;wsp:rsid wsp:val=&quot;00D17154&quot;/&gt;&lt;wsp:rsid wsp:val=&quot;00D1719F&quot;/&gt;&lt;wsp:rsid wsp:val=&quot;00D17240&quot;/&gt;&lt;wsp:rsid wsp:val=&quot;00D1758C&quot;/&gt;&lt;wsp:rsid wsp:val=&quot;00D17B23&quot;/&gt;&lt;wsp:rsid wsp:val=&quot;00D17B74&quot;/&gt;&lt;wsp:rsid wsp:val=&quot;00D200DB&quot;/&gt;&lt;wsp:rsid wsp:val=&quot;00D20202&quot;/&gt;&lt;wsp:rsid wsp:val=&quot;00D20682&quot;/&gt;&lt;wsp:rsid wsp:val=&quot;00D20B37&quot;/&gt;&lt;wsp:rsid wsp:val=&quot;00D20BE8&quot;/&gt;&lt;wsp:rsid wsp:val=&quot;00D21502&quot;/&gt;&lt;wsp:rsid wsp:val=&quot;00D21E04&quot;/&gt;&lt;wsp:rsid wsp:val=&quot;00D21F47&quot;/&gt;&lt;wsp:rsid wsp:val=&quot;00D22114&quot;/&gt;&lt;wsp:rsid wsp:val=&quot;00D227AB&quot;/&gt;&lt;wsp:rsid wsp:val=&quot;00D22885&quot;/&gt;&lt;wsp:rsid wsp:val=&quot;00D22905&quot;/&gt;&lt;wsp:rsid wsp:val=&quot;00D22FCC&quot;/&gt;&lt;wsp:rsid wsp:val=&quot;00D23086&quot;/&gt;&lt;wsp:rsid wsp:val=&quot;00D233FA&quot;/&gt;&lt;wsp:rsid wsp:val=&quot;00D234D4&quot;/&gt;&lt;wsp:rsid wsp:val=&quot;00D24D9E&quot;/&gt;&lt;wsp:rsid wsp:val=&quot;00D255D5&quot;/&gt;&lt;wsp:rsid wsp:val=&quot;00D25710&quot;/&gt;&lt;wsp:rsid wsp:val=&quot;00D25F3C&quot;/&gt;&lt;wsp:rsid wsp:val=&quot;00D26215&quot;/&gt;&lt;wsp:rsid wsp:val=&quot;00D279EB&quot;/&gt;&lt;wsp:rsid wsp:val=&quot;00D27BC8&quot;/&gt;&lt;wsp:rsid wsp:val=&quot;00D30031&quot;/&gt;&lt;wsp:rsid wsp:val=&quot;00D30304&quot;/&gt;&lt;wsp:rsid wsp:val=&quot;00D303E6&quot;/&gt;&lt;wsp:rsid wsp:val=&quot;00D30990&quot;/&gt;&lt;wsp:rsid wsp:val=&quot;00D3107B&quot;/&gt;&lt;wsp:rsid wsp:val=&quot;00D311A8&quot;/&gt;&lt;wsp:rsid wsp:val=&quot;00D314EA&quot;/&gt;&lt;wsp:rsid wsp:val=&quot;00D32050&quot;/&gt;&lt;wsp:rsid wsp:val=&quot;00D3210D&quot;/&gt;&lt;wsp:rsid wsp:val=&quot;00D32D29&quot;/&gt;&lt;wsp:rsid wsp:val=&quot;00D33046&quot;/&gt;&lt;wsp:rsid wsp:val=&quot;00D3344F&quot;/&gt;&lt;wsp:rsid wsp:val=&quot;00D33951&quot;/&gt;&lt;wsp:rsid wsp:val=&quot;00D33992&quot;/&gt;&lt;wsp:rsid wsp:val=&quot;00D3404A&quot;/&gt;&lt;wsp:rsid wsp:val=&quot;00D34B0E&quot;/&gt;&lt;wsp:rsid wsp:val=&quot;00D34D68&quot;/&gt;&lt;wsp:rsid wsp:val=&quot;00D3521C&quot;/&gt;&lt;wsp:rsid wsp:val=&quot;00D357ED&quot;/&gt;&lt;wsp:rsid wsp:val=&quot;00D3593B&quot;/&gt;&lt;wsp:rsid wsp:val=&quot;00D35CE6&quot;/&gt;&lt;wsp:rsid wsp:val=&quot;00D3615D&quot;/&gt;&lt;wsp:rsid wsp:val=&quot;00D36225&quot;/&gt;&lt;wsp:rsid wsp:val=&quot;00D3635F&quot;/&gt;&lt;wsp:rsid wsp:val=&quot;00D363A6&quot;/&gt;&lt;wsp:rsid wsp:val=&quot;00D369CB&quot;/&gt;&lt;wsp:rsid wsp:val=&quot;00D36C20&quot;/&gt;&lt;wsp:rsid wsp:val=&quot;00D3704F&quot;/&gt;&lt;wsp:rsid wsp:val=&quot;00D371FE&quot;/&gt;&lt;wsp:rsid wsp:val=&quot;00D375BC&quot;/&gt;&lt;wsp:rsid wsp:val=&quot;00D37BED&quot;/&gt;&lt;wsp:rsid wsp:val=&quot;00D37FC9&quot;/&gt;&lt;wsp:rsid wsp:val=&quot;00D4027F&quot;/&gt;&lt;wsp:rsid wsp:val=&quot;00D40BAC&quot;/&gt;&lt;wsp:rsid wsp:val=&quot;00D413EF&quot;/&gt;&lt;wsp:rsid wsp:val=&quot;00D4159E&quot;/&gt;&lt;wsp:rsid wsp:val=&quot;00D41860&quot;/&gt;&lt;wsp:rsid wsp:val=&quot;00D41A19&quot;/&gt;&lt;wsp:rsid wsp:val=&quot;00D42598&quot;/&gt;&lt;wsp:rsid wsp:val=&quot;00D42715&quot;/&gt;&lt;wsp:rsid wsp:val=&quot;00D428FC&quot;/&gt;&lt;wsp:rsid wsp:val=&quot;00D42C6F&quot;/&gt;&lt;wsp:rsid wsp:val=&quot;00D43754&quot;/&gt;&lt;wsp:rsid wsp:val=&quot;00D437D7&quot;/&gt;&lt;wsp:rsid wsp:val=&quot;00D43C0E&quot;/&gt;&lt;wsp:rsid wsp:val=&quot;00D44849&quot;/&gt;&lt;wsp:rsid wsp:val=&quot;00D448C0&quot;/&gt;&lt;wsp:rsid wsp:val=&quot;00D44C01&quot;/&gt;&lt;wsp:rsid wsp:val=&quot;00D44FA1&quot;/&gt;&lt;wsp:rsid wsp:val=&quot;00D4506E&quot;/&gt;&lt;wsp:rsid wsp:val=&quot;00D451F5&quot;/&gt;&lt;wsp:rsid wsp:val=&quot;00D4535F&quot;/&gt;&lt;wsp:rsid wsp:val=&quot;00D454A3&quot;/&gt;&lt;wsp:rsid wsp:val=&quot;00D45927&quot;/&gt;&lt;wsp:rsid wsp:val=&quot;00D4599C&quot;/&gt;&lt;wsp:rsid wsp:val=&quot;00D45A96&quot;/&gt;&lt;wsp:rsid wsp:val=&quot;00D462FE&quot;/&gt;&lt;wsp:rsid wsp:val=&quot;00D464AD&quot;/&gt;&lt;wsp:rsid wsp:val=&quot;00D464D7&quot;/&gt;&lt;wsp:rsid wsp:val=&quot;00D4728E&quot;/&gt;&lt;wsp:rsid wsp:val=&quot;00D47407&quot;/&gt;&lt;wsp:rsid wsp:val=&quot;00D50182&quot;/&gt;&lt;wsp:rsid wsp:val=&quot;00D507F8&quot;/&gt;&lt;wsp:rsid wsp:val=&quot;00D5104A&quot;/&gt;&lt;wsp:rsid wsp:val=&quot;00D51380&quot;/&gt;&lt;wsp:rsid wsp:val=&quot;00D514C2&quot;/&gt;&lt;wsp:rsid wsp:val=&quot;00D51D6E&quot;/&gt;&lt;wsp:rsid wsp:val=&quot;00D52177&quot;/&gt;&lt;wsp:rsid wsp:val=&quot;00D52786&quot;/&gt;&lt;wsp:rsid wsp:val=&quot;00D53024&quot;/&gt;&lt;wsp:rsid wsp:val=&quot;00D53085&quot;/&gt;&lt;wsp:rsid wsp:val=&quot;00D531D9&quot;/&gt;&lt;wsp:rsid wsp:val=&quot;00D531DF&quot;/&gt;&lt;wsp:rsid wsp:val=&quot;00D534C8&quot;/&gt;&lt;wsp:rsid wsp:val=&quot;00D541D3&quot;/&gt;&lt;wsp:rsid wsp:val=&quot;00D54608&quot;/&gt;&lt;wsp:rsid wsp:val=&quot;00D54A11&quot;/&gt;&lt;wsp:rsid wsp:val=&quot;00D54AD8&quot;/&gt;&lt;wsp:rsid wsp:val=&quot;00D54D48&quot;/&gt;&lt;wsp:rsid wsp:val=&quot;00D55229&quot;/&gt;&lt;wsp:rsid wsp:val=&quot;00D553F4&quot;/&gt;&lt;wsp:rsid wsp:val=&quot;00D55436&quot;/&gt;&lt;wsp:rsid wsp:val=&quot;00D55B87&quot;/&gt;&lt;wsp:rsid wsp:val=&quot;00D55D6A&quot;/&gt;&lt;wsp:rsid wsp:val=&quot;00D55E18&quot;/&gt;&lt;wsp:rsid wsp:val=&quot;00D55F89&quot;/&gt;&lt;wsp:rsid wsp:val=&quot;00D5684D&quot;/&gt;&lt;wsp:rsid wsp:val=&quot;00D568FF&quot;/&gt;&lt;wsp:rsid wsp:val=&quot;00D56D9C&quot;/&gt;&lt;wsp:rsid wsp:val=&quot;00D56DDD&quot;/&gt;&lt;wsp:rsid wsp:val=&quot;00D571CD&quot;/&gt;&lt;wsp:rsid wsp:val=&quot;00D57C96&quot;/&gt;&lt;wsp:rsid wsp:val=&quot;00D6000D&quot;/&gt;&lt;wsp:rsid wsp:val=&quot;00D609E3&quot;/&gt;&lt;wsp:rsid wsp:val=&quot;00D60A22&quot;/&gt;&lt;wsp:rsid wsp:val=&quot;00D60BCF&quot;/&gt;&lt;wsp:rsid wsp:val=&quot;00D60CCB&quot;/&gt;&lt;wsp:rsid wsp:val=&quot;00D60F9F&quot;/&gt;&lt;wsp:rsid wsp:val=&quot;00D610ED&quot;/&gt;&lt;wsp:rsid wsp:val=&quot;00D61683&quot;/&gt;&lt;wsp:rsid wsp:val=&quot;00D61749&quot;/&gt;&lt;wsp:rsid wsp:val=&quot;00D6197E&quot;/&gt;&lt;wsp:rsid wsp:val=&quot;00D61AA6&quot;/&gt;&lt;wsp:rsid wsp:val=&quot;00D61FB1&quot;/&gt;&lt;wsp:rsid wsp:val=&quot;00D621ED&quot;/&gt;&lt;wsp:rsid wsp:val=&quot;00D625CC&quot;/&gt;&lt;wsp:rsid wsp:val=&quot;00D62749&quot;/&gt;&lt;wsp:rsid wsp:val=&quot;00D62919&quot;/&gt;&lt;wsp:rsid wsp:val=&quot;00D62F1A&quot;/&gt;&lt;wsp:rsid wsp:val=&quot;00D63214&quot;/&gt;&lt;wsp:rsid wsp:val=&quot;00D638C9&quot;/&gt;&lt;wsp:rsid wsp:val=&quot;00D63DFD&quot;/&gt;&lt;wsp:rsid wsp:val=&quot;00D6460F&quot;/&gt;&lt;wsp:rsid wsp:val=&quot;00D64670&quot;/&gt;&lt;wsp:rsid wsp:val=&quot;00D64AD9&quot;/&gt;&lt;wsp:rsid wsp:val=&quot;00D64ECC&quot;/&gt;&lt;wsp:rsid wsp:val=&quot;00D652B4&quot;/&gt;&lt;wsp:rsid wsp:val=&quot;00D6560F&quot;/&gt;&lt;wsp:rsid wsp:val=&quot;00D65C82&quot;/&gt;&lt;wsp:rsid wsp:val=&quot;00D65F3F&quot;/&gt;&lt;wsp:rsid wsp:val=&quot;00D66048&quot;/&gt;&lt;wsp:rsid wsp:val=&quot;00D6631E&quot;/&gt;&lt;wsp:rsid wsp:val=&quot;00D66A4C&quot;/&gt;&lt;wsp:rsid wsp:val=&quot;00D66E12&quot;/&gt;&lt;wsp:rsid wsp:val=&quot;00D6717B&quot;/&gt;&lt;wsp:rsid wsp:val=&quot;00D671AC&quot;/&gt;&lt;wsp:rsid wsp:val=&quot;00D6768A&quot;/&gt;&lt;wsp:rsid wsp:val=&quot;00D67BC4&quot;/&gt;&lt;wsp:rsid wsp:val=&quot;00D67DA6&quot;/&gt;&lt;wsp:rsid wsp:val=&quot;00D70BE1&quot;/&gt;&lt;wsp:rsid wsp:val=&quot;00D70F6B&quot;/&gt;&lt;wsp:rsid wsp:val=&quot;00D717D2&quot;/&gt;&lt;wsp:rsid wsp:val=&quot;00D71814&quot;/&gt;&lt;wsp:rsid wsp:val=&quot;00D71B07&quot;/&gt;&lt;wsp:rsid wsp:val=&quot;00D720E8&quot;/&gt;&lt;wsp:rsid wsp:val=&quot;00D72159&quot;/&gt;&lt;wsp:rsid wsp:val=&quot;00D7266A&quot;/&gt;&lt;wsp:rsid wsp:val=&quot;00D72711&quot;/&gt;&lt;wsp:rsid wsp:val=&quot;00D72917&quot;/&gt;&lt;wsp:rsid wsp:val=&quot;00D72DF4&quot;/&gt;&lt;wsp:rsid wsp:val=&quot;00D72EA6&quot;/&gt;&lt;wsp:rsid wsp:val=&quot;00D72F77&quot;/&gt;&lt;wsp:rsid wsp:val=&quot;00D73036&quot;/&gt;&lt;wsp:rsid wsp:val=&quot;00D731D9&quot;/&gt;&lt;wsp:rsid wsp:val=&quot;00D7320F&quot;/&gt;&lt;wsp:rsid wsp:val=&quot;00D73858&quot;/&gt;&lt;wsp:rsid wsp:val=&quot;00D73938&quot;/&gt;&lt;wsp:rsid wsp:val=&quot;00D739DA&quot;/&gt;&lt;wsp:rsid wsp:val=&quot;00D73ED7&quot;/&gt;&lt;wsp:rsid wsp:val=&quot;00D740FD&quot;/&gt;&lt;wsp:rsid wsp:val=&quot;00D74D28&quot;/&gt;&lt;wsp:rsid wsp:val=&quot;00D75928&quot;/&gt;&lt;wsp:rsid wsp:val=&quot;00D75A84&quot;/&gt;&lt;wsp:rsid wsp:val=&quot;00D75B33&quot;/&gt;&lt;wsp:rsid wsp:val=&quot;00D75E24&quot;/&gt;&lt;wsp:rsid wsp:val=&quot;00D761E9&quot;/&gt;&lt;wsp:rsid wsp:val=&quot;00D76263&quot;/&gt;&lt;wsp:rsid wsp:val=&quot;00D763CE&quot;/&gt;&lt;wsp:rsid wsp:val=&quot;00D76C02&quot;/&gt;&lt;wsp:rsid wsp:val=&quot;00D77C2F&quot;/&gt;&lt;wsp:rsid wsp:val=&quot;00D77C5E&quot;/&gt;&lt;wsp:rsid wsp:val=&quot;00D8008F&quot;/&gt;&lt;wsp:rsid wsp:val=&quot;00D80115&quot;/&gt;&lt;wsp:rsid wsp:val=&quot;00D806C6&quot;/&gt;&lt;wsp:rsid wsp:val=&quot;00D80EF1&quot;/&gt;&lt;wsp:rsid wsp:val=&quot;00D816FD&quot;/&gt;&lt;wsp:rsid wsp:val=&quot;00D81A80&quot;/&gt;&lt;wsp:rsid wsp:val=&quot;00D81AF9&quot;/&gt;&lt;wsp:rsid wsp:val=&quot;00D82185&quot;/&gt;&lt;wsp:rsid wsp:val=&quot;00D8221F&quot;/&gt;&lt;wsp:rsid wsp:val=&quot;00D827BE&quot;/&gt;&lt;wsp:rsid wsp:val=&quot;00D82BFA&quot;/&gt;&lt;wsp:rsid wsp:val=&quot;00D82CE4&quot;/&gt;&lt;wsp:rsid wsp:val=&quot;00D82DED&quot;/&gt;&lt;wsp:rsid wsp:val=&quot;00D82EA9&quot;/&gt;&lt;wsp:rsid wsp:val=&quot;00D8303D&quot;/&gt;&lt;wsp:rsid wsp:val=&quot;00D83ABE&quot;/&gt;&lt;wsp:rsid wsp:val=&quot;00D84076&quot;/&gt;&lt;wsp:rsid wsp:val=&quot;00D840E7&quot;/&gt;&lt;wsp:rsid wsp:val=&quot;00D84B7C&quot;/&gt;&lt;wsp:rsid wsp:val=&quot;00D84C3D&quot;/&gt;&lt;wsp:rsid wsp:val=&quot;00D857D7&quot;/&gt;&lt;wsp:rsid wsp:val=&quot;00D86B3B&quot;/&gt;&lt;wsp:rsid wsp:val=&quot;00D86BDE&quot;/&gt;&lt;wsp:rsid wsp:val=&quot;00D87322&quot;/&gt;&lt;wsp:rsid wsp:val=&quot;00D87462&quot;/&gt;&lt;wsp:rsid wsp:val=&quot;00D87743&quot;/&gt;&lt;wsp:rsid wsp:val=&quot;00D87AB8&quot;/&gt;&lt;wsp:rsid wsp:val=&quot;00D9049A&quot;/&gt;&lt;wsp:rsid wsp:val=&quot;00D905A0&quot;/&gt;&lt;wsp:rsid wsp:val=&quot;00D909ED&quot;/&gt;&lt;wsp:rsid wsp:val=&quot;00D90C72&quot;/&gt;&lt;wsp:rsid wsp:val=&quot;00D912ED&quot;/&gt;&lt;wsp:rsid wsp:val=&quot;00D9158D&quot;/&gt;&lt;wsp:rsid wsp:val=&quot;00D91CA0&quot;/&gt;&lt;wsp:rsid wsp:val=&quot;00D91F58&quot;/&gt;&lt;wsp:rsid wsp:val=&quot;00D9233A&quot;/&gt;&lt;wsp:rsid wsp:val=&quot;00D92AF2&quot;/&gt;&lt;wsp:rsid wsp:val=&quot;00D92B7F&quot;/&gt;&lt;wsp:rsid wsp:val=&quot;00D93577&quot;/&gt;&lt;wsp:rsid wsp:val=&quot;00D93738&quot;/&gt;&lt;wsp:rsid wsp:val=&quot;00D937A2&quot;/&gt;&lt;wsp:rsid wsp:val=&quot;00D93D73&quot;/&gt;&lt;wsp:rsid wsp:val=&quot;00D93DD9&quot;/&gt;&lt;wsp:rsid wsp:val=&quot;00D93F02&quot;/&gt;&lt;wsp:rsid wsp:val=&quot;00D94020&quot;/&gt;&lt;wsp:rsid wsp:val=&quot;00D9411E&quot;/&gt;&lt;wsp:rsid wsp:val=&quot;00D942FD&quot;/&gt;&lt;wsp:rsid wsp:val=&quot;00D947F6&quot;/&gt;&lt;wsp:rsid wsp:val=&quot;00D94E79&quot;/&gt;&lt;wsp:rsid wsp:val=&quot;00D95526&quot;/&gt;&lt;wsp:rsid wsp:val=&quot;00D960EC&quot;/&gt;&lt;wsp:rsid wsp:val=&quot;00D962CE&quot;/&gt;&lt;wsp:rsid wsp:val=&quot;00D96D8B&quot;/&gt;&lt;wsp:rsid wsp:val=&quot;00D9709A&quot;/&gt;&lt;wsp:rsid wsp:val=&quot;00D97947&quot;/&gt;&lt;wsp:rsid wsp:val=&quot;00DA0465&quot;/&gt;&lt;wsp:rsid wsp:val=&quot;00DA0589&quot;/&gt;&lt;wsp:rsid wsp:val=&quot;00DA08C4&quot;/&gt;&lt;wsp:rsid wsp:val=&quot;00DA0B0B&quot;/&gt;&lt;wsp:rsid wsp:val=&quot;00DA0B9D&quot;/&gt;&lt;wsp:rsid wsp:val=&quot;00DA0D86&quot;/&gt;&lt;wsp:rsid wsp:val=&quot;00DA15BA&quot;/&gt;&lt;wsp:rsid wsp:val=&quot;00DA1B4C&quot;/&gt;&lt;wsp:rsid wsp:val=&quot;00DA21C0&quot;/&gt;&lt;wsp:rsid wsp:val=&quot;00DA2532&quot;/&gt;&lt;wsp:rsid wsp:val=&quot;00DA2A0A&quot;/&gt;&lt;wsp:rsid wsp:val=&quot;00DA2B31&quot;/&gt;&lt;wsp:rsid wsp:val=&quot;00DA2BD2&quot;/&gt;&lt;wsp:rsid wsp:val=&quot;00DA31B0&quot;/&gt;&lt;wsp:rsid wsp:val=&quot;00DA3924&quot;/&gt;&lt;wsp:rsid wsp:val=&quot;00DA3F61&quot;/&gt;&lt;wsp:rsid wsp:val=&quot;00DA4707&quot;/&gt;&lt;wsp:rsid wsp:val=&quot;00DA5406&quot;/&gt;&lt;wsp:rsid wsp:val=&quot;00DA5410&quot;/&gt;&lt;wsp:rsid wsp:val=&quot;00DA5558&quot;/&gt;&lt;wsp:rsid wsp:val=&quot;00DA5AB8&quot;/&gt;&lt;wsp:rsid wsp:val=&quot;00DA6261&quot;/&gt;&lt;wsp:rsid wsp:val=&quot;00DA68B8&quot;/&gt;&lt;wsp:rsid wsp:val=&quot;00DA69EE&quot;/&gt;&lt;wsp:rsid wsp:val=&quot;00DA6AE3&quot;/&gt;&lt;wsp:rsid wsp:val=&quot;00DA6E8E&quot;/&gt;&lt;wsp:rsid wsp:val=&quot;00DA6EAA&quot;/&gt;&lt;wsp:rsid wsp:val=&quot;00DA6F9E&quot;/&gt;&lt;wsp:rsid wsp:val=&quot;00DA7288&quot;/&gt;&lt;wsp:rsid wsp:val=&quot;00DA77BE&quot;/&gt;&lt;wsp:rsid wsp:val=&quot;00DA7CBB&quot;/&gt;&lt;wsp:rsid wsp:val=&quot;00DA7CE8&quot;/&gt;&lt;wsp:rsid wsp:val=&quot;00DA7F4B&quot;/&gt;&lt;wsp:rsid wsp:val=&quot;00DB005C&quot;/&gt;&lt;wsp:rsid wsp:val=&quot;00DB0578&quot;/&gt;&lt;wsp:rsid wsp:val=&quot;00DB060E&quot;/&gt;&lt;wsp:rsid wsp:val=&quot;00DB0832&quot;/&gt;&lt;wsp:rsid wsp:val=&quot;00DB0DEB&quot;/&gt;&lt;wsp:rsid wsp:val=&quot;00DB0FD2&quot;/&gt;&lt;wsp:rsid wsp:val=&quot;00DB1048&quot;/&gt;&lt;wsp:rsid wsp:val=&quot;00DB1668&quot;/&gt;&lt;wsp:rsid wsp:val=&quot;00DB1AE8&quot;/&gt;&lt;wsp:rsid wsp:val=&quot;00DB1CEB&quot;/&gt;&lt;wsp:rsid wsp:val=&quot;00DB1D70&quot;/&gt;&lt;wsp:rsid wsp:val=&quot;00DB2583&quot;/&gt;&lt;wsp:rsid wsp:val=&quot;00DB2BD2&quot;/&gt;&lt;wsp:rsid wsp:val=&quot;00DB30ED&quot;/&gt;&lt;wsp:rsid wsp:val=&quot;00DB3127&quot;/&gt;&lt;wsp:rsid wsp:val=&quot;00DB3438&quot;/&gt;&lt;wsp:rsid wsp:val=&quot;00DB3C41&quot;/&gt;&lt;wsp:rsid wsp:val=&quot;00DB465F&quot;/&gt;&lt;wsp:rsid wsp:val=&quot;00DB6691&quot;/&gt;&lt;wsp:rsid wsp:val=&quot;00DB67AB&quot;/&gt;&lt;wsp:rsid wsp:val=&quot;00DB69B5&quot;/&gt;&lt;wsp:rsid wsp:val=&quot;00DB78F5&quot;/&gt;&lt;wsp:rsid wsp:val=&quot;00DC02B2&quot;/&gt;&lt;wsp:rsid wsp:val=&quot;00DC041C&quot;/&gt;&lt;wsp:rsid wsp:val=&quot;00DC089F&quot;/&gt;&lt;wsp:rsid wsp:val=&quot;00DC0F12&quot;/&gt;&lt;wsp:rsid wsp:val=&quot;00DC11A9&quot;/&gt;&lt;wsp:rsid wsp:val=&quot;00DC14D0&quot;/&gt;&lt;wsp:rsid wsp:val=&quot;00DC1DA6&quot;/&gt;&lt;wsp:rsid wsp:val=&quot;00DC24EC&quot;/&gt;&lt;wsp:rsid wsp:val=&quot;00DC263D&quot;/&gt;&lt;wsp:rsid wsp:val=&quot;00DC39B2&quot;/&gt;&lt;wsp:rsid wsp:val=&quot;00DC4252&quot;/&gt;&lt;wsp:rsid wsp:val=&quot;00DC4316&quot;/&gt;&lt;wsp:rsid wsp:val=&quot;00DC463A&quot;/&gt;&lt;wsp:rsid wsp:val=&quot;00DC47AE&quot;/&gt;&lt;wsp:rsid wsp:val=&quot;00DC4946&quot;/&gt;&lt;wsp:rsid wsp:val=&quot;00DC4EFD&quot;/&gt;&lt;wsp:rsid wsp:val=&quot;00DC59C9&quot;/&gt;&lt;wsp:rsid wsp:val=&quot;00DC6543&quot;/&gt;&lt;wsp:rsid wsp:val=&quot;00DC65B5&quot;/&gt;&lt;wsp:rsid wsp:val=&quot;00DC6941&quot;/&gt;&lt;wsp:rsid wsp:val=&quot;00DC6E5A&quot;/&gt;&lt;wsp:rsid wsp:val=&quot;00DC7885&quot;/&gt;&lt;wsp:rsid wsp:val=&quot;00DC78C4&quot;/&gt;&lt;wsp:rsid wsp:val=&quot;00DC7B6F&quot;/&gt;&lt;wsp:rsid wsp:val=&quot;00DD0246&quot;/&gt;&lt;wsp:rsid wsp:val=&quot;00DD0A70&quot;/&gt;&lt;wsp:rsid wsp:val=&quot;00DD0E58&quot;/&gt;&lt;wsp:rsid wsp:val=&quot;00DD1711&quot;/&gt;&lt;wsp:rsid wsp:val=&quot;00DD18E3&quot;/&gt;&lt;wsp:rsid wsp:val=&quot;00DD21F6&quot;/&gt;&lt;wsp:rsid wsp:val=&quot;00DD237A&quot;/&gt;&lt;wsp:rsid wsp:val=&quot;00DD25EE&quot;/&gt;&lt;wsp:rsid wsp:val=&quot;00DD2628&quot;/&gt;&lt;wsp:rsid wsp:val=&quot;00DD2795&quot;/&gt;&lt;wsp:rsid wsp:val=&quot;00DD2B5A&quot;/&gt;&lt;wsp:rsid wsp:val=&quot;00DD2BE0&quot;/&gt;&lt;wsp:rsid wsp:val=&quot;00DD2ED4&quot;/&gt;&lt;wsp:rsid wsp:val=&quot;00DD3337&quot;/&gt;&lt;wsp:rsid wsp:val=&quot;00DD460B&quot;/&gt;&lt;wsp:rsid wsp:val=&quot;00DD4684&quot;/&gt;&lt;wsp:rsid wsp:val=&quot;00DD493C&quot;/&gt;&lt;wsp:rsid wsp:val=&quot;00DD4A1A&quot;/&gt;&lt;wsp:rsid wsp:val=&quot;00DD4CC6&quot;/&gt;&lt;wsp:rsid wsp:val=&quot;00DD50A5&quot;/&gt;&lt;wsp:rsid wsp:val=&quot;00DD52CD&quot;/&gt;&lt;wsp:rsid wsp:val=&quot;00DD5454&quot;/&gt;&lt;wsp:rsid wsp:val=&quot;00DD58E5&quot;/&gt;&lt;wsp:rsid wsp:val=&quot;00DD5A0D&quot;/&gt;&lt;wsp:rsid wsp:val=&quot;00DD5FA7&quot;/&gt;&lt;wsp:rsid wsp:val=&quot;00DD60FC&quot;/&gt;&lt;wsp:rsid wsp:val=&quot;00DD6432&quot;/&gt;&lt;wsp:rsid wsp:val=&quot;00DD6C05&quot;/&gt;&lt;wsp:rsid wsp:val=&quot;00DD792A&quot;/&gt;&lt;wsp:rsid wsp:val=&quot;00DE0252&quot;/&gt;&lt;wsp:rsid wsp:val=&quot;00DE0711&quot;/&gt;&lt;wsp:rsid wsp:val=&quot;00DE0ECD&quot;/&gt;&lt;wsp:rsid wsp:val=&quot;00DE129C&quot;/&gt;&lt;wsp:rsid wsp:val=&quot;00DE14DE&quot;/&gt;&lt;wsp:rsid wsp:val=&quot;00DE1638&quot;/&gt;&lt;wsp:rsid wsp:val=&quot;00DE1699&quot;/&gt;&lt;wsp:rsid wsp:val=&quot;00DE1880&quot;/&gt;&lt;wsp:rsid wsp:val=&quot;00DE1935&quot;/&gt;&lt;wsp:rsid wsp:val=&quot;00DE1BE4&quot;/&gt;&lt;wsp:rsid wsp:val=&quot;00DE2B0D&quot;/&gt;&lt;wsp:rsid wsp:val=&quot;00DE2D43&quot;/&gt;&lt;wsp:rsid wsp:val=&quot;00DE377A&quot;/&gt;&lt;wsp:rsid wsp:val=&quot;00DE4271&quot;/&gt;&lt;wsp:rsid wsp:val=&quot;00DE453F&quot;/&gt;&lt;wsp:rsid wsp:val=&quot;00DE4590&quot;/&gt;&lt;wsp:rsid wsp:val=&quot;00DE45B5&quot;/&gt;&lt;wsp:rsid wsp:val=&quot;00DE4632&quot;/&gt;&lt;wsp:rsid wsp:val=&quot;00DE4A0E&quot;/&gt;&lt;wsp:rsid wsp:val=&quot;00DE4B59&quot;/&gt;&lt;wsp:rsid wsp:val=&quot;00DE4F72&quot;/&gt;&lt;wsp:rsid wsp:val=&quot;00DE5037&quot;/&gt;&lt;wsp:rsid wsp:val=&quot;00DE5287&quot;/&gt;&lt;wsp:rsid wsp:val=&quot;00DE55C6&quot;/&gt;&lt;wsp:rsid wsp:val=&quot;00DE6070&quot;/&gt;&lt;wsp:rsid wsp:val=&quot;00DE6142&quot;/&gt;&lt;wsp:rsid wsp:val=&quot;00DE6790&quot;/&gt;&lt;wsp:rsid wsp:val=&quot;00DE69E3&quot;/&gt;&lt;wsp:rsid wsp:val=&quot;00DE6FA7&quot;/&gt;&lt;wsp:rsid wsp:val=&quot;00DE731E&quot;/&gt;&lt;wsp:rsid wsp:val=&quot;00DE769F&quot;/&gt;&lt;wsp:rsid wsp:val=&quot;00DE7701&quot;/&gt;&lt;wsp:rsid wsp:val=&quot;00DE7726&quot;/&gt;&lt;wsp:rsid wsp:val=&quot;00DE793B&quot;/&gt;&lt;wsp:rsid wsp:val=&quot;00DE7CB7&quot;/&gt;&lt;wsp:rsid wsp:val=&quot;00DE7E7D&quot;/&gt;&lt;wsp:rsid wsp:val=&quot;00DF03D5&quot;/&gt;&lt;wsp:rsid wsp:val=&quot;00DF059A&quot;/&gt;&lt;wsp:rsid wsp:val=&quot;00DF06C5&quot;/&gt;&lt;wsp:rsid wsp:val=&quot;00DF0738&quot;/&gt;&lt;wsp:rsid wsp:val=&quot;00DF0866&quot;/&gt;&lt;wsp:rsid wsp:val=&quot;00DF0BF6&quot;/&gt;&lt;wsp:rsid wsp:val=&quot;00DF0CFC&quot;/&gt;&lt;wsp:rsid wsp:val=&quot;00DF10B1&quot;/&gt;&lt;wsp:rsid wsp:val=&quot;00DF1A2A&quot;/&gt;&lt;wsp:rsid wsp:val=&quot;00DF22D9&quot;/&gt;&lt;wsp:rsid wsp:val=&quot;00DF2339&quot;/&gt;&lt;wsp:rsid wsp:val=&quot;00DF25E9&quot;/&gt;&lt;wsp:rsid wsp:val=&quot;00DF2C22&quot;/&gt;&lt;wsp:rsid wsp:val=&quot;00DF3226&quot;/&gt;&lt;wsp:rsid wsp:val=&quot;00DF3536&quot;/&gt;&lt;wsp:rsid wsp:val=&quot;00DF36D5&quot;/&gt;&lt;wsp:rsid wsp:val=&quot;00DF3B61&quot;/&gt;&lt;wsp:rsid wsp:val=&quot;00DF4113&quot;/&gt;&lt;wsp:rsid wsp:val=&quot;00DF4CA4&quot;/&gt;&lt;wsp:rsid wsp:val=&quot;00DF57D2&quot;/&gt;&lt;wsp:rsid wsp:val=&quot;00DF5A1B&quot;/&gt;&lt;wsp:rsid wsp:val=&quot;00DF61CC&quot;/&gt;&lt;wsp:rsid wsp:val=&quot;00DF684E&quot;/&gt;&lt;wsp:rsid wsp:val=&quot;00DF6CE4&quot;/&gt;&lt;wsp:rsid wsp:val=&quot;00DF7481&quot;/&gt;&lt;wsp:rsid wsp:val=&quot;00DF7F0C&quot;/&gt;&lt;wsp:rsid wsp:val=&quot;00DF7FBC&quot;/&gt;&lt;wsp:rsid wsp:val=&quot;00E000AC&quot;/&gt;&lt;wsp:rsid wsp:val=&quot;00E00296&quot;/&gt;&lt;wsp:rsid wsp:val=&quot;00E00326&quot;/&gt;&lt;wsp:rsid wsp:val=&quot;00E003FA&quot;/&gt;&lt;wsp:rsid wsp:val=&quot;00E00AD1&quot;/&gt;&lt;wsp:rsid wsp:val=&quot;00E01358&quot;/&gt;&lt;wsp:rsid wsp:val=&quot;00E013E0&quot;/&gt;&lt;wsp:rsid wsp:val=&quot;00E014AA&quot;/&gt;&lt;wsp:rsid wsp:val=&quot;00E016C7&quot;/&gt;&lt;wsp:rsid wsp:val=&quot;00E017DA&quot;/&gt;&lt;wsp:rsid wsp:val=&quot;00E01837&quot;/&gt;&lt;wsp:rsid wsp:val=&quot;00E01A1A&quot;/&gt;&lt;wsp:rsid wsp:val=&quot;00E01B5C&quot;/&gt;&lt;wsp:rsid wsp:val=&quot;00E01BA4&quot;/&gt;&lt;wsp:rsid wsp:val=&quot;00E01F11&quot;/&gt;&lt;wsp:rsid wsp:val=&quot;00E02121&quot;/&gt;&lt;wsp:rsid wsp:val=&quot;00E02153&quot;/&gt;&lt;wsp:rsid wsp:val=&quot;00E029D5&quot;/&gt;&lt;wsp:rsid wsp:val=&quot;00E02BB8&quot;/&gt;&lt;wsp:rsid wsp:val=&quot;00E03356&quot;/&gt;&lt;wsp:rsid wsp:val=&quot;00E0339B&quot;/&gt;&lt;wsp:rsid wsp:val=&quot;00E035ED&quot;/&gt;&lt;wsp:rsid wsp:val=&quot;00E03944&quot;/&gt;&lt;wsp:rsid wsp:val=&quot;00E04022&quot;/&gt;&lt;wsp:rsid wsp:val=&quot;00E04406&quot;/&gt;&lt;wsp:rsid wsp:val=&quot;00E04C8F&quot;/&gt;&lt;wsp:rsid wsp:val=&quot;00E04DA3&quot;/&gt;&lt;wsp:rsid wsp:val=&quot;00E04F1C&quot;/&gt;&lt;wsp:rsid wsp:val=&quot;00E05235&quot;/&gt;&lt;wsp:rsid wsp:val=&quot;00E0537A&quot;/&gt;&lt;wsp:rsid wsp:val=&quot;00E05752&quot;/&gt;&lt;wsp:rsid wsp:val=&quot;00E05DC2&quot;/&gt;&lt;wsp:rsid wsp:val=&quot;00E05DEA&quot;/&gt;&lt;wsp:rsid wsp:val=&quot;00E065EB&quot;/&gt;&lt;wsp:rsid wsp:val=&quot;00E06C4B&quot;/&gt;&lt;wsp:rsid wsp:val=&quot;00E0724D&quot;/&gt;&lt;wsp:rsid wsp:val=&quot;00E07389&quot;/&gt;&lt;wsp:rsid wsp:val=&quot;00E07FA8&quot;/&gt;&lt;wsp:rsid wsp:val=&quot;00E10170&quot;/&gt;&lt;wsp:rsid wsp:val=&quot;00E10530&quot;/&gt;&lt;wsp:rsid wsp:val=&quot;00E108BD&quot;/&gt;&lt;wsp:rsid wsp:val=&quot;00E111FB&quot;/&gt;&lt;wsp:rsid wsp:val=&quot;00E115E7&quot;/&gt;&lt;wsp:rsid wsp:val=&quot;00E11C21&quot;/&gt;&lt;wsp:rsid wsp:val=&quot;00E11D72&quot;/&gt;&lt;wsp:rsid wsp:val=&quot;00E1214E&quot;/&gt;&lt;wsp:rsid wsp:val=&quot;00E12291&quot;/&gt;&lt;wsp:rsid wsp:val=&quot;00E12547&quot;/&gt;&lt;wsp:rsid wsp:val=&quot;00E12A62&quot;/&gt;&lt;wsp:rsid wsp:val=&quot;00E131DA&quot;/&gt;&lt;wsp:rsid wsp:val=&quot;00E134FC&quot;/&gt;&lt;wsp:rsid wsp:val=&quot;00E139C4&quot;/&gt;&lt;wsp:rsid wsp:val=&quot;00E13C4D&quot;/&gt;&lt;wsp:rsid wsp:val=&quot;00E13E18&quot;/&gt;&lt;wsp:rsid wsp:val=&quot;00E13EC2&quot;/&gt;&lt;wsp:rsid wsp:val=&quot;00E13F22&quot;/&gt;&lt;wsp:rsid wsp:val=&quot;00E14349&quot;/&gt;&lt;wsp:rsid wsp:val=&quot;00E148DC&quot;/&gt;&lt;wsp:rsid wsp:val=&quot;00E1499B&quot;/&gt;&lt;wsp:rsid wsp:val=&quot;00E14A7A&quot;/&gt;&lt;wsp:rsid wsp:val=&quot;00E14DD7&quot;/&gt;&lt;wsp:rsid wsp:val=&quot;00E152F0&quot;/&gt;&lt;wsp:rsid wsp:val=&quot;00E153EE&quot;/&gt;&lt;wsp:rsid wsp:val=&quot;00E15854&quot;/&gt;&lt;wsp:rsid wsp:val=&quot;00E158AD&quot;/&gt;&lt;wsp:rsid wsp:val=&quot;00E15C89&quot;/&gt;&lt;wsp:rsid wsp:val=&quot;00E15E86&quot;/&gt;&lt;wsp:rsid wsp:val=&quot;00E167C8&quot;/&gt;&lt;wsp:rsid wsp:val=&quot;00E170EE&quot;/&gt;&lt;wsp:rsid wsp:val=&quot;00E17348&quot;/&gt;&lt;wsp:rsid wsp:val=&quot;00E17707&quot;/&gt;&lt;wsp:rsid wsp:val=&quot;00E177B0&quot;/&gt;&lt;wsp:rsid wsp:val=&quot;00E17B2F&quot;/&gt;&lt;wsp:rsid wsp:val=&quot;00E17E86&quot;/&gt;&lt;wsp:rsid wsp:val=&quot;00E17F53&quot;/&gt;&lt;wsp:rsid wsp:val=&quot;00E20277&quot;/&gt;&lt;wsp:rsid wsp:val=&quot;00E20361&quot;/&gt;&lt;wsp:rsid wsp:val=&quot;00E2049C&quot;/&gt;&lt;wsp:rsid wsp:val=&quot;00E20B8A&quot;/&gt;&lt;wsp:rsid wsp:val=&quot;00E20DDE&quot;/&gt;&lt;wsp:rsid wsp:val=&quot;00E2172A&quot;/&gt;&lt;wsp:rsid wsp:val=&quot;00E22E03&quot;/&gt;&lt;wsp:rsid wsp:val=&quot;00E22EE2&quot;/&gt;&lt;wsp:rsid wsp:val=&quot;00E2317F&quot;/&gt;&lt;wsp:rsid wsp:val=&quot;00E23740&quot;/&gt;&lt;wsp:rsid wsp:val=&quot;00E23ACC&quot;/&gt;&lt;wsp:rsid wsp:val=&quot;00E23FF4&quot;/&gt;&lt;wsp:rsid wsp:val=&quot;00E24791&quot;/&gt;&lt;wsp:rsid wsp:val=&quot;00E2486E&quot;/&gt;&lt;wsp:rsid wsp:val=&quot;00E24EB7&quot;/&gt;&lt;wsp:rsid wsp:val=&quot;00E25290&quot;/&gt;&lt;wsp:rsid wsp:val=&quot;00E25665&quot;/&gt;&lt;wsp:rsid wsp:val=&quot;00E25A4E&quot;/&gt;&lt;wsp:rsid wsp:val=&quot;00E25AC2&quot;/&gt;&lt;wsp:rsid wsp:val=&quot;00E25EFA&quot;/&gt;&lt;wsp:rsid wsp:val=&quot;00E265A7&quot;/&gt;&lt;wsp:rsid wsp:val=&quot;00E26A18&quot;/&gt;&lt;wsp:rsid wsp:val=&quot;00E2716F&quot;/&gt;&lt;wsp:rsid wsp:val=&quot;00E271E8&quot;/&gt;&lt;wsp:rsid wsp:val=&quot;00E2722E&quot;/&gt;&lt;wsp:rsid wsp:val=&quot;00E27A00&quot;/&gt;&lt;wsp:rsid wsp:val=&quot;00E27AC6&quot;/&gt;&lt;wsp:rsid wsp:val=&quot;00E27DB6&quot;/&gt;&lt;wsp:rsid wsp:val=&quot;00E27E76&quot;/&gt;&lt;wsp:rsid wsp:val=&quot;00E27EF7&quot;/&gt;&lt;wsp:rsid wsp:val=&quot;00E30DEE&quot;/&gt;&lt;wsp:rsid wsp:val=&quot;00E30F4B&quot;/&gt;&lt;wsp:rsid wsp:val=&quot;00E310DA&quot;/&gt;&lt;wsp:rsid wsp:val=&quot;00E31501&quot;/&gt;&lt;wsp:rsid wsp:val=&quot;00E31666&quot;/&gt;&lt;wsp:rsid wsp:val=&quot;00E31949&quot;/&gt;&lt;wsp:rsid wsp:val=&quot;00E320B7&quot;/&gt;&lt;wsp:rsid wsp:val=&quot;00E32765&quot;/&gt;&lt;wsp:rsid wsp:val=&quot;00E32AFE&quot;/&gt;&lt;wsp:rsid wsp:val=&quot;00E32C4E&quot;/&gt;&lt;wsp:rsid wsp:val=&quot;00E330E8&quot;/&gt;&lt;wsp:rsid wsp:val=&quot;00E33506&quot;/&gt;&lt;wsp:rsid wsp:val=&quot;00E33ECA&quot;/&gt;&lt;wsp:rsid wsp:val=&quot;00E340AC&quot;/&gt;&lt;wsp:rsid wsp:val=&quot;00E3428A&quot;/&gt;&lt;wsp:rsid wsp:val=&quot;00E34FC5&quot;/&gt;&lt;wsp:rsid wsp:val=&quot;00E35AA6&quot;/&gt;&lt;wsp:rsid wsp:val=&quot;00E35C89&quot;/&gt;&lt;wsp:rsid wsp:val=&quot;00E36195&quot;/&gt;&lt;wsp:rsid wsp:val=&quot;00E363B3&quot;/&gt;&lt;wsp:rsid wsp:val=&quot;00E36450&quot;/&gt;&lt;wsp:rsid wsp:val=&quot;00E36BF6&quot;/&gt;&lt;wsp:rsid wsp:val=&quot;00E3755E&quot;/&gt;&lt;wsp:rsid wsp:val=&quot;00E37CCC&quot;/&gt;&lt;wsp:rsid wsp:val=&quot;00E40058&quot;/&gt;&lt;wsp:rsid wsp:val=&quot;00E402A3&quot;/&gt;&lt;wsp:rsid wsp:val=&quot;00E407A2&quot;/&gt;&lt;wsp:rsid wsp:val=&quot;00E409C4&quot;/&gt;&lt;wsp:rsid wsp:val=&quot;00E40DE1&quot;/&gt;&lt;wsp:rsid wsp:val=&quot;00E40E96&quot;/&gt;&lt;wsp:rsid wsp:val=&quot;00E4126C&quot;/&gt;&lt;wsp:rsid wsp:val=&quot;00E412D5&quot;/&gt;&lt;wsp:rsid wsp:val=&quot;00E41BA4&quot;/&gt;&lt;wsp:rsid wsp:val=&quot;00E42410&quot;/&gt;&lt;wsp:rsid wsp:val=&quot;00E428F3&quot;/&gt;&lt;wsp:rsid wsp:val=&quot;00E429BA&quot;/&gt;&lt;wsp:rsid wsp:val=&quot;00E42CFD&quot;/&gt;&lt;wsp:rsid wsp:val=&quot;00E42D9E&quot;/&gt;&lt;wsp:rsid wsp:val=&quot;00E434F7&quot;/&gt;&lt;wsp:rsid wsp:val=&quot;00E43804&quot;/&gt;&lt;wsp:rsid wsp:val=&quot;00E43B35&quot;/&gt;&lt;wsp:rsid wsp:val=&quot;00E44441&quot;/&gt;&lt;wsp:rsid wsp:val=&quot;00E44C4F&quot;/&gt;&lt;wsp:rsid wsp:val=&quot;00E455BF&quot;/&gt;&lt;wsp:rsid wsp:val=&quot;00E45650&quot;/&gt;&lt;wsp:rsid wsp:val=&quot;00E45B1D&quot;/&gt;&lt;wsp:rsid wsp:val=&quot;00E4636D&quot;/&gt;&lt;wsp:rsid wsp:val=&quot;00E46569&quot;/&gt;&lt;wsp:rsid wsp:val=&quot;00E471B0&quot;/&gt;&lt;wsp:rsid wsp:val=&quot;00E474CD&quot;/&gt;&lt;wsp:rsid wsp:val=&quot;00E47A9E&quot;/&gt;&lt;wsp:rsid wsp:val=&quot;00E50592&quot;/&gt;&lt;wsp:rsid wsp:val=&quot;00E5087A&quot;/&gt;&lt;wsp:rsid wsp:val=&quot;00E50B5B&quot;/&gt;&lt;wsp:rsid wsp:val=&quot;00E51E77&quot;/&gt;&lt;wsp:rsid wsp:val=&quot;00E521B4&quot;/&gt;&lt;wsp:rsid wsp:val=&quot;00E521CA&quot;/&gt;&lt;wsp:rsid wsp:val=&quot;00E52628&quot;/&gt;&lt;wsp:rsid wsp:val=&quot;00E5274E&quot;/&gt;&lt;wsp:rsid wsp:val=&quot;00E530CA&quot;/&gt;&lt;wsp:rsid wsp:val=&quot;00E534EE&quot;/&gt;&lt;wsp:rsid wsp:val=&quot;00E538E5&quot;/&gt;&lt;wsp:rsid wsp:val=&quot;00E540B7&quot;/&gt;&lt;wsp:rsid wsp:val=&quot;00E54470&quot;/&gt;&lt;wsp:rsid wsp:val=&quot;00E5499E&quot;/&gt;&lt;wsp:rsid wsp:val=&quot;00E553BC&quot;/&gt;&lt;wsp:rsid wsp:val=&quot;00E556B0&quot;/&gt;&lt;wsp:rsid wsp:val=&quot;00E56529&quot;/&gt;&lt;wsp:rsid wsp:val=&quot;00E56602&quot;/&gt;&lt;wsp:rsid wsp:val=&quot;00E566F6&quot;/&gt;&lt;wsp:rsid wsp:val=&quot;00E5718E&quot;/&gt;&lt;wsp:rsid wsp:val=&quot;00E5747A&quot;/&gt;&lt;wsp:rsid wsp:val=&quot;00E577EB&quot;/&gt;&lt;wsp:rsid wsp:val=&quot;00E57D4C&quot;/&gt;&lt;wsp:rsid wsp:val=&quot;00E57EA9&quot;/&gt;&lt;wsp:rsid wsp:val=&quot;00E6000D&quot;/&gt;&lt;wsp:rsid wsp:val=&quot;00E602AE&quot;/&gt;&lt;wsp:rsid wsp:val=&quot;00E60B02&quot;/&gt;&lt;wsp:rsid wsp:val=&quot;00E60BC6&quot;/&gt;&lt;wsp:rsid wsp:val=&quot;00E6152C&quot;/&gt;&lt;wsp:rsid wsp:val=&quot;00E615CC&quot;/&gt;&lt;wsp:rsid wsp:val=&quot;00E61643&quot;/&gt;&lt;wsp:rsid wsp:val=&quot;00E61B64&quot;/&gt;&lt;wsp:rsid wsp:val=&quot;00E61DA2&quot;/&gt;&lt;wsp:rsid wsp:val=&quot;00E61FF7&quot;/&gt;&lt;wsp:rsid wsp:val=&quot;00E620A4&quot;/&gt;&lt;wsp:rsid wsp:val=&quot;00E62378&quot;/&gt;&lt;wsp:rsid wsp:val=&quot;00E62D08&quot;/&gt;&lt;wsp:rsid wsp:val=&quot;00E6342E&quot;/&gt;&lt;wsp:rsid wsp:val=&quot;00E634D7&quot;/&gt;&lt;wsp:rsid wsp:val=&quot;00E63888&quot;/&gt;&lt;wsp:rsid wsp:val=&quot;00E63A78&quot;/&gt;&lt;wsp:rsid wsp:val=&quot;00E64490&quot;/&gt;&lt;wsp:rsid wsp:val=&quot;00E648BC&quot;/&gt;&lt;wsp:rsid wsp:val=&quot;00E64F05&quot;/&gt;&lt;wsp:rsid wsp:val=&quot;00E6559F&quot;/&gt;&lt;wsp:rsid wsp:val=&quot;00E6597C&quot;/&gt;&lt;wsp:rsid wsp:val=&quot;00E65BD5&quot;/&gt;&lt;wsp:rsid wsp:val=&quot;00E666F7&quot;/&gt;&lt;wsp:rsid wsp:val=&quot;00E66817&quot;/&gt;&lt;wsp:rsid wsp:val=&quot;00E66B3B&quot;/&gt;&lt;wsp:rsid wsp:val=&quot;00E66C80&quot;/&gt;&lt;wsp:rsid wsp:val=&quot;00E66FCC&quot;/&gt;&lt;wsp:rsid wsp:val=&quot;00E6726C&quot;/&gt;&lt;wsp:rsid wsp:val=&quot;00E67305&quot;/&gt;&lt;wsp:rsid wsp:val=&quot;00E676E8&quot;/&gt;&lt;wsp:rsid wsp:val=&quot;00E67CFC&quot;/&gt;&lt;wsp:rsid wsp:val=&quot;00E67DE8&quot;/&gt;&lt;wsp:rsid wsp:val=&quot;00E67E17&quot;/&gt;&lt;wsp:rsid wsp:val=&quot;00E709FC&quot;/&gt;&lt;wsp:rsid wsp:val=&quot;00E70D65&quot;/&gt;&lt;wsp:rsid wsp:val=&quot;00E71116&quot;/&gt;&lt;wsp:rsid wsp:val=&quot;00E71C10&quot;/&gt;&lt;wsp:rsid wsp:val=&quot;00E72584&quot;/&gt;&lt;wsp:rsid wsp:val=&quot;00E727F7&quot;/&gt;&lt;wsp:rsid wsp:val=&quot;00E72C49&quot;/&gt;&lt;wsp:rsid wsp:val=&quot;00E72FC1&quot;/&gt;&lt;wsp:rsid wsp:val=&quot;00E73299&quot;/&gt;&lt;wsp:rsid wsp:val=&quot;00E73403&quot;/&gt;&lt;wsp:rsid wsp:val=&quot;00E735EB&quot;/&gt;&lt;wsp:rsid wsp:val=&quot;00E7375C&quot;/&gt;&lt;wsp:rsid wsp:val=&quot;00E737BA&quot;/&gt;&lt;wsp:rsid wsp:val=&quot;00E742CC&quot;/&gt;&lt;wsp:rsid wsp:val=&quot;00E758CF&quot;/&gt;&lt;wsp:rsid wsp:val=&quot;00E765B3&quot;/&gt;&lt;wsp:rsid wsp:val=&quot;00E76BE7&quot;/&gt;&lt;wsp:rsid wsp:val=&quot;00E76F87&quot;/&gt;&lt;wsp:rsid wsp:val=&quot;00E771D2&quot;/&gt;&lt;wsp:rsid wsp:val=&quot;00E77392&quot;/&gt;&lt;wsp:rsid wsp:val=&quot;00E77887&quot;/&gt;&lt;wsp:rsid wsp:val=&quot;00E77BA9&quot;/&gt;&lt;wsp:rsid wsp:val=&quot;00E77DB6&quot;/&gt;&lt;wsp:rsid wsp:val=&quot;00E77E9E&quot;/&gt;&lt;wsp:rsid wsp:val=&quot;00E77EA6&quot;/&gt;&lt;wsp:rsid wsp:val=&quot;00E82093&quot;/&gt;&lt;wsp:rsid wsp:val=&quot;00E82B78&quot;/&gt;&lt;wsp:rsid wsp:val=&quot;00E82DF6&quot;/&gt;&lt;wsp:rsid wsp:val=&quot;00E830E9&quot;/&gt;&lt;wsp:rsid wsp:val=&quot;00E83291&quot;/&gt;&lt;wsp:rsid wsp:val=&quot;00E84403&quot;/&gt;&lt;wsp:rsid wsp:val=&quot;00E84B2F&quot;/&gt;&lt;wsp:rsid wsp:val=&quot;00E84E72&quot;/&gt;&lt;wsp:rsid wsp:val=&quot;00E8503F&quot;/&gt;&lt;wsp:rsid wsp:val=&quot;00E85056&quot;/&gt;&lt;wsp:rsid wsp:val=&quot;00E855B7&quot;/&gt;&lt;wsp:rsid wsp:val=&quot;00E85A7E&quot;/&gt;&lt;wsp:rsid wsp:val=&quot;00E85EA8&quot;/&gt;&lt;wsp:rsid wsp:val=&quot;00E86976&quot;/&gt;&lt;wsp:rsid wsp:val=&quot;00E86E83&quot;/&gt;&lt;wsp:rsid wsp:val=&quot;00E86F0F&quot;/&gt;&lt;wsp:rsid wsp:val=&quot;00E87147&quot;/&gt;&lt;wsp:rsid wsp:val=&quot;00E87224&quot;/&gt;&lt;wsp:rsid wsp:val=&quot;00E87562&quot;/&gt;&lt;wsp:rsid wsp:val=&quot;00E875DC&quot;/&gt;&lt;wsp:rsid wsp:val=&quot;00E87610&quot;/&gt;&lt;wsp:rsid wsp:val=&quot;00E87F4F&quot;/&gt;&lt;wsp:rsid wsp:val=&quot;00E908A9&quot;/&gt;&lt;wsp:rsid wsp:val=&quot;00E90A0E&quot;/&gt;&lt;wsp:rsid wsp:val=&quot;00E90D5D&quot;/&gt;&lt;wsp:rsid wsp:val=&quot;00E90EE9&quot;/&gt;&lt;wsp:rsid wsp:val=&quot;00E9186D&quot;/&gt;&lt;wsp:rsid wsp:val=&quot;00E91C84&quot;/&gt;&lt;wsp:rsid wsp:val=&quot;00E91CFE&quot;/&gt;&lt;wsp:rsid wsp:val=&quot;00E91F54&quot;/&gt;&lt;wsp:rsid wsp:val=&quot;00E9227E&quot;/&gt;&lt;wsp:rsid wsp:val=&quot;00E92678&quot;/&gt;&lt;wsp:rsid wsp:val=&quot;00E928D2&quot;/&gt;&lt;wsp:rsid wsp:val=&quot;00E92A87&quot;/&gt;&lt;wsp:rsid wsp:val=&quot;00E93F31&quot;/&gt;&lt;wsp:rsid wsp:val=&quot;00E94090&quot;/&gt;&lt;wsp:rsid wsp:val=&quot;00E944CF&quot;/&gt;&lt;wsp:rsid wsp:val=&quot;00E94A17&quot;/&gt;&lt;wsp:rsid wsp:val=&quot;00E94A76&quot;/&gt;&lt;wsp:rsid wsp:val=&quot;00E95684&quot;/&gt;&lt;wsp:rsid wsp:val=&quot;00E963FE&quot;/&gt;&lt;wsp:rsid wsp:val=&quot;00E96CA8&quot;/&gt;&lt;wsp:rsid wsp:val=&quot;00E96D46&quot;/&gt;&lt;wsp:rsid wsp:val=&quot;00E96D63&quot;/&gt;&lt;wsp:rsid wsp:val=&quot;00E96EF3&quot;/&gt;&lt;wsp:rsid wsp:val=&quot;00E9740A&quot;/&gt;&lt;wsp:rsid wsp:val=&quot;00E97486&quot;/&gt;&lt;wsp:rsid wsp:val=&quot;00E9781E&quot;/&gt;&lt;wsp:rsid wsp:val=&quot;00E97A65&quot;/&gt;&lt;wsp:rsid wsp:val=&quot;00EA1304&quot;/&gt;&lt;wsp:rsid wsp:val=&quot;00EA16B4&quot;/&gt;&lt;wsp:rsid wsp:val=&quot;00EA1817&quot;/&gt;&lt;wsp:rsid wsp:val=&quot;00EA2141&quot;/&gt;&lt;wsp:rsid wsp:val=&quot;00EA2C52&quot;/&gt;&lt;wsp:rsid wsp:val=&quot;00EA2E5C&quot;/&gt;&lt;wsp:rsid wsp:val=&quot;00EA2FD3&quot;/&gt;&lt;wsp:rsid wsp:val=&quot;00EA3A05&quot;/&gt;&lt;wsp:rsid wsp:val=&quot;00EA3FBF&quot;/&gt;&lt;wsp:rsid wsp:val=&quot;00EA41D7&quot;/&gt;&lt;wsp:rsid wsp:val=&quot;00EA4686&quot;/&gt;&lt;wsp:rsid wsp:val=&quot;00EA56D4&quot;/&gt;&lt;wsp:rsid wsp:val=&quot;00EA5873&quot;/&gt;&lt;wsp:rsid wsp:val=&quot;00EA5BD7&quot;/&gt;&lt;wsp:rsid wsp:val=&quot;00EA5F94&quot;/&gt;&lt;wsp:rsid wsp:val=&quot;00EA6460&quot;/&gt;&lt;wsp:rsid wsp:val=&quot;00EA7481&quot;/&gt;&lt;wsp:rsid wsp:val=&quot;00EA7E71&quot;/&gt;&lt;wsp:rsid wsp:val=&quot;00EB0C4E&quot;/&gt;&lt;wsp:rsid wsp:val=&quot;00EB0CEF&quot;/&gt;&lt;wsp:rsid wsp:val=&quot;00EB0E26&quot;/&gt;&lt;wsp:rsid wsp:val=&quot;00EB0FD6&quot;/&gt;&lt;wsp:rsid wsp:val=&quot;00EB103B&quot;/&gt;&lt;wsp:rsid wsp:val=&quot;00EB118F&quot;/&gt;&lt;wsp:rsid wsp:val=&quot;00EB1426&quot;/&gt;&lt;wsp:rsid wsp:val=&quot;00EB1651&quot;/&gt;&lt;wsp:rsid wsp:val=&quot;00EB175E&quot;/&gt;&lt;wsp:rsid wsp:val=&quot;00EB1AE1&quot;/&gt;&lt;wsp:rsid wsp:val=&quot;00EB1DD9&quot;/&gt;&lt;wsp:rsid wsp:val=&quot;00EB1E28&quot;/&gt;&lt;wsp:rsid wsp:val=&quot;00EB2099&quot;/&gt;&lt;wsp:rsid wsp:val=&quot;00EB2167&quot;/&gt;&lt;wsp:rsid wsp:val=&quot;00EB2B15&quot;/&gt;&lt;wsp:rsid wsp:val=&quot;00EB2D68&quot;/&gt;&lt;wsp:rsid wsp:val=&quot;00EB3091&quot;/&gt;&lt;wsp:rsid wsp:val=&quot;00EB3210&quot;/&gt;&lt;wsp:rsid wsp:val=&quot;00EB322F&quot;/&gt;&lt;wsp:rsid wsp:val=&quot;00EB3308&quot;/&gt;&lt;wsp:rsid wsp:val=&quot;00EB3916&quot;/&gt;&lt;wsp:rsid wsp:val=&quot;00EB3CA7&quot;/&gt;&lt;wsp:rsid wsp:val=&quot;00EB3DD0&quot;/&gt;&lt;wsp:rsid wsp:val=&quot;00EB54AA&quot;/&gt;&lt;wsp:rsid wsp:val=&quot;00EB5672&quot;/&gt;&lt;wsp:rsid wsp:val=&quot;00EB57F6&quot;/&gt;&lt;wsp:rsid wsp:val=&quot;00EB5814&quot;/&gt;&lt;wsp:rsid wsp:val=&quot;00EB5AF8&quot;/&gt;&lt;wsp:rsid wsp:val=&quot;00EB5C48&quot;/&gt;&lt;wsp:rsid wsp:val=&quot;00EB61B0&quot;/&gt;&lt;wsp:rsid wsp:val=&quot;00EB7B8B&quot;/&gt;&lt;wsp:rsid wsp:val=&quot;00EC035D&quot;/&gt;&lt;wsp:rsid wsp:val=&quot;00EC098C&quot;/&gt;&lt;wsp:rsid wsp:val=&quot;00EC10FD&quot;/&gt;&lt;wsp:rsid wsp:val=&quot;00EC157C&quot;/&gt;&lt;wsp:rsid wsp:val=&quot;00EC16EB&quot;/&gt;&lt;wsp:rsid wsp:val=&quot;00EC1958&quot;/&gt;&lt;wsp:rsid wsp:val=&quot;00EC1F5A&quot;/&gt;&lt;wsp:rsid wsp:val=&quot;00EC238C&quot;/&gt;&lt;wsp:rsid wsp:val=&quot;00EC25C6&quot;/&gt;&lt;wsp:rsid wsp:val=&quot;00EC274F&quot;/&gt;&lt;wsp:rsid wsp:val=&quot;00EC291B&quot;/&gt;&lt;wsp:rsid wsp:val=&quot;00EC2E61&quot;/&gt;&lt;wsp:rsid wsp:val=&quot;00EC2EDB&quot;/&gt;&lt;wsp:rsid wsp:val=&quot;00EC329B&quot;/&gt;&lt;wsp:rsid wsp:val=&quot;00EC32AE&quot;/&gt;&lt;wsp:rsid wsp:val=&quot;00EC4032&quot;/&gt;&lt;wsp:rsid wsp:val=&quot;00EC4398&quot;/&gt;&lt;wsp:rsid wsp:val=&quot;00EC44DF&quot;/&gt;&lt;wsp:rsid wsp:val=&quot;00EC457B&quot;/&gt;&lt;wsp:rsid wsp:val=&quot;00EC5263&quot;/&gt;&lt;wsp:rsid wsp:val=&quot;00EC54D0&quot;/&gt;&lt;wsp:rsid wsp:val=&quot;00EC5554&quot;/&gt;&lt;wsp:rsid wsp:val=&quot;00EC588D&quot;/&gt;&lt;wsp:rsid wsp:val=&quot;00EC5AE6&quot;/&gt;&lt;wsp:rsid wsp:val=&quot;00EC642A&quot;/&gt;&lt;wsp:rsid wsp:val=&quot;00EC6581&quot;/&gt;&lt;wsp:rsid wsp:val=&quot;00EC6662&quot;/&gt;&lt;wsp:rsid wsp:val=&quot;00EC66B5&quot;/&gt;&lt;wsp:rsid wsp:val=&quot;00EC69BD&quot;/&gt;&lt;wsp:rsid wsp:val=&quot;00EC6E3B&quot;/&gt;&lt;wsp:rsid wsp:val=&quot;00EC6E55&quot;/&gt;&lt;wsp:rsid wsp:val=&quot;00EC6ECA&quot;/&gt;&lt;wsp:rsid wsp:val=&quot;00EC6F1E&quot;/&gt;&lt;wsp:rsid wsp:val=&quot;00EC755B&quot;/&gt;&lt;wsp:rsid wsp:val=&quot;00EC7BD0&quot;/&gt;&lt;wsp:rsid wsp:val=&quot;00EC7C6D&quot;/&gt;&lt;wsp:rsid wsp:val=&quot;00ED0532&quot;/&gt;&lt;wsp:rsid wsp:val=&quot;00ED07EE&quot;/&gt;&lt;wsp:rsid wsp:val=&quot;00ED0FED&quot;/&gt;&lt;wsp:rsid wsp:val=&quot;00ED15B5&quot;/&gt;&lt;wsp:rsid wsp:val=&quot;00ED1861&quot;/&gt;&lt;wsp:rsid wsp:val=&quot;00ED18A1&quot;/&gt;&lt;wsp:rsid wsp:val=&quot;00ED1C74&quot;/&gt;&lt;wsp:rsid wsp:val=&quot;00ED209E&quot;/&gt;&lt;wsp:rsid wsp:val=&quot;00ED2194&quot;/&gt;&lt;wsp:rsid wsp:val=&quot;00ED23B8&quot;/&gt;&lt;wsp:rsid wsp:val=&quot;00ED2406&quot;/&gt;&lt;wsp:rsid wsp:val=&quot;00ED2517&quot;/&gt;&lt;wsp:rsid wsp:val=&quot;00ED2B4D&quot;/&gt;&lt;wsp:rsid wsp:val=&quot;00ED2C3E&quot;/&gt;&lt;wsp:rsid wsp:val=&quot;00ED3376&quot;/&gt;&lt;wsp:rsid wsp:val=&quot;00ED339F&quot;/&gt;&lt;wsp:rsid wsp:val=&quot;00ED36A0&quot;/&gt;&lt;wsp:rsid wsp:val=&quot;00ED36D7&quot;/&gt;&lt;wsp:rsid wsp:val=&quot;00ED383A&quot;/&gt;&lt;wsp:rsid wsp:val=&quot;00ED3921&quot;/&gt;&lt;wsp:rsid wsp:val=&quot;00ED3B1C&quot;/&gt;&lt;wsp:rsid wsp:val=&quot;00ED40F9&quot;/&gt;&lt;wsp:rsid wsp:val=&quot;00ED456A&quot;/&gt;&lt;wsp:rsid wsp:val=&quot;00ED476F&quot;/&gt;&lt;wsp:rsid wsp:val=&quot;00ED47C4&quot;/&gt;&lt;wsp:rsid wsp:val=&quot;00ED47DD&quot;/&gt;&lt;wsp:rsid wsp:val=&quot;00ED4C7F&quot;/&gt;&lt;wsp:rsid wsp:val=&quot;00ED51FC&quot;/&gt;&lt;wsp:rsid wsp:val=&quot;00ED5337&quot;/&gt;&lt;wsp:rsid wsp:val=&quot;00ED5587&quot;/&gt;&lt;wsp:rsid wsp:val=&quot;00ED5BC3&quot;/&gt;&lt;wsp:rsid wsp:val=&quot;00ED5C37&quot;/&gt;&lt;wsp:rsid wsp:val=&quot;00ED5CAF&quot;/&gt;&lt;wsp:rsid wsp:val=&quot;00ED753B&quot;/&gt;&lt;wsp:rsid wsp:val=&quot;00ED7919&quot;/&gt;&lt;wsp:rsid wsp:val=&quot;00ED7ED6&quot;/&gt;&lt;wsp:rsid wsp:val=&quot;00EE00F6&quot;/&gt;&lt;wsp:rsid wsp:val=&quot;00EE0301&quot;/&gt;&lt;wsp:rsid wsp:val=&quot;00EE08B6&quot;/&gt;&lt;wsp:rsid wsp:val=&quot;00EE1298&quot;/&gt;&lt;wsp:rsid wsp:val=&quot;00EE2341&quot;/&gt;&lt;wsp:rsid wsp:val=&quot;00EE242F&quot;/&gt;&lt;wsp:rsid wsp:val=&quot;00EE2D04&quot;/&gt;&lt;wsp:rsid wsp:val=&quot;00EE2FA3&quot;/&gt;&lt;wsp:rsid wsp:val=&quot;00EE3319&quot;/&gt;&lt;wsp:rsid wsp:val=&quot;00EE3630&quot;/&gt;&lt;wsp:rsid wsp:val=&quot;00EE386C&quot;/&gt;&lt;wsp:rsid wsp:val=&quot;00EE41AD&quot;/&gt;&lt;wsp:rsid wsp:val=&quot;00EE4237&quot;/&gt;&lt;wsp:rsid wsp:val=&quot;00EE4680&quot;/&gt;&lt;wsp:rsid wsp:val=&quot;00EE4E5C&quot;/&gt;&lt;wsp:rsid wsp:val=&quot;00EE506A&quot;/&gt;&lt;wsp:rsid wsp:val=&quot;00EE564A&quot;/&gt;&lt;wsp:rsid wsp:val=&quot;00EE6685&quot;/&gt;&lt;wsp:rsid wsp:val=&quot;00EE6A25&quot;/&gt;&lt;wsp:rsid wsp:val=&quot;00EE7054&quot;/&gt;&lt;wsp:rsid wsp:val=&quot;00EE75DF&quot;/&gt;&lt;wsp:rsid wsp:val=&quot;00EE764D&quot;/&gt;&lt;wsp:rsid wsp:val=&quot;00EF0160&quot;/&gt;&lt;wsp:rsid wsp:val=&quot;00EF017D&quot;/&gt;&lt;wsp:rsid wsp:val=&quot;00EF0537&quot;/&gt;&lt;wsp:rsid wsp:val=&quot;00EF0BA0&quot;/&gt;&lt;wsp:rsid wsp:val=&quot;00EF0D2B&quot;/&gt;&lt;wsp:rsid wsp:val=&quot;00EF13EC&quot;/&gt;&lt;wsp:rsid wsp:val=&quot;00EF188B&quot;/&gt;&lt;wsp:rsid wsp:val=&quot;00EF1A04&quot;/&gt;&lt;wsp:rsid wsp:val=&quot;00EF254C&quot;/&gt;&lt;wsp:rsid wsp:val=&quot;00EF2D03&quot;/&gt;&lt;wsp:rsid wsp:val=&quot;00EF2F12&quot;/&gt;&lt;wsp:rsid wsp:val=&quot;00EF3128&quot;/&gt;&lt;wsp:rsid wsp:val=&quot;00EF3EA3&quot;/&gt;&lt;wsp:rsid wsp:val=&quot;00EF42F8&quot;/&gt;&lt;wsp:rsid wsp:val=&quot;00EF466A&quot;/&gt;&lt;wsp:rsid wsp:val=&quot;00EF4E5B&quot;/&gt;&lt;wsp:rsid wsp:val=&quot;00EF5253&quot;/&gt;&lt;wsp:rsid wsp:val=&quot;00EF5485&quot;/&gt;&lt;wsp:rsid wsp:val=&quot;00EF5536&quot;/&gt;&lt;wsp:rsid wsp:val=&quot;00EF5C78&quot;/&gt;&lt;wsp:rsid wsp:val=&quot;00EF66CA&quot;/&gt;&lt;wsp:rsid wsp:val=&quot;00EF68D3&quot;/&gt;&lt;wsp:rsid wsp:val=&quot;00EF691A&quot;/&gt;&lt;wsp:rsid wsp:val=&quot;00EF6978&quot;/&gt;&lt;wsp:rsid wsp:val=&quot;00EF75D4&quot;/&gt;&lt;wsp:rsid wsp:val=&quot;00EF789F&quot;/&gt;&lt;wsp:rsid wsp:val=&quot;00EF7FAA&quot;/&gt;&lt;wsp:rsid wsp:val=&quot;00F00029&quot;/&gt;&lt;wsp:rsid wsp:val=&quot;00F00168&quot;/&gt;&lt;wsp:rsid wsp:val=&quot;00F00237&quot;/&gt;&lt;wsp:rsid wsp:val=&quot;00F00561&quot;/&gt;&lt;wsp:rsid wsp:val=&quot;00F00A04&quot;/&gt;&lt;wsp:rsid wsp:val=&quot;00F00F32&quot;/&gt;&lt;wsp:rsid wsp:val=&quot;00F0125E&quot;/&gt;&lt;wsp:rsid wsp:val=&quot;00F019C6&quot;/&gt;&lt;wsp:rsid wsp:val=&quot;00F01A00&quot;/&gt;&lt;wsp:rsid wsp:val=&quot;00F01BF0&quot;/&gt;&lt;wsp:rsid wsp:val=&quot;00F01C30&quot;/&gt;&lt;wsp:rsid wsp:val=&quot;00F02515&quot;/&gt;&lt;wsp:rsid wsp:val=&quot;00F028BF&quot;/&gt;&lt;wsp:rsid wsp:val=&quot;00F02BA1&quot;/&gt;&lt;wsp:rsid wsp:val=&quot;00F02C53&quot;/&gt;&lt;wsp:rsid wsp:val=&quot;00F02D28&quot;/&gt;&lt;wsp:rsid wsp:val=&quot;00F03646&quot;/&gt;&lt;wsp:rsid wsp:val=&quot;00F03B91&quot;/&gt;&lt;wsp:rsid wsp:val=&quot;00F03D1D&quot;/&gt;&lt;wsp:rsid wsp:val=&quot;00F04699&quot;/&gt;&lt;wsp:rsid wsp:val=&quot;00F0621F&quot;/&gt;&lt;wsp:rsid wsp:val=&quot;00F0657D&quot;/&gt;&lt;wsp:rsid wsp:val=&quot;00F06969&quot;/&gt;&lt;wsp:rsid wsp:val=&quot;00F06DE8&quot;/&gt;&lt;wsp:rsid wsp:val=&quot;00F07491&quot;/&gt;&lt;wsp:rsid wsp:val=&quot;00F07A96&quot;/&gt;&lt;wsp:rsid wsp:val=&quot;00F102CB&quot;/&gt;&lt;wsp:rsid wsp:val=&quot;00F10347&quot;/&gt;&lt;wsp:rsid wsp:val=&quot;00F10C2B&quot;/&gt;&lt;wsp:rsid wsp:val=&quot;00F113DA&quot;/&gt;&lt;wsp:rsid wsp:val=&quot;00F12071&quot;/&gt;&lt;wsp:rsid wsp:val=&quot;00F12235&quot;/&gt;&lt;wsp:rsid wsp:val=&quot;00F1251B&quot;/&gt;&lt;wsp:rsid wsp:val=&quot;00F12C05&quot;/&gt;&lt;wsp:rsid wsp:val=&quot;00F12E7F&quot;/&gt;&lt;wsp:rsid wsp:val=&quot;00F13798&quot;/&gt;&lt;wsp:rsid wsp:val=&quot;00F13882&quot;/&gt;&lt;wsp:rsid wsp:val=&quot;00F13973&quot;/&gt;&lt;wsp:rsid wsp:val=&quot;00F141B9&quot;/&gt;&lt;wsp:rsid wsp:val=&quot;00F1453C&quot;/&gt;&lt;wsp:rsid wsp:val=&quot;00F14B37&quot;/&gt;&lt;wsp:rsid wsp:val=&quot;00F14BCE&quot;/&gt;&lt;wsp:rsid wsp:val=&quot;00F14E2E&quot;/&gt;&lt;wsp:rsid wsp:val=&quot;00F1568E&quot;/&gt;&lt;wsp:rsid wsp:val=&quot;00F15A80&quot;/&gt;&lt;wsp:rsid wsp:val=&quot;00F16804&quot;/&gt;&lt;wsp:rsid wsp:val=&quot;00F16908&quot;/&gt;&lt;wsp:rsid wsp:val=&quot;00F17351&quot;/&gt;&lt;wsp:rsid wsp:val=&quot;00F1739B&quot;/&gt;&lt;wsp:rsid wsp:val=&quot;00F206AD&quot;/&gt;&lt;wsp:rsid wsp:val=&quot;00F20B4D&quot;/&gt;&lt;wsp:rsid wsp:val=&quot;00F22BD2&quot;/&gt;&lt;wsp:rsid wsp:val=&quot;00F23071&quot;/&gt;&lt;wsp:rsid wsp:val=&quot;00F232AE&quot;/&gt;&lt;wsp:rsid wsp:val=&quot;00F2379E&quot;/&gt;&lt;wsp:rsid wsp:val=&quot;00F2403B&quot;/&gt;&lt;wsp:rsid wsp:val=&quot;00F24293&quot;/&gt;&lt;wsp:rsid wsp:val=&quot;00F2456C&quot;/&gt;&lt;wsp:rsid wsp:val=&quot;00F246B0&quot;/&gt;&lt;wsp:rsid wsp:val=&quot;00F246EB&quot;/&gt;&lt;wsp:rsid wsp:val=&quot;00F24AF4&quot;/&gt;&lt;wsp:rsid wsp:val=&quot;00F24C05&quot;/&gt;&lt;wsp:rsid wsp:val=&quot;00F24D0B&quot;/&gt;&lt;wsp:rsid wsp:val=&quot;00F24E5A&quot;/&gt;&lt;wsp:rsid wsp:val=&quot;00F24F71&quot;/&gt;&lt;wsp:rsid wsp:val=&quot;00F25365&quot;/&gt;&lt;wsp:rsid wsp:val=&quot;00F25588&quot;/&gt;&lt;wsp:rsid wsp:val=&quot;00F2588E&quot;/&gt;&lt;wsp:rsid wsp:val=&quot;00F25B27&quot;/&gt;&lt;wsp:rsid wsp:val=&quot;00F26063&quot;/&gt;&lt;wsp:rsid wsp:val=&quot;00F262AC&quot;/&gt;&lt;wsp:rsid wsp:val=&quot;00F26A5D&quot;/&gt;&lt;wsp:rsid wsp:val=&quot;00F26DB3&quot;/&gt;&lt;wsp:rsid wsp:val=&quot;00F2731E&quot;/&gt;&lt;wsp:rsid wsp:val=&quot;00F275FE&quot;/&gt;&lt;wsp:rsid wsp:val=&quot;00F27D93&quot;/&gt;&lt;wsp:rsid wsp:val=&quot;00F30A5C&quot;/&gt;&lt;wsp:rsid wsp:val=&quot;00F30C4F&quot;/&gt;&lt;wsp:rsid wsp:val=&quot;00F30C66&quot;/&gt;&lt;wsp:rsid wsp:val=&quot;00F31DCB&quot;/&gt;&lt;wsp:rsid wsp:val=&quot;00F32B87&quot;/&gt;&lt;wsp:rsid wsp:val=&quot;00F32E5E&quot;/&gt;&lt;wsp:rsid wsp:val=&quot;00F33112&quot;/&gt;&lt;wsp:rsid wsp:val=&quot;00F334FD&quot;/&gt;&lt;wsp:rsid wsp:val=&quot;00F338F6&quot;/&gt;&lt;wsp:rsid wsp:val=&quot;00F33BFF&quot;/&gt;&lt;wsp:rsid wsp:val=&quot;00F343E9&quot;/&gt;&lt;wsp:rsid wsp:val=&quot;00F34439&quot;/&gt;&lt;wsp:rsid wsp:val=&quot;00F345F0&quot;/&gt;&lt;wsp:rsid wsp:val=&quot;00F34798&quot;/&gt;&lt;wsp:rsid wsp:val=&quot;00F351D1&quot;/&gt;&lt;wsp:rsid wsp:val=&quot;00F3566D&quot;/&gt;&lt;wsp:rsid wsp:val=&quot;00F35CF5&quot;/&gt;&lt;wsp:rsid wsp:val=&quot;00F35E17&quot;/&gt;&lt;wsp:rsid wsp:val=&quot;00F362A0&quot;/&gt;&lt;wsp:rsid wsp:val=&quot;00F364FB&quot;/&gt;&lt;wsp:rsid wsp:val=&quot;00F369CD&quot;/&gt;&lt;wsp:rsid wsp:val=&quot;00F36DE2&quot;/&gt;&lt;wsp:rsid wsp:val=&quot;00F370F4&quot;/&gt;&lt;wsp:rsid wsp:val=&quot;00F37173&quot;/&gt;&lt;wsp:rsid wsp:val=&quot;00F37330&quot;/&gt;&lt;wsp:rsid wsp:val=&quot;00F376A2&quot;/&gt;&lt;wsp:rsid wsp:val=&quot;00F37F74&quot;/&gt;&lt;wsp:rsid wsp:val=&quot;00F41259&quot;/&gt;&lt;wsp:rsid wsp:val=&quot;00F41360&quot;/&gt;&lt;wsp:rsid wsp:val=&quot;00F416CF&quot;/&gt;&lt;wsp:rsid wsp:val=&quot;00F41CED&quot;/&gt;&lt;wsp:rsid wsp:val=&quot;00F41F11&quot;/&gt;&lt;wsp:rsid wsp:val=&quot;00F420FF&quot;/&gt;&lt;wsp:rsid wsp:val=&quot;00F428F5&quot;/&gt;&lt;wsp:rsid wsp:val=&quot;00F42988&quot;/&gt;&lt;wsp:rsid wsp:val=&quot;00F42A21&quot;/&gt;&lt;wsp:rsid wsp:val=&quot;00F432A3&quot;/&gt;&lt;wsp:rsid wsp:val=&quot;00F4345D&quot;/&gt;&lt;wsp:rsid wsp:val=&quot;00F434B0&quot;/&gt;&lt;wsp:rsid wsp:val=&quot;00F435C5&quot;/&gt;&lt;wsp:rsid wsp:val=&quot;00F4365C&quot;/&gt;&lt;wsp:rsid wsp:val=&quot;00F43788&quot;/&gt;&lt;wsp:rsid wsp:val=&quot;00F43A58&quot;/&gt;&lt;wsp:rsid wsp:val=&quot;00F43F39&quot;/&gt;&lt;wsp:rsid wsp:val=&quot;00F43FBE&quot;/&gt;&lt;wsp:rsid wsp:val=&quot;00F4415A&quot;/&gt;&lt;wsp:rsid wsp:val=&quot;00F442DA&quot;/&gt;&lt;wsp:rsid wsp:val=&quot;00F4443C&quot;/&gt;&lt;wsp:rsid wsp:val=&quot;00F444EF&quot;/&gt;&lt;wsp:rsid wsp:val=&quot;00F4462D&quot;/&gt;&lt;wsp:rsid wsp:val=&quot;00F44DB6&quot;/&gt;&lt;wsp:rsid wsp:val=&quot;00F44DBA&quot;/&gt;&lt;wsp:rsid wsp:val=&quot;00F44DE1&quot;/&gt;&lt;wsp:rsid wsp:val=&quot;00F456D2&quot;/&gt;&lt;wsp:rsid wsp:val=&quot;00F45B70&quot;/&gt;&lt;wsp:rsid wsp:val=&quot;00F45CA3&quot;/&gt;&lt;wsp:rsid wsp:val=&quot;00F45E48&quot;/&gt;&lt;wsp:rsid wsp:val=&quot;00F45EC0&quot;/&gt;&lt;wsp:rsid wsp:val=&quot;00F465B2&quot;/&gt;&lt;wsp:rsid wsp:val=&quot;00F46F73&quot;/&gt;&lt;wsp:rsid wsp:val=&quot;00F47959&quot;/&gt;&lt;wsp:rsid wsp:val=&quot;00F47BE9&quot;/&gt;&lt;wsp:rsid wsp:val=&quot;00F47C6B&quot;/&gt;&lt;wsp:rsid wsp:val=&quot;00F47CDE&quot;/&gt;&lt;wsp:rsid wsp:val=&quot;00F50363&quot;/&gt;&lt;wsp:rsid wsp:val=&quot;00F5097E&quot;/&gt;&lt;wsp:rsid wsp:val=&quot;00F50B45&quot;/&gt;&lt;wsp:rsid wsp:val=&quot;00F50BAA&quot;/&gt;&lt;wsp:rsid wsp:val=&quot;00F51197&quot;/&gt;&lt;wsp:rsid wsp:val=&quot;00F51260&quot;/&gt;&lt;wsp:rsid wsp:val=&quot;00F5154F&quot;/&gt;&lt;wsp:rsid wsp:val=&quot;00F5167A&quot;/&gt;&lt;wsp:rsid wsp:val=&quot;00F51769&quot;/&gt;&lt;wsp:rsid wsp:val=&quot;00F519F2&quot;/&gt;&lt;wsp:rsid wsp:val=&quot;00F51D5D&quot;/&gt;&lt;wsp:rsid wsp:val=&quot;00F520C9&quot;/&gt;&lt;wsp:rsid wsp:val=&quot;00F52101&quot;/&gt;&lt;wsp:rsid wsp:val=&quot;00F52B27&quot;/&gt;&lt;wsp:rsid wsp:val=&quot;00F52D7E&quot;/&gt;&lt;wsp:rsid wsp:val=&quot;00F531A6&quot;/&gt;&lt;wsp:rsid wsp:val=&quot;00F53253&quot;/&gt;&lt;wsp:rsid wsp:val=&quot;00F53318&quot;/&gt;&lt;wsp:rsid wsp:val=&quot;00F53634&quot;/&gt;&lt;wsp:rsid wsp:val=&quot;00F5373F&quot;/&gt;&lt;wsp:rsid wsp:val=&quot;00F5379F&quot;/&gt;&lt;wsp:rsid wsp:val=&quot;00F53BFA&quot;/&gt;&lt;wsp:rsid wsp:val=&quot;00F53F9B&quot;/&gt;&lt;wsp:rsid wsp:val=&quot;00F540BD&quot;/&gt;&lt;wsp:rsid wsp:val=&quot;00F54495&quot;/&gt;&lt;wsp:rsid wsp:val=&quot;00F55088&quot;/&gt;&lt;wsp:rsid wsp:val=&quot;00F567C0&quot;/&gt;&lt;wsp:rsid wsp:val=&quot;00F56B3F&quot;/&gt;&lt;wsp:rsid wsp:val=&quot;00F56C67&quot;/&gt;&lt;wsp:rsid wsp:val=&quot;00F56E02&quot;/&gt;&lt;wsp:rsid wsp:val=&quot;00F57AF4&quot;/&gt;&lt;wsp:rsid wsp:val=&quot;00F57FB8&quot;/&gt;&lt;wsp:rsid wsp:val=&quot;00F602DB&quot;/&gt;&lt;wsp:rsid wsp:val=&quot;00F604E2&quot;/&gt;&lt;wsp:rsid wsp:val=&quot;00F60625&quot;/&gt;&lt;wsp:rsid wsp:val=&quot;00F606F6&quot;/&gt;&lt;wsp:rsid wsp:val=&quot;00F6082D&quot;/&gt;&lt;wsp:rsid wsp:val=&quot;00F60CE2&quot;/&gt;&lt;wsp:rsid wsp:val=&quot;00F61060&quot;/&gt;&lt;wsp:rsid wsp:val=&quot;00F61345&quot;/&gt;&lt;wsp:rsid wsp:val=&quot;00F62684&quot;/&gt;&lt;wsp:rsid wsp:val=&quot;00F62C3B&quot;/&gt;&lt;wsp:rsid wsp:val=&quot;00F63AAD&quot;/&gt;&lt;wsp:rsid wsp:val=&quot;00F63E3E&quot;/&gt;&lt;wsp:rsid wsp:val=&quot;00F63EA3&quot;/&gt;&lt;wsp:rsid wsp:val=&quot;00F64258&quot;/&gt;&lt;wsp:rsid wsp:val=&quot;00F645FA&quot;/&gt;&lt;wsp:rsid wsp:val=&quot;00F645FC&quot;/&gt;&lt;wsp:rsid wsp:val=&quot;00F64A97&quot;/&gt;&lt;wsp:rsid wsp:val=&quot;00F65196&quot;/&gt;&lt;wsp:rsid wsp:val=&quot;00F65A8E&quot;/&gt;&lt;wsp:rsid wsp:val=&quot;00F65E6A&quot;/&gt;&lt;wsp:rsid wsp:val=&quot;00F662CB&quot;/&gt;&lt;wsp:rsid wsp:val=&quot;00F66730&quot;/&gt;&lt;wsp:rsid wsp:val=&quot;00F66923&quot;/&gt;&lt;wsp:rsid wsp:val=&quot;00F66B5B&quot;/&gt;&lt;wsp:rsid wsp:val=&quot;00F67BAF&quot;/&gt;&lt;wsp:rsid wsp:val=&quot;00F701C5&quot;/&gt;&lt;wsp:rsid wsp:val=&quot;00F70423&quot;/&gt;&lt;wsp:rsid wsp:val=&quot;00F71925&quot;/&gt;&lt;wsp:rsid wsp:val=&quot;00F719BC&quot;/&gt;&lt;wsp:rsid wsp:val=&quot;00F71EAF&quot;/&gt;&lt;wsp:rsid wsp:val=&quot;00F72036&quot;/&gt;&lt;wsp:rsid wsp:val=&quot;00F72055&quot;/&gt;&lt;wsp:rsid wsp:val=&quot;00F725BB&quot;/&gt;&lt;wsp:rsid wsp:val=&quot;00F725CF&quot;/&gt;&lt;wsp:rsid wsp:val=&quot;00F72A1C&quot;/&gt;&lt;wsp:rsid wsp:val=&quot;00F72BCC&quot;/&gt;&lt;wsp:rsid wsp:val=&quot;00F731A7&quot;/&gt;&lt;wsp:rsid wsp:val=&quot;00F73451&quot;/&gt;&lt;wsp:rsid wsp:val=&quot;00F7346A&quot;/&gt;&lt;wsp:rsid wsp:val=&quot;00F73624&quot;/&gt;&lt;wsp:rsid wsp:val=&quot;00F73926&quot;/&gt;&lt;wsp:rsid wsp:val=&quot;00F73972&quot;/&gt;&lt;wsp:rsid wsp:val=&quot;00F73AEE&quot;/&gt;&lt;wsp:rsid wsp:val=&quot;00F74112&quot;/&gt;&lt;wsp:rsid wsp:val=&quot;00F74495&quot;/&gt;&lt;wsp:rsid wsp:val=&quot;00F74664&quot;/&gt;&lt;wsp:rsid wsp:val=&quot;00F749A8&quot;/&gt;&lt;wsp:rsid wsp:val=&quot;00F74F62&quot;/&gt;&lt;wsp:rsid wsp:val=&quot;00F7562E&quot;/&gt;&lt;wsp:rsid wsp:val=&quot;00F75C56&quot;/&gt;&lt;wsp:rsid wsp:val=&quot;00F762BD&quot;/&gt;&lt;wsp:rsid wsp:val=&quot;00F7651F&quot;/&gt;&lt;wsp:rsid wsp:val=&quot;00F766FC&quot;/&gt;&lt;wsp:rsid wsp:val=&quot;00F76938&quot;/&gt;&lt;wsp:rsid wsp:val=&quot;00F76AC0&quot;/&gt;&lt;wsp:rsid wsp:val=&quot;00F76CCB&quot;/&gt;&lt;wsp:rsid wsp:val=&quot;00F77029&quot;/&gt;&lt;wsp:rsid wsp:val=&quot;00F773AF&quot;/&gt;&lt;wsp:rsid wsp:val=&quot;00F77644&quot;/&gt;&lt;wsp:rsid wsp:val=&quot;00F77AAE&quot;/&gt;&lt;wsp:rsid wsp:val=&quot;00F80275&quot;/&gt;&lt;wsp:rsid wsp:val=&quot;00F802FC&quot;/&gt;&lt;wsp:rsid wsp:val=&quot;00F80C4F&quot;/&gt;&lt;wsp:rsid wsp:val=&quot;00F80D49&quot;/&gt;&lt;wsp:rsid wsp:val=&quot;00F81178&quot;/&gt;&lt;wsp:rsid wsp:val=&quot;00F81444&quot;/&gt;&lt;wsp:rsid wsp:val=&quot;00F818C1&quot;/&gt;&lt;wsp:rsid wsp:val=&quot;00F81966&quot;/&gt;&lt;wsp:rsid wsp:val=&quot;00F82197&quot;/&gt;&lt;wsp:rsid wsp:val=&quot;00F822E6&quot;/&gt;&lt;wsp:rsid wsp:val=&quot;00F835D4&quot;/&gt;&lt;wsp:rsid wsp:val=&quot;00F83677&quot;/&gt;&lt;wsp:rsid wsp:val=&quot;00F83BB6&quot;/&gt;&lt;wsp:rsid wsp:val=&quot;00F83C18&quot;/&gt;&lt;wsp:rsid wsp:val=&quot;00F83CD8&quot;/&gt;&lt;wsp:rsid wsp:val=&quot;00F84216&quot;/&gt;&lt;wsp:rsid wsp:val=&quot;00F8504E&quot;/&gt;&lt;wsp:rsid wsp:val=&quot;00F85052&quot;/&gt;&lt;wsp:rsid wsp:val=&quot;00F851A9&quot;/&gt;&lt;wsp:rsid wsp:val=&quot;00F85290&quot;/&gt;&lt;wsp:rsid wsp:val=&quot;00F852E2&quot;/&gt;&lt;wsp:rsid wsp:val=&quot;00F86373&quot;/&gt;&lt;wsp:rsid wsp:val=&quot;00F863BA&quot;/&gt;&lt;wsp:rsid wsp:val=&quot;00F8722E&quot;/&gt;&lt;wsp:rsid wsp:val=&quot;00F87766&quot;/&gt;&lt;wsp:rsid wsp:val=&quot;00F877FB&quot;/&gt;&lt;wsp:rsid wsp:val=&quot;00F9023B&quot;/&gt;&lt;wsp:rsid wsp:val=&quot;00F90624&quot;/&gt;&lt;wsp:rsid wsp:val=&quot;00F906FF&quot;/&gt;&lt;wsp:rsid wsp:val=&quot;00F908D6&quot;/&gt;&lt;wsp:rsid wsp:val=&quot;00F90D29&quot;/&gt;&lt;wsp:rsid wsp:val=&quot;00F90D50&quot;/&gt;&lt;wsp:rsid wsp:val=&quot;00F91320&quot;/&gt;&lt;wsp:rsid wsp:val=&quot;00F9138D&quot;/&gt;&lt;wsp:rsid wsp:val=&quot;00F91546&quot;/&gt;&lt;wsp:rsid wsp:val=&quot;00F921E5&quot;/&gt;&lt;wsp:rsid wsp:val=&quot;00F9234D&quot;/&gt;&lt;wsp:rsid wsp:val=&quot;00F925D7&quot;/&gt;&lt;wsp:rsid wsp:val=&quot;00F92AED&quot;/&gt;&lt;wsp:rsid wsp:val=&quot;00F92DC7&quot;/&gt;&lt;wsp:rsid wsp:val=&quot;00F92EEE&quot;/&gt;&lt;wsp:rsid wsp:val=&quot;00F92FA9&quot;/&gt;&lt;wsp:rsid wsp:val=&quot;00F93023&quot;/&gt;&lt;wsp:rsid wsp:val=&quot;00F93048&quot;/&gt;&lt;wsp:rsid wsp:val=&quot;00F9313D&quot;/&gt;&lt;wsp:rsid wsp:val=&quot;00F9364B&quot;/&gt;&lt;wsp:rsid wsp:val=&quot;00F937B8&quot;/&gt;&lt;wsp:rsid wsp:val=&quot;00F93B13&quot;/&gt;&lt;wsp:rsid wsp:val=&quot;00F93B1D&quot;/&gt;&lt;wsp:rsid wsp:val=&quot;00F9412E&quot;/&gt;&lt;wsp:rsid wsp:val=&quot;00F942B6&quot;/&gt;&lt;wsp:rsid wsp:val=&quot;00F94342&quot;/&gt;&lt;wsp:rsid wsp:val=&quot;00F95173&quot;/&gt;&lt;wsp:rsid wsp:val=&quot;00F95567&quot;/&gt;&lt;wsp:rsid wsp:val=&quot;00F95BD7&quot;/&gt;&lt;wsp:rsid wsp:val=&quot;00F960E3&quot;/&gt;&lt;wsp:rsid wsp:val=&quot;00F9623B&quot;/&gt;&lt;wsp:rsid wsp:val=&quot;00F96422&quot;/&gt;&lt;wsp:rsid wsp:val=&quot;00F96684&quot;/&gt;&lt;wsp:rsid wsp:val=&quot;00F96763&quot;/&gt;&lt;wsp:rsid wsp:val=&quot;00F96A76&quot;/&gt;&lt;wsp:rsid wsp:val=&quot;00F96BC3&quot;/&gt;&lt;wsp:rsid wsp:val=&quot;00F96BEB&quot;/&gt;&lt;wsp:rsid wsp:val=&quot;00F96CA8&quot;/&gt;&lt;wsp:rsid wsp:val=&quot;00F97C96&quot;/&gt;&lt;wsp:rsid wsp:val=&quot;00F97DAE&quot;/&gt;&lt;wsp:rsid wsp:val=&quot;00FA01BA&quot;/&gt;&lt;wsp:rsid wsp:val=&quot;00FA020C&quot;/&gt;&lt;wsp:rsid wsp:val=&quot;00FA0564&quot;/&gt;&lt;wsp:rsid wsp:val=&quot;00FA0738&quot;/&gt;&lt;wsp:rsid wsp:val=&quot;00FA0B4F&quot;/&gt;&lt;wsp:rsid wsp:val=&quot;00FA1308&quot;/&gt;&lt;wsp:rsid wsp:val=&quot;00FA137E&quot;/&gt;&lt;wsp:rsid wsp:val=&quot;00FA1ACF&quot;/&gt;&lt;wsp:rsid wsp:val=&quot;00FA1BA2&quot;/&gt;&lt;wsp:rsid wsp:val=&quot;00FA1E3F&quot;/&gt;&lt;wsp:rsid wsp:val=&quot;00FA2174&quot;/&gt;&lt;wsp:rsid wsp:val=&quot;00FA23E8&quot;/&gt;&lt;wsp:rsid wsp:val=&quot;00FA2914&quot;/&gt;&lt;wsp:rsid wsp:val=&quot;00FA2B2E&quot;/&gt;&lt;wsp:rsid wsp:val=&quot;00FA2B62&quot;/&gt;&lt;wsp:rsid wsp:val=&quot;00FA30F2&quot;/&gt;&lt;wsp:rsid wsp:val=&quot;00FA37F8&quot;/&gt;&lt;wsp:rsid wsp:val=&quot;00FA3C42&quot;/&gt;&lt;wsp:rsid wsp:val=&quot;00FA4625&quot;/&gt;&lt;wsp:rsid wsp:val=&quot;00FA4687&quot;/&gt;&lt;wsp:rsid wsp:val=&quot;00FA48D3&quot;/&gt;&lt;wsp:rsid wsp:val=&quot;00FA499D&quot;/&gt;&lt;wsp:rsid wsp:val=&quot;00FA4A25&quot;/&gt;&lt;wsp:rsid wsp:val=&quot;00FA4B70&quot;/&gt;&lt;wsp:rsid wsp:val=&quot;00FA4CB6&quot;/&gt;&lt;wsp:rsid wsp:val=&quot;00FA4CF3&quot;/&gt;&lt;wsp:rsid wsp:val=&quot;00FA4DAB&quot;/&gt;&lt;wsp:rsid wsp:val=&quot;00FA5641&quot;/&gt;&lt;wsp:rsid wsp:val=&quot;00FA56A7&quot;/&gt;&lt;wsp:rsid wsp:val=&quot;00FA5BAB&quot;/&gt;&lt;wsp:rsid wsp:val=&quot;00FA60EC&quot;/&gt;&lt;wsp:rsid wsp:val=&quot;00FA66AD&quot;/&gt;&lt;wsp:rsid wsp:val=&quot;00FA6C75&quot;/&gt;&lt;wsp:rsid wsp:val=&quot;00FA6DE2&quot;/&gt;&lt;wsp:rsid wsp:val=&quot;00FA7042&quot;/&gt;&lt;wsp:rsid wsp:val=&quot;00FA78C8&quot;/&gt;&lt;wsp:rsid wsp:val=&quot;00FB024C&quot;/&gt;&lt;wsp:rsid wsp:val=&quot;00FB0C29&quot;/&gt;&lt;wsp:rsid wsp:val=&quot;00FB0CE8&quot;/&gt;&lt;wsp:rsid wsp:val=&quot;00FB0F90&quot;/&gt;&lt;wsp:rsid wsp:val=&quot;00FB12D1&quot;/&gt;&lt;wsp:rsid wsp:val=&quot;00FB15AB&quot;/&gt;&lt;wsp:rsid wsp:val=&quot;00FB18B2&quot;/&gt;&lt;wsp:rsid wsp:val=&quot;00FB22A3&quot;/&gt;&lt;wsp:rsid wsp:val=&quot;00FB3017&quot;/&gt;&lt;wsp:rsid wsp:val=&quot;00FB3377&quot;/&gt;&lt;wsp:rsid wsp:val=&quot;00FB34A9&quot;/&gt;&lt;wsp:rsid wsp:val=&quot;00FB3D7C&quot;/&gt;&lt;wsp:rsid wsp:val=&quot;00FB4408&quot;/&gt;&lt;wsp:rsid wsp:val=&quot;00FB4510&quot;/&gt;&lt;wsp:rsid wsp:val=&quot;00FB45DE&quot;/&gt;&lt;wsp:rsid wsp:val=&quot;00FB4625&quot;/&gt;&lt;wsp:rsid wsp:val=&quot;00FB5DF8&quot;/&gt;&lt;wsp:rsid wsp:val=&quot;00FB63E9&quot;/&gt;&lt;wsp:rsid wsp:val=&quot;00FB68A1&quot;/&gt;&lt;wsp:rsid wsp:val=&quot;00FB6AEA&quot;/&gt;&lt;wsp:rsid wsp:val=&quot;00FB6E0A&quot;/&gt;&lt;wsp:rsid wsp:val=&quot;00FB6F95&quot;/&gt;&lt;wsp:rsid wsp:val=&quot;00FB7175&quot;/&gt;&lt;wsp:rsid wsp:val=&quot;00FB74CB&quot;/&gt;&lt;wsp:rsid wsp:val=&quot;00FB7DE5&quot;/&gt;&lt;wsp:rsid wsp:val=&quot;00FB7F7E&quot;/&gt;&lt;wsp:rsid wsp:val=&quot;00FC061B&quot;/&gt;&lt;wsp:rsid wsp:val=&quot;00FC06D0&quot;/&gt;&lt;wsp:rsid wsp:val=&quot;00FC16D5&quot;/&gt;&lt;wsp:rsid wsp:val=&quot;00FC172C&quot;/&gt;&lt;wsp:rsid wsp:val=&quot;00FC1C86&quot;/&gt;&lt;wsp:rsid wsp:val=&quot;00FC1CB2&quot;/&gt;&lt;wsp:rsid wsp:val=&quot;00FC24D1&quot;/&gt;&lt;wsp:rsid wsp:val=&quot;00FC30DD&quot;/&gt;&lt;wsp:rsid wsp:val=&quot;00FC3ADF&quot;/&gt;&lt;wsp:rsid wsp:val=&quot;00FC3B90&quot;/&gt;&lt;wsp:rsid wsp:val=&quot;00FC3BF9&quot;/&gt;&lt;wsp:rsid wsp:val=&quot;00FC4018&quot;/&gt;&lt;wsp:rsid wsp:val=&quot;00FC4050&quot;/&gt;&lt;wsp:rsid wsp:val=&quot;00FC41D5&quot;/&gt;&lt;wsp:rsid wsp:val=&quot;00FC4C6A&quot;/&gt;&lt;wsp:rsid wsp:val=&quot;00FC4C77&quot;/&gt;&lt;wsp:rsid wsp:val=&quot;00FC563D&quot;/&gt;&lt;wsp:rsid wsp:val=&quot;00FC5684&quot;/&gt;&lt;wsp:rsid wsp:val=&quot;00FC608E&quot;/&gt;&lt;wsp:rsid wsp:val=&quot;00FC6B75&quot;/&gt;&lt;wsp:rsid wsp:val=&quot;00FC74DD&quot;/&gt;&lt;wsp:rsid wsp:val=&quot;00FC7546&quot;/&gt;&lt;wsp:rsid wsp:val=&quot;00FC75E1&quot;/&gt;&lt;wsp:rsid wsp:val=&quot;00FC7C38&quot;/&gt;&lt;wsp:rsid wsp:val=&quot;00FD0474&quot;/&gt;&lt;wsp:rsid wsp:val=&quot;00FD0959&quot;/&gt;&lt;wsp:rsid wsp:val=&quot;00FD100D&quot;/&gt;&lt;wsp:rsid wsp:val=&quot;00FD13E1&quot;/&gt;&lt;wsp:rsid wsp:val=&quot;00FD20FE&quot;/&gt;&lt;wsp:rsid wsp:val=&quot;00FD21A7&quot;/&gt;&lt;wsp:rsid wsp:val=&quot;00FD30F7&quot;/&gt;&lt;wsp:rsid wsp:val=&quot;00FD3299&quot;/&gt;&lt;wsp:rsid wsp:val=&quot;00FD38E6&quot;/&gt;&lt;wsp:rsid wsp:val=&quot;00FD3AEB&quot;/&gt;&lt;wsp:rsid wsp:val=&quot;00FD3E0E&quot;/&gt;&lt;wsp:rsid wsp:val=&quot;00FD4358&quot;/&gt;&lt;wsp:rsid wsp:val=&quot;00FD4970&quot;/&gt;&lt;wsp:rsid wsp:val=&quot;00FD4D62&quot;/&gt;&lt;wsp:rsid wsp:val=&quot;00FD4F58&quot;/&gt;&lt;wsp:rsid wsp:val=&quot;00FD58E5&quot;/&gt;&lt;wsp:rsid wsp:val=&quot;00FD609F&quot;/&gt;&lt;wsp:rsid wsp:val=&quot;00FD6F02&quot;/&gt;&lt;wsp:rsid wsp:val=&quot;00FD6F1E&quot;/&gt;&lt;wsp:rsid wsp:val=&quot;00FD72D1&quot;/&gt;&lt;wsp:rsid wsp:val=&quot;00FD73A1&quot;/&gt;&lt;wsp:rsid wsp:val=&quot;00FD7501&quot;/&gt;&lt;wsp:rsid wsp:val=&quot;00FD7F40&quot;/&gt;&lt;wsp:rsid wsp:val=&quot;00FE0075&quot;/&gt;&lt;wsp:rsid wsp:val=&quot;00FE0B82&quot;/&gt;&lt;wsp:rsid wsp:val=&quot;00FE0E9B&quot;/&gt;&lt;wsp:rsid wsp:val=&quot;00FE0FB6&quot;/&gt;&lt;wsp:rsid wsp:val=&quot;00FE1737&quot;/&gt;&lt;wsp:rsid wsp:val=&quot;00FE2319&quot;/&gt;&lt;wsp:rsid wsp:val=&quot;00FE2989&quot;/&gt;&lt;wsp:rsid wsp:val=&quot;00FE2ACE&quot;/&gt;&lt;wsp:rsid wsp:val=&quot;00FE2E4F&quot;/&gt;&lt;wsp:rsid wsp:val=&quot;00FE3A9D&quot;/&gt;&lt;wsp:rsid wsp:val=&quot;00FE3EC2&quot;/&gt;&lt;wsp:rsid wsp:val=&quot;00FE406A&quot;/&gt;&lt;wsp:rsid wsp:val=&quot;00FE4BF2&quot;/&gt;&lt;wsp:rsid wsp:val=&quot;00FE5105&quot;/&gt;&lt;wsp:rsid wsp:val=&quot;00FE5622&quot;/&gt;&lt;wsp:rsid wsp:val=&quot;00FE5669&quot;/&gt;&lt;wsp:rsid wsp:val=&quot;00FE583C&quot;/&gt;&lt;wsp:rsid wsp:val=&quot;00FE5916&quot;/&gt;&lt;wsp:rsid wsp:val=&quot;00FE598C&quot;/&gt;&lt;wsp:rsid wsp:val=&quot;00FE5D28&quot;/&gt;&lt;wsp:rsid wsp:val=&quot;00FE5FC5&quot;/&gt;&lt;wsp:rsid wsp:val=&quot;00FE6246&quot;/&gt;&lt;wsp:rsid wsp:val=&quot;00FE7670&quot;/&gt;&lt;wsp:rsid wsp:val=&quot;00FE7AE4&quot;/&gt;&lt;wsp:rsid wsp:val=&quot;00FE7F2F&quot;/&gt;&lt;wsp:rsid wsp:val=&quot;00FF1083&quot;/&gt;&lt;wsp:rsid wsp:val=&quot;00FF1247&quot;/&gt;&lt;wsp:rsid wsp:val=&quot;00FF1397&quot;/&gt;&lt;wsp:rsid wsp:val=&quot;00FF14A8&quot;/&gt;&lt;wsp:rsid wsp:val=&quot;00FF150A&quot;/&gt;&lt;wsp:rsid wsp:val=&quot;00FF1719&quot;/&gt;&lt;wsp:rsid wsp:val=&quot;00FF19FD&quot;/&gt;&lt;wsp:rsid wsp:val=&quot;00FF1CF1&quot;/&gt;&lt;wsp:rsid wsp:val=&quot;00FF2619&quot;/&gt;&lt;wsp:rsid wsp:val=&quot;00FF32FC&quot;/&gt;&lt;wsp:rsid wsp:val=&quot;00FF3355&quot;/&gt;&lt;wsp:rsid wsp:val=&quot;00FF3540&quot;/&gt;&lt;wsp:rsid wsp:val=&quot;00FF3979&quot;/&gt;&lt;wsp:rsid wsp:val=&quot;00FF3ADA&quot;/&gt;&lt;wsp:rsid wsp:val=&quot;00FF3CDB&quot;/&gt;&lt;wsp:rsid wsp:val=&quot;00FF3D4C&quot;/&gt;&lt;wsp:rsid wsp:val=&quot;00FF431A&quot;/&gt;&lt;wsp:rsid wsp:val=&quot;00FF48AF&quot;/&gt;&lt;wsp:rsid wsp:val=&quot;00FF4C70&quot;/&gt;&lt;wsp:rsid wsp:val=&quot;00FF4C96&quot;/&gt;&lt;wsp:rsid wsp:val=&quot;00FF4E2D&quot;/&gt;&lt;wsp:rsid wsp:val=&quot;00FF4FC7&quot;/&gt;&lt;wsp:rsid wsp:val=&quot;00FF57B8&quot;/&gt;&lt;wsp:rsid wsp:val=&quot;00FF59D1&quot;/&gt;&lt;wsp:rsid wsp:val=&quot;00FF62D4&quot;/&gt;&lt;wsp:rsid wsp:val=&quot;00FF6374&quot;/&gt;&lt;wsp:rsid wsp:val=&quot;00FF6A1B&quot;/&gt;&lt;wsp:rsid wsp:val=&quot;00FF6AFD&quot;/&gt;&lt;wsp:rsid wsp:val=&quot;00FF7210&quot;/&gt;&lt;wsp:rsid wsp:val=&quot;00FF74F4&quot;/&gt;&lt;wsp:rsid wsp:val=&quot;00FF797F&quot;/&gt;&lt;wsp:rsid wsp:val=&quot;00FF7B89&quot;/&gt;&lt;wsp:rsid wsp:val=&quot;01904007&quot;/&gt;&lt;wsp:rsid wsp:val=&quot;01B52F7F&quot;/&gt;&lt;wsp:rsid wsp:val=&quot;02920095&quot;/&gt;&lt;wsp:rsid wsp:val=&quot;02B37479&quot;/&gt;&lt;wsp:rsid wsp:val=&quot;02FE2009&quot;/&gt;&lt;wsp:rsid wsp:val=&quot;0323755B&quot;/&gt;&lt;wsp:rsid wsp:val=&quot;03553E87&quot;/&gt;&lt;wsp:rsid wsp:val=&quot;03A5656E&quot;/&gt;&lt;wsp:rsid wsp:val=&quot;03BA728A&quot;/&gt;&lt;wsp:rsid wsp:val=&quot;03EE0A38&quot;/&gt;&lt;wsp:rsid wsp:val=&quot;04421A04&quot;/&gt;&lt;wsp:rsid wsp:val=&quot;044B2B57&quot;/&gt;&lt;wsp:rsid wsp:val=&quot;04596379&quot;/&gt;&lt;wsp:rsid wsp:val=&quot;053F4E39&quot;/&gt;&lt;wsp:rsid wsp:val=&quot;056A6865&quot;/&gt;&lt;wsp:rsid wsp:val=&quot;05957097&quot;/&gt;&lt;wsp:rsid wsp:val=&quot;05E01426&quot;/&gt;&lt;wsp:rsid wsp:val=&quot;05F645A1&quot;/&gt;&lt;wsp:rsid wsp:val=&quot;07166A08&quot;/&gt;&lt;wsp:rsid wsp:val=&quot;072B69E6&quot;/&gt;&lt;wsp:rsid wsp:val=&quot;076A13D5&quot;/&gt;&lt;wsp:rsid wsp:val=&quot;07D773D9&quot;/&gt;&lt;wsp:rsid wsp:val=&quot;080404DD&quot;/&gt;&lt;wsp:rsid wsp:val=&quot;0827789D&quot;/&gt;&lt;wsp:rsid wsp:val=&quot;086806A7&quot;/&gt;&lt;wsp:rsid wsp:val=&quot;08D94574&quot;/&gt;&lt;wsp:rsid wsp:val=&quot;09167866&quot;/&gt;&lt;wsp:rsid wsp:val=&quot;092B0E42&quot;/&gt;&lt;wsp:rsid wsp:val=&quot;094C3896&quot;/&gt;&lt;wsp:rsid wsp:val=&quot;099D379E&quot;/&gt;&lt;wsp:rsid wsp:val=&quot;09E276C0&quot;/&gt;&lt;wsp:rsid wsp:val=&quot;09ED0EB9&quot;/&gt;&lt;wsp:rsid wsp:val=&quot;09F95097&quot;/&gt;&lt;wsp:rsid wsp:val=&quot;0A21406A&quot;/&gt;&lt;wsp:rsid wsp:val=&quot;0A4773D0&quot;/&gt;&lt;wsp:rsid wsp:val=&quot;0A565F04&quot;/&gt;&lt;wsp:rsid wsp:val=&quot;0A5F2353&quot;/&gt;&lt;wsp:rsid wsp:val=&quot;0ABD5FBA&quot;/&gt;&lt;wsp:rsid wsp:val=&quot;0B5A2007&quot;/&gt;&lt;wsp:rsid wsp:val=&quot;0B7B3911&quot;/&gt;&lt;wsp:rsid wsp:val=&quot;0BF201A5&quot;/&gt;&lt;wsp:rsid wsp:val=&quot;0C5E3A38&quot;/&gt;&lt;wsp:rsid wsp:val=&quot;0C7D34DA&quot;/&gt;&lt;wsp:rsid wsp:val=&quot;0CB005DE&quot;/&gt;&lt;wsp:rsid wsp:val=&quot;0D08446E&quot;/&gt;&lt;wsp:rsid wsp:val=&quot;0D2B78E3&quot;/&gt;&lt;wsp:rsid wsp:val=&quot;0D4E4DAD&quot;/&gt;&lt;wsp:rsid wsp:val=&quot;0D51796B&quot;/&gt;&lt;wsp:rsid wsp:val=&quot;0D666B65&quot;/&gt;&lt;wsp:rsid wsp:val=&quot;0D9B676D&quot;/&gt;&lt;wsp:rsid wsp:val=&quot;0DCD44D3&quot;/&gt;&lt;wsp:rsid wsp:val=&quot;0DF441E4&quot;/&gt;&lt;wsp:rsid wsp:val=&quot;0E665707&quot;/&gt;&lt;wsp:rsid wsp:val=&quot;0EB1331A&quot;/&gt;&lt;wsp:rsid wsp:val=&quot;0EDC7530&quot;/&gt;&lt;wsp:rsid wsp:val=&quot;0EDE5C75&quot;/&gt;&lt;wsp:rsid wsp:val=&quot;0EE36FD4&quot;/&gt;&lt;wsp:rsid wsp:val=&quot;0F955D60&quot;/&gt;&lt;wsp:rsid wsp:val=&quot;0FA90366&quot;/&gt;&lt;wsp:rsid wsp:val=&quot;0FF33576&quot;/&gt;&lt;wsp:rsid wsp:val=&quot;101D5AE6&quot;/&gt;&lt;wsp:rsid wsp:val=&quot;103D5811&quot;/&gt;&lt;wsp:rsid wsp:val=&quot;106E4209&quot;/&gt;&lt;wsp:rsid wsp:val=&quot;108630D2&quot;/&gt;&lt;wsp:rsid wsp:val=&quot;10883793&quot;/&gt;&lt;wsp:rsid wsp:val=&quot;108B1CFD&quot;/&gt;&lt;wsp:rsid wsp:val=&quot;109B144E&quot;/&gt;&lt;wsp:rsid wsp:val=&quot;10B46EE2&quot;/&gt;&lt;wsp:rsid wsp:val=&quot;10CC691B&quot;/&gt;&lt;wsp:rsid wsp:val=&quot;110D4BBB&quot;/&gt;&lt;wsp:rsid wsp:val=&quot;11165221&quot;/&gt;&lt;wsp:rsid wsp:val=&quot;115437EB&quot;/&gt;&lt;wsp:rsid wsp:val=&quot;12487426&quot;/&gt;&lt;wsp:rsid wsp:val=&quot;13487CE2&quot;/&gt;&lt;wsp:rsid wsp:val=&quot;13BB6E4D&quot;/&gt;&lt;wsp:rsid wsp:val=&quot;13C771A7&quot;/&gt;&lt;wsp:rsid wsp:val=&quot;145D37A8&quot;/&gt;&lt;wsp:rsid wsp:val=&quot;151A407D&quot;/&gt;&lt;wsp:rsid wsp:val=&quot;152067EE&quot;/&gt;&lt;wsp:rsid wsp:val=&quot;1609079A&quot;/&gt;&lt;wsp:rsid wsp:val=&quot;160D7807&quot;/&gt;&lt;wsp:rsid wsp:val=&quot;16315934&quot;/&gt;&lt;wsp:rsid wsp:val=&quot;164E43DF&quot;/&gt;&lt;wsp:rsid wsp:val=&quot;16707602&quot;/&gt;&lt;wsp:rsid wsp:val=&quot;16BC0232&quot;/&gt;&lt;wsp:rsid wsp:val=&quot;16EE1DF7&quot;/&gt;&lt;wsp:rsid wsp:val=&quot;171F61DF&quot;/&gt;&lt;wsp:rsid wsp:val=&quot;1783778D&quot;/&gt;&lt;wsp:rsid wsp:val=&quot;17C14FC3&quot;/&gt;&lt;wsp:rsid wsp:val=&quot;17EF7588&quot;/&gt;&lt;wsp:rsid wsp:val=&quot;183F1BA5&quot;/&gt;&lt;wsp:rsid wsp:val=&quot;184F140A&quot;/&gt;&lt;wsp:rsid wsp:val=&quot;186F37E2&quot;/&gt;&lt;wsp:rsid wsp:val=&quot;18FB0F66&quot;/&gt;&lt;wsp:rsid wsp:val=&quot;18FB7085&quot;/&gt;&lt;wsp:rsid wsp:val=&quot;19162B71&quot;/&gt;&lt;wsp:rsid wsp:val=&quot;19715863&quot;/&gt;&lt;wsp:rsid wsp:val=&quot;198753E9&quot;/&gt;&lt;wsp:rsid wsp:val=&quot;19C90D7B&quot;/&gt;&lt;wsp:rsid wsp:val=&quot;1A7B33B3&quot;/&gt;&lt;wsp:rsid wsp:val=&quot;1A88652C&quot;/&gt;&lt;wsp:rsid wsp:val=&quot;1A8F752E&quot;/&gt;&lt;wsp:rsid wsp:val=&quot;1A953298&quot;/&gt;&lt;wsp:rsid wsp:val=&quot;1AD95BC6&quot;/&gt;&lt;wsp:rsid wsp:val=&quot;1B5416E1&quot;/&gt;&lt;wsp:rsid wsp:val=&quot;1B565900&quot;/&gt;&lt;wsp:rsid wsp:val=&quot;1BCE3E3D&quot;/&gt;&lt;wsp:rsid wsp:val=&quot;1C4E50B2&quot;/&gt;&lt;wsp:rsid wsp:val=&quot;1C943B2A&quot;/&gt;&lt;wsp:rsid wsp:val=&quot;1CA71586&quot;/&gt;&lt;wsp:rsid wsp:val=&quot;1CB01854&quot;/&gt;&lt;wsp:rsid wsp:val=&quot;1D533F6A&quot;/&gt;&lt;wsp:rsid wsp:val=&quot;1D8C54C6&quot;/&gt;&lt;wsp:rsid wsp:val=&quot;1D933007&quot;/&gt;&lt;wsp:rsid wsp:val=&quot;1DB179FD&quot;/&gt;&lt;wsp:rsid wsp:val=&quot;1DE567F3&quot;/&gt;&lt;wsp:rsid wsp:val=&quot;1E8929A6&quot;/&gt;&lt;wsp:rsid wsp:val=&quot;1EC70060&quot;/&gt;&lt;wsp:rsid wsp:val=&quot;1EF27054&quot;/&gt;&lt;wsp:rsid wsp:val=&quot;1F2D5BAC&quot;/&gt;&lt;wsp:rsid wsp:val=&quot;1FFE0A96&quot;/&gt;&lt;wsp:rsid wsp:val=&quot;200640FC&quot;/&gt;&lt;wsp:rsid wsp:val=&quot;209C0BDB&quot;/&gt;&lt;wsp:rsid wsp:val=&quot;20B84BB9&quot;/&gt;&lt;wsp:rsid wsp:val=&quot;20BB38E7&quot;/&gt;&lt;wsp:rsid wsp:val=&quot;218B773D&quot;/&gt;&lt;wsp:rsid wsp:val=&quot;21AC6F9D&quot;/&gt;&lt;wsp:rsid wsp:val=&quot;21C16FD7&quot;/&gt;&lt;wsp:rsid wsp:val=&quot;224E132E&quot;/&gt;&lt;wsp:rsid wsp:val=&quot;22773A35&quot;/&gt;&lt;wsp:rsid wsp:val=&quot;22C244A5&quot;/&gt;&lt;wsp:rsid wsp:val=&quot;22CA5EAA&quot;/&gt;&lt;wsp:rsid wsp:val=&quot;231A049F&quot;/&gt;&lt;wsp:rsid wsp:val=&quot;239B6ED3&quot;/&gt;&lt;wsp:rsid wsp:val=&quot;23DF2CE7&quot;/&gt;&lt;wsp:rsid wsp:val=&quot;24490971&quot;/&gt;&lt;wsp:rsid wsp:val=&quot;248A2873&quot;/&gt;&lt;wsp:rsid wsp:val=&quot;24B91B41&quot;/&gt;&lt;wsp:rsid wsp:val=&quot;25020AE4&quot;/&gt;&lt;wsp:rsid wsp:val=&quot;251004E7&quot;/&gt;&lt;wsp:rsid wsp:val=&quot;25AF7328&quot;/&gt;&lt;wsp:rsid wsp:val=&quot;25CA697A&quot;/&gt;&lt;wsp:rsid wsp:val=&quot;26336213&quot;/&gt;&lt;wsp:rsid wsp:val=&quot;266712D5&quot;/&gt;&lt;wsp:rsid wsp:val=&quot;266B7CE1&quot;/&gt;&lt;wsp:rsid wsp:val=&quot;26C82176&quot;/&gt;&lt;wsp:rsid wsp:val=&quot;26FA7F38&quot;/&gt;&lt;wsp:rsid wsp:val=&quot;272357C9&quot;/&gt;&lt;wsp:rsid wsp:val=&quot;279E4B32&quot;/&gt;&lt;wsp:rsid wsp:val=&quot;27CC0F8A&quot;/&gt;&lt;wsp:rsid wsp:val=&quot;28362D4D&quot;/&gt;&lt;wsp:rsid wsp:val=&quot;28834FC2&quot;/&gt;&lt;wsp:rsid wsp:val=&quot;288D067D&quot;/&gt;&lt;wsp:rsid wsp:val=&quot;28BB61B8&quot;/&gt;&lt;wsp:rsid wsp:val=&quot;28C424DA&quot;/&gt;&lt;wsp:rsid wsp:val=&quot;28EF6012&quot;/&gt;&lt;wsp:rsid wsp:val=&quot;293943AB&quot;/&gt;&lt;wsp:rsid wsp:val=&quot;294A5328&quot;/&gt;&lt;wsp:rsid wsp:val=&quot;29562CBE&quot;/&gt;&lt;wsp:rsid wsp:val=&quot;297C1EF1&quot;/&gt;&lt;wsp:rsid wsp:val=&quot;29986D6E&quot;/&gt;&lt;wsp:rsid wsp:val=&quot;29B82DF9&quot;/&gt;&lt;wsp:rsid wsp:val=&quot;29DA2123&quot;/&gt;&lt;wsp:rsid wsp:val=&quot;2A1358E7&quot;/&gt;&lt;wsp:rsid wsp:val=&quot;2A1424A2&quot;/&gt;&lt;wsp:rsid wsp:val=&quot;2A2C044F&quot;/&gt;&lt;wsp:rsid wsp:val=&quot;2A5976D6&quot;/&gt;&lt;wsp:rsid wsp:val=&quot;2A667EDB&quot;/&gt;&lt;wsp:rsid wsp:val=&quot;2A867DD6&quot;/&gt;&lt;wsp:rsid wsp:val=&quot;2A9A10B9&quot;/&gt;&lt;wsp:rsid wsp:val=&quot;2ACD3BEC&quot;/&gt;&lt;wsp:rsid wsp:val=&quot;2BA528F7&quot;/&gt;&lt;wsp:rsid wsp:val=&quot;2C592B9B&quot;/&gt;&lt;wsp:rsid wsp:val=&quot;2CA96BB4&quot;/&gt;&lt;wsp:rsid wsp:val=&quot;2CC060EE&quot;/&gt;&lt;wsp:rsid wsp:val=&quot;2CEB42EE&quot;/&gt;&lt;wsp:rsid wsp:val=&quot;2CEE1C6D&quot;/&gt;&lt;wsp:rsid wsp:val=&quot;2CF94377&quot;/&gt;&lt;wsp:rsid wsp:val=&quot;2D60265C&quot;/&gt;&lt;wsp:rsid wsp:val=&quot;2D90533A&quot;/&gt;&lt;wsp:rsid wsp:val=&quot;2E75070D&quot;/&gt;&lt;wsp:rsid wsp:val=&quot;2E75790E&quot;/&gt;&lt;wsp:rsid wsp:val=&quot;2E9C7473&quot;/&gt;&lt;wsp:rsid wsp:val=&quot;2EB47F6B&quot;/&gt;&lt;wsp:rsid wsp:val=&quot;2FAF4850&quot;/&gt;&lt;wsp:rsid wsp:val=&quot;2FD15770&quot;/&gt;&lt;wsp:rsid wsp:val=&quot;305F12C7&quot;/&gt;&lt;wsp:rsid wsp:val=&quot;30B7776F&quot;/&gt;&lt;wsp:rsid wsp:val=&quot;31303E97&quot;/&gt;&lt;wsp:rsid wsp:val=&quot;31BC7E43&quot;/&gt;&lt;wsp:rsid wsp:val=&quot;322E27C9&quot;/&gt;&lt;wsp:rsid wsp:val=&quot;3268631D&quot;/&gt;&lt;wsp:rsid wsp:val=&quot;32B6014E&quot;/&gt;&lt;wsp:rsid wsp:val=&quot;33983990&quot;/&gt;&lt;wsp:rsid wsp:val=&quot;339972D2&quot;/&gt;&lt;wsp:rsid wsp:val=&quot;339A2B59&quot;/&gt;&lt;wsp:rsid wsp:val=&quot;33C1435D&quot;/&gt;&lt;wsp:rsid wsp:val=&quot;33C57E14&quot;/&gt;&lt;wsp:rsid wsp:val=&quot;33E312BB&quot;/&gt;&lt;wsp:rsid wsp:val=&quot;33EB32F2&quot;/&gt;&lt;wsp:rsid wsp:val=&quot;33ED430A&quot;/&gt;&lt;wsp:rsid wsp:val=&quot;34A777FF&quot;/&gt;&lt;wsp:rsid wsp:val=&quot;34AD215C&quot;/&gt;&lt;wsp:rsid wsp:val=&quot;356F4861&quot;/&gt;&lt;wsp:rsid wsp:val=&quot;35744F05&quot;/&gt;&lt;wsp:rsid wsp:val=&quot;35D65175&quot;/&gt;&lt;wsp:rsid wsp:val=&quot;36724672&quot;/&gt;&lt;wsp:rsid wsp:val=&quot;369F1C1F&quot;/&gt;&lt;wsp:rsid wsp:val=&quot;36C46922&quot;/&gt;&lt;wsp:rsid wsp:val=&quot;374F3B2F&quot;/&gt;&lt;wsp:rsid wsp:val=&quot;376003CF&quot;/&gt;&lt;wsp:rsid wsp:val=&quot;376D0368&quot;/&gt;&lt;wsp:rsid wsp:val=&quot;37E32F9A&quot;/&gt;&lt;wsp:rsid wsp:val=&quot;37F560F4&quot;/&gt;&lt;wsp:rsid wsp:val=&quot;389B6149&quot;/&gt;&lt;wsp:rsid wsp:val=&quot;389E5AAC&quot;/&gt;&lt;wsp:rsid wsp:val=&quot;38D618CA&quot;/&gt;&lt;wsp:rsid wsp:val=&quot;39014F7D&quot;/&gt;&lt;wsp:rsid wsp:val=&quot;39417FF5&quot;/&gt;&lt;wsp:rsid wsp:val=&quot;39532D82&quot;/&gt;&lt;wsp:rsid wsp:val=&quot;39A21F72&quot;/&gt;&lt;wsp:rsid wsp:val=&quot;39C31AF2&quot;/&gt;&lt;wsp:rsid wsp:val=&quot;39C36A5B&quot;/&gt;&lt;wsp:rsid wsp:val=&quot;39DA4BD5&quot;/&gt;&lt;wsp:rsid wsp:val=&quot;3A150264&quot;/&gt;&lt;wsp:rsid wsp:val=&quot;3A6B28F3&quot;/&gt;&lt;wsp:rsid wsp:val=&quot;3BD77ED0&quot;/&gt;&lt;wsp:rsid wsp:val=&quot;3BF7356A&quot;/&gt;&lt;wsp:rsid wsp:val=&quot;3C3B6104&quot;/&gt;&lt;wsp:rsid wsp:val=&quot;3C544E6E&quot;/&gt;&lt;wsp:rsid wsp:val=&quot;3C937972&quot;/&gt;&lt;wsp:rsid wsp:val=&quot;3CC06927&quot;/&gt;&lt;wsp:rsid wsp:val=&quot;3D853B21&quot;/&gt;&lt;wsp:rsid wsp:val=&quot;3DAF2871&quot;/&gt;&lt;wsp:rsid wsp:val=&quot;3E0165C6&quot;/&gt;&lt;wsp:rsid wsp:val=&quot;3E2C3208&quot;/&gt;&lt;wsp:rsid wsp:val=&quot;3E821DCF&quot;/&gt;&lt;wsp:rsid wsp:val=&quot;3EE90255&quot;/&gt;&lt;wsp:rsid wsp:val=&quot;3F1324E3&quot;/&gt;&lt;wsp:rsid wsp:val=&quot;3F195879&quot;/&gt;&lt;wsp:rsid wsp:val=&quot;3F1B2688&quot;/&gt;&lt;wsp:rsid wsp:val=&quot;3FF56548&quot;/&gt;&lt;wsp:rsid wsp:val=&quot;3FFE6A7F&quot;/&gt;&lt;wsp:rsid wsp:val=&quot;4015585F&quot;/&gt;&lt;wsp:rsid wsp:val=&quot;417F46C5&quot;/&gt;&lt;wsp:rsid wsp:val=&quot;422755D9&quot;/&gt;&lt;wsp:rsid wsp:val=&quot;42652B3F&quot;/&gt;&lt;wsp:rsid wsp:val=&quot;42E875BF&quot;/&gt;&lt;wsp:rsid wsp:val=&quot;433E3666&quot;/&gt;&lt;wsp:rsid wsp:val=&quot;43633399&quot;/&gt;&lt;wsp:rsid wsp:val=&quot;43B12C78&quot;/&gt;&lt;wsp:rsid wsp:val=&quot;448501F9&quot;/&gt;&lt;wsp:rsid wsp:val=&quot;44AE1FAF&quot;/&gt;&lt;wsp:rsid wsp:val=&quot;44E81115&quot;/&gt;&lt;wsp:rsid wsp:val=&quot;456304C5&quot;/&gt;&lt;wsp:rsid wsp:val=&quot;45BD215A&quot;/&gt;&lt;wsp:rsid wsp:val=&quot;45CD1A46&quot;/&gt;&lt;wsp:rsid wsp:val=&quot;462D0C89&quot;/&gt;&lt;wsp:rsid wsp:val=&quot;4636084B&quot;/&gt;&lt;wsp:rsid wsp:val=&quot;46506C11&quot;/&gt;&lt;wsp:rsid wsp:val=&quot;46DF32AF&quot;/&gt;&lt;wsp:rsid wsp:val=&quot;472F3A5C&quot;/&gt;&lt;wsp:rsid wsp:val=&quot;47594679&quot;/&gt;&lt;wsp:rsid wsp:val=&quot;47ED5B5F&quot;/&gt;&lt;wsp:rsid wsp:val=&quot;47FD6FCC&quot;/&gt;&lt;wsp:rsid wsp:val=&quot;48347217&quot;/&gt;&lt;wsp:rsid wsp:val=&quot;48B64B23&quot;/&gt;&lt;wsp:rsid wsp:val=&quot;48F96550&quot;/&gt;&lt;wsp:rsid wsp:val=&quot;492679B2&quot;/&gt;&lt;wsp:rsid wsp:val=&quot;49497B6C&quot;/&gt;&lt;wsp:rsid wsp:val=&quot;49660A12&quot;/&gt;&lt;wsp:rsid wsp:val=&quot;49C661D5&quot;/&gt;&lt;wsp:rsid wsp:val=&quot;49D626BA&quot;/&gt;&lt;wsp:rsid wsp:val=&quot;49EF206F&quot;/&gt;&lt;wsp:rsid wsp:val=&quot;4A1A2C9C&quot;/&gt;&lt;wsp:rsid wsp:val=&quot;4A350712&quot;/&gt;&lt;wsp:rsid wsp:val=&quot;4A4D411E&quot;/&gt;&lt;wsp:rsid wsp:val=&quot;4AB110E7&quot;/&gt;&lt;wsp:rsid wsp:val=&quot;4B0B5F1E&quot;/&gt;&lt;wsp:rsid wsp:val=&quot;4B3E4CC6&quot;/&gt;&lt;wsp:rsid wsp:val=&quot;4B9E2626&quot;/&gt;&lt;wsp:rsid wsp:val=&quot;4BC65E61&quot;/&gt;&lt;wsp:rsid wsp:val=&quot;4BDD7CAC&quot;/&gt;&lt;wsp:rsid wsp:val=&quot;4C3F3714&quot;/&gt;&lt;wsp:rsid wsp:val=&quot;4CB66873&quot;/&gt;&lt;wsp:rsid wsp:val=&quot;4D5512A6&quot;/&gt;&lt;wsp:rsid wsp:val=&quot;4D6E4BF8&quot;/&gt;&lt;wsp:rsid wsp:val=&quot;4DA451BE&quot;/&gt;&lt;wsp:rsid wsp:val=&quot;4DEE1582&quot;/&gt;&lt;wsp:rsid wsp:val=&quot;4E3F09D6&quot;/&gt;&lt;wsp:rsid wsp:val=&quot;4E4064A4&quot;/&gt;&lt;wsp:rsid wsp:val=&quot;4E787E97&quot;/&gt;&lt;wsp:rsid wsp:val=&quot;4E824921&quot;/&gt;&lt;wsp:rsid wsp:val=&quot;4E945A3C&quot;/&gt;&lt;wsp:rsid wsp:val=&quot;4EAF4003&quot;/&gt;&lt;wsp:rsid wsp:val=&quot;4ED55179&quot;/&gt;&lt;wsp:rsid wsp:val=&quot;4F2749C2&quot;/&gt;&lt;wsp:rsid wsp:val=&quot;4F405267&quot;/&gt;&lt;wsp:rsid wsp:val=&quot;4FA64580&quot;/&gt;&lt;wsp:rsid wsp:val=&quot;4FD74657&quot;/&gt;&lt;wsp:rsid wsp:val=&quot;4FE06A80&quot;/&gt;&lt;wsp:rsid wsp:val=&quot;4FE17582&quot;/&gt;&lt;wsp:rsid wsp:val=&quot;503F6DF4&quot;/&gt;&lt;wsp:rsid wsp:val=&quot;50905A3B&quot;/&gt;&lt;wsp:rsid wsp:val=&quot;50A91494&quot;/&gt;&lt;wsp:rsid wsp:val=&quot;50AF506E&quot;/&gt;&lt;wsp:rsid wsp:val=&quot;50D7647F&quot;/&gt;&lt;wsp:rsid wsp:val=&quot;51262697&quot;/&gt;&lt;wsp:rsid wsp:val=&quot;513C0A75&quot;/&gt;&lt;wsp:rsid wsp:val=&quot;51843EF1&quot;/&gt;&lt;wsp:rsid wsp:val=&quot;519C5CD8&quot;/&gt;&lt;wsp:rsid wsp:val=&quot;51AB1600&quot;/&gt;&lt;wsp:rsid wsp:val=&quot;52033936&quot;/&gt;&lt;wsp:rsid wsp:val=&quot;522B56F7&quot;/&gt;&lt;wsp:rsid wsp:val=&quot;52562BF1&quot;/&gt;&lt;wsp:rsid wsp:val=&quot;526A1AAB&quot;/&gt;&lt;wsp:rsid wsp:val=&quot;527E482E&quot;/&gt;&lt;wsp:rsid wsp:val=&quot;52A20D24&quot;/&gt;&lt;wsp:rsid wsp:val=&quot;52CD48B5&quot;/&gt;&lt;wsp:rsid wsp:val=&quot;532A7E1B&quot;/&gt;&lt;wsp:rsid wsp:val=&quot;534472D7&quot;/&gt;&lt;wsp:rsid wsp:val=&quot;53562019&quot;/&gt;&lt;wsp:rsid wsp:val=&quot;536924F3&quot;/&gt;&lt;wsp:rsid wsp:val=&quot;53DF638D&quot;/&gt;&lt;wsp:rsid wsp:val=&quot;541D7EF3&quot;/&gt;&lt;wsp:rsid wsp:val=&quot;54227B98&quot;/&gt;&lt;wsp:rsid wsp:val=&quot;54823852&quot;/&gt;&lt;wsp:rsid wsp:val=&quot;54F7137E&quot;/&gt;&lt;wsp:rsid wsp:val=&quot;557A1AD2&quot;/&gt;&lt;wsp:rsid wsp:val=&quot;55B00CDC&quot;/&gt;&lt;wsp:rsid wsp:val=&quot;55B473AC&quot;/&gt;&lt;wsp:rsid wsp:val=&quot;56335093&quot;/&gt;&lt;wsp:rsid wsp:val=&quot;56582DE2&quot;/&gt;&lt;wsp:rsid wsp:val=&quot;56C050DA&quot;/&gt;&lt;wsp:rsid wsp:val=&quot;56C851F5&quot;/&gt;&lt;wsp:rsid wsp:val=&quot;576D1373&quot;/&gt;&lt;wsp:rsid wsp:val=&quot;57845C63&quot;/&gt;&lt;wsp:rsid wsp:val=&quot;57CC3BB5&quot;/&gt;&lt;wsp:rsid wsp:val=&quot;58330E3D&quot;/&gt;&lt;wsp:rsid wsp:val=&quot;584949AE&quot;/&gt;&lt;wsp:rsid wsp:val=&quot;585154C0&quot;/&gt;&lt;wsp:rsid wsp:val=&quot;58536F80&quot;/&gt;&lt;wsp:rsid wsp:val=&quot;58602963&quot;/&gt;&lt;wsp:rsid wsp:val=&quot;586650F0&quot;/&gt;&lt;wsp:rsid wsp:val=&quot;591C3767&quot;/&gt;&lt;wsp:rsid wsp:val=&quot;59FE2D26&quot;/&gt;&lt;wsp:rsid wsp:val=&quot;5A0E08BC&quot;/&gt;&lt;wsp:rsid wsp:val=&quot;5A14569F&quot;/&gt;&lt;wsp:rsid wsp:val=&quot;5A1C3D0F&quot;/&gt;&lt;wsp:rsid wsp:val=&quot;5A3011EB&quot;/&gt;&lt;wsp:rsid wsp:val=&quot;5A7C7B14&quot;/&gt;&lt;wsp:rsid wsp:val=&quot;5A9F41D4&quot;/&gt;&lt;wsp:rsid wsp:val=&quot;5B6750FE&quot;/&gt;&lt;wsp:rsid wsp:val=&quot;5B812FC1&quot;/&gt;&lt;wsp:rsid wsp:val=&quot;5B9961BA&quot;/&gt;&lt;wsp:rsid wsp:val=&quot;5BCB2884&quot;/&gt;&lt;wsp:rsid wsp:val=&quot;5C253161&quot;/&gt;&lt;wsp:rsid wsp:val=&quot;5C31365A&quot;/&gt;&lt;wsp:rsid wsp:val=&quot;5C5816D5&quot;/&gt;&lt;wsp:rsid wsp:val=&quot;5C6E731E&quot;/&gt;&lt;wsp:rsid wsp:val=&quot;5CBF5572&quot;/&gt;&lt;wsp:rsid wsp:val=&quot;5D0B7E24&quot;/&gt;&lt;wsp:rsid wsp:val=&quot;5D0C02AA&quot;/&gt;&lt;wsp:rsid wsp:val=&quot;5D20757B&quot;/&gt;&lt;wsp:rsid wsp:val=&quot;5D7C3215&quot;/&gt;&lt;wsp:rsid wsp:val=&quot;5DAD3FBE&quot;/&gt;&lt;wsp:rsid wsp:val=&quot;5E312CCA&quot;/&gt;&lt;wsp:rsid wsp:val=&quot;5E8A123E&quot;/&gt;&lt;wsp:rsid wsp:val=&quot;5E92443D&quot;/&gt;&lt;wsp:rsid wsp:val=&quot;5EB35A42&quot;/&gt;&lt;wsp:rsid wsp:val=&quot;5F0A4B08&quot;/&gt;&lt;wsp:rsid wsp:val=&quot;5F8D1535&quot;/&gt;&lt;wsp:rsid wsp:val=&quot;5F95411D&quot;/&gt;&lt;wsp:rsid wsp:val=&quot;5F974DD7&quot;/&gt;&lt;wsp:rsid wsp:val=&quot;5FF347A0&quot;/&gt;&lt;wsp:rsid wsp:val=&quot;60050D0A&quot;/&gt;&lt;wsp:rsid wsp:val=&quot;600D643D&quot;/&gt;&lt;wsp:rsid wsp:val=&quot;60521D85&quot;/&gt;&lt;wsp:rsid wsp:val=&quot;605D356F&quot;/&gt;&lt;wsp:rsid wsp:val=&quot;60EC344B&quot;/&gt;&lt;wsp:rsid wsp:val=&quot;60F54484&quot;/&gt;&lt;wsp:rsid wsp:val=&quot;615658EE&quot;/&gt;&lt;wsp:rsid wsp:val=&quot;615E5935&quot;/&gt;&lt;wsp:rsid wsp:val=&quot;61A23A1A&quot;/&gt;&lt;wsp:rsid wsp:val=&quot;61CA359F&quot;/&gt;&lt;wsp:rsid wsp:val=&quot;624B08A7&quot;/&gt;&lt;wsp:rsid wsp:val=&quot;6274528B&quot;/&gt;&lt;wsp:rsid wsp:val=&quot;627F1C15&quot;/&gt;&lt;wsp:rsid wsp:val=&quot;62B90ADA&quot;/&gt;&lt;wsp:rsid wsp:val=&quot;63067368&quot;/&gt;&lt;wsp:rsid wsp:val=&quot;636A20D2&quot;/&gt;&lt;wsp:rsid wsp:val=&quot;637B5989&quot;/&gt;&lt;wsp:rsid wsp:val=&quot;63AA0D0D&quot;/&gt;&lt;wsp:rsid wsp:val=&quot;646111D5&quot;/&gt;&lt;wsp:rsid wsp:val=&quot;64914931&quot;/&gt;&lt;wsp:rsid wsp:val=&quot;652D5D3B&quot;/&gt;&lt;wsp:rsid wsp:val=&quot;653B7FE3&quot;/&gt;&lt;wsp:rsid wsp:val=&quot;668762B5&quot;/&gt;&lt;wsp:rsid wsp:val=&quot;66FA33A2&quot;/&gt;&lt;wsp:rsid wsp:val=&quot;67112A52&quot;/&gt;&lt;wsp:rsid wsp:val=&quot;671203FE&quot;/&gt;&lt;wsp:rsid wsp:val=&quot;676B6CF9&quot;/&gt;&lt;wsp:rsid wsp:val=&quot;677E3E01&quot;/&gt;&lt;wsp:rsid wsp:val=&quot;67EF5708&quot;/&gt;&lt;wsp:rsid wsp:val=&quot;685E3252&quot;/&gt;&lt;wsp:rsid wsp:val=&quot;69432CF1&quot;/&gt;&lt;wsp:rsid wsp:val=&quot;69547606&quot;/&gt;&lt;wsp:rsid wsp:val=&quot;696F37AB&quot;/&gt;&lt;wsp:rsid wsp:val=&quot;697D28AB&quot;/&gt;&lt;wsp:rsid wsp:val=&quot;6A1D6D4E&quot;/&gt;&lt;wsp:rsid wsp:val=&quot;6A593BA5&quot;/&gt;&lt;wsp:rsid wsp:val=&quot;6B1B0967&quot;/&gt;&lt;wsp:rsid wsp:val=&quot;6B920F86&quot;/&gt;&lt;wsp:rsid wsp:val=&quot;6BC03D24&quot;/&gt;&lt;wsp:rsid wsp:val=&quot;6C0E47D6&quot;/&gt;&lt;wsp:rsid wsp:val=&quot;6C6C2814&quot;/&gt;&lt;wsp:rsid wsp:val=&quot;6D1E188C&quot;/&gt;&lt;wsp:rsid wsp:val=&quot;6D3D19ED&quot;/&gt;&lt;wsp:rsid wsp:val=&quot;6D5301C5&quot;/&gt;&lt;wsp:rsid wsp:val=&quot;6D946491&quot;/&gt;&lt;wsp:rsid wsp:val=&quot;6E210F62&quot;/&gt;&lt;wsp:rsid wsp:val=&quot;6E2B1482&quot;/&gt;&lt;wsp:rsid wsp:val=&quot;6E3A4328&quot;/&gt;&lt;wsp:rsid wsp:val=&quot;6E9852ED&quot;/&gt;&lt;wsp:rsid wsp:val=&quot;6EB826D6&quot;/&gt;&lt;wsp:rsid wsp:val=&quot;6F3F0791&quot;/&gt;&lt;wsp:rsid wsp:val=&quot;7039390D&quot;/&gt;&lt;wsp:rsid wsp:val=&quot;704857D2&quot;/&gt;&lt;wsp:rsid wsp:val=&quot;70AD34E2&quot;/&gt;&lt;wsp:rsid wsp:val=&quot;70F31224&quot;/&gt;&lt;wsp:rsid wsp:val=&quot;710418E1&quot;/&gt;&lt;wsp:rsid wsp:val=&quot;71946E48&quot;/&gt;&lt;wsp:rsid wsp:val=&quot;723412BE&quot;/&gt;&lt;wsp:rsid wsp:val=&quot;728F7361&quot;/&gt;&lt;wsp:rsid wsp:val=&quot;72A65046&quot;/&gt;&lt;wsp:rsid wsp:val=&quot;732A5EA0&quot;/&gt;&lt;wsp:rsid wsp:val=&quot;733B144C&quot;/&gt;&lt;wsp:rsid wsp:val=&quot;734F28B9&quot;/&gt;&lt;wsp:rsid wsp:val=&quot;73890EE2&quot;/&gt;&lt;wsp:rsid wsp:val=&quot;73C85B40&quot;/&gt;&lt;wsp:rsid wsp:val=&quot;741802A5&quot;/&gt;&lt;wsp:rsid wsp:val=&quot;74390556&quot;/&gt;&lt;wsp:rsid wsp:val=&quot;747C3740&quot;/&gt;&lt;wsp:rsid wsp:val=&quot;74F26A35&quot;/&gt;&lt;wsp:rsid wsp:val=&quot;75B51ECF&quot;/&gt;&lt;wsp:rsid wsp:val=&quot;75EA47CE&quot;/&gt;&lt;wsp:rsid wsp:val=&quot;76426669&quot;/&gt;&lt;wsp:rsid wsp:val=&quot;76964626&quot;/&gt;&lt;wsp:rsid wsp:val=&quot;769A15AF&quot;/&gt;&lt;wsp:rsid wsp:val=&quot;775C53AC&quot;/&gt;&lt;wsp:rsid wsp:val=&quot;77B1317B&quot;/&gt;&lt;wsp:rsid wsp:val=&quot;77B31097&quot;/&gt;&lt;wsp:rsid wsp:val=&quot;7810051E&quot;/&gt;&lt;wsp:rsid wsp:val=&quot;7861350B&quot;/&gt;&lt;wsp:rsid wsp:val=&quot;786765F6&quot;/&gt;&lt;wsp:rsid wsp:val=&quot;78BC04E7&quot;/&gt;&lt;wsp:rsid wsp:val=&quot;78D57477&quot;/&gt;&lt;wsp:rsid wsp:val=&quot;79241D3B&quot;/&gt;&lt;wsp:rsid wsp:val=&quot;79A56B50&quot;/&gt;&lt;wsp:rsid wsp:val=&quot;79F7592F&quot;/&gt;&lt;wsp:rsid wsp:val=&quot;7A2F5A92&quot;/&gt;&lt;wsp:rsid wsp:val=&quot;7A6F0610&quot;/&gt;&lt;wsp:rsid wsp:val=&quot;7A751A95&quot;/&gt;&lt;wsp:rsid wsp:val=&quot;7A7D3826&quot;/&gt;&lt;wsp:rsid wsp:val=&quot;7AC82A82&quot;/&gt;&lt;wsp:rsid wsp:val=&quot;7B082B9B&quot;/&gt;&lt;wsp:rsid wsp:val=&quot;7B2E6E84&quot;/&gt;&lt;wsp:rsid wsp:val=&quot;7B3C0C28&quot;/&gt;&lt;wsp:rsid wsp:val=&quot;7B46149E&quot;/&gt;&lt;wsp:rsid wsp:val=&quot;7B48074C&quot;/&gt;&lt;wsp:rsid wsp:val=&quot;7B480EC1&quot;/&gt;&lt;wsp:rsid wsp:val=&quot;7BA44CE6&quot;/&gt;&lt;wsp:rsid wsp:val=&quot;7BD82EEA&quot;/&gt;&lt;wsp:rsid wsp:val=&quot;7BEA7714&quot;/&gt;&lt;wsp:rsid wsp:val=&quot;7BF074D5&quot;/&gt;&lt;wsp:rsid wsp:val=&quot;7BF25FCB&quot;/&gt;&lt;wsp:rsid wsp:val=&quot;7BF37812&quot;/&gt;&lt;wsp:rsid wsp:val=&quot;7C6B0C53&quot;/&gt;&lt;wsp:rsid wsp:val=&quot;7CC410F0&quot;/&gt;&lt;wsp:rsid wsp:val=&quot;7CCE4C27&quot;/&gt;&lt;wsp:rsid wsp:val=&quot;7CEF4309&quot;/&gt;&lt;wsp:rsid wsp:val=&quot;7DB25215&quot;/&gt;&lt;wsp:rsid wsp:val=&quot;7DD07E94&quot;/&gt;&lt;wsp:rsid wsp:val=&quot;7DDE28E3&quot;/&gt;&lt;wsp:rsid wsp:val=&quot;7E0D3668&quot;/&gt;&lt;wsp:rsid wsp:val=&quot;7E9A2C34&quot;/&gt;&lt;wsp:rsid wsp:val=&quot;7E9C025C&quot;/&gt;&lt;wsp:rsid wsp:val=&quot;7EAE30ED&quot;/&gt;&lt;wsp:rsid wsp:val=&quot;7ED047DB&quot;/&gt;&lt;wsp:rsid wsp:val=&quot;7ED2154C&quot;/&gt;&lt;wsp:rsid wsp:val=&quot;7F041C24&quot;/&gt;&lt;wsp:rsid wsp:val=&quot;7F0C0256&quot;/&gt;&lt;wsp:rsid wsp:val=&quot;7F3C19F3&quot;/&gt;&lt;wsp:rsid wsp:val=&quot;7F6A04A2&quot;/&gt;&lt;/wsp:rsids&gt;&lt;/w:docPr&gt;&lt;w:body&gt;&lt;w:p wsp:rsidR=&quot;00000000&quot; wsp:rsidRDefault=&quot;00E11C21&quot;&gt;&lt;w:pPr&gt;&lt;w:rPr&gt;&lt;wx:font wx:val=&quot;新宋体&quot;/&gt;&lt;/w:rPr&gt;&lt;/w:pPr&gt;&lt;m:oMathPara&gt;&lt;m:oMF04F04F04F04F04F04F04F04F04F04F04F04F04F04F04F04F04F04F04F04F04F04F04F04F04F04F04F04F04F04F04F04F04F04F04F04F04F04F04F04F04F04F04F04F04F04F04F04F04F04F04F04F04F04F04F04F04F04F04F04F04F04F04at41Ch&gt;&lt;m:r&gt;&lt;m:rPr&gt;&lt;m:sty m:val=&quot;p&quot;/&gt;&lt;/m:rPr&gt;&lt;w:rPr&gt;&lt;w:rFonts w:ascii=&quot;Cambria Math&quot; w:fareast=&quot;宋?4? 04w:h04-an04si=04&quot;Ca04mbr04ia 04Mat04h&quot;/04&gt;&lt;w04x:f04ont04 wx04:va04l=&quot;04Cam04bri04a M04ath04&quot;/&gt;04&lt;w:04sz-04cs 04w:v04al=04&quot;2404&quot;/&gt;04&lt;/w04:rP04r&gt;&lt;04m:t04&gt;δF04&lt;/mF04:t&gt;F04&lt;/mF04:r&gt;F04&lt;/mF04:oMF04athF04&gt;&lt;/F04m:oF04MatF04hPaFii04r&quot;Ca&gt;Fmb04&lt;ia/wFMa04:h&quot;p&gt;Fw:04&lt;arw:Fas04s=&quot;ecF?404tPr4F04 w4sF04p4:rF044sidF044R=&quot;04041C04000004&quot;&gt;&lt;w:4pgSz 4w:w=&quot;4122404&quot; w:h4=&quot;158440&quot;/&gt;4&lt;w:pg4Mar w4:top=4&quot;14404&quot; w:r4ight=4&quot;18004&quot; w:b4ottom4=&quot;14440&quot; w:4left=4&quot;18004&quot; w:h4eader4=&quot;7204&quot; w:footer=&quot;720&quot; w:gutter=&quot;0&quot;/&gt;&lt;w:cols w:space=&quot;720&quot;/&gt;&lt;/w:sectPr&gt;&lt;/w:body&gt;&lt;/w:wordDocument">
            <v:path/>
            <v:fill on="f" focussize="0,0"/>
            <v:stroke on="f"/>
            <v:imagedata r:id="rId118" chromakey="#FFFFFF" o:title=""/>
            <o:lock v:ext="edit" aspectratio="t"/>
            <w10:wrap type="none"/>
            <w10:anchorlock/>
          </v:shape>
        </w:pict>
      </w:r>
      <w:r>
        <w:rPr>
          <w:rFonts w:ascii="Times New Roman" w:hAnsi="Times New Roman"/>
          <w:szCs w:val="24"/>
          <w:highlight w:val="none"/>
          <w:vertAlign w:val="subscript"/>
        </w:rPr>
        <w:fldChar w:fldCharType="end"/>
      </w:r>
      <w:r>
        <w:rPr>
          <w:rFonts w:ascii="Times New Roman" w:hAnsi="Times New Roman"/>
          <w:szCs w:val="24"/>
          <w:highlight w:val="none"/>
          <w:vertAlign w:val="subscript"/>
        </w:rPr>
        <w:t>i</w:t>
      </w:r>
      <w:r>
        <w:rPr>
          <w:rFonts w:ascii="Times New Roman" w:hAnsi="Times New Roman"/>
          <w:szCs w:val="24"/>
          <w:highlight w:val="none"/>
        </w:rPr>
        <w:t>—第i个主要排放口所对应的大气污染物许可排放量调整系数，按表2取值</w:t>
      </w:r>
    </w:p>
    <w:p w14:paraId="6B6FA28E">
      <w:pPr>
        <w:ind w:firstLine="480"/>
        <w:rPr>
          <w:rFonts w:ascii="Times New Roman" w:hAnsi="Times New Roman"/>
          <w:szCs w:val="24"/>
          <w:highlight w:val="none"/>
        </w:rPr>
      </w:pPr>
      <w:r>
        <w:rPr>
          <w:rFonts w:ascii="Times New Roman" w:hAnsi="Times New Roman"/>
          <w:szCs w:val="24"/>
          <w:highlight w:val="none"/>
        </w:rPr>
        <w:t>（1）C为废气污染物许可排放浓度限值</w:t>
      </w:r>
    </w:p>
    <w:p w14:paraId="633F6EFC">
      <w:pPr>
        <w:ind w:firstLine="480"/>
        <w:rPr>
          <w:rFonts w:ascii="Times New Roman" w:hAnsi="Times New Roman"/>
          <w:szCs w:val="24"/>
          <w:highlight w:val="none"/>
        </w:rPr>
      </w:pPr>
      <w:r>
        <w:rPr>
          <w:rFonts w:ascii="Times New Roman" w:hAnsi="Times New Roman"/>
          <w:szCs w:val="24"/>
          <w:highlight w:val="none"/>
        </w:rPr>
        <w:t>本工程锅炉执行</w:t>
      </w:r>
      <w:r>
        <w:rPr>
          <w:rFonts w:ascii="Times New Roman" w:hAnsi="Times New Roman" w:eastAsia="新宋体"/>
          <w:szCs w:val="24"/>
          <w:highlight w:val="none"/>
        </w:rPr>
        <w:t>超低排放限值</w:t>
      </w:r>
      <w:r>
        <w:rPr>
          <w:rFonts w:ascii="Times New Roman" w:hAnsi="Times New Roman" w:eastAsia="新宋体"/>
          <w:szCs w:val="21"/>
          <w:highlight w:val="none"/>
        </w:rPr>
        <w:t>要求</w:t>
      </w:r>
      <w:r>
        <w:rPr>
          <w:rFonts w:ascii="Times New Roman" w:hAnsi="Times New Roman"/>
          <w:szCs w:val="24"/>
          <w:highlight w:val="none"/>
        </w:rPr>
        <w:t>，因此取值为颗粒物：10mg/m</w:t>
      </w:r>
      <w:r>
        <w:rPr>
          <w:rFonts w:ascii="Times New Roman" w:hAnsi="Times New Roman"/>
          <w:szCs w:val="24"/>
          <w:highlight w:val="none"/>
          <w:vertAlign w:val="superscript"/>
        </w:rPr>
        <w:t>3</w:t>
      </w:r>
      <w:r>
        <w:rPr>
          <w:rFonts w:ascii="Times New Roman" w:hAnsi="Times New Roman"/>
          <w:szCs w:val="24"/>
          <w:highlight w:val="none"/>
        </w:rPr>
        <w:t>，SO</w:t>
      </w:r>
      <w:r>
        <w:rPr>
          <w:rFonts w:ascii="Times New Roman" w:hAnsi="Times New Roman"/>
          <w:szCs w:val="24"/>
          <w:highlight w:val="none"/>
          <w:vertAlign w:val="subscript"/>
        </w:rPr>
        <w:t>2</w:t>
      </w:r>
      <w:r>
        <w:rPr>
          <w:rFonts w:ascii="Times New Roman" w:hAnsi="Times New Roman"/>
          <w:szCs w:val="24"/>
          <w:highlight w:val="none"/>
        </w:rPr>
        <w:t>：35mg/m</w:t>
      </w:r>
      <w:r>
        <w:rPr>
          <w:rFonts w:ascii="Times New Roman" w:hAnsi="Times New Roman"/>
          <w:szCs w:val="24"/>
          <w:highlight w:val="none"/>
          <w:vertAlign w:val="superscript"/>
        </w:rPr>
        <w:t>3</w:t>
      </w:r>
      <w:r>
        <w:rPr>
          <w:rFonts w:ascii="Times New Roman" w:hAnsi="Times New Roman"/>
          <w:szCs w:val="24"/>
          <w:highlight w:val="none"/>
        </w:rPr>
        <w:t>，NO</w:t>
      </w:r>
      <w:r>
        <w:rPr>
          <w:rFonts w:ascii="Times New Roman" w:hAnsi="Times New Roman"/>
          <w:szCs w:val="24"/>
          <w:highlight w:val="none"/>
          <w:vertAlign w:val="subscript"/>
        </w:rPr>
        <w:t>X</w:t>
      </w:r>
      <w:r>
        <w:rPr>
          <w:rFonts w:ascii="Times New Roman" w:hAnsi="Times New Roman"/>
          <w:szCs w:val="24"/>
          <w:highlight w:val="none"/>
        </w:rPr>
        <w:t>：50mg/m</w:t>
      </w:r>
      <w:r>
        <w:rPr>
          <w:rFonts w:ascii="Times New Roman" w:hAnsi="Times New Roman"/>
          <w:szCs w:val="24"/>
          <w:highlight w:val="none"/>
          <w:vertAlign w:val="superscript"/>
        </w:rPr>
        <w:t>3</w:t>
      </w:r>
      <w:r>
        <w:rPr>
          <w:rFonts w:ascii="Times New Roman" w:hAnsi="Times New Roman"/>
          <w:szCs w:val="24"/>
          <w:highlight w:val="none"/>
        </w:rPr>
        <w:t>。</w:t>
      </w:r>
    </w:p>
    <w:p w14:paraId="52EBCFA3">
      <w:pPr>
        <w:ind w:firstLine="480"/>
        <w:rPr>
          <w:rFonts w:ascii="Times New Roman" w:hAnsi="Times New Roman"/>
          <w:szCs w:val="24"/>
          <w:highlight w:val="none"/>
        </w:rPr>
      </w:pPr>
      <w:r>
        <w:rPr>
          <w:rFonts w:ascii="Times New Roman" w:hAnsi="Times New Roman"/>
          <w:szCs w:val="24"/>
          <w:highlight w:val="none"/>
        </w:rPr>
        <w:t>（2）V为基准烟气量</w:t>
      </w:r>
    </w:p>
    <w:p w14:paraId="67CF7027">
      <w:pPr>
        <w:ind w:firstLine="480"/>
        <w:rPr>
          <w:rFonts w:ascii="Times New Roman" w:hAnsi="Times New Roman"/>
          <w:szCs w:val="24"/>
          <w:highlight w:val="none"/>
        </w:rPr>
      </w:pPr>
      <w:r>
        <w:rPr>
          <w:rFonts w:ascii="Times New Roman" w:hAnsi="Times New Roman"/>
          <w:szCs w:val="24"/>
          <w:highlight w:val="none"/>
        </w:rPr>
        <w:t>本工程锅炉为燃煤锅炉，根据公式（1）、（2）可计算出本项目的基准烟气量，计算过程如下：</w:t>
      </w:r>
    </w:p>
    <w:p w14:paraId="655A3908">
      <w:pPr>
        <w:ind w:firstLine="480"/>
        <w:rPr>
          <w:rFonts w:ascii="Times New Roman" w:hAnsi="Times New Roman" w:eastAsia="新宋体"/>
          <w:szCs w:val="21"/>
          <w:highlight w:val="none"/>
        </w:rPr>
      </w:pPr>
      <w:r>
        <w:rPr>
          <w:rFonts w:ascii="Times New Roman" w:hAnsi="Times New Roman" w:eastAsia="新宋体"/>
          <w:szCs w:val="21"/>
          <w:highlight w:val="none"/>
        </w:rPr>
        <w:t>V</w:t>
      </w:r>
      <w:r>
        <w:rPr>
          <w:rFonts w:ascii="Times New Roman" w:hAnsi="Times New Roman" w:eastAsia="新宋体"/>
          <w:szCs w:val="21"/>
          <w:highlight w:val="none"/>
          <w:vertAlign w:val="subscript"/>
        </w:rPr>
        <w:t>0</w:t>
      </w:r>
      <w:r>
        <w:rPr>
          <w:rFonts w:ascii="Times New Roman" w:hAnsi="Times New Roman" w:eastAsia="新宋体"/>
          <w:szCs w:val="21"/>
          <w:highlight w:val="none"/>
        </w:rPr>
        <w:t>=0.0889（C</w:t>
      </w:r>
      <w:r>
        <w:rPr>
          <w:rFonts w:ascii="Times New Roman" w:hAnsi="Times New Roman" w:eastAsia="新宋体"/>
          <w:szCs w:val="21"/>
          <w:highlight w:val="none"/>
          <w:vertAlign w:val="subscript"/>
        </w:rPr>
        <w:t>ar</w:t>
      </w:r>
      <w:r>
        <w:rPr>
          <w:rFonts w:ascii="Times New Roman" w:hAnsi="Times New Roman" w:eastAsia="新宋体"/>
          <w:szCs w:val="21"/>
          <w:highlight w:val="none"/>
        </w:rPr>
        <w:t>+0.375S</w:t>
      </w:r>
      <w:r>
        <w:rPr>
          <w:rFonts w:ascii="Times New Roman" w:hAnsi="Times New Roman" w:eastAsia="新宋体"/>
          <w:szCs w:val="21"/>
          <w:highlight w:val="none"/>
          <w:vertAlign w:val="subscript"/>
        </w:rPr>
        <w:t>ar</w:t>
      </w:r>
      <w:r>
        <w:rPr>
          <w:rFonts w:ascii="Times New Roman" w:hAnsi="Times New Roman" w:eastAsia="新宋体"/>
          <w:szCs w:val="21"/>
          <w:highlight w:val="none"/>
        </w:rPr>
        <w:t>）+0.265H</w:t>
      </w:r>
      <w:r>
        <w:rPr>
          <w:rFonts w:ascii="Times New Roman" w:hAnsi="Times New Roman" w:eastAsia="新宋体"/>
          <w:szCs w:val="21"/>
          <w:highlight w:val="none"/>
          <w:vertAlign w:val="subscript"/>
        </w:rPr>
        <w:t>ar</w:t>
      </w:r>
      <w:r>
        <w:rPr>
          <w:rFonts w:ascii="Times New Roman" w:hAnsi="Times New Roman" w:eastAsia="新宋体"/>
          <w:szCs w:val="21"/>
          <w:highlight w:val="none"/>
        </w:rPr>
        <w:t>-0.0333O</w:t>
      </w:r>
      <w:r>
        <w:rPr>
          <w:rFonts w:ascii="Times New Roman" w:hAnsi="Times New Roman" w:eastAsia="新宋体"/>
          <w:szCs w:val="21"/>
          <w:highlight w:val="none"/>
          <w:vertAlign w:val="subscript"/>
        </w:rPr>
        <w:t>ar</w:t>
      </w:r>
    </w:p>
    <w:p w14:paraId="117F3F65">
      <w:pPr>
        <w:ind w:firstLine="840" w:firstLineChars="350"/>
        <w:rPr>
          <w:rFonts w:ascii="Times New Roman" w:hAnsi="Times New Roman"/>
          <w:szCs w:val="24"/>
          <w:highlight w:val="none"/>
        </w:rPr>
      </w:pPr>
      <w:r>
        <w:rPr>
          <w:rFonts w:ascii="Times New Roman" w:hAnsi="Times New Roman"/>
          <w:szCs w:val="24"/>
          <w:highlight w:val="none"/>
        </w:rPr>
        <w:t>=</w:t>
      </w:r>
      <w:r>
        <w:rPr>
          <w:rFonts w:hint="eastAsia" w:ascii="Times New Roman" w:hAnsi="Times New Roman"/>
          <w:szCs w:val="24"/>
          <w:highlight w:val="none"/>
          <w:lang w:val="en-US" w:eastAsia="zh-CN"/>
        </w:rPr>
        <w:t>4.99</w:t>
      </w:r>
      <w:r>
        <w:rPr>
          <w:rFonts w:ascii="Times New Roman" w:hAnsi="Times New Roman"/>
          <w:szCs w:val="24"/>
          <w:highlight w:val="none"/>
        </w:rPr>
        <w:t>m</w:t>
      </w:r>
      <w:r>
        <w:rPr>
          <w:rFonts w:ascii="Times New Roman" w:hAnsi="Times New Roman"/>
          <w:szCs w:val="24"/>
          <w:highlight w:val="none"/>
          <w:vertAlign w:val="superscript"/>
        </w:rPr>
        <w:t>3</w:t>
      </w:r>
      <w:r>
        <w:rPr>
          <w:rFonts w:ascii="Times New Roman" w:hAnsi="Times New Roman"/>
          <w:szCs w:val="24"/>
          <w:highlight w:val="none"/>
        </w:rPr>
        <w:t>/kg</w:t>
      </w:r>
    </w:p>
    <w:p w14:paraId="1DA7253F">
      <w:pPr>
        <w:ind w:firstLine="480"/>
        <w:rPr>
          <w:rFonts w:ascii="Times New Roman" w:hAnsi="Times New Roman" w:eastAsia="新宋体"/>
          <w:szCs w:val="21"/>
          <w:highlight w:val="none"/>
        </w:rPr>
      </w:pPr>
      <w:r>
        <w:rPr>
          <w:rFonts w:ascii="Times New Roman" w:hAnsi="Times New Roman" w:eastAsia="新宋体"/>
          <w:szCs w:val="21"/>
          <w:highlight w:val="none"/>
        </w:rPr>
        <w:t>V</w:t>
      </w:r>
      <w:r>
        <w:rPr>
          <w:rFonts w:ascii="Times New Roman" w:hAnsi="Times New Roman" w:eastAsia="新宋体"/>
          <w:szCs w:val="21"/>
          <w:highlight w:val="none"/>
          <w:vertAlign w:val="subscript"/>
        </w:rPr>
        <w:t>gy</w:t>
      </w:r>
      <w:r>
        <w:rPr>
          <w:rFonts w:ascii="Times New Roman" w:hAnsi="Times New Roman" w:eastAsia="新宋体"/>
          <w:szCs w:val="21"/>
          <w:highlight w:val="none"/>
        </w:rPr>
        <w:t>=1.866×（C</w:t>
      </w:r>
      <w:r>
        <w:rPr>
          <w:rFonts w:ascii="Times New Roman" w:hAnsi="Times New Roman" w:eastAsia="新宋体"/>
          <w:szCs w:val="21"/>
          <w:highlight w:val="none"/>
          <w:vertAlign w:val="subscript"/>
        </w:rPr>
        <w:t>ar</w:t>
      </w:r>
      <w:r>
        <w:rPr>
          <w:rFonts w:ascii="Times New Roman" w:hAnsi="Times New Roman" w:eastAsia="新宋体"/>
          <w:szCs w:val="21"/>
          <w:highlight w:val="none"/>
        </w:rPr>
        <w:t>+0.375S</w:t>
      </w:r>
      <w:r>
        <w:rPr>
          <w:rFonts w:ascii="Times New Roman" w:hAnsi="Times New Roman" w:eastAsia="新宋体"/>
          <w:szCs w:val="21"/>
          <w:highlight w:val="none"/>
          <w:vertAlign w:val="subscript"/>
        </w:rPr>
        <w:t>ar</w:t>
      </w:r>
      <w:r>
        <w:rPr>
          <w:rFonts w:ascii="Times New Roman" w:hAnsi="Times New Roman" w:eastAsia="新宋体"/>
          <w:szCs w:val="21"/>
          <w:highlight w:val="none"/>
        </w:rPr>
        <w:t>）÷100+0.79V</w:t>
      </w:r>
      <w:r>
        <w:rPr>
          <w:rFonts w:ascii="Times New Roman" w:hAnsi="Times New Roman" w:eastAsia="新宋体"/>
          <w:szCs w:val="21"/>
          <w:highlight w:val="none"/>
          <w:vertAlign w:val="subscript"/>
        </w:rPr>
        <w:t>0</w:t>
      </w:r>
      <w:r>
        <w:rPr>
          <w:rFonts w:ascii="Times New Roman" w:hAnsi="Times New Roman" w:eastAsia="新宋体"/>
          <w:szCs w:val="21"/>
          <w:highlight w:val="none"/>
        </w:rPr>
        <w:t>+0.8×N</w:t>
      </w:r>
      <w:r>
        <w:rPr>
          <w:rFonts w:ascii="Times New Roman" w:hAnsi="Times New Roman" w:eastAsia="新宋体"/>
          <w:szCs w:val="21"/>
          <w:highlight w:val="none"/>
          <w:vertAlign w:val="subscript"/>
        </w:rPr>
        <w:t>ar</w:t>
      </w:r>
      <w:r>
        <w:rPr>
          <w:rFonts w:ascii="Times New Roman" w:hAnsi="Times New Roman" w:eastAsia="新宋体"/>
          <w:szCs w:val="21"/>
          <w:highlight w:val="none"/>
        </w:rPr>
        <w:t>÷100+（α-1）V</w:t>
      </w:r>
      <w:r>
        <w:rPr>
          <w:rFonts w:ascii="Times New Roman" w:hAnsi="Times New Roman" w:eastAsia="新宋体"/>
          <w:szCs w:val="21"/>
          <w:highlight w:val="none"/>
          <w:vertAlign w:val="subscript"/>
        </w:rPr>
        <w:t>0</w:t>
      </w:r>
    </w:p>
    <w:p w14:paraId="7ABFCBEB">
      <w:pPr>
        <w:ind w:firstLine="840" w:firstLineChars="350"/>
        <w:rPr>
          <w:rFonts w:ascii="Times New Roman" w:hAnsi="Times New Roman"/>
          <w:szCs w:val="24"/>
          <w:highlight w:val="none"/>
        </w:rPr>
      </w:pPr>
      <w:r>
        <w:rPr>
          <w:rFonts w:ascii="Times New Roman" w:hAnsi="Times New Roman"/>
          <w:szCs w:val="24"/>
          <w:highlight w:val="none"/>
        </w:rPr>
        <w:t>=</w:t>
      </w:r>
      <w:r>
        <w:rPr>
          <w:rFonts w:hint="eastAsia" w:ascii="Times New Roman" w:hAnsi="Times New Roman"/>
          <w:szCs w:val="24"/>
          <w:highlight w:val="none"/>
          <w:lang w:val="en-US" w:eastAsia="zh-CN"/>
        </w:rPr>
        <w:t>9.75</w:t>
      </w:r>
      <w:r>
        <w:rPr>
          <w:rFonts w:ascii="Times New Roman" w:hAnsi="Times New Roman"/>
          <w:szCs w:val="24"/>
          <w:highlight w:val="none"/>
        </w:rPr>
        <w:t>m</w:t>
      </w:r>
      <w:r>
        <w:rPr>
          <w:rFonts w:ascii="Times New Roman" w:hAnsi="Times New Roman"/>
          <w:szCs w:val="24"/>
          <w:highlight w:val="none"/>
          <w:vertAlign w:val="superscript"/>
        </w:rPr>
        <w:t>3</w:t>
      </w:r>
      <w:r>
        <w:rPr>
          <w:rFonts w:ascii="Times New Roman" w:hAnsi="Times New Roman"/>
          <w:szCs w:val="24"/>
          <w:highlight w:val="none"/>
        </w:rPr>
        <w:t>/kg</w:t>
      </w:r>
    </w:p>
    <w:p w14:paraId="6B4982A3">
      <w:pPr>
        <w:ind w:firstLine="480"/>
        <w:rPr>
          <w:rFonts w:ascii="Times New Roman" w:hAnsi="Times New Roman"/>
          <w:szCs w:val="24"/>
          <w:highlight w:val="none"/>
        </w:rPr>
      </w:pPr>
      <w:r>
        <w:rPr>
          <w:rFonts w:ascii="Times New Roman" w:hAnsi="Times New Roman"/>
          <w:szCs w:val="24"/>
          <w:highlight w:val="none"/>
        </w:rPr>
        <w:t>（3）R为设计燃料用量</w:t>
      </w:r>
    </w:p>
    <w:p w14:paraId="26C2D309">
      <w:pPr>
        <w:ind w:firstLine="480"/>
        <w:rPr>
          <w:rFonts w:ascii="Times New Roman" w:hAnsi="Times New Roman"/>
          <w:szCs w:val="24"/>
          <w:highlight w:val="none"/>
        </w:rPr>
      </w:pPr>
      <w:r>
        <w:rPr>
          <w:rFonts w:ascii="Times New Roman" w:hAnsi="Times New Roman"/>
          <w:highlight w:val="none"/>
        </w:rPr>
        <w:t>本工程</w:t>
      </w:r>
      <w:r>
        <w:rPr>
          <w:rFonts w:hint="eastAsia" w:ascii="Times New Roman" w:hAnsi="Times New Roman"/>
          <w:highlight w:val="none"/>
          <w:lang w:val="en-US" w:eastAsia="zh-CN"/>
        </w:rPr>
        <w:t>建设116MW+</w:t>
      </w:r>
      <w:r>
        <w:rPr>
          <w:rFonts w:hint="default" w:ascii="Times New Roman" w:hAnsi="Times New Roman"/>
          <w:highlight w:val="none"/>
          <w:lang w:val="en-US" w:eastAsia="zh-CN"/>
        </w:rPr>
        <w:t>58</w:t>
      </w:r>
      <w:r>
        <w:rPr>
          <w:rFonts w:hint="eastAsia" w:ascii="Times New Roman" w:hAnsi="Times New Roman"/>
          <w:highlight w:val="none"/>
          <w:lang w:val="en-US" w:eastAsia="zh-CN"/>
        </w:rPr>
        <w:t>MW</w:t>
      </w:r>
      <w:r>
        <w:rPr>
          <w:rFonts w:hint="eastAsia"/>
          <w:highlight w:val="none"/>
          <w:lang w:val="en-US" w:eastAsia="zh-CN"/>
        </w:rPr>
        <w:t>热水锅炉和</w:t>
      </w:r>
      <w:r>
        <w:rPr>
          <w:rFonts w:hint="eastAsia" w:ascii="Times New Roman" w:hAnsi="Times New Roman"/>
          <w:highlight w:val="none"/>
          <w:lang w:val="en-US" w:eastAsia="zh-CN"/>
        </w:rPr>
        <w:t>1</w:t>
      </w:r>
      <w:r>
        <w:rPr>
          <w:rFonts w:hint="eastAsia"/>
          <w:highlight w:val="none"/>
          <w:lang w:val="en-US" w:eastAsia="zh-CN"/>
        </w:rPr>
        <w:t>台</w:t>
      </w:r>
      <w:r>
        <w:rPr>
          <w:rFonts w:hint="eastAsia" w:ascii="Times New Roman" w:hAnsi="Times New Roman"/>
          <w:highlight w:val="none"/>
          <w:lang w:val="en-US" w:eastAsia="zh-CN"/>
        </w:rPr>
        <w:t>35t/h</w:t>
      </w:r>
      <w:r>
        <w:rPr>
          <w:rFonts w:hint="eastAsia"/>
          <w:highlight w:val="none"/>
          <w:lang w:val="en-US" w:eastAsia="zh-CN"/>
        </w:rPr>
        <w:t>蒸汽锅炉共三台</w:t>
      </w:r>
      <w:r>
        <w:rPr>
          <w:rFonts w:ascii="Times New Roman" w:hAnsi="Times New Roman"/>
          <w:szCs w:val="24"/>
          <w:highlight w:val="none"/>
        </w:rPr>
        <w:t>，全年燃煤使用量为</w:t>
      </w:r>
      <w:r>
        <w:rPr>
          <w:rFonts w:hint="eastAsia" w:ascii="Times New Roman" w:hAnsi="Times New Roman"/>
          <w:highlight w:val="none"/>
          <w:lang w:val="en-US" w:eastAsia="zh-CN"/>
        </w:rPr>
        <w:t>81047.7024</w:t>
      </w:r>
      <w:r>
        <w:rPr>
          <w:rFonts w:ascii="Times New Roman" w:hAnsi="Times New Roman"/>
          <w:szCs w:val="24"/>
          <w:highlight w:val="none"/>
        </w:rPr>
        <w:t>吨。执行超低排放限值要求。</w:t>
      </w:r>
    </w:p>
    <w:p w14:paraId="579631BB">
      <w:pPr>
        <w:ind w:firstLine="480"/>
        <w:rPr>
          <w:rFonts w:ascii="Times New Roman" w:hAnsi="Times New Roman"/>
          <w:szCs w:val="24"/>
          <w:highlight w:val="none"/>
        </w:rPr>
      </w:pPr>
      <w:r>
        <w:rPr>
          <w:rFonts w:ascii="Times New Roman" w:hAnsi="Times New Roman"/>
          <w:szCs w:val="24"/>
          <w:highlight w:val="none"/>
        </w:rPr>
        <w:t>因此各污染物核定量计算过程如下：</w:t>
      </w:r>
    </w:p>
    <w:p w14:paraId="60ADAD69">
      <w:pPr>
        <w:ind w:firstLine="482"/>
        <w:rPr>
          <w:rFonts w:ascii="Times New Roman" w:hAnsi="Times New Roman"/>
          <w:b/>
          <w:szCs w:val="24"/>
          <w:highlight w:val="none"/>
        </w:rPr>
      </w:pPr>
      <w:r>
        <w:rPr>
          <w:rFonts w:ascii="Times New Roman" w:hAnsi="Times New Roman"/>
          <w:b/>
          <w:szCs w:val="24"/>
          <w:highlight w:val="none"/>
        </w:rPr>
        <w:t>颗粒物=10×</w:t>
      </w:r>
      <w:r>
        <w:rPr>
          <w:rFonts w:hint="eastAsia" w:ascii="Times New Roman" w:hAnsi="Times New Roman"/>
          <w:b/>
          <w:szCs w:val="24"/>
          <w:highlight w:val="none"/>
          <w:lang w:val="en-US" w:eastAsia="zh-CN"/>
        </w:rPr>
        <w:t>9.75</w:t>
      </w:r>
      <w:r>
        <w:rPr>
          <w:rFonts w:ascii="Times New Roman" w:hAnsi="Times New Roman"/>
          <w:b/>
          <w:szCs w:val="24"/>
          <w:highlight w:val="none"/>
        </w:rPr>
        <w:t>×</w:t>
      </w:r>
      <w:r>
        <w:rPr>
          <w:rFonts w:hint="eastAsia" w:ascii="Times New Roman" w:hAnsi="Times New Roman"/>
          <w:b/>
          <w:szCs w:val="24"/>
          <w:highlight w:val="none"/>
          <w:lang w:val="en-US" w:eastAsia="zh-CN"/>
        </w:rPr>
        <w:t>81047.7024</w:t>
      </w:r>
      <w:r>
        <w:rPr>
          <w:rFonts w:ascii="Times New Roman" w:hAnsi="Times New Roman"/>
          <w:b/>
          <w:szCs w:val="24"/>
          <w:highlight w:val="none"/>
        </w:rPr>
        <w:t>×1×10</w:t>
      </w:r>
      <w:r>
        <w:rPr>
          <w:rFonts w:ascii="Times New Roman" w:hAnsi="Times New Roman"/>
          <w:b/>
          <w:szCs w:val="24"/>
          <w:highlight w:val="none"/>
          <w:vertAlign w:val="superscript"/>
        </w:rPr>
        <w:t>-6</w:t>
      </w:r>
      <w:r>
        <w:rPr>
          <w:rFonts w:ascii="Times New Roman" w:hAnsi="Times New Roman"/>
          <w:b/>
          <w:szCs w:val="24"/>
          <w:highlight w:val="none"/>
        </w:rPr>
        <w:t>=</w:t>
      </w:r>
      <w:r>
        <w:rPr>
          <w:rFonts w:hint="eastAsia" w:ascii="Times New Roman" w:hAnsi="Times New Roman"/>
          <w:b/>
          <w:szCs w:val="24"/>
          <w:highlight w:val="none"/>
          <w:lang w:val="en-US" w:eastAsia="zh-CN"/>
        </w:rPr>
        <w:t>7.902</w:t>
      </w:r>
      <w:r>
        <w:rPr>
          <w:rFonts w:ascii="Times New Roman" w:hAnsi="Times New Roman"/>
          <w:b/>
          <w:szCs w:val="24"/>
          <w:highlight w:val="none"/>
        </w:rPr>
        <w:t>t/a</w:t>
      </w:r>
    </w:p>
    <w:p w14:paraId="07520463">
      <w:pPr>
        <w:ind w:firstLine="482"/>
        <w:rPr>
          <w:rFonts w:ascii="Times New Roman" w:hAnsi="Times New Roman"/>
          <w:b/>
          <w:szCs w:val="24"/>
          <w:highlight w:val="none"/>
        </w:rPr>
      </w:pPr>
      <w:r>
        <w:rPr>
          <w:rFonts w:ascii="Times New Roman" w:hAnsi="Times New Roman"/>
          <w:b/>
          <w:szCs w:val="24"/>
          <w:highlight w:val="none"/>
        </w:rPr>
        <w:t>SO</w:t>
      </w:r>
      <w:r>
        <w:rPr>
          <w:rFonts w:ascii="Times New Roman" w:hAnsi="Times New Roman"/>
          <w:b/>
          <w:szCs w:val="24"/>
          <w:highlight w:val="none"/>
          <w:vertAlign w:val="subscript"/>
        </w:rPr>
        <w:t>2</w:t>
      </w:r>
      <w:r>
        <w:rPr>
          <w:rFonts w:ascii="Times New Roman" w:hAnsi="Times New Roman"/>
          <w:b/>
          <w:szCs w:val="24"/>
          <w:highlight w:val="none"/>
        </w:rPr>
        <w:t>=35×</w:t>
      </w:r>
      <w:r>
        <w:rPr>
          <w:rFonts w:hint="eastAsia" w:ascii="Times New Roman" w:hAnsi="Times New Roman"/>
          <w:b/>
          <w:szCs w:val="24"/>
          <w:highlight w:val="none"/>
          <w:lang w:val="en-US" w:eastAsia="zh-CN"/>
        </w:rPr>
        <w:t>9.75</w:t>
      </w:r>
      <w:r>
        <w:rPr>
          <w:rFonts w:ascii="Times New Roman" w:hAnsi="Times New Roman"/>
          <w:b/>
          <w:szCs w:val="24"/>
          <w:highlight w:val="none"/>
        </w:rPr>
        <w:t>×</w:t>
      </w:r>
      <w:r>
        <w:rPr>
          <w:rFonts w:hint="eastAsia" w:ascii="Times New Roman" w:hAnsi="Times New Roman"/>
          <w:b/>
          <w:szCs w:val="24"/>
          <w:highlight w:val="none"/>
          <w:lang w:val="en-US" w:eastAsia="zh-CN"/>
        </w:rPr>
        <w:t>81047.7024</w:t>
      </w:r>
      <w:r>
        <w:rPr>
          <w:rFonts w:ascii="Times New Roman" w:hAnsi="Times New Roman"/>
          <w:b/>
          <w:szCs w:val="24"/>
          <w:highlight w:val="none"/>
        </w:rPr>
        <w:t>×1×10</w:t>
      </w:r>
      <w:r>
        <w:rPr>
          <w:rFonts w:ascii="Times New Roman" w:hAnsi="Times New Roman"/>
          <w:b/>
          <w:szCs w:val="24"/>
          <w:highlight w:val="none"/>
          <w:vertAlign w:val="superscript"/>
        </w:rPr>
        <w:t>-6</w:t>
      </w:r>
      <w:r>
        <w:rPr>
          <w:rFonts w:ascii="Times New Roman" w:hAnsi="Times New Roman"/>
          <w:b/>
          <w:szCs w:val="24"/>
          <w:highlight w:val="none"/>
        </w:rPr>
        <w:t>=</w:t>
      </w:r>
      <w:r>
        <w:rPr>
          <w:rFonts w:hint="eastAsia" w:ascii="Times New Roman" w:hAnsi="Times New Roman"/>
          <w:b/>
          <w:szCs w:val="24"/>
          <w:highlight w:val="none"/>
          <w:lang w:val="en-US" w:eastAsia="zh-CN"/>
        </w:rPr>
        <w:t>27.658</w:t>
      </w:r>
      <w:r>
        <w:rPr>
          <w:rFonts w:ascii="Times New Roman" w:hAnsi="Times New Roman"/>
          <w:b/>
          <w:szCs w:val="24"/>
          <w:highlight w:val="none"/>
        </w:rPr>
        <w:t>t/a</w:t>
      </w:r>
    </w:p>
    <w:p w14:paraId="76CB45F3">
      <w:pPr>
        <w:ind w:firstLine="482"/>
        <w:rPr>
          <w:rFonts w:ascii="Times New Roman" w:hAnsi="Times New Roman"/>
          <w:b/>
          <w:szCs w:val="24"/>
          <w:highlight w:val="none"/>
        </w:rPr>
      </w:pPr>
      <w:r>
        <w:rPr>
          <w:rFonts w:ascii="Times New Roman" w:hAnsi="Times New Roman"/>
          <w:b/>
          <w:szCs w:val="24"/>
          <w:highlight w:val="none"/>
        </w:rPr>
        <w:t>NO</w:t>
      </w:r>
      <w:r>
        <w:rPr>
          <w:rFonts w:ascii="Times New Roman" w:hAnsi="Times New Roman"/>
          <w:b/>
          <w:szCs w:val="24"/>
          <w:highlight w:val="none"/>
          <w:vertAlign w:val="subscript"/>
        </w:rPr>
        <w:t>X</w:t>
      </w:r>
      <w:r>
        <w:rPr>
          <w:rFonts w:ascii="Times New Roman" w:hAnsi="Times New Roman"/>
          <w:b/>
          <w:szCs w:val="24"/>
          <w:highlight w:val="none"/>
        </w:rPr>
        <w:t>=50×</w:t>
      </w:r>
      <w:r>
        <w:rPr>
          <w:rFonts w:hint="eastAsia" w:ascii="Times New Roman" w:hAnsi="Times New Roman"/>
          <w:b/>
          <w:szCs w:val="24"/>
          <w:highlight w:val="none"/>
          <w:lang w:val="en-US" w:eastAsia="zh-CN"/>
        </w:rPr>
        <w:t>9.75</w:t>
      </w:r>
      <w:r>
        <w:rPr>
          <w:rFonts w:ascii="Times New Roman" w:hAnsi="Times New Roman"/>
          <w:b/>
          <w:szCs w:val="24"/>
          <w:highlight w:val="none"/>
        </w:rPr>
        <w:t>×</w:t>
      </w:r>
      <w:r>
        <w:rPr>
          <w:rFonts w:hint="eastAsia" w:ascii="Times New Roman" w:hAnsi="Times New Roman"/>
          <w:b/>
          <w:szCs w:val="24"/>
          <w:highlight w:val="none"/>
          <w:lang w:val="en-US" w:eastAsia="zh-CN"/>
        </w:rPr>
        <w:t>81047.7024</w:t>
      </w:r>
      <w:r>
        <w:rPr>
          <w:rFonts w:ascii="Times New Roman" w:hAnsi="Times New Roman"/>
          <w:b/>
          <w:szCs w:val="24"/>
          <w:highlight w:val="none"/>
        </w:rPr>
        <w:t>×1×10</w:t>
      </w:r>
      <w:r>
        <w:rPr>
          <w:rFonts w:ascii="Times New Roman" w:hAnsi="Times New Roman"/>
          <w:b/>
          <w:szCs w:val="24"/>
          <w:highlight w:val="none"/>
          <w:vertAlign w:val="superscript"/>
        </w:rPr>
        <w:t>-6</w:t>
      </w:r>
      <w:r>
        <w:rPr>
          <w:rFonts w:ascii="Times New Roman" w:hAnsi="Times New Roman"/>
          <w:b/>
          <w:szCs w:val="24"/>
          <w:highlight w:val="none"/>
        </w:rPr>
        <w:t>=</w:t>
      </w:r>
      <w:r>
        <w:rPr>
          <w:rFonts w:hint="eastAsia" w:ascii="Times New Roman" w:hAnsi="Times New Roman"/>
          <w:b/>
          <w:szCs w:val="24"/>
          <w:highlight w:val="none"/>
          <w:lang w:val="en-US" w:eastAsia="zh-CN"/>
        </w:rPr>
        <w:t>39.511</w:t>
      </w:r>
      <w:r>
        <w:rPr>
          <w:rFonts w:ascii="Times New Roman" w:hAnsi="Times New Roman"/>
          <w:b/>
          <w:szCs w:val="24"/>
          <w:highlight w:val="none"/>
        </w:rPr>
        <w:t>t/a</w:t>
      </w:r>
    </w:p>
    <w:p w14:paraId="03D11A6C">
      <w:pPr>
        <w:ind w:firstLine="480"/>
        <w:rPr>
          <w:rFonts w:ascii="Times New Roman" w:hAnsi="Times New Roman"/>
          <w:snapToGrid w:val="0"/>
          <w:szCs w:val="21"/>
          <w:highlight w:val="none"/>
        </w:rPr>
      </w:pPr>
      <w:r>
        <w:rPr>
          <w:rFonts w:ascii="Times New Roman" w:hAnsi="Times New Roman"/>
          <w:snapToGrid w:val="0"/>
          <w:szCs w:val="21"/>
          <w:highlight w:val="none"/>
        </w:rPr>
        <w:t>2、无组织排放废气</w:t>
      </w:r>
    </w:p>
    <w:p w14:paraId="62B66464">
      <w:pPr>
        <w:ind w:firstLine="480"/>
        <w:rPr>
          <w:rFonts w:ascii="Times New Roman" w:hAnsi="Times New Roman"/>
          <w:szCs w:val="21"/>
          <w:highlight w:val="none"/>
        </w:rPr>
      </w:pPr>
      <w:r>
        <w:rPr>
          <w:rFonts w:ascii="Times New Roman" w:hAnsi="Times New Roman"/>
          <w:szCs w:val="21"/>
          <w:highlight w:val="none"/>
        </w:rPr>
        <w:t>本项目无组织粉尘量排放量约为</w:t>
      </w:r>
      <w:r>
        <w:rPr>
          <w:rFonts w:hint="eastAsia" w:ascii="Times New Roman" w:hAnsi="Times New Roman"/>
          <w:szCs w:val="21"/>
          <w:highlight w:val="none"/>
          <w:lang w:val="en-US" w:eastAsia="zh-CN"/>
        </w:rPr>
        <w:t>0.3353</w:t>
      </w:r>
      <w:r>
        <w:rPr>
          <w:rFonts w:ascii="Times New Roman" w:hAnsi="Times New Roman"/>
          <w:szCs w:val="21"/>
          <w:highlight w:val="none"/>
        </w:rPr>
        <w:t>t/a，则本项目无组织排放工业粉尘的核定量为</w:t>
      </w:r>
      <w:r>
        <w:rPr>
          <w:rFonts w:hint="eastAsia" w:ascii="Times New Roman" w:hAnsi="Times New Roman"/>
          <w:szCs w:val="21"/>
          <w:highlight w:val="none"/>
          <w:lang w:val="en-US" w:eastAsia="zh-CN"/>
        </w:rPr>
        <w:t>0.3353</w:t>
      </w:r>
      <w:r>
        <w:rPr>
          <w:rFonts w:ascii="Times New Roman" w:hAnsi="Times New Roman"/>
          <w:szCs w:val="21"/>
          <w:highlight w:val="none"/>
        </w:rPr>
        <w:t>t/a。</w:t>
      </w:r>
    </w:p>
    <w:p w14:paraId="64DF423A">
      <w:pPr>
        <w:ind w:firstLine="482"/>
        <w:rPr>
          <w:rFonts w:hint="eastAsia" w:ascii="Times New Roman" w:hAnsi="Times New Roman"/>
          <w:b/>
          <w:highlight w:val="none"/>
        </w:rPr>
      </w:pPr>
      <w:r>
        <w:rPr>
          <w:rFonts w:hint="eastAsia" w:ascii="Times New Roman" w:hAnsi="Times New Roman"/>
          <w:b/>
          <w:highlight w:val="none"/>
        </w:rPr>
        <w:t>水污染物总量计算</w:t>
      </w:r>
    </w:p>
    <w:p w14:paraId="18408EAF">
      <w:pPr>
        <w:ind w:firstLine="480"/>
        <w:rPr>
          <w:rFonts w:hint="eastAsia" w:ascii="Times New Roman" w:hAnsi="Times New Roman"/>
          <w:szCs w:val="21"/>
          <w:highlight w:val="none"/>
        </w:rPr>
      </w:pPr>
      <w:r>
        <w:rPr>
          <w:rFonts w:hint="eastAsia" w:ascii="Times New Roman" w:hAnsi="Times New Roman"/>
          <w:szCs w:val="21"/>
          <w:highlight w:val="none"/>
        </w:rPr>
        <w:t>本项目生活污水经市政管网排入哈尔滨市信义污水处理厂，生活污水年排放量为691.2t/a。</w:t>
      </w:r>
    </w:p>
    <w:p w14:paraId="2E047686">
      <w:pPr>
        <w:ind w:firstLine="480"/>
        <w:rPr>
          <w:rFonts w:hint="eastAsia" w:ascii="Times New Roman" w:hAnsi="Times New Roman"/>
          <w:szCs w:val="21"/>
          <w:highlight w:val="none"/>
        </w:rPr>
      </w:pPr>
      <w:r>
        <w:rPr>
          <w:rFonts w:hint="eastAsia" w:ascii="Times New Roman" w:hAnsi="Times New Roman"/>
          <w:szCs w:val="21"/>
          <w:highlight w:val="none"/>
        </w:rPr>
        <w:t>COD=691.2×500/1000=0.346t/a</w:t>
      </w:r>
    </w:p>
    <w:p w14:paraId="2425F755">
      <w:pPr>
        <w:ind w:firstLine="480"/>
        <w:rPr>
          <w:rFonts w:hint="eastAsia" w:ascii="Times New Roman" w:hAnsi="Times New Roman"/>
          <w:szCs w:val="21"/>
          <w:highlight w:val="none"/>
        </w:rPr>
      </w:pPr>
      <w:r>
        <w:rPr>
          <w:rFonts w:hint="eastAsia" w:ascii="Times New Roman" w:hAnsi="Times New Roman"/>
          <w:szCs w:val="21"/>
          <w:highlight w:val="none"/>
        </w:rPr>
        <w:t>氨氮=691.2×25/1000=</w:t>
      </w:r>
      <w:r>
        <w:rPr>
          <w:rFonts w:ascii="Times New Roman" w:hAnsi="Times New Roman"/>
          <w:szCs w:val="21"/>
          <w:highlight w:val="none"/>
        </w:rPr>
        <w:t>0.01</w:t>
      </w:r>
      <w:r>
        <w:rPr>
          <w:rFonts w:hint="eastAsia" w:ascii="Times New Roman" w:hAnsi="Times New Roman"/>
          <w:szCs w:val="21"/>
          <w:highlight w:val="none"/>
        </w:rPr>
        <w:t>7t/a</w:t>
      </w:r>
    </w:p>
    <w:p w14:paraId="0A11C14A">
      <w:pPr>
        <w:rPr>
          <w:rFonts w:ascii="Times New Roman" w:hAnsi="Times New Roman"/>
          <w:szCs w:val="21"/>
          <w:highlight w:val="none"/>
        </w:rPr>
      </w:pPr>
      <w:r>
        <w:rPr>
          <w:rFonts w:ascii="Times New Roman" w:hAnsi="Times New Roman"/>
          <w:szCs w:val="21"/>
          <w:highlight w:val="none"/>
        </w:rPr>
        <w:t>综上所述，污本项目污染物核定总量为颗粒物：</w:t>
      </w:r>
      <w:r>
        <w:rPr>
          <w:rFonts w:hint="eastAsia" w:ascii="Times New Roman" w:hAnsi="Times New Roman"/>
          <w:szCs w:val="21"/>
          <w:highlight w:val="none"/>
        </w:rPr>
        <w:t>31.437</w:t>
      </w:r>
      <w:r>
        <w:rPr>
          <w:rFonts w:ascii="Times New Roman" w:hAnsi="Times New Roman"/>
          <w:szCs w:val="21"/>
          <w:highlight w:val="none"/>
        </w:rPr>
        <w:t>t/a、SO</w:t>
      </w:r>
      <w:r>
        <w:rPr>
          <w:rFonts w:ascii="Times New Roman" w:hAnsi="Times New Roman"/>
          <w:szCs w:val="21"/>
          <w:highlight w:val="none"/>
          <w:vertAlign w:val="subscript"/>
        </w:rPr>
        <w:t>2</w:t>
      </w:r>
      <w:r>
        <w:rPr>
          <w:rFonts w:ascii="Times New Roman" w:hAnsi="Times New Roman"/>
          <w:szCs w:val="21"/>
          <w:highlight w:val="none"/>
        </w:rPr>
        <w:t>：</w:t>
      </w:r>
      <w:r>
        <w:rPr>
          <w:rFonts w:hint="eastAsia" w:ascii="Times New Roman" w:hAnsi="Times New Roman"/>
          <w:szCs w:val="21"/>
          <w:highlight w:val="none"/>
        </w:rPr>
        <w:t>98.841</w:t>
      </w:r>
      <w:r>
        <w:rPr>
          <w:rFonts w:ascii="Times New Roman" w:hAnsi="Times New Roman"/>
          <w:szCs w:val="21"/>
          <w:highlight w:val="none"/>
        </w:rPr>
        <w:t>t/a和NOx：</w:t>
      </w:r>
      <w:r>
        <w:rPr>
          <w:rFonts w:hint="eastAsia" w:ascii="Times New Roman" w:hAnsi="Times New Roman"/>
          <w:szCs w:val="21"/>
          <w:highlight w:val="none"/>
        </w:rPr>
        <w:t>141.201</w:t>
      </w:r>
      <w:r>
        <w:rPr>
          <w:rFonts w:ascii="Times New Roman" w:hAnsi="Times New Roman"/>
          <w:szCs w:val="21"/>
          <w:highlight w:val="none"/>
        </w:rPr>
        <w:t>t/a</w:t>
      </w:r>
      <w:r>
        <w:rPr>
          <w:rFonts w:hint="eastAsia" w:ascii="Times New Roman" w:hAnsi="Times New Roman"/>
          <w:szCs w:val="21"/>
          <w:highlight w:val="none"/>
        </w:rPr>
        <w:t>；COD：0.346t/a、氨氮：</w:t>
      </w:r>
      <w:r>
        <w:rPr>
          <w:rFonts w:ascii="Times New Roman" w:hAnsi="Times New Roman"/>
          <w:szCs w:val="21"/>
          <w:highlight w:val="none"/>
        </w:rPr>
        <w:t>0.01</w:t>
      </w:r>
      <w:r>
        <w:rPr>
          <w:rFonts w:hint="eastAsia" w:ascii="Times New Roman" w:hAnsi="Times New Roman"/>
          <w:szCs w:val="21"/>
          <w:highlight w:val="none"/>
        </w:rPr>
        <w:t>7t/a</w:t>
      </w:r>
      <w:r>
        <w:rPr>
          <w:rFonts w:ascii="Times New Roman" w:hAnsi="Times New Roman"/>
          <w:szCs w:val="21"/>
          <w:highlight w:val="none"/>
        </w:rPr>
        <w:t>。</w:t>
      </w:r>
    </w:p>
    <w:p w14:paraId="23E3A3C0">
      <w:pPr>
        <w:pStyle w:val="23"/>
        <w:rPr>
          <w:rFonts w:ascii="Times New Roman" w:hAnsi="Times New Roman"/>
          <w:szCs w:val="21"/>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5E2A0EDC">
      <w:pPr>
        <w:pStyle w:val="3"/>
        <w:bidi w:val="0"/>
        <w:rPr>
          <w:rFonts w:hint="default"/>
          <w:highlight w:val="none"/>
          <w:lang w:val="en-US" w:eastAsia="zh-CN"/>
        </w:rPr>
      </w:pPr>
      <w:bookmarkStart w:id="229" w:name="_Toc29849"/>
      <w:r>
        <w:rPr>
          <w:rFonts w:hint="eastAsia"/>
          <w:highlight w:val="none"/>
          <w:lang w:val="en-US" w:eastAsia="zh-CN"/>
        </w:rPr>
        <w:t>附件6排污许可证及企业规模信息</w:t>
      </w:r>
      <w:bookmarkEnd w:id="229"/>
    </w:p>
    <w:p w14:paraId="24F6825A">
      <w:pPr>
        <w:ind w:left="0" w:leftChars="0" w:firstLine="0" w:firstLineChars="0"/>
        <w:rPr>
          <w:highlight w:val="none"/>
        </w:rPr>
      </w:pPr>
      <w:r>
        <w:rPr>
          <w:highlight w:val="none"/>
        </w:rPr>
        <w:drawing>
          <wp:inline distT="0" distB="0" distL="114300" distR="114300">
            <wp:extent cx="5269230" cy="3693795"/>
            <wp:effectExtent l="0" t="0" r="7620" b="1905"/>
            <wp:docPr id="11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5"/>
                    <pic:cNvPicPr>
                      <a:picLocks noChangeAspect="1"/>
                    </pic:cNvPicPr>
                  </pic:nvPicPr>
                  <pic:blipFill>
                    <a:blip r:embed="rId119"/>
                    <a:stretch>
                      <a:fillRect/>
                    </a:stretch>
                  </pic:blipFill>
                  <pic:spPr>
                    <a:xfrm>
                      <a:off x="0" y="0"/>
                      <a:ext cx="5269230" cy="3693795"/>
                    </a:xfrm>
                    <a:prstGeom prst="rect">
                      <a:avLst/>
                    </a:prstGeom>
                    <a:noFill/>
                    <a:ln>
                      <a:noFill/>
                    </a:ln>
                  </pic:spPr>
                </pic:pic>
              </a:graphicData>
            </a:graphic>
          </wp:inline>
        </w:drawing>
      </w:r>
    </w:p>
    <w:p w14:paraId="204C0344">
      <w:pPr>
        <w:bidi w:val="0"/>
        <w:ind w:left="0" w:leftChars="0" w:firstLine="0" w:firstLineChars="0"/>
        <w:rPr>
          <w:highlight w:val="none"/>
        </w:rPr>
      </w:pPr>
      <w:r>
        <w:rPr>
          <w:highlight w:val="none"/>
        </w:rPr>
        <w:drawing>
          <wp:inline distT="0" distB="0" distL="114300" distR="114300">
            <wp:extent cx="5264150" cy="1704975"/>
            <wp:effectExtent l="0" t="0" r="12700" b="9525"/>
            <wp:docPr id="17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21"/>
                    <pic:cNvPicPr>
                      <a:picLocks noChangeAspect="1"/>
                    </pic:cNvPicPr>
                  </pic:nvPicPr>
                  <pic:blipFill>
                    <a:blip r:embed="rId120"/>
                    <a:stretch>
                      <a:fillRect/>
                    </a:stretch>
                  </pic:blipFill>
                  <pic:spPr>
                    <a:xfrm>
                      <a:off x="0" y="0"/>
                      <a:ext cx="5264150" cy="1704975"/>
                    </a:xfrm>
                    <a:prstGeom prst="rect">
                      <a:avLst/>
                    </a:prstGeom>
                    <a:noFill/>
                    <a:ln>
                      <a:noFill/>
                    </a:ln>
                  </pic:spPr>
                </pic:pic>
              </a:graphicData>
            </a:graphic>
          </wp:inline>
        </w:drawing>
      </w:r>
    </w:p>
    <w:p w14:paraId="2A0010A3">
      <w:pPr>
        <w:pStyle w:val="15"/>
        <w:rPr>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02D1E46D">
      <w:pPr>
        <w:pStyle w:val="3"/>
        <w:bidi w:val="0"/>
        <w:rPr>
          <w:rFonts w:hint="default"/>
          <w:highlight w:val="none"/>
          <w:lang w:val="en-US" w:eastAsia="zh-CN"/>
        </w:rPr>
      </w:pPr>
      <w:bookmarkStart w:id="230" w:name="_Toc21140"/>
      <w:r>
        <w:rPr>
          <w:rFonts w:hint="eastAsia"/>
          <w:highlight w:val="none"/>
          <w:lang w:val="en-US" w:eastAsia="zh-CN"/>
        </w:rPr>
        <w:t>附件7现有环评批复及验收意见</w:t>
      </w:r>
      <w:bookmarkEnd w:id="230"/>
    </w:p>
    <w:p w14:paraId="7C641599">
      <w:pPr>
        <w:ind w:left="0" w:leftChars="0" w:firstLine="0" w:firstLineChars="0"/>
        <w:rPr>
          <w:rFonts w:hint="eastAsia" w:eastAsiaTheme="minorEastAsia"/>
          <w:highlight w:val="none"/>
          <w:lang w:eastAsia="zh-CN"/>
        </w:rPr>
      </w:pPr>
      <w:r>
        <w:rPr>
          <w:rFonts w:hint="eastAsia" w:eastAsiaTheme="minorEastAsia"/>
          <w:highlight w:val="none"/>
          <w:lang w:eastAsia="zh-CN"/>
        </w:rPr>
        <w:drawing>
          <wp:inline distT="0" distB="0" distL="114300" distR="114300">
            <wp:extent cx="5269865" cy="7235190"/>
            <wp:effectExtent l="0" t="0" r="6985" b="3810"/>
            <wp:docPr id="120" name="图片 120" descr="供热锅炉改造项目环评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供热锅炉改造项目环评批复1"/>
                    <pic:cNvPicPr>
                      <a:picLocks noChangeAspect="1"/>
                    </pic:cNvPicPr>
                  </pic:nvPicPr>
                  <pic:blipFill>
                    <a:blip r:embed="rId121"/>
                    <a:stretch>
                      <a:fillRect/>
                    </a:stretch>
                  </pic:blipFill>
                  <pic:spPr>
                    <a:xfrm>
                      <a:off x="0" y="0"/>
                      <a:ext cx="5269865" cy="7235190"/>
                    </a:xfrm>
                    <a:prstGeom prst="rect">
                      <a:avLst/>
                    </a:prstGeom>
                  </pic:spPr>
                </pic:pic>
              </a:graphicData>
            </a:graphic>
          </wp:inline>
        </w:drawing>
      </w:r>
      <w:r>
        <w:rPr>
          <w:rFonts w:hint="eastAsia" w:eastAsiaTheme="minorEastAsia"/>
          <w:highlight w:val="none"/>
          <w:lang w:eastAsia="zh-CN"/>
        </w:rPr>
        <w:drawing>
          <wp:inline distT="0" distB="0" distL="114300" distR="114300">
            <wp:extent cx="5269865" cy="7416165"/>
            <wp:effectExtent l="0" t="0" r="6985" b="13335"/>
            <wp:docPr id="121" name="图片 121" descr="供热锅炉改造项目环评批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供热锅炉改造项目环评批复2"/>
                    <pic:cNvPicPr>
                      <a:picLocks noChangeAspect="1"/>
                    </pic:cNvPicPr>
                  </pic:nvPicPr>
                  <pic:blipFill>
                    <a:blip r:embed="rId122"/>
                    <a:stretch>
                      <a:fillRect/>
                    </a:stretch>
                  </pic:blipFill>
                  <pic:spPr>
                    <a:xfrm>
                      <a:off x="0" y="0"/>
                      <a:ext cx="5269865" cy="7416165"/>
                    </a:xfrm>
                    <a:prstGeom prst="rect">
                      <a:avLst/>
                    </a:prstGeom>
                  </pic:spPr>
                </pic:pic>
              </a:graphicData>
            </a:graphic>
          </wp:inline>
        </w:drawing>
      </w:r>
    </w:p>
    <w:p w14:paraId="02E03F7B">
      <w:pPr>
        <w:bidi w:val="0"/>
        <w:ind w:left="0" w:leftChars="0" w:firstLine="0" w:firstLineChars="0"/>
        <w:rPr>
          <w:rFonts w:hint="eastAsia" w:eastAsiaTheme="minorEastAsia"/>
          <w:highlight w:val="none"/>
          <w:lang w:eastAsia="zh-CN"/>
        </w:rPr>
      </w:pPr>
      <w:r>
        <w:rPr>
          <w:highlight w:val="none"/>
        </w:rPr>
        <w:drawing>
          <wp:inline distT="0" distB="0" distL="114300" distR="114300">
            <wp:extent cx="5269230" cy="7434580"/>
            <wp:effectExtent l="0" t="0" r="7620" b="13970"/>
            <wp:docPr id="5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5"/>
                    <pic:cNvPicPr>
                      <a:picLocks noChangeAspect="1"/>
                    </pic:cNvPicPr>
                  </pic:nvPicPr>
                  <pic:blipFill>
                    <a:blip r:embed="rId123"/>
                    <a:stretch>
                      <a:fillRect/>
                    </a:stretch>
                  </pic:blipFill>
                  <pic:spPr>
                    <a:xfrm>
                      <a:off x="0" y="0"/>
                      <a:ext cx="5269230" cy="7434580"/>
                    </a:xfrm>
                    <a:prstGeom prst="rect">
                      <a:avLst/>
                    </a:prstGeom>
                    <a:noFill/>
                    <a:ln>
                      <a:noFill/>
                    </a:ln>
                  </pic:spPr>
                </pic:pic>
              </a:graphicData>
            </a:graphic>
          </wp:inline>
        </w:drawing>
      </w:r>
    </w:p>
    <w:p w14:paraId="21650B00">
      <w:pPr>
        <w:ind w:left="0" w:leftChars="0" w:firstLine="0" w:firstLineChars="0"/>
        <w:rPr>
          <w:rFonts w:hint="eastAsia" w:eastAsiaTheme="minorEastAsia"/>
          <w:highlight w:val="none"/>
          <w:lang w:eastAsia="zh-CN"/>
        </w:rPr>
      </w:pPr>
      <w:r>
        <w:rPr>
          <w:highlight w:val="none"/>
        </w:rPr>
        <w:drawing>
          <wp:inline distT="0" distB="0" distL="114300" distR="114300">
            <wp:extent cx="5269865" cy="7437755"/>
            <wp:effectExtent l="0" t="0" r="6985" b="10795"/>
            <wp:docPr id="6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6"/>
                    <pic:cNvPicPr>
                      <a:picLocks noChangeAspect="1"/>
                    </pic:cNvPicPr>
                  </pic:nvPicPr>
                  <pic:blipFill>
                    <a:blip r:embed="rId124"/>
                    <a:stretch>
                      <a:fillRect/>
                    </a:stretch>
                  </pic:blipFill>
                  <pic:spPr>
                    <a:xfrm>
                      <a:off x="0" y="0"/>
                      <a:ext cx="5269865" cy="7437755"/>
                    </a:xfrm>
                    <a:prstGeom prst="rect">
                      <a:avLst/>
                    </a:prstGeom>
                    <a:noFill/>
                    <a:ln>
                      <a:noFill/>
                    </a:ln>
                  </pic:spPr>
                </pic:pic>
              </a:graphicData>
            </a:graphic>
          </wp:inline>
        </w:drawing>
      </w:r>
    </w:p>
    <w:p w14:paraId="4BC979E7">
      <w:pPr>
        <w:bidi w:val="0"/>
        <w:ind w:left="0" w:leftChars="0" w:firstLine="0" w:firstLineChars="0"/>
        <w:rPr>
          <w:rFonts w:hint="eastAsia"/>
          <w:highlight w:val="none"/>
          <w:lang w:eastAsia="zh-CN"/>
        </w:rPr>
      </w:pPr>
      <w:r>
        <w:rPr>
          <w:highlight w:val="none"/>
        </w:rPr>
        <w:drawing>
          <wp:inline distT="0" distB="0" distL="114300" distR="114300">
            <wp:extent cx="5300345" cy="8572500"/>
            <wp:effectExtent l="0" t="0" r="14605" b="0"/>
            <wp:docPr id="9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5"/>
                    <pic:cNvPicPr>
                      <a:picLocks noChangeAspect="1"/>
                    </pic:cNvPicPr>
                  </pic:nvPicPr>
                  <pic:blipFill>
                    <a:blip r:embed="rId125"/>
                    <a:stretch>
                      <a:fillRect/>
                    </a:stretch>
                  </pic:blipFill>
                  <pic:spPr>
                    <a:xfrm>
                      <a:off x="0" y="0"/>
                      <a:ext cx="5300345" cy="8572500"/>
                    </a:xfrm>
                    <a:prstGeom prst="rect">
                      <a:avLst/>
                    </a:prstGeom>
                    <a:noFill/>
                    <a:ln>
                      <a:noFill/>
                    </a:ln>
                  </pic:spPr>
                </pic:pic>
              </a:graphicData>
            </a:graphic>
          </wp:inline>
        </w:drawing>
      </w:r>
      <w:r>
        <w:rPr>
          <w:highlight w:val="none"/>
        </w:rPr>
        <w:drawing>
          <wp:inline distT="0" distB="0" distL="114300" distR="114300">
            <wp:extent cx="5273040" cy="8296275"/>
            <wp:effectExtent l="0" t="0" r="3810" b="9525"/>
            <wp:docPr id="11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6"/>
                    <pic:cNvPicPr>
                      <a:picLocks noChangeAspect="1"/>
                    </pic:cNvPicPr>
                  </pic:nvPicPr>
                  <pic:blipFill>
                    <a:blip r:embed="rId126"/>
                    <a:stretch>
                      <a:fillRect/>
                    </a:stretch>
                  </pic:blipFill>
                  <pic:spPr>
                    <a:xfrm>
                      <a:off x="0" y="0"/>
                      <a:ext cx="5273040" cy="8296275"/>
                    </a:xfrm>
                    <a:prstGeom prst="rect">
                      <a:avLst/>
                    </a:prstGeom>
                    <a:noFill/>
                    <a:ln>
                      <a:noFill/>
                    </a:ln>
                  </pic:spPr>
                </pic:pic>
              </a:graphicData>
            </a:graphic>
          </wp:inline>
        </w:drawing>
      </w:r>
    </w:p>
    <w:p w14:paraId="3434B5BF">
      <w:pPr>
        <w:rPr>
          <w:rFonts w:hint="eastAsia" w:eastAsiaTheme="minorEastAsia"/>
          <w:highlight w:val="none"/>
          <w:lang w:eastAsia="zh-CN"/>
        </w:rPr>
      </w:pPr>
    </w:p>
    <w:p w14:paraId="529D441D">
      <w:pPr>
        <w:pStyle w:val="3"/>
        <w:bidi w:val="0"/>
        <w:rPr>
          <w:rFonts w:hint="eastAsia"/>
          <w:highlight w:val="none"/>
          <w:lang w:val="en-US" w:eastAsia="zh-CN"/>
        </w:rPr>
      </w:pPr>
      <w:bookmarkStart w:id="231" w:name="_Toc32277"/>
      <w:r>
        <w:rPr>
          <w:rFonts w:hint="eastAsia"/>
          <w:highlight w:val="none"/>
          <w:lang w:val="en-US" w:eastAsia="zh-CN"/>
        </w:rPr>
        <w:t>附件8关于《绥芬河边境经济合作区（代管区）总体规划（2021-2035年）环境影响报告书》的审查意见</w:t>
      </w:r>
      <w:bookmarkEnd w:id="231"/>
    </w:p>
    <w:p w14:paraId="793D7BBE">
      <w:pPr>
        <w:ind w:left="0" w:leftChars="0" w:firstLine="0" w:firstLineChars="0"/>
        <w:rPr>
          <w:rFonts w:hint="default"/>
          <w:highlight w:val="none"/>
          <w:lang w:val="en-US" w:eastAsia="zh-CN"/>
        </w:rPr>
      </w:pPr>
      <w:r>
        <w:rPr>
          <w:highlight w:val="none"/>
        </w:rPr>
        <w:drawing>
          <wp:inline distT="0" distB="0" distL="114300" distR="114300">
            <wp:extent cx="5269865" cy="7014845"/>
            <wp:effectExtent l="0" t="0" r="6985" b="14605"/>
            <wp:docPr id="4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5"/>
                    <pic:cNvPicPr>
                      <a:picLocks noChangeAspect="1"/>
                    </pic:cNvPicPr>
                  </pic:nvPicPr>
                  <pic:blipFill>
                    <a:blip r:embed="rId127"/>
                    <a:stretch>
                      <a:fillRect/>
                    </a:stretch>
                  </pic:blipFill>
                  <pic:spPr>
                    <a:xfrm>
                      <a:off x="0" y="0"/>
                      <a:ext cx="5269865" cy="7014845"/>
                    </a:xfrm>
                    <a:prstGeom prst="rect">
                      <a:avLst/>
                    </a:prstGeom>
                    <a:noFill/>
                    <a:ln>
                      <a:noFill/>
                    </a:ln>
                  </pic:spPr>
                </pic:pic>
              </a:graphicData>
            </a:graphic>
          </wp:inline>
        </w:drawing>
      </w:r>
      <w:r>
        <w:rPr>
          <w:highlight w:val="none"/>
        </w:rPr>
        <w:drawing>
          <wp:inline distT="0" distB="0" distL="114300" distR="114300">
            <wp:extent cx="5325745" cy="8400415"/>
            <wp:effectExtent l="0" t="0" r="8255" b="635"/>
            <wp:docPr id="15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6"/>
                    <pic:cNvPicPr>
                      <a:picLocks noChangeAspect="1"/>
                    </pic:cNvPicPr>
                  </pic:nvPicPr>
                  <pic:blipFill>
                    <a:blip r:embed="rId128"/>
                    <a:stretch>
                      <a:fillRect/>
                    </a:stretch>
                  </pic:blipFill>
                  <pic:spPr>
                    <a:xfrm>
                      <a:off x="0" y="0"/>
                      <a:ext cx="5325745" cy="8400415"/>
                    </a:xfrm>
                    <a:prstGeom prst="rect">
                      <a:avLst/>
                    </a:prstGeom>
                    <a:noFill/>
                    <a:ln>
                      <a:noFill/>
                    </a:ln>
                  </pic:spPr>
                </pic:pic>
              </a:graphicData>
            </a:graphic>
          </wp:inline>
        </w:drawing>
      </w:r>
      <w:r>
        <w:rPr>
          <w:highlight w:val="none"/>
        </w:rPr>
        <w:drawing>
          <wp:inline distT="0" distB="0" distL="114300" distR="114300">
            <wp:extent cx="5271135" cy="8317230"/>
            <wp:effectExtent l="0" t="0" r="5715" b="7620"/>
            <wp:docPr id="15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7"/>
                    <pic:cNvPicPr>
                      <a:picLocks noChangeAspect="1"/>
                    </pic:cNvPicPr>
                  </pic:nvPicPr>
                  <pic:blipFill>
                    <a:blip r:embed="rId129"/>
                    <a:stretch>
                      <a:fillRect/>
                    </a:stretch>
                  </pic:blipFill>
                  <pic:spPr>
                    <a:xfrm>
                      <a:off x="0" y="0"/>
                      <a:ext cx="5271135" cy="8317230"/>
                    </a:xfrm>
                    <a:prstGeom prst="rect">
                      <a:avLst/>
                    </a:prstGeom>
                    <a:noFill/>
                    <a:ln>
                      <a:noFill/>
                    </a:ln>
                  </pic:spPr>
                </pic:pic>
              </a:graphicData>
            </a:graphic>
          </wp:inline>
        </w:drawing>
      </w:r>
      <w:r>
        <w:rPr>
          <w:highlight w:val="none"/>
        </w:rPr>
        <w:drawing>
          <wp:inline distT="0" distB="0" distL="114300" distR="114300">
            <wp:extent cx="5270500" cy="8444230"/>
            <wp:effectExtent l="0" t="0" r="6350" b="13970"/>
            <wp:docPr id="15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8"/>
                    <pic:cNvPicPr>
                      <a:picLocks noChangeAspect="1"/>
                    </pic:cNvPicPr>
                  </pic:nvPicPr>
                  <pic:blipFill>
                    <a:blip r:embed="rId130"/>
                    <a:stretch>
                      <a:fillRect/>
                    </a:stretch>
                  </pic:blipFill>
                  <pic:spPr>
                    <a:xfrm>
                      <a:off x="0" y="0"/>
                      <a:ext cx="5270500" cy="8444230"/>
                    </a:xfrm>
                    <a:prstGeom prst="rect">
                      <a:avLst/>
                    </a:prstGeom>
                    <a:noFill/>
                    <a:ln>
                      <a:noFill/>
                    </a:ln>
                  </pic:spPr>
                </pic:pic>
              </a:graphicData>
            </a:graphic>
          </wp:inline>
        </w:drawing>
      </w:r>
      <w:r>
        <w:rPr>
          <w:highlight w:val="none"/>
        </w:rPr>
        <w:drawing>
          <wp:inline distT="0" distB="0" distL="114300" distR="114300">
            <wp:extent cx="5273675" cy="8360410"/>
            <wp:effectExtent l="0" t="0" r="3175" b="2540"/>
            <wp:docPr id="15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9"/>
                    <pic:cNvPicPr>
                      <a:picLocks noChangeAspect="1"/>
                    </pic:cNvPicPr>
                  </pic:nvPicPr>
                  <pic:blipFill>
                    <a:blip r:embed="rId131"/>
                    <a:stretch>
                      <a:fillRect/>
                    </a:stretch>
                  </pic:blipFill>
                  <pic:spPr>
                    <a:xfrm>
                      <a:off x="0" y="0"/>
                      <a:ext cx="5273675" cy="8360410"/>
                    </a:xfrm>
                    <a:prstGeom prst="rect">
                      <a:avLst/>
                    </a:prstGeom>
                    <a:noFill/>
                    <a:ln>
                      <a:noFill/>
                    </a:ln>
                  </pic:spPr>
                </pic:pic>
              </a:graphicData>
            </a:graphic>
          </wp:inline>
        </w:drawing>
      </w:r>
      <w:r>
        <w:rPr>
          <w:highlight w:val="none"/>
        </w:rPr>
        <w:drawing>
          <wp:inline distT="0" distB="0" distL="114300" distR="114300">
            <wp:extent cx="5268595" cy="8396605"/>
            <wp:effectExtent l="0" t="0" r="8255" b="4445"/>
            <wp:docPr id="16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20"/>
                    <pic:cNvPicPr>
                      <a:picLocks noChangeAspect="1"/>
                    </pic:cNvPicPr>
                  </pic:nvPicPr>
                  <pic:blipFill>
                    <a:blip r:embed="rId132"/>
                    <a:stretch>
                      <a:fillRect/>
                    </a:stretch>
                  </pic:blipFill>
                  <pic:spPr>
                    <a:xfrm>
                      <a:off x="0" y="0"/>
                      <a:ext cx="5268595" cy="8396605"/>
                    </a:xfrm>
                    <a:prstGeom prst="rect">
                      <a:avLst/>
                    </a:prstGeom>
                    <a:noFill/>
                    <a:ln>
                      <a:noFill/>
                    </a:ln>
                  </pic:spPr>
                </pic:pic>
              </a:graphicData>
            </a:graphic>
          </wp:inline>
        </w:drawing>
      </w:r>
    </w:p>
    <w:p w14:paraId="21D23D10">
      <w:pPr>
        <w:pStyle w:val="3"/>
        <w:bidi w:val="0"/>
        <w:rPr>
          <w:rFonts w:hint="eastAsia"/>
          <w:highlight w:val="none"/>
          <w:lang w:val="en-US" w:eastAsia="zh-CN"/>
        </w:rPr>
      </w:pPr>
      <w:bookmarkStart w:id="232" w:name="_Toc30183"/>
      <w:r>
        <w:rPr>
          <w:rFonts w:hint="eastAsia"/>
          <w:highlight w:val="none"/>
          <w:lang w:val="en-US" w:eastAsia="zh-CN"/>
        </w:rPr>
        <w:t>附件9现有工程定期检测报告</w:t>
      </w:r>
      <w:bookmarkEnd w:id="232"/>
    </w:p>
    <w:p w14:paraId="130818AD">
      <w:pPr>
        <w:jc w:val="center"/>
        <w:rPr>
          <w:highlight w:val="none"/>
        </w:rPr>
      </w:pPr>
      <w:r>
        <w:rPr>
          <w:highlight w:val="none"/>
        </w:rPr>
        <w:drawing>
          <wp:inline distT="0" distB="0" distL="114300" distR="114300">
            <wp:extent cx="4629150" cy="6572250"/>
            <wp:effectExtent l="0" t="0" r="0" b="0"/>
            <wp:docPr id="12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6"/>
                    <pic:cNvPicPr>
                      <a:picLocks noChangeAspect="1"/>
                    </pic:cNvPicPr>
                  </pic:nvPicPr>
                  <pic:blipFill>
                    <a:blip r:embed="rId133"/>
                    <a:stretch>
                      <a:fillRect/>
                    </a:stretch>
                  </pic:blipFill>
                  <pic:spPr>
                    <a:xfrm>
                      <a:off x="0" y="0"/>
                      <a:ext cx="4629150" cy="6572250"/>
                    </a:xfrm>
                    <a:prstGeom prst="rect">
                      <a:avLst/>
                    </a:prstGeom>
                    <a:noFill/>
                    <a:ln>
                      <a:noFill/>
                    </a:ln>
                  </pic:spPr>
                </pic:pic>
              </a:graphicData>
            </a:graphic>
          </wp:inline>
        </w:drawing>
      </w:r>
    </w:p>
    <w:p w14:paraId="45B4F045">
      <w:pPr>
        <w:jc w:val="center"/>
        <w:rPr>
          <w:highlight w:val="none"/>
        </w:rPr>
      </w:pPr>
      <w:r>
        <w:rPr>
          <w:highlight w:val="none"/>
        </w:rPr>
        <w:drawing>
          <wp:inline distT="0" distB="0" distL="114300" distR="114300">
            <wp:extent cx="4648200" cy="6629400"/>
            <wp:effectExtent l="0" t="0" r="0" b="0"/>
            <wp:docPr id="12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7"/>
                    <pic:cNvPicPr>
                      <a:picLocks noChangeAspect="1"/>
                    </pic:cNvPicPr>
                  </pic:nvPicPr>
                  <pic:blipFill>
                    <a:blip r:embed="rId134"/>
                    <a:stretch>
                      <a:fillRect/>
                    </a:stretch>
                  </pic:blipFill>
                  <pic:spPr>
                    <a:xfrm>
                      <a:off x="0" y="0"/>
                      <a:ext cx="4648200" cy="6629400"/>
                    </a:xfrm>
                    <a:prstGeom prst="rect">
                      <a:avLst/>
                    </a:prstGeom>
                    <a:noFill/>
                    <a:ln>
                      <a:noFill/>
                    </a:ln>
                  </pic:spPr>
                </pic:pic>
              </a:graphicData>
            </a:graphic>
          </wp:inline>
        </w:drawing>
      </w:r>
      <w:r>
        <w:rPr>
          <w:highlight w:val="none"/>
        </w:rPr>
        <w:drawing>
          <wp:inline distT="0" distB="0" distL="114300" distR="114300">
            <wp:extent cx="4638675" cy="6638925"/>
            <wp:effectExtent l="0" t="0" r="9525" b="9525"/>
            <wp:docPr id="12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8"/>
                    <pic:cNvPicPr>
                      <a:picLocks noChangeAspect="1"/>
                    </pic:cNvPicPr>
                  </pic:nvPicPr>
                  <pic:blipFill>
                    <a:blip r:embed="rId135"/>
                    <a:stretch>
                      <a:fillRect/>
                    </a:stretch>
                  </pic:blipFill>
                  <pic:spPr>
                    <a:xfrm>
                      <a:off x="0" y="0"/>
                      <a:ext cx="4638675" cy="6638925"/>
                    </a:xfrm>
                    <a:prstGeom prst="rect">
                      <a:avLst/>
                    </a:prstGeom>
                    <a:noFill/>
                    <a:ln>
                      <a:noFill/>
                    </a:ln>
                  </pic:spPr>
                </pic:pic>
              </a:graphicData>
            </a:graphic>
          </wp:inline>
        </w:drawing>
      </w:r>
      <w:r>
        <w:rPr>
          <w:highlight w:val="none"/>
        </w:rPr>
        <w:drawing>
          <wp:inline distT="0" distB="0" distL="114300" distR="114300">
            <wp:extent cx="4676775" cy="6581775"/>
            <wp:effectExtent l="0" t="0" r="9525" b="9525"/>
            <wp:docPr id="12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9"/>
                    <pic:cNvPicPr>
                      <a:picLocks noChangeAspect="1"/>
                    </pic:cNvPicPr>
                  </pic:nvPicPr>
                  <pic:blipFill>
                    <a:blip r:embed="rId136"/>
                    <a:stretch>
                      <a:fillRect/>
                    </a:stretch>
                  </pic:blipFill>
                  <pic:spPr>
                    <a:xfrm>
                      <a:off x="0" y="0"/>
                      <a:ext cx="4676775" cy="6581775"/>
                    </a:xfrm>
                    <a:prstGeom prst="rect">
                      <a:avLst/>
                    </a:prstGeom>
                    <a:noFill/>
                    <a:ln>
                      <a:noFill/>
                    </a:ln>
                  </pic:spPr>
                </pic:pic>
              </a:graphicData>
            </a:graphic>
          </wp:inline>
        </w:drawing>
      </w:r>
      <w:r>
        <w:rPr>
          <w:highlight w:val="none"/>
        </w:rPr>
        <w:drawing>
          <wp:inline distT="0" distB="0" distL="114300" distR="114300">
            <wp:extent cx="4667250" cy="6600825"/>
            <wp:effectExtent l="0" t="0" r="0" b="9525"/>
            <wp:docPr id="12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0"/>
                    <pic:cNvPicPr>
                      <a:picLocks noChangeAspect="1"/>
                    </pic:cNvPicPr>
                  </pic:nvPicPr>
                  <pic:blipFill>
                    <a:blip r:embed="rId137"/>
                    <a:stretch>
                      <a:fillRect/>
                    </a:stretch>
                  </pic:blipFill>
                  <pic:spPr>
                    <a:xfrm>
                      <a:off x="0" y="0"/>
                      <a:ext cx="4667250" cy="6600825"/>
                    </a:xfrm>
                    <a:prstGeom prst="rect">
                      <a:avLst/>
                    </a:prstGeom>
                    <a:noFill/>
                    <a:ln>
                      <a:noFill/>
                    </a:ln>
                  </pic:spPr>
                </pic:pic>
              </a:graphicData>
            </a:graphic>
          </wp:inline>
        </w:drawing>
      </w:r>
      <w:r>
        <w:rPr>
          <w:highlight w:val="none"/>
        </w:rPr>
        <w:drawing>
          <wp:inline distT="0" distB="0" distL="114300" distR="114300">
            <wp:extent cx="4676775" cy="6610350"/>
            <wp:effectExtent l="0" t="0" r="9525" b="0"/>
            <wp:docPr id="12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1"/>
                    <pic:cNvPicPr>
                      <a:picLocks noChangeAspect="1"/>
                    </pic:cNvPicPr>
                  </pic:nvPicPr>
                  <pic:blipFill>
                    <a:blip r:embed="rId138"/>
                    <a:stretch>
                      <a:fillRect/>
                    </a:stretch>
                  </pic:blipFill>
                  <pic:spPr>
                    <a:xfrm>
                      <a:off x="0" y="0"/>
                      <a:ext cx="4676775" cy="6610350"/>
                    </a:xfrm>
                    <a:prstGeom prst="rect">
                      <a:avLst/>
                    </a:prstGeom>
                    <a:noFill/>
                    <a:ln>
                      <a:noFill/>
                    </a:ln>
                  </pic:spPr>
                </pic:pic>
              </a:graphicData>
            </a:graphic>
          </wp:inline>
        </w:drawing>
      </w:r>
      <w:r>
        <w:rPr>
          <w:highlight w:val="none"/>
        </w:rPr>
        <w:drawing>
          <wp:inline distT="0" distB="0" distL="114300" distR="114300">
            <wp:extent cx="4276725" cy="6038850"/>
            <wp:effectExtent l="0" t="0" r="9525" b="0"/>
            <wp:docPr id="12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2"/>
                    <pic:cNvPicPr>
                      <a:picLocks noChangeAspect="1"/>
                    </pic:cNvPicPr>
                  </pic:nvPicPr>
                  <pic:blipFill>
                    <a:blip r:embed="rId139"/>
                    <a:stretch>
                      <a:fillRect/>
                    </a:stretch>
                  </pic:blipFill>
                  <pic:spPr>
                    <a:xfrm>
                      <a:off x="0" y="0"/>
                      <a:ext cx="4276725" cy="6038850"/>
                    </a:xfrm>
                    <a:prstGeom prst="rect">
                      <a:avLst/>
                    </a:prstGeom>
                    <a:noFill/>
                    <a:ln>
                      <a:noFill/>
                    </a:ln>
                  </pic:spPr>
                </pic:pic>
              </a:graphicData>
            </a:graphic>
          </wp:inline>
        </w:drawing>
      </w:r>
      <w:r>
        <w:rPr>
          <w:highlight w:val="none"/>
        </w:rPr>
        <w:drawing>
          <wp:inline distT="0" distB="0" distL="114300" distR="114300">
            <wp:extent cx="4238625" cy="5991225"/>
            <wp:effectExtent l="0" t="0" r="9525" b="9525"/>
            <wp:docPr id="12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3"/>
                    <pic:cNvPicPr>
                      <a:picLocks noChangeAspect="1"/>
                    </pic:cNvPicPr>
                  </pic:nvPicPr>
                  <pic:blipFill>
                    <a:blip r:embed="rId140"/>
                    <a:stretch>
                      <a:fillRect/>
                    </a:stretch>
                  </pic:blipFill>
                  <pic:spPr>
                    <a:xfrm>
                      <a:off x="0" y="0"/>
                      <a:ext cx="4238625" cy="5991225"/>
                    </a:xfrm>
                    <a:prstGeom prst="rect">
                      <a:avLst/>
                    </a:prstGeom>
                    <a:noFill/>
                    <a:ln>
                      <a:noFill/>
                    </a:ln>
                  </pic:spPr>
                </pic:pic>
              </a:graphicData>
            </a:graphic>
          </wp:inline>
        </w:drawing>
      </w:r>
      <w:r>
        <w:rPr>
          <w:highlight w:val="none"/>
        </w:rPr>
        <w:drawing>
          <wp:inline distT="0" distB="0" distL="114300" distR="114300">
            <wp:extent cx="4248150" cy="5962650"/>
            <wp:effectExtent l="0" t="0" r="0" b="0"/>
            <wp:docPr id="13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4"/>
                    <pic:cNvPicPr>
                      <a:picLocks noChangeAspect="1"/>
                    </pic:cNvPicPr>
                  </pic:nvPicPr>
                  <pic:blipFill>
                    <a:blip r:embed="rId141"/>
                    <a:stretch>
                      <a:fillRect/>
                    </a:stretch>
                  </pic:blipFill>
                  <pic:spPr>
                    <a:xfrm>
                      <a:off x="0" y="0"/>
                      <a:ext cx="4248150" cy="5962650"/>
                    </a:xfrm>
                    <a:prstGeom prst="rect">
                      <a:avLst/>
                    </a:prstGeom>
                    <a:noFill/>
                    <a:ln>
                      <a:noFill/>
                    </a:ln>
                  </pic:spPr>
                </pic:pic>
              </a:graphicData>
            </a:graphic>
          </wp:inline>
        </w:drawing>
      </w:r>
      <w:r>
        <w:rPr>
          <w:highlight w:val="none"/>
        </w:rPr>
        <w:drawing>
          <wp:inline distT="0" distB="0" distL="114300" distR="114300">
            <wp:extent cx="4257675" cy="6048375"/>
            <wp:effectExtent l="0" t="0" r="9525" b="9525"/>
            <wp:docPr id="13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5"/>
                    <pic:cNvPicPr>
                      <a:picLocks noChangeAspect="1"/>
                    </pic:cNvPicPr>
                  </pic:nvPicPr>
                  <pic:blipFill>
                    <a:blip r:embed="rId142"/>
                    <a:stretch>
                      <a:fillRect/>
                    </a:stretch>
                  </pic:blipFill>
                  <pic:spPr>
                    <a:xfrm>
                      <a:off x="0" y="0"/>
                      <a:ext cx="4257675" cy="6048375"/>
                    </a:xfrm>
                    <a:prstGeom prst="rect">
                      <a:avLst/>
                    </a:prstGeom>
                    <a:noFill/>
                    <a:ln>
                      <a:noFill/>
                    </a:ln>
                  </pic:spPr>
                </pic:pic>
              </a:graphicData>
            </a:graphic>
          </wp:inline>
        </w:drawing>
      </w:r>
      <w:r>
        <w:rPr>
          <w:highlight w:val="none"/>
        </w:rPr>
        <w:drawing>
          <wp:inline distT="0" distB="0" distL="114300" distR="114300">
            <wp:extent cx="4276725" cy="5991225"/>
            <wp:effectExtent l="0" t="0" r="9525" b="9525"/>
            <wp:docPr id="13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6"/>
                    <pic:cNvPicPr>
                      <a:picLocks noChangeAspect="1"/>
                    </pic:cNvPicPr>
                  </pic:nvPicPr>
                  <pic:blipFill>
                    <a:blip r:embed="rId143"/>
                    <a:stretch>
                      <a:fillRect/>
                    </a:stretch>
                  </pic:blipFill>
                  <pic:spPr>
                    <a:xfrm>
                      <a:off x="0" y="0"/>
                      <a:ext cx="4276725" cy="5991225"/>
                    </a:xfrm>
                    <a:prstGeom prst="rect">
                      <a:avLst/>
                    </a:prstGeom>
                    <a:noFill/>
                    <a:ln>
                      <a:noFill/>
                    </a:ln>
                  </pic:spPr>
                </pic:pic>
              </a:graphicData>
            </a:graphic>
          </wp:inline>
        </w:drawing>
      </w:r>
      <w:r>
        <w:rPr>
          <w:highlight w:val="none"/>
        </w:rPr>
        <w:drawing>
          <wp:inline distT="0" distB="0" distL="114300" distR="114300">
            <wp:extent cx="4933950" cy="7058025"/>
            <wp:effectExtent l="0" t="0" r="0" b="9525"/>
            <wp:docPr id="13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7"/>
                    <pic:cNvPicPr>
                      <a:picLocks noChangeAspect="1"/>
                    </pic:cNvPicPr>
                  </pic:nvPicPr>
                  <pic:blipFill>
                    <a:blip r:embed="rId144"/>
                    <a:stretch>
                      <a:fillRect/>
                    </a:stretch>
                  </pic:blipFill>
                  <pic:spPr>
                    <a:xfrm>
                      <a:off x="0" y="0"/>
                      <a:ext cx="4933950" cy="7058025"/>
                    </a:xfrm>
                    <a:prstGeom prst="rect">
                      <a:avLst/>
                    </a:prstGeom>
                    <a:noFill/>
                    <a:ln>
                      <a:noFill/>
                    </a:ln>
                  </pic:spPr>
                </pic:pic>
              </a:graphicData>
            </a:graphic>
          </wp:inline>
        </w:drawing>
      </w:r>
      <w:r>
        <w:rPr>
          <w:highlight w:val="none"/>
        </w:rPr>
        <w:drawing>
          <wp:inline distT="0" distB="0" distL="114300" distR="114300">
            <wp:extent cx="4972050" cy="7067550"/>
            <wp:effectExtent l="0" t="0" r="0" b="0"/>
            <wp:docPr id="13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8"/>
                    <pic:cNvPicPr>
                      <a:picLocks noChangeAspect="1"/>
                    </pic:cNvPicPr>
                  </pic:nvPicPr>
                  <pic:blipFill>
                    <a:blip r:embed="rId145"/>
                    <a:stretch>
                      <a:fillRect/>
                    </a:stretch>
                  </pic:blipFill>
                  <pic:spPr>
                    <a:xfrm>
                      <a:off x="0" y="0"/>
                      <a:ext cx="4972050" cy="7067550"/>
                    </a:xfrm>
                    <a:prstGeom prst="rect">
                      <a:avLst/>
                    </a:prstGeom>
                    <a:noFill/>
                    <a:ln>
                      <a:noFill/>
                    </a:ln>
                  </pic:spPr>
                </pic:pic>
              </a:graphicData>
            </a:graphic>
          </wp:inline>
        </w:drawing>
      </w:r>
      <w:r>
        <w:rPr>
          <w:highlight w:val="none"/>
        </w:rPr>
        <w:drawing>
          <wp:inline distT="0" distB="0" distL="114300" distR="114300">
            <wp:extent cx="4962525" cy="7115175"/>
            <wp:effectExtent l="0" t="0" r="9525" b="9525"/>
            <wp:docPr id="13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9"/>
                    <pic:cNvPicPr>
                      <a:picLocks noChangeAspect="1"/>
                    </pic:cNvPicPr>
                  </pic:nvPicPr>
                  <pic:blipFill>
                    <a:blip r:embed="rId146"/>
                    <a:stretch>
                      <a:fillRect/>
                    </a:stretch>
                  </pic:blipFill>
                  <pic:spPr>
                    <a:xfrm>
                      <a:off x="0" y="0"/>
                      <a:ext cx="4962525" cy="7115175"/>
                    </a:xfrm>
                    <a:prstGeom prst="rect">
                      <a:avLst/>
                    </a:prstGeom>
                    <a:noFill/>
                    <a:ln>
                      <a:noFill/>
                    </a:ln>
                  </pic:spPr>
                </pic:pic>
              </a:graphicData>
            </a:graphic>
          </wp:inline>
        </w:drawing>
      </w:r>
      <w:r>
        <w:rPr>
          <w:highlight w:val="none"/>
        </w:rPr>
        <w:drawing>
          <wp:inline distT="0" distB="0" distL="114300" distR="114300">
            <wp:extent cx="4953000" cy="7019925"/>
            <wp:effectExtent l="0" t="0" r="0" b="9525"/>
            <wp:docPr id="13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0"/>
                    <pic:cNvPicPr>
                      <a:picLocks noChangeAspect="1"/>
                    </pic:cNvPicPr>
                  </pic:nvPicPr>
                  <pic:blipFill>
                    <a:blip r:embed="rId147"/>
                    <a:stretch>
                      <a:fillRect/>
                    </a:stretch>
                  </pic:blipFill>
                  <pic:spPr>
                    <a:xfrm>
                      <a:off x="0" y="0"/>
                      <a:ext cx="4953000" cy="7019925"/>
                    </a:xfrm>
                    <a:prstGeom prst="rect">
                      <a:avLst/>
                    </a:prstGeom>
                    <a:noFill/>
                    <a:ln>
                      <a:noFill/>
                    </a:ln>
                  </pic:spPr>
                </pic:pic>
              </a:graphicData>
            </a:graphic>
          </wp:inline>
        </w:drawing>
      </w:r>
      <w:r>
        <w:rPr>
          <w:highlight w:val="none"/>
        </w:rPr>
        <w:drawing>
          <wp:inline distT="0" distB="0" distL="114300" distR="114300">
            <wp:extent cx="4972050" cy="7029450"/>
            <wp:effectExtent l="0" t="0" r="0" b="0"/>
            <wp:docPr id="13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31"/>
                    <pic:cNvPicPr>
                      <a:picLocks noChangeAspect="1"/>
                    </pic:cNvPicPr>
                  </pic:nvPicPr>
                  <pic:blipFill>
                    <a:blip r:embed="rId148"/>
                    <a:stretch>
                      <a:fillRect/>
                    </a:stretch>
                  </pic:blipFill>
                  <pic:spPr>
                    <a:xfrm>
                      <a:off x="0" y="0"/>
                      <a:ext cx="4972050" cy="7029450"/>
                    </a:xfrm>
                    <a:prstGeom prst="rect">
                      <a:avLst/>
                    </a:prstGeom>
                    <a:noFill/>
                    <a:ln>
                      <a:noFill/>
                    </a:ln>
                  </pic:spPr>
                </pic:pic>
              </a:graphicData>
            </a:graphic>
          </wp:inline>
        </w:drawing>
      </w:r>
      <w:r>
        <w:rPr>
          <w:highlight w:val="none"/>
        </w:rPr>
        <w:drawing>
          <wp:inline distT="0" distB="0" distL="114300" distR="114300">
            <wp:extent cx="4981575" cy="7077075"/>
            <wp:effectExtent l="0" t="0" r="9525" b="9525"/>
            <wp:docPr id="13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2"/>
                    <pic:cNvPicPr>
                      <a:picLocks noChangeAspect="1"/>
                    </pic:cNvPicPr>
                  </pic:nvPicPr>
                  <pic:blipFill>
                    <a:blip r:embed="rId149"/>
                    <a:stretch>
                      <a:fillRect/>
                    </a:stretch>
                  </pic:blipFill>
                  <pic:spPr>
                    <a:xfrm>
                      <a:off x="0" y="0"/>
                      <a:ext cx="4981575" cy="7077075"/>
                    </a:xfrm>
                    <a:prstGeom prst="rect">
                      <a:avLst/>
                    </a:prstGeom>
                    <a:noFill/>
                    <a:ln>
                      <a:noFill/>
                    </a:ln>
                  </pic:spPr>
                </pic:pic>
              </a:graphicData>
            </a:graphic>
          </wp:inline>
        </w:drawing>
      </w:r>
      <w:r>
        <w:rPr>
          <w:highlight w:val="none"/>
        </w:rPr>
        <w:drawing>
          <wp:inline distT="0" distB="0" distL="114300" distR="114300">
            <wp:extent cx="5000625" cy="7048500"/>
            <wp:effectExtent l="0" t="0" r="9525" b="0"/>
            <wp:docPr id="14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5"/>
                    <pic:cNvPicPr>
                      <a:picLocks noChangeAspect="1"/>
                    </pic:cNvPicPr>
                  </pic:nvPicPr>
                  <pic:blipFill>
                    <a:blip r:embed="rId150"/>
                    <a:stretch>
                      <a:fillRect/>
                    </a:stretch>
                  </pic:blipFill>
                  <pic:spPr>
                    <a:xfrm>
                      <a:off x="0" y="0"/>
                      <a:ext cx="5000625" cy="7048500"/>
                    </a:xfrm>
                    <a:prstGeom prst="rect">
                      <a:avLst/>
                    </a:prstGeom>
                    <a:noFill/>
                    <a:ln>
                      <a:noFill/>
                    </a:ln>
                  </pic:spPr>
                </pic:pic>
              </a:graphicData>
            </a:graphic>
          </wp:inline>
        </w:drawing>
      </w:r>
      <w:r>
        <w:rPr>
          <w:highlight w:val="none"/>
        </w:rPr>
        <w:drawing>
          <wp:inline distT="0" distB="0" distL="114300" distR="114300">
            <wp:extent cx="4981575" cy="7067550"/>
            <wp:effectExtent l="0" t="0" r="9525" b="0"/>
            <wp:docPr id="14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4"/>
                    <pic:cNvPicPr>
                      <a:picLocks noChangeAspect="1"/>
                    </pic:cNvPicPr>
                  </pic:nvPicPr>
                  <pic:blipFill>
                    <a:blip r:embed="rId151"/>
                    <a:stretch>
                      <a:fillRect/>
                    </a:stretch>
                  </pic:blipFill>
                  <pic:spPr>
                    <a:xfrm>
                      <a:off x="0" y="0"/>
                      <a:ext cx="4981575" cy="7067550"/>
                    </a:xfrm>
                    <a:prstGeom prst="rect">
                      <a:avLst/>
                    </a:prstGeom>
                    <a:noFill/>
                    <a:ln>
                      <a:noFill/>
                    </a:ln>
                  </pic:spPr>
                </pic:pic>
              </a:graphicData>
            </a:graphic>
          </wp:inline>
        </w:drawing>
      </w:r>
      <w:r>
        <w:rPr>
          <w:highlight w:val="none"/>
        </w:rPr>
        <w:drawing>
          <wp:inline distT="0" distB="0" distL="114300" distR="114300">
            <wp:extent cx="4962525" cy="7000875"/>
            <wp:effectExtent l="0" t="0" r="9525" b="9525"/>
            <wp:docPr id="14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36"/>
                    <pic:cNvPicPr>
                      <a:picLocks noChangeAspect="1"/>
                    </pic:cNvPicPr>
                  </pic:nvPicPr>
                  <pic:blipFill>
                    <a:blip r:embed="rId152"/>
                    <a:stretch>
                      <a:fillRect/>
                    </a:stretch>
                  </pic:blipFill>
                  <pic:spPr>
                    <a:xfrm>
                      <a:off x="0" y="0"/>
                      <a:ext cx="4962525" cy="7000875"/>
                    </a:xfrm>
                    <a:prstGeom prst="rect">
                      <a:avLst/>
                    </a:prstGeom>
                    <a:noFill/>
                    <a:ln>
                      <a:noFill/>
                    </a:ln>
                  </pic:spPr>
                </pic:pic>
              </a:graphicData>
            </a:graphic>
          </wp:inline>
        </w:drawing>
      </w:r>
      <w:r>
        <w:rPr>
          <w:highlight w:val="none"/>
        </w:rPr>
        <w:drawing>
          <wp:inline distT="0" distB="0" distL="114300" distR="114300">
            <wp:extent cx="5269230" cy="7440930"/>
            <wp:effectExtent l="0" t="0" r="7620" b="7620"/>
            <wp:docPr id="14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7"/>
                    <pic:cNvPicPr>
                      <a:picLocks noChangeAspect="1"/>
                    </pic:cNvPicPr>
                  </pic:nvPicPr>
                  <pic:blipFill>
                    <a:blip r:embed="rId153"/>
                    <a:stretch>
                      <a:fillRect/>
                    </a:stretch>
                  </pic:blipFill>
                  <pic:spPr>
                    <a:xfrm>
                      <a:off x="0" y="0"/>
                      <a:ext cx="5269230" cy="7440930"/>
                    </a:xfrm>
                    <a:prstGeom prst="rect">
                      <a:avLst/>
                    </a:prstGeom>
                    <a:noFill/>
                    <a:ln>
                      <a:noFill/>
                    </a:ln>
                  </pic:spPr>
                </pic:pic>
              </a:graphicData>
            </a:graphic>
          </wp:inline>
        </w:drawing>
      </w:r>
      <w:r>
        <w:rPr>
          <w:highlight w:val="none"/>
        </w:rPr>
        <w:drawing>
          <wp:inline distT="0" distB="0" distL="114300" distR="114300">
            <wp:extent cx="5269865" cy="7327900"/>
            <wp:effectExtent l="0" t="0" r="6985" b="6350"/>
            <wp:docPr id="14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38"/>
                    <pic:cNvPicPr>
                      <a:picLocks noChangeAspect="1"/>
                    </pic:cNvPicPr>
                  </pic:nvPicPr>
                  <pic:blipFill>
                    <a:blip r:embed="rId154"/>
                    <a:stretch>
                      <a:fillRect/>
                    </a:stretch>
                  </pic:blipFill>
                  <pic:spPr>
                    <a:xfrm>
                      <a:off x="0" y="0"/>
                      <a:ext cx="5269865" cy="7327900"/>
                    </a:xfrm>
                    <a:prstGeom prst="rect">
                      <a:avLst/>
                    </a:prstGeom>
                    <a:noFill/>
                    <a:ln>
                      <a:noFill/>
                    </a:ln>
                  </pic:spPr>
                </pic:pic>
              </a:graphicData>
            </a:graphic>
          </wp:inline>
        </w:drawing>
      </w:r>
      <w:r>
        <w:rPr>
          <w:highlight w:val="none"/>
        </w:rPr>
        <w:drawing>
          <wp:inline distT="0" distB="0" distL="114300" distR="114300">
            <wp:extent cx="5269865" cy="7491095"/>
            <wp:effectExtent l="0" t="0" r="6985" b="14605"/>
            <wp:docPr id="14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39"/>
                    <pic:cNvPicPr>
                      <a:picLocks noChangeAspect="1"/>
                    </pic:cNvPicPr>
                  </pic:nvPicPr>
                  <pic:blipFill>
                    <a:blip r:embed="rId155"/>
                    <a:stretch>
                      <a:fillRect/>
                    </a:stretch>
                  </pic:blipFill>
                  <pic:spPr>
                    <a:xfrm>
                      <a:off x="0" y="0"/>
                      <a:ext cx="5269865" cy="7491095"/>
                    </a:xfrm>
                    <a:prstGeom prst="rect">
                      <a:avLst/>
                    </a:prstGeom>
                    <a:noFill/>
                    <a:ln>
                      <a:noFill/>
                    </a:ln>
                  </pic:spPr>
                </pic:pic>
              </a:graphicData>
            </a:graphic>
          </wp:inline>
        </w:drawing>
      </w:r>
      <w:r>
        <w:rPr>
          <w:highlight w:val="none"/>
        </w:rPr>
        <w:drawing>
          <wp:inline distT="0" distB="0" distL="114300" distR="114300">
            <wp:extent cx="5269230" cy="7515860"/>
            <wp:effectExtent l="0" t="0" r="7620" b="8890"/>
            <wp:docPr id="14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40"/>
                    <pic:cNvPicPr>
                      <a:picLocks noChangeAspect="1"/>
                    </pic:cNvPicPr>
                  </pic:nvPicPr>
                  <pic:blipFill>
                    <a:blip r:embed="rId156"/>
                    <a:stretch>
                      <a:fillRect/>
                    </a:stretch>
                  </pic:blipFill>
                  <pic:spPr>
                    <a:xfrm>
                      <a:off x="0" y="0"/>
                      <a:ext cx="5269230" cy="7515860"/>
                    </a:xfrm>
                    <a:prstGeom prst="rect">
                      <a:avLst/>
                    </a:prstGeom>
                    <a:noFill/>
                    <a:ln>
                      <a:noFill/>
                    </a:ln>
                  </pic:spPr>
                </pic:pic>
              </a:graphicData>
            </a:graphic>
          </wp:inline>
        </w:drawing>
      </w:r>
      <w:r>
        <w:rPr>
          <w:highlight w:val="none"/>
        </w:rPr>
        <w:drawing>
          <wp:inline distT="0" distB="0" distL="114300" distR="114300">
            <wp:extent cx="5272405" cy="7512050"/>
            <wp:effectExtent l="0" t="0" r="4445" b="12700"/>
            <wp:docPr id="14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41"/>
                    <pic:cNvPicPr>
                      <a:picLocks noChangeAspect="1"/>
                    </pic:cNvPicPr>
                  </pic:nvPicPr>
                  <pic:blipFill>
                    <a:blip r:embed="rId157"/>
                    <a:stretch>
                      <a:fillRect/>
                    </a:stretch>
                  </pic:blipFill>
                  <pic:spPr>
                    <a:xfrm>
                      <a:off x="0" y="0"/>
                      <a:ext cx="5272405" cy="7512050"/>
                    </a:xfrm>
                    <a:prstGeom prst="rect">
                      <a:avLst/>
                    </a:prstGeom>
                    <a:noFill/>
                    <a:ln>
                      <a:noFill/>
                    </a:ln>
                  </pic:spPr>
                </pic:pic>
              </a:graphicData>
            </a:graphic>
          </wp:inline>
        </w:drawing>
      </w:r>
      <w:r>
        <w:rPr>
          <w:highlight w:val="none"/>
        </w:rPr>
        <w:drawing>
          <wp:inline distT="0" distB="0" distL="114300" distR="114300">
            <wp:extent cx="5272405" cy="7277100"/>
            <wp:effectExtent l="0" t="0" r="4445" b="0"/>
            <wp:docPr id="14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42"/>
                    <pic:cNvPicPr>
                      <a:picLocks noChangeAspect="1"/>
                    </pic:cNvPicPr>
                  </pic:nvPicPr>
                  <pic:blipFill>
                    <a:blip r:embed="rId158"/>
                    <a:stretch>
                      <a:fillRect/>
                    </a:stretch>
                  </pic:blipFill>
                  <pic:spPr>
                    <a:xfrm>
                      <a:off x="0" y="0"/>
                      <a:ext cx="5272405" cy="7277100"/>
                    </a:xfrm>
                    <a:prstGeom prst="rect">
                      <a:avLst/>
                    </a:prstGeom>
                    <a:noFill/>
                    <a:ln>
                      <a:noFill/>
                    </a:ln>
                  </pic:spPr>
                </pic:pic>
              </a:graphicData>
            </a:graphic>
          </wp:inline>
        </w:drawing>
      </w:r>
      <w:r>
        <w:rPr>
          <w:highlight w:val="none"/>
        </w:rPr>
        <w:drawing>
          <wp:inline distT="0" distB="0" distL="114300" distR="114300">
            <wp:extent cx="5271135" cy="7381240"/>
            <wp:effectExtent l="0" t="0" r="5715" b="10160"/>
            <wp:docPr id="14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43"/>
                    <pic:cNvPicPr>
                      <a:picLocks noChangeAspect="1"/>
                    </pic:cNvPicPr>
                  </pic:nvPicPr>
                  <pic:blipFill>
                    <a:blip r:embed="rId159"/>
                    <a:stretch>
                      <a:fillRect/>
                    </a:stretch>
                  </pic:blipFill>
                  <pic:spPr>
                    <a:xfrm>
                      <a:off x="0" y="0"/>
                      <a:ext cx="5271135" cy="7381240"/>
                    </a:xfrm>
                    <a:prstGeom prst="rect">
                      <a:avLst/>
                    </a:prstGeom>
                    <a:noFill/>
                    <a:ln>
                      <a:noFill/>
                    </a:ln>
                  </pic:spPr>
                </pic:pic>
              </a:graphicData>
            </a:graphic>
          </wp:inline>
        </w:drawing>
      </w:r>
    </w:p>
    <w:p w14:paraId="59E0DD05">
      <w:pPr>
        <w:pStyle w:val="11"/>
        <w:rPr>
          <w:highlight w:val="none"/>
        </w:rPr>
      </w:pPr>
    </w:p>
    <w:p w14:paraId="0B5ACD98">
      <w:pPr>
        <w:pStyle w:val="11"/>
        <w:rPr>
          <w:highlight w:val="none"/>
        </w:rPr>
      </w:pPr>
    </w:p>
    <w:p w14:paraId="27B67B40">
      <w:pPr>
        <w:pStyle w:val="11"/>
        <w:rPr>
          <w:highlight w:val="none"/>
        </w:rPr>
      </w:pPr>
    </w:p>
    <w:p w14:paraId="20FAF817">
      <w:pPr>
        <w:pStyle w:val="3"/>
        <w:bidi w:val="0"/>
        <w:rPr>
          <w:rFonts w:hint="default"/>
          <w:highlight w:val="none"/>
          <w:lang w:val="en-US" w:eastAsia="zh-CN"/>
        </w:rPr>
      </w:pPr>
      <w:bookmarkStart w:id="233" w:name="_Toc32604"/>
      <w:r>
        <w:rPr>
          <w:rFonts w:hint="eastAsia"/>
          <w:highlight w:val="none"/>
          <w:lang w:val="en-US" w:eastAsia="zh-CN"/>
        </w:rPr>
        <w:t>附件10现状检测报告</w:t>
      </w:r>
      <w:bookmarkEnd w:id="233"/>
    </w:p>
    <w:p w14:paraId="5EDED2DD">
      <w:pPr>
        <w:ind w:left="0" w:leftChars="0" w:firstLine="0" w:firstLineChars="0"/>
        <w:rPr>
          <w:rFonts w:hint="default"/>
          <w:highlight w:val="none"/>
          <w:lang w:val="en-US" w:eastAsia="zh-CN"/>
        </w:rPr>
      </w:pPr>
      <w:r>
        <w:rPr>
          <w:highlight w:val="none"/>
        </w:rPr>
        <w:drawing>
          <wp:inline distT="0" distB="0" distL="114300" distR="114300">
            <wp:extent cx="5273675" cy="7441565"/>
            <wp:effectExtent l="0" t="0" r="3175" b="6985"/>
            <wp:docPr id="8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6"/>
                    <pic:cNvPicPr>
                      <a:picLocks noChangeAspect="1"/>
                    </pic:cNvPicPr>
                  </pic:nvPicPr>
                  <pic:blipFill>
                    <a:blip r:embed="rId160"/>
                    <a:stretch>
                      <a:fillRect/>
                    </a:stretch>
                  </pic:blipFill>
                  <pic:spPr>
                    <a:xfrm>
                      <a:off x="0" y="0"/>
                      <a:ext cx="5273675" cy="7441565"/>
                    </a:xfrm>
                    <a:prstGeom prst="rect">
                      <a:avLst/>
                    </a:prstGeom>
                    <a:noFill/>
                    <a:ln>
                      <a:noFill/>
                    </a:ln>
                  </pic:spPr>
                </pic:pic>
              </a:graphicData>
            </a:graphic>
          </wp:inline>
        </w:drawing>
      </w:r>
      <w:r>
        <w:rPr>
          <w:highlight w:val="none"/>
        </w:rPr>
        <w:drawing>
          <wp:inline distT="0" distB="0" distL="114300" distR="114300">
            <wp:extent cx="5272405" cy="7489825"/>
            <wp:effectExtent l="0" t="0" r="4445" b="15875"/>
            <wp:docPr id="8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7"/>
                    <pic:cNvPicPr>
                      <a:picLocks noChangeAspect="1"/>
                    </pic:cNvPicPr>
                  </pic:nvPicPr>
                  <pic:blipFill>
                    <a:blip r:embed="rId161"/>
                    <a:stretch>
                      <a:fillRect/>
                    </a:stretch>
                  </pic:blipFill>
                  <pic:spPr>
                    <a:xfrm>
                      <a:off x="0" y="0"/>
                      <a:ext cx="5272405" cy="7489825"/>
                    </a:xfrm>
                    <a:prstGeom prst="rect">
                      <a:avLst/>
                    </a:prstGeom>
                    <a:noFill/>
                    <a:ln>
                      <a:noFill/>
                    </a:ln>
                  </pic:spPr>
                </pic:pic>
              </a:graphicData>
            </a:graphic>
          </wp:inline>
        </w:drawing>
      </w:r>
      <w:r>
        <w:rPr>
          <w:highlight w:val="none"/>
        </w:rPr>
        <w:drawing>
          <wp:inline distT="0" distB="0" distL="114300" distR="114300">
            <wp:extent cx="5269865" cy="8108950"/>
            <wp:effectExtent l="0" t="0" r="6985" b="6350"/>
            <wp:docPr id="8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8"/>
                    <pic:cNvPicPr>
                      <a:picLocks noChangeAspect="1"/>
                    </pic:cNvPicPr>
                  </pic:nvPicPr>
                  <pic:blipFill>
                    <a:blip r:embed="rId162"/>
                    <a:stretch>
                      <a:fillRect/>
                    </a:stretch>
                  </pic:blipFill>
                  <pic:spPr>
                    <a:xfrm>
                      <a:off x="0" y="0"/>
                      <a:ext cx="5269865" cy="8108950"/>
                    </a:xfrm>
                    <a:prstGeom prst="rect">
                      <a:avLst/>
                    </a:prstGeom>
                    <a:noFill/>
                    <a:ln>
                      <a:noFill/>
                    </a:ln>
                  </pic:spPr>
                </pic:pic>
              </a:graphicData>
            </a:graphic>
          </wp:inline>
        </w:drawing>
      </w:r>
      <w:r>
        <w:rPr>
          <w:highlight w:val="none"/>
        </w:rPr>
        <w:drawing>
          <wp:inline distT="0" distB="0" distL="114300" distR="114300">
            <wp:extent cx="5270500" cy="7405370"/>
            <wp:effectExtent l="0" t="0" r="6350" b="5080"/>
            <wp:docPr id="16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9"/>
                    <pic:cNvPicPr>
                      <a:picLocks noChangeAspect="1"/>
                    </pic:cNvPicPr>
                  </pic:nvPicPr>
                  <pic:blipFill>
                    <a:blip r:embed="rId163"/>
                    <a:stretch>
                      <a:fillRect/>
                    </a:stretch>
                  </pic:blipFill>
                  <pic:spPr>
                    <a:xfrm>
                      <a:off x="0" y="0"/>
                      <a:ext cx="5270500" cy="7405370"/>
                    </a:xfrm>
                    <a:prstGeom prst="rect">
                      <a:avLst/>
                    </a:prstGeom>
                    <a:noFill/>
                    <a:ln>
                      <a:noFill/>
                    </a:ln>
                  </pic:spPr>
                </pic:pic>
              </a:graphicData>
            </a:graphic>
          </wp:inline>
        </w:drawing>
      </w:r>
      <w:r>
        <w:rPr>
          <w:highlight w:val="none"/>
        </w:rPr>
        <w:drawing>
          <wp:inline distT="0" distB="0" distL="114300" distR="114300">
            <wp:extent cx="5272405" cy="7445375"/>
            <wp:effectExtent l="0" t="0" r="4445" b="3175"/>
            <wp:docPr id="16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0"/>
                    <pic:cNvPicPr>
                      <a:picLocks noChangeAspect="1"/>
                    </pic:cNvPicPr>
                  </pic:nvPicPr>
                  <pic:blipFill>
                    <a:blip r:embed="rId164"/>
                    <a:stretch>
                      <a:fillRect/>
                    </a:stretch>
                  </pic:blipFill>
                  <pic:spPr>
                    <a:xfrm>
                      <a:off x="0" y="0"/>
                      <a:ext cx="5272405" cy="7445375"/>
                    </a:xfrm>
                    <a:prstGeom prst="rect">
                      <a:avLst/>
                    </a:prstGeom>
                    <a:noFill/>
                    <a:ln>
                      <a:noFill/>
                    </a:ln>
                  </pic:spPr>
                </pic:pic>
              </a:graphicData>
            </a:graphic>
          </wp:inline>
        </w:drawing>
      </w:r>
      <w:r>
        <w:rPr>
          <w:highlight w:val="none"/>
        </w:rPr>
        <w:drawing>
          <wp:inline distT="0" distB="0" distL="114300" distR="114300">
            <wp:extent cx="5269865" cy="7313930"/>
            <wp:effectExtent l="0" t="0" r="6985" b="1270"/>
            <wp:docPr id="17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21"/>
                    <pic:cNvPicPr>
                      <a:picLocks noChangeAspect="1"/>
                    </pic:cNvPicPr>
                  </pic:nvPicPr>
                  <pic:blipFill>
                    <a:blip r:embed="rId165"/>
                    <a:stretch>
                      <a:fillRect/>
                    </a:stretch>
                  </pic:blipFill>
                  <pic:spPr>
                    <a:xfrm>
                      <a:off x="0" y="0"/>
                      <a:ext cx="5269865" cy="7313930"/>
                    </a:xfrm>
                    <a:prstGeom prst="rect">
                      <a:avLst/>
                    </a:prstGeom>
                    <a:noFill/>
                    <a:ln>
                      <a:noFill/>
                    </a:ln>
                  </pic:spPr>
                </pic:pic>
              </a:graphicData>
            </a:graphic>
          </wp:inline>
        </w:drawing>
      </w:r>
      <w:r>
        <w:rPr>
          <w:highlight w:val="none"/>
        </w:rPr>
        <w:drawing>
          <wp:inline distT="0" distB="0" distL="114300" distR="114300">
            <wp:extent cx="5271135" cy="7478395"/>
            <wp:effectExtent l="0" t="0" r="5715" b="8255"/>
            <wp:docPr id="17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2"/>
                    <pic:cNvPicPr>
                      <a:picLocks noChangeAspect="1"/>
                    </pic:cNvPicPr>
                  </pic:nvPicPr>
                  <pic:blipFill>
                    <a:blip r:embed="rId166"/>
                    <a:stretch>
                      <a:fillRect/>
                    </a:stretch>
                  </pic:blipFill>
                  <pic:spPr>
                    <a:xfrm>
                      <a:off x="0" y="0"/>
                      <a:ext cx="5271135" cy="7478395"/>
                    </a:xfrm>
                    <a:prstGeom prst="rect">
                      <a:avLst/>
                    </a:prstGeom>
                    <a:noFill/>
                    <a:ln>
                      <a:noFill/>
                    </a:ln>
                  </pic:spPr>
                </pic:pic>
              </a:graphicData>
            </a:graphic>
          </wp:inline>
        </w:drawing>
      </w:r>
      <w:r>
        <w:rPr>
          <w:highlight w:val="none"/>
        </w:rPr>
        <w:drawing>
          <wp:inline distT="0" distB="0" distL="114300" distR="114300">
            <wp:extent cx="5272405" cy="8305800"/>
            <wp:effectExtent l="0" t="0" r="4445" b="0"/>
            <wp:docPr id="17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3"/>
                    <pic:cNvPicPr>
                      <a:picLocks noChangeAspect="1"/>
                    </pic:cNvPicPr>
                  </pic:nvPicPr>
                  <pic:blipFill>
                    <a:blip r:embed="rId167"/>
                    <a:stretch>
                      <a:fillRect/>
                    </a:stretch>
                  </pic:blipFill>
                  <pic:spPr>
                    <a:xfrm>
                      <a:off x="0" y="0"/>
                      <a:ext cx="5272405" cy="8305800"/>
                    </a:xfrm>
                    <a:prstGeom prst="rect">
                      <a:avLst/>
                    </a:prstGeom>
                    <a:noFill/>
                    <a:ln>
                      <a:noFill/>
                    </a:ln>
                  </pic:spPr>
                </pic:pic>
              </a:graphicData>
            </a:graphic>
          </wp:inline>
        </w:drawing>
      </w:r>
      <w:r>
        <w:rPr>
          <w:highlight w:val="none"/>
        </w:rPr>
        <w:drawing>
          <wp:inline distT="0" distB="0" distL="114300" distR="114300">
            <wp:extent cx="5269865" cy="8247380"/>
            <wp:effectExtent l="0" t="0" r="6985" b="1270"/>
            <wp:docPr id="17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4"/>
                    <pic:cNvPicPr>
                      <a:picLocks noChangeAspect="1"/>
                    </pic:cNvPicPr>
                  </pic:nvPicPr>
                  <pic:blipFill>
                    <a:blip r:embed="rId168"/>
                    <a:stretch>
                      <a:fillRect/>
                    </a:stretch>
                  </pic:blipFill>
                  <pic:spPr>
                    <a:xfrm>
                      <a:off x="0" y="0"/>
                      <a:ext cx="5269865" cy="8247380"/>
                    </a:xfrm>
                    <a:prstGeom prst="rect">
                      <a:avLst/>
                    </a:prstGeom>
                    <a:noFill/>
                    <a:ln>
                      <a:noFill/>
                    </a:ln>
                  </pic:spPr>
                </pic:pic>
              </a:graphicData>
            </a:graphic>
          </wp:inline>
        </w:drawing>
      </w:r>
      <w:r>
        <w:rPr>
          <w:highlight w:val="none"/>
        </w:rPr>
        <w:drawing>
          <wp:inline distT="0" distB="0" distL="114300" distR="114300">
            <wp:extent cx="5270500" cy="8067675"/>
            <wp:effectExtent l="0" t="0" r="6350" b="9525"/>
            <wp:docPr id="17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25"/>
                    <pic:cNvPicPr>
                      <a:picLocks noChangeAspect="1"/>
                    </pic:cNvPicPr>
                  </pic:nvPicPr>
                  <pic:blipFill>
                    <a:blip r:embed="rId169"/>
                    <a:stretch>
                      <a:fillRect/>
                    </a:stretch>
                  </pic:blipFill>
                  <pic:spPr>
                    <a:xfrm>
                      <a:off x="0" y="0"/>
                      <a:ext cx="5270500" cy="8067675"/>
                    </a:xfrm>
                    <a:prstGeom prst="rect">
                      <a:avLst/>
                    </a:prstGeom>
                    <a:noFill/>
                    <a:ln>
                      <a:noFill/>
                    </a:ln>
                  </pic:spPr>
                </pic:pic>
              </a:graphicData>
            </a:graphic>
          </wp:inline>
        </w:drawing>
      </w:r>
      <w:r>
        <w:rPr>
          <w:highlight w:val="none"/>
        </w:rPr>
        <w:drawing>
          <wp:inline distT="0" distB="0" distL="114300" distR="114300">
            <wp:extent cx="5270500" cy="7458710"/>
            <wp:effectExtent l="0" t="0" r="6350" b="8890"/>
            <wp:docPr id="17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26"/>
                    <pic:cNvPicPr>
                      <a:picLocks noChangeAspect="1"/>
                    </pic:cNvPicPr>
                  </pic:nvPicPr>
                  <pic:blipFill>
                    <a:blip r:embed="rId170"/>
                    <a:stretch>
                      <a:fillRect/>
                    </a:stretch>
                  </pic:blipFill>
                  <pic:spPr>
                    <a:xfrm>
                      <a:off x="0" y="0"/>
                      <a:ext cx="5270500" cy="7458710"/>
                    </a:xfrm>
                    <a:prstGeom prst="rect">
                      <a:avLst/>
                    </a:prstGeom>
                    <a:noFill/>
                    <a:ln>
                      <a:noFill/>
                    </a:ln>
                  </pic:spPr>
                </pic:pic>
              </a:graphicData>
            </a:graphic>
          </wp:inline>
        </w:drawing>
      </w:r>
      <w:r>
        <w:rPr>
          <w:highlight w:val="none"/>
        </w:rPr>
        <w:drawing>
          <wp:inline distT="0" distB="0" distL="114300" distR="114300">
            <wp:extent cx="5271135" cy="8408670"/>
            <wp:effectExtent l="0" t="0" r="5715" b="11430"/>
            <wp:docPr id="18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7"/>
                    <pic:cNvPicPr>
                      <a:picLocks noChangeAspect="1"/>
                    </pic:cNvPicPr>
                  </pic:nvPicPr>
                  <pic:blipFill>
                    <a:blip r:embed="rId171"/>
                    <a:stretch>
                      <a:fillRect/>
                    </a:stretch>
                  </pic:blipFill>
                  <pic:spPr>
                    <a:xfrm>
                      <a:off x="0" y="0"/>
                      <a:ext cx="5271135" cy="8408670"/>
                    </a:xfrm>
                    <a:prstGeom prst="rect">
                      <a:avLst/>
                    </a:prstGeom>
                    <a:noFill/>
                    <a:ln>
                      <a:noFill/>
                    </a:ln>
                  </pic:spPr>
                </pic:pic>
              </a:graphicData>
            </a:graphic>
          </wp:inline>
        </w:drawing>
      </w:r>
      <w:r>
        <w:rPr>
          <w:highlight w:val="none"/>
        </w:rPr>
        <w:drawing>
          <wp:inline distT="0" distB="0" distL="114300" distR="114300">
            <wp:extent cx="5271135" cy="7866380"/>
            <wp:effectExtent l="0" t="0" r="5715" b="1270"/>
            <wp:docPr id="18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8"/>
                    <pic:cNvPicPr>
                      <a:picLocks noChangeAspect="1"/>
                    </pic:cNvPicPr>
                  </pic:nvPicPr>
                  <pic:blipFill>
                    <a:blip r:embed="rId172"/>
                    <a:stretch>
                      <a:fillRect/>
                    </a:stretch>
                  </pic:blipFill>
                  <pic:spPr>
                    <a:xfrm>
                      <a:off x="0" y="0"/>
                      <a:ext cx="5271135" cy="7866380"/>
                    </a:xfrm>
                    <a:prstGeom prst="rect">
                      <a:avLst/>
                    </a:prstGeom>
                    <a:noFill/>
                    <a:ln>
                      <a:noFill/>
                    </a:ln>
                  </pic:spPr>
                </pic:pic>
              </a:graphicData>
            </a:graphic>
          </wp:inline>
        </w:drawing>
      </w:r>
    </w:p>
    <w:p w14:paraId="549D0D4A">
      <w:pPr>
        <w:pStyle w:val="11"/>
        <w:rPr>
          <w:rFonts w:hint="default"/>
          <w:highlight w:val="none"/>
          <w:lang w:val="en-US" w:eastAsia="zh-CN"/>
        </w:rPr>
      </w:pPr>
    </w:p>
    <w:p w14:paraId="58ECF6AE">
      <w:pPr>
        <w:pStyle w:val="3"/>
        <w:bidi w:val="0"/>
        <w:rPr>
          <w:rFonts w:hint="eastAsia"/>
          <w:highlight w:val="none"/>
          <w:lang w:val="en-US" w:eastAsia="zh-CN"/>
        </w:rPr>
      </w:pPr>
      <w:bookmarkStart w:id="234" w:name="_Toc12398"/>
      <w:r>
        <w:rPr>
          <w:rFonts w:hint="eastAsia"/>
          <w:highlight w:val="none"/>
          <w:lang w:val="en-US" w:eastAsia="zh-CN"/>
        </w:rPr>
        <w:t>附件11应急预案备案表</w:t>
      </w:r>
      <w:bookmarkEnd w:id="234"/>
    </w:p>
    <w:p w14:paraId="5B9A8648">
      <w:pPr>
        <w:ind w:left="0" w:leftChars="0" w:firstLine="0" w:firstLineChars="0"/>
        <w:rPr>
          <w:rFonts w:hint="default"/>
          <w:highlight w:val="none"/>
          <w:lang w:val="en-US" w:eastAsia="zh-CN"/>
        </w:rPr>
      </w:pPr>
      <w:r>
        <w:rPr>
          <w:rFonts w:hint="default"/>
          <w:highlight w:val="none"/>
          <w:lang w:val="en-US" w:eastAsia="zh-CN"/>
        </w:rPr>
        <w:drawing>
          <wp:inline distT="0" distB="0" distL="114300" distR="114300">
            <wp:extent cx="5267960" cy="7453630"/>
            <wp:effectExtent l="0" t="0" r="8890" b="13970"/>
            <wp:docPr id="67" name="图片 67" descr="应急预案备案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应急预案备案表_01"/>
                    <pic:cNvPicPr>
                      <a:picLocks noChangeAspect="1"/>
                    </pic:cNvPicPr>
                  </pic:nvPicPr>
                  <pic:blipFill>
                    <a:blip r:embed="rId173"/>
                    <a:stretch>
                      <a:fillRect/>
                    </a:stretch>
                  </pic:blipFill>
                  <pic:spPr>
                    <a:xfrm>
                      <a:off x="0" y="0"/>
                      <a:ext cx="5267960" cy="7453630"/>
                    </a:xfrm>
                    <a:prstGeom prst="rect">
                      <a:avLst/>
                    </a:prstGeom>
                  </pic:spPr>
                </pic:pic>
              </a:graphicData>
            </a:graphic>
          </wp:inline>
        </w:drawing>
      </w:r>
    </w:p>
    <w:p w14:paraId="19DC01A8">
      <w:pPr>
        <w:pStyle w:val="11"/>
        <w:rPr>
          <w:rFonts w:hint="default"/>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564D892">
      <w:pPr>
        <w:pStyle w:val="3"/>
        <w:bidi w:val="0"/>
        <w:rPr>
          <w:rFonts w:hint="eastAsia"/>
          <w:highlight w:val="none"/>
          <w:lang w:val="en-US" w:eastAsia="zh-CN"/>
        </w:rPr>
      </w:pPr>
      <w:bookmarkStart w:id="235" w:name="_Toc5205"/>
      <w:r>
        <w:rPr>
          <w:rFonts w:hint="eastAsia"/>
          <w:highlight w:val="none"/>
          <w:lang w:val="en-US" w:eastAsia="zh-CN"/>
        </w:rPr>
        <w:t>附件12 116MW锅炉购销合同</w:t>
      </w:r>
      <w:bookmarkEnd w:id="235"/>
    </w:p>
    <w:p w14:paraId="77526E8D">
      <w:pPr>
        <w:rPr>
          <w:rFonts w:hint="default"/>
          <w:highlight w:val="none"/>
          <w:lang w:val="en-US" w:eastAsia="zh-CN"/>
        </w:rPr>
      </w:pPr>
      <w:r>
        <w:rPr>
          <w:rFonts w:hint="default"/>
          <w:highlight w:val="none"/>
          <w:lang w:val="en-US" w:eastAsia="zh-CN"/>
        </w:rPr>
        <w:drawing>
          <wp:inline distT="0" distB="0" distL="114300" distR="114300">
            <wp:extent cx="4123690" cy="8241665"/>
            <wp:effectExtent l="0" t="0" r="6985" b="10160"/>
            <wp:docPr id="92" name="图片 92" descr="b1f99309a69d487d8f5461aa1e1d08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b1f99309a69d487d8f5461aa1e1d08d7"/>
                    <pic:cNvPicPr>
                      <a:picLocks noChangeAspect="1"/>
                    </pic:cNvPicPr>
                  </pic:nvPicPr>
                  <pic:blipFill>
                    <a:blip r:embed="rId174"/>
                    <a:stretch>
                      <a:fillRect/>
                    </a:stretch>
                  </pic:blipFill>
                  <pic:spPr>
                    <a:xfrm rot="16200000">
                      <a:off x="0" y="0"/>
                      <a:ext cx="4123690" cy="8241665"/>
                    </a:xfrm>
                    <a:prstGeom prst="rect">
                      <a:avLst/>
                    </a:prstGeom>
                  </pic:spPr>
                </pic:pic>
              </a:graphicData>
            </a:graphic>
          </wp:inline>
        </w:drawing>
      </w:r>
    </w:p>
    <w:p w14:paraId="5E7DB4B1">
      <w:pPr>
        <w:pStyle w:val="7"/>
        <w:rPr>
          <w:rFonts w:hint="default"/>
          <w:highlight w:val="none"/>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65270F25">
      <w:pPr>
        <w:pStyle w:val="3"/>
        <w:bidi w:val="0"/>
        <w:rPr>
          <w:rFonts w:hint="eastAsia"/>
          <w:highlight w:val="none"/>
          <w:lang w:val="en-US" w:eastAsia="zh-CN"/>
        </w:rPr>
      </w:pPr>
      <w:bookmarkStart w:id="236" w:name="_Toc9466"/>
      <w:r>
        <w:rPr>
          <w:rFonts w:hint="eastAsia"/>
          <w:highlight w:val="none"/>
          <w:lang w:val="en-US" w:eastAsia="zh-CN"/>
        </w:rPr>
        <w:t>附件13 35t/h蒸汽锅炉建设凭证</w:t>
      </w:r>
      <w:bookmarkEnd w:id="236"/>
    </w:p>
    <w:p w14:paraId="20C95C7D">
      <w:pPr>
        <w:ind w:left="0" w:leftChars="0" w:firstLine="0" w:firstLineChars="0"/>
        <w:rPr>
          <w:rFonts w:hint="default"/>
          <w:highlight w:val="none"/>
          <w:lang w:val="en-US" w:eastAsia="zh-CN"/>
        </w:rPr>
      </w:pPr>
      <w:r>
        <w:rPr>
          <w:rFonts w:hint="default"/>
          <w:highlight w:val="none"/>
          <w:lang w:val="en-US" w:eastAsia="zh-CN"/>
        </w:rPr>
        <w:drawing>
          <wp:inline distT="0" distB="0" distL="114300" distR="114300">
            <wp:extent cx="5269865" cy="7247255"/>
            <wp:effectExtent l="0" t="0" r="6985" b="10795"/>
            <wp:docPr id="163" name="图片 163" descr="7efdfc1e84a2c4e28cacd04a36362b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7efdfc1e84a2c4e28cacd04a36362bb4"/>
                    <pic:cNvPicPr>
                      <a:picLocks noChangeAspect="1"/>
                    </pic:cNvPicPr>
                  </pic:nvPicPr>
                  <pic:blipFill>
                    <a:blip r:embed="rId175"/>
                    <a:stretch>
                      <a:fillRect/>
                    </a:stretch>
                  </pic:blipFill>
                  <pic:spPr>
                    <a:xfrm>
                      <a:off x="0" y="0"/>
                      <a:ext cx="5269865" cy="7247255"/>
                    </a:xfrm>
                    <a:prstGeom prst="rect">
                      <a:avLst/>
                    </a:prstGeom>
                  </pic:spPr>
                </pic:pic>
              </a:graphicData>
            </a:graphic>
          </wp:inline>
        </w:drawing>
      </w:r>
    </w:p>
    <w:p w14:paraId="7B085AA3">
      <w:pPr>
        <w:pStyle w:val="3"/>
        <w:bidi w:val="0"/>
        <w:rPr>
          <w:rFonts w:hint="eastAsia"/>
          <w:highlight w:val="none"/>
          <w:lang w:val="en-US" w:eastAsia="zh-CN"/>
        </w:rPr>
      </w:pPr>
      <w:bookmarkStart w:id="237" w:name="_Toc6381"/>
      <w:r>
        <w:rPr>
          <w:rFonts w:hint="eastAsia"/>
          <w:highlight w:val="none"/>
          <w:lang w:val="en-US" w:eastAsia="zh-CN"/>
        </w:rPr>
        <w:t>附件14锅炉超低改造申请报告</w:t>
      </w:r>
      <w:bookmarkEnd w:id="237"/>
    </w:p>
    <w:p w14:paraId="7C992ED9">
      <w:pPr>
        <w:ind w:left="0" w:leftChars="0" w:firstLine="0" w:firstLineChars="0"/>
        <w:rPr>
          <w:rFonts w:hint="default"/>
          <w:highlight w:val="none"/>
          <w:lang w:val="en-US" w:eastAsia="zh-CN"/>
        </w:rPr>
      </w:pPr>
      <w:r>
        <w:rPr>
          <w:rFonts w:hint="default"/>
          <w:highlight w:val="none"/>
          <w:lang w:val="en-US" w:eastAsia="zh-CN"/>
        </w:rPr>
        <w:drawing>
          <wp:inline distT="0" distB="0" distL="114300" distR="114300">
            <wp:extent cx="5267960" cy="7453630"/>
            <wp:effectExtent l="0" t="0" r="8890" b="13970"/>
            <wp:docPr id="93" name="图片 93" descr="锅炉超低排放项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锅炉超低排放项目_01"/>
                    <pic:cNvPicPr>
                      <a:picLocks noChangeAspect="1"/>
                    </pic:cNvPicPr>
                  </pic:nvPicPr>
                  <pic:blipFill>
                    <a:blip r:embed="rId176"/>
                    <a:stretch>
                      <a:fillRect/>
                    </a:stretch>
                  </pic:blipFill>
                  <pic:spPr>
                    <a:xfrm>
                      <a:off x="0" y="0"/>
                      <a:ext cx="5267960" cy="7453630"/>
                    </a:xfrm>
                    <a:prstGeom prst="rect">
                      <a:avLst/>
                    </a:prstGeom>
                  </pic:spPr>
                </pic:pic>
              </a:graphicData>
            </a:graphic>
          </wp:inline>
        </w:drawing>
      </w:r>
    </w:p>
    <w:p w14:paraId="2C1E618E">
      <w:pPr>
        <w:pStyle w:val="11"/>
        <w:ind w:left="0" w:leftChars="0" w:firstLine="0" w:firstLineChars="0"/>
        <w:rPr>
          <w:rFonts w:hint="default"/>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highlight w:val="none"/>
          <w:lang w:val="en-US" w:eastAsia="zh-CN"/>
        </w:rPr>
        <w:drawing>
          <wp:inline distT="0" distB="0" distL="114300" distR="114300">
            <wp:extent cx="5267960" cy="7453630"/>
            <wp:effectExtent l="0" t="0" r="8890" b="13970"/>
            <wp:docPr id="139" name="图片 139" descr="锅炉超低排放项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锅炉超低排放项目_02"/>
                    <pic:cNvPicPr>
                      <a:picLocks noChangeAspect="1"/>
                    </pic:cNvPicPr>
                  </pic:nvPicPr>
                  <pic:blipFill>
                    <a:blip r:embed="rId177"/>
                    <a:stretch>
                      <a:fillRect/>
                    </a:stretch>
                  </pic:blipFill>
                  <pic:spPr>
                    <a:xfrm>
                      <a:off x="0" y="0"/>
                      <a:ext cx="5267960" cy="7453630"/>
                    </a:xfrm>
                    <a:prstGeom prst="rect">
                      <a:avLst/>
                    </a:prstGeom>
                  </pic:spPr>
                </pic:pic>
              </a:graphicData>
            </a:graphic>
          </wp:inline>
        </w:drawing>
      </w:r>
      <w:r>
        <w:rPr>
          <w:rFonts w:hint="default"/>
          <w:highlight w:val="none"/>
          <w:lang w:val="en-US" w:eastAsia="zh-CN"/>
        </w:rPr>
        <w:drawing>
          <wp:inline distT="0" distB="0" distL="114300" distR="114300">
            <wp:extent cx="5267960" cy="7453630"/>
            <wp:effectExtent l="0" t="0" r="8890" b="13970"/>
            <wp:docPr id="150" name="图片 150" descr="锅炉超低排放项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锅炉超低排放项目_03"/>
                    <pic:cNvPicPr>
                      <a:picLocks noChangeAspect="1"/>
                    </pic:cNvPicPr>
                  </pic:nvPicPr>
                  <pic:blipFill>
                    <a:blip r:embed="rId178"/>
                    <a:stretch>
                      <a:fillRect/>
                    </a:stretch>
                  </pic:blipFill>
                  <pic:spPr>
                    <a:xfrm>
                      <a:off x="0" y="0"/>
                      <a:ext cx="5267960" cy="7453630"/>
                    </a:xfrm>
                    <a:prstGeom prst="rect">
                      <a:avLst/>
                    </a:prstGeom>
                  </pic:spPr>
                </pic:pic>
              </a:graphicData>
            </a:graphic>
          </wp:inline>
        </w:drawing>
      </w:r>
    </w:p>
    <w:p w14:paraId="5DE40B77">
      <w:pPr>
        <w:pStyle w:val="3"/>
        <w:bidi w:val="0"/>
        <w:rPr>
          <w:rFonts w:hint="eastAsia"/>
          <w:highlight w:val="none"/>
          <w:lang w:val="en-US" w:eastAsia="zh-CN"/>
        </w:rPr>
      </w:pPr>
      <w:bookmarkStart w:id="238" w:name="_Toc31391"/>
      <w:r>
        <w:rPr>
          <w:rFonts w:hint="eastAsia"/>
          <w:highlight w:val="none"/>
          <w:lang w:val="en-US" w:eastAsia="zh-CN"/>
        </w:rPr>
        <w:t>附件15企业近三年锅炉运行方案</w:t>
      </w:r>
      <w:bookmarkEnd w:id="238"/>
    </w:p>
    <w:p w14:paraId="71EE7A2E">
      <w:pPr>
        <w:rPr>
          <w:rFonts w:hint="default"/>
          <w:highlight w:val="none"/>
          <w:lang w:val="en-US" w:eastAsia="zh-CN"/>
        </w:rPr>
      </w:pPr>
      <w:r>
        <w:rPr>
          <w:rFonts w:hint="default"/>
          <w:highlight w:val="none"/>
          <w:lang w:val="en-US" w:eastAsia="zh-CN"/>
        </w:rPr>
        <w:drawing>
          <wp:inline distT="0" distB="0" distL="114300" distR="114300">
            <wp:extent cx="4240530" cy="8136890"/>
            <wp:effectExtent l="0" t="0" r="16510" b="7620"/>
            <wp:docPr id="171" name="图片 171" descr="db44cbde52a36ab591d6283b20689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db44cbde52a36ab591d6283b20689692"/>
                    <pic:cNvPicPr>
                      <a:picLocks noChangeAspect="1"/>
                    </pic:cNvPicPr>
                  </pic:nvPicPr>
                  <pic:blipFill>
                    <a:blip r:embed="rId179"/>
                    <a:srcRect l="557" t="17310" r="429"/>
                    <a:stretch>
                      <a:fillRect/>
                    </a:stretch>
                  </pic:blipFill>
                  <pic:spPr>
                    <a:xfrm rot="16200000">
                      <a:off x="0" y="0"/>
                      <a:ext cx="4240530" cy="8136890"/>
                    </a:xfrm>
                    <a:prstGeom prst="rect">
                      <a:avLst/>
                    </a:prstGeom>
                  </pic:spPr>
                </pic:pic>
              </a:graphicData>
            </a:graphic>
          </wp:inline>
        </w:drawing>
      </w:r>
    </w:p>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新宋体">
    <w:panose1 w:val="02010609030101010101"/>
    <w:charset w:val="86"/>
    <w:family w:val="modern"/>
    <w:pitch w:val="default"/>
    <w:sig w:usb0="00000203" w:usb1="288F0000" w:usb2="00000006" w:usb3="00000000" w:csb0="00040001" w:csb1="00000000"/>
  </w:font>
  <w:font w:name="仿宋_GB2312">
    <w:panose1 w:val="02010609030101010101"/>
    <w:charset w:val="86"/>
    <w:family w:val="auto"/>
    <w:pitch w:val="default"/>
    <w:sig w:usb0="00000001" w:usb1="080E0000" w:usb2="00000000" w:usb3="00000000" w:csb0="00040000" w:csb1="00000000"/>
  </w:font>
  <w:font w:name="Arial Unicode MS">
    <w:altName w:val="宋体"/>
    <w:panose1 w:val="020B0604020202020204"/>
    <w:charset w:val="86"/>
    <w:family w:val="roman"/>
    <w:pitch w:val="default"/>
    <w:sig w:usb0="00000000" w:usb1="00000000" w:usb2="0000003F" w:usb3="00000000" w:csb0="603F01FF" w:csb1="FFFF0000"/>
  </w:font>
  <w:font w:name="Cambria Math">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MS Mincho">
    <w:altName w:val="MS UI Gothic"/>
    <w:panose1 w:val="02020609040205080304"/>
    <w:charset w:val="80"/>
    <w:family w:val="modern"/>
    <w:pitch w:val="default"/>
    <w:sig w:usb0="00000000" w:usb1="00000000" w:usb2="00000012" w:usb3="00000000" w:csb0="4002009F" w:csb1="DFD70000"/>
  </w:font>
  <w:font w:name="MS UI Gothic">
    <w:panose1 w:val="020B0600070205080204"/>
    <w:charset w:val="80"/>
    <w:family w:val="auto"/>
    <w:pitch w:val="default"/>
    <w:sig w:usb0="E00002FF" w:usb1="6AC7FDFB" w:usb2="08000012" w:usb3="00000000" w:csb0="4002009F" w:csb1="DFD7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110A06">
    <w:pPr>
      <w:pStyle w:val="12"/>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3389B7">
                          <w:pPr>
                            <w:pStyle w:val="12"/>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Wo2IczAgAAYwQAAA4AAABkcnMvZTJvRG9jLnhtbK1UzY7TMBC+I/EO&#10;lu80aYFV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37yi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Wo2IczAgAAYwQAAA4AAAAAAAAAAQAgAAAAHwEAAGRycy9lMm9Eb2MueG1sUEsF&#10;BgAAAAAGAAYAWQEAAMQFAAAAAA==&#10;">
              <v:fill on="f" focussize="0,0"/>
              <v:stroke on="f" weight="0.5pt"/>
              <v:imagedata o:title=""/>
              <o:lock v:ext="edit" aspectratio="f"/>
              <v:textbox inset="0mm,0mm,0mm,0mm" style="mso-fit-shape-to-text:t;">
                <w:txbxContent>
                  <w:p w14:paraId="423389B7">
                    <w:pPr>
                      <w:pStyle w:val="12"/>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EAC42C"/>
    <w:multiLevelType w:val="singleLevel"/>
    <w:tmpl w:val="83EAC42C"/>
    <w:lvl w:ilvl="0" w:tentative="0">
      <w:start w:val="2"/>
      <w:numFmt w:val="chineseCounting"/>
      <w:suff w:val="nothing"/>
      <w:lvlText w:val="%1、"/>
      <w:lvlJc w:val="left"/>
      <w:rPr>
        <w:rFonts w:hint="eastAsia"/>
      </w:rPr>
    </w:lvl>
  </w:abstractNum>
  <w:abstractNum w:abstractNumId="1">
    <w:nsid w:val="8F25C05E"/>
    <w:multiLevelType w:val="singleLevel"/>
    <w:tmpl w:val="8F25C05E"/>
    <w:lvl w:ilvl="0" w:tentative="0">
      <w:start w:val="1"/>
      <w:numFmt w:val="decimal"/>
      <w:lvlText w:val="%1."/>
      <w:lvlJc w:val="left"/>
      <w:pPr>
        <w:tabs>
          <w:tab w:val="left" w:pos="312"/>
        </w:tabs>
      </w:pPr>
    </w:lvl>
  </w:abstractNum>
  <w:abstractNum w:abstractNumId="2">
    <w:nsid w:val="A53A428A"/>
    <w:multiLevelType w:val="singleLevel"/>
    <w:tmpl w:val="A53A428A"/>
    <w:lvl w:ilvl="0" w:tentative="0">
      <w:start w:val="1"/>
      <w:numFmt w:val="decimal"/>
      <w:lvlText w:val="%1."/>
      <w:lvlJc w:val="left"/>
      <w:pPr>
        <w:tabs>
          <w:tab w:val="left" w:pos="312"/>
        </w:tabs>
      </w:pPr>
    </w:lvl>
  </w:abstractNum>
  <w:abstractNum w:abstractNumId="3">
    <w:nsid w:val="D473A77B"/>
    <w:multiLevelType w:val="singleLevel"/>
    <w:tmpl w:val="D473A77B"/>
    <w:lvl w:ilvl="0" w:tentative="0">
      <w:start w:val="1"/>
      <w:numFmt w:val="decimal"/>
      <w:lvlText w:val="%1."/>
      <w:lvlJc w:val="left"/>
      <w:pPr>
        <w:tabs>
          <w:tab w:val="left" w:pos="312"/>
        </w:tabs>
      </w:pPr>
    </w:lvl>
  </w:abstractNum>
  <w:abstractNum w:abstractNumId="4">
    <w:nsid w:val="3C08E562"/>
    <w:multiLevelType w:val="singleLevel"/>
    <w:tmpl w:val="3C08E562"/>
    <w:lvl w:ilvl="0" w:tentative="0">
      <w:start w:val="1"/>
      <w:numFmt w:val="chineseCounting"/>
      <w:suff w:val="nothing"/>
      <w:lvlText w:val="%1、"/>
      <w:lvlJc w:val="left"/>
      <w:rPr>
        <w:rFonts w:hint="eastAsia"/>
      </w:rPr>
    </w:lvl>
  </w:abstractNum>
  <w:abstractNum w:abstractNumId="5">
    <w:nsid w:val="3DD9FBF8"/>
    <w:multiLevelType w:val="singleLevel"/>
    <w:tmpl w:val="3DD9FBF8"/>
    <w:lvl w:ilvl="0" w:tentative="0">
      <w:start w:val="1"/>
      <w:numFmt w:val="decimal"/>
      <w:lvlText w:val="%1."/>
      <w:lvlJc w:val="left"/>
      <w:pPr>
        <w:tabs>
          <w:tab w:val="left" w:pos="312"/>
        </w:tabs>
      </w:pPr>
    </w:lvl>
  </w:abstractNum>
  <w:num w:numId="1">
    <w:abstractNumId w:val="4"/>
  </w:num>
  <w:num w:numId="2">
    <w:abstractNumId w:val="3"/>
  </w:num>
  <w:num w:numId="3">
    <w:abstractNumId w:val="2"/>
  </w:num>
  <w:num w:numId="4">
    <w:abstractNumId w:val="1"/>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7AA4784"/>
    <w:rsid w:val="00977B14"/>
    <w:rsid w:val="009E2D09"/>
    <w:rsid w:val="00D40BB2"/>
    <w:rsid w:val="00D73835"/>
    <w:rsid w:val="00F26CE0"/>
    <w:rsid w:val="01AC5842"/>
    <w:rsid w:val="01AD5116"/>
    <w:rsid w:val="01B42948"/>
    <w:rsid w:val="022E7D93"/>
    <w:rsid w:val="024017F9"/>
    <w:rsid w:val="02555C3B"/>
    <w:rsid w:val="026863F4"/>
    <w:rsid w:val="02E810AF"/>
    <w:rsid w:val="031511C4"/>
    <w:rsid w:val="03373831"/>
    <w:rsid w:val="033C0D43"/>
    <w:rsid w:val="03663FB0"/>
    <w:rsid w:val="036839EA"/>
    <w:rsid w:val="037B371D"/>
    <w:rsid w:val="049E63F5"/>
    <w:rsid w:val="04EB6681"/>
    <w:rsid w:val="04FA30C6"/>
    <w:rsid w:val="052C3399"/>
    <w:rsid w:val="0596101C"/>
    <w:rsid w:val="059B6830"/>
    <w:rsid w:val="05B62D05"/>
    <w:rsid w:val="05E41A4E"/>
    <w:rsid w:val="05F6263F"/>
    <w:rsid w:val="06426774"/>
    <w:rsid w:val="064B2D78"/>
    <w:rsid w:val="0694472D"/>
    <w:rsid w:val="06A93A70"/>
    <w:rsid w:val="06CB1BC3"/>
    <w:rsid w:val="06CD79BD"/>
    <w:rsid w:val="06D73361"/>
    <w:rsid w:val="072B7208"/>
    <w:rsid w:val="07522308"/>
    <w:rsid w:val="07571DAC"/>
    <w:rsid w:val="07854B6B"/>
    <w:rsid w:val="081F21E7"/>
    <w:rsid w:val="08411F3B"/>
    <w:rsid w:val="0861632B"/>
    <w:rsid w:val="087060F5"/>
    <w:rsid w:val="0878679C"/>
    <w:rsid w:val="088E0328"/>
    <w:rsid w:val="08B60D54"/>
    <w:rsid w:val="08E04023"/>
    <w:rsid w:val="08F10DED"/>
    <w:rsid w:val="09012917"/>
    <w:rsid w:val="091D2ACA"/>
    <w:rsid w:val="097E7653"/>
    <w:rsid w:val="099E48D1"/>
    <w:rsid w:val="09CF5B6D"/>
    <w:rsid w:val="09DE0562"/>
    <w:rsid w:val="0A0501E5"/>
    <w:rsid w:val="0A4A4F32"/>
    <w:rsid w:val="0A7669ED"/>
    <w:rsid w:val="0A960D5F"/>
    <w:rsid w:val="0AAC3F38"/>
    <w:rsid w:val="0AB9221A"/>
    <w:rsid w:val="0AEE0C79"/>
    <w:rsid w:val="0AF61373"/>
    <w:rsid w:val="0B4A0597"/>
    <w:rsid w:val="0BA5521A"/>
    <w:rsid w:val="0C272694"/>
    <w:rsid w:val="0C5E1E2E"/>
    <w:rsid w:val="0C741865"/>
    <w:rsid w:val="0C831611"/>
    <w:rsid w:val="0C88066A"/>
    <w:rsid w:val="0CA4237D"/>
    <w:rsid w:val="0CA57A5D"/>
    <w:rsid w:val="0CE30634"/>
    <w:rsid w:val="0D7A67F4"/>
    <w:rsid w:val="0D9C5D5F"/>
    <w:rsid w:val="0D9D10BF"/>
    <w:rsid w:val="0DA86300"/>
    <w:rsid w:val="0E163AAB"/>
    <w:rsid w:val="0E2A021A"/>
    <w:rsid w:val="0E853BF2"/>
    <w:rsid w:val="0EB57849"/>
    <w:rsid w:val="0ECB5DBE"/>
    <w:rsid w:val="0F1E29AB"/>
    <w:rsid w:val="0F253B1D"/>
    <w:rsid w:val="0F442929"/>
    <w:rsid w:val="0FA755CE"/>
    <w:rsid w:val="0FCC47CA"/>
    <w:rsid w:val="0FE44E94"/>
    <w:rsid w:val="0FE74E1E"/>
    <w:rsid w:val="0FED7F01"/>
    <w:rsid w:val="0FFC5BE6"/>
    <w:rsid w:val="10142F30"/>
    <w:rsid w:val="10276B8E"/>
    <w:rsid w:val="10A51E06"/>
    <w:rsid w:val="10F01E65"/>
    <w:rsid w:val="10FD26B4"/>
    <w:rsid w:val="112E6273"/>
    <w:rsid w:val="11743CDE"/>
    <w:rsid w:val="11771F74"/>
    <w:rsid w:val="11C468F2"/>
    <w:rsid w:val="120055EF"/>
    <w:rsid w:val="12957C2C"/>
    <w:rsid w:val="12A617C5"/>
    <w:rsid w:val="12B63ABA"/>
    <w:rsid w:val="12CF0C0F"/>
    <w:rsid w:val="12E806A4"/>
    <w:rsid w:val="12EE2E8A"/>
    <w:rsid w:val="130F3E82"/>
    <w:rsid w:val="13196AAF"/>
    <w:rsid w:val="132B4882"/>
    <w:rsid w:val="13AB6E65"/>
    <w:rsid w:val="14014E98"/>
    <w:rsid w:val="144B2C98"/>
    <w:rsid w:val="144D396F"/>
    <w:rsid w:val="14787805"/>
    <w:rsid w:val="14A648F6"/>
    <w:rsid w:val="14A72C50"/>
    <w:rsid w:val="14AA029A"/>
    <w:rsid w:val="14AD4D57"/>
    <w:rsid w:val="14F779A3"/>
    <w:rsid w:val="15321C7F"/>
    <w:rsid w:val="15BD561D"/>
    <w:rsid w:val="16116BD9"/>
    <w:rsid w:val="1642631D"/>
    <w:rsid w:val="16485831"/>
    <w:rsid w:val="164E6FAF"/>
    <w:rsid w:val="165E795F"/>
    <w:rsid w:val="16785E3E"/>
    <w:rsid w:val="167A73B7"/>
    <w:rsid w:val="16AA639C"/>
    <w:rsid w:val="16CD12A0"/>
    <w:rsid w:val="16CF1F52"/>
    <w:rsid w:val="16E421C9"/>
    <w:rsid w:val="16E9271A"/>
    <w:rsid w:val="173739A8"/>
    <w:rsid w:val="176A6BF1"/>
    <w:rsid w:val="17FB4E7E"/>
    <w:rsid w:val="18005E60"/>
    <w:rsid w:val="182245EE"/>
    <w:rsid w:val="1853289A"/>
    <w:rsid w:val="191C723B"/>
    <w:rsid w:val="19241D0A"/>
    <w:rsid w:val="193A3701"/>
    <w:rsid w:val="19793E03"/>
    <w:rsid w:val="19DD18BA"/>
    <w:rsid w:val="1A0E5F7D"/>
    <w:rsid w:val="1A713602"/>
    <w:rsid w:val="1AE20983"/>
    <w:rsid w:val="1B176599"/>
    <w:rsid w:val="1B9015FE"/>
    <w:rsid w:val="1B940AD8"/>
    <w:rsid w:val="1BE70806"/>
    <w:rsid w:val="1BFC2ACA"/>
    <w:rsid w:val="1CD63AC7"/>
    <w:rsid w:val="1D26052B"/>
    <w:rsid w:val="1DC15D79"/>
    <w:rsid w:val="1E071937"/>
    <w:rsid w:val="1E237E7E"/>
    <w:rsid w:val="1E332792"/>
    <w:rsid w:val="1E6E2AC4"/>
    <w:rsid w:val="1EF36406"/>
    <w:rsid w:val="1F314CE2"/>
    <w:rsid w:val="1F6536A5"/>
    <w:rsid w:val="1FC2556B"/>
    <w:rsid w:val="20267770"/>
    <w:rsid w:val="20C37109"/>
    <w:rsid w:val="20EA067B"/>
    <w:rsid w:val="20FB23EA"/>
    <w:rsid w:val="211B7166"/>
    <w:rsid w:val="2160525C"/>
    <w:rsid w:val="21645399"/>
    <w:rsid w:val="220F79FB"/>
    <w:rsid w:val="22350AE4"/>
    <w:rsid w:val="227E3F4C"/>
    <w:rsid w:val="227F4663"/>
    <w:rsid w:val="22A2261D"/>
    <w:rsid w:val="22C610B8"/>
    <w:rsid w:val="23114B53"/>
    <w:rsid w:val="23430F50"/>
    <w:rsid w:val="234B4A63"/>
    <w:rsid w:val="23683360"/>
    <w:rsid w:val="23785CD9"/>
    <w:rsid w:val="23867849"/>
    <w:rsid w:val="23AD790E"/>
    <w:rsid w:val="23B06A72"/>
    <w:rsid w:val="23BE77EA"/>
    <w:rsid w:val="23CA3FA5"/>
    <w:rsid w:val="240A1DAC"/>
    <w:rsid w:val="24455218"/>
    <w:rsid w:val="24737443"/>
    <w:rsid w:val="248B7E85"/>
    <w:rsid w:val="24C745BD"/>
    <w:rsid w:val="24D34421"/>
    <w:rsid w:val="25172D96"/>
    <w:rsid w:val="256E67E6"/>
    <w:rsid w:val="25A119FC"/>
    <w:rsid w:val="25CE0415"/>
    <w:rsid w:val="263A7F23"/>
    <w:rsid w:val="263F5D82"/>
    <w:rsid w:val="264E120C"/>
    <w:rsid w:val="26BC0F5E"/>
    <w:rsid w:val="27170727"/>
    <w:rsid w:val="274E16F2"/>
    <w:rsid w:val="2765234A"/>
    <w:rsid w:val="27715FFB"/>
    <w:rsid w:val="278F1E58"/>
    <w:rsid w:val="27C748D4"/>
    <w:rsid w:val="27D112AE"/>
    <w:rsid w:val="280F48DF"/>
    <w:rsid w:val="281F64BE"/>
    <w:rsid w:val="284D00B8"/>
    <w:rsid w:val="286345FC"/>
    <w:rsid w:val="288E0F4E"/>
    <w:rsid w:val="288E126A"/>
    <w:rsid w:val="28A35B9E"/>
    <w:rsid w:val="28AD5878"/>
    <w:rsid w:val="28B2037A"/>
    <w:rsid w:val="28B94034"/>
    <w:rsid w:val="297F65C0"/>
    <w:rsid w:val="2A0E7AD4"/>
    <w:rsid w:val="2A13795C"/>
    <w:rsid w:val="2A850B40"/>
    <w:rsid w:val="2A994FFC"/>
    <w:rsid w:val="2AE936A5"/>
    <w:rsid w:val="2B1D2C83"/>
    <w:rsid w:val="2B402E41"/>
    <w:rsid w:val="2B9864B4"/>
    <w:rsid w:val="2B996587"/>
    <w:rsid w:val="2BA042B8"/>
    <w:rsid w:val="2BEA0B91"/>
    <w:rsid w:val="2C26606D"/>
    <w:rsid w:val="2C7D0935"/>
    <w:rsid w:val="2CA945A8"/>
    <w:rsid w:val="2CD44FE8"/>
    <w:rsid w:val="2D045C82"/>
    <w:rsid w:val="2D0C7461"/>
    <w:rsid w:val="2D6C5CFC"/>
    <w:rsid w:val="2DB306C1"/>
    <w:rsid w:val="2DC64B62"/>
    <w:rsid w:val="2DFD4010"/>
    <w:rsid w:val="2E3E3A4B"/>
    <w:rsid w:val="2E734E6D"/>
    <w:rsid w:val="2E84600A"/>
    <w:rsid w:val="2EC8777A"/>
    <w:rsid w:val="2ECE02F6"/>
    <w:rsid w:val="2F3757AF"/>
    <w:rsid w:val="2F7377FA"/>
    <w:rsid w:val="306568EF"/>
    <w:rsid w:val="30830679"/>
    <w:rsid w:val="30C41C15"/>
    <w:rsid w:val="314F3970"/>
    <w:rsid w:val="31C410EF"/>
    <w:rsid w:val="31D447D6"/>
    <w:rsid w:val="31E37618"/>
    <w:rsid w:val="323E5792"/>
    <w:rsid w:val="3268280F"/>
    <w:rsid w:val="327D2445"/>
    <w:rsid w:val="32C5213F"/>
    <w:rsid w:val="330F10BA"/>
    <w:rsid w:val="33150BE9"/>
    <w:rsid w:val="33313EDB"/>
    <w:rsid w:val="339E030A"/>
    <w:rsid w:val="33A747E4"/>
    <w:rsid w:val="33BC1065"/>
    <w:rsid w:val="33C66DBC"/>
    <w:rsid w:val="33FE342B"/>
    <w:rsid w:val="340A1DD0"/>
    <w:rsid w:val="341669C7"/>
    <w:rsid w:val="341A3A3F"/>
    <w:rsid w:val="342D0BB1"/>
    <w:rsid w:val="342F41AF"/>
    <w:rsid w:val="3432181F"/>
    <w:rsid w:val="343B467F"/>
    <w:rsid w:val="350A4C31"/>
    <w:rsid w:val="3518051D"/>
    <w:rsid w:val="35215623"/>
    <w:rsid w:val="357678AA"/>
    <w:rsid w:val="35A554CC"/>
    <w:rsid w:val="35F82832"/>
    <w:rsid w:val="360258AE"/>
    <w:rsid w:val="36713175"/>
    <w:rsid w:val="368D6CE8"/>
    <w:rsid w:val="36E477E0"/>
    <w:rsid w:val="36ED1CF2"/>
    <w:rsid w:val="377F356D"/>
    <w:rsid w:val="37B502A5"/>
    <w:rsid w:val="38367E9B"/>
    <w:rsid w:val="38683569"/>
    <w:rsid w:val="39245FF8"/>
    <w:rsid w:val="39BF540B"/>
    <w:rsid w:val="3A156272"/>
    <w:rsid w:val="3A220F45"/>
    <w:rsid w:val="3A5474E8"/>
    <w:rsid w:val="3A6F5083"/>
    <w:rsid w:val="3A773F37"/>
    <w:rsid w:val="3A8B5192"/>
    <w:rsid w:val="3AB57C56"/>
    <w:rsid w:val="3ACF1B19"/>
    <w:rsid w:val="3AF85078"/>
    <w:rsid w:val="3B0635AB"/>
    <w:rsid w:val="3B5B5607"/>
    <w:rsid w:val="3B60677A"/>
    <w:rsid w:val="3C455B7B"/>
    <w:rsid w:val="3C7B6CB4"/>
    <w:rsid w:val="3C973074"/>
    <w:rsid w:val="3CA37266"/>
    <w:rsid w:val="3CC526DC"/>
    <w:rsid w:val="3CD26389"/>
    <w:rsid w:val="3CED228F"/>
    <w:rsid w:val="3D037D04"/>
    <w:rsid w:val="3D3B033E"/>
    <w:rsid w:val="3D595CD5"/>
    <w:rsid w:val="3D8729D9"/>
    <w:rsid w:val="3DA94408"/>
    <w:rsid w:val="3DC54D49"/>
    <w:rsid w:val="3DCC038B"/>
    <w:rsid w:val="3E7013C9"/>
    <w:rsid w:val="3EA352FB"/>
    <w:rsid w:val="3EC13369"/>
    <w:rsid w:val="3EED2A1A"/>
    <w:rsid w:val="3F38176A"/>
    <w:rsid w:val="3F4D5B47"/>
    <w:rsid w:val="3F514749"/>
    <w:rsid w:val="3F60143E"/>
    <w:rsid w:val="3F8F3AD1"/>
    <w:rsid w:val="3FA37E63"/>
    <w:rsid w:val="3FA55B11"/>
    <w:rsid w:val="3FAD563F"/>
    <w:rsid w:val="3FC75019"/>
    <w:rsid w:val="3FFB68BC"/>
    <w:rsid w:val="400F7995"/>
    <w:rsid w:val="40222DB1"/>
    <w:rsid w:val="403B1563"/>
    <w:rsid w:val="404932EE"/>
    <w:rsid w:val="40940281"/>
    <w:rsid w:val="40AE7C64"/>
    <w:rsid w:val="40EA1B9E"/>
    <w:rsid w:val="410A372C"/>
    <w:rsid w:val="414D1E51"/>
    <w:rsid w:val="41FB28D4"/>
    <w:rsid w:val="42284C84"/>
    <w:rsid w:val="42295B17"/>
    <w:rsid w:val="42357C02"/>
    <w:rsid w:val="42511DC7"/>
    <w:rsid w:val="42D33CD5"/>
    <w:rsid w:val="42E47C90"/>
    <w:rsid w:val="42EA1B91"/>
    <w:rsid w:val="42EE6667"/>
    <w:rsid w:val="432B3B11"/>
    <w:rsid w:val="43505326"/>
    <w:rsid w:val="4352371B"/>
    <w:rsid w:val="438E04AB"/>
    <w:rsid w:val="446A2417"/>
    <w:rsid w:val="44937BC0"/>
    <w:rsid w:val="44B32010"/>
    <w:rsid w:val="44BA339E"/>
    <w:rsid w:val="44BE0D38"/>
    <w:rsid w:val="44C70D21"/>
    <w:rsid w:val="44FD59E4"/>
    <w:rsid w:val="4577303D"/>
    <w:rsid w:val="459D11E1"/>
    <w:rsid w:val="46202C1B"/>
    <w:rsid w:val="462D6BF3"/>
    <w:rsid w:val="46951786"/>
    <w:rsid w:val="46B174E3"/>
    <w:rsid w:val="46F87D23"/>
    <w:rsid w:val="471A0124"/>
    <w:rsid w:val="471D75AA"/>
    <w:rsid w:val="47735FCE"/>
    <w:rsid w:val="477F780C"/>
    <w:rsid w:val="47AA76FA"/>
    <w:rsid w:val="47C444AC"/>
    <w:rsid w:val="47EE3067"/>
    <w:rsid w:val="482439B6"/>
    <w:rsid w:val="48DA5DBD"/>
    <w:rsid w:val="4904108C"/>
    <w:rsid w:val="494D47E1"/>
    <w:rsid w:val="49865138"/>
    <w:rsid w:val="49C373CD"/>
    <w:rsid w:val="49D5794C"/>
    <w:rsid w:val="49EE386C"/>
    <w:rsid w:val="4ABA086F"/>
    <w:rsid w:val="4ADA02F6"/>
    <w:rsid w:val="4AF57E89"/>
    <w:rsid w:val="4B0A6EE4"/>
    <w:rsid w:val="4B217CD3"/>
    <w:rsid w:val="4B307F16"/>
    <w:rsid w:val="4B3F7385"/>
    <w:rsid w:val="4B577B99"/>
    <w:rsid w:val="4B7F2C4C"/>
    <w:rsid w:val="4BF22FF3"/>
    <w:rsid w:val="4C027975"/>
    <w:rsid w:val="4C23653D"/>
    <w:rsid w:val="4C242197"/>
    <w:rsid w:val="4C447326"/>
    <w:rsid w:val="4CBF2A2B"/>
    <w:rsid w:val="4CC21042"/>
    <w:rsid w:val="4CEA3DAD"/>
    <w:rsid w:val="4D0F5EC5"/>
    <w:rsid w:val="4D387A2E"/>
    <w:rsid w:val="4D555F59"/>
    <w:rsid w:val="4D5A04CE"/>
    <w:rsid w:val="4D7520D3"/>
    <w:rsid w:val="4DAF47DE"/>
    <w:rsid w:val="4E0657C6"/>
    <w:rsid w:val="4E0A0EF3"/>
    <w:rsid w:val="4E263FB1"/>
    <w:rsid w:val="4E42561D"/>
    <w:rsid w:val="4E89227E"/>
    <w:rsid w:val="4EE00F2E"/>
    <w:rsid w:val="4F073EC1"/>
    <w:rsid w:val="4F302BDB"/>
    <w:rsid w:val="4F72274C"/>
    <w:rsid w:val="4F836BD8"/>
    <w:rsid w:val="50893CC7"/>
    <w:rsid w:val="50AE08A7"/>
    <w:rsid w:val="50C507DC"/>
    <w:rsid w:val="514C074E"/>
    <w:rsid w:val="5153670D"/>
    <w:rsid w:val="51537974"/>
    <w:rsid w:val="516F0D03"/>
    <w:rsid w:val="517A0DE1"/>
    <w:rsid w:val="51EB103B"/>
    <w:rsid w:val="51F30DEF"/>
    <w:rsid w:val="5268268C"/>
    <w:rsid w:val="52A907F9"/>
    <w:rsid w:val="53283BC9"/>
    <w:rsid w:val="535B3F9E"/>
    <w:rsid w:val="53787030"/>
    <w:rsid w:val="53AE4231"/>
    <w:rsid w:val="53CF0730"/>
    <w:rsid w:val="53E44E00"/>
    <w:rsid w:val="54A13488"/>
    <w:rsid w:val="54D04518"/>
    <w:rsid w:val="55A7171D"/>
    <w:rsid w:val="55FE01DE"/>
    <w:rsid w:val="56150435"/>
    <w:rsid w:val="568832FC"/>
    <w:rsid w:val="56AF2F1A"/>
    <w:rsid w:val="56B57E6A"/>
    <w:rsid w:val="56E147BB"/>
    <w:rsid w:val="572241A9"/>
    <w:rsid w:val="574A44EB"/>
    <w:rsid w:val="57B43C7D"/>
    <w:rsid w:val="58317147"/>
    <w:rsid w:val="58587044"/>
    <w:rsid w:val="588B22C9"/>
    <w:rsid w:val="58A154A3"/>
    <w:rsid w:val="58A6762A"/>
    <w:rsid w:val="592E65BA"/>
    <w:rsid w:val="59AD46C0"/>
    <w:rsid w:val="59C20154"/>
    <w:rsid w:val="59DB3743"/>
    <w:rsid w:val="5A783688"/>
    <w:rsid w:val="5A854D8F"/>
    <w:rsid w:val="5AC35D7E"/>
    <w:rsid w:val="5B0311A3"/>
    <w:rsid w:val="5B3B4E29"/>
    <w:rsid w:val="5B6360E6"/>
    <w:rsid w:val="5B767A9D"/>
    <w:rsid w:val="5B81656C"/>
    <w:rsid w:val="5BB626DD"/>
    <w:rsid w:val="5BE7274E"/>
    <w:rsid w:val="5BF9099D"/>
    <w:rsid w:val="5C4750C0"/>
    <w:rsid w:val="5C5617A7"/>
    <w:rsid w:val="5C6739B4"/>
    <w:rsid w:val="5CA06B95"/>
    <w:rsid w:val="5D30024A"/>
    <w:rsid w:val="5D65308C"/>
    <w:rsid w:val="5D7A14C5"/>
    <w:rsid w:val="5DB524FD"/>
    <w:rsid w:val="5DC42936"/>
    <w:rsid w:val="5E2224EE"/>
    <w:rsid w:val="5E501F37"/>
    <w:rsid w:val="5E523A51"/>
    <w:rsid w:val="5E714676"/>
    <w:rsid w:val="5E78724A"/>
    <w:rsid w:val="5EEE2BB8"/>
    <w:rsid w:val="5F3F41EA"/>
    <w:rsid w:val="5FD34A51"/>
    <w:rsid w:val="60375AA8"/>
    <w:rsid w:val="609A52AA"/>
    <w:rsid w:val="60A54010"/>
    <w:rsid w:val="60AF1486"/>
    <w:rsid w:val="60BA5511"/>
    <w:rsid w:val="60C96DB7"/>
    <w:rsid w:val="60F24C92"/>
    <w:rsid w:val="611C2FBF"/>
    <w:rsid w:val="614E0AE5"/>
    <w:rsid w:val="626344D0"/>
    <w:rsid w:val="626C035F"/>
    <w:rsid w:val="629E5C56"/>
    <w:rsid w:val="62B81781"/>
    <w:rsid w:val="633B746C"/>
    <w:rsid w:val="634B0FC2"/>
    <w:rsid w:val="63626C83"/>
    <w:rsid w:val="63C446D0"/>
    <w:rsid w:val="63F33086"/>
    <w:rsid w:val="63FB79D0"/>
    <w:rsid w:val="6440026D"/>
    <w:rsid w:val="644A1BF1"/>
    <w:rsid w:val="64D30C2C"/>
    <w:rsid w:val="650F5E5E"/>
    <w:rsid w:val="655D22F3"/>
    <w:rsid w:val="65725806"/>
    <w:rsid w:val="657809E0"/>
    <w:rsid w:val="657B62F6"/>
    <w:rsid w:val="6585070B"/>
    <w:rsid w:val="65CE2AC8"/>
    <w:rsid w:val="65FF663C"/>
    <w:rsid w:val="66285F62"/>
    <w:rsid w:val="6692397A"/>
    <w:rsid w:val="66973E75"/>
    <w:rsid w:val="66A17AC3"/>
    <w:rsid w:val="66A86E60"/>
    <w:rsid w:val="66C7320D"/>
    <w:rsid w:val="674C5C80"/>
    <w:rsid w:val="675A2B98"/>
    <w:rsid w:val="67674868"/>
    <w:rsid w:val="6780640E"/>
    <w:rsid w:val="679E38AB"/>
    <w:rsid w:val="68393EAE"/>
    <w:rsid w:val="68A044D6"/>
    <w:rsid w:val="68B41732"/>
    <w:rsid w:val="68C77CB4"/>
    <w:rsid w:val="69026F3E"/>
    <w:rsid w:val="693B6868"/>
    <w:rsid w:val="694110E9"/>
    <w:rsid w:val="69442690"/>
    <w:rsid w:val="699A37FC"/>
    <w:rsid w:val="6A2A0962"/>
    <w:rsid w:val="6A852493"/>
    <w:rsid w:val="6AD370E6"/>
    <w:rsid w:val="6AE74C37"/>
    <w:rsid w:val="6B277CBD"/>
    <w:rsid w:val="6BCD3C18"/>
    <w:rsid w:val="6C06218D"/>
    <w:rsid w:val="6C1D5E3D"/>
    <w:rsid w:val="6C824784"/>
    <w:rsid w:val="6C884962"/>
    <w:rsid w:val="6CA7448E"/>
    <w:rsid w:val="6CED533F"/>
    <w:rsid w:val="6D2D65EC"/>
    <w:rsid w:val="6D567859"/>
    <w:rsid w:val="6D8617C0"/>
    <w:rsid w:val="6DFB3F5C"/>
    <w:rsid w:val="6E6D7ED4"/>
    <w:rsid w:val="6EC425A0"/>
    <w:rsid w:val="6ECD4DFB"/>
    <w:rsid w:val="6F773AB6"/>
    <w:rsid w:val="708446DD"/>
    <w:rsid w:val="70B20581"/>
    <w:rsid w:val="70C44AD9"/>
    <w:rsid w:val="70C8331E"/>
    <w:rsid w:val="70CF69F4"/>
    <w:rsid w:val="70D311C0"/>
    <w:rsid w:val="70F45858"/>
    <w:rsid w:val="71CB3340"/>
    <w:rsid w:val="721170B6"/>
    <w:rsid w:val="72432496"/>
    <w:rsid w:val="72450ADE"/>
    <w:rsid w:val="724A7C4C"/>
    <w:rsid w:val="72A03324"/>
    <w:rsid w:val="72CD5731"/>
    <w:rsid w:val="72F94694"/>
    <w:rsid w:val="731A30D6"/>
    <w:rsid w:val="731C29AB"/>
    <w:rsid w:val="73337CF4"/>
    <w:rsid w:val="737F0161"/>
    <w:rsid w:val="73C64B92"/>
    <w:rsid w:val="73CC5868"/>
    <w:rsid w:val="741D12D5"/>
    <w:rsid w:val="74294E1F"/>
    <w:rsid w:val="745D095D"/>
    <w:rsid w:val="747D56CB"/>
    <w:rsid w:val="74913F23"/>
    <w:rsid w:val="74A43991"/>
    <w:rsid w:val="74BD640F"/>
    <w:rsid w:val="74E12E70"/>
    <w:rsid w:val="74F217A6"/>
    <w:rsid w:val="7530098F"/>
    <w:rsid w:val="75824101"/>
    <w:rsid w:val="75C0175C"/>
    <w:rsid w:val="75FB71EF"/>
    <w:rsid w:val="761B52FD"/>
    <w:rsid w:val="761D53B8"/>
    <w:rsid w:val="76474D0B"/>
    <w:rsid w:val="766141C4"/>
    <w:rsid w:val="76946CFC"/>
    <w:rsid w:val="76A54B2B"/>
    <w:rsid w:val="76CE66B2"/>
    <w:rsid w:val="76F27318"/>
    <w:rsid w:val="77413963"/>
    <w:rsid w:val="77446974"/>
    <w:rsid w:val="77AA4784"/>
    <w:rsid w:val="77BF19EB"/>
    <w:rsid w:val="784D7AAA"/>
    <w:rsid w:val="7853685E"/>
    <w:rsid w:val="78581447"/>
    <w:rsid w:val="788432C4"/>
    <w:rsid w:val="78EF0B61"/>
    <w:rsid w:val="7941773A"/>
    <w:rsid w:val="795D3D1D"/>
    <w:rsid w:val="79650C6A"/>
    <w:rsid w:val="79AC2B07"/>
    <w:rsid w:val="79E54F49"/>
    <w:rsid w:val="79F0693F"/>
    <w:rsid w:val="7A2F56B9"/>
    <w:rsid w:val="7A74615A"/>
    <w:rsid w:val="7AA07E1D"/>
    <w:rsid w:val="7AA45FB6"/>
    <w:rsid w:val="7AC35E02"/>
    <w:rsid w:val="7B1D7C08"/>
    <w:rsid w:val="7B3838B4"/>
    <w:rsid w:val="7B872E23"/>
    <w:rsid w:val="7B916F46"/>
    <w:rsid w:val="7BF42D9F"/>
    <w:rsid w:val="7C184193"/>
    <w:rsid w:val="7C7A6994"/>
    <w:rsid w:val="7CC62F7B"/>
    <w:rsid w:val="7CD22868"/>
    <w:rsid w:val="7D0D49BE"/>
    <w:rsid w:val="7D420658"/>
    <w:rsid w:val="7DD709F0"/>
    <w:rsid w:val="7DF95DE4"/>
    <w:rsid w:val="7E0C7BDB"/>
    <w:rsid w:val="7E1574EB"/>
    <w:rsid w:val="7E226BB4"/>
    <w:rsid w:val="7E5039FB"/>
    <w:rsid w:val="7E6D055E"/>
    <w:rsid w:val="7EEA131C"/>
    <w:rsid w:val="7F076E92"/>
    <w:rsid w:val="7F0C363E"/>
    <w:rsid w:val="7F192003"/>
    <w:rsid w:val="7F34107C"/>
    <w:rsid w:val="7F76059C"/>
    <w:rsid w:val="7FE40CF4"/>
    <w:rsid w:val="7FE56A0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qFormat="1" w:uiPriority="99"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99"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Calibri" w:hAnsi="Calibri" w:eastAsia="宋体" w:cs="Times New Roman"/>
      <w:kern w:val="2"/>
      <w:sz w:val="24"/>
      <w:szCs w:val="22"/>
      <w:lang w:val="en-US" w:eastAsia="zh-CN" w:bidi="ar-SA"/>
    </w:rPr>
  </w:style>
  <w:style w:type="paragraph" w:styleId="3">
    <w:name w:val="heading 1"/>
    <w:basedOn w:val="1"/>
    <w:next w:val="1"/>
    <w:qFormat/>
    <w:uiPriority w:val="9"/>
    <w:pPr>
      <w:keepNext/>
      <w:keepLines/>
      <w:spacing w:before="340" w:after="330" w:line="578" w:lineRule="auto"/>
      <w:ind w:firstLine="0" w:firstLineChars="0"/>
      <w:outlineLvl w:val="0"/>
    </w:pPr>
    <w:rPr>
      <w:b/>
      <w:bCs/>
      <w:kern w:val="44"/>
      <w:sz w:val="44"/>
      <w:szCs w:val="44"/>
    </w:rPr>
  </w:style>
  <w:style w:type="paragraph" w:styleId="4">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5">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paragraph" w:styleId="6">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19">
    <w:name w:val="Default Paragraph Font"/>
    <w:semiHidden/>
    <w:qFormat/>
    <w:uiPriority w:val="0"/>
  </w:style>
  <w:style w:type="table" w:default="1" w:styleId="17">
    <w:name w:val="Normal Table"/>
    <w:semiHidden/>
    <w:qFormat/>
    <w:uiPriority w:val="0"/>
    <w:tblPr>
      <w:tblCellMar>
        <w:top w:w="0" w:type="dxa"/>
        <w:left w:w="108" w:type="dxa"/>
        <w:bottom w:w="0" w:type="dxa"/>
        <w:right w:w="108" w:type="dxa"/>
      </w:tblCellMar>
    </w:tblPr>
  </w:style>
  <w:style w:type="paragraph" w:styleId="2">
    <w:name w:val="macro"/>
    <w:basedOn w:val="1"/>
    <w:unhideWhenUsed/>
    <w:qFormat/>
    <w:uiPriority w:val="99"/>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spacing w:line="240" w:lineRule="auto"/>
      <w:ind w:firstLine="0" w:firstLineChars="0"/>
      <w:jc w:val="center"/>
    </w:pPr>
    <w:rPr>
      <w:rFonts w:ascii="Times New Roman" w:hAnsi="Times New Roman" w:eastAsia="宋体" w:cs="Times New Roman"/>
      <w:sz w:val="21"/>
      <w:szCs w:val="24"/>
    </w:rPr>
  </w:style>
  <w:style w:type="paragraph" w:styleId="7">
    <w:name w:val="Body Text"/>
    <w:basedOn w:val="1"/>
    <w:unhideWhenUsed/>
    <w:qFormat/>
    <w:uiPriority w:val="99"/>
    <w:pPr>
      <w:spacing w:after="120"/>
    </w:pPr>
  </w:style>
  <w:style w:type="paragraph" w:styleId="8">
    <w:name w:val="Body Text Indent"/>
    <w:basedOn w:val="1"/>
    <w:unhideWhenUsed/>
    <w:qFormat/>
    <w:uiPriority w:val="99"/>
    <w:pPr>
      <w:spacing w:after="120"/>
      <w:ind w:left="420" w:leftChars="200"/>
    </w:pPr>
  </w:style>
  <w:style w:type="paragraph" w:styleId="9">
    <w:name w:val="toc 3"/>
    <w:basedOn w:val="1"/>
    <w:next w:val="1"/>
    <w:qFormat/>
    <w:uiPriority w:val="0"/>
    <w:pPr>
      <w:ind w:left="840" w:leftChars="400"/>
    </w:pPr>
  </w:style>
  <w:style w:type="paragraph" w:styleId="10">
    <w:name w:val="Body Text Indent 2"/>
    <w:basedOn w:val="1"/>
    <w:next w:val="11"/>
    <w:qFormat/>
    <w:uiPriority w:val="0"/>
    <w:pPr>
      <w:spacing w:after="120" w:line="480" w:lineRule="auto"/>
      <w:ind w:left="420" w:leftChars="200"/>
    </w:pPr>
  </w:style>
  <w:style w:type="paragraph" w:styleId="11">
    <w:name w:val="Body Text First Indent"/>
    <w:basedOn w:val="7"/>
    <w:qFormat/>
    <w:uiPriority w:val="0"/>
    <w:pPr>
      <w:ind w:firstLine="420" w:firstLineChars="100"/>
    </w:pPr>
    <w:rPr>
      <w:rFonts w:ascii="Times New Roman" w:hAnsi="Times New Roman" w:eastAsia="宋体" w:cs="Times New Roman"/>
      <w:sz w:val="21"/>
      <w:szCs w:val="24"/>
    </w:rPr>
  </w:style>
  <w:style w:type="paragraph" w:styleId="12">
    <w:name w:val="footer"/>
    <w:basedOn w:val="1"/>
    <w:qFormat/>
    <w:uiPriority w:val="0"/>
    <w:pPr>
      <w:tabs>
        <w:tab w:val="center" w:pos="4153"/>
        <w:tab w:val="right" w:pos="8306"/>
      </w:tabs>
      <w:snapToGrid w:val="0"/>
      <w:jc w:val="left"/>
    </w:pPr>
    <w:rPr>
      <w:sz w:val="18"/>
    </w:rPr>
  </w:style>
  <w:style w:type="paragraph" w:styleId="1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4">
    <w:name w:val="toc 1"/>
    <w:basedOn w:val="1"/>
    <w:next w:val="1"/>
    <w:qFormat/>
    <w:uiPriority w:val="0"/>
  </w:style>
  <w:style w:type="paragraph" w:styleId="15">
    <w:name w:val="toc 2"/>
    <w:basedOn w:val="1"/>
    <w:next w:val="1"/>
    <w:qFormat/>
    <w:uiPriority w:val="0"/>
    <w:pPr>
      <w:ind w:left="420" w:leftChars="200"/>
    </w:pPr>
  </w:style>
  <w:style w:type="paragraph" w:styleId="16">
    <w:name w:val="Normal (Web)"/>
    <w:basedOn w:val="1"/>
    <w:qFormat/>
    <w:uiPriority w:val="0"/>
    <w:pPr>
      <w:spacing w:before="0" w:beforeAutospacing="1" w:after="0" w:afterAutospacing="1"/>
      <w:ind w:left="0" w:right="0"/>
      <w:jc w:val="left"/>
    </w:pPr>
    <w:rPr>
      <w:kern w:val="0"/>
      <w:sz w:val="24"/>
      <w:lang w:val="en-US" w:eastAsia="zh-CN" w:bidi="ar"/>
    </w:rPr>
  </w:style>
  <w:style w:type="table" w:styleId="18">
    <w:name w:val="Table Grid"/>
    <w:basedOn w:val="1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Strong"/>
    <w:basedOn w:val="19"/>
    <w:qFormat/>
    <w:uiPriority w:val="0"/>
    <w:rPr>
      <w:b/>
    </w:rPr>
  </w:style>
  <w:style w:type="paragraph" w:customStyle="1" w:styleId="21">
    <w:name w:val="Normal (Web)1"/>
    <w:basedOn w:val="1"/>
    <w:next w:val="22"/>
    <w:qFormat/>
    <w:uiPriority w:val="0"/>
    <w:pPr>
      <w:widowControl/>
      <w:jc w:val="left"/>
    </w:pPr>
    <w:rPr>
      <w:rFonts w:ascii="宋体" w:cs="Times New Roman"/>
      <w:kern w:val="0"/>
      <w:szCs w:val="21"/>
    </w:rPr>
  </w:style>
  <w:style w:type="paragraph" w:customStyle="1" w:styleId="22">
    <w:name w:val="Date1"/>
    <w:basedOn w:val="1"/>
    <w:next w:val="1"/>
    <w:qFormat/>
    <w:uiPriority w:val="0"/>
    <w:pPr>
      <w:ind w:left="2500" w:leftChars="2500"/>
    </w:pPr>
    <w:rPr>
      <w:rFonts w:cs="Times New Roman"/>
    </w:rPr>
  </w:style>
  <w:style w:type="paragraph" w:customStyle="1" w:styleId="23">
    <w:name w:val="Default"/>
    <w:basedOn w:val="24"/>
    <w:qFormat/>
    <w:uiPriority w:val="0"/>
    <w:pPr>
      <w:autoSpaceDE w:val="0"/>
      <w:autoSpaceDN w:val="0"/>
    </w:pPr>
    <w:rPr>
      <w:rFonts w:hAnsi="Calibri" w:eastAsia="宋体" w:cs="Times New Roman"/>
      <w:color w:val="000000"/>
      <w:szCs w:val="24"/>
    </w:rPr>
  </w:style>
  <w:style w:type="paragraph" w:customStyle="1" w:styleId="24">
    <w:name w:val="纯文本1"/>
    <w:basedOn w:val="1"/>
    <w:qFormat/>
    <w:uiPriority w:val="0"/>
    <w:pPr>
      <w:adjustRightInd w:val="0"/>
      <w:textAlignment w:val="baseline"/>
    </w:pPr>
    <w:rPr>
      <w:rFonts w:ascii="宋体" w:hAnsi="Courier New"/>
      <w:szCs w:val="20"/>
    </w:rPr>
  </w:style>
  <w:style w:type="paragraph" w:customStyle="1" w:styleId="25">
    <w:name w:val="Other|1"/>
    <w:qFormat/>
    <w:uiPriority w:val="0"/>
    <w:pPr>
      <w:widowControl w:val="0"/>
      <w:spacing w:after="100" w:line="434" w:lineRule="auto"/>
      <w:ind w:firstLine="400"/>
    </w:pPr>
    <w:rPr>
      <w:rFonts w:ascii="宋体" w:hAnsi="宋体" w:eastAsia="宋体" w:cs="宋体"/>
      <w:color w:val="000000"/>
      <w:sz w:val="22"/>
      <w:szCs w:val="22"/>
      <w:lang w:val="zh-TW" w:eastAsia="zh-TW" w:bidi="zh-TW"/>
    </w:rPr>
  </w:style>
  <w:style w:type="paragraph" w:customStyle="1" w:styleId="26">
    <w:name w:val="正文1"/>
    <w:basedOn w:val="1"/>
    <w:qFormat/>
    <w:uiPriority w:val="0"/>
    <w:pPr>
      <w:spacing w:before="78" w:beforeLines="25" w:after="78" w:afterLines="25"/>
      <w:ind w:firstLine="480"/>
    </w:pPr>
  </w:style>
  <w:style w:type="paragraph" w:customStyle="1" w:styleId="27">
    <w:name w:val="表文"/>
    <w:basedOn w:val="1"/>
    <w:next w:val="1"/>
    <w:qFormat/>
    <w:uiPriority w:val="0"/>
    <w:pPr>
      <w:spacing w:line="240" w:lineRule="auto"/>
      <w:ind w:firstLine="0" w:firstLineChars="0"/>
      <w:jc w:val="center"/>
    </w:pPr>
    <w:rPr>
      <w:rFonts w:ascii="新宋体" w:hAnsi="Calibri" w:eastAsia="新宋体" w:cs="Times New Roman"/>
      <w:sz w:val="21"/>
      <w:szCs w:val="21"/>
    </w:rPr>
  </w:style>
  <w:style w:type="paragraph" w:customStyle="1" w:styleId="28">
    <w:name w:val="..正文"/>
    <w:basedOn w:val="1"/>
    <w:qFormat/>
    <w:uiPriority w:val="0"/>
    <w:pPr>
      <w:spacing w:line="500" w:lineRule="exact"/>
      <w:ind w:firstLine="480"/>
      <w:jc w:val="left"/>
    </w:pPr>
    <w:rPr>
      <w:rFonts w:ascii="Times New Roman" w:hAnsi="Times New Roman"/>
      <w:kern w:val="0"/>
      <w:szCs w:val="24"/>
    </w:rPr>
  </w:style>
  <w:style w:type="paragraph" w:customStyle="1" w:styleId="29">
    <w:name w:val="表头"/>
    <w:basedOn w:val="26"/>
    <w:next w:val="1"/>
    <w:qFormat/>
    <w:uiPriority w:val="0"/>
    <w:pPr>
      <w:ind w:firstLine="0" w:firstLineChars="0"/>
      <w:jc w:val="center"/>
    </w:pPr>
    <w:rPr>
      <w:rFonts w:ascii="新宋体" w:hAnsi="Calibri" w:eastAsia="新宋体" w:cs="Times New Roman"/>
      <w:sz w:val="21"/>
      <w:szCs w:val="24"/>
    </w:rPr>
  </w:style>
  <w:style w:type="paragraph" w:customStyle="1" w:styleId="30">
    <w:name w:val="表中文字"/>
    <w:basedOn w:val="1"/>
    <w:qFormat/>
    <w:uiPriority w:val="0"/>
    <w:pPr>
      <w:snapToGrid w:val="0"/>
      <w:jc w:val="center"/>
    </w:pPr>
    <w:rPr>
      <w:rFonts w:cs="Times New Roman"/>
      <w:szCs w:val="21"/>
      <w:lang w:eastAsia="zh-TW"/>
    </w:rPr>
  </w:style>
  <w:style w:type="paragraph" w:customStyle="1" w:styleId="31">
    <w:name w:val="缩进2"/>
    <w:basedOn w:val="1"/>
    <w:qFormat/>
    <w:uiPriority w:val="0"/>
    <w:rPr>
      <w:rFonts w:ascii="宋体" w:hAnsi="宋体" w:eastAsia="宋体" w:cs="Times New Roman"/>
      <w:szCs w:val="21"/>
    </w:rPr>
  </w:style>
  <w:style w:type="paragraph" w:customStyle="1" w:styleId="32">
    <w:name w:val="表格"/>
    <w:autoRedefine/>
    <w:qFormat/>
    <w:uiPriority w:val="0"/>
    <w:pPr>
      <w:spacing w:line="320" w:lineRule="exact"/>
      <w:jc w:val="both"/>
    </w:pPr>
    <w:rPr>
      <w:rFonts w:ascii="宋体" w:hAnsi="宋体" w:eastAsia="宋体" w:cs="Times New Roman"/>
      <w:sz w:val="24"/>
      <w:lang w:val="en-US" w:eastAsia="zh-CN" w:bidi="ar-SA"/>
    </w:rPr>
  </w:style>
  <w:style w:type="paragraph" w:customStyle="1" w:styleId="33">
    <w:name w:val="正文格式"/>
    <w:basedOn w:val="1"/>
    <w:next w:val="1"/>
    <w:qFormat/>
    <w:uiPriority w:val="99"/>
    <w:pPr>
      <w:spacing w:line="360" w:lineRule="auto"/>
      <w:ind w:firstLine="482"/>
    </w:pPr>
    <w:rPr>
      <w:rFonts w:ascii="Times New Roman"/>
      <w:kern w:val="2"/>
      <w:szCs w:val="24"/>
    </w:rPr>
  </w:style>
  <w:style w:type="paragraph" w:customStyle="1" w:styleId="34">
    <w:name w:val="报告书正文"/>
    <w:basedOn w:val="1"/>
    <w:qFormat/>
    <w:uiPriority w:val="0"/>
    <w:pPr>
      <w:adjustRightInd w:val="0"/>
      <w:snapToGrid w:val="0"/>
      <w:spacing w:line="360" w:lineRule="auto"/>
      <w:ind w:firstLine="425"/>
      <w:textAlignment w:val="baseline"/>
    </w:pPr>
    <w:rPr>
      <w:rFonts w:ascii="Arial" w:hAnsi="Arial"/>
      <w:sz w:val="24"/>
    </w:rPr>
  </w:style>
  <w:style w:type="paragraph" w:customStyle="1" w:styleId="35">
    <w:name w:val="正文样式"/>
    <w:basedOn w:val="10"/>
    <w:qFormat/>
    <w:uiPriority w:val="0"/>
    <w:pPr>
      <w:adjustRightInd/>
      <w:spacing w:line="408" w:lineRule="auto"/>
      <w:ind w:firstLine="0" w:firstLineChars="0"/>
    </w:pPr>
    <w:rPr>
      <w:rFonts w:eastAsia="仿宋_GB2312"/>
      <w:kern w:val="0"/>
      <w:sz w:val="24"/>
    </w:rPr>
  </w:style>
  <w:style w:type="paragraph" w:customStyle="1" w:styleId="36">
    <w:name w:val="xl27"/>
    <w:basedOn w:val="1"/>
    <w:qFormat/>
    <w:uiPriority w:val="99"/>
    <w:pPr>
      <w:widowControl/>
      <w:pBdr>
        <w:top w:val="single" w:color="auto" w:sz="8" w:space="0"/>
        <w:left w:val="single" w:color="auto" w:sz="8" w:space="0"/>
        <w:right w:val="single" w:color="auto" w:sz="8" w:space="0"/>
      </w:pBdr>
      <w:spacing w:before="100" w:beforeAutospacing="1" w:after="100" w:afterAutospacing="1"/>
      <w:jc w:val="center"/>
    </w:pPr>
    <w:rPr>
      <w:rFonts w:ascii="Arial Unicode MS" w:hAnsi="Arial Unicode MS" w:eastAsia="Arial Unicode MS"/>
      <w:sz w:val="22"/>
      <w:szCs w:val="22"/>
    </w:rPr>
  </w:style>
  <w:style w:type="paragraph" w:customStyle="1" w:styleId="37">
    <w:name w:val="【正文】"/>
    <w:basedOn w:val="1"/>
    <w:qFormat/>
    <w:uiPriority w:val="0"/>
    <w:pPr>
      <w:overflowPunct w:val="0"/>
      <w:spacing w:line="500" w:lineRule="exact"/>
      <w:ind w:firstLine="480" w:firstLineChars="200"/>
    </w:pPr>
    <w:rPr>
      <w:sz w:val="24"/>
    </w:rPr>
  </w:style>
  <w:style w:type="paragraph" w:customStyle="1" w:styleId="38">
    <w:name w:val="表格标题H"/>
    <w:basedOn w:val="1"/>
    <w:qFormat/>
    <w:uiPriority w:val="0"/>
    <w:pPr>
      <w:spacing w:line="500" w:lineRule="exact"/>
      <w:jc w:val="center"/>
    </w:pPr>
    <w:rPr>
      <w:rFonts w:eastAsia="黑体"/>
      <w:szCs w:val="20"/>
    </w:rPr>
  </w:style>
  <w:style w:type="paragraph" w:customStyle="1" w:styleId="39">
    <w:name w:val="【表中文字】"/>
    <w:basedOn w:val="1"/>
    <w:qFormat/>
    <w:uiPriority w:val="0"/>
    <w:pPr>
      <w:spacing w:line="240" w:lineRule="auto"/>
      <w:ind w:firstLine="0" w:firstLineChars="0"/>
      <w:jc w:val="center"/>
    </w:pPr>
    <w:rPr>
      <w:rFonts w:ascii="Times New Roman" w:hAnsi="Calibri" w:eastAsia="宋体" w:cs="Times New Roman"/>
      <w:sz w:val="21"/>
      <w:szCs w:val="20"/>
    </w:rPr>
  </w:style>
  <w:style w:type="paragraph" w:customStyle="1" w:styleId="40">
    <w:name w:val="样式 Times New Roman 五号 居中"/>
    <w:qFormat/>
    <w:uiPriority w:val="0"/>
    <w:pPr>
      <w:widowControl w:val="0"/>
      <w:jc w:val="center"/>
    </w:pPr>
    <w:rPr>
      <w:rFonts w:ascii="Calibri" w:hAnsi="Calibri" w:eastAsia="宋体" w:cs="宋体"/>
      <w:kern w:val="2"/>
      <w:sz w:val="21"/>
      <w:lang w:val="en-US" w:eastAsia="zh-CN" w:bidi="ar-SA"/>
    </w:rPr>
  </w:style>
  <w:style w:type="paragraph" w:customStyle="1" w:styleId="41">
    <w:name w:val="表中的文字"/>
    <w:basedOn w:val="30"/>
    <w:qFormat/>
    <w:uiPriority w:val="0"/>
    <w:pPr>
      <w:spacing w:line="440" w:lineRule="exact"/>
      <w:ind w:firstLine="0" w:firstLineChars="0"/>
    </w:pPr>
    <w:rPr>
      <w:bCs/>
      <w:color w:val="000000"/>
      <w:kern w:val="0"/>
      <w:sz w:val="21"/>
      <w:szCs w:val="21"/>
    </w:rPr>
  </w:style>
  <w:style w:type="paragraph" w:customStyle="1" w:styleId="42">
    <w:name w:val="表格文字"/>
    <w:basedOn w:val="29"/>
    <w:next w:val="1"/>
    <w:qFormat/>
    <w:uiPriority w:val="0"/>
    <w:pPr>
      <w:spacing w:line="240" w:lineRule="auto"/>
    </w:pPr>
  </w:style>
  <w:style w:type="paragraph" w:customStyle="1" w:styleId="43">
    <w:name w:val="正文15"/>
    <w:qFormat/>
    <w:uiPriority w:val="0"/>
    <w:pPr>
      <w:widowControl w:val="0"/>
      <w:adjustRightInd w:val="0"/>
      <w:spacing w:line="360" w:lineRule="atLeast"/>
    </w:pPr>
    <w:rPr>
      <w:rFonts w:ascii="宋体" w:hAnsi="Times New Roman" w:eastAsia="宋体" w:cs="Times New Roman"/>
      <w:sz w:val="24"/>
      <w:lang w:val="en-US" w:eastAsia="zh-CN" w:bidi="ar-SA"/>
    </w:rPr>
  </w:style>
  <w:style w:type="paragraph" w:customStyle="1" w:styleId="44">
    <w:name w:val="正文00"/>
    <w:basedOn w:val="3"/>
    <w:next w:val="1"/>
    <w:autoRedefine/>
    <w:qFormat/>
    <w:uiPriority w:val="0"/>
    <w:pPr>
      <w:keepNext w:val="0"/>
      <w:keepLines w:val="0"/>
      <w:spacing w:before="0" w:after="0" w:line="360" w:lineRule="auto"/>
      <w:ind w:firstLine="480" w:firstLineChars="200"/>
      <w:textAlignment w:val="center"/>
      <w:outlineLvl w:val="9"/>
    </w:pPr>
    <w:rPr>
      <w:b w:val="0"/>
      <w:bCs w:val="0"/>
      <w:color w:val="000000" w:themeColor="text1"/>
      <w:kern w:val="2"/>
      <w:sz w:val="24"/>
      <w:szCs w:val="24"/>
      <w14:textFill>
        <w14:solidFill>
          <w14:schemeClr w14:val="tx1"/>
        </w14:solidFill>
      </w14:textFill>
    </w:rPr>
  </w:style>
  <w:style w:type="paragraph" w:customStyle="1" w:styleId="45">
    <w:name w:val="Table Paragraph"/>
    <w:basedOn w:val="1"/>
    <w:qFormat/>
    <w:uiPriority w:val="1"/>
    <w:pPr>
      <w:autoSpaceDE w:val="0"/>
      <w:autoSpaceDN w:val="0"/>
      <w:spacing w:line="240" w:lineRule="auto"/>
      <w:ind w:firstLine="0" w:firstLineChars="0"/>
      <w:jc w:val="left"/>
    </w:pPr>
    <w:rPr>
      <w:rFonts w:ascii="Times New Roman" w:hAnsi="Times New Roman" w:eastAsia="Times New Roman" w:cs="Times New Roman"/>
      <w:kern w:val="0"/>
      <w:sz w:val="22"/>
      <w:lang w:eastAsia="en-US"/>
    </w:rPr>
  </w:style>
</w:styles>
</file>

<file path=word/_rels/document.xml.rels><?xml version="1.0" encoding="UTF-8" standalone="yes"?>
<Relationships xmlns="http://schemas.openxmlformats.org/package/2006/relationships"><Relationship Id="rId99" Type="http://schemas.openxmlformats.org/officeDocument/2006/relationships/image" Target="media/image84.png"/><Relationship Id="rId98" Type="http://schemas.openxmlformats.org/officeDocument/2006/relationships/image" Target="media/image83.png"/><Relationship Id="rId97" Type="http://schemas.openxmlformats.org/officeDocument/2006/relationships/image" Target="media/image82.png"/><Relationship Id="rId96" Type="http://schemas.openxmlformats.org/officeDocument/2006/relationships/image" Target="media/image81.png"/><Relationship Id="rId95" Type="http://schemas.openxmlformats.org/officeDocument/2006/relationships/image" Target="media/image80.png"/><Relationship Id="rId94" Type="http://schemas.openxmlformats.org/officeDocument/2006/relationships/image" Target="media/image79.png"/><Relationship Id="rId93" Type="http://schemas.openxmlformats.org/officeDocument/2006/relationships/image" Target="media/image78.png"/><Relationship Id="rId92" Type="http://schemas.openxmlformats.org/officeDocument/2006/relationships/image" Target="media/image77.png"/><Relationship Id="rId91" Type="http://schemas.openxmlformats.org/officeDocument/2006/relationships/image" Target="media/image76.png"/><Relationship Id="rId90" Type="http://schemas.openxmlformats.org/officeDocument/2006/relationships/image" Target="media/image75.png"/><Relationship Id="rId9" Type="http://schemas.openxmlformats.org/officeDocument/2006/relationships/image" Target="media/image2.wmf"/><Relationship Id="rId89" Type="http://schemas.openxmlformats.org/officeDocument/2006/relationships/image" Target="media/image74.png"/><Relationship Id="rId88" Type="http://schemas.openxmlformats.org/officeDocument/2006/relationships/image" Target="media/image73.png"/><Relationship Id="rId87" Type="http://schemas.openxmlformats.org/officeDocument/2006/relationships/image" Target="media/image72.jpeg"/><Relationship Id="rId86" Type="http://schemas.openxmlformats.org/officeDocument/2006/relationships/image" Target="media/image71.jpeg"/><Relationship Id="rId85" Type="http://schemas.openxmlformats.org/officeDocument/2006/relationships/image" Target="media/image70.jpeg"/><Relationship Id="rId84" Type="http://schemas.openxmlformats.org/officeDocument/2006/relationships/image" Target="media/image69.jpeg"/><Relationship Id="rId83" Type="http://schemas.openxmlformats.org/officeDocument/2006/relationships/image" Target="media/image68.jpeg"/><Relationship Id="rId82" Type="http://schemas.openxmlformats.org/officeDocument/2006/relationships/image" Target="media/image67.jpeg"/><Relationship Id="rId81" Type="http://schemas.openxmlformats.org/officeDocument/2006/relationships/image" Target="media/image66.jpeg"/><Relationship Id="rId80" Type="http://schemas.openxmlformats.org/officeDocument/2006/relationships/image" Target="media/image65.jpeg"/><Relationship Id="rId8" Type="http://schemas.openxmlformats.org/officeDocument/2006/relationships/oleObject" Target="embeddings/oleObject1.bin"/><Relationship Id="rId79" Type="http://schemas.openxmlformats.org/officeDocument/2006/relationships/image" Target="media/image64.png"/><Relationship Id="rId78" Type="http://schemas.openxmlformats.org/officeDocument/2006/relationships/image" Target="media/image63.png"/><Relationship Id="rId77" Type="http://schemas.openxmlformats.org/officeDocument/2006/relationships/image" Target="media/image62.png"/><Relationship Id="rId76" Type="http://schemas.openxmlformats.org/officeDocument/2006/relationships/image" Target="media/image61.png"/><Relationship Id="rId75" Type="http://schemas.openxmlformats.org/officeDocument/2006/relationships/image" Target="media/image60.png"/><Relationship Id="rId74" Type="http://schemas.openxmlformats.org/officeDocument/2006/relationships/image" Target="media/image59.png"/><Relationship Id="rId73" Type="http://schemas.openxmlformats.org/officeDocument/2006/relationships/image" Target="media/image58.png"/><Relationship Id="rId72" Type="http://schemas.openxmlformats.org/officeDocument/2006/relationships/image" Target="media/image57.png"/><Relationship Id="rId71" Type="http://schemas.openxmlformats.org/officeDocument/2006/relationships/image" Target="media/image56.png"/><Relationship Id="rId70" Type="http://schemas.openxmlformats.org/officeDocument/2006/relationships/image" Target="media/image55.png"/><Relationship Id="rId7" Type="http://schemas.openxmlformats.org/officeDocument/2006/relationships/image" Target="media/image1.png"/><Relationship Id="rId69" Type="http://schemas.openxmlformats.org/officeDocument/2006/relationships/image" Target="media/image54.png"/><Relationship Id="rId68" Type="http://schemas.openxmlformats.org/officeDocument/2006/relationships/image" Target="media/image53.png"/><Relationship Id="rId67" Type="http://schemas.openxmlformats.org/officeDocument/2006/relationships/image" Target="media/image52.wmf"/><Relationship Id="rId66" Type="http://schemas.openxmlformats.org/officeDocument/2006/relationships/oleObject" Target="embeddings/oleObject9.bin"/><Relationship Id="rId65" Type="http://schemas.openxmlformats.org/officeDocument/2006/relationships/image" Target="media/image51.wmf"/><Relationship Id="rId64" Type="http://schemas.openxmlformats.org/officeDocument/2006/relationships/oleObject" Target="embeddings/oleObject8.bin"/><Relationship Id="rId63" Type="http://schemas.openxmlformats.org/officeDocument/2006/relationships/image" Target="media/image50.wmf"/><Relationship Id="rId62" Type="http://schemas.openxmlformats.org/officeDocument/2006/relationships/oleObject" Target="embeddings/oleObject7.bin"/><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theme" Target="theme/theme1.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oleObject" Target="embeddings/oleObject6.bin"/><Relationship Id="rId53" Type="http://schemas.openxmlformats.org/officeDocument/2006/relationships/image" Target="media/image42.wmf"/><Relationship Id="rId52" Type="http://schemas.openxmlformats.org/officeDocument/2006/relationships/oleObject" Target="embeddings/oleObject5.bin"/><Relationship Id="rId51" Type="http://schemas.openxmlformats.org/officeDocument/2006/relationships/image" Target="media/image41.png"/><Relationship Id="rId50" Type="http://schemas.openxmlformats.org/officeDocument/2006/relationships/image" Target="media/image40.wmf"/><Relationship Id="rId5" Type="http://schemas.openxmlformats.org/officeDocument/2006/relationships/footer" Target="footer1.xml"/><Relationship Id="rId49" Type="http://schemas.openxmlformats.org/officeDocument/2006/relationships/oleObject" Target="embeddings/oleObject4.bin"/><Relationship Id="rId48" Type="http://schemas.openxmlformats.org/officeDocument/2006/relationships/image" Target="media/image39.wmf"/><Relationship Id="rId47" Type="http://schemas.openxmlformats.org/officeDocument/2006/relationships/oleObject" Target="embeddings/oleObject3.bin"/><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endnotes" Target="endnotes.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jpe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wmf"/><Relationship Id="rId31" Type="http://schemas.openxmlformats.org/officeDocument/2006/relationships/oleObject" Target="embeddings/oleObject2.bin"/><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2" Type="http://schemas.openxmlformats.org/officeDocument/2006/relationships/fontTable" Target="fontTable.xml"/><Relationship Id="rId181" Type="http://schemas.openxmlformats.org/officeDocument/2006/relationships/numbering" Target="numbering.xml"/><Relationship Id="rId180" Type="http://schemas.openxmlformats.org/officeDocument/2006/relationships/customXml" Target="../customXml/item1.xml"/><Relationship Id="rId18" Type="http://schemas.openxmlformats.org/officeDocument/2006/relationships/image" Target="media/image11.png"/><Relationship Id="rId179" Type="http://schemas.openxmlformats.org/officeDocument/2006/relationships/image" Target="media/image164.jpeg"/><Relationship Id="rId178" Type="http://schemas.openxmlformats.org/officeDocument/2006/relationships/image" Target="media/image163.jpeg"/><Relationship Id="rId177" Type="http://schemas.openxmlformats.org/officeDocument/2006/relationships/image" Target="media/image162.jpeg"/><Relationship Id="rId176" Type="http://schemas.openxmlformats.org/officeDocument/2006/relationships/image" Target="media/image161.jpeg"/><Relationship Id="rId175" Type="http://schemas.openxmlformats.org/officeDocument/2006/relationships/image" Target="media/image160.jpeg"/><Relationship Id="rId174" Type="http://schemas.openxmlformats.org/officeDocument/2006/relationships/image" Target="media/image159.jpeg"/><Relationship Id="rId173" Type="http://schemas.openxmlformats.org/officeDocument/2006/relationships/image" Target="media/image158.jpeg"/><Relationship Id="rId172" Type="http://schemas.openxmlformats.org/officeDocument/2006/relationships/image" Target="media/image157.png"/><Relationship Id="rId171" Type="http://schemas.openxmlformats.org/officeDocument/2006/relationships/image" Target="media/image156.png"/><Relationship Id="rId170" Type="http://schemas.openxmlformats.org/officeDocument/2006/relationships/image" Target="media/image155.png"/><Relationship Id="rId17" Type="http://schemas.openxmlformats.org/officeDocument/2006/relationships/image" Target="media/image10.png"/><Relationship Id="rId169" Type="http://schemas.openxmlformats.org/officeDocument/2006/relationships/image" Target="media/image154.png"/><Relationship Id="rId168" Type="http://schemas.openxmlformats.org/officeDocument/2006/relationships/image" Target="media/image153.png"/><Relationship Id="rId167" Type="http://schemas.openxmlformats.org/officeDocument/2006/relationships/image" Target="media/image152.png"/><Relationship Id="rId166" Type="http://schemas.openxmlformats.org/officeDocument/2006/relationships/image" Target="media/image151.png"/><Relationship Id="rId165" Type="http://schemas.openxmlformats.org/officeDocument/2006/relationships/image" Target="media/image150.png"/><Relationship Id="rId164" Type="http://schemas.openxmlformats.org/officeDocument/2006/relationships/image" Target="media/image149.png"/><Relationship Id="rId163" Type="http://schemas.openxmlformats.org/officeDocument/2006/relationships/image" Target="media/image148.png"/><Relationship Id="rId162" Type="http://schemas.openxmlformats.org/officeDocument/2006/relationships/image" Target="media/image147.png"/><Relationship Id="rId161" Type="http://schemas.openxmlformats.org/officeDocument/2006/relationships/image" Target="media/image146.png"/><Relationship Id="rId160" Type="http://schemas.openxmlformats.org/officeDocument/2006/relationships/image" Target="media/image145.png"/><Relationship Id="rId16" Type="http://schemas.openxmlformats.org/officeDocument/2006/relationships/image" Target="media/image9.png"/><Relationship Id="rId159" Type="http://schemas.openxmlformats.org/officeDocument/2006/relationships/image" Target="media/image144.png"/><Relationship Id="rId158" Type="http://schemas.openxmlformats.org/officeDocument/2006/relationships/image" Target="media/image143.png"/><Relationship Id="rId157" Type="http://schemas.openxmlformats.org/officeDocument/2006/relationships/image" Target="media/image142.png"/><Relationship Id="rId156" Type="http://schemas.openxmlformats.org/officeDocument/2006/relationships/image" Target="media/image141.png"/><Relationship Id="rId155" Type="http://schemas.openxmlformats.org/officeDocument/2006/relationships/image" Target="media/image140.png"/><Relationship Id="rId154" Type="http://schemas.openxmlformats.org/officeDocument/2006/relationships/image" Target="media/image139.png"/><Relationship Id="rId153" Type="http://schemas.openxmlformats.org/officeDocument/2006/relationships/image" Target="media/image138.png"/><Relationship Id="rId152" Type="http://schemas.openxmlformats.org/officeDocument/2006/relationships/image" Target="media/image137.png"/><Relationship Id="rId151" Type="http://schemas.openxmlformats.org/officeDocument/2006/relationships/image" Target="media/image136.png"/><Relationship Id="rId150" Type="http://schemas.openxmlformats.org/officeDocument/2006/relationships/image" Target="media/image135.png"/><Relationship Id="rId15" Type="http://schemas.openxmlformats.org/officeDocument/2006/relationships/image" Target="media/image8.png"/><Relationship Id="rId149" Type="http://schemas.openxmlformats.org/officeDocument/2006/relationships/image" Target="media/image134.png"/><Relationship Id="rId148" Type="http://schemas.openxmlformats.org/officeDocument/2006/relationships/image" Target="media/image133.png"/><Relationship Id="rId147" Type="http://schemas.openxmlformats.org/officeDocument/2006/relationships/image" Target="media/image132.png"/><Relationship Id="rId146" Type="http://schemas.openxmlformats.org/officeDocument/2006/relationships/image" Target="media/image131.png"/><Relationship Id="rId145" Type="http://schemas.openxmlformats.org/officeDocument/2006/relationships/image" Target="media/image130.png"/><Relationship Id="rId144" Type="http://schemas.openxmlformats.org/officeDocument/2006/relationships/image" Target="media/image129.png"/><Relationship Id="rId143" Type="http://schemas.openxmlformats.org/officeDocument/2006/relationships/image" Target="media/image128.png"/><Relationship Id="rId142" Type="http://schemas.openxmlformats.org/officeDocument/2006/relationships/image" Target="media/image127.png"/><Relationship Id="rId141" Type="http://schemas.openxmlformats.org/officeDocument/2006/relationships/image" Target="media/image126.png"/><Relationship Id="rId140" Type="http://schemas.openxmlformats.org/officeDocument/2006/relationships/image" Target="media/image125.png"/><Relationship Id="rId14" Type="http://schemas.openxmlformats.org/officeDocument/2006/relationships/image" Target="media/image7.png"/><Relationship Id="rId139" Type="http://schemas.openxmlformats.org/officeDocument/2006/relationships/image" Target="media/image124.png"/><Relationship Id="rId138" Type="http://schemas.openxmlformats.org/officeDocument/2006/relationships/image" Target="media/image123.png"/><Relationship Id="rId137" Type="http://schemas.openxmlformats.org/officeDocument/2006/relationships/image" Target="media/image122.png"/><Relationship Id="rId136" Type="http://schemas.openxmlformats.org/officeDocument/2006/relationships/image" Target="media/image121.png"/><Relationship Id="rId135" Type="http://schemas.openxmlformats.org/officeDocument/2006/relationships/image" Target="media/image120.png"/><Relationship Id="rId134" Type="http://schemas.openxmlformats.org/officeDocument/2006/relationships/image" Target="media/image119.png"/><Relationship Id="rId133" Type="http://schemas.openxmlformats.org/officeDocument/2006/relationships/image" Target="media/image118.png"/><Relationship Id="rId132" Type="http://schemas.openxmlformats.org/officeDocument/2006/relationships/image" Target="media/image117.png"/><Relationship Id="rId131" Type="http://schemas.openxmlformats.org/officeDocument/2006/relationships/image" Target="media/image116.png"/><Relationship Id="rId130" Type="http://schemas.openxmlformats.org/officeDocument/2006/relationships/image" Target="media/image115.png"/><Relationship Id="rId13" Type="http://schemas.openxmlformats.org/officeDocument/2006/relationships/image" Target="media/image6.png"/><Relationship Id="rId129" Type="http://schemas.openxmlformats.org/officeDocument/2006/relationships/image" Target="media/image114.png"/><Relationship Id="rId128" Type="http://schemas.openxmlformats.org/officeDocument/2006/relationships/image" Target="media/image113.png"/><Relationship Id="rId127" Type="http://schemas.openxmlformats.org/officeDocument/2006/relationships/image" Target="media/image112.png"/><Relationship Id="rId126" Type="http://schemas.openxmlformats.org/officeDocument/2006/relationships/image" Target="media/image111.png"/><Relationship Id="rId125" Type="http://schemas.openxmlformats.org/officeDocument/2006/relationships/image" Target="media/image110.png"/><Relationship Id="rId124" Type="http://schemas.openxmlformats.org/officeDocument/2006/relationships/image" Target="media/image109.png"/><Relationship Id="rId123" Type="http://schemas.openxmlformats.org/officeDocument/2006/relationships/image" Target="media/image108.png"/><Relationship Id="rId122" Type="http://schemas.openxmlformats.org/officeDocument/2006/relationships/image" Target="media/image107.jpeg"/><Relationship Id="rId121" Type="http://schemas.openxmlformats.org/officeDocument/2006/relationships/image" Target="media/image106.jpeg"/><Relationship Id="rId120" Type="http://schemas.openxmlformats.org/officeDocument/2006/relationships/image" Target="media/image105.png"/><Relationship Id="rId12" Type="http://schemas.openxmlformats.org/officeDocument/2006/relationships/image" Target="media/image5.png"/><Relationship Id="rId119" Type="http://schemas.openxmlformats.org/officeDocument/2006/relationships/image" Target="media/image104.png"/><Relationship Id="rId118" Type="http://schemas.openxmlformats.org/officeDocument/2006/relationships/image" Target="media/image103.png"/><Relationship Id="rId117" Type="http://schemas.openxmlformats.org/officeDocument/2006/relationships/image" Target="media/image102.png"/><Relationship Id="rId116" Type="http://schemas.openxmlformats.org/officeDocument/2006/relationships/image" Target="media/image101.png"/><Relationship Id="rId115" Type="http://schemas.openxmlformats.org/officeDocument/2006/relationships/image" Target="media/image100.png"/><Relationship Id="rId114" Type="http://schemas.openxmlformats.org/officeDocument/2006/relationships/image" Target="media/image99.png"/><Relationship Id="rId113" Type="http://schemas.openxmlformats.org/officeDocument/2006/relationships/image" Target="media/image98.png"/><Relationship Id="rId112" Type="http://schemas.openxmlformats.org/officeDocument/2006/relationships/image" Target="media/image97.png"/><Relationship Id="rId111" Type="http://schemas.openxmlformats.org/officeDocument/2006/relationships/image" Target="media/image96.jpeg"/><Relationship Id="rId110" Type="http://schemas.openxmlformats.org/officeDocument/2006/relationships/image" Target="media/image95.jpeg"/><Relationship Id="rId11" Type="http://schemas.openxmlformats.org/officeDocument/2006/relationships/image" Target="media/image4.png"/><Relationship Id="rId109" Type="http://schemas.openxmlformats.org/officeDocument/2006/relationships/image" Target="media/image94.jpeg"/><Relationship Id="rId108" Type="http://schemas.openxmlformats.org/officeDocument/2006/relationships/image" Target="media/image93.png"/><Relationship Id="rId107" Type="http://schemas.openxmlformats.org/officeDocument/2006/relationships/image" Target="media/image92.png"/><Relationship Id="rId106" Type="http://schemas.openxmlformats.org/officeDocument/2006/relationships/image" Target="media/image91.png"/><Relationship Id="rId105" Type="http://schemas.openxmlformats.org/officeDocument/2006/relationships/image" Target="media/image90.png"/><Relationship Id="rId104" Type="http://schemas.openxmlformats.org/officeDocument/2006/relationships/image" Target="media/image89.png"/><Relationship Id="rId103" Type="http://schemas.openxmlformats.org/officeDocument/2006/relationships/image" Target="media/image88.png"/><Relationship Id="rId102" Type="http://schemas.openxmlformats.org/officeDocument/2006/relationships/image" Target="media/image87.png"/><Relationship Id="rId101" Type="http://schemas.openxmlformats.org/officeDocument/2006/relationships/image" Target="media/image86.jpeg"/><Relationship Id="rId100" Type="http://schemas.openxmlformats.org/officeDocument/2006/relationships/image" Target="media/image85.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"/>
    </extobj>
    <extobj name="ECB019B1-382A-4266-B25C-5B523AA43C14-2">
      <extobjdata type="ECB019B1-382A-4266-B25C-5B523AA43C14" data="ewoJIkZpbGVJZCIgOiAiNDQyNzQ0NzQ0MDcxIiwKCSJHcm91cElkIiA6ICI3MDcwNjc0NTYiLAoJIkltYWdlIiA6ICJpVkJPUncwS0dnb0FBQUFOU1VoRVVnQUFCUzhBQUFGWkNBWUFBQUI1Zk5xR0FBQUFBWE5TUjBJQXJzNGM2UUFBSUFCSlJFRlVlSnpzM1hsOFRGZi9CL0RQbVNXWkxDSzJVZzFpYXloTk1nbjF0RXBSMnVxV1drclZWbDMwVVMxVmxLSUw2bEZxYXkxRlN4ZXFwRlNwUjRvV3BWV1ZSaWFMSlJKNWdpQklJeVJoa3N6YzgvdkR6UHd5eVV6MnlJVFArL1h5YW5Mdm5YTlBVcjV6NW52UCtSNkF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VFeitQMzlQeVZjY0hwejJBQUFBQUVsRlRrU3VRbUNDIiwKCSJUaGVtZSIgOiAiIiwKCSJUeXBlIiA6ICJmbG93IiwKCSJVc2VySWQiIDogIjQ2MjQzODQ5NSIsCgkiVmVyc2lvbiIgOiAiOC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353</Pages>
  <Words>2402</Words>
  <Characters>3395</Characters>
  <Lines>0</Lines>
  <Paragraphs>0</Paragraphs>
  <TotalTime>168</TotalTime>
  <ScaleCrop>false</ScaleCrop>
  <LinksUpToDate>false</LinksUpToDate>
  <CharactersWithSpaces>4023</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2025-06-09T02:29:00Z</dcterms:created>
  <dc:creator>Administrator</dc:creator>
  <cp:lastModifiedBy>‎</cp:lastModifiedBy>
  <dcterms:modified xsi:type="dcterms:W3CDTF">2025-11-03T01:21:04Z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189F9DBD5D774B79B99D5513B53C0C89_11</vt:lpwstr>
  </property>
  <property fmtid="{D5CDD505-2E9C-101B-9397-08002B2CF9AE}" pid="4" name="KSOTemplateDocerSaveRecord">
    <vt:lpwstr>eyJoZGlkIjoiOTE4NDY2MTM0Y2EyODBhZWQyMGMyOTg1MGUyMmFlZTQiLCJ1c2VySWQiOiI0NjI0Mzg0OTUifQ==</vt:lpwstr>
  </property>
</Properties>
</file>